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6527" w:rsidP="00AC1417" w14:paraId="355A2A92" w14:textId="77777777">
      <w:pPr>
        <w:jc w:val="center"/>
        <w:rPr>
          <w:b/>
          <w:sz w:val="40"/>
          <w:szCs w:val="40"/>
        </w:rPr>
      </w:pPr>
    </w:p>
    <w:p w:rsidR="00424A89" w:rsidP="00424A89" w14:paraId="5F1FE62C" w14:textId="77777777">
      <w:pPr>
        <w:spacing w:after="18" w:line="259" w:lineRule="auto"/>
      </w:pPr>
    </w:p>
    <w:p w:rsidR="00424A89" w:rsidP="00424A89" w14:paraId="65CE1C98" w14:textId="77777777">
      <w:pPr>
        <w:spacing w:line="259" w:lineRule="auto"/>
      </w:pPr>
    </w:p>
    <w:p w:rsidR="00424A89" w:rsidP="00424A89" w14:paraId="2F2BE1AA" w14:textId="77777777">
      <w:pPr>
        <w:spacing w:line="259" w:lineRule="auto"/>
        <w:ind w:right="-479"/>
      </w:pPr>
      <w:r>
        <w:rPr>
          <w:rFonts w:ascii="Calibri" w:eastAsia="Calibri" w:hAnsi="Calibri" w:cs="Calibri"/>
          <w:noProof/>
        </w:rPr>
        <mc:AlternateContent>
          <mc:Choice Requires="wpg">
            <w:drawing>
              <wp:inline distT="0" distB="0" distL="0" distR="0">
                <wp:extent cx="5943600" cy="118873"/>
                <wp:effectExtent l="0" t="0" r="0" b="0"/>
                <wp:docPr id="298145" name="Group 2981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18873"/>
                          <a:chOff x="0" y="0"/>
                          <a:chExt cx="5943600" cy="118873"/>
                        </a:xfrm>
                      </wpg:grpSpPr>
                      <wps:wsp xmlns:wps="http://schemas.microsoft.com/office/word/2010/wordprocessingShape">
                        <wps:cNvPr id="455590" name="Shape 455590"/>
                        <wps:cNvSpPr/>
                        <wps:spPr>
                          <a:xfrm>
                            <a:off x="0" y="99060"/>
                            <a:ext cx="5943600" cy="19814"/>
                          </a:xfrm>
                          <a:custGeom>
                            <a:avLst/>
                            <a:gdLst/>
                            <a:rect l="0" t="0" r="0" b="0"/>
                            <a:pathLst>
                              <a:path fill="norm" h="19814" w="5943600" stroke="1">
                                <a:moveTo>
                                  <a:pt x="0" y="0"/>
                                </a:moveTo>
                                <a:lnTo>
                                  <a:pt x="5943600" y="0"/>
                                </a:lnTo>
                                <a:lnTo>
                                  <a:pt x="5943600" y="19814"/>
                                </a:lnTo>
                                <a:lnTo>
                                  <a:pt x="0" y="19814"/>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1" name="Shape 455591"/>
                        <wps:cNvSpPr/>
                        <wps:spPr>
                          <a:xfrm>
                            <a:off x="0" y="39624"/>
                            <a:ext cx="5943600" cy="39625"/>
                          </a:xfrm>
                          <a:custGeom>
                            <a:avLst/>
                            <a:gdLst/>
                            <a:rect l="0" t="0" r="0" b="0"/>
                            <a:pathLst>
                              <a:path fill="norm" h="39625" w="5943600" stroke="1">
                                <a:moveTo>
                                  <a:pt x="0" y="0"/>
                                </a:moveTo>
                                <a:lnTo>
                                  <a:pt x="5943600" y="0"/>
                                </a:lnTo>
                                <a:lnTo>
                                  <a:pt x="5943600" y="39625"/>
                                </a:lnTo>
                                <a:lnTo>
                                  <a:pt x="0" y="39625"/>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2" name="Shape 455592"/>
                        <wps:cNvSpPr/>
                        <wps:spPr>
                          <a:xfrm>
                            <a:off x="0" y="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g:wgp>
                  </a:graphicData>
                </a:graphic>
              </wp:inline>
            </w:drawing>
          </mc:Choice>
          <mc:Fallback>
            <w:pict>
              <v:group id="Group 298145" o:spid="_x0000_i1025" style="width:468pt;height:9.35pt;mso-position-horizontal-relative:char;mso-position-vertical-relative:line" coordsize="59436,1188">
                <v:shape id="Shape 455590" o:spid="_x0000_s1026" style="width:59436;height:198;mso-wrap-style:square;position:absolute;top:990;visibility:visible;v-text-anchor:top" coordsize="5943600,19814" path="m,l5943600,l5943600,19814l,19814,,e" fillcolor="#010000" stroked="f">
                  <v:stroke joinstyle="miter"/>
                  <v:path arrowok="t" textboxrect="0,0,5943600,19814"/>
                </v:shape>
                <v:shape id="Shape 455591" o:spid="_x0000_s1027" style="width:59436;height:396;mso-wrap-style:square;position:absolute;top:396;visibility:visible;v-text-anchor:top" coordsize="5943600,39625" path="m,l5943600,l5943600,39625l,39625,,e" fillcolor="#010000" stroked="f">
                  <v:stroke joinstyle="miter"/>
                  <v:path arrowok="t" textboxrect="0,0,5943600,39625"/>
                </v:shape>
                <v:shape id="Shape 455592" o:spid="_x0000_s1028" style="width:59436;height:198;mso-wrap-style:square;position:absolute;visibility:visible;v-text-anchor:top" coordsize="5943600,19812" path="m,l5943600,l5943600,19812l,19812,,e" fillcolor="#010000" stroked="f">
                  <v:stroke joinstyle="miter"/>
                  <v:path arrowok="t" textboxrect="0,0,5943600,19812"/>
                </v:shape>
                <w10:wrap type="none"/>
                <w10:anchorlock/>
              </v:group>
            </w:pict>
          </mc:Fallback>
        </mc:AlternateContent>
      </w:r>
    </w:p>
    <w:p w:rsidR="00424A89" w:rsidP="00424A89" w14:paraId="417D068F" w14:textId="77777777">
      <w:pPr>
        <w:spacing w:after="187" w:line="259" w:lineRule="auto"/>
      </w:pPr>
      <w:r>
        <w:t xml:space="preserve"> </w:t>
      </w:r>
    </w:p>
    <w:p w:rsidR="00424A89" w:rsidP="00424A89" w14:paraId="74716095" w14:textId="77777777">
      <w:pPr>
        <w:spacing w:after="33" w:line="259" w:lineRule="auto"/>
        <w:ind w:left="1246"/>
      </w:pPr>
      <w:r>
        <w:rPr>
          <w:rFonts w:ascii="Arial" w:eastAsia="Arial" w:hAnsi="Arial" w:cs="Arial"/>
          <w:b/>
          <w:sz w:val="40"/>
        </w:rPr>
        <w:t xml:space="preserve">NRC Response to Public Comments </w:t>
      </w:r>
    </w:p>
    <w:p w:rsidR="00424A89" w:rsidP="00424A89" w14:paraId="3C931CA8" w14:textId="77777777">
      <w:pPr>
        <w:spacing w:after="33" w:line="259" w:lineRule="auto"/>
      </w:pPr>
      <w:r>
        <w:rPr>
          <w:rFonts w:ascii="Arial" w:eastAsia="Arial" w:hAnsi="Arial" w:cs="Arial"/>
          <w:b/>
          <w:sz w:val="40"/>
        </w:rPr>
        <w:t xml:space="preserve"> </w:t>
      </w:r>
    </w:p>
    <w:p w:rsidR="00424A89" w:rsidP="00424A89" w14:paraId="72BF1B7D" w14:textId="77777777">
      <w:pPr>
        <w:spacing w:after="7" w:line="276" w:lineRule="auto"/>
        <w:jc w:val="center"/>
      </w:pPr>
      <w:r>
        <w:rPr>
          <w:rFonts w:ascii="Arial" w:eastAsia="Arial" w:hAnsi="Arial" w:cs="Arial"/>
          <w:b/>
          <w:sz w:val="40"/>
        </w:rPr>
        <w:t>Risk-Informed, Tech</w:t>
      </w:r>
      <w:r w:rsidR="00327BE0">
        <w:rPr>
          <w:rFonts w:ascii="Arial" w:eastAsia="Arial" w:hAnsi="Arial" w:cs="Arial"/>
          <w:b/>
          <w:sz w:val="40"/>
        </w:rPr>
        <w:t>n</w:t>
      </w:r>
      <w:r>
        <w:rPr>
          <w:rFonts w:ascii="Arial" w:eastAsia="Arial" w:hAnsi="Arial" w:cs="Arial"/>
          <w:b/>
          <w:sz w:val="40"/>
        </w:rPr>
        <w:t>ology-Inclusive R</w:t>
      </w:r>
      <w:r w:rsidR="00EC3AA0">
        <w:rPr>
          <w:rFonts w:ascii="Arial" w:eastAsia="Arial" w:hAnsi="Arial" w:cs="Arial"/>
          <w:b/>
          <w:sz w:val="40"/>
        </w:rPr>
        <w:t>egulatory Framework for Advanced Reactors</w:t>
      </w:r>
    </w:p>
    <w:p w:rsidR="00424A89" w:rsidP="00424A89" w14:paraId="288E8F09" w14:textId="77777777">
      <w:pPr>
        <w:spacing w:line="259" w:lineRule="auto"/>
        <w:ind w:left="478"/>
        <w:jc w:val="center"/>
      </w:pPr>
      <w:r>
        <w:rPr>
          <w:rFonts w:ascii="Arial" w:eastAsia="Arial" w:hAnsi="Arial" w:cs="Arial"/>
          <w:b/>
          <w:sz w:val="28"/>
        </w:rPr>
        <w:t>NRC-201</w:t>
      </w:r>
      <w:r w:rsidR="00EC3AA0">
        <w:rPr>
          <w:rFonts w:ascii="Arial" w:eastAsia="Arial" w:hAnsi="Arial" w:cs="Arial"/>
          <w:b/>
          <w:sz w:val="28"/>
        </w:rPr>
        <w:t>9-0062</w:t>
      </w:r>
      <w:r>
        <w:rPr>
          <w:rFonts w:ascii="Arial" w:eastAsia="Arial" w:hAnsi="Arial" w:cs="Arial"/>
          <w:b/>
          <w:sz w:val="28"/>
        </w:rPr>
        <w:t xml:space="preserve">; </w:t>
      </w:r>
      <w:r w:rsidR="00F73D08">
        <w:rPr>
          <w:rFonts w:ascii="Arial" w:eastAsia="Arial" w:hAnsi="Arial" w:cs="Arial"/>
          <w:b/>
          <w:sz w:val="28"/>
        </w:rPr>
        <w:t xml:space="preserve">RIN </w:t>
      </w:r>
      <w:r>
        <w:rPr>
          <w:rFonts w:ascii="Arial" w:eastAsia="Arial" w:hAnsi="Arial" w:cs="Arial"/>
          <w:b/>
          <w:sz w:val="28"/>
        </w:rPr>
        <w:t>3150-</w:t>
      </w:r>
      <w:r w:rsidR="00AB3E38">
        <w:rPr>
          <w:rFonts w:ascii="Arial" w:eastAsia="Arial" w:hAnsi="Arial" w:cs="Arial"/>
          <w:b/>
          <w:sz w:val="28"/>
        </w:rPr>
        <w:t>AK31</w:t>
      </w:r>
    </w:p>
    <w:p w:rsidR="00424A89" w:rsidP="00424A89" w14:paraId="0012133B" w14:textId="77777777">
      <w:pPr>
        <w:spacing w:line="259" w:lineRule="auto"/>
        <w:ind w:right="-479"/>
      </w:pPr>
      <w:r>
        <w:rPr>
          <w:rFonts w:ascii="Calibri" w:eastAsia="Calibri" w:hAnsi="Calibri" w:cs="Calibri"/>
          <w:noProof/>
        </w:rPr>
        <mc:AlternateContent>
          <mc:Choice Requires="wpg">
            <w:drawing>
              <wp:inline distT="0" distB="0" distL="0" distR="0">
                <wp:extent cx="5943600" cy="118872"/>
                <wp:effectExtent l="0" t="0" r="0" b="0"/>
                <wp:docPr id="298144" name="Group 298144"/>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18872"/>
                          <a:chOff x="0" y="0"/>
                          <a:chExt cx="5943600" cy="118872"/>
                        </a:xfrm>
                      </wpg:grpSpPr>
                      <wps:wsp xmlns:wps="http://schemas.microsoft.com/office/word/2010/wordprocessingShape">
                        <wps:cNvPr id="455596" name="Shape 455596"/>
                        <wps:cNvSpPr/>
                        <wps:spPr>
                          <a:xfrm>
                            <a:off x="0" y="9906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7" name="Shape 455597"/>
                        <wps:cNvSpPr/>
                        <wps:spPr>
                          <a:xfrm>
                            <a:off x="0" y="39624"/>
                            <a:ext cx="5943600" cy="39624"/>
                          </a:xfrm>
                          <a:custGeom>
                            <a:avLst/>
                            <a:gdLst/>
                            <a:rect l="0" t="0" r="0" b="0"/>
                            <a:pathLst>
                              <a:path fill="norm" h="39624" w="5943600" stroke="1">
                                <a:moveTo>
                                  <a:pt x="0" y="0"/>
                                </a:moveTo>
                                <a:lnTo>
                                  <a:pt x="5943600" y="0"/>
                                </a:lnTo>
                                <a:lnTo>
                                  <a:pt x="5943600" y="39624"/>
                                </a:lnTo>
                                <a:lnTo>
                                  <a:pt x="0" y="39624"/>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8" name="Shape 455598"/>
                        <wps:cNvSpPr/>
                        <wps:spPr>
                          <a:xfrm>
                            <a:off x="0" y="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g:wgp>
                  </a:graphicData>
                </a:graphic>
              </wp:inline>
            </w:drawing>
          </mc:Choice>
          <mc:Fallback>
            <w:pict>
              <v:group id="Group 298144" o:spid="_x0000_i1029" style="width:468pt;height:9.35pt;mso-position-horizontal-relative:char;mso-position-vertical-relative:line" coordsize="59436,1188">
                <v:shape id="Shape 455596" o:spid="_x0000_s1030" style="width:59436;height:198;mso-wrap-style:square;position:absolute;top:990;visibility:visible;v-text-anchor:top" coordsize="5943600,19812" path="m,l5943600,l5943600,19812l,19812,,e" fillcolor="#010000" stroked="f">
                  <v:stroke joinstyle="miter"/>
                  <v:path arrowok="t" textboxrect="0,0,5943600,19812"/>
                </v:shape>
                <v:shape id="Shape 455597" o:spid="_x0000_s1031" style="width:59436;height:396;mso-wrap-style:square;position:absolute;top:396;visibility:visible;v-text-anchor:top" coordsize="5943600,39624" path="m,l5943600,l5943600,39624l,39624,,e" fillcolor="#010000" stroked="f">
                  <v:stroke joinstyle="miter"/>
                  <v:path arrowok="t" textboxrect="0,0,5943600,39624"/>
                </v:shape>
                <v:shape id="Shape 455598" o:spid="_x0000_s1032" style="width:59436;height:198;mso-wrap-style:square;position:absolute;visibility:visible;v-text-anchor:top" coordsize="5943600,19812" path="m,l5943600,l5943600,19812l,19812,,e" fillcolor="#010000" stroked="f">
                  <v:stroke joinstyle="miter"/>
                  <v:path arrowok="t" textboxrect="0,0,5943600,19812"/>
                </v:shape>
                <w10:wrap type="none"/>
                <w10:anchorlock/>
              </v:group>
            </w:pict>
          </mc:Fallback>
        </mc:AlternateContent>
      </w:r>
    </w:p>
    <w:p w:rsidR="00424A89" w:rsidP="00424A89" w14:paraId="5078726F" w14:textId="77777777">
      <w:pPr>
        <w:spacing w:after="18" w:line="259" w:lineRule="auto"/>
      </w:pPr>
    </w:p>
    <w:p w:rsidR="00424A89" w:rsidP="00424A89" w14:paraId="37CAE86A" w14:textId="77777777">
      <w:pPr>
        <w:spacing w:after="19" w:line="259" w:lineRule="auto"/>
      </w:pPr>
    </w:p>
    <w:p w:rsidR="00643AE5" w:rsidP="00424A89" w14:paraId="7E42F4AF" w14:textId="77777777">
      <w:pPr>
        <w:spacing w:after="19" w:line="259" w:lineRule="auto"/>
      </w:pPr>
    </w:p>
    <w:p w:rsidR="00424A89" w:rsidP="00424A89" w14:paraId="69B1D708" w14:textId="77777777">
      <w:pPr>
        <w:spacing w:after="111" w:line="259" w:lineRule="auto"/>
        <w:rPr>
          <w:rFonts w:ascii="Arial" w:eastAsia="Arial" w:hAnsi="Arial" w:cs="Arial"/>
          <w:b/>
          <w:color w:val="000000"/>
          <w:kern w:val="2"/>
          <w:sz w:val="32"/>
          <w14:ligatures w14:val="standardContextual"/>
        </w:rPr>
      </w:pPr>
      <w:r>
        <w:rPr>
          <w:rFonts w:ascii="Arial" w:eastAsia="Arial" w:hAnsi="Arial" w:cs="Arial"/>
          <w:b/>
          <w:color w:val="000000"/>
          <w:kern w:val="2"/>
          <w:sz w:val="32"/>
          <w14:ligatures w14:val="standardContextual"/>
        </w:rPr>
        <w:t>Volume</w:t>
      </w:r>
      <w:r w:rsidRPr="00673D48" w:rsidR="00673D48">
        <w:rPr>
          <w:rFonts w:ascii="Arial" w:eastAsia="Arial" w:hAnsi="Arial" w:cs="Arial"/>
          <w:b/>
          <w:color w:val="000000"/>
          <w:kern w:val="2"/>
          <w:sz w:val="32"/>
          <w14:ligatures w14:val="standardContextual"/>
        </w:rPr>
        <w:t xml:space="preserve"> #1 – </w:t>
      </w:r>
      <w:r w:rsidR="001704D3">
        <w:rPr>
          <w:rFonts w:ascii="Arial" w:eastAsia="Arial" w:hAnsi="Arial" w:cs="Arial"/>
          <w:b/>
          <w:color w:val="000000"/>
          <w:kern w:val="2"/>
          <w:sz w:val="32"/>
          <w14:ligatures w14:val="standardContextual"/>
        </w:rPr>
        <w:t xml:space="preserve">Response to </w:t>
      </w:r>
      <w:r w:rsidR="00673D48">
        <w:rPr>
          <w:rFonts w:ascii="Arial" w:eastAsia="Arial" w:hAnsi="Arial" w:cs="Arial"/>
          <w:b/>
          <w:color w:val="000000"/>
          <w:kern w:val="2"/>
          <w:sz w:val="32"/>
          <w14:ligatures w14:val="standardContextual"/>
        </w:rPr>
        <w:t xml:space="preserve">Comments </w:t>
      </w:r>
      <w:r w:rsidR="00C87CB2">
        <w:rPr>
          <w:rFonts w:ascii="Arial" w:eastAsia="Arial" w:hAnsi="Arial" w:cs="Arial"/>
          <w:b/>
          <w:color w:val="000000"/>
          <w:kern w:val="2"/>
          <w:sz w:val="32"/>
          <w14:ligatures w14:val="standardContextual"/>
        </w:rPr>
        <w:t xml:space="preserve">on 10 CFR </w:t>
      </w:r>
      <w:r w:rsidRPr="00673D48" w:rsidR="00673D48">
        <w:rPr>
          <w:rFonts w:ascii="Arial" w:eastAsia="Arial" w:hAnsi="Arial" w:cs="Arial"/>
          <w:b/>
          <w:color w:val="000000"/>
          <w:kern w:val="2"/>
          <w:sz w:val="32"/>
          <w14:ligatures w14:val="standardContextual"/>
        </w:rPr>
        <w:t>Part 53</w:t>
      </w:r>
    </w:p>
    <w:p w:rsidR="00643AE5" w:rsidP="00424A89" w14:paraId="669338AD" w14:textId="77777777">
      <w:pPr>
        <w:spacing w:after="111" w:line="259" w:lineRule="auto"/>
        <w:rPr>
          <w:rFonts w:ascii="Arial" w:eastAsia="Arial" w:hAnsi="Arial" w:cs="Arial"/>
          <w:b/>
          <w:color w:val="000000"/>
          <w:kern w:val="2"/>
          <w:sz w:val="32"/>
          <w14:ligatures w14:val="standardContextual"/>
        </w:rPr>
      </w:pPr>
    </w:p>
    <w:p w:rsidR="00673D48" w:rsidRPr="00643AE5" w:rsidP="00424A89" w14:paraId="38F23ED5" w14:textId="77777777">
      <w:pPr>
        <w:spacing w:after="111" w:line="259" w:lineRule="auto"/>
        <w:rPr>
          <w:rFonts w:ascii="Arial" w:hAnsi="Arial" w:cs="Arial"/>
          <w:sz w:val="28"/>
          <w:szCs w:val="28"/>
        </w:rPr>
      </w:pPr>
    </w:p>
    <w:p w:rsidR="00424A89" w:rsidRPr="005801F3" w:rsidP="005801F3" w14:paraId="40614021" w14:textId="77777777">
      <w:pPr>
        <w:rPr>
          <w:rFonts w:ascii="Arial" w:hAnsi="Arial" w:cs="Arial"/>
          <w:b/>
          <w:bCs/>
          <w:sz w:val="28"/>
          <w:szCs w:val="28"/>
        </w:rPr>
      </w:pPr>
      <w:r w:rsidRPr="005801F3">
        <w:rPr>
          <w:rFonts w:ascii="Arial" w:hAnsi="Arial" w:cs="Arial"/>
          <w:b/>
          <w:bCs/>
          <w:sz w:val="28"/>
          <w:szCs w:val="28"/>
        </w:rPr>
        <w:t>U.S. Nuclear Regulatory Commission</w:t>
      </w:r>
    </w:p>
    <w:p w:rsidR="00424A89" w:rsidRPr="00643AE5" w:rsidP="00424A89" w14:paraId="6DE60827" w14:textId="77777777">
      <w:pPr>
        <w:spacing w:line="259" w:lineRule="auto"/>
        <w:ind w:left="-5"/>
        <w:rPr>
          <w:rFonts w:ascii="Arial" w:hAnsi="Arial" w:cs="Arial"/>
          <w:sz w:val="28"/>
          <w:szCs w:val="28"/>
        </w:rPr>
      </w:pPr>
      <w:r w:rsidRPr="00643AE5">
        <w:rPr>
          <w:rFonts w:ascii="Arial" w:hAnsi="Arial" w:cs="Arial"/>
          <w:sz w:val="28"/>
          <w:szCs w:val="28"/>
        </w:rPr>
        <w:t>Office of Nuclear Reactor Regulation</w:t>
      </w:r>
    </w:p>
    <w:p w:rsidR="00424A89" w:rsidP="00424A89" w14:paraId="2CD3BC07" w14:textId="77777777">
      <w:pPr>
        <w:spacing w:line="259" w:lineRule="auto"/>
        <w:ind w:left="-5"/>
        <w:rPr>
          <w:rFonts w:ascii="Arial" w:hAnsi="Arial" w:cs="Arial"/>
          <w:sz w:val="28"/>
          <w:szCs w:val="28"/>
        </w:rPr>
      </w:pPr>
      <w:r w:rsidRPr="00643AE5">
        <w:rPr>
          <w:rFonts w:ascii="Arial" w:hAnsi="Arial" w:cs="Arial"/>
          <w:sz w:val="28"/>
          <w:szCs w:val="28"/>
        </w:rPr>
        <w:t>Office of Nuclear S</w:t>
      </w:r>
      <w:r w:rsidR="000C40DB">
        <w:rPr>
          <w:rFonts w:ascii="Arial" w:hAnsi="Arial" w:cs="Arial"/>
          <w:sz w:val="28"/>
          <w:szCs w:val="28"/>
        </w:rPr>
        <w:t>ecurity</w:t>
      </w:r>
      <w:r w:rsidRPr="00643AE5">
        <w:rPr>
          <w:rFonts w:ascii="Arial" w:hAnsi="Arial" w:cs="Arial"/>
          <w:sz w:val="28"/>
          <w:szCs w:val="28"/>
        </w:rPr>
        <w:t xml:space="preserve"> and Incident Response</w:t>
      </w:r>
    </w:p>
    <w:p w:rsidR="001272A9" w:rsidRPr="00643AE5" w:rsidP="00424A89" w14:paraId="51E115C2" w14:textId="77777777">
      <w:pPr>
        <w:spacing w:line="259" w:lineRule="auto"/>
        <w:ind w:left="-5"/>
        <w:rPr>
          <w:rFonts w:ascii="Arial" w:hAnsi="Arial" w:cs="Arial"/>
          <w:sz w:val="28"/>
          <w:szCs w:val="28"/>
        </w:rPr>
      </w:pPr>
      <w:r>
        <w:rPr>
          <w:rFonts w:ascii="Arial" w:hAnsi="Arial" w:cs="Arial"/>
          <w:sz w:val="28"/>
          <w:szCs w:val="28"/>
        </w:rPr>
        <w:t>Office of Nuclear Material Safety and Safeguards</w:t>
      </w:r>
    </w:p>
    <w:p w:rsidR="00424A89" w:rsidRPr="00643AE5" w:rsidP="00424A89" w14:paraId="430C9CAD" w14:textId="77777777">
      <w:pPr>
        <w:spacing w:after="12" w:line="259" w:lineRule="auto"/>
        <w:rPr>
          <w:rFonts w:ascii="Arial" w:hAnsi="Arial" w:cs="Arial"/>
          <w:sz w:val="28"/>
          <w:szCs w:val="28"/>
        </w:rPr>
      </w:pPr>
    </w:p>
    <w:p w:rsidR="00424A89" w:rsidRPr="00643AE5" w:rsidP="00786F70" w14:paraId="55E37396" w14:textId="0F554180">
      <w:pPr>
        <w:spacing w:line="259" w:lineRule="auto"/>
        <w:ind w:left="-5"/>
        <w:rPr>
          <w:rFonts w:ascii="Arial" w:hAnsi="Arial" w:cs="Arial"/>
          <w:sz w:val="28"/>
          <w:szCs w:val="28"/>
        </w:rPr>
      </w:pPr>
      <w:r w:rsidRPr="00786F70">
        <w:rPr>
          <w:rFonts w:ascii="Arial" w:hAnsi="Arial" w:cs="Arial"/>
          <w:sz w:val="28"/>
          <w:szCs w:val="28"/>
        </w:rPr>
        <w:t>March 2026</w:t>
      </w:r>
    </w:p>
    <w:p w:rsidR="00AC1417" w:rsidRPr="00643AE5" w:rsidP="00324FB4" w14:paraId="11D61A10" w14:textId="77777777">
      <w:pPr>
        <w:spacing w:line="259" w:lineRule="auto"/>
        <w:rPr>
          <w:rFonts w:ascii="Arial" w:hAnsi="Arial" w:cs="Arial"/>
          <w:sz w:val="28"/>
          <w:szCs w:val="28"/>
        </w:rPr>
      </w:pPr>
      <w:r w:rsidRPr="00643AE5">
        <w:rPr>
          <w:rFonts w:ascii="Arial" w:hAnsi="Arial" w:cs="Arial"/>
          <w:sz w:val="28"/>
          <w:szCs w:val="28"/>
        </w:rPr>
        <w:br w:type="page"/>
      </w:r>
    </w:p>
    <w:p w:rsidR="00AC1417" w:rsidP="00B75A3F" w14:paraId="5DB27FBF" w14:textId="77777777">
      <w:pPr>
        <w:pStyle w:val="TOC1"/>
      </w:pPr>
    </w:p>
    <w:p w:rsidR="00AC1417" w:rsidP="00B75A3F" w14:paraId="23DBBB79" w14:textId="77777777">
      <w:pPr>
        <w:pStyle w:val="TOC1"/>
      </w:pPr>
    </w:p>
    <w:p w:rsidR="00AC1417" w:rsidP="00B75A3F" w14:paraId="3FB3D8D0" w14:textId="77777777">
      <w:pPr>
        <w:pStyle w:val="TOC1"/>
      </w:pPr>
    </w:p>
    <w:p w:rsidR="00AC1417" w:rsidP="00B75A3F" w14:paraId="719184D1" w14:textId="77777777">
      <w:pPr>
        <w:pStyle w:val="TOC1"/>
      </w:pPr>
    </w:p>
    <w:p w:rsidR="00AC1417" w:rsidP="00B75A3F" w14:paraId="76A13D49" w14:textId="77777777">
      <w:pPr>
        <w:pStyle w:val="TOC1"/>
      </w:pPr>
    </w:p>
    <w:p w:rsidR="00AC1417" w:rsidP="00B75A3F" w14:paraId="22B900FF" w14:textId="77777777">
      <w:pPr>
        <w:pStyle w:val="TOC1"/>
      </w:pPr>
    </w:p>
    <w:p w:rsidR="00AC1417" w:rsidRPr="004745C7" w:rsidP="00AC1417" w14:paraId="2E680AA2" w14:textId="77777777"/>
    <w:p w:rsidR="00AC1417" w:rsidP="00B75A3F" w14:paraId="686CB414" w14:textId="77777777">
      <w:pPr>
        <w:pStyle w:val="TOC1"/>
      </w:pPr>
    </w:p>
    <w:p w:rsidR="00AC1417" w:rsidP="00B75A3F" w14:paraId="2D454B31" w14:textId="77777777">
      <w:pPr>
        <w:pStyle w:val="TOC1"/>
      </w:pPr>
    </w:p>
    <w:p w:rsidR="00AC1417" w:rsidP="00B75A3F" w14:paraId="56626E2B" w14:textId="77777777">
      <w:pPr>
        <w:pStyle w:val="TOC1"/>
      </w:pPr>
    </w:p>
    <w:p w:rsidR="00AC1417" w:rsidP="00B75A3F" w14:paraId="19293985" w14:textId="77777777">
      <w:pPr>
        <w:pStyle w:val="TOC1"/>
      </w:pPr>
    </w:p>
    <w:p w:rsidR="00AC1417" w:rsidP="00B75A3F" w14:paraId="5D906B3F" w14:textId="77777777">
      <w:pPr>
        <w:pStyle w:val="TOC1"/>
      </w:pPr>
    </w:p>
    <w:p w:rsidR="00AC1417" w:rsidP="00B75A3F" w14:paraId="086F381E" w14:textId="77777777">
      <w:pPr>
        <w:pStyle w:val="TOC1"/>
      </w:pPr>
    </w:p>
    <w:p w:rsidR="00AC1417" w:rsidP="00B75A3F" w14:paraId="2DC87D6A" w14:textId="77777777">
      <w:pPr>
        <w:pStyle w:val="TOC1"/>
      </w:pPr>
    </w:p>
    <w:p w:rsidR="00AC1417" w:rsidP="00B75A3F" w14:paraId="7F800CEB" w14:textId="77777777">
      <w:pPr>
        <w:pStyle w:val="TOC1"/>
      </w:pPr>
    </w:p>
    <w:p w:rsidR="00AC1417" w:rsidRPr="001944B1" w:rsidP="00B75A3F" w14:paraId="6E7C8329" w14:textId="77777777">
      <w:pPr>
        <w:pStyle w:val="TOC1"/>
      </w:pPr>
    </w:p>
    <w:p w:rsidR="00AC1417" w:rsidRPr="001944B1" w:rsidP="00B75A3F" w14:paraId="39C0BC66" w14:textId="77777777">
      <w:pPr>
        <w:pStyle w:val="TOC1"/>
      </w:pPr>
    </w:p>
    <w:p w:rsidR="00AC1417" w:rsidRPr="001944B1" w:rsidP="00AC1417" w14:paraId="32085C50" w14:textId="77777777">
      <w:pPr>
        <w:autoSpaceDE w:val="0"/>
        <w:autoSpaceDN w:val="0"/>
        <w:adjustRightInd w:val="0"/>
        <w:jc w:val="center"/>
        <w:rPr>
          <w:rFonts w:ascii="Arial" w:hAnsi="Arial" w:cs="Arial"/>
          <w:b/>
          <w:sz w:val="22"/>
          <w:szCs w:val="22"/>
        </w:rPr>
      </w:pPr>
      <w:r w:rsidRPr="001944B1">
        <w:rPr>
          <w:rFonts w:ascii="Arial" w:hAnsi="Arial" w:cs="Arial"/>
          <w:b/>
          <w:sz w:val="22"/>
          <w:szCs w:val="22"/>
        </w:rPr>
        <w:t>This page intentionally left blank.</w:t>
      </w:r>
    </w:p>
    <w:p w:rsidR="001944B1" w:rsidP="00B75A3F" w14:paraId="05CA38F1" w14:textId="77777777">
      <w:pPr>
        <w:pStyle w:val="TOC1"/>
        <w:sectPr w:rsidSect="00AB11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p>
    <w:p w:rsidR="00AC1417" w:rsidRPr="00B75A3F" w:rsidP="00B75A3F" w14:paraId="39F71ACA" w14:textId="77777777">
      <w:pPr>
        <w:pStyle w:val="TOC1"/>
      </w:pPr>
      <w:r w:rsidRPr="00B75A3F">
        <w:t>Acronyms and Abbreviations</w:t>
      </w:r>
    </w:p>
    <w:p w:rsidR="00A03576" w:rsidRPr="007D3DFD" w:rsidP="00A03576" w14:paraId="57CB9BC9" w14:textId="77777777">
      <w:pPr>
        <w:spacing w:line="259" w:lineRule="auto"/>
        <w:rPr>
          <w:rFonts w:ascii="Arial" w:eastAsia="Calibri" w:hAnsi="Arial" w:cs="Arial"/>
          <w:sz w:val="22"/>
          <w:szCs w:val="22"/>
        </w:rPr>
      </w:pPr>
      <w:r w:rsidRPr="004C0F8B">
        <w:rPr>
          <w:rFonts w:ascii="Arial" w:eastAsia="Calibri" w:hAnsi="Arial" w:cs="Arial"/>
          <w:sz w:val="22"/>
          <w:szCs w:val="22"/>
        </w:rPr>
        <w:t>ACI</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American Concrete Institute</w:t>
      </w:r>
    </w:p>
    <w:p w:rsidR="00A03576" w:rsidRPr="007D3DFD" w:rsidP="00A03576" w14:paraId="39245725" w14:textId="77777777">
      <w:pPr>
        <w:spacing w:line="259" w:lineRule="auto"/>
        <w:rPr>
          <w:rFonts w:ascii="Arial" w:eastAsia="Calibri" w:hAnsi="Arial" w:cs="Arial"/>
          <w:sz w:val="22"/>
          <w:szCs w:val="22"/>
        </w:rPr>
      </w:pPr>
      <w:r w:rsidRPr="004C0F8B">
        <w:rPr>
          <w:rFonts w:ascii="Arial" w:eastAsia="Calibri" w:hAnsi="Arial" w:cs="Arial"/>
          <w:sz w:val="22"/>
          <w:szCs w:val="22"/>
        </w:rPr>
        <w:t>ACRS</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Advisory Committee on Reactor Safeguards</w:t>
      </w:r>
    </w:p>
    <w:p w:rsidR="00A03576" w:rsidRPr="007D3DFD" w:rsidP="00A03576" w14:paraId="422FFA36" w14:textId="77777777">
      <w:pPr>
        <w:spacing w:line="259" w:lineRule="auto"/>
        <w:rPr>
          <w:rFonts w:ascii="Arial" w:eastAsia="Calibri" w:hAnsi="Arial" w:cs="Arial"/>
          <w:sz w:val="22"/>
          <w:szCs w:val="22"/>
        </w:rPr>
      </w:pPr>
      <w:r w:rsidRPr="004C0F8B">
        <w:rPr>
          <w:rFonts w:ascii="Arial" w:eastAsia="Calibri" w:hAnsi="Arial" w:cs="Arial"/>
          <w:sz w:val="22"/>
          <w:szCs w:val="22"/>
        </w:rPr>
        <w:t>ADAMS</w:t>
      </w:r>
      <w:r w:rsidRPr="007D3DFD">
        <w:rPr>
          <w:rFonts w:ascii="Arial" w:eastAsia="Calibri" w:hAnsi="Arial" w:cs="Arial"/>
          <w:sz w:val="22"/>
          <w:szCs w:val="22"/>
        </w:rPr>
        <w:t xml:space="preserve"> </w:t>
      </w:r>
      <w:r w:rsidR="00A22586">
        <w:rPr>
          <w:rFonts w:ascii="Arial" w:eastAsia="Calibri" w:hAnsi="Arial" w:cs="Arial"/>
          <w:sz w:val="22"/>
          <w:szCs w:val="22"/>
        </w:rPr>
        <w:tab/>
      </w:r>
      <w:r w:rsidRPr="007D3DFD">
        <w:rPr>
          <w:rFonts w:ascii="Arial" w:eastAsia="Calibri" w:hAnsi="Arial" w:cs="Arial"/>
          <w:sz w:val="22"/>
          <w:szCs w:val="22"/>
        </w:rPr>
        <w:t xml:space="preserve"> </w:t>
      </w:r>
      <w:r w:rsidR="00A22586">
        <w:rPr>
          <w:rFonts w:ascii="Arial" w:eastAsia="Calibri" w:hAnsi="Arial" w:cs="Arial"/>
          <w:sz w:val="22"/>
          <w:szCs w:val="22"/>
        </w:rPr>
        <w:tab/>
      </w:r>
      <w:r w:rsidRPr="007D3DFD">
        <w:rPr>
          <w:rFonts w:ascii="Arial" w:eastAsia="Calibri" w:hAnsi="Arial" w:cs="Arial"/>
          <w:sz w:val="22"/>
          <w:szCs w:val="22"/>
        </w:rPr>
        <w:t>Agencywide Documents Access and Management System</w:t>
      </w:r>
    </w:p>
    <w:p w:rsidR="00A03576" w:rsidRPr="007D3DFD" w:rsidP="004C0F8B" w14:paraId="459EC64E" w14:textId="77777777">
      <w:pPr>
        <w:spacing w:line="259" w:lineRule="auto"/>
        <w:ind w:left="2160" w:hanging="2160"/>
        <w:rPr>
          <w:rFonts w:ascii="Arial" w:eastAsia="Calibri" w:hAnsi="Arial" w:cs="Arial"/>
          <w:sz w:val="22"/>
          <w:szCs w:val="22"/>
        </w:rPr>
      </w:pPr>
      <w:r w:rsidRPr="004C0F8B">
        <w:rPr>
          <w:rFonts w:ascii="Arial" w:eastAsia="Calibri" w:hAnsi="Arial" w:cs="Arial"/>
          <w:sz w:val="22"/>
          <w:szCs w:val="22"/>
        </w:rPr>
        <w:t>ADVANCE</w:t>
      </w:r>
      <w:r w:rsidRPr="004C0F8B" w:rsidR="005B1C2F">
        <w:rPr>
          <w:rFonts w:ascii="Arial" w:eastAsia="Calibri" w:hAnsi="Arial" w:cs="Arial"/>
          <w:sz w:val="22"/>
          <w:szCs w:val="22"/>
        </w:rPr>
        <w:t xml:space="preserve"> </w:t>
      </w:r>
      <w:r w:rsidRPr="004C0F8B" w:rsidR="005B1C2F">
        <w:rPr>
          <w:rFonts w:ascii="Arial" w:eastAsia="Calibri" w:hAnsi="Arial" w:cs="Arial"/>
          <w:bCs/>
          <w:sz w:val="22"/>
          <w:szCs w:val="22"/>
        </w:rPr>
        <w:t>A</w:t>
      </w:r>
      <w:r w:rsidRPr="004C0F8B" w:rsidR="00824B38">
        <w:rPr>
          <w:rFonts w:ascii="Arial" w:eastAsia="Calibri" w:hAnsi="Arial" w:cs="Arial"/>
          <w:bCs/>
          <w:sz w:val="22"/>
          <w:szCs w:val="22"/>
        </w:rPr>
        <w:t>ct</w:t>
      </w:r>
      <w:r w:rsidRPr="007D3DFD">
        <w:rPr>
          <w:rFonts w:ascii="Arial" w:eastAsia="Calibri" w:hAnsi="Arial" w:cs="Arial"/>
          <w:sz w:val="22"/>
          <w:szCs w:val="22"/>
        </w:rPr>
        <w:t xml:space="preserve">  </w:t>
      </w:r>
      <w:r w:rsidR="00A22586">
        <w:rPr>
          <w:rFonts w:ascii="Arial" w:eastAsia="Calibri" w:hAnsi="Arial" w:cs="Arial"/>
          <w:sz w:val="22"/>
          <w:szCs w:val="22"/>
        </w:rPr>
        <w:tab/>
      </w:r>
      <w:r w:rsidRPr="007D3DFD">
        <w:rPr>
          <w:rFonts w:ascii="Arial" w:eastAsia="Calibri" w:hAnsi="Arial" w:cs="Arial"/>
          <w:sz w:val="22"/>
          <w:szCs w:val="22"/>
        </w:rPr>
        <w:t>Accelerating Deployment of Versatile, Advanced Nuclear for Clean Energy Act of 2024</w:t>
      </w:r>
    </w:p>
    <w:p w:rsidR="00A03576" w:rsidRPr="007D3DFD" w:rsidP="00A03576" w14:paraId="772A6C42" w14:textId="77777777">
      <w:pPr>
        <w:spacing w:line="259" w:lineRule="auto"/>
        <w:rPr>
          <w:rFonts w:ascii="Arial" w:eastAsia="Calibri" w:hAnsi="Arial" w:cs="Arial"/>
          <w:sz w:val="22"/>
          <w:szCs w:val="22"/>
        </w:rPr>
      </w:pPr>
      <w:r w:rsidRPr="004C0F8B">
        <w:rPr>
          <w:rFonts w:ascii="Arial" w:eastAsia="Calibri" w:hAnsi="Arial" w:cs="Arial"/>
          <w:sz w:val="22"/>
          <w:szCs w:val="22"/>
        </w:rPr>
        <w:t>AEA</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Atomic Energy Act of 1954, as amended</w:t>
      </w:r>
    </w:p>
    <w:p w:rsidR="00A03576" w:rsidRPr="007D3DFD" w:rsidP="00A03576" w14:paraId="31881C95" w14:textId="77777777">
      <w:pPr>
        <w:spacing w:line="259" w:lineRule="auto"/>
        <w:rPr>
          <w:rFonts w:ascii="Arial" w:eastAsia="Calibri" w:hAnsi="Arial" w:cs="Arial"/>
          <w:sz w:val="22"/>
          <w:szCs w:val="22"/>
        </w:rPr>
      </w:pPr>
      <w:r w:rsidRPr="004C0F8B">
        <w:rPr>
          <w:rFonts w:ascii="Arial" w:eastAsia="Calibri" w:hAnsi="Arial" w:cs="Arial"/>
          <w:sz w:val="22"/>
          <w:szCs w:val="22"/>
        </w:rPr>
        <w:t>AERI</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alternative evaluation of risk insights</w:t>
      </w:r>
    </w:p>
    <w:p w:rsidR="00A03576" w:rsidRPr="007D3DFD" w:rsidP="00A03576" w14:paraId="4DBD5CAA" w14:textId="77777777">
      <w:pPr>
        <w:spacing w:line="259" w:lineRule="auto"/>
        <w:rPr>
          <w:rFonts w:ascii="Arial" w:eastAsia="Calibri" w:hAnsi="Arial" w:cs="Arial"/>
          <w:sz w:val="22"/>
          <w:szCs w:val="22"/>
        </w:rPr>
      </w:pPr>
      <w:r w:rsidRPr="004C0F8B">
        <w:rPr>
          <w:rFonts w:ascii="Arial" w:eastAsia="Calibri" w:hAnsi="Arial" w:cs="Arial"/>
          <w:sz w:val="22"/>
          <w:szCs w:val="22"/>
        </w:rPr>
        <w:t>AI</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Artificial Intelligence</w:t>
      </w:r>
    </w:p>
    <w:p w:rsidR="00A03576" w:rsidRPr="007D3DFD" w:rsidP="00A03576" w14:paraId="7498CC1B" w14:textId="77777777">
      <w:pPr>
        <w:spacing w:line="259" w:lineRule="auto"/>
        <w:rPr>
          <w:rFonts w:ascii="Arial" w:eastAsia="Calibri" w:hAnsi="Arial" w:cs="Arial"/>
          <w:sz w:val="22"/>
          <w:szCs w:val="22"/>
        </w:rPr>
      </w:pPr>
      <w:r w:rsidRPr="004C0F8B">
        <w:rPr>
          <w:rFonts w:ascii="Arial" w:eastAsia="Calibri" w:hAnsi="Arial" w:cs="Arial"/>
          <w:sz w:val="22"/>
          <w:szCs w:val="22"/>
        </w:rPr>
        <w:t>AIPT</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adversary interference preclu</w:t>
      </w:r>
      <w:r w:rsidR="0073004A">
        <w:rPr>
          <w:rFonts w:ascii="Arial" w:eastAsia="Calibri" w:hAnsi="Arial" w:cs="Arial"/>
          <w:sz w:val="22"/>
          <w:szCs w:val="22"/>
        </w:rPr>
        <w:t>ded</w:t>
      </w:r>
      <w:r w:rsidRPr="007D3DFD">
        <w:rPr>
          <w:rFonts w:ascii="Arial" w:eastAsia="Calibri" w:hAnsi="Arial" w:cs="Arial"/>
          <w:sz w:val="22"/>
          <w:szCs w:val="22"/>
        </w:rPr>
        <w:t xml:space="preserve"> time </w:t>
      </w:r>
    </w:p>
    <w:p w:rsidR="00A03576" w:rsidRPr="007D3DFD" w:rsidP="00A03576" w14:paraId="24DB2CA9" w14:textId="77777777">
      <w:pPr>
        <w:spacing w:line="259" w:lineRule="auto"/>
        <w:rPr>
          <w:rFonts w:ascii="Arial" w:eastAsia="Calibri" w:hAnsi="Arial" w:cs="Arial"/>
          <w:sz w:val="22"/>
          <w:szCs w:val="22"/>
        </w:rPr>
      </w:pPr>
      <w:r w:rsidRPr="004C0F8B">
        <w:rPr>
          <w:rFonts w:ascii="Arial" w:eastAsia="Calibri" w:hAnsi="Arial" w:cs="Arial"/>
          <w:sz w:val="22"/>
          <w:szCs w:val="22"/>
        </w:rPr>
        <w:t>AISC</w:t>
      </w:r>
      <w:r w:rsidRPr="007D3DFD">
        <w:rPr>
          <w:rFonts w:ascii="Arial" w:eastAsia="Calibri" w:hAnsi="Arial" w:cs="Arial"/>
          <w:sz w:val="22"/>
          <w:szCs w:val="22"/>
        </w:rPr>
        <w:t xml:space="preserve">  </w:t>
      </w:r>
      <w:r w:rsidR="00A22586">
        <w:rPr>
          <w:rFonts w:ascii="Arial" w:eastAsia="Calibri" w:hAnsi="Arial" w:cs="Arial"/>
          <w:sz w:val="22"/>
          <w:szCs w:val="22"/>
        </w:rPr>
        <w:tab/>
      </w:r>
      <w:r w:rsidR="00A22586">
        <w:rPr>
          <w:rFonts w:ascii="Arial" w:eastAsia="Calibri" w:hAnsi="Arial" w:cs="Arial"/>
          <w:sz w:val="22"/>
          <w:szCs w:val="22"/>
        </w:rPr>
        <w:tab/>
      </w:r>
      <w:r w:rsidR="00A22586">
        <w:rPr>
          <w:rFonts w:ascii="Arial" w:eastAsia="Calibri" w:hAnsi="Arial" w:cs="Arial"/>
          <w:sz w:val="22"/>
          <w:szCs w:val="22"/>
        </w:rPr>
        <w:tab/>
      </w:r>
      <w:r w:rsidRPr="007D3DFD">
        <w:rPr>
          <w:rFonts w:ascii="Arial" w:eastAsia="Calibri" w:hAnsi="Arial" w:cs="Arial"/>
          <w:sz w:val="22"/>
          <w:szCs w:val="22"/>
        </w:rPr>
        <w:t>American Institute of Steel Construction</w:t>
      </w:r>
    </w:p>
    <w:p w:rsidR="00A03576" w:rsidRPr="007D3DFD" w:rsidP="00A03576" w14:paraId="074D04D2" w14:textId="77777777">
      <w:pPr>
        <w:spacing w:line="259" w:lineRule="auto"/>
        <w:rPr>
          <w:rFonts w:ascii="Arial" w:eastAsia="Calibri" w:hAnsi="Arial" w:cs="Arial"/>
          <w:sz w:val="22"/>
          <w:szCs w:val="22"/>
        </w:rPr>
      </w:pPr>
      <w:r w:rsidRPr="004C0F8B">
        <w:rPr>
          <w:rFonts w:ascii="Arial" w:eastAsia="Calibri" w:hAnsi="Arial" w:cs="Arial"/>
          <w:sz w:val="22"/>
          <w:szCs w:val="22"/>
        </w:rPr>
        <w:t>ALARA</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as low as (is) reasonably achievable</w:t>
      </w:r>
    </w:p>
    <w:p w:rsidR="00A03576" w:rsidRPr="007D3DFD" w:rsidP="00A03576" w14:paraId="30BEB353" w14:textId="77777777">
      <w:pPr>
        <w:spacing w:line="259" w:lineRule="auto"/>
        <w:rPr>
          <w:rFonts w:ascii="Arial" w:eastAsia="Calibri" w:hAnsi="Arial" w:cs="Arial"/>
          <w:sz w:val="22"/>
          <w:szCs w:val="22"/>
        </w:rPr>
      </w:pPr>
      <w:r w:rsidRPr="004C0F8B">
        <w:rPr>
          <w:rFonts w:ascii="Arial" w:eastAsia="Calibri" w:hAnsi="Arial" w:cs="Arial"/>
          <w:sz w:val="22"/>
          <w:szCs w:val="22"/>
        </w:rPr>
        <w:t>ANS</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American Nuclear Society</w:t>
      </w:r>
    </w:p>
    <w:p w:rsidR="00A03576" w:rsidRPr="007D3DFD" w:rsidP="00A03576" w14:paraId="1EF23220" w14:textId="77777777">
      <w:pPr>
        <w:spacing w:line="259" w:lineRule="auto"/>
        <w:rPr>
          <w:rFonts w:ascii="Arial" w:eastAsia="Calibri" w:hAnsi="Arial" w:cs="Arial"/>
          <w:sz w:val="22"/>
          <w:szCs w:val="22"/>
        </w:rPr>
      </w:pPr>
      <w:r w:rsidRPr="004C0F8B">
        <w:rPr>
          <w:rFonts w:ascii="Arial" w:eastAsia="Calibri" w:hAnsi="Arial" w:cs="Arial"/>
          <w:sz w:val="22"/>
          <w:szCs w:val="22"/>
        </w:rPr>
        <w:t>ANSI</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American National Standards Institute</w:t>
      </w:r>
    </w:p>
    <w:p w:rsidR="00A03576" w:rsidRPr="007D3DFD" w:rsidP="00A03576" w14:paraId="4C79A73A" w14:textId="77777777">
      <w:pPr>
        <w:spacing w:line="259" w:lineRule="auto"/>
        <w:rPr>
          <w:rFonts w:ascii="Arial" w:eastAsia="Calibri" w:hAnsi="Arial" w:cs="Arial"/>
          <w:sz w:val="22"/>
          <w:szCs w:val="22"/>
        </w:rPr>
      </w:pPr>
      <w:r w:rsidRPr="004C0F8B">
        <w:rPr>
          <w:rFonts w:ascii="Arial" w:eastAsia="Calibri" w:hAnsi="Arial" w:cs="Arial"/>
          <w:sz w:val="22"/>
          <w:szCs w:val="22"/>
        </w:rPr>
        <w:t>AOO</w:t>
      </w:r>
      <w:r w:rsidR="005B1C2F">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anticipated operational </w:t>
      </w:r>
      <w:r w:rsidRPr="004C0F8B" w:rsidR="00F3799B">
        <w:rPr>
          <w:rFonts w:ascii="Arial" w:eastAsia="Calibri" w:hAnsi="Arial" w:cs="Arial"/>
          <w:bCs/>
          <w:sz w:val="22"/>
          <w:szCs w:val="22"/>
        </w:rPr>
        <w:t>occurrence</w:t>
      </w:r>
    </w:p>
    <w:p w:rsidR="00A03576" w:rsidRPr="007D3DFD" w:rsidP="00A03576" w14:paraId="72113F59" w14:textId="77777777">
      <w:pPr>
        <w:spacing w:line="259" w:lineRule="auto"/>
        <w:rPr>
          <w:rFonts w:ascii="Arial" w:eastAsia="Calibri" w:hAnsi="Arial" w:cs="Arial"/>
          <w:sz w:val="22"/>
          <w:szCs w:val="22"/>
        </w:rPr>
      </w:pPr>
      <w:r w:rsidRPr="004C0F8B">
        <w:rPr>
          <w:rFonts w:ascii="Arial" w:eastAsia="Calibri" w:hAnsi="Arial" w:cs="Arial"/>
          <w:sz w:val="22"/>
          <w:szCs w:val="22"/>
        </w:rPr>
        <w:t>APA</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Administrative Procedure Act</w:t>
      </w:r>
    </w:p>
    <w:p w:rsidR="00A03576" w:rsidRPr="007D3DFD" w:rsidP="00A03576" w14:paraId="1AB82D06" w14:textId="77777777">
      <w:pPr>
        <w:spacing w:line="259" w:lineRule="auto"/>
        <w:rPr>
          <w:rFonts w:ascii="Arial" w:eastAsia="Calibri" w:hAnsi="Arial" w:cs="Arial"/>
          <w:sz w:val="22"/>
          <w:szCs w:val="22"/>
        </w:rPr>
      </w:pPr>
      <w:r w:rsidRPr="004C0F8B">
        <w:rPr>
          <w:rFonts w:ascii="Arial" w:eastAsia="Calibri" w:hAnsi="Arial" w:cs="Arial"/>
          <w:sz w:val="22"/>
          <w:szCs w:val="22"/>
        </w:rPr>
        <w:t>ARAR</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Applicable or Relevant and Appropriate Requirements</w:t>
      </w:r>
    </w:p>
    <w:p w:rsidR="00A03576" w:rsidRPr="007D3DFD" w:rsidP="00A03576" w14:paraId="26A4040A" w14:textId="77777777">
      <w:pPr>
        <w:spacing w:line="259" w:lineRule="auto"/>
        <w:rPr>
          <w:rFonts w:ascii="Arial" w:eastAsia="Calibri" w:hAnsi="Arial" w:cs="Arial"/>
          <w:sz w:val="22"/>
          <w:szCs w:val="22"/>
        </w:rPr>
      </w:pPr>
      <w:r w:rsidRPr="004C0F8B">
        <w:rPr>
          <w:rFonts w:ascii="Arial" w:eastAsia="Calibri" w:hAnsi="Arial" w:cs="Arial"/>
          <w:sz w:val="22"/>
          <w:szCs w:val="22"/>
        </w:rPr>
        <w:t>ARCAP</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Advanced Reactor Content of Application Project </w:t>
      </w:r>
    </w:p>
    <w:p w:rsidR="00A03576" w:rsidRPr="007D3DFD" w:rsidP="00A03576" w14:paraId="7D3BCAB2" w14:textId="77777777">
      <w:pPr>
        <w:spacing w:line="259" w:lineRule="auto"/>
        <w:rPr>
          <w:rFonts w:ascii="Arial" w:eastAsia="Calibri" w:hAnsi="Arial" w:cs="Arial"/>
          <w:sz w:val="22"/>
          <w:szCs w:val="22"/>
        </w:rPr>
      </w:pPr>
      <w:r w:rsidRPr="004C0F8B">
        <w:rPr>
          <w:rFonts w:ascii="Arial" w:eastAsia="Calibri" w:hAnsi="Arial" w:cs="Arial"/>
          <w:sz w:val="22"/>
          <w:szCs w:val="22"/>
        </w:rPr>
        <w:t>ARDC</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advanced reactor design criteria </w:t>
      </w:r>
    </w:p>
    <w:p w:rsidR="00A03576" w:rsidRPr="007D3DFD" w:rsidP="00A03576" w14:paraId="79DC1169" w14:textId="77777777">
      <w:pPr>
        <w:spacing w:line="259" w:lineRule="auto"/>
        <w:rPr>
          <w:rFonts w:ascii="Arial" w:eastAsia="Calibri" w:hAnsi="Arial" w:cs="Arial"/>
          <w:sz w:val="22"/>
          <w:szCs w:val="22"/>
        </w:rPr>
      </w:pPr>
      <w:r w:rsidRPr="004C0F8B">
        <w:rPr>
          <w:rFonts w:ascii="Arial" w:eastAsia="Calibri" w:hAnsi="Arial" w:cs="Arial"/>
          <w:sz w:val="22"/>
          <w:szCs w:val="22"/>
        </w:rPr>
        <w:t>ASCE</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American Society of Civil Engineers</w:t>
      </w:r>
    </w:p>
    <w:p w:rsidR="00A03576" w:rsidRPr="007D3DFD" w:rsidP="00A03576" w14:paraId="0A94E800" w14:textId="77777777">
      <w:pPr>
        <w:spacing w:line="259" w:lineRule="auto"/>
        <w:rPr>
          <w:rFonts w:ascii="Arial" w:eastAsia="Calibri" w:hAnsi="Arial" w:cs="Arial"/>
          <w:sz w:val="22"/>
          <w:szCs w:val="22"/>
        </w:rPr>
      </w:pPr>
      <w:r w:rsidRPr="004C0F8B">
        <w:rPr>
          <w:rFonts w:ascii="Arial" w:eastAsia="Calibri" w:hAnsi="Arial" w:cs="Arial"/>
          <w:sz w:val="22"/>
          <w:szCs w:val="22"/>
        </w:rPr>
        <w:t>ASME</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American Society of Mechanical Engineers</w:t>
      </w:r>
    </w:p>
    <w:p w:rsidR="00A03576" w:rsidRPr="007D3DFD" w:rsidP="00A03576" w14:paraId="0D950F69" w14:textId="77777777">
      <w:pPr>
        <w:spacing w:line="259" w:lineRule="auto"/>
        <w:rPr>
          <w:rFonts w:ascii="Arial" w:eastAsia="Calibri" w:hAnsi="Arial" w:cs="Arial"/>
          <w:sz w:val="22"/>
          <w:szCs w:val="22"/>
        </w:rPr>
      </w:pPr>
      <w:r w:rsidRPr="004C0F8B">
        <w:rPr>
          <w:rFonts w:ascii="Arial" w:eastAsia="Calibri" w:hAnsi="Arial" w:cs="Arial"/>
          <w:sz w:val="22"/>
          <w:szCs w:val="22"/>
        </w:rPr>
        <w:t>BDBE</w:t>
      </w:r>
      <w:r w:rsidRPr="007D3DFD">
        <w:rPr>
          <w:rFonts w:ascii="Arial" w:eastAsia="Calibri" w:hAnsi="Arial" w:cs="Arial"/>
          <w:sz w:val="22"/>
          <w:szCs w:val="22"/>
        </w:rPr>
        <w:tab/>
      </w:r>
      <w:r w:rsidR="00F3799B">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beyond-design-basis event </w:t>
      </w:r>
    </w:p>
    <w:p w:rsidR="00A03576" w:rsidRPr="007D3DFD" w:rsidP="00A03576" w14:paraId="2A7CE698" w14:textId="77777777">
      <w:pPr>
        <w:spacing w:line="259" w:lineRule="auto"/>
        <w:rPr>
          <w:rFonts w:ascii="Arial" w:eastAsia="Calibri" w:hAnsi="Arial" w:cs="Arial"/>
          <w:sz w:val="22"/>
          <w:szCs w:val="22"/>
        </w:rPr>
      </w:pPr>
      <w:r w:rsidRPr="004C0F8B">
        <w:rPr>
          <w:rFonts w:ascii="Arial" w:eastAsia="Calibri" w:hAnsi="Arial" w:cs="Arial"/>
          <w:sz w:val="22"/>
          <w:szCs w:val="22"/>
        </w:rPr>
        <w:t>BOP</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behavioral observation program </w:t>
      </w:r>
    </w:p>
    <w:p w:rsidR="00A03576" w:rsidRPr="007D3DFD" w:rsidP="00A03576" w14:paraId="14A71895" w14:textId="77777777">
      <w:pPr>
        <w:spacing w:line="259" w:lineRule="auto"/>
        <w:rPr>
          <w:rFonts w:ascii="Arial" w:eastAsia="Calibri" w:hAnsi="Arial" w:cs="Arial"/>
          <w:sz w:val="22"/>
          <w:szCs w:val="22"/>
        </w:rPr>
      </w:pPr>
      <w:r w:rsidRPr="004C0F8B">
        <w:rPr>
          <w:rFonts w:ascii="Arial" w:eastAsia="Calibri" w:hAnsi="Arial" w:cs="Arial"/>
          <w:sz w:val="22"/>
          <w:szCs w:val="22"/>
        </w:rPr>
        <w:t>C/TPA</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consortia/third-party administrators</w:t>
      </w:r>
    </w:p>
    <w:p w:rsidR="00A03576" w:rsidRPr="007D3DFD" w:rsidP="00A03576" w14:paraId="6966CAEB" w14:textId="77777777">
      <w:pPr>
        <w:spacing w:line="259" w:lineRule="auto"/>
        <w:rPr>
          <w:rFonts w:ascii="Arial" w:eastAsia="Calibri" w:hAnsi="Arial" w:cs="Arial"/>
          <w:sz w:val="22"/>
          <w:szCs w:val="22"/>
        </w:rPr>
      </w:pPr>
      <w:r w:rsidRPr="004C0F8B">
        <w:rPr>
          <w:rFonts w:ascii="Arial" w:eastAsia="Calibri" w:hAnsi="Arial" w:cs="Arial"/>
          <w:sz w:val="22"/>
          <w:szCs w:val="22"/>
        </w:rPr>
        <w:t>CAA</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Clean Air Act </w:t>
      </w:r>
    </w:p>
    <w:p w:rsidR="00A03576" w:rsidRPr="007D3DFD" w:rsidP="00A03576" w14:paraId="27837B74" w14:textId="77777777">
      <w:pPr>
        <w:spacing w:line="259" w:lineRule="auto"/>
        <w:rPr>
          <w:rFonts w:ascii="Arial" w:eastAsia="Calibri" w:hAnsi="Arial" w:cs="Arial"/>
          <w:sz w:val="22"/>
          <w:szCs w:val="22"/>
        </w:rPr>
      </w:pPr>
      <w:r w:rsidRPr="004C0F8B">
        <w:rPr>
          <w:rFonts w:ascii="Arial" w:eastAsia="Calibri" w:hAnsi="Arial" w:cs="Arial"/>
          <w:sz w:val="22"/>
          <w:szCs w:val="22"/>
        </w:rPr>
        <w:t>CAB</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community advisory board</w:t>
      </w:r>
    </w:p>
    <w:p w:rsidR="00A03576" w:rsidRPr="007D3DFD" w:rsidP="00A03576" w14:paraId="7A23E20F" w14:textId="77777777">
      <w:pPr>
        <w:spacing w:line="259" w:lineRule="auto"/>
        <w:rPr>
          <w:rFonts w:ascii="Arial" w:eastAsia="Calibri" w:hAnsi="Arial" w:cs="Arial"/>
          <w:sz w:val="22"/>
          <w:szCs w:val="22"/>
        </w:rPr>
      </w:pPr>
      <w:r w:rsidRPr="004C0F8B">
        <w:rPr>
          <w:rFonts w:ascii="Arial" w:eastAsia="Calibri" w:hAnsi="Arial" w:cs="Arial"/>
          <w:sz w:val="22"/>
          <w:szCs w:val="22"/>
        </w:rPr>
        <w:t>CCTV</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closed-circuit television</w:t>
      </w:r>
    </w:p>
    <w:p w:rsidR="00A03576" w:rsidRPr="007D3DFD" w:rsidP="00A03576" w14:paraId="4DA4603F" w14:textId="77777777">
      <w:pPr>
        <w:spacing w:line="259" w:lineRule="auto"/>
        <w:rPr>
          <w:rFonts w:ascii="Arial" w:eastAsia="Calibri" w:hAnsi="Arial" w:cs="Arial"/>
          <w:sz w:val="22"/>
          <w:szCs w:val="22"/>
        </w:rPr>
      </w:pPr>
      <w:r w:rsidRPr="004C0F8B">
        <w:rPr>
          <w:rFonts w:ascii="Arial" w:eastAsia="Calibri" w:hAnsi="Arial" w:cs="Arial"/>
          <w:sz w:val="22"/>
          <w:szCs w:val="22"/>
        </w:rPr>
        <w:t>CDF</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 xml:space="preserve">core damage frequency </w:t>
      </w:r>
    </w:p>
    <w:p w:rsidR="00A03576" w:rsidRPr="007D3DFD" w:rsidP="00A03576" w14:paraId="360D2209" w14:textId="77777777">
      <w:pPr>
        <w:spacing w:line="259" w:lineRule="auto"/>
        <w:rPr>
          <w:rFonts w:ascii="Arial" w:eastAsia="Calibri" w:hAnsi="Arial" w:cs="Arial"/>
          <w:sz w:val="22"/>
          <w:szCs w:val="22"/>
        </w:rPr>
      </w:pPr>
      <w:r w:rsidRPr="004C0F8B">
        <w:rPr>
          <w:rFonts w:ascii="Arial" w:eastAsia="Calibri" w:hAnsi="Arial" w:cs="Arial"/>
          <w:sz w:val="22"/>
          <w:szCs w:val="22"/>
        </w:rPr>
        <w:t>CER</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cumulative effects of regulation</w:t>
      </w:r>
    </w:p>
    <w:p w:rsidR="00A03576" w:rsidRPr="007D3DFD" w:rsidP="00A03576" w14:paraId="30DF823F" w14:textId="77777777">
      <w:pPr>
        <w:spacing w:line="259" w:lineRule="auto"/>
        <w:rPr>
          <w:rFonts w:ascii="Arial" w:eastAsia="Calibri" w:hAnsi="Arial" w:cs="Arial"/>
          <w:sz w:val="22"/>
          <w:szCs w:val="22"/>
        </w:rPr>
      </w:pPr>
      <w:r w:rsidRPr="004C0F8B">
        <w:rPr>
          <w:rFonts w:ascii="Arial" w:eastAsia="Calibri" w:hAnsi="Arial" w:cs="Arial"/>
          <w:sz w:val="22"/>
          <w:szCs w:val="22"/>
        </w:rPr>
        <w:t>CFR</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4C0F8B">
        <w:rPr>
          <w:rFonts w:ascii="Arial" w:eastAsia="Calibri" w:hAnsi="Arial" w:cs="Arial"/>
          <w:i/>
          <w:sz w:val="22"/>
          <w:szCs w:val="22"/>
        </w:rPr>
        <w:t>Code of Federal Regulations</w:t>
      </w:r>
    </w:p>
    <w:p w:rsidR="00A03576" w:rsidRPr="007D3DFD" w:rsidP="00A03576" w14:paraId="09946F9A" w14:textId="77777777">
      <w:pPr>
        <w:spacing w:line="259" w:lineRule="auto"/>
        <w:rPr>
          <w:rFonts w:ascii="Arial" w:eastAsia="Calibri" w:hAnsi="Arial" w:cs="Arial"/>
          <w:sz w:val="22"/>
          <w:szCs w:val="22"/>
        </w:rPr>
      </w:pPr>
      <w:r w:rsidRPr="004C0F8B">
        <w:rPr>
          <w:rFonts w:ascii="Arial" w:eastAsia="Calibri" w:hAnsi="Arial" w:cs="Arial"/>
          <w:sz w:val="22"/>
          <w:szCs w:val="22"/>
        </w:rPr>
        <w:t>COL</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combined license (combined construction and operating license)</w:t>
      </w:r>
    </w:p>
    <w:p w:rsidR="00A03576" w:rsidRPr="007D3DFD" w:rsidP="00A03576" w14:paraId="1E8A09B7" w14:textId="77777777">
      <w:pPr>
        <w:spacing w:line="259" w:lineRule="auto"/>
        <w:rPr>
          <w:rFonts w:ascii="Arial" w:eastAsia="Calibri" w:hAnsi="Arial" w:cs="Arial"/>
          <w:sz w:val="22"/>
          <w:szCs w:val="22"/>
        </w:rPr>
      </w:pPr>
      <w:r w:rsidRPr="004C0F8B">
        <w:rPr>
          <w:rFonts w:ascii="Arial" w:eastAsia="Calibri" w:hAnsi="Arial" w:cs="Arial"/>
          <w:sz w:val="22"/>
          <w:szCs w:val="22"/>
        </w:rPr>
        <w:t>CP</w:t>
      </w:r>
      <w:r w:rsidRPr="007D3DFD">
        <w:rPr>
          <w:rFonts w:ascii="Arial" w:eastAsia="Calibri" w:hAnsi="Arial" w:cs="Arial"/>
          <w:sz w:val="22"/>
          <w:szCs w:val="22"/>
        </w:rPr>
        <w:t xml:space="preserve">  </w:t>
      </w:r>
      <w:r w:rsidR="00163231">
        <w:rPr>
          <w:rFonts w:ascii="Arial" w:eastAsia="Calibri" w:hAnsi="Arial" w:cs="Arial"/>
          <w:sz w:val="22"/>
          <w:szCs w:val="22"/>
        </w:rPr>
        <w:tab/>
      </w:r>
      <w:r w:rsidR="00163231">
        <w:rPr>
          <w:rFonts w:ascii="Arial" w:eastAsia="Calibri" w:hAnsi="Arial" w:cs="Arial"/>
          <w:sz w:val="22"/>
          <w:szCs w:val="22"/>
        </w:rPr>
        <w:tab/>
      </w:r>
      <w:r w:rsidR="00163231">
        <w:rPr>
          <w:rFonts w:ascii="Arial" w:eastAsia="Calibri" w:hAnsi="Arial" w:cs="Arial"/>
          <w:sz w:val="22"/>
          <w:szCs w:val="22"/>
        </w:rPr>
        <w:tab/>
      </w:r>
      <w:r w:rsidRPr="007D3DFD">
        <w:rPr>
          <w:rFonts w:ascii="Arial" w:eastAsia="Calibri" w:hAnsi="Arial" w:cs="Arial"/>
          <w:sz w:val="22"/>
          <w:szCs w:val="22"/>
        </w:rPr>
        <w:t>construction permit</w:t>
      </w:r>
    </w:p>
    <w:p w:rsidR="00A03576" w:rsidRPr="007D3DFD" w:rsidP="00A03576" w14:paraId="30A36FBF" w14:textId="77777777">
      <w:pPr>
        <w:spacing w:line="259" w:lineRule="auto"/>
        <w:rPr>
          <w:rFonts w:ascii="Arial" w:eastAsia="Calibri" w:hAnsi="Arial" w:cs="Arial"/>
          <w:sz w:val="22"/>
          <w:szCs w:val="22"/>
        </w:rPr>
      </w:pPr>
      <w:r w:rsidRPr="004C0F8B">
        <w:rPr>
          <w:rFonts w:ascii="Arial" w:eastAsia="Calibri" w:hAnsi="Arial" w:cs="Arial"/>
          <w:sz w:val="22"/>
          <w:szCs w:val="22"/>
        </w:rPr>
        <w:t>CRCPD</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Conference of Radiation Control Program Directors</w:t>
      </w:r>
    </w:p>
    <w:p w:rsidR="00A03576" w:rsidRPr="004C0F8B" w:rsidP="004C0F8B" w14:paraId="0902CA0E" w14:textId="77777777">
      <w:pPr>
        <w:tabs>
          <w:tab w:val="left" w:pos="2520"/>
        </w:tabs>
        <w:spacing w:line="259" w:lineRule="auto"/>
        <w:ind w:left="2160" w:hanging="2160"/>
        <w:rPr>
          <w:rFonts w:ascii="Arial" w:eastAsia="Calibri" w:hAnsi="Arial" w:cs="Arial"/>
          <w:sz w:val="22"/>
          <w:szCs w:val="22"/>
        </w:rPr>
      </w:pPr>
      <w:r w:rsidRPr="004C0F8B">
        <w:rPr>
          <w:rFonts w:ascii="Arial" w:eastAsia="Calibri" w:hAnsi="Arial" w:cs="Arial"/>
          <w:sz w:val="22"/>
          <w:szCs w:val="22"/>
        </w:rPr>
        <w:t>DANU</w:t>
      </w:r>
      <w:r w:rsidRPr="004C0F8B">
        <w:rPr>
          <w:rFonts w:ascii="Arial" w:eastAsia="Calibri" w:hAnsi="Arial" w:cs="Arial"/>
          <w:sz w:val="22"/>
          <w:szCs w:val="22"/>
        </w:rPr>
        <w:tab/>
      </w:r>
      <w:r w:rsidRPr="007D3DFD">
        <w:rPr>
          <w:rFonts w:ascii="Arial" w:eastAsia="Calibri" w:hAnsi="Arial" w:cs="Arial"/>
          <w:bCs/>
          <w:sz w:val="22"/>
          <w:szCs w:val="22"/>
        </w:rPr>
        <w:t xml:space="preserve">Division of Advanced Reactors and Non-Power Production or Utilization Facilities </w:t>
      </w:r>
    </w:p>
    <w:p w:rsidR="00A03576" w:rsidRPr="007D3DFD" w:rsidP="00A03576" w14:paraId="4B0E427E" w14:textId="77777777">
      <w:pPr>
        <w:spacing w:line="259" w:lineRule="auto"/>
        <w:rPr>
          <w:rFonts w:ascii="Arial" w:eastAsia="Calibri" w:hAnsi="Arial" w:cs="Arial"/>
          <w:sz w:val="22"/>
          <w:szCs w:val="22"/>
        </w:rPr>
      </w:pPr>
      <w:r w:rsidRPr="004C0F8B">
        <w:rPr>
          <w:rFonts w:ascii="Arial" w:eastAsia="Calibri" w:hAnsi="Arial" w:cs="Arial"/>
          <w:sz w:val="22"/>
          <w:szCs w:val="22"/>
        </w:rPr>
        <w:t>DBA</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design-basis accident</w:t>
      </w:r>
    </w:p>
    <w:p w:rsidR="00A03576" w:rsidRPr="007D3DFD" w:rsidP="00A03576" w14:paraId="7D19B995" w14:textId="77777777">
      <w:pPr>
        <w:spacing w:line="259" w:lineRule="auto"/>
        <w:rPr>
          <w:rFonts w:ascii="Arial" w:eastAsia="Calibri" w:hAnsi="Arial" w:cs="Arial"/>
          <w:sz w:val="22"/>
          <w:szCs w:val="22"/>
        </w:rPr>
      </w:pPr>
      <w:r w:rsidRPr="004C0F8B">
        <w:rPr>
          <w:rFonts w:ascii="Arial" w:eastAsia="Calibri" w:hAnsi="Arial" w:cs="Arial"/>
          <w:sz w:val="22"/>
          <w:szCs w:val="22"/>
        </w:rPr>
        <w:t>DBE</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design-basis event</w:t>
      </w:r>
    </w:p>
    <w:p w:rsidR="00A03576" w:rsidRPr="007D3DFD" w:rsidP="00A03576" w14:paraId="5EF172DA" w14:textId="77777777">
      <w:pPr>
        <w:spacing w:line="259" w:lineRule="auto"/>
        <w:rPr>
          <w:rFonts w:ascii="Arial" w:eastAsia="Calibri" w:hAnsi="Arial" w:cs="Arial"/>
          <w:sz w:val="22"/>
          <w:szCs w:val="22"/>
        </w:rPr>
      </w:pPr>
      <w:r w:rsidRPr="004C0F8B">
        <w:rPr>
          <w:rFonts w:ascii="Arial" w:eastAsia="Calibri" w:hAnsi="Arial" w:cs="Arial"/>
          <w:sz w:val="22"/>
          <w:szCs w:val="22"/>
        </w:rPr>
        <w:t>DBEHL</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design-basis external hazard level</w:t>
      </w:r>
    </w:p>
    <w:p w:rsidR="00A03576" w:rsidRPr="007D3DFD" w:rsidP="00A03576" w14:paraId="6FCFFA6C" w14:textId="77777777">
      <w:pPr>
        <w:spacing w:line="259" w:lineRule="auto"/>
        <w:rPr>
          <w:rFonts w:ascii="Arial" w:eastAsia="Calibri" w:hAnsi="Arial" w:cs="Arial"/>
          <w:sz w:val="22"/>
          <w:szCs w:val="22"/>
        </w:rPr>
      </w:pPr>
      <w:r w:rsidRPr="004C0F8B">
        <w:rPr>
          <w:rFonts w:ascii="Arial" w:eastAsia="Calibri" w:hAnsi="Arial" w:cs="Arial"/>
          <w:sz w:val="22"/>
          <w:szCs w:val="22"/>
        </w:rPr>
        <w:t>DBHL</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4C0F8B">
        <w:rPr>
          <w:rFonts w:ascii="Arial" w:eastAsia="Calibri" w:hAnsi="Arial" w:cs="Arial"/>
          <w:bCs/>
          <w:sz w:val="22"/>
          <w:szCs w:val="22"/>
        </w:rPr>
        <w:tab/>
      </w:r>
      <w:r w:rsidRPr="007D3DFD">
        <w:rPr>
          <w:rFonts w:ascii="Arial" w:eastAsia="Calibri" w:hAnsi="Arial" w:cs="Arial"/>
          <w:sz w:val="22"/>
          <w:szCs w:val="22"/>
        </w:rPr>
        <w:t>design-basis hazard level</w:t>
      </w:r>
    </w:p>
    <w:p w:rsidR="00A03576" w:rsidRPr="007D3DFD" w:rsidP="00A03576" w14:paraId="18C6EA49" w14:textId="77777777">
      <w:pPr>
        <w:spacing w:line="259" w:lineRule="auto"/>
        <w:rPr>
          <w:rFonts w:ascii="Arial" w:eastAsia="Calibri" w:hAnsi="Arial" w:cs="Arial"/>
          <w:sz w:val="22"/>
          <w:szCs w:val="22"/>
        </w:rPr>
      </w:pPr>
      <w:r w:rsidRPr="004C0F8B">
        <w:rPr>
          <w:rFonts w:ascii="Arial" w:eastAsia="Calibri" w:hAnsi="Arial" w:cs="Arial"/>
          <w:sz w:val="22"/>
          <w:szCs w:val="22"/>
        </w:rPr>
        <w:t>DBT</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design-basis threat</w:t>
      </w:r>
    </w:p>
    <w:p w:rsidR="00A03576" w:rsidRPr="007D3DFD" w:rsidP="00A03576" w14:paraId="2216BF79" w14:textId="77777777">
      <w:pPr>
        <w:spacing w:line="259" w:lineRule="auto"/>
        <w:rPr>
          <w:rFonts w:ascii="Arial" w:eastAsia="Calibri" w:hAnsi="Arial" w:cs="Arial"/>
          <w:sz w:val="22"/>
          <w:szCs w:val="22"/>
        </w:rPr>
      </w:pPr>
      <w:r w:rsidRPr="004C0F8B">
        <w:rPr>
          <w:rFonts w:ascii="Arial" w:eastAsia="Calibri" w:hAnsi="Arial" w:cs="Arial"/>
          <w:sz w:val="22"/>
          <w:szCs w:val="22"/>
        </w:rPr>
        <w:t>DC</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design certification</w:t>
      </w:r>
    </w:p>
    <w:p w:rsidR="00A03576" w:rsidRPr="007D3DFD" w:rsidP="00A03576" w14:paraId="5DBC4D56" w14:textId="77777777">
      <w:pPr>
        <w:spacing w:line="259" w:lineRule="auto"/>
        <w:rPr>
          <w:rFonts w:ascii="Arial" w:eastAsia="Calibri" w:hAnsi="Arial" w:cs="Arial"/>
          <w:sz w:val="22"/>
          <w:szCs w:val="22"/>
        </w:rPr>
      </w:pPr>
      <w:r w:rsidRPr="004C0F8B">
        <w:rPr>
          <w:rFonts w:ascii="Arial" w:eastAsia="Calibri" w:hAnsi="Arial" w:cs="Arial"/>
          <w:sz w:val="22"/>
          <w:szCs w:val="22"/>
        </w:rPr>
        <w:t>DECON</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a phase of reactor decommissioning</w:t>
      </w:r>
    </w:p>
    <w:p w:rsidR="00A03576" w:rsidRPr="007D3DFD" w:rsidP="00A03576" w14:paraId="1BEFC7EB"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DG </w:t>
      </w:r>
      <w:r w:rsidRPr="004C0F8B" w:rsidR="00AF1D7E">
        <w:rPr>
          <w:rFonts w:ascii="Arial" w:eastAsia="Calibri" w:hAnsi="Arial" w:cs="Arial"/>
          <w:sz w:val="22"/>
          <w:szCs w:val="22"/>
        </w:rPr>
        <w:tab/>
      </w:r>
      <w:r w:rsidRPr="004C0F8B" w:rsidR="00AF1D7E">
        <w:rPr>
          <w:rFonts w:ascii="Arial" w:eastAsia="Calibri" w:hAnsi="Arial" w:cs="Arial"/>
          <w:sz w:val="22"/>
          <w:szCs w:val="22"/>
        </w:rPr>
        <w:tab/>
      </w:r>
      <w:r w:rsidRPr="004C0F8B" w:rsidR="00AF1D7E">
        <w:rPr>
          <w:rFonts w:ascii="Arial" w:eastAsia="Calibri" w:hAnsi="Arial" w:cs="Arial"/>
          <w:sz w:val="22"/>
          <w:szCs w:val="22"/>
        </w:rPr>
        <w:tab/>
      </w:r>
      <w:r w:rsidRPr="007D3DFD">
        <w:rPr>
          <w:rFonts w:ascii="Arial" w:eastAsia="Calibri" w:hAnsi="Arial" w:cs="Arial"/>
          <w:sz w:val="22"/>
          <w:szCs w:val="22"/>
        </w:rPr>
        <w:t>draft regulatory guide</w:t>
      </w:r>
    </w:p>
    <w:p w:rsidR="00A03576" w:rsidRPr="007D3DFD" w:rsidP="00A03576" w14:paraId="58D53685" w14:textId="77777777">
      <w:pPr>
        <w:spacing w:line="259" w:lineRule="auto"/>
        <w:rPr>
          <w:rFonts w:ascii="Arial" w:eastAsia="Calibri" w:hAnsi="Arial" w:cs="Arial"/>
          <w:sz w:val="22"/>
          <w:szCs w:val="22"/>
        </w:rPr>
      </w:pPr>
      <w:r w:rsidRPr="004C0F8B">
        <w:rPr>
          <w:rFonts w:ascii="Arial" w:eastAsia="Calibri" w:hAnsi="Arial" w:cs="Arial"/>
          <w:sz w:val="22"/>
          <w:szCs w:val="22"/>
        </w:rPr>
        <w:t>DID</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 xml:space="preserve">defense in depth </w:t>
      </w:r>
    </w:p>
    <w:p w:rsidR="00A03576" w:rsidRPr="007D3DFD" w:rsidP="00A03576" w14:paraId="06997658" w14:textId="77777777">
      <w:pPr>
        <w:spacing w:line="259" w:lineRule="auto"/>
        <w:rPr>
          <w:rFonts w:ascii="Arial" w:eastAsia="Calibri" w:hAnsi="Arial" w:cs="Arial"/>
          <w:sz w:val="22"/>
          <w:szCs w:val="22"/>
        </w:rPr>
      </w:pPr>
      <w:r w:rsidRPr="004C0F8B">
        <w:rPr>
          <w:rFonts w:ascii="Arial" w:eastAsia="Calibri" w:hAnsi="Arial" w:cs="Arial"/>
          <w:sz w:val="22"/>
          <w:szCs w:val="22"/>
        </w:rPr>
        <w:t>DOE</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U.S. Department of Energy</w:t>
      </w:r>
    </w:p>
    <w:p w:rsidR="00A03576" w:rsidRPr="007D3DFD" w:rsidP="00A03576" w14:paraId="485DC245" w14:textId="77777777">
      <w:pPr>
        <w:spacing w:line="259" w:lineRule="auto"/>
        <w:rPr>
          <w:rFonts w:ascii="Arial" w:eastAsia="Calibri" w:hAnsi="Arial" w:cs="Arial"/>
          <w:sz w:val="22"/>
          <w:szCs w:val="22"/>
        </w:rPr>
      </w:pPr>
      <w:r w:rsidRPr="004C0F8B">
        <w:rPr>
          <w:rFonts w:ascii="Arial" w:eastAsia="Calibri" w:hAnsi="Arial" w:cs="Arial"/>
          <w:sz w:val="22"/>
          <w:szCs w:val="22"/>
        </w:rPr>
        <w:t>DOT</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U.S. Department of Transportation</w:t>
      </w:r>
    </w:p>
    <w:p w:rsidR="00A03576" w:rsidRPr="007D3DFD" w:rsidP="00A03576" w14:paraId="4FF2A2AA"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DRO  </w:t>
      </w:r>
      <w:r w:rsidRPr="004C0F8B" w:rsidR="00AF1D7E">
        <w:rPr>
          <w:rFonts w:ascii="Arial" w:eastAsia="Calibri" w:hAnsi="Arial" w:cs="Arial"/>
          <w:sz w:val="22"/>
          <w:szCs w:val="22"/>
        </w:rPr>
        <w:tab/>
      </w:r>
      <w:r w:rsidRPr="004C0F8B" w:rsidR="00AF1D7E">
        <w:rPr>
          <w:rFonts w:ascii="Arial" w:eastAsia="Calibri" w:hAnsi="Arial" w:cs="Arial"/>
          <w:sz w:val="22"/>
          <w:szCs w:val="22"/>
        </w:rPr>
        <w:tab/>
      </w:r>
      <w:r w:rsidRPr="004C0F8B" w:rsidR="00AF1D7E">
        <w:rPr>
          <w:rFonts w:ascii="Arial" w:eastAsia="Calibri" w:hAnsi="Arial" w:cs="Arial"/>
          <w:sz w:val="22"/>
          <w:szCs w:val="22"/>
        </w:rPr>
        <w:tab/>
      </w:r>
      <w:r w:rsidRPr="007D3DFD">
        <w:rPr>
          <w:rFonts w:ascii="Arial" w:eastAsia="Calibri" w:hAnsi="Arial" w:cs="Arial"/>
          <w:sz w:val="22"/>
          <w:szCs w:val="22"/>
        </w:rPr>
        <w:t>Division of Reactor Oversight</w:t>
      </w:r>
    </w:p>
    <w:p w:rsidR="00A03576" w:rsidRPr="007D3DFD" w:rsidP="00A03576" w14:paraId="2A57262E" w14:textId="77777777">
      <w:pPr>
        <w:spacing w:line="259" w:lineRule="auto"/>
        <w:rPr>
          <w:rFonts w:ascii="Arial" w:eastAsia="Calibri" w:hAnsi="Arial" w:cs="Arial"/>
          <w:sz w:val="22"/>
          <w:szCs w:val="22"/>
        </w:rPr>
      </w:pPr>
      <w:r w:rsidRPr="004C0F8B">
        <w:rPr>
          <w:rFonts w:ascii="Arial" w:eastAsia="Calibri" w:hAnsi="Arial" w:cs="Arial"/>
          <w:sz w:val="22"/>
          <w:szCs w:val="22"/>
        </w:rPr>
        <w:t>EO</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 xml:space="preserve">Executive </w:t>
      </w:r>
      <w:r w:rsidR="005A1BD7">
        <w:rPr>
          <w:rFonts w:ascii="Arial" w:eastAsia="Calibri" w:hAnsi="Arial" w:cs="Arial"/>
          <w:bCs/>
          <w:sz w:val="22"/>
          <w:szCs w:val="22"/>
        </w:rPr>
        <w:t>O</w:t>
      </w:r>
      <w:r w:rsidRPr="004C0F8B">
        <w:rPr>
          <w:rFonts w:ascii="Arial" w:eastAsia="Calibri" w:hAnsi="Arial" w:cs="Arial"/>
          <w:bCs/>
          <w:sz w:val="22"/>
          <w:szCs w:val="22"/>
        </w:rPr>
        <w:t>rder</w:t>
      </w:r>
    </w:p>
    <w:p w:rsidR="00A03576" w:rsidRPr="007D3DFD" w:rsidP="00A03576" w14:paraId="6C60850E" w14:textId="77777777">
      <w:pPr>
        <w:spacing w:line="259" w:lineRule="auto"/>
        <w:rPr>
          <w:rFonts w:ascii="Arial" w:eastAsia="Calibri" w:hAnsi="Arial" w:cs="Arial"/>
          <w:sz w:val="22"/>
          <w:szCs w:val="22"/>
        </w:rPr>
      </w:pPr>
      <w:r w:rsidRPr="004C0F8B">
        <w:rPr>
          <w:rFonts w:ascii="Arial" w:eastAsia="Calibri" w:hAnsi="Arial" w:cs="Arial"/>
          <w:sz w:val="22"/>
          <w:szCs w:val="22"/>
        </w:rPr>
        <w:t>EA</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 xml:space="preserve">environmental assessment </w:t>
      </w:r>
    </w:p>
    <w:p w:rsidR="00A03576" w:rsidRPr="007D3DFD" w:rsidP="00A03576" w14:paraId="4DDD5BD4" w14:textId="77777777">
      <w:pPr>
        <w:spacing w:line="259" w:lineRule="auto"/>
        <w:rPr>
          <w:rFonts w:ascii="Arial" w:eastAsia="Calibri" w:hAnsi="Arial" w:cs="Arial"/>
          <w:sz w:val="22"/>
          <w:szCs w:val="22"/>
        </w:rPr>
      </w:pPr>
      <w:r w:rsidRPr="004C0F8B">
        <w:rPr>
          <w:rFonts w:ascii="Arial" w:eastAsia="Calibri" w:hAnsi="Arial" w:cs="Arial"/>
          <w:sz w:val="22"/>
          <w:szCs w:val="22"/>
        </w:rPr>
        <w:t>EAP</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Employee Assistance Program</w:t>
      </w:r>
    </w:p>
    <w:p w:rsidR="00A03576" w:rsidRPr="007D3DFD" w:rsidP="00A03576" w14:paraId="4018A3AA" w14:textId="77777777">
      <w:pPr>
        <w:spacing w:line="259" w:lineRule="auto"/>
        <w:rPr>
          <w:rFonts w:ascii="Arial" w:eastAsia="Calibri" w:hAnsi="Arial" w:cs="Arial"/>
          <w:sz w:val="22"/>
          <w:szCs w:val="22"/>
        </w:rPr>
      </w:pPr>
      <w:r w:rsidRPr="004C0F8B">
        <w:rPr>
          <w:rFonts w:ascii="Arial" w:eastAsia="Calibri" w:hAnsi="Arial" w:cs="Arial"/>
          <w:sz w:val="22"/>
          <w:szCs w:val="22"/>
        </w:rPr>
        <w:t>EBT</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 xml:space="preserve">evidential breath testing </w:t>
      </w:r>
      <w:r w:rsidR="00B34E07">
        <w:rPr>
          <w:rFonts w:ascii="Arial" w:eastAsia="Calibri" w:hAnsi="Arial" w:cs="Arial"/>
          <w:sz w:val="22"/>
          <w:szCs w:val="22"/>
        </w:rPr>
        <w:t>device</w:t>
      </w:r>
    </w:p>
    <w:p w:rsidR="00A03576" w:rsidRPr="007D3DFD" w:rsidP="00A03576" w14:paraId="0C4B8DD2" w14:textId="77777777">
      <w:pPr>
        <w:spacing w:line="259" w:lineRule="auto"/>
        <w:rPr>
          <w:rFonts w:ascii="Arial" w:eastAsia="Calibri" w:hAnsi="Arial" w:cs="Arial"/>
          <w:sz w:val="22"/>
          <w:szCs w:val="22"/>
        </w:rPr>
      </w:pPr>
      <w:r w:rsidRPr="004C0F8B">
        <w:rPr>
          <w:rFonts w:ascii="Arial" w:eastAsia="Calibri" w:hAnsi="Arial" w:cs="Arial"/>
          <w:sz w:val="22"/>
          <w:szCs w:val="22"/>
        </w:rPr>
        <w:t>ECA</w:t>
      </w:r>
      <w:r w:rsidRPr="007D3DFD">
        <w:rPr>
          <w:rFonts w:ascii="Arial" w:eastAsia="Calibri" w:hAnsi="Arial" w:cs="Arial"/>
          <w:sz w:val="22"/>
          <w:szCs w:val="22"/>
        </w:rPr>
        <w:t xml:space="preserve"> </w:t>
      </w:r>
      <w:r w:rsidR="00AF1D7E">
        <w:rPr>
          <w:rFonts w:ascii="Arial" w:eastAsia="Calibri" w:hAnsi="Arial" w:cs="Arial"/>
          <w:sz w:val="22"/>
          <w:szCs w:val="22"/>
        </w:rPr>
        <w:tab/>
      </w:r>
      <w:r w:rsidR="00AF1D7E">
        <w:rPr>
          <w:rFonts w:ascii="Arial" w:eastAsia="Calibri" w:hAnsi="Arial" w:cs="Arial"/>
          <w:sz w:val="22"/>
          <w:szCs w:val="22"/>
        </w:rPr>
        <w:tab/>
      </w:r>
      <w:r w:rsidR="00AF1D7E">
        <w:rPr>
          <w:rFonts w:ascii="Arial" w:eastAsia="Calibri" w:hAnsi="Arial" w:cs="Arial"/>
          <w:sz w:val="22"/>
          <w:szCs w:val="22"/>
        </w:rPr>
        <w:tab/>
      </w:r>
      <w:r w:rsidRPr="007D3DFD">
        <w:rPr>
          <w:rFonts w:ascii="Arial" w:eastAsia="Calibri" w:hAnsi="Arial" w:cs="Arial"/>
          <w:sz w:val="22"/>
          <w:szCs w:val="22"/>
        </w:rPr>
        <w:t>Energy Communities Alliance</w:t>
      </w:r>
    </w:p>
    <w:p w:rsidR="00A03576" w:rsidRPr="007D3DFD" w:rsidP="00A03576" w14:paraId="498C7BB1" w14:textId="77777777">
      <w:pPr>
        <w:spacing w:line="259" w:lineRule="auto"/>
        <w:rPr>
          <w:rFonts w:ascii="Arial" w:eastAsia="Calibri" w:hAnsi="Arial" w:cs="Arial"/>
          <w:sz w:val="22"/>
          <w:szCs w:val="22"/>
        </w:rPr>
      </w:pPr>
      <w:r w:rsidRPr="004C0F8B">
        <w:rPr>
          <w:rFonts w:ascii="Arial" w:eastAsia="Calibri" w:hAnsi="Arial" w:cs="Arial"/>
          <w:sz w:val="22"/>
          <w:szCs w:val="22"/>
        </w:rPr>
        <w:t>EIS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environmental impact statement</w:t>
      </w:r>
    </w:p>
    <w:p w:rsidR="00A03576" w:rsidRPr="007D3DFD" w:rsidP="00A03576" w14:paraId="2D721D4D" w14:textId="77777777">
      <w:pPr>
        <w:spacing w:line="259" w:lineRule="auto"/>
        <w:rPr>
          <w:rFonts w:ascii="Arial" w:eastAsia="Calibri" w:hAnsi="Arial" w:cs="Arial"/>
          <w:sz w:val="22"/>
          <w:szCs w:val="22"/>
        </w:rPr>
      </w:pPr>
      <w:r w:rsidRPr="004C0F8B">
        <w:rPr>
          <w:rFonts w:ascii="Arial" w:eastAsia="Calibri" w:hAnsi="Arial" w:cs="Arial"/>
          <w:sz w:val="22"/>
          <w:szCs w:val="22"/>
        </w:rPr>
        <w:t>EP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emergency preparedness </w:t>
      </w:r>
    </w:p>
    <w:p w:rsidR="00A03576" w:rsidRPr="007D3DFD" w:rsidP="00A03576" w14:paraId="0DDAF150" w14:textId="77777777">
      <w:pPr>
        <w:spacing w:line="259" w:lineRule="auto"/>
        <w:rPr>
          <w:rFonts w:ascii="Arial" w:eastAsia="Calibri" w:hAnsi="Arial" w:cs="Arial"/>
          <w:sz w:val="22"/>
          <w:szCs w:val="22"/>
        </w:rPr>
      </w:pPr>
      <w:r w:rsidRPr="004C0F8B">
        <w:rPr>
          <w:rFonts w:ascii="Arial" w:eastAsia="Calibri" w:hAnsi="Arial" w:cs="Arial"/>
          <w:sz w:val="22"/>
          <w:szCs w:val="22"/>
        </w:rPr>
        <w:t>EPA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U.S. Environmental Protection Agency</w:t>
      </w:r>
    </w:p>
    <w:p w:rsidR="00A03576" w:rsidRPr="007D3DFD" w:rsidP="00A03576" w14:paraId="2368317A" w14:textId="77777777">
      <w:pPr>
        <w:spacing w:line="259" w:lineRule="auto"/>
        <w:rPr>
          <w:rFonts w:ascii="Arial" w:eastAsia="Calibri" w:hAnsi="Arial" w:cs="Arial"/>
          <w:sz w:val="22"/>
          <w:szCs w:val="22"/>
        </w:rPr>
      </w:pPr>
      <w:r w:rsidRPr="004C0F8B">
        <w:rPr>
          <w:rFonts w:ascii="Arial" w:eastAsia="Calibri" w:hAnsi="Arial" w:cs="Arial"/>
          <w:sz w:val="22"/>
          <w:szCs w:val="22"/>
        </w:rPr>
        <w:t>EPZ</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emergency planning zone</w:t>
      </w:r>
    </w:p>
    <w:p w:rsidR="00A03576" w:rsidRPr="007D3DFD" w:rsidP="00A03576" w14:paraId="6F3EDDA0" w14:textId="77777777">
      <w:pPr>
        <w:spacing w:line="259" w:lineRule="auto"/>
        <w:rPr>
          <w:rFonts w:ascii="Arial" w:eastAsia="Calibri" w:hAnsi="Arial" w:cs="Arial"/>
          <w:sz w:val="22"/>
          <w:szCs w:val="22"/>
        </w:rPr>
      </w:pPr>
      <w:r w:rsidRPr="004C0F8B">
        <w:rPr>
          <w:rFonts w:ascii="Arial" w:eastAsia="Calibri" w:hAnsi="Arial" w:cs="Arial"/>
          <w:sz w:val="22"/>
          <w:szCs w:val="22"/>
        </w:rPr>
        <w:t>ERDS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Emergency Response Data System</w:t>
      </w:r>
    </w:p>
    <w:p w:rsidR="00A03576" w:rsidRPr="007D3DFD" w:rsidP="00A03576" w14:paraId="59C927D4" w14:textId="77777777">
      <w:pPr>
        <w:spacing w:line="259" w:lineRule="auto"/>
        <w:rPr>
          <w:rFonts w:ascii="Arial" w:eastAsia="Calibri" w:hAnsi="Arial" w:cs="Arial"/>
          <w:sz w:val="22"/>
          <w:szCs w:val="22"/>
        </w:rPr>
      </w:pPr>
      <w:r w:rsidRPr="004C0F8B">
        <w:rPr>
          <w:rFonts w:ascii="Arial" w:eastAsia="Calibri" w:hAnsi="Arial" w:cs="Arial"/>
          <w:sz w:val="22"/>
          <w:szCs w:val="22"/>
        </w:rPr>
        <w:t>ESP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early site permit </w:t>
      </w:r>
    </w:p>
    <w:p w:rsidR="00A03576" w:rsidRPr="007D3DFD" w:rsidP="00A03576" w14:paraId="1509CEA7" w14:textId="77777777">
      <w:pPr>
        <w:spacing w:line="259" w:lineRule="auto"/>
        <w:rPr>
          <w:rFonts w:ascii="Arial" w:eastAsia="Calibri" w:hAnsi="Arial" w:cs="Arial"/>
          <w:sz w:val="22"/>
          <w:szCs w:val="22"/>
        </w:rPr>
      </w:pPr>
      <w:r w:rsidRPr="004C0F8B">
        <w:rPr>
          <w:rFonts w:ascii="Arial" w:eastAsia="Calibri" w:hAnsi="Arial" w:cs="Arial"/>
          <w:sz w:val="22"/>
          <w:szCs w:val="22"/>
        </w:rPr>
        <w:t>FDA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U.S. Food and Drug Administration </w:t>
      </w:r>
    </w:p>
    <w:p w:rsidR="00A03576" w:rsidRPr="007D3DFD" w:rsidP="00A03576" w14:paraId="34499FF4" w14:textId="77777777">
      <w:pPr>
        <w:spacing w:line="259" w:lineRule="auto"/>
        <w:rPr>
          <w:rFonts w:ascii="Arial" w:eastAsia="Calibri" w:hAnsi="Arial" w:cs="Arial"/>
          <w:sz w:val="22"/>
          <w:szCs w:val="22"/>
        </w:rPr>
      </w:pPr>
      <w:r w:rsidRPr="004C0F8B">
        <w:rPr>
          <w:rFonts w:ascii="Arial" w:eastAsia="Calibri" w:hAnsi="Arial" w:cs="Arial"/>
          <w:sz w:val="22"/>
          <w:szCs w:val="22"/>
        </w:rPr>
        <w:t>FEMA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Federal Emergency Management Agency</w:t>
      </w:r>
    </w:p>
    <w:p w:rsidR="00A03576" w:rsidRPr="007D3DFD" w:rsidP="00A03576" w14:paraId="078A31D4" w14:textId="77777777">
      <w:pPr>
        <w:spacing w:line="259" w:lineRule="auto"/>
        <w:rPr>
          <w:rFonts w:ascii="Arial" w:eastAsia="Calibri" w:hAnsi="Arial" w:cs="Arial"/>
          <w:sz w:val="22"/>
          <w:szCs w:val="22"/>
        </w:rPr>
      </w:pPr>
      <w:r w:rsidRPr="004C0F8B">
        <w:rPr>
          <w:rFonts w:ascii="Arial" w:eastAsia="Calibri" w:hAnsi="Arial" w:cs="Arial"/>
          <w:sz w:val="22"/>
          <w:szCs w:val="22"/>
        </w:rPr>
        <w:t>FFD</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fitness-for-duty</w:t>
      </w:r>
    </w:p>
    <w:p w:rsidR="00A03576" w:rsidRPr="007D3DFD" w:rsidP="00A03576" w14:paraId="5BA651DA" w14:textId="77777777">
      <w:pPr>
        <w:spacing w:line="259" w:lineRule="auto"/>
        <w:rPr>
          <w:rFonts w:ascii="Arial" w:eastAsia="Calibri" w:hAnsi="Arial" w:cs="Arial"/>
          <w:sz w:val="22"/>
          <w:szCs w:val="22"/>
        </w:rPr>
      </w:pPr>
      <w:r w:rsidRPr="004C0F8B">
        <w:rPr>
          <w:rFonts w:ascii="Arial" w:eastAsia="Calibri" w:hAnsi="Arial" w:cs="Arial"/>
          <w:sz w:val="22"/>
          <w:szCs w:val="22"/>
        </w:rPr>
        <w:t>FIOP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Federal Interagency Operational Plan </w:t>
      </w:r>
    </w:p>
    <w:p w:rsidR="00A03576" w:rsidRPr="007D3DFD" w:rsidP="00A03576" w14:paraId="169F0F1C" w14:textId="77777777">
      <w:pPr>
        <w:spacing w:line="259" w:lineRule="auto"/>
        <w:rPr>
          <w:rFonts w:ascii="Arial" w:eastAsia="Calibri" w:hAnsi="Arial" w:cs="Arial"/>
          <w:sz w:val="22"/>
          <w:szCs w:val="22"/>
        </w:rPr>
      </w:pPr>
      <w:r w:rsidRPr="004C0F8B">
        <w:rPr>
          <w:rFonts w:ascii="Arial" w:eastAsia="Calibri" w:hAnsi="Arial" w:cs="Arial"/>
          <w:sz w:val="22"/>
          <w:szCs w:val="22"/>
        </w:rPr>
        <w:t>FOAK</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first-of-a-kind</w:t>
      </w:r>
    </w:p>
    <w:p w:rsidR="00A03576" w:rsidRPr="007D3DFD" w:rsidP="00A03576" w14:paraId="6F1362C3" w14:textId="77777777">
      <w:pPr>
        <w:spacing w:line="259" w:lineRule="auto"/>
        <w:rPr>
          <w:rFonts w:ascii="Arial" w:eastAsia="Calibri" w:hAnsi="Arial" w:cs="Arial"/>
          <w:sz w:val="22"/>
          <w:szCs w:val="22"/>
        </w:rPr>
      </w:pPr>
      <w:r w:rsidRPr="004C0F8B">
        <w:rPr>
          <w:rFonts w:ascii="Arial" w:eastAsia="Calibri" w:hAnsi="Arial" w:cs="Arial"/>
          <w:sz w:val="22"/>
          <w:szCs w:val="22"/>
        </w:rPr>
        <w:t>FR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i/>
          <w:iCs/>
          <w:sz w:val="22"/>
          <w:szCs w:val="22"/>
        </w:rPr>
        <w:t>Federal Register</w:t>
      </w:r>
    </w:p>
    <w:p w:rsidR="00A03576" w:rsidRPr="007D3DFD" w:rsidP="00A03576" w14:paraId="55C0B884" w14:textId="77777777">
      <w:pPr>
        <w:spacing w:line="259" w:lineRule="auto"/>
        <w:rPr>
          <w:rFonts w:ascii="Arial" w:eastAsia="Calibri" w:hAnsi="Arial" w:cs="Arial"/>
          <w:sz w:val="22"/>
          <w:szCs w:val="22"/>
        </w:rPr>
      </w:pPr>
      <w:r w:rsidRPr="004C0F8B">
        <w:rPr>
          <w:rFonts w:ascii="Arial" w:eastAsia="Calibri" w:hAnsi="Arial" w:cs="Arial"/>
          <w:sz w:val="22"/>
          <w:szCs w:val="22"/>
        </w:rPr>
        <w:t>FRN</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i/>
          <w:iCs/>
          <w:sz w:val="22"/>
          <w:szCs w:val="22"/>
        </w:rPr>
        <w:t>Federal Register</w:t>
      </w:r>
      <w:r w:rsidRPr="007D3DFD">
        <w:rPr>
          <w:rFonts w:ascii="Arial" w:eastAsia="Calibri" w:hAnsi="Arial" w:cs="Arial"/>
          <w:sz w:val="22"/>
          <w:szCs w:val="22"/>
        </w:rPr>
        <w:t xml:space="preserve"> notice </w:t>
      </w:r>
    </w:p>
    <w:p w:rsidR="00A03576" w:rsidRPr="007D3DFD" w:rsidP="00A03576" w14:paraId="5D738C86"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FSAR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CF28D2">
        <w:rPr>
          <w:rFonts w:ascii="Arial" w:eastAsia="Calibri" w:hAnsi="Arial" w:cs="Arial"/>
          <w:bCs/>
          <w:sz w:val="22"/>
          <w:szCs w:val="22"/>
        </w:rPr>
        <w:t>f</w:t>
      </w:r>
      <w:r w:rsidRPr="004C0F8B">
        <w:rPr>
          <w:rFonts w:ascii="Arial" w:eastAsia="Calibri" w:hAnsi="Arial" w:cs="Arial"/>
          <w:bCs/>
          <w:sz w:val="22"/>
          <w:szCs w:val="22"/>
        </w:rPr>
        <w:t xml:space="preserve">inal </w:t>
      </w:r>
      <w:r w:rsidRPr="004C0F8B" w:rsidR="00CF28D2">
        <w:rPr>
          <w:rFonts w:ascii="Arial" w:eastAsia="Calibri" w:hAnsi="Arial" w:cs="Arial"/>
          <w:bCs/>
          <w:sz w:val="22"/>
          <w:szCs w:val="22"/>
        </w:rPr>
        <w:t>s</w:t>
      </w:r>
      <w:r w:rsidRPr="004C0F8B">
        <w:rPr>
          <w:rFonts w:ascii="Arial" w:eastAsia="Calibri" w:hAnsi="Arial" w:cs="Arial"/>
          <w:bCs/>
          <w:sz w:val="22"/>
          <w:szCs w:val="22"/>
        </w:rPr>
        <w:t xml:space="preserve">afety </w:t>
      </w:r>
      <w:r w:rsidRPr="004C0F8B" w:rsidR="00CF28D2">
        <w:rPr>
          <w:rFonts w:ascii="Arial" w:eastAsia="Calibri" w:hAnsi="Arial" w:cs="Arial"/>
          <w:bCs/>
          <w:sz w:val="22"/>
          <w:szCs w:val="22"/>
        </w:rPr>
        <w:t>a</w:t>
      </w:r>
      <w:r w:rsidRPr="004C0F8B">
        <w:rPr>
          <w:rFonts w:ascii="Arial" w:eastAsia="Calibri" w:hAnsi="Arial" w:cs="Arial"/>
          <w:bCs/>
          <w:sz w:val="22"/>
          <w:szCs w:val="22"/>
        </w:rPr>
        <w:t>nalysis</w:t>
      </w:r>
      <w:r w:rsidRPr="007D3DFD">
        <w:rPr>
          <w:rFonts w:ascii="Arial" w:eastAsia="Calibri" w:hAnsi="Arial" w:cs="Arial"/>
          <w:sz w:val="22"/>
          <w:szCs w:val="22"/>
        </w:rPr>
        <w:t xml:space="preserve"> </w:t>
      </w:r>
      <w:r w:rsidR="00CF28D2">
        <w:rPr>
          <w:rFonts w:ascii="Arial" w:eastAsia="Calibri" w:hAnsi="Arial" w:cs="Arial"/>
          <w:sz w:val="22"/>
          <w:szCs w:val="22"/>
        </w:rPr>
        <w:t>r</w:t>
      </w:r>
      <w:r w:rsidRPr="007D3DFD">
        <w:rPr>
          <w:rFonts w:ascii="Arial" w:eastAsia="Calibri" w:hAnsi="Arial" w:cs="Arial"/>
          <w:sz w:val="22"/>
          <w:szCs w:val="22"/>
        </w:rPr>
        <w:t>eport</w:t>
      </w:r>
    </w:p>
    <w:p w:rsidR="00A03576" w:rsidRPr="007D3DFD" w:rsidP="00A03576" w14:paraId="34E2D216" w14:textId="77777777">
      <w:pPr>
        <w:spacing w:line="259" w:lineRule="auto"/>
        <w:rPr>
          <w:rFonts w:ascii="Arial" w:eastAsia="Calibri" w:hAnsi="Arial" w:cs="Arial"/>
          <w:sz w:val="22"/>
          <w:szCs w:val="22"/>
        </w:rPr>
      </w:pPr>
      <w:r w:rsidRPr="004C0F8B">
        <w:rPr>
          <w:rFonts w:ascii="Arial" w:eastAsia="Calibri" w:hAnsi="Arial" w:cs="Arial"/>
          <w:sz w:val="22"/>
          <w:szCs w:val="22"/>
        </w:rPr>
        <w:t>GAO</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U.S. Government Accountability Office</w:t>
      </w:r>
    </w:p>
    <w:p w:rsidR="00A03576" w:rsidRPr="007D3DFD" w:rsidP="00A03576" w14:paraId="7CA274EC"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GDC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325556">
        <w:rPr>
          <w:rFonts w:ascii="Arial" w:eastAsia="Calibri" w:hAnsi="Arial" w:cs="Arial"/>
          <w:bCs/>
          <w:sz w:val="22"/>
          <w:szCs w:val="22"/>
        </w:rPr>
        <w:t>g</w:t>
      </w:r>
      <w:r w:rsidRPr="004C0F8B">
        <w:rPr>
          <w:rFonts w:ascii="Arial" w:eastAsia="Calibri" w:hAnsi="Arial" w:cs="Arial"/>
          <w:bCs/>
          <w:sz w:val="22"/>
          <w:szCs w:val="22"/>
        </w:rPr>
        <w:t xml:space="preserve">eneral </w:t>
      </w:r>
      <w:r w:rsidRPr="004C0F8B" w:rsidR="00325556">
        <w:rPr>
          <w:rFonts w:ascii="Arial" w:eastAsia="Calibri" w:hAnsi="Arial" w:cs="Arial"/>
          <w:bCs/>
          <w:sz w:val="22"/>
          <w:szCs w:val="22"/>
        </w:rPr>
        <w:t>d</w:t>
      </w:r>
      <w:r w:rsidRPr="004C0F8B">
        <w:rPr>
          <w:rFonts w:ascii="Arial" w:eastAsia="Calibri" w:hAnsi="Arial" w:cs="Arial"/>
          <w:bCs/>
          <w:sz w:val="22"/>
          <w:szCs w:val="22"/>
        </w:rPr>
        <w:t xml:space="preserve">esign </w:t>
      </w:r>
      <w:r w:rsidRPr="004C0F8B" w:rsidR="00325556">
        <w:rPr>
          <w:rFonts w:ascii="Arial" w:eastAsia="Calibri" w:hAnsi="Arial" w:cs="Arial"/>
          <w:bCs/>
          <w:sz w:val="22"/>
          <w:szCs w:val="22"/>
        </w:rPr>
        <w:t>c</w:t>
      </w:r>
      <w:r w:rsidRPr="004C0F8B">
        <w:rPr>
          <w:rFonts w:ascii="Arial" w:eastAsia="Calibri" w:hAnsi="Arial" w:cs="Arial"/>
          <w:bCs/>
          <w:sz w:val="22"/>
          <w:szCs w:val="22"/>
        </w:rPr>
        <w:t xml:space="preserve">riteria </w:t>
      </w:r>
    </w:p>
    <w:p w:rsidR="00A03576" w:rsidRPr="007D3DFD" w:rsidP="00A03576" w14:paraId="7F6C8741" w14:textId="77777777">
      <w:pPr>
        <w:spacing w:line="259" w:lineRule="auto"/>
        <w:rPr>
          <w:rFonts w:ascii="Arial" w:eastAsia="Calibri" w:hAnsi="Arial" w:cs="Arial"/>
          <w:sz w:val="22"/>
          <w:szCs w:val="22"/>
        </w:rPr>
      </w:pPr>
      <w:r w:rsidRPr="004C0F8B">
        <w:rPr>
          <w:rFonts w:ascii="Arial" w:eastAsia="Calibri" w:hAnsi="Arial" w:cs="Arial"/>
          <w:sz w:val="22"/>
          <w:szCs w:val="22"/>
        </w:rPr>
        <w:t>GEIS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generic environmental impact statement </w:t>
      </w:r>
    </w:p>
    <w:p w:rsidR="00A03576" w:rsidRPr="007D3DFD" w:rsidP="00A03576" w14:paraId="018DBCD5" w14:textId="77777777">
      <w:pPr>
        <w:spacing w:line="259" w:lineRule="auto"/>
        <w:rPr>
          <w:rFonts w:ascii="Arial" w:eastAsia="Calibri" w:hAnsi="Arial" w:cs="Arial"/>
          <w:sz w:val="22"/>
          <w:szCs w:val="22"/>
        </w:rPr>
      </w:pPr>
      <w:r w:rsidRPr="004C0F8B">
        <w:rPr>
          <w:rFonts w:ascii="Arial" w:eastAsia="Calibri" w:hAnsi="Arial" w:cs="Arial"/>
          <w:sz w:val="22"/>
          <w:szCs w:val="22"/>
        </w:rPr>
        <w:t>GLRO</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generally licensed reactor operator </w:t>
      </w:r>
    </w:p>
    <w:p w:rsidR="00A03576" w:rsidRPr="007D3DFD" w:rsidP="00A03576" w14:paraId="3591E05E"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HALEU  </w:t>
      </w:r>
      <w:r w:rsidR="004C0F8B">
        <w:rPr>
          <w:rFonts w:ascii="Arial" w:eastAsia="Calibri" w:hAnsi="Arial" w:cs="Arial"/>
          <w:bCs/>
          <w:sz w:val="22"/>
          <w:szCs w:val="22"/>
        </w:rPr>
        <w:tab/>
      </w:r>
      <w:r w:rsidR="004C0F8B">
        <w:rPr>
          <w:rFonts w:ascii="Arial" w:eastAsia="Calibri" w:hAnsi="Arial" w:cs="Arial"/>
          <w:bCs/>
          <w:sz w:val="22"/>
          <w:szCs w:val="22"/>
        </w:rPr>
        <w:tab/>
      </w:r>
      <w:r w:rsidRPr="004C0F8B" w:rsidR="002404FB">
        <w:rPr>
          <w:rFonts w:ascii="Arial" w:eastAsia="Calibri" w:hAnsi="Arial" w:cs="Arial"/>
          <w:bCs/>
          <w:sz w:val="22"/>
          <w:szCs w:val="22"/>
        </w:rPr>
        <w:t>h</w:t>
      </w:r>
      <w:r w:rsidRPr="004C0F8B">
        <w:rPr>
          <w:rFonts w:ascii="Arial" w:eastAsia="Calibri" w:hAnsi="Arial" w:cs="Arial"/>
          <w:bCs/>
          <w:sz w:val="22"/>
          <w:szCs w:val="22"/>
        </w:rPr>
        <w:t>igh-</w:t>
      </w:r>
      <w:r w:rsidRPr="004C0F8B" w:rsidR="002404FB">
        <w:rPr>
          <w:rFonts w:ascii="Arial" w:eastAsia="Calibri" w:hAnsi="Arial" w:cs="Arial"/>
          <w:bCs/>
          <w:sz w:val="22"/>
          <w:szCs w:val="22"/>
        </w:rPr>
        <w:t>a</w:t>
      </w:r>
      <w:r w:rsidRPr="004C0F8B">
        <w:rPr>
          <w:rFonts w:ascii="Arial" w:eastAsia="Calibri" w:hAnsi="Arial" w:cs="Arial"/>
          <w:bCs/>
          <w:sz w:val="22"/>
          <w:szCs w:val="22"/>
        </w:rPr>
        <w:t xml:space="preserve">ssay </w:t>
      </w:r>
      <w:r w:rsidRPr="004C0F8B" w:rsidR="002404FB">
        <w:rPr>
          <w:rFonts w:ascii="Arial" w:eastAsia="Calibri" w:hAnsi="Arial" w:cs="Arial"/>
          <w:bCs/>
          <w:sz w:val="22"/>
          <w:szCs w:val="22"/>
        </w:rPr>
        <w:t>l</w:t>
      </w:r>
      <w:r w:rsidRPr="004C0F8B">
        <w:rPr>
          <w:rFonts w:ascii="Arial" w:eastAsia="Calibri" w:hAnsi="Arial" w:cs="Arial"/>
          <w:bCs/>
          <w:sz w:val="22"/>
          <w:szCs w:val="22"/>
        </w:rPr>
        <w:t>ow-</w:t>
      </w:r>
      <w:r w:rsidRPr="004C0F8B" w:rsidR="002404FB">
        <w:rPr>
          <w:rFonts w:ascii="Arial" w:eastAsia="Calibri" w:hAnsi="Arial" w:cs="Arial"/>
          <w:bCs/>
          <w:sz w:val="22"/>
          <w:szCs w:val="22"/>
        </w:rPr>
        <w:t>e</w:t>
      </w:r>
      <w:r w:rsidRPr="004C0F8B">
        <w:rPr>
          <w:rFonts w:ascii="Arial" w:eastAsia="Calibri" w:hAnsi="Arial" w:cs="Arial"/>
          <w:bCs/>
          <w:sz w:val="22"/>
          <w:szCs w:val="22"/>
        </w:rPr>
        <w:t xml:space="preserve">nriched </w:t>
      </w:r>
      <w:r w:rsidRPr="004C0F8B" w:rsidR="002404FB">
        <w:rPr>
          <w:rFonts w:ascii="Arial" w:eastAsia="Calibri" w:hAnsi="Arial" w:cs="Arial"/>
          <w:bCs/>
          <w:sz w:val="22"/>
          <w:szCs w:val="22"/>
        </w:rPr>
        <w:t>u</w:t>
      </w:r>
      <w:r w:rsidRPr="004C0F8B">
        <w:rPr>
          <w:rFonts w:ascii="Arial" w:eastAsia="Calibri" w:hAnsi="Arial" w:cs="Arial"/>
          <w:bCs/>
          <w:sz w:val="22"/>
          <w:szCs w:val="22"/>
        </w:rPr>
        <w:t>ranium</w:t>
      </w:r>
    </w:p>
    <w:p w:rsidR="00A03576" w:rsidRPr="007D3DFD" w:rsidP="00A03576" w14:paraId="38593757" w14:textId="77777777">
      <w:pPr>
        <w:spacing w:line="259" w:lineRule="auto"/>
        <w:rPr>
          <w:rFonts w:ascii="Arial" w:eastAsia="Calibri" w:hAnsi="Arial" w:cs="Arial"/>
          <w:sz w:val="22"/>
          <w:szCs w:val="22"/>
        </w:rPr>
      </w:pPr>
      <w:r w:rsidRPr="004C0F8B">
        <w:rPr>
          <w:rFonts w:ascii="Arial" w:eastAsia="Calibri" w:hAnsi="Arial" w:cs="Arial"/>
          <w:sz w:val="22"/>
          <w:szCs w:val="22"/>
        </w:rPr>
        <w:t>HFE</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human factors engineering</w:t>
      </w:r>
    </w:p>
    <w:p w:rsidR="00A03576" w:rsidRPr="007D3DFD" w:rsidP="00A03576" w14:paraId="51ACC498" w14:textId="77777777">
      <w:pPr>
        <w:spacing w:line="259" w:lineRule="auto"/>
        <w:rPr>
          <w:rFonts w:ascii="Arial" w:eastAsia="Calibri" w:hAnsi="Arial" w:cs="Arial"/>
          <w:sz w:val="22"/>
          <w:szCs w:val="22"/>
        </w:rPr>
      </w:pPr>
      <w:r w:rsidRPr="004C0F8B">
        <w:rPr>
          <w:rFonts w:ascii="Arial" w:eastAsia="Calibri" w:hAnsi="Arial" w:cs="Arial"/>
          <w:sz w:val="22"/>
          <w:szCs w:val="22"/>
        </w:rPr>
        <w:t>HHS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U.S. Department of Health and Human Services</w:t>
      </w:r>
    </w:p>
    <w:p w:rsidR="00A03576" w:rsidRPr="007D3DFD" w:rsidP="00A03576" w14:paraId="6BFED9B3" w14:textId="77777777">
      <w:pPr>
        <w:spacing w:line="259" w:lineRule="auto"/>
        <w:rPr>
          <w:rFonts w:ascii="Arial" w:eastAsia="Calibri" w:hAnsi="Arial" w:cs="Arial"/>
          <w:sz w:val="22"/>
          <w:szCs w:val="22"/>
        </w:rPr>
      </w:pPr>
      <w:r w:rsidRPr="004C0F8B">
        <w:rPr>
          <w:rFonts w:ascii="Arial" w:eastAsia="Calibri" w:hAnsi="Arial" w:cs="Arial"/>
          <w:sz w:val="22"/>
          <w:szCs w:val="22"/>
        </w:rPr>
        <w:t>HSI</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human system interface</w:t>
      </w:r>
    </w:p>
    <w:p w:rsidR="00A03576" w:rsidRPr="007D3DFD" w:rsidP="00A03576" w14:paraId="2AF2AA1B" w14:textId="77777777">
      <w:pPr>
        <w:spacing w:line="259" w:lineRule="auto"/>
        <w:rPr>
          <w:rFonts w:ascii="Arial" w:eastAsia="Calibri" w:hAnsi="Arial" w:cs="Arial"/>
          <w:sz w:val="22"/>
          <w:szCs w:val="22"/>
        </w:rPr>
      </w:pPr>
      <w:r w:rsidRPr="004C0F8B">
        <w:rPr>
          <w:rFonts w:ascii="Arial" w:eastAsia="Calibri" w:hAnsi="Arial" w:cs="Arial"/>
          <w:sz w:val="22"/>
          <w:szCs w:val="22"/>
        </w:rPr>
        <w:t>IAEA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International Atomic Energy Agency</w:t>
      </w:r>
    </w:p>
    <w:p w:rsidR="00A03576" w:rsidRPr="007D3DFD" w:rsidP="00A03576" w14:paraId="3A748DDF"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IEEE  </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Institute of Electrical </w:t>
      </w:r>
      <w:r w:rsidR="005B7DCF">
        <w:rPr>
          <w:rFonts w:ascii="Arial" w:eastAsia="Calibri" w:hAnsi="Arial" w:cs="Arial"/>
          <w:sz w:val="22"/>
          <w:szCs w:val="22"/>
        </w:rPr>
        <w:t xml:space="preserve">and Electronics </w:t>
      </w:r>
      <w:r w:rsidRPr="007D3DFD">
        <w:rPr>
          <w:rFonts w:ascii="Arial" w:eastAsia="Calibri" w:hAnsi="Arial" w:cs="Arial"/>
          <w:sz w:val="22"/>
          <w:szCs w:val="22"/>
        </w:rPr>
        <w:t>Engineers</w:t>
      </w:r>
    </w:p>
    <w:p w:rsidR="00A03576" w:rsidRPr="007D3DFD" w:rsidP="00A03576" w14:paraId="24738977" w14:textId="77777777">
      <w:pPr>
        <w:spacing w:line="259" w:lineRule="auto"/>
        <w:rPr>
          <w:rFonts w:ascii="Arial" w:eastAsia="Calibri" w:hAnsi="Arial" w:cs="Arial"/>
          <w:sz w:val="22"/>
          <w:szCs w:val="22"/>
        </w:rPr>
      </w:pPr>
      <w:r w:rsidRPr="004C0F8B">
        <w:rPr>
          <w:rFonts w:ascii="Arial" w:eastAsia="Calibri" w:hAnsi="Arial" w:cs="Arial"/>
          <w:sz w:val="22"/>
          <w:szCs w:val="22"/>
        </w:rPr>
        <w:t>IEFR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individual early fatality risk </w:t>
      </w:r>
    </w:p>
    <w:p w:rsidR="00A03576" w:rsidRPr="007D3DFD" w:rsidP="00A03576" w14:paraId="7F6D71D1" w14:textId="77777777">
      <w:pPr>
        <w:spacing w:line="259" w:lineRule="auto"/>
        <w:rPr>
          <w:rFonts w:ascii="Arial" w:eastAsia="Calibri" w:hAnsi="Arial" w:cs="Arial"/>
          <w:sz w:val="22"/>
          <w:szCs w:val="22"/>
        </w:rPr>
      </w:pPr>
      <w:r w:rsidRPr="004C0F8B">
        <w:rPr>
          <w:rFonts w:ascii="Arial" w:eastAsia="Calibri" w:hAnsi="Arial" w:cs="Arial"/>
          <w:sz w:val="22"/>
          <w:szCs w:val="22"/>
        </w:rPr>
        <w:t>ILCFR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individual latent cancer fatality risk </w:t>
      </w:r>
    </w:p>
    <w:p w:rsidR="00A03576" w:rsidRPr="007D3DFD" w:rsidP="00A03576" w14:paraId="24B46C18"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ISG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interim staff guidance</w:t>
      </w:r>
    </w:p>
    <w:p w:rsidR="00A03576" w:rsidRPr="007D3DFD" w:rsidP="00A03576" w14:paraId="38A3904A"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ISI </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inservice</w:t>
      </w:r>
      <w:r w:rsidRPr="007D3DFD">
        <w:rPr>
          <w:rFonts w:ascii="Arial" w:eastAsia="Calibri" w:hAnsi="Arial" w:cs="Arial"/>
          <w:sz w:val="22"/>
          <w:szCs w:val="22"/>
        </w:rPr>
        <w:t xml:space="preserve"> inspection </w:t>
      </w:r>
    </w:p>
    <w:p w:rsidR="00A03576" w:rsidRPr="007D3DFD" w:rsidP="00A03576" w14:paraId="75E329DE"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ISO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International Organization for Standardization</w:t>
      </w:r>
    </w:p>
    <w:p w:rsidR="00A03576" w:rsidRPr="007D3DFD" w:rsidP="00A03576" w14:paraId="26CA1253" w14:textId="77777777">
      <w:pPr>
        <w:spacing w:line="259" w:lineRule="auto"/>
        <w:rPr>
          <w:rFonts w:ascii="Arial" w:eastAsia="Calibri" w:hAnsi="Arial" w:cs="Arial"/>
          <w:sz w:val="22"/>
          <w:szCs w:val="22"/>
        </w:rPr>
      </w:pPr>
      <w:r w:rsidRPr="004C0F8B">
        <w:rPr>
          <w:rFonts w:ascii="Arial" w:eastAsia="Calibri" w:hAnsi="Arial" w:cs="Arial"/>
          <w:sz w:val="22"/>
          <w:szCs w:val="22"/>
        </w:rPr>
        <w:t>IST</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inservice</w:t>
      </w:r>
      <w:r w:rsidRPr="007D3DFD">
        <w:rPr>
          <w:rFonts w:ascii="Arial" w:eastAsia="Calibri" w:hAnsi="Arial" w:cs="Arial"/>
          <w:sz w:val="22"/>
          <w:szCs w:val="22"/>
        </w:rPr>
        <w:t xml:space="preserve"> testing</w:t>
      </w:r>
    </w:p>
    <w:p w:rsidR="00A03576" w:rsidRPr="007D3DFD" w:rsidP="00A03576" w14:paraId="312DCA8D" w14:textId="77777777">
      <w:pPr>
        <w:spacing w:line="259" w:lineRule="auto"/>
        <w:rPr>
          <w:rFonts w:ascii="Arial" w:eastAsia="Calibri" w:hAnsi="Arial" w:cs="Arial"/>
          <w:sz w:val="22"/>
          <w:szCs w:val="22"/>
        </w:rPr>
      </w:pPr>
      <w:r w:rsidRPr="004C0F8B">
        <w:rPr>
          <w:rFonts w:ascii="Arial" w:eastAsia="Calibri" w:hAnsi="Arial" w:cs="Arial"/>
          <w:sz w:val="22"/>
          <w:szCs w:val="22"/>
        </w:rPr>
        <w:t>ITAAC</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inspections, tests, analyses, and acceptance criteria</w:t>
      </w:r>
    </w:p>
    <w:p w:rsidR="00A03576" w:rsidRPr="007D3DFD" w:rsidP="00A03576" w14:paraId="44C0593E" w14:textId="77777777">
      <w:pPr>
        <w:spacing w:line="259" w:lineRule="auto"/>
        <w:rPr>
          <w:rFonts w:ascii="Arial" w:eastAsia="Calibri" w:hAnsi="Arial" w:cs="Arial"/>
          <w:sz w:val="22"/>
          <w:szCs w:val="22"/>
        </w:rPr>
      </w:pPr>
      <w:r w:rsidRPr="004C0F8B">
        <w:rPr>
          <w:rFonts w:ascii="Arial" w:eastAsia="Calibri" w:hAnsi="Arial" w:cs="Arial"/>
          <w:sz w:val="22"/>
          <w:szCs w:val="22"/>
        </w:rPr>
        <w:t>LBE</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licensing-basis event</w:t>
      </w:r>
    </w:p>
    <w:p w:rsidR="00A03576" w:rsidRPr="007D3DFD" w:rsidP="00A03576" w14:paraId="222C6715" w14:textId="77777777">
      <w:pPr>
        <w:spacing w:line="259" w:lineRule="auto"/>
        <w:rPr>
          <w:rFonts w:ascii="Arial" w:eastAsia="Calibri" w:hAnsi="Arial" w:cs="Arial"/>
          <w:sz w:val="22"/>
          <w:szCs w:val="22"/>
        </w:rPr>
      </w:pPr>
      <w:r w:rsidRPr="004C0F8B">
        <w:rPr>
          <w:rFonts w:ascii="Arial" w:eastAsia="Calibri" w:hAnsi="Arial" w:cs="Arial"/>
          <w:sz w:val="22"/>
          <w:szCs w:val="22"/>
        </w:rPr>
        <w:t>LER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licensee event report</w:t>
      </w:r>
    </w:p>
    <w:p w:rsidR="00A03576" w:rsidRPr="007D3DFD" w:rsidP="00A03576" w14:paraId="1C7B5604" w14:textId="77777777">
      <w:pPr>
        <w:spacing w:line="259" w:lineRule="auto"/>
        <w:rPr>
          <w:rFonts w:ascii="Arial" w:eastAsia="Calibri" w:hAnsi="Arial" w:cs="Arial"/>
          <w:sz w:val="22"/>
          <w:szCs w:val="22"/>
        </w:rPr>
      </w:pPr>
      <w:r w:rsidRPr="004C0F8B">
        <w:rPr>
          <w:rFonts w:ascii="Arial" w:eastAsia="Calibri" w:hAnsi="Arial" w:cs="Arial"/>
          <w:sz w:val="22"/>
          <w:szCs w:val="22"/>
        </w:rPr>
        <w:t>LERF</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large early release frequency </w:t>
      </w:r>
    </w:p>
    <w:p w:rsidR="00A03576" w:rsidRPr="007D3DFD" w:rsidP="00A03576" w14:paraId="429F9292" w14:textId="77777777">
      <w:pPr>
        <w:spacing w:line="259" w:lineRule="auto"/>
        <w:rPr>
          <w:rFonts w:ascii="Arial" w:eastAsia="Calibri" w:hAnsi="Arial" w:cs="Arial"/>
          <w:sz w:val="22"/>
          <w:szCs w:val="22"/>
        </w:rPr>
      </w:pPr>
      <w:r w:rsidRPr="004C0F8B">
        <w:rPr>
          <w:rFonts w:ascii="Arial" w:eastAsia="Calibri" w:hAnsi="Arial" w:cs="Arial"/>
          <w:sz w:val="22"/>
          <w:szCs w:val="22"/>
        </w:rPr>
        <w:t>LMP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Licensing Modernization Project </w:t>
      </w:r>
    </w:p>
    <w:p w:rsidR="00A03576" w:rsidRPr="007D3DFD" w:rsidP="00A03576" w14:paraId="7EC6D0F0" w14:textId="77777777">
      <w:pPr>
        <w:spacing w:line="259" w:lineRule="auto"/>
        <w:rPr>
          <w:rFonts w:ascii="Arial" w:eastAsia="Calibri" w:hAnsi="Arial" w:cs="Arial"/>
          <w:sz w:val="22"/>
          <w:szCs w:val="22"/>
        </w:rPr>
      </w:pPr>
      <w:r w:rsidRPr="004C0F8B">
        <w:rPr>
          <w:rFonts w:ascii="Arial" w:eastAsia="Calibri" w:hAnsi="Arial" w:cs="Arial"/>
          <w:sz w:val="22"/>
          <w:szCs w:val="22"/>
        </w:rPr>
        <w:t>LNT</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linear no-threshold </w:t>
      </w:r>
    </w:p>
    <w:p w:rsidR="00A03576" w:rsidRPr="007D3DFD" w:rsidP="00A03576" w14:paraId="2C4A8897" w14:textId="77777777">
      <w:pPr>
        <w:spacing w:line="259" w:lineRule="auto"/>
        <w:rPr>
          <w:rFonts w:ascii="Arial" w:eastAsia="Calibri" w:hAnsi="Arial" w:cs="Arial"/>
          <w:sz w:val="22"/>
          <w:szCs w:val="22"/>
        </w:rPr>
      </w:pPr>
      <w:r w:rsidRPr="004C0F8B">
        <w:rPr>
          <w:rFonts w:ascii="Arial" w:eastAsia="Calibri" w:hAnsi="Arial" w:cs="Arial"/>
          <w:sz w:val="22"/>
          <w:szCs w:val="22"/>
        </w:rPr>
        <w:t>LWA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limited work authorization </w:t>
      </w:r>
    </w:p>
    <w:p w:rsidR="00A03576" w:rsidP="00A03576" w14:paraId="4266D701" w14:textId="77777777">
      <w:pPr>
        <w:spacing w:line="259" w:lineRule="auto"/>
        <w:rPr>
          <w:rFonts w:ascii="Arial" w:eastAsia="Calibri" w:hAnsi="Arial" w:cs="Arial"/>
          <w:sz w:val="22"/>
          <w:szCs w:val="22"/>
        </w:rPr>
      </w:pPr>
      <w:r w:rsidRPr="004C0F8B">
        <w:rPr>
          <w:rFonts w:ascii="Arial" w:eastAsia="Calibri" w:hAnsi="Arial" w:cs="Arial"/>
          <w:sz w:val="22"/>
          <w:szCs w:val="22"/>
        </w:rPr>
        <w:t>LWR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light-water reactor</w:t>
      </w:r>
    </w:p>
    <w:p w:rsidR="00891C87" w:rsidRPr="007D3DFD" w:rsidP="00A03576" w14:paraId="7E532C82" w14:textId="77777777">
      <w:pPr>
        <w:spacing w:line="259" w:lineRule="auto"/>
        <w:rPr>
          <w:rFonts w:ascii="Arial" w:eastAsia="Calibri" w:hAnsi="Arial" w:cs="Arial"/>
          <w:sz w:val="22"/>
          <w:szCs w:val="22"/>
        </w:rPr>
      </w:pPr>
      <w:r w:rsidRPr="00FF5693">
        <w:rPr>
          <w:rFonts w:ascii="Arial" w:eastAsia="DengXian" w:hAnsi="Arial" w:cs="Arial"/>
          <w:sz w:val="22"/>
          <w:szCs w:val="22"/>
        </w:rPr>
        <w:t>MC&amp;A</w:t>
      </w:r>
      <w:r w:rsidR="006D0C9D">
        <w:rPr>
          <w:rFonts w:ascii="Arial" w:eastAsia="DengXian" w:hAnsi="Arial" w:cs="Arial"/>
          <w:sz w:val="22"/>
          <w:szCs w:val="22"/>
        </w:rPr>
        <w:tab/>
      </w:r>
      <w:r w:rsidR="006D0C9D">
        <w:rPr>
          <w:rFonts w:ascii="Arial" w:eastAsia="DengXian" w:hAnsi="Arial" w:cs="Arial"/>
          <w:sz w:val="22"/>
          <w:szCs w:val="22"/>
        </w:rPr>
        <w:tab/>
      </w:r>
      <w:r w:rsidR="006D0C9D">
        <w:rPr>
          <w:rFonts w:ascii="Arial" w:eastAsia="DengXian" w:hAnsi="Arial" w:cs="Arial"/>
          <w:sz w:val="22"/>
          <w:szCs w:val="22"/>
        </w:rPr>
        <w:tab/>
      </w:r>
      <w:r w:rsidRPr="00FF5693">
        <w:rPr>
          <w:rFonts w:ascii="Arial" w:eastAsia="DengXian" w:hAnsi="Arial" w:cs="Arial"/>
          <w:sz w:val="22"/>
          <w:szCs w:val="22"/>
        </w:rPr>
        <w:t>material control and accounting</w:t>
      </w:r>
    </w:p>
    <w:p w:rsidR="00A03576" w:rsidRPr="007D3DFD" w:rsidP="00A03576" w14:paraId="57DF6DB0"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MD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0D1068">
        <w:rPr>
          <w:rFonts w:ascii="Arial" w:eastAsia="Calibri" w:hAnsi="Arial" w:cs="Arial"/>
          <w:bCs/>
          <w:sz w:val="22"/>
          <w:szCs w:val="22"/>
        </w:rPr>
        <w:t>m</w:t>
      </w:r>
      <w:r w:rsidRPr="004C0F8B">
        <w:rPr>
          <w:rFonts w:ascii="Arial" w:eastAsia="Calibri" w:hAnsi="Arial" w:cs="Arial"/>
          <w:bCs/>
          <w:sz w:val="22"/>
          <w:szCs w:val="22"/>
        </w:rPr>
        <w:t xml:space="preserve">anagement </w:t>
      </w:r>
      <w:r w:rsidRPr="004C0F8B" w:rsidR="000D1068">
        <w:rPr>
          <w:rFonts w:ascii="Arial" w:eastAsia="Calibri" w:hAnsi="Arial" w:cs="Arial"/>
          <w:bCs/>
          <w:sz w:val="22"/>
          <w:szCs w:val="22"/>
        </w:rPr>
        <w:t>d</w:t>
      </w:r>
      <w:r w:rsidRPr="004C0F8B">
        <w:rPr>
          <w:rFonts w:ascii="Arial" w:eastAsia="Calibri" w:hAnsi="Arial" w:cs="Arial"/>
          <w:bCs/>
          <w:sz w:val="22"/>
          <w:szCs w:val="22"/>
        </w:rPr>
        <w:t>irective</w:t>
      </w:r>
    </w:p>
    <w:p w:rsidR="00A03576" w:rsidRPr="007D3DFD" w:rsidP="00A03576" w14:paraId="317FD985"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ML </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manufacturing license </w:t>
      </w:r>
    </w:p>
    <w:p w:rsidR="00A03576" w:rsidRPr="007D3DFD" w:rsidP="00A03576" w14:paraId="10C8A254" w14:textId="77777777">
      <w:pPr>
        <w:spacing w:line="259" w:lineRule="auto"/>
        <w:rPr>
          <w:rFonts w:ascii="Arial" w:eastAsia="Calibri" w:hAnsi="Arial" w:cs="Arial"/>
          <w:sz w:val="22"/>
          <w:szCs w:val="22"/>
        </w:rPr>
      </w:pPr>
      <w:r w:rsidRPr="004C0F8B">
        <w:rPr>
          <w:rFonts w:ascii="Arial" w:eastAsia="Calibri" w:hAnsi="Arial" w:cs="Arial"/>
          <w:sz w:val="22"/>
          <w:szCs w:val="22"/>
        </w:rPr>
        <w:t>MHA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maximum hypothetical accident </w:t>
      </w:r>
    </w:p>
    <w:p w:rsidR="00A03576" w:rsidRPr="007D3DFD" w:rsidP="00A03576" w14:paraId="7C083047"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MRO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591206">
        <w:rPr>
          <w:rFonts w:ascii="Arial" w:eastAsia="Calibri" w:hAnsi="Arial" w:cs="Arial"/>
          <w:bCs/>
          <w:sz w:val="22"/>
          <w:szCs w:val="22"/>
        </w:rPr>
        <w:t>m</w:t>
      </w:r>
      <w:r w:rsidRPr="004C0F8B">
        <w:rPr>
          <w:rFonts w:ascii="Arial" w:eastAsia="Calibri" w:hAnsi="Arial" w:cs="Arial"/>
          <w:bCs/>
          <w:sz w:val="22"/>
          <w:szCs w:val="22"/>
        </w:rPr>
        <w:t xml:space="preserve">edical </w:t>
      </w:r>
      <w:r w:rsidRPr="004C0F8B" w:rsidR="00591206">
        <w:rPr>
          <w:rFonts w:ascii="Arial" w:eastAsia="Calibri" w:hAnsi="Arial" w:cs="Arial"/>
          <w:bCs/>
          <w:sz w:val="22"/>
          <w:szCs w:val="22"/>
        </w:rPr>
        <w:t>r</w:t>
      </w:r>
      <w:r w:rsidRPr="004C0F8B">
        <w:rPr>
          <w:rFonts w:ascii="Arial" w:eastAsia="Calibri" w:hAnsi="Arial" w:cs="Arial"/>
          <w:bCs/>
          <w:sz w:val="22"/>
          <w:szCs w:val="22"/>
        </w:rPr>
        <w:t xml:space="preserve">eview </w:t>
      </w:r>
      <w:r w:rsidRPr="004C0F8B" w:rsidR="00591206">
        <w:rPr>
          <w:rFonts w:ascii="Arial" w:eastAsia="Calibri" w:hAnsi="Arial" w:cs="Arial"/>
          <w:bCs/>
          <w:sz w:val="22"/>
          <w:szCs w:val="22"/>
        </w:rPr>
        <w:t>o</w:t>
      </w:r>
      <w:r w:rsidRPr="004C0F8B">
        <w:rPr>
          <w:rFonts w:ascii="Arial" w:eastAsia="Calibri" w:hAnsi="Arial" w:cs="Arial"/>
          <w:bCs/>
          <w:sz w:val="22"/>
          <w:szCs w:val="22"/>
        </w:rPr>
        <w:t>fficer</w:t>
      </w:r>
    </w:p>
    <w:p w:rsidR="00A03576" w:rsidRPr="007D3DFD" w:rsidP="00A03576" w14:paraId="613103BC" w14:textId="77777777">
      <w:pPr>
        <w:spacing w:line="259" w:lineRule="auto"/>
        <w:rPr>
          <w:rFonts w:ascii="Arial" w:eastAsia="Calibri" w:hAnsi="Arial" w:cs="Arial"/>
          <w:sz w:val="22"/>
          <w:szCs w:val="22"/>
        </w:rPr>
      </w:pPr>
      <w:r w:rsidRPr="004C0F8B">
        <w:rPr>
          <w:rFonts w:ascii="Arial" w:eastAsia="Calibri" w:hAnsi="Arial" w:cs="Arial"/>
          <w:sz w:val="22"/>
          <w:szCs w:val="22"/>
        </w:rPr>
        <w:t>mSv</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millisievert</w:t>
      </w:r>
    </w:p>
    <w:p w:rsidR="00A03576" w:rsidRPr="007D3DFD" w:rsidP="00A03576" w14:paraId="30692B86" w14:textId="77777777">
      <w:pPr>
        <w:spacing w:line="259" w:lineRule="auto"/>
        <w:rPr>
          <w:rFonts w:ascii="Arial" w:eastAsia="Calibri" w:hAnsi="Arial" w:cs="Arial"/>
          <w:sz w:val="22"/>
          <w:szCs w:val="22"/>
        </w:rPr>
      </w:pPr>
      <w:r w:rsidRPr="004C0F8B">
        <w:rPr>
          <w:rFonts w:ascii="Arial" w:eastAsia="Calibri" w:hAnsi="Arial" w:cs="Arial"/>
          <w:sz w:val="22"/>
          <w:szCs w:val="22"/>
        </w:rPr>
        <w:t>NEI</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Nuclear Energy Institute </w:t>
      </w:r>
    </w:p>
    <w:p w:rsidR="00A03576" w:rsidRPr="007D3DFD" w:rsidP="00A03576" w14:paraId="4DB7808E" w14:textId="77777777">
      <w:pPr>
        <w:spacing w:line="259" w:lineRule="auto"/>
        <w:rPr>
          <w:rFonts w:ascii="Arial" w:eastAsia="Calibri" w:hAnsi="Arial" w:cs="Arial"/>
          <w:sz w:val="22"/>
          <w:szCs w:val="22"/>
        </w:rPr>
      </w:pPr>
      <w:r w:rsidRPr="004C0F8B">
        <w:rPr>
          <w:rFonts w:ascii="Arial" w:eastAsia="Calibri" w:hAnsi="Arial" w:cs="Arial"/>
          <w:sz w:val="22"/>
          <w:szCs w:val="22"/>
        </w:rPr>
        <w:t>NEIMA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Nuclear Energy Innovation and Modernization Act</w:t>
      </w:r>
      <w:r w:rsidR="00C854FE">
        <w:rPr>
          <w:rFonts w:ascii="Arial" w:eastAsia="Calibri" w:hAnsi="Arial" w:cs="Arial"/>
          <w:sz w:val="22"/>
          <w:szCs w:val="22"/>
        </w:rPr>
        <w:t xml:space="preserve"> of 2019</w:t>
      </w:r>
    </w:p>
    <w:p w:rsidR="00A03576" w:rsidRPr="007D3DFD" w:rsidP="00A03576" w14:paraId="13CBAF5D" w14:textId="77777777">
      <w:pPr>
        <w:spacing w:line="259" w:lineRule="auto"/>
        <w:rPr>
          <w:rFonts w:ascii="Arial" w:eastAsia="Calibri" w:hAnsi="Arial" w:cs="Arial"/>
          <w:sz w:val="22"/>
          <w:szCs w:val="22"/>
        </w:rPr>
      </w:pPr>
      <w:r w:rsidRPr="004C0F8B">
        <w:rPr>
          <w:rFonts w:ascii="Arial" w:eastAsia="Calibri" w:hAnsi="Arial" w:cs="Arial"/>
          <w:sz w:val="22"/>
          <w:szCs w:val="22"/>
        </w:rPr>
        <w:t>NEPA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National Environmental Policy Act</w:t>
      </w:r>
    </w:p>
    <w:p w:rsidR="00A03576" w:rsidRPr="007D3DFD" w:rsidP="00A03576" w14:paraId="08134C38" w14:textId="77777777">
      <w:pPr>
        <w:spacing w:line="259" w:lineRule="auto"/>
        <w:rPr>
          <w:rFonts w:ascii="Arial" w:eastAsia="Calibri" w:hAnsi="Arial" w:cs="Arial"/>
          <w:sz w:val="22"/>
          <w:szCs w:val="22"/>
        </w:rPr>
      </w:pPr>
      <w:r w:rsidRPr="004C0F8B">
        <w:rPr>
          <w:rFonts w:ascii="Arial" w:eastAsia="Calibri" w:hAnsi="Arial" w:cs="Arial"/>
          <w:sz w:val="22"/>
          <w:szCs w:val="22"/>
        </w:rPr>
        <w:t>NNAB</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National Nuclear Accrediting Board </w:t>
      </w:r>
    </w:p>
    <w:p w:rsidR="00A03576" w:rsidRPr="007D3DFD" w:rsidP="00A03576" w14:paraId="675FB41E" w14:textId="77777777">
      <w:pPr>
        <w:spacing w:line="259" w:lineRule="auto"/>
        <w:rPr>
          <w:rFonts w:ascii="Arial" w:eastAsia="Calibri" w:hAnsi="Arial" w:cs="Arial"/>
          <w:sz w:val="22"/>
          <w:szCs w:val="22"/>
        </w:rPr>
      </w:pPr>
      <w:r w:rsidRPr="004C0F8B">
        <w:rPr>
          <w:rFonts w:ascii="Arial" w:eastAsia="Calibri" w:hAnsi="Arial" w:cs="Arial"/>
          <w:sz w:val="22"/>
          <w:szCs w:val="22"/>
        </w:rPr>
        <w:t>non-LWR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non-light-water reactor</w:t>
      </w:r>
    </w:p>
    <w:p w:rsidR="00A03576" w:rsidRPr="007D3DFD" w:rsidP="00A03576" w14:paraId="5D8DD071" w14:textId="77777777">
      <w:pPr>
        <w:spacing w:line="259" w:lineRule="auto"/>
        <w:rPr>
          <w:rFonts w:ascii="Arial" w:eastAsia="Calibri" w:hAnsi="Arial" w:cs="Arial"/>
          <w:sz w:val="22"/>
          <w:szCs w:val="22"/>
        </w:rPr>
      </w:pPr>
      <w:r w:rsidRPr="004C0F8B">
        <w:rPr>
          <w:rFonts w:ascii="Arial" w:eastAsia="Calibri" w:hAnsi="Arial" w:cs="Arial"/>
          <w:sz w:val="22"/>
          <w:szCs w:val="22"/>
        </w:rPr>
        <w:t>NPS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National Preparedness System</w:t>
      </w:r>
    </w:p>
    <w:p w:rsidR="00A03576" w:rsidRPr="007D3DFD" w:rsidP="00A03576" w14:paraId="24826E52" w14:textId="77777777">
      <w:pPr>
        <w:spacing w:line="259" w:lineRule="auto"/>
        <w:rPr>
          <w:rFonts w:ascii="Arial" w:eastAsia="Calibri" w:hAnsi="Arial" w:cs="Arial"/>
          <w:sz w:val="22"/>
          <w:szCs w:val="22"/>
        </w:rPr>
      </w:pPr>
      <w:r w:rsidRPr="004C0F8B">
        <w:rPr>
          <w:rFonts w:ascii="Arial" w:eastAsia="Calibri" w:hAnsi="Arial" w:cs="Arial"/>
          <w:sz w:val="22"/>
          <w:szCs w:val="22"/>
        </w:rPr>
        <w:t>NPUF</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non-power production or utilization facility</w:t>
      </w:r>
    </w:p>
    <w:p w:rsidR="00A03576" w:rsidRPr="007D3DFD" w:rsidP="00A03576" w14:paraId="3ACF0F83" w14:textId="77777777">
      <w:pPr>
        <w:spacing w:line="259" w:lineRule="auto"/>
        <w:rPr>
          <w:rFonts w:ascii="Arial" w:eastAsia="Calibri" w:hAnsi="Arial" w:cs="Arial"/>
          <w:sz w:val="22"/>
          <w:szCs w:val="22"/>
        </w:rPr>
      </w:pPr>
      <w:r w:rsidRPr="004C0F8B">
        <w:rPr>
          <w:rFonts w:ascii="Arial" w:eastAsia="Calibri" w:hAnsi="Arial" w:cs="Arial"/>
          <w:sz w:val="22"/>
          <w:szCs w:val="22"/>
        </w:rPr>
        <w:t>NQA-1</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Nuclear Quality Assurance-1 standard</w:t>
      </w:r>
    </w:p>
    <w:p w:rsidR="00A03576" w:rsidRPr="007D3DFD" w:rsidP="00A03576" w14:paraId="3492F89F" w14:textId="77777777">
      <w:pPr>
        <w:spacing w:line="259" w:lineRule="auto"/>
        <w:rPr>
          <w:rFonts w:ascii="Arial" w:eastAsia="Calibri" w:hAnsi="Arial" w:cs="Arial"/>
          <w:sz w:val="22"/>
          <w:szCs w:val="22"/>
        </w:rPr>
      </w:pPr>
      <w:r w:rsidRPr="004C0F8B">
        <w:rPr>
          <w:rFonts w:ascii="Arial" w:eastAsia="Calibri" w:hAnsi="Arial" w:cs="Arial"/>
          <w:sz w:val="22"/>
          <w:szCs w:val="22"/>
        </w:rPr>
        <w:t>NRC</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U.S. Nuclear Regulatory Commission</w:t>
      </w:r>
    </w:p>
    <w:p w:rsidR="00A03576" w:rsidRPr="007D3DFD" w:rsidP="00A03576" w14:paraId="0558B20C" w14:textId="77777777">
      <w:pPr>
        <w:spacing w:line="259" w:lineRule="auto"/>
        <w:rPr>
          <w:rFonts w:ascii="Arial" w:eastAsia="Calibri" w:hAnsi="Arial" w:cs="Arial"/>
          <w:sz w:val="22"/>
          <w:szCs w:val="22"/>
        </w:rPr>
      </w:pPr>
      <w:r w:rsidRPr="004C0F8B">
        <w:rPr>
          <w:rFonts w:ascii="Arial" w:eastAsia="Calibri" w:hAnsi="Arial" w:cs="Arial"/>
          <w:sz w:val="22"/>
          <w:szCs w:val="22"/>
        </w:rPr>
        <w:t>NRF</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National Response Framework </w:t>
      </w:r>
    </w:p>
    <w:p w:rsidR="00A03576" w:rsidRPr="007D3DFD" w:rsidP="00A03576" w14:paraId="36B3385F" w14:textId="77777777">
      <w:pPr>
        <w:spacing w:line="259" w:lineRule="auto"/>
        <w:rPr>
          <w:rFonts w:ascii="Arial" w:eastAsia="Calibri" w:hAnsi="Arial" w:cs="Arial"/>
          <w:sz w:val="22"/>
          <w:szCs w:val="22"/>
        </w:rPr>
      </w:pPr>
      <w:r w:rsidRPr="004C0F8B">
        <w:rPr>
          <w:rFonts w:ascii="Arial" w:eastAsia="Calibri" w:hAnsi="Arial" w:cs="Arial"/>
          <w:sz w:val="22"/>
          <w:szCs w:val="22"/>
        </w:rPr>
        <w:t>NRIA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Nuclear/Radiological Incident Annex </w:t>
      </w:r>
    </w:p>
    <w:p w:rsidR="00A03576" w:rsidRPr="007D3DFD" w:rsidP="00A03576" w14:paraId="14866F54" w14:textId="77777777">
      <w:pPr>
        <w:spacing w:line="259" w:lineRule="auto"/>
        <w:rPr>
          <w:rFonts w:ascii="Arial" w:eastAsia="Calibri" w:hAnsi="Arial" w:cs="Arial"/>
          <w:sz w:val="22"/>
          <w:szCs w:val="22"/>
        </w:rPr>
      </w:pPr>
      <w:r w:rsidRPr="004C0F8B">
        <w:rPr>
          <w:rFonts w:ascii="Arial" w:eastAsia="Calibri" w:hAnsi="Arial" w:cs="Arial"/>
          <w:sz w:val="22"/>
          <w:szCs w:val="22"/>
        </w:rPr>
        <w:t>NSRSS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non-safety-related but safety-significant </w:t>
      </w:r>
    </w:p>
    <w:p w:rsidR="00A03576" w:rsidRPr="007D3DFD" w:rsidP="00A03576" w14:paraId="0469A2B1" w14:textId="77777777">
      <w:pPr>
        <w:spacing w:line="259" w:lineRule="auto"/>
        <w:rPr>
          <w:rFonts w:ascii="Arial" w:eastAsia="Calibri" w:hAnsi="Arial" w:cs="Arial"/>
          <w:sz w:val="22"/>
          <w:szCs w:val="22"/>
        </w:rPr>
      </w:pPr>
      <w:r w:rsidRPr="004C0F8B">
        <w:rPr>
          <w:rFonts w:ascii="Arial" w:eastAsia="Calibri" w:hAnsi="Arial" w:cs="Arial"/>
          <w:sz w:val="22"/>
          <w:szCs w:val="22"/>
        </w:rPr>
        <w:t>NSS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Nuclear Security Series</w:t>
      </w:r>
    </w:p>
    <w:p w:rsidR="00A03576" w:rsidRPr="007D3DFD" w:rsidP="00A03576" w14:paraId="6393041D" w14:textId="77777777">
      <w:pPr>
        <w:spacing w:line="259" w:lineRule="auto"/>
        <w:rPr>
          <w:rFonts w:ascii="Arial" w:eastAsia="Calibri" w:hAnsi="Arial" w:cs="Arial"/>
          <w:sz w:val="22"/>
          <w:szCs w:val="22"/>
        </w:rPr>
      </w:pPr>
      <w:r w:rsidRPr="004C0F8B">
        <w:rPr>
          <w:rFonts w:ascii="Arial" w:eastAsia="Calibri" w:hAnsi="Arial" w:cs="Arial"/>
          <w:sz w:val="22"/>
          <w:szCs w:val="22"/>
        </w:rPr>
        <w:t>NTIAP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Near-Term Implementation Action Plans </w:t>
      </w:r>
    </w:p>
    <w:p w:rsidR="00A03576" w:rsidRPr="007D3DFD" w:rsidP="00A03576" w14:paraId="1A11C5FF" w14:textId="77777777">
      <w:pPr>
        <w:spacing w:line="259" w:lineRule="auto"/>
        <w:rPr>
          <w:rFonts w:ascii="Arial" w:eastAsia="Calibri" w:hAnsi="Arial" w:cs="Arial"/>
          <w:sz w:val="22"/>
          <w:szCs w:val="22"/>
        </w:rPr>
      </w:pPr>
      <w:r w:rsidRPr="004C0F8B">
        <w:rPr>
          <w:rFonts w:ascii="Arial" w:eastAsia="Calibri" w:hAnsi="Arial" w:cs="Arial"/>
          <w:sz w:val="22"/>
          <w:szCs w:val="22"/>
        </w:rPr>
        <w:t>NTTAA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National Technology Transfer and Advancement Act of 1995</w:t>
      </w:r>
    </w:p>
    <w:p w:rsidR="00A03576" w:rsidRPr="007D3DFD" w:rsidP="00A03576" w14:paraId="36E58BF9" w14:textId="77777777">
      <w:pPr>
        <w:spacing w:line="259" w:lineRule="auto"/>
        <w:rPr>
          <w:rFonts w:ascii="Arial" w:eastAsia="Calibri" w:hAnsi="Arial" w:cs="Arial"/>
          <w:sz w:val="22"/>
          <w:szCs w:val="22"/>
        </w:rPr>
      </w:pPr>
      <w:r w:rsidRPr="004C0F8B">
        <w:rPr>
          <w:rFonts w:ascii="Arial" w:eastAsia="Calibri" w:hAnsi="Arial" w:cs="Arial"/>
          <w:sz w:val="22"/>
          <w:szCs w:val="22"/>
        </w:rPr>
        <w:t>NUREG</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E63B8C">
        <w:rPr>
          <w:rFonts w:ascii="Arial" w:eastAsia="Calibri" w:hAnsi="Arial" w:cs="Arial"/>
          <w:bCs/>
          <w:sz w:val="22"/>
          <w:szCs w:val="22"/>
        </w:rPr>
        <w:t>NRC</w:t>
      </w:r>
      <w:r w:rsidRPr="007D3DFD">
        <w:rPr>
          <w:rFonts w:ascii="Arial" w:eastAsia="Calibri" w:hAnsi="Arial" w:cs="Arial"/>
          <w:sz w:val="22"/>
          <w:szCs w:val="22"/>
        </w:rPr>
        <w:t xml:space="preserve"> technical report designation</w:t>
      </w:r>
    </w:p>
    <w:p w:rsidR="00A03576" w:rsidRPr="007D3DFD" w:rsidP="00A03576" w14:paraId="1F379C1C" w14:textId="77777777">
      <w:pPr>
        <w:spacing w:line="259" w:lineRule="auto"/>
        <w:rPr>
          <w:rFonts w:ascii="Arial" w:eastAsia="Calibri" w:hAnsi="Arial" w:cs="Arial"/>
          <w:sz w:val="22"/>
          <w:szCs w:val="22"/>
        </w:rPr>
      </w:pPr>
      <w:r w:rsidRPr="004C0F8B">
        <w:rPr>
          <w:rFonts w:ascii="Arial" w:eastAsia="Calibri" w:hAnsi="Arial" w:cs="Arial"/>
          <w:sz w:val="22"/>
          <w:szCs w:val="22"/>
        </w:rPr>
        <w:t>OAS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Organization of Agreement States </w:t>
      </w:r>
    </w:p>
    <w:p w:rsidR="00A03576" w:rsidRPr="007D3DFD" w:rsidP="00A03576" w14:paraId="336CB10B" w14:textId="77777777">
      <w:pPr>
        <w:spacing w:line="259" w:lineRule="auto"/>
        <w:rPr>
          <w:rFonts w:ascii="Arial" w:eastAsia="Calibri" w:hAnsi="Arial" w:cs="Arial"/>
          <w:sz w:val="22"/>
          <w:szCs w:val="22"/>
        </w:rPr>
      </w:pPr>
      <w:r w:rsidRPr="004C0F8B">
        <w:rPr>
          <w:rFonts w:ascii="Arial" w:eastAsia="Calibri" w:hAnsi="Arial" w:cs="Arial"/>
          <w:sz w:val="22"/>
          <w:szCs w:val="22"/>
        </w:rPr>
        <w:t>OCA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owner-controlled area</w:t>
      </w:r>
    </w:p>
    <w:p w:rsidR="00A03576" w:rsidRPr="007D3DFD" w:rsidP="00A03576" w14:paraId="6BD0C8C9"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ODCM  </w:t>
      </w:r>
      <w:r w:rsidR="004C0F8B">
        <w:rPr>
          <w:rFonts w:ascii="Arial" w:eastAsia="Calibri" w:hAnsi="Arial" w:cs="Arial"/>
          <w:bCs/>
          <w:sz w:val="22"/>
          <w:szCs w:val="22"/>
        </w:rPr>
        <w:tab/>
      </w:r>
      <w:r w:rsidR="004C0F8B">
        <w:rPr>
          <w:rFonts w:ascii="Arial" w:eastAsia="Calibri" w:hAnsi="Arial" w:cs="Arial"/>
          <w:bCs/>
          <w:sz w:val="22"/>
          <w:szCs w:val="22"/>
        </w:rPr>
        <w:tab/>
      </w:r>
      <w:r w:rsidRPr="004C0F8B" w:rsidR="00D07C33">
        <w:rPr>
          <w:rFonts w:ascii="Arial" w:eastAsia="Calibri" w:hAnsi="Arial" w:cs="Arial"/>
          <w:bCs/>
          <w:sz w:val="22"/>
          <w:szCs w:val="22"/>
        </w:rPr>
        <w:t>o</w:t>
      </w:r>
      <w:r w:rsidRPr="004C0F8B">
        <w:rPr>
          <w:rFonts w:ascii="Arial" w:eastAsia="Calibri" w:hAnsi="Arial" w:cs="Arial"/>
          <w:bCs/>
          <w:sz w:val="22"/>
          <w:szCs w:val="22"/>
        </w:rPr>
        <w:t xml:space="preserve">ffsite </w:t>
      </w:r>
      <w:r w:rsidRPr="004C0F8B" w:rsidR="00D07C33">
        <w:rPr>
          <w:rFonts w:ascii="Arial" w:eastAsia="Calibri" w:hAnsi="Arial" w:cs="Arial"/>
          <w:bCs/>
          <w:sz w:val="22"/>
          <w:szCs w:val="22"/>
        </w:rPr>
        <w:t>d</w:t>
      </w:r>
      <w:r w:rsidRPr="004C0F8B">
        <w:rPr>
          <w:rFonts w:ascii="Arial" w:eastAsia="Calibri" w:hAnsi="Arial" w:cs="Arial"/>
          <w:bCs/>
          <w:sz w:val="22"/>
          <w:szCs w:val="22"/>
        </w:rPr>
        <w:t xml:space="preserve">ose </w:t>
      </w:r>
      <w:r w:rsidRPr="004C0F8B" w:rsidR="00D07C33">
        <w:rPr>
          <w:rFonts w:ascii="Arial" w:eastAsia="Calibri" w:hAnsi="Arial" w:cs="Arial"/>
          <w:bCs/>
          <w:sz w:val="22"/>
          <w:szCs w:val="22"/>
        </w:rPr>
        <w:t>c</w:t>
      </w:r>
      <w:r w:rsidRPr="004C0F8B">
        <w:rPr>
          <w:rFonts w:ascii="Arial" w:eastAsia="Calibri" w:hAnsi="Arial" w:cs="Arial"/>
          <w:bCs/>
          <w:sz w:val="22"/>
          <w:szCs w:val="22"/>
        </w:rPr>
        <w:t xml:space="preserve">alculation </w:t>
      </w:r>
      <w:r w:rsidRPr="004C0F8B" w:rsidR="00D07C33">
        <w:rPr>
          <w:rFonts w:ascii="Arial" w:eastAsia="Calibri" w:hAnsi="Arial" w:cs="Arial"/>
          <w:bCs/>
          <w:sz w:val="22"/>
          <w:szCs w:val="22"/>
        </w:rPr>
        <w:t>m</w:t>
      </w:r>
      <w:r w:rsidRPr="004C0F8B">
        <w:rPr>
          <w:rFonts w:ascii="Arial" w:eastAsia="Calibri" w:hAnsi="Arial" w:cs="Arial"/>
          <w:bCs/>
          <w:sz w:val="22"/>
          <w:szCs w:val="22"/>
        </w:rPr>
        <w:t xml:space="preserve">anual </w:t>
      </w:r>
    </w:p>
    <w:p w:rsidR="00A03576" w:rsidRPr="007D3DFD" w:rsidP="00A03576" w14:paraId="43B3C666" w14:textId="77777777">
      <w:pPr>
        <w:spacing w:line="259" w:lineRule="auto"/>
        <w:rPr>
          <w:rFonts w:ascii="Arial" w:eastAsia="Calibri" w:hAnsi="Arial" w:cs="Arial"/>
          <w:sz w:val="22"/>
          <w:szCs w:val="22"/>
        </w:rPr>
      </w:pPr>
      <w:r w:rsidRPr="004C0F8B">
        <w:rPr>
          <w:rFonts w:ascii="Arial" w:eastAsia="Calibri" w:hAnsi="Arial" w:cs="Arial"/>
          <w:sz w:val="22"/>
          <w:szCs w:val="22"/>
        </w:rPr>
        <w:t>OL</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operating license</w:t>
      </w:r>
    </w:p>
    <w:p w:rsidR="00A03576" w:rsidRPr="007D3DFD" w:rsidP="00A03576" w14:paraId="62CF08CD" w14:textId="77777777">
      <w:pPr>
        <w:spacing w:line="259" w:lineRule="auto"/>
        <w:rPr>
          <w:rFonts w:ascii="Arial" w:eastAsia="Calibri" w:hAnsi="Arial" w:cs="Arial"/>
          <w:sz w:val="22"/>
          <w:szCs w:val="22"/>
        </w:rPr>
      </w:pPr>
      <w:r w:rsidRPr="004C0F8B">
        <w:rPr>
          <w:rFonts w:ascii="Arial" w:eastAsia="Calibri" w:hAnsi="Arial" w:cs="Arial"/>
          <w:sz w:val="22"/>
          <w:szCs w:val="22"/>
        </w:rPr>
        <w:t>OMB</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Office of Management and Budget</w:t>
      </w:r>
    </w:p>
    <w:p w:rsidR="00A03576" w:rsidRPr="007D3DFD" w:rsidP="00A03576" w14:paraId="3B9180D5" w14:textId="77777777">
      <w:pPr>
        <w:spacing w:line="259" w:lineRule="auto"/>
        <w:rPr>
          <w:rFonts w:ascii="Arial" w:eastAsia="Calibri" w:hAnsi="Arial" w:cs="Arial"/>
          <w:sz w:val="22"/>
          <w:szCs w:val="22"/>
        </w:rPr>
      </w:pPr>
      <w:r w:rsidRPr="004C0F8B">
        <w:rPr>
          <w:rFonts w:ascii="Arial" w:eastAsia="Calibri" w:hAnsi="Arial" w:cs="Arial"/>
          <w:sz w:val="22"/>
          <w:szCs w:val="22"/>
        </w:rPr>
        <w:t>PAG</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protective action guide</w:t>
      </w:r>
    </w:p>
    <w:p w:rsidR="00A03576" w:rsidRPr="007D3DFD" w:rsidP="00A03576" w14:paraId="5808357B" w14:textId="77777777">
      <w:pPr>
        <w:spacing w:line="259" w:lineRule="auto"/>
        <w:rPr>
          <w:rFonts w:ascii="Arial" w:eastAsia="Calibri" w:hAnsi="Arial" w:cs="Arial"/>
          <w:sz w:val="22"/>
          <w:szCs w:val="22"/>
        </w:rPr>
      </w:pPr>
      <w:r w:rsidRPr="004C0F8B">
        <w:rPr>
          <w:rFonts w:ascii="Arial" w:eastAsia="Calibri" w:hAnsi="Arial" w:cs="Arial"/>
          <w:sz w:val="22"/>
          <w:szCs w:val="22"/>
        </w:rPr>
        <w:t>PMRP</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performance monitoring and review program</w:t>
      </w:r>
    </w:p>
    <w:p w:rsidR="00A03576" w:rsidRPr="007D3DFD" w:rsidP="00A03576" w14:paraId="4DF8A22C" w14:textId="77777777">
      <w:pPr>
        <w:spacing w:line="259" w:lineRule="auto"/>
        <w:rPr>
          <w:rFonts w:ascii="Arial" w:eastAsia="Calibri" w:hAnsi="Arial" w:cs="Arial"/>
          <w:sz w:val="22"/>
          <w:szCs w:val="22"/>
        </w:rPr>
      </w:pPr>
      <w:r w:rsidRPr="004C0F8B">
        <w:rPr>
          <w:rFonts w:ascii="Arial" w:eastAsia="Calibri" w:hAnsi="Arial" w:cs="Arial"/>
          <w:sz w:val="22"/>
          <w:szCs w:val="22"/>
        </w:rPr>
        <w:t>POCT</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point of collection testing </w:t>
      </w:r>
    </w:p>
    <w:p w:rsidR="00A03576" w:rsidRPr="007D3DFD" w:rsidP="00A03576" w14:paraId="567260CD" w14:textId="77777777">
      <w:pPr>
        <w:spacing w:line="259" w:lineRule="auto"/>
        <w:rPr>
          <w:rFonts w:ascii="Arial" w:eastAsia="Calibri" w:hAnsi="Arial" w:cs="Arial"/>
          <w:sz w:val="22"/>
          <w:szCs w:val="22"/>
        </w:rPr>
      </w:pPr>
      <w:r w:rsidRPr="004C0F8B">
        <w:rPr>
          <w:rFonts w:ascii="Arial" w:eastAsia="Calibri" w:hAnsi="Arial" w:cs="Arial"/>
          <w:sz w:val="22"/>
          <w:szCs w:val="22"/>
        </w:rPr>
        <w:t>POCTA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point of collection testing and assessment </w:t>
      </w:r>
    </w:p>
    <w:p w:rsidR="00A03576" w:rsidRPr="007D3DFD" w:rsidP="00A03576" w14:paraId="7CF88B1C" w14:textId="77777777">
      <w:pPr>
        <w:spacing w:line="259" w:lineRule="auto"/>
        <w:rPr>
          <w:rFonts w:ascii="Arial" w:eastAsia="Calibri" w:hAnsi="Arial" w:cs="Arial"/>
          <w:sz w:val="22"/>
          <w:szCs w:val="22"/>
        </w:rPr>
      </w:pPr>
      <w:r w:rsidRPr="004C0F8B">
        <w:rPr>
          <w:rFonts w:ascii="Arial" w:eastAsia="Calibri" w:hAnsi="Arial" w:cs="Arial"/>
          <w:sz w:val="22"/>
          <w:szCs w:val="22"/>
        </w:rPr>
        <w:t>PPS</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performance-based physical security </w:t>
      </w:r>
    </w:p>
    <w:p w:rsidR="00A03576" w:rsidRPr="007D3DFD" w:rsidP="00A03576" w14:paraId="65FDADED" w14:textId="77777777">
      <w:pPr>
        <w:spacing w:line="259" w:lineRule="auto"/>
        <w:rPr>
          <w:rFonts w:ascii="Arial" w:eastAsia="Calibri" w:hAnsi="Arial" w:cs="Arial"/>
          <w:sz w:val="22"/>
          <w:szCs w:val="22"/>
        </w:rPr>
      </w:pPr>
      <w:r w:rsidRPr="004C0F8B">
        <w:rPr>
          <w:rFonts w:ascii="Arial" w:eastAsia="Calibri" w:hAnsi="Arial" w:cs="Arial"/>
          <w:sz w:val="22"/>
          <w:szCs w:val="22"/>
        </w:rPr>
        <w:t>PRA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probabilistic risk assessment </w:t>
      </w:r>
    </w:p>
    <w:p w:rsidR="00A03576" w:rsidRPr="007D3DFD" w:rsidP="00A03576" w14:paraId="50064792" w14:textId="77777777">
      <w:pPr>
        <w:spacing w:line="259" w:lineRule="auto"/>
        <w:rPr>
          <w:rFonts w:ascii="Arial" w:eastAsia="Calibri" w:hAnsi="Arial" w:cs="Arial"/>
          <w:sz w:val="22"/>
          <w:szCs w:val="22"/>
        </w:rPr>
      </w:pPr>
      <w:r w:rsidRPr="004C0F8B">
        <w:rPr>
          <w:rFonts w:ascii="Arial" w:eastAsia="Calibri" w:hAnsi="Arial" w:cs="Arial"/>
          <w:sz w:val="22"/>
          <w:szCs w:val="22"/>
        </w:rPr>
        <w:t>PSDAR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post-shutdown decommissioning activities report</w:t>
      </w:r>
    </w:p>
    <w:p w:rsidR="00A03576" w:rsidRPr="007D3DFD" w:rsidP="00A03576" w14:paraId="1BF48A27" w14:textId="77777777">
      <w:pPr>
        <w:spacing w:line="259" w:lineRule="auto"/>
        <w:rPr>
          <w:rFonts w:ascii="Arial" w:eastAsia="Calibri" w:hAnsi="Arial" w:cs="Arial"/>
          <w:sz w:val="22"/>
          <w:szCs w:val="22"/>
        </w:rPr>
      </w:pPr>
      <w:r w:rsidRPr="004C0F8B">
        <w:rPr>
          <w:rFonts w:ascii="Arial" w:eastAsia="Calibri" w:hAnsi="Arial" w:cs="Arial"/>
          <w:sz w:val="22"/>
          <w:szCs w:val="22"/>
        </w:rPr>
        <w:t>QA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quality assurance</w:t>
      </w:r>
    </w:p>
    <w:p w:rsidR="00A03576" w:rsidRPr="007D3DFD" w:rsidP="00A03576" w14:paraId="0F64B30B" w14:textId="77777777">
      <w:pPr>
        <w:spacing w:line="259" w:lineRule="auto"/>
        <w:rPr>
          <w:rFonts w:ascii="Arial" w:eastAsia="Calibri" w:hAnsi="Arial" w:cs="Arial"/>
          <w:sz w:val="22"/>
          <w:szCs w:val="22"/>
        </w:rPr>
      </w:pPr>
      <w:r w:rsidRPr="004C0F8B">
        <w:rPr>
          <w:rFonts w:ascii="Arial" w:eastAsia="Calibri" w:hAnsi="Arial" w:cs="Arial"/>
          <w:sz w:val="22"/>
          <w:szCs w:val="22"/>
        </w:rPr>
        <w:t>QHO</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quantitative health objective</w:t>
      </w:r>
    </w:p>
    <w:p w:rsidR="00A03576" w:rsidRPr="007D3DFD" w:rsidP="00A03576" w14:paraId="25355B4E" w14:textId="77777777">
      <w:pPr>
        <w:spacing w:line="259" w:lineRule="auto"/>
        <w:rPr>
          <w:rFonts w:ascii="Arial" w:eastAsia="Calibri" w:hAnsi="Arial" w:cs="Arial"/>
          <w:sz w:val="22"/>
          <w:szCs w:val="22"/>
        </w:rPr>
      </w:pPr>
      <w:r w:rsidRPr="004C0F8B">
        <w:rPr>
          <w:rFonts w:ascii="Arial" w:eastAsia="Calibri" w:hAnsi="Arial" w:cs="Arial"/>
          <w:sz w:val="22"/>
          <w:szCs w:val="22"/>
        </w:rPr>
        <w:t>RA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regulatory analysis </w:t>
      </w:r>
    </w:p>
    <w:p w:rsidR="00A03576" w:rsidP="00A03576" w14:paraId="0AFC7C8E" w14:textId="77777777">
      <w:pPr>
        <w:spacing w:line="259" w:lineRule="auto"/>
        <w:rPr>
          <w:rFonts w:ascii="Arial" w:eastAsia="Calibri" w:hAnsi="Arial" w:cs="Arial"/>
          <w:sz w:val="22"/>
          <w:szCs w:val="22"/>
        </w:rPr>
      </w:pPr>
      <w:r w:rsidRPr="004C0F8B">
        <w:rPr>
          <w:rFonts w:ascii="Arial" w:eastAsia="Calibri" w:hAnsi="Arial" w:cs="Arial"/>
          <w:sz w:val="22"/>
          <w:szCs w:val="22"/>
        </w:rPr>
        <w:t>rem</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roentgen equivalent man</w:t>
      </w:r>
    </w:p>
    <w:p w:rsidR="00C428B4" w:rsidRPr="007D3DFD" w:rsidP="00A03576" w14:paraId="1343166D" w14:textId="77777777">
      <w:pPr>
        <w:spacing w:line="259" w:lineRule="auto"/>
        <w:rPr>
          <w:rFonts w:ascii="Arial" w:eastAsia="Calibri" w:hAnsi="Arial" w:cs="Arial"/>
          <w:sz w:val="22"/>
          <w:szCs w:val="22"/>
        </w:rPr>
      </w:pPr>
      <w:r w:rsidRPr="004C0F8B">
        <w:rPr>
          <w:rFonts w:ascii="Arial" w:eastAsia="Calibri" w:hAnsi="Arial" w:cs="Arial"/>
          <w:sz w:val="22"/>
          <w:szCs w:val="22"/>
        </w:rPr>
        <w:t>RE factor</w:t>
      </w:r>
      <w:r>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Pr>
          <w:rFonts w:ascii="Arial" w:eastAsia="Calibri" w:hAnsi="Arial" w:cs="Arial"/>
          <w:sz w:val="22"/>
          <w:szCs w:val="22"/>
        </w:rPr>
        <w:t>relative effectiveness factor</w:t>
      </w:r>
    </w:p>
    <w:p w:rsidR="00A03576" w:rsidRPr="007D3DFD" w:rsidP="00A03576" w14:paraId="0FC007FA" w14:textId="77777777">
      <w:pPr>
        <w:spacing w:line="259" w:lineRule="auto"/>
        <w:rPr>
          <w:rFonts w:ascii="Arial" w:eastAsia="Calibri" w:hAnsi="Arial" w:cs="Arial"/>
          <w:sz w:val="22"/>
          <w:szCs w:val="22"/>
        </w:rPr>
      </w:pPr>
      <w:r w:rsidRPr="004C0F8B">
        <w:rPr>
          <w:rFonts w:ascii="Arial" w:eastAsia="Calibri" w:hAnsi="Arial" w:cs="Arial"/>
          <w:sz w:val="22"/>
          <w:szCs w:val="22"/>
        </w:rPr>
        <w:t>RFC</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request for comment</w:t>
      </w:r>
    </w:p>
    <w:p w:rsidR="00A03576" w:rsidRPr="007D3DFD" w:rsidP="00A03576" w14:paraId="54FEB405" w14:textId="77777777">
      <w:pPr>
        <w:spacing w:line="259" w:lineRule="auto"/>
        <w:rPr>
          <w:rFonts w:ascii="Arial" w:eastAsia="Calibri" w:hAnsi="Arial" w:cs="Arial"/>
          <w:sz w:val="22"/>
          <w:szCs w:val="22"/>
        </w:rPr>
      </w:pPr>
      <w:r w:rsidRPr="004C0F8B">
        <w:rPr>
          <w:rFonts w:ascii="Arial" w:eastAsia="Calibri" w:hAnsi="Arial" w:cs="Arial"/>
          <w:sz w:val="22"/>
          <w:szCs w:val="22"/>
        </w:rPr>
        <w:t>RG</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regulatory guide </w:t>
      </w:r>
    </w:p>
    <w:p w:rsidR="00A03576" w:rsidRPr="007D3DFD" w:rsidP="00A03576" w14:paraId="4A4D187B" w14:textId="77777777">
      <w:pPr>
        <w:spacing w:line="259" w:lineRule="auto"/>
        <w:rPr>
          <w:rFonts w:ascii="Arial" w:eastAsia="Calibri" w:hAnsi="Arial" w:cs="Arial"/>
          <w:sz w:val="22"/>
          <w:szCs w:val="22"/>
        </w:rPr>
      </w:pPr>
      <w:r w:rsidRPr="004C0F8B">
        <w:rPr>
          <w:rFonts w:ascii="Arial" w:eastAsia="Calibri" w:hAnsi="Arial" w:cs="Arial"/>
          <w:sz w:val="22"/>
          <w:szCs w:val="22"/>
        </w:rPr>
        <w:t>RHDRA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Rapid High-Volume Deployable Reactors in Remote Applications </w:t>
      </w:r>
    </w:p>
    <w:p w:rsidR="00A03576" w:rsidRPr="007D3DFD" w:rsidP="00A03576" w14:paraId="0AB0F968" w14:textId="77777777">
      <w:pPr>
        <w:spacing w:line="259" w:lineRule="auto"/>
        <w:rPr>
          <w:rFonts w:ascii="Arial" w:eastAsia="Calibri" w:hAnsi="Arial" w:cs="Arial"/>
          <w:sz w:val="22"/>
          <w:szCs w:val="22"/>
        </w:rPr>
      </w:pPr>
      <w:r w:rsidRPr="004C0F8B">
        <w:rPr>
          <w:rFonts w:ascii="Arial" w:eastAsia="Calibri" w:hAnsi="Arial" w:cs="Arial"/>
          <w:sz w:val="22"/>
          <w:szCs w:val="22"/>
        </w:rPr>
        <w:t>RIDM</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risk-informed decision-making</w:t>
      </w:r>
    </w:p>
    <w:p w:rsidR="00A03576" w:rsidRPr="007D3DFD" w:rsidP="00A03576" w14:paraId="425CD2A3" w14:textId="77777777">
      <w:pPr>
        <w:spacing w:line="259" w:lineRule="auto"/>
        <w:rPr>
          <w:rFonts w:ascii="Arial" w:eastAsia="Calibri" w:hAnsi="Arial" w:cs="Arial"/>
          <w:sz w:val="22"/>
          <w:szCs w:val="22"/>
        </w:rPr>
      </w:pPr>
      <w:r w:rsidRPr="004C0F8B">
        <w:rPr>
          <w:rFonts w:ascii="Arial" w:eastAsia="Calibri" w:hAnsi="Arial" w:cs="Arial"/>
          <w:sz w:val="22"/>
          <w:szCs w:val="22"/>
        </w:rPr>
        <w:t>RIM</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Reliability and Integrity Management </w:t>
      </w:r>
    </w:p>
    <w:p w:rsidR="00A03576" w:rsidRPr="007D3DFD" w:rsidP="00A03576" w14:paraId="7E099878"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RO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reactor operator</w:t>
      </w:r>
    </w:p>
    <w:p w:rsidR="00A03576" w:rsidRPr="007D3DFD" w:rsidP="00A03576" w14:paraId="512B2AF4"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ROWS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Remotely Operated Weapons System</w:t>
      </w:r>
    </w:p>
    <w:p w:rsidR="00A03576" w:rsidRPr="007D3DFD" w:rsidP="00A03576" w14:paraId="001BBA1F"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SAE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A07F6B">
        <w:rPr>
          <w:rFonts w:ascii="Arial" w:eastAsia="Calibri" w:hAnsi="Arial" w:cs="Arial"/>
          <w:bCs/>
          <w:sz w:val="22"/>
          <w:szCs w:val="22"/>
        </w:rPr>
        <w:t>s</w:t>
      </w:r>
      <w:r w:rsidRPr="004C0F8B">
        <w:rPr>
          <w:rFonts w:ascii="Arial" w:eastAsia="Calibri" w:hAnsi="Arial" w:cs="Arial"/>
          <w:bCs/>
          <w:sz w:val="22"/>
          <w:szCs w:val="22"/>
        </w:rPr>
        <w:t xml:space="preserve">ubstance </w:t>
      </w:r>
      <w:r w:rsidRPr="004C0F8B" w:rsidR="00A07F6B">
        <w:rPr>
          <w:rFonts w:ascii="Arial" w:eastAsia="Calibri" w:hAnsi="Arial" w:cs="Arial"/>
          <w:bCs/>
          <w:sz w:val="22"/>
          <w:szCs w:val="22"/>
        </w:rPr>
        <w:t>a</w:t>
      </w:r>
      <w:r w:rsidRPr="004C0F8B">
        <w:rPr>
          <w:rFonts w:ascii="Arial" w:eastAsia="Calibri" w:hAnsi="Arial" w:cs="Arial"/>
          <w:bCs/>
          <w:sz w:val="22"/>
          <w:szCs w:val="22"/>
        </w:rPr>
        <w:t xml:space="preserve">buse </w:t>
      </w:r>
      <w:r w:rsidRPr="004C0F8B" w:rsidR="00A07F6B">
        <w:rPr>
          <w:rFonts w:ascii="Arial" w:eastAsia="Calibri" w:hAnsi="Arial" w:cs="Arial"/>
          <w:bCs/>
          <w:sz w:val="22"/>
          <w:szCs w:val="22"/>
        </w:rPr>
        <w:t>e</w:t>
      </w:r>
      <w:r w:rsidRPr="004C0F8B">
        <w:rPr>
          <w:rFonts w:ascii="Arial" w:eastAsia="Calibri" w:hAnsi="Arial" w:cs="Arial"/>
          <w:bCs/>
          <w:sz w:val="22"/>
          <w:szCs w:val="22"/>
        </w:rPr>
        <w:t>xpert</w:t>
      </w:r>
    </w:p>
    <w:p w:rsidR="00A03576" w:rsidRPr="007D3DFD" w:rsidP="00A03576" w14:paraId="42BFE4D1" w14:textId="77777777">
      <w:pPr>
        <w:spacing w:line="259" w:lineRule="auto"/>
        <w:rPr>
          <w:rFonts w:ascii="Arial" w:eastAsia="Calibri" w:hAnsi="Arial" w:cs="Arial"/>
          <w:sz w:val="22"/>
          <w:szCs w:val="22"/>
        </w:rPr>
      </w:pPr>
      <w:r w:rsidRPr="004C0F8B">
        <w:rPr>
          <w:rFonts w:ascii="Arial" w:eastAsia="Calibri" w:hAnsi="Arial" w:cs="Arial"/>
          <w:sz w:val="22"/>
          <w:szCs w:val="22"/>
        </w:rPr>
        <w:t>SAFSTOR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nuclear decommissioning method</w:t>
      </w:r>
    </w:p>
    <w:p w:rsidR="00A03576" w:rsidRPr="007D3DFD" w:rsidP="00A03576" w14:paraId="56BA108D" w14:textId="77777777">
      <w:pPr>
        <w:spacing w:line="259" w:lineRule="auto"/>
        <w:rPr>
          <w:rFonts w:ascii="Arial" w:eastAsia="Calibri" w:hAnsi="Arial" w:cs="Arial"/>
          <w:sz w:val="22"/>
          <w:szCs w:val="22"/>
        </w:rPr>
      </w:pPr>
      <w:r w:rsidRPr="004C0F8B">
        <w:rPr>
          <w:rFonts w:ascii="Arial" w:eastAsia="Calibri" w:hAnsi="Arial" w:cs="Arial"/>
          <w:sz w:val="22"/>
          <w:szCs w:val="22"/>
        </w:rPr>
        <w:t>SAR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safety analysis report</w:t>
      </w:r>
    </w:p>
    <w:p w:rsidR="00A03576" w:rsidRPr="007D3DFD" w:rsidP="00A03576" w14:paraId="3B19C54B" w14:textId="77777777">
      <w:pPr>
        <w:spacing w:line="259" w:lineRule="auto"/>
        <w:rPr>
          <w:rFonts w:ascii="Arial" w:eastAsia="Calibri" w:hAnsi="Arial" w:cs="Arial"/>
          <w:sz w:val="22"/>
          <w:szCs w:val="22"/>
        </w:rPr>
      </w:pPr>
      <w:r w:rsidRPr="004C0F8B">
        <w:rPr>
          <w:rFonts w:ascii="Arial" w:eastAsia="Calibri" w:hAnsi="Arial" w:cs="Arial"/>
          <w:sz w:val="22"/>
          <w:szCs w:val="22"/>
        </w:rPr>
        <w:t>SAT</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systems approach to training</w:t>
      </w:r>
    </w:p>
    <w:p w:rsidR="00A03576" w:rsidRPr="007D3DFD" w:rsidP="00A03576" w14:paraId="66B2A071" w14:textId="77777777">
      <w:pPr>
        <w:spacing w:line="259" w:lineRule="auto"/>
        <w:rPr>
          <w:rFonts w:ascii="Arial" w:eastAsia="Calibri" w:hAnsi="Arial" w:cs="Arial"/>
          <w:sz w:val="22"/>
          <w:szCs w:val="22"/>
        </w:rPr>
      </w:pPr>
      <w:r w:rsidRPr="004C0F8B">
        <w:rPr>
          <w:rFonts w:ascii="Arial" w:eastAsia="Calibri" w:hAnsi="Arial" w:cs="Arial"/>
          <w:sz w:val="22"/>
          <w:szCs w:val="22"/>
        </w:rPr>
        <w:t>SBT</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Pr>
          <w:rFonts w:ascii="Arial" w:eastAsia="Calibri" w:hAnsi="Arial" w:cs="Arial"/>
          <w:bCs/>
          <w:sz w:val="22"/>
          <w:szCs w:val="22"/>
        </w:rPr>
        <w:t>s</w:t>
      </w:r>
      <w:r w:rsidR="001F274C">
        <w:rPr>
          <w:rFonts w:ascii="Arial" w:eastAsia="Calibri" w:hAnsi="Arial" w:cs="Arial"/>
          <w:bCs/>
          <w:sz w:val="22"/>
          <w:szCs w:val="22"/>
        </w:rPr>
        <w:t>ecurity</w:t>
      </w:r>
      <w:r w:rsidRPr="007D3DFD">
        <w:rPr>
          <w:rFonts w:ascii="Arial" w:eastAsia="Calibri" w:hAnsi="Arial" w:cs="Arial"/>
          <w:sz w:val="22"/>
          <w:szCs w:val="22"/>
        </w:rPr>
        <w:t xml:space="preserve"> bounding time </w:t>
      </w:r>
    </w:p>
    <w:p w:rsidR="00A03576" w:rsidRPr="007D3DFD" w:rsidP="00A03576" w14:paraId="6DC1F2DA" w14:textId="77777777">
      <w:pPr>
        <w:spacing w:line="259" w:lineRule="auto"/>
        <w:rPr>
          <w:rFonts w:ascii="Arial" w:eastAsia="Calibri" w:hAnsi="Arial" w:cs="Arial"/>
          <w:sz w:val="22"/>
          <w:szCs w:val="22"/>
        </w:rPr>
      </w:pPr>
      <w:r w:rsidRPr="004C0F8B">
        <w:rPr>
          <w:rFonts w:ascii="Arial" w:eastAsia="Calibri" w:hAnsi="Arial" w:cs="Arial"/>
          <w:sz w:val="22"/>
          <w:szCs w:val="22"/>
        </w:rPr>
        <w:t>SDA</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standard design approval</w:t>
      </w:r>
    </w:p>
    <w:p w:rsidR="00A03576" w:rsidRPr="007D3DFD" w:rsidP="00A03576" w14:paraId="448E934D" w14:textId="77777777">
      <w:pPr>
        <w:spacing w:line="259" w:lineRule="auto"/>
        <w:rPr>
          <w:rFonts w:ascii="Arial" w:eastAsia="Calibri" w:hAnsi="Arial" w:cs="Arial"/>
          <w:sz w:val="22"/>
          <w:szCs w:val="22"/>
        </w:rPr>
      </w:pPr>
      <w:r w:rsidRPr="004C0F8B">
        <w:rPr>
          <w:rFonts w:ascii="Arial" w:eastAsia="Calibri" w:hAnsi="Arial" w:cs="Arial"/>
          <w:sz w:val="22"/>
          <w:szCs w:val="22"/>
        </w:rPr>
        <w:t>SDC</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standard design certification</w:t>
      </w:r>
    </w:p>
    <w:p w:rsidR="00A03576" w:rsidRPr="007D3DFD" w:rsidP="00A03576" w14:paraId="2CB5BF6D" w14:textId="77777777">
      <w:pPr>
        <w:spacing w:line="259" w:lineRule="auto"/>
        <w:rPr>
          <w:rFonts w:ascii="Arial" w:eastAsia="Calibri" w:hAnsi="Arial" w:cs="Arial"/>
          <w:sz w:val="22"/>
          <w:szCs w:val="22"/>
        </w:rPr>
      </w:pPr>
      <w:r w:rsidRPr="004C0F8B">
        <w:rPr>
          <w:rFonts w:ascii="Arial" w:eastAsia="Calibri" w:hAnsi="Arial" w:cs="Arial"/>
          <w:sz w:val="22"/>
          <w:szCs w:val="22"/>
        </w:rPr>
        <w:t>SECY</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Commission</w:t>
      </w:r>
    </w:p>
    <w:p w:rsidR="00A03576" w:rsidRPr="007D3DFD" w:rsidP="00A03576" w14:paraId="537D72E4" w14:textId="77777777">
      <w:pPr>
        <w:spacing w:line="259" w:lineRule="auto"/>
        <w:rPr>
          <w:rFonts w:ascii="Arial" w:eastAsia="Calibri" w:hAnsi="Arial" w:cs="Arial"/>
          <w:sz w:val="22"/>
          <w:szCs w:val="22"/>
        </w:rPr>
      </w:pPr>
      <w:r w:rsidRPr="004C0F8B">
        <w:rPr>
          <w:rFonts w:ascii="Arial" w:eastAsia="Calibri" w:hAnsi="Arial" w:cs="Arial"/>
          <w:sz w:val="22"/>
          <w:szCs w:val="22"/>
        </w:rPr>
        <w:t>SGI</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Safeguards Information </w:t>
      </w:r>
    </w:p>
    <w:p w:rsidR="00A03576" w:rsidRPr="007D3DFD" w:rsidP="00A03576" w14:paraId="0EAD7ACF" w14:textId="77777777">
      <w:pPr>
        <w:spacing w:line="259" w:lineRule="auto"/>
        <w:rPr>
          <w:rFonts w:ascii="Arial" w:eastAsia="Calibri" w:hAnsi="Arial" w:cs="Arial"/>
          <w:sz w:val="22"/>
          <w:szCs w:val="22"/>
        </w:rPr>
      </w:pPr>
      <w:r w:rsidRPr="004C0F8B">
        <w:rPr>
          <w:rFonts w:ascii="Arial" w:eastAsia="Calibri" w:hAnsi="Arial" w:cs="Arial"/>
          <w:sz w:val="22"/>
          <w:szCs w:val="22"/>
        </w:rPr>
        <w:t>SMR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small modular reactor</w:t>
      </w:r>
    </w:p>
    <w:p w:rsidR="00A03576" w:rsidRPr="007D3DFD" w:rsidP="00A03576" w14:paraId="304D12D8" w14:textId="77777777">
      <w:pPr>
        <w:spacing w:line="259" w:lineRule="auto"/>
        <w:rPr>
          <w:rFonts w:ascii="Arial" w:eastAsia="Calibri" w:hAnsi="Arial" w:cs="Arial"/>
          <w:sz w:val="22"/>
          <w:szCs w:val="22"/>
        </w:rPr>
      </w:pPr>
      <w:r w:rsidRPr="004C0F8B">
        <w:rPr>
          <w:rFonts w:ascii="Arial" w:eastAsia="Calibri" w:hAnsi="Arial" w:cs="Arial"/>
          <w:sz w:val="22"/>
          <w:szCs w:val="22"/>
        </w:rPr>
        <w:t>SNM</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special nuclear material</w:t>
      </w:r>
    </w:p>
    <w:p w:rsidR="00A03576" w:rsidRPr="007D3DFD" w:rsidP="00A03576" w14:paraId="17D8B26D" w14:textId="77777777">
      <w:pPr>
        <w:spacing w:line="259" w:lineRule="auto"/>
        <w:rPr>
          <w:rFonts w:ascii="Arial" w:eastAsia="Calibri" w:hAnsi="Arial" w:cs="Arial"/>
          <w:sz w:val="22"/>
          <w:szCs w:val="22"/>
        </w:rPr>
      </w:pPr>
      <w:r w:rsidRPr="004C0F8B">
        <w:rPr>
          <w:rFonts w:ascii="Arial" w:eastAsia="Calibri" w:hAnsi="Arial" w:cs="Arial"/>
          <w:sz w:val="22"/>
          <w:szCs w:val="22"/>
        </w:rPr>
        <w:t>SR</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safety</w:t>
      </w:r>
      <w:r w:rsidR="00A07F6B">
        <w:rPr>
          <w:rFonts w:ascii="Arial" w:eastAsia="Calibri" w:hAnsi="Arial" w:cs="Arial"/>
          <w:sz w:val="22"/>
          <w:szCs w:val="22"/>
        </w:rPr>
        <w:t xml:space="preserve"> </w:t>
      </w:r>
      <w:r w:rsidRPr="007D3DFD">
        <w:rPr>
          <w:rFonts w:ascii="Arial" w:eastAsia="Calibri" w:hAnsi="Arial" w:cs="Arial"/>
          <w:sz w:val="22"/>
          <w:szCs w:val="22"/>
        </w:rPr>
        <w:t xml:space="preserve">related </w:t>
      </w:r>
    </w:p>
    <w:p w:rsidR="00A03576" w:rsidRPr="007D3DFD" w:rsidP="00A03576" w14:paraId="6F41BDC9" w14:textId="77777777">
      <w:pPr>
        <w:spacing w:line="259" w:lineRule="auto"/>
        <w:rPr>
          <w:rFonts w:ascii="Arial" w:eastAsia="Calibri" w:hAnsi="Arial" w:cs="Arial"/>
          <w:sz w:val="22"/>
          <w:szCs w:val="22"/>
        </w:rPr>
      </w:pPr>
      <w:r w:rsidRPr="004C0F8B">
        <w:rPr>
          <w:rFonts w:ascii="Arial" w:eastAsia="Calibri" w:hAnsi="Arial" w:cs="Arial"/>
          <w:sz w:val="22"/>
          <w:szCs w:val="22"/>
        </w:rPr>
        <w:t>SRE</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systematic risk evaluation</w:t>
      </w:r>
    </w:p>
    <w:p w:rsidR="00A03576" w:rsidRPr="007D3DFD" w:rsidP="00A03576" w14:paraId="481ABF15"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SRM  </w:t>
      </w:r>
      <w:r w:rsidR="004C0F8B">
        <w:rPr>
          <w:rFonts w:ascii="Arial" w:eastAsia="Calibri" w:hAnsi="Arial" w:cs="Arial"/>
          <w:bCs/>
          <w:sz w:val="22"/>
          <w:szCs w:val="22"/>
        </w:rPr>
        <w:tab/>
      </w:r>
      <w:r w:rsidR="004C0F8B">
        <w:rPr>
          <w:rFonts w:ascii="Arial" w:eastAsia="Calibri" w:hAnsi="Arial" w:cs="Arial"/>
          <w:bCs/>
          <w:sz w:val="22"/>
          <w:szCs w:val="22"/>
        </w:rPr>
        <w:tab/>
      </w:r>
      <w:r w:rsidR="004C0F8B">
        <w:rPr>
          <w:rFonts w:ascii="Arial" w:eastAsia="Calibri" w:hAnsi="Arial" w:cs="Arial"/>
          <w:bCs/>
          <w:sz w:val="22"/>
          <w:szCs w:val="22"/>
        </w:rPr>
        <w:tab/>
      </w:r>
      <w:r w:rsidRPr="004C0F8B" w:rsidR="00A07F6B">
        <w:rPr>
          <w:rFonts w:ascii="Arial" w:eastAsia="Calibri" w:hAnsi="Arial" w:cs="Arial"/>
          <w:bCs/>
          <w:sz w:val="22"/>
          <w:szCs w:val="22"/>
        </w:rPr>
        <w:t>s</w:t>
      </w:r>
      <w:r w:rsidRPr="004C0F8B">
        <w:rPr>
          <w:rFonts w:ascii="Arial" w:eastAsia="Calibri" w:hAnsi="Arial" w:cs="Arial"/>
          <w:bCs/>
          <w:sz w:val="22"/>
          <w:szCs w:val="22"/>
        </w:rPr>
        <w:t xml:space="preserve">taff </w:t>
      </w:r>
      <w:r w:rsidRPr="004C0F8B" w:rsidR="00A07F6B">
        <w:rPr>
          <w:rFonts w:ascii="Arial" w:eastAsia="Calibri" w:hAnsi="Arial" w:cs="Arial"/>
          <w:bCs/>
          <w:sz w:val="22"/>
          <w:szCs w:val="22"/>
        </w:rPr>
        <w:t>r</w:t>
      </w:r>
      <w:r w:rsidRPr="004C0F8B">
        <w:rPr>
          <w:rFonts w:ascii="Arial" w:eastAsia="Calibri" w:hAnsi="Arial" w:cs="Arial"/>
          <w:bCs/>
          <w:sz w:val="22"/>
          <w:szCs w:val="22"/>
        </w:rPr>
        <w:t xml:space="preserve">equirements </w:t>
      </w:r>
      <w:r w:rsidRPr="004C0F8B" w:rsidR="00A07F6B">
        <w:rPr>
          <w:rFonts w:ascii="Arial" w:eastAsia="Calibri" w:hAnsi="Arial" w:cs="Arial"/>
          <w:bCs/>
          <w:sz w:val="22"/>
          <w:szCs w:val="22"/>
        </w:rPr>
        <w:t>m</w:t>
      </w:r>
      <w:r w:rsidRPr="004C0F8B">
        <w:rPr>
          <w:rFonts w:ascii="Arial" w:eastAsia="Calibri" w:hAnsi="Arial" w:cs="Arial"/>
          <w:bCs/>
          <w:sz w:val="22"/>
          <w:szCs w:val="22"/>
        </w:rPr>
        <w:t>emorandum</w:t>
      </w:r>
    </w:p>
    <w:p w:rsidR="00A03576" w:rsidRPr="007D3DFD" w:rsidP="00A03576" w14:paraId="4521543B" w14:textId="77777777">
      <w:pPr>
        <w:spacing w:line="259" w:lineRule="auto"/>
        <w:rPr>
          <w:rFonts w:ascii="Arial" w:eastAsia="Calibri" w:hAnsi="Arial" w:cs="Arial"/>
          <w:sz w:val="22"/>
          <w:szCs w:val="22"/>
        </w:rPr>
      </w:pPr>
      <w:r w:rsidRPr="004C0F8B">
        <w:rPr>
          <w:rFonts w:ascii="Arial" w:eastAsia="Calibri" w:hAnsi="Arial" w:cs="Arial"/>
          <w:sz w:val="22"/>
          <w:szCs w:val="22"/>
        </w:rPr>
        <w:t>SRMF</w:t>
      </w:r>
      <w:r w:rsidRPr="007D3DFD">
        <w:rPr>
          <w:rFonts w:ascii="Arial" w:eastAsia="Calibri" w:hAnsi="Arial" w:cs="Arial"/>
          <w:sz w:val="22"/>
          <w:szCs w:val="22"/>
        </w:rPr>
        <w:t xml:space="preserve">  </w:t>
      </w:r>
      <w:r w:rsidR="004C0F8B">
        <w:rPr>
          <w:rFonts w:ascii="Arial" w:eastAsia="Calibri" w:hAnsi="Arial" w:cs="Arial"/>
          <w:bCs/>
          <w:sz w:val="22"/>
          <w:szCs w:val="22"/>
        </w:rPr>
        <w:tab/>
      </w:r>
      <w:r w:rsidR="004C0F8B">
        <w:rPr>
          <w:rFonts w:ascii="Arial" w:eastAsia="Calibri" w:hAnsi="Arial" w:cs="Arial"/>
          <w:bCs/>
          <w:sz w:val="22"/>
          <w:szCs w:val="22"/>
        </w:rPr>
        <w:tab/>
      </w:r>
      <w:r w:rsidRPr="007D3DFD">
        <w:rPr>
          <w:rFonts w:ascii="Arial" w:eastAsia="Calibri" w:hAnsi="Arial" w:cs="Arial"/>
          <w:sz w:val="22"/>
          <w:szCs w:val="22"/>
        </w:rPr>
        <w:t xml:space="preserve">self-reliant mitigation facility </w:t>
      </w:r>
    </w:p>
    <w:p w:rsidR="00A03576" w:rsidRPr="007D3DFD" w:rsidP="00A03576" w14:paraId="2AA93FD7" w14:textId="77777777">
      <w:pPr>
        <w:spacing w:line="259" w:lineRule="auto"/>
        <w:rPr>
          <w:rFonts w:ascii="Arial" w:eastAsia="Calibri" w:hAnsi="Arial" w:cs="Arial"/>
          <w:sz w:val="22"/>
          <w:szCs w:val="22"/>
        </w:rPr>
      </w:pPr>
      <w:r w:rsidRPr="004C0F8B">
        <w:rPr>
          <w:rFonts w:ascii="Arial" w:eastAsia="Calibri" w:hAnsi="Arial" w:cs="Arial"/>
          <w:sz w:val="22"/>
          <w:szCs w:val="22"/>
        </w:rPr>
        <w:t xml:space="preserve">SRO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senior reactor operator</w:t>
      </w:r>
    </w:p>
    <w:p w:rsidR="00A03576" w:rsidRPr="007D3DFD" w:rsidP="00A03576" w14:paraId="3A02DDDE" w14:textId="77777777">
      <w:pPr>
        <w:spacing w:line="259" w:lineRule="auto"/>
        <w:rPr>
          <w:rFonts w:ascii="Arial" w:eastAsia="Calibri" w:hAnsi="Arial" w:cs="Arial"/>
          <w:sz w:val="22"/>
          <w:szCs w:val="22"/>
        </w:rPr>
      </w:pPr>
      <w:r w:rsidRPr="004C0F8B">
        <w:rPr>
          <w:rFonts w:ascii="Arial" w:eastAsia="Calibri" w:hAnsi="Arial" w:cs="Arial"/>
          <w:sz w:val="22"/>
          <w:szCs w:val="22"/>
        </w:rPr>
        <w:t>SRP</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standard review plan</w:t>
      </w:r>
    </w:p>
    <w:p w:rsidR="00A03576" w:rsidRPr="007D3DFD" w:rsidP="00A03576" w14:paraId="1B06616C"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SSC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4C0F8B">
        <w:rPr>
          <w:rFonts w:ascii="Arial" w:eastAsia="Calibri" w:hAnsi="Arial" w:cs="Arial"/>
          <w:bCs/>
          <w:sz w:val="22"/>
          <w:szCs w:val="22"/>
        </w:rPr>
        <w:t>structure, system, and component</w:t>
      </w:r>
    </w:p>
    <w:p w:rsidR="00A03576" w:rsidRPr="007D3DFD" w:rsidP="00A03576" w14:paraId="5ED4228E" w14:textId="77777777">
      <w:pPr>
        <w:spacing w:line="259" w:lineRule="auto"/>
        <w:rPr>
          <w:rFonts w:ascii="Arial" w:eastAsia="Calibri" w:hAnsi="Arial" w:cs="Arial"/>
          <w:sz w:val="22"/>
          <w:szCs w:val="22"/>
        </w:rPr>
      </w:pPr>
      <w:r w:rsidRPr="004C0F8B">
        <w:rPr>
          <w:rFonts w:ascii="Arial" w:eastAsia="Calibri" w:hAnsi="Arial" w:cs="Arial"/>
          <w:sz w:val="22"/>
          <w:szCs w:val="22"/>
        </w:rPr>
        <w:t>STA</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shift technical advisor</w:t>
      </w:r>
    </w:p>
    <w:p w:rsidR="00A03576" w:rsidRPr="007D3DFD" w:rsidP="00A03576" w14:paraId="0B3E95E1" w14:textId="77777777">
      <w:pPr>
        <w:spacing w:line="259" w:lineRule="auto"/>
        <w:rPr>
          <w:rFonts w:ascii="Arial" w:eastAsia="Calibri" w:hAnsi="Arial" w:cs="Arial"/>
          <w:sz w:val="22"/>
          <w:szCs w:val="22"/>
        </w:rPr>
      </w:pPr>
      <w:r w:rsidRPr="004C0F8B">
        <w:rPr>
          <w:rFonts w:ascii="Arial" w:eastAsia="Calibri" w:hAnsi="Arial" w:cs="Arial"/>
          <w:sz w:val="22"/>
          <w:szCs w:val="22"/>
        </w:rPr>
        <w:t>TAG</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EPA Technical Assistance Grant Program</w:t>
      </w:r>
    </w:p>
    <w:p w:rsidR="00A03576" w:rsidRPr="007D3DFD" w:rsidP="00A03576" w14:paraId="7B08889D" w14:textId="77777777">
      <w:pPr>
        <w:spacing w:line="259" w:lineRule="auto"/>
        <w:rPr>
          <w:rFonts w:ascii="Arial" w:eastAsia="Calibri" w:hAnsi="Arial" w:cs="Arial"/>
          <w:sz w:val="22"/>
          <w:szCs w:val="22"/>
        </w:rPr>
      </w:pPr>
      <w:r w:rsidRPr="004C0F8B">
        <w:rPr>
          <w:rFonts w:ascii="Arial" w:eastAsia="Calibri" w:hAnsi="Arial" w:cs="Arial"/>
          <w:sz w:val="22"/>
          <w:szCs w:val="22"/>
        </w:rPr>
        <w:t>TEDE</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total effective dose equivalent</w:t>
      </w:r>
    </w:p>
    <w:p w:rsidR="00A03576" w:rsidRPr="007D3DFD" w:rsidP="00A03576" w14:paraId="116DF1DD" w14:textId="77777777">
      <w:pPr>
        <w:spacing w:line="259" w:lineRule="auto"/>
        <w:rPr>
          <w:rFonts w:ascii="Arial" w:eastAsia="Calibri" w:hAnsi="Arial" w:cs="Arial"/>
          <w:sz w:val="22"/>
          <w:szCs w:val="22"/>
        </w:rPr>
      </w:pPr>
      <w:r w:rsidRPr="004C0F8B">
        <w:rPr>
          <w:rFonts w:ascii="Arial" w:eastAsia="Calibri" w:hAnsi="Arial" w:cs="Arial"/>
          <w:sz w:val="22"/>
          <w:szCs w:val="22"/>
        </w:rPr>
        <w:t>TI-RIPB</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technology-inclusive, risk-informed, and performance-based</w:t>
      </w:r>
    </w:p>
    <w:p w:rsidR="00A03576" w:rsidRPr="007D3DFD" w:rsidP="00A03576" w14:paraId="41E46475" w14:textId="77777777">
      <w:pPr>
        <w:spacing w:line="259" w:lineRule="auto"/>
        <w:rPr>
          <w:rFonts w:ascii="Arial" w:eastAsia="Calibri" w:hAnsi="Arial" w:cs="Arial"/>
          <w:sz w:val="22"/>
          <w:szCs w:val="22"/>
        </w:rPr>
      </w:pPr>
      <w:r w:rsidRPr="004C0F8B">
        <w:rPr>
          <w:rFonts w:ascii="Arial" w:eastAsia="Calibri" w:hAnsi="Arial" w:cs="Arial"/>
          <w:bCs/>
          <w:sz w:val="22"/>
          <w:szCs w:val="22"/>
        </w:rPr>
        <w:t xml:space="preserve">TNT  </w:t>
      </w:r>
      <w:r w:rsidR="0094722F">
        <w:rPr>
          <w:rFonts w:ascii="Arial" w:eastAsia="Calibri" w:hAnsi="Arial" w:cs="Arial"/>
          <w:bCs/>
          <w:sz w:val="22"/>
          <w:szCs w:val="22"/>
        </w:rPr>
        <w:tab/>
      </w:r>
      <w:r w:rsidR="0094722F">
        <w:rPr>
          <w:rFonts w:ascii="Arial" w:eastAsia="Calibri" w:hAnsi="Arial" w:cs="Arial"/>
          <w:bCs/>
          <w:sz w:val="22"/>
          <w:szCs w:val="22"/>
        </w:rPr>
        <w:tab/>
      </w:r>
      <w:r w:rsidR="0094722F">
        <w:rPr>
          <w:rFonts w:ascii="Arial" w:eastAsia="Calibri" w:hAnsi="Arial" w:cs="Arial"/>
          <w:bCs/>
          <w:sz w:val="22"/>
          <w:szCs w:val="22"/>
        </w:rPr>
        <w:tab/>
      </w:r>
      <w:r w:rsidRPr="004C0F8B" w:rsidR="00A30F66">
        <w:rPr>
          <w:rFonts w:ascii="Arial" w:eastAsia="Calibri" w:hAnsi="Arial" w:cs="Arial"/>
          <w:bCs/>
          <w:sz w:val="22"/>
          <w:szCs w:val="22"/>
        </w:rPr>
        <w:t>t</w:t>
      </w:r>
      <w:r w:rsidRPr="004C0F8B">
        <w:rPr>
          <w:rFonts w:ascii="Arial" w:eastAsia="Calibri" w:hAnsi="Arial" w:cs="Arial"/>
          <w:bCs/>
          <w:sz w:val="22"/>
          <w:szCs w:val="22"/>
        </w:rPr>
        <w:t>rinitrotoluene</w:t>
      </w:r>
    </w:p>
    <w:p w:rsidR="00A03576" w:rsidRPr="007D3DFD" w:rsidP="00A03576" w14:paraId="71EEA6AE" w14:textId="77777777">
      <w:pPr>
        <w:spacing w:line="259" w:lineRule="auto"/>
        <w:rPr>
          <w:rFonts w:ascii="Arial" w:eastAsia="Calibri" w:hAnsi="Arial" w:cs="Arial"/>
          <w:sz w:val="22"/>
          <w:szCs w:val="22"/>
        </w:rPr>
      </w:pPr>
      <w:r w:rsidRPr="004C0F8B">
        <w:rPr>
          <w:rFonts w:ascii="Arial" w:eastAsia="Calibri" w:hAnsi="Arial" w:cs="Arial"/>
          <w:sz w:val="22"/>
          <w:szCs w:val="22"/>
        </w:rPr>
        <w:t>U.S.C.</w:t>
      </w:r>
      <w:r w:rsidRPr="007D3DFD">
        <w:rPr>
          <w:rFonts w:ascii="Arial" w:eastAsia="Calibri" w:hAnsi="Arial" w:cs="Arial"/>
          <w:sz w:val="22"/>
          <w:szCs w:val="22"/>
        </w:rPr>
        <w:t xml:space="preserve">  </w:t>
      </w:r>
      <w:r w:rsidR="0094722F">
        <w:rPr>
          <w:rFonts w:ascii="Arial" w:eastAsia="Calibri" w:hAnsi="Arial" w:cs="Arial"/>
          <w:bCs/>
          <w:sz w:val="22"/>
          <w:szCs w:val="22"/>
        </w:rPr>
        <w:tab/>
      </w:r>
      <w:r w:rsidR="0094722F">
        <w:rPr>
          <w:rFonts w:ascii="Arial" w:eastAsia="Calibri" w:hAnsi="Arial" w:cs="Arial"/>
          <w:bCs/>
          <w:sz w:val="22"/>
          <w:szCs w:val="22"/>
        </w:rPr>
        <w:tab/>
      </w:r>
      <w:r w:rsidRPr="007D3DFD">
        <w:rPr>
          <w:rFonts w:ascii="Arial" w:eastAsia="Calibri" w:hAnsi="Arial" w:cs="Arial"/>
          <w:sz w:val="22"/>
          <w:szCs w:val="22"/>
        </w:rPr>
        <w:t>United States Code</w:t>
      </w:r>
    </w:p>
    <w:p w:rsidR="00B75A3F" w:rsidRPr="00B75A3F" w:rsidP="00B75A3F" w14:paraId="6B7D5AAB" w14:textId="77777777">
      <w:pPr>
        <w:rPr>
          <w:rFonts w:ascii="Arial" w:hAnsi="Arial" w:cs="Arial"/>
        </w:rPr>
        <w:sectPr w:rsidSect="00AB116C">
          <w:footerReference w:type="default" r:id="rId15"/>
          <w:pgSz w:w="12240" w:h="15840"/>
          <w:pgMar w:top="1440" w:right="1440" w:bottom="1440" w:left="1440" w:header="720" w:footer="720" w:gutter="0"/>
          <w:pgNumType w:fmt="lowerRoman"/>
          <w:cols w:space="720"/>
          <w:docGrid w:linePitch="360"/>
        </w:sectPr>
      </w:pPr>
    </w:p>
    <w:p w:rsidR="004D49A9" w:rsidRPr="004D49A9" w:rsidP="004D49A9" w14:paraId="430C3CE5" w14:textId="77777777">
      <w:pPr>
        <w:pStyle w:val="Heading1"/>
        <w:numPr>
          <w:ilvl w:val="0"/>
          <w:numId w:val="0"/>
        </w:numPr>
        <w:ind w:left="720" w:hanging="360"/>
        <w:jc w:val="center"/>
        <w:rPr>
          <w:sz w:val="24"/>
          <w:szCs w:val="24"/>
          <w:u w:val="none"/>
        </w:rPr>
      </w:pPr>
      <w:r w:rsidRPr="004D49A9">
        <w:rPr>
          <w:sz w:val="24"/>
          <w:szCs w:val="24"/>
          <w:u w:val="none"/>
        </w:rPr>
        <w:t>Table of Contents</w:t>
      </w:r>
    </w:p>
    <w:sdt>
      <w:sdtPr>
        <w:rPr>
          <w:b/>
          <w:bCs/>
        </w:rPr>
        <w:id w:val="-1559082235"/>
        <w:docPartObj>
          <w:docPartGallery w:val="Table of Contents"/>
          <w:docPartUnique/>
        </w:docPartObj>
      </w:sdtPr>
      <w:sdtEndPr>
        <w:rPr>
          <w:rFonts w:ascii="Arial" w:hAnsi="Arial" w:cs="Arial"/>
          <w:b w:val="0"/>
          <w:bCs w:val="0"/>
          <w:noProof/>
          <w:sz w:val="22"/>
          <w:szCs w:val="22"/>
        </w:rPr>
      </w:sdtEndPr>
      <w:sdtContent>
        <w:p w:rsidR="007D3F7C" w:rsidRPr="004D49A9" w:rsidP="004D49A9" w14:paraId="4788F0E3" w14:textId="77777777">
          <w:pPr>
            <w:spacing w:after="240"/>
            <w:jc w:val="center"/>
          </w:pPr>
        </w:p>
        <w:p w:rsidR="004D49A9" w:rsidRPr="004D49A9" w:rsidP="00A30F66" w14:paraId="6B8E0A2E" w14:textId="77777777">
          <w:pPr>
            <w:pStyle w:val="TOC1"/>
            <w:rPr>
              <w:rFonts w:eastAsiaTheme="minorEastAsia"/>
              <w:noProof/>
              <w:color w:val="auto"/>
            </w:rPr>
          </w:pPr>
          <w:r w:rsidRPr="004D49A9">
            <w:rPr>
              <w:rFonts w:eastAsia="Times New Roman"/>
            </w:rPr>
            <w:fldChar w:fldCharType="begin"/>
          </w:r>
          <w:r w:rsidRPr="004D49A9">
            <w:instrText xml:space="preserve"> TOC \o "1-3" \h \z \u </w:instrText>
          </w:r>
          <w:r w:rsidRPr="004D49A9">
            <w:rPr>
              <w:rFonts w:eastAsia="Times New Roman"/>
            </w:rPr>
            <w:fldChar w:fldCharType="separate"/>
          </w:r>
          <w:hyperlink w:anchor="_Toc207222793" w:history="1">
            <w:r w:rsidRPr="004D49A9">
              <w:rPr>
                <w:rStyle w:val="Hyperlink"/>
                <w:noProof/>
                <w:sz w:val="22"/>
                <w:szCs w:val="22"/>
              </w:rPr>
              <w:t>1.</w:t>
            </w:r>
            <w:r w:rsidR="00DC4FCE">
              <w:rPr>
                <w:rStyle w:val="Hyperlink"/>
                <w:noProof/>
                <w:sz w:val="22"/>
                <w:szCs w:val="22"/>
              </w:rPr>
              <w:t xml:space="preserve"> </w:t>
            </w:r>
            <w:r w:rsidRPr="004D49A9">
              <w:rPr>
                <w:rStyle w:val="Hyperlink"/>
                <w:noProof/>
                <w:sz w:val="22"/>
                <w:szCs w:val="22"/>
              </w:rPr>
              <w:t>General Feedback on the Proposed Rule</w:t>
            </w:r>
            <w:r w:rsidRPr="004D49A9">
              <w:rPr>
                <w:noProof/>
                <w:webHidden/>
              </w:rPr>
              <w:tab/>
            </w:r>
            <w:r w:rsidRPr="004D49A9">
              <w:rPr>
                <w:noProof/>
                <w:webHidden/>
              </w:rPr>
              <w:fldChar w:fldCharType="begin"/>
            </w:r>
            <w:r w:rsidRPr="004D49A9">
              <w:rPr>
                <w:noProof/>
                <w:webHidden/>
              </w:rPr>
              <w:instrText xml:space="preserve"> PAGEREF _Toc207222793 \h </w:instrText>
            </w:r>
            <w:r w:rsidRPr="004D49A9">
              <w:rPr>
                <w:noProof/>
                <w:webHidden/>
              </w:rPr>
              <w:fldChar w:fldCharType="separate"/>
            </w:r>
            <w:r w:rsidR="00242DDE">
              <w:rPr>
                <w:noProof/>
                <w:webHidden/>
              </w:rPr>
              <w:t>11</w:t>
            </w:r>
            <w:r w:rsidRPr="004D49A9">
              <w:rPr>
                <w:noProof/>
                <w:webHidden/>
              </w:rPr>
              <w:fldChar w:fldCharType="end"/>
            </w:r>
          </w:hyperlink>
        </w:p>
        <w:p w:rsidR="004D49A9" w:rsidRPr="004D49A9" w14:paraId="43297F1F" w14:textId="77777777">
          <w:pPr>
            <w:pStyle w:val="TOC2"/>
            <w:tabs>
              <w:tab w:val="left" w:pos="960"/>
            </w:tabs>
            <w:rPr>
              <w:rFonts w:ascii="Arial" w:hAnsi="Arial" w:cs="Arial"/>
              <w:noProof/>
              <w:kern w:val="2"/>
              <w:szCs w:val="22"/>
              <w14:ligatures w14:val="standardContextual"/>
            </w:rPr>
          </w:pPr>
          <w:hyperlink w:anchor="_Toc207222794" w:history="1">
            <w:r w:rsidRPr="004D49A9">
              <w:rPr>
                <w:rStyle w:val="Hyperlink"/>
                <w:rFonts w:ascii="Arial" w:hAnsi="Arial" w:cs="Arial"/>
                <w:bCs/>
                <w:iCs/>
                <w:noProof/>
                <w:szCs w:val="22"/>
              </w:rPr>
              <w:t>1.1.</w:t>
            </w:r>
            <w:r w:rsidRPr="004D49A9">
              <w:rPr>
                <w:rFonts w:ascii="Arial" w:hAnsi="Arial" w:cs="Arial"/>
                <w:noProof/>
                <w:kern w:val="2"/>
                <w:szCs w:val="22"/>
                <w14:ligatures w14:val="standardContextual"/>
              </w:rPr>
              <w:tab/>
            </w:r>
            <w:r w:rsidRPr="004D49A9">
              <w:rPr>
                <w:rStyle w:val="Hyperlink"/>
                <w:rFonts w:ascii="Arial" w:hAnsi="Arial" w:cs="Arial"/>
                <w:noProof/>
                <w:szCs w:val="22"/>
              </w:rPr>
              <w:t>General support for the proposed rule</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_Toc207222794 \h </w:instrText>
            </w:r>
            <w:r w:rsidRPr="004D49A9">
              <w:rPr>
                <w:rFonts w:ascii="Arial" w:hAnsi="Arial" w:cs="Arial"/>
                <w:noProof/>
                <w:webHidden/>
                <w:szCs w:val="22"/>
              </w:rPr>
              <w:fldChar w:fldCharType="separate"/>
            </w:r>
            <w:r w:rsidR="00242DDE">
              <w:rPr>
                <w:rFonts w:ascii="Arial" w:hAnsi="Arial" w:cs="Arial"/>
                <w:noProof/>
                <w:webHidden/>
                <w:szCs w:val="22"/>
              </w:rPr>
              <w:t>11</w:t>
            </w:r>
            <w:r w:rsidRPr="004D49A9">
              <w:rPr>
                <w:rFonts w:ascii="Arial" w:hAnsi="Arial" w:cs="Arial"/>
                <w:noProof/>
                <w:webHidden/>
                <w:szCs w:val="22"/>
              </w:rPr>
              <w:fldChar w:fldCharType="end"/>
            </w:r>
          </w:hyperlink>
        </w:p>
        <w:p w:rsidR="004D49A9" w:rsidRPr="004D49A9" w14:paraId="29FE9E35" w14:textId="77777777">
          <w:pPr>
            <w:pStyle w:val="TOC2"/>
            <w:tabs>
              <w:tab w:val="left" w:pos="960"/>
            </w:tabs>
            <w:rPr>
              <w:rFonts w:ascii="Arial" w:hAnsi="Arial" w:cs="Arial"/>
              <w:noProof/>
              <w:kern w:val="2"/>
              <w:szCs w:val="22"/>
              <w14:ligatures w14:val="standardContextual"/>
            </w:rPr>
          </w:pPr>
          <w:hyperlink w:anchor="_Toc207222795" w:history="1">
            <w:r w:rsidRPr="004D49A9">
              <w:rPr>
                <w:rStyle w:val="Hyperlink"/>
                <w:rFonts w:ascii="Arial" w:hAnsi="Arial" w:cs="Arial"/>
                <w:bCs/>
                <w:iCs/>
                <w:noProof/>
                <w:szCs w:val="22"/>
              </w:rPr>
              <w:t>1.2.</w:t>
            </w:r>
            <w:r w:rsidRPr="004D49A9">
              <w:rPr>
                <w:rFonts w:ascii="Arial" w:hAnsi="Arial" w:cs="Arial"/>
                <w:noProof/>
                <w:kern w:val="2"/>
                <w:szCs w:val="22"/>
                <w14:ligatures w14:val="standardContextual"/>
              </w:rPr>
              <w:tab/>
            </w:r>
            <w:r w:rsidRPr="004D49A9">
              <w:rPr>
                <w:rStyle w:val="Hyperlink"/>
                <w:rFonts w:ascii="Arial" w:hAnsi="Arial" w:cs="Arial"/>
                <w:noProof/>
                <w:szCs w:val="22"/>
              </w:rPr>
              <w:t>General opposition to the proposed rule</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_Toc207222795 \h </w:instrText>
            </w:r>
            <w:r w:rsidRPr="004D49A9">
              <w:rPr>
                <w:rFonts w:ascii="Arial" w:hAnsi="Arial" w:cs="Arial"/>
                <w:noProof/>
                <w:webHidden/>
                <w:szCs w:val="22"/>
              </w:rPr>
              <w:fldChar w:fldCharType="separate"/>
            </w:r>
            <w:r w:rsidR="00242DDE">
              <w:rPr>
                <w:rFonts w:ascii="Arial" w:hAnsi="Arial" w:cs="Arial"/>
                <w:noProof/>
                <w:webHidden/>
                <w:szCs w:val="22"/>
              </w:rPr>
              <w:t>11</w:t>
            </w:r>
            <w:r w:rsidRPr="004D49A9">
              <w:rPr>
                <w:rFonts w:ascii="Arial" w:hAnsi="Arial" w:cs="Arial"/>
                <w:noProof/>
                <w:webHidden/>
                <w:szCs w:val="22"/>
              </w:rPr>
              <w:fldChar w:fldCharType="end"/>
            </w:r>
          </w:hyperlink>
        </w:p>
        <w:p w:rsidR="004D49A9" w:rsidRPr="004D49A9" w14:paraId="280817D8" w14:textId="77777777">
          <w:pPr>
            <w:pStyle w:val="TOC2"/>
            <w:tabs>
              <w:tab w:val="left" w:pos="960"/>
            </w:tabs>
            <w:rPr>
              <w:rFonts w:ascii="Arial" w:hAnsi="Arial" w:cs="Arial"/>
              <w:noProof/>
              <w:kern w:val="2"/>
              <w:szCs w:val="22"/>
              <w14:ligatures w14:val="standardContextual"/>
            </w:rPr>
          </w:pPr>
          <w:hyperlink w:anchor="_Toc207222796" w:history="1">
            <w:r w:rsidRPr="004D49A9">
              <w:rPr>
                <w:rStyle w:val="Hyperlink"/>
                <w:rFonts w:ascii="Arial" w:hAnsi="Arial" w:cs="Arial"/>
                <w:bCs/>
                <w:iCs/>
                <w:noProof/>
                <w:szCs w:val="22"/>
                <w:lang w:eastAsia="ja-JP"/>
              </w:rPr>
              <w:t>1.3.</w:t>
            </w:r>
            <w:r w:rsidRPr="004D49A9">
              <w:rPr>
                <w:rFonts w:ascii="Arial" w:hAnsi="Arial" w:cs="Arial"/>
                <w:noProof/>
                <w:kern w:val="2"/>
                <w:szCs w:val="22"/>
                <w14:ligatures w14:val="standardContextual"/>
              </w:rPr>
              <w:tab/>
            </w:r>
            <w:r w:rsidRPr="004D49A9">
              <w:rPr>
                <w:rStyle w:val="Hyperlink"/>
                <w:rFonts w:ascii="Arial" w:hAnsi="Arial" w:cs="Arial"/>
                <w:noProof/>
                <w:szCs w:val="22"/>
                <w:lang w:eastAsia="ja-JP"/>
              </w:rPr>
              <w:t>Legal issues raised by comments (e.g., statutory authority, APA comments)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_Toc207222796 \h </w:instrText>
            </w:r>
            <w:r w:rsidRPr="004D49A9">
              <w:rPr>
                <w:rFonts w:ascii="Arial" w:hAnsi="Arial" w:cs="Arial"/>
                <w:noProof/>
                <w:webHidden/>
                <w:szCs w:val="22"/>
              </w:rPr>
              <w:fldChar w:fldCharType="separate"/>
            </w:r>
            <w:r w:rsidR="00242DDE">
              <w:rPr>
                <w:rFonts w:ascii="Arial" w:hAnsi="Arial" w:cs="Arial"/>
                <w:noProof/>
                <w:webHidden/>
                <w:szCs w:val="22"/>
              </w:rPr>
              <w:t>13</w:t>
            </w:r>
            <w:r w:rsidRPr="004D49A9">
              <w:rPr>
                <w:rFonts w:ascii="Arial" w:hAnsi="Arial" w:cs="Arial"/>
                <w:noProof/>
                <w:webHidden/>
                <w:szCs w:val="22"/>
              </w:rPr>
              <w:fldChar w:fldCharType="end"/>
            </w:r>
          </w:hyperlink>
        </w:p>
        <w:p w:rsidR="004D49A9" w:rsidRPr="004D49A9" w14:paraId="598782F9" w14:textId="77777777">
          <w:pPr>
            <w:pStyle w:val="TOC2"/>
            <w:tabs>
              <w:tab w:val="left" w:pos="960"/>
            </w:tabs>
            <w:rPr>
              <w:rFonts w:ascii="Arial" w:hAnsi="Arial" w:cs="Arial"/>
              <w:noProof/>
              <w:kern w:val="2"/>
              <w:szCs w:val="22"/>
              <w14:ligatures w14:val="standardContextual"/>
            </w:rPr>
          </w:pPr>
          <w:hyperlink w:anchor="_Toc207222797" w:history="1">
            <w:r w:rsidRPr="004D49A9">
              <w:rPr>
                <w:rStyle w:val="Hyperlink"/>
                <w:rFonts w:ascii="Arial" w:hAnsi="Arial" w:cs="Arial"/>
                <w:bCs/>
                <w:iCs/>
                <w:noProof/>
                <w:szCs w:val="22"/>
              </w:rPr>
              <w:t>1.4.</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general comments on the proposed rule</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_Toc207222797 \h </w:instrText>
            </w:r>
            <w:r w:rsidRPr="004D49A9">
              <w:rPr>
                <w:rFonts w:ascii="Arial" w:hAnsi="Arial" w:cs="Arial"/>
                <w:noProof/>
                <w:webHidden/>
                <w:szCs w:val="22"/>
              </w:rPr>
              <w:fldChar w:fldCharType="separate"/>
            </w:r>
            <w:r w:rsidR="00242DDE">
              <w:rPr>
                <w:rFonts w:ascii="Arial" w:hAnsi="Arial" w:cs="Arial"/>
                <w:noProof/>
                <w:webHidden/>
                <w:szCs w:val="22"/>
              </w:rPr>
              <w:t>17</w:t>
            </w:r>
            <w:r w:rsidRPr="004D49A9">
              <w:rPr>
                <w:rFonts w:ascii="Arial" w:hAnsi="Arial" w:cs="Arial"/>
                <w:noProof/>
                <w:webHidden/>
                <w:szCs w:val="22"/>
              </w:rPr>
              <w:fldChar w:fldCharType="end"/>
            </w:r>
          </w:hyperlink>
        </w:p>
        <w:p w:rsidR="004D49A9" w:rsidRPr="004D49A9" w:rsidP="00A30F66" w14:paraId="3EB86B91" w14:textId="77777777">
          <w:pPr>
            <w:pStyle w:val="TOC1"/>
            <w:rPr>
              <w:rFonts w:eastAsiaTheme="minorEastAsia"/>
              <w:noProof/>
              <w:color w:val="auto"/>
            </w:rPr>
          </w:pPr>
          <w:hyperlink w:anchor="_Toc207222798" w:history="1">
            <w:r w:rsidRPr="004D49A9">
              <w:rPr>
                <w:rStyle w:val="Hyperlink"/>
                <w:i/>
                <w:noProof/>
                <w:sz w:val="22"/>
                <w:szCs w:val="22"/>
              </w:rPr>
              <w:t>2.</w:t>
            </w:r>
            <w:r w:rsidR="00DC4FCE">
              <w:rPr>
                <w:rFonts w:eastAsiaTheme="minorEastAsia"/>
                <w:noProof/>
                <w:color w:val="auto"/>
              </w:rPr>
              <w:t xml:space="preserve"> </w:t>
            </w:r>
            <w:r w:rsidRPr="004D49A9">
              <w:rPr>
                <w:rStyle w:val="Hyperlink"/>
                <w:noProof/>
                <w:sz w:val="22"/>
                <w:szCs w:val="22"/>
              </w:rPr>
              <w:t>Background and Need for Rulemaking/Purpose and Scope of the Proposed Rule</w:t>
            </w:r>
            <w:r w:rsidRPr="004D49A9">
              <w:rPr>
                <w:noProof/>
                <w:webHidden/>
              </w:rPr>
              <w:tab/>
            </w:r>
            <w:r w:rsidRPr="004D49A9">
              <w:rPr>
                <w:noProof/>
                <w:webHidden/>
              </w:rPr>
              <w:fldChar w:fldCharType="begin"/>
            </w:r>
            <w:r w:rsidRPr="004D49A9">
              <w:rPr>
                <w:noProof/>
                <w:webHidden/>
              </w:rPr>
              <w:instrText xml:space="preserve"> PAGEREF _Toc207222798 \h </w:instrText>
            </w:r>
            <w:r w:rsidRPr="004D49A9">
              <w:rPr>
                <w:noProof/>
                <w:webHidden/>
              </w:rPr>
              <w:fldChar w:fldCharType="separate"/>
            </w:r>
            <w:r w:rsidR="00242DDE">
              <w:rPr>
                <w:noProof/>
                <w:webHidden/>
              </w:rPr>
              <w:t>19</w:t>
            </w:r>
            <w:r w:rsidRPr="004D49A9">
              <w:rPr>
                <w:noProof/>
                <w:webHidden/>
              </w:rPr>
              <w:fldChar w:fldCharType="end"/>
            </w:r>
          </w:hyperlink>
        </w:p>
        <w:p w:rsidR="004D49A9" w:rsidRPr="004D49A9" w:rsidP="00A30F66" w14:paraId="44035CBD" w14:textId="77777777">
          <w:pPr>
            <w:pStyle w:val="TOC1"/>
            <w:rPr>
              <w:rFonts w:eastAsiaTheme="minorEastAsia"/>
              <w:noProof/>
              <w:color w:val="auto"/>
            </w:rPr>
          </w:pPr>
          <w:hyperlink w:anchor="_Toc207222799" w:history="1">
            <w:r w:rsidRPr="004D49A9">
              <w:rPr>
                <w:rStyle w:val="Hyperlink"/>
                <w:noProof/>
                <w:sz w:val="22"/>
                <w:szCs w:val="22"/>
              </w:rPr>
              <w:t>3.</w:t>
            </w:r>
            <w:r w:rsidR="00DC4FCE">
              <w:rPr>
                <w:rStyle w:val="Hyperlink"/>
                <w:noProof/>
                <w:sz w:val="22"/>
                <w:szCs w:val="22"/>
              </w:rPr>
              <w:t xml:space="preserve"> </w:t>
            </w:r>
            <w:r w:rsidRPr="004D49A9">
              <w:rPr>
                <w:rStyle w:val="Hyperlink"/>
                <w:noProof/>
                <w:sz w:val="22"/>
                <w:szCs w:val="22"/>
              </w:rPr>
              <w:t>Major Provisions of the Proposal – 10 CFR Part 53</w:t>
            </w:r>
            <w:r w:rsidRPr="004D49A9">
              <w:rPr>
                <w:noProof/>
                <w:webHidden/>
              </w:rPr>
              <w:tab/>
            </w:r>
            <w:r w:rsidRPr="004D49A9">
              <w:rPr>
                <w:noProof/>
                <w:webHidden/>
              </w:rPr>
              <w:fldChar w:fldCharType="begin"/>
            </w:r>
            <w:r w:rsidRPr="004D49A9">
              <w:rPr>
                <w:noProof/>
                <w:webHidden/>
              </w:rPr>
              <w:instrText xml:space="preserve"> PAGEREF _Toc207222799 \h </w:instrText>
            </w:r>
            <w:r w:rsidRPr="004D49A9">
              <w:rPr>
                <w:noProof/>
                <w:webHidden/>
              </w:rPr>
              <w:fldChar w:fldCharType="separate"/>
            </w:r>
            <w:r w:rsidR="00242DDE">
              <w:rPr>
                <w:noProof/>
                <w:webHidden/>
              </w:rPr>
              <w:t>21</w:t>
            </w:r>
            <w:r w:rsidRPr="004D49A9">
              <w:rPr>
                <w:noProof/>
                <w:webHidden/>
              </w:rPr>
              <w:fldChar w:fldCharType="end"/>
            </w:r>
          </w:hyperlink>
        </w:p>
        <w:p w:rsidR="004D49A9" w:rsidRPr="004D49A9" w14:paraId="500987F0" w14:textId="77777777">
          <w:pPr>
            <w:pStyle w:val="TOC2"/>
            <w:tabs>
              <w:tab w:val="left" w:pos="960"/>
            </w:tabs>
            <w:rPr>
              <w:rFonts w:ascii="Arial" w:hAnsi="Arial" w:cs="Arial"/>
              <w:noProof/>
              <w:kern w:val="2"/>
              <w:szCs w:val="22"/>
              <w14:ligatures w14:val="standardContextual"/>
            </w:rPr>
          </w:pPr>
          <w:hyperlink w:anchor="_Toc207222800" w:history="1">
            <w:r w:rsidRPr="004D49A9">
              <w:rPr>
                <w:rStyle w:val="Hyperlink"/>
                <w:rFonts w:ascii="Arial" w:hAnsi="Arial" w:cs="Arial"/>
                <w:bCs/>
                <w:iCs/>
                <w:noProof/>
                <w:szCs w:val="22"/>
              </w:rPr>
              <w:t>3.1.</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A: General Provisions (§§ 53.015-53.120)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_Toc207222800 \h </w:instrText>
            </w:r>
            <w:r w:rsidRPr="004D49A9">
              <w:rPr>
                <w:rFonts w:ascii="Arial" w:hAnsi="Arial" w:cs="Arial"/>
                <w:noProof/>
                <w:webHidden/>
                <w:szCs w:val="22"/>
              </w:rPr>
              <w:fldChar w:fldCharType="separate"/>
            </w:r>
            <w:r w:rsidR="00242DDE">
              <w:rPr>
                <w:rFonts w:ascii="Arial" w:hAnsi="Arial" w:cs="Arial"/>
                <w:noProof/>
                <w:webHidden/>
                <w:szCs w:val="22"/>
              </w:rPr>
              <w:t>21</w:t>
            </w:r>
            <w:r w:rsidRPr="004D49A9">
              <w:rPr>
                <w:rFonts w:ascii="Arial" w:hAnsi="Arial" w:cs="Arial"/>
                <w:noProof/>
                <w:webHidden/>
                <w:szCs w:val="22"/>
              </w:rPr>
              <w:fldChar w:fldCharType="end"/>
            </w:r>
          </w:hyperlink>
        </w:p>
        <w:p w:rsidR="004D49A9" w:rsidRPr="004D49A9" w14:paraId="18B0F4C1" w14:textId="77777777">
          <w:pPr>
            <w:pStyle w:val="TOC3"/>
            <w:tabs>
              <w:tab w:val="left" w:pos="1440"/>
              <w:tab w:val="right" w:leader="dot" w:pos="9350"/>
            </w:tabs>
            <w:rPr>
              <w:rFonts w:ascii="Arial" w:hAnsi="Arial" w:cs="Arial"/>
              <w:noProof/>
              <w:kern w:val="2"/>
              <w:szCs w:val="22"/>
              <w14:ligatures w14:val="standardContextual"/>
            </w:rPr>
          </w:pPr>
          <w:hyperlink w:anchor="_Toc207222801" w:history="1">
            <w:r w:rsidRPr="004D49A9">
              <w:rPr>
                <w:rStyle w:val="Hyperlink"/>
                <w:rFonts w:ascii="Arial" w:hAnsi="Arial" w:cs="Arial"/>
                <w:bCs/>
                <w:noProof/>
                <w:szCs w:val="22"/>
              </w:rPr>
              <w:t>3.1.1.</w:t>
            </w:r>
            <w:r w:rsidRPr="004D49A9">
              <w:rPr>
                <w:rFonts w:ascii="Arial" w:hAnsi="Arial" w:cs="Arial"/>
                <w:noProof/>
                <w:kern w:val="2"/>
                <w:szCs w:val="22"/>
                <w14:ligatures w14:val="standardContextual"/>
              </w:rPr>
              <w:tab/>
            </w:r>
            <w:r w:rsidRPr="004D49A9">
              <w:rPr>
                <w:rStyle w:val="Hyperlink"/>
                <w:rFonts w:ascii="Arial" w:hAnsi="Arial" w:cs="Arial"/>
                <w:noProof/>
                <w:szCs w:val="22"/>
              </w:rPr>
              <w:t>Definitions (§ 53.020)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_Toc207222801 \h </w:instrText>
            </w:r>
            <w:r w:rsidRPr="004D49A9">
              <w:rPr>
                <w:rFonts w:ascii="Arial" w:hAnsi="Arial" w:cs="Arial"/>
                <w:noProof/>
                <w:webHidden/>
                <w:szCs w:val="22"/>
              </w:rPr>
              <w:fldChar w:fldCharType="separate"/>
            </w:r>
            <w:r w:rsidR="00242DDE">
              <w:rPr>
                <w:rFonts w:ascii="Arial" w:hAnsi="Arial" w:cs="Arial"/>
                <w:noProof/>
                <w:webHidden/>
                <w:szCs w:val="22"/>
              </w:rPr>
              <w:t>21</w:t>
            </w:r>
            <w:r w:rsidRPr="004D49A9">
              <w:rPr>
                <w:rFonts w:ascii="Arial" w:hAnsi="Arial" w:cs="Arial"/>
                <w:noProof/>
                <w:webHidden/>
                <w:szCs w:val="22"/>
              </w:rPr>
              <w:fldChar w:fldCharType="end"/>
            </w:r>
          </w:hyperlink>
        </w:p>
        <w:p w:rsidR="004D49A9" w:rsidRPr="004D49A9" w14:paraId="57AA5F89" w14:textId="77777777">
          <w:pPr>
            <w:pStyle w:val="TOC3"/>
            <w:tabs>
              <w:tab w:val="left" w:pos="1440"/>
              <w:tab w:val="right" w:leader="dot" w:pos="9350"/>
            </w:tabs>
            <w:rPr>
              <w:rFonts w:ascii="Arial" w:hAnsi="Arial" w:cs="Arial"/>
              <w:noProof/>
              <w:kern w:val="2"/>
              <w:szCs w:val="22"/>
              <w14:ligatures w14:val="standardContextual"/>
            </w:rPr>
          </w:pPr>
          <w:hyperlink w:anchor="_Toc207222802" w:history="1">
            <w:r w:rsidRPr="004D49A9">
              <w:rPr>
                <w:rStyle w:val="Hyperlink"/>
                <w:rFonts w:ascii="Arial" w:hAnsi="Arial" w:cs="Arial"/>
                <w:bCs/>
                <w:noProof/>
                <w:szCs w:val="22"/>
              </w:rPr>
              <w:t>3.1.2.</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A</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_Toc207222802 \h </w:instrText>
            </w:r>
            <w:r w:rsidRPr="004D49A9">
              <w:rPr>
                <w:rFonts w:ascii="Arial" w:hAnsi="Arial" w:cs="Arial"/>
                <w:noProof/>
                <w:webHidden/>
                <w:szCs w:val="22"/>
              </w:rPr>
              <w:fldChar w:fldCharType="separate"/>
            </w:r>
            <w:r w:rsidR="00242DDE">
              <w:rPr>
                <w:rFonts w:ascii="Arial" w:hAnsi="Arial" w:cs="Arial"/>
                <w:noProof/>
                <w:webHidden/>
                <w:szCs w:val="22"/>
              </w:rPr>
              <w:t>32</w:t>
            </w:r>
            <w:r w:rsidRPr="004D49A9">
              <w:rPr>
                <w:rFonts w:ascii="Arial" w:hAnsi="Arial" w:cs="Arial"/>
                <w:noProof/>
                <w:webHidden/>
                <w:szCs w:val="22"/>
              </w:rPr>
              <w:fldChar w:fldCharType="end"/>
            </w:r>
          </w:hyperlink>
        </w:p>
        <w:p w:rsidR="004D49A9" w:rsidRPr="004D49A9" w14:paraId="3E1FF94A" w14:textId="77777777">
          <w:pPr>
            <w:pStyle w:val="TOC2"/>
            <w:tabs>
              <w:tab w:val="left" w:pos="960"/>
            </w:tabs>
            <w:rPr>
              <w:rFonts w:ascii="Arial" w:hAnsi="Arial" w:cs="Arial"/>
              <w:noProof/>
              <w:kern w:val="2"/>
              <w:szCs w:val="22"/>
              <w14:ligatures w14:val="standardContextual"/>
            </w:rPr>
          </w:pPr>
          <w:hyperlink w:anchor="_Toc207222803" w:history="1">
            <w:r w:rsidRPr="004D49A9">
              <w:rPr>
                <w:rStyle w:val="Hyperlink"/>
                <w:rFonts w:ascii="Arial" w:hAnsi="Arial" w:cs="Arial"/>
                <w:bCs/>
                <w:iCs/>
                <w:noProof/>
                <w:szCs w:val="22"/>
              </w:rPr>
              <w:t>3.2.</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B: Technology-Inclusive Safety Requirements (§§ 53.210-53.270)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_Toc207222803 \h </w:instrText>
            </w:r>
            <w:r w:rsidRPr="004D49A9">
              <w:rPr>
                <w:rFonts w:ascii="Arial" w:hAnsi="Arial" w:cs="Arial"/>
                <w:noProof/>
                <w:webHidden/>
                <w:szCs w:val="22"/>
              </w:rPr>
              <w:fldChar w:fldCharType="separate"/>
            </w:r>
            <w:r w:rsidR="00242DDE">
              <w:rPr>
                <w:rFonts w:ascii="Arial" w:hAnsi="Arial" w:cs="Arial"/>
                <w:noProof/>
                <w:webHidden/>
                <w:szCs w:val="22"/>
              </w:rPr>
              <w:t>34</w:t>
            </w:r>
            <w:r w:rsidRPr="004D49A9">
              <w:rPr>
                <w:rFonts w:ascii="Arial" w:hAnsi="Arial" w:cs="Arial"/>
                <w:noProof/>
                <w:webHidden/>
                <w:szCs w:val="22"/>
              </w:rPr>
              <w:fldChar w:fldCharType="end"/>
            </w:r>
          </w:hyperlink>
        </w:p>
        <w:p w:rsidR="004D49A9" w:rsidRPr="004D49A9" w14:paraId="6BAB62A6" w14:textId="77777777">
          <w:pPr>
            <w:pStyle w:val="TOC3"/>
            <w:tabs>
              <w:tab w:val="left" w:pos="1440"/>
              <w:tab w:val="right" w:leader="dot" w:pos="9350"/>
            </w:tabs>
            <w:rPr>
              <w:rFonts w:ascii="Arial" w:hAnsi="Arial" w:cs="Arial"/>
              <w:noProof/>
              <w:kern w:val="2"/>
              <w:szCs w:val="22"/>
              <w14:ligatures w14:val="standardContextual"/>
            </w:rPr>
          </w:pPr>
          <w:hyperlink w:anchor="_Toc207222804" w:history="1">
            <w:r w:rsidRPr="004D49A9">
              <w:rPr>
                <w:rStyle w:val="Hyperlink"/>
                <w:rFonts w:ascii="Arial" w:hAnsi="Arial" w:cs="Arial"/>
                <w:bCs/>
                <w:noProof/>
                <w:szCs w:val="22"/>
              </w:rPr>
              <w:t>3.2.1.</w:t>
            </w:r>
            <w:r w:rsidRPr="004D49A9">
              <w:rPr>
                <w:rFonts w:ascii="Arial" w:hAnsi="Arial" w:cs="Arial"/>
                <w:noProof/>
                <w:kern w:val="2"/>
                <w:szCs w:val="22"/>
                <w14:ligatures w14:val="standardContextual"/>
              </w:rPr>
              <w:tab/>
            </w:r>
            <w:r w:rsidRPr="004D49A9">
              <w:rPr>
                <w:rStyle w:val="Hyperlink"/>
                <w:rFonts w:ascii="Arial" w:hAnsi="Arial" w:cs="Arial"/>
                <w:noProof/>
                <w:szCs w:val="22"/>
              </w:rPr>
              <w:t>Safety criteria (§§ 53.210-53.220)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_Toc207222804 \h </w:instrText>
            </w:r>
            <w:r w:rsidRPr="004D49A9">
              <w:rPr>
                <w:rFonts w:ascii="Arial" w:hAnsi="Arial" w:cs="Arial"/>
                <w:noProof/>
                <w:webHidden/>
                <w:szCs w:val="22"/>
              </w:rPr>
              <w:fldChar w:fldCharType="separate"/>
            </w:r>
            <w:r w:rsidR="00242DDE">
              <w:rPr>
                <w:rFonts w:ascii="Arial" w:hAnsi="Arial" w:cs="Arial"/>
                <w:noProof/>
                <w:webHidden/>
                <w:szCs w:val="22"/>
              </w:rPr>
              <w:t>34</w:t>
            </w:r>
            <w:r w:rsidRPr="004D49A9">
              <w:rPr>
                <w:rFonts w:ascii="Arial" w:hAnsi="Arial" w:cs="Arial"/>
                <w:noProof/>
                <w:webHidden/>
                <w:szCs w:val="22"/>
              </w:rPr>
              <w:fldChar w:fldCharType="end"/>
            </w:r>
          </w:hyperlink>
        </w:p>
        <w:p w:rsidR="004D49A9" w:rsidRPr="004D49A9" w14:paraId="28F4612F" w14:textId="77777777">
          <w:pPr>
            <w:pStyle w:val="TOC3"/>
            <w:tabs>
              <w:tab w:val="left" w:pos="1440"/>
              <w:tab w:val="right" w:leader="dot" w:pos="9350"/>
            </w:tabs>
            <w:rPr>
              <w:rFonts w:ascii="Arial" w:hAnsi="Arial" w:cs="Arial"/>
              <w:noProof/>
              <w:kern w:val="2"/>
              <w:szCs w:val="22"/>
              <w14:ligatures w14:val="standardContextual"/>
            </w:rPr>
          </w:pPr>
          <w:hyperlink w:anchor="_Toc207222805" w:history="1">
            <w:r w:rsidRPr="004D49A9">
              <w:rPr>
                <w:rStyle w:val="Hyperlink"/>
                <w:rFonts w:ascii="Arial" w:hAnsi="Arial" w:cs="Arial"/>
                <w:bCs/>
                <w:noProof/>
                <w:szCs w:val="22"/>
              </w:rPr>
              <w:t>3.2.2.</w:t>
            </w:r>
            <w:r w:rsidRPr="004D49A9">
              <w:rPr>
                <w:rFonts w:ascii="Arial" w:hAnsi="Arial" w:cs="Arial"/>
                <w:noProof/>
                <w:kern w:val="2"/>
                <w:szCs w:val="22"/>
                <w14:ligatures w14:val="standardContextual"/>
              </w:rPr>
              <w:tab/>
            </w:r>
            <w:r w:rsidRPr="004D49A9">
              <w:rPr>
                <w:rStyle w:val="Hyperlink"/>
                <w:rFonts w:ascii="Arial" w:hAnsi="Arial" w:cs="Arial"/>
                <w:noProof/>
                <w:szCs w:val="22"/>
              </w:rPr>
              <w:t>Defense in depth (§ 53.250), including RFC on inherent safety characteristics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_Toc207222805 \h </w:instrText>
            </w:r>
            <w:r w:rsidRPr="004D49A9">
              <w:rPr>
                <w:rFonts w:ascii="Arial" w:hAnsi="Arial" w:cs="Arial"/>
                <w:noProof/>
                <w:webHidden/>
                <w:szCs w:val="22"/>
              </w:rPr>
              <w:fldChar w:fldCharType="separate"/>
            </w:r>
            <w:r w:rsidR="00242DDE">
              <w:rPr>
                <w:rFonts w:ascii="Arial" w:hAnsi="Arial" w:cs="Arial"/>
                <w:noProof/>
                <w:webHidden/>
                <w:szCs w:val="22"/>
              </w:rPr>
              <w:t>54</w:t>
            </w:r>
            <w:r w:rsidRPr="004D49A9">
              <w:rPr>
                <w:rFonts w:ascii="Arial" w:hAnsi="Arial" w:cs="Arial"/>
                <w:noProof/>
                <w:webHidden/>
                <w:szCs w:val="22"/>
              </w:rPr>
              <w:fldChar w:fldCharType="end"/>
            </w:r>
          </w:hyperlink>
        </w:p>
        <w:p w:rsidR="004D49A9" w:rsidRPr="004D49A9" w14:paraId="42410AB0" w14:textId="77777777">
          <w:pPr>
            <w:pStyle w:val="TOC3"/>
            <w:tabs>
              <w:tab w:val="left" w:pos="1440"/>
              <w:tab w:val="right" w:leader="dot" w:pos="9350"/>
            </w:tabs>
            <w:rPr>
              <w:rFonts w:ascii="Arial" w:hAnsi="Arial" w:cs="Arial"/>
              <w:noProof/>
              <w:kern w:val="2"/>
              <w:szCs w:val="22"/>
              <w14:ligatures w14:val="standardContextual"/>
            </w:rPr>
          </w:pPr>
          <w:hyperlink w:anchor="_Toc207222806" w:history="1">
            <w:r w:rsidRPr="004D49A9">
              <w:rPr>
                <w:rStyle w:val="Hyperlink"/>
                <w:rFonts w:ascii="Arial" w:hAnsi="Arial" w:cs="Arial"/>
                <w:bCs/>
                <w:noProof/>
                <w:szCs w:val="22"/>
              </w:rPr>
              <w:t>3.2.3.</w:t>
            </w:r>
            <w:r w:rsidRPr="004D49A9">
              <w:rPr>
                <w:rFonts w:ascii="Arial" w:hAnsi="Arial" w:cs="Arial"/>
                <w:noProof/>
                <w:kern w:val="2"/>
                <w:szCs w:val="22"/>
                <w14:ligatures w14:val="standardContextual"/>
              </w:rPr>
              <w:tab/>
            </w:r>
            <w:r w:rsidRPr="004D49A9">
              <w:rPr>
                <w:rStyle w:val="Hyperlink"/>
                <w:rFonts w:ascii="Arial" w:hAnsi="Arial" w:cs="Arial"/>
                <w:noProof/>
                <w:szCs w:val="22"/>
              </w:rPr>
              <w:t>Radiation protection programs (e.g., §§ 53.260-53.270, meeting the requirements of 10 CFR Part 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_Toc207222806 \h </w:instrText>
            </w:r>
            <w:r w:rsidRPr="004D49A9">
              <w:rPr>
                <w:rFonts w:ascii="Arial" w:hAnsi="Arial" w:cs="Arial"/>
                <w:noProof/>
                <w:webHidden/>
                <w:szCs w:val="22"/>
              </w:rPr>
              <w:fldChar w:fldCharType="separate"/>
            </w:r>
            <w:r w:rsidR="00242DDE">
              <w:rPr>
                <w:rFonts w:ascii="Arial" w:hAnsi="Arial" w:cs="Arial"/>
                <w:noProof/>
                <w:webHidden/>
                <w:szCs w:val="22"/>
              </w:rPr>
              <w:t>61</w:t>
            </w:r>
            <w:r w:rsidRPr="004D49A9">
              <w:rPr>
                <w:rFonts w:ascii="Arial" w:hAnsi="Arial" w:cs="Arial"/>
                <w:noProof/>
                <w:webHidden/>
                <w:szCs w:val="22"/>
              </w:rPr>
              <w:fldChar w:fldCharType="end"/>
            </w:r>
          </w:hyperlink>
        </w:p>
        <w:p w:rsidR="004D49A9" w:rsidRPr="004D49A9" w14:paraId="5443C7C5" w14:textId="77777777">
          <w:pPr>
            <w:pStyle w:val="TOC3"/>
            <w:tabs>
              <w:tab w:val="left" w:pos="1440"/>
              <w:tab w:val="right" w:leader="dot" w:pos="9350"/>
            </w:tabs>
            <w:rPr>
              <w:rFonts w:ascii="Arial" w:hAnsi="Arial" w:cs="Arial"/>
              <w:noProof/>
              <w:kern w:val="2"/>
              <w:szCs w:val="22"/>
              <w14:ligatures w14:val="standardContextual"/>
            </w:rPr>
          </w:pPr>
          <w:hyperlink w:anchor="_Toc207222807" w:history="1">
            <w:r w:rsidRPr="004D49A9">
              <w:rPr>
                <w:rStyle w:val="Hyperlink"/>
                <w:rFonts w:ascii="Arial" w:hAnsi="Arial" w:cs="Arial"/>
                <w:bCs/>
                <w:noProof/>
                <w:szCs w:val="22"/>
              </w:rPr>
              <w:t>3.2.4.</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B (§§ 53.230-53.270)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_Toc207222807 \h </w:instrText>
            </w:r>
            <w:r w:rsidRPr="004D49A9">
              <w:rPr>
                <w:rFonts w:ascii="Arial" w:hAnsi="Arial" w:cs="Arial"/>
                <w:noProof/>
                <w:webHidden/>
                <w:szCs w:val="22"/>
              </w:rPr>
              <w:fldChar w:fldCharType="separate"/>
            </w:r>
            <w:r w:rsidR="00242DDE">
              <w:rPr>
                <w:rFonts w:ascii="Arial" w:hAnsi="Arial" w:cs="Arial"/>
                <w:noProof/>
                <w:webHidden/>
                <w:szCs w:val="22"/>
              </w:rPr>
              <w:t>61</w:t>
            </w:r>
            <w:r w:rsidRPr="004D49A9">
              <w:rPr>
                <w:rFonts w:ascii="Arial" w:hAnsi="Arial" w:cs="Arial"/>
                <w:noProof/>
                <w:webHidden/>
                <w:szCs w:val="22"/>
              </w:rPr>
              <w:fldChar w:fldCharType="end"/>
            </w:r>
          </w:hyperlink>
        </w:p>
        <w:p w:rsidR="004D49A9" w:rsidRPr="004D49A9" w14:paraId="4753B57F" w14:textId="77777777">
          <w:pPr>
            <w:pStyle w:val="TOC2"/>
            <w:tabs>
              <w:tab w:val="left" w:pos="960"/>
            </w:tabs>
            <w:rPr>
              <w:rFonts w:ascii="Arial" w:hAnsi="Arial" w:cs="Arial"/>
              <w:noProof/>
              <w:kern w:val="2"/>
              <w:szCs w:val="22"/>
              <w14:ligatures w14:val="standardContextual"/>
            </w:rPr>
          </w:pPr>
          <w:hyperlink w:anchor="_Toc207222808" w:history="1">
            <w:r w:rsidRPr="004D49A9">
              <w:rPr>
                <w:rStyle w:val="Hyperlink"/>
                <w:rFonts w:ascii="Arial" w:eastAsia="Times New Roman" w:hAnsi="Arial" w:cs="Arial"/>
                <w:bCs/>
                <w:iCs/>
                <w:noProof/>
                <w:szCs w:val="22"/>
              </w:rPr>
              <w:t>3.3.</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C: Design and Analysis Requirements (§§ 53.400-53.480)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_Toc207222808 \h </w:instrText>
            </w:r>
            <w:r w:rsidRPr="004D49A9">
              <w:rPr>
                <w:rFonts w:ascii="Arial" w:hAnsi="Arial" w:cs="Arial"/>
                <w:noProof/>
                <w:webHidden/>
                <w:szCs w:val="22"/>
              </w:rPr>
              <w:fldChar w:fldCharType="separate"/>
            </w:r>
            <w:r w:rsidR="00242DDE">
              <w:rPr>
                <w:rFonts w:ascii="Arial" w:hAnsi="Arial" w:cs="Arial"/>
                <w:noProof/>
                <w:webHidden/>
                <w:szCs w:val="22"/>
              </w:rPr>
              <w:t>67</w:t>
            </w:r>
            <w:r w:rsidRPr="004D49A9">
              <w:rPr>
                <w:rFonts w:ascii="Arial" w:hAnsi="Arial" w:cs="Arial"/>
                <w:noProof/>
                <w:webHidden/>
                <w:szCs w:val="22"/>
              </w:rPr>
              <w:fldChar w:fldCharType="end"/>
            </w:r>
          </w:hyperlink>
        </w:p>
        <w:p w:rsidR="004D49A9" w:rsidRPr="004D49A9" w14:paraId="7166964F" w14:textId="77777777">
          <w:pPr>
            <w:pStyle w:val="TOC3"/>
            <w:tabs>
              <w:tab w:val="left" w:pos="1440"/>
              <w:tab w:val="right" w:leader="dot" w:pos="9350"/>
            </w:tabs>
            <w:rPr>
              <w:rFonts w:ascii="Arial" w:hAnsi="Arial" w:cs="Arial"/>
              <w:noProof/>
              <w:kern w:val="2"/>
              <w:szCs w:val="22"/>
              <w14:ligatures w14:val="standardContextual"/>
            </w:rPr>
          </w:pPr>
          <w:hyperlink w:anchor="_Toc207222809" w:history="1">
            <w:r w:rsidRPr="004D49A9">
              <w:rPr>
                <w:rStyle w:val="Hyperlink"/>
                <w:rFonts w:ascii="Arial" w:hAnsi="Arial" w:cs="Arial"/>
                <w:bCs/>
                <w:noProof/>
                <w:szCs w:val="22"/>
              </w:rPr>
              <w:t>3.3.1.</w:t>
            </w:r>
            <w:r w:rsidRPr="004D49A9">
              <w:rPr>
                <w:rFonts w:ascii="Arial" w:hAnsi="Arial" w:cs="Arial"/>
                <w:noProof/>
                <w:kern w:val="2"/>
                <w:szCs w:val="22"/>
                <w14:ligatures w14:val="standardContextual"/>
              </w:rPr>
              <w:tab/>
            </w:r>
            <w:r w:rsidRPr="004D49A9">
              <w:rPr>
                <w:rStyle w:val="Hyperlink"/>
                <w:rFonts w:ascii="Arial" w:hAnsi="Arial" w:cs="Arial"/>
                <w:noProof/>
                <w:szCs w:val="22"/>
              </w:rPr>
              <w:t>Design features and functional design criteria (§§ 53.400-53.430)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_Toc207222809 \h </w:instrText>
            </w:r>
            <w:r w:rsidRPr="004D49A9">
              <w:rPr>
                <w:rFonts w:ascii="Arial" w:hAnsi="Arial" w:cs="Arial"/>
                <w:noProof/>
                <w:webHidden/>
                <w:szCs w:val="22"/>
              </w:rPr>
              <w:fldChar w:fldCharType="separate"/>
            </w:r>
            <w:r w:rsidR="00242DDE">
              <w:rPr>
                <w:rFonts w:ascii="Arial" w:hAnsi="Arial" w:cs="Arial"/>
                <w:noProof/>
                <w:webHidden/>
                <w:szCs w:val="22"/>
              </w:rPr>
              <w:t>67</w:t>
            </w:r>
            <w:r w:rsidRPr="004D49A9">
              <w:rPr>
                <w:rFonts w:ascii="Arial" w:hAnsi="Arial" w:cs="Arial"/>
                <w:noProof/>
                <w:webHidden/>
                <w:szCs w:val="22"/>
              </w:rPr>
              <w:fldChar w:fldCharType="end"/>
            </w:r>
          </w:hyperlink>
        </w:p>
        <w:p w:rsidR="004D49A9" w:rsidRPr="004D49A9" w14:paraId="07A1585A" w14:textId="77777777">
          <w:pPr>
            <w:pStyle w:val="TOC3"/>
            <w:tabs>
              <w:tab w:val="left" w:pos="1440"/>
              <w:tab w:val="right" w:leader="dot" w:pos="9350"/>
            </w:tabs>
            <w:rPr>
              <w:rFonts w:ascii="Arial" w:hAnsi="Arial" w:cs="Arial"/>
              <w:noProof/>
              <w:kern w:val="2"/>
              <w:szCs w:val="22"/>
              <w14:ligatures w14:val="standardContextual"/>
            </w:rPr>
          </w:pPr>
          <w:hyperlink w:anchor="_Toc207222810" w:history="1">
            <w:r w:rsidRPr="004D49A9">
              <w:rPr>
                <w:rStyle w:val="Hyperlink"/>
                <w:rFonts w:ascii="Arial" w:eastAsia="Times New Roman" w:hAnsi="Arial" w:cs="Arial"/>
                <w:bCs/>
                <w:noProof/>
                <w:szCs w:val="22"/>
              </w:rPr>
              <w:t>3.3.2.</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C provisions (§§ 53.440-53.480, including design and analysis requirements, safety categorization, and special treatment)</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_Toc207222810 \h </w:instrText>
            </w:r>
            <w:r w:rsidRPr="004D49A9">
              <w:rPr>
                <w:rFonts w:ascii="Arial" w:hAnsi="Arial" w:cs="Arial"/>
                <w:noProof/>
                <w:webHidden/>
                <w:szCs w:val="22"/>
              </w:rPr>
              <w:fldChar w:fldCharType="separate"/>
            </w:r>
            <w:r w:rsidR="00242DDE">
              <w:rPr>
                <w:rFonts w:ascii="Arial" w:hAnsi="Arial" w:cs="Arial"/>
                <w:noProof/>
                <w:webHidden/>
                <w:szCs w:val="22"/>
              </w:rPr>
              <w:t>70</w:t>
            </w:r>
            <w:r w:rsidRPr="004D49A9">
              <w:rPr>
                <w:rFonts w:ascii="Arial" w:hAnsi="Arial" w:cs="Arial"/>
                <w:noProof/>
                <w:webHidden/>
                <w:szCs w:val="22"/>
              </w:rPr>
              <w:fldChar w:fldCharType="end"/>
            </w:r>
          </w:hyperlink>
        </w:p>
        <w:p w:rsidR="004D49A9" w:rsidRPr="004D49A9" w14:paraId="53C72DB7" w14:textId="77777777">
          <w:pPr>
            <w:pStyle w:val="TOC3"/>
            <w:tabs>
              <w:tab w:val="left" w:pos="1440"/>
              <w:tab w:val="right" w:leader="dot" w:pos="9350"/>
            </w:tabs>
            <w:rPr>
              <w:rFonts w:ascii="Arial" w:hAnsi="Arial" w:cs="Arial"/>
              <w:noProof/>
              <w:kern w:val="2"/>
              <w:szCs w:val="22"/>
              <w14:ligatures w14:val="standardContextual"/>
            </w:rPr>
          </w:pPr>
          <w:hyperlink w:anchor="_Toc207222811" w:history="1">
            <w:r w:rsidRPr="004D49A9">
              <w:rPr>
                <w:rStyle w:val="Hyperlink"/>
                <w:rFonts w:ascii="Arial" w:hAnsi="Arial" w:cs="Arial"/>
                <w:bCs/>
                <w:noProof/>
                <w:szCs w:val="22"/>
              </w:rPr>
              <w:t>3.3.3.</w:t>
            </w:r>
            <w:r w:rsidRPr="004D49A9">
              <w:rPr>
                <w:rFonts w:ascii="Arial" w:hAnsi="Arial" w:cs="Arial"/>
                <w:noProof/>
                <w:kern w:val="2"/>
                <w:szCs w:val="22"/>
                <w14:ligatures w14:val="standardContextual"/>
              </w:rPr>
              <w:tab/>
            </w:r>
            <w:r w:rsidRPr="004D49A9">
              <w:rPr>
                <w:rStyle w:val="Hyperlink"/>
                <w:rFonts w:ascii="Arial" w:hAnsi="Arial" w:cs="Arial"/>
                <w:noProof/>
                <w:szCs w:val="22"/>
              </w:rPr>
              <w:t>RFC: Probabilistic risk assessment (PRA) acceptability reviews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_Toc207222811 \h </w:instrText>
            </w:r>
            <w:r w:rsidRPr="004D49A9">
              <w:rPr>
                <w:rFonts w:ascii="Arial" w:hAnsi="Arial" w:cs="Arial"/>
                <w:noProof/>
                <w:webHidden/>
                <w:szCs w:val="22"/>
              </w:rPr>
              <w:fldChar w:fldCharType="separate"/>
            </w:r>
            <w:r w:rsidR="00242DDE">
              <w:rPr>
                <w:rFonts w:ascii="Arial" w:hAnsi="Arial" w:cs="Arial"/>
                <w:noProof/>
                <w:webHidden/>
                <w:szCs w:val="22"/>
              </w:rPr>
              <w:t>93</w:t>
            </w:r>
            <w:r w:rsidRPr="004D49A9">
              <w:rPr>
                <w:rFonts w:ascii="Arial" w:hAnsi="Arial" w:cs="Arial"/>
                <w:noProof/>
                <w:webHidden/>
                <w:szCs w:val="22"/>
              </w:rPr>
              <w:fldChar w:fldCharType="end"/>
            </w:r>
          </w:hyperlink>
        </w:p>
        <w:p w:rsidR="004D49A9" w:rsidRPr="004D49A9" w14:paraId="1B31A817" w14:textId="77777777">
          <w:pPr>
            <w:pStyle w:val="TOC3"/>
            <w:tabs>
              <w:tab w:val="left" w:pos="1440"/>
              <w:tab w:val="right" w:leader="dot" w:pos="9350"/>
            </w:tabs>
            <w:rPr>
              <w:rFonts w:ascii="Arial" w:hAnsi="Arial" w:cs="Arial"/>
              <w:noProof/>
              <w:kern w:val="2"/>
              <w:szCs w:val="22"/>
              <w14:ligatures w14:val="standardContextual"/>
            </w:rPr>
          </w:pPr>
          <w:hyperlink w:anchor="_Toc207222812" w:history="1">
            <w:r w:rsidRPr="004D49A9">
              <w:rPr>
                <w:rStyle w:val="Hyperlink"/>
                <w:rFonts w:ascii="Arial" w:eastAsia="Times New Roman" w:hAnsi="Arial" w:cs="Arial"/>
                <w:bCs/>
                <w:noProof/>
                <w:szCs w:val="22"/>
              </w:rPr>
              <w:t>3.3.4.</w:t>
            </w:r>
            <w:r w:rsidRPr="004D49A9">
              <w:rPr>
                <w:rFonts w:ascii="Arial" w:hAnsi="Arial" w:cs="Arial"/>
                <w:noProof/>
                <w:kern w:val="2"/>
                <w:szCs w:val="22"/>
                <w14:ligatures w14:val="standardContextual"/>
              </w:rPr>
              <w:tab/>
            </w:r>
            <w:r w:rsidRPr="004D49A9">
              <w:rPr>
                <w:rStyle w:val="Hyperlink"/>
                <w:rFonts w:ascii="Arial" w:hAnsi="Arial" w:cs="Arial"/>
                <w:noProof/>
                <w:szCs w:val="22"/>
              </w:rPr>
              <w:t>RFC: Earthquake engineering and flexibility in addressing seismic risk (§</w:t>
            </w:r>
            <w:r w:rsidR="000040AE">
              <w:rPr>
                <w:rStyle w:val="Hyperlink"/>
                <w:rFonts w:ascii="Arial" w:hAnsi="Arial" w:cs="Arial"/>
                <w:noProof/>
                <w:szCs w:val="22"/>
              </w:rPr>
              <w:t> </w:t>
            </w:r>
            <w:r w:rsidRPr="004D49A9">
              <w:rPr>
                <w:rStyle w:val="Hyperlink"/>
                <w:rFonts w:ascii="Arial" w:eastAsia="Times New Roman" w:hAnsi="Arial" w:cs="Arial"/>
                <w:noProof/>
                <w:szCs w:val="22"/>
              </w:rPr>
              <w:t>53.480)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_Toc207222812 \h </w:instrText>
            </w:r>
            <w:r w:rsidRPr="004D49A9">
              <w:rPr>
                <w:rFonts w:ascii="Arial" w:hAnsi="Arial" w:cs="Arial"/>
                <w:noProof/>
                <w:webHidden/>
                <w:szCs w:val="22"/>
              </w:rPr>
              <w:fldChar w:fldCharType="separate"/>
            </w:r>
            <w:r w:rsidR="00242DDE">
              <w:rPr>
                <w:rFonts w:ascii="Arial" w:hAnsi="Arial" w:cs="Arial"/>
                <w:noProof/>
                <w:webHidden/>
                <w:szCs w:val="22"/>
              </w:rPr>
              <w:t>95</w:t>
            </w:r>
            <w:r w:rsidRPr="004D49A9">
              <w:rPr>
                <w:rFonts w:ascii="Arial" w:hAnsi="Arial" w:cs="Arial"/>
                <w:noProof/>
                <w:webHidden/>
                <w:szCs w:val="22"/>
              </w:rPr>
              <w:fldChar w:fldCharType="end"/>
            </w:r>
          </w:hyperlink>
        </w:p>
        <w:p w:rsidR="004D49A9" w:rsidRPr="004D49A9" w14:paraId="5B0A2F54" w14:textId="77777777">
          <w:pPr>
            <w:pStyle w:val="TOC2"/>
            <w:tabs>
              <w:tab w:val="left" w:pos="960"/>
            </w:tabs>
            <w:rPr>
              <w:rFonts w:ascii="Arial" w:hAnsi="Arial" w:cs="Arial"/>
              <w:noProof/>
              <w:kern w:val="2"/>
              <w:szCs w:val="22"/>
              <w14:ligatures w14:val="standardContextual"/>
            </w:rPr>
          </w:pPr>
          <w:hyperlink w:anchor="_Toc207222813" w:history="1">
            <w:r w:rsidRPr="004D49A9">
              <w:rPr>
                <w:rStyle w:val="Hyperlink"/>
                <w:rFonts w:ascii="Arial" w:hAnsi="Arial" w:cs="Arial"/>
                <w:bCs/>
                <w:iCs/>
                <w:noProof/>
                <w:szCs w:val="22"/>
              </w:rPr>
              <w:t>3.4.</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D: Siting Requirements (§§ 53.500-53.540)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_Toc207222813 \h </w:instrText>
            </w:r>
            <w:r w:rsidRPr="004D49A9">
              <w:rPr>
                <w:rFonts w:ascii="Arial" w:hAnsi="Arial" w:cs="Arial"/>
                <w:noProof/>
                <w:webHidden/>
                <w:szCs w:val="22"/>
              </w:rPr>
              <w:fldChar w:fldCharType="separate"/>
            </w:r>
            <w:r w:rsidR="00242DDE">
              <w:rPr>
                <w:rFonts w:ascii="Arial" w:hAnsi="Arial" w:cs="Arial"/>
                <w:noProof/>
                <w:webHidden/>
                <w:szCs w:val="22"/>
              </w:rPr>
              <w:t>96</w:t>
            </w:r>
            <w:r w:rsidRPr="004D49A9">
              <w:rPr>
                <w:rFonts w:ascii="Arial" w:hAnsi="Arial" w:cs="Arial"/>
                <w:noProof/>
                <w:webHidden/>
                <w:szCs w:val="22"/>
              </w:rPr>
              <w:fldChar w:fldCharType="end"/>
            </w:r>
          </w:hyperlink>
        </w:p>
        <w:p w:rsidR="004D49A9" w:rsidRPr="004D49A9" w14:paraId="30C69377" w14:textId="77777777">
          <w:pPr>
            <w:pStyle w:val="TOC3"/>
            <w:tabs>
              <w:tab w:val="left" w:pos="1440"/>
              <w:tab w:val="right" w:leader="dot" w:pos="9350"/>
            </w:tabs>
            <w:rPr>
              <w:rFonts w:ascii="Arial" w:hAnsi="Arial" w:cs="Arial"/>
              <w:noProof/>
              <w:kern w:val="2"/>
              <w:szCs w:val="22"/>
              <w14:ligatures w14:val="standardContextual"/>
            </w:rPr>
          </w:pPr>
          <w:hyperlink w:anchor="_Toc207222814" w:history="1">
            <w:r w:rsidRPr="004D49A9">
              <w:rPr>
                <w:rStyle w:val="Hyperlink"/>
                <w:rFonts w:ascii="Arial" w:hAnsi="Arial" w:cs="Arial"/>
                <w:bCs/>
                <w:noProof/>
                <w:szCs w:val="22"/>
              </w:rPr>
              <w:t>3.4.1.</w:t>
            </w:r>
            <w:r w:rsidRPr="004D49A9">
              <w:rPr>
                <w:rFonts w:ascii="Arial" w:hAnsi="Arial" w:cs="Arial"/>
                <w:noProof/>
                <w:kern w:val="2"/>
                <w:szCs w:val="22"/>
                <w14:ligatures w14:val="standardContextual"/>
              </w:rPr>
              <w:tab/>
            </w:r>
            <w:r w:rsidRPr="004D49A9">
              <w:rPr>
                <w:rStyle w:val="Hyperlink"/>
                <w:rFonts w:ascii="Arial" w:hAnsi="Arial" w:cs="Arial"/>
                <w:noProof/>
                <w:szCs w:val="22"/>
              </w:rPr>
              <w:t>External hazards (§ 53.510)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_Toc207222814 \h </w:instrText>
            </w:r>
            <w:r w:rsidRPr="004D49A9">
              <w:rPr>
                <w:rFonts w:ascii="Arial" w:hAnsi="Arial" w:cs="Arial"/>
                <w:noProof/>
                <w:webHidden/>
                <w:szCs w:val="22"/>
              </w:rPr>
              <w:fldChar w:fldCharType="separate"/>
            </w:r>
            <w:r w:rsidR="00242DDE">
              <w:rPr>
                <w:rFonts w:ascii="Arial" w:hAnsi="Arial" w:cs="Arial"/>
                <w:noProof/>
                <w:webHidden/>
                <w:szCs w:val="22"/>
              </w:rPr>
              <w:t>96</w:t>
            </w:r>
            <w:r w:rsidRPr="004D49A9">
              <w:rPr>
                <w:rFonts w:ascii="Arial" w:hAnsi="Arial" w:cs="Arial"/>
                <w:noProof/>
                <w:webHidden/>
                <w:szCs w:val="22"/>
              </w:rPr>
              <w:fldChar w:fldCharType="end"/>
            </w:r>
          </w:hyperlink>
        </w:p>
        <w:p w:rsidR="004D49A9" w:rsidRPr="004D49A9" w14:paraId="4D140FED" w14:textId="77777777">
          <w:pPr>
            <w:pStyle w:val="TOC3"/>
            <w:tabs>
              <w:tab w:val="left" w:pos="1440"/>
              <w:tab w:val="right" w:leader="dot" w:pos="9350"/>
            </w:tabs>
            <w:rPr>
              <w:rFonts w:ascii="Arial" w:hAnsi="Arial" w:cs="Arial"/>
              <w:noProof/>
              <w:kern w:val="2"/>
              <w:szCs w:val="22"/>
              <w14:ligatures w14:val="standardContextual"/>
            </w:rPr>
          </w:pPr>
          <w:hyperlink w:anchor="_Toc207222815" w:history="1">
            <w:r w:rsidRPr="004D49A9">
              <w:rPr>
                <w:rStyle w:val="Hyperlink"/>
                <w:rFonts w:ascii="Arial" w:hAnsi="Arial" w:cs="Arial"/>
                <w:bCs/>
                <w:noProof/>
                <w:szCs w:val="22"/>
              </w:rPr>
              <w:t>3.4.2.</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D</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_Toc207222815 \h </w:instrText>
            </w:r>
            <w:r w:rsidRPr="004D49A9">
              <w:rPr>
                <w:rFonts w:ascii="Arial" w:hAnsi="Arial" w:cs="Arial"/>
                <w:noProof/>
                <w:webHidden/>
                <w:szCs w:val="22"/>
              </w:rPr>
              <w:fldChar w:fldCharType="separate"/>
            </w:r>
            <w:r w:rsidR="00242DDE">
              <w:rPr>
                <w:rFonts w:ascii="Arial" w:hAnsi="Arial" w:cs="Arial"/>
                <w:noProof/>
                <w:webHidden/>
                <w:szCs w:val="22"/>
              </w:rPr>
              <w:t>96</w:t>
            </w:r>
            <w:r w:rsidRPr="004D49A9">
              <w:rPr>
                <w:rFonts w:ascii="Arial" w:hAnsi="Arial" w:cs="Arial"/>
                <w:noProof/>
                <w:webHidden/>
                <w:szCs w:val="22"/>
              </w:rPr>
              <w:fldChar w:fldCharType="end"/>
            </w:r>
          </w:hyperlink>
        </w:p>
        <w:p w:rsidR="004D49A9" w:rsidRPr="004D49A9" w14:paraId="15B3CCD2" w14:textId="77777777">
          <w:pPr>
            <w:pStyle w:val="TOC2"/>
            <w:tabs>
              <w:tab w:val="left" w:pos="960"/>
            </w:tabs>
            <w:rPr>
              <w:rFonts w:ascii="Arial" w:hAnsi="Arial" w:cs="Arial"/>
              <w:noProof/>
              <w:kern w:val="2"/>
              <w:szCs w:val="22"/>
              <w14:ligatures w14:val="standardContextual"/>
            </w:rPr>
          </w:pPr>
          <w:hyperlink w:anchor="_Toc207222816" w:history="1">
            <w:r w:rsidRPr="004D49A9">
              <w:rPr>
                <w:rStyle w:val="Hyperlink"/>
                <w:rFonts w:ascii="Arial" w:hAnsi="Arial" w:cs="Arial"/>
                <w:bCs/>
                <w:iCs/>
                <w:noProof/>
                <w:szCs w:val="22"/>
              </w:rPr>
              <w:t>3.5.</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E: Construction and Manufacturing Requirements (§§ 53.600-53.620)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_Toc207222816 \h </w:instrText>
            </w:r>
            <w:r w:rsidRPr="004D49A9">
              <w:rPr>
                <w:rFonts w:ascii="Arial" w:hAnsi="Arial" w:cs="Arial"/>
                <w:noProof/>
                <w:webHidden/>
                <w:szCs w:val="22"/>
              </w:rPr>
              <w:fldChar w:fldCharType="separate"/>
            </w:r>
            <w:r w:rsidR="00242DDE">
              <w:rPr>
                <w:rFonts w:ascii="Arial" w:hAnsi="Arial" w:cs="Arial"/>
                <w:noProof/>
                <w:webHidden/>
                <w:szCs w:val="22"/>
              </w:rPr>
              <w:t>100</w:t>
            </w:r>
            <w:r w:rsidRPr="004D49A9">
              <w:rPr>
                <w:rFonts w:ascii="Arial" w:hAnsi="Arial" w:cs="Arial"/>
                <w:noProof/>
                <w:webHidden/>
                <w:szCs w:val="22"/>
              </w:rPr>
              <w:fldChar w:fldCharType="end"/>
            </w:r>
          </w:hyperlink>
        </w:p>
        <w:p w:rsidR="004D49A9" w:rsidRPr="004D49A9" w14:paraId="2DC53FF9" w14:textId="77777777">
          <w:pPr>
            <w:pStyle w:val="TOC3"/>
            <w:tabs>
              <w:tab w:val="left" w:pos="1440"/>
              <w:tab w:val="right" w:leader="dot" w:pos="9350"/>
            </w:tabs>
            <w:rPr>
              <w:rFonts w:ascii="Arial" w:hAnsi="Arial" w:cs="Arial"/>
              <w:noProof/>
              <w:kern w:val="2"/>
              <w:szCs w:val="22"/>
              <w14:ligatures w14:val="standardContextual"/>
            </w:rPr>
          </w:pPr>
          <w:hyperlink w:anchor="_Toc207222817" w:history="1">
            <w:r w:rsidRPr="004D49A9">
              <w:rPr>
                <w:rStyle w:val="Hyperlink"/>
                <w:rFonts w:ascii="Arial" w:hAnsi="Arial" w:cs="Arial"/>
                <w:bCs/>
                <w:noProof/>
                <w:szCs w:val="22"/>
              </w:rPr>
              <w:t>3.5.1.</w:t>
            </w:r>
            <w:r w:rsidRPr="004D49A9">
              <w:rPr>
                <w:rFonts w:ascii="Arial" w:hAnsi="Arial" w:cs="Arial"/>
                <w:noProof/>
                <w:kern w:val="2"/>
                <w:szCs w:val="22"/>
                <w14:ligatures w14:val="standardContextual"/>
              </w:rPr>
              <w:tab/>
            </w:r>
            <w:r w:rsidRPr="004D49A9">
              <w:rPr>
                <w:rStyle w:val="Hyperlink"/>
                <w:rFonts w:ascii="Arial" w:hAnsi="Arial" w:cs="Arial"/>
                <w:noProof/>
                <w:szCs w:val="22"/>
              </w:rPr>
              <w:t>Factory fuel loading requirements (§ 53.620)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_Toc207222817 \h </w:instrText>
            </w:r>
            <w:r w:rsidRPr="004D49A9">
              <w:rPr>
                <w:rFonts w:ascii="Arial" w:hAnsi="Arial" w:cs="Arial"/>
                <w:noProof/>
                <w:webHidden/>
                <w:szCs w:val="22"/>
              </w:rPr>
              <w:fldChar w:fldCharType="separate"/>
            </w:r>
            <w:r w:rsidR="00242DDE">
              <w:rPr>
                <w:rFonts w:ascii="Arial" w:hAnsi="Arial" w:cs="Arial"/>
                <w:noProof/>
                <w:webHidden/>
                <w:szCs w:val="22"/>
              </w:rPr>
              <w:t>100</w:t>
            </w:r>
            <w:r w:rsidRPr="004D49A9">
              <w:rPr>
                <w:rFonts w:ascii="Arial" w:hAnsi="Arial" w:cs="Arial"/>
                <w:noProof/>
                <w:webHidden/>
                <w:szCs w:val="22"/>
              </w:rPr>
              <w:fldChar w:fldCharType="end"/>
            </w:r>
          </w:hyperlink>
        </w:p>
        <w:p w:rsidR="004D49A9" w:rsidRPr="004D49A9" w14:paraId="03340954" w14:textId="77777777">
          <w:pPr>
            <w:pStyle w:val="TOC3"/>
            <w:tabs>
              <w:tab w:val="left" w:pos="1440"/>
              <w:tab w:val="right" w:leader="dot" w:pos="9350"/>
            </w:tabs>
            <w:rPr>
              <w:rFonts w:ascii="Arial" w:hAnsi="Arial" w:cs="Arial"/>
              <w:noProof/>
              <w:kern w:val="2"/>
              <w:szCs w:val="22"/>
              <w14:ligatures w14:val="standardContextual"/>
            </w:rPr>
          </w:pPr>
          <w:hyperlink w:anchor="_Toc207222818" w:history="1">
            <w:r w:rsidRPr="004D49A9">
              <w:rPr>
                <w:rStyle w:val="Hyperlink"/>
                <w:rFonts w:ascii="Arial" w:hAnsi="Arial" w:cs="Arial"/>
                <w:noProof/>
                <w:szCs w:val="22"/>
              </w:rPr>
              <w:t>3.5.2.</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E provisions (§§ 53.600-53.610, comments on §§</w:t>
            </w:r>
            <w:r w:rsidR="006034BF">
              <w:rPr>
                <w:rStyle w:val="Hyperlink"/>
                <w:rFonts w:ascii="Arial" w:hAnsi="Arial" w:cs="Arial"/>
                <w:noProof/>
                <w:szCs w:val="22"/>
              </w:rPr>
              <w:t> </w:t>
            </w:r>
            <w:r w:rsidRPr="004D49A9">
              <w:rPr>
                <w:rStyle w:val="Hyperlink"/>
                <w:rFonts w:ascii="Arial" w:hAnsi="Arial" w:cs="Arial"/>
                <w:noProof/>
                <w:szCs w:val="22"/>
              </w:rPr>
              <w:t>53.620 not related to factory fuel loading)</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_Toc207222818 \h </w:instrText>
            </w:r>
            <w:r w:rsidRPr="004D49A9">
              <w:rPr>
                <w:rFonts w:ascii="Arial" w:hAnsi="Arial" w:cs="Arial"/>
                <w:noProof/>
                <w:webHidden/>
                <w:szCs w:val="22"/>
              </w:rPr>
              <w:fldChar w:fldCharType="separate"/>
            </w:r>
            <w:r w:rsidR="00242DDE">
              <w:rPr>
                <w:rFonts w:ascii="Arial" w:hAnsi="Arial" w:cs="Arial"/>
                <w:noProof/>
                <w:webHidden/>
                <w:szCs w:val="22"/>
              </w:rPr>
              <w:t>114</w:t>
            </w:r>
            <w:r w:rsidRPr="004D49A9">
              <w:rPr>
                <w:rFonts w:ascii="Arial" w:hAnsi="Arial" w:cs="Arial"/>
                <w:noProof/>
                <w:webHidden/>
                <w:szCs w:val="22"/>
              </w:rPr>
              <w:fldChar w:fldCharType="end"/>
            </w:r>
          </w:hyperlink>
        </w:p>
        <w:p w:rsidR="004D49A9" w:rsidRPr="004D49A9" w14:paraId="7E569522" w14:textId="77777777">
          <w:pPr>
            <w:pStyle w:val="TOC3"/>
            <w:tabs>
              <w:tab w:val="left" w:pos="1440"/>
              <w:tab w:val="right" w:leader="dot" w:pos="9350"/>
            </w:tabs>
            <w:rPr>
              <w:rFonts w:ascii="Arial" w:hAnsi="Arial" w:cs="Arial"/>
              <w:noProof/>
              <w:kern w:val="2"/>
              <w:szCs w:val="22"/>
              <w14:ligatures w14:val="standardContextual"/>
            </w:rPr>
          </w:pPr>
          <w:hyperlink w:anchor="_Toc207222819" w:history="1">
            <w:r w:rsidRPr="004D49A9">
              <w:rPr>
                <w:rStyle w:val="Hyperlink"/>
                <w:rFonts w:ascii="Arial" w:hAnsi="Arial" w:cs="Arial"/>
                <w:noProof/>
                <w:szCs w:val="22"/>
              </w:rPr>
              <w:t>3.5.3.</w:t>
            </w:r>
            <w:r w:rsidRPr="004D49A9">
              <w:rPr>
                <w:rFonts w:ascii="Arial" w:hAnsi="Arial" w:cs="Arial"/>
                <w:noProof/>
                <w:kern w:val="2"/>
                <w:szCs w:val="22"/>
                <w14:ligatures w14:val="standardContextual"/>
              </w:rPr>
              <w:tab/>
            </w:r>
            <w:r w:rsidRPr="004D49A9">
              <w:rPr>
                <w:rStyle w:val="Hyperlink"/>
                <w:rFonts w:ascii="Arial" w:hAnsi="Arial" w:cs="Arial"/>
                <w:noProof/>
                <w:szCs w:val="22"/>
              </w:rPr>
              <w:t>RFC: Control of construction so as not to impact other features important to design (§ 53.610(b)(1)(iii))</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_Toc207222819 \h </w:instrText>
            </w:r>
            <w:r w:rsidRPr="004D49A9">
              <w:rPr>
                <w:rFonts w:ascii="Arial" w:hAnsi="Arial" w:cs="Arial"/>
                <w:noProof/>
                <w:webHidden/>
                <w:szCs w:val="22"/>
              </w:rPr>
              <w:fldChar w:fldCharType="separate"/>
            </w:r>
            <w:r w:rsidR="00242DDE">
              <w:rPr>
                <w:rFonts w:ascii="Arial" w:hAnsi="Arial" w:cs="Arial"/>
                <w:noProof/>
                <w:webHidden/>
                <w:szCs w:val="22"/>
              </w:rPr>
              <w:t>118</w:t>
            </w:r>
            <w:r w:rsidRPr="004D49A9">
              <w:rPr>
                <w:rFonts w:ascii="Arial" w:hAnsi="Arial" w:cs="Arial"/>
                <w:noProof/>
                <w:webHidden/>
                <w:szCs w:val="22"/>
              </w:rPr>
              <w:fldChar w:fldCharType="end"/>
            </w:r>
          </w:hyperlink>
        </w:p>
        <w:p w:rsidR="004D49A9" w:rsidRPr="004D49A9" w14:paraId="5AA42D57" w14:textId="77777777">
          <w:pPr>
            <w:pStyle w:val="TOC2"/>
            <w:tabs>
              <w:tab w:val="left" w:pos="960"/>
            </w:tabs>
            <w:rPr>
              <w:rFonts w:ascii="Arial" w:hAnsi="Arial" w:cs="Arial"/>
              <w:noProof/>
              <w:kern w:val="2"/>
              <w:szCs w:val="22"/>
              <w14:ligatures w14:val="standardContextual"/>
            </w:rPr>
          </w:pPr>
          <w:hyperlink w:anchor="_Toc207222820" w:history="1">
            <w:r w:rsidRPr="004D49A9">
              <w:rPr>
                <w:rStyle w:val="Hyperlink"/>
                <w:rFonts w:ascii="Arial" w:hAnsi="Arial" w:cs="Arial"/>
                <w:noProof/>
                <w:szCs w:val="22"/>
              </w:rPr>
              <w:t>3.6.</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F: Requirements for Operation (§§ 53.700-53.910)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_Toc207222820 \h </w:instrText>
            </w:r>
            <w:r w:rsidRPr="004D49A9">
              <w:rPr>
                <w:rFonts w:ascii="Arial" w:hAnsi="Arial" w:cs="Arial"/>
                <w:noProof/>
                <w:webHidden/>
                <w:szCs w:val="22"/>
              </w:rPr>
              <w:fldChar w:fldCharType="separate"/>
            </w:r>
            <w:r w:rsidR="00242DDE">
              <w:rPr>
                <w:rFonts w:ascii="Arial" w:hAnsi="Arial" w:cs="Arial"/>
                <w:noProof/>
                <w:webHidden/>
                <w:szCs w:val="22"/>
              </w:rPr>
              <w:t>119</w:t>
            </w:r>
            <w:r w:rsidRPr="004D49A9">
              <w:rPr>
                <w:rFonts w:ascii="Arial" w:hAnsi="Arial" w:cs="Arial"/>
                <w:noProof/>
                <w:webHidden/>
                <w:szCs w:val="22"/>
              </w:rPr>
              <w:fldChar w:fldCharType="end"/>
            </w:r>
          </w:hyperlink>
        </w:p>
        <w:p w:rsidR="004D49A9" w:rsidRPr="004D49A9" w14:paraId="676C5A6A" w14:textId="77777777">
          <w:pPr>
            <w:pStyle w:val="TOC3"/>
            <w:tabs>
              <w:tab w:val="left" w:pos="1440"/>
              <w:tab w:val="right" w:leader="dot" w:pos="9350"/>
            </w:tabs>
            <w:rPr>
              <w:rFonts w:ascii="Arial" w:hAnsi="Arial" w:cs="Arial"/>
              <w:noProof/>
              <w:kern w:val="2"/>
              <w:szCs w:val="22"/>
              <w14:ligatures w14:val="standardContextual"/>
            </w:rPr>
          </w:pPr>
          <w:hyperlink w:anchor="_Toc207222821" w:history="1">
            <w:r w:rsidRPr="004D49A9">
              <w:rPr>
                <w:rStyle w:val="Hyperlink"/>
                <w:rFonts w:ascii="Arial" w:hAnsi="Arial" w:cs="Arial"/>
                <w:noProof/>
                <w:szCs w:val="22"/>
              </w:rPr>
              <w:t>3.6.1.</w:t>
            </w:r>
            <w:r w:rsidRPr="004D49A9">
              <w:rPr>
                <w:rFonts w:ascii="Arial" w:hAnsi="Arial" w:cs="Arial"/>
                <w:noProof/>
                <w:kern w:val="2"/>
                <w:szCs w:val="22"/>
                <w14:ligatures w14:val="standardContextual"/>
              </w:rPr>
              <w:tab/>
            </w:r>
            <w:r w:rsidRPr="004D49A9">
              <w:rPr>
                <w:rStyle w:val="Hyperlink"/>
                <w:rFonts w:ascii="Arial" w:hAnsi="Arial" w:cs="Arial"/>
                <w:noProof/>
                <w:szCs w:val="22"/>
              </w:rPr>
              <w:t>Controls of SSCs (§§ 53.700-53.720: technical specifications and plant controls, maintenance, repair, inspection programs, plant reliability programs, and response to seismic events)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_Toc207222821 \h </w:instrText>
            </w:r>
            <w:r w:rsidRPr="004D49A9">
              <w:rPr>
                <w:rFonts w:ascii="Arial" w:hAnsi="Arial" w:cs="Arial"/>
                <w:noProof/>
                <w:webHidden/>
                <w:szCs w:val="22"/>
              </w:rPr>
              <w:fldChar w:fldCharType="separate"/>
            </w:r>
            <w:r w:rsidR="00242DDE">
              <w:rPr>
                <w:rFonts w:ascii="Arial" w:hAnsi="Arial" w:cs="Arial"/>
                <w:noProof/>
                <w:webHidden/>
                <w:szCs w:val="22"/>
              </w:rPr>
              <w:t>119</w:t>
            </w:r>
            <w:r w:rsidRPr="004D49A9">
              <w:rPr>
                <w:rFonts w:ascii="Arial" w:hAnsi="Arial" w:cs="Arial"/>
                <w:noProof/>
                <w:webHidden/>
                <w:szCs w:val="22"/>
              </w:rPr>
              <w:fldChar w:fldCharType="end"/>
            </w:r>
          </w:hyperlink>
        </w:p>
        <w:p w:rsidR="004D49A9" w:rsidRPr="004D49A9" w14:paraId="42D57F5B" w14:textId="77777777">
          <w:pPr>
            <w:pStyle w:val="TOC3"/>
            <w:tabs>
              <w:tab w:val="left" w:pos="1440"/>
              <w:tab w:val="right" w:leader="dot" w:pos="9350"/>
            </w:tabs>
            <w:rPr>
              <w:rFonts w:ascii="Arial" w:hAnsi="Arial" w:cs="Arial"/>
              <w:noProof/>
              <w:kern w:val="2"/>
              <w:szCs w:val="22"/>
              <w14:ligatures w14:val="standardContextual"/>
            </w:rPr>
          </w:pPr>
          <w:hyperlink w:anchor="_Toc207222822" w:history="1">
            <w:r w:rsidRPr="004D49A9">
              <w:rPr>
                <w:rStyle w:val="Hyperlink"/>
                <w:rFonts w:ascii="Arial" w:hAnsi="Arial" w:cs="Arial"/>
                <w:noProof/>
                <w:szCs w:val="22"/>
              </w:rPr>
              <w:t>3.6.2.</w:t>
            </w:r>
            <w:r w:rsidRPr="004D49A9">
              <w:rPr>
                <w:rFonts w:ascii="Arial" w:hAnsi="Arial" w:cs="Arial"/>
                <w:noProof/>
                <w:kern w:val="2"/>
                <w:szCs w:val="22"/>
                <w14:ligatures w14:val="standardContextual"/>
              </w:rPr>
              <w:tab/>
            </w:r>
            <w:r w:rsidRPr="004D49A9">
              <w:rPr>
                <w:rStyle w:val="Hyperlink"/>
                <w:rFonts w:ascii="Arial" w:hAnsi="Arial" w:cs="Arial"/>
                <w:noProof/>
                <w:szCs w:val="22"/>
              </w:rPr>
              <w:t>Staffing, training, personnel qualifications, and human factors engineering (§§</w:t>
            </w:r>
            <w:r w:rsidR="00B21EA5">
              <w:rPr>
                <w:rStyle w:val="Hyperlink"/>
                <w:rFonts w:ascii="Arial" w:hAnsi="Arial" w:cs="Arial"/>
                <w:noProof/>
                <w:szCs w:val="22"/>
              </w:rPr>
              <w:t> </w:t>
            </w:r>
            <w:r w:rsidRPr="004D49A9">
              <w:rPr>
                <w:rStyle w:val="Hyperlink"/>
                <w:rFonts w:ascii="Arial" w:hAnsi="Arial" w:cs="Arial"/>
                <w:noProof/>
                <w:szCs w:val="22"/>
              </w:rPr>
              <w:t>53.725-53.830)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_Toc207222822 \h </w:instrText>
            </w:r>
            <w:r w:rsidRPr="004D49A9">
              <w:rPr>
                <w:rFonts w:ascii="Arial" w:hAnsi="Arial" w:cs="Arial"/>
                <w:noProof/>
                <w:webHidden/>
                <w:szCs w:val="22"/>
              </w:rPr>
              <w:fldChar w:fldCharType="separate"/>
            </w:r>
            <w:r w:rsidR="00242DDE">
              <w:rPr>
                <w:rFonts w:ascii="Arial" w:hAnsi="Arial" w:cs="Arial"/>
                <w:noProof/>
                <w:webHidden/>
                <w:szCs w:val="22"/>
              </w:rPr>
              <w:t>123</w:t>
            </w:r>
            <w:r w:rsidRPr="004D49A9">
              <w:rPr>
                <w:rFonts w:ascii="Arial" w:hAnsi="Arial" w:cs="Arial"/>
                <w:noProof/>
                <w:webHidden/>
                <w:szCs w:val="22"/>
              </w:rPr>
              <w:fldChar w:fldCharType="end"/>
            </w:r>
          </w:hyperlink>
        </w:p>
        <w:p w:rsidR="004D49A9" w:rsidRPr="004D49A9" w14:paraId="1383A0A6" w14:textId="77777777">
          <w:pPr>
            <w:pStyle w:val="TOC3"/>
            <w:tabs>
              <w:tab w:val="left" w:pos="1440"/>
              <w:tab w:val="right" w:leader="dot" w:pos="9350"/>
            </w:tabs>
            <w:rPr>
              <w:rFonts w:ascii="Arial" w:hAnsi="Arial" w:cs="Arial"/>
              <w:noProof/>
              <w:kern w:val="2"/>
              <w:szCs w:val="22"/>
              <w14:ligatures w14:val="standardContextual"/>
            </w:rPr>
          </w:pPr>
          <w:hyperlink w:anchor="_Toc207222823" w:history="1">
            <w:r w:rsidRPr="004D49A9">
              <w:rPr>
                <w:rStyle w:val="Hyperlink"/>
                <w:rFonts w:ascii="Arial" w:hAnsi="Arial" w:cs="Arial"/>
                <w:noProof/>
                <w:szCs w:val="22"/>
              </w:rPr>
              <w:t>3.6.3.</w:t>
            </w:r>
            <w:r w:rsidRPr="004D49A9">
              <w:rPr>
                <w:rFonts w:ascii="Arial" w:hAnsi="Arial" w:cs="Arial"/>
                <w:noProof/>
                <w:kern w:val="2"/>
                <w:szCs w:val="22"/>
                <w14:ligatures w14:val="standardContextual"/>
              </w:rPr>
              <w:tab/>
            </w:r>
            <w:r w:rsidRPr="004D49A9">
              <w:rPr>
                <w:rStyle w:val="Hyperlink"/>
                <w:rFonts w:ascii="Arial" w:hAnsi="Arial" w:cs="Arial"/>
                <w:noProof/>
                <w:szCs w:val="22"/>
              </w:rPr>
              <w:t>Programmatic requirements (§§ 53.845-53.910)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_Toc207222823 \h </w:instrText>
            </w:r>
            <w:r w:rsidRPr="004D49A9">
              <w:rPr>
                <w:rFonts w:ascii="Arial" w:hAnsi="Arial" w:cs="Arial"/>
                <w:noProof/>
                <w:webHidden/>
                <w:szCs w:val="22"/>
              </w:rPr>
              <w:fldChar w:fldCharType="separate"/>
            </w:r>
            <w:r w:rsidR="00242DDE">
              <w:rPr>
                <w:rFonts w:ascii="Arial" w:hAnsi="Arial" w:cs="Arial"/>
                <w:noProof/>
                <w:webHidden/>
                <w:szCs w:val="22"/>
              </w:rPr>
              <w:t>153</w:t>
            </w:r>
            <w:r w:rsidRPr="004D49A9">
              <w:rPr>
                <w:rFonts w:ascii="Arial" w:hAnsi="Arial" w:cs="Arial"/>
                <w:noProof/>
                <w:webHidden/>
                <w:szCs w:val="22"/>
              </w:rPr>
              <w:fldChar w:fldCharType="end"/>
            </w:r>
          </w:hyperlink>
        </w:p>
        <w:p w:rsidR="004D49A9" w:rsidRPr="004D49A9" w14:paraId="3BB6CAEF" w14:textId="77777777">
          <w:pPr>
            <w:pStyle w:val="TOC2"/>
            <w:tabs>
              <w:tab w:val="left" w:pos="960"/>
            </w:tabs>
            <w:rPr>
              <w:rFonts w:ascii="Arial" w:hAnsi="Arial" w:cs="Arial"/>
              <w:noProof/>
              <w:kern w:val="2"/>
              <w:szCs w:val="22"/>
              <w14:ligatures w14:val="standardContextual"/>
            </w:rPr>
          </w:pPr>
          <w:hyperlink w:anchor="_Toc207222824" w:history="1">
            <w:r w:rsidRPr="004D49A9">
              <w:rPr>
                <w:rStyle w:val="Hyperlink"/>
                <w:rFonts w:ascii="Arial" w:hAnsi="Arial" w:cs="Arial"/>
                <w:bCs/>
                <w:iCs/>
                <w:noProof/>
                <w:szCs w:val="22"/>
              </w:rPr>
              <w:t>3.7.</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G: Decommissioning Requirements (§§ 53.1000-53.1080)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_Toc207222824 \h </w:instrText>
            </w:r>
            <w:r w:rsidRPr="004D49A9">
              <w:rPr>
                <w:rFonts w:ascii="Arial" w:hAnsi="Arial" w:cs="Arial"/>
                <w:noProof/>
                <w:webHidden/>
                <w:szCs w:val="22"/>
              </w:rPr>
              <w:fldChar w:fldCharType="separate"/>
            </w:r>
            <w:r w:rsidR="00242DDE">
              <w:rPr>
                <w:rFonts w:ascii="Arial" w:hAnsi="Arial" w:cs="Arial"/>
                <w:noProof/>
                <w:webHidden/>
                <w:szCs w:val="22"/>
              </w:rPr>
              <w:t>173</w:t>
            </w:r>
            <w:r w:rsidRPr="004D49A9">
              <w:rPr>
                <w:rFonts w:ascii="Arial" w:hAnsi="Arial" w:cs="Arial"/>
                <w:noProof/>
                <w:webHidden/>
                <w:szCs w:val="22"/>
              </w:rPr>
              <w:fldChar w:fldCharType="end"/>
            </w:r>
          </w:hyperlink>
        </w:p>
        <w:p w:rsidR="004D49A9" w:rsidRPr="004D49A9" w14:paraId="6E94095D" w14:textId="77777777">
          <w:pPr>
            <w:pStyle w:val="TOC3"/>
            <w:tabs>
              <w:tab w:val="left" w:pos="1440"/>
              <w:tab w:val="right" w:leader="dot" w:pos="9350"/>
            </w:tabs>
            <w:rPr>
              <w:rFonts w:ascii="Arial" w:hAnsi="Arial" w:cs="Arial"/>
              <w:noProof/>
              <w:kern w:val="2"/>
              <w:szCs w:val="22"/>
              <w14:ligatures w14:val="standardContextual"/>
            </w:rPr>
          </w:pPr>
          <w:hyperlink w:anchor="_Toc207222825" w:history="1">
            <w:r w:rsidRPr="004D49A9">
              <w:rPr>
                <w:rStyle w:val="Hyperlink"/>
                <w:rFonts w:ascii="Arial" w:eastAsia="Times New Roman" w:hAnsi="Arial" w:cs="Arial"/>
                <w:bCs/>
                <w:noProof/>
                <w:szCs w:val="22"/>
              </w:rPr>
              <w:t>3.7.1.</w:t>
            </w:r>
            <w:r w:rsidRPr="004D49A9">
              <w:rPr>
                <w:rFonts w:ascii="Arial" w:hAnsi="Arial" w:cs="Arial"/>
                <w:noProof/>
                <w:kern w:val="2"/>
                <w:szCs w:val="22"/>
                <w14:ligatures w14:val="standardContextual"/>
              </w:rPr>
              <w:tab/>
            </w:r>
            <w:r w:rsidRPr="004D49A9">
              <w:rPr>
                <w:rStyle w:val="Hyperlink"/>
                <w:rFonts w:ascii="Arial" w:hAnsi="Arial" w:cs="Arial"/>
                <w:noProof/>
                <w:szCs w:val="22"/>
              </w:rPr>
              <w:t>Comments on Subpart G requirements not related to RFC</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_Toc207222825 \h </w:instrText>
            </w:r>
            <w:r w:rsidRPr="004D49A9">
              <w:rPr>
                <w:rFonts w:ascii="Arial" w:hAnsi="Arial" w:cs="Arial"/>
                <w:noProof/>
                <w:webHidden/>
                <w:szCs w:val="22"/>
              </w:rPr>
              <w:fldChar w:fldCharType="separate"/>
            </w:r>
            <w:r w:rsidR="00242DDE">
              <w:rPr>
                <w:rFonts w:ascii="Arial" w:hAnsi="Arial" w:cs="Arial"/>
                <w:noProof/>
                <w:webHidden/>
                <w:szCs w:val="22"/>
              </w:rPr>
              <w:t>173</w:t>
            </w:r>
            <w:r w:rsidRPr="004D49A9">
              <w:rPr>
                <w:rFonts w:ascii="Arial" w:hAnsi="Arial" w:cs="Arial"/>
                <w:noProof/>
                <w:webHidden/>
                <w:szCs w:val="22"/>
              </w:rPr>
              <w:fldChar w:fldCharType="end"/>
            </w:r>
          </w:hyperlink>
        </w:p>
        <w:p w:rsidR="004D49A9" w:rsidRPr="004D49A9" w14:paraId="40382D1F" w14:textId="77777777">
          <w:pPr>
            <w:pStyle w:val="TOC3"/>
            <w:tabs>
              <w:tab w:val="left" w:pos="1440"/>
              <w:tab w:val="right" w:leader="dot" w:pos="9350"/>
            </w:tabs>
            <w:rPr>
              <w:rFonts w:ascii="Arial" w:hAnsi="Arial" w:cs="Arial"/>
              <w:noProof/>
              <w:kern w:val="2"/>
              <w:szCs w:val="22"/>
              <w14:ligatures w14:val="standardContextual"/>
            </w:rPr>
          </w:pPr>
          <w:hyperlink w:anchor="_Toc207222826" w:history="1">
            <w:r w:rsidRPr="004D49A9">
              <w:rPr>
                <w:rStyle w:val="Hyperlink"/>
                <w:rFonts w:ascii="Arial" w:hAnsi="Arial" w:cs="Arial"/>
                <w:bCs/>
                <w:noProof/>
                <w:szCs w:val="22"/>
              </w:rPr>
              <w:t>3.7.2.</w:t>
            </w:r>
            <w:r w:rsidRPr="004D49A9">
              <w:rPr>
                <w:rFonts w:ascii="Arial" w:hAnsi="Arial" w:cs="Arial"/>
                <w:noProof/>
                <w:kern w:val="2"/>
                <w:szCs w:val="22"/>
                <w14:ligatures w14:val="standardContextual"/>
              </w:rPr>
              <w:tab/>
            </w:r>
            <w:r w:rsidRPr="004D49A9">
              <w:rPr>
                <w:rStyle w:val="Hyperlink"/>
                <w:rFonts w:ascii="Arial" w:hAnsi="Arial" w:cs="Arial"/>
                <w:noProof/>
                <w:szCs w:val="22"/>
              </w:rPr>
              <w:t>RFC: Decommissioning draft final rule</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_Toc207222826 \h </w:instrText>
            </w:r>
            <w:r w:rsidRPr="004D49A9">
              <w:rPr>
                <w:rFonts w:ascii="Arial" w:hAnsi="Arial" w:cs="Arial"/>
                <w:noProof/>
                <w:webHidden/>
                <w:szCs w:val="22"/>
              </w:rPr>
              <w:fldChar w:fldCharType="separate"/>
            </w:r>
            <w:r w:rsidR="00242DDE">
              <w:rPr>
                <w:rFonts w:ascii="Arial" w:hAnsi="Arial" w:cs="Arial"/>
                <w:noProof/>
                <w:webHidden/>
                <w:szCs w:val="22"/>
              </w:rPr>
              <w:t>177</w:t>
            </w:r>
            <w:r w:rsidRPr="004D49A9">
              <w:rPr>
                <w:rFonts w:ascii="Arial" w:hAnsi="Arial" w:cs="Arial"/>
                <w:noProof/>
                <w:webHidden/>
                <w:szCs w:val="22"/>
              </w:rPr>
              <w:fldChar w:fldCharType="end"/>
            </w:r>
          </w:hyperlink>
        </w:p>
        <w:p w:rsidR="004D49A9" w:rsidRPr="004D49A9" w14:paraId="4627CD50" w14:textId="77777777">
          <w:pPr>
            <w:pStyle w:val="TOC3"/>
            <w:tabs>
              <w:tab w:val="left" w:pos="1440"/>
              <w:tab w:val="right" w:leader="dot" w:pos="9350"/>
            </w:tabs>
            <w:rPr>
              <w:rFonts w:ascii="Arial" w:hAnsi="Arial" w:cs="Arial"/>
              <w:noProof/>
              <w:kern w:val="2"/>
              <w:szCs w:val="22"/>
              <w14:ligatures w14:val="standardContextual"/>
            </w:rPr>
          </w:pPr>
          <w:hyperlink w:anchor="_Toc207222827" w:history="1">
            <w:r w:rsidRPr="004D49A9">
              <w:rPr>
                <w:rStyle w:val="Hyperlink"/>
                <w:rFonts w:ascii="Arial" w:eastAsia="Times New Roman" w:hAnsi="Arial" w:cs="Arial"/>
                <w:bCs/>
                <w:noProof/>
                <w:szCs w:val="22"/>
              </w:rPr>
              <w:t>3.7.3.</w:t>
            </w:r>
            <w:r w:rsidRPr="004D49A9">
              <w:rPr>
                <w:rFonts w:ascii="Arial" w:hAnsi="Arial" w:cs="Arial"/>
                <w:noProof/>
                <w:kern w:val="2"/>
                <w:szCs w:val="22"/>
                <w14:ligatures w14:val="standardContextual"/>
              </w:rPr>
              <w:tab/>
            </w:r>
            <w:r w:rsidRPr="004D49A9">
              <w:rPr>
                <w:rStyle w:val="Hyperlink"/>
                <w:rFonts w:ascii="Arial" w:hAnsi="Arial" w:cs="Arial"/>
                <w:noProof/>
                <w:szCs w:val="22"/>
              </w:rPr>
              <w:t>RFC: Financial assurance requirements (§ 53.1060(b))</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_Toc207222827 \h </w:instrText>
            </w:r>
            <w:r w:rsidRPr="004D49A9">
              <w:rPr>
                <w:rFonts w:ascii="Arial" w:hAnsi="Arial" w:cs="Arial"/>
                <w:noProof/>
                <w:webHidden/>
                <w:szCs w:val="22"/>
              </w:rPr>
              <w:fldChar w:fldCharType="separate"/>
            </w:r>
            <w:r w:rsidR="00242DDE">
              <w:rPr>
                <w:rFonts w:ascii="Arial" w:hAnsi="Arial" w:cs="Arial"/>
                <w:noProof/>
                <w:webHidden/>
                <w:szCs w:val="22"/>
              </w:rPr>
              <w:t>177</w:t>
            </w:r>
            <w:r w:rsidRPr="004D49A9">
              <w:rPr>
                <w:rFonts w:ascii="Arial" w:hAnsi="Arial" w:cs="Arial"/>
                <w:noProof/>
                <w:webHidden/>
                <w:szCs w:val="22"/>
              </w:rPr>
              <w:fldChar w:fldCharType="end"/>
            </w:r>
          </w:hyperlink>
        </w:p>
        <w:p w:rsidR="004D49A9" w:rsidRPr="004D49A9" w14:paraId="7FFC41BD" w14:textId="77777777">
          <w:pPr>
            <w:pStyle w:val="TOC2"/>
            <w:tabs>
              <w:tab w:val="left" w:pos="960"/>
            </w:tabs>
            <w:rPr>
              <w:rFonts w:ascii="Arial" w:hAnsi="Arial" w:cs="Arial"/>
              <w:noProof/>
              <w:kern w:val="2"/>
              <w:szCs w:val="22"/>
              <w14:ligatures w14:val="standardContextual"/>
            </w:rPr>
          </w:pPr>
          <w:hyperlink w:anchor="_Toc207222828" w:history="1">
            <w:r w:rsidRPr="004D49A9">
              <w:rPr>
                <w:rStyle w:val="Hyperlink"/>
                <w:rFonts w:ascii="Arial" w:hAnsi="Arial" w:cs="Arial"/>
                <w:bCs/>
                <w:iCs/>
                <w:noProof/>
                <w:szCs w:val="22"/>
              </w:rPr>
              <w:t>3.8.</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H: Licenses, Certifications, and Approvals (§§ 53.1100-53.1470)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_Toc207222828 \h </w:instrText>
            </w:r>
            <w:r w:rsidRPr="004D49A9">
              <w:rPr>
                <w:rFonts w:ascii="Arial" w:hAnsi="Arial" w:cs="Arial"/>
                <w:noProof/>
                <w:webHidden/>
                <w:szCs w:val="22"/>
              </w:rPr>
              <w:fldChar w:fldCharType="separate"/>
            </w:r>
            <w:r w:rsidR="00242DDE">
              <w:rPr>
                <w:rFonts w:ascii="Arial" w:hAnsi="Arial" w:cs="Arial"/>
                <w:noProof/>
                <w:webHidden/>
                <w:szCs w:val="22"/>
              </w:rPr>
              <w:t>179</w:t>
            </w:r>
            <w:r w:rsidRPr="004D49A9">
              <w:rPr>
                <w:rFonts w:ascii="Arial" w:hAnsi="Arial" w:cs="Arial"/>
                <w:noProof/>
                <w:webHidden/>
                <w:szCs w:val="22"/>
              </w:rPr>
              <w:fldChar w:fldCharType="end"/>
            </w:r>
          </w:hyperlink>
        </w:p>
        <w:p w:rsidR="004D49A9" w:rsidRPr="004D49A9" w14:paraId="0B72DB09" w14:textId="77777777">
          <w:pPr>
            <w:pStyle w:val="TOC3"/>
            <w:tabs>
              <w:tab w:val="left" w:pos="1440"/>
              <w:tab w:val="right" w:leader="dot" w:pos="9350"/>
            </w:tabs>
            <w:rPr>
              <w:rFonts w:ascii="Arial" w:hAnsi="Arial" w:cs="Arial"/>
              <w:noProof/>
              <w:kern w:val="2"/>
              <w:szCs w:val="22"/>
              <w14:ligatures w14:val="standardContextual"/>
            </w:rPr>
          </w:pPr>
          <w:hyperlink w:anchor="_Toc207222829" w:history="1">
            <w:r w:rsidRPr="004D49A9">
              <w:rPr>
                <w:rStyle w:val="Hyperlink"/>
                <w:rFonts w:ascii="Arial" w:eastAsia="Times New Roman" w:hAnsi="Arial" w:cs="Arial"/>
                <w:bCs/>
                <w:noProof/>
                <w:szCs w:val="22"/>
              </w:rPr>
              <w:t>3.8.1.</w:t>
            </w:r>
            <w:r w:rsidRPr="004D49A9">
              <w:rPr>
                <w:rFonts w:ascii="Arial" w:hAnsi="Arial" w:cs="Arial"/>
                <w:noProof/>
                <w:kern w:val="2"/>
                <w:szCs w:val="22"/>
                <w14:ligatures w14:val="standardContextual"/>
              </w:rPr>
              <w:tab/>
            </w:r>
            <w:r w:rsidRPr="004D49A9">
              <w:rPr>
                <w:rStyle w:val="Hyperlink"/>
                <w:rFonts w:ascii="Arial" w:hAnsi="Arial" w:cs="Arial"/>
                <w:noProof/>
                <w:szCs w:val="22"/>
              </w:rPr>
              <w:t>Comments on licenses, certifications, and approvals under Subpart H (e.g.,</w:t>
            </w:r>
            <w:r w:rsidR="00B21EA5">
              <w:rPr>
                <w:rStyle w:val="Hyperlink"/>
                <w:rFonts w:ascii="Arial" w:hAnsi="Arial" w:cs="Arial"/>
                <w:noProof/>
                <w:szCs w:val="22"/>
              </w:rPr>
              <w:t> </w:t>
            </w:r>
            <w:r w:rsidRPr="004D49A9">
              <w:rPr>
                <w:rStyle w:val="Hyperlink"/>
                <w:rFonts w:ascii="Arial" w:hAnsi="Arial" w:cs="Arial"/>
                <w:noProof/>
                <w:szCs w:val="22"/>
              </w:rPr>
              <w:t>contents of applications for ESP, SDA, SDC, ML, CP, OL, and COL; limited work authorizations)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_Toc207222829 \h </w:instrText>
            </w:r>
            <w:r w:rsidRPr="004D49A9">
              <w:rPr>
                <w:rFonts w:ascii="Arial" w:hAnsi="Arial" w:cs="Arial"/>
                <w:noProof/>
                <w:webHidden/>
                <w:szCs w:val="22"/>
              </w:rPr>
              <w:fldChar w:fldCharType="separate"/>
            </w:r>
            <w:r w:rsidR="00242DDE">
              <w:rPr>
                <w:rFonts w:ascii="Arial" w:hAnsi="Arial" w:cs="Arial"/>
                <w:noProof/>
                <w:webHidden/>
                <w:szCs w:val="22"/>
              </w:rPr>
              <w:t>179</w:t>
            </w:r>
            <w:r w:rsidRPr="004D49A9">
              <w:rPr>
                <w:rFonts w:ascii="Arial" w:hAnsi="Arial" w:cs="Arial"/>
                <w:noProof/>
                <w:webHidden/>
                <w:szCs w:val="22"/>
              </w:rPr>
              <w:fldChar w:fldCharType="end"/>
            </w:r>
          </w:hyperlink>
        </w:p>
        <w:p w:rsidR="004D49A9" w:rsidRPr="004D49A9" w14:paraId="5049A6FC" w14:textId="77777777">
          <w:pPr>
            <w:pStyle w:val="TOC3"/>
            <w:tabs>
              <w:tab w:val="left" w:pos="1440"/>
              <w:tab w:val="right" w:leader="dot" w:pos="9350"/>
            </w:tabs>
            <w:rPr>
              <w:rFonts w:ascii="Arial" w:hAnsi="Arial" w:cs="Arial"/>
              <w:noProof/>
              <w:kern w:val="2"/>
              <w:szCs w:val="22"/>
              <w14:ligatures w14:val="standardContextual"/>
            </w:rPr>
          </w:pPr>
          <w:hyperlink w:anchor="_Toc207222830" w:history="1">
            <w:r w:rsidRPr="004D49A9">
              <w:rPr>
                <w:rStyle w:val="Hyperlink"/>
                <w:rFonts w:ascii="Arial" w:hAnsi="Arial" w:cs="Arial"/>
                <w:bCs/>
                <w:noProof/>
                <w:szCs w:val="22"/>
              </w:rPr>
              <w:t>3.8.2.</w:t>
            </w:r>
            <w:r w:rsidRPr="004D49A9">
              <w:rPr>
                <w:rFonts w:ascii="Arial" w:hAnsi="Arial" w:cs="Arial"/>
                <w:noProof/>
                <w:kern w:val="2"/>
                <w:szCs w:val="22"/>
                <w14:ligatures w14:val="standardContextual"/>
              </w:rPr>
              <w:tab/>
            </w:r>
            <w:r w:rsidRPr="004D49A9">
              <w:rPr>
                <w:rStyle w:val="Hyperlink"/>
                <w:rFonts w:ascii="Arial" w:hAnsi="Arial" w:cs="Arial"/>
                <w:noProof/>
                <w:szCs w:val="22"/>
              </w:rPr>
              <w:t>Comments on fuel loading requirements in Subpart H (§§ 53.1279-53.1287, and</w:t>
            </w:r>
            <w:r w:rsidR="002B0640">
              <w:rPr>
                <w:rStyle w:val="Hyperlink"/>
                <w:rFonts w:ascii="Arial" w:hAnsi="Arial" w:cs="Arial"/>
                <w:noProof/>
                <w:szCs w:val="22"/>
              </w:rPr>
              <w:t> </w:t>
            </w:r>
            <w:r w:rsidRPr="004D49A9">
              <w:rPr>
                <w:rStyle w:val="Hyperlink"/>
                <w:rFonts w:ascii="Arial" w:hAnsi="Arial" w:cs="Arial"/>
                <w:noProof/>
                <w:szCs w:val="22"/>
              </w:rPr>
              <w:t>53.1452)</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_Toc207222830 \h </w:instrText>
            </w:r>
            <w:r w:rsidRPr="004D49A9">
              <w:rPr>
                <w:rFonts w:ascii="Arial" w:hAnsi="Arial" w:cs="Arial"/>
                <w:noProof/>
                <w:webHidden/>
                <w:szCs w:val="22"/>
              </w:rPr>
              <w:fldChar w:fldCharType="separate"/>
            </w:r>
            <w:r w:rsidR="00242DDE">
              <w:rPr>
                <w:rFonts w:ascii="Arial" w:hAnsi="Arial" w:cs="Arial"/>
                <w:noProof/>
                <w:webHidden/>
                <w:szCs w:val="22"/>
              </w:rPr>
              <w:t>197</w:t>
            </w:r>
            <w:r w:rsidRPr="004D49A9">
              <w:rPr>
                <w:rFonts w:ascii="Arial" w:hAnsi="Arial" w:cs="Arial"/>
                <w:noProof/>
                <w:webHidden/>
                <w:szCs w:val="22"/>
              </w:rPr>
              <w:fldChar w:fldCharType="end"/>
            </w:r>
          </w:hyperlink>
        </w:p>
        <w:p w:rsidR="004D49A9" w:rsidRPr="004D49A9" w14:paraId="3497ECA9" w14:textId="77777777">
          <w:pPr>
            <w:pStyle w:val="TOC3"/>
            <w:tabs>
              <w:tab w:val="left" w:pos="1440"/>
              <w:tab w:val="right" w:leader="dot" w:pos="9350"/>
            </w:tabs>
            <w:rPr>
              <w:rFonts w:ascii="Arial" w:hAnsi="Arial" w:cs="Arial"/>
              <w:noProof/>
              <w:kern w:val="2"/>
              <w:szCs w:val="22"/>
              <w14:ligatures w14:val="standardContextual"/>
            </w:rPr>
          </w:pPr>
          <w:hyperlink w:anchor="_Toc207222831" w:history="1">
            <w:r w:rsidRPr="004D49A9">
              <w:rPr>
                <w:rStyle w:val="Hyperlink"/>
                <w:rFonts w:ascii="Arial" w:eastAsia="Times New Roman" w:hAnsi="Arial" w:cs="Arial"/>
                <w:bCs/>
                <w:noProof/>
                <w:szCs w:val="22"/>
              </w:rPr>
              <w:t>3.8.3.</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comments on Subpart H requirements not related to RFC</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_Toc207222831 \h </w:instrText>
            </w:r>
            <w:r w:rsidRPr="004D49A9">
              <w:rPr>
                <w:rFonts w:ascii="Arial" w:hAnsi="Arial" w:cs="Arial"/>
                <w:noProof/>
                <w:webHidden/>
                <w:szCs w:val="22"/>
              </w:rPr>
              <w:fldChar w:fldCharType="separate"/>
            </w:r>
            <w:r w:rsidR="00242DDE">
              <w:rPr>
                <w:rFonts w:ascii="Arial" w:hAnsi="Arial" w:cs="Arial"/>
                <w:noProof/>
                <w:webHidden/>
                <w:szCs w:val="22"/>
              </w:rPr>
              <w:t>197</w:t>
            </w:r>
            <w:r w:rsidRPr="004D49A9">
              <w:rPr>
                <w:rFonts w:ascii="Arial" w:hAnsi="Arial" w:cs="Arial"/>
                <w:noProof/>
                <w:webHidden/>
                <w:szCs w:val="22"/>
              </w:rPr>
              <w:fldChar w:fldCharType="end"/>
            </w:r>
          </w:hyperlink>
        </w:p>
        <w:p w:rsidR="004D49A9" w:rsidRPr="004D49A9" w14:paraId="435EE470" w14:textId="77777777">
          <w:pPr>
            <w:pStyle w:val="TOC3"/>
            <w:tabs>
              <w:tab w:val="left" w:pos="1440"/>
              <w:tab w:val="right" w:leader="dot" w:pos="9350"/>
            </w:tabs>
            <w:rPr>
              <w:rFonts w:ascii="Arial" w:hAnsi="Arial" w:cs="Arial"/>
              <w:noProof/>
              <w:kern w:val="2"/>
              <w:szCs w:val="22"/>
              <w14:ligatures w14:val="standardContextual"/>
            </w:rPr>
          </w:pPr>
          <w:hyperlink w:anchor="_Toc207222832" w:history="1">
            <w:r w:rsidRPr="004D49A9">
              <w:rPr>
                <w:rStyle w:val="Hyperlink"/>
                <w:rFonts w:ascii="Arial" w:hAnsi="Arial" w:cs="Arial"/>
                <w:bCs/>
                <w:noProof/>
                <w:szCs w:val="22"/>
              </w:rPr>
              <w:t>3.8.4.</w:t>
            </w:r>
            <w:r w:rsidRPr="004D49A9">
              <w:rPr>
                <w:rFonts w:ascii="Arial" w:hAnsi="Arial" w:cs="Arial"/>
                <w:noProof/>
                <w:kern w:val="2"/>
                <w:szCs w:val="22"/>
                <w14:ligatures w14:val="standardContextual"/>
              </w:rPr>
              <w:tab/>
            </w:r>
            <w:r w:rsidRPr="004D49A9">
              <w:rPr>
                <w:rStyle w:val="Hyperlink"/>
                <w:rFonts w:ascii="Arial" w:hAnsi="Arial" w:cs="Arial"/>
                <w:noProof/>
                <w:szCs w:val="22"/>
              </w:rPr>
              <w:t>RFC: Licenses to construct and operate commercial nuclear plants of identical design at multiple sites (§ 53.1470)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_Toc207222832 \h </w:instrText>
            </w:r>
            <w:r w:rsidRPr="004D49A9">
              <w:rPr>
                <w:rFonts w:ascii="Arial" w:hAnsi="Arial" w:cs="Arial"/>
                <w:noProof/>
                <w:webHidden/>
                <w:szCs w:val="22"/>
              </w:rPr>
              <w:fldChar w:fldCharType="separate"/>
            </w:r>
            <w:r w:rsidR="00242DDE">
              <w:rPr>
                <w:rFonts w:ascii="Arial" w:hAnsi="Arial" w:cs="Arial"/>
                <w:noProof/>
                <w:webHidden/>
                <w:szCs w:val="22"/>
              </w:rPr>
              <w:t>198</w:t>
            </w:r>
            <w:r w:rsidRPr="004D49A9">
              <w:rPr>
                <w:rFonts w:ascii="Arial" w:hAnsi="Arial" w:cs="Arial"/>
                <w:noProof/>
                <w:webHidden/>
                <w:szCs w:val="22"/>
              </w:rPr>
              <w:fldChar w:fldCharType="end"/>
            </w:r>
          </w:hyperlink>
        </w:p>
        <w:p w:rsidR="004D49A9" w:rsidRPr="004D49A9" w14:paraId="2A6E7CBF" w14:textId="77777777">
          <w:pPr>
            <w:pStyle w:val="TOC3"/>
            <w:tabs>
              <w:tab w:val="left" w:pos="1440"/>
              <w:tab w:val="right" w:leader="dot" w:pos="9350"/>
            </w:tabs>
            <w:rPr>
              <w:rFonts w:ascii="Arial" w:hAnsi="Arial" w:cs="Arial"/>
              <w:noProof/>
              <w:kern w:val="2"/>
              <w:szCs w:val="22"/>
              <w14:ligatures w14:val="standardContextual"/>
            </w:rPr>
          </w:pPr>
          <w:hyperlink w:anchor="_Toc207222833" w:history="1">
            <w:r w:rsidRPr="004D49A9">
              <w:rPr>
                <w:rStyle w:val="Hyperlink"/>
                <w:rFonts w:ascii="Arial" w:eastAsia="Times New Roman" w:hAnsi="Arial" w:cs="Arial"/>
                <w:bCs/>
                <w:noProof/>
                <w:szCs w:val="22"/>
              </w:rPr>
              <w:t>3.8.5.</w:t>
            </w:r>
            <w:r w:rsidRPr="004D49A9">
              <w:rPr>
                <w:rFonts w:ascii="Arial" w:hAnsi="Arial" w:cs="Arial"/>
                <w:noProof/>
                <w:kern w:val="2"/>
                <w:szCs w:val="22"/>
                <w14:ligatures w14:val="standardContextual"/>
              </w:rPr>
              <w:tab/>
            </w:r>
            <w:r w:rsidRPr="004D49A9">
              <w:rPr>
                <w:rStyle w:val="Hyperlink"/>
                <w:rFonts w:ascii="Arial" w:hAnsi="Arial" w:cs="Arial"/>
                <w:noProof/>
                <w:szCs w:val="22"/>
              </w:rPr>
              <w:t>RFC: Allowing OL or CP holders to reference an ML</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_Toc207222833 \h </w:instrText>
            </w:r>
            <w:r w:rsidRPr="004D49A9">
              <w:rPr>
                <w:rFonts w:ascii="Arial" w:hAnsi="Arial" w:cs="Arial"/>
                <w:noProof/>
                <w:webHidden/>
                <w:szCs w:val="22"/>
              </w:rPr>
              <w:fldChar w:fldCharType="separate"/>
            </w:r>
            <w:r w:rsidR="00242DDE">
              <w:rPr>
                <w:rFonts w:ascii="Arial" w:hAnsi="Arial" w:cs="Arial"/>
                <w:noProof/>
                <w:webHidden/>
                <w:szCs w:val="22"/>
              </w:rPr>
              <w:t>200</w:t>
            </w:r>
            <w:r w:rsidRPr="004D49A9">
              <w:rPr>
                <w:rFonts w:ascii="Arial" w:hAnsi="Arial" w:cs="Arial"/>
                <w:noProof/>
                <w:webHidden/>
                <w:szCs w:val="22"/>
              </w:rPr>
              <w:fldChar w:fldCharType="end"/>
            </w:r>
          </w:hyperlink>
        </w:p>
        <w:p w:rsidR="004D49A9" w:rsidRPr="004D49A9" w14:paraId="6BB47FFA" w14:textId="77777777">
          <w:pPr>
            <w:pStyle w:val="TOC3"/>
            <w:tabs>
              <w:tab w:val="left" w:pos="1440"/>
              <w:tab w:val="right" w:leader="dot" w:pos="9350"/>
            </w:tabs>
            <w:rPr>
              <w:rFonts w:ascii="Arial" w:hAnsi="Arial" w:cs="Arial"/>
              <w:noProof/>
              <w:kern w:val="2"/>
              <w:szCs w:val="22"/>
              <w14:ligatures w14:val="standardContextual"/>
            </w:rPr>
          </w:pPr>
          <w:hyperlink w:anchor="_Toc207222834" w:history="1">
            <w:r w:rsidRPr="004D49A9">
              <w:rPr>
                <w:rStyle w:val="Hyperlink"/>
                <w:rFonts w:ascii="Arial" w:hAnsi="Arial" w:cs="Arial"/>
                <w:bCs/>
                <w:noProof/>
                <w:szCs w:val="22"/>
              </w:rPr>
              <w:t>3.8.6.</w:t>
            </w:r>
            <w:r w:rsidRPr="004D49A9">
              <w:rPr>
                <w:rFonts w:ascii="Arial" w:hAnsi="Arial" w:cs="Arial"/>
                <w:noProof/>
                <w:kern w:val="2"/>
                <w:szCs w:val="22"/>
                <w14:ligatures w14:val="standardContextual"/>
              </w:rPr>
              <w:tab/>
            </w:r>
            <w:r w:rsidRPr="004D49A9">
              <w:rPr>
                <w:rStyle w:val="Hyperlink"/>
                <w:rFonts w:ascii="Arial" w:hAnsi="Arial" w:cs="Arial"/>
                <w:noProof/>
                <w:szCs w:val="22"/>
              </w:rPr>
              <w:t>RFC: Timeline for beginning manufacture before license expiration (§</w:t>
            </w:r>
            <w:r w:rsidR="002B0640">
              <w:rPr>
                <w:rStyle w:val="Hyperlink"/>
                <w:rFonts w:ascii="Arial" w:hAnsi="Arial" w:cs="Arial"/>
                <w:noProof/>
                <w:szCs w:val="22"/>
              </w:rPr>
              <w:t> </w:t>
            </w:r>
            <w:r w:rsidRPr="004D49A9">
              <w:rPr>
                <w:rStyle w:val="Hyperlink"/>
                <w:rFonts w:ascii="Arial" w:hAnsi="Arial" w:cs="Arial"/>
                <w:noProof/>
                <w:szCs w:val="22"/>
              </w:rPr>
              <w:t>53.1295)</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_Toc207222834 \h </w:instrText>
            </w:r>
            <w:r w:rsidRPr="004D49A9">
              <w:rPr>
                <w:rFonts w:ascii="Arial" w:hAnsi="Arial" w:cs="Arial"/>
                <w:noProof/>
                <w:webHidden/>
                <w:szCs w:val="22"/>
              </w:rPr>
              <w:fldChar w:fldCharType="separate"/>
            </w:r>
            <w:r w:rsidR="00242DDE">
              <w:rPr>
                <w:rFonts w:ascii="Arial" w:hAnsi="Arial" w:cs="Arial"/>
                <w:noProof/>
                <w:webHidden/>
                <w:szCs w:val="22"/>
              </w:rPr>
              <w:t>201</w:t>
            </w:r>
            <w:r w:rsidRPr="004D49A9">
              <w:rPr>
                <w:rFonts w:ascii="Arial" w:hAnsi="Arial" w:cs="Arial"/>
                <w:noProof/>
                <w:webHidden/>
                <w:szCs w:val="22"/>
              </w:rPr>
              <w:fldChar w:fldCharType="end"/>
            </w:r>
          </w:hyperlink>
        </w:p>
        <w:p w:rsidR="004D49A9" w:rsidRPr="004D49A9" w14:paraId="069E9CCC" w14:textId="77777777">
          <w:pPr>
            <w:pStyle w:val="TOC3"/>
            <w:tabs>
              <w:tab w:val="left" w:pos="1440"/>
              <w:tab w:val="right" w:leader="dot" w:pos="9350"/>
            </w:tabs>
            <w:rPr>
              <w:rFonts w:ascii="Arial" w:hAnsi="Arial" w:cs="Arial"/>
              <w:noProof/>
              <w:kern w:val="2"/>
              <w:szCs w:val="22"/>
              <w14:ligatures w14:val="standardContextual"/>
            </w:rPr>
          </w:pPr>
          <w:hyperlink w:anchor="_Toc207222835" w:history="1">
            <w:r w:rsidRPr="004D49A9">
              <w:rPr>
                <w:rStyle w:val="Hyperlink"/>
                <w:rFonts w:ascii="Arial" w:eastAsia="Times New Roman" w:hAnsi="Arial" w:cs="Arial"/>
                <w:bCs/>
                <w:noProof/>
                <w:szCs w:val="22"/>
              </w:rPr>
              <w:t>3.8.7.</w:t>
            </w:r>
            <w:r w:rsidRPr="004D49A9">
              <w:rPr>
                <w:rFonts w:ascii="Arial" w:hAnsi="Arial" w:cs="Arial"/>
                <w:noProof/>
                <w:kern w:val="2"/>
                <w:szCs w:val="22"/>
                <w14:ligatures w14:val="standardContextual"/>
              </w:rPr>
              <w:tab/>
            </w:r>
            <w:r w:rsidRPr="004D49A9">
              <w:rPr>
                <w:rStyle w:val="Hyperlink"/>
                <w:rFonts w:ascii="Arial" w:hAnsi="Arial" w:cs="Arial"/>
                <w:noProof/>
                <w:szCs w:val="22"/>
              </w:rPr>
              <w:t>RFC: Finality for MLs (§ 53.1288)</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_Toc207222835 \h </w:instrText>
            </w:r>
            <w:r w:rsidRPr="004D49A9">
              <w:rPr>
                <w:rFonts w:ascii="Arial" w:hAnsi="Arial" w:cs="Arial"/>
                <w:noProof/>
                <w:webHidden/>
                <w:szCs w:val="22"/>
              </w:rPr>
              <w:fldChar w:fldCharType="separate"/>
            </w:r>
            <w:r w:rsidR="00242DDE">
              <w:rPr>
                <w:rFonts w:ascii="Arial" w:hAnsi="Arial" w:cs="Arial"/>
                <w:noProof/>
                <w:webHidden/>
                <w:szCs w:val="22"/>
              </w:rPr>
              <w:t>202</w:t>
            </w:r>
            <w:r w:rsidRPr="004D49A9">
              <w:rPr>
                <w:rFonts w:ascii="Arial" w:hAnsi="Arial" w:cs="Arial"/>
                <w:noProof/>
                <w:webHidden/>
                <w:szCs w:val="22"/>
              </w:rPr>
              <w:fldChar w:fldCharType="end"/>
            </w:r>
          </w:hyperlink>
        </w:p>
        <w:p w:rsidR="004D49A9" w:rsidRPr="004D49A9" w14:paraId="0DF20512" w14:textId="77777777">
          <w:pPr>
            <w:pStyle w:val="TOC3"/>
            <w:tabs>
              <w:tab w:val="left" w:pos="1440"/>
              <w:tab w:val="right" w:leader="dot" w:pos="9350"/>
            </w:tabs>
            <w:rPr>
              <w:rFonts w:ascii="Arial" w:hAnsi="Arial" w:cs="Arial"/>
              <w:noProof/>
              <w:kern w:val="2"/>
              <w:szCs w:val="22"/>
              <w14:ligatures w14:val="standardContextual"/>
            </w:rPr>
          </w:pPr>
          <w:hyperlink w:anchor="_Toc207222836" w:history="1">
            <w:r w:rsidRPr="004D49A9">
              <w:rPr>
                <w:rStyle w:val="Hyperlink"/>
                <w:rFonts w:ascii="Arial" w:eastAsia="Times New Roman" w:hAnsi="Arial" w:cs="Arial"/>
                <w:bCs/>
                <w:noProof/>
                <w:szCs w:val="22"/>
              </w:rPr>
              <w:t>3.8.8.</w:t>
            </w:r>
            <w:r w:rsidRPr="004D49A9">
              <w:rPr>
                <w:rFonts w:ascii="Arial" w:hAnsi="Arial" w:cs="Arial"/>
                <w:noProof/>
                <w:kern w:val="2"/>
                <w:szCs w:val="22"/>
                <w14:ligatures w14:val="standardContextual"/>
              </w:rPr>
              <w:tab/>
            </w:r>
            <w:r w:rsidRPr="004D49A9">
              <w:rPr>
                <w:rStyle w:val="Hyperlink"/>
                <w:rFonts w:ascii="Arial" w:hAnsi="Arial" w:cs="Arial"/>
                <w:noProof/>
                <w:szCs w:val="22"/>
              </w:rPr>
              <w:t>RFC: Financial protection for fueled manufactured reactors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_Toc207222836 \h </w:instrText>
            </w:r>
            <w:r w:rsidRPr="004D49A9">
              <w:rPr>
                <w:rFonts w:ascii="Arial" w:hAnsi="Arial" w:cs="Arial"/>
                <w:noProof/>
                <w:webHidden/>
                <w:szCs w:val="22"/>
              </w:rPr>
              <w:fldChar w:fldCharType="separate"/>
            </w:r>
            <w:r w:rsidR="00242DDE">
              <w:rPr>
                <w:rFonts w:ascii="Arial" w:hAnsi="Arial" w:cs="Arial"/>
                <w:noProof/>
                <w:webHidden/>
                <w:szCs w:val="22"/>
              </w:rPr>
              <w:t>203</w:t>
            </w:r>
            <w:r w:rsidRPr="004D49A9">
              <w:rPr>
                <w:rFonts w:ascii="Arial" w:hAnsi="Arial" w:cs="Arial"/>
                <w:noProof/>
                <w:webHidden/>
                <w:szCs w:val="22"/>
              </w:rPr>
              <w:fldChar w:fldCharType="end"/>
            </w:r>
          </w:hyperlink>
        </w:p>
        <w:p w:rsidR="004D49A9" w:rsidRPr="004D49A9" w14:paraId="18B9378B" w14:textId="77777777">
          <w:pPr>
            <w:pStyle w:val="TOC3"/>
            <w:tabs>
              <w:tab w:val="left" w:pos="1440"/>
              <w:tab w:val="right" w:leader="dot" w:pos="9350"/>
            </w:tabs>
            <w:rPr>
              <w:rFonts w:ascii="Arial" w:hAnsi="Arial" w:cs="Arial"/>
              <w:noProof/>
              <w:kern w:val="2"/>
              <w:szCs w:val="22"/>
              <w14:ligatures w14:val="standardContextual"/>
            </w:rPr>
          </w:pPr>
          <w:hyperlink w:anchor="_Toc207222837" w:history="1">
            <w:r w:rsidRPr="004D49A9">
              <w:rPr>
                <w:rStyle w:val="Hyperlink"/>
                <w:rFonts w:ascii="Arial" w:eastAsia="Times New Roman" w:hAnsi="Arial" w:cs="Arial"/>
                <w:bCs/>
                <w:noProof/>
                <w:szCs w:val="22"/>
              </w:rPr>
              <w:t>3.8.9.</w:t>
            </w:r>
            <w:r w:rsidRPr="004D49A9">
              <w:rPr>
                <w:rFonts w:ascii="Arial" w:hAnsi="Arial" w:cs="Arial"/>
                <w:noProof/>
                <w:kern w:val="2"/>
                <w:szCs w:val="22"/>
                <w14:ligatures w14:val="standardContextual"/>
              </w:rPr>
              <w:tab/>
            </w:r>
            <w:r w:rsidRPr="004D49A9">
              <w:rPr>
                <w:rStyle w:val="Hyperlink"/>
                <w:rFonts w:ascii="Arial" w:hAnsi="Arial" w:cs="Arial"/>
                <w:noProof/>
                <w:szCs w:val="22"/>
              </w:rPr>
              <w:t>RFC: Categorization of fueled manufactured reactors as a utilization facility</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_Toc207222837 \h </w:instrText>
            </w:r>
            <w:r w:rsidRPr="004D49A9">
              <w:rPr>
                <w:rFonts w:ascii="Arial" w:hAnsi="Arial" w:cs="Arial"/>
                <w:noProof/>
                <w:webHidden/>
                <w:szCs w:val="22"/>
              </w:rPr>
              <w:fldChar w:fldCharType="separate"/>
            </w:r>
            <w:r w:rsidR="00242DDE">
              <w:rPr>
                <w:rFonts w:ascii="Arial" w:hAnsi="Arial" w:cs="Arial"/>
                <w:noProof/>
                <w:webHidden/>
                <w:szCs w:val="22"/>
              </w:rPr>
              <w:t>203</w:t>
            </w:r>
            <w:r w:rsidRPr="004D49A9">
              <w:rPr>
                <w:rFonts w:ascii="Arial" w:hAnsi="Arial" w:cs="Arial"/>
                <w:noProof/>
                <w:webHidden/>
                <w:szCs w:val="22"/>
              </w:rPr>
              <w:fldChar w:fldCharType="end"/>
            </w:r>
          </w:hyperlink>
        </w:p>
        <w:p w:rsidR="004D49A9" w:rsidRPr="004D49A9" w14:paraId="14948539" w14:textId="77777777">
          <w:pPr>
            <w:pStyle w:val="TOC3"/>
            <w:tabs>
              <w:tab w:val="left" w:pos="1440"/>
              <w:tab w:val="right" w:leader="dot" w:pos="9350"/>
            </w:tabs>
            <w:rPr>
              <w:rFonts w:ascii="Arial" w:hAnsi="Arial" w:cs="Arial"/>
              <w:noProof/>
              <w:kern w:val="2"/>
              <w:szCs w:val="22"/>
              <w14:ligatures w14:val="standardContextual"/>
            </w:rPr>
          </w:pPr>
          <w:hyperlink w:anchor="_Toc207222838" w:history="1">
            <w:r w:rsidRPr="004D49A9">
              <w:rPr>
                <w:rStyle w:val="Hyperlink"/>
                <w:rFonts w:ascii="Arial" w:eastAsia="Times New Roman" w:hAnsi="Arial" w:cs="Arial"/>
                <w:bCs/>
                <w:noProof/>
                <w:szCs w:val="22"/>
              </w:rPr>
              <w:t>3.8.10.</w:t>
            </w:r>
            <w:r w:rsidRPr="004D49A9">
              <w:rPr>
                <w:rFonts w:ascii="Arial" w:hAnsi="Arial" w:cs="Arial"/>
                <w:noProof/>
                <w:kern w:val="2"/>
                <w:szCs w:val="22"/>
                <w14:ligatures w14:val="standardContextual"/>
              </w:rPr>
              <w:tab/>
            </w:r>
            <w:r w:rsidRPr="004D49A9">
              <w:rPr>
                <w:rStyle w:val="Hyperlink"/>
                <w:rFonts w:ascii="Arial" w:hAnsi="Arial" w:cs="Arial"/>
                <w:noProof/>
                <w:szCs w:val="22"/>
              </w:rPr>
              <w:t>RFC: Physics testing of fueled manufactured reactors (use of COL vs. ML, applicability of requirements [§§ 53.610, 53.710, 53.715, 53.730 and others], selection of LBEs, design and analysis), including comments on low power physics testing white paper</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_Toc207222838 \h </w:instrText>
            </w:r>
            <w:r w:rsidRPr="004D49A9">
              <w:rPr>
                <w:rFonts w:ascii="Arial" w:hAnsi="Arial" w:cs="Arial"/>
                <w:noProof/>
                <w:webHidden/>
                <w:szCs w:val="22"/>
              </w:rPr>
              <w:fldChar w:fldCharType="separate"/>
            </w:r>
            <w:r w:rsidR="00242DDE">
              <w:rPr>
                <w:rFonts w:ascii="Arial" w:hAnsi="Arial" w:cs="Arial"/>
                <w:noProof/>
                <w:webHidden/>
                <w:szCs w:val="22"/>
              </w:rPr>
              <w:t>206</w:t>
            </w:r>
            <w:r w:rsidRPr="004D49A9">
              <w:rPr>
                <w:rFonts w:ascii="Arial" w:hAnsi="Arial" w:cs="Arial"/>
                <w:noProof/>
                <w:webHidden/>
                <w:szCs w:val="22"/>
              </w:rPr>
              <w:fldChar w:fldCharType="end"/>
            </w:r>
          </w:hyperlink>
        </w:p>
        <w:p w:rsidR="004D49A9" w:rsidRPr="004D49A9" w14:paraId="20C79840" w14:textId="77777777">
          <w:pPr>
            <w:pStyle w:val="TOC2"/>
            <w:tabs>
              <w:tab w:val="left" w:pos="960"/>
            </w:tabs>
            <w:rPr>
              <w:rFonts w:ascii="Arial" w:hAnsi="Arial" w:cs="Arial"/>
              <w:noProof/>
              <w:kern w:val="2"/>
              <w:szCs w:val="22"/>
              <w14:ligatures w14:val="standardContextual"/>
            </w:rPr>
          </w:pPr>
          <w:hyperlink w:anchor="_Toc207222839" w:history="1">
            <w:r w:rsidRPr="004D49A9">
              <w:rPr>
                <w:rStyle w:val="Hyperlink"/>
                <w:rFonts w:ascii="Arial" w:eastAsia="Times New Roman" w:hAnsi="Arial" w:cs="Arial"/>
                <w:bCs/>
                <w:iCs/>
                <w:noProof/>
                <w:szCs w:val="22"/>
              </w:rPr>
              <w:t>3.9.</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I: Maintaining and Revising Licensing-Basis Information (§§ 53.1500-53.1595)</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_Toc207222839 \h </w:instrText>
            </w:r>
            <w:r w:rsidRPr="004D49A9">
              <w:rPr>
                <w:rFonts w:ascii="Arial" w:hAnsi="Arial" w:cs="Arial"/>
                <w:noProof/>
                <w:webHidden/>
                <w:szCs w:val="22"/>
              </w:rPr>
              <w:fldChar w:fldCharType="separate"/>
            </w:r>
            <w:r w:rsidR="00242DDE">
              <w:rPr>
                <w:rFonts w:ascii="Arial" w:hAnsi="Arial" w:cs="Arial"/>
                <w:noProof/>
                <w:webHidden/>
                <w:szCs w:val="22"/>
              </w:rPr>
              <w:t>212</w:t>
            </w:r>
            <w:r w:rsidRPr="004D49A9">
              <w:rPr>
                <w:rFonts w:ascii="Arial" w:hAnsi="Arial" w:cs="Arial"/>
                <w:noProof/>
                <w:webHidden/>
                <w:szCs w:val="22"/>
              </w:rPr>
              <w:fldChar w:fldCharType="end"/>
            </w:r>
          </w:hyperlink>
        </w:p>
        <w:p w:rsidR="004D49A9" w:rsidRPr="004D49A9" w14:paraId="2428A01A" w14:textId="77777777">
          <w:pPr>
            <w:pStyle w:val="TOC3"/>
            <w:tabs>
              <w:tab w:val="left" w:pos="1440"/>
              <w:tab w:val="right" w:leader="dot" w:pos="9350"/>
            </w:tabs>
            <w:rPr>
              <w:rFonts w:ascii="Arial" w:hAnsi="Arial" w:cs="Arial"/>
              <w:noProof/>
              <w:kern w:val="2"/>
              <w:szCs w:val="22"/>
              <w14:ligatures w14:val="standardContextual"/>
            </w:rPr>
          </w:pPr>
          <w:hyperlink w:anchor="_Toc207222840" w:history="1">
            <w:r w:rsidRPr="004D49A9">
              <w:rPr>
                <w:rStyle w:val="Hyperlink"/>
                <w:rFonts w:ascii="Arial" w:eastAsia="Times New Roman" w:hAnsi="Arial" w:cs="Arial"/>
                <w:bCs/>
                <w:noProof/>
                <w:szCs w:val="22"/>
              </w:rPr>
              <w:t>3.9.1.</w:t>
            </w:r>
            <w:r w:rsidRPr="004D49A9">
              <w:rPr>
                <w:rFonts w:ascii="Arial" w:hAnsi="Arial" w:cs="Arial"/>
                <w:noProof/>
                <w:kern w:val="2"/>
                <w:szCs w:val="22"/>
                <w14:ligatures w14:val="standardContextual"/>
              </w:rPr>
              <w:tab/>
            </w:r>
            <w:r w:rsidRPr="004D49A9">
              <w:rPr>
                <w:rStyle w:val="Hyperlink"/>
                <w:rFonts w:ascii="Arial" w:hAnsi="Arial" w:cs="Arial"/>
                <w:noProof/>
                <w:szCs w:val="22"/>
              </w:rPr>
              <w:t>Comments on Subpart I requirements (e.g., amendments, backfitting) not related to RFC</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_Toc207222840 \h </w:instrText>
            </w:r>
            <w:r w:rsidRPr="004D49A9">
              <w:rPr>
                <w:rFonts w:ascii="Arial" w:hAnsi="Arial" w:cs="Arial"/>
                <w:noProof/>
                <w:webHidden/>
                <w:szCs w:val="22"/>
              </w:rPr>
              <w:fldChar w:fldCharType="separate"/>
            </w:r>
            <w:r w:rsidR="00242DDE">
              <w:rPr>
                <w:rFonts w:ascii="Arial" w:hAnsi="Arial" w:cs="Arial"/>
                <w:noProof/>
                <w:webHidden/>
                <w:szCs w:val="22"/>
              </w:rPr>
              <w:t>212</w:t>
            </w:r>
            <w:r w:rsidRPr="004D49A9">
              <w:rPr>
                <w:rFonts w:ascii="Arial" w:hAnsi="Arial" w:cs="Arial"/>
                <w:noProof/>
                <w:webHidden/>
                <w:szCs w:val="22"/>
              </w:rPr>
              <w:fldChar w:fldCharType="end"/>
            </w:r>
          </w:hyperlink>
        </w:p>
        <w:p w:rsidR="004D49A9" w:rsidRPr="004D49A9" w14:paraId="4592B88C" w14:textId="77777777">
          <w:pPr>
            <w:pStyle w:val="TOC3"/>
            <w:tabs>
              <w:tab w:val="left" w:pos="1440"/>
              <w:tab w:val="right" w:leader="dot" w:pos="9350"/>
            </w:tabs>
            <w:rPr>
              <w:rFonts w:ascii="Arial" w:hAnsi="Arial" w:cs="Arial"/>
              <w:noProof/>
              <w:kern w:val="2"/>
              <w:szCs w:val="22"/>
              <w14:ligatures w14:val="standardContextual"/>
            </w:rPr>
          </w:pPr>
          <w:hyperlink w:anchor="_Toc207222841" w:history="1">
            <w:r w:rsidRPr="004D49A9">
              <w:rPr>
                <w:rStyle w:val="Hyperlink"/>
                <w:rFonts w:ascii="Arial" w:hAnsi="Arial" w:cs="Arial"/>
                <w:bCs/>
                <w:noProof/>
                <w:szCs w:val="22"/>
              </w:rPr>
              <w:t>3.9.2.</w:t>
            </w:r>
            <w:r w:rsidRPr="004D49A9">
              <w:rPr>
                <w:rFonts w:ascii="Arial" w:hAnsi="Arial" w:cs="Arial"/>
                <w:noProof/>
                <w:kern w:val="2"/>
                <w:szCs w:val="22"/>
                <w14:ligatures w14:val="standardContextual"/>
              </w:rPr>
              <w:tab/>
            </w:r>
            <w:r w:rsidRPr="004D49A9">
              <w:rPr>
                <w:rStyle w:val="Hyperlink"/>
                <w:rFonts w:ascii="Arial" w:hAnsi="Arial" w:cs="Arial"/>
                <w:noProof/>
                <w:szCs w:val="22"/>
              </w:rPr>
              <w:t>RFC: Placement, control, and submittal of PRA information (§ 53.1239(a)(18), § 53.1545, § 53.1560)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_Toc207222841 \h </w:instrText>
            </w:r>
            <w:r w:rsidRPr="004D49A9">
              <w:rPr>
                <w:rFonts w:ascii="Arial" w:hAnsi="Arial" w:cs="Arial"/>
                <w:noProof/>
                <w:webHidden/>
                <w:szCs w:val="22"/>
              </w:rPr>
              <w:fldChar w:fldCharType="separate"/>
            </w:r>
            <w:r w:rsidR="00242DDE">
              <w:rPr>
                <w:rFonts w:ascii="Arial" w:hAnsi="Arial" w:cs="Arial"/>
                <w:noProof/>
                <w:webHidden/>
                <w:szCs w:val="22"/>
              </w:rPr>
              <w:t>219</w:t>
            </w:r>
            <w:r w:rsidRPr="004D49A9">
              <w:rPr>
                <w:rFonts w:ascii="Arial" w:hAnsi="Arial" w:cs="Arial"/>
                <w:noProof/>
                <w:webHidden/>
                <w:szCs w:val="22"/>
              </w:rPr>
              <w:fldChar w:fldCharType="end"/>
            </w:r>
          </w:hyperlink>
        </w:p>
        <w:p w:rsidR="004D49A9" w:rsidRPr="004D49A9" w14:paraId="28BEA80E" w14:textId="77777777">
          <w:pPr>
            <w:pStyle w:val="TOC3"/>
            <w:tabs>
              <w:tab w:val="left" w:pos="1440"/>
              <w:tab w:val="right" w:leader="dot" w:pos="9350"/>
            </w:tabs>
            <w:rPr>
              <w:rFonts w:ascii="Arial" w:hAnsi="Arial" w:cs="Arial"/>
              <w:noProof/>
              <w:kern w:val="2"/>
              <w:szCs w:val="22"/>
              <w14:ligatures w14:val="standardContextual"/>
            </w:rPr>
          </w:pPr>
          <w:hyperlink w:anchor="_Toc207222842" w:history="1">
            <w:r w:rsidRPr="004D49A9">
              <w:rPr>
                <w:rStyle w:val="Hyperlink"/>
                <w:rFonts w:ascii="Arial" w:hAnsi="Arial" w:cs="Arial"/>
                <w:bCs/>
                <w:noProof/>
                <w:szCs w:val="22"/>
              </w:rPr>
              <w:t>3.9.3.</w:t>
            </w:r>
            <w:r w:rsidRPr="004D49A9">
              <w:rPr>
                <w:rFonts w:ascii="Arial" w:hAnsi="Arial" w:cs="Arial"/>
                <w:noProof/>
                <w:kern w:val="2"/>
                <w:szCs w:val="22"/>
                <w14:ligatures w14:val="standardContextual"/>
              </w:rPr>
              <w:tab/>
            </w:r>
            <w:r w:rsidRPr="004D49A9">
              <w:rPr>
                <w:rStyle w:val="Hyperlink"/>
                <w:rFonts w:ascii="Arial" w:hAnsi="Arial" w:cs="Arial"/>
                <w:noProof/>
                <w:szCs w:val="22"/>
              </w:rPr>
              <w:t>RFC: Changes to manufacturing licenses (§ 53.1530)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_Toc207222842 \h </w:instrText>
            </w:r>
            <w:r w:rsidRPr="004D49A9">
              <w:rPr>
                <w:rFonts w:ascii="Arial" w:hAnsi="Arial" w:cs="Arial"/>
                <w:noProof/>
                <w:webHidden/>
                <w:szCs w:val="22"/>
              </w:rPr>
              <w:fldChar w:fldCharType="separate"/>
            </w:r>
            <w:r w:rsidR="00242DDE">
              <w:rPr>
                <w:rFonts w:ascii="Arial" w:hAnsi="Arial" w:cs="Arial"/>
                <w:noProof/>
                <w:webHidden/>
                <w:szCs w:val="22"/>
              </w:rPr>
              <w:t>222</w:t>
            </w:r>
            <w:r w:rsidRPr="004D49A9">
              <w:rPr>
                <w:rFonts w:ascii="Arial" w:hAnsi="Arial" w:cs="Arial"/>
                <w:noProof/>
                <w:webHidden/>
                <w:szCs w:val="22"/>
              </w:rPr>
              <w:fldChar w:fldCharType="end"/>
            </w:r>
          </w:hyperlink>
        </w:p>
        <w:p w:rsidR="004D49A9" w:rsidRPr="004D49A9" w14:paraId="3541E8B8" w14:textId="77777777">
          <w:pPr>
            <w:pStyle w:val="TOC2"/>
            <w:tabs>
              <w:tab w:val="left" w:pos="960"/>
            </w:tabs>
            <w:rPr>
              <w:rFonts w:ascii="Arial" w:hAnsi="Arial" w:cs="Arial"/>
              <w:noProof/>
              <w:kern w:val="2"/>
              <w:szCs w:val="22"/>
              <w14:ligatures w14:val="standardContextual"/>
            </w:rPr>
          </w:pPr>
          <w:hyperlink w:anchor="_Toc207222843" w:history="1">
            <w:r w:rsidRPr="004D49A9">
              <w:rPr>
                <w:rStyle w:val="Hyperlink"/>
                <w:rFonts w:ascii="Arial" w:hAnsi="Arial" w:cs="Arial"/>
                <w:bCs/>
                <w:iCs/>
                <w:noProof/>
                <w:szCs w:val="22"/>
              </w:rPr>
              <w:t>3.10.</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J: Reporting and Other Administrative Requirements (§§ 53.1600-53.1730)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_Toc207222843 \h </w:instrText>
            </w:r>
            <w:r w:rsidRPr="004D49A9">
              <w:rPr>
                <w:rFonts w:ascii="Arial" w:hAnsi="Arial" w:cs="Arial"/>
                <w:noProof/>
                <w:webHidden/>
                <w:szCs w:val="22"/>
              </w:rPr>
              <w:fldChar w:fldCharType="separate"/>
            </w:r>
            <w:r w:rsidR="00242DDE">
              <w:rPr>
                <w:rFonts w:ascii="Arial" w:hAnsi="Arial" w:cs="Arial"/>
                <w:noProof/>
                <w:webHidden/>
                <w:szCs w:val="22"/>
              </w:rPr>
              <w:t>223</w:t>
            </w:r>
            <w:r w:rsidRPr="004D49A9">
              <w:rPr>
                <w:rFonts w:ascii="Arial" w:hAnsi="Arial" w:cs="Arial"/>
                <w:noProof/>
                <w:webHidden/>
                <w:szCs w:val="22"/>
              </w:rPr>
              <w:fldChar w:fldCharType="end"/>
            </w:r>
          </w:hyperlink>
        </w:p>
        <w:p w:rsidR="004D49A9" w:rsidRPr="004D49A9" w14:paraId="3C89A732" w14:textId="77777777">
          <w:pPr>
            <w:pStyle w:val="TOC3"/>
            <w:tabs>
              <w:tab w:val="left" w:pos="1440"/>
              <w:tab w:val="right" w:leader="dot" w:pos="9350"/>
            </w:tabs>
            <w:rPr>
              <w:rFonts w:ascii="Arial" w:hAnsi="Arial" w:cs="Arial"/>
              <w:noProof/>
              <w:kern w:val="2"/>
              <w:szCs w:val="22"/>
              <w14:ligatures w14:val="standardContextual"/>
            </w:rPr>
          </w:pPr>
          <w:hyperlink w:anchor="_Toc207222844" w:history="1">
            <w:r w:rsidRPr="004D49A9">
              <w:rPr>
                <w:rStyle w:val="Hyperlink"/>
                <w:rFonts w:ascii="Arial" w:hAnsi="Arial" w:cs="Arial"/>
                <w:bCs/>
                <w:noProof/>
                <w:szCs w:val="22"/>
              </w:rPr>
              <w:t>3.10.1.</w:t>
            </w:r>
            <w:r w:rsidRPr="004D49A9">
              <w:rPr>
                <w:rFonts w:ascii="Arial" w:hAnsi="Arial" w:cs="Arial"/>
                <w:noProof/>
                <w:kern w:val="2"/>
                <w:szCs w:val="22"/>
                <w14:ligatures w14:val="standardContextual"/>
              </w:rPr>
              <w:tab/>
            </w:r>
            <w:r w:rsidRPr="004D49A9">
              <w:rPr>
                <w:rStyle w:val="Hyperlink"/>
                <w:rFonts w:ascii="Arial" w:hAnsi="Arial" w:cs="Arial"/>
                <w:noProof/>
                <w:szCs w:val="22"/>
              </w:rPr>
              <w:t>Comments on Subpart J requirements (e.g., records, reporting, financial protection) not related to RFC</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_Toc207222844 \h </w:instrText>
            </w:r>
            <w:r w:rsidRPr="004D49A9">
              <w:rPr>
                <w:rFonts w:ascii="Arial" w:hAnsi="Arial" w:cs="Arial"/>
                <w:noProof/>
                <w:webHidden/>
                <w:szCs w:val="22"/>
              </w:rPr>
              <w:fldChar w:fldCharType="separate"/>
            </w:r>
            <w:r w:rsidR="00242DDE">
              <w:rPr>
                <w:rFonts w:ascii="Arial" w:hAnsi="Arial" w:cs="Arial"/>
                <w:noProof/>
                <w:webHidden/>
                <w:szCs w:val="22"/>
              </w:rPr>
              <w:t>223</w:t>
            </w:r>
            <w:r w:rsidRPr="004D49A9">
              <w:rPr>
                <w:rFonts w:ascii="Arial" w:hAnsi="Arial" w:cs="Arial"/>
                <w:noProof/>
                <w:webHidden/>
                <w:szCs w:val="22"/>
              </w:rPr>
              <w:fldChar w:fldCharType="end"/>
            </w:r>
          </w:hyperlink>
        </w:p>
        <w:p w:rsidR="004D49A9" w:rsidRPr="004D49A9" w14:paraId="07E00687" w14:textId="77777777">
          <w:pPr>
            <w:pStyle w:val="TOC3"/>
            <w:tabs>
              <w:tab w:val="left" w:pos="1440"/>
              <w:tab w:val="right" w:leader="dot" w:pos="9350"/>
            </w:tabs>
            <w:rPr>
              <w:rFonts w:ascii="Arial" w:hAnsi="Arial" w:cs="Arial"/>
              <w:noProof/>
              <w:kern w:val="2"/>
              <w:szCs w:val="22"/>
              <w14:ligatures w14:val="standardContextual"/>
            </w:rPr>
          </w:pPr>
          <w:hyperlink w:anchor="_Toc207222845" w:history="1">
            <w:r w:rsidRPr="004D49A9">
              <w:rPr>
                <w:rStyle w:val="Hyperlink"/>
                <w:rFonts w:ascii="Arial" w:hAnsi="Arial" w:cs="Arial"/>
                <w:bCs/>
                <w:noProof/>
                <w:szCs w:val="22"/>
              </w:rPr>
              <w:t>3.10.2.</w:t>
            </w:r>
            <w:r w:rsidRPr="004D49A9">
              <w:rPr>
                <w:rFonts w:ascii="Arial" w:hAnsi="Arial" w:cs="Arial"/>
                <w:noProof/>
                <w:kern w:val="2"/>
                <w:szCs w:val="22"/>
                <w14:ligatures w14:val="standardContextual"/>
              </w:rPr>
              <w:tab/>
            </w:r>
            <w:r w:rsidRPr="004D49A9">
              <w:rPr>
                <w:rStyle w:val="Hyperlink"/>
                <w:rFonts w:ascii="Arial" w:hAnsi="Arial" w:cs="Arial"/>
                <w:noProof/>
                <w:szCs w:val="22"/>
              </w:rPr>
              <w:t>RFC: Financial qualifications</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_Toc207222845 \h </w:instrText>
            </w:r>
            <w:r w:rsidRPr="004D49A9">
              <w:rPr>
                <w:rFonts w:ascii="Arial" w:hAnsi="Arial" w:cs="Arial"/>
                <w:noProof/>
                <w:webHidden/>
                <w:szCs w:val="22"/>
              </w:rPr>
              <w:fldChar w:fldCharType="separate"/>
            </w:r>
            <w:r w:rsidR="00242DDE">
              <w:rPr>
                <w:rFonts w:ascii="Arial" w:hAnsi="Arial" w:cs="Arial"/>
                <w:noProof/>
                <w:webHidden/>
                <w:szCs w:val="22"/>
              </w:rPr>
              <w:t>227</w:t>
            </w:r>
            <w:r w:rsidRPr="004D49A9">
              <w:rPr>
                <w:rFonts w:ascii="Arial" w:hAnsi="Arial" w:cs="Arial"/>
                <w:noProof/>
                <w:webHidden/>
                <w:szCs w:val="22"/>
              </w:rPr>
              <w:fldChar w:fldCharType="end"/>
            </w:r>
          </w:hyperlink>
        </w:p>
        <w:p w:rsidR="004D49A9" w:rsidRPr="004D49A9" w14:paraId="386728F5" w14:textId="77777777">
          <w:pPr>
            <w:pStyle w:val="TOC2"/>
            <w:tabs>
              <w:tab w:val="left" w:pos="960"/>
            </w:tabs>
            <w:rPr>
              <w:rFonts w:ascii="Arial" w:hAnsi="Arial" w:cs="Arial"/>
              <w:noProof/>
              <w:kern w:val="2"/>
              <w:szCs w:val="22"/>
              <w14:ligatures w14:val="standardContextual"/>
            </w:rPr>
          </w:pPr>
          <w:hyperlink w:anchor="_Toc207222846" w:history="1">
            <w:r w:rsidRPr="004D49A9">
              <w:rPr>
                <w:rStyle w:val="Hyperlink"/>
                <w:rFonts w:ascii="Arial" w:hAnsi="Arial" w:cs="Arial"/>
                <w:bCs/>
                <w:iCs/>
                <w:noProof/>
                <w:szCs w:val="22"/>
              </w:rPr>
              <w:t>3.11.</w:t>
            </w:r>
            <w:r w:rsidRPr="004D49A9">
              <w:rPr>
                <w:rFonts w:ascii="Arial" w:hAnsi="Arial" w:cs="Arial"/>
                <w:noProof/>
                <w:kern w:val="2"/>
                <w:szCs w:val="22"/>
                <w14:ligatures w14:val="standardContextual"/>
              </w:rPr>
              <w:tab/>
            </w:r>
            <w:r w:rsidRPr="004D49A9">
              <w:rPr>
                <w:rStyle w:val="Hyperlink"/>
                <w:rFonts w:ascii="Arial" w:hAnsi="Arial" w:cs="Arial"/>
                <w:noProof/>
                <w:szCs w:val="22"/>
              </w:rPr>
              <w:t>Subpart M: Enforcement (§§ 53.9000 – 53.9010)</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_Toc207222846 \h </w:instrText>
            </w:r>
            <w:r w:rsidRPr="004D49A9">
              <w:rPr>
                <w:rFonts w:ascii="Arial" w:hAnsi="Arial" w:cs="Arial"/>
                <w:noProof/>
                <w:webHidden/>
                <w:szCs w:val="22"/>
              </w:rPr>
              <w:fldChar w:fldCharType="separate"/>
            </w:r>
            <w:r w:rsidR="00242DDE">
              <w:rPr>
                <w:rFonts w:ascii="Arial" w:hAnsi="Arial" w:cs="Arial"/>
                <w:noProof/>
                <w:webHidden/>
                <w:szCs w:val="22"/>
              </w:rPr>
              <w:t>230</w:t>
            </w:r>
            <w:r w:rsidRPr="004D49A9">
              <w:rPr>
                <w:rFonts w:ascii="Arial" w:hAnsi="Arial" w:cs="Arial"/>
                <w:noProof/>
                <w:webHidden/>
                <w:szCs w:val="22"/>
              </w:rPr>
              <w:fldChar w:fldCharType="end"/>
            </w:r>
          </w:hyperlink>
        </w:p>
        <w:p w:rsidR="004D49A9" w:rsidRPr="004D49A9" w14:paraId="689B1685" w14:textId="77777777">
          <w:pPr>
            <w:pStyle w:val="TOC2"/>
            <w:tabs>
              <w:tab w:val="left" w:pos="960"/>
            </w:tabs>
            <w:rPr>
              <w:rFonts w:ascii="Arial" w:hAnsi="Arial" w:cs="Arial"/>
              <w:noProof/>
              <w:kern w:val="2"/>
              <w:szCs w:val="22"/>
              <w14:ligatures w14:val="standardContextual"/>
            </w:rPr>
          </w:pPr>
          <w:hyperlink w:anchor="_Toc207222847" w:history="1">
            <w:r w:rsidRPr="004D49A9">
              <w:rPr>
                <w:rStyle w:val="Hyperlink"/>
                <w:rFonts w:ascii="Arial" w:hAnsi="Arial" w:cs="Arial"/>
                <w:bCs/>
                <w:iCs/>
                <w:noProof/>
                <w:szCs w:val="22"/>
              </w:rPr>
              <w:t>3.12.</w:t>
            </w:r>
            <w:r w:rsidRPr="004D49A9">
              <w:rPr>
                <w:rFonts w:ascii="Arial" w:hAnsi="Arial" w:cs="Arial"/>
                <w:noProof/>
                <w:kern w:val="2"/>
                <w:szCs w:val="22"/>
                <w14:ligatures w14:val="standardContextual"/>
              </w:rPr>
              <w:tab/>
            </w:r>
            <w:r w:rsidRPr="004D49A9">
              <w:rPr>
                <w:rStyle w:val="Hyperlink"/>
                <w:rFonts w:ascii="Arial" w:hAnsi="Arial" w:cs="Arial"/>
                <w:noProof/>
                <w:szCs w:val="22"/>
              </w:rPr>
              <w:t>Other general comments on Part 53, including RFC on organization of 10 CFR Part 53 and references to other NRC regulations and RFC on ADVANCE Act</w:t>
            </w:r>
            <w:r w:rsidRPr="004D49A9">
              <w:rPr>
                <w:rFonts w:ascii="Arial" w:hAnsi="Arial" w:cs="Arial"/>
                <w:noProof/>
                <w:webHidden/>
                <w:szCs w:val="22"/>
              </w:rPr>
              <w:tab/>
            </w:r>
            <w:r w:rsidRPr="004D49A9">
              <w:rPr>
                <w:rFonts w:ascii="Arial" w:hAnsi="Arial" w:cs="Arial"/>
                <w:noProof/>
                <w:webHidden/>
                <w:szCs w:val="22"/>
              </w:rPr>
              <w:fldChar w:fldCharType="begin"/>
            </w:r>
            <w:r w:rsidRPr="004D49A9">
              <w:rPr>
                <w:rFonts w:ascii="Arial" w:hAnsi="Arial" w:cs="Arial"/>
                <w:noProof/>
                <w:webHidden/>
                <w:szCs w:val="22"/>
              </w:rPr>
              <w:instrText xml:space="preserve"> PAGEREF _Toc207222847 \h </w:instrText>
            </w:r>
            <w:r w:rsidRPr="004D49A9">
              <w:rPr>
                <w:rFonts w:ascii="Arial" w:hAnsi="Arial" w:cs="Arial"/>
                <w:noProof/>
                <w:webHidden/>
                <w:szCs w:val="22"/>
              </w:rPr>
              <w:fldChar w:fldCharType="separate"/>
            </w:r>
            <w:r w:rsidR="00242DDE">
              <w:rPr>
                <w:rFonts w:ascii="Arial" w:hAnsi="Arial" w:cs="Arial"/>
                <w:noProof/>
                <w:webHidden/>
                <w:szCs w:val="22"/>
              </w:rPr>
              <w:t>230</w:t>
            </w:r>
            <w:r w:rsidRPr="004D49A9">
              <w:rPr>
                <w:rFonts w:ascii="Arial" w:hAnsi="Arial" w:cs="Arial"/>
                <w:noProof/>
                <w:webHidden/>
                <w:szCs w:val="22"/>
              </w:rPr>
              <w:fldChar w:fldCharType="end"/>
            </w:r>
          </w:hyperlink>
        </w:p>
        <w:p w:rsidR="007D3F7C" w:rsidRPr="004D49A9" w14:paraId="20BBCC27" w14:textId="77777777">
          <w:pPr>
            <w:rPr>
              <w:rFonts w:ascii="Arial" w:hAnsi="Arial" w:cs="Arial"/>
              <w:sz w:val="22"/>
              <w:szCs w:val="22"/>
            </w:rPr>
          </w:pPr>
          <w:r w:rsidRPr="004D49A9">
            <w:rPr>
              <w:rFonts w:ascii="Arial" w:hAnsi="Arial" w:cs="Arial"/>
              <w:sz w:val="22"/>
              <w:szCs w:val="22"/>
            </w:rPr>
            <w:fldChar w:fldCharType="end"/>
          </w:r>
        </w:p>
      </w:sdtContent>
    </w:sdt>
    <w:p w:rsidR="00AB116C" w14:paraId="5F93B3DB" w14:textId="77777777">
      <w:pPr>
        <w:spacing w:after="160" w:line="259" w:lineRule="auto"/>
        <w:rPr>
          <w:rFonts w:ascii="Arial" w:eastAsia="Times New Roman" w:hAnsi="Arial" w:cs="Arial"/>
          <w:sz w:val="22"/>
          <w:szCs w:val="22"/>
          <w:lang w:eastAsia="zh-CN"/>
        </w:rPr>
        <w:sectPr w:rsidSect="00AB116C">
          <w:pgSz w:w="12240" w:h="15840"/>
          <w:pgMar w:top="1440" w:right="1440" w:bottom="1440" w:left="1440" w:header="720" w:footer="720" w:gutter="0"/>
          <w:pgNumType w:fmt="lowerRoman"/>
          <w:cols w:space="720"/>
          <w:docGrid w:linePitch="360"/>
        </w:sectPr>
      </w:pPr>
      <w:r w:rsidRPr="004D49A9">
        <w:rPr>
          <w:rFonts w:ascii="Arial" w:eastAsia="Times New Roman" w:hAnsi="Arial" w:cs="Arial"/>
          <w:sz w:val="22"/>
          <w:szCs w:val="22"/>
          <w:lang w:eastAsia="zh-CN"/>
        </w:rPr>
        <w:br w:type="page"/>
      </w:r>
    </w:p>
    <w:p w:rsidR="00912078" w:rsidRPr="004D49A9" w14:paraId="4067C189" w14:textId="77777777">
      <w:pPr>
        <w:spacing w:after="160" w:line="259" w:lineRule="auto"/>
        <w:rPr>
          <w:rFonts w:ascii="Arial" w:eastAsia="Times New Roman" w:hAnsi="Arial" w:cs="Arial"/>
          <w:sz w:val="22"/>
          <w:szCs w:val="22"/>
          <w:lang w:eastAsia="zh-CN"/>
        </w:rPr>
      </w:pPr>
    </w:p>
    <w:p w:rsidR="00DB1149" w:rsidRPr="00AF4099" w:rsidP="00AF4099" w14:paraId="67786A9A" w14:textId="77777777">
      <w:pPr>
        <w:jc w:val="center"/>
        <w:rPr>
          <w:rFonts w:ascii="Arial" w:hAnsi="Arial" w:cs="Arial"/>
          <w:b/>
          <w:bCs/>
        </w:rPr>
      </w:pPr>
      <w:r w:rsidRPr="00AF4099">
        <w:rPr>
          <w:rFonts w:ascii="Arial" w:hAnsi="Arial" w:cs="Arial"/>
          <w:b/>
          <w:bCs/>
        </w:rPr>
        <w:t>U.S. NUCLEAR REGULATORY COMMISSION</w:t>
      </w:r>
    </w:p>
    <w:p w:rsidR="00DB1149" w:rsidRPr="00AF4099" w:rsidP="00AF4099" w14:paraId="119E7AE0" w14:textId="77777777">
      <w:pPr>
        <w:jc w:val="center"/>
        <w:rPr>
          <w:rFonts w:ascii="Arial" w:hAnsi="Arial" w:cs="Arial"/>
          <w:b/>
          <w:bCs/>
        </w:rPr>
      </w:pPr>
      <w:r w:rsidRPr="00AF4099">
        <w:rPr>
          <w:rFonts w:ascii="Arial" w:hAnsi="Arial" w:cs="Arial"/>
          <w:b/>
          <w:bCs/>
        </w:rPr>
        <w:t>RESPONSE TO PUBLIC COMMENTS RECEIVED ON THE PROPOSED RULE</w:t>
      </w:r>
    </w:p>
    <w:p w:rsidR="00DB1149" w:rsidRPr="00AF4099" w:rsidP="00AF4099" w14:paraId="07DCB08E" w14:textId="77777777">
      <w:pPr>
        <w:jc w:val="center"/>
        <w:rPr>
          <w:rFonts w:ascii="Arial" w:hAnsi="Arial" w:cs="Arial"/>
          <w:b/>
          <w:bCs/>
        </w:rPr>
      </w:pPr>
      <w:r w:rsidRPr="00AF4099">
        <w:rPr>
          <w:rFonts w:ascii="Arial" w:hAnsi="Arial" w:cs="Arial"/>
          <w:b/>
          <w:bCs/>
        </w:rPr>
        <w:t>RISK-INFORMED, TECHNOLOGY-INCLUSIVE REGULATORY FRAMEWORK FOR ADVANCED REACTORS</w:t>
      </w:r>
    </w:p>
    <w:p w:rsidR="006637CD" w:rsidRPr="00AF4099" w:rsidP="00AF4099" w14:paraId="386DEE82" w14:textId="77777777">
      <w:pPr>
        <w:rPr>
          <w:rFonts w:ascii="Arial" w:hAnsi="Arial" w:cs="Arial"/>
          <w:bCs/>
        </w:rPr>
      </w:pPr>
    </w:p>
    <w:p w:rsidR="003D1532" w:rsidRPr="00AF4099" w:rsidP="000A3B85" w14:paraId="6C63D088" w14:textId="77777777">
      <w:pPr>
        <w:spacing w:after="120"/>
        <w:rPr>
          <w:rFonts w:ascii="Arial" w:hAnsi="Arial" w:cs="Arial"/>
          <w:b/>
          <w:sz w:val="22"/>
          <w:szCs w:val="22"/>
        </w:rPr>
      </w:pPr>
      <w:r w:rsidRPr="00AF4099">
        <w:rPr>
          <w:rFonts w:ascii="Arial" w:hAnsi="Arial" w:cs="Arial"/>
          <w:b/>
          <w:sz w:val="22"/>
          <w:szCs w:val="22"/>
        </w:rPr>
        <w:t xml:space="preserve">Introduction </w:t>
      </w:r>
    </w:p>
    <w:p w:rsidR="00337ECC" w:rsidP="51507FE3" w14:paraId="4C43F368" w14:textId="77777777">
      <w:pPr>
        <w:rPr>
          <w:rFonts w:ascii="Arial" w:hAnsi="Arial" w:cs="Arial"/>
          <w:sz w:val="22"/>
          <w:szCs w:val="22"/>
        </w:rPr>
      </w:pPr>
      <w:r w:rsidRPr="00AF4099">
        <w:rPr>
          <w:rFonts w:ascii="Arial" w:hAnsi="Arial" w:cs="Arial"/>
          <w:sz w:val="22"/>
          <w:szCs w:val="22"/>
        </w:rPr>
        <w:t xml:space="preserve">This document presents the U.S. Nuclear Regulatory Commission’s (NRC’s) responses to written public comments received on the proposed rule, “Risk-Informed, Technology-Inclusive Regulatory Framework for Advanced Reactors” </w:t>
      </w:r>
      <w:r w:rsidR="00D9029D">
        <w:rPr>
          <w:rFonts w:ascii="Arial" w:hAnsi="Arial" w:cs="Arial"/>
          <w:sz w:val="22"/>
          <w:szCs w:val="22"/>
        </w:rPr>
        <w:t>(Part 53). The NRC’s review and response to these comments can be found in two documents. Volume 1, this document, addresses</w:t>
      </w:r>
      <w:r w:rsidRPr="00AF4099">
        <w:rPr>
          <w:rFonts w:ascii="Arial" w:hAnsi="Arial" w:cs="Arial"/>
          <w:sz w:val="22"/>
          <w:szCs w:val="22"/>
        </w:rPr>
        <w:t xml:space="preserve"> </w:t>
      </w:r>
      <w:r w:rsidRPr="51507FE3" w:rsidR="05793163">
        <w:rPr>
          <w:rFonts w:ascii="Arial" w:hAnsi="Arial" w:cs="Arial"/>
          <w:sz w:val="22"/>
          <w:szCs w:val="22"/>
        </w:rPr>
        <w:t xml:space="preserve">the </w:t>
      </w:r>
      <w:r w:rsidR="00D9029D">
        <w:rPr>
          <w:rFonts w:ascii="Arial" w:hAnsi="Arial" w:cs="Arial"/>
          <w:sz w:val="22"/>
          <w:szCs w:val="22"/>
        </w:rPr>
        <w:t xml:space="preserve">comments received on the proposed </w:t>
      </w:r>
      <w:r w:rsidRPr="0016277F">
        <w:rPr>
          <w:rFonts w:ascii="Arial" w:hAnsi="Arial" w:cs="Arial"/>
          <w:sz w:val="22"/>
          <w:szCs w:val="22"/>
        </w:rPr>
        <w:t xml:space="preserve">Title 10 of the </w:t>
      </w:r>
      <w:r w:rsidRPr="00790E76">
        <w:rPr>
          <w:rFonts w:ascii="Arial" w:hAnsi="Arial" w:cs="Arial"/>
          <w:i/>
          <w:sz w:val="22"/>
          <w:szCs w:val="22"/>
        </w:rPr>
        <w:t>Code of Federal Regulations</w:t>
      </w:r>
      <w:r w:rsidR="00581B81">
        <w:rPr>
          <w:rFonts w:ascii="Arial" w:hAnsi="Arial" w:cs="Arial"/>
          <w:sz w:val="22"/>
          <w:szCs w:val="22"/>
        </w:rPr>
        <w:t xml:space="preserve"> </w:t>
      </w:r>
      <w:r w:rsidRPr="0016277F">
        <w:rPr>
          <w:rFonts w:ascii="Arial" w:hAnsi="Arial" w:cs="Arial"/>
          <w:sz w:val="22"/>
          <w:szCs w:val="22"/>
        </w:rPr>
        <w:t>(10</w:t>
      </w:r>
      <w:r w:rsidR="00D0542B">
        <w:rPr>
          <w:rFonts w:ascii="Arial" w:hAnsi="Arial" w:cs="Arial"/>
          <w:sz w:val="22"/>
          <w:szCs w:val="22"/>
        </w:rPr>
        <w:t> </w:t>
      </w:r>
      <w:r w:rsidRPr="00581B81">
        <w:rPr>
          <w:rFonts w:ascii="Arial" w:hAnsi="Arial" w:cs="Arial"/>
          <w:sz w:val="22"/>
          <w:szCs w:val="22"/>
        </w:rPr>
        <w:t>CFR)</w:t>
      </w:r>
      <w:r w:rsidR="00D0542B">
        <w:rPr>
          <w:rFonts w:ascii="Arial" w:hAnsi="Arial" w:cs="Arial"/>
          <w:sz w:val="22"/>
          <w:szCs w:val="22"/>
        </w:rPr>
        <w:t> </w:t>
      </w:r>
      <w:r w:rsidR="00ED1DAB">
        <w:rPr>
          <w:rFonts w:ascii="Arial" w:hAnsi="Arial" w:cs="Arial"/>
          <w:sz w:val="22"/>
          <w:szCs w:val="22"/>
        </w:rPr>
        <w:t>P</w:t>
      </w:r>
      <w:r w:rsidR="00D9029D">
        <w:rPr>
          <w:rFonts w:ascii="Arial" w:hAnsi="Arial" w:cs="Arial"/>
          <w:sz w:val="22"/>
          <w:szCs w:val="22"/>
        </w:rPr>
        <w:t>art</w:t>
      </w:r>
      <w:r w:rsidR="00B97799">
        <w:rPr>
          <w:rFonts w:ascii="Arial" w:hAnsi="Arial" w:cs="Arial"/>
          <w:sz w:val="22"/>
          <w:szCs w:val="22"/>
        </w:rPr>
        <w:t> </w:t>
      </w:r>
      <w:r w:rsidR="00D9029D">
        <w:rPr>
          <w:rFonts w:ascii="Arial" w:hAnsi="Arial" w:cs="Arial"/>
          <w:sz w:val="22"/>
          <w:szCs w:val="22"/>
        </w:rPr>
        <w:t>53 requirements</w:t>
      </w:r>
      <w:r w:rsidR="004B16FF">
        <w:rPr>
          <w:rFonts w:ascii="Arial" w:hAnsi="Arial" w:cs="Arial"/>
          <w:sz w:val="22"/>
          <w:szCs w:val="22"/>
        </w:rPr>
        <w:t>, including specific questions o</w:t>
      </w:r>
      <w:r w:rsidR="00C311BF">
        <w:rPr>
          <w:rFonts w:ascii="Arial" w:hAnsi="Arial" w:cs="Arial"/>
          <w:sz w:val="22"/>
          <w:szCs w:val="22"/>
        </w:rPr>
        <w:t xml:space="preserve">n Part 53 </w:t>
      </w:r>
      <w:r w:rsidR="004B16FF">
        <w:rPr>
          <w:rFonts w:ascii="Arial" w:hAnsi="Arial" w:cs="Arial"/>
          <w:sz w:val="22"/>
          <w:szCs w:val="22"/>
        </w:rPr>
        <w:t xml:space="preserve">that were asked in the </w:t>
      </w:r>
      <w:r w:rsidRPr="0016277F" w:rsidR="004B16FF">
        <w:rPr>
          <w:rFonts w:ascii="Arial" w:hAnsi="Arial" w:cs="Arial"/>
          <w:i/>
          <w:iCs/>
          <w:sz w:val="22"/>
          <w:szCs w:val="22"/>
        </w:rPr>
        <w:t>Federal Register</w:t>
      </w:r>
      <w:r w:rsidR="004B16FF">
        <w:rPr>
          <w:rFonts w:ascii="Arial" w:hAnsi="Arial" w:cs="Arial"/>
          <w:sz w:val="22"/>
          <w:szCs w:val="22"/>
        </w:rPr>
        <w:t xml:space="preserve"> notice (FRN)</w:t>
      </w:r>
      <w:r w:rsidR="00D9029D">
        <w:rPr>
          <w:rFonts w:ascii="Arial" w:hAnsi="Arial" w:cs="Arial"/>
          <w:sz w:val="22"/>
          <w:szCs w:val="22"/>
        </w:rPr>
        <w:t xml:space="preserve">. Volume </w:t>
      </w:r>
      <w:r>
        <w:rPr>
          <w:rFonts w:ascii="Arial" w:hAnsi="Arial" w:cs="Arial"/>
          <w:sz w:val="22"/>
          <w:szCs w:val="22"/>
        </w:rPr>
        <w:t>II</w:t>
      </w:r>
      <w:r w:rsidR="00D9029D">
        <w:rPr>
          <w:rFonts w:ascii="Arial" w:hAnsi="Arial" w:cs="Arial"/>
          <w:sz w:val="22"/>
          <w:szCs w:val="22"/>
        </w:rPr>
        <w:t xml:space="preserve"> addresses comments related to other sections of the 10</w:t>
      </w:r>
      <w:r w:rsidR="00DD1ED9">
        <w:rPr>
          <w:rFonts w:ascii="Arial" w:hAnsi="Arial" w:cs="Arial"/>
          <w:sz w:val="22"/>
          <w:szCs w:val="22"/>
        </w:rPr>
        <w:t> </w:t>
      </w:r>
      <w:r w:rsidR="00D9029D">
        <w:rPr>
          <w:rFonts w:ascii="Arial" w:hAnsi="Arial" w:cs="Arial"/>
          <w:sz w:val="22"/>
          <w:szCs w:val="22"/>
        </w:rPr>
        <w:t>CFR</w:t>
      </w:r>
      <w:r w:rsidR="00DD1ED9">
        <w:rPr>
          <w:rFonts w:ascii="Arial" w:hAnsi="Arial" w:cs="Arial"/>
          <w:sz w:val="22"/>
          <w:szCs w:val="22"/>
        </w:rPr>
        <w:t> </w:t>
      </w:r>
      <w:r w:rsidR="00D9029D">
        <w:rPr>
          <w:rFonts w:ascii="Arial" w:hAnsi="Arial" w:cs="Arial"/>
          <w:sz w:val="22"/>
          <w:szCs w:val="22"/>
        </w:rPr>
        <w:t>(e.g.,</w:t>
      </w:r>
      <w:r w:rsidR="00DD1ED9">
        <w:rPr>
          <w:rFonts w:ascii="Arial" w:hAnsi="Arial" w:cs="Arial"/>
          <w:sz w:val="22"/>
          <w:szCs w:val="22"/>
        </w:rPr>
        <w:t> </w:t>
      </w:r>
      <w:r w:rsidR="00D9029D">
        <w:rPr>
          <w:rFonts w:ascii="Arial" w:hAnsi="Arial" w:cs="Arial"/>
          <w:sz w:val="22"/>
          <w:szCs w:val="22"/>
        </w:rPr>
        <w:t>10</w:t>
      </w:r>
      <w:r w:rsidR="00DD1ED9">
        <w:rPr>
          <w:rFonts w:ascii="Arial" w:hAnsi="Arial" w:cs="Arial"/>
          <w:sz w:val="22"/>
          <w:szCs w:val="22"/>
        </w:rPr>
        <w:t> </w:t>
      </w:r>
      <w:r w:rsidR="00D9029D">
        <w:rPr>
          <w:rFonts w:ascii="Arial" w:hAnsi="Arial" w:cs="Arial"/>
          <w:sz w:val="22"/>
          <w:szCs w:val="22"/>
        </w:rPr>
        <w:t>CFR</w:t>
      </w:r>
      <w:r w:rsidR="00DD1ED9">
        <w:rPr>
          <w:rFonts w:ascii="Arial" w:hAnsi="Arial" w:cs="Arial"/>
          <w:sz w:val="22"/>
          <w:szCs w:val="22"/>
        </w:rPr>
        <w:t> </w:t>
      </w:r>
      <w:r w:rsidR="00ED1DAB">
        <w:rPr>
          <w:rFonts w:ascii="Arial" w:hAnsi="Arial" w:cs="Arial"/>
          <w:sz w:val="22"/>
          <w:szCs w:val="22"/>
        </w:rPr>
        <w:t>P</w:t>
      </w:r>
      <w:r w:rsidR="00D9029D">
        <w:rPr>
          <w:rFonts w:ascii="Arial" w:hAnsi="Arial" w:cs="Arial"/>
          <w:sz w:val="22"/>
          <w:szCs w:val="22"/>
        </w:rPr>
        <w:t>art 26, 10</w:t>
      </w:r>
      <w:r w:rsidR="00DD1ED9">
        <w:rPr>
          <w:rFonts w:ascii="Arial" w:hAnsi="Arial" w:cs="Arial"/>
          <w:sz w:val="22"/>
          <w:szCs w:val="22"/>
        </w:rPr>
        <w:t> </w:t>
      </w:r>
      <w:r w:rsidR="00D9029D">
        <w:rPr>
          <w:rFonts w:ascii="Arial" w:hAnsi="Arial" w:cs="Arial"/>
          <w:sz w:val="22"/>
          <w:szCs w:val="22"/>
        </w:rPr>
        <w:t>CFR</w:t>
      </w:r>
      <w:r w:rsidR="00DD1ED9">
        <w:rPr>
          <w:rFonts w:ascii="Arial" w:hAnsi="Arial" w:cs="Arial"/>
          <w:sz w:val="22"/>
          <w:szCs w:val="22"/>
        </w:rPr>
        <w:t> </w:t>
      </w:r>
      <w:r w:rsidR="00ED1DAB">
        <w:rPr>
          <w:rFonts w:ascii="Arial" w:hAnsi="Arial" w:cs="Arial"/>
          <w:sz w:val="22"/>
          <w:szCs w:val="22"/>
        </w:rPr>
        <w:t>P</w:t>
      </w:r>
      <w:r w:rsidR="00D9029D">
        <w:rPr>
          <w:rFonts w:ascii="Arial" w:hAnsi="Arial" w:cs="Arial"/>
          <w:sz w:val="22"/>
          <w:szCs w:val="22"/>
        </w:rPr>
        <w:t xml:space="preserve">art 73) </w:t>
      </w:r>
      <w:r w:rsidR="00A62979">
        <w:rPr>
          <w:rFonts w:ascii="Arial" w:hAnsi="Arial" w:cs="Arial"/>
          <w:sz w:val="22"/>
          <w:szCs w:val="22"/>
        </w:rPr>
        <w:t xml:space="preserve">and </w:t>
      </w:r>
      <w:r w:rsidR="00D9029D">
        <w:rPr>
          <w:rFonts w:ascii="Arial" w:hAnsi="Arial" w:cs="Arial"/>
          <w:sz w:val="22"/>
          <w:szCs w:val="22"/>
        </w:rPr>
        <w:t>supporting guidance (e.g.,</w:t>
      </w:r>
      <w:r w:rsidR="00DD1ED9">
        <w:rPr>
          <w:rFonts w:ascii="Arial" w:hAnsi="Arial" w:cs="Arial"/>
          <w:sz w:val="22"/>
          <w:szCs w:val="22"/>
        </w:rPr>
        <w:t> </w:t>
      </w:r>
      <w:r w:rsidR="00D9029D">
        <w:rPr>
          <w:rFonts w:ascii="Arial" w:hAnsi="Arial" w:cs="Arial"/>
          <w:sz w:val="22"/>
          <w:szCs w:val="22"/>
        </w:rPr>
        <w:t xml:space="preserve">draft </w:t>
      </w:r>
      <w:r w:rsidR="00604FA3">
        <w:rPr>
          <w:rFonts w:ascii="Arial" w:hAnsi="Arial" w:cs="Arial"/>
          <w:sz w:val="22"/>
          <w:szCs w:val="22"/>
        </w:rPr>
        <w:t>r</w:t>
      </w:r>
      <w:r w:rsidR="00D9029D">
        <w:rPr>
          <w:rFonts w:ascii="Arial" w:hAnsi="Arial" w:cs="Arial"/>
          <w:sz w:val="22"/>
          <w:szCs w:val="22"/>
        </w:rPr>
        <w:t xml:space="preserve">egulatory </w:t>
      </w:r>
      <w:r w:rsidR="00604FA3">
        <w:rPr>
          <w:rFonts w:ascii="Arial" w:hAnsi="Arial" w:cs="Arial"/>
          <w:sz w:val="22"/>
          <w:szCs w:val="22"/>
        </w:rPr>
        <w:t>g</w:t>
      </w:r>
      <w:r w:rsidR="00D9029D">
        <w:rPr>
          <w:rFonts w:ascii="Arial" w:hAnsi="Arial" w:cs="Arial"/>
          <w:sz w:val="22"/>
          <w:szCs w:val="22"/>
        </w:rPr>
        <w:t>uides</w:t>
      </w:r>
      <w:r w:rsidR="009F1809">
        <w:rPr>
          <w:rFonts w:ascii="Arial" w:hAnsi="Arial" w:cs="Arial"/>
          <w:sz w:val="22"/>
          <w:szCs w:val="22"/>
        </w:rPr>
        <w:t xml:space="preserve"> </w:t>
      </w:r>
      <w:r w:rsidR="00496650">
        <w:rPr>
          <w:rFonts w:ascii="Arial" w:hAnsi="Arial" w:cs="Arial"/>
          <w:sz w:val="22"/>
          <w:szCs w:val="22"/>
        </w:rPr>
        <w:t>[DGs]</w:t>
      </w:r>
      <w:r w:rsidR="00D9029D">
        <w:rPr>
          <w:rFonts w:ascii="Arial" w:hAnsi="Arial" w:cs="Arial"/>
          <w:sz w:val="22"/>
          <w:szCs w:val="22"/>
        </w:rPr>
        <w:t>)</w:t>
      </w:r>
      <w:r w:rsidR="008C5D3A">
        <w:rPr>
          <w:rFonts w:ascii="Arial" w:hAnsi="Arial" w:cs="Arial"/>
          <w:sz w:val="22"/>
          <w:szCs w:val="22"/>
        </w:rPr>
        <w:t>,</w:t>
      </w:r>
      <w:r w:rsidR="00D9029D">
        <w:rPr>
          <w:rFonts w:ascii="Arial" w:hAnsi="Arial" w:cs="Arial"/>
          <w:sz w:val="22"/>
          <w:szCs w:val="22"/>
        </w:rPr>
        <w:t xml:space="preserve"> </w:t>
      </w:r>
      <w:r w:rsidR="00A62979">
        <w:rPr>
          <w:rFonts w:ascii="Arial" w:hAnsi="Arial" w:cs="Arial"/>
          <w:sz w:val="22"/>
          <w:szCs w:val="22"/>
        </w:rPr>
        <w:t>including</w:t>
      </w:r>
      <w:r w:rsidRPr="00AF4099">
        <w:rPr>
          <w:rFonts w:ascii="Arial" w:hAnsi="Arial" w:cs="Arial"/>
          <w:sz w:val="22"/>
          <w:szCs w:val="22"/>
        </w:rPr>
        <w:t xml:space="preserve"> </w:t>
      </w:r>
      <w:r w:rsidR="00D9029D">
        <w:rPr>
          <w:rFonts w:ascii="Arial" w:hAnsi="Arial" w:cs="Arial"/>
          <w:sz w:val="22"/>
          <w:szCs w:val="22"/>
        </w:rPr>
        <w:t xml:space="preserve">specific questions </w:t>
      </w:r>
      <w:r w:rsidR="004B16FF">
        <w:rPr>
          <w:rFonts w:ascii="Arial" w:hAnsi="Arial" w:cs="Arial"/>
          <w:sz w:val="22"/>
          <w:szCs w:val="22"/>
        </w:rPr>
        <w:t xml:space="preserve">on these topics </w:t>
      </w:r>
      <w:r w:rsidR="00D9029D">
        <w:rPr>
          <w:rFonts w:ascii="Arial" w:hAnsi="Arial" w:cs="Arial"/>
          <w:sz w:val="22"/>
          <w:szCs w:val="22"/>
        </w:rPr>
        <w:t>that were asked in the FRN.</w:t>
      </w:r>
      <w:r w:rsidR="004815D4">
        <w:rPr>
          <w:rFonts w:ascii="Arial" w:hAnsi="Arial" w:cs="Arial"/>
          <w:sz w:val="22"/>
          <w:szCs w:val="22"/>
        </w:rPr>
        <w:t xml:space="preserve"> </w:t>
      </w:r>
    </w:p>
    <w:p w:rsidR="00337ECC" w:rsidP="51507FE3" w14:paraId="65DDBC50" w14:textId="77777777">
      <w:pPr>
        <w:rPr>
          <w:rFonts w:ascii="Arial" w:hAnsi="Arial" w:cs="Arial"/>
          <w:sz w:val="22"/>
          <w:szCs w:val="22"/>
        </w:rPr>
      </w:pPr>
    </w:p>
    <w:p w:rsidR="003D1532" w:rsidRPr="00AF4099" w:rsidP="00AF4099" w14:paraId="068E399C" w14:textId="77777777">
      <w:pPr>
        <w:rPr>
          <w:rFonts w:ascii="Arial" w:hAnsi="Arial" w:cs="Arial"/>
          <w:sz w:val="22"/>
          <w:szCs w:val="22"/>
        </w:rPr>
      </w:pPr>
      <w:bookmarkStart w:id="0" w:name="_Hlk203648816"/>
      <w:r w:rsidRPr="00505296">
        <w:rPr>
          <w:rFonts w:ascii="Arial" w:hAnsi="Arial" w:cs="Arial"/>
          <w:sz w:val="22"/>
          <w:szCs w:val="22"/>
        </w:rPr>
        <w:t xml:space="preserve">The NRC published the proposed rule in the </w:t>
      </w:r>
      <w:r w:rsidRPr="00505296">
        <w:rPr>
          <w:rFonts w:ascii="Arial" w:hAnsi="Arial" w:cs="Arial"/>
          <w:i/>
          <w:sz w:val="22"/>
          <w:szCs w:val="22"/>
        </w:rPr>
        <w:t xml:space="preserve">Federal Register </w:t>
      </w:r>
      <w:r w:rsidRPr="00505296">
        <w:rPr>
          <w:rFonts w:ascii="Arial" w:hAnsi="Arial" w:cs="Arial"/>
          <w:sz w:val="22"/>
          <w:szCs w:val="22"/>
        </w:rPr>
        <w:t>on October 30, 2024 (89</w:t>
      </w:r>
      <w:r w:rsidR="00C81A07">
        <w:rPr>
          <w:rFonts w:ascii="Arial" w:hAnsi="Arial" w:cs="Arial"/>
          <w:sz w:val="22"/>
          <w:szCs w:val="22"/>
        </w:rPr>
        <w:t> </w:t>
      </w:r>
      <w:r w:rsidRPr="00505296">
        <w:rPr>
          <w:rFonts w:ascii="Arial" w:hAnsi="Arial" w:cs="Arial"/>
          <w:sz w:val="22"/>
          <w:szCs w:val="22"/>
        </w:rPr>
        <w:t>FR</w:t>
      </w:r>
      <w:r w:rsidR="00A66524">
        <w:rPr>
          <w:rFonts w:ascii="Arial" w:hAnsi="Arial" w:cs="Arial"/>
          <w:sz w:val="22"/>
          <w:szCs w:val="22"/>
        </w:rPr>
        <w:t> </w:t>
      </w:r>
      <w:r w:rsidRPr="00505296">
        <w:rPr>
          <w:rFonts w:ascii="Arial" w:hAnsi="Arial" w:cs="Arial"/>
          <w:sz w:val="22"/>
          <w:szCs w:val="22"/>
        </w:rPr>
        <w:t>86918), for public comment with a 60-day public comment period. On November</w:t>
      </w:r>
      <w:r w:rsidR="00A66524">
        <w:rPr>
          <w:rFonts w:ascii="Arial" w:hAnsi="Arial" w:cs="Arial"/>
          <w:sz w:val="22"/>
          <w:szCs w:val="22"/>
        </w:rPr>
        <w:t> </w:t>
      </w:r>
      <w:r w:rsidRPr="00505296">
        <w:rPr>
          <w:rFonts w:ascii="Arial" w:hAnsi="Arial" w:cs="Arial"/>
          <w:sz w:val="22"/>
          <w:szCs w:val="22"/>
        </w:rPr>
        <w:t>21,</w:t>
      </w:r>
      <w:r w:rsidR="00A66524">
        <w:rPr>
          <w:rFonts w:ascii="Arial" w:hAnsi="Arial" w:cs="Arial"/>
          <w:sz w:val="22"/>
          <w:szCs w:val="22"/>
        </w:rPr>
        <w:t> </w:t>
      </w:r>
      <w:r w:rsidRPr="00505296">
        <w:rPr>
          <w:rFonts w:ascii="Arial" w:hAnsi="Arial" w:cs="Arial"/>
          <w:sz w:val="22"/>
          <w:szCs w:val="22"/>
        </w:rPr>
        <w:t xml:space="preserve">2024 (89 FR 92609), the NRC extended the public comment period by an additional 60 days to allow more time for members of the public and other stakeholders to develop and submit their comments. </w:t>
      </w:r>
      <w:bookmarkStart w:id="1" w:name="_Hlk203649180"/>
      <w:bookmarkEnd w:id="0"/>
      <w:r w:rsidRPr="00AF4099">
        <w:rPr>
          <w:rFonts w:ascii="Arial" w:hAnsi="Arial" w:cs="Arial"/>
          <w:sz w:val="22"/>
          <w:szCs w:val="22"/>
        </w:rPr>
        <w:t xml:space="preserve">The proposed rule </w:t>
      </w:r>
      <w:r w:rsidR="00337ECC">
        <w:rPr>
          <w:rFonts w:ascii="Arial" w:hAnsi="Arial" w:cs="Arial"/>
          <w:sz w:val="22"/>
          <w:szCs w:val="22"/>
        </w:rPr>
        <w:t>is</w:t>
      </w:r>
      <w:r w:rsidRPr="00AF4099">
        <w:rPr>
          <w:rFonts w:ascii="Arial" w:hAnsi="Arial" w:cs="Arial"/>
          <w:sz w:val="22"/>
          <w:szCs w:val="22"/>
        </w:rPr>
        <w:t xml:space="preserve"> available from the Federal e</w:t>
      </w:r>
      <w:r w:rsidR="008859E0">
        <w:rPr>
          <w:rFonts w:ascii="Arial" w:hAnsi="Arial" w:cs="Arial"/>
          <w:sz w:val="22"/>
          <w:szCs w:val="22"/>
        </w:rPr>
        <w:noBreakHyphen/>
      </w:r>
      <w:r w:rsidRPr="00AF4099">
        <w:rPr>
          <w:rFonts w:ascii="Arial" w:hAnsi="Arial" w:cs="Arial"/>
          <w:sz w:val="22"/>
          <w:szCs w:val="22"/>
        </w:rPr>
        <w:t xml:space="preserve">Rulemaking </w:t>
      </w:r>
      <w:r w:rsidR="00604FA3">
        <w:rPr>
          <w:rFonts w:ascii="Arial" w:hAnsi="Arial" w:cs="Arial"/>
          <w:sz w:val="22"/>
          <w:szCs w:val="22"/>
        </w:rPr>
        <w:t>w</w:t>
      </w:r>
      <w:r w:rsidRPr="00AF4099">
        <w:rPr>
          <w:rFonts w:ascii="Arial" w:hAnsi="Arial" w:cs="Arial"/>
          <w:sz w:val="22"/>
          <w:szCs w:val="22"/>
        </w:rPr>
        <w:t>ebsite at https://www.regulations.gov/ (Docket ID No. NRC-2019-0062).</w:t>
      </w:r>
      <w:bookmarkEnd w:id="1"/>
    </w:p>
    <w:p w:rsidR="003D4121" w:rsidRPr="00AF4099" w:rsidP="00AF4099" w14:paraId="1944C268" w14:textId="77777777">
      <w:pPr>
        <w:rPr>
          <w:rFonts w:ascii="Arial" w:hAnsi="Arial" w:cs="Arial"/>
          <w:sz w:val="22"/>
          <w:szCs w:val="22"/>
        </w:rPr>
      </w:pPr>
    </w:p>
    <w:p w:rsidR="003D1532" w:rsidRPr="00AF4099" w:rsidP="00AF4099" w14:paraId="7DE2D41D" w14:textId="77777777">
      <w:pPr>
        <w:rPr>
          <w:rFonts w:ascii="Arial" w:hAnsi="Arial" w:cs="Arial"/>
          <w:sz w:val="22"/>
          <w:szCs w:val="22"/>
        </w:rPr>
      </w:pPr>
      <w:r w:rsidRPr="00AF4099">
        <w:rPr>
          <w:rFonts w:ascii="Arial" w:hAnsi="Arial" w:cs="Arial"/>
          <w:sz w:val="22"/>
          <w:szCs w:val="22"/>
        </w:rPr>
        <w:t xml:space="preserve">In developing the final rule and supporting guidance, the NRC considered all the comments provided in response to the proposed rule. If, as a result of its review of a public comment, the NRC changed the rule or the supporting guidance, the NRC’s response to the comment </w:t>
      </w:r>
      <w:r w:rsidR="006A748F">
        <w:rPr>
          <w:rFonts w:ascii="Arial" w:hAnsi="Arial" w:cs="Arial"/>
          <w:sz w:val="22"/>
          <w:szCs w:val="22"/>
        </w:rPr>
        <w:t>describes</w:t>
      </w:r>
      <w:r w:rsidRPr="00AF4099">
        <w:rPr>
          <w:rFonts w:ascii="Arial" w:hAnsi="Arial" w:cs="Arial"/>
          <w:sz w:val="22"/>
          <w:szCs w:val="22"/>
        </w:rPr>
        <w:t xml:space="preserve"> the change. </w:t>
      </w:r>
    </w:p>
    <w:p w:rsidR="00017086" w:rsidRPr="00AF4099" w:rsidP="00AF4099" w14:paraId="01F04F8E" w14:textId="77777777">
      <w:pPr>
        <w:rPr>
          <w:rFonts w:ascii="Arial" w:hAnsi="Arial" w:cs="Arial"/>
          <w:sz w:val="22"/>
          <w:szCs w:val="22"/>
        </w:rPr>
      </w:pPr>
    </w:p>
    <w:p w:rsidR="00017086" w:rsidRPr="00AF4099" w:rsidP="000A3B85" w14:paraId="7B28A72A" w14:textId="77777777">
      <w:pPr>
        <w:spacing w:after="120"/>
        <w:rPr>
          <w:rFonts w:ascii="Arial" w:hAnsi="Arial" w:cs="Arial"/>
          <w:b/>
          <w:sz w:val="22"/>
          <w:szCs w:val="22"/>
        </w:rPr>
      </w:pPr>
      <w:r w:rsidRPr="00AF4099">
        <w:rPr>
          <w:rFonts w:ascii="Arial" w:hAnsi="Arial" w:cs="Arial"/>
          <w:b/>
          <w:sz w:val="22"/>
          <w:szCs w:val="22"/>
        </w:rPr>
        <w:t xml:space="preserve">Comment Overview </w:t>
      </w:r>
    </w:p>
    <w:p w:rsidR="00017086" w:rsidRPr="00AF4099" w:rsidP="00AF4099" w14:paraId="61A1F962" w14:textId="77777777">
      <w:pPr>
        <w:rPr>
          <w:rFonts w:ascii="Arial" w:hAnsi="Arial" w:cs="Arial"/>
          <w:sz w:val="22"/>
          <w:szCs w:val="22"/>
        </w:rPr>
      </w:pPr>
      <w:r w:rsidRPr="00AF4099">
        <w:rPr>
          <w:rFonts w:ascii="Arial" w:hAnsi="Arial" w:cs="Arial"/>
          <w:sz w:val="22"/>
          <w:szCs w:val="22"/>
        </w:rPr>
        <w:t xml:space="preserve">The NRC received </w:t>
      </w:r>
      <w:r w:rsidR="0053338C">
        <w:rPr>
          <w:rFonts w:ascii="Arial" w:hAnsi="Arial" w:cs="Arial"/>
          <w:sz w:val="22"/>
          <w:szCs w:val="22"/>
        </w:rPr>
        <w:t>15</w:t>
      </w:r>
      <w:r w:rsidR="00150F8E">
        <w:rPr>
          <w:rFonts w:ascii="Arial" w:hAnsi="Arial" w:cs="Arial"/>
          <w:sz w:val="22"/>
          <w:szCs w:val="22"/>
        </w:rPr>
        <w:t>2</w:t>
      </w:r>
      <w:r w:rsidR="00E96739">
        <w:rPr>
          <w:rFonts w:ascii="Arial" w:hAnsi="Arial" w:cs="Arial"/>
          <w:sz w:val="22"/>
          <w:szCs w:val="22"/>
        </w:rPr>
        <w:t xml:space="preserve"> unique</w:t>
      </w:r>
      <w:r w:rsidR="0053338C">
        <w:rPr>
          <w:rFonts w:ascii="Arial" w:hAnsi="Arial" w:cs="Arial"/>
          <w:sz w:val="22"/>
          <w:szCs w:val="22"/>
        </w:rPr>
        <w:t xml:space="preserve"> </w:t>
      </w:r>
      <w:r w:rsidRPr="00AF4099">
        <w:rPr>
          <w:rFonts w:ascii="Arial" w:hAnsi="Arial" w:cs="Arial"/>
          <w:sz w:val="22"/>
          <w:szCs w:val="22"/>
        </w:rPr>
        <w:t>comment</w:t>
      </w:r>
      <w:r w:rsidR="0053338C">
        <w:rPr>
          <w:rFonts w:ascii="Arial" w:hAnsi="Arial" w:cs="Arial"/>
          <w:sz w:val="22"/>
          <w:szCs w:val="22"/>
        </w:rPr>
        <w:t xml:space="preserve"> submission</w:t>
      </w:r>
      <w:r w:rsidRPr="00AF4099">
        <w:rPr>
          <w:rFonts w:ascii="Arial" w:hAnsi="Arial" w:cs="Arial"/>
          <w:sz w:val="22"/>
          <w:szCs w:val="22"/>
        </w:rPr>
        <w:t xml:space="preserve">s from </w:t>
      </w:r>
      <w:r w:rsidRPr="00AF4099" w:rsidR="001276A6">
        <w:rPr>
          <w:rFonts w:ascii="Arial" w:hAnsi="Arial" w:cs="Arial"/>
          <w:sz w:val="22"/>
          <w:szCs w:val="22"/>
        </w:rPr>
        <w:t>individuals</w:t>
      </w:r>
      <w:r w:rsidRPr="00AF4099">
        <w:rPr>
          <w:rFonts w:ascii="Arial" w:hAnsi="Arial" w:cs="Arial"/>
          <w:sz w:val="22"/>
          <w:szCs w:val="22"/>
        </w:rPr>
        <w:t xml:space="preserve"> and organizations, with </w:t>
      </w:r>
      <w:r w:rsidRPr="00AF4099" w:rsidR="001276A6">
        <w:rPr>
          <w:rFonts w:ascii="Arial" w:hAnsi="Arial" w:cs="Arial"/>
          <w:sz w:val="22"/>
          <w:szCs w:val="22"/>
        </w:rPr>
        <w:t>915</w:t>
      </w:r>
      <w:r w:rsidRPr="00AF4099">
        <w:rPr>
          <w:rFonts w:ascii="Arial" w:hAnsi="Arial" w:cs="Arial"/>
          <w:sz w:val="22"/>
          <w:szCs w:val="22"/>
        </w:rPr>
        <w:t xml:space="preserve"> </w:t>
      </w:r>
      <w:r w:rsidR="00683474">
        <w:rPr>
          <w:rFonts w:ascii="Arial" w:hAnsi="Arial" w:cs="Arial"/>
          <w:sz w:val="22"/>
          <w:szCs w:val="22"/>
        </w:rPr>
        <w:t xml:space="preserve">identified </w:t>
      </w:r>
      <w:r w:rsidR="009C1AC0">
        <w:rPr>
          <w:rFonts w:ascii="Arial" w:hAnsi="Arial" w:cs="Arial"/>
          <w:sz w:val="22"/>
          <w:szCs w:val="22"/>
        </w:rPr>
        <w:t xml:space="preserve">comments within those comment </w:t>
      </w:r>
      <w:r w:rsidRPr="00AF4099">
        <w:rPr>
          <w:rFonts w:ascii="Arial" w:hAnsi="Arial" w:cs="Arial"/>
          <w:sz w:val="22"/>
          <w:szCs w:val="22"/>
        </w:rPr>
        <w:t xml:space="preserve">submissions. </w:t>
      </w:r>
      <w:r w:rsidR="00DE5EBD">
        <w:rPr>
          <w:rFonts w:ascii="Arial" w:hAnsi="Arial" w:cs="Arial"/>
          <w:sz w:val="22"/>
          <w:szCs w:val="22"/>
        </w:rPr>
        <w:t>In addition to p</w:t>
      </w:r>
      <w:r w:rsidR="00550D98">
        <w:rPr>
          <w:rFonts w:ascii="Arial" w:hAnsi="Arial" w:cs="Arial"/>
          <w:sz w:val="22"/>
          <w:szCs w:val="22"/>
        </w:rPr>
        <w:t>roviding feedback on the proposed rule, many commenters addressed t</w:t>
      </w:r>
      <w:r w:rsidR="009062B6">
        <w:rPr>
          <w:rFonts w:ascii="Arial" w:hAnsi="Arial" w:cs="Arial"/>
          <w:sz w:val="22"/>
          <w:szCs w:val="22"/>
        </w:rPr>
        <w:t xml:space="preserve">he NRC </w:t>
      </w:r>
      <w:r w:rsidR="00550D98">
        <w:rPr>
          <w:rFonts w:ascii="Arial" w:hAnsi="Arial" w:cs="Arial"/>
          <w:sz w:val="22"/>
          <w:szCs w:val="22"/>
        </w:rPr>
        <w:t xml:space="preserve">specific </w:t>
      </w:r>
      <w:r w:rsidR="00712268">
        <w:rPr>
          <w:rFonts w:ascii="Arial" w:hAnsi="Arial" w:cs="Arial"/>
          <w:sz w:val="22"/>
          <w:szCs w:val="22"/>
        </w:rPr>
        <w:t xml:space="preserve">requests for comment </w:t>
      </w:r>
      <w:r w:rsidR="009062B6">
        <w:rPr>
          <w:rFonts w:ascii="Arial" w:hAnsi="Arial" w:cs="Arial"/>
          <w:sz w:val="22"/>
          <w:szCs w:val="22"/>
        </w:rPr>
        <w:t xml:space="preserve">(RFCs) </w:t>
      </w:r>
      <w:r w:rsidR="00712268">
        <w:rPr>
          <w:rFonts w:ascii="Arial" w:hAnsi="Arial" w:cs="Arial"/>
          <w:sz w:val="22"/>
          <w:szCs w:val="22"/>
        </w:rPr>
        <w:t xml:space="preserve">included in the proposed rule </w:t>
      </w:r>
      <w:r w:rsidR="001A4F01">
        <w:rPr>
          <w:rFonts w:ascii="Arial" w:hAnsi="Arial" w:cs="Arial"/>
          <w:sz w:val="22"/>
          <w:szCs w:val="22"/>
        </w:rPr>
        <w:t>FRN</w:t>
      </w:r>
      <w:r w:rsidR="009062B6">
        <w:rPr>
          <w:rFonts w:ascii="Arial" w:hAnsi="Arial" w:cs="Arial"/>
          <w:sz w:val="22"/>
          <w:szCs w:val="22"/>
        </w:rPr>
        <w:t xml:space="preserve">. </w:t>
      </w:r>
      <w:r w:rsidRPr="00AF4099" w:rsidR="009F434D">
        <w:rPr>
          <w:rFonts w:ascii="Arial" w:hAnsi="Arial" w:cs="Arial"/>
          <w:sz w:val="22"/>
          <w:szCs w:val="22"/>
        </w:rPr>
        <w:t xml:space="preserve">Table 1 identifies all unique </w:t>
      </w:r>
      <w:r w:rsidR="009C1AC0">
        <w:rPr>
          <w:rFonts w:ascii="Arial" w:hAnsi="Arial" w:cs="Arial"/>
          <w:sz w:val="22"/>
          <w:szCs w:val="22"/>
        </w:rPr>
        <w:t xml:space="preserve">comment </w:t>
      </w:r>
      <w:r w:rsidRPr="00AF4099" w:rsidR="009F434D">
        <w:rPr>
          <w:rFonts w:ascii="Arial" w:hAnsi="Arial" w:cs="Arial"/>
          <w:sz w:val="22"/>
          <w:szCs w:val="22"/>
        </w:rPr>
        <w:t>submissions. The NRC reviewed and annotated the comment submissions to identify separate comments within each submission. Accordingly, a single submission may have several individual comments associated with it. The NRC gave each individual comment within a submission a unique identifier. The NRC’s summaries include this unique identifier to identify which individual comments are addressed by each response.</w:t>
      </w:r>
    </w:p>
    <w:p w:rsidR="001D6BDC" w:rsidRPr="00AF4099" w:rsidP="00AF4099" w14:paraId="1DE91093" w14:textId="77777777">
      <w:pPr>
        <w:rPr>
          <w:rFonts w:ascii="Arial" w:hAnsi="Arial" w:cs="Arial"/>
        </w:rPr>
      </w:pPr>
    </w:p>
    <w:p w:rsidR="006E7B3A" w14:paraId="112DA76E" w14:textId="77777777">
      <w:pPr>
        <w:spacing w:after="160" w:line="259" w:lineRule="auto"/>
        <w:rPr>
          <w:rFonts w:ascii="Arial" w:eastAsia="Arial" w:hAnsi="Arial" w:cs="Arial"/>
          <w:b/>
          <w:sz w:val="22"/>
          <w:szCs w:val="22"/>
        </w:rPr>
      </w:pPr>
      <w:r>
        <w:rPr>
          <w:rFonts w:ascii="Arial" w:eastAsia="Arial" w:hAnsi="Arial" w:cs="Arial"/>
          <w:b/>
          <w:sz w:val="22"/>
          <w:szCs w:val="22"/>
        </w:rPr>
        <w:br w:type="page"/>
      </w:r>
    </w:p>
    <w:p w:rsidR="001D6BDC" w:rsidRPr="00AF4099" w:rsidP="00AF4099" w14:paraId="1F7CDA24" w14:textId="77777777">
      <w:pPr>
        <w:jc w:val="center"/>
        <w:rPr>
          <w:rFonts w:ascii="Arial" w:hAnsi="Arial" w:cs="Arial"/>
          <w:sz w:val="22"/>
          <w:szCs w:val="22"/>
        </w:rPr>
      </w:pPr>
      <w:r w:rsidRPr="00AF4099">
        <w:rPr>
          <w:rFonts w:ascii="Arial" w:eastAsia="Arial" w:hAnsi="Arial" w:cs="Arial"/>
          <w:b/>
          <w:sz w:val="22"/>
          <w:szCs w:val="22"/>
        </w:rPr>
        <w:t>Table 1.  Unique Comment Submissions on Part 53 Proposed Rule</w:t>
      </w:r>
    </w:p>
    <w:p w:rsidR="001D6BDC" w:rsidRPr="009F434D" w:rsidP="001D6BDC" w14:paraId="13C94CE1" w14:textId="77777777">
      <w:pPr>
        <w:contextualSpacing/>
        <w:rPr>
          <w:rFonts w:ascii="Arial" w:hAnsi="Arial" w:cs="Arial"/>
        </w:rPr>
      </w:pPr>
    </w:p>
    <w:tbl>
      <w:tblPr>
        <w:tblStyle w:val="TableGrid2"/>
        <w:tblW w:w="9350" w:type="dxa"/>
        <w:jc w:val="center"/>
        <w:tblLayout w:type="fixed"/>
        <w:tblLook w:val="04A0"/>
      </w:tblPr>
      <w:tblGrid>
        <w:gridCol w:w="1435"/>
        <w:gridCol w:w="1440"/>
        <w:gridCol w:w="1530"/>
        <w:gridCol w:w="1440"/>
        <w:gridCol w:w="1890"/>
        <w:gridCol w:w="1615"/>
      </w:tblGrid>
      <w:tr w14:paraId="0299B4DD" w14:textId="77777777" w:rsidTr="00790E76">
        <w:tblPrEx>
          <w:tblW w:w="9350" w:type="dxa"/>
          <w:jc w:val="center"/>
          <w:tblLayout w:type="fixed"/>
          <w:tblLook w:val="04A0"/>
        </w:tblPrEx>
        <w:trPr>
          <w:trHeight w:val="539"/>
          <w:tblHeader/>
          <w:jc w:val="center"/>
        </w:trPr>
        <w:tc>
          <w:tcPr>
            <w:tcW w:w="1435" w:type="dxa"/>
            <w:vAlign w:val="center"/>
          </w:tcPr>
          <w:p w:rsidR="00E041DA" w:rsidRPr="00416290" w:rsidP="0024579F" w14:paraId="2C971740" w14:textId="77777777">
            <w:pPr>
              <w:spacing w:line="259" w:lineRule="auto"/>
              <w:jc w:val="center"/>
              <w:rPr>
                <w:rFonts w:ascii="Arial" w:hAnsi="Arial" w:cs="Arial"/>
              </w:rPr>
            </w:pPr>
            <w:r w:rsidRPr="00416290">
              <w:rPr>
                <w:rFonts w:ascii="Arial" w:eastAsia="Times New Roman" w:hAnsi="Arial" w:cs="Arial"/>
                <w:lang w:eastAsia="zh-CN"/>
              </w:rPr>
              <w:br w:type="page"/>
            </w:r>
            <w:r w:rsidRPr="00416290">
              <w:rPr>
                <w:rFonts w:ascii="Arial" w:eastAsia="Arial" w:hAnsi="Arial" w:cs="Arial"/>
                <w:b/>
                <w:sz w:val="20"/>
              </w:rPr>
              <w:t>Submission No.</w:t>
            </w:r>
          </w:p>
        </w:tc>
        <w:tc>
          <w:tcPr>
            <w:tcW w:w="1440" w:type="dxa"/>
            <w:vAlign w:val="center"/>
          </w:tcPr>
          <w:p w:rsidR="00E041DA" w:rsidRPr="00416290" w:rsidP="0024579F" w14:paraId="3B63BEFA" w14:textId="77777777">
            <w:pPr>
              <w:spacing w:line="259" w:lineRule="auto"/>
              <w:ind w:right="56"/>
              <w:jc w:val="center"/>
              <w:rPr>
                <w:rFonts w:ascii="Arial" w:hAnsi="Arial" w:cs="Arial"/>
              </w:rPr>
            </w:pPr>
            <w:r w:rsidRPr="00416290">
              <w:rPr>
                <w:rFonts w:ascii="Arial" w:eastAsia="Arial" w:hAnsi="Arial" w:cs="Arial"/>
                <w:b/>
                <w:sz w:val="20"/>
              </w:rPr>
              <w:t>Commenter</w:t>
            </w:r>
          </w:p>
        </w:tc>
        <w:tc>
          <w:tcPr>
            <w:tcW w:w="1530" w:type="dxa"/>
            <w:vAlign w:val="center"/>
          </w:tcPr>
          <w:p w:rsidR="00E041DA" w:rsidRPr="00416290" w:rsidP="0024579F" w14:paraId="7CA256A8" w14:textId="77777777">
            <w:pPr>
              <w:spacing w:line="259" w:lineRule="auto"/>
              <w:ind w:right="54"/>
              <w:jc w:val="center"/>
              <w:rPr>
                <w:rFonts w:ascii="Arial" w:hAnsi="Arial" w:cs="Arial"/>
              </w:rPr>
            </w:pPr>
            <w:r w:rsidRPr="00416290">
              <w:rPr>
                <w:rFonts w:ascii="Arial" w:eastAsia="Arial" w:hAnsi="Arial" w:cs="Arial"/>
                <w:b/>
                <w:sz w:val="20"/>
              </w:rPr>
              <w:t>Affiliation</w:t>
            </w:r>
          </w:p>
        </w:tc>
        <w:tc>
          <w:tcPr>
            <w:tcW w:w="1440" w:type="dxa"/>
            <w:vAlign w:val="center"/>
          </w:tcPr>
          <w:p w:rsidR="00E041DA" w:rsidRPr="00416290" w:rsidP="0024579F" w14:paraId="7AE36310" w14:textId="77777777">
            <w:pPr>
              <w:spacing w:line="259" w:lineRule="auto"/>
              <w:jc w:val="center"/>
              <w:rPr>
                <w:rFonts w:ascii="Arial" w:hAnsi="Arial" w:cs="Arial"/>
              </w:rPr>
            </w:pPr>
            <w:r w:rsidRPr="00416290">
              <w:rPr>
                <w:rFonts w:ascii="Arial" w:eastAsia="Arial" w:hAnsi="Arial" w:cs="Arial"/>
                <w:b/>
                <w:sz w:val="20"/>
              </w:rPr>
              <w:t>Submission Abbreviation</w:t>
            </w:r>
          </w:p>
        </w:tc>
        <w:tc>
          <w:tcPr>
            <w:tcW w:w="1890" w:type="dxa"/>
            <w:vAlign w:val="center"/>
          </w:tcPr>
          <w:p w:rsidR="00E041DA" w:rsidP="0024579F" w14:paraId="005C5CB8" w14:textId="77777777">
            <w:pPr>
              <w:spacing w:after="15" w:line="259" w:lineRule="auto"/>
              <w:ind w:right="55"/>
              <w:jc w:val="center"/>
              <w:rPr>
                <w:rFonts w:ascii="Arial" w:eastAsia="Arial" w:hAnsi="Arial" w:cs="Arial"/>
                <w:b/>
                <w:sz w:val="20"/>
              </w:rPr>
            </w:pPr>
            <w:r>
              <w:rPr>
                <w:rFonts w:ascii="Arial" w:eastAsia="Arial" w:hAnsi="Arial" w:cs="Arial"/>
                <w:b/>
                <w:sz w:val="20"/>
              </w:rPr>
              <w:t>Regulations.gov</w:t>
            </w:r>
          </w:p>
          <w:p w:rsidR="00E041DA" w:rsidRPr="00416290" w:rsidP="0024579F" w14:paraId="725DB4B7" w14:textId="77777777">
            <w:pPr>
              <w:spacing w:after="15" w:line="259" w:lineRule="auto"/>
              <w:ind w:right="55"/>
              <w:jc w:val="center"/>
              <w:rPr>
                <w:rFonts w:ascii="Arial" w:eastAsia="Arial" w:hAnsi="Arial" w:cs="Arial"/>
                <w:b/>
                <w:sz w:val="20"/>
              </w:rPr>
            </w:pPr>
            <w:r>
              <w:rPr>
                <w:rFonts w:ascii="Arial" w:eastAsia="Arial" w:hAnsi="Arial" w:cs="Arial"/>
                <w:b/>
                <w:sz w:val="20"/>
              </w:rPr>
              <w:t>ID No.</w:t>
            </w:r>
          </w:p>
        </w:tc>
        <w:tc>
          <w:tcPr>
            <w:tcW w:w="1615" w:type="dxa"/>
            <w:vAlign w:val="center"/>
          </w:tcPr>
          <w:p w:rsidR="00E041DA" w:rsidRPr="00416290" w:rsidP="0024579F" w14:paraId="0FEAC154" w14:textId="77777777">
            <w:pPr>
              <w:spacing w:after="15" w:line="259" w:lineRule="auto"/>
              <w:ind w:right="55"/>
              <w:jc w:val="center"/>
              <w:rPr>
                <w:rFonts w:ascii="Arial" w:hAnsi="Arial" w:cs="Arial"/>
              </w:rPr>
            </w:pPr>
            <w:r w:rsidRPr="00416290">
              <w:rPr>
                <w:rFonts w:ascii="Arial" w:eastAsia="Arial" w:hAnsi="Arial" w:cs="Arial"/>
                <w:b/>
                <w:sz w:val="20"/>
              </w:rPr>
              <w:t>ADAMS</w:t>
            </w:r>
          </w:p>
          <w:p w:rsidR="00E041DA" w:rsidRPr="00416290" w:rsidP="00790E76" w14:paraId="3C076425" w14:textId="77777777">
            <w:pPr>
              <w:spacing w:line="259" w:lineRule="auto"/>
              <w:jc w:val="center"/>
              <w:rPr>
                <w:rFonts w:ascii="Arial" w:hAnsi="Arial" w:cs="Arial"/>
              </w:rPr>
            </w:pPr>
            <w:r w:rsidRPr="00416290">
              <w:rPr>
                <w:rFonts w:ascii="Arial" w:eastAsia="Arial" w:hAnsi="Arial" w:cs="Arial"/>
                <w:b/>
                <w:sz w:val="20"/>
              </w:rPr>
              <w:t>Accession No.</w:t>
            </w:r>
          </w:p>
        </w:tc>
      </w:tr>
      <w:tr w14:paraId="52FF043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DBC38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001</w:t>
            </w:r>
          </w:p>
        </w:tc>
        <w:tc>
          <w:tcPr>
            <w:tcW w:w="1440" w:type="dxa"/>
            <w:noWrap/>
            <w:hideMark/>
          </w:tcPr>
          <w:p w:rsidR="00E041DA" w:rsidRPr="006054CC" w:rsidP="00E041DA" w14:paraId="18CEC6D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Marcus Nichol</w:t>
            </w:r>
          </w:p>
        </w:tc>
        <w:tc>
          <w:tcPr>
            <w:tcW w:w="1530" w:type="dxa"/>
            <w:noWrap/>
            <w:hideMark/>
          </w:tcPr>
          <w:p w:rsidR="00E041DA" w:rsidRPr="006054CC" w:rsidP="00E041DA" w14:paraId="4FAFB50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Energy Institute</w:t>
            </w:r>
          </w:p>
        </w:tc>
        <w:tc>
          <w:tcPr>
            <w:tcW w:w="1440" w:type="dxa"/>
            <w:noWrap/>
            <w:hideMark/>
          </w:tcPr>
          <w:p w:rsidR="00E041DA" w:rsidRPr="006054CC" w:rsidP="00E041DA" w14:paraId="22C1600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NEI1</w:t>
            </w:r>
          </w:p>
        </w:tc>
        <w:tc>
          <w:tcPr>
            <w:tcW w:w="1890" w:type="dxa"/>
          </w:tcPr>
          <w:p w:rsidR="00E041DA" w:rsidRPr="006054CC" w:rsidP="00E041DA" w14:paraId="6F8CED9D"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NRC-2019-0062-0331</w:t>
            </w:r>
          </w:p>
        </w:tc>
        <w:tc>
          <w:tcPr>
            <w:tcW w:w="1615" w:type="dxa"/>
            <w:noWrap/>
            <w:hideMark/>
          </w:tcPr>
          <w:p w:rsidR="00E041DA" w:rsidRPr="006054CC" w:rsidP="00E041DA" w14:paraId="0C8485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ML24310A055</w:t>
            </w:r>
          </w:p>
        </w:tc>
      </w:tr>
      <w:tr w14:paraId="0C9AF47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C5130C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002</w:t>
            </w:r>
          </w:p>
        </w:tc>
        <w:tc>
          <w:tcPr>
            <w:tcW w:w="1440" w:type="dxa"/>
            <w:noWrap/>
            <w:hideMark/>
          </w:tcPr>
          <w:p w:rsidR="00E041DA" w:rsidRPr="006054CC" w:rsidP="00E041DA" w14:paraId="71C9461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Patrick White</w:t>
            </w:r>
          </w:p>
        </w:tc>
        <w:tc>
          <w:tcPr>
            <w:tcW w:w="1530" w:type="dxa"/>
            <w:noWrap/>
            <w:hideMark/>
          </w:tcPr>
          <w:p w:rsidR="00E041DA" w:rsidRPr="006054CC" w:rsidP="00E041DA" w14:paraId="5192CD9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Innovation Alliance</w:t>
            </w:r>
          </w:p>
        </w:tc>
        <w:tc>
          <w:tcPr>
            <w:tcW w:w="1440" w:type="dxa"/>
            <w:noWrap/>
            <w:hideMark/>
          </w:tcPr>
          <w:p w:rsidR="00E041DA" w:rsidRPr="006054CC" w:rsidP="00E041DA" w14:paraId="07E6607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NIA1</w:t>
            </w:r>
          </w:p>
        </w:tc>
        <w:tc>
          <w:tcPr>
            <w:tcW w:w="1890" w:type="dxa"/>
          </w:tcPr>
          <w:p w:rsidR="00E041DA" w:rsidRPr="006054CC" w:rsidP="00E041DA" w14:paraId="2C10898E"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NRC-2019-0062-0332</w:t>
            </w:r>
          </w:p>
        </w:tc>
        <w:tc>
          <w:tcPr>
            <w:tcW w:w="1615" w:type="dxa"/>
            <w:noWrap/>
            <w:hideMark/>
          </w:tcPr>
          <w:p w:rsidR="00E041DA" w:rsidRPr="006054CC" w:rsidP="00E041DA" w14:paraId="1179E6E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ML24312A204</w:t>
            </w:r>
          </w:p>
        </w:tc>
      </w:tr>
      <w:tr w14:paraId="273309C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FA26CC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003</w:t>
            </w:r>
          </w:p>
        </w:tc>
        <w:tc>
          <w:tcPr>
            <w:tcW w:w="1440" w:type="dxa"/>
            <w:noWrap/>
            <w:hideMark/>
          </w:tcPr>
          <w:p w:rsidR="00E041DA" w:rsidRPr="006054CC" w:rsidP="00E041DA" w14:paraId="0534C4F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Alyse Peterson</w:t>
            </w:r>
          </w:p>
        </w:tc>
        <w:tc>
          <w:tcPr>
            <w:tcW w:w="1530" w:type="dxa"/>
            <w:noWrap/>
            <w:hideMark/>
          </w:tcPr>
          <w:p w:rsidR="00E041DA" w:rsidRPr="006054CC" w:rsidP="00E041DA" w14:paraId="547454E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New York State Energy Research and Development Authority (NYSERDA)</w:t>
            </w:r>
          </w:p>
        </w:tc>
        <w:tc>
          <w:tcPr>
            <w:tcW w:w="1440" w:type="dxa"/>
            <w:noWrap/>
            <w:hideMark/>
          </w:tcPr>
          <w:p w:rsidR="00E041DA" w:rsidRPr="006054CC" w:rsidP="00E041DA" w14:paraId="0DE9E55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NYS1</w:t>
            </w:r>
          </w:p>
        </w:tc>
        <w:tc>
          <w:tcPr>
            <w:tcW w:w="1890" w:type="dxa"/>
          </w:tcPr>
          <w:p w:rsidR="00E041DA" w:rsidRPr="006054CC" w:rsidP="00E041DA" w14:paraId="611099D1"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NRC-2019-0062-0333</w:t>
            </w:r>
          </w:p>
        </w:tc>
        <w:tc>
          <w:tcPr>
            <w:tcW w:w="1615" w:type="dxa"/>
            <w:noWrap/>
            <w:hideMark/>
          </w:tcPr>
          <w:p w:rsidR="00E041DA" w:rsidRPr="006054CC" w:rsidP="00E041DA" w14:paraId="54E9C4E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ML24312A205</w:t>
            </w:r>
          </w:p>
        </w:tc>
      </w:tr>
      <w:tr w14:paraId="126F75D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C0A5A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004</w:t>
            </w:r>
          </w:p>
        </w:tc>
        <w:tc>
          <w:tcPr>
            <w:tcW w:w="1440" w:type="dxa"/>
            <w:noWrap/>
            <w:hideMark/>
          </w:tcPr>
          <w:p w:rsidR="00E041DA" w:rsidRPr="006054CC" w:rsidP="00E041DA" w14:paraId="64485A9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Ravnitzky</w:t>
            </w:r>
          </w:p>
        </w:tc>
        <w:tc>
          <w:tcPr>
            <w:tcW w:w="1530" w:type="dxa"/>
            <w:noWrap/>
            <w:hideMark/>
          </w:tcPr>
          <w:p w:rsidR="00E041DA" w:rsidRPr="006054CC" w:rsidP="00E041DA" w14:paraId="46C7D01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A869A2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MR</w:t>
            </w:r>
          </w:p>
        </w:tc>
        <w:tc>
          <w:tcPr>
            <w:tcW w:w="1890" w:type="dxa"/>
          </w:tcPr>
          <w:p w:rsidR="00E041DA" w:rsidRPr="006054CC" w:rsidP="00E041DA" w14:paraId="18D5CDC6"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NRC-2019-0062-0334</w:t>
            </w:r>
          </w:p>
        </w:tc>
        <w:tc>
          <w:tcPr>
            <w:tcW w:w="1615" w:type="dxa"/>
            <w:noWrap/>
            <w:hideMark/>
          </w:tcPr>
          <w:p w:rsidR="00E041DA" w:rsidRPr="006054CC" w:rsidP="00E041DA" w14:paraId="5D43F08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ML24312A206</w:t>
            </w:r>
          </w:p>
        </w:tc>
      </w:tr>
      <w:tr w14:paraId="4D4EA8B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9076F5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005</w:t>
            </w:r>
          </w:p>
        </w:tc>
        <w:tc>
          <w:tcPr>
            <w:tcW w:w="1440" w:type="dxa"/>
            <w:noWrap/>
            <w:hideMark/>
          </w:tcPr>
          <w:p w:rsidR="00E041DA" w:rsidRPr="006054CC" w:rsidP="00E041DA" w14:paraId="0D4696E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818B8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767D52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w:t>
            </w:r>
          </w:p>
        </w:tc>
        <w:tc>
          <w:tcPr>
            <w:tcW w:w="1890" w:type="dxa"/>
          </w:tcPr>
          <w:p w:rsidR="00E041DA" w:rsidRPr="006054CC" w:rsidP="00E041DA" w14:paraId="05695C24"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NRC-2019-0062-0335</w:t>
            </w:r>
          </w:p>
        </w:tc>
        <w:tc>
          <w:tcPr>
            <w:tcW w:w="1615" w:type="dxa"/>
            <w:noWrap/>
            <w:hideMark/>
          </w:tcPr>
          <w:p w:rsidR="00E041DA" w:rsidRPr="006054CC" w:rsidP="00E041DA" w14:paraId="360087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ML24317A217</w:t>
            </w:r>
          </w:p>
        </w:tc>
      </w:tr>
      <w:tr w14:paraId="5E8DC68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DABF08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006</w:t>
            </w:r>
          </w:p>
        </w:tc>
        <w:tc>
          <w:tcPr>
            <w:tcW w:w="1440" w:type="dxa"/>
            <w:noWrap/>
            <w:hideMark/>
          </w:tcPr>
          <w:p w:rsidR="00E041DA" w:rsidRPr="006054CC" w:rsidP="00E041DA" w14:paraId="2837B9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7CD31A8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9AE1A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w:t>
            </w:r>
          </w:p>
        </w:tc>
        <w:tc>
          <w:tcPr>
            <w:tcW w:w="1890" w:type="dxa"/>
          </w:tcPr>
          <w:p w:rsidR="00E041DA" w:rsidRPr="006054CC" w:rsidP="00E041DA" w14:paraId="372F9F98"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NRC-2019-0062-0336</w:t>
            </w:r>
          </w:p>
        </w:tc>
        <w:tc>
          <w:tcPr>
            <w:tcW w:w="1615" w:type="dxa"/>
            <w:noWrap/>
            <w:hideMark/>
          </w:tcPr>
          <w:p w:rsidR="00E041DA" w:rsidRPr="006054CC" w:rsidP="00E041DA" w14:paraId="390A633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ML24317A219</w:t>
            </w:r>
          </w:p>
        </w:tc>
      </w:tr>
      <w:tr w14:paraId="194DAA0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006A2D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007</w:t>
            </w:r>
          </w:p>
        </w:tc>
        <w:tc>
          <w:tcPr>
            <w:tcW w:w="1440" w:type="dxa"/>
            <w:noWrap/>
            <w:hideMark/>
          </w:tcPr>
          <w:p w:rsidR="00E041DA" w:rsidRPr="006054CC" w:rsidP="00E041DA" w14:paraId="19A275A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888C6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242C89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TG3</w:t>
            </w:r>
          </w:p>
        </w:tc>
        <w:tc>
          <w:tcPr>
            <w:tcW w:w="1890" w:type="dxa"/>
          </w:tcPr>
          <w:p w:rsidR="00E041DA" w:rsidRPr="006054CC" w:rsidP="00E041DA" w14:paraId="57159C71"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NRC-2019-0062-0339</w:t>
            </w:r>
          </w:p>
        </w:tc>
        <w:tc>
          <w:tcPr>
            <w:tcW w:w="1615" w:type="dxa"/>
            <w:noWrap/>
            <w:hideMark/>
          </w:tcPr>
          <w:p w:rsidR="00E041DA" w:rsidRPr="006054CC" w:rsidP="00E041DA" w14:paraId="731F780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ML24320A011</w:t>
            </w:r>
          </w:p>
        </w:tc>
      </w:tr>
      <w:tr w14:paraId="6E8AD97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380624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008</w:t>
            </w:r>
          </w:p>
        </w:tc>
        <w:tc>
          <w:tcPr>
            <w:tcW w:w="1440" w:type="dxa"/>
            <w:noWrap/>
            <w:hideMark/>
          </w:tcPr>
          <w:p w:rsidR="00E041DA" w:rsidRPr="006054CC" w:rsidP="00E041DA" w14:paraId="7F46025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Cyril Draffin</w:t>
            </w:r>
          </w:p>
        </w:tc>
        <w:tc>
          <w:tcPr>
            <w:tcW w:w="1530" w:type="dxa"/>
            <w:noWrap/>
            <w:hideMark/>
          </w:tcPr>
          <w:p w:rsidR="00E041DA" w:rsidRPr="006054CC" w:rsidP="00E041DA" w14:paraId="3BD3F22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United States Nuclear Industry Council (USNIC)</w:t>
            </w:r>
          </w:p>
        </w:tc>
        <w:tc>
          <w:tcPr>
            <w:tcW w:w="1440" w:type="dxa"/>
            <w:noWrap/>
            <w:hideMark/>
          </w:tcPr>
          <w:p w:rsidR="00E041DA" w:rsidRPr="006054CC" w:rsidP="00E041DA" w14:paraId="4CFDD7C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USNIC1</w:t>
            </w:r>
          </w:p>
        </w:tc>
        <w:tc>
          <w:tcPr>
            <w:tcW w:w="1890" w:type="dxa"/>
          </w:tcPr>
          <w:p w:rsidR="00E041DA" w:rsidRPr="006054CC" w:rsidP="00E041DA" w14:paraId="414CA332" w14:textId="77777777">
            <w:pPr>
              <w:jc w:val="center"/>
              <w:rPr>
                <w:rFonts w:ascii="Arial" w:eastAsia="Times New Roman" w:hAnsi="Arial" w:cs="Arial"/>
                <w:color w:val="000000"/>
                <w:sz w:val="20"/>
                <w:szCs w:val="20"/>
              </w:rPr>
            </w:pPr>
            <w:r>
              <w:rPr>
                <w:rFonts w:ascii="Arial" w:hAnsi="Arial" w:cs="Arial"/>
                <w:color w:val="000000"/>
                <w:sz w:val="20"/>
                <w:szCs w:val="20"/>
              </w:rPr>
              <w:t>NRC-2019-0062-0338</w:t>
            </w:r>
          </w:p>
        </w:tc>
        <w:tc>
          <w:tcPr>
            <w:tcW w:w="1615" w:type="dxa"/>
            <w:noWrap/>
            <w:hideMark/>
          </w:tcPr>
          <w:p w:rsidR="00E041DA" w:rsidRPr="006054CC" w:rsidP="00E041DA" w14:paraId="341D99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ML24323A150</w:t>
            </w:r>
          </w:p>
        </w:tc>
      </w:tr>
      <w:tr w14:paraId="3563E37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FC4D2C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009</w:t>
            </w:r>
          </w:p>
        </w:tc>
        <w:tc>
          <w:tcPr>
            <w:tcW w:w="1440" w:type="dxa"/>
            <w:noWrap/>
            <w:hideMark/>
          </w:tcPr>
          <w:p w:rsidR="00E041DA" w:rsidRPr="006054CC" w:rsidP="00E041DA" w14:paraId="1CD76A4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F14BF9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2A060A1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TG4</w:t>
            </w:r>
          </w:p>
        </w:tc>
        <w:tc>
          <w:tcPr>
            <w:tcW w:w="1890" w:type="dxa"/>
          </w:tcPr>
          <w:p w:rsidR="00E041DA" w:rsidRPr="006054CC" w:rsidP="00E041DA" w14:paraId="44BE348D" w14:textId="77777777">
            <w:pPr>
              <w:jc w:val="center"/>
              <w:rPr>
                <w:rFonts w:ascii="Arial" w:eastAsia="Times New Roman" w:hAnsi="Arial" w:cs="Arial"/>
                <w:color w:val="000000"/>
                <w:sz w:val="20"/>
                <w:szCs w:val="20"/>
              </w:rPr>
            </w:pPr>
            <w:r>
              <w:rPr>
                <w:rFonts w:ascii="Arial" w:hAnsi="Arial" w:cs="Arial"/>
                <w:color w:val="000000"/>
                <w:sz w:val="20"/>
                <w:szCs w:val="20"/>
              </w:rPr>
              <w:t>NRC-2019-0062-0347</w:t>
            </w:r>
          </w:p>
        </w:tc>
        <w:tc>
          <w:tcPr>
            <w:tcW w:w="1615" w:type="dxa"/>
            <w:noWrap/>
            <w:hideMark/>
          </w:tcPr>
          <w:p w:rsidR="00E041DA" w:rsidRPr="006054CC" w:rsidP="00E041DA" w14:paraId="4FF2EC6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ML24323AA151</w:t>
            </w:r>
          </w:p>
        </w:tc>
      </w:tr>
      <w:tr w14:paraId="0F265581"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41A20F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010</w:t>
            </w:r>
          </w:p>
        </w:tc>
        <w:tc>
          <w:tcPr>
            <w:tcW w:w="1440" w:type="dxa"/>
            <w:noWrap/>
            <w:hideMark/>
          </w:tcPr>
          <w:p w:rsidR="00E041DA" w:rsidRPr="006054CC" w:rsidP="00E041DA" w14:paraId="096FDB0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F. Keller</w:t>
            </w:r>
          </w:p>
        </w:tc>
        <w:tc>
          <w:tcPr>
            <w:tcW w:w="1530" w:type="dxa"/>
            <w:noWrap/>
            <w:hideMark/>
          </w:tcPr>
          <w:p w:rsidR="00E041DA" w:rsidRPr="006054CC" w:rsidP="00E041DA" w14:paraId="23319A7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0FEBC2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w:t>
            </w:r>
          </w:p>
        </w:tc>
        <w:tc>
          <w:tcPr>
            <w:tcW w:w="1890" w:type="dxa"/>
          </w:tcPr>
          <w:p w:rsidR="00E041DA" w:rsidRPr="006054CC" w:rsidP="00E041DA" w14:paraId="07856C4E"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NRC-2019-0062-0340</w:t>
            </w:r>
          </w:p>
        </w:tc>
        <w:tc>
          <w:tcPr>
            <w:tcW w:w="1615" w:type="dxa"/>
            <w:noWrap/>
            <w:hideMark/>
          </w:tcPr>
          <w:p w:rsidR="00E041DA" w:rsidRPr="006054CC" w:rsidP="00E041DA" w14:paraId="2498A60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ML24324A030</w:t>
            </w:r>
          </w:p>
        </w:tc>
      </w:tr>
      <w:tr w14:paraId="4C93B15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CAAEC1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011</w:t>
            </w:r>
          </w:p>
        </w:tc>
        <w:tc>
          <w:tcPr>
            <w:tcW w:w="1440" w:type="dxa"/>
            <w:noWrap/>
            <w:hideMark/>
          </w:tcPr>
          <w:p w:rsidR="00E041DA" w:rsidRPr="006054CC" w:rsidP="00E041DA" w14:paraId="5430DB7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Sarah Gibboney</w:t>
            </w:r>
          </w:p>
        </w:tc>
        <w:tc>
          <w:tcPr>
            <w:tcW w:w="1530" w:type="dxa"/>
            <w:noWrap/>
            <w:hideMark/>
          </w:tcPr>
          <w:p w:rsidR="00E041DA" w:rsidRPr="006054CC" w:rsidP="00E041DA" w14:paraId="71614B2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C8C59C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SG1</w:t>
            </w:r>
          </w:p>
        </w:tc>
        <w:tc>
          <w:tcPr>
            <w:tcW w:w="1890" w:type="dxa"/>
          </w:tcPr>
          <w:p w:rsidR="00E041DA" w:rsidRPr="006054CC" w:rsidP="00E041DA" w14:paraId="6F5DF073"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NRC-2019-0062-0341</w:t>
            </w:r>
          </w:p>
        </w:tc>
        <w:tc>
          <w:tcPr>
            <w:tcW w:w="1615" w:type="dxa"/>
            <w:noWrap/>
            <w:hideMark/>
          </w:tcPr>
          <w:p w:rsidR="00E041DA" w:rsidRPr="006054CC" w:rsidP="00E041DA" w14:paraId="01DE69F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ML24325A478</w:t>
            </w:r>
          </w:p>
        </w:tc>
      </w:tr>
      <w:tr w14:paraId="52AE48C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90778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012</w:t>
            </w:r>
          </w:p>
        </w:tc>
        <w:tc>
          <w:tcPr>
            <w:tcW w:w="1440" w:type="dxa"/>
            <w:noWrap/>
            <w:hideMark/>
          </w:tcPr>
          <w:p w:rsidR="00E041DA" w:rsidRPr="006054CC" w:rsidP="00E041DA" w14:paraId="0EB6110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Sarah Gibboney</w:t>
            </w:r>
          </w:p>
        </w:tc>
        <w:tc>
          <w:tcPr>
            <w:tcW w:w="1530" w:type="dxa"/>
            <w:noWrap/>
            <w:hideMark/>
          </w:tcPr>
          <w:p w:rsidR="00E041DA" w:rsidRPr="006054CC" w:rsidP="00E041DA" w14:paraId="79B834F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2AD42E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SG2</w:t>
            </w:r>
          </w:p>
        </w:tc>
        <w:tc>
          <w:tcPr>
            <w:tcW w:w="1890" w:type="dxa"/>
          </w:tcPr>
          <w:p w:rsidR="00E041DA" w:rsidRPr="006054CC" w:rsidP="00E041DA" w14:paraId="29026DFD"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NRC-2019-0062-0342</w:t>
            </w:r>
          </w:p>
        </w:tc>
        <w:tc>
          <w:tcPr>
            <w:tcW w:w="1615" w:type="dxa"/>
            <w:noWrap/>
            <w:hideMark/>
          </w:tcPr>
          <w:p w:rsidR="00E041DA" w:rsidRPr="006054CC" w:rsidP="00E041DA" w14:paraId="5D42471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ML24325A479</w:t>
            </w:r>
          </w:p>
        </w:tc>
      </w:tr>
      <w:tr w14:paraId="0570BBC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32B95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013</w:t>
            </w:r>
          </w:p>
        </w:tc>
        <w:tc>
          <w:tcPr>
            <w:tcW w:w="1440" w:type="dxa"/>
            <w:noWrap/>
            <w:hideMark/>
          </w:tcPr>
          <w:p w:rsidR="00E041DA" w:rsidRPr="006054CC" w:rsidP="00E041DA" w14:paraId="3A0880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Sarah Gibboney</w:t>
            </w:r>
          </w:p>
        </w:tc>
        <w:tc>
          <w:tcPr>
            <w:tcW w:w="1530" w:type="dxa"/>
            <w:noWrap/>
            <w:hideMark/>
          </w:tcPr>
          <w:p w:rsidR="00E041DA" w:rsidRPr="006054CC" w:rsidP="00E041DA" w14:paraId="734025C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EF761C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SG3</w:t>
            </w:r>
          </w:p>
        </w:tc>
        <w:tc>
          <w:tcPr>
            <w:tcW w:w="1890" w:type="dxa"/>
          </w:tcPr>
          <w:p w:rsidR="00E041DA" w:rsidRPr="006054CC" w:rsidP="00E041DA" w14:paraId="736FA2A7"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NRC-2019-0062-0343</w:t>
            </w:r>
          </w:p>
        </w:tc>
        <w:tc>
          <w:tcPr>
            <w:tcW w:w="1615" w:type="dxa"/>
            <w:noWrap/>
            <w:hideMark/>
          </w:tcPr>
          <w:p w:rsidR="00E041DA" w:rsidRPr="006054CC" w:rsidP="00E041DA" w14:paraId="1CBFCE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ML24330A187</w:t>
            </w:r>
          </w:p>
        </w:tc>
      </w:tr>
      <w:tr w14:paraId="0AF2A195"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0E1591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014</w:t>
            </w:r>
          </w:p>
        </w:tc>
        <w:tc>
          <w:tcPr>
            <w:tcW w:w="1440" w:type="dxa"/>
            <w:noWrap/>
            <w:hideMark/>
          </w:tcPr>
          <w:p w:rsidR="00E041DA" w:rsidRPr="006054CC" w:rsidP="00E041DA" w14:paraId="7023112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Benny Phillips</w:t>
            </w:r>
          </w:p>
        </w:tc>
        <w:tc>
          <w:tcPr>
            <w:tcW w:w="1530" w:type="dxa"/>
            <w:noWrap/>
            <w:hideMark/>
          </w:tcPr>
          <w:p w:rsidR="00E041DA" w:rsidRPr="006054CC" w:rsidP="00E041DA" w14:paraId="0C5705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177054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BP1</w:t>
            </w:r>
          </w:p>
        </w:tc>
        <w:tc>
          <w:tcPr>
            <w:tcW w:w="1890" w:type="dxa"/>
          </w:tcPr>
          <w:p w:rsidR="00E041DA" w:rsidRPr="006054CC" w:rsidP="00E041DA" w14:paraId="4E124BDC"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NRC-2019-0062-0344</w:t>
            </w:r>
          </w:p>
        </w:tc>
        <w:tc>
          <w:tcPr>
            <w:tcW w:w="1615" w:type="dxa"/>
            <w:noWrap/>
            <w:hideMark/>
          </w:tcPr>
          <w:p w:rsidR="00E041DA" w:rsidRPr="006054CC" w:rsidP="00E041DA" w14:paraId="2EF5135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ML24330A188</w:t>
            </w:r>
          </w:p>
        </w:tc>
      </w:tr>
      <w:tr w14:paraId="043FB1D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92D897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015</w:t>
            </w:r>
          </w:p>
        </w:tc>
        <w:tc>
          <w:tcPr>
            <w:tcW w:w="1440" w:type="dxa"/>
            <w:noWrap/>
            <w:hideMark/>
          </w:tcPr>
          <w:p w:rsidR="00E041DA" w:rsidRPr="006054CC" w:rsidP="00E041DA" w14:paraId="02FFD79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2BFDFC7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9CB47C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TG5</w:t>
            </w:r>
          </w:p>
        </w:tc>
        <w:tc>
          <w:tcPr>
            <w:tcW w:w="1890" w:type="dxa"/>
          </w:tcPr>
          <w:p w:rsidR="00E041DA" w:rsidRPr="006054CC" w:rsidP="00E041DA" w14:paraId="168EB43B"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NRC-2019-0062-0348</w:t>
            </w:r>
          </w:p>
        </w:tc>
        <w:tc>
          <w:tcPr>
            <w:tcW w:w="1615" w:type="dxa"/>
            <w:noWrap/>
            <w:hideMark/>
          </w:tcPr>
          <w:p w:rsidR="00E041DA" w:rsidRPr="006054CC" w:rsidP="00E041DA" w14:paraId="7BA501B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ML24337A187</w:t>
            </w:r>
          </w:p>
        </w:tc>
      </w:tr>
      <w:tr w14:paraId="7E878C3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A96F97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016</w:t>
            </w:r>
          </w:p>
        </w:tc>
        <w:tc>
          <w:tcPr>
            <w:tcW w:w="1440" w:type="dxa"/>
            <w:noWrap/>
            <w:hideMark/>
          </w:tcPr>
          <w:p w:rsidR="00E041DA" w:rsidRPr="006054CC" w:rsidP="00E041DA" w14:paraId="2CEC70E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5B4AD6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F6E286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TG6</w:t>
            </w:r>
          </w:p>
        </w:tc>
        <w:tc>
          <w:tcPr>
            <w:tcW w:w="1890" w:type="dxa"/>
          </w:tcPr>
          <w:p w:rsidR="00E041DA" w:rsidRPr="006054CC" w:rsidP="00E041DA" w14:paraId="4011EB23"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NRC-2019-0062-0358</w:t>
            </w:r>
          </w:p>
        </w:tc>
        <w:tc>
          <w:tcPr>
            <w:tcW w:w="1615" w:type="dxa"/>
            <w:noWrap/>
            <w:hideMark/>
          </w:tcPr>
          <w:p w:rsidR="00E041DA" w:rsidRPr="006054CC" w:rsidP="00E041DA" w14:paraId="0A767C3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ML24337A188</w:t>
            </w:r>
          </w:p>
        </w:tc>
      </w:tr>
      <w:tr w14:paraId="56F618F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11BE69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017</w:t>
            </w:r>
          </w:p>
        </w:tc>
        <w:tc>
          <w:tcPr>
            <w:tcW w:w="1440" w:type="dxa"/>
            <w:noWrap/>
            <w:hideMark/>
          </w:tcPr>
          <w:p w:rsidR="00E041DA" w:rsidRPr="006054CC" w:rsidP="00E041DA" w14:paraId="1669EE0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78DD145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46389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TG7</w:t>
            </w:r>
          </w:p>
        </w:tc>
        <w:tc>
          <w:tcPr>
            <w:tcW w:w="1890" w:type="dxa"/>
          </w:tcPr>
          <w:p w:rsidR="00E041DA" w:rsidRPr="006054CC" w:rsidP="00E041DA" w14:paraId="09A0EEF8"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NRC-2019-0062-0359</w:t>
            </w:r>
          </w:p>
        </w:tc>
        <w:tc>
          <w:tcPr>
            <w:tcW w:w="1615" w:type="dxa"/>
            <w:noWrap/>
            <w:hideMark/>
          </w:tcPr>
          <w:p w:rsidR="00E041DA" w:rsidRPr="006054CC" w:rsidP="00E041DA" w14:paraId="7DFC668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ML24338A038</w:t>
            </w:r>
          </w:p>
        </w:tc>
      </w:tr>
      <w:tr w14:paraId="5AE45E4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A299AE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018</w:t>
            </w:r>
          </w:p>
        </w:tc>
        <w:tc>
          <w:tcPr>
            <w:tcW w:w="1440" w:type="dxa"/>
            <w:noWrap/>
            <w:hideMark/>
          </w:tcPr>
          <w:p w:rsidR="00E041DA" w:rsidRPr="006054CC" w:rsidP="00E041DA" w14:paraId="6929109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76F892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CECFAB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TG8</w:t>
            </w:r>
          </w:p>
        </w:tc>
        <w:tc>
          <w:tcPr>
            <w:tcW w:w="1890" w:type="dxa"/>
          </w:tcPr>
          <w:p w:rsidR="00E041DA" w:rsidRPr="006054CC" w:rsidP="00E041DA" w14:paraId="6A5A8FF3"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NRC-2019-0062-0360</w:t>
            </w:r>
          </w:p>
        </w:tc>
        <w:tc>
          <w:tcPr>
            <w:tcW w:w="1615" w:type="dxa"/>
            <w:noWrap/>
            <w:hideMark/>
          </w:tcPr>
          <w:p w:rsidR="00E041DA" w:rsidRPr="006054CC" w:rsidP="00E041DA" w14:paraId="2F513E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ML24339B734</w:t>
            </w:r>
          </w:p>
        </w:tc>
      </w:tr>
      <w:tr w14:paraId="4F6E337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600942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019</w:t>
            </w:r>
          </w:p>
        </w:tc>
        <w:tc>
          <w:tcPr>
            <w:tcW w:w="1440" w:type="dxa"/>
            <w:noWrap/>
            <w:hideMark/>
          </w:tcPr>
          <w:p w:rsidR="00E041DA" w:rsidRPr="006054CC" w:rsidP="00E041DA" w14:paraId="5F41041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5C4607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58EEF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TG9</w:t>
            </w:r>
          </w:p>
        </w:tc>
        <w:tc>
          <w:tcPr>
            <w:tcW w:w="1890" w:type="dxa"/>
          </w:tcPr>
          <w:p w:rsidR="00E041DA" w:rsidRPr="006054CC" w:rsidP="00E041DA" w14:paraId="57791A15"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NRC-2019-0062-0361</w:t>
            </w:r>
          </w:p>
        </w:tc>
        <w:tc>
          <w:tcPr>
            <w:tcW w:w="1615" w:type="dxa"/>
            <w:noWrap/>
            <w:hideMark/>
          </w:tcPr>
          <w:p w:rsidR="00E041DA" w:rsidRPr="006054CC" w:rsidP="00E041DA" w14:paraId="5BEA87F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ML24339B735</w:t>
            </w:r>
          </w:p>
        </w:tc>
      </w:tr>
      <w:tr w14:paraId="705B802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1B9534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020</w:t>
            </w:r>
          </w:p>
        </w:tc>
        <w:tc>
          <w:tcPr>
            <w:tcW w:w="1440" w:type="dxa"/>
            <w:noWrap/>
            <w:hideMark/>
          </w:tcPr>
          <w:p w:rsidR="00E041DA" w:rsidRPr="006054CC" w:rsidP="00E041DA" w14:paraId="4DBD2F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DDE9C5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021890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TG10</w:t>
            </w:r>
          </w:p>
        </w:tc>
        <w:tc>
          <w:tcPr>
            <w:tcW w:w="1890" w:type="dxa"/>
          </w:tcPr>
          <w:p w:rsidR="00E041DA" w:rsidRPr="006054CC" w:rsidP="00E041DA" w14:paraId="7192CB73"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NRC-2019-0062-0362</w:t>
            </w:r>
          </w:p>
        </w:tc>
        <w:tc>
          <w:tcPr>
            <w:tcW w:w="1615" w:type="dxa"/>
            <w:noWrap/>
            <w:hideMark/>
          </w:tcPr>
          <w:p w:rsidR="00E041DA" w:rsidRPr="006054CC" w:rsidP="00E041DA" w14:paraId="2793E8E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ML24340A108</w:t>
            </w:r>
          </w:p>
        </w:tc>
      </w:tr>
      <w:tr w14:paraId="45DA95D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150FB0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021</w:t>
            </w:r>
          </w:p>
        </w:tc>
        <w:tc>
          <w:tcPr>
            <w:tcW w:w="1440" w:type="dxa"/>
            <w:noWrap/>
            <w:hideMark/>
          </w:tcPr>
          <w:p w:rsidR="00E041DA" w:rsidRPr="006054CC" w:rsidP="00E041DA" w14:paraId="1ABB8D9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2832D2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0CF34F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TG11</w:t>
            </w:r>
          </w:p>
        </w:tc>
        <w:tc>
          <w:tcPr>
            <w:tcW w:w="1890" w:type="dxa"/>
          </w:tcPr>
          <w:p w:rsidR="00E041DA" w:rsidRPr="006054CC" w:rsidP="00E041DA" w14:paraId="682EF7E6"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NRC-2019-0062-0363</w:t>
            </w:r>
          </w:p>
        </w:tc>
        <w:tc>
          <w:tcPr>
            <w:tcW w:w="1615" w:type="dxa"/>
            <w:noWrap/>
            <w:hideMark/>
          </w:tcPr>
          <w:p w:rsidR="00E041DA" w:rsidRPr="006054CC" w:rsidP="00E041DA" w14:paraId="6CE91B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ML24340A109</w:t>
            </w:r>
          </w:p>
        </w:tc>
      </w:tr>
      <w:tr w14:paraId="23E83B65"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DB3A4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022</w:t>
            </w:r>
          </w:p>
        </w:tc>
        <w:tc>
          <w:tcPr>
            <w:tcW w:w="1440" w:type="dxa"/>
            <w:noWrap/>
            <w:hideMark/>
          </w:tcPr>
          <w:p w:rsidR="00E041DA" w:rsidRPr="006054CC" w:rsidP="00E041DA" w14:paraId="1FC77B0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42C6F0D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5123E4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TG12</w:t>
            </w:r>
          </w:p>
        </w:tc>
        <w:tc>
          <w:tcPr>
            <w:tcW w:w="1890" w:type="dxa"/>
          </w:tcPr>
          <w:p w:rsidR="00E041DA" w:rsidRPr="006054CC" w:rsidP="00E041DA" w14:paraId="07EBD8ED"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NRC-2019-0062-0376</w:t>
            </w:r>
          </w:p>
        </w:tc>
        <w:tc>
          <w:tcPr>
            <w:tcW w:w="1615" w:type="dxa"/>
            <w:noWrap/>
            <w:hideMark/>
          </w:tcPr>
          <w:p w:rsidR="00E041DA" w:rsidRPr="006054CC" w:rsidP="00E041DA" w14:paraId="7DEDB93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ML24340A110</w:t>
            </w:r>
          </w:p>
        </w:tc>
      </w:tr>
      <w:tr w14:paraId="45A9C41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F3B4A4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023</w:t>
            </w:r>
          </w:p>
        </w:tc>
        <w:tc>
          <w:tcPr>
            <w:tcW w:w="1440" w:type="dxa"/>
            <w:noWrap/>
            <w:hideMark/>
          </w:tcPr>
          <w:p w:rsidR="00E041DA" w:rsidRPr="006054CC" w:rsidP="00E041DA" w14:paraId="409CCB8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5A37BB3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27157B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TG13</w:t>
            </w:r>
          </w:p>
        </w:tc>
        <w:tc>
          <w:tcPr>
            <w:tcW w:w="1890" w:type="dxa"/>
          </w:tcPr>
          <w:p w:rsidR="00E041DA" w:rsidRPr="006054CC" w:rsidP="00E041DA" w14:paraId="7E2548E4"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NRC-2019-0062-0377</w:t>
            </w:r>
          </w:p>
        </w:tc>
        <w:tc>
          <w:tcPr>
            <w:tcW w:w="1615" w:type="dxa"/>
            <w:noWrap/>
            <w:hideMark/>
          </w:tcPr>
          <w:p w:rsidR="00E041DA" w:rsidRPr="006054CC" w:rsidP="00E041DA" w14:paraId="776A577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ML24340A111</w:t>
            </w:r>
          </w:p>
        </w:tc>
      </w:tr>
      <w:tr w14:paraId="425CCC8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CD4CD8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024</w:t>
            </w:r>
          </w:p>
        </w:tc>
        <w:tc>
          <w:tcPr>
            <w:tcW w:w="1440" w:type="dxa"/>
            <w:noWrap/>
            <w:hideMark/>
          </w:tcPr>
          <w:p w:rsidR="00E041DA" w:rsidRPr="006054CC" w:rsidP="00E041DA" w14:paraId="2ADD4A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67AFD4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7541D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TG14</w:t>
            </w:r>
          </w:p>
        </w:tc>
        <w:tc>
          <w:tcPr>
            <w:tcW w:w="1890" w:type="dxa"/>
          </w:tcPr>
          <w:p w:rsidR="00E041DA" w:rsidRPr="006054CC" w:rsidP="00E041DA" w14:paraId="31094A53"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NRC-2019-0062-0378</w:t>
            </w:r>
          </w:p>
        </w:tc>
        <w:tc>
          <w:tcPr>
            <w:tcW w:w="1615" w:type="dxa"/>
            <w:noWrap/>
            <w:hideMark/>
          </w:tcPr>
          <w:p w:rsidR="00E041DA" w:rsidRPr="006054CC" w:rsidP="00E041DA" w14:paraId="4C7512B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ML24340A267</w:t>
            </w:r>
          </w:p>
        </w:tc>
      </w:tr>
      <w:tr w14:paraId="627E14A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D1F382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025</w:t>
            </w:r>
          </w:p>
        </w:tc>
        <w:tc>
          <w:tcPr>
            <w:tcW w:w="1440" w:type="dxa"/>
            <w:noWrap/>
            <w:hideMark/>
          </w:tcPr>
          <w:p w:rsidR="00E041DA" w:rsidRPr="006054CC" w:rsidP="00E041DA" w14:paraId="31B9F3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45B4E7C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82D03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TG15</w:t>
            </w:r>
          </w:p>
        </w:tc>
        <w:tc>
          <w:tcPr>
            <w:tcW w:w="1890" w:type="dxa"/>
          </w:tcPr>
          <w:p w:rsidR="00E041DA" w:rsidRPr="006054CC" w:rsidP="00E041DA" w14:paraId="01EE29E5" w14:textId="77777777">
            <w:pPr>
              <w:jc w:val="center"/>
              <w:rPr>
                <w:rFonts w:ascii="Arial" w:eastAsia="Times New Roman" w:hAnsi="Arial" w:cs="Arial"/>
                <w:color w:val="000000"/>
                <w:sz w:val="20"/>
                <w:szCs w:val="20"/>
              </w:rPr>
            </w:pPr>
            <w:r w:rsidRPr="00F36978">
              <w:rPr>
                <w:rFonts w:ascii="Arial" w:eastAsia="Times New Roman" w:hAnsi="Arial" w:cs="Arial"/>
                <w:color w:val="000000"/>
                <w:sz w:val="20"/>
                <w:szCs w:val="20"/>
              </w:rPr>
              <w:t>NRC-2019-0062-0379</w:t>
            </w:r>
          </w:p>
        </w:tc>
        <w:tc>
          <w:tcPr>
            <w:tcW w:w="1615" w:type="dxa"/>
            <w:noWrap/>
            <w:hideMark/>
          </w:tcPr>
          <w:p w:rsidR="00E041DA" w:rsidRPr="006054CC" w:rsidP="00E041DA" w14:paraId="28C9D85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ML24344A021</w:t>
            </w:r>
          </w:p>
        </w:tc>
      </w:tr>
      <w:tr w14:paraId="03D8FC4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9EBCD6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026</w:t>
            </w:r>
          </w:p>
        </w:tc>
        <w:tc>
          <w:tcPr>
            <w:tcW w:w="1440" w:type="dxa"/>
            <w:noWrap/>
            <w:hideMark/>
          </w:tcPr>
          <w:p w:rsidR="00E041DA" w:rsidRPr="006054CC" w:rsidP="00E041DA" w14:paraId="06337D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05E868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55AAB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TG16</w:t>
            </w:r>
          </w:p>
        </w:tc>
        <w:tc>
          <w:tcPr>
            <w:tcW w:w="1890" w:type="dxa"/>
          </w:tcPr>
          <w:p w:rsidR="00E041DA" w:rsidRPr="006054CC" w:rsidP="00E041DA" w14:paraId="4265AC8C" w14:textId="77777777">
            <w:pPr>
              <w:jc w:val="center"/>
              <w:rPr>
                <w:rFonts w:ascii="Arial" w:eastAsia="Times New Roman" w:hAnsi="Arial" w:cs="Arial"/>
                <w:color w:val="000000"/>
                <w:sz w:val="20"/>
                <w:szCs w:val="20"/>
              </w:rPr>
            </w:pPr>
            <w:r w:rsidRPr="00AD0D61">
              <w:rPr>
                <w:rFonts w:ascii="Arial" w:eastAsia="Times New Roman" w:hAnsi="Arial" w:cs="Arial"/>
                <w:color w:val="000000"/>
                <w:sz w:val="20"/>
                <w:szCs w:val="20"/>
              </w:rPr>
              <w:t>NRC-2019-0062-0380</w:t>
            </w:r>
          </w:p>
        </w:tc>
        <w:tc>
          <w:tcPr>
            <w:tcW w:w="1615" w:type="dxa"/>
            <w:noWrap/>
            <w:hideMark/>
          </w:tcPr>
          <w:p w:rsidR="00E041DA" w:rsidRPr="006054CC" w:rsidP="00E041DA" w14:paraId="51995ED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ML24344A022</w:t>
            </w:r>
          </w:p>
        </w:tc>
      </w:tr>
      <w:tr w14:paraId="535E34C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6523DC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027</w:t>
            </w:r>
          </w:p>
        </w:tc>
        <w:tc>
          <w:tcPr>
            <w:tcW w:w="1440" w:type="dxa"/>
            <w:noWrap/>
            <w:hideMark/>
          </w:tcPr>
          <w:p w:rsidR="00E041DA" w:rsidRPr="006054CC" w:rsidP="00E041DA" w14:paraId="0C17DD6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A96369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FB8840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TG17</w:t>
            </w:r>
          </w:p>
        </w:tc>
        <w:tc>
          <w:tcPr>
            <w:tcW w:w="1890" w:type="dxa"/>
          </w:tcPr>
          <w:p w:rsidR="00E041DA" w:rsidRPr="006054CC" w:rsidP="00E041DA" w14:paraId="24AE36EC" w14:textId="77777777">
            <w:pPr>
              <w:jc w:val="center"/>
              <w:rPr>
                <w:rFonts w:ascii="Arial" w:eastAsia="Times New Roman" w:hAnsi="Arial" w:cs="Arial"/>
                <w:color w:val="000000"/>
                <w:sz w:val="20"/>
                <w:szCs w:val="20"/>
              </w:rPr>
            </w:pPr>
            <w:r w:rsidRPr="000179BD">
              <w:rPr>
                <w:rFonts w:ascii="Arial" w:eastAsia="Times New Roman" w:hAnsi="Arial" w:cs="Arial"/>
                <w:color w:val="000000"/>
                <w:sz w:val="20"/>
                <w:szCs w:val="20"/>
              </w:rPr>
              <w:t>NRC-2019-0062-0381</w:t>
            </w:r>
          </w:p>
        </w:tc>
        <w:tc>
          <w:tcPr>
            <w:tcW w:w="1615" w:type="dxa"/>
            <w:noWrap/>
            <w:hideMark/>
          </w:tcPr>
          <w:p w:rsidR="00E041DA" w:rsidRPr="006054CC" w:rsidP="00E041DA" w14:paraId="4A7DB3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ML24344A023</w:t>
            </w:r>
          </w:p>
        </w:tc>
      </w:tr>
      <w:tr w14:paraId="4BBD95A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01BF9E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028</w:t>
            </w:r>
          </w:p>
        </w:tc>
        <w:tc>
          <w:tcPr>
            <w:tcW w:w="1440" w:type="dxa"/>
            <w:noWrap/>
            <w:hideMark/>
          </w:tcPr>
          <w:p w:rsidR="00E041DA" w:rsidRPr="006054CC" w:rsidP="00E041DA" w14:paraId="2C5003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149FDF3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441FA9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TG18</w:t>
            </w:r>
          </w:p>
        </w:tc>
        <w:tc>
          <w:tcPr>
            <w:tcW w:w="1890" w:type="dxa"/>
          </w:tcPr>
          <w:p w:rsidR="00E041DA" w:rsidRPr="006054CC" w:rsidP="00E041DA" w14:paraId="02368D7B" w14:textId="77777777">
            <w:pPr>
              <w:jc w:val="center"/>
              <w:rPr>
                <w:rFonts w:ascii="Arial" w:eastAsia="Times New Roman" w:hAnsi="Arial" w:cs="Arial"/>
                <w:color w:val="000000"/>
                <w:sz w:val="20"/>
                <w:szCs w:val="20"/>
              </w:rPr>
            </w:pPr>
            <w:r w:rsidRPr="00AD0D61">
              <w:rPr>
                <w:rFonts w:ascii="Arial" w:eastAsia="Times New Roman" w:hAnsi="Arial" w:cs="Arial"/>
                <w:color w:val="000000"/>
                <w:sz w:val="20"/>
                <w:szCs w:val="20"/>
              </w:rPr>
              <w:t>NRC-2019-0062-0382</w:t>
            </w:r>
          </w:p>
        </w:tc>
        <w:tc>
          <w:tcPr>
            <w:tcW w:w="1615" w:type="dxa"/>
            <w:noWrap/>
            <w:hideMark/>
          </w:tcPr>
          <w:p w:rsidR="00E041DA" w:rsidRPr="006054CC" w:rsidP="00E041DA" w14:paraId="01DE646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ML24344A024</w:t>
            </w:r>
          </w:p>
        </w:tc>
      </w:tr>
      <w:tr w14:paraId="094E283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3235C9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029</w:t>
            </w:r>
          </w:p>
        </w:tc>
        <w:tc>
          <w:tcPr>
            <w:tcW w:w="1440" w:type="dxa"/>
            <w:noWrap/>
            <w:hideMark/>
          </w:tcPr>
          <w:p w:rsidR="00E041DA" w:rsidRPr="006054CC" w:rsidP="00E041DA" w14:paraId="3EA4DEA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55FDC06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2CAD0D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TG19</w:t>
            </w:r>
          </w:p>
        </w:tc>
        <w:tc>
          <w:tcPr>
            <w:tcW w:w="1890" w:type="dxa"/>
          </w:tcPr>
          <w:p w:rsidR="00E041DA" w:rsidRPr="006054CC" w:rsidP="00E041DA" w14:paraId="39BA7C08" w14:textId="77777777">
            <w:pPr>
              <w:jc w:val="center"/>
              <w:rPr>
                <w:rFonts w:ascii="Arial" w:eastAsia="Times New Roman" w:hAnsi="Arial" w:cs="Arial"/>
                <w:color w:val="000000"/>
                <w:sz w:val="20"/>
                <w:szCs w:val="20"/>
              </w:rPr>
            </w:pPr>
            <w:r w:rsidRPr="00AD0D61">
              <w:rPr>
                <w:rFonts w:ascii="Arial" w:eastAsia="Times New Roman" w:hAnsi="Arial" w:cs="Arial"/>
                <w:color w:val="000000"/>
                <w:sz w:val="20"/>
                <w:szCs w:val="20"/>
              </w:rPr>
              <w:t>NRC-2019-0062-0399</w:t>
            </w:r>
          </w:p>
        </w:tc>
        <w:tc>
          <w:tcPr>
            <w:tcW w:w="1615" w:type="dxa"/>
            <w:noWrap/>
            <w:hideMark/>
          </w:tcPr>
          <w:p w:rsidR="00E041DA" w:rsidRPr="006054CC" w:rsidP="00E041DA" w14:paraId="423514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ML24345A025</w:t>
            </w:r>
          </w:p>
        </w:tc>
      </w:tr>
      <w:tr w14:paraId="1EA74EA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66967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030</w:t>
            </w:r>
          </w:p>
        </w:tc>
        <w:tc>
          <w:tcPr>
            <w:tcW w:w="1440" w:type="dxa"/>
            <w:noWrap/>
            <w:hideMark/>
          </w:tcPr>
          <w:p w:rsidR="00E041DA" w:rsidRPr="006054CC" w:rsidP="00E041DA" w14:paraId="64A22EF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3CF189A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939F10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TG20</w:t>
            </w:r>
          </w:p>
        </w:tc>
        <w:tc>
          <w:tcPr>
            <w:tcW w:w="1890" w:type="dxa"/>
          </w:tcPr>
          <w:p w:rsidR="00E041DA" w:rsidRPr="006054CC" w:rsidP="00E041DA" w14:paraId="5EDF9571"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NRC-2019-0062-0388</w:t>
            </w:r>
          </w:p>
        </w:tc>
        <w:tc>
          <w:tcPr>
            <w:tcW w:w="1615" w:type="dxa"/>
            <w:noWrap/>
            <w:hideMark/>
          </w:tcPr>
          <w:p w:rsidR="00E041DA" w:rsidRPr="006054CC" w:rsidP="00E041DA" w14:paraId="427507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ML24345A193</w:t>
            </w:r>
          </w:p>
        </w:tc>
      </w:tr>
      <w:tr w14:paraId="669A6E5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38213E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031</w:t>
            </w:r>
          </w:p>
        </w:tc>
        <w:tc>
          <w:tcPr>
            <w:tcW w:w="1440" w:type="dxa"/>
            <w:noWrap/>
            <w:hideMark/>
          </w:tcPr>
          <w:p w:rsidR="00E041DA" w:rsidRPr="006054CC" w:rsidP="00E041DA" w14:paraId="00430C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F. Keller</w:t>
            </w:r>
          </w:p>
        </w:tc>
        <w:tc>
          <w:tcPr>
            <w:tcW w:w="1530" w:type="dxa"/>
            <w:noWrap/>
            <w:hideMark/>
          </w:tcPr>
          <w:p w:rsidR="00E041DA" w:rsidRPr="006054CC" w:rsidP="00E041DA" w14:paraId="274C9DD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150A35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p>
        </w:tc>
        <w:tc>
          <w:tcPr>
            <w:tcW w:w="1890" w:type="dxa"/>
          </w:tcPr>
          <w:p w:rsidR="00E041DA" w:rsidRPr="006054CC" w:rsidP="00E041DA" w14:paraId="4D962A99"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NRC-2019-0062-0345</w:t>
            </w:r>
          </w:p>
        </w:tc>
        <w:tc>
          <w:tcPr>
            <w:tcW w:w="1615" w:type="dxa"/>
            <w:noWrap/>
            <w:hideMark/>
          </w:tcPr>
          <w:p w:rsidR="00E041DA" w:rsidRPr="006054CC" w:rsidP="00E041DA" w14:paraId="14ED171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ML24351A014</w:t>
            </w:r>
          </w:p>
        </w:tc>
      </w:tr>
      <w:tr w14:paraId="43A8308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D88F6C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032</w:t>
            </w:r>
          </w:p>
        </w:tc>
        <w:tc>
          <w:tcPr>
            <w:tcW w:w="1440" w:type="dxa"/>
            <w:noWrap/>
            <w:hideMark/>
          </w:tcPr>
          <w:p w:rsidR="00E041DA" w:rsidRPr="006054CC" w:rsidP="00E041DA" w14:paraId="1A6FCF9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F. Keller</w:t>
            </w:r>
          </w:p>
        </w:tc>
        <w:tc>
          <w:tcPr>
            <w:tcW w:w="1530" w:type="dxa"/>
            <w:noWrap/>
            <w:hideMark/>
          </w:tcPr>
          <w:p w:rsidR="00E041DA" w:rsidRPr="006054CC" w:rsidP="00E041DA" w14:paraId="4E7C91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BD48EF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p>
        </w:tc>
        <w:tc>
          <w:tcPr>
            <w:tcW w:w="1890" w:type="dxa"/>
          </w:tcPr>
          <w:p w:rsidR="00E041DA" w:rsidRPr="006054CC" w:rsidP="00E041DA" w14:paraId="447D4FE7"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NRC-2019-0062-0346</w:t>
            </w:r>
          </w:p>
        </w:tc>
        <w:tc>
          <w:tcPr>
            <w:tcW w:w="1615" w:type="dxa"/>
            <w:noWrap/>
            <w:hideMark/>
          </w:tcPr>
          <w:p w:rsidR="00E041DA" w:rsidRPr="006054CC" w:rsidP="00E041DA" w14:paraId="166F374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ML24351A015</w:t>
            </w:r>
          </w:p>
        </w:tc>
      </w:tr>
      <w:tr w14:paraId="161440A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65B6CF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033</w:t>
            </w:r>
          </w:p>
        </w:tc>
        <w:tc>
          <w:tcPr>
            <w:tcW w:w="1440" w:type="dxa"/>
            <w:noWrap/>
            <w:hideMark/>
          </w:tcPr>
          <w:p w:rsidR="00E041DA" w:rsidRPr="006054CC" w:rsidP="00E041DA" w14:paraId="1C6EF34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776C3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23EA7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TG21</w:t>
            </w:r>
          </w:p>
        </w:tc>
        <w:tc>
          <w:tcPr>
            <w:tcW w:w="1890" w:type="dxa"/>
          </w:tcPr>
          <w:p w:rsidR="00E041DA" w:rsidRPr="006054CC" w:rsidP="00E041DA" w14:paraId="48BF2EFC"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NRC-2019-0062-0386</w:t>
            </w:r>
          </w:p>
        </w:tc>
        <w:tc>
          <w:tcPr>
            <w:tcW w:w="1615" w:type="dxa"/>
            <w:noWrap/>
            <w:hideMark/>
          </w:tcPr>
          <w:p w:rsidR="00E041DA" w:rsidRPr="006054CC" w:rsidP="00E041DA" w14:paraId="697A5B7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ML24353A258</w:t>
            </w:r>
          </w:p>
        </w:tc>
      </w:tr>
      <w:tr w14:paraId="3BF0AFD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201C8C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034</w:t>
            </w:r>
          </w:p>
        </w:tc>
        <w:tc>
          <w:tcPr>
            <w:tcW w:w="1440" w:type="dxa"/>
            <w:noWrap/>
            <w:hideMark/>
          </w:tcPr>
          <w:p w:rsidR="00E041DA" w:rsidRPr="006054CC" w:rsidP="00E041DA" w14:paraId="39810A6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267A13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44615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TG22</w:t>
            </w:r>
          </w:p>
        </w:tc>
        <w:tc>
          <w:tcPr>
            <w:tcW w:w="1890" w:type="dxa"/>
          </w:tcPr>
          <w:p w:rsidR="00E041DA" w:rsidRPr="006054CC" w:rsidP="00E041DA" w14:paraId="7FB5AD97" w14:textId="77777777">
            <w:pPr>
              <w:jc w:val="center"/>
              <w:rPr>
                <w:rFonts w:ascii="Arial" w:eastAsia="Times New Roman" w:hAnsi="Arial" w:cs="Arial"/>
                <w:color w:val="000000"/>
                <w:sz w:val="20"/>
                <w:szCs w:val="20"/>
              </w:rPr>
            </w:pPr>
            <w:r w:rsidRPr="00E266B2">
              <w:rPr>
                <w:rFonts w:ascii="Arial" w:eastAsia="Times New Roman" w:hAnsi="Arial" w:cs="Arial"/>
                <w:color w:val="000000"/>
                <w:sz w:val="20"/>
                <w:szCs w:val="20"/>
              </w:rPr>
              <w:t>NRC-2019-0062-0387</w:t>
            </w:r>
          </w:p>
        </w:tc>
        <w:tc>
          <w:tcPr>
            <w:tcW w:w="1615" w:type="dxa"/>
            <w:noWrap/>
            <w:hideMark/>
          </w:tcPr>
          <w:p w:rsidR="00E041DA" w:rsidRPr="006054CC" w:rsidP="00E041DA" w14:paraId="77D1853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ML24353A259</w:t>
            </w:r>
          </w:p>
        </w:tc>
      </w:tr>
      <w:tr w14:paraId="7122AFE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B97177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035</w:t>
            </w:r>
          </w:p>
        </w:tc>
        <w:tc>
          <w:tcPr>
            <w:tcW w:w="1440" w:type="dxa"/>
            <w:noWrap/>
            <w:hideMark/>
          </w:tcPr>
          <w:p w:rsidR="00E041DA" w:rsidRPr="006054CC" w:rsidP="00E041DA" w14:paraId="0E6AE3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35B8C1D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BF03A2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TG23</w:t>
            </w:r>
          </w:p>
        </w:tc>
        <w:tc>
          <w:tcPr>
            <w:tcW w:w="1890" w:type="dxa"/>
          </w:tcPr>
          <w:p w:rsidR="00E041DA" w:rsidRPr="006054CC" w:rsidP="00E041DA" w14:paraId="19F3D219" w14:textId="77777777">
            <w:pPr>
              <w:jc w:val="center"/>
              <w:rPr>
                <w:rFonts w:ascii="Arial" w:eastAsia="Times New Roman" w:hAnsi="Arial" w:cs="Arial"/>
                <w:color w:val="000000"/>
                <w:sz w:val="20"/>
                <w:szCs w:val="20"/>
              </w:rPr>
            </w:pPr>
            <w:r w:rsidRPr="00E266B2">
              <w:rPr>
                <w:rFonts w:ascii="Arial" w:eastAsia="Times New Roman" w:hAnsi="Arial" w:cs="Arial"/>
                <w:color w:val="000000"/>
                <w:sz w:val="20"/>
                <w:szCs w:val="20"/>
              </w:rPr>
              <w:t>NRC-2019-0062-0389</w:t>
            </w:r>
          </w:p>
        </w:tc>
        <w:tc>
          <w:tcPr>
            <w:tcW w:w="1615" w:type="dxa"/>
            <w:noWrap/>
            <w:hideMark/>
          </w:tcPr>
          <w:p w:rsidR="00E041DA" w:rsidRPr="006054CC" w:rsidP="00E041DA" w14:paraId="39CFBA1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ML24353A298</w:t>
            </w:r>
          </w:p>
        </w:tc>
      </w:tr>
      <w:tr w14:paraId="521F036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AC285C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036</w:t>
            </w:r>
          </w:p>
        </w:tc>
        <w:tc>
          <w:tcPr>
            <w:tcW w:w="1440" w:type="dxa"/>
            <w:noWrap/>
            <w:hideMark/>
          </w:tcPr>
          <w:p w:rsidR="00E041DA" w:rsidRPr="006054CC" w:rsidP="00E041DA" w14:paraId="73924B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4E6F054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429E9A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AN1</w:t>
            </w:r>
          </w:p>
        </w:tc>
        <w:tc>
          <w:tcPr>
            <w:tcW w:w="1890" w:type="dxa"/>
          </w:tcPr>
          <w:p w:rsidR="00E041DA" w:rsidRPr="006054CC" w:rsidP="00E041DA" w14:paraId="26F49CDB"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NRC-2019-0062-0349</w:t>
            </w:r>
          </w:p>
        </w:tc>
        <w:tc>
          <w:tcPr>
            <w:tcW w:w="1615" w:type="dxa"/>
            <w:noWrap/>
            <w:hideMark/>
          </w:tcPr>
          <w:p w:rsidR="00E041DA" w:rsidRPr="006054CC" w:rsidP="00E041DA" w14:paraId="11324F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ML24365A027</w:t>
            </w:r>
          </w:p>
        </w:tc>
      </w:tr>
      <w:tr w14:paraId="61BCF54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AD3A1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037</w:t>
            </w:r>
          </w:p>
        </w:tc>
        <w:tc>
          <w:tcPr>
            <w:tcW w:w="1440" w:type="dxa"/>
            <w:noWrap/>
            <w:hideMark/>
          </w:tcPr>
          <w:p w:rsidR="00E041DA" w:rsidRPr="006054CC" w:rsidP="00E041DA" w14:paraId="73E96B1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Douglas J. Hansen</w:t>
            </w:r>
          </w:p>
        </w:tc>
        <w:tc>
          <w:tcPr>
            <w:tcW w:w="1530" w:type="dxa"/>
            <w:noWrap/>
            <w:hideMark/>
          </w:tcPr>
          <w:p w:rsidR="00E041DA" w:rsidRPr="006054CC" w:rsidP="00E041DA" w14:paraId="5CBE85D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State of Utah Department of Environmental Quality</w:t>
            </w:r>
          </w:p>
        </w:tc>
        <w:tc>
          <w:tcPr>
            <w:tcW w:w="1440" w:type="dxa"/>
            <w:noWrap/>
            <w:hideMark/>
          </w:tcPr>
          <w:p w:rsidR="00E041DA" w:rsidRPr="006054CC" w:rsidP="00E041DA" w14:paraId="1422126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UT1</w:t>
            </w:r>
          </w:p>
        </w:tc>
        <w:tc>
          <w:tcPr>
            <w:tcW w:w="1890" w:type="dxa"/>
          </w:tcPr>
          <w:p w:rsidR="00E041DA" w:rsidRPr="006054CC" w:rsidP="00E041DA" w14:paraId="7A29C0B4" w14:textId="77777777">
            <w:pPr>
              <w:jc w:val="center"/>
              <w:rPr>
                <w:rFonts w:ascii="Arial" w:eastAsia="Times New Roman" w:hAnsi="Arial" w:cs="Arial"/>
                <w:color w:val="000000"/>
                <w:sz w:val="20"/>
                <w:szCs w:val="20"/>
              </w:rPr>
            </w:pPr>
            <w:r w:rsidRPr="000A1B88">
              <w:rPr>
                <w:rFonts w:ascii="Arial" w:eastAsia="Times New Roman" w:hAnsi="Arial" w:cs="Arial"/>
                <w:color w:val="000000"/>
                <w:sz w:val="20"/>
                <w:szCs w:val="20"/>
              </w:rPr>
              <w:t>NRC-2019-0062-0366</w:t>
            </w:r>
          </w:p>
        </w:tc>
        <w:tc>
          <w:tcPr>
            <w:tcW w:w="1615" w:type="dxa"/>
            <w:noWrap/>
            <w:hideMark/>
          </w:tcPr>
          <w:p w:rsidR="00E041DA" w:rsidRPr="006054CC" w:rsidP="00E041DA" w14:paraId="2ED2A2D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ML24366A095</w:t>
            </w:r>
          </w:p>
        </w:tc>
      </w:tr>
      <w:tr w14:paraId="77C0876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91A9E5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038</w:t>
            </w:r>
          </w:p>
        </w:tc>
        <w:tc>
          <w:tcPr>
            <w:tcW w:w="1440" w:type="dxa"/>
            <w:noWrap/>
            <w:hideMark/>
          </w:tcPr>
          <w:p w:rsidR="00E041DA" w:rsidRPr="006054CC" w:rsidP="00E041DA" w14:paraId="7D38C7D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06568BD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13ECA8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TG24</w:t>
            </w:r>
          </w:p>
        </w:tc>
        <w:tc>
          <w:tcPr>
            <w:tcW w:w="1890" w:type="dxa"/>
          </w:tcPr>
          <w:p w:rsidR="00E041DA" w:rsidRPr="006054CC" w:rsidP="00E041DA" w14:paraId="20ECBC0B" w14:textId="77777777">
            <w:pPr>
              <w:jc w:val="center"/>
              <w:rPr>
                <w:rFonts w:ascii="Arial" w:eastAsia="Times New Roman" w:hAnsi="Arial" w:cs="Arial"/>
                <w:color w:val="000000"/>
                <w:sz w:val="20"/>
                <w:szCs w:val="20"/>
              </w:rPr>
            </w:pPr>
            <w:r w:rsidRPr="00A54E9F">
              <w:rPr>
                <w:rFonts w:ascii="Arial" w:eastAsia="Times New Roman" w:hAnsi="Arial" w:cs="Arial"/>
                <w:color w:val="000000"/>
                <w:sz w:val="20"/>
                <w:szCs w:val="20"/>
              </w:rPr>
              <w:t>NRC-2019-0062-03</w:t>
            </w:r>
            <w:r>
              <w:rPr>
                <w:rFonts w:ascii="Arial" w:eastAsia="Times New Roman" w:hAnsi="Arial" w:cs="Arial"/>
                <w:color w:val="000000"/>
                <w:sz w:val="20"/>
                <w:szCs w:val="20"/>
              </w:rPr>
              <w:t>90</w:t>
            </w:r>
          </w:p>
        </w:tc>
        <w:tc>
          <w:tcPr>
            <w:tcW w:w="1615" w:type="dxa"/>
            <w:noWrap/>
            <w:hideMark/>
          </w:tcPr>
          <w:p w:rsidR="00E041DA" w:rsidRPr="006054CC" w:rsidP="00E041DA" w14:paraId="34F6B66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ML24366A096</w:t>
            </w:r>
          </w:p>
        </w:tc>
      </w:tr>
      <w:tr w14:paraId="51410EB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017492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039</w:t>
            </w:r>
          </w:p>
        </w:tc>
        <w:tc>
          <w:tcPr>
            <w:tcW w:w="1440" w:type="dxa"/>
            <w:noWrap/>
            <w:hideMark/>
          </w:tcPr>
          <w:p w:rsidR="00E041DA" w:rsidRPr="006054CC" w:rsidP="00E041DA" w14:paraId="085ECCD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Herschell Specter</w:t>
            </w:r>
          </w:p>
        </w:tc>
        <w:tc>
          <w:tcPr>
            <w:tcW w:w="1530" w:type="dxa"/>
            <w:noWrap/>
            <w:hideMark/>
          </w:tcPr>
          <w:p w:rsidR="00E041DA" w:rsidRPr="006054CC" w:rsidP="00E041DA" w14:paraId="37E616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Mirco-Utilities, Inc.</w:t>
            </w:r>
          </w:p>
        </w:tc>
        <w:tc>
          <w:tcPr>
            <w:tcW w:w="1440" w:type="dxa"/>
            <w:noWrap/>
            <w:hideMark/>
          </w:tcPr>
          <w:p w:rsidR="00E041DA" w:rsidRPr="006054CC" w:rsidP="00E041DA" w14:paraId="11037C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MU1</w:t>
            </w:r>
          </w:p>
        </w:tc>
        <w:tc>
          <w:tcPr>
            <w:tcW w:w="1890" w:type="dxa"/>
          </w:tcPr>
          <w:p w:rsidR="00E041DA" w:rsidRPr="006054CC" w:rsidP="00E041DA" w14:paraId="4DD6742C" w14:textId="77777777">
            <w:pPr>
              <w:jc w:val="center"/>
              <w:rPr>
                <w:rFonts w:ascii="Arial" w:eastAsia="Times New Roman" w:hAnsi="Arial" w:cs="Arial"/>
                <w:color w:val="000000"/>
                <w:sz w:val="20"/>
                <w:szCs w:val="20"/>
              </w:rPr>
            </w:pPr>
            <w:r w:rsidRPr="00B9339E">
              <w:rPr>
                <w:rFonts w:ascii="Arial" w:eastAsia="Times New Roman" w:hAnsi="Arial" w:cs="Arial"/>
                <w:color w:val="000000"/>
                <w:sz w:val="20"/>
                <w:szCs w:val="20"/>
              </w:rPr>
              <w:t>NRC-2019-0062-0368</w:t>
            </w:r>
          </w:p>
        </w:tc>
        <w:tc>
          <w:tcPr>
            <w:tcW w:w="1615" w:type="dxa"/>
            <w:noWrap/>
            <w:hideMark/>
          </w:tcPr>
          <w:p w:rsidR="00E041DA" w:rsidRPr="006054CC" w:rsidP="00E041DA" w14:paraId="3733975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ML24366A097</w:t>
            </w:r>
          </w:p>
        </w:tc>
      </w:tr>
      <w:tr w14:paraId="3682FA15"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7DF3C5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040</w:t>
            </w:r>
          </w:p>
        </w:tc>
        <w:tc>
          <w:tcPr>
            <w:tcW w:w="1440" w:type="dxa"/>
            <w:noWrap/>
            <w:hideMark/>
          </w:tcPr>
          <w:p w:rsidR="00E041DA" w:rsidRPr="006054CC" w:rsidP="00E041DA" w14:paraId="5A1B44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32A58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A8BD7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TG25</w:t>
            </w:r>
          </w:p>
        </w:tc>
        <w:tc>
          <w:tcPr>
            <w:tcW w:w="1890" w:type="dxa"/>
          </w:tcPr>
          <w:p w:rsidR="00E041DA" w:rsidRPr="006054CC" w:rsidP="00E041DA" w14:paraId="11D61CF1" w14:textId="77777777">
            <w:pPr>
              <w:jc w:val="center"/>
              <w:rPr>
                <w:rFonts w:ascii="Arial" w:eastAsia="Times New Roman" w:hAnsi="Arial" w:cs="Arial"/>
                <w:color w:val="000000"/>
                <w:sz w:val="20"/>
                <w:szCs w:val="20"/>
              </w:rPr>
            </w:pPr>
            <w:r w:rsidRPr="00A131B9">
              <w:rPr>
                <w:rFonts w:ascii="Arial" w:eastAsia="Times New Roman" w:hAnsi="Arial" w:cs="Arial"/>
                <w:color w:val="000000"/>
                <w:sz w:val="20"/>
                <w:szCs w:val="20"/>
              </w:rPr>
              <w:t>NRC-2019-0062-0365</w:t>
            </w:r>
          </w:p>
        </w:tc>
        <w:tc>
          <w:tcPr>
            <w:tcW w:w="1615" w:type="dxa"/>
            <w:noWrap/>
            <w:hideMark/>
          </w:tcPr>
          <w:p w:rsidR="00E041DA" w:rsidRPr="006054CC" w:rsidP="00E041DA" w14:paraId="5E2117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ML25006A086</w:t>
            </w:r>
          </w:p>
        </w:tc>
      </w:tr>
      <w:tr w14:paraId="7D5C155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9C0BE3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041</w:t>
            </w:r>
          </w:p>
        </w:tc>
        <w:tc>
          <w:tcPr>
            <w:tcW w:w="1440" w:type="dxa"/>
            <w:noWrap/>
            <w:hideMark/>
          </w:tcPr>
          <w:p w:rsidR="00E041DA" w:rsidRPr="006054CC" w:rsidP="00E041DA" w14:paraId="524DFB8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Ernie Kee</w:t>
            </w:r>
          </w:p>
        </w:tc>
        <w:tc>
          <w:tcPr>
            <w:tcW w:w="1530" w:type="dxa"/>
            <w:noWrap/>
            <w:hideMark/>
          </w:tcPr>
          <w:p w:rsidR="00E041DA" w:rsidRPr="006054CC" w:rsidP="00E041DA" w14:paraId="14B64E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0E28E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EK</w:t>
            </w:r>
          </w:p>
        </w:tc>
        <w:tc>
          <w:tcPr>
            <w:tcW w:w="1890" w:type="dxa"/>
          </w:tcPr>
          <w:p w:rsidR="00E041DA" w:rsidRPr="006054CC" w:rsidP="00E041DA" w14:paraId="7E8E63D5" w14:textId="77777777">
            <w:pPr>
              <w:jc w:val="center"/>
              <w:rPr>
                <w:rFonts w:ascii="Arial" w:eastAsia="Times New Roman" w:hAnsi="Arial" w:cs="Arial"/>
                <w:color w:val="000000"/>
                <w:sz w:val="20"/>
                <w:szCs w:val="20"/>
              </w:rPr>
            </w:pPr>
            <w:r w:rsidRPr="00F66F54">
              <w:rPr>
                <w:rFonts w:ascii="Arial" w:eastAsia="Times New Roman" w:hAnsi="Arial" w:cs="Arial"/>
                <w:color w:val="000000"/>
                <w:sz w:val="20"/>
                <w:szCs w:val="20"/>
              </w:rPr>
              <w:t>NRC-2019-0062-0350</w:t>
            </w:r>
          </w:p>
        </w:tc>
        <w:tc>
          <w:tcPr>
            <w:tcW w:w="1615" w:type="dxa"/>
            <w:noWrap/>
            <w:hideMark/>
          </w:tcPr>
          <w:p w:rsidR="00E041DA" w:rsidRPr="006054CC" w:rsidP="00E041DA" w14:paraId="3798D6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ML25013A172</w:t>
            </w:r>
          </w:p>
        </w:tc>
      </w:tr>
      <w:tr w14:paraId="33FEA69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0ABAAE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042</w:t>
            </w:r>
          </w:p>
        </w:tc>
        <w:tc>
          <w:tcPr>
            <w:tcW w:w="1440" w:type="dxa"/>
            <w:noWrap/>
            <w:hideMark/>
          </w:tcPr>
          <w:p w:rsidR="00E041DA" w:rsidRPr="006054CC" w:rsidP="00E041DA" w14:paraId="64C778B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36FE64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6E299D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p>
        </w:tc>
        <w:tc>
          <w:tcPr>
            <w:tcW w:w="1890" w:type="dxa"/>
          </w:tcPr>
          <w:p w:rsidR="00E041DA" w:rsidRPr="006054CC" w:rsidP="00E041DA" w14:paraId="3E34E210" w14:textId="77777777">
            <w:pPr>
              <w:jc w:val="center"/>
              <w:rPr>
                <w:rFonts w:ascii="Arial" w:eastAsia="Times New Roman" w:hAnsi="Arial" w:cs="Arial"/>
                <w:color w:val="000000"/>
                <w:sz w:val="20"/>
                <w:szCs w:val="20"/>
              </w:rPr>
            </w:pPr>
            <w:r w:rsidRPr="00B05077">
              <w:rPr>
                <w:rFonts w:ascii="Arial" w:eastAsia="Times New Roman" w:hAnsi="Arial" w:cs="Arial"/>
                <w:color w:val="000000"/>
                <w:sz w:val="20"/>
                <w:szCs w:val="20"/>
              </w:rPr>
              <w:t>NRC-2019-0062-0351</w:t>
            </w:r>
          </w:p>
        </w:tc>
        <w:tc>
          <w:tcPr>
            <w:tcW w:w="1615" w:type="dxa"/>
            <w:noWrap/>
            <w:hideMark/>
          </w:tcPr>
          <w:p w:rsidR="00E041DA" w:rsidRPr="006054CC" w:rsidP="00E041DA" w14:paraId="0DD15D8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ML25013A173</w:t>
            </w:r>
          </w:p>
        </w:tc>
      </w:tr>
      <w:tr w14:paraId="19499BD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B4ABE4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043</w:t>
            </w:r>
          </w:p>
        </w:tc>
        <w:tc>
          <w:tcPr>
            <w:tcW w:w="1440" w:type="dxa"/>
            <w:noWrap/>
            <w:hideMark/>
          </w:tcPr>
          <w:p w:rsidR="00E041DA" w:rsidRPr="006054CC" w:rsidP="00E041DA" w14:paraId="0D73BE6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C5C70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14A2FB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HPT5</w:t>
            </w:r>
          </w:p>
        </w:tc>
        <w:tc>
          <w:tcPr>
            <w:tcW w:w="1890" w:type="dxa"/>
          </w:tcPr>
          <w:p w:rsidR="00E041DA" w:rsidRPr="006054CC" w:rsidP="00E041DA" w14:paraId="46168196" w14:textId="77777777">
            <w:pPr>
              <w:jc w:val="center"/>
              <w:rPr>
                <w:rFonts w:ascii="Arial" w:eastAsia="Times New Roman" w:hAnsi="Arial" w:cs="Arial"/>
                <w:color w:val="000000"/>
                <w:sz w:val="20"/>
                <w:szCs w:val="20"/>
              </w:rPr>
            </w:pPr>
            <w:r w:rsidRPr="00B05077">
              <w:rPr>
                <w:rFonts w:ascii="Arial" w:eastAsia="Times New Roman" w:hAnsi="Arial" w:cs="Arial"/>
                <w:color w:val="000000"/>
                <w:sz w:val="20"/>
                <w:szCs w:val="20"/>
              </w:rPr>
              <w:t>NRC-2019-0062-0352</w:t>
            </w:r>
          </w:p>
        </w:tc>
        <w:tc>
          <w:tcPr>
            <w:tcW w:w="1615" w:type="dxa"/>
            <w:noWrap/>
            <w:hideMark/>
          </w:tcPr>
          <w:p w:rsidR="00E041DA" w:rsidRPr="006054CC" w:rsidP="00E041DA" w14:paraId="6876312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ML25013A174</w:t>
            </w:r>
          </w:p>
        </w:tc>
      </w:tr>
      <w:tr w14:paraId="1AD5972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7EB35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044</w:t>
            </w:r>
          </w:p>
        </w:tc>
        <w:tc>
          <w:tcPr>
            <w:tcW w:w="1440" w:type="dxa"/>
            <w:noWrap/>
            <w:hideMark/>
          </w:tcPr>
          <w:p w:rsidR="00E041DA" w:rsidRPr="006054CC" w:rsidP="00E041DA" w14:paraId="557CF9D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68A195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AFB86E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HPT6</w:t>
            </w:r>
          </w:p>
        </w:tc>
        <w:tc>
          <w:tcPr>
            <w:tcW w:w="1890" w:type="dxa"/>
          </w:tcPr>
          <w:p w:rsidR="00E041DA" w:rsidRPr="006054CC" w:rsidP="00E041DA" w14:paraId="4E72693D" w14:textId="77777777">
            <w:pPr>
              <w:jc w:val="center"/>
              <w:rPr>
                <w:rFonts w:ascii="Arial" w:eastAsia="Times New Roman" w:hAnsi="Arial" w:cs="Arial"/>
                <w:color w:val="000000"/>
                <w:sz w:val="20"/>
                <w:szCs w:val="20"/>
              </w:rPr>
            </w:pPr>
            <w:r w:rsidRPr="00005A63">
              <w:rPr>
                <w:rFonts w:ascii="Arial" w:eastAsia="Times New Roman" w:hAnsi="Arial" w:cs="Arial"/>
                <w:color w:val="000000"/>
                <w:sz w:val="20"/>
                <w:szCs w:val="20"/>
              </w:rPr>
              <w:t>NRC-2019-0062-0353</w:t>
            </w:r>
          </w:p>
        </w:tc>
        <w:tc>
          <w:tcPr>
            <w:tcW w:w="1615" w:type="dxa"/>
            <w:noWrap/>
            <w:hideMark/>
          </w:tcPr>
          <w:p w:rsidR="00E041DA" w:rsidRPr="006054CC" w:rsidP="00E041DA" w14:paraId="163C1A9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ML25013A175</w:t>
            </w:r>
          </w:p>
        </w:tc>
      </w:tr>
      <w:tr w14:paraId="064D11D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F14B41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045</w:t>
            </w:r>
          </w:p>
        </w:tc>
        <w:tc>
          <w:tcPr>
            <w:tcW w:w="1440" w:type="dxa"/>
            <w:noWrap/>
            <w:hideMark/>
          </w:tcPr>
          <w:p w:rsidR="00E041DA" w:rsidRPr="006054CC" w:rsidP="00E041DA" w14:paraId="284ED3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323A85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9FF167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HPT7</w:t>
            </w:r>
          </w:p>
        </w:tc>
        <w:tc>
          <w:tcPr>
            <w:tcW w:w="1890" w:type="dxa"/>
          </w:tcPr>
          <w:p w:rsidR="00E041DA" w:rsidRPr="006054CC" w:rsidP="00E041DA" w14:paraId="0A0E621A" w14:textId="77777777">
            <w:pPr>
              <w:jc w:val="center"/>
              <w:rPr>
                <w:rFonts w:ascii="Arial" w:eastAsia="Times New Roman" w:hAnsi="Arial" w:cs="Arial"/>
                <w:color w:val="000000"/>
                <w:sz w:val="20"/>
                <w:szCs w:val="20"/>
              </w:rPr>
            </w:pPr>
            <w:r w:rsidRPr="00005A63">
              <w:rPr>
                <w:rFonts w:ascii="Arial" w:eastAsia="Times New Roman" w:hAnsi="Arial" w:cs="Arial"/>
                <w:color w:val="000000"/>
                <w:sz w:val="20"/>
                <w:szCs w:val="20"/>
              </w:rPr>
              <w:t>NRC-2019-0062-0354</w:t>
            </w:r>
          </w:p>
        </w:tc>
        <w:tc>
          <w:tcPr>
            <w:tcW w:w="1615" w:type="dxa"/>
            <w:noWrap/>
            <w:hideMark/>
          </w:tcPr>
          <w:p w:rsidR="00E041DA" w:rsidRPr="006054CC" w:rsidP="00E041DA" w14:paraId="64D624C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ML25013A176</w:t>
            </w:r>
          </w:p>
        </w:tc>
      </w:tr>
      <w:tr w14:paraId="5F2E430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5B296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046</w:t>
            </w:r>
          </w:p>
        </w:tc>
        <w:tc>
          <w:tcPr>
            <w:tcW w:w="1440" w:type="dxa"/>
            <w:noWrap/>
            <w:hideMark/>
          </w:tcPr>
          <w:p w:rsidR="00E041DA" w:rsidRPr="006054CC" w:rsidP="00E041DA" w14:paraId="3F5163E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071D4A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9F704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HPT8</w:t>
            </w:r>
          </w:p>
        </w:tc>
        <w:tc>
          <w:tcPr>
            <w:tcW w:w="1890" w:type="dxa"/>
          </w:tcPr>
          <w:p w:rsidR="00E041DA" w:rsidRPr="006054CC" w:rsidP="00E041DA" w14:paraId="3467E41A" w14:textId="77777777">
            <w:pPr>
              <w:jc w:val="center"/>
              <w:rPr>
                <w:rFonts w:ascii="Arial" w:eastAsia="Times New Roman" w:hAnsi="Arial" w:cs="Arial"/>
                <w:color w:val="000000"/>
                <w:sz w:val="20"/>
                <w:szCs w:val="20"/>
              </w:rPr>
            </w:pPr>
            <w:r w:rsidRPr="00005A63">
              <w:rPr>
                <w:rFonts w:ascii="Arial" w:eastAsia="Times New Roman" w:hAnsi="Arial" w:cs="Arial"/>
                <w:color w:val="000000"/>
                <w:sz w:val="20"/>
                <w:szCs w:val="20"/>
              </w:rPr>
              <w:t>NRC-2019-0062-0355</w:t>
            </w:r>
          </w:p>
        </w:tc>
        <w:tc>
          <w:tcPr>
            <w:tcW w:w="1615" w:type="dxa"/>
            <w:noWrap/>
            <w:hideMark/>
          </w:tcPr>
          <w:p w:rsidR="00E041DA" w:rsidRPr="006054CC" w:rsidP="00E041DA" w14:paraId="10A6844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ML25013A177</w:t>
            </w:r>
          </w:p>
        </w:tc>
      </w:tr>
      <w:tr w14:paraId="526D498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CCF5C1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047</w:t>
            </w:r>
          </w:p>
        </w:tc>
        <w:tc>
          <w:tcPr>
            <w:tcW w:w="1440" w:type="dxa"/>
            <w:noWrap/>
            <w:hideMark/>
          </w:tcPr>
          <w:p w:rsidR="00E041DA" w:rsidRPr="006054CC" w:rsidP="00E041DA" w14:paraId="0A0B7B7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58CAA7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075A64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HPT9</w:t>
            </w:r>
          </w:p>
        </w:tc>
        <w:tc>
          <w:tcPr>
            <w:tcW w:w="1890" w:type="dxa"/>
          </w:tcPr>
          <w:p w:rsidR="00E041DA" w:rsidRPr="006054CC" w:rsidP="00E041DA" w14:paraId="2C799BA2" w14:textId="77777777">
            <w:pPr>
              <w:jc w:val="center"/>
              <w:rPr>
                <w:rFonts w:ascii="Arial" w:eastAsia="Times New Roman" w:hAnsi="Arial" w:cs="Arial"/>
                <w:color w:val="000000"/>
                <w:sz w:val="20"/>
                <w:szCs w:val="20"/>
              </w:rPr>
            </w:pPr>
            <w:r w:rsidRPr="00005A63">
              <w:rPr>
                <w:rFonts w:ascii="Arial" w:eastAsia="Times New Roman" w:hAnsi="Arial" w:cs="Arial"/>
                <w:color w:val="000000"/>
                <w:sz w:val="20"/>
                <w:szCs w:val="20"/>
              </w:rPr>
              <w:t>NRC-2019-0062-0356</w:t>
            </w:r>
          </w:p>
        </w:tc>
        <w:tc>
          <w:tcPr>
            <w:tcW w:w="1615" w:type="dxa"/>
            <w:noWrap/>
            <w:hideMark/>
          </w:tcPr>
          <w:p w:rsidR="00E041DA" w:rsidRPr="006054CC" w:rsidP="00E041DA" w14:paraId="5054708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ML25013A178</w:t>
            </w:r>
          </w:p>
        </w:tc>
      </w:tr>
      <w:tr w14:paraId="00E93A9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5AB78A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048</w:t>
            </w:r>
          </w:p>
        </w:tc>
        <w:tc>
          <w:tcPr>
            <w:tcW w:w="1440" w:type="dxa"/>
            <w:noWrap/>
            <w:hideMark/>
          </w:tcPr>
          <w:p w:rsidR="00E041DA" w:rsidRPr="006054CC" w:rsidP="00E041DA" w14:paraId="5E40244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DBCF64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54037D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HPT10</w:t>
            </w:r>
          </w:p>
        </w:tc>
        <w:tc>
          <w:tcPr>
            <w:tcW w:w="1890" w:type="dxa"/>
          </w:tcPr>
          <w:p w:rsidR="00E041DA" w:rsidRPr="006054CC" w:rsidP="00E041DA" w14:paraId="7BAB023A" w14:textId="77777777">
            <w:pPr>
              <w:jc w:val="center"/>
              <w:rPr>
                <w:rFonts w:ascii="Arial" w:eastAsia="Times New Roman" w:hAnsi="Arial" w:cs="Arial"/>
                <w:color w:val="000000"/>
                <w:sz w:val="20"/>
                <w:szCs w:val="20"/>
              </w:rPr>
            </w:pPr>
            <w:r w:rsidRPr="00F22AD5">
              <w:rPr>
                <w:rFonts w:ascii="Arial" w:eastAsia="Times New Roman" w:hAnsi="Arial" w:cs="Arial"/>
                <w:color w:val="000000"/>
                <w:sz w:val="20"/>
                <w:szCs w:val="20"/>
              </w:rPr>
              <w:t>NRC-2019-0062-0357</w:t>
            </w:r>
          </w:p>
        </w:tc>
        <w:tc>
          <w:tcPr>
            <w:tcW w:w="1615" w:type="dxa"/>
            <w:noWrap/>
            <w:hideMark/>
          </w:tcPr>
          <w:p w:rsidR="00E041DA" w:rsidRPr="006054CC" w:rsidP="00E041DA" w14:paraId="6A81641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ML25013A17Q</w:t>
            </w:r>
          </w:p>
        </w:tc>
      </w:tr>
      <w:tr w14:paraId="4499171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E799F3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049</w:t>
            </w:r>
          </w:p>
        </w:tc>
        <w:tc>
          <w:tcPr>
            <w:tcW w:w="1440" w:type="dxa"/>
            <w:noWrap/>
            <w:hideMark/>
          </w:tcPr>
          <w:p w:rsidR="00E041DA" w:rsidRPr="006054CC" w:rsidP="00E041DA" w14:paraId="6ADD5A6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48E1A52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388A95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TG26</w:t>
            </w:r>
          </w:p>
        </w:tc>
        <w:tc>
          <w:tcPr>
            <w:tcW w:w="1890" w:type="dxa"/>
          </w:tcPr>
          <w:p w:rsidR="00E041DA" w:rsidRPr="006054CC" w:rsidP="00E041DA" w14:paraId="7CD5844F" w14:textId="77777777">
            <w:pPr>
              <w:jc w:val="center"/>
              <w:rPr>
                <w:rFonts w:ascii="Arial" w:eastAsia="Times New Roman" w:hAnsi="Arial" w:cs="Arial"/>
                <w:color w:val="000000"/>
                <w:sz w:val="20"/>
                <w:szCs w:val="20"/>
              </w:rPr>
            </w:pPr>
            <w:r w:rsidRPr="00F22AD5">
              <w:rPr>
                <w:rFonts w:ascii="Arial" w:eastAsia="Times New Roman" w:hAnsi="Arial" w:cs="Arial"/>
                <w:color w:val="000000"/>
                <w:sz w:val="20"/>
                <w:szCs w:val="20"/>
              </w:rPr>
              <w:t>NRC-2019-0062-0364</w:t>
            </w:r>
          </w:p>
        </w:tc>
        <w:tc>
          <w:tcPr>
            <w:tcW w:w="1615" w:type="dxa"/>
            <w:noWrap/>
            <w:hideMark/>
          </w:tcPr>
          <w:p w:rsidR="00E041DA" w:rsidRPr="006054CC" w:rsidP="00E041DA" w14:paraId="2641C7C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ML25015A103</w:t>
            </w:r>
          </w:p>
        </w:tc>
      </w:tr>
      <w:tr w14:paraId="5657E19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017E7B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050</w:t>
            </w:r>
          </w:p>
        </w:tc>
        <w:tc>
          <w:tcPr>
            <w:tcW w:w="1440" w:type="dxa"/>
            <w:noWrap/>
            <w:hideMark/>
          </w:tcPr>
          <w:p w:rsidR="00E041DA" w:rsidRPr="006054CC" w:rsidP="00E041DA" w14:paraId="7020EB7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Lisa Davis</w:t>
            </w:r>
          </w:p>
        </w:tc>
        <w:tc>
          <w:tcPr>
            <w:tcW w:w="1530" w:type="dxa"/>
            <w:noWrap/>
            <w:hideMark/>
          </w:tcPr>
          <w:p w:rsidR="00E041DA" w:rsidRPr="006054CC" w:rsidP="00E041DA" w14:paraId="39F6E0F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F224E4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LD</w:t>
            </w:r>
          </w:p>
        </w:tc>
        <w:tc>
          <w:tcPr>
            <w:tcW w:w="1890" w:type="dxa"/>
          </w:tcPr>
          <w:p w:rsidR="00E041DA" w:rsidRPr="006054CC" w:rsidP="00E041DA" w14:paraId="722304F6" w14:textId="77777777">
            <w:pPr>
              <w:jc w:val="center"/>
              <w:rPr>
                <w:rFonts w:ascii="Arial" w:eastAsia="Times New Roman" w:hAnsi="Arial" w:cs="Arial"/>
                <w:color w:val="000000"/>
                <w:sz w:val="20"/>
                <w:szCs w:val="20"/>
              </w:rPr>
            </w:pPr>
            <w:r w:rsidRPr="00F22AD5">
              <w:rPr>
                <w:rFonts w:ascii="Arial" w:eastAsia="Times New Roman" w:hAnsi="Arial" w:cs="Arial"/>
                <w:color w:val="000000"/>
                <w:sz w:val="20"/>
                <w:szCs w:val="20"/>
              </w:rPr>
              <w:t>NRC-2019-0062-0372</w:t>
            </w:r>
          </w:p>
        </w:tc>
        <w:tc>
          <w:tcPr>
            <w:tcW w:w="1615" w:type="dxa"/>
            <w:noWrap/>
            <w:hideMark/>
          </w:tcPr>
          <w:p w:rsidR="00E041DA" w:rsidRPr="006054CC" w:rsidP="00E041DA" w14:paraId="4482508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ML25023A177</w:t>
            </w:r>
          </w:p>
        </w:tc>
      </w:tr>
      <w:tr w14:paraId="78905CF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47677E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051</w:t>
            </w:r>
          </w:p>
        </w:tc>
        <w:tc>
          <w:tcPr>
            <w:tcW w:w="1440" w:type="dxa"/>
            <w:noWrap/>
            <w:hideMark/>
          </w:tcPr>
          <w:p w:rsidR="00E041DA" w:rsidRPr="006054CC" w:rsidP="00E041DA" w14:paraId="4FE2EA8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4F4B2DE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22DDFD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AN2</w:t>
            </w:r>
          </w:p>
        </w:tc>
        <w:tc>
          <w:tcPr>
            <w:tcW w:w="1890" w:type="dxa"/>
          </w:tcPr>
          <w:p w:rsidR="00E041DA" w:rsidRPr="006054CC" w:rsidP="00E041DA" w14:paraId="04F16040" w14:textId="77777777">
            <w:pPr>
              <w:jc w:val="center"/>
              <w:rPr>
                <w:rFonts w:ascii="Arial" w:eastAsia="Times New Roman" w:hAnsi="Arial" w:cs="Arial"/>
                <w:color w:val="000000"/>
                <w:sz w:val="20"/>
                <w:szCs w:val="20"/>
              </w:rPr>
            </w:pPr>
            <w:r w:rsidRPr="00E832FF">
              <w:rPr>
                <w:rFonts w:ascii="Arial" w:hAnsi="Arial" w:cs="Arial"/>
                <w:sz w:val="20"/>
                <w:szCs w:val="20"/>
              </w:rPr>
              <w:t>NRC-2019-0062-0373</w:t>
            </w:r>
          </w:p>
        </w:tc>
        <w:tc>
          <w:tcPr>
            <w:tcW w:w="1615" w:type="dxa"/>
            <w:noWrap/>
            <w:hideMark/>
          </w:tcPr>
          <w:p w:rsidR="00E041DA" w:rsidRPr="006054CC" w:rsidP="00E041DA" w14:paraId="3B06379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ML25021A303</w:t>
            </w:r>
          </w:p>
        </w:tc>
      </w:tr>
      <w:tr w14:paraId="48733B8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54C901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052</w:t>
            </w:r>
          </w:p>
        </w:tc>
        <w:tc>
          <w:tcPr>
            <w:tcW w:w="1440" w:type="dxa"/>
            <w:noWrap/>
            <w:hideMark/>
          </w:tcPr>
          <w:p w:rsidR="00E041DA" w:rsidRPr="006054CC" w:rsidP="00E041DA" w14:paraId="7541442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63E199E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0D978F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HPT11</w:t>
            </w:r>
          </w:p>
        </w:tc>
        <w:tc>
          <w:tcPr>
            <w:tcW w:w="1890" w:type="dxa"/>
          </w:tcPr>
          <w:p w:rsidR="00E041DA" w:rsidRPr="006054CC" w:rsidP="00E041DA" w14:paraId="1203BF2F" w14:textId="77777777">
            <w:pPr>
              <w:jc w:val="center"/>
              <w:rPr>
                <w:rFonts w:ascii="Arial" w:eastAsia="Times New Roman" w:hAnsi="Arial" w:cs="Arial"/>
                <w:color w:val="000000"/>
                <w:sz w:val="20"/>
                <w:szCs w:val="20"/>
              </w:rPr>
            </w:pPr>
            <w:r w:rsidRPr="00E832FF">
              <w:rPr>
                <w:rFonts w:ascii="Arial" w:hAnsi="Arial" w:cs="Arial"/>
                <w:sz w:val="20"/>
                <w:szCs w:val="20"/>
              </w:rPr>
              <w:t>NRC-2019-0062-0371</w:t>
            </w:r>
          </w:p>
        </w:tc>
        <w:tc>
          <w:tcPr>
            <w:tcW w:w="1615" w:type="dxa"/>
            <w:noWrap/>
            <w:hideMark/>
          </w:tcPr>
          <w:p w:rsidR="00E041DA" w:rsidRPr="006054CC" w:rsidP="00E041DA" w14:paraId="34CA1AC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ML25027A422</w:t>
            </w:r>
          </w:p>
        </w:tc>
      </w:tr>
      <w:tr w14:paraId="59D50C4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7BFC36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053</w:t>
            </w:r>
          </w:p>
        </w:tc>
        <w:tc>
          <w:tcPr>
            <w:tcW w:w="1440" w:type="dxa"/>
            <w:noWrap/>
            <w:hideMark/>
          </w:tcPr>
          <w:p w:rsidR="00E041DA" w:rsidRPr="006054CC" w:rsidP="00E041DA" w14:paraId="62B8D91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686DB69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4030AF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TG27</w:t>
            </w:r>
          </w:p>
        </w:tc>
        <w:tc>
          <w:tcPr>
            <w:tcW w:w="1890" w:type="dxa"/>
          </w:tcPr>
          <w:p w:rsidR="00E041DA" w:rsidRPr="006054CC" w:rsidP="00E041DA" w14:paraId="13C8511E" w14:textId="77777777">
            <w:pPr>
              <w:jc w:val="center"/>
              <w:rPr>
                <w:rFonts w:ascii="Arial" w:eastAsia="Times New Roman" w:hAnsi="Arial" w:cs="Arial"/>
                <w:color w:val="000000"/>
                <w:sz w:val="20"/>
                <w:szCs w:val="20"/>
              </w:rPr>
            </w:pPr>
            <w:r w:rsidRPr="00E832FF">
              <w:rPr>
                <w:rFonts w:ascii="Arial" w:hAnsi="Arial" w:cs="Arial"/>
                <w:sz w:val="20"/>
                <w:szCs w:val="20"/>
              </w:rPr>
              <w:t>NRC-2019-0062-0383</w:t>
            </w:r>
          </w:p>
        </w:tc>
        <w:tc>
          <w:tcPr>
            <w:tcW w:w="1615" w:type="dxa"/>
            <w:noWrap/>
            <w:hideMark/>
          </w:tcPr>
          <w:p w:rsidR="00E041DA" w:rsidRPr="006054CC" w:rsidP="00E041DA" w14:paraId="06DCA5E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ML25024A196</w:t>
            </w:r>
          </w:p>
        </w:tc>
      </w:tr>
      <w:tr w14:paraId="3536183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D458BB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054</w:t>
            </w:r>
          </w:p>
        </w:tc>
        <w:tc>
          <w:tcPr>
            <w:tcW w:w="1440" w:type="dxa"/>
            <w:noWrap/>
            <w:hideMark/>
          </w:tcPr>
          <w:p w:rsidR="00E041DA" w:rsidRPr="006054CC" w:rsidP="00E041DA" w14:paraId="500E9A1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B3B3D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AA6BDB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HPT12</w:t>
            </w:r>
          </w:p>
        </w:tc>
        <w:tc>
          <w:tcPr>
            <w:tcW w:w="1890" w:type="dxa"/>
          </w:tcPr>
          <w:p w:rsidR="00E041DA" w:rsidRPr="006054CC" w:rsidP="00E041DA" w14:paraId="39C9E60F" w14:textId="77777777">
            <w:pPr>
              <w:jc w:val="center"/>
              <w:rPr>
                <w:rFonts w:ascii="Arial" w:eastAsia="Times New Roman" w:hAnsi="Arial" w:cs="Arial"/>
                <w:color w:val="000000"/>
                <w:sz w:val="20"/>
                <w:szCs w:val="20"/>
              </w:rPr>
            </w:pPr>
            <w:r w:rsidRPr="00E832FF">
              <w:rPr>
                <w:rFonts w:ascii="Arial" w:hAnsi="Arial" w:cs="Arial"/>
                <w:sz w:val="20"/>
                <w:szCs w:val="20"/>
              </w:rPr>
              <w:t>NRC-2019-0062-0384</w:t>
            </w:r>
          </w:p>
        </w:tc>
        <w:tc>
          <w:tcPr>
            <w:tcW w:w="1615" w:type="dxa"/>
            <w:noWrap/>
            <w:hideMark/>
          </w:tcPr>
          <w:p w:rsidR="00E041DA" w:rsidRPr="006054CC" w:rsidP="00E041DA" w14:paraId="118BA49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ML25024A197</w:t>
            </w:r>
          </w:p>
        </w:tc>
      </w:tr>
      <w:tr w14:paraId="7DB1F92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74BA3E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055</w:t>
            </w:r>
          </w:p>
        </w:tc>
        <w:tc>
          <w:tcPr>
            <w:tcW w:w="1440" w:type="dxa"/>
            <w:noWrap/>
            <w:hideMark/>
          </w:tcPr>
          <w:p w:rsidR="00E041DA" w:rsidRPr="006054CC" w:rsidP="00E041DA" w14:paraId="2BDC08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3485ED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A6AC3E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HPT13</w:t>
            </w:r>
          </w:p>
        </w:tc>
        <w:tc>
          <w:tcPr>
            <w:tcW w:w="1890" w:type="dxa"/>
          </w:tcPr>
          <w:p w:rsidR="00E041DA" w:rsidRPr="006054CC" w:rsidP="00E041DA" w14:paraId="6CE978E9" w14:textId="77777777">
            <w:pPr>
              <w:jc w:val="center"/>
              <w:rPr>
                <w:rFonts w:ascii="Arial" w:eastAsia="Times New Roman" w:hAnsi="Arial" w:cs="Arial"/>
                <w:color w:val="000000"/>
                <w:sz w:val="20"/>
                <w:szCs w:val="20"/>
              </w:rPr>
            </w:pPr>
            <w:r w:rsidRPr="00AE5960">
              <w:rPr>
                <w:rFonts w:ascii="Arial" w:eastAsia="Times New Roman" w:hAnsi="Arial" w:cs="Arial"/>
                <w:color w:val="000000"/>
                <w:sz w:val="20"/>
                <w:szCs w:val="20"/>
              </w:rPr>
              <w:t>NRC-2019-0062-0385</w:t>
            </w:r>
          </w:p>
        </w:tc>
        <w:tc>
          <w:tcPr>
            <w:tcW w:w="1615" w:type="dxa"/>
            <w:noWrap/>
            <w:hideMark/>
          </w:tcPr>
          <w:p w:rsidR="00E041DA" w:rsidRPr="006054CC" w:rsidP="00E041DA" w14:paraId="53D06B5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ML25024A198</w:t>
            </w:r>
          </w:p>
        </w:tc>
      </w:tr>
      <w:tr w14:paraId="2E69613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FB17C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056</w:t>
            </w:r>
          </w:p>
        </w:tc>
        <w:tc>
          <w:tcPr>
            <w:tcW w:w="1440" w:type="dxa"/>
            <w:noWrap/>
            <w:hideMark/>
          </w:tcPr>
          <w:p w:rsidR="00E041DA" w:rsidRPr="006054CC" w:rsidP="00E041DA" w14:paraId="47005C0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3D897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572D3AA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HPT14</w:t>
            </w:r>
          </w:p>
        </w:tc>
        <w:tc>
          <w:tcPr>
            <w:tcW w:w="1890" w:type="dxa"/>
          </w:tcPr>
          <w:p w:rsidR="00E041DA" w:rsidRPr="006054CC" w:rsidP="00E041DA" w14:paraId="7D2FB1EA" w14:textId="77777777">
            <w:pPr>
              <w:jc w:val="center"/>
              <w:rPr>
                <w:rFonts w:ascii="Arial" w:eastAsia="Times New Roman" w:hAnsi="Arial" w:cs="Arial"/>
                <w:color w:val="000000"/>
                <w:sz w:val="20"/>
                <w:szCs w:val="20"/>
              </w:rPr>
            </w:pPr>
            <w:r w:rsidRPr="00E832FF">
              <w:rPr>
                <w:rFonts w:ascii="Arial" w:hAnsi="Arial" w:cs="Arial"/>
                <w:sz w:val="20"/>
                <w:szCs w:val="20"/>
              </w:rPr>
              <w:t>NRC-2019-0062-0375</w:t>
            </w:r>
          </w:p>
        </w:tc>
        <w:tc>
          <w:tcPr>
            <w:tcW w:w="1615" w:type="dxa"/>
            <w:noWrap/>
            <w:hideMark/>
          </w:tcPr>
          <w:p w:rsidR="00E041DA" w:rsidRPr="006054CC" w:rsidP="00E041DA" w14:paraId="29C9666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ML25027A422</w:t>
            </w:r>
          </w:p>
        </w:tc>
      </w:tr>
      <w:tr w14:paraId="47807AB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BC2795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057</w:t>
            </w:r>
          </w:p>
        </w:tc>
        <w:tc>
          <w:tcPr>
            <w:tcW w:w="1440" w:type="dxa"/>
            <w:noWrap/>
            <w:hideMark/>
          </w:tcPr>
          <w:p w:rsidR="00E041DA" w:rsidRPr="006054CC" w:rsidP="00E041DA" w14:paraId="0EB668C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06DDA60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03651C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HPT15</w:t>
            </w:r>
          </w:p>
        </w:tc>
        <w:tc>
          <w:tcPr>
            <w:tcW w:w="1890" w:type="dxa"/>
          </w:tcPr>
          <w:p w:rsidR="00E041DA" w:rsidRPr="006054CC" w:rsidP="00E041DA" w14:paraId="3EECEC5B" w14:textId="77777777">
            <w:pPr>
              <w:jc w:val="center"/>
              <w:rPr>
                <w:rFonts w:ascii="Arial" w:eastAsia="Times New Roman" w:hAnsi="Arial" w:cs="Arial"/>
                <w:color w:val="000000"/>
                <w:sz w:val="20"/>
                <w:szCs w:val="20"/>
              </w:rPr>
            </w:pPr>
            <w:r w:rsidRPr="00903A73">
              <w:rPr>
                <w:rFonts w:ascii="Arial" w:eastAsia="Times New Roman" w:hAnsi="Arial" w:cs="Arial"/>
                <w:color w:val="000000"/>
                <w:sz w:val="20"/>
                <w:szCs w:val="20"/>
              </w:rPr>
              <w:t>NRC-2019-0062-0374</w:t>
            </w:r>
          </w:p>
        </w:tc>
        <w:tc>
          <w:tcPr>
            <w:tcW w:w="1615" w:type="dxa"/>
            <w:noWrap/>
            <w:hideMark/>
          </w:tcPr>
          <w:p w:rsidR="00E041DA" w:rsidRPr="006054CC" w:rsidP="00E041DA" w14:paraId="223432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ML25027A423</w:t>
            </w:r>
          </w:p>
        </w:tc>
      </w:tr>
      <w:tr w14:paraId="3F671BB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6F15C0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058</w:t>
            </w:r>
          </w:p>
        </w:tc>
        <w:tc>
          <w:tcPr>
            <w:tcW w:w="1440" w:type="dxa"/>
            <w:noWrap/>
            <w:hideMark/>
          </w:tcPr>
          <w:p w:rsidR="00E041DA" w:rsidRPr="006054CC" w:rsidP="00E041DA" w14:paraId="146481A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6ECF19A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A1896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HPT16</w:t>
            </w:r>
          </w:p>
        </w:tc>
        <w:tc>
          <w:tcPr>
            <w:tcW w:w="1890" w:type="dxa"/>
          </w:tcPr>
          <w:p w:rsidR="00E041DA" w:rsidRPr="006054CC" w:rsidP="00E041DA" w14:paraId="3C5F1776" w14:textId="77777777">
            <w:pPr>
              <w:jc w:val="center"/>
              <w:rPr>
                <w:rFonts w:ascii="Arial" w:eastAsia="Times New Roman" w:hAnsi="Arial" w:cs="Arial"/>
                <w:color w:val="000000"/>
                <w:sz w:val="20"/>
                <w:szCs w:val="20"/>
              </w:rPr>
            </w:pPr>
            <w:r w:rsidRPr="00903A73">
              <w:rPr>
                <w:rFonts w:ascii="Arial" w:eastAsia="Times New Roman" w:hAnsi="Arial" w:cs="Arial"/>
                <w:color w:val="000000"/>
                <w:sz w:val="20"/>
                <w:szCs w:val="20"/>
              </w:rPr>
              <w:t>NRC-2019-0062-0396</w:t>
            </w:r>
          </w:p>
        </w:tc>
        <w:tc>
          <w:tcPr>
            <w:tcW w:w="1615" w:type="dxa"/>
            <w:noWrap/>
            <w:hideMark/>
          </w:tcPr>
          <w:p w:rsidR="00E041DA" w:rsidRPr="006054CC" w:rsidP="00E041DA" w14:paraId="2713D88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ML25027A424</w:t>
            </w:r>
          </w:p>
        </w:tc>
      </w:tr>
      <w:tr w14:paraId="13B69CA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19E554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059</w:t>
            </w:r>
          </w:p>
        </w:tc>
        <w:tc>
          <w:tcPr>
            <w:tcW w:w="1440" w:type="dxa"/>
            <w:noWrap/>
            <w:hideMark/>
          </w:tcPr>
          <w:p w:rsidR="00E041DA" w:rsidRPr="006054CC" w:rsidP="00E041DA" w14:paraId="623A67E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5B1AE8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C829E6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HPT17</w:t>
            </w:r>
          </w:p>
        </w:tc>
        <w:tc>
          <w:tcPr>
            <w:tcW w:w="1890" w:type="dxa"/>
          </w:tcPr>
          <w:p w:rsidR="00E041DA" w:rsidRPr="006054CC" w:rsidP="00E041DA" w14:paraId="7A02E7F2" w14:textId="77777777">
            <w:pPr>
              <w:jc w:val="center"/>
              <w:rPr>
                <w:rFonts w:ascii="Arial" w:eastAsia="Times New Roman" w:hAnsi="Arial" w:cs="Arial"/>
                <w:color w:val="000000"/>
                <w:sz w:val="20"/>
                <w:szCs w:val="20"/>
              </w:rPr>
            </w:pPr>
            <w:r w:rsidRPr="00E832FF">
              <w:rPr>
                <w:rFonts w:ascii="Arial" w:hAnsi="Arial" w:cs="Arial"/>
                <w:sz w:val="20"/>
                <w:szCs w:val="20"/>
              </w:rPr>
              <w:t>NRC-2019-0062-0369</w:t>
            </w:r>
          </w:p>
        </w:tc>
        <w:tc>
          <w:tcPr>
            <w:tcW w:w="1615" w:type="dxa"/>
            <w:noWrap/>
            <w:hideMark/>
          </w:tcPr>
          <w:p w:rsidR="00E041DA" w:rsidRPr="006054CC" w:rsidP="00E041DA" w14:paraId="5C8920A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ML25027A452</w:t>
            </w:r>
          </w:p>
        </w:tc>
      </w:tr>
      <w:tr w14:paraId="1B96D12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FA59C4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060</w:t>
            </w:r>
          </w:p>
        </w:tc>
        <w:tc>
          <w:tcPr>
            <w:tcW w:w="1440" w:type="dxa"/>
            <w:noWrap/>
            <w:hideMark/>
          </w:tcPr>
          <w:p w:rsidR="00E041DA" w:rsidRPr="006054CC" w:rsidP="00E041DA" w14:paraId="6F68F3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85F1A6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383D99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HPT18</w:t>
            </w:r>
          </w:p>
        </w:tc>
        <w:tc>
          <w:tcPr>
            <w:tcW w:w="1890" w:type="dxa"/>
          </w:tcPr>
          <w:p w:rsidR="00E041DA" w:rsidRPr="006054CC" w:rsidP="00E041DA" w14:paraId="543EAA2D" w14:textId="77777777">
            <w:pPr>
              <w:jc w:val="center"/>
              <w:rPr>
                <w:rFonts w:ascii="Arial" w:eastAsia="Times New Roman" w:hAnsi="Arial" w:cs="Arial"/>
                <w:color w:val="000000"/>
                <w:sz w:val="20"/>
                <w:szCs w:val="20"/>
              </w:rPr>
            </w:pPr>
            <w:r w:rsidRPr="00E832FF">
              <w:rPr>
                <w:rFonts w:ascii="Arial" w:hAnsi="Arial" w:cs="Arial"/>
                <w:sz w:val="20"/>
                <w:szCs w:val="20"/>
              </w:rPr>
              <w:t>NRC-2019-0062-0395</w:t>
            </w:r>
          </w:p>
        </w:tc>
        <w:tc>
          <w:tcPr>
            <w:tcW w:w="1615" w:type="dxa"/>
            <w:noWrap/>
            <w:hideMark/>
          </w:tcPr>
          <w:p w:rsidR="00E041DA" w:rsidRPr="006054CC" w:rsidP="00E041DA" w14:paraId="03136F0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ML25027A453</w:t>
            </w:r>
          </w:p>
        </w:tc>
      </w:tr>
      <w:tr w14:paraId="253A90E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3E2CA2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061</w:t>
            </w:r>
          </w:p>
        </w:tc>
        <w:tc>
          <w:tcPr>
            <w:tcW w:w="1440" w:type="dxa"/>
            <w:noWrap/>
            <w:hideMark/>
          </w:tcPr>
          <w:p w:rsidR="00E041DA" w:rsidRPr="006054CC" w:rsidP="00E041DA" w14:paraId="2E72ADE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008698C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69F57D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HPT19</w:t>
            </w:r>
          </w:p>
        </w:tc>
        <w:tc>
          <w:tcPr>
            <w:tcW w:w="1890" w:type="dxa"/>
          </w:tcPr>
          <w:p w:rsidR="00E041DA" w:rsidRPr="006054CC" w:rsidP="00E041DA" w14:paraId="69FAB01F" w14:textId="77777777">
            <w:pPr>
              <w:jc w:val="center"/>
              <w:rPr>
                <w:rFonts w:ascii="Arial" w:eastAsia="Times New Roman" w:hAnsi="Arial" w:cs="Arial"/>
                <w:color w:val="000000"/>
                <w:sz w:val="20"/>
                <w:szCs w:val="20"/>
              </w:rPr>
            </w:pPr>
            <w:r w:rsidRPr="00D64999">
              <w:rPr>
                <w:rFonts w:ascii="Arial" w:eastAsia="Times New Roman" w:hAnsi="Arial" w:cs="Arial"/>
                <w:color w:val="000000"/>
                <w:sz w:val="20"/>
                <w:szCs w:val="20"/>
              </w:rPr>
              <w:t>NRC-2019-0062-0370</w:t>
            </w:r>
          </w:p>
        </w:tc>
        <w:tc>
          <w:tcPr>
            <w:tcW w:w="1615" w:type="dxa"/>
            <w:noWrap/>
            <w:hideMark/>
          </w:tcPr>
          <w:p w:rsidR="00E041DA" w:rsidRPr="006054CC" w:rsidP="00E041DA" w14:paraId="51437DB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ML25027A454</w:t>
            </w:r>
          </w:p>
        </w:tc>
      </w:tr>
      <w:tr w14:paraId="43FE9E5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2D5A2F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062</w:t>
            </w:r>
          </w:p>
        </w:tc>
        <w:tc>
          <w:tcPr>
            <w:tcW w:w="1440" w:type="dxa"/>
            <w:noWrap/>
            <w:hideMark/>
          </w:tcPr>
          <w:p w:rsidR="00E041DA" w:rsidRPr="006054CC" w:rsidP="00E041DA" w14:paraId="68D9CEA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06D985E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1F1DED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HPT20</w:t>
            </w:r>
          </w:p>
        </w:tc>
        <w:tc>
          <w:tcPr>
            <w:tcW w:w="1890" w:type="dxa"/>
          </w:tcPr>
          <w:p w:rsidR="00E041DA" w:rsidRPr="006054CC" w:rsidP="00E041DA" w14:paraId="16FE5FE8" w14:textId="77777777">
            <w:pPr>
              <w:jc w:val="center"/>
              <w:rPr>
                <w:rFonts w:ascii="Arial" w:eastAsia="Times New Roman" w:hAnsi="Arial" w:cs="Arial"/>
                <w:color w:val="000000"/>
                <w:sz w:val="20"/>
                <w:szCs w:val="20"/>
              </w:rPr>
            </w:pPr>
            <w:r w:rsidRPr="00D64999">
              <w:rPr>
                <w:rFonts w:ascii="Arial" w:eastAsia="Times New Roman" w:hAnsi="Arial" w:cs="Arial"/>
                <w:color w:val="000000"/>
                <w:sz w:val="20"/>
                <w:szCs w:val="20"/>
              </w:rPr>
              <w:t>NRC-2019-0062-0400</w:t>
            </w:r>
          </w:p>
        </w:tc>
        <w:tc>
          <w:tcPr>
            <w:tcW w:w="1615" w:type="dxa"/>
            <w:noWrap/>
            <w:hideMark/>
          </w:tcPr>
          <w:p w:rsidR="00E041DA" w:rsidRPr="006054CC" w:rsidP="00E041DA" w14:paraId="37B2088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ML25030A375</w:t>
            </w:r>
          </w:p>
        </w:tc>
      </w:tr>
      <w:tr w14:paraId="4EC4533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A0DC51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063</w:t>
            </w:r>
          </w:p>
        </w:tc>
        <w:tc>
          <w:tcPr>
            <w:tcW w:w="1440" w:type="dxa"/>
            <w:noWrap/>
            <w:hideMark/>
          </w:tcPr>
          <w:p w:rsidR="00E041DA" w:rsidRPr="006054CC" w:rsidP="00E041DA" w14:paraId="1D4E56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Romney Duffey</w:t>
            </w:r>
          </w:p>
        </w:tc>
        <w:tc>
          <w:tcPr>
            <w:tcW w:w="1530" w:type="dxa"/>
            <w:noWrap/>
            <w:hideMark/>
          </w:tcPr>
          <w:p w:rsidR="00E041DA" w:rsidRPr="006054CC" w:rsidP="00E041DA" w14:paraId="6160E0F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CA3A96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RD</w:t>
            </w:r>
          </w:p>
        </w:tc>
        <w:tc>
          <w:tcPr>
            <w:tcW w:w="1890" w:type="dxa"/>
          </w:tcPr>
          <w:p w:rsidR="00E041DA" w:rsidRPr="006054CC" w:rsidP="00E041DA" w14:paraId="0DA6419D" w14:textId="77777777">
            <w:pPr>
              <w:jc w:val="center"/>
              <w:rPr>
                <w:rFonts w:ascii="Arial" w:eastAsia="Times New Roman" w:hAnsi="Arial" w:cs="Arial"/>
                <w:color w:val="000000"/>
                <w:sz w:val="20"/>
                <w:szCs w:val="20"/>
              </w:rPr>
            </w:pPr>
            <w:r w:rsidRPr="00A02F0C">
              <w:rPr>
                <w:rFonts w:ascii="Arial" w:eastAsia="Times New Roman" w:hAnsi="Arial" w:cs="Arial"/>
                <w:color w:val="000000"/>
                <w:sz w:val="20"/>
                <w:szCs w:val="20"/>
              </w:rPr>
              <w:t>NRC-2019-0062-0398</w:t>
            </w:r>
          </w:p>
        </w:tc>
        <w:tc>
          <w:tcPr>
            <w:tcW w:w="1615" w:type="dxa"/>
            <w:noWrap/>
            <w:hideMark/>
          </w:tcPr>
          <w:p w:rsidR="00E041DA" w:rsidRPr="006054CC" w:rsidP="00E041DA" w14:paraId="3E2FE72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ML25034A063</w:t>
            </w:r>
          </w:p>
        </w:tc>
      </w:tr>
      <w:tr w14:paraId="1560316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CB9ECE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064</w:t>
            </w:r>
          </w:p>
        </w:tc>
        <w:tc>
          <w:tcPr>
            <w:tcW w:w="1440" w:type="dxa"/>
            <w:noWrap/>
            <w:hideMark/>
          </w:tcPr>
          <w:p w:rsidR="00E041DA" w:rsidRPr="006054CC" w:rsidP="00E041DA" w14:paraId="63C1438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0848C9C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B714CB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AN3</w:t>
            </w:r>
          </w:p>
        </w:tc>
        <w:tc>
          <w:tcPr>
            <w:tcW w:w="1890" w:type="dxa"/>
          </w:tcPr>
          <w:p w:rsidR="00E041DA" w:rsidRPr="006054CC" w:rsidP="00E041DA" w14:paraId="74996451" w14:textId="77777777">
            <w:pPr>
              <w:jc w:val="center"/>
              <w:rPr>
                <w:rFonts w:ascii="Arial" w:eastAsia="Times New Roman" w:hAnsi="Arial" w:cs="Arial"/>
                <w:color w:val="000000"/>
                <w:sz w:val="20"/>
                <w:szCs w:val="20"/>
              </w:rPr>
            </w:pPr>
            <w:r w:rsidRPr="00E832FF">
              <w:rPr>
                <w:rFonts w:ascii="Arial" w:hAnsi="Arial" w:cs="Arial"/>
                <w:sz w:val="20"/>
                <w:szCs w:val="20"/>
              </w:rPr>
              <w:t>NRC-2019-0062-0401</w:t>
            </w:r>
          </w:p>
        </w:tc>
        <w:tc>
          <w:tcPr>
            <w:tcW w:w="1615" w:type="dxa"/>
            <w:noWrap/>
            <w:hideMark/>
          </w:tcPr>
          <w:p w:rsidR="00E041DA" w:rsidRPr="006054CC" w:rsidP="00E041DA" w14:paraId="3BAA75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ML25036A184</w:t>
            </w:r>
          </w:p>
        </w:tc>
      </w:tr>
      <w:tr w14:paraId="0CE515D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652FAA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065</w:t>
            </w:r>
          </w:p>
        </w:tc>
        <w:tc>
          <w:tcPr>
            <w:tcW w:w="1440" w:type="dxa"/>
            <w:noWrap/>
            <w:hideMark/>
          </w:tcPr>
          <w:p w:rsidR="00E041DA" w:rsidRPr="006054CC" w:rsidP="00E041DA" w14:paraId="5866BD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7873248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44D6B6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AN4</w:t>
            </w:r>
          </w:p>
        </w:tc>
        <w:tc>
          <w:tcPr>
            <w:tcW w:w="1890" w:type="dxa"/>
          </w:tcPr>
          <w:p w:rsidR="00E041DA" w:rsidRPr="006054CC" w:rsidP="00E041DA" w14:paraId="591EC501" w14:textId="77777777">
            <w:pPr>
              <w:jc w:val="center"/>
              <w:rPr>
                <w:rFonts w:ascii="Arial" w:eastAsia="Times New Roman" w:hAnsi="Arial" w:cs="Arial"/>
                <w:color w:val="000000"/>
                <w:sz w:val="20"/>
                <w:szCs w:val="20"/>
              </w:rPr>
            </w:pPr>
            <w:r w:rsidRPr="00E832FF">
              <w:rPr>
                <w:rFonts w:ascii="Arial" w:hAnsi="Arial" w:cs="Arial"/>
                <w:sz w:val="20"/>
                <w:szCs w:val="20"/>
              </w:rPr>
              <w:t>NRC-2019-0062-0402</w:t>
            </w:r>
          </w:p>
        </w:tc>
        <w:tc>
          <w:tcPr>
            <w:tcW w:w="1615" w:type="dxa"/>
            <w:noWrap/>
            <w:hideMark/>
          </w:tcPr>
          <w:p w:rsidR="00E041DA" w:rsidRPr="006054CC" w:rsidP="00E041DA" w14:paraId="0C78AF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ML25036A185</w:t>
            </w:r>
          </w:p>
        </w:tc>
      </w:tr>
      <w:tr w14:paraId="589FE521"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B8366F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066</w:t>
            </w:r>
          </w:p>
        </w:tc>
        <w:tc>
          <w:tcPr>
            <w:tcW w:w="1440" w:type="dxa"/>
            <w:noWrap/>
            <w:hideMark/>
          </w:tcPr>
          <w:p w:rsidR="00E041DA" w:rsidRPr="006054CC" w:rsidP="00E041DA" w14:paraId="0B1202B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4CFF49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8BD1CB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HPT21</w:t>
            </w:r>
          </w:p>
        </w:tc>
        <w:tc>
          <w:tcPr>
            <w:tcW w:w="1890" w:type="dxa"/>
          </w:tcPr>
          <w:p w:rsidR="00E041DA" w:rsidRPr="006054CC" w:rsidP="00E041DA" w14:paraId="0A03B41C" w14:textId="77777777">
            <w:pPr>
              <w:jc w:val="center"/>
              <w:rPr>
                <w:rFonts w:ascii="Arial" w:eastAsia="Times New Roman" w:hAnsi="Arial" w:cs="Arial"/>
                <w:color w:val="000000"/>
                <w:sz w:val="20"/>
                <w:szCs w:val="20"/>
              </w:rPr>
            </w:pPr>
            <w:r w:rsidRPr="00E832FF">
              <w:rPr>
                <w:rFonts w:ascii="Arial" w:hAnsi="Arial" w:cs="Arial"/>
                <w:sz w:val="20"/>
                <w:szCs w:val="20"/>
              </w:rPr>
              <w:t>NRC-2019-0062-0403</w:t>
            </w:r>
          </w:p>
        </w:tc>
        <w:tc>
          <w:tcPr>
            <w:tcW w:w="1615" w:type="dxa"/>
            <w:noWrap/>
            <w:hideMark/>
          </w:tcPr>
          <w:p w:rsidR="00E041DA" w:rsidRPr="006054CC" w:rsidP="00E041DA" w14:paraId="4B2153F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ML25036A186</w:t>
            </w:r>
          </w:p>
        </w:tc>
      </w:tr>
      <w:tr w14:paraId="1AE8061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926032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067</w:t>
            </w:r>
          </w:p>
        </w:tc>
        <w:tc>
          <w:tcPr>
            <w:tcW w:w="1440" w:type="dxa"/>
            <w:noWrap/>
            <w:hideMark/>
          </w:tcPr>
          <w:p w:rsidR="00E041DA" w:rsidRPr="006054CC" w:rsidP="00E041DA" w14:paraId="125297D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0597522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9371CC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HPT22</w:t>
            </w:r>
          </w:p>
        </w:tc>
        <w:tc>
          <w:tcPr>
            <w:tcW w:w="1890" w:type="dxa"/>
          </w:tcPr>
          <w:p w:rsidR="00E041DA" w:rsidRPr="006054CC" w:rsidP="00E041DA" w14:paraId="7257AEC5" w14:textId="77777777">
            <w:pPr>
              <w:jc w:val="center"/>
              <w:rPr>
                <w:rFonts w:ascii="Arial" w:eastAsia="Times New Roman" w:hAnsi="Arial" w:cs="Arial"/>
                <w:color w:val="000000"/>
                <w:sz w:val="20"/>
                <w:szCs w:val="20"/>
              </w:rPr>
            </w:pPr>
            <w:r w:rsidRPr="00E832FF">
              <w:rPr>
                <w:rFonts w:ascii="Arial" w:hAnsi="Arial" w:cs="Arial"/>
                <w:sz w:val="20"/>
                <w:szCs w:val="20"/>
              </w:rPr>
              <w:t>NRC-2019-0062-0404</w:t>
            </w:r>
          </w:p>
        </w:tc>
        <w:tc>
          <w:tcPr>
            <w:tcW w:w="1615" w:type="dxa"/>
            <w:noWrap/>
            <w:hideMark/>
          </w:tcPr>
          <w:p w:rsidR="00E041DA" w:rsidRPr="006054CC" w:rsidP="00E041DA" w14:paraId="28D8A96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ML25036A187</w:t>
            </w:r>
          </w:p>
        </w:tc>
      </w:tr>
      <w:tr w14:paraId="647B80B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23DD41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069</w:t>
            </w:r>
          </w:p>
        </w:tc>
        <w:tc>
          <w:tcPr>
            <w:tcW w:w="1440" w:type="dxa"/>
            <w:noWrap/>
            <w:hideMark/>
          </w:tcPr>
          <w:p w:rsidR="00E041DA" w:rsidRPr="006054CC" w:rsidP="00E041DA" w14:paraId="28FDE0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E9C608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0301D0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3</w:t>
            </w:r>
          </w:p>
        </w:tc>
        <w:tc>
          <w:tcPr>
            <w:tcW w:w="1890" w:type="dxa"/>
          </w:tcPr>
          <w:p w:rsidR="00E041DA" w:rsidRPr="006054CC" w:rsidP="00E041DA" w14:paraId="10D70E75" w14:textId="77777777">
            <w:pPr>
              <w:jc w:val="center"/>
              <w:rPr>
                <w:rFonts w:ascii="Arial" w:eastAsia="Times New Roman" w:hAnsi="Arial" w:cs="Arial"/>
                <w:color w:val="000000"/>
                <w:sz w:val="20"/>
                <w:szCs w:val="20"/>
              </w:rPr>
            </w:pPr>
            <w:r w:rsidRPr="00E832FF">
              <w:rPr>
                <w:rFonts w:ascii="Arial" w:hAnsi="Arial" w:cs="Arial"/>
                <w:sz w:val="20"/>
                <w:szCs w:val="20"/>
              </w:rPr>
              <w:t>NRC-2019-0062-0406</w:t>
            </w:r>
          </w:p>
        </w:tc>
        <w:tc>
          <w:tcPr>
            <w:tcW w:w="1615" w:type="dxa"/>
            <w:noWrap/>
            <w:hideMark/>
          </w:tcPr>
          <w:p w:rsidR="00E041DA" w:rsidRPr="006054CC" w:rsidP="00E041DA" w14:paraId="255261B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ML25037A344</w:t>
            </w:r>
          </w:p>
        </w:tc>
      </w:tr>
      <w:tr w14:paraId="3C4805A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10516F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070</w:t>
            </w:r>
          </w:p>
        </w:tc>
        <w:tc>
          <w:tcPr>
            <w:tcW w:w="1440" w:type="dxa"/>
            <w:noWrap/>
            <w:hideMark/>
          </w:tcPr>
          <w:p w:rsidR="00E041DA" w:rsidRPr="006054CC" w:rsidP="00E041DA" w14:paraId="6B4FB81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6C55E54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648D08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4</w:t>
            </w:r>
          </w:p>
        </w:tc>
        <w:tc>
          <w:tcPr>
            <w:tcW w:w="1890" w:type="dxa"/>
          </w:tcPr>
          <w:p w:rsidR="00E041DA" w:rsidRPr="006054CC" w:rsidP="00E041DA" w14:paraId="22754DEC" w14:textId="77777777">
            <w:pPr>
              <w:jc w:val="center"/>
              <w:rPr>
                <w:rFonts w:ascii="Arial" w:eastAsia="Times New Roman" w:hAnsi="Arial" w:cs="Arial"/>
                <w:color w:val="000000"/>
                <w:sz w:val="20"/>
                <w:szCs w:val="20"/>
              </w:rPr>
            </w:pPr>
            <w:r w:rsidRPr="00D12FBC">
              <w:rPr>
                <w:rFonts w:ascii="Arial" w:eastAsia="Times New Roman" w:hAnsi="Arial" w:cs="Arial"/>
                <w:color w:val="000000"/>
                <w:sz w:val="20"/>
                <w:szCs w:val="20"/>
              </w:rPr>
              <w:t>NRC-2019-0062-0407</w:t>
            </w:r>
          </w:p>
        </w:tc>
        <w:tc>
          <w:tcPr>
            <w:tcW w:w="1615" w:type="dxa"/>
            <w:noWrap/>
            <w:hideMark/>
          </w:tcPr>
          <w:p w:rsidR="00E041DA" w:rsidRPr="006054CC" w:rsidP="00E041DA" w14:paraId="093B200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ML25037A345</w:t>
            </w:r>
          </w:p>
        </w:tc>
      </w:tr>
      <w:tr w14:paraId="5528F78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20DCD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071</w:t>
            </w:r>
          </w:p>
        </w:tc>
        <w:tc>
          <w:tcPr>
            <w:tcW w:w="1440" w:type="dxa"/>
            <w:noWrap/>
            <w:hideMark/>
          </w:tcPr>
          <w:p w:rsidR="00E041DA" w:rsidRPr="006054CC" w:rsidP="00E041DA" w14:paraId="568FC9A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65382F2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7761E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5</w:t>
            </w:r>
          </w:p>
        </w:tc>
        <w:tc>
          <w:tcPr>
            <w:tcW w:w="1890" w:type="dxa"/>
          </w:tcPr>
          <w:p w:rsidR="00E041DA" w:rsidRPr="006054CC" w:rsidP="00E041DA" w14:paraId="49875477" w14:textId="77777777">
            <w:pPr>
              <w:jc w:val="center"/>
              <w:rPr>
                <w:rFonts w:ascii="Arial" w:eastAsia="Times New Roman" w:hAnsi="Arial" w:cs="Arial"/>
                <w:color w:val="000000"/>
                <w:sz w:val="20"/>
                <w:szCs w:val="20"/>
              </w:rPr>
            </w:pPr>
            <w:r w:rsidRPr="00620D44">
              <w:rPr>
                <w:rFonts w:ascii="Arial" w:hAnsi="Arial" w:cs="Arial"/>
                <w:sz w:val="20"/>
                <w:szCs w:val="20"/>
              </w:rPr>
              <w:t>NRC-2019-0062-0408</w:t>
            </w:r>
          </w:p>
        </w:tc>
        <w:tc>
          <w:tcPr>
            <w:tcW w:w="1615" w:type="dxa"/>
            <w:noWrap/>
            <w:hideMark/>
          </w:tcPr>
          <w:p w:rsidR="00E041DA" w:rsidRPr="006054CC" w:rsidP="00E041DA" w14:paraId="67C03E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ML25037A346</w:t>
            </w:r>
          </w:p>
        </w:tc>
      </w:tr>
      <w:tr w14:paraId="3F6C840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FADCF6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072</w:t>
            </w:r>
          </w:p>
        </w:tc>
        <w:tc>
          <w:tcPr>
            <w:tcW w:w="1440" w:type="dxa"/>
            <w:noWrap/>
            <w:hideMark/>
          </w:tcPr>
          <w:p w:rsidR="00E041DA" w:rsidRPr="006054CC" w:rsidP="00E041DA" w14:paraId="69F9E9C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Rani Franovich</w:t>
            </w:r>
          </w:p>
        </w:tc>
        <w:tc>
          <w:tcPr>
            <w:tcW w:w="1530" w:type="dxa"/>
            <w:noWrap/>
            <w:hideMark/>
          </w:tcPr>
          <w:p w:rsidR="00E041DA" w:rsidRPr="006054CC" w:rsidP="00E041DA" w14:paraId="338A1E7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4C02E7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RF</w:t>
            </w:r>
          </w:p>
        </w:tc>
        <w:tc>
          <w:tcPr>
            <w:tcW w:w="1890" w:type="dxa"/>
          </w:tcPr>
          <w:p w:rsidR="00E041DA" w:rsidRPr="006054CC" w:rsidP="00E041DA" w14:paraId="6BC2BC7A" w14:textId="77777777">
            <w:pPr>
              <w:jc w:val="center"/>
              <w:rPr>
                <w:rFonts w:ascii="Arial" w:eastAsia="Times New Roman" w:hAnsi="Arial" w:cs="Arial"/>
                <w:color w:val="000000"/>
                <w:sz w:val="20"/>
                <w:szCs w:val="20"/>
              </w:rPr>
            </w:pPr>
            <w:r w:rsidRPr="00620D44">
              <w:rPr>
                <w:rFonts w:ascii="Arial" w:hAnsi="Arial" w:cs="Arial"/>
                <w:sz w:val="20"/>
                <w:szCs w:val="20"/>
              </w:rPr>
              <w:t>NRC-2019-0062-0397</w:t>
            </w:r>
          </w:p>
        </w:tc>
        <w:tc>
          <w:tcPr>
            <w:tcW w:w="1615" w:type="dxa"/>
            <w:noWrap/>
            <w:hideMark/>
          </w:tcPr>
          <w:p w:rsidR="00E041DA" w:rsidRPr="006054CC" w:rsidP="00E041DA" w14:paraId="28C598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ML25037A347</w:t>
            </w:r>
          </w:p>
        </w:tc>
      </w:tr>
      <w:tr w14:paraId="4DFC38C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1115CB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073</w:t>
            </w:r>
          </w:p>
        </w:tc>
        <w:tc>
          <w:tcPr>
            <w:tcW w:w="1440" w:type="dxa"/>
            <w:noWrap/>
            <w:hideMark/>
          </w:tcPr>
          <w:p w:rsidR="00E041DA" w:rsidRPr="006054CC" w:rsidP="00E041DA" w14:paraId="521F2C2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10EDB32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9FFAB7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6</w:t>
            </w:r>
          </w:p>
        </w:tc>
        <w:tc>
          <w:tcPr>
            <w:tcW w:w="1890" w:type="dxa"/>
          </w:tcPr>
          <w:p w:rsidR="00E041DA" w:rsidRPr="006054CC" w:rsidP="00E041DA" w14:paraId="306230E7" w14:textId="77777777">
            <w:pPr>
              <w:jc w:val="center"/>
              <w:rPr>
                <w:rFonts w:ascii="Arial" w:eastAsia="Times New Roman" w:hAnsi="Arial" w:cs="Arial"/>
                <w:color w:val="000000"/>
                <w:sz w:val="20"/>
                <w:szCs w:val="20"/>
              </w:rPr>
            </w:pPr>
            <w:r w:rsidRPr="00DB67F0">
              <w:rPr>
                <w:rFonts w:ascii="Arial" w:eastAsia="Times New Roman" w:hAnsi="Arial" w:cs="Arial"/>
                <w:color w:val="000000"/>
                <w:sz w:val="20"/>
                <w:szCs w:val="20"/>
              </w:rPr>
              <w:t>NRC-2019-0062-0437</w:t>
            </w:r>
          </w:p>
        </w:tc>
        <w:tc>
          <w:tcPr>
            <w:tcW w:w="1615" w:type="dxa"/>
            <w:noWrap/>
            <w:hideMark/>
          </w:tcPr>
          <w:p w:rsidR="00E041DA" w:rsidRPr="006054CC" w:rsidP="00E041DA" w14:paraId="41FACFA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ML25042A549</w:t>
            </w:r>
          </w:p>
        </w:tc>
      </w:tr>
      <w:tr w14:paraId="0BFE0A6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01B8D6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075</w:t>
            </w:r>
          </w:p>
        </w:tc>
        <w:tc>
          <w:tcPr>
            <w:tcW w:w="1440" w:type="dxa"/>
            <w:noWrap/>
            <w:hideMark/>
          </w:tcPr>
          <w:p w:rsidR="00E041DA" w:rsidRPr="006054CC" w:rsidP="00E041DA" w14:paraId="1C0C711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Lizzie McFee</w:t>
            </w:r>
          </w:p>
        </w:tc>
        <w:tc>
          <w:tcPr>
            <w:tcW w:w="1530" w:type="dxa"/>
            <w:noWrap/>
            <w:hideMark/>
          </w:tcPr>
          <w:p w:rsidR="00E041DA" w:rsidRPr="006054CC" w:rsidP="00E041DA" w14:paraId="245BAD4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C12D3B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LM</w:t>
            </w:r>
          </w:p>
        </w:tc>
        <w:tc>
          <w:tcPr>
            <w:tcW w:w="1890" w:type="dxa"/>
          </w:tcPr>
          <w:p w:rsidR="00E041DA" w:rsidRPr="006054CC" w:rsidP="00E041DA" w14:paraId="29519875" w14:textId="77777777">
            <w:pPr>
              <w:jc w:val="center"/>
              <w:rPr>
                <w:rFonts w:ascii="Arial" w:eastAsia="Times New Roman" w:hAnsi="Arial" w:cs="Arial"/>
                <w:color w:val="000000"/>
                <w:sz w:val="20"/>
                <w:szCs w:val="20"/>
              </w:rPr>
            </w:pPr>
            <w:r w:rsidRPr="00E832FF">
              <w:rPr>
                <w:rFonts w:ascii="Arial" w:hAnsi="Arial" w:cs="Arial"/>
                <w:sz w:val="20"/>
                <w:szCs w:val="20"/>
              </w:rPr>
              <w:t>NRC-2019-0062-0409</w:t>
            </w:r>
          </w:p>
        </w:tc>
        <w:tc>
          <w:tcPr>
            <w:tcW w:w="1615" w:type="dxa"/>
            <w:noWrap/>
            <w:hideMark/>
          </w:tcPr>
          <w:p w:rsidR="00E041DA" w:rsidRPr="006054CC" w:rsidP="00E041DA" w14:paraId="3A528D2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ML25044A419</w:t>
            </w:r>
          </w:p>
        </w:tc>
      </w:tr>
      <w:tr w14:paraId="5EF4F93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BE1E73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076</w:t>
            </w:r>
          </w:p>
        </w:tc>
        <w:tc>
          <w:tcPr>
            <w:tcW w:w="1440" w:type="dxa"/>
            <w:noWrap/>
            <w:hideMark/>
          </w:tcPr>
          <w:p w:rsidR="00E041DA" w:rsidRPr="006054CC" w:rsidP="00E041DA" w14:paraId="146FDBA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Herschel Specter</w:t>
            </w:r>
          </w:p>
        </w:tc>
        <w:tc>
          <w:tcPr>
            <w:tcW w:w="1530" w:type="dxa"/>
            <w:noWrap/>
            <w:hideMark/>
          </w:tcPr>
          <w:p w:rsidR="00E041DA" w:rsidRPr="006054CC" w:rsidP="00E041DA" w14:paraId="2249A79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Micro-Utilities Inc</w:t>
            </w:r>
          </w:p>
        </w:tc>
        <w:tc>
          <w:tcPr>
            <w:tcW w:w="1440" w:type="dxa"/>
            <w:noWrap/>
            <w:hideMark/>
          </w:tcPr>
          <w:p w:rsidR="00E041DA" w:rsidRPr="006054CC" w:rsidP="00E041DA" w14:paraId="7EAF78F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MU2</w:t>
            </w:r>
          </w:p>
        </w:tc>
        <w:tc>
          <w:tcPr>
            <w:tcW w:w="1890" w:type="dxa"/>
          </w:tcPr>
          <w:p w:rsidR="00E041DA" w:rsidRPr="006054CC" w:rsidP="00E041DA" w14:paraId="2CBF7FA8" w14:textId="77777777">
            <w:pPr>
              <w:jc w:val="center"/>
              <w:rPr>
                <w:rFonts w:ascii="Arial" w:eastAsia="Times New Roman" w:hAnsi="Arial" w:cs="Arial"/>
                <w:color w:val="000000"/>
                <w:sz w:val="20"/>
                <w:szCs w:val="20"/>
              </w:rPr>
            </w:pPr>
            <w:r w:rsidRPr="00E832FF">
              <w:rPr>
                <w:rFonts w:ascii="Arial" w:hAnsi="Arial" w:cs="Arial"/>
                <w:sz w:val="20"/>
                <w:szCs w:val="20"/>
              </w:rPr>
              <w:t>NRC-2019-0062-0416</w:t>
            </w:r>
          </w:p>
        </w:tc>
        <w:tc>
          <w:tcPr>
            <w:tcW w:w="1615" w:type="dxa"/>
            <w:noWrap/>
            <w:hideMark/>
          </w:tcPr>
          <w:p w:rsidR="00E041DA" w:rsidRPr="006054CC" w:rsidP="00E041DA" w14:paraId="49911C3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ML25044A420</w:t>
            </w:r>
          </w:p>
        </w:tc>
      </w:tr>
      <w:tr w14:paraId="54F464F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709C7D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077</w:t>
            </w:r>
          </w:p>
        </w:tc>
        <w:tc>
          <w:tcPr>
            <w:tcW w:w="1440" w:type="dxa"/>
            <w:noWrap/>
            <w:hideMark/>
          </w:tcPr>
          <w:p w:rsidR="00E041DA" w:rsidRPr="006054CC" w:rsidP="00E041DA" w14:paraId="4D45400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4B719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2F63AB3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7</w:t>
            </w:r>
          </w:p>
        </w:tc>
        <w:tc>
          <w:tcPr>
            <w:tcW w:w="1890" w:type="dxa"/>
          </w:tcPr>
          <w:p w:rsidR="00E041DA" w:rsidRPr="006054CC" w:rsidP="00E041DA" w14:paraId="1DAC86D8" w14:textId="77777777">
            <w:pPr>
              <w:jc w:val="center"/>
              <w:rPr>
                <w:rFonts w:ascii="Arial" w:eastAsia="Times New Roman" w:hAnsi="Arial" w:cs="Arial"/>
                <w:color w:val="000000"/>
                <w:sz w:val="20"/>
                <w:szCs w:val="20"/>
              </w:rPr>
            </w:pPr>
            <w:r w:rsidRPr="00E832FF">
              <w:rPr>
                <w:rFonts w:ascii="Arial" w:hAnsi="Arial" w:cs="Arial"/>
                <w:sz w:val="20"/>
                <w:szCs w:val="20"/>
              </w:rPr>
              <w:t>NRC-2019-0062-0410</w:t>
            </w:r>
          </w:p>
        </w:tc>
        <w:tc>
          <w:tcPr>
            <w:tcW w:w="1615" w:type="dxa"/>
            <w:noWrap/>
            <w:hideMark/>
          </w:tcPr>
          <w:p w:rsidR="00E041DA" w:rsidRPr="006054CC" w:rsidP="00E041DA" w14:paraId="7EBDDD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ML25050A259</w:t>
            </w:r>
          </w:p>
        </w:tc>
      </w:tr>
      <w:tr w14:paraId="3A55951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ED2F65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078</w:t>
            </w:r>
          </w:p>
        </w:tc>
        <w:tc>
          <w:tcPr>
            <w:tcW w:w="1440" w:type="dxa"/>
            <w:noWrap/>
            <w:hideMark/>
          </w:tcPr>
          <w:p w:rsidR="00E041DA" w:rsidRPr="006054CC" w:rsidP="00E041DA" w14:paraId="3E40EC1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BAE776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F26F7E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HPT2</w:t>
            </w:r>
            <w:r>
              <w:rPr>
                <w:rFonts w:ascii="Arial" w:eastAsia="Times New Roman" w:hAnsi="Arial" w:cs="Arial"/>
                <w:color w:val="000000"/>
                <w:sz w:val="20"/>
                <w:szCs w:val="20"/>
              </w:rPr>
              <w:t>8</w:t>
            </w:r>
          </w:p>
        </w:tc>
        <w:tc>
          <w:tcPr>
            <w:tcW w:w="1890" w:type="dxa"/>
          </w:tcPr>
          <w:p w:rsidR="00E041DA" w:rsidRPr="006054CC" w:rsidP="00E041DA" w14:paraId="2501BBE1" w14:textId="77777777">
            <w:pPr>
              <w:jc w:val="center"/>
              <w:rPr>
                <w:rFonts w:ascii="Arial" w:eastAsia="Times New Roman" w:hAnsi="Arial" w:cs="Arial"/>
                <w:color w:val="000000"/>
                <w:sz w:val="20"/>
                <w:szCs w:val="20"/>
              </w:rPr>
            </w:pPr>
            <w:r w:rsidRPr="00E832FF">
              <w:rPr>
                <w:rFonts w:ascii="Arial" w:hAnsi="Arial" w:cs="Arial"/>
                <w:sz w:val="20"/>
                <w:szCs w:val="20"/>
              </w:rPr>
              <w:t>NRC-2019-0062-0411</w:t>
            </w:r>
          </w:p>
        </w:tc>
        <w:tc>
          <w:tcPr>
            <w:tcW w:w="1615" w:type="dxa"/>
            <w:noWrap/>
            <w:hideMark/>
          </w:tcPr>
          <w:p w:rsidR="00E041DA" w:rsidRPr="006054CC" w:rsidP="00E041DA" w14:paraId="4E91617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ML25050A260</w:t>
            </w:r>
          </w:p>
        </w:tc>
      </w:tr>
      <w:tr w14:paraId="3621225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0461C7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079</w:t>
            </w:r>
          </w:p>
        </w:tc>
        <w:tc>
          <w:tcPr>
            <w:tcW w:w="1440" w:type="dxa"/>
            <w:noWrap/>
            <w:hideMark/>
          </w:tcPr>
          <w:p w:rsidR="00E041DA" w:rsidRPr="006054CC" w:rsidP="00E041DA" w14:paraId="1CBE5A5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4D9CB16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F4E463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w:t>
            </w:r>
            <w:r>
              <w:rPr>
                <w:rFonts w:ascii="Arial" w:eastAsia="Times New Roman" w:hAnsi="Arial" w:cs="Arial"/>
                <w:color w:val="000000"/>
                <w:sz w:val="20"/>
                <w:szCs w:val="20"/>
              </w:rPr>
              <w:t>29</w:t>
            </w:r>
          </w:p>
        </w:tc>
        <w:tc>
          <w:tcPr>
            <w:tcW w:w="1890" w:type="dxa"/>
          </w:tcPr>
          <w:p w:rsidR="00E041DA" w:rsidRPr="006054CC" w:rsidP="00E041DA" w14:paraId="48E93DC5" w14:textId="77777777">
            <w:pPr>
              <w:jc w:val="center"/>
              <w:rPr>
                <w:rFonts w:ascii="Arial" w:eastAsia="Times New Roman" w:hAnsi="Arial" w:cs="Arial"/>
                <w:color w:val="000000"/>
                <w:sz w:val="20"/>
                <w:szCs w:val="20"/>
              </w:rPr>
            </w:pPr>
            <w:r w:rsidRPr="00E832FF">
              <w:rPr>
                <w:rFonts w:ascii="Arial" w:hAnsi="Arial" w:cs="Arial"/>
                <w:sz w:val="20"/>
                <w:szCs w:val="20"/>
              </w:rPr>
              <w:t>NRC-2019-0062-0412</w:t>
            </w:r>
          </w:p>
        </w:tc>
        <w:tc>
          <w:tcPr>
            <w:tcW w:w="1615" w:type="dxa"/>
            <w:noWrap/>
            <w:hideMark/>
          </w:tcPr>
          <w:p w:rsidR="00E041DA" w:rsidRPr="006054CC" w:rsidP="00E041DA" w14:paraId="36F37D7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ML25050A262</w:t>
            </w:r>
          </w:p>
        </w:tc>
      </w:tr>
      <w:tr w14:paraId="17783F8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02F0A7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080</w:t>
            </w:r>
          </w:p>
        </w:tc>
        <w:tc>
          <w:tcPr>
            <w:tcW w:w="1440" w:type="dxa"/>
            <w:noWrap/>
            <w:hideMark/>
          </w:tcPr>
          <w:p w:rsidR="00E041DA" w:rsidRPr="006054CC" w:rsidP="00E041DA" w14:paraId="17B2680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24DAFB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95B74F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0</w:t>
            </w:r>
          </w:p>
        </w:tc>
        <w:tc>
          <w:tcPr>
            <w:tcW w:w="1890" w:type="dxa"/>
          </w:tcPr>
          <w:p w:rsidR="00E041DA" w:rsidRPr="006054CC" w:rsidP="00E041DA" w14:paraId="74A243D9" w14:textId="77777777">
            <w:pPr>
              <w:jc w:val="center"/>
              <w:rPr>
                <w:rFonts w:ascii="Arial" w:eastAsia="Times New Roman" w:hAnsi="Arial" w:cs="Arial"/>
                <w:color w:val="000000"/>
                <w:sz w:val="20"/>
                <w:szCs w:val="20"/>
              </w:rPr>
            </w:pPr>
            <w:r w:rsidRPr="00E832FF">
              <w:rPr>
                <w:rFonts w:ascii="Arial" w:hAnsi="Arial" w:cs="Arial"/>
                <w:sz w:val="20"/>
                <w:szCs w:val="20"/>
              </w:rPr>
              <w:t>NRC-2019-0062-0414</w:t>
            </w:r>
          </w:p>
        </w:tc>
        <w:tc>
          <w:tcPr>
            <w:tcW w:w="1615" w:type="dxa"/>
            <w:noWrap/>
            <w:hideMark/>
          </w:tcPr>
          <w:p w:rsidR="00E041DA" w:rsidRPr="006054CC" w:rsidP="00E041DA" w14:paraId="1011D72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ML25050A263</w:t>
            </w:r>
          </w:p>
        </w:tc>
      </w:tr>
      <w:tr w14:paraId="1E38969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B28D1C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081</w:t>
            </w:r>
          </w:p>
        </w:tc>
        <w:tc>
          <w:tcPr>
            <w:tcW w:w="1440" w:type="dxa"/>
            <w:noWrap/>
            <w:hideMark/>
          </w:tcPr>
          <w:p w:rsidR="00E041DA" w:rsidRPr="006054CC" w:rsidP="00E041DA" w14:paraId="680506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3D2828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5DE6D70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1</w:t>
            </w:r>
          </w:p>
        </w:tc>
        <w:tc>
          <w:tcPr>
            <w:tcW w:w="1890" w:type="dxa"/>
          </w:tcPr>
          <w:p w:rsidR="00E041DA" w:rsidRPr="006054CC" w:rsidP="00E041DA" w14:paraId="7BD3FAC9" w14:textId="77777777">
            <w:pPr>
              <w:jc w:val="center"/>
              <w:rPr>
                <w:rFonts w:ascii="Arial" w:eastAsia="Times New Roman" w:hAnsi="Arial" w:cs="Arial"/>
                <w:color w:val="000000"/>
                <w:sz w:val="20"/>
                <w:szCs w:val="20"/>
              </w:rPr>
            </w:pPr>
            <w:r w:rsidRPr="00E832FF">
              <w:rPr>
                <w:rFonts w:ascii="Arial" w:hAnsi="Arial" w:cs="Arial"/>
                <w:sz w:val="20"/>
                <w:szCs w:val="20"/>
              </w:rPr>
              <w:t>NRC-2019-0062-0413</w:t>
            </w:r>
          </w:p>
        </w:tc>
        <w:tc>
          <w:tcPr>
            <w:tcW w:w="1615" w:type="dxa"/>
            <w:noWrap/>
            <w:hideMark/>
          </w:tcPr>
          <w:p w:rsidR="00E041DA" w:rsidRPr="006054CC" w:rsidP="00E041DA" w14:paraId="0E48E9A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ML25050A264</w:t>
            </w:r>
          </w:p>
        </w:tc>
      </w:tr>
      <w:tr w14:paraId="395D18E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BF6006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082</w:t>
            </w:r>
          </w:p>
        </w:tc>
        <w:tc>
          <w:tcPr>
            <w:tcW w:w="1440" w:type="dxa"/>
            <w:noWrap/>
            <w:hideMark/>
          </w:tcPr>
          <w:p w:rsidR="00E041DA" w:rsidRPr="006054CC" w:rsidP="00E041DA" w14:paraId="277AA90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7B2D57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2B34B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2</w:t>
            </w:r>
          </w:p>
        </w:tc>
        <w:tc>
          <w:tcPr>
            <w:tcW w:w="1890" w:type="dxa"/>
          </w:tcPr>
          <w:p w:rsidR="00E041DA" w:rsidRPr="006054CC" w:rsidP="00E041DA" w14:paraId="037106EB" w14:textId="77777777">
            <w:pPr>
              <w:jc w:val="center"/>
              <w:rPr>
                <w:rFonts w:ascii="Arial" w:eastAsia="Times New Roman" w:hAnsi="Arial" w:cs="Arial"/>
                <w:color w:val="000000"/>
                <w:sz w:val="20"/>
                <w:szCs w:val="20"/>
              </w:rPr>
            </w:pPr>
            <w:r w:rsidRPr="009D6BB9">
              <w:rPr>
                <w:rFonts w:ascii="Arial" w:eastAsia="Times New Roman" w:hAnsi="Arial" w:cs="Arial"/>
                <w:color w:val="000000"/>
                <w:sz w:val="20"/>
                <w:szCs w:val="20"/>
              </w:rPr>
              <w:t>NRC-2019-0062-0415</w:t>
            </w:r>
          </w:p>
        </w:tc>
        <w:tc>
          <w:tcPr>
            <w:tcW w:w="1615" w:type="dxa"/>
            <w:noWrap/>
            <w:hideMark/>
          </w:tcPr>
          <w:p w:rsidR="00E041DA" w:rsidRPr="006054CC" w:rsidP="00E041DA" w14:paraId="2223255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ML25050A265</w:t>
            </w:r>
          </w:p>
        </w:tc>
      </w:tr>
      <w:tr w14:paraId="521F652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39157F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083</w:t>
            </w:r>
          </w:p>
        </w:tc>
        <w:tc>
          <w:tcPr>
            <w:tcW w:w="1440" w:type="dxa"/>
            <w:noWrap/>
            <w:hideMark/>
          </w:tcPr>
          <w:p w:rsidR="00E041DA" w:rsidRPr="006054CC" w:rsidP="00E041DA" w14:paraId="39E991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087657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54CF74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3</w:t>
            </w:r>
          </w:p>
        </w:tc>
        <w:tc>
          <w:tcPr>
            <w:tcW w:w="1890" w:type="dxa"/>
          </w:tcPr>
          <w:p w:rsidR="00E041DA" w:rsidRPr="006054CC" w:rsidP="00E041DA" w14:paraId="24B71F3C" w14:textId="77777777">
            <w:pPr>
              <w:jc w:val="center"/>
              <w:rPr>
                <w:rFonts w:ascii="Arial" w:eastAsia="Times New Roman" w:hAnsi="Arial" w:cs="Arial"/>
                <w:color w:val="000000"/>
                <w:sz w:val="20"/>
                <w:szCs w:val="20"/>
              </w:rPr>
            </w:pPr>
            <w:r w:rsidRPr="009D6BB9">
              <w:rPr>
                <w:rFonts w:ascii="Arial" w:eastAsia="Times New Roman" w:hAnsi="Arial" w:cs="Arial"/>
                <w:color w:val="000000"/>
                <w:sz w:val="20"/>
                <w:szCs w:val="20"/>
              </w:rPr>
              <w:t>NRC-2019-0062-0417</w:t>
            </w:r>
          </w:p>
        </w:tc>
        <w:tc>
          <w:tcPr>
            <w:tcW w:w="1615" w:type="dxa"/>
            <w:noWrap/>
            <w:hideMark/>
          </w:tcPr>
          <w:p w:rsidR="00E041DA" w:rsidRPr="006054CC" w:rsidP="00E041DA" w14:paraId="2035FC5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ML25050A266</w:t>
            </w:r>
          </w:p>
        </w:tc>
      </w:tr>
      <w:tr w14:paraId="639B669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977B2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084</w:t>
            </w:r>
          </w:p>
        </w:tc>
        <w:tc>
          <w:tcPr>
            <w:tcW w:w="1440" w:type="dxa"/>
            <w:noWrap/>
            <w:hideMark/>
          </w:tcPr>
          <w:p w:rsidR="00E041DA" w:rsidRPr="006054CC" w:rsidP="00E041DA" w14:paraId="1FF586D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Douglas True</w:t>
            </w:r>
          </w:p>
        </w:tc>
        <w:tc>
          <w:tcPr>
            <w:tcW w:w="1530" w:type="dxa"/>
            <w:noWrap/>
            <w:hideMark/>
          </w:tcPr>
          <w:p w:rsidR="00E041DA" w:rsidRPr="006054CC" w:rsidP="00E041DA" w14:paraId="2943C1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Energy Institute</w:t>
            </w:r>
          </w:p>
        </w:tc>
        <w:tc>
          <w:tcPr>
            <w:tcW w:w="1440" w:type="dxa"/>
            <w:noWrap/>
            <w:hideMark/>
          </w:tcPr>
          <w:p w:rsidR="00E041DA" w:rsidRPr="006054CC" w:rsidP="00E041DA" w14:paraId="276ABBB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NEI2</w:t>
            </w:r>
          </w:p>
        </w:tc>
        <w:tc>
          <w:tcPr>
            <w:tcW w:w="1890" w:type="dxa"/>
          </w:tcPr>
          <w:p w:rsidR="00E041DA" w:rsidRPr="006054CC" w:rsidP="00E041DA" w14:paraId="44AFD3C3" w14:textId="77777777">
            <w:pPr>
              <w:jc w:val="center"/>
              <w:rPr>
                <w:rFonts w:ascii="Arial" w:eastAsia="Times New Roman" w:hAnsi="Arial" w:cs="Arial"/>
                <w:color w:val="000000"/>
                <w:sz w:val="20"/>
                <w:szCs w:val="20"/>
              </w:rPr>
            </w:pPr>
            <w:r w:rsidRPr="009D6BB9">
              <w:rPr>
                <w:rFonts w:ascii="Arial" w:eastAsia="Times New Roman" w:hAnsi="Arial" w:cs="Arial"/>
                <w:color w:val="000000"/>
                <w:sz w:val="20"/>
                <w:szCs w:val="20"/>
              </w:rPr>
              <w:t>NRC-2019-0062-0418</w:t>
            </w:r>
          </w:p>
        </w:tc>
        <w:tc>
          <w:tcPr>
            <w:tcW w:w="1615" w:type="dxa"/>
            <w:noWrap/>
            <w:hideMark/>
          </w:tcPr>
          <w:p w:rsidR="00E041DA" w:rsidRPr="006054CC" w:rsidP="00E041DA" w14:paraId="285BC4D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ML25051A092</w:t>
            </w:r>
          </w:p>
        </w:tc>
      </w:tr>
      <w:tr w14:paraId="01F51AB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BBC6E3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085</w:t>
            </w:r>
          </w:p>
        </w:tc>
        <w:tc>
          <w:tcPr>
            <w:tcW w:w="1440" w:type="dxa"/>
            <w:noWrap/>
            <w:hideMark/>
          </w:tcPr>
          <w:p w:rsidR="00E041DA" w:rsidRPr="006054CC" w:rsidP="00E041DA" w14:paraId="66DC7A3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34941B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C6B942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4</w:t>
            </w:r>
          </w:p>
        </w:tc>
        <w:tc>
          <w:tcPr>
            <w:tcW w:w="1890" w:type="dxa"/>
          </w:tcPr>
          <w:p w:rsidR="00E041DA" w:rsidRPr="006054CC" w:rsidP="00E041DA" w14:paraId="661F6140" w14:textId="77777777">
            <w:pPr>
              <w:jc w:val="center"/>
              <w:rPr>
                <w:rFonts w:ascii="Arial" w:eastAsia="Times New Roman" w:hAnsi="Arial" w:cs="Arial"/>
                <w:color w:val="000000"/>
                <w:sz w:val="20"/>
                <w:szCs w:val="20"/>
              </w:rPr>
            </w:pPr>
            <w:r w:rsidRPr="00E832FF">
              <w:rPr>
                <w:rFonts w:ascii="Arial" w:hAnsi="Arial" w:cs="Arial"/>
                <w:sz w:val="20"/>
                <w:szCs w:val="20"/>
              </w:rPr>
              <w:t>NRC-2019-0062-0435</w:t>
            </w:r>
          </w:p>
        </w:tc>
        <w:tc>
          <w:tcPr>
            <w:tcW w:w="1615" w:type="dxa"/>
            <w:noWrap/>
            <w:hideMark/>
          </w:tcPr>
          <w:p w:rsidR="00E041DA" w:rsidRPr="006054CC" w:rsidP="00E041DA" w14:paraId="5CE2C03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ML25051A154</w:t>
            </w:r>
          </w:p>
        </w:tc>
      </w:tr>
      <w:tr w14:paraId="6535E9F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30F51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086</w:t>
            </w:r>
          </w:p>
        </w:tc>
        <w:tc>
          <w:tcPr>
            <w:tcW w:w="1440" w:type="dxa"/>
            <w:noWrap/>
            <w:hideMark/>
          </w:tcPr>
          <w:p w:rsidR="00E041DA" w:rsidRPr="006054CC" w:rsidP="00E041DA" w14:paraId="6DB56B1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63DB5E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1CFBBF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5</w:t>
            </w:r>
          </w:p>
        </w:tc>
        <w:tc>
          <w:tcPr>
            <w:tcW w:w="1890" w:type="dxa"/>
          </w:tcPr>
          <w:p w:rsidR="00E041DA" w:rsidRPr="006054CC" w:rsidP="00E041DA" w14:paraId="496A5A4E" w14:textId="77777777">
            <w:pPr>
              <w:jc w:val="center"/>
              <w:rPr>
                <w:rFonts w:ascii="Arial" w:eastAsia="Times New Roman" w:hAnsi="Arial" w:cs="Arial"/>
                <w:color w:val="000000"/>
                <w:sz w:val="20"/>
                <w:szCs w:val="20"/>
              </w:rPr>
            </w:pPr>
            <w:r w:rsidRPr="00E832FF">
              <w:rPr>
                <w:rFonts w:ascii="Arial" w:hAnsi="Arial" w:cs="Arial"/>
                <w:sz w:val="20"/>
                <w:szCs w:val="20"/>
              </w:rPr>
              <w:t>NRC-2019-0062-0436</w:t>
            </w:r>
          </w:p>
        </w:tc>
        <w:tc>
          <w:tcPr>
            <w:tcW w:w="1615" w:type="dxa"/>
            <w:noWrap/>
            <w:hideMark/>
          </w:tcPr>
          <w:p w:rsidR="00E041DA" w:rsidRPr="006054CC" w:rsidP="00E041DA" w14:paraId="1017341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ML25051A155</w:t>
            </w:r>
          </w:p>
        </w:tc>
      </w:tr>
      <w:tr w14:paraId="3EE1A28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05E590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087</w:t>
            </w:r>
          </w:p>
        </w:tc>
        <w:tc>
          <w:tcPr>
            <w:tcW w:w="1440" w:type="dxa"/>
            <w:noWrap/>
            <w:hideMark/>
          </w:tcPr>
          <w:p w:rsidR="00E041DA" w:rsidRPr="006054CC" w:rsidP="00E041DA" w14:paraId="1E89BA9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Sarah Campbell</w:t>
            </w:r>
          </w:p>
        </w:tc>
        <w:tc>
          <w:tcPr>
            <w:tcW w:w="1530" w:type="dxa"/>
            <w:noWrap/>
            <w:hideMark/>
          </w:tcPr>
          <w:p w:rsidR="00E041DA" w:rsidRPr="006054CC" w:rsidP="00E041DA" w14:paraId="24C7AE9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B817C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SC</w:t>
            </w:r>
          </w:p>
        </w:tc>
        <w:tc>
          <w:tcPr>
            <w:tcW w:w="1890" w:type="dxa"/>
          </w:tcPr>
          <w:p w:rsidR="00E041DA" w:rsidRPr="006054CC" w:rsidP="00E041DA" w14:paraId="519C67F5" w14:textId="77777777">
            <w:pPr>
              <w:jc w:val="center"/>
              <w:rPr>
                <w:rFonts w:ascii="Arial" w:eastAsia="Times New Roman" w:hAnsi="Arial" w:cs="Arial"/>
                <w:color w:val="000000"/>
                <w:sz w:val="20"/>
                <w:szCs w:val="20"/>
              </w:rPr>
            </w:pPr>
            <w:r w:rsidRPr="00E832FF">
              <w:rPr>
                <w:rFonts w:ascii="Arial" w:hAnsi="Arial" w:cs="Arial"/>
                <w:sz w:val="20"/>
                <w:szCs w:val="20"/>
              </w:rPr>
              <w:t>NRC-2019-0062-0432</w:t>
            </w:r>
          </w:p>
        </w:tc>
        <w:tc>
          <w:tcPr>
            <w:tcW w:w="1615" w:type="dxa"/>
            <w:noWrap/>
            <w:hideMark/>
          </w:tcPr>
          <w:p w:rsidR="00E041DA" w:rsidRPr="006054CC" w:rsidP="00E041DA" w14:paraId="784D0C6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ML25051A156</w:t>
            </w:r>
          </w:p>
        </w:tc>
      </w:tr>
      <w:tr w14:paraId="5194377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1262B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088</w:t>
            </w:r>
          </w:p>
        </w:tc>
        <w:tc>
          <w:tcPr>
            <w:tcW w:w="1440" w:type="dxa"/>
            <w:noWrap/>
            <w:hideMark/>
          </w:tcPr>
          <w:p w:rsidR="00E041DA" w:rsidRPr="006054CC" w:rsidP="00E041DA" w14:paraId="605B038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Nathan Padilla</w:t>
            </w:r>
          </w:p>
        </w:tc>
        <w:tc>
          <w:tcPr>
            <w:tcW w:w="1530" w:type="dxa"/>
            <w:noWrap/>
            <w:hideMark/>
          </w:tcPr>
          <w:p w:rsidR="00E041DA" w:rsidRPr="006054CC" w:rsidP="00E041DA" w14:paraId="1EA228A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DFD8E3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NP</w:t>
            </w:r>
          </w:p>
        </w:tc>
        <w:tc>
          <w:tcPr>
            <w:tcW w:w="1890" w:type="dxa"/>
          </w:tcPr>
          <w:p w:rsidR="00E041DA" w:rsidRPr="006054CC" w:rsidP="00E041DA" w14:paraId="1346ADA1" w14:textId="77777777">
            <w:pPr>
              <w:jc w:val="center"/>
              <w:rPr>
                <w:rFonts w:ascii="Arial" w:eastAsia="Times New Roman" w:hAnsi="Arial" w:cs="Arial"/>
                <w:color w:val="000000"/>
                <w:sz w:val="20"/>
                <w:szCs w:val="20"/>
              </w:rPr>
            </w:pPr>
            <w:r w:rsidRPr="00B401ED">
              <w:rPr>
                <w:rFonts w:ascii="Arial" w:eastAsia="Times New Roman" w:hAnsi="Arial" w:cs="Arial"/>
                <w:color w:val="000000"/>
                <w:sz w:val="20"/>
                <w:szCs w:val="20"/>
              </w:rPr>
              <w:t>NRC-2019-0062-0433</w:t>
            </w:r>
          </w:p>
        </w:tc>
        <w:tc>
          <w:tcPr>
            <w:tcW w:w="1615" w:type="dxa"/>
            <w:noWrap/>
            <w:hideMark/>
          </w:tcPr>
          <w:p w:rsidR="00E041DA" w:rsidRPr="006054CC" w:rsidP="00E041DA" w14:paraId="197FA97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ML25051A157</w:t>
            </w:r>
          </w:p>
        </w:tc>
      </w:tr>
      <w:tr w14:paraId="4317C35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E2144F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089</w:t>
            </w:r>
          </w:p>
        </w:tc>
        <w:tc>
          <w:tcPr>
            <w:tcW w:w="1440" w:type="dxa"/>
            <w:noWrap/>
            <w:hideMark/>
          </w:tcPr>
          <w:p w:rsidR="00E041DA" w:rsidRPr="006054CC" w:rsidP="00E041DA" w14:paraId="1D5EDAE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B005B0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7B0311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6</w:t>
            </w:r>
          </w:p>
        </w:tc>
        <w:tc>
          <w:tcPr>
            <w:tcW w:w="1890" w:type="dxa"/>
          </w:tcPr>
          <w:p w:rsidR="00E041DA" w:rsidRPr="006054CC" w:rsidP="00E041DA" w14:paraId="7D57551B" w14:textId="77777777">
            <w:pPr>
              <w:jc w:val="center"/>
              <w:rPr>
                <w:rFonts w:ascii="Arial" w:eastAsia="Times New Roman" w:hAnsi="Arial" w:cs="Arial"/>
                <w:color w:val="000000"/>
                <w:sz w:val="20"/>
                <w:szCs w:val="20"/>
              </w:rPr>
            </w:pPr>
            <w:r w:rsidRPr="00E832FF">
              <w:rPr>
                <w:rFonts w:ascii="Arial" w:hAnsi="Arial" w:cs="Arial"/>
                <w:sz w:val="20"/>
                <w:szCs w:val="20"/>
              </w:rPr>
              <w:t>NRC-2019-0062-0434</w:t>
            </w:r>
          </w:p>
        </w:tc>
        <w:tc>
          <w:tcPr>
            <w:tcW w:w="1615" w:type="dxa"/>
            <w:noWrap/>
            <w:hideMark/>
          </w:tcPr>
          <w:p w:rsidR="00E041DA" w:rsidRPr="006054CC" w:rsidP="00E041DA" w14:paraId="1A68D74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ML25051A158</w:t>
            </w:r>
          </w:p>
        </w:tc>
      </w:tr>
      <w:tr w14:paraId="7E82EC3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1ADC6D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090</w:t>
            </w:r>
          </w:p>
        </w:tc>
        <w:tc>
          <w:tcPr>
            <w:tcW w:w="1440" w:type="dxa"/>
            <w:noWrap/>
            <w:hideMark/>
          </w:tcPr>
          <w:p w:rsidR="00E041DA" w:rsidRPr="006054CC" w:rsidP="00E041DA" w14:paraId="02B0C3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2525A5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C60B84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7</w:t>
            </w:r>
          </w:p>
        </w:tc>
        <w:tc>
          <w:tcPr>
            <w:tcW w:w="1890" w:type="dxa"/>
          </w:tcPr>
          <w:p w:rsidR="00E041DA" w:rsidRPr="006054CC" w:rsidP="00E041DA" w14:paraId="658A7DF1" w14:textId="77777777">
            <w:pPr>
              <w:jc w:val="center"/>
              <w:rPr>
                <w:rFonts w:ascii="Arial" w:eastAsia="Times New Roman" w:hAnsi="Arial" w:cs="Arial"/>
                <w:color w:val="000000"/>
                <w:sz w:val="20"/>
                <w:szCs w:val="20"/>
              </w:rPr>
            </w:pPr>
            <w:r w:rsidRPr="00E832FF">
              <w:rPr>
                <w:rFonts w:ascii="Arial" w:hAnsi="Arial" w:cs="Arial"/>
                <w:sz w:val="20"/>
                <w:szCs w:val="20"/>
              </w:rPr>
              <w:t>NRC-2019-0062-0431</w:t>
            </w:r>
          </w:p>
        </w:tc>
        <w:tc>
          <w:tcPr>
            <w:tcW w:w="1615" w:type="dxa"/>
            <w:noWrap/>
            <w:hideMark/>
          </w:tcPr>
          <w:p w:rsidR="00E041DA" w:rsidRPr="006054CC" w:rsidP="00E041DA" w14:paraId="0D0E73F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ML25051A159</w:t>
            </w:r>
          </w:p>
        </w:tc>
      </w:tr>
      <w:tr w14:paraId="2EDE3D8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FAE04D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091</w:t>
            </w:r>
          </w:p>
        </w:tc>
        <w:tc>
          <w:tcPr>
            <w:tcW w:w="1440" w:type="dxa"/>
            <w:noWrap/>
            <w:hideMark/>
          </w:tcPr>
          <w:p w:rsidR="00E041DA" w:rsidRPr="006054CC" w:rsidP="00E041DA" w14:paraId="51FD02A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Nevada Caldwell</w:t>
            </w:r>
          </w:p>
        </w:tc>
        <w:tc>
          <w:tcPr>
            <w:tcW w:w="1530" w:type="dxa"/>
            <w:noWrap/>
            <w:hideMark/>
          </w:tcPr>
          <w:p w:rsidR="00E041DA" w:rsidRPr="006054CC" w:rsidP="00E041DA" w14:paraId="725A8F7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73E8BD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NA</w:t>
            </w:r>
          </w:p>
        </w:tc>
        <w:tc>
          <w:tcPr>
            <w:tcW w:w="1890" w:type="dxa"/>
          </w:tcPr>
          <w:p w:rsidR="00E041DA" w:rsidRPr="006054CC" w:rsidP="00E041DA" w14:paraId="5586A4C5" w14:textId="77777777">
            <w:pPr>
              <w:jc w:val="center"/>
              <w:rPr>
                <w:rFonts w:ascii="Arial" w:eastAsia="Times New Roman" w:hAnsi="Arial" w:cs="Arial"/>
                <w:color w:val="000000"/>
                <w:sz w:val="20"/>
                <w:szCs w:val="20"/>
              </w:rPr>
            </w:pPr>
            <w:r w:rsidRPr="00E832FF">
              <w:rPr>
                <w:rFonts w:ascii="Arial" w:hAnsi="Arial" w:cs="Arial"/>
                <w:sz w:val="20"/>
                <w:szCs w:val="20"/>
              </w:rPr>
              <w:t>NRC-2019-0062-0428</w:t>
            </w:r>
          </w:p>
        </w:tc>
        <w:tc>
          <w:tcPr>
            <w:tcW w:w="1615" w:type="dxa"/>
            <w:noWrap/>
            <w:hideMark/>
          </w:tcPr>
          <w:p w:rsidR="00E041DA" w:rsidRPr="006054CC" w:rsidP="00E041DA" w14:paraId="296BFD3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ML25051A160</w:t>
            </w:r>
          </w:p>
        </w:tc>
      </w:tr>
      <w:tr w14:paraId="3F00305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EEAA13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092</w:t>
            </w:r>
          </w:p>
        </w:tc>
        <w:tc>
          <w:tcPr>
            <w:tcW w:w="1440" w:type="dxa"/>
            <w:noWrap/>
            <w:hideMark/>
          </w:tcPr>
          <w:p w:rsidR="00E041DA" w:rsidRPr="006054CC" w:rsidP="00E041DA" w14:paraId="2A3747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5B313F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210E9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HPT3</w:t>
            </w:r>
            <w:r>
              <w:rPr>
                <w:rFonts w:ascii="Arial" w:eastAsia="Times New Roman" w:hAnsi="Arial" w:cs="Arial"/>
                <w:color w:val="000000"/>
                <w:sz w:val="20"/>
                <w:szCs w:val="20"/>
              </w:rPr>
              <w:t>8</w:t>
            </w:r>
          </w:p>
        </w:tc>
        <w:tc>
          <w:tcPr>
            <w:tcW w:w="1890" w:type="dxa"/>
          </w:tcPr>
          <w:p w:rsidR="00E041DA" w:rsidRPr="006054CC" w:rsidP="00E041DA" w14:paraId="3DC8A1A3" w14:textId="77777777">
            <w:pPr>
              <w:jc w:val="center"/>
              <w:rPr>
                <w:rFonts w:ascii="Arial" w:eastAsia="Times New Roman" w:hAnsi="Arial" w:cs="Arial"/>
                <w:color w:val="000000"/>
                <w:sz w:val="20"/>
                <w:szCs w:val="20"/>
              </w:rPr>
            </w:pPr>
            <w:r w:rsidRPr="00291700">
              <w:rPr>
                <w:rFonts w:ascii="Arial" w:eastAsia="Times New Roman" w:hAnsi="Arial" w:cs="Arial"/>
                <w:color w:val="000000"/>
                <w:sz w:val="20"/>
                <w:szCs w:val="20"/>
              </w:rPr>
              <w:t>NRC-2019-0062-0430</w:t>
            </w:r>
          </w:p>
        </w:tc>
        <w:tc>
          <w:tcPr>
            <w:tcW w:w="1615" w:type="dxa"/>
            <w:noWrap/>
            <w:hideMark/>
          </w:tcPr>
          <w:p w:rsidR="00E041DA" w:rsidRPr="006054CC" w:rsidP="00E041DA" w14:paraId="54EDB9D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ML25051A162</w:t>
            </w:r>
          </w:p>
        </w:tc>
      </w:tr>
      <w:tr w14:paraId="3B12806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54B90B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093</w:t>
            </w:r>
          </w:p>
        </w:tc>
        <w:tc>
          <w:tcPr>
            <w:tcW w:w="1440" w:type="dxa"/>
            <w:noWrap/>
            <w:hideMark/>
          </w:tcPr>
          <w:p w:rsidR="00E041DA" w:rsidRPr="006054CC" w:rsidP="00E041DA" w14:paraId="3EFC644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Jesse Seymour</w:t>
            </w:r>
          </w:p>
        </w:tc>
        <w:tc>
          <w:tcPr>
            <w:tcW w:w="1530" w:type="dxa"/>
            <w:noWrap/>
            <w:hideMark/>
          </w:tcPr>
          <w:p w:rsidR="00E041DA" w:rsidRPr="006054CC" w:rsidP="00E041DA" w14:paraId="73A095F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2A532B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JSE</w:t>
            </w:r>
          </w:p>
        </w:tc>
        <w:tc>
          <w:tcPr>
            <w:tcW w:w="1890" w:type="dxa"/>
          </w:tcPr>
          <w:p w:rsidR="00E041DA" w:rsidRPr="006054CC" w:rsidP="00E041DA" w14:paraId="469678C2" w14:textId="77777777">
            <w:pPr>
              <w:jc w:val="center"/>
              <w:rPr>
                <w:rFonts w:ascii="Arial" w:eastAsia="Times New Roman" w:hAnsi="Arial" w:cs="Arial"/>
                <w:color w:val="000000"/>
                <w:sz w:val="20"/>
                <w:szCs w:val="20"/>
              </w:rPr>
            </w:pPr>
            <w:r w:rsidRPr="007A704D">
              <w:rPr>
                <w:rFonts w:ascii="Arial" w:eastAsia="Times New Roman" w:hAnsi="Arial" w:cs="Arial"/>
                <w:color w:val="000000"/>
                <w:sz w:val="20"/>
                <w:szCs w:val="20"/>
              </w:rPr>
              <w:t>NRC-2019-0062-0429</w:t>
            </w:r>
          </w:p>
        </w:tc>
        <w:tc>
          <w:tcPr>
            <w:tcW w:w="1615" w:type="dxa"/>
            <w:noWrap/>
            <w:hideMark/>
          </w:tcPr>
          <w:p w:rsidR="00E041DA" w:rsidRPr="006054CC" w:rsidP="00E041DA" w14:paraId="15A376D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ML25051A163</w:t>
            </w:r>
          </w:p>
        </w:tc>
      </w:tr>
      <w:tr w14:paraId="2F5CBFC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FD3C92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094</w:t>
            </w:r>
          </w:p>
        </w:tc>
        <w:tc>
          <w:tcPr>
            <w:tcW w:w="1440" w:type="dxa"/>
            <w:noWrap/>
            <w:hideMark/>
          </w:tcPr>
          <w:p w:rsidR="00E041DA" w:rsidRPr="006054CC" w:rsidP="00E041DA" w14:paraId="0AD8B4B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6987D6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130FE4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w:t>
            </w:r>
            <w:r>
              <w:rPr>
                <w:rFonts w:ascii="Arial" w:eastAsia="Times New Roman" w:hAnsi="Arial" w:cs="Arial"/>
                <w:color w:val="000000"/>
                <w:sz w:val="20"/>
                <w:szCs w:val="20"/>
              </w:rPr>
              <w:t>39</w:t>
            </w:r>
          </w:p>
        </w:tc>
        <w:tc>
          <w:tcPr>
            <w:tcW w:w="1890" w:type="dxa"/>
          </w:tcPr>
          <w:p w:rsidR="00E041DA" w:rsidRPr="006054CC" w:rsidP="00E041DA" w14:paraId="63CAA85A" w14:textId="77777777">
            <w:pPr>
              <w:jc w:val="center"/>
              <w:rPr>
                <w:rFonts w:ascii="Arial" w:eastAsia="Times New Roman" w:hAnsi="Arial" w:cs="Arial"/>
                <w:color w:val="000000"/>
                <w:sz w:val="20"/>
                <w:szCs w:val="20"/>
              </w:rPr>
            </w:pPr>
            <w:r w:rsidRPr="00E832FF">
              <w:rPr>
                <w:rFonts w:ascii="Arial" w:hAnsi="Arial" w:cs="Arial"/>
                <w:sz w:val="20"/>
                <w:szCs w:val="20"/>
              </w:rPr>
              <w:t>NRC-2019-0062-0438</w:t>
            </w:r>
          </w:p>
        </w:tc>
        <w:tc>
          <w:tcPr>
            <w:tcW w:w="1615" w:type="dxa"/>
            <w:noWrap/>
            <w:hideMark/>
          </w:tcPr>
          <w:p w:rsidR="00E041DA" w:rsidRPr="006054CC" w:rsidP="00E041DA" w14:paraId="70A970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ML25056A004</w:t>
            </w:r>
          </w:p>
        </w:tc>
      </w:tr>
      <w:tr w14:paraId="70F07D3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43542B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095</w:t>
            </w:r>
          </w:p>
        </w:tc>
        <w:tc>
          <w:tcPr>
            <w:tcW w:w="1440" w:type="dxa"/>
            <w:noWrap/>
            <w:hideMark/>
          </w:tcPr>
          <w:p w:rsidR="00E041DA" w:rsidRPr="006054CC" w:rsidP="00E041DA" w14:paraId="5A4DBDD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737822D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62DD6E1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0</w:t>
            </w:r>
          </w:p>
        </w:tc>
        <w:tc>
          <w:tcPr>
            <w:tcW w:w="1890" w:type="dxa"/>
          </w:tcPr>
          <w:p w:rsidR="00E041DA" w:rsidRPr="006054CC" w:rsidP="00E041DA" w14:paraId="63D650D5" w14:textId="77777777">
            <w:pPr>
              <w:jc w:val="center"/>
              <w:rPr>
                <w:rFonts w:ascii="Arial" w:eastAsia="Times New Roman" w:hAnsi="Arial" w:cs="Arial"/>
                <w:color w:val="000000"/>
                <w:sz w:val="20"/>
                <w:szCs w:val="20"/>
              </w:rPr>
            </w:pPr>
            <w:r w:rsidRPr="00E832FF">
              <w:rPr>
                <w:rFonts w:ascii="Arial" w:hAnsi="Arial" w:cs="Arial"/>
                <w:sz w:val="20"/>
                <w:szCs w:val="20"/>
              </w:rPr>
              <w:t>NRC-2019-0062-0439</w:t>
            </w:r>
          </w:p>
        </w:tc>
        <w:tc>
          <w:tcPr>
            <w:tcW w:w="1615" w:type="dxa"/>
            <w:noWrap/>
            <w:hideMark/>
          </w:tcPr>
          <w:p w:rsidR="00E041DA" w:rsidRPr="006054CC" w:rsidP="00E041DA" w14:paraId="2FE7F6B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ML25056A005</w:t>
            </w:r>
          </w:p>
        </w:tc>
      </w:tr>
      <w:tr w14:paraId="1D6C5C4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50032F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096</w:t>
            </w:r>
          </w:p>
        </w:tc>
        <w:tc>
          <w:tcPr>
            <w:tcW w:w="1440" w:type="dxa"/>
            <w:noWrap/>
            <w:hideMark/>
          </w:tcPr>
          <w:p w:rsidR="00E041DA" w:rsidRPr="006054CC" w:rsidP="00E041DA" w14:paraId="03B030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193AF75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06304D0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1</w:t>
            </w:r>
          </w:p>
        </w:tc>
        <w:tc>
          <w:tcPr>
            <w:tcW w:w="1890" w:type="dxa"/>
          </w:tcPr>
          <w:p w:rsidR="00E041DA" w:rsidRPr="006054CC" w:rsidP="00E041DA" w14:paraId="0607DFC3" w14:textId="77777777">
            <w:pPr>
              <w:jc w:val="center"/>
              <w:rPr>
                <w:rFonts w:ascii="Arial" w:eastAsia="Times New Roman" w:hAnsi="Arial" w:cs="Arial"/>
                <w:color w:val="000000"/>
                <w:sz w:val="20"/>
                <w:szCs w:val="20"/>
              </w:rPr>
            </w:pPr>
            <w:r w:rsidRPr="00E832FF">
              <w:rPr>
                <w:rFonts w:ascii="Arial" w:hAnsi="Arial" w:cs="Arial"/>
                <w:sz w:val="20"/>
                <w:szCs w:val="20"/>
              </w:rPr>
              <w:t>NRC-2019-0062-0440</w:t>
            </w:r>
          </w:p>
        </w:tc>
        <w:tc>
          <w:tcPr>
            <w:tcW w:w="1615" w:type="dxa"/>
            <w:noWrap/>
            <w:hideMark/>
          </w:tcPr>
          <w:p w:rsidR="00E041DA" w:rsidRPr="006054CC" w:rsidP="00E041DA" w14:paraId="771FE3A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ML25056A006</w:t>
            </w:r>
          </w:p>
        </w:tc>
      </w:tr>
      <w:tr w14:paraId="6AC3163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11CB9A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097</w:t>
            </w:r>
          </w:p>
        </w:tc>
        <w:tc>
          <w:tcPr>
            <w:tcW w:w="1440" w:type="dxa"/>
            <w:noWrap/>
            <w:hideMark/>
          </w:tcPr>
          <w:p w:rsidR="00E041DA" w:rsidRPr="006054CC" w:rsidP="00E041DA" w14:paraId="260C104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37D9DD0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3C01D9F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2</w:t>
            </w:r>
          </w:p>
        </w:tc>
        <w:tc>
          <w:tcPr>
            <w:tcW w:w="1890" w:type="dxa"/>
          </w:tcPr>
          <w:p w:rsidR="00E041DA" w:rsidRPr="006054CC" w:rsidP="00E041DA" w14:paraId="2E14CDCD" w14:textId="77777777">
            <w:pPr>
              <w:jc w:val="center"/>
              <w:rPr>
                <w:rFonts w:ascii="Arial" w:eastAsia="Times New Roman" w:hAnsi="Arial" w:cs="Arial"/>
                <w:color w:val="000000"/>
                <w:sz w:val="20"/>
                <w:szCs w:val="20"/>
              </w:rPr>
            </w:pPr>
            <w:r w:rsidRPr="00BF4BEF">
              <w:rPr>
                <w:rFonts w:ascii="Arial" w:eastAsia="Times New Roman" w:hAnsi="Arial" w:cs="Arial"/>
                <w:color w:val="000000"/>
                <w:sz w:val="20"/>
                <w:szCs w:val="20"/>
              </w:rPr>
              <w:t>NRC-2019-0062-0441</w:t>
            </w:r>
          </w:p>
        </w:tc>
        <w:tc>
          <w:tcPr>
            <w:tcW w:w="1615" w:type="dxa"/>
            <w:noWrap/>
            <w:hideMark/>
          </w:tcPr>
          <w:p w:rsidR="00E041DA" w:rsidRPr="006054CC" w:rsidP="00E041DA" w14:paraId="6F27F3D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ML25056A007</w:t>
            </w:r>
          </w:p>
        </w:tc>
      </w:tr>
      <w:tr w14:paraId="70152B2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93806F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098</w:t>
            </w:r>
          </w:p>
        </w:tc>
        <w:tc>
          <w:tcPr>
            <w:tcW w:w="1440" w:type="dxa"/>
            <w:noWrap/>
            <w:hideMark/>
          </w:tcPr>
          <w:p w:rsidR="00E041DA" w:rsidRPr="006054CC" w:rsidP="00E041DA" w14:paraId="5570C49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6231D2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2C61B0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AN5</w:t>
            </w:r>
          </w:p>
        </w:tc>
        <w:tc>
          <w:tcPr>
            <w:tcW w:w="1890" w:type="dxa"/>
          </w:tcPr>
          <w:p w:rsidR="00E041DA" w:rsidRPr="006054CC" w:rsidP="00E041DA" w14:paraId="3ABF0A15" w14:textId="77777777">
            <w:pPr>
              <w:jc w:val="center"/>
              <w:rPr>
                <w:rFonts w:ascii="Arial" w:eastAsia="Times New Roman" w:hAnsi="Arial" w:cs="Arial"/>
                <w:color w:val="000000"/>
                <w:sz w:val="20"/>
                <w:szCs w:val="20"/>
              </w:rPr>
            </w:pPr>
            <w:r w:rsidRPr="00E832FF">
              <w:rPr>
                <w:rFonts w:ascii="Arial" w:hAnsi="Arial" w:cs="Arial"/>
                <w:sz w:val="20"/>
                <w:szCs w:val="20"/>
              </w:rPr>
              <w:t>NRC-2019-0062-0</w:t>
            </w:r>
            <w:r>
              <w:rPr>
                <w:rFonts w:ascii="Arial" w:hAnsi="Arial" w:cs="Arial"/>
                <w:sz w:val="20"/>
                <w:szCs w:val="20"/>
              </w:rPr>
              <w:t>442</w:t>
            </w:r>
          </w:p>
        </w:tc>
        <w:tc>
          <w:tcPr>
            <w:tcW w:w="1615" w:type="dxa"/>
            <w:noWrap/>
            <w:hideMark/>
          </w:tcPr>
          <w:p w:rsidR="00E041DA" w:rsidRPr="006054CC" w:rsidP="00E041DA" w14:paraId="4DF2A0F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ML22040A354</w:t>
            </w:r>
          </w:p>
        </w:tc>
      </w:tr>
      <w:tr w14:paraId="437AA57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72606D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099</w:t>
            </w:r>
          </w:p>
        </w:tc>
        <w:tc>
          <w:tcPr>
            <w:tcW w:w="1440" w:type="dxa"/>
            <w:noWrap/>
            <w:hideMark/>
          </w:tcPr>
          <w:p w:rsidR="00E041DA" w:rsidRPr="006054CC" w:rsidP="00E041DA" w14:paraId="08E1F1A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5F0145E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EE3706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3</w:t>
            </w:r>
          </w:p>
        </w:tc>
        <w:tc>
          <w:tcPr>
            <w:tcW w:w="1890" w:type="dxa"/>
          </w:tcPr>
          <w:p w:rsidR="00E041DA" w:rsidRPr="006054CC" w:rsidP="00E041DA" w14:paraId="065C162F" w14:textId="77777777">
            <w:pPr>
              <w:jc w:val="center"/>
              <w:rPr>
                <w:rFonts w:ascii="Arial" w:eastAsia="Times New Roman" w:hAnsi="Arial" w:cs="Arial"/>
                <w:color w:val="000000"/>
                <w:sz w:val="20"/>
                <w:szCs w:val="20"/>
              </w:rPr>
            </w:pPr>
            <w:r w:rsidRPr="00E832FF">
              <w:rPr>
                <w:rFonts w:ascii="Arial" w:hAnsi="Arial" w:cs="Arial"/>
                <w:sz w:val="20"/>
                <w:szCs w:val="20"/>
              </w:rPr>
              <w:t>NRC-2019-0062-0443</w:t>
            </w:r>
          </w:p>
        </w:tc>
        <w:tc>
          <w:tcPr>
            <w:tcW w:w="1615" w:type="dxa"/>
            <w:noWrap/>
            <w:hideMark/>
          </w:tcPr>
          <w:p w:rsidR="00E041DA" w:rsidRPr="006054CC" w:rsidP="00E041DA" w14:paraId="15CBB8B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ML25056A009</w:t>
            </w:r>
          </w:p>
        </w:tc>
      </w:tr>
      <w:tr w14:paraId="4FC6896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32B982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100</w:t>
            </w:r>
          </w:p>
        </w:tc>
        <w:tc>
          <w:tcPr>
            <w:tcW w:w="1440" w:type="dxa"/>
            <w:noWrap/>
            <w:hideMark/>
          </w:tcPr>
          <w:p w:rsidR="00E041DA" w:rsidRPr="006054CC" w:rsidP="00E041DA" w14:paraId="4A79180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Adam Stein</w:t>
            </w:r>
          </w:p>
        </w:tc>
        <w:tc>
          <w:tcPr>
            <w:tcW w:w="1530" w:type="dxa"/>
            <w:noWrap/>
            <w:hideMark/>
          </w:tcPr>
          <w:p w:rsidR="00E041DA" w:rsidRPr="006054CC" w:rsidP="00E041DA" w14:paraId="229B10F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Stakeholder Consensus Working Group</w:t>
            </w:r>
          </w:p>
        </w:tc>
        <w:tc>
          <w:tcPr>
            <w:tcW w:w="1440" w:type="dxa"/>
            <w:noWrap/>
            <w:hideMark/>
          </w:tcPr>
          <w:p w:rsidR="00E041DA" w:rsidRPr="006054CC" w:rsidP="00E041DA" w14:paraId="31E7BB5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SCWG</w:t>
            </w:r>
          </w:p>
        </w:tc>
        <w:tc>
          <w:tcPr>
            <w:tcW w:w="1890" w:type="dxa"/>
          </w:tcPr>
          <w:p w:rsidR="00E041DA" w:rsidRPr="006054CC" w:rsidP="00E041DA" w14:paraId="2209BA24" w14:textId="77777777">
            <w:pPr>
              <w:jc w:val="center"/>
              <w:rPr>
                <w:rFonts w:ascii="Arial" w:eastAsia="Times New Roman" w:hAnsi="Arial" w:cs="Arial"/>
                <w:color w:val="000000"/>
                <w:sz w:val="20"/>
                <w:szCs w:val="20"/>
              </w:rPr>
            </w:pPr>
            <w:r w:rsidRPr="00D87876">
              <w:rPr>
                <w:rFonts w:ascii="Arial" w:eastAsia="Times New Roman" w:hAnsi="Arial" w:cs="Arial"/>
                <w:color w:val="000000"/>
                <w:sz w:val="20"/>
                <w:szCs w:val="20"/>
              </w:rPr>
              <w:t>NRC-2019-0062-0444</w:t>
            </w:r>
          </w:p>
        </w:tc>
        <w:tc>
          <w:tcPr>
            <w:tcW w:w="1615" w:type="dxa"/>
            <w:noWrap/>
            <w:hideMark/>
          </w:tcPr>
          <w:p w:rsidR="00E041DA" w:rsidRPr="006054CC" w:rsidP="00E041DA" w14:paraId="6A36B4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ML25056A010</w:t>
            </w:r>
          </w:p>
        </w:tc>
      </w:tr>
      <w:tr w14:paraId="79C5B7D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E92614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101</w:t>
            </w:r>
          </w:p>
        </w:tc>
        <w:tc>
          <w:tcPr>
            <w:tcW w:w="1440" w:type="dxa"/>
            <w:noWrap/>
            <w:hideMark/>
          </w:tcPr>
          <w:p w:rsidR="00E041DA" w:rsidRPr="006054CC" w:rsidP="00E041DA" w14:paraId="20AABC5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Tom Gurdziel</w:t>
            </w:r>
          </w:p>
        </w:tc>
        <w:tc>
          <w:tcPr>
            <w:tcW w:w="1530" w:type="dxa"/>
            <w:noWrap/>
            <w:hideMark/>
          </w:tcPr>
          <w:p w:rsidR="00E041DA" w:rsidRPr="006054CC" w:rsidP="00E041DA" w14:paraId="5108C78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58DC33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TG28</w:t>
            </w:r>
          </w:p>
        </w:tc>
        <w:tc>
          <w:tcPr>
            <w:tcW w:w="1890" w:type="dxa"/>
          </w:tcPr>
          <w:p w:rsidR="00E041DA" w:rsidRPr="006054CC" w:rsidP="00E041DA" w14:paraId="12B2A56E" w14:textId="77777777">
            <w:pPr>
              <w:jc w:val="center"/>
              <w:rPr>
                <w:rFonts w:ascii="Arial" w:eastAsia="Times New Roman" w:hAnsi="Arial" w:cs="Arial"/>
                <w:color w:val="000000"/>
                <w:sz w:val="20"/>
                <w:szCs w:val="20"/>
              </w:rPr>
            </w:pPr>
            <w:r w:rsidRPr="00E832FF">
              <w:rPr>
                <w:rFonts w:ascii="Arial" w:hAnsi="Arial" w:cs="Arial"/>
                <w:sz w:val="20"/>
                <w:szCs w:val="20"/>
              </w:rPr>
              <w:t>NRC-2019-0062-0488</w:t>
            </w:r>
          </w:p>
        </w:tc>
        <w:tc>
          <w:tcPr>
            <w:tcW w:w="1615" w:type="dxa"/>
            <w:noWrap/>
            <w:hideMark/>
          </w:tcPr>
          <w:p w:rsidR="00E041DA" w:rsidRPr="006054CC" w:rsidP="00E041DA" w14:paraId="6A81347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ML25057A451</w:t>
            </w:r>
          </w:p>
        </w:tc>
      </w:tr>
      <w:tr w14:paraId="1C7256F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12A259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102</w:t>
            </w:r>
          </w:p>
        </w:tc>
        <w:tc>
          <w:tcPr>
            <w:tcW w:w="1440" w:type="dxa"/>
            <w:noWrap/>
            <w:hideMark/>
          </w:tcPr>
          <w:p w:rsidR="00E041DA" w:rsidRPr="006054CC" w:rsidP="00E041DA" w14:paraId="38F203E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Cyril Draffin</w:t>
            </w:r>
          </w:p>
        </w:tc>
        <w:tc>
          <w:tcPr>
            <w:tcW w:w="1530" w:type="dxa"/>
            <w:noWrap/>
            <w:hideMark/>
          </w:tcPr>
          <w:p w:rsidR="00E041DA" w:rsidRPr="006054CC" w:rsidP="00E041DA" w14:paraId="378D79A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United States Nuclear Industry Council</w:t>
            </w:r>
          </w:p>
        </w:tc>
        <w:tc>
          <w:tcPr>
            <w:tcW w:w="1440" w:type="dxa"/>
            <w:noWrap/>
            <w:hideMark/>
          </w:tcPr>
          <w:p w:rsidR="00E041DA" w:rsidRPr="006054CC" w:rsidP="00E041DA" w14:paraId="498104B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USNIC2</w:t>
            </w:r>
          </w:p>
        </w:tc>
        <w:tc>
          <w:tcPr>
            <w:tcW w:w="1890" w:type="dxa"/>
          </w:tcPr>
          <w:p w:rsidR="00E041DA" w:rsidRPr="006054CC" w:rsidP="00E041DA" w14:paraId="759E9C6C" w14:textId="77777777">
            <w:pPr>
              <w:jc w:val="center"/>
              <w:rPr>
                <w:rFonts w:ascii="Arial" w:eastAsia="Times New Roman" w:hAnsi="Arial" w:cs="Arial"/>
                <w:color w:val="000000"/>
                <w:sz w:val="20"/>
                <w:szCs w:val="20"/>
              </w:rPr>
            </w:pPr>
            <w:r w:rsidRPr="00AE0B17">
              <w:rPr>
                <w:rFonts w:ascii="Arial" w:eastAsia="Times New Roman" w:hAnsi="Arial" w:cs="Arial"/>
                <w:color w:val="000000"/>
                <w:sz w:val="20"/>
                <w:szCs w:val="20"/>
              </w:rPr>
              <w:t>NRC-2019-0062-0492</w:t>
            </w:r>
          </w:p>
        </w:tc>
        <w:tc>
          <w:tcPr>
            <w:tcW w:w="1615" w:type="dxa"/>
            <w:noWrap/>
            <w:hideMark/>
          </w:tcPr>
          <w:p w:rsidR="00E041DA" w:rsidRPr="006054CC" w:rsidP="00E041DA" w14:paraId="60E3C10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ML25058A180</w:t>
            </w:r>
          </w:p>
        </w:tc>
      </w:tr>
      <w:tr w14:paraId="320B43B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97ECE2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103</w:t>
            </w:r>
          </w:p>
        </w:tc>
        <w:tc>
          <w:tcPr>
            <w:tcW w:w="1440" w:type="dxa"/>
            <w:noWrap/>
            <w:hideMark/>
          </w:tcPr>
          <w:p w:rsidR="00E041DA" w:rsidRPr="006054CC" w:rsidP="00E041DA" w14:paraId="40B8274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James E. Holloway</w:t>
            </w:r>
          </w:p>
        </w:tc>
        <w:tc>
          <w:tcPr>
            <w:tcW w:w="1530" w:type="dxa"/>
            <w:noWrap/>
            <w:hideMark/>
          </w:tcPr>
          <w:p w:rsidR="00E041DA" w:rsidRPr="006054CC" w:rsidP="00E041DA" w14:paraId="73C8B37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Dominion Energy Services</w:t>
            </w:r>
          </w:p>
        </w:tc>
        <w:tc>
          <w:tcPr>
            <w:tcW w:w="1440" w:type="dxa"/>
            <w:noWrap/>
            <w:hideMark/>
          </w:tcPr>
          <w:p w:rsidR="00E041DA" w:rsidRPr="006054CC" w:rsidP="00E041DA" w14:paraId="759933F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DOM</w:t>
            </w:r>
          </w:p>
        </w:tc>
        <w:tc>
          <w:tcPr>
            <w:tcW w:w="1890" w:type="dxa"/>
          </w:tcPr>
          <w:p w:rsidR="00E041DA" w:rsidRPr="006054CC" w:rsidP="00E041DA" w14:paraId="116C82CC" w14:textId="77777777">
            <w:pPr>
              <w:jc w:val="center"/>
              <w:rPr>
                <w:rFonts w:ascii="Arial" w:eastAsia="Times New Roman" w:hAnsi="Arial" w:cs="Arial"/>
                <w:color w:val="000000"/>
                <w:sz w:val="20"/>
                <w:szCs w:val="20"/>
              </w:rPr>
            </w:pPr>
            <w:r w:rsidRPr="004427C3">
              <w:rPr>
                <w:rFonts w:ascii="Arial" w:eastAsia="Times New Roman" w:hAnsi="Arial" w:cs="Arial"/>
                <w:color w:val="000000"/>
                <w:sz w:val="20"/>
                <w:szCs w:val="20"/>
              </w:rPr>
              <w:t>NRC-2019-0062-0490</w:t>
            </w:r>
          </w:p>
        </w:tc>
        <w:tc>
          <w:tcPr>
            <w:tcW w:w="1615" w:type="dxa"/>
            <w:noWrap/>
            <w:hideMark/>
          </w:tcPr>
          <w:p w:rsidR="00E041DA" w:rsidRPr="006054CC" w:rsidP="00E041DA" w14:paraId="0AE298C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ML25058A244</w:t>
            </w:r>
          </w:p>
        </w:tc>
      </w:tr>
      <w:tr w14:paraId="61372DD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53172E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104</w:t>
            </w:r>
          </w:p>
        </w:tc>
        <w:tc>
          <w:tcPr>
            <w:tcW w:w="1440" w:type="dxa"/>
            <w:noWrap/>
            <w:hideMark/>
          </w:tcPr>
          <w:p w:rsidR="00E041DA" w:rsidRPr="006054CC" w:rsidP="00E041DA" w14:paraId="05122DA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Jason A. Christensen</w:t>
            </w:r>
          </w:p>
        </w:tc>
        <w:tc>
          <w:tcPr>
            <w:tcW w:w="1530" w:type="dxa"/>
            <w:noWrap/>
            <w:hideMark/>
          </w:tcPr>
          <w:p w:rsidR="00E041DA" w:rsidRPr="006054CC" w:rsidP="00E041DA" w14:paraId="256E7E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Idaho National Laboratory</w:t>
            </w:r>
          </w:p>
        </w:tc>
        <w:tc>
          <w:tcPr>
            <w:tcW w:w="1440" w:type="dxa"/>
            <w:noWrap/>
            <w:hideMark/>
          </w:tcPr>
          <w:p w:rsidR="00E041DA" w:rsidRPr="006054CC" w:rsidP="00E041DA" w14:paraId="1AEA0B7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IDNL</w:t>
            </w:r>
          </w:p>
        </w:tc>
        <w:tc>
          <w:tcPr>
            <w:tcW w:w="1890" w:type="dxa"/>
          </w:tcPr>
          <w:p w:rsidR="00E041DA" w:rsidRPr="006054CC" w:rsidP="00E041DA" w14:paraId="1FC591CB" w14:textId="77777777">
            <w:pPr>
              <w:jc w:val="center"/>
              <w:rPr>
                <w:rFonts w:ascii="Arial" w:eastAsia="Times New Roman" w:hAnsi="Arial" w:cs="Arial"/>
                <w:color w:val="000000"/>
                <w:sz w:val="20"/>
                <w:szCs w:val="20"/>
              </w:rPr>
            </w:pPr>
            <w:r w:rsidRPr="0072098F">
              <w:rPr>
                <w:rFonts w:ascii="Arial" w:eastAsia="Times New Roman" w:hAnsi="Arial" w:cs="Arial"/>
                <w:color w:val="000000"/>
                <w:sz w:val="20"/>
                <w:szCs w:val="20"/>
              </w:rPr>
              <w:t>NRC-2019-0062-0493</w:t>
            </w:r>
          </w:p>
        </w:tc>
        <w:tc>
          <w:tcPr>
            <w:tcW w:w="1615" w:type="dxa"/>
            <w:noWrap/>
            <w:hideMark/>
          </w:tcPr>
          <w:p w:rsidR="00E041DA" w:rsidRPr="006054CC" w:rsidP="00E041DA" w14:paraId="7976E4D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ML25062A131</w:t>
            </w:r>
          </w:p>
        </w:tc>
      </w:tr>
      <w:tr w14:paraId="3F5A5FE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CE610B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105</w:t>
            </w:r>
          </w:p>
        </w:tc>
        <w:tc>
          <w:tcPr>
            <w:tcW w:w="1440" w:type="dxa"/>
            <w:noWrap/>
            <w:hideMark/>
          </w:tcPr>
          <w:p w:rsidR="00E041DA" w:rsidRPr="006054CC" w:rsidP="00E041DA" w14:paraId="411CB34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Kenneth Mack</w:t>
            </w:r>
          </w:p>
        </w:tc>
        <w:tc>
          <w:tcPr>
            <w:tcW w:w="1530" w:type="dxa"/>
            <w:noWrap/>
            <w:hideMark/>
          </w:tcPr>
          <w:p w:rsidR="00E041DA" w:rsidRPr="006054CC" w:rsidP="00E041DA" w14:paraId="05172A8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NextEra Energy</w:t>
            </w:r>
          </w:p>
        </w:tc>
        <w:tc>
          <w:tcPr>
            <w:tcW w:w="1440" w:type="dxa"/>
            <w:noWrap/>
            <w:hideMark/>
          </w:tcPr>
          <w:p w:rsidR="00E041DA" w:rsidRPr="006054CC" w:rsidP="00E041DA" w14:paraId="64C72E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NEX</w:t>
            </w:r>
          </w:p>
        </w:tc>
        <w:tc>
          <w:tcPr>
            <w:tcW w:w="1890" w:type="dxa"/>
          </w:tcPr>
          <w:p w:rsidR="00E041DA" w:rsidRPr="006054CC" w:rsidP="00E041DA" w14:paraId="484413FF" w14:textId="77777777">
            <w:pPr>
              <w:jc w:val="center"/>
              <w:rPr>
                <w:rFonts w:ascii="Arial" w:eastAsia="Times New Roman" w:hAnsi="Arial" w:cs="Arial"/>
                <w:color w:val="000000"/>
                <w:sz w:val="20"/>
                <w:szCs w:val="20"/>
              </w:rPr>
            </w:pPr>
            <w:r w:rsidRPr="006912EB">
              <w:rPr>
                <w:rFonts w:ascii="Arial" w:eastAsia="Times New Roman" w:hAnsi="Arial" w:cs="Arial"/>
                <w:color w:val="000000"/>
                <w:sz w:val="20"/>
                <w:szCs w:val="20"/>
              </w:rPr>
              <w:t>NRC-2019-0062-0494</w:t>
            </w:r>
          </w:p>
        </w:tc>
        <w:tc>
          <w:tcPr>
            <w:tcW w:w="1615" w:type="dxa"/>
            <w:noWrap/>
            <w:hideMark/>
          </w:tcPr>
          <w:p w:rsidR="00E041DA" w:rsidRPr="006054CC" w:rsidP="00E041DA" w14:paraId="76C003B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ML25062A132</w:t>
            </w:r>
          </w:p>
        </w:tc>
      </w:tr>
      <w:tr w14:paraId="6685B9A1"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91E59E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106</w:t>
            </w:r>
          </w:p>
        </w:tc>
        <w:tc>
          <w:tcPr>
            <w:tcW w:w="1440" w:type="dxa"/>
            <w:noWrap/>
            <w:hideMark/>
          </w:tcPr>
          <w:p w:rsidR="00E041DA" w:rsidRPr="006054CC" w:rsidP="00E041DA" w14:paraId="6C6C51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Steven P. Nesbit</w:t>
            </w:r>
          </w:p>
        </w:tc>
        <w:tc>
          <w:tcPr>
            <w:tcW w:w="1530" w:type="dxa"/>
            <w:noWrap/>
            <w:hideMark/>
          </w:tcPr>
          <w:p w:rsidR="00E041DA" w:rsidRPr="006054CC" w:rsidP="00E041DA" w14:paraId="128EFA5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LMNT Consulting</w:t>
            </w:r>
          </w:p>
        </w:tc>
        <w:tc>
          <w:tcPr>
            <w:tcW w:w="1440" w:type="dxa"/>
            <w:noWrap/>
            <w:hideMark/>
          </w:tcPr>
          <w:p w:rsidR="00E041DA" w:rsidRPr="006054CC" w:rsidP="00E041DA" w14:paraId="122692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LMNT</w:t>
            </w:r>
          </w:p>
        </w:tc>
        <w:tc>
          <w:tcPr>
            <w:tcW w:w="1890" w:type="dxa"/>
          </w:tcPr>
          <w:p w:rsidR="00E041DA" w:rsidRPr="006054CC" w:rsidP="00E041DA" w14:paraId="6CE16393" w14:textId="77777777">
            <w:pPr>
              <w:jc w:val="center"/>
              <w:rPr>
                <w:rFonts w:ascii="Arial" w:eastAsia="Times New Roman" w:hAnsi="Arial" w:cs="Arial"/>
                <w:color w:val="000000"/>
                <w:sz w:val="20"/>
                <w:szCs w:val="20"/>
              </w:rPr>
            </w:pPr>
            <w:r w:rsidRPr="00A923D7">
              <w:rPr>
                <w:rFonts w:ascii="Arial" w:eastAsia="Times New Roman" w:hAnsi="Arial" w:cs="Arial"/>
                <w:color w:val="000000"/>
                <w:sz w:val="20"/>
                <w:szCs w:val="20"/>
              </w:rPr>
              <w:t>NRC-2019-0062-0495</w:t>
            </w:r>
          </w:p>
        </w:tc>
        <w:tc>
          <w:tcPr>
            <w:tcW w:w="1615" w:type="dxa"/>
            <w:noWrap/>
            <w:hideMark/>
          </w:tcPr>
          <w:p w:rsidR="00E041DA" w:rsidRPr="006054CC" w:rsidP="00E041DA" w14:paraId="1DB5E7A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ML25062A134</w:t>
            </w:r>
          </w:p>
        </w:tc>
      </w:tr>
      <w:tr w14:paraId="213AAAB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32F30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107</w:t>
            </w:r>
          </w:p>
        </w:tc>
        <w:tc>
          <w:tcPr>
            <w:tcW w:w="1440" w:type="dxa"/>
            <w:noWrap/>
            <w:hideMark/>
          </w:tcPr>
          <w:p w:rsidR="00E041DA" w:rsidRPr="006054CC" w:rsidP="00E041DA" w14:paraId="3473D8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Edwin Lyman</w:t>
            </w:r>
          </w:p>
        </w:tc>
        <w:tc>
          <w:tcPr>
            <w:tcW w:w="1530" w:type="dxa"/>
            <w:noWrap/>
            <w:hideMark/>
          </w:tcPr>
          <w:p w:rsidR="00E041DA" w:rsidRPr="006054CC" w:rsidP="00E041DA" w14:paraId="5B44698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Union of Concerned Scientists</w:t>
            </w:r>
          </w:p>
        </w:tc>
        <w:tc>
          <w:tcPr>
            <w:tcW w:w="1440" w:type="dxa"/>
            <w:noWrap/>
            <w:hideMark/>
          </w:tcPr>
          <w:p w:rsidR="00E041DA" w:rsidRPr="006054CC" w:rsidP="00E041DA" w14:paraId="6A915C7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UCS</w:t>
            </w:r>
          </w:p>
        </w:tc>
        <w:tc>
          <w:tcPr>
            <w:tcW w:w="1890" w:type="dxa"/>
          </w:tcPr>
          <w:p w:rsidR="00E041DA" w:rsidRPr="006054CC" w:rsidP="00E041DA" w14:paraId="65966906" w14:textId="77777777">
            <w:pPr>
              <w:jc w:val="center"/>
              <w:rPr>
                <w:rFonts w:ascii="Arial" w:eastAsia="Times New Roman" w:hAnsi="Arial" w:cs="Arial"/>
                <w:color w:val="000000"/>
                <w:sz w:val="20"/>
                <w:szCs w:val="20"/>
              </w:rPr>
            </w:pPr>
            <w:r w:rsidRPr="00E832FF">
              <w:rPr>
                <w:rFonts w:ascii="Arial" w:hAnsi="Arial" w:cs="Arial"/>
                <w:sz w:val="20"/>
                <w:szCs w:val="20"/>
              </w:rPr>
              <w:t>NRC-2019-0062-049</w:t>
            </w:r>
            <w:r w:rsidR="007D4958">
              <w:rPr>
                <w:rFonts w:ascii="Arial" w:hAnsi="Arial" w:cs="Arial"/>
                <w:sz w:val="20"/>
                <w:szCs w:val="20"/>
              </w:rPr>
              <w:t>1</w:t>
            </w:r>
          </w:p>
        </w:tc>
        <w:tc>
          <w:tcPr>
            <w:tcW w:w="1615" w:type="dxa"/>
            <w:noWrap/>
            <w:hideMark/>
          </w:tcPr>
          <w:p w:rsidR="00E041DA" w:rsidRPr="006054CC" w:rsidP="00E041DA" w14:paraId="5647F2C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ML25062A134</w:t>
            </w:r>
          </w:p>
        </w:tc>
      </w:tr>
      <w:tr w14:paraId="1700467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2B32AA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108</w:t>
            </w:r>
          </w:p>
        </w:tc>
        <w:tc>
          <w:tcPr>
            <w:tcW w:w="1440" w:type="dxa"/>
            <w:noWrap/>
            <w:hideMark/>
          </w:tcPr>
          <w:p w:rsidR="00E041DA" w:rsidRPr="006054CC" w:rsidP="00E041DA" w14:paraId="0E79420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W. Grover Hettel</w:t>
            </w:r>
          </w:p>
        </w:tc>
        <w:tc>
          <w:tcPr>
            <w:tcW w:w="1530" w:type="dxa"/>
            <w:noWrap/>
            <w:hideMark/>
          </w:tcPr>
          <w:p w:rsidR="00E041DA" w:rsidRPr="006054CC" w:rsidP="00E041DA" w14:paraId="5CE616A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Energy Northwest</w:t>
            </w:r>
          </w:p>
        </w:tc>
        <w:tc>
          <w:tcPr>
            <w:tcW w:w="1440" w:type="dxa"/>
            <w:noWrap/>
            <w:hideMark/>
          </w:tcPr>
          <w:p w:rsidR="00E041DA" w:rsidRPr="006054CC" w:rsidP="00E041DA" w14:paraId="0200BD6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ENW</w:t>
            </w:r>
          </w:p>
        </w:tc>
        <w:tc>
          <w:tcPr>
            <w:tcW w:w="1890" w:type="dxa"/>
          </w:tcPr>
          <w:p w:rsidR="00E041DA" w:rsidRPr="006054CC" w:rsidP="00E041DA" w14:paraId="716F9227" w14:textId="77777777">
            <w:pPr>
              <w:jc w:val="center"/>
              <w:rPr>
                <w:rFonts w:ascii="Arial" w:eastAsia="Times New Roman" w:hAnsi="Arial" w:cs="Arial"/>
                <w:color w:val="000000"/>
                <w:sz w:val="20"/>
                <w:szCs w:val="20"/>
              </w:rPr>
            </w:pPr>
            <w:r w:rsidRPr="00E36F7E">
              <w:rPr>
                <w:rFonts w:ascii="Arial" w:eastAsia="Times New Roman" w:hAnsi="Arial" w:cs="Arial"/>
                <w:color w:val="000000"/>
                <w:sz w:val="20"/>
                <w:szCs w:val="20"/>
              </w:rPr>
              <w:t>NRC-2019-0062-0489</w:t>
            </w:r>
          </w:p>
        </w:tc>
        <w:tc>
          <w:tcPr>
            <w:tcW w:w="1615" w:type="dxa"/>
            <w:noWrap/>
            <w:hideMark/>
          </w:tcPr>
          <w:p w:rsidR="00E041DA" w:rsidRPr="006054CC" w:rsidP="00E041DA" w14:paraId="6046CBA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ML25063A073</w:t>
            </w:r>
          </w:p>
        </w:tc>
      </w:tr>
      <w:tr w14:paraId="6F2A48C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09B6FC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109</w:t>
            </w:r>
          </w:p>
        </w:tc>
        <w:tc>
          <w:tcPr>
            <w:tcW w:w="1440" w:type="dxa"/>
            <w:noWrap/>
            <w:hideMark/>
          </w:tcPr>
          <w:p w:rsidR="00E041DA" w:rsidRPr="006054CC" w:rsidP="00E041DA" w14:paraId="661B585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Alyse Peterson</w:t>
            </w:r>
          </w:p>
        </w:tc>
        <w:tc>
          <w:tcPr>
            <w:tcW w:w="1530" w:type="dxa"/>
            <w:noWrap/>
            <w:hideMark/>
          </w:tcPr>
          <w:p w:rsidR="00E041DA" w:rsidRPr="006054CC" w:rsidP="00E041DA" w14:paraId="4218EC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NYSERDA</w:t>
            </w:r>
          </w:p>
        </w:tc>
        <w:tc>
          <w:tcPr>
            <w:tcW w:w="1440" w:type="dxa"/>
            <w:noWrap/>
            <w:hideMark/>
          </w:tcPr>
          <w:p w:rsidR="00E041DA" w:rsidRPr="006054CC" w:rsidP="00E041DA" w14:paraId="514543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NYS2</w:t>
            </w:r>
          </w:p>
        </w:tc>
        <w:tc>
          <w:tcPr>
            <w:tcW w:w="1890" w:type="dxa"/>
          </w:tcPr>
          <w:p w:rsidR="00E041DA" w:rsidRPr="006054CC" w:rsidP="00E041DA" w14:paraId="6938301E" w14:textId="77777777">
            <w:pPr>
              <w:jc w:val="center"/>
              <w:rPr>
                <w:rFonts w:ascii="Arial" w:eastAsia="Times New Roman" w:hAnsi="Arial" w:cs="Arial"/>
                <w:color w:val="000000"/>
                <w:sz w:val="20"/>
                <w:szCs w:val="20"/>
              </w:rPr>
            </w:pPr>
            <w:r w:rsidRPr="00E36F7E">
              <w:rPr>
                <w:rFonts w:ascii="Arial" w:eastAsia="Times New Roman" w:hAnsi="Arial" w:cs="Arial"/>
                <w:color w:val="000000"/>
                <w:sz w:val="20"/>
                <w:szCs w:val="20"/>
              </w:rPr>
              <w:t>NRC-2019-0062-0445</w:t>
            </w:r>
          </w:p>
        </w:tc>
        <w:tc>
          <w:tcPr>
            <w:tcW w:w="1615" w:type="dxa"/>
            <w:noWrap/>
            <w:hideMark/>
          </w:tcPr>
          <w:p w:rsidR="00E041DA" w:rsidRPr="006054CC" w:rsidP="00E041DA" w14:paraId="2B9ADD5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ML25066A024</w:t>
            </w:r>
          </w:p>
        </w:tc>
      </w:tr>
      <w:tr w14:paraId="52DAF61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436723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110</w:t>
            </w:r>
          </w:p>
        </w:tc>
        <w:tc>
          <w:tcPr>
            <w:tcW w:w="1440" w:type="dxa"/>
            <w:noWrap/>
            <w:hideMark/>
          </w:tcPr>
          <w:p w:rsidR="00E041DA" w:rsidRPr="006054CC" w:rsidP="00E041DA" w14:paraId="77C7F70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Peter Hastings</w:t>
            </w:r>
          </w:p>
        </w:tc>
        <w:tc>
          <w:tcPr>
            <w:tcW w:w="1530" w:type="dxa"/>
            <w:noWrap/>
            <w:hideMark/>
          </w:tcPr>
          <w:p w:rsidR="00E041DA" w:rsidRPr="006054CC" w:rsidP="00E041DA" w14:paraId="4D5D96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Kairos Power LLC</w:t>
            </w:r>
          </w:p>
        </w:tc>
        <w:tc>
          <w:tcPr>
            <w:tcW w:w="1440" w:type="dxa"/>
            <w:noWrap/>
            <w:hideMark/>
          </w:tcPr>
          <w:p w:rsidR="00E041DA" w:rsidRPr="006054CC" w:rsidP="00E041DA" w14:paraId="1A6277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KAP</w:t>
            </w:r>
          </w:p>
        </w:tc>
        <w:tc>
          <w:tcPr>
            <w:tcW w:w="1890" w:type="dxa"/>
          </w:tcPr>
          <w:p w:rsidR="00E041DA" w:rsidRPr="006054CC" w:rsidP="00E041DA" w14:paraId="4E8B5CEB" w14:textId="77777777">
            <w:pPr>
              <w:jc w:val="center"/>
              <w:rPr>
                <w:rFonts w:ascii="Arial" w:eastAsia="Times New Roman" w:hAnsi="Arial" w:cs="Arial"/>
                <w:color w:val="000000"/>
                <w:sz w:val="20"/>
                <w:szCs w:val="20"/>
              </w:rPr>
            </w:pPr>
            <w:r w:rsidRPr="008B69CC">
              <w:rPr>
                <w:rFonts w:ascii="Arial" w:eastAsia="Times New Roman" w:hAnsi="Arial" w:cs="Arial"/>
                <w:color w:val="000000"/>
                <w:sz w:val="20"/>
                <w:szCs w:val="20"/>
              </w:rPr>
              <w:t>NRC-2019-0062-0446</w:t>
            </w:r>
          </w:p>
        </w:tc>
        <w:tc>
          <w:tcPr>
            <w:tcW w:w="1615" w:type="dxa"/>
            <w:noWrap/>
            <w:hideMark/>
          </w:tcPr>
          <w:p w:rsidR="00E041DA" w:rsidRPr="006054CC" w:rsidP="00E041DA" w14:paraId="53788D8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ML25066A025</w:t>
            </w:r>
          </w:p>
        </w:tc>
      </w:tr>
      <w:tr w14:paraId="6758C34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51FE67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111</w:t>
            </w:r>
          </w:p>
        </w:tc>
        <w:tc>
          <w:tcPr>
            <w:tcW w:w="1440" w:type="dxa"/>
            <w:noWrap/>
            <w:hideMark/>
          </w:tcPr>
          <w:p w:rsidR="00E041DA" w:rsidRPr="006054CC" w:rsidP="00E041DA" w14:paraId="23D829D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Melinda Alankar</w:t>
            </w:r>
          </w:p>
        </w:tc>
        <w:tc>
          <w:tcPr>
            <w:tcW w:w="1530" w:type="dxa"/>
            <w:noWrap/>
            <w:hideMark/>
          </w:tcPr>
          <w:p w:rsidR="00E041DA" w:rsidRPr="006054CC" w:rsidP="00E041DA" w14:paraId="36CAA8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The Anthropocene Institute</w:t>
            </w:r>
          </w:p>
        </w:tc>
        <w:tc>
          <w:tcPr>
            <w:tcW w:w="1440" w:type="dxa"/>
            <w:noWrap/>
            <w:hideMark/>
          </w:tcPr>
          <w:p w:rsidR="00E041DA" w:rsidRPr="006054CC" w:rsidP="00E041DA" w14:paraId="17A4819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ANI</w:t>
            </w:r>
          </w:p>
        </w:tc>
        <w:tc>
          <w:tcPr>
            <w:tcW w:w="1890" w:type="dxa"/>
          </w:tcPr>
          <w:p w:rsidR="00E041DA" w:rsidRPr="006054CC" w:rsidP="00E041DA" w14:paraId="1D0CC431" w14:textId="77777777">
            <w:pPr>
              <w:jc w:val="center"/>
              <w:rPr>
                <w:rFonts w:ascii="Arial" w:eastAsia="Times New Roman" w:hAnsi="Arial" w:cs="Arial"/>
                <w:color w:val="000000"/>
                <w:sz w:val="20"/>
                <w:szCs w:val="20"/>
              </w:rPr>
            </w:pPr>
            <w:r w:rsidRPr="00E832FF">
              <w:rPr>
                <w:rFonts w:ascii="Arial" w:hAnsi="Arial" w:cs="Arial"/>
                <w:sz w:val="20"/>
                <w:szCs w:val="20"/>
              </w:rPr>
              <w:t>NRC-2019-0062-0447</w:t>
            </w:r>
          </w:p>
        </w:tc>
        <w:tc>
          <w:tcPr>
            <w:tcW w:w="1615" w:type="dxa"/>
            <w:noWrap/>
            <w:hideMark/>
          </w:tcPr>
          <w:p w:rsidR="00E041DA" w:rsidRPr="006054CC" w:rsidP="00E041DA" w14:paraId="0DCF5E1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ML25066A026</w:t>
            </w:r>
          </w:p>
        </w:tc>
      </w:tr>
      <w:tr w14:paraId="3099670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349A7A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112</w:t>
            </w:r>
          </w:p>
        </w:tc>
        <w:tc>
          <w:tcPr>
            <w:tcW w:w="1440" w:type="dxa"/>
            <w:noWrap/>
            <w:hideMark/>
          </w:tcPr>
          <w:p w:rsidR="00E041DA" w:rsidRPr="006054CC" w:rsidP="00E041DA" w14:paraId="4BB2B35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Micholas McMurray</w:t>
            </w:r>
          </w:p>
        </w:tc>
        <w:tc>
          <w:tcPr>
            <w:tcW w:w="1530" w:type="dxa"/>
            <w:noWrap/>
            <w:hideMark/>
          </w:tcPr>
          <w:p w:rsidR="00E041DA" w:rsidRPr="006054CC" w:rsidP="00E041DA" w14:paraId="21964D5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ClearPath</w:t>
            </w:r>
          </w:p>
        </w:tc>
        <w:tc>
          <w:tcPr>
            <w:tcW w:w="1440" w:type="dxa"/>
            <w:noWrap/>
            <w:hideMark/>
          </w:tcPr>
          <w:p w:rsidR="00E041DA" w:rsidRPr="006054CC" w:rsidP="00E041DA" w14:paraId="1E21184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CP</w:t>
            </w:r>
          </w:p>
        </w:tc>
        <w:tc>
          <w:tcPr>
            <w:tcW w:w="1890" w:type="dxa"/>
          </w:tcPr>
          <w:p w:rsidR="00E041DA" w:rsidRPr="006054CC" w:rsidP="00E041DA" w14:paraId="76AD65A8" w14:textId="77777777">
            <w:pPr>
              <w:jc w:val="center"/>
              <w:rPr>
                <w:rFonts w:ascii="Arial" w:eastAsia="Times New Roman" w:hAnsi="Arial" w:cs="Arial"/>
                <w:color w:val="000000"/>
                <w:sz w:val="20"/>
                <w:szCs w:val="20"/>
              </w:rPr>
            </w:pPr>
            <w:r w:rsidRPr="003C29B7">
              <w:rPr>
                <w:rFonts w:ascii="Arial" w:eastAsia="Times New Roman" w:hAnsi="Arial" w:cs="Arial"/>
                <w:color w:val="000000"/>
                <w:sz w:val="20"/>
                <w:szCs w:val="20"/>
              </w:rPr>
              <w:t>NRC-2019-0062-0448</w:t>
            </w:r>
          </w:p>
        </w:tc>
        <w:tc>
          <w:tcPr>
            <w:tcW w:w="1615" w:type="dxa"/>
            <w:noWrap/>
            <w:hideMark/>
          </w:tcPr>
          <w:p w:rsidR="00E041DA" w:rsidRPr="006054CC" w:rsidP="00E041DA" w14:paraId="7521E69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ML25066A027</w:t>
            </w:r>
          </w:p>
        </w:tc>
      </w:tr>
      <w:tr w14:paraId="24CB6EC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81389B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113</w:t>
            </w:r>
          </w:p>
        </w:tc>
        <w:tc>
          <w:tcPr>
            <w:tcW w:w="1440" w:type="dxa"/>
            <w:noWrap/>
            <w:hideMark/>
          </w:tcPr>
          <w:p w:rsidR="00E041DA" w:rsidRPr="006054CC" w:rsidP="00E041DA" w14:paraId="7095D33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Cheryl Gayheart</w:t>
            </w:r>
          </w:p>
        </w:tc>
        <w:tc>
          <w:tcPr>
            <w:tcW w:w="1530" w:type="dxa"/>
            <w:noWrap/>
            <w:hideMark/>
          </w:tcPr>
          <w:p w:rsidR="00E041DA" w:rsidRPr="006054CC" w:rsidP="00E041DA" w14:paraId="3ED5D51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Southern Nuclear Operating Company</w:t>
            </w:r>
          </w:p>
        </w:tc>
        <w:tc>
          <w:tcPr>
            <w:tcW w:w="1440" w:type="dxa"/>
            <w:noWrap/>
            <w:hideMark/>
          </w:tcPr>
          <w:p w:rsidR="00E041DA" w:rsidRPr="006054CC" w:rsidP="00E041DA" w14:paraId="2C5D2FB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SOU</w:t>
            </w:r>
          </w:p>
        </w:tc>
        <w:tc>
          <w:tcPr>
            <w:tcW w:w="1890" w:type="dxa"/>
          </w:tcPr>
          <w:p w:rsidR="00E041DA" w:rsidRPr="006054CC" w:rsidP="00E041DA" w14:paraId="0DFC878E" w14:textId="77777777">
            <w:pPr>
              <w:jc w:val="center"/>
              <w:rPr>
                <w:rFonts w:ascii="Arial" w:eastAsia="Times New Roman" w:hAnsi="Arial" w:cs="Arial"/>
                <w:color w:val="000000"/>
                <w:sz w:val="20"/>
                <w:szCs w:val="20"/>
              </w:rPr>
            </w:pPr>
            <w:r w:rsidRPr="00C32155">
              <w:rPr>
                <w:rFonts w:ascii="Arial" w:eastAsia="Times New Roman" w:hAnsi="Arial" w:cs="Arial"/>
                <w:color w:val="000000"/>
                <w:sz w:val="20"/>
                <w:szCs w:val="20"/>
              </w:rPr>
              <w:t>NRC-2019-0062-0449</w:t>
            </w:r>
          </w:p>
        </w:tc>
        <w:tc>
          <w:tcPr>
            <w:tcW w:w="1615" w:type="dxa"/>
            <w:noWrap/>
            <w:hideMark/>
          </w:tcPr>
          <w:p w:rsidR="00E041DA" w:rsidRPr="006054CC" w:rsidP="00E041DA" w14:paraId="2BE900A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ML25066A028</w:t>
            </w:r>
          </w:p>
        </w:tc>
      </w:tr>
      <w:tr w14:paraId="5A2752E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B66574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114</w:t>
            </w:r>
          </w:p>
        </w:tc>
        <w:tc>
          <w:tcPr>
            <w:tcW w:w="1440" w:type="dxa"/>
            <w:noWrap/>
            <w:hideMark/>
          </w:tcPr>
          <w:p w:rsidR="00E041DA" w:rsidRPr="006054CC" w:rsidP="00E041DA" w14:paraId="10304B5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Joe Miller</w:t>
            </w:r>
          </w:p>
        </w:tc>
        <w:tc>
          <w:tcPr>
            <w:tcW w:w="1530" w:type="dxa"/>
            <w:noWrap/>
            <w:hideMark/>
          </w:tcPr>
          <w:p w:rsidR="00E041DA" w:rsidRPr="006054CC" w:rsidP="00E041DA" w14:paraId="27C61F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BWXT Advanced Technologies</w:t>
            </w:r>
          </w:p>
        </w:tc>
        <w:tc>
          <w:tcPr>
            <w:tcW w:w="1440" w:type="dxa"/>
            <w:noWrap/>
            <w:hideMark/>
          </w:tcPr>
          <w:p w:rsidR="00E041DA" w:rsidRPr="006054CC" w:rsidP="00E041DA" w14:paraId="76A7808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BWXT</w:t>
            </w:r>
          </w:p>
        </w:tc>
        <w:tc>
          <w:tcPr>
            <w:tcW w:w="1890" w:type="dxa"/>
          </w:tcPr>
          <w:p w:rsidR="00E041DA" w:rsidRPr="006054CC" w:rsidP="00E041DA" w14:paraId="12FB94B1" w14:textId="77777777">
            <w:pPr>
              <w:jc w:val="center"/>
              <w:rPr>
                <w:rFonts w:ascii="Arial" w:eastAsia="Times New Roman" w:hAnsi="Arial" w:cs="Arial"/>
                <w:color w:val="000000"/>
                <w:sz w:val="20"/>
                <w:szCs w:val="20"/>
              </w:rPr>
            </w:pPr>
            <w:r w:rsidRPr="00E832FF">
              <w:rPr>
                <w:rFonts w:ascii="Arial" w:hAnsi="Arial" w:cs="Arial"/>
                <w:sz w:val="20"/>
                <w:szCs w:val="20"/>
              </w:rPr>
              <w:t>NRC-2019-0062-0450</w:t>
            </w:r>
          </w:p>
        </w:tc>
        <w:tc>
          <w:tcPr>
            <w:tcW w:w="1615" w:type="dxa"/>
            <w:noWrap/>
            <w:hideMark/>
          </w:tcPr>
          <w:p w:rsidR="00E041DA" w:rsidRPr="006054CC" w:rsidP="00E041DA" w14:paraId="5883FA5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ML25066A029</w:t>
            </w:r>
          </w:p>
        </w:tc>
      </w:tr>
      <w:tr w14:paraId="69AAFBE0"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1A4B22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115</w:t>
            </w:r>
          </w:p>
        </w:tc>
        <w:tc>
          <w:tcPr>
            <w:tcW w:w="1440" w:type="dxa"/>
            <w:noWrap/>
            <w:hideMark/>
          </w:tcPr>
          <w:p w:rsidR="00E041DA" w:rsidRPr="006054CC" w:rsidP="00E041DA" w14:paraId="16533F2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Malcolm Thompson</w:t>
            </w:r>
          </w:p>
        </w:tc>
        <w:tc>
          <w:tcPr>
            <w:tcW w:w="1530" w:type="dxa"/>
            <w:noWrap/>
            <w:hideMark/>
          </w:tcPr>
          <w:p w:rsidR="00E041DA" w:rsidRPr="006054CC" w:rsidP="00E041DA" w14:paraId="12AADC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Deep Fission, Inc.</w:t>
            </w:r>
          </w:p>
        </w:tc>
        <w:tc>
          <w:tcPr>
            <w:tcW w:w="1440" w:type="dxa"/>
            <w:noWrap/>
            <w:hideMark/>
          </w:tcPr>
          <w:p w:rsidR="00E041DA" w:rsidRPr="006054CC" w:rsidP="00E041DA" w14:paraId="3FCE048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DP</w:t>
            </w:r>
          </w:p>
        </w:tc>
        <w:tc>
          <w:tcPr>
            <w:tcW w:w="1890" w:type="dxa"/>
          </w:tcPr>
          <w:p w:rsidR="00E041DA" w:rsidRPr="006054CC" w:rsidP="00E041DA" w14:paraId="5D90F993" w14:textId="77777777">
            <w:pPr>
              <w:jc w:val="center"/>
              <w:rPr>
                <w:rFonts w:ascii="Arial" w:eastAsia="Times New Roman" w:hAnsi="Arial" w:cs="Arial"/>
                <w:color w:val="000000"/>
                <w:sz w:val="20"/>
                <w:szCs w:val="20"/>
              </w:rPr>
            </w:pPr>
            <w:r w:rsidRPr="00E832FF">
              <w:rPr>
                <w:rFonts w:ascii="Arial" w:hAnsi="Arial" w:cs="Arial"/>
                <w:sz w:val="20"/>
                <w:szCs w:val="20"/>
              </w:rPr>
              <w:t>NRC-2019-0062-0451</w:t>
            </w:r>
          </w:p>
        </w:tc>
        <w:tc>
          <w:tcPr>
            <w:tcW w:w="1615" w:type="dxa"/>
            <w:noWrap/>
            <w:hideMark/>
          </w:tcPr>
          <w:p w:rsidR="00E041DA" w:rsidRPr="006054CC" w:rsidP="00E041DA" w14:paraId="1DC3554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ML25066A030</w:t>
            </w:r>
          </w:p>
        </w:tc>
      </w:tr>
      <w:tr w14:paraId="377EA60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F8DA8F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116</w:t>
            </w:r>
          </w:p>
        </w:tc>
        <w:tc>
          <w:tcPr>
            <w:tcW w:w="1440" w:type="dxa"/>
            <w:noWrap/>
            <w:hideMark/>
          </w:tcPr>
          <w:p w:rsidR="00E041DA" w:rsidRPr="006054CC" w:rsidP="00E041DA" w14:paraId="589848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 xml:space="preserve"> Andrew Sowder, Ph.D.</w:t>
            </w:r>
          </w:p>
        </w:tc>
        <w:tc>
          <w:tcPr>
            <w:tcW w:w="1530" w:type="dxa"/>
            <w:noWrap/>
            <w:hideMark/>
          </w:tcPr>
          <w:p w:rsidR="00E041DA" w:rsidRPr="006054CC" w:rsidP="00E041DA" w14:paraId="6515B98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American Nuclear Society Standards Committee</w:t>
            </w:r>
          </w:p>
        </w:tc>
        <w:tc>
          <w:tcPr>
            <w:tcW w:w="1440" w:type="dxa"/>
            <w:noWrap/>
            <w:hideMark/>
          </w:tcPr>
          <w:p w:rsidR="00E041DA" w:rsidRPr="006054CC" w:rsidP="00E041DA" w14:paraId="0D7AEE9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ANS</w:t>
            </w:r>
          </w:p>
        </w:tc>
        <w:tc>
          <w:tcPr>
            <w:tcW w:w="1890" w:type="dxa"/>
          </w:tcPr>
          <w:p w:rsidR="00E041DA" w:rsidRPr="006054CC" w:rsidP="00E041DA" w14:paraId="4021124B" w14:textId="77777777">
            <w:pPr>
              <w:jc w:val="center"/>
              <w:rPr>
                <w:rFonts w:ascii="Arial" w:eastAsia="Times New Roman" w:hAnsi="Arial" w:cs="Arial"/>
                <w:color w:val="000000"/>
                <w:sz w:val="20"/>
                <w:szCs w:val="20"/>
              </w:rPr>
            </w:pPr>
            <w:r w:rsidRPr="00704A39">
              <w:rPr>
                <w:rFonts w:ascii="Arial" w:eastAsia="Times New Roman" w:hAnsi="Arial" w:cs="Arial"/>
                <w:color w:val="000000"/>
                <w:sz w:val="20"/>
                <w:szCs w:val="20"/>
              </w:rPr>
              <w:t>NRC-2019-0062-0452</w:t>
            </w:r>
          </w:p>
        </w:tc>
        <w:tc>
          <w:tcPr>
            <w:tcW w:w="1615" w:type="dxa"/>
            <w:noWrap/>
            <w:hideMark/>
          </w:tcPr>
          <w:p w:rsidR="00E041DA" w:rsidRPr="006054CC" w:rsidP="00E041DA" w14:paraId="4FC79A7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ML25066A031</w:t>
            </w:r>
          </w:p>
        </w:tc>
      </w:tr>
      <w:tr w14:paraId="5538BC0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0B4DE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117</w:t>
            </w:r>
          </w:p>
        </w:tc>
        <w:tc>
          <w:tcPr>
            <w:tcW w:w="1440" w:type="dxa"/>
            <w:noWrap/>
            <w:hideMark/>
          </w:tcPr>
          <w:p w:rsidR="00E041DA" w:rsidRPr="006054CC" w:rsidP="00E041DA" w14:paraId="05D2FF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Eric Meyer</w:t>
            </w:r>
          </w:p>
        </w:tc>
        <w:tc>
          <w:tcPr>
            <w:tcW w:w="1530" w:type="dxa"/>
            <w:noWrap/>
            <w:hideMark/>
          </w:tcPr>
          <w:p w:rsidR="00E041DA" w:rsidRPr="006054CC" w:rsidP="00E041DA" w14:paraId="0A94A3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Generation Atomic</w:t>
            </w:r>
          </w:p>
        </w:tc>
        <w:tc>
          <w:tcPr>
            <w:tcW w:w="1440" w:type="dxa"/>
            <w:noWrap/>
            <w:hideMark/>
          </w:tcPr>
          <w:p w:rsidR="00E041DA" w:rsidRPr="006054CC" w:rsidP="00E041DA" w14:paraId="03453E9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GA</w:t>
            </w:r>
          </w:p>
        </w:tc>
        <w:tc>
          <w:tcPr>
            <w:tcW w:w="1890" w:type="dxa"/>
          </w:tcPr>
          <w:p w:rsidR="00E041DA" w:rsidRPr="006054CC" w:rsidP="00E041DA" w14:paraId="127F95CE" w14:textId="77777777">
            <w:pPr>
              <w:jc w:val="center"/>
              <w:rPr>
                <w:rFonts w:ascii="Arial" w:eastAsia="Times New Roman" w:hAnsi="Arial" w:cs="Arial"/>
                <w:color w:val="000000"/>
                <w:sz w:val="20"/>
                <w:szCs w:val="20"/>
              </w:rPr>
            </w:pPr>
            <w:r w:rsidRPr="00704A39">
              <w:rPr>
                <w:rFonts w:ascii="Arial" w:eastAsia="Times New Roman" w:hAnsi="Arial" w:cs="Arial"/>
                <w:color w:val="000000"/>
                <w:sz w:val="20"/>
                <w:szCs w:val="20"/>
              </w:rPr>
              <w:t>NRC-2019-0062-0453</w:t>
            </w:r>
          </w:p>
        </w:tc>
        <w:tc>
          <w:tcPr>
            <w:tcW w:w="1615" w:type="dxa"/>
            <w:noWrap/>
            <w:hideMark/>
          </w:tcPr>
          <w:p w:rsidR="00E041DA" w:rsidRPr="006054CC" w:rsidP="00E041DA" w14:paraId="43A2BC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ML25066A032</w:t>
            </w:r>
          </w:p>
        </w:tc>
      </w:tr>
      <w:tr w14:paraId="1015350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C933AE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118</w:t>
            </w:r>
          </w:p>
        </w:tc>
        <w:tc>
          <w:tcPr>
            <w:tcW w:w="1440" w:type="dxa"/>
            <w:noWrap/>
            <w:hideMark/>
          </w:tcPr>
          <w:p w:rsidR="00E041DA" w:rsidRPr="006054CC" w:rsidP="00E041DA" w14:paraId="3746A2C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James Smith</w:t>
            </w:r>
          </w:p>
        </w:tc>
        <w:tc>
          <w:tcPr>
            <w:tcW w:w="1530" w:type="dxa"/>
            <w:noWrap/>
            <w:hideMark/>
          </w:tcPr>
          <w:p w:rsidR="00E041DA" w:rsidRPr="006054CC" w:rsidP="00E041DA" w14:paraId="2BDE97D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574B34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JSM</w:t>
            </w:r>
          </w:p>
        </w:tc>
        <w:tc>
          <w:tcPr>
            <w:tcW w:w="1890" w:type="dxa"/>
          </w:tcPr>
          <w:p w:rsidR="00E041DA" w:rsidRPr="006054CC" w:rsidP="00E041DA" w14:paraId="390E9B43" w14:textId="77777777">
            <w:pPr>
              <w:jc w:val="center"/>
              <w:rPr>
                <w:rFonts w:ascii="Arial" w:eastAsia="Times New Roman" w:hAnsi="Arial" w:cs="Arial"/>
                <w:color w:val="000000"/>
                <w:sz w:val="20"/>
                <w:szCs w:val="20"/>
              </w:rPr>
            </w:pPr>
            <w:r w:rsidRPr="00DF6CD2">
              <w:rPr>
                <w:rFonts w:ascii="Arial" w:eastAsia="Times New Roman" w:hAnsi="Arial" w:cs="Arial"/>
                <w:color w:val="000000"/>
                <w:sz w:val="20"/>
                <w:szCs w:val="20"/>
              </w:rPr>
              <w:t>NRC-2019-0062-0454</w:t>
            </w:r>
          </w:p>
        </w:tc>
        <w:tc>
          <w:tcPr>
            <w:tcW w:w="1615" w:type="dxa"/>
            <w:noWrap/>
            <w:hideMark/>
          </w:tcPr>
          <w:p w:rsidR="00E041DA" w:rsidRPr="006054CC" w:rsidP="00E041DA" w14:paraId="0067257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ML25066A033</w:t>
            </w:r>
          </w:p>
        </w:tc>
      </w:tr>
      <w:tr w14:paraId="502230B6"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8A1000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119</w:t>
            </w:r>
          </w:p>
        </w:tc>
        <w:tc>
          <w:tcPr>
            <w:tcW w:w="1440" w:type="dxa"/>
            <w:noWrap/>
            <w:hideMark/>
          </w:tcPr>
          <w:p w:rsidR="00E041DA" w:rsidRPr="006054CC" w:rsidP="00E041DA" w14:paraId="7389E4C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Jon Facemire</w:t>
            </w:r>
          </w:p>
        </w:tc>
        <w:tc>
          <w:tcPr>
            <w:tcW w:w="1530" w:type="dxa"/>
            <w:noWrap/>
            <w:hideMark/>
          </w:tcPr>
          <w:p w:rsidR="00E041DA" w:rsidRPr="006054CC" w:rsidP="00E041DA" w14:paraId="0C19D3E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Energy Institute</w:t>
            </w:r>
          </w:p>
        </w:tc>
        <w:tc>
          <w:tcPr>
            <w:tcW w:w="1440" w:type="dxa"/>
            <w:noWrap/>
            <w:hideMark/>
          </w:tcPr>
          <w:p w:rsidR="00E041DA" w:rsidRPr="006054CC" w:rsidP="00E041DA" w14:paraId="55E41B4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NEI3</w:t>
            </w:r>
          </w:p>
        </w:tc>
        <w:tc>
          <w:tcPr>
            <w:tcW w:w="1890" w:type="dxa"/>
          </w:tcPr>
          <w:p w:rsidR="00E041DA" w:rsidRPr="006054CC" w:rsidP="00E041DA" w14:paraId="2AF6D652" w14:textId="77777777">
            <w:pPr>
              <w:jc w:val="center"/>
              <w:rPr>
                <w:rFonts w:ascii="Arial" w:eastAsia="Times New Roman" w:hAnsi="Arial" w:cs="Arial"/>
                <w:color w:val="000000"/>
                <w:sz w:val="20"/>
                <w:szCs w:val="20"/>
              </w:rPr>
            </w:pPr>
            <w:r w:rsidRPr="00DF6CD2">
              <w:rPr>
                <w:rFonts w:ascii="Arial" w:eastAsia="Times New Roman" w:hAnsi="Arial" w:cs="Arial"/>
                <w:color w:val="000000"/>
                <w:sz w:val="20"/>
                <w:szCs w:val="20"/>
              </w:rPr>
              <w:t>NRC-2019-0062-0455</w:t>
            </w:r>
          </w:p>
        </w:tc>
        <w:tc>
          <w:tcPr>
            <w:tcW w:w="1615" w:type="dxa"/>
            <w:noWrap/>
            <w:hideMark/>
          </w:tcPr>
          <w:p w:rsidR="00E041DA" w:rsidRPr="006054CC" w:rsidP="00E041DA" w14:paraId="5A88E0B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ML25066A034</w:t>
            </w:r>
          </w:p>
        </w:tc>
      </w:tr>
      <w:tr w14:paraId="281EBD1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AB39A9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120</w:t>
            </w:r>
          </w:p>
        </w:tc>
        <w:tc>
          <w:tcPr>
            <w:tcW w:w="1440" w:type="dxa"/>
            <w:noWrap/>
            <w:hideMark/>
          </w:tcPr>
          <w:p w:rsidR="00E041DA" w:rsidRPr="006054CC" w:rsidP="00E041DA" w14:paraId="673EA94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Tim Williamson</w:t>
            </w:r>
          </w:p>
        </w:tc>
        <w:tc>
          <w:tcPr>
            <w:tcW w:w="1530" w:type="dxa"/>
            <w:noWrap/>
            <w:hideMark/>
          </w:tcPr>
          <w:p w:rsidR="00E041DA" w:rsidRPr="006054CC" w:rsidP="00E041DA" w14:paraId="69F231B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Shepherd Power LLC</w:t>
            </w:r>
          </w:p>
        </w:tc>
        <w:tc>
          <w:tcPr>
            <w:tcW w:w="1440" w:type="dxa"/>
            <w:noWrap/>
            <w:hideMark/>
          </w:tcPr>
          <w:p w:rsidR="00E041DA" w:rsidRPr="006054CC" w:rsidP="00E041DA" w14:paraId="0B69F02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SHP</w:t>
            </w:r>
          </w:p>
        </w:tc>
        <w:tc>
          <w:tcPr>
            <w:tcW w:w="1890" w:type="dxa"/>
          </w:tcPr>
          <w:p w:rsidR="00E041DA" w:rsidRPr="006054CC" w:rsidP="00E041DA" w14:paraId="7A2FDF1D" w14:textId="77777777">
            <w:pPr>
              <w:jc w:val="center"/>
              <w:rPr>
                <w:rFonts w:ascii="Arial" w:eastAsia="Times New Roman" w:hAnsi="Arial" w:cs="Arial"/>
                <w:color w:val="000000"/>
                <w:sz w:val="20"/>
                <w:szCs w:val="20"/>
              </w:rPr>
            </w:pPr>
            <w:r w:rsidRPr="00B051F3">
              <w:rPr>
                <w:rFonts w:ascii="Arial" w:eastAsia="Times New Roman" w:hAnsi="Arial" w:cs="Arial"/>
                <w:color w:val="000000"/>
                <w:sz w:val="20"/>
                <w:szCs w:val="20"/>
              </w:rPr>
              <w:t>NRC-2019-0062-0456</w:t>
            </w:r>
          </w:p>
        </w:tc>
        <w:tc>
          <w:tcPr>
            <w:tcW w:w="1615" w:type="dxa"/>
            <w:noWrap/>
            <w:hideMark/>
          </w:tcPr>
          <w:p w:rsidR="00E041DA" w:rsidRPr="006054CC" w:rsidP="00E041DA" w14:paraId="198F438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ML25066A035</w:t>
            </w:r>
          </w:p>
        </w:tc>
      </w:tr>
      <w:tr w14:paraId="0119FD9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E49829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121</w:t>
            </w:r>
          </w:p>
        </w:tc>
        <w:tc>
          <w:tcPr>
            <w:tcW w:w="1440" w:type="dxa"/>
            <w:noWrap/>
            <w:hideMark/>
          </w:tcPr>
          <w:p w:rsidR="00E041DA" w:rsidRPr="006054CC" w:rsidP="00E041DA" w14:paraId="25237CC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Rod Adams</w:t>
            </w:r>
          </w:p>
        </w:tc>
        <w:tc>
          <w:tcPr>
            <w:tcW w:w="1530" w:type="dxa"/>
            <w:noWrap/>
            <w:hideMark/>
          </w:tcPr>
          <w:p w:rsidR="00E041DA" w:rsidRPr="006054CC" w:rsidP="00E041DA" w14:paraId="5D7782D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Nucleation Capital</w:t>
            </w:r>
          </w:p>
        </w:tc>
        <w:tc>
          <w:tcPr>
            <w:tcW w:w="1440" w:type="dxa"/>
            <w:noWrap/>
            <w:hideMark/>
          </w:tcPr>
          <w:p w:rsidR="00E041DA" w:rsidRPr="006054CC" w:rsidP="00E041DA" w14:paraId="4CE2443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w:t>
            </w:r>
          </w:p>
        </w:tc>
        <w:tc>
          <w:tcPr>
            <w:tcW w:w="1890" w:type="dxa"/>
          </w:tcPr>
          <w:p w:rsidR="00E041DA" w:rsidRPr="006054CC" w:rsidP="00E041DA" w14:paraId="1F5F1BD1" w14:textId="77777777">
            <w:pPr>
              <w:jc w:val="center"/>
              <w:rPr>
                <w:rFonts w:ascii="Arial" w:eastAsia="Times New Roman" w:hAnsi="Arial" w:cs="Arial"/>
                <w:color w:val="000000"/>
                <w:sz w:val="20"/>
                <w:szCs w:val="20"/>
              </w:rPr>
            </w:pPr>
            <w:r w:rsidRPr="00E832FF">
              <w:rPr>
                <w:rFonts w:ascii="Arial" w:hAnsi="Arial" w:cs="Arial"/>
                <w:sz w:val="20"/>
                <w:szCs w:val="20"/>
              </w:rPr>
              <w:t>NRC-2019-0062-0468</w:t>
            </w:r>
          </w:p>
        </w:tc>
        <w:tc>
          <w:tcPr>
            <w:tcW w:w="1615" w:type="dxa"/>
            <w:noWrap/>
            <w:hideMark/>
          </w:tcPr>
          <w:p w:rsidR="00E041DA" w:rsidRPr="006054CC" w:rsidP="00E041DA" w14:paraId="1EBAD8C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ML25066A036</w:t>
            </w:r>
          </w:p>
        </w:tc>
      </w:tr>
      <w:tr w14:paraId="30BD08E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D225A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122</w:t>
            </w:r>
          </w:p>
        </w:tc>
        <w:tc>
          <w:tcPr>
            <w:tcW w:w="1440" w:type="dxa"/>
            <w:noWrap/>
            <w:hideMark/>
          </w:tcPr>
          <w:p w:rsidR="00E041DA" w:rsidRPr="006054CC" w:rsidP="00E041DA" w14:paraId="09F3056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Anthony Schoedel</w:t>
            </w:r>
          </w:p>
        </w:tc>
        <w:tc>
          <w:tcPr>
            <w:tcW w:w="1530" w:type="dxa"/>
            <w:noWrap/>
            <w:hideMark/>
          </w:tcPr>
          <w:p w:rsidR="00E041DA" w:rsidRPr="006054CC" w:rsidP="00E041DA" w14:paraId="4B21FEA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Westinghouse Electric Company LLC</w:t>
            </w:r>
          </w:p>
        </w:tc>
        <w:tc>
          <w:tcPr>
            <w:tcW w:w="1440" w:type="dxa"/>
            <w:noWrap/>
            <w:hideMark/>
          </w:tcPr>
          <w:p w:rsidR="00E041DA" w:rsidRPr="006054CC" w:rsidP="00E041DA" w14:paraId="723331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WEST</w:t>
            </w:r>
            <w:r>
              <w:rPr>
                <w:rFonts w:ascii="Arial" w:eastAsia="Times New Roman" w:hAnsi="Arial" w:cs="Arial"/>
                <w:color w:val="000000"/>
                <w:sz w:val="20"/>
                <w:szCs w:val="20"/>
              </w:rPr>
              <w:t>1</w:t>
            </w:r>
          </w:p>
        </w:tc>
        <w:tc>
          <w:tcPr>
            <w:tcW w:w="1890" w:type="dxa"/>
          </w:tcPr>
          <w:p w:rsidR="00E041DA" w:rsidRPr="006054CC" w:rsidP="00E041DA" w14:paraId="30F14889" w14:textId="77777777">
            <w:pPr>
              <w:jc w:val="center"/>
              <w:rPr>
                <w:rFonts w:ascii="Arial" w:eastAsia="Times New Roman" w:hAnsi="Arial" w:cs="Arial"/>
                <w:color w:val="000000"/>
                <w:sz w:val="20"/>
                <w:szCs w:val="20"/>
              </w:rPr>
            </w:pPr>
            <w:r w:rsidRPr="00333B47">
              <w:rPr>
                <w:rFonts w:ascii="Arial" w:eastAsia="Times New Roman" w:hAnsi="Arial" w:cs="Arial"/>
                <w:color w:val="000000"/>
                <w:sz w:val="20"/>
                <w:szCs w:val="20"/>
              </w:rPr>
              <w:t>NRC-2019-0062-0469</w:t>
            </w:r>
          </w:p>
        </w:tc>
        <w:tc>
          <w:tcPr>
            <w:tcW w:w="1615" w:type="dxa"/>
            <w:noWrap/>
            <w:hideMark/>
          </w:tcPr>
          <w:p w:rsidR="00E041DA" w:rsidRPr="006054CC" w:rsidP="00E041DA" w14:paraId="33787F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ML25066A037</w:t>
            </w:r>
          </w:p>
        </w:tc>
      </w:tr>
      <w:tr w14:paraId="4E232B3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F0C83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123</w:t>
            </w:r>
          </w:p>
        </w:tc>
        <w:tc>
          <w:tcPr>
            <w:tcW w:w="1440" w:type="dxa"/>
            <w:noWrap/>
            <w:hideMark/>
          </w:tcPr>
          <w:p w:rsidR="00E041DA" w:rsidRPr="006054CC" w:rsidP="00E041DA" w14:paraId="7E13301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Ismael Garcia</w:t>
            </w:r>
          </w:p>
        </w:tc>
        <w:tc>
          <w:tcPr>
            <w:tcW w:w="1530" w:type="dxa"/>
            <w:noWrap/>
            <w:hideMark/>
          </w:tcPr>
          <w:p w:rsidR="00E041DA" w:rsidRPr="006054CC" w:rsidP="00E041DA" w14:paraId="412800E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6B65F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IG</w:t>
            </w:r>
          </w:p>
        </w:tc>
        <w:tc>
          <w:tcPr>
            <w:tcW w:w="1890" w:type="dxa"/>
          </w:tcPr>
          <w:p w:rsidR="00E041DA" w:rsidRPr="006054CC" w:rsidP="00E041DA" w14:paraId="0D700359" w14:textId="77777777">
            <w:pPr>
              <w:jc w:val="center"/>
              <w:rPr>
                <w:rFonts w:ascii="Arial" w:eastAsia="Times New Roman" w:hAnsi="Arial" w:cs="Arial"/>
                <w:color w:val="000000"/>
                <w:sz w:val="20"/>
                <w:szCs w:val="20"/>
              </w:rPr>
            </w:pPr>
            <w:r w:rsidRPr="00E832FF">
              <w:rPr>
                <w:rFonts w:ascii="Arial" w:hAnsi="Arial" w:cs="Arial"/>
                <w:sz w:val="20"/>
                <w:szCs w:val="20"/>
              </w:rPr>
              <w:t>NRC-2019-0062-0470</w:t>
            </w:r>
          </w:p>
        </w:tc>
        <w:tc>
          <w:tcPr>
            <w:tcW w:w="1615" w:type="dxa"/>
            <w:noWrap/>
            <w:hideMark/>
          </w:tcPr>
          <w:p w:rsidR="00E041DA" w:rsidRPr="006054CC" w:rsidP="00E041DA" w14:paraId="1D3D278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ML25066A038</w:t>
            </w:r>
          </w:p>
        </w:tc>
      </w:tr>
      <w:tr w14:paraId="6ECAD88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63E5C9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124</w:t>
            </w:r>
          </w:p>
        </w:tc>
        <w:tc>
          <w:tcPr>
            <w:tcW w:w="1440" w:type="dxa"/>
            <w:noWrap/>
            <w:hideMark/>
          </w:tcPr>
          <w:p w:rsidR="00E041DA" w:rsidRPr="006054CC" w:rsidP="00E041DA" w14:paraId="1171C9E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Mark Shaver</w:t>
            </w:r>
          </w:p>
        </w:tc>
        <w:tc>
          <w:tcPr>
            <w:tcW w:w="1530" w:type="dxa"/>
            <w:noWrap/>
            <w:hideMark/>
          </w:tcPr>
          <w:p w:rsidR="00E041DA" w:rsidRPr="006054CC" w:rsidP="00E041DA" w14:paraId="555B17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NuScale</w:t>
            </w:r>
            <w:r w:rsidRPr="006054CC">
              <w:rPr>
                <w:rFonts w:ascii="Arial" w:eastAsia="Times New Roman" w:hAnsi="Arial" w:cs="Arial"/>
                <w:color w:val="000000"/>
                <w:sz w:val="20"/>
                <w:szCs w:val="20"/>
              </w:rPr>
              <w:t xml:space="preserve"> Power</w:t>
            </w:r>
          </w:p>
        </w:tc>
        <w:tc>
          <w:tcPr>
            <w:tcW w:w="1440" w:type="dxa"/>
            <w:noWrap/>
            <w:hideMark/>
          </w:tcPr>
          <w:p w:rsidR="00E041DA" w:rsidRPr="006054CC" w:rsidP="00E041DA" w14:paraId="22B0DE3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NUS1</w:t>
            </w:r>
          </w:p>
        </w:tc>
        <w:tc>
          <w:tcPr>
            <w:tcW w:w="1890" w:type="dxa"/>
          </w:tcPr>
          <w:p w:rsidR="00E041DA" w:rsidRPr="006054CC" w:rsidP="00E041DA" w14:paraId="7649FA5C" w14:textId="77777777">
            <w:pPr>
              <w:jc w:val="center"/>
              <w:rPr>
                <w:rFonts w:ascii="Arial" w:eastAsia="Times New Roman" w:hAnsi="Arial" w:cs="Arial"/>
                <w:color w:val="000000"/>
                <w:sz w:val="20"/>
                <w:szCs w:val="20"/>
              </w:rPr>
            </w:pPr>
            <w:r w:rsidRPr="00E832FF">
              <w:rPr>
                <w:rFonts w:ascii="Arial" w:hAnsi="Arial" w:cs="Arial"/>
                <w:sz w:val="20"/>
                <w:szCs w:val="20"/>
              </w:rPr>
              <w:t>NRC-2019-0062-0471</w:t>
            </w:r>
          </w:p>
        </w:tc>
        <w:tc>
          <w:tcPr>
            <w:tcW w:w="1615" w:type="dxa"/>
            <w:noWrap/>
            <w:hideMark/>
          </w:tcPr>
          <w:p w:rsidR="00E041DA" w:rsidRPr="006054CC" w:rsidP="00E041DA" w14:paraId="0F168A7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ML25066A039</w:t>
            </w:r>
          </w:p>
        </w:tc>
      </w:tr>
      <w:tr w14:paraId="5EF6DB51"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6E2E44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125</w:t>
            </w:r>
          </w:p>
        </w:tc>
        <w:tc>
          <w:tcPr>
            <w:tcW w:w="1440" w:type="dxa"/>
            <w:noWrap/>
            <w:hideMark/>
          </w:tcPr>
          <w:p w:rsidR="00E041DA" w:rsidRPr="006054CC" w:rsidP="00E041DA" w14:paraId="795C5B3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Vincent D'Aco</w:t>
            </w:r>
          </w:p>
        </w:tc>
        <w:tc>
          <w:tcPr>
            <w:tcW w:w="1530" w:type="dxa"/>
            <w:noWrap/>
            <w:hideMark/>
          </w:tcPr>
          <w:p w:rsidR="00E041DA" w:rsidRPr="006054CC" w:rsidP="00E041DA" w14:paraId="6724750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CAB110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VD</w:t>
            </w:r>
          </w:p>
        </w:tc>
        <w:tc>
          <w:tcPr>
            <w:tcW w:w="1890" w:type="dxa"/>
          </w:tcPr>
          <w:p w:rsidR="00E041DA" w:rsidRPr="006054CC" w:rsidP="00E041DA" w14:paraId="49B8C77B" w14:textId="77777777">
            <w:pPr>
              <w:jc w:val="center"/>
              <w:rPr>
                <w:rFonts w:ascii="Arial" w:eastAsia="Times New Roman" w:hAnsi="Arial" w:cs="Arial"/>
                <w:color w:val="000000"/>
                <w:sz w:val="20"/>
                <w:szCs w:val="20"/>
              </w:rPr>
            </w:pPr>
            <w:r w:rsidRPr="00E832FF">
              <w:rPr>
                <w:rFonts w:ascii="Arial" w:hAnsi="Arial" w:cs="Arial"/>
                <w:sz w:val="20"/>
                <w:szCs w:val="20"/>
              </w:rPr>
              <w:t>NRC-2019-0062-0472</w:t>
            </w:r>
          </w:p>
        </w:tc>
        <w:tc>
          <w:tcPr>
            <w:tcW w:w="1615" w:type="dxa"/>
            <w:noWrap/>
            <w:hideMark/>
          </w:tcPr>
          <w:p w:rsidR="00E041DA" w:rsidRPr="006054CC" w:rsidP="00E041DA" w14:paraId="50C98B6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ML25066A040</w:t>
            </w:r>
          </w:p>
        </w:tc>
      </w:tr>
      <w:tr w14:paraId="0DB1896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F48A2E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126</w:t>
            </w:r>
          </w:p>
        </w:tc>
        <w:tc>
          <w:tcPr>
            <w:tcW w:w="1440" w:type="dxa"/>
            <w:noWrap/>
            <w:hideMark/>
          </w:tcPr>
          <w:p w:rsidR="00E041DA" w:rsidRPr="006054CC" w:rsidP="00E041DA" w14:paraId="609DF75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Phil Couture</w:t>
            </w:r>
          </w:p>
        </w:tc>
        <w:tc>
          <w:tcPr>
            <w:tcW w:w="1530" w:type="dxa"/>
            <w:noWrap/>
            <w:hideMark/>
          </w:tcPr>
          <w:p w:rsidR="00E041DA" w:rsidRPr="006054CC" w:rsidP="00E041DA" w14:paraId="2725CD3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Entergy Operations Inc</w:t>
            </w:r>
          </w:p>
        </w:tc>
        <w:tc>
          <w:tcPr>
            <w:tcW w:w="1440" w:type="dxa"/>
            <w:noWrap/>
            <w:hideMark/>
          </w:tcPr>
          <w:p w:rsidR="00E041DA" w:rsidRPr="006054CC" w:rsidP="00E041DA" w14:paraId="703FB62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ENT</w:t>
            </w:r>
          </w:p>
        </w:tc>
        <w:tc>
          <w:tcPr>
            <w:tcW w:w="1890" w:type="dxa"/>
          </w:tcPr>
          <w:p w:rsidR="00E041DA" w:rsidRPr="006054CC" w:rsidP="00E041DA" w14:paraId="573C3FA6" w14:textId="77777777">
            <w:pPr>
              <w:jc w:val="center"/>
              <w:rPr>
                <w:rFonts w:ascii="Arial" w:eastAsia="Times New Roman" w:hAnsi="Arial" w:cs="Arial"/>
                <w:color w:val="000000"/>
                <w:sz w:val="20"/>
                <w:szCs w:val="20"/>
              </w:rPr>
            </w:pPr>
            <w:r w:rsidRPr="002C08EF">
              <w:rPr>
                <w:rFonts w:ascii="Arial" w:eastAsia="Times New Roman" w:hAnsi="Arial" w:cs="Arial"/>
                <w:color w:val="000000"/>
                <w:sz w:val="20"/>
                <w:szCs w:val="20"/>
              </w:rPr>
              <w:t>NRC-2019-0062-0473</w:t>
            </w:r>
          </w:p>
        </w:tc>
        <w:tc>
          <w:tcPr>
            <w:tcW w:w="1615" w:type="dxa"/>
            <w:noWrap/>
            <w:hideMark/>
          </w:tcPr>
          <w:p w:rsidR="00E041DA" w:rsidRPr="006054CC" w:rsidP="00E041DA" w14:paraId="3D62ADC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ML25066A041</w:t>
            </w:r>
          </w:p>
        </w:tc>
      </w:tr>
      <w:tr w14:paraId="0854C68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EF113A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127</w:t>
            </w:r>
          </w:p>
        </w:tc>
        <w:tc>
          <w:tcPr>
            <w:tcW w:w="1440" w:type="dxa"/>
            <w:noWrap/>
            <w:hideMark/>
          </w:tcPr>
          <w:p w:rsidR="00E041DA" w:rsidRPr="006054CC" w:rsidP="00E041DA" w14:paraId="318BC25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Fernando Fonseca</w:t>
            </w:r>
          </w:p>
        </w:tc>
        <w:tc>
          <w:tcPr>
            <w:tcW w:w="1530" w:type="dxa"/>
            <w:noWrap/>
            <w:hideMark/>
          </w:tcPr>
          <w:p w:rsidR="00E041DA" w:rsidRPr="006054CC" w:rsidP="00E041DA" w14:paraId="59AB40F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9E861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FF</w:t>
            </w:r>
          </w:p>
        </w:tc>
        <w:tc>
          <w:tcPr>
            <w:tcW w:w="1890" w:type="dxa"/>
          </w:tcPr>
          <w:p w:rsidR="00E041DA" w:rsidRPr="006054CC" w:rsidP="00E041DA" w14:paraId="02E6E6EF" w14:textId="77777777">
            <w:pPr>
              <w:jc w:val="center"/>
              <w:rPr>
                <w:rFonts w:ascii="Arial" w:eastAsia="Times New Roman" w:hAnsi="Arial" w:cs="Arial"/>
                <w:color w:val="000000"/>
                <w:sz w:val="20"/>
                <w:szCs w:val="20"/>
              </w:rPr>
            </w:pPr>
            <w:r w:rsidRPr="00E832FF">
              <w:rPr>
                <w:rFonts w:ascii="Arial" w:hAnsi="Arial" w:cs="Arial"/>
                <w:sz w:val="20"/>
                <w:szCs w:val="20"/>
              </w:rPr>
              <w:t>NRC-2019-0062-0474</w:t>
            </w:r>
          </w:p>
        </w:tc>
        <w:tc>
          <w:tcPr>
            <w:tcW w:w="1615" w:type="dxa"/>
            <w:noWrap/>
            <w:hideMark/>
          </w:tcPr>
          <w:p w:rsidR="00E041DA" w:rsidRPr="006054CC" w:rsidP="00E041DA" w14:paraId="6F3611C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ML25066A042</w:t>
            </w:r>
          </w:p>
        </w:tc>
      </w:tr>
      <w:tr w14:paraId="1D9D458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751F61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128</w:t>
            </w:r>
          </w:p>
        </w:tc>
        <w:tc>
          <w:tcPr>
            <w:tcW w:w="1440" w:type="dxa"/>
            <w:noWrap/>
            <w:hideMark/>
          </w:tcPr>
          <w:p w:rsidR="00E041DA" w:rsidRPr="006054CC" w:rsidP="00E041DA" w14:paraId="5E5B05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Frans Kopp</w:t>
            </w:r>
          </w:p>
        </w:tc>
        <w:tc>
          <w:tcPr>
            <w:tcW w:w="1530" w:type="dxa"/>
            <w:noWrap/>
            <w:hideMark/>
          </w:tcPr>
          <w:p w:rsidR="00E041DA" w:rsidRPr="006054CC" w:rsidP="00E041DA" w14:paraId="6501536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EE9CC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FK</w:t>
            </w:r>
          </w:p>
        </w:tc>
        <w:tc>
          <w:tcPr>
            <w:tcW w:w="1890" w:type="dxa"/>
          </w:tcPr>
          <w:p w:rsidR="00E041DA" w:rsidRPr="006054CC" w:rsidP="00E041DA" w14:paraId="6A4B66F7" w14:textId="77777777">
            <w:pPr>
              <w:jc w:val="center"/>
              <w:rPr>
                <w:rFonts w:ascii="Arial" w:eastAsia="Times New Roman" w:hAnsi="Arial" w:cs="Arial"/>
                <w:color w:val="000000"/>
                <w:sz w:val="20"/>
                <w:szCs w:val="20"/>
              </w:rPr>
            </w:pPr>
            <w:r w:rsidRPr="00E832FF">
              <w:rPr>
                <w:rFonts w:ascii="Arial" w:hAnsi="Arial" w:cs="Arial"/>
                <w:sz w:val="20"/>
                <w:szCs w:val="20"/>
              </w:rPr>
              <w:t>NRC-2019-0062-0475</w:t>
            </w:r>
          </w:p>
        </w:tc>
        <w:tc>
          <w:tcPr>
            <w:tcW w:w="1615" w:type="dxa"/>
            <w:noWrap/>
            <w:hideMark/>
          </w:tcPr>
          <w:p w:rsidR="00E041DA" w:rsidRPr="006054CC" w:rsidP="00E041DA" w14:paraId="69B9F29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ML25066A043</w:t>
            </w:r>
          </w:p>
        </w:tc>
      </w:tr>
      <w:tr w14:paraId="50997C6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5822E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129</w:t>
            </w:r>
          </w:p>
        </w:tc>
        <w:tc>
          <w:tcPr>
            <w:tcW w:w="1440" w:type="dxa"/>
            <w:noWrap/>
            <w:hideMark/>
          </w:tcPr>
          <w:p w:rsidR="00E041DA" w:rsidRPr="006054CC" w:rsidP="00E041DA" w14:paraId="5E34588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Ruth Hollander</w:t>
            </w:r>
          </w:p>
        </w:tc>
        <w:tc>
          <w:tcPr>
            <w:tcW w:w="1530" w:type="dxa"/>
            <w:noWrap/>
            <w:hideMark/>
          </w:tcPr>
          <w:p w:rsidR="00E041DA" w:rsidRPr="006054CC" w:rsidP="00E041DA" w14:paraId="1934739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0C42D46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RH</w:t>
            </w:r>
          </w:p>
        </w:tc>
        <w:tc>
          <w:tcPr>
            <w:tcW w:w="1890" w:type="dxa"/>
          </w:tcPr>
          <w:p w:rsidR="00E041DA" w:rsidRPr="006054CC" w:rsidP="00E041DA" w14:paraId="7ADA3805" w14:textId="77777777">
            <w:pPr>
              <w:jc w:val="center"/>
              <w:rPr>
                <w:rFonts w:ascii="Arial" w:eastAsia="Times New Roman" w:hAnsi="Arial" w:cs="Arial"/>
                <w:color w:val="000000"/>
                <w:sz w:val="20"/>
                <w:szCs w:val="20"/>
              </w:rPr>
            </w:pPr>
            <w:r w:rsidRPr="007131C1">
              <w:rPr>
                <w:rFonts w:ascii="Arial" w:eastAsia="Times New Roman" w:hAnsi="Arial" w:cs="Arial"/>
                <w:color w:val="000000"/>
                <w:sz w:val="20"/>
                <w:szCs w:val="20"/>
              </w:rPr>
              <w:t>NRC-2019-0062-0476</w:t>
            </w:r>
          </w:p>
        </w:tc>
        <w:tc>
          <w:tcPr>
            <w:tcW w:w="1615" w:type="dxa"/>
            <w:noWrap/>
            <w:hideMark/>
          </w:tcPr>
          <w:p w:rsidR="00E041DA" w:rsidRPr="006054CC" w:rsidP="00E041DA" w14:paraId="20A40D2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ML25066A044</w:t>
            </w:r>
          </w:p>
        </w:tc>
      </w:tr>
      <w:tr w14:paraId="27C048BC"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B45DF6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130</w:t>
            </w:r>
          </w:p>
        </w:tc>
        <w:tc>
          <w:tcPr>
            <w:tcW w:w="1440" w:type="dxa"/>
            <w:noWrap/>
            <w:hideMark/>
          </w:tcPr>
          <w:p w:rsidR="00E041DA" w:rsidRPr="006054CC" w:rsidP="00E041DA" w14:paraId="3298021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John Parillo</w:t>
            </w:r>
          </w:p>
        </w:tc>
        <w:tc>
          <w:tcPr>
            <w:tcW w:w="1530" w:type="dxa"/>
            <w:noWrap/>
            <w:hideMark/>
          </w:tcPr>
          <w:p w:rsidR="00E041DA" w:rsidRPr="006054CC" w:rsidP="00E041DA" w14:paraId="0C9491A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AA5A6F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JP</w:t>
            </w:r>
          </w:p>
        </w:tc>
        <w:tc>
          <w:tcPr>
            <w:tcW w:w="1890" w:type="dxa"/>
          </w:tcPr>
          <w:p w:rsidR="00E041DA" w:rsidRPr="006054CC" w:rsidP="00E041DA" w14:paraId="00022028" w14:textId="77777777">
            <w:pPr>
              <w:jc w:val="center"/>
              <w:rPr>
                <w:rFonts w:ascii="Arial" w:eastAsia="Times New Roman" w:hAnsi="Arial" w:cs="Arial"/>
                <w:color w:val="000000"/>
                <w:sz w:val="20"/>
                <w:szCs w:val="20"/>
              </w:rPr>
            </w:pPr>
            <w:r w:rsidRPr="00E832FF">
              <w:rPr>
                <w:rFonts w:ascii="Arial" w:hAnsi="Arial" w:cs="Arial"/>
                <w:sz w:val="20"/>
                <w:szCs w:val="20"/>
              </w:rPr>
              <w:t>NRC-2019-0062-0466</w:t>
            </w:r>
          </w:p>
        </w:tc>
        <w:tc>
          <w:tcPr>
            <w:tcW w:w="1615" w:type="dxa"/>
            <w:noWrap/>
            <w:hideMark/>
          </w:tcPr>
          <w:p w:rsidR="00E041DA" w:rsidRPr="006054CC" w:rsidP="00E041DA" w14:paraId="6C983F4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ML25066A045</w:t>
            </w:r>
          </w:p>
        </w:tc>
      </w:tr>
      <w:tr w14:paraId="25618B2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6B30FB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131</w:t>
            </w:r>
          </w:p>
        </w:tc>
        <w:tc>
          <w:tcPr>
            <w:tcW w:w="1440" w:type="dxa"/>
            <w:noWrap/>
            <w:hideMark/>
          </w:tcPr>
          <w:p w:rsidR="00E041DA" w:rsidRPr="006054CC" w:rsidP="00E041DA" w14:paraId="6E6EBAE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McLean</w:t>
            </w:r>
          </w:p>
        </w:tc>
        <w:tc>
          <w:tcPr>
            <w:tcW w:w="1530" w:type="dxa"/>
            <w:noWrap/>
            <w:hideMark/>
          </w:tcPr>
          <w:p w:rsidR="00E041DA" w:rsidRPr="006054CC" w:rsidP="00E041DA" w14:paraId="2904AD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338A480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MM</w:t>
            </w:r>
          </w:p>
        </w:tc>
        <w:tc>
          <w:tcPr>
            <w:tcW w:w="1890" w:type="dxa"/>
          </w:tcPr>
          <w:p w:rsidR="00E041DA" w:rsidRPr="006054CC" w:rsidP="00E041DA" w14:paraId="5AFA5E54" w14:textId="77777777">
            <w:pPr>
              <w:jc w:val="center"/>
              <w:rPr>
                <w:rFonts w:ascii="Arial" w:eastAsia="Times New Roman" w:hAnsi="Arial" w:cs="Arial"/>
                <w:color w:val="000000"/>
                <w:sz w:val="20"/>
                <w:szCs w:val="20"/>
              </w:rPr>
            </w:pPr>
            <w:r w:rsidRPr="00E832FF">
              <w:rPr>
                <w:rFonts w:ascii="Arial" w:hAnsi="Arial" w:cs="Arial"/>
                <w:sz w:val="20"/>
                <w:szCs w:val="20"/>
              </w:rPr>
              <w:t>NRC-2019-0062-0465</w:t>
            </w:r>
          </w:p>
        </w:tc>
        <w:tc>
          <w:tcPr>
            <w:tcW w:w="1615" w:type="dxa"/>
            <w:noWrap/>
            <w:hideMark/>
          </w:tcPr>
          <w:p w:rsidR="00E041DA" w:rsidRPr="006054CC" w:rsidP="00E041DA" w14:paraId="5201AD4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ML25066A046</w:t>
            </w:r>
          </w:p>
        </w:tc>
      </w:tr>
      <w:tr w14:paraId="4194C9CA"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A245BD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132</w:t>
            </w:r>
          </w:p>
        </w:tc>
        <w:tc>
          <w:tcPr>
            <w:tcW w:w="1440" w:type="dxa"/>
            <w:noWrap/>
            <w:hideMark/>
          </w:tcPr>
          <w:p w:rsidR="00E041DA" w:rsidRPr="006054CC" w:rsidP="00E041DA" w14:paraId="4FE5216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24401AE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4A54F49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4</w:t>
            </w:r>
          </w:p>
        </w:tc>
        <w:tc>
          <w:tcPr>
            <w:tcW w:w="1890" w:type="dxa"/>
          </w:tcPr>
          <w:p w:rsidR="00E041DA" w:rsidRPr="006054CC" w:rsidP="00E041DA" w14:paraId="38395666" w14:textId="77777777">
            <w:pPr>
              <w:jc w:val="center"/>
              <w:rPr>
                <w:rFonts w:ascii="Arial" w:eastAsia="Times New Roman" w:hAnsi="Arial" w:cs="Arial"/>
                <w:color w:val="000000"/>
                <w:sz w:val="20"/>
                <w:szCs w:val="20"/>
              </w:rPr>
            </w:pPr>
            <w:r w:rsidRPr="00E832FF">
              <w:rPr>
                <w:rFonts w:ascii="Arial" w:hAnsi="Arial" w:cs="Arial"/>
                <w:sz w:val="20"/>
                <w:szCs w:val="20"/>
              </w:rPr>
              <w:t>NRC-2019-0062-0478</w:t>
            </w:r>
          </w:p>
        </w:tc>
        <w:tc>
          <w:tcPr>
            <w:tcW w:w="1615" w:type="dxa"/>
            <w:noWrap/>
            <w:hideMark/>
          </w:tcPr>
          <w:p w:rsidR="00E041DA" w:rsidRPr="006054CC" w:rsidP="00E041DA" w14:paraId="0AB44A5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ML25066A047</w:t>
            </w:r>
          </w:p>
        </w:tc>
      </w:tr>
      <w:tr w14:paraId="209FBB4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40E309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133</w:t>
            </w:r>
          </w:p>
        </w:tc>
        <w:tc>
          <w:tcPr>
            <w:tcW w:w="1440" w:type="dxa"/>
            <w:noWrap/>
            <w:hideMark/>
          </w:tcPr>
          <w:p w:rsidR="00E041DA" w:rsidRPr="006054CC" w:rsidP="00E041DA" w14:paraId="2F6ABB0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2C96529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1DEB2A2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AN6</w:t>
            </w:r>
          </w:p>
        </w:tc>
        <w:tc>
          <w:tcPr>
            <w:tcW w:w="1890" w:type="dxa"/>
          </w:tcPr>
          <w:p w:rsidR="00E041DA" w:rsidRPr="006054CC" w:rsidP="00E041DA" w14:paraId="61BDA01E" w14:textId="77777777">
            <w:pPr>
              <w:jc w:val="center"/>
              <w:rPr>
                <w:rFonts w:ascii="Arial" w:eastAsia="Times New Roman" w:hAnsi="Arial" w:cs="Arial"/>
                <w:color w:val="000000"/>
                <w:sz w:val="20"/>
                <w:szCs w:val="20"/>
              </w:rPr>
            </w:pPr>
            <w:r w:rsidRPr="00E832FF">
              <w:rPr>
                <w:rFonts w:ascii="Arial" w:hAnsi="Arial" w:cs="Arial"/>
                <w:sz w:val="20"/>
                <w:szCs w:val="20"/>
              </w:rPr>
              <w:t>NRC-2019-0062-0477</w:t>
            </w:r>
          </w:p>
        </w:tc>
        <w:tc>
          <w:tcPr>
            <w:tcW w:w="1615" w:type="dxa"/>
            <w:noWrap/>
            <w:hideMark/>
          </w:tcPr>
          <w:p w:rsidR="00E041DA" w:rsidRPr="006054CC" w:rsidP="00E041DA" w14:paraId="42B479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ML25066A048</w:t>
            </w:r>
          </w:p>
        </w:tc>
      </w:tr>
      <w:tr w14:paraId="4709398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AE1316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134</w:t>
            </w:r>
          </w:p>
        </w:tc>
        <w:tc>
          <w:tcPr>
            <w:tcW w:w="1440" w:type="dxa"/>
            <w:noWrap/>
            <w:hideMark/>
          </w:tcPr>
          <w:p w:rsidR="00E041DA" w:rsidRPr="006054CC" w:rsidP="00E041DA" w14:paraId="1C30C0E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Keller</w:t>
            </w:r>
          </w:p>
        </w:tc>
        <w:tc>
          <w:tcPr>
            <w:tcW w:w="1530" w:type="dxa"/>
            <w:noWrap/>
            <w:hideMark/>
          </w:tcPr>
          <w:p w:rsidR="00E041DA" w:rsidRPr="006054CC" w:rsidP="00E041DA" w14:paraId="1565A6F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Hybrid Power Technologies LLC</w:t>
            </w:r>
          </w:p>
        </w:tc>
        <w:tc>
          <w:tcPr>
            <w:tcW w:w="1440" w:type="dxa"/>
            <w:noWrap/>
            <w:hideMark/>
          </w:tcPr>
          <w:p w:rsidR="00E041DA" w:rsidRPr="006054CC" w:rsidP="00E041DA" w14:paraId="77C29F3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HPT4</w:t>
            </w:r>
            <w:r>
              <w:rPr>
                <w:rFonts w:ascii="Arial" w:eastAsia="Times New Roman" w:hAnsi="Arial" w:cs="Arial"/>
                <w:color w:val="000000"/>
                <w:sz w:val="20"/>
                <w:szCs w:val="20"/>
              </w:rPr>
              <w:t>5</w:t>
            </w:r>
          </w:p>
        </w:tc>
        <w:tc>
          <w:tcPr>
            <w:tcW w:w="1890" w:type="dxa"/>
          </w:tcPr>
          <w:p w:rsidR="00E041DA" w:rsidRPr="006054CC" w:rsidP="00E041DA" w14:paraId="006363F1" w14:textId="77777777">
            <w:pPr>
              <w:jc w:val="center"/>
              <w:rPr>
                <w:rFonts w:ascii="Arial" w:eastAsia="Times New Roman" w:hAnsi="Arial" w:cs="Arial"/>
                <w:color w:val="000000"/>
                <w:sz w:val="20"/>
                <w:szCs w:val="20"/>
              </w:rPr>
            </w:pPr>
            <w:r w:rsidRPr="00E832FF">
              <w:rPr>
                <w:rFonts w:ascii="Arial" w:hAnsi="Arial" w:cs="Arial"/>
                <w:sz w:val="20"/>
                <w:szCs w:val="20"/>
              </w:rPr>
              <w:t>NRC-2019-0062-0467</w:t>
            </w:r>
          </w:p>
        </w:tc>
        <w:tc>
          <w:tcPr>
            <w:tcW w:w="1615" w:type="dxa"/>
            <w:noWrap/>
            <w:hideMark/>
          </w:tcPr>
          <w:p w:rsidR="00E041DA" w:rsidRPr="006054CC" w:rsidP="00E041DA" w14:paraId="7FFDCF5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ML25066A049</w:t>
            </w:r>
          </w:p>
        </w:tc>
      </w:tr>
      <w:tr w14:paraId="13FA8ED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7F15D0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135</w:t>
            </w:r>
          </w:p>
        </w:tc>
        <w:tc>
          <w:tcPr>
            <w:tcW w:w="1440" w:type="dxa"/>
            <w:noWrap/>
            <w:hideMark/>
          </w:tcPr>
          <w:p w:rsidR="00E041DA" w:rsidRPr="006054CC" w:rsidP="00E041DA" w14:paraId="118B36C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Stephen G. Burns, John Cornwell, Judi Greenwald, Nicholas McMurray, Malwina Qvist, Dr. Adam Stein</w:t>
            </w:r>
          </w:p>
        </w:tc>
        <w:tc>
          <w:tcPr>
            <w:tcW w:w="1530" w:type="dxa"/>
            <w:noWrap/>
            <w:hideMark/>
          </w:tcPr>
          <w:p w:rsidR="00E041DA" w:rsidRPr="006054CC" w:rsidP="00E041DA" w14:paraId="24C14A9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BTI, CATF, ClearPath, GEC, NIA, and Third Way</w:t>
            </w:r>
          </w:p>
        </w:tc>
        <w:tc>
          <w:tcPr>
            <w:tcW w:w="1440" w:type="dxa"/>
            <w:noWrap/>
            <w:hideMark/>
          </w:tcPr>
          <w:p w:rsidR="00E041DA" w:rsidRPr="006054CC" w:rsidP="00E041DA" w14:paraId="26570B4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NGO</w:t>
            </w:r>
          </w:p>
        </w:tc>
        <w:tc>
          <w:tcPr>
            <w:tcW w:w="1890" w:type="dxa"/>
          </w:tcPr>
          <w:p w:rsidR="00E041DA" w:rsidRPr="006054CC" w:rsidP="00E041DA" w14:paraId="745756E9" w14:textId="77777777">
            <w:pPr>
              <w:jc w:val="center"/>
              <w:rPr>
                <w:rFonts w:ascii="Arial" w:eastAsia="Times New Roman" w:hAnsi="Arial" w:cs="Arial"/>
                <w:color w:val="000000"/>
                <w:sz w:val="20"/>
                <w:szCs w:val="20"/>
              </w:rPr>
            </w:pPr>
            <w:r w:rsidRPr="00343546">
              <w:rPr>
                <w:rFonts w:ascii="Arial" w:eastAsia="Times New Roman" w:hAnsi="Arial" w:cs="Arial"/>
                <w:color w:val="000000"/>
                <w:sz w:val="20"/>
                <w:szCs w:val="20"/>
              </w:rPr>
              <w:t>NRC-2019-0062-0483</w:t>
            </w:r>
          </w:p>
        </w:tc>
        <w:tc>
          <w:tcPr>
            <w:tcW w:w="1615" w:type="dxa"/>
            <w:noWrap/>
            <w:hideMark/>
          </w:tcPr>
          <w:p w:rsidR="00E041DA" w:rsidRPr="006054CC" w:rsidP="00E041DA" w14:paraId="55AE1F7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ML25069A162</w:t>
            </w:r>
          </w:p>
        </w:tc>
      </w:tr>
      <w:tr w14:paraId="6E3DB20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E45DFA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136</w:t>
            </w:r>
          </w:p>
        </w:tc>
        <w:tc>
          <w:tcPr>
            <w:tcW w:w="1440" w:type="dxa"/>
            <w:noWrap/>
            <w:hideMark/>
          </w:tcPr>
          <w:p w:rsidR="00E041DA" w:rsidRPr="006054CC" w:rsidP="00E041DA" w14:paraId="29A23A4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Patrick White</w:t>
            </w:r>
          </w:p>
        </w:tc>
        <w:tc>
          <w:tcPr>
            <w:tcW w:w="1530" w:type="dxa"/>
            <w:noWrap/>
            <w:hideMark/>
          </w:tcPr>
          <w:p w:rsidR="00E041DA" w:rsidRPr="006054CC" w:rsidP="00E041DA" w14:paraId="4FA26E2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Innovation Alliance (NIA)</w:t>
            </w:r>
          </w:p>
        </w:tc>
        <w:tc>
          <w:tcPr>
            <w:tcW w:w="1440" w:type="dxa"/>
            <w:noWrap/>
            <w:hideMark/>
          </w:tcPr>
          <w:p w:rsidR="00E041DA" w:rsidRPr="006054CC" w:rsidP="00E041DA" w14:paraId="2568255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NIA2</w:t>
            </w:r>
          </w:p>
        </w:tc>
        <w:tc>
          <w:tcPr>
            <w:tcW w:w="1890" w:type="dxa"/>
          </w:tcPr>
          <w:p w:rsidR="00E041DA" w:rsidRPr="006054CC" w:rsidP="00E041DA" w14:paraId="276D07F2" w14:textId="77777777">
            <w:pPr>
              <w:jc w:val="center"/>
              <w:rPr>
                <w:rFonts w:ascii="Arial" w:eastAsia="Times New Roman" w:hAnsi="Arial" w:cs="Arial"/>
                <w:color w:val="000000"/>
                <w:sz w:val="20"/>
                <w:szCs w:val="20"/>
              </w:rPr>
            </w:pPr>
            <w:r w:rsidRPr="000341A7">
              <w:rPr>
                <w:rFonts w:ascii="Arial" w:eastAsia="Times New Roman" w:hAnsi="Arial" w:cs="Arial"/>
                <w:color w:val="000000"/>
                <w:sz w:val="20"/>
                <w:szCs w:val="20"/>
              </w:rPr>
              <w:t>NRC-2019-0062-0480</w:t>
            </w:r>
          </w:p>
        </w:tc>
        <w:tc>
          <w:tcPr>
            <w:tcW w:w="1615" w:type="dxa"/>
            <w:noWrap/>
            <w:hideMark/>
          </w:tcPr>
          <w:p w:rsidR="00E041DA" w:rsidRPr="006054CC" w:rsidP="00E041DA" w14:paraId="1CD68F2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ML25069A163</w:t>
            </w:r>
          </w:p>
        </w:tc>
      </w:tr>
      <w:tr w14:paraId="75D201ED"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FE312C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137</w:t>
            </w:r>
          </w:p>
        </w:tc>
        <w:tc>
          <w:tcPr>
            <w:tcW w:w="1440" w:type="dxa"/>
            <w:noWrap/>
            <w:hideMark/>
          </w:tcPr>
          <w:p w:rsidR="00E041DA" w:rsidRPr="006054CC" w:rsidP="00E041DA" w14:paraId="55552A1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Eric Ingersoll </w:t>
            </w:r>
          </w:p>
        </w:tc>
        <w:tc>
          <w:tcPr>
            <w:tcW w:w="1530" w:type="dxa"/>
            <w:noWrap/>
            <w:hideMark/>
          </w:tcPr>
          <w:p w:rsidR="00E041DA" w:rsidRPr="006054CC" w:rsidP="00E041DA" w14:paraId="3F3CE2F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Terra Praxis</w:t>
            </w:r>
          </w:p>
        </w:tc>
        <w:tc>
          <w:tcPr>
            <w:tcW w:w="1440" w:type="dxa"/>
            <w:noWrap/>
            <w:hideMark/>
          </w:tcPr>
          <w:p w:rsidR="00E041DA" w:rsidRPr="006054CC" w:rsidP="00E041DA" w14:paraId="1DDAF392"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TP</w:t>
            </w:r>
          </w:p>
        </w:tc>
        <w:tc>
          <w:tcPr>
            <w:tcW w:w="1890" w:type="dxa"/>
          </w:tcPr>
          <w:p w:rsidR="00E041DA" w:rsidRPr="006054CC" w:rsidP="00E041DA" w14:paraId="73BEEE78" w14:textId="77777777">
            <w:pPr>
              <w:jc w:val="center"/>
              <w:rPr>
                <w:rFonts w:ascii="Arial" w:eastAsia="Times New Roman" w:hAnsi="Arial" w:cs="Arial"/>
                <w:color w:val="000000"/>
                <w:sz w:val="20"/>
                <w:szCs w:val="20"/>
              </w:rPr>
            </w:pPr>
            <w:r w:rsidRPr="00E832FF">
              <w:rPr>
                <w:rFonts w:ascii="Arial" w:hAnsi="Arial" w:cs="Arial"/>
                <w:sz w:val="20"/>
                <w:szCs w:val="20"/>
              </w:rPr>
              <w:t>NRC-2019-0062-0484</w:t>
            </w:r>
          </w:p>
        </w:tc>
        <w:tc>
          <w:tcPr>
            <w:tcW w:w="1615" w:type="dxa"/>
            <w:noWrap/>
            <w:hideMark/>
          </w:tcPr>
          <w:p w:rsidR="00E041DA" w:rsidRPr="006054CC" w:rsidP="00E041DA" w14:paraId="7ECF67E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ML25069A164</w:t>
            </w:r>
          </w:p>
        </w:tc>
      </w:tr>
      <w:tr w14:paraId="7FAE48CB"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4A0C86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138</w:t>
            </w:r>
          </w:p>
        </w:tc>
        <w:tc>
          <w:tcPr>
            <w:tcW w:w="1440" w:type="dxa"/>
            <w:noWrap/>
            <w:hideMark/>
          </w:tcPr>
          <w:p w:rsidR="00E041DA" w:rsidRPr="006054CC" w:rsidP="00E041DA" w14:paraId="7735C3A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Carl Wurtz</w:t>
            </w:r>
          </w:p>
        </w:tc>
        <w:tc>
          <w:tcPr>
            <w:tcW w:w="1530" w:type="dxa"/>
            <w:noWrap/>
            <w:hideMark/>
          </w:tcPr>
          <w:p w:rsidR="00E041DA" w:rsidRPr="006054CC" w:rsidP="00E041DA" w14:paraId="649FD78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Fission Transition Inc.</w:t>
            </w:r>
          </w:p>
        </w:tc>
        <w:tc>
          <w:tcPr>
            <w:tcW w:w="1440" w:type="dxa"/>
            <w:noWrap/>
            <w:hideMark/>
          </w:tcPr>
          <w:p w:rsidR="00E041DA" w:rsidRPr="006054CC" w:rsidP="00E041DA" w14:paraId="631B30D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FTI</w:t>
            </w:r>
          </w:p>
        </w:tc>
        <w:tc>
          <w:tcPr>
            <w:tcW w:w="1890" w:type="dxa"/>
          </w:tcPr>
          <w:p w:rsidR="00E041DA" w:rsidRPr="006054CC" w:rsidP="00E041DA" w14:paraId="252CFB00" w14:textId="77777777">
            <w:pPr>
              <w:jc w:val="center"/>
              <w:rPr>
                <w:rFonts w:ascii="Arial" w:eastAsia="Times New Roman" w:hAnsi="Arial" w:cs="Arial"/>
                <w:color w:val="000000"/>
                <w:sz w:val="20"/>
                <w:szCs w:val="20"/>
              </w:rPr>
            </w:pPr>
            <w:r w:rsidRPr="00E832FF">
              <w:rPr>
                <w:rFonts w:ascii="Arial" w:hAnsi="Arial" w:cs="Arial"/>
                <w:sz w:val="20"/>
                <w:szCs w:val="20"/>
              </w:rPr>
              <w:t>NRC-2019-0062-0485</w:t>
            </w:r>
          </w:p>
        </w:tc>
        <w:tc>
          <w:tcPr>
            <w:tcW w:w="1615" w:type="dxa"/>
            <w:noWrap/>
            <w:hideMark/>
          </w:tcPr>
          <w:p w:rsidR="00E041DA" w:rsidRPr="006054CC" w:rsidP="00E041DA" w14:paraId="49A5FB8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ML25069A165</w:t>
            </w:r>
          </w:p>
        </w:tc>
      </w:tr>
      <w:tr w14:paraId="4A79368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C2B98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139</w:t>
            </w:r>
          </w:p>
        </w:tc>
        <w:tc>
          <w:tcPr>
            <w:tcW w:w="1440" w:type="dxa"/>
            <w:noWrap/>
            <w:hideMark/>
          </w:tcPr>
          <w:p w:rsidR="00E041DA" w:rsidRPr="006054CC" w:rsidP="00E041DA" w14:paraId="0F789BC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Dietmar Detering, PhD</w:t>
            </w:r>
          </w:p>
        </w:tc>
        <w:tc>
          <w:tcPr>
            <w:tcW w:w="1530" w:type="dxa"/>
            <w:noWrap/>
            <w:hideMark/>
          </w:tcPr>
          <w:p w:rsidR="00E041DA" w:rsidRPr="006054CC" w:rsidP="00E041DA" w14:paraId="20FD276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New York, Inc.</w:t>
            </w:r>
          </w:p>
        </w:tc>
        <w:tc>
          <w:tcPr>
            <w:tcW w:w="1440" w:type="dxa"/>
            <w:noWrap/>
            <w:hideMark/>
          </w:tcPr>
          <w:p w:rsidR="00E041DA" w:rsidRPr="006054CC" w:rsidP="00E041DA" w14:paraId="2ADDEC98"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NNY</w:t>
            </w:r>
          </w:p>
        </w:tc>
        <w:tc>
          <w:tcPr>
            <w:tcW w:w="1890" w:type="dxa"/>
          </w:tcPr>
          <w:p w:rsidR="00E041DA" w:rsidRPr="006054CC" w:rsidP="00E041DA" w14:paraId="1ECA49F4" w14:textId="77777777">
            <w:pPr>
              <w:jc w:val="center"/>
              <w:rPr>
                <w:rFonts w:ascii="Arial" w:eastAsia="Times New Roman" w:hAnsi="Arial" w:cs="Arial"/>
                <w:color w:val="000000"/>
                <w:sz w:val="20"/>
                <w:szCs w:val="20"/>
              </w:rPr>
            </w:pPr>
            <w:r w:rsidRPr="00C3447B">
              <w:rPr>
                <w:rFonts w:ascii="Arial" w:eastAsia="Times New Roman" w:hAnsi="Arial" w:cs="Arial"/>
                <w:color w:val="000000"/>
                <w:sz w:val="20"/>
                <w:szCs w:val="20"/>
              </w:rPr>
              <w:t>NRC-2019-0062-0486</w:t>
            </w:r>
          </w:p>
        </w:tc>
        <w:tc>
          <w:tcPr>
            <w:tcW w:w="1615" w:type="dxa"/>
            <w:noWrap/>
            <w:hideMark/>
          </w:tcPr>
          <w:p w:rsidR="00E041DA" w:rsidRPr="006054CC" w:rsidP="00E041DA" w14:paraId="5183DB1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ML25069A166</w:t>
            </w:r>
          </w:p>
        </w:tc>
      </w:tr>
      <w:tr w14:paraId="24AFD3B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272DE13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140</w:t>
            </w:r>
          </w:p>
        </w:tc>
        <w:tc>
          <w:tcPr>
            <w:tcW w:w="1440" w:type="dxa"/>
            <w:noWrap/>
            <w:hideMark/>
          </w:tcPr>
          <w:p w:rsidR="00E041DA" w:rsidRPr="006054CC" w:rsidP="00E041DA" w14:paraId="2624C9D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Rani Franovich and N. Prasad Kadambi</w:t>
            </w:r>
          </w:p>
        </w:tc>
        <w:tc>
          <w:tcPr>
            <w:tcW w:w="1530" w:type="dxa"/>
            <w:noWrap/>
            <w:hideMark/>
          </w:tcPr>
          <w:p w:rsidR="00E041DA" w:rsidRPr="006054CC" w:rsidP="00E041DA" w14:paraId="6C607AB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Nuclear ROSE Consulting, LLC, and Kadambi Engineering Consultants</w:t>
            </w:r>
          </w:p>
        </w:tc>
        <w:tc>
          <w:tcPr>
            <w:tcW w:w="1440" w:type="dxa"/>
            <w:noWrap/>
            <w:hideMark/>
          </w:tcPr>
          <w:p w:rsidR="00E041DA" w:rsidRPr="006054CC" w:rsidP="00E041DA" w14:paraId="4C51E75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ROSE</w:t>
            </w:r>
          </w:p>
        </w:tc>
        <w:tc>
          <w:tcPr>
            <w:tcW w:w="1890" w:type="dxa"/>
          </w:tcPr>
          <w:p w:rsidR="00E041DA" w:rsidRPr="006054CC" w:rsidP="00E041DA" w14:paraId="7D243164" w14:textId="77777777">
            <w:pPr>
              <w:jc w:val="center"/>
              <w:rPr>
                <w:rFonts w:ascii="Arial" w:eastAsia="Times New Roman" w:hAnsi="Arial" w:cs="Arial"/>
                <w:color w:val="000000"/>
                <w:sz w:val="20"/>
                <w:szCs w:val="20"/>
              </w:rPr>
            </w:pPr>
            <w:r w:rsidRPr="00C3447B">
              <w:rPr>
                <w:rFonts w:ascii="Arial" w:eastAsia="Times New Roman" w:hAnsi="Arial" w:cs="Arial"/>
                <w:color w:val="000000"/>
                <w:sz w:val="20"/>
                <w:szCs w:val="20"/>
              </w:rPr>
              <w:t>NRC-2019-0062-0479</w:t>
            </w:r>
          </w:p>
        </w:tc>
        <w:tc>
          <w:tcPr>
            <w:tcW w:w="1615" w:type="dxa"/>
            <w:noWrap/>
            <w:hideMark/>
          </w:tcPr>
          <w:p w:rsidR="00E041DA" w:rsidRPr="006054CC" w:rsidP="00E041DA" w14:paraId="7087CC2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ML25069A167</w:t>
            </w:r>
          </w:p>
        </w:tc>
      </w:tr>
      <w:tr w14:paraId="33AAC808"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8596AA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141</w:t>
            </w:r>
          </w:p>
        </w:tc>
        <w:tc>
          <w:tcPr>
            <w:tcW w:w="1440" w:type="dxa"/>
            <w:noWrap/>
            <w:hideMark/>
          </w:tcPr>
          <w:p w:rsidR="00E041DA" w:rsidRPr="006054CC" w:rsidP="00E041DA" w14:paraId="695D160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Carrie Fosaaen</w:t>
            </w:r>
          </w:p>
        </w:tc>
        <w:tc>
          <w:tcPr>
            <w:tcW w:w="1530" w:type="dxa"/>
            <w:noWrap/>
            <w:hideMark/>
          </w:tcPr>
          <w:p w:rsidR="00E041DA" w:rsidRPr="006054CC" w:rsidP="00E041DA" w14:paraId="33220AF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NuScale</w:t>
            </w:r>
            <w:r w:rsidRPr="006054CC">
              <w:rPr>
                <w:rFonts w:ascii="Arial" w:eastAsia="Times New Roman" w:hAnsi="Arial" w:cs="Arial"/>
                <w:color w:val="000000"/>
                <w:sz w:val="20"/>
                <w:szCs w:val="20"/>
              </w:rPr>
              <w:t xml:space="preserve"> Power</w:t>
            </w:r>
          </w:p>
        </w:tc>
        <w:tc>
          <w:tcPr>
            <w:tcW w:w="1440" w:type="dxa"/>
            <w:noWrap/>
            <w:hideMark/>
          </w:tcPr>
          <w:p w:rsidR="00E041DA" w:rsidRPr="006054CC" w:rsidP="00E041DA" w14:paraId="3C0A8C9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NUS2</w:t>
            </w:r>
          </w:p>
        </w:tc>
        <w:tc>
          <w:tcPr>
            <w:tcW w:w="1890" w:type="dxa"/>
          </w:tcPr>
          <w:p w:rsidR="00E041DA" w:rsidRPr="006054CC" w:rsidP="00E041DA" w14:paraId="7BBFD91D" w14:textId="77777777">
            <w:pPr>
              <w:jc w:val="center"/>
              <w:rPr>
                <w:rFonts w:ascii="Arial" w:eastAsia="Times New Roman" w:hAnsi="Arial" w:cs="Arial"/>
                <w:color w:val="000000"/>
                <w:sz w:val="20"/>
                <w:szCs w:val="20"/>
              </w:rPr>
            </w:pPr>
            <w:r w:rsidRPr="00E832FF">
              <w:rPr>
                <w:rFonts w:ascii="Arial" w:hAnsi="Arial" w:cs="Arial"/>
                <w:sz w:val="20"/>
                <w:szCs w:val="20"/>
              </w:rPr>
              <w:t>NRC-2019-0062-0481</w:t>
            </w:r>
          </w:p>
        </w:tc>
        <w:tc>
          <w:tcPr>
            <w:tcW w:w="1615" w:type="dxa"/>
            <w:noWrap/>
            <w:hideMark/>
          </w:tcPr>
          <w:p w:rsidR="00E041DA" w:rsidRPr="006054CC" w:rsidP="00E041DA" w14:paraId="09F9151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ML25069A168</w:t>
            </w:r>
          </w:p>
        </w:tc>
      </w:tr>
      <w:tr w14:paraId="02C906A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9C8A8F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142</w:t>
            </w:r>
          </w:p>
        </w:tc>
        <w:tc>
          <w:tcPr>
            <w:tcW w:w="1440" w:type="dxa"/>
            <w:noWrap/>
            <w:hideMark/>
          </w:tcPr>
          <w:p w:rsidR="00E041DA" w:rsidRPr="006054CC" w:rsidP="00E041DA" w14:paraId="6207895C"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562D890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2BEDCB7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AN7</w:t>
            </w:r>
          </w:p>
        </w:tc>
        <w:tc>
          <w:tcPr>
            <w:tcW w:w="1890" w:type="dxa"/>
          </w:tcPr>
          <w:p w:rsidR="00E041DA" w:rsidRPr="006054CC" w:rsidP="00E041DA" w14:paraId="5CA4A2B3" w14:textId="77777777">
            <w:pPr>
              <w:jc w:val="center"/>
              <w:rPr>
                <w:rFonts w:ascii="Arial" w:eastAsia="Times New Roman" w:hAnsi="Arial" w:cs="Arial"/>
                <w:color w:val="000000"/>
                <w:sz w:val="20"/>
                <w:szCs w:val="20"/>
              </w:rPr>
            </w:pPr>
            <w:r w:rsidRPr="00E832FF">
              <w:rPr>
                <w:rFonts w:ascii="Arial" w:hAnsi="Arial" w:cs="Arial"/>
                <w:sz w:val="20"/>
                <w:szCs w:val="20"/>
              </w:rPr>
              <w:t>NRC-2019-0062-0487</w:t>
            </w:r>
          </w:p>
        </w:tc>
        <w:tc>
          <w:tcPr>
            <w:tcW w:w="1615" w:type="dxa"/>
            <w:noWrap/>
            <w:hideMark/>
          </w:tcPr>
          <w:p w:rsidR="00E041DA" w:rsidRPr="006054CC" w:rsidP="00E041DA" w14:paraId="3302858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ML25069A169</w:t>
            </w:r>
          </w:p>
        </w:tc>
      </w:tr>
      <w:tr w14:paraId="2C95DB55"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7510E52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143</w:t>
            </w:r>
          </w:p>
        </w:tc>
        <w:tc>
          <w:tcPr>
            <w:tcW w:w="1440" w:type="dxa"/>
            <w:noWrap/>
            <w:hideMark/>
          </w:tcPr>
          <w:p w:rsidR="00E041DA" w:rsidRPr="006054CC" w:rsidP="00E041DA" w14:paraId="2433AA4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6D18AE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6E67C6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AN8</w:t>
            </w:r>
          </w:p>
        </w:tc>
        <w:tc>
          <w:tcPr>
            <w:tcW w:w="1890" w:type="dxa"/>
          </w:tcPr>
          <w:p w:rsidR="00E041DA" w:rsidRPr="006054CC" w:rsidP="00E041DA" w14:paraId="333E7778" w14:textId="77777777">
            <w:pPr>
              <w:jc w:val="center"/>
              <w:rPr>
                <w:rFonts w:ascii="Arial" w:eastAsia="Times New Roman" w:hAnsi="Arial" w:cs="Arial"/>
                <w:color w:val="000000"/>
                <w:sz w:val="20"/>
                <w:szCs w:val="20"/>
              </w:rPr>
            </w:pPr>
            <w:r w:rsidRPr="00E832FF">
              <w:rPr>
                <w:rFonts w:ascii="Arial" w:hAnsi="Arial" w:cs="Arial"/>
                <w:sz w:val="20"/>
                <w:szCs w:val="20"/>
              </w:rPr>
              <w:t>NRC-2019-0062-0482</w:t>
            </w:r>
          </w:p>
        </w:tc>
        <w:tc>
          <w:tcPr>
            <w:tcW w:w="1615" w:type="dxa"/>
            <w:noWrap/>
            <w:hideMark/>
          </w:tcPr>
          <w:p w:rsidR="00E041DA" w:rsidRPr="006054CC" w:rsidP="00E041DA" w14:paraId="7E7A157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ML25069A170</w:t>
            </w:r>
          </w:p>
        </w:tc>
      </w:tr>
      <w:tr w14:paraId="79A8A6D7"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C0C1DC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144</w:t>
            </w:r>
          </w:p>
        </w:tc>
        <w:tc>
          <w:tcPr>
            <w:tcW w:w="1440" w:type="dxa"/>
            <w:noWrap/>
            <w:hideMark/>
          </w:tcPr>
          <w:p w:rsidR="00E041DA" w:rsidRPr="006054CC" w:rsidP="00E041DA" w14:paraId="47DF233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565729E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8F082B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AN9</w:t>
            </w:r>
          </w:p>
        </w:tc>
        <w:tc>
          <w:tcPr>
            <w:tcW w:w="1890" w:type="dxa"/>
          </w:tcPr>
          <w:p w:rsidR="00E041DA" w:rsidRPr="006054CC" w:rsidP="00E041DA" w14:paraId="6DD2F4CD" w14:textId="77777777">
            <w:pPr>
              <w:jc w:val="center"/>
              <w:rPr>
                <w:rFonts w:ascii="Arial" w:eastAsia="Times New Roman" w:hAnsi="Arial" w:cs="Arial"/>
                <w:color w:val="000000"/>
                <w:sz w:val="20"/>
                <w:szCs w:val="20"/>
              </w:rPr>
            </w:pPr>
            <w:r w:rsidRPr="00E832FF">
              <w:rPr>
                <w:rFonts w:ascii="Arial" w:hAnsi="Arial" w:cs="Arial"/>
                <w:sz w:val="20"/>
                <w:szCs w:val="20"/>
              </w:rPr>
              <w:t>NRC-2019-0062-0457</w:t>
            </w:r>
          </w:p>
        </w:tc>
        <w:tc>
          <w:tcPr>
            <w:tcW w:w="1615" w:type="dxa"/>
            <w:noWrap/>
            <w:hideMark/>
          </w:tcPr>
          <w:p w:rsidR="00E041DA" w:rsidRPr="006054CC" w:rsidP="00E041DA" w14:paraId="51064C4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ML25069A171</w:t>
            </w:r>
          </w:p>
        </w:tc>
      </w:tr>
      <w:tr w14:paraId="25B5F564"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61573A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145</w:t>
            </w:r>
          </w:p>
        </w:tc>
        <w:tc>
          <w:tcPr>
            <w:tcW w:w="1440" w:type="dxa"/>
            <w:noWrap/>
            <w:hideMark/>
          </w:tcPr>
          <w:p w:rsidR="00E041DA" w:rsidRPr="006054CC" w:rsidP="00E041DA" w14:paraId="100296B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4E5D14D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63F6646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AN10</w:t>
            </w:r>
          </w:p>
        </w:tc>
        <w:tc>
          <w:tcPr>
            <w:tcW w:w="1890" w:type="dxa"/>
          </w:tcPr>
          <w:p w:rsidR="00E041DA" w:rsidRPr="006054CC" w:rsidP="00E041DA" w14:paraId="7E77E3B7" w14:textId="77777777">
            <w:pPr>
              <w:jc w:val="center"/>
              <w:rPr>
                <w:rFonts w:ascii="Arial" w:eastAsia="Times New Roman" w:hAnsi="Arial" w:cs="Arial"/>
                <w:color w:val="000000"/>
                <w:sz w:val="20"/>
                <w:szCs w:val="20"/>
              </w:rPr>
            </w:pPr>
            <w:r w:rsidRPr="00E832FF">
              <w:rPr>
                <w:rFonts w:ascii="Arial" w:hAnsi="Arial" w:cs="Arial"/>
                <w:sz w:val="20"/>
                <w:szCs w:val="20"/>
              </w:rPr>
              <w:t>NRC-2019-0062-0458</w:t>
            </w:r>
          </w:p>
        </w:tc>
        <w:tc>
          <w:tcPr>
            <w:tcW w:w="1615" w:type="dxa"/>
            <w:noWrap/>
            <w:hideMark/>
          </w:tcPr>
          <w:p w:rsidR="00E041DA" w:rsidRPr="006054CC" w:rsidP="00E041DA" w14:paraId="5867EB2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ML25069A172</w:t>
            </w:r>
          </w:p>
        </w:tc>
      </w:tr>
      <w:tr w14:paraId="57B2CDE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093C136"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146</w:t>
            </w:r>
          </w:p>
        </w:tc>
        <w:tc>
          <w:tcPr>
            <w:tcW w:w="1440" w:type="dxa"/>
            <w:noWrap/>
            <w:hideMark/>
          </w:tcPr>
          <w:p w:rsidR="00E041DA" w:rsidRPr="006054CC" w:rsidP="00E041DA" w14:paraId="4F68242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69410AA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F433C0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AN11</w:t>
            </w:r>
          </w:p>
        </w:tc>
        <w:tc>
          <w:tcPr>
            <w:tcW w:w="1890" w:type="dxa"/>
          </w:tcPr>
          <w:p w:rsidR="00E041DA" w:rsidRPr="006054CC" w:rsidP="00E041DA" w14:paraId="5162C6B0" w14:textId="77777777">
            <w:pPr>
              <w:jc w:val="center"/>
              <w:rPr>
                <w:rFonts w:ascii="Arial" w:eastAsia="Times New Roman" w:hAnsi="Arial" w:cs="Arial"/>
                <w:color w:val="000000"/>
                <w:sz w:val="20"/>
                <w:szCs w:val="20"/>
              </w:rPr>
            </w:pPr>
            <w:r w:rsidRPr="00E832FF">
              <w:rPr>
                <w:rFonts w:ascii="Arial" w:hAnsi="Arial" w:cs="Arial"/>
                <w:sz w:val="20"/>
                <w:szCs w:val="20"/>
              </w:rPr>
              <w:t>NRC-2019-0062-0460</w:t>
            </w:r>
          </w:p>
        </w:tc>
        <w:tc>
          <w:tcPr>
            <w:tcW w:w="1615" w:type="dxa"/>
            <w:noWrap/>
            <w:hideMark/>
          </w:tcPr>
          <w:p w:rsidR="00E041DA" w:rsidRPr="006054CC" w:rsidP="00E041DA" w14:paraId="556D286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ML25069A173</w:t>
            </w:r>
          </w:p>
        </w:tc>
      </w:tr>
      <w:tr w14:paraId="7400C68E"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193024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147</w:t>
            </w:r>
          </w:p>
        </w:tc>
        <w:tc>
          <w:tcPr>
            <w:tcW w:w="1440" w:type="dxa"/>
            <w:noWrap/>
            <w:hideMark/>
          </w:tcPr>
          <w:p w:rsidR="00E041DA" w:rsidRPr="006054CC" w:rsidP="00E041DA" w14:paraId="7FC9FC1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02D9941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0140F1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AN12</w:t>
            </w:r>
          </w:p>
        </w:tc>
        <w:tc>
          <w:tcPr>
            <w:tcW w:w="1890" w:type="dxa"/>
          </w:tcPr>
          <w:p w:rsidR="00E041DA" w:rsidRPr="006054CC" w:rsidP="00E041DA" w14:paraId="4C9427DF" w14:textId="77777777">
            <w:pPr>
              <w:jc w:val="center"/>
              <w:rPr>
                <w:rFonts w:ascii="Arial" w:eastAsia="Times New Roman" w:hAnsi="Arial" w:cs="Arial"/>
                <w:color w:val="000000"/>
                <w:sz w:val="20"/>
                <w:szCs w:val="20"/>
              </w:rPr>
            </w:pPr>
            <w:r w:rsidRPr="00E832FF">
              <w:rPr>
                <w:rFonts w:ascii="Arial" w:hAnsi="Arial" w:cs="Arial"/>
                <w:sz w:val="20"/>
                <w:szCs w:val="20"/>
              </w:rPr>
              <w:t>NRC-2019-0062-0459</w:t>
            </w:r>
          </w:p>
        </w:tc>
        <w:tc>
          <w:tcPr>
            <w:tcW w:w="1615" w:type="dxa"/>
            <w:noWrap/>
            <w:hideMark/>
          </w:tcPr>
          <w:p w:rsidR="00E041DA" w:rsidRPr="006054CC" w:rsidP="00E041DA" w14:paraId="6ACA753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ML25069A174</w:t>
            </w:r>
          </w:p>
        </w:tc>
      </w:tr>
      <w:tr w14:paraId="4735712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5CCE195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148</w:t>
            </w:r>
          </w:p>
        </w:tc>
        <w:tc>
          <w:tcPr>
            <w:tcW w:w="1440" w:type="dxa"/>
            <w:noWrap/>
            <w:hideMark/>
          </w:tcPr>
          <w:p w:rsidR="00E041DA" w:rsidRPr="006054CC" w:rsidP="00E041DA" w14:paraId="69AE094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Chanson Yang</w:t>
            </w:r>
          </w:p>
        </w:tc>
        <w:tc>
          <w:tcPr>
            <w:tcW w:w="1530" w:type="dxa"/>
            <w:noWrap/>
            <w:hideMark/>
          </w:tcPr>
          <w:p w:rsidR="00E041DA" w:rsidRPr="006054CC" w:rsidP="00E041DA" w14:paraId="54A69BE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Radiant</w:t>
            </w:r>
          </w:p>
        </w:tc>
        <w:tc>
          <w:tcPr>
            <w:tcW w:w="1440" w:type="dxa"/>
            <w:noWrap/>
            <w:hideMark/>
          </w:tcPr>
          <w:p w:rsidR="00E041DA" w:rsidRPr="006054CC" w:rsidP="00E041DA" w14:paraId="16B7756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RAD</w:t>
            </w:r>
          </w:p>
        </w:tc>
        <w:tc>
          <w:tcPr>
            <w:tcW w:w="1890" w:type="dxa"/>
          </w:tcPr>
          <w:p w:rsidR="00E041DA" w:rsidRPr="006054CC" w:rsidP="00E041DA" w14:paraId="171F1E99" w14:textId="77777777">
            <w:pPr>
              <w:jc w:val="center"/>
              <w:rPr>
                <w:rFonts w:ascii="Arial" w:eastAsia="Times New Roman" w:hAnsi="Arial" w:cs="Arial"/>
                <w:color w:val="000000"/>
                <w:sz w:val="20"/>
                <w:szCs w:val="20"/>
              </w:rPr>
            </w:pPr>
            <w:r w:rsidRPr="00611CA0">
              <w:rPr>
                <w:rFonts w:ascii="Arial" w:eastAsia="Times New Roman" w:hAnsi="Arial" w:cs="Arial"/>
                <w:color w:val="000000"/>
                <w:sz w:val="20"/>
                <w:szCs w:val="20"/>
              </w:rPr>
              <w:t>NRC-2019-0062-0461</w:t>
            </w:r>
          </w:p>
        </w:tc>
        <w:tc>
          <w:tcPr>
            <w:tcW w:w="1615" w:type="dxa"/>
            <w:noWrap/>
            <w:hideMark/>
          </w:tcPr>
          <w:p w:rsidR="00E041DA" w:rsidRPr="006054CC" w:rsidP="00E041DA" w14:paraId="1FE59FF0"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ML25069A175</w:t>
            </w:r>
          </w:p>
        </w:tc>
      </w:tr>
      <w:tr w14:paraId="619A1563"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843FE5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149</w:t>
            </w:r>
          </w:p>
        </w:tc>
        <w:tc>
          <w:tcPr>
            <w:tcW w:w="1440" w:type="dxa"/>
            <w:noWrap/>
            <w:hideMark/>
          </w:tcPr>
          <w:p w:rsidR="00E041DA" w:rsidRPr="006054CC" w:rsidP="00E041DA" w14:paraId="13819A3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Joseph Hunt</w:t>
            </w:r>
          </w:p>
        </w:tc>
        <w:tc>
          <w:tcPr>
            <w:tcW w:w="1530" w:type="dxa"/>
            <w:noWrap/>
            <w:hideMark/>
          </w:tcPr>
          <w:p w:rsidR="00E041DA" w:rsidRPr="006054CC" w:rsidP="00E041DA" w14:paraId="6E05E97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73D9C6D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JH</w:t>
            </w:r>
          </w:p>
        </w:tc>
        <w:tc>
          <w:tcPr>
            <w:tcW w:w="1890" w:type="dxa"/>
          </w:tcPr>
          <w:p w:rsidR="00E041DA" w:rsidRPr="006054CC" w:rsidP="00E041DA" w14:paraId="04AD9C25" w14:textId="77777777">
            <w:pPr>
              <w:jc w:val="center"/>
              <w:rPr>
                <w:rFonts w:ascii="Arial" w:eastAsia="Times New Roman" w:hAnsi="Arial" w:cs="Arial"/>
                <w:color w:val="000000"/>
                <w:sz w:val="20"/>
                <w:szCs w:val="20"/>
              </w:rPr>
            </w:pPr>
            <w:r w:rsidRPr="00E832FF">
              <w:rPr>
                <w:rFonts w:ascii="Arial" w:hAnsi="Arial" w:cs="Arial"/>
                <w:sz w:val="20"/>
                <w:szCs w:val="20"/>
              </w:rPr>
              <w:t>NRC-2019-0062-0464</w:t>
            </w:r>
          </w:p>
        </w:tc>
        <w:tc>
          <w:tcPr>
            <w:tcW w:w="1615" w:type="dxa"/>
            <w:noWrap/>
            <w:hideMark/>
          </w:tcPr>
          <w:p w:rsidR="00E041DA" w:rsidRPr="006054CC" w:rsidP="00E041DA" w14:paraId="134BE4E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ML25069A176</w:t>
            </w:r>
          </w:p>
        </w:tc>
      </w:tr>
      <w:tr w14:paraId="22AAFA65"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6F336721"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150</w:t>
            </w:r>
          </w:p>
        </w:tc>
        <w:tc>
          <w:tcPr>
            <w:tcW w:w="1440" w:type="dxa"/>
            <w:noWrap/>
            <w:hideMark/>
          </w:tcPr>
          <w:p w:rsidR="00E041DA" w:rsidRPr="006054CC" w:rsidP="00E041DA" w14:paraId="220859F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Arden Rowell</w:t>
            </w:r>
          </w:p>
        </w:tc>
        <w:tc>
          <w:tcPr>
            <w:tcW w:w="1530" w:type="dxa"/>
            <w:noWrap/>
            <w:hideMark/>
          </w:tcPr>
          <w:p w:rsidR="00E041DA" w:rsidRPr="006054CC" w:rsidP="00E041DA" w14:paraId="3570580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University of Illinois</w:t>
            </w:r>
          </w:p>
        </w:tc>
        <w:tc>
          <w:tcPr>
            <w:tcW w:w="1440" w:type="dxa"/>
            <w:noWrap/>
            <w:hideMark/>
          </w:tcPr>
          <w:p w:rsidR="00E041DA" w:rsidRPr="006054CC" w:rsidP="00E041DA" w14:paraId="31EE1C0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UL</w:t>
            </w:r>
          </w:p>
        </w:tc>
        <w:tc>
          <w:tcPr>
            <w:tcW w:w="1890" w:type="dxa"/>
          </w:tcPr>
          <w:p w:rsidR="00E041DA" w:rsidRPr="006054CC" w:rsidP="00E041DA" w14:paraId="16B6DCD7" w14:textId="77777777">
            <w:pPr>
              <w:jc w:val="center"/>
              <w:rPr>
                <w:rFonts w:ascii="Arial" w:eastAsia="Times New Roman" w:hAnsi="Arial" w:cs="Arial"/>
                <w:color w:val="000000"/>
                <w:sz w:val="20"/>
                <w:szCs w:val="20"/>
              </w:rPr>
            </w:pPr>
            <w:r w:rsidRPr="00B60F4D">
              <w:rPr>
                <w:rFonts w:ascii="Arial" w:eastAsia="Times New Roman" w:hAnsi="Arial" w:cs="Arial"/>
                <w:color w:val="000000"/>
                <w:sz w:val="20"/>
                <w:szCs w:val="20"/>
              </w:rPr>
              <w:t>NRC-2019-0062-0462</w:t>
            </w:r>
          </w:p>
        </w:tc>
        <w:tc>
          <w:tcPr>
            <w:tcW w:w="1615" w:type="dxa"/>
            <w:noWrap/>
            <w:hideMark/>
          </w:tcPr>
          <w:p w:rsidR="00E041DA" w:rsidRPr="006054CC" w:rsidP="00E041DA" w14:paraId="0042EDD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ML25069A177</w:t>
            </w:r>
          </w:p>
        </w:tc>
      </w:tr>
      <w:tr w14:paraId="0C3FD921"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1454AB6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151</w:t>
            </w:r>
          </w:p>
        </w:tc>
        <w:tc>
          <w:tcPr>
            <w:tcW w:w="1440" w:type="dxa"/>
            <w:noWrap/>
            <w:hideMark/>
          </w:tcPr>
          <w:p w:rsidR="00E041DA" w:rsidRPr="006054CC" w:rsidP="00E041DA" w14:paraId="0F3FF41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Adam Stein</w:t>
            </w:r>
          </w:p>
        </w:tc>
        <w:tc>
          <w:tcPr>
            <w:tcW w:w="1530" w:type="dxa"/>
            <w:noWrap/>
            <w:hideMark/>
          </w:tcPr>
          <w:p w:rsidR="00E041DA" w:rsidRPr="006054CC" w:rsidP="00E041DA" w14:paraId="2385061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Breakthrough Institute</w:t>
            </w:r>
          </w:p>
        </w:tc>
        <w:tc>
          <w:tcPr>
            <w:tcW w:w="1440" w:type="dxa"/>
            <w:noWrap/>
            <w:hideMark/>
          </w:tcPr>
          <w:p w:rsidR="00E041DA" w:rsidRPr="006054CC" w:rsidP="00E041DA" w14:paraId="4148002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BI</w:t>
            </w:r>
            <w:r>
              <w:rPr>
                <w:rFonts w:ascii="Arial" w:eastAsia="Times New Roman" w:hAnsi="Arial" w:cs="Arial"/>
                <w:color w:val="000000"/>
                <w:sz w:val="20"/>
                <w:szCs w:val="20"/>
              </w:rPr>
              <w:t>1</w:t>
            </w:r>
          </w:p>
        </w:tc>
        <w:tc>
          <w:tcPr>
            <w:tcW w:w="1890" w:type="dxa"/>
          </w:tcPr>
          <w:p w:rsidR="00E041DA" w:rsidRPr="006054CC" w:rsidP="00E041DA" w14:paraId="023B3A9B" w14:textId="77777777">
            <w:pPr>
              <w:jc w:val="center"/>
              <w:rPr>
                <w:rFonts w:ascii="Arial" w:eastAsia="Times New Roman" w:hAnsi="Arial" w:cs="Arial"/>
                <w:color w:val="000000"/>
                <w:sz w:val="20"/>
                <w:szCs w:val="20"/>
              </w:rPr>
            </w:pPr>
            <w:r w:rsidRPr="004C1A5D">
              <w:rPr>
                <w:rFonts w:ascii="Arial" w:eastAsia="Times New Roman" w:hAnsi="Arial" w:cs="Arial"/>
                <w:color w:val="000000"/>
                <w:sz w:val="20"/>
                <w:szCs w:val="20"/>
              </w:rPr>
              <w:t>NRC-2019-0062-0463</w:t>
            </w:r>
          </w:p>
        </w:tc>
        <w:tc>
          <w:tcPr>
            <w:tcW w:w="1615" w:type="dxa"/>
            <w:noWrap/>
            <w:hideMark/>
          </w:tcPr>
          <w:p w:rsidR="00E041DA" w:rsidRPr="006054CC" w:rsidP="00E041DA" w14:paraId="3543FCA3"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ML25069A179</w:t>
            </w:r>
          </w:p>
        </w:tc>
      </w:tr>
      <w:tr w14:paraId="2C25F5D2"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08797E4A"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152</w:t>
            </w:r>
          </w:p>
        </w:tc>
        <w:tc>
          <w:tcPr>
            <w:tcW w:w="1440" w:type="dxa"/>
            <w:noWrap/>
            <w:hideMark/>
          </w:tcPr>
          <w:p w:rsidR="00E041DA" w:rsidRPr="006054CC" w:rsidP="00E041DA" w14:paraId="37EE924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Michael D. DiLorenzo</w:t>
            </w:r>
          </w:p>
        </w:tc>
        <w:tc>
          <w:tcPr>
            <w:tcW w:w="1530" w:type="dxa"/>
            <w:noWrap/>
            <w:hideMark/>
          </w:tcPr>
          <w:p w:rsidR="00E041DA" w:rsidRPr="006054CC" w:rsidP="00E041DA" w14:paraId="566FA7B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Arizona Public Service</w:t>
            </w:r>
          </w:p>
        </w:tc>
        <w:tc>
          <w:tcPr>
            <w:tcW w:w="1440" w:type="dxa"/>
            <w:noWrap/>
            <w:hideMark/>
          </w:tcPr>
          <w:p w:rsidR="00E041DA" w:rsidRPr="006054CC" w:rsidP="00E041DA" w14:paraId="14829245"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APS</w:t>
            </w:r>
          </w:p>
        </w:tc>
        <w:tc>
          <w:tcPr>
            <w:tcW w:w="1890" w:type="dxa"/>
          </w:tcPr>
          <w:p w:rsidR="00E041DA" w:rsidRPr="006054CC" w:rsidP="00E041DA" w14:paraId="703212AB" w14:textId="77777777">
            <w:pPr>
              <w:jc w:val="center"/>
              <w:rPr>
                <w:rFonts w:ascii="Arial" w:eastAsia="Times New Roman" w:hAnsi="Arial" w:cs="Arial"/>
                <w:color w:val="000000"/>
                <w:sz w:val="20"/>
                <w:szCs w:val="20"/>
              </w:rPr>
            </w:pPr>
            <w:r w:rsidRPr="00E832FF">
              <w:rPr>
                <w:rFonts w:ascii="Arial" w:hAnsi="Arial" w:cs="Arial"/>
                <w:sz w:val="20"/>
                <w:szCs w:val="20"/>
              </w:rPr>
              <w:t>NRC-2019-0062-050</w:t>
            </w:r>
            <w:r>
              <w:rPr>
                <w:rFonts w:ascii="Arial" w:hAnsi="Arial" w:cs="Arial"/>
                <w:sz w:val="20"/>
                <w:szCs w:val="20"/>
              </w:rPr>
              <w:t>0</w:t>
            </w:r>
          </w:p>
        </w:tc>
        <w:tc>
          <w:tcPr>
            <w:tcW w:w="1615" w:type="dxa"/>
            <w:noWrap/>
            <w:hideMark/>
          </w:tcPr>
          <w:p w:rsidR="00E041DA" w:rsidRPr="006054CC" w:rsidP="00E041DA" w14:paraId="4C030D6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ML25072A162</w:t>
            </w:r>
          </w:p>
        </w:tc>
      </w:tr>
      <w:tr w14:paraId="3A9699A9"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4754451E"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153</w:t>
            </w:r>
          </w:p>
        </w:tc>
        <w:tc>
          <w:tcPr>
            <w:tcW w:w="1440" w:type="dxa"/>
            <w:noWrap/>
            <w:hideMark/>
          </w:tcPr>
          <w:p w:rsidR="00E041DA" w:rsidRPr="006054CC" w:rsidP="00E041DA" w14:paraId="06EC62D9"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Anonymous</w:t>
            </w:r>
          </w:p>
        </w:tc>
        <w:tc>
          <w:tcPr>
            <w:tcW w:w="1530" w:type="dxa"/>
            <w:noWrap/>
            <w:hideMark/>
          </w:tcPr>
          <w:p w:rsidR="00E041DA" w:rsidRPr="006054CC" w:rsidP="00E041DA" w14:paraId="3598D53B"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Not Included</w:t>
            </w:r>
          </w:p>
        </w:tc>
        <w:tc>
          <w:tcPr>
            <w:tcW w:w="1440" w:type="dxa"/>
            <w:noWrap/>
            <w:hideMark/>
          </w:tcPr>
          <w:p w:rsidR="00E041DA" w:rsidRPr="006054CC" w:rsidP="00E041DA" w14:paraId="43390D54"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AN13</w:t>
            </w:r>
          </w:p>
        </w:tc>
        <w:tc>
          <w:tcPr>
            <w:tcW w:w="1890" w:type="dxa"/>
          </w:tcPr>
          <w:p w:rsidR="00E041DA" w:rsidRPr="006054CC" w:rsidP="00E041DA" w14:paraId="7EC121A2" w14:textId="77777777">
            <w:pPr>
              <w:jc w:val="center"/>
              <w:rPr>
                <w:rFonts w:ascii="Arial" w:eastAsia="Times New Roman" w:hAnsi="Arial" w:cs="Arial"/>
                <w:color w:val="000000"/>
                <w:sz w:val="20"/>
                <w:szCs w:val="20"/>
              </w:rPr>
            </w:pPr>
            <w:r w:rsidRPr="00E832FF">
              <w:rPr>
                <w:rFonts w:ascii="Arial" w:hAnsi="Arial" w:cs="Arial"/>
                <w:sz w:val="20"/>
                <w:szCs w:val="20"/>
              </w:rPr>
              <w:t>NRC-2019-0062-0</w:t>
            </w:r>
            <w:r>
              <w:rPr>
                <w:rFonts w:ascii="Arial" w:hAnsi="Arial" w:cs="Arial"/>
                <w:sz w:val="20"/>
                <w:szCs w:val="20"/>
              </w:rPr>
              <w:t>501</w:t>
            </w:r>
          </w:p>
        </w:tc>
        <w:tc>
          <w:tcPr>
            <w:tcW w:w="1615" w:type="dxa"/>
            <w:noWrap/>
            <w:hideMark/>
          </w:tcPr>
          <w:p w:rsidR="00E041DA" w:rsidRPr="006054CC" w:rsidP="00E041DA" w14:paraId="5234470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ML25072A163</w:t>
            </w:r>
          </w:p>
        </w:tc>
      </w:tr>
      <w:tr w14:paraId="2ECCB5CF" w14:textId="77777777" w:rsidTr="00094CD0">
        <w:tblPrEx>
          <w:tblW w:w="9350" w:type="dxa"/>
          <w:jc w:val="center"/>
          <w:tblLayout w:type="fixed"/>
          <w:tblLook w:val="04A0"/>
        </w:tblPrEx>
        <w:trPr>
          <w:trHeight w:val="290"/>
          <w:jc w:val="center"/>
        </w:trPr>
        <w:tc>
          <w:tcPr>
            <w:tcW w:w="1435" w:type="dxa"/>
            <w:noWrap/>
            <w:hideMark/>
          </w:tcPr>
          <w:p w:rsidR="00E041DA" w:rsidRPr="006054CC" w:rsidP="00E041DA" w14:paraId="3E91BD5D"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154</w:t>
            </w:r>
          </w:p>
        </w:tc>
        <w:tc>
          <w:tcPr>
            <w:tcW w:w="1440" w:type="dxa"/>
            <w:noWrap/>
            <w:hideMark/>
          </w:tcPr>
          <w:p w:rsidR="00E041DA" w:rsidRPr="006054CC" w:rsidP="00E041DA" w14:paraId="781A71DF"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Herschel Specter</w:t>
            </w:r>
          </w:p>
        </w:tc>
        <w:tc>
          <w:tcPr>
            <w:tcW w:w="1530" w:type="dxa"/>
            <w:noWrap/>
            <w:hideMark/>
          </w:tcPr>
          <w:p w:rsidR="00E041DA" w:rsidRPr="006054CC" w:rsidP="00E041DA" w14:paraId="298F771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Micro-Utilities Inc</w:t>
            </w:r>
          </w:p>
        </w:tc>
        <w:tc>
          <w:tcPr>
            <w:tcW w:w="1440" w:type="dxa"/>
            <w:noWrap/>
            <w:hideMark/>
          </w:tcPr>
          <w:p w:rsidR="00E041DA" w:rsidRPr="006054CC" w:rsidP="00E041DA" w14:paraId="7FD88997" w14:textId="77777777">
            <w:pPr>
              <w:jc w:val="center"/>
              <w:rPr>
                <w:rFonts w:ascii="Arial" w:eastAsia="Times New Roman" w:hAnsi="Arial" w:cs="Arial"/>
                <w:color w:val="000000"/>
                <w:sz w:val="20"/>
                <w:szCs w:val="20"/>
              </w:rPr>
            </w:pPr>
            <w:r w:rsidRPr="006054CC">
              <w:rPr>
                <w:rFonts w:ascii="Arial" w:eastAsia="Times New Roman" w:hAnsi="Arial" w:cs="Arial"/>
                <w:color w:val="000000"/>
                <w:sz w:val="20"/>
                <w:szCs w:val="20"/>
              </w:rPr>
              <w:t>MU3</w:t>
            </w:r>
          </w:p>
        </w:tc>
        <w:tc>
          <w:tcPr>
            <w:tcW w:w="1890" w:type="dxa"/>
          </w:tcPr>
          <w:p w:rsidR="00E041DA" w:rsidRPr="006054CC" w:rsidP="00E041DA" w14:paraId="312356B3" w14:textId="77777777">
            <w:pPr>
              <w:jc w:val="center"/>
              <w:rPr>
                <w:rFonts w:ascii="Arial" w:eastAsia="Times New Roman" w:hAnsi="Arial" w:cs="Arial"/>
                <w:color w:val="000000"/>
                <w:sz w:val="20"/>
                <w:szCs w:val="20"/>
              </w:rPr>
            </w:pPr>
            <w:r w:rsidRPr="002D2371">
              <w:rPr>
                <w:rFonts w:ascii="Arial" w:eastAsia="Times New Roman" w:hAnsi="Arial" w:cs="Arial"/>
                <w:color w:val="000000"/>
                <w:sz w:val="20"/>
                <w:szCs w:val="20"/>
              </w:rPr>
              <w:t>NRC-2019-0062-0502</w:t>
            </w:r>
          </w:p>
        </w:tc>
        <w:tc>
          <w:tcPr>
            <w:tcW w:w="1615" w:type="dxa"/>
            <w:noWrap/>
            <w:hideMark/>
          </w:tcPr>
          <w:p w:rsidR="00E041DA" w:rsidRPr="006054CC" w:rsidP="00E041DA" w14:paraId="33C1D9C9"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ML25094A080</w:t>
            </w:r>
            <w:r w:rsidRPr="006054CC">
              <w:rPr>
                <w:rFonts w:ascii="Arial" w:eastAsia="Times New Roman" w:hAnsi="Arial" w:cs="Arial"/>
                <w:color w:val="000000"/>
                <w:sz w:val="20"/>
                <w:szCs w:val="20"/>
              </w:rPr>
              <w:t> </w:t>
            </w:r>
          </w:p>
        </w:tc>
      </w:tr>
      <w:tr w14:paraId="6F9C2022" w14:textId="77777777" w:rsidTr="00094CD0">
        <w:tblPrEx>
          <w:tblW w:w="9350" w:type="dxa"/>
          <w:jc w:val="center"/>
          <w:tblLayout w:type="fixed"/>
          <w:tblLook w:val="04A0"/>
        </w:tblPrEx>
        <w:trPr>
          <w:trHeight w:val="290"/>
          <w:jc w:val="center"/>
        </w:trPr>
        <w:tc>
          <w:tcPr>
            <w:tcW w:w="1435" w:type="dxa"/>
            <w:noWrap/>
          </w:tcPr>
          <w:p w:rsidR="00E041DA" w:rsidRPr="006054CC" w:rsidP="00E041DA" w14:paraId="7E678C1B"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APSR-003*</w:t>
            </w:r>
          </w:p>
        </w:tc>
        <w:tc>
          <w:tcPr>
            <w:tcW w:w="1440" w:type="dxa"/>
            <w:noWrap/>
          </w:tcPr>
          <w:p w:rsidR="00E041DA" w:rsidRPr="006054CC" w:rsidP="00E041DA" w14:paraId="6576D3B4" w14:textId="77777777">
            <w:pPr>
              <w:jc w:val="center"/>
              <w:rPr>
                <w:rFonts w:ascii="Arial" w:eastAsia="Times New Roman" w:hAnsi="Arial" w:cs="Arial"/>
                <w:color w:val="000000"/>
                <w:sz w:val="20"/>
                <w:szCs w:val="20"/>
              </w:rPr>
            </w:pPr>
            <w:r w:rsidRPr="000E66D7">
              <w:rPr>
                <w:rFonts w:ascii="Arial" w:eastAsia="Times New Roman" w:hAnsi="Arial" w:cs="Arial"/>
                <w:color w:val="000000"/>
                <w:sz w:val="20"/>
                <w:szCs w:val="20"/>
              </w:rPr>
              <w:t>Anthony Schoedel</w:t>
            </w:r>
          </w:p>
        </w:tc>
        <w:tc>
          <w:tcPr>
            <w:tcW w:w="1530" w:type="dxa"/>
            <w:noWrap/>
          </w:tcPr>
          <w:p w:rsidR="00E041DA" w:rsidRPr="006054CC" w:rsidP="00E041DA" w14:paraId="1AA48FD0" w14:textId="77777777">
            <w:pPr>
              <w:jc w:val="center"/>
              <w:rPr>
                <w:rFonts w:ascii="Arial" w:eastAsia="Times New Roman" w:hAnsi="Arial" w:cs="Arial"/>
                <w:color w:val="000000"/>
                <w:sz w:val="20"/>
                <w:szCs w:val="20"/>
              </w:rPr>
            </w:pPr>
            <w:r w:rsidRPr="004D6662">
              <w:rPr>
                <w:rFonts w:ascii="Arial" w:eastAsia="Times New Roman" w:hAnsi="Arial" w:cs="Arial"/>
                <w:color w:val="000000"/>
                <w:sz w:val="20"/>
                <w:szCs w:val="20"/>
              </w:rPr>
              <w:t>Westinghouse Electric Company</w:t>
            </w:r>
          </w:p>
        </w:tc>
        <w:tc>
          <w:tcPr>
            <w:tcW w:w="1440" w:type="dxa"/>
            <w:noWrap/>
          </w:tcPr>
          <w:p w:rsidR="00E041DA" w:rsidRPr="006054CC" w:rsidP="00E041DA" w14:paraId="362DD5DC"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WEST2</w:t>
            </w:r>
          </w:p>
        </w:tc>
        <w:tc>
          <w:tcPr>
            <w:tcW w:w="1890" w:type="dxa"/>
          </w:tcPr>
          <w:p w:rsidR="00E041DA" w:rsidRPr="004D6662" w:rsidP="00E041DA" w14:paraId="177234B6" w14:textId="77777777">
            <w:pPr>
              <w:jc w:val="center"/>
              <w:rPr>
                <w:rFonts w:ascii="Arial" w:eastAsia="Times New Roman" w:hAnsi="Arial" w:cs="Arial"/>
                <w:color w:val="000000"/>
                <w:sz w:val="20"/>
                <w:szCs w:val="20"/>
              </w:rPr>
            </w:pPr>
            <w:r w:rsidRPr="00C428B4">
              <w:rPr>
                <w:rFonts w:ascii="Arial" w:eastAsia="Times New Roman" w:hAnsi="Arial" w:cs="Arial"/>
                <w:color w:val="000000"/>
                <w:sz w:val="20"/>
                <w:szCs w:val="20"/>
              </w:rPr>
              <w:t>NRC-2017-0227-0045</w:t>
            </w:r>
          </w:p>
        </w:tc>
        <w:tc>
          <w:tcPr>
            <w:tcW w:w="1615" w:type="dxa"/>
            <w:noWrap/>
          </w:tcPr>
          <w:p w:rsidR="00E041DA" w:rsidRPr="006054CC" w:rsidP="00E041DA" w14:paraId="135CF127" w14:textId="77777777">
            <w:pPr>
              <w:jc w:val="center"/>
              <w:rPr>
                <w:rFonts w:ascii="Arial" w:eastAsia="Times New Roman" w:hAnsi="Arial" w:cs="Arial"/>
                <w:color w:val="000000"/>
                <w:sz w:val="20"/>
                <w:szCs w:val="20"/>
              </w:rPr>
            </w:pPr>
            <w:r w:rsidRPr="004D6662">
              <w:rPr>
                <w:rFonts w:ascii="Arial" w:eastAsia="Times New Roman" w:hAnsi="Arial" w:cs="Arial"/>
                <w:color w:val="000000"/>
                <w:sz w:val="20"/>
                <w:szCs w:val="20"/>
              </w:rPr>
              <w:t>ML24295A034</w:t>
            </w:r>
          </w:p>
        </w:tc>
      </w:tr>
      <w:tr w14:paraId="4FC53010" w14:textId="77777777" w:rsidTr="00094CD0">
        <w:tblPrEx>
          <w:tblW w:w="9350" w:type="dxa"/>
          <w:jc w:val="center"/>
          <w:tblLayout w:type="fixed"/>
          <w:tblLook w:val="04A0"/>
        </w:tblPrEx>
        <w:trPr>
          <w:trHeight w:val="290"/>
          <w:jc w:val="center"/>
        </w:trPr>
        <w:tc>
          <w:tcPr>
            <w:tcW w:w="1435" w:type="dxa"/>
            <w:noWrap/>
          </w:tcPr>
          <w:p w:rsidR="00984413" w:rsidP="00E041DA" w14:paraId="5389B6AE"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w:t>
            </w:r>
            <w:r>
              <w:rPr>
                <w:rFonts w:ascii="Arial" w:eastAsia="Times New Roman" w:hAnsi="Arial" w:cs="Arial"/>
                <w:color w:val="000000"/>
                <w:sz w:val="20"/>
                <w:szCs w:val="20"/>
              </w:rPr>
              <w:noBreakHyphen/>
              <w:t>004</w:t>
            </w:r>
            <w:r w:rsidR="00D76929">
              <w:rPr>
                <w:rFonts w:ascii="Arial" w:eastAsia="Times New Roman" w:hAnsi="Arial" w:cs="Arial"/>
                <w:color w:val="000000"/>
                <w:sz w:val="20"/>
                <w:szCs w:val="20"/>
              </w:rPr>
              <w:t>*</w:t>
            </w:r>
          </w:p>
        </w:tc>
        <w:tc>
          <w:tcPr>
            <w:tcW w:w="1440" w:type="dxa"/>
            <w:noWrap/>
          </w:tcPr>
          <w:p w:rsidR="00984413" w:rsidRPr="00EC0BB0" w:rsidP="00E041DA" w14:paraId="653214A4"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Charlie</w:t>
            </w:r>
          </w:p>
        </w:tc>
        <w:tc>
          <w:tcPr>
            <w:tcW w:w="1530" w:type="dxa"/>
            <w:noWrap/>
          </w:tcPr>
          <w:p w:rsidR="00984413" w:rsidP="00E041DA" w14:paraId="4D4EB2D7"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Blue Energy</w:t>
            </w:r>
          </w:p>
        </w:tc>
        <w:tc>
          <w:tcPr>
            <w:tcW w:w="1440" w:type="dxa"/>
            <w:noWrap/>
          </w:tcPr>
          <w:p w:rsidR="00984413" w:rsidP="00E041DA" w14:paraId="5F2FC516"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BE1</w:t>
            </w:r>
          </w:p>
        </w:tc>
        <w:tc>
          <w:tcPr>
            <w:tcW w:w="1890" w:type="dxa"/>
          </w:tcPr>
          <w:p w:rsidR="00984413" w:rsidRPr="00C428B4" w:rsidP="00E041DA" w14:paraId="46A8B4CF"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NRC</w:t>
            </w:r>
            <w:r w:rsidR="00DD3172">
              <w:rPr>
                <w:rFonts w:ascii="Arial" w:eastAsia="Times New Roman" w:hAnsi="Arial" w:cs="Arial"/>
                <w:color w:val="000000"/>
                <w:sz w:val="20"/>
                <w:szCs w:val="20"/>
              </w:rPr>
              <w:t>-</w:t>
            </w:r>
            <w:r>
              <w:rPr>
                <w:rFonts w:ascii="Arial" w:eastAsia="Times New Roman" w:hAnsi="Arial" w:cs="Arial"/>
                <w:color w:val="000000"/>
                <w:sz w:val="20"/>
                <w:szCs w:val="20"/>
              </w:rPr>
              <w:t>2017</w:t>
            </w:r>
            <w:r w:rsidR="00DD3172">
              <w:rPr>
                <w:rFonts w:ascii="Arial" w:eastAsia="Times New Roman" w:hAnsi="Arial" w:cs="Arial"/>
                <w:color w:val="000000"/>
                <w:sz w:val="20"/>
                <w:szCs w:val="20"/>
              </w:rPr>
              <w:t>-</w:t>
            </w:r>
            <w:r>
              <w:rPr>
                <w:rFonts w:ascii="Arial" w:eastAsia="Times New Roman" w:hAnsi="Arial" w:cs="Arial"/>
                <w:color w:val="000000"/>
                <w:sz w:val="20"/>
                <w:szCs w:val="20"/>
              </w:rPr>
              <w:t>0227</w:t>
            </w:r>
            <w:r w:rsidR="00811CC2">
              <w:rPr>
                <w:rFonts w:ascii="Arial" w:eastAsia="Times New Roman" w:hAnsi="Arial" w:cs="Arial"/>
                <w:color w:val="000000"/>
                <w:sz w:val="20"/>
                <w:szCs w:val="20"/>
              </w:rPr>
              <w:t>-</w:t>
            </w:r>
            <w:r>
              <w:rPr>
                <w:rFonts w:ascii="Arial" w:eastAsia="Times New Roman" w:hAnsi="Arial" w:cs="Arial"/>
                <w:color w:val="000000"/>
                <w:sz w:val="20"/>
                <w:szCs w:val="20"/>
              </w:rPr>
              <w:t>0046</w:t>
            </w:r>
          </w:p>
        </w:tc>
        <w:tc>
          <w:tcPr>
            <w:tcW w:w="1615" w:type="dxa"/>
            <w:noWrap/>
          </w:tcPr>
          <w:p w:rsidR="00984413" w:rsidRPr="00EC0BB0" w:rsidP="00E041DA" w14:paraId="512D3E8B"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ML24</w:t>
            </w:r>
            <w:r w:rsidR="00776FE5">
              <w:rPr>
                <w:rFonts w:ascii="Arial" w:eastAsia="Times New Roman" w:hAnsi="Arial" w:cs="Arial"/>
                <w:color w:val="000000"/>
                <w:sz w:val="20"/>
                <w:szCs w:val="20"/>
              </w:rPr>
              <w:t>295A035</w:t>
            </w:r>
          </w:p>
        </w:tc>
      </w:tr>
      <w:tr w14:paraId="7AC681D7" w14:textId="77777777" w:rsidTr="00094CD0">
        <w:tblPrEx>
          <w:tblW w:w="9350" w:type="dxa"/>
          <w:jc w:val="center"/>
          <w:tblLayout w:type="fixed"/>
          <w:tblLook w:val="04A0"/>
        </w:tblPrEx>
        <w:trPr>
          <w:trHeight w:val="290"/>
          <w:jc w:val="center"/>
        </w:trPr>
        <w:tc>
          <w:tcPr>
            <w:tcW w:w="1435" w:type="dxa"/>
            <w:noWrap/>
          </w:tcPr>
          <w:p w:rsidR="00E041DA" w:rsidP="00E041DA" w14:paraId="5AD1C049"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APSR-006*</w:t>
            </w:r>
          </w:p>
        </w:tc>
        <w:tc>
          <w:tcPr>
            <w:tcW w:w="1440" w:type="dxa"/>
            <w:noWrap/>
          </w:tcPr>
          <w:p w:rsidR="00E041DA" w:rsidRPr="000E66D7" w:rsidP="00E041DA" w14:paraId="3BCA8EA1" w14:textId="77777777">
            <w:pPr>
              <w:jc w:val="center"/>
              <w:rPr>
                <w:rFonts w:ascii="Arial" w:eastAsia="Times New Roman" w:hAnsi="Arial" w:cs="Arial"/>
                <w:color w:val="000000"/>
                <w:sz w:val="20"/>
                <w:szCs w:val="20"/>
              </w:rPr>
            </w:pPr>
            <w:r w:rsidRPr="00EC0BB0">
              <w:rPr>
                <w:rFonts w:ascii="Arial" w:eastAsia="Times New Roman" w:hAnsi="Arial" w:cs="Arial"/>
                <w:color w:val="000000"/>
                <w:sz w:val="20"/>
                <w:szCs w:val="20"/>
              </w:rPr>
              <w:t xml:space="preserve">Christopher P. </w:t>
            </w:r>
            <w:r w:rsidRPr="00EC0BB0">
              <w:rPr>
                <w:rFonts w:ascii="Arial" w:eastAsia="Times New Roman" w:hAnsi="Arial" w:cs="Arial"/>
                <w:color w:val="000000"/>
                <w:sz w:val="20"/>
                <w:szCs w:val="20"/>
              </w:rPr>
              <w:t>Chwasz</w:t>
            </w:r>
          </w:p>
        </w:tc>
        <w:tc>
          <w:tcPr>
            <w:tcW w:w="1530" w:type="dxa"/>
            <w:noWrap/>
          </w:tcPr>
          <w:p w:rsidR="00E041DA" w:rsidRPr="004D6662" w:rsidP="00E041DA" w14:paraId="64CE95B8"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w:t>
            </w:r>
            <w:r w:rsidRPr="00EC0BB0">
              <w:rPr>
                <w:rFonts w:ascii="Arial" w:eastAsia="Times New Roman" w:hAnsi="Arial" w:cs="Arial"/>
                <w:color w:val="000000"/>
                <w:sz w:val="20"/>
                <w:szCs w:val="20"/>
              </w:rPr>
              <w:t>dvanced Reactor Regulatory Coordination and Integration Group</w:t>
            </w:r>
          </w:p>
        </w:tc>
        <w:tc>
          <w:tcPr>
            <w:tcW w:w="1440" w:type="dxa"/>
            <w:noWrap/>
          </w:tcPr>
          <w:p w:rsidR="00E041DA" w:rsidRPr="006054CC" w:rsidP="00E041DA" w14:paraId="6452AEE0"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ARRC</w:t>
            </w:r>
          </w:p>
        </w:tc>
        <w:tc>
          <w:tcPr>
            <w:tcW w:w="1890" w:type="dxa"/>
          </w:tcPr>
          <w:p w:rsidR="00E041DA" w:rsidRPr="00EC0BB0" w:rsidP="00E041DA" w14:paraId="530BAAF4" w14:textId="77777777">
            <w:pPr>
              <w:jc w:val="center"/>
              <w:rPr>
                <w:rFonts w:ascii="Arial" w:eastAsia="Times New Roman" w:hAnsi="Arial" w:cs="Arial"/>
                <w:color w:val="000000"/>
                <w:sz w:val="20"/>
                <w:szCs w:val="20"/>
              </w:rPr>
            </w:pPr>
            <w:r w:rsidRPr="00C428B4">
              <w:rPr>
                <w:rFonts w:ascii="Arial" w:eastAsia="Times New Roman" w:hAnsi="Arial" w:cs="Arial"/>
                <w:color w:val="000000"/>
                <w:sz w:val="20"/>
                <w:szCs w:val="20"/>
              </w:rPr>
              <w:t>NRC-2017-0227-0052</w:t>
            </w:r>
          </w:p>
        </w:tc>
        <w:tc>
          <w:tcPr>
            <w:tcW w:w="1615" w:type="dxa"/>
            <w:noWrap/>
          </w:tcPr>
          <w:p w:rsidR="00E041DA" w:rsidRPr="004D6662" w:rsidP="00E041DA" w14:paraId="01AA3BD8" w14:textId="77777777">
            <w:pPr>
              <w:jc w:val="center"/>
              <w:rPr>
                <w:rFonts w:ascii="Arial" w:eastAsia="Times New Roman" w:hAnsi="Arial" w:cs="Arial"/>
                <w:color w:val="000000"/>
                <w:sz w:val="20"/>
                <w:szCs w:val="20"/>
              </w:rPr>
            </w:pPr>
            <w:r w:rsidRPr="00EC0BB0">
              <w:rPr>
                <w:rFonts w:ascii="Arial" w:eastAsia="Times New Roman" w:hAnsi="Arial" w:cs="Arial"/>
                <w:color w:val="000000"/>
                <w:sz w:val="20"/>
                <w:szCs w:val="20"/>
              </w:rPr>
              <w:t>ML24297A426</w:t>
            </w:r>
          </w:p>
        </w:tc>
      </w:tr>
      <w:tr w14:paraId="7B43C9EC" w14:textId="77777777" w:rsidTr="00094CD0">
        <w:tblPrEx>
          <w:tblW w:w="9350" w:type="dxa"/>
          <w:jc w:val="center"/>
          <w:tblLayout w:type="fixed"/>
          <w:tblLook w:val="04A0"/>
        </w:tblPrEx>
        <w:trPr>
          <w:trHeight w:val="290"/>
          <w:jc w:val="center"/>
        </w:trPr>
        <w:tc>
          <w:tcPr>
            <w:tcW w:w="1435" w:type="dxa"/>
            <w:noWrap/>
          </w:tcPr>
          <w:p w:rsidR="00E041DA" w:rsidRPr="006054CC" w:rsidP="00E041DA" w14:paraId="2C701409"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APSR-007*</w:t>
            </w:r>
          </w:p>
        </w:tc>
        <w:tc>
          <w:tcPr>
            <w:tcW w:w="1440" w:type="dxa"/>
            <w:noWrap/>
          </w:tcPr>
          <w:p w:rsidR="00E041DA" w:rsidRPr="006054CC" w:rsidP="00E041DA" w14:paraId="62BD771B" w14:textId="77777777">
            <w:pPr>
              <w:jc w:val="center"/>
              <w:rPr>
                <w:rFonts w:ascii="Arial" w:eastAsia="Times New Roman" w:hAnsi="Arial" w:cs="Arial"/>
                <w:color w:val="000000"/>
                <w:sz w:val="20"/>
                <w:szCs w:val="20"/>
              </w:rPr>
            </w:pPr>
            <w:r w:rsidRPr="0046711E">
              <w:rPr>
                <w:rFonts w:ascii="Arial" w:eastAsia="Times New Roman" w:hAnsi="Arial" w:cs="Arial"/>
                <w:color w:val="000000"/>
                <w:sz w:val="20"/>
                <w:szCs w:val="20"/>
              </w:rPr>
              <w:t>Mark Shaver</w:t>
            </w:r>
          </w:p>
        </w:tc>
        <w:tc>
          <w:tcPr>
            <w:tcW w:w="1530" w:type="dxa"/>
            <w:noWrap/>
          </w:tcPr>
          <w:p w:rsidR="00E041DA" w:rsidRPr="006054CC" w:rsidP="00E041DA" w14:paraId="198F3ED9" w14:textId="77777777">
            <w:pPr>
              <w:jc w:val="center"/>
              <w:rPr>
                <w:rFonts w:ascii="Arial" w:eastAsia="Times New Roman" w:hAnsi="Arial" w:cs="Arial"/>
                <w:color w:val="000000"/>
                <w:sz w:val="20"/>
                <w:szCs w:val="20"/>
              </w:rPr>
            </w:pPr>
            <w:r w:rsidRPr="00B41F1F">
              <w:rPr>
                <w:rFonts w:ascii="Arial" w:eastAsia="Times New Roman" w:hAnsi="Arial" w:cs="Arial"/>
                <w:color w:val="000000"/>
                <w:sz w:val="20"/>
                <w:szCs w:val="20"/>
              </w:rPr>
              <w:t>NuScale</w:t>
            </w:r>
            <w:r w:rsidRPr="00B41F1F">
              <w:rPr>
                <w:rFonts w:ascii="Arial" w:eastAsia="Times New Roman" w:hAnsi="Arial" w:cs="Arial"/>
                <w:color w:val="000000"/>
                <w:sz w:val="20"/>
                <w:szCs w:val="20"/>
              </w:rPr>
              <w:t xml:space="preserve"> Power</w:t>
            </w:r>
          </w:p>
        </w:tc>
        <w:tc>
          <w:tcPr>
            <w:tcW w:w="1440" w:type="dxa"/>
            <w:noWrap/>
          </w:tcPr>
          <w:p w:rsidR="00E041DA" w:rsidRPr="006054CC" w:rsidP="00E041DA" w14:paraId="276ABDDC"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NUS3</w:t>
            </w:r>
          </w:p>
        </w:tc>
        <w:tc>
          <w:tcPr>
            <w:tcW w:w="1890" w:type="dxa"/>
          </w:tcPr>
          <w:p w:rsidR="00E041DA" w:rsidRPr="00FD63D3" w:rsidP="00E041DA" w14:paraId="45026F26" w14:textId="77777777">
            <w:pPr>
              <w:jc w:val="center"/>
              <w:rPr>
                <w:rFonts w:ascii="Arial" w:eastAsia="Times New Roman" w:hAnsi="Arial" w:cs="Arial"/>
                <w:color w:val="000000"/>
                <w:sz w:val="20"/>
                <w:szCs w:val="20"/>
              </w:rPr>
            </w:pPr>
            <w:r w:rsidRPr="00C428B4">
              <w:rPr>
                <w:rFonts w:ascii="Arial" w:eastAsia="Times New Roman" w:hAnsi="Arial" w:cs="Arial"/>
                <w:color w:val="000000"/>
                <w:sz w:val="20"/>
                <w:szCs w:val="20"/>
              </w:rPr>
              <w:t>NRC-2017-0227-0047</w:t>
            </w:r>
          </w:p>
        </w:tc>
        <w:tc>
          <w:tcPr>
            <w:tcW w:w="1615" w:type="dxa"/>
            <w:noWrap/>
          </w:tcPr>
          <w:p w:rsidR="00E041DA" w:rsidRPr="006054CC" w:rsidP="00E041DA" w14:paraId="096ED090" w14:textId="77777777">
            <w:pPr>
              <w:jc w:val="center"/>
              <w:rPr>
                <w:rFonts w:ascii="Arial" w:eastAsia="Times New Roman" w:hAnsi="Arial" w:cs="Arial"/>
                <w:color w:val="000000"/>
                <w:sz w:val="20"/>
                <w:szCs w:val="20"/>
              </w:rPr>
            </w:pPr>
            <w:r w:rsidRPr="00FD63D3">
              <w:rPr>
                <w:rFonts w:ascii="Arial" w:eastAsia="Times New Roman" w:hAnsi="Arial" w:cs="Arial"/>
                <w:color w:val="000000"/>
                <w:sz w:val="20"/>
                <w:szCs w:val="20"/>
              </w:rPr>
              <w:t>ML24298A062</w:t>
            </w:r>
          </w:p>
        </w:tc>
      </w:tr>
      <w:tr w14:paraId="3917B625" w14:textId="77777777" w:rsidTr="00094CD0">
        <w:tblPrEx>
          <w:tblW w:w="9350" w:type="dxa"/>
          <w:jc w:val="center"/>
          <w:tblLayout w:type="fixed"/>
          <w:tblLook w:val="04A0"/>
        </w:tblPrEx>
        <w:trPr>
          <w:trHeight w:val="290"/>
          <w:jc w:val="center"/>
        </w:trPr>
        <w:tc>
          <w:tcPr>
            <w:tcW w:w="1435" w:type="dxa"/>
            <w:noWrap/>
          </w:tcPr>
          <w:p w:rsidR="00E041DA" w:rsidRPr="006054CC" w:rsidP="00E041DA" w14:paraId="72A669FA"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APSR-010*</w:t>
            </w:r>
          </w:p>
        </w:tc>
        <w:tc>
          <w:tcPr>
            <w:tcW w:w="1440" w:type="dxa"/>
            <w:noWrap/>
          </w:tcPr>
          <w:p w:rsidR="00E041DA" w:rsidRPr="006054CC" w:rsidP="00E041DA" w14:paraId="753C96C6" w14:textId="77777777">
            <w:pPr>
              <w:jc w:val="center"/>
              <w:rPr>
                <w:rFonts w:ascii="Arial" w:eastAsia="Times New Roman" w:hAnsi="Arial" w:cs="Arial"/>
                <w:color w:val="000000"/>
                <w:sz w:val="20"/>
                <w:szCs w:val="20"/>
              </w:rPr>
            </w:pPr>
            <w:r w:rsidRPr="00F12D85">
              <w:rPr>
                <w:rFonts w:ascii="Arial" w:eastAsia="Times New Roman" w:hAnsi="Arial" w:cs="Arial"/>
                <w:color w:val="000000"/>
                <w:sz w:val="20"/>
                <w:szCs w:val="20"/>
              </w:rPr>
              <w:t>Kati R. Austgen</w:t>
            </w:r>
          </w:p>
        </w:tc>
        <w:tc>
          <w:tcPr>
            <w:tcW w:w="1530" w:type="dxa"/>
            <w:noWrap/>
          </w:tcPr>
          <w:p w:rsidR="00E041DA" w:rsidRPr="006054CC" w:rsidP="00E041DA" w14:paraId="30712CFB" w14:textId="77777777">
            <w:pPr>
              <w:jc w:val="center"/>
              <w:rPr>
                <w:rFonts w:ascii="Arial" w:eastAsia="Times New Roman" w:hAnsi="Arial" w:cs="Arial"/>
                <w:color w:val="000000"/>
                <w:sz w:val="20"/>
                <w:szCs w:val="20"/>
              </w:rPr>
            </w:pPr>
            <w:r w:rsidRPr="00F12D85">
              <w:rPr>
                <w:rFonts w:ascii="Arial" w:eastAsia="Times New Roman" w:hAnsi="Arial" w:cs="Arial"/>
                <w:color w:val="000000"/>
                <w:sz w:val="20"/>
                <w:szCs w:val="20"/>
              </w:rPr>
              <w:t>Nuclear Energy Institute</w:t>
            </w:r>
          </w:p>
        </w:tc>
        <w:tc>
          <w:tcPr>
            <w:tcW w:w="1440" w:type="dxa"/>
            <w:noWrap/>
          </w:tcPr>
          <w:p w:rsidR="00E041DA" w:rsidRPr="006054CC" w:rsidP="00E041DA" w14:paraId="00D76730"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NEI4</w:t>
            </w:r>
          </w:p>
        </w:tc>
        <w:tc>
          <w:tcPr>
            <w:tcW w:w="1890" w:type="dxa"/>
          </w:tcPr>
          <w:p w:rsidR="00E041DA" w:rsidRPr="00F12D85" w:rsidP="00E041DA" w14:paraId="629E5349" w14:textId="77777777">
            <w:pPr>
              <w:jc w:val="center"/>
              <w:rPr>
                <w:rFonts w:ascii="Arial" w:eastAsia="Times New Roman" w:hAnsi="Arial" w:cs="Arial"/>
                <w:color w:val="000000"/>
                <w:sz w:val="20"/>
                <w:szCs w:val="20"/>
              </w:rPr>
            </w:pPr>
            <w:r w:rsidRPr="00C428B4">
              <w:rPr>
                <w:rFonts w:ascii="Arial" w:eastAsia="Times New Roman" w:hAnsi="Arial" w:cs="Arial"/>
                <w:color w:val="000000"/>
                <w:sz w:val="20"/>
                <w:szCs w:val="20"/>
              </w:rPr>
              <w:t>NRC-2017-0227-0050</w:t>
            </w:r>
          </w:p>
        </w:tc>
        <w:tc>
          <w:tcPr>
            <w:tcW w:w="1615" w:type="dxa"/>
            <w:noWrap/>
          </w:tcPr>
          <w:p w:rsidR="00E041DA" w:rsidRPr="006054CC" w:rsidP="00E041DA" w14:paraId="6EEDEFDC" w14:textId="77777777">
            <w:pPr>
              <w:jc w:val="center"/>
              <w:rPr>
                <w:rFonts w:ascii="Arial" w:eastAsia="Times New Roman" w:hAnsi="Arial" w:cs="Arial"/>
                <w:color w:val="000000"/>
                <w:sz w:val="20"/>
                <w:szCs w:val="20"/>
              </w:rPr>
            </w:pPr>
            <w:r w:rsidRPr="00F12D85">
              <w:rPr>
                <w:rFonts w:ascii="Arial" w:eastAsia="Times New Roman" w:hAnsi="Arial" w:cs="Arial"/>
                <w:color w:val="000000"/>
                <w:sz w:val="20"/>
                <w:szCs w:val="20"/>
              </w:rPr>
              <w:t>ML24298A065</w:t>
            </w:r>
          </w:p>
        </w:tc>
      </w:tr>
      <w:tr w14:paraId="728254B7" w14:textId="77777777" w:rsidTr="00094CD0">
        <w:tblPrEx>
          <w:tblW w:w="9350" w:type="dxa"/>
          <w:jc w:val="center"/>
          <w:tblLayout w:type="fixed"/>
          <w:tblLook w:val="04A0"/>
        </w:tblPrEx>
        <w:trPr>
          <w:trHeight w:val="290"/>
          <w:jc w:val="center"/>
        </w:trPr>
        <w:tc>
          <w:tcPr>
            <w:tcW w:w="1435" w:type="dxa"/>
            <w:noWrap/>
          </w:tcPr>
          <w:p w:rsidR="006F64CA" w:rsidP="00E041DA" w14:paraId="5DB38095"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w:t>
            </w:r>
            <w:r>
              <w:rPr>
                <w:rFonts w:ascii="Arial" w:eastAsia="Times New Roman" w:hAnsi="Arial" w:cs="Arial"/>
                <w:color w:val="000000"/>
                <w:sz w:val="20"/>
                <w:szCs w:val="20"/>
              </w:rPr>
              <w:noBreakHyphen/>
              <w:t>011*</w:t>
            </w:r>
          </w:p>
        </w:tc>
        <w:tc>
          <w:tcPr>
            <w:tcW w:w="1440" w:type="dxa"/>
            <w:noWrap/>
          </w:tcPr>
          <w:p w:rsidR="006F64CA" w:rsidRPr="00F12D85" w:rsidP="00E041DA" w14:paraId="4A58B77C"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Edwin Lyman</w:t>
            </w:r>
          </w:p>
        </w:tc>
        <w:tc>
          <w:tcPr>
            <w:tcW w:w="1530" w:type="dxa"/>
            <w:noWrap/>
          </w:tcPr>
          <w:p w:rsidR="006F64CA" w:rsidRPr="00F12D85" w:rsidP="00E041DA" w14:paraId="4883E457"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Union of Concerned Scientists</w:t>
            </w:r>
          </w:p>
        </w:tc>
        <w:tc>
          <w:tcPr>
            <w:tcW w:w="1440" w:type="dxa"/>
            <w:noWrap/>
          </w:tcPr>
          <w:p w:rsidR="006F64CA" w:rsidP="00E041DA" w14:paraId="06DBC4B6"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UCS1</w:t>
            </w:r>
          </w:p>
        </w:tc>
        <w:tc>
          <w:tcPr>
            <w:tcW w:w="1890" w:type="dxa"/>
          </w:tcPr>
          <w:p w:rsidR="006F64CA" w:rsidRPr="00C428B4" w:rsidP="00E041DA" w14:paraId="38162B32"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NRC</w:t>
            </w:r>
            <w:r w:rsidR="00156821">
              <w:rPr>
                <w:rFonts w:ascii="Arial" w:eastAsia="Times New Roman" w:hAnsi="Arial" w:cs="Arial"/>
                <w:color w:val="000000"/>
                <w:sz w:val="20"/>
                <w:szCs w:val="20"/>
              </w:rPr>
              <w:t>-</w:t>
            </w:r>
            <w:r>
              <w:rPr>
                <w:rFonts w:ascii="Arial" w:eastAsia="Times New Roman" w:hAnsi="Arial" w:cs="Arial"/>
                <w:color w:val="000000"/>
                <w:sz w:val="20"/>
                <w:szCs w:val="20"/>
              </w:rPr>
              <w:t>2017</w:t>
            </w:r>
            <w:r w:rsidR="00156821">
              <w:rPr>
                <w:rFonts w:ascii="Arial" w:eastAsia="Times New Roman" w:hAnsi="Arial" w:cs="Arial"/>
                <w:color w:val="000000"/>
                <w:sz w:val="20"/>
                <w:szCs w:val="20"/>
              </w:rPr>
              <w:t>-</w:t>
            </w:r>
            <w:r>
              <w:rPr>
                <w:rFonts w:ascii="Arial" w:eastAsia="Times New Roman" w:hAnsi="Arial" w:cs="Arial"/>
                <w:color w:val="000000"/>
                <w:sz w:val="20"/>
                <w:szCs w:val="20"/>
              </w:rPr>
              <w:t>0227</w:t>
            </w:r>
            <w:r w:rsidR="00811CC2">
              <w:rPr>
                <w:rFonts w:ascii="Arial" w:eastAsia="Times New Roman" w:hAnsi="Arial" w:cs="Arial"/>
                <w:color w:val="000000"/>
                <w:sz w:val="20"/>
                <w:szCs w:val="20"/>
              </w:rPr>
              <w:t>-</w:t>
            </w:r>
            <w:r>
              <w:rPr>
                <w:rFonts w:ascii="Arial" w:eastAsia="Times New Roman" w:hAnsi="Arial" w:cs="Arial"/>
                <w:color w:val="000000"/>
                <w:sz w:val="20"/>
                <w:szCs w:val="20"/>
              </w:rPr>
              <w:t>0053</w:t>
            </w:r>
          </w:p>
        </w:tc>
        <w:tc>
          <w:tcPr>
            <w:tcW w:w="1615" w:type="dxa"/>
            <w:noWrap/>
          </w:tcPr>
          <w:p w:rsidR="006F64CA" w:rsidRPr="00F12D85" w:rsidP="00E041DA" w14:paraId="4583F607" w14:textId="77777777">
            <w:pPr>
              <w:jc w:val="center"/>
              <w:rPr>
                <w:rFonts w:ascii="Arial" w:eastAsia="Times New Roman" w:hAnsi="Arial" w:cs="Arial"/>
                <w:color w:val="000000"/>
                <w:sz w:val="20"/>
                <w:szCs w:val="20"/>
              </w:rPr>
            </w:pPr>
            <w:r w:rsidRPr="006818B8">
              <w:rPr>
                <w:rFonts w:ascii="Arial" w:eastAsia="Times New Roman" w:hAnsi="Arial" w:cs="Arial"/>
                <w:color w:val="000000"/>
                <w:sz w:val="20"/>
                <w:szCs w:val="20"/>
              </w:rPr>
              <w:t>ML24298A066</w:t>
            </w:r>
          </w:p>
        </w:tc>
      </w:tr>
      <w:tr w14:paraId="401348AF" w14:textId="77777777" w:rsidTr="00094CD0">
        <w:tblPrEx>
          <w:tblW w:w="9350" w:type="dxa"/>
          <w:jc w:val="center"/>
          <w:tblLayout w:type="fixed"/>
          <w:tblLook w:val="04A0"/>
        </w:tblPrEx>
        <w:trPr>
          <w:trHeight w:val="290"/>
          <w:jc w:val="center"/>
        </w:trPr>
        <w:tc>
          <w:tcPr>
            <w:tcW w:w="1435" w:type="dxa"/>
            <w:noWrap/>
          </w:tcPr>
          <w:p w:rsidR="00E041DA" w:rsidRPr="006054CC" w:rsidP="00E041DA" w14:paraId="0CF8D915"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APSR-014*</w:t>
            </w:r>
          </w:p>
        </w:tc>
        <w:tc>
          <w:tcPr>
            <w:tcW w:w="1440" w:type="dxa"/>
            <w:noWrap/>
          </w:tcPr>
          <w:p w:rsidR="00E041DA" w:rsidRPr="006054CC" w:rsidP="00E041DA" w14:paraId="41ACC3FC" w14:textId="77777777">
            <w:pPr>
              <w:jc w:val="center"/>
              <w:rPr>
                <w:rFonts w:ascii="Arial" w:eastAsia="Times New Roman" w:hAnsi="Arial" w:cs="Arial"/>
                <w:color w:val="000000"/>
                <w:sz w:val="20"/>
                <w:szCs w:val="20"/>
              </w:rPr>
            </w:pPr>
            <w:r w:rsidRPr="000F2929">
              <w:rPr>
                <w:rFonts w:ascii="Arial" w:eastAsia="Times New Roman" w:hAnsi="Arial" w:cs="Arial"/>
                <w:color w:val="000000"/>
                <w:sz w:val="20"/>
                <w:szCs w:val="20"/>
              </w:rPr>
              <w:t>Spencer Toohill</w:t>
            </w:r>
          </w:p>
        </w:tc>
        <w:tc>
          <w:tcPr>
            <w:tcW w:w="1530" w:type="dxa"/>
            <w:noWrap/>
          </w:tcPr>
          <w:p w:rsidR="00E041DA" w:rsidRPr="006054CC" w:rsidP="00E041DA" w14:paraId="1BE76DB8" w14:textId="77777777">
            <w:pPr>
              <w:jc w:val="center"/>
              <w:rPr>
                <w:rFonts w:ascii="Arial" w:eastAsia="Times New Roman" w:hAnsi="Arial" w:cs="Arial"/>
                <w:color w:val="000000"/>
                <w:sz w:val="20"/>
                <w:szCs w:val="20"/>
              </w:rPr>
            </w:pPr>
            <w:r w:rsidRPr="001B393C">
              <w:rPr>
                <w:rFonts w:ascii="Arial" w:eastAsia="Times New Roman" w:hAnsi="Arial" w:cs="Arial"/>
                <w:color w:val="000000"/>
                <w:sz w:val="20"/>
                <w:szCs w:val="20"/>
              </w:rPr>
              <w:t>Breakthrough Institute</w:t>
            </w:r>
          </w:p>
        </w:tc>
        <w:tc>
          <w:tcPr>
            <w:tcW w:w="1440" w:type="dxa"/>
            <w:noWrap/>
          </w:tcPr>
          <w:p w:rsidR="00E041DA" w:rsidRPr="006054CC" w:rsidP="00E041DA" w14:paraId="1868F726" w14:textId="77777777">
            <w:pPr>
              <w:jc w:val="center"/>
              <w:rPr>
                <w:rFonts w:ascii="Arial" w:eastAsia="Times New Roman" w:hAnsi="Arial" w:cs="Arial"/>
                <w:color w:val="000000"/>
                <w:sz w:val="20"/>
                <w:szCs w:val="20"/>
              </w:rPr>
            </w:pPr>
            <w:r>
              <w:rPr>
                <w:rFonts w:ascii="Arial" w:eastAsia="Times New Roman" w:hAnsi="Arial" w:cs="Arial"/>
                <w:color w:val="000000"/>
                <w:sz w:val="20"/>
                <w:szCs w:val="20"/>
              </w:rPr>
              <w:t>BI2</w:t>
            </w:r>
          </w:p>
        </w:tc>
        <w:tc>
          <w:tcPr>
            <w:tcW w:w="1890" w:type="dxa"/>
          </w:tcPr>
          <w:p w:rsidR="00E041DA" w:rsidRPr="001B393C" w:rsidP="00E041DA" w14:paraId="0DDE3557" w14:textId="77777777">
            <w:pPr>
              <w:jc w:val="center"/>
              <w:rPr>
                <w:rFonts w:ascii="Arial" w:eastAsia="Times New Roman" w:hAnsi="Arial" w:cs="Arial"/>
                <w:color w:val="000000"/>
                <w:sz w:val="20"/>
                <w:szCs w:val="20"/>
              </w:rPr>
            </w:pPr>
            <w:r w:rsidRPr="00C428B4">
              <w:rPr>
                <w:rFonts w:ascii="Arial" w:eastAsia="Times New Roman" w:hAnsi="Arial" w:cs="Arial"/>
                <w:color w:val="000000"/>
                <w:sz w:val="20"/>
                <w:szCs w:val="20"/>
              </w:rPr>
              <w:t>NRC-2017-0227-0057</w:t>
            </w:r>
          </w:p>
        </w:tc>
        <w:tc>
          <w:tcPr>
            <w:tcW w:w="1615" w:type="dxa"/>
            <w:noWrap/>
          </w:tcPr>
          <w:p w:rsidR="00E041DA" w:rsidRPr="006054CC" w:rsidP="00E041DA" w14:paraId="20B0F77D" w14:textId="77777777">
            <w:pPr>
              <w:jc w:val="center"/>
              <w:rPr>
                <w:rFonts w:ascii="Arial" w:eastAsia="Times New Roman" w:hAnsi="Arial" w:cs="Arial"/>
                <w:color w:val="000000"/>
                <w:sz w:val="20"/>
                <w:szCs w:val="20"/>
              </w:rPr>
            </w:pPr>
            <w:r w:rsidRPr="001B393C">
              <w:rPr>
                <w:rFonts w:ascii="Arial" w:eastAsia="Times New Roman" w:hAnsi="Arial" w:cs="Arial"/>
                <w:color w:val="000000"/>
                <w:sz w:val="20"/>
                <w:szCs w:val="20"/>
              </w:rPr>
              <w:t>ML24312A335</w:t>
            </w:r>
          </w:p>
        </w:tc>
      </w:tr>
    </w:tbl>
    <w:p w:rsidR="003D1532" w:rsidRPr="001B628C" w:rsidP="001D6BDC" w14:paraId="3ED825FC" w14:textId="77777777">
      <w:pPr>
        <w:spacing w:after="160" w:line="259" w:lineRule="auto"/>
        <w:contextualSpacing/>
        <w:rPr>
          <w:rFonts w:ascii="Arial" w:eastAsia="Times New Roman" w:hAnsi="Arial" w:cs="Arial"/>
          <w:sz w:val="18"/>
          <w:szCs w:val="18"/>
          <w:lang w:eastAsia="zh-CN"/>
        </w:rPr>
      </w:pPr>
      <w:r w:rsidRPr="001B628C">
        <w:rPr>
          <w:rFonts w:ascii="Arial" w:eastAsia="Times New Roman" w:hAnsi="Arial" w:cs="Arial"/>
          <w:sz w:val="18"/>
          <w:szCs w:val="18"/>
          <w:lang w:eastAsia="zh-CN"/>
        </w:rPr>
        <w:t>*Submission</w:t>
      </w:r>
      <w:r w:rsidRPr="001B628C" w:rsidR="000E765A">
        <w:rPr>
          <w:rFonts w:ascii="Arial" w:eastAsia="Times New Roman" w:hAnsi="Arial" w:cs="Arial"/>
          <w:sz w:val="18"/>
          <w:szCs w:val="18"/>
          <w:lang w:eastAsia="zh-CN"/>
        </w:rPr>
        <w:t xml:space="preserve"> Nos.</w:t>
      </w:r>
      <w:r w:rsidRPr="001B628C">
        <w:rPr>
          <w:rFonts w:ascii="Arial" w:eastAsia="Times New Roman" w:hAnsi="Arial" w:cs="Arial"/>
          <w:sz w:val="18"/>
          <w:szCs w:val="18"/>
          <w:lang w:eastAsia="zh-CN"/>
        </w:rPr>
        <w:t xml:space="preserve"> </w:t>
      </w:r>
      <w:r w:rsidR="006C3D6D">
        <w:rPr>
          <w:rFonts w:ascii="Arial" w:eastAsia="Times New Roman" w:hAnsi="Arial" w:cs="Arial"/>
          <w:sz w:val="18"/>
          <w:szCs w:val="18"/>
          <w:lang w:eastAsia="zh-CN"/>
        </w:rPr>
        <w:t>A</w:t>
      </w:r>
      <w:r w:rsidRPr="001B628C">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Pr="001B628C">
        <w:rPr>
          <w:rFonts w:ascii="Arial" w:eastAsia="Times New Roman" w:hAnsi="Arial" w:cs="Arial"/>
          <w:sz w:val="18"/>
          <w:szCs w:val="18"/>
          <w:lang w:eastAsia="zh-CN"/>
        </w:rPr>
        <w:t xml:space="preserve">003, </w:t>
      </w:r>
      <w:r w:rsidR="00DC74B3">
        <w:rPr>
          <w:rFonts w:ascii="Arial" w:eastAsia="Times New Roman" w:hAnsi="Arial" w:cs="Arial"/>
          <w:sz w:val="18"/>
          <w:szCs w:val="18"/>
          <w:lang w:eastAsia="zh-CN"/>
        </w:rPr>
        <w:t>APSR</w:t>
      </w:r>
      <w:r w:rsidR="00DC74B3">
        <w:rPr>
          <w:rFonts w:ascii="Arial" w:eastAsia="Times New Roman" w:hAnsi="Arial" w:cs="Arial"/>
          <w:sz w:val="18"/>
          <w:szCs w:val="18"/>
          <w:lang w:eastAsia="zh-CN"/>
        </w:rPr>
        <w:noBreakHyphen/>
        <w:t>004</w:t>
      </w:r>
      <w:r w:rsidRPr="001B628C">
        <w:rPr>
          <w:rFonts w:ascii="Arial" w:eastAsia="Times New Roman" w:hAnsi="Arial" w:cs="Arial"/>
          <w:sz w:val="18"/>
          <w:szCs w:val="18"/>
          <w:lang w:eastAsia="zh-CN"/>
        </w:rPr>
        <w:t xml:space="preserve">, </w:t>
      </w:r>
      <w:r w:rsidR="006C3D6D">
        <w:rPr>
          <w:rFonts w:ascii="Arial" w:eastAsia="Times New Roman" w:hAnsi="Arial" w:cs="Arial"/>
          <w:sz w:val="18"/>
          <w:szCs w:val="18"/>
          <w:lang w:eastAsia="zh-CN"/>
        </w:rPr>
        <w:t>A</w:t>
      </w:r>
      <w:r w:rsidRPr="001B628C">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Pr="001B628C">
        <w:rPr>
          <w:rFonts w:ascii="Arial" w:eastAsia="Times New Roman" w:hAnsi="Arial" w:cs="Arial"/>
          <w:sz w:val="18"/>
          <w:szCs w:val="18"/>
          <w:lang w:eastAsia="zh-CN"/>
        </w:rPr>
        <w:t xml:space="preserve">006, </w:t>
      </w:r>
      <w:r w:rsidR="006C3D6D">
        <w:rPr>
          <w:rFonts w:ascii="Arial" w:eastAsia="Times New Roman" w:hAnsi="Arial" w:cs="Arial"/>
          <w:sz w:val="18"/>
          <w:szCs w:val="18"/>
          <w:lang w:eastAsia="zh-CN"/>
        </w:rPr>
        <w:t>A</w:t>
      </w:r>
      <w:r w:rsidRPr="001B628C">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Pr="001B628C">
        <w:rPr>
          <w:rFonts w:ascii="Arial" w:eastAsia="Times New Roman" w:hAnsi="Arial" w:cs="Arial"/>
          <w:sz w:val="18"/>
          <w:szCs w:val="18"/>
          <w:lang w:eastAsia="zh-CN"/>
        </w:rPr>
        <w:t xml:space="preserve">007, </w:t>
      </w:r>
      <w:r w:rsidR="006C3D6D">
        <w:rPr>
          <w:rFonts w:ascii="Arial" w:eastAsia="Times New Roman" w:hAnsi="Arial" w:cs="Arial"/>
          <w:sz w:val="18"/>
          <w:szCs w:val="18"/>
          <w:lang w:eastAsia="zh-CN"/>
        </w:rPr>
        <w:t>A</w:t>
      </w:r>
      <w:r w:rsidRPr="001B628C">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Pr="001B628C">
        <w:rPr>
          <w:rFonts w:ascii="Arial" w:eastAsia="Times New Roman" w:hAnsi="Arial" w:cs="Arial"/>
          <w:sz w:val="18"/>
          <w:szCs w:val="18"/>
          <w:lang w:eastAsia="zh-CN"/>
        </w:rPr>
        <w:t>010</w:t>
      </w:r>
      <w:r w:rsidRPr="001B628C" w:rsidR="00B80830">
        <w:rPr>
          <w:rFonts w:ascii="Arial" w:eastAsia="Times New Roman" w:hAnsi="Arial" w:cs="Arial"/>
          <w:sz w:val="18"/>
          <w:szCs w:val="18"/>
          <w:lang w:eastAsia="zh-CN"/>
        </w:rPr>
        <w:t xml:space="preserve">, </w:t>
      </w:r>
      <w:r w:rsidR="006C3D6D">
        <w:rPr>
          <w:rFonts w:ascii="Arial" w:eastAsia="Times New Roman" w:hAnsi="Arial" w:cs="Arial"/>
          <w:sz w:val="18"/>
          <w:szCs w:val="18"/>
          <w:lang w:eastAsia="zh-CN"/>
        </w:rPr>
        <w:t>A</w:t>
      </w:r>
      <w:r w:rsidRPr="001B628C" w:rsidR="00B80830">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006818B8">
        <w:rPr>
          <w:rFonts w:ascii="Arial" w:eastAsia="Times New Roman" w:hAnsi="Arial" w:cs="Arial"/>
          <w:sz w:val="18"/>
          <w:szCs w:val="18"/>
          <w:lang w:eastAsia="zh-CN"/>
        </w:rPr>
        <w:noBreakHyphen/>
        <w:t xml:space="preserve">011, </w:t>
      </w:r>
      <w:r w:rsidR="00812BE4">
        <w:rPr>
          <w:rFonts w:ascii="Arial" w:eastAsia="Times New Roman" w:hAnsi="Arial" w:cs="Arial"/>
          <w:sz w:val="18"/>
          <w:szCs w:val="18"/>
          <w:lang w:eastAsia="zh-CN"/>
        </w:rPr>
        <w:t xml:space="preserve">and </w:t>
      </w:r>
      <w:r w:rsidR="006C3D6D">
        <w:rPr>
          <w:rFonts w:ascii="Arial" w:eastAsia="Times New Roman" w:hAnsi="Arial" w:cs="Arial"/>
          <w:sz w:val="18"/>
          <w:szCs w:val="18"/>
          <w:lang w:eastAsia="zh-CN"/>
        </w:rPr>
        <w:t>A</w:t>
      </w:r>
      <w:r w:rsidRPr="001B628C" w:rsidR="00B80830">
        <w:rPr>
          <w:rFonts w:ascii="Arial" w:eastAsia="Times New Roman" w:hAnsi="Arial" w:cs="Arial"/>
          <w:sz w:val="18"/>
          <w:szCs w:val="18"/>
          <w:lang w:eastAsia="zh-CN"/>
        </w:rPr>
        <w:t>PS</w:t>
      </w:r>
      <w:r w:rsidR="006C3D6D">
        <w:rPr>
          <w:rFonts w:ascii="Arial" w:eastAsia="Times New Roman" w:hAnsi="Arial" w:cs="Arial"/>
          <w:sz w:val="18"/>
          <w:szCs w:val="18"/>
          <w:lang w:eastAsia="zh-CN"/>
        </w:rPr>
        <w:t>R-</w:t>
      </w:r>
      <w:r w:rsidRPr="001B628C" w:rsidR="00B80830">
        <w:rPr>
          <w:rFonts w:ascii="Arial" w:eastAsia="Times New Roman" w:hAnsi="Arial" w:cs="Arial"/>
          <w:sz w:val="18"/>
          <w:szCs w:val="18"/>
          <w:lang w:eastAsia="zh-CN"/>
        </w:rPr>
        <w:t>014 were originally submitted in response to the Alternative Physical Security Requirements for Advanced Reactors</w:t>
      </w:r>
      <w:r w:rsidRPr="001B628C" w:rsidR="00BB2293">
        <w:rPr>
          <w:rFonts w:ascii="Arial" w:eastAsia="Times New Roman" w:hAnsi="Arial" w:cs="Arial"/>
          <w:sz w:val="18"/>
          <w:szCs w:val="18"/>
          <w:lang w:eastAsia="zh-CN"/>
        </w:rPr>
        <w:t xml:space="preserve"> </w:t>
      </w:r>
      <w:r w:rsidR="00EE5353">
        <w:rPr>
          <w:rFonts w:ascii="Arial" w:eastAsia="Times New Roman" w:hAnsi="Arial" w:cs="Arial"/>
          <w:sz w:val="18"/>
          <w:szCs w:val="18"/>
          <w:lang w:eastAsia="zh-CN"/>
        </w:rPr>
        <w:t>p</w:t>
      </w:r>
      <w:r w:rsidRPr="001B628C" w:rsidR="00BB2293">
        <w:rPr>
          <w:rFonts w:ascii="Arial" w:eastAsia="Times New Roman" w:hAnsi="Arial" w:cs="Arial"/>
          <w:sz w:val="18"/>
          <w:szCs w:val="18"/>
          <w:lang w:eastAsia="zh-CN"/>
        </w:rPr>
        <w:t xml:space="preserve">roposed </w:t>
      </w:r>
      <w:r w:rsidR="00EE5353">
        <w:rPr>
          <w:rFonts w:ascii="Arial" w:eastAsia="Times New Roman" w:hAnsi="Arial" w:cs="Arial"/>
          <w:sz w:val="18"/>
          <w:szCs w:val="18"/>
          <w:lang w:eastAsia="zh-CN"/>
        </w:rPr>
        <w:t>r</w:t>
      </w:r>
      <w:r w:rsidRPr="001B628C" w:rsidR="00BB2293">
        <w:rPr>
          <w:rFonts w:ascii="Arial" w:eastAsia="Times New Roman" w:hAnsi="Arial" w:cs="Arial"/>
          <w:sz w:val="18"/>
          <w:szCs w:val="18"/>
          <w:lang w:eastAsia="zh-CN"/>
        </w:rPr>
        <w:t>ule</w:t>
      </w:r>
      <w:r w:rsidRPr="001B628C" w:rsidR="000E765A">
        <w:rPr>
          <w:rFonts w:ascii="Arial" w:eastAsia="Times New Roman" w:hAnsi="Arial" w:cs="Arial"/>
          <w:sz w:val="18"/>
          <w:szCs w:val="18"/>
          <w:lang w:eastAsia="zh-CN"/>
        </w:rPr>
        <w:t xml:space="preserve"> </w:t>
      </w:r>
      <w:r w:rsidR="00A421D9">
        <w:rPr>
          <w:rFonts w:ascii="Arial" w:eastAsia="Times New Roman" w:hAnsi="Arial" w:cs="Arial"/>
          <w:sz w:val="18"/>
          <w:szCs w:val="18"/>
          <w:lang w:eastAsia="zh-CN"/>
        </w:rPr>
        <w:t>(</w:t>
      </w:r>
      <w:r w:rsidRPr="00A421D9" w:rsidR="00A421D9">
        <w:rPr>
          <w:rFonts w:ascii="Arial" w:eastAsia="Times New Roman" w:hAnsi="Arial" w:cs="Arial"/>
          <w:sz w:val="18"/>
          <w:szCs w:val="18"/>
          <w:lang w:eastAsia="zh-CN"/>
        </w:rPr>
        <w:t>89 FR 65226</w:t>
      </w:r>
      <w:r w:rsidR="00A421D9">
        <w:rPr>
          <w:rFonts w:ascii="Arial" w:eastAsia="Times New Roman" w:hAnsi="Arial" w:cs="Arial"/>
          <w:sz w:val="18"/>
          <w:szCs w:val="18"/>
          <w:lang w:eastAsia="zh-CN"/>
        </w:rPr>
        <w:t xml:space="preserve">) </w:t>
      </w:r>
      <w:r w:rsidRPr="001B628C" w:rsidR="000E765A">
        <w:rPr>
          <w:rFonts w:ascii="Arial" w:eastAsia="Times New Roman" w:hAnsi="Arial" w:cs="Arial"/>
          <w:sz w:val="18"/>
          <w:szCs w:val="18"/>
          <w:lang w:eastAsia="zh-CN"/>
        </w:rPr>
        <w:t xml:space="preserve">under </w:t>
      </w:r>
      <w:r w:rsidR="00D77B3F">
        <w:rPr>
          <w:rFonts w:ascii="Arial" w:eastAsia="Times New Roman" w:hAnsi="Arial" w:cs="Arial"/>
          <w:sz w:val="18"/>
          <w:szCs w:val="18"/>
          <w:lang w:eastAsia="zh-CN"/>
        </w:rPr>
        <w:t>D</w:t>
      </w:r>
      <w:r w:rsidRPr="001B628C" w:rsidR="000E765A">
        <w:rPr>
          <w:rFonts w:ascii="Arial" w:eastAsia="Times New Roman" w:hAnsi="Arial" w:cs="Arial"/>
          <w:sz w:val="18"/>
          <w:szCs w:val="18"/>
          <w:lang w:eastAsia="zh-CN"/>
        </w:rPr>
        <w:t xml:space="preserve">ocket </w:t>
      </w:r>
      <w:r w:rsidR="00D77B3F">
        <w:rPr>
          <w:rFonts w:ascii="Arial" w:eastAsia="Times New Roman" w:hAnsi="Arial" w:cs="Arial"/>
          <w:sz w:val="18"/>
          <w:szCs w:val="18"/>
          <w:lang w:eastAsia="zh-CN"/>
        </w:rPr>
        <w:t xml:space="preserve">ID </w:t>
      </w:r>
      <w:r w:rsidRPr="001B628C" w:rsidR="00C00A21">
        <w:rPr>
          <w:rFonts w:ascii="Arial" w:eastAsia="Times New Roman" w:hAnsi="Arial" w:cs="Arial"/>
          <w:sz w:val="18"/>
          <w:szCs w:val="18"/>
          <w:lang w:eastAsia="zh-CN"/>
        </w:rPr>
        <w:t>NRC-2017-0227.</w:t>
      </w:r>
    </w:p>
    <w:p w:rsidR="00426BB2" w:rsidP="001D6BDC" w14:paraId="0536082C" w14:textId="77777777">
      <w:pPr>
        <w:spacing w:after="160" w:line="259" w:lineRule="auto"/>
        <w:contextualSpacing/>
        <w:rPr>
          <w:rFonts w:ascii="Arial" w:eastAsia="Times New Roman" w:hAnsi="Arial" w:cs="Arial"/>
          <w:lang w:eastAsia="zh-CN"/>
        </w:rPr>
      </w:pPr>
    </w:p>
    <w:p w:rsidR="006F3E52" w:rsidRPr="005801F3" w:rsidP="00094CD0" w14:paraId="04E42860" w14:textId="77777777">
      <w:pPr>
        <w:keepNext/>
        <w:keepLines/>
        <w:spacing w:after="120"/>
        <w:rPr>
          <w:rFonts w:ascii="Arial" w:hAnsi="Arial" w:cs="Arial"/>
          <w:b/>
          <w:bCs/>
          <w:sz w:val="22"/>
          <w:szCs w:val="22"/>
        </w:rPr>
      </w:pPr>
      <w:r w:rsidRPr="005801F3">
        <w:rPr>
          <w:rFonts w:ascii="Arial" w:hAnsi="Arial" w:cs="Arial"/>
          <w:b/>
          <w:bCs/>
          <w:sz w:val="22"/>
          <w:szCs w:val="22"/>
        </w:rPr>
        <w:t>Public Meeting</w:t>
      </w:r>
      <w:r w:rsidR="00F242B9">
        <w:rPr>
          <w:rFonts w:ascii="Arial" w:hAnsi="Arial" w:cs="Arial"/>
          <w:b/>
          <w:bCs/>
          <w:sz w:val="22"/>
          <w:szCs w:val="22"/>
        </w:rPr>
        <w:t>s</w:t>
      </w:r>
    </w:p>
    <w:p w:rsidR="006F3E52" w:rsidRPr="002939A1" w:rsidP="005801F3" w14:paraId="3FED9AAE" w14:textId="77777777">
      <w:pPr>
        <w:rPr>
          <w:rFonts w:ascii="Arial" w:hAnsi="Arial" w:cs="Arial"/>
          <w:sz w:val="22"/>
          <w:szCs w:val="22"/>
        </w:rPr>
      </w:pPr>
      <w:r w:rsidRPr="005801F3">
        <w:rPr>
          <w:rFonts w:ascii="Arial" w:hAnsi="Arial" w:cs="Arial"/>
          <w:sz w:val="22"/>
          <w:szCs w:val="22"/>
        </w:rPr>
        <w:t xml:space="preserve">On </w:t>
      </w:r>
      <w:r w:rsidR="00334192">
        <w:rPr>
          <w:rFonts w:ascii="Arial" w:hAnsi="Arial" w:cs="Arial"/>
          <w:sz w:val="22"/>
          <w:szCs w:val="22"/>
        </w:rPr>
        <w:t>November 19-21, 2024,</w:t>
      </w:r>
      <w:r w:rsidRPr="005801F3">
        <w:rPr>
          <w:rFonts w:ascii="Arial" w:hAnsi="Arial" w:cs="Arial"/>
          <w:sz w:val="22"/>
          <w:szCs w:val="22"/>
        </w:rPr>
        <w:t xml:space="preserve"> and </w:t>
      </w:r>
      <w:r w:rsidR="00DC0BBD">
        <w:rPr>
          <w:rFonts w:ascii="Arial" w:hAnsi="Arial" w:cs="Arial"/>
          <w:sz w:val="22"/>
          <w:szCs w:val="22"/>
        </w:rPr>
        <w:t>January 8, 2025</w:t>
      </w:r>
      <w:r w:rsidRPr="005801F3">
        <w:rPr>
          <w:rFonts w:ascii="Arial" w:hAnsi="Arial" w:cs="Arial"/>
          <w:sz w:val="22"/>
          <w:szCs w:val="22"/>
        </w:rPr>
        <w:t xml:space="preserve">, the NRC </w:t>
      </w:r>
      <w:r w:rsidR="00DC0BBD">
        <w:rPr>
          <w:rFonts w:ascii="Arial" w:hAnsi="Arial" w:cs="Arial"/>
          <w:sz w:val="22"/>
          <w:szCs w:val="22"/>
        </w:rPr>
        <w:t xml:space="preserve">held </w:t>
      </w:r>
      <w:r w:rsidRPr="005801F3">
        <w:rPr>
          <w:rFonts w:ascii="Arial" w:hAnsi="Arial" w:cs="Arial"/>
          <w:sz w:val="22"/>
          <w:szCs w:val="22"/>
        </w:rPr>
        <w:t>public meeting</w:t>
      </w:r>
      <w:r w:rsidR="00DC0BBD">
        <w:rPr>
          <w:rFonts w:ascii="Arial" w:hAnsi="Arial" w:cs="Arial"/>
          <w:sz w:val="22"/>
          <w:szCs w:val="22"/>
        </w:rPr>
        <w:t>s</w:t>
      </w:r>
      <w:r w:rsidRPr="005801F3">
        <w:rPr>
          <w:rFonts w:ascii="Arial" w:hAnsi="Arial" w:cs="Arial"/>
          <w:sz w:val="22"/>
          <w:szCs w:val="22"/>
        </w:rPr>
        <w:t xml:space="preserve"> to discuss the proposed rule with external </w:t>
      </w:r>
      <w:r w:rsidRPr="002939A1">
        <w:rPr>
          <w:rFonts w:ascii="Arial" w:hAnsi="Arial" w:cs="Arial"/>
          <w:sz w:val="22"/>
          <w:szCs w:val="22"/>
        </w:rPr>
        <w:t xml:space="preserve">stakeholders. </w:t>
      </w:r>
      <w:r w:rsidRPr="002939A1" w:rsidR="00B553DC">
        <w:rPr>
          <w:rFonts w:ascii="Arial" w:hAnsi="Arial" w:cs="Arial"/>
          <w:sz w:val="22"/>
          <w:szCs w:val="22"/>
        </w:rPr>
        <w:t xml:space="preserve">The NRC’s goal for conducting </w:t>
      </w:r>
      <w:r w:rsidRPr="002939A1" w:rsidR="00465445">
        <w:rPr>
          <w:rFonts w:ascii="Arial" w:hAnsi="Arial" w:cs="Arial"/>
          <w:sz w:val="22"/>
          <w:szCs w:val="22"/>
        </w:rPr>
        <w:t>these meetings</w:t>
      </w:r>
      <w:r w:rsidRPr="002939A1" w:rsidR="00B553DC">
        <w:rPr>
          <w:rFonts w:ascii="Arial" w:hAnsi="Arial" w:cs="Arial"/>
          <w:sz w:val="22"/>
          <w:szCs w:val="22"/>
        </w:rPr>
        <w:t xml:space="preserve"> was to </w:t>
      </w:r>
      <w:r w:rsidRPr="002939A1" w:rsidR="002939A1">
        <w:rPr>
          <w:rFonts w:ascii="Arial" w:eastAsia="Arial" w:hAnsi="Arial" w:cs="Arial"/>
          <w:color w:val="000000" w:themeColor="text1"/>
          <w:sz w:val="22"/>
          <w:szCs w:val="22"/>
        </w:rPr>
        <w:t>promote stakeholder understanding of the proposed rule</w:t>
      </w:r>
      <w:r w:rsidRPr="00250713" w:rsidR="002939A1">
        <w:rPr>
          <w:rStyle w:val="Heading5Char"/>
          <w:b w:val="0"/>
          <w:sz w:val="22"/>
          <w:szCs w:val="22"/>
        </w:rPr>
        <w:t xml:space="preserve">. </w:t>
      </w:r>
      <w:r w:rsidRPr="002939A1" w:rsidR="002939A1">
        <w:rPr>
          <w:rFonts w:ascii="Arial" w:eastAsia="Arial" w:hAnsi="Arial" w:cs="Arial"/>
          <w:sz w:val="22"/>
          <w:szCs w:val="22"/>
        </w:rPr>
        <w:t>The staff discussed the structure and content of the proposed rule and answered questions to facilitate the submission of meaningful comments on the proposed rule.</w:t>
      </w:r>
    </w:p>
    <w:p w:rsidR="00B553DC" w:rsidRPr="005801F3" w:rsidP="000A3B85" w14:paraId="1953DAB5" w14:textId="77777777">
      <w:pPr>
        <w:spacing w:after="120"/>
        <w:rPr>
          <w:rFonts w:ascii="Arial" w:hAnsi="Arial" w:cs="Arial"/>
          <w:b/>
          <w:bCs/>
          <w:sz w:val="22"/>
          <w:szCs w:val="22"/>
        </w:rPr>
      </w:pPr>
      <w:r w:rsidRPr="005801F3">
        <w:rPr>
          <w:rFonts w:ascii="Arial" w:hAnsi="Arial" w:cs="Arial"/>
          <w:b/>
          <w:bCs/>
          <w:sz w:val="22"/>
          <w:szCs w:val="22"/>
        </w:rPr>
        <w:t>Comment Categorization</w:t>
      </w:r>
    </w:p>
    <w:p w:rsidR="005801F3" w:rsidRPr="00E836A4" w:rsidP="005801F3" w14:paraId="40FA0EE5" w14:textId="77777777">
      <w:pPr>
        <w:rPr>
          <w:rFonts w:ascii="Arial" w:hAnsi="Arial" w:cs="Arial"/>
          <w:sz w:val="22"/>
          <w:szCs w:val="22"/>
        </w:rPr>
      </w:pPr>
      <w:r w:rsidRPr="005801F3">
        <w:rPr>
          <w:rFonts w:ascii="Arial" w:hAnsi="Arial" w:cs="Arial"/>
          <w:sz w:val="22"/>
          <w:szCs w:val="22"/>
        </w:rPr>
        <w:t xml:space="preserve">This comment response document separates the comments into the </w:t>
      </w:r>
      <w:r w:rsidR="00084D22">
        <w:rPr>
          <w:rFonts w:ascii="Arial" w:hAnsi="Arial" w:cs="Arial"/>
          <w:sz w:val="22"/>
          <w:szCs w:val="22"/>
        </w:rPr>
        <w:t>11</w:t>
      </w:r>
      <w:r w:rsidRPr="005801F3" w:rsidR="00084D22">
        <w:rPr>
          <w:rFonts w:ascii="Arial" w:hAnsi="Arial" w:cs="Arial"/>
          <w:sz w:val="22"/>
          <w:szCs w:val="22"/>
        </w:rPr>
        <w:t xml:space="preserve"> </w:t>
      </w:r>
      <w:r w:rsidRPr="005801F3">
        <w:rPr>
          <w:rFonts w:ascii="Arial" w:hAnsi="Arial" w:cs="Arial"/>
          <w:sz w:val="22"/>
          <w:szCs w:val="22"/>
        </w:rPr>
        <w:t>categories identified below. Within each category, the NRC summarizes comments and responds to the</w:t>
      </w:r>
      <w:r w:rsidR="00700726">
        <w:rPr>
          <w:rFonts w:ascii="Arial" w:hAnsi="Arial" w:cs="Arial"/>
          <w:sz w:val="22"/>
          <w:szCs w:val="22"/>
        </w:rPr>
        <w:t>m</w:t>
      </w:r>
      <w:r w:rsidRPr="005801F3">
        <w:rPr>
          <w:rFonts w:ascii="Arial" w:hAnsi="Arial" w:cs="Arial"/>
          <w:sz w:val="22"/>
          <w:szCs w:val="22"/>
        </w:rPr>
        <w:t>. In general, the NRC addresses each individual comment. However, when similar comments can be readily grouped together, the NRC has binned those comments and treated them as a single comment</w:t>
      </w:r>
      <w:r>
        <w:rPr>
          <w:rFonts w:ascii="Arial" w:hAnsi="Arial" w:cs="Arial"/>
          <w:sz w:val="22"/>
          <w:szCs w:val="22"/>
        </w:rPr>
        <w:t xml:space="preserve"> bin.</w:t>
      </w:r>
      <w:r w:rsidRPr="005801F3">
        <w:rPr>
          <w:rFonts w:ascii="Arial" w:hAnsi="Arial" w:cs="Arial"/>
          <w:sz w:val="22"/>
          <w:szCs w:val="22"/>
        </w:rPr>
        <w:t xml:space="preserve"> </w:t>
      </w:r>
      <w:r>
        <w:rPr>
          <w:rFonts w:ascii="Arial" w:hAnsi="Arial" w:cs="Arial"/>
          <w:sz w:val="22"/>
          <w:szCs w:val="22"/>
        </w:rPr>
        <w:t>T</w:t>
      </w:r>
      <w:r w:rsidRPr="005801F3">
        <w:rPr>
          <w:rFonts w:ascii="Arial" w:hAnsi="Arial" w:cs="Arial"/>
          <w:sz w:val="22"/>
          <w:szCs w:val="22"/>
        </w:rPr>
        <w:t xml:space="preserve">he NRC’s response addresses the binned comments. The annotated comment </w:t>
      </w:r>
      <w:r w:rsidRPr="00E836A4">
        <w:rPr>
          <w:rFonts w:ascii="Arial" w:hAnsi="Arial" w:cs="Arial"/>
          <w:sz w:val="22"/>
          <w:szCs w:val="22"/>
        </w:rPr>
        <w:t xml:space="preserve">number or numbers appear in a parenthetical list at the end of each comment summary to provide a cross-reference aid to the reader. The comment summaries are grouped in the following </w:t>
      </w:r>
      <w:r w:rsidR="002329DE">
        <w:rPr>
          <w:rFonts w:ascii="Arial" w:hAnsi="Arial" w:cs="Arial"/>
          <w:sz w:val="22"/>
          <w:szCs w:val="22"/>
        </w:rPr>
        <w:t xml:space="preserve">volumes and </w:t>
      </w:r>
      <w:r w:rsidRPr="00E836A4">
        <w:rPr>
          <w:rFonts w:ascii="Arial" w:hAnsi="Arial" w:cs="Arial"/>
          <w:sz w:val="22"/>
          <w:szCs w:val="22"/>
        </w:rPr>
        <w:t xml:space="preserve">categories: </w:t>
      </w:r>
    </w:p>
    <w:p w:rsidR="005801F3" w:rsidRPr="00E836A4" w:rsidP="005801F3" w14:paraId="541A496C" w14:textId="77777777">
      <w:pPr>
        <w:rPr>
          <w:rFonts w:ascii="Arial" w:hAnsi="Arial" w:cs="Arial"/>
          <w:sz w:val="22"/>
          <w:szCs w:val="22"/>
        </w:rPr>
      </w:pPr>
    </w:p>
    <w:p w:rsidR="002329DE" w:rsidRPr="00303AA5" w:rsidP="002329DE" w14:paraId="0F7F9319" w14:textId="77777777">
      <w:pPr>
        <w:spacing w:after="111" w:line="259" w:lineRule="auto"/>
        <w:rPr>
          <w:rFonts w:ascii="Arial" w:eastAsia="Arial" w:hAnsi="Arial" w:cs="Arial"/>
          <w:bCs/>
          <w:color w:val="000000"/>
          <w:kern w:val="2"/>
          <w:sz w:val="22"/>
          <w:szCs w:val="22"/>
          <w:u w:val="single"/>
          <w14:ligatures w14:val="standardContextual"/>
        </w:rPr>
      </w:pPr>
      <w:r w:rsidRPr="00303AA5">
        <w:rPr>
          <w:rFonts w:ascii="Arial" w:eastAsia="Arial" w:hAnsi="Arial" w:cs="Arial"/>
          <w:bCs/>
          <w:color w:val="000000"/>
          <w:kern w:val="2"/>
          <w:sz w:val="22"/>
          <w:szCs w:val="22"/>
          <w:u w:val="single"/>
          <w14:ligatures w14:val="standardContextual"/>
        </w:rPr>
        <w:t xml:space="preserve">Volume #1 – Response to Comments on 10 CFR Part 53 </w:t>
      </w:r>
    </w:p>
    <w:p w:rsidR="005029C3" w:rsidRPr="00E836A4" w:rsidP="00455E55" w14:paraId="2C3AD7E9"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General Feedback on the Proposed Rule</w:t>
      </w:r>
    </w:p>
    <w:p w:rsidR="007D6514" w:rsidRPr="00E836A4" w:rsidP="00455E55" w14:paraId="6879D777" w14:textId="77777777">
      <w:pPr>
        <w:numPr>
          <w:ilvl w:val="0"/>
          <w:numId w:val="37"/>
        </w:numPr>
        <w:spacing w:after="80"/>
        <w:rPr>
          <w:rFonts w:ascii="Arial" w:hAnsi="Arial" w:cs="Arial"/>
          <w:sz w:val="22"/>
          <w:szCs w:val="22"/>
        </w:rPr>
      </w:pPr>
      <w:r w:rsidRPr="00E836A4">
        <w:rPr>
          <w:rFonts w:ascii="Arial" w:hAnsi="Arial" w:cs="Arial"/>
          <w:sz w:val="22"/>
          <w:szCs w:val="22"/>
        </w:rPr>
        <w:t>Background and Need for Rulemaking/Purpose and Scope of the Proposed Rule (e.g.,</w:t>
      </w:r>
      <w:r w:rsidR="000158E7">
        <w:rPr>
          <w:rFonts w:ascii="Arial" w:hAnsi="Arial" w:cs="Arial"/>
          <w:sz w:val="22"/>
          <w:szCs w:val="22"/>
        </w:rPr>
        <w:t> </w:t>
      </w:r>
      <w:r w:rsidRPr="00E836A4">
        <w:rPr>
          <w:rFonts w:ascii="Arial" w:hAnsi="Arial" w:cs="Arial"/>
          <w:sz w:val="22"/>
          <w:szCs w:val="22"/>
        </w:rPr>
        <w:t>historic issues with existing regulatory framework, need for regulatory certainty for advanced reactors)</w:t>
      </w:r>
    </w:p>
    <w:p w:rsidR="00BA5D78" w:rsidRPr="00E836A4" w:rsidP="00455E55" w14:paraId="254BD78F" w14:textId="77777777">
      <w:pPr>
        <w:numPr>
          <w:ilvl w:val="0"/>
          <w:numId w:val="37"/>
        </w:numPr>
        <w:rPr>
          <w:rFonts w:ascii="Arial" w:hAnsi="Arial" w:cs="Arial"/>
          <w:sz w:val="22"/>
          <w:szCs w:val="22"/>
        </w:rPr>
      </w:pPr>
      <w:r w:rsidRPr="00E836A4">
        <w:rPr>
          <w:rFonts w:ascii="Arial" w:hAnsi="Arial" w:cs="Arial"/>
          <w:sz w:val="22"/>
          <w:szCs w:val="22"/>
        </w:rPr>
        <w:t>Major Provisions of the Proposal</w:t>
      </w:r>
      <w:r w:rsidR="00B327E2">
        <w:rPr>
          <w:rFonts w:ascii="Arial" w:hAnsi="Arial" w:cs="Arial"/>
          <w:sz w:val="22"/>
          <w:szCs w:val="22"/>
        </w:rPr>
        <w:t>—</w:t>
      </w:r>
      <w:r w:rsidRPr="00E836A4">
        <w:rPr>
          <w:rFonts w:ascii="Arial" w:hAnsi="Arial" w:cs="Arial"/>
          <w:sz w:val="22"/>
          <w:szCs w:val="22"/>
        </w:rPr>
        <w:t>10 CFR Part 53 (Risk-Informed, Technology-Inclusive Regulatory Framework for Commercial Nuclear Plants)</w:t>
      </w:r>
    </w:p>
    <w:p w:rsidR="002329DE" w:rsidP="000A3B85" w14:paraId="69994EEE" w14:textId="77777777">
      <w:pPr>
        <w:rPr>
          <w:rFonts w:ascii="Arial" w:hAnsi="Arial" w:cs="Arial"/>
          <w:sz w:val="22"/>
          <w:szCs w:val="22"/>
        </w:rPr>
      </w:pPr>
    </w:p>
    <w:p w:rsidR="002329DE" w:rsidRPr="00303AA5" w:rsidP="002329DE" w14:paraId="3975F354" w14:textId="77777777">
      <w:pPr>
        <w:spacing w:after="111"/>
        <w:rPr>
          <w:rFonts w:ascii="Arial" w:eastAsia="Arial" w:hAnsi="Arial" w:cs="Arial"/>
          <w:bCs/>
          <w:color w:val="000000"/>
          <w:sz w:val="22"/>
          <w:szCs w:val="22"/>
          <w:u w:val="single"/>
        </w:rPr>
      </w:pPr>
      <w:r w:rsidRPr="00303AA5">
        <w:rPr>
          <w:rFonts w:ascii="Arial" w:eastAsia="Arial" w:hAnsi="Arial" w:cs="Arial"/>
          <w:bCs/>
          <w:color w:val="000000"/>
          <w:sz w:val="22"/>
          <w:szCs w:val="22"/>
          <w:u w:val="single"/>
        </w:rPr>
        <w:t xml:space="preserve">Volume #2 – Response to Comments on 10 CFR Part 26, 10 CFR Part 73, Guidance, and Other Topics </w:t>
      </w:r>
    </w:p>
    <w:p w:rsidR="00D13F64" w:rsidRPr="00E836A4" w:rsidP="00455E55" w14:paraId="7D04A272" w14:textId="77777777">
      <w:pPr>
        <w:numPr>
          <w:ilvl w:val="0"/>
          <w:numId w:val="37"/>
        </w:numPr>
        <w:spacing w:after="80"/>
        <w:rPr>
          <w:rFonts w:ascii="Arial" w:hAnsi="Arial" w:cs="Arial"/>
          <w:sz w:val="22"/>
          <w:szCs w:val="22"/>
        </w:rPr>
      </w:pPr>
      <w:r w:rsidRPr="00E836A4">
        <w:rPr>
          <w:rFonts w:ascii="Arial" w:hAnsi="Arial" w:cs="Arial"/>
          <w:sz w:val="22"/>
          <w:szCs w:val="22"/>
        </w:rPr>
        <w:t>Major Provisions of the Proposal – 10 CFR Part 26 (Fitness</w:t>
      </w:r>
      <w:r w:rsidR="007C732A">
        <w:rPr>
          <w:rFonts w:ascii="Arial" w:hAnsi="Arial" w:cs="Arial"/>
          <w:sz w:val="22"/>
          <w:szCs w:val="22"/>
        </w:rPr>
        <w:t>-</w:t>
      </w:r>
      <w:r w:rsidRPr="00E836A4">
        <w:rPr>
          <w:rFonts w:ascii="Arial" w:hAnsi="Arial" w:cs="Arial"/>
          <w:sz w:val="22"/>
          <w:szCs w:val="22"/>
        </w:rPr>
        <w:t>for</w:t>
      </w:r>
      <w:r w:rsidR="007C732A">
        <w:rPr>
          <w:rFonts w:ascii="Arial" w:hAnsi="Arial" w:cs="Arial"/>
          <w:sz w:val="22"/>
          <w:szCs w:val="22"/>
        </w:rPr>
        <w:t>-</w:t>
      </w:r>
      <w:r w:rsidRPr="00E836A4">
        <w:rPr>
          <w:rFonts w:ascii="Arial" w:hAnsi="Arial" w:cs="Arial"/>
          <w:sz w:val="22"/>
          <w:szCs w:val="22"/>
        </w:rPr>
        <w:t>Duty Programs)</w:t>
      </w:r>
    </w:p>
    <w:p w:rsidR="00CD0BB9" w:rsidRPr="00E836A4" w:rsidP="00455E55" w14:paraId="35D8F3D0"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 xml:space="preserve">Major Provisions of the Proposal </w:t>
      </w:r>
      <w:r w:rsidRPr="00E836A4" w:rsidR="007C17F5">
        <w:rPr>
          <w:rFonts w:ascii="Arial" w:hAnsi="Arial" w:cs="Arial"/>
          <w:sz w:val="22"/>
          <w:szCs w:val="22"/>
        </w:rPr>
        <w:t>–</w:t>
      </w:r>
      <w:r w:rsidRPr="00E836A4">
        <w:rPr>
          <w:rFonts w:ascii="Arial" w:hAnsi="Arial" w:cs="Arial"/>
          <w:sz w:val="22"/>
          <w:szCs w:val="22"/>
        </w:rPr>
        <w:t xml:space="preserve"> 10 CFR Part 73 (Physical Protection of Plants and Materials)</w:t>
      </w:r>
    </w:p>
    <w:p w:rsidR="00C01BB4" w:rsidRPr="00E836A4" w:rsidP="00455E55" w14:paraId="5F0E4AE7"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 xml:space="preserve">Changes to Other Parts of 10 CFR Chapter I </w:t>
      </w:r>
    </w:p>
    <w:p w:rsidR="00201816" w:rsidRPr="00E836A4" w:rsidP="00455E55" w14:paraId="425C5FAD" w14:textId="77777777">
      <w:pPr>
        <w:numPr>
          <w:ilvl w:val="0"/>
          <w:numId w:val="37"/>
        </w:numPr>
        <w:spacing w:after="80"/>
        <w:rPr>
          <w:rFonts w:ascii="Arial" w:hAnsi="Arial" w:cs="Arial"/>
          <w:sz w:val="22"/>
          <w:szCs w:val="22"/>
        </w:rPr>
      </w:pPr>
      <w:r w:rsidRPr="00E836A4">
        <w:rPr>
          <w:rFonts w:ascii="Arial" w:hAnsi="Arial" w:cs="Arial"/>
          <w:sz w:val="22"/>
          <w:szCs w:val="22"/>
        </w:rPr>
        <w:t>Other Comments on the Proposed Rule</w:t>
      </w:r>
    </w:p>
    <w:p w:rsidR="003E6658" w:rsidRPr="00E836A4" w:rsidP="00455E55" w14:paraId="6CCF4EEE"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 xml:space="preserve">Accompanying Guidance </w:t>
      </w:r>
    </w:p>
    <w:p w:rsidR="0083655D" w:rsidRPr="00E836A4" w:rsidP="00455E55" w14:paraId="6813ED8E"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Procedural Matters and Other Supporting Documents</w:t>
      </w:r>
    </w:p>
    <w:p w:rsidR="00E836A4" w:rsidRPr="00E836A4" w:rsidP="00455E55" w14:paraId="5F8D4C68" w14:textId="77777777">
      <w:pPr>
        <w:pStyle w:val="ListParagraph"/>
        <w:numPr>
          <w:ilvl w:val="0"/>
          <w:numId w:val="37"/>
        </w:numPr>
        <w:spacing w:after="80"/>
        <w:contextualSpacing w:val="0"/>
        <w:rPr>
          <w:rFonts w:ascii="Arial" w:hAnsi="Arial" w:cs="Arial"/>
          <w:sz w:val="22"/>
          <w:szCs w:val="22"/>
        </w:rPr>
      </w:pPr>
      <w:r w:rsidRPr="00E836A4">
        <w:rPr>
          <w:rFonts w:ascii="Arial" w:hAnsi="Arial" w:cs="Arial"/>
          <w:sz w:val="22"/>
          <w:szCs w:val="22"/>
        </w:rPr>
        <w:t>Rulemaking Timeline and Implementation (e.g., requests to extend comment period, public engagement/stakeholder outreach, rulemaking/implementation timeline)</w:t>
      </w:r>
    </w:p>
    <w:p w:rsidR="003010C7" w:rsidRPr="003010C7" w:rsidP="00455E55" w14:paraId="4AB91A3B" w14:textId="77777777">
      <w:pPr>
        <w:pStyle w:val="ListParagraph"/>
        <w:numPr>
          <w:ilvl w:val="0"/>
          <w:numId w:val="37"/>
        </w:numPr>
        <w:contextualSpacing w:val="0"/>
        <w:rPr>
          <w:rFonts w:ascii="Arial" w:hAnsi="Arial" w:cs="Arial"/>
          <w:sz w:val="22"/>
          <w:szCs w:val="22"/>
        </w:rPr>
      </w:pPr>
      <w:r w:rsidRPr="00E836A4">
        <w:rPr>
          <w:rFonts w:ascii="Arial" w:hAnsi="Arial" w:cs="Arial"/>
          <w:sz w:val="22"/>
          <w:szCs w:val="22"/>
        </w:rPr>
        <w:t>Out of Scope </w:t>
      </w:r>
    </w:p>
    <w:p w:rsidR="003010C7" w:rsidP="00E836A4" w14:paraId="3A302B37" w14:textId="77777777">
      <w:pPr>
        <w:rPr>
          <w:rFonts w:ascii="Arial" w:hAnsi="Arial" w:cs="Arial"/>
          <w:sz w:val="22"/>
          <w:szCs w:val="22"/>
        </w:rPr>
        <w:sectPr w:rsidSect="007B5B12">
          <w:footerReference w:type="default" r:id="rId16"/>
          <w:pgSz w:w="12240" w:h="15840"/>
          <w:pgMar w:top="1440" w:right="1440" w:bottom="1440" w:left="1440" w:header="720" w:footer="720" w:gutter="0"/>
          <w:pgNumType w:start="1"/>
          <w:cols w:space="720"/>
          <w:docGrid w:linePitch="360"/>
        </w:sectPr>
      </w:pPr>
    </w:p>
    <w:p w:rsidR="005801F3" w:rsidRPr="008E7D81" w:rsidP="00125D2C" w14:paraId="64F6B864" w14:textId="77777777">
      <w:pPr>
        <w:pStyle w:val="Heading1"/>
        <w:numPr>
          <w:ilvl w:val="0"/>
          <w:numId w:val="0"/>
        </w:numPr>
        <w:ind w:left="720" w:hanging="720"/>
      </w:pPr>
      <w:bookmarkStart w:id="2" w:name="_Toc207222793"/>
      <w:r w:rsidRPr="002E589D">
        <w:rPr>
          <w:u w:val="none"/>
        </w:rPr>
        <w:t>1.</w:t>
      </w:r>
      <w:r w:rsidRPr="002E589D">
        <w:rPr>
          <w:u w:val="none"/>
        </w:rPr>
        <w:tab/>
      </w:r>
      <w:r w:rsidRPr="008E7D81" w:rsidR="003010C7">
        <w:t>General Feedback on the Proposed Rule</w:t>
      </w:r>
      <w:bookmarkEnd w:id="2"/>
    </w:p>
    <w:p w:rsidR="003010C7" w:rsidRPr="008E7D81" w:rsidP="003010C7" w14:paraId="680CC53E" w14:textId="77777777">
      <w:pPr>
        <w:pStyle w:val="ListParagraph"/>
        <w:rPr>
          <w:rFonts w:ascii="Arial" w:hAnsi="Arial" w:cs="Arial"/>
          <w:b/>
          <w:bCs/>
          <w:sz w:val="22"/>
          <w:szCs w:val="22"/>
          <w:u w:val="single"/>
        </w:rPr>
      </w:pPr>
    </w:p>
    <w:p w:rsidR="0006267F" w:rsidRPr="002A7D34" w:rsidP="00125D2C" w14:paraId="4CF7D176" w14:textId="77777777">
      <w:pPr>
        <w:pStyle w:val="Heading2"/>
        <w:numPr>
          <w:ilvl w:val="0"/>
          <w:numId w:val="0"/>
        </w:numPr>
        <w:tabs>
          <w:tab w:val="clear" w:pos="360"/>
          <w:tab w:val="left" w:pos="720"/>
        </w:tabs>
        <w:ind w:left="720" w:hanging="720"/>
      </w:pPr>
      <w:bookmarkStart w:id="3" w:name="_Toc207222794"/>
      <w:r w:rsidRPr="00125D2C">
        <w:rPr>
          <w:u w:val="none"/>
        </w:rPr>
        <w:t>1.1</w:t>
      </w:r>
      <w:r w:rsidRPr="00125D2C">
        <w:rPr>
          <w:u w:val="none"/>
        </w:rPr>
        <w:tab/>
      </w:r>
      <w:r w:rsidRPr="00D1488B" w:rsidR="003010C7">
        <w:t>General support for the proposed rule</w:t>
      </w:r>
      <w:bookmarkEnd w:id="3"/>
    </w:p>
    <w:p w:rsidR="008529A7" w:rsidRPr="00463A66" w:rsidP="002A7D34" w14:paraId="5A2B71F5" w14:textId="77777777">
      <w:pPr>
        <w:spacing w:after="220"/>
        <w:rPr>
          <w:rFonts w:ascii="Arial" w:eastAsia="Times New Roman" w:hAnsi="Arial" w:cs="Arial"/>
          <w:color w:val="000000"/>
          <w:sz w:val="22"/>
          <w:szCs w:val="22"/>
          <w:lang w:eastAsia="zh-CN"/>
        </w:rPr>
      </w:pPr>
      <w:r w:rsidRPr="00463A66">
        <w:rPr>
          <w:rFonts w:ascii="Arial" w:eastAsia="Times New Roman" w:hAnsi="Arial" w:cs="Arial"/>
          <w:b/>
          <w:bCs/>
          <w:color w:val="000000"/>
          <w:sz w:val="22"/>
          <w:szCs w:val="22"/>
          <w:lang w:eastAsia="zh-CN"/>
        </w:rPr>
        <w:t xml:space="preserve">Comment </w:t>
      </w:r>
      <w:r w:rsidRPr="00463A66" w:rsidR="00B651D6">
        <w:rPr>
          <w:rFonts w:ascii="Arial" w:eastAsia="Times New Roman" w:hAnsi="Arial" w:cs="Arial"/>
          <w:b/>
          <w:bCs/>
          <w:color w:val="000000"/>
          <w:sz w:val="22"/>
          <w:szCs w:val="22"/>
          <w:lang w:eastAsia="zh-CN"/>
        </w:rPr>
        <w:t xml:space="preserve">Bin </w:t>
      </w:r>
      <w:r w:rsidRPr="00463A66">
        <w:rPr>
          <w:rFonts w:ascii="Arial" w:eastAsia="Times New Roman" w:hAnsi="Arial" w:cs="Arial"/>
          <w:b/>
          <w:bCs/>
          <w:color w:val="000000"/>
          <w:sz w:val="22"/>
          <w:szCs w:val="22"/>
          <w:lang w:eastAsia="zh-CN"/>
        </w:rPr>
        <w:t>1.1.A:</w:t>
      </w:r>
      <w:r w:rsidRPr="00463A66">
        <w:rPr>
          <w:rFonts w:ascii="Arial" w:eastAsia="Times New Roman" w:hAnsi="Arial" w:cs="Arial"/>
          <w:color w:val="000000"/>
          <w:sz w:val="22"/>
          <w:szCs w:val="22"/>
          <w:lang w:eastAsia="zh-CN"/>
        </w:rPr>
        <w:t xml:space="preserve"> </w:t>
      </w:r>
      <w:r w:rsidRPr="00463A66">
        <w:rPr>
          <w:rFonts w:ascii="Arial" w:eastAsia="DengXian" w:hAnsi="Arial" w:cs="Arial"/>
          <w:sz w:val="22"/>
          <w:szCs w:val="22"/>
          <w:lang w:eastAsia="ja-JP"/>
        </w:rPr>
        <w:t>Several commenters expressed support for the proposed rule (</w:t>
      </w:r>
      <w:r w:rsidR="00E80C4B">
        <w:rPr>
          <w:rFonts w:ascii="Arial" w:eastAsia="Times New Roman" w:hAnsi="Arial" w:cs="Arial"/>
          <w:color w:val="000000"/>
          <w:sz w:val="22"/>
          <w:szCs w:val="22"/>
          <w:lang w:eastAsia="zh-CN"/>
        </w:rPr>
        <w:t>SC</w:t>
      </w:r>
      <w:r w:rsidRPr="00463A66">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007131C1">
        <w:rPr>
          <w:rFonts w:ascii="Arial" w:eastAsia="Times New Roman" w:hAnsi="Arial" w:cs="Arial"/>
          <w:color w:val="000000"/>
          <w:sz w:val="22"/>
          <w:szCs w:val="22"/>
          <w:lang w:eastAsia="zh-CN"/>
        </w:rPr>
        <w:t>FF</w:t>
      </w:r>
      <w:r w:rsidRPr="00463A66">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00B401ED">
        <w:rPr>
          <w:rFonts w:ascii="Arial" w:eastAsia="Times New Roman" w:hAnsi="Arial" w:cs="Arial"/>
          <w:color w:val="000000"/>
          <w:sz w:val="22"/>
          <w:szCs w:val="22"/>
          <w:lang w:eastAsia="zh-CN"/>
        </w:rPr>
        <w:t>NP</w:t>
      </w:r>
      <w:r w:rsidRPr="00463A66">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00B401ED">
        <w:rPr>
          <w:rFonts w:ascii="Arial" w:eastAsia="Times New Roman" w:hAnsi="Arial" w:cs="Arial"/>
          <w:color w:val="000000"/>
          <w:sz w:val="22"/>
          <w:szCs w:val="22"/>
          <w:lang w:eastAsia="zh-CN"/>
        </w:rPr>
        <w:t>NP</w:t>
      </w:r>
      <w:r w:rsidRPr="00463A66">
        <w:rPr>
          <w:rFonts w:ascii="Arial" w:eastAsia="Times New Roman" w:hAnsi="Arial" w:cs="Arial"/>
          <w:color w:val="000000"/>
          <w:sz w:val="22"/>
          <w:szCs w:val="22"/>
          <w:lang w:eastAsia="zh-CN"/>
        </w:rPr>
        <w:t>-0005</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007131C1">
        <w:rPr>
          <w:rFonts w:ascii="Arial" w:eastAsia="Times New Roman" w:hAnsi="Arial" w:cs="Arial"/>
          <w:color w:val="000000"/>
          <w:sz w:val="22"/>
          <w:szCs w:val="22"/>
          <w:lang w:eastAsia="zh-CN"/>
        </w:rPr>
        <w:t>RH</w:t>
      </w:r>
      <w:r w:rsidRPr="00463A66">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Pr="0094577D" w:rsidR="0094577D">
        <w:rPr>
          <w:rFonts w:ascii="Arial" w:eastAsia="Times New Roman" w:hAnsi="Arial" w:cs="Arial"/>
          <w:color w:val="000000"/>
          <w:sz w:val="22"/>
          <w:szCs w:val="22"/>
        </w:rPr>
        <w:t>MR</w:t>
      </w:r>
      <w:r w:rsidRPr="0094577D">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0001, </w:t>
      </w:r>
      <w:r w:rsidR="007131C1">
        <w:rPr>
          <w:rFonts w:ascii="Arial" w:hAnsi="Arial" w:cs="Arial"/>
          <w:sz w:val="22"/>
          <w:szCs w:val="22"/>
        </w:rPr>
        <w:t>RH</w:t>
      </w:r>
      <w:r w:rsidRPr="00463A66">
        <w:rPr>
          <w:rFonts w:ascii="Arial" w:hAnsi="Arial" w:cs="Arial"/>
          <w:sz w:val="22"/>
          <w:szCs w:val="22"/>
        </w:rPr>
        <w:t>-0004</w:t>
      </w:r>
      <w:r w:rsidRPr="00463A66">
        <w:rPr>
          <w:rFonts w:ascii="Arial" w:eastAsia="Times New Roman" w:hAnsi="Arial" w:cs="Arial"/>
          <w:color w:val="000000"/>
          <w:sz w:val="22"/>
          <w:szCs w:val="22"/>
          <w:lang w:eastAsia="zh-CN"/>
        </w:rPr>
        <w:t>). One commenter said the proposed rule promotes nuclear innovation by using a flexible, faster, and simple approach to regulation, and it is a vital change to existing nuclear licensing frameworks (</w:t>
      </w:r>
      <w:r w:rsidR="00E80C4B">
        <w:rPr>
          <w:rFonts w:ascii="Arial" w:eastAsia="Times New Roman" w:hAnsi="Arial" w:cs="Arial"/>
          <w:color w:val="000000"/>
          <w:sz w:val="22"/>
          <w:szCs w:val="22"/>
          <w:lang w:eastAsia="zh-CN"/>
        </w:rPr>
        <w:t>SC</w:t>
      </w:r>
      <w:r w:rsidRPr="00463A66">
        <w:rPr>
          <w:rFonts w:ascii="Arial" w:eastAsia="Times New Roman" w:hAnsi="Arial" w:cs="Arial"/>
          <w:color w:val="000000"/>
          <w:sz w:val="22"/>
          <w:szCs w:val="22"/>
          <w:lang w:eastAsia="zh-CN"/>
        </w:rPr>
        <w:t xml:space="preserve">-0001). Another commenter said that they trust that NRC will take the time to look for ways to efficiently approve </w:t>
      </w:r>
      <w:r w:rsidR="00F95FB3">
        <w:rPr>
          <w:rFonts w:ascii="Arial" w:eastAsia="Times New Roman" w:hAnsi="Arial" w:cs="Arial"/>
          <w:color w:val="000000"/>
          <w:sz w:val="22"/>
          <w:szCs w:val="22"/>
          <w:lang w:eastAsia="zh-CN"/>
        </w:rPr>
        <w:t>a</w:t>
      </w:r>
      <w:r w:rsidRPr="00463A66">
        <w:rPr>
          <w:rFonts w:ascii="Arial" w:eastAsia="Times New Roman" w:hAnsi="Arial" w:cs="Arial"/>
          <w:color w:val="000000"/>
          <w:sz w:val="22"/>
          <w:szCs w:val="22"/>
          <w:lang w:eastAsia="zh-CN"/>
        </w:rPr>
        <w:t xml:space="preserve">dvanced </w:t>
      </w:r>
      <w:r w:rsidR="00F95FB3">
        <w:rPr>
          <w:rFonts w:ascii="Arial" w:eastAsia="Times New Roman" w:hAnsi="Arial" w:cs="Arial"/>
          <w:color w:val="000000"/>
          <w:sz w:val="22"/>
          <w:szCs w:val="22"/>
          <w:lang w:eastAsia="zh-CN"/>
        </w:rPr>
        <w:t>r</w:t>
      </w:r>
      <w:r w:rsidRPr="00463A66">
        <w:rPr>
          <w:rFonts w:ascii="Arial" w:eastAsia="Times New Roman" w:hAnsi="Arial" w:cs="Arial"/>
          <w:color w:val="000000"/>
          <w:sz w:val="22"/>
          <w:szCs w:val="22"/>
          <w:lang w:eastAsia="zh-CN"/>
        </w:rPr>
        <w:t>eactors while maintaining safety standards (</w:t>
      </w:r>
      <w:r w:rsidR="00704A39">
        <w:rPr>
          <w:rFonts w:ascii="Arial" w:eastAsia="Times New Roman" w:hAnsi="Arial" w:cs="Arial"/>
          <w:color w:val="000000"/>
          <w:sz w:val="22"/>
          <w:szCs w:val="22"/>
          <w:lang w:eastAsia="zh-CN"/>
        </w:rPr>
        <w:t>GA</w:t>
      </w:r>
      <w:r w:rsidRPr="00463A66">
        <w:rPr>
          <w:rFonts w:ascii="Arial" w:eastAsia="Times New Roman" w:hAnsi="Arial" w:cs="Arial"/>
          <w:color w:val="000000"/>
          <w:sz w:val="22"/>
          <w:szCs w:val="22"/>
          <w:lang w:eastAsia="zh-CN"/>
        </w:rPr>
        <w:t>-0002). Similarly, two commenters said that the proposed rule is necessary for improvements to the health and wellness of nuclear reactor workers (</w:t>
      </w:r>
      <w:r w:rsidR="00B401ED">
        <w:rPr>
          <w:rFonts w:ascii="Arial" w:eastAsia="Times New Roman" w:hAnsi="Arial" w:cs="Arial"/>
          <w:color w:val="000000"/>
          <w:sz w:val="22"/>
          <w:szCs w:val="22"/>
          <w:lang w:eastAsia="zh-CN"/>
        </w:rPr>
        <w:t>NP</w:t>
      </w:r>
      <w:r w:rsidRPr="00463A66">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463A66">
        <w:rPr>
          <w:rFonts w:ascii="Arial" w:eastAsia="Times New Roman" w:hAnsi="Arial" w:cs="Arial"/>
          <w:color w:val="000000"/>
          <w:sz w:val="22"/>
          <w:szCs w:val="22"/>
          <w:lang w:eastAsia="zh-CN"/>
        </w:rPr>
        <w:t xml:space="preserve"> </w:t>
      </w:r>
      <w:r w:rsidR="00B401ED">
        <w:rPr>
          <w:rFonts w:ascii="Arial" w:eastAsia="Times New Roman" w:hAnsi="Arial" w:cs="Arial"/>
          <w:color w:val="000000"/>
          <w:sz w:val="22"/>
          <w:szCs w:val="22"/>
          <w:lang w:eastAsia="zh-CN"/>
        </w:rPr>
        <w:t>NP</w:t>
      </w:r>
      <w:r w:rsidRPr="00463A66">
        <w:rPr>
          <w:rFonts w:ascii="Arial" w:eastAsia="Times New Roman" w:hAnsi="Arial" w:cs="Arial"/>
          <w:color w:val="000000"/>
          <w:sz w:val="22"/>
          <w:szCs w:val="22"/>
          <w:lang w:eastAsia="zh-CN"/>
        </w:rPr>
        <w:t>-0005). Another commenter said that through implementation of a risk-informed approach, the proposed rule effectively balances risk reduction and cost increases (</w:t>
      </w:r>
      <w:r w:rsidR="007131C1">
        <w:rPr>
          <w:rFonts w:ascii="Arial" w:hAnsi="Arial" w:cs="Arial"/>
          <w:sz w:val="22"/>
          <w:szCs w:val="22"/>
        </w:rPr>
        <w:t>RH</w:t>
      </w:r>
      <w:r w:rsidRPr="00463A66">
        <w:rPr>
          <w:rFonts w:ascii="Arial" w:hAnsi="Arial" w:cs="Arial"/>
          <w:sz w:val="22"/>
          <w:szCs w:val="22"/>
        </w:rPr>
        <w:t>-0004)</w:t>
      </w:r>
      <w:r w:rsidRPr="00463A66">
        <w:rPr>
          <w:rFonts w:ascii="Arial" w:eastAsia="Times New Roman" w:hAnsi="Arial" w:cs="Arial"/>
          <w:color w:val="000000"/>
          <w:sz w:val="22"/>
          <w:szCs w:val="22"/>
          <w:lang w:eastAsia="zh-CN"/>
        </w:rPr>
        <w:t>.</w:t>
      </w:r>
    </w:p>
    <w:p w:rsidR="00115171" w:rsidP="002A7D34" w14:paraId="4FBFB8E4" w14:textId="77777777">
      <w:pPr>
        <w:spacing w:after="220"/>
        <w:rPr>
          <w:rFonts w:ascii="Arial" w:eastAsia="DengXian" w:hAnsi="Arial" w:cs="Arial"/>
          <w:sz w:val="22"/>
          <w:szCs w:val="22"/>
          <w:lang w:eastAsia="ja-JP"/>
        </w:rPr>
      </w:pPr>
      <w:r w:rsidRPr="00463A66">
        <w:rPr>
          <w:rFonts w:ascii="Arial" w:eastAsia="Times New Roman" w:hAnsi="Arial" w:cs="Arial"/>
          <w:b/>
          <w:bCs/>
          <w:color w:val="000000"/>
          <w:sz w:val="22"/>
          <w:szCs w:val="22"/>
          <w:lang w:eastAsia="zh-CN"/>
        </w:rPr>
        <w:t xml:space="preserve">NRC </w:t>
      </w:r>
      <w:r w:rsidRPr="00463A66" w:rsidR="00884699">
        <w:rPr>
          <w:rFonts w:ascii="Arial" w:eastAsia="Times New Roman" w:hAnsi="Arial" w:cs="Arial"/>
          <w:b/>
          <w:bCs/>
          <w:color w:val="000000"/>
          <w:sz w:val="22"/>
          <w:szCs w:val="22"/>
          <w:lang w:eastAsia="zh-CN"/>
        </w:rPr>
        <w:t>Response:</w:t>
      </w:r>
      <w:r w:rsidRPr="00463A66" w:rsidR="00884699">
        <w:rPr>
          <w:rFonts w:ascii="Arial" w:eastAsia="Times New Roman" w:hAnsi="Arial" w:cs="Arial"/>
          <w:color w:val="000000"/>
          <w:sz w:val="22"/>
          <w:szCs w:val="22"/>
          <w:lang w:eastAsia="zh-CN"/>
        </w:rPr>
        <w:t xml:space="preserve"> </w:t>
      </w:r>
      <w:r w:rsidRPr="00463A66" w:rsidR="00884699">
        <w:rPr>
          <w:rFonts w:ascii="Arial" w:eastAsia="DengXian" w:hAnsi="Arial" w:cs="Arial"/>
          <w:sz w:val="22"/>
          <w:szCs w:val="22"/>
          <w:lang w:eastAsia="ja-JP"/>
        </w:rPr>
        <w:t>The NRC agrees with the comments.</w:t>
      </w:r>
    </w:p>
    <w:p w:rsidR="008529A7" w:rsidRPr="00463A66" w:rsidP="002A7D34" w14:paraId="0924EA75" w14:textId="77777777">
      <w:pPr>
        <w:spacing w:after="220"/>
        <w:rPr>
          <w:rFonts w:ascii="Arial" w:eastAsia="DengXian" w:hAnsi="Arial" w:cs="Arial"/>
          <w:sz w:val="22"/>
          <w:szCs w:val="22"/>
          <w:lang w:eastAsia="ja-JP"/>
        </w:rPr>
      </w:pPr>
      <w:r w:rsidRPr="00463A66">
        <w:rPr>
          <w:rFonts w:ascii="Arial" w:eastAsia="DengXian" w:hAnsi="Arial" w:cs="Arial"/>
          <w:sz w:val="22"/>
          <w:szCs w:val="22"/>
          <w:lang w:eastAsia="ja-JP"/>
        </w:rPr>
        <w:t xml:space="preserve">The comments support the proposed rule and suggest no changes to the proposed rule. </w:t>
      </w:r>
    </w:p>
    <w:p w:rsidR="00884699" w:rsidP="009732EC" w14:paraId="684345FF" w14:textId="77777777">
      <w:pPr>
        <w:spacing w:after="220"/>
        <w:rPr>
          <w:rFonts w:ascii="Arial" w:eastAsia="Times New Roman" w:hAnsi="Arial" w:cs="Arial"/>
          <w:lang w:eastAsia="zh-CN"/>
        </w:rPr>
      </w:pPr>
      <w:r w:rsidRPr="00463A66">
        <w:rPr>
          <w:rFonts w:ascii="Arial" w:eastAsia="DengXian" w:hAnsi="Arial" w:cs="Arial"/>
          <w:sz w:val="22"/>
          <w:szCs w:val="22"/>
          <w:lang w:eastAsia="ja-JP"/>
        </w:rPr>
        <w:t>Accordingly, the NRC did not change the rule language in response to these comments.</w:t>
      </w:r>
      <w:r w:rsidRPr="002811E7" w:rsidR="002811E7">
        <w:rPr>
          <w:rFonts w:ascii="Arial" w:eastAsia="Times New Roman" w:hAnsi="Arial" w:cs="Arial"/>
          <w:lang w:eastAsia="zh-CN"/>
        </w:rPr>
        <w:t xml:space="preserve"> </w:t>
      </w:r>
      <w:r>
        <w:rPr>
          <w:rFonts w:ascii="Arial" w:eastAsia="Times New Roman" w:hAnsi="Arial" w:cs="Arial"/>
          <w:lang w:eastAsia="zh-CN"/>
        </w:rPr>
        <w:pict>
          <v:rect id="_x0000_i1033" style="width:468pt;height:1.5pt" o:hrpct="0" o:hralign="center" o:hrstd="t" o:hrnoshade="t" o:hr="t" fillcolor="black" stroked="f"/>
        </w:pict>
      </w:r>
    </w:p>
    <w:p w:rsidR="00AC1417" w:rsidRPr="008E7D81" w:rsidP="0087274E" w14:paraId="77E12A04" w14:textId="77777777">
      <w:pPr>
        <w:pStyle w:val="Heading2"/>
        <w:numPr>
          <w:ilvl w:val="0"/>
          <w:numId w:val="0"/>
        </w:numPr>
        <w:ind w:left="720" w:hanging="720"/>
      </w:pPr>
      <w:bookmarkStart w:id="4" w:name="_Toc194466453"/>
      <w:bookmarkStart w:id="5" w:name="_Toc207222795"/>
      <w:r w:rsidRPr="0087274E">
        <w:rPr>
          <w:u w:val="none"/>
        </w:rPr>
        <w:t>1.2.</w:t>
      </w:r>
      <w:r w:rsidRPr="0087274E">
        <w:rPr>
          <w:u w:val="none"/>
        </w:rPr>
        <w:tab/>
      </w:r>
      <w:r w:rsidRPr="008E7D81">
        <w:t>General opposition to the proposed rule</w:t>
      </w:r>
      <w:bookmarkEnd w:id="4"/>
      <w:bookmarkEnd w:id="5"/>
    </w:p>
    <w:p w:rsidR="00AC1417" w:rsidP="009732EC" w14:paraId="1415C841" w14:textId="77777777">
      <w:pPr>
        <w:spacing w:after="220"/>
        <w:rPr>
          <w:rFonts w:ascii="Arial" w:eastAsia="Times New Roman" w:hAnsi="Arial" w:cs="Arial"/>
          <w:color w:val="000000"/>
          <w:sz w:val="22"/>
          <w:szCs w:val="22"/>
          <w:lang w:eastAsia="zh-CN"/>
        </w:rPr>
      </w:pPr>
      <w:r w:rsidRPr="00463A66">
        <w:rPr>
          <w:rFonts w:ascii="Arial" w:eastAsia="Times New Roman" w:hAnsi="Arial" w:cs="Arial"/>
          <w:b/>
          <w:bCs/>
          <w:color w:val="000000"/>
          <w:sz w:val="22"/>
          <w:szCs w:val="22"/>
          <w:lang w:eastAsia="zh-CN"/>
        </w:rPr>
        <w:t xml:space="preserve">Comment </w:t>
      </w:r>
      <w:r w:rsidRPr="00463A66" w:rsidR="00B651D6">
        <w:rPr>
          <w:rFonts w:ascii="Arial" w:eastAsia="Times New Roman" w:hAnsi="Arial" w:cs="Arial"/>
          <w:b/>
          <w:bCs/>
          <w:color w:val="000000"/>
          <w:sz w:val="22"/>
          <w:szCs w:val="22"/>
          <w:lang w:eastAsia="zh-CN"/>
        </w:rPr>
        <w:t xml:space="preserve">Bin </w:t>
      </w:r>
      <w:r w:rsidRPr="00463A66">
        <w:rPr>
          <w:rFonts w:ascii="Arial" w:eastAsia="Times New Roman" w:hAnsi="Arial" w:cs="Arial"/>
          <w:b/>
          <w:bCs/>
          <w:color w:val="000000"/>
          <w:sz w:val="22"/>
          <w:szCs w:val="22"/>
          <w:lang w:eastAsia="zh-CN"/>
        </w:rPr>
        <w:t xml:space="preserve">1.2.A: </w:t>
      </w:r>
      <w:r w:rsidRPr="00463A66">
        <w:rPr>
          <w:rFonts w:ascii="Arial" w:eastAsia="Times New Roman" w:hAnsi="Arial" w:cs="Arial"/>
          <w:color w:val="000000"/>
          <w:sz w:val="22"/>
          <w:szCs w:val="22"/>
          <w:lang w:eastAsia="zh-CN"/>
        </w:rPr>
        <w:t>A commenter said that NRC’s approach is overly conservative with arbitrary and complex performance requirements (</w:t>
      </w:r>
      <w:r w:rsidR="00C3447B">
        <w:rPr>
          <w:rFonts w:ascii="Arial" w:eastAsia="Times New Roman" w:hAnsi="Arial" w:cs="Arial"/>
          <w:color w:val="000000"/>
          <w:sz w:val="22"/>
          <w:szCs w:val="22"/>
          <w:lang w:eastAsia="zh-CN"/>
        </w:rPr>
        <w:t>NNY</w:t>
      </w:r>
      <w:r w:rsidRPr="00463A66">
        <w:rPr>
          <w:rFonts w:ascii="Arial" w:eastAsia="Times New Roman" w:hAnsi="Arial" w:cs="Arial"/>
          <w:color w:val="000000"/>
          <w:sz w:val="22"/>
          <w:szCs w:val="22"/>
          <w:lang w:eastAsia="zh-CN"/>
        </w:rPr>
        <w:t>-0003).</w:t>
      </w:r>
    </w:p>
    <w:p w:rsidR="002F7B36" w:rsidRPr="00463A66" w:rsidP="009732EC" w14:paraId="22B00F33" w14:textId="77777777">
      <w:pPr>
        <w:spacing w:after="220"/>
        <w:rPr>
          <w:rFonts w:ascii="Arial" w:eastAsia="DengXian" w:hAnsi="Arial" w:cs="Arial"/>
          <w:sz w:val="22"/>
          <w:szCs w:val="22"/>
          <w:lang w:eastAsia="ja-JP"/>
        </w:rPr>
      </w:pPr>
      <w:r w:rsidRPr="00463A66">
        <w:rPr>
          <w:rFonts w:ascii="Arial" w:eastAsia="Times New Roman" w:hAnsi="Arial" w:cs="Arial"/>
          <w:b/>
          <w:bCs/>
          <w:color w:val="000000"/>
          <w:sz w:val="22"/>
          <w:szCs w:val="22"/>
          <w:lang w:eastAsia="zh-CN"/>
        </w:rPr>
        <w:t>NRC Response:</w:t>
      </w:r>
      <w:r w:rsidRPr="00463A66">
        <w:rPr>
          <w:rFonts w:ascii="Arial" w:eastAsia="Times New Roman" w:hAnsi="Arial" w:cs="Arial"/>
          <w:color w:val="000000"/>
          <w:sz w:val="22"/>
          <w:szCs w:val="22"/>
          <w:lang w:eastAsia="zh-CN"/>
        </w:rPr>
        <w:t xml:space="preserve"> </w:t>
      </w:r>
      <w:r w:rsidRPr="00463A66">
        <w:rPr>
          <w:rFonts w:ascii="Arial" w:eastAsia="DengXian" w:hAnsi="Arial" w:cs="Arial"/>
          <w:sz w:val="22"/>
          <w:szCs w:val="22"/>
          <w:lang w:eastAsia="ja-JP"/>
        </w:rPr>
        <w:t>The NRC disagrees with th</w:t>
      </w:r>
      <w:r w:rsidR="0096170F">
        <w:rPr>
          <w:rFonts w:ascii="Arial" w:eastAsia="DengXian" w:hAnsi="Arial" w:cs="Arial"/>
          <w:sz w:val="22"/>
          <w:szCs w:val="22"/>
          <w:lang w:eastAsia="ja-JP"/>
        </w:rPr>
        <w:t>e</w:t>
      </w:r>
      <w:r w:rsidRPr="00463A66">
        <w:rPr>
          <w:rFonts w:ascii="Arial" w:eastAsia="DengXian" w:hAnsi="Arial" w:cs="Arial"/>
          <w:sz w:val="22"/>
          <w:szCs w:val="22"/>
          <w:lang w:eastAsia="ja-JP"/>
        </w:rPr>
        <w:t xml:space="preserve"> comment.</w:t>
      </w:r>
    </w:p>
    <w:p w:rsidR="00386248" w:rsidRPr="008529A7" w:rsidP="009732EC" w14:paraId="5743EA19" w14:textId="77777777">
      <w:pPr>
        <w:spacing w:after="220"/>
        <w:rPr>
          <w:rFonts w:ascii="Arial" w:eastAsia="DengXian" w:hAnsi="Arial" w:cs="Arial"/>
          <w:sz w:val="22"/>
          <w:szCs w:val="22"/>
          <w:lang w:eastAsia="ja-JP"/>
        </w:rPr>
      </w:pPr>
      <w:r w:rsidRPr="00463A66">
        <w:rPr>
          <w:rFonts w:ascii="Arial" w:eastAsia="DengXian" w:hAnsi="Arial" w:cs="Arial"/>
          <w:sz w:val="22"/>
          <w:szCs w:val="22"/>
          <w:lang w:eastAsia="ja-JP"/>
        </w:rPr>
        <w:t>The final rule’s technology</w:t>
      </w:r>
      <w:r w:rsidRPr="00463A66" w:rsidR="00802F99">
        <w:rPr>
          <w:rFonts w:ascii="Arial" w:eastAsia="DengXian" w:hAnsi="Arial" w:cs="Arial"/>
          <w:sz w:val="22"/>
          <w:szCs w:val="22"/>
          <w:lang w:eastAsia="ja-JP"/>
        </w:rPr>
        <w:noBreakHyphen/>
        <w:t>inclusive</w:t>
      </w:r>
      <w:r w:rsidRPr="00463A66">
        <w:rPr>
          <w:rFonts w:ascii="Arial" w:eastAsia="DengXian" w:hAnsi="Arial" w:cs="Arial"/>
          <w:sz w:val="22"/>
          <w:szCs w:val="22"/>
          <w:lang w:eastAsia="ja-JP"/>
        </w:rPr>
        <w:t xml:space="preserve">, performance-based approach provides </w:t>
      </w:r>
      <w:r w:rsidR="00917C00">
        <w:rPr>
          <w:rFonts w:ascii="Arial" w:eastAsia="DengXian" w:hAnsi="Arial" w:cs="Arial"/>
          <w:sz w:val="22"/>
          <w:szCs w:val="22"/>
          <w:lang w:eastAsia="ja-JP"/>
        </w:rPr>
        <w:t>a set of requirements that provide an equivalent level of</w:t>
      </w:r>
      <w:r w:rsidR="002E4A6A">
        <w:rPr>
          <w:rFonts w:ascii="Arial" w:eastAsia="DengXian" w:hAnsi="Arial" w:cs="Arial"/>
          <w:sz w:val="22"/>
          <w:szCs w:val="22"/>
          <w:lang w:eastAsia="ja-JP"/>
        </w:rPr>
        <w:t xml:space="preserve"> safety to existing </w:t>
      </w:r>
      <w:r w:rsidR="008F2B98">
        <w:rPr>
          <w:rFonts w:ascii="Arial" w:eastAsia="DengXian" w:hAnsi="Arial" w:cs="Arial"/>
          <w:sz w:val="22"/>
          <w:szCs w:val="22"/>
          <w:lang w:eastAsia="ja-JP"/>
        </w:rPr>
        <w:t xml:space="preserve">regulatory frameworks that </w:t>
      </w:r>
      <w:r w:rsidR="003B0F86">
        <w:rPr>
          <w:rFonts w:ascii="Arial" w:eastAsia="DengXian" w:hAnsi="Arial" w:cs="Arial"/>
          <w:sz w:val="22"/>
          <w:szCs w:val="22"/>
          <w:lang w:eastAsia="ja-JP"/>
        </w:rPr>
        <w:t xml:space="preserve">ensure </w:t>
      </w:r>
      <w:r w:rsidR="00DC38B2">
        <w:rPr>
          <w:rFonts w:ascii="Arial" w:eastAsia="DengXian" w:hAnsi="Arial" w:cs="Arial"/>
          <w:sz w:val="22"/>
          <w:szCs w:val="22"/>
          <w:lang w:eastAsia="ja-JP"/>
        </w:rPr>
        <w:t>the</w:t>
      </w:r>
      <w:r w:rsidRPr="00463A66">
        <w:rPr>
          <w:rFonts w:ascii="Arial" w:eastAsia="DengXian" w:hAnsi="Arial" w:cs="Arial"/>
          <w:sz w:val="22"/>
          <w:szCs w:val="22"/>
          <w:lang w:eastAsia="ja-JP"/>
        </w:rPr>
        <w:t xml:space="preserve"> reasonable </w:t>
      </w:r>
      <w:r w:rsidRPr="008529A7">
        <w:rPr>
          <w:rFonts w:ascii="Arial" w:eastAsia="DengXian" w:hAnsi="Arial" w:cs="Arial"/>
          <w:sz w:val="22"/>
          <w:szCs w:val="22"/>
          <w:lang w:eastAsia="ja-JP"/>
        </w:rPr>
        <w:t>assurance of adequate protection of public health and safety</w:t>
      </w:r>
      <w:r w:rsidR="00B41CD6">
        <w:rPr>
          <w:rFonts w:ascii="Arial" w:eastAsia="DengXian" w:hAnsi="Arial" w:cs="Arial"/>
          <w:sz w:val="22"/>
          <w:szCs w:val="22"/>
          <w:lang w:eastAsia="ja-JP"/>
        </w:rPr>
        <w:t>.</w:t>
      </w:r>
      <w:r w:rsidRPr="008529A7">
        <w:rPr>
          <w:rFonts w:ascii="Arial" w:eastAsia="DengXian" w:hAnsi="Arial" w:cs="Arial"/>
          <w:sz w:val="22"/>
          <w:szCs w:val="22"/>
          <w:lang w:eastAsia="ja-JP"/>
        </w:rPr>
        <w:t xml:space="preserve"> </w:t>
      </w:r>
      <w:r w:rsidR="00E74746">
        <w:rPr>
          <w:rFonts w:ascii="Arial" w:eastAsia="DengXian" w:hAnsi="Arial" w:cs="Arial"/>
          <w:sz w:val="22"/>
          <w:szCs w:val="22"/>
          <w:lang w:eastAsia="ja-JP"/>
        </w:rPr>
        <w:t xml:space="preserve">Extensive </w:t>
      </w:r>
      <w:r w:rsidRPr="008529A7">
        <w:rPr>
          <w:rFonts w:ascii="Arial" w:eastAsia="DengXian" w:hAnsi="Arial" w:cs="Arial"/>
          <w:sz w:val="22"/>
          <w:szCs w:val="22"/>
          <w:lang w:eastAsia="ja-JP"/>
        </w:rPr>
        <w:t>input from all stakeholders</w:t>
      </w:r>
      <w:r w:rsidR="002B7906">
        <w:rPr>
          <w:rFonts w:ascii="Arial" w:eastAsia="DengXian" w:hAnsi="Arial" w:cs="Arial"/>
          <w:sz w:val="22"/>
          <w:szCs w:val="22"/>
          <w:lang w:eastAsia="ja-JP"/>
        </w:rPr>
        <w:t xml:space="preserve"> </w:t>
      </w:r>
      <w:r w:rsidR="002E7791">
        <w:rPr>
          <w:rFonts w:ascii="Arial" w:eastAsia="DengXian" w:hAnsi="Arial" w:cs="Arial"/>
          <w:sz w:val="22"/>
          <w:szCs w:val="22"/>
          <w:lang w:eastAsia="ja-JP"/>
        </w:rPr>
        <w:t>ha</w:t>
      </w:r>
      <w:r w:rsidR="00E74746">
        <w:rPr>
          <w:rFonts w:ascii="Arial" w:eastAsia="DengXian" w:hAnsi="Arial" w:cs="Arial"/>
          <w:sz w:val="22"/>
          <w:szCs w:val="22"/>
          <w:lang w:eastAsia="ja-JP"/>
        </w:rPr>
        <w:t>s</w:t>
      </w:r>
      <w:r w:rsidR="008B61A3">
        <w:rPr>
          <w:rFonts w:ascii="Arial" w:eastAsia="DengXian" w:hAnsi="Arial" w:cs="Arial"/>
          <w:sz w:val="22"/>
          <w:szCs w:val="22"/>
          <w:lang w:eastAsia="ja-JP"/>
        </w:rPr>
        <w:t xml:space="preserve"> </w:t>
      </w:r>
      <w:r w:rsidR="00FE69BB">
        <w:rPr>
          <w:rFonts w:ascii="Arial" w:eastAsia="DengXian" w:hAnsi="Arial" w:cs="Arial"/>
          <w:sz w:val="22"/>
          <w:szCs w:val="22"/>
          <w:lang w:eastAsia="ja-JP"/>
        </w:rPr>
        <w:t xml:space="preserve">significantly contributed to the </w:t>
      </w:r>
      <w:r w:rsidR="00386EC0">
        <w:rPr>
          <w:rFonts w:ascii="Arial" w:eastAsia="DengXian" w:hAnsi="Arial" w:cs="Arial"/>
          <w:sz w:val="22"/>
          <w:szCs w:val="22"/>
          <w:lang w:eastAsia="ja-JP"/>
        </w:rPr>
        <w:t>efficacy</w:t>
      </w:r>
      <w:r w:rsidR="00ED007A">
        <w:rPr>
          <w:rFonts w:ascii="Arial" w:eastAsia="DengXian" w:hAnsi="Arial" w:cs="Arial"/>
          <w:sz w:val="22"/>
          <w:szCs w:val="22"/>
          <w:lang w:eastAsia="ja-JP"/>
        </w:rPr>
        <w:t xml:space="preserve"> </w:t>
      </w:r>
      <w:r w:rsidR="00FE69BB">
        <w:rPr>
          <w:rFonts w:ascii="Arial" w:eastAsia="DengXian" w:hAnsi="Arial" w:cs="Arial"/>
          <w:sz w:val="22"/>
          <w:szCs w:val="22"/>
          <w:lang w:eastAsia="ja-JP"/>
        </w:rPr>
        <w:t>of the</w:t>
      </w:r>
      <w:r w:rsidR="00D21B24">
        <w:rPr>
          <w:rFonts w:ascii="Arial" w:eastAsia="DengXian" w:hAnsi="Arial" w:cs="Arial"/>
          <w:sz w:val="22"/>
          <w:szCs w:val="22"/>
          <w:lang w:eastAsia="ja-JP"/>
        </w:rPr>
        <w:t xml:space="preserve"> </w:t>
      </w:r>
      <w:r w:rsidR="008B61A3">
        <w:rPr>
          <w:rFonts w:ascii="Arial" w:eastAsia="DengXian" w:hAnsi="Arial" w:cs="Arial"/>
          <w:sz w:val="22"/>
          <w:szCs w:val="22"/>
          <w:lang w:eastAsia="ja-JP"/>
        </w:rPr>
        <w:t>performance requirements</w:t>
      </w:r>
      <w:r w:rsidRPr="008529A7">
        <w:rPr>
          <w:rFonts w:ascii="Arial" w:eastAsia="DengXian" w:hAnsi="Arial" w:cs="Arial"/>
          <w:sz w:val="22"/>
          <w:szCs w:val="22"/>
          <w:lang w:eastAsia="ja-JP"/>
        </w:rPr>
        <w:t>.</w:t>
      </w:r>
    </w:p>
    <w:p w:rsidR="00AE7E1D" w:rsidP="009732EC" w14:paraId="6378A15D" w14:textId="77777777">
      <w:pPr>
        <w:spacing w:after="220"/>
        <w:rPr>
          <w:rFonts w:ascii="Arial" w:eastAsia="DengXian" w:hAnsi="Arial" w:cs="Arial"/>
          <w:sz w:val="22"/>
          <w:szCs w:val="22"/>
          <w:lang w:eastAsia="ja-JP"/>
        </w:rPr>
      </w:pPr>
      <w:r w:rsidRPr="008529A7">
        <w:rPr>
          <w:rFonts w:ascii="Arial" w:eastAsia="DengXian" w:hAnsi="Arial" w:cs="Arial"/>
          <w:sz w:val="22"/>
          <w:szCs w:val="22"/>
          <w:lang w:eastAsia="ja-JP"/>
        </w:rPr>
        <w:t>Accordingly, the NRC did not change the rule language in response to this comment.</w:t>
      </w:r>
    </w:p>
    <w:p w:rsidR="009D105C" w:rsidRPr="008529A7" w:rsidP="009732EC" w14:paraId="25D35649" w14:textId="77777777">
      <w:pPr>
        <w:spacing w:after="220"/>
        <w:rPr>
          <w:rFonts w:ascii="Arial" w:hAnsi="Arial" w:cs="Arial"/>
          <w:sz w:val="22"/>
          <w:szCs w:val="22"/>
        </w:rPr>
      </w:pPr>
      <w:r>
        <w:rPr>
          <w:rFonts w:ascii="Arial" w:hAnsi="Arial" w:cs="Arial"/>
          <w:sz w:val="22"/>
          <w:szCs w:val="22"/>
        </w:rPr>
        <w:pict>
          <v:rect id="_x0000_i1034" style="width:468pt;height:1.5pt" o:hrpct="0" o:hralign="center" o:hrstd="t" o:hrnoshade="t" o:hr="t" fillcolor="black" stroked="f"/>
        </w:pict>
      </w:r>
    </w:p>
    <w:p w:rsidR="00AC1417" w:rsidP="009732EC" w14:paraId="37A1FEC5" w14:textId="77777777">
      <w:pPr>
        <w:spacing w:after="220"/>
        <w:rPr>
          <w:rFonts w:ascii="Arial" w:eastAsia="Times New Roman" w:hAnsi="Arial" w:cs="Arial"/>
          <w:color w:val="000000" w:themeColor="text1"/>
          <w:sz w:val="22"/>
          <w:szCs w:val="22"/>
          <w:lang w:eastAsia="zh-CN"/>
        </w:rPr>
      </w:pPr>
      <w:r w:rsidRPr="008529A7">
        <w:rPr>
          <w:rFonts w:ascii="Arial" w:eastAsia="Times New Roman" w:hAnsi="Arial" w:cs="Arial"/>
          <w:b/>
          <w:bCs/>
          <w:color w:val="000000"/>
          <w:sz w:val="22"/>
          <w:szCs w:val="22"/>
          <w:lang w:eastAsia="zh-CN"/>
        </w:rPr>
        <w:t xml:space="preserve">Comment </w:t>
      </w:r>
      <w:r w:rsidRPr="008529A7" w:rsidR="00B651D6">
        <w:rPr>
          <w:rFonts w:ascii="Arial" w:eastAsia="Times New Roman" w:hAnsi="Arial" w:cs="Arial"/>
          <w:b/>
          <w:bCs/>
          <w:color w:val="000000"/>
          <w:sz w:val="22"/>
          <w:szCs w:val="22"/>
          <w:lang w:eastAsia="zh-CN"/>
        </w:rPr>
        <w:t xml:space="preserve">Bin </w:t>
      </w:r>
      <w:r w:rsidRPr="008529A7">
        <w:rPr>
          <w:rFonts w:ascii="Arial" w:eastAsia="Times New Roman" w:hAnsi="Arial" w:cs="Arial"/>
          <w:b/>
          <w:bCs/>
          <w:color w:val="000000"/>
          <w:sz w:val="22"/>
          <w:szCs w:val="22"/>
          <w:lang w:eastAsia="zh-CN"/>
        </w:rPr>
        <w:t xml:space="preserve">1.2.B: </w:t>
      </w:r>
      <w:r w:rsidRPr="008529A7">
        <w:rPr>
          <w:rFonts w:ascii="Arial" w:eastAsia="DengXian" w:hAnsi="Arial" w:cs="Arial"/>
          <w:sz w:val="22"/>
          <w:szCs w:val="22"/>
          <w:lang w:eastAsia="ja-JP"/>
        </w:rPr>
        <w:t>A</w:t>
      </w:r>
      <w:r w:rsidRPr="008529A7">
        <w:rPr>
          <w:rFonts w:ascii="Arial" w:hAnsi="Arial" w:cs="Arial"/>
          <w:sz w:val="22"/>
          <w:szCs w:val="22"/>
        </w:rPr>
        <w:t xml:space="preserve"> </w:t>
      </w:r>
      <w:r w:rsidRPr="008529A7">
        <w:rPr>
          <w:rFonts w:ascii="Arial" w:eastAsia="DengXian" w:hAnsi="Arial" w:cs="Arial"/>
          <w:sz w:val="22"/>
          <w:szCs w:val="22"/>
          <w:lang w:eastAsia="ja-JP"/>
        </w:rPr>
        <w:t xml:space="preserve">commenter criticized the idea of a “flexible” regulatory framework where safety is a secondary concern and said that there was a lack of transparency when it came to </w:t>
      </w:r>
      <w:r w:rsidRPr="008529A7">
        <w:rPr>
          <w:rFonts w:ascii="Arial" w:eastAsia="Times New Roman" w:hAnsi="Arial" w:cs="Arial"/>
          <w:color w:val="000000" w:themeColor="text1"/>
          <w:sz w:val="22"/>
          <w:szCs w:val="22"/>
          <w:lang w:eastAsia="zh-CN"/>
        </w:rPr>
        <w:t>public safety and environmental impact (</w:t>
      </w:r>
      <w:r w:rsidRPr="00A02F0C" w:rsidR="00A02F0C">
        <w:rPr>
          <w:rFonts w:ascii="Arial" w:eastAsia="Times New Roman" w:hAnsi="Arial" w:cs="Arial"/>
          <w:color w:val="000000"/>
          <w:sz w:val="22"/>
          <w:szCs w:val="22"/>
        </w:rPr>
        <w:t>AN3</w:t>
      </w:r>
      <w:r w:rsidRPr="00A02F0C">
        <w:rPr>
          <w:rFonts w:ascii="Arial" w:eastAsia="Times New Roman" w:hAnsi="Arial" w:cs="Arial"/>
          <w:color w:val="000000" w:themeColor="text1"/>
          <w:sz w:val="22"/>
          <w:szCs w:val="22"/>
          <w:lang w:eastAsia="zh-CN"/>
        </w:rPr>
        <w:t>-0</w:t>
      </w:r>
      <w:r w:rsidRPr="008529A7">
        <w:rPr>
          <w:rFonts w:ascii="Arial" w:eastAsia="Times New Roman" w:hAnsi="Arial" w:cs="Arial"/>
          <w:color w:val="000000" w:themeColor="text1"/>
          <w:sz w:val="22"/>
          <w:szCs w:val="22"/>
          <w:lang w:eastAsia="zh-CN"/>
        </w:rPr>
        <w:t>001). Another</w:t>
      </w:r>
      <w:r w:rsidRPr="008529A7" w:rsidR="00FE6A2D">
        <w:rPr>
          <w:rFonts w:ascii="Arial" w:eastAsia="Times New Roman" w:hAnsi="Arial" w:cs="Arial"/>
          <w:color w:val="000000" w:themeColor="text1"/>
          <w:sz w:val="22"/>
          <w:szCs w:val="22"/>
          <w:lang w:eastAsia="zh-CN"/>
        </w:rPr>
        <w:t xml:space="preserve"> </w:t>
      </w:r>
      <w:r w:rsidRPr="008529A7" w:rsidR="00FE6A2D">
        <w:rPr>
          <w:rFonts w:ascii="Arial" w:eastAsia="DengXian" w:hAnsi="Arial" w:cs="Arial"/>
          <w:sz w:val="22"/>
          <w:szCs w:val="22"/>
          <w:lang w:eastAsia="ja-JP"/>
        </w:rPr>
        <w:t xml:space="preserve">commenter discussed the history of the </w:t>
      </w:r>
      <w:r w:rsidR="00F95FB3">
        <w:rPr>
          <w:rFonts w:ascii="Arial" w:eastAsia="DengXian" w:hAnsi="Arial" w:cs="Arial"/>
          <w:sz w:val="22"/>
          <w:szCs w:val="22"/>
          <w:lang w:eastAsia="ja-JP"/>
        </w:rPr>
        <w:t>F</w:t>
      </w:r>
      <w:r w:rsidRPr="008529A7" w:rsidR="00FE6A2D">
        <w:rPr>
          <w:rFonts w:ascii="Arial" w:eastAsia="DengXian" w:hAnsi="Arial" w:cs="Arial"/>
          <w:sz w:val="22"/>
          <w:szCs w:val="22"/>
          <w:lang w:eastAsia="ja-JP"/>
        </w:rPr>
        <w:t xml:space="preserve">ederal </w:t>
      </w:r>
      <w:r w:rsidR="00F95FB3">
        <w:rPr>
          <w:rFonts w:ascii="Arial" w:eastAsia="DengXian" w:hAnsi="Arial" w:cs="Arial"/>
          <w:sz w:val="22"/>
          <w:szCs w:val="22"/>
          <w:lang w:eastAsia="ja-JP"/>
        </w:rPr>
        <w:t>G</w:t>
      </w:r>
      <w:r w:rsidRPr="008529A7" w:rsidR="00FE6A2D">
        <w:rPr>
          <w:rFonts w:ascii="Arial" w:eastAsia="DengXian" w:hAnsi="Arial" w:cs="Arial"/>
          <w:sz w:val="22"/>
          <w:szCs w:val="22"/>
          <w:lang w:eastAsia="ja-JP"/>
        </w:rPr>
        <w:t>overnment’s regulations for aircraft and nuclear reactors generally in contrast to the new proposed regulations</w:t>
      </w:r>
      <w:r w:rsidRPr="008529A7" w:rsidR="00FE6A2D">
        <w:rPr>
          <w:rFonts w:ascii="Arial" w:hAnsi="Arial" w:cs="Arial"/>
          <w:bCs/>
          <w:sz w:val="22"/>
          <w:szCs w:val="22"/>
        </w:rPr>
        <w:t>. The</w:t>
      </w:r>
      <w:r w:rsidRPr="008529A7">
        <w:rPr>
          <w:rFonts w:ascii="Arial" w:eastAsia="Times New Roman" w:hAnsi="Arial" w:cs="Arial"/>
          <w:color w:val="000000" w:themeColor="text1"/>
          <w:sz w:val="22"/>
          <w:szCs w:val="22"/>
          <w:lang w:eastAsia="zh-CN"/>
        </w:rPr>
        <w:t xml:space="preserve"> commenter said that the regulations are not sufficiently protective of the public (</w:t>
      </w:r>
      <w:r w:rsidRPr="003014D9" w:rsidR="003014D9">
        <w:rPr>
          <w:rFonts w:ascii="Arial" w:eastAsia="Times New Roman" w:hAnsi="Arial" w:cs="Arial"/>
          <w:color w:val="000000"/>
          <w:sz w:val="22"/>
          <w:szCs w:val="22"/>
        </w:rPr>
        <w:t>TG1</w:t>
      </w:r>
      <w:r w:rsidRPr="008529A7">
        <w:rPr>
          <w:rFonts w:ascii="Arial" w:eastAsia="Times New Roman" w:hAnsi="Arial" w:cs="Arial"/>
          <w:color w:val="000000" w:themeColor="text1"/>
          <w:sz w:val="22"/>
          <w:szCs w:val="22"/>
          <w:lang w:eastAsia="zh-CN"/>
        </w:rPr>
        <w:t>-000</w:t>
      </w:r>
      <w:r w:rsidRPr="008529A7" w:rsidR="00F15B35">
        <w:rPr>
          <w:rFonts w:ascii="Arial" w:eastAsia="Times New Roman" w:hAnsi="Arial" w:cs="Arial"/>
          <w:color w:val="000000" w:themeColor="text1"/>
          <w:sz w:val="22"/>
          <w:szCs w:val="22"/>
          <w:lang w:eastAsia="zh-CN"/>
        </w:rPr>
        <w:t>1</w:t>
      </w:r>
      <w:r w:rsidRPr="008529A7">
        <w:rPr>
          <w:rFonts w:ascii="Arial" w:eastAsia="Times New Roman" w:hAnsi="Arial" w:cs="Arial"/>
          <w:color w:val="000000" w:themeColor="text1"/>
          <w:sz w:val="22"/>
          <w:szCs w:val="22"/>
          <w:lang w:eastAsia="zh-CN"/>
        </w:rPr>
        <w:t>).</w:t>
      </w:r>
    </w:p>
    <w:p w:rsidR="00AE7E1D" w:rsidP="009732EC" w14:paraId="5CB793A5" w14:textId="77777777">
      <w:pPr>
        <w:spacing w:after="220"/>
        <w:rPr>
          <w:rFonts w:ascii="Arial" w:eastAsia="DengXian" w:hAnsi="Arial" w:cs="Arial"/>
          <w:sz w:val="22"/>
          <w:szCs w:val="22"/>
          <w:lang w:eastAsia="ja-JP"/>
        </w:rPr>
      </w:pPr>
      <w:r w:rsidRPr="008529A7">
        <w:rPr>
          <w:rFonts w:ascii="Arial" w:eastAsia="DengXian" w:hAnsi="Arial" w:cs="Arial"/>
          <w:b/>
          <w:bCs/>
          <w:sz w:val="22"/>
          <w:szCs w:val="22"/>
          <w:lang w:eastAsia="ja-JP"/>
        </w:rPr>
        <w:t>NRC Response:</w:t>
      </w:r>
      <w:r w:rsidRPr="008529A7">
        <w:rPr>
          <w:rFonts w:ascii="Arial" w:eastAsia="DengXian" w:hAnsi="Arial" w:cs="Arial"/>
          <w:sz w:val="22"/>
          <w:szCs w:val="22"/>
          <w:lang w:eastAsia="ja-JP"/>
        </w:rPr>
        <w:t xml:space="preserve"> The NRC disagrees with the comments.</w:t>
      </w:r>
    </w:p>
    <w:p w:rsidR="00AE7E1D" w:rsidP="008E4F42" w14:paraId="09A8171B" w14:textId="77777777">
      <w:pPr>
        <w:spacing w:after="220"/>
        <w:rPr>
          <w:rFonts w:ascii="Arial" w:eastAsia="DengXian" w:hAnsi="Arial" w:cs="Arial"/>
          <w:sz w:val="22"/>
          <w:szCs w:val="22"/>
          <w:lang w:eastAsia="ja-JP"/>
        </w:rPr>
      </w:pPr>
      <w:r w:rsidRPr="008529A7">
        <w:rPr>
          <w:rFonts w:ascii="Arial" w:eastAsia="DengXian" w:hAnsi="Arial" w:cs="Arial"/>
          <w:sz w:val="22"/>
          <w:szCs w:val="22"/>
          <w:lang w:eastAsia="ja-JP"/>
        </w:rPr>
        <w:t xml:space="preserve">The NRC’s mission is to license and regulate the civilian use of nuclear power to provide reasonable assurance of adequate protection of public health and safety, promote the common defense and security by enabling the safe and secure use and deployment of civilian nuclear energy technologies, and protect the environment. This rulemaking is consistent with the </w:t>
      </w:r>
      <w:r w:rsidRPr="008529A7">
        <w:rPr>
          <w:rFonts w:ascii="Arial" w:eastAsia="DengXian" w:hAnsi="Arial" w:cs="Arial"/>
          <w:sz w:val="22"/>
          <w:szCs w:val="22"/>
          <w:lang w:eastAsia="ja-JP"/>
        </w:rPr>
        <w:t xml:space="preserve">agency’s mission. While 10 CFR Part 53 may provide additional flexibilities to licensees beyond those contained in the existing regulations, </w:t>
      </w:r>
      <w:r w:rsidRPr="008529A7" w:rsidR="00B16556">
        <w:rPr>
          <w:rFonts w:ascii="Arial" w:eastAsia="DengXian" w:hAnsi="Arial" w:cs="Arial"/>
          <w:sz w:val="22"/>
          <w:szCs w:val="22"/>
          <w:lang w:eastAsia="ja-JP"/>
        </w:rPr>
        <w:t xml:space="preserve">licensees will </w:t>
      </w:r>
      <w:r w:rsidRPr="008529A7" w:rsidR="009E3F53">
        <w:rPr>
          <w:rFonts w:ascii="Arial" w:eastAsia="DengXian" w:hAnsi="Arial" w:cs="Arial"/>
          <w:sz w:val="22"/>
          <w:szCs w:val="22"/>
          <w:lang w:eastAsia="ja-JP"/>
        </w:rPr>
        <w:t xml:space="preserve">have to provide an adequate safety evaluation to justify </w:t>
      </w:r>
      <w:r w:rsidRPr="008529A7" w:rsidR="008663BD">
        <w:rPr>
          <w:rFonts w:ascii="Arial" w:eastAsia="DengXian" w:hAnsi="Arial" w:cs="Arial"/>
          <w:sz w:val="22"/>
          <w:szCs w:val="22"/>
          <w:lang w:eastAsia="ja-JP"/>
        </w:rPr>
        <w:t>greater operational flexibility.</w:t>
      </w:r>
      <w:r w:rsidRPr="008529A7">
        <w:rPr>
          <w:rFonts w:ascii="Arial" w:eastAsia="DengXian" w:hAnsi="Arial" w:cs="Arial"/>
          <w:sz w:val="22"/>
          <w:szCs w:val="22"/>
          <w:lang w:eastAsia="ja-JP"/>
        </w:rPr>
        <w:t xml:space="preserve"> </w:t>
      </w:r>
      <w:r w:rsidRPr="008529A7" w:rsidR="008663BD">
        <w:rPr>
          <w:rFonts w:ascii="Arial" w:eastAsia="DengXian" w:hAnsi="Arial" w:cs="Arial"/>
          <w:sz w:val="22"/>
          <w:szCs w:val="22"/>
          <w:lang w:eastAsia="ja-JP"/>
        </w:rPr>
        <w:t>T</w:t>
      </w:r>
      <w:r w:rsidRPr="008529A7">
        <w:rPr>
          <w:rFonts w:ascii="Arial" w:eastAsia="DengXian" w:hAnsi="Arial" w:cs="Arial"/>
          <w:sz w:val="22"/>
          <w:szCs w:val="22"/>
          <w:lang w:eastAsia="ja-JP"/>
        </w:rPr>
        <w:t>he NRC is not reducing the current safety, environmental, or transparency requirements through this rulemaking.</w:t>
      </w:r>
    </w:p>
    <w:p w:rsidR="00AE7E1D" w:rsidP="008E4F42" w14:paraId="108B2B72" w14:textId="77777777">
      <w:pPr>
        <w:spacing w:after="220"/>
        <w:rPr>
          <w:rFonts w:ascii="Arial" w:eastAsia="DengXian" w:hAnsi="Arial" w:cs="Arial"/>
          <w:sz w:val="22"/>
          <w:szCs w:val="22"/>
          <w:lang w:eastAsia="ja-JP"/>
        </w:rPr>
      </w:pPr>
      <w:r w:rsidRPr="008529A7">
        <w:rPr>
          <w:rFonts w:ascii="Arial" w:eastAsia="DengXian" w:hAnsi="Arial" w:cs="Arial"/>
          <w:sz w:val="22"/>
          <w:szCs w:val="22"/>
          <w:lang w:eastAsia="ja-JP"/>
        </w:rPr>
        <w:t>Moreover, the NRC disagrees with the suggestion that this rulemaking was insufficiently transparent. The NRC held dozens of public meetings, published many drafts of the regulations, and provided an extensive discussion of 10 CFR Part 53 in this rulemaking and through accompanying guidance.</w:t>
      </w:r>
    </w:p>
    <w:p w:rsidR="00AE7E1D" w:rsidP="008E4F42" w14:paraId="460E7693" w14:textId="77777777">
      <w:pPr>
        <w:spacing w:after="220"/>
        <w:rPr>
          <w:rFonts w:ascii="Arial" w:eastAsia="DengXian" w:hAnsi="Arial" w:cs="Arial"/>
          <w:sz w:val="22"/>
          <w:szCs w:val="22"/>
          <w:lang w:eastAsia="ja-JP"/>
        </w:rPr>
      </w:pPr>
      <w:r w:rsidRPr="008529A7">
        <w:rPr>
          <w:rFonts w:ascii="Arial" w:eastAsia="DengXian" w:hAnsi="Arial" w:cs="Arial"/>
          <w:sz w:val="22"/>
          <w:szCs w:val="22"/>
          <w:lang w:eastAsia="ja-JP"/>
        </w:rPr>
        <w:t>Accordingly, the NRC did not change the rule language in response to these comments.</w:t>
      </w:r>
    </w:p>
    <w:p w:rsidR="002A356F" w:rsidRPr="008529A7" w:rsidP="008E4F42" w14:paraId="33E7CE27" w14:textId="77777777">
      <w:pPr>
        <w:spacing w:after="220"/>
        <w:rPr>
          <w:rFonts w:ascii="Arial" w:eastAsia="Times New Roman" w:hAnsi="Arial" w:cs="Arial"/>
          <w:color w:val="000000"/>
          <w:sz w:val="22"/>
          <w:szCs w:val="22"/>
          <w:lang w:eastAsia="zh-CN"/>
        </w:rPr>
      </w:pPr>
      <w:r>
        <w:rPr>
          <w:rFonts w:ascii="Arial" w:hAnsi="Arial" w:cs="Arial"/>
          <w:sz w:val="22"/>
          <w:szCs w:val="22"/>
        </w:rPr>
        <w:pict>
          <v:rect id="_x0000_i1035" style="width:0;height:1.5pt" o:hralign="center" o:hrstd="t" o:hrnoshade="t" o:hr="t" fillcolor="black" stroked="f"/>
        </w:pict>
      </w:r>
    </w:p>
    <w:p w:rsidR="0038417F" w:rsidP="008E4F42" w14:paraId="5EDC8575" w14:textId="77777777">
      <w:pPr>
        <w:spacing w:after="220"/>
        <w:rPr>
          <w:rFonts w:ascii="Arial" w:eastAsia="Times New Roman" w:hAnsi="Arial" w:cs="Arial"/>
          <w:sz w:val="22"/>
          <w:szCs w:val="22"/>
          <w:lang w:eastAsia="zh-CN"/>
        </w:rPr>
      </w:pPr>
      <w:r w:rsidRPr="008529A7">
        <w:rPr>
          <w:rFonts w:ascii="Arial" w:eastAsia="Times New Roman" w:hAnsi="Arial" w:cs="Arial"/>
          <w:b/>
          <w:bCs/>
          <w:color w:val="000000"/>
          <w:sz w:val="22"/>
          <w:szCs w:val="22"/>
          <w:lang w:eastAsia="zh-CN"/>
        </w:rPr>
        <w:t xml:space="preserve">Comment Bin 1.2.C: </w:t>
      </w:r>
      <w:r w:rsidRPr="008529A7">
        <w:rPr>
          <w:rFonts w:ascii="Arial" w:eastAsia="Times New Roman" w:hAnsi="Arial" w:cs="Arial"/>
          <w:sz w:val="22"/>
          <w:szCs w:val="22"/>
          <w:lang w:eastAsia="zh-CN"/>
        </w:rPr>
        <w:t>A commenter wrote that the proposed 10 CFR Part 53 is not the correct approach due to the lack of operating experience with advanced reactors. The commenter explained that a process is needed that primarily makes use of a small panel of experts in the specific type of reactor being considered until that type of reactor has been manufactured and has 5 to 7 years of operating experience, at which point the commenter would be comfortable with the proposed rule being applied to that specific type of reactor (</w:t>
      </w:r>
      <w:r w:rsidRPr="00102A19" w:rsidR="00102A19">
        <w:rPr>
          <w:rFonts w:ascii="Arial" w:eastAsia="Times New Roman" w:hAnsi="Arial" w:cs="Arial"/>
          <w:color w:val="000000"/>
          <w:sz w:val="22"/>
          <w:szCs w:val="22"/>
        </w:rPr>
        <w:t>TG27</w:t>
      </w:r>
      <w:r w:rsidRPr="00102A19">
        <w:rPr>
          <w:rFonts w:ascii="Arial" w:eastAsia="Times New Roman" w:hAnsi="Arial" w:cs="Arial"/>
          <w:sz w:val="22"/>
          <w:szCs w:val="22"/>
          <w:lang w:eastAsia="zh-CN"/>
        </w:rPr>
        <w:t>-00</w:t>
      </w:r>
      <w:r w:rsidRPr="008529A7">
        <w:rPr>
          <w:rFonts w:ascii="Arial" w:eastAsia="Times New Roman" w:hAnsi="Arial" w:cs="Arial"/>
          <w:sz w:val="22"/>
          <w:szCs w:val="22"/>
          <w:lang w:eastAsia="zh-CN"/>
        </w:rPr>
        <w:t>01).</w:t>
      </w:r>
    </w:p>
    <w:p w:rsidR="00904902" w:rsidP="008E4F42" w14:paraId="4CF8CACC" w14:textId="77777777">
      <w:pPr>
        <w:spacing w:after="220"/>
        <w:rPr>
          <w:rFonts w:ascii="Arial" w:eastAsia="Times New Roman" w:hAnsi="Arial" w:cs="Arial"/>
          <w:sz w:val="22"/>
          <w:szCs w:val="22"/>
          <w:lang w:eastAsia="zh-CN"/>
        </w:rPr>
      </w:pPr>
      <w:r w:rsidRPr="008529A7">
        <w:rPr>
          <w:rFonts w:ascii="Arial" w:eastAsia="Times New Roman" w:hAnsi="Arial" w:cs="Arial"/>
          <w:b/>
          <w:bCs/>
          <w:sz w:val="22"/>
          <w:szCs w:val="22"/>
          <w:lang w:eastAsia="zh-CN"/>
        </w:rPr>
        <w:t>NRC Response:</w:t>
      </w:r>
      <w:r w:rsidRPr="008529A7">
        <w:rPr>
          <w:rFonts w:ascii="Arial" w:eastAsia="Times New Roman" w:hAnsi="Arial" w:cs="Arial"/>
          <w:sz w:val="22"/>
          <w:szCs w:val="22"/>
          <w:lang w:eastAsia="zh-CN"/>
        </w:rPr>
        <w:t> The NRC agrees, in part, with th</w:t>
      </w:r>
      <w:r w:rsidR="0096170F">
        <w:rPr>
          <w:rFonts w:ascii="Arial" w:eastAsia="Times New Roman" w:hAnsi="Arial" w:cs="Arial"/>
          <w:sz w:val="22"/>
          <w:szCs w:val="22"/>
          <w:lang w:eastAsia="zh-CN"/>
        </w:rPr>
        <w:t>e</w:t>
      </w:r>
      <w:r w:rsidRPr="008529A7">
        <w:rPr>
          <w:rFonts w:ascii="Arial" w:eastAsia="Times New Roman" w:hAnsi="Arial" w:cs="Arial"/>
          <w:sz w:val="22"/>
          <w:szCs w:val="22"/>
          <w:lang w:eastAsia="zh-CN"/>
        </w:rPr>
        <w:t xml:space="preserve"> comment. </w:t>
      </w:r>
    </w:p>
    <w:p w:rsidR="00865A48" w:rsidP="008E4F42" w14:paraId="7F88C028" w14:textId="77777777">
      <w:pPr>
        <w:spacing w:after="220"/>
        <w:rPr>
          <w:rFonts w:ascii="Arial" w:eastAsia="Times New Roman" w:hAnsi="Arial" w:cs="Arial"/>
          <w:sz w:val="22"/>
          <w:szCs w:val="22"/>
          <w:lang w:eastAsia="zh-CN"/>
        </w:rPr>
      </w:pPr>
      <w:r w:rsidRPr="008529A7">
        <w:rPr>
          <w:rFonts w:ascii="Arial" w:eastAsia="Times New Roman" w:hAnsi="Arial" w:cs="Arial"/>
          <w:sz w:val="22"/>
          <w:szCs w:val="22"/>
          <w:lang w:eastAsia="zh-CN"/>
        </w:rPr>
        <w:t xml:space="preserve">The NRC agrees that applications for first-of-a-kind reactor technologies and designs will be challenging to prepare and review. </w:t>
      </w:r>
    </w:p>
    <w:p w:rsidR="00852348" w:rsidP="008E4F42" w14:paraId="3C40CCBF"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t xml:space="preserve">The NRC disagrees that the </w:t>
      </w:r>
      <w:r w:rsidRPr="008529A7">
        <w:rPr>
          <w:rFonts w:ascii="Arial" w:eastAsia="Times New Roman" w:hAnsi="Arial" w:cs="Arial"/>
          <w:sz w:val="22"/>
          <w:szCs w:val="22"/>
          <w:lang w:eastAsia="zh-CN"/>
        </w:rPr>
        <w:t xml:space="preserve">lack of operating experience with advanced reactors </w:t>
      </w:r>
      <w:r>
        <w:rPr>
          <w:rFonts w:ascii="Arial" w:eastAsia="Times New Roman" w:hAnsi="Arial" w:cs="Arial"/>
          <w:sz w:val="22"/>
          <w:szCs w:val="22"/>
          <w:lang w:eastAsia="zh-CN"/>
        </w:rPr>
        <w:t>is an issue with 10 CFR Part 53. T</w:t>
      </w:r>
      <w:r w:rsidRPr="008529A7" w:rsidR="0038417F">
        <w:rPr>
          <w:rFonts w:ascii="Arial" w:eastAsia="Times New Roman" w:hAnsi="Arial" w:cs="Arial"/>
          <w:sz w:val="22"/>
          <w:szCs w:val="22"/>
          <w:lang w:eastAsia="zh-CN"/>
        </w:rPr>
        <w:t>he suggestions in the comment can largely be addressed as part of the preapplication interactions and reviews for such first</w:t>
      </w:r>
      <w:r w:rsidRPr="008529A7" w:rsidR="0038417F">
        <w:rPr>
          <w:rFonts w:ascii="Arial" w:eastAsia="Times New Roman" w:hAnsi="Arial" w:cs="Arial"/>
          <w:sz w:val="22"/>
          <w:szCs w:val="22"/>
          <w:lang w:eastAsia="zh-CN"/>
        </w:rPr>
        <w:noBreakHyphen/>
        <w:t>of</w:t>
      </w:r>
      <w:r w:rsidRPr="008529A7" w:rsidR="0038417F">
        <w:rPr>
          <w:rFonts w:ascii="Arial" w:eastAsia="Times New Roman" w:hAnsi="Arial" w:cs="Arial"/>
          <w:sz w:val="22"/>
          <w:szCs w:val="22"/>
          <w:lang w:eastAsia="zh-CN"/>
        </w:rPr>
        <w:noBreakHyphen/>
        <w:t>a</w:t>
      </w:r>
      <w:r w:rsidRPr="008529A7" w:rsidR="0038417F">
        <w:rPr>
          <w:rFonts w:ascii="Arial" w:eastAsia="Times New Roman" w:hAnsi="Arial" w:cs="Arial"/>
          <w:sz w:val="22"/>
          <w:szCs w:val="22"/>
          <w:lang w:eastAsia="zh-CN"/>
        </w:rPr>
        <w:noBreakHyphen/>
        <w:t>kind applications and the subsequent inspection and oversight programs during construction and operations. The framework provided by 10 CFR Part 53 is sufficiently flexible to address the licensing of first</w:t>
      </w:r>
      <w:r w:rsidR="00D10B59">
        <w:rPr>
          <w:rFonts w:ascii="Arial" w:eastAsia="Times New Roman" w:hAnsi="Arial" w:cs="Arial"/>
          <w:sz w:val="22"/>
          <w:szCs w:val="22"/>
          <w:lang w:eastAsia="zh-CN"/>
        </w:rPr>
        <w:noBreakHyphen/>
      </w:r>
      <w:r w:rsidRPr="008529A7" w:rsidR="0038417F">
        <w:rPr>
          <w:rFonts w:ascii="Arial" w:eastAsia="Times New Roman" w:hAnsi="Arial" w:cs="Arial"/>
          <w:sz w:val="22"/>
          <w:szCs w:val="22"/>
          <w:lang w:eastAsia="zh-CN"/>
        </w:rPr>
        <w:t>of</w:t>
      </w:r>
      <w:r w:rsidR="00D10B59">
        <w:rPr>
          <w:rFonts w:ascii="Arial" w:eastAsia="Times New Roman" w:hAnsi="Arial" w:cs="Arial"/>
          <w:sz w:val="22"/>
          <w:szCs w:val="22"/>
          <w:lang w:eastAsia="zh-CN"/>
        </w:rPr>
        <w:noBreakHyphen/>
      </w:r>
      <w:r w:rsidRPr="008529A7" w:rsidR="0038417F">
        <w:rPr>
          <w:rFonts w:ascii="Arial" w:eastAsia="Times New Roman" w:hAnsi="Arial" w:cs="Arial"/>
          <w:sz w:val="22"/>
          <w:szCs w:val="22"/>
          <w:lang w:eastAsia="zh-CN"/>
        </w:rPr>
        <w:t>a-kind reactor designs and, if pursued, to provide the benefits of licensing and deploying standardized reactors incorporating lessons learned from the initial operations of the first commercial nuclear reactor.</w:t>
      </w:r>
    </w:p>
    <w:p w:rsidR="0038417F" w:rsidP="008E4F42" w14:paraId="1CFB8BF0" w14:textId="77777777">
      <w:pPr>
        <w:spacing w:after="220"/>
        <w:rPr>
          <w:rFonts w:ascii="Arial" w:eastAsia="Times New Roman" w:hAnsi="Arial" w:cs="Arial"/>
          <w:sz w:val="22"/>
          <w:szCs w:val="22"/>
          <w:lang w:eastAsia="zh-CN"/>
        </w:rPr>
      </w:pPr>
      <w:r w:rsidRPr="008529A7">
        <w:rPr>
          <w:rFonts w:ascii="Arial" w:eastAsia="Times New Roman" w:hAnsi="Arial" w:cs="Arial"/>
          <w:sz w:val="22"/>
          <w:szCs w:val="22"/>
          <w:lang w:eastAsia="zh-CN"/>
        </w:rPr>
        <w:t>Accordingly, the NRC did not change the rule language in response to this comment.</w:t>
      </w:r>
    </w:p>
    <w:p w:rsidR="007A08A4" w:rsidRPr="008529A7" w:rsidP="008E4F42" w14:paraId="793433C7" w14:textId="77777777">
      <w:pPr>
        <w:spacing w:after="220"/>
        <w:rPr>
          <w:rFonts w:ascii="Arial" w:hAnsi="Arial" w:cs="Arial"/>
          <w:sz w:val="22"/>
          <w:szCs w:val="22"/>
        </w:rPr>
      </w:pPr>
      <w:r>
        <w:rPr>
          <w:rFonts w:ascii="Arial" w:eastAsia="Times New Roman" w:hAnsi="Arial" w:cs="Arial"/>
          <w:sz w:val="22"/>
          <w:szCs w:val="22"/>
          <w:lang w:eastAsia="zh-CN"/>
        </w:rPr>
        <w:pict>
          <v:rect id="_x0000_i1036" style="width:0;height:1.5pt" o:hralign="center" o:hrstd="t" o:hrnoshade="t" o:hr="t" fillcolor="black" stroked="f"/>
        </w:pict>
      </w:r>
    </w:p>
    <w:p w:rsidR="007A08A4" w:rsidP="008E4F42" w14:paraId="62B33EF8" w14:textId="77777777">
      <w:pPr>
        <w:spacing w:after="220"/>
        <w:rPr>
          <w:rFonts w:ascii="Arial" w:hAnsi="Arial" w:cs="Arial"/>
          <w:sz w:val="22"/>
          <w:szCs w:val="22"/>
        </w:rPr>
      </w:pPr>
      <w:r w:rsidRPr="008529A7">
        <w:rPr>
          <w:rFonts w:ascii="Arial" w:eastAsia="Times New Roman" w:hAnsi="Arial" w:cs="Arial"/>
          <w:b/>
          <w:bCs/>
          <w:color w:val="000000"/>
          <w:sz w:val="22"/>
          <w:szCs w:val="22"/>
          <w:lang w:eastAsia="zh-CN"/>
        </w:rPr>
        <w:t xml:space="preserve">Comment Bin 1.2.D: </w:t>
      </w:r>
      <w:r w:rsidRPr="008529A7">
        <w:rPr>
          <w:rFonts w:ascii="Arial" w:eastAsia="Times New Roman" w:hAnsi="Arial" w:cs="Arial"/>
          <w:sz w:val="22"/>
          <w:szCs w:val="22"/>
          <w:lang w:eastAsia="zh-CN"/>
        </w:rPr>
        <w:t xml:space="preserve">A commenter requested that the proposed rule be withdrawn (without providing supporting rationale) </w:t>
      </w:r>
      <w:r w:rsidRPr="008529A7" w:rsidR="00775A7B">
        <w:rPr>
          <w:rFonts w:ascii="Arial" w:hAnsi="Arial" w:cs="Arial"/>
          <w:sz w:val="22"/>
          <w:szCs w:val="22"/>
        </w:rPr>
        <w:t>while also stating that the rule is a</w:t>
      </w:r>
      <w:r w:rsidRPr="008529A7" w:rsidR="00775A7B">
        <w:rPr>
          <w:rFonts w:ascii="Arial" w:eastAsia="Times New Roman" w:hAnsi="Arial" w:cs="Arial"/>
          <w:sz w:val="22"/>
          <w:szCs w:val="22"/>
          <w:lang w:eastAsia="zh-CN"/>
        </w:rPr>
        <w:t xml:space="preserve"> positive step towards the development of regulations for advanced nuclear reactors and </w:t>
      </w:r>
      <w:r w:rsidRPr="008529A7" w:rsidR="004A6FF1">
        <w:rPr>
          <w:rFonts w:ascii="Arial" w:eastAsia="Times New Roman" w:hAnsi="Arial" w:cs="Arial"/>
          <w:sz w:val="22"/>
          <w:szCs w:val="22"/>
          <w:lang w:eastAsia="zh-CN"/>
        </w:rPr>
        <w:t>that the commenter has</w:t>
      </w:r>
      <w:r w:rsidRPr="008529A7" w:rsidR="00775A7B">
        <w:rPr>
          <w:rFonts w:ascii="Arial" w:eastAsia="Times New Roman" w:hAnsi="Arial" w:cs="Arial"/>
          <w:sz w:val="22"/>
          <w:szCs w:val="22"/>
          <w:lang w:eastAsia="zh-CN"/>
        </w:rPr>
        <w:t xml:space="preserve"> many goals that are consistent with the rule</w:t>
      </w:r>
      <w:r w:rsidRPr="008529A7">
        <w:rPr>
          <w:rFonts w:ascii="Arial" w:eastAsia="Times New Roman" w:hAnsi="Arial" w:cs="Arial"/>
          <w:sz w:val="22"/>
          <w:szCs w:val="22"/>
          <w:lang w:eastAsia="zh-CN"/>
        </w:rPr>
        <w:t xml:space="preserve"> (</w:t>
      </w:r>
      <w:r w:rsidR="00B97A0C">
        <w:rPr>
          <w:rFonts w:ascii="Arial" w:hAnsi="Arial" w:cs="Arial"/>
          <w:sz w:val="22"/>
          <w:szCs w:val="22"/>
        </w:rPr>
        <w:t>NA</w:t>
      </w:r>
      <w:r w:rsidRPr="008529A7">
        <w:rPr>
          <w:rFonts w:ascii="Arial" w:hAnsi="Arial" w:cs="Arial"/>
          <w:sz w:val="22"/>
          <w:szCs w:val="22"/>
        </w:rPr>
        <w:t>-0001).</w:t>
      </w:r>
    </w:p>
    <w:p w:rsidR="00B12CCA" w:rsidP="008E4F42" w14:paraId="11839CAB" w14:textId="77777777">
      <w:pPr>
        <w:spacing w:after="220"/>
        <w:rPr>
          <w:rFonts w:ascii="Arial" w:eastAsia="Times New Roman" w:hAnsi="Arial" w:cs="Arial"/>
          <w:sz w:val="22"/>
          <w:szCs w:val="22"/>
          <w:lang w:eastAsia="zh-CN"/>
        </w:rPr>
      </w:pPr>
      <w:r w:rsidRPr="008529A7">
        <w:rPr>
          <w:rFonts w:ascii="Arial" w:eastAsia="Times New Roman" w:hAnsi="Arial" w:cs="Arial"/>
          <w:b/>
          <w:bCs/>
          <w:sz w:val="22"/>
          <w:szCs w:val="22"/>
          <w:lang w:eastAsia="zh-CN"/>
        </w:rPr>
        <w:t>NRC Response:</w:t>
      </w:r>
      <w:r w:rsidRPr="008529A7">
        <w:rPr>
          <w:rFonts w:ascii="Arial" w:eastAsia="Times New Roman" w:hAnsi="Arial" w:cs="Arial"/>
          <w:sz w:val="22"/>
          <w:szCs w:val="22"/>
          <w:lang w:eastAsia="zh-CN"/>
        </w:rPr>
        <w:t> The NRC disagrees with th</w:t>
      </w:r>
      <w:r w:rsidR="0096170F">
        <w:rPr>
          <w:rFonts w:ascii="Arial" w:eastAsia="Times New Roman" w:hAnsi="Arial" w:cs="Arial"/>
          <w:sz w:val="22"/>
          <w:szCs w:val="22"/>
          <w:lang w:eastAsia="zh-CN"/>
        </w:rPr>
        <w:t>e</w:t>
      </w:r>
      <w:r w:rsidRPr="008529A7">
        <w:rPr>
          <w:rFonts w:ascii="Arial" w:eastAsia="Times New Roman" w:hAnsi="Arial" w:cs="Arial"/>
          <w:sz w:val="22"/>
          <w:szCs w:val="22"/>
          <w:lang w:eastAsia="zh-CN"/>
        </w:rPr>
        <w:t xml:space="preserve"> comment.</w:t>
      </w:r>
    </w:p>
    <w:p w:rsidR="00A026C1" w:rsidP="008E4F42" w14:paraId="011E072B" w14:textId="77777777">
      <w:pPr>
        <w:spacing w:after="220"/>
        <w:rPr>
          <w:rFonts w:ascii="Arial" w:eastAsia="Times New Roman" w:hAnsi="Arial" w:cs="Arial"/>
          <w:sz w:val="22"/>
          <w:szCs w:val="22"/>
          <w:lang w:eastAsia="zh-CN"/>
        </w:rPr>
      </w:pPr>
      <w:r w:rsidRPr="008529A7">
        <w:rPr>
          <w:rFonts w:ascii="Arial" w:eastAsia="Times New Roman" w:hAnsi="Arial" w:cs="Arial"/>
          <w:sz w:val="22"/>
          <w:szCs w:val="22"/>
          <w:lang w:eastAsia="zh-CN"/>
        </w:rPr>
        <w:t xml:space="preserve">Based on the context in which this comment was provided, the NRC understands this comment to </w:t>
      </w:r>
      <w:r w:rsidRPr="008529A7" w:rsidR="001F1E54">
        <w:rPr>
          <w:rFonts w:ascii="Arial" w:eastAsia="Times New Roman" w:hAnsi="Arial" w:cs="Arial"/>
          <w:sz w:val="22"/>
          <w:szCs w:val="22"/>
          <w:lang w:eastAsia="zh-CN"/>
        </w:rPr>
        <w:t>mean that the comment</w:t>
      </w:r>
      <w:r w:rsidRPr="008529A7" w:rsidR="007555A4">
        <w:rPr>
          <w:rFonts w:ascii="Arial" w:eastAsia="Times New Roman" w:hAnsi="Arial" w:cs="Arial"/>
          <w:sz w:val="22"/>
          <w:szCs w:val="22"/>
          <w:lang w:eastAsia="zh-CN"/>
        </w:rPr>
        <w:t>er</w:t>
      </w:r>
      <w:r w:rsidRPr="008529A7" w:rsidR="001F1E54">
        <w:rPr>
          <w:rFonts w:ascii="Arial" w:eastAsia="Times New Roman" w:hAnsi="Arial" w:cs="Arial"/>
          <w:sz w:val="22"/>
          <w:szCs w:val="22"/>
          <w:lang w:eastAsia="zh-CN"/>
        </w:rPr>
        <w:t xml:space="preserve"> </w:t>
      </w:r>
      <w:r w:rsidRPr="008529A7" w:rsidR="00C04474">
        <w:rPr>
          <w:rFonts w:ascii="Arial" w:eastAsia="Times New Roman" w:hAnsi="Arial" w:cs="Arial"/>
          <w:sz w:val="22"/>
          <w:szCs w:val="22"/>
          <w:lang w:eastAsia="zh-CN"/>
        </w:rPr>
        <w:t xml:space="preserve">would like to see suggested changes between the proposed rule and the final </w:t>
      </w:r>
      <w:r w:rsidRPr="008529A7" w:rsidR="00514F6A">
        <w:rPr>
          <w:rFonts w:ascii="Arial" w:eastAsia="Times New Roman" w:hAnsi="Arial" w:cs="Arial"/>
          <w:sz w:val="22"/>
          <w:szCs w:val="22"/>
          <w:lang w:eastAsia="zh-CN"/>
        </w:rPr>
        <w:t>rule and</w:t>
      </w:r>
      <w:r w:rsidRPr="008529A7" w:rsidR="00F231E8">
        <w:rPr>
          <w:rFonts w:ascii="Arial" w:eastAsia="Times New Roman" w:hAnsi="Arial" w:cs="Arial"/>
          <w:sz w:val="22"/>
          <w:szCs w:val="22"/>
          <w:lang w:eastAsia="zh-CN"/>
        </w:rPr>
        <w:t xml:space="preserve"> </w:t>
      </w:r>
      <w:r w:rsidRPr="008529A7" w:rsidR="00AE327B">
        <w:rPr>
          <w:rFonts w:ascii="Arial" w:eastAsia="Times New Roman" w:hAnsi="Arial" w:cs="Arial"/>
          <w:sz w:val="22"/>
          <w:szCs w:val="22"/>
          <w:lang w:eastAsia="zh-CN"/>
        </w:rPr>
        <w:t xml:space="preserve">would </w:t>
      </w:r>
      <w:r w:rsidRPr="008529A7" w:rsidR="00F231E8">
        <w:rPr>
          <w:rFonts w:ascii="Arial" w:eastAsia="Times New Roman" w:hAnsi="Arial" w:cs="Arial"/>
          <w:sz w:val="22"/>
          <w:szCs w:val="22"/>
          <w:lang w:eastAsia="zh-CN"/>
        </w:rPr>
        <w:t xml:space="preserve">therefore </w:t>
      </w:r>
      <w:r w:rsidRPr="008529A7" w:rsidR="00C47684">
        <w:rPr>
          <w:rFonts w:ascii="Arial" w:eastAsia="Times New Roman" w:hAnsi="Arial" w:cs="Arial"/>
          <w:sz w:val="22"/>
          <w:szCs w:val="22"/>
          <w:lang w:eastAsia="zh-CN"/>
        </w:rPr>
        <w:t xml:space="preserve">request </w:t>
      </w:r>
      <w:r w:rsidR="00F67757">
        <w:rPr>
          <w:rFonts w:ascii="Arial" w:eastAsia="Times New Roman" w:hAnsi="Arial" w:cs="Arial"/>
          <w:sz w:val="22"/>
          <w:szCs w:val="22"/>
          <w:lang w:eastAsia="zh-CN"/>
        </w:rPr>
        <w:t>t</w:t>
      </w:r>
      <w:r w:rsidR="00F20685">
        <w:rPr>
          <w:rFonts w:ascii="Arial" w:eastAsia="Times New Roman" w:hAnsi="Arial" w:cs="Arial"/>
          <w:sz w:val="22"/>
          <w:szCs w:val="22"/>
          <w:lang w:eastAsia="zh-CN"/>
        </w:rPr>
        <w:t>hat</w:t>
      </w:r>
      <w:r w:rsidRPr="008529A7" w:rsidR="00F231E8">
        <w:rPr>
          <w:rFonts w:ascii="Arial" w:eastAsia="Times New Roman" w:hAnsi="Arial" w:cs="Arial"/>
          <w:sz w:val="22"/>
          <w:szCs w:val="22"/>
          <w:lang w:eastAsia="zh-CN"/>
        </w:rPr>
        <w:t xml:space="preserve"> the proposed rule be “withdrawn</w:t>
      </w:r>
      <w:r w:rsidRPr="008529A7" w:rsidR="007D72B8">
        <w:rPr>
          <w:rFonts w:ascii="Arial" w:eastAsia="Times New Roman" w:hAnsi="Arial" w:cs="Arial"/>
          <w:sz w:val="22"/>
          <w:szCs w:val="22"/>
          <w:lang w:eastAsia="zh-CN"/>
        </w:rPr>
        <w:t>.</w:t>
      </w:r>
      <w:r w:rsidRPr="008529A7" w:rsidR="00F231E8">
        <w:rPr>
          <w:rFonts w:ascii="Arial" w:eastAsia="Times New Roman" w:hAnsi="Arial" w:cs="Arial"/>
          <w:sz w:val="22"/>
          <w:szCs w:val="22"/>
          <w:lang w:eastAsia="zh-CN"/>
        </w:rPr>
        <w:t>”</w:t>
      </w:r>
      <w:r w:rsidRPr="008529A7" w:rsidR="00AE327B">
        <w:rPr>
          <w:rFonts w:ascii="Arial" w:eastAsia="Times New Roman" w:hAnsi="Arial" w:cs="Arial"/>
          <w:sz w:val="22"/>
          <w:szCs w:val="22"/>
          <w:lang w:eastAsia="zh-CN"/>
        </w:rPr>
        <w:t xml:space="preserve"> </w:t>
      </w:r>
      <w:r w:rsidR="008A32BC">
        <w:rPr>
          <w:rFonts w:ascii="Arial" w:eastAsia="Times New Roman" w:hAnsi="Arial" w:cs="Arial"/>
          <w:sz w:val="22"/>
          <w:szCs w:val="22"/>
          <w:lang w:eastAsia="zh-CN"/>
        </w:rPr>
        <w:t>S</w:t>
      </w:r>
      <w:r w:rsidRPr="008529A7" w:rsidR="00E835B5">
        <w:rPr>
          <w:rFonts w:ascii="Arial" w:eastAsia="Times New Roman" w:hAnsi="Arial" w:cs="Arial"/>
          <w:sz w:val="22"/>
          <w:szCs w:val="22"/>
          <w:lang w:eastAsia="zh-CN"/>
        </w:rPr>
        <w:t xml:space="preserve">ee </w:t>
      </w:r>
      <w:r w:rsidR="006044A2">
        <w:rPr>
          <w:rFonts w:ascii="Arial" w:eastAsia="Times New Roman" w:hAnsi="Arial" w:cs="Arial"/>
          <w:sz w:val="22"/>
          <w:szCs w:val="22"/>
          <w:lang w:eastAsia="zh-CN"/>
        </w:rPr>
        <w:t xml:space="preserve">the NRC’s </w:t>
      </w:r>
      <w:r w:rsidRPr="008529A7" w:rsidR="003541AE">
        <w:rPr>
          <w:rFonts w:ascii="Arial" w:eastAsia="Times New Roman" w:hAnsi="Arial" w:cs="Arial"/>
          <w:sz w:val="22"/>
          <w:szCs w:val="22"/>
          <w:lang w:eastAsia="zh-CN"/>
        </w:rPr>
        <w:t xml:space="preserve">responses to </w:t>
      </w:r>
      <w:r w:rsidRPr="008529A7" w:rsidR="00E835B5">
        <w:rPr>
          <w:rFonts w:ascii="Arial" w:eastAsia="Times New Roman" w:hAnsi="Arial" w:cs="Arial"/>
          <w:sz w:val="22"/>
          <w:szCs w:val="22"/>
          <w:lang w:eastAsia="zh-CN"/>
        </w:rPr>
        <w:t xml:space="preserve">Comment Bins </w:t>
      </w:r>
      <w:r w:rsidRPr="008529A7" w:rsidR="006D55BB">
        <w:rPr>
          <w:rFonts w:ascii="Arial" w:eastAsia="Times New Roman" w:hAnsi="Arial" w:cs="Arial"/>
          <w:sz w:val="22"/>
          <w:szCs w:val="22"/>
          <w:lang w:eastAsia="zh-CN"/>
        </w:rPr>
        <w:t xml:space="preserve">3.9.1.H, 7.A, </w:t>
      </w:r>
      <w:r w:rsidRPr="008529A7" w:rsidR="003541AE">
        <w:rPr>
          <w:rFonts w:ascii="Arial" w:eastAsia="Times New Roman" w:hAnsi="Arial" w:cs="Arial"/>
          <w:sz w:val="22"/>
          <w:szCs w:val="22"/>
          <w:lang w:eastAsia="zh-CN"/>
        </w:rPr>
        <w:t xml:space="preserve">9.3.A, </w:t>
      </w:r>
      <w:r w:rsidRPr="008529A7" w:rsidR="00077F4A">
        <w:rPr>
          <w:rFonts w:ascii="Arial" w:eastAsia="Times New Roman" w:hAnsi="Arial" w:cs="Arial"/>
          <w:sz w:val="22"/>
          <w:szCs w:val="22"/>
          <w:lang w:eastAsia="zh-CN"/>
        </w:rPr>
        <w:t xml:space="preserve">and </w:t>
      </w:r>
      <w:r w:rsidRPr="008529A7" w:rsidR="00E835B5">
        <w:rPr>
          <w:rFonts w:ascii="Arial" w:eastAsia="Times New Roman" w:hAnsi="Arial" w:cs="Arial"/>
          <w:sz w:val="22"/>
          <w:szCs w:val="22"/>
          <w:lang w:eastAsia="zh-CN"/>
        </w:rPr>
        <w:t>11.H</w:t>
      </w:r>
      <w:r w:rsidRPr="008529A7" w:rsidR="00077F4A">
        <w:rPr>
          <w:rFonts w:ascii="Arial" w:eastAsia="Times New Roman" w:hAnsi="Arial" w:cs="Arial"/>
          <w:sz w:val="22"/>
          <w:szCs w:val="22"/>
          <w:lang w:eastAsia="zh-CN"/>
        </w:rPr>
        <w:t>.</w:t>
      </w:r>
      <w:r w:rsidRPr="008529A7" w:rsidR="00E835B5">
        <w:rPr>
          <w:rFonts w:ascii="Arial" w:eastAsia="Times New Roman" w:hAnsi="Arial" w:cs="Arial"/>
          <w:sz w:val="22"/>
          <w:szCs w:val="22"/>
          <w:lang w:eastAsia="zh-CN"/>
        </w:rPr>
        <w:t xml:space="preserve"> </w:t>
      </w:r>
      <w:r w:rsidRPr="008529A7" w:rsidR="00B32E4C">
        <w:rPr>
          <w:rFonts w:ascii="Arial" w:eastAsia="Times New Roman" w:hAnsi="Arial" w:cs="Arial"/>
          <w:sz w:val="22"/>
          <w:szCs w:val="22"/>
          <w:lang w:eastAsia="zh-CN"/>
        </w:rPr>
        <w:t>T</w:t>
      </w:r>
      <w:r w:rsidRPr="008529A7" w:rsidR="00C61402">
        <w:rPr>
          <w:rFonts w:ascii="Arial" w:eastAsia="Times New Roman" w:hAnsi="Arial" w:cs="Arial"/>
          <w:sz w:val="22"/>
          <w:szCs w:val="22"/>
          <w:lang w:eastAsia="zh-CN"/>
        </w:rPr>
        <w:t>his comment did not provide a</w:t>
      </w:r>
      <w:r w:rsidRPr="008529A7" w:rsidR="00B32E4C">
        <w:rPr>
          <w:rFonts w:ascii="Arial" w:eastAsia="Times New Roman" w:hAnsi="Arial" w:cs="Arial"/>
          <w:sz w:val="22"/>
          <w:szCs w:val="22"/>
          <w:lang w:eastAsia="zh-CN"/>
        </w:rPr>
        <w:t>n overall</w:t>
      </w:r>
      <w:r w:rsidRPr="008529A7" w:rsidR="00C61402">
        <w:rPr>
          <w:rFonts w:ascii="Arial" w:eastAsia="Times New Roman" w:hAnsi="Arial" w:cs="Arial"/>
          <w:sz w:val="22"/>
          <w:szCs w:val="22"/>
          <w:lang w:eastAsia="zh-CN"/>
        </w:rPr>
        <w:t xml:space="preserve"> basis for</w:t>
      </w:r>
      <w:r w:rsidRPr="008529A7" w:rsidR="00D46F54">
        <w:rPr>
          <w:rFonts w:ascii="Arial" w:eastAsia="Times New Roman" w:hAnsi="Arial" w:cs="Arial"/>
          <w:sz w:val="22"/>
          <w:szCs w:val="22"/>
          <w:lang w:eastAsia="zh-CN"/>
        </w:rPr>
        <w:t xml:space="preserve"> withdrawing the proposed rule</w:t>
      </w:r>
      <w:r w:rsidRPr="008529A7" w:rsidR="00B32E4C">
        <w:rPr>
          <w:rFonts w:ascii="Arial" w:eastAsia="Times New Roman" w:hAnsi="Arial" w:cs="Arial"/>
          <w:sz w:val="22"/>
          <w:szCs w:val="22"/>
          <w:lang w:eastAsia="zh-CN"/>
        </w:rPr>
        <w:t>.</w:t>
      </w:r>
    </w:p>
    <w:p w:rsidR="007A08A4" w:rsidP="008E4F42" w14:paraId="7805B530" w14:textId="77777777">
      <w:pPr>
        <w:spacing w:after="220"/>
        <w:rPr>
          <w:rFonts w:ascii="Arial" w:eastAsia="Times New Roman" w:hAnsi="Arial" w:cs="Arial"/>
          <w:sz w:val="22"/>
          <w:szCs w:val="22"/>
          <w:lang w:eastAsia="zh-CN"/>
        </w:rPr>
      </w:pPr>
      <w:r w:rsidRPr="008529A7">
        <w:rPr>
          <w:rFonts w:ascii="Arial" w:eastAsia="Times New Roman" w:hAnsi="Arial" w:cs="Arial"/>
          <w:sz w:val="22"/>
          <w:szCs w:val="22"/>
          <w:lang w:eastAsia="zh-CN"/>
        </w:rPr>
        <w:t>Accordingly</w:t>
      </w:r>
      <w:r w:rsidRPr="008529A7" w:rsidR="00D46F54">
        <w:rPr>
          <w:rFonts w:ascii="Arial" w:eastAsia="Times New Roman" w:hAnsi="Arial" w:cs="Arial"/>
          <w:sz w:val="22"/>
          <w:szCs w:val="22"/>
          <w:lang w:eastAsia="zh-CN"/>
        </w:rPr>
        <w:t xml:space="preserve">, </w:t>
      </w:r>
      <w:r w:rsidRPr="008529A7" w:rsidR="00971E37">
        <w:rPr>
          <w:rFonts w:ascii="Arial" w:eastAsia="Times New Roman" w:hAnsi="Arial" w:cs="Arial"/>
          <w:sz w:val="22"/>
          <w:szCs w:val="22"/>
          <w:lang w:eastAsia="zh-CN"/>
        </w:rPr>
        <w:t xml:space="preserve">the NRC </w:t>
      </w:r>
      <w:r w:rsidRPr="008529A7" w:rsidR="00A026C1">
        <w:rPr>
          <w:rFonts w:ascii="Arial" w:eastAsia="Times New Roman" w:hAnsi="Arial" w:cs="Arial"/>
          <w:sz w:val="22"/>
          <w:szCs w:val="22"/>
          <w:lang w:eastAsia="zh-CN"/>
        </w:rPr>
        <w:t>did</w:t>
      </w:r>
      <w:r w:rsidRPr="008529A7" w:rsidR="00971E37">
        <w:rPr>
          <w:rFonts w:ascii="Arial" w:eastAsia="Times New Roman" w:hAnsi="Arial" w:cs="Arial"/>
          <w:sz w:val="22"/>
          <w:szCs w:val="22"/>
          <w:lang w:eastAsia="zh-CN"/>
        </w:rPr>
        <w:t xml:space="preserve"> not </w:t>
      </w:r>
      <w:r w:rsidRPr="008529A7" w:rsidR="00A026C1">
        <w:rPr>
          <w:rFonts w:ascii="Arial" w:eastAsia="Times New Roman" w:hAnsi="Arial" w:cs="Arial"/>
          <w:sz w:val="22"/>
          <w:szCs w:val="22"/>
          <w:lang w:eastAsia="zh-CN"/>
        </w:rPr>
        <w:t>change the rule language in response to this comment.</w:t>
      </w:r>
    </w:p>
    <w:p w:rsidR="0025577D" w:rsidP="008E4F42" w14:paraId="0E04F7F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37" style="width:0;height:1.5pt" o:hralign="center" o:hrstd="t" o:hrnoshade="t" o:hr="t" fillcolor="black" stroked="f"/>
        </w:pict>
      </w:r>
    </w:p>
    <w:p w:rsidR="00AC1417" w:rsidP="0087274E" w14:paraId="6FA9719B" w14:textId="77777777">
      <w:pPr>
        <w:pStyle w:val="Heading2"/>
        <w:numPr>
          <w:ilvl w:val="0"/>
          <w:numId w:val="0"/>
        </w:numPr>
        <w:ind w:left="720" w:hanging="720"/>
        <w:rPr>
          <w:lang w:eastAsia="ja-JP"/>
        </w:rPr>
      </w:pPr>
      <w:bookmarkStart w:id="6" w:name="_Toc194466454"/>
      <w:bookmarkStart w:id="7" w:name="_Toc207222796"/>
      <w:r w:rsidRPr="0087274E">
        <w:rPr>
          <w:u w:val="none"/>
          <w:lang w:eastAsia="ja-JP"/>
        </w:rPr>
        <w:t>1.3.</w:t>
      </w:r>
      <w:r w:rsidRPr="0087274E">
        <w:rPr>
          <w:u w:val="none"/>
          <w:lang w:eastAsia="ja-JP"/>
        </w:rPr>
        <w:tab/>
      </w:r>
      <w:r w:rsidRPr="00B20437">
        <w:rPr>
          <w:lang w:eastAsia="ja-JP"/>
        </w:rPr>
        <w:t>Legal issues raised by comments (e.g., statutory authority, APA comments)</w:t>
      </w:r>
      <w:bookmarkEnd w:id="6"/>
      <w:bookmarkEnd w:id="7"/>
    </w:p>
    <w:p w:rsidR="00203033" w:rsidRPr="00FF7C7D" w:rsidP="00A04F74" w14:paraId="52782DF6" w14:textId="77777777">
      <w:pPr>
        <w:spacing w:after="220"/>
        <w:rPr>
          <w:rFonts w:ascii="Arial" w:eastAsia="Times New Roman" w:hAnsi="Arial" w:cs="Arial"/>
          <w:color w:val="000000"/>
          <w:sz w:val="22"/>
          <w:szCs w:val="22"/>
          <w:lang w:eastAsia="zh-CN"/>
        </w:rPr>
      </w:pPr>
      <w:r w:rsidRPr="00203033">
        <w:rPr>
          <w:rFonts w:ascii="Arial" w:eastAsia="DengXian" w:hAnsi="Arial" w:cs="Arial"/>
          <w:b/>
          <w:bCs/>
          <w:sz w:val="22"/>
          <w:szCs w:val="22"/>
          <w:lang w:eastAsia="ja-JP"/>
        </w:rPr>
        <w:t>Comment Bin 1.3.A:</w:t>
      </w:r>
      <w:r w:rsidRPr="00203033">
        <w:rPr>
          <w:rFonts w:ascii="Arial" w:eastAsia="DengXian" w:hAnsi="Arial" w:cs="Arial"/>
          <w:sz w:val="22"/>
          <w:szCs w:val="22"/>
          <w:lang w:eastAsia="ja-JP"/>
        </w:rPr>
        <w:t xml:space="preserve"> </w:t>
      </w:r>
      <w:r w:rsidR="0096170F">
        <w:rPr>
          <w:rFonts w:ascii="Arial" w:eastAsia="DengXian" w:hAnsi="Arial" w:cs="Arial"/>
          <w:sz w:val="22"/>
          <w:szCs w:val="22"/>
          <w:lang w:eastAsia="ja-JP"/>
        </w:rPr>
        <w:t>A</w:t>
      </w:r>
      <w:r w:rsidRPr="00203033">
        <w:rPr>
          <w:rFonts w:ascii="Arial" w:eastAsia="DengXian" w:hAnsi="Arial" w:cs="Arial"/>
          <w:sz w:val="22"/>
          <w:szCs w:val="22"/>
          <w:lang w:eastAsia="ja-JP"/>
        </w:rPr>
        <w:t xml:space="preserve"> commenter discussed legal concerns with the NRC’s use of guidance documents. The commenter said that there are serious flaws associated with the use of guidance documents, and that </w:t>
      </w:r>
      <w:r w:rsidR="00ED0FC5">
        <w:rPr>
          <w:rFonts w:ascii="Arial" w:eastAsia="DengXian" w:hAnsi="Arial" w:cs="Arial"/>
          <w:sz w:val="22"/>
          <w:szCs w:val="22"/>
          <w:lang w:eastAsia="ja-JP"/>
        </w:rPr>
        <w:t xml:space="preserve">the </w:t>
      </w:r>
      <w:r w:rsidRPr="00203033">
        <w:rPr>
          <w:rFonts w:ascii="Arial" w:eastAsia="DengXian" w:hAnsi="Arial" w:cs="Arial"/>
          <w:sz w:val="22"/>
          <w:szCs w:val="22"/>
          <w:lang w:eastAsia="ja-JP"/>
        </w:rPr>
        <w:t>NRC staff must use CFR compliance as the acceptance standard, not the staff’s guidance documents (</w:t>
      </w:r>
      <w:r w:rsidR="00005A63">
        <w:rPr>
          <w:rFonts w:ascii="Arial" w:eastAsia="Times New Roman" w:hAnsi="Arial" w:cs="Arial"/>
          <w:color w:val="000000"/>
          <w:sz w:val="22"/>
          <w:szCs w:val="22"/>
          <w:lang w:eastAsia="zh-CN"/>
        </w:rPr>
        <w:t>HPT9</w:t>
      </w:r>
      <w:r w:rsidRPr="00203033">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F80C50">
        <w:rPr>
          <w:rFonts w:ascii="Arial" w:eastAsia="Times New Roman" w:hAnsi="Arial" w:cs="Arial"/>
          <w:color w:val="000000"/>
          <w:sz w:val="22"/>
          <w:szCs w:val="22"/>
          <w:lang w:eastAsia="zh-CN"/>
        </w:rPr>
        <w:t xml:space="preserve"> </w:t>
      </w:r>
      <w:r w:rsidRPr="00F80C50" w:rsidR="00F80C50">
        <w:rPr>
          <w:rFonts w:ascii="Arial" w:eastAsia="Times New Roman" w:hAnsi="Arial" w:cs="Arial"/>
          <w:color w:val="000000"/>
          <w:sz w:val="22"/>
          <w:szCs w:val="22"/>
        </w:rPr>
        <w:t>HPT29</w:t>
      </w:r>
      <w:r w:rsidRPr="00F80C50">
        <w:rPr>
          <w:rFonts w:ascii="Arial" w:eastAsia="Times New Roman" w:hAnsi="Arial" w:cs="Arial"/>
          <w:color w:val="000000"/>
          <w:sz w:val="22"/>
          <w:szCs w:val="22"/>
          <w:lang w:eastAsia="zh-CN"/>
        </w:rPr>
        <w:t>-000</w:t>
      </w:r>
      <w:r w:rsidRPr="00203033">
        <w:rPr>
          <w:rFonts w:ascii="Arial" w:eastAsia="Times New Roman" w:hAnsi="Arial" w:cs="Arial"/>
          <w:color w:val="000000"/>
          <w:sz w:val="22"/>
          <w:szCs w:val="22"/>
          <w:lang w:eastAsia="zh-CN"/>
        </w:rPr>
        <w:t>1).</w:t>
      </w:r>
    </w:p>
    <w:p w:rsidR="00203033" w:rsidRPr="00203033" w:rsidP="00A04F74" w14:paraId="67880A82" w14:textId="77777777">
      <w:pPr>
        <w:spacing w:after="220"/>
        <w:rPr>
          <w:rFonts w:ascii="Arial" w:eastAsia="Times New Roman" w:hAnsi="Arial" w:cs="Arial"/>
          <w:color w:val="000000"/>
          <w:sz w:val="22"/>
          <w:szCs w:val="22"/>
          <w:lang w:eastAsia="zh-CN"/>
        </w:rPr>
      </w:pPr>
      <w:r w:rsidRPr="00203033">
        <w:rPr>
          <w:rFonts w:ascii="Arial" w:eastAsia="Times New Roman" w:hAnsi="Arial" w:cs="Arial"/>
          <w:color w:val="000000" w:themeColor="text1"/>
          <w:sz w:val="22"/>
          <w:szCs w:val="22"/>
          <w:lang w:eastAsia="zh-CN"/>
        </w:rPr>
        <w:t>The commenter suggested that NRC reviews utilizing guidance documents are insufficiently risk</w:t>
      </w:r>
      <w:r w:rsidRPr="00203033">
        <w:rPr>
          <w:rFonts w:ascii="Arial" w:eastAsia="Times New Roman" w:hAnsi="Arial" w:cs="Arial"/>
          <w:color w:val="000000"/>
          <w:sz w:val="22"/>
          <w:szCs w:val="22"/>
          <w:lang w:eastAsia="zh-CN"/>
        </w:rPr>
        <w:noBreakHyphen/>
      </w:r>
      <w:r w:rsidRPr="00203033" w:rsidR="00210DAF">
        <w:rPr>
          <w:rFonts w:ascii="Arial" w:eastAsia="Times New Roman" w:hAnsi="Arial" w:cs="Arial"/>
          <w:color w:val="000000" w:themeColor="text1"/>
          <w:sz w:val="22"/>
          <w:szCs w:val="22"/>
          <w:lang w:eastAsia="zh-CN"/>
        </w:rPr>
        <w:t>informed and</w:t>
      </w:r>
      <w:r w:rsidRPr="00203033">
        <w:rPr>
          <w:rFonts w:ascii="Arial" w:eastAsia="Times New Roman" w:hAnsi="Arial" w:cs="Arial"/>
          <w:color w:val="000000" w:themeColor="text1"/>
          <w:sz w:val="22"/>
          <w:szCs w:val="22"/>
          <w:lang w:eastAsia="zh-CN"/>
        </w:rPr>
        <w:t xml:space="preserve"> proposed adding a new section to 10 CFR Part 53 requiring NRC reviews to be commensurate with risk.</w:t>
      </w:r>
      <w:r w:rsidRPr="00203033">
        <w:rPr>
          <w:rFonts w:ascii="Arial" w:eastAsia="Times New Roman" w:hAnsi="Arial" w:cs="Arial"/>
          <w:color w:val="000000"/>
          <w:sz w:val="22"/>
          <w:szCs w:val="22"/>
          <w:lang w:eastAsia="zh-CN"/>
        </w:rPr>
        <w:t xml:space="preserve"> The commenter also stated that the</w:t>
      </w:r>
      <w:r w:rsidRPr="00203033">
        <w:rPr>
          <w:rFonts w:ascii="Arial" w:eastAsia="Times New Roman" w:hAnsi="Arial" w:cs="Arial"/>
          <w:color w:val="000000" w:themeColor="text1"/>
          <w:sz w:val="22"/>
          <w:szCs w:val="22"/>
          <w:lang w:eastAsia="zh-CN"/>
        </w:rPr>
        <w:t xml:space="preserve"> NRC may rely on industry codes and standards even if</w:t>
      </w:r>
      <w:r w:rsidRPr="00203033">
        <w:rPr>
          <w:rFonts w:ascii="Arial" w:eastAsia="Times New Roman" w:hAnsi="Arial" w:cs="Arial"/>
          <w:color w:val="000000"/>
          <w:sz w:val="22"/>
          <w:szCs w:val="22"/>
          <w:lang w:eastAsia="zh-CN"/>
        </w:rPr>
        <w:t xml:space="preserve"> </w:t>
      </w:r>
      <w:r w:rsidRPr="00203033">
        <w:rPr>
          <w:rFonts w:ascii="Arial" w:eastAsia="Times New Roman" w:hAnsi="Arial" w:cs="Arial"/>
          <w:color w:val="000000" w:themeColor="text1"/>
          <w:sz w:val="22"/>
          <w:szCs w:val="22"/>
          <w:lang w:eastAsia="zh-CN"/>
        </w:rPr>
        <w:t xml:space="preserve">the </w:t>
      </w:r>
      <w:r w:rsidRPr="00203033">
        <w:rPr>
          <w:rFonts w:ascii="Arial" w:eastAsia="Times New Roman" w:hAnsi="Arial" w:cs="Arial"/>
          <w:color w:val="000000"/>
          <w:sz w:val="22"/>
          <w:szCs w:val="22"/>
          <w:lang w:eastAsia="zh-CN"/>
        </w:rPr>
        <w:t>CFR does not approve or endorse the standards</w:t>
      </w:r>
      <w:r w:rsidRPr="00203033">
        <w:rPr>
          <w:rFonts w:ascii="Arial" w:eastAsia="Times New Roman" w:hAnsi="Arial" w:cs="Arial"/>
          <w:color w:val="000000" w:themeColor="text1"/>
          <w:sz w:val="22"/>
          <w:szCs w:val="22"/>
          <w:lang w:eastAsia="zh-CN"/>
        </w:rPr>
        <w:t xml:space="preserve"> or if the standards are not endorsed</w:t>
      </w:r>
      <w:r w:rsidRPr="00203033">
        <w:rPr>
          <w:rFonts w:ascii="Arial" w:eastAsia="Times New Roman" w:hAnsi="Arial" w:cs="Arial"/>
          <w:color w:val="000000"/>
          <w:sz w:val="22"/>
          <w:szCs w:val="22"/>
          <w:lang w:eastAsia="zh-CN"/>
        </w:rPr>
        <w:t xml:space="preserve"> in guidance documents. The commenter asserted that consensus codes/standards are inherently acceptable for use, pointing to language in the Nuclear Energy Innovation and Modernization </w:t>
      </w:r>
      <w:r w:rsidR="00E47E42">
        <w:rPr>
          <w:rFonts w:ascii="Arial" w:eastAsia="Times New Roman" w:hAnsi="Arial" w:cs="Arial"/>
          <w:color w:val="000000"/>
          <w:sz w:val="22"/>
          <w:szCs w:val="22"/>
          <w:lang w:eastAsia="zh-CN"/>
        </w:rPr>
        <w:t>A</w:t>
      </w:r>
      <w:r w:rsidRPr="00203033">
        <w:rPr>
          <w:rFonts w:ascii="Arial" w:eastAsia="Times New Roman" w:hAnsi="Arial" w:cs="Arial"/>
          <w:color w:val="000000"/>
          <w:sz w:val="22"/>
          <w:szCs w:val="22"/>
          <w:lang w:eastAsia="zh-CN"/>
        </w:rPr>
        <w:t>ct</w:t>
      </w:r>
      <w:r w:rsidR="00E47E42">
        <w:rPr>
          <w:rFonts w:ascii="Arial" w:eastAsia="Times New Roman" w:hAnsi="Arial" w:cs="Arial"/>
          <w:color w:val="000000"/>
          <w:sz w:val="22"/>
          <w:szCs w:val="22"/>
          <w:lang w:eastAsia="zh-CN"/>
        </w:rPr>
        <w:t xml:space="preserve"> (NEIMA)</w:t>
      </w:r>
      <w:r w:rsidRPr="00203033">
        <w:rPr>
          <w:rFonts w:ascii="Arial" w:eastAsia="Times New Roman" w:hAnsi="Arial" w:cs="Arial"/>
          <w:color w:val="000000"/>
          <w:sz w:val="22"/>
          <w:szCs w:val="22"/>
          <w:lang w:eastAsia="zh-CN"/>
        </w:rPr>
        <w:t>. The commenter also asserted that “well established law does not allow guidance documents to create requirements outside of Congressional Acts” and that no Congressional Acts “sanction NRC approval, endorsement or acceptance of industry codes/standards.”</w:t>
      </w:r>
    </w:p>
    <w:p w:rsidR="00203033" w:rsidRPr="00203033" w:rsidP="00A04F74" w14:paraId="69081CC1" w14:textId="77777777">
      <w:pPr>
        <w:spacing w:after="220"/>
        <w:rPr>
          <w:rFonts w:ascii="Arial" w:eastAsia="Times New Roman" w:hAnsi="Arial" w:cs="Arial"/>
          <w:color w:val="000000"/>
          <w:sz w:val="22"/>
          <w:szCs w:val="22"/>
          <w:lang w:eastAsia="zh-CN"/>
        </w:rPr>
      </w:pPr>
      <w:r w:rsidRPr="00203033">
        <w:rPr>
          <w:rFonts w:ascii="Arial" w:eastAsia="Times New Roman" w:hAnsi="Arial" w:cs="Arial"/>
          <w:color w:val="000000"/>
          <w:sz w:val="22"/>
          <w:szCs w:val="22"/>
          <w:lang w:eastAsia="zh-CN"/>
        </w:rPr>
        <w:t>The commenter further stated that there is a requirement for the NRC to collaborate with industry in the development of consensus codes/standards and to incorporate such codes/standards into the regulatory framework. The commenter questioned why industry has not previously objected to regulatory guide use of NRC approval, endorsement, or acceptance, and explained that</w:t>
      </w:r>
      <w:r w:rsidRPr="00203033">
        <w:rPr>
          <w:rFonts w:ascii="Arial" w:eastAsia="Times New Roman" w:hAnsi="Arial" w:cs="Arial"/>
          <w:color w:val="000000" w:themeColor="text1"/>
          <w:sz w:val="22"/>
          <w:szCs w:val="22"/>
          <w:lang w:eastAsia="zh-CN"/>
        </w:rPr>
        <w:t xml:space="preserve"> the recent Supreme Court case </w:t>
      </w:r>
      <w:r w:rsidRPr="00283B9F">
        <w:rPr>
          <w:rFonts w:ascii="Arial" w:eastAsia="Times New Roman" w:hAnsi="Arial" w:cs="Arial"/>
          <w:color w:val="000000" w:themeColor="text1"/>
          <w:sz w:val="22"/>
          <w:szCs w:val="22"/>
          <w:lang w:eastAsia="zh-CN"/>
        </w:rPr>
        <w:t>overruling</w:t>
      </w:r>
      <w:r w:rsidRPr="00283B9F">
        <w:rPr>
          <w:rFonts w:ascii="Arial" w:eastAsia="Times New Roman" w:hAnsi="Arial" w:cs="Arial"/>
          <w:color w:val="000000"/>
          <w:sz w:val="22"/>
          <w:szCs w:val="22"/>
          <w:lang w:eastAsia="zh-CN"/>
        </w:rPr>
        <w:t xml:space="preserve"> </w:t>
      </w:r>
      <w:r w:rsidRPr="00283B9F">
        <w:rPr>
          <w:rFonts w:ascii="Arial" w:eastAsia="DengXian" w:hAnsi="Arial" w:cs="Arial"/>
          <w:i/>
          <w:iCs/>
          <w:sz w:val="22"/>
          <w:szCs w:val="22"/>
          <w:lang w:eastAsia="ja-JP"/>
        </w:rPr>
        <w:t>Chevron U.S.A., Inc. v. Natural Resources Defense Council, Inc</w:t>
      </w:r>
      <w:r w:rsidRPr="00283B9F">
        <w:rPr>
          <w:rFonts w:ascii="Arial" w:eastAsia="DengXian" w:hAnsi="Arial" w:cs="Arial"/>
          <w:sz w:val="22"/>
          <w:szCs w:val="22"/>
          <w:lang w:eastAsia="ja-JP"/>
        </w:rPr>
        <w:t>.</w:t>
      </w:r>
      <w:r w:rsidR="00932AE5">
        <w:rPr>
          <w:rFonts w:ascii="Arial" w:eastAsia="DengXian" w:hAnsi="Arial" w:cs="Arial"/>
          <w:sz w:val="22"/>
          <w:szCs w:val="22"/>
          <w:lang w:eastAsia="ja-JP"/>
        </w:rPr>
        <w:t xml:space="preserve"> </w:t>
      </w:r>
      <w:r w:rsidRPr="00203033">
        <w:rPr>
          <w:rFonts w:ascii="Arial" w:eastAsia="Times New Roman" w:hAnsi="Arial" w:cs="Arial"/>
          <w:color w:val="000000"/>
          <w:sz w:val="22"/>
          <w:szCs w:val="22"/>
          <w:lang w:eastAsia="zh-CN"/>
        </w:rPr>
        <w:t>now grants the opportunity for legal recourse. The commenter stated that they intend to legally challenge the guidance document approach as they have legal standing and are developing a patented advanced reactor approach (</w:t>
      </w:r>
      <w:r w:rsidR="009D6BB9">
        <w:rPr>
          <w:rFonts w:ascii="Arial" w:eastAsia="Times New Roman" w:hAnsi="Arial" w:cs="Arial"/>
          <w:color w:val="000000"/>
          <w:sz w:val="22"/>
          <w:szCs w:val="22"/>
          <w:lang w:eastAsia="zh-CN"/>
        </w:rPr>
        <w:t>HPT32</w:t>
      </w:r>
      <w:r w:rsidRPr="00203033">
        <w:rPr>
          <w:rFonts w:ascii="Arial" w:eastAsia="Times New Roman" w:hAnsi="Arial" w:cs="Arial"/>
          <w:color w:val="000000"/>
          <w:sz w:val="22"/>
          <w:szCs w:val="22"/>
          <w:lang w:eastAsia="zh-CN"/>
        </w:rPr>
        <w:t>-0001).</w:t>
      </w:r>
    </w:p>
    <w:p w:rsidR="0074586B" w:rsidRPr="00203033" w:rsidP="00FF7C7D" w14:paraId="7743F7CB" w14:textId="77777777">
      <w:pPr>
        <w:spacing w:after="220"/>
        <w:rPr>
          <w:rFonts w:ascii="Arial" w:hAnsi="Arial" w:cs="Arial"/>
          <w:sz w:val="22"/>
          <w:szCs w:val="22"/>
        </w:rPr>
      </w:pPr>
      <w:r w:rsidRPr="00203033">
        <w:rPr>
          <w:rFonts w:ascii="Arial" w:eastAsia="DengXian" w:hAnsi="Arial" w:cs="Arial"/>
          <w:b/>
          <w:bCs/>
          <w:sz w:val="22"/>
          <w:szCs w:val="22"/>
          <w:lang w:eastAsia="ja-JP"/>
        </w:rPr>
        <w:t>NRC Response:</w:t>
      </w:r>
      <w:r w:rsidRPr="00203033">
        <w:rPr>
          <w:rFonts w:ascii="Arial" w:eastAsia="DengXian" w:hAnsi="Arial" w:cs="Arial"/>
          <w:sz w:val="22"/>
          <w:szCs w:val="22"/>
          <w:lang w:eastAsia="ja-JP"/>
        </w:rPr>
        <w:t xml:space="preserve"> </w:t>
      </w:r>
      <w:r w:rsidRPr="00203033">
        <w:rPr>
          <w:rFonts w:ascii="Arial" w:hAnsi="Arial" w:cs="Arial"/>
          <w:sz w:val="22"/>
          <w:szCs w:val="22"/>
        </w:rPr>
        <w:t>The NRC disagrees with the comments.</w:t>
      </w:r>
    </w:p>
    <w:p w:rsidR="0074586B" w:rsidRPr="00203033" w:rsidP="00C42448" w14:paraId="0586253B" w14:textId="77777777">
      <w:pPr>
        <w:spacing w:after="220"/>
        <w:rPr>
          <w:rFonts w:ascii="Arial" w:hAnsi="Arial" w:cs="Arial"/>
          <w:sz w:val="22"/>
          <w:szCs w:val="22"/>
        </w:rPr>
      </w:pPr>
      <w:r w:rsidRPr="00203033">
        <w:rPr>
          <w:rFonts w:ascii="Arial" w:hAnsi="Arial" w:cs="Arial"/>
          <w:sz w:val="22"/>
          <w:szCs w:val="22"/>
        </w:rPr>
        <w:t xml:space="preserve">The </w:t>
      </w:r>
      <w:r w:rsidRPr="00C42448" w:rsidR="00C42448">
        <w:rPr>
          <w:rFonts w:ascii="Arial" w:hAnsi="Arial" w:cs="Arial"/>
          <w:sz w:val="22"/>
          <w:szCs w:val="22"/>
        </w:rPr>
        <w:t>Atomic Energy</w:t>
      </w:r>
      <w:r w:rsidR="00C42448">
        <w:rPr>
          <w:rFonts w:ascii="Arial" w:hAnsi="Arial" w:cs="Arial"/>
          <w:sz w:val="22"/>
          <w:szCs w:val="22"/>
        </w:rPr>
        <w:t xml:space="preserve"> </w:t>
      </w:r>
      <w:r w:rsidRPr="00C42448" w:rsidR="00C42448">
        <w:rPr>
          <w:rFonts w:ascii="Arial" w:hAnsi="Arial" w:cs="Arial"/>
          <w:sz w:val="22"/>
          <w:szCs w:val="22"/>
        </w:rPr>
        <w:t>Act of 1954, as amended</w:t>
      </w:r>
      <w:r w:rsidR="00265AA7">
        <w:rPr>
          <w:rFonts w:ascii="Arial" w:hAnsi="Arial" w:cs="Arial"/>
          <w:sz w:val="22"/>
          <w:szCs w:val="22"/>
        </w:rPr>
        <w:t xml:space="preserve"> (AEA)</w:t>
      </w:r>
      <w:r w:rsidR="00674597">
        <w:rPr>
          <w:rFonts w:ascii="Arial" w:hAnsi="Arial" w:cs="Arial"/>
          <w:sz w:val="22"/>
          <w:szCs w:val="22"/>
        </w:rPr>
        <w:t>,</w:t>
      </w:r>
      <w:r w:rsidRPr="00203033">
        <w:rPr>
          <w:rFonts w:ascii="Arial" w:hAnsi="Arial" w:cs="Arial"/>
          <w:sz w:val="22"/>
          <w:szCs w:val="22"/>
        </w:rPr>
        <w:t xml:space="preserve"> gives the NRC authority to issue regulations governing a variety of topics. The NRC is not aware of anything in the </w:t>
      </w:r>
      <w:r w:rsidR="005730E4">
        <w:rPr>
          <w:rFonts w:ascii="Arial" w:hAnsi="Arial" w:cs="Arial"/>
          <w:sz w:val="22"/>
          <w:szCs w:val="22"/>
        </w:rPr>
        <w:t>AEA</w:t>
      </w:r>
      <w:r w:rsidRPr="00203033">
        <w:rPr>
          <w:rFonts w:ascii="Arial" w:hAnsi="Arial" w:cs="Arial"/>
          <w:sz w:val="22"/>
          <w:szCs w:val="22"/>
        </w:rPr>
        <w:t xml:space="preserve">, or any other law, exempting the use of codes and industry standards from the NRC’s regulatory authority. Regulatory </w:t>
      </w:r>
      <w:r w:rsidR="00FA5F08">
        <w:rPr>
          <w:rFonts w:ascii="Arial" w:hAnsi="Arial" w:cs="Arial"/>
          <w:sz w:val="22"/>
          <w:szCs w:val="22"/>
        </w:rPr>
        <w:t>g</w:t>
      </w:r>
      <w:r w:rsidRPr="00203033">
        <w:rPr>
          <w:rFonts w:ascii="Arial" w:hAnsi="Arial" w:cs="Arial"/>
          <w:sz w:val="22"/>
          <w:szCs w:val="22"/>
        </w:rPr>
        <w:t xml:space="preserve">uides (RGs) and other guidance documents issued by the NRC are not regulations. Their primary purpose is to provide guidance on methods that are acceptable to the NRC for demonstrating compliance with NRC requirements. These documents are not mandatory unless a licensee has incorporated a specific RG into its </w:t>
      </w:r>
      <w:r w:rsidR="00685BF7">
        <w:rPr>
          <w:rFonts w:ascii="Arial" w:hAnsi="Arial" w:cs="Arial"/>
          <w:sz w:val="22"/>
          <w:szCs w:val="22"/>
        </w:rPr>
        <w:t>license</w:t>
      </w:r>
      <w:r w:rsidRPr="00203033">
        <w:rPr>
          <w:rFonts w:ascii="Arial" w:hAnsi="Arial" w:cs="Arial"/>
          <w:sz w:val="22"/>
          <w:szCs w:val="22"/>
        </w:rPr>
        <w:t xml:space="preserve">. Therefore, issuing guidance documents, </w:t>
      </w:r>
      <w:r w:rsidR="00941769">
        <w:rPr>
          <w:rFonts w:ascii="Arial" w:hAnsi="Arial" w:cs="Arial"/>
          <w:sz w:val="22"/>
          <w:szCs w:val="22"/>
        </w:rPr>
        <w:t>such as</w:t>
      </w:r>
      <w:r w:rsidRPr="00203033">
        <w:rPr>
          <w:rFonts w:ascii="Arial" w:hAnsi="Arial" w:cs="Arial"/>
          <w:sz w:val="22"/>
          <w:szCs w:val="22"/>
        </w:rPr>
        <w:t xml:space="preserve"> RGs, including those endorsing codes and standards, is legal under the A</w:t>
      </w:r>
      <w:r w:rsidR="005730E4">
        <w:rPr>
          <w:rFonts w:ascii="Arial" w:hAnsi="Arial" w:cs="Arial"/>
          <w:sz w:val="22"/>
          <w:szCs w:val="22"/>
        </w:rPr>
        <w:t>EA</w:t>
      </w:r>
      <w:r w:rsidRPr="00203033">
        <w:rPr>
          <w:rFonts w:ascii="Arial" w:hAnsi="Arial" w:cs="Arial"/>
          <w:sz w:val="22"/>
          <w:szCs w:val="22"/>
        </w:rPr>
        <w:t>. As such, the NRC can rely on compliance with 10 CFR and the use of guidance documents as acceptable methods to satisfy regulatory requirements and endorse industry codes and standards.</w:t>
      </w:r>
    </w:p>
    <w:p w:rsidR="0074586B" w:rsidRPr="00203033" w:rsidP="00FF7C7D" w14:paraId="064EECED" w14:textId="77777777">
      <w:pPr>
        <w:spacing w:after="220"/>
        <w:rPr>
          <w:rFonts w:ascii="Arial" w:hAnsi="Arial" w:cs="Arial"/>
          <w:sz w:val="22"/>
          <w:szCs w:val="22"/>
        </w:rPr>
      </w:pPr>
      <w:r w:rsidRPr="00203033">
        <w:rPr>
          <w:rFonts w:ascii="Arial" w:hAnsi="Arial" w:cs="Arial"/>
          <w:sz w:val="22"/>
          <w:szCs w:val="22"/>
        </w:rPr>
        <w:t>Nonetheless, applicants may always refer to an industry code or standard that has not been previously endorsed by the NRC, either in guidance or in a regulation, and the NRC will consider the referenced industry code or standard on an application</w:t>
      </w:r>
      <w:r w:rsidRPr="00203033">
        <w:rPr>
          <w:rFonts w:ascii="Arial" w:hAnsi="Arial" w:cs="Arial"/>
          <w:sz w:val="22"/>
          <w:szCs w:val="22"/>
        </w:rPr>
        <w:noBreakHyphen/>
        <w:t>specific basis. Further, contrary to the suggestion that NRC reviews are not risk-informed</w:t>
      </w:r>
      <w:r w:rsidRPr="00203033" w:rsidR="00E07A9C">
        <w:rPr>
          <w:rFonts w:ascii="Arial" w:hAnsi="Arial" w:cs="Arial"/>
          <w:sz w:val="22"/>
          <w:szCs w:val="22"/>
        </w:rPr>
        <w:t>,</w:t>
      </w:r>
      <w:r w:rsidRPr="00203033">
        <w:rPr>
          <w:rFonts w:ascii="Arial" w:hAnsi="Arial" w:cs="Arial"/>
          <w:sz w:val="22"/>
          <w:szCs w:val="22"/>
        </w:rPr>
        <w:t xml:space="preserve"> the NRC seeks to focus on the most risk-significant portions of applications in its safety reviews. As explained in the final rule, the enhanced use of risk insights from the approach taken in 10 CFR Part 53 will provide a significant advancement in these efforts. </w:t>
      </w:r>
    </w:p>
    <w:p w:rsidR="0074586B" w:rsidRPr="00203033" w:rsidP="00FF7C7D" w14:paraId="1CE4052F" w14:textId="77777777">
      <w:pPr>
        <w:spacing w:after="220"/>
        <w:rPr>
          <w:rFonts w:ascii="Arial" w:eastAsia="Times New Roman" w:hAnsi="Arial" w:cs="Arial"/>
          <w:color w:val="000000" w:themeColor="text1"/>
          <w:sz w:val="22"/>
          <w:szCs w:val="22"/>
          <w:lang w:eastAsia="zh-CN"/>
        </w:rPr>
      </w:pPr>
      <w:r w:rsidRPr="00203033">
        <w:rPr>
          <w:rFonts w:ascii="Arial" w:hAnsi="Arial" w:cs="Arial"/>
          <w:sz w:val="22"/>
          <w:szCs w:val="22"/>
        </w:rPr>
        <w:t xml:space="preserve">Finally, the </w:t>
      </w:r>
      <w:r w:rsidRPr="00203033" w:rsidR="00241742">
        <w:rPr>
          <w:rFonts w:ascii="Arial" w:hAnsi="Arial" w:cs="Arial"/>
          <w:sz w:val="22"/>
          <w:szCs w:val="22"/>
        </w:rPr>
        <w:t>c</w:t>
      </w:r>
      <w:r w:rsidRPr="00203033">
        <w:rPr>
          <w:rFonts w:ascii="Arial" w:hAnsi="Arial" w:cs="Arial"/>
          <w:sz w:val="22"/>
          <w:szCs w:val="22"/>
        </w:rPr>
        <w:t>omment asserted that the NRC “</w:t>
      </w:r>
      <w:r w:rsidRPr="00203033">
        <w:rPr>
          <w:rFonts w:ascii="Arial" w:eastAsia="Times New Roman" w:hAnsi="Arial" w:cs="Arial"/>
          <w:color w:val="000000" w:themeColor="text1"/>
          <w:sz w:val="22"/>
          <w:szCs w:val="22"/>
          <w:lang w:eastAsia="zh-CN"/>
        </w:rPr>
        <w:t xml:space="preserve">must collaborate with industry in the development of consensus codes/standards and incorporate such codes/standard into the regulatory framework.” This assertion appears to be based on language in </w:t>
      </w:r>
      <w:r w:rsidR="00C6158F">
        <w:rPr>
          <w:rFonts w:ascii="Arial" w:eastAsia="Times New Roman" w:hAnsi="Arial" w:cs="Arial"/>
          <w:color w:val="000000" w:themeColor="text1"/>
          <w:sz w:val="22"/>
          <w:szCs w:val="22"/>
          <w:lang w:eastAsia="zh-CN"/>
        </w:rPr>
        <w:t>s</w:t>
      </w:r>
      <w:r w:rsidRPr="00203033">
        <w:rPr>
          <w:rFonts w:ascii="Arial" w:eastAsia="Times New Roman" w:hAnsi="Arial" w:cs="Arial"/>
          <w:color w:val="000000" w:themeColor="text1"/>
          <w:sz w:val="22"/>
          <w:szCs w:val="22"/>
          <w:lang w:eastAsia="zh-CN"/>
        </w:rPr>
        <w:t>ection</w:t>
      </w:r>
      <w:r w:rsidRPr="00203033" w:rsidR="004C0B13">
        <w:rPr>
          <w:rFonts w:ascii="Arial" w:eastAsia="Times New Roman" w:hAnsi="Arial" w:cs="Arial"/>
          <w:color w:val="000000" w:themeColor="text1"/>
          <w:sz w:val="22"/>
          <w:szCs w:val="22"/>
          <w:lang w:eastAsia="zh-CN"/>
        </w:rPr>
        <w:t> </w:t>
      </w:r>
      <w:bookmarkStart w:id="8" w:name="_Hlk203996618"/>
      <w:r w:rsidRPr="00203033">
        <w:rPr>
          <w:rFonts w:ascii="Arial" w:eastAsia="Times New Roman" w:hAnsi="Arial" w:cs="Arial"/>
          <w:color w:val="000000" w:themeColor="text1"/>
          <w:sz w:val="22"/>
          <w:szCs w:val="22"/>
          <w:lang w:eastAsia="zh-CN"/>
        </w:rPr>
        <w:t>103(b)(4)(B)(iii)</w:t>
      </w:r>
      <w:bookmarkEnd w:id="8"/>
      <w:r w:rsidRPr="00203033" w:rsidR="0075311F">
        <w:rPr>
          <w:rFonts w:ascii="Arial" w:eastAsia="Times New Roman" w:hAnsi="Arial" w:cs="Arial"/>
          <w:color w:val="000000" w:themeColor="text1"/>
          <w:sz w:val="22"/>
          <w:szCs w:val="22"/>
          <w:lang w:eastAsia="zh-CN"/>
        </w:rPr>
        <w:t xml:space="preserve"> of </w:t>
      </w:r>
      <w:r w:rsidR="00C5197F">
        <w:rPr>
          <w:rFonts w:ascii="Arial" w:eastAsia="Times New Roman" w:hAnsi="Arial" w:cs="Arial"/>
          <w:color w:val="000000" w:themeColor="text1"/>
          <w:sz w:val="22"/>
          <w:szCs w:val="22"/>
          <w:lang w:eastAsia="zh-CN"/>
        </w:rPr>
        <w:t>NEIMA</w:t>
      </w:r>
      <w:r w:rsidRPr="00203033">
        <w:rPr>
          <w:rFonts w:ascii="Arial" w:eastAsia="Times New Roman" w:hAnsi="Arial" w:cs="Arial"/>
          <w:color w:val="000000" w:themeColor="text1"/>
          <w:sz w:val="22"/>
          <w:szCs w:val="22"/>
          <w:lang w:eastAsia="zh-CN"/>
        </w:rPr>
        <w:t xml:space="preserve">. That language, however, does not create a substantive collaboration requirement. Rather, it instructs the NRC to submit a report to Congress evaluating, among other things, options for licensing commercial advanced nuclear reactors under </w:t>
      </w:r>
      <w:r w:rsidR="00C73A88">
        <w:rPr>
          <w:rFonts w:ascii="Arial" w:eastAsia="Times New Roman" w:hAnsi="Arial" w:cs="Arial"/>
          <w:color w:val="000000" w:themeColor="text1"/>
          <w:sz w:val="22"/>
          <w:szCs w:val="22"/>
          <w:lang w:eastAsia="zh-CN"/>
        </w:rPr>
        <w:t>10 CFR</w:t>
      </w:r>
      <w:r w:rsidRPr="00203033">
        <w:rPr>
          <w:rFonts w:ascii="Arial" w:eastAsia="Times New Roman" w:hAnsi="Arial" w:cs="Arial"/>
          <w:color w:val="000000" w:themeColor="text1"/>
          <w:sz w:val="22"/>
          <w:szCs w:val="22"/>
          <w:lang w:eastAsia="zh-CN"/>
        </w:rPr>
        <w:t xml:space="preserve">, including collaboration with standards-setting organizations to identify specific technical areas for which new and updated standards are needed and providing assistance, if appropriate, to ensure the new or updated standards are developed and finalized in a timely fashion. </w:t>
      </w:r>
    </w:p>
    <w:p w:rsidR="0074586B" w:rsidRPr="000A30CD" w:rsidP="00FF7C7D" w14:paraId="72A7A1AE" w14:textId="77777777">
      <w:pPr>
        <w:spacing w:after="220"/>
        <w:rPr>
          <w:rFonts w:ascii="Arial" w:eastAsia="Times New Roman" w:hAnsi="Arial" w:cs="Arial"/>
          <w:color w:val="000000" w:themeColor="text1"/>
          <w:sz w:val="22"/>
          <w:szCs w:val="22"/>
          <w:lang w:eastAsia="zh-CN"/>
        </w:rPr>
      </w:pPr>
      <w:r w:rsidRPr="00203033">
        <w:rPr>
          <w:rFonts w:ascii="Arial" w:eastAsia="Times New Roman" w:hAnsi="Arial" w:cs="Arial"/>
          <w:color w:val="000000" w:themeColor="text1"/>
          <w:sz w:val="22"/>
          <w:szCs w:val="22"/>
          <w:lang w:eastAsia="zh-CN"/>
        </w:rPr>
        <w:t>Accordingly, the NRC did not change the rule language in response to these comments.</w:t>
      </w:r>
    </w:p>
    <w:p w:rsidR="00F236A7" w:rsidRPr="00203033" w:rsidP="00FF7C7D" w14:paraId="23F2869A"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038" style="width:468pt;height:1.5pt" o:hrpct="0" o:hralign="center" o:hrstd="t" o:hrnoshade="t" o:hr="t" fillcolor="black" stroked="f"/>
        </w:pict>
      </w:r>
    </w:p>
    <w:p w:rsidR="0074586B" w:rsidRPr="00203033" w:rsidP="00FF7C7D" w14:paraId="2A22751F" w14:textId="77777777">
      <w:pPr>
        <w:spacing w:after="220"/>
        <w:rPr>
          <w:rFonts w:ascii="Arial" w:eastAsia="DengXian" w:hAnsi="Arial" w:cs="Arial"/>
          <w:sz w:val="22"/>
          <w:szCs w:val="22"/>
          <w:lang w:eastAsia="ja-JP"/>
        </w:rPr>
      </w:pPr>
      <w:r w:rsidRPr="00203033">
        <w:rPr>
          <w:rFonts w:ascii="Arial" w:eastAsia="Times New Roman" w:hAnsi="Arial" w:cs="Arial"/>
          <w:b/>
          <w:bCs/>
          <w:color w:val="000000"/>
          <w:sz w:val="22"/>
          <w:szCs w:val="22"/>
          <w:lang w:eastAsia="zh-CN"/>
        </w:rPr>
        <w:t>Comment Bin 1.3.B:</w:t>
      </w:r>
      <w:r w:rsidRPr="00203033">
        <w:rPr>
          <w:rFonts w:ascii="Arial" w:eastAsia="Times New Roman" w:hAnsi="Arial" w:cs="Arial"/>
          <w:color w:val="000000"/>
          <w:sz w:val="22"/>
          <w:szCs w:val="22"/>
          <w:lang w:eastAsia="zh-CN"/>
        </w:rPr>
        <w:t xml:space="preserve"> </w:t>
      </w:r>
      <w:r w:rsidRPr="00203033">
        <w:rPr>
          <w:rFonts w:ascii="Arial" w:eastAsia="DengXian" w:hAnsi="Arial" w:cs="Arial"/>
          <w:sz w:val="22"/>
          <w:szCs w:val="22"/>
          <w:lang w:eastAsia="ja-JP"/>
        </w:rPr>
        <w:t>Two commenters expressed concern that multiple legal changes that occurred over the last year have either not been addressed or not sufficiently addressed in the proposed rulemaking. These include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-0001</w:t>
      </w:r>
      <w:r w:rsidR="0096170F">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-0002</w:t>
      </w:r>
      <w:r w:rsidR="0096170F">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-0003</w:t>
      </w:r>
      <w:r w:rsidR="0096170F">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-0004</w:t>
      </w:r>
      <w:r w:rsidR="0096170F">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-0025</w:t>
      </w:r>
      <w:r w:rsidR="0096170F">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96E6F">
        <w:rPr>
          <w:rFonts w:ascii="Arial" w:eastAsia="Times New Roman" w:hAnsi="Arial" w:cs="Arial"/>
          <w:color w:val="000000"/>
          <w:sz w:val="22"/>
          <w:szCs w:val="22"/>
          <w:lang w:eastAsia="zh-CN"/>
        </w:rPr>
        <w:br/>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-0006)</w:t>
      </w:r>
      <w:r w:rsidRPr="00203033">
        <w:rPr>
          <w:rFonts w:ascii="Arial" w:eastAsia="DengXian" w:hAnsi="Arial" w:cs="Arial"/>
          <w:sz w:val="22"/>
          <w:szCs w:val="22"/>
          <w:lang w:eastAsia="ja-JP"/>
        </w:rPr>
        <w:t>:</w:t>
      </w:r>
    </w:p>
    <w:p w:rsidR="00F236A7" w:rsidRPr="00203033" w:rsidP="00FF7C7D" w14:paraId="06F4026D" w14:textId="77777777">
      <w:pPr>
        <w:pStyle w:val="ListParagraph"/>
        <w:numPr>
          <w:ilvl w:val="0"/>
          <w:numId w:val="7"/>
        </w:numPr>
        <w:spacing w:after="220"/>
        <w:contextualSpacing w:val="0"/>
        <w:rPr>
          <w:rFonts w:ascii="Arial" w:eastAsia="Times New Roman" w:hAnsi="Arial" w:cs="Arial"/>
          <w:color w:val="000000"/>
          <w:sz w:val="22"/>
          <w:szCs w:val="22"/>
          <w:lang w:eastAsia="zh-CN"/>
        </w:rPr>
      </w:pPr>
      <w:r w:rsidRPr="00203033">
        <w:rPr>
          <w:rFonts w:ascii="Arial" w:eastAsia="DengXian" w:hAnsi="Arial" w:cs="Arial"/>
          <w:sz w:val="22"/>
          <w:szCs w:val="22"/>
          <w:lang w:eastAsia="ja-JP"/>
        </w:rPr>
        <w:t xml:space="preserve">the </w:t>
      </w:r>
      <w:r w:rsidRPr="00203033">
        <w:rPr>
          <w:rFonts w:ascii="Arial" w:eastAsia="DengXian" w:hAnsi="Arial" w:cs="Arial"/>
          <w:i/>
          <w:sz w:val="22"/>
          <w:szCs w:val="22"/>
          <w:lang w:eastAsia="ja-JP"/>
        </w:rPr>
        <w:t xml:space="preserve">Loper Bright </w:t>
      </w:r>
      <w:r w:rsidRPr="00203033">
        <w:rPr>
          <w:rFonts w:ascii="Arial" w:eastAsia="DengXian" w:hAnsi="Arial" w:cs="Arial"/>
          <w:i/>
          <w:iCs/>
          <w:sz w:val="22"/>
          <w:szCs w:val="22"/>
          <w:lang w:eastAsia="ja-JP"/>
        </w:rPr>
        <w:t>Enterprises v. Raimondo</w:t>
      </w:r>
      <w:r w:rsidRPr="00203033">
        <w:rPr>
          <w:rFonts w:ascii="Arial" w:eastAsia="DengXian" w:hAnsi="Arial" w:cs="Arial"/>
          <w:sz w:val="22"/>
          <w:szCs w:val="22"/>
          <w:lang w:eastAsia="ja-JP"/>
        </w:rPr>
        <w:t xml:space="preserve"> decision</w:t>
      </w:r>
    </w:p>
    <w:p w:rsidR="00F236A7" w:rsidRPr="00203033" w:rsidP="00FF7C7D" w14:paraId="5A0DD31B" w14:textId="77777777">
      <w:pPr>
        <w:pStyle w:val="ListParagraph"/>
        <w:numPr>
          <w:ilvl w:val="0"/>
          <w:numId w:val="7"/>
        </w:numPr>
        <w:spacing w:after="220"/>
        <w:contextualSpacing w:val="0"/>
        <w:rPr>
          <w:rFonts w:ascii="Arial" w:eastAsia="DengXian" w:hAnsi="Arial" w:cs="Arial"/>
          <w:sz w:val="22"/>
          <w:szCs w:val="22"/>
          <w:lang w:eastAsia="ja-JP"/>
        </w:rPr>
      </w:pPr>
      <w:r w:rsidRPr="00203033">
        <w:rPr>
          <w:rFonts w:ascii="Arial" w:eastAsia="DengXian" w:hAnsi="Arial" w:cs="Arial"/>
          <w:sz w:val="22"/>
          <w:szCs w:val="22"/>
          <w:lang w:eastAsia="ja-JP"/>
        </w:rPr>
        <w:t xml:space="preserve">the </w:t>
      </w:r>
      <w:r w:rsidRPr="00203033" w:rsidR="002D6140">
        <w:rPr>
          <w:rFonts w:ascii="Arial" w:eastAsia="DengXian" w:hAnsi="Arial" w:cs="Arial"/>
          <w:sz w:val="22"/>
          <w:szCs w:val="22"/>
          <w:lang w:eastAsia="ja-JP"/>
        </w:rPr>
        <w:t>Accelerating Deployment of Versatile, Advanced Nuclear for Clean Energy Ac</w:t>
      </w:r>
      <w:r w:rsidRPr="00203033">
        <w:rPr>
          <w:rFonts w:ascii="Arial" w:eastAsia="DengXian" w:hAnsi="Arial" w:cs="Arial"/>
          <w:sz w:val="22"/>
          <w:szCs w:val="22"/>
          <w:lang w:eastAsia="ja-JP"/>
        </w:rPr>
        <w:t>t</w:t>
      </w:r>
      <w:r w:rsidR="00F602E4">
        <w:rPr>
          <w:rFonts w:ascii="Arial" w:eastAsia="DengXian" w:hAnsi="Arial" w:cs="Arial"/>
          <w:sz w:val="22"/>
          <w:szCs w:val="22"/>
          <w:lang w:eastAsia="ja-JP"/>
        </w:rPr>
        <w:t xml:space="preserve"> of 2024 (ADVANCE Act)</w:t>
      </w:r>
    </w:p>
    <w:p w:rsidR="0074586B" w:rsidRPr="000A30CD" w:rsidP="00FF7C7D" w14:paraId="5F68A5E6" w14:textId="77777777">
      <w:pPr>
        <w:pStyle w:val="ListParagraph"/>
        <w:numPr>
          <w:ilvl w:val="0"/>
          <w:numId w:val="7"/>
        </w:numPr>
        <w:spacing w:after="220"/>
        <w:contextualSpacing w:val="0"/>
        <w:rPr>
          <w:rFonts w:ascii="Arial" w:eastAsia="DengXian" w:hAnsi="Arial" w:cs="Arial"/>
          <w:sz w:val="22"/>
          <w:szCs w:val="22"/>
          <w:lang w:eastAsia="ja-JP"/>
        </w:rPr>
      </w:pPr>
      <w:r w:rsidRPr="00203033">
        <w:rPr>
          <w:rFonts w:ascii="Arial" w:eastAsia="DengXian" w:hAnsi="Arial" w:cs="Arial"/>
          <w:sz w:val="22"/>
          <w:szCs w:val="22"/>
          <w:lang w:eastAsia="ja-JP"/>
        </w:rPr>
        <w:t>Executive Order (</w:t>
      </w:r>
      <w:r w:rsidRPr="00203033" w:rsidR="00F236A7">
        <w:rPr>
          <w:rFonts w:ascii="Arial" w:eastAsia="DengXian" w:hAnsi="Arial" w:cs="Arial"/>
          <w:sz w:val="22"/>
          <w:szCs w:val="22"/>
          <w:lang w:eastAsia="ja-JP"/>
        </w:rPr>
        <w:t>EO</w:t>
      </w:r>
      <w:r w:rsidRPr="00203033">
        <w:rPr>
          <w:rFonts w:ascii="Arial" w:eastAsia="DengXian" w:hAnsi="Arial" w:cs="Arial"/>
          <w:sz w:val="22"/>
          <w:szCs w:val="22"/>
          <w:lang w:eastAsia="ja-JP"/>
        </w:rPr>
        <w:t>)</w:t>
      </w:r>
      <w:r w:rsidRPr="00203033" w:rsidR="00F236A7">
        <w:rPr>
          <w:rFonts w:ascii="Arial" w:eastAsia="DengXian" w:hAnsi="Arial" w:cs="Arial"/>
          <w:sz w:val="22"/>
          <w:szCs w:val="22"/>
          <w:lang w:eastAsia="ja-JP"/>
        </w:rPr>
        <w:t xml:space="preserve"> 14215</w:t>
      </w:r>
      <w:r w:rsidR="0007129D">
        <w:rPr>
          <w:rFonts w:ascii="Arial" w:eastAsia="DengXian" w:hAnsi="Arial" w:cs="Arial"/>
          <w:sz w:val="22"/>
          <w:szCs w:val="22"/>
          <w:lang w:eastAsia="ja-JP"/>
        </w:rPr>
        <w:t>,</w:t>
      </w:r>
      <w:r w:rsidRPr="00203033" w:rsidR="00F236A7">
        <w:rPr>
          <w:rFonts w:ascii="Arial" w:eastAsia="DengXian" w:hAnsi="Arial" w:cs="Arial"/>
          <w:sz w:val="22"/>
          <w:szCs w:val="22"/>
          <w:lang w:eastAsia="ja-JP"/>
        </w:rPr>
        <w:t xml:space="preserve"> “Ensuring Accountability for All Agencies</w:t>
      </w:r>
      <w:r w:rsidR="008061D5">
        <w:rPr>
          <w:rFonts w:ascii="Arial" w:eastAsia="DengXian" w:hAnsi="Arial" w:cs="Arial"/>
          <w:sz w:val="22"/>
          <w:szCs w:val="22"/>
          <w:lang w:eastAsia="ja-JP"/>
        </w:rPr>
        <w:t>,</w:t>
      </w:r>
      <w:r w:rsidRPr="00203033" w:rsidR="00F236A7">
        <w:rPr>
          <w:rFonts w:ascii="Arial" w:eastAsia="DengXian" w:hAnsi="Arial" w:cs="Arial"/>
          <w:sz w:val="22"/>
          <w:szCs w:val="22"/>
          <w:lang w:eastAsia="ja-JP"/>
        </w:rPr>
        <w:t>”</w:t>
      </w:r>
      <w:r w:rsidR="008061D5">
        <w:rPr>
          <w:rFonts w:ascii="Arial" w:eastAsia="DengXian" w:hAnsi="Arial" w:cs="Arial"/>
          <w:sz w:val="22"/>
          <w:szCs w:val="22"/>
          <w:lang w:eastAsia="ja-JP"/>
        </w:rPr>
        <w:t xml:space="preserve"> dated </w:t>
      </w:r>
      <w:r w:rsidR="00A0366B">
        <w:rPr>
          <w:rFonts w:ascii="Arial" w:eastAsia="DengXian" w:hAnsi="Arial" w:cs="Arial"/>
          <w:sz w:val="22"/>
          <w:szCs w:val="22"/>
          <w:lang w:eastAsia="ja-JP"/>
        </w:rPr>
        <w:t>February</w:t>
      </w:r>
      <w:r w:rsidR="00C63421">
        <w:rPr>
          <w:rFonts w:ascii="Arial" w:eastAsia="DengXian" w:hAnsi="Arial" w:cs="Arial"/>
          <w:sz w:val="22"/>
          <w:szCs w:val="22"/>
          <w:lang w:eastAsia="ja-JP"/>
        </w:rPr>
        <w:t> </w:t>
      </w:r>
      <w:r w:rsidR="00A0366B">
        <w:rPr>
          <w:rFonts w:ascii="Arial" w:eastAsia="DengXian" w:hAnsi="Arial" w:cs="Arial"/>
          <w:sz w:val="22"/>
          <w:szCs w:val="22"/>
          <w:lang w:eastAsia="ja-JP"/>
        </w:rPr>
        <w:t>18</w:t>
      </w:r>
      <w:r w:rsidR="008061D5">
        <w:rPr>
          <w:rFonts w:ascii="Arial" w:eastAsia="DengXian" w:hAnsi="Arial" w:cs="Arial"/>
          <w:sz w:val="22"/>
          <w:szCs w:val="22"/>
          <w:lang w:eastAsia="ja-JP"/>
        </w:rPr>
        <w:t>, 2025.</w:t>
      </w:r>
    </w:p>
    <w:p w:rsidR="0074586B" w:rsidRPr="00203033" w:rsidP="00FF7C7D" w14:paraId="4CB14265" w14:textId="77777777">
      <w:pPr>
        <w:spacing w:after="220"/>
        <w:rPr>
          <w:rFonts w:ascii="Arial" w:eastAsia="Times New Roman" w:hAnsi="Arial" w:cs="Arial"/>
          <w:color w:val="000000"/>
          <w:sz w:val="22"/>
          <w:szCs w:val="22"/>
          <w:lang w:eastAsia="zh-CN"/>
        </w:rPr>
      </w:pPr>
      <w:r w:rsidRPr="00203033">
        <w:rPr>
          <w:rFonts w:ascii="Arial" w:eastAsia="DengXian" w:hAnsi="Arial" w:cs="Arial"/>
          <w:sz w:val="22"/>
          <w:szCs w:val="22"/>
        </w:rPr>
        <w:t>One of the commenters discussed that reversals of Federal actions by courts or the President wastes time for agencies and increases uncertainty for industry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-0001). The</w:t>
      </w:r>
      <w:r w:rsidRPr="00203033">
        <w:rPr>
          <w:rFonts w:ascii="Arial" w:eastAsia="DengXian" w:hAnsi="Arial" w:cs="Arial"/>
          <w:sz w:val="22"/>
          <w:szCs w:val="22"/>
          <w:lang w:eastAsia="ja-JP"/>
        </w:rPr>
        <w:t xml:space="preserve"> commenter said that in order to reduce unnecessary waste and uncertainty, the NRC should reconsider its analysis for 10 CFR Part 53 in light of these recent actions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-0001</w:t>
      </w:r>
      <w:r w:rsidR="006A3070">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-0002</w:t>
      </w:r>
      <w:r w:rsidR="006A3070">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-0003</w:t>
      </w:r>
      <w:r w:rsidR="006A3070">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0D67F7">
        <w:rPr>
          <w:rFonts w:ascii="Arial" w:eastAsia="Times New Roman" w:hAnsi="Arial" w:cs="Arial"/>
          <w:color w:val="000000"/>
          <w:sz w:val="22"/>
          <w:szCs w:val="22"/>
          <w:lang w:eastAsia="zh-CN"/>
        </w:rPr>
        <w:br/>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-0004).</w:t>
      </w:r>
    </w:p>
    <w:p w:rsidR="0074586B" w:rsidRPr="00203033" w:rsidP="00FF7C7D" w14:paraId="474CEE5D" w14:textId="77777777">
      <w:pPr>
        <w:spacing w:after="220"/>
        <w:rPr>
          <w:rFonts w:ascii="Arial" w:eastAsia="Times New Roman" w:hAnsi="Arial" w:cs="Arial"/>
          <w:color w:val="000000"/>
          <w:sz w:val="22"/>
          <w:szCs w:val="22"/>
          <w:lang w:eastAsia="zh-CN"/>
        </w:rPr>
      </w:pPr>
      <w:r w:rsidRPr="00203033">
        <w:rPr>
          <w:rFonts w:ascii="Arial" w:eastAsia="Times New Roman" w:hAnsi="Arial" w:cs="Arial"/>
          <w:color w:val="000000"/>
          <w:sz w:val="22"/>
          <w:szCs w:val="22"/>
          <w:lang w:eastAsia="zh-CN"/>
        </w:rPr>
        <w:t>The commenter wrote that this should include addressing new statutory requirements in the ADVANCE Act, and a cost-benefit analysis that helps establish that the rule is efficient and does not unnecessarily limit benefits to society and the environment</w:t>
      </w:r>
      <w:r w:rsidRPr="00203033" w:rsidR="008363B3">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The commenter also said that this cost</w:t>
      </w:r>
      <w:r w:rsidR="00D57E63">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benefit analysis would provide critical support when presenting the rule to </w:t>
      </w:r>
      <w:r w:rsidR="00DA622D">
        <w:rPr>
          <w:rFonts w:ascii="Arial" w:eastAsia="Times New Roman" w:hAnsi="Arial" w:cs="Arial"/>
          <w:color w:val="000000"/>
          <w:sz w:val="22"/>
          <w:szCs w:val="22"/>
          <w:lang w:eastAsia="zh-CN"/>
        </w:rPr>
        <w:t>the Office of Information and Regulatory Affairs</w:t>
      </w:r>
      <w:r w:rsidRPr="00203033">
        <w:rPr>
          <w:rFonts w:ascii="Arial" w:eastAsia="Times New Roman" w:hAnsi="Arial" w:cs="Arial"/>
          <w:color w:val="000000"/>
          <w:sz w:val="22"/>
          <w:szCs w:val="22"/>
          <w:lang w:eastAsia="zh-CN"/>
        </w:rPr>
        <w:t xml:space="preserve"> should EO 14215 prove to be constitutional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-0007).</w:t>
      </w:r>
    </w:p>
    <w:p w:rsidR="0074586B" w:rsidRPr="00203033" w:rsidP="00FF7C7D" w14:paraId="6D613F2C" w14:textId="77777777">
      <w:pPr>
        <w:spacing w:after="220"/>
        <w:rPr>
          <w:rFonts w:ascii="Arial" w:eastAsia="Times New Roman" w:hAnsi="Arial" w:cs="Arial"/>
          <w:color w:val="000000"/>
          <w:sz w:val="22"/>
          <w:szCs w:val="22"/>
          <w:lang w:eastAsia="zh-CN"/>
        </w:rPr>
      </w:pPr>
      <w:r w:rsidRPr="00203033">
        <w:rPr>
          <w:rFonts w:ascii="Arial" w:eastAsia="DengXian" w:hAnsi="Arial" w:cs="Arial"/>
          <w:sz w:val="22"/>
          <w:szCs w:val="22"/>
          <w:lang w:eastAsia="ja-JP"/>
        </w:rPr>
        <w:t>Commenters also discussed the impact of the ADVANCE Act and the NRC’s need to comply with new statutory directives. The commenters said that the ADVANCE Act requires the NRC to establish a significantly more risk-informed and efficient licensing and regulatory environment for nuclear reactors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-0011</w:t>
      </w:r>
      <w:r w:rsidR="006A3070">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-0015</w:t>
      </w:r>
      <w:r w:rsidR="006A3070">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-0005)</w:t>
      </w:r>
      <w:r w:rsidRPr="00203033">
        <w:rPr>
          <w:rFonts w:ascii="Arial" w:eastAsia="DengXian" w:hAnsi="Arial" w:cs="Arial"/>
          <w:sz w:val="22"/>
          <w:szCs w:val="22"/>
          <w:lang w:eastAsia="ja-JP"/>
        </w:rPr>
        <w:t xml:space="preserve">. One of the commenters said that the NRC’s current approach does not define “adequate protection” required under the </w:t>
      </w:r>
      <w:r w:rsidR="004D0DAC">
        <w:rPr>
          <w:rFonts w:ascii="Arial" w:eastAsia="DengXian" w:hAnsi="Arial" w:cs="Arial"/>
          <w:sz w:val="22"/>
          <w:szCs w:val="22"/>
          <w:lang w:eastAsia="ja-JP"/>
        </w:rPr>
        <w:t>A</w:t>
      </w:r>
      <w:r w:rsidR="00413427">
        <w:rPr>
          <w:rFonts w:ascii="Arial" w:eastAsia="DengXian" w:hAnsi="Arial" w:cs="Arial"/>
          <w:sz w:val="22"/>
          <w:szCs w:val="22"/>
          <w:lang w:eastAsia="ja-JP"/>
        </w:rPr>
        <w:t>EA</w:t>
      </w:r>
      <w:r w:rsidRPr="00203033">
        <w:rPr>
          <w:rFonts w:ascii="Arial" w:eastAsia="DengXian" w:hAnsi="Arial" w:cs="Arial"/>
          <w:sz w:val="22"/>
          <w:szCs w:val="22"/>
          <w:lang w:eastAsia="ja-JP"/>
        </w:rPr>
        <w:t>; rather, 10</w:t>
      </w:r>
      <w:r w:rsidR="00C63421">
        <w:rPr>
          <w:rFonts w:ascii="Arial" w:eastAsia="DengXian" w:hAnsi="Arial" w:cs="Arial"/>
          <w:sz w:val="22"/>
          <w:szCs w:val="22"/>
          <w:lang w:eastAsia="ja-JP"/>
        </w:rPr>
        <w:t> </w:t>
      </w:r>
      <w:r w:rsidRPr="00203033">
        <w:rPr>
          <w:rFonts w:ascii="Arial" w:eastAsia="DengXian" w:hAnsi="Arial" w:cs="Arial"/>
          <w:sz w:val="22"/>
          <w:szCs w:val="22"/>
          <w:lang w:eastAsia="ja-JP"/>
        </w:rPr>
        <w:t>CFR</w:t>
      </w:r>
      <w:r w:rsidR="00C63421">
        <w:rPr>
          <w:rFonts w:ascii="Arial" w:eastAsia="DengXian" w:hAnsi="Arial" w:cs="Arial"/>
          <w:sz w:val="22"/>
          <w:szCs w:val="22"/>
          <w:lang w:eastAsia="ja-JP"/>
        </w:rPr>
        <w:t> </w:t>
      </w:r>
      <w:r w:rsidRPr="00203033">
        <w:rPr>
          <w:rFonts w:ascii="Arial" w:eastAsia="DengXian" w:hAnsi="Arial" w:cs="Arial"/>
          <w:sz w:val="22"/>
          <w:szCs w:val="22"/>
          <w:lang w:eastAsia="ja-JP"/>
        </w:rPr>
        <w:t xml:space="preserve">Part 53 enables </w:t>
      </w:r>
      <w:r w:rsidR="00D57E63">
        <w:rPr>
          <w:rFonts w:ascii="Arial" w:eastAsia="DengXian" w:hAnsi="Arial" w:cs="Arial"/>
          <w:sz w:val="22"/>
          <w:szCs w:val="22"/>
          <w:lang w:eastAsia="ja-JP"/>
        </w:rPr>
        <w:t>the</w:t>
      </w:r>
      <w:r w:rsidRPr="00203033">
        <w:rPr>
          <w:rFonts w:ascii="Arial" w:eastAsia="DengXian" w:hAnsi="Arial" w:cs="Arial"/>
          <w:sz w:val="22"/>
          <w:szCs w:val="22"/>
          <w:lang w:eastAsia="ja-JP"/>
        </w:rPr>
        <w:t xml:space="preserve"> NRC to </w:t>
      </w:r>
      <w:r w:rsidRPr="00203033">
        <w:rPr>
          <w:rFonts w:ascii="Arial" w:eastAsia="Times New Roman" w:hAnsi="Arial" w:cs="Arial"/>
          <w:color w:val="000000"/>
          <w:sz w:val="22"/>
          <w:szCs w:val="22"/>
          <w:lang w:eastAsia="zh-CN"/>
        </w:rPr>
        <w:t>make its required findings under the A</w:t>
      </w:r>
      <w:r w:rsidR="00413427">
        <w:rPr>
          <w:rFonts w:ascii="Arial" w:eastAsia="Times New Roman" w:hAnsi="Arial" w:cs="Arial"/>
          <w:color w:val="000000"/>
          <w:sz w:val="22"/>
          <w:szCs w:val="22"/>
          <w:lang w:eastAsia="zh-CN"/>
        </w:rPr>
        <w:t>EA</w:t>
      </w:r>
      <w:r w:rsidRPr="00203033">
        <w:rPr>
          <w:rFonts w:ascii="Arial" w:eastAsia="Times New Roman" w:hAnsi="Arial" w:cs="Arial"/>
          <w:color w:val="000000"/>
          <w:sz w:val="22"/>
          <w:szCs w:val="22"/>
          <w:lang w:eastAsia="zh-CN"/>
        </w:rPr>
        <w:t xml:space="preserve"> by providing sufficient performance standards, safety criteria, and related requirements on how applicants must demonstrate compliance with Subpart</w:t>
      </w:r>
      <w:r w:rsidR="00413427">
        <w:rPr>
          <w:rFonts w:ascii="Arial" w:eastAsia="Times New Roman" w:hAnsi="Arial" w:cs="Arial"/>
          <w:color w:val="000000"/>
          <w:sz w:val="22"/>
          <w:szCs w:val="22"/>
          <w:lang w:eastAsia="zh-CN"/>
        </w:rPr>
        <w:t> </w:t>
      </w:r>
      <w:r w:rsidRPr="00203033">
        <w:rPr>
          <w:rFonts w:ascii="Arial" w:eastAsia="Times New Roman" w:hAnsi="Arial" w:cs="Arial"/>
          <w:color w:val="000000"/>
          <w:sz w:val="22"/>
          <w:szCs w:val="22"/>
          <w:lang w:eastAsia="zh-CN"/>
        </w:rPr>
        <w:t>B and other subparts. The commenter said that this approach is arbitrary and capricious because the NRC has not defined a standard for “adequate protection”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-0015).</w:t>
      </w:r>
    </w:p>
    <w:p w:rsidR="0074586B" w:rsidRPr="00203033" w:rsidP="00FF7C7D" w14:paraId="46C16F93" w14:textId="77777777">
      <w:pPr>
        <w:spacing w:after="220"/>
        <w:rPr>
          <w:rFonts w:ascii="Arial" w:eastAsia="Times New Roman" w:hAnsi="Arial" w:cs="Arial"/>
          <w:color w:val="000000"/>
          <w:sz w:val="22"/>
          <w:szCs w:val="22"/>
          <w:lang w:eastAsia="zh-CN"/>
        </w:rPr>
      </w:pPr>
      <w:r w:rsidRPr="00203033">
        <w:rPr>
          <w:rFonts w:ascii="Arial" w:eastAsia="Times New Roman" w:hAnsi="Arial" w:cs="Arial"/>
          <w:color w:val="000000"/>
          <w:sz w:val="22"/>
          <w:szCs w:val="22"/>
          <w:lang w:eastAsia="zh-CN"/>
        </w:rPr>
        <w:t xml:space="preserve">The commenter went on to state that the other flaw in the NRC’s interpretation is that it implies that Congress had no intention for what constitutes “adequate protection to the health and </w:t>
      </w:r>
      <w:r w:rsidRPr="00203033">
        <w:rPr>
          <w:rFonts w:ascii="Arial" w:eastAsia="Times New Roman" w:hAnsi="Arial" w:cs="Arial"/>
          <w:color w:val="000000"/>
          <w:sz w:val="22"/>
          <w:szCs w:val="22"/>
          <w:lang w:eastAsia="zh-CN"/>
        </w:rPr>
        <w:t>safety of the public” in the context of radionuclide emissions. The commenter said that Congress has spoken directly about this question in the 1990 amendments to the Clean Air Act (CAA)</w:t>
      </w:r>
      <w:r w:rsidR="00210F18">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which established the “ample margin of safety” metric to measure the health-protectiveness of NRC’s regulations. The commenter said that </w:t>
      </w:r>
      <w:r w:rsidR="00FA182A">
        <w:rPr>
          <w:rFonts w:ascii="Arial" w:eastAsia="Times New Roman" w:hAnsi="Arial" w:cs="Arial"/>
          <w:color w:val="000000"/>
          <w:sz w:val="22"/>
          <w:szCs w:val="22"/>
          <w:lang w:eastAsia="zh-CN"/>
        </w:rPr>
        <w:t xml:space="preserve">the </w:t>
      </w:r>
      <w:r w:rsidR="00682B71">
        <w:rPr>
          <w:rFonts w:ascii="Arial" w:eastAsia="Times New Roman" w:hAnsi="Arial" w:cs="Arial"/>
          <w:color w:val="000000"/>
          <w:sz w:val="22"/>
          <w:szCs w:val="22"/>
          <w:lang w:eastAsia="zh-CN"/>
        </w:rPr>
        <w:t>U.S.</w:t>
      </w:r>
      <w:r w:rsidR="00FA182A">
        <w:rPr>
          <w:rFonts w:ascii="Arial" w:eastAsia="Times New Roman" w:hAnsi="Arial" w:cs="Arial"/>
          <w:color w:val="000000"/>
          <w:sz w:val="22"/>
          <w:szCs w:val="22"/>
          <w:lang w:eastAsia="zh-CN"/>
        </w:rPr>
        <w:t xml:space="preserve"> Environmental Protection Agency (</w:t>
      </w:r>
      <w:r w:rsidRPr="00203033">
        <w:rPr>
          <w:rFonts w:ascii="Arial" w:eastAsia="Times New Roman" w:hAnsi="Arial" w:cs="Arial"/>
          <w:color w:val="000000"/>
          <w:sz w:val="22"/>
          <w:szCs w:val="22"/>
          <w:lang w:eastAsia="zh-CN"/>
        </w:rPr>
        <w:t>EPA</w:t>
      </w:r>
      <w:r w:rsidR="00FA182A">
        <w:rPr>
          <w:rFonts w:ascii="Arial" w:eastAsia="Times New Roman" w:hAnsi="Arial" w:cs="Arial"/>
          <w:color w:val="000000"/>
          <w:sz w:val="22"/>
          <w:szCs w:val="22"/>
          <w:lang w:eastAsia="zh-CN"/>
        </w:rPr>
        <w:t>)</w:t>
      </w:r>
      <w:r w:rsidRPr="00203033">
        <w:rPr>
          <w:rFonts w:ascii="Arial" w:eastAsia="Times New Roman" w:hAnsi="Arial" w:cs="Arial"/>
          <w:color w:val="000000"/>
          <w:sz w:val="22"/>
          <w:szCs w:val="22"/>
          <w:lang w:eastAsia="zh-CN"/>
        </w:rPr>
        <w:t xml:space="preserve"> determined that the NRC regulated its facilities at a far more stringent metric than what Congress intended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-0025). The commenter remarked that insisting on further demonstration of safety beyond the already conservative “ample margin of safety” standards goes far beyond the authority to protect public safety delegated to the NRC by Congress. Therefore, the commenter said that if the NRC seeks to establish a new comprehensive risk standard, it will need to make modifications to the proposed rule to avoid exceeding its authority granted by Congress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-0027).</w:t>
      </w:r>
    </w:p>
    <w:p w:rsidR="0074586B" w:rsidRPr="00203033" w:rsidP="00FF7C7D" w14:paraId="05E22629" w14:textId="77777777">
      <w:pPr>
        <w:spacing w:after="220"/>
        <w:rPr>
          <w:rFonts w:ascii="Arial" w:eastAsia="Times New Roman" w:hAnsi="Arial" w:cs="Arial"/>
          <w:color w:val="000000"/>
          <w:sz w:val="22"/>
          <w:szCs w:val="22"/>
          <w:lang w:eastAsia="zh-CN"/>
        </w:rPr>
      </w:pPr>
      <w:r w:rsidRPr="00203033">
        <w:rPr>
          <w:rFonts w:ascii="Arial" w:eastAsia="Times New Roman" w:hAnsi="Arial" w:cs="Arial"/>
          <w:color w:val="000000"/>
          <w:sz w:val="22"/>
          <w:szCs w:val="22"/>
          <w:lang w:eastAsia="zh-CN"/>
        </w:rPr>
        <w:t xml:space="preserve">A commenter also discussed the </w:t>
      </w:r>
      <w:r w:rsidRPr="00203033">
        <w:rPr>
          <w:rFonts w:ascii="Arial" w:eastAsia="DengXian" w:hAnsi="Arial" w:cs="Arial"/>
          <w:i/>
          <w:sz w:val="22"/>
          <w:szCs w:val="22"/>
          <w:lang w:eastAsia="ja-JP"/>
        </w:rPr>
        <w:t xml:space="preserve">Loper Bright </w:t>
      </w:r>
      <w:r w:rsidRPr="00203033">
        <w:rPr>
          <w:rFonts w:ascii="Arial" w:eastAsia="DengXian" w:hAnsi="Arial" w:cs="Arial"/>
          <w:i/>
          <w:iCs/>
          <w:sz w:val="22"/>
          <w:szCs w:val="22"/>
          <w:lang w:eastAsia="ja-JP"/>
        </w:rPr>
        <w:t xml:space="preserve">Enterprises v. Raimondo </w:t>
      </w:r>
      <w:r w:rsidRPr="00203033">
        <w:rPr>
          <w:rFonts w:ascii="Arial" w:eastAsia="DengXian" w:hAnsi="Arial" w:cs="Arial"/>
          <w:sz w:val="22"/>
          <w:szCs w:val="22"/>
          <w:lang w:eastAsia="ja-JP"/>
        </w:rPr>
        <w:t>decision</w:t>
      </w:r>
      <w:r w:rsidRPr="00203033">
        <w:rPr>
          <w:rFonts w:ascii="Arial" w:eastAsia="Times New Roman" w:hAnsi="Arial" w:cs="Arial"/>
          <w:color w:val="000000"/>
          <w:sz w:val="22"/>
          <w:szCs w:val="22"/>
          <w:lang w:eastAsia="zh-CN"/>
        </w:rPr>
        <w:t xml:space="preserve"> and said it makes clear that </w:t>
      </w:r>
      <w:r w:rsidRPr="00203033" w:rsidR="00A55617">
        <w:rPr>
          <w:rFonts w:ascii="Arial" w:eastAsia="Times New Roman" w:hAnsi="Arial" w:cs="Arial"/>
          <w:color w:val="000000"/>
          <w:sz w:val="22"/>
          <w:szCs w:val="22"/>
          <w:lang w:eastAsia="zh-CN"/>
        </w:rPr>
        <w:t>a</w:t>
      </w:r>
      <w:r w:rsidRPr="00203033">
        <w:rPr>
          <w:rFonts w:ascii="Arial" w:eastAsia="Times New Roman" w:hAnsi="Arial" w:cs="Arial"/>
          <w:color w:val="000000"/>
          <w:sz w:val="22"/>
          <w:szCs w:val="22"/>
          <w:lang w:eastAsia="zh-CN"/>
        </w:rPr>
        <w:t xml:space="preserve"> reviewing court may not simply defer to any “reasonable” interpretation by the </w:t>
      </w:r>
      <w:r w:rsidR="009A2D72">
        <w:rPr>
          <w:rFonts w:ascii="Arial" w:eastAsia="Times New Roman" w:hAnsi="Arial" w:cs="Arial"/>
          <w:color w:val="000000"/>
          <w:sz w:val="22"/>
          <w:szCs w:val="22"/>
          <w:lang w:eastAsia="zh-CN"/>
        </w:rPr>
        <w:t>a</w:t>
      </w:r>
      <w:r w:rsidRPr="00203033">
        <w:rPr>
          <w:rFonts w:ascii="Arial" w:eastAsia="Times New Roman" w:hAnsi="Arial" w:cs="Arial"/>
          <w:color w:val="000000"/>
          <w:sz w:val="22"/>
          <w:szCs w:val="22"/>
          <w:lang w:eastAsia="zh-CN"/>
        </w:rPr>
        <w:t xml:space="preserve">gency, but the court must independently interpret the statute and “effectuate the will of Congress” and “fix the boundaries” of the delegation. The commenter said that the NRC appears to believe that it is insulated from the impacts of </w:t>
      </w:r>
      <w:r w:rsidRPr="00203033">
        <w:rPr>
          <w:rFonts w:ascii="Arial" w:eastAsia="DengXian" w:hAnsi="Arial" w:cs="Arial"/>
          <w:i/>
          <w:sz w:val="22"/>
          <w:szCs w:val="22"/>
          <w:lang w:eastAsia="ja-JP"/>
        </w:rPr>
        <w:t xml:space="preserve">Loper Bright </w:t>
      </w:r>
      <w:r w:rsidRPr="00203033">
        <w:rPr>
          <w:rFonts w:ascii="Arial" w:eastAsia="DengXian" w:hAnsi="Arial" w:cs="Arial"/>
          <w:i/>
          <w:iCs/>
          <w:sz w:val="22"/>
          <w:szCs w:val="22"/>
          <w:lang w:eastAsia="ja-JP"/>
        </w:rPr>
        <w:t>Enterprises v. Raimondo</w:t>
      </w:r>
      <w:r w:rsidRPr="00203033">
        <w:rPr>
          <w:rFonts w:ascii="Arial" w:eastAsia="DengXian" w:hAnsi="Arial" w:cs="Arial"/>
          <w:sz w:val="22"/>
          <w:szCs w:val="22"/>
          <w:lang w:eastAsia="ja-JP"/>
        </w:rPr>
        <w:t xml:space="preserve"> </w:t>
      </w:r>
      <w:r w:rsidRPr="00203033">
        <w:rPr>
          <w:rFonts w:ascii="Arial" w:eastAsia="Times New Roman" w:hAnsi="Arial" w:cs="Arial"/>
          <w:color w:val="000000"/>
          <w:sz w:val="22"/>
          <w:szCs w:val="22"/>
          <w:lang w:eastAsia="zh-CN"/>
        </w:rPr>
        <w:t>due to a long history of wide deference from the courts. The commenter said that any court reviewing NRC’s interpretation of “adequate protection of public health and safety” will not interpret the silence in the A</w:t>
      </w:r>
      <w:r w:rsidR="007C24DD">
        <w:rPr>
          <w:rFonts w:ascii="Arial" w:eastAsia="Times New Roman" w:hAnsi="Arial" w:cs="Arial"/>
          <w:color w:val="000000"/>
          <w:sz w:val="22"/>
          <w:szCs w:val="22"/>
          <w:lang w:eastAsia="zh-CN"/>
        </w:rPr>
        <w:t>EA</w:t>
      </w:r>
      <w:r w:rsidRPr="00203033">
        <w:rPr>
          <w:rFonts w:ascii="Arial" w:eastAsia="Times New Roman" w:hAnsi="Arial" w:cs="Arial"/>
          <w:color w:val="000000"/>
          <w:sz w:val="22"/>
          <w:szCs w:val="22"/>
          <w:lang w:eastAsia="zh-CN"/>
        </w:rPr>
        <w:t xml:space="preserve"> as a delegation to the NRC to come up with its own approach, and will engage in a search for any statement from Congress about what it intends to be the yardstick for protection of public health from radionuclide emissions from nuclear plants, which will lead to the 1990 CAA amendments (</w:t>
      </w:r>
      <w:r w:rsidR="004C1A5D">
        <w:rPr>
          <w:rFonts w:ascii="Arial" w:eastAsia="Times New Roman" w:hAnsi="Arial" w:cs="Arial"/>
          <w:color w:val="000000"/>
          <w:sz w:val="22"/>
          <w:szCs w:val="22"/>
          <w:lang w:eastAsia="zh-CN"/>
        </w:rPr>
        <w:t>BI1</w:t>
      </w:r>
      <w:r w:rsidRPr="00203033">
        <w:rPr>
          <w:rFonts w:ascii="Arial" w:eastAsia="Times New Roman" w:hAnsi="Arial" w:cs="Arial"/>
          <w:color w:val="000000"/>
          <w:sz w:val="22"/>
          <w:szCs w:val="22"/>
          <w:lang w:eastAsia="zh-CN"/>
        </w:rPr>
        <w:t>-0026).</w:t>
      </w:r>
      <w:r w:rsidRPr="00203033" w:rsidR="00D232A0">
        <w:rPr>
          <w:rFonts w:ascii="Arial" w:eastAsia="Times New Roman" w:hAnsi="Arial" w:cs="Arial"/>
          <w:color w:val="000000"/>
          <w:sz w:val="22"/>
          <w:szCs w:val="22"/>
          <w:lang w:eastAsia="zh-CN"/>
        </w:rPr>
        <w:t xml:space="preserve"> Another commenter said the </w:t>
      </w:r>
      <w:r w:rsidRPr="00203033" w:rsidR="00D232A0">
        <w:rPr>
          <w:rFonts w:ascii="Arial" w:eastAsia="DengXian" w:hAnsi="Arial" w:cs="Arial"/>
          <w:i/>
          <w:sz w:val="22"/>
          <w:szCs w:val="22"/>
          <w:lang w:eastAsia="ja-JP"/>
        </w:rPr>
        <w:t xml:space="preserve">Loper Bright </w:t>
      </w:r>
      <w:r w:rsidRPr="00203033" w:rsidR="00D232A0">
        <w:rPr>
          <w:rFonts w:ascii="Arial" w:eastAsia="DengXian" w:hAnsi="Arial" w:cs="Arial"/>
          <w:i/>
          <w:iCs/>
          <w:sz w:val="22"/>
          <w:szCs w:val="22"/>
          <w:lang w:eastAsia="ja-JP"/>
        </w:rPr>
        <w:t xml:space="preserve">Enterprises v. Raimondo </w:t>
      </w:r>
      <w:r w:rsidRPr="00203033" w:rsidR="00D232A0">
        <w:rPr>
          <w:rFonts w:ascii="Arial" w:eastAsia="DengXian" w:hAnsi="Arial" w:cs="Arial"/>
          <w:sz w:val="22"/>
          <w:szCs w:val="22"/>
          <w:lang w:eastAsia="ja-JP"/>
        </w:rPr>
        <w:t>decision</w:t>
      </w:r>
      <w:r w:rsidRPr="00203033" w:rsidR="00D232A0">
        <w:rPr>
          <w:rFonts w:ascii="Arial" w:eastAsia="Times New Roman" w:hAnsi="Arial" w:cs="Arial"/>
          <w:color w:val="000000"/>
          <w:sz w:val="22"/>
          <w:szCs w:val="22"/>
          <w:lang w:eastAsia="zh-CN"/>
        </w:rPr>
        <w:t xml:space="preserve"> reinforces the need for NRC regulations to adhere strictly to statutory mandates</w:t>
      </w:r>
      <w:r w:rsidRPr="00203033" w:rsidR="00211DB9">
        <w:rPr>
          <w:rFonts w:ascii="Arial" w:eastAsia="Times New Roman" w:hAnsi="Arial" w:cs="Arial"/>
          <w:color w:val="000000"/>
          <w:sz w:val="22"/>
          <w:szCs w:val="22"/>
          <w:lang w:eastAsia="zh-CN"/>
        </w:rPr>
        <w:t xml:space="preserve"> (</w:t>
      </w:r>
      <w:r w:rsidR="00C3447B">
        <w:rPr>
          <w:rFonts w:ascii="Arial" w:eastAsia="Times New Roman" w:hAnsi="Arial" w:cs="Arial"/>
          <w:color w:val="000000"/>
          <w:sz w:val="22"/>
          <w:szCs w:val="22"/>
          <w:lang w:eastAsia="zh-CN"/>
        </w:rPr>
        <w:t>NNY</w:t>
      </w:r>
      <w:r w:rsidRPr="00203033" w:rsidR="00211DB9">
        <w:rPr>
          <w:rFonts w:ascii="Arial" w:eastAsia="Times New Roman" w:hAnsi="Arial" w:cs="Arial"/>
          <w:color w:val="000000"/>
          <w:sz w:val="22"/>
          <w:szCs w:val="22"/>
          <w:lang w:eastAsia="zh-CN"/>
        </w:rPr>
        <w:t>-0006)</w:t>
      </w:r>
      <w:r w:rsidRPr="00203033" w:rsidR="00D232A0">
        <w:rPr>
          <w:rFonts w:ascii="Arial" w:eastAsia="Times New Roman" w:hAnsi="Arial" w:cs="Arial"/>
          <w:color w:val="000000"/>
          <w:sz w:val="22"/>
          <w:szCs w:val="22"/>
          <w:lang w:eastAsia="zh-CN"/>
        </w:rPr>
        <w:t>.</w:t>
      </w:r>
    </w:p>
    <w:p w:rsidR="0074586B" w:rsidRPr="00203033" w:rsidP="00FF7C7D" w14:paraId="4FDE9882" w14:textId="77777777">
      <w:pPr>
        <w:spacing w:after="220"/>
        <w:rPr>
          <w:rFonts w:ascii="Arial" w:eastAsia="Times New Roman" w:hAnsi="Arial" w:cs="Arial"/>
          <w:color w:val="000000"/>
          <w:sz w:val="22"/>
          <w:szCs w:val="22"/>
          <w:lang w:eastAsia="zh-CN"/>
        </w:rPr>
      </w:pPr>
      <w:r w:rsidRPr="00203033">
        <w:rPr>
          <w:rFonts w:ascii="Arial" w:eastAsia="DengXian" w:hAnsi="Arial" w:cs="Arial"/>
          <w:sz w:val="22"/>
          <w:szCs w:val="22"/>
          <w:lang w:eastAsia="ja-JP"/>
        </w:rPr>
        <w:t>A commenter discussed the new EO 14215</w:t>
      </w:r>
      <w:r w:rsidRPr="00203033">
        <w:rPr>
          <w:rFonts w:ascii="Arial" w:eastAsia="Times New Roman" w:hAnsi="Arial" w:cs="Arial"/>
          <w:color w:val="000000"/>
          <w:sz w:val="22"/>
          <w:szCs w:val="22"/>
          <w:lang w:eastAsia="zh-CN"/>
        </w:rPr>
        <w:t xml:space="preserve"> that purports to exert executive control over independent agencies, including the NRC. The commenter said that this EO is inconsistent with longstanding Supreme Court precedent in </w:t>
      </w:r>
      <w:r w:rsidRPr="00203033">
        <w:rPr>
          <w:rFonts w:ascii="Arial" w:eastAsia="Times New Roman" w:hAnsi="Arial" w:cs="Arial"/>
          <w:i/>
          <w:iCs/>
          <w:color w:val="000000"/>
          <w:sz w:val="22"/>
          <w:szCs w:val="22"/>
          <w:lang w:eastAsia="zh-CN"/>
        </w:rPr>
        <w:t>Humphrey's Executor v. U.S.</w:t>
      </w:r>
      <w:r w:rsidRPr="00203033">
        <w:rPr>
          <w:rFonts w:ascii="Arial" w:eastAsia="Times New Roman" w:hAnsi="Arial" w:cs="Arial"/>
          <w:color w:val="000000"/>
          <w:sz w:val="22"/>
          <w:szCs w:val="22"/>
          <w:lang w:eastAsia="zh-CN"/>
        </w:rPr>
        <w:t xml:space="preserve">, which clearly allows Congress to create agencies who are independent of direct executive control. The commenter said that the NRC could theoretically wait to comply with the order until Federal courts have time to rule on its constitutionality, but waiting to perform a thorough cost-benefit analysis would mean trying to retrofit a cost-benefit analysis to justify the </w:t>
      </w:r>
      <w:r w:rsidR="006E28BF">
        <w:rPr>
          <w:rFonts w:ascii="Arial" w:eastAsia="Times New Roman" w:hAnsi="Arial" w:cs="Arial"/>
          <w:color w:val="000000"/>
          <w:sz w:val="22"/>
          <w:szCs w:val="22"/>
          <w:lang w:eastAsia="zh-CN"/>
        </w:rPr>
        <w:t>a</w:t>
      </w:r>
      <w:r w:rsidRPr="00203033">
        <w:rPr>
          <w:rFonts w:ascii="Arial" w:eastAsia="Times New Roman" w:hAnsi="Arial" w:cs="Arial"/>
          <w:color w:val="000000"/>
          <w:sz w:val="22"/>
          <w:szCs w:val="22"/>
          <w:lang w:eastAsia="zh-CN"/>
        </w:rPr>
        <w:t xml:space="preserve">gency’s decisions. The commenter suggested that, with such a tight statutory deadline, the </w:t>
      </w:r>
      <w:r w:rsidR="006E28BF">
        <w:rPr>
          <w:rFonts w:ascii="Arial" w:eastAsia="Times New Roman" w:hAnsi="Arial" w:cs="Arial"/>
          <w:color w:val="000000"/>
          <w:sz w:val="22"/>
          <w:szCs w:val="22"/>
          <w:lang w:eastAsia="zh-CN"/>
        </w:rPr>
        <w:t>a</w:t>
      </w:r>
      <w:r w:rsidRPr="00203033">
        <w:rPr>
          <w:rFonts w:ascii="Arial" w:eastAsia="Times New Roman" w:hAnsi="Arial" w:cs="Arial"/>
          <w:color w:val="000000"/>
          <w:sz w:val="22"/>
          <w:szCs w:val="22"/>
          <w:lang w:eastAsia="zh-CN"/>
        </w:rPr>
        <w:t>gency would do better to revisit the analysis now (</w:t>
      </w:r>
      <w:r w:rsidR="00B60F4D">
        <w:rPr>
          <w:rFonts w:ascii="Arial" w:eastAsia="Times New Roman" w:hAnsi="Arial" w:cs="Arial"/>
          <w:color w:val="000000"/>
          <w:sz w:val="22"/>
          <w:szCs w:val="22"/>
          <w:lang w:eastAsia="zh-CN"/>
        </w:rPr>
        <w:t>UL</w:t>
      </w:r>
      <w:r w:rsidRPr="00203033">
        <w:rPr>
          <w:rFonts w:ascii="Arial" w:eastAsia="Times New Roman" w:hAnsi="Arial" w:cs="Arial"/>
          <w:color w:val="000000"/>
          <w:sz w:val="22"/>
          <w:szCs w:val="22"/>
          <w:lang w:eastAsia="zh-CN"/>
        </w:rPr>
        <w:t>-0006).</w:t>
      </w:r>
    </w:p>
    <w:p w:rsidR="0074586B" w:rsidRPr="00203033" w:rsidP="00FF7C7D" w14:paraId="298D941C" w14:textId="77777777">
      <w:pPr>
        <w:spacing w:after="220"/>
        <w:rPr>
          <w:rFonts w:ascii="Arial" w:eastAsia="DengXian" w:hAnsi="Arial" w:cs="Arial"/>
          <w:sz w:val="22"/>
          <w:szCs w:val="22"/>
          <w:lang w:eastAsia="ja-JP"/>
        </w:rPr>
      </w:pPr>
      <w:r w:rsidRPr="00203033">
        <w:rPr>
          <w:rFonts w:ascii="Arial" w:eastAsia="DengXian" w:hAnsi="Arial" w:cs="Arial"/>
          <w:b/>
          <w:bCs/>
          <w:sz w:val="22"/>
          <w:szCs w:val="22"/>
          <w:lang w:eastAsia="ja-JP"/>
        </w:rPr>
        <w:t>NRC Response:</w:t>
      </w:r>
      <w:r w:rsidRPr="00203033">
        <w:rPr>
          <w:rFonts w:ascii="Arial" w:eastAsia="DengXian" w:hAnsi="Arial" w:cs="Arial"/>
          <w:sz w:val="22"/>
          <w:szCs w:val="22"/>
          <w:lang w:eastAsia="ja-JP"/>
        </w:rPr>
        <w:t xml:space="preserve"> The NRC disagrees with the comments.</w:t>
      </w:r>
    </w:p>
    <w:p w:rsidR="0074586B" w:rsidRPr="00203033" w:rsidP="00FF7C7D" w14:paraId="3777CAB1"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These comments all suggest that the NRC lacks statutory authority to proceed with the Part 53 rulemaking. However, the NRC has clear statutory authority to promulgate regulations governing the licensing of nuclear reactors. For example, several sections of the A</w:t>
      </w:r>
      <w:r w:rsidR="002D324C">
        <w:rPr>
          <w:rFonts w:ascii="Arial" w:eastAsia="DengXian" w:hAnsi="Arial" w:cs="Arial"/>
          <w:sz w:val="22"/>
          <w:szCs w:val="22"/>
          <w:lang w:eastAsia="ja-JP"/>
        </w:rPr>
        <w:t>EA</w:t>
      </w:r>
      <w:r w:rsidRPr="00203033">
        <w:rPr>
          <w:rFonts w:ascii="Arial" w:eastAsia="DengXian" w:hAnsi="Arial" w:cs="Arial"/>
          <w:sz w:val="22"/>
          <w:szCs w:val="22"/>
          <w:lang w:eastAsia="ja-JP"/>
        </w:rPr>
        <w:t xml:space="preserve">, including sections 161 and 182, explicitly authorize the NRC to issue regulations for licensing nuclear reactors, such as </w:t>
      </w:r>
      <w:r w:rsidRPr="00203033" w:rsidR="002D72D4">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Moreover, as noted by many of the comments, Congress explicitly authorized the NRC to promulgate </w:t>
      </w:r>
      <w:r w:rsidRPr="00203033" w:rsidR="002D72D4">
        <w:rPr>
          <w:rFonts w:ascii="Arial" w:eastAsia="DengXian" w:hAnsi="Arial" w:cs="Arial"/>
          <w:sz w:val="22"/>
          <w:szCs w:val="22"/>
          <w:lang w:eastAsia="ja-JP"/>
        </w:rPr>
        <w:t>10 CFR </w:t>
      </w:r>
      <w:r w:rsidRPr="00203033">
        <w:rPr>
          <w:rFonts w:ascii="Arial" w:eastAsia="DengXian" w:hAnsi="Arial" w:cs="Arial"/>
          <w:sz w:val="22"/>
          <w:szCs w:val="22"/>
          <w:lang w:eastAsia="ja-JP"/>
        </w:rPr>
        <w:t>Part</w:t>
      </w:r>
      <w:r w:rsidRPr="00203033" w:rsidR="002D72D4">
        <w:rPr>
          <w:rFonts w:ascii="Arial" w:eastAsia="DengXian" w:hAnsi="Arial" w:cs="Arial"/>
          <w:sz w:val="22"/>
          <w:szCs w:val="22"/>
          <w:lang w:eastAsia="ja-JP"/>
        </w:rPr>
        <w:t> </w:t>
      </w:r>
      <w:r w:rsidRPr="00203033">
        <w:rPr>
          <w:rFonts w:ascii="Arial" w:eastAsia="DengXian" w:hAnsi="Arial" w:cs="Arial"/>
          <w:sz w:val="22"/>
          <w:szCs w:val="22"/>
          <w:lang w:eastAsia="ja-JP"/>
        </w:rPr>
        <w:t>53 in section 103(a)(4) of NEIMA. While many of the circumstances cited by the comments represent significant legal developments, none of them, individually or collectively, erode these authorities</w:t>
      </w:r>
      <w:r w:rsidR="003061E6">
        <w:rPr>
          <w:rFonts w:ascii="Arial" w:eastAsia="DengXian" w:hAnsi="Arial" w:cs="Arial"/>
          <w:sz w:val="22"/>
          <w:szCs w:val="22"/>
          <w:lang w:eastAsia="ja-JP"/>
        </w:rPr>
        <w:t xml:space="preserve"> or otherwise require the NRC to </w:t>
      </w:r>
      <w:r w:rsidR="00725712">
        <w:rPr>
          <w:rFonts w:ascii="Arial" w:eastAsia="DengXian" w:hAnsi="Arial" w:cs="Arial"/>
          <w:sz w:val="22"/>
          <w:szCs w:val="22"/>
          <w:lang w:eastAsia="ja-JP"/>
        </w:rPr>
        <w:t>adopt</w:t>
      </w:r>
      <w:r w:rsidR="007B3022">
        <w:rPr>
          <w:rFonts w:ascii="Arial" w:eastAsia="DengXian" w:hAnsi="Arial" w:cs="Arial"/>
          <w:sz w:val="22"/>
          <w:szCs w:val="22"/>
          <w:lang w:eastAsia="ja-JP"/>
        </w:rPr>
        <w:t xml:space="preserve"> a </w:t>
      </w:r>
      <w:r w:rsidR="00725712">
        <w:rPr>
          <w:rFonts w:ascii="Arial" w:eastAsia="DengXian" w:hAnsi="Arial" w:cs="Arial"/>
          <w:sz w:val="22"/>
          <w:szCs w:val="22"/>
          <w:lang w:eastAsia="ja-JP"/>
        </w:rPr>
        <w:t>specific approach</w:t>
      </w:r>
      <w:r w:rsidR="007B3022">
        <w:rPr>
          <w:rFonts w:ascii="Arial" w:eastAsia="DengXian" w:hAnsi="Arial" w:cs="Arial"/>
          <w:sz w:val="22"/>
          <w:szCs w:val="22"/>
          <w:lang w:eastAsia="ja-JP"/>
        </w:rPr>
        <w:t xml:space="preserve"> when selecting</w:t>
      </w:r>
      <w:r w:rsidR="007F50F2">
        <w:rPr>
          <w:rFonts w:ascii="Arial" w:eastAsia="DengXian" w:hAnsi="Arial" w:cs="Arial"/>
          <w:sz w:val="22"/>
          <w:szCs w:val="22"/>
          <w:lang w:eastAsia="ja-JP"/>
        </w:rPr>
        <w:t xml:space="preserve"> a </w:t>
      </w:r>
      <w:r w:rsidR="006D31CE">
        <w:rPr>
          <w:rFonts w:ascii="Arial" w:eastAsia="DengXian" w:hAnsi="Arial" w:cs="Arial"/>
          <w:sz w:val="22"/>
          <w:szCs w:val="22"/>
          <w:lang w:eastAsia="ja-JP"/>
        </w:rPr>
        <w:t>viable</w:t>
      </w:r>
      <w:r w:rsidR="00A11B19">
        <w:rPr>
          <w:rFonts w:ascii="Arial" w:eastAsia="DengXian" w:hAnsi="Arial" w:cs="Arial"/>
          <w:sz w:val="22"/>
          <w:szCs w:val="22"/>
          <w:lang w:eastAsia="ja-JP"/>
        </w:rPr>
        <w:t xml:space="preserve"> </w:t>
      </w:r>
      <w:r w:rsidR="007F50F2">
        <w:rPr>
          <w:rFonts w:ascii="Arial" w:eastAsia="DengXian" w:hAnsi="Arial" w:cs="Arial"/>
          <w:sz w:val="22"/>
          <w:szCs w:val="22"/>
          <w:lang w:eastAsia="ja-JP"/>
        </w:rPr>
        <w:t>regulatory</w:t>
      </w:r>
      <w:r w:rsidR="00A11B19">
        <w:rPr>
          <w:rFonts w:ascii="Arial" w:eastAsia="DengXian" w:hAnsi="Arial" w:cs="Arial"/>
          <w:sz w:val="22"/>
          <w:szCs w:val="22"/>
          <w:lang w:eastAsia="ja-JP"/>
        </w:rPr>
        <w:t xml:space="preserve"> </w:t>
      </w:r>
      <w:r w:rsidR="00B57985">
        <w:rPr>
          <w:rFonts w:ascii="Arial" w:eastAsia="DengXian" w:hAnsi="Arial" w:cs="Arial"/>
          <w:sz w:val="22"/>
          <w:szCs w:val="22"/>
          <w:lang w:eastAsia="ja-JP"/>
        </w:rPr>
        <w:t>option</w:t>
      </w:r>
      <w:r w:rsidRPr="00203033">
        <w:rPr>
          <w:rFonts w:ascii="Arial" w:eastAsia="DengXian" w:hAnsi="Arial" w:cs="Arial"/>
          <w:sz w:val="22"/>
          <w:szCs w:val="22"/>
          <w:lang w:eastAsia="ja-JP"/>
        </w:rPr>
        <w:t>.</w:t>
      </w:r>
    </w:p>
    <w:p w:rsidR="0074586B" w:rsidRPr="00203033" w:rsidP="00FF7C7D" w14:paraId="09A7BDF3"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Many comments question whether promulgating </w:t>
      </w:r>
      <w:r w:rsidRPr="00203033" w:rsidR="00FA7AAF">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in its current form remains lawful following passage of the ADVANCE Act. Specifically, comments point to </w:t>
      </w:r>
      <w:r w:rsidR="00C26747">
        <w:rPr>
          <w:rFonts w:ascii="Arial" w:eastAsia="DengXian" w:hAnsi="Arial" w:cs="Arial"/>
          <w:sz w:val="22"/>
          <w:szCs w:val="22"/>
          <w:lang w:eastAsia="ja-JP"/>
        </w:rPr>
        <w:t>s</w:t>
      </w:r>
      <w:r w:rsidRPr="00203033">
        <w:rPr>
          <w:rFonts w:ascii="Arial" w:eastAsia="DengXian" w:hAnsi="Arial" w:cs="Arial"/>
          <w:sz w:val="22"/>
          <w:szCs w:val="22"/>
          <w:lang w:eastAsia="ja-JP"/>
        </w:rPr>
        <w:t xml:space="preserve">ection 501 of the </w:t>
      </w:r>
      <w:r w:rsidR="00AE2C26">
        <w:rPr>
          <w:rFonts w:ascii="Arial" w:eastAsia="DengXian" w:hAnsi="Arial" w:cs="Arial"/>
          <w:sz w:val="22"/>
          <w:szCs w:val="22"/>
          <w:lang w:eastAsia="ja-JP"/>
        </w:rPr>
        <w:t xml:space="preserve">ADVANCE </w:t>
      </w:r>
      <w:r w:rsidRPr="00203033" w:rsidR="00EB6346">
        <w:rPr>
          <w:rFonts w:ascii="Arial" w:eastAsia="DengXian" w:hAnsi="Arial" w:cs="Arial"/>
          <w:sz w:val="22"/>
          <w:szCs w:val="22"/>
          <w:lang w:eastAsia="ja-JP"/>
        </w:rPr>
        <w:t>A</w:t>
      </w:r>
      <w:r w:rsidRPr="00203033">
        <w:rPr>
          <w:rFonts w:ascii="Arial" w:eastAsia="DengXian" w:hAnsi="Arial" w:cs="Arial"/>
          <w:sz w:val="22"/>
          <w:szCs w:val="22"/>
          <w:lang w:eastAsia="ja-JP"/>
        </w:rPr>
        <w:t xml:space="preserve">ct, which </w:t>
      </w:r>
      <w:r w:rsidRPr="00203033" w:rsidR="00913399">
        <w:rPr>
          <w:rFonts w:ascii="Arial" w:eastAsia="DengXian" w:hAnsi="Arial" w:cs="Arial"/>
          <w:sz w:val="22"/>
          <w:szCs w:val="22"/>
          <w:lang w:eastAsia="ja-JP"/>
        </w:rPr>
        <w:t xml:space="preserve">required </w:t>
      </w:r>
      <w:r w:rsidRPr="00203033">
        <w:rPr>
          <w:rFonts w:ascii="Arial" w:eastAsia="DengXian" w:hAnsi="Arial" w:cs="Arial"/>
          <w:sz w:val="22"/>
          <w:szCs w:val="22"/>
          <w:lang w:eastAsia="ja-JP"/>
        </w:rPr>
        <w:t xml:space="preserve">the NRC to </w:t>
      </w:r>
      <w:r w:rsidRPr="00203033" w:rsidR="00913399">
        <w:rPr>
          <w:rFonts w:ascii="Arial" w:eastAsia="DengXian" w:hAnsi="Arial" w:cs="Arial"/>
          <w:sz w:val="22"/>
          <w:szCs w:val="22"/>
          <w:lang w:eastAsia="ja-JP"/>
        </w:rPr>
        <w:t>update</w:t>
      </w:r>
      <w:r w:rsidRPr="00203033">
        <w:rPr>
          <w:rFonts w:ascii="Arial" w:eastAsia="DengXian" w:hAnsi="Arial" w:cs="Arial"/>
          <w:sz w:val="22"/>
          <w:szCs w:val="22"/>
          <w:lang w:eastAsia="ja-JP"/>
        </w:rPr>
        <w:t xml:space="preserve"> its mission statement to </w:t>
      </w:r>
      <w:r w:rsidRPr="00203033" w:rsidR="00913399">
        <w:rPr>
          <w:rFonts w:ascii="Arial" w:eastAsia="DengXian" w:hAnsi="Arial" w:cs="Arial"/>
          <w:sz w:val="22"/>
          <w:szCs w:val="22"/>
          <w:lang w:eastAsia="ja-JP"/>
        </w:rPr>
        <w:t xml:space="preserve">explicitly </w:t>
      </w:r>
      <w:r w:rsidRPr="00203033" w:rsidR="00913399">
        <w:rPr>
          <w:rFonts w:ascii="Arial" w:eastAsia="DengXian" w:hAnsi="Arial" w:cs="Arial"/>
          <w:sz w:val="22"/>
          <w:szCs w:val="22"/>
          <w:lang w:eastAsia="ja-JP"/>
        </w:rPr>
        <w:t>incorporate</w:t>
      </w:r>
      <w:r w:rsidRPr="00203033">
        <w:rPr>
          <w:rFonts w:ascii="Arial" w:eastAsia="DengXian" w:hAnsi="Arial" w:cs="Arial"/>
          <w:sz w:val="22"/>
          <w:szCs w:val="22"/>
          <w:lang w:eastAsia="ja-JP"/>
        </w:rPr>
        <w:t xml:space="preserve"> efficiency and avoid unnecessary limitations on nuclear energy. The</w:t>
      </w:r>
      <w:r w:rsidRPr="00203033" w:rsidR="00190C3E">
        <w:rPr>
          <w:rFonts w:ascii="Arial" w:eastAsia="DengXian" w:hAnsi="Arial" w:cs="Arial"/>
          <w:sz w:val="22"/>
          <w:szCs w:val="22"/>
          <w:lang w:eastAsia="ja-JP"/>
        </w:rPr>
        <w:t xml:space="preserve"> comments</w:t>
      </w:r>
      <w:r w:rsidRPr="00203033">
        <w:rPr>
          <w:rFonts w:ascii="Arial" w:eastAsia="DengXian" w:hAnsi="Arial" w:cs="Arial"/>
          <w:sz w:val="22"/>
          <w:szCs w:val="22"/>
          <w:lang w:eastAsia="ja-JP"/>
        </w:rPr>
        <w:t xml:space="preserve"> contend that in light of these changes, the NRC must further evaluate and revise </w:t>
      </w:r>
      <w:r w:rsidRPr="00203033" w:rsidR="00190C3E">
        <w:rPr>
          <w:rFonts w:ascii="Arial" w:eastAsia="DengXian" w:hAnsi="Arial" w:cs="Arial"/>
          <w:sz w:val="22"/>
          <w:szCs w:val="22"/>
          <w:lang w:eastAsia="ja-JP"/>
        </w:rPr>
        <w:t>10 CFR </w:t>
      </w:r>
      <w:r w:rsidRPr="00203033">
        <w:rPr>
          <w:rFonts w:ascii="Arial" w:eastAsia="DengXian" w:hAnsi="Arial" w:cs="Arial"/>
          <w:sz w:val="22"/>
          <w:szCs w:val="22"/>
          <w:lang w:eastAsia="ja-JP"/>
        </w:rPr>
        <w:t>Part</w:t>
      </w:r>
      <w:r w:rsidR="00AE2C26">
        <w:rPr>
          <w:rFonts w:ascii="Arial" w:eastAsia="DengXian" w:hAnsi="Arial" w:cs="Arial"/>
          <w:sz w:val="22"/>
          <w:szCs w:val="22"/>
          <w:lang w:eastAsia="ja-JP"/>
        </w:rPr>
        <w:t> </w:t>
      </w:r>
      <w:r w:rsidRPr="00203033">
        <w:rPr>
          <w:rFonts w:ascii="Arial" w:eastAsia="DengXian" w:hAnsi="Arial" w:cs="Arial"/>
          <w:sz w:val="22"/>
          <w:szCs w:val="22"/>
          <w:lang w:eastAsia="ja-JP"/>
        </w:rPr>
        <w:t xml:space="preserve">53 to ensure that it does not unduly hamper nuclear development. The NRC has </w:t>
      </w:r>
      <w:r w:rsidRPr="00203033" w:rsidR="00913399">
        <w:rPr>
          <w:rFonts w:ascii="Arial" w:eastAsia="DengXian" w:hAnsi="Arial" w:cs="Arial"/>
          <w:sz w:val="22"/>
          <w:szCs w:val="22"/>
          <w:lang w:eastAsia="ja-JP"/>
        </w:rPr>
        <w:t xml:space="preserve">updated </w:t>
      </w:r>
      <w:r w:rsidRPr="00203033">
        <w:rPr>
          <w:rFonts w:ascii="Arial" w:eastAsia="DengXian" w:hAnsi="Arial" w:cs="Arial"/>
          <w:sz w:val="22"/>
          <w:szCs w:val="22"/>
          <w:lang w:eastAsia="ja-JP"/>
        </w:rPr>
        <w:t xml:space="preserve">its mission statement </w:t>
      </w:r>
      <w:r w:rsidRPr="00203033" w:rsidR="00290B7E">
        <w:rPr>
          <w:rFonts w:ascii="Arial" w:eastAsia="DengXian" w:hAnsi="Arial" w:cs="Arial"/>
          <w:sz w:val="22"/>
          <w:szCs w:val="22"/>
          <w:lang w:eastAsia="ja-JP"/>
        </w:rPr>
        <w:t>in response to the ADVANCE Act</w:t>
      </w:r>
      <w:r w:rsidRPr="00203033">
        <w:rPr>
          <w:rFonts w:ascii="Arial" w:eastAsia="DengXian" w:hAnsi="Arial" w:cs="Arial"/>
          <w:sz w:val="22"/>
          <w:szCs w:val="22"/>
          <w:lang w:eastAsia="ja-JP"/>
        </w:rPr>
        <w:t xml:space="preserve"> and remained mindful of the ADVANCE Act while it finalized this rule. </w:t>
      </w:r>
      <w:r w:rsidRPr="00203033" w:rsidR="00475911">
        <w:rPr>
          <w:rFonts w:ascii="Arial" w:eastAsia="DengXian" w:hAnsi="Arial" w:cs="Arial"/>
          <w:sz w:val="22"/>
          <w:szCs w:val="22"/>
          <w:lang w:eastAsia="ja-JP"/>
        </w:rPr>
        <w:t xml:space="preserve">Additionally, the NRC further considered its mission statement following promulgation of </w:t>
      </w:r>
      <w:r w:rsidR="00F502D0">
        <w:rPr>
          <w:rFonts w:ascii="Arial" w:eastAsia="DengXian" w:hAnsi="Arial" w:cs="Arial"/>
          <w:sz w:val="22"/>
          <w:szCs w:val="22"/>
          <w:lang w:eastAsia="ja-JP"/>
        </w:rPr>
        <w:t>EO</w:t>
      </w:r>
      <w:r w:rsidRPr="00203033" w:rsidR="00475911">
        <w:rPr>
          <w:rFonts w:ascii="Arial" w:eastAsia="DengXian" w:hAnsi="Arial" w:cs="Arial"/>
          <w:sz w:val="22"/>
          <w:szCs w:val="22"/>
          <w:lang w:eastAsia="ja-JP"/>
        </w:rPr>
        <w:t xml:space="preserve"> 14300</w:t>
      </w:r>
      <w:r w:rsidR="00C44204">
        <w:rPr>
          <w:rFonts w:ascii="Arial" w:eastAsia="DengXian" w:hAnsi="Arial" w:cs="Arial"/>
          <w:sz w:val="22"/>
          <w:szCs w:val="22"/>
          <w:lang w:eastAsia="ja-JP"/>
        </w:rPr>
        <w:t xml:space="preserve">, </w:t>
      </w:r>
      <w:r w:rsidRPr="00200C35" w:rsidR="00C44204">
        <w:rPr>
          <w:rFonts w:ascii="Arial" w:hAnsi="Arial" w:cs="Arial"/>
          <w:sz w:val="22"/>
          <w:szCs w:val="22"/>
        </w:rPr>
        <w:t>“Ordering the Reform of the Nuclear Regulatory Commission</w:t>
      </w:r>
      <w:r w:rsidR="00C44204">
        <w:rPr>
          <w:rFonts w:ascii="Arial" w:hAnsi="Arial" w:cs="Arial"/>
          <w:sz w:val="22"/>
          <w:szCs w:val="22"/>
        </w:rPr>
        <w:t>,</w:t>
      </w:r>
      <w:r w:rsidRPr="00200C35" w:rsidR="00C44204">
        <w:rPr>
          <w:rFonts w:ascii="Arial" w:hAnsi="Arial" w:cs="Arial"/>
          <w:sz w:val="22"/>
          <w:szCs w:val="22"/>
        </w:rPr>
        <w:t>” dated May 23, 2025.</w:t>
      </w:r>
      <w:r w:rsidRPr="00203033" w:rsidR="00475911">
        <w:rPr>
          <w:rFonts w:ascii="Arial" w:eastAsia="DengXian" w:hAnsi="Arial" w:cs="Arial"/>
          <w:sz w:val="22"/>
          <w:szCs w:val="22"/>
          <w:lang w:eastAsia="ja-JP"/>
        </w:rPr>
        <w:t xml:space="preserve"> </w:t>
      </w:r>
      <w:r w:rsidRPr="00203033">
        <w:rPr>
          <w:rFonts w:ascii="Arial" w:eastAsia="DengXian" w:hAnsi="Arial" w:cs="Arial"/>
          <w:sz w:val="22"/>
          <w:szCs w:val="22"/>
          <w:lang w:eastAsia="ja-JP"/>
        </w:rPr>
        <w:t>Moreover, as one comment observes, efficiency has long been an element of the NRC’s Principles of Good Regulation.</w:t>
      </w:r>
    </w:p>
    <w:p w:rsidR="0074586B" w:rsidRPr="00203033" w:rsidP="00FF7C7D" w14:paraId="032EB7FF"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Nonetheless, neither </w:t>
      </w:r>
      <w:r w:rsidR="00C26747">
        <w:rPr>
          <w:rFonts w:ascii="Arial" w:eastAsia="DengXian" w:hAnsi="Arial" w:cs="Arial"/>
          <w:sz w:val="22"/>
          <w:szCs w:val="22"/>
          <w:lang w:eastAsia="ja-JP"/>
        </w:rPr>
        <w:t>s</w:t>
      </w:r>
      <w:r w:rsidRPr="00203033">
        <w:rPr>
          <w:rFonts w:ascii="Arial" w:eastAsia="DengXian" w:hAnsi="Arial" w:cs="Arial"/>
          <w:sz w:val="22"/>
          <w:szCs w:val="22"/>
          <w:lang w:eastAsia="ja-JP"/>
        </w:rPr>
        <w:t>ection 501 nor any other section of the ADVANCE Act amended the NRC’s statutory authority to promulgate regulations for licensing nuclear power plants under the A</w:t>
      </w:r>
      <w:r w:rsidR="00A35427">
        <w:rPr>
          <w:rFonts w:ascii="Arial" w:eastAsia="DengXian" w:hAnsi="Arial" w:cs="Arial"/>
          <w:sz w:val="22"/>
          <w:szCs w:val="22"/>
          <w:lang w:eastAsia="ja-JP"/>
        </w:rPr>
        <w:t>EA</w:t>
      </w:r>
      <w:r w:rsidRPr="00203033">
        <w:rPr>
          <w:rFonts w:ascii="Arial" w:eastAsia="DengXian" w:hAnsi="Arial" w:cs="Arial"/>
          <w:sz w:val="22"/>
          <w:szCs w:val="22"/>
          <w:lang w:eastAsia="ja-JP"/>
        </w:rPr>
        <w:t xml:space="preserve"> or NEIMA. Thus, the NRC d</w:t>
      </w:r>
      <w:r w:rsidRPr="00203033" w:rsidR="002379CE">
        <w:rPr>
          <w:rFonts w:ascii="Arial" w:eastAsia="DengXian" w:hAnsi="Arial" w:cs="Arial"/>
          <w:sz w:val="22"/>
          <w:szCs w:val="22"/>
          <w:lang w:eastAsia="ja-JP"/>
        </w:rPr>
        <w:t>is</w:t>
      </w:r>
      <w:r w:rsidRPr="00203033">
        <w:rPr>
          <w:rFonts w:ascii="Arial" w:eastAsia="DengXian" w:hAnsi="Arial" w:cs="Arial"/>
          <w:sz w:val="22"/>
          <w:szCs w:val="22"/>
          <w:lang w:eastAsia="ja-JP"/>
        </w:rPr>
        <w:t>agree</w:t>
      </w:r>
      <w:r w:rsidRPr="00203033" w:rsidR="002379CE">
        <w:rPr>
          <w:rFonts w:ascii="Arial" w:eastAsia="DengXian" w:hAnsi="Arial" w:cs="Arial"/>
          <w:sz w:val="22"/>
          <w:szCs w:val="22"/>
          <w:lang w:eastAsia="ja-JP"/>
        </w:rPr>
        <w:t>s</w:t>
      </w:r>
      <w:r w:rsidRPr="00203033">
        <w:rPr>
          <w:rFonts w:ascii="Arial" w:eastAsia="DengXian" w:hAnsi="Arial" w:cs="Arial"/>
          <w:sz w:val="22"/>
          <w:szCs w:val="22"/>
          <w:lang w:eastAsia="ja-JP"/>
        </w:rPr>
        <w:t xml:space="preserve"> with the suggestion that the changes to the mission statement </w:t>
      </w:r>
      <w:r w:rsidRPr="00203033" w:rsidR="00E1147F">
        <w:rPr>
          <w:rFonts w:ascii="Arial" w:eastAsia="DengXian" w:hAnsi="Arial" w:cs="Arial"/>
          <w:sz w:val="22"/>
          <w:szCs w:val="22"/>
          <w:lang w:eastAsia="ja-JP"/>
        </w:rPr>
        <w:t>required by</w:t>
      </w:r>
      <w:r w:rsidRPr="00203033">
        <w:rPr>
          <w:rFonts w:ascii="Arial" w:eastAsia="DengXian" w:hAnsi="Arial" w:cs="Arial"/>
          <w:sz w:val="22"/>
          <w:szCs w:val="22"/>
          <w:lang w:eastAsia="ja-JP"/>
        </w:rPr>
        <w:t xml:space="preserve"> the ADVANCE Act somehow </w:t>
      </w:r>
      <w:r w:rsidRPr="00203033" w:rsidR="001533DB">
        <w:rPr>
          <w:rFonts w:ascii="Arial" w:eastAsia="DengXian" w:hAnsi="Arial" w:cs="Arial"/>
          <w:sz w:val="22"/>
          <w:szCs w:val="22"/>
          <w:lang w:eastAsia="ja-JP"/>
        </w:rPr>
        <w:t xml:space="preserve">diminished </w:t>
      </w:r>
      <w:r w:rsidRPr="00203033">
        <w:rPr>
          <w:rFonts w:ascii="Arial" w:eastAsia="DengXian" w:hAnsi="Arial" w:cs="Arial"/>
          <w:sz w:val="22"/>
          <w:szCs w:val="22"/>
          <w:lang w:eastAsia="ja-JP"/>
        </w:rPr>
        <w:t xml:space="preserve">the NRC’s legal authority to promulgate </w:t>
      </w:r>
      <w:r w:rsidRPr="00203033" w:rsidR="000376AD">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under the </w:t>
      </w:r>
      <w:r w:rsidR="00A35427">
        <w:rPr>
          <w:rFonts w:ascii="Arial" w:eastAsia="DengXian" w:hAnsi="Arial" w:cs="Arial"/>
          <w:sz w:val="22"/>
          <w:szCs w:val="22"/>
          <w:lang w:eastAsia="ja-JP"/>
        </w:rPr>
        <w:t>AE</w:t>
      </w:r>
      <w:r w:rsidRPr="00203033">
        <w:rPr>
          <w:rFonts w:ascii="Arial" w:eastAsia="DengXian" w:hAnsi="Arial" w:cs="Arial"/>
          <w:sz w:val="22"/>
          <w:szCs w:val="22"/>
          <w:lang w:eastAsia="ja-JP"/>
        </w:rPr>
        <w:t xml:space="preserve">A. Rather, </w:t>
      </w:r>
      <w:r w:rsidR="00C26747">
        <w:rPr>
          <w:rFonts w:ascii="Arial" w:eastAsia="DengXian" w:hAnsi="Arial" w:cs="Arial"/>
          <w:sz w:val="22"/>
          <w:szCs w:val="22"/>
          <w:lang w:eastAsia="ja-JP"/>
        </w:rPr>
        <w:t>s</w:t>
      </w:r>
      <w:r w:rsidRPr="00203033">
        <w:rPr>
          <w:rFonts w:ascii="Arial" w:eastAsia="DengXian" w:hAnsi="Arial" w:cs="Arial"/>
          <w:sz w:val="22"/>
          <w:szCs w:val="22"/>
          <w:lang w:eastAsia="ja-JP"/>
        </w:rPr>
        <w:t xml:space="preserve">ection 501 specifically </w:t>
      </w:r>
      <w:r w:rsidRPr="00203033" w:rsidR="00A021BE">
        <w:rPr>
          <w:rFonts w:ascii="Arial" w:eastAsia="DengXian" w:hAnsi="Arial" w:cs="Arial"/>
          <w:sz w:val="22"/>
          <w:szCs w:val="22"/>
          <w:lang w:eastAsia="ja-JP"/>
        </w:rPr>
        <w:t xml:space="preserve">required </w:t>
      </w:r>
      <w:r w:rsidRPr="00203033">
        <w:rPr>
          <w:rFonts w:ascii="Arial" w:eastAsia="DengXian" w:hAnsi="Arial" w:cs="Arial"/>
          <w:sz w:val="22"/>
          <w:szCs w:val="22"/>
          <w:lang w:eastAsia="ja-JP"/>
        </w:rPr>
        <w:t xml:space="preserve">the Commission to </w:t>
      </w:r>
      <w:r w:rsidRPr="00203033" w:rsidR="00A021BE">
        <w:rPr>
          <w:rFonts w:ascii="Arial" w:eastAsia="DengXian" w:hAnsi="Arial" w:cs="Arial"/>
          <w:sz w:val="22"/>
          <w:szCs w:val="22"/>
          <w:lang w:eastAsia="ja-JP"/>
        </w:rPr>
        <w:t xml:space="preserve">update </w:t>
      </w:r>
      <w:r w:rsidRPr="00203033">
        <w:rPr>
          <w:rFonts w:ascii="Arial" w:eastAsia="DengXian" w:hAnsi="Arial" w:cs="Arial"/>
          <w:sz w:val="22"/>
          <w:szCs w:val="22"/>
          <w:lang w:eastAsia="ja-JP"/>
        </w:rPr>
        <w:t>the mission statement “while remaining consistent with the policies” in the A</w:t>
      </w:r>
      <w:r w:rsidR="00A35427">
        <w:rPr>
          <w:rFonts w:ascii="Arial" w:eastAsia="DengXian" w:hAnsi="Arial" w:cs="Arial"/>
          <w:sz w:val="22"/>
          <w:szCs w:val="22"/>
          <w:lang w:eastAsia="ja-JP"/>
        </w:rPr>
        <w:t>EA</w:t>
      </w:r>
      <w:r w:rsidRPr="00203033">
        <w:rPr>
          <w:rFonts w:ascii="Arial" w:eastAsia="DengXian" w:hAnsi="Arial" w:cs="Arial"/>
          <w:sz w:val="22"/>
          <w:szCs w:val="22"/>
          <w:lang w:eastAsia="ja-JP"/>
        </w:rPr>
        <w:t xml:space="preserve">. Moreover, </w:t>
      </w:r>
      <w:r w:rsidRPr="00203033" w:rsidR="00A021BE">
        <w:rPr>
          <w:rFonts w:ascii="Arial" w:eastAsia="DengXian" w:hAnsi="Arial" w:cs="Arial"/>
          <w:sz w:val="22"/>
          <w:szCs w:val="22"/>
          <w:lang w:eastAsia="ja-JP"/>
        </w:rPr>
        <w:t xml:space="preserve">while </w:t>
      </w:r>
      <w:r w:rsidR="00C26747">
        <w:rPr>
          <w:rFonts w:ascii="Arial" w:eastAsia="DengXian" w:hAnsi="Arial" w:cs="Arial"/>
          <w:sz w:val="22"/>
          <w:szCs w:val="22"/>
          <w:lang w:eastAsia="ja-JP"/>
        </w:rPr>
        <w:t>s</w:t>
      </w:r>
      <w:r w:rsidRPr="00203033" w:rsidR="00A021BE">
        <w:rPr>
          <w:rFonts w:ascii="Arial" w:eastAsia="DengXian" w:hAnsi="Arial" w:cs="Arial"/>
          <w:sz w:val="22"/>
          <w:szCs w:val="22"/>
          <w:lang w:eastAsia="ja-JP"/>
        </w:rPr>
        <w:t>ection 501 of the ADVANCE Act provides an important statement from Congress on how the Commission should exercise its legal authorities under the A</w:t>
      </w:r>
      <w:r w:rsidR="00A35427">
        <w:rPr>
          <w:rFonts w:ascii="Arial" w:eastAsia="DengXian" w:hAnsi="Arial" w:cs="Arial"/>
          <w:sz w:val="22"/>
          <w:szCs w:val="22"/>
          <w:lang w:eastAsia="ja-JP"/>
        </w:rPr>
        <w:t>EA</w:t>
      </w:r>
      <w:r w:rsidRPr="00203033">
        <w:rPr>
          <w:rFonts w:ascii="Arial" w:eastAsia="DengXian" w:hAnsi="Arial" w:cs="Arial"/>
          <w:sz w:val="22"/>
          <w:szCs w:val="22"/>
          <w:lang w:eastAsia="ja-JP"/>
        </w:rPr>
        <w:t>, language providing Congressional expectations, such as precatory language, normally does not override clear language in substantive portions of a statutory scheme</w:t>
      </w:r>
      <w:r w:rsidRPr="00203033" w:rsidR="00A021BE">
        <w:rPr>
          <w:rFonts w:ascii="Arial" w:eastAsia="DengXian" w:hAnsi="Arial" w:cs="Arial"/>
          <w:sz w:val="22"/>
          <w:szCs w:val="22"/>
          <w:lang w:eastAsia="ja-JP"/>
        </w:rPr>
        <w:t xml:space="preserve">, such as </w:t>
      </w:r>
      <w:r w:rsidRPr="00203033" w:rsidR="00A07487">
        <w:rPr>
          <w:rFonts w:ascii="Arial" w:eastAsia="DengXian" w:hAnsi="Arial" w:cs="Arial"/>
          <w:sz w:val="22"/>
          <w:szCs w:val="22"/>
          <w:lang w:eastAsia="ja-JP"/>
        </w:rPr>
        <w:t>sections 161 and 182 of the A</w:t>
      </w:r>
      <w:r w:rsidR="00A35427">
        <w:rPr>
          <w:rFonts w:ascii="Arial" w:eastAsia="DengXian" w:hAnsi="Arial" w:cs="Arial"/>
          <w:sz w:val="22"/>
          <w:szCs w:val="22"/>
          <w:lang w:eastAsia="ja-JP"/>
        </w:rPr>
        <w:t>EA</w:t>
      </w:r>
      <w:r w:rsidRPr="00203033">
        <w:rPr>
          <w:rFonts w:ascii="Arial" w:eastAsia="DengXian" w:hAnsi="Arial" w:cs="Arial"/>
          <w:sz w:val="22"/>
          <w:szCs w:val="22"/>
          <w:lang w:eastAsia="ja-JP"/>
        </w:rPr>
        <w:t xml:space="preserve">. Thus, the NRC concludes that the ADVANCE Act does not occasion a reevaluation of whether </w:t>
      </w:r>
      <w:r w:rsidRPr="00203033" w:rsidR="006D0436">
        <w:rPr>
          <w:rFonts w:ascii="Arial" w:eastAsia="DengXian" w:hAnsi="Arial" w:cs="Arial"/>
          <w:sz w:val="22"/>
          <w:szCs w:val="22"/>
          <w:lang w:eastAsia="ja-JP"/>
        </w:rPr>
        <w:t>10 CFR </w:t>
      </w:r>
      <w:r w:rsidRPr="00203033">
        <w:rPr>
          <w:rFonts w:ascii="Arial" w:eastAsia="DengXian" w:hAnsi="Arial" w:cs="Arial"/>
          <w:sz w:val="22"/>
          <w:szCs w:val="22"/>
          <w:lang w:eastAsia="ja-JP"/>
        </w:rPr>
        <w:t>Part 53 is beyond the agency’s authority.</w:t>
      </w:r>
    </w:p>
    <w:p w:rsidR="0074586B" w:rsidRPr="00203033" w:rsidP="00FF7C7D" w14:paraId="32556543"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Similarly, one comment points to the 1990 amendments to the </w:t>
      </w:r>
      <w:r w:rsidRPr="00203033" w:rsidR="00A07487">
        <w:rPr>
          <w:rFonts w:ascii="Arial" w:eastAsia="DengXian" w:hAnsi="Arial" w:cs="Arial"/>
          <w:sz w:val="22"/>
          <w:szCs w:val="22"/>
          <w:lang w:eastAsia="ja-JP"/>
        </w:rPr>
        <w:t>CAA</w:t>
      </w:r>
      <w:r w:rsidRPr="00203033">
        <w:rPr>
          <w:rFonts w:ascii="Arial" w:eastAsia="DengXian" w:hAnsi="Arial" w:cs="Arial"/>
          <w:sz w:val="22"/>
          <w:szCs w:val="22"/>
          <w:lang w:eastAsia="ja-JP"/>
        </w:rPr>
        <w:t>, which in the comment’s view established a standard for radiological safety inconsistent with the NRC’s standard. However, like the ADVANCE Act, those amendments did not change any of the substantive provisions of the A</w:t>
      </w:r>
      <w:r w:rsidR="005F05FB">
        <w:rPr>
          <w:rFonts w:ascii="Arial" w:eastAsia="DengXian" w:hAnsi="Arial" w:cs="Arial"/>
          <w:sz w:val="22"/>
          <w:szCs w:val="22"/>
          <w:lang w:eastAsia="ja-JP"/>
        </w:rPr>
        <w:t>EA</w:t>
      </w:r>
      <w:r w:rsidRPr="00203033">
        <w:rPr>
          <w:rFonts w:ascii="Arial" w:eastAsia="DengXian" w:hAnsi="Arial" w:cs="Arial"/>
          <w:sz w:val="22"/>
          <w:szCs w:val="22"/>
          <w:lang w:eastAsia="ja-JP"/>
        </w:rPr>
        <w:t xml:space="preserve">, and predated NEIMA and the ADVANCE Act itself by several decades. Therefore, the NRC does not find that the 1990 amendments to the </w:t>
      </w:r>
      <w:r w:rsidRPr="00203033" w:rsidR="0043762B">
        <w:rPr>
          <w:rFonts w:ascii="Arial" w:eastAsia="DengXian" w:hAnsi="Arial" w:cs="Arial"/>
          <w:sz w:val="22"/>
          <w:szCs w:val="22"/>
          <w:lang w:eastAsia="ja-JP"/>
        </w:rPr>
        <w:t>CAA</w:t>
      </w:r>
      <w:r w:rsidRPr="00203033">
        <w:rPr>
          <w:rFonts w:ascii="Arial" w:eastAsia="DengXian" w:hAnsi="Arial" w:cs="Arial"/>
          <w:sz w:val="22"/>
          <w:szCs w:val="22"/>
          <w:lang w:eastAsia="ja-JP"/>
        </w:rPr>
        <w:t xml:space="preserve"> impinged on its regulatory authority </w:t>
      </w:r>
      <w:r w:rsidRPr="00203033" w:rsidR="00A07487">
        <w:rPr>
          <w:rFonts w:ascii="Arial" w:eastAsia="DengXian" w:hAnsi="Arial" w:cs="Arial"/>
          <w:sz w:val="22"/>
          <w:szCs w:val="22"/>
          <w:lang w:eastAsia="ja-JP"/>
        </w:rPr>
        <w:t xml:space="preserve">to promulgate </w:t>
      </w:r>
      <w:r w:rsidRPr="00203033" w:rsidR="00C83E11">
        <w:rPr>
          <w:rFonts w:ascii="Arial" w:eastAsia="DengXian" w:hAnsi="Arial" w:cs="Arial"/>
          <w:sz w:val="22"/>
          <w:szCs w:val="22"/>
          <w:lang w:eastAsia="ja-JP"/>
        </w:rPr>
        <w:t>10 CFR </w:t>
      </w:r>
      <w:r w:rsidRPr="00203033" w:rsidR="00A07487">
        <w:rPr>
          <w:rFonts w:ascii="Arial" w:eastAsia="DengXian" w:hAnsi="Arial" w:cs="Arial"/>
          <w:sz w:val="22"/>
          <w:szCs w:val="22"/>
          <w:lang w:eastAsia="ja-JP"/>
        </w:rPr>
        <w:t>Part 53</w:t>
      </w:r>
      <w:r w:rsidRPr="00203033" w:rsidR="001126B6">
        <w:rPr>
          <w:rFonts w:ascii="Arial" w:eastAsia="DengXian" w:hAnsi="Arial" w:cs="Arial"/>
          <w:sz w:val="22"/>
          <w:szCs w:val="22"/>
          <w:lang w:eastAsia="ja-JP"/>
        </w:rPr>
        <w:t xml:space="preserve"> </w:t>
      </w:r>
      <w:r w:rsidRPr="00203033">
        <w:rPr>
          <w:rFonts w:ascii="Arial" w:eastAsia="DengXian" w:hAnsi="Arial" w:cs="Arial"/>
          <w:sz w:val="22"/>
          <w:szCs w:val="22"/>
          <w:lang w:eastAsia="ja-JP"/>
        </w:rPr>
        <w:t>under the A</w:t>
      </w:r>
      <w:r w:rsidR="005F05FB">
        <w:rPr>
          <w:rFonts w:ascii="Arial" w:eastAsia="DengXian" w:hAnsi="Arial" w:cs="Arial"/>
          <w:sz w:val="22"/>
          <w:szCs w:val="22"/>
          <w:lang w:eastAsia="ja-JP"/>
        </w:rPr>
        <w:t>EA</w:t>
      </w:r>
      <w:r w:rsidRPr="00203033">
        <w:rPr>
          <w:rFonts w:ascii="Arial" w:eastAsia="DengXian" w:hAnsi="Arial" w:cs="Arial"/>
          <w:sz w:val="22"/>
          <w:szCs w:val="22"/>
          <w:lang w:eastAsia="ja-JP"/>
        </w:rPr>
        <w:t>.</w:t>
      </w:r>
    </w:p>
    <w:p w:rsidR="0074586B" w:rsidRPr="00203033" w:rsidP="00FF7C7D" w14:paraId="111A9AF4"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The comments also propose that the Supreme Court’s decision in </w:t>
      </w:r>
      <w:r w:rsidRPr="00203033">
        <w:rPr>
          <w:rFonts w:ascii="Arial" w:eastAsia="DengXian" w:hAnsi="Arial" w:cs="Arial"/>
          <w:i/>
          <w:sz w:val="22"/>
          <w:szCs w:val="22"/>
          <w:lang w:eastAsia="ja-JP"/>
        </w:rPr>
        <w:t xml:space="preserve">Loper Bright Enterprises v. Raimondo </w:t>
      </w:r>
      <w:r w:rsidRPr="00203033">
        <w:rPr>
          <w:rFonts w:ascii="Arial" w:eastAsia="DengXian" w:hAnsi="Arial" w:cs="Arial"/>
          <w:sz w:val="22"/>
          <w:szCs w:val="22"/>
          <w:lang w:eastAsia="ja-JP"/>
        </w:rPr>
        <w:t xml:space="preserve">further limited the NRC’s statutory basis for promulgating </w:t>
      </w:r>
      <w:r w:rsidRPr="00203033" w:rsidR="0093613B">
        <w:rPr>
          <w:rFonts w:ascii="Arial" w:eastAsia="DengXian" w:hAnsi="Arial" w:cs="Arial"/>
          <w:sz w:val="22"/>
          <w:szCs w:val="22"/>
          <w:lang w:eastAsia="ja-JP"/>
        </w:rPr>
        <w:t>10 CFR </w:t>
      </w:r>
      <w:r w:rsidRPr="00203033">
        <w:rPr>
          <w:rFonts w:ascii="Arial" w:eastAsia="DengXian" w:hAnsi="Arial" w:cs="Arial"/>
          <w:sz w:val="22"/>
          <w:szCs w:val="22"/>
          <w:lang w:eastAsia="ja-JP"/>
        </w:rPr>
        <w:t>Part 53. The NRC agrees with the comment’s description of the case, which held that courts will no longer defer to an agency’s interpretation of statutory language as long as it is reasonable and will instead conduct their own examination of a statute to determine if the agency adopted the best interpretation. However, as noted above, the A</w:t>
      </w:r>
      <w:r w:rsidR="005F05FB">
        <w:rPr>
          <w:rFonts w:ascii="Arial" w:eastAsia="DengXian" w:hAnsi="Arial" w:cs="Arial"/>
          <w:sz w:val="22"/>
          <w:szCs w:val="22"/>
          <w:lang w:eastAsia="ja-JP"/>
        </w:rPr>
        <w:t>EA</w:t>
      </w:r>
      <w:r w:rsidRPr="00203033">
        <w:rPr>
          <w:rFonts w:ascii="Arial" w:eastAsia="DengXian" w:hAnsi="Arial" w:cs="Arial"/>
          <w:sz w:val="22"/>
          <w:szCs w:val="22"/>
          <w:lang w:eastAsia="ja-JP"/>
        </w:rPr>
        <w:t xml:space="preserve"> plainly authorizes the NRC to promulgate regulations governing reactor licensing. Therefore, the NRC concludes that the Court’s holding in </w:t>
      </w:r>
      <w:r w:rsidRPr="00203033">
        <w:rPr>
          <w:rFonts w:ascii="Arial" w:eastAsia="DengXian" w:hAnsi="Arial" w:cs="Arial"/>
          <w:i/>
          <w:iCs/>
          <w:sz w:val="22"/>
          <w:szCs w:val="22"/>
          <w:lang w:eastAsia="ja-JP"/>
        </w:rPr>
        <w:t xml:space="preserve">Loper Bright </w:t>
      </w:r>
      <w:r w:rsidR="00777251">
        <w:rPr>
          <w:rFonts w:ascii="Arial" w:eastAsia="DengXian" w:hAnsi="Arial" w:cs="Arial"/>
          <w:i/>
          <w:iCs/>
          <w:sz w:val="22"/>
          <w:szCs w:val="22"/>
          <w:lang w:eastAsia="ja-JP"/>
        </w:rPr>
        <w:t xml:space="preserve">Enterprises v. Raimondo </w:t>
      </w:r>
      <w:r w:rsidRPr="00203033">
        <w:rPr>
          <w:rFonts w:ascii="Arial" w:eastAsia="DengXian" w:hAnsi="Arial" w:cs="Arial"/>
          <w:sz w:val="22"/>
          <w:szCs w:val="22"/>
          <w:lang w:eastAsia="ja-JP"/>
        </w:rPr>
        <w:t xml:space="preserve">does not impact the statutory basis for </w:t>
      </w:r>
      <w:r w:rsidRPr="00203033" w:rsidR="0093613B">
        <w:rPr>
          <w:rFonts w:ascii="Arial" w:eastAsia="DengXian" w:hAnsi="Arial" w:cs="Arial"/>
          <w:sz w:val="22"/>
          <w:szCs w:val="22"/>
          <w:lang w:eastAsia="ja-JP"/>
        </w:rPr>
        <w:t>10 CFR </w:t>
      </w:r>
      <w:r w:rsidRPr="00203033">
        <w:rPr>
          <w:rFonts w:ascii="Arial" w:eastAsia="DengXian" w:hAnsi="Arial" w:cs="Arial"/>
          <w:sz w:val="22"/>
          <w:szCs w:val="22"/>
          <w:lang w:eastAsia="ja-JP"/>
        </w:rPr>
        <w:t>Part 53 because the NRC’s authority to promulgate the</w:t>
      </w:r>
      <w:r w:rsidRPr="00203033" w:rsidR="006C4EAD">
        <w:rPr>
          <w:rFonts w:ascii="Arial" w:eastAsia="DengXian" w:hAnsi="Arial" w:cs="Arial"/>
          <w:sz w:val="22"/>
          <w:szCs w:val="22"/>
          <w:lang w:eastAsia="ja-JP"/>
        </w:rPr>
        <w:t>se</w:t>
      </w:r>
      <w:r w:rsidRPr="00203033">
        <w:rPr>
          <w:rFonts w:ascii="Arial" w:eastAsia="DengXian" w:hAnsi="Arial" w:cs="Arial"/>
          <w:sz w:val="22"/>
          <w:szCs w:val="22"/>
          <w:lang w:eastAsia="ja-JP"/>
        </w:rPr>
        <w:t xml:space="preserve"> regulation</w:t>
      </w:r>
      <w:r w:rsidRPr="00203033" w:rsidR="006C4EAD">
        <w:rPr>
          <w:rFonts w:ascii="Arial" w:eastAsia="DengXian" w:hAnsi="Arial" w:cs="Arial"/>
          <w:sz w:val="22"/>
          <w:szCs w:val="22"/>
          <w:lang w:eastAsia="ja-JP"/>
        </w:rPr>
        <w:t>s</w:t>
      </w:r>
      <w:r w:rsidRPr="00203033">
        <w:rPr>
          <w:rFonts w:ascii="Arial" w:eastAsia="DengXian" w:hAnsi="Arial" w:cs="Arial"/>
          <w:sz w:val="22"/>
          <w:szCs w:val="22"/>
          <w:lang w:eastAsia="ja-JP"/>
        </w:rPr>
        <w:t xml:space="preserve"> rests on a clear reading of the underlying statutes</w:t>
      </w:r>
      <w:r w:rsidRPr="00203033" w:rsidR="006C4EAD">
        <w:rPr>
          <w:rFonts w:ascii="Arial" w:eastAsia="DengXian" w:hAnsi="Arial" w:cs="Arial"/>
          <w:sz w:val="22"/>
          <w:szCs w:val="22"/>
          <w:lang w:eastAsia="ja-JP"/>
        </w:rPr>
        <w:t xml:space="preserve"> and is th</w:t>
      </w:r>
      <w:r w:rsidRPr="00203033" w:rsidR="005E568A">
        <w:rPr>
          <w:rFonts w:ascii="Arial" w:eastAsia="DengXian" w:hAnsi="Arial" w:cs="Arial"/>
          <w:sz w:val="22"/>
          <w:szCs w:val="22"/>
          <w:lang w:eastAsia="ja-JP"/>
        </w:rPr>
        <w:t>erefore the best interpretation of them</w:t>
      </w:r>
      <w:r w:rsidRPr="00203033">
        <w:rPr>
          <w:rFonts w:ascii="Arial" w:eastAsia="DengXian" w:hAnsi="Arial" w:cs="Arial"/>
          <w:sz w:val="22"/>
          <w:szCs w:val="22"/>
          <w:lang w:eastAsia="ja-JP"/>
        </w:rPr>
        <w:t>.</w:t>
      </w:r>
    </w:p>
    <w:p w:rsidR="0074586B" w:rsidRPr="00203033" w:rsidP="00FF7C7D" w14:paraId="44B7446D"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Several comments also pointed to recent EOs, which may introduce additional steps into the rulemaking process for </w:t>
      </w:r>
      <w:r w:rsidRPr="00203033" w:rsidR="0072531E">
        <w:rPr>
          <w:rFonts w:ascii="Arial" w:eastAsia="DengXian" w:hAnsi="Arial" w:cs="Arial"/>
          <w:sz w:val="22"/>
          <w:szCs w:val="22"/>
          <w:lang w:eastAsia="ja-JP"/>
        </w:rPr>
        <w:t>10 CFR </w:t>
      </w:r>
      <w:r w:rsidRPr="00203033">
        <w:rPr>
          <w:rFonts w:ascii="Arial" w:eastAsia="DengXian" w:hAnsi="Arial" w:cs="Arial"/>
          <w:sz w:val="22"/>
          <w:szCs w:val="22"/>
          <w:lang w:eastAsia="ja-JP"/>
        </w:rPr>
        <w:t>Part 53, including a more rigorous cost</w:t>
      </w:r>
      <w:r w:rsidRPr="00203033" w:rsidR="0072531E">
        <w:rPr>
          <w:rFonts w:ascii="Arial" w:eastAsia="DengXian" w:hAnsi="Arial" w:cs="Arial"/>
          <w:sz w:val="22"/>
          <w:szCs w:val="22"/>
          <w:lang w:eastAsia="ja-JP"/>
        </w:rPr>
        <w:noBreakHyphen/>
      </w:r>
      <w:r w:rsidRPr="00203033">
        <w:rPr>
          <w:rFonts w:ascii="Arial" w:eastAsia="DengXian" w:hAnsi="Arial" w:cs="Arial"/>
          <w:sz w:val="22"/>
          <w:szCs w:val="22"/>
          <w:lang w:eastAsia="ja-JP"/>
        </w:rPr>
        <w:t>benefit analysis. The NRC is assessing the impact of these EOs on the agency’s rulemaking process and will take all appropriate steps to engage in the processes those orders describe. Nonetheless,</w:t>
      </w:r>
      <w:r w:rsidRPr="00203033" w:rsidR="003A1F1D">
        <w:rPr>
          <w:rFonts w:ascii="Arial" w:eastAsia="DengXian" w:hAnsi="Arial" w:cs="Arial"/>
          <w:sz w:val="22"/>
          <w:szCs w:val="22"/>
          <w:lang w:eastAsia="ja-JP"/>
        </w:rPr>
        <w:t xml:space="preserve"> the EOs </w:t>
      </w:r>
      <w:r w:rsidRPr="00203033" w:rsidR="00D52F28">
        <w:rPr>
          <w:rFonts w:ascii="Arial" w:eastAsia="DengXian" w:hAnsi="Arial" w:cs="Arial"/>
          <w:sz w:val="22"/>
          <w:szCs w:val="22"/>
          <w:lang w:eastAsia="ja-JP"/>
        </w:rPr>
        <w:t>provide direction to Federal a</w:t>
      </w:r>
      <w:r w:rsidRPr="00203033" w:rsidR="00CD1378">
        <w:rPr>
          <w:rFonts w:ascii="Arial" w:eastAsia="DengXian" w:hAnsi="Arial" w:cs="Arial"/>
          <w:sz w:val="22"/>
          <w:szCs w:val="22"/>
          <w:lang w:eastAsia="ja-JP"/>
        </w:rPr>
        <w:t xml:space="preserve">gencies and </w:t>
      </w:r>
      <w:r w:rsidRPr="00203033" w:rsidR="000936E4">
        <w:rPr>
          <w:rFonts w:ascii="Arial" w:eastAsia="DengXian" w:hAnsi="Arial" w:cs="Arial"/>
          <w:sz w:val="22"/>
          <w:szCs w:val="22"/>
          <w:lang w:eastAsia="ja-JP"/>
        </w:rPr>
        <w:t>are</w:t>
      </w:r>
      <w:r w:rsidRPr="00203033" w:rsidR="00CD1378">
        <w:rPr>
          <w:rFonts w:ascii="Arial" w:eastAsia="DengXian" w:hAnsi="Arial" w:cs="Arial"/>
          <w:sz w:val="22"/>
          <w:szCs w:val="22"/>
          <w:lang w:eastAsia="ja-JP"/>
        </w:rPr>
        <w:t xml:space="preserve"> not </w:t>
      </w:r>
      <w:r w:rsidRPr="00203033" w:rsidR="000936E4">
        <w:rPr>
          <w:rFonts w:ascii="Arial" w:eastAsia="DengXian" w:hAnsi="Arial" w:cs="Arial"/>
          <w:sz w:val="22"/>
          <w:szCs w:val="22"/>
          <w:lang w:eastAsia="ja-JP"/>
        </w:rPr>
        <w:t>intended to</w:t>
      </w:r>
      <w:r w:rsidRPr="00203033" w:rsidR="00CD1378">
        <w:rPr>
          <w:rFonts w:ascii="Arial" w:eastAsia="DengXian" w:hAnsi="Arial" w:cs="Arial"/>
          <w:sz w:val="22"/>
          <w:szCs w:val="22"/>
          <w:lang w:eastAsia="ja-JP"/>
        </w:rPr>
        <w:t xml:space="preserve"> create enforceable rights</w:t>
      </w:r>
      <w:r w:rsidRPr="00203033" w:rsidR="00684F31">
        <w:rPr>
          <w:rFonts w:ascii="Arial" w:eastAsia="DengXian" w:hAnsi="Arial" w:cs="Arial"/>
          <w:sz w:val="22"/>
          <w:szCs w:val="22"/>
          <w:lang w:eastAsia="ja-JP"/>
        </w:rPr>
        <w:t>. Moreover,</w:t>
      </w:r>
      <w:r w:rsidRPr="00203033">
        <w:rPr>
          <w:rFonts w:ascii="Arial" w:eastAsia="DengXian" w:hAnsi="Arial" w:cs="Arial"/>
          <w:sz w:val="22"/>
          <w:szCs w:val="22"/>
          <w:lang w:eastAsia="ja-JP"/>
        </w:rPr>
        <w:t xml:space="preserve"> the agency’s existing regulatory analysis </w:t>
      </w:r>
      <w:r w:rsidRPr="00203033" w:rsidR="00672352">
        <w:rPr>
          <w:rFonts w:ascii="Arial" w:eastAsia="DengXian" w:hAnsi="Arial" w:cs="Arial"/>
          <w:sz w:val="22"/>
          <w:szCs w:val="22"/>
          <w:lang w:eastAsia="ja-JP"/>
        </w:rPr>
        <w:t xml:space="preserve">for the proposed rule </w:t>
      </w:r>
      <w:r w:rsidRPr="00203033">
        <w:rPr>
          <w:rFonts w:ascii="Arial" w:eastAsia="DengXian" w:hAnsi="Arial" w:cs="Arial"/>
          <w:sz w:val="22"/>
          <w:szCs w:val="22"/>
          <w:lang w:eastAsia="ja-JP"/>
        </w:rPr>
        <w:t xml:space="preserve">demonstrated that </w:t>
      </w:r>
      <w:r w:rsidRPr="00203033" w:rsidR="0072531E">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was cost-effective. Because that analysis rested on very conservative assumptions (such as only one applicant using </w:t>
      </w:r>
      <w:r w:rsidRPr="00203033" w:rsidR="007F6BE1">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during the period studied), the NRC does not anticipate that a more refined cost-benefit analysis would </w:t>
      </w:r>
      <w:r w:rsidRPr="00203033" w:rsidR="00707F9B">
        <w:rPr>
          <w:rFonts w:ascii="Arial" w:eastAsia="DengXian" w:hAnsi="Arial" w:cs="Arial"/>
          <w:sz w:val="22"/>
          <w:szCs w:val="22"/>
          <w:lang w:eastAsia="ja-JP"/>
        </w:rPr>
        <w:t xml:space="preserve">have </w:t>
      </w:r>
      <w:r w:rsidRPr="00203033" w:rsidR="006E0144">
        <w:rPr>
          <w:rFonts w:ascii="Arial" w:eastAsia="DengXian" w:hAnsi="Arial" w:cs="Arial"/>
          <w:sz w:val="22"/>
          <w:szCs w:val="22"/>
          <w:lang w:eastAsia="ja-JP"/>
        </w:rPr>
        <w:t>led</w:t>
      </w:r>
      <w:r w:rsidRPr="00203033">
        <w:rPr>
          <w:rFonts w:ascii="Arial" w:eastAsia="DengXian" w:hAnsi="Arial" w:cs="Arial"/>
          <w:sz w:val="22"/>
          <w:szCs w:val="22"/>
          <w:lang w:eastAsia="ja-JP"/>
        </w:rPr>
        <w:t xml:space="preserve"> to significant changes in the rule.</w:t>
      </w:r>
      <w:r w:rsidRPr="00203033" w:rsidR="00A941B5">
        <w:rPr>
          <w:rFonts w:ascii="Arial" w:eastAsia="DengXian" w:hAnsi="Arial" w:cs="Arial"/>
          <w:sz w:val="22"/>
          <w:szCs w:val="22"/>
          <w:lang w:eastAsia="ja-JP"/>
        </w:rPr>
        <w:t xml:space="preserve"> </w:t>
      </w:r>
      <w:r w:rsidR="00D700AF">
        <w:rPr>
          <w:rFonts w:ascii="Arial" w:eastAsia="DengXian" w:hAnsi="Arial" w:cs="Arial"/>
          <w:sz w:val="22"/>
          <w:szCs w:val="22"/>
          <w:lang w:eastAsia="ja-JP"/>
        </w:rPr>
        <w:t>Additionally</w:t>
      </w:r>
      <w:r w:rsidR="00F40660">
        <w:rPr>
          <w:rFonts w:ascii="Arial" w:eastAsia="DengXian" w:hAnsi="Arial" w:cs="Arial"/>
          <w:sz w:val="22"/>
          <w:szCs w:val="22"/>
          <w:lang w:eastAsia="ja-JP"/>
        </w:rPr>
        <w:t xml:space="preserve">, to the extent </w:t>
      </w:r>
      <w:r w:rsidR="00C32816">
        <w:rPr>
          <w:rFonts w:ascii="Arial" w:eastAsia="DengXian" w:hAnsi="Arial" w:cs="Arial"/>
          <w:sz w:val="22"/>
          <w:szCs w:val="22"/>
          <w:lang w:eastAsia="ja-JP"/>
        </w:rPr>
        <w:t xml:space="preserve">the comment </w:t>
      </w:r>
      <w:r w:rsidR="00E94D31">
        <w:rPr>
          <w:rFonts w:ascii="Arial" w:eastAsia="DengXian" w:hAnsi="Arial" w:cs="Arial"/>
          <w:sz w:val="22"/>
          <w:szCs w:val="22"/>
          <w:lang w:eastAsia="ja-JP"/>
        </w:rPr>
        <w:t>implies</w:t>
      </w:r>
      <w:r w:rsidR="00C32816">
        <w:rPr>
          <w:rFonts w:ascii="Arial" w:eastAsia="DengXian" w:hAnsi="Arial" w:cs="Arial"/>
          <w:sz w:val="22"/>
          <w:szCs w:val="22"/>
          <w:lang w:eastAsia="ja-JP"/>
        </w:rPr>
        <w:t xml:space="preserve"> that the NRC </w:t>
      </w:r>
      <w:r w:rsidR="00A569FE">
        <w:rPr>
          <w:rFonts w:ascii="Arial" w:eastAsia="DengXian" w:hAnsi="Arial" w:cs="Arial"/>
          <w:sz w:val="22"/>
          <w:szCs w:val="22"/>
          <w:lang w:eastAsia="ja-JP"/>
        </w:rPr>
        <w:t>should</w:t>
      </w:r>
      <w:r w:rsidR="000F0812">
        <w:rPr>
          <w:rFonts w:ascii="Arial" w:eastAsia="DengXian" w:hAnsi="Arial" w:cs="Arial"/>
          <w:sz w:val="22"/>
          <w:szCs w:val="22"/>
          <w:lang w:eastAsia="ja-JP"/>
        </w:rPr>
        <w:t xml:space="preserve"> separately</w:t>
      </w:r>
      <w:r w:rsidR="00A569FE">
        <w:rPr>
          <w:rFonts w:ascii="Arial" w:eastAsia="DengXian" w:hAnsi="Arial" w:cs="Arial"/>
          <w:sz w:val="22"/>
          <w:szCs w:val="22"/>
          <w:lang w:eastAsia="ja-JP"/>
        </w:rPr>
        <w:t xml:space="preserve"> evaluate </w:t>
      </w:r>
      <w:r w:rsidR="00975F22">
        <w:rPr>
          <w:rFonts w:ascii="Arial" w:eastAsia="DengXian" w:hAnsi="Arial" w:cs="Arial"/>
          <w:sz w:val="22"/>
          <w:szCs w:val="22"/>
          <w:lang w:eastAsia="ja-JP"/>
        </w:rPr>
        <w:t>the cost-effectiveness of each portion of the rule</w:t>
      </w:r>
      <w:r w:rsidR="00636743">
        <w:rPr>
          <w:rFonts w:ascii="Arial" w:eastAsia="DengXian" w:hAnsi="Arial" w:cs="Arial"/>
          <w:sz w:val="22"/>
          <w:szCs w:val="22"/>
          <w:lang w:eastAsia="ja-JP"/>
        </w:rPr>
        <w:t xml:space="preserve"> to establish efficiency</w:t>
      </w:r>
      <w:r w:rsidR="000F4995">
        <w:rPr>
          <w:rFonts w:ascii="Arial" w:eastAsia="DengXian" w:hAnsi="Arial" w:cs="Arial"/>
          <w:sz w:val="22"/>
          <w:szCs w:val="22"/>
          <w:lang w:eastAsia="ja-JP"/>
        </w:rPr>
        <w:t xml:space="preserve">, the </w:t>
      </w:r>
      <w:r w:rsidR="000F4995">
        <w:rPr>
          <w:rFonts w:ascii="Arial" w:eastAsia="DengXian" w:hAnsi="Arial" w:cs="Arial"/>
          <w:sz w:val="22"/>
          <w:szCs w:val="22"/>
          <w:lang w:eastAsia="ja-JP"/>
        </w:rPr>
        <w:t>NRC concludes that such an analysis would b</w:t>
      </w:r>
      <w:r w:rsidR="00966BE9">
        <w:rPr>
          <w:rFonts w:ascii="Arial" w:eastAsia="DengXian" w:hAnsi="Arial" w:cs="Arial"/>
          <w:sz w:val="22"/>
          <w:szCs w:val="22"/>
          <w:lang w:eastAsia="ja-JP"/>
        </w:rPr>
        <w:t xml:space="preserve">e of limited value and potentially misleading because </w:t>
      </w:r>
      <w:r w:rsidR="00DA7CCE">
        <w:rPr>
          <w:rFonts w:ascii="Arial" w:eastAsia="DengXian" w:hAnsi="Arial" w:cs="Arial"/>
          <w:sz w:val="22"/>
          <w:szCs w:val="22"/>
          <w:lang w:eastAsia="ja-JP"/>
        </w:rPr>
        <w:t xml:space="preserve">the majority of provisions in </w:t>
      </w:r>
      <w:r w:rsidR="004D037A">
        <w:rPr>
          <w:rFonts w:ascii="Arial" w:eastAsia="DengXian" w:hAnsi="Arial" w:cs="Arial"/>
          <w:sz w:val="22"/>
          <w:szCs w:val="22"/>
          <w:lang w:eastAsia="ja-JP"/>
        </w:rPr>
        <w:t>10 CFR </w:t>
      </w:r>
      <w:r w:rsidR="00DA7CCE">
        <w:rPr>
          <w:rFonts w:ascii="Arial" w:eastAsia="DengXian" w:hAnsi="Arial" w:cs="Arial"/>
          <w:sz w:val="22"/>
          <w:szCs w:val="22"/>
          <w:lang w:eastAsia="ja-JP"/>
        </w:rPr>
        <w:t xml:space="preserve">Part 53 are intended to function </w:t>
      </w:r>
      <w:r w:rsidR="005151DC">
        <w:rPr>
          <w:rFonts w:ascii="Arial" w:eastAsia="DengXian" w:hAnsi="Arial" w:cs="Arial"/>
          <w:sz w:val="22"/>
          <w:szCs w:val="22"/>
          <w:lang w:eastAsia="ja-JP"/>
        </w:rPr>
        <w:t xml:space="preserve">in concert. </w:t>
      </w:r>
      <w:r w:rsidRPr="00203033" w:rsidR="00707F9B">
        <w:rPr>
          <w:rFonts w:ascii="Arial" w:eastAsia="DengXian" w:hAnsi="Arial" w:cs="Arial"/>
          <w:sz w:val="22"/>
          <w:szCs w:val="22"/>
          <w:lang w:eastAsia="ja-JP"/>
        </w:rPr>
        <w:t>Indeed, f</w:t>
      </w:r>
      <w:r w:rsidRPr="00203033" w:rsidR="00A941B5">
        <w:rPr>
          <w:rFonts w:ascii="Arial" w:eastAsia="DengXian" w:hAnsi="Arial" w:cs="Arial"/>
          <w:sz w:val="22"/>
          <w:szCs w:val="22"/>
          <w:lang w:eastAsia="ja-JP"/>
        </w:rPr>
        <w:t>or the</w:t>
      </w:r>
      <w:r w:rsidRPr="00203033" w:rsidR="006E6503">
        <w:rPr>
          <w:rFonts w:ascii="Arial" w:eastAsia="DengXian" w:hAnsi="Arial" w:cs="Arial"/>
          <w:sz w:val="22"/>
          <w:szCs w:val="22"/>
          <w:lang w:eastAsia="ja-JP"/>
        </w:rPr>
        <w:t xml:space="preserve"> regulatory analysis for the</w:t>
      </w:r>
      <w:r w:rsidRPr="00203033" w:rsidR="00A941B5">
        <w:rPr>
          <w:rFonts w:ascii="Arial" w:eastAsia="DengXian" w:hAnsi="Arial" w:cs="Arial"/>
          <w:sz w:val="22"/>
          <w:szCs w:val="22"/>
          <w:lang w:eastAsia="ja-JP"/>
        </w:rPr>
        <w:t xml:space="preserve"> final rule, the NRC has </w:t>
      </w:r>
      <w:r w:rsidRPr="00203033" w:rsidR="00E62D63">
        <w:rPr>
          <w:rFonts w:ascii="Arial" w:eastAsia="DengXian" w:hAnsi="Arial" w:cs="Arial"/>
          <w:sz w:val="22"/>
          <w:szCs w:val="22"/>
          <w:lang w:eastAsia="ja-JP"/>
        </w:rPr>
        <w:t xml:space="preserve">used more realistic assumptions with respect to </w:t>
      </w:r>
      <w:r w:rsidRPr="00203033" w:rsidR="00683561">
        <w:rPr>
          <w:rFonts w:ascii="Arial" w:eastAsia="DengXian" w:hAnsi="Arial" w:cs="Arial"/>
          <w:sz w:val="22"/>
          <w:szCs w:val="22"/>
          <w:lang w:eastAsia="ja-JP"/>
        </w:rPr>
        <w:t xml:space="preserve">the </w:t>
      </w:r>
      <w:r w:rsidRPr="00203033" w:rsidR="006E6503">
        <w:rPr>
          <w:rFonts w:ascii="Arial" w:eastAsia="DengXian" w:hAnsi="Arial" w:cs="Arial"/>
          <w:sz w:val="22"/>
          <w:szCs w:val="22"/>
          <w:lang w:eastAsia="ja-JP"/>
        </w:rPr>
        <w:t xml:space="preserve">assumed </w:t>
      </w:r>
      <w:r w:rsidRPr="00203033" w:rsidR="00E62D63">
        <w:rPr>
          <w:rFonts w:ascii="Arial" w:eastAsia="DengXian" w:hAnsi="Arial" w:cs="Arial"/>
          <w:sz w:val="22"/>
          <w:szCs w:val="22"/>
          <w:lang w:eastAsia="ja-JP"/>
        </w:rPr>
        <w:t xml:space="preserve">numbers of </w:t>
      </w:r>
      <w:r w:rsidRPr="00203033" w:rsidR="006E6503">
        <w:rPr>
          <w:rFonts w:ascii="Arial" w:eastAsia="DengXian" w:hAnsi="Arial" w:cs="Arial"/>
          <w:sz w:val="22"/>
          <w:szCs w:val="22"/>
          <w:lang w:eastAsia="ja-JP"/>
        </w:rPr>
        <w:t xml:space="preserve">applicants; the results of that analysis show that </w:t>
      </w:r>
      <w:r w:rsidR="00B36B06">
        <w:rPr>
          <w:rFonts w:ascii="Arial" w:eastAsia="DengXian" w:hAnsi="Arial" w:cs="Arial"/>
          <w:sz w:val="22"/>
          <w:szCs w:val="22"/>
          <w:lang w:eastAsia="ja-JP"/>
        </w:rPr>
        <w:t>10 CFR </w:t>
      </w:r>
      <w:r w:rsidRPr="00203033" w:rsidR="00782CE3">
        <w:rPr>
          <w:rFonts w:ascii="Arial" w:eastAsia="DengXian" w:hAnsi="Arial" w:cs="Arial"/>
          <w:sz w:val="22"/>
          <w:szCs w:val="22"/>
          <w:lang w:eastAsia="ja-JP"/>
        </w:rPr>
        <w:t>Part 53 will likely be significantly cost-beneficial.</w:t>
      </w:r>
    </w:p>
    <w:p w:rsidR="0074586B" w:rsidRPr="00203033" w:rsidP="00FF7C7D" w14:paraId="45C8F5DE"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 xml:space="preserve">Lastly, one comment suggests that </w:t>
      </w:r>
      <w:r w:rsidRPr="00203033" w:rsidR="00CF13D2">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53 is arbitrary and capricious because it does not define a specific level of safety needed to achieve “adequate protection.” As explained in Section IV, Subpart B—Technology-Inclusive Safety Requirements of the final rule, the regulations in </w:t>
      </w:r>
      <w:r w:rsidRPr="00203033" w:rsidR="0022572E">
        <w:rPr>
          <w:rFonts w:ascii="Arial" w:eastAsia="DengXian" w:hAnsi="Arial" w:cs="Arial"/>
          <w:sz w:val="22"/>
          <w:szCs w:val="22"/>
          <w:lang w:eastAsia="ja-JP"/>
        </w:rPr>
        <w:t>10 CFR</w:t>
      </w:r>
      <w:r w:rsidRPr="00203033" w:rsidR="008D2B01">
        <w:rPr>
          <w:rFonts w:ascii="Arial" w:eastAsia="DengXian" w:hAnsi="Arial" w:cs="Arial"/>
          <w:sz w:val="22"/>
          <w:szCs w:val="22"/>
          <w:lang w:eastAsia="ja-JP"/>
        </w:rPr>
        <w:t> </w:t>
      </w:r>
      <w:r w:rsidRPr="00203033">
        <w:rPr>
          <w:rFonts w:ascii="Arial" w:eastAsia="DengXian" w:hAnsi="Arial" w:cs="Arial"/>
          <w:sz w:val="22"/>
          <w:szCs w:val="22"/>
          <w:lang w:eastAsia="ja-JP"/>
        </w:rPr>
        <w:t xml:space="preserve">Part 53 are not intended to define a specific level of “adequate protection,” consistent with longstanding Commission policy. Rather like the current set of regulations in </w:t>
      </w:r>
      <w:r w:rsidRPr="00203033" w:rsidR="0032751F">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50 and </w:t>
      </w:r>
      <w:r w:rsidRPr="00203033" w:rsidR="0032751F">
        <w:rPr>
          <w:rFonts w:ascii="Arial" w:eastAsia="DengXian" w:hAnsi="Arial" w:cs="Arial"/>
          <w:sz w:val="22"/>
          <w:szCs w:val="22"/>
          <w:lang w:eastAsia="ja-JP"/>
        </w:rPr>
        <w:t>10 CFR </w:t>
      </w:r>
      <w:r w:rsidRPr="00203033">
        <w:rPr>
          <w:rFonts w:ascii="Arial" w:eastAsia="DengXian" w:hAnsi="Arial" w:cs="Arial"/>
          <w:sz w:val="22"/>
          <w:szCs w:val="22"/>
          <w:lang w:eastAsia="ja-JP"/>
        </w:rPr>
        <w:t xml:space="preserve">Part 52, </w:t>
      </w:r>
      <w:r w:rsidRPr="00203033" w:rsidR="0032751F">
        <w:rPr>
          <w:rFonts w:ascii="Arial" w:eastAsia="DengXian" w:hAnsi="Arial" w:cs="Arial"/>
          <w:sz w:val="22"/>
          <w:szCs w:val="22"/>
          <w:lang w:eastAsia="ja-JP"/>
        </w:rPr>
        <w:t>10 CFR </w:t>
      </w:r>
      <w:r w:rsidRPr="00203033">
        <w:rPr>
          <w:rFonts w:ascii="Arial" w:eastAsia="DengXian" w:hAnsi="Arial" w:cs="Arial"/>
          <w:sz w:val="22"/>
          <w:szCs w:val="22"/>
          <w:lang w:eastAsia="ja-JP"/>
        </w:rPr>
        <w:t>Part 53 contains requirements needed to provide reasonable assurance of adequate protection as well as those the Commission has found desirable to promote the common defense and security or to protect health or to minimize danger to life or property. Thus, this rulemaking would not benefit from a specific definition of “adequate protection.”</w:t>
      </w:r>
    </w:p>
    <w:p w:rsidR="0074586B" w:rsidRPr="00262370" w:rsidP="00FF7C7D" w14:paraId="498D318B" w14:textId="77777777">
      <w:pPr>
        <w:spacing w:after="220"/>
        <w:rPr>
          <w:rFonts w:ascii="Arial" w:eastAsia="DengXian" w:hAnsi="Arial" w:cs="Arial"/>
          <w:sz w:val="22"/>
          <w:szCs w:val="22"/>
          <w:lang w:eastAsia="ja-JP"/>
        </w:rPr>
      </w:pPr>
      <w:r w:rsidRPr="00203033">
        <w:rPr>
          <w:rFonts w:ascii="Arial" w:eastAsia="DengXian" w:hAnsi="Arial" w:cs="Arial"/>
          <w:sz w:val="22"/>
          <w:szCs w:val="22"/>
          <w:lang w:eastAsia="ja-JP"/>
        </w:rPr>
        <w:t>Accordingly, the NRC did not change the rule language in response to these comments.</w:t>
      </w:r>
    </w:p>
    <w:p w:rsidR="00AC1417" w:rsidRPr="00845D1D" w:rsidP="00FF7C7D" w14:paraId="48B290EA" w14:textId="77777777">
      <w:pPr>
        <w:spacing w:after="220"/>
        <w:rPr>
          <w:rFonts w:ascii="Arial" w:eastAsia="Times New Roman" w:hAnsi="Arial" w:cs="Arial"/>
          <w:lang w:eastAsia="zh-CN"/>
        </w:rPr>
      </w:pPr>
      <w:r>
        <w:rPr>
          <w:rFonts w:ascii="Arial" w:eastAsia="Times New Roman" w:hAnsi="Arial" w:cs="Arial"/>
          <w:lang w:eastAsia="zh-CN"/>
        </w:rPr>
        <w:pict>
          <v:rect id="_x0000_i1039" style="width:0;height:1.5pt" o:hralign="center" o:hrstd="t" o:hrnoshade="t" o:hr="t" fillcolor="black" stroked="f"/>
        </w:pict>
      </w:r>
    </w:p>
    <w:p w:rsidR="00AC1417" w:rsidRPr="005E489E" w:rsidP="0087274E" w14:paraId="056E3EAC" w14:textId="77777777">
      <w:pPr>
        <w:pStyle w:val="Heading2"/>
        <w:numPr>
          <w:ilvl w:val="0"/>
          <w:numId w:val="0"/>
        </w:numPr>
        <w:ind w:left="720" w:hanging="720"/>
        <w:rPr>
          <w:i/>
        </w:rPr>
      </w:pPr>
      <w:bookmarkStart w:id="9" w:name="_Toc194466455"/>
      <w:bookmarkStart w:id="10" w:name="_Toc207222797"/>
      <w:r w:rsidRPr="0087274E">
        <w:rPr>
          <w:u w:val="none"/>
        </w:rPr>
        <w:t>1.4.</w:t>
      </w:r>
      <w:r w:rsidRPr="0087274E">
        <w:rPr>
          <w:u w:val="none"/>
        </w:rPr>
        <w:tab/>
      </w:r>
      <w:r w:rsidRPr="00845D1D">
        <w:t>Other general comments on the proposed rule</w:t>
      </w:r>
      <w:bookmarkEnd w:id="9"/>
      <w:bookmarkEnd w:id="10"/>
    </w:p>
    <w:p w:rsidR="00A74D7D" w:rsidRPr="00457DB2" w:rsidP="00A801A6" w14:paraId="716701E8" w14:textId="77777777">
      <w:pPr>
        <w:spacing w:after="220"/>
        <w:rPr>
          <w:rFonts w:ascii="Arial" w:eastAsia="Times New Roman" w:hAnsi="Arial" w:cs="Arial"/>
          <w:color w:val="000000"/>
          <w:sz w:val="22"/>
          <w:szCs w:val="22"/>
          <w:lang w:eastAsia="zh-CN"/>
        </w:rPr>
      </w:pPr>
      <w:r w:rsidRPr="00457DB2">
        <w:rPr>
          <w:rFonts w:ascii="Arial" w:eastAsia="DengXian" w:hAnsi="Arial" w:cs="Arial"/>
          <w:b/>
          <w:sz w:val="22"/>
          <w:szCs w:val="22"/>
          <w:lang w:eastAsia="ja-JP"/>
        </w:rPr>
        <w:t>Comment Bin 1.4.A:</w:t>
      </w:r>
      <w:r w:rsidRPr="00457DB2">
        <w:rPr>
          <w:rFonts w:ascii="Arial" w:eastAsia="DengXian" w:hAnsi="Arial" w:cs="Arial"/>
          <w:sz w:val="22"/>
          <w:szCs w:val="22"/>
          <w:lang w:eastAsia="ja-JP"/>
        </w:rPr>
        <w:t xml:space="preserve"> A commenter said that as currently written, the proposed regulation will not enable the deployment of advanced reactors, and Part 53 should be more flexible to facilitate a range of different approaches to design, licensing, and operation</w:t>
      </w:r>
      <w:r w:rsidR="00A0199D">
        <w:rPr>
          <w:rFonts w:ascii="Arial" w:eastAsia="DengXian" w:hAnsi="Arial" w:cs="Arial"/>
          <w:sz w:val="22"/>
          <w:szCs w:val="22"/>
          <w:lang w:eastAsia="ja-JP"/>
        </w:rPr>
        <w:t>;</w:t>
      </w:r>
      <w:r w:rsidRPr="00457DB2">
        <w:rPr>
          <w:rFonts w:ascii="Arial" w:eastAsia="DengXian" w:hAnsi="Arial" w:cs="Arial"/>
          <w:sz w:val="22"/>
          <w:szCs w:val="22"/>
          <w:lang w:eastAsia="ja-JP"/>
        </w:rPr>
        <w:t xml:space="preserve"> meet stakeholder needs</w:t>
      </w:r>
      <w:r w:rsidR="00A0199D">
        <w:rPr>
          <w:rFonts w:ascii="Arial" w:eastAsia="DengXian" w:hAnsi="Arial" w:cs="Arial"/>
          <w:sz w:val="22"/>
          <w:szCs w:val="22"/>
          <w:lang w:eastAsia="ja-JP"/>
        </w:rPr>
        <w:t>;</w:t>
      </w:r>
      <w:r w:rsidRPr="00457DB2">
        <w:rPr>
          <w:rFonts w:ascii="Arial" w:eastAsia="DengXian" w:hAnsi="Arial" w:cs="Arial"/>
          <w:sz w:val="22"/>
          <w:szCs w:val="22"/>
          <w:lang w:eastAsia="ja-JP"/>
        </w:rPr>
        <w:t xml:space="preserve"> and provide for predictable, performance-based, technology-inclusive, and risk-informed regulation of advanced reactors (</w:t>
      </w:r>
      <w:r w:rsidR="000341A7">
        <w:rPr>
          <w:rFonts w:ascii="Arial" w:eastAsia="Times New Roman" w:hAnsi="Arial" w:cs="Arial"/>
          <w:color w:val="000000"/>
          <w:sz w:val="22"/>
          <w:szCs w:val="22"/>
          <w:lang w:eastAsia="zh-CN"/>
        </w:rPr>
        <w:t>NIA2</w:t>
      </w:r>
      <w:r w:rsidRPr="00457DB2">
        <w:rPr>
          <w:rFonts w:ascii="Arial" w:eastAsia="Times New Roman" w:hAnsi="Arial" w:cs="Arial"/>
          <w:color w:val="000000"/>
          <w:sz w:val="22"/>
          <w:szCs w:val="22"/>
          <w:lang w:eastAsia="zh-CN"/>
        </w:rPr>
        <w:t>-0001).</w:t>
      </w:r>
    </w:p>
    <w:p w:rsidR="00A74D7D" w:rsidRPr="00457DB2" w:rsidP="00A801A6" w14:paraId="17C10EAE" w14:textId="77777777">
      <w:pPr>
        <w:spacing w:after="220"/>
        <w:rPr>
          <w:rFonts w:ascii="Arial" w:eastAsia="DengXian" w:hAnsi="Arial" w:cs="Arial"/>
          <w:sz w:val="22"/>
          <w:szCs w:val="22"/>
          <w:lang w:eastAsia="ja-JP"/>
        </w:rPr>
      </w:pPr>
      <w:r w:rsidRPr="00457DB2">
        <w:rPr>
          <w:rFonts w:ascii="Arial" w:eastAsia="DengXian" w:hAnsi="Arial" w:cs="Arial"/>
          <w:b/>
          <w:sz w:val="22"/>
          <w:szCs w:val="22"/>
          <w:lang w:eastAsia="ja-JP"/>
        </w:rPr>
        <w:t>NRC Response:</w:t>
      </w:r>
      <w:r w:rsidRPr="00457DB2">
        <w:rPr>
          <w:rFonts w:ascii="Arial" w:eastAsia="DengXian" w:hAnsi="Arial" w:cs="Arial"/>
          <w:sz w:val="22"/>
          <w:szCs w:val="22"/>
          <w:lang w:eastAsia="ja-JP"/>
        </w:rPr>
        <w:t xml:space="preserve"> The NRC disagrees with th</w:t>
      </w:r>
      <w:r w:rsidR="00F502D0">
        <w:rPr>
          <w:rFonts w:ascii="Arial" w:eastAsia="DengXian" w:hAnsi="Arial" w:cs="Arial"/>
          <w:sz w:val="22"/>
          <w:szCs w:val="22"/>
          <w:lang w:eastAsia="ja-JP"/>
        </w:rPr>
        <w:t>e</w:t>
      </w:r>
      <w:r w:rsidRPr="00457DB2">
        <w:rPr>
          <w:rFonts w:ascii="Arial" w:eastAsia="DengXian" w:hAnsi="Arial" w:cs="Arial"/>
          <w:sz w:val="22"/>
          <w:szCs w:val="22"/>
          <w:lang w:eastAsia="ja-JP"/>
        </w:rPr>
        <w:t xml:space="preserve"> comment.</w:t>
      </w:r>
    </w:p>
    <w:p w:rsidR="00A74D7D" w:rsidRPr="00457DB2" w:rsidP="00A801A6" w14:paraId="645CE42D"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The final rule’s technology</w:t>
      </w:r>
      <w:r w:rsidRPr="00457DB2" w:rsidR="002A0A2D">
        <w:rPr>
          <w:rFonts w:ascii="Arial" w:eastAsia="DengXian" w:hAnsi="Arial" w:cs="Arial"/>
          <w:sz w:val="22"/>
          <w:szCs w:val="22"/>
          <w:lang w:eastAsia="ja-JP"/>
        </w:rPr>
        <w:t>-inclusive</w:t>
      </w:r>
      <w:r w:rsidRPr="00457DB2">
        <w:rPr>
          <w:rFonts w:ascii="Arial" w:eastAsia="DengXian" w:hAnsi="Arial" w:cs="Arial"/>
          <w:sz w:val="22"/>
          <w:szCs w:val="22"/>
          <w:lang w:eastAsia="ja-JP"/>
        </w:rPr>
        <w:t>, performance-based approach provides reasonable assurance of adequate protection of public health and safety and was developed with input from all stakeholders. As stated in the proposed and final rules, the new alternative requirements and implementing guidance would adopt technology-inclusive approaches and use risk-informed and performance</w:t>
      </w:r>
      <w:r w:rsidRPr="00457DB2">
        <w:rPr>
          <w:rFonts w:ascii="Arial" w:eastAsia="DengXian" w:hAnsi="Arial" w:cs="Arial"/>
          <w:sz w:val="22"/>
          <w:szCs w:val="22"/>
          <w:lang w:eastAsia="ja-JP"/>
        </w:rPr>
        <w:noBreakHyphen/>
        <w:t xml:space="preserve">based techniques to ensure an equivalent level of safety to that of operating commercial nuclear plants while providing flexibility for licensing and regulating a variety of technologies and designs for commercial nuclear reactors. However, while the NRC’s mission is to enable the safe and secure use and deployment of civilian nuclear energy technologies, the NRC must balance that objective with </w:t>
      </w:r>
      <w:r w:rsidR="005A2DE1">
        <w:rPr>
          <w:rFonts w:ascii="Arial" w:eastAsia="DengXian" w:hAnsi="Arial" w:cs="Arial"/>
          <w:sz w:val="22"/>
          <w:szCs w:val="22"/>
          <w:lang w:eastAsia="ja-JP"/>
        </w:rPr>
        <w:t xml:space="preserve">the </w:t>
      </w:r>
      <w:r w:rsidRPr="00457DB2">
        <w:rPr>
          <w:rFonts w:ascii="Arial" w:eastAsia="DengXian" w:hAnsi="Arial" w:cs="Arial"/>
          <w:sz w:val="22"/>
          <w:szCs w:val="22"/>
          <w:lang w:eastAsia="ja-JP"/>
        </w:rPr>
        <w:t xml:space="preserve">protection of public health and safety and advancing the </w:t>
      </w:r>
      <w:r w:rsidR="00A0199D">
        <w:rPr>
          <w:rFonts w:ascii="Arial" w:eastAsia="DengXian" w:hAnsi="Arial" w:cs="Arial"/>
          <w:sz w:val="22"/>
          <w:szCs w:val="22"/>
          <w:lang w:eastAsia="ja-JP"/>
        </w:rPr>
        <w:t>N</w:t>
      </w:r>
      <w:r w:rsidRPr="00457DB2">
        <w:rPr>
          <w:rFonts w:ascii="Arial" w:eastAsia="DengXian" w:hAnsi="Arial" w:cs="Arial"/>
          <w:sz w:val="22"/>
          <w:szCs w:val="22"/>
          <w:lang w:eastAsia="ja-JP"/>
        </w:rPr>
        <w:t>ation’s common defense and security</w:t>
      </w:r>
      <w:r w:rsidR="00D60178">
        <w:rPr>
          <w:rFonts w:ascii="Arial" w:eastAsia="DengXian" w:hAnsi="Arial" w:cs="Arial"/>
          <w:sz w:val="22"/>
          <w:szCs w:val="22"/>
          <w:lang w:eastAsia="ja-JP"/>
        </w:rPr>
        <w:t>, which</w:t>
      </w:r>
      <w:r w:rsidRPr="00457DB2">
        <w:rPr>
          <w:rFonts w:ascii="Arial" w:eastAsia="DengXian" w:hAnsi="Arial" w:cs="Arial"/>
          <w:sz w:val="22"/>
          <w:szCs w:val="22"/>
          <w:lang w:eastAsia="ja-JP"/>
        </w:rPr>
        <w:t xml:space="preserve"> usually involve additional costs, and the approach to licensing in 10 CFR Part 53 reflects that balance. </w:t>
      </w:r>
    </w:p>
    <w:p w:rsidR="00A74D7D" w:rsidRPr="00457DB2" w:rsidP="00A801A6" w14:paraId="5AAA90AD" w14:textId="77777777">
      <w:pPr>
        <w:spacing w:after="220"/>
        <w:rPr>
          <w:rFonts w:ascii="Arial" w:eastAsia="Times New Roman" w:hAnsi="Arial" w:cs="Arial"/>
          <w:color w:val="000000"/>
          <w:sz w:val="22"/>
          <w:szCs w:val="22"/>
          <w:lang w:eastAsia="zh-CN"/>
        </w:rPr>
      </w:pPr>
      <w:r w:rsidRPr="00457DB2">
        <w:rPr>
          <w:rFonts w:ascii="Arial" w:eastAsia="DengXian" w:hAnsi="Arial" w:cs="Arial"/>
          <w:sz w:val="22"/>
          <w:szCs w:val="22"/>
          <w:lang w:eastAsia="ja-JP"/>
        </w:rPr>
        <w:t>Accordingly, the NRC did not change the rule language in response to this comment.</w:t>
      </w:r>
    </w:p>
    <w:p w:rsidR="00AC1417" w:rsidRPr="00457DB2" w:rsidP="00A801A6" w14:paraId="5C7D2020" w14:textId="77777777">
      <w:pPr>
        <w:spacing w:after="220"/>
        <w:rPr>
          <w:rFonts w:ascii="Arial" w:eastAsia="Times New Roman" w:hAnsi="Arial" w:cs="Arial"/>
          <w:b/>
          <w:color w:val="000000"/>
          <w:sz w:val="22"/>
          <w:szCs w:val="22"/>
          <w:lang w:eastAsia="zh-CN"/>
        </w:rPr>
      </w:pPr>
      <w:r>
        <w:rPr>
          <w:rFonts w:ascii="Arial" w:eastAsia="Times New Roman" w:hAnsi="Arial" w:cs="Arial"/>
          <w:sz w:val="22"/>
          <w:szCs w:val="22"/>
          <w:lang w:eastAsia="zh-CN"/>
        </w:rPr>
        <w:pict>
          <v:rect id="_x0000_i1040" style="width:0;height:1.5pt" o:hralign="center" o:hrstd="t" o:hrnoshade="t" o:hr="t" fillcolor="black" stroked="f"/>
        </w:pict>
      </w:r>
    </w:p>
    <w:p w:rsidR="004E71AC" w:rsidRPr="00457DB2" w:rsidP="00A801A6" w14:paraId="47465F50" w14:textId="77777777">
      <w:pPr>
        <w:spacing w:after="220"/>
        <w:rPr>
          <w:rFonts w:ascii="Arial" w:eastAsia="Times New Roman" w:hAnsi="Arial" w:cs="Arial"/>
          <w:color w:val="000000"/>
          <w:sz w:val="22"/>
          <w:szCs w:val="22"/>
          <w:lang w:eastAsia="zh-CN"/>
        </w:rPr>
      </w:pPr>
      <w:r w:rsidRPr="00457DB2">
        <w:rPr>
          <w:rFonts w:ascii="Arial" w:eastAsia="DengXian" w:hAnsi="Arial" w:cs="Arial"/>
          <w:b/>
          <w:sz w:val="22"/>
          <w:szCs w:val="22"/>
          <w:lang w:eastAsia="ja-JP"/>
        </w:rPr>
        <w:t>Comment Bin 1.4.B:</w:t>
      </w:r>
      <w:r w:rsidRPr="00457DB2">
        <w:rPr>
          <w:rFonts w:ascii="Arial" w:eastAsia="DengXian" w:hAnsi="Arial" w:cs="Arial"/>
          <w:sz w:val="22"/>
          <w:szCs w:val="22"/>
          <w:lang w:eastAsia="ja-JP"/>
        </w:rPr>
        <w:t xml:space="preserve"> Several commenters provided general comments o</w:t>
      </w:r>
      <w:r w:rsidR="00163990">
        <w:rPr>
          <w:rFonts w:ascii="Arial" w:eastAsia="DengXian" w:hAnsi="Arial" w:cs="Arial"/>
          <w:sz w:val="22"/>
          <w:szCs w:val="22"/>
          <w:lang w:eastAsia="ja-JP"/>
        </w:rPr>
        <w:t>n</w:t>
      </w:r>
      <w:r w:rsidRPr="00457DB2">
        <w:rPr>
          <w:rFonts w:ascii="Arial" w:eastAsia="DengXian" w:hAnsi="Arial" w:cs="Arial"/>
          <w:sz w:val="22"/>
          <w:szCs w:val="22"/>
          <w:lang w:eastAsia="ja-JP"/>
        </w:rPr>
        <w:t xml:space="preserve"> the rule that were appreciative of the NRC’s efforts on the proposed rulemaking and said that additional modifications to the proposed rule were necessary to fully align with NEIMA’s intent to provide a sufficiently flexible licensing framework to accommodate emerging technologies</w:t>
      </w:r>
      <w:r w:rsidRPr="00457DB2" w:rsidR="007877AA">
        <w:rPr>
          <w:rFonts w:ascii="Arial" w:eastAsia="DengXian" w:hAnsi="Arial" w:cs="Arial"/>
          <w:sz w:val="22"/>
          <w:szCs w:val="22"/>
          <w:lang w:eastAsia="ja-JP"/>
        </w:rPr>
        <w:t xml:space="preserve"> </w:t>
      </w:r>
      <w:r w:rsidRPr="00457DB2">
        <w:rPr>
          <w:rFonts w:ascii="Arial" w:eastAsia="DengXian" w:hAnsi="Arial" w:cs="Arial"/>
          <w:sz w:val="22"/>
          <w:szCs w:val="22"/>
          <w:lang w:eastAsia="ja-JP"/>
        </w:rPr>
        <w:t>(</w:t>
      </w:r>
      <w:r w:rsidR="00D87876">
        <w:rPr>
          <w:rFonts w:ascii="Arial" w:eastAsia="Times New Roman" w:hAnsi="Arial" w:cs="Arial"/>
          <w:color w:val="000000"/>
          <w:sz w:val="22"/>
          <w:szCs w:val="22"/>
          <w:lang w:eastAsia="zh-CN"/>
        </w:rPr>
        <w:t>SCWG</w:t>
      </w:r>
      <w:r w:rsidRPr="00457DB2">
        <w:rPr>
          <w:rFonts w:ascii="Arial" w:eastAsia="Times New Roman" w:hAnsi="Arial" w:cs="Arial"/>
          <w:color w:val="000000"/>
          <w:sz w:val="22"/>
          <w:szCs w:val="22"/>
          <w:lang w:eastAsia="zh-CN"/>
        </w:rPr>
        <w:t>-0026</w:t>
      </w:r>
      <w:r w:rsidR="00B529CF">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343546">
        <w:rPr>
          <w:rFonts w:ascii="Arial" w:eastAsia="Times New Roman" w:hAnsi="Arial" w:cs="Arial"/>
          <w:color w:val="000000"/>
          <w:sz w:val="22"/>
          <w:szCs w:val="22"/>
          <w:lang w:eastAsia="zh-CN"/>
        </w:rPr>
        <w:t>NGO</w:t>
      </w:r>
      <w:r w:rsidRPr="00457DB2">
        <w:rPr>
          <w:rFonts w:ascii="Arial" w:eastAsia="Times New Roman" w:hAnsi="Arial" w:cs="Arial"/>
          <w:color w:val="000000"/>
          <w:sz w:val="22"/>
          <w:szCs w:val="22"/>
          <w:lang w:eastAsia="zh-CN"/>
        </w:rPr>
        <w:t>-0001</w:t>
      </w:r>
      <w:r w:rsidR="00B529CF">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8B69CC">
        <w:rPr>
          <w:rFonts w:ascii="Arial" w:eastAsia="Times New Roman" w:hAnsi="Arial" w:cs="Arial"/>
          <w:color w:val="000000"/>
          <w:sz w:val="22"/>
          <w:szCs w:val="22"/>
          <w:lang w:eastAsia="zh-CN"/>
        </w:rPr>
        <w:t>KAP</w:t>
      </w:r>
      <w:r w:rsidRPr="00457DB2">
        <w:rPr>
          <w:rFonts w:ascii="Arial" w:eastAsia="Times New Roman" w:hAnsi="Arial" w:cs="Arial"/>
          <w:color w:val="000000"/>
          <w:sz w:val="22"/>
          <w:szCs w:val="22"/>
          <w:lang w:eastAsia="zh-CN"/>
        </w:rPr>
        <w:t>-0001</w:t>
      </w:r>
      <w:r w:rsidR="00B529CF">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4C1A5D">
        <w:rPr>
          <w:rFonts w:ascii="Arial" w:eastAsia="Times New Roman" w:hAnsi="Arial" w:cs="Arial"/>
          <w:color w:val="000000"/>
          <w:sz w:val="22"/>
          <w:szCs w:val="22"/>
          <w:lang w:eastAsia="zh-CN"/>
        </w:rPr>
        <w:t>BI1</w:t>
      </w:r>
      <w:r w:rsidRPr="00457DB2">
        <w:rPr>
          <w:rFonts w:ascii="Arial" w:eastAsia="Times New Roman" w:hAnsi="Arial" w:cs="Arial"/>
          <w:color w:val="000000"/>
          <w:sz w:val="22"/>
          <w:szCs w:val="22"/>
          <w:lang w:eastAsia="zh-CN"/>
        </w:rPr>
        <w:t>-0013</w:t>
      </w:r>
      <w:r w:rsidR="00B529CF">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Pr="001C5316" w:rsidR="001C5316">
        <w:rPr>
          <w:rFonts w:ascii="Arial" w:eastAsia="Times New Roman" w:hAnsi="Arial" w:cs="Arial"/>
          <w:color w:val="000000"/>
          <w:sz w:val="22"/>
          <w:szCs w:val="22"/>
        </w:rPr>
        <w:t>BWXT</w:t>
      </w:r>
      <w:r w:rsidRPr="001C5316">
        <w:rPr>
          <w:rFonts w:ascii="Arial" w:eastAsia="Times New Roman" w:hAnsi="Arial" w:cs="Arial"/>
          <w:color w:val="000000"/>
          <w:sz w:val="22"/>
          <w:szCs w:val="22"/>
          <w:lang w:eastAsia="zh-CN"/>
        </w:rPr>
        <w:t>-0</w:t>
      </w:r>
      <w:r w:rsidRPr="00457DB2">
        <w:rPr>
          <w:rFonts w:ascii="Arial" w:eastAsia="Times New Roman" w:hAnsi="Arial" w:cs="Arial"/>
          <w:color w:val="000000"/>
          <w:sz w:val="22"/>
          <w:szCs w:val="22"/>
          <w:lang w:eastAsia="zh-CN"/>
        </w:rPr>
        <w:t>001).</w:t>
      </w:r>
    </w:p>
    <w:p w:rsidR="008F7C2C" w:rsidP="00A801A6" w14:paraId="71C36B48" w14:textId="77777777">
      <w:pPr>
        <w:spacing w:after="220"/>
        <w:rPr>
          <w:rFonts w:ascii="Arial" w:eastAsia="DengXian" w:hAnsi="Arial" w:cs="Arial"/>
          <w:sz w:val="22"/>
          <w:szCs w:val="22"/>
          <w:lang w:eastAsia="ja-JP"/>
        </w:rPr>
      </w:pPr>
      <w:r w:rsidRPr="00457DB2">
        <w:rPr>
          <w:rFonts w:ascii="Arial" w:eastAsia="DengXian" w:hAnsi="Arial" w:cs="Arial"/>
          <w:b/>
          <w:sz w:val="22"/>
          <w:szCs w:val="22"/>
          <w:lang w:eastAsia="ja-JP"/>
        </w:rPr>
        <w:t>NRC Response:</w:t>
      </w:r>
      <w:r w:rsidRPr="00457DB2">
        <w:rPr>
          <w:rFonts w:ascii="Arial" w:eastAsia="DengXian" w:hAnsi="Arial" w:cs="Arial"/>
          <w:sz w:val="22"/>
          <w:szCs w:val="22"/>
          <w:lang w:eastAsia="ja-JP"/>
        </w:rPr>
        <w:t xml:space="preserve"> The NRC disagrees with the comments. </w:t>
      </w:r>
    </w:p>
    <w:p w:rsidR="004E71AC" w:rsidRPr="00457DB2" w:rsidP="00A801A6" w14:paraId="70F7A695"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 xml:space="preserve">NEIMA </w:t>
      </w:r>
      <w:r w:rsidR="00163990">
        <w:rPr>
          <w:rFonts w:ascii="Arial" w:eastAsia="DengXian" w:hAnsi="Arial" w:cs="Arial"/>
          <w:sz w:val="22"/>
          <w:szCs w:val="22"/>
          <w:lang w:eastAsia="ja-JP"/>
        </w:rPr>
        <w:t>S</w:t>
      </w:r>
      <w:r w:rsidRPr="00457DB2">
        <w:rPr>
          <w:rFonts w:ascii="Arial" w:eastAsia="DengXian" w:hAnsi="Arial" w:cs="Arial"/>
          <w:sz w:val="22"/>
          <w:szCs w:val="22"/>
          <w:lang w:eastAsia="ja-JP"/>
        </w:rPr>
        <w:t>ection 2, “Purpose” states in part that, “The purpose of this Act is to provide—(1) a program to develop the expertise and regulatory processes necessary to allow innovation and the commercialization of advanced nuclear reactors;” The final rule’s technology</w:t>
      </w:r>
      <w:r w:rsidRPr="00457DB2" w:rsidR="002A0A2D">
        <w:rPr>
          <w:rFonts w:ascii="Arial" w:eastAsia="DengXian" w:hAnsi="Arial" w:cs="Arial"/>
          <w:sz w:val="22"/>
          <w:szCs w:val="22"/>
          <w:lang w:eastAsia="ja-JP"/>
        </w:rPr>
        <w:t>-inclusive</w:t>
      </w:r>
      <w:r w:rsidRPr="00457DB2">
        <w:rPr>
          <w:rFonts w:ascii="Arial" w:eastAsia="DengXian" w:hAnsi="Arial" w:cs="Arial"/>
          <w:sz w:val="22"/>
          <w:szCs w:val="22"/>
          <w:lang w:eastAsia="ja-JP"/>
        </w:rPr>
        <w:t>, performance-based approach provides reasonable assurance of adequate protection of the public health and safety and was developed with input from all stakeholders. The final rule provides a reliable regulatory framework that allows for the innovation and the commercialization of advanced nuclear reactors.</w:t>
      </w:r>
    </w:p>
    <w:p w:rsidR="004E71AC" w:rsidP="00A801A6" w14:paraId="67BEA507"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Accordingly, the NRC did not change the rule language in response to these comments. However, the NRC notes that it has made a number of changes elsewhere in the rule in response to specific comments that will make the 10 CFR Part 53 rule more flexible, and some of th</w:t>
      </w:r>
      <w:r w:rsidRPr="00457DB2" w:rsidR="00D467E2">
        <w:rPr>
          <w:rFonts w:ascii="Arial" w:eastAsia="DengXian" w:hAnsi="Arial" w:cs="Arial"/>
          <w:sz w:val="22"/>
          <w:szCs w:val="22"/>
          <w:lang w:eastAsia="ja-JP"/>
        </w:rPr>
        <w:t>e</w:t>
      </w:r>
      <w:r w:rsidRPr="00457DB2">
        <w:rPr>
          <w:rFonts w:ascii="Arial" w:eastAsia="DengXian" w:hAnsi="Arial" w:cs="Arial"/>
          <w:sz w:val="22"/>
          <w:szCs w:val="22"/>
          <w:lang w:eastAsia="ja-JP"/>
        </w:rPr>
        <w:t>se changes may facilitate the licensing process for technologies described in the comments.</w:t>
      </w:r>
    </w:p>
    <w:p w:rsidR="00550149" w:rsidRPr="00457DB2" w:rsidP="00A801A6" w14:paraId="17CDE3F9"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041" style="width:0;height:1.5pt" o:hralign="center" o:hrstd="t" o:hrnoshade="t" o:hr="t" fillcolor="black" stroked="f"/>
        </w:pict>
      </w:r>
    </w:p>
    <w:p w:rsidR="005A6CEE" w:rsidRPr="00457DB2" w:rsidP="00A801A6" w14:paraId="50AF868C" w14:textId="77777777">
      <w:pPr>
        <w:spacing w:after="220"/>
        <w:rPr>
          <w:rFonts w:ascii="Arial" w:eastAsia="Aptos" w:hAnsi="Arial" w:cs="Arial"/>
          <w:sz w:val="22"/>
          <w:szCs w:val="22"/>
        </w:rPr>
      </w:pPr>
      <w:r w:rsidRPr="00457DB2">
        <w:rPr>
          <w:rFonts w:ascii="Arial" w:eastAsia="Times New Roman" w:hAnsi="Arial" w:cs="Arial"/>
          <w:b/>
          <w:color w:val="000000"/>
          <w:sz w:val="22"/>
          <w:szCs w:val="22"/>
          <w:lang w:eastAsia="zh-CN"/>
        </w:rPr>
        <w:t>Comment Bin 1.4.C</w:t>
      </w:r>
      <w:r w:rsidRPr="00457DB2">
        <w:rPr>
          <w:rFonts w:ascii="Arial" w:eastAsia="DengXian" w:hAnsi="Arial" w:cs="Arial"/>
          <w:b/>
          <w:sz w:val="22"/>
          <w:szCs w:val="22"/>
          <w:lang w:eastAsia="ja-JP"/>
        </w:rPr>
        <w:t>:</w:t>
      </w:r>
      <w:r w:rsidRPr="00457DB2">
        <w:rPr>
          <w:rFonts w:ascii="Arial" w:eastAsia="DengXian" w:hAnsi="Arial" w:cs="Arial"/>
          <w:sz w:val="22"/>
          <w:szCs w:val="22"/>
          <w:lang w:eastAsia="ja-JP"/>
        </w:rPr>
        <w:t xml:space="preserve"> A few commenters stated that NRC’s incorporation of the Commission’s directive is a step in the right direction, but the proposed rulemaking is still not in alignment with the Commission’s directions, and issues remain that must be addressed prior to the final rule (</w:t>
      </w:r>
      <w:r w:rsidR="003C29B7">
        <w:rPr>
          <w:rFonts w:ascii="Arial" w:eastAsia="Times New Roman" w:hAnsi="Arial" w:cs="Arial"/>
          <w:color w:val="000000"/>
          <w:sz w:val="22"/>
          <w:szCs w:val="22"/>
          <w:lang w:eastAsia="zh-CN"/>
        </w:rPr>
        <w:t>CP</w:t>
      </w:r>
      <w:r w:rsidRPr="00457DB2">
        <w:rPr>
          <w:rFonts w:ascii="Arial" w:eastAsia="Times New Roman" w:hAnsi="Arial" w:cs="Arial"/>
          <w:color w:val="000000"/>
          <w:sz w:val="22"/>
          <w:szCs w:val="22"/>
          <w:lang w:eastAsia="zh-CN"/>
        </w:rPr>
        <w:t>-0001</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C32155">
        <w:rPr>
          <w:rFonts w:ascii="Arial" w:eastAsia="Times New Roman" w:hAnsi="Arial" w:cs="Arial"/>
          <w:color w:val="000000"/>
          <w:sz w:val="22"/>
          <w:szCs w:val="22"/>
          <w:lang w:eastAsia="zh-CN"/>
        </w:rPr>
        <w:t>SOU</w:t>
      </w:r>
      <w:r w:rsidRPr="00457DB2">
        <w:rPr>
          <w:rFonts w:ascii="Arial" w:eastAsia="Times New Roman" w:hAnsi="Arial" w:cs="Arial"/>
          <w:color w:val="000000"/>
          <w:sz w:val="22"/>
          <w:szCs w:val="22"/>
          <w:lang w:eastAsia="zh-CN"/>
        </w:rPr>
        <w:t>-0001</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Pr="0052399B" w:rsidR="0052399B">
        <w:rPr>
          <w:rFonts w:ascii="Arial" w:eastAsia="Times New Roman" w:hAnsi="Arial" w:cs="Arial"/>
          <w:color w:val="000000"/>
          <w:sz w:val="22"/>
          <w:szCs w:val="22"/>
        </w:rPr>
        <w:t>APS</w:t>
      </w:r>
      <w:r w:rsidRPr="0052399B">
        <w:rPr>
          <w:rFonts w:ascii="Arial" w:eastAsia="Times New Roman" w:hAnsi="Arial" w:cs="Arial"/>
          <w:color w:val="000000"/>
          <w:sz w:val="22"/>
          <w:szCs w:val="22"/>
          <w:lang w:eastAsia="zh-CN"/>
        </w:rPr>
        <w:t>-0</w:t>
      </w:r>
      <w:r w:rsidRPr="00457DB2">
        <w:rPr>
          <w:rFonts w:ascii="Arial" w:eastAsia="Times New Roman" w:hAnsi="Arial" w:cs="Arial"/>
          <w:color w:val="000000"/>
          <w:sz w:val="22"/>
          <w:szCs w:val="22"/>
          <w:lang w:eastAsia="zh-CN"/>
        </w:rPr>
        <w:t xml:space="preserve">001, </w:t>
      </w:r>
      <w:r w:rsidR="00E36F7E">
        <w:rPr>
          <w:rFonts w:ascii="Arial" w:eastAsia="Times New Roman" w:hAnsi="Arial" w:cs="Arial"/>
          <w:color w:val="000000"/>
          <w:sz w:val="22"/>
          <w:szCs w:val="22"/>
          <w:lang w:eastAsia="zh-CN"/>
        </w:rPr>
        <w:t>ENW</w:t>
      </w:r>
      <w:r w:rsidRPr="00457DB2">
        <w:rPr>
          <w:rFonts w:ascii="Arial" w:eastAsia="Times New Roman" w:hAnsi="Arial" w:cs="Arial"/>
          <w:color w:val="000000"/>
          <w:sz w:val="22"/>
          <w:szCs w:val="22"/>
          <w:lang w:eastAsia="zh-CN"/>
        </w:rPr>
        <w:t xml:space="preserve">-0001, </w:t>
      </w:r>
      <w:r w:rsidR="00333B47">
        <w:rPr>
          <w:rFonts w:ascii="Arial" w:hAnsi="Arial" w:cs="Arial"/>
          <w:sz w:val="22"/>
          <w:szCs w:val="22"/>
        </w:rPr>
        <w:t>WEST1</w:t>
      </w:r>
      <w:r w:rsidRPr="00457DB2">
        <w:rPr>
          <w:rFonts w:ascii="Arial" w:hAnsi="Arial" w:cs="Arial"/>
          <w:sz w:val="22"/>
          <w:szCs w:val="22"/>
        </w:rPr>
        <w:t>-0002</w:t>
      </w:r>
      <w:r w:rsidRPr="00457DB2">
        <w:rPr>
          <w:rFonts w:ascii="Arial" w:eastAsia="Times New Roman" w:hAnsi="Arial" w:cs="Arial"/>
          <w:color w:val="000000"/>
          <w:sz w:val="22"/>
          <w:szCs w:val="22"/>
          <w:lang w:eastAsia="zh-CN"/>
        </w:rPr>
        <w:t>). One commenter specifically stated that changes are needed to meet NEIMA and the ADVANCE Act (</w:t>
      </w:r>
      <w:r w:rsidR="00333B47">
        <w:rPr>
          <w:rFonts w:ascii="Arial" w:eastAsia="Times New Roman" w:hAnsi="Arial" w:cs="Arial"/>
          <w:color w:val="000000"/>
          <w:sz w:val="22"/>
          <w:szCs w:val="22"/>
          <w:lang w:eastAsia="zh-CN"/>
        </w:rPr>
        <w:t>WEST1</w:t>
      </w:r>
      <w:r w:rsidRPr="00457DB2">
        <w:rPr>
          <w:rFonts w:ascii="Arial" w:eastAsia="Times New Roman" w:hAnsi="Arial" w:cs="Arial"/>
          <w:color w:val="000000"/>
          <w:sz w:val="22"/>
          <w:szCs w:val="22"/>
          <w:lang w:eastAsia="zh-CN"/>
        </w:rPr>
        <w:t>-0002).</w:t>
      </w:r>
    </w:p>
    <w:p w:rsidR="005A6CEE" w:rsidRPr="00457DB2" w:rsidP="00A801A6" w14:paraId="78C98073" w14:textId="77777777">
      <w:pPr>
        <w:spacing w:after="220"/>
        <w:rPr>
          <w:rFonts w:ascii="Arial" w:eastAsia="Times New Roman" w:hAnsi="Arial" w:cs="Arial"/>
          <w:color w:val="000000"/>
          <w:sz w:val="22"/>
          <w:szCs w:val="22"/>
          <w:lang w:eastAsia="zh-CN"/>
        </w:rPr>
      </w:pPr>
      <w:r w:rsidRPr="00457DB2">
        <w:rPr>
          <w:rFonts w:ascii="Arial" w:eastAsia="Times New Roman" w:hAnsi="Arial" w:cs="Arial"/>
          <w:color w:val="000000"/>
          <w:sz w:val="22"/>
          <w:szCs w:val="22"/>
          <w:lang w:eastAsia="zh-CN"/>
        </w:rPr>
        <w:t>A commenter said that the NRC cannot have both flexibility and predictability unless it builds two different sets of procedures: one that is flexible and not predictable and one that is predictable but not flexible (</w:t>
      </w:r>
      <w:r w:rsidR="000179BD">
        <w:rPr>
          <w:rFonts w:ascii="Arial" w:eastAsia="Times New Roman" w:hAnsi="Arial" w:cs="Arial"/>
          <w:color w:val="000000"/>
          <w:sz w:val="22"/>
          <w:szCs w:val="22"/>
          <w:lang w:eastAsia="zh-CN"/>
        </w:rPr>
        <w:t>TG17</w:t>
      </w:r>
      <w:r w:rsidRPr="00457DB2">
        <w:rPr>
          <w:rFonts w:ascii="Arial" w:eastAsia="Times New Roman" w:hAnsi="Arial" w:cs="Arial"/>
          <w:color w:val="000000"/>
          <w:sz w:val="22"/>
          <w:szCs w:val="22"/>
          <w:lang w:eastAsia="zh-CN"/>
        </w:rPr>
        <w:t>-0007). Another commenter said that the proposed regulations do not recognize that the actual risk of operating a facility that uses nuclear fuel is significantly less than perceived risk, and the Part 53 rule needs to acknowledge this reality (</w:t>
      </w:r>
      <w:r w:rsidR="006912EB">
        <w:rPr>
          <w:rFonts w:ascii="Arial" w:eastAsia="Times New Roman" w:hAnsi="Arial" w:cs="Arial"/>
          <w:color w:val="000000"/>
          <w:sz w:val="22"/>
          <w:szCs w:val="22"/>
          <w:lang w:eastAsia="zh-CN"/>
        </w:rPr>
        <w:t>NEX</w:t>
      </w:r>
      <w:r w:rsidRPr="00457DB2">
        <w:rPr>
          <w:rFonts w:ascii="Arial" w:eastAsia="Times New Roman" w:hAnsi="Arial" w:cs="Arial"/>
          <w:color w:val="000000"/>
          <w:sz w:val="22"/>
          <w:szCs w:val="22"/>
          <w:lang w:eastAsia="zh-CN"/>
        </w:rPr>
        <w:t xml:space="preserve">-0001). </w:t>
      </w:r>
    </w:p>
    <w:p w:rsidR="00B1320D" w:rsidRPr="00457DB2" w:rsidP="00A801A6" w14:paraId="6551A294" w14:textId="77777777">
      <w:pPr>
        <w:spacing w:after="220"/>
        <w:rPr>
          <w:rFonts w:ascii="Arial" w:hAnsi="Arial" w:cs="Arial"/>
          <w:sz w:val="22"/>
          <w:szCs w:val="22"/>
        </w:rPr>
      </w:pPr>
      <w:r w:rsidRPr="00457DB2">
        <w:rPr>
          <w:rFonts w:ascii="Arial" w:eastAsia="Times New Roman" w:hAnsi="Arial" w:cs="Arial"/>
          <w:sz w:val="22"/>
          <w:szCs w:val="22"/>
        </w:rPr>
        <w:t>A commenter expressed support for the recommendation of another commenter to pursue more aggressive changes throughout 10 CFR Part 53, including limiting regulatory burden for advanced reactors that present a low level of hazard and impact to the public by establishing graded, performance-based requirements (</w:t>
      </w:r>
      <w:r w:rsidR="00E36F7E">
        <w:rPr>
          <w:rFonts w:ascii="Arial" w:hAnsi="Arial" w:cs="Arial"/>
          <w:sz w:val="22"/>
          <w:szCs w:val="22"/>
        </w:rPr>
        <w:t>ENW</w:t>
      </w:r>
      <w:r w:rsidRPr="00457DB2">
        <w:rPr>
          <w:rFonts w:ascii="Arial" w:hAnsi="Arial" w:cs="Arial"/>
          <w:sz w:val="22"/>
          <w:szCs w:val="22"/>
        </w:rPr>
        <w:t>-0001).</w:t>
      </w:r>
    </w:p>
    <w:p w:rsidR="0046173F" w:rsidRPr="00457DB2" w:rsidP="00A801A6" w14:paraId="07D6E9B3" w14:textId="77777777">
      <w:pPr>
        <w:spacing w:after="220"/>
        <w:rPr>
          <w:rFonts w:ascii="Arial" w:eastAsia="DengXian" w:hAnsi="Arial" w:cs="Arial"/>
          <w:sz w:val="22"/>
          <w:szCs w:val="22"/>
          <w:lang w:eastAsia="ja-JP"/>
        </w:rPr>
      </w:pPr>
      <w:r w:rsidRPr="00457DB2">
        <w:rPr>
          <w:rFonts w:ascii="Arial" w:eastAsia="DengXian" w:hAnsi="Arial" w:cs="Arial"/>
          <w:b/>
          <w:sz w:val="22"/>
          <w:szCs w:val="22"/>
          <w:lang w:eastAsia="ja-JP"/>
        </w:rPr>
        <w:t>NRC Response:</w:t>
      </w:r>
      <w:r w:rsidRPr="00457DB2">
        <w:rPr>
          <w:rFonts w:ascii="Arial" w:eastAsia="DengXian" w:hAnsi="Arial" w:cs="Arial"/>
          <w:sz w:val="22"/>
          <w:szCs w:val="22"/>
          <w:lang w:eastAsia="ja-JP"/>
        </w:rPr>
        <w:t xml:space="preserve"> The NRC disagrees with the comments.</w:t>
      </w:r>
    </w:p>
    <w:p w:rsidR="005A6CEE" w:rsidRPr="00457DB2" w:rsidP="00A801A6" w14:paraId="5AD03B03"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 xml:space="preserve">The 10 CFR Part 53 proposed rule was approved by the Commission for publication, so the proposed rule was in alignment with Commission direction. The NRC also disagrees that the proposed rule did not meet the statutory requirements of NEIMA (see response to Comment </w:t>
      </w:r>
      <w:r w:rsidRPr="00457DB2" w:rsidR="00973833">
        <w:rPr>
          <w:rFonts w:ascii="Arial" w:eastAsia="DengXian" w:hAnsi="Arial" w:cs="Arial"/>
          <w:sz w:val="22"/>
          <w:szCs w:val="22"/>
          <w:lang w:eastAsia="ja-JP"/>
        </w:rPr>
        <w:t>Bin</w:t>
      </w:r>
      <w:r w:rsidR="00FF2EE7">
        <w:rPr>
          <w:rFonts w:ascii="Arial" w:eastAsia="Times New Roman" w:hAnsi="Arial" w:cs="Arial"/>
          <w:color w:val="000000"/>
          <w:sz w:val="22"/>
          <w:szCs w:val="22"/>
          <w:lang w:eastAsia="zh-CN"/>
        </w:rPr>
        <w:t> </w:t>
      </w:r>
      <w:r w:rsidRPr="00457DB2">
        <w:rPr>
          <w:rFonts w:ascii="Arial" w:eastAsia="Times New Roman" w:hAnsi="Arial" w:cs="Arial"/>
          <w:color w:val="000000"/>
          <w:sz w:val="22"/>
          <w:szCs w:val="22"/>
          <w:lang w:eastAsia="zh-CN"/>
        </w:rPr>
        <w:t>1.4</w:t>
      </w:r>
      <w:r w:rsidRPr="00457DB2" w:rsidR="00995557">
        <w:rPr>
          <w:rFonts w:ascii="Arial" w:eastAsia="Times New Roman" w:hAnsi="Arial" w:cs="Arial"/>
          <w:color w:val="000000"/>
          <w:sz w:val="22"/>
          <w:szCs w:val="22"/>
          <w:lang w:eastAsia="zh-CN"/>
        </w:rPr>
        <w:t>.B</w:t>
      </w:r>
      <w:r w:rsidRPr="00457DB2">
        <w:rPr>
          <w:rFonts w:ascii="Arial" w:eastAsia="Times New Roman" w:hAnsi="Arial" w:cs="Arial"/>
          <w:color w:val="000000"/>
          <w:sz w:val="22"/>
          <w:szCs w:val="22"/>
          <w:lang w:eastAsia="zh-CN"/>
        </w:rPr>
        <w:t>)</w:t>
      </w:r>
      <w:r w:rsidRPr="00457DB2">
        <w:rPr>
          <w:rFonts w:ascii="Arial" w:eastAsia="DengXian" w:hAnsi="Arial" w:cs="Arial"/>
          <w:sz w:val="22"/>
          <w:szCs w:val="22"/>
          <w:lang w:eastAsia="ja-JP"/>
        </w:rPr>
        <w:t xml:space="preserve"> and the ADVANCE Act (see response to Comment </w:t>
      </w:r>
      <w:r w:rsidRPr="00457DB2" w:rsidR="00E356F1">
        <w:rPr>
          <w:rFonts w:ascii="Arial" w:eastAsia="DengXian" w:hAnsi="Arial" w:cs="Arial"/>
          <w:sz w:val="22"/>
          <w:szCs w:val="22"/>
          <w:lang w:eastAsia="ja-JP"/>
        </w:rPr>
        <w:t>Bin</w:t>
      </w:r>
      <w:r w:rsidRPr="00457DB2">
        <w:rPr>
          <w:rFonts w:ascii="Arial" w:eastAsia="Times New Roman" w:hAnsi="Arial" w:cs="Arial"/>
          <w:color w:val="000000"/>
          <w:sz w:val="22"/>
          <w:szCs w:val="22"/>
          <w:lang w:eastAsia="zh-CN"/>
        </w:rPr>
        <w:t xml:space="preserve"> 1.3</w:t>
      </w:r>
      <w:r w:rsidRPr="00457DB2" w:rsidR="00E356F1">
        <w:rPr>
          <w:rFonts w:ascii="Arial" w:eastAsia="Times New Roman" w:hAnsi="Arial" w:cs="Arial"/>
          <w:color w:val="000000"/>
          <w:sz w:val="22"/>
          <w:szCs w:val="22"/>
          <w:lang w:eastAsia="zh-CN"/>
        </w:rPr>
        <w:t>.B</w:t>
      </w:r>
      <w:r w:rsidRPr="00457DB2">
        <w:rPr>
          <w:rFonts w:ascii="Arial" w:eastAsia="Times New Roman" w:hAnsi="Arial" w:cs="Arial"/>
          <w:color w:val="000000"/>
          <w:sz w:val="22"/>
          <w:szCs w:val="22"/>
          <w:lang w:eastAsia="zh-CN"/>
        </w:rPr>
        <w:t>)</w:t>
      </w:r>
      <w:r w:rsidRPr="00457DB2">
        <w:rPr>
          <w:rFonts w:ascii="Arial" w:eastAsia="DengXian" w:hAnsi="Arial" w:cs="Arial"/>
          <w:sz w:val="22"/>
          <w:szCs w:val="22"/>
          <w:lang w:eastAsia="ja-JP"/>
        </w:rPr>
        <w:t xml:space="preserve">. However, the NRC notes that it has adopted a number of changes to the final rule, including the </w:t>
      </w:r>
      <w:r w:rsidR="00196AAA">
        <w:rPr>
          <w:rFonts w:ascii="Arial" w:eastAsia="DengXian" w:hAnsi="Arial" w:cs="Arial"/>
          <w:sz w:val="22"/>
          <w:szCs w:val="22"/>
          <w:lang w:eastAsia="ja-JP"/>
        </w:rPr>
        <w:t>proba</w:t>
      </w:r>
      <w:r w:rsidR="007129B1">
        <w:rPr>
          <w:rFonts w:ascii="Arial" w:eastAsia="DengXian" w:hAnsi="Arial" w:cs="Arial"/>
          <w:sz w:val="22"/>
          <w:szCs w:val="22"/>
          <w:lang w:eastAsia="ja-JP"/>
        </w:rPr>
        <w:t>bilistic risk assessment (</w:t>
      </w:r>
      <w:r w:rsidRPr="00457DB2">
        <w:rPr>
          <w:rFonts w:ascii="Arial" w:eastAsia="DengXian" w:hAnsi="Arial" w:cs="Arial"/>
          <w:sz w:val="22"/>
          <w:szCs w:val="22"/>
          <w:lang w:eastAsia="ja-JP"/>
        </w:rPr>
        <w:t>PRA</w:t>
      </w:r>
      <w:r w:rsidR="007129B1">
        <w:rPr>
          <w:rFonts w:ascii="Arial" w:eastAsia="DengXian" w:hAnsi="Arial" w:cs="Arial"/>
          <w:sz w:val="22"/>
          <w:szCs w:val="22"/>
          <w:lang w:eastAsia="ja-JP"/>
        </w:rPr>
        <w:t>)</w:t>
      </w:r>
      <w:r w:rsidRPr="00457DB2">
        <w:rPr>
          <w:rFonts w:ascii="Arial" w:eastAsia="DengXian" w:hAnsi="Arial" w:cs="Arial"/>
          <w:sz w:val="22"/>
          <w:szCs w:val="22"/>
          <w:lang w:eastAsia="ja-JP"/>
        </w:rPr>
        <w:t xml:space="preserve"> requirements, that will provide applicants with greater flexibility.</w:t>
      </w:r>
    </w:p>
    <w:p w:rsidR="0068252E" w:rsidRPr="00457DB2" w:rsidP="00A801A6" w14:paraId="0174CAC5"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 xml:space="preserve">For the final rule, the NRC has made appropriate changes in response to the public comments received on the proposed rule. </w:t>
      </w:r>
      <w:r w:rsidRPr="00457DB2" w:rsidR="00B21F8A">
        <w:rPr>
          <w:rFonts w:ascii="Arial" w:eastAsia="DengXian" w:hAnsi="Arial" w:cs="Arial"/>
          <w:sz w:val="22"/>
          <w:szCs w:val="22"/>
          <w:lang w:eastAsia="ja-JP"/>
        </w:rPr>
        <w:t>The NRC disagrees that an appropriate balance cannot be struck between flexibility</w:t>
      </w:r>
      <w:r w:rsidRPr="00457DB2" w:rsidR="0066387C">
        <w:rPr>
          <w:rFonts w:ascii="Arial" w:eastAsia="DengXian" w:hAnsi="Arial" w:cs="Arial"/>
          <w:sz w:val="22"/>
          <w:szCs w:val="22"/>
          <w:lang w:eastAsia="ja-JP"/>
        </w:rPr>
        <w:t xml:space="preserve"> and predictability</w:t>
      </w:r>
      <w:r w:rsidRPr="00457DB2" w:rsidR="008452F6">
        <w:rPr>
          <w:rFonts w:ascii="Arial" w:eastAsia="DengXian" w:hAnsi="Arial" w:cs="Arial"/>
          <w:sz w:val="22"/>
          <w:szCs w:val="22"/>
          <w:lang w:eastAsia="ja-JP"/>
        </w:rPr>
        <w:t xml:space="preserve"> and therefore </w:t>
      </w:r>
      <w:r w:rsidRPr="00457DB2" w:rsidR="00160D9E">
        <w:rPr>
          <w:rFonts w:ascii="Arial" w:eastAsia="DengXian" w:hAnsi="Arial" w:cs="Arial"/>
          <w:sz w:val="22"/>
          <w:szCs w:val="22"/>
          <w:lang w:eastAsia="ja-JP"/>
        </w:rPr>
        <w:t>the NRC must create multiple regulatory frameworks;</w:t>
      </w:r>
      <w:r w:rsidRPr="00457DB2" w:rsidR="0066387C">
        <w:rPr>
          <w:rFonts w:ascii="Arial" w:eastAsia="DengXian" w:hAnsi="Arial" w:cs="Arial"/>
          <w:sz w:val="22"/>
          <w:szCs w:val="22"/>
          <w:lang w:eastAsia="ja-JP"/>
        </w:rPr>
        <w:t xml:space="preserve"> the NRC has strived to achieve this</w:t>
      </w:r>
      <w:r w:rsidRPr="00457DB2">
        <w:rPr>
          <w:rFonts w:ascii="Arial" w:eastAsia="DengXian" w:hAnsi="Arial" w:cs="Arial"/>
          <w:sz w:val="22"/>
          <w:szCs w:val="22"/>
          <w:lang w:eastAsia="ja-JP"/>
        </w:rPr>
        <w:t xml:space="preserve"> balance</w:t>
      </w:r>
      <w:r w:rsidRPr="00457DB2" w:rsidR="0066387C">
        <w:rPr>
          <w:rFonts w:ascii="Arial" w:eastAsia="DengXian" w:hAnsi="Arial" w:cs="Arial"/>
          <w:sz w:val="22"/>
          <w:szCs w:val="22"/>
          <w:lang w:eastAsia="ja-JP"/>
        </w:rPr>
        <w:t xml:space="preserve"> in 10 CFR Part 53</w:t>
      </w:r>
      <w:r w:rsidRPr="00457DB2" w:rsidR="00160D9E">
        <w:rPr>
          <w:rFonts w:ascii="Arial" w:eastAsia="DengXian" w:hAnsi="Arial" w:cs="Arial"/>
          <w:sz w:val="22"/>
          <w:szCs w:val="22"/>
          <w:lang w:eastAsia="ja-JP"/>
        </w:rPr>
        <w:t xml:space="preserve"> </w:t>
      </w:r>
      <w:r w:rsidRPr="00457DB2" w:rsidR="00C52D0D">
        <w:rPr>
          <w:rFonts w:ascii="Arial" w:eastAsia="DengXian" w:hAnsi="Arial" w:cs="Arial"/>
          <w:sz w:val="22"/>
          <w:szCs w:val="22"/>
          <w:lang w:eastAsia="ja-JP"/>
        </w:rPr>
        <w:t>but</w:t>
      </w:r>
      <w:r w:rsidRPr="00457DB2" w:rsidR="00160D9E">
        <w:rPr>
          <w:rFonts w:ascii="Arial" w:eastAsia="DengXian" w:hAnsi="Arial" w:cs="Arial"/>
          <w:sz w:val="22"/>
          <w:szCs w:val="22"/>
          <w:lang w:eastAsia="ja-JP"/>
        </w:rPr>
        <w:t xml:space="preserve"> notes that applicants may also use the existing licensing </w:t>
      </w:r>
      <w:r w:rsidRPr="00457DB2" w:rsidR="00C52D0D">
        <w:rPr>
          <w:rFonts w:ascii="Arial" w:eastAsia="DengXian" w:hAnsi="Arial" w:cs="Arial"/>
          <w:sz w:val="22"/>
          <w:szCs w:val="22"/>
          <w:lang w:eastAsia="ja-JP"/>
        </w:rPr>
        <w:t xml:space="preserve">framework in </w:t>
      </w:r>
      <w:r w:rsidR="00D95269">
        <w:rPr>
          <w:rFonts w:ascii="Arial" w:eastAsia="DengXian" w:hAnsi="Arial" w:cs="Arial"/>
          <w:sz w:val="22"/>
          <w:szCs w:val="22"/>
          <w:lang w:eastAsia="ja-JP"/>
        </w:rPr>
        <w:t xml:space="preserve">10 CFR </w:t>
      </w:r>
      <w:r w:rsidRPr="00457DB2" w:rsidR="00C52D0D">
        <w:rPr>
          <w:rFonts w:ascii="Arial" w:eastAsia="DengXian" w:hAnsi="Arial" w:cs="Arial"/>
          <w:sz w:val="22"/>
          <w:szCs w:val="22"/>
          <w:lang w:eastAsia="ja-JP"/>
        </w:rPr>
        <w:t>Part 50 and</w:t>
      </w:r>
      <w:r w:rsidR="00D95269">
        <w:rPr>
          <w:rFonts w:ascii="Arial" w:eastAsia="DengXian" w:hAnsi="Arial" w:cs="Arial"/>
          <w:sz w:val="22"/>
          <w:szCs w:val="22"/>
          <w:lang w:eastAsia="ja-JP"/>
        </w:rPr>
        <w:t xml:space="preserve"> 10</w:t>
      </w:r>
      <w:r w:rsidR="00961A03">
        <w:rPr>
          <w:rFonts w:ascii="Arial" w:eastAsia="DengXian" w:hAnsi="Arial" w:cs="Arial"/>
          <w:sz w:val="22"/>
          <w:szCs w:val="22"/>
          <w:lang w:eastAsia="ja-JP"/>
        </w:rPr>
        <w:t> </w:t>
      </w:r>
      <w:r w:rsidR="00D95269">
        <w:rPr>
          <w:rFonts w:ascii="Arial" w:eastAsia="DengXian" w:hAnsi="Arial" w:cs="Arial"/>
          <w:sz w:val="22"/>
          <w:szCs w:val="22"/>
          <w:lang w:eastAsia="ja-JP"/>
        </w:rPr>
        <w:t>CFR</w:t>
      </w:r>
      <w:r w:rsidR="00961A03">
        <w:rPr>
          <w:rFonts w:ascii="Arial" w:eastAsia="DengXian" w:hAnsi="Arial" w:cs="Arial"/>
          <w:sz w:val="22"/>
          <w:szCs w:val="22"/>
          <w:lang w:eastAsia="ja-JP"/>
        </w:rPr>
        <w:t> </w:t>
      </w:r>
      <w:r w:rsidR="00D95269">
        <w:rPr>
          <w:rFonts w:ascii="Arial" w:eastAsia="DengXian" w:hAnsi="Arial" w:cs="Arial"/>
          <w:sz w:val="22"/>
          <w:szCs w:val="22"/>
          <w:lang w:eastAsia="ja-JP"/>
        </w:rPr>
        <w:t>Part</w:t>
      </w:r>
      <w:r w:rsidRPr="00457DB2" w:rsidR="00C52D0D">
        <w:rPr>
          <w:rFonts w:ascii="Arial" w:eastAsia="DengXian" w:hAnsi="Arial" w:cs="Arial"/>
          <w:sz w:val="22"/>
          <w:szCs w:val="22"/>
          <w:lang w:eastAsia="ja-JP"/>
        </w:rPr>
        <w:t xml:space="preserve"> 52, which reflects an alternate approach to balancing flexibility and predictability</w:t>
      </w:r>
      <w:r w:rsidRPr="00457DB2" w:rsidR="0066387C">
        <w:rPr>
          <w:rFonts w:ascii="Arial" w:eastAsia="DengXian" w:hAnsi="Arial" w:cs="Arial"/>
          <w:sz w:val="22"/>
          <w:szCs w:val="22"/>
          <w:lang w:eastAsia="ja-JP"/>
        </w:rPr>
        <w:t>.</w:t>
      </w:r>
    </w:p>
    <w:p w:rsidR="006F686B" w:rsidRPr="00457DB2" w:rsidP="00A801A6" w14:paraId="78939186" w14:textId="77777777">
      <w:pPr>
        <w:spacing w:after="220"/>
        <w:rPr>
          <w:rFonts w:ascii="Arial" w:eastAsia="DengXian" w:hAnsi="Arial" w:cs="Arial"/>
          <w:sz w:val="22"/>
          <w:szCs w:val="22"/>
          <w:lang w:eastAsia="ja-JP"/>
        </w:rPr>
      </w:pPr>
      <w:r w:rsidRPr="00457DB2">
        <w:rPr>
          <w:rFonts w:ascii="Arial" w:eastAsia="DengXian" w:hAnsi="Arial" w:cs="Arial"/>
          <w:sz w:val="22"/>
          <w:szCs w:val="22"/>
          <w:lang w:eastAsia="ja-JP"/>
        </w:rPr>
        <w:t>The NRC also disagrees that the proposed rule is not tailored to the actual risk of a nuclear power facility. The final rule’s technology</w:t>
      </w:r>
      <w:r w:rsidRPr="00457DB2" w:rsidR="002A0A2D">
        <w:rPr>
          <w:rFonts w:ascii="Arial" w:eastAsia="DengXian" w:hAnsi="Arial" w:cs="Arial"/>
          <w:sz w:val="22"/>
          <w:szCs w:val="22"/>
          <w:lang w:eastAsia="ja-JP"/>
        </w:rPr>
        <w:t>-inclusive</w:t>
      </w:r>
      <w:r w:rsidRPr="00457DB2">
        <w:rPr>
          <w:rFonts w:ascii="Arial" w:eastAsia="DengXian" w:hAnsi="Arial" w:cs="Arial"/>
          <w:sz w:val="22"/>
          <w:szCs w:val="22"/>
          <w:lang w:eastAsia="ja-JP"/>
        </w:rPr>
        <w:t>, performance-based approach provides reasonable assurance of adequate protection of public health and safety</w:t>
      </w:r>
      <w:r w:rsidR="000373CF">
        <w:rPr>
          <w:rFonts w:ascii="Arial" w:eastAsia="DengXian" w:hAnsi="Arial" w:cs="Arial"/>
          <w:sz w:val="22"/>
          <w:szCs w:val="22"/>
          <w:lang w:eastAsia="ja-JP"/>
        </w:rPr>
        <w:t>. It</w:t>
      </w:r>
      <w:r w:rsidRPr="00457DB2">
        <w:rPr>
          <w:rFonts w:ascii="Arial" w:eastAsia="DengXian" w:hAnsi="Arial" w:cs="Arial"/>
          <w:sz w:val="22"/>
          <w:szCs w:val="22"/>
          <w:lang w:eastAsia="ja-JP"/>
        </w:rPr>
        <w:t xml:space="preserve"> was developed with input from all stakeholders and reflects long-standing Commission policy to ensure that new reactors present a similar or lower risk profile than the operating fleet.</w:t>
      </w:r>
    </w:p>
    <w:p w:rsidR="005A6CEE" w:rsidRPr="00457DB2" w:rsidP="00A801A6" w14:paraId="5042B718" w14:textId="77777777">
      <w:pPr>
        <w:spacing w:after="220"/>
        <w:rPr>
          <w:rFonts w:ascii="Arial" w:hAnsi="Arial" w:cs="Arial"/>
          <w:b/>
          <w:sz w:val="22"/>
          <w:szCs w:val="22"/>
        </w:rPr>
      </w:pPr>
      <w:r w:rsidRPr="00457DB2">
        <w:rPr>
          <w:rFonts w:ascii="Arial" w:eastAsia="DengXian" w:hAnsi="Arial" w:cs="Arial"/>
          <w:sz w:val="22"/>
          <w:szCs w:val="22"/>
          <w:lang w:eastAsia="ja-JP"/>
        </w:rPr>
        <w:t>Accordingly, the NRC did not change the rule language in response to these comments.</w:t>
      </w:r>
    </w:p>
    <w:p w:rsidR="009A4D32" w:rsidRPr="00457DB2" w:rsidP="00A801A6" w14:paraId="2A76EB03" w14:textId="77777777">
      <w:pPr>
        <w:spacing w:after="220"/>
        <w:rPr>
          <w:rFonts w:ascii="Arial" w:hAnsi="Arial" w:cs="Arial"/>
          <w:sz w:val="22"/>
          <w:szCs w:val="22"/>
        </w:rPr>
      </w:pPr>
      <w:r>
        <w:rPr>
          <w:rFonts w:ascii="Arial" w:eastAsia="Times New Roman" w:hAnsi="Arial" w:cs="Arial"/>
          <w:sz w:val="22"/>
          <w:szCs w:val="22"/>
          <w:lang w:eastAsia="zh-CN"/>
        </w:rPr>
        <w:pict>
          <v:rect id="_x0000_i1042" style="width:0;height:1.5pt" o:hralign="center" o:hrstd="t" o:hrnoshade="t" o:hr="t" fillcolor="black" stroked="f"/>
        </w:pict>
      </w:r>
    </w:p>
    <w:p w:rsidR="009A4D32" w:rsidRPr="00457DB2" w:rsidP="00A801A6" w14:paraId="2F229D05" w14:textId="77777777">
      <w:pPr>
        <w:spacing w:after="220"/>
        <w:rPr>
          <w:rFonts w:ascii="Arial" w:hAnsi="Arial" w:cs="Arial"/>
          <w:b/>
          <w:sz w:val="22"/>
          <w:szCs w:val="22"/>
        </w:rPr>
      </w:pPr>
      <w:r w:rsidRPr="00457DB2">
        <w:rPr>
          <w:rFonts w:ascii="Arial" w:hAnsi="Arial" w:cs="Arial"/>
          <w:b/>
          <w:sz w:val="22"/>
          <w:szCs w:val="22"/>
        </w:rPr>
        <w:t xml:space="preserve">Comment Bin 1.4.D: </w:t>
      </w:r>
      <w:r w:rsidRPr="00457DB2">
        <w:rPr>
          <w:rFonts w:ascii="Arial" w:eastAsia="Aptos" w:hAnsi="Arial" w:cs="Arial"/>
          <w:sz w:val="22"/>
          <w:szCs w:val="22"/>
        </w:rPr>
        <w:t>Commenting on the historical implementation of the</w:t>
      </w:r>
      <w:r w:rsidR="00E6124C">
        <w:rPr>
          <w:rFonts w:ascii="Arial" w:eastAsia="Aptos" w:hAnsi="Arial" w:cs="Arial"/>
          <w:sz w:val="22"/>
          <w:szCs w:val="22"/>
        </w:rPr>
        <w:t xml:space="preserve"> p</w:t>
      </w:r>
      <w:r w:rsidRPr="00457DB2">
        <w:rPr>
          <w:rFonts w:ascii="Arial" w:eastAsia="Aptos" w:hAnsi="Arial" w:cs="Arial"/>
          <w:sz w:val="22"/>
          <w:szCs w:val="22"/>
        </w:rPr>
        <w:t xml:space="preserve">olicy </w:t>
      </w:r>
      <w:r w:rsidR="00E6124C">
        <w:rPr>
          <w:rFonts w:ascii="Arial" w:eastAsia="Aptos" w:hAnsi="Arial" w:cs="Arial"/>
          <w:sz w:val="22"/>
          <w:szCs w:val="22"/>
        </w:rPr>
        <w:t>s</w:t>
      </w:r>
      <w:r w:rsidRPr="00457DB2">
        <w:rPr>
          <w:rFonts w:ascii="Arial" w:eastAsia="Aptos" w:hAnsi="Arial" w:cs="Arial"/>
          <w:sz w:val="22"/>
          <w:szCs w:val="22"/>
        </w:rPr>
        <w:t>tatement</w:t>
      </w:r>
      <w:r w:rsidR="0003490F">
        <w:rPr>
          <w:rFonts w:ascii="Arial" w:eastAsia="Aptos" w:hAnsi="Arial" w:cs="Arial"/>
          <w:sz w:val="22"/>
          <w:szCs w:val="22"/>
        </w:rPr>
        <w:t>,</w:t>
      </w:r>
      <w:r w:rsidRPr="00457DB2" w:rsidR="0003490F">
        <w:rPr>
          <w:rFonts w:ascii="Arial" w:eastAsia="Times New Roman" w:hAnsi="Arial" w:cs="Arial"/>
          <w:sz w:val="22"/>
          <w:szCs w:val="22"/>
          <w:lang w:eastAsia="zh-CN"/>
        </w:rPr>
        <w:t xml:space="preserve"> </w:t>
      </w:r>
      <w:r w:rsidRPr="00457DB2" w:rsidR="00E6124C">
        <w:rPr>
          <w:rFonts w:ascii="Arial" w:eastAsia="Times New Roman" w:hAnsi="Arial" w:cs="Arial"/>
          <w:sz w:val="22"/>
          <w:szCs w:val="22"/>
          <w:lang w:eastAsia="zh-CN"/>
        </w:rPr>
        <w:t>“Use of Probabilistic Risk Assessment Methods in Nuclear Regulatory Activities”</w:t>
      </w:r>
      <w:r w:rsidR="00E6124C">
        <w:rPr>
          <w:rFonts w:ascii="Arial" w:eastAsia="Times New Roman" w:hAnsi="Arial" w:cs="Arial"/>
          <w:sz w:val="22"/>
          <w:szCs w:val="22"/>
          <w:lang w:eastAsia="zh-CN"/>
        </w:rPr>
        <w:t xml:space="preserve"> (</w:t>
      </w:r>
      <w:r w:rsidRPr="00457DB2" w:rsidR="00E6124C">
        <w:rPr>
          <w:rFonts w:ascii="Arial" w:eastAsia="Aptos" w:hAnsi="Arial" w:cs="Arial"/>
          <w:sz w:val="22"/>
          <w:szCs w:val="22"/>
        </w:rPr>
        <w:t>PRA Policy Statement</w:t>
      </w:r>
      <w:r w:rsidR="00E6124C">
        <w:rPr>
          <w:rFonts w:ascii="Arial" w:eastAsia="Times New Roman" w:hAnsi="Arial" w:cs="Arial"/>
          <w:sz w:val="22"/>
          <w:szCs w:val="22"/>
          <w:lang w:eastAsia="zh-CN"/>
        </w:rPr>
        <w:t>)</w:t>
      </w:r>
      <w:r w:rsidR="0044443C">
        <w:rPr>
          <w:rFonts w:ascii="Arial" w:eastAsia="Times New Roman" w:hAnsi="Arial" w:cs="Arial"/>
          <w:sz w:val="22"/>
          <w:szCs w:val="22"/>
          <w:lang w:eastAsia="zh-CN"/>
        </w:rPr>
        <w:t>,</w:t>
      </w:r>
      <w:r w:rsidRPr="00457DB2" w:rsidR="00BB247F">
        <w:rPr>
          <w:rFonts w:ascii="Arial" w:eastAsia="Aptos" w:hAnsi="Arial" w:cs="Arial"/>
          <w:sz w:val="22"/>
          <w:szCs w:val="22"/>
        </w:rPr>
        <w:t xml:space="preserve"> </w:t>
      </w:r>
      <w:r w:rsidR="00BB247F">
        <w:rPr>
          <w:rFonts w:ascii="Arial" w:eastAsia="Times New Roman" w:hAnsi="Arial" w:cs="Arial"/>
          <w:sz w:val="22"/>
          <w:szCs w:val="22"/>
          <w:lang w:eastAsia="zh-CN"/>
        </w:rPr>
        <w:t>dated August 16, 1995 (60 FR 42622)</w:t>
      </w:r>
      <w:r w:rsidR="007D1473">
        <w:rPr>
          <w:rFonts w:ascii="Arial" w:eastAsia="Times New Roman" w:hAnsi="Arial" w:cs="Arial"/>
          <w:sz w:val="22"/>
          <w:szCs w:val="22"/>
          <w:lang w:eastAsia="zh-CN"/>
        </w:rPr>
        <w:t>,</w:t>
      </w:r>
      <w:r w:rsidRPr="00457DB2">
        <w:rPr>
          <w:rFonts w:ascii="Arial" w:eastAsia="Aptos" w:hAnsi="Arial" w:cs="Arial"/>
          <w:sz w:val="22"/>
          <w:szCs w:val="22"/>
        </w:rPr>
        <w:t xml:space="preserve"> a commenter </w:t>
      </w:r>
      <w:r w:rsidRPr="00457DB2" w:rsidR="00F41F44">
        <w:rPr>
          <w:rFonts w:ascii="Arial" w:eastAsia="Aptos" w:hAnsi="Arial" w:cs="Arial"/>
          <w:sz w:val="22"/>
          <w:szCs w:val="22"/>
        </w:rPr>
        <w:t>stated</w:t>
      </w:r>
      <w:r w:rsidRPr="00457DB2">
        <w:rPr>
          <w:rFonts w:ascii="Arial" w:eastAsia="Aptos" w:hAnsi="Arial" w:cs="Arial"/>
          <w:sz w:val="22"/>
          <w:szCs w:val="22"/>
        </w:rPr>
        <w:t xml:space="preserve"> that while the expanded use of PRA is longstanding NRC policy, the policy has not been updated since the ADVANCE Act was passed, which includes provisions for microreactors (</w:t>
      </w:r>
      <w:r w:rsidR="00DF6CD2">
        <w:rPr>
          <w:rFonts w:ascii="Arial" w:eastAsia="Aptos" w:hAnsi="Arial" w:cs="Arial"/>
          <w:sz w:val="22"/>
          <w:szCs w:val="22"/>
        </w:rPr>
        <w:t>NEI3</w:t>
      </w:r>
      <w:r w:rsidRPr="00457DB2">
        <w:rPr>
          <w:rFonts w:ascii="Arial" w:eastAsia="Aptos" w:hAnsi="Arial" w:cs="Arial"/>
          <w:sz w:val="22"/>
          <w:szCs w:val="22"/>
        </w:rPr>
        <w:t>-0005).</w:t>
      </w:r>
    </w:p>
    <w:p w:rsidR="001C2FD0" w:rsidRPr="00457DB2" w:rsidP="00A801A6" w14:paraId="5DEE94DE" w14:textId="77777777">
      <w:pPr>
        <w:spacing w:after="220"/>
        <w:rPr>
          <w:rFonts w:ascii="Arial" w:eastAsia="Times New Roman" w:hAnsi="Arial" w:cs="Arial"/>
          <w:sz w:val="22"/>
          <w:szCs w:val="22"/>
          <w:lang w:eastAsia="zh-CN"/>
        </w:rPr>
      </w:pPr>
      <w:r w:rsidRPr="00457DB2">
        <w:rPr>
          <w:rFonts w:ascii="Arial" w:eastAsia="Times New Roman" w:hAnsi="Arial" w:cs="Arial"/>
          <w:b/>
          <w:sz w:val="22"/>
          <w:szCs w:val="22"/>
          <w:lang w:eastAsia="zh-CN"/>
        </w:rPr>
        <w:t>NRC Response:</w:t>
      </w:r>
      <w:r w:rsidRPr="00457DB2" w:rsidR="002E09AE">
        <w:rPr>
          <w:rFonts w:ascii="Arial" w:eastAsia="Times New Roman" w:hAnsi="Arial" w:cs="Arial"/>
          <w:b/>
          <w:sz w:val="22"/>
          <w:szCs w:val="22"/>
          <w:lang w:eastAsia="zh-CN"/>
        </w:rPr>
        <w:t xml:space="preserve"> </w:t>
      </w:r>
      <w:r w:rsidRPr="00457DB2" w:rsidR="005E66C9">
        <w:rPr>
          <w:rFonts w:ascii="Arial" w:eastAsia="Times New Roman" w:hAnsi="Arial" w:cs="Arial"/>
          <w:sz w:val="22"/>
          <w:szCs w:val="22"/>
          <w:lang w:eastAsia="zh-CN"/>
        </w:rPr>
        <w:t xml:space="preserve">The NRC acknowledges the statement that the NRC has not updated its </w:t>
      </w:r>
      <w:r w:rsidR="001044B9">
        <w:rPr>
          <w:rFonts w:ascii="Arial" w:eastAsia="Times New Roman" w:hAnsi="Arial" w:cs="Arial"/>
          <w:sz w:val="22"/>
          <w:szCs w:val="22"/>
          <w:lang w:eastAsia="zh-CN"/>
        </w:rPr>
        <w:t>PRA P</w:t>
      </w:r>
      <w:r w:rsidRPr="00457DB2" w:rsidR="0000249A">
        <w:rPr>
          <w:rFonts w:ascii="Arial" w:eastAsia="Times New Roman" w:hAnsi="Arial" w:cs="Arial"/>
          <w:sz w:val="22"/>
          <w:szCs w:val="22"/>
          <w:lang w:eastAsia="zh-CN"/>
        </w:rPr>
        <w:t xml:space="preserve">olicy </w:t>
      </w:r>
      <w:r w:rsidR="001044B9">
        <w:rPr>
          <w:rFonts w:ascii="Arial" w:eastAsia="Times New Roman" w:hAnsi="Arial" w:cs="Arial"/>
          <w:sz w:val="22"/>
          <w:szCs w:val="22"/>
          <w:lang w:eastAsia="zh-CN"/>
        </w:rPr>
        <w:t>S</w:t>
      </w:r>
      <w:r w:rsidRPr="00457DB2" w:rsidR="0000249A">
        <w:rPr>
          <w:rFonts w:ascii="Arial" w:eastAsia="Times New Roman" w:hAnsi="Arial" w:cs="Arial"/>
          <w:sz w:val="22"/>
          <w:szCs w:val="22"/>
          <w:lang w:eastAsia="zh-CN"/>
        </w:rPr>
        <w:t xml:space="preserve">tatement </w:t>
      </w:r>
      <w:r w:rsidRPr="00457DB2" w:rsidR="00743AA7">
        <w:rPr>
          <w:rFonts w:ascii="Arial" w:eastAsia="Times New Roman" w:hAnsi="Arial" w:cs="Arial"/>
          <w:sz w:val="22"/>
          <w:szCs w:val="22"/>
          <w:lang w:eastAsia="zh-CN"/>
        </w:rPr>
        <w:t>since the ADVANCE Act was passed.</w:t>
      </w:r>
      <w:r w:rsidRPr="00457DB2" w:rsidR="007D55A0">
        <w:rPr>
          <w:rFonts w:ascii="Arial" w:eastAsia="Times New Roman" w:hAnsi="Arial" w:cs="Arial"/>
          <w:sz w:val="22"/>
          <w:szCs w:val="22"/>
          <w:lang w:eastAsia="zh-CN"/>
        </w:rPr>
        <w:t xml:space="preserve"> </w:t>
      </w:r>
      <w:r w:rsidRPr="00457DB2" w:rsidR="007606E8">
        <w:rPr>
          <w:rFonts w:ascii="Arial" w:eastAsia="Times New Roman" w:hAnsi="Arial" w:cs="Arial"/>
          <w:sz w:val="22"/>
          <w:szCs w:val="22"/>
          <w:lang w:eastAsia="zh-CN"/>
        </w:rPr>
        <w:t xml:space="preserve">However, the </w:t>
      </w:r>
      <w:r w:rsidRPr="00457DB2" w:rsidR="00F016DD">
        <w:rPr>
          <w:rFonts w:ascii="Arial" w:eastAsia="Times New Roman" w:hAnsi="Arial" w:cs="Arial"/>
          <w:sz w:val="22"/>
          <w:szCs w:val="22"/>
          <w:lang w:eastAsia="zh-CN"/>
        </w:rPr>
        <w:t>current</w:t>
      </w:r>
      <w:r w:rsidRPr="00457DB2" w:rsidR="007606E8">
        <w:rPr>
          <w:rFonts w:ascii="Arial" w:eastAsia="Times New Roman" w:hAnsi="Arial" w:cs="Arial"/>
          <w:sz w:val="22"/>
          <w:szCs w:val="22"/>
          <w:lang w:eastAsia="zh-CN"/>
        </w:rPr>
        <w:t xml:space="preserve"> PRA Policy Statement </w:t>
      </w:r>
      <w:r w:rsidRPr="00457DB2" w:rsidR="006012E2">
        <w:rPr>
          <w:rFonts w:ascii="Arial" w:eastAsia="Times New Roman" w:hAnsi="Arial" w:cs="Arial"/>
          <w:sz w:val="22"/>
          <w:szCs w:val="22"/>
          <w:lang w:eastAsia="zh-CN"/>
        </w:rPr>
        <w:t xml:space="preserve">recognizes the </w:t>
      </w:r>
      <w:r w:rsidRPr="00457DB2" w:rsidR="00847413">
        <w:rPr>
          <w:rFonts w:ascii="Arial" w:eastAsia="Times New Roman" w:hAnsi="Arial" w:cs="Arial"/>
          <w:sz w:val="22"/>
          <w:szCs w:val="22"/>
          <w:lang w:eastAsia="zh-CN"/>
        </w:rPr>
        <w:t xml:space="preserve">need to select PRA methods that are </w:t>
      </w:r>
      <w:r w:rsidRPr="00457DB2" w:rsidR="00E6374A">
        <w:rPr>
          <w:rFonts w:ascii="Arial" w:eastAsia="Times New Roman" w:hAnsi="Arial" w:cs="Arial"/>
          <w:sz w:val="22"/>
          <w:szCs w:val="22"/>
          <w:lang w:eastAsia="zh-CN"/>
        </w:rPr>
        <w:t>appropriate to</w:t>
      </w:r>
      <w:r w:rsidRPr="00457DB2" w:rsidR="007606E8">
        <w:rPr>
          <w:rFonts w:ascii="Arial" w:eastAsia="Times New Roman" w:hAnsi="Arial" w:cs="Arial"/>
          <w:sz w:val="22"/>
          <w:szCs w:val="22"/>
          <w:lang w:eastAsia="zh-CN"/>
        </w:rPr>
        <w:t xml:space="preserve"> </w:t>
      </w:r>
      <w:r w:rsidRPr="00457DB2" w:rsidR="0059577A">
        <w:rPr>
          <w:rFonts w:ascii="Arial" w:eastAsia="Times New Roman" w:hAnsi="Arial" w:cs="Arial"/>
          <w:sz w:val="22"/>
          <w:szCs w:val="22"/>
          <w:lang w:eastAsia="zh-CN"/>
        </w:rPr>
        <w:t xml:space="preserve">the technology </w:t>
      </w:r>
      <w:r w:rsidRPr="00457DB2" w:rsidR="00D96099">
        <w:rPr>
          <w:rFonts w:ascii="Arial" w:eastAsia="Times New Roman" w:hAnsi="Arial" w:cs="Arial"/>
          <w:sz w:val="22"/>
          <w:szCs w:val="22"/>
          <w:lang w:eastAsia="zh-CN"/>
        </w:rPr>
        <w:t>being assessed</w:t>
      </w:r>
      <w:r w:rsidRPr="00457DB2" w:rsidR="004E2152">
        <w:rPr>
          <w:rFonts w:ascii="Arial" w:eastAsia="Times New Roman" w:hAnsi="Arial" w:cs="Arial"/>
          <w:sz w:val="22"/>
          <w:szCs w:val="22"/>
          <w:lang w:eastAsia="zh-CN"/>
        </w:rPr>
        <w:t xml:space="preserve"> and</w:t>
      </w:r>
      <w:r w:rsidRPr="00457DB2" w:rsidR="00BD149F">
        <w:rPr>
          <w:rFonts w:ascii="Arial" w:eastAsia="Times New Roman" w:hAnsi="Arial" w:cs="Arial"/>
          <w:sz w:val="22"/>
          <w:szCs w:val="22"/>
          <w:lang w:eastAsia="zh-CN"/>
        </w:rPr>
        <w:t xml:space="preserve"> to develop new and improved </w:t>
      </w:r>
      <w:r w:rsidRPr="00457DB2" w:rsidR="00C04D9B">
        <w:rPr>
          <w:rFonts w:ascii="Arial" w:eastAsia="Times New Roman" w:hAnsi="Arial" w:cs="Arial"/>
          <w:sz w:val="22"/>
          <w:szCs w:val="22"/>
          <w:lang w:eastAsia="zh-CN"/>
        </w:rPr>
        <w:t>PRA methods</w:t>
      </w:r>
      <w:r w:rsidRPr="00457DB2" w:rsidR="004E2152">
        <w:rPr>
          <w:rFonts w:ascii="Arial" w:eastAsia="Times New Roman" w:hAnsi="Arial" w:cs="Arial"/>
          <w:sz w:val="22"/>
          <w:szCs w:val="22"/>
          <w:lang w:eastAsia="zh-CN"/>
        </w:rPr>
        <w:t xml:space="preserve">, </w:t>
      </w:r>
      <w:r w:rsidRPr="00457DB2" w:rsidR="00B6670E">
        <w:rPr>
          <w:rFonts w:ascii="Arial" w:eastAsia="Times New Roman" w:hAnsi="Arial" w:cs="Arial"/>
          <w:sz w:val="22"/>
          <w:szCs w:val="22"/>
          <w:lang w:eastAsia="zh-CN"/>
        </w:rPr>
        <w:t>i</w:t>
      </w:r>
      <w:r w:rsidRPr="00457DB2" w:rsidR="004E2152">
        <w:rPr>
          <w:rFonts w:ascii="Arial" w:eastAsia="Times New Roman" w:hAnsi="Arial" w:cs="Arial"/>
          <w:sz w:val="22"/>
          <w:szCs w:val="22"/>
          <w:lang w:eastAsia="zh-CN"/>
        </w:rPr>
        <w:t>ncluding industry initiat</w:t>
      </w:r>
      <w:r w:rsidRPr="00457DB2" w:rsidR="00A43BFB">
        <w:rPr>
          <w:rFonts w:ascii="Arial" w:eastAsia="Times New Roman" w:hAnsi="Arial" w:cs="Arial"/>
          <w:sz w:val="22"/>
          <w:szCs w:val="22"/>
          <w:lang w:eastAsia="zh-CN"/>
        </w:rPr>
        <w:t>ives.</w:t>
      </w:r>
      <w:r w:rsidRPr="00457DB2" w:rsidR="00C04D9B">
        <w:rPr>
          <w:rFonts w:ascii="Arial" w:eastAsia="Times New Roman" w:hAnsi="Arial" w:cs="Arial"/>
          <w:sz w:val="22"/>
          <w:szCs w:val="22"/>
          <w:lang w:eastAsia="zh-CN"/>
        </w:rPr>
        <w:t xml:space="preserve"> </w:t>
      </w:r>
      <w:r w:rsidRPr="00457DB2" w:rsidR="00F41F44">
        <w:rPr>
          <w:rFonts w:ascii="Arial" w:eastAsia="Times New Roman" w:hAnsi="Arial" w:cs="Arial"/>
          <w:sz w:val="22"/>
          <w:szCs w:val="22"/>
          <w:lang w:eastAsia="zh-CN"/>
        </w:rPr>
        <w:t>10 CFR </w:t>
      </w:r>
      <w:r w:rsidRPr="00457DB2" w:rsidR="00D608C3">
        <w:rPr>
          <w:rFonts w:ascii="Arial" w:eastAsia="Times New Roman" w:hAnsi="Arial" w:cs="Arial"/>
          <w:sz w:val="22"/>
          <w:szCs w:val="22"/>
          <w:lang w:eastAsia="zh-CN"/>
        </w:rPr>
        <w:t xml:space="preserve">Part 53 provides flexibility </w:t>
      </w:r>
      <w:r w:rsidRPr="00457DB2" w:rsidR="0021088F">
        <w:rPr>
          <w:rFonts w:ascii="Arial" w:eastAsia="Times New Roman" w:hAnsi="Arial" w:cs="Arial"/>
          <w:sz w:val="22"/>
          <w:szCs w:val="22"/>
          <w:lang w:eastAsia="zh-CN"/>
        </w:rPr>
        <w:t xml:space="preserve">by allowing the use of </w:t>
      </w:r>
      <w:r w:rsidRPr="00457DB2" w:rsidR="00A005FF">
        <w:rPr>
          <w:rFonts w:ascii="Arial" w:eastAsia="Times New Roman" w:hAnsi="Arial" w:cs="Arial"/>
          <w:sz w:val="22"/>
          <w:szCs w:val="22"/>
          <w:lang w:eastAsia="zh-CN"/>
        </w:rPr>
        <w:t xml:space="preserve">other systematic risk evaluation methods in </w:t>
      </w:r>
      <w:r w:rsidRPr="00457DB2" w:rsidR="00F203AB">
        <w:rPr>
          <w:rFonts w:ascii="Arial" w:eastAsia="Times New Roman" w:hAnsi="Arial" w:cs="Arial"/>
          <w:sz w:val="22"/>
          <w:szCs w:val="22"/>
          <w:lang w:eastAsia="zh-CN"/>
        </w:rPr>
        <w:t>combination with</w:t>
      </w:r>
      <w:r w:rsidRPr="00457DB2" w:rsidR="00A005FF">
        <w:rPr>
          <w:rFonts w:ascii="Arial" w:eastAsia="Times New Roman" w:hAnsi="Arial" w:cs="Arial"/>
          <w:sz w:val="22"/>
          <w:szCs w:val="22"/>
          <w:lang w:eastAsia="zh-CN"/>
        </w:rPr>
        <w:t xml:space="preserve"> </w:t>
      </w:r>
      <w:r w:rsidRPr="00457DB2" w:rsidR="00A736B4">
        <w:rPr>
          <w:rFonts w:ascii="Arial" w:eastAsia="Times New Roman" w:hAnsi="Arial" w:cs="Arial"/>
          <w:sz w:val="22"/>
          <w:szCs w:val="22"/>
          <w:lang w:eastAsia="zh-CN"/>
        </w:rPr>
        <w:t xml:space="preserve">traditional PRA </w:t>
      </w:r>
      <w:r w:rsidRPr="00457DB2" w:rsidR="00962132">
        <w:rPr>
          <w:rFonts w:ascii="Arial" w:eastAsia="Times New Roman" w:hAnsi="Arial" w:cs="Arial"/>
          <w:sz w:val="22"/>
          <w:szCs w:val="22"/>
          <w:lang w:eastAsia="zh-CN"/>
        </w:rPr>
        <w:t>me</w:t>
      </w:r>
      <w:r w:rsidRPr="00457DB2" w:rsidR="00A736B4">
        <w:rPr>
          <w:rFonts w:ascii="Arial" w:eastAsia="Times New Roman" w:hAnsi="Arial" w:cs="Arial"/>
          <w:sz w:val="22"/>
          <w:szCs w:val="22"/>
          <w:lang w:eastAsia="zh-CN"/>
        </w:rPr>
        <w:t>th</w:t>
      </w:r>
      <w:r w:rsidRPr="00457DB2" w:rsidR="00B6670E">
        <w:rPr>
          <w:rFonts w:ascii="Arial" w:eastAsia="Times New Roman" w:hAnsi="Arial" w:cs="Arial"/>
          <w:sz w:val="22"/>
          <w:szCs w:val="22"/>
          <w:lang w:eastAsia="zh-CN"/>
        </w:rPr>
        <w:t>ods</w:t>
      </w:r>
      <w:r w:rsidRPr="00457DB2" w:rsidR="00A736B4">
        <w:rPr>
          <w:rFonts w:ascii="Arial" w:eastAsia="Times New Roman" w:hAnsi="Arial" w:cs="Arial"/>
          <w:sz w:val="22"/>
          <w:szCs w:val="22"/>
          <w:lang w:eastAsia="zh-CN"/>
        </w:rPr>
        <w:t xml:space="preserve"> based on</w:t>
      </w:r>
      <w:r w:rsidRPr="00457DB2" w:rsidR="003C0DA8">
        <w:rPr>
          <w:rFonts w:ascii="Arial" w:eastAsia="Times New Roman" w:hAnsi="Arial" w:cs="Arial"/>
          <w:sz w:val="22"/>
          <w:szCs w:val="22"/>
          <w:lang w:eastAsia="zh-CN"/>
        </w:rPr>
        <w:t xml:space="preserve"> event tree and fault tree logic models.</w:t>
      </w:r>
    </w:p>
    <w:p w:rsidR="00770425" w:rsidRPr="00457DB2" w:rsidP="00A801A6" w14:paraId="24D1F080" w14:textId="77777777">
      <w:pPr>
        <w:spacing w:after="220"/>
        <w:rPr>
          <w:rFonts w:ascii="Arial" w:eastAsia="Times New Roman" w:hAnsi="Arial" w:cs="Arial"/>
          <w:sz w:val="22"/>
          <w:szCs w:val="22"/>
          <w:lang w:eastAsia="zh-CN"/>
        </w:rPr>
      </w:pPr>
      <w:r w:rsidRPr="00457DB2">
        <w:rPr>
          <w:rFonts w:ascii="Arial" w:eastAsia="Times New Roman" w:hAnsi="Arial" w:cs="Arial"/>
          <w:sz w:val="22"/>
          <w:szCs w:val="22"/>
          <w:lang w:eastAsia="zh-CN"/>
        </w:rPr>
        <w:t>The NRC is working to meet the ADVANCE Act’s various deadlines for completing appropriate revisions to agency regulations or guidance.</w:t>
      </w:r>
      <w:r w:rsidRPr="00457DB2" w:rsidR="002B62D2">
        <w:rPr>
          <w:rFonts w:ascii="Arial" w:eastAsia="Times New Roman" w:hAnsi="Arial" w:cs="Arial"/>
          <w:sz w:val="22"/>
          <w:szCs w:val="22"/>
          <w:lang w:eastAsia="zh-CN"/>
        </w:rPr>
        <w:t xml:space="preserve"> </w:t>
      </w:r>
      <w:r w:rsidRPr="00457DB2" w:rsidR="00922DAC">
        <w:rPr>
          <w:rFonts w:ascii="Arial" w:eastAsia="Times New Roman" w:hAnsi="Arial" w:cs="Arial"/>
          <w:sz w:val="22"/>
          <w:szCs w:val="22"/>
          <w:lang w:eastAsia="zh-CN"/>
        </w:rPr>
        <w:t xml:space="preserve">With respect to </w:t>
      </w:r>
      <w:r w:rsidRPr="00457DB2" w:rsidR="00545281">
        <w:rPr>
          <w:rFonts w:ascii="Arial" w:eastAsia="Times New Roman" w:hAnsi="Arial" w:cs="Arial"/>
          <w:sz w:val="22"/>
          <w:szCs w:val="22"/>
          <w:lang w:eastAsia="zh-CN"/>
        </w:rPr>
        <w:t xml:space="preserve">ADVANCE Act provisions related to </w:t>
      </w:r>
      <w:r w:rsidRPr="00457DB2" w:rsidR="00922DAC">
        <w:rPr>
          <w:rFonts w:ascii="Arial" w:eastAsia="Times New Roman" w:hAnsi="Arial" w:cs="Arial"/>
          <w:sz w:val="22"/>
          <w:szCs w:val="22"/>
          <w:lang w:eastAsia="zh-CN"/>
        </w:rPr>
        <w:t>microreactor</w:t>
      </w:r>
      <w:r w:rsidRPr="00457DB2" w:rsidR="00545281">
        <w:rPr>
          <w:rFonts w:ascii="Arial" w:eastAsia="Times New Roman" w:hAnsi="Arial" w:cs="Arial"/>
          <w:sz w:val="22"/>
          <w:szCs w:val="22"/>
          <w:lang w:eastAsia="zh-CN"/>
        </w:rPr>
        <w:t>s,</w:t>
      </w:r>
      <w:r w:rsidRPr="00457DB2" w:rsidR="00C81344">
        <w:rPr>
          <w:rFonts w:ascii="Arial" w:eastAsia="Times New Roman" w:hAnsi="Arial" w:cs="Arial"/>
          <w:sz w:val="22"/>
          <w:szCs w:val="22"/>
          <w:lang w:eastAsia="zh-CN"/>
        </w:rPr>
        <w:t xml:space="preserve"> </w:t>
      </w:r>
      <w:r w:rsidRPr="00457DB2" w:rsidR="00545281">
        <w:rPr>
          <w:rFonts w:ascii="Arial" w:eastAsia="Times New Roman" w:hAnsi="Arial" w:cs="Arial"/>
          <w:sz w:val="22"/>
          <w:szCs w:val="22"/>
          <w:lang w:eastAsia="zh-CN"/>
        </w:rPr>
        <w:t>t</w:t>
      </w:r>
      <w:r w:rsidRPr="00457DB2" w:rsidR="00E80D27">
        <w:rPr>
          <w:rFonts w:ascii="Arial" w:eastAsia="Times New Roman" w:hAnsi="Arial" w:cs="Arial"/>
          <w:sz w:val="22"/>
          <w:szCs w:val="22"/>
          <w:lang w:eastAsia="zh-CN"/>
        </w:rPr>
        <w:t xml:space="preserve">he NRC has engaged its external stakeholders on several occasions on </w:t>
      </w:r>
      <w:r w:rsidRPr="00457DB2" w:rsidR="00545281">
        <w:rPr>
          <w:rFonts w:ascii="Arial" w:eastAsia="Times New Roman" w:hAnsi="Arial" w:cs="Arial"/>
          <w:sz w:val="22"/>
          <w:szCs w:val="22"/>
          <w:lang w:eastAsia="zh-CN"/>
        </w:rPr>
        <w:t xml:space="preserve">ADVANCE Act </w:t>
      </w:r>
      <w:r w:rsidR="009E1316">
        <w:rPr>
          <w:rFonts w:ascii="Arial" w:eastAsia="Times New Roman" w:hAnsi="Arial" w:cs="Arial"/>
          <w:sz w:val="22"/>
          <w:szCs w:val="22"/>
          <w:lang w:eastAsia="zh-CN"/>
        </w:rPr>
        <w:t>s</w:t>
      </w:r>
      <w:r w:rsidRPr="00457DB2" w:rsidR="00E80D27">
        <w:rPr>
          <w:rFonts w:ascii="Arial" w:eastAsia="Times New Roman" w:hAnsi="Arial" w:cs="Arial"/>
          <w:sz w:val="22"/>
          <w:szCs w:val="22"/>
          <w:lang w:eastAsia="zh-CN"/>
        </w:rPr>
        <w:t>ection 208 activities.</w:t>
      </w:r>
      <w:r w:rsidRPr="00457DB2" w:rsidR="001C2FD0">
        <w:rPr>
          <w:rFonts w:ascii="Arial" w:eastAsia="Times New Roman" w:hAnsi="Arial" w:cs="Arial"/>
          <w:sz w:val="22"/>
          <w:szCs w:val="22"/>
          <w:lang w:eastAsia="zh-CN"/>
        </w:rPr>
        <w:t xml:space="preserve"> </w:t>
      </w:r>
      <w:r w:rsidRPr="00457DB2" w:rsidR="00BC7554">
        <w:rPr>
          <w:rFonts w:ascii="Arial" w:eastAsia="Times New Roman" w:hAnsi="Arial" w:cs="Arial"/>
          <w:sz w:val="22"/>
          <w:szCs w:val="22"/>
          <w:lang w:eastAsia="zh-CN"/>
        </w:rPr>
        <w:t>In addition, the NRC has initiated development of an additional rulemaking to expedite licensing of microreactors and other low safety-consequence reactors, consistent with the ADVANCE Act and EOs issued in 2025.</w:t>
      </w:r>
    </w:p>
    <w:p w:rsidR="00146078" w:rsidRPr="00457DB2" w:rsidP="00A801A6" w14:paraId="25042EE6" w14:textId="77777777">
      <w:pPr>
        <w:spacing w:after="220"/>
        <w:rPr>
          <w:rFonts w:ascii="Arial" w:eastAsia="Times New Roman" w:hAnsi="Arial" w:cs="Arial"/>
          <w:sz w:val="22"/>
          <w:szCs w:val="22"/>
          <w:lang w:eastAsia="zh-CN"/>
        </w:rPr>
      </w:pPr>
      <w:r w:rsidRPr="00457DB2">
        <w:rPr>
          <w:rFonts w:ascii="Arial" w:eastAsia="Times New Roman" w:hAnsi="Arial" w:cs="Arial"/>
          <w:sz w:val="22"/>
          <w:szCs w:val="22"/>
          <w:lang w:eastAsia="zh-CN"/>
        </w:rPr>
        <w:t>Accordingly, t</w:t>
      </w:r>
      <w:r w:rsidRPr="00457DB2" w:rsidR="00BC7554">
        <w:rPr>
          <w:rFonts w:ascii="Arial" w:eastAsia="Times New Roman" w:hAnsi="Arial" w:cs="Arial"/>
          <w:sz w:val="22"/>
          <w:szCs w:val="22"/>
          <w:lang w:eastAsia="zh-CN"/>
        </w:rPr>
        <w:t>he NRC did not change the rule language in response to th</w:t>
      </w:r>
      <w:r w:rsidRPr="00457DB2" w:rsidR="005C1F77">
        <w:rPr>
          <w:rFonts w:ascii="Arial" w:eastAsia="Times New Roman" w:hAnsi="Arial" w:cs="Arial"/>
          <w:sz w:val="22"/>
          <w:szCs w:val="22"/>
          <w:lang w:eastAsia="zh-CN"/>
        </w:rPr>
        <w:t>is</w:t>
      </w:r>
      <w:r w:rsidRPr="00457DB2" w:rsidR="00BC7554">
        <w:rPr>
          <w:rFonts w:ascii="Arial" w:eastAsia="Times New Roman" w:hAnsi="Arial" w:cs="Arial"/>
          <w:sz w:val="22"/>
          <w:szCs w:val="22"/>
          <w:lang w:eastAsia="zh-CN"/>
        </w:rPr>
        <w:t xml:space="preserve"> comment.</w:t>
      </w:r>
    </w:p>
    <w:p w:rsidR="009017D8" w:rsidRPr="00457DB2" w:rsidP="00A801A6" w14:paraId="2C880393"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043" style="width:0;height:1.5pt" o:hralign="center" o:hrstd="t" o:hrnoshade="t" o:hr="t" fillcolor="black" stroked="f"/>
        </w:pict>
      </w:r>
    </w:p>
    <w:p w:rsidR="00155BA8" w:rsidRPr="00457DB2" w:rsidP="00A801A6" w14:paraId="78FDE5F5" w14:textId="77777777">
      <w:pPr>
        <w:spacing w:after="220"/>
        <w:rPr>
          <w:rFonts w:ascii="Arial" w:eastAsia="Times New Roman" w:hAnsi="Arial" w:cs="Arial"/>
          <w:color w:val="000000"/>
          <w:sz w:val="22"/>
          <w:szCs w:val="22"/>
          <w:lang w:eastAsia="zh-CN"/>
        </w:rPr>
      </w:pPr>
      <w:r w:rsidRPr="00457DB2">
        <w:rPr>
          <w:rFonts w:ascii="Arial" w:eastAsia="Times New Roman" w:hAnsi="Arial" w:cs="Arial"/>
          <w:b/>
          <w:color w:val="000000"/>
          <w:sz w:val="22"/>
          <w:szCs w:val="22"/>
          <w:lang w:eastAsia="zh-CN"/>
        </w:rPr>
        <w:t xml:space="preserve">Comment Bin 1.4.E: </w:t>
      </w:r>
      <w:r w:rsidRPr="00457DB2">
        <w:rPr>
          <w:rFonts w:ascii="Arial" w:eastAsia="DengXian" w:hAnsi="Arial" w:cs="Arial"/>
          <w:sz w:val="22"/>
          <w:szCs w:val="22"/>
          <w:lang w:eastAsia="ja-JP"/>
        </w:rPr>
        <w:t xml:space="preserve">Several commenters said that </w:t>
      </w:r>
      <w:r w:rsidR="00434CD5">
        <w:rPr>
          <w:rFonts w:ascii="Arial" w:eastAsia="DengXian" w:hAnsi="Arial" w:cs="Arial"/>
          <w:sz w:val="22"/>
          <w:szCs w:val="22"/>
          <w:lang w:eastAsia="ja-JP"/>
        </w:rPr>
        <w:t xml:space="preserve">the </w:t>
      </w:r>
      <w:r w:rsidRPr="00457DB2">
        <w:rPr>
          <w:rFonts w:ascii="Arial" w:eastAsia="DengXian" w:hAnsi="Arial" w:cs="Arial"/>
          <w:sz w:val="22"/>
          <w:szCs w:val="22"/>
          <w:lang w:eastAsia="ja-JP"/>
        </w:rPr>
        <w:t>10 CFR Part 53 rulemaking can help meet clean energy demands and support a robust and reliable electric grid (</w:t>
      </w:r>
      <w:r w:rsidR="00C3447B">
        <w:rPr>
          <w:rFonts w:ascii="Arial" w:eastAsia="Times New Roman" w:hAnsi="Arial" w:cs="Arial"/>
          <w:color w:val="000000"/>
          <w:sz w:val="22"/>
          <w:szCs w:val="22"/>
          <w:lang w:eastAsia="zh-CN"/>
        </w:rPr>
        <w:t>NNY</w:t>
      </w:r>
      <w:r w:rsidRPr="00457DB2">
        <w:rPr>
          <w:rFonts w:ascii="Arial" w:eastAsia="Times New Roman" w:hAnsi="Arial" w:cs="Arial"/>
          <w:color w:val="000000"/>
          <w:sz w:val="22"/>
          <w:szCs w:val="22"/>
          <w:lang w:eastAsia="zh-CN"/>
        </w:rPr>
        <w:t xml:space="preserve">-0009; </w:t>
      </w:r>
      <w:r w:rsidR="00C32155">
        <w:rPr>
          <w:rFonts w:ascii="Arial" w:eastAsia="Times New Roman" w:hAnsi="Arial" w:cs="Arial"/>
          <w:color w:val="000000"/>
          <w:sz w:val="22"/>
          <w:szCs w:val="22"/>
          <w:lang w:eastAsia="zh-CN"/>
        </w:rPr>
        <w:t>SOU</w:t>
      </w:r>
      <w:r w:rsidRPr="00457DB2">
        <w:rPr>
          <w:rFonts w:ascii="Arial" w:eastAsia="Times New Roman" w:hAnsi="Arial" w:cs="Arial"/>
          <w:color w:val="000000"/>
          <w:sz w:val="22"/>
          <w:szCs w:val="22"/>
          <w:lang w:eastAsia="zh-CN"/>
        </w:rPr>
        <w:t>-0004</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9D6BB9">
        <w:rPr>
          <w:rFonts w:ascii="Arial" w:eastAsia="Times New Roman" w:hAnsi="Arial" w:cs="Arial"/>
          <w:color w:val="000000"/>
          <w:sz w:val="22"/>
          <w:szCs w:val="22"/>
          <w:lang w:eastAsia="zh-CN"/>
        </w:rPr>
        <w:t>NEI2</w:t>
      </w:r>
      <w:r w:rsidRPr="00457DB2">
        <w:rPr>
          <w:rFonts w:ascii="Arial" w:eastAsia="Times New Roman" w:hAnsi="Arial" w:cs="Arial"/>
          <w:color w:val="000000"/>
          <w:sz w:val="22"/>
          <w:szCs w:val="22"/>
          <w:lang w:eastAsia="zh-CN"/>
        </w:rPr>
        <w:t>-0007</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2C08EF">
        <w:rPr>
          <w:rFonts w:ascii="Arial" w:eastAsia="Times New Roman" w:hAnsi="Arial" w:cs="Arial"/>
          <w:color w:val="000000"/>
          <w:sz w:val="22"/>
          <w:szCs w:val="22"/>
          <w:lang w:eastAsia="zh-CN"/>
        </w:rPr>
        <w:t>ENT</w:t>
      </w:r>
      <w:r w:rsidRPr="00457DB2">
        <w:rPr>
          <w:rFonts w:ascii="Arial" w:eastAsia="Times New Roman" w:hAnsi="Arial" w:cs="Arial"/>
          <w:color w:val="000000"/>
          <w:sz w:val="22"/>
          <w:szCs w:val="22"/>
          <w:lang w:eastAsia="zh-CN"/>
        </w:rPr>
        <w:t>-0005</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004427C3">
        <w:rPr>
          <w:rFonts w:ascii="Arial" w:eastAsia="Times New Roman" w:hAnsi="Arial" w:cs="Arial"/>
          <w:color w:val="000000"/>
          <w:sz w:val="22"/>
          <w:szCs w:val="22"/>
          <w:lang w:eastAsia="zh-CN"/>
        </w:rPr>
        <w:t>DOM</w:t>
      </w:r>
      <w:r w:rsidRPr="00457DB2">
        <w:rPr>
          <w:rFonts w:ascii="Arial" w:eastAsia="Times New Roman" w:hAnsi="Arial" w:cs="Arial"/>
          <w:color w:val="000000"/>
          <w:sz w:val="22"/>
          <w:szCs w:val="22"/>
          <w:lang w:eastAsia="zh-CN"/>
        </w:rPr>
        <w:t>-0003</w:t>
      </w:r>
      <w:r w:rsidR="00E005BC">
        <w:rPr>
          <w:rFonts w:ascii="Arial" w:eastAsia="Times New Roman" w:hAnsi="Arial" w:cs="Arial"/>
          <w:color w:val="000000"/>
          <w:sz w:val="22"/>
          <w:szCs w:val="22"/>
          <w:lang w:eastAsia="zh-CN"/>
        </w:rPr>
        <w:t>,</w:t>
      </w:r>
      <w:r w:rsidRPr="00457DB2">
        <w:rPr>
          <w:rFonts w:ascii="Arial" w:eastAsia="Times New Roman" w:hAnsi="Arial" w:cs="Arial"/>
          <w:color w:val="000000"/>
          <w:sz w:val="22"/>
          <w:szCs w:val="22"/>
          <w:lang w:eastAsia="zh-CN"/>
        </w:rPr>
        <w:t xml:space="preserve"> </w:t>
      </w:r>
      <w:r w:rsidRPr="0052399B" w:rsidR="0052399B">
        <w:rPr>
          <w:rFonts w:ascii="Arial" w:eastAsia="Times New Roman" w:hAnsi="Arial" w:cs="Arial"/>
          <w:color w:val="000000"/>
          <w:sz w:val="22"/>
          <w:szCs w:val="22"/>
        </w:rPr>
        <w:t>APS</w:t>
      </w:r>
      <w:r w:rsidRPr="0052399B">
        <w:rPr>
          <w:rFonts w:ascii="Arial" w:eastAsia="Times New Roman" w:hAnsi="Arial" w:cs="Arial"/>
          <w:color w:val="000000"/>
          <w:sz w:val="22"/>
          <w:szCs w:val="22"/>
          <w:lang w:eastAsia="zh-CN"/>
        </w:rPr>
        <w:t>-0</w:t>
      </w:r>
      <w:r w:rsidRPr="00457DB2">
        <w:rPr>
          <w:rFonts w:ascii="Arial" w:eastAsia="Times New Roman" w:hAnsi="Arial" w:cs="Arial"/>
          <w:color w:val="000000"/>
          <w:sz w:val="22"/>
          <w:szCs w:val="22"/>
          <w:lang w:eastAsia="zh-CN"/>
        </w:rPr>
        <w:t xml:space="preserve">003, </w:t>
      </w:r>
      <w:r w:rsidR="008B69CC">
        <w:rPr>
          <w:rFonts w:ascii="Arial" w:eastAsia="Times New Roman" w:hAnsi="Arial" w:cs="Arial"/>
          <w:color w:val="000000"/>
          <w:sz w:val="22"/>
          <w:szCs w:val="22"/>
          <w:lang w:eastAsia="zh-CN"/>
        </w:rPr>
        <w:t>KAP</w:t>
      </w:r>
      <w:r w:rsidRPr="00457DB2">
        <w:rPr>
          <w:rFonts w:ascii="Arial" w:eastAsia="Times New Roman" w:hAnsi="Arial" w:cs="Arial"/>
          <w:color w:val="000000"/>
          <w:sz w:val="22"/>
          <w:szCs w:val="22"/>
          <w:lang w:eastAsia="zh-CN"/>
        </w:rPr>
        <w:t xml:space="preserve">-0005, </w:t>
      </w:r>
      <w:r w:rsidR="00E36F7E">
        <w:rPr>
          <w:rFonts w:ascii="Arial" w:hAnsi="Arial" w:cs="Arial"/>
          <w:sz w:val="22"/>
          <w:szCs w:val="22"/>
        </w:rPr>
        <w:t>ENW</w:t>
      </w:r>
      <w:r w:rsidRPr="00457DB2">
        <w:rPr>
          <w:rFonts w:ascii="Arial" w:hAnsi="Arial" w:cs="Arial"/>
          <w:sz w:val="22"/>
          <w:szCs w:val="22"/>
        </w:rPr>
        <w:t>-0003</w:t>
      </w:r>
      <w:r w:rsidRPr="00457DB2">
        <w:rPr>
          <w:rFonts w:ascii="Arial" w:eastAsia="Times New Roman" w:hAnsi="Arial" w:cs="Arial"/>
          <w:color w:val="000000"/>
          <w:sz w:val="22"/>
          <w:szCs w:val="22"/>
          <w:lang w:eastAsia="zh-CN"/>
        </w:rPr>
        <w:t>).</w:t>
      </w:r>
    </w:p>
    <w:p w:rsidR="00197806" w:rsidRPr="00457DB2" w:rsidP="00A801A6" w14:paraId="3F6BD3C0" w14:textId="77777777">
      <w:pPr>
        <w:spacing w:after="220"/>
        <w:rPr>
          <w:rFonts w:ascii="Arial" w:eastAsia="DengXian" w:hAnsi="Arial" w:cs="Arial"/>
          <w:sz w:val="22"/>
          <w:szCs w:val="22"/>
          <w:lang w:eastAsia="ja-JP"/>
        </w:rPr>
      </w:pPr>
      <w:r w:rsidRPr="00457DB2">
        <w:rPr>
          <w:rFonts w:ascii="Arial" w:eastAsia="DengXian" w:hAnsi="Arial" w:cs="Arial"/>
          <w:b/>
          <w:sz w:val="22"/>
          <w:szCs w:val="22"/>
          <w:lang w:eastAsia="ja-JP"/>
        </w:rPr>
        <w:t>NRC Response:</w:t>
      </w:r>
      <w:r w:rsidRPr="00457DB2">
        <w:rPr>
          <w:rFonts w:ascii="Arial" w:eastAsia="DengXian" w:hAnsi="Arial" w:cs="Arial"/>
          <w:sz w:val="22"/>
          <w:szCs w:val="22"/>
          <w:lang w:eastAsia="ja-JP"/>
        </w:rPr>
        <w:t xml:space="preserve"> The NRC agrees with the comments. The comments support the proposed rule and suggest no specific changes to the proposed rule.</w:t>
      </w:r>
    </w:p>
    <w:p w:rsidR="00155BA8" w:rsidRPr="00457DB2" w:rsidP="00A801A6" w14:paraId="26A74E62" w14:textId="77777777">
      <w:pPr>
        <w:spacing w:after="220"/>
        <w:rPr>
          <w:rFonts w:ascii="Arial" w:eastAsia="Times New Roman" w:hAnsi="Arial" w:cs="Arial"/>
          <w:b/>
          <w:color w:val="000000"/>
          <w:sz w:val="22"/>
          <w:szCs w:val="22"/>
          <w:lang w:eastAsia="zh-CN"/>
        </w:rPr>
      </w:pPr>
      <w:r w:rsidRPr="00457DB2">
        <w:rPr>
          <w:rFonts w:ascii="Arial" w:eastAsia="DengXian" w:hAnsi="Arial" w:cs="Arial"/>
          <w:sz w:val="22"/>
          <w:szCs w:val="22"/>
          <w:lang w:eastAsia="ja-JP"/>
        </w:rPr>
        <w:t>Accordingly, the NRC did not change the rule language in response to th</w:t>
      </w:r>
      <w:r w:rsidR="008D0F08">
        <w:rPr>
          <w:rFonts w:ascii="Arial" w:eastAsia="DengXian" w:hAnsi="Arial" w:cs="Arial"/>
          <w:sz w:val="22"/>
          <w:szCs w:val="22"/>
          <w:lang w:eastAsia="ja-JP"/>
        </w:rPr>
        <w:t>ese</w:t>
      </w:r>
      <w:r w:rsidRPr="00457DB2">
        <w:rPr>
          <w:rFonts w:ascii="Arial" w:eastAsia="DengXian" w:hAnsi="Arial" w:cs="Arial"/>
          <w:sz w:val="22"/>
          <w:szCs w:val="22"/>
          <w:lang w:eastAsia="ja-JP"/>
        </w:rPr>
        <w:t xml:space="preserve"> comment</w:t>
      </w:r>
      <w:r w:rsidR="008D0F08">
        <w:rPr>
          <w:rFonts w:ascii="Arial" w:eastAsia="DengXian" w:hAnsi="Arial" w:cs="Arial"/>
          <w:sz w:val="22"/>
          <w:szCs w:val="22"/>
          <w:lang w:eastAsia="ja-JP"/>
        </w:rPr>
        <w:t>s</w:t>
      </w:r>
      <w:r w:rsidRPr="00457DB2">
        <w:rPr>
          <w:rFonts w:ascii="Arial" w:eastAsia="DengXian" w:hAnsi="Arial" w:cs="Arial"/>
          <w:sz w:val="22"/>
          <w:szCs w:val="22"/>
          <w:lang w:eastAsia="ja-JP"/>
        </w:rPr>
        <w:t>.</w:t>
      </w:r>
    </w:p>
    <w:p w:rsidR="00AC1417" w:rsidRPr="00845D1D" w:rsidP="00AC1417" w14:paraId="7B76D313" w14:textId="77777777">
      <w:pPr>
        <w:spacing w:after="120"/>
        <w:rPr>
          <w:rFonts w:ascii="Arial" w:eastAsia="Times New Roman" w:hAnsi="Arial" w:cs="Arial"/>
          <w:lang w:eastAsia="zh-CN"/>
        </w:rPr>
      </w:pPr>
      <w:r>
        <w:rPr>
          <w:rFonts w:ascii="Arial" w:eastAsia="Times New Roman" w:hAnsi="Arial" w:cs="Arial"/>
          <w:lang w:eastAsia="zh-CN"/>
        </w:rPr>
        <w:pict>
          <v:rect id="_x0000_i1044" style="width:0;height:1.5pt" o:hralign="center" o:hrstd="t" o:hrnoshade="t" o:hr="t" fillcolor="black" stroked="f"/>
        </w:pict>
      </w:r>
    </w:p>
    <w:p w:rsidR="00AC1417" w:rsidRPr="00845D1D" w:rsidP="00B06639" w14:paraId="188C7910" w14:textId="77777777">
      <w:pPr>
        <w:pStyle w:val="Heading1"/>
        <w:keepNext/>
        <w:keepLines/>
        <w:numPr>
          <w:ilvl w:val="0"/>
          <w:numId w:val="0"/>
        </w:numPr>
        <w:spacing w:after="220"/>
        <w:ind w:left="720" w:hanging="720"/>
        <w:rPr>
          <w:i/>
        </w:rPr>
      </w:pPr>
      <w:bookmarkStart w:id="11" w:name="_Toc194466456"/>
      <w:bookmarkStart w:id="12" w:name="_Toc207222798"/>
      <w:r w:rsidRPr="00003EBE">
        <w:rPr>
          <w:u w:val="none"/>
        </w:rPr>
        <w:t>2.</w:t>
      </w:r>
      <w:r w:rsidRPr="00003EBE">
        <w:rPr>
          <w:u w:val="none"/>
        </w:rPr>
        <w:tab/>
      </w:r>
      <w:r w:rsidRPr="00845D1D">
        <w:t>Background and Need for Rulemaking/Purpose and Scope of the Proposed Rule</w:t>
      </w:r>
      <w:bookmarkEnd w:id="11"/>
      <w:bookmarkEnd w:id="12"/>
    </w:p>
    <w:p w:rsidR="00F91AE2" w:rsidRPr="00A801A6" w:rsidP="00A801A6" w14:paraId="600D29B6" w14:textId="77777777">
      <w:pPr>
        <w:spacing w:after="220"/>
        <w:rPr>
          <w:rFonts w:ascii="Arial" w:eastAsia="Times New Roman" w:hAnsi="Arial" w:cs="Arial"/>
          <w:sz w:val="22"/>
          <w:szCs w:val="22"/>
          <w:lang w:eastAsia="zh-CN"/>
        </w:rPr>
      </w:pPr>
      <w:r w:rsidRPr="00A801A6">
        <w:rPr>
          <w:rFonts w:ascii="Arial" w:eastAsia="DengXian" w:hAnsi="Arial" w:cs="Arial"/>
          <w:b/>
          <w:sz w:val="22"/>
          <w:szCs w:val="22"/>
          <w:lang w:eastAsia="ja-JP"/>
        </w:rPr>
        <w:t>Comment Bin 2.A</w:t>
      </w:r>
      <w:r w:rsidRPr="00A801A6" w:rsidR="000552E9">
        <w:rPr>
          <w:rFonts w:ascii="Arial" w:eastAsia="DengXian" w:hAnsi="Arial" w:cs="Arial"/>
          <w:b/>
          <w:sz w:val="22"/>
          <w:szCs w:val="22"/>
          <w:lang w:eastAsia="ja-JP"/>
        </w:rPr>
        <w:t>:</w:t>
      </w:r>
      <w:r w:rsidRPr="00A801A6" w:rsidR="000552E9">
        <w:rPr>
          <w:rFonts w:ascii="Arial" w:eastAsia="DengXian" w:hAnsi="Arial" w:cs="Arial"/>
          <w:sz w:val="22"/>
          <w:szCs w:val="22"/>
          <w:lang w:eastAsia="ja-JP"/>
        </w:rPr>
        <w:t xml:space="preserve"> </w:t>
      </w:r>
      <w:r w:rsidRPr="00A801A6">
        <w:rPr>
          <w:rFonts w:ascii="Arial" w:eastAsia="DengXian" w:hAnsi="Arial" w:cs="Arial"/>
          <w:sz w:val="22"/>
          <w:szCs w:val="22"/>
          <w:lang w:eastAsia="ja-JP"/>
        </w:rPr>
        <w:t>Several commenters expressed support for the NRC’s stated need for and purpose of the proposed rulemaking (</w:t>
      </w:r>
      <w:r w:rsidRPr="00EE2DB9" w:rsidR="00EE2DB9">
        <w:rPr>
          <w:rFonts w:ascii="Arial" w:eastAsia="Times New Roman" w:hAnsi="Arial" w:cs="Arial"/>
          <w:color w:val="000000"/>
          <w:sz w:val="22"/>
          <w:szCs w:val="22"/>
        </w:rPr>
        <w:t>NEI1</w:t>
      </w:r>
      <w:r w:rsidRPr="00A801A6">
        <w:rPr>
          <w:rFonts w:ascii="Arial" w:eastAsia="DengXian" w:hAnsi="Arial" w:cs="Arial"/>
          <w:sz w:val="22"/>
          <w:szCs w:val="22"/>
          <w:lang w:eastAsia="ja-JP"/>
        </w:rPr>
        <w:t>-0002</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7131C1">
        <w:rPr>
          <w:rFonts w:ascii="Arial" w:eastAsia="DengXian" w:hAnsi="Arial" w:cs="Arial"/>
          <w:sz w:val="22"/>
          <w:szCs w:val="22"/>
          <w:lang w:eastAsia="ja-JP"/>
        </w:rPr>
        <w:t>FK</w:t>
      </w:r>
      <w:r w:rsidRPr="00A801A6">
        <w:rPr>
          <w:rFonts w:ascii="Arial" w:eastAsia="DengXian" w:hAnsi="Arial" w:cs="Arial"/>
          <w:sz w:val="22"/>
          <w:szCs w:val="22"/>
          <w:lang w:eastAsia="ja-JP"/>
        </w:rPr>
        <w:t>-0002</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Pr="00EA6691" w:rsidR="00EA6691">
        <w:rPr>
          <w:rFonts w:ascii="Arial" w:eastAsia="Times New Roman" w:hAnsi="Arial" w:cs="Arial"/>
          <w:color w:val="000000"/>
          <w:sz w:val="22"/>
          <w:szCs w:val="22"/>
        </w:rPr>
        <w:t>NIA1</w:t>
      </w:r>
      <w:r w:rsidRPr="00EA6691">
        <w:rPr>
          <w:rFonts w:ascii="Arial" w:eastAsia="DengXian" w:hAnsi="Arial" w:cs="Arial"/>
          <w:sz w:val="22"/>
          <w:szCs w:val="22"/>
          <w:lang w:eastAsia="ja-JP"/>
        </w:rPr>
        <w:t>-</w:t>
      </w:r>
      <w:r w:rsidRPr="00A801A6">
        <w:rPr>
          <w:rFonts w:ascii="Arial" w:eastAsia="DengXian" w:hAnsi="Arial" w:cs="Arial"/>
          <w:sz w:val="22"/>
          <w:szCs w:val="22"/>
          <w:lang w:eastAsia="ja-JP"/>
        </w:rPr>
        <w:t>0002</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Pr="00C721F2" w:rsidR="00C721F2">
        <w:rPr>
          <w:rFonts w:ascii="Arial" w:eastAsia="Times New Roman" w:hAnsi="Arial" w:cs="Arial"/>
          <w:color w:val="000000"/>
          <w:sz w:val="22"/>
          <w:szCs w:val="22"/>
        </w:rPr>
        <w:t>USNIC1</w:t>
      </w:r>
      <w:r w:rsidRPr="00C721F2">
        <w:rPr>
          <w:rFonts w:ascii="Arial" w:eastAsia="DengXian" w:hAnsi="Arial" w:cs="Arial"/>
          <w:sz w:val="22"/>
          <w:szCs w:val="22"/>
          <w:lang w:eastAsia="ja-JP"/>
        </w:rPr>
        <w:t>-</w:t>
      </w:r>
      <w:r w:rsidRPr="00A801A6">
        <w:rPr>
          <w:rFonts w:ascii="Arial" w:eastAsia="DengXian" w:hAnsi="Arial" w:cs="Arial"/>
          <w:sz w:val="22"/>
          <w:szCs w:val="22"/>
          <w:lang w:eastAsia="ja-JP"/>
        </w:rPr>
        <w:t>0002</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72098F">
        <w:rPr>
          <w:rFonts w:ascii="Arial" w:eastAsia="DengXian" w:hAnsi="Arial" w:cs="Arial"/>
          <w:sz w:val="22"/>
          <w:szCs w:val="22"/>
          <w:lang w:eastAsia="ja-JP"/>
        </w:rPr>
        <w:t>IDNL</w:t>
      </w:r>
      <w:r w:rsidRPr="00A801A6">
        <w:rPr>
          <w:rFonts w:ascii="Arial" w:eastAsia="DengXian" w:hAnsi="Arial" w:cs="Arial"/>
          <w:sz w:val="22"/>
          <w:szCs w:val="22"/>
          <w:lang w:eastAsia="ja-JP"/>
        </w:rPr>
        <w:t>-0001</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72098F">
        <w:rPr>
          <w:rFonts w:ascii="Arial" w:eastAsia="DengXian" w:hAnsi="Arial" w:cs="Arial"/>
          <w:sz w:val="22"/>
          <w:szCs w:val="22"/>
          <w:lang w:eastAsia="ja-JP"/>
        </w:rPr>
        <w:t>IDNL</w:t>
      </w:r>
      <w:r w:rsidRPr="00A801A6">
        <w:rPr>
          <w:rFonts w:ascii="Arial" w:eastAsia="DengXian" w:hAnsi="Arial" w:cs="Arial"/>
          <w:sz w:val="22"/>
          <w:szCs w:val="22"/>
          <w:lang w:eastAsia="ja-JP"/>
        </w:rPr>
        <w:t>-0003</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B57647">
        <w:rPr>
          <w:rFonts w:ascii="Arial" w:eastAsia="DengXian" w:hAnsi="Arial" w:cs="Arial"/>
          <w:sz w:val="22"/>
          <w:szCs w:val="22"/>
          <w:lang w:eastAsia="ja-JP"/>
        </w:rPr>
        <w:t>TP</w:t>
      </w:r>
      <w:r w:rsidRPr="00A801A6">
        <w:rPr>
          <w:rFonts w:ascii="Arial" w:eastAsia="DengXian" w:hAnsi="Arial" w:cs="Arial"/>
          <w:sz w:val="22"/>
          <w:szCs w:val="22"/>
          <w:lang w:eastAsia="ja-JP"/>
        </w:rPr>
        <w:t>-0001</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E36F7E">
        <w:rPr>
          <w:rFonts w:ascii="Arial" w:eastAsia="DengXian" w:hAnsi="Arial" w:cs="Arial"/>
          <w:sz w:val="22"/>
          <w:szCs w:val="22"/>
          <w:lang w:eastAsia="ja-JP"/>
        </w:rPr>
        <w:t>NYS2</w:t>
      </w:r>
      <w:r w:rsidRPr="00A801A6">
        <w:rPr>
          <w:rFonts w:ascii="Arial" w:eastAsia="DengXian" w:hAnsi="Arial" w:cs="Arial"/>
          <w:sz w:val="22"/>
          <w:szCs w:val="22"/>
          <w:lang w:eastAsia="ja-JP"/>
        </w:rPr>
        <w:t>-0003</w:t>
      </w:r>
      <w:r w:rsidR="00E005BC">
        <w:rPr>
          <w:rFonts w:ascii="Arial" w:eastAsia="DengXian" w:hAnsi="Arial" w:cs="Arial"/>
          <w:sz w:val="22"/>
          <w:szCs w:val="22"/>
          <w:lang w:eastAsia="ja-JP"/>
        </w:rPr>
        <w:t>,</w:t>
      </w:r>
      <w:r w:rsidRPr="00A801A6">
        <w:rPr>
          <w:rFonts w:ascii="Arial" w:eastAsia="DengXian" w:hAnsi="Arial" w:cs="Arial"/>
          <w:sz w:val="22"/>
          <w:szCs w:val="22"/>
          <w:lang w:eastAsia="ja-JP"/>
        </w:rPr>
        <w:t xml:space="preserve"> </w:t>
      </w:r>
      <w:r w:rsidR="00C3447B">
        <w:rPr>
          <w:rFonts w:ascii="Arial" w:eastAsia="DengXian" w:hAnsi="Arial" w:cs="Arial"/>
          <w:sz w:val="22"/>
          <w:szCs w:val="22"/>
          <w:lang w:eastAsia="ja-JP"/>
        </w:rPr>
        <w:t>NNY</w:t>
      </w:r>
      <w:r w:rsidRPr="00A801A6">
        <w:rPr>
          <w:rFonts w:ascii="Arial" w:eastAsia="DengXian" w:hAnsi="Arial" w:cs="Arial"/>
          <w:sz w:val="22"/>
          <w:szCs w:val="22"/>
          <w:lang w:eastAsia="ja-JP"/>
        </w:rPr>
        <w:t>-0001).</w:t>
      </w:r>
    </w:p>
    <w:p w:rsidR="00AC2BCB" w:rsidRPr="00A801A6" w:rsidP="00A801A6" w14:paraId="74060F38" w14:textId="77777777">
      <w:pPr>
        <w:spacing w:after="220"/>
        <w:rPr>
          <w:rFonts w:ascii="Arial" w:eastAsia="DengXian" w:hAnsi="Arial" w:cs="Arial"/>
          <w:sz w:val="22"/>
          <w:szCs w:val="22"/>
          <w:lang w:eastAsia="ja-JP"/>
        </w:rPr>
      </w:pPr>
      <w:r w:rsidRPr="00A801A6">
        <w:rPr>
          <w:rFonts w:ascii="Arial" w:eastAsia="DengXian" w:hAnsi="Arial" w:cs="Arial"/>
          <w:b/>
          <w:sz w:val="22"/>
          <w:szCs w:val="22"/>
          <w:lang w:eastAsia="ja-JP"/>
        </w:rPr>
        <w:t>NRC Response:</w:t>
      </w:r>
      <w:r w:rsidRPr="00A801A6">
        <w:rPr>
          <w:rFonts w:ascii="Arial" w:eastAsia="DengXian" w:hAnsi="Arial" w:cs="Arial"/>
          <w:sz w:val="22"/>
          <w:szCs w:val="22"/>
          <w:lang w:eastAsia="ja-JP"/>
        </w:rPr>
        <w:t xml:space="preserve"> The NRC agrees with the comments. The comments support the need for the proposed rule and suggest no changes to the proposed rule.</w:t>
      </w:r>
    </w:p>
    <w:p w:rsidR="000552E9" w:rsidRPr="00A801A6" w:rsidP="00A801A6" w14:paraId="2782CAF6" w14:textId="77777777">
      <w:pPr>
        <w:spacing w:after="220"/>
        <w:rPr>
          <w:rFonts w:ascii="Arial" w:eastAsia="Times New Roman" w:hAnsi="Arial" w:cs="Arial"/>
          <w:sz w:val="22"/>
          <w:szCs w:val="22"/>
          <w:lang w:eastAsia="zh-CN"/>
        </w:rPr>
      </w:pPr>
      <w:r w:rsidRPr="00A801A6">
        <w:rPr>
          <w:rFonts w:ascii="Arial" w:eastAsia="DengXian" w:hAnsi="Arial" w:cs="Arial"/>
          <w:sz w:val="22"/>
          <w:szCs w:val="22"/>
          <w:lang w:eastAsia="ja-JP"/>
        </w:rPr>
        <w:t>Accordingly, the NRC did not change the rule language in response to these comments.</w:t>
      </w:r>
    </w:p>
    <w:p w:rsidR="00AC1417" w:rsidRPr="00A801A6" w:rsidP="00A801A6" w14:paraId="5FB0FD55"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45" style="width:0;height:1.5pt" o:hralign="center" o:hrstd="t" o:hrnoshade="t" o:hr="t" fillcolor="black" stroked="f"/>
        </w:pict>
      </w:r>
    </w:p>
    <w:p w:rsidR="000552E9" w:rsidRPr="00A801A6" w:rsidP="00A801A6" w14:paraId="23F38809" w14:textId="77777777">
      <w:pPr>
        <w:spacing w:after="220"/>
        <w:rPr>
          <w:rFonts w:ascii="Arial" w:eastAsia="DengXian" w:hAnsi="Arial" w:cs="Arial"/>
          <w:sz w:val="22"/>
          <w:szCs w:val="22"/>
          <w:lang w:eastAsia="ja-JP"/>
        </w:rPr>
      </w:pPr>
      <w:r w:rsidRPr="00A801A6">
        <w:rPr>
          <w:rFonts w:ascii="Arial" w:eastAsia="Times New Roman" w:hAnsi="Arial" w:cs="Arial"/>
          <w:b/>
          <w:color w:val="000000"/>
          <w:sz w:val="22"/>
          <w:szCs w:val="22"/>
          <w:lang w:eastAsia="zh-CN"/>
        </w:rPr>
        <w:t>Comment Bin 2.B:</w:t>
      </w:r>
      <w:r w:rsidRPr="00A801A6">
        <w:rPr>
          <w:rFonts w:ascii="Arial" w:eastAsia="DengXian" w:hAnsi="Arial" w:cs="Arial"/>
          <w:sz w:val="22"/>
          <w:szCs w:val="22"/>
          <w:lang w:eastAsia="ja-JP"/>
        </w:rPr>
        <w:t xml:space="preserve"> One commenter expressed opposition to the NRC’s stated need for the proposed regulations and disagreed that 10 CFR Part 53 met the NRC’s stated goals. The commenter said that the NRC staff is apparently unable to “move on” from the overly prescriptive approaches of the past and accept Congress's direction for modernization and increased regulatory efficiency. The commenter also said that the proposed regulation is more complex and burdensome than 10 CFR Part 50, and many of the proposed requirements are not supported by law. Finally, the commenter said that the development of 10 CFR Part 53 has been an inefficient use of NRC industry, and public resources </w:t>
      </w:r>
      <w:r w:rsidRPr="00142AD5">
        <w:rPr>
          <w:rFonts w:ascii="Arial" w:eastAsia="DengXian" w:hAnsi="Arial" w:cs="Arial"/>
          <w:sz w:val="22"/>
          <w:szCs w:val="22"/>
          <w:lang w:eastAsia="ja-JP"/>
        </w:rPr>
        <w:t>(</w:t>
      </w:r>
      <w:r w:rsidRPr="00142AD5" w:rsidR="00142AD5">
        <w:rPr>
          <w:rFonts w:ascii="Arial" w:eastAsia="Times New Roman" w:hAnsi="Arial" w:cs="Arial"/>
          <w:color w:val="000000"/>
          <w:sz w:val="22"/>
          <w:szCs w:val="22"/>
        </w:rPr>
        <w:t>HPT2</w:t>
      </w:r>
      <w:r w:rsidRPr="00142AD5">
        <w:rPr>
          <w:rFonts w:ascii="Arial" w:eastAsia="DengXian" w:hAnsi="Arial" w:cs="Arial"/>
          <w:sz w:val="22"/>
          <w:szCs w:val="22"/>
          <w:lang w:eastAsia="ja-JP"/>
        </w:rPr>
        <w:t>-0</w:t>
      </w:r>
      <w:r w:rsidRPr="00A801A6">
        <w:rPr>
          <w:rFonts w:ascii="Arial" w:eastAsia="DengXian" w:hAnsi="Arial" w:cs="Arial"/>
          <w:sz w:val="22"/>
          <w:szCs w:val="22"/>
          <w:lang w:eastAsia="ja-JP"/>
        </w:rPr>
        <w:t>001).</w:t>
      </w:r>
    </w:p>
    <w:p w:rsidR="000552E9" w:rsidRPr="00A801A6" w:rsidP="00A801A6" w14:paraId="50B69929" w14:textId="77777777">
      <w:pPr>
        <w:spacing w:after="220"/>
        <w:rPr>
          <w:rFonts w:ascii="Arial" w:eastAsia="DengXian" w:hAnsi="Arial" w:cs="Arial"/>
          <w:sz w:val="22"/>
          <w:szCs w:val="22"/>
          <w:lang w:eastAsia="ja-JP"/>
        </w:rPr>
      </w:pPr>
      <w:r w:rsidRPr="00A801A6">
        <w:rPr>
          <w:rFonts w:ascii="Arial" w:eastAsia="DengXian" w:hAnsi="Arial" w:cs="Arial"/>
          <w:sz w:val="22"/>
          <w:szCs w:val="22"/>
          <w:lang w:eastAsia="ja-JP"/>
        </w:rPr>
        <w:t>The same commenter also stated that 10 CFR Part 53 introduces many new elements, largely related to human factors, that are not in the current 10 CFR Part 50, and that 10</w:t>
      </w:r>
      <w:r w:rsidRPr="00A801A6" w:rsidR="00D45491">
        <w:rPr>
          <w:rFonts w:ascii="Arial" w:eastAsia="DengXian" w:hAnsi="Arial" w:cs="Arial"/>
          <w:sz w:val="22"/>
          <w:szCs w:val="22"/>
          <w:lang w:eastAsia="ja-JP"/>
        </w:rPr>
        <w:t> </w:t>
      </w:r>
      <w:r w:rsidRPr="00A801A6">
        <w:rPr>
          <w:rFonts w:ascii="Arial" w:eastAsia="DengXian" w:hAnsi="Arial" w:cs="Arial"/>
          <w:sz w:val="22"/>
          <w:szCs w:val="22"/>
          <w:lang w:eastAsia="ja-JP"/>
        </w:rPr>
        <w:t>CFR Part 53 subjects applicants to costly and unnecessary burdens (</w:t>
      </w:r>
      <w:r w:rsidR="00D64999">
        <w:rPr>
          <w:rFonts w:ascii="Arial" w:eastAsia="DengXian" w:hAnsi="Arial" w:cs="Arial"/>
          <w:sz w:val="22"/>
          <w:szCs w:val="22"/>
          <w:lang w:eastAsia="ja-JP"/>
        </w:rPr>
        <w:t>HPT20</w:t>
      </w:r>
      <w:r w:rsidRPr="00A801A6">
        <w:rPr>
          <w:rFonts w:ascii="Arial" w:eastAsia="DengXian" w:hAnsi="Arial" w:cs="Arial"/>
          <w:sz w:val="22"/>
          <w:szCs w:val="22"/>
          <w:lang w:eastAsia="ja-JP"/>
        </w:rPr>
        <w:t>-0002).</w:t>
      </w:r>
    </w:p>
    <w:p w:rsidR="000552E9" w:rsidRPr="00A801A6" w:rsidP="00A801A6" w14:paraId="081E9636" w14:textId="77777777">
      <w:pPr>
        <w:spacing w:after="220"/>
        <w:rPr>
          <w:rFonts w:ascii="Arial" w:eastAsia="DengXian" w:hAnsi="Arial" w:cs="Arial"/>
          <w:sz w:val="22"/>
          <w:szCs w:val="22"/>
          <w:lang w:eastAsia="ja-JP"/>
        </w:rPr>
      </w:pPr>
      <w:r w:rsidRPr="00A801A6">
        <w:rPr>
          <w:rFonts w:ascii="Arial" w:eastAsia="DengXian" w:hAnsi="Arial" w:cs="Arial"/>
          <w:b/>
          <w:sz w:val="22"/>
          <w:szCs w:val="22"/>
          <w:lang w:eastAsia="ja-JP"/>
        </w:rPr>
        <w:t>NRC Response:</w:t>
      </w:r>
      <w:r w:rsidRPr="00A801A6">
        <w:rPr>
          <w:rFonts w:ascii="Arial" w:eastAsia="DengXian" w:hAnsi="Arial" w:cs="Arial"/>
          <w:sz w:val="22"/>
          <w:szCs w:val="22"/>
          <w:lang w:eastAsia="ja-JP"/>
        </w:rPr>
        <w:t xml:space="preserve"> The NRC disagrees with the comments.</w:t>
      </w:r>
    </w:p>
    <w:p w:rsidR="000552E9" w:rsidRPr="00A801A6" w:rsidP="00A801A6" w14:paraId="187540B4" w14:textId="77777777">
      <w:pPr>
        <w:spacing w:after="220"/>
        <w:rPr>
          <w:rFonts w:ascii="Arial" w:eastAsia="DengXian" w:hAnsi="Arial" w:cs="Arial"/>
          <w:sz w:val="22"/>
          <w:szCs w:val="22"/>
          <w:lang w:eastAsia="ja-JP"/>
        </w:rPr>
      </w:pPr>
      <w:r w:rsidRPr="00A801A6">
        <w:rPr>
          <w:rFonts w:ascii="Arial" w:eastAsia="DengXian" w:hAnsi="Arial" w:cs="Arial"/>
          <w:sz w:val="22"/>
          <w:szCs w:val="22"/>
          <w:lang w:eastAsia="ja-JP"/>
        </w:rPr>
        <w:t>The need for Part 53 rulemaking is still valid, and the final rule meets the stated goals and purpose of the rulemaking effort and the direction by Congress. The final rule’s technology</w:t>
      </w:r>
      <w:r w:rsidR="00AA63B5">
        <w:rPr>
          <w:rFonts w:ascii="Arial" w:eastAsia="DengXian" w:hAnsi="Arial" w:cs="Arial"/>
          <w:sz w:val="22"/>
          <w:szCs w:val="22"/>
          <w:lang w:eastAsia="ja-JP"/>
        </w:rPr>
        <w:noBreakHyphen/>
      </w:r>
      <w:r w:rsidRPr="00A801A6" w:rsidR="002A0A2D">
        <w:rPr>
          <w:rFonts w:ascii="Arial" w:eastAsia="DengXian" w:hAnsi="Arial" w:cs="Arial"/>
          <w:sz w:val="22"/>
          <w:szCs w:val="22"/>
          <w:lang w:eastAsia="ja-JP"/>
        </w:rPr>
        <w:t>inclusive</w:t>
      </w:r>
      <w:r w:rsidRPr="00A801A6">
        <w:rPr>
          <w:rFonts w:ascii="Arial" w:eastAsia="DengXian" w:hAnsi="Arial" w:cs="Arial"/>
          <w:sz w:val="22"/>
          <w:szCs w:val="22"/>
          <w:lang w:eastAsia="ja-JP"/>
        </w:rPr>
        <w:t>, risk-informed, and performance-based approach provides reasonable assurance of adequate protection of the public health and safety and was developed with input from stakeholders. Additionally, 10 CFR Part 53, while being technology</w:t>
      </w:r>
      <w:r w:rsidRPr="00A801A6" w:rsidR="002A0A2D">
        <w:rPr>
          <w:rFonts w:ascii="Arial" w:eastAsia="DengXian" w:hAnsi="Arial" w:cs="Arial"/>
          <w:sz w:val="22"/>
          <w:szCs w:val="22"/>
          <w:lang w:eastAsia="ja-JP"/>
        </w:rPr>
        <w:t>-inclusive</w:t>
      </w:r>
      <w:r w:rsidRPr="00A801A6">
        <w:rPr>
          <w:rFonts w:ascii="Arial" w:eastAsia="DengXian" w:hAnsi="Arial" w:cs="Arial"/>
          <w:sz w:val="22"/>
          <w:szCs w:val="22"/>
          <w:lang w:eastAsia="ja-JP"/>
        </w:rPr>
        <w:t xml:space="preserve">, is equivalent to the existing licensing frameworks in 10 CFR Part 50 and </w:t>
      </w:r>
      <w:r w:rsidR="00383030">
        <w:rPr>
          <w:rFonts w:ascii="Arial" w:eastAsia="DengXian" w:hAnsi="Arial" w:cs="Arial"/>
          <w:sz w:val="22"/>
          <w:szCs w:val="22"/>
          <w:lang w:eastAsia="ja-JP"/>
        </w:rPr>
        <w:t xml:space="preserve">10 CFR Part </w:t>
      </w:r>
      <w:r w:rsidRPr="00A801A6">
        <w:rPr>
          <w:rFonts w:ascii="Arial" w:eastAsia="DengXian" w:hAnsi="Arial" w:cs="Arial"/>
          <w:sz w:val="22"/>
          <w:szCs w:val="22"/>
          <w:lang w:eastAsia="ja-JP"/>
        </w:rPr>
        <w:t xml:space="preserve">52. Moreover, because 10 CFR Part 53 is an optional licensing framework, it does not increase burden on regulated entities as they can choose to use the current licensing framework in 10 CFR Part 50 or </w:t>
      </w:r>
      <w:r w:rsidR="004F6F39">
        <w:rPr>
          <w:rFonts w:ascii="Arial" w:eastAsia="DengXian" w:hAnsi="Arial" w:cs="Arial"/>
          <w:sz w:val="22"/>
          <w:szCs w:val="22"/>
          <w:lang w:eastAsia="ja-JP"/>
        </w:rPr>
        <w:t xml:space="preserve">10 CFR Part </w:t>
      </w:r>
      <w:r w:rsidRPr="00A801A6">
        <w:rPr>
          <w:rFonts w:ascii="Arial" w:eastAsia="DengXian" w:hAnsi="Arial" w:cs="Arial"/>
          <w:sz w:val="22"/>
          <w:szCs w:val="22"/>
          <w:lang w:eastAsia="ja-JP"/>
        </w:rPr>
        <w:t>52.</w:t>
      </w:r>
    </w:p>
    <w:p w:rsidR="000552E9" w:rsidRPr="00A801A6" w:rsidP="00A801A6" w14:paraId="653FFDE0" w14:textId="77777777">
      <w:pPr>
        <w:spacing w:after="220"/>
        <w:rPr>
          <w:rFonts w:ascii="Arial" w:eastAsia="DengXian" w:hAnsi="Arial" w:cs="Arial"/>
          <w:sz w:val="22"/>
          <w:szCs w:val="22"/>
          <w:lang w:eastAsia="ja-JP"/>
        </w:rPr>
      </w:pPr>
      <w:r w:rsidRPr="00A801A6">
        <w:rPr>
          <w:rFonts w:ascii="Arial" w:eastAsia="DengXian" w:hAnsi="Arial" w:cs="Arial"/>
          <w:sz w:val="22"/>
          <w:szCs w:val="22"/>
          <w:lang w:eastAsia="ja-JP"/>
        </w:rPr>
        <w:t>Finally, many of the human factor</w:t>
      </w:r>
      <w:r w:rsidR="00C817CE">
        <w:rPr>
          <w:rFonts w:ascii="Arial" w:eastAsia="DengXian" w:hAnsi="Arial" w:cs="Arial"/>
          <w:sz w:val="22"/>
          <w:szCs w:val="22"/>
          <w:lang w:eastAsia="ja-JP"/>
        </w:rPr>
        <w:t>’</w:t>
      </w:r>
      <w:r w:rsidRPr="00A801A6">
        <w:rPr>
          <w:rFonts w:ascii="Arial" w:eastAsia="DengXian" w:hAnsi="Arial" w:cs="Arial"/>
          <w:sz w:val="22"/>
          <w:szCs w:val="22"/>
          <w:lang w:eastAsia="ja-JP"/>
        </w:rPr>
        <w:t>s regulations in 10 CFR Part 53 either have a corresponding regulation in 10 CFR Part 50</w:t>
      </w:r>
      <w:r w:rsidR="00D4094E">
        <w:rPr>
          <w:rFonts w:ascii="Arial" w:eastAsia="DengXian" w:hAnsi="Arial" w:cs="Arial"/>
          <w:sz w:val="22"/>
          <w:szCs w:val="22"/>
          <w:lang w:eastAsia="ja-JP"/>
        </w:rPr>
        <w:t>, 10 CFR Part 55</w:t>
      </w:r>
      <w:r w:rsidR="00780BFC">
        <w:rPr>
          <w:rFonts w:ascii="Arial" w:eastAsia="DengXian" w:hAnsi="Arial" w:cs="Arial"/>
          <w:sz w:val="22"/>
          <w:szCs w:val="22"/>
          <w:lang w:eastAsia="ja-JP"/>
        </w:rPr>
        <w:t>,</w:t>
      </w:r>
      <w:r w:rsidRPr="00A801A6">
        <w:rPr>
          <w:rFonts w:ascii="Arial" w:eastAsia="DengXian" w:hAnsi="Arial" w:cs="Arial"/>
          <w:sz w:val="22"/>
          <w:szCs w:val="22"/>
          <w:lang w:eastAsia="ja-JP"/>
        </w:rPr>
        <w:t xml:space="preserve"> or are necessary due to the different frameworks used for 10 CFR Part 50 and </w:t>
      </w:r>
      <w:r w:rsidR="003E184E">
        <w:rPr>
          <w:rFonts w:ascii="Arial" w:eastAsia="DengXian" w:hAnsi="Arial" w:cs="Arial"/>
          <w:sz w:val="22"/>
          <w:szCs w:val="22"/>
          <w:lang w:eastAsia="ja-JP"/>
        </w:rPr>
        <w:t xml:space="preserve">10 CFR </w:t>
      </w:r>
      <w:r w:rsidRPr="00A801A6">
        <w:rPr>
          <w:rFonts w:ascii="Arial" w:eastAsia="DengXian" w:hAnsi="Arial" w:cs="Arial"/>
          <w:sz w:val="22"/>
          <w:szCs w:val="22"/>
          <w:lang w:eastAsia="ja-JP"/>
        </w:rPr>
        <w:t>Part 53. For example, there is no requirement under 10 CFR Part</w:t>
      </w:r>
      <w:r w:rsidR="00D600CB">
        <w:rPr>
          <w:rFonts w:ascii="Arial" w:eastAsia="DengXian" w:hAnsi="Arial" w:cs="Arial"/>
          <w:sz w:val="22"/>
          <w:szCs w:val="22"/>
          <w:lang w:eastAsia="ja-JP"/>
        </w:rPr>
        <w:t> </w:t>
      </w:r>
      <w:r w:rsidRPr="00A801A6">
        <w:rPr>
          <w:rFonts w:ascii="Arial" w:eastAsia="DengXian" w:hAnsi="Arial" w:cs="Arial"/>
          <w:sz w:val="22"/>
          <w:szCs w:val="22"/>
          <w:lang w:eastAsia="ja-JP"/>
        </w:rPr>
        <w:t>50 to submit a staffing plan because this information is prescriptive and located in 10 CFR 50.54. Because of the flexibilities built into 10 CFR Part 53, a new staffing plan requirement was added in place of the prescriptive staffing requirement.</w:t>
      </w:r>
    </w:p>
    <w:p w:rsidR="000552E9" w:rsidRPr="00A801A6" w:rsidP="00A801A6" w14:paraId="62FB54F6" w14:textId="77777777">
      <w:pPr>
        <w:spacing w:after="220"/>
        <w:rPr>
          <w:rFonts w:ascii="Arial" w:eastAsia="Times New Roman" w:hAnsi="Arial" w:cs="Arial"/>
          <w:b/>
          <w:color w:val="000000"/>
          <w:sz w:val="22"/>
          <w:szCs w:val="22"/>
          <w:lang w:eastAsia="zh-CN"/>
        </w:rPr>
      </w:pPr>
      <w:r w:rsidRPr="00A801A6">
        <w:rPr>
          <w:rFonts w:ascii="Arial" w:eastAsia="DengXian" w:hAnsi="Arial" w:cs="Arial"/>
          <w:sz w:val="22"/>
          <w:szCs w:val="22"/>
          <w:lang w:eastAsia="ja-JP"/>
        </w:rPr>
        <w:t>Accordingly, the NRC did not change the rule language in response to these comments.</w:t>
      </w:r>
    </w:p>
    <w:p w:rsidR="00AC1417" w:rsidRPr="00A801A6" w:rsidP="00A801A6" w14:paraId="5EF7525C"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46" style="width:0;height:1.5pt" o:hralign="center" o:hrstd="t" o:hrnoshade="t" o:hr="t" fillcolor="black" stroked="f"/>
        </w:pict>
      </w:r>
    </w:p>
    <w:p w:rsidR="00CA6BCD" w:rsidRPr="00A801A6" w:rsidP="00A801A6" w14:paraId="511F69F7" w14:textId="77777777">
      <w:pPr>
        <w:spacing w:after="220"/>
        <w:rPr>
          <w:rFonts w:ascii="Arial" w:eastAsia="DengXian" w:hAnsi="Arial" w:cs="Arial"/>
          <w:sz w:val="22"/>
          <w:szCs w:val="22"/>
          <w:lang w:eastAsia="ja-JP"/>
        </w:rPr>
      </w:pPr>
      <w:r w:rsidRPr="00A801A6">
        <w:rPr>
          <w:rFonts w:ascii="Arial" w:eastAsia="Times New Roman" w:hAnsi="Arial" w:cs="Arial"/>
          <w:b/>
          <w:color w:val="000000"/>
          <w:sz w:val="22"/>
          <w:szCs w:val="22"/>
          <w:lang w:eastAsia="zh-CN"/>
        </w:rPr>
        <w:t xml:space="preserve">Comment </w:t>
      </w:r>
      <w:r w:rsidRPr="00A801A6" w:rsidR="00713B65">
        <w:rPr>
          <w:rFonts w:ascii="Arial" w:eastAsia="Times New Roman" w:hAnsi="Arial" w:cs="Arial"/>
          <w:b/>
          <w:color w:val="000000"/>
          <w:sz w:val="22"/>
          <w:szCs w:val="22"/>
          <w:lang w:eastAsia="zh-CN"/>
        </w:rPr>
        <w:t xml:space="preserve">Bin </w:t>
      </w:r>
      <w:r w:rsidRPr="00A801A6">
        <w:rPr>
          <w:rFonts w:ascii="Arial" w:eastAsia="Times New Roman" w:hAnsi="Arial" w:cs="Arial"/>
          <w:b/>
          <w:color w:val="000000"/>
          <w:sz w:val="22"/>
          <w:szCs w:val="22"/>
          <w:lang w:eastAsia="zh-CN"/>
        </w:rPr>
        <w:t xml:space="preserve">2.C: </w:t>
      </w:r>
      <w:r w:rsidRPr="00A801A6" w:rsidR="00F12F18">
        <w:rPr>
          <w:rFonts w:ascii="Arial" w:eastAsia="DengXian" w:hAnsi="Arial" w:cs="Arial"/>
          <w:sz w:val="22"/>
          <w:szCs w:val="22"/>
          <w:lang w:eastAsia="ja-JP"/>
        </w:rPr>
        <w:t>A</w:t>
      </w:r>
      <w:r w:rsidRPr="00A801A6">
        <w:rPr>
          <w:rFonts w:ascii="Arial" w:eastAsia="DengXian" w:hAnsi="Arial" w:cs="Arial"/>
          <w:sz w:val="22"/>
          <w:szCs w:val="22"/>
          <w:lang w:eastAsia="ja-JP"/>
        </w:rPr>
        <w:t xml:space="preserve"> commenter highlighted the importance of creating a new regulatory framework for advanced reactors that can enable the licensing of diverse reactor technologies, be risk-informed and performance-based, and address the needs of diverse stakeholders. According to the commenter, meeting these criteria would enable the effective, efficient, and predictable licensing of advanced reactors, which aligns with the initial Congressional direction in NEIMA and subsequent direction from Congress and the Commission (</w:t>
      </w:r>
      <w:r w:rsidR="000341A7">
        <w:rPr>
          <w:rFonts w:ascii="Arial" w:eastAsia="DengXian" w:hAnsi="Arial" w:cs="Arial"/>
          <w:sz w:val="22"/>
          <w:szCs w:val="22"/>
          <w:lang w:eastAsia="ja-JP"/>
        </w:rPr>
        <w:t>NIA2</w:t>
      </w:r>
      <w:r w:rsidRPr="00A801A6">
        <w:rPr>
          <w:rFonts w:ascii="Arial" w:eastAsia="DengXian" w:hAnsi="Arial" w:cs="Arial"/>
          <w:sz w:val="22"/>
          <w:szCs w:val="22"/>
          <w:lang w:eastAsia="ja-JP"/>
        </w:rPr>
        <w:t>-0006). Another commenter stated that they understand that the proposed Part 53 framework is a voluntary alternative and is intended to offer future applicants flexibility of advanced reactor technologies and innovative designs (</w:t>
      </w:r>
      <w:r w:rsidR="00E36F7E">
        <w:rPr>
          <w:rFonts w:ascii="Arial" w:eastAsia="DengXian" w:hAnsi="Arial" w:cs="Arial"/>
          <w:sz w:val="22"/>
          <w:szCs w:val="22"/>
          <w:lang w:eastAsia="ja-JP"/>
        </w:rPr>
        <w:t>NYS2</w:t>
      </w:r>
      <w:r w:rsidRPr="00A801A6">
        <w:rPr>
          <w:rFonts w:ascii="Arial" w:eastAsia="DengXian" w:hAnsi="Arial" w:cs="Arial"/>
          <w:sz w:val="22"/>
          <w:szCs w:val="22"/>
          <w:lang w:eastAsia="ja-JP"/>
        </w:rPr>
        <w:t>-0001).</w:t>
      </w:r>
    </w:p>
    <w:p w:rsidR="0063638F" w:rsidRPr="00A801A6" w:rsidP="00A801A6" w14:paraId="3D30FAB4" w14:textId="77777777">
      <w:pPr>
        <w:spacing w:after="220"/>
        <w:rPr>
          <w:rFonts w:ascii="Arial" w:eastAsia="DengXian" w:hAnsi="Arial" w:cs="Arial"/>
          <w:sz w:val="22"/>
          <w:szCs w:val="22"/>
          <w:lang w:eastAsia="ja-JP"/>
        </w:rPr>
      </w:pPr>
      <w:r w:rsidRPr="00A801A6">
        <w:rPr>
          <w:rFonts w:ascii="Arial" w:eastAsia="DengXian" w:hAnsi="Arial" w:cs="Arial"/>
          <w:sz w:val="22"/>
          <w:szCs w:val="22"/>
          <w:lang w:eastAsia="ja-JP"/>
        </w:rPr>
        <w:t>Another commenter said that there are two themes presented by all stakeholders commenting on the proposed rule: (1)</w:t>
      </w:r>
      <w:r w:rsidRPr="00A801A6" w:rsidR="002F36AF">
        <w:rPr>
          <w:rFonts w:ascii="Arial" w:eastAsia="DengXian" w:hAnsi="Arial" w:cs="Arial"/>
          <w:sz w:val="22"/>
          <w:szCs w:val="22"/>
          <w:lang w:eastAsia="ja-JP"/>
        </w:rPr>
        <w:t> </w:t>
      </w:r>
      <w:r w:rsidRPr="00A801A6">
        <w:rPr>
          <w:rFonts w:ascii="Arial" w:eastAsia="DengXian" w:hAnsi="Arial" w:cs="Arial"/>
          <w:sz w:val="22"/>
          <w:szCs w:val="22"/>
          <w:lang w:eastAsia="ja-JP"/>
        </w:rPr>
        <w:t>that the rule needs to be very open to avoid unforeseen future limitations, or (2) that the rule should be more specific on performance requirements to reduce uncertainty of what will be acceptable and therefore streamline the regulatory process. The commenter said that it is possible to satisfy both of these requirements in this rulemaking process (</w:t>
      </w:r>
      <w:r w:rsidR="004C1A5D">
        <w:rPr>
          <w:rFonts w:ascii="Arial" w:eastAsia="DengXian" w:hAnsi="Arial" w:cs="Arial"/>
          <w:sz w:val="22"/>
          <w:szCs w:val="22"/>
          <w:lang w:eastAsia="ja-JP"/>
        </w:rPr>
        <w:t>BI1</w:t>
      </w:r>
      <w:r w:rsidRPr="00A801A6">
        <w:rPr>
          <w:rFonts w:ascii="Arial" w:eastAsia="DengXian" w:hAnsi="Arial" w:cs="Arial"/>
          <w:sz w:val="22"/>
          <w:szCs w:val="22"/>
          <w:lang w:eastAsia="ja-JP"/>
        </w:rPr>
        <w:t>-0003).</w:t>
      </w:r>
    </w:p>
    <w:p w:rsidR="00E11AA7" w:rsidRPr="00A801A6" w:rsidP="00A801A6" w14:paraId="1B0E9A4B" w14:textId="77777777">
      <w:pPr>
        <w:spacing w:after="220"/>
        <w:rPr>
          <w:rFonts w:ascii="Arial" w:eastAsia="DengXian" w:hAnsi="Arial" w:cs="Arial"/>
          <w:sz w:val="22"/>
          <w:szCs w:val="22"/>
          <w:lang w:eastAsia="ja-JP"/>
        </w:rPr>
      </w:pPr>
      <w:r w:rsidRPr="00A801A6">
        <w:rPr>
          <w:rFonts w:ascii="Arial" w:eastAsia="DengXian" w:hAnsi="Arial" w:cs="Arial"/>
          <w:b/>
          <w:sz w:val="22"/>
          <w:szCs w:val="22"/>
          <w:lang w:eastAsia="ja-JP"/>
        </w:rPr>
        <w:t>NRC Response:</w:t>
      </w:r>
      <w:r w:rsidRPr="00A801A6">
        <w:rPr>
          <w:rFonts w:ascii="Arial" w:eastAsia="DengXian" w:hAnsi="Arial" w:cs="Arial"/>
          <w:sz w:val="22"/>
          <w:szCs w:val="22"/>
          <w:lang w:eastAsia="ja-JP"/>
        </w:rPr>
        <w:t xml:space="preserve"> The NRC agrees with the comments.</w:t>
      </w:r>
    </w:p>
    <w:p w:rsidR="001B7F21" w:rsidRPr="00A801A6" w:rsidP="00A801A6" w14:paraId="1A41ECFD" w14:textId="77777777">
      <w:pPr>
        <w:spacing w:after="220"/>
        <w:rPr>
          <w:rFonts w:ascii="Arial" w:hAnsi="Arial" w:cs="Arial"/>
          <w:sz w:val="22"/>
          <w:szCs w:val="22"/>
        </w:rPr>
      </w:pPr>
      <w:r w:rsidRPr="00A801A6">
        <w:rPr>
          <w:rFonts w:ascii="Arial" w:eastAsia="DengXian" w:hAnsi="Arial" w:cs="Arial"/>
          <w:sz w:val="22"/>
          <w:szCs w:val="22"/>
          <w:lang w:eastAsia="ja-JP"/>
        </w:rPr>
        <w:t>The organization and content of 10 CFR Part 53 reflect a systems-engineering style approach to the design, licensing, operation, and ultimately decommissioning of future commercial nuclear plants. 10 CFR Part 53 also incorporates a performance-based approach to regulation by specifying high-level safety requirements and providing considerable flexibility in how applicants and licensees can meet the requirements through combinations of design features, programmatic controls, and human actions. The requirements in 10 CFR Part</w:t>
      </w:r>
      <w:r w:rsidRPr="00A801A6" w:rsidR="004371C4">
        <w:rPr>
          <w:rFonts w:ascii="Arial" w:eastAsia="DengXian" w:hAnsi="Arial" w:cs="Arial"/>
          <w:sz w:val="22"/>
          <w:szCs w:val="22"/>
          <w:lang w:eastAsia="ja-JP"/>
        </w:rPr>
        <w:t> </w:t>
      </w:r>
      <w:r w:rsidRPr="00A801A6">
        <w:rPr>
          <w:rFonts w:ascii="Arial" w:eastAsia="DengXian" w:hAnsi="Arial" w:cs="Arial"/>
          <w:sz w:val="22"/>
          <w:szCs w:val="22"/>
          <w:lang w:eastAsia="ja-JP"/>
        </w:rPr>
        <w:t xml:space="preserve">53 are also structured to allow applicants and licensees to use a flexible and graded approach to the performance of safety functions based on the role of a particular </w:t>
      </w:r>
      <w:r w:rsidR="00B644E4">
        <w:rPr>
          <w:rFonts w:ascii="Arial" w:eastAsia="DengXian" w:hAnsi="Arial" w:cs="Arial"/>
          <w:sz w:val="22"/>
          <w:szCs w:val="22"/>
          <w:lang w:eastAsia="ja-JP"/>
        </w:rPr>
        <w:t>st</w:t>
      </w:r>
      <w:r w:rsidR="00691A08">
        <w:rPr>
          <w:rFonts w:ascii="Arial" w:eastAsia="DengXian" w:hAnsi="Arial" w:cs="Arial"/>
          <w:sz w:val="22"/>
          <w:szCs w:val="22"/>
          <w:lang w:eastAsia="ja-JP"/>
        </w:rPr>
        <w:t>ructure, system, and component (</w:t>
      </w:r>
      <w:r w:rsidRPr="00A801A6">
        <w:rPr>
          <w:rFonts w:ascii="Arial" w:eastAsia="DengXian" w:hAnsi="Arial" w:cs="Arial"/>
          <w:sz w:val="22"/>
          <w:szCs w:val="22"/>
          <w:lang w:eastAsia="ja-JP"/>
        </w:rPr>
        <w:t>SSC</w:t>
      </w:r>
      <w:r w:rsidR="00691A08">
        <w:rPr>
          <w:rFonts w:ascii="Arial" w:eastAsia="DengXian" w:hAnsi="Arial" w:cs="Arial"/>
          <w:sz w:val="22"/>
          <w:szCs w:val="22"/>
          <w:lang w:eastAsia="ja-JP"/>
        </w:rPr>
        <w:t>)</w:t>
      </w:r>
      <w:r w:rsidRPr="00A801A6">
        <w:rPr>
          <w:rFonts w:ascii="Arial" w:eastAsia="DengXian" w:hAnsi="Arial" w:cs="Arial"/>
          <w:sz w:val="22"/>
          <w:szCs w:val="22"/>
          <w:lang w:eastAsia="ja-JP"/>
        </w:rPr>
        <w:t>, human action, or program in limiting the overall risks to the public below accepted standards through balanced measures to prevent and mitigate possible events.</w:t>
      </w:r>
    </w:p>
    <w:p w:rsidR="0063638F" w:rsidRPr="0063638F" w:rsidP="00A801A6" w14:paraId="6E2D7329" w14:textId="77777777">
      <w:pPr>
        <w:spacing w:after="220"/>
        <w:rPr>
          <w:rFonts w:ascii="Arial" w:eastAsia="Times New Roman" w:hAnsi="Arial" w:cs="Arial"/>
          <w:b/>
          <w:bCs/>
          <w:color w:val="000000"/>
          <w:lang w:eastAsia="zh-CN"/>
        </w:rPr>
      </w:pPr>
      <w:r w:rsidRPr="00A801A6">
        <w:rPr>
          <w:rFonts w:ascii="Arial" w:hAnsi="Arial" w:cs="Arial"/>
          <w:sz w:val="22"/>
          <w:szCs w:val="22"/>
        </w:rPr>
        <w:t>Accordingly, t</w:t>
      </w:r>
      <w:r w:rsidRPr="00A801A6">
        <w:rPr>
          <w:rFonts w:ascii="Arial" w:eastAsia="DengXian" w:hAnsi="Arial" w:cs="Arial"/>
          <w:sz w:val="22"/>
          <w:szCs w:val="22"/>
          <w:lang w:eastAsia="ja-JP"/>
        </w:rPr>
        <w:t xml:space="preserve">he NRC did not </w:t>
      </w:r>
      <w:r w:rsidRPr="00A801A6" w:rsidR="0074441E">
        <w:rPr>
          <w:rFonts w:ascii="Arial" w:eastAsia="DengXian" w:hAnsi="Arial" w:cs="Arial"/>
          <w:sz w:val="22"/>
          <w:szCs w:val="22"/>
          <w:lang w:eastAsia="ja-JP"/>
        </w:rPr>
        <w:t>change</w:t>
      </w:r>
      <w:r w:rsidRPr="00A801A6">
        <w:rPr>
          <w:rFonts w:ascii="Arial" w:eastAsia="DengXian" w:hAnsi="Arial" w:cs="Arial"/>
          <w:sz w:val="22"/>
          <w:szCs w:val="22"/>
          <w:lang w:eastAsia="ja-JP"/>
        </w:rPr>
        <w:t xml:space="preserve"> the rule language in response to these comments.</w:t>
      </w:r>
    </w:p>
    <w:p w:rsidR="00AC1417" w:rsidRPr="00845D1D" w:rsidP="00AC1417" w14:paraId="60A7D026" w14:textId="77777777">
      <w:pPr>
        <w:spacing w:after="120"/>
        <w:rPr>
          <w:rFonts w:ascii="Arial" w:eastAsia="DengXian" w:hAnsi="Arial" w:cs="Arial"/>
          <w:lang w:eastAsia="ja-JP"/>
        </w:rPr>
      </w:pPr>
      <w:r>
        <w:rPr>
          <w:rFonts w:ascii="Arial" w:eastAsia="Times New Roman" w:hAnsi="Arial" w:cs="Arial"/>
          <w:lang w:eastAsia="zh-CN"/>
        </w:rPr>
        <w:pict>
          <v:rect id="_x0000_i1047" style="width:0;height:1.5pt" o:hralign="center" o:hrstd="t" o:hrnoshade="t" o:hr="t" fillcolor="black" stroked="f"/>
        </w:pict>
      </w:r>
    </w:p>
    <w:p w:rsidR="00BD5AAE" w:rsidP="007D78E7" w14:paraId="20E91D25" w14:textId="77777777">
      <w:pPr>
        <w:pStyle w:val="Heading1"/>
        <w:numPr>
          <w:ilvl w:val="0"/>
          <w:numId w:val="0"/>
        </w:numPr>
        <w:spacing w:after="220"/>
        <w:ind w:left="720" w:hanging="720"/>
        <w:contextualSpacing w:val="0"/>
      </w:pPr>
      <w:bookmarkStart w:id="13" w:name="_Toc207222799"/>
      <w:bookmarkStart w:id="14" w:name="_Toc194466457"/>
      <w:r w:rsidRPr="007D78E7">
        <w:rPr>
          <w:u w:val="none"/>
        </w:rPr>
        <w:t>3.</w:t>
      </w:r>
      <w:r w:rsidRPr="007D78E7">
        <w:rPr>
          <w:u w:val="none"/>
        </w:rPr>
        <w:tab/>
      </w:r>
      <w:r w:rsidR="0060727C">
        <w:t>Major Provisions of the Proposal – 10 CFR Part 53</w:t>
      </w:r>
      <w:bookmarkEnd w:id="13"/>
    </w:p>
    <w:p w:rsidR="00AC1417" w:rsidRPr="00845D1D" w:rsidP="00AE4747" w14:paraId="2A0FD807" w14:textId="77777777">
      <w:pPr>
        <w:pStyle w:val="Heading2"/>
        <w:numPr>
          <w:ilvl w:val="0"/>
          <w:numId w:val="0"/>
        </w:numPr>
        <w:ind w:left="720" w:hanging="720"/>
      </w:pPr>
      <w:bookmarkStart w:id="15" w:name="_Toc207222800"/>
      <w:r w:rsidRPr="00AE4747">
        <w:rPr>
          <w:u w:val="none"/>
        </w:rPr>
        <w:t>3.1.</w:t>
      </w:r>
      <w:r w:rsidRPr="00AE4747">
        <w:rPr>
          <w:u w:val="none"/>
        </w:rPr>
        <w:tab/>
      </w:r>
      <w:r w:rsidRPr="00845D1D">
        <w:t>Subpart A: General Provisions (§§ 53.015-53.120)</w:t>
      </w:r>
      <w:bookmarkEnd w:id="14"/>
      <w:bookmarkEnd w:id="15"/>
    </w:p>
    <w:p w:rsidR="00AC1417" w:rsidRPr="00350280" w:rsidP="007D78E7" w14:paraId="3CDF583D" w14:textId="77777777">
      <w:pPr>
        <w:pStyle w:val="Heading3"/>
        <w:numPr>
          <w:ilvl w:val="0"/>
          <w:numId w:val="0"/>
        </w:numPr>
        <w:ind w:left="720" w:hanging="720"/>
      </w:pPr>
      <w:bookmarkStart w:id="16" w:name="_Toc194466458"/>
      <w:bookmarkStart w:id="17" w:name="_Toc207222801"/>
      <w:r w:rsidRPr="007D78E7">
        <w:rPr>
          <w:u w:val="none"/>
        </w:rPr>
        <w:t>3.1.1</w:t>
      </w:r>
      <w:r w:rsidRPr="007D78E7">
        <w:rPr>
          <w:u w:val="none"/>
        </w:rPr>
        <w:tab/>
      </w:r>
      <w:r w:rsidRPr="00845D1D">
        <w:t>Definitions (§ 53.020)</w:t>
      </w:r>
      <w:bookmarkEnd w:id="16"/>
      <w:bookmarkEnd w:id="17"/>
    </w:p>
    <w:p w:rsidR="00C702D5" w:rsidRPr="00EB256B" w:rsidP="00EB256B" w14:paraId="5F48F1E0" w14:textId="77777777">
      <w:pPr>
        <w:spacing w:after="220"/>
        <w:rPr>
          <w:rFonts w:ascii="Arial" w:eastAsia="Times New Roman" w:hAnsi="Arial" w:cs="Arial"/>
          <w:sz w:val="22"/>
          <w:szCs w:val="22"/>
        </w:rPr>
      </w:pPr>
      <w:r w:rsidRPr="00EB256B">
        <w:rPr>
          <w:rFonts w:ascii="Arial" w:eastAsia="Times New Roman" w:hAnsi="Arial" w:cs="Arial"/>
          <w:b/>
          <w:sz w:val="22"/>
          <w:szCs w:val="22"/>
        </w:rPr>
        <w:t>Comment Bin 3.1.1.A:</w:t>
      </w:r>
      <w:r w:rsidRPr="00EB256B">
        <w:rPr>
          <w:rFonts w:ascii="Arial" w:eastAsia="Times New Roman" w:hAnsi="Arial" w:cs="Arial"/>
          <w:sz w:val="22"/>
          <w:szCs w:val="22"/>
        </w:rPr>
        <w:t xml:space="preserve"> A commenter said that the rule should discuss the definition of “functional design criteria” for 10 CFR Part 53 in the context of principal design criteria, a closely related concept under 10 CFR Part 50 and 10 CFR Part 52 (</w:t>
      </w:r>
      <w:r w:rsidR="009D6BB9">
        <w:rPr>
          <w:rFonts w:ascii="Arial" w:eastAsia="Times New Roman" w:hAnsi="Arial" w:cs="Arial"/>
          <w:sz w:val="22"/>
          <w:szCs w:val="22"/>
        </w:rPr>
        <w:t>NEI2</w:t>
      </w:r>
      <w:r w:rsidRPr="00EB256B">
        <w:rPr>
          <w:rFonts w:ascii="Arial" w:eastAsia="Times New Roman" w:hAnsi="Arial" w:cs="Arial"/>
          <w:sz w:val="22"/>
          <w:szCs w:val="22"/>
        </w:rPr>
        <w:t xml:space="preserve">-0014). The commenter wrote that </w:t>
      </w:r>
      <w:r w:rsidRPr="00EB256B">
        <w:rPr>
          <w:rFonts w:ascii="Arial" w:hAnsi="Arial" w:cs="Arial"/>
          <w:sz w:val="22"/>
          <w:szCs w:val="22"/>
        </w:rPr>
        <w:t xml:space="preserve">“functional design criteria” under 10 CFR Part 53 serves a similar purpose as "principal design criteria" under 10 CFR Part 50 and 10 CFR Part 52, and that they appreciate the effort to limit functional design criteria appropriately and relegate special treatments to other requirements. </w:t>
      </w:r>
      <w:r w:rsidRPr="00EB256B">
        <w:rPr>
          <w:rFonts w:ascii="Arial" w:eastAsia="Times New Roman" w:hAnsi="Arial" w:cs="Arial"/>
          <w:sz w:val="22"/>
          <w:szCs w:val="22"/>
        </w:rPr>
        <w:t>The commenter noted that while the definition of principal design criteria focuses on the criteria being met by SSCs alone, principal design criteria may in fact be met by SSCs, human actions, programs, or a combination thereof. The commenter suggested revising the definition of “functional design criteria” by (1) adding “programs and operator actions” as means by which functional design criteria may be met, (2) changing the first instance of “SSCs” to read “functions supported by SSCs” and replacing subsequent instances of “SSCs” with “functions,” and (3) adding cross-references to the safety criteria in 10 CFR 53.260 and 53.270 (</w:t>
      </w:r>
      <w:r w:rsidR="009D6BB9">
        <w:rPr>
          <w:rFonts w:ascii="Arial" w:eastAsia="Times New Roman" w:hAnsi="Arial" w:cs="Arial"/>
          <w:sz w:val="22"/>
          <w:szCs w:val="22"/>
        </w:rPr>
        <w:t>NEI2</w:t>
      </w:r>
      <w:r w:rsidRPr="00EB256B">
        <w:rPr>
          <w:rFonts w:ascii="Arial" w:eastAsia="Times New Roman" w:hAnsi="Arial" w:cs="Arial"/>
          <w:sz w:val="22"/>
          <w:szCs w:val="22"/>
        </w:rPr>
        <w:t xml:space="preserve">-0033, </w:t>
      </w:r>
      <w:r w:rsidR="009D6BB9">
        <w:rPr>
          <w:rFonts w:ascii="Arial" w:hAnsi="Arial" w:cs="Arial"/>
          <w:sz w:val="22"/>
          <w:szCs w:val="22"/>
        </w:rPr>
        <w:t>NEI2</w:t>
      </w:r>
      <w:r w:rsidRPr="00EB256B">
        <w:rPr>
          <w:rFonts w:ascii="Arial" w:hAnsi="Arial" w:cs="Arial"/>
          <w:sz w:val="22"/>
          <w:szCs w:val="22"/>
        </w:rPr>
        <w:t>-0045</w:t>
      </w:r>
      <w:r w:rsidRPr="00EB256B">
        <w:rPr>
          <w:rFonts w:ascii="Arial" w:eastAsia="Times New Roman" w:hAnsi="Arial" w:cs="Arial"/>
          <w:sz w:val="22"/>
          <w:szCs w:val="22"/>
        </w:rPr>
        <w:t>).</w:t>
      </w:r>
    </w:p>
    <w:p w:rsidR="00C702D5" w:rsidRPr="00EB256B" w:rsidP="00EB256B" w14:paraId="0C7416CA"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the comments.</w:t>
      </w:r>
    </w:p>
    <w:p w:rsidR="00C702D5" w:rsidRPr="00EB256B" w:rsidP="00EB256B" w14:paraId="5C9AF2E3"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There are significant differences between the concepts of “principal design criteria” from 10 CFR Part 50 and “functional design criteria” used in 10 CFR Part 53. Principal design criteria are a key part of a largely deterministic methodology and define specific design requirements and design rules against which the NRC reviews proposed reactor designs. Functional design criteria within 10 CFR Part 53 are derived as part of a risk-informed and performance-based </w:t>
      </w:r>
      <w:r w:rsidRPr="00EB256B">
        <w:rPr>
          <w:rFonts w:ascii="Arial" w:eastAsia="Times New Roman" w:hAnsi="Arial" w:cs="Arial"/>
          <w:sz w:val="22"/>
          <w:szCs w:val="22"/>
        </w:rPr>
        <w:t>methodology and an overall hierarchy that covers: (1) plant-level safety criteria; (2) safety functions needed to demonstrate compliance with the safety criteria; (3) design features, human actions, and programmatic controls needed to fulfill the safety functions; and (4) functional design criteria defined for each design feature relied on to demonstrate the safety criteria are met. In terms of specificity of requirements for individual design features, functional design criteria would align more closely with the definition of “design bases” in 10 CFR 50.2.</w:t>
      </w:r>
    </w:p>
    <w:p w:rsidR="00C702D5" w:rsidRPr="00EB256B" w:rsidP="00EB256B" w14:paraId="3F64CE73" w14:textId="77777777">
      <w:pPr>
        <w:spacing w:after="220"/>
        <w:rPr>
          <w:rFonts w:ascii="Arial" w:eastAsia="Times New Roman" w:hAnsi="Arial" w:cs="Arial"/>
          <w:sz w:val="22"/>
          <w:szCs w:val="22"/>
        </w:rPr>
      </w:pPr>
      <w:r w:rsidRPr="00EB256B">
        <w:rPr>
          <w:rFonts w:ascii="Arial" w:eastAsia="DengXian" w:hAnsi="Arial" w:cs="Arial"/>
          <w:sz w:val="22"/>
          <w:szCs w:val="22"/>
          <w:lang w:eastAsia="ja-JP"/>
        </w:rPr>
        <w:t>Accordingly, the NRC did not change the rule language in response to these comments.</w:t>
      </w:r>
    </w:p>
    <w:p w:rsidR="00AC1417" w:rsidRPr="00EB256B" w:rsidP="00EB256B" w14:paraId="1950DF68"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48" style="width:0;height:1.5pt" o:hralign="center" o:hrstd="t" o:hrnoshade="t" o:hr="t" fillcolor="black" stroked="f"/>
        </w:pict>
      </w:r>
    </w:p>
    <w:p w:rsidR="007F75AE" w:rsidRPr="00EB256B" w:rsidP="00EB256B" w14:paraId="4E975326" w14:textId="77777777">
      <w:pPr>
        <w:spacing w:after="220"/>
        <w:rPr>
          <w:rFonts w:ascii="Arial" w:eastAsia="Times New Roman" w:hAnsi="Arial" w:cs="Arial"/>
          <w:sz w:val="22"/>
          <w:szCs w:val="22"/>
        </w:rPr>
      </w:pPr>
      <w:r w:rsidRPr="00EB256B">
        <w:rPr>
          <w:rFonts w:ascii="Arial" w:eastAsia="Times New Roman" w:hAnsi="Arial" w:cs="Arial"/>
          <w:b/>
          <w:color w:val="000000"/>
          <w:sz w:val="22"/>
          <w:szCs w:val="22"/>
          <w:lang w:eastAsia="zh-CN"/>
        </w:rPr>
        <w:t xml:space="preserve">Comment Bin 3.1.1.B: </w:t>
      </w:r>
      <w:r w:rsidRPr="00EB256B">
        <w:rPr>
          <w:rFonts w:ascii="Arial" w:eastAsia="Times New Roman" w:hAnsi="Arial" w:cs="Arial"/>
          <w:sz w:val="22"/>
          <w:szCs w:val="22"/>
        </w:rPr>
        <w:t>A commenter supported some aspects of the definition of “commercial nuclear plant” while seeking changes to other aspects. The commenter supported excluding the phrase “in a self-supporting chain reaction” (which appears in the definition of “nuclear reactor” in 10 CFR 50.2) from the definition of “commercial nuclear reactor” that is referenced in the definition of “commercial nuclear plant.” The commenter also supported the second sentence of the definition: “For the purposes of requirements in this part that reference requirements in part 50 of this chapter, a commercial nuclear plant is equivalent to a nuclear power plant.” However, the commenter objected to creating the new term “commercial nuclear plant” for 10 CFR Part 53 instead of using the existing term “production and utilization facility” from 10 CFR Part 50 and 10</w:t>
      </w:r>
      <w:r w:rsidRPr="00203033" w:rsidR="00E541D4">
        <w:rPr>
          <w:rFonts w:ascii="Arial" w:eastAsia="DengXian" w:hAnsi="Arial" w:cs="Arial"/>
          <w:sz w:val="22"/>
          <w:szCs w:val="22"/>
          <w:lang w:eastAsia="ja-JP"/>
        </w:rPr>
        <w:t> </w:t>
      </w:r>
      <w:r w:rsidRPr="00EB256B">
        <w:rPr>
          <w:rFonts w:ascii="Arial" w:eastAsia="Times New Roman" w:hAnsi="Arial" w:cs="Arial"/>
          <w:sz w:val="22"/>
          <w:szCs w:val="22"/>
        </w:rPr>
        <w:t>CFR</w:t>
      </w:r>
      <w:r w:rsidRPr="00203033" w:rsidR="00E541D4">
        <w:rPr>
          <w:rFonts w:ascii="Arial" w:eastAsia="DengXian" w:hAnsi="Arial" w:cs="Arial"/>
          <w:sz w:val="22"/>
          <w:szCs w:val="22"/>
          <w:lang w:eastAsia="ja-JP"/>
        </w:rPr>
        <w:t> </w:t>
      </w:r>
      <w:r w:rsidRPr="00EB256B">
        <w:rPr>
          <w:rFonts w:ascii="Arial" w:eastAsia="Times New Roman" w:hAnsi="Arial" w:cs="Arial"/>
          <w:sz w:val="22"/>
          <w:szCs w:val="22"/>
        </w:rPr>
        <w:t>Part 52, saying this will lead to confusion as to how 10 CFR Part 53 is an optional alternative to 10 CFR Part 50 and 10 CFR Part 52. The commenter also stated that including a separate definition of “utilization facility” only added to the confusion—they suggested deleting that definition and modifying the definition of “commercial nuclear plant” to make 10</w:t>
      </w:r>
      <w:r w:rsidRPr="00203033" w:rsidR="00E541D4">
        <w:rPr>
          <w:rFonts w:ascii="Arial" w:eastAsia="DengXian" w:hAnsi="Arial" w:cs="Arial"/>
          <w:sz w:val="22"/>
          <w:szCs w:val="22"/>
          <w:lang w:eastAsia="ja-JP"/>
        </w:rPr>
        <w:t> </w:t>
      </w:r>
      <w:r w:rsidRPr="00EB256B">
        <w:rPr>
          <w:rFonts w:ascii="Arial" w:eastAsia="Times New Roman" w:hAnsi="Arial" w:cs="Arial"/>
          <w:sz w:val="22"/>
          <w:szCs w:val="22"/>
        </w:rPr>
        <w:t>CFR</w:t>
      </w:r>
      <w:r w:rsidRPr="00203033" w:rsidR="00E541D4">
        <w:rPr>
          <w:rFonts w:ascii="Arial" w:eastAsia="DengXian" w:hAnsi="Arial" w:cs="Arial"/>
          <w:sz w:val="22"/>
          <w:szCs w:val="22"/>
          <w:lang w:eastAsia="ja-JP"/>
        </w:rPr>
        <w:t> </w:t>
      </w:r>
      <w:r w:rsidRPr="00EB256B">
        <w:rPr>
          <w:rFonts w:ascii="Arial" w:eastAsia="Times New Roman" w:hAnsi="Arial" w:cs="Arial"/>
          <w:sz w:val="22"/>
          <w:szCs w:val="22"/>
        </w:rPr>
        <w:t>Part</w:t>
      </w:r>
      <w:r w:rsidRPr="00203033" w:rsidR="00E541D4">
        <w:rPr>
          <w:rFonts w:ascii="Arial" w:eastAsia="DengXian" w:hAnsi="Arial" w:cs="Arial"/>
          <w:sz w:val="22"/>
          <w:szCs w:val="22"/>
          <w:lang w:eastAsia="ja-JP"/>
        </w:rPr>
        <w:t> </w:t>
      </w:r>
      <w:r w:rsidRPr="00EB256B">
        <w:rPr>
          <w:rFonts w:ascii="Arial" w:eastAsia="Times New Roman" w:hAnsi="Arial" w:cs="Arial"/>
          <w:sz w:val="22"/>
          <w:szCs w:val="22"/>
        </w:rPr>
        <w:t>53 applicable to all production and utilization facilities licensed under section 103 or 104 of the A</w:t>
      </w:r>
      <w:r w:rsidR="005F05FB">
        <w:rPr>
          <w:rFonts w:ascii="Arial" w:eastAsia="Times New Roman" w:hAnsi="Arial" w:cs="Arial"/>
          <w:sz w:val="22"/>
          <w:szCs w:val="22"/>
        </w:rPr>
        <w:t>EA</w:t>
      </w:r>
      <w:r w:rsidRPr="00EB256B">
        <w:rPr>
          <w:rFonts w:ascii="Arial" w:eastAsia="Times New Roman" w:hAnsi="Arial" w:cs="Arial"/>
          <w:sz w:val="22"/>
          <w:szCs w:val="22"/>
        </w:rPr>
        <w:t xml:space="preserve"> (</w:t>
      </w:r>
      <w:r w:rsidR="009D6BB9">
        <w:rPr>
          <w:rFonts w:ascii="Arial" w:eastAsia="Times New Roman" w:hAnsi="Arial" w:cs="Arial"/>
          <w:sz w:val="22"/>
          <w:szCs w:val="22"/>
        </w:rPr>
        <w:t>NEI2</w:t>
      </w:r>
      <w:r w:rsidRPr="00EB256B">
        <w:rPr>
          <w:rFonts w:ascii="Arial" w:eastAsia="Times New Roman" w:hAnsi="Arial" w:cs="Arial"/>
          <w:sz w:val="22"/>
          <w:szCs w:val="22"/>
        </w:rPr>
        <w:t>-0025).</w:t>
      </w:r>
    </w:p>
    <w:p w:rsidR="007F75AE" w:rsidRPr="00EB256B" w:rsidP="00EB256B" w14:paraId="1E5DC5C1" w14:textId="77777777">
      <w:pPr>
        <w:spacing w:after="220"/>
        <w:rPr>
          <w:rFonts w:ascii="Arial" w:eastAsia="Times New Roman" w:hAnsi="Arial" w:cs="Arial"/>
          <w:color w:val="000000"/>
          <w:sz w:val="22"/>
          <w:szCs w:val="22"/>
          <w:lang w:eastAsia="zh-CN"/>
        </w:rPr>
      </w:pPr>
      <w:r w:rsidRPr="00EB256B">
        <w:rPr>
          <w:rFonts w:ascii="Arial" w:eastAsia="Times New Roman" w:hAnsi="Arial" w:cs="Arial"/>
          <w:sz w:val="22"/>
          <w:szCs w:val="22"/>
        </w:rPr>
        <w:t xml:space="preserve">Another commenter expressed concerns that the proposed rule restricts the definition of new and advanced reactor to evolutionary </w:t>
      </w:r>
      <w:r w:rsidR="00E045F8">
        <w:rPr>
          <w:rFonts w:ascii="Arial" w:eastAsia="Times New Roman" w:hAnsi="Arial" w:cs="Arial"/>
          <w:sz w:val="22"/>
          <w:szCs w:val="22"/>
        </w:rPr>
        <w:t>light-</w:t>
      </w:r>
      <w:r w:rsidR="005502AA">
        <w:rPr>
          <w:rFonts w:ascii="Arial" w:eastAsia="Times New Roman" w:hAnsi="Arial" w:cs="Arial"/>
          <w:sz w:val="22"/>
          <w:szCs w:val="22"/>
        </w:rPr>
        <w:t>water reactor (</w:t>
      </w:r>
      <w:r w:rsidRPr="00EB256B">
        <w:rPr>
          <w:rFonts w:ascii="Arial" w:eastAsia="Times New Roman" w:hAnsi="Arial" w:cs="Arial"/>
          <w:sz w:val="22"/>
          <w:szCs w:val="22"/>
        </w:rPr>
        <w:t>LWR</w:t>
      </w:r>
      <w:r w:rsidR="005502AA">
        <w:rPr>
          <w:rFonts w:ascii="Arial" w:eastAsia="Times New Roman" w:hAnsi="Arial" w:cs="Arial"/>
          <w:sz w:val="22"/>
          <w:szCs w:val="22"/>
        </w:rPr>
        <w:t>)</w:t>
      </w:r>
      <w:r w:rsidRPr="00EB256B">
        <w:rPr>
          <w:rFonts w:ascii="Arial" w:eastAsia="Times New Roman" w:hAnsi="Arial" w:cs="Arial"/>
          <w:sz w:val="22"/>
          <w:szCs w:val="22"/>
        </w:rPr>
        <w:t xml:space="preserve"> and non-LWR technologies and recommended that the </w:t>
      </w:r>
      <w:r w:rsidR="006E28BF">
        <w:rPr>
          <w:rFonts w:ascii="Arial" w:eastAsia="Times New Roman" w:hAnsi="Arial" w:cs="Arial"/>
          <w:sz w:val="22"/>
          <w:szCs w:val="22"/>
        </w:rPr>
        <w:t>a</w:t>
      </w:r>
      <w:r w:rsidRPr="00EB256B">
        <w:rPr>
          <w:rFonts w:ascii="Arial" w:eastAsia="Times New Roman" w:hAnsi="Arial" w:cs="Arial"/>
          <w:sz w:val="22"/>
          <w:szCs w:val="22"/>
        </w:rPr>
        <w:t>gency specify and define what “advanced” means in practical terms and for any change in safety significance (</w:t>
      </w:r>
      <w:r w:rsidR="00A02F0C">
        <w:rPr>
          <w:rFonts w:ascii="Arial" w:eastAsia="Times New Roman" w:hAnsi="Arial" w:cs="Arial"/>
          <w:color w:val="000000"/>
          <w:sz w:val="22"/>
          <w:szCs w:val="22"/>
          <w:lang w:eastAsia="zh-CN"/>
        </w:rPr>
        <w:t>RD</w:t>
      </w:r>
      <w:r w:rsidRPr="00EB256B">
        <w:rPr>
          <w:rFonts w:ascii="Arial" w:eastAsia="Times New Roman" w:hAnsi="Arial" w:cs="Arial"/>
          <w:color w:val="000000"/>
          <w:sz w:val="22"/>
          <w:szCs w:val="22"/>
          <w:lang w:eastAsia="zh-CN"/>
        </w:rPr>
        <w:t>-0007).</w:t>
      </w:r>
    </w:p>
    <w:p w:rsidR="007F75AE" w:rsidRPr="00EB256B" w:rsidP="00EB256B" w14:paraId="0E7834A3" w14:textId="77777777">
      <w:pPr>
        <w:spacing w:after="220"/>
        <w:rPr>
          <w:rFonts w:ascii="Arial" w:eastAsia="Times New Roman" w:hAnsi="Arial" w:cs="Arial"/>
          <w:color w:val="000000"/>
          <w:sz w:val="22"/>
          <w:szCs w:val="22"/>
          <w:lang w:eastAsia="zh-CN"/>
        </w:rPr>
      </w:pPr>
      <w:r w:rsidRPr="00EB256B">
        <w:rPr>
          <w:rFonts w:ascii="Arial" w:eastAsia="DengXian" w:hAnsi="Arial" w:cs="Arial"/>
          <w:sz w:val="22"/>
          <w:szCs w:val="22"/>
          <w:lang w:eastAsia="ja-JP"/>
        </w:rPr>
        <w:t>Another commenter said that the NRC’s expansion of the applicability of the proposed rule from “advanced nuclear reactors” to all “commercial reactors” violates both the letter and spirit of NEIMA. The commenter said that the NRC’s excuse is that NEIMA did not define “advanced reactors” with enough specificity to implement in the NRC regulations, which the commenter said is false as NEIMA listed a number of characteristics that it considered “significant improvements”. The commenter said that it is arbitrary and capricious for the NRC to conclude that because NEIMA was not specific enough, the NRC can completely jettison any consideration of improvements compared to current reactors to determine eligibility for 10</w:t>
      </w:r>
      <w:r w:rsidRPr="00203033" w:rsidR="00E541D4">
        <w:rPr>
          <w:rFonts w:ascii="Arial" w:eastAsia="DengXian" w:hAnsi="Arial" w:cs="Arial"/>
          <w:sz w:val="22"/>
          <w:szCs w:val="22"/>
          <w:lang w:eastAsia="ja-JP"/>
        </w:rPr>
        <w:t> </w:t>
      </w:r>
      <w:r w:rsidRPr="00EB256B">
        <w:rPr>
          <w:rFonts w:ascii="Arial" w:eastAsia="DengXian" w:hAnsi="Arial" w:cs="Arial"/>
          <w:sz w:val="22"/>
          <w:szCs w:val="22"/>
          <w:lang w:eastAsia="ja-JP"/>
        </w:rPr>
        <w:t>CFR</w:t>
      </w:r>
      <w:r w:rsidRPr="00203033" w:rsidR="00E541D4">
        <w:rPr>
          <w:rFonts w:ascii="Arial" w:eastAsia="DengXian" w:hAnsi="Arial" w:cs="Arial"/>
          <w:sz w:val="22"/>
          <w:szCs w:val="22"/>
          <w:lang w:eastAsia="ja-JP"/>
        </w:rPr>
        <w:t> </w:t>
      </w:r>
      <w:r w:rsidRPr="00EB256B">
        <w:rPr>
          <w:rFonts w:ascii="Arial" w:eastAsia="DengXian" w:hAnsi="Arial" w:cs="Arial"/>
          <w:sz w:val="22"/>
          <w:szCs w:val="22"/>
          <w:lang w:eastAsia="ja-JP"/>
        </w:rPr>
        <w:t xml:space="preserve">Part 53. The commenter also questioned why the NRC did not just use </w:t>
      </w:r>
      <w:r w:rsidR="00E541D4">
        <w:rPr>
          <w:rFonts w:ascii="Arial" w:eastAsia="DengXian" w:hAnsi="Arial" w:cs="Arial"/>
          <w:sz w:val="22"/>
          <w:szCs w:val="22"/>
          <w:lang w:eastAsia="ja-JP"/>
        </w:rPr>
        <w:t>its</w:t>
      </w:r>
      <w:r w:rsidRPr="00EB256B">
        <w:rPr>
          <w:rFonts w:ascii="Arial" w:eastAsia="DengXian" w:hAnsi="Arial" w:cs="Arial"/>
          <w:sz w:val="22"/>
          <w:szCs w:val="22"/>
          <w:lang w:eastAsia="ja-JP"/>
        </w:rPr>
        <w:t xml:space="preserve"> own definition of “advanced reactors” (</w:t>
      </w:r>
      <w:r w:rsidR="00337242">
        <w:rPr>
          <w:rFonts w:ascii="Arial" w:eastAsia="Times New Roman" w:hAnsi="Arial" w:cs="Arial"/>
          <w:color w:val="000000"/>
          <w:sz w:val="22"/>
          <w:szCs w:val="22"/>
          <w:lang w:eastAsia="zh-CN"/>
        </w:rPr>
        <w:t>UCS</w:t>
      </w:r>
      <w:r w:rsidRPr="00EB256B">
        <w:rPr>
          <w:rFonts w:ascii="Arial" w:eastAsia="Times New Roman" w:hAnsi="Arial" w:cs="Arial"/>
          <w:color w:val="000000"/>
          <w:sz w:val="22"/>
          <w:szCs w:val="22"/>
          <w:lang w:eastAsia="zh-CN"/>
        </w:rPr>
        <w:t>-0003).</w:t>
      </w:r>
    </w:p>
    <w:p w:rsidR="007F75AE" w:rsidRPr="00EB256B" w:rsidP="00EB256B" w14:paraId="34881B8B" w14:textId="77777777">
      <w:pPr>
        <w:spacing w:after="220"/>
        <w:rPr>
          <w:rFonts w:ascii="Arial" w:eastAsia="DengXian" w:hAnsi="Arial" w:cs="Arial"/>
          <w:sz w:val="22"/>
          <w:szCs w:val="22"/>
        </w:rPr>
      </w:pPr>
      <w:r w:rsidRPr="00EB256B">
        <w:rPr>
          <w:rFonts w:ascii="Arial" w:eastAsia="DengXian" w:hAnsi="Arial" w:cs="Arial"/>
          <w:sz w:val="22"/>
          <w:szCs w:val="22"/>
        </w:rPr>
        <w:t xml:space="preserve">Arguing that some proposed terms and definitions are tied to existing regulations for large LWRs, another commenter stated that the rule instead should apply terms and definitions in a modern, risk-informed manner that reflects the reduced risk-profiles and dose consequences of advanced reactors. Specifically, the commenter took issue with the proposed definitions of “commercial nuclear plant,” “commercial nuclear reactor,” and “utilization facility,” reasoning that while they may accommodate some deployment models involving stationary reactors deployed to a final place of operation, they limit other deployment models involving fuel loading and physics testing at a manufacturing facility, or rapid, high-volume deployment of small and mobile advanced reactors to multiple sites in series. The commenter suggested that the NRC should </w:t>
      </w:r>
      <w:r w:rsidRPr="00EB256B">
        <w:rPr>
          <w:rFonts w:ascii="Arial" w:eastAsia="DengXian" w:hAnsi="Arial" w:cs="Arial"/>
          <w:sz w:val="22"/>
          <w:szCs w:val="22"/>
        </w:rPr>
        <w:t>work with stakeholders to adopt terms and definitions for the regulation of advanced reactors (including microreactors) that are more appropriate and risk-informed, in line with NEIMA (</w:t>
      </w:r>
      <w:r w:rsidR="00611CA0">
        <w:rPr>
          <w:rFonts w:ascii="Arial" w:eastAsia="DengXian" w:hAnsi="Arial" w:cs="Arial"/>
          <w:sz w:val="22"/>
          <w:szCs w:val="22"/>
        </w:rPr>
        <w:t>RAD</w:t>
      </w:r>
      <w:r w:rsidRPr="00EB256B">
        <w:rPr>
          <w:rFonts w:ascii="Arial" w:eastAsia="DengXian" w:hAnsi="Arial" w:cs="Arial"/>
          <w:sz w:val="22"/>
          <w:szCs w:val="22"/>
        </w:rPr>
        <w:t>-0014).</w:t>
      </w:r>
    </w:p>
    <w:p w:rsidR="007F75AE" w:rsidRPr="00EB256B" w:rsidP="00EB256B" w14:paraId="64958487"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the comments.</w:t>
      </w:r>
    </w:p>
    <w:p w:rsidR="007F75AE" w:rsidRPr="00EB256B" w:rsidP="00EB256B" w14:paraId="570A117F"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 scope of 10 CFR Part 53 is intentionally limited to utilization facilities licensed under </w:t>
      </w:r>
      <w:r w:rsidR="009E1316">
        <w:rPr>
          <w:rFonts w:ascii="Arial" w:eastAsia="Times New Roman" w:hAnsi="Arial" w:cs="Arial"/>
          <w:sz w:val="22"/>
          <w:szCs w:val="22"/>
        </w:rPr>
        <w:t>s</w:t>
      </w:r>
      <w:r w:rsidRPr="00EB256B">
        <w:rPr>
          <w:rFonts w:ascii="Arial" w:eastAsia="Times New Roman" w:hAnsi="Arial" w:cs="Arial"/>
          <w:sz w:val="22"/>
          <w:szCs w:val="22"/>
        </w:rPr>
        <w:t>ection 103 of the A</w:t>
      </w:r>
      <w:r w:rsidR="003E3ACF">
        <w:rPr>
          <w:rFonts w:ascii="Arial" w:eastAsia="Times New Roman" w:hAnsi="Arial" w:cs="Arial"/>
          <w:sz w:val="22"/>
          <w:szCs w:val="22"/>
        </w:rPr>
        <w:t>EA</w:t>
      </w:r>
      <w:r w:rsidRPr="00EB256B">
        <w:rPr>
          <w:rFonts w:ascii="Arial" w:eastAsia="Times New Roman" w:hAnsi="Arial" w:cs="Arial"/>
          <w:sz w:val="22"/>
          <w:szCs w:val="22"/>
        </w:rPr>
        <w:t xml:space="preserve">. The regulations in 10 CFR Part 53 do not address the unique requirements and distinctions that are associated with production facilities under </w:t>
      </w:r>
      <w:r w:rsidR="009E1316">
        <w:rPr>
          <w:rFonts w:ascii="Arial" w:eastAsia="Times New Roman" w:hAnsi="Arial" w:cs="Arial"/>
          <w:sz w:val="22"/>
          <w:szCs w:val="22"/>
        </w:rPr>
        <w:t>s</w:t>
      </w:r>
      <w:r w:rsidRPr="00EB256B">
        <w:rPr>
          <w:rFonts w:ascii="Arial" w:eastAsia="Times New Roman" w:hAnsi="Arial" w:cs="Arial"/>
          <w:sz w:val="22"/>
          <w:szCs w:val="22"/>
        </w:rPr>
        <w:t>ection 103 of the A</w:t>
      </w:r>
      <w:r w:rsidR="003E3ACF">
        <w:rPr>
          <w:rFonts w:ascii="Arial" w:eastAsia="Times New Roman" w:hAnsi="Arial" w:cs="Arial"/>
          <w:sz w:val="22"/>
          <w:szCs w:val="22"/>
        </w:rPr>
        <w:t>EA</w:t>
      </w:r>
      <w:r w:rsidRPr="00EB256B">
        <w:rPr>
          <w:rFonts w:ascii="Arial" w:eastAsia="Times New Roman" w:hAnsi="Arial" w:cs="Arial"/>
          <w:sz w:val="22"/>
          <w:szCs w:val="22"/>
        </w:rPr>
        <w:t xml:space="preserve"> or uses for medical therapy and research and development under </w:t>
      </w:r>
      <w:r w:rsidR="009E1316">
        <w:rPr>
          <w:rFonts w:ascii="Arial" w:eastAsia="Times New Roman" w:hAnsi="Arial" w:cs="Arial"/>
          <w:sz w:val="22"/>
          <w:szCs w:val="22"/>
        </w:rPr>
        <w:t>s</w:t>
      </w:r>
      <w:r w:rsidRPr="00EB256B">
        <w:rPr>
          <w:rFonts w:ascii="Arial" w:eastAsia="Times New Roman" w:hAnsi="Arial" w:cs="Arial"/>
          <w:sz w:val="22"/>
          <w:szCs w:val="22"/>
        </w:rPr>
        <w:t>ection 104 of the A</w:t>
      </w:r>
      <w:r w:rsidR="003E3ACF">
        <w:rPr>
          <w:rFonts w:ascii="Arial" w:eastAsia="Times New Roman" w:hAnsi="Arial" w:cs="Arial"/>
          <w:sz w:val="22"/>
          <w:szCs w:val="22"/>
        </w:rPr>
        <w:t>EA</w:t>
      </w:r>
      <w:r w:rsidRPr="00EB256B">
        <w:rPr>
          <w:rFonts w:ascii="Arial" w:eastAsia="Times New Roman" w:hAnsi="Arial" w:cs="Arial"/>
          <w:sz w:val="22"/>
          <w:szCs w:val="22"/>
        </w:rPr>
        <w:t>. As explained in Section IV, Subpart A—General Provisions of the final rule, defining the scope of the rule using the term “advanced reactors” from NEIMA proved to be problematic and the term “commercial nuclear plant” was chosen.</w:t>
      </w:r>
    </w:p>
    <w:p w:rsidR="007F75AE" w:rsidRPr="00EB256B" w:rsidP="00EB256B" w14:paraId="384E28E7" w14:textId="77777777">
      <w:pPr>
        <w:spacing w:after="220"/>
        <w:rPr>
          <w:rFonts w:ascii="Arial" w:eastAsia="Times New Roman" w:hAnsi="Arial" w:cs="Arial"/>
          <w:sz w:val="22"/>
          <w:szCs w:val="22"/>
        </w:rPr>
      </w:pPr>
      <w:r w:rsidRPr="00EB256B">
        <w:rPr>
          <w:rFonts w:ascii="Arial" w:eastAsia="Times New Roman" w:hAnsi="Arial" w:cs="Arial"/>
          <w:sz w:val="22"/>
          <w:szCs w:val="22"/>
        </w:rPr>
        <w:t>Therefore, a new term is used to reflect the differences from the definition of “nuclear reactor” in 10 CFR Part 50. Because the definition of “commercial nuclear plant” is more expansive than the definition of “advanced reactor” under NEIMA – and would include all reactors encompassed in that term, 10 CFR Part 53 fulfills the statutory requirements of NEIMA. While 10 CFR Part 53 also covers reactors beyond those described in the definition of “advanced reactor” under NEIMA, the NRC has expansive authority to promulgate regulations governing the licensing of new reactors under the A</w:t>
      </w:r>
      <w:r w:rsidR="00224B19">
        <w:rPr>
          <w:rFonts w:ascii="Arial" w:eastAsia="Times New Roman" w:hAnsi="Arial" w:cs="Arial"/>
          <w:sz w:val="22"/>
          <w:szCs w:val="22"/>
        </w:rPr>
        <w:t>EA</w:t>
      </w:r>
      <w:r w:rsidRPr="00EB256B">
        <w:rPr>
          <w:rFonts w:ascii="Arial" w:eastAsia="Times New Roman" w:hAnsi="Arial" w:cs="Arial"/>
          <w:sz w:val="22"/>
          <w:szCs w:val="22"/>
        </w:rPr>
        <w:t xml:space="preserve"> as explained in response to </w:t>
      </w:r>
      <w:r w:rsidRPr="00EB256B" w:rsidR="00F94F7D">
        <w:rPr>
          <w:rFonts w:ascii="Arial" w:eastAsia="Times New Roman" w:hAnsi="Arial" w:cs="Arial"/>
          <w:sz w:val="22"/>
          <w:szCs w:val="22"/>
        </w:rPr>
        <w:t>C</w:t>
      </w:r>
      <w:r w:rsidRPr="00EB256B">
        <w:rPr>
          <w:rFonts w:ascii="Arial" w:eastAsia="Times New Roman" w:hAnsi="Arial" w:cs="Arial"/>
          <w:sz w:val="22"/>
          <w:szCs w:val="22"/>
        </w:rPr>
        <w:t xml:space="preserve">omment </w:t>
      </w:r>
      <w:r w:rsidRPr="00EB256B" w:rsidR="00F94F7D">
        <w:rPr>
          <w:rFonts w:ascii="Arial" w:eastAsia="Times New Roman" w:hAnsi="Arial" w:cs="Arial"/>
          <w:sz w:val="22"/>
          <w:szCs w:val="22"/>
        </w:rPr>
        <w:t>Bin 1.3.B</w:t>
      </w:r>
      <w:r w:rsidRPr="00EB256B">
        <w:rPr>
          <w:rFonts w:ascii="Arial" w:eastAsia="Times New Roman" w:hAnsi="Arial" w:cs="Arial"/>
          <w:color w:val="000000"/>
          <w:sz w:val="22"/>
          <w:szCs w:val="22"/>
          <w:lang w:eastAsia="zh-CN"/>
        </w:rPr>
        <w:t>.</w:t>
      </w:r>
      <w:r w:rsidRPr="00EB256B">
        <w:rPr>
          <w:rFonts w:ascii="Arial" w:eastAsia="Times New Roman" w:hAnsi="Arial" w:cs="Arial"/>
          <w:sz w:val="22"/>
          <w:szCs w:val="22"/>
        </w:rPr>
        <w:t xml:space="preserve"> </w:t>
      </w:r>
      <w:r w:rsidRPr="00EB256B" w:rsidR="00406BF3">
        <w:rPr>
          <w:rFonts w:ascii="Arial" w:eastAsia="Times New Roman" w:hAnsi="Arial" w:cs="Arial"/>
          <w:sz w:val="22"/>
          <w:szCs w:val="22"/>
        </w:rPr>
        <w:t xml:space="preserve">Including these reactors within the scope of </w:t>
      </w:r>
      <w:r w:rsidRPr="00EB256B" w:rsidR="007C51E3">
        <w:rPr>
          <w:rFonts w:ascii="Arial" w:eastAsia="Times New Roman" w:hAnsi="Arial" w:cs="Arial"/>
          <w:sz w:val="22"/>
          <w:szCs w:val="22"/>
        </w:rPr>
        <w:t>10 CFR </w:t>
      </w:r>
      <w:r w:rsidRPr="00EB256B" w:rsidR="00406BF3">
        <w:rPr>
          <w:rFonts w:ascii="Arial" w:eastAsia="Times New Roman" w:hAnsi="Arial" w:cs="Arial"/>
          <w:sz w:val="22"/>
          <w:szCs w:val="22"/>
        </w:rPr>
        <w:t>Part 53 is appropriate</w:t>
      </w:r>
      <w:r w:rsidRPr="00EB256B" w:rsidR="00290FE8">
        <w:rPr>
          <w:rFonts w:ascii="Arial" w:eastAsia="Times New Roman" w:hAnsi="Arial" w:cs="Arial"/>
          <w:sz w:val="22"/>
          <w:szCs w:val="22"/>
        </w:rPr>
        <w:t xml:space="preserve"> because </w:t>
      </w:r>
      <w:r w:rsidRPr="00EB256B" w:rsidR="007C51E3">
        <w:rPr>
          <w:rFonts w:ascii="Arial" w:eastAsia="Times New Roman" w:hAnsi="Arial" w:cs="Arial"/>
          <w:sz w:val="22"/>
          <w:szCs w:val="22"/>
        </w:rPr>
        <w:t>10 CFR </w:t>
      </w:r>
      <w:r w:rsidRPr="00EB256B" w:rsidR="00CF59CB">
        <w:rPr>
          <w:rFonts w:ascii="Arial" w:eastAsia="Times New Roman" w:hAnsi="Arial" w:cs="Arial"/>
          <w:sz w:val="22"/>
          <w:szCs w:val="22"/>
        </w:rPr>
        <w:t>Part</w:t>
      </w:r>
      <w:r w:rsidRPr="00EB256B" w:rsidR="007C51E3">
        <w:rPr>
          <w:rFonts w:ascii="Arial" w:eastAsia="Times New Roman" w:hAnsi="Arial" w:cs="Arial"/>
          <w:sz w:val="22"/>
          <w:szCs w:val="22"/>
        </w:rPr>
        <w:t> </w:t>
      </w:r>
      <w:r w:rsidRPr="00EB256B" w:rsidR="00CF59CB">
        <w:rPr>
          <w:rFonts w:ascii="Arial" w:eastAsia="Times New Roman" w:hAnsi="Arial" w:cs="Arial"/>
          <w:sz w:val="22"/>
          <w:szCs w:val="22"/>
        </w:rPr>
        <w:t xml:space="preserve">53’s safety standards are </w:t>
      </w:r>
      <w:r w:rsidRPr="00EB256B" w:rsidR="00827955">
        <w:rPr>
          <w:rFonts w:ascii="Arial" w:eastAsia="Times New Roman" w:hAnsi="Arial" w:cs="Arial"/>
          <w:sz w:val="22"/>
          <w:szCs w:val="22"/>
        </w:rPr>
        <w:t xml:space="preserve">sufficient to ensure that any </w:t>
      </w:r>
      <w:r w:rsidRPr="00EB256B" w:rsidR="00981A5D">
        <w:rPr>
          <w:rFonts w:ascii="Arial" w:eastAsia="Times New Roman" w:hAnsi="Arial" w:cs="Arial"/>
          <w:sz w:val="22"/>
          <w:szCs w:val="22"/>
        </w:rPr>
        <w:t xml:space="preserve">reactor licensed under that part </w:t>
      </w:r>
      <w:r w:rsidRPr="00EB256B" w:rsidR="0065564D">
        <w:rPr>
          <w:rFonts w:ascii="Arial" w:eastAsia="Times New Roman" w:hAnsi="Arial" w:cs="Arial"/>
          <w:sz w:val="22"/>
          <w:szCs w:val="22"/>
        </w:rPr>
        <w:t>pose</w:t>
      </w:r>
      <w:r w:rsidRPr="00EB256B" w:rsidR="002E2ABC">
        <w:rPr>
          <w:rFonts w:ascii="Arial" w:eastAsia="Times New Roman" w:hAnsi="Arial" w:cs="Arial"/>
          <w:sz w:val="22"/>
          <w:szCs w:val="22"/>
        </w:rPr>
        <w:t>s</w:t>
      </w:r>
      <w:r w:rsidRPr="00EB256B" w:rsidR="0065564D">
        <w:rPr>
          <w:rFonts w:ascii="Arial" w:eastAsia="Times New Roman" w:hAnsi="Arial" w:cs="Arial"/>
          <w:sz w:val="22"/>
          <w:szCs w:val="22"/>
        </w:rPr>
        <w:t xml:space="preserve"> </w:t>
      </w:r>
      <w:r w:rsidRPr="00EB256B" w:rsidR="002E2ABC">
        <w:rPr>
          <w:rFonts w:ascii="Arial" w:eastAsia="Times New Roman" w:hAnsi="Arial" w:cs="Arial"/>
          <w:sz w:val="22"/>
          <w:szCs w:val="22"/>
        </w:rPr>
        <w:t>no</w:t>
      </w:r>
      <w:r w:rsidRPr="00EB256B" w:rsidR="0065564D">
        <w:rPr>
          <w:rFonts w:ascii="Arial" w:eastAsia="Times New Roman" w:hAnsi="Arial" w:cs="Arial"/>
          <w:sz w:val="22"/>
          <w:szCs w:val="22"/>
        </w:rPr>
        <w:t xml:space="preserve"> undue risk to public health safety.</w:t>
      </w:r>
      <w:r w:rsidRPr="00EB256B" w:rsidR="00827955">
        <w:rPr>
          <w:rFonts w:ascii="Arial" w:eastAsia="Times New Roman" w:hAnsi="Arial" w:cs="Arial"/>
          <w:sz w:val="22"/>
          <w:szCs w:val="22"/>
        </w:rPr>
        <w:t xml:space="preserve"> </w:t>
      </w:r>
      <w:r w:rsidRPr="00EB256B">
        <w:rPr>
          <w:rFonts w:ascii="Arial" w:eastAsia="Times New Roman" w:hAnsi="Arial" w:cs="Arial"/>
          <w:sz w:val="22"/>
          <w:szCs w:val="22"/>
        </w:rPr>
        <w:t xml:space="preserve">As a result, the NRC disagrees with the assessment that the definition of “commercial nuclear” plant is “arbitrary and capricious.” </w:t>
      </w:r>
    </w:p>
    <w:p w:rsidR="007F75AE" w:rsidP="00EB256B" w14:paraId="2983F1BF" w14:textId="77777777">
      <w:pPr>
        <w:spacing w:after="220"/>
        <w:rPr>
          <w:rFonts w:ascii="Arial" w:eastAsia="DengXian" w:hAnsi="Arial" w:cs="Arial"/>
          <w:sz w:val="22"/>
          <w:szCs w:val="22"/>
          <w:lang w:eastAsia="ja-JP"/>
        </w:rPr>
      </w:pPr>
      <w:r w:rsidRPr="00EB256B">
        <w:rPr>
          <w:rFonts w:ascii="Arial" w:eastAsia="DengXian" w:hAnsi="Arial" w:cs="Arial"/>
          <w:sz w:val="22"/>
          <w:szCs w:val="22"/>
          <w:lang w:eastAsia="ja-JP"/>
        </w:rPr>
        <w:t xml:space="preserve">Accordingly, the NRC did not </w:t>
      </w:r>
      <w:r w:rsidRPr="00EB256B" w:rsidR="004143EE">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these comments.</w:t>
      </w:r>
    </w:p>
    <w:p w:rsidR="000F0279" w:rsidRPr="00EB256B" w:rsidP="000F0279" w14:paraId="45DDFF55" w14:textId="77777777">
      <w:pPr>
        <w:spacing w:after="220"/>
        <w:rPr>
          <w:rFonts w:ascii="Arial" w:eastAsia="Times New Roman" w:hAnsi="Arial" w:cs="Arial"/>
          <w:b/>
          <w:bCs/>
          <w:color w:val="000000"/>
          <w:sz w:val="22"/>
          <w:szCs w:val="22"/>
          <w:lang w:eastAsia="zh-CN"/>
        </w:rPr>
      </w:pPr>
      <w:r>
        <w:rPr>
          <w:rFonts w:ascii="Arial" w:eastAsia="Times New Roman" w:hAnsi="Arial" w:cs="Arial"/>
          <w:sz w:val="22"/>
          <w:szCs w:val="22"/>
          <w:lang w:eastAsia="zh-CN"/>
        </w:rPr>
        <w:pict>
          <v:rect id="_x0000_i1049" style="width:0;height:1.5pt" o:hralign="center" o:hrstd="t" o:hrnoshade="t" o:hr="t" fillcolor="black" stroked="f"/>
        </w:pict>
      </w:r>
    </w:p>
    <w:p w:rsidR="007F75AE" w:rsidRPr="00EB256B" w:rsidP="00EB256B" w14:paraId="70993CA3"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3.1.1.C: </w:t>
      </w:r>
      <w:r w:rsidRPr="00EB256B">
        <w:rPr>
          <w:rFonts w:ascii="Arial" w:eastAsia="Times New Roman" w:hAnsi="Arial" w:cs="Arial"/>
          <w:sz w:val="22"/>
          <w:szCs w:val="22"/>
        </w:rPr>
        <w:t>A commenter suggested removing the definition of “consensus code or standard,” writing that it is incomplete because it lacks some elements of the American National Standards Institute (ANSI) requirements for development of consensus standards and arguing that the NRC should not attempt to develop and enshrine in Federal regulations its own definition that is inconsistent with the nationally recognized process (</w:t>
      </w:r>
      <w:r w:rsidR="009D6BB9">
        <w:rPr>
          <w:rFonts w:ascii="Arial" w:eastAsia="Times New Roman" w:hAnsi="Arial" w:cs="Arial"/>
          <w:sz w:val="22"/>
          <w:szCs w:val="22"/>
        </w:rPr>
        <w:t>NEI2</w:t>
      </w:r>
      <w:r w:rsidRPr="00EB256B">
        <w:rPr>
          <w:rFonts w:ascii="Arial" w:eastAsia="Times New Roman" w:hAnsi="Arial" w:cs="Arial"/>
          <w:sz w:val="22"/>
          <w:szCs w:val="22"/>
        </w:rPr>
        <w:t>-0026). Another commenter echoed this recommendation, stating that it would be consistent with recommendations from the February 11, 2025, NRC public meeting (</w:t>
      </w:r>
      <w:r w:rsidR="00AE0B17">
        <w:rPr>
          <w:rFonts w:ascii="Arial" w:eastAsia="Times New Roman" w:hAnsi="Arial" w:cs="Arial"/>
          <w:color w:val="000000"/>
          <w:sz w:val="22"/>
          <w:szCs w:val="22"/>
          <w:lang w:eastAsia="zh-CN"/>
        </w:rPr>
        <w:t>USNIC2</w:t>
      </w:r>
      <w:r w:rsidRPr="00EB256B">
        <w:rPr>
          <w:rFonts w:ascii="Arial" w:eastAsia="Times New Roman" w:hAnsi="Arial" w:cs="Arial"/>
          <w:color w:val="000000"/>
          <w:sz w:val="22"/>
          <w:szCs w:val="22"/>
          <w:lang w:eastAsia="zh-CN"/>
        </w:rPr>
        <w:t>-0020).</w:t>
      </w:r>
    </w:p>
    <w:p w:rsidR="000E1F04" w:rsidP="00EB256B" w14:paraId="41B83479"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agrees with the comments. </w:t>
      </w:r>
    </w:p>
    <w:p w:rsidR="00E56272" w:rsidRPr="00EB256B" w:rsidP="00EB256B" w14:paraId="52C1D827" w14:textId="77777777">
      <w:pPr>
        <w:spacing w:after="220"/>
        <w:rPr>
          <w:rFonts w:ascii="Arial" w:eastAsia="Times New Roman" w:hAnsi="Arial" w:cs="Arial"/>
          <w:sz w:val="22"/>
          <w:szCs w:val="22"/>
        </w:rPr>
      </w:pPr>
      <w:r w:rsidRPr="00EB256B">
        <w:rPr>
          <w:rFonts w:ascii="Arial" w:eastAsia="Times New Roman" w:hAnsi="Arial" w:cs="Arial"/>
          <w:sz w:val="22"/>
          <w:szCs w:val="22"/>
        </w:rPr>
        <w:t>Defining the term “consensus code or standard” in 10 CFR Part 53 is not essential for the framework and could introduce possible issues given alternative definitions for these terms by standards development organizations, international organizations, and other forums.</w:t>
      </w:r>
    </w:p>
    <w:p w:rsidR="007F75AE" w:rsidRPr="00EB256B" w:rsidP="00EB256B" w14:paraId="718E33F8" w14:textId="77777777">
      <w:pPr>
        <w:spacing w:after="220"/>
        <w:rPr>
          <w:rFonts w:ascii="Arial" w:eastAsia="Times New Roman" w:hAnsi="Arial" w:cs="Arial"/>
          <w:b/>
          <w:sz w:val="22"/>
          <w:szCs w:val="22"/>
        </w:rPr>
      </w:pPr>
      <w:r w:rsidRPr="00EB256B">
        <w:rPr>
          <w:rFonts w:ascii="Arial" w:eastAsia="DengXian" w:hAnsi="Arial" w:cs="Arial"/>
          <w:sz w:val="22"/>
          <w:szCs w:val="22"/>
          <w:lang w:eastAsia="ja-JP"/>
        </w:rPr>
        <w:t>Accordingly, the NRC</w:t>
      </w:r>
      <w:r w:rsidR="00F24B99">
        <w:rPr>
          <w:rFonts w:ascii="Arial" w:eastAsia="DengXian" w:hAnsi="Arial" w:cs="Arial"/>
          <w:sz w:val="22"/>
          <w:szCs w:val="22"/>
          <w:lang w:eastAsia="ja-JP"/>
        </w:rPr>
        <w:t xml:space="preserve"> revis</w:t>
      </w:r>
      <w:r w:rsidR="00053996">
        <w:rPr>
          <w:rFonts w:ascii="Arial" w:eastAsia="DengXian" w:hAnsi="Arial" w:cs="Arial"/>
          <w:sz w:val="22"/>
          <w:szCs w:val="22"/>
          <w:lang w:eastAsia="ja-JP"/>
        </w:rPr>
        <w:t>ed</w:t>
      </w:r>
      <w:r w:rsidRPr="00EB256B">
        <w:rPr>
          <w:rFonts w:ascii="Arial" w:eastAsia="DengXian" w:hAnsi="Arial" w:cs="Arial"/>
          <w:sz w:val="22"/>
          <w:szCs w:val="22"/>
          <w:lang w:eastAsia="ja-JP"/>
        </w:rPr>
        <w:t xml:space="preserve"> the rule language in response to these comments to remove the definition of “consensus code or standard”.</w:t>
      </w:r>
    </w:p>
    <w:p w:rsidR="00AC1417" w:rsidRPr="00EB256B" w:rsidP="00EB256B" w14:paraId="776CAF32"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0" style="width:0;height:1.5pt" o:hralign="center" o:hrstd="t" o:hrnoshade="t" o:hr="t" fillcolor="black" stroked="f"/>
        </w:pict>
      </w:r>
    </w:p>
    <w:p w:rsidR="00077F1C" w:rsidRPr="00EB256B" w:rsidP="00EB256B" w14:paraId="1F8A05FB"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3.1.1.D: </w:t>
      </w:r>
      <w:r w:rsidRPr="00EB256B">
        <w:rPr>
          <w:rFonts w:ascii="Arial" w:eastAsia="Times New Roman" w:hAnsi="Arial" w:cs="Arial"/>
          <w:sz w:val="22"/>
          <w:szCs w:val="22"/>
        </w:rPr>
        <w:t xml:space="preserve">A commenter characterized the definition of “programmatic controls” as vague and subjective, arguing that it offers no clarity or predictability as to what would constitute acceptable programmatic controls and effectively duplicates the longstanding concept of </w:t>
      </w:r>
      <w:r w:rsidRPr="00EB256B">
        <w:rPr>
          <w:rFonts w:ascii="Arial" w:eastAsia="Times New Roman" w:hAnsi="Arial" w:cs="Arial"/>
          <w:sz w:val="22"/>
          <w:szCs w:val="22"/>
        </w:rPr>
        <w:t>“programs.” The commenter suggested removing the definition of “programmatic controls” and replacing that term throughout 10 CFR Part 53 with the term “programs,” to be defined as follows (</w:t>
      </w:r>
      <w:r w:rsidR="009D6BB9">
        <w:rPr>
          <w:rFonts w:ascii="Arial" w:eastAsia="Times New Roman" w:hAnsi="Arial" w:cs="Arial"/>
          <w:sz w:val="22"/>
          <w:szCs w:val="22"/>
        </w:rPr>
        <w:t>NEI2</w:t>
      </w:r>
      <w:r w:rsidRPr="00EB256B">
        <w:rPr>
          <w:rFonts w:ascii="Arial" w:eastAsia="Times New Roman" w:hAnsi="Arial" w:cs="Arial"/>
          <w:sz w:val="22"/>
          <w:szCs w:val="22"/>
        </w:rPr>
        <w:t>-0027):</w:t>
      </w:r>
    </w:p>
    <w:p w:rsidR="00077F1C" w:rsidRPr="00EB256B" w:rsidP="00EB256B" w14:paraId="0D14288E" w14:textId="77777777">
      <w:pPr>
        <w:spacing w:after="220"/>
        <w:ind w:left="720"/>
        <w:rPr>
          <w:rFonts w:ascii="Arial" w:eastAsia="Times New Roman" w:hAnsi="Arial" w:cs="Arial"/>
          <w:sz w:val="22"/>
          <w:szCs w:val="22"/>
        </w:rPr>
      </w:pPr>
      <w:r w:rsidRPr="00EB256B">
        <w:rPr>
          <w:rFonts w:ascii="Arial" w:eastAsia="Times New Roman" w:hAnsi="Arial" w:cs="Arial"/>
          <w:i/>
          <w:sz w:val="22"/>
          <w:szCs w:val="22"/>
        </w:rPr>
        <w:t>Programs</w:t>
      </w:r>
      <w:r w:rsidRPr="00EB256B">
        <w:rPr>
          <w:rFonts w:ascii="Arial" w:eastAsia="Times New Roman" w:hAnsi="Arial" w:cs="Arial"/>
          <w:sz w:val="22"/>
          <w:szCs w:val="22"/>
        </w:rPr>
        <w:t xml:space="preserve"> are the administrative measures and controls that are relied upon by the NRC to provide reasonable assurance that plant design, construction, maintenance and operation meet the safety criteria in 53.210 and 53.220 for the lifetime of the plant. Programs may apply to design features and/or credited human actions. Programs that require NRC approval are specified in the regulations for various technical areas (e.g.,</w:t>
      </w:r>
      <w:r w:rsidRPr="00203033" w:rsidR="00D077D1">
        <w:rPr>
          <w:rFonts w:ascii="Arial" w:eastAsia="DengXian" w:hAnsi="Arial" w:cs="Arial"/>
          <w:sz w:val="22"/>
          <w:szCs w:val="22"/>
          <w:lang w:eastAsia="ja-JP"/>
        </w:rPr>
        <w:t> </w:t>
      </w:r>
      <w:r w:rsidRPr="00EB256B">
        <w:rPr>
          <w:rFonts w:ascii="Arial" w:eastAsia="Times New Roman" w:hAnsi="Arial" w:cs="Arial"/>
          <w:sz w:val="22"/>
          <w:szCs w:val="22"/>
        </w:rPr>
        <w:t>QA).</w:t>
      </w:r>
    </w:p>
    <w:p w:rsidR="005642B0" w:rsidP="00EB256B" w14:paraId="5964962B"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agrees</w:t>
      </w:r>
      <w:r w:rsidR="00674597">
        <w:rPr>
          <w:rFonts w:ascii="Arial" w:eastAsia="Times New Roman" w:hAnsi="Arial" w:cs="Arial"/>
          <w:sz w:val="22"/>
          <w:szCs w:val="22"/>
        </w:rPr>
        <w:t>,</w:t>
      </w:r>
      <w:r w:rsidRPr="00EB256B">
        <w:rPr>
          <w:rFonts w:ascii="Arial" w:eastAsia="Times New Roman" w:hAnsi="Arial" w:cs="Arial"/>
          <w:sz w:val="22"/>
          <w:szCs w:val="22"/>
        </w:rPr>
        <w:t xml:space="preserve"> in part</w:t>
      </w:r>
      <w:r w:rsidR="00674597">
        <w:rPr>
          <w:rFonts w:ascii="Arial" w:eastAsia="Times New Roman" w:hAnsi="Arial" w:cs="Arial"/>
          <w:sz w:val="22"/>
          <w:szCs w:val="22"/>
        </w:rPr>
        <w:t>,</w:t>
      </w:r>
      <w:r w:rsidRPr="00EB256B">
        <w:rPr>
          <w:rFonts w:ascii="Arial" w:eastAsia="Times New Roman" w:hAnsi="Arial" w:cs="Arial"/>
          <w:sz w:val="22"/>
          <w:szCs w:val="22"/>
        </w:rPr>
        <w:t xml:space="preserve"> with th</w:t>
      </w:r>
      <w:r w:rsidR="00D077D1">
        <w:rPr>
          <w:rFonts w:ascii="Arial" w:eastAsia="Times New Roman" w:hAnsi="Arial" w:cs="Arial"/>
          <w:sz w:val="22"/>
          <w:szCs w:val="22"/>
        </w:rPr>
        <w:t>e</w:t>
      </w:r>
      <w:r w:rsidRPr="00EB256B">
        <w:rPr>
          <w:rFonts w:ascii="Arial" w:eastAsia="Times New Roman" w:hAnsi="Arial" w:cs="Arial"/>
          <w:sz w:val="22"/>
          <w:szCs w:val="22"/>
        </w:rPr>
        <w:t xml:space="preserve"> comment. </w:t>
      </w:r>
    </w:p>
    <w:p w:rsidR="00E56272" w:rsidRPr="00EB256B" w:rsidP="00EB256B" w14:paraId="02E1CD83" w14:textId="77777777">
      <w:pPr>
        <w:spacing w:after="220"/>
        <w:rPr>
          <w:rFonts w:ascii="Arial" w:eastAsia="DengXian" w:hAnsi="Arial" w:cs="Arial"/>
          <w:sz w:val="22"/>
          <w:szCs w:val="22"/>
          <w:lang w:eastAsia="ja-JP"/>
        </w:rPr>
      </w:pPr>
      <w:r w:rsidRPr="00EB256B">
        <w:rPr>
          <w:rFonts w:ascii="Arial" w:eastAsia="Times New Roman" w:hAnsi="Arial" w:cs="Arial"/>
          <w:sz w:val="22"/>
          <w:szCs w:val="22"/>
        </w:rPr>
        <w:t>The term programmatic controls as used in 10 CFR Part 53 provides flexibility for applicants and licensees to address risks posed by commercial nuclear plants using a combination of design features and programmatic controls involving procedures for human actions and programs for specific technical areas (e.g., radiation protection, quality assurance</w:t>
      </w:r>
      <w:r w:rsidR="00FE1F44">
        <w:rPr>
          <w:rFonts w:ascii="Arial" w:eastAsia="Times New Roman" w:hAnsi="Arial" w:cs="Arial"/>
          <w:sz w:val="22"/>
          <w:szCs w:val="22"/>
        </w:rPr>
        <w:t xml:space="preserve"> [QA]</w:t>
      </w:r>
      <w:r w:rsidRPr="00EB256B">
        <w:rPr>
          <w:rFonts w:ascii="Arial" w:eastAsia="Times New Roman" w:hAnsi="Arial" w:cs="Arial"/>
          <w:sz w:val="22"/>
          <w:szCs w:val="22"/>
        </w:rPr>
        <w:t xml:space="preserve">). Programmatic controls are therefore broader than the program documents addressed in Subpart F. The NRC has incorporated minor changes to the definition of “programmatic controls” from that included in the proposed rule to clarify how the term is used throughout 10 CFR Part 53; the relationship with the higher-level requirements for programs that are included in Subpart F; and, as suggested by the comment, distinguish between SSCs classified as </w:t>
      </w:r>
      <w:r w:rsidR="00D63CC8">
        <w:rPr>
          <w:rFonts w:ascii="Arial" w:eastAsia="Times New Roman" w:hAnsi="Arial" w:cs="Arial"/>
          <w:sz w:val="22"/>
          <w:szCs w:val="22"/>
        </w:rPr>
        <w:t>safety-</w:t>
      </w:r>
      <w:r w:rsidR="00084F42">
        <w:rPr>
          <w:rFonts w:ascii="Arial" w:eastAsia="Times New Roman" w:hAnsi="Arial" w:cs="Arial"/>
          <w:sz w:val="22"/>
          <w:szCs w:val="22"/>
        </w:rPr>
        <w:t>related (</w:t>
      </w:r>
      <w:r w:rsidRPr="00EB256B">
        <w:rPr>
          <w:rFonts w:ascii="Arial" w:eastAsia="Times New Roman" w:hAnsi="Arial" w:cs="Arial"/>
          <w:sz w:val="22"/>
          <w:szCs w:val="22"/>
        </w:rPr>
        <w:t>SR</w:t>
      </w:r>
      <w:r w:rsidR="00084F42">
        <w:rPr>
          <w:rFonts w:ascii="Arial" w:eastAsia="Times New Roman" w:hAnsi="Arial" w:cs="Arial"/>
          <w:sz w:val="22"/>
          <w:szCs w:val="22"/>
        </w:rPr>
        <w:t>)</w:t>
      </w:r>
      <w:r w:rsidRPr="00EB256B">
        <w:rPr>
          <w:rFonts w:ascii="Arial" w:eastAsia="Times New Roman" w:hAnsi="Arial" w:cs="Arial"/>
          <w:sz w:val="22"/>
          <w:szCs w:val="22"/>
        </w:rPr>
        <w:t xml:space="preserve"> or </w:t>
      </w:r>
      <w:r w:rsidR="00060262">
        <w:rPr>
          <w:rFonts w:ascii="Arial" w:eastAsia="Times New Roman" w:hAnsi="Arial" w:cs="Arial"/>
          <w:sz w:val="22"/>
          <w:szCs w:val="22"/>
        </w:rPr>
        <w:t>non</w:t>
      </w:r>
      <w:r w:rsidR="00FE1F44">
        <w:rPr>
          <w:rFonts w:ascii="Arial" w:eastAsia="Times New Roman" w:hAnsi="Arial" w:cs="Arial"/>
          <w:sz w:val="22"/>
          <w:szCs w:val="22"/>
        </w:rPr>
        <w:noBreakHyphen/>
      </w:r>
      <w:r w:rsidR="00060262">
        <w:rPr>
          <w:rFonts w:ascii="Arial" w:eastAsia="Times New Roman" w:hAnsi="Arial" w:cs="Arial"/>
          <w:sz w:val="22"/>
          <w:szCs w:val="22"/>
        </w:rPr>
        <w:t>sa</w:t>
      </w:r>
      <w:r w:rsidR="00FD40E8">
        <w:rPr>
          <w:rFonts w:ascii="Arial" w:eastAsia="Times New Roman" w:hAnsi="Arial" w:cs="Arial"/>
          <w:sz w:val="22"/>
          <w:szCs w:val="22"/>
        </w:rPr>
        <w:t>fety</w:t>
      </w:r>
      <w:r w:rsidR="00084F42">
        <w:rPr>
          <w:rFonts w:ascii="Arial" w:eastAsia="Times New Roman" w:hAnsi="Arial" w:cs="Arial"/>
          <w:sz w:val="22"/>
          <w:szCs w:val="22"/>
        </w:rPr>
        <w:t>-</w:t>
      </w:r>
      <w:r w:rsidR="00FD40E8">
        <w:rPr>
          <w:rFonts w:ascii="Arial" w:eastAsia="Times New Roman" w:hAnsi="Arial" w:cs="Arial"/>
          <w:sz w:val="22"/>
          <w:szCs w:val="22"/>
        </w:rPr>
        <w:t>related but safety significant (</w:t>
      </w:r>
      <w:r w:rsidRPr="00EB256B">
        <w:rPr>
          <w:rFonts w:ascii="Arial" w:eastAsia="Times New Roman" w:hAnsi="Arial" w:cs="Arial"/>
          <w:sz w:val="22"/>
          <w:szCs w:val="22"/>
        </w:rPr>
        <w:t>NSRSS</w:t>
      </w:r>
      <w:r w:rsidR="00FD40E8">
        <w:rPr>
          <w:rFonts w:ascii="Arial" w:eastAsia="Times New Roman" w:hAnsi="Arial" w:cs="Arial"/>
          <w:sz w:val="22"/>
          <w:szCs w:val="22"/>
        </w:rPr>
        <w:t>)</w:t>
      </w:r>
      <w:r w:rsidRPr="00EB256B">
        <w:rPr>
          <w:rFonts w:ascii="Arial" w:eastAsia="Times New Roman" w:hAnsi="Arial" w:cs="Arial"/>
          <w:sz w:val="22"/>
          <w:szCs w:val="22"/>
        </w:rPr>
        <w:t>.</w:t>
      </w:r>
    </w:p>
    <w:p w:rsidR="00077F1C" w:rsidRPr="00EB256B" w:rsidP="00EB256B" w14:paraId="2B95BE8F" w14:textId="77777777">
      <w:pPr>
        <w:spacing w:after="220"/>
        <w:rPr>
          <w:rFonts w:ascii="Arial" w:eastAsia="Times New Roman" w:hAnsi="Arial" w:cs="Arial"/>
          <w:b/>
          <w:sz w:val="22"/>
          <w:szCs w:val="22"/>
        </w:rPr>
      </w:pPr>
      <w:r w:rsidRPr="00EB256B">
        <w:rPr>
          <w:rFonts w:ascii="Arial" w:eastAsia="DengXian" w:hAnsi="Arial" w:cs="Arial"/>
          <w:sz w:val="22"/>
          <w:szCs w:val="22"/>
          <w:lang w:eastAsia="ja-JP"/>
        </w:rPr>
        <w:t xml:space="preserve">Accordingly, the NRC </w:t>
      </w:r>
      <w:r w:rsidR="00F24B99">
        <w:rPr>
          <w:rFonts w:ascii="Arial" w:eastAsia="DengXian" w:hAnsi="Arial" w:cs="Arial"/>
          <w:sz w:val="22"/>
          <w:szCs w:val="22"/>
          <w:lang w:eastAsia="ja-JP"/>
        </w:rPr>
        <w:t>revis</w:t>
      </w:r>
      <w:r w:rsidR="00053996">
        <w:rPr>
          <w:rFonts w:ascii="Arial" w:eastAsia="DengXian" w:hAnsi="Arial" w:cs="Arial"/>
          <w:sz w:val="22"/>
          <w:szCs w:val="22"/>
          <w:lang w:eastAsia="ja-JP"/>
        </w:rPr>
        <w:t>ed</w:t>
      </w:r>
      <w:r w:rsidRPr="00EB256B">
        <w:rPr>
          <w:rFonts w:ascii="Arial" w:eastAsia="DengXian" w:hAnsi="Arial" w:cs="Arial"/>
          <w:sz w:val="22"/>
          <w:szCs w:val="22"/>
          <w:lang w:eastAsia="ja-JP"/>
        </w:rPr>
        <w:t xml:space="preserve"> the rule language in response to this comment to make minor clarifying changes to the definition of </w:t>
      </w:r>
      <w:r w:rsidRPr="001A5651">
        <w:rPr>
          <w:rFonts w:ascii="Arial" w:eastAsia="DengXian" w:hAnsi="Arial" w:cs="Arial"/>
          <w:i/>
          <w:sz w:val="22"/>
          <w:szCs w:val="22"/>
          <w:lang w:eastAsia="ja-JP"/>
        </w:rPr>
        <w:t>programmatic controls</w:t>
      </w:r>
      <w:r w:rsidR="00112C3C">
        <w:rPr>
          <w:rFonts w:ascii="Arial" w:eastAsia="DengXian" w:hAnsi="Arial" w:cs="Arial"/>
          <w:sz w:val="22"/>
          <w:szCs w:val="22"/>
          <w:lang w:eastAsia="ja-JP"/>
        </w:rPr>
        <w:t>.</w:t>
      </w:r>
    </w:p>
    <w:p w:rsidR="005D6D8E" w:rsidRPr="00EB256B" w:rsidP="00EB256B" w14:paraId="2ABC2E9F"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51" style="width:0;height:1.5pt" o:hralign="center" o:hrstd="t" o:hrnoshade="t" o:hr="t" fillcolor="black" stroked="f"/>
        </w:pict>
      </w:r>
    </w:p>
    <w:p w:rsidR="00077F1C" w:rsidRPr="00EB256B" w:rsidP="00EB256B" w14:paraId="10555CDC" w14:textId="77777777">
      <w:pPr>
        <w:spacing w:after="220"/>
        <w:rPr>
          <w:rFonts w:ascii="Arial" w:eastAsia="Times New Roman" w:hAnsi="Arial" w:cs="Arial"/>
          <w:sz w:val="22"/>
          <w:szCs w:val="22"/>
          <w:lang w:eastAsia="zh-CN"/>
        </w:rPr>
      </w:pPr>
      <w:r w:rsidRPr="00EB256B">
        <w:rPr>
          <w:rFonts w:ascii="Arial" w:eastAsia="Times New Roman" w:hAnsi="Arial" w:cs="Arial"/>
          <w:b/>
          <w:sz w:val="22"/>
          <w:szCs w:val="22"/>
          <w:lang w:eastAsia="zh-CN"/>
        </w:rPr>
        <w:t xml:space="preserve">Comment Bin 3.1.1.E: </w:t>
      </w:r>
      <w:r w:rsidRPr="00EB256B">
        <w:rPr>
          <w:rFonts w:ascii="Arial" w:eastAsia="Times New Roman" w:hAnsi="Arial" w:cs="Arial"/>
          <w:sz w:val="22"/>
          <w:szCs w:val="22"/>
          <w:lang w:eastAsia="zh-CN"/>
        </w:rPr>
        <w:t>A commenter suggested that the NRC align the definition of PRA in 10 CFR 53.020 with the definition on the NRC website to address inconsistencies between the two definitions (</w:t>
      </w:r>
      <w:r w:rsidR="009D6BB9">
        <w:rPr>
          <w:rFonts w:ascii="Arial" w:eastAsia="Times New Roman" w:hAnsi="Arial" w:cs="Arial"/>
          <w:sz w:val="22"/>
          <w:szCs w:val="22"/>
          <w:lang w:eastAsia="zh-CN"/>
        </w:rPr>
        <w:t>NEI2</w:t>
      </w:r>
      <w:r w:rsidRPr="00EB256B">
        <w:rPr>
          <w:rFonts w:ascii="Arial" w:eastAsia="Times New Roman" w:hAnsi="Arial" w:cs="Arial"/>
          <w:sz w:val="22"/>
          <w:szCs w:val="22"/>
          <w:lang w:eastAsia="zh-CN"/>
        </w:rPr>
        <w:t>-0246).</w:t>
      </w:r>
    </w:p>
    <w:p w:rsidR="00B002A4" w:rsidP="00EB256B" w14:paraId="35D82842" w14:textId="77777777">
      <w:pPr>
        <w:spacing w:after="220"/>
        <w:rPr>
          <w:rFonts w:ascii="Arial" w:eastAsia="Times New Roman" w:hAnsi="Arial" w:cs="Arial"/>
          <w:sz w:val="22"/>
          <w:szCs w:val="22"/>
          <w:lang w:eastAsia="zh-CN"/>
        </w:rPr>
      </w:pPr>
      <w:r w:rsidRPr="00EB256B">
        <w:rPr>
          <w:rFonts w:ascii="Arial" w:eastAsia="Times New Roman" w:hAnsi="Arial" w:cs="Arial"/>
          <w:b/>
          <w:sz w:val="22"/>
          <w:szCs w:val="22"/>
          <w:lang w:eastAsia="zh-CN"/>
        </w:rPr>
        <w:t>NRC Response:</w:t>
      </w:r>
      <w:r w:rsidRPr="00EB256B">
        <w:rPr>
          <w:rFonts w:ascii="Arial" w:eastAsia="Times New Roman" w:hAnsi="Arial" w:cs="Arial"/>
          <w:sz w:val="22"/>
          <w:szCs w:val="22"/>
          <w:lang w:eastAsia="zh-CN"/>
        </w:rPr>
        <w:t xml:space="preserve"> The NRC agrees</w:t>
      </w:r>
      <w:r w:rsidR="00674597">
        <w:rPr>
          <w:rFonts w:ascii="Arial" w:eastAsia="Times New Roman" w:hAnsi="Arial" w:cs="Arial"/>
          <w:sz w:val="22"/>
          <w:szCs w:val="22"/>
          <w:lang w:eastAsia="zh-CN"/>
        </w:rPr>
        <w:t>,</w:t>
      </w:r>
      <w:r w:rsidRPr="00EB256B">
        <w:rPr>
          <w:rFonts w:ascii="Arial" w:eastAsia="Times New Roman" w:hAnsi="Arial" w:cs="Arial"/>
          <w:sz w:val="22"/>
          <w:szCs w:val="22"/>
          <w:lang w:eastAsia="zh-CN"/>
        </w:rPr>
        <w:t xml:space="preserve"> in part</w:t>
      </w:r>
      <w:r w:rsidR="00674597">
        <w:rPr>
          <w:rFonts w:ascii="Arial" w:eastAsia="Times New Roman" w:hAnsi="Arial" w:cs="Arial"/>
          <w:sz w:val="22"/>
          <w:szCs w:val="22"/>
          <w:lang w:eastAsia="zh-CN"/>
        </w:rPr>
        <w:t>,</w:t>
      </w:r>
      <w:r w:rsidRPr="00EB256B">
        <w:rPr>
          <w:rFonts w:ascii="Arial" w:eastAsia="Times New Roman" w:hAnsi="Arial" w:cs="Arial"/>
          <w:sz w:val="22"/>
          <w:szCs w:val="22"/>
          <w:lang w:eastAsia="zh-CN"/>
        </w:rPr>
        <w:t xml:space="preserve"> with th</w:t>
      </w:r>
      <w:r w:rsidR="00D077D1">
        <w:rPr>
          <w:rFonts w:ascii="Arial" w:eastAsia="Times New Roman" w:hAnsi="Arial" w:cs="Arial"/>
          <w:sz w:val="22"/>
          <w:szCs w:val="22"/>
          <w:lang w:eastAsia="zh-CN"/>
        </w:rPr>
        <w:t>e</w:t>
      </w:r>
      <w:r w:rsidRPr="00EB256B">
        <w:rPr>
          <w:rFonts w:ascii="Arial" w:eastAsia="Times New Roman" w:hAnsi="Arial" w:cs="Arial"/>
          <w:sz w:val="22"/>
          <w:szCs w:val="22"/>
          <w:lang w:eastAsia="zh-CN"/>
        </w:rPr>
        <w:t xml:space="preserve"> comment. </w:t>
      </w:r>
    </w:p>
    <w:p w:rsidR="00DB2297" w:rsidRPr="00EB256B" w:rsidP="00EB256B" w14:paraId="408D38A1" w14:textId="77777777">
      <w:pPr>
        <w:spacing w:after="220"/>
        <w:rPr>
          <w:rFonts w:ascii="Arial" w:eastAsia="Times New Roman" w:hAnsi="Arial" w:cs="Arial"/>
          <w:sz w:val="22"/>
          <w:szCs w:val="22"/>
          <w:lang w:eastAsia="zh-CN"/>
        </w:rPr>
      </w:pPr>
      <w:r w:rsidRPr="00EB256B">
        <w:rPr>
          <w:rFonts w:ascii="Arial" w:eastAsia="Times New Roman" w:hAnsi="Arial" w:cs="Arial"/>
          <w:sz w:val="22"/>
          <w:szCs w:val="22"/>
          <w:lang w:eastAsia="zh-CN"/>
        </w:rPr>
        <w:t xml:space="preserve">The NRC agrees there is inconsistency between the definition of the term probabilistic risk assessment </w:t>
      </w:r>
      <w:r w:rsidR="001B6B0B">
        <w:rPr>
          <w:rFonts w:ascii="Arial" w:eastAsia="Times New Roman" w:hAnsi="Arial" w:cs="Arial"/>
          <w:sz w:val="22"/>
          <w:szCs w:val="22"/>
          <w:lang w:eastAsia="zh-CN"/>
        </w:rPr>
        <w:t xml:space="preserve">(PRA) </w:t>
      </w:r>
      <w:r w:rsidRPr="00EB256B">
        <w:rPr>
          <w:rFonts w:ascii="Arial" w:eastAsia="Times New Roman" w:hAnsi="Arial" w:cs="Arial"/>
          <w:sz w:val="22"/>
          <w:szCs w:val="22"/>
          <w:lang w:eastAsia="zh-CN"/>
        </w:rPr>
        <w:t xml:space="preserve">on the NRC’s public website and the definition of that term in the </w:t>
      </w:r>
      <w:r w:rsidR="00365B45">
        <w:rPr>
          <w:rFonts w:ascii="Arial" w:eastAsia="Times New Roman" w:hAnsi="Arial" w:cs="Arial"/>
          <w:sz w:val="22"/>
          <w:szCs w:val="22"/>
          <w:lang w:eastAsia="zh-CN"/>
        </w:rPr>
        <w:t>10 CFR </w:t>
      </w:r>
      <w:r w:rsidRPr="00EB256B">
        <w:rPr>
          <w:rFonts w:ascii="Arial" w:eastAsia="Times New Roman" w:hAnsi="Arial" w:cs="Arial"/>
          <w:sz w:val="22"/>
          <w:szCs w:val="22"/>
          <w:lang w:eastAsia="zh-CN"/>
        </w:rPr>
        <w:t xml:space="preserve">Part 53 proposed rule. </w:t>
      </w:r>
      <w:r w:rsidR="00674597">
        <w:rPr>
          <w:rFonts w:ascii="Arial" w:eastAsia="Times New Roman" w:hAnsi="Arial" w:cs="Arial"/>
          <w:sz w:val="22"/>
          <w:szCs w:val="22"/>
          <w:lang w:eastAsia="zh-CN"/>
        </w:rPr>
        <w:t xml:space="preserve">The NRC disagrees </w:t>
      </w:r>
      <w:r w:rsidRPr="00EB256B">
        <w:rPr>
          <w:rFonts w:ascii="Arial" w:eastAsia="Times New Roman" w:hAnsi="Arial" w:cs="Arial"/>
          <w:sz w:val="22"/>
          <w:szCs w:val="22"/>
          <w:lang w:eastAsia="zh-CN"/>
        </w:rPr>
        <w:t>that codifying a definition of “probabilistic risk assessment” is necessary.</w:t>
      </w:r>
      <w:r w:rsidR="00674597">
        <w:rPr>
          <w:rFonts w:ascii="Arial" w:eastAsia="Times New Roman" w:hAnsi="Arial" w:cs="Arial"/>
          <w:sz w:val="22"/>
          <w:szCs w:val="22"/>
          <w:lang w:eastAsia="zh-CN"/>
        </w:rPr>
        <w:t xml:space="preserve"> </w:t>
      </w:r>
      <w:r w:rsidR="00053996">
        <w:rPr>
          <w:rFonts w:ascii="Arial" w:eastAsia="Times New Roman" w:hAnsi="Arial" w:cs="Arial"/>
          <w:sz w:val="22"/>
          <w:szCs w:val="22"/>
          <w:lang w:eastAsia="zh-CN"/>
        </w:rPr>
        <w:t xml:space="preserve">Instead, the NRC deleted the definition of "probabilistic risk assessment.” </w:t>
      </w:r>
    </w:p>
    <w:p w:rsidR="00077F1C" w:rsidRPr="00EB256B" w:rsidP="00EB256B" w14:paraId="04C24B5D" w14:textId="77777777">
      <w:pPr>
        <w:spacing w:after="220"/>
        <w:rPr>
          <w:rFonts w:ascii="Arial" w:eastAsia="Times New Roman" w:hAnsi="Arial" w:cs="Arial"/>
          <w:b/>
          <w:sz w:val="22"/>
          <w:szCs w:val="22"/>
          <w:lang w:eastAsia="zh-CN"/>
        </w:rPr>
      </w:pPr>
      <w:r w:rsidRPr="00EB256B">
        <w:rPr>
          <w:rFonts w:ascii="Arial" w:eastAsia="Times New Roman" w:hAnsi="Arial" w:cs="Arial"/>
          <w:sz w:val="22"/>
          <w:szCs w:val="22"/>
          <w:lang w:eastAsia="zh-CN"/>
        </w:rPr>
        <w:t xml:space="preserve">Accordingly, the NRC </w:t>
      </w:r>
      <w:r w:rsidR="00F24B99">
        <w:rPr>
          <w:rFonts w:ascii="Arial" w:eastAsia="Times New Roman" w:hAnsi="Arial" w:cs="Arial"/>
          <w:sz w:val="22"/>
          <w:szCs w:val="22"/>
          <w:lang w:eastAsia="zh-CN"/>
        </w:rPr>
        <w:t>revis</w:t>
      </w:r>
      <w:r w:rsidR="00053996">
        <w:rPr>
          <w:rFonts w:ascii="Arial" w:eastAsia="Times New Roman" w:hAnsi="Arial" w:cs="Arial"/>
          <w:sz w:val="22"/>
          <w:szCs w:val="22"/>
          <w:lang w:eastAsia="zh-CN"/>
        </w:rPr>
        <w:t>ed</w:t>
      </w:r>
      <w:r w:rsidR="00F24B99">
        <w:rPr>
          <w:rFonts w:ascii="Arial" w:eastAsia="Times New Roman" w:hAnsi="Arial" w:cs="Arial"/>
          <w:sz w:val="22"/>
          <w:szCs w:val="22"/>
          <w:lang w:eastAsia="zh-CN"/>
        </w:rPr>
        <w:t xml:space="preserve"> </w:t>
      </w:r>
      <w:r w:rsidR="00A974CC">
        <w:rPr>
          <w:rFonts w:ascii="Arial" w:eastAsia="Times New Roman" w:hAnsi="Arial" w:cs="Arial"/>
          <w:sz w:val="22"/>
          <w:szCs w:val="22"/>
          <w:lang w:eastAsia="zh-CN"/>
        </w:rPr>
        <w:t xml:space="preserve">the rule language </w:t>
      </w:r>
      <w:r w:rsidRPr="00EB256B">
        <w:rPr>
          <w:rFonts w:ascii="Arial" w:eastAsia="Times New Roman" w:hAnsi="Arial" w:cs="Arial"/>
          <w:sz w:val="22"/>
          <w:szCs w:val="22"/>
          <w:lang w:eastAsia="zh-CN"/>
        </w:rPr>
        <w:t>to remove the term “probabilistic risk assessment”</w:t>
      </w:r>
      <w:r w:rsidR="00A974CC">
        <w:rPr>
          <w:rFonts w:ascii="Arial" w:eastAsia="Times New Roman" w:hAnsi="Arial" w:cs="Arial"/>
          <w:sz w:val="22"/>
          <w:szCs w:val="22"/>
          <w:lang w:eastAsia="zh-CN"/>
        </w:rPr>
        <w:t xml:space="preserve"> in </w:t>
      </w:r>
      <w:r w:rsidRPr="00EB256B" w:rsidR="00A974CC">
        <w:rPr>
          <w:rFonts w:ascii="Arial" w:eastAsia="Times New Roman" w:hAnsi="Arial" w:cs="Arial"/>
          <w:sz w:val="22"/>
          <w:szCs w:val="22"/>
          <w:lang w:eastAsia="zh-CN"/>
        </w:rPr>
        <w:t>10 CFR 53.020</w:t>
      </w:r>
      <w:r w:rsidR="00FA0A53">
        <w:rPr>
          <w:rFonts w:ascii="Arial" w:eastAsia="Times New Roman" w:hAnsi="Arial" w:cs="Arial"/>
          <w:sz w:val="22"/>
          <w:szCs w:val="22"/>
          <w:lang w:eastAsia="zh-CN"/>
        </w:rPr>
        <w:t xml:space="preserve"> in response to this comment</w:t>
      </w:r>
      <w:r w:rsidR="00A974CC">
        <w:rPr>
          <w:rFonts w:ascii="Arial" w:eastAsia="Times New Roman" w:hAnsi="Arial" w:cs="Arial"/>
          <w:sz w:val="22"/>
          <w:szCs w:val="22"/>
          <w:lang w:eastAsia="zh-CN"/>
        </w:rPr>
        <w:t>.</w:t>
      </w:r>
    </w:p>
    <w:p w:rsidR="00AC1417" w:rsidRPr="00EB256B" w:rsidP="00EB256B" w14:paraId="2CD1DE37"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2" style="width:0;height:1.5pt" o:hralign="center" o:hrstd="t" o:hrnoshade="t" o:hr="t" fillcolor="black" stroked="f"/>
        </w:pict>
      </w:r>
    </w:p>
    <w:p w:rsidR="00077F1C" w:rsidRPr="00EB256B" w:rsidP="00EB256B" w14:paraId="0A46BD00"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3.1.1.F: </w:t>
      </w:r>
      <w:r w:rsidRPr="00EB256B">
        <w:rPr>
          <w:rFonts w:ascii="Arial" w:eastAsia="Times New Roman" w:hAnsi="Arial" w:cs="Arial"/>
          <w:sz w:val="22"/>
          <w:szCs w:val="22"/>
        </w:rPr>
        <w:t>A commenter stated that the 10 CFR Part 53 definition of “small modular reactor” (SMR), like the definition in 10 CFR 50.2, includes an upper limit on electric power generation of 1,000 megawatts thermal (around 300 megawatts electric) per module, which also features in early definitions of SMR by bodies such as the U.S. Department of Energy and the International Atomic Energy Agency. The commenter stated that while those power levels may be suitable for some regulatory purposes (e.g.,</w:t>
      </w:r>
      <w:r w:rsidRPr="00EB256B" w:rsidR="00D95479">
        <w:rPr>
          <w:rFonts w:ascii="Arial" w:eastAsia="Times New Roman" w:hAnsi="Arial" w:cs="Arial"/>
          <w:sz w:val="22"/>
          <w:szCs w:val="22"/>
        </w:rPr>
        <w:t> </w:t>
      </w:r>
      <w:r w:rsidRPr="00EB256B">
        <w:rPr>
          <w:rFonts w:ascii="Arial" w:eastAsia="Times New Roman" w:hAnsi="Arial" w:cs="Arial"/>
          <w:sz w:val="22"/>
          <w:szCs w:val="22"/>
        </w:rPr>
        <w:t xml:space="preserve">setting fees), a reactor power level by itself does </w:t>
      </w:r>
      <w:r w:rsidRPr="00EB256B">
        <w:rPr>
          <w:rFonts w:ascii="Arial" w:eastAsia="Times New Roman" w:hAnsi="Arial" w:cs="Arial"/>
          <w:sz w:val="22"/>
          <w:szCs w:val="22"/>
        </w:rPr>
        <w:t>not determine the safety, security, and accident consequence characteristics of a given design. The commenter thus asked the NRC to remove the power level criterion from the definition of SMR (</w:t>
      </w:r>
      <w:r w:rsidR="009D6BB9">
        <w:rPr>
          <w:rFonts w:ascii="Arial" w:eastAsia="Times New Roman" w:hAnsi="Arial" w:cs="Arial"/>
          <w:sz w:val="22"/>
          <w:szCs w:val="22"/>
        </w:rPr>
        <w:t>NEI2</w:t>
      </w:r>
      <w:r w:rsidRPr="00EB256B">
        <w:rPr>
          <w:rFonts w:ascii="Arial" w:eastAsia="Times New Roman" w:hAnsi="Arial" w:cs="Arial"/>
          <w:sz w:val="22"/>
          <w:szCs w:val="22"/>
        </w:rPr>
        <w:t>-0028).</w:t>
      </w:r>
    </w:p>
    <w:p w:rsidR="00624C6D" w:rsidRPr="00EB256B" w:rsidP="00EB256B" w14:paraId="56CD5462"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w:t>
      </w:r>
      <w:r w:rsidR="00D077D1">
        <w:rPr>
          <w:rFonts w:ascii="Arial" w:eastAsia="Times New Roman" w:hAnsi="Arial" w:cs="Arial"/>
          <w:sz w:val="22"/>
          <w:szCs w:val="22"/>
        </w:rPr>
        <w:t>e</w:t>
      </w:r>
      <w:r w:rsidRPr="00EB256B">
        <w:rPr>
          <w:rFonts w:ascii="Arial" w:eastAsia="Times New Roman" w:hAnsi="Arial" w:cs="Arial"/>
          <w:sz w:val="22"/>
          <w:szCs w:val="22"/>
        </w:rPr>
        <w:t xml:space="preserve"> comment.</w:t>
      </w:r>
    </w:p>
    <w:p w:rsidR="00D95479" w:rsidRPr="00EB256B" w:rsidP="00EB256B" w14:paraId="1E2B13F6"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 definition of SMR included in 10 CFR Part 53 is consistent with other uses of the term in NRC regulations in 10 CFR Part 50 and 10 CFR Part 171. The NRC disagrees with introducing an inconsistency between 10 CFR Part 53 and 10 CFR Parts 50 and 171. The primary reference to SMRs within 10 CFR Part 53 relates to references to the final rulemaking on ‘‘Emergency Preparedness for Small Modular Reactors and Other New Technologies’’ </w:t>
      </w:r>
      <w:r w:rsidR="001953E5">
        <w:rPr>
          <w:rFonts w:ascii="Arial" w:eastAsia="Times New Roman" w:hAnsi="Arial" w:cs="Arial"/>
          <w:sz w:val="22"/>
          <w:szCs w:val="22"/>
        </w:rPr>
        <w:t>(</w:t>
      </w:r>
      <w:r w:rsidR="00181CDC">
        <w:rPr>
          <w:rFonts w:ascii="Arial" w:eastAsia="Times New Roman" w:hAnsi="Arial" w:cs="Arial"/>
          <w:sz w:val="22"/>
          <w:szCs w:val="22"/>
        </w:rPr>
        <w:t>88</w:t>
      </w:r>
      <w:r w:rsidRPr="00203033" w:rsidR="00EA5A37">
        <w:rPr>
          <w:rFonts w:ascii="Arial" w:eastAsia="DengXian" w:hAnsi="Arial" w:cs="Arial"/>
          <w:sz w:val="22"/>
          <w:szCs w:val="22"/>
          <w:lang w:eastAsia="ja-JP"/>
        </w:rPr>
        <w:t> </w:t>
      </w:r>
      <w:r w:rsidR="00181CDC">
        <w:rPr>
          <w:rFonts w:ascii="Arial" w:eastAsia="Times New Roman" w:hAnsi="Arial" w:cs="Arial"/>
          <w:sz w:val="22"/>
          <w:szCs w:val="22"/>
        </w:rPr>
        <w:t>FR</w:t>
      </w:r>
      <w:r w:rsidRPr="00203033" w:rsidR="00EA5A37">
        <w:rPr>
          <w:rFonts w:ascii="Arial" w:eastAsia="DengXian" w:hAnsi="Arial" w:cs="Arial"/>
          <w:sz w:val="22"/>
          <w:szCs w:val="22"/>
          <w:lang w:eastAsia="ja-JP"/>
        </w:rPr>
        <w:t> </w:t>
      </w:r>
      <w:r w:rsidR="00181CDC">
        <w:rPr>
          <w:rFonts w:ascii="Arial" w:eastAsia="Times New Roman" w:hAnsi="Arial" w:cs="Arial"/>
          <w:sz w:val="22"/>
          <w:szCs w:val="22"/>
        </w:rPr>
        <w:t xml:space="preserve">80050; </w:t>
      </w:r>
      <w:r w:rsidR="00A65A4D">
        <w:rPr>
          <w:rFonts w:ascii="Arial" w:eastAsia="Times New Roman" w:hAnsi="Arial" w:cs="Arial"/>
          <w:sz w:val="22"/>
          <w:szCs w:val="22"/>
        </w:rPr>
        <w:t xml:space="preserve">November 16, 2023) </w:t>
      </w:r>
      <w:r w:rsidRPr="00EB256B">
        <w:rPr>
          <w:rFonts w:ascii="Arial" w:eastAsia="Times New Roman" w:hAnsi="Arial" w:cs="Arial"/>
          <w:sz w:val="22"/>
          <w:szCs w:val="22"/>
        </w:rPr>
        <w:t>(the EP for SMR</w:t>
      </w:r>
      <w:r w:rsidR="009721DE">
        <w:rPr>
          <w:rFonts w:ascii="Arial" w:eastAsia="Times New Roman" w:hAnsi="Arial" w:cs="Arial"/>
          <w:sz w:val="22"/>
          <w:szCs w:val="22"/>
        </w:rPr>
        <w:t xml:space="preserve"> and </w:t>
      </w:r>
      <w:r w:rsidR="007F5DE6">
        <w:rPr>
          <w:rFonts w:ascii="Arial" w:eastAsia="Times New Roman" w:hAnsi="Arial" w:cs="Arial"/>
          <w:sz w:val="22"/>
          <w:szCs w:val="22"/>
        </w:rPr>
        <w:t>the Other New Techno</w:t>
      </w:r>
      <w:r w:rsidR="00DC59B3">
        <w:rPr>
          <w:rFonts w:ascii="Arial" w:eastAsia="Times New Roman" w:hAnsi="Arial" w:cs="Arial"/>
          <w:sz w:val="22"/>
          <w:szCs w:val="22"/>
        </w:rPr>
        <w:t>logy [</w:t>
      </w:r>
      <w:r w:rsidRPr="00EB256B">
        <w:rPr>
          <w:rFonts w:ascii="Arial" w:eastAsia="Times New Roman" w:hAnsi="Arial" w:cs="Arial"/>
          <w:sz w:val="22"/>
          <w:szCs w:val="22"/>
        </w:rPr>
        <w:t>ONT</w:t>
      </w:r>
      <w:r w:rsidR="00DC59B3">
        <w:rPr>
          <w:rFonts w:ascii="Arial" w:eastAsia="Times New Roman" w:hAnsi="Arial" w:cs="Arial"/>
          <w:sz w:val="22"/>
          <w:szCs w:val="22"/>
        </w:rPr>
        <w:t>]</w:t>
      </w:r>
      <w:r w:rsidRPr="00EB256B">
        <w:rPr>
          <w:rFonts w:ascii="Arial" w:eastAsia="Times New Roman" w:hAnsi="Arial" w:cs="Arial"/>
          <w:sz w:val="22"/>
          <w:szCs w:val="22"/>
        </w:rPr>
        <w:t xml:space="preserve"> rule) by including references to 10 CFR 50.160, ‘‘Emergency preparedness for small modular reactors, non-light-water reactors, and non-power production or utilization facilities,’’ and by making conforming changes within 10 CFR 50.160.</w:t>
      </w:r>
    </w:p>
    <w:p w:rsidR="00077F1C" w:rsidRPr="00EB256B" w:rsidP="00EB256B" w14:paraId="75A98E78" w14:textId="77777777">
      <w:pPr>
        <w:spacing w:after="220"/>
        <w:rPr>
          <w:rFonts w:ascii="Arial" w:eastAsia="Times New Roman" w:hAnsi="Arial" w:cs="Arial"/>
          <w:b/>
          <w:sz w:val="22"/>
          <w:szCs w:val="22"/>
        </w:rPr>
      </w:pPr>
      <w:r w:rsidRPr="00EB256B">
        <w:rPr>
          <w:rFonts w:ascii="Arial" w:eastAsia="DengXian" w:hAnsi="Arial" w:cs="Arial"/>
          <w:sz w:val="22"/>
          <w:szCs w:val="22"/>
          <w:lang w:eastAsia="ja-JP"/>
        </w:rPr>
        <w:t xml:space="preserve">Accordingly, the NRC did not </w:t>
      </w:r>
      <w:r w:rsidRPr="00EB256B" w:rsidR="00641758">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this comment.</w:t>
      </w:r>
    </w:p>
    <w:p w:rsidR="00AC1417" w:rsidRPr="00EB256B" w:rsidP="00EB256B" w14:paraId="04CB8417"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3" style="width:0;height:1.5pt" o:hralign="center" o:hrstd="t" o:hrnoshade="t" o:hr="t" fillcolor="black" stroked="f"/>
        </w:pict>
      </w:r>
    </w:p>
    <w:p w:rsidR="00847790" w:rsidRPr="00EB256B" w:rsidP="00EB256B" w14:paraId="0E970874"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3.1.1.G: </w:t>
      </w:r>
      <w:r w:rsidRPr="00EB256B">
        <w:rPr>
          <w:rFonts w:ascii="Arial" w:eastAsia="Times New Roman" w:hAnsi="Arial" w:cs="Arial"/>
          <w:sz w:val="22"/>
          <w:szCs w:val="22"/>
        </w:rPr>
        <w:t>Stating that the rule provides for special treatment of NSRSS SSCs and SR SSCs, a commenter asserted that the definition of “special treatment” provides no clarity or regulatory stability. The commenter described how 10 CFR Part 50 and 10 CFR Part 52 instead state within specific requirements whether they apply to SR or risk-significant SSCs and reasoned that the same can be done in 10 CFR Part 53. Urging that there must be a clear distinction among special treatment requirements for SR and NSRSS SSCs, the commenter suggested clearly defining the phrase “risk-significant functions” as it applies in the definitions of special treatment and NSRSS SSCs (</w:t>
      </w:r>
      <w:r w:rsidR="009D6BB9">
        <w:rPr>
          <w:rFonts w:ascii="Arial" w:eastAsia="Times New Roman" w:hAnsi="Arial" w:cs="Arial"/>
          <w:sz w:val="22"/>
          <w:szCs w:val="22"/>
        </w:rPr>
        <w:t>NEI2</w:t>
      </w:r>
      <w:r w:rsidRPr="00EB256B">
        <w:rPr>
          <w:rFonts w:ascii="Arial" w:eastAsia="Times New Roman" w:hAnsi="Arial" w:cs="Arial"/>
          <w:sz w:val="22"/>
          <w:szCs w:val="22"/>
        </w:rPr>
        <w:t>-0029).</w:t>
      </w:r>
    </w:p>
    <w:p w:rsidR="00847790" w:rsidRPr="00EB256B" w:rsidP="00EB256B" w14:paraId="532BF00E"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agrees, in part, with th</w:t>
      </w:r>
      <w:r w:rsidR="00EA5A37">
        <w:rPr>
          <w:rFonts w:ascii="Arial" w:eastAsia="Times New Roman" w:hAnsi="Arial" w:cs="Arial"/>
          <w:sz w:val="22"/>
          <w:szCs w:val="22"/>
        </w:rPr>
        <w:t>e</w:t>
      </w:r>
      <w:r w:rsidRPr="00EB256B">
        <w:rPr>
          <w:rFonts w:ascii="Arial" w:eastAsia="Times New Roman" w:hAnsi="Arial" w:cs="Arial"/>
          <w:sz w:val="22"/>
          <w:szCs w:val="22"/>
        </w:rPr>
        <w:t xml:space="preserve"> comment.</w:t>
      </w:r>
    </w:p>
    <w:p w:rsidR="00847790" w:rsidRPr="00EB256B" w:rsidP="00EB256B" w14:paraId="57A51F7A" w14:textId="77777777">
      <w:pPr>
        <w:spacing w:after="220"/>
        <w:rPr>
          <w:rFonts w:ascii="Arial" w:eastAsia="Times New Roman" w:hAnsi="Arial" w:cs="Arial"/>
          <w:sz w:val="22"/>
          <w:szCs w:val="22"/>
        </w:rPr>
      </w:pPr>
      <w:r w:rsidRPr="00EB256B">
        <w:rPr>
          <w:rFonts w:ascii="Arial" w:eastAsia="Times New Roman" w:hAnsi="Arial" w:cs="Arial"/>
          <w:sz w:val="22"/>
          <w:szCs w:val="22"/>
        </w:rPr>
        <w:t>The regulations within 10 CFR Part 53 require applicants and licensees to identify appropriate special treatments for SSCs to fulfill functional design requirements associated with either design</w:t>
      </w:r>
      <w:r w:rsidR="008C4102">
        <w:rPr>
          <w:rFonts w:ascii="Arial" w:eastAsia="Times New Roman" w:hAnsi="Arial" w:cs="Arial"/>
          <w:sz w:val="22"/>
          <w:szCs w:val="22"/>
        </w:rPr>
        <w:t>-</w:t>
      </w:r>
      <w:r w:rsidRPr="00EB256B">
        <w:rPr>
          <w:rFonts w:ascii="Arial" w:eastAsia="Times New Roman" w:hAnsi="Arial" w:cs="Arial"/>
          <w:sz w:val="22"/>
          <w:szCs w:val="22"/>
        </w:rPr>
        <w:t>basis accidents or licensing-basis events other than design-basis accidents. This provides both a technology-inclusive approach and provides flexibility to applicants and licensees in defining the role of various SSCs and programmatic controls to meet safety criteria in Subpart B. The NRC disagrees with making the definition of the term “special treatment” more prescriptive or deterministic as it could reduce the flexibility that could be allowed for identifying appropriate special treatments.</w:t>
      </w:r>
    </w:p>
    <w:p w:rsidR="00796B92" w:rsidRPr="00EB256B" w:rsidP="00EB256B" w14:paraId="74B575B7" w14:textId="77777777">
      <w:pPr>
        <w:spacing w:after="220"/>
        <w:rPr>
          <w:rFonts w:ascii="Arial" w:eastAsia="Times New Roman" w:hAnsi="Arial" w:cs="Arial"/>
          <w:sz w:val="22"/>
          <w:szCs w:val="22"/>
        </w:rPr>
      </w:pPr>
      <w:r w:rsidRPr="00EB256B">
        <w:rPr>
          <w:rFonts w:ascii="Arial" w:eastAsia="Times New Roman" w:hAnsi="Arial" w:cs="Arial"/>
          <w:sz w:val="22"/>
          <w:szCs w:val="22"/>
        </w:rPr>
        <w:t>Accordingly, while not going so far as being more prescriptive or deterministic as mentioned in th</w:t>
      </w:r>
      <w:r w:rsidR="001E3760">
        <w:rPr>
          <w:rFonts w:ascii="Arial" w:eastAsia="Times New Roman" w:hAnsi="Arial" w:cs="Arial"/>
          <w:sz w:val="22"/>
          <w:szCs w:val="22"/>
        </w:rPr>
        <w:t>is</w:t>
      </w:r>
      <w:r w:rsidRPr="00EB256B">
        <w:rPr>
          <w:rFonts w:ascii="Arial" w:eastAsia="Times New Roman" w:hAnsi="Arial" w:cs="Arial"/>
          <w:sz w:val="22"/>
          <w:szCs w:val="22"/>
        </w:rPr>
        <w:t xml:space="preserve"> comment, the NRC </w:t>
      </w:r>
      <w:r w:rsidR="001F796B">
        <w:rPr>
          <w:rFonts w:ascii="Arial" w:eastAsia="Times New Roman" w:hAnsi="Arial" w:cs="Arial"/>
          <w:sz w:val="22"/>
          <w:szCs w:val="22"/>
        </w:rPr>
        <w:t xml:space="preserve">did </w:t>
      </w:r>
      <w:r w:rsidR="00F24B99">
        <w:rPr>
          <w:rFonts w:ascii="Arial" w:eastAsia="Times New Roman" w:hAnsi="Arial" w:cs="Arial"/>
          <w:sz w:val="22"/>
          <w:szCs w:val="22"/>
        </w:rPr>
        <w:t>revis</w:t>
      </w:r>
      <w:r w:rsidR="001F796B">
        <w:rPr>
          <w:rFonts w:ascii="Arial" w:eastAsia="Times New Roman" w:hAnsi="Arial" w:cs="Arial"/>
          <w:sz w:val="22"/>
          <w:szCs w:val="22"/>
        </w:rPr>
        <w:t>e</w:t>
      </w:r>
      <w:r w:rsidRPr="00EB256B">
        <w:rPr>
          <w:rFonts w:ascii="Arial" w:eastAsia="Times New Roman" w:hAnsi="Arial" w:cs="Arial"/>
          <w:sz w:val="22"/>
          <w:szCs w:val="22"/>
        </w:rPr>
        <w:t xml:space="preserve"> the definition of the term “special treatment” in response to this comment and made corresponding changes throughout 10 CFR Part 53 to distinguish between SR SSCs and NSRSS SSCs.</w:t>
      </w:r>
    </w:p>
    <w:p w:rsidR="00AC1417" w:rsidRPr="00EB256B" w:rsidP="00EB256B" w14:paraId="7071EAFC"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4" style="width:0;height:1.5pt" o:hralign="center" o:hrstd="t" o:hrnoshade="t" o:hr="t" fillcolor="black" stroked="f"/>
        </w:pict>
      </w:r>
    </w:p>
    <w:p w:rsidR="00A417CA" w:rsidRPr="00EB256B" w:rsidP="00EB256B" w14:paraId="5D50A8FA"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3.1.1.H: </w:t>
      </w:r>
      <w:r w:rsidRPr="00EB256B">
        <w:rPr>
          <w:rFonts w:ascii="Arial" w:eastAsia="Times New Roman" w:hAnsi="Arial" w:cs="Arial"/>
          <w:sz w:val="22"/>
          <w:szCs w:val="22"/>
        </w:rPr>
        <w:t>Arguing that the definition of “defense in depth” is not needed and could create unintended consequences by making the definition prescriptive in nature, a commenter suggested either deleting the definition or defining it as follows (</w:t>
      </w:r>
      <w:r w:rsidR="009D6BB9">
        <w:rPr>
          <w:rFonts w:ascii="Arial" w:eastAsia="Times New Roman" w:hAnsi="Arial" w:cs="Arial"/>
          <w:sz w:val="22"/>
          <w:szCs w:val="22"/>
        </w:rPr>
        <w:t>NEI2</w:t>
      </w:r>
      <w:r w:rsidRPr="00EB256B">
        <w:rPr>
          <w:rFonts w:ascii="Arial" w:eastAsia="Times New Roman" w:hAnsi="Arial" w:cs="Arial"/>
          <w:sz w:val="22"/>
          <w:szCs w:val="22"/>
        </w:rPr>
        <w:t>-0030):</w:t>
      </w:r>
    </w:p>
    <w:p w:rsidR="00A417CA" w:rsidRPr="00EB256B" w:rsidP="00EB256B" w14:paraId="7A6F5A28" w14:textId="77777777">
      <w:pPr>
        <w:spacing w:after="220"/>
        <w:ind w:left="720"/>
        <w:rPr>
          <w:rFonts w:ascii="Arial" w:eastAsia="Times New Roman" w:hAnsi="Arial" w:cs="Arial"/>
          <w:sz w:val="22"/>
          <w:szCs w:val="22"/>
        </w:rPr>
      </w:pPr>
      <w:r w:rsidRPr="00EB256B">
        <w:rPr>
          <w:rFonts w:ascii="Arial" w:eastAsia="Times New Roman" w:hAnsi="Arial" w:cs="Arial"/>
          <w:i/>
          <w:sz w:val="22"/>
          <w:szCs w:val="22"/>
        </w:rPr>
        <w:t>Defense in depth</w:t>
      </w:r>
      <w:r w:rsidRPr="00EB256B">
        <w:rPr>
          <w:rFonts w:ascii="Arial" w:eastAsia="Times New Roman" w:hAnsi="Arial" w:cs="Arial"/>
          <w:sz w:val="22"/>
          <w:szCs w:val="22"/>
        </w:rPr>
        <w:t xml:space="preserve"> is a design philosophy that provides reasonable assurance that the design meets the safety criteria in 53.210 over the life of plant by addressing uncertainties in the performance of safety functions through measures such as increased safety margin and multiple layers of protection.</w:t>
      </w:r>
    </w:p>
    <w:p w:rsidR="00A417CA" w:rsidRPr="00EB256B" w:rsidP="00EB256B" w14:paraId="1CE29A7B"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w:t>
      </w:r>
      <w:r w:rsidR="00EA5A37">
        <w:rPr>
          <w:rFonts w:ascii="Arial" w:eastAsia="Times New Roman" w:hAnsi="Arial" w:cs="Arial"/>
          <w:sz w:val="22"/>
          <w:szCs w:val="22"/>
        </w:rPr>
        <w:t>e</w:t>
      </w:r>
      <w:r w:rsidRPr="00EB256B">
        <w:rPr>
          <w:rFonts w:ascii="Arial" w:eastAsia="Times New Roman" w:hAnsi="Arial" w:cs="Arial"/>
          <w:sz w:val="22"/>
          <w:szCs w:val="22"/>
        </w:rPr>
        <w:t xml:space="preserve"> comment.</w:t>
      </w:r>
    </w:p>
    <w:p w:rsidR="0032140D" w:rsidRPr="00EB256B" w:rsidP="00EB256B" w14:paraId="3C4D3487"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 philosophy of defense in depth </w:t>
      </w:r>
      <w:r w:rsidR="00B51CF8">
        <w:rPr>
          <w:rFonts w:ascii="Arial" w:eastAsia="Times New Roman" w:hAnsi="Arial" w:cs="Arial"/>
          <w:sz w:val="22"/>
          <w:szCs w:val="22"/>
        </w:rPr>
        <w:t>(DID)</w:t>
      </w:r>
      <w:r w:rsidRPr="00EB256B">
        <w:rPr>
          <w:rFonts w:ascii="Arial" w:eastAsia="Times New Roman" w:hAnsi="Arial" w:cs="Arial"/>
          <w:sz w:val="22"/>
          <w:szCs w:val="22"/>
        </w:rPr>
        <w:t xml:space="preserve"> included in the comment is implemented in 10 CFR</w:t>
      </w:r>
      <w:r w:rsidRPr="00EB256B" w:rsidR="001225DF">
        <w:rPr>
          <w:rFonts w:ascii="Arial" w:eastAsia="Times New Roman" w:hAnsi="Arial" w:cs="Arial"/>
          <w:sz w:val="22"/>
          <w:szCs w:val="22"/>
        </w:rPr>
        <w:t> </w:t>
      </w:r>
      <w:r w:rsidRPr="00EB256B">
        <w:rPr>
          <w:rFonts w:ascii="Arial" w:eastAsia="Times New Roman" w:hAnsi="Arial" w:cs="Arial"/>
          <w:sz w:val="22"/>
          <w:szCs w:val="22"/>
        </w:rPr>
        <w:t>Part</w:t>
      </w:r>
      <w:r w:rsidRPr="00203033" w:rsidR="00EA5A37">
        <w:rPr>
          <w:rFonts w:ascii="Arial" w:eastAsia="DengXian" w:hAnsi="Arial" w:cs="Arial"/>
          <w:sz w:val="22"/>
          <w:szCs w:val="22"/>
          <w:lang w:eastAsia="ja-JP"/>
        </w:rPr>
        <w:t> </w:t>
      </w:r>
      <w:r w:rsidRPr="00EB256B">
        <w:rPr>
          <w:rFonts w:ascii="Arial" w:eastAsia="Times New Roman" w:hAnsi="Arial" w:cs="Arial"/>
          <w:sz w:val="22"/>
          <w:szCs w:val="22"/>
        </w:rPr>
        <w:t xml:space="preserve">50 and </w:t>
      </w:r>
      <w:r w:rsidR="00824F79">
        <w:rPr>
          <w:rFonts w:ascii="Arial" w:eastAsia="Times New Roman" w:hAnsi="Arial" w:cs="Arial"/>
          <w:sz w:val="22"/>
          <w:szCs w:val="22"/>
        </w:rPr>
        <w:t xml:space="preserve">10 CFR Part </w:t>
      </w:r>
      <w:r w:rsidRPr="00EB256B">
        <w:rPr>
          <w:rFonts w:ascii="Arial" w:eastAsia="Times New Roman" w:hAnsi="Arial" w:cs="Arial"/>
          <w:sz w:val="22"/>
          <w:szCs w:val="22"/>
        </w:rPr>
        <w:t xml:space="preserve">52 by including various deterministic and prescriptive requirements such as those in design requirements and design rules included in Appendix A, “General Design Criteria for Nuclear Power Plants” </w:t>
      </w:r>
      <w:r w:rsidR="00FF1AFB">
        <w:rPr>
          <w:rFonts w:ascii="Arial" w:eastAsia="Times New Roman" w:hAnsi="Arial" w:cs="Arial"/>
          <w:sz w:val="22"/>
          <w:szCs w:val="22"/>
        </w:rPr>
        <w:t>to</w:t>
      </w:r>
      <w:r w:rsidRPr="00EB256B">
        <w:rPr>
          <w:rFonts w:ascii="Arial" w:eastAsia="Times New Roman" w:hAnsi="Arial" w:cs="Arial"/>
          <w:sz w:val="22"/>
          <w:szCs w:val="22"/>
        </w:rPr>
        <w:t xml:space="preserve"> 10 CFR Part 50. In contrast, the 10</w:t>
      </w:r>
      <w:r w:rsidR="00B51CF8">
        <w:rPr>
          <w:rFonts w:ascii="Arial" w:eastAsia="Times New Roman" w:hAnsi="Arial" w:cs="Arial"/>
          <w:sz w:val="22"/>
          <w:szCs w:val="22"/>
        </w:rPr>
        <w:t> </w:t>
      </w:r>
      <w:r w:rsidRPr="00EB256B">
        <w:rPr>
          <w:rFonts w:ascii="Arial" w:eastAsia="Times New Roman" w:hAnsi="Arial" w:cs="Arial"/>
          <w:sz w:val="22"/>
          <w:szCs w:val="22"/>
        </w:rPr>
        <w:t>CFR</w:t>
      </w:r>
      <w:r w:rsidR="00B51CF8">
        <w:rPr>
          <w:rFonts w:ascii="Arial" w:eastAsia="Times New Roman" w:hAnsi="Arial" w:cs="Arial"/>
          <w:sz w:val="22"/>
          <w:szCs w:val="22"/>
        </w:rPr>
        <w:t> </w:t>
      </w:r>
      <w:r w:rsidRPr="00EB256B">
        <w:rPr>
          <w:rFonts w:ascii="Arial" w:eastAsia="Times New Roman" w:hAnsi="Arial" w:cs="Arial"/>
          <w:sz w:val="22"/>
          <w:szCs w:val="22"/>
        </w:rPr>
        <w:t>Part 53 framework includes a hierarchy that begins with the high</w:t>
      </w:r>
      <w:r w:rsidRPr="00EB256B" w:rsidR="00E1490E">
        <w:rPr>
          <w:rFonts w:ascii="Arial" w:eastAsia="Times New Roman" w:hAnsi="Arial" w:cs="Arial"/>
          <w:sz w:val="22"/>
          <w:szCs w:val="22"/>
        </w:rPr>
        <w:noBreakHyphen/>
      </w:r>
      <w:r w:rsidRPr="00EB256B">
        <w:rPr>
          <w:rFonts w:ascii="Arial" w:eastAsia="Times New Roman" w:hAnsi="Arial" w:cs="Arial"/>
          <w:sz w:val="22"/>
          <w:szCs w:val="22"/>
        </w:rPr>
        <w:t xml:space="preserve">level safety requirements in Subpart B and provides for a flexible, performance-based approach on how applicants and licensees meet those high-level safety requirements. The need to provide </w:t>
      </w:r>
      <w:r w:rsidR="00B51CF8">
        <w:rPr>
          <w:rFonts w:ascii="Arial" w:eastAsia="Times New Roman" w:hAnsi="Arial" w:cs="Arial"/>
          <w:sz w:val="22"/>
          <w:szCs w:val="22"/>
        </w:rPr>
        <w:t>DID</w:t>
      </w:r>
      <w:r w:rsidRPr="00EB256B">
        <w:rPr>
          <w:rFonts w:ascii="Arial" w:eastAsia="Times New Roman" w:hAnsi="Arial" w:cs="Arial"/>
          <w:sz w:val="22"/>
          <w:szCs w:val="22"/>
        </w:rPr>
        <w:t xml:space="preserve"> is included as one of the specific safety requirements in Subpart B and the related definition therefore needs to go beyond the philosophical background included in the comment.</w:t>
      </w:r>
    </w:p>
    <w:p w:rsidR="00A417CA" w:rsidRPr="00EB256B" w:rsidP="00EB256B" w14:paraId="78E502B2" w14:textId="77777777">
      <w:pPr>
        <w:spacing w:after="220"/>
        <w:rPr>
          <w:rFonts w:ascii="Arial" w:eastAsia="Times New Roman" w:hAnsi="Arial" w:cs="Arial"/>
          <w:sz w:val="22"/>
          <w:szCs w:val="22"/>
        </w:rPr>
      </w:pPr>
      <w:r w:rsidRPr="00EB256B">
        <w:rPr>
          <w:rFonts w:ascii="Arial" w:eastAsia="Times New Roman" w:hAnsi="Arial" w:cs="Arial"/>
          <w:sz w:val="22"/>
          <w:szCs w:val="22"/>
        </w:rPr>
        <w:t>The definition used in 10</w:t>
      </w:r>
      <w:r w:rsidRPr="00EB256B" w:rsidR="007E6296">
        <w:rPr>
          <w:rFonts w:ascii="Arial" w:eastAsia="Times New Roman" w:hAnsi="Arial" w:cs="Arial"/>
          <w:sz w:val="22"/>
          <w:szCs w:val="22"/>
        </w:rPr>
        <w:t> </w:t>
      </w:r>
      <w:r w:rsidRPr="00EB256B">
        <w:rPr>
          <w:rFonts w:ascii="Arial" w:eastAsia="Times New Roman" w:hAnsi="Arial" w:cs="Arial"/>
          <w:sz w:val="22"/>
          <w:szCs w:val="22"/>
        </w:rPr>
        <w:t>CFR</w:t>
      </w:r>
      <w:r w:rsidRPr="00EB256B" w:rsidR="007E6296">
        <w:rPr>
          <w:rFonts w:ascii="Arial" w:eastAsia="Times New Roman" w:hAnsi="Arial" w:cs="Arial"/>
          <w:sz w:val="22"/>
          <w:szCs w:val="22"/>
        </w:rPr>
        <w:t> </w:t>
      </w:r>
      <w:r w:rsidRPr="00EB256B">
        <w:rPr>
          <w:rFonts w:ascii="Arial" w:eastAsia="Times New Roman" w:hAnsi="Arial" w:cs="Arial"/>
          <w:sz w:val="22"/>
          <w:szCs w:val="22"/>
        </w:rPr>
        <w:t>Part</w:t>
      </w:r>
      <w:r w:rsidRPr="00EB256B" w:rsidR="007E6296">
        <w:rPr>
          <w:rFonts w:ascii="Arial" w:eastAsia="Times New Roman" w:hAnsi="Arial" w:cs="Arial"/>
          <w:sz w:val="22"/>
          <w:szCs w:val="22"/>
        </w:rPr>
        <w:t> </w:t>
      </w:r>
      <w:r w:rsidRPr="00EB256B">
        <w:rPr>
          <w:rFonts w:ascii="Arial" w:eastAsia="Times New Roman" w:hAnsi="Arial" w:cs="Arial"/>
          <w:sz w:val="22"/>
          <w:szCs w:val="22"/>
        </w:rPr>
        <w:t>53 is consistent with available guidance documents such as RG 1.233, “Guidance for a Technology-Inclusive, Risk-Informed, and Performance</w:t>
      </w:r>
      <w:r w:rsidRPr="00EB256B" w:rsidR="007E6296">
        <w:rPr>
          <w:rFonts w:ascii="Arial" w:eastAsia="Times New Roman" w:hAnsi="Arial" w:cs="Arial"/>
          <w:sz w:val="22"/>
          <w:szCs w:val="22"/>
        </w:rPr>
        <w:noBreakHyphen/>
      </w:r>
      <w:r w:rsidRPr="00EB256B">
        <w:rPr>
          <w:rFonts w:ascii="Arial" w:eastAsia="Times New Roman" w:hAnsi="Arial" w:cs="Arial"/>
          <w:sz w:val="22"/>
          <w:szCs w:val="22"/>
        </w:rPr>
        <w:t xml:space="preserve">Based Methodology to Inform the Licensing Basis and Content of Applications for Licenses, Certifications, and Approvals for Non-Light Water Reactors,” </w:t>
      </w:r>
      <w:r w:rsidR="00351298">
        <w:rPr>
          <w:rFonts w:ascii="Arial" w:eastAsia="Times New Roman" w:hAnsi="Arial" w:cs="Arial"/>
          <w:sz w:val="22"/>
          <w:szCs w:val="22"/>
        </w:rPr>
        <w:t>issued June 2020 (</w:t>
      </w:r>
      <w:r w:rsidR="007F7D28">
        <w:rPr>
          <w:rFonts w:ascii="Arial" w:eastAsia="Times New Roman" w:hAnsi="Arial" w:cs="Arial"/>
          <w:sz w:val="22"/>
          <w:szCs w:val="22"/>
        </w:rPr>
        <w:t>Agencywid</w:t>
      </w:r>
      <w:r w:rsidR="003C3CDB">
        <w:rPr>
          <w:rFonts w:ascii="Arial" w:eastAsia="Times New Roman" w:hAnsi="Arial" w:cs="Arial"/>
          <w:sz w:val="22"/>
          <w:szCs w:val="22"/>
        </w:rPr>
        <w:t>e Documents Access and Management System Accession No. </w:t>
      </w:r>
      <w:r w:rsidRPr="00351298" w:rsidR="00351298">
        <w:rPr>
          <w:rFonts w:ascii="Arial" w:eastAsia="Times New Roman" w:hAnsi="Arial" w:cs="Arial"/>
          <w:sz w:val="22"/>
          <w:szCs w:val="22"/>
        </w:rPr>
        <w:t>ML20091L698</w:t>
      </w:r>
      <w:r w:rsidR="00351298">
        <w:rPr>
          <w:rFonts w:ascii="Arial" w:eastAsia="Times New Roman" w:hAnsi="Arial" w:cs="Arial"/>
          <w:sz w:val="22"/>
          <w:szCs w:val="22"/>
        </w:rPr>
        <w:t>)</w:t>
      </w:r>
      <w:r w:rsidR="003C3CDB">
        <w:rPr>
          <w:rFonts w:ascii="Arial" w:eastAsia="Times New Roman" w:hAnsi="Arial" w:cs="Arial"/>
          <w:sz w:val="22"/>
          <w:szCs w:val="22"/>
        </w:rPr>
        <w:t>,</w:t>
      </w:r>
      <w:r w:rsidRPr="00EB256B">
        <w:rPr>
          <w:rFonts w:ascii="Arial" w:eastAsia="Times New Roman" w:hAnsi="Arial" w:cs="Arial"/>
          <w:sz w:val="22"/>
          <w:szCs w:val="22"/>
        </w:rPr>
        <w:t xml:space="preserve"> </w:t>
      </w:r>
      <w:r w:rsidRPr="00375AD4">
        <w:rPr>
          <w:rFonts w:ascii="Arial" w:eastAsia="Times New Roman" w:hAnsi="Arial" w:cs="Arial"/>
          <w:sz w:val="22"/>
          <w:szCs w:val="22"/>
        </w:rPr>
        <w:t>and International Atomic Energy Agency Specific Safety Requirements No. SSR-2/1</w:t>
      </w:r>
      <w:r w:rsidR="005439B6">
        <w:rPr>
          <w:rFonts w:ascii="Arial" w:eastAsia="Times New Roman" w:hAnsi="Arial" w:cs="Arial"/>
          <w:sz w:val="22"/>
          <w:szCs w:val="22"/>
        </w:rPr>
        <w:t>,</w:t>
      </w:r>
      <w:r w:rsidRPr="00375AD4">
        <w:rPr>
          <w:rFonts w:ascii="Arial" w:eastAsia="Times New Roman" w:hAnsi="Arial" w:cs="Arial"/>
          <w:sz w:val="22"/>
          <w:szCs w:val="22"/>
        </w:rPr>
        <w:t xml:space="preserve"> Rev</w:t>
      </w:r>
      <w:r w:rsidR="005439B6">
        <w:rPr>
          <w:rFonts w:ascii="Arial" w:eastAsia="Times New Roman" w:hAnsi="Arial" w:cs="Arial"/>
          <w:sz w:val="22"/>
          <w:szCs w:val="22"/>
        </w:rPr>
        <w:t>ision</w:t>
      </w:r>
      <w:r w:rsidRPr="00375AD4">
        <w:rPr>
          <w:rFonts w:ascii="Arial" w:eastAsia="Times New Roman" w:hAnsi="Arial" w:cs="Arial"/>
          <w:sz w:val="22"/>
          <w:szCs w:val="22"/>
        </w:rPr>
        <w:t> 1, “Safety of Nuclear Power Plants: Design</w:t>
      </w:r>
      <w:r w:rsidR="00B327E2">
        <w:rPr>
          <w:rFonts w:ascii="Arial" w:eastAsia="Times New Roman" w:hAnsi="Arial" w:cs="Arial"/>
          <w:sz w:val="22"/>
          <w:szCs w:val="22"/>
        </w:rPr>
        <w:t>,</w:t>
      </w:r>
      <w:r w:rsidRPr="00375AD4">
        <w:rPr>
          <w:rFonts w:ascii="Arial" w:eastAsia="Times New Roman" w:hAnsi="Arial" w:cs="Arial"/>
          <w:sz w:val="22"/>
          <w:szCs w:val="22"/>
        </w:rPr>
        <w:t>”</w:t>
      </w:r>
      <w:r w:rsidR="00B327E2">
        <w:rPr>
          <w:rFonts w:ascii="Arial" w:eastAsia="Times New Roman" w:hAnsi="Arial" w:cs="Arial"/>
          <w:sz w:val="22"/>
          <w:szCs w:val="22"/>
        </w:rPr>
        <w:t xml:space="preserve"> issued 2016.</w:t>
      </w:r>
    </w:p>
    <w:p w:rsidR="00A417CA" w:rsidRPr="00EB256B" w:rsidP="00EB256B" w14:paraId="04A556D6" w14:textId="77777777">
      <w:pPr>
        <w:spacing w:after="220"/>
        <w:rPr>
          <w:rFonts w:ascii="Arial" w:eastAsia="Times New Roman" w:hAnsi="Arial" w:cs="Arial"/>
          <w:sz w:val="22"/>
          <w:szCs w:val="22"/>
        </w:rPr>
      </w:pPr>
      <w:r w:rsidRPr="00EB256B">
        <w:rPr>
          <w:rFonts w:ascii="Arial" w:eastAsia="DengXian" w:hAnsi="Arial" w:cs="Arial"/>
          <w:sz w:val="22"/>
          <w:szCs w:val="22"/>
          <w:lang w:eastAsia="ja-JP"/>
        </w:rPr>
        <w:t xml:space="preserve">Accordingly, the NRC did not </w:t>
      </w:r>
      <w:r w:rsidRPr="00EB256B" w:rsidR="001225DF">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this comment.</w:t>
      </w:r>
    </w:p>
    <w:p w:rsidR="00AC1417" w:rsidRPr="00EB256B" w:rsidP="00EB256B" w14:paraId="56010012"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5" style="width:0;height:1.5pt" o:hralign="center" o:hrstd="t" o:hrnoshade="t" o:hr="t" fillcolor="black" stroked="f"/>
        </w:pict>
      </w:r>
    </w:p>
    <w:p w:rsidR="00A417CA" w:rsidRPr="00EB256B" w:rsidP="00363061" w14:paraId="7F6C9272" w14:textId="77777777">
      <w:pPr>
        <w:spacing w:after="220"/>
        <w:rPr>
          <w:rFonts w:ascii="Arial" w:eastAsia="Times New Roman" w:hAnsi="Arial" w:cs="Arial"/>
          <w:sz w:val="22"/>
          <w:szCs w:val="22"/>
        </w:rPr>
      </w:pPr>
      <w:r w:rsidRPr="00EB256B">
        <w:rPr>
          <w:rFonts w:ascii="Arial" w:eastAsia="Times New Roman" w:hAnsi="Arial" w:cs="Arial"/>
          <w:b/>
          <w:color w:val="000000"/>
          <w:sz w:val="22"/>
          <w:szCs w:val="22"/>
          <w:lang w:eastAsia="zh-CN"/>
        </w:rPr>
        <w:t xml:space="preserve">Comment Bin 3.1.1.I: </w:t>
      </w:r>
      <w:r w:rsidRPr="00EB256B">
        <w:rPr>
          <w:rFonts w:ascii="Arial" w:eastAsia="Times New Roman" w:hAnsi="Arial" w:cs="Arial"/>
          <w:sz w:val="22"/>
          <w:szCs w:val="22"/>
        </w:rPr>
        <w:t xml:space="preserve">A commenter described their concerns about, and recommendations for, several of the definitions that relate to event sequences. The commenter stated that there is some confusion with the terms “anticipated event sequence,” “design-basis accidents (DBAs),” “licensing-basis events (LBEs),” “unlikely event sequences,” and “very unlikely event sequences.” The commenter warned that departure from the longstanding terms “design-basis events” (DBEs) and “beyond-design-basis events” </w:t>
      </w:r>
      <w:r w:rsidR="003961AF">
        <w:rPr>
          <w:rFonts w:ascii="Arial" w:eastAsia="Times New Roman" w:hAnsi="Arial" w:cs="Arial"/>
          <w:sz w:val="22"/>
          <w:szCs w:val="22"/>
        </w:rPr>
        <w:t>(BDBEs)</w:t>
      </w:r>
      <w:r w:rsidRPr="00EB256B">
        <w:rPr>
          <w:rFonts w:ascii="Arial" w:eastAsia="Times New Roman" w:hAnsi="Arial" w:cs="Arial"/>
          <w:sz w:val="22"/>
          <w:szCs w:val="22"/>
        </w:rPr>
        <w:t xml:space="preserve"> was unnecessary and would likely lead to misunderstanding and misuse of the new terms. The commenter suggested replacing the proposed definitions with the following language (</w:t>
      </w:r>
      <w:r w:rsidR="009D6BB9">
        <w:rPr>
          <w:rFonts w:ascii="Arial" w:eastAsia="Times New Roman" w:hAnsi="Arial" w:cs="Arial"/>
          <w:sz w:val="22"/>
          <w:szCs w:val="22"/>
        </w:rPr>
        <w:t>NEI2</w:t>
      </w:r>
      <w:r w:rsidRPr="00EB256B">
        <w:rPr>
          <w:rFonts w:ascii="Arial" w:eastAsia="Times New Roman" w:hAnsi="Arial" w:cs="Arial"/>
          <w:sz w:val="22"/>
          <w:szCs w:val="22"/>
        </w:rPr>
        <w:t>-0031):</w:t>
      </w:r>
    </w:p>
    <w:p w:rsidR="00A417CA" w:rsidRPr="00EB256B" w:rsidP="00B327E2" w14:paraId="033B0C70" w14:textId="77777777">
      <w:pPr>
        <w:pStyle w:val="ListParagraph"/>
        <w:tabs>
          <w:tab w:val="left" w:pos="8550"/>
          <w:tab w:val="left" w:pos="8640"/>
        </w:tabs>
        <w:spacing w:after="220"/>
        <w:ind w:right="630"/>
        <w:contextualSpacing w:val="0"/>
        <w:rPr>
          <w:rFonts w:ascii="Arial" w:eastAsia="Times New Roman" w:hAnsi="Arial" w:cs="Arial"/>
          <w:sz w:val="22"/>
          <w:szCs w:val="22"/>
        </w:rPr>
      </w:pPr>
      <w:r w:rsidRPr="00EB256B">
        <w:rPr>
          <w:rFonts w:ascii="Arial" w:eastAsia="Times New Roman" w:hAnsi="Arial" w:cs="Arial"/>
          <w:i/>
          <w:sz w:val="22"/>
          <w:szCs w:val="22"/>
        </w:rPr>
        <w:t>Licensing basis events (LBEs)</w:t>
      </w:r>
      <w:r w:rsidRPr="00EB256B">
        <w:rPr>
          <w:rFonts w:ascii="Arial" w:eastAsia="Times New Roman" w:hAnsi="Arial" w:cs="Arial"/>
          <w:sz w:val="22"/>
          <w:szCs w:val="22"/>
        </w:rPr>
        <w:t xml:space="preserve"> are unplanned events and include AOOs, DBAs, and BDBEs that are considered in the licensing of a production or utilization facility. LBEs may include one or more reactor modules.</w:t>
      </w:r>
    </w:p>
    <w:p w:rsidR="00A417CA" w:rsidRPr="00EB256B" w:rsidP="00B327E2" w14:paraId="0B58E342" w14:textId="77777777">
      <w:pPr>
        <w:pStyle w:val="ListParagraph"/>
        <w:tabs>
          <w:tab w:val="left" w:pos="8550"/>
          <w:tab w:val="left" w:pos="8640"/>
        </w:tabs>
        <w:spacing w:after="220"/>
        <w:ind w:right="630"/>
        <w:contextualSpacing w:val="0"/>
        <w:rPr>
          <w:rFonts w:ascii="Arial" w:eastAsia="Times New Roman" w:hAnsi="Arial" w:cs="Arial"/>
          <w:sz w:val="22"/>
          <w:szCs w:val="22"/>
        </w:rPr>
      </w:pPr>
      <w:r w:rsidRPr="00EB256B">
        <w:rPr>
          <w:rFonts w:ascii="Arial" w:eastAsia="Times New Roman" w:hAnsi="Arial" w:cs="Arial"/>
          <w:i/>
          <w:sz w:val="22"/>
          <w:szCs w:val="22"/>
        </w:rPr>
        <w:t>Anticipated operational occurrences (AOOs)</w:t>
      </w:r>
      <w:r w:rsidRPr="00EB256B">
        <w:rPr>
          <w:rFonts w:ascii="Arial" w:eastAsia="Times New Roman" w:hAnsi="Arial" w:cs="Arial"/>
          <w:sz w:val="22"/>
          <w:szCs w:val="22"/>
        </w:rPr>
        <w:t xml:space="preserve"> are a grouping of similar event sequences that are unplanned but may occur one or more times during the life of a nuclear facility. AOOs established through quantitative methods are event sequences with a mean frequency of 1×10</w:t>
      </w:r>
      <w:r w:rsidRPr="00EB256B">
        <w:rPr>
          <w:rFonts w:ascii="Arial" w:eastAsia="Times New Roman" w:hAnsi="Arial" w:cs="Arial"/>
          <w:sz w:val="22"/>
          <w:szCs w:val="22"/>
          <w:vertAlign w:val="superscript"/>
        </w:rPr>
        <w:t>-2</w:t>
      </w:r>
      <w:r w:rsidRPr="00EB256B">
        <w:rPr>
          <w:rFonts w:ascii="Arial" w:eastAsia="Times New Roman" w:hAnsi="Arial" w:cs="Arial"/>
          <w:sz w:val="22"/>
          <w:szCs w:val="22"/>
        </w:rPr>
        <w:t>/plant-year and greater. AOOs take into account the expected responses of all SSCs within the plant, regardless of safety classification.</w:t>
      </w:r>
    </w:p>
    <w:p w:rsidR="00A417CA" w:rsidRPr="00EB256B" w:rsidP="00B327E2" w14:paraId="6C1301CA" w14:textId="77777777">
      <w:pPr>
        <w:pStyle w:val="ListParagraph"/>
        <w:tabs>
          <w:tab w:val="left" w:pos="8550"/>
          <w:tab w:val="left" w:pos="8640"/>
        </w:tabs>
        <w:spacing w:after="220"/>
        <w:ind w:right="630"/>
        <w:contextualSpacing w:val="0"/>
        <w:rPr>
          <w:rFonts w:ascii="Arial" w:eastAsia="Times New Roman" w:hAnsi="Arial" w:cs="Arial"/>
          <w:sz w:val="22"/>
          <w:szCs w:val="22"/>
        </w:rPr>
      </w:pPr>
      <w:r w:rsidRPr="00EB256B">
        <w:rPr>
          <w:rFonts w:ascii="Arial" w:eastAsia="Times New Roman" w:hAnsi="Arial" w:cs="Arial"/>
          <w:i/>
          <w:sz w:val="22"/>
          <w:szCs w:val="22"/>
        </w:rPr>
        <w:t>Design</w:t>
      </w:r>
      <w:r w:rsidR="008C4102">
        <w:rPr>
          <w:rFonts w:ascii="Arial" w:eastAsia="Times New Roman" w:hAnsi="Arial" w:cs="Arial"/>
          <w:i/>
          <w:sz w:val="22"/>
          <w:szCs w:val="22"/>
        </w:rPr>
        <w:t>-</w:t>
      </w:r>
      <w:r w:rsidRPr="00EB256B">
        <w:rPr>
          <w:rFonts w:ascii="Arial" w:eastAsia="Times New Roman" w:hAnsi="Arial" w:cs="Arial"/>
          <w:i/>
          <w:sz w:val="22"/>
          <w:szCs w:val="22"/>
        </w:rPr>
        <w:t>basis accidents (DBAs)</w:t>
      </w:r>
      <w:r w:rsidRPr="00EB256B">
        <w:rPr>
          <w:rFonts w:ascii="Arial" w:eastAsia="Times New Roman" w:hAnsi="Arial" w:cs="Arial"/>
          <w:sz w:val="22"/>
          <w:szCs w:val="22"/>
        </w:rPr>
        <w:t xml:space="preserve"> may be derived from the DBEs and are used to establish the design of safety-related SSCs. DBAs take into account the expected </w:t>
      </w:r>
      <w:r w:rsidRPr="00EB256B">
        <w:rPr>
          <w:rFonts w:ascii="Arial" w:eastAsia="Times New Roman" w:hAnsi="Arial" w:cs="Arial"/>
          <w:sz w:val="22"/>
          <w:szCs w:val="22"/>
        </w:rPr>
        <w:t>responses of only those safety-related SSCs relied upon to mitigate or prevent event sequences.</w:t>
      </w:r>
    </w:p>
    <w:p w:rsidR="00A417CA" w:rsidRPr="00EB256B" w:rsidP="00363061" w14:paraId="303896AA" w14:textId="77777777">
      <w:pPr>
        <w:spacing w:after="220"/>
        <w:rPr>
          <w:rFonts w:ascii="Arial" w:eastAsia="Times New Roman" w:hAnsi="Arial" w:cs="Arial"/>
          <w:sz w:val="22"/>
          <w:szCs w:val="22"/>
        </w:rPr>
      </w:pPr>
      <w:r w:rsidRPr="00EB256B">
        <w:rPr>
          <w:rFonts w:ascii="Arial" w:eastAsia="Times New Roman" w:hAnsi="Arial" w:cs="Arial"/>
          <w:sz w:val="22"/>
          <w:szCs w:val="22"/>
        </w:rPr>
        <w:t>However, the commenter also suggested a different definition of LBEs. The commenter asserted that the word “considered” in the phrase “event sequences considered in the design and licensing” is unhelpfully vague for distinguishing between (1) LBEs that were initially evaluated but did not need to be included in the licensing basis; and (2) LBEs that were evaluated and retained for the licensing basis, which may be only a subset of potential LBEs. The commenter suggested replacing “considered in” with “relied upon to support” so that the definition of LBEs would read, in part, “event sequences relied upon to support the design and licensing” (</w:t>
      </w:r>
      <w:r w:rsidR="009D6BB9">
        <w:rPr>
          <w:rFonts w:ascii="Arial" w:eastAsia="Times New Roman" w:hAnsi="Arial" w:cs="Arial"/>
          <w:sz w:val="22"/>
          <w:szCs w:val="22"/>
        </w:rPr>
        <w:t>NEI2</w:t>
      </w:r>
      <w:r w:rsidRPr="00EB256B">
        <w:rPr>
          <w:rFonts w:ascii="Arial" w:eastAsia="Times New Roman" w:hAnsi="Arial" w:cs="Arial"/>
          <w:sz w:val="22"/>
          <w:szCs w:val="22"/>
        </w:rPr>
        <w:t>-0035).</w:t>
      </w:r>
    </w:p>
    <w:p w:rsidR="00A417CA" w:rsidRPr="00EB256B" w:rsidP="00363061" w14:paraId="05F8BEDE"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Another commenter relatedly expressed concerns that several definitions (i.e., LBE, DBA, anticipated event sequences, unlikely event sequences, and very unlikely event sequences) confuse the use of PRA and </w:t>
      </w:r>
      <w:r w:rsidR="007D67E1">
        <w:rPr>
          <w:rFonts w:ascii="Arial" w:eastAsia="Times New Roman" w:hAnsi="Arial" w:cs="Arial"/>
          <w:sz w:val="22"/>
          <w:szCs w:val="22"/>
        </w:rPr>
        <w:t>risk-infor</w:t>
      </w:r>
      <w:r w:rsidR="00133F3A">
        <w:rPr>
          <w:rFonts w:ascii="Arial" w:eastAsia="Times New Roman" w:hAnsi="Arial" w:cs="Arial"/>
          <w:sz w:val="22"/>
          <w:szCs w:val="22"/>
        </w:rPr>
        <w:t>med decision-making (</w:t>
      </w:r>
      <w:r w:rsidRPr="00EB256B">
        <w:rPr>
          <w:rFonts w:ascii="Arial" w:eastAsia="Times New Roman" w:hAnsi="Arial" w:cs="Arial"/>
          <w:sz w:val="22"/>
          <w:szCs w:val="22"/>
        </w:rPr>
        <w:t>RIDM</w:t>
      </w:r>
      <w:r w:rsidR="00133F3A">
        <w:rPr>
          <w:rFonts w:ascii="Arial" w:eastAsia="Times New Roman" w:hAnsi="Arial" w:cs="Arial"/>
          <w:sz w:val="22"/>
          <w:szCs w:val="22"/>
        </w:rPr>
        <w:t>)</w:t>
      </w:r>
      <w:r w:rsidRPr="00EB256B">
        <w:rPr>
          <w:rFonts w:ascii="Arial" w:eastAsia="Times New Roman" w:hAnsi="Arial" w:cs="Arial"/>
          <w:sz w:val="22"/>
          <w:szCs w:val="22"/>
        </w:rPr>
        <w:t xml:space="preserve"> by introducing and specifying new accident classifications or nomenclature which subdivide risk insights (</w:t>
      </w:r>
      <w:r w:rsidR="00A02F0C">
        <w:rPr>
          <w:rFonts w:ascii="Arial" w:eastAsia="Times New Roman" w:hAnsi="Arial" w:cs="Arial"/>
          <w:color w:val="000000"/>
          <w:sz w:val="22"/>
          <w:szCs w:val="22"/>
          <w:lang w:eastAsia="zh-CN"/>
        </w:rPr>
        <w:t>RD</w:t>
      </w:r>
      <w:r w:rsidR="00BE2447">
        <w:rPr>
          <w:rFonts w:ascii="Arial" w:eastAsia="Times New Roman" w:hAnsi="Arial" w:cs="Arial"/>
          <w:color w:val="000000"/>
          <w:sz w:val="22"/>
          <w:szCs w:val="22"/>
          <w:lang w:eastAsia="zh-CN"/>
        </w:rPr>
        <w:noBreakHyphen/>
      </w:r>
      <w:r w:rsidRPr="00EB256B">
        <w:rPr>
          <w:rFonts w:ascii="Arial" w:eastAsia="Times New Roman" w:hAnsi="Arial" w:cs="Arial"/>
          <w:color w:val="000000"/>
          <w:sz w:val="22"/>
          <w:szCs w:val="22"/>
          <w:lang w:eastAsia="zh-CN"/>
        </w:rPr>
        <w:t>0010)</w:t>
      </w:r>
      <w:r w:rsidRPr="00EB256B">
        <w:rPr>
          <w:rFonts w:ascii="Arial" w:eastAsia="Times New Roman" w:hAnsi="Arial" w:cs="Arial"/>
          <w:sz w:val="22"/>
          <w:szCs w:val="22"/>
        </w:rPr>
        <w:t>.</w:t>
      </w:r>
    </w:p>
    <w:p w:rsidR="001225DF" w:rsidRPr="00EB256B" w:rsidP="00363061" w14:paraId="32BF0C96"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w:t>
      </w:r>
      <w:r w:rsidR="006210AF">
        <w:rPr>
          <w:rFonts w:ascii="Arial" w:eastAsia="Times New Roman" w:hAnsi="Arial" w:cs="Arial"/>
          <w:sz w:val="22"/>
          <w:szCs w:val="22"/>
        </w:rPr>
        <w:t>e</w:t>
      </w:r>
      <w:r w:rsidRPr="00EB256B">
        <w:rPr>
          <w:rFonts w:ascii="Arial" w:eastAsia="Times New Roman" w:hAnsi="Arial" w:cs="Arial"/>
          <w:sz w:val="22"/>
          <w:szCs w:val="22"/>
        </w:rPr>
        <w:t xml:space="preserve"> comment</w:t>
      </w:r>
      <w:r w:rsidR="006210AF">
        <w:rPr>
          <w:rFonts w:ascii="Arial" w:eastAsia="Times New Roman" w:hAnsi="Arial" w:cs="Arial"/>
          <w:sz w:val="22"/>
          <w:szCs w:val="22"/>
        </w:rPr>
        <w:t>s</w:t>
      </w:r>
      <w:r w:rsidRPr="00EB256B">
        <w:rPr>
          <w:rFonts w:ascii="Arial" w:eastAsia="Times New Roman" w:hAnsi="Arial" w:cs="Arial"/>
          <w:sz w:val="22"/>
          <w:szCs w:val="22"/>
        </w:rPr>
        <w:t>.</w:t>
      </w:r>
    </w:p>
    <w:p w:rsidR="001225DF" w:rsidRPr="00EB256B" w:rsidP="00363061" w14:paraId="6652AA56" w14:textId="77777777">
      <w:pPr>
        <w:spacing w:after="220"/>
        <w:rPr>
          <w:rFonts w:ascii="Arial" w:eastAsia="Times New Roman" w:hAnsi="Arial" w:cs="Arial"/>
          <w:sz w:val="22"/>
          <w:szCs w:val="22"/>
        </w:rPr>
      </w:pPr>
      <w:r w:rsidRPr="00EB256B">
        <w:rPr>
          <w:rFonts w:ascii="Arial" w:eastAsia="Times New Roman" w:hAnsi="Arial" w:cs="Arial"/>
          <w:sz w:val="22"/>
          <w:szCs w:val="22"/>
        </w:rPr>
        <w:t>As explained in Section IV, Subpart A—General Provisions</w:t>
      </w:r>
      <w:r w:rsidR="00332847">
        <w:rPr>
          <w:rFonts w:ascii="Arial" w:eastAsia="Times New Roman" w:hAnsi="Arial" w:cs="Arial"/>
          <w:sz w:val="22"/>
          <w:szCs w:val="22"/>
        </w:rPr>
        <w:t>,</w:t>
      </w:r>
      <w:r w:rsidRPr="00EB256B">
        <w:rPr>
          <w:rFonts w:ascii="Arial" w:eastAsia="Times New Roman" w:hAnsi="Arial" w:cs="Arial"/>
          <w:sz w:val="22"/>
          <w:szCs w:val="22"/>
        </w:rPr>
        <w:t xml:space="preserve"> of the final rule, the NRC acknowledges that 10 CFR Part 53 involves adopting new terms and definitions for similar concepts included in other NRC regulations and guidance documents. For example, 10</w:t>
      </w:r>
      <w:r w:rsidRPr="00203033" w:rsidR="00AB0AAB">
        <w:rPr>
          <w:rFonts w:ascii="Arial" w:eastAsia="DengXian" w:hAnsi="Arial" w:cs="Arial"/>
          <w:sz w:val="22"/>
          <w:szCs w:val="22"/>
          <w:lang w:eastAsia="ja-JP"/>
        </w:rPr>
        <w:t> </w:t>
      </w:r>
      <w:r w:rsidRPr="00EB256B">
        <w:rPr>
          <w:rFonts w:ascii="Arial" w:eastAsia="Times New Roman" w:hAnsi="Arial" w:cs="Arial"/>
          <w:sz w:val="22"/>
          <w:szCs w:val="22"/>
        </w:rPr>
        <w:t>CFR</w:t>
      </w:r>
      <w:r w:rsidRPr="00203033" w:rsidR="00AB0AAB">
        <w:rPr>
          <w:rFonts w:ascii="Arial" w:eastAsia="DengXian" w:hAnsi="Arial" w:cs="Arial"/>
          <w:sz w:val="22"/>
          <w:szCs w:val="22"/>
          <w:lang w:eastAsia="ja-JP"/>
        </w:rPr>
        <w:t> </w:t>
      </w:r>
      <w:r w:rsidRPr="00EB256B">
        <w:rPr>
          <w:rFonts w:ascii="Arial" w:eastAsia="Times New Roman" w:hAnsi="Arial" w:cs="Arial"/>
          <w:sz w:val="22"/>
          <w:szCs w:val="22"/>
        </w:rPr>
        <w:t xml:space="preserve">Part 53 uses new terms for categorizing event sequences specifically to avoid conflicts with terms already used within 10 CFR Part 50 and </w:t>
      </w:r>
      <w:r w:rsidR="00B907CD">
        <w:rPr>
          <w:rFonts w:ascii="Arial" w:eastAsia="Times New Roman" w:hAnsi="Arial" w:cs="Arial"/>
          <w:sz w:val="22"/>
          <w:szCs w:val="22"/>
        </w:rPr>
        <w:t xml:space="preserve">10 CFR Part </w:t>
      </w:r>
      <w:r w:rsidRPr="00EB256B">
        <w:rPr>
          <w:rFonts w:ascii="Arial" w:eastAsia="Times New Roman" w:hAnsi="Arial" w:cs="Arial"/>
          <w:sz w:val="22"/>
          <w:szCs w:val="22"/>
        </w:rPr>
        <w:t>52 to represent different concepts and analysis methodologies. The NRC disagrees with replacing “considered” within the part of the definition of licensing</w:t>
      </w:r>
      <w:r w:rsidR="00505C1D">
        <w:rPr>
          <w:rFonts w:ascii="Arial" w:eastAsia="Times New Roman" w:hAnsi="Arial" w:cs="Arial"/>
          <w:sz w:val="22"/>
          <w:szCs w:val="22"/>
        </w:rPr>
        <w:noBreakHyphen/>
      </w:r>
      <w:r w:rsidRPr="00EB256B">
        <w:rPr>
          <w:rFonts w:ascii="Arial" w:eastAsia="Times New Roman" w:hAnsi="Arial" w:cs="Arial"/>
          <w:sz w:val="22"/>
          <w:szCs w:val="22"/>
        </w:rPr>
        <w:t>basis events stating: “Licensing-basis events means a collection of event sequences considered in the design and licensing of the commercial nuclear plant...” because, as stated, the licensing</w:t>
      </w:r>
      <w:r w:rsidR="00B11A84">
        <w:rPr>
          <w:rFonts w:ascii="Arial" w:eastAsia="Times New Roman" w:hAnsi="Arial" w:cs="Arial"/>
          <w:sz w:val="22"/>
          <w:szCs w:val="22"/>
        </w:rPr>
        <w:t>-</w:t>
      </w:r>
      <w:r w:rsidRPr="00EB256B">
        <w:rPr>
          <w:rFonts w:ascii="Arial" w:eastAsia="Times New Roman" w:hAnsi="Arial" w:cs="Arial"/>
          <w:sz w:val="22"/>
          <w:szCs w:val="22"/>
        </w:rPr>
        <w:t>basis events are not the sole determinates of the design and licensing of the commercial nuclear plant. The NRC also disagrees with making 10</w:t>
      </w:r>
      <w:r w:rsidRPr="00203033" w:rsidR="00AB0AAB">
        <w:rPr>
          <w:rFonts w:ascii="Arial" w:eastAsia="DengXian" w:hAnsi="Arial" w:cs="Arial"/>
          <w:sz w:val="22"/>
          <w:szCs w:val="22"/>
          <w:lang w:eastAsia="ja-JP"/>
        </w:rPr>
        <w:t> </w:t>
      </w:r>
      <w:r w:rsidRPr="00EB256B">
        <w:rPr>
          <w:rFonts w:ascii="Arial" w:eastAsia="Times New Roman" w:hAnsi="Arial" w:cs="Arial"/>
          <w:sz w:val="22"/>
          <w:szCs w:val="22"/>
        </w:rPr>
        <w:t>CFR Part 53 more vague by not including specific definitions and encouraging each applicant to develop unique approaches and terminology.</w:t>
      </w:r>
    </w:p>
    <w:p w:rsidR="00A417CA" w:rsidRPr="00EB256B" w:rsidP="00363061" w14:paraId="0C5D88E6" w14:textId="77777777">
      <w:pPr>
        <w:spacing w:after="220"/>
        <w:rPr>
          <w:rFonts w:ascii="Arial" w:eastAsia="Times New Roman" w:hAnsi="Arial" w:cs="Arial"/>
          <w:b/>
          <w:sz w:val="22"/>
          <w:szCs w:val="22"/>
        </w:rPr>
      </w:pPr>
      <w:r w:rsidRPr="00EB256B">
        <w:rPr>
          <w:rFonts w:ascii="Arial" w:eastAsia="DengXian" w:hAnsi="Arial" w:cs="Arial"/>
          <w:sz w:val="22"/>
          <w:szCs w:val="22"/>
          <w:lang w:eastAsia="ja-JP"/>
        </w:rPr>
        <w:t xml:space="preserve">Accordingly, the NRC did not </w:t>
      </w:r>
      <w:r w:rsidRPr="00EB256B" w:rsidR="001225DF">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w:t>
      </w:r>
      <w:r w:rsidR="006210AF">
        <w:rPr>
          <w:rFonts w:ascii="Arial" w:eastAsia="DengXian" w:hAnsi="Arial" w:cs="Arial"/>
          <w:sz w:val="22"/>
          <w:szCs w:val="22"/>
          <w:lang w:eastAsia="ja-JP"/>
        </w:rPr>
        <w:t>e</w:t>
      </w:r>
      <w:r w:rsidRPr="00EB256B">
        <w:rPr>
          <w:rFonts w:ascii="Arial" w:eastAsia="DengXian" w:hAnsi="Arial" w:cs="Arial"/>
          <w:sz w:val="22"/>
          <w:szCs w:val="22"/>
          <w:lang w:eastAsia="ja-JP"/>
        </w:rPr>
        <w:t>s</w:t>
      </w:r>
      <w:r w:rsidR="006210AF">
        <w:rPr>
          <w:rFonts w:ascii="Arial" w:eastAsia="DengXian" w:hAnsi="Arial" w:cs="Arial"/>
          <w:sz w:val="22"/>
          <w:szCs w:val="22"/>
          <w:lang w:eastAsia="ja-JP"/>
        </w:rPr>
        <w:t>e</w:t>
      </w:r>
      <w:r w:rsidRPr="00EB256B">
        <w:rPr>
          <w:rFonts w:ascii="Arial" w:eastAsia="DengXian" w:hAnsi="Arial" w:cs="Arial"/>
          <w:sz w:val="22"/>
          <w:szCs w:val="22"/>
          <w:lang w:eastAsia="ja-JP"/>
        </w:rPr>
        <w:t xml:space="preserve"> comment</w:t>
      </w:r>
      <w:r w:rsidR="006210AF">
        <w:rPr>
          <w:rFonts w:ascii="Arial" w:eastAsia="DengXian" w:hAnsi="Arial" w:cs="Arial"/>
          <w:sz w:val="22"/>
          <w:szCs w:val="22"/>
          <w:lang w:eastAsia="ja-JP"/>
        </w:rPr>
        <w:t>s</w:t>
      </w:r>
      <w:r w:rsidRPr="00EB256B">
        <w:rPr>
          <w:rFonts w:ascii="Arial" w:eastAsia="DengXian" w:hAnsi="Arial" w:cs="Arial"/>
          <w:sz w:val="22"/>
          <w:szCs w:val="22"/>
          <w:lang w:eastAsia="ja-JP"/>
        </w:rPr>
        <w:t>.</w:t>
      </w:r>
    </w:p>
    <w:p w:rsidR="00AC1417" w:rsidRPr="00EB256B" w:rsidP="00363061" w14:paraId="7B59A95B"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6" style="width:0;height:1.5pt" o:hralign="center" o:hrstd="t" o:hrnoshade="t" o:hr="t" fillcolor="black" stroked="f"/>
        </w:pict>
      </w:r>
    </w:p>
    <w:p w:rsidR="001E2605" w:rsidRPr="00EB256B" w:rsidP="00363061" w14:paraId="39C3050A" w14:textId="77777777">
      <w:pPr>
        <w:spacing w:after="220"/>
        <w:rPr>
          <w:rFonts w:ascii="Arial" w:eastAsia="Times New Roman" w:hAnsi="Arial" w:cs="Arial"/>
          <w:sz w:val="22"/>
          <w:szCs w:val="22"/>
        </w:rPr>
      </w:pPr>
      <w:r w:rsidRPr="00EB256B">
        <w:rPr>
          <w:rFonts w:ascii="Arial" w:eastAsia="Times New Roman" w:hAnsi="Arial" w:cs="Arial"/>
          <w:b/>
          <w:sz w:val="22"/>
          <w:szCs w:val="22"/>
        </w:rPr>
        <w:t xml:space="preserve">Comment Bin 3.1.1.J: </w:t>
      </w:r>
      <w:r w:rsidRPr="00EB256B">
        <w:rPr>
          <w:rFonts w:ascii="Arial" w:eastAsia="Times New Roman" w:hAnsi="Arial" w:cs="Arial"/>
          <w:sz w:val="22"/>
          <w:szCs w:val="22"/>
        </w:rPr>
        <w:t>A commenter characterized the changes made to the definition of “site characteristics” from the preliminary proposed rule language as an improvement but nevertheless expressed concern about the revised definition’s inclusion of the licensing and permitting documents in which site characteristics appear. The commenter suggested further amending the definition to read as follows (</w:t>
      </w:r>
      <w:r w:rsidR="009D6BB9">
        <w:rPr>
          <w:rFonts w:ascii="Arial" w:eastAsia="Times New Roman" w:hAnsi="Arial" w:cs="Arial"/>
          <w:sz w:val="22"/>
          <w:szCs w:val="22"/>
        </w:rPr>
        <w:t>NEI2</w:t>
      </w:r>
      <w:r w:rsidRPr="00EB256B">
        <w:rPr>
          <w:rFonts w:ascii="Arial" w:eastAsia="Times New Roman" w:hAnsi="Arial" w:cs="Arial"/>
          <w:sz w:val="22"/>
          <w:szCs w:val="22"/>
        </w:rPr>
        <w:t>-0032):</w:t>
      </w:r>
    </w:p>
    <w:p w:rsidR="001E2605" w:rsidRPr="00EB256B" w:rsidP="00363061" w14:paraId="09A52994" w14:textId="77777777">
      <w:pPr>
        <w:spacing w:after="220"/>
        <w:ind w:left="720"/>
        <w:rPr>
          <w:rFonts w:ascii="Arial" w:eastAsia="Times New Roman" w:hAnsi="Arial" w:cs="Arial"/>
          <w:sz w:val="22"/>
          <w:szCs w:val="22"/>
        </w:rPr>
      </w:pPr>
      <w:r w:rsidRPr="00EB256B">
        <w:rPr>
          <w:rFonts w:ascii="Arial" w:eastAsia="Times New Roman" w:hAnsi="Arial" w:cs="Arial"/>
          <w:i/>
          <w:sz w:val="22"/>
          <w:szCs w:val="22"/>
        </w:rPr>
        <w:t>Site characteristics</w:t>
      </w:r>
      <w:r w:rsidRPr="00EB256B">
        <w:rPr>
          <w:rFonts w:ascii="Arial" w:eastAsia="Times New Roman" w:hAnsi="Arial" w:cs="Arial"/>
          <w:sz w:val="22"/>
          <w:szCs w:val="22"/>
        </w:rPr>
        <w:t xml:space="preserve"> means the meteorological, geological, seismological, topographical, hydrological, and other characteristics of the site and surrounding area that may have a bearing on the consequences of a radionuclide release from the nuclear plant as well as demographic features of a site.</w:t>
      </w:r>
    </w:p>
    <w:p w:rsidR="008349F1" w:rsidP="00363061" w14:paraId="2038B72F"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this comment. </w:t>
      </w:r>
    </w:p>
    <w:p w:rsidR="00D847FC" w:rsidRPr="00EB256B" w:rsidP="00363061" w14:paraId="3AD84431"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 comment refers to a definition from the preliminary </w:t>
      </w:r>
      <w:r w:rsidR="00332847">
        <w:rPr>
          <w:rFonts w:ascii="Arial" w:eastAsia="Times New Roman" w:hAnsi="Arial" w:cs="Arial"/>
          <w:sz w:val="22"/>
          <w:szCs w:val="22"/>
        </w:rPr>
        <w:t xml:space="preserve">proposed </w:t>
      </w:r>
      <w:r w:rsidRPr="00EB256B">
        <w:rPr>
          <w:rFonts w:ascii="Arial" w:eastAsia="Times New Roman" w:hAnsi="Arial" w:cs="Arial"/>
          <w:sz w:val="22"/>
          <w:szCs w:val="22"/>
        </w:rPr>
        <w:t xml:space="preserve">rule </w:t>
      </w:r>
      <w:r w:rsidR="00332847">
        <w:rPr>
          <w:rFonts w:ascii="Arial" w:eastAsia="Times New Roman" w:hAnsi="Arial" w:cs="Arial"/>
          <w:sz w:val="22"/>
          <w:szCs w:val="22"/>
        </w:rPr>
        <w:t>language</w:t>
      </w:r>
      <w:r w:rsidRPr="00EB256B">
        <w:rPr>
          <w:rFonts w:ascii="Arial" w:eastAsia="Times New Roman" w:hAnsi="Arial" w:cs="Arial"/>
          <w:sz w:val="22"/>
          <w:szCs w:val="22"/>
        </w:rPr>
        <w:t xml:space="preserve"> and not the published proposed rule. Nevertheless, the definition of “site characteristics” in 10 CFR Part 53 </w:t>
      </w:r>
      <w:r w:rsidRPr="00EB256B">
        <w:rPr>
          <w:rFonts w:ascii="Arial" w:eastAsia="Times New Roman" w:hAnsi="Arial" w:cs="Arial"/>
          <w:sz w:val="22"/>
          <w:szCs w:val="22"/>
        </w:rPr>
        <w:t>is intentionally the same as the definition in 10 CFR Part 52 to avoid confusion with different definitions for the same terminology in different NRC regulations.</w:t>
      </w:r>
    </w:p>
    <w:p w:rsidR="001E2605" w:rsidRPr="00EB256B" w:rsidP="00363061" w14:paraId="15BCD588" w14:textId="77777777">
      <w:pPr>
        <w:spacing w:after="220"/>
        <w:rPr>
          <w:rFonts w:ascii="Arial" w:eastAsia="Times New Roman" w:hAnsi="Arial" w:cs="Arial"/>
          <w:b/>
          <w:sz w:val="22"/>
          <w:szCs w:val="22"/>
        </w:rPr>
      </w:pPr>
      <w:r w:rsidRPr="00EB256B">
        <w:rPr>
          <w:rFonts w:ascii="Arial" w:eastAsia="DengXian" w:hAnsi="Arial" w:cs="Arial"/>
          <w:sz w:val="22"/>
          <w:szCs w:val="22"/>
          <w:lang w:eastAsia="ja-JP"/>
        </w:rPr>
        <w:t xml:space="preserve">Accordingly, the NRC did not </w:t>
      </w:r>
      <w:r w:rsidRPr="00EB256B" w:rsidR="00D847FC">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this comment.</w:t>
      </w:r>
    </w:p>
    <w:p w:rsidR="00AC1417" w:rsidRPr="00EB256B" w:rsidP="00363061" w14:paraId="0858920F" w14:textId="77777777">
      <w:pPr>
        <w:spacing w:after="220"/>
        <w:rPr>
          <w:rFonts w:ascii="Arial" w:eastAsia="Times New Roman" w:hAnsi="Arial" w:cs="Arial"/>
          <w:sz w:val="22"/>
          <w:szCs w:val="22"/>
        </w:rPr>
      </w:pPr>
      <w:r>
        <w:rPr>
          <w:rFonts w:ascii="Arial" w:eastAsia="Times New Roman" w:hAnsi="Arial" w:cs="Arial"/>
          <w:sz w:val="22"/>
          <w:szCs w:val="22"/>
          <w:lang w:eastAsia="zh-CN"/>
        </w:rPr>
        <w:pict>
          <v:rect id="_x0000_i1057" style="width:0;height:1.5pt" o:hralign="center" o:hrstd="t" o:hrnoshade="t" o:hr="t" fillcolor="black" stroked="f"/>
        </w:pict>
      </w:r>
    </w:p>
    <w:p w:rsidR="007613E5" w:rsidRPr="00EB256B" w:rsidP="00363061" w14:paraId="48E80026" w14:textId="77777777">
      <w:pPr>
        <w:spacing w:after="220"/>
        <w:rPr>
          <w:rFonts w:ascii="Arial" w:eastAsia="Times New Roman" w:hAnsi="Arial" w:cs="Arial"/>
          <w:sz w:val="22"/>
          <w:szCs w:val="22"/>
        </w:rPr>
      </w:pPr>
      <w:r w:rsidRPr="00EB256B">
        <w:rPr>
          <w:rFonts w:ascii="Arial" w:eastAsia="Times New Roman" w:hAnsi="Arial" w:cs="Arial"/>
          <w:b/>
          <w:sz w:val="22"/>
          <w:szCs w:val="22"/>
          <w:lang w:eastAsia="zh-CN"/>
        </w:rPr>
        <w:t xml:space="preserve">Comment Bin 3.1.1.K: </w:t>
      </w:r>
      <w:r w:rsidRPr="00EB256B">
        <w:rPr>
          <w:rFonts w:ascii="Arial" w:eastAsia="Times New Roman" w:hAnsi="Arial" w:cs="Arial"/>
          <w:sz w:val="22"/>
          <w:szCs w:val="22"/>
        </w:rPr>
        <w:t>A commenter reasoned that to conform to the ADVANCE Act and address microreactor licensing issues (e.g.,</w:t>
      </w:r>
      <w:r w:rsidRPr="00EB256B" w:rsidR="00521323">
        <w:rPr>
          <w:rFonts w:ascii="Arial" w:eastAsia="Times New Roman" w:hAnsi="Arial" w:cs="Arial"/>
          <w:sz w:val="22"/>
          <w:szCs w:val="22"/>
        </w:rPr>
        <w:t> </w:t>
      </w:r>
      <w:r w:rsidRPr="00EB256B">
        <w:rPr>
          <w:rFonts w:ascii="Arial" w:eastAsia="Times New Roman" w:hAnsi="Arial" w:cs="Arial"/>
          <w:sz w:val="22"/>
          <w:szCs w:val="22"/>
        </w:rPr>
        <w:t>factory fueling and testing of a microreactor and transportation of a fueled microreactor), the NRC should define a utilization facility only after 10</w:t>
      </w:r>
      <w:r w:rsidRPr="00203033" w:rsidR="00AB0AAB">
        <w:rPr>
          <w:rFonts w:ascii="Arial" w:eastAsia="DengXian" w:hAnsi="Arial" w:cs="Arial"/>
          <w:sz w:val="22"/>
          <w:szCs w:val="22"/>
          <w:lang w:eastAsia="ja-JP"/>
        </w:rPr>
        <w:t> </w:t>
      </w:r>
      <w:r w:rsidRPr="00EB256B">
        <w:rPr>
          <w:rFonts w:ascii="Arial" w:eastAsia="Times New Roman" w:hAnsi="Arial" w:cs="Arial"/>
          <w:sz w:val="22"/>
          <w:szCs w:val="22"/>
        </w:rPr>
        <w:t>CFR Part 70 measures to preclude criticality are removed, which would build on SECY</w:t>
      </w:r>
      <w:r w:rsidR="00182391">
        <w:rPr>
          <w:rFonts w:ascii="Arial" w:eastAsia="Times New Roman" w:hAnsi="Arial" w:cs="Arial"/>
          <w:sz w:val="22"/>
          <w:szCs w:val="22"/>
        </w:rPr>
        <w:noBreakHyphen/>
      </w:r>
      <w:r w:rsidRPr="00EB256B">
        <w:rPr>
          <w:rFonts w:ascii="Arial" w:eastAsia="Times New Roman" w:hAnsi="Arial" w:cs="Arial"/>
          <w:sz w:val="22"/>
          <w:szCs w:val="22"/>
        </w:rPr>
        <w:t>24</w:t>
      </w:r>
      <w:r w:rsidR="00182391">
        <w:rPr>
          <w:rFonts w:ascii="Arial" w:eastAsia="Times New Roman" w:hAnsi="Arial" w:cs="Arial"/>
          <w:sz w:val="22"/>
          <w:szCs w:val="22"/>
        </w:rPr>
        <w:noBreakHyphen/>
      </w:r>
      <w:r w:rsidRPr="00EB256B">
        <w:rPr>
          <w:rFonts w:ascii="Arial" w:eastAsia="Times New Roman" w:hAnsi="Arial" w:cs="Arial"/>
          <w:sz w:val="22"/>
          <w:szCs w:val="22"/>
        </w:rPr>
        <w:t>0008, “Micro-Reactor Licensing and Deployment Considerations: Fuel Loading and Operational Testing at a Factory</w:t>
      </w:r>
      <w:r w:rsidR="003E5555">
        <w:rPr>
          <w:rFonts w:ascii="Arial" w:eastAsia="Times New Roman" w:hAnsi="Arial" w:cs="Arial"/>
          <w:sz w:val="22"/>
          <w:szCs w:val="22"/>
        </w:rPr>
        <w:t>,</w:t>
      </w:r>
      <w:r w:rsidRPr="00EB256B">
        <w:rPr>
          <w:rFonts w:ascii="Arial" w:eastAsia="Times New Roman" w:hAnsi="Arial" w:cs="Arial"/>
          <w:sz w:val="22"/>
          <w:szCs w:val="22"/>
        </w:rPr>
        <w:t>”</w:t>
      </w:r>
      <w:r w:rsidR="003E5555">
        <w:rPr>
          <w:rFonts w:ascii="Arial" w:eastAsia="Times New Roman" w:hAnsi="Arial" w:cs="Arial"/>
          <w:sz w:val="22"/>
          <w:szCs w:val="22"/>
        </w:rPr>
        <w:t xml:space="preserve"> </w:t>
      </w:r>
      <w:r w:rsidR="00127033">
        <w:rPr>
          <w:rFonts w:ascii="Arial" w:eastAsia="Times New Roman" w:hAnsi="Arial" w:cs="Arial"/>
          <w:sz w:val="22"/>
          <w:szCs w:val="22"/>
        </w:rPr>
        <w:t>issu</w:t>
      </w:r>
      <w:r w:rsidR="008B4DC2">
        <w:rPr>
          <w:rFonts w:ascii="Arial" w:eastAsia="Times New Roman" w:hAnsi="Arial" w:cs="Arial"/>
          <w:sz w:val="22"/>
          <w:szCs w:val="22"/>
        </w:rPr>
        <w:t>e</w:t>
      </w:r>
      <w:r w:rsidR="00764837">
        <w:rPr>
          <w:rFonts w:ascii="Arial" w:eastAsia="Times New Roman" w:hAnsi="Arial" w:cs="Arial"/>
          <w:sz w:val="22"/>
          <w:szCs w:val="22"/>
        </w:rPr>
        <w:t>d</w:t>
      </w:r>
      <w:r w:rsidR="003E5555">
        <w:rPr>
          <w:rFonts w:ascii="Arial" w:eastAsia="Times New Roman" w:hAnsi="Arial" w:cs="Arial"/>
          <w:sz w:val="22"/>
          <w:szCs w:val="22"/>
        </w:rPr>
        <w:t xml:space="preserve"> </w:t>
      </w:r>
      <w:r w:rsidR="00057E6F">
        <w:rPr>
          <w:rFonts w:ascii="Arial" w:eastAsia="Times New Roman" w:hAnsi="Arial" w:cs="Arial"/>
          <w:sz w:val="22"/>
          <w:szCs w:val="22"/>
        </w:rPr>
        <w:t>January 2024 (</w:t>
      </w:r>
      <w:r w:rsidRPr="00057E6F" w:rsidR="00057E6F">
        <w:rPr>
          <w:rFonts w:ascii="Arial" w:eastAsia="Times New Roman" w:hAnsi="Arial" w:cs="Arial"/>
          <w:sz w:val="22"/>
          <w:szCs w:val="22"/>
        </w:rPr>
        <w:t>ML23207A250</w:t>
      </w:r>
      <w:r w:rsidR="00057E6F">
        <w:rPr>
          <w:rFonts w:ascii="Arial" w:eastAsia="Times New Roman" w:hAnsi="Arial" w:cs="Arial"/>
          <w:sz w:val="22"/>
          <w:szCs w:val="22"/>
        </w:rPr>
        <w:t>)</w:t>
      </w:r>
      <w:r w:rsidRPr="00EB256B">
        <w:rPr>
          <w:rFonts w:ascii="Arial" w:eastAsia="Times New Roman" w:hAnsi="Arial" w:cs="Arial"/>
          <w:sz w:val="22"/>
          <w:szCs w:val="22"/>
        </w:rPr>
        <w:t xml:space="preserve"> (</w:t>
      </w:r>
      <w:r w:rsidR="009D6BB9">
        <w:rPr>
          <w:rFonts w:ascii="Arial" w:eastAsia="Times New Roman" w:hAnsi="Arial" w:cs="Arial"/>
          <w:sz w:val="22"/>
          <w:szCs w:val="22"/>
        </w:rPr>
        <w:t>NEI2</w:t>
      </w:r>
      <w:r w:rsidRPr="00EB256B">
        <w:rPr>
          <w:rFonts w:ascii="Arial" w:eastAsia="Times New Roman" w:hAnsi="Arial" w:cs="Arial"/>
          <w:sz w:val="22"/>
          <w:szCs w:val="22"/>
        </w:rPr>
        <w:t>-0034).</w:t>
      </w:r>
    </w:p>
    <w:p w:rsidR="001E2605" w:rsidRPr="00EB256B" w:rsidP="00363061" w14:paraId="075A7C36" w14:textId="77777777">
      <w:pPr>
        <w:spacing w:after="220"/>
        <w:rPr>
          <w:rFonts w:ascii="Arial" w:eastAsia="Times New Roman" w:hAnsi="Arial" w:cs="Arial"/>
          <w:sz w:val="22"/>
          <w:szCs w:val="22"/>
        </w:rPr>
      </w:pPr>
      <w:r w:rsidRPr="00EB256B">
        <w:rPr>
          <w:rFonts w:ascii="Arial" w:eastAsia="Times New Roman" w:hAnsi="Arial" w:cs="Arial"/>
          <w:sz w:val="22"/>
          <w:szCs w:val="22"/>
        </w:rPr>
        <w:t>Accordingly, the commenter suggested removing the words “designed or” from the phrase “an apparatus, other than an atomic weapon, designed or used to sustain nuclear fission” in the definition of “commercial nuclear reactor” (</w:t>
      </w:r>
      <w:r w:rsidR="009D6BB9">
        <w:rPr>
          <w:rFonts w:ascii="Arial" w:eastAsia="Times New Roman" w:hAnsi="Arial" w:cs="Arial"/>
          <w:sz w:val="22"/>
          <w:szCs w:val="22"/>
        </w:rPr>
        <w:t>NEI2</w:t>
      </w:r>
      <w:r w:rsidRPr="00EB256B">
        <w:rPr>
          <w:rFonts w:ascii="Arial" w:eastAsia="Times New Roman" w:hAnsi="Arial" w:cs="Arial"/>
          <w:sz w:val="22"/>
          <w:szCs w:val="22"/>
        </w:rPr>
        <w:t>-0190</w:t>
      </w:r>
      <w:r w:rsidR="00E005BC">
        <w:rPr>
          <w:rFonts w:ascii="Arial" w:eastAsia="Times New Roman" w:hAnsi="Arial" w:cs="Arial"/>
          <w:sz w:val="22"/>
          <w:szCs w:val="22"/>
        </w:rPr>
        <w:t>,</w:t>
      </w:r>
      <w:r w:rsidRPr="00EB256B">
        <w:rPr>
          <w:rFonts w:ascii="Arial" w:eastAsia="Times New Roman" w:hAnsi="Arial" w:cs="Arial"/>
          <w:sz w:val="22"/>
          <w:szCs w:val="22"/>
        </w:rPr>
        <w:t xml:space="preserve"> </w:t>
      </w:r>
      <w:r w:rsidR="009D6BB9">
        <w:rPr>
          <w:rFonts w:ascii="Arial" w:eastAsia="Times New Roman" w:hAnsi="Arial" w:cs="Arial"/>
          <w:sz w:val="22"/>
          <w:szCs w:val="22"/>
        </w:rPr>
        <w:t>NEI2</w:t>
      </w:r>
      <w:r w:rsidRPr="00EB256B">
        <w:rPr>
          <w:rFonts w:ascii="Arial" w:eastAsia="Times New Roman" w:hAnsi="Arial" w:cs="Arial"/>
          <w:sz w:val="22"/>
          <w:szCs w:val="22"/>
        </w:rPr>
        <w:t>-0034). The commenter also suggested removing the words “designed or” from the equivalent phrasing in the definition of “utilization facility” that references the definition of “commercial nuclear reactor” (</w:t>
      </w:r>
      <w:r w:rsidR="009D6BB9">
        <w:rPr>
          <w:rFonts w:ascii="Arial" w:eastAsia="Times New Roman" w:hAnsi="Arial" w:cs="Arial"/>
          <w:sz w:val="22"/>
          <w:szCs w:val="22"/>
        </w:rPr>
        <w:t>NEI2</w:t>
      </w:r>
      <w:r w:rsidRPr="00EB256B">
        <w:rPr>
          <w:rFonts w:ascii="Arial" w:eastAsia="Times New Roman" w:hAnsi="Arial" w:cs="Arial"/>
          <w:sz w:val="22"/>
          <w:szCs w:val="22"/>
        </w:rPr>
        <w:t>-0034). By not defining fueled manufactured reactors as utilization facilities in 10</w:t>
      </w:r>
      <w:r w:rsidRPr="00EB256B" w:rsidR="007613E5">
        <w:rPr>
          <w:rFonts w:ascii="Arial" w:eastAsia="Times New Roman" w:hAnsi="Arial" w:cs="Arial"/>
          <w:sz w:val="22"/>
          <w:szCs w:val="22"/>
        </w:rPr>
        <w:t> </w:t>
      </w:r>
      <w:r w:rsidRPr="00EB256B">
        <w:rPr>
          <w:rFonts w:ascii="Arial" w:eastAsia="Times New Roman" w:hAnsi="Arial" w:cs="Arial"/>
          <w:sz w:val="22"/>
          <w:szCs w:val="22"/>
        </w:rPr>
        <w:t>CFR</w:t>
      </w:r>
      <w:r w:rsidRPr="00EB256B" w:rsidR="007613E5">
        <w:rPr>
          <w:rFonts w:ascii="Arial" w:eastAsia="Times New Roman" w:hAnsi="Arial" w:cs="Arial"/>
          <w:sz w:val="22"/>
          <w:szCs w:val="22"/>
        </w:rPr>
        <w:t> </w:t>
      </w:r>
      <w:r w:rsidRPr="00EB256B">
        <w:rPr>
          <w:rFonts w:ascii="Arial" w:eastAsia="Times New Roman" w:hAnsi="Arial" w:cs="Arial"/>
          <w:sz w:val="22"/>
          <w:szCs w:val="22"/>
        </w:rPr>
        <w:t>Part 53, the commenter wrote, the NRC would remove redundancies with 10</w:t>
      </w:r>
      <w:r w:rsidRPr="00EB256B" w:rsidR="007613E5">
        <w:rPr>
          <w:rFonts w:ascii="Arial" w:eastAsia="Times New Roman" w:hAnsi="Arial" w:cs="Arial"/>
          <w:sz w:val="22"/>
          <w:szCs w:val="22"/>
        </w:rPr>
        <w:t> </w:t>
      </w:r>
      <w:r w:rsidRPr="00EB256B">
        <w:rPr>
          <w:rFonts w:ascii="Arial" w:eastAsia="Times New Roman" w:hAnsi="Arial" w:cs="Arial"/>
          <w:sz w:val="22"/>
          <w:szCs w:val="22"/>
        </w:rPr>
        <w:t>CFR Part 70, 10 CFR Part 71, and 10 CFR Part 72 and facilitate the transportation of microreactors in line with the ADVANCE Act (</w:t>
      </w:r>
      <w:r w:rsidR="009D6BB9">
        <w:rPr>
          <w:rFonts w:ascii="Arial" w:eastAsia="Times New Roman" w:hAnsi="Arial" w:cs="Arial"/>
          <w:sz w:val="22"/>
          <w:szCs w:val="22"/>
        </w:rPr>
        <w:t>NEI2</w:t>
      </w:r>
      <w:r w:rsidRPr="00EB256B">
        <w:rPr>
          <w:rFonts w:ascii="Arial" w:eastAsia="Times New Roman" w:hAnsi="Arial" w:cs="Arial"/>
          <w:sz w:val="22"/>
          <w:szCs w:val="22"/>
        </w:rPr>
        <w:t>-0190).</w:t>
      </w:r>
    </w:p>
    <w:p w:rsidR="000E75D2" w:rsidRPr="00EB256B" w:rsidP="00363061" w14:paraId="355BE541" w14:textId="77777777">
      <w:pPr>
        <w:spacing w:after="220"/>
        <w:rPr>
          <w:rFonts w:ascii="Arial" w:eastAsia="Times New Roman" w:hAnsi="Arial" w:cs="Arial"/>
          <w:sz w:val="22"/>
          <w:szCs w:val="22"/>
        </w:rPr>
      </w:pPr>
      <w:r w:rsidRPr="00EB256B">
        <w:rPr>
          <w:rFonts w:ascii="Arial" w:eastAsia="Times New Roman" w:hAnsi="Arial" w:cs="Arial"/>
          <w:b/>
          <w:sz w:val="22"/>
          <w:szCs w:val="22"/>
        </w:rPr>
        <w:t>NRC Response:</w:t>
      </w:r>
      <w:r w:rsidRPr="00EB256B">
        <w:rPr>
          <w:rFonts w:ascii="Arial" w:eastAsia="Times New Roman" w:hAnsi="Arial" w:cs="Arial"/>
          <w:sz w:val="22"/>
          <w:szCs w:val="22"/>
        </w:rPr>
        <w:t xml:space="preserve"> The NRC disagrees with the comments. See also the </w:t>
      </w:r>
      <w:r w:rsidR="005E772C">
        <w:rPr>
          <w:rFonts w:ascii="Arial" w:eastAsia="Times New Roman" w:hAnsi="Arial" w:cs="Arial"/>
          <w:sz w:val="22"/>
          <w:szCs w:val="22"/>
        </w:rPr>
        <w:t xml:space="preserve">NRC’s </w:t>
      </w:r>
      <w:r w:rsidRPr="00EB256B">
        <w:rPr>
          <w:rFonts w:ascii="Arial" w:eastAsia="Times New Roman" w:hAnsi="Arial" w:cs="Arial"/>
          <w:sz w:val="22"/>
          <w:szCs w:val="22"/>
        </w:rPr>
        <w:t>response to Comment Bin 3.8.9.A.</w:t>
      </w:r>
    </w:p>
    <w:p w:rsidR="00FD3301" w:rsidRPr="00EB256B" w:rsidP="00363061" w14:paraId="2176CCF3"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The licenses to manufacture, construct, and operate manufactured reactors are issued under 10 CFR Part 53 consistent with </w:t>
      </w:r>
      <w:r w:rsidR="009E1316">
        <w:rPr>
          <w:rFonts w:ascii="Arial" w:eastAsia="Times New Roman" w:hAnsi="Arial" w:cs="Arial"/>
          <w:sz w:val="22"/>
          <w:szCs w:val="22"/>
        </w:rPr>
        <w:t>s</w:t>
      </w:r>
      <w:r w:rsidRPr="00EB256B">
        <w:rPr>
          <w:rFonts w:ascii="Arial" w:eastAsia="Times New Roman" w:hAnsi="Arial" w:cs="Arial"/>
          <w:sz w:val="22"/>
          <w:szCs w:val="22"/>
        </w:rPr>
        <w:t>ection 103 of the A</w:t>
      </w:r>
      <w:r w:rsidR="00224B19">
        <w:rPr>
          <w:rFonts w:ascii="Arial" w:eastAsia="Times New Roman" w:hAnsi="Arial" w:cs="Arial"/>
          <w:sz w:val="22"/>
          <w:szCs w:val="22"/>
        </w:rPr>
        <w:t>EA</w:t>
      </w:r>
      <w:r w:rsidRPr="00EB256B">
        <w:rPr>
          <w:rFonts w:ascii="Arial" w:eastAsia="Times New Roman" w:hAnsi="Arial" w:cs="Arial"/>
          <w:sz w:val="22"/>
          <w:szCs w:val="22"/>
        </w:rPr>
        <w:t xml:space="preserve"> for utilization facilities. Although the requirements in 10 CFR Part 53 take advantage of the regulations for and history of handling special nuclear material by citing 10 CFR Part 70, a fueled manufactured reactor is best described as a reactor and the broader term of utilization facility. Moreover, contrary to </w:t>
      </w:r>
      <w:r w:rsidR="00852C6D">
        <w:rPr>
          <w:rFonts w:ascii="Arial" w:eastAsia="Times New Roman" w:hAnsi="Arial" w:cs="Arial"/>
          <w:sz w:val="22"/>
          <w:szCs w:val="22"/>
        </w:rPr>
        <w:t>the</w:t>
      </w:r>
      <w:r w:rsidRPr="00EB256B">
        <w:rPr>
          <w:rFonts w:ascii="Arial" w:eastAsia="Times New Roman" w:hAnsi="Arial" w:cs="Arial"/>
          <w:sz w:val="22"/>
          <w:szCs w:val="22"/>
        </w:rPr>
        <w:t xml:space="preserve"> comment’s suggestion, </w:t>
      </w:r>
      <w:r w:rsidRPr="00EB256B" w:rsidR="00250EA1">
        <w:rPr>
          <w:rFonts w:ascii="Arial" w:eastAsia="Times New Roman" w:hAnsi="Arial" w:cs="Arial"/>
          <w:sz w:val="22"/>
          <w:szCs w:val="22"/>
        </w:rPr>
        <w:t>10 CFR </w:t>
      </w:r>
      <w:r w:rsidRPr="00EB256B">
        <w:rPr>
          <w:rFonts w:ascii="Arial" w:eastAsia="Times New Roman" w:hAnsi="Arial" w:cs="Arial"/>
          <w:sz w:val="22"/>
          <w:szCs w:val="22"/>
        </w:rPr>
        <w:t>Part 53 does not require the manufacturing license holder to obtain an additional reactor license to possess the manufactured reactor because the manufacturing license already authorizes possession of the reactor. However, as explained in the final rule, the NRC has historically defined operation to commence at fuel load.</w:t>
      </w:r>
    </w:p>
    <w:p w:rsidR="00F13F95" w:rsidRPr="00EB256B" w:rsidP="00363061" w14:paraId="65A1540D"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Thus, under the NRC’s current policy, if the manufacturing licensee loaded fuel at the factory, the manufacturing licensee would need a separate combined license to authorize </w:t>
      </w:r>
      <w:r w:rsidRPr="00EB256B" w:rsidR="0080063D">
        <w:rPr>
          <w:rFonts w:ascii="Arial" w:eastAsia="Times New Roman" w:hAnsi="Arial" w:cs="Arial"/>
          <w:sz w:val="22"/>
          <w:szCs w:val="22"/>
        </w:rPr>
        <w:t>operation</w:t>
      </w:r>
      <w:r w:rsidRPr="00EB256B">
        <w:rPr>
          <w:rFonts w:ascii="Arial" w:eastAsia="Times New Roman" w:hAnsi="Arial" w:cs="Arial"/>
          <w:sz w:val="22"/>
          <w:szCs w:val="22"/>
        </w:rPr>
        <w:t xml:space="preserve"> of the manufactured reactor, </w:t>
      </w:r>
      <w:r w:rsidRPr="00EB256B" w:rsidR="0080063D">
        <w:rPr>
          <w:rFonts w:ascii="Arial" w:eastAsia="Times New Roman" w:hAnsi="Arial" w:cs="Arial"/>
          <w:sz w:val="22"/>
          <w:szCs w:val="22"/>
        </w:rPr>
        <w:t xml:space="preserve">because the reactor </w:t>
      </w:r>
      <w:r w:rsidRPr="00EB256B">
        <w:rPr>
          <w:rFonts w:ascii="Arial" w:eastAsia="Times New Roman" w:hAnsi="Arial" w:cs="Arial"/>
          <w:sz w:val="22"/>
          <w:szCs w:val="22"/>
        </w:rPr>
        <w:t xml:space="preserve">would be considered to be in operation. However, </w:t>
      </w:r>
      <w:r w:rsidR="00D012A4">
        <w:rPr>
          <w:rFonts w:ascii="Arial" w:eastAsia="Times New Roman" w:hAnsi="Arial" w:cs="Arial"/>
          <w:sz w:val="22"/>
          <w:szCs w:val="22"/>
        </w:rPr>
        <w:t xml:space="preserve">in </w:t>
      </w:r>
      <w:r w:rsidRPr="00EB256B">
        <w:rPr>
          <w:rFonts w:ascii="Arial" w:eastAsia="Times New Roman" w:hAnsi="Arial" w:cs="Arial"/>
          <w:sz w:val="22"/>
          <w:szCs w:val="22"/>
        </w:rPr>
        <w:t>the final rule the Commission has redefine</w:t>
      </w:r>
      <w:r w:rsidR="00894523">
        <w:rPr>
          <w:rFonts w:ascii="Arial" w:eastAsia="Times New Roman" w:hAnsi="Arial" w:cs="Arial"/>
          <w:sz w:val="22"/>
          <w:szCs w:val="22"/>
        </w:rPr>
        <w:t>d</w:t>
      </w:r>
      <w:r w:rsidRPr="00EB256B">
        <w:rPr>
          <w:rFonts w:ascii="Arial" w:eastAsia="Times New Roman" w:hAnsi="Arial" w:cs="Arial"/>
          <w:sz w:val="22"/>
          <w:szCs w:val="22"/>
        </w:rPr>
        <w:t xml:space="preserve"> when a reactor is in operation: under this definition, a manufactured reactor is not in operation, even after fuel load, if mechanisms to prevent criticality are in place.</w:t>
      </w:r>
    </w:p>
    <w:p w:rsidR="00250EA1" w:rsidRPr="00EB256B" w:rsidP="00363061" w14:paraId="79226563" w14:textId="77777777">
      <w:pPr>
        <w:spacing w:after="220"/>
        <w:rPr>
          <w:rFonts w:ascii="Arial" w:eastAsia="Times New Roman" w:hAnsi="Arial" w:cs="Arial"/>
          <w:sz w:val="22"/>
          <w:szCs w:val="22"/>
        </w:rPr>
      </w:pPr>
      <w:r w:rsidRPr="00EB256B">
        <w:rPr>
          <w:rFonts w:ascii="Arial" w:eastAsia="Times New Roman" w:hAnsi="Arial" w:cs="Arial"/>
          <w:sz w:val="22"/>
          <w:szCs w:val="22"/>
        </w:rPr>
        <w:t xml:space="preserve">While the NRC considered the comment’s preferred approach of redefining utilization facility, the NRC determined that this would not address as many regulatory issues as redefining operation. Specifically, redefining “operation,” as opposed to “utilization facility” more efficiently facilitates completion of the </w:t>
      </w:r>
      <w:r w:rsidRPr="00E4446E" w:rsidR="00E4446E">
        <w:rPr>
          <w:rFonts w:ascii="Arial" w:eastAsia="Times New Roman" w:hAnsi="Arial" w:cs="Arial"/>
          <w:sz w:val="22"/>
          <w:szCs w:val="22"/>
        </w:rPr>
        <w:t xml:space="preserve">inspections, tests, analyses, and acceptance criteria </w:t>
      </w:r>
      <w:r w:rsidR="00E4446E">
        <w:rPr>
          <w:rFonts w:ascii="Arial" w:eastAsia="Times New Roman" w:hAnsi="Arial" w:cs="Arial"/>
          <w:sz w:val="22"/>
          <w:szCs w:val="22"/>
        </w:rPr>
        <w:t>(</w:t>
      </w:r>
      <w:r w:rsidRPr="00EB256B">
        <w:rPr>
          <w:rFonts w:ascii="Arial" w:eastAsia="Times New Roman" w:hAnsi="Arial" w:cs="Arial"/>
          <w:sz w:val="22"/>
          <w:szCs w:val="22"/>
        </w:rPr>
        <w:t>ITAAC</w:t>
      </w:r>
      <w:r w:rsidR="00E4446E">
        <w:rPr>
          <w:rFonts w:ascii="Arial" w:eastAsia="Times New Roman" w:hAnsi="Arial" w:cs="Arial"/>
          <w:sz w:val="22"/>
          <w:szCs w:val="22"/>
        </w:rPr>
        <w:t>)</w:t>
      </w:r>
      <w:r w:rsidRPr="00EB256B">
        <w:rPr>
          <w:rFonts w:ascii="Arial" w:eastAsia="Times New Roman" w:hAnsi="Arial" w:cs="Arial"/>
          <w:sz w:val="22"/>
          <w:szCs w:val="22"/>
        </w:rPr>
        <w:t xml:space="preserve"> process, as section 185(b) of the A</w:t>
      </w:r>
      <w:r w:rsidR="003C2E7B">
        <w:rPr>
          <w:rFonts w:ascii="Arial" w:eastAsia="Times New Roman" w:hAnsi="Arial" w:cs="Arial"/>
          <w:sz w:val="22"/>
          <w:szCs w:val="22"/>
        </w:rPr>
        <w:t>EA</w:t>
      </w:r>
      <w:r w:rsidRPr="00EB256B">
        <w:rPr>
          <w:rFonts w:ascii="Arial" w:eastAsia="Times New Roman" w:hAnsi="Arial" w:cs="Arial"/>
          <w:sz w:val="22"/>
          <w:szCs w:val="22"/>
        </w:rPr>
        <w:t xml:space="preserve"> requires the NRC to </w:t>
      </w:r>
      <w:r w:rsidRPr="00EB256B" w:rsidR="00A30960">
        <w:rPr>
          <w:rFonts w:ascii="Arial" w:eastAsia="Times New Roman" w:hAnsi="Arial" w:cs="Arial"/>
          <w:sz w:val="22"/>
          <w:szCs w:val="22"/>
        </w:rPr>
        <w:t xml:space="preserve">find that </w:t>
      </w:r>
      <w:r w:rsidRPr="00EB256B">
        <w:rPr>
          <w:rFonts w:ascii="Arial" w:eastAsia="Times New Roman" w:hAnsi="Arial" w:cs="Arial"/>
          <w:sz w:val="22"/>
          <w:szCs w:val="22"/>
        </w:rPr>
        <w:t>all</w:t>
      </w:r>
      <w:r w:rsidRPr="00EB256B" w:rsidR="00A30960">
        <w:rPr>
          <w:rFonts w:ascii="Arial" w:eastAsia="Times New Roman" w:hAnsi="Arial" w:cs="Arial"/>
          <w:sz w:val="22"/>
          <w:szCs w:val="22"/>
        </w:rPr>
        <w:t xml:space="preserve"> acceptance criteria in the</w:t>
      </w:r>
      <w:r w:rsidRPr="00EB256B">
        <w:rPr>
          <w:rFonts w:ascii="Arial" w:eastAsia="Times New Roman" w:hAnsi="Arial" w:cs="Arial"/>
          <w:sz w:val="22"/>
          <w:szCs w:val="22"/>
        </w:rPr>
        <w:t xml:space="preserve"> </w:t>
      </w:r>
      <w:r w:rsidRPr="00EB256B" w:rsidR="002454AE">
        <w:rPr>
          <w:rFonts w:ascii="Arial" w:eastAsia="Times New Roman" w:hAnsi="Arial" w:cs="Arial"/>
          <w:sz w:val="22"/>
          <w:szCs w:val="22"/>
        </w:rPr>
        <w:t>combined license’s</w:t>
      </w:r>
      <w:r w:rsidRPr="00EB256B">
        <w:rPr>
          <w:rFonts w:ascii="Arial" w:eastAsia="Times New Roman" w:hAnsi="Arial" w:cs="Arial"/>
          <w:sz w:val="22"/>
          <w:szCs w:val="22"/>
        </w:rPr>
        <w:t xml:space="preserve"> ITAAC </w:t>
      </w:r>
      <w:r w:rsidRPr="00EB256B" w:rsidR="002454AE">
        <w:rPr>
          <w:rFonts w:ascii="Arial" w:eastAsia="Times New Roman" w:hAnsi="Arial" w:cs="Arial"/>
          <w:sz w:val="22"/>
          <w:szCs w:val="22"/>
        </w:rPr>
        <w:t>are met</w:t>
      </w:r>
      <w:r w:rsidRPr="00EB256B">
        <w:rPr>
          <w:rFonts w:ascii="Arial" w:eastAsia="Times New Roman" w:hAnsi="Arial" w:cs="Arial"/>
          <w:sz w:val="22"/>
          <w:szCs w:val="22"/>
        </w:rPr>
        <w:t xml:space="preserve"> prior to reactor operation.</w:t>
      </w:r>
    </w:p>
    <w:p w:rsidR="00AC1417" w:rsidRPr="00EB256B" w:rsidP="00363061" w14:paraId="37989208" w14:textId="77777777">
      <w:pPr>
        <w:spacing w:after="220"/>
        <w:rPr>
          <w:rFonts w:ascii="Arial" w:eastAsia="Times New Roman" w:hAnsi="Arial" w:cs="Arial"/>
          <w:sz w:val="22"/>
          <w:szCs w:val="22"/>
        </w:rPr>
      </w:pPr>
      <w:r w:rsidRPr="00EB256B">
        <w:rPr>
          <w:rFonts w:ascii="Arial" w:eastAsia="DengXian" w:hAnsi="Arial" w:cs="Arial"/>
          <w:sz w:val="22"/>
          <w:szCs w:val="22"/>
          <w:lang w:eastAsia="ja-JP"/>
        </w:rPr>
        <w:t xml:space="preserve">Accordingly, the NRC did not </w:t>
      </w:r>
      <w:r w:rsidRPr="00EB256B" w:rsidR="00250EA1">
        <w:rPr>
          <w:rFonts w:ascii="Arial" w:eastAsia="DengXian" w:hAnsi="Arial" w:cs="Arial"/>
          <w:sz w:val="22"/>
          <w:szCs w:val="22"/>
          <w:lang w:eastAsia="ja-JP"/>
        </w:rPr>
        <w:t>change</w:t>
      </w:r>
      <w:r w:rsidRPr="00EB256B">
        <w:rPr>
          <w:rFonts w:ascii="Arial" w:eastAsia="DengXian" w:hAnsi="Arial" w:cs="Arial"/>
          <w:sz w:val="22"/>
          <w:szCs w:val="22"/>
          <w:lang w:eastAsia="ja-JP"/>
        </w:rPr>
        <w:t xml:space="preserve"> the rule language in response to th</w:t>
      </w:r>
      <w:r w:rsidRPr="00EB256B" w:rsidR="00250EA1">
        <w:rPr>
          <w:rFonts w:ascii="Arial" w:eastAsia="DengXian" w:hAnsi="Arial" w:cs="Arial"/>
          <w:sz w:val="22"/>
          <w:szCs w:val="22"/>
          <w:lang w:eastAsia="ja-JP"/>
        </w:rPr>
        <w:t>ese</w:t>
      </w:r>
      <w:r w:rsidRPr="00EB256B">
        <w:rPr>
          <w:rFonts w:ascii="Arial" w:eastAsia="DengXian" w:hAnsi="Arial" w:cs="Arial"/>
          <w:sz w:val="22"/>
          <w:szCs w:val="22"/>
          <w:lang w:eastAsia="ja-JP"/>
        </w:rPr>
        <w:t xml:space="preserve"> comment</w:t>
      </w:r>
      <w:r w:rsidRPr="00EB256B" w:rsidR="00250EA1">
        <w:rPr>
          <w:rFonts w:ascii="Arial" w:eastAsia="DengXian" w:hAnsi="Arial" w:cs="Arial"/>
          <w:sz w:val="22"/>
          <w:szCs w:val="22"/>
          <w:lang w:eastAsia="ja-JP"/>
        </w:rPr>
        <w:t>s</w:t>
      </w:r>
      <w:r w:rsidRPr="00EB256B">
        <w:rPr>
          <w:rFonts w:ascii="Arial" w:eastAsia="DengXian" w:hAnsi="Arial" w:cs="Arial"/>
          <w:sz w:val="22"/>
          <w:szCs w:val="22"/>
          <w:lang w:eastAsia="ja-JP"/>
        </w:rPr>
        <w:t>.</w:t>
      </w:r>
      <w:r>
        <w:rPr>
          <w:rFonts w:ascii="Arial" w:eastAsia="Times New Roman" w:hAnsi="Arial" w:cs="Arial"/>
          <w:sz w:val="22"/>
          <w:szCs w:val="22"/>
          <w:lang w:eastAsia="zh-CN"/>
        </w:rPr>
        <w:pict>
          <v:rect id="_x0000_i1058" style="width:0;height:1.5pt" o:hralign="center" o:hrstd="t" o:hrnoshade="t" o:hr="t" fillcolor="black" stroked="f"/>
        </w:pict>
      </w:r>
    </w:p>
    <w:p w:rsidR="009A658E" w:rsidRPr="00EB256B" w:rsidP="00363061" w14:paraId="73271B8A" w14:textId="77777777">
      <w:pPr>
        <w:spacing w:after="220"/>
        <w:rPr>
          <w:rFonts w:ascii="Arial" w:eastAsia="DengXian" w:hAnsi="Arial" w:cs="Arial"/>
          <w:sz w:val="22"/>
          <w:szCs w:val="22"/>
        </w:rPr>
      </w:pPr>
      <w:r w:rsidRPr="00EB256B">
        <w:rPr>
          <w:rFonts w:ascii="Arial" w:eastAsia="Times New Roman" w:hAnsi="Arial" w:cs="Arial"/>
          <w:b/>
          <w:color w:val="000000"/>
          <w:sz w:val="22"/>
          <w:szCs w:val="22"/>
          <w:lang w:eastAsia="zh-CN"/>
        </w:rPr>
        <w:t xml:space="preserve">Comment Bin 3.1.1.L: </w:t>
      </w:r>
      <w:r w:rsidRPr="00EB256B">
        <w:rPr>
          <w:rFonts w:ascii="Arial" w:eastAsia="DengXian" w:hAnsi="Arial" w:cs="Arial"/>
          <w:sz w:val="22"/>
          <w:szCs w:val="22"/>
        </w:rPr>
        <w:t>A commenter asked the NRC to clarify the definition of “commercial operation” to align with the operational realities of microreactors and factory-fueled transportable reactors. Specifically, the commenter stated that for transportable microreactors, “commercial operation” should be defined as the generation of electricity, process heat, or other usable energy at the intended deployment site, not at the point of initial fueling (</w:t>
      </w:r>
      <w:r w:rsidR="00D87876">
        <w:rPr>
          <w:rFonts w:ascii="Arial" w:eastAsia="DengXian" w:hAnsi="Arial" w:cs="Arial"/>
          <w:sz w:val="22"/>
          <w:szCs w:val="22"/>
        </w:rPr>
        <w:t>SCWG</w:t>
      </w:r>
      <w:r w:rsidRPr="00EB256B">
        <w:rPr>
          <w:rFonts w:ascii="Arial" w:eastAsia="DengXian" w:hAnsi="Arial" w:cs="Arial"/>
          <w:sz w:val="22"/>
          <w:szCs w:val="22"/>
        </w:rPr>
        <w:t>-0003).</w:t>
      </w:r>
    </w:p>
    <w:p w:rsidR="006D6189" w:rsidP="00363061" w14:paraId="3E5866C8" w14:textId="77777777">
      <w:pPr>
        <w:spacing w:after="220"/>
        <w:rPr>
          <w:rFonts w:ascii="Arial" w:eastAsia="DengXian" w:hAnsi="Arial" w:cs="Arial"/>
          <w:sz w:val="22"/>
          <w:szCs w:val="22"/>
        </w:rPr>
      </w:pPr>
      <w:r w:rsidRPr="00EB256B">
        <w:rPr>
          <w:rFonts w:ascii="Arial" w:eastAsia="DengXian" w:hAnsi="Arial" w:cs="Arial"/>
          <w:b/>
          <w:sz w:val="22"/>
          <w:szCs w:val="22"/>
        </w:rPr>
        <w:t>NRC Response:</w:t>
      </w:r>
      <w:r w:rsidRPr="00EB256B">
        <w:rPr>
          <w:rFonts w:ascii="Arial" w:eastAsia="DengXian" w:hAnsi="Arial" w:cs="Arial"/>
          <w:sz w:val="22"/>
          <w:szCs w:val="22"/>
        </w:rPr>
        <w:t xml:space="preserve"> The NRC disagrees with th</w:t>
      </w:r>
      <w:r w:rsidR="00AB0AAB">
        <w:rPr>
          <w:rFonts w:ascii="Arial" w:eastAsia="DengXian" w:hAnsi="Arial" w:cs="Arial"/>
          <w:sz w:val="22"/>
          <w:szCs w:val="22"/>
        </w:rPr>
        <w:t>e</w:t>
      </w:r>
      <w:r w:rsidRPr="00EB256B">
        <w:rPr>
          <w:rFonts w:ascii="Arial" w:eastAsia="DengXian" w:hAnsi="Arial" w:cs="Arial"/>
          <w:sz w:val="22"/>
          <w:szCs w:val="22"/>
        </w:rPr>
        <w:t xml:space="preserve"> comment. </w:t>
      </w:r>
    </w:p>
    <w:p w:rsidR="002E7F44" w:rsidRPr="00EB256B" w:rsidP="00363061" w14:paraId="606BE4FD" w14:textId="77777777">
      <w:pPr>
        <w:spacing w:after="220"/>
        <w:rPr>
          <w:rFonts w:ascii="Arial" w:eastAsia="DengXian" w:hAnsi="Arial" w:cs="Arial"/>
          <w:sz w:val="22"/>
          <w:szCs w:val="22"/>
        </w:rPr>
      </w:pPr>
      <w:r w:rsidRPr="00EB256B">
        <w:rPr>
          <w:rFonts w:ascii="Arial" w:eastAsia="DengXian" w:hAnsi="Arial" w:cs="Arial"/>
          <w:sz w:val="22"/>
          <w:szCs w:val="22"/>
        </w:rPr>
        <w:t>10 CFR Part 53 does not use and therefore need not define the term “commercial operation,” which historically is used for purposes outside of the NRC’s purview.</w:t>
      </w:r>
    </w:p>
    <w:p w:rsidR="009A658E" w:rsidRPr="00EB256B" w:rsidP="00363061" w14:paraId="263CB20D" w14:textId="77777777">
      <w:pPr>
        <w:spacing w:after="220"/>
        <w:rPr>
          <w:rFonts w:ascii="Arial" w:eastAsia="Times New Roman" w:hAnsi="Arial" w:cs="Arial"/>
          <w:b/>
          <w:color w:val="000000"/>
          <w:sz w:val="22"/>
          <w:szCs w:val="22"/>
          <w:lang w:eastAsia="zh-CN"/>
        </w:rPr>
      </w:pPr>
      <w:r w:rsidRPr="00EB256B">
        <w:rPr>
          <w:rFonts w:ascii="Arial" w:eastAsia="DengXian" w:hAnsi="Arial" w:cs="Arial"/>
          <w:sz w:val="22"/>
          <w:szCs w:val="22"/>
        </w:rPr>
        <w:t xml:space="preserve">Accordingly, the NRC did not </w:t>
      </w:r>
      <w:r w:rsidRPr="00EB256B" w:rsidR="00DB3347">
        <w:rPr>
          <w:rFonts w:ascii="Arial" w:eastAsia="DengXian" w:hAnsi="Arial" w:cs="Arial"/>
          <w:sz w:val="22"/>
          <w:szCs w:val="22"/>
        </w:rPr>
        <w:t>change</w:t>
      </w:r>
      <w:r w:rsidRPr="00EB256B">
        <w:rPr>
          <w:rFonts w:ascii="Arial" w:eastAsia="DengXian" w:hAnsi="Arial" w:cs="Arial"/>
          <w:sz w:val="22"/>
          <w:szCs w:val="22"/>
        </w:rPr>
        <w:t xml:space="preserve"> the rule language in response to this comment.</w:t>
      </w:r>
    </w:p>
    <w:p w:rsidR="00AC1417" w:rsidRPr="00EB256B" w:rsidP="00363061" w14:paraId="01876508"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059" style="width:0;height:1.5pt" o:hralign="center" o:hrstd="t" o:hrnoshade="t" o:hr="t" fillcolor="black" stroked="f"/>
        </w:pict>
      </w:r>
    </w:p>
    <w:p w:rsidR="009A658E" w:rsidRPr="00EB256B" w:rsidP="00363061" w14:paraId="423BA23F" w14:textId="77777777">
      <w:pPr>
        <w:spacing w:after="220"/>
        <w:rPr>
          <w:rFonts w:ascii="Arial" w:eastAsia="Times New Roman" w:hAnsi="Arial" w:cs="Arial"/>
          <w:color w:val="000000"/>
          <w:sz w:val="22"/>
          <w:szCs w:val="22"/>
          <w:lang w:eastAsia="zh-CN"/>
        </w:rPr>
      </w:pPr>
      <w:r w:rsidRPr="00EB256B">
        <w:rPr>
          <w:rFonts w:ascii="Arial" w:eastAsia="Times New Roman" w:hAnsi="Arial" w:cs="Arial"/>
          <w:b/>
          <w:sz w:val="22"/>
          <w:szCs w:val="22"/>
          <w:lang w:eastAsia="zh-CN"/>
        </w:rPr>
        <w:t xml:space="preserve">Comment Bin 3.1.1.M: </w:t>
      </w:r>
      <w:r w:rsidRPr="00EB256B">
        <w:rPr>
          <w:rFonts w:ascii="Arial" w:eastAsia="DengXian" w:hAnsi="Arial" w:cs="Arial"/>
          <w:sz w:val="22"/>
          <w:szCs w:val="22"/>
        </w:rPr>
        <w:t>T</w:t>
      </w:r>
      <w:r w:rsidRPr="00EB256B">
        <w:rPr>
          <w:rFonts w:ascii="Arial" w:eastAsia="Times New Roman" w:hAnsi="Arial" w:cs="Arial"/>
          <w:color w:val="000000"/>
          <w:sz w:val="22"/>
          <w:szCs w:val="22"/>
          <w:lang w:eastAsia="zh-CN"/>
        </w:rPr>
        <w:t>o provide clarity on the scope of activities covered under a</w:t>
      </w:r>
      <w:r w:rsidR="00E43E61">
        <w:rPr>
          <w:rFonts w:ascii="Arial" w:eastAsia="Times New Roman" w:hAnsi="Arial" w:cs="Arial"/>
          <w:color w:val="000000"/>
          <w:sz w:val="22"/>
          <w:szCs w:val="22"/>
          <w:lang w:eastAsia="zh-CN"/>
        </w:rPr>
        <w:t xml:space="preserve"> manu</w:t>
      </w:r>
      <w:r w:rsidR="008B5636">
        <w:rPr>
          <w:rFonts w:ascii="Arial" w:eastAsia="Times New Roman" w:hAnsi="Arial" w:cs="Arial"/>
          <w:color w:val="000000"/>
          <w:sz w:val="22"/>
          <w:szCs w:val="22"/>
          <w:lang w:eastAsia="zh-CN"/>
        </w:rPr>
        <w:t>facturing license</w:t>
      </w:r>
      <w:r w:rsidRPr="00EB256B">
        <w:rPr>
          <w:rFonts w:ascii="Arial" w:eastAsia="Times New Roman" w:hAnsi="Arial" w:cs="Arial"/>
          <w:color w:val="000000"/>
          <w:sz w:val="22"/>
          <w:szCs w:val="22"/>
          <w:lang w:eastAsia="zh-CN"/>
        </w:rPr>
        <w:t xml:space="preserve"> </w:t>
      </w:r>
      <w:r w:rsidR="008B5636">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ML</w:t>
      </w:r>
      <w:r w:rsidR="008B5636">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the NRC should define the term “manufacturing,” and modify or add requirements in 10 CFR 53.620 a commenter said. The commenter suggested that the proposed definitions of “commercial nuclear reactor,” “manufactured reactor,” “manufacturing license,” and “utilization facility” do not make clear what activities can be performed prior to the receipt of an ML. Citing the proposed definition of “construction,” which outlines the activities that can be completed prior to the receipt of a </w:t>
      </w:r>
      <w:r w:rsidR="004D2762">
        <w:rPr>
          <w:rFonts w:ascii="Arial" w:eastAsia="Times New Roman" w:hAnsi="Arial" w:cs="Arial"/>
          <w:color w:val="000000"/>
          <w:sz w:val="22"/>
          <w:szCs w:val="22"/>
          <w:lang w:eastAsia="zh-CN"/>
        </w:rPr>
        <w:t>construction permit (</w:t>
      </w:r>
      <w:r w:rsidRPr="00EB256B">
        <w:rPr>
          <w:rFonts w:ascii="Arial" w:eastAsia="Times New Roman" w:hAnsi="Arial" w:cs="Arial"/>
          <w:color w:val="000000"/>
          <w:sz w:val="22"/>
          <w:szCs w:val="22"/>
          <w:lang w:eastAsia="zh-CN"/>
        </w:rPr>
        <w:t>CP</w:t>
      </w:r>
      <w:r w:rsidR="004D2762">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w:t>
      </w:r>
      <w:r w:rsidR="00593DB0">
        <w:rPr>
          <w:rFonts w:ascii="Arial" w:eastAsia="Times New Roman" w:hAnsi="Arial" w:cs="Arial"/>
          <w:color w:val="000000"/>
          <w:sz w:val="22"/>
          <w:szCs w:val="22"/>
          <w:lang w:eastAsia="zh-CN"/>
        </w:rPr>
        <w:t>combined license (</w:t>
      </w:r>
      <w:r w:rsidRPr="00EB256B">
        <w:rPr>
          <w:rFonts w:ascii="Arial" w:eastAsia="Times New Roman" w:hAnsi="Arial" w:cs="Arial"/>
          <w:color w:val="000000"/>
          <w:sz w:val="22"/>
          <w:szCs w:val="22"/>
          <w:lang w:eastAsia="zh-CN"/>
        </w:rPr>
        <w:t>COL</w:t>
      </w:r>
      <w:r w:rsidR="00593DB0">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w:t>
      </w:r>
      <w:r w:rsidR="00121D80">
        <w:rPr>
          <w:rFonts w:ascii="Arial" w:eastAsia="Times New Roman" w:hAnsi="Arial" w:cs="Arial"/>
          <w:color w:val="000000"/>
          <w:sz w:val="22"/>
          <w:szCs w:val="22"/>
          <w:lang w:eastAsia="zh-CN"/>
        </w:rPr>
        <w:t>limited wo</w:t>
      </w:r>
      <w:r w:rsidR="008E1D55">
        <w:rPr>
          <w:rFonts w:ascii="Arial" w:eastAsia="Times New Roman" w:hAnsi="Arial" w:cs="Arial"/>
          <w:color w:val="000000"/>
          <w:sz w:val="22"/>
          <w:szCs w:val="22"/>
          <w:lang w:eastAsia="zh-CN"/>
        </w:rPr>
        <w:t>rk authorization (</w:t>
      </w:r>
      <w:r w:rsidRPr="00EB256B">
        <w:rPr>
          <w:rFonts w:ascii="Arial" w:eastAsia="Times New Roman" w:hAnsi="Arial" w:cs="Arial"/>
          <w:color w:val="000000"/>
          <w:sz w:val="22"/>
          <w:szCs w:val="22"/>
          <w:lang w:eastAsia="zh-CN"/>
        </w:rPr>
        <w:t>LWA</w:t>
      </w:r>
      <w:r w:rsidR="008E1D55">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or </w:t>
      </w:r>
      <w:r w:rsidR="008E1D55">
        <w:rPr>
          <w:rFonts w:ascii="Arial" w:eastAsia="Times New Roman" w:hAnsi="Arial" w:cs="Arial"/>
          <w:color w:val="000000"/>
          <w:sz w:val="22"/>
          <w:szCs w:val="22"/>
          <w:lang w:eastAsia="zh-CN"/>
        </w:rPr>
        <w:t>early site</w:t>
      </w:r>
      <w:r w:rsidR="00D273E6">
        <w:rPr>
          <w:rFonts w:ascii="Arial" w:eastAsia="Times New Roman" w:hAnsi="Arial" w:cs="Arial"/>
          <w:color w:val="000000"/>
          <w:sz w:val="22"/>
          <w:szCs w:val="22"/>
          <w:lang w:eastAsia="zh-CN"/>
        </w:rPr>
        <w:t xml:space="preserve"> permit (</w:t>
      </w:r>
      <w:r w:rsidRPr="00EB256B">
        <w:rPr>
          <w:rFonts w:ascii="Arial" w:eastAsia="Times New Roman" w:hAnsi="Arial" w:cs="Arial"/>
          <w:color w:val="000000"/>
          <w:sz w:val="22"/>
          <w:szCs w:val="22"/>
          <w:lang w:eastAsia="zh-CN"/>
        </w:rPr>
        <w:t>ESP</w:t>
      </w:r>
      <w:r w:rsidR="00D273E6">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authorizing construction, the commenter stated that it would be useful to include a similar definition of the term “manufacturing.” The commenter understood the proposed rule as granting the ML holder the authority to perform final assembly of what would constitute a commercial nuclear reactor under 10 CFR Part 53 or a nuclear reactor under 10 CFR Part 50. </w:t>
      </w:r>
      <w:r w:rsidRPr="00EB256B">
        <w:rPr>
          <w:rFonts w:ascii="Arial" w:eastAsia="DengXian" w:hAnsi="Arial" w:cs="Arial"/>
          <w:sz w:val="22"/>
          <w:szCs w:val="22"/>
        </w:rPr>
        <w:t>The components and sub</w:t>
      </w:r>
      <w:r w:rsidR="00081A0C">
        <w:rPr>
          <w:rFonts w:ascii="Arial" w:eastAsia="DengXian" w:hAnsi="Arial" w:cs="Arial"/>
          <w:sz w:val="22"/>
          <w:szCs w:val="22"/>
        </w:rPr>
        <w:noBreakHyphen/>
      </w:r>
      <w:r w:rsidRPr="00EB256B">
        <w:rPr>
          <w:rFonts w:ascii="Arial" w:eastAsia="DengXian" w:hAnsi="Arial" w:cs="Arial"/>
          <w:sz w:val="22"/>
          <w:szCs w:val="22"/>
        </w:rPr>
        <w:t xml:space="preserve">assemblies may have been procured, fabricated, assembled, inspected, and tested prior to receipt of the ML under an applicant’s previously approved quality assurance program and, according to the commenter, therefore would not be considered “manufacturing” for the purposes of activities controlled by an ML. The commenter </w:t>
      </w:r>
      <w:r w:rsidRPr="00EB256B">
        <w:rPr>
          <w:rFonts w:ascii="Arial" w:eastAsia="Times New Roman" w:hAnsi="Arial" w:cs="Arial"/>
          <w:color w:val="000000"/>
          <w:sz w:val="22"/>
          <w:szCs w:val="22"/>
          <w:lang w:eastAsia="zh-CN"/>
        </w:rPr>
        <w:t>suggested defining the term as follows:</w:t>
      </w:r>
    </w:p>
    <w:p w:rsidR="009A658E" w:rsidRPr="00EB256B" w:rsidP="00363061" w14:paraId="04CC2987"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i/>
          <w:color w:val="000000"/>
          <w:sz w:val="22"/>
          <w:szCs w:val="22"/>
          <w:lang w:eastAsia="zh-CN"/>
        </w:rPr>
        <w:t>Manufacturing</w:t>
      </w:r>
      <w:r w:rsidRPr="00EB256B">
        <w:rPr>
          <w:rFonts w:ascii="Arial" w:eastAsia="Times New Roman" w:hAnsi="Arial" w:cs="Arial"/>
          <w:color w:val="000000"/>
          <w:sz w:val="22"/>
          <w:szCs w:val="22"/>
          <w:lang w:eastAsia="zh-CN"/>
        </w:rPr>
        <w:t xml:space="preserve"> means the activities required to complete the final assembly of items or subassemblies issued to the bill of materials for a commercial nuclear reactor or nuclear reactor, including pre-operational inspection and pre</w:t>
      </w:r>
      <w:r w:rsidR="005C5C2F">
        <w:rPr>
          <w:rFonts w:ascii="Arial" w:eastAsia="Times New Roman" w:hAnsi="Arial" w:cs="Arial"/>
          <w:color w:val="000000"/>
          <w:sz w:val="22"/>
          <w:szCs w:val="22"/>
          <w:lang w:eastAsia="zh-CN"/>
        </w:rPr>
        <w:noBreakHyphen/>
      </w:r>
      <w:r w:rsidRPr="00EB256B">
        <w:rPr>
          <w:rFonts w:ascii="Arial" w:eastAsia="Times New Roman" w:hAnsi="Arial" w:cs="Arial"/>
          <w:color w:val="000000"/>
          <w:sz w:val="22"/>
          <w:szCs w:val="22"/>
          <w:lang w:eastAsia="zh-CN"/>
        </w:rPr>
        <w:t>operational testing. Manufacturing does not include the procurement, fabrication, assembly, inspection, and testing of items and subassemblies prior to their issuance to the bill of materials for the final assembly of a commercial nuclear reactor or nuclear reactor.</w:t>
      </w:r>
    </w:p>
    <w:p w:rsidR="009A658E" w:rsidRPr="00EB256B" w:rsidP="00363061" w14:paraId="2761C86E" w14:textId="77777777">
      <w:pPr>
        <w:spacing w:after="220"/>
        <w:rPr>
          <w:rFonts w:ascii="Arial" w:eastAsia="Times New Roman" w:hAnsi="Arial" w:cs="Arial"/>
          <w:color w:val="000000"/>
          <w:sz w:val="22"/>
          <w:szCs w:val="22"/>
          <w:lang w:eastAsia="zh-CN"/>
        </w:rPr>
      </w:pPr>
      <w:r w:rsidRPr="00EB256B">
        <w:rPr>
          <w:rFonts w:ascii="Arial" w:eastAsia="Times New Roman" w:hAnsi="Arial" w:cs="Arial"/>
          <w:color w:val="000000"/>
          <w:sz w:val="22"/>
          <w:szCs w:val="22"/>
          <w:lang w:eastAsia="zh-CN"/>
        </w:rPr>
        <w:t>The commenter reasoned that greater clarity would have implications not only for entities electing to begin procurement or fabrication of certain items that would become part of a manufactured reactor prior to receipt of an ML but also following the receipt of an ML from a licensing basis standpoint and for developers of SMRs seeking to begin component fabrication or procurement activities in advance of receiving permits or licenses for a future commercial nuclear plant (</w:t>
      </w:r>
      <w:r w:rsidR="00B051F3">
        <w:rPr>
          <w:rFonts w:ascii="Arial" w:eastAsia="Times New Roman" w:hAnsi="Arial" w:cs="Arial"/>
          <w:color w:val="000000"/>
          <w:sz w:val="22"/>
          <w:szCs w:val="22"/>
          <w:lang w:eastAsia="zh-CN"/>
        </w:rPr>
        <w:t>SHP</w:t>
      </w:r>
      <w:r w:rsidRPr="00EB256B">
        <w:rPr>
          <w:rFonts w:ascii="Arial" w:eastAsia="Times New Roman" w:hAnsi="Arial" w:cs="Arial"/>
          <w:color w:val="000000"/>
          <w:sz w:val="22"/>
          <w:szCs w:val="22"/>
          <w:lang w:eastAsia="zh-CN"/>
        </w:rPr>
        <w:t>-0006).</w:t>
      </w:r>
    </w:p>
    <w:p w:rsidR="00DB3347" w:rsidRPr="00EB256B" w:rsidP="00363061" w14:paraId="6D52FA20" w14:textId="77777777">
      <w:pPr>
        <w:spacing w:after="220"/>
        <w:rPr>
          <w:rFonts w:ascii="Arial" w:eastAsia="DengXian" w:hAnsi="Arial" w:cs="Arial"/>
          <w:sz w:val="22"/>
          <w:szCs w:val="22"/>
        </w:rPr>
      </w:pPr>
      <w:r w:rsidRPr="00EB256B">
        <w:rPr>
          <w:rFonts w:ascii="Arial" w:eastAsia="DengXian" w:hAnsi="Arial" w:cs="Arial"/>
          <w:b/>
          <w:sz w:val="22"/>
          <w:szCs w:val="22"/>
        </w:rPr>
        <w:t xml:space="preserve">NRC Response: </w:t>
      </w:r>
      <w:r w:rsidRPr="00EB256B">
        <w:rPr>
          <w:rFonts w:ascii="Arial" w:eastAsia="DengXian" w:hAnsi="Arial" w:cs="Arial"/>
          <w:sz w:val="22"/>
          <w:szCs w:val="22"/>
        </w:rPr>
        <w:t>The NRC disagrees with th</w:t>
      </w:r>
      <w:r w:rsidR="00AB0AAB">
        <w:rPr>
          <w:rFonts w:ascii="Arial" w:eastAsia="DengXian" w:hAnsi="Arial" w:cs="Arial"/>
          <w:sz w:val="22"/>
          <w:szCs w:val="22"/>
        </w:rPr>
        <w:t>e</w:t>
      </w:r>
      <w:r w:rsidRPr="00EB256B">
        <w:rPr>
          <w:rFonts w:ascii="Arial" w:eastAsia="DengXian" w:hAnsi="Arial" w:cs="Arial"/>
          <w:sz w:val="22"/>
          <w:szCs w:val="22"/>
        </w:rPr>
        <w:t xml:space="preserve"> comment.</w:t>
      </w:r>
    </w:p>
    <w:p w:rsidR="00DB3347" w:rsidRPr="00EB256B" w:rsidP="00363061" w14:paraId="2352997C" w14:textId="77777777">
      <w:pPr>
        <w:spacing w:after="220"/>
        <w:rPr>
          <w:rFonts w:ascii="Arial" w:eastAsia="DengXian" w:hAnsi="Arial" w:cs="Arial"/>
          <w:sz w:val="22"/>
          <w:szCs w:val="22"/>
        </w:rPr>
      </w:pPr>
      <w:r w:rsidRPr="00EB256B">
        <w:rPr>
          <w:rFonts w:ascii="Arial" w:eastAsia="DengXian" w:hAnsi="Arial" w:cs="Arial"/>
          <w:sz w:val="22"/>
          <w:szCs w:val="22"/>
        </w:rPr>
        <w:t>10 CFR 53.1279(b) addresses application content related to the processes that will be used to procure, fabricate, and assemble components that make up the manufactured reactor. The description should clearly define which activities are proposed to be within the scope of the ML and those, such as the making of a component to be procured from a separate company for installation in the manufactured reactor, that are not considered to be within the scope of the manufacturing license. As such, 10 CFR Part 53 can address the model described in the comment where the manufacturing facility is limited to final assembly but can also address models where the fabrication of components would be within the scope of the manufacturing license.</w:t>
      </w:r>
    </w:p>
    <w:p w:rsidR="009A658E" w:rsidRPr="00EB256B" w:rsidP="00363061" w14:paraId="32D6E744" w14:textId="77777777">
      <w:pPr>
        <w:spacing w:after="220"/>
        <w:rPr>
          <w:rFonts w:ascii="Arial" w:eastAsia="Times New Roman" w:hAnsi="Arial" w:cs="Arial"/>
          <w:b/>
          <w:color w:val="000000"/>
          <w:sz w:val="22"/>
          <w:szCs w:val="22"/>
          <w:lang w:eastAsia="zh-CN"/>
        </w:rPr>
      </w:pPr>
      <w:r w:rsidRPr="00EB256B">
        <w:rPr>
          <w:rFonts w:ascii="Arial" w:eastAsia="DengXian" w:hAnsi="Arial" w:cs="Arial"/>
          <w:sz w:val="22"/>
          <w:szCs w:val="22"/>
        </w:rPr>
        <w:t>Accordingly, the NRC did not change the rule language in response to this comment.</w:t>
      </w:r>
    </w:p>
    <w:p w:rsidR="00AC1417" w:rsidRPr="00EB256B" w:rsidP="00363061" w14:paraId="7972DE8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0" style="width:0;height:1.5pt" o:hralign="center" o:hrstd="t" o:hrnoshade="t" o:hr="t" fillcolor="black" stroked="f"/>
        </w:pict>
      </w:r>
    </w:p>
    <w:p w:rsidR="009A658E" w:rsidRPr="00EB256B" w:rsidP="00363061" w14:paraId="46D02EDF" w14:textId="77777777">
      <w:pPr>
        <w:spacing w:after="220"/>
        <w:rPr>
          <w:rFonts w:ascii="Arial" w:eastAsia="Times New Roman" w:hAnsi="Arial" w:cs="Arial"/>
          <w:color w:val="000000"/>
          <w:sz w:val="22"/>
          <w:szCs w:val="22"/>
          <w:lang w:eastAsia="zh-CN"/>
        </w:rPr>
      </w:pPr>
      <w:r w:rsidRPr="00EB256B">
        <w:rPr>
          <w:rFonts w:ascii="Arial" w:hAnsi="Arial" w:cs="Arial"/>
          <w:b/>
          <w:sz w:val="22"/>
          <w:szCs w:val="22"/>
        </w:rPr>
        <w:t>Comment Bin 3.1.1.N:</w:t>
      </w:r>
      <w:r w:rsidRPr="00EB256B">
        <w:rPr>
          <w:rFonts w:ascii="Arial" w:hAnsi="Arial" w:cs="Arial"/>
          <w:sz w:val="22"/>
          <w:szCs w:val="22"/>
        </w:rPr>
        <w:t xml:space="preserve"> </w:t>
      </w:r>
      <w:r w:rsidRPr="00EB256B">
        <w:rPr>
          <w:rFonts w:ascii="Arial" w:eastAsia="DengXian" w:hAnsi="Arial" w:cs="Arial"/>
          <w:sz w:val="22"/>
          <w:szCs w:val="22"/>
        </w:rPr>
        <w:t>A commenter objected to the proposed definition of “</w:t>
      </w:r>
      <w:r w:rsidRPr="00EB256B">
        <w:rPr>
          <w:rFonts w:ascii="Arial" w:eastAsia="Times New Roman" w:hAnsi="Arial" w:cs="Arial"/>
          <w:color w:val="000000"/>
          <w:sz w:val="22"/>
          <w:szCs w:val="22"/>
          <w:lang w:eastAsia="zh-CN"/>
        </w:rPr>
        <w:t>safety-related structures, systems, or components” on multiple grounds, asserting that it: (1)</w:t>
      </w:r>
      <w:r w:rsidRPr="00EB256B" w:rsidR="003148C3">
        <w:rPr>
          <w:rFonts w:ascii="Arial" w:eastAsia="Times New Roman" w:hAnsi="Arial" w:cs="Arial"/>
          <w:color w:val="000000"/>
          <w:sz w:val="22"/>
          <w:szCs w:val="22"/>
          <w:lang w:eastAsia="zh-CN"/>
        </w:rPr>
        <w:t> </w:t>
      </w:r>
      <w:r w:rsidRPr="00EB256B">
        <w:rPr>
          <w:rFonts w:ascii="Arial" w:eastAsia="Times New Roman" w:hAnsi="Arial" w:cs="Arial"/>
          <w:color w:val="000000"/>
          <w:sz w:val="22"/>
          <w:szCs w:val="22"/>
          <w:lang w:eastAsia="zh-CN"/>
        </w:rPr>
        <w:t xml:space="preserve">goes beyond what 10 CFR Part 50 and </w:t>
      </w:r>
      <w:r w:rsidR="009C4AB5">
        <w:rPr>
          <w:rFonts w:ascii="Arial" w:eastAsia="Times New Roman" w:hAnsi="Arial" w:cs="Arial"/>
          <w:color w:val="000000"/>
          <w:sz w:val="22"/>
          <w:szCs w:val="22"/>
          <w:lang w:eastAsia="zh-CN"/>
        </w:rPr>
        <w:t xml:space="preserve">10 CFR Part </w:t>
      </w:r>
      <w:r w:rsidRPr="00EB256B">
        <w:rPr>
          <w:rFonts w:ascii="Arial" w:eastAsia="Times New Roman" w:hAnsi="Arial" w:cs="Arial"/>
          <w:color w:val="000000"/>
          <w:sz w:val="22"/>
          <w:szCs w:val="22"/>
          <w:lang w:eastAsia="zh-CN"/>
        </w:rPr>
        <w:t>52 consider safety-related, (2) conflates safety</w:t>
      </w:r>
      <w:r w:rsidRPr="00EB256B">
        <w:rPr>
          <w:rFonts w:ascii="Arial" w:eastAsia="Times New Roman" w:hAnsi="Arial" w:cs="Arial"/>
          <w:color w:val="000000"/>
          <w:sz w:val="22"/>
          <w:szCs w:val="22"/>
          <w:lang w:eastAsia="zh-CN"/>
        </w:rPr>
        <w:noBreakHyphen/>
        <w:t>related and important-to-safety functions, (3) has virtually no precedent in the history of U.S. nuclear regulation, (4) does not account for differences in safety</w:t>
      </w:r>
      <w:r w:rsidRPr="00EB256B">
        <w:rPr>
          <w:rFonts w:ascii="Arial" w:eastAsia="Times New Roman" w:hAnsi="Arial" w:cs="Arial"/>
          <w:color w:val="000000"/>
          <w:sz w:val="22"/>
          <w:szCs w:val="22"/>
          <w:lang w:eastAsia="zh-CN"/>
        </w:rPr>
        <w:noBreakHyphen/>
        <w:t>related and special treatment as to protecting the public from hazardous radiation, (5) is not logical, (6) ignores the risk-informed requirements of NEIMA, and (7) is likely illegal. For these reasons, the commenter suggested adopting the following language instead:</w:t>
      </w:r>
    </w:p>
    <w:p w:rsidR="009A658E" w:rsidRPr="00EB256B" w:rsidP="00363061" w14:paraId="3BA2F9A7"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i/>
          <w:color w:val="000000"/>
          <w:sz w:val="22"/>
          <w:szCs w:val="22"/>
          <w:lang w:eastAsia="zh-CN"/>
        </w:rPr>
        <w:t>Safety-related</w:t>
      </w:r>
      <w:r w:rsidRPr="00EB256B">
        <w:rPr>
          <w:rFonts w:ascii="Arial" w:eastAsia="Times New Roman" w:hAnsi="Arial" w:cs="Arial"/>
          <w:color w:val="000000"/>
          <w:sz w:val="22"/>
          <w:szCs w:val="22"/>
          <w:lang w:eastAsia="zh-CN"/>
        </w:rPr>
        <w:t xml:space="preserve"> means those systems, structures, and components directly relied upon to function during and after limiting design basis events, with a frequency of no more than 10</w:t>
      </w:r>
      <w:r w:rsidRPr="00EB256B">
        <w:rPr>
          <w:rFonts w:ascii="Arial" w:eastAsia="Times New Roman" w:hAnsi="Arial" w:cs="Arial"/>
          <w:color w:val="000000"/>
          <w:sz w:val="22"/>
          <w:szCs w:val="22"/>
          <w:vertAlign w:val="superscript"/>
          <w:lang w:eastAsia="zh-CN"/>
        </w:rPr>
        <w:t>-5</w:t>
      </w:r>
      <w:r w:rsidRPr="00EB256B">
        <w:rPr>
          <w:rFonts w:ascii="Arial" w:eastAsia="Times New Roman" w:hAnsi="Arial" w:cs="Arial"/>
          <w:color w:val="000000"/>
          <w:sz w:val="22"/>
          <w:szCs w:val="22"/>
          <w:lang w:eastAsia="zh-CN"/>
        </w:rPr>
        <w:t>, to protect public health by minimizing hazardous radiation danger to life by insuring:</w:t>
      </w:r>
    </w:p>
    <w:p w:rsidR="009A658E" w:rsidRPr="00EB256B" w:rsidP="00363061" w14:paraId="765050EF"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color w:val="000000"/>
          <w:sz w:val="22"/>
          <w:szCs w:val="22"/>
          <w:lang w:eastAsia="zh-CN"/>
        </w:rPr>
        <w:t>(1) Retention of nuclear material within boundaries; and</w:t>
      </w:r>
    </w:p>
    <w:p w:rsidR="009A658E" w:rsidRPr="00EB256B" w:rsidP="00363061" w14:paraId="023DD5CB"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color w:val="000000"/>
          <w:sz w:val="22"/>
          <w:szCs w:val="22"/>
          <w:lang w:eastAsia="zh-CN"/>
        </w:rPr>
        <w:t>(2) Capability to shut-down the reactor and maintain the nuclear core in a safe configuration; or</w:t>
      </w:r>
    </w:p>
    <w:p w:rsidR="009A658E" w:rsidRPr="00EB256B" w:rsidP="00363061" w14:paraId="193F6EB1"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color w:val="000000"/>
          <w:sz w:val="22"/>
          <w:szCs w:val="22"/>
          <w:lang w:eastAsia="zh-CN"/>
        </w:rPr>
        <w:t xml:space="preserve">(3) Capability to prevent or mitigate event public radiation exposure in excess of 25 </w:t>
      </w:r>
      <w:r w:rsidR="00A75C23">
        <w:rPr>
          <w:rFonts w:ascii="Arial" w:eastAsia="Times New Roman" w:hAnsi="Arial" w:cs="Arial"/>
          <w:color w:val="000000"/>
          <w:sz w:val="22"/>
          <w:szCs w:val="22"/>
          <w:lang w:eastAsia="zh-CN"/>
        </w:rPr>
        <w:t>rem</w:t>
      </w:r>
      <w:r w:rsidRPr="00EB256B">
        <w:rPr>
          <w:rFonts w:ascii="Arial" w:eastAsia="Times New Roman" w:hAnsi="Arial" w:cs="Arial"/>
          <w:color w:val="000000"/>
          <w:sz w:val="22"/>
          <w:szCs w:val="22"/>
          <w:lang w:eastAsia="zh-CN"/>
        </w:rPr>
        <w:t xml:space="preserve"> as conservatively determined at the site (or public evacuation zone) boundary for an event duration lasting until a safe core configuration is achieved.</w:t>
      </w:r>
    </w:p>
    <w:p w:rsidR="009A658E" w:rsidRPr="00EB256B" w:rsidP="00363061" w14:paraId="31863AA5" w14:textId="77777777">
      <w:pPr>
        <w:spacing w:after="220"/>
        <w:rPr>
          <w:rFonts w:ascii="Arial" w:eastAsia="Times New Roman" w:hAnsi="Arial" w:cs="Arial"/>
          <w:color w:val="000000"/>
          <w:sz w:val="22"/>
          <w:szCs w:val="22"/>
          <w:lang w:eastAsia="zh-CN"/>
        </w:rPr>
      </w:pPr>
      <w:r w:rsidRPr="00EB256B">
        <w:rPr>
          <w:rFonts w:ascii="Arial" w:eastAsia="Times New Roman" w:hAnsi="Arial" w:cs="Arial"/>
          <w:color w:val="000000"/>
          <w:sz w:val="22"/>
          <w:szCs w:val="22"/>
          <w:lang w:eastAsia="zh-CN"/>
        </w:rPr>
        <w:t>The commenter said this definition parallels the universally respected definition long in use for worldwide commercial nuclear power (</w:t>
      </w:r>
      <w:r w:rsidR="00291700">
        <w:rPr>
          <w:rFonts w:ascii="Arial" w:eastAsia="Times New Roman" w:hAnsi="Arial" w:cs="Arial"/>
          <w:color w:val="000000"/>
          <w:sz w:val="22"/>
          <w:szCs w:val="22"/>
          <w:lang w:eastAsia="zh-CN"/>
        </w:rPr>
        <w:t>HPT38</w:t>
      </w:r>
      <w:r w:rsidRPr="00EB256B">
        <w:rPr>
          <w:rFonts w:ascii="Arial" w:eastAsia="Times New Roman" w:hAnsi="Arial" w:cs="Arial"/>
          <w:color w:val="000000"/>
          <w:sz w:val="22"/>
          <w:szCs w:val="22"/>
          <w:lang w:eastAsia="zh-CN"/>
        </w:rPr>
        <w:t>-0001</w:t>
      </w:r>
      <w:r w:rsidR="00E005BC">
        <w:rPr>
          <w:rFonts w:ascii="Arial" w:eastAsia="Times New Roman" w:hAnsi="Arial" w:cs="Arial"/>
          <w:color w:val="000000"/>
          <w:sz w:val="22"/>
          <w:szCs w:val="22"/>
          <w:lang w:eastAsia="zh-CN"/>
        </w:rPr>
        <w:t>,</w:t>
      </w:r>
      <w:r w:rsidRPr="00EB256B">
        <w:rPr>
          <w:rFonts w:ascii="Arial" w:eastAsia="Times New Roman" w:hAnsi="Arial" w:cs="Arial"/>
          <w:color w:val="000000"/>
          <w:sz w:val="22"/>
          <w:szCs w:val="22"/>
          <w:lang w:eastAsia="zh-CN"/>
        </w:rPr>
        <w:t xml:space="preserve"> </w:t>
      </w:r>
      <w:r w:rsidR="00B05077">
        <w:rPr>
          <w:rFonts w:ascii="Arial" w:eastAsia="Times New Roman" w:hAnsi="Arial" w:cs="Arial"/>
          <w:color w:val="000000"/>
          <w:sz w:val="22"/>
          <w:szCs w:val="22"/>
          <w:lang w:eastAsia="zh-CN"/>
        </w:rPr>
        <w:t>HPT5</w:t>
      </w:r>
      <w:r w:rsidRPr="00EB256B">
        <w:rPr>
          <w:rFonts w:ascii="Arial" w:hAnsi="Arial" w:cs="Arial"/>
          <w:sz w:val="22"/>
          <w:szCs w:val="22"/>
        </w:rPr>
        <w:t>-0001</w:t>
      </w:r>
      <w:r w:rsidRPr="00EB256B">
        <w:rPr>
          <w:rFonts w:ascii="Arial" w:eastAsia="Times New Roman" w:hAnsi="Arial" w:cs="Arial"/>
          <w:color w:val="000000"/>
          <w:sz w:val="22"/>
          <w:szCs w:val="22"/>
          <w:lang w:eastAsia="zh-CN"/>
        </w:rPr>
        <w:t>), except with the frequency lowered from 10</w:t>
      </w:r>
      <w:r w:rsidRPr="00EB256B">
        <w:rPr>
          <w:rFonts w:ascii="Arial" w:eastAsia="Times New Roman" w:hAnsi="Arial" w:cs="Arial"/>
          <w:color w:val="000000"/>
          <w:sz w:val="22"/>
          <w:szCs w:val="22"/>
          <w:vertAlign w:val="superscript"/>
          <w:lang w:eastAsia="zh-CN"/>
        </w:rPr>
        <w:t>-4</w:t>
      </w:r>
      <w:r w:rsidRPr="00EB256B">
        <w:rPr>
          <w:rFonts w:ascii="Arial" w:eastAsia="Times New Roman" w:hAnsi="Arial" w:cs="Arial"/>
          <w:color w:val="000000"/>
          <w:sz w:val="22"/>
          <w:szCs w:val="22"/>
          <w:lang w:eastAsia="zh-CN"/>
        </w:rPr>
        <w:t xml:space="preserve"> to 10</w:t>
      </w:r>
      <w:r w:rsidRPr="00EB256B">
        <w:rPr>
          <w:rFonts w:ascii="Arial" w:eastAsia="Times New Roman" w:hAnsi="Arial" w:cs="Arial"/>
          <w:color w:val="000000"/>
          <w:sz w:val="22"/>
          <w:szCs w:val="22"/>
          <w:vertAlign w:val="superscript"/>
          <w:lang w:eastAsia="zh-CN"/>
        </w:rPr>
        <w:t>-5</w:t>
      </w:r>
      <w:r w:rsidRPr="00EB256B">
        <w:rPr>
          <w:rFonts w:ascii="Arial" w:eastAsia="Times New Roman" w:hAnsi="Arial" w:cs="Arial"/>
          <w:color w:val="000000"/>
          <w:sz w:val="22"/>
          <w:szCs w:val="22"/>
          <w:lang w:eastAsia="zh-CN"/>
        </w:rPr>
        <w:t xml:space="preserve"> since a lower frequency should be acceptable for emerging reactor types, with those unable to meet the criteria subject to 10 CFR Part 50 and</w:t>
      </w:r>
      <w:r w:rsidR="00604949">
        <w:rPr>
          <w:rFonts w:ascii="Arial" w:eastAsia="Times New Roman" w:hAnsi="Arial" w:cs="Arial"/>
          <w:color w:val="000000"/>
          <w:sz w:val="22"/>
          <w:szCs w:val="22"/>
          <w:lang w:eastAsia="zh-CN"/>
        </w:rPr>
        <w:t xml:space="preserve"> 10 CFR Part</w:t>
      </w:r>
      <w:r w:rsidRPr="00EB256B">
        <w:rPr>
          <w:rFonts w:ascii="Arial" w:eastAsia="Times New Roman" w:hAnsi="Arial" w:cs="Arial"/>
          <w:color w:val="000000"/>
          <w:sz w:val="22"/>
          <w:szCs w:val="22"/>
          <w:lang w:eastAsia="zh-CN"/>
        </w:rPr>
        <w:t xml:space="preserve"> 52 as before </w:t>
      </w:r>
      <w:r w:rsidRPr="00EB256B">
        <w:rPr>
          <w:rFonts w:ascii="Arial" w:eastAsia="DengXian" w:hAnsi="Arial" w:cs="Arial"/>
          <w:sz w:val="22"/>
          <w:szCs w:val="22"/>
        </w:rPr>
        <w:t>(</w:t>
      </w:r>
      <w:r w:rsidR="00291700">
        <w:rPr>
          <w:rFonts w:ascii="Arial" w:eastAsia="Times New Roman" w:hAnsi="Arial" w:cs="Arial"/>
          <w:color w:val="000000"/>
          <w:sz w:val="22"/>
          <w:szCs w:val="22"/>
          <w:lang w:eastAsia="zh-CN"/>
        </w:rPr>
        <w:t>HPT38</w:t>
      </w:r>
      <w:r w:rsidRPr="00EB256B">
        <w:rPr>
          <w:rFonts w:ascii="Arial" w:eastAsia="Times New Roman" w:hAnsi="Arial" w:cs="Arial"/>
          <w:color w:val="000000"/>
          <w:sz w:val="22"/>
          <w:szCs w:val="22"/>
          <w:lang w:eastAsia="zh-CN"/>
        </w:rPr>
        <w:t>-0001).</w:t>
      </w:r>
    </w:p>
    <w:p w:rsidR="00DB3347" w:rsidRPr="00EB256B" w:rsidP="00363061" w14:paraId="05849B38" w14:textId="77777777">
      <w:pPr>
        <w:spacing w:after="220"/>
        <w:rPr>
          <w:rFonts w:ascii="Arial" w:eastAsia="DengXian" w:hAnsi="Arial" w:cs="Arial"/>
          <w:sz w:val="22"/>
          <w:szCs w:val="22"/>
        </w:rPr>
      </w:pPr>
      <w:r w:rsidRPr="00EB256B">
        <w:rPr>
          <w:rFonts w:ascii="Arial" w:eastAsia="DengXian" w:hAnsi="Arial" w:cs="Arial"/>
          <w:b/>
          <w:sz w:val="22"/>
          <w:szCs w:val="22"/>
        </w:rPr>
        <w:t>NRC Response:</w:t>
      </w:r>
      <w:r w:rsidRPr="00EB256B">
        <w:rPr>
          <w:rFonts w:ascii="Arial" w:eastAsia="DengXian" w:hAnsi="Arial" w:cs="Arial"/>
          <w:sz w:val="22"/>
          <w:szCs w:val="22"/>
        </w:rPr>
        <w:t xml:space="preserve"> The NRC disagrees with the comments.</w:t>
      </w:r>
    </w:p>
    <w:p w:rsidR="00DB3347" w:rsidRPr="00EB256B" w:rsidP="00363061" w14:paraId="4B436D90" w14:textId="77777777">
      <w:pPr>
        <w:spacing w:after="220"/>
        <w:rPr>
          <w:rFonts w:ascii="Arial" w:eastAsia="DengXian" w:hAnsi="Arial" w:cs="Arial"/>
          <w:sz w:val="22"/>
          <w:szCs w:val="22"/>
        </w:rPr>
      </w:pPr>
      <w:r w:rsidRPr="00EB256B">
        <w:rPr>
          <w:rFonts w:ascii="Arial" w:eastAsia="DengXian" w:hAnsi="Arial" w:cs="Arial"/>
          <w:sz w:val="22"/>
          <w:szCs w:val="22"/>
        </w:rPr>
        <w:t xml:space="preserve">10 CFR Part 53 is based on a performance-based methodology and an overall hierarchy that covers: (1) plant-level safety criteria; (2) safety functions needed to demonstrate compliance with the safety criteria; (3) design features, human actions, and programmatic controls needed to fulfill the safety functions; and (4) functional design criteria defined for each design feature relied on to demonstrate the safety criteria are met. This construct does not require or preclude particular design features or related functional design requirements such as those traditionally defined for the reactor coolant pressure boundary for light-water reactors and thereby fulfills </w:t>
      </w:r>
      <w:r w:rsidRPr="00EB256B">
        <w:rPr>
          <w:rFonts w:ascii="Arial" w:eastAsia="DengXian" w:hAnsi="Arial" w:cs="Arial"/>
          <w:sz w:val="22"/>
          <w:szCs w:val="22"/>
        </w:rPr>
        <w:t xml:space="preserve">NEIMA’s direction to provide a technology-inclusive licensing framework. The comment appears to suggest an approach more similar to 10 CFR Part 50 wherein the NRC defines more prescriptive design requirements and deterministic design rules. 10 CFR Part 50 and </w:t>
      </w:r>
      <w:r w:rsidR="00A63733">
        <w:rPr>
          <w:rFonts w:ascii="Arial" w:eastAsia="DengXian" w:hAnsi="Arial" w:cs="Arial"/>
          <w:sz w:val="22"/>
          <w:szCs w:val="22"/>
        </w:rPr>
        <w:t>10</w:t>
      </w:r>
      <w:r w:rsidRPr="00203033" w:rsidR="00081342">
        <w:rPr>
          <w:rFonts w:ascii="Arial" w:eastAsia="DengXian" w:hAnsi="Arial" w:cs="Arial"/>
          <w:sz w:val="22"/>
          <w:szCs w:val="22"/>
          <w:lang w:eastAsia="ja-JP"/>
        </w:rPr>
        <w:t> </w:t>
      </w:r>
      <w:r w:rsidR="00A63733">
        <w:rPr>
          <w:rFonts w:ascii="Arial" w:eastAsia="DengXian" w:hAnsi="Arial" w:cs="Arial"/>
          <w:sz w:val="22"/>
          <w:szCs w:val="22"/>
        </w:rPr>
        <w:t>CFR</w:t>
      </w:r>
      <w:r w:rsidRPr="00203033" w:rsidR="00081342">
        <w:rPr>
          <w:rFonts w:ascii="Arial" w:eastAsia="DengXian" w:hAnsi="Arial" w:cs="Arial"/>
          <w:sz w:val="22"/>
          <w:szCs w:val="22"/>
          <w:lang w:eastAsia="ja-JP"/>
        </w:rPr>
        <w:t> </w:t>
      </w:r>
      <w:r w:rsidR="00A63733">
        <w:rPr>
          <w:rFonts w:ascii="Arial" w:eastAsia="DengXian" w:hAnsi="Arial" w:cs="Arial"/>
          <w:sz w:val="22"/>
          <w:szCs w:val="22"/>
        </w:rPr>
        <w:t xml:space="preserve">Part </w:t>
      </w:r>
      <w:r w:rsidRPr="00EB256B">
        <w:rPr>
          <w:rFonts w:ascii="Arial" w:eastAsia="DengXian" w:hAnsi="Arial" w:cs="Arial"/>
          <w:sz w:val="22"/>
          <w:szCs w:val="22"/>
        </w:rPr>
        <w:t>52 remain available for those applicants wanting to use more deterministic approaches for design and analysis. The requirements in 10 CFR Part 53 include defining special treatments for both SR and NSRSS SSCs but also distinguish between the safety categories and define specific requirements (e.g., quality assurance) for SR SSCs.</w:t>
      </w:r>
    </w:p>
    <w:p w:rsidR="009A658E" w:rsidRPr="00EB256B" w:rsidP="00363061" w14:paraId="74CF0C52" w14:textId="77777777">
      <w:pPr>
        <w:spacing w:after="220"/>
        <w:rPr>
          <w:rFonts w:ascii="Arial" w:hAnsi="Arial" w:cs="Arial"/>
          <w:sz w:val="22"/>
          <w:szCs w:val="22"/>
        </w:rPr>
      </w:pPr>
      <w:r w:rsidRPr="00EB256B">
        <w:rPr>
          <w:rFonts w:ascii="Arial" w:eastAsia="DengXian" w:hAnsi="Arial" w:cs="Arial"/>
          <w:sz w:val="22"/>
          <w:szCs w:val="22"/>
        </w:rPr>
        <w:t xml:space="preserve">Accordingly, the NRC did not </w:t>
      </w:r>
      <w:r w:rsidRPr="00EB256B" w:rsidR="00DB3347">
        <w:rPr>
          <w:rFonts w:ascii="Arial" w:eastAsia="DengXian" w:hAnsi="Arial" w:cs="Arial"/>
          <w:sz w:val="22"/>
          <w:szCs w:val="22"/>
        </w:rPr>
        <w:t>change</w:t>
      </w:r>
      <w:r w:rsidRPr="00EB256B">
        <w:rPr>
          <w:rFonts w:ascii="Arial" w:eastAsia="DengXian" w:hAnsi="Arial" w:cs="Arial"/>
          <w:sz w:val="22"/>
          <w:szCs w:val="22"/>
        </w:rPr>
        <w:t xml:space="preserve"> the rule language in response to th</w:t>
      </w:r>
      <w:r w:rsidRPr="00EB256B" w:rsidR="00DB3347">
        <w:rPr>
          <w:rFonts w:ascii="Arial" w:eastAsia="DengXian" w:hAnsi="Arial" w:cs="Arial"/>
          <w:sz w:val="22"/>
          <w:szCs w:val="22"/>
        </w:rPr>
        <w:t>ese</w:t>
      </w:r>
      <w:r w:rsidRPr="00EB256B">
        <w:rPr>
          <w:rFonts w:ascii="Arial" w:eastAsia="DengXian" w:hAnsi="Arial" w:cs="Arial"/>
          <w:sz w:val="22"/>
          <w:szCs w:val="22"/>
        </w:rPr>
        <w:t xml:space="preserve"> comment</w:t>
      </w:r>
      <w:r w:rsidRPr="00EB256B" w:rsidR="00DB3347">
        <w:rPr>
          <w:rFonts w:ascii="Arial" w:eastAsia="DengXian" w:hAnsi="Arial" w:cs="Arial"/>
          <w:sz w:val="22"/>
          <w:szCs w:val="22"/>
        </w:rPr>
        <w:t>s</w:t>
      </w:r>
      <w:r w:rsidRPr="00EB256B">
        <w:rPr>
          <w:rFonts w:ascii="Arial" w:eastAsia="DengXian" w:hAnsi="Arial" w:cs="Arial"/>
          <w:sz w:val="22"/>
          <w:szCs w:val="22"/>
        </w:rPr>
        <w:t>.</w:t>
      </w:r>
    </w:p>
    <w:p w:rsidR="00AC1417" w:rsidRPr="00EB256B" w:rsidP="00363061" w14:paraId="46188BEB"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1" style="width:0;height:1.5pt" o:hralign="center" o:hrstd="t" o:hrnoshade="t" o:hr="t" fillcolor="black" stroked="f"/>
        </w:pict>
      </w:r>
    </w:p>
    <w:p w:rsidR="00E13A11" w:rsidRPr="00EB256B" w:rsidP="00363061" w14:paraId="36BC8007" w14:textId="77777777">
      <w:pPr>
        <w:spacing w:after="220"/>
        <w:rPr>
          <w:rFonts w:ascii="Arial" w:eastAsia="Times New Roman" w:hAnsi="Arial" w:cs="Arial"/>
          <w:color w:val="000000"/>
          <w:sz w:val="22"/>
          <w:szCs w:val="22"/>
          <w:lang w:eastAsia="zh-CN"/>
        </w:rPr>
      </w:pPr>
      <w:r w:rsidRPr="00EB256B">
        <w:rPr>
          <w:rFonts w:ascii="Arial" w:eastAsia="Times New Roman" w:hAnsi="Arial" w:cs="Arial"/>
          <w:b/>
          <w:color w:val="000000"/>
          <w:sz w:val="22"/>
          <w:szCs w:val="22"/>
          <w:lang w:eastAsia="zh-CN"/>
        </w:rPr>
        <w:t xml:space="preserve">Comment </w:t>
      </w:r>
      <w:r w:rsidRPr="00EB256B" w:rsidR="00D41A5D">
        <w:rPr>
          <w:rFonts w:ascii="Arial" w:eastAsia="Times New Roman" w:hAnsi="Arial" w:cs="Arial"/>
          <w:b/>
          <w:color w:val="000000"/>
          <w:sz w:val="22"/>
          <w:szCs w:val="22"/>
          <w:lang w:eastAsia="zh-CN"/>
        </w:rPr>
        <w:t xml:space="preserve">Bin </w:t>
      </w:r>
      <w:r w:rsidRPr="00EB256B">
        <w:rPr>
          <w:rFonts w:ascii="Arial" w:eastAsia="Times New Roman" w:hAnsi="Arial" w:cs="Arial"/>
          <w:b/>
          <w:color w:val="000000"/>
          <w:sz w:val="22"/>
          <w:szCs w:val="22"/>
          <w:lang w:eastAsia="zh-CN"/>
        </w:rPr>
        <w:t xml:space="preserve">3.1.1.O: </w:t>
      </w:r>
      <w:r w:rsidRPr="00EB256B">
        <w:rPr>
          <w:rFonts w:ascii="Arial" w:eastAsia="DengXian" w:hAnsi="Arial" w:cs="Arial"/>
          <w:sz w:val="22"/>
          <w:szCs w:val="22"/>
        </w:rPr>
        <w:t xml:space="preserve">A commenter held that providing definitions </w:t>
      </w:r>
      <w:r w:rsidRPr="00EB256B">
        <w:rPr>
          <w:rFonts w:ascii="Arial" w:eastAsia="Times New Roman" w:hAnsi="Arial" w:cs="Arial"/>
          <w:color w:val="000000"/>
          <w:sz w:val="22"/>
          <w:szCs w:val="22"/>
          <w:lang w:eastAsia="zh-CN"/>
        </w:rPr>
        <w:t xml:space="preserve">for the types of reactors applicable under 10 CFR Part 53, including microreactors, would help applicants better prepare applications under 10 CFR Part 50, </w:t>
      </w:r>
      <w:r w:rsidR="00AA063B">
        <w:rPr>
          <w:rFonts w:ascii="Arial" w:eastAsia="Times New Roman" w:hAnsi="Arial" w:cs="Arial"/>
          <w:color w:val="000000"/>
          <w:sz w:val="22"/>
          <w:szCs w:val="22"/>
          <w:lang w:eastAsia="zh-CN"/>
        </w:rPr>
        <w:t xml:space="preserve">10 CFR Part </w:t>
      </w:r>
      <w:r w:rsidRPr="00EB256B">
        <w:rPr>
          <w:rFonts w:ascii="Arial" w:eastAsia="Times New Roman" w:hAnsi="Arial" w:cs="Arial"/>
          <w:color w:val="000000"/>
          <w:sz w:val="22"/>
          <w:szCs w:val="22"/>
          <w:lang w:eastAsia="zh-CN"/>
        </w:rPr>
        <w:t xml:space="preserve">52, and </w:t>
      </w:r>
      <w:r w:rsidR="00AA063B">
        <w:rPr>
          <w:rFonts w:ascii="Arial" w:eastAsia="Times New Roman" w:hAnsi="Arial" w:cs="Arial"/>
          <w:color w:val="000000"/>
          <w:sz w:val="22"/>
          <w:szCs w:val="22"/>
          <w:lang w:eastAsia="zh-CN"/>
        </w:rPr>
        <w:t xml:space="preserve">10 CFR </w:t>
      </w:r>
      <w:r w:rsidR="00EE6710">
        <w:rPr>
          <w:rFonts w:ascii="Arial" w:eastAsia="Times New Roman" w:hAnsi="Arial" w:cs="Arial"/>
          <w:color w:val="000000"/>
          <w:sz w:val="22"/>
          <w:szCs w:val="22"/>
          <w:lang w:eastAsia="zh-CN"/>
        </w:rPr>
        <w:t xml:space="preserve">Part </w:t>
      </w:r>
      <w:r w:rsidRPr="00EB256B">
        <w:rPr>
          <w:rFonts w:ascii="Arial" w:eastAsia="Times New Roman" w:hAnsi="Arial" w:cs="Arial"/>
          <w:color w:val="000000"/>
          <w:sz w:val="22"/>
          <w:szCs w:val="22"/>
          <w:lang w:eastAsia="zh-CN"/>
        </w:rPr>
        <w:t>53; support the proposed rule’s goal of limiting exemptions requested by applicants in their licensing applications; and reduce implementation issues for applicants and evaluation issues for NRC staff reviewing applications. Therefore, the commenter suggested defining microreactors as follows:</w:t>
      </w:r>
    </w:p>
    <w:p w:rsidR="00E13A11" w:rsidRPr="00EB256B" w:rsidP="00363061" w14:paraId="78885538" w14:textId="77777777">
      <w:pPr>
        <w:spacing w:after="220"/>
        <w:ind w:left="720" w:right="720"/>
        <w:rPr>
          <w:rFonts w:ascii="Arial" w:eastAsia="Times New Roman" w:hAnsi="Arial" w:cs="Arial"/>
          <w:color w:val="000000"/>
          <w:sz w:val="22"/>
          <w:szCs w:val="22"/>
          <w:lang w:eastAsia="zh-CN"/>
        </w:rPr>
      </w:pPr>
      <w:r w:rsidRPr="00EB256B">
        <w:rPr>
          <w:rFonts w:ascii="Arial" w:eastAsia="Times New Roman" w:hAnsi="Arial" w:cs="Arial"/>
          <w:i/>
          <w:color w:val="000000"/>
          <w:sz w:val="22"/>
          <w:szCs w:val="22"/>
          <w:lang w:eastAsia="zh-CN"/>
        </w:rPr>
        <w:t>Micro-reactor</w:t>
      </w:r>
      <w:r w:rsidRPr="00EB256B">
        <w:rPr>
          <w:rFonts w:ascii="Arial" w:eastAsia="Times New Roman" w:hAnsi="Arial" w:cs="Arial"/>
          <w:color w:val="000000"/>
          <w:sz w:val="22"/>
          <w:szCs w:val="22"/>
          <w:lang w:eastAsia="zh-CN"/>
        </w:rPr>
        <w:t xml:space="preserve"> means a type of power reactor licensed to produce energy up to 30</w:t>
      </w:r>
      <w:r w:rsidRPr="00203033" w:rsidR="00081342">
        <w:rPr>
          <w:rFonts w:ascii="Arial" w:eastAsia="DengXian" w:hAnsi="Arial" w:cs="Arial"/>
          <w:sz w:val="22"/>
          <w:szCs w:val="22"/>
          <w:lang w:eastAsia="ja-JP"/>
        </w:rPr>
        <w:t> </w:t>
      </w:r>
      <w:r w:rsidRPr="00EB256B">
        <w:rPr>
          <w:rFonts w:ascii="Arial" w:eastAsia="Times New Roman" w:hAnsi="Arial" w:cs="Arial"/>
          <w:color w:val="000000"/>
          <w:sz w:val="22"/>
          <w:szCs w:val="22"/>
          <w:lang w:eastAsia="zh-CN"/>
        </w:rPr>
        <w:t>megawatts electric. A microreactor may be of a modular design, an advanced design, or both, and may be an nth of a kind design meant to be</w:t>
      </w:r>
      <w:r w:rsidR="008E75AC">
        <w:rPr>
          <w:rFonts w:ascii="Arial" w:eastAsia="Times New Roman" w:hAnsi="Arial" w:cs="Arial"/>
          <w:color w:val="000000"/>
          <w:sz w:val="22"/>
          <w:szCs w:val="22"/>
          <w:lang w:eastAsia="zh-CN"/>
        </w:rPr>
        <w:t xml:space="preserve"> </w:t>
      </w:r>
      <w:r w:rsidRPr="00EB256B">
        <w:rPr>
          <w:rFonts w:ascii="Arial" w:eastAsia="Times New Roman" w:hAnsi="Arial" w:cs="Arial"/>
          <w:color w:val="000000"/>
          <w:sz w:val="22"/>
          <w:szCs w:val="22"/>
          <w:lang w:eastAsia="zh-CN"/>
        </w:rPr>
        <w:t>factory</w:t>
      </w:r>
      <w:r w:rsidR="00F514B8">
        <w:rPr>
          <w:rFonts w:ascii="Arial" w:eastAsia="Times New Roman" w:hAnsi="Arial" w:cs="Arial"/>
          <w:color w:val="000000"/>
          <w:sz w:val="22"/>
          <w:szCs w:val="22"/>
          <w:lang w:eastAsia="zh-CN"/>
        </w:rPr>
        <w:noBreakHyphen/>
      </w:r>
      <w:r w:rsidRPr="00EB256B">
        <w:rPr>
          <w:rFonts w:ascii="Arial" w:eastAsia="Times New Roman" w:hAnsi="Arial" w:cs="Arial"/>
          <w:color w:val="000000"/>
          <w:sz w:val="22"/>
          <w:szCs w:val="22"/>
          <w:lang w:eastAsia="zh-CN"/>
        </w:rPr>
        <w:t>fabricated.</w:t>
      </w:r>
    </w:p>
    <w:p w:rsidR="00E13A11" w:rsidRPr="00EB256B" w:rsidP="00363061" w14:paraId="213A4CE4" w14:textId="77777777">
      <w:pPr>
        <w:spacing w:after="220"/>
        <w:rPr>
          <w:rFonts w:ascii="Arial" w:eastAsia="DengXian" w:hAnsi="Arial" w:cs="Arial"/>
          <w:sz w:val="22"/>
          <w:szCs w:val="22"/>
        </w:rPr>
      </w:pPr>
      <w:r w:rsidRPr="00EB256B">
        <w:rPr>
          <w:rFonts w:ascii="Arial" w:eastAsia="DengXian" w:hAnsi="Arial" w:cs="Arial"/>
          <w:sz w:val="22"/>
          <w:szCs w:val="22"/>
        </w:rPr>
        <w:t>The commenter explained that t</w:t>
      </w:r>
      <w:r w:rsidRPr="00EB256B">
        <w:rPr>
          <w:rFonts w:ascii="Arial" w:eastAsia="Times New Roman" w:hAnsi="Arial" w:cs="Arial"/>
          <w:color w:val="000000"/>
          <w:sz w:val="22"/>
          <w:szCs w:val="22"/>
          <w:lang w:eastAsia="zh-CN"/>
        </w:rPr>
        <w:t>his definition is based on SECY-24-0008</w:t>
      </w:r>
      <w:r w:rsidR="00C6469D">
        <w:rPr>
          <w:rFonts w:ascii="Arial" w:eastAsia="Times New Roman" w:hAnsi="Arial" w:cs="Arial"/>
          <w:color w:val="000000"/>
          <w:sz w:val="22"/>
          <w:szCs w:val="22"/>
          <w:lang w:eastAsia="zh-CN"/>
        </w:rPr>
        <w:t xml:space="preserve"> </w:t>
      </w:r>
      <w:r w:rsidRPr="00EB256B">
        <w:rPr>
          <w:rFonts w:ascii="Arial" w:eastAsia="Times New Roman" w:hAnsi="Arial" w:cs="Arial"/>
          <w:color w:val="000000"/>
          <w:sz w:val="22"/>
          <w:szCs w:val="22"/>
          <w:lang w:eastAsia="zh-CN"/>
        </w:rPr>
        <w:t>and could limit exemptions as the licensing process for microreactors is developed</w:t>
      </w:r>
      <w:r w:rsidRPr="00EB256B">
        <w:rPr>
          <w:rFonts w:ascii="Arial" w:eastAsia="DengXian" w:hAnsi="Arial" w:cs="Arial"/>
          <w:sz w:val="22"/>
          <w:szCs w:val="22"/>
        </w:rPr>
        <w:t xml:space="preserve"> (</w:t>
      </w:r>
      <w:r w:rsidR="00704A39">
        <w:rPr>
          <w:rFonts w:ascii="Arial" w:eastAsia="Times New Roman" w:hAnsi="Arial" w:cs="Arial"/>
          <w:color w:val="000000"/>
          <w:sz w:val="22"/>
          <w:szCs w:val="22"/>
          <w:lang w:eastAsia="zh-CN"/>
        </w:rPr>
        <w:t>DP</w:t>
      </w:r>
      <w:r w:rsidRPr="00EB256B">
        <w:rPr>
          <w:rFonts w:ascii="Arial" w:eastAsia="Times New Roman" w:hAnsi="Arial" w:cs="Arial"/>
          <w:color w:val="000000"/>
          <w:sz w:val="22"/>
          <w:szCs w:val="22"/>
          <w:lang w:eastAsia="zh-CN"/>
        </w:rPr>
        <w:t>-0001</w:t>
      </w:r>
      <w:r w:rsidRPr="00EB256B">
        <w:rPr>
          <w:rFonts w:ascii="Arial" w:eastAsia="DengXian" w:hAnsi="Arial" w:cs="Arial"/>
          <w:sz w:val="22"/>
          <w:szCs w:val="22"/>
        </w:rPr>
        <w:t>).</w:t>
      </w:r>
    </w:p>
    <w:p w:rsidR="000556B3" w:rsidP="00363061" w14:paraId="54A490EE" w14:textId="77777777">
      <w:pPr>
        <w:spacing w:after="220"/>
        <w:rPr>
          <w:rFonts w:ascii="Arial" w:eastAsia="DengXian" w:hAnsi="Arial" w:cs="Arial"/>
          <w:sz w:val="22"/>
          <w:szCs w:val="22"/>
        </w:rPr>
      </w:pPr>
      <w:r w:rsidRPr="00EB256B">
        <w:rPr>
          <w:rFonts w:ascii="Arial" w:eastAsia="DengXian" w:hAnsi="Arial" w:cs="Arial"/>
          <w:b/>
          <w:sz w:val="22"/>
          <w:szCs w:val="22"/>
        </w:rPr>
        <w:t>NRC Response:</w:t>
      </w:r>
      <w:r w:rsidRPr="00EB256B">
        <w:rPr>
          <w:rFonts w:ascii="Arial" w:eastAsia="DengXian" w:hAnsi="Arial" w:cs="Arial"/>
          <w:sz w:val="22"/>
          <w:szCs w:val="22"/>
        </w:rPr>
        <w:t xml:space="preserve"> The NRC disagrees with th</w:t>
      </w:r>
      <w:r w:rsidR="007D56A5">
        <w:rPr>
          <w:rFonts w:ascii="Arial" w:eastAsia="DengXian" w:hAnsi="Arial" w:cs="Arial"/>
          <w:sz w:val="22"/>
          <w:szCs w:val="22"/>
        </w:rPr>
        <w:t>e</w:t>
      </w:r>
      <w:r w:rsidRPr="00EB256B">
        <w:rPr>
          <w:rFonts w:ascii="Arial" w:eastAsia="DengXian" w:hAnsi="Arial" w:cs="Arial"/>
          <w:sz w:val="22"/>
          <w:szCs w:val="22"/>
        </w:rPr>
        <w:t xml:space="preserve"> comment. </w:t>
      </w:r>
    </w:p>
    <w:p w:rsidR="00C93822" w:rsidRPr="00EB256B" w:rsidP="00363061" w14:paraId="4858ECF4" w14:textId="77777777">
      <w:pPr>
        <w:spacing w:after="220"/>
        <w:rPr>
          <w:rFonts w:ascii="Arial" w:eastAsia="DengXian" w:hAnsi="Arial" w:cs="Arial"/>
          <w:sz w:val="22"/>
          <w:szCs w:val="22"/>
        </w:rPr>
      </w:pPr>
      <w:r w:rsidRPr="00EB256B">
        <w:rPr>
          <w:rFonts w:ascii="Arial" w:eastAsia="DengXian" w:hAnsi="Arial" w:cs="Arial"/>
          <w:sz w:val="22"/>
          <w:szCs w:val="22"/>
        </w:rPr>
        <w:t>10 CFR Part 53 is technology</w:t>
      </w:r>
      <w:r w:rsidRPr="00EB256B" w:rsidR="00FE6ACB">
        <w:rPr>
          <w:rFonts w:ascii="Arial" w:eastAsia="DengXian" w:hAnsi="Arial" w:cs="Arial"/>
          <w:sz w:val="22"/>
          <w:szCs w:val="22"/>
        </w:rPr>
        <w:noBreakHyphen/>
      </w:r>
      <w:r w:rsidRPr="00EB256B">
        <w:rPr>
          <w:rFonts w:ascii="Arial" w:eastAsia="DengXian" w:hAnsi="Arial" w:cs="Arial"/>
          <w:sz w:val="22"/>
          <w:szCs w:val="22"/>
        </w:rPr>
        <w:t xml:space="preserve">inclusive and can support microreactors through the flexibility provided by the overall framework and ability to scale requirements based on risk assessments considering both frequency and consequences of potential accidents. That said, the issuance of 10 CFR Part 53 does not foreclose future rulemakings to address particular design and deployment models for microreactors, which could benefit from a definition as suggested in the comment. </w:t>
      </w:r>
      <w:r w:rsidR="00B968CA">
        <w:rPr>
          <w:rFonts w:ascii="Arial" w:eastAsia="DengXian" w:hAnsi="Arial" w:cs="Arial"/>
          <w:sz w:val="22"/>
          <w:szCs w:val="22"/>
        </w:rPr>
        <w:t>For example,</w:t>
      </w:r>
      <w:r w:rsidRPr="008812A1" w:rsidR="008812A1">
        <w:rPr>
          <w:rFonts w:ascii="Arial" w:eastAsia="DengXian" w:hAnsi="Arial" w:cs="Arial"/>
          <w:sz w:val="22"/>
          <w:szCs w:val="22"/>
        </w:rPr>
        <w:t xml:space="preserve"> the NRC is also responding to the ADVANCE Act and EOs issued in 2025 by developing an additional rulemaking to expedite licensing qualified microreactors and other potentially low</w:t>
      </w:r>
      <w:r w:rsidR="00F642C6">
        <w:rPr>
          <w:rFonts w:ascii="Arial" w:eastAsia="DengXian" w:hAnsi="Arial" w:cs="Arial"/>
          <w:sz w:val="22"/>
          <w:szCs w:val="22"/>
        </w:rPr>
        <w:t>-</w:t>
      </w:r>
      <w:r w:rsidRPr="008812A1" w:rsidR="008812A1">
        <w:rPr>
          <w:rFonts w:ascii="Arial" w:eastAsia="DengXian" w:hAnsi="Arial" w:cs="Arial"/>
          <w:sz w:val="22"/>
          <w:szCs w:val="22"/>
        </w:rPr>
        <w:t>risk, low</w:t>
      </w:r>
      <w:r w:rsidR="00F642C6">
        <w:rPr>
          <w:rFonts w:ascii="Arial" w:eastAsia="DengXian" w:hAnsi="Arial" w:cs="Arial"/>
          <w:sz w:val="22"/>
          <w:szCs w:val="22"/>
        </w:rPr>
        <w:t>-</w:t>
      </w:r>
      <w:r w:rsidRPr="008812A1" w:rsidR="008812A1">
        <w:rPr>
          <w:rFonts w:ascii="Arial" w:eastAsia="DengXian" w:hAnsi="Arial" w:cs="Arial"/>
          <w:sz w:val="22"/>
          <w:szCs w:val="22"/>
        </w:rPr>
        <w:t>consequence reactors.</w:t>
      </w:r>
      <w:r w:rsidRPr="00EB256B">
        <w:rPr>
          <w:rFonts w:ascii="Arial" w:eastAsia="DengXian" w:hAnsi="Arial" w:cs="Arial"/>
          <w:sz w:val="22"/>
          <w:szCs w:val="22"/>
        </w:rPr>
        <w:t xml:space="preserve"> </w:t>
      </w:r>
      <w:r w:rsidR="00E225B4">
        <w:rPr>
          <w:rFonts w:ascii="Arial" w:eastAsia="DengXian" w:hAnsi="Arial" w:cs="Arial"/>
          <w:sz w:val="22"/>
          <w:szCs w:val="22"/>
        </w:rPr>
        <w:t>T</w:t>
      </w:r>
      <w:r w:rsidRPr="00EB256B">
        <w:rPr>
          <w:rFonts w:ascii="Arial" w:eastAsia="DengXian" w:hAnsi="Arial" w:cs="Arial"/>
          <w:sz w:val="22"/>
          <w:szCs w:val="22"/>
        </w:rPr>
        <w:t>he NRC does not see a significant benefit at this time from defining microreactors within 10 CFR Part 53.</w:t>
      </w:r>
    </w:p>
    <w:p w:rsidR="00E13A11" w:rsidRPr="00EB256B" w:rsidP="00363061" w14:paraId="16871519" w14:textId="77777777">
      <w:pPr>
        <w:spacing w:after="220"/>
        <w:rPr>
          <w:rFonts w:ascii="Arial" w:eastAsia="Times New Roman" w:hAnsi="Arial" w:cs="Arial"/>
          <w:b/>
          <w:color w:val="000000"/>
          <w:sz w:val="22"/>
          <w:szCs w:val="22"/>
          <w:lang w:eastAsia="zh-CN"/>
        </w:rPr>
      </w:pPr>
      <w:r w:rsidRPr="00EB256B">
        <w:rPr>
          <w:rFonts w:ascii="Arial" w:eastAsia="DengXian" w:hAnsi="Arial" w:cs="Arial"/>
          <w:sz w:val="22"/>
          <w:szCs w:val="22"/>
        </w:rPr>
        <w:t xml:space="preserve">Accordingly, the NRC did not </w:t>
      </w:r>
      <w:r w:rsidR="006A0006">
        <w:rPr>
          <w:rFonts w:ascii="Arial" w:eastAsia="DengXian" w:hAnsi="Arial" w:cs="Arial"/>
          <w:sz w:val="22"/>
          <w:szCs w:val="22"/>
        </w:rPr>
        <w:t>change</w:t>
      </w:r>
      <w:r w:rsidRPr="00EB256B">
        <w:rPr>
          <w:rFonts w:ascii="Arial" w:eastAsia="DengXian" w:hAnsi="Arial" w:cs="Arial"/>
          <w:sz w:val="22"/>
          <w:szCs w:val="22"/>
        </w:rPr>
        <w:t xml:space="preserve"> the rule language in response to this comment.</w:t>
      </w:r>
    </w:p>
    <w:p w:rsidR="00AC1417" w:rsidRPr="00EB256B" w:rsidP="00363061" w14:paraId="57412C5C"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2" style="width:0;height:1.5pt" o:hralign="center" o:hrstd="t" o:hrnoshade="t" o:hr="t" fillcolor="black" stroked="f"/>
        </w:pict>
      </w:r>
    </w:p>
    <w:p w:rsidR="00E13A11" w:rsidRPr="00EB256B" w:rsidP="00363061" w14:paraId="7A4F9BD0" w14:textId="77777777">
      <w:pPr>
        <w:spacing w:after="220"/>
        <w:rPr>
          <w:rFonts w:ascii="Arial" w:eastAsia="Times New Roman" w:hAnsi="Arial" w:cs="Arial"/>
          <w:color w:val="000000"/>
          <w:sz w:val="22"/>
          <w:szCs w:val="22"/>
          <w:lang w:eastAsia="zh-CN"/>
        </w:rPr>
      </w:pPr>
      <w:r w:rsidRPr="00EB256B">
        <w:rPr>
          <w:rFonts w:ascii="Arial" w:eastAsia="Times New Roman" w:hAnsi="Arial" w:cs="Arial"/>
          <w:b/>
          <w:color w:val="000000"/>
          <w:sz w:val="22"/>
          <w:szCs w:val="22"/>
          <w:lang w:eastAsia="zh-CN"/>
        </w:rPr>
        <w:t>Comment Bin 3.1.1.P:</w:t>
      </w:r>
      <w:r w:rsidRPr="00EB256B">
        <w:rPr>
          <w:rFonts w:ascii="Arial" w:eastAsia="DengXian" w:hAnsi="Arial" w:cs="Arial"/>
          <w:sz w:val="22"/>
          <w:szCs w:val="22"/>
        </w:rPr>
        <w:t xml:space="preserve"> To help address section 103 of NEIMA, a commenter suggested adding to the rule a</w:t>
      </w:r>
      <w:r w:rsidRPr="00EB256B">
        <w:rPr>
          <w:rFonts w:ascii="Arial" w:eastAsia="Times New Roman" w:hAnsi="Arial" w:cs="Arial"/>
          <w:color w:val="000000"/>
          <w:sz w:val="22"/>
          <w:szCs w:val="22"/>
          <w:lang w:eastAsia="zh-CN"/>
        </w:rPr>
        <w:t xml:space="preserve"> definition of “technology-inclusive framework” as follows (</w:t>
      </w:r>
      <w:r w:rsidR="004C1A5D">
        <w:rPr>
          <w:rFonts w:ascii="Arial" w:eastAsia="Times New Roman" w:hAnsi="Arial" w:cs="Arial"/>
          <w:color w:val="000000"/>
          <w:sz w:val="22"/>
          <w:szCs w:val="22"/>
          <w:lang w:eastAsia="zh-CN"/>
        </w:rPr>
        <w:t>BI1</w:t>
      </w:r>
      <w:r w:rsidRPr="00EB256B">
        <w:rPr>
          <w:rFonts w:ascii="Arial" w:eastAsia="Times New Roman" w:hAnsi="Arial" w:cs="Arial"/>
          <w:color w:val="000000"/>
          <w:sz w:val="22"/>
          <w:szCs w:val="22"/>
          <w:lang w:eastAsia="zh-CN"/>
        </w:rPr>
        <w:t>-0017):</w:t>
      </w:r>
    </w:p>
    <w:p w:rsidR="00E13A11" w:rsidRPr="00EB256B" w:rsidP="00363061" w14:paraId="5B1964F6" w14:textId="77777777">
      <w:pPr>
        <w:spacing w:after="220"/>
        <w:ind w:left="720"/>
        <w:rPr>
          <w:rFonts w:ascii="Arial" w:eastAsia="Times New Roman" w:hAnsi="Arial" w:cs="Arial"/>
          <w:color w:val="000000"/>
          <w:sz w:val="22"/>
          <w:szCs w:val="22"/>
          <w:lang w:eastAsia="zh-CN"/>
        </w:rPr>
      </w:pPr>
      <w:r w:rsidRPr="00EB256B">
        <w:rPr>
          <w:rFonts w:ascii="Arial" w:eastAsia="Times New Roman" w:hAnsi="Arial" w:cs="Arial"/>
          <w:i/>
          <w:color w:val="000000"/>
          <w:sz w:val="22"/>
          <w:szCs w:val="22"/>
          <w:lang w:eastAsia="zh-CN"/>
        </w:rPr>
        <w:t>Technology-inclusive framework</w:t>
      </w:r>
      <w:r w:rsidRPr="00EB256B">
        <w:rPr>
          <w:rFonts w:ascii="Arial" w:eastAsia="Times New Roman" w:hAnsi="Arial" w:cs="Arial"/>
          <w:color w:val="000000"/>
          <w:sz w:val="22"/>
          <w:szCs w:val="22"/>
          <w:lang w:eastAsia="zh-CN"/>
        </w:rPr>
        <w:t xml:space="preserve"> means a regulatory approach that applies uniformly to all reactor designs by emphasizing performance-based and risk-informed safety objectives rather than design-specific prescriptive requirements, enabling the evaluation of a diverse range of advanced reactor technologies.</w:t>
      </w:r>
    </w:p>
    <w:p w:rsidR="00BA1456" w:rsidP="00363061" w14:paraId="78430881" w14:textId="77777777">
      <w:pPr>
        <w:spacing w:after="220"/>
        <w:rPr>
          <w:rFonts w:ascii="Arial" w:eastAsia="DengXian" w:hAnsi="Arial" w:cs="Arial"/>
          <w:sz w:val="22"/>
          <w:szCs w:val="22"/>
        </w:rPr>
      </w:pPr>
      <w:r w:rsidRPr="00EB256B">
        <w:rPr>
          <w:rFonts w:ascii="Arial" w:eastAsia="DengXian" w:hAnsi="Arial" w:cs="Arial"/>
          <w:b/>
          <w:sz w:val="22"/>
          <w:szCs w:val="22"/>
        </w:rPr>
        <w:t>NRC Response:</w:t>
      </w:r>
      <w:r w:rsidRPr="00EB256B">
        <w:rPr>
          <w:rFonts w:ascii="Arial" w:eastAsia="DengXian" w:hAnsi="Arial" w:cs="Arial"/>
          <w:sz w:val="22"/>
          <w:szCs w:val="22"/>
        </w:rPr>
        <w:t xml:space="preserve"> The NRC disagrees with th</w:t>
      </w:r>
      <w:r w:rsidR="00134B06">
        <w:rPr>
          <w:rFonts w:ascii="Arial" w:eastAsia="DengXian" w:hAnsi="Arial" w:cs="Arial"/>
          <w:sz w:val="22"/>
          <w:szCs w:val="22"/>
        </w:rPr>
        <w:t>e</w:t>
      </w:r>
      <w:r w:rsidRPr="00EB256B">
        <w:rPr>
          <w:rFonts w:ascii="Arial" w:eastAsia="DengXian" w:hAnsi="Arial" w:cs="Arial"/>
          <w:sz w:val="22"/>
          <w:szCs w:val="22"/>
        </w:rPr>
        <w:t xml:space="preserve"> comment. </w:t>
      </w:r>
    </w:p>
    <w:p w:rsidR="0041529B" w:rsidRPr="00EB256B" w:rsidP="00363061" w14:paraId="3EAA4695" w14:textId="77777777">
      <w:pPr>
        <w:spacing w:after="220"/>
        <w:rPr>
          <w:rFonts w:ascii="Arial" w:eastAsia="DengXian" w:hAnsi="Arial" w:cs="Arial"/>
          <w:sz w:val="22"/>
          <w:szCs w:val="22"/>
        </w:rPr>
      </w:pPr>
      <w:r w:rsidRPr="00EB256B">
        <w:rPr>
          <w:rFonts w:ascii="Arial" w:eastAsia="DengXian" w:hAnsi="Arial" w:cs="Arial"/>
          <w:sz w:val="22"/>
          <w:szCs w:val="22"/>
        </w:rPr>
        <w:t>The NRC believes that the context of developing 10 CFR Part 53, which is intended to be a “technology-inclusive framework</w:t>
      </w:r>
      <w:r w:rsidRPr="00EB256B" w:rsidR="00B95C3F">
        <w:rPr>
          <w:rFonts w:ascii="Arial" w:eastAsia="DengXian" w:hAnsi="Arial" w:cs="Arial"/>
          <w:sz w:val="22"/>
          <w:szCs w:val="22"/>
        </w:rPr>
        <w:t>,</w:t>
      </w:r>
      <w:r w:rsidRPr="00EB256B">
        <w:rPr>
          <w:rFonts w:ascii="Arial" w:eastAsia="DengXian" w:hAnsi="Arial" w:cs="Arial"/>
          <w:sz w:val="22"/>
          <w:szCs w:val="22"/>
        </w:rPr>
        <w:t xml:space="preserve">” is adequately addressed in the final rule and </w:t>
      </w:r>
      <w:r w:rsidRPr="00EB256B" w:rsidR="00B5299D">
        <w:rPr>
          <w:rFonts w:ascii="Arial" w:eastAsia="DengXian" w:hAnsi="Arial" w:cs="Arial"/>
          <w:sz w:val="22"/>
          <w:szCs w:val="22"/>
        </w:rPr>
        <w:t xml:space="preserve">that </w:t>
      </w:r>
      <w:r w:rsidRPr="00EB256B">
        <w:rPr>
          <w:rFonts w:ascii="Arial" w:eastAsia="DengXian" w:hAnsi="Arial" w:cs="Arial"/>
          <w:sz w:val="22"/>
          <w:szCs w:val="22"/>
        </w:rPr>
        <w:t xml:space="preserve">the definition of commercial nuclear reactor </w:t>
      </w:r>
      <w:r w:rsidRPr="00EB256B" w:rsidR="00B5299D">
        <w:rPr>
          <w:rFonts w:ascii="Arial" w:eastAsia="DengXian" w:hAnsi="Arial" w:cs="Arial"/>
          <w:sz w:val="22"/>
          <w:szCs w:val="22"/>
        </w:rPr>
        <w:t xml:space="preserve">in 10 CFR 53.020 </w:t>
      </w:r>
      <w:r w:rsidRPr="00EB256B">
        <w:rPr>
          <w:rFonts w:ascii="Arial" w:eastAsia="DengXian" w:hAnsi="Arial" w:cs="Arial"/>
          <w:sz w:val="22"/>
          <w:szCs w:val="22"/>
        </w:rPr>
        <w:t>clearly indicates the rule is technology</w:t>
      </w:r>
      <w:r w:rsidRPr="00EB256B" w:rsidR="00B5299D">
        <w:rPr>
          <w:rFonts w:ascii="Arial" w:eastAsia="DengXian" w:hAnsi="Arial" w:cs="Arial"/>
          <w:sz w:val="22"/>
          <w:szCs w:val="22"/>
        </w:rPr>
        <w:noBreakHyphen/>
      </w:r>
      <w:r w:rsidRPr="00EB256B">
        <w:rPr>
          <w:rFonts w:ascii="Arial" w:eastAsia="DengXian" w:hAnsi="Arial" w:cs="Arial"/>
          <w:sz w:val="22"/>
          <w:szCs w:val="22"/>
        </w:rPr>
        <w:t>inclusive. Accordingly, the NRC does not see a benefit to includ</w:t>
      </w:r>
      <w:r w:rsidR="00EC6A5B">
        <w:rPr>
          <w:rFonts w:ascii="Arial" w:eastAsia="DengXian" w:hAnsi="Arial" w:cs="Arial"/>
          <w:sz w:val="22"/>
          <w:szCs w:val="22"/>
        </w:rPr>
        <w:t>ing</w:t>
      </w:r>
      <w:r w:rsidRPr="00EB256B">
        <w:rPr>
          <w:rFonts w:ascii="Arial" w:eastAsia="DengXian" w:hAnsi="Arial" w:cs="Arial"/>
          <w:sz w:val="22"/>
          <w:szCs w:val="22"/>
        </w:rPr>
        <w:t xml:space="preserve"> a definition of technology</w:t>
      </w:r>
      <w:r w:rsidRPr="00EB256B">
        <w:rPr>
          <w:rFonts w:ascii="Arial" w:eastAsia="DengXian" w:hAnsi="Arial" w:cs="Arial"/>
          <w:sz w:val="22"/>
          <w:szCs w:val="22"/>
        </w:rPr>
        <w:noBreakHyphen/>
        <w:t>inclusive framework within the actual rule language in 10 CFR Part 53.</w:t>
      </w:r>
    </w:p>
    <w:p w:rsidR="00C70B1D" w:rsidRPr="00EB256B" w:rsidP="00363061" w14:paraId="25629693" w14:textId="77777777">
      <w:pPr>
        <w:spacing w:after="220"/>
        <w:rPr>
          <w:rFonts w:ascii="Arial" w:eastAsia="Times New Roman" w:hAnsi="Arial" w:cs="Arial"/>
          <w:b/>
          <w:color w:val="000000"/>
          <w:sz w:val="22"/>
          <w:szCs w:val="22"/>
          <w:lang w:eastAsia="zh-CN"/>
        </w:rPr>
      </w:pPr>
      <w:r w:rsidRPr="00EB256B">
        <w:rPr>
          <w:rFonts w:ascii="Arial" w:eastAsia="DengXian" w:hAnsi="Arial" w:cs="Arial"/>
          <w:sz w:val="22"/>
          <w:szCs w:val="22"/>
        </w:rPr>
        <w:t xml:space="preserve">Accordingly, the NRC did not </w:t>
      </w:r>
      <w:r w:rsidR="0016130B">
        <w:rPr>
          <w:rFonts w:ascii="Arial" w:eastAsia="DengXian" w:hAnsi="Arial" w:cs="Arial"/>
          <w:sz w:val="22"/>
          <w:szCs w:val="22"/>
        </w:rPr>
        <w:t>change</w:t>
      </w:r>
      <w:r w:rsidRPr="00EB256B">
        <w:rPr>
          <w:rFonts w:ascii="Arial" w:eastAsia="DengXian" w:hAnsi="Arial" w:cs="Arial"/>
          <w:sz w:val="22"/>
          <w:szCs w:val="22"/>
        </w:rPr>
        <w:t xml:space="preserve"> the rule language in response to this comment.</w:t>
      </w:r>
    </w:p>
    <w:p w:rsidR="00AC1417" w:rsidRPr="00EB256B" w:rsidP="00363061" w14:paraId="52375414"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3" style="width:0;height:1.5pt" o:hralign="center" o:hrstd="t" o:hrnoshade="t" o:hr="t" fillcolor="black" stroked="f"/>
        </w:pict>
      </w:r>
    </w:p>
    <w:p w:rsidR="00632CCF" w:rsidRPr="00EB256B" w:rsidP="00363061" w14:paraId="2FA15277" w14:textId="77777777">
      <w:pPr>
        <w:spacing w:after="220"/>
        <w:rPr>
          <w:rFonts w:ascii="Arial" w:eastAsia="DengXian" w:hAnsi="Arial" w:cs="Arial"/>
          <w:sz w:val="22"/>
          <w:szCs w:val="22"/>
        </w:rPr>
      </w:pPr>
      <w:r w:rsidRPr="00EB256B">
        <w:rPr>
          <w:rFonts w:ascii="Arial" w:eastAsia="Times New Roman" w:hAnsi="Arial" w:cs="Arial"/>
          <w:b/>
          <w:color w:val="000000"/>
          <w:sz w:val="22"/>
          <w:szCs w:val="22"/>
          <w:lang w:eastAsia="zh-CN"/>
        </w:rPr>
        <w:t xml:space="preserve">Comment Bin </w:t>
      </w:r>
      <w:r w:rsidRPr="00EB256B" w:rsidR="009C4BAA">
        <w:rPr>
          <w:rFonts w:ascii="Arial" w:eastAsia="Times New Roman" w:hAnsi="Arial" w:cs="Arial"/>
          <w:b/>
          <w:color w:val="000000"/>
          <w:sz w:val="22"/>
          <w:szCs w:val="22"/>
          <w:lang w:eastAsia="zh-CN"/>
        </w:rPr>
        <w:t xml:space="preserve">3.1.1.Q: </w:t>
      </w:r>
      <w:r w:rsidRPr="00EB256B" w:rsidR="009C4BAA">
        <w:rPr>
          <w:rFonts w:ascii="Arial" w:eastAsia="DengXian" w:hAnsi="Arial" w:cs="Arial"/>
          <w:sz w:val="22"/>
          <w:szCs w:val="22"/>
        </w:rPr>
        <w:t>A commenter urged the NRC to define “adequate protection” more clearly, to align with established legal precedents, rather than maintain ambiguity that unnecessarily burdens applicants (</w:t>
      </w:r>
      <w:r w:rsidR="00C3447B">
        <w:rPr>
          <w:rFonts w:ascii="Arial" w:eastAsia="DengXian" w:hAnsi="Arial" w:cs="Arial"/>
          <w:sz w:val="22"/>
          <w:szCs w:val="22"/>
        </w:rPr>
        <w:t>NNY</w:t>
      </w:r>
      <w:r w:rsidRPr="00EB256B" w:rsidR="009C4BAA">
        <w:rPr>
          <w:rFonts w:ascii="Arial" w:eastAsia="DengXian" w:hAnsi="Arial" w:cs="Arial"/>
          <w:sz w:val="22"/>
          <w:szCs w:val="22"/>
        </w:rPr>
        <w:t>-0005).</w:t>
      </w:r>
    </w:p>
    <w:p w:rsidR="005F4557" w:rsidP="00363061" w14:paraId="5AE578D8" w14:textId="77777777">
      <w:pPr>
        <w:spacing w:after="220"/>
        <w:rPr>
          <w:rFonts w:ascii="Arial" w:eastAsia="DengXian" w:hAnsi="Arial" w:cs="Arial"/>
          <w:sz w:val="22"/>
          <w:szCs w:val="22"/>
        </w:rPr>
      </w:pPr>
      <w:r w:rsidRPr="00EB256B">
        <w:rPr>
          <w:rFonts w:ascii="Arial" w:eastAsia="DengXian" w:hAnsi="Arial" w:cs="Arial"/>
          <w:b/>
          <w:sz w:val="22"/>
          <w:szCs w:val="22"/>
        </w:rPr>
        <w:t>NRC Response:</w:t>
      </w:r>
      <w:r w:rsidRPr="00EB256B">
        <w:rPr>
          <w:rFonts w:ascii="Arial" w:eastAsia="DengXian" w:hAnsi="Arial" w:cs="Arial"/>
          <w:sz w:val="22"/>
          <w:szCs w:val="22"/>
        </w:rPr>
        <w:t xml:space="preserve"> The NRC disagrees with th</w:t>
      </w:r>
      <w:r>
        <w:rPr>
          <w:rFonts w:ascii="Arial" w:eastAsia="DengXian" w:hAnsi="Arial" w:cs="Arial"/>
          <w:sz w:val="22"/>
          <w:szCs w:val="22"/>
        </w:rPr>
        <w:t>is</w:t>
      </w:r>
      <w:r w:rsidRPr="00EB256B">
        <w:rPr>
          <w:rFonts w:ascii="Arial" w:eastAsia="DengXian" w:hAnsi="Arial" w:cs="Arial"/>
          <w:sz w:val="22"/>
          <w:szCs w:val="22"/>
        </w:rPr>
        <w:t xml:space="preserve"> comment. </w:t>
      </w:r>
    </w:p>
    <w:p w:rsidR="005F4557" w:rsidP="00363061" w14:paraId="3059D99A" w14:textId="77777777">
      <w:pPr>
        <w:spacing w:after="220"/>
        <w:rPr>
          <w:rFonts w:ascii="Arial" w:eastAsia="DengXian" w:hAnsi="Arial" w:cs="Arial"/>
          <w:sz w:val="22"/>
          <w:szCs w:val="22"/>
        </w:rPr>
      </w:pPr>
      <w:r w:rsidRPr="00EB256B">
        <w:rPr>
          <w:rFonts w:ascii="Arial" w:eastAsia="DengXian" w:hAnsi="Arial" w:cs="Arial"/>
          <w:sz w:val="22"/>
          <w:szCs w:val="22"/>
        </w:rPr>
        <w:t>As explained in Section IV, Subpart B—Technology-Inclusive Safety Requirements</w:t>
      </w:r>
      <w:r w:rsidR="00807906">
        <w:rPr>
          <w:rFonts w:ascii="Arial" w:eastAsia="DengXian" w:hAnsi="Arial" w:cs="Arial"/>
          <w:sz w:val="22"/>
          <w:szCs w:val="22"/>
        </w:rPr>
        <w:t>,</w:t>
      </w:r>
      <w:r w:rsidRPr="00EB256B">
        <w:rPr>
          <w:rFonts w:ascii="Arial" w:eastAsia="DengXian" w:hAnsi="Arial" w:cs="Arial"/>
          <w:sz w:val="22"/>
          <w:szCs w:val="22"/>
        </w:rPr>
        <w:t xml:space="preserve"> of the final rule, the collective set of performance-based requirements would be sufficient, if met, for the NRC to make the findings required to grant an application for a utilization facility under </w:t>
      </w:r>
      <w:r w:rsidR="009E1316">
        <w:rPr>
          <w:rFonts w:ascii="Arial" w:eastAsia="DengXian" w:hAnsi="Arial" w:cs="Arial"/>
          <w:sz w:val="22"/>
          <w:szCs w:val="22"/>
        </w:rPr>
        <w:t>s</w:t>
      </w:r>
      <w:r w:rsidRPr="00EB256B">
        <w:rPr>
          <w:rFonts w:ascii="Arial" w:eastAsia="DengXian" w:hAnsi="Arial" w:cs="Arial"/>
          <w:sz w:val="22"/>
          <w:szCs w:val="22"/>
        </w:rPr>
        <w:t>ection 182 of the A</w:t>
      </w:r>
      <w:r w:rsidR="00D623BC">
        <w:rPr>
          <w:rFonts w:ascii="Arial" w:eastAsia="DengXian" w:hAnsi="Arial" w:cs="Arial"/>
          <w:sz w:val="22"/>
          <w:szCs w:val="22"/>
        </w:rPr>
        <w:t>EA</w:t>
      </w:r>
      <w:r w:rsidRPr="00EB256B">
        <w:rPr>
          <w:rFonts w:ascii="Arial" w:eastAsia="DengXian" w:hAnsi="Arial" w:cs="Arial"/>
          <w:sz w:val="22"/>
          <w:szCs w:val="22"/>
        </w:rPr>
        <w:t xml:space="preserve"> that the utilization of special nuclear material will be in accord with the common defense and security and will provide adequate protection to the health and safety of the public. This construct would be similar to existing NRC regulations, which the Commission has said on many occasions do not specifically define “adequate protection.” However, compliance with NRC regulations may be presumed to assure adequate protection at a minimum.</w:t>
      </w:r>
    </w:p>
    <w:p w:rsidR="009C4BAA" w:rsidRPr="00EB256B" w:rsidP="00363061" w14:paraId="01FDA857" w14:textId="77777777">
      <w:pPr>
        <w:spacing w:after="220"/>
        <w:rPr>
          <w:rFonts w:ascii="Arial" w:eastAsia="Times New Roman" w:hAnsi="Arial" w:cs="Arial"/>
          <w:b/>
          <w:color w:val="000000"/>
          <w:sz w:val="22"/>
          <w:szCs w:val="22"/>
          <w:lang w:eastAsia="zh-CN"/>
        </w:rPr>
      </w:pPr>
      <w:r w:rsidRPr="00EB256B">
        <w:rPr>
          <w:rFonts w:ascii="Arial" w:eastAsia="DengXian" w:hAnsi="Arial" w:cs="Arial"/>
          <w:sz w:val="22"/>
          <w:szCs w:val="22"/>
        </w:rPr>
        <w:t xml:space="preserve">Accordingly, the NRC did not </w:t>
      </w:r>
      <w:r w:rsidR="005F4557">
        <w:rPr>
          <w:rFonts w:ascii="Arial" w:eastAsia="DengXian" w:hAnsi="Arial" w:cs="Arial"/>
          <w:sz w:val="22"/>
          <w:szCs w:val="22"/>
        </w:rPr>
        <w:t>chang</w:t>
      </w:r>
      <w:r w:rsidRPr="00EB256B">
        <w:rPr>
          <w:rFonts w:ascii="Arial" w:eastAsia="DengXian" w:hAnsi="Arial" w:cs="Arial"/>
          <w:sz w:val="22"/>
          <w:szCs w:val="22"/>
        </w:rPr>
        <w:t>e the rule language in response to this comment.</w:t>
      </w:r>
    </w:p>
    <w:p w:rsidR="00AC1417" w:rsidRPr="003D7F47" w:rsidP="00363061" w14:paraId="7B2FB857" w14:textId="77777777">
      <w:pPr>
        <w:spacing w:after="220"/>
        <w:rPr>
          <w:rFonts w:ascii="Arial" w:hAnsi="Arial" w:cs="Arial"/>
          <w:sz w:val="22"/>
          <w:szCs w:val="22"/>
        </w:rPr>
      </w:pPr>
      <w:r>
        <w:rPr>
          <w:rFonts w:ascii="Arial" w:hAnsi="Arial" w:cs="Arial"/>
          <w:sz w:val="22"/>
          <w:szCs w:val="22"/>
        </w:rPr>
        <w:pict>
          <v:rect id="_x0000_i1064" style="width:0;height:1.5pt" o:hralign="center" o:hrstd="t" o:hrnoshade="t" o:hr="t" fillcolor="black" stroked="f"/>
        </w:pict>
      </w:r>
    </w:p>
    <w:p w:rsidR="00AC1417" w:rsidRPr="00627E71" w:rsidP="007D78E7" w14:paraId="70BFDE49" w14:textId="77777777">
      <w:pPr>
        <w:pStyle w:val="Heading3"/>
        <w:numPr>
          <w:ilvl w:val="0"/>
          <w:numId w:val="0"/>
        </w:numPr>
        <w:ind w:left="720" w:hanging="720"/>
      </w:pPr>
      <w:bookmarkStart w:id="18" w:name="_Toc194466459"/>
      <w:bookmarkStart w:id="19" w:name="_Toc207222802"/>
      <w:r w:rsidRPr="007D78E7">
        <w:rPr>
          <w:u w:val="none"/>
        </w:rPr>
        <w:t>3.1.2</w:t>
      </w:r>
      <w:r w:rsidRPr="007D78E7">
        <w:rPr>
          <w:u w:val="none"/>
        </w:rPr>
        <w:tab/>
      </w:r>
      <w:r w:rsidRPr="00845D1D">
        <w:t>Other comments on Subpart A</w:t>
      </w:r>
      <w:bookmarkEnd w:id="18"/>
      <w:bookmarkEnd w:id="19"/>
    </w:p>
    <w:p w:rsidR="00886515" w:rsidRPr="00F52E46" w:rsidP="00D73308" w14:paraId="0BBF9108" w14:textId="77777777">
      <w:pPr>
        <w:spacing w:after="220"/>
        <w:rPr>
          <w:rFonts w:ascii="Arial" w:hAnsi="Arial" w:cs="Arial"/>
          <w:sz w:val="22"/>
          <w:szCs w:val="22"/>
        </w:rPr>
      </w:pPr>
      <w:r w:rsidRPr="00D73308">
        <w:rPr>
          <w:rFonts w:ascii="Arial" w:eastAsia="Times New Roman" w:hAnsi="Arial" w:cs="Arial"/>
          <w:b/>
          <w:color w:val="000000"/>
          <w:sz w:val="22"/>
          <w:szCs w:val="22"/>
          <w:lang w:eastAsia="zh-CN"/>
        </w:rPr>
        <w:t xml:space="preserve">Comment Bin 3.1.2.A: </w:t>
      </w:r>
      <w:r w:rsidRPr="00F52E46">
        <w:rPr>
          <w:rFonts w:ascii="Arial" w:eastAsia="DengXian" w:hAnsi="Arial" w:cs="Arial"/>
          <w:sz w:val="22"/>
          <w:szCs w:val="22"/>
        </w:rPr>
        <w:t>A commenter asserted that the NRC staff historically has operated in a prescriptive fashion in which the level of regulatory effort does not correspond to the public radiation risk, with this lack of restraint causing applicants to incur steep licensing costs (e.g.,</w:t>
      </w:r>
      <w:r w:rsidRPr="00F52E46" w:rsidR="001D2C0E">
        <w:rPr>
          <w:rFonts w:ascii="Arial" w:eastAsia="DengXian" w:hAnsi="Arial" w:cs="Arial"/>
          <w:sz w:val="22"/>
          <w:szCs w:val="22"/>
        </w:rPr>
        <w:t> </w:t>
      </w:r>
      <w:r w:rsidRPr="00F52E46" w:rsidR="007C4733">
        <w:rPr>
          <w:rFonts w:ascii="Arial" w:eastAsia="DengXian" w:hAnsi="Arial" w:cs="Arial"/>
          <w:sz w:val="22"/>
          <w:szCs w:val="22"/>
        </w:rPr>
        <w:t>the commenter asserted that</w:t>
      </w:r>
      <w:r w:rsidRPr="00F52E46">
        <w:rPr>
          <w:rFonts w:ascii="Arial" w:eastAsia="DengXian" w:hAnsi="Arial" w:cs="Arial"/>
          <w:sz w:val="22"/>
          <w:szCs w:val="22"/>
        </w:rPr>
        <w:t xml:space="preserve"> </w:t>
      </w:r>
      <w:r w:rsidRPr="00F52E46">
        <w:rPr>
          <w:rFonts w:ascii="Arial" w:eastAsia="DengXian" w:hAnsi="Arial" w:cs="Arial"/>
          <w:sz w:val="22"/>
          <w:szCs w:val="22"/>
        </w:rPr>
        <w:t>NuScale</w:t>
      </w:r>
      <w:r w:rsidRPr="00F52E46">
        <w:rPr>
          <w:rFonts w:ascii="Arial" w:eastAsia="DengXian" w:hAnsi="Arial" w:cs="Arial"/>
          <w:sz w:val="22"/>
          <w:szCs w:val="22"/>
        </w:rPr>
        <w:t xml:space="preserve"> </w:t>
      </w:r>
      <w:r w:rsidRPr="00F52E46" w:rsidR="007C4733">
        <w:rPr>
          <w:rFonts w:ascii="Arial" w:eastAsia="DengXian" w:hAnsi="Arial" w:cs="Arial"/>
          <w:sz w:val="22"/>
          <w:szCs w:val="22"/>
        </w:rPr>
        <w:t>had</w:t>
      </w:r>
      <w:r w:rsidRPr="00F52E46">
        <w:rPr>
          <w:rFonts w:ascii="Arial" w:eastAsia="DengXian" w:hAnsi="Arial" w:cs="Arial"/>
          <w:sz w:val="22"/>
          <w:szCs w:val="22"/>
        </w:rPr>
        <w:t xml:space="preserve"> expend</w:t>
      </w:r>
      <w:r w:rsidRPr="00F52E46" w:rsidR="00EF33E2">
        <w:rPr>
          <w:rFonts w:ascii="Arial" w:eastAsia="DengXian" w:hAnsi="Arial" w:cs="Arial"/>
          <w:sz w:val="22"/>
          <w:szCs w:val="22"/>
        </w:rPr>
        <w:t>ed</w:t>
      </w:r>
      <w:r w:rsidRPr="00F52E46">
        <w:rPr>
          <w:rFonts w:ascii="Arial" w:eastAsia="DengXian" w:hAnsi="Arial" w:cs="Arial"/>
          <w:sz w:val="22"/>
          <w:szCs w:val="22"/>
        </w:rPr>
        <w:t xml:space="preserve"> more than half a billion dollars on licensing for a passively fail-safe design). Cautioning that 10 CFR Part 53 is on the same path, the commenter urged the NRC to establish upper</w:t>
      </w:r>
      <w:r w:rsidRPr="00F52E46">
        <w:rPr>
          <w:rFonts w:ascii="Arial" w:eastAsia="DengXian" w:hAnsi="Arial" w:cs="Arial"/>
          <w:sz w:val="22"/>
          <w:szCs w:val="22"/>
        </w:rPr>
        <w:noBreakHyphen/>
        <w:t>level expectations for NRC activities by amending 10</w:t>
      </w:r>
      <w:r w:rsidRPr="00F52E46" w:rsidR="007F5BDF">
        <w:rPr>
          <w:rFonts w:ascii="Arial" w:eastAsia="DengXian" w:hAnsi="Arial" w:cs="Arial"/>
          <w:sz w:val="22"/>
          <w:szCs w:val="22"/>
        </w:rPr>
        <w:t> </w:t>
      </w:r>
      <w:r w:rsidRPr="00F52E46">
        <w:rPr>
          <w:rFonts w:ascii="Arial" w:eastAsia="DengXian" w:hAnsi="Arial" w:cs="Arial"/>
          <w:sz w:val="22"/>
          <w:szCs w:val="22"/>
        </w:rPr>
        <w:t>CFR</w:t>
      </w:r>
      <w:r w:rsidRPr="00F52E46" w:rsidR="007F5BDF">
        <w:rPr>
          <w:rFonts w:ascii="Arial" w:eastAsia="DengXian" w:hAnsi="Arial" w:cs="Arial"/>
          <w:sz w:val="22"/>
          <w:szCs w:val="22"/>
        </w:rPr>
        <w:t> </w:t>
      </w:r>
      <w:r w:rsidRPr="00F52E46">
        <w:rPr>
          <w:rFonts w:ascii="Arial" w:eastAsia="DengXian" w:hAnsi="Arial" w:cs="Arial"/>
          <w:sz w:val="22"/>
          <w:szCs w:val="22"/>
        </w:rPr>
        <w:t xml:space="preserve">53.015 to state that Subpart A applies to the NRC in addition to applicants and licensees and </w:t>
      </w:r>
      <w:r w:rsidRPr="00F52E46" w:rsidR="001D2C0E">
        <w:rPr>
          <w:rFonts w:ascii="Arial" w:eastAsia="DengXian" w:hAnsi="Arial" w:cs="Arial"/>
          <w:sz w:val="22"/>
          <w:szCs w:val="22"/>
        </w:rPr>
        <w:t>urged the NRC to revise</w:t>
      </w:r>
      <w:r w:rsidRPr="00F52E46">
        <w:rPr>
          <w:rFonts w:ascii="Arial" w:eastAsia="DengXian" w:hAnsi="Arial" w:cs="Arial"/>
          <w:sz w:val="22"/>
          <w:szCs w:val="22"/>
        </w:rPr>
        <w:t xml:space="preserve"> 10 CFR 53.000</w:t>
      </w:r>
      <w:r w:rsidRPr="00F52E46">
        <w:rPr>
          <w:rFonts w:ascii="Arial" w:hAnsi="Arial" w:cs="Arial"/>
          <w:sz w:val="22"/>
          <w:szCs w:val="22"/>
        </w:rPr>
        <w:t xml:space="preserve"> to include NEIMA (</w:t>
      </w:r>
      <w:r w:rsidR="00005A63">
        <w:rPr>
          <w:rFonts w:ascii="Arial" w:hAnsi="Arial" w:cs="Arial"/>
          <w:sz w:val="22"/>
          <w:szCs w:val="22"/>
        </w:rPr>
        <w:t>HPT6</w:t>
      </w:r>
      <w:r w:rsidRPr="00F52E46">
        <w:rPr>
          <w:rFonts w:ascii="Arial" w:hAnsi="Arial" w:cs="Arial"/>
          <w:sz w:val="22"/>
          <w:szCs w:val="22"/>
        </w:rPr>
        <w:t>-0001).</w:t>
      </w:r>
    </w:p>
    <w:p w:rsidR="007D4358" w:rsidRPr="00D73308" w:rsidP="00D73308" w14:paraId="4F2B92C8" w14:textId="77777777">
      <w:pPr>
        <w:spacing w:after="220"/>
        <w:rPr>
          <w:rFonts w:ascii="Arial" w:eastAsia="DengXian" w:hAnsi="Arial" w:cs="Arial"/>
          <w:sz w:val="22"/>
          <w:szCs w:val="22"/>
        </w:rPr>
      </w:pPr>
      <w:r w:rsidRPr="00D73308">
        <w:rPr>
          <w:rFonts w:ascii="Arial" w:eastAsia="DengXian" w:hAnsi="Arial" w:cs="Arial"/>
          <w:b/>
          <w:sz w:val="22"/>
          <w:szCs w:val="22"/>
        </w:rPr>
        <w:t>NRC Response:</w:t>
      </w:r>
      <w:r w:rsidRPr="00D73308">
        <w:rPr>
          <w:rFonts w:ascii="Arial" w:eastAsia="DengXian" w:hAnsi="Arial" w:cs="Arial"/>
          <w:sz w:val="22"/>
          <w:szCs w:val="22"/>
        </w:rPr>
        <w:t xml:space="preserve"> The NRC disagrees with th</w:t>
      </w:r>
      <w:r w:rsidR="00134B06">
        <w:rPr>
          <w:rFonts w:ascii="Arial" w:eastAsia="DengXian" w:hAnsi="Arial" w:cs="Arial"/>
          <w:sz w:val="22"/>
          <w:szCs w:val="22"/>
        </w:rPr>
        <w:t>e</w:t>
      </w:r>
      <w:r w:rsidRPr="00D73308">
        <w:rPr>
          <w:rFonts w:ascii="Arial" w:eastAsia="DengXian" w:hAnsi="Arial" w:cs="Arial"/>
          <w:sz w:val="22"/>
          <w:szCs w:val="22"/>
        </w:rPr>
        <w:t xml:space="preserve"> comment.</w:t>
      </w:r>
    </w:p>
    <w:p w:rsidR="0051081B" w:rsidRPr="00D73308" w:rsidP="00D73308" w14:paraId="55AAE94F" w14:textId="77777777">
      <w:pPr>
        <w:spacing w:after="220"/>
        <w:rPr>
          <w:rFonts w:ascii="Arial" w:eastAsia="DengXian" w:hAnsi="Arial" w:cs="Arial"/>
          <w:sz w:val="22"/>
          <w:szCs w:val="22"/>
        </w:rPr>
      </w:pPr>
      <w:r w:rsidRPr="00D73308">
        <w:rPr>
          <w:rFonts w:ascii="Arial" w:eastAsia="DengXian" w:hAnsi="Arial" w:cs="Arial"/>
          <w:sz w:val="22"/>
          <w:szCs w:val="22"/>
        </w:rPr>
        <w:t xml:space="preserve">The NRC’s existing regulations in 10 CFR Part 50 and </w:t>
      </w:r>
      <w:r w:rsidR="00401EA7">
        <w:rPr>
          <w:rFonts w:ascii="Arial" w:eastAsia="DengXian" w:hAnsi="Arial" w:cs="Arial"/>
          <w:sz w:val="22"/>
          <w:szCs w:val="22"/>
        </w:rPr>
        <w:t xml:space="preserve">10 CFR Part </w:t>
      </w:r>
      <w:r w:rsidRPr="00D73308">
        <w:rPr>
          <w:rFonts w:ascii="Arial" w:eastAsia="DengXian" w:hAnsi="Arial" w:cs="Arial"/>
          <w:sz w:val="22"/>
          <w:szCs w:val="22"/>
        </w:rPr>
        <w:t>52 were promulgated with appropriate consideration of the information available and were put in place to</w:t>
      </w:r>
      <w:r w:rsidRPr="00D73308">
        <w:rPr>
          <w:sz w:val="22"/>
          <w:szCs w:val="22"/>
        </w:rPr>
        <w:t xml:space="preserve"> </w:t>
      </w:r>
      <w:r w:rsidRPr="00D73308">
        <w:rPr>
          <w:rFonts w:ascii="Arial" w:eastAsia="DengXian" w:hAnsi="Arial" w:cs="Arial"/>
          <w:sz w:val="22"/>
          <w:szCs w:val="22"/>
        </w:rPr>
        <w:t>ensure that licensed facilities will not present an undue risk to the public health and safety, and are consistent with the common defense and security. The focus of 10 CFR Part 53 is likewise on the requirements needed to ensure that future commercial nuclear plants are designed, constructed, and operated such that the radiological hazards will not present an undue risk to the public health and safety, and are consistent with the common defense and security. Where appropriate, the regulations in 10 CFR Part 53 provide constraints on the NRC. An example includes 10 CFR 53.1590 that specifies needed assessments and findings prior to the NRC imposing changes to licensed facilities. Additionally, 10</w:t>
      </w:r>
      <w:r w:rsidRPr="00D73308" w:rsidR="002E0704">
        <w:rPr>
          <w:rFonts w:ascii="Arial" w:eastAsia="DengXian" w:hAnsi="Arial" w:cs="Arial"/>
          <w:sz w:val="22"/>
          <w:szCs w:val="22"/>
        </w:rPr>
        <w:t> </w:t>
      </w:r>
      <w:r w:rsidRPr="00D73308">
        <w:rPr>
          <w:rFonts w:ascii="Arial" w:eastAsia="DengXian" w:hAnsi="Arial" w:cs="Arial"/>
          <w:sz w:val="22"/>
          <w:szCs w:val="22"/>
        </w:rPr>
        <w:t xml:space="preserve">CFR 53.000 reflects the NRC’s statutory </w:t>
      </w:r>
      <w:r w:rsidRPr="00D73308">
        <w:rPr>
          <w:rFonts w:ascii="Arial" w:eastAsia="DengXian" w:hAnsi="Arial" w:cs="Arial"/>
          <w:sz w:val="22"/>
          <w:szCs w:val="22"/>
        </w:rPr>
        <w:t>basis for licensing nuclear reactors, as such it appropriately omits NEIMA, which did not modify those authorities. Nonetheless, the NRC has included NEIMA in its recitation of authorities for this overall rulemaking.</w:t>
      </w:r>
    </w:p>
    <w:p w:rsidR="00886515" w:rsidRPr="00D73308" w:rsidP="00D73308" w14:paraId="18C54FB2" w14:textId="77777777">
      <w:pPr>
        <w:spacing w:after="220"/>
        <w:rPr>
          <w:rFonts w:ascii="Arial" w:eastAsia="Times New Roman" w:hAnsi="Arial" w:cs="Arial"/>
          <w:b/>
          <w:color w:val="000000"/>
          <w:sz w:val="22"/>
          <w:szCs w:val="22"/>
          <w:lang w:eastAsia="zh-CN"/>
        </w:rPr>
      </w:pPr>
      <w:r w:rsidRPr="00D73308">
        <w:rPr>
          <w:rFonts w:ascii="Arial" w:eastAsia="DengXian" w:hAnsi="Arial" w:cs="Arial"/>
          <w:sz w:val="22"/>
          <w:szCs w:val="22"/>
        </w:rPr>
        <w:t xml:space="preserve">Accordingly, the NRC did not </w:t>
      </w:r>
      <w:r w:rsidR="00863878">
        <w:rPr>
          <w:rFonts w:ascii="Arial" w:eastAsia="DengXian" w:hAnsi="Arial" w:cs="Arial"/>
          <w:sz w:val="22"/>
          <w:szCs w:val="22"/>
        </w:rPr>
        <w:t>change</w:t>
      </w:r>
      <w:r w:rsidRPr="00D73308">
        <w:rPr>
          <w:rFonts w:ascii="Arial" w:eastAsia="DengXian" w:hAnsi="Arial" w:cs="Arial"/>
          <w:sz w:val="22"/>
          <w:szCs w:val="22"/>
        </w:rPr>
        <w:t xml:space="preserve"> the rule language in response to this comment.</w:t>
      </w:r>
    </w:p>
    <w:p w:rsidR="00AC1417" w:rsidRPr="00D73308" w:rsidP="00D73308" w14:paraId="648F2AE4"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5" style="width:0;height:1.5pt" o:hralign="center" o:hrstd="t" o:hrnoshade="t" o:hr="t" fillcolor="black" stroked="f"/>
        </w:pict>
      </w:r>
    </w:p>
    <w:p w:rsidR="00B75D2A" w:rsidRPr="00D73308" w:rsidP="00D73308" w14:paraId="636D54C0" w14:textId="77777777">
      <w:pPr>
        <w:spacing w:after="220"/>
        <w:rPr>
          <w:rFonts w:ascii="Arial" w:eastAsia="Times New Roman" w:hAnsi="Arial" w:cs="Arial"/>
          <w:color w:val="000000"/>
          <w:sz w:val="22"/>
          <w:szCs w:val="22"/>
          <w:lang w:eastAsia="zh-CN"/>
        </w:rPr>
      </w:pPr>
      <w:r w:rsidRPr="00D73308">
        <w:rPr>
          <w:rFonts w:ascii="Arial" w:eastAsia="Times New Roman" w:hAnsi="Arial" w:cs="Arial"/>
          <w:b/>
          <w:color w:val="000000"/>
          <w:sz w:val="22"/>
          <w:szCs w:val="22"/>
          <w:lang w:eastAsia="zh-CN"/>
        </w:rPr>
        <w:t xml:space="preserve">Comment Bin 3.1.2.B: </w:t>
      </w:r>
      <w:r w:rsidRPr="00D73308">
        <w:rPr>
          <w:rFonts w:ascii="Arial" w:eastAsia="DengXian" w:hAnsi="Arial" w:cs="Arial"/>
          <w:sz w:val="22"/>
          <w:szCs w:val="22"/>
        </w:rPr>
        <w:t xml:space="preserve">Describing NRC </w:t>
      </w:r>
      <w:r w:rsidRPr="00D73308">
        <w:rPr>
          <w:rFonts w:ascii="Arial" w:eastAsia="Times New Roman" w:hAnsi="Arial" w:cs="Arial"/>
          <w:color w:val="000000"/>
          <w:sz w:val="22"/>
          <w:szCs w:val="22"/>
          <w:lang w:eastAsia="zh-CN"/>
        </w:rPr>
        <w:t>staff reviews of licensee application documents as not risk-informed and expressing concern that 10 CFR Part 53 directly conflicts with NEIMA and is unacceptably inefficient, a commenter suggested adding a new section 10 CFR 53.005 (Reviews) to subpart A as follows:</w:t>
      </w:r>
    </w:p>
    <w:p w:rsidR="00B75D2A" w:rsidRPr="00D73308" w:rsidP="00D73308" w14:paraId="7459477A" w14:textId="77777777">
      <w:pPr>
        <w:spacing w:after="220"/>
        <w:ind w:left="720" w:right="720"/>
        <w:rPr>
          <w:rFonts w:ascii="Arial" w:eastAsia="Times New Roman" w:hAnsi="Arial" w:cs="Arial"/>
          <w:color w:val="000000"/>
          <w:sz w:val="22"/>
          <w:szCs w:val="22"/>
          <w:lang w:eastAsia="zh-CN"/>
        </w:rPr>
      </w:pPr>
      <w:r w:rsidRPr="00D73308">
        <w:rPr>
          <w:rFonts w:ascii="Arial" w:eastAsia="Times New Roman" w:hAnsi="Arial" w:cs="Arial"/>
          <w:color w:val="000000"/>
          <w:sz w:val="22"/>
          <w:szCs w:val="22"/>
          <w:lang w:eastAsia="zh-CN"/>
        </w:rPr>
        <w:t>NRC review activities must be commiserate [sic] with risk, as correlated to the applicant’s design and probabilistic risk assessment.</w:t>
      </w:r>
    </w:p>
    <w:p w:rsidR="00A94F92" w:rsidRPr="00D73308" w:rsidP="00D73308" w14:paraId="20180B95" w14:textId="77777777">
      <w:pPr>
        <w:spacing w:after="220"/>
        <w:rPr>
          <w:rFonts w:ascii="Arial" w:eastAsia="Times New Roman" w:hAnsi="Arial" w:cs="Arial"/>
          <w:color w:val="000000"/>
          <w:sz w:val="22"/>
          <w:szCs w:val="22"/>
          <w:lang w:eastAsia="zh-CN"/>
        </w:rPr>
      </w:pPr>
      <w:r w:rsidRPr="00D73308">
        <w:rPr>
          <w:rFonts w:ascii="Arial" w:eastAsia="Times New Roman" w:hAnsi="Arial" w:cs="Arial"/>
          <w:color w:val="000000"/>
          <w:sz w:val="22"/>
          <w:szCs w:val="22"/>
          <w:lang w:eastAsia="zh-CN"/>
        </w:rPr>
        <w:t xml:space="preserve">The commenter argued that this addition establishes clear staff review requirements, is technology neutral while relying on probabilistic methods the applicant already must provide, does not require modification of guidance documents, and would avoid situations like an application being denied because of failure to comply with esoteric considerations involving the theory of statistics (which the commenter said has occurred). The commenter also suggested that the volume of the NRC’s existing guidance documents inappropriately imposes excessive requirements on license applicants </w:t>
      </w:r>
      <w:r w:rsidRPr="00D73308">
        <w:rPr>
          <w:rFonts w:ascii="Arial" w:eastAsia="DengXian" w:hAnsi="Arial" w:cs="Arial"/>
          <w:sz w:val="22"/>
          <w:szCs w:val="22"/>
        </w:rPr>
        <w:t>(</w:t>
      </w:r>
      <w:r w:rsidR="00005A63">
        <w:rPr>
          <w:rFonts w:ascii="Arial" w:eastAsia="Times New Roman" w:hAnsi="Arial" w:cs="Arial"/>
          <w:color w:val="000000"/>
          <w:sz w:val="22"/>
          <w:szCs w:val="22"/>
          <w:lang w:eastAsia="zh-CN"/>
        </w:rPr>
        <w:t>HPT9</w:t>
      </w:r>
      <w:r w:rsidRPr="00D73308">
        <w:rPr>
          <w:rFonts w:ascii="Arial" w:eastAsia="Times New Roman" w:hAnsi="Arial" w:cs="Arial"/>
          <w:color w:val="000000"/>
          <w:sz w:val="22"/>
          <w:szCs w:val="22"/>
          <w:lang w:eastAsia="zh-CN"/>
        </w:rPr>
        <w:t>-0001).</w:t>
      </w:r>
    </w:p>
    <w:p w:rsidR="003C14D3" w:rsidP="00D73308" w14:paraId="55811B22" w14:textId="77777777">
      <w:pPr>
        <w:spacing w:after="220"/>
        <w:rPr>
          <w:sz w:val="22"/>
          <w:szCs w:val="22"/>
        </w:rPr>
      </w:pPr>
      <w:r w:rsidRPr="00D73308">
        <w:rPr>
          <w:rFonts w:ascii="Arial" w:eastAsia="DengXian" w:hAnsi="Arial" w:cs="Arial"/>
          <w:b/>
          <w:sz w:val="22"/>
          <w:szCs w:val="22"/>
        </w:rPr>
        <w:t>NRC Response:</w:t>
      </w:r>
      <w:r w:rsidRPr="00D73308">
        <w:rPr>
          <w:rFonts w:ascii="Arial" w:eastAsia="DengXian" w:hAnsi="Arial" w:cs="Arial"/>
          <w:sz w:val="22"/>
          <w:szCs w:val="22"/>
        </w:rPr>
        <w:t xml:space="preserve"> The NRC disagrees with th</w:t>
      </w:r>
      <w:r w:rsidR="00134B06">
        <w:rPr>
          <w:rFonts w:ascii="Arial" w:eastAsia="DengXian" w:hAnsi="Arial" w:cs="Arial"/>
          <w:sz w:val="22"/>
          <w:szCs w:val="22"/>
        </w:rPr>
        <w:t>e</w:t>
      </w:r>
      <w:r w:rsidRPr="00D73308">
        <w:rPr>
          <w:rFonts w:ascii="Arial" w:eastAsia="DengXian" w:hAnsi="Arial" w:cs="Arial"/>
          <w:sz w:val="22"/>
          <w:szCs w:val="22"/>
        </w:rPr>
        <w:t xml:space="preserve"> comment.</w:t>
      </w:r>
    </w:p>
    <w:p w:rsidR="006746FE" w:rsidP="00D73308" w14:paraId="54FAD68B" w14:textId="77777777">
      <w:pPr>
        <w:spacing w:after="220"/>
        <w:rPr>
          <w:rFonts w:ascii="Arial" w:eastAsia="DengXian" w:hAnsi="Arial" w:cs="Arial"/>
          <w:sz w:val="22"/>
          <w:szCs w:val="22"/>
        </w:rPr>
      </w:pPr>
      <w:r w:rsidRPr="00D73308">
        <w:rPr>
          <w:rFonts w:ascii="Arial" w:eastAsia="DengXian" w:hAnsi="Arial" w:cs="Arial"/>
          <w:sz w:val="22"/>
          <w:szCs w:val="22"/>
        </w:rPr>
        <w:t>The focus of 10 CFR Part 53 is on the requirements needed to ensure that future commercial nuclear plants are designed, constructed, and operated such that the radiological hazards will not present an undue risk to the public health and safety, and are consistent with the common defense and security. The NRC does consider potential risks to public health and safety as it develops and implements plans for the review of applications, including assigning resources and establishing schedules. The review plans are shared with applicants and discussions between the NRC staff and applicants provide opportunities to ensure risk insights are appropriately considered. Generic milestone schedules of requested activities of the Commission were developed as directed by NEIMA and are posted on the NRC’s public website. Thus, the NRC concludes that its regulatory activities are already sufficiently risk-informed</w:t>
      </w:r>
      <w:r w:rsidR="000720FB">
        <w:rPr>
          <w:rFonts w:ascii="Arial" w:eastAsia="DengXian" w:hAnsi="Arial" w:cs="Arial"/>
          <w:sz w:val="22"/>
          <w:szCs w:val="22"/>
        </w:rPr>
        <w:t>,</w:t>
      </w:r>
      <w:r w:rsidRPr="00D73308">
        <w:rPr>
          <w:rFonts w:ascii="Arial" w:eastAsia="DengXian" w:hAnsi="Arial" w:cs="Arial"/>
          <w:sz w:val="22"/>
          <w:szCs w:val="22"/>
        </w:rPr>
        <w:t xml:space="preserve"> and the addition of the comment’s suggested regulation is unnecessary. Nonetheless, the NRC will continue to explore avenues to further risk-inform its activities.</w:t>
      </w:r>
    </w:p>
    <w:p w:rsidR="003C14D3" w:rsidP="00D73308" w14:paraId="3605819E" w14:textId="77777777">
      <w:pPr>
        <w:spacing w:after="220"/>
        <w:rPr>
          <w:rFonts w:ascii="Arial" w:eastAsia="DengXian" w:hAnsi="Arial" w:cs="Arial"/>
          <w:sz w:val="22"/>
          <w:szCs w:val="22"/>
        </w:rPr>
      </w:pPr>
      <w:r w:rsidRPr="00D73308">
        <w:rPr>
          <w:rFonts w:ascii="Arial" w:eastAsia="DengXian" w:hAnsi="Arial" w:cs="Arial"/>
          <w:sz w:val="22"/>
          <w:szCs w:val="22"/>
        </w:rPr>
        <w:t xml:space="preserve">Finally, because the NRC’s guidance documents only describe methodologies that the NRC will find acceptable for meeting its regulations, the guidance documents do not impose requirements on licensees (but they may yield efficiencies in the licensing process for applicants that choose to follow them). Many of the existing guidance documents would not apply to applicants under </w:t>
      </w:r>
      <w:r w:rsidR="006746FE">
        <w:rPr>
          <w:rFonts w:ascii="Arial" w:eastAsia="DengXian" w:hAnsi="Arial" w:cs="Arial"/>
          <w:sz w:val="22"/>
          <w:szCs w:val="22"/>
        </w:rPr>
        <w:t>10 CFR </w:t>
      </w:r>
      <w:r w:rsidRPr="00D73308">
        <w:rPr>
          <w:rFonts w:ascii="Arial" w:eastAsia="DengXian" w:hAnsi="Arial" w:cs="Arial"/>
          <w:sz w:val="22"/>
          <w:szCs w:val="22"/>
        </w:rPr>
        <w:t xml:space="preserve">Part 53, but the NRC will continue to develop guidance documents for the most important areas of licensing under </w:t>
      </w:r>
      <w:r w:rsidR="006746FE">
        <w:rPr>
          <w:rFonts w:ascii="Arial" w:eastAsia="DengXian" w:hAnsi="Arial" w:cs="Arial"/>
          <w:sz w:val="22"/>
          <w:szCs w:val="22"/>
        </w:rPr>
        <w:t>10 CFR </w:t>
      </w:r>
      <w:r w:rsidRPr="00D73308">
        <w:rPr>
          <w:rFonts w:ascii="Arial" w:eastAsia="DengXian" w:hAnsi="Arial" w:cs="Arial"/>
          <w:sz w:val="22"/>
          <w:szCs w:val="22"/>
        </w:rPr>
        <w:t>Part 53 following the finalization of this rule.</w:t>
      </w:r>
    </w:p>
    <w:p w:rsidR="00B75D2A" w:rsidRPr="00D73308" w:rsidP="00D73308" w14:paraId="0C4A4C30" w14:textId="77777777">
      <w:pPr>
        <w:spacing w:after="220"/>
        <w:rPr>
          <w:rFonts w:ascii="Arial" w:eastAsia="Times New Roman" w:hAnsi="Arial" w:cs="Arial"/>
          <w:b/>
          <w:color w:val="000000"/>
          <w:sz w:val="22"/>
          <w:szCs w:val="22"/>
          <w:lang w:eastAsia="zh-CN"/>
        </w:rPr>
      </w:pPr>
      <w:r w:rsidRPr="00D73308">
        <w:rPr>
          <w:rFonts w:ascii="Arial" w:eastAsia="DengXian" w:hAnsi="Arial" w:cs="Arial"/>
          <w:sz w:val="22"/>
          <w:szCs w:val="22"/>
        </w:rPr>
        <w:t xml:space="preserve">Accordingly, the NRC did not </w:t>
      </w:r>
      <w:r w:rsidR="003C14D3">
        <w:rPr>
          <w:rFonts w:ascii="Arial" w:eastAsia="DengXian" w:hAnsi="Arial" w:cs="Arial"/>
          <w:sz w:val="22"/>
          <w:szCs w:val="22"/>
        </w:rPr>
        <w:t>change</w:t>
      </w:r>
      <w:r w:rsidRPr="00D73308">
        <w:rPr>
          <w:rFonts w:ascii="Arial" w:eastAsia="DengXian" w:hAnsi="Arial" w:cs="Arial"/>
          <w:sz w:val="22"/>
          <w:szCs w:val="22"/>
        </w:rPr>
        <w:t xml:space="preserve"> the rule language in response to this comment.</w:t>
      </w:r>
    </w:p>
    <w:p w:rsidR="00AC1417" w:rsidRPr="00D73308" w:rsidP="00D73308" w14:paraId="1959935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6" style="width:0;height:1.5pt" o:hralign="center" o:hrstd="t" o:hrnoshade="t" o:hr="t" fillcolor="black" stroked="f"/>
        </w:pict>
      </w:r>
    </w:p>
    <w:p w:rsidR="00B75D2A" w:rsidRPr="00D73308" w:rsidP="00D73308" w14:paraId="1C7682DE" w14:textId="77777777">
      <w:pPr>
        <w:spacing w:after="220"/>
        <w:rPr>
          <w:rFonts w:ascii="Arial" w:eastAsia="DengXian" w:hAnsi="Arial" w:cs="Arial"/>
          <w:sz w:val="22"/>
          <w:szCs w:val="22"/>
        </w:rPr>
      </w:pPr>
      <w:r w:rsidRPr="00D73308">
        <w:rPr>
          <w:rFonts w:ascii="Arial" w:eastAsia="Times New Roman" w:hAnsi="Arial" w:cs="Arial"/>
          <w:b/>
          <w:color w:val="000000"/>
          <w:sz w:val="22"/>
          <w:szCs w:val="22"/>
          <w:lang w:eastAsia="zh-CN"/>
        </w:rPr>
        <w:t xml:space="preserve">Comment Bin 3.1.2.C: </w:t>
      </w:r>
      <w:r w:rsidRPr="00D73308">
        <w:rPr>
          <w:rFonts w:ascii="Arial" w:eastAsia="DengXian" w:hAnsi="Arial" w:cs="Arial"/>
          <w:sz w:val="22"/>
          <w:szCs w:val="22"/>
        </w:rPr>
        <w:t xml:space="preserve">A commenter warned that proposed 10 CFR 53.110, which provides that licensees and applicants need not provide design features or other measures to protect </w:t>
      </w:r>
      <w:r w:rsidRPr="00D73308">
        <w:rPr>
          <w:rFonts w:ascii="Arial" w:eastAsia="DengXian" w:hAnsi="Arial" w:cs="Arial"/>
          <w:sz w:val="22"/>
          <w:szCs w:val="22"/>
        </w:rPr>
        <w:t>against sabotage of a facility by an enemy of the United States, appears to be inconsistent with 10 CFR Part 73, whose postulated events include a terrorist attack on a nuclear facility</w:t>
      </w:r>
      <w:r w:rsidRPr="001C4AB2">
        <w:rPr>
          <w:rFonts w:ascii="Arial" w:eastAsia="DengXian" w:hAnsi="Arial" w:cs="Arial"/>
          <w:sz w:val="22"/>
          <w:szCs w:val="22"/>
        </w:rPr>
        <w:t xml:space="preserve"> (</w:t>
      </w:r>
      <w:r w:rsidRPr="001C4AB2" w:rsidR="001C4AB2">
        <w:rPr>
          <w:rFonts w:ascii="Arial" w:eastAsia="Times New Roman" w:hAnsi="Arial" w:cs="Arial"/>
          <w:color w:val="000000"/>
          <w:sz w:val="22"/>
          <w:szCs w:val="22"/>
        </w:rPr>
        <w:t>HPT40</w:t>
      </w:r>
      <w:r w:rsidRPr="001C4AB2">
        <w:rPr>
          <w:rFonts w:ascii="Arial" w:eastAsia="DengXian" w:hAnsi="Arial" w:cs="Arial"/>
          <w:sz w:val="22"/>
          <w:szCs w:val="22"/>
        </w:rPr>
        <w:t>-</w:t>
      </w:r>
      <w:r w:rsidRPr="00D73308">
        <w:rPr>
          <w:rFonts w:ascii="Arial" w:eastAsia="DengXian" w:hAnsi="Arial" w:cs="Arial"/>
          <w:sz w:val="22"/>
          <w:szCs w:val="22"/>
        </w:rPr>
        <w:t>0002).</w:t>
      </w:r>
    </w:p>
    <w:p w:rsidR="00DB51A3" w:rsidP="00D73308" w14:paraId="098747B5" w14:textId="77777777">
      <w:pPr>
        <w:spacing w:after="220"/>
        <w:rPr>
          <w:rFonts w:ascii="Arial" w:eastAsia="DengXian" w:hAnsi="Arial" w:cs="Arial"/>
          <w:sz w:val="22"/>
          <w:szCs w:val="22"/>
        </w:rPr>
      </w:pPr>
      <w:r w:rsidRPr="00D73308">
        <w:rPr>
          <w:rFonts w:ascii="Arial" w:eastAsia="DengXian" w:hAnsi="Arial" w:cs="Arial"/>
          <w:b/>
          <w:sz w:val="22"/>
          <w:szCs w:val="22"/>
        </w:rPr>
        <w:t>NRC Response:</w:t>
      </w:r>
      <w:r w:rsidRPr="00D73308">
        <w:rPr>
          <w:rFonts w:ascii="Arial" w:eastAsia="DengXian" w:hAnsi="Arial" w:cs="Arial"/>
          <w:sz w:val="22"/>
          <w:szCs w:val="22"/>
        </w:rPr>
        <w:t xml:space="preserve"> The NRC disagrees with th</w:t>
      </w:r>
      <w:r w:rsidR="00134B06">
        <w:rPr>
          <w:rFonts w:ascii="Arial" w:eastAsia="DengXian" w:hAnsi="Arial" w:cs="Arial"/>
          <w:sz w:val="22"/>
          <w:szCs w:val="22"/>
        </w:rPr>
        <w:t>e</w:t>
      </w:r>
      <w:r w:rsidRPr="00D73308">
        <w:rPr>
          <w:rFonts w:ascii="Arial" w:eastAsia="DengXian" w:hAnsi="Arial" w:cs="Arial"/>
          <w:sz w:val="22"/>
          <w:szCs w:val="22"/>
        </w:rPr>
        <w:t xml:space="preserve"> comment.</w:t>
      </w:r>
    </w:p>
    <w:p w:rsidR="00DB51A3" w:rsidP="00D73308" w14:paraId="25D6A20E" w14:textId="77777777">
      <w:pPr>
        <w:spacing w:after="220"/>
        <w:rPr>
          <w:rFonts w:ascii="Arial" w:eastAsia="DengXian" w:hAnsi="Arial" w:cs="Arial"/>
          <w:sz w:val="22"/>
          <w:szCs w:val="22"/>
        </w:rPr>
      </w:pPr>
      <w:r w:rsidRPr="00D73308">
        <w:rPr>
          <w:rFonts w:ascii="Arial" w:eastAsia="DengXian" w:hAnsi="Arial" w:cs="Arial"/>
          <w:sz w:val="22"/>
          <w:szCs w:val="22"/>
        </w:rPr>
        <w:t>10 CFR 53.110 states that licensees and applicants are not required to provide design features or other measures for the specific purpose of protection against the effects of attacks and destructive acts by enemies of the United States directed against the facility or deployment of weapons incident to U.S. defense activities. These requirements are equivalent to those in 10</w:t>
      </w:r>
      <w:r w:rsidR="00134B06">
        <w:rPr>
          <w:rFonts w:ascii="Arial" w:eastAsia="DengXian" w:hAnsi="Arial" w:cs="Arial"/>
          <w:sz w:val="22"/>
          <w:szCs w:val="22"/>
        </w:rPr>
        <w:t> </w:t>
      </w:r>
      <w:r w:rsidRPr="00D73308">
        <w:rPr>
          <w:rFonts w:ascii="Arial" w:eastAsia="DengXian" w:hAnsi="Arial" w:cs="Arial"/>
          <w:sz w:val="22"/>
          <w:szCs w:val="22"/>
        </w:rPr>
        <w:t xml:space="preserve">CFR 50.13. These regulations are not intended to cover all malicious acts that have and continue to be addressed under 10 CFR Part 73. </w:t>
      </w:r>
    </w:p>
    <w:p w:rsidR="00B75D2A" w:rsidRPr="00D73308" w:rsidP="00D73308" w14:paraId="3613A883" w14:textId="77777777">
      <w:pPr>
        <w:spacing w:after="220"/>
        <w:rPr>
          <w:rFonts w:ascii="Arial" w:eastAsia="Times New Roman" w:hAnsi="Arial" w:cs="Arial"/>
          <w:b/>
          <w:color w:val="000000"/>
          <w:sz w:val="22"/>
          <w:szCs w:val="22"/>
          <w:lang w:eastAsia="zh-CN"/>
        </w:rPr>
      </w:pPr>
      <w:r w:rsidRPr="00D73308">
        <w:rPr>
          <w:rFonts w:ascii="Arial" w:eastAsia="DengXian" w:hAnsi="Arial" w:cs="Arial"/>
          <w:sz w:val="22"/>
          <w:szCs w:val="22"/>
        </w:rPr>
        <w:t xml:space="preserve">Accordingly, the NRC did not </w:t>
      </w:r>
      <w:r w:rsidR="00E92841">
        <w:rPr>
          <w:rFonts w:ascii="Arial" w:eastAsia="DengXian" w:hAnsi="Arial" w:cs="Arial"/>
          <w:sz w:val="22"/>
          <w:szCs w:val="22"/>
        </w:rPr>
        <w:t>change</w:t>
      </w:r>
      <w:r w:rsidRPr="00D73308">
        <w:rPr>
          <w:rFonts w:ascii="Arial" w:eastAsia="DengXian" w:hAnsi="Arial" w:cs="Arial"/>
          <w:sz w:val="22"/>
          <w:szCs w:val="22"/>
        </w:rPr>
        <w:t xml:space="preserve"> the rule language in response to this comment</w:t>
      </w:r>
      <w:r w:rsidR="00134B06">
        <w:rPr>
          <w:rFonts w:ascii="Arial" w:eastAsia="DengXian" w:hAnsi="Arial" w:cs="Arial"/>
          <w:sz w:val="22"/>
          <w:szCs w:val="22"/>
        </w:rPr>
        <w:t>.</w:t>
      </w:r>
    </w:p>
    <w:p w:rsidR="00AC1417" w:rsidRPr="00D73308" w:rsidP="00D73308" w14:paraId="2B3470A0"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067" style="width:0;height:1.5pt" o:hralign="center" o:hrstd="t" o:hrnoshade="t" o:hr="t" fillcolor="black" stroked="f"/>
        </w:pict>
      </w:r>
    </w:p>
    <w:p w:rsidR="00A22D84" w:rsidRPr="00D73308" w:rsidP="00D73308" w14:paraId="15D16519" w14:textId="77777777">
      <w:pPr>
        <w:spacing w:after="220"/>
        <w:rPr>
          <w:rFonts w:ascii="Arial" w:eastAsia="DengXian" w:hAnsi="Arial" w:cs="Arial"/>
          <w:sz w:val="22"/>
          <w:szCs w:val="22"/>
        </w:rPr>
      </w:pPr>
      <w:r w:rsidRPr="00D73308">
        <w:rPr>
          <w:rFonts w:ascii="Arial" w:eastAsia="Times New Roman" w:hAnsi="Arial" w:cs="Arial"/>
          <w:b/>
          <w:sz w:val="22"/>
          <w:szCs w:val="22"/>
          <w:lang w:eastAsia="zh-CN"/>
        </w:rPr>
        <w:t xml:space="preserve">Comment Bin 3.1.2.D: </w:t>
      </w:r>
      <w:r w:rsidRPr="00D73308">
        <w:rPr>
          <w:rFonts w:ascii="Arial" w:eastAsia="DengXian" w:hAnsi="Arial" w:cs="Arial"/>
          <w:sz w:val="22"/>
          <w:szCs w:val="22"/>
        </w:rPr>
        <w:t>To clarify that the rule includes various technologies, a commenter suggested the NRC may issue supplemental guidance to address technology-specific considerations, as long as that guidance does not impose prescriptive requirements inconsistent with the objectives of 10 CFR 53.210 (</w:t>
      </w:r>
      <w:r w:rsidR="004C1A5D">
        <w:rPr>
          <w:rFonts w:ascii="Arial" w:eastAsia="DengXian" w:hAnsi="Arial" w:cs="Arial"/>
          <w:sz w:val="22"/>
          <w:szCs w:val="22"/>
        </w:rPr>
        <w:t>BI1</w:t>
      </w:r>
      <w:r w:rsidRPr="00D73308">
        <w:rPr>
          <w:rFonts w:ascii="Arial" w:eastAsia="DengXian" w:hAnsi="Arial" w:cs="Arial"/>
          <w:sz w:val="22"/>
          <w:szCs w:val="22"/>
        </w:rPr>
        <w:t>-0017).</w:t>
      </w:r>
    </w:p>
    <w:p w:rsidR="00E62A1B" w:rsidP="00D73308" w14:paraId="1D2021B0" w14:textId="77777777">
      <w:pPr>
        <w:spacing w:after="220"/>
        <w:rPr>
          <w:rFonts w:ascii="Arial" w:hAnsi="Arial" w:cs="Arial"/>
          <w:sz w:val="22"/>
          <w:szCs w:val="22"/>
        </w:rPr>
      </w:pPr>
      <w:r w:rsidRPr="00D73308">
        <w:rPr>
          <w:rFonts w:ascii="Arial" w:eastAsia="DengXian" w:hAnsi="Arial" w:cs="Arial"/>
          <w:b/>
          <w:sz w:val="22"/>
          <w:szCs w:val="22"/>
        </w:rPr>
        <w:t>NRC Response:</w:t>
      </w:r>
      <w:r w:rsidRPr="00D73308">
        <w:rPr>
          <w:rFonts w:ascii="Arial" w:eastAsia="DengXian" w:hAnsi="Arial" w:cs="Arial"/>
          <w:sz w:val="22"/>
          <w:szCs w:val="22"/>
        </w:rPr>
        <w:t xml:space="preserve"> The NRC agrees with th</w:t>
      </w:r>
      <w:r w:rsidR="00134B06">
        <w:rPr>
          <w:rFonts w:ascii="Arial" w:eastAsia="DengXian" w:hAnsi="Arial" w:cs="Arial"/>
          <w:sz w:val="22"/>
          <w:szCs w:val="22"/>
        </w:rPr>
        <w:t>e</w:t>
      </w:r>
      <w:r w:rsidRPr="00D73308">
        <w:rPr>
          <w:rFonts w:ascii="Arial" w:eastAsia="DengXian" w:hAnsi="Arial" w:cs="Arial"/>
          <w:sz w:val="22"/>
          <w:szCs w:val="22"/>
        </w:rPr>
        <w:t xml:space="preserve"> comment</w:t>
      </w:r>
      <w:r w:rsidRPr="00D73308">
        <w:rPr>
          <w:rFonts w:ascii="Arial" w:hAnsi="Arial" w:cs="Arial"/>
          <w:sz w:val="22"/>
          <w:szCs w:val="22"/>
        </w:rPr>
        <w:t>.</w:t>
      </w:r>
    </w:p>
    <w:p w:rsidR="00882BE3" w:rsidRPr="00D73308" w:rsidP="00D73308" w14:paraId="74B919DA" w14:textId="77777777">
      <w:pPr>
        <w:spacing w:after="220"/>
        <w:rPr>
          <w:rFonts w:ascii="Arial" w:eastAsia="DengXian" w:hAnsi="Arial" w:cs="Arial"/>
          <w:sz w:val="22"/>
          <w:szCs w:val="22"/>
        </w:rPr>
      </w:pPr>
      <w:r w:rsidRPr="00D73308">
        <w:rPr>
          <w:rFonts w:ascii="Arial" w:eastAsia="DengXian" w:hAnsi="Arial" w:cs="Arial"/>
          <w:sz w:val="22"/>
          <w:szCs w:val="22"/>
        </w:rPr>
        <w:t>The NRC agrees that it may be prudent for future guidance documents to address technology-specific considerations and will consider developing such guidance</w:t>
      </w:r>
      <w:r w:rsidR="00A763A1">
        <w:rPr>
          <w:rFonts w:ascii="Arial" w:eastAsia="DengXian" w:hAnsi="Arial" w:cs="Arial"/>
          <w:sz w:val="22"/>
          <w:szCs w:val="22"/>
        </w:rPr>
        <w:t>,</w:t>
      </w:r>
      <w:r w:rsidRPr="00D73308">
        <w:rPr>
          <w:rFonts w:ascii="Arial" w:eastAsia="DengXian" w:hAnsi="Arial" w:cs="Arial"/>
          <w:sz w:val="22"/>
          <w:szCs w:val="22"/>
        </w:rPr>
        <w:t xml:space="preserve"> as warranted. As with all NRC guidance, such guidance documents would not impose requirements but only provide methodologies the </w:t>
      </w:r>
      <w:r w:rsidR="00A763A1">
        <w:rPr>
          <w:rFonts w:ascii="Arial" w:eastAsia="DengXian" w:hAnsi="Arial" w:cs="Arial"/>
          <w:sz w:val="22"/>
          <w:szCs w:val="22"/>
        </w:rPr>
        <w:t>NRC</w:t>
      </w:r>
      <w:r w:rsidRPr="00D73308">
        <w:rPr>
          <w:rFonts w:ascii="Arial" w:eastAsia="DengXian" w:hAnsi="Arial" w:cs="Arial"/>
          <w:sz w:val="22"/>
          <w:szCs w:val="22"/>
        </w:rPr>
        <w:t xml:space="preserve"> finds acceptable for meeting the NRC’s regulations.</w:t>
      </w:r>
    </w:p>
    <w:p w:rsidR="00A22D84" w:rsidRPr="00D73308" w:rsidP="00D73308" w14:paraId="7C21B3E2" w14:textId="77777777">
      <w:pPr>
        <w:spacing w:after="220"/>
        <w:rPr>
          <w:rFonts w:ascii="Arial" w:eastAsia="Times New Roman" w:hAnsi="Arial" w:cs="Arial"/>
          <w:b/>
          <w:color w:val="000000"/>
          <w:sz w:val="22"/>
          <w:szCs w:val="22"/>
          <w:lang w:eastAsia="zh-CN"/>
        </w:rPr>
      </w:pPr>
      <w:r w:rsidRPr="00D73308">
        <w:rPr>
          <w:rFonts w:ascii="Arial" w:eastAsia="DengXian" w:hAnsi="Arial" w:cs="Arial"/>
          <w:sz w:val="22"/>
          <w:szCs w:val="22"/>
        </w:rPr>
        <w:t xml:space="preserve">Accordingly, the NRC did not </w:t>
      </w:r>
      <w:r w:rsidR="00E62A1B">
        <w:rPr>
          <w:rFonts w:ascii="Arial" w:eastAsia="DengXian" w:hAnsi="Arial" w:cs="Arial"/>
          <w:sz w:val="22"/>
          <w:szCs w:val="22"/>
        </w:rPr>
        <w:t>change</w:t>
      </w:r>
      <w:r w:rsidRPr="00D73308">
        <w:rPr>
          <w:rFonts w:ascii="Arial" w:eastAsia="DengXian" w:hAnsi="Arial" w:cs="Arial"/>
          <w:sz w:val="22"/>
          <w:szCs w:val="22"/>
        </w:rPr>
        <w:t xml:space="preserve"> the rule language in response to this comment.</w:t>
      </w:r>
    </w:p>
    <w:p w:rsidR="000E5B49" w:rsidP="00D73308" w14:paraId="33FED053" w14:textId="77777777">
      <w:pPr>
        <w:spacing w:after="220"/>
        <w:rPr>
          <w:rFonts w:ascii="Arial" w:eastAsia="Times New Roman" w:hAnsi="Arial" w:cs="Arial"/>
          <w:lang w:eastAsia="zh-CN"/>
        </w:rPr>
      </w:pPr>
      <w:r>
        <w:rPr>
          <w:rFonts w:ascii="Arial" w:hAnsi="Arial" w:cs="Arial"/>
        </w:rPr>
        <w:pict>
          <v:rect id="_x0000_i1068" style="width:0;height:1.5pt" o:hralign="center" o:hrstd="t" o:hrnoshade="t" o:hr="t" fillcolor="black" stroked="f"/>
        </w:pict>
      </w:r>
    </w:p>
    <w:p w:rsidR="00271122" w:rsidRPr="008C696B" w:rsidP="00AE4747" w14:paraId="518AD74B" w14:textId="77777777">
      <w:pPr>
        <w:pStyle w:val="Heading2"/>
        <w:numPr>
          <w:ilvl w:val="0"/>
          <w:numId w:val="0"/>
        </w:numPr>
        <w:ind w:left="720" w:hanging="720"/>
      </w:pPr>
      <w:bookmarkStart w:id="20" w:name="_Toc207222803"/>
      <w:r w:rsidRPr="00AE4747">
        <w:rPr>
          <w:u w:val="none"/>
        </w:rPr>
        <w:t>3.2.</w:t>
      </w:r>
      <w:r w:rsidRPr="00AE4747">
        <w:rPr>
          <w:u w:val="none"/>
        </w:rPr>
        <w:tab/>
      </w:r>
      <w:r w:rsidRPr="001B7FA3" w:rsidR="001B7FA3">
        <w:t>Subpart B: Technology-Inclusive Safety Requirements (§§ 53.210-53.270)</w:t>
      </w:r>
      <w:bookmarkStart w:id="21" w:name="_Toc205379980"/>
      <w:bookmarkStart w:id="22" w:name="_Toc205379979"/>
      <w:bookmarkEnd w:id="20"/>
      <w:bookmarkEnd w:id="21"/>
      <w:bookmarkEnd w:id="22"/>
    </w:p>
    <w:p w:rsidR="00B0522F" w:rsidRPr="007D78E7" w:rsidP="00C45037" w14:paraId="56723B9A" w14:textId="77777777">
      <w:pPr>
        <w:pStyle w:val="Heading3"/>
        <w:numPr>
          <w:ilvl w:val="0"/>
          <w:numId w:val="0"/>
        </w:numPr>
      </w:pPr>
      <w:bookmarkStart w:id="23" w:name="_Toc207222804"/>
      <w:r w:rsidRPr="00C45037">
        <w:rPr>
          <w:u w:val="none"/>
        </w:rPr>
        <w:t>3.2.1.</w:t>
      </w:r>
      <w:r w:rsidRPr="00C45037">
        <w:rPr>
          <w:u w:val="none"/>
        </w:rPr>
        <w:tab/>
      </w:r>
      <w:r w:rsidRPr="00C21AF1" w:rsidR="001B7FA3">
        <w:t>Safety criteria (§§ 53.210-53.220)</w:t>
      </w:r>
      <w:bookmarkStart w:id="24" w:name="_Toc205379984"/>
      <w:bookmarkStart w:id="25" w:name="_Toc205379982"/>
      <w:bookmarkStart w:id="26" w:name="_Toc205379983"/>
      <w:bookmarkEnd w:id="23"/>
      <w:bookmarkEnd w:id="24"/>
      <w:bookmarkEnd w:id="25"/>
      <w:bookmarkEnd w:id="26"/>
    </w:p>
    <w:p w:rsidR="005E6E6E" w:rsidRPr="001230E9" w:rsidP="003679BD" w14:paraId="7765573D" w14:textId="77777777">
      <w:pPr>
        <w:pStyle w:val="Heading4"/>
      </w:pPr>
      <w:r w:rsidRPr="008A7CB7">
        <w:rPr>
          <w:u w:val="none"/>
        </w:rPr>
        <w:t>3.2.1.1.</w:t>
      </w:r>
      <w:r w:rsidRPr="008A7CB7">
        <w:rPr>
          <w:u w:val="none"/>
        </w:rPr>
        <w:tab/>
      </w:r>
      <w:r w:rsidRPr="002A06B1">
        <w:t>General comments on safety criteria and analysis of DBAs or LBEs other than DBAs</w:t>
      </w:r>
    </w:p>
    <w:p w:rsidR="000443B8" w:rsidRPr="00436234" w:rsidP="00436234" w14:paraId="05D0A644" w14:textId="77777777">
      <w:pPr>
        <w:spacing w:after="220"/>
        <w:rPr>
          <w:rFonts w:ascii="Arial" w:hAnsi="Arial" w:cs="Arial"/>
          <w:sz w:val="22"/>
          <w:szCs w:val="22"/>
        </w:rPr>
      </w:pPr>
      <w:r w:rsidRPr="00436234">
        <w:rPr>
          <w:rFonts w:ascii="Arial" w:hAnsi="Arial" w:cs="Arial"/>
          <w:b/>
          <w:sz w:val="22"/>
          <w:szCs w:val="22"/>
        </w:rPr>
        <w:t xml:space="preserve">Comment Bin </w:t>
      </w:r>
      <w:r w:rsidRPr="00436234" w:rsidR="00AD539C">
        <w:rPr>
          <w:rFonts w:ascii="Arial" w:hAnsi="Arial" w:cs="Arial"/>
          <w:b/>
          <w:sz w:val="22"/>
          <w:szCs w:val="22"/>
        </w:rPr>
        <w:t>3.2.1.1.A:</w:t>
      </w:r>
      <w:r w:rsidRPr="00436234" w:rsidR="00AD539C">
        <w:rPr>
          <w:rFonts w:ascii="Arial" w:hAnsi="Arial" w:cs="Arial"/>
          <w:sz w:val="22"/>
          <w:szCs w:val="22"/>
        </w:rPr>
        <w:t xml:space="preserve"> A commenter wrote that 10 CFR 53.210 departs significantly from 10 CFR Part 50 because defining safety</w:t>
      </w:r>
      <w:r w:rsidR="00C616F5">
        <w:rPr>
          <w:rFonts w:ascii="Arial" w:hAnsi="Arial" w:cs="Arial"/>
          <w:sz w:val="22"/>
          <w:szCs w:val="22"/>
        </w:rPr>
        <w:noBreakHyphen/>
      </w:r>
      <w:r w:rsidRPr="00436234" w:rsidR="00AD539C">
        <w:rPr>
          <w:rFonts w:ascii="Arial" w:hAnsi="Arial" w:cs="Arial"/>
          <w:sz w:val="22"/>
          <w:szCs w:val="22"/>
        </w:rPr>
        <w:t>related items as pressure boundaries preventing radiation release is “no longer in-play.” The commenter wrote that both approaches, analyzing design</w:t>
      </w:r>
      <w:r w:rsidR="008C4102">
        <w:rPr>
          <w:rFonts w:ascii="Arial" w:hAnsi="Arial" w:cs="Arial"/>
          <w:sz w:val="22"/>
          <w:szCs w:val="22"/>
        </w:rPr>
        <w:t>-</w:t>
      </w:r>
      <w:r w:rsidRPr="00436234" w:rsidR="00AD539C">
        <w:rPr>
          <w:rFonts w:ascii="Arial" w:hAnsi="Arial" w:cs="Arial"/>
          <w:sz w:val="22"/>
          <w:szCs w:val="22"/>
        </w:rPr>
        <w:t xml:space="preserve">basis accidents under </w:t>
      </w:r>
      <w:r w:rsidR="00976FD9">
        <w:rPr>
          <w:rFonts w:ascii="Arial" w:hAnsi="Arial" w:cs="Arial"/>
          <w:sz w:val="22"/>
          <w:szCs w:val="22"/>
        </w:rPr>
        <w:t xml:space="preserve">10 CFR </w:t>
      </w:r>
      <w:r w:rsidRPr="00436234" w:rsidR="00AD539C">
        <w:rPr>
          <w:rFonts w:ascii="Arial" w:hAnsi="Arial" w:cs="Arial"/>
          <w:sz w:val="22"/>
          <w:szCs w:val="22"/>
        </w:rPr>
        <w:t>Part 50 and 10 CFR 53.210, share a key metric of 25</w:t>
      </w:r>
      <w:r w:rsidR="00F40E6E">
        <w:rPr>
          <w:rFonts w:ascii="Arial" w:hAnsi="Arial" w:cs="Arial"/>
          <w:sz w:val="22"/>
          <w:szCs w:val="22"/>
        </w:rPr>
        <w:t> </w:t>
      </w:r>
      <w:r w:rsidRPr="00436234" w:rsidR="00AD539C">
        <w:rPr>
          <w:rFonts w:ascii="Arial" w:hAnsi="Arial" w:cs="Arial"/>
          <w:sz w:val="22"/>
          <w:szCs w:val="22"/>
        </w:rPr>
        <w:t>rem event dose over two hours; but the commenter observed there is no clear acceptance criteria for the frequency of events under 10 CFR Part 53. The commenter said this will cause confusion and burden applicants with unnecessary costs. The commenter added that they are unclear why the proposed rule complicates regulations by using DBAs and the LBE term of 10</w:t>
      </w:r>
      <w:r w:rsidR="00F40E6E">
        <w:rPr>
          <w:rFonts w:ascii="Arial" w:hAnsi="Arial" w:cs="Arial"/>
          <w:sz w:val="22"/>
          <w:szCs w:val="22"/>
        </w:rPr>
        <w:t> </w:t>
      </w:r>
      <w:r w:rsidRPr="00436234" w:rsidR="00AD539C">
        <w:rPr>
          <w:rFonts w:ascii="Arial" w:hAnsi="Arial" w:cs="Arial"/>
          <w:sz w:val="22"/>
          <w:szCs w:val="22"/>
        </w:rPr>
        <w:t>CFR</w:t>
      </w:r>
      <w:r w:rsidR="00F40E6E">
        <w:rPr>
          <w:rFonts w:ascii="Arial" w:hAnsi="Arial" w:cs="Arial"/>
          <w:sz w:val="22"/>
          <w:szCs w:val="22"/>
        </w:rPr>
        <w:t> </w:t>
      </w:r>
      <w:r w:rsidRPr="00436234" w:rsidR="00AD539C">
        <w:rPr>
          <w:rFonts w:ascii="Arial" w:hAnsi="Arial" w:cs="Arial"/>
          <w:sz w:val="22"/>
          <w:szCs w:val="22"/>
        </w:rPr>
        <w:t xml:space="preserve">53.240 as both end up safety related. The commenter wrote that the proposed rule does not include any definitive acceptance criteria and that a dose without identification of frequency cannot be used to establish risk, which contradicts NEIMA. The commenter wrote that the absence of acceptance criteria exposes the applicant to financial costs and is potentially arbitrary in nature. The commenter recommended a revised definition for safety related (see Section 3.1.1). The </w:t>
      </w:r>
      <w:r w:rsidRPr="00436234" w:rsidR="00AD539C">
        <w:rPr>
          <w:rFonts w:ascii="Arial" w:hAnsi="Arial" w:cs="Arial"/>
          <w:sz w:val="22"/>
          <w:szCs w:val="22"/>
        </w:rPr>
        <w:t>commenter wrote that a 25 rem dose and 10</w:t>
      </w:r>
      <w:r w:rsidRPr="00436234" w:rsidR="00AD539C">
        <w:rPr>
          <w:rFonts w:ascii="Arial" w:hAnsi="Arial" w:cs="Arial"/>
          <w:sz w:val="22"/>
          <w:szCs w:val="22"/>
          <w:vertAlign w:val="superscript"/>
        </w:rPr>
        <w:t>-4</w:t>
      </w:r>
      <w:r w:rsidRPr="00436234" w:rsidR="00AD539C">
        <w:rPr>
          <w:rFonts w:ascii="Arial" w:hAnsi="Arial" w:cs="Arial"/>
          <w:sz w:val="22"/>
          <w:szCs w:val="22"/>
        </w:rPr>
        <w:t xml:space="preserve"> frequency demonstrates low public risk and constitutes a suitable regulatory acceptance criteria. The commenter also wrote that meaningful risk must involve frequency or likelihood, and while various NRC guidance documents provide target event frequencies, guidance cannot be used to codify requirements (</w:t>
      </w:r>
      <w:r w:rsidR="00B05077">
        <w:rPr>
          <w:rFonts w:ascii="Arial" w:hAnsi="Arial" w:cs="Arial"/>
          <w:sz w:val="22"/>
          <w:szCs w:val="22"/>
        </w:rPr>
        <w:t>HPT5</w:t>
      </w:r>
      <w:r w:rsidRPr="00436234" w:rsidR="00AD539C">
        <w:rPr>
          <w:rFonts w:ascii="Arial" w:hAnsi="Arial" w:cs="Arial"/>
          <w:sz w:val="22"/>
          <w:szCs w:val="22"/>
        </w:rPr>
        <w:t xml:space="preserve">-0001, </w:t>
      </w:r>
      <w:r w:rsidR="00B05077">
        <w:rPr>
          <w:rFonts w:ascii="Arial" w:hAnsi="Arial" w:cs="Arial"/>
          <w:sz w:val="22"/>
          <w:szCs w:val="22"/>
        </w:rPr>
        <w:t>HPT5</w:t>
      </w:r>
      <w:r w:rsidRPr="00436234" w:rsidR="00AD539C">
        <w:rPr>
          <w:rFonts w:ascii="Arial" w:hAnsi="Arial" w:cs="Arial"/>
          <w:sz w:val="22"/>
          <w:szCs w:val="22"/>
        </w:rPr>
        <w:t>-0002).</w:t>
      </w:r>
    </w:p>
    <w:p w:rsidR="00103C48" w:rsidP="00436234" w14:paraId="30872FC8"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xml:space="preserve"> The NRC disagrees with the comments. </w:t>
      </w:r>
    </w:p>
    <w:p w:rsidR="00AD539C" w:rsidRPr="00436234" w:rsidP="00436234" w14:paraId="4D40E485" w14:textId="77777777">
      <w:pPr>
        <w:spacing w:after="220"/>
        <w:rPr>
          <w:rFonts w:ascii="Arial" w:hAnsi="Arial" w:cs="Arial"/>
          <w:sz w:val="22"/>
          <w:szCs w:val="22"/>
        </w:rPr>
      </w:pPr>
      <w:r w:rsidRPr="00436234">
        <w:rPr>
          <w:rFonts w:ascii="Arial" w:hAnsi="Arial" w:cs="Arial"/>
          <w:sz w:val="22"/>
          <w:szCs w:val="22"/>
        </w:rPr>
        <w:t>10 CFR Part 53 is based on a performance-based methodology and an overall hierarchy that covers: (1) plant-level safety criteria; (2) safety functions needed to demonstrate compliance with the safety criteria; (3) design features, human actions, and programmatic controls needed to fulfill the safety functions; and (4) functional design criteria defined for each design feature relied on to demonstrate the safety criteria are met. As a result, this construct provides considerable design flexibility but does not preclude particular design features or related functional design requirements such as those traditionally defined for the reactor coolant pressure boundary for light-water reactors. Consequently, the flexible licensing approach in Part</w:t>
      </w:r>
      <w:r w:rsidR="00F40E6E">
        <w:rPr>
          <w:rFonts w:ascii="Arial" w:hAnsi="Arial" w:cs="Arial"/>
          <w:sz w:val="22"/>
          <w:szCs w:val="22"/>
        </w:rPr>
        <w:t> </w:t>
      </w:r>
      <w:r w:rsidRPr="00436234">
        <w:rPr>
          <w:rFonts w:ascii="Arial" w:hAnsi="Arial" w:cs="Arial"/>
          <w:sz w:val="22"/>
          <w:szCs w:val="22"/>
        </w:rPr>
        <w:t>53 provides the applicant with the option to utilize components like pressure boundaries or select an alternate approach that provides an equivalent level of safety. While this approach provides greater flexibility than the NRC’s existing regulations, it also provides a sufficient acceptance criteria in 10 CFR 53.210.</w:t>
      </w:r>
    </w:p>
    <w:p w:rsidR="00AD539C" w:rsidRPr="00436234" w:rsidP="00436234" w14:paraId="4D8BAC7D" w14:textId="77777777">
      <w:pPr>
        <w:spacing w:after="220"/>
        <w:rPr>
          <w:rFonts w:ascii="Arial" w:hAnsi="Arial" w:cs="Arial"/>
          <w:sz w:val="22"/>
          <w:szCs w:val="22"/>
        </w:rPr>
      </w:pPr>
      <w:r w:rsidRPr="00436234">
        <w:rPr>
          <w:rFonts w:ascii="Arial" w:hAnsi="Arial" w:cs="Arial"/>
          <w:sz w:val="22"/>
          <w:szCs w:val="22"/>
        </w:rPr>
        <w:t>Part 53 meets NEIMA’s requirement to provide a risk-informed licensing approach by complementing the analysis of design</w:t>
      </w:r>
      <w:r w:rsidR="008C4102">
        <w:rPr>
          <w:rFonts w:ascii="Arial" w:hAnsi="Arial" w:cs="Arial"/>
          <w:sz w:val="22"/>
          <w:szCs w:val="22"/>
        </w:rPr>
        <w:t>-</w:t>
      </w:r>
      <w:r w:rsidRPr="00436234">
        <w:rPr>
          <w:rFonts w:ascii="Arial" w:hAnsi="Arial" w:cs="Arial"/>
          <w:sz w:val="22"/>
          <w:szCs w:val="22"/>
        </w:rPr>
        <w:t xml:space="preserve">basis accidents with a risk assessment of other </w:t>
      </w:r>
      <w:r w:rsidR="00B11A84">
        <w:rPr>
          <w:rFonts w:ascii="Arial" w:hAnsi="Arial" w:cs="Arial"/>
          <w:sz w:val="22"/>
          <w:szCs w:val="22"/>
        </w:rPr>
        <w:t>licensing</w:t>
      </w:r>
      <w:r w:rsidR="00113FE3">
        <w:rPr>
          <w:rFonts w:ascii="Arial" w:hAnsi="Arial" w:cs="Arial"/>
          <w:sz w:val="22"/>
          <w:szCs w:val="22"/>
        </w:rPr>
        <w:noBreakHyphen/>
      </w:r>
      <w:r w:rsidR="00B11A84">
        <w:rPr>
          <w:rFonts w:ascii="Arial" w:hAnsi="Arial" w:cs="Arial"/>
          <w:sz w:val="22"/>
          <w:szCs w:val="22"/>
        </w:rPr>
        <w:t>basis event</w:t>
      </w:r>
      <w:r w:rsidRPr="00436234">
        <w:rPr>
          <w:rFonts w:ascii="Arial" w:hAnsi="Arial" w:cs="Arial"/>
          <w:sz w:val="22"/>
          <w:szCs w:val="22"/>
        </w:rPr>
        <w:t>s. The frequency of event sequences making up licensing</w:t>
      </w:r>
      <w:r w:rsidR="00113FE3">
        <w:rPr>
          <w:rFonts w:ascii="Arial" w:hAnsi="Arial" w:cs="Arial"/>
          <w:sz w:val="22"/>
          <w:szCs w:val="22"/>
        </w:rPr>
        <w:noBreakHyphen/>
      </w:r>
      <w:r w:rsidRPr="00436234">
        <w:rPr>
          <w:rFonts w:ascii="Arial" w:hAnsi="Arial" w:cs="Arial"/>
          <w:sz w:val="22"/>
          <w:szCs w:val="22"/>
        </w:rPr>
        <w:t>basis events other than design</w:t>
      </w:r>
      <w:r w:rsidR="008C4102">
        <w:rPr>
          <w:rFonts w:ascii="Arial" w:hAnsi="Arial" w:cs="Arial"/>
          <w:sz w:val="22"/>
          <w:szCs w:val="22"/>
        </w:rPr>
        <w:t>-</w:t>
      </w:r>
      <w:r w:rsidRPr="00436234">
        <w:rPr>
          <w:rFonts w:ascii="Arial" w:hAnsi="Arial" w:cs="Arial"/>
          <w:sz w:val="22"/>
          <w:szCs w:val="22"/>
        </w:rPr>
        <w:t>basis accidents is addressed through the requirement in 10 CFR</w:t>
      </w:r>
      <w:r w:rsidR="00F40E6E">
        <w:rPr>
          <w:rFonts w:ascii="Arial" w:hAnsi="Arial" w:cs="Arial"/>
          <w:sz w:val="22"/>
          <w:szCs w:val="22"/>
        </w:rPr>
        <w:t> </w:t>
      </w:r>
      <w:r w:rsidRPr="00436234">
        <w:rPr>
          <w:rFonts w:ascii="Arial" w:hAnsi="Arial" w:cs="Arial"/>
          <w:sz w:val="22"/>
          <w:szCs w:val="22"/>
        </w:rPr>
        <w:t>53.450(e) for applicants and licensees to define evaluation criteria for each event or specific categories of LBEs to determine the acceptability of the plant response to the challenges posed by internal and external hazards to provide an appropriate level of safety. The requirements related to design</w:t>
      </w:r>
      <w:r w:rsidR="008C4102">
        <w:rPr>
          <w:rFonts w:ascii="Arial" w:hAnsi="Arial" w:cs="Arial"/>
          <w:sz w:val="22"/>
          <w:szCs w:val="22"/>
        </w:rPr>
        <w:t>-</w:t>
      </w:r>
      <w:r w:rsidRPr="00436234">
        <w:rPr>
          <w:rFonts w:ascii="Arial" w:hAnsi="Arial" w:cs="Arial"/>
          <w:sz w:val="22"/>
          <w:szCs w:val="22"/>
        </w:rPr>
        <w:t xml:space="preserve">basis accidents </w:t>
      </w:r>
      <w:r w:rsidR="00D0309E">
        <w:rPr>
          <w:rFonts w:ascii="Arial" w:hAnsi="Arial" w:cs="Arial"/>
          <w:sz w:val="22"/>
          <w:szCs w:val="22"/>
        </w:rPr>
        <w:t>in</w:t>
      </w:r>
      <w:r w:rsidRPr="00436234">
        <w:rPr>
          <w:rFonts w:ascii="Arial" w:hAnsi="Arial" w:cs="Arial"/>
          <w:sz w:val="22"/>
          <w:szCs w:val="22"/>
        </w:rPr>
        <w:t xml:space="preserve"> 10 CFR 53.450(f) are defined in terms of a deterministic approach to address challenges to safety functions and therefore are not characterized in terms of event frequency. Additionally, rather than provide competing requirements for design</w:t>
      </w:r>
      <w:r w:rsidR="008C4102">
        <w:rPr>
          <w:rFonts w:ascii="Arial" w:hAnsi="Arial" w:cs="Arial"/>
          <w:sz w:val="22"/>
          <w:szCs w:val="22"/>
        </w:rPr>
        <w:t>-</w:t>
      </w:r>
      <w:r w:rsidRPr="00436234">
        <w:rPr>
          <w:rFonts w:ascii="Arial" w:hAnsi="Arial" w:cs="Arial"/>
          <w:sz w:val="22"/>
          <w:szCs w:val="22"/>
        </w:rPr>
        <w:t xml:space="preserve">basis accidents, 10 CFR 53.210 and </w:t>
      </w:r>
      <w:r w:rsidR="00103C48">
        <w:rPr>
          <w:rFonts w:ascii="Arial" w:hAnsi="Arial" w:cs="Arial"/>
          <w:sz w:val="22"/>
          <w:szCs w:val="22"/>
        </w:rPr>
        <w:t xml:space="preserve">10 CFR </w:t>
      </w:r>
      <w:r w:rsidRPr="00436234">
        <w:rPr>
          <w:rFonts w:ascii="Arial" w:hAnsi="Arial" w:cs="Arial"/>
          <w:sz w:val="22"/>
          <w:szCs w:val="22"/>
        </w:rPr>
        <w:t>53.240 describe the criteria for design</w:t>
      </w:r>
      <w:r w:rsidR="008C4102">
        <w:rPr>
          <w:rFonts w:ascii="Arial" w:hAnsi="Arial" w:cs="Arial"/>
          <w:sz w:val="22"/>
          <w:szCs w:val="22"/>
        </w:rPr>
        <w:t>-</w:t>
      </w:r>
      <w:r w:rsidRPr="00436234">
        <w:rPr>
          <w:rFonts w:ascii="Arial" w:hAnsi="Arial" w:cs="Arial"/>
          <w:sz w:val="22"/>
          <w:szCs w:val="22"/>
        </w:rPr>
        <w:t>basis accidents and how applicants should analyze them, respectively. The requirements in 10 CFR Part 53 include defining special treatments for both SR and NSRSS SSCs but also distinguish between the safety categories and define specific requirements (e.g., quality assurance) for SR SSCs.</w:t>
      </w:r>
    </w:p>
    <w:p w:rsidR="00AD539C" w:rsidRPr="00436234" w:rsidP="00436234" w14:paraId="02652004" w14:textId="77777777">
      <w:pPr>
        <w:spacing w:after="220"/>
        <w:rPr>
          <w:rFonts w:ascii="Arial" w:hAnsi="Arial" w:cs="Arial"/>
          <w:sz w:val="22"/>
          <w:szCs w:val="22"/>
        </w:rPr>
      </w:pPr>
      <w:r w:rsidRPr="00436234">
        <w:rPr>
          <w:rFonts w:ascii="Arial" w:hAnsi="Arial" w:cs="Arial"/>
          <w:sz w:val="22"/>
          <w:szCs w:val="22"/>
        </w:rPr>
        <w:t xml:space="preserve">To the degree that an applicant prefers deterministic approaches such as those in Appendix A, “General Design Criteria for Nuclear Power Plants,” to 10 CFR Part 50 and the related analyses methodologies for postulated accidents, the applicant may still use 10 CFR Part 50 and </w:t>
      </w:r>
      <w:r w:rsidR="00103C48">
        <w:rPr>
          <w:rFonts w:ascii="Arial" w:hAnsi="Arial" w:cs="Arial"/>
          <w:sz w:val="22"/>
          <w:szCs w:val="22"/>
        </w:rPr>
        <w:t>10</w:t>
      </w:r>
      <w:r w:rsidR="00F40E6E">
        <w:rPr>
          <w:rFonts w:ascii="Arial" w:hAnsi="Arial" w:cs="Arial"/>
          <w:sz w:val="22"/>
          <w:szCs w:val="22"/>
        </w:rPr>
        <w:t> </w:t>
      </w:r>
      <w:r w:rsidR="00103C48">
        <w:rPr>
          <w:rFonts w:ascii="Arial" w:hAnsi="Arial" w:cs="Arial"/>
          <w:sz w:val="22"/>
          <w:szCs w:val="22"/>
        </w:rPr>
        <w:t>CFR</w:t>
      </w:r>
      <w:r w:rsidR="00F40E6E">
        <w:rPr>
          <w:rFonts w:ascii="Arial" w:hAnsi="Arial" w:cs="Arial"/>
          <w:sz w:val="22"/>
          <w:szCs w:val="22"/>
        </w:rPr>
        <w:t> </w:t>
      </w:r>
      <w:r w:rsidR="00103C48">
        <w:rPr>
          <w:rFonts w:ascii="Arial" w:hAnsi="Arial" w:cs="Arial"/>
          <w:sz w:val="22"/>
          <w:szCs w:val="22"/>
        </w:rPr>
        <w:t xml:space="preserve">Part </w:t>
      </w:r>
      <w:r w:rsidRPr="00436234">
        <w:rPr>
          <w:rFonts w:ascii="Arial" w:hAnsi="Arial" w:cs="Arial"/>
          <w:sz w:val="22"/>
          <w:szCs w:val="22"/>
        </w:rPr>
        <w:t>52. 10 CFR Part 53 provides an optional alternative using more risk-informed and performance-based approaches for the design, licensing, and operation of commercial nuclear plants.</w:t>
      </w:r>
    </w:p>
    <w:p w:rsidR="00AD539C" w:rsidRPr="00436234" w:rsidP="00436234" w14:paraId="7C89DC71" w14:textId="77777777">
      <w:pPr>
        <w:spacing w:after="220"/>
        <w:rPr>
          <w:rFonts w:ascii="Arial" w:hAnsi="Arial" w:cs="Arial"/>
          <w:b/>
          <w:sz w:val="22"/>
          <w:szCs w:val="22"/>
        </w:rPr>
      </w:pPr>
      <w:r w:rsidRPr="00436234">
        <w:rPr>
          <w:rFonts w:ascii="Arial" w:hAnsi="Arial" w:cs="Arial"/>
          <w:sz w:val="22"/>
          <w:szCs w:val="22"/>
        </w:rPr>
        <w:t xml:space="preserve">Accordingly, the NRC did not </w:t>
      </w:r>
      <w:r w:rsidR="0010693C">
        <w:rPr>
          <w:rFonts w:ascii="Arial" w:hAnsi="Arial" w:cs="Arial"/>
          <w:sz w:val="22"/>
          <w:szCs w:val="22"/>
        </w:rPr>
        <w:t>change</w:t>
      </w:r>
      <w:r w:rsidRPr="00436234">
        <w:rPr>
          <w:rFonts w:ascii="Arial" w:hAnsi="Arial" w:cs="Arial"/>
          <w:sz w:val="22"/>
          <w:szCs w:val="22"/>
        </w:rPr>
        <w:t xml:space="preserve"> the rule language in response to these comments.</w:t>
      </w:r>
    </w:p>
    <w:p w:rsidR="000E5B49" w:rsidRPr="00436234" w:rsidP="00436234" w14:paraId="4FDAD496" w14:textId="77777777">
      <w:pPr>
        <w:spacing w:after="220"/>
        <w:rPr>
          <w:rFonts w:ascii="Arial" w:hAnsi="Arial" w:cs="Arial"/>
          <w:sz w:val="22"/>
          <w:szCs w:val="22"/>
        </w:rPr>
      </w:pPr>
      <w:r>
        <w:rPr>
          <w:rFonts w:ascii="Arial" w:hAnsi="Arial" w:cs="Arial"/>
          <w:sz w:val="22"/>
          <w:szCs w:val="22"/>
        </w:rPr>
        <w:pict>
          <v:rect id="_x0000_i1069" style="width:0;height:1.5pt" o:hralign="center" o:hrstd="t" o:hrnoshade="t" o:hr="t" fillcolor="black" stroked="f"/>
        </w:pict>
      </w:r>
    </w:p>
    <w:p w:rsidR="00E90711" w:rsidRPr="00436234" w:rsidP="00436234" w14:paraId="191A60E0" w14:textId="77777777">
      <w:pPr>
        <w:spacing w:after="220"/>
        <w:rPr>
          <w:rFonts w:ascii="Arial" w:hAnsi="Arial" w:cs="Arial"/>
          <w:sz w:val="22"/>
          <w:szCs w:val="22"/>
        </w:rPr>
      </w:pPr>
      <w:r w:rsidRPr="00436234">
        <w:rPr>
          <w:rFonts w:ascii="Arial" w:hAnsi="Arial" w:cs="Arial"/>
          <w:b/>
          <w:sz w:val="22"/>
          <w:szCs w:val="22"/>
        </w:rPr>
        <w:t xml:space="preserve">Comment Bin 3.2.1.1.B: </w:t>
      </w:r>
      <w:r w:rsidRPr="00436234">
        <w:rPr>
          <w:rFonts w:ascii="Arial" w:hAnsi="Arial" w:cs="Arial"/>
          <w:sz w:val="22"/>
          <w:szCs w:val="22"/>
        </w:rPr>
        <w:t xml:space="preserve">A commenter wrote that the use of 25 rem </w:t>
      </w:r>
      <w:r w:rsidR="00293574">
        <w:rPr>
          <w:rFonts w:ascii="Arial" w:hAnsi="Arial" w:cs="Arial"/>
          <w:sz w:val="22"/>
          <w:szCs w:val="22"/>
        </w:rPr>
        <w:t>tot</w:t>
      </w:r>
      <w:r w:rsidR="007C1D69">
        <w:rPr>
          <w:rFonts w:ascii="Arial" w:hAnsi="Arial" w:cs="Arial"/>
          <w:sz w:val="22"/>
          <w:szCs w:val="22"/>
        </w:rPr>
        <w:t>al effective dose equi</w:t>
      </w:r>
      <w:r w:rsidR="0016565D">
        <w:rPr>
          <w:rFonts w:ascii="Arial" w:hAnsi="Arial" w:cs="Arial"/>
          <w:sz w:val="22"/>
          <w:szCs w:val="22"/>
        </w:rPr>
        <w:t>valent</w:t>
      </w:r>
      <w:r w:rsidRPr="00436234">
        <w:rPr>
          <w:rFonts w:ascii="Arial" w:hAnsi="Arial" w:cs="Arial"/>
          <w:sz w:val="22"/>
          <w:szCs w:val="22"/>
        </w:rPr>
        <w:t xml:space="preserve"> </w:t>
      </w:r>
      <w:r w:rsidR="0016565D">
        <w:rPr>
          <w:rFonts w:ascii="Arial" w:hAnsi="Arial" w:cs="Arial"/>
          <w:sz w:val="22"/>
          <w:szCs w:val="22"/>
        </w:rPr>
        <w:t>(</w:t>
      </w:r>
      <w:r w:rsidRPr="00436234">
        <w:rPr>
          <w:rFonts w:ascii="Arial" w:hAnsi="Arial" w:cs="Arial"/>
          <w:sz w:val="22"/>
          <w:szCs w:val="22"/>
        </w:rPr>
        <w:t>TEDE</w:t>
      </w:r>
      <w:r w:rsidR="0016565D">
        <w:rPr>
          <w:rFonts w:ascii="Arial" w:hAnsi="Arial" w:cs="Arial"/>
          <w:sz w:val="22"/>
          <w:szCs w:val="22"/>
        </w:rPr>
        <w:t>)</w:t>
      </w:r>
      <w:r w:rsidRPr="00436234">
        <w:rPr>
          <w:rFonts w:ascii="Arial" w:hAnsi="Arial" w:cs="Arial"/>
          <w:sz w:val="22"/>
          <w:szCs w:val="22"/>
        </w:rPr>
        <w:t xml:space="preserve"> in “Section 53.22, First Tier Safety Criteria” as an acceptance criterion for the evaluation of DBAs for advanced reactors is inappropriate and fails to adequately protect the public. The commenter wrote that current NRC policy assesses this criterion utilizing dose coefficients based on biokinetic and </w:t>
      </w:r>
      <w:r w:rsidRPr="00436234">
        <w:rPr>
          <w:rFonts w:ascii="Arial" w:hAnsi="Arial" w:cs="Arial"/>
          <w:sz w:val="22"/>
          <w:szCs w:val="22"/>
        </w:rPr>
        <w:t>dosimetric</w:t>
      </w:r>
      <w:r w:rsidRPr="00436234">
        <w:rPr>
          <w:rFonts w:ascii="Arial" w:hAnsi="Arial" w:cs="Arial"/>
          <w:sz w:val="22"/>
          <w:szCs w:val="22"/>
        </w:rPr>
        <w:t xml:space="preserve"> data based on the “standard man model.” The </w:t>
      </w:r>
      <w:r w:rsidRPr="00436234">
        <w:rPr>
          <w:rFonts w:ascii="Arial" w:hAnsi="Arial" w:cs="Arial"/>
          <w:sz w:val="22"/>
          <w:szCs w:val="22"/>
        </w:rPr>
        <w:t>commenter wrote that this 25</w:t>
      </w:r>
      <w:r w:rsidR="00F40E6E">
        <w:rPr>
          <w:rFonts w:ascii="Arial" w:hAnsi="Arial" w:cs="Arial"/>
          <w:sz w:val="22"/>
          <w:szCs w:val="22"/>
        </w:rPr>
        <w:t> </w:t>
      </w:r>
      <w:r w:rsidRPr="00436234">
        <w:rPr>
          <w:rFonts w:ascii="Arial" w:hAnsi="Arial" w:cs="Arial"/>
          <w:sz w:val="22"/>
          <w:szCs w:val="22"/>
        </w:rPr>
        <w:t>rem reference value lacks support from the health physics community for public exposure during emergencies and significantly exceeds the International Commission on Radiation Protection's recommended reference levels. The commenter wrote that substantial evidence indicates that 25 rem TEDE can cause significant harm to vulnerable populations like expecting mothers and children and added that there is substantial evidence that a maximum level of 10 rem would provide an appropriate upper</w:t>
      </w:r>
      <w:r w:rsidR="00EA5365">
        <w:rPr>
          <w:rFonts w:ascii="Arial" w:hAnsi="Arial" w:cs="Arial"/>
          <w:sz w:val="22"/>
          <w:szCs w:val="22"/>
        </w:rPr>
        <w:noBreakHyphen/>
      </w:r>
      <w:r w:rsidRPr="00436234">
        <w:rPr>
          <w:rFonts w:ascii="Arial" w:hAnsi="Arial" w:cs="Arial"/>
          <w:sz w:val="22"/>
          <w:szCs w:val="22"/>
        </w:rPr>
        <w:t>level reference for the evaluation of DBAs. The commenter added that the Commission’s regulations provide a value of 5 rem TEDE as an upper bound to provide adequate protection and asked how the same Commission could endorse a value of 25</w:t>
      </w:r>
      <w:r w:rsidR="00F40E6E">
        <w:rPr>
          <w:rFonts w:ascii="Arial" w:hAnsi="Arial" w:cs="Arial"/>
          <w:sz w:val="22"/>
          <w:szCs w:val="22"/>
        </w:rPr>
        <w:t> </w:t>
      </w:r>
      <w:r w:rsidRPr="00436234">
        <w:rPr>
          <w:rFonts w:ascii="Arial" w:hAnsi="Arial" w:cs="Arial"/>
          <w:sz w:val="22"/>
          <w:szCs w:val="22"/>
        </w:rPr>
        <w:t xml:space="preserve">rem TEDE. </w:t>
      </w:r>
    </w:p>
    <w:p w:rsidR="00E90711" w:rsidRPr="00436234" w:rsidP="00436234" w14:paraId="240337CF" w14:textId="77777777">
      <w:pPr>
        <w:spacing w:after="220"/>
        <w:rPr>
          <w:rFonts w:ascii="Arial" w:hAnsi="Arial" w:cs="Arial"/>
          <w:sz w:val="22"/>
          <w:szCs w:val="22"/>
        </w:rPr>
      </w:pPr>
      <w:r w:rsidRPr="00436234">
        <w:rPr>
          <w:rFonts w:ascii="Arial" w:hAnsi="Arial" w:cs="Arial"/>
          <w:sz w:val="22"/>
          <w:szCs w:val="22"/>
        </w:rPr>
        <w:t>The commenter asked how the NRC can explain the continued use of 25 rem TEDE for advanced reactors given:</w:t>
      </w:r>
    </w:p>
    <w:p w:rsidR="00E90711" w:rsidRPr="009E22E5" w:rsidP="009E22E5" w14:paraId="2A80D026" w14:textId="77777777">
      <w:pPr>
        <w:numPr>
          <w:ilvl w:val="0"/>
          <w:numId w:val="15"/>
        </w:numPr>
        <w:spacing w:after="220"/>
        <w:rPr>
          <w:rFonts w:ascii="Arial" w:hAnsi="Arial" w:cs="Arial"/>
          <w:sz w:val="22"/>
          <w:szCs w:val="22"/>
        </w:rPr>
      </w:pPr>
      <w:r w:rsidRPr="00436234">
        <w:rPr>
          <w:rFonts w:ascii="Arial" w:hAnsi="Arial" w:cs="Arial"/>
          <w:sz w:val="22"/>
          <w:szCs w:val="22"/>
        </w:rPr>
        <w:t xml:space="preserve">EPA </w:t>
      </w:r>
      <w:r w:rsidR="00036E33">
        <w:rPr>
          <w:rFonts w:ascii="Arial" w:hAnsi="Arial" w:cs="Arial"/>
          <w:sz w:val="22"/>
          <w:szCs w:val="22"/>
        </w:rPr>
        <w:t>P</w:t>
      </w:r>
      <w:r w:rsidRPr="00385009" w:rsidR="00385009">
        <w:rPr>
          <w:rFonts w:ascii="Arial" w:hAnsi="Arial" w:cs="Arial"/>
          <w:sz w:val="22"/>
          <w:szCs w:val="22"/>
        </w:rPr>
        <w:t xml:space="preserve">rotective </w:t>
      </w:r>
      <w:r w:rsidR="00036E33">
        <w:rPr>
          <w:rFonts w:ascii="Arial" w:hAnsi="Arial" w:cs="Arial"/>
          <w:sz w:val="22"/>
          <w:szCs w:val="22"/>
        </w:rPr>
        <w:t>A</w:t>
      </w:r>
      <w:r w:rsidRPr="00385009" w:rsidR="00385009">
        <w:rPr>
          <w:rFonts w:ascii="Arial" w:hAnsi="Arial" w:cs="Arial"/>
          <w:sz w:val="22"/>
          <w:szCs w:val="22"/>
        </w:rPr>
        <w:t xml:space="preserve">ction </w:t>
      </w:r>
      <w:r w:rsidR="00036E33">
        <w:rPr>
          <w:rFonts w:ascii="Arial" w:hAnsi="Arial" w:cs="Arial"/>
          <w:sz w:val="22"/>
          <w:szCs w:val="22"/>
        </w:rPr>
        <w:t>G</w:t>
      </w:r>
      <w:r w:rsidRPr="00385009" w:rsidR="00385009">
        <w:rPr>
          <w:rFonts w:ascii="Arial" w:hAnsi="Arial" w:cs="Arial"/>
          <w:sz w:val="22"/>
          <w:szCs w:val="22"/>
        </w:rPr>
        <w:t xml:space="preserve">uideline </w:t>
      </w:r>
      <w:r w:rsidR="00385009">
        <w:rPr>
          <w:rFonts w:ascii="Arial" w:hAnsi="Arial" w:cs="Arial"/>
          <w:sz w:val="22"/>
          <w:szCs w:val="22"/>
        </w:rPr>
        <w:t>(</w:t>
      </w:r>
      <w:r w:rsidRPr="00436234">
        <w:rPr>
          <w:rFonts w:ascii="Arial" w:hAnsi="Arial" w:cs="Arial"/>
          <w:sz w:val="22"/>
          <w:szCs w:val="22"/>
        </w:rPr>
        <w:t>PAG</w:t>
      </w:r>
      <w:r w:rsidR="00385009">
        <w:rPr>
          <w:rFonts w:ascii="Arial" w:hAnsi="Arial" w:cs="Arial"/>
          <w:sz w:val="22"/>
          <w:szCs w:val="22"/>
        </w:rPr>
        <w:t>)</w:t>
      </w:r>
      <w:r w:rsidRPr="00436234">
        <w:rPr>
          <w:rFonts w:ascii="Arial" w:hAnsi="Arial" w:cs="Arial"/>
          <w:sz w:val="22"/>
          <w:szCs w:val="22"/>
        </w:rPr>
        <w:t xml:space="preserve"> Manual EPA-400/R-17/001</w:t>
      </w:r>
      <w:r w:rsidR="005C2215">
        <w:rPr>
          <w:rFonts w:ascii="Arial" w:hAnsi="Arial" w:cs="Arial"/>
          <w:sz w:val="22"/>
          <w:szCs w:val="22"/>
        </w:rPr>
        <w:t>, “</w:t>
      </w:r>
      <w:r w:rsidRPr="009E22E5" w:rsidR="009E22E5">
        <w:rPr>
          <w:rFonts w:ascii="Arial" w:hAnsi="Arial" w:cs="Arial"/>
          <w:sz w:val="22"/>
          <w:szCs w:val="22"/>
        </w:rPr>
        <w:t>Protective Action Guides</w:t>
      </w:r>
      <w:r w:rsidR="009E22E5">
        <w:rPr>
          <w:rFonts w:ascii="Arial" w:hAnsi="Arial" w:cs="Arial"/>
          <w:sz w:val="22"/>
          <w:szCs w:val="22"/>
        </w:rPr>
        <w:t xml:space="preserve"> </w:t>
      </w:r>
      <w:r w:rsidRPr="009E22E5" w:rsidR="009E22E5">
        <w:rPr>
          <w:rFonts w:ascii="Arial" w:hAnsi="Arial" w:cs="Arial"/>
          <w:sz w:val="22"/>
          <w:szCs w:val="22"/>
        </w:rPr>
        <w:t>and Planning Guidance for</w:t>
      </w:r>
      <w:r w:rsidR="009E22E5">
        <w:rPr>
          <w:rFonts w:ascii="Arial" w:hAnsi="Arial" w:cs="Arial"/>
          <w:sz w:val="22"/>
          <w:szCs w:val="22"/>
        </w:rPr>
        <w:t xml:space="preserve"> </w:t>
      </w:r>
      <w:r w:rsidRPr="009E22E5" w:rsidR="009E22E5">
        <w:rPr>
          <w:rFonts w:ascii="Arial" w:hAnsi="Arial" w:cs="Arial"/>
          <w:sz w:val="22"/>
          <w:szCs w:val="22"/>
        </w:rPr>
        <w:t>Radiological Incidents</w:t>
      </w:r>
      <w:r w:rsidR="009E22E5">
        <w:rPr>
          <w:rFonts w:ascii="Arial" w:hAnsi="Arial" w:cs="Arial"/>
          <w:sz w:val="22"/>
          <w:szCs w:val="22"/>
        </w:rPr>
        <w:t>,</w:t>
      </w:r>
      <w:r w:rsidR="004700DF">
        <w:rPr>
          <w:rFonts w:ascii="Arial" w:hAnsi="Arial" w:cs="Arial"/>
          <w:sz w:val="22"/>
          <w:szCs w:val="22"/>
        </w:rPr>
        <w:t xml:space="preserve">” </w:t>
      </w:r>
      <w:r w:rsidR="009E22E5">
        <w:rPr>
          <w:rFonts w:ascii="Arial" w:hAnsi="Arial" w:cs="Arial"/>
          <w:sz w:val="22"/>
          <w:szCs w:val="22"/>
        </w:rPr>
        <w:t>issued January 2017,</w:t>
      </w:r>
      <w:r w:rsidRPr="009E22E5">
        <w:rPr>
          <w:rFonts w:ascii="Arial" w:hAnsi="Arial" w:cs="Arial"/>
          <w:sz w:val="22"/>
          <w:szCs w:val="22"/>
        </w:rPr>
        <w:t xml:space="preserve"> recommends PAGs of 1 to 5 rem TEDE projected over four days for sheltering-in-place or evacuation of the public and 5 rem projected child thyroid dose from exposure to radioactive iodine for supplementary administration of potassium iodide.</w:t>
      </w:r>
    </w:p>
    <w:p w:rsidR="00E90711" w:rsidRPr="00436234" w:rsidP="00436234" w14:paraId="2ABE1461" w14:textId="77777777">
      <w:pPr>
        <w:numPr>
          <w:ilvl w:val="0"/>
          <w:numId w:val="15"/>
        </w:numPr>
        <w:spacing w:after="220"/>
        <w:rPr>
          <w:rFonts w:ascii="Arial" w:hAnsi="Arial" w:cs="Arial"/>
          <w:sz w:val="22"/>
          <w:szCs w:val="22"/>
        </w:rPr>
      </w:pPr>
      <w:r>
        <w:rPr>
          <w:rFonts w:ascii="Arial" w:hAnsi="Arial" w:cs="Arial"/>
          <w:sz w:val="22"/>
          <w:szCs w:val="22"/>
        </w:rPr>
        <w:t>I</w:t>
      </w:r>
      <w:r w:rsidRPr="00FF43F4">
        <w:rPr>
          <w:rFonts w:ascii="Arial" w:hAnsi="Arial" w:cs="Arial"/>
          <w:sz w:val="22"/>
          <w:szCs w:val="22"/>
        </w:rPr>
        <w:t>nternational Commission on Radiological Protection</w:t>
      </w:r>
      <w:r>
        <w:rPr>
          <w:rFonts w:ascii="Arial" w:hAnsi="Arial" w:cs="Arial"/>
          <w:sz w:val="22"/>
          <w:szCs w:val="22"/>
        </w:rPr>
        <w:t xml:space="preserve"> </w:t>
      </w:r>
      <w:r w:rsidRPr="00436234">
        <w:rPr>
          <w:rFonts w:ascii="Arial" w:hAnsi="Arial" w:cs="Arial"/>
          <w:sz w:val="22"/>
          <w:szCs w:val="22"/>
        </w:rPr>
        <w:t>Publication 103 recommends a dose range of 2-10 rem for the public during an accident.</w:t>
      </w:r>
    </w:p>
    <w:p w:rsidR="00E90711" w:rsidRPr="00436234" w:rsidP="00436234" w14:paraId="59208728" w14:textId="77777777">
      <w:pPr>
        <w:numPr>
          <w:ilvl w:val="0"/>
          <w:numId w:val="15"/>
        </w:numPr>
        <w:spacing w:after="220"/>
        <w:rPr>
          <w:rFonts w:ascii="Arial" w:hAnsi="Arial" w:cs="Arial"/>
          <w:sz w:val="22"/>
          <w:szCs w:val="22"/>
        </w:rPr>
      </w:pPr>
      <w:r w:rsidRPr="00436234">
        <w:rPr>
          <w:rFonts w:ascii="Arial" w:hAnsi="Arial" w:cs="Arial"/>
          <w:sz w:val="22"/>
          <w:szCs w:val="22"/>
        </w:rPr>
        <w:t>N</w:t>
      </w:r>
      <w:r w:rsidR="008206CF">
        <w:rPr>
          <w:rFonts w:ascii="Arial" w:hAnsi="Arial" w:cs="Arial"/>
          <w:sz w:val="22"/>
          <w:szCs w:val="22"/>
        </w:rPr>
        <w:t>ational Council on Radiation Protection &amp; Measurements</w:t>
      </w:r>
      <w:r w:rsidRPr="00436234">
        <w:rPr>
          <w:rFonts w:ascii="Arial" w:hAnsi="Arial" w:cs="Arial"/>
          <w:sz w:val="22"/>
          <w:szCs w:val="22"/>
        </w:rPr>
        <w:t xml:space="preserve"> </w:t>
      </w:r>
      <w:r w:rsidR="006B7357">
        <w:rPr>
          <w:rFonts w:ascii="Arial" w:hAnsi="Arial" w:cs="Arial"/>
          <w:sz w:val="22"/>
          <w:szCs w:val="22"/>
        </w:rPr>
        <w:t xml:space="preserve">(NCRP) </w:t>
      </w:r>
      <w:r w:rsidRPr="00436234">
        <w:rPr>
          <w:rFonts w:ascii="Arial" w:hAnsi="Arial" w:cs="Arial"/>
          <w:sz w:val="22"/>
          <w:szCs w:val="22"/>
        </w:rPr>
        <w:t>Publication 180 recommends that the effective dose to emergency workers should not exceed 10</w:t>
      </w:r>
      <w:r w:rsidR="007C28DA">
        <w:rPr>
          <w:rFonts w:ascii="Arial" w:hAnsi="Arial" w:cs="Arial"/>
          <w:sz w:val="22"/>
          <w:szCs w:val="22"/>
        </w:rPr>
        <w:t> </w:t>
      </w:r>
      <w:r w:rsidRPr="00436234">
        <w:rPr>
          <w:rFonts w:ascii="Arial" w:hAnsi="Arial" w:cs="Arial"/>
          <w:sz w:val="22"/>
          <w:szCs w:val="22"/>
        </w:rPr>
        <w:t>rem.</w:t>
      </w:r>
    </w:p>
    <w:p w:rsidR="00E90711" w:rsidRPr="00436234" w:rsidP="00436234" w14:paraId="4FEDF308" w14:textId="77777777">
      <w:pPr>
        <w:numPr>
          <w:ilvl w:val="0"/>
          <w:numId w:val="15"/>
        </w:numPr>
        <w:spacing w:after="220"/>
        <w:rPr>
          <w:rFonts w:ascii="Arial" w:hAnsi="Arial" w:cs="Arial"/>
          <w:sz w:val="22"/>
          <w:szCs w:val="22"/>
        </w:rPr>
      </w:pPr>
      <w:r>
        <w:rPr>
          <w:rFonts w:ascii="Arial" w:hAnsi="Arial" w:cs="Arial"/>
          <w:sz w:val="22"/>
          <w:szCs w:val="22"/>
        </w:rPr>
        <w:t>I</w:t>
      </w:r>
      <w:r w:rsidRPr="00436234">
        <w:rPr>
          <w:rFonts w:ascii="Arial" w:hAnsi="Arial" w:cs="Arial"/>
          <w:sz w:val="22"/>
          <w:szCs w:val="22"/>
        </w:rPr>
        <w:t xml:space="preserve">nternational </w:t>
      </w:r>
      <w:r>
        <w:rPr>
          <w:rFonts w:ascii="Arial" w:hAnsi="Arial" w:cs="Arial"/>
          <w:sz w:val="22"/>
          <w:szCs w:val="22"/>
        </w:rPr>
        <w:t>A</w:t>
      </w:r>
      <w:r w:rsidRPr="00436234">
        <w:rPr>
          <w:rFonts w:ascii="Arial" w:hAnsi="Arial" w:cs="Arial"/>
          <w:sz w:val="22"/>
          <w:szCs w:val="22"/>
        </w:rPr>
        <w:t xml:space="preserve">tomic </w:t>
      </w:r>
      <w:r>
        <w:rPr>
          <w:rFonts w:ascii="Arial" w:hAnsi="Arial" w:cs="Arial"/>
          <w:sz w:val="22"/>
          <w:szCs w:val="22"/>
        </w:rPr>
        <w:t>E</w:t>
      </w:r>
      <w:r w:rsidRPr="00436234">
        <w:rPr>
          <w:rFonts w:ascii="Arial" w:hAnsi="Arial" w:cs="Arial"/>
          <w:sz w:val="22"/>
          <w:szCs w:val="22"/>
        </w:rPr>
        <w:t xml:space="preserve">nergy </w:t>
      </w:r>
      <w:r>
        <w:rPr>
          <w:rFonts w:ascii="Arial" w:hAnsi="Arial" w:cs="Arial"/>
          <w:sz w:val="22"/>
          <w:szCs w:val="22"/>
        </w:rPr>
        <w:t>A</w:t>
      </w:r>
      <w:r w:rsidRPr="00436234">
        <w:rPr>
          <w:rFonts w:ascii="Arial" w:hAnsi="Arial" w:cs="Arial"/>
          <w:sz w:val="22"/>
          <w:szCs w:val="22"/>
        </w:rPr>
        <w:t xml:space="preserve">gency </w:t>
      </w:r>
      <w:r>
        <w:rPr>
          <w:rFonts w:ascii="Arial" w:hAnsi="Arial" w:cs="Arial"/>
          <w:sz w:val="22"/>
          <w:szCs w:val="22"/>
        </w:rPr>
        <w:t>(</w:t>
      </w:r>
      <w:r w:rsidRPr="00436234">
        <w:rPr>
          <w:rFonts w:ascii="Arial" w:hAnsi="Arial" w:cs="Arial"/>
          <w:sz w:val="22"/>
          <w:szCs w:val="22"/>
        </w:rPr>
        <w:t>IAEA</w:t>
      </w:r>
      <w:r>
        <w:rPr>
          <w:rFonts w:ascii="Arial" w:hAnsi="Arial" w:cs="Arial"/>
          <w:sz w:val="22"/>
          <w:szCs w:val="22"/>
        </w:rPr>
        <w:t>)</w:t>
      </w:r>
      <w:r w:rsidRPr="00436234">
        <w:rPr>
          <w:rFonts w:ascii="Arial" w:hAnsi="Arial" w:cs="Arial"/>
          <w:sz w:val="22"/>
          <w:szCs w:val="22"/>
        </w:rPr>
        <w:t xml:space="preserve"> Publication </w:t>
      </w:r>
      <w:r w:rsidR="003B4421">
        <w:rPr>
          <w:rFonts w:ascii="Arial" w:hAnsi="Arial" w:cs="Arial"/>
          <w:sz w:val="22"/>
          <w:szCs w:val="22"/>
        </w:rPr>
        <w:t>General Safety Guide</w:t>
      </w:r>
      <w:r w:rsidRPr="00436234">
        <w:rPr>
          <w:rFonts w:ascii="Arial" w:hAnsi="Arial" w:cs="Arial"/>
          <w:sz w:val="22"/>
          <w:szCs w:val="22"/>
        </w:rPr>
        <w:t xml:space="preserve">-8 recommends 2-10 rem for emergency exposure situations, and that the IAEA </w:t>
      </w:r>
      <w:r w:rsidR="00CD4C05">
        <w:rPr>
          <w:rFonts w:ascii="Arial" w:hAnsi="Arial" w:cs="Arial"/>
          <w:sz w:val="22"/>
          <w:szCs w:val="22"/>
        </w:rPr>
        <w:t>I</w:t>
      </w:r>
      <w:r w:rsidR="00C5788F">
        <w:rPr>
          <w:rFonts w:ascii="Arial" w:hAnsi="Arial" w:cs="Arial"/>
          <w:sz w:val="22"/>
          <w:szCs w:val="22"/>
        </w:rPr>
        <w:t xml:space="preserve">ntegrated </w:t>
      </w:r>
      <w:r w:rsidR="00CD4C05">
        <w:rPr>
          <w:rFonts w:ascii="Arial" w:hAnsi="Arial" w:cs="Arial"/>
          <w:sz w:val="22"/>
          <w:szCs w:val="22"/>
        </w:rPr>
        <w:t>R</w:t>
      </w:r>
      <w:r w:rsidR="00C5788F">
        <w:rPr>
          <w:rFonts w:ascii="Arial" w:hAnsi="Arial" w:cs="Arial"/>
          <w:sz w:val="22"/>
          <w:szCs w:val="22"/>
        </w:rPr>
        <w:t xml:space="preserve">egulatory </w:t>
      </w:r>
      <w:r w:rsidR="00CD4C05">
        <w:rPr>
          <w:rFonts w:ascii="Arial" w:hAnsi="Arial" w:cs="Arial"/>
          <w:sz w:val="22"/>
          <w:szCs w:val="22"/>
        </w:rPr>
        <w:t>R</w:t>
      </w:r>
      <w:r w:rsidR="00C5788F">
        <w:rPr>
          <w:rFonts w:ascii="Arial" w:hAnsi="Arial" w:cs="Arial"/>
          <w:sz w:val="22"/>
          <w:szCs w:val="22"/>
        </w:rPr>
        <w:t xml:space="preserve">eview </w:t>
      </w:r>
      <w:r w:rsidR="00CD4C05">
        <w:rPr>
          <w:rFonts w:ascii="Arial" w:hAnsi="Arial" w:cs="Arial"/>
          <w:sz w:val="22"/>
          <w:szCs w:val="22"/>
        </w:rPr>
        <w:t>S</w:t>
      </w:r>
      <w:r w:rsidR="00C5788F">
        <w:rPr>
          <w:rFonts w:ascii="Arial" w:hAnsi="Arial" w:cs="Arial"/>
          <w:sz w:val="22"/>
          <w:szCs w:val="22"/>
        </w:rPr>
        <w:t>ervice</w:t>
      </w:r>
      <w:r w:rsidRPr="00436234">
        <w:rPr>
          <w:rFonts w:ascii="Arial" w:hAnsi="Arial" w:cs="Arial"/>
          <w:sz w:val="22"/>
          <w:szCs w:val="22"/>
        </w:rPr>
        <w:t xml:space="preserve"> mission to the U.S. in October 2010 identified a concern with the NRC's DBA acceptance criteria.</w:t>
      </w:r>
    </w:p>
    <w:p w:rsidR="00E90711" w:rsidRPr="00436234" w:rsidP="00436234" w14:paraId="76914A27" w14:textId="77777777">
      <w:pPr>
        <w:spacing w:after="220"/>
        <w:rPr>
          <w:rFonts w:ascii="Arial" w:hAnsi="Arial" w:cs="Arial"/>
          <w:sz w:val="22"/>
          <w:szCs w:val="22"/>
        </w:rPr>
      </w:pPr>
      <w:r w:rsidRPr="00436234">
        <w:rPr>
          <w:rFonts w:ascii="Arial" w:hAnsi="Arial" w:cs="Arial"/>
          <w:sz w:val="22"/>
          <w:szCs w:val="22"/>
        </w:rPr>
        <w:t xml:space="preserve">The commenter provided additional extensive background on the 25 rem TEDE value </w:t>
      </w:r>
      <w:r w:rsidR="001D7B99">
        <w:rPr>
          <w:rFonts w:ascii="Arial" w:hAnsi="Arial" w:cs="Arial"/>
          <w:sz w:val="22"/>
          <w:szCs w:val="22"/>
        </w:rPr>
        <w:t>JP</w:t>
      </w:r>
      <w:r w:rsidRPr="00436234">
        <w:rPr>
          <w:rFonts w:ascii="Arial" w:hAnsi="Arial" w:cs="Arial"/>
          <w:sz w:val="22"/>
          <w:szCs w:val="22"/>
        </w:rPr>
        <w:t xml:space="preserve">-0001, </w:t>
      </w:r>
      <w:r w:rsidR="001D7B99">
        <w:rPr>
          <w:rFonts w:ascii="Arial" w:hAnsi="Arial" w:cs="Arial"/>
          <w:sz w:val="22"/>
          <w:szCs w:val="22"/>
        </w:rPr>
        <w:t>JP</w:t>
      </w:r>
      <w:r w:rsidRPr="00436234">
        <w:rPr>
          <w:rFonts w:ascii="Arial" w:hAnsi="Arial" w:cs="Arial"/>
          <w:sz w:val="22"/>
          <w:szCs w:val="22"/>
        </w:rPr>
        <w:t>-0002).</w:t>
      </w:r>
    </w:p>
    <w:p w:rsidR="00E90711" w:rsidRPr="00436234" w:rsidP="00436234" w14:paraId="3ED6A89D" w14:textId="77777777">
      <w:pPr>
        <w:spacing w:after="220"/>
        <w:rPr>
          <w:rFonts w:ascii="Arial" w:hAnsi="Arial" w:cs="Arial"/>
          <w:sz w:val="22"/>
          <w:szCs w:val="22"/>
        </w:rPr>
      </w:pPr>
      <w:r w:rsidRPr="00436234">
        <w:rPr>
          <w:rFonts w:ascii="Arial" w:hAnsi="Arial" w:cs="Arial"/>
          <w:sz w:val="22"/>
          <w:szCs w:val="22"/>
        </w:rPr>
        <w:t>Another commenter wrote that risk involving public exposure to hazardous radiation is anchored at 10</w:t>
      </w:r>
      <w:r w:rsidRPr="00436234">
        <w:rPr>
          <w:rFonts w:ascii="Arial" w:hAnsi="Arial" w:cs="Arial"/>
          <w:sz w:val="22"/>
          <w:szCs w:val="22"/>
          <w:vertAlign w:val="superscript"/>
        </w:rPr>
        <w:t>-4</w:t>
      </w:r>
      <w:r w:rsidRPr="00436234">
        <w:rPr>
          <w:rFonts w:ascii="Arial" w:hAnsi="Arial" w:cs="Arial"/>
          <w:sz w:val="22"/>
          <w:szCs w:val="22"/>
        </w:rPr>
        <w:t xml:space="preserve"> and 25 rem as a result of the A</w:t>
      </w:r>
      <w:r w:rsidR="003234C1">
        <w:rPr>
          <w:rFonts w:ascii="Arial" w:hAnsi="Arial" w:cs="Arial"/>
          <w:sz w:val="22"/>
          <w:szCs w:val="22"/>
        </w:rPr>
        <w:t>EA</w:t>
      </w:r>
      <w:r w:rsidRPr="00436234">
        <w:rPr>
          <w:rFonts w:ascii="Arial" w:hAnsi="Arial" w:cs="Arial"/>
          <w:sz w:val="22"/>
          <w:szCs w:val="22"/>
        </w:rPr>
        <w:t>, but lesser levels of potential radiation releases are subject to “murky considerations.” The commenter wrote that this requires “time-consuming no-win exercises” and instead the NRC should prioritize reasonable design, construction, and operational measures. The commenter suggested using industry consensus codes and standards, and requiring applicants and licensees to identify methods employed to protect against potential radiation releases involving abnormal operational events. The commenter wrote that any such release would trigger a formal incident response</w:t>
      </w:r>
      <w:r w:rsidRPr="000B15E3">
        <w:rPr>
          <w:rFonts w:ascii="Arial" w:hAnsi="Arial" w:cs="Arial"/>
          <w:sz w:val="22"/>
          <w:szCs w:val="22"/>
        </w:rPr>
        <w:t xml:space="preserve"> (</w:t>
      </w:r>
      <w:r w:rsidRPr="000B15E3" w:rsidR="000B15E3">
        <w:rPr>
          <w:rFonts w:ascii="Arial" w:eastAsia="Times New Roman" w:hAnsi="Arial" w:cs="Arial"/>
          <w:color w:val="000000"/>
          <w:sz w:val="22"/>
          <w:szCs w:val="22"/>
        </w:rPr>
        <w:t>HPT44</w:t>
      </w:r>
      <w:r w:rsidRPr="000B15E3">
        <w:rPr>
          <w:rFonts w:ascii="Arial" w:hAnsi="Arial" w:cs="Arial"/>
          <w:sz w:val="22"/>
          <w:szCs w:val="22"/>
        </w:rPr>
        <w:t>-</w:t>
      </w:r>
      <w:r w:rsidRPr="00436234">
        <w:rPr>
          <w:rFonts w:ascii="Arial" w:hAnsi="Arial" w:cs="Arial"/>
          <w:sz w:val="22"/>
          <w:szCs w:val="22"/>
        </w:rPr>
        <w:t>0001). Another commenter suggested removing 25 rem from 10 CFR 53.210(a) and (b) and replacing it with 5</w:t>
      </w:r>
      <w:r w:rsidR="004F07E4">
        <w:rPr>
          <w:rFonts w:ascii="Arial" w:hAnsi="Arial" w:cs="Arial"/>
          <w:sz w:val="22"/>
          <w:szCs w:val="22"/>
        </w:rPr>
        <w:t> </w:t>
      </w:r>
      <w:r w:rsidRPr="00436234">
        <w:rPr>
          <w:rFonts w:ascii="Arial" w:hAnsi="Arial" w:cs="Arial"/>
          <w:sz w:val="22"/>
          <w:szCs w:val="22"/>
        </w:rPr>
        <w:t>rem (</w:t>
      </w:r>
      <w:r w:rsidR="00F22AD5">
        <w:rPr>
          <w:rFonts w:ascii="Arial" w:hAnsi="Arial" w:cs="Arial"/>
          <w:sz w:val="22"/>
          <w:szCs w:val="22"/>
        </w:rPr>
        <w:t>TG26</w:t>
      </w:r>
      <w:r w:rsidRPr="00436234">
        <w:rPr>
          <w:rFonts w:ascii="Arial" w:hAnsi="Arial" w:cs="Arial"/>
          <w:sz w:val="22"/>
          <w:szCs w:val="22"/>
        </w:rPr>
        <w:t>-0001). </w:t>
      </w:r>
    </w:p>
    <w:p w:rsidR="00903574" w:rsidP="00436234" w14:paraId="4C0F5EFC"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disagrees with the comments.</w:t>
      </w:r>
    </w:p>
    <w:p w:rsidR="00BC17C8" w:rsidRPr="00436234" w:rsidP="00436234" w14:paraId="04BBBC1F" w14:textId="77777777">
      <w:pPr>
        <w:spacing w:after="220"/>
        <w:rPr>
          <w:rFonts w:ascii="Arial" w:hAnsi="Arial" w:cs="Arial"/>
          <w:sz w:val="22"/>
          <w:szCs w:val="22"/>
        </w:rPr>
      </w:pPr>
      <w:r w:rsidRPr="00436234">
        <w:rPr>
          <w:rFonts w:ascii="Arial" w:hAnsi="Arial" w:cs="Arial"/>
          <w:sz w:val="22"/>
          <w:szCs w:val="22"/>
        </w:rPr>
        <w:t>As explained in the footnote to 10 CFR 53.210 and in Section IV, Subpart B—Technology-Inclusive Safety Requirements</w:t>
      </w:r>
      <w:r w:rsidR="004476AE">
        <w:rPr>
          <w:rFonts w:ascii="Arial" w:hAnsi="Arial" w:cs="Arial"/>
          <w:sz w:val="22"/>
          <w:szCs w:val="22"/>
        </w:rPr>
        <w:t>,</w:t>
      </w:r>
      <w:r w:rsidRPr="00436234">
        <w:rPr>
          <w:rFonts w:ascii="Arial" w:hAnsi="Arial" w:cs="Arial"/>
          <w:sz w:val="22"/>
          <w:szCs w:val="22"/>
        </w:rPr>
        <w:t xml:space="preserve"> of the final rule, 25 rem is included as a safety criterion for design</w:t>
      </w:r>
      <w:r w:rsidR="008C4102">
        <w:rPr>
          <w:rFonts w:ascii="Arial" w:hAnsi="Arial" w:cs="Arial"/>
          <w:sz w:val="22"/>
          <w:szCs w:val="22"/>
        </w:rPr>
        <w:t>-</w:t>
      </w:r>
      <w:r w:rsidRPr="00436234">
        <w:rPr>
          <w:rFonts w:ascii="Arial" w:hAnsi="Arial" w:cs="Arial"/>
          <w:sz w:val="22"/>
          <w:szCs w:val="22"/>
        </w:rPr>
        <w:t>basis accidents to support the identification of design features and programmatic controls. The specific reference value was chosen as a design tool to maintain consistency with requirements in other NRC regulations and is not presented as or intended to be interpreted as a radiation standard for an acceptable dose resulting from design</w:t>
      </w:r>
      <w:r w:rsidR="008C4102">
        <w:rPr>
          <w:rFonts w:ascii="Arial" w:hAnsi="Arial" w:cs="Arial"/>
          <w:sz w:val="22"/>
          <w:szCs w:val="22"/>
        </w:rPr>
        <w:t>-</w:t>
      </w:r>
      <w:r w:rsidRPr="00436234">
        <w:rPr>
          <w:rFonts w:ascii="Arial" w:hAnsi="Arial" w:cs="Arial"/>
          <w:sz w:val="22"/>
          <w:szCs w:val="22"/>
        </w:rPr>
        <w:t>basis accidents. Additionally</w:t>
      </w:r>
      <w:r w:rsidR="00A256F9">
        <w:rPr>
          <w:rFonts w:ascii="Arial" w:hAnsi="Arial" w:cs="Arial"/>
          <w:sz w:val="22"/>
          <w:szCs w:val="22"/>
        </w:rPr>
        <w:t>,</w:t>
      </w:r>
      <w:r w:rsidRPr="00436234">
        <w:rPr>
          <w:rFonts w:ascii="Arial" w:hAnsi="Arial" w:cs="Arial"/>
          <w:sz w:val="22"/>
          <w:szCs w:val="22"/>
        </w:rPr>
        <w:t xml:space="preserve"> </w:t>
      </w:r>
      <w:r w:rsidRPr="00436234">
        <w:rPr>
          <w:rFonts w:ascii="Arial" w:hAnsi="Arial" w:cs="Arial"/>
          <w:sz w:val="22"/>
          <w:szCs w:val="22"/>
        </w:rPr>
        <w:t xml:space="preserve">the reference value in 10 CFR 53.210 is one of many licensing criteria in </w:t>
      </w:r>
      <w:r w:rsidR="0016465C">
        <w:rPr>
          <w:rFonts w:ascii="Arial" w:hAnsi="Arial" w:cs="Arial"/>
          <w:sz w:val="22"/>
          <w:szCs w:val="22"/>
        </w:rPr>
        <w:t>10 CFR </w:t>
      </w:r>
      <w:r w:rsidRPr="00436234">
        <w:rPr>
          <w:rFonts w:ascii="Arial" w:hAnsi="Arial" w:cs="Arial"/>
          <w:sz w:val="22"/>
          <w:szCs w:val="22"/>
        </w:rPr>
        <w:t>Part 53, others include the evaluation of licensing</w:t>
      </w:r>
      <w:r w:rsidR="00113FE3">
        <w:rPr>
          <w:rFonts w:ascii="Arial" w:hAnsi="Arial" w:cs="Arial"/>
          <w:sz w:val="22"/>
          <w:szCs w:val="22"/>
        </w:rPr>
        <w:noBreakHyphen/>
      </w:r>
      <w:r w:rsidRPr="00436234">
        <w:rPr>
          <w:rFonts w:ascii="Arial" w:hAnsi="Arial" w:cs="Arial"/>
          <w:sz w:val="22"/>
          <w:szCs w:val="22"/>
        </w:rPr>
        <w:t>basis events and defense-in-depth under 10 CFR 53.220 and 10</w:t>
      </w:r>
      <w:r w:rsidR="007C28DA">
        <w:rPr>
          <w:rFonts w:ascii="Arial" w:hAnsi="Arial" w:cs="Arial"/>
          <w:sz w:val="22"/>
          <w:szCs w:val="22"/>
        </w:rPr>
        <w:t> </w:t>
      </w:r>
      <w:r w:rsidRPr="00436234">
        <w:rPr>
          <w:rFonts w:ascii="Arial" w:hAnsi="Arial" w:cs="Arial"/>
          <w:sz w:val="22"/>
          <w:szCs w:val="22"/>
        </w:rPr>
        <w:t>CFR 53.450. Thus</w:t>
      </w:r>
      <w:r w:rsidR="00724339">
        <w:rPr>
          <w:rFonts w:ascii="Arial" w:hAnsi="Arial" w:cs="Arial"/>
          <w:sz w:val="22"/>
          <w:szCs w:val="22"/>
        </w:rPr>
        <w:t>,</w:t>
      </w:r>
      <w:r w:rsidRPr="00436234">
        <w:rPr>
          <w:rFonts w:ascii="Arial" w:hAnsi="Arial" w:cs="Arial"/>
          <w:sz w:val="22"/>
          <w:szCs w:val="22"/>
        </w:rPr>
        <w:t xml:space="preserve"> the NRC’s assurance of safety does not rest on a single element of its regulations; rather the entirety of the NRC’s standards ensures an appropriate level of safety.</w:t>
      </w:r>
      <w:r w:rsidR="003D7BA7">
        <w:rPr>
          <w:rFonts w:ascii="Arial" w:hAnsi="Arial" w:cs="Arial"/>
          <w:sz w:val="22"/>
          <w:szCs w:val="22"/>
        </w:rPr>
        <w:t xml:space="preserve"> </w:t>
      </w:r>
      <w:r w:rsidR="003524B2">
        <w:rPr>
          <w:rFonts w:ascii="Arial" w:hAnsi="Arial" w:cs="Arial"/>
          <w:sz w:val="22"/>
          <w:szCs w:val="22"/>
        </w:rPr>
        <w:t>For additional information on the basis for</w:t>
      </w:r>
      <w:r w:rsidR="00997BB2">
        <w:rPr>
          <w:rFonts w:ascii="Arial" w:hAnsi="Arial" w:cs="Arial"/>
          <w:sz w:val="22"/>
          <w:szCs w:val="22"/>
        </w:rPr>
        <w:t xml:space="preserve"> </w:t>
      </w:r>
      <w:r w:rsidR="00883EB0">
        <w:rPr>
          <w:rFonts w:ascii="Arial" w:hAnsi="Arial" w:cs="Arial"/>
          <w:sz w:val="22"/>
          <w:szCs w:val="22"/>
        </w:rPr>
        <w:t>the NRC’s</w:t>
      </w:r>
      <w:r w:rsidR="00997BB2">
        <w:rPr>
          <w:rFonts w:ascii="Arial" w:hAnsi="Arial" w:cs="Arial"/>
          <w:sz w:val="22"/>
          <w:szCs w:val="22"/>
        </w:rPr>
        <w:t xml:space="preserve"> </w:t>
      </w:r>
      <w:r w:rsidR="002337A2">
        <w:rPr>
          <w:rFonts w:ascii="Arial" w:hAnsi="Arial" w:cs="Arial"/>
          <w:sz w:val="22"/>
          <w:szCs w:val="22"/>
        </w:rPr>
        <w:t xml:space="preserve">design basis </w:t>
      </w:r>
      <w:r w:rsidRPr="00397C53" w:rsidR="00397C53">
        <w:rPr>
          <w:rFonts w:ascii="Arial" w:hAnsi="Arial" w:cs="Arial"/>
          <w:sz w:val="22"/>
          <w:szCs w:val="22"/>
        </w:rPr>
        <w:t>accident</w:t>
      </w:r>
      <w:r w:rsidR="00397C53">
        <w:rPr>
          <w:rFonts w:ascii="Arial" w:hAnsi="Arial" w:cs="Arial"/>
          <w:sz w:val="22"/>
          <w:szCs w:val="22"/>
        </w:rPr>
        <w:t xml:space="preserve"> </w:t>
      </w:r>
      <w:r w:rsidRPr="00997BB2" w:rsidR="00997BB2">
        <w:rPr>
          <w:rFonts w:ascii="Arial" w:hAnsi="Arial" w:cs="Arial"/>
          <w:sz w:val="22"/>
          <w:szCs w:val="22"/>
        </w:rPr>
        <w:t>dose criteria</w:t>
      </w:r>
      <w:r w:rsidR="003C4366">
        <w:rPr>
          <w:rFonts w:ascii="Arial" w:hAnsi="Arial" w:cs="Arial"/>
          <w:sz w:val="22"/>
          <w:szCs w:val="22"/>
        </w:rPr>
        <w:t xml:space="preserve"> used for assessing </w:t>
      </w:r>
      <w:r w:rsidR="00C81877">
        <w:rPr>
          <w:rFonts w:ascii="Arial" w:hAnsi="Arial" w:cs="Arial"/>
          <w:sz w:val="22"/>
          <w:szCs w:val="22"/>
        </w:rPr>
        <w:t xml:space="preserve">containment performance, exclusion areas and low population zones, </w:t>
      </w:r>
      <w:r w:rsidR="003C4366">
        <w:rPr>
          <w:rFonts w:ascii="Arial" w:hAnsi="Arial" w:cs="Arial"/>
          <w:sz w:val="22"/>
          <w:szCs w:val="22"/>
        </w:rPr>
        <w:t>and control room envelopes</w:t>
      </w:r>
      <w:r w:rsidR="00AD2E1C">
        <w:rPr>
          <w:rFonts w:ascii="Arial" w:hAnsi="Arial" w:cs="Arial"/>
          <w:sz w:val="22"/>
          <w:szCs w:val="22"/>
        </w:rPr>
        <w:t xml:space="preserve">, see the </w:t>
      </w:r>
      <w:r w:rsidR="00406012">
        <w:rPr>
          <w:rFonts w:ascii="Arial" w:hAnsi="Arial" w:cs="Arial"/>
          <w:sz w:val="22"/>
          <w:szCs w:val="22"/>
        </w:rPr>
        <w:t>a</w:t>
      </w:r>
      <w:r w:rsidR="00AD2E1C">
        <w:rPr>
          <w:rFonts w:ascii="Arial" w:hAnsi="Arial" w:cs="Arial"/>
          <w:sz w:val="22"/>
          <w:szCs w:val="22"/>
        </w:rPr>
        <w:t xml:space="preserve">gency’s denial </w:t>
      </w:r>
      <w:r w:rsidR="00CD5C58">
        <w:rPr>
          <w:rFonts w:ascii="Arial" w:hAnsi="Arial" w:cs="Arial"/>
          <w:sz w:val="22"/>
          <w:szCs w:val="22"/>
        </w:rPr>
        <w:t xml:space="preserve">of the petition for rulemaking </w:t>
      </w:r>
      <w:r w:rsidR="00406012">
        <w:rPr>
          <w:rFonts w:ascii="Arial" w:hAnsi="Arial" w:cs="Arial"/>
          <w:sz w:val="22"/>
          <w:szCs w:val="22"/>
        </w:rPr>
        <w:t>(</w:t>
      </w:r>
      <w:r w:rsidRPr="00CD5C58" w:rsidR="00CD5C58">
        <w:rPr>
          <w:rFonts w:ascii="Arial" w:hAnsi="Arial" w:cs="Arial"/>
          <w:sz w:val="22"/>
          <w:szCs w:val="22"/>
        </w:rPr>
        <w:t>PRM</w:t>
      </w:r>
      <w:r w:rsidR="00406012">
        <w:rPr>
          <w:rFonts w:ascii="Arial" w:hAnsi="Arial" w:cs="Arial"/>
          <w:sz w:val="22"/>
          <w:szCs w:val="22"/>
        </w:rPr>
        <w:t>)</w:t>
      </w:r>
      <w:r w:rsidRPr="00CD5C58" w:rsidR="00CD5C58">
        <w:rPr>
          <w:rFonts w:ascii="Arial" w:hAnsi="Arial" w:cs="Arial"/>
          <w:sz w:val="22"/>
          <w:szCs w:val="22"/>
        </w:rPr>
        <w:t>-50-121</w:t>
      </w:r>
      <w:r w:rsidR="00A45670">
        <w:rPr>
          <w:rFonts w:ascii="Arial" w:hAnsi="Arial" w:cs="Arial"/>
          <w:sz w:val="22"/>
          <w:szCs w:val="22"/>
        </w:rPr>
        <w:t xml:space="preserve">, published in the </w:t>
      </w:r>
      <w:r w:rsidRPr="00C331DB" w:rsidR="00A45670">
        <w:rPr>
          <w:rFonts w:ascii="Arial" w:hAnsi="Arial" w:cs="Arial"/>
          <w:i/>
          <w:sz w:val="22"/>
          <w:szCs w:val="22"/>
        </w:rPr>
        <w:t>Federal Register</w:t>
      </w:r>
      <w:r w:rsidR="00A45670">
        <w:rPr>
          <w:rFonts w:ascii="Arial" w:hAnsi="Arial" w:cs="Arial"/>
          <w:sz w:val="22"/>
          <w:szCs w:val="22"/>
        </w:rPr>
        <w:t xml:space="preserve"> on</w:t>
      </w:r>
      <w:r w:rsidR="005A06E1">
        <w:rPr>
          <w:rFonts w:ascii="Arial" w:hAnsi="Arial" w:cs="Arial"/>
          <w:sz w:val="22"/>
          <w:szCs w:val="22"/>
        </w:rPr>
        <w:t xml:space="preserve"> July 28, 2025 (90 FR </w:t>
      </w:r>
      <w:r w:rsidRPr="008C433F" w:rsidR="008C433F">
        <w:rPr>
          <w:rFonts w:ascii="Arial" w:hAnsi="Arial" w:cs="Arial"/>
          <w:sz w:val="22"/>
          <w:szCs w:val="22"/>
        </w:rPr>
        <w:t>35441</w:t>
      </w:r>
      <w:r w:rsidR="008C433F">
        <w:rPr>
          <w:rFonts w:ascii="Arial" w:hAnsi="Arial" w:cs="Arial"/>
          <w:sz w:val="22"/>
          <w:szCs w:val="22"/>
        </w:rPr>
        <w:t>).</w:t>
      </w:r>
    </w:p>
    <w:p w:rsidR="00E90711" w:rsidRPr="00436234" w:rsidP="00436234" w14:paraId="312CAB2F" w14:textId="77777777">
      <w:pPr>
        <w:spacing w:after="220"/>
        <w:rPr>
          <w:rFonts w:ascii="Arial" w:hAnsi="Arial" w:cs="Arial"/>
          <w:b/>
          <w:sz w:val="22"/>
          <w:szCs w:val="22"/>
        </w:rPr>
      </w:pPr>
      <w:r w:rsidRPr="00436234">
        <w:rPr>
          <w:rFonts w:ascii="Arial" w:hAnsi="Arial" w:cs="Arial"/>
          <w:sz w:val="22"/>
          <w:szCs w:val="22"/>
        </w:rPr>
        <w:t xml:space="preserve">Accordingly, the NRC did not </w:t>
      </w:r>
      <w:r w:rsidR="00E757C9">
        <w:rPr>
          <w:rFonts w:ascii="Arial" w:hAnsi="Arial" w:cs="Arial"/>
          <w:sz w:val="22"/>
          <w:szCs w:val="22"/>
        </w:rPr>
        <w:t>change</w:t>
      </w:r>
      <w:r w:rsidRPr="00436234">
        <w:rPr>
          <w:rFonts w:ascii="Arial" w:hAnsi="Arial" w:cs="Arial"/>
          <w:sz w:val="22"/>
          <w:szCs w:val="22"/>
        </w:rPr>
        <w:t xml:space="preserve"> the rule language in response to th</w:t>
      </w:r>
      <w:r w:rsidRPr="00436234" w:rsidR="00951F3D">
        <w:rPr>
          <w:rFonts w:ascii="Arial" w:hAnsi="Arial" w:cs="Arial"/>
          <w:sz w:val="22"/>
          <w:szCs w:val="22"/>
        </w:rPr>
        <w:t>e</w:t>
      </w:r>
      <w:r w:rsidRPr="00436234">
        <w:rPr>
          <w:rFonts w:ascii="Arial" w:hAnsi="Arial" w:cs="Arial"/>
          <w:sz w:val="22"/>
          <w:szCs w:val="22"/>
        </w:rPr>
        <w:t>s</w:t>
      </w:r>
      <w:r w:rsidRPr="00436234" w:rsidR="00951F3D">
        <w:rPr>
          <w:rFonts w:ascii="Arial" w:hAnsi="Arial" w:cs="Arial"/>
          <w:sz w:val="22"/>
          <w:szCs w:val="22"/>
        </w:rPr>
        <w:t>e</w:t>
      </w:r>
      <w:r w:rsidRPr="00436234">
        <w:rPr>
          <w:rFonts w:ascii="Arial" w:hAnsi="Arial" w:cs="Arial"/>
          <w:sz w:val="22"/>
          <w:szCs w:val="22"/>
        </w:rPr>
        <w:t xml:space="preserve"> comment</w:t>
      </w:r>
      <w:r w:rsidRPr="00436234" w:rsidR="00951F3D">
        <w:rPr>
          <w:rFonts w:ascii="Arial" w:hAnsi="Arial" w:cs="Arial"/>
          <w:sz w:val="22"/>
          <w:szCs w:val="22"/>
        </w:rPr>
        <w:t>s</w:t>
      </w:r>
      <w:r w:rsidRPr="00436234">
        <w:rPr>
          <w:rFonts w:ascii="Arial" w:hAnsi="Arial" w:cs="Arial"/>
          <w:sz w:val="22"/>
          <w:szCs w:val="22"/>
        </w:rPr>
        <w:t>.</w:t>
      </w:r>
    </w:p>
    <w:p w:rsidR="000E5B49" w:rsidRPr="00436234" w:rsidP="00436234" w14:paraId="19AFED36" w14:textId="77777777">
      <w:pPr>
        <w:spacing w:after="220"/>
        <w:rPr>
          <w:rFonts w:ascii="Arial" w:hAnsi="Arial" w:cs="Arial"/>
          <w:sz w:val="22"/>
          <w:szCs w:val="22"/>
        </w:rPr>
      </w:pPr>
      <w:r>
        <w:rPr>
          <w:rFonts w:ascii="Arial" w:hAnsi="Arial" w:cs="Arial"/>
          <w:sz w:val="22"/>
          <w:szCs w:val="22"/>
        </w:rPr>
        <w:pict>
          <v:rect id="_x0000_i1070" style="width:0;height:1.5pt" o:hralign="center" o:hrstd="t" o:hrnoshade="t" o:hr="t" fillcolor="black" stroked="f"/>
        </w:pict>
      </w:r>
    </w:p>
    <w:p w:rsidR="00E90711" w:rsidRPr="00436234" w:rsidP="00436234" w14:paraId="0D2C00DE" w14:textId="77777777">
      <w:pPr>
        <w:spacing w:after="220"/>
        <w:rPr>
          <w:rFonts w:ascii="Arial" w:hAnsi="Arial" w:cs="Arial"/>
          <w:sz w:val="22"/>
          <w:szCs w:val="22"/>
        </w:rPr>
      </w:pPr>
      <w:r w:rsidRPr="00436234">
        <w:rPr>
          <w:rFonts w:ascii="Arial" w:hAnsi="Arial" w:cs="Arial"/>
          <w:b/>
          <w:sz w:val="22"/>
          <w:szCs w:val="22"/>
        </w:rPr>
        <w:t xml:space="preserve">Comment Bin 3.2.1.1.C: </w:t>
      </w:r>
      <w:r w:rsidRPr="00436234">
        <w:rPr>
          <w:rFonts w:ascii="Arial" w:hAnsi="Arial" w:cs="Arial"/>
          <w:sz w:val="22"/>
          <w:szCs w:val="22"/>
        </w:rPr>
        <w:t>A commenter wrote that the proposed nomenclature and subdivision of accident types by limits on mean frequencies is arbitrary and not truly risk-based, as low frequencies and scenarios are unverifiable outside of human experience. The commenter recommended eliminating traditional nomenclature and/or event frequency based calculations, avoiding “arbitrary” sub-division and largely historical nomenclature for event categories and covering the continuous risk-informed decision marking risk spectrum, removing traditional distinctions between deterministic and probabilistic analyses, and integrating the use of risk</w:t>
      </w:r>
      <w:r w:rsidR="007C28DA">
        <w:rPr>
          <w:rFonts w:ascii="Arial" w:hAnsi="Arial" w:cs="Arial"/>
          <w:sz w:val="22"/>
          <w:szCs w:val="22"/>
        </w:rPr>
        <w:noBreakHyphen/>
      </w:r>
      <w:r w:rsidRPr="00436234">
        <w:rPr>
          <w:rFonts w:ascii="Arial" w:hAnsi="Arial" w:cs="Arial"/>
          <w:sz w:val="22"/>
          <w:szCs w:val="22"/>
        </w:rPr>
        <w:t>informed decision</w:t>
      </w:r>
      <w:r w:rsidR="00FB46F7">
        <w:rPr>
          <w:rFonts w:ascii="Arial" w:hAnsi="Arial" w:cs="Arial"/>
          <w:sz w:val="22"/>
          <w:szCs w:val="22"/>
        </w:rPr>
        <w:t>-</w:t>
      </w:r>
      <w:r w:rsidRPr="00436234">
        <w:rPr>
          <w:rFonts w:ascii="Arial" w:hAnsi="Arial" w:cs="Arial"/>
          <w:sz w:val="22"/>
          <w:szCs w:val="22"/>
        </w:rPr>
        <w:t>making and PRA analysis for the full spectrum of events (</w:t>
      </w:r>
      <w:r w:rsidR="00A02F0C">
        <w:rPr>
          <w:rFonts w:ascii="Arial" w:hAnsi="Arial" w:cs="Arial"/>
          <w:sz w:val="22"/>
          <w:szCs w:val="22"/>
        </w:rPr>
        <w:t>RD</w:t>
      </w:r>
      <w:r w:rsidRPr="00436234">
        <w:rPr>
          <w:rFonts w:ascii="Arial" w:hAnsi="Arial" w:cs="Arial"/>
          <w:sz w:val="22"/>
          <w:szCs w:val="22"/>
        </w:rPr>
        <w:t>-0011).</w:t>
      </w:r>
    </w:p>
    <w:p w:rsidR="00A94414" w:rsidP="00D27243" w14:paraId="6C2A0CBA"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disagrees with th</w:t>
      </w:r>
      <w:r w:rsidR="007C28DA">
        <w:rPr>
          <w:rFonts w:ascii="Arial" w:hAnsi="Arial" w:cs="Arial"/>
          <w:sz w:val="22"/>
          <w:szCs w:val="22"/>
        </w:rPr>
        <w:t>e</w:t>
      </w:r>
      <w:r w:rsidRPr="00436234">
        <w:rPr>
          <w:rFonts w:ascii="Arial" w:hAnsi="Arial" w:cs="Arial"/>
          <w:sz w:val="22"/>
          <w:szCs w:val="22"/>
        </w:rPr>
        <w:t xml:space="preserve"> comment.</w:t>
      </w:r>
    </w:p>
    <w:p w:rsidR="00A5124D" w:rsidRPr="00436234" w:rsidP="00D27243" w14:paraId="243731BC" w14:textId="77777777">
      <w:pPr>
        <w:spacing w:after="220"/>
        <w:rPr>
          <w:rFonts w:ascii="Arial" w:hAnsi="Arial" w:cs="Arial"/>
          <w:sz w:val="22"/>
          <w:szCs w:val="22"/>
        </w:rPr>
      </w:pPr>
      <w:r w:rsidRPr="00436234">
        <w:rPr>
          <w:rFonts w:ascii="Arial" w:hAnsi="Arial" w:cs="Arial"/>
          <w:sz w:val="22"/>
          <w:szCs w:val="22"/>
        </w:rPr>
        <w:t>The use of frequency</w:t>
      </w:r>
      <w:r w:rsidRPr="00436234">
        <w:rPr>
          <w:rFonts w:ascii="Arial" w:hAnsi="Arial" w:cs="Arial"/>
          <w:sz w:val="22"/>
          <w:szCs w:val="22"/>
        </w:rPr>
        <w:noBreakHyphen/>
        <w:t xml:space="preserve">based LBE categories and the design-basis accident LBE category in 10 CFR Part 53 is informed by similar features in approaches such as the </w:t>
      </w:r>
      <w:r w:rsidR="00444145">
        <w:rPr>
          <w:rFonts w:ascii="Arial" w:hAnsi="Arial" w:cs="Arial"/>
          <w:sz w:val="22"/>
          <w:szCs w:val="22"/>
        </w:rPr>
        <w:t>Licensing Modernization</w:t>
      </w:r>
      <w:r w:rsidR="008C0FBF">
        <w:rPr>
          <w:rFonts w:ascii="Arial" w:hAnsi="Arial" w:cs="Arial"/>
          <w:sz w:val="22"/>
          <w:szCs w:val="22"/>
        </w:rPr>
        <w:t xml:space="preserve"> Project</w:t>
      </w:r>
      <w:r w:rsidRPr="00436234">
        <w:rPr>
          <w:rFonts w:ascii="Arial" w:hAnsi="Arial" w:cs="Arial"/>
          <w:sz w:val="22"/>
          <w:szCs w:val="22"/>
        </w:rPr>
        <w:t xml:space="preserve"> </w:t>
      </w:r>
      <w:r w:rsidR="008C0FBF">
        <w:rPr>
          <w:rFonts w:ascii="Arial" w:hAnsi="Arial" w:cs="Arial"/>
          <w:sz w:val="22"/>
          <w:szCs w:val="22"/>
        </w:rPr>
        <w:t>(</w:t>
      </w:r>
      <w:r w:rsidRPr="00436234">
        <w:rPr>
          <w:rFonts w:ascii="Arial" w:hAnsi="Arial" w:cs="Arial"/>
          <w:sz w:val="22"/>
          <w:szCs w:val="22"/>
        </w:rPr>
        <w:t>LMP</w:t>
      </w:r>
      <w:r w:rsidR="008C0FBF">
        <w:rPr>
          <w:rFonts w:ascii="Arial" w:hAnsi="Arial" w:cs="Arial"/>
          <w:sz w:val="22"/>
          <w:szCs w:val="22"/>
        </w:rPr>
        <w:t>)</w:t>
      </w:r>
      <w:r w:rsidRPr="00436234">
        <w:rPr>
          <w:rFonts w:ascii="Arial" w:hAnsi="Arial" w:cs="Arial"/>
          <w:sz w:val="22"/>
          <w:szCs w:val="22"/>
        </w:rPr>
        <w:t xml:space="preserve"> methodology described in </w:t>
      </w:r>
      <w:r w:rsidR="008C0FBF">
        <w:rPr>
          <w:rFonts w:ascii="Arial" w:hAnsi="Arial" w:cs="Arial"/>
          <w:sz w:val="22"/>
          <w:szCs w:val="22"/>
        </w:rPr>
        <w:t>Nuc</w:t>
      </w:r>
      <w:r w:rsidR="001D01E5">
        <w:rPr>
          <w:rFonts w:ascii="Arial" w:hAnsi="Arial" w:cs="Arial"/>
          <w:sz w:val="22"/>
          <w:szCs w:val="22"/>
        </w:rPr>
        <w:t>lear Energy Institute (</w:t>
      </w:r>
      <w:r w:rsidRPr="00436234">
        <w:rPr>
          <w:rFonts w:ascii="Arial" w:hAnsi="Arial" w:cs="Arial"/>
          <w:sz w:val="22"/>
          <w:szCs w:val="22"/>
        </w:rPr>
        <w:t>NEI</w:t>
      </w:r>
      <w:r w:rsidR="001D01E5">
        <w:rPr>
          <w:rFonts w:ascii="Arial" w:hAnsi="Arial" w:cs="Arial"/>
          <w:sz w:val="22"/>
          <w:szCs w:val="22"/>
        </w:rPr>
        <w:t>)</w:t>
      </w:r>
      <w:r w:rsidRPr="00436234">
        <w:rPr>
          <w:rFonts w:ascii="Arial" w:hAnsi="Arial" w:cs="Arial"/>
          <w:sz w:val="22"/>
          <w:szCs w:val="22"/>
        </w:rPr>
        <w:t xml:space="preserve"> 18-04</w:t>
      </w:r>
      <w:r w:rsidR="00457944">
        <w:rPr>
          <w:rFonts w:ascii="Arial" w:hAnsi="Arial" w:cs="Arial"/>
          <w:sz w:val="22"/>
          <w:szCs w:val="22"/>
        </w:rPr>
        <w:t xml:space="preserve">, </w:t>
      </w:r>
      <w:r w:rsidR="009A2DAA">
        <w:rPr>
          <w:rFonts w:ascii="Arial" w:hAnsi="Arial" w:cs="Arial"/>
          <w:sz w:val="22"/>
          <w:szCs w:val="22"/>
        </w:rPr>
        <w:t>“</w:t>
      </w:r>
      <w:r w:rsidRPr="00457944" w:rsidR="00457944">
        <w:rPr>
          <w:rFonts w:ascii="Arial" w:hAnsi="Arial" w:cs="Arial"/>
          <w:sz w:val="22"/>
          <w:szCs w:val="22"/>
        </w:rPr>
        <w:t>Risk-Informed Performance-Based Technology Inclusive Guidance for Non-Li</w:t>
      </w:r>
      <w:r w:rsidR="00457944">
        <w:rPr>
          <w:rFonts w:ascii="Arial" w:hAnsi="Arial" w:cs="Arial"/>
          <w:sz w:val="22"/>
          <w:szCs w:val="22"/>
        </w:rPr>
        <w:t xml:space="preserve">ght Water Reactor Licensing Basis Development,” </w:t>
      </w:r>
      <w:r w:rsidR="009E5959">
        <w:rPr>
          <w:rFonts w:ascii="Arial" w:hAnsi="Arial" w:cs="Arial"/>
          <w:sz w:val="22"/>
          <w:szCs w:val="22"/>
        </w:rPr>
        <w:t>dat</w:t>
      </w:r>
      <w:r w:rsidR="009A2DAA">
        <w:rPr>
          <w:rFonts w:ascii="Arial" w:hAnsi="Arial" w:cs="Arial"/>
          <w:sz w:val="22"/>
          <w:szCs w:val="22"/>
        </w:rPr>
        <w:t>ed August 2019</w:t>
      </w:r>
      <w:r w:rsidRPr="00436234">
        <w:rPr>
          <w:rFonts w:ascii="Arial" w:hAnsi="Arial" w:cs="Arial"/>
          <w:sz w:val="22"/>
          <w:szCs w:val="22"/>
        </w:rPr>
        <w:t xml:space="preserve">. The LMP methodology was approved by the Commission in </w:t>
      </w:r>
      <w:r w:rsidR="000A390D">
        <w:rPr>
          <w:rFonts w:ascii="Arial" w:hAnsi="Arial" w:cs="Arial"/>
          <w:sz w:val="22"/>
          <w:szCs w:val="22"/>
        </w:rPr>
        <w:t>staff requirements memorandum (</w:t>
      </w:r>
      <w:r w:rsidRPr="00436234">
        <w:rPr>
          <w:rFonts w:ascii="Arial" w:hAnsi="Arial" w:cs="Arial"/>
          <w:sz w:val="22"/>
          <w:szCs w:val="22"/>
        </w:rPr>
        <w:t>SRM</w:t>
      </w:r>
      <w:r w:rsidR="000A390D">
        <w:rPr>
          <w:rFonts w:ascii="Arial" w:hAnsi="Arial" w:cs="Arial"/>
          <w:sz w:val="22"/>
          <w:szCs w:val="22"/>
        </w:rPr>
        <w:t>)</w:t>
      </w:r>
      <w:r w:rsidRPr="00436234">
        <w:rPr>
          <w:rFonts w:ascii="Arial" w:hAnsi="Arial" w:cs="Arial"/>
          <w:sz w:val="22"/>
          <w:szCs w:val="22"/>
        </w:rPr>
        <w:noBreakHyphen/>
        <w:t>SECY</w:t>
      </w:r>
      <w:r w:rsidRPr="00436234">
        <w:rPr>
          <w:rFonts w:ascii="Arial" w:hAnsi="Arial" w:cs="Arial"/>
          <w:sz w:val="22"/>
          <w:szCs w:val="22"/>
        </w:rPr>
        <w:noBreakHyphen/>
        <w:t>19</w:t>
      </w:r>
      <w:r w:rsidRPr="00436234">
        <w:rPr>
          <w:rFonts w:ascii="Arial" w:hAnsi="Arial" w:cs="Arial"/>
          <w:sz w:val="22"/>
          <w:szCs w:val="22"/>
        </w:rPr>
        <w:noBreakHyphen/>
        <w:t>0117</w:t>
      </w:r>
      <w:r w:rsidR="00D27243">
        <w:rPr>
          <w:rFonts w:ascii="Arial" w:hAnsi="Arial" w:cs="Arial"/>
          <w:sz w:val="22"/>
          <w:szCs w:val="22"/>
        </w:rPr>
        <w:t>, “</w:t>
      </w:r>
      <w:r w:rsidRPr="00D27243" w:rsidR="00D27243">
        <w:rPr>
          <w:rFonts w:ascii="Arial" w:hAnsi="Arial" w:cs="Arial"/>
          <w:sz w:val="22"/>
          <w:szCs w:val="22"/>
        </w:rPr>
        <w:t xml:space="preserve">Technology-Inclusive, Risk-Informed, </w:t>
      </w:r>
      <w:r w:rsidR="00D27243">
        <w:rPr>
          <w:rFonts w:ascii="Arial" w:hAnsi="Arial" w:cs="Arial"/>
          <w:sz w:val="22"/>
          <w:szCs w:val="22"/>
        </w:rPr>
        <w:t>a</w:t>
      </w:r>
      <w:r w:rsidRPr="00D27243" w:rsidR="00D27243">
        <w:rPr>
          <w:rFonts w:ascii="Arial" w:hAnsi="Arial" w:cs="Arial"/>
          <w:sz w:val="22"/>
          <w:szCs w:val="22"/>
        </w:rPr>
        <w:t>nd</w:t>
      </w:r>
      <w:r w:rsidR="00D27243">
        <w:rPr>
          <w:rFonts w:ascii="Arial" w:hAnsi="Arial" w:cs="Arial"/>
          <w:sz w:val="22"/>
          <w:szCs w:val="22"/>
        </w:rPr>
        <w:t xml:space="preserve"> </w:t>
      </w:r>
      <w:r w:rsidRPr="00D27243" w:rsidR="00D27243">
        <w:rPr>
          <w:rFonts w:ascii="Arial" w:hAnsi="Arial" w:cs="Arial"/>
          <w:sz w:val="22"/>
          <w:szCs w:val="22"/>
        </w:rPr>
        <w:t xml:space="preserve">Performance-Based Methodology </w:t>
      </w:r>
      <w:r w:rsidR="00D27243">
        <w:rPr>
          <w:rFonts w:ascii="Arial" w:hAnsi="Arial" w:cs="Arial"/>
          <w:sz w:val="22"/>
          <w:szCs w:val="22"/>
        </w:rPr>
        <w:t>t</w:t>
      </w:r>
      <w:r w:rsidRPr="00D27243" w:rsidR="00D27243">
        <w:rPr>
          <w:rFonts w:ascii="Arial" w:hAnsi="Arial" w:cs="Arial"/>
          <w:sz w:val="22"/>
          <w:szCs w:val="22"/>
        </w:rPr>
        <w:t>o Inform The</w:t>
      </w:r>
      <w:r w:rsidR="00D27243">
        <w:rPr>
          <w:rFonts w:ascii="Arial" w:hAnsi="Arial" w:cs="Arial"/>
          <w:sz w:val="22"/>
          <w:szCs w:val="22"/>
        </w:rPr>
        <w:t xml:space="preserve"> </w:t>
      </w:r>
      <w:r w:rsidRPr="00D27243" w:rsidR="00D27243">
        <w:rPr>
          <w:rFonts w:ascii="Arial" w:hAnsi="Arial" w:cs="Arial"/>
          <w:sz w:val="22"/>
          <w:szCs w:val="22"/>
        </w:rPr>
        <w:t xml:space="preserve">Licensing Basis </w:t>
      </w:r>
      <w:r w:rsidR="00D27243">
        <w:rPr>
          <w:rFonts w:ascii="Arial" w:hAnsi="Arial" w:cs="Arial"/>
          <w:sz w:val="22"/>
          <w:szCs w:val="22"/>
        </w:rPr>
        <w:t>a</w:t>
      </w:r>
      <w:r w:rsidRPr="00D27243" w:rsidR="00D27243">
        <w:rPr>
          <w:rFonts w:ascii="Arial" w:hAnsi="Arial" w:cs="Arial"/>
          <w:sz w:val="22"/>
          <w:szCs w:val="22"/>
        </w:rPr>
        <w:t xml:space="preserve">nd Content </w:t>
      </w:r>
      <w:r w:rsidR="00D27243">
        <w:rPr>
          <w:rFonts w:ascii="Arial" w:hAnsi="Arial" w:cs="Arial"/>
          <w:sz w:val="22"/>
          <w:szCs w:val="22"/>
        </w:rPr>
        <w:t>o</w:t>
      </w:r>
      <w:r w:rsidRPr="00D27243" w:rsidR="00D27243">
        <w:rPr>
          <w:rFonts w:ascii="Arial" w:hAnsi="Arial" w:cs="Arial"/>
          <w:sz w:val="22"/>
          <w:szCs w:val="22"/>
        </w:rPr>
        <w:t xml:space="preserve">f Applications </w:t>
      </w:r>
      <w:r w:rsidR="00D27243">
        <w:rPr>
          <w:rFonts w:ascii="Arial" w:hAnsi="Arial" w:cs="Arial"/>
          <w:sz w:val="22"/>
          <w:szCs w:val="22"/>
        </w:rPr>
        <w:t>f</w:t>
      </w:r>
      <w:r w:rsidRPr="00D27243" w:rsidR="00D27243">
        <w:rPr>
          <w:rFonts w:ascii="Arial" w:hAnsi="Arial" w:cs="Arial"/>
          <w:sz w:val="22"/>
          <w:szCs w:val="22"/>
        </w:rPr>
        <w:t>or</w:t>
      </w:r>
      <w:r w:rsidR="00D27243">
        <w:rPr>
          <w:rFonts w:ascii="Arial" w:hAnsi="Arial" w:cs="Arial"/>
          <w:sz w:val="22"/>
          <w:szCs w:val="22"/>
        </w:rPr>
        <w:t xml:space="preserve"> </w:t>
      </w:r>
      <w:r w:rsidRPr="00D27243" w:rsidR="00D27243">
        <w:rPr>
          <w:rFonts w:ascii="Arial" w:hAnsi="Arial" w:cs="Arial"/>
          <w:sz w:val="22"/>
          <w:szCs w:val="22"/>
        </w:rPr>
        <w:t xml:space="preserve">Licenses, Certifications, </w:t>
      </w:r>
      <w:r w:rsidR="00D27243">
        <w:rPr>
          <w:rFonts w:ascii="Arial" w:hAnsi="Arial" w:cs="Arial"/>
          <w:sz w:val="22"/>
          <w:szCs w:val="22"/>
        </w:rPr>
        <w:t>a</w:t>
      </w:r>
      <w:r w:rsidRPr="00D27243" w:rsidR="00D27243">
        <w:rPr>
          <w:rFonts w:ascii="Arial" w:hAnsi="Arial" w:cs="Arial"/>
          <w:sz w:val="22"/>
          <w:szCs w:val="22"/>
        </w:rPr>
        <w:t xml:space="preserve">nd Approvals </w:t>
      </w:r>
      <w:r w:rsidR="00D27243">
        <w:rPr>
          <w:rFonts w:ascii="Arial" w:hAnsi="Arial" w:cs="Arial"/>
          <w:sz w:val="22"/>
          <w:szCs w:val="22"/>
        </w:rPr>
        <w:t>f</w:t>
      </w:r>
      <w:r w:rsidRPr="00D27243" w:rsidR="00D27243">
        <w:rPr>
          <w:rFonts w:ascii="Arial" w:hAnsi="Arial" w:cs="Arial"/>
          <w:sz w:val="22"/>
          <w:szCs w:val="22"/>
        </w:rPr>
        <w:t>or</w:t>
      </w:r>
      <w:r w:rsidR="00D27243">
        <w:rPr>
          <w:rFonts w:ascii="Arial" w:hAnsi="Arial" w:cs="Arial"/>
          <w:sz w:val="22"/>
          <w:szCs w:val="22"/>
        </w:rPr>
        <w:t xml:space="preserve"> </w:t>
      </w:r>
      <w:r w:rsidRPr="00D27243" w:rsidR="00D27243">
        <w:rPr>
          <w:rFonts w:ascii="Arial" w:hAnsi="Arial" w:cs="Arial"/>
          <w:sz w:val="22"/>
          <w:szCs w:val="22"/>
        </w:rPr>
        <w:t>Non-Light-Water Reactors</w:t>
      </w:r>
      <w:r w:rsidR="00D27243">
        <w:rPr>
          <w:rFonts w:ascii="Arial" w:hAnsi="Arial" w:cs="Arial"/>
          <w:sz w:val="22"/>
          <w:szCs w:val="22"/>
        </w:rPr>
        <w:t>,”</w:t>
      </w:r>
      <w:r w:rsidRPr="00436234" w:rsidR="00D27243">
        <w:rPr>
          <w:rFonts w:ascii="Arial" w:hAnsi="Arial" w:cs="Arial"/>
          <w:sz w:val="22"/>
          <w:szCs w:val="22"/>
        </w:rPr>
        <w:t xml:space="preserve"> </w:t>
      </w:r>
      <w:r w:rsidR="00127033">
        <w:rPr>
          <w:rFonts w:ascii="Arial" w:hAnsi="Arial" w:cs="Arial"/>
          <w:sz w:val="22"/>
          <w:szCs w:val="22"/>
        </w:rPr>
        <w:t>issu</w:t>
      </w:r>
      <w:r w:rsidR="001F6645">
        <w:rPr>
          <w:rFonts w:ascii="Arial" w:hAnsi="Arial" w:cs="Arial"/>
          <w:sz w:val="22"/>
          <w:szCs w:val="22"/>
        </w:rPr>
        <w:t xml:space="preserve">ed December 2019 </w:t>
      </w:r>
      <w:r w:rsidR="00451C74">
        <w:rPr>
          <w:rFonts w:ascii="Arial" w:hAnsi="Arial" w:cs="Arial"/>
          <w:sz w:val="22"/>
          <w:szCs w:val="22"/>
        </w:rPr>
        <w:t>(</w:t>
      </w:r>
      <w:r w:rsidRPr="00451C74" w:rsidR="00451C74">
        <w:rPr>
          <w:rFonts w:ascii="Arial" w:hAnsi="Arial" w:cs="Arial"/>
          <w:sz w:val="22"/>
          <w:szCs w:val="22"/>
        </w:rPr>
        <w:t>ML18312A253</w:t>
      </w:r>
      <w:r w:rsidR="00451C74">
        <w:rPr>
          <w:rFonts w:ascii="Arial" w:hAnsi="Arial" w:cs="Arial"/>
          <w:sz w:val="22"/>
          <w:szCs w:val="22"/>
        </w:rPr>
        <w:t>)</w:t>
      </w:r>
      <w:r w:rsidR="008B6A47">
        <w:rPr>
          <w:rFonts w:ascii="Arial" w:hAnsi="Arial" w:cs="Arial"/>
          <w:sz w:val="22"/>
          <w:szCs w:val="22"/>
        </w:rPr>
        <w:t>,</w:t>
      </w:r>
      <w:r w:rsidR="00451C74">
        <w:rPr>
          <w:rFonts w:ascii="Arial" w:hAnsi="Arial" w:cs="Arial"/>
          <w:sz w:val="22"/>
          <w:szCs w:val="22"/>
        </w:rPr>
        <w:t xml:space="preserve"> </w:t>
      </w:r>
      <w:r w:rsidRPr="00436234">
        <w:rPr>
          <w:rFonts w:ascii="Arial" w:hAnsi="Arial" w:cs="Arial"/>
          <w:sz w:val="22"/>
          <w:szCs w:val="22"/>
        </w:rPr>
        <w:t>as a reasonable approach for establishing key parts of the licensing basis and content of applications for licenses, certifications, and approvals for non-LWRs. NEI 18-04 was subsequently endorsed by the NRC in RG 1.233. As such, the use of these LBE categories and nomenclature in 10</w:t>
      </w:r>
      <w:r w:rsidR="00724339">
        <w:rPr>
          <w:rFonts w:ascii="Arial" w:hAnsi="Arial" w:cs="Arial"/>
          <w:sz w:val="22"/>
          <w:szCs w:val="22"/>
        </w:rPr>
        <w:t> </w:t>
      </w:r>
      <w:r w:rsidRPr="00436234">
        <w:rPr>
          <w:rFonts w:ascii="Arial" w:hAnsi="Arial" w:cs="Arial"/>
          <w:sz w:val="22"/>
          <w:szCs w:val="22"/>
        </w:rPr>
        <w:t>CFR</w:t>
      </w:r>
      <w:r w:rsidR="00724339">
        <w:rPr>
          <w:rFonts w:ascii="Arial" w:hAnsi="Arial" w:cs="Arial"/>
          <w:sz w:val="22"/>
          <w:szCs w:val="22"/>
        </w:rPr>
        <w:t> </w:t>
      </w:r>
      <w:r w:rsidRPr="00436234">
        <w:rPr>
          <w:rFonts w:ascii="Arial" w:hAnsi="Arial" w:cs="Arial"/>
          <w:sz w:val="22"/>
          <w:szCs w:val="22"/>
        </w:rPr>
        <w:t>Part 53 is informed by a well-established, technology-inclusive, risk-informed, and performance-based methodology and establishes the dynamic between the use of LBEs other than DBAs to inform the development of DBAs.</w:t>
      </w:r>
    </w:p>
    <w:p w:rsidR="00E90711" w:rsidRPr="00436234" w:rsidP="00436234" w14:paraId="747BBE01" w14:textId="77777777">
      <w:pPr>
        <w:spacing w:after="220"/>
        <w:rPr>
          <w:rFonts w:ascii="Arial" w:hAnsi="Arial" w:cs="Arial"/>
          <w:b/>
          <w:sz w:val="22"/>
          <w:szCs w:val="22"/>
        </w:rPr>
      </w:pPr>
      <w:r w:rsidRPr="00436234">
        <w:rPr>
          <w:rFonts w:ascii="Arial" w:hAnsi="Arial" w:cs="Arial"/>
          <w:sz w:val="22"/>
          <w:szCs w:val="22"/>
        </w:rPr>
        <w:t>Accordingly, the NRC did not change the rule language in response to this comment.</w:t>
      </w:r>
    </w:p>
    <w:p w:rsidR="000E5B49" w:rsidRPr="00436234" w:rsidP="00436234" w14:paraId="4A351BDB" w14:textId="77777777">
      <w:pPr>
        <w:spacing w:after="220"/>
        <w:rPr>
          <w:rFonts w:ascii="Arial" w:hAnsi="Arial" w:cs="Arial"/>
          <w:sz w:val="22"/>
          <w:szCs w:val="22"/>
        </w:rPr>
      </w:pPr>
      <w:r>
        <w:rPr>
          <w:rFonts w:ascii="Arial" w:hAnsi="Arial" w:cs="Arial"/>
          <w:sz w:val="22"/>
          <w:szCs w:val="22"/>
        </w:rPr>
        <w:pict>
          <v:rect id="_x0000_i1071" style="width:0;height:1.5pt" o:hralign="center" o:hrstd="t" o:hrnoshade="t" o:hr="t" fillcolor="black" stroked="f"/>
        </w:pict>
      </w:r>
    </w:p>
    <w:p w:rsidR="00E90711" w:rsidRPr="00436234" w:rsidP="00436234" w14:paraId="727A852F" w14:textId="77777777">
      <w:pPr>
        <w:spacing w:after="220"/>
        <w:rPr>
          <w:rFonts w:ascii="Arial" w:hAnsi="Arial" w:cs="Arial"/>
          <w:sz w:val="22"/>
          <w:szCs w:val="22"/>
        </w:rPr>
      </w:pPr>
      <w:r w:rsidRPr="00436234">
        <w:rPr>
          <w:rFonts w:ascii="Arial" w:hAnsi="Arial" w:cs="Arial"/>
          <w:b/>
          <w:sz w:val="22"/>
          <w:szCs w:val="22"/>
        </w:rPr>
        <w:t xml:space="preserve">Comment Bin 3.2.1.1.D: </w:t>
      </w:r>
      <w:r w:rsidRPr="00436234">
        <w:rPr>
          <w:rFonts w:ascii="Arial" w:hAnsi="Arial" w:cs="Arial"/>
          <w:sz w:val="22"/>
          <w:szCs w:val="22"/>
        </w:rPr>
        <w:t>A commenter wrote that the requirement in 10 CFR 53.210 uses language that is prescriptive rather than performance-based. Specifically, the commenter says that the phrase “design features and programmatic controls must be provided” prescribes features rather than defining the desired outcome. The commenter suggested revising 10 CFR 53.210, which requires that design-basis accidents be identified and analyzed in accordance with 10 CFR 53.240, to delete the phrase “design features and programmatic controls must be provided” (</w:t>
      </w:r>
      <w:r w:rsidR="009D6BB9">
        <w:rPr>
          <w:rFonts w:ascii="Arial" w:hAnsi="Arial" w:cs="Arial"/>
          <w:sz w:val="22"/>
          <w:szCs w:val="22"/>
        </w:rPr>
        <w:t>NEI2</w:t>
      </w:r>
      <w:r w:rsidRPr="00436234">
        <w:rPr>
          <w:rFonts w:ascii="Arial" w:hAnsi="Arial" w:cs="Arial"/>
          <w:sz w:val="22"/>
          <w:szCs w:val="22"/>
        </w:rPr>
        <w:t>-0036).</w:t>
      </w:r>
    </w:p>
    <w:p w:rsidR="00E90711" w:rsidRPr="00436234" w:rsidP="00436234" w14:paraId="61545A1A" w14:textId="77777777">
      <w:pPr>
        <w:spacing w:after="220"/>
        <w:rPr>
          <w:rFonts w:ascii="Arial" w:hAnsi="Arial" w:cs="Arial"/>
          <w:sz w:val="22"/>
          <w:szCs w:val="22"/>
        </w:rPr>
      </w:pPr>
      <w:r w:rsidRPr="00436234">
        <w:rPr>
          <w:rFonts w:ascii="Arial" w:hAnsi="Arial" w:cs="Arial"/>
          <w:sz w:val="22"/>
          <w:szCs w:val="22"/>
        </w:rPr>
        <w:t>Another commenter proposed revising 10 CFR 53.210 as follows (</w:t>
      </w:r>
      <w:r w:rsidR="004C1A5D">
        <w:rPr>
          <w:rFonts w:ascii="Arial" w:hAnsi="Arial" w:cs="Arial"/>
          <w:sz w:val="22"/>
          <w:szCs w:val="22"/>
        </w:rPr>
        <w:t>BI1</w:t>
      </w:r>
      <w:r w:rsidRPr="00436234">
        <w:rPr>
          <w:rFonts w:ascii="Arial" w:hAnsi="Arial" w:cs="Arial"/>
          <w:sz w:val="22"/>
          <w:szCs w:val="22"/>
        </w:rPr>
        <w:t>-0017):</w:t>
      </w:r>
    </w:p>
    <w:p w:rsidR="00E90711" w:rsidRPr="00436234" w:rsidP="00436234" w14:paraId="7C11855D" w14:textId="77777777">
      <w:pPr>
        <w:spacing w:after="220"/>
        <w:ind w:left="720" w:right="720"/>
        <w:rPr>
          <w:rFonts w:ascii="Arial" w:hAnsi="Arial" w:cs="Arial"/>
          <w:sz w:val="22"/>
          <w:szCs w:val="22"/>
        </w:rPr>
      </w:pPr>
      <w:r w:rsidRPr="00436234">
        <w:rPr>
          <w:rFonts w:ascii="Arial" w:hAnsi="Arial" w:cs="Arial"/>
          <w:sz w:val="22"/>
          <w:szCs w:val="22"/>
        </w:rPr>
        <w:t>(a) Safety criteria must be established to ensure the safe operation of all commercial nuclear reactor technologies, regardless of design. These criteria shall be based on performance outcomes that align with risk-informed principles.</w:t>
      </w:r>
    </w:p>
    <w:p w:rsidR="00E90711" w:rsidRPr="00436234" w:rsidP="00436234" w14:paraId="47362C88" w14:textId="77777777">
      <w:pPr>
        <w:spacing w:after="220"/>
        <w:ind w:left="720" w:right="720"/>
        <w:rPr>
          <w:rFonts w:ascii="Arial" w:hAnsi="Arial" w:cs="Arial"/>
          <w:sz w:val="22"/>
          <w:szCs w:val="22"/>
        </w:rPr>
      </w:pPr>
      <w:r w:rsidRPr="00436234">
        <w:rPr>
          <w:rFonts w:ascii="Arial" w:hAnsi="Arial" w:cs="Arial"/>
          <w:sz w:val="22"/>
          <w:szCs w:val="22"/>
        </w:rPr>
        <w:t>(b) The criteria must:</w:t>
      </w:r>
    </w:p>
    <w:p w:rsidR="00E90711" w:rsidRPr="00436234" w:rsidP="00436234" w14:paraId="04573F0B" w14:textId="77777777">
      <w:pPr>
        <w:spacing w:after="220"/>
        <w:ind w:left="720" w:right="720"/>
        <w:rPr>
          <w:rFonts w:ascii="Arial" w:hAnsi="Arial" w:cs="Arial"/>
          <w:sz w:val="22"/>
          <w:szCs w:val="22"/>
        </w:rPr>
      </w:pPr>
      <w:r w:rsidRPr="00436234">
        <w:rPr>
          <w:rFonts w:ascii="Arial" w:hAnsi="Arial" w:cs="Arial"/>
          <w:sz w:val="22"/>
          <w:szCs w:val="22"/>
        </w:rPr>
        <w:t>(1) Address all potential radiological hazards without imposing design-specific technical solutions;</w:t>
      </w:r>
    </w:p>
    <w:p w:rsidR="00E90711" w:rsidRPr="00436234" w:rsidP="00436234" w14:paraId="221A301C" w14:textId="77777777">
      <w:pPr>
        <w:spacing w:after="220"/>
        <w:ind w:left="720" w:right="720"/>
        <w:rPr>
          <w:rFonts w:ascii="Arial" w:hAnsi="Arial" w:cs="Arial"/>
          <w:sz w:val="22"/>
          <w:szCs w:val="22"/>
        </w:rPr>
      </w:pPr>
      <w:r w:rsidRPr="00436234">
        <w:rPr>
          <w:rFonts w:ascii="Arial" w:hAnsi="Arial" w:cs="Arial"/>
          <w:sz w:val="22"/>
          <w:szCs w:val="22"/>
        </w:rPr>
        <w:t>(2) Allow licensees to propose innovative approaches to meet safety performance standards; and</w:t>
      </w:r>
    </w:p>
    <w:p w:rsidR="00E90711" w:rsidRPr="00436234" w:rsidP="00436234" w14:paraId="61B474F7" w14:textId="77777777">
      <w:pPr>
        <w:spacing w:after="220"/>
        <w:ind w:left="720" w:right="720"/>
        <w:rPr>
          <w:rFonts w:ascii="Arial" w:hAnsi="Arial" w:cs="Arial"/>
          <w:sz w:val="22"/>
          <w:szCs w:val="22"/>
        </w:rPr>
      </w:pPr>
      <w:r w:rsidRPr="00436234">
        <w:rPr>
          <w:rFonts w:ascii="Arial" w:hAnsi="Arial" w:cs="Arial"/>
          <w:sz w:val="22"/>
          <w:szCs w:val="22"/>
        </w:rPr>
        <w:t>(3) Be scalable to the size, complexity, and risk profile of the technology.</w:t>
      </w:r>
    </w:p>
    <w:p w:rsidR="00B36394" w:rsidRPr="00436234" w:rsidP="00436234" w14:paraId="62F81CEB"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disagrees with the comments.</w:t>
      </w:r>
    </w:p>
    <w:p w:rsidR="00E90711" w:rsidRPr="00436234" w:rsidP="00436234" w14:paraId="637A4081" w14:textId="77777777">
      <w:pPr>
        <w:spacing w:after="220"/>
        <w:rPr>
          <w:rFonts w:ascii="Arial" w:hAnsi="Arial" w:cs="Arial"/>
          <w:sz w:val="22"/>
          <w:szCs w:val="22"/>
        </w:rPr>
      </w:pPr>
      <w:r w:rsidRPr="00436234">
        <w:rPr>
          <w:rFonts w:ascii="Arial" w:hAnsi="Arial" w:cs="Arial"/>
          <w:sz w:val="22"/>
          <w:szCs w:val="22"/>
        </w:rPr>
        <w:t>The safety criteria in 10 CFR 53.210 refer to design features and programmatic controls as a matter of reflecting the hierarchical nature of the regulatory framework under 10</w:t>
      </w:r>
      <w:r w:rsidRPr="00436234" w:rsidR="0080326B">
        <w:rPr>
          <w:rFonts w:ascii="Arial" w:hAnsi="Arial" w:cs="Arial"/>
          <w:sz w:val="22"/>
          <w:szCs w:val="22"/>
        </w:rPr>
        <w:t> </w:t>
      </w:r>
      <w:r w:rsidRPr="00436234">
        <w:rPr>
          <w:rFonts w:ascii="Arial" w:hAnsi="Arial" w:cs="Arial"/>
          <w:sz w:val="22"/>
          <w:szCs w:val="22"/>
        </w:rPr>
        <w:t>CFR Part 53. This is consistent with the established regulatory construct that the applicant is responsible for providing the design features and programmatic controls to satisfy the safety criteria.</w:t>
      </w:r>
    </w:p>
    <w:p w:rsidR="00E90711" w:rsidRPr="00436234" w:rsidP="00436234" w14:paraId="64098C99" w14:textId="77777777">
      <w:pPr>
        <w:spacing w:after="220"/>
        <w:rPr>
          <w:rFonts w:ascii="Arial" w:hAnsi="Arial" w:cs="Arial"/>
          <w:sz w:val="22"/>
          <w:szCs w:val="22"/>
        </w:rPr>
      </w:pPr>
      <w:r w:rsidRPr="00436234">
        <w:rPr>
          <w:rFonts w:ascii="Arial" w:hAnsi="Arial" w:cs="Arial"/>
          <w:sz w:val="22"/>
          <w:szCs w:val="22"/>
        </w:rPr>
        <w:t>The NRC disagrees with the proposed revisions to 10 CFR 53.210. The safety criteria in 10</w:t>
      </w:r>
      <w:r w:rsidR="003E6FC6">
        <w:rPr>
          <w:rFonts w:ascii="Arial" w:hAnsi="Arial" w:cs="Arial"/>
          <w:sz w:val="22"/>
          <w:szCs w:val="22"/>
        </w:rPr>
        <w:t> </w:t>
      </w:r>
      <w:r w:rsidRPr="00436234">
        <w:rPr>
          <w:rFonts w:ascii="Arial" w:hAnsi="Arial" w:cs="Arial"/>
          <w:sz w:val="22"/>
          <w:szCs w:val="22"/>
        </w:rPr>
        <w:t xml:space="preserve">CFR 53.210 are technology-inclusive and do not impose design-specific technical solutions for addressing all potential radiological hazards. 10 CFR Part 53 already allows for substantial flexibility for an applicant to choose a variety of approaches to developing a safety </w:t>
      </w:r>
      <w:r w:rsidR="00CA4AB0">
        <w:rPr>
          <w:rFonts w:ascii="Arial" w:hAnsi="Arial" w:cs="Arial"/>
          <w:sz w:val="22"/>
          <w:szCs w:val="22"/>
        </w:rPr>
        <w:t>analysis,</w:t>
      </w:r>
      <w:r w:rsidRPr="00436234">
        <w:rPr>
          <w:rFonts w:ascii="Arial" w:hAnsi="Arial" w:cs="Arial"/>
          <w:sz w:val="22"/>
          <w:szCs w:val="22"/>
        </w:rPr>
        <w:t xml:space="preserve"> and the use performance-based, high-level safety criteria would unduly impose additional uncertainty on licensing processes.</w:t>
      </w:r>
    </w:p>
    <w:p w:rsidR="00E90711" w:rsidRPr="00436234" w:rsidP="00436234" w14:paraId="5D63AD76" w14:textId="77777777">
      <w:pPr>
        <w:spacing w:after="220"/>
        <w:ind w:right="720"/>
        <w:rPr>
          <w:rFonts w:ascii="Arial" w:hAnsi="Arial" w:cs="Arial"/>
          <w:sz w:val="22"/>
          <w:szCs w:val="22"/>
        </w:rPr>
      </w:pPr>
      <w:r w:rsidRPr="00436234">
        <w:rPr>
          <w:rFonts w:ascii="Arial" w:hAnsi="Arial" w:cs="Arial"/>
          <w:sz w:val="22"/>
          <w:szCs w:val="22"/>
        </w:rPr>
        <w:t>Accordingly, the NRC did not change the rule language in response to these comments.</w:t>
      </w:r>
    </w:p>
    <w:p w:rsidR="000E5B49" w:rsidRPr="00436234" w:rsidP="00436234" w14:paraId="54026693" w14:textId="77777777">
      <w:pPr>
        <w:spacing w:after="220"/>
        <w:rPr>
          <w:rFonts w:ascii="Arial" w:hAnsi="Arial" w:cs="Arial"/>
          <w:sz w:val="22"/>
          <w:szCs w:val="22"/>
        </w:rPr>
      </w:pPr>
      <w:r>
        <w:rPr>
          <w:rFonts w:ascii="Arial" w:hAnsi="Arial" w:cs="Arial"/>
          <w:sz w:val="22"/>
          <w:szCs w:val="22"/>
        </w:rPr>
        <w:pict>
          <v:rect id="_x0000_i1072" style="width:0;height:1.5pt" o:hralign="center" o:hrstd="t" o:hrnoshade="t" o:hr="t" fillcolor="black" stroked="f"/>
        </w:pict>
      </w:r>
    </w:p>
    <w:p w:rsidR="00E90711" w:rsidRPr="00436234" w:rsidP="00436234" w14:paraId="7B260604" w14:textId="77777777">
      <w:pPr>
        <w:spacing w:after="220"/>
        <w:rPr>
          <w:rFonts w:ascii="Arial" w:hAnsi="Arial" w:cs="Arial"/>
          <w:sz w:val="22"/>
          <w:szCs w:val="22"/>
        </w:rPr>
      </w:pPr>
      <w:r w:rsidRPr="00436234">
        <w:rPr>
          <w:rFonts w:ascii="Arial" w:hAnsi="Arial" w:cs="Arial"/>
          <w:b/>
          <w:sz w:val="22"/>
          <w:szCs w:val="22"/>
        </w:rPr>
        <w:t xml:space="preserve">Comment Bin 3.2.1.1.E: </w:t>
      </w:r>
      <w:r w:rsidRPr="00436234">
        <w:rPr>
          <w:rFonts w:ascii="Arial" w:hAnsi="Arial" w:cs="Arial"/>
          <w:sz w:val="22"/>
          <w:szCs w:val="22"/>
        </w:rPr>
        <w:t>A commenter wrote that 10 CFR 53.220(a) references 10</w:t>
      </w:r>
      <w:r w:rsidRPr="00436234" w:rsidR="008C2B6B">
        <w:rPr>
          <w:rFonts w:ascii="Arial" w:hAnsi="Arial" w:cs="Arial"/>
          <w:sz w:val="22"/>
          <w:szCs w:val="22"/>
        </w:rPr>
        <w:t> </w:t>
      </w:r>
      <w:r w:rsidRPr="00436234">
        <w:rPr>
          <w:rFonts w:ascii="Arial" w:hAnsi="Arial" w:cs="Arial"/>
          <w:sz w:val="22"/>
          <w:szCs w:val="22"/>
        </w:rPr>
        <w:t>CFR</w:t>
      </w:r>
      <w:r w:rsidR="003E6FC6">
        <w:rPr>
          <w:rFonts w:ascii="Arial" w:hAnsi="Arial" w:cs="Arial"/>
          <w:sz w:val="22"/>
          <w:szCs w:val="22"/>
        </w:rPr>
        <w:t> </w:t>
      </w:r>
      <w:r w:rsidRPr="00436234">
        <w:rPr>
          <w:rFonts w:ascii="Arial" w:hAnsi="Arial" w:cs="Arial"/>
          <w:sz w:val="22"/>
          <w:szCs w:val="22"/>
        </w:rPr>
        <w:t>53.240 bringing in 10 CFR 52.240(c) which explicitly requires analysis of DBAs and analysis of LBEs to meet the criteria of 10 CFR 53.210. Additionally, 10</w:t>
      </w:r>
      <w:r w:rsidRPr="00436234" w:rsidR="008C2B6B">
        <w:rPr>
          <w:rFonts w:ascii="Arial" w:hAnsi="Arial" w:cs="Arial"/>
          <w:sz w:val="22"/>
          <w:szCs w:val="22"/>
        </w:rPr>
        <w:t> </w:t>
      </w:r>
      <w:r w:rsidRPr="00436234">
        <w:rPr>
          <w:rFonts w:ascii="Arial" w:hAnsi="Arial" w:cs="Arial"/>
          <w:sz w:val="22"/>
          <w:szCs w:val="22"/>
        </w:rPr>
        <w:t>CFR</w:t>
      </w:r>
      <w:r w:rsidRPr="00436234" w:rsidR="008C2B6B">
        <w:rPr>
          <w:rFonts w:ascii="Arial" w:hAnsi="Arial" w:cs="Arial"/>
          <w:sz w:val="22"/>
          <w:szCs w:val="22"/>
        </w:rPr>
        <w:t> </w:t>
      </w:r>
      <w:r w:rsidRPr="00436234">
        <w:rPr>
          <w:rFonts w:ascii="Arial" w:hAnsi="Arial" w:cs="Arial"/>
          <w:sz w:val="22"/>
          <w:szCs w:val="22"/>
        </w:rPr>
        <w:t>53.240(a) references 10 CFR</w:t>
      </w:r>
      <w:r w:rsidR="003E6FC6">
        <w:rPr>
          <w:rFonts w:ascii="Arial" w:hAnsi="Arial" w:cs="Arial"/>
          <w:sz w:val="22"/>
          <w:szCs w:val="22"/>
        </w:rPr>
        <w:t> </w:t>
      </w:r>
      <w:r w:rsidRPr="00436234">
        <w:rPr>
          <w:rFonts w:ascii="Arial" w:hAnsi="Arial" w:cs="Arial"/>
          <w:sz w:val="22"/>
          <w:szCs w:val="22"/>
        </w:rPr>
        <w:t>53.450 broadly which could imply 10</w:t>
      </w:r>
      <w:r w:rsidRPr="00436234" w:rsidR="008C2B6B">
        <w:rPr>
          <w:rFonts w:ascii="Arial" w:hAnsi="Arial" w:cs="Arial"/>
          <w:sz w:val="22"/>
          <w:szCs w:val="22"/>
        </w:rPr>
        <w:t> </w:t>
      </w:r>
      <w:r w:rsidRPr="00436234">
        <w:rPr>
          <w:rFonts w:ascii="Arial" w:hAnsi="Arial" w:cs="Arial"/>
          <w:sz w:val="22"/>
          <w:szCs w:val="22"/>
        </w:rPr>
        <w:t>CFR</w:t>
      </w:r>
      <w:r w:rsidRPr="00436234" w:rsidR="008C2B6B">
        <w:rPr>
          <w:rFonts w:ascii="Arial" w:hAnsi="Arial" w:cs="Arial"/>
          <w:sz w:val="22"/>
          <w:szCs w:val="22"/>
        </w:rPr>
        <w:t> </w:t>
      </w:r>
      <w:r w:rsidRPr="00436234">
        <w:rPr>
          <w:rFonts w:ascii="Arial" w:hAnsi="Arial" w:cs="Arial"/>
          <w:sz w:val="22"/>
          <w:szCs w:val="22"/>
        </w:rPr>
        <w:t>53.220 is meant to cover safety criteria for aircraft impact assessments and fire protection. The commenter suggested revising the text to add “classified as NSRSS” after “Design features and programmatic controls” to clarify that design features and programmatic controls to me</w:t>
      </w:r>
      <w:r w:rsidR="008F0F83">
        <w:rPr>
          <w:rFonts w:ascii="Arial" w:hAnsi="Arial" w:cs="Arial"/>
          <w:sz w:val="22"/>
          <w:szCs w:val="22"/>
        </w:rPr>
        <w:t>e</w:t>
      </w:r>
      <w:r w:rsidRPr="00436234">
        <w:rPr>
          <w:rFonts w:ascii="Arial" w:hAnsi="Arial" w:cs="Arial"/>
          <w:sz w:val="22"/>
          <w:szCs w:val="22"/>
        </w:rPr>
        <w:t>t 10 CFR 53.220 are not required to be safety related. The commenter also suggested removing reference</w:t>
      </w:r>
      <w:r w:rsidRPr="00436234" w:rsidR="008C2B6B">
        <w:rPr>
          <w:rFonts w:ascii="Arial" w:hAnsi="Arial" w:cs="Arial"/>
          <w:sz w:val="22"/>
          <w:szCs w:val="22"/>
        </w:rPr>
        <w:t>s</w:t>
      </w:r>
      <w:r w:rsidRPr="00436234">
        <w:rPr>
          <w:rFonts w:ascii="Arial" w:hAnsi="Arial" w:cs="Arial"/>
          <w:sz w:val="22"/>
          <w:szCs w:val="22"/>
        </w:rPr>
        <w:t xml:space="preserve"> in 10 CFR 53.220 and 10 CFR 53.240 so that safety criteria for LBEs other than DBAs do not reference requirements for DBAs, and to provide clarity on whether 10 CFR 53.220 was intended to cover criteria from 10</w:t>
      </w:r>
      <w:r w:rsidRPr="00436234" w:rsidR="0080326B">
        <w:rPr>
          <w:rFonts w:ascii="Arial" w:hAnsi="Arial" w:cs="Arial"/>
          <w:sz w:val="22"/>
          <w:szCs w:val="22"/>
        </w:rPr>
        <w:t> </w:t>
      </w:r>
      <w:r w:rsidRPr="00436234">
        <w:rPr>
          <w:rFonts w:ascii="Arial" w:hAnsi="Arial" w:cs="Arial"/>
          <w:sz w:val="22"/>
          <w:szCs w:val="22"/>
        </w:rPr>
        <w:t>CFR</w:t>
      </w:r>
      <w:r w:rsidRPr="00436234" w:rsidR="0080326B">
        <w:rPr>
          <w:rFonts w:ascii="Arial" w:hAnsi="Arial" w:cs="Arial"/>
          <w:sz w:val="22"/>
          <w:szCs w:val="22"/>
        </w:rPr>
        <w:t> </w:t>
      </w:r>
      <w:r w:rsidRPr="00436234">
        <w:rPr>
          <w:rFonts w:ascii="Arial" w:hAnsi="Arial" w:cs="Arial"/>
          <w:sz w:val="22"/>
          <w:szCs w:val="22"/>
        </w:rPr>
        <w:t>53.450(e) or 10</w:t>
      </w:r>
      <w:r w:rsidR="003E6FC6">
        <w:rPr>
          <w:rFonts w:ascii="Arial" w:hAnsi="Arial" w:cs="Arial"/>
          <w:sz w:val="22"/>
          <w:szCs w:val="22"/>
        </w:rPr>
        <w:t> </w:t>
      </w:r>
      <w:r w:rsidRPr="00436234">
        <w:rPr>
          <w:rFonts w:ascii="Arial" w:hAnsi="Arial" w:cs="Arial"/>
          <w:sz w:val="22"/>
          <w:szCs w:val="22"/>
        </w:rPr>
        <w:t>CFR 53.450 broadly. To do this, the commenter suggested removing “in accordance with 53.240 and 53.450(e), and provide measures for defense in depth in accordance with 53.250;” from 10 CFR 53.220(a) (</w:t>
      </w:r>
      <w:r w:rsidR="009D6BB9">
        <w:rPr>
          <w:rFonts w:ascii="Arial" w:hAnsi="Arial" w:cs="Arial"/>
          <w:sz w:val="22"/>
          <w:szCs w:val="22"/>
        </w:rPr>
        <w:t>NEI2</w:t>
      </w:r>
      <w:r w:rsidRPr="00436234">
        <w:rPr>
          <w:rFonts w:ascii="Arial" w:hAnsi="Arial" w:cs="Arial"/>
          <w:sz w:val="22"/>
          <w:szCs w:val="22"/>
        </w:rPr>
        <w:t>-0037).</w:t>
      </w:r>
    </w:p>
    <w:p w:rsidR="00E90711" w:rsidRPr="00436234" w:rsidP="00436234" w14:paraId="7CC1C7E0" w14:textId="77777777">
      <w:pPr>
        <w:spacing w:after="220"/>
        <w:rPr>
          <w:rFonts w:ascii="Arial" w:hAnsi="Arial" w:cs="Arial"/>
          <w:sz w:val="22"/>
          <w:szCs w:val="22"/>
        </w:rPr>
      </w:pPr>
      <w:r w:rsidRPr="00436234">
        <w:rPr>
          <w:rFonts w:ascii="Arial" w:hAnsi="Arial" w:cs="Arial"/>
          <w:sz w:val="22"/>
          <w:szCs w:val="22"/>
        </w:rPr>
        <w:t>Another commenter recommended removing “other than DBAs</w:t>
      </w:r>
      <w:r w:rsidR="00122915">
        <w:rPr>
          <w:rFonts w:ascii="Arial" w:hAnsi="Arial" w:cs="Arial"/>
          <w:sz w:val="22"/>
          <w:szCs w:val="22"/>
        </w:rPr>
        <w:t>”</w:t>
      </w:r>
      <w:r w:rsidRPr="00436234">
        <w:rPr>
          <w:rFonts w:ascii="Arial" w:hAnsi="Arial" w:cs="Arial"/>
          <w:sz w:val="22"/>
          <w:szCs w:val="22"/>
        </w:rPr>
        <w:t xml:space="preserve"> throughout 10</w:t>
      </w:r>
      <w:r w:rsidRPr="00436234" w:rsidR="00BA2A7C">
        <w:rPr>
          <w:rFonts w:ascii="Arial" w:hAnsi="Arial" w:cs="Arial"/>
          <w:sz w:val="22"/>
          <w:szCs w:val="22"/>
        </w:rPr>
        <w:t> </w:t>
      </w:r>
      <w:r w:rsidRPr="00436234">
        <w:rPr>
          <w:rFonts w:ascii="Arial" w:hAnsi="Arial" w:cs="Arial"/>
          <w:sz w:val="22"/>
          <w:szCs w:val="22"/>
        </w:rPr>
        <w:t>CFR</w:t>
      </w:r>
      <w:r w:rsidRPr="00436234" w:rsidR="00BA2A7C">
        <w:rPr>
          <w:rFonts w:ascii="Arial" w:hAnsi="Arial" w:cs="Arial"/>
          <w:sz w:val="22"/>
          <w:szCs w:val="22"/>
        </w:rPr>
        <w:t> </w:t>
      </w:r>
      <w:r w:rsidRPr="00436234">
        <w:rPr>
          <w:rFonts w:ascii="Arial" w:hAnsi="Arial" w:cs="Arial"/>
          <w:sz w:val="22"/>
          <w:szCs w:val="22"/>
        </w:rPr>
        <w:t>53.220 to avoid confusion. The commenter also recommended removing comprehensive risk metrics language from the section to improve regulatory certainty and reduce confusion. The commenter suggested rewriting 10 CFR 53.220 as follows (</w:t>
      </w:r>
      <w:r w:rsidR="00D87876">
        <w:rPr>
          <w:rFonts w:ascii="Arial" w:hAnsi="Arial" w:cs="Arial"/>
          <w:sz w:val="22"/>
          <w:szCs w:val="22"/>
        </w:rPr>
        <w:t>SCWG</w:t>
      </w:r>
      <w:r w:rsidRPr="00436234">
        <w:rPr>
          <w:rFonts w:ascii="Arial" w:hAnsi="Arial" w:cs="Arial"/>
          <w:sz w:val="22"/>
          <w:szCs w:val="22"/>
        </w:rPr>
        <w:t xml:space="preserve">-0011): </w:t>
      </w:r>
    </w:p>
    <w:p w:rsidR="00E90711" w:rsidRPr="00436234" w:rsidP="00436234" w14:paraId="311DE977" w14:textId="77777777">
      <w:pPr>
        <w:spacing w:after="220"/>
        <w:ind w:left="720"/>
        <w:rPr>
          <w:rFonts w:ascii="Arial" w:hAnsi="Arial" w:cs="Arial"/>
          <w:sz w:val="22"/>
          <w:szCs w:val="22"/>
        </w:rPr>
      </w:pPr>
      <w:r w:rsidRPr="00436234">
        <w:rPr>
          <w:rFonts w:ascii="Arial" w:hAnsi="Arial" w:cs="Arial"/>
          <w:sz w:val="22"/>
          <w:szCs w:val="22"/>
        </w:rPr>
        <w:t>Design features and programmatic controls for NSRSS SSCs must be provided for each commercial nuclear plant to assure adequate protection of public health and safety. This is achieved through an integrated safety assessment, which must consider the necessary capabilities and reliability of design features and programmatic controls in accordance with 53.450(e), provide measures for defense in depth in accordance with 53.250.</w:t>
      </w:r>
    </w:p>
    <w:p w:rsidR="00F87748" w:rsidRPr="00436234" w:rsidP="00436234" w14:paraId="63925544"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disagrees with the comments.</w:t>
      </w:r>
    </w:p>
    <w:p w:rsidR="004F6D6B" w:rsidRPr="00436234" w:rsidP="00436234" w14:paraId="7FDE0623" w14:textId="77777777">
      <w:pPr>
        <w:spacing w:after="220"/>
        <w:rPr>
          <w:rFonts w:ascii="Arial" w:hAnsi="Arial" w:cs="Arial"/>
          <w:sz w:val="22"/>
          <w:szCs w:val="22"/>
        </w:rPr>
      </w:pPr>
      <w:r w:rsidRPr="00436234">
        <w:rPr>
          <w:rFonts w:ascii="Arial" w:hAnsi="Arial" w:cs="Arial"/>
          <w:sz w:val="22"/>
          <w:szCs w:val="22"/>
        </w:rPr>
        <w:t>The requirements under 10 CFR 53.220 specifically refer to LBEs other than DBAs when citing 10 CFR 53.240. As such, meeting the safety criteria under 10 CFR 53.220 in accordance with 10 CFR 53.240 logically implies the requirements under 10</w:t>
      </w:r>
      <w:r w:rsidR="003E6FC6">
        <w:rPr>
          <w:rFonts w:ascii="Arial" w:hAnsi="Arial" w:cs="Arial"/>
          <w:sz w:val="22"/>
          <w:szCs w:val="22"/>
        </w:rPr>
        <w:t> </w:t>
      </w:r>
      <w:r w:rsidRPr="00436234">
        <w:rPr>
          <w:rFonts w:ascii="Arial" w:hAnsi="Arial" w:cs="Arial"/>
          <w:sz w:val="22"/>
          <w:szCs w:val="22"/>
        </w:rPr>
        <w:t>CFR 53.240 specifically related to LBEs other than DBAs would need to be met. For example, the requirement under 10 CFR 53.240(c)(1) that requires the analysis of LBEs to include analysis of one or more DBAs under 10 CFR 53.450(f) is not applicable for meeting the safety criteria under 10 CFR 53.220 because it does not relate to LBEs other than DBAs. As discussed in the proposed and final rules, the safety criteria under 10 CFR 53.220 for LBEs other than DBAs would establish the connections between SSC design, human actions, and programmatic controls and a broader set of potential internal and external hazards. These safety criteria would also address defense-in-depth matters such as a balanced consideration of prevention and mitigation. While an SSC may be designated as safety</w:t>
      </w:r>
      <w:r w:rsidRPr="00436234">
        <w:rPr>
          <w:rFonts w:ascii="Arial" w:hAnsi="Arial" w:cs="Arial"/>
          <w:sz w:val="22"/>
          <w:szCs w:val="22"/>
        </w:rPr>
        <w:noBreakHyphen/>
        <w:t>related per the definition of safety-related SSCs under 10 CFR 53.020, the safety-related SSCs can also be used to inform other aspects of the licensing basis such as LBEs other than DBAs.</w:t>
      </w:r>
    </w:p>
    <w:p w:rsidR="00F87748" w:rsidRPr="00436234" w:rsidP="00436234" w14:paraId="039E7743" w14:textId="77777777">
      <w:pPr>
        <w:spacing w:after="220"/>
        <w:rPr>
          <w:rFonts w:ascii="Arial" w:hAnsi="Arial" w:cs="Arial"/>
          <w:sz w:val="22"/>
          <w:szCs w:val="22"/>
        </w:rPr>
      </w:pPr>
      <w:r w:rsidRPr="00436234">
        <w:rPr>
          <w:rFonts w:ascii="Arial" w:hAnsi="Arial" w:cs="Arial"/>
          <w:sz w:val="22"/>
          <w:szCs w:val="22"/>
        </w:rPr>
        <w:t>T</w:t>
      </w:r>
      <w:r w:rsidRPr="00436234" w:rsidR="004F6D6B">
        <w:rPr>
          <w:rFonts w:ascii="Arial" w:hAnsi="Arial" w:cs="Arial"/>
          <w:sz w:val="22"/>
          <w:szCs w:val="22"/>
        </w:rPr>
        <w:t>he NRC disagrees with the suggestion to replace the comprehensive risk metric with a reference to “assure adequate protection of public health and safety.” When it approved the proposed rule, the Commission emphasized that the comprehensive metric was intended to be one element of the agency’s review that collectively provided a reasonable assurance of adequate protection of public health and safety. Given the other components of this review, the staff does not see a benefit to equating the criteria in 10 CFR 53.220 with the adequate protection standard.</w:t>
      </w:r>
    </w:p>
    <w:p w:rsidR="004F6D6B" w:rsidRPr="00436234" w:rsidP="00436234" w14:paraId="7151F345" w14:textId="77777777">
      <w:pPr>
        <w:spacing w:after="220"/>
        <w:rPr>
          <w:rFonts w:ascii="Arial" w:hAnsi="Arial" w:cs="Arial"/>
          <w:b/>
          <w:sz w:val="22"/>
          <w:szCs w:val="22"/>
        </w:rPr>
      </w:pPr>
      <w:r w:rsidRPr="00436234">
        <w:rPr>
          <w:rFonts w:ascii="Arial" w:hAnsi="Arial" w:cs="Arial"/>
          <w:sz w:val="22"/>
          <w:szCs w:val="22"/>
        </w:rPr>
        <w:t>Accordingly, the NRC did not change the rule language in response to th</w:t>
      </w:r>
      <w:r w:rsidRPr="00436234" w:rsidR="00F87748">
        <w:rPr>
          <w:rFonts w:ascii="Arial" w:hAnsi="Arial" w:cs="Arial"/>
          <w:sz w:val="22"/>
          <w:szCs w:val="22"/>
        </w:rPr>
        <w:t>e</w:t>
      </w:r>
      <w:r w:rsidRPr="00436234">
        <w:rPr>
          <w:rFonts w:ascii="Arial" w:hAnsi="Arial" w:cs="Arial"/>
          <w:sz w:val="22"/>
          <w:szCs w:val="22"/>
        </w:rPr>
        <w:t>s</w:t>
      </w:r>
      <w:r w:rsidRPr="00436234" w:rsidR="00F87748">
        <w:rPr>
          <w:rFonts w:ascii="Arial" w:hAnsi="Arial" w:cs="Arial"/>
          <w:sz w:val="22"/>
          <w:szCs w:val="22"/>
        </w:rPr>
        <w:t>e</w:t>
      </w:r>
      <w:r w:rsidRPr="00436234">
        <w:rPr>
          <w:rFonts w:ascii="Arial" w:hAnsi="Arial" w:cs="Arial"/>
          <w:sz w:val="22"/>
          <w:szCs w:val="22"/>
        </w:rPr>
        <w:t xml:space="preserve"> comment</w:t>
      </w:r>
      <w:r w:rsidRPr="00436234" w:rsidR="00F87748">
        <w:rPr>
          <w:rFonts w:ascii="Arial" w:hAnsi="Arial" w:cs="Arial"/>
          <w:sz w:val="22"/>
          <w:szCs w:val="22"/>
        </w:rPr>
        <w:t>s</w:t>
      </w:r>
      <w:r w:rsidRPr="00436234">
        <w:rPr>
          <w:rFonts w:ascii="Arial" w:hAnsi="Arial" w:cs="Arial"/>
          <w:sz w:val="22"/>
          <w:szCs w:val="22"/>
        </w:rPr>
        <w:t>.</w:t>
      </w:r>
    </w:p>
    <w:p w:rsidR="000E5B49" w:rsidRPr="00436234" w:rsidP="00436234" w14:paraId="6FEE852A" w14:textId="77777777">
      <w:pPr>
        <w:spacing w:after="220"/>
        <w:rPr>
          <w:rFonts w:ascii="Arial" w:hAnsi="Arial" w:cs="Arial"/>
          <w:sz w:val="22"/>
          <w:szCs w:val="22"/>
        </w:rPr>
      </w:pPr>
      <w:r>
        <w:rPr>
          <w:rFonts w:ascii="Arial" w:hAnsi="Arial" w:cs="Arial"/>
          <w:sz w:val="22"/>
          <w:szCs w:val="22"/>
        </w:rPr>
        <w:pict>
          <v:rect id="_x0000_i1073" style="width:0;height:1.5pt" o:hralign="center" o:hrstd="t" o:hrnoshade="t" o:hr="t" fillcolor="black" stroked="f"/>
        </w:pict>
      </w:r>
    </w:p>
    <w:p w:rsidR="004F6D6B" w:rsidRPr="00436234" w:rsidP="00436234" w14:paraId="2C779A10" w14:textId="77777777">
      <w:pPr>
        <w:spacing w:after="220"/>
        <w:rPr>
          <w:rFonts w:ascii="Arial" w:hAnsi="Arial" w:cs="Arial"/>
          <w:sz w:val="22"/>
          <w:szCs w:val="22"/>
        </w:rPr>
      </w:pPr>
      <w:r w:rsidRPr="00436234">
        <w:rPr>
          <w:rFonts w:ascii="Arial" w:hAnsi="Arial" w:cs="Arial"/>
          <w:b/>
          <w:sz w:val="22"/>
          <w:szCs w:val="22"/>
        </w:rPr>
        <w:t xml:space="preserve">Comment Bin 3.2.1.1.F: </w:t>
      </w:r>
      <w:r w:rsidRPr="00436234">
        <w:rPr>
          <w:rFonts w:ascii="Arial" w:hAnsi="Arial" w:cs="Arial"/>
          <w:sz w:val="22"/>
          <w:szCs w:val="22"/>
        </w:rPr>
        <w:t>A commenter wrote that RG 1.233 and RG 1.253</w:t>
      </w:r>
      <w:r w:rsidR="00182BBC">
        <w:rPr>
          <w:rFonts w:ascii="Arial" w:hAnsi="Arial" w:cs="Arial"/>
          <w:sz w:val="22"/>
          <w:szCs w:val="22"/>
        </w:rPr>
        <w:t>, “</w:t>
      </w:r>
      <w:r w:rsidR="00B759DC">
        <w:rPr>
          <w:rFonts w:ascii="Arial" w:hAnsi="Arial" w:cs="Arial"/>
          <w:sz w:val="22"/>
          <w:szCs w:val="22"/>
        </w:rPr>
        <w:t>Guidance for a Technology-Inclusive Content-of-Application Methodology to Inform the Licensing Basis and Content of Applications for Licenses, Certifications, and Approvals for Non-Light-Water Reactors</w:t>
      </w:r>
      <w:r w:rsidR="00F15D47">
        <w:rPr>
          <w:rFonts w:ascii="Arial" w:hAnsi="Arial" w:cs="Arial"/>
          <w:sz w:val="22"/>
          <w:szCs w:val="22"/>
        </w:rPr>
        <w:t>,” issued March 2024 (</w:t>
      </w:r>
      <w:r w:rsidRPr="00F15D47" w:rsidR="00F15D47">
        <w:rPr>
          <w:rFonts w:ascii="Arial" w:hAnsi="Arial" w:cs="Arial"/>
          <w:sz w:val="22"/>
          <w:szCs w:val="22"/>
        </w:rPr>
        <w:t>ML23269A222</w:t>
      </w:r>
      <w:r w:rsidR="00F15D47">
        <w:rPr>
          <w:rFonts w:ascii="Arial" w:hAnsi="Arial" w:cs="Arial"/>
          <w:sz w:val="22"/>
          <w:szCs w:val="22"/>
        </w:rPr>
        <w:t>)</w:t>
      </w:r>
      <w:r w:rsidR="001B77CD">
        <w:rPr>
          <w:rFonts w:ascii="Arial" w:hAnsi="Arial" w:cs="Arial"/>
          <w:sz w:val="22"/>
          <w:szCs w:val="22"/>
        </w:rPr>
        <w:t>,</w:t>
      </w:r>
      <w:r w:rsidRPr="00436234">
        <w:rPr>
          <w:rFonts w:ascii="Arial" w:hAnsi="Arial" w:cs="Arial"/>
          <w:sz w:val="22"/>
          <w:szCs w:val="22"/>
        </w:rPr>
        <w:t xml:space="preserve"> make a distinction between safety criteria and associated design criteria to meet DBA requirements, safety criteria, and associated design criteria to meet the non-DBA LBE requirements. The commenter wrote that this helps applicants understand and apply the appropriate level of rigor to different classifications of components. The commenter wrote that DID and cumulative risk metrics should be considered in the broader context of the safety case, and suggested the following language in 10 CFR 53.220 to align it with RG 1.233 and the SRM to assess cumulative risk in the broader context of an integrated safety assessment (</w:t>
      </w:r>
      <w:r w:rsidR="00DF6CD2">
        <w:rPr>
          <w:rFonts w:ascii="Arial" w:hAnsi="Arial" w:cs="Arial"/>
          <w:sz w:val="22"/>
          <w:szCs w:val="22"/>
        </w:rPr>
        <w:t>NEI3</w:t>
      </w:r>
      <w:r w:rsidRPr="00436234">
        <w:rPr>
          <w:rFonts w:ascii="Arial" w:hAnsi="Arial" w:cs="Arial"/>
          <w:sz w:val="22"/>
          <w:szCs w:val="22"/>
        </w:rPr>
        <w:t>-0011):</w:t>
      </w:r>
    </w:p>
    <w:p w:rsidR="004F6D6B" w:rsidRPr="00436234" w:rsidP="00436234" w14:paraId="035E30C2" w14:textId="77777777">
      <w:pPr>
        <w:spacing w:after="220"/>
        <w:ind w:left="720"/>
        <w:rPr>
          <w:rFonts w:ascii="Arial" w:hAnsi="Arial" w:cs="Arial"/>
          <w:sz w:val="22"/>
          <w:szCs w:val="22"/>
        </w:rPr>
      </w:pPr>
      <w:r w:rsidRPr="00436234">
        <w:rPr>
          <w:rFonts w:ascii="Arial" w:hAnsi="Arial" w:cs="Arial"/>
          <w:sz w:val="22"/>
          <w:szCs w:val="22"/>
        </w:rPr>
        <w:t xml:space="preserve">Design features and programmatic controls for NSRSS SSCs must be provided for each commercial nuclear plant to assure adequate protection of the public health and safety. This is achieved through an integrated safety assessment which must consider the necessary capabilities and reliability of design features and programmatic controls to </w:t>
      </w:r>
      <w:r w:rsidRPr="00436234">
        <w:rPr>
          <w:rFonts w:ascii="Arial" w:hAnsi="Arial" w:cs="Arial"/>
          <w:sz w:val="22"/>
          <w:szCs w:val="22"/>
        </w:rPr>
        <w:t>address LBEs in accordance with 53.450(e), provide measures for defense in depth in accordance with 53.250; and evaluate residual risk. </w:t>
      </w:r>
    </w:p>
    <w:p w:rsidR="00652003" w:rsidRPr="00436234" w:rsidP="00436234" w14:paraId="4F8126E4"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agrees, in part, with th</w:t>
      </w:r>
      <w:r w:rsidR="00C63273">
        <w:rPr>
          <w:rFonts w:ascii="Arial" w:hAnsi="Arial" w:cs="Arial"/>
          <w:sz w:val="22"/>
          <w:szCs w:val="22"/>
        </w:rPr>
        <w:t>e</w:t>
      </w:r>
      <w:r w:rsidRPr="00436234">
        <w:rPr>
          <w:rFonts w:ascii="Arial" w:hAnsi="Arial" w:cs="Arial"/>
          <w:sz w:val="22"/>
          <w:szCs w:val="22"/>
        </w:rPr>
        <w:t xml:space="preserve"> comment.</w:t>
      </w:r>
    </w:p>
    <w:p w:rsidR="00863CBC" w:rsidRPr="00436234" w:rsidP="00436234" w14:paraId="28BDDD4F" w14:textId="77777777">
      <w:pPr>
        <w:spacing w:after="220"/>
        <w:rPr>
          <w:rFonts w:ascii="Arial" w:hAnsi="Arial" w:cs="Arial"/>
          <w:sz w:val="22"/>
          <w:szCs w:val="22"/>
        </w:rPr>
      </w:pPr>
      <w:r w:rsidRPr="00436234">
        <w:rPr>
          <w:rFonts w:ascii="Arial" w:hAnsi="Arial" w:cs="Arial"/>
          <w:sz w:val="22"/>
          <w:szCs w:val="22"/>
        </w:rPr>
        <w:t>As explained in Section</w:t>
      </w:r>
      <w:r w:rsidRPr="00436234" w:rsidR="00061DAD">
        <w:rPr>
          <w:rFonts w:ascii="Arial" w:hAnsi="Arial" w:cs="Arial"/>
          <w:sz w:val="22"/>
          <w:szCs w:val="22"/>
        </w:rPr>
        <w:t> </w:t>
      </w:r>
      <w:r w:rsidRPr="00436234">
        <w:rPr>
          <w:rFonts w:ascii="Arial" w:hAnsi="Arial" w:cs="Arial"/>
          <w:sz w:val="22"/>
          <w:szCs w:val="22"/>
        </w:rPr>
        <w:t>II.A of the final rule</w:t>
      </w:r>
      <w:r w:rsidR="00703A90">
        <w:rPr>
          <w:rFonts w:ascii="Arial" w:hAnsi="Arial" w:cs="Arial"/>
          <w:sz w:val="22"/>
          <w:szCs w:val="22"/>
        </w:rPr>
        <w:t xml:space="preserve"> FRN</w:t>
      </w:r>
      <w:r w:rsidRPr="00436234">
        <w:rPr>
          <w:rFonts w:ascii="Arial" w:hAnsi="Arial" w:cs="Arial"/>
          <w:sz w:val="22"/>
          <w:szCs w:val="22"/>
        </w:rPr>
        <w:t xml:space="preserve">, the </w:t>
      </w:r>
      <w:r w:rsidRPr="00436234" w:rsidR="004D7F99">
        <w:rPr>
          <w:rFonts w:ascii="Arial" w:hAnsi="Arial" w:cs="Arial"/>
          <w:sz w:val="22"/>
          <w:szCs w:val="22"/>
        </w:rPr>
        <w:t>10 CFR </w:t>
      </w:r>
      <w:r w:rsidRPr="00436234">
        <w:rPr>
          <w:rFonts w:ascii="Arial" w:hAnsi="Arial" w:cs="Arial"/>
          <w:sz w:val="22"/>
          <w:szCs w:val="22"/>
        </w:rPr>
        <w:t xml:space="preserve">Part 53 </w:t>
      </w:r>
      <w:r w:rsidRPr="00436234" w:rsidR="004D7F99">
        <w:rPr>
          <w:rFonts w:ascii="Arial" w:hAnsi="Arial" w:cs="Arial"/>
          <w:sz w:val="22"/>
          <w:szCs w:val="22"/>
        </w:rPr>
        <w:t xml:space="preserve">regulatory framework </w:t>
      </w:r>
      <w:r w:rsidRPr="00436234">
        <w:rPr>
          <w:rFonts w:ascii="Arial" w:hAnsi="Arial" w:cs="Arial"/>
          <w:sz w:val="22"/>
          <w:szCs w:val="22"/>
        </w:rPr>
        <w:t>is built upon concepts such as those included in RG 1.233 and 1.253, and thus much of the discussion within the comment generally aligns with 10</w:t>
      </w:r>
      <w:r w:rsidRPr="00436234" w:rsidR="00652003">
        <w:rPr>
          <w:rFonts w:ascii="Arial" w:hAnsi="Arial" w:cs="Arial"/>
          <w:sz w:val="22"/>
          <w:szCs w:val="22"/>
        </w:rPr>
        <w:t> </w:t>
      </w:r>
      <w:r w:rsidRPr="00436234">
        <w:rPr>
          <w:rFonts w:ascii="Arial" w:hAnsi="Arial" w:cs="Arial"/>
          <w:sz w:val="22"/>
          <w:szCs w:val="22"/>
        </w:rPr>
        <w:t>CFR Part 53 because the rule indicates that components relied on to address DBAs must be classified as SR but components relied on to address non-DBA LBEs would be classified as NSRSS (although some components classified as SR may also be used to address non-DBA LBEs as well as DBAs). The various sections in the subparts of 10</w:t>
      </w:r>
      <w:r w:rsidRPr="00436234" w:rsidR="00652003">
        <w:rPr>
          <w:rFonts w:ascii="Arial" w:hAnsi="Arial" w:cs="Arial"/>
          <w:sz w:val="22"/>
          <w:szCs w:val="22"/>
        </w:rPr>
        <w:t> </w:t>
      </w:r>
      <w:r w:rsidRPr="00436234">
        <w:rPr>
          <w:rFonts w:ascii="Arial" w:hAnsi="Arial" w:cs="Arial"/>
          <w:sz w:val="22"/>
          <w:szCs w:val="22"/>
        </w:rPr>
        <w:t>CFR Part 53 provide an integrated approach, including the consideration of cumulative or comprehensive risk metrics. The comment is related to other comments on the use of comprehensive risk metrics and risk evaluation techniques other than probabilistic risk assessments.</w:t>
      </w:r>
    </w:p>
    <w:p w:rsidR="00325973" w:rsidRPr="00436234" w:rsidP="00436234" w14:paraId="16DFE96E" w14:textId="77777777">
      <w:pPr>
        <w:spacing w:after="220"/>
        <w:rPr>
          <w:rFonts w:ascii="Arial" w:hAnsi="Arial" w:cs="Arial"/>
          <w:sz w:val="22"/>
          <w:szCs w:val="22"/>
        </w:rPr>
      </w:pPr>
      <w:r>
        <w:rPr>
          <w:rFonts w:ascii="Arial" w:hAnsi="Arial" w:cs="Arial"/>
          <w:sz w:val="22"/>
          <w:szCs w:val="22"/>
        </w:rPr>
        <w:t xml:space="preserve">The NRC disagrees with the proposal to </w:t>
      </w:r>
      <w:r w:rsidR="002C2D06">
        <w:rPr>
          <w:rFonts w:ascii="Arial" w:hAnsi="Arial" w:cs="Arial"/>
          <w:sz w:val="22"/>
          <w:szCs w:val="22"/>
        </w:rPr>
        <w:t xml:space="preserve">replace the comprehensive risk metric with a reference to “assure adequate protection of public health and safety,” as discussed in the </w:t>
      </w:r>
      <w:r w:rsidR="00A82768">
        <w:rPr>
          <w:rFonts w:ascii="Arial" w:hAnsi="Arial" w:cs="Arial"/>
          <w:sz w:val="22"/>
          <w:szCs w:val="22"/>
        </w:rPr>
        <w:t xml:space="preserve">NRC’s </w:t>
      </w:r>
      <w:r w:rsidR="002C2D06">
        <w:rPr>
          <w:rFonts w:ascii="Arial" w:hAnsi="Arial" w:cs="Arial"/>
          <w:sz w:val="22"/>
          <w:szCs w:val="22"/>
        </w:rPr>
        <w:t xml:space="preserve">response to </w:t>
      </w:r>
      <w:r w:rsidR="00A82768">
        <w:rPr>
          <w:rFonts w:ascii="Arial" w:hAnsi="Arial" w:cs="Arial"/>
          <w:sz w:val="22"/>
          <w:szCs w:val="22"/>
        </w:rPr>
        <w:t>C</w:t>
      </w:r>
      <w:r w:rsidR="002C2D06">
        <w:rPr>
          <w:rFonts w:ascii="Arial" w:hAnsi="Arial" w:cs="Arial"/>
          <w:sz w:val="22"/>
          <w:szCs w:val="22"/>
        </w:rPr>
        <w:t xml:space="preserve">omment Bin 3.2.1.1.E. </w:t>
      </w:r>
      <w:r w:rsidRPr="00436234" w:rsidR="004F6D6B">
        <w:rPr>
          <w:rFonts w:ascii="Arial" w:hAnsi="Arial" w:cs="Arial"/>
          <w:sz w:val="22"/>
          <w:szCs w:val="22"/>
        </w:rPr>
        <w:t>The NRC d</w:t>
      </w:r>
      <w:r w:rsidRPr="00436234" w:rsidR="00652003">
        <w:rPr>
          <w:rFonts w:ascii="Arial" w:hAnsi="Arial" w:cs="Arial"/>
          <w:sz w:val="22"/>
          <w:szCs w:val="22"/>
        </w:rPr>
        <w:t>is</w:t>
      </w:r>
      <w:r w:rsidRPr="00436234" w:rsidR="004F6D6B">
        <w:rPr>
          <w:rFonts w:ascii="Arial" w:hAnsi="Arial" w:cs="Arial"/>
          <w:sz w:val="22"/>
          <w:szCs w:val="22"/>
        </w:rPr>
        <w:t>agree</w:t>
      </w:r>
      <w:r w:rsidRPr="00436234" w:rsidR="00652003">
        <w:rPr>
          <w:rFonts w:ascii="Arial" w:hAnsi="Arial" w:cs="Arial"/>
          <w:sz w:val="22"/>
          <w:szCs w:val="22"/>
        </w:rPr>
        <w:t>s</w:t>
      </w:r>
      <w:r w:rsidRPr="00436234" w:rsidR="004F6D6B">
        <w:rPr>
          <w:rFonts w:ascii="Arial" w:hAnsi="Arial" w:cs="Arial"/>
          <w:sz w:val="22"/>
          <w:szCs w:val="22"/>
        </w:rPr>
        <w:t xml:space="preserve"> with the specific proposal to replace references to comprehensive risk metrics and associated risk performance objectives in 10</w:t>
      </w:r>
      <w:r w:rsidRPr="00436234" w:rsidR="00B4306F">
        <w:rPr>
          <w:rFonts w:ascii="Arial" w:hAnsi="Arial" w:cs="Arial"/>
          <w:sz w:val="22"/>
          <w:szCs w:val="22"/>
        </w:rPr>
        <w:t> </w:t>
      </w:r>
      <w:r w:rsidRPr="00436234" w:rsidR="004F6D6B">
        <w:rPr>
          <w:rFonts w:ascii="Arial" w:hAnsi="Arial" w:cs="Arial"/>
          <w:sz w:val="22"/>
          <w:szCs w:val="22"/>
        </w:rPr>
        <w:t>CFR</w:t>
      </w:r>
      <w:r w:rsidRPr="00436234" w:rsidR="00B4306F">
        <w:rPr>
          <w:rFonts w:ascii="Arial" w:hAnsi="Arial" w:cs="Arial"/>
          <w:sz w:val="22"/>
          <w:szCs w:val="22"/>
        </w:rPr>
        <w:t> </w:t>
      </w:r>
      <w:r w:rsidRPr="00436234" w:rsidR="004F6D6B">
        <w:rPr>
          <w:rFonts w:ascii="Arial" w:hAnsi="Arial" w:cs="Arial"/>
          <w:sz w:val="22"/>
          <w:szCs w:val="22"/>
        </w:rPr>
        <w:t xml:space="preserve">53.220 through referencing an integrated safety assessment that assures adequate protection. As noted in </w:t>
      </w:r>
      <w:r w:rsidR="00957CF2">
        <w:rPr>
          <w:rFonts w:ascii="Arial" w:hAnsi="Arial" w:cs="Arial"/>
          <w:sz w:val="22"/>
          <w:szCs w:val="22"/>
        </w:rPr>
        <w:t>the NRC’s</w:t>
      </w:r>
      <w:r w:rsidRPr="00436234" w:rsidR="004F6D6B">
        <w:rPr>
          <w:rFonts w:ascii="Arial" w:hAnsi="Arial" w:cs="Arial"/>
          <w:sz w:val="22"/>
          <w:szCs w:val="22"/>
        </w:rPr>
        <w:t xml:space="preserve"> response to other comments</w:t>
      </w:r>
      <w:r w:rsidR="00797905">
        <w:rPr>
          <w:rFonts w:ascii="Arial" w:hAnsi="Arial" w:cs="Arial"/>
          <w:sz w:val="22"/>
          <w:szCs w:val="22"/>
        </w:rPr>
        <w:t>,</w:t>
      </w:r>
      <w:r w:rsidRPr="00436234" w:rsidR="00DF5B01">
        <w:rPr>
          <w:rFonts w:ascii="Arial" w:hAnsi="Arial" w:cs="Arial"/>
          <w:sz w:val="22"/>
          <w:szCs w:val="22"/>
        </w:rPr>
        <w:t xml:space="preserve"> such as Comment</w:t>
      </w:r>
      <w:r w:rsidRPr="00436234" w:rsidR="005A79A0">
        <w:rPr>
          <w:rFonts w:ascii="Arial" w:hAnsi="Arial" w:cs="Arial"/>
          <w:sz w:val="22"/>
          <w:szCs w:val="22"/>
        </w:rPr>
        <w:t> </w:t>
      </w:r>
      <w:r w:rsidRPr="00436234" w:rsidR="00DF5B01">
        <w:rPr>
          <w:rFonts w:ascii="Arial" w:hAnsi="Arial" w:cs="Arial"/>
          <w:sz w:val="22"/>
          <w:szCs w:val="22"/>
        </w:rPr>
        <w:t>Bin</w:t>
      </w:r>
      <w:r w:rsidRPr="00436234" w:rsidR="00CF09D4">
        <w:rPr>
          <w:rFonts w:ascii="Arial" w:hAnsi="Arial" w:cs="Arial"/>
          <w:sz w:val="22"/>
          <w:szCs w:val="22"/>
        </w:rPr>
        <w:t> </w:t>
      </w:r>
      <w:r w:rsidRPr="00436234" w:rsidR="00DF5B01">
        <w:rPr>
          <w:rFonts w:ascii="Arial" w:hAnsi="Arial" w:cs="Arial"/>
          <w:sz w:val="22"/>
          <w:szCs w:val="22"/>
        </w:rPr>
        <w:t>3.2.1.2.J</w:t>
      </w:r>
      <w:r w:rsidRPr="00436234" w:rsidR="004F6D6B">
        <w:rPr>
          <w:rFonts w:ascii="Arial" w:hAnsi="Arial" w:cs="Arial"/>
          <w:sz w:val="22"/>
          <w:szCs w:val="22"/>
        </w:rPr>
        <w:t>, the comprehensive risk metric was intended to be one of many elements that collectively provide that assurance</w:t>
      </w:r>
      <w:r w:rsidRPr="00436234" w:rsidR="009C3409">
        <w:rPr>
          <w:rFonts w:ascii="Arial" w:hAnsi="Arial" w:cs="Arial"/>
          <w:sz w:val="22"/>
          <w:szCs w:val="22"/>
        </w:rPr>
        <w:t xml:space="preserve"> and that no </w:t>
      </w:r>
      <w:r w:rsidRPr="00436234" w:rsidR="005A79A0">
        <w:rPr>
          <w:rFonts w:ascii="Arial" w:hAnsi="Arial" w:cs="Arial"/>
          <w:sz w:val="22"/>
          <w:szCs w:val="22"/>
        </w:rPr>
        <w:t>single</w:t>
      </w:r>
      <w:r w:rsidRPr="00436234" w:rsidR="009C3409">
        <w:rPr>
          <w:rFonts w:ascii="Arial" w:hAnsi="Arial" w:cs="Arial"/>
          <w:sz w:val="22"/>
          <w:szCs w:val="22"/>
        </w:rPr>
        <w:t xml:space="preserve"> regulatory requirement governs whe</w:t>
      </w:r>
      <w:r w:rsidRPr="00436234" w:rsidR="00B87829">
        <w:rPr>
          <w:rFonts w:ascii="Arial" w:hAnsi="Arial" w:cs="Arial"/>
          <w:sz w:val="22"/>
          <w:szCs w:val="22"/>
        </w:rPr>
        <w:t>ther a plant is “safe enough</w:t>
      </w:r>
      <w:r w:rsidRPr="00436234" w:rsidR="004F6D6B">
        <w:rPr>
          <w:rFonts w:ascii="Arial" w:hAnsi="Arial" w:cs="Arial"/>
          <w:sz w:val="22"/>
          <w:szCs w:val="22"/>
        </w:rPr>
        <w:t>.</w:t>
      </w:r>
      <w:r w:rsidRPr="00436234" w:rsidR="00B87829">
        <w:rPr>
          <w:rFonts w:ascii="Arial" w:hAnsi="Arial" w:cs="Arial"/>
          <w:sz w:val="22"/>
          <w:szCs w:val="22"/>
        </w:rPr>
        <w:t>”</w:t>
      </w:r>
      <w:r w:rsidRPr="00436234" w:rsidR="004F6D6B">
        <w:rPr>
          <w:rFonts w:ascii="Arial" w:hAnsi="Arial" w:cs="Arial"/>
          <w:sz w:val="22"/>
          <w:szCs w:val="22"/>
        </w:rPr>
        <w:t xml:space="preserve"> The NRC </w:t>
      </w:r>
      <w:r w:rsidR="00F24B99">
        <w:rPr>
          <w:rFonts w:ascii="Arial" w:hAnsi="Arial" w:cs="Arial"/>
          <w:sz w:val="22"/>
          <w:szCs w:val="22"/>
        </w:rPr>
        <w:t>revis</w:t>
      </w:r>
      <w:r w:rsidR="001E7230">
        <w:rPr>
          <w:rFonts w:ascii="Arial" w:hAnsi="Arial" w:cs="Arial"/>
          <w:sz w:val="22"/>
          <w:szCs w:val="22"/>
        </w:rPr>
        <w:t>ed</w:t>
      </w:r>
      <w:r w:rsidRPr="00436234" w:rsidR="004F6D6B">
        <w:rPr>
          <w:rFonts w:ascii="Arial" w:hAnsi="Arial" w:cs="Arial"/>
          <w:sz w:val="22"/>
          <w:szCs w:val="22"/>
        </w:rPr>
        <w:t xml:space="preserve"> the language in some sections, such as 10 CFR 53.450, in direct response to some comments that also partially address this comment</w:t>
      </w:r>
      <w:r w:rsidRPr="00436234" w:rsidR="005A79A0">
        <w:rPr>
          <w:rFonts w:ascii="Arial" w:hAnsi="Arial" w:cs="Arial"/>
          <w:sz w:val="22"/>
          <w:szCs w:val="22"/>
        </w:rPr>
        <w:t>,</w:t>
      </w:r>
      <w:r w:rsidRPr="00436234" w:rsidR="00B142E8">
        <w:rPr>
          <w:rFonts w:ascii="Arial" w:hAnsi="Arial" w:cs="Arial"/>
          <w:sz w:val="22"/>
          <w:szCs w:val="22"/>
        </w:rPr>
        <w:t xml:space="preserve"> </w:t>
      </w:r>
      <w:r w:rsidRPr="00436234" w:rsidR="003174C3">
        <w:rPr>
          <w:rFonts w:ascii="Arial" w:hAnsi="Arial" w:cs="Arial"/>
          <w:sz w:val="22"/>
          <w:szCs w:val="22"/>
        </w:rPr>
        <w:t xml:space="preserve">such as Comment Bins </w:t>
      </w:r>
      <w:r w:rsidRPr="00436234" w:rsidR="00B142E8">
        <w:rPr>
          <w:rFonts w:ascii="Arial" w:hAnsi="Arial" w:cs="Arial"/>
          <w:sz w:val="22"/>
          <w:szCs w:val="22"/>
        </w:rPr>
        <w:t>3.3.2.2</w:t>
      </w:r>
      <w:r w:rsidRPr="00436234" w:rsidR="003174C3">
        <w:rPr>
          <w:rFonts w:ascii="Arial" w:hAnsi="Arial" w:cs="Arial"/>
          <w:sz w:val="22"/>
          <w:szCs w:val="22"/>
        </w:rPr>
        <w:t>.</w:t>
      </w:r>
      <w:r w:rsidRPr="00436234" w:rsidR="00AA32C0">
        <w:rPr>
          <w:rFonts w:ascii="Arial" w:hAnsi="Arial" w:cs="Arial"/>
          <w:sz w:val="22"/>
          <w:szCs w:val="22"/>
        </w:rPr>
        <w:t>A</w:t>
      </w:r>
      <w:r w:rsidRPr="00436234" w:rsidR="003174C3">
        <w:rPr>
          <w:rFonts w:ascii="Arial" w:hAnsi="Arial" w:cs="Arial"/>
          <w:sz w:val="22"/>
          <w:szCs w:val="22"/>
        </w:rPr>
        <w:t xml:space="preserve"> and </w:t>
      </w:r>
      <w:r w:rsidRPr="00436234" w:rsidR="00AA32C0">
        <w:rPr>
          <w:rFonts w:ascii="Arial" w:hAnsi="Arial" w:cs="Arial"/>
          <w:sz w:val="22"/>
          <w:szCs w:val="22"/>
        </w:rPr>
        <w:t>3.3.2.2.E</w:t>
      </w:r>
      <w:r w:rsidRPr="00436234" w:rsidR="004F6D6B">
        <w:rPr>
          <w:rFonts w:ascii="Arial" w:hAnsi="Arial" w:cs="Arial"/>
          <w:sz w:val="22"/>
          <w:szCs w:val="22"/>
        </w:rPr>
        <w:t>.</w:t>
      </w:r>
    </w:p>
    <w:p w:rsidR="004F6D6B" w:rsidRPr="00436234" w:rsidP="00436234" w14:paraId="270AF09D" w14:textId="77777777">
      <w:pPr>
        <w:spacing w:after="220"/>
        <w:rPr>
          <w:rFonts w:ascii="Arial" w:hAnsi="Arial" w:cs="Arial"/>
          <w:b/>
          <w:sz w:val="22"/>
          <w:szCs w:val="22"/>
        </w:rPr>
      </w:pPr>
      <w:r w:rsidRPr="00436234">
        <w:rPr>
          <w:rFonts w:ascii="Arial" w:hAnsi="Arial" w:cs="Arial"/>
          <w:sz w:val="22"/>
          <w:szCs w:val="22"/>
        </w:rPr>
        <w:t>However, the NRC did not change the rule language in 10 CFR 53.220 in response to this comment.</w:t>
      </w:r>
    </w:p>
    <w:p w:rsidR="000E5B49" w:rsidRPr="00436234" w:rsidP="00436234" w14:paraId="69BD6DBB" w14:textId="77777777">
      <w:pPr>
        <w:spacing w:after="220"/>
        <w:rPr>
          <w:rFonts w:ascii="Arial" w:hAnsi="Arial" w:cs="Arial"/>
          <w:sz w:val="22"/>
          <w:szCs w:val="22"/>
        </w:rPr>
      </w:pPr>
      <w:r>
        <w:rPr>
          <w:rFonts w:ascii="Arial" w:hAnsi="Arial" w:cs="Arial"/>
          <w:sz w:val="22"/>
          <w:szCs w:val="22"/>
        </w:rPr>
        <w:pict>
          <v:rect id="_x0000_i1074" style="width:0;height:1.5pt" o:hralign="center" o:hrstd="t" o:hrnoshade="t" o:hr="t" fillcolor="black" stroked="f"/>
        </w:pict>
      </w:r>
    </w:p>
    <w:p w:rsidR="004F6D6B" w:rsidRPr="00436234" w:rsidP="00436234" w14:paraId="23278FB4" w14:textId="77777777">
      <w:pPr>
        <w:spacing w:after="220"/>
        <w:rPr>
          <w:rFonts w:ascii="Arial" w:hAnsi="Arial" w:cs="Arial"/>
          <w:sz w:val="22"/>
          <w:szCs w:val="22"/>
        </w:rPr>
      </w:pPr>
      <w:r w:rsidRPr="00436234">
        <w:rPr>
          <w:rFonts w:ascii="Arial" w:hAnsi="Arial" w:cs="Arial"/>
          <w:b/>
          <w:sz w:val="22"/>
          <w:szCs w:val="22"/>
        </w:rPr>
        <w:t xml:space="preserve">Comment Bin 3.2.1.1.G: </w:t>
      </w:r>
      <w:r w:rsidRPr="00436234">
        <w:rPr>
          <w:rFonts w:ascii="Arial" w:hAnsi="Arial" w:cs="Arial"/>
          <w:sz w:val="22"/>
          <w:szCs w:val="22"/>
        </w:rPr>
        <w:t>A commenter wrote that “safety-related” has always been the highest functional element for protection of the public from hazardous radiation. The commenter wrote that the proposed rule equalizes all programs in terms of nuclear safety significance which places unnecessary burdens on licensees. The commenter wrote that a clear distinction should be made between licensee efforts involving safety</w:t>
      </w:r>
      <w:r w:rsidRPr="00436234" w:rsidR="009A453B">
        <w:rPr>
          <w:rFonts w:ascii="Arial" w:hAnsi="Arial" w:cs="Arial"/>
          <w:sz w:val="22"/>
          <w:szCs w:val="22"/>
        </w:rPr>
        <w:noBreakHyphen/>
      </w:r>
      <w:r w:rsidRPr="00436234">
        <w:rPr>
          <w:rFonts w:ascii="Arial" w:hAnsi="Arial" w:cs="Arial"/>
          <w:sz w:val="22"/>
          <w:szCs w:val="22"/>
        </w:rPr>
        <w:t xml:space="preserve">related and “lesser” nuclear safety efforts. </w:t>
      </w:r>
      <w:r w:rsidRPr="00436234" w:rsidR="004A21F5">
        <w:rPr>
          <w:rFonts w:ascii="Arial" w:hAnsi="Arial" w:cs="Arial"/>
          <w:sz w:val="22"/>
          <w:szCs w:val="22"/>
        </w:rPr>
        <w:t>The commenter recommended that “program</w:t>
      </w:r>
      <w:r w:rsidRPr="00436234" w:rsidR="007C262A">
        <w:rPr>
          <w:rFonts w:ascii="Arial" w:hAnsi="Arial" w:cs="Arial"/>
          <w:sz w:val="22"/>
          <w:szCs w:val="22"/>
        </w:rPr>
        <w:t>[s]</w:t>
      </w:r>
      <w:r w:rsidRPr="00436234" w:rsidR="004A21F5">
        <w:rPr>
          <w:rFonts w:ascii="Arial" w:hAnsi="Arial" w:cs="Arial"/>
          <w:sz w:val="22"/>
          <w:szCs w:val="22"/>
        </w:rPr>
        <w:t xml:space="preserve">” be used </w:t>
      </w:r>
      <w:r w:rsidRPr="00436234" w:rsidR="002B1E1D">
        <w:rPr>
          <w:rFonts w:ascii="Arial" w:hAnsi="Arial" w:cs="Arial"/>
          <w:sz w:val="22"/>
          <w:szCs w:val="22"/>
        </w:rPr>
        <w:t>for safety</w:t>
      </w:r>
      <w:r w:rsidRPr="00436234" w:rsidR="002B1E1D">
        <w:rPr>
          <w:rFonts w:ascii="Arial" w:hAnsi="Arial" w:cs="Arial"/>
          <w:sz w:val="22"/>
          <w:szCs w:val="22"/>
        </w:rPr>
        <w:noBreakHyphen/>
        <w:t xml:space="preserve">related efforts, and </w:t>
      </w:r>
      <w:r w:rsidRPr="00436234" w:rsidR="004A21F5">
        <w:rPr>
          <w:rFonts w:ascii="Arial" w:hAnsi="Arial" w:cs="Arial"/>
          <w:sz w:val="22"/>
          <w:szCs w:val="22"/>
        </w:rPr>
        <w:t xml:space="preserve">“measures” </w:t>
      </w:r>
      <w:r w:rsidRPr="00436234" w:rsidR="002B1E1D">
        <w:rPr>
          <w:rFonts w:ascii="Arial" w:hAnsi="Arial" w:cs="Arial"/>
          <w:sz w:val="22"/>
          <w:szCs w:val="22"/>
        </w:rPr>
        <w:t>be used</w:t>
      </w:r>
      <w:r w:rsidRPr="00436234" w:rsidR="00ED737B">
        <w:rPr>
          <w:rFonts w:ascii="Arial" w:hAnsi="Arial" w:cs="Arial"/>
          <w:sz w:val="22"/>
          <w:szCs w:val="22"/>
        </w:rPr>
        <w:t xml:space="preserve"> </w:t>
      </w:r>
      <w:r w:rsidRPr="00436234" w:rsidR="007C262A">
        <w:rPr>
          <w:rFonts w:ascii="Arial" w:hAnsi="Arial" w:cs="Arial"/>
          <w:sz w:val="22"/>
          <w:szCs w:val="22"/>
        </w:rPr>
        <w:t xml:space="preserve">for </w:t>
      </w:r>
      <w:r w:rsidRPr="00436234" w:rsidR="00ED737B">
        <w:rPr>
          <w:rFonts w:ascii="Arial" w:hAnsi="Arial" w:cs="Arial"/>
          <w:sz w:val="22"/>
          <w:szCs w:val="22"/>
        </w:rPr>
        <w:t>“lesser” nuclear safety efforts</w:t>
      </w:r>
      <w:r w:rsidRPr="00436234" w:rsidR="004A21F5">
        <w:rPr>
          <w:rFonts w:ascii="Arial" w:hAnsi="Arial" w:cs="Arial"/>
          <w:sz w:val="22"/>
          <w:szCs w:val="22"/>
        </w:rPr>
        <w:t xml:space="preserve">. </w:t>
      </w:r>
      <w:r w:rsidRPr="00436234">
        <w:rPr>
          <w:rFonts w:ascii="Arial" w:hAnsi="Arial" w:cs="Arial"/>
          <w:sz w:val="22"/>
          <w:szCs w:val="22"/>
        </w:rPr>
        <w:t xml:space="preserve">The commenter provided recommended </w:t>
      </w:r>
      <w:r w:rsidRPr="00436234" w:rsidR="00ED737B">
        <w:rPr>
          <w:rFonts w:ascii="Arial" w:hAnsi="Arial" w:cs="Arial"/>
          <w:sz w:val="22"/>
          <w:szCs w:val="22"/>
        </w:rPr>
        <w:t xml:space="preserve">tables of </w:t>
      </w:r>
      <w:r w:rsidRPr="00436234">
        <w:rPr>
          <w:rFonts w:ascii="Arial" w:hAnsi="Arial" w:cs="Arial"/>
          <w:sz w:val="22"/>
          <w:szCs w:val="22"/>
        </w:rPr>
        <w:t>program</w:t>
      </w:r>
      <w:r w:rsidRPr="00436234" w:rsidR="00063F70">
        <w:rPr>
          <w:rFonts w:ascii="Arial" w:hAnsi="Arial" w:cs="Arial"/>
          <w:sz w:val="22"/>
          <w:szCs w:val="22"/>
        </w:rPr>
        <w:t>s and measures</w:t>
      </w:r>
      <w:r w:rsidRPr="00436234">
        <w:rPr>
          <w:rFonts w:ascii="Arial" w:hAnsi="Arial" w:cs="Arial"/>
          <w:sz w:val="22"/>
          <w:szCs w:val="22"/>
        </w:rPr>
        <w:t xml:space="preserve"> </w:t>
      </w:r>
      <w:r w:rsidRPr="00086631">
        <w:rPr>
          <w:rFonts w:ascii="Arial" w:hAnsi="Arial" w:cs="Arial"/>
          <w:sz w:val="22"/>
          <w:szCs w:val="22"/>
        </w:rPr>
        <w:t>(</w:t>
      </w:r>
      <w:r w:rsidRPr="00086631" w:rsidR="00086631">
        <w:rPr>
          <w:rFonts w:ascii="Arial" w:eastAsia="Times New Roman" w:hAnsi="Arial" w:cs="Arial"/>
          <w:color w:val="000000"/>
          <w:sz w:val="22"/>
          <w:szCs w:val="22"/>
        </w:rPr>
        <w:t>HPT39</w:t>
      </w:r>
      <w:r w:rsidRPr="00086631" w:rsidR="006B41EE">
        <w:rPr>
          <w:rFonts w:ascii="Arial" w:hAnsi="Arial" w:cs="Arial"/>
          <w:sz w:val="22"/>
          <w:szCs w:val="22"/>
        </w:rPr>
        <w:t>-00</w:t>
      </w:r>
      <w:r w:rsidRPr="00436234" w:rsidR="006B41EE">
        <w:rPr>
          <w:rFonts w:ascii="Arial" w:hAnsi="Arial" w:cs="Arial"/>
          <w:sz w:val="22"/>
          <w:szCs w:val="22"/>
        </w:rPr>
        <w:t>01,</w:t>
      </w:r>
      <w:r w:rsidRPr="001C4AB2" w:rsidR="006B41EE">
        <w:rPr>
          <w:rFonts w:ascii="Arial" w:hAnsi="Arial" w:cs="Arial"/>
          <w:sz w:val="22"/>
          <w:szCs w:val="22"/>
        </w:rPr>
        <w:t xml:space="preserve"> </w:t>
      </w:r>
      <w:r w:rsidRPr="001C4AB2" w:rsidR="001C4AB2">
        <w:rPr>
          <w:rFonts w:ascii="Arial" w:eastAsia="Times New Roman" w:hAnsi="Arial" w:cs="Arial"/>
          <w:color w:val="000000"/>
          <w:sz w:val="22"/>
          <w:szCs w:val="22"/>
        </w:rPr>
        <w:t>HPT39</w:t>
      </w:r>
      <w:r w:rsidRPr="001C4AB2">
        <w:rPr>
          <w:rFonts w:ascii="Arial" w:hAnsi="Arial" w:cs="Arial"/>
          <w:sz w:val="22"/>
          <w:szCs w:val="22"/>
        </w:rPr>
        <w:t>-00</w:t>
      </w:r>
      <w:r w:rsidRPr="00436234">
        <w:rPr>
          <w:rFonts w:ascii="Arial" w:hAnsi="Arial" w:cs="Arial"/>
          <w:sz w:val="22"/>
          <w:szCs w:val="22"/>
        </w:rPr>
        <w:t>02).</w:t>
      </w:r>
    </w:p>
    <w:p w:rsidR="00153EED" w:rsidRPr="00436234" w:rsidP="00436234" w14:paraId="3FC0AE07"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disagrees with the comments.</w:t>
      </w:r>
    </w:p>
    <w:p w:rsidR="002F3653" w:rsidRPr="00436234" w:rsidP="00436234" w14:paraId="5DE120E0" w14:textId="77777777">
      <w:pPr>
        <w:spacing w:after="220"/>
        <w:rPr>
          <w:rFonts w:ascii="Arial" w:hAnsi="Arial" w:cs="Arial"/>
          <w:sz w:val="22"/>
          <w:szCs w:val="22"/>
        </w:rPr>
      </w:pPr>
      <w:r w:rsidRPr="00436234">
        <w:rPr>
          <w:rFonts w:ascii="Arial" w:hAnsi="Arial" w:cs="Arial"/>
          <w:sz w:val="22"/>
          <w:szCs w:val="22"/>
        </w:rPr>
        <w:t>While 10 CFR Part 53 does require applicants to establish a number of programs needed for safety, it includes the grading of requirements to address variations in the risk significance of design features and programmatic controls. As explained in the proposed and final rules, applicants and licensees have flexibility in deciding which design features or programmatic controls to categorize as safety</w:t>
      </w:r>
      <w:r w:rsidRPr="00436234" w:rsidR="00791FE8">
        <w:rPr>
          <w:rFonts w:ascii="Arial" w:hAnsi="Arial" w:cs="Arial"/>
          <w:sz w:val="22"/>
          <w:szCs w:val="22"/>
        </w:rPr>
        <w:noBreakHyphen/>
      </w:r>
      <w:r w:rsidRPr="00436234">
        <w:rPr>
          <w:rFonts w:ascii="Arial" w:hAnsi="Arial" w:cs="Arial"/>
          <w:sz w:val="22"/>
          <w:szCs w:val="22"/>
        </w:rPr>
        <w:t>related and to rely on for meeting the safety criteria for design</w:t>
      </w:r>
      <w:r w:rsidR="008C4102">
        <w:rPr>
          <w:rFonts w:ascii="Arial" w:hAnsi="Arial" w:cs="Arial"/>
          <w:sz w:val="22"/>
          <w:szCs w:val="22"/>
        </w:rPr>
        <w:t>-</w:t>
      </w:r>
      <w:r w:rsidRPr="00436234">
        <w:rPr>
          <w:rFonts w:ascii="Arial" w:hAnsi="Arial" w:cs="Arial"/>
          <w:sz w:val="22"/>
          <w:szCs w:val="22"/>
        </w:rPr>
        <w:t>basis accidents in 10 CFR 53.210.</w:t>
      </w:r>
    </w:p>
    <w:p w:rsidR="00153EED" w:rsidRPr="00436234" w:rsidP="00436234" w14:paraId="20B72584" w14:textId="77777777">
      <w:pPr>
        <w:spacing w:after="220"/>
        <w:rPr>
          <w:rFonts w:ascii="Arial" w:hAnsi="Arial" w:cs="Arial"/>
          <w:sz w:val="22"/>
          <w:szCs w:val="22"/>
        </w:rPr>
      </w:pPr>
      <w:r w:rsidRPr="00436234">
        <w:rPr>
          <w:rFonts w:ascii="Arial" w:hAnsi="Arial" w:cs="Arial"/>
          <w:sz w:val="22"/>
          <w:szCs w:val="22"/>
        </w:rPr>
        <w:t>Once selected, the safety-related design features or programmatic controls are subject to specific requirements such as the application of quality assurance requirements under Appendix</w:t>
      </w:r>
      <w:r w:rsidR="000E77A5">
        <w:rPr>
          <w:rFonts w:ascii="Arial" w:hAnsi="Arial" w:cs="Arial"/>
          <w:sz w:val="22"/>
          <w:szCs w:val="22"/>
        </w:rPr>
        <w:t> </w:t>
      </w:r>
      <w:r w:rsidRPr="00436234">
        <w:rPr>
          <w:rFonts w:ascii="Arial" w:hAnsi="Arial" w:cs="Arial"/>
          <w:sz w:val="22"/>
          <w:szCs w:val="22"/>
        </w:rPr>
        <w:t>B</w:t>
      </w:r>
      <w:r w:rsidR="001D6E26">
        <w:rPr>
          <w:rFonts w:ascii="Arial" w:hAnsi="Arial" w:cs="Arial"/>
          <w:sz w:val="22"/>
          <w:szCs w:val="22"/>
        </w:rPr>
        <w:t>, “</w:t>
      </w:r>
      <w:r w:rsidRPr="001D6E26" w:rsidR="001D6E26">
        <w:rPr>
          <w:rFonts w:ascii="Arial" w:hAnsi="Arial" w:cs="Arial"/>
          <w:sz w:val="22"/>
          <w:szCs w:val="22"/>
        </w:rPr>
        <w:t>Quality Assurance Criteria for Nuclear Power Plants and Fuel Reprocessing Plants</w:t>
      </w:r>
      <w:r w:rsidR="001D6E26">
        <w:rPr>
          <w:rFonts w:ascii="Arial" w:hAnsi="Arial" w:cs="Arial"/>
          <w:sz w:val="22"/>
          <w:szCs w:val="22"/>
        </w:rPr>
        <w:t>,”</w:t>
      </w:r>
      <w:r w:rsidRPr="00436234">
        <w:rPr>
          <w:rFonts w:ascii="Arial" w:hAnsi="Arial" w:cs="Arial"/>
          <w:sz w:val="22"/>
          <w:szCs w:val="22"/>
        </w:rPr>
        <w:t xml:space="preserve"> to 10 CFR Part 50. The role of design features or programmatic controls satisfying the safety requirements in 10 CFR Part 53.220 for licensing</w:t>
      </w:r>
      <w:r w:rsidR="00113FE3">
        <w:rPr>
          <w:rFonts w:ascii="Arial" w:hAnsi="Arial" w:cs="Arial"/>
          <w:sz w:val="22"/>
          <w:szCs w:val="22"/>
        </w:rPr>
        <w:t>-</w:t>
      </w:r>
      <w:r w:rsidRPr="00436234">
        <w:rPr>
          <w:rFonts w:ascii="Arial" w:hAnsi="Arial" w:cs="Arial"/>
          <w:sz w:val="22"/>
          <w:szCs w:val="22"/>
        </w:rPr>
        <w:t>basis events other than design</w:t>
      </w:r>
      <w:r w:rsidR="008C4102">
        <w:rPr>
          <w:rFonts w:ascii="Arial" w:hAnsi="Arial" w:cs="Arial"/>
          <w:sz w:val="22"/>
          <w:szCs w:val="22"/>
        </w:rPr>
        <w:t>-</w:t>
      </w:r>
      <w:r w:rsidRPr="00436234">
        <w:rPr>
          <w:rFonts w:ascii="Arial" w:hAnsi="Arial" w:cs="Arial"/>
          <w:sz w:val="22"/>
          <w:szCs w:val="22"/>
        </w:rPr>
        <w:t>basis accidents are captured through the requirements for special treatments under 10 CFR 53.460 and requirements for operations in Subpart F to 10 CFR Part 53.</w:t>
      </w:r>
    </w:p>
    <w:p w:rsidR="00B85FA1" w:rsidRPr="00436234" w:rsidP="00436234" w14:paraId="2D270143" w14:textId="77777777">
      <w:pPr>
        <w:spacing w:after="220"/>
        <w:rPr>
          <w:rFonts w:ascii="Arial" w:hAnsi="Arial" w:cs="Arial"/>
          <w:sz w:val="22"/>
          <w:szCs w:val="22"/>
        </w:rPr>
      </w:pPr>
      <w:r w:rsidRPr="00436234">
        <w:rPr>
          <w:rFonts w:ascii="Arial" w:hAnsi="Arial" w:cs="Arial"/>
          <w:sz w:val="22"/>
          <w:szCs w:val="22"/>
        </w:rPr>
        <w:t>The NRC disagrees with the recommendation that the term “program[s]” be used exclusively for safety</w:t>
      </w:r>
      <w:r w:rsidRPr="00436234">
        <w:rPr>
          <w:rFonts w:ascii="Arial" w:hAnsi="Arial" w:cs="Arial"/>
          <w:sz w:val="22"/>
          <w:szCs w:val="22"/>
        </w:rPr>
        <w:noBreakHyphen/>
        <w:t>related efforts, and the term “measures” be used for “lesser” nuclear safety efforts</w:t>
      </w:r>
      <w:r w:rsidRPr="00436234" w:rsidR="00505633">
        <w:rPr>
          <w:rFonts w:ascii="Arial" w:hAnsi="Arial" w:cs="Arial"/>
          <w:sz w:val="22"/>
          <w:szCs w:val="22"/>
        </w:rPr>
        <w:t xml:space="preserve"> because each of these terms is already used in 10 CFR Part 53</w:t>
      </w:r>
      <w:r w:rsidRPr="00436234" w:rsidR="005614D4">
        <w:rPr>
          <w:rFonts w:ascii="Arial" w:hAnsi="Arial" w:cs="Arial"/>
          <w:sz w:val="22"/>
          <w:szCs w:val="22"/>
        </w:rPr>
        <w:t xml:space="preserve"> and redefining them in this way in the final rule would </w:t>
      </w:r>
      <w:r w:rsidRPr="00436234" w:rsidR="00CB52DE">
        <w:rPr>
          <w:rFonts w:ascii="Arial" w:hAnsi="Arial" w:cs="Arial"/>
          <w:sz w:val="22"/>
          <w:szCs w:val="22"/>
        </w:rPr>
        <w:t>provide</w:t>
      </w:r>
      <w:r w:rsidRPr="00086B14" w:rsidR="00086B14">
        <w:rPr>
          <w:rFonts w:ascii="Arial" w:hAnsi="Arial" w:cs="Arial"/>
        </w:rPr>
        <w:t xml:space="preserve"> </w:t>
      </w:r>
      <w:r w:rsidRPr="00086B14" w:rsidR="00086B14">
        <w:rPr>
          <w:rFonts w:ascii="Arial" w:hAnsi="Arial" w:cs="Arial"/>
          <w:sz w:val="22"/>
          <w:szCs w:val="22"/>
        </w:rPr>
        <w:t>no apparent benefit given that the programmatic requirements are already graded according to risk significance, as described above</w:t>
      </w:r>
      <w:r w:rsidRPr="00436234" w:rsidR="00A01199">
        <w:rPr>
          <w:rFonts w:ascii="Arial" w:hAnsi="Arial" w:cs="Arial"/>
          <w:sz w:val="22"/>
          <w:szCs w:val="22"/>
        </w:rPr>
        <w:t>.</w:t>
      </w:r>
    </w:p>
    <w:p w:rsidR="004F6D6B" w:rsidRPr="00436234" w:rsidP="00436234" w14:paraId="4C6825AE" w14:textId="77777777">
      <w:pPr>
        <w:spacing w:after="220"/>
        <w:rPr>
          <w:rFonts w:ascii="Arial" w:hAnsi="Arial" w:cs="Arial"/>
          <w:b/>
          <w:sz w:val="22"/>
          <w:szCs w:val="22"/>
        </w:rPr>
      </w:pPr>
      <w:r w:rsidRPr="00436234">
        <w:rPr>
          <w:rFonts w:ascii="Arial" w:hAnsi="Arial" w:cs="Arial"/>
          <w:sz w:val="22"/>
          <w:szCs w:val="22"/>
        </w:rPr>
        <w:t xml:space="preserve">Accordingly, the NRC did not </w:t>
      </w:r>
      <w:r w:rsidRPr="00436234" w:rsidR="006D2524">
        <w:rPr>
          <w:rFonts w:ascii="Arial" w:hAnsi="Arial" w:cs="Arial"/>
          <w:sz w:val="22"/>
          <w:szCs w:val="22"/>
        </w:rPr>
        <w:t>change</w:t>
      </w:r>
      <w:r w:rsidRPr="00436234">
        <w:rPr>
          <w:rFonts w:ascii="Arial" w:hAnsi="Arial" w:cs="Arial"/>
          <w:sz w:val="22"/>
          <w:szCs w:val="22"/>
        </w:rPr>
        <w:t xml:space="preserve"> the rule language in response to th</w:t>
      </w:r>
      <w:r w:rsidRPr="00436234" w:rsidR="00153EED">
        <w:rPr>
          <w:rFonts w:ascii="Arial" w:hAnsi="Arial" w:cs="Arial"/>
          <w:sz w:val="22"/>
          <w:szCs w:val="22"/>
        </w:rPr>
        <w:t>ese</w:t>
      </w:r>
      <w:r w:rsidRPr="00436234">
        <w:rPr>
          <w:rFonts w:ascii="Arial" w:hAnsi="Arial" w:cs="Arial"/>
          <w:sz w:val="22"/>
          <w:szCs w:val="22"/>
        </w:rPr>
        <w:t xml:space="preserve"> comment</w:t>
      </w:r>
      <w:r w:rsidRPr="00436234" w:rsidR="00153EED">
        <w:rPr>
          <w:rFonts w:ascii="Arial" w:hAnsi="Arial" w:cs="Arial"/>
          <w:sz w:val="22"/>
          <w:szCs w:val="22"/>
        </w:rPr>
        <w:t>s</w:t>
      </w:r>
      <w:r w:rsidRPr="00436234">
        <w:rPr>
          <w:rFonts w:ascii="Arial" w:hAnsi="Arial" w:cs="Arial"/>
          <w:sz w:val="22"/>
          <w:szCs w:val="22"/>
        </w:rPr>
        <w:t>.</w:t>
      </w:r>
    </w:p>
    <w:p w:rsidR="00603E46" w:rsidP="00603E46" w14:paraId="527A62D8" w14:textId="77777777">
      <w:pPr>
        <w:spacing w:after="220"/>
        <w:rPr>
          <w:rFonts w:ascii="Arial" w:hAnsi="Arial" w:cs="Arial"/>
          <w:sz w:val="22"/>
          <w:szCs w:val="22"/>
        </w:rPr>
      </w:pPr>
      <w:r>
        <w:rPr>
          <w:rFonts w:ascii="Arial" w:hAnsi="Arial" w:cs="Arial"/>
          <w:sz w:val="22"/>
          <w:szCs w:val="22"/>
        </w:rPr>
        <w:pict>
          <v:rect id="_x0000_i1075" style="width:0;height:1.5pt" o:hralign="center" o:hrstd="t" o:hrnoshade="t" o:hr="t" fillcolor="black" stroked="f"/>
        </w:pict>
      </w:r>
    </w:p>
    <w:p w:rsidR="000652EB" w:rsidRPr="00436234" w:rsidP="00436234" w14:paraId="3C2EE21E" w14:textId="77777777">
      <w:pPr>
        <w:spacing w:after="220"/>
        <w:rPr>
          <w:rFonts w:ascii="Arial" w:hAnsi="Arial" w:cs="Arial"/>
          <w:sz w:val="22"/>
          <w:szCs w:val="22"/>
        </w:rPr>
      </w:pPr>
      <w:r w:rsidRPr="00436234">
        <w:rPr>
          <w:rFonts w:ascii="Arial" w:hAnsi="Arial" w:cs="Arial"/>
          <w:b/>
          <w:sz w:val="22"/>
          <w:szCs w:val="22"/>
        </w:rPr>
        <w:t xml:space="preserve">Comment Bin 3.2.1.1.H: </w:t>
      </w:r>
      <w:r w:rsidRPr="00436234">
        <w:rPr>
          <w:rFonts w:ascii="Arial" w:hAnsi="Arial" w:cs="Arial"/>
          <w:sz w:val="22"/>
          <w:szCs w:val="22"/>
        </w:rPr>
        <w:t>A commenter provided a quote from a National Academy of Engineering report, “Laying the Foundation for New and Advanced Nuclear Reactors in the United States, Consensus Study Report” which argues that there will always be new accident scenarios and combinations of events to challenge expectations and assumptions about advanced reactor systems, and creative thinking will be required to identify unique situations and scenarios (</w:t>
      </w:r>
      <w:r w:rsidRPr="000179BD" w:rsidR="000179BD">
        <w:rPr>
          <w:rFonts w:ascii="Arial" w:eastAsia="Times New Roman" w:hAnsi="Arial" w:cs="Arial"/>
          <w:color w:val="000000"/>
          <w:sz w:val="22"/>
          <w:szCs w:val="22"/>
        </w:rPr>
        <w:t>TG18</w:t>
      </w:r>
      <w:r w:rsidRPr="000179BD">
        <w:rPr>
          <w:rFonts w:ascii="Arial" w:hAnsi="Arial" w:cs="Arial"/>
          <w:sz w:val="22"/>
          <w:szCs w:val="22"/>
        </w:rPr>
        <w:t>-</w:t>
      </w:r>
      <w:r w:rsidRPr="00436234">
        <w:rPr>
          <w:rFonts w:ascii="Arial" w:hAnsi="Arial" w:cs="Arial"/>
          <w:sz w:val="22"/>
          <w:szCs w:val="22"/>
        </w:rPr>
        <w:t>0001).</w:t>
      </w:r>
    </w:p>
    <w:p w:rsidR="003C2D8F" w:rsidRPr="00436234" w:rsidP="00436234" w14:paraId="6DA57715" w14:textId="77777777">
      <w:pPr>
        <w:spacing w:after="220"/>
        <w:rPr>
          <w:rFonts w:ascii="Arial" w:hAnsi="Arial" w:cs="Arial"/>
          <w:sz w:val="22"/>
          <w:szCs w:val="22"/>
        </w:rPr>
      </w:pPr>
      <w:r w:rsidRPr="00436234">
        <w:rPr>
          <w:rFonts w:ascii="Arial" w:hAnsi="Arial" w:cs="Arial"/>
          <w:b/>
          <w:sz w:val="22"/>
          <w:szCs w:val="22"/>
        </w:rPr>
        <w:t>NRC Response:</w:t>
      </w:r>
      <w:r w:rsidRPr="00436234">
        <w:rPr>
          <w:rFonts w:ascii="Arial" w:hAnsi="Arial" w:cs="Arial"/>
          <w:sz w:val="22"/>
          <w:szCs w:val="22"/>
        </w:rPr>
        <w:t> The NRC agrees with th</w:t>
      </w:r>
      <w:r w:rsidR="00756C15">
        <w:rPr>
          <w:rFonts w:ascii="Arial" w:hAnsi="Arial" w:cs="Arial"/>
          <w:sz w:val="22"/>
          <w:szCs w:val="22"/>
        </w:rPr>
        <w:t>e</w:t>
      </w:r>
      <w:r w:rsidRPr="00436234">
        <w:rPr>
          <w:rFonts w:ascii="Arial" w:hAnsi="Arial" w:cs="Arial"/>
          <w:sz w:val="22"/>
          <w:szCs w:val="22"/>
        </w:rPr>
        <w:t xml:space="preserve"> comment.</w:t>
      </w:r>
    </w:p>
    <w:p w:rsidR="003C2D8F" w:rsidRPr="00436234" w:rsidP="00436234" w14:paraId="7FD646D4" w14:textId="77777777">
      <w:pPr>
        <w:spacing w:after="220"/>
        <w:rPr>
          <w:rFonts w:ascii="Arial" w:eastAsia="DengXian" w:hAnsi="Arial" w:cs="Arial"/>
          <w:sz w:val="22"/>
          <w:szCs w:val="22"/>
          <w:lang w:eastAsia="ja-JP"/>
        </w:rPr>
      </w:pPr>
      <w:r w:rsidRPr="00436234">
        <w:rPr>
          <w:rFonts w:ascii="Arial" w:hAnsi="Arial" w:cs="Arial"/>
          <w:sz w:val="22"/>
          <w:szCs w:val="22"/>
        </w:rPr>
        <w:t xml:space="preserve">10 CFR Part 53 includes requirements for applicants and licensees to systematically evaluate the design and operation of commercial nuclear plants to identify and, where appropriate, provide design features and programmatic controls to prevent or mitigate a wide range of event sequences. </w:t>
      </w:r>
      <w:r w:rsidRPr="00436234">
        <w:rPr>
          <w:rFonts w:ascii="Arial" w:eastAsia="DengXian" w:hAnsi="Arial" w:cs="Arial"/>
          <w:sz w:val="22"/>
          <w:szCs w:val="22"/>
          <w:lang w:eastAsia="ja-JP"/>
        </w:rPr>
        <w:t>The comment did not suggest changes to the proposed rule.</w:t>
      </w:r>
    </w:p>
    <w:p w:rsidR="000652EB" w:rsidRPr="00436234" w:rsidP="00436234" w14:paraId="5A6829ED" w14:textId="77777777">
      <w:pPr>
        <w:spacing w:after="220"/>
        <w:rPr>
          <w:rFonts w:ascii="Arial" w:hAnsi="Arial" w:cs="Arial"/>
          <w:b/>
          <w:sz w:val="22"/>
          <w:szCs w:val="22"/>
        </w:rPr>
      </w:pPr>
      <w:r w:rsidRPr="00436234">
        <w:rPr>
          <w:rFonts w:ascii="Arial" w:eastAsia="DengXian" w:hAnsi="Arial" w:cs="Arial"/>
          <w:sz w:val="22"/>
          <w:szCs w:val="22"/>
          <w:lang w:eastAsia="ja-JP"/>
        </w:rPr>
        <w:t xml:space="preserve">Accordingly, </w:t>
      </w:r>
      <w:r w:rsidRPr="00436234">
        <w:rPr>
          <w:rFonts w:ascii="Arial" w:hAnsi="Arial" w:cs="Arial"/>
          <w:sz w:val="22"/>
          <w:szCs w:val="22"/>
        </w:rPr>
        <w:t xml:space="preserve">the NRC did not </w:t>
      </w:r>
      <w:r w:rsidRPr="00436234" w:rsidR="003C2D8F">
        <w:rPr>
          <w:rFonts w:ascii="Arial" w:hAnsi="Arial" w:cs="Arial"/>
          <w:sz w:val="22"/>
          <w:szCs w:val="22"/>
        </w:rPr>
        <w:t>change</w:t>
      </w:r>
      <w:r w:rsidRPr="00436234">
        <w:rPr>
          <w:rFonts w:ascii="Arial" w:hAnsi="Arial" w:cs="Arial"/>
          <w:sz w:val="22"/>
          <w:szCs w:val="22"/>
        </w:rPr>
        <w:t xml:space="preserve"> the rule language in response to this comment.</w:t>
      </w:r>
    </w:p>
    <w:p w:rsidR="000E5B49" w:rsidRPr="00436234" w:rsidP="00436234" w14:paraId="691D4D20" w14:textId="77777777">
      <w:pPr>
        <w:spacing w:after="220"/>
        <w:rPr>
          <w:rFonts w:ascii="Arial" w:hAnsi="Arial" w:cs="Arial"/>
          <w:sz w:val="22"/>
          <w:szCs w:val="22"/>
        </w:rPr>
      </w:pPr>
      <w:r>
        <w:rPr>
          <w:rFonts w:ascii="Arial" w:hAnsi="Arial" w:cs="Arial"/>
          <w:sz w:val="22"/>
          <w:szCs w:val="22"/>
        </w:rPr>
        <w:pict>
          <v:rect id="_x0000_i1076" style="width:0;height:1.5pt" o:hralign="center" o:hrstd="t" o:hrnoshade="t" o:hr="t" fillcolor="black" stroked="f"/>
        </w:pict>
      </w:r>
    </w:p>
    <w:p w:rsidR="000E5B49" w:rsidRPr="009848A7" w:rsidP="003679BD" w14:paraId="2424B146" w14:textId="77777777">
      <w:pPr>
        <w:pStyle w:val="Heading4"/>
      </w:pPr>
      <w:r w:rsidRPr="008A7CB7">
        <w:rPr>
          <w:u w:val="none"/>
        </w:rPr>
        <w:t xml:space="preserve">3.2.1.2. </w:t>
      </w:r>
      <w:r w:rsidR="008A7CB7">
        <w:rPr>
          <w:u w:val="none"/>
        </w:rPr>
        <w:tab/>
      </w:r>
      <w:r w:rsidRPr="002A06B1">
        <w:t>RFC: Comprehensive risk metrics and associated risk performance objectives (§ 53.220), including comments on QHOs, other comprehensive risk metrics, codification of novel approaches</w:t>
      </w:r>
    </w:p>
    <w:p w:rsidR="007166D3" w:rsidRPr="00D94FBA" w:rsidP="00D94FBA" w14:paraId="2EB18C71" w14:textId="77777777">
      <w:pPr>
        <w:spacing w:after="220"/>
        <w:rPr>
          <w:rFonts w:ascii="Arial" w:hAnsi="Arial" w:cs="Arial"/>
          <w:sz w:val="22"/>
          <w:szCs w:val="22"/>
        </w:rPr>
      </w:pPr>
      <w:r w:rsidRPr="00D94FBA">
        <w:rPr>
          <w:rFonts w:ascii="Arial" w:hAnsi="Arial" w:cs="Arial"/>
          <w:b/>
          <w:sz w:val="22"/>
          <w:szCs w:val="22"/>
        </w:rPr>
        <w:t>Comment Bin 3.2.1.2.A:</w:t>
      </w:r>
      <w:r w:rsidRPr="00D94FBA">
        <w:rPr>
          <w:rFonts w:ascii="Arial" w:hAnsi="Arial" w:cs="Arial"/>
          <w:sz w:val="22"/>
          <w:szCs w:val="22"/>
        </w:rPr>
        <w:t xml:space="preserve"> A commenter wrote that risk metrics in the proposed rule are subject to interpretation and seemingly have no formal or underlying basis. The commenter wrote that metrics defined in the proposed rule are not consistent with “LBE and DBA etc. subdivisions given in PR10CFR nor reflect PRA and deterministic limitations and uncertainties.”</w:t>
      </w:r>
    </w:p>
    <w:p w:rsidR="007166D3" w:rsidRPr="00D94FBA" w:rsidP="00D94FBA" w14:paraId="6C65A5DD" w14:textId="77777777">
      <w:pPr>
        <w:spacing w:after="220"/>
        <w:rPr>
          <w:rFonts w:ascii="Arial" w:hAnsi="Arial" w:cs="Arial"/>
          <w:sz w:val="22"/>
          <w:szCs w:val="22"/>
        </w:rPr>
      </w:pPr>
      <w:r w:rsidRPr="00D94FBA">
        <w:rPr>
          <w:rFonts w:ascii="Arial" w:hAnsi="Arial" w:cs="Arial"/>
          <w:sz w:val="22"/>
          <w:szCs w:val="22"/>
        </w:rPr>
        <w:t>The commenter wrote that in the proposed rule accident classification also requires analysis type classification, and if operational margins change by 25</w:t>
      </w:r>
      <w:r w:rsidRPr="00D94FBA" w:rsidR="00203BBC">
        <w:rPr>
          <w:rFonts w:ascii="Arial" w:hAnsi="Arial" w:cs="Arial"/>
          <w:sz w:val="22"/>
          <w:szCs w:val="22"/>
        </w:rPr>
        <w:t> </w:t>
      </w:r>
      <w:r w:rsidRPr="00D94FBA">
        <w:rPr>
          <w:rFonts w:ascii="Arial" w:hAnsi="Arial" w:cs="Arial"/>
          <w:sz w:val="22"/>
          <w:szCs w:val="22"/>
        </w:rPr>
        <w:t xml:space="preserve">percent then rereview is required. However, there is no information on whether this threshold contains uncertainties in the existing, new or calculated margins for whatever criteria </w:t>
      </w:r>
      <w:r w:rsidR="00543AED">
        <w:rPr>
          <w:rFonts w:ascii="Arial" w:hAnsi="Arial" w:cs="Arial"/>
          <w:sz w:val="22"/>
          <w:szCs w:val="22"/>
        </w:rPr>
        <w:t>are</w:t>
      </w:r>
      <w:r w:rsidRPr="00D94FBA">
        <w:rPr>
          <w:rFonts w:ascii="Arial" w:hAnsi="Arial" w:cs="Arial"/>
          <w:sz w:val="22"/>
          <w:szCs w:val="22"/>
        </w:rPr>
        <w:t xml:space="preserve"> applicable, and in whatever physical or risk</w:t>
      </w:r>
      <w:r w:rsidR="0083715E">
        <w:rPr>
          <w:rFonts w:ascii="Arial" w:hAnsi="Arial" w:cs="Arial"/>
          <w:sz w:val="22"/>
          <w:szCs w:val="22"/>
        </w:rPr>
        <w:noBreakHyphen/>
      </w:r>
      <w:r w:rsidRPr="00D94FBA">
        <w:rPr>
          <w:rFonts w:ascii="Arial" w:hAnsi="Arial" w:cs="Arial"/>
          <w:sz w:val="22"/>
          <w:szCs w:val="22"/>
        </w:rPr>
        <w:t>informed decision</w:t>
      </w:r>
      <w:r w:rsidRPr="00D94FBA">
        <w:rPr>
          <w:rFonts w:ascii="Arial" w:hAnsi="Arial" w:cs="Arial"/>
          <w:sz w:val="22"/>
          <w:szCs w:val="22"/>
        </w:rPr>
        <w:noBreakHyphen/>
        <w:t xml:space="preserve">making reasoning contributes to the newly found, disclosed, or discovered uncertainty in the margin. The commenter added that having a firm threshold may provide an incentive to never claim or build-in margins in design and planned operation of </w:t>
      </w:r>
      <w:r w:rsidRPr="00D94FBA">
        <w:rPr>
          <w:rFonts w:ascii="Arial" w:hAnsi="Arial" w:cs="Arial"/>
          <w:sz w:val="22"/>
          <w:szCs w:val="22"/>
        </w:rPr>
        <w:t xml:space="preserve">significantly less than 25 percent or any other such specified threshold so that any changes or improvements will not invoke additional review and </w:t>
      </w:r>
      <w:r w:rsidR="00D3074B">
        <w:rPr>
          <w:rFonts w:ascii="Arial" w:hAnsi="Arial" w:cs="Arial"/>
          <w:sz w:val="22"/>
          <w:szCs w:val="22"/>
        </w:rPr>
        <w:t>final safety analysis report (</w:t>
      </w:r>
      <w:r w:rsidRPr="00D94FBA">
        <w:rPr>
          <w:rFonts w:ascii="Arial" w:hAnsi="Arial" w:cs="Arial"/>
          <w:sz w:val="22"/>
          <w:szCs w:val="22"/>
        </w:rPr>
        <w:t>FSAR</w:t>
      </w:r>
      <w:r w:rsidR="00D3074B">
        <w:rPr>
          <w:rFonts w:ascii="Arial" w:hAnsi="Arial" w:cs="Arial"/>
          <w:sz w:val="22"/>
          <w:szCs w:val="22"/>
        </w:rPr>
        <w:t>)</w:t>
      </w:r>
      <w:r w:rsidRPr="00D94FBA">
        <w:rPr>
          <w:rFonts w:ascii="Arial" w:hAnsi="Arial" w:cs="Arial"/>
          <w:sz w:val="22"/>
          <w:szCs w:val="22"/>
        </w:rPr>
        <w:t xml:space="preserve"> revision. The commenter wrote that it would be preferable to allow risk-informed decision</w:t>
      </w:r>
      <w:r w:rsidRPr="00D94FBA" w:rsidR="00203BBC">
        <w:rPr>
          <w:rFonts w:ascii="Arial" w:hAnsi="Arial" w:cs="Arial"/>
          <w:sz w:val="22"/>
          <w:szCs w:val="22"/>
        </w:rPr>
        <w:noBreakHyphen/>
      </w:r>
      <w:r w:rsidRPr="00D94FBA">
        <w:rPr>
          <w:rFonts w:ascii="Arial" w:hAnsi="Arial" w:cs="Arial"/>
          <w:sz w:val="22"/>
          <w:szCs w:val="22"/>
        </w:rPr>
        <w:t>making justification using mechanistic and probabilistic analyses to provide incentives to improve or establish margins and to quantify and reduce uncertainty (</w:t>
      </w:r>
      <w:r w:rsidR="00A02F0C">
        <w:rPr>
          <w:rFonts w:ascii="Arial" w:hAnsi="Arial" w:cs="Arial"/>
          <w:sz w:val="22"/>
          <w:szCs w:val="22"/>
        </w:rPr>
        <w:t>RD</w:t>
      </w:r>
      <w:r w:rsidRPr="00D94FBA">
        <w:rPr>
          <w:rFonts w:ascii="Arial" w:hAnsi="Arial" w:cs="Arial"/>
          <w:sz w:val="22"/>
          <w:szCs w:val="22"/>
        </w:rPr>
        <w:t>-0012).</w:t>
      </w:r>
    </w:p>
    <w:p w:rsidR="00203BBC" w:rsidRPr="00D94FBA" w:rsidP="00D94FBA" w14:paraId="1298EED2"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agrees, in part, with th</w:t>
      </w:r>
      <w:r w:rsidR="0083715E">
        <w:rPr>
          <w:rFonts w:ascii="Arial" w:hAnsi="Arial" w:cs="Arial"/>
          <w:sz w:val="22"/>
          <w:szCs w:val="22"/>
        </w:rPr>
        <w:t>e</w:t>
      </w:r>
      <w:r w:rsidRPr="00D94FBA">
        <w:rPr>
          <w:rFonts w:ascii="Arial" w:hAnsi="Arial" w:cs="Arial"/>
          <w:sz w:val="22"/>
          <w:szCs w:val="22"/>
        </w:rPr>
        <w:t xml:space="preserve"> comment.</w:t>
      </w:r>
    </w:p>
    <w:p w:rsidR="0067114F" w:rsidRPr="00D94FBA" w:rsidP="00D94FBA" w14:paraId="100EB88C" w14:textId="77777777">
      <w:pPr>
        <w:spacing w:after="220"/>
        <w:rPr>
          <w:rFonts w:ascii="Arial" w:hAnsi="Arial" w:cs="Arial"/>
          <w:sz w:val="22"/>
          <w:szCs w:val="22"/>
        </w:rPr>
      </w:pPr>
      <w:r w:rsidRPr="00D94FBA">
        <w:rPr>
          <w:rFonts w:ascii="Arial" w:hAnsi="Arial" w:cs="Arial"/>
          <w:sz w:val="22"/>
          <w:szCs w:val="22"/>
        </w:rPr>
        <w:t>The requirements in 10 CFR Part 53 provide a framework for the identification and analysis of licensing</w:t>
      </w:r>
      <w:r w:rsidR="00113FE3">
        <w:rPr>
          <w:rFonts w:ascii="Arial" w:hAnsi="Arial" w:cs="Arial"/>
          <w:sz w:val="22"/>
          <w:szCs w:val="22"/>
        </w:rPr>
        <w:t>-</w:t>
      </w:r>
      <w:r w:rsidRPr="00D94FBA">
        <w:rPr>
          <w:rFonts w:ascii="Arial" w:hAnsi="Arial" w:cs="Arial"/>
          <w:sz w:val="22"/>
          <w:szCs w:val="22"/>
        </w:rPr>
        <w:t>basis events; the identification of appropriate special treatments for structures, systems, and components; the development of programmatic controls; the consideration of site characteristics; the identification and implementation of appropriate staffing; and a variety of other measures and processes for the design, operation, and licensing of commercial nuclear plants. While providing a structure for ensuring some degree of predictability and consistency, the framework also provides flexibility for applicants and licensees to propose different risk metrics and associated risk performance objectives, demarcation criteria for the categories of licensing</w:t>
      </w:r>
      <w:r w:rsidR="00113FE3">
        <w:rPr>
          <w:rFonts w:ascii="Arial" w:hAnsi="Arial" w:cs="Arial"/>
          <w:sz w:val="22"/>
          <w:szCs w:val="22"/>
        </w:rPr>
        <w:t>-</w:t>
      </w:r>
      <w:r w:rsidRPr="00D94FBA">
        <w:rPr>
          <w:rFonts w:ascii="Arial" w:hAnsi="Arial" w:cs="Arial"/>
          <w:sz w:val="22"/>
          <w:szCs w:val="22"/>
        </w:rPr>
        <w:t>basis events, and evaluation criteria for event sequences or categories of licensing</w:t>
      </w:r>
      <w:r w:rsidR="00113FE3">
        <w:rPr>
          <w:rFonts w:ascii="Arial" w:hAnsi="Arial" w:cs="Arial"/>
          <w:sz w:val="22"/>
          <w:szCs w:val="22"/>
        </w:rPr>
        <w:noBreakHyphen/>
      </w:r>
      <w:r w:rsidRPr="00D94FBA">
        <w:rPr>
          <w:rFonts w:ascii="Arial" w:hAnsi="Arial" w:cs="Arial"/>
          <w:sz w:val="22"/>
          <w:szCs w:val="22"/>
        </w:rPr>
        <w:t>basis events. This approach is consistent with the current state of practice and offers appropriate flexibility for PRAs or other systematic risk evaluations to be developed and assessed based on the application they are used to support, which includes consideration of how the results and insights are relied upon, together with factors such as safety margin, simplicity of design, and treatment of uncertainty.</w:t>
      </w:r>
    </w:p>
    <w:p w:rsidR="007166D3" w:rsidRPr="00D94FBA" w:rsidP="00D94FBA" w14:paraId="1FCA8690" w14:textId="77777777">
      <w:pPr>
        <w:spacing w:after="220"/>
        <w:rPr>
          <w:rFonts w:ascii="Arial" w:hAnsi="Arial" w:cs="Arial"/>
          <w:sz w:val="22"/>
          <w:szCs w:val="22"/>
        </w:rPr>
      </w:pPr>
      <w:r w:rsidRPr="00D94FBA">
        <w:rPr>
          <w:rFonts w:ascii="Arial" w:hAnsi="Arial" w:cs="Arial"/>
          <w:sz w:val="22"/>
          <w:szCs w:val="22"/>
        </w:rPr>
        <w:t>The NRC disagrees with those parts of the comment related to risk metrics because as explained above the rule is intended to provide flexibility to applicants. The</w:t>
      </w:r>
      <w:r w:rsidR="00A052DD">
        <w:rPr>
          <w:rFonts w:ascii="Arial" w:hAnsi="Arial" w:cs="Arial"/>
          <w:sz w:val="22"/>
          <w:szCs w:val="22"/>
        </w:rPr>
        <w:t xml:space="preserve"> </w:t>
      </w:r>
      <w:r w:rsidR="00897828">
        <w:rPr>
          <w:rFonts w:ascii="Arial" w:hAnsi="Arial" w:cs="Arial"/>
          <w:sz w:val="22"/>
          <w:szCs w:val="22"/>
        </w:rPr>
        <w:t>final rule FRN</w:t>
      </w:r>
      <w:r w:rsidR="00A052DD">
        <w:rPr>
          <w:rFonts w:ascii="Arial" w:hAnsi="Arial" w:cs="Arial"/>
          <w:sz w:val="22"/>
          <w:szCs w:val="22"/>
        </w:rPr>
        <w:t xml:space="preserve"> addresses some </w:t>
      </w:r>
      <w:r w:rsidR="00C53882">
        <w:rPr>
          <w:rFonts w:ascii="Arial" w:hAnsi="Arial" w:cs="Arial"/>
          <w:sz w:val="22"/>
          <w:szCs w:val="22"/>
        </w:rPr>
        <w:t>risk metrics</w:t>
      </w:r>
      <w:r w:rsidR="00A052DD">
        <w:rPr>
          <w:rFonts w:ascii="Arial" w:hAnsi="Arial" w:cs="Arial"/>
          <w:sz w:val="22"/>
          <w:szCs w:val="22"/>
        </w:rPr>
        <w:t xml:space="preserve"> that the NRC would find acceptable</w:t>
      </w:r>
      <w:r w:rsidR="00C53882">
        <w:rPr>
          <w:rFonts w:ascii="Arial" w:hAnsi="Arial" w:cs="Arial"/>
          <w:sz w:val="22"/>
          <w:szCs w:val="22"/>
        </w:rPr>
        <w:t>, and the</w:t>
      </w:r>
      <w:r w:rsidRPr="00D94FBA">
        <w:rPr>
          <w:rFonts w:ascii="Arial" w:hAnsi="Arial" w:cs="Arial"/>
          <w:sz w:val="22"/>
          <w:szCs w:val="22"/>
        </w:rPr>
        <w:t xml:space="preserve"> NRC intends to provide further information on specific methodologies to meet this standard through guidance. Accordingly, the NRC did not </w:t>
      </w:r>
      <w:r w:rsidR="008B02B2">
        <w:rPr>
          <w:rFonts w:ascii="Arial" w:hAnsi="Arial" w:cs="Arial"/>
          <w:sz w:val="22"/>
          <w:szCs w:val="22"/>
        </w:rPr>
        <w:t>change</w:t>
      </w:r>
      <w:r w:rsidRPr="00D94FBA">
        <w:rPr>
          <w:rFonts w:ascii="Arial" w:hAnsi="Arial" w:cs="Arial"/>
          <w:sz w:val="22"/>
          <w:szCs w:val="22"/>
        </w:rPr>
        <w:t xml:space="preserve"> the rule language in response to this part of the comment.</w:t>
      </w:r>
    </w:p>
    <w:p w:rsidR="007166D3" w:rsidRPr="00D94FBA" w:rsidP="00D94FBA" w14:paraId="37990287" w14:textId="77777777">
      <w:pPr>
        <w:spacing w:after="220"/>
        <w:rPr>
          <w:rFonts w:ascii="Arial" w:hAnsi="Arial" w:cs="Arial"/>
          <w:sz w:val="22"/>
          <w:szCs w:val="22"/>
        </w:rPr>
      </w:pPr>
      <w:r w:rsidRPr="00D94FBA">
        <w:rPr>
          <w:rFonts w:ascii="Arial" w:hAnsi="Arial" w:cs="Arial"/>
          <w:sz w:val="22"/>
          <w:szCs w:val="22"/>
        </w:rPr>
        <w:t xml:space="preserve">Regarding 10 CFR 53.1550, the NRC agrees that including a specific margin reduction as a threshold for facility changes requiring NRC approval may introduce implementation issues that would be better addressed through addressing the matter in guidance. Accordingly, the NRC </w:t>
      </w:r>
      <w:r w:rsidR="00F24B99">
        <w:rPr>
          <w:rFonts w:ascii="Arial" w:hAnsi="Arial" w:cs="Arial"/>
          <w:sz w:val="22"/>
          <w:szCs w:val="22"/>
        </w:rPr>
        <w:t>revis</w:t>
      </w:r>
      <w:r w:rsidR="00BE2513">
        <w:rPr>
          <w:rFonts w:ascii="Arial" w:hAnsi="Arial" w:cs="Arial"/>
          <w:sz w:val="22"/>
          <w:szCs w:val="22"/>
        </w:rPr>
        <w:t>ed</w:t>
      </w:r>
      <w:r w:rsidRPr="00D94FBA">
        <w:rPr>
          <w:rFonts w:ascii="Arial" w:hAnsi="Arial" w:cs="Arial"/>
          <w:sz w:val="22"/>
          <w:szCs w:val="22"/>
        </w:rPr>
        <w:t xml:space="preserve"> the rule language for the criterion in 10 CFR 53.1550(a)(2)(vii)</w:t>
      </w:r>
      <w:r w:rsidR="00393E38">
        <w:rPr>
          <w:rFonts w:ascii="Arial" w:hAnsi="Arial" w:cs="Arial"/>
          <w:sz w:val="22"/>
          <w:szCs w:val="22"/>
        </w:rPr>
        <w:t xml:space="preserve"> in response to this part of the comment</w:t>
      </w:r>
      <w:r w:rsidRPr="00D94FBA">
        <w:rPr>
          <w:rFonts w:ascii="Arial" w:hAnsi="Arial" w:cs="Arial"/>
          <w:sz w:val="22"/>
          <w:szCs w:val="22"/>
        </w:rPr>
        <w:t xml:space="preserve">. See also the response to </w:t>
      </w:r>
      <w:r w:rsidRPr="00D94FBA" w:rsidR="00D97D47">
        <w:rPr>
          <w:rFonts w:ascii="Arial" w:hAnsi="Arial" w:cs="Arial"/>
          <w:sz w:val="22"/>
          <w:szCs w:val="22"/>
        </w:rPr>
        <w:t>C</w:t>
      </w:r>
      <w:r w:rsidRPr="00D94FBA">
        <w:rPr>
          <w:rFonts w:ascii="Arial" w:hAnsi="Arial" w:cs="Arial"/>
          <w:sz w:val="22"/>
          <w:szCs w:val="22"/>
        </w:rPr>
        <w:t xml:space="preserve">omment </w:t>
      </w:r>
      <w:r w:rsidRPr="00D94FBA" w:rsidR="00D97D47">
        <w:rPr>
          <w:rFonts w:ascii="Arial" w:hAnsi="Arial" w:cs="Arial"/>
          <w:sz w:val="22"/>
          <w:szCs w:val="22"/>
        </w:rPr>
        <w:t>Bin</w:t>
      </w:r>
      <w:r w:rsidRPr="00D94FBA" w:rsidR="00250167">
        <w:rPr>
          <w:rFonts w:ascii="Arial" w:hAnsi="Arial" w:cs="Arial"/>
          <w:sz w:val="22"/>
          <w:szCs w:val="22"/>
        </w:rPr>
        <w:t xml:space="preserve"> 3.9.1.F</w:t>
      </w:r>
      <w:r w:rsidRPr="00D94FBA">
        <w:rPr>
          <w:rFonts w:ascii="Arial" w:hAnsi="Arial" w:cs="Arial"/>
          <w:sz w:val="22"/>
          <w:szCs w:val="22"/>
        </w:rPr>
        <w:t xml:space="preserve"> for revisions made in the final rule for 10</w:t>
      </w:r>
      <w:r w:rsidRPr="00D94FBA" w:rsidR="00250167">
        <w:rPr>
          <w:rFonts w:ascii="Arial" w:hAnsi="Arial" w:cs="Arial"/>
          <w:sz w:val="22"/>
          <w:szCs w:val="22"/>
        </w:rPr>
        <w:t> </w:t>
      </w:r>
      <w:r w:rsidRPr="00D94FBA">
        <w:rPr>
          <w:rFonts w:ascii="Arial" w:hAnsi="Arial" w:cs="Arial"/>
          <w:sz w:val="22"/>
          <w:szCs w:val="22"/>
        </w:rPr>
        <w:t>CFR</w:t>
      </w:r>
      <w:r w:rsidRPr="00D94FBA" w:rsidR="00250167">
        <w:rPr>
          <w:rFonts w:ascii="Arial" w:hAnsi="Arial" w:cs="Arial"/>
          <w:sz w:val="22"/>
          <w:szCs w:val="22"/>
        </w:rPr>
        <w:t> </w:t>
      </w:r>
      <w:r w:rsidRPr="00D94FBA">
        <w:rPr>
          <w:rFonts w:ascii="Arial" w:hAnsi="Arial" w:cs="Arial"/>
          <w:sz w:val="22"/>
          <w:szCs w:val="22"/>
        </w:rPr>
        <w:t>53.1550.</w:t>
      </w:r>
    </w:p>
    <w:p w:rsidR="0083061E" w:rsidRPr="00D94FBA" w:rsidP="00D94FBA" w14:paraId="0402C213" w14:textId="77777777">
      <w:pPr>
        <w:spacing w:after="220"/>
        <w:rPr>
          <w:rFonts w:ascii="Arial" w:hAnsi="Arial" w:cs="Arial"/>
          <w:b/>
          <w:sz w:val="22"/>
          <w:szCs w:val="22"/>
        </w:rPr>
      </w:pPr>
      <w:r>
        <w:rPr>
          <w:rFonts w:ascii="Arial" w:hAnsi="Arial" w:cs="Arial"/>
          <w:sz w:val="22"/>
          <w:szCs w:val="22"/>
        </w:rPr>
        <w:pict>
          <v:rect id="_x0000_i1077" style="width:0;height:1.5pt" o:hralign="center" o:hrstd="t" o:hrnoshade="t" o:hr="t" fillcolor="black" stroked="f"/>
        </w:pict>
      </w:r>
    </w:p>
    <w:p w:rsidR="0075412C" w:rsidRPr="00D94FBA" w:rsidP="00D94FBA" w14:paraId="78DBFBE3" w14:textId="77777777">
      <w:pPr>
        <w:spacing w:after="220"/>
        <w:rPr>
          <w:rFonts w:ascii="Arial" w:hAnsi="Arial" w:cs="Arial"/>
          <w:sz w:val="22"/>
          <w:szCs w:val="22"/>
        </w:rPr>
      </w:pPr>
      <w:r w:rsidRPr="00D94FBA">
        <w:rPr>
          <w:rFonts w:ascii="Arial" w:hAnsi="Arial" w:cs="Arial"/>
          <w:b/>
          <w:sz w:val="22"/>
          <w:szCs w:val="22"/>
        </w:rPr>
        <w:t xml:space="preserve">Comment Bin 3.2.1.2.B: </w:t>
      </w:r>
      <w:r w:rsidRPr="00D94FBA">
        <w:rPr>
          <w:rFonts w:ascii="Arial" w:hAnsi="Arial" w:cs="Arial"/>
          <w:sz w:val="22"/>
          <w:szCs w:val="22"/>
        </w:rPr>
        <w:t>A commenter proposed deleting all of 10 CFR 53.220, writing that the definition and use of LBE invites event spaces involving “massive numbers of combinations and permutations” with no frequency values or linkage to public radiation doses. The commenter added that these criteria are open ended, difficult to meet, and open to interpretation from the NRC staff. The commenter wrote that the Commission specifically asked the NRC staff to remove QHOs from earlier versions of the 10</w:t>
      </w:r>
      <w:r w:rsidRPr="00D94FBA" w:rsidR="005E7D53">
        <w:rPr>
          <w:rFonts w:ascii="Arial" w:hAnsi="Arial" w:cs="Arial"/>
          <w:sz w:val="22"/>
          <w:szCs w:val="22"/>
        </w:rPr>
        <w:t> </w:t>
      </w:r>
      <w:r w:rsidRPr="00D94FBA">
        <w:rPr>
          <w:rFonts w:ascii="Arial" w:hAnsi="Arial" w:cs="Arial"/>
          <w:sz w:val="22"/>
          <w:szCs w:val="22"/>
        </w:rPr>
        <w:t>CFR</w:t>
      </w:r>
      <w:r w:rsidRPr="00D94FBA" w:rsidR="005E7D53">
        <w:rPr>
          <w:rFonts w:ascii="Arial" w:hAnsi="Arial" w:cs="Arial"/>
          <w:sz w:val="22"/>
          <w:szCs w:val="22"/>
        </w:rPr>
        <w:t> </w:t>
      </w:r>
      <w:r w:rsidRPr="00D94FBA">
        <w:rPr>
          <w:rFonts w:ascii="Arial" w:hAnsi="Arial" w:cs="Arial"/>
          <w:sz w:val="22"/>
          <w:szCs w:val="22"/>
        </w:rPr>
        <w:t>Part 53 rule language, and the requirement is a “back-door” attempt around this. The commenter added that if a nuclear plant’s safety</w:t>
      </w:r>
      <w:r w:rsidR="0083715E">
        <w:rPr>
          <w:rFonts w:ascii="Arial" w:hAnsi="Arial" w:cs="Arial"/>
          <w:sz w:val="22"/>
          <w:szCs w:val="22"/>
        </w:rPr>
        <w:noBreakHyphen/>
      </w:r>
      <w:r w:rsidRPr="00D94FBA">
        <w:rPr>
          <w:rFonts w:ascii="Arial" w:hAnsi="Arial" w:cs="Arial"/>
          <w:sz w:val="22"/>
          <w:szCs w:val="22"/>
        </w:rPr>
        <w:t xml:space="preserve">related release barriers prevent the release of any significant amounts of radiation, then the whole issue is “moot.” The commenter also added that these requirements are contrary to several pieces of legislation and other laws including NEIMA and the Supreme Court decision in </w:t>
      </w:r>
      <w:r w:rsidRPr="007A3525">
        <w:rPr>
          <w:rFonts w:ascii="Arial" w:hAnsi="Arial" w:cs="Arial"/>
          <w:i/>
          <w:iCs/>
          <w:sz w:val="22"/>
          <w:szCs w:val="22"/>
        </w:rPr>
        <w:t>Michigan v. EPA</w:t>
      </w:r>
      <w:r w:rsidRPr="00D94FBA">
        <w:rPr>
          <w:rFonts w:ascii="Arial" w:hAnsi="Arial" w:cs="Arial"/>
          <w:sz w:val="22"/>
          <w:szCs w:val="22"/>
        </w:rPr>
        <w:t xml:space="preserve"> (</w:t>
      </w:r>
      <w:r w:rsidR="00005A63">
        <w:rPr>
          <w:rFonts w:ascii="Arial" w:hAnsi="Arial" w:cs="Arial"/>
          <w:sz w:val="22"/>
          <w:szCs w:val="22"/>
        </w:rPr>
        <w:t>HPT7</w:t>
      </w:r>
      <w:r w:rsidRPr="00D94FBA">
        <w:rPr>
          <w:rFonts w:ascii="Arial" w:hAnsi="Arial" w:cs="Arial"/>
          <w:sz w:val="22"/>
          <w:szCs w:val="22"/>
        </w:rPr>
        <w:t xml:space="preserve">-0001, </w:t>
      </w:r>
      <w:r w:rsidR="00005A63">
        <w:rPr>
          <w:rFonts w:ascii="Arial" w:hAnsi="Arial" w:cs="Arial"/>
          <w:sz w:val="22"/>
          <w:szCs w:val="22"/>
        </w:rPr>
        <w:t>HPT7</w:t>
      </w:r>
      <w:r w:rsidRPr="00D94FBA">
        <w:rPr>
          <w:rFonts w:ascii="Arial" w:hAnsi="Arial" w:cs="Arial"/>
          <w:sz w:val="22"/>
          <w:szCs w:val="22"/>
        </w:rPr>
        <w:t>-0002). </w:t>
      </w:r>
      <w:r w:rsidRPr="00D94FBA" w:rsidR="00B864A2">
        <w:rPr>
          <w:rFonts w:ascii="Arial" w:hAnsi="Arial" w:cs="Arial"/>
          <w:sz w:val="22"/>
          <w:szCs w:val="22"/>
        </w:rPr>
        <w:t>Another commenter asserted that the NRC needs to have an “actual number set” of acceptable risk to be used in calculations (</w:t>
      </w:r>
      <w:r w:rsidR="000179BD">
        <w:rPr>
          <w:rFonts w:ascii="Arial" w:hAnsi="Arial" w:cs="Arial"/>
          <w:sz w:val="22"/>
          <w:szCs w:val="22"/>
        </w:rPr>
        <w:t>TG17</w:t>
      </w:r>
      <w:r w:rsidRPr="00D94FBA" w:rsidR="00B864A2">
        <w:rPr>
          <w:rFonts w:ascii="Arial" w:hAnsi="Arial" w:cs="Arial"/>
          <w:sz w:val="22"/>
          <w:szCs w:val="22"/>
        </w:rPr>
        <w:t>-0009).</w:t>
      </w:r>
    </w:p>
    <w:p w:rsidR="00D54871" w:rsidRPr="00D94FBA" w:rsidP="00D94FBA" w14:paraId="2A5B1B04"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the comment</w:t>
      </w:r>
      <w:r w:rsidRPr="00D94FBA" w:rsidR="007926D6">
        <w:rPr>
          <w:rFonts w:ascii="Arial" w:hAnsi="Arial" w:cs="Arial"/>
          <w:sz w:val="22"/>
          <w:szCs w:val="22"/>
        </w:rPr>
        <w:t>s</w:t>
      </w:r>
      <w:r w:rsidRPr="00D94FBA">
        <w:rPr>
          <w:rFonts w:ascii="Arial" w:hAnsi="Arial" w:cs="Arial"/>
          <w:sz w:val="22"/>
          <w:szCs w:val="22"/>
        </w:rPr>
        <w:t>.</w:t>
      </w:r>
    </w:p>
    <w:p w:rsidR="00BA6F16" w:rsidRPr="00D94FBA" w:rsidP="00D94FBA" w14:paraId="0428437F" w14:textId="77777777">
      <w:pPr>
        <w:spacing w:after="220"/>
        <w:rPr>
          <w:rFonts w:ascii="Arial" w:hAnsi="Arial" w:cs="Arial"/>
          <w:sz w:val="22"/>
          <w:szCs w:val="22"/>
        </w:rPr>
      </w:pPr>
      <w:r w:rsidRPr="00D94FBA">
        <w:rPr>
          <w:rFonts w:ascii="Arial" w:hAnsi="Arial" w:cs="Arial"/>
          <w:sz w:val="22"/>
          <w:szCs w:val="22"/>
        </w:rPr>
        <w:t>Subpart B to 10 CFR Part 53, including 10 CFR 53.220, provide</w:t>
      </w:r>
      <w:r w:rsidRPr="00D94FBA" w:rsidR="00BA7678">
        <w:rPr>
          <w:rFonts w:ascii="Arial" w:hAnsi="Arial" w:cs="Arial"/>
          <w:sz w:val="22"/>
          <w:szCs w:val="22"/>
        </w:rPr>
        <w:t>s</w:t>
      </w:r>
      <w:r w:rsidRPr="00D94FBA">
        <w:rPr>
          <w:rFonts w:ascii="Arial" w:hAnsi="Arial" w:cs="Arial"/>
          <w:sz w:val="22"/>
          <w:szCs w:val="22"/>
        </w:rPr>
        <w:t xml:space="preserve"> the safety requirements and specific criteria needed for a performance-based, technology</w:t>
      </w:r>
      <w:r w:rsidRPr="00D94FBA" w:rsidR="0060507A">
        <w:rPr>
          <w:rFonts w:ascii="Arial" w:hAnsi="Arial" w:cs="Arial"/>
          <w:sz w:val="22"/>
          <w:szCs w:val="22"/>
        </w:rPr>
        <w:noBreakHyphen/>
      </w:r>
      <w:r w:rsidRPr="00D94FBA">
        <w:rPr>
          <w:rFonts w:ascii="Arial" w:hAnsi="Arial" w:cs="Arial"/>
          <w:sz w:val="22"/>
          <w:szCs w:val="22"/>
        </w:rPr>
        <w:t>inclusive regulatory framework directed by NEIMA. The proposed and final rules mention the quantitative health objectives (QHOs) from the NRC’s policy statement</w:t>
      </w:r>
      <w:r w:rsidR="0044443C">
        <w:rPr>
          <w:rFonts w:ascii="Arial" w:hAnsi="Arial" w:cs="Arial"/>
          <w:sz w:val="22"/>
          <w:szCs w:val="22"/>
        </w:rPr>
        <w:t xml:space="preserve">, </w:t>
      </w:r>
      <w:r w:rsidR="00CD59FF">
        <w:rPr>
          <w:rFonts w:ascii="Arial" w:hAnsi="Arial" w:cs="Arial"/>
          <w:sz w:val="22"/>
          <w:szCs w:val="22"/>
        </w:rPr>
        <w:t>“</w:t>
      </w:r>
      <w:r w:rsidRPr="00CD59FF" w:rsidR="00CD59FF">
        <w:rPr>
          <w:rFonts w:ascii="Arial" w:hAnsi="Arial" w:cs="Arial"/>
          <w:sz w:val="22"/>
          <w:szCs w:val="22"/>
        </w:rPr>
        <w:t xml:space="preserve">Safety Goals for Nuclear Power Plant Operation’’ </w:t>
      </w:r>
      <w:r w:rsidR="00530810">
        <w:rPr>
          <w:rFonts w:ascii="Arial" w:hAnsi="Arial" w:cs="Arial"/>
          <w:sz w:val="22"/>
          <w:szCs w:val="22"/>
        </w:rPr>
        <w:t>(Safety Goals Policy Statement),</w:t>
      </w:r>
      <w:r w:rsidRPr="00CD59FF" w:rsidR="00530810">
        <w:rPr>
          <w:rFonts w:ascii="Arial" w:hAnsi="Arial" w:cs="Arial"/>
          <w:sz w:val="22"/>
          <w:szCs w:val="22"/>
        </w:rPr>
        <w:t xml:space="preserve"> </w:t>
      </w:r>
      <w:r w:rsidRPr="00CD59FF" w:rsidR="00CD59FF">
        <w:rPr>
          <w:rFonts w:ascii="Arial" w:hAnsi="Arial" w:cs="Arial"/>
          <w:sz w:val="22"/>
          <w:szCs w:val="22"/>
        </w:rPr>
        <w:t>dated August 4, 1986</w:t>
      </w:r>
      <w:r w:rsidR="00530810">
        <w:rPr>
          <w:rFonts w:ascii="Arial" w:hAnsi="Arial" w:cs="Arial"/>
          <w:sz w:val="22"/>
          <w:szCs w:val="22"/>
        </w:rPr>
        <w:t xml:space="preserve"> </w:t>
      </w:r>
      <w:r w:rsidRPr="00CD59FF" w:rsidR="00CD59FF">
        <w:rPr>
          <w:rFonts w:ascii="Arial" w:hAnsi="Arial" w:cs="Arial"/>
          <w:sz w:val="22"/>
          <w:szCs w:val="22"/>
        </w:rPr>
        <w:t>(51 FR 28044)</w:t>
      </w:r>
      <w:r w:rsidR="00CD59FF">
        <w:rPr>
          <w:rFonts w:ascii="Arial" w:hAnsi="Arial" w:cs="Arial"/>
          <w:sz w:val="22"/>
          <w:szCs w:val="22"/>
        </w:rPr>
        <w:t>,</w:t>
      </w:r>
      <w:r w:rsidRPr="00D94FBA">
        <w:rPr>
          <w:rFonts w:ascii="Arial" w:hAnsi="Arial" w:cs="Arial"/>
          <w:sz w:val="22"/>
          <w:szCs w:val="22"/>
        </w:rPr>
        <w:t xml:space="preserve"> as one acceptable approach for meeting the requirements for comprehensive risk metric(s) and related risk performance objectives but also states that applicants and licensees are free to propose other approaches. </w:t>
      </w:r>
      <w:r w:rsidRPr="00D94FBA" w:rsidR="00DA552A">
        <w:rPr>
          <w:rFonts w:ascii="Arial" w:hAnsi="Arial" w:cs="Arial"/>
          <w:sz w:val="22"/>
          <w:szCs w:val="22"/>
        </w:rPr>
        <w:t xml:space="preserve">The QHOs </w:t>
      </w:r>
      <w:r w:rsidRPr="00D94FBA" w:rsidR="00F727B8">
        <w:rPr>
          <w:rFonts w:ascii="Arial" w:hAnsi="Arial" w:cs="Arial"/>
          <w:sz w:val="22"/>
          <w:szCs w:val="22"/>
        </w:rPr>
        <w:t>and their related risk metrics are surrogate measures derived from the</w:t>
      </w:r>
      <w:r w:rsidRPr="00D94FBA" w:rsidR="00B03CE6">
        <w:rPr>
          <w:rFonts w:ascii="Arial" w:hAnsi="Arial" w:cs="Arial"/>
          <w:sz w:val="22"/>
          <w:szCs w:val="22"/>
        </w:rPr>
        <w:t xml:space="preserve"> Commission’s </w:t>
      </w:r>
      <w:r w:rsidRPr="00D94FBA" w:rsidR="00DF5B6D">
        <w:rPr>
          <w:rFonts w:ascii="Arial" w:hAnsi="Arial" w:cs="Arial"/>
          <w:sz w:val="22"/>
          <w:szCs w:val="22"/>
        </w:rPr>
        <w:t xml:space="preserve">quantitative objectives for the </w:t>
      </w:r>
      <w:r w:rsidRPr="00D94FBA" w:rsidR="00B03CE6">
        <w:rPr>
          <w:rFonts w:ascii="Arial" w:hAnsi="Arial" w:cs="Arial"/>
          <w:sz w:val="22"/>
          <w:szCs w:val="22"/>
        </w:rPr>
        <w:t xml:space="preserve">qualitative </w:t>
      </w:r>
      <w:r w:rsidRPr="00D94FBA" w:rsidR="00DF5B6D">
        <w:rPr>
          <w:rFonts w:ascii="Arial" w:hAnsi="Arial" w:cs="Arial"/>
          <w:sz w:val="22"/>
          <w:szCs w:val="22"/>
        </w:rPr>
        <w:t>safety goals described in the Commission’s Safety Goal</w:t>
      </w:r>
      <w:r w:rsidRPr="00D94FBA" w:rsidR="00E857C9">
        <w:rPr>
          <w:rFonts w:ascii="Arial" w:hAnsi="Arial" w:cs="Arial"/>
          <w:sz w:val="22"/>
          <w:szCs w:val="22"/>
        </w:rPr>
        <w:t xml:space="preserve">s Policy Statement. The qualitative safety goals </w:t>
      </w:r>
      <w:r w:rsidRPr="00D94FBA" w:rsidR="002478D3">
        <w:rPr>
          <w:rFonts w:ascii="Arial" w:hAnsi="Arial" w:cs="Arial"/>
          <w:sz w:val="22"/>
          <w:szCs w:val="22"/>
        </w:rPr>
        <w:t>are based on the principle that nuclear risks should not be a significant addition to other societal risks.</w:t>
      </w:r>
    </w:p>
    <w:p w:rsidR="00D54871" w:rsidRPr="00D94FBA" w:rsidP="00D94FBA" w14:paraId="17B206DA" w14:textId="77777777">
      <w:pPr>
        <w:spacing w:after="220"/>
        <w:rPr>
          <w:rFonts w:ascii="Arial" w:hAnsi="Arial" w:cs="Arial"/>
          <w:sz w:val="22"/>
          <w:szCs w:val="22"/>
        </w:rPr>
      </w:pPr>
      <w:r w:rsidRPr="00D94FBA">
        <w:rPr>
          <w:rFonts w:ascii="Arial" w:hAnsi="Arial" w:cs="Arial"/>
          <w:sz w:val="22"/>
          <w:szCs w:val="22"/>
        </w:rPr>
        <w:t>The requirements for licensing</w:t>
      </w:r>
      <w:r w:rsidR="00113FE3">
        <w:rPr>
          <w:rFonts w:ascii="Arial" w:hAnsi="Arial" w:cs="Arial"/>
          <w:sz w:val="22"/>
          <w:szCs w:val="22"/>
        </w:rPr>
        <w:t>-</w:t>
      </w:r>
      <w:r w:rsidRPr="00D94FBA">
        <w:rPr>
          <w:rFonts w:ascii="Arial" w:hAnsi="Arial" w:cs="Arial"/>
          <w:sz w:val="22"/>
          <w:szCs w:val="22"/>
        </w:rPr>
        <w:t>basis events in 10 CFR 53.240 and 10 CFR 53.450 require a systematic approach to address a wide range of potential event sequences to gain risk insights and identify appropriate design features and programmatic controls to prevent or mitigate potential damage states. The proposed and final rules provide examples and refer to available guidance such as RG 1.233 for event categories and associated evaluation criteria</w:t>
      </w:r>
      <w:r w:rsidRPr="00D94FBA" w:rsidR="00FE17B3">
        <w:rPr>
          <w:rFonts w:ascii="Arial" w:hAnsi="Arial" w:cs="Arial"/>
          <w:sz w:val="22"/>
          <w:szCs w:val="22"/>
        </w:rPr>
        <w:t>,</w:t>
      </w:r>
      <w:r w:rsidRPr="00D94FBA">
        <w:rPr>
          <w:rFonts w:ascii="Arial" w:hAnsi="Arial" w:cs="Arial"/>
          <w:sz w:val="22"/>
          <w:szCs w:val="22"/>
        </w:rPr>
        <w:t xml:space="preserve"> but the rule language provides flexibility for applicants and licensees to propose other approaches. Finally, </w:t>
      </w:r>
      <w:r w:rsidRPr="005A3174">
        <w:rPr>
          <w:rFonts w:ascii="Arial" w:hAnsi="Arial" w:cs="Arial"/>
          <w:i/>
          <w:iCs/>
          <w:sz w:val="22"/>
          <w:szCs w:val="22"/>
        </w:rPr>
        <w:t>Michigan v. EPA</w:t>
      </w:r>
      <w:r w:rsidRPr="00D94FBA">
        <w:rPr>
          <w:rFonts w:ascii="Arial" w:hAnsi="Arial" w:cs="Arial"/>
          <w:sz w:val="22"/>
          <w:szCs w:val="22"/>
        </w:rPr>
        <w:t xml:space="preserve"> established the principle that rational decision</w:t>
      </w:r>
      <w:r w:rsidR="00FB46F7">
        <w:rPr>
          <w:rFonts w:ascii="Arial" w:hAnsi="Arial" w:cs="Arial"/>
          <w:sz w:val="22"/>
          <w:szCs w:val="22"/>
        </w:rPr>
        <w:t>-</w:t>
      </w:r>
      <w:r w:rsidRPr="00D94FBA">
        <w:rPr>
          <w:rFonts w:ascii="Arial" w:hAnsi="Arial" w:cs="Arial"/>
          <w:sz w:val="22"/>
          <w:szCs w:val="22"/>
        </w:rPr>
        <w:t xml:space="preserve">making requires consideration of cost where agencies have discretion to consider that cost; here the NRC completed a regulatory analysis which includes consideration of </w:t>
      </w:r>
      <w:r w:rsidR="00746492">
        <w:rPr>
          <w:rFonts w:ascii="Arial" w:hAnsi="Arial" w:cs="Arial"/>
          <w:sz w:val="22"/>
          <w:szCs w:val="22"/>
        </w:rPr>
        <w:t xml:space="preserve">both </w:t>
      </w:r>
      <w:r w:rsidRPr="00D94FBA">
        <w:rPr>
          <w:rFonts w:ascii="Arial" w:hAnsi="Arial" w:cs="Arial"/>
          <w:sz w:val="22"/>
          <w:szCs w:val="22"/>
        </w:rPr>
        <w:t>costs and benefits.</w:t>
      </w:r>
    </w:p>
    <w:p w:rsidR="0075412C" w:rsidRPr="00D94FBA" w:rsidP="00D94FBA" w14:paraId="23BD9703" w14:textId="77777777">
      <w:pPr>
        <w:spacing w:after="220"/>
        <w:rPr>
          <w:rFonts w:ascii="Arial" w:hAnsi="Arial" w:cs="Arial"/>
          <w:sz w:val="22"/>
          <w:szCs w:val="22"/>
        </w:rPr>
      </w:pPr>
      <w:r w:rsidRPr="00D94FBA">
        <w:rPr>
          <w:rFonts w:ascii="Arial" w:hAnsi="Arial" w:cs="Arial"/>
          <w:sz w:val="22"/>
          <w:szCs w:val="22"/>
        </w:rPr>
        <w:t xml:space="preserve">Accordingly, the NRC did not </w:t>
      </w:r>
      <w:r w:rsidR="007D1473">
        <w:rPr>
          <w:rFonts w:ascii="Arial" w:hAnsi="Arial" w:cs="Arial"/>
          <w:sz w:val="22"/>
          <w:szCs w:val="22"/>
        </w:rPr>
        <w:t>change</w:t>
      </w:r>
      <w:r w:rsidRPr="00D94FBA">
        <w:rPr>
          <w:rFonts w:ascii="Arial" w:hAnsi="Arial" w:cs="Arial"/>
          <w:sz w:val="22"/>
          <w:szCs w:val="22"/>
        </w:rPr>
        <w:t xml:space="preserve"> the rule language in response to th</w:t>
      </w:r>
      <w:r w:rsidRPr="00D94FBA" w:rsidR="005E7D53">
        <w:rPr>
          <w:rFonts w:ascii="Arial" w:hAnsi="Arial" w:cs="Arial"/>
          <w:sz w:val="22"/>
          <w:szCs w:val="22"/>
        </w:rPr>
        <w:t>ese</w:t>
      </w:r>
      <w:r w:rsidRPr="00D94FBA">
        <w:rPr>
          <w:rFonts w:ascii="Arial" w:hAnsi="Arial" w:cs="Arial"/>
          <w:sz w:val="22"/>
          <w:szCs w:val="22"/>
        </w:rPr>
        <w:t xml:space="preserve"> comment</w:t>
      </w:r>
      <w:r w:rsidRPr="00D94FBA" w:rsidR="005E7D53">
        <w:rPr>
          <w:rFonts w:ascii="Arial" w:hAnsi="Arial" w:cs="Arial"/>
          <w:sz w:val="22"/>
          <w:szCs w:val="22"/>
        </w:rPr>
        <w:t>s</w:t>
      </w:r>
      <w:r w:rsidRPr="00D94FBA">
        <w:rPr>
          <w:rFonts w:ascii="Arial" w:hAnsi="Arial" w:cs="Arial"/>
          <w:sz w:val="22"/>
          <w:szCs w:val="22"/>
        </w:rPr>
        <w:t>.</w:t>
      </w:r>
    </w:p>
    <w:p w:rsidR="0075412C" w:rsidRPr="00D94FBA" w:rsidP="00D94FBA" w14:paraId="3B57224F" w14:textId="77777777">
      <w:pPr>
        <w:spacing w:after="220"/>
        <w:rPr>
          <w:rFonts w:ascii="Arial" w:hAnsi="Arial" w:cs="Arial"/>
          <w:sz w:val="22"/>
          <w:szCs w:val="22"/>
        </w:rPr>
      </w:pPr>
      <w:r>
        <w:rPr>
          <w:rFonts w:ascii="Arial" w:hAnsi="Arial" w:cs="Arial"/>
          <w:sz w:val="22"/>
          <w:szCs w:val="22"/>
        </w:rPr>
        <w:pict>
          <v:rect id="_x0000_i1078" style="width:0;height:1.5pt" o:hralign="center" o:hrstd="t" o:hrnoshade="t" o:hr="t" fillcolor="black" stroked="f"/>
        </w:pict>
      </w:r>
    </w:p>
    <w:p w:rsidR="0075412C" w:rsidRPr="00D94FBA" w:rsidP="00D94FBA" w14:paraId="18CC10D6" w14:textId="77777777">
      <w:pPr>
        <w:spacing w:after="220"/>
        <w:rPr>
          <w:rFonts w:ascii="Arial" w:hAnsi="Arial" w:cs="Arial"/>
          <w:sz w:val="22"/>
          <w:szCs w:val="22"/>
        </w:rPr>
      </w:pPr>
      <w:r w:rsidRPr="00D94FBA">
        <w:rPr>
          <w:rFonts w:ascii="Arial" w:hAnsi="Arial" w:cs="Arial"/>
          <w:b/>
          <w:sz w:val="22"/>
          <w:szCs w:val="22"/>
        </w:rPr>
        <w:t xml:space="preserve">Comment Bin 3.2.1.2:C: </w:t>
      </w:r>
      <w:r w:rsidRPr="00D94FBA">
        <w:rPr>
          <w:rFonts w:ascii="Arial" w:hAnsi="Arial" w:cs="Arial"/>
          <w:sz w:val="22"/>
          <w:szCs w:val="22"/>
        </w:rPr>
        <w:t>A commenter wrote that QHOs should be eliminated for technologies that can demonstrate, by analysis, a less than 1 rem dose consequence for postulated accidents at the site boundary, as such a threshold already demonstrates there are very low consequences to public health and safety from plant operations (</w:t>
      </w:r>
      <w:r w:rsidR="008B69CC">
        <w:rPr>
          <w:rFonts w:ascii="Arial" w:hAnsi="Arial" w:cs="Arial"/>
          <w:sz w:val="22"/>
          <w:szCs w:val="22"/>
        </w:rPr>
        <w:t>KAP</w:t>
      </w:r>
      <w:r w:rsidRPr="00D94FBA">
        <w:rPr>
          <w:rFonts w:ascii="Arial" w:hAnsi="Arial" w:cs="Arial"/>
          <w:sz w:val="22"/>
          <w:szCs w:val="22"/>
        </w:rPr>
        <w:t>-0003). </w:t>
      </w:r>
    </w:p>
    <w:p w:rsidR="00402D45" w:rsidP="00D94FBA" w14:paraId="67AE96F0"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w:t>
      </w:r>
      <w:r w:rsidR="0083715E">
        <w:rPr>
          <w:rFonts w:ascii="Arial" w:hAnsi="Arial" w:cs="Arial"/>
          <w:sz w:val="22"/>
          <w:szCs w:val="22"/>
        </w:rPr>
        <w:t>e</w:t>
      </w:r>
      <w:r w:rsidRPr="00D94FBA">
        <w:rPr>
          <w:rFonts w:ascii="Arial" w:hAnsi="Arial" w:cs="Arial"/>
          <w:sz w:val="22"/>
          <w:szCs w:val="22"/>
        </w:rPr>
        <w:t xml:space="preserve"> comment. </w:t>
      </w:r>
    </w:p>
    <w:p w:rsidR="008872F2" w:rsidRPr="00D94FBA" w:rsidP="00D94FBA" w14:paraId="2FE1740B" w14:textId="77777777">
      <w:pPr>
        <w:spacing w:after="220"/>
        <w:rPr>
          <w:rFonts w:ascii="Arial" w:hAnsi="Arial" w:cs="Arial"/>
          <w:sz w:val="22"/>
          <w:szCs w:val="22"/>
        </w:rPr>
      </w:pPr>
      <w:r w:rsidRPr="00D94FBA">
        <w:rPr>
          <w:rFonts w:ascii="Arial" w:hAnsi="Arial" w:cs="Arial"/>
          <w:sz w:val="22"/>
          <w:szCs w:val="22"/>
        </w:rPr>
        <w:t>10 CFR Part 53 does not require the use of the QHOs from the NRC’s safety goal policy statement. The proposed and final rule</w:t>
      </w:r>
      <w:r w:rsidR="00B85735">
        <w:rPr>
          <w:rFonts w:ascii="Arial" w:hAnsi="Arial" w:cs="Arial"/>
          <w:sz w:val="22"/>
          <w:szCs w:val="22"/>
        </w:rPr>
        <w:t xml:space="preserve"> FRN</w:t>
      </w:r>
      <w:r w:rsidRPr="00D94FBA">
        <w:rPr>
          <w:rFonts w:ascii="Arial" w:hAnsi="Arial" w:cs="Arial"/>
          <w:sz w:val="22"/>
          <w:szCs w:val="22"/>
        </w:rPr>
        <w:t>s mention the QHOs as one acceptable approach for meeting the requirements for comprehensive risk metric(s) and related risk performance objectives but also state that applicants and licensees are free to propose other approaches. Nonetheless, the NRC recognizes that some plants could present a low risk profile wh</w:t>
      </w:r>
      <w:r w:rsidRPr="00D94FBA" w:rsidR="00AD54AF">
        <w:rPr>
          <w:rFonts w:ascii="Arial" w:hAnsi="Arial" w:cs="Arial"/>
          <w:sz w:val="22"/>
          <w:szCs w:val="22"/>
        </w:rPr>
        <w:t>ile</w:t>
      </w:r>
      <w:r w:rsidRPr="00D94FBA">
        <w:rPr>
          <w:rFonts w:ascii="Arial" w:hAnsi="Arial" w:cs="Arial"/>
          <w:sz w:val="22"/>
          <w:szCs w:val="22"/>
        </w:rPr>
        <w:t xml:space="preserve"> also meeting the requirements in 10 CFR Part 53.</w:t>
      </w:r>
    </w:p>
    <w:p w:rsidR="0075412C" w:rsidRPr="00D94FBA" w:rsidP="00D94FBA" w14:paraId="772D9153" w14:textId="77777777">
      <w:pPr>
        <w:spacing w:after="220"/>
        <w:rPr>
          <w:rFonts w:ascii="Arial" w:hAnsi="Arial" w:cs="Arial"/>
          <w:b/>
          <w:sz w:val="22"/>
          <w:szCs w:val="22"/>
        </w:rPr>
      </w:pPr>
      <w:r w:rsidRPr="00D94FBA">
        <w:rPr>
          <w:rFonts w:ascii="Arial" w:hAnsi="Arial" w:cs="Arial"/>
          <w:sz w:val="22"/>
          <w:szCs w:val="22"/>
        </w:rPr>
        <w:t xml:space="preserve">Accordingly, the NRC did not </w:t>
      </w:r>
      <w:r w:rsidRPr="00D94FBA" w:rsidR="00AD54AF">
        <w:rPr>
          <w:rFonts w:ascii="Arial" w:hAnsi="Arial" w:cs="Arial"/>
          <w:sz w:val="22"/>
          <w:szCs w:val="22"/>
        </w:rPr>
        <w:t>change</w:t>
      </w:r>
      <w:r w:rsidRPr="00D94FBA">
        <w:rPr>
          <w:rFonts w:ascii="Arial" w:hAnsi="Arial" w:cs="Arial"/>
          <w:sz w:val="22"/>
          <w:szCs w:val="22"/>
        </w:rPr>
        <w:t xml:space="preserve"> the rule language in response to this comment.</w:t>
      </w:r>
    </w:p>
    <w:p w:rsidR="000E5B49" w:rsidRPr="00D94FBA" w:rsidP="00D94FBA" w14:paraId="2A2D1A5C" w14:textId="77777777">
      <w:pPr>
        <w:spacing w:after="220"/>
        <w:rPr>
          <w:rFonts w:ascii="Arial" w:hAnsi="Arial" w:cs="Arial"/>
          <w:b/>
          <w:sz w:val="22"/>
          <w:szCs w:val="22"/>
        </w:rPr>
      </w:pPr>
      <w:r>
        <w:rPr>
          <w:rFonts w:ascii="Arial" w:hAnsi="Arial" w:cs="Arial"/>
          <w:sz w:val="22"/>
          <w:szCs w:val="22"/>
        </w:rPr>
        <w:pict>
          <v:rect id="_x0000_i1079" style="width:0;height:1.5pt" o:hralign="center" o:hrstd="t" o:hrnoshade="t" o:hr="t" fillcolor="black" stroked="f"/>
        </w:pict>
      </w:r>
    </w:p>
    <w:p w:rsidR="0075412C" w:rsidRPr="00D94FBA" w:rsidP="00D94FBA" w14:paraId="1F5902FB" w14:textId="77777777">
      <w:pPr>
        <w:spacing w:after="220"/>
        <w:rPr>
          <w:rFonts w:ascii="Arial" w:hAnsi="Arial" w:cs="Arial"/>
          <w:sz w:val="22"/>
          <w:szCs w:val="22"/>
        </w:rPr>
      </w:pPr>
      <w:r w:rsidRPr="00D94FBA">
        <w:rPr>
          <w:rFonts w:ascii="Arial" w:hAnsi="Arial" w:cs="Arial"/>
          <w:b/>
          <w:sz w:val="22"/>
          <w:szCs w:val="22"/>
        </w:rPr>
        <w:t xml:space="preserve">Comment Bin 3.2.1.2.D: </w:t>
      </w:r>
      <w:r w:rsidRPr="00D94FBA">
        <w:rPr>
          <w:rFonts w:ascii="Arial" w:hAnsi="Arial" w:cs="Arial"/>
          <w:sz w:val="22"/>
          <w:szCs w:val="22"/>
        </w:rPr>
        <w:t>A commenter wrote that QHOs should be included in the rule, saying that they rank human health above any efficiency gains from not including them. The commenter referenced two studies on links between radiation exposure and cancer (</w:t>
      </w:r>
      <w:r w:rsidR="00B60F4D">
        <w:rPr>
          <w:rFonts w:ascii="Arial" w:hAnsi="Arial" w:cs="Arial"/>
          <w:sz w:val="22"/>
          <w:szCs w:val="22"/>
        </w:rPr>
        <w:t>JH</w:t>
      </w:r>
      <w:r w:rsidRPr="00D94FBA">
        <w:rPr>
          <w:rFonts w:ascii="Arial" w:hAnsi="Arial" w:cs="Arial"/>
          <w:sz w:val="22"/>
          <w:szCs w:val="22"/>
        </w:rPr>
        <w:t>-0001).</w:t>
      </w:r>
    </w:p>
    <w:p w:rsidR="009550DE" w:rsidRPr="00D94FBA" w:rsidP="00D94FBA" w14:paraId="34D41C91"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w:t>
      </w:r>
      <w:r w:rsidR="00241BEE">
        <w:rPr>
          <w:rFonts w:ascii="Arial" w:hAnsi="Arial" w:cs="Arial"/>
          <w:sz w:val="22"/>
          <w:szCs w:val="22"/>
        </w:rPr>
        <w:t>e</w:t>
      </w:r>
      <w:r w:rsidRPr="00D94FBA">
        <w:rPr>
          <w:rFonts w:ascii="Arial" w:hAnsi="Arial" w:cs="Arial"/>
          <w:sz w:val="22"/>
          <w:szCs w:val="22"/>
        </w:rPr>
        <w:t xml:space="preserve"> comment.</w:t>
      </w:r>
    </w:p>
    <w:p w:rsidR="009550DE" w:rsidRPr="00D94FBA" w:rsidP="00D94FBA" w14:paraId="4858C828" w14:textId="77777777">
      <w:pPr>
        <w:spacing w:after="220"/>
        <w:rPr>
          <w:rFonts w:ascii="Arial" w:hAnsi="Arial" w:cs="Arial"/>
          <w:sz w:val="22"/>
          <w:szCs w:val="22"/>
        </w:rPr>
      </w:pPr>
      <w:r w:rsidRPr="00D94FBA">
        <w:rPr>
          <w:rFonts w:ascii="Arial" w:hAnsi="Arial" w:cs="Arial"/>
          <w:sz w:val="22"/>
          <w:szCs w:val="22"/>
        </w:rPr>
        <w:t xml:space="preserve">While the proposed and final rules mention the QHOs as one acceptable approach for meeting the requirements for comprehensive risk metric(s) and related risk performance objectives, they </w:t>
      </w:r>
      <w:r w:rsidRPr="00D94FBA">
        <w:rPr>
          <w:rFonts w:ascii="Arial" w:hAnsi="Arial" w:cs="Arial"/>
          <w:sz w:val="22"/>
          <w:szCs w:val="22"/>
        </w:rPr>
        <w:t>also state that applicants and licensees are free to propose other approaches that will also provide an appropriate level of safety.</w:t>
      </w:r>
    </w:p>
    <w:p w:rsidR="00640507" w:rsidRPr="00D94FBA" w:rsidP="00D94FBA" w14:paraId="11038C70" w14:textId="77777777">
      <w:pPr>
        <w:spacing w:after="220"/>
        <w:rPr>
          <w:rFonts w:ascii="Arial" w:hAnsi="Arial" w:cs="Arial"/>
          <w:sz w:val="22"/>
          <w:szCs w:val="22"/>
        </w:rPr>
      </w:pPr>
      <w:r w:rsidRPr="00D94FBA">
        <w:rPr>
          <w:rFonts w:ascii="Arial" w:hAnsi="Arial" w:cs="Arial"/>
          <w:sz w:val="22"/>
          <w:szCs w:val="22"/>
        </w:rPr>
        <w:t xml:space="preserve">In terms of the health effects related to various radiation doses, 10 CFR Part 53 generally refers to the regulations in 10 CFR Part 20 to address normal operations and worker doses and requires applicants and licensees to propose risk performance objectives and evaluation criteria for each event or specific categories of LBEs to address the radiological consequences from unplanned events. Issues pertaining to the Three Mile Island restart and </w:t>
      </w:r>
      <w:r w:rsidR="00B02A46">
        <w:rPr>
          <w:rFonts w:ascii="Arial" w:hAnsi="Arial" w:cs="Arial"/>
          <w:sz w:val="22"/>
          <w:szCs w:val="22"/>
        </w:rPr>
        <w:t xml:space="preserve">general </w:t>
      </w:r>
      <w:r w:rsidR="00647110">
        <w:rPr>
          <w:rFonts w:ascii="Arial" w:hAnsi="Arial" w:cs="Arial"/>
          <w:sz w:val="22"/>
          <w:szCs w:val="22"/>
        </w:rPr>
        <w:t>issues relating to</w:t>
      </w:r>
      <w:r w:rsidR="00B02A46">
        <w:rPr>
          <w:rFonts w:ascii="Arial" w:hAnsi="Arial" w:cs="Arial"/>
          <w:sz w:val="22"/>
          <w:szCs w:val="22"/>
        </w:rPr>
        <w:t xml:space="preserve"> the relation between dose and health effects are outside the scope of this rule</w:t>
      </w:r>
      <w:r w:rsidRPr="00D94FBA">
        <w:rPr>
          <w:rFonts w:ascii="Arial" w:hAnsi="Arial" w:cs="Arial"/>
          <w:sz w:val="22"/>
          <w:szCs w:val="22"/>
        </w:rPr>
        <w:t>.</w:t>
      </w:r>
    </w:p>
    <w:p w:rsidR="0075412C" w:rsidRPr="00D94FBA" w:rsidP="00D94FBA" w14:paraId="502F595D" w14:textId="77777777">
      <w:pPr>
        <w:spacing w:after="220"/>
        <w:rPr>
          <w:rFonts w:ascii="Arial" w:hAnsi="Arial" w:cs="Arial"/>
          <w:sz w:val="22"/>
          <w:szCs w:val="22"/>
        </w:rPr>
      </w:pPr>
      <w:r w:rsidRPr="00D94FBA">
        <w:rPr>
          <w:rFonts w:ascii="Arial" w:hAnsi="Arial" w:cs="Arial"/>
          <w:sz w:val="22"/>
          <w:szCs w:val="22"/>
        </w:rPr>
        <w:t xml:space="preserve">Accordingly, the NRC did not </w:t>
      </w:r>
      <w:r w:rsidR="00951A4F">
        <w:rPr>
          <w:rFonts w:ascii="Arial" w:hAnsi="Arial" w:cs="Arial"/>
          <w:sz w:val="22"/>
          <w:szCs w:val="22"/>
        </w:rPr>
        <w:t>chang</w:t>
      </w:r>
      <w:r w:rsidRPr="00D94FBA">
        <w:rPr>
          <w:rFonts w:ascii="Arial" w:hAnsi="Arial" w:cs="Arial"/>
          <w:sz w:val="22"/>
          <w:szCs w:val="22"/>
        </w:rPr>
        <w:t>e the rule language in response to this comment.</w:t>
      </w:r>
    </w:p>
    <w:p w:rsidR="000E5B49" w:rsidRPr="00D94FBA" w:rsidP="00D94FBA" w14:paraId="438412DC" w14:textId="77777777">
      <w:pPr>
        <w:spacing w:after="220"/>
        <w:rPr>
          <w:rFonts w:ascii="Arial" w:hAnsi="Arial" w:cs="Arial"/>
          <w:sz w:val="22"/>
          <w:szCs w:val="22"/>
        </w:rPr>
      </w:pPr>
      <w:r>
        <w:rPr>
          <w:rFonts w:ascii="Arial" w:hAnsi="Arial" w:cs="Arial"/>
          <w:sz w:val="22"/>
          <w:szCs w:val="22"/>
        </w:rPr>
        <w:pict>
          <v:rect id="_x0000_i1080" style="width:0;height:1.5pt" o:hralign="center" o:hrstd="t" o:hrnoshade="t" o:hr="t" fillcolor="black" stroked="f"/>
        </w:pict>
      </w:r>
    </w:p>
    <w:p w:rsidR="0075412C" w:rsidRPr="00D94FBA" w:rsidP="00D94FBA" w14:paraId="3CD4661A" w14:textId="77777777">
      <w:pPr>
        <w:spacing w:after="220"/>
        <w:rPr>
          <w:rFonts w:ascii="Arial" w:hAnsi="Arial" w:cs="Arial"/>
          <w:sz w:val="22"/>
          <w:szCs w:val="22"/>
        </w:rPr>
      </w:pPr>
      <w:r w:rsidRPr="00D94FBA">
        <w:rPr>
          <w:rFonts w:ascii="Arial" w:hAnsi="Arial" w:cs="Arial"/>
          <w:b/>
          <w:sz w:val="22"/>
          <w:szCs w:val="22"/>
        </w:rPr>
        <w:t xml:space="preserve">Comment Bin 3.2.1.2.E: </w:t>
      </w:r>
      <w:r w:rsidRPr="00D94FBA">
        <w:rPr>
          <w:rFonts w:ascii="Arial" w:hAnsi="Arial" w:cs="Arial"/>
          <w:sz w:val="22"/>
          <w:szCs w:val="22"/>
        </w:rPr>
        <w:t xml:space="preserve">A commenter wrote that determining what is most probable requires data, analysis, and probabilistic methods, while addressing technology neutral aspects of concepts requires a general framework and a risk evaluation structure. The commenter wrote that the “key question” of whether any reactor is safer or has lower risk than another, or how comparative safety, risk, and performance is evaluated, is not discussed in the rule. </w:t>
      </w:r>
    </w:p>
    <w:p w:rsidR="0075412C" w:rsidRPr="00D94FBA" w:rsidP="00D94FBA" w14:paraId="3B5DC7AA" w14:textId="77777777">
      <w:pPr>
        <w:spacing w:after="220"/>
        <w:rPr>
          <w:rFonts w:ascii="Arial" w:hAnsi="Arial" w:cs="Arial"/>
          <w:sz w:val="22"/>
          <w:szCs w:val="22"/>
        </w:rPr>
      </w:pPr>
      <w:r w:rsidRPr="00D94FBA">
        <w:rPr>
          <w:rFonts w:ascii="Arial" w:hAnsi="Arial" w:cs="Arial"/>
          <w:sz w:val="22"/>
          <w:szCs w:val="22"/>
        </w:rPr>
        <w:t>The commenter added that the formation and harmonization of agreement and licensing processes with international regulators is not considered in the rule, and the rule should adopt risk-informed decision</w:t>
      </w:r>
      <w:r w:rsidRPr="00D94FBA">
        <w:rPr>
          <w:rFonts w:ascii="Arial" w:hAnsi="Arial" w:cs="Arial"/>
          <w:sz w:val="22"/>
          <w:szCs w:val="22"/>
        </w:rPr>
        <w:noBreakHyphen/>
        <w:t>making practices from other international licensing approaches. The commenter wrote that language in 10 CFR 53.610 which states that any international differences “would ultimately need to be found acceptable by the NRC” is “almost dictatorial” in nature. The commenter wrote that even when the NRC exchanges information or has agreements with other nuclear regulators, there is no guarantee of licensing reciprocity, and these types of arrangements should be a part of risk-informed decision</w:t>
      </w:r>
      <w:r w:rsidR="00FB46F7">
        <w:rPr>
          <w:rFonts w:ascii="Arial" w:hAnsi="Arial" w:cs="Arial"/>
          <w:sz w:val="22"/>
          <w:szCs w:val="22"/>
        </w:rPr>
        <w:t>-</w:t>
      </w:r>
      <w:r w:rsidRPr="00D94FBA">
        <w:rPr>
          <w:rFonts w:ascii="Arial" w:hAnsi="Arial" w:cs="Arial"/>
          <w:sz w:val="22"/>
          <w:szCs w:val="22"/>
        </w:rPr>
        <w:t>making. The commenter provided a general model for thinking about risk-informed decision</w:t>
      </w:r>
      <w:r w:rsidR="00FB46F7">
        <w:rPr>
          <w:rFonts w:ascii="Arial" w:hAnsi="Arial" w:cs="Arial"/>
          <w:sz w:val="22"/>
          <w:szCs w:val="22"/>
        </w:rPr>
        <w:t>-</w:t>
      </w:r>
      <w:r w:rsidRPr="00D94FBA">
        <w:rPr>
          <w:rFonts w:ascii="Arial" w:hAnsi="Arial" w:cs="Arial"/>
          <w:sz w:val="22"/>
          <w:szCs w:val="22"/>
        </w:rPr>
        <w:t>making (</w:t>
      </w:r>
      <w:r w:rsidR="00A02F0C">
        <w:rPr>
          <w:rFonts w:ascii="Arial" w:hAnsi="Arial" w:cs="Arial"/>
          <w:sz w:val="22"/>
          <w:szCs w:val="22"/>
        </w:rPr>
        <w:t>RD</w:t>
      </w:r>
      <w:r w:rsidRPr="00D94FBA">
        <w:rPr>
          <w:rFonts w:ascii="Arial" w:hAnsi="Arial" w:cs="Arial"/>
          <w:sz w:val="22"/>
          <w:szCs w:val="22"/>
        </w:rPr>
        <w:t>-0014).</w:t>
      </w:r>
    </w:p>
    <w:p w:rsidR="004D196E" w:rsidRPr="00D94FBA" w:rsidP="00D94FBA" w14:paraId="17C1A4E5"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w:t>
      </w:r>
      <w:r w:rsidR="00241BEE">
        <w:rPr>
          <w:rFonts w:ascii="Arial" w:hAnsi="Arial" w:cs="Arial"/>
          <w:sz w:val="22"/>
          <w:szCs w:val="22"/>
        </w:rPr>
        <w:t>e</w:t>
      </w:r>
      <w:r w:rsidRPr="00D94FBA">
        <w:rPr>
          <w:rFonts w:ascii="Arial" w:hAnsi="Arial" w:cs="Arial"/>
          <w:sz w:val="22"/>
          <w:szCs w:val="22"/>
        </w:rPr>
        <w:t xml:space="preserve"> comment.</w:t>
      </w:r>
    </w:p>
    <w:p w:rsidR="0075412C" w:rsidRPr="00D94FBA" w:rsidP="00D94FBA" w14:paraId="7ADF9A63" w14:textId="77777777">
      <w:pPr>
        <w:spacing w:after="220"/>
        <w:rPr>
          <w:rFonts w:ascii="Arial" w:hAnsi="Arial" w:cs="Arial"/>
          <w:sz w:val="22"/>
          <w:szCs w:val="22"/>
        </w:rPr>
      </w:pPr>
      <w:r>
        <w:rPr>
          <w:rFonts w:ascii="Arial" w:hAnsi="Arial" w:cs="Arial"/>
          <w:sz w:val="22"/>
          <w:szCs w:val="22"/>
        </w:rPr>
        <w:t>Consistent with long-standing Commission policy, t</w:t>
      </w:r>
      <w:r w:rsidRPr="00D94FBA">
        <w:rPr>
          <w:rFonts w:ascii="Arial" w:hAnsi="Arial" w:cs="Arial"/>
          <w:sz w:val="22"/>
          <w:szCs w:val="22"/>
        </w:rPr>
        <w:t xml:space="preserve">he requirements in 10 CFR Part 53 </w:t>
      </w:r>
      <w:r w:rsidR="0018155F">
        <w:rPr>
          <w:rFonts w:ascii="Arial" w:hAnsi="Arial" w:cs="Arial"/>
          <w:sz w:val="22"/>
          <w:szCs w:val="22"/>
        </w:rPr>
        <w:t xml:space="preserve">are not intended to </w:t>
      </w:r>
      <w:r w:rsidR="00782FCE">
        <w:rPr>
          <w:rFonts w:ascii="Arial" w:hAnsi="Arial" w:cs="Arial"/>
          <w:sz w:val="22"/>
          <w:szCs w:val="22"/>
        </w:rPr>
        <w:t xml:space="preserve">establish </w:t>
      </w:r>
      <w:r>
        <w:rPr>
          <w:rFonts w:ascii="Arial" w:hAnsi="Arial" w:cs="Arial"/>
          <w:sz w:val="22"/>
          <w:szCs w:val="22"/>
        </w:rPr>
        <w:t xml:space="preserve">reactor </w:t>
      </w:r>
      <w:r w:rsidR="00782FCE">
        <w:rPr>
          <w:rFonts w:ascii="Arial" w:hAnsi="Arial" w:cs="Arial"/>
          <w:sz w:val="22"/>
          <w:szCs w:val="22"/>
        </w:rPr>
        <w:t>safety</w:t>
      </w:r>
      <w:r>
        <w:rPr>
          <w:rFonts w:ascii="Arial" w:hAnsi="Arial" w:cs="Arial"/>
          <w:sz w:val="22"/>
          <w:szCs w:val="22"/>
        </w:rPr>
        <w:t xml:space="preserve"> by comparison</w:t>
      </w:r>
      <w:r w:rsidR="00782FCE">
        <w:rPr>
          <w:rFonts w:ascii="Arial" w:hAnsi="Arial" w:cs="Arial"/>
          <w:sz w:val="22"/>
          <w:szCs w:val="22"/>
        </w:rPr>
        <w:t xml:space="preserve">, rather </w:t>
      </w:r>
      <w:r w:rsidR="00244F53">
        <w:rPr>
          <w:rFonts w:ascii="Arial" w:hAnsi="Arial" w:cs="Arial"/>
          <w:sz w:val="22"/>
          <w:szCs w:val="22"/>
        </w:rPr>
        <w:t xml:space="preserve">the requirements would independently establish the safety or a reactor application by </w:t>
      </w:r>
      <w:r w:rsidRPr="00D94FBA">
        <w:rPr>
          <w:rFonts w:ascii="Arial" w:hAnsi="Arial" w:cs="Arial"/>
          <w:sz w:val="22"/>
          <w:szCs w:val="22"/>
        </w:rPr>
        <w:t>provid</w:t>
      </w:r>
      <w:r w:rsidR="00244F53">
        <w:rPr>
          <w:rFonts w:ascii="Arial" w:hAnsi="Arial" w:cs="Arial"/>
          <w:sz w:val="22"/>
          <w:szCs w:val="22"/>
        </w:rPr>
        <w:t>ing</w:t>
      </w:r>
      <w:r w:rsidRPr="00D94FBA">
        <w:rPr>
          <w:rFonts w:ascii="Arial" w:hAnsi="Arial" w:cs="Arial"/>
          <w:sz w:val="22"/>
          <w:szCs w:val="22"/>
        </w:rPr>
        <w:t xml:space="preserve"> a framework for the identification and analysis of licensing</w:t>
      </w:r>
      <w:r w:rsidR="00113FE3">
        <w:rPr>
          <w:rFonts w:ascii="Arial" w:hAnsi="Arial" w:cs="Arial"/>
          <w:sz w:val="22"/>
          <w:szCs w:val="22"/>
        </w:rPr>
        <w:noBreakHyphen/>
      </w:r>
      <w:r w:rsidRPr="00D94FBA">
        <w:rPr>
          <w:rFonts w:ascii="Arial" w:hAnsi="Arial" w:cs="Arial"/>
          <w:sz w:val="22"/>
          <w:szCs w:val="22"/>
        </w:rPr>
        <w:t>basis events; the identification of appropriate special treatments for structures, systems, and components; the development of programmatic controls; the consideration of site characteristics; the identification and implementation of appropriate staffing; and a variety of other measures and processes for the design, operation, and licensing of commercial nuclear plants. While providing a structure for ensuring some degree of predictability and consistency, the framework also provides flexibility for applicants and licensees to propose different risk metrics and associated risk performance objectives, demarcation criteria for the categories of licensing</w:t>
      </w:r>
      <w:r w:rsidR="00113FE3">
        <w:rPr>
          <w:rFonts w:ascii="Arial" w:hAnsi="Arial" w:cs="Arial"/>
          <w:sz w:val="22"/>
          <w:szCs w:val="22"/>
        </w:rPr>
        <w:noBreakHyphen/>
      </w:r>
      <w:r w:rsidRPr="00D94FBA">
        <w:rPr>
          <w:rFonts w:ascii="Arial" w:hAnsi="Arial" w:cs="Arial"/>
          <w:sz w:val="22"/>
          <w:szCs w:val="22"/>
        </w:rPr>
        <w:t>basis events, and evaluation criteria for event sequences or categories of licensing</w:t>
      </w:r>
      <w:r w:rsidR="00113FE3">
        <w:rPr>
          <w:rFonts w:ascii="Arial" w:hAnsi="Arial" w:cs="Arial"/>
          <w:sz w:val="22"/>
          <w:szCs w:val="22"/>
        </w:rPr>
        <w:noBreakHyphen/>
      </w:r>
      <w:r w:rsidRPr="00D94FBA">
        <w:rPr>
          <w:rFonts w:ascii="Arial" w:hAnsi="Arial" w:cs="Arial"/>
          <w:sz w:val="22"/>
          <w:szCs w:val="22"/>
        </w:rPr>
        <w:t xml:space="preserve">basis events. This approach is consistent with the current state of practice and offers appropriate flexibility for PRAs or other systematic risk evaluations to be developed and assessed based on the application they are used to support, which includes consideration of how the results and insights are relied upon, together with factors such as safety margin, simplicity of design, and treatment of uncertainty. The collective set of performance-based requirements in 10 CFR Part 53 would be sufficient, if met, for the NRC to make the findings required to grant an application for a utilization facility under </w:t>
      </w:r>
      <w:r w:rsidR="00827A6E">
        <w:rPr>
          <w:rFonts w:ascii="Arial" w:hAnsi="Arial" w:cs="Arial"/>
          <w:sz w:val="22"/>
          <w:szCs w:val="22"/>
        </w:rPr>
        <w:t>s</w:t>
      </w:r>
      <w:r w:rsidRPr="00D94FBA">
        <w:rPr>
          <w:rFonts w:ascii="Arial" w:hAnsi="Arial" w:cs="Arial"/>
          <w:sz w:val="22"/>
          <w:szCs w:val="22"/>
        </w:rPr>
        <w:t>ection 182 of the A</w:t>
      </w:r>
      <w:r w:rsidR="003234C1">
        <w:rPr>
          <w:rFonts w:ascii="Arial" w:hAnsi="Arial" w:cs="Arial"/>
          <w:sz w:val="22"/>
          <w:szCs w:val="22"/>
        </w:rPr>
        <w:t>EA</w:t>
      </w:r>
      <w:r w:rsidRPr="00D94FBA">
        <w:rPr>
          <w:rFonts w:ascii="Arial" w:hAnsi="Arial" w:cs="Arial"/>
          <w:sz w:val="22"/>
          <w:szCs w:val="22"/>
        </w:rPr>
        <w:t xml:space="preserve"> that the utilization of </w:t>
      </w:r>
      <w:r w:rsidR="008B17B6">
        <w:rPr>
          <w:rFonts w:ascii="Arial" w:hAnsi="Arial" w:cs="Arial"/>
          <w:sz w:val="22"/>
          <w:szCs w:val="22"/>
        </w:rPr>
        <w:t>special nu</w:t>
      </w:r>
      <w:r w:rsidR="00214CDC">
        <w:rPr>
          <w:rFonts w:ascii="Arial" w:hAnsi="Arial" w:cs="Arial"/>
          <w:sz w:val="22"/>
          <w:szCs w:val="22"/>
        </w:rPr>
        <w:t>clear material (</w:t>
      </w:r>
      <w:r w:rsidRPr="00D94FBA">
        <w:rPr>
          <w:rFonts w:ascii="Arial" w:hAnsi="Arial" w:cs="Arial"/>
          <w:sz w:val="22"/>
          <w:szCs w:val="22"/>
        </w:rPr>
        <w:t>SNM</w:t>
      </w:r>
      <w:r w:rsidR="00214CDC">
        <w:rPr>
          <w:rFonts w:ascii="Arial" w:hAnsi="Arial" w:cs="Arial"/>
          <w:sz w:val="22"/>
          <w:szCs w:val="22"/>
        </w:rPr>
        <w:t>)</w:t>
      </w:r>
      <w:r w:rsidRPr="00D94FBA">
        <w:rPr>
          <w:rFonts w:ascii="Arial" w:hAnsi="Arial" w:cs="Arial"/>
          <w:sz w:val="22"/>
          <w:szCs w:val="22"/>
        </w:rPr>
        <w:t xml:space="preserve"> will be in accord with the common defense and security and will provide adequate protection to the health and safety of the public. </w:t>
      </w:r>
      <w:r w:rsidRPr="00D94FBA">
        <w:rPr>
          <w:rFonts w:ascii="Arial" w:hAnsi="Arial" w:cs="Arial"/>
          <w:sz w:val="22"/>
          <w:szCs w:val="22"/>
        </w:rPr>
        <w:t>This construct would be similar to existing NRC regulations, which the Commission has said on many occasions do not specifically define ‘‘adequate protection.’’ However, compliance with NRC regulations may be presumed to assure adequate protection at a minimum.</w:t>
      </w:r>
    </w:p>
    <w:p w:rsidR="008972B0" w:rsidRPr="00D94FBA" w:rsidP="00D94FBA" w14:paraId="6F32C6D1" w14:textId="77777777">
      <w:pPr>
        <w:spacing w:after="220"/>
        <w:rPr>
          <w:rFonts w:ascii="Arial" w:hAnsi="Arial" w:cs="Arial"/>
          <w:sz w:val="22"/>
          <w:szCs w:val="22"/>
        </w:rPr>
      </w:pPr>
      <w:r w:rsidRPr="00D94FBA">
        <w:rPr>
          <w:rFonts w:ascii="Arial" w:hAnsi="Arial" w:cs="Arial"/>
          <w:sz w:val="22"/>
          <w:szCs w:val="22"/>
        </w:rPr>
        <w:t>Regarding international construction experience, 10 CFR 53.610(a)(4) states that licensees must have “procedures to evaluate the applicability of other national and international construction experience to the planned and ongoing construction activities and to ensure the applicable experience will be provided to those constructing the plant.” The requirement relates to the applicability of construction experience in terms of technologies, techniques, or other potential lessons learned and not the NRC’s acceptance of the regulations imposed by other regulatory bodies. As a general matter, the regulations in 10 CFR Part 53 do allow for the use of generally accepted consensus codes and standards that could include those developed in other countries or by international organizations provided they have been endorsed or otherwise found acceptable by the NRC.</w:t>
      </w:r>
    </w:p>
    <w:p w:rsidR="0075412C" w:rsidRPr="00D94FBA" w:rsidP="00D94FBA" w14:paraId="0A022DB3" w14:textId="77777777">
      <w:pPr>
        <w:spacing w:after="220"/>
        <w:rPr>
          <w:rFonts w:ascii="Arial" w:hAnsi="Arial" w:cs="Arial"/>
          <w:sz w:val="22"/>
          <w:szCs w:val="22"/>
        </w:rPr>
      </w:pPr>
      <w:r w:rsidRPr="00D94FBA">
        <w:rPr>
          <w:rFonts w:ascii="Arial" w:hAnsi="Arial" w:cs="Arial"/>
          <w:sz w:val="22"/>
          <w:szCs w:val="22"/>
        </w:rPr>
        <w:t xml:space="preserve">The NRC </w:t>
      </w:r>
      <w:r w:rsidRPr="00D94FBA" w:rsidR="008972B0">
        <w:rPr>
          <w:rFonts w:ascii="Arial" w:hAnsi="Arial" w:cs="Arial"/>
          <w:sz w:val="22"/>
          <w:szCs w:val="22"/>
        </w:rPr>
        <w:t xml:space="preserve">also </w:t>
      </w:r>
      <w:r w:rsidRPr="00D94FBA">
        <w:rPr>
          <w:rFonts w:ascii="Arial" w:hAnsi="Arial" w:cs="Arial"/>
          <w:sz w:val="22"/>
          <w:szCs w:val="22"/>
        </w:rPr>
        <w:t xml:space="preserve">acknowledges the general model for considering risk provided </w:t>
      </w:r>
      <w:r w:rsidRPr="00D94FBA" w:rsidR="00AD486C">
        <w:rPr>
          <w:rFonts w:ascii="Arial" w:hAnsi="Arial" w:cs="Arial"/>
          <w:sz w:val="22"/>
          <w:szCs w:val="22"/>
        </w:rPr>
        <w:t>in</w:t>
      </w:r>
      <w:r w:rsidRPr="00D94FBA">
        <w:rPr>
          <w:rFonts w:ascii="Arial" w:hAnsi="Arial" w:cs="Arial"/>
          <w:sz w:val="22"/>
          <w:szCs w:val="22"/>
        </w:rPr>
        <w:t xml:space="preserve"> th</w:t>
      </w:r>
      <w:r w:rsidR="00E10022">
        <w:rPr>
          <w:rFonts w:ascii="Arial" w:hAnsi="Arial" w:cs="Arial"/>
          <w:sz w:val="22"/>
          <w:szCs w:val="22"/>
        </w:rPr>
        <w:t>is</w:t>
      </w:r>
      <w:r w:rsidRPr="00D94FBA">
        <w:rPr>
          <w:rFonts w:ascii="Arial" w:hAnsi="Arial" w:cs="Arial"/>
          <w:sz w:val="22"/>
          <w:szCs w:val="22"/>
        </w:rPr>
        <w:t xml:space="preserve"> comment.</w:t>
      </w:r>
    </w:p>
    <w:p w:rsidR="0075412C" w:rsidRPr="00D94FBA" w:rsidP="00D94FBA" w14:paraId="109FE38D" w14:textId="77777777">
      <w:pPr>
        <w:spacing w:after="220"/>
        <w:rPr>
          <w:rFonts w:ascii="Arial" w:hAnsi="Arial" w:cs="Arial"/>
          <w:b/>
          <w:sz w:val="22"/>
          <w:szCs w:val="22"/>
        </w:rPr>
      </w:pPr>
      <w:r w:rsidRPr="00D94FBA">
        <w:rPr>
          <w:rFonts w:ascii="Arial" w:hAnsi="Arial" w:cs="Arial"/>
          <w:sz w:val="22"/>
          <w:szCs w:val="22"/>
        </w:rPr>
        <w:t xml:space="preserve">Accordingly, the NRC did not </w:t>
      </w:r>
      <w:r w:rsidR="006C4E2B">
        <w:rPr>
          <w:rFonts w:ascii="Arial" w:hAnsi="Arial" w:cs="Arial"/>
          <w:sz w:val="22"/>
          <w:szCs w:val="22"/>
        </w:rPr>
        <w:t>change</w:t>
      </w:r>
      <w:r w:rsidRPr="00D94FBA">
        <w:rPr>
          <w:rFonts w:ascii="Arial" w:hAnsi="Arial" w:cs="Arial"/>
          <w:sz w:val="22"/>
          <w:szCs w:val="22"/>
        </w:rPr>
        <w:t xml:space="preserve"> the rule language in response to this comment.</w:t>
      </w:r>
    </w:p>
    <w:p w:rsidR="0075412C" w:rsidRPr="00D94FBA" w:rsidP="00D94FBA" w14:paraId="60E9628D" w14:textId="77777777">
      <w:pPr>
        <w:spacing w:after="220"/>
        <w:rPr>
          <w:rFonts w:ascii="Arial" w:hAnsi="Arial" w:cs="Arial"/>
          <w:sz w:val="22"/>
          <w:szCs w:val="22"/>
        </w:rPr>
      </w:pPr>
      <w:r>
        <w:rPr>
          <w:rFonts w:ascii="Arial" w:hAnsi="Arial" w:cs="Arial"/>
          <w:sz w:val="22"/>
          <w:szCs w:val="22"/>
        </w:rPr>
        <w:pict>
          <v:rect id="_x0000_i1081" style="width:0;height:1.5pt" o:hralign="center" o:hrstd="t" o:hrnoshade="t" o:hr="t" fillcolor="black" stroked="f"/>
        </w:pict>
      </w:r>
    </w:p>
    <w:p w:rsidR="0075412C" w:rsidRPr="00D94FBA" w:rsidP="00D94FBA" w14:paraId="74769C40" w14:textId="77777777">
      <w:pPr>
        <w:spacing w:after="220"/>
        <w:rPr>
          <w:rFonts w:ascii="Arial" w:hAnsi="Arial" w:cs="Arial"/>
          <w:sz w:val="22"/>
          <w:szCs w:val="22"/>
        </w:rPr>
      </w:pPr>
      <w:r w:rsidRPr="00D94FBA">
        <w:rPr>
          <w:rFonts w:ascii="Arial" w:hAnsi="Arial" w:cs="Arial"/>
          <w:b/>
          <w:sz w:val="22"/>
          <w:szCs w:val="22"/>
        </w:rPr>
        <w:t xml:space="preserve">Comment Bin 3.2.1.2.F: </w:t>
      </w:r>
      <w:r w:rsidRPr="00D94FBA">
        <w:rPr>
          <w:rFonts w:ascii="Arial" w:hAnsi="Arial" w:cs="Arial"/>
          <w:sz w:val="22"/>
          <w:szCs w:val="22"/>
        </w:rPr>
        <w:t>A commenter wrote that the NRC should clarify the use and role of comprehensive risk metrics in 10 CFR Part 53 to enable a variety of different quantitative and qualitative metrics and evaluation metrics. The commenter wrote that this would enable applicants to meet the intent of comprehensive risk metrics without creating additional regulatory uncertainty or regulatory inefficiency (</w:t>
      </w:r>
      <w:r w:rsidR="000341A7">
        <w:rPr>
          <w:rFonts w:ascii="Arial" w:hAnsi="Arial" w:cs="Arial"/>
          <w:sz w:val="22"/>
          <w:szCs w:val="22"/>
        </w:rPr>
        <w:t>NIA2</w:t>
      </w:r>
      <w:r w:rsidRPr="00D94FBA">
        <w:rPr>
          <w:rFonts w:ascii="Arial" w:hAnsi="Arial" w:cs="Arial"/>
          <w:sz w:val="22"/>
          <w:szCs w:val="22"/>
        </w:rPr>
        <w:t xml:space="preserve">-0004). </w:t>
      </w:r>
    </w:p>
    <w:p w:rsidR="0075412C" w:rsidRPr="00D94FBA" w:rsidP="00D94FBA" w14:paraId="05554C13" w14:textId="77777777">
      <w:pPr>
        <w:spacing w:after="220"/>
        <w:rPr>
          <w:rFonts w:ascii="Arial" w:hAnsi="Arial" w:cs="Arial"/>
          <w:sz w:val="22"/>
          <w:szCs w:val="22"/>
        </w:rPr>
      </w:pPr>
      <w:r w:rsidRPr="00D94FBA">
        <w:rPr>
          <w:rFonts w:ascii="Arial" w:hAnsi="Arial" w:cs="Arial"/>
          <w:sz w:val="22"/>
          <w:szCs w:val="22"/>
        </w:rPr>
        <w:t xml:space="preserve">Similarly, another commenter wrote that risk metrics are vaguely defined except for allowable releases, so risk metrics are intertwined with safety criteria for QHOs. The commenter added that it is not clear how or on what basis </w:t>
      </w:r>
      <w:r w:rsidR="00C2302A">
        <w:rPr>
          <w:rFonts w:ascii="Arial" w:hAnsi="Arial" w:cs="Arial"/>
          <w:sz w:val="22"/>
          <w:szCs w:val="22"/>
        </w:rPr>
        <w:t>in</w:t>
      </w:r>
      <w:r w:rsidR="007F7BA7">
        <w:rPr>
          <w:rFonts w:ascii="Arial" w:hAnsi="Arial" w:cs="Arial"/>
          <w:sz w:val="22"/>
          <w:szCs w:val="22"/>
        </w:rPr>
        <w:t xml:space="preserve">dividual early fatality </w:t>
      </w:r>
      <w:r w:rsidR="00354D22">
        <w:rPr>
          <w:rFonts w:ascii="Arial" w:hAnsi="Arial" w:cs="Arial"/>
          <w:sz w:val="22"/>
          <w:szCs w:val="22"/>
        </w:rPr>
        <w:t>risk (</w:t>
      </w:r>
      <w:r w:rsidRPr="00D94FBA">
        <w:rPr>
          <w:rFonts w:ascii="Arial" w:hAnsi="Arial" w:cs="Arial"/>
          <w:sz w:val="22"/>
          <w:szCs w:val="22"/>
        </w:rPr>
        <w:t>IEFR</w:t>
      </w:r>
      <w:r w:rsidR="00354D22">
        <w:rPr>
          <w:rFonts w:ascii="Arial" w:hAnsi="Arial" w:cs="Arial"/>
          <w:sz w:val="22"/>
          <w:szCs w:val="22"/>
        </w:rPr>
        <w:t>)</w:t>
      </w:r>
      <w:r w:rsidRPr="00D94FBA">
        <w:rPr>
          <w:rFonts w:ascii="Arial" w:hAnsi="Arial" w:cs="Arial"/>
          <w:sz w:val="22"/>
          <w:szCs w:val="22"/>
        </w:rPr>
        <w:t xml:space="preserve"> and </w:t>
      </w:r>
      <w:r w:rsidR="00354D22">
        <w:rPr>
          <w:rFonts w:ascii="Arial" w:hAnsi="Arial" w:cs="Arial"/>
          <w:sz w:val="22"/>
          <w:szCs w:val="22"/>
        </w:rPr>
        <w:t>individ</w:t>
      </w:r>
      <w:r w:rsidR="004C1658">
        <w:rPr>
          <w:rFonts w:ascii="Arial" w:hAnsi="Arial" w:cs="Arial"/>
          <w:sz w:val="22"/>
          <w:szCs w:val="22"/>
        </w:rPr>
        <w:t>ual latent cancer fatality risk (</w:t>
      </w:r>
      <w:r w:rsidRPr="00D94FBA">
        <w:rPr>
          <w:rFonts w:ascii="Arial" w:hAnsi="Arial" w:cs="Arial"/>
          <w:sz w:val="22"/>
          <w:szCs w:val="22"/>
        </w:rPr>
        <w:t>ILCFR</w:t>
      </w:r>
      <w:r w:rsidR="004C1658">
        <w:rPr>
          <w:rFonts w:ascii="Arial" w:hAnsi="Arial" w:cs="Arial"/>
          <w:sz w:val="22"/>
          <w:szCs w:val="22"/>
        </w:rPr>
        <w:t>)</w:t>
      </w:r>
      <w:r w:rsidRPr="00D94FBA">
        <w:rPr>
          <w:rFonts w:ascii="Arial" w:hAnsi="Arial" w:cs="Arial"/>
          <w:sz w:val="22"/>
          <w:szCs w:val="22"/>
        </w:rPr>
        <w:t xml:space="preserve"> numbers of 5</w:t>
      </w:r>
      <w:r w:rsidRPr="00D94FBA" w:rsidR="002A1B16">
        <w:rPr>
          <w:rFonts w:ascii="Arial" w:hAnsi="Arial" w:cs="Arial"/>
          <w:sz w:val="22"/>
          <w:szCs w:val="22"/>
        </w:rPr>
        <w:t>×</w:t>
      </w:r>
      <w:r w:rsidRPr="00D94FBA">
        <w:rPr>
          <w:rFonts w:ascii="Arial" w:hAnsi="Arial" w:cs="Arial"/>
          <w:sz w:val="22"/>
          <w:szCs w:val="22"/>
        </w:rPr>
        <w:t>10</w:t>
      </w:r>
      <w:r w:rsidRPr="00D94FBA">
        <w:rPr>
          <w:rFonts w:ascii="Arial" w:hAnsi="Arial" w:cs="Arial"/>
          <w:sz w:val="22"/>
          <w:szCs w:val="22"/>
          <w:vertAlign w:val="superscript"/>
        </w:rPr>
        <w:t>-7</w:t>
      </w:r>
      <w:r w:rsidRPr="00D94FBA">
        <w:rPr>
          <w:rFonts w:ascii="Arial" w:hAnsi="Arial" w:cs="Arial"/>
          <w:sz w:val="22"/>
          <w:szCs w:val="22"/>
        </w:rPr>
        <w:t xml:space="preserve"> per year and 2</w:t>
      </w:r>
      <w:r w:rsidRPr="00D94FBA" w:rsidR="002A1B16">
        <w:rPr>
          <w:rFonts w:ascii="Arial" w:hAnsi="Arial" w:cs="Arial"/>
          <w:sz w:val="22"/>
          <w:szCs w:val="22"/>
        </w:rPr>
        <w:t>×</w:t>
      </w:r>
      <w:r w:rsidRPr="00D94FBA">
        <w:rPr>
          <w:rFonts w:ascii="Arial" w:hAnsi="Arial" w:cs="Arial"/>
          <w:sz w:val="22"/>
          <w:szCs w:val="22"/>
        </w:rPr>
        <w:t>10</w:t>
      </w:r>
      <w:r w:rsidRPr="00D94FBA">
        <w:rPr>
          <w:rFonts w:ascii="Arial" w:hAnsi="Arial" w:cs="Arial"/>
          <w:sz w:val="22"/>
          <w:szCs w:val="22"/>
          <w:vertAlign w:val="superscript"/>
        </w:rPr>
        <w:t>-6</w:t>
      </w:r>
      <w:r w:rsidR="003E3F9C">
        <w:rPr>
          <w:rFonts w:ascii="Arial" w:hAnsi="Arial" w:cs="Arial"/>
          <w:sz w:val="22"/>
          <w:szCs w:val="22"/>
          <w:vertAlign w:val="superscript"/>
        </w:rPr>
        <w:t xml:space="preserve"> </w:t>
      </w:r>
      <w:r w:rsidRPr="00D94FBA">
        <w:rPr>
          <w:rFonts w:ascii="Arial" w:hAnsi="Arial" w:cs="Arial"/>
          <w:sz w:val="22"/>
          <w:szCs w:val="22"/>
        </w:rPr>
        <w:t>per year are derived. The commenter wrote that the goal must be zero release as the linear hypothesis does not have a threshold of radiation exposure. The commenter wrote that there is no apparent consistency between these various metrics, QHOs and arbitrary DBA event divisions, analysis requirements or classifications with allowable frequencies, and dose limits.</w:t>
      </w:r>
    </w:p>
    <w:p w:rsidR="0075412C" w:rsidRPr="00D94FBA" w:rsidP="00D94FBA" w14:paraId="34541C17" w14:textId="77777777">
      <w:pPr>
        <w:spacing w:after="220"/>
        <w:rPr>
          <w:rFonts w:ascii="Arial" w:hAnsi="Arial" w:cs="Arial"/>
          <w:sz w:val="22"/>
          <w:szCs w:val="22"/>
        </w:rPr>
      </w:pPr>
      <w:r w:rsidRPr="00D94FBA">
        <w:rPr>
          <w:rFonts w:ascii="Arial" w:hAnsi="Arial" w:cs="Arial"/>
          <w:sz w:val="22"/>
          <w:szCs w:val="22"/>
        </w:rPr>
        <w:t xml:space="preserve">Regarding the NRC’s request for comment the commenter suggested using the results of PRA analyses for the complete spectrum or set of events to define </w:t>
      </w:r>
      <w:r w:rsidR="00B93757">
        <w:rPr>
          <w:rFonts w:ascii="Arial" w:hAnsi="Arial" w:cs="Arial"/>
          <w:sz w:val="22"/>
          <w:szCs w:val="22"/>
        </w:rPr>
        <w:t>c</w:t>
      </w:r>
      <w:r w:rsidR="00B65594">
        <w:rPr>
          <w:rFonts w:ascii="Arial" w:hAnsi="Arial" w:cs="Arial"/>
          <w:sz w:val="22"/>
          <w:szCs w:val="22"/>
        </w:rPr>
        <w:t>ore damage frequency (</w:t>
      </w:r>
      <w:r w:rsidRPr="00D94FBA">
        <w:rPr>
          <w:rFonts w:ascii="Arial" w:hAnsi="Arial" w:cs="Arial"/>
          <w:sz w:val="22"/>
          <w:szCs w:val="22"/>
        </w:rPr>
        <w:t>CDF</w:t>
      </w:r>
      <w:r w:rsidR="00B65594">
        <w:rPr>
          <w:rFonts w:ascii="Arial" w:hAnsi="Arial" w:cs="Arial"/>
          <w:sz w:val="22"/>
          <w:szCs w:val="22"/>
        </w:rPr>
        <w:t>)</w:t>
      </w:r>
      <w:r w:rsidRPr="00D94FBA">
        <w:rPr>
          <w:rFonts w:ascii="Arial" w:hAnsi="Arial" w:cs="Arial"/>
          <w:sz w:val="22"/>
          <w:szCs w:val="22"/>
        </w:rPr>
        <w:t xml:space="preserve"> and </w:t>
      </w:r>
      <w:r w:rsidR="00497DC9">
        <w:rPr>
          <w:rFonts w:ascii="Arial" w:hAnsi="Arial" w:cs="Arial"/>
          <w:sz w:val="22"/>
          <w:szCs w:val="22"/>
        </w:rPr>
        <w:t>large early rele</w:t>
      </w:r>
      <w:r w:rsidR="00BA3AB9">
        <w:rPr>
          <w:rFonts w:ascii="Arial" w:hAnsi="Arial" w:cs="Arial"/>
          <w:sz w:val="22"/>
          <w:szCs w:val="22"/>
        </w:rPr>
        <w:t>ase frequency (</w:t>
      </w:r>
      <w:r w:rsidRPr="00D94FBA">
        <w:rPr>
          <w:rFonts w:ascii="Arial" w:hAnsi="Arial" w:cs="Arial"/>
          <w:sz w:val="22"/>
          <w:szCs w:val="22"/>
        </w:rPr>
        <w:t>LERF</w:t>
      </w:r>
      <w:r w:rsidR="00BA3AB9">
        <w:rPr>
          <w:rFonts w:ascii="Arial" w:hAnsi="Arial" w:cs="Arial"/>
          <w:sz w:val="22"/>
          <w:szCs w:val="22"/>
        </w:rPr>
        <w:t>)</w:t>
      </w:r>
      <w:r w:rsidRPr="00D94FBA">
        <w:rPr>
          <w:rFonts w:ascii="Arial" w:hAnsi="Arial" w:cs="Arial"/>
          <w:sz w:val="22"/>
          <w:szCs w:val="22"/>
        </w:rPr>
        <w:t>, and to define the degree of redundancy and diversity required for both active and passive safety systems even for negligible releases (</w:t>
      </w:r>
      <w:r w:rsidR="00A02F0C">
        <w:rPr>
          <w:rFonts w:ascii="Arial" w:hAnsi="Arial" w:cs="Arial"/>
          <w:sz w:val="22"/>
          <w:szCs w:val="22"/>
        </w:rPr>
        <w:t>RD</w:t>
      </w:r>
      <w:r w:rsidRPr="00D94FBA">
        <w:rPr>
          <w:rFonts w:ascii="Arial" w:hAnsi="Arial" w:cs="Arial"/>
          <w:sz w:val="22"/>
          <w:szCs w:val="22"/>
        </w:rPr>
        <w:t>-0034).</w:t>
      </w:r>
    </w:p>
    <w:p w:rsidR="0075412C" w:rsidRPr="00D94FBA" w:rsidP="00D94FBA" w14:paraId="19C6781F" w14:textId="77777777">
      <w:pPr>
        <w:spacing w:after="220"/>
        <w:rPr>
          <w:rFonts w:ascii="Arial" w:hAnsi="Arial" w:cs="Arial"/>
          <w:sz w:val="22"/>
          <w:szCs w:val="22"/>
        </w:rPr>
      </w:pPr>
      <w:r w:rsidRPr="00D94FBA">
        <w:rPr>
          <w:rFonts w:ascii="Arial" w:hAnsi="Arial" w:cs="Arial"/>
          <w:sz w:val="22"/>
          <w:szCs w:val="22"/>
        </w:rPr>
        <w:t>Another commenter wrote that they were concerned about the lack of specificity in the proposed rule’s requirements for the development of comprehensive risk metrics. The commenter wrote that the requirement is subjective in nature and would complicate the NRC's goal of ensuring that the safety of new reactors will be comparable to the existing fleet (</w:t>
      </w:r>
      <w:r w:rsidR="00337242">
        <w:rPr>
          <w:rFonts w:ascii="Arial" w:hAnsi="Arial" w:cs="Arial"/>
          <w:sz w:val="22"/>
          <w:szCs w:val="22"/>
        </w:rPr>
        <w:t>UCS</w:t>
      </w:r>
      <w:r w:rsidRPr="00D94FBA">
        <w:rPr>
          <w:rFonts w:ascii="Arial" w:hAnsi="Arial" w:cs="Arial"/>
          <w:sz w:val="22"/>
          <w:szCs w:val="22"/>
        </w:rPr>
        <w:t>-0006). </w:t>
      </w:r>
    </w:p>
    <w:p w:rsidR="0075412C" w:rsidRPr="00D94FBA" w:rsidP="00D94FBA" w14:paraId="6DFB07F6"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the comment</w:t>
      </w:r>
      <w:r w:rsidRPr="00D94FBA" w:rsidR="00300EDD">
        <w:rPr>
          <w:rFonts w:ascii="Arial" w:hAnsi="Arial" w:cs="Arial"/>
          <w:sz w:val="22"/>
          <w:szCs w:val="22"/>
        </w:rPr>
        <w:t>s</w:t>
      </w:r>
      <w:r w:rsidRPr="00D94FBA">
        <w:rPr>
          <w:rFonts w:ascii="Arial" w:hAnsi="Arial" w:cs="Arial"/>
          <w:sz w:val="22"/>
          <w:szCs w:val="22"/>
        </w:rPr>
        <w:t>.</w:t>
      </w:r>
    </w:p>
    <w:p w:rsidR="0075412C" w:rsidRPr="00D94FBA" w:rsidP="00D94FBA" w14:paraId="526D6C3D" w14:textId="77777777">
      <w:pPr>
        <w:spacing w:after="220"/>
        <w:rPr>
          <w:rFonts w:ascii="Arial" w:hAnsi="Arial" w:cs="Arial"/>
          <w:sz w:val="22"/>
          <w:szCs w:val="22"/>
        </w:rPr>
      </w:pPr>
      <w:r w:rsidRPr="00D94FBA">
        <w:rPr>
          <w:rFonts w:ascii="Arial" w:hAnsi="Arial" w:cs="Arial"/>
          <w:sz w:val="22"/>
          <w:szCs w:val="22"/>
        </w:rPr>
        <w:t xml:space="preserve">The history of the development and implementation of the NRC’s safety goals, including the QHOs, are well documented. The proposed and final rules mention the QHOs as one acceptable approach for meeting the requirements for comprehensive risk metric(s) and related risk performance objectives but also state that applicants and licensees are free to propose </w:t>
      </w:r>
      <w:r w:rsidRPr="00D94FBA">
        <w:rPr>
          <w:rFonts w:ascii="Arial" w:hAnsi="Arial" w:cs="Arial"/>
          <w:sz w:val="22"/>
          <w:szCs w:val="22"/>
        </w:rPr>
        <w:t xml:space="preserve">other approaches. The use of surrogate measures such as CDF and LERF are specifically mentioned in the proposed and final rules as one possible approach that might be pursued by applicants and licensees under 10 CFR Part 53. However, the NRC recognizes that </w:t>
      </w:r>
      <w:r w:rsidRPr="00D94FBA" w:rsidR="00BD7506">
        <w:rPr>
          <w:rFonts w:ascii="Arial" w:hAnsi="Arial" w:cs="Arial"/>
          <w:sz w:val="22"/>
          <w:szCs w:val="22"/>
        </w:rPr>
        <w:t>CDF</w:t>
      </w:r>
      <w:r w:rsidRPr="00D94FBA">
        <w:rPr>
          <w:rFonts w:ascii="Arial" w:hAnsi="Arial" w:cs="Arial"/>
          <w:sz w:val="22"/>
          <w:szCs w:val="22"/>
        </w:rPr>
        <w:t xml:space="preserve"> and LERF may not be applicable metrics for all technologies</w:t>
      </w:r>
      <w:r w:rsidRPr="00D94FBA" w:rsidR="00866B52">
        <w:rPr>
          <w:rFonts w:ascii="Arial" w:hAnsi="Arial" w:cs="Arial"/>
          <w:sz w:val="22"/>
          <w:szCs w:val="22"/>
        </w:rPr>
        <w:t xml:space="preserve"> </w:t>
      </w:r>
      <w:r w:rsidRPr="00D94FBA" w:rsidR="00334C40">
        <w:rPr>
          <w:rFonts w:ascii="Arial" w:hAnsi="Arial" w:cs="Arial"/>
          <w:sz w:val="22"/>
          <w:szCs w:val="22"/>
        </w:rPr>
        <w:t>because</w:t>
      </w:r>
      <w:r w:rsidRPr="00D94FBA">
        <w:rPr>
          <w:rFonts w:ascii="Arial" w:hAnsi="Arial" w:cs="Arial"/>
          <w:sz w:val="22"/>
          <w:szCs w:val="22"/>
        </w:rPr>
        <w:t xml:space="preserve"> </w:t>
      </w:r>
      <w:r w:rsidRPr="00D94FBA" w:rsidR="0024742D">
        <w:rPr>
          <w:rFonts w:ascii="Arial" w:hAnsi="Arial" w:cs="Arial"/>
          <w:sz w:val="22"/>
          <w:szCs w:val="22"/>
        </w:rPr>
        <w:t>it may not be possible to meaningfully define “core damage” for certain reactor types (e.g., molten salt reactors)</w:t>
      </w:r>
      <w:r w:rsidRPr="00D94FBA">
        <w:rPr>
          <w:rFonts w:ascii="Arial" w:hAnsi="Arial" w:cs="Arial"/>
          <w:sz w:val="22"/>
          <w:szCs w:val="22"/>
        </w:rPr>
        <w:t>.</w:t>
      </w:r>
    </w:p>
    <w:p w:rsidR="0075412C" w:rsidRPr="00D94FBA" w:rsidP="00D94FBA" w14:paraId="4ADE5460" w14:textId="77777777">
      <w:pPr>
        <w:spacing w:after="220"/>
        <w:rPr>
          <w:rFonts w:ascii="Arial" w:hAnsi="Arial" w:cs="Arial"/>
          <w:sz w:val="22"/>
          <w:szCs w:val="22"/>
        </w:rPr>
      </w:pPr>
      <w:r w:rsidRPr="00D94FBA">
        <w:rPr>
          <w:rFonts w:ascii="Arial" w:hAnsi="Arial" w:cs="Arial"/>
          <w:sz w:val="22"/>
          <w:szCs w:val="22"/>
        </w:rPr>
        <w:t>However, 10 CFR Part 53 does not require the use of the QHOs or even the NRC’s higher level qualitative goals from the safety goal policy statement to meet the requirements for using comprehensive risk metrics and related risk performance objectives. As explained in the proposed and final rules, applicants and licensees are provided with flexibility to propose their own comprehensive risk metrics and risk performance objectives. As discussed in the proposed and final rule, the NRC recognizes that guidance development to support 10 CFR Part 53 and advanced reactors will continue as the industry and NRC learn lessons from licensing reviews and operating experience and the NRC appreciates comments’ suggestions to that end. Thus, the NRC concludes that the comprehensive risk metric rule is sufficiently clear to ensure a level of safety that is comparable to the existing fleet.</w:t>
      </w:r>
    </w:p>
    <w:p w:rsidR="00B66FBF" w:rsidRPr="00D94FBA" w:rsidP="00D94FBA" w14:paraId="4E57B626" w14:textId="77777777">
      <w:pPr>
        <w:spacing w:after="220"/>
        <w:rPr>
          <w:rFonts w:ascii="Arial" w:hAnsi="Arial" w:cs="Arial"/>
          <w:sz w:val="22"/>
          <w:szCs w:val="22"/>
        </w:rPr>
      </w:pPr>
      <w:r w:rsidRPr="00D94FBA">
        <w:rPr>
          <w:rFonts w:ascii="Arial" w:hAnsi="Arial" w:cs="Arial"/>
          <w:sz w:val="22"/>
          <w:szCs w:val="22"/>
        </w:rPr>
        <w:t>The categorization of licensing</w:t>
      </w:r>
      <w:r w:rsidR="00113FE3">
        <w:rPr>
          <w:rFonts w:ascii="Arial" w:hAnsi="Arial" w:cs="Arial"/>
          <w:sz w:val="22"/>
          <w:szCs w:val="22"/>
        </w:rPr>
        <w:t>-</w:t>
      </w:r>
      <w:r w:rsidRPr="00D94FBA">
        <w:rPr>
          <w:rFonts w:ascii="Arial" w:hAnsi="Arial" w:cs="Arial"/>
          <w:sz w:val="22"/>
          <w:szCs w:val="22"/>
        </w:rPr>
        <w:t>basis events considering event frequencies is a well-established part of most frameworks for the design and licensing of nuclear plants. While 10 CFR Part</w:t>
      </w:r>
      <w:r w:rsidR="003E3F9C">
        <w:rPr>
          <w:rFonts w:ascii="Arial" w:hAnsi="Arial" w:cs="Arial"/>
          <w:sz w:val="22"/>
          <w:szCs w:val="22"/>
        </w:rPr>
        <w:t> </w:t>
      </w:r>
      <w:r w:rsidRPr="00D94FBA">
        <w:rPr>
          <w:rFonts w:ascii="Arial" w:hAnsi="Arial" w:cs="Arial"/>
          <w:sz w:val="22"/>
          <w:szCs w:val="22"/>
        </w:rPr>
        <w:t>53 does identify particular event categories to be used, the rule provides flexibility in both the criteria used to distinguish between categories of licensing</w:t>
      </w:r>
      <w:r w:rsidR="00113FE3">
        <w:rPr>
          <w:rFonts w:ascii="Arial" w:hAnsi="Arial" w:cs="Arial"/>
          <w:sz w:val="22"/>
          <w:szCs w:val="22"/>
        </w:rPr>
        <w:t>-</w:t>
      </w:r>
      <w:r w:rsidRPr="00D94FBA">
        <w:rPr>
          <w:rFonts w:ascii="Arial" w:hAnsi="Arial" w:cs="Arial"/>
          <w:sz w:val="22"/>
          <w:szCs w:val="22"/>
        </w:rPr>
        <w:t>basis events other than design</w:t>
      </w:r>
      <w:r w:rsidR="008C4102">
        <w:rPr>
          <w:rFonts w:ascii="Arial" w:hAnsi="Arial" w:cs="Arial"/>
          <w:sz w:val="22"/>
          <w:szCs w:val="22"/>
        </w:rPr>
        <w:t>-</w:t>
      </w:r>
      <w:r w:rsidRPr="00D94FBA">
        <w:rPr>
          <w:rFonts w:ascii="Arial" w:hAnsi="Arial" w:cs="Arial"/>
          <w:sz w:val="22"/>
          <w:szCs w:val="22"/>
        </w:rPr>
        <w:t>basis accidents as well as the evaluation criteria for those event sequences. As explained in the proposed and final rules, 10 CFR Part 53 also defines a role for a largely deterministic design</w:t>
      </w:r>
      <w:r w:rsidR="0025715B">
        <w:rPr>
          <w:rFonts w:ascii="Arial" w:hAnsi="Arial" w:cs="Arial"/>
          <w:sz w:val="22"/>
          <w:szCs w:val="22"/>
        </w:rPr>
        <w:noBreakHyphen/>
      </w:r>
      <w:r w:rsidRPr="00D94FBA">
        <w:rPr>
          <w:rFonts w:ascii="Arial" w:hAnsi="Arial" w:cs="Arial"/>
          <w:sz w:val="22"/>
          <w:szCs w:val="22"/>
        </w:rPr>
        <w:t>basis accident category</w:t>
      </w:r>
      <w:r w:rsidR="0046563C">
        <w:rPr>
          <w:rFonts w:ascii="Arial" w:hAnsi="Arial" w:cs="Arial"/>
          <w:sz w:val="22"/>
          <w:szCs w:val="22"/>
        </w:rPr>
        <w:t>, consistent with th</w:t>
      </w:r>
      <w:r w:rsidR="004922EF">
        <w:rPr>
          <w:rFonts w:ascii="Arial" w:hAnsi="Arial" w:cs="Arial"/>
          <w:sz w:val="22"/>
          <w:szCs w:val="22"/>
        </w:rPr>
        <w:t xml:space="preserve">e </w:t>
      </w:r>
      <w:r w:rsidR="00B307BA">
        <w:rPr>
          <w:rFonts w:ascii="Arial" w:hAnsi="Arial" w:cs="Arial"/>
          <w:sz w:val="22"/>
          <w:szCs w:val="22"/>
        </w:rPr>
        <w:t xml:space="preserve">existing requirements in </w:t>
      </w:r>
      <w:r w:rsidR="00142475">
        <w:rPr>
          <w:rFonts w:ascii="Arial" w:hAnsi="Arial" w:cs="Arial"/>
          <w:sz w:val="22"/>
          <w:szCs w:val="22"/>
        </w:rPr>
        <w:t>10</w:t>
      </w:r>
      <w:r w:rsidR="007A0A28">
        <w:rPr>
          <w:rFonts w:ascii="Arial" w:hAnsi="Arial" w:cs="Arial"/>
          <w:sz w:val="22"/>
          <w:szCs w:val="22"/>
        </w:rPr>
        <w:t> </w:t>
      </w:r>
      <w:r w:rsidR="00142475">
        <w:rPr>
          <w:rFonts w:ascii="Arial" w:hAnsi="Arial" w:cs="Arial"/>
          <w:sz w:val="22"/>
          <w:szCs w:val="22"/>
        </w:rPr>
        <w:t>CFR</w:t>
      </w:r>
      <w:r w:rsidR="007A0A28">
        <w:rPr>
          <w:rFonts w:ascii="Arial" w:hAnsi="Arial" w:cs="Arial"/>
          <w:sz w:val="22"/>
          <w:szCs w:val="22"/>
        </w:rPr>
        <w:t> </w:t>
      </w:r>
      <w:r w:rsidR="00B307BA">
        <w:rPr>
          <w:rFonts w:ascii="Arial" w:hAnsi="Arial" w:cs="Arial"/>
          <w:sz w:val="22"/>
          <w:szCs w:val="22"/>
        </w:rPr>
        <w:t>Parts</w:t>
      </w:r>
      <w:r w:rsidR="007A0A28">
        <w:rPr>
          <w:rFonts w:ascii="Arial" w:hAnsi="Arial" w:cs="Arial"/>
          <w:sz w:val="22"/>
          <w:szCs w:val="22"/>
        </w:rPr>
        <w:t> </w:t>
      </w:r>
      <w:r w:rsidR="00B307BA">
        <w:rPr>
          <w:rFonts w:ascii="Arial" w:hAnsi="Arial" w:cs="Arial"/>
          <w:sz w:val="22"/>
          <w:szCs w:val="22"/>
        </w:rPr>
        <w:t>50 and 52</w:t>
      </w:r>
      <w:r w:rsidRPr="00D94FBA">
        <w:rPr>
          <w:rFonts w:ascii="Arial" w:hAnsi="Arial" w:cs="Arial"/>
          <w:sz w:val="22"/>
          <w:szCs w:val="22"/>
        </w:rPr>
        <w:t>.</w:t>
      </w:r>
    </w:p>
    <w:p w:rsidR="0075412C" w:rsidRPr="00D94FBA" w:rsidP="00D94FBA" w14:paraId="15F3B064" w14:textId="77777777">
      <w:pPr>
        <w:spacing w:after="220"/>
        <w:rPr>
          <w:rFonts w:ascii="Arial" w:hAnsi="Arial" w:cs="Arial"/>
          <w:sz w:val="22"/>
          <w:szCs w:val="22"/>
        </w:rPr>
      </w:pPr>
      <w:r w:rsidRPr="00D94FBA">
        <w:rPr>
          <w:rFonts w:ascii="Arial" w:hAnsi="Arial" w:cs="Arial"/>
          <w:sz w:val="22"/>
          <w:szCs w:val="22"/>
        </w:rPr>
        <w:t xml:space="preserve">Accordingly, the NRC did not </w:t>
      </w:r>
      <w:r w:rsidR="000036A0">
        <w:rPr>
          <w:rFonts w:ascii="Arial" w:hAnsi="Arial" w:cs="Arial"/>
          <w:sz w:val="22"/>
          <w:szCs w:val="22"/>
        </w:rPr>
        <w:t>change</w:t>
      </w:r>
      <w:r w:rsidRPr="00D94FBA">
        <w:rPr>
          <w:rFonts w:ascii="Arial" w:hAnsi="Arial" w:cs="Arial"/>
          <w:sz w:val="22"/>
          <w:szCs w:val="22"/>
        </w:rPr>
        <w:t xml:space="preserve"> the rule language in response to th</w:t>
      </w:r>
      <w:r w:rsidRPr="00D94FBA" w:rsidR="00392DB6">
        <w:rPr>
          <w:rFonts w:ascii="Arial" w:hAnsi="Arial" w:cs="Arial"/>
          <w:sz w:val="22"/>
          <w:szCs w:val="22"/>
        </w:rPr>
        <w:t>e</w:t>
      </w:r>
      <w:r w:rsidRPr="00D94FBA">
        <w:rPr>
          <w:rFonts w:ascii="Arial" w:hAnsi="Arial" w:cs="Arial"/>
          <w:sz w:val="22"/>
          <w:szCs w:val="22"/>
        </w:rPr>
        <w:t>s</w:t>
      </w:r>
      <w:r w:rsidRPr="00D94FBA" w:rsidR="00392DB6">
        <w:rPr>
          <w:rFonts w:ascii="Arial" w:hAnsi="Arial" w:cs="Arial"/>
          <w:sz w:val="22"/>
          <w:szCs w:val="22"/>
        </w:rPr>
        <w:t>e</w:t>
      </w:r>
      <w:r w:rsidRPr="00D94FBA">
        <w:rPr>
          <w:rFonts w:ascii="Arial" w:hAnsi="Arial" w:cs="Arial"/>
          <w:sz w:val="22"/>
          <w:szCs w:val="22"/>
        </w:rPr>
        <w:t xml:space="preserve"> comment</w:t>
      </w:r>
      <w:r w:rsidRPr="00D94FBA" w:rsidR="00392DB6">
        <w:rPr>
          <w:rFonts w:ascii="Arial" w:hAnsi="Arial" w:cs="Arial"/>
          <w:sz w:val="22"/>
          <w:szCs w:val="22"/>
        </w:rPr>
        <w:t>s</w:t>
      </w:r>
      <w:r w:rsidRPr="00D94FBA">
        <w:rPr>
          <w:rFonts w:ascii="Arial" w:hAnsi="Arial" w:cs="Arial"/>
          <w:sz w:val="22"/>
          <w:szCs w:val="22"/>
        </w:rPr>
        <w:t>.</w:t>
      </w:r>
    </w:p>
    <w:p w:rsidR="00A92CCA" w:rsidRPr="00D94FBA" w:rsidP="00D94FBA" w14:paraId="40C2A4F9" w14:textId="77777777">
      <w:pPr>
        <w:spacing w:after="220"/>
        <w:rPr>
          <w:rFonts w:ascii="Arial" w:hAnsi="Arial" w:cs="Arial"/>
          <w:sz w:val="22"/>
          <w:szCs w:val="22"/>
        </w:rPr>
      </w:pPr>
      <w:r>
        <w:rPr>
          <w:rFonts w:ascii="Arial" w:hAnsi="Arial" w:cs="Arial"/>
          <w:sz w:val="22"/>
          <w:szCs w:val="22"/>
        </w:rPr>
        <w:pict>
          <v:rect id="_x0000_i1082" style="width:0;height:1.5pt" o:hralign="center" o:hrstd="t" o:hrnoshade="t" o:hr="t" fillcolor="black" stroked="f"/>
        </w:pict>
      </w:r>
    </w:p>
    <w:p w:rsidR="0075412C" w:rsidRPr="00D94FBA" w:rsidP="00D94FBA" w14:paraId="063FCA97" w14:textId="77777777">
      <w:pPr>
        <w:spacing w:after="220"/>
        <w:rPr>
          <w:rFonts w:ascii="Arial" w:hAnsi="Arial" w:cs="Arial"/>
          <w:sz w:val="22"/>
          <w:szCs w:val="22"/>
        </w:rPr>
      </w:pPr>
      <w:r w:rsidRPr="00D94FBA">
        <w:rPr>
          <w:rFonts w:ascii="Arial" w:hAnsi="Arial" w:cs="Arial"/>
          <w:b/>
          <w:sz w:val="22"/>
          <w:szCs w:val="22"/>
        </w:rPr>
        <w:t xml:space="preserve">Comment Bin 3.2.1.2.G: </w:t>
      </w:r>
      <w:r w:rsidRPr="00D94FBA">
        <w:rPr>
          <w:rFonts w:ascii="Arial" w:hAnsi="Arial" w:cs="Arial"/>
          <w:sz w:val="22"/>
          <w:szCs w:val="22"/>
        </w:rPr>
        <w:t>A commenter wrote that defense-in-depth and cumulative risk metrics should be considered in the broader context of the safety case and, in line with the SRM</w:t>
      </w:r>
      <w:r w:rsidR="00E402B2">
        <w:rPr>
          <w:rFonts w:ascii="Arial" w:hAnsi="Arial" w:cs="Arial"/>
          <w:sz w:val="22"/>
          <w:szCs w:val="22"/>
        </w:rPr>
        <w:t xml:space="preserve"> [SRM</w:t>
      </w:r>
      <w:r w:rsidR="00E402B2">
        <w:rPr>
          <w:rFonts w:ascii="Arial" w:hAnsi="Arial" w:cs="Arial"/>
          <w:sz w:val="22"/>
          <w:szCs w:val="22"/>
        </w:rPr>
        <w:noBreakHyphen/>
        <w:t>SECY</w:t>
      </w:r>
      <w:r w:rsidR="00E402B2">
        <w:rPr>
          <w:rFonts w:ascii="Arial" w:hAnsi="Arial" w:cs="Arial"/>
          <w:sz w:val="22"/>
          <w:szCs w:val="22"/>
        </w:rPr>
        <w:noBreakHyphen/>
      </w:r>
      <w:r w:rsidR="000A04BC">
        <w:rPr>
          <w:rFonts w:ascii="Arial" w:hAnsi="Arial" w:cs="Arial"/>
          <w:sz w:val="22"/>
          <w:szCs w:val="22"/>
        </w:rPr>
        <w:t>23</w:t>
      </w:r>
      <w:r w:rsidR="000A04BC">
        <w:rPr>
          <w:rFonts w:ascii="Arial" w:hAnsi="Arial" w:cs="Arial"/>
          <w:sz w:val="22"/>
          <w:szCs w:val="22"/>
        </w:rPr>
        <w:noBreakHyphen/>
        <w:t>0021]</w:t>
      </w:r>
      <w:r w:rsidRPr="00D94FBA">
        <w:rPr>
          <w:rFonts w:ascii="Arial" w:hAnsi="Arial" w:cs="Arial"/>
          <w:sz w:val="22"/>
          <w:szCs w:val="22"/>
        </w:rPr>
        <w:t>, which stated that “the NRC's approval of the metric or set of metrics is not, by itself, an indicator of adequate protection.” The commenter suggested revising 10 CFR</w:t>
      </w:r>
      <w:r w:rsidRPr="00D94FBA" w:rsidR="00DE0760">
        <w:rPr>
          <w:rFonts w:ascii="Arial" w:hAnsi="Arial" w:cs="Arial"/>
          <w:sz w:val="22"/>
          <w:szCs w:val="22"/>
        </w:rPr>
        <w:t> </w:t>
      </w:r>
      <w:r w:rsidRPr="00D94FBA">
        <w:rPr>
          <w:rFonts w:ascii="Arial" w:hAnsi="Arial" w:cs="Arial"/>
          <w:sz w:val="22"/>
          <w:szCs w:val="22"/>
        </w:rPr>
        <w:t>53.220 as follows in order to align it with RG 1.233 and the SRM to assess cumulative risk in the broader context of an integrated safety assessment (</w:t>
      </w:r>
      <w:r w:rsidR="009D6BB9">
        <w:rPr>
          <w:rFonts w:ascii="Arial" w:hAnsi="Arial" w:cs="Arial"/>
          <w:sz w:val="22"/>
          <w:szCs w:val="22"/>
        </w:rPr>
        <w:t>NEI2</w:t>
      </w:r>
      <w:r w:rsidRPr="00D94FBA" w:rsidR="00E36D53">
        <w:rPr>
          <w:rFonts w:ascii="Arial" w:hAnsi="Arial" w:cs="Arial"/>
          <w:sz w:val="22"/>
          <w:szCs w:val="22"/>
        </w:rPr>
        <w:t>-0243</w:t>
      </w:r>
      <w:r w:rsidR="00E005BC">
        <w:rPr>
          <w:rFonts w:ascii="Arial" w:hAnsi="Arial" w:cs="Arial"/>
          <w:sz w:val="22"/>
          <w:szCs w:val="22"/>
        </w:rPr>
        <w:t>,</w:t>
      </w:r>
      <w:r w:rsidRPr="00D94FBA" w:rsidR="00E36D53">
        <w:rPr>
          <w:rFonts w:ascii="Arial" w:hAnsi="Arial" w:cs="Arial"/>
          <w:sz w:val="22"/>
          <w:szCs w:val="22"/>
        </w:rPr>
        <w:t xml:space="preserve"> </w:t>
      </w:r>
      <w:r w:rsidR="00DF6CD2">
        <w:rPr>
          <w:rFonts w:ascii="Arial" w:hAnsi="Arial" w:cs="Arial"/>
          <w:sz w:val="22"/>
          <w:szCs w:val="22"/>
        </w:rPr>
        <w:t>NEI3</w:t>
      </w:r>
      <w:r w:rsidRPr="00D94FBA">
        <w:rPr>
          <w:rFonts w:ascii="Arial" w:hAnsi="Arial" w:cs="Arial"/>
          <w:sz w:val="22"/>
          <w:szCs w:val="22"/>
        </w:rPr>
        <w:t xml:space="preserve">-0011): </w:t>
      </w:r>
    </w:p>
    <w:p w:rsidR="0075412C" w:rsidRPr="00D94FBA" w:rsidP="00D94FBA" w14:paraId="584BA612" w14:textId="77777777">
      <w:pPr>
        <w:spacing w:after="220"/>
        <w:ind w:left="720" w:right="720"/>
        <w:rPr>
          <w:rFonts w:ascii="Arial" w:hAnsi="Arial" w:cs="Arial"/>
          <w:sz w:val="22"/>
          <w:szCs w:val="22"/>
        </w:rPr>
      </w:pPr>
      <w:r w:rsidRPr="00D94FBA">
        <w:rPr>
          <w:rFonts w:ascii="Arial" w:hAnsi="Arial" w:cs="Arial"/>
          <w:sz w:val="22"/>
          <w:szCs w:val="22"/>
        </w:rPr>
        <w:t>Design features and programmatic controls for NSRSS SSCs must be provided for each commercial nuclear plant to assure adequate protection of the public health and safety. This is achieved through an integrated safety assessment which must consider the necessary capabilities and reliability of design features and programmatic controls to address LBEs in accordance with 53.450(e), provide measures for defense in depth in accordance with 53.250; and evaluate residual risk.</w:t>
      </w:r>
    </w:p>
    <w:p w:rsidR="0075412C" w:rsidRPr="00D94FBA" w:rsidP="00D94FBA" w14:paraId="692EE89D" w14:textId="77777777">
      <w:pPr>
        <w:spacing w:after="220"/>
        <w:ind w:right="720"/>
        <w:rPr>
          <w:rFonts w:ascii="Arial" w:hAnsi="Arial" w:cs="Arial"/>
          <w:sz w:val="22"/>
          <w:szCs w:val="22"/>
        </w:rPr>
      </w:pPr>
      <w:r w:rsidRPr="00D94FBA">
        <w:rPr>
          <w:rFonts w:ascii="Arial" w:hAnsi="Arial" w:cs="Arial"/>
          <w:sz w:val="22"/>
          <w:szCs w:val="22"/>
        </w:rPr>
        <w:t>The commenter explained that comprehensive risk metrics should be a piece of an integrated safety assessment, which would be consistent with NEIMA and NEI 18</w:t>
      </w:r>
      <w:r w:rsidRPr="00D94FBA">
        <w:rPr>
          <w:rFonts w:ascii="Arial" w:hAnsi="Arial" w:cs="Arial"/>
          <w:sz w:val="22"/>
          <w:szCs w:val="22"/>
        </w:rPr>
        <w:noBreakHyphen/>
        <w:t>04 (</w:t>
      </w:r>
      <w:r w:rsidR="009D6BB9">
        <w:rPr>
          <w:rFonts w:ascii="Arial" w:hAnsi="Arial" w:cs="Arial"/>
          <w:sz w:val="22"/>
          <w:szCs w:val="22"/>
        </w:rPr>
        <w:t>NEI2</w:t>
      </w:r>
      <w:r w:rsidRPr="00D94FBA">
        <w:rPr>
          <w:rFonts w:ascii="Arial" w:hAnsi="Arial" w:cs="Arial"/>
          <w:sz w:val="22"/>
          <w:szCs w:val="22"/>
        </w:rPr>
        <w:t>-0243). Another commenter expressed support for this proposed revision (</w:t>
      </w:r>
      <w:r w:rsidR="006912EB">
        <w:rPr>
          <w:rFonts w:ascii="Arial" w:hAnsi="Arial" w:cs="Arial"/>
          <w:sz w:val="22"/>
          <w:szCs w:val="22"/>
        </w:rPr>
        <w:t>NEX</w:t>
      </w:r>
      <w:r w:rsidRPr="00D94FBA">
        <w:rPr>
          <w:rFonts w:ascii="Arial" w:hAnsi="Arial" w:cs="Arial"/>
          <w:sz w:val="22"/>
          <w:szCs w:val="22"/>
        </w:rPr>
        <w:t>-0019).</w:t>
      </w:r>
    </w:p>
    <w:p w:rsidR="00F70A31" w:rsidRPr="00D94FBA" w:rsidP="00D94FBA" w14:paraId="479EB457" w14:textId="77777777">
      <w:pPr>
        <w:spacing w:after="220"/>
        <w:rPr>
          <w:rFonts w:ascii="Arial" w:hAnsi="Arial" w:cs="Arial"/>
          <w:sz w:val="22"/>
          <w:szCs w:val="22"/>
        </w:rPr>
      </w:pPr>
      <w:r w:rsidRPr="00D94FBA">
        <w:rPr>
          <w:rFonts w:ascii="Arial" w:hAnsi="Arial" w:cs="Arial"/>
          <w:sz w:val="22"/>
          <w:szCs w:val="22"/>
        </w:rPr>
        <w:t xml:space="preserve">Two </w:t>
      </w:r>
      <w:r w:rsidRPr="00D94FBA" w:rsidR="00AE396A">
        <w:rPr>
          <w:rFonts w:ascii="Arial" w:hAnsi="Arial" w:cs="Arial"/>
          <w:sz w:val="22"/>
          <w:szCs w:val="22"/>
        </w:rPr>
        <w:t xml:space="preserve">more </w:t>
      </w:r>
      <w:r w:rsidRPr="00D94FBA">
        <w:rPr>
          <w:rFonts w:ascii="Arial" w:hAnsi="Arial" w:cs="Arial"/>
          <w:sz w:val="22"/>
          <w:szCs w:val="22"/>
        </w:rPr>
        <w:t xml:space="preserve">commenters expressed support for </w:t>
      </w:r>
      <w:r w:rsidRPr="00D94FBA" w:rsidR="00AE396A">
        <w:rPr>
          <w:rFonts w:ascii="Arial" w:hAnsi="Arial" w:cs="Arial"/>
          <w:sz w:val="22"/>
          <w:szCs w:val="22"/>
        </w:rPr>
        <w:t>this</w:t>
      </w:r>
      <w:r w:rsidRPr="00D94FBA">
        <w:rPr>
          <w:rFonts w:ascii="Arial" w:hAnsi="Arial" w:cs="Arial"/>
          <w:sz w:val="22"/>
          <w:szCs w:val="22"/>
        </w:rPr>
        <w:t xml:space="preserve"> proposed rewording of 10 CFR 53.220. These two commenters added that it is incongruous to conflate estimated frequencies from a </w:t>
      </w:r>
      <w:r w:rsidRPr="00D94FBA">
        <w:rPr>
          <w:rFonts w:ascii="Arial" w:hAnsi="Arial" w:cs="Arial"/>
          <w:sz w:val="22"/>
          <w:szCs w:val="22"/>
        </w:rPr>
        <w:t>PRA with the observational criteria established through a performance-based approach. The commenters wrote that the Commission in SRM for SECY-23-0021</w:t>
      </w:r>
      <w:r w:rsidR="00A44E0B">
        <w:rPr>
          <w:rFonts w:ascii="Arial" w:hAnsi="Arial" w:cs="Arial"/>
          <w:sz w:val="22"/>
          <w:szCs w:val="22"/>
        </w:rPr>
        <w:t>, “</w:t>
      </w:r>
      <w:r w:rsidRPr="00EA264D" w:rsidR="00EA264D">
        <w:rPr>
          <w:rFonts w:ascii="Arial" w:hAnsi="Arial" w:cs="Arial"/>
          <w:sz w:val="22"/>
          <w:szCs w:val="22"/>
        </w:rPr>
        <w:t>Staff Requirements – S</w:t>
      </w:r>
      <w:r w:rsidR="00EA264D">
        <w:rPr>
          <w:rFonts w:ascii="Arial" w:hAnsi="Arial" w:cs="Arial"/>
          <w:sz w:val="22"/>
          <w:szCs w:val="22"/>
        </w:rPr>
        <w:t>ECY</w:t>
      </w:r>
      <w:r w:rsidRPr="00EA264D" w:rsidR="00EA264D">
        <w:rPr>
          <w:rFonts w:ascii="Arial" w:hAnsi="Arial" w:cs="Arial"/>
          <w:sz w:val="22"/>
          <w:szCs w:val="22"/>
        </w:rPr>
        <w:t xml:space="preserve">-23-0021 – Proposed Rule: Risk-Informed, Technology-Inclusive Regulatory Framework </w:t>
      </w:r>
      <w:r w:rsidR="00EA264D">
        <w:rPr>
          <w:rFonts w:ascii="Arial" w:hAnsi="Arial" w:cs="Arial"/>
          <w:sz w:val="22"/>
          <w:szCs w:val="22"/>
        </w:rPr>
        <w:t>f</w:t>
      </w:r>
      <w:r w:rsidRPr="00EA264D" w:rsidR="00EA264D">
        <w:rPr>
          <w:rFonts w:ascii="Arial" w:hAnsi="Arial" w:cs="Arial"/>
          <w:sz w:val="22"/>
          <w:szCs w:val="22"/>
        </w:rPr>
        <w:t>or Advanced Reactors (RIN 3150-AK31)</w:t>
      </w:r>
      <w:r w:rsidR="00A44E0B">
        <w:rPr>
          <w:rFonts w:ascii="Arial" w:hAnsi="Arial" w:cs="Arial"/>
          <w:sz w:val="22"/>
          <w:szCs w:val="22"/>
        </w:rPr>
        <w:t xml:space="preserve">,” </w:t>
      </w:r>
      <w:r w:rsidR="00081E6C">
        <w:rPr>
          <w:rFonts w:ascii="Arial" w:hAnsi="Arial" w:cs="Arial"/>
          <w:sz w:val="22"/>
          <w:szCs w:val="22"/>
        </w:rPr>
        <w:t>issue</w:t>
      </w:r>
      <w:r w:rsidR="00A44E0B">
        <w:rPr>
          <w:rFonts w:ascii="Arial" w:hAnsi="Arial" w:cs="Arial"/>
          <w:sz w:val="22"/>
          <w:szCs w:val="22"/>
        </w:rPr>
        <w:t>d March 202</w:t>
      </w:r>
      <w:r w:rsidR="00EA264D">
        <w:rPr>
          <w:rFonts w:ascii="Arial" w:hAnsi="Arial" w:cs="Arial"/>
          <w:sz w:val="22"/>
          <w:szCs w:val="22"/>
        </w:rPr>
        <w:t>4</w:t>
      </w:r>
      <w:r w:rsidR="00A44E0B">
        <w:rPr>
          <w:rFonts w:ascii="Arial" w:hAnsi="Arial" w:cs="Arial"/>
          <w:sz w:val="22"/>
          <w:szCs w:val="22"/>
        </w:rPr>
        <w:t xml:space="preserve"> (</w:t>
      </w:r>
      <w:r w:rsidRPr="00477693" w:rsidR="00477693">
        <w:rPr>
          <w:rFonts w:ascii="Arial" w:hAnsi="Arial" w:cs="Arial"/>
          <w:sz w:val="22"/>
          <w:szCs w:val="22"/>
        </w:rPr>
        <w:t>ML24064A039</w:t>
      </w:r>
      <w:r w:rsidR="00D34AAB">
        <w:rPr>
          <w:rFonts w:ascii="Arial" w:hAnsi="Arial" w:cs="Arial"/>
          <w:sz w:val="22"/>
          <w:szCs w:val="22"/>
        </w:rPr>
        <w:t>)</w:t>
      </w:r>
      <w:r w:rsidR="006939C7">
        <w:rPr>
          <w:rFonts w:ascii="Arial" w:hAnsi="Arial" w:cs="Arial"/>
          <w:sz w:val="22"/>
          <w:szCs w:val="22"/>
        </w:rPr>
        <w:t>,</w:t>
      </w:r>
      <w:r w:rsidRPr="00D94FBA">
        <w:rPr>
          <w:rFonts w:ascii="Arial" w:hAnsi="Arial" w:cs="Arial"/>
          <w:sz w:val="22"/>
          <w:szCs w:val="22"/>
        </w:rPr>
        <w:t xml:space="preserve"> had previously disapproved the inclusion of QHOs in 10</w:t>
      </w:r>
      <w:r w:rsidRPr="00D94FBA" w:rsidR="0093290E">
        <w:rPr>
          <w:rFonts w:ascii="Arial" w:hAnsi="Arial" w:cs="Arial"/>
          <w:sz w:val="22"/>
          <w:szCs w:val="22"/>
        </w:rPr>
        <w:t> </w:t>
      </w:r>
      <w:r w:rsidRPr="00D94FBA">
        <w:rPr>
          <w:rFonts w:ascii="Arial" w:hAnsi="Arial" w:cs="Arial"/>
          <w:sz w:val="22"/>
          <w:szCs w:val="22"/>
        </w:rPr>
        <w:t>CFR</w:t>
      </w:r>
      <w:r w:rsidRPr="00D94FBA" w:rsidR="0093290E">
        <w:rPr>
          <w:rFonts w:ascii="Arial" w:hAnsi="Arial" w:cs="Arial"/>
          <w:sz w:val="22"/>
          <w:szCs w:val="22"/>
        </w:rPr>
        <w:t> </w:t>
      </w:r>
      <w:r w:rsidRPr="00D94FBA">
        <w:rPr>
          <w:rFonts w:ascii="Arial" w:hAnsi="Arial" w:cs="Arial"/>
          <w:sz w:val="22"/>
          <w:szCs w:val="22"/>
        </w:rPr>
        <w:t>Part 53 and said that the origins of “risk performance objectives” appear unclear and unrelated to the Commission’s direction. The commenters suggested that applicants should be required to perform a "risk evaluation” as part of an "integrated safety assessment" under 10</w:t>
      </w:r>
      <w:r w:rsidR="0025715B">
        <w:rPr>
          <w:rFonts w:ascii="Arial" w:hAnsi="Arial" w:cs="Arial"/>
          <w:sz w:val="22"/>
          <w:szCs w:val="22"/>
        </w:rPr>
        <w:t> </w:t>
      </w:r>
      <w:r w:rsidRPr="00D94FBA">
        <w:rPr>
          <w:rFonts w:ascii="Arial" w:hAnsi="Arial" w:cs="Arial"/>
          <w:sz w:val="22"/>
          <w:szCs w:val="22"/>
        </w:rPr>
        <w:t>CFR</w:t>
      </w:r>
      <w:r w:rsidR="0025715B">
        <w:rPr>
          <w:rFonts w:ascii="Arial" w:hAnsi="Arial" w:cs="Arial"/>
          <w:sz w:val="22"/>
          <w:szCs w:val="22"/>
        </w:rPr>
        <w:t> </w:t>
      </w:r>
      <w:r w:rsidRPr="00D94FBA">
        <w:rPr>
          <w:rFonts w:ascii="Arial" w:hAnsi="Arial" w:cs="Arial"/>
          <w:sz w:val="22"/>
          <w:szCs w:val="22"/>
        </w:rPr>
        <w:t>53.220 (</w:t>
      </w:r>
      <w:r w:rsidR="00C3447B">
        <w:rPr>
          <w:rFonts w:ascii="Arial" w:hAnsi="Arial" w:cs="Arial"/>
          <w:sz w:val="22"/>
          <w:szCs w:val="22"/>
        </w:rPr>
        <w:t>ROSE</w:t>
      </w:r>
      <w:r w:rsidRPr="00D94FBA">
        <w:rPr>
          <w:rFonts w:ascii="Arial" w:hAnsi="Arial" w:cs="Arial"/>
          <w:sz w:val="22"/>
          <w:szCs w:val="22"/>
        </w:rPr>
        <w:t xml:space="preserve">-0003, </w:t>
      </w:r>
      <w:r w:rsidR="00611CA0">
        <w:rPr>
          <w:rFonts w:ascii="Arial" w:hAnsi="Arial" w:cs="Arial"/>
          <w:sz w:val="22"/>
          <w:szCs w:val="22"/>
        </w:rPr>
        <w:t>RAD</w:t>
      </w:r>
      <w:r w:rsidRPr="00D94FBA">
        <w:rPr>
          <w:rFonts w:ascii="Arial" w:hAnsi="Arial" w:cs="Arial"/>
          <w:sz w:val="22"/>
          <w:szCs w:val="22"/>
        </w:rPr>
        <w:t>-0002).</w:t>
      </w:r>
    </w:p>
    <w:p w:rsidR="0075412C" w:rsidRPr="00D94FBA" w:rsidP="00D94FBA" w14:paraId="2E793743" w14:textId="77777777">
      <w:pPr>
        <w:spacing w:after="220"/>
        <w:ind w:right="720"/>
        <w:rPr>
          <w:rFonts w:ascii="Arial" w:hAnsi="Arial" w:cs="Arial"/>
          <w:sz w:val="22"/>
          <w:szCs w:val="22"/>
        </w:rPr>
      </w:pPr>
      <w:r w:rsidRPr="00D94FBA">
        <w:rPr>
          <w:rFonts w:ascii="Arial" w:hAnsi="Arial" w:cs="Arial"/>
          <w:sz w:val="22"/>
          <w:szCs w:val="22"/>
        </w:rPr>
        <w:t>Another commenter wrote that they agreed with proposals to view a comprehensive risk metric as one piece of a holistic, integrated safety analysis, and added that this would be consistent with the decision-making framework in RG 1.174</w:t>
      </w:r>
      <w:r w:rsidR="00CE51EE">
        <w:rPr>
          <w:rFonts w:ascii="Arial" w:hAnsi="Arial" w:cs="Arial"/>
          <w:sz w:val="22"/>
          <w:szCs w:val="22"/>
        </w:rPr>
        <w:t>, “</w:t>
      </w:r>
      <w:r w:rsidRPr="00CE51EE" w:rsidR="00CE51EE">
        <w:rPr>
          <w:rFonts w:ascii="Arial" w:hAnsi="Arial" w:cs="Arial"/>
          <w:sz w:val="22"/>
          <w:szCs w:val="22"/>
        </w:rPr>
        <w:t>An Approach for Using Probabilistic Risk Assessment in Risk-Informed Decisions on Plant-Specific Changes to the Licensing Basis</w:t>
      </w:r>
      <w:r w:rsidR="00CE51EE">
        <w:rPr>
          <w:rFonts w:ascii="Arial" w:hAnsi="Arial" w:cs="Arial"/>
          <w:sz w:val="22"/>
          <w:szCs w:val="22"/>
        </w:rPr>
        <w:t xml:space="preserve">,” issued </w:t>
      </w:r>
      <w:r w:rsidR="004D273D">
        <w:rPr>
          <w:rFonts w:ascii="Arial" w:hAnsi="Arial" w:cs="Arial"/>
          <w:sz w:val="22"/>
          <w:szCs w:val="22"/>
        </w:rPr>
        <w:t>January 2018</w:t>
      </w:r>
      <w:r w:rsidR="009961F0">
        <w:rPr>
          <w:rFonts w:ascii="Arial" w:hAnsi="Arial" w:cs="Arial"/>
          <w:sz w:val="22"/>
          <w:szCs w:val="22"/>
        </w:rPr>
        <w:t xml:space="preserve"> (</w:t>
      </w:r>
      <w:r w:rsidRPr="00634AD6" w:rsidR="00634AD6">
        <w:rPr>
          <w:rFonts w:ascii="Arial" w:hAnsi="Arial" w:cs="Arial"/>
          <w:sz w:val="22"/>
          <w:szCs w:val="22"/>
        </w:rPr>
        <w:t>ML17317A256</w:t>
      </w:r>
      <w:r w:rsidR="00634AD6">
        <w:rPr>
          <w:rFonts w:ascii="Arial" w:hAnsi="Arial" w:cs="Arial"/>
          <w:sz w:val="22"/>
          <w:szCs w:val="22"/>
        </w:rPr>
        <w:t>)</w:t>
      </w:r>
      <w:r w:rsidRPr="00D94FBA">
        <w:rPr>
          <w:rFonts w:ascii="Arial" w:hAnsi="Arial" w:cs="Arial"/>
          <w:sz w:val="22"/>
          <w:szCs w:val="22"/>
        </w:rPr>
        <w:t xml:space="preserve"> (</w:t>
      </w:r>
      <w:r w:rsidR="00C3447B">
        <w:rPr>
          <w:rFonts w:ascii="Arial" w:hAnsi="Arial" w:cs="Arial"/>
          <w:sz w:val="22"/>
          <w:szCs w:val="22"/>
        </w:rPr>
        <w:t>ROSE</w:t>
      </w:r>
      <w:r w:rsidRPr="00D94FBA">
        <w:rPr>
          <w:rFonts w:ascii="Arial" w:hAnsi="Arial" w:cs="Arial"/>
          <w:sz w:val="22"/>
          <w:szCs w:val="22"/>
        </w:rPr>
        <w:t>-0006).</w:t>
      </w:r>
    </w:p>
    <w:p w:rsidR="0075412C" w:rsidRPr="00D94FBA" w:rsidP="00D94FBA" w14:paraId="7B49CE04"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xml:space="preserve"> The NRC </w:t>
      </w:r>
      <w:r w:rsidRPr="00D94FBA" w:rsidR="00231511">
        <w:rPr>
          <w:rFonts w:ascii="Arial" w:hAnsi="Arial" w:cs="Arial"/>
          <w:sz w:val="22"/>
          <w:szCs w:val="22"/>
        </w:rPr>
        <w:t>agrees, in part,</w:t>
      </w:r>
      <w:r w:rsidRPr="00D94FBA">
        <w:rPr>
          <w:rFonts w:ascii="Arial" w:hAnsi="Arial" w:cs="Arial"/>
          <w:sz w:val="22"/>
          <w:szCs w:val="22"/>
        </w:rPr>
        <w:t xml:space="preserve"> with the comments.</w:t>
      </w:r>
    </w:p>
    <w:p w:rsidR="0075412C" w:rsidRPr="00D94FBA" w:rsidP="00D94FBA" w14:paraId="597176FF" w14:textId="77777777">
      <w:pPr>
        <w:spacing w:after="220"/>
        <w:rPr>
          <w:rFonts w:ascii="Arial" w:hAnsi="Arial" w:cs="Arial"/>
          <w:sz w:val="22"/>
          <w:szCs w:val="22"/>
        </w:rPr>
      </w:pPr>
      <w:r w:rsidRPr="00D94FBA">
        <w:rPr>
          <w:rFonts w:ascii="Arial" w:hAnsi="Arial" w:cs="Arial"/>
          <w:sz w:val="22"/>
          <w:szCs w:val="22"/>
        </w:rPr>
        <w:t>The comments suggest an approach and rule language that generally align with 10 CFR</w:t>
      </w:r>
      <w:r w:rsidRPr="00D94FBA" w:rsidR="00FB2897">
        <w:rPr>
          <w:rFonts w:ascii="Arial" w:hAnsi="Arial" w:cs="Arial"/>
          <w:sz w:val="22"/>
          <w:szCs w:val="22"/>
        </w:rPr>
        <w:t> </w:t>
      </w:r>
      <w:r w:rsidRPr="00D94FBA">
        <w:rPr>
          <w:rFonts w:ascii="Arial" w:hAnsi="Arial" w:cs="Arial"/>
          <w:sz w:val="22"/>
          <w:szCs w:val="22"/>
        </w:rPr>
        <w:t>Part</w:t>
      </w:r>
      <w:r w:rsidR="00C425CB">
        <w:rPr>
          <w:rFonts w:ascii="Arial" w:hAnsi="Arial" w:cs="Arial"/>
          <w:sz w:val="22"/>
          <w:szCs w:val="22"/>
        </w:rPr>
        <w:t> </w:t>
      </w:r>
      <w:r w:rsidRPr="00D94FBA">
        <w:rPr>
          <w:rFonts w:ascii="Arial" w:hAnsi="Arial" w:cs="Arial"/>
          <w:sz w:val="22"/>
          <w:szCs w:val="22"/>
        </w:rPr>
        <w:t xml:space="preserve">53. However, as explained in the proposed and final rules, specific language from the </w:t>
      </w:r>
      <w:r w:rsidR="0060726B">
        <w:rPr>
          <w:rFonts w:ascii="Arial" w:hAnsi="Arial" w:cs="Arial"/>
          <w:sz w:val="22"/>
          <w:szCs w:val="22"/>
        </w:rPr>
        <w:t>A</w:t>
      </w:r>
      <w:r w:rsidR="00F00366">
        <w:rPr>
          <w:rFonts w:ascii="Arial" w:hAnsi="Arial" w:cs="Arial"/>
          <w:sz w:val="22"/>
          <w:szCs w:val="22"/>
        </w:rPr>
        <w:t>EA</w:t>
      </w:r>
      <w:r w:rsidR="0060726B">
        <w:rPr>
          <w:rFonts w:ascii="Arial" w:hAnsi="Arial" w:cs="Arial"/>
          <w:sz w:val="22"/>
          <w:szCs w:val="22"/>
        </w:rPr>
        <w:t xml:space="preserve"> </w:t>
      </w:r>
      <w:r w:rsidRPr="00D94FBA">
        <w:rPr>
          <w:rFonts w:ascii="Arial" w:hAnsi="Arial" w:cs="Arial"/>
          <w:sz w:val="22"/>
          <w:szCs w:val="22"/>
        </w:rPr>
        <w:t>is not incorporated into the safety objectives or safety criteria in 10 CFR Part 53. This is because, consistent with historical practice</w:t>
      </w:r>
      <w:r w:rsidR="00416D6A">
        <w:rPr>
          <w:rFonts w:ascii="Arial" w:hAnsi="Arial" w:cs="Arial"/>
          <w:sz w:val="22"/>
          <w:szCs w:val="22"/>
        </w:rPr>
        <w:t xml:space="preserve"> and as noted in response to other comments such as Comment Bin 3.2.1.2.J</w:t>
      </w:r>
      <w:r w:rsidRPr="00D94FBA">
        <w:rPr>
          <w:rFonts w:ascii="Arial" w:hAnsi="Arial" w:cs="Arial"/>
          <w:sz w:val="22"/>
          <w:szCs w:val="22"/>
        </w:rPr>
        <w:t>, the NRC is not defining ‘‘adequate protection’’ through the individual safety requirements in 10 CFR Part 53</w:t>
      </w:r>
      <w:r w:rsidR="00E1401D">
        <w:rPr>
          <w:rFonts w:ascii="Arial" w:hAnsi="Arial" w:cs="Arial"/>
          <w:sz w:val="22"/>
          <w:szCs w:val="22"/>
        </w:rPr>
        <w:t>,</w:t>
      </w:r>
      <w:r w:rsidR="00F0020F">
        <w:rPr>
          <w:rFonts w:ascii="Arial" w:hAnsi="Arial" w:cs="Arial"/>
          <w:sz w:val="22"/>
          <w:szCs w:val="22"/>
        </w:rPr>
        <w:t xml:space="preserve"> and no single regulatory requirement governs whether a plant is “safe enough</w:t>
      </w:r>
      <w:r w:rsidRPr="00D94FBA">
        <w:rPr>
          <w:rFonts w:ascii="Arial" w:hAnsi="Arial" w:cs="Arial"/>
          <w:sz w:val="22"/>
          <w:szCs w:val="22"/>
        </w:rPr>
        <w:t>.</w:t>
      </w:r>
      <w:r w:rsidR="00F0020F">
        <w:rPr>
          <w:rFonts w:ascii="Arial" w:hAnsi="Arial" w:cs="Arial"/>
          <w:sz w:val="22"/>
          <w:szCs w:val="22"/>
        </w:rPr>
        <w:t>”</w:t>
      </w:r>
      <w:r w:rsidRPr="00D94FBA">
        <w:rPr>
          <w:rFonts w:ascii="Arial" w:hAnsi="Arial" w:cs="Arial"/>
          <w:sz w:val="22"/>
          <w:szCs w:val="22"/>
        </w:rPr>
        <w:t xml:space="preserve"> Rather, 10 CFR Part 53 enables the NRC to make its required findings under the A</w:t>
      </w:r>
      <w:r w:rsidR="006151F2">
        <w:rPr>
          <w:rFonts w:ascii="Arial" w:hAnsi="Arial" w:cs="Arial"/>
          <w:sz w:val="22"/>
          <w:szCs w:val="22"/>
        </w:rPr>
        <w:t>EA</w:t>
      </w:r>
      <w:r w:rsidRPr="00D94FBA">
        <w:rPr>
          <w:rFonts w:ascii="Arial" w:hAnsi="Arial" w:cs="Arial"/>
          <w:sz w:val="22"/>
          <w:szCs w:val="22"/>
        </w:rPr>
        <w:t xml:space="preserve"> by providing sufficient performance standards, safety criteria, and related requirements on how applicants must demonstrate compliance with subpart B and other subparts.</w:t>
      </w:r>
    </w:p>
    <w:p w:rsidR="0075412C" w:rsidRPr="00D94FBA" w:rsidP="00D94FBA" w14:paraId="70EF051A" w14:textId="77777777">
      <w:pPr>
        <w:spacing w:after="220"/>
        <w:rPr>
          <w:rFonts w:ascii="Arial" w:hAnsi="Arial" w:cs="Arial"/>
          <w:sz w:val="22"/>
          <w:szCs w:val="22"/>
        </w:rPr>
      </w:pPr>
      <w:r w:rsidRPr="00D94FBA">
        <w:rPr>
          <w:rFonts w:ascii="Arial" w:hAnsi="Arial" w:cs="Arial"/>
          <w:sz w:val="22"/>
          <w:szCs w:val="22"/>
        </w:rPr>
        <w:t xml:space="preserve">The safety criteria and other requirements in 10 CFR Part 53 therefore need to have sufficient specificity to be a usable performance measure and to be considered as elements of a broader risk-informed decision-making process. The requirements throughout 10 CFR Part 53 that support demonstrating compliance with 10 CFR 53.220 would be similar to current regulations that both contribute to assuring adequate protection of public health and safety and are desirable to promote the common defense and security or to protect health or to minimize danger to life or property under </w:t>
      </w:r>
      <w:r w:rsidR="00827A6E">
        <w:rPr>
          <w:rFonts w:ascii="Arial" w:hAnsi="Arial" w:cs="Arial"/>
          <w:sz w:val="22"/>
          <w:szCs w:val="22"/>
        </w:rPr>
        <w:t>s</w:t>
      </w:r>
      <w:r w:rsidRPr="00D94FBA">
        <w:rPr>
          <w:rFonts w:ascii="Arial" w:hAnsi="Arial" w:cs="Arial"/>
          <w:sz w:val="22"/>
          <w:szCs w:val="22"/>
        </w:rPr>
        <w:t>ection 161 of the A</w:t>
      </w:r>
      <w:r w:rsidR="00F00366">
        <w:rPr>
          <w:rFonts w:ascii="Arial" w:hAnsi="Arial" w:cs="Arial"/>
          <w:sz w:val="22"/>
          <w:szCs w:val="22"/>
        </w:rPr>
        <w:t>EA</w:t>
      </w:r>
      <w:r w:rsidRPr="00D94FBA">
        <w:rPr>
          <w:rFonts w:ascii="Arial" w:hAnsi="Arial" w:cs="Arial"/>
          <w:sz w:val="22"/>
          <w:szCs w:val="22"/>
        </w:rPr>
        <w:t>.</w:t>
      </w:r>
    </w:p>
    <w:p w:rsidR="00692BDB" w:rsidRPr="00D94FBA" w:rsidP="00D94FBA" w14:paraId="1CA3A8F0" w14:textId="77777777">
      <w:pPr>
        <w:spacing w:after="220"/>
        <w:rPr>
          <w:rFonts w:ascii="Arial" w:hAnsi="Arial" w:cs="Arial"/>
          <w:sz w:val="22"/>
          <w:szCs w:val="22"/>
        </w:rPr>
      </w:pPr>
      <w:r w:rsidRPr="00D94FBA">
        <w:rPr>
          <w:rFonts w:ascii="Arial" w:hAnsi="Arial" w:cs="Arial"/>
          <w:sz w:val="22"/>
          <w:szCs w:val="22"/>
        </w:rPr>
        <w:t xml:space="preserve">Regarding the NRC’s partial agreement with allowing </w:t>
      </w:r>
      <w:r w:rsidRPr="00D94FBA" w:rsidR="00C8197B">
        <w:rPr>
          <w:rFonts w:ascii="Arial" w:hAnsi="Arial" w:cs="Arial"/>
          <w:sz w:val="22"/>
          <w:szCs w:val="22"/>
        </w:rPr>
        <w:t xml:space="preserve">the use of </w:t>
      </w:r>
      <w:r w:rsidRPr="00D94FBA">
        <w:rPr>
          <w:rFonts w:ascii="Arial" w:hAnsi="Arial" w:cs="Arial"/>
          <w:sz w:val="22"/>
          <w:szCs w:val="22"/>
        </w:rPr>
        <w:t>systematic risk evaluations within 10 CFR 53.450, see the response to Comment Bin 3.3.2.</w:t>
      </w:r>
      <w:r w:rsidRPr="00D94FBA" w:rsidR="001D555A">
        <w:rPr>
          <w:rFonts w:ascii="Arial" w:hAnsi="Arial" w:cs="Arial"/>
          <w:sz w:val="22"/>
          <w:szCs w:val="22"/>
        </w:rPr>
        <w:t>2</w:t>
      </w:r>
      <w:r w:rsidRPr="00D94FBA" w:rsidR="003A67E1">
        <w:rPr>
          <w:rFonts w:ascii="Arial" w:hAnsi="Arial" w:cs="Arial"/>
          <w:sz w:val="22"/>
          <w:szCs w:val="22"/>
        </w:rPr>
        <w:t>.E</w:t>
      </w:r>
      <w:r w:rsidRPr="00D94FBA" w:rsidR="00607851">
        <w:rPr>
          <w:rFonts w:ascii="Arial" w:hAnsi="Arial" w:cs="Arial"/>
          <w:sz w:val="22"/>
          <w:szCs w:val="22"/>
        </w:rPr>
        <w:t xml:space="preserve"> (</w:t>
      </w:r>
      <w:r w:rsidRPr="00D94FBA" w:rsidR="0061770D">
        <w:rPr>
          <w:rFonts w:ascii="Arial" w:hAnsi="Arial" w:cs="Arial"/>
          <w:sz w:val="22"/>
          <w:szCs w:val="22"/>
        </w:rPr>
        <w:t xml:space="preserve">response to comments on </w:t>
      </w:r>
      <w:r w:rsidRPr="00D94FBA" w:rsidR="00E53249">
        <w:rPr>
          <w:rFonts w:ascii="Arial" w:hAnsi="Arial" w:cs="Arial"/>
          <w:sz w:val="22"/>
          <w:szCs w:val="22"/>
        </w:rPr>
        <w:t>10</w:t>
      </w:r>
      <w:r w:rsidRPr="00D94FBA" w:rsidR="00DE5BC1">
        <w:rPr>
          <w:rFonts w:ascii="Arial" w:hAnsi="Arial" w:cs="Arial"/>
          <w:sz w:val="22"/>
          <w:szCs w:val="22"/>
        </w:rPr>
        <w:t> </w:t>
      </w:r>
      <w:r w:rsidRPr="00D94FBA" w:rsidR="00D023A2">
        <w:rPr>
          <w:rFonts w:ascii="Arial" w:hAnsi="Arial" w:cs="Arial"/>
          <w:sz w:val="22"/>
          <w:szCs w:val="22"/>
        </w:rPr>
        <w:t>CFR</w:t>
      </w:r>
      <w:r w:rsidRPr="00D94FBA" w:rsidR="00DE5BC1">
        <w:rPr>
          <w:rFonts w:ascii="Arial" w:hAnsi="Arial" w:cs="Arial"/>
          <w:sz w:val="22"/>
          <w:szCs w:val="22"/>
        </w:rPr>
        <w:t> </w:t>
      </w:r>
      <w:r w:rsidRPr="00D94FBA" w:rsidR="0061770D">
        <w:rPr>
          <w:rFonts w:ascii="Arial" w:hAnsi="Arial" w:cs="Arial"/>
          <w:sz w:val="22"/>
          <w:szCs w:val="22"/>
        </w:rPr>
        <w:t>53.450(a))</w:t>
      </w:r>
      <w:r w:rsidRPr="00D94FBA">
        <w:rPr>
          <w:rFonts w:ascii="Arial" w:hAnsi="Arial" w:cs="Arial"/>
          <w:sz w:val="22"/>
          <w:szCs w:val="22"/>
        </w:rPr>
        <w:t xml:space="preserve">. </w:t>
      </w:r>
      <w:r w:rsidRPr="00D94FBA" w:rsidR="00806517">
        <w:rPr>
          <w:rFonts w:ascii="Arial" w:hAnsi="Arial" w:cs="Arial"/>
          <w:sz w:val="22"/>
          <w:szCs w:val="22"/>
        </w:rPr>
        <w:t>T</w:t>
      </w:r>
      <w:r w:rsidRPr="00D94FBA">
        <w:rPr>
          <w:rFonts w:ascii="Arial" w:hAnsi="Arial" w:cs="Arial"/>
          <w:sz w:val="22"/>
          <w:szCs w:val="22"/>
        </w:rPr>
        <w:t xml:space="preserve">he NRC </w:t>
      </w:r>
      <w:r w:rsidR="00BE2513">
        <w:rPr>
          <w:rFonts w:ascii="Arial" w:hAnsi="Arial" w:cs="Arial"/>
          <w:sz w:val="22"/>
          <w:szCs w:val="22"/>
        </w:rPr>
        <w:t>revised</w:t>
      </w:r>
      <w:r w:rsidRPr="00D94FBA">
        <w:rPr>
          <w:rFonts w:ascii="Arial" w:hAnsi="Arial" w:cs="Arial"/>
          <w:sz w:val="22"/>
          <w:szCs w:val="22"/>
        </w:rPr>
        <w:t xml:space="preserve"> the rule language </w:t>
      </w:r>
      <w:r w:rsidRPr="00D94FBA" w:rsidR="00F1328C">
        <w:rPr>
          <w:rFonts w:ascii="Arial" w:hAnsi="Arial" w:cs="Arial"/>
          <w:sz w:val="22"/>
          <w:szCs w:val="22"/>
        </w:rPr>
        <w:t xml:space="preserve">in 10 CFR 53.450(a) and </w:t>
      </w:r>
      <w:r w:rsidRPr="00D94FBA" w:rsidR="00DE6806">
        <w:rPr>
          <w:rFonts w:ascii="Arial" w:hAnsi="Arial" w:cs="Arial"/>
          <w:sz w:val="22"/>
          <w:szCs w:val="22"/>
        </w:rPr>
        <w:t xml:space="preserve">made </w:t>
      </w:r>
      <w:r w:rsidRPr="00D94FBA" w:rsidR="00F1328C">
        <w:rPr>
          <w:rFonts w:ascii="Arial" w:hAnsi="Arial" w:cs="Arial"/>
          <w:sz w:val="22"/>
          <w:szCs w:val="22"/>
        </w:rPr>
        <w:t xml:space="preserve">conforming changes throughout </w:t>
      </w:r>
      <w:r w:rsidRPr="00D94FBA">
        <w:rPr>
          <w:rFonts w:ascii="Arial" w:hAnsi="Arial" w:cs="Arial"/>
          <w:sz w:val="22"/>
          <w:szCs w:val="22"/>
        </w:rPr>
        <w:t>in response to this and similar comments.</w:t>
      </w:r>
    </w:p>
    <w:p w:rsidR="0075412C" w:rsidRPr="00D94FBA" w:rsidP="00D94FBA" w14:paraId="4D94C7A5" w14:textId="77777777">
      <w:pPr>
        <w:spacing w:after="220"/>
        <w:rPr>
          <w:rFonts w:ascii="Arial" w:hAnsi="Arial" w:cs="Arial"/>
          <w:b/>
          <w:sz w:val="22"/>
          <w:szCs w:val="22"/>
        </w:rPr>
      </w:pPr>
      <w:r w:rsidRPr="00D94FBA">
        <w:rPr>
          <w:rFonts w:ascii="Arial" w:hAnsi="Arial" w:cs="Arial"/>
          <w:sz w:val="22"/>
          <w:szCs w:val="22"/>
        </w:rPr>
        <w:t xml:space="preserve">Accordingly, the NRC did not </w:t>
      </w:r>
      <w:r w:rsidRPr="00D94FBA" w:rsidR="002B0894">
        <w:rPr>
          <w:rFonts w:ascii="Arial" w:hAnsi="Arial" w:cs="Arial"/>
          <w:sz w:val="22"/>
          <w:szCs w:val="22"/>
        </w:rPr>
        <w:t>otherwise change</w:t>
      </w:r>
      <w:r w:rsidRPr="00D94FBA">
        <w:rPr>
          <w:rFonts w:ascii="Arial" w:hAnsi="Arial" w:cs="Arial"/>
          <w:sz w:val="22"/>
          <w:szCs w:val="22"/>
        </w:rPr>
        <w:t xml:space="preserve"> the rule language in response to these comments.</w:t>
      </w:r>
    </w:p>
    <w:p w:rsidR="000E5B49" w:rsidRPr="00D94FBA" w:rsidP="00D94FBA" w14:paraId="5FBBD138" w14:textId="77777777">
      <w:pPr>
        <w:spacing w:after="220"/>
        <w:rPr>
          <w:rFonts w:ascii="Arial" w:hAnsi="Arial" w:cs="Arial"/>
          <w:sz w:val="22"/>
          <w:szCs w:val="22"/>
        </w:rPr>
      </w:pPr>
      <w:r>
        <w:rPr>
          <w:rFonts w:ascii="Arial" w:hAnsi="Arial" w:cs="Arial"/>
          <w:sz w:val="22"/>
          <w:szCs w:val="22"/>
        </w:rPr>
        <w:pict>
          <v:rect id="_x0000_i1083" style="width:0;height:1.5pt" o:hralign="center" o:hrstd="t" o:hrnoshade="t" o:hr="t" fillcolor="black" stroked="f"/>
        </w:pict>
      </w:r>
    </w:p>
    <w:p w:rsidR="001C49E4" w:rsidRPr="00D94FBA" w:rsidP="00D94FBA" w14:paraId="435627BC" w14:textId="77777777">
      <w:pPr>
        <w:spacing w:after="220"/>
        <w:rPr>
          <w:rFonts w:ascii="Arial" w:hAnsi="Arial" w:cs="Arial"/>
          <w:sz w:val="22"/>
          <w:szCs w:val="22"/>
        </w:rPr>
      </w:pPr>
      <w:r w:rsidRPr="00D94FBA">
        <w:rPr>
          <w:rFonts w:ascii="Arial" w:hAnsi="Arial" w:cs="Arial"/>
          <w:b/>
          <w:sz w:val="22"/>
          <w:szCs w:val="22"/>
        </w:rPr>
        <w:t>Comment Bin 3.2.1.2.H:</w:t>
      </w:r>
      <w:r w:rsidRPr="00D94FBA" w:rsidR="00161929">
        <w:rPr>
          <w:rFonts w:ascii="Arial" w:hAnsi="Arial" w:cs="Arial"/>
          <w:b/>
          <w:sz w:val="22"/>
          <w:szCs w:val="22"/>
        </w:rPr>
        <w:t xml:space="preserve"> </w:t>
      </w:r>
      <w:r w:rsidRPr="00D94FBA" w:rsidR="00161929">
        <w:rPr>
          <w:rFonts w:ascii="Arial" w:hAnsi="Arial" w:cs="Arial"/>
          <w:sz w:val="22"/>
          <w:szCs w:val="22"/>
        </w:rPr>
        <w:t>Two commenters suggested including language that comprehensive risk metrics “ensure risk is controlled with sufficient margin to risk performance objectives.” Both commenters wrote that getting an accurate approximation or risk level is less important than ensuring that risk is controlled under acceptable levels (</w:t>
      </w:r>
      <w:r w:rsidR="009D6BB9">
        <w:rPr>
          <w:rFonts w:ascii="Arial" w:hAnsi="Arial" w:cs="Arial"/>
          <w:sz w:val="22"/>
          <w:szCs w:val="22"/>
        </w:rPr>
        <w:t>NEI2</w:t>
      </w:r>
      <w:r w:rsidRPr="00D94FBA" w:rsidR="00161929">
        <w:rPr>
          <w:rFonts w:ascii="Arial" w:hAnsi="Arial" w:cs="Arial"/>
          <w:sz w:val="22"/>
          <w:szCs w:val="22"/>
        </w:rPr>
        <w:t xml:space="preserve">-0017, </w:t>
      </w:r>
      <w:r w:rsidR="00AE0B17">
        <w:rPr>
          <w:rFonts w:ascii="Arial" w:hAnsi="Arial" w:cs="Arial"/>
          <w:sz w:val="22"/>
          <w:szCs w:val="22"/>
        </w:rPr>
        <w:t>USNIC2</w:t>
      </w:r>
      <w:r w:rsidRPr="00D94FBA" w:rsidR="00161929">
        <w:rPr>
          <w:rFonts w:ascii="Arial" w:hAnsi="Arial" w:cs="Arial"/>
          <w:sz w:val="22"/>
          <w:szCs w:val="22"/>
        </w:rPr>
        <w:t>-0019).</w:t>
      </w:r>
    </w:p>
    <w:p w:rsidR="00161929" w:rsidRPr="00D94FBA" w:rsidP="00D94FBA" w14:paraId="5B3F41B2"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agrees, in part, with the comments.</w:t>
      </w:r>
    </w:p>
    <w:p w:rsidR="00161929" w:rsidRPr="00D94FBA" w:rsidP="00D94FBA" w14:paraId="24C820CF" w14:textId="77777777">
      <w:pPr>
        <w:spacing w:after="220"/>
        <w:rPr>
          <w:rFonts w:ascii="Arial" w:hAnsi="Arial" w:cs="Arial"/>
          <w:sz w:val="22"/>
          <w:szCs w:val="22"/>
        </w:rPr>
      </w:pPr>
      <w:r>
        <w:rPr>
          <w:rFonts w:ascii="Arial" w:hAnsi="Arial" w:cs="Arial"/>
          <w:sz w:val="22"/>
          <w:szCs w:val="22"/>
        </w:rPr>
        <w:t xml:space="preserve">The NRC agrees with the premise of these </w:t>
      </w:r>
      <w:r w:rsidR="00E872A0">
        <w:rPr>
          <w:rFonts w:ascii="Arial" w:hAnsi="Arial" w:cs="Arial"/>
          <w:sz w:val="22"/>
          <w:szCs w:val="22"/>
        </w:rPr>
        <w:t>comments but</w:t>
      </w:r>
      <w:r>
        <w:rPr>
          <w:rFonts w:ascii="Arial" w:hAnsi="Arial" w:cs="Arial"/>
          <w:sz w:val="22"/>
          <w:szCs w:val="22"/>
        </w:rPr>
        <w:t xml:space="preserve"> disagrees with the </w:t>
      </w:r>
      <w:r w:rsidR="005E6B1B">
        <w:rPr>
          <w:rFonts w:ascii="Arial" w:hAnsi="Arial" w:cs="Arial"/>
          <w:sz w:val="22"/>
          <w:szCs w:val="22"/>
        </w:rPr>
        <w:t xml:space="preserve">specific proposed changes to the rule language. </w:t>
      </w:r>
      <w:r w:rsidRPr="00D94FBA">
        <w:rPr>
          <w:rFonts w:ascii="Arial" w:hAnsi="Arial" w:cs="Arial"/>
          <w:sz w:val="22"/>
          <w:szCs w:val="22"/>
        </w:rPr>
        <w:t>The margins between the calculated risks using a comprehensive risk metric and the associated risk performance objective can be used to help determine the degree of rigor going into the analyses and the design features and programmatic controls needed to meet the safety requirements in 10 CFR Part 53, including the defense</w:t>
      </w:r>
      <w:r w:rsidRPr="00D94FBA">
        <w:rPr>
          <w:rFonts w:ascii="Arial" w:hAnsi="Arial" w:cs="Arial"/>
          <w:sz w:val="22"/>
          <w:szCs w:val="22"/>
        </w:rPr>
        <w:noBreakHyphen/>
        <w:t>in</w:t>
      </w:r>
      <w:r w:rsidRPr="00D94FBA">
        <w:rPr>
          <w:rFonts w:ascii="Arial" w:hAnsi="Arial" w:cs="Arial"/>
          <w:sz w:val="22"/>
          <w:szCs w:val="22"/>
        </w:rPr>
        <w:noBreakHyphen/>
        <w:t>depth requirements in 10 CFR 53.250. As explained in the proposed and final rules, the use of screening tools and bounding or simplified methods for any mode or hazard may be sufficient provided the use of those tools and methods is justified by an acceptable technical basis. Therefore, the NRC disagrees that changes to the rule language are needed to acknowledge the underlying premise related to the use and benefits of analytical margins.</w:t>
      </w:r>
    </w:p>
    <w:p w:rsidR="00161929" w:rsidRPr="00D94FBA" w:rsidP="00D94FBA" w14:paraId="2C9F6231" w14:textId="77777777">
      <w:pPr>
        <w:spacing w:after="220"/>
        <w:rPr>
          <w:rFonts w:ascii="Arial" w:hAnsi="Arial" w:cs="Arial"/>
          <w:b/>
          <w:sz w:val="22"/>
          <w:szCs w:val="22"/>
        </w:rPr>
      </w:pPr>
      <w:r w:rsidRPr="00D94FBA">
        <w:rPr>
          <w:rFonts w:ascii="Arial" w:hAnsi="Arial" w:cs="Arial"/>
          <w:sz w:val="22"/>
          <w:szCs w:val="22"/>
        </w:rPr>
        <w:t xml:space="preserve">Accordingly, the NRC did not </w:t>
      </w:r>
      <w:r w:rsidR="00833A78">
        <w:rPr>
          <w:rFonts w:ascii="Arial" w:hAnsi="Arial" w:cs="Arial"/>
          <w:sz w:val="22"/>
          <w:szCs w:val="22"/>
        </w:rPr>
        <w:t>change</w:t>
      </w:r>
      <w:r w:rsidRPr="00D94FBA">
        <w:rPr>
          <w:rFonts w:ascii="Arial" w:hAnsi="Arial" w:cs="Arial"/>
          <w:sz w:val="22"/>
          <w:szCs w:val="22"/>
        </w:rPr>
        <w:t xml:space="preserve"> the rule language in response to these comments.</w:t>
      </w:r>
    </w:p>
    <w:p w:rsidR="000E5B49" w:rsidRPr="00D94FBA" w:rsidP="00D94FBA" w14:paraId="7986C618" w14:textId="77777777">
      <w:pPr>
        <w:spacing w:after="220"/>
        <w:rPr>
          <w:rFonts w:ascii="Arial" w:hAnsi="Arial" w:cs="Arial"/>
          <w:sz w:val="22"/>
          <w:szCs w:val="22"/>
        </w:rPr>
      </w:pPr>
      <w:r>
        <w:rPr>
          <w:rFonts w:ascii="Arial" w:hAnsi="Arial" w:cs="Arial"/>
          <w:sz w:val="22"/>
          <w:szCs w:val="22"/>
        </w:rPr>
        <w:pict>
          <v:rect id="_x0000_i1084" style="width:0;height:1.5pt" o:hralign="center" o:hrstd="t" o:hrnoshade="t" o:hr="t" fillcolor="black" stroked="f"/>
        </w:pict>
      </w:r>
    </w:p>
    <w:p w:rsidR="00161929" w:rsidRPr="00D94FBA" w:rsidP="00D94FBA" w14:paraId="426A6DD2" w14:textId="77777777">
      <w:pPr>
        <w:spacing w:after="220"/>
        <w:rPr>
          <w:rFonts w:ascii="Arial" w:hAnsi="Arial" w:cs="Arial"/>
          <w:sz w:val="22"/>
          <w:szCs w:val="22"/>
        </w:rPr>
      </w:pPr>
      <w:r w:rsidRPr="00D94FBA">
        <w:rPr>
          <w:rFonts w:ascii="Arial" w:hAnsi="Arial" w:cs="Arial"/>
          <w:b/>
          <w:sz w:val="22"/>
          <w:szCs w:val="22"/>
        </w:rPr>
        <w:t>Comment Bin 3.2.1.2.</w:t>
      </w:r>
      <w:r w:rsidRPr="00D94FBA" w:rsidR="003712A2">
        <w:rPr>
          <w:rFonts w:ascii="Arial" w:hAnsi="Arial" w:cs="Arial"/>
          <w:b/>
          <w:sz w:val="22"/>
          <w:szCs w:val="22"/>
        </w:rPr>
        <w:t>I</w:t>
      </w:r>
      <w:r w:rsidRPr="00D94FBA">
        <w:rPr>
          <w:rFonts w:ascii="Arial" w:hAnsi="Arial" w:cs="Arial"/>
          <w:b/>
          <w:sz w:val="22"/>
          <w:szCs w:val="22"/>
        </w:rPr>
        <w:t xml:space="preserve">: </w:t>
      </w:r>
      <w:r w:rsidRPr="00D94FBA">
        <w:rPr>
          <w:rFonts w:ascii="Arial" w:hAnsi="Arial" w:cs="Arial"/>
          <w:sz w:val="22"/>
          <w:szCs w:val="22"/>
        </w:rPr>
        <w:t>Two commenters provided an overview of the NRC’s history of risk management policy development (</w:t>
      </w:r>
      <w:r w:rsidR="00A923D7">
        <w:rPr>
          <w:rFonts w:ascii="Arial" w:hAnsi="Arial" w:cs="Arial"/>
          <w:sz w:val="22"/>
          <w:szCs w:val="22"/>
        </w:rPr>
        <w:t>LMNT</w:t>
      </w:r>
      <w:r w:rsidRPr="00D94FBA">
        <w:rPr>
          <w:rFonts w:ascii="Arial" w:hAnsi="Arial" w:cs="Arial"/>
          <w:sz w:val="22"/>
          <w:szCs w:val="22"/>
        </w:rPr>
        <w:t xml:space="preserve">-0002, </w:t>
      </w:r>
      <w:r w:rsidR="004C1A5D">
        <w:rPr>
          <w:rFonts w:ascii="Arial" w:hAnsi="Arial" w:cs="Arial"/>
          <w:sz w:val="22"/>
          <w:szCs w:val="22"/>
        </w:rPr>
        <w:t>BI1</w:t>
      </w:r>
      <w:r w:rsidRPr="00D94FBA">
        <w:rPr>
          <w:rFonts w:ascii="Arial" w:hAnsi="Arial" w:cs="Arial"/>
          <w:sz w:val="22"/>
          <w:szCs w:val="22"/>
        </w:rPr>
        <w:t>-0014). Regarding the proposed rule and the NRC’s request for comment, one commenter wrote that QHOs are suitable for assessment of comprehensive risk but added that the NRC should allow applicants to propose their own standards. The commenter added that the NRC has previously stated that the methodology for comprehensive plant risk assessment endorsed in RG 1.233 is acceptable for a 10 CFR Part 53 application as well. The commenter wrote that, regarding formal NRC approval for hypothetical alternatives, the need has not yet been demonstrated; however, if needed, it could be handled through plant-specific application or, on a generic basis, through a topical report.</w:t>
      </w:r>
    </w:p>
    <w:p w:rsidR="00161929" w:rsidRPr="00D94FBA" w:rsidP="00D94FBA" w14:paraId="0803E8BC" w14:textId="77777777">
      <w:pPr>
        <w:spacing w:after="220"/>
        <w:rPr>
          <w:rFonts w:ascii="Arial" w:hAnsi="Arial" w:cs="Arial"/>
          <w:sz w:val="22"/>
          <w:szCs w:val="22"/>
        </w:rPr>
      </w:pPr>
      <w:r w:rsidRPr="00D94FBA">
        <w:rPr>
          <w:rFonts w:ascii="Arial" w:hAnsi="Arial" w:cs="Arial"/>
          <w:sz w:val="22"/>
          <w:szCs w:val="22"/>
        </w:rPr>
        <w:t>Additionally, the commenter wrote that the proposed rule defines a new term “risk performance metric” but the coupling of “risk” and “performance” is problematic as this phrase is not used in the NRC Safety Goals Policy Statement. The commenter wrote that performance implies something that is measurable, but quantitative risk is a calculated number, not a measurement. The commenter suggested using a phrase such as “risk objective” instead (</w:t>
      </w:r>
      <w:r w:rsidR="00A923D7">
        <w:rPr>
          <w:rFonts w:ascii="Arial" w:hAnsi="Arial" w:cs="Arial"/>
          <w:sz w:val="22"/>
          <w:szCs w:val="22"/>
        </w:rPr>
        <w:t>LMNT</w:t>
      </w:r>
      <w:r w:rsidRPr="00D94FBA">
        <w:rPr>
          <w:rFonts w:ascii="Arial" w:hAnsi="Arial" w:cs="Arial"/>
          <w:sz w:val="22"/>
          <w:szCs w:val="22"/>
        </w:rPr>
        <w:t xml:space="preserve">-0002). </w:t>
      </w:r>
    </w:p>
    <w:p w:rsidR="00161929" w:rsidRPr="00D94FBA" w:rsidP="00D94FBA" w14:paraId="190426CD" w14:textId="77777777">
      <w:pPr>
        <w:spacing w:after="220"/>
        <w:rPr>
          <w:rFonts w:ascii="Arial" w:hAnsi="Arial" w:cs="Arial"/>
          <w:sz w:val="22"/>
          <w:szCs w:val="22"/>
        </w:rPr>
      </w:pPr>
      <w:r w:rsidRPr="00D94FBA">
        <w:rPr>
          <w:rFonts w:ascii="Arial" w:hAnsi="Arial" w:cs="Arial"/>
          <w:sz w:val="22"/>
          <w:szCs w:val="22"/>
        </w:rPr>
        <w:t>The other commenter wrote that it is unrealistic to require applicants to propose new, comprehensive risk metrics within a single licensing application. The commenter wrote that historical evidence shows that developing risk metrics involve extensive research, multiple layers of approval, and significant stakeholder engagement over many years. This underscores that a streamlined or adaptive approach is needed for advanced nuclear applicants to meet safety requirements efficiently. The commenter wrote that provisions in the proposed rule requiring applicants to conduct a PRA and define their own comprehensive risk metrics introduce significant regulatory uncertainty, and it is “counterintuitive and incongruent” for the proposed rule to state that a comprehensive metric of overall risk, that considers the effects of all regulatory requirements in the licensing framework and constitutes an appropriate level of safety, represents something other than adequate protection.</w:t>
      </w:r>
    </w:p>
    <w:p w:rsidR="00161929" w:rsidRPr="00D94FBA" w:rsidP="00D94FBA" w14:paraId="4F514A48" w14:textId="77777777">
      <w:pPr>
        <w:spacing w:after="220"/>
        <w:rPr>
          <w:rFonts w:ascii="Arial" w:hAnsi="Arial" w:cs="Arial"/>
          <w:sz w:val="22"/>
          <w:szCs w:val="22"/>
        </w:rPr>
      </w:pPr>
      <w:r w:rsidRPr="00D94FBA">
        <w:rPr>
          <w:rFonts w:ascii="Arial" w:hAnsi="Arial" w:cs="Arial"/>
          <w:sz w:val="22"/>
          <w:szCs w:val="22"/>
        </w:rPr>
        <w:t>The commenter added that without clear guidance on what constitutes an acceptable risk metric, applicants face an unpredictable and burdensome process. The commenter added that while comprehensive metrics are required, they are not stand-alone indicators of safety; rather, they are intended to be one component of a broader risk-informed regulatory framework. The commenter wrote that the NRC historically has undertaken lengthy processes to define and validate risk metrics, therefore requiring applicants to propose and gain approval for new risk metrics within a single application is unrealistic. The commenter wrote that, given this, 10 CFR</w:t>
      </w:r>
      <w:r w:rsidR="00E5038A">
        <w:rPr>
          <w:rFonts w:ascii="Arial" w:hAnsi="Arial" w:cs="Arial"/>
          <w:sz w:val="22"/>
          <w:szCs w:val="22"/>
        </w:rPr>
        <w:t> </w:t>
      </w:r>
      <w:r w:rsidRPr="00D94FBA">
        <w:rPr>
          <w:rFonts w:ascii="Arial" w:hAnsi="Arial" w:cs="Arial"/>
          <w:sz w:val="22"/>
          <w:szCs w:val="22"/>
        </w:rPr>
        <w:t xml:space="preserve">Part 53 should include predefined metrics or adaptable frameworks that enable </w:t>
      </w:r>
      <w:r w:rsidRPr="00D94FBA">
        <w:rPr>
          <w:rFonts w:ascii="Arial" w:hAnsi="Arial" w:cs="Arial"/>
          <w:sz w:val="22"/>
          <w:szCs w:val="22"/>
        </w:rPr>
        <w:t>innovative reactor designs to meet safety compliance benchmarks without imposing an unrealistic burden on applicants (</w:t>
      </w:r>
      <w:r w:rsidR="004C1A5D">
        <w:rPr>
          <w:rFonts w:ascii="Arial" w:hAnsi="Arial" w:cs="Arial"/>
          <w:sz w:val="22"/>
          <w:szCs w:val="22"/>
        </w:rPr>
        <w:t>BI1</w:t>
      </w:r>
      <w:r w:rsidRPr="00D94FBA">
        <w:rPr>
          <w:rFonts w:ascii="Arial" w:hAnsi="Arial" w:cs="Arial"/>
          <w:sz w:val="22"/>
          <w:szCs w:val="22"/>
        </w:rPr>
        <w:t>-0014). </w:t>
      </w:r>
    </w:p>
    <w:p w:rsidR="00161929" w:rsidRPr="00D94FBA" w:rsidP="00D94FBA" w14:paraId="7C9B94C1"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The NRC disagrees with the comments.</w:t>
      </w:r>
    </w:p>
    <w:p w:rsidR="00161929" w:rsidRPr="00D94FBA" w:rsidP="00D94FBA" w14:paraId="77A69FD4" w14:textId="77777777">
      <w:pPr>
        <w:spacing w:after="220"/>
        <w:rPr>
          <w:rFonts w:ascii="Arial" w:hAnsi="Arial" w:cs="Arial"/>
          <w:sz w:val="22"/>
          <w:szCs w:val="22"/>
        </w:rPr>
      </w:pPr>
      <w:r w:rsidRPr="00D94FBA">
        <w:rPr>
          <w:rFonts w:ascii="Arial" w:hAnsi="Arial" w:cs="Arial"/>
          <w:sz w:val="22"/>
          <w:szCs w:val="22"/>
        </w:rPr>
        <w:t xml:space="preserve">10 CFR Part 53 provides flexibility for applicants to propose comprehensive risk metrics and associated risk performance objectives developed for specific technologies or analytical approaches. The NRC is aware that past efforts by the agency, reactor designers, and other organizations to develop such risk-informed decision-making frameworks have been resource intensive and time consuming. As explained in the proposed and final rules, existing safety goals, including the QHOs, and guidance such as </w:t>
      </w:r>
      <w:r w:rsidR="007F7F9F">
        <w:rPr>
          <w:rFonts w:ascii="Arial" w:hAnsi="Arial" w:cs="Arial"/>
          <w:sz w:val="22"/>
          <w:szCs w:val="22"/>
        </w:rPr>
        <w:t>RG</w:t>
      </w:r>
      <w:r w:rsidRPr="00D94FBA">
        <w:rPr>
          <w:rFonts w:ascii="Arial" w:hAnsi="Arial" w:cs="Arial"/>
          <w:sz w:val="22"/>
          <w:szCs w:val="22"/>
        </w:rPr>
        <w:t xml:space="preserve"> 1.233 are available as a way to meet the requirements in 10 CFR 53.220 for comprehensive risk metrics and associated risk performance objectives. The terminology for “risk performance objective” was selected to align with historical references such as</w:t>
      </w:r>
      <w:r w:rsidR="004D0546">
        <w:rPr>
          <w:rFonts w:ascii="Arial" w:hAnsi="Arial" w:cs="Arial"/>
          <w:sz w:val="22"/>
          <w:szCs w:val="22"/>
        </w:rPr>
        <w:t xml:space="preserve"> SRM</w:t>
      </w:r>
      <w:r w:rsidR="00763860">
        <w:rPr>
          <w:rFonts w:ascii="Arial" w:hAnsi="Arial" w:cs="Arial"/>
          <w:sz w:val="22"/>
          <w:szCs w:val="22"/>
        </w:rPr>
        <w:t>-</w:t>
      </w:r>
      <w:r w:rsidR="004D0546">
        <w:rPr>
          <w:rFonts w:ascii="Arial" w:hAnsi="Arial" w:cs="Arial"/>
          <w:sz w:val="22"/>
          <w:szCs w:val="22"/>
        </w:rPr>
        <w:t>SECY-98-144</w:t>
      </w:r>
      <w:r w:rsidR="000061D0">
        <w:rPr>
          <w:rFonts w:ascii="Arial" w:hAnsi="Arial" w:cs="Arial"/>
          <w:sz w:val="22"/>
          <w:szCs w:val="22"/>
        </w:rPr>
        <w:t>,</w:t>
      </w:r>
      <w:r w:rsidRPr="00D94FBA">
        <w:rPr>
          <w:rFonts w:ascii="Arial" w:hAnsi="Arial" w:cs="Arial"/>
          <w:sz w:val="22"/>
          <w:szCs w:val="22"/>
        </w:rPr>
        <w:t xml:space="preserve"> “Staff Requirements </w:t>
      </w:r>
      <w:r w:rsidRPr="00D94FBA" w:rsidR="00222909">
        <w:rPr>
          <w:rFonts w:ascii="Arial" w:hAnsi="Arial" w:cs="Arial"/>
          <w:sz w:val="22"/>
          <w:szCs w:val="22"/>
        </w:rPr>
        <w:t>–</w:t>
      </w:r>
      <w:r w:rsidR="00222909">
        <w:rPr>
          <w:rFonts w:ascii="Arial" w:hAnsi="Arial" w:cs="Arial"/>
          <w:sz w:val="22"/>
          <w:szCs w:val="22"/>
        </w:rPr>
        <w:t xml:space="preserve"> </w:t>
      </w:r>
      <w:r w:rsidRPr="00D94FBA">
        <w:rPr>
          <w:rFonts w:ascii="Arial" w:hAnsi="Arial" w:cs="Arial"/>
          <w:sz w:val="22"/>
          <w:szCs w:val="22"/>
        </w:rPr>
        <w:t>SECY-98-144 – White Paper on Risk-Informed and Performance-Based Regulation</w:t>
      </w:r>
      <w:r w:rsidR="00DE27EE">
        <w:rPr>
          <w:rFonts w:ascii="Arial" w:hAnsi="Arial" w:cs="Arial"/>
          <w:sz w:val="22"/>
          <w:szCs w:val="22"/>
        </w:rPr>
        <w:t>,</w:t>
      </w:r>
      <w:r w:rsidRPr="00D94FBA">
        <w:rPr>
          <w:rFonts w:ascii="Arial" w:hAnsi="Arial" w:cs="Arial"/>
          <w:sz w:val="22"/>
          <w:szCs w:val="22"/>
        </w:rPr>
        <w:t>”</w:t>
      </w:r>
      <w:r w:rsidR="00DE27EE">
        <w:rPr>
          <w:rFonts w:ascii="Arial" w:hAnsi="Arial" w:cs="Arial"/>
          <w:sz w:val="22"/>
          <w:szCs w:val="22"/>
        </w:rPr>
        <w:t xml:space="preserve"> </w:t>
      </w:r>
      <w:r w:rsidR="00081E6C">
        <w:rPr>
          <w:rFonts w:ascii="Arial" w:hAnsi="Arial" w:cs="Arial"/>
          <w:sz w:val="22"/>
          <w:szCs w:val="22"/>
        </w:rPr>
        <w:t>issu</w:t>
      </w:r>
      <w:r w:rsidRPr="00DE27EE" w:rsidR="00DE27EE">
        <w:rPr>
          <w:rFonts w:ascii="Arial" w:hAnsi="Arial" w:cs="Arial"/>
          <w:sz w:val="22"/>
          <w:szCs w:val="22"/>
        </w:rPr>
        <w:t>ed February 1999</w:t>
      </w:r>
      <w:r w:rsidR="008A5231">
        <w:rPr>
          <w:rFonts w:ascii="Arial" w:hAnsi="Arial" w:cs="Arial"/>
          <w:sz w:val="22"/>
          <w:szCs w:val="22"/>
        </w:rPr>
        <w:t xml:space="preserve"> (</w:t>
      </w:r>
      <w:r w:rsidRPr="008A5231" w:rsidR="008A5231">
        <w:rPr>
          <w:rFonts w:ascii="Arial" w:hAnsi="Arial" w:cs="Arial"/>
          <w:sz w:val="22"/>
          <w:szCs w:val="22"/>
        </w:rPr>
        <w:t>ML003753593</w:t>
      </w:r>
      <w:r w:rsidR="008A5231">
        <w:rPr>
          <w:rFonts w:ascii="Arial" w:hAnsi="Arial" w:cs="Arial"/>
          <w:sz w:val="22"/>
          <w:szCs w:val="22"/>
        </w:rPr>
        <w:t>)</w:t>
      </w:r>
      <w:r w:rsidR="00DE27EE">
        <w:rPr>
          <w:rFonts w:ascii="Arial" w:hAnsi="Arial" w:cs="Arial"/>
          <w:sz w:val="22"/>
          <w:szCs w:val="22"/>
        </w:rPr>
        <w:t>,</w:t>
      </w:r>
      <w:r w:rsidRPr="00D94FBA">
        <w:rPr>
          <w:rFonts w:ascii="Arial" w:hAnsi="Arial" w:cs="Arial"/>
          <w:sz w:val="22"/>
          <w:szCs w:val="22"/>
        </w:rPr>
        <w:t xml:space="preserve"> that explain that parameters or metrics may involve either measurable or calculable outcomes to be compared to objective criteria to assess performance. Lastly, the NRC plans to issue </w:t>
      </w:r>
      <w:r w:rsidR="00E5038A">
        <w:rPr>
          <w:rFonts w:ascii="Arial" w:hAnsi="Arial" w:cs="Arial"/>
          <w:sz w:val="22"/>
          <w:szCs w:val="22"/>
        </w:rPr>
        <w:t>RG</w:t>
      </w:r>
      <w:r w:rsidRPr="00D94FBA">
        <w:rPr>
          <w:rFonts w:ascii="Arial" w:hAnsi="Arial" w:cs="Arial"/>
          <w:sz w:val="22"/>
          <w:szCs w:val="22"/>
        </w:rPr>
        <w:t xml:space="preserve"> 1.263, “Comprehensive Risk Metrics and Associated Risk Performance Objectives for Commercial Nuclear Plants,” to provide additional guidance on the developing and submitting proposals related to comprehensive risk metrics and associated risk performance objectives to the NRC for review and approval.</w:t>
      </w:r>
    </w:p>
    <w:p w:rsidR="00161929" w:rsidRPr="00D94FBA" w:rsidP="00D94FBA" w14:paraId="4E4E81A0" w14:textId="77777777">
      <w:pPr>
        <w:spacing w:after="220"/>
        <w:rPr>
          <w:rFonts w:ascii="Arial" w:hAnsi="Arial" w:cs="Arial"/>
          <w:b/>
          <w:sz w:val="22"/>
          <w:szCs w:val="22"/>
        </w:rPr>
      </w:pPr>
      <w:r w:rsidRPr="00D94FBA">
        <w:rPr>
          <w:rFonts w:ascii="Arial" w:hAnsi="Arial" w:cs="Arial"/>
          <w:sz w:val="22"/>
          <w:szCs w:val="22"/>
        </w:rPr>
        <w:t xml:space="preserve">Accordingly, the NRC did not </w:t>
      </w:r>
      <w:r w:rsidR="002632E0">
        <w:rPr>
          <w:rFonts w:ascii="Arial" w:hAnsi="Arial" w:cs="Arial"/>
          <w:sz w:val="22"/>
          <w:szCs w:val="22"/>
        </w:rPr>
        <w:t>change</w:t>
      </w:r>
      <w:r w:rsidRPr="00D94FBA">
        <w:rPr>
          <w:rFonts w:ascii="Arial" w:hAnsi="Arial" w:cs="Arial"/>
          <w:sz w:val="22"/>
          <w:szCs w:val="22"/>
        </w:rPr>
        <w:t xml:space="preserve"> the rule language in response to these comments.</w:t>
      </w:r>
    </w:p>
    <w:p w:rsidR="000E5B49" w:rsidRPr="00D94FBA" w:rsidP="00D94FBA" w14:paraId="34CFA979" w14:textId="77777777">
      <w:pPr>
        <w:spacing w:after="220"/>
        <w:rPr>
          <w:rFonts w:ascii="Arial" w:hAnsi="Arial" w:cs="Arial"/>
          <w:sz w:val="22"/>
          <w:szCs w:val="22"/>
        </w:rPr>
      </w:pPr>
      <w:r>
        <w:rPr>
          <w:rFonts w:ascii="Arial" w:hAnsi="Arial" w:cs="Arial"/>
          <w:sz w:val="22"/>
          <w:szCs w:val="22"/>
        </w:rPr>
        <w:pict>
          <v:rect id="_x0000_i1085" style="width:0;height:1.5pt" o:hralign="center" o:hrstd="t" o:hrnoshade="t" o:hr="t" fillcolor="black" stroked="f"/>
        </w:pict>
      </w:r>
    </w:p>
    <w:p w:rsidR="00161929" w:rsidRPr="00D94FBA" w:rsidP="00D94FBA" w14:paraId="1DA55256" w14:textId="77777777">
      <w:pPr>
        <w:spacing w:after="220"/>
        <w:rPr>
          <w:rFonts w:ascii="Arial" w:hAnsi="Arial" w:cs="Arial"/>
          <w:sz w:val="22"/>
          <w:szCs w:val="22"/>
        </w:rPr>
      </w:pPr>
      <w:r w:rsidRPr="00D94FBA">
        <w:rPr>
          <w:rFonts w:ascii="Arial" w:hAnsi="Arial" w:cs="Arial"/>
          <w:b/>
          <w:sz w:val="22"/>
          <w:szCs w:val="22"/>
        </w:rPr>
        <w:t>Comment Bin 3.2.1.2.</w:t>
      </w:r>
      <w:r w:rsidRPr="00D94FBA" w:rsidR="003712A2">
        <w:rPr>
          <w:rFonts w:ascii="Arial" w:hAnsi="Arial" w:cs="Arial"/>
          <w:b/>
          <w:sz w:val="22"/>
          <w:szCs w:val="22"/>
        </w:rPr>
        <w:t>J</w:t>
      </w:r>
      <w:r w:rsidRPr="00D94FBA">
        <w:rPr>
          <w:rFonts w:ascii="Arial" w:hAnsi="Arial" w:cs="Arial"/>
          <w:b/>
          <w:sz w:val="22"/>
          <w:szCs w:val="22"/>
        </w:rPr>
        <w:t xml:space="preserve">: </w:t>
      </w:r>
      <w:r w:rsidRPr="00D94FBA">
        <w:rPr>
          <w:rFonts w:ascii="Arial" w:hAnsi="Arial" w:cs="Arial"/>
          <w:sz w:val="22"/>
          <w:szCs w:val="22"/>
        </w:rPr>
        <w:t xml:space="preserve">Two commenters wrote that the comprehensive risk metric should not be codified in the rule language but </w:t>
      </w:r>
      <w:r w:rsidRPr="00D94FBA" w:rsidR="00CD4CA6">
        <w:rPr>
          <w:rFonts w:ascii="Arial" w:hAnsi="Arial" w:cs="Arial"/>
          <w:sz w:val="22"/>
          <w:szCs w:val="22"/>
        </w:rPr>
        <w:t>should</w:t>
      </w:r>
      <w:r w:rsidRPr="00D94FBA">
        <w:rPr>
          <w:rFonts w:ascii="Arial" w:hAnsi="Arial" w:cs="Arial"/>
          <w:sz w:val="22"/>
          <w:szCs w:val="22"/>
        </w:rPr>
        <w:t xml:space="preserve"> instead </w:t>
      </w:r>
      <w:r w:rsidRPr="00D94FBA" w:rsidR="003D40E8">
        <w:rPr>
          <w:rFonts w:ascii="Arial" w:hAnsi="Arial" w:cs="Arial"/>
          <w:sz w:val="22"/>
          <w:szCs w:val="22"/>
        </w:rPr>
        <w:t xml:space="preserve">be </w:t>
      </w:r>
      <w:r w:rsidRPr="00D94FBA">
        <w:rPr>
          <w:rFonts w:ascii="Arial" w:hAnsi="Arial" w:cs="Arial"/>
          <w:sz w:val="22"/>
          <w:szCs w:val="22"/>
        </w:rPr>
        <w:t>endorsed in guidance which would allow flexibility essential for the differences between new reactor designs (</w:t>
      </w:r>
      <w:r w:rsidR="009D6BB9">
        <w:rPr>
          <w:rFonts w:ascii="Arial" w:hAnsi="Arial" w:cs="Arial"/>
          <w:sz w:val="22"/>
          <w:szCs w:val="22"/>
        </w:rPr>
        <w:t>NEI2</w:t>
      </w:r>
      <w:r w:rsidRPr="00D94FBA">
        <w:rPr>
          <w:rFonts w:ascii="Arial" w:hAnsi="Arial" w:cs="Arial"/>
          <w:sz w:val="22"/>
          <w:szCs w:val="22"/>
        </w:rPr>
        <w:t xml:space="preserve">-0179, </w:t>
      </w:r>
      <w:r w:rsidR="00AE0B17">
        <w:rPr>
          <w:rFonts w:ascii="Arial" w:hAnsi="Arial" w:cs="Arial"/>
          <w:sz w:val="22"/>
          <w:szCs w:val="22"/>
        </w:rPr>
        <w:t>USNIC2</w:t>
      </w:r>
      <w:r w:rsidRPr="00D94FBA">
        <w:rPr>
          <w:rFonts w:ascii="Arial" w:hAnsi="Arial" w:cs="Arial"/>
          <w:sz w:val="22"/>
          <w:szCs w:val="22"/>
        </w:rPr>
        <w:t>-0028). One commenter added that some traditional LWR applicants may choose to keep CDF and LERF risk surrogates, others may choose to use the risk metrics from LMP and endorsed in RG</w:t>
      </w:r>
      <w:r w:rsidR="000B658D">
        <w:rPr>
          <w:rFonts w:ascii="Arial" w:hAnsi="Arial" w:cs="Arial"/>
          <w:sz w:val="22"/>
          <w:szCs w:val="22"/>
        </w:rPr>
        <w:t> </w:t>
      </w:r>
      <w:r w:rsidRPr="00D94FBA">
        <w:rPr>
          <w:rFonts w:ascii="Arial" w:hAnsi="Arial" w:cs="Arial"/>
          <w:sz w:val="22"/>
          <w:szCs w:val="22"/>
        </w:rPr>
        <w:t>1.233, others may choose a technology-inclusive risk surrogate, and microreactors may choose consequence</w:t>
      </w:r>
      <w:r w:rsidRPr="00D94FBA">
        <w:rPr>
          <w:rFonts w:ascii="Arial" w:hAnsi="Arial" w:cs="Arial"/>
          <w:sz w:val="22"/>
          <w:szCs w:val="22"/>
        </w:rPr>
        <w:noBreakHyphen/>
        <w:t>based limits for a bounding event or set of events as suggested in DG</w:t>
      </w:r>
      <w:r w:rsidRPr="00D94FBA" w:rsidR="003D40E8">
        <w:rPr>
          <w:rFonts w:ascii="Arial" w:hAnsi="Arial" w:cs="Arial"/>
          <w:sz w:val="22"/>
          <w:szCs w:val="22"/>
        </w:rPr>
        <w:noBreakHyphen/>
      </w:r>
      <w:r w:rsidRPr="00D94FBA">
        <w:rPr>
          <w:rFonts w:ascii="Arial" w:hAnsi="Arial" w:cs="Arial"/>
          <w:sz w:val="22"/>
          <w:szCs w:val="22"/>
        </w:rPr>
        <w:t>1414</w:t>
      </w:r>
      <w:r w:rsidR="00547DA6">
        <w:rPr>
          <w:rFonts w:ascii="Arial" w:hAnsi="Arial" w:cs="Arial"/>
          <w:sz w:val="22"/>
          <w:szCs w:val="22"/>
        </w:rPr>
        <w:t>, “Alternative Evaluation for Risk Insights (AERI) Framework” (</w:t>
      </w:r>
      <w:r w:rsidR="00B13FC3">
        <w:rPr>
          <w:rFonts w:ascii="Arial" w:hAnsi="Arial" w:cs="Arial"/>
          <w:sz w:val="22"/>
          <w:szCs w:val="22"/>
        </w:rPr>
        <w:t xml:space="preserve">ML22146A041). </w:t>
      </w:r>
      <w:r w:rsidRPr="00D94FBA">
        <w:rPr>
          <w:rFonts w:ascii="Arial" w:hAnsi="Arial" w:cs="Arial"/>
          <w:sz w:val="22"/>
          <w:szCs w:val="22"/>
        </w:rPr>
        <w:t xml:space="preserve">The commenter continued that as industry develops technology-inclusive risk metrics, they will consider whether, and under which conditions, a second metric is needed. The commenter added that several microreactors expect to have no credible accidents that could result in an offsite dose greater than 100 rem, which was used as the lower threshold dose for early fatality in </w:t>
      </w:r>
      <w:r w:rsidR="00E63B8C">
        <w:rPr>
          <w:rFonts w:ascii="Arial" w:hAnsi="Arial" w:cs="Arial"/>
          <w:sz w:val="22"/>
          <w:szCs w:val="22"/>
        </w:rPr>
        <w:t>NRC</w:t>
      </w:r>
      <w:r w:rsidR="00244048">
        <w:rPr>
          <w:rFonts w:ascii="Arial" w:hAnsi="Arial" w:cs="Arial"/>
          <w:sz w:val="22"/>
          <w:szCs w:val="22"/>
        </w:rPr>
        <w:t xml:space="preserve"> technical report (</w:t>
      </w:r>
      <w:r w:rsidRPr="00D94FBA">
        <w:rPr>
          <w:rFonts w:ascii="Arial" w:hAnsi="Arial" w:cs="Arial"/>
          <w:sz w:val="22"/>
          <w:szCs w:val="22"/>
        </w:rPr>
        <w:t>NUREG</w:t>
      </w:r>
      <w:r w:rsidR="00244048">
        <w:rPr>
          <w:rFonts w:ascii="Arial" w:hAnsi="Arial" w:cs="Arial"/>
          <w:sz w:val="22"/>
          <w:szCs w:val="22"/>
        </w:rPr>
        <w:t>)</w:t>
      </w:r>
      <w:r w:rsidRPr="00D94FBA">
        <w:rPr>
          <w:rFonts w:ascii="Arial" w:hAnsi="Arial" w:cs="Arial"/>
          <w:sz w:val="22"/>
          <w:szCs w:val="22"/>
        </w:rPr>
        <w:t>-1860</w:t>
      </w:r>
      <w:r w:rsidR="00090DEF">
        <w:rPr>
          <w:rFonts w:ascii="Arial" w:hAnsi="Arial" w:cs="Arial"/>
          <w:sz w:val="22"/>
          <w:szCs w:val="22"/>
        </w:rPr>
        <w:t>,</w:t>
      </w:r>
      <w:r w:rsidRPr="00090DEF" w:rsidR="00090DEF">
        <w:t xml:space="preserve"> </w:t>
      </w:r>
      <w:r w:rsidR="00090DEF">
        <w:t>“</w:t>
      </w:r>
      <w:r w:rsidRPr="00090DEF" w:rsidR="00090DEF">
        <w:rPr>
          <w:rFonts w:ascii="Arial" w:hAnsi="Arial" w:cs="Arial"/>
          <w:sz w:val="22"/>
          <w:szCs w:val="22"/>
        </w:rPr>
        <w:t>Feasibility Study for a Risk-Informed and Performance-Based Regulatory Structure for Future Plant Licensing</w:t>
      </w:r>
      <w:r w:rsidR="00090DEF">
        <w:rPr>
          <w:rFonts w:ascii="Arial" w:hAnsi="Arial" w:cs="Arial"/>
          <w:sz w:val="22"/>
          <w:szCs w:val="22"/>
        </w:rPr>
        <w:t>,” issued</w:t>
      </w:r>
      <w:r w:rsidR="00801E23">
        <w:rPr>
          <w:rFonts w:ascii="Arial" w:hAnsi="Arial" w:cs="Arial"/>
          <w:sz w:val="22"/>
          <w:szCs w:val="22"/>
        </w:rPr>
        <w:t xml:space="preserve"> December 2007 (</w:t>
      </w:r>
      <w:r w:rsidRPr="008339A7" w:rsidR="008339A7">
        <w:rPr>
          <w:rFonts w:ascii="Arial" w:hAnsi="Arial" w:cs="Arial"/>
          <w:sz w:val="22"/>
          <w:szCs w:val="22"/>
        </w:rPr>
        <w:t>ML080440170</w:t>
      </w:r>
      <w:r w:rsidR="008339A7">
        <w:rPr>
          <w:rFonts w:ascii="Arial" w:hAnsi="Arial" w:cs="Arial"/>
          <w:sz w:val="22"/>
          <w:szCs w:val="22"/>
        </w:rPr>
        <w:t>)</w:t>
      </w:r>
      <w:r w:rsidRPr="00D94FBA">
        <w:rPr>
          <w:rFonts w:ascii="Arial" w:hAnsi="Arial" w:cs="Arial"/>
          <w:sz w:val="22"/>
          <w:szCs w:val="22"/>
        </w:rPr>
        <w:t>. The commenter added that in terms of a minimal set of dose criteria that could align with the QHOs, one potential approach would be a dose crediting SR SSCs multiplied by the 1</w:t>
      </w:r>
      <w:r w:rsidR="00CC0C59">
        <w:rPr>
          <w:rFonts w:ascii="Arial" w:hAnsi="Arial" w:cs="Arial"/>
          <w:sz w:val="22"/>
          <w:szCs w:val="22"/>
        </w:rPr>
        <w:t>-</w:t>
      </w:r>
      <w:r w:rsidRPr="00D94FBA">
        <w:rPr>
          <w:rFonts w:ascii="Arial" w:hAnsi="Arial" w:cs="Arial"/>
          <w:sz w:val="22"/>
          <w:szCs w:val="22"/>
        </w:rPr>
        <w:t>year annual frequency, summed with a maximum credible accident dose multiplied 1</w:t>
      </w:r>
      <w:r w:rsidRPr="00D94FBA">
        <w:rPr>
          <w:rFonts w:ascii="Arial" w:hAnsi="Arial" w:cs="Arial"/>
          <w:sz w:val="22"/>
          <w:szCs w:val="22"/>
          <w:vertAlign w:val="superscript"/>
        </w:rPr>
        <w:t>-4</w:t>
      </w:r>
      <w:r w:rsidRPr="00D94FBA">
        <w:rPr>
          <w:rFonts w:ascii="Arial" w:hAnsi="Arial" w:cs="Arial"/>
          <w:sz w:val="22"/>
          <w:szCs w:val="22"/>
        </w:rPr>
        <w:t>. The commenter wrote that the treatment of event sequences from hazards, non-core sources, and lower modes is also an important consideration. The commenter added that the PRA standards provide screening criteria for many of these which remain valid for screening hazards, sources, and modes from consideration for a comprehensive risk metric, but the non-LWR PRA standard also provides the ability to use supplemental evaluations in lieu of PRA</w:t>
      </w:r>
      <w:r w:rsidRPr="00D94FBA" w:rsidR="00DD59B9">
        <w:rPr>
          <w:rFonts w:ascii="Arial" w:hAnsi="Arial" w:cs="Arial"/>
          <w:sz w:val="22"/>
          <w:szCs w:val="22"/>
        </w:rPr>
        <w:t xml:space="preserve">. </w:t>
      </w:r>
      <w:r w:rsidRPr="00D94FBA" w:rsidR="006326B8">
        <w:rPr>
          <w:rFonts w:ascii="Arial" w:hAnsi="Arial" w:cs="Arial"/>
          <w:sz w:val="22"/>
          <w:szCs w:val="22"/>
        </w:rPr>
        <w:t>The</w:t>
      </w:r>
      <w:r w:rsidRPr="00D94FBA" w:rsidR="00DD59B9">
        <w:rPr>
          <w:rFonts w:ascii="Arial" w:hAnsi="Arial" w:cs="Arial"/>
          <w:sz w:val="22"/>
          <w:szCs w:val="22"/>
        </w:rPr>
        <w:t xml:space="preserve"> commenter also observed that, while not a fatal flaw, the proposed </w:t>
      </w:r>
      <w:r w:rsidRPr="00D94FBA" w:rsidR="006326B8">
        <w:rPr>
          <w:rFonts w:ascii="Arial" w:hAnsi="Arial" w:cs="Arial"/>
          <w:sz w:val="22"/>
          <w:szCs w:val="22"/>
        </w:rPr>
        <w:t>10 CFR </w:t>
      </w:r>
      <w:r w:rsidRPr="00D94FBA" w:rsidR="00DD59B9">
        <w:rPr>
          <w:rFonts w:ascii="Arial" w:hAnsi="Arial" w:cs="Arial"/>
          <w:sz w:val="22"/>
          <w:szCs w:val="22"/>
        </w:rPr>
        <w:t>Part 53 imposed significant and unnecessary burdens</w:t>
      </w:r>
      <w:r w:rsidRPr="00D94FBA">
        <w:rPr>
          <w:rFonts w:ascii="Arial" w:hAnsi="Arial" w:cs="Arial"/>
          <w:sz w:val="22"/>
          <w:szCs w:val="22"/>
        </w:rPr>
        <w:t xml:space="preserve"> (</w:t>
      </w:r>
      <w:r w:rsidR="009D6BB9">
        <w:rPr>
          <w:rFonts w:ascii="Arial" w:hAnsi="Arial" w:cs="Arial"/>
          <w:sz w:val="22"/>
          <w:szCs w:val="22"/>
        </w:rPr>
        <w:t>NEI2</w:t>
      </w:r>
      <w:r w:rsidRPr="00D94FBA">
        <w:rPr>
          <w:rFonts w:ascii="Arial" w:hAnsi="Arial" w:cs="Arial"/>
          <w:sz w:val="22"/>
          <w:szCs w:val="22"/>
        </w:rPr>
        <w:t xml:space="preserve">-0179, </w:t>
      </w:r>
      <w:r w:rsidR="009D6BB9">
        <w:rPr>
          <w:rFonts w:ascii="Arial" w:hAnsi="Arial" w:cs="Arial"/>
          <w:sz w:val="22"/>
          <w:szCs w:val="22"/>
        </w:rPr>
        <w:t>NEI2</w:t>
      </w:r>
      <w:r w:rsidRPr="00D94FBA">
        <w:rPr>
          <w:rFonts w:ascii="Arial" w:hAnsi="Arial" w:cs="Arial"/>
          <w:sz w:val="22"/>
          <w:szCs w:val="22"/>
        </w:rPr>
        <w:t>-0006).</w:t>
      </w:r>
    </w:p>
    <w:p w:rsidR="002A1B4A" w:rsidRPr="00D94FBA" w:rsidP="00D94FBA" w14:paraId="6A547CBD" w14:textId="77777777">
      <w:pPr>
        <w:spacing w:after="220"/>
        <w:rPr>
          <w:rFonts w:ascii="Arial" w:hAnsi="Arial" w:cs="Arial"/>
          <w:sz w:val="22"/>
          <w:szCs w:val="22"/>
        </w:rPr>
      </w:pPr>
      <w:r w:rsidRPr="00D94FBA">
        <w:rPr>
          <w:rFonts w:ascii="Arial" w:hAnsi="Arial" w:cs="Arial"/>
          <w:b/>
          <w:sz w:val="22"/>
          <w:szCs w:val="22"/>
        </w:rPr>
        <w:t>NRC Response:</w:t>
      </w:r>
      <w:r w:rsidRPr="00D94FBA">
        <w:rPr>
          <w:rFonts w:ascii="Arial" w:hAnsi="Arial" w:cs="Arial"/>
          <w:sz w:val="22"/>
          <w:szCs w:val="22"/>
        </w:rPr>
        <w:t xml:space="preserve"> The NRC agrees, in part, with the comments. </w:t>
      </w:r>
    </w:p>
    <w:p w:rsidR="000E067E" w:rsidP="00D94FBA" w14:paraId="46425426" w14:textId="77777777">
      <w:pPr>
        <w:spacing w:after="220"/>
        <w:rPr>
          <w:rFonts w:ascii="Arial" w:hAnsi="Arial" w:cs="Arial"/>
          <w:sz w:val="22"/>
          <w:szCs w:val="22"/>
        </w:rPr>
      </w:pPr>
      <w:r w:rsidRPr="00D94FBA">
        <w:rPr>
          <w:rFonts w:ascii="Arial" w:hAnsi="Arial" w:cs="Arial"/>
          <w:sz w:val="22"/>
          <w:szCs w:val="22"/>
        </w:rPr>
        <w:t>To the degree that the comments describe multiple possible ways to use risk insights, comprehensive risk metrics, and associated risk performance objectives, the NRC agrees that the rule should not preclude any of these approaches</w:t>
      </w:r>
      <w:r w:rsidRPr="00D94FBA" w:rsidR="00CC1B10">
        <w:rPr>
          <w:rFonts w:ascii="Arial" w:hAnsi="Arial" w:cs="Arial"/>
          <w:sz w:val="22"/>
          <w:szCs w:val="22"/>
        </w:rPr>
        <w:t xml:space="preserve"> to the extent </w:t>
      </w:r>
      <w:r w:rsidRPr="00D94FBA" w:rsidR="00830CE9">
        <w:rPr>
          <w:rFonts w:ascii="Arial" w:hAnsi="Arial" w:cs="Arial"/>
          <w:sz w:val="22"/>
          <w:szCs w:val="22"/>
        </w:rPr>
        <w:t xml:space="preserve">a given approach </w:t>
      </w:r>
      <w:r w:rsidRPr="00D94FBA" w:rsidR="00CC1B10">
        <w:rPr>
          <w:rFonts w:ascii="Arial" w:hAnsi="Arial" w:cs="Arial"/>
          <w:sz w:val="22"/>
          <w:szCs w:val="22"/>
        </w:rPr>
        <w:t>involve</w:t>
      </w:r>
      <w:r w:rsidRPr="00D94FBA" w:rsidR="00830CE9">
        <w:rPr>
          <w:rFonts w:ascii="Arial" w:hAnsi="Arial" w:cs="Arial"/>
          <w:sz w:val="22"/>
          <w:szCs w:val="22"/>
        </w:rPr>
        <w:t>s</w:t>
      </w:r>
      <w:r w:rsidRPr="00D94FBA" w:rsidR="00CC1B10">
        <w:rPr>
          <w:rFonts w:ascii="Arial" w:hAnsi="Arial" w:cs="Arial"/>
          <w:sz w:val="22"/>
          <w:szCs w:val="22"/>
        </w:rPr>
        <w:t xml:space="preserve"> the use of probabilistic</w:t>
      </w:r>
      <w:r w:rsidRPr="00D94FBA" w:rsidR="00FA3D3F">
        <w:rPr>
          <w:rFonts w:ascii="Arial" w:hAnsi="Arial" w:cs="Arial"/>
          <w:sz w:val="22"/>
          <w:szCs w:val="22"/>
        </w:rPr>
        <w:t xml:space="preserve"> risk assessment, other systematic risk evaluations, or combination thereof together with other generally accepted approaches for systematically evaluating engineered systems</w:t>
      </w:r>
      <w:r w:rsidRPr="00D94FBA" w:rsidR="00BC404D">
        <w:rPr>
          <w:rFonts w:ascii="Arial" w:hAnsi="Arial" w:cs="Arial"/>
          <w:sz w:val="22"/>
          <w:szCs w:val="22"/>
        </w:rPr>
        <w:t xml:space="preserve"> (see the response to </w:t>
      </w:r>
      <w:r w:rsidRPr="00D94FBA" w:rsidR="008030FD">
        <w:rPr>
          <w:rFonts w:ascii="Arial" w:hAnsi="Arial" w:cs="Arial"/>
          <w:sz w:val="22"/>
          <w:szCs w:val="22"/>
        </w:rPr>
        <w:t>Comment Bin 3.2.2.F</w:t>
      </w:r>
      <w:r w:rsidRPr="00D94FBA" w:rsidR="00BC404D">
        <w:rPr>
          <w:rFonts w:ascii="Arial" w:hAnsi="Arial" w:cs="Arial"/>
          <w:sz w:val="22"/>
          <w:szCs w:val="22"/>
        </w:rPr>
        <w:t>).</w:t>
      </w:r>
      <w:r w:rsidRPr="00D94FBA" w:rsidR="00FF4F1B">
        <w:rPr>
          <w:rFonts w:ascii="Arial" w:hAnsi="Arial" w:cs="Arial"/>
          <w:sz w:val="22"/>
          <w:szCs w:val="22"/>
        </w:rPr>
        <w:t xml:space="preserve"> </w:t>
      </w:r>
    </w:p>
    <w:p w:rsidR="002A1B4A" w:rsidRPr="00D94FBA" w:rsidP="00D94FBA" w14:paraId="79A30873" w14:textId="77777777">
      <w:pPr>
        <w:spacing w:after="220"/>
        <w:rPr>
          <w:rFonts w:ascii="Arial" w:hAnsi="Arial" w:cs="Arial"/>
          <w:sz w:val="22"/>
          <w:szCs w:val="22"/>
        </w:rPr>
      </w:pPr>
      <w:r w:rsidRPr="00D94FBA">
        <w:rPr>
          <w:rFonts w:ascii="Arial" w:hAnsi="Arial" w:cs="Arial"/>
          <w:sz w:val="22"/>
          <w:szCs w:val="22"/>
        </w:rPr>
        <w:t>To the extent that the comments suggest that the rule is unable to accommodate a spectrum of approach</w:t>
      </w:r>
      <w:r w:rsidRPr="00D94FBA" w:rsidR="00FA585F">
        <w:rPr>
          <w:rFonts w:ascii="Arial" w:hAnsi="Arial" w:cs="Arial"/>
          <w:sz w:val="22"/>
          <w:szCs w:val="22"/>
        </w:rPr>
        <w:t>es</w:t>
      </w:r>
      <w:r w:rsidRPr="00D94FBA">
        <w:rPr>
          <w:rFonts w:ascii="Arial" w:hAnsi="Arial" w:cs="Arial"/>
          <w:sz w:val="22"/>
          <w:szCs w:val="22"/>
        </w:rPr>
        <w:t xml:space="preserve"> or that the comprehensive risk measure should be contained in guidance, the NRC disagrees. 10</w:t>
      </w:r>
      <w:r w:rsidRPr="00D94FBA" w:rsidR="00796DB6">
        <w:rPr>
          <w:rFonts w:ascii="Arial" w:hAnsi="Arial" w:cs="Arial"/>
          <w:sz w:val="22"/>
          <w:szCs w:val="22"/>
        </w:rPr>
        <w:t> </w:t>
      </w:r>
      <w:r w:rsidRPr="00D94FBA">
        <w:rPr>
          <w:rFonts w:ascii="Arial" w:hAnsi="Arial" w:cs="Arial"/>
          <w:sz w:val="22"/>
          <w:szCs w:val="22"/>
        </w:rPr>
        <w:t>CFR</w:t>
      </w:r>
      <w:r w:rsidR="00690940">
        <w:rPr>
          <w:rFonts w:ascii="Arial" w:hAnsi="Arial" w:cs="Arial"/>
          <w:sz w:val="22"/>
          <w:szCs w:val="22"/>
        </w:rPr>
        <w:t> </w:t>
      </w:r>
      <w:r w:rsidRPr="00D94FBA">
        <w:rPr>
          <w:rFonts w:ascii="Arial" w:hAnsi="Arial" w:cs="Arial"/>
          <w:sz w:val="22"/>
          <w:szCs w:val="22"/>
        </w:rPr>
        <w:t>50.220 provides sufficient flexibility in 10 CFR Part 53 for applicants to propose such alternatives for NRC review and approval.</w:t>
      </w:r>
    </w:p>
    <w:p w:rsidR="002A1B4A" w:rsidRPr="00D94FBA" w:rsidP="00D94FBA" w14:paraId="7E880B06" w14:textId="77777777">
      <w:pPr>
        <w:spacing w:after="220"/>
        <w:rPr>
          <w:rFonts w:ascii="Arial" w:hAnsi="Arial" w:cs="Arial"/>
          <w:sz w:val="22"/>
          <w:szCs w:val="22"/>
        </w:rPr>
      </w:pPr>
      <w:r w:rsidRPr="00D94FBA">
        <w:rPr>
          <w:rFonts w:ascii="Arial" w:hAnsi="Arial" w:cs="Arial"/>
          <w:sz w:val="22"/>
          <w:szCs w:val="22"/>
        </w:rPr>
        <w:t>However, the Commission has emphasized in approving the proposed rule that</w:t>
      </w:r>
      <w:r w:rsidRPr="00D94FBA" w:rsidR="00A96109">
        <w:rPr>
          <w:rFonts w:ascii="Arial" w:hAnsi="Arial" w:cs="Arial"/>
          <w:sz w:val="22"/>
          <w:szCs w:val="22"/>
        </w:rPr>
        <w:t>, while</w:t>
      </w:r>
      <w:r w:rsidRPr="00D94FBA">
        <w:rPr>
          <w:rFonts w:ascii="Arial" w:hAnsi="Arial" w:cs="Arial"/>
          <w:sz w:val="22"/>
          <w:szCs w:val="22"/>
        </w:rPr>
        <w:t xml:space="preserve"> this measure is an important element in establishing reasonable assurance of adequate protection</w:t>
      </w:r>
      <w:r w:rsidRPr="00D94FBA" w:rsidR="00A96109">
        <w:rPr>
          <w:rFonts w:ascii="Arial" w:hAnsi="Arial" w:cs="Arial"/>
          <w:sz w:val="22"/>
          <w:szCs w:val="22"/>
        </w:rPr>
        <w:t>, no single regulatory requirement governs</w:t>
      </w:r>
      <w:r w:rsidRPr="00D94FBA" w:rsidR="00BD7CDE">
        <w:rPr>
          <w:rFonts w:ascii="Arial" w:hAnsi="Arial" w:cs="Arial"/>
          <w:sz w:val="22"/>
          <w:szCs w:val="22"/>
        </w:rPr>
        <w:t xml:space="preserve"> whether a plant is “safe enough</w:t>
      </w:r>
      <w:r w:rsidRPr="00D94FBA">
        <w:rPr>
          <w:rFonts w:ascii="Arial" w:hAnsi="Arial" w:cs="Arial"/>
          <w:sz w:val="22"/>
          <w:szCs w:val="22"/>
        </w:rPr>
        <w:t>.</w:t>
      </w:r>
      <w:r w:rsidRPr="00D94FBA" w:rsidR="00BD7CDE">
        <w:rPr>
          <w:rFonts w:ascii="Arial" w:hAnsi="Arial" w:cs="Arial"/>
          <w:sz w:val="22"/>
          <w:szCs w:val="22"/>
        </w:rPr>
        <w:t>”</w:t>
      </w:r>
      <w:r w:rsidRPr="00D94FBA">
        <w:rPr>
          <w:rFonts w:ascii="Arial" w:hAnsi="Arial" w:cs="Arial"/>
          <w:sz w:val="22"/>
          <w:szCs w:val="22"/>
        </w:rPr>
        <w:t xml:space="preserve"> Therefore, the NRC </w:t>
      </w:r>
      <w:r w:rsidRPr="00D94FBA" w:rsidR="003250B3">
        <w:rPr>
          <w:rFonts w:ascii="Arial" w:hAnsi="Arial" w:cs="Arial"/>
          <w:sz w:val="22"/>
          <w:szCs w:val="22"/>
        </w:rPr>
        <w:t>disagrees that</w:t>
      </w:r>
      <w:r w:rsidRPr="00D94FBA">
        <w:rPr>
          <w:rFonts w:ascii="Arial" w:hAnsi="Arial" w:cs="Arial"/>
          <w:sz w:val="22"/>
          <w:szCs w:val="22"/>
        </w:rPr>
        <w:t xml:space="preserve"> moving it entirely to a guidance document would be appropriate</w:t>
      </w:r>
      <w:r w:rsidRPr="00D94FBA" w:rsidR="00BB30DF">
        <w:rPr>
          <w:rFonts w:ascii="Arial" w:hAnsi="Arial" w:cs="Arial"/>
          <w:sz w:val="22"/>
          <w:szCs w:val="22"/>
        </w:rPr>
        <w:t xml:space="preserve"> as it wo</w:t>
      </w:r>
      <w:r w:rsidRPr="00D94FBA" w:rsidR="00EF6D0D">
        <w:rPr>
          <w:rFonts w:ascii="Arial" w:hAnsi="Arial" w:cs="Arial"/>
          <w:sz w:val="22"/>
          <w:szCs w:val="22"/>
        </w:rPr>
        <w:t xml:space="preserve">uld remove a foundational element of the regulatory framework and unnecessarily </w:t>
      </w:r>
      <w:r w:rsidRPr="00D94FBA" w:rsidR="00A53D13">
        <w:rPr>
          <w:rFonts w:ascii="Arial" w:hAnsi="Arial" w:cs="Arial"/>
          <w:sz w:val="22"/>
          <w:szCs w:val="22"/>
        </w:rPr>
        <w:t xml:space="preserve">reduce </w:t>
      </w:r>
      <w:r w:rsidRPr="00D94FBA" w:rsidR="007531BC">
        <w:rPr>
          <w:rFonts w:ascii="Arial" w:hAnsi="Arial" w:cs="Arial"/>
          <w:sz w:val="22"/>
          <w:szCs w:val="22"/>
        </w:rPr>
        <w:t>regulatory certainty</w:t>
      </w:r>
      <w:r w:rsidRPr="00D94FBA">
        <w:rPr>
          <w:rFonts w:ascii="Arial" w:hAnsi="Arial" w:cs="Arial"/>
          <w:sz w:val="22"/>
          <w:szCs w:val="22"/>
        </w:rPr>
        <w:t xml:space="preserve">. The NRC is not, however, making any judgments at this time on the specific proposals in the comment. </w:t>
      </w:r>
      <w:r w:rsidRPr="00D94FBA" w:rsidR="0056087A">
        <w:rPr>
          <w:rFonts w:ascii="Arial" w:hAnsi="Arial" w:cs="Arial"/>
          <w:sz w:val="22"/>
          <w:szCs w:val="22"/>
        </w:rPr>
        <w:t xml:space="preserve">See </w:t>
      </w:r>
      <w:r w:rsidR="00533BCB">
        <w:rPr>
          <w:rFonts w:ascii="Arial" w:hAnsi="Arial" w:cs="Arial"/>
          <w:sz w:val="22"/>
          <w:szCs w:val="22"/>
        </w:rPr>
        <w:t>the NRC’s response to</w:t>
      </w:r>
      <w:r w:rsidRPr="00D94FBA" w:rsidR="0056087A">
        <w:rPr>
          <w:rFonts w:ascii="Arial" w:hAnsi="Arial" w:cs="Arial"/>
          <w:sz w:val="22"/>
          <w:szCs w:val="22"/>
        </w:rPr>
        <w:t xml:space="preserve"> Comment Bin 3.12.C </w:t>
      </w:r>
      <w:r w:rsidRPr="00D94FBA" w:rsidR="00044157">
        <w:rPr>
          <w:rFonts w:ascii="Arial" w:hAnsi="Arial" w:cs="Arial"/>
          <w:sz w:val="22"/>
          <w:szCs w:val="22"/>
        </w:rPr>
        <w:t xml:space="preserve">and the related response </w:t>
      </w:r>
      <w:r w:rsidRPr="00D94FBA" w:rsidR="0056087A">
        <w:rPr>
          <w:rFonts w:ascii="Arial" w:hAnsi="Arial" w:cs="Arial"/>
          <w:sz w:val="22"/>
          <w:szCs w:val="22"/>
        </w:rPr>
        <w:t>r</w:t>
      </w:r>
      <w:r w:rsidRPr="00D94FBA" w:rsidR="006D22B2">
        <w:rPr>
          <w:rFonts w:ascii="Arial" w:hAnsi="Arial" w:cs="Arial"/>
          <w:sz w:val="22"/>
          <w:szCs w:val="22"/>
        </w:rPr>
        <w:t xml:space="preserve">egarding </w:t>
      </w:r>
      <w:r w:rsidRPr="00D94FBA" w:rsidR="00497F79">
        <w:rPr>
          <w:rFonts w:ascii="Arial" w:hAnsi="Arial" w:cs="Arial"/>
          <w:sz w:val="22"/>
          <w:szCs w:val="22"/>
        </w:rPr>
        <w:t xml:space="preserve">regulatory </w:t>
      </w:r>
      <w:r w:rsidRPr="00D94FBA" w:rsidR="0056087A">
        <w:rPr>
          <w:rFonts w:ascii="Arial" w:hAnsi="Arial" w:cs="Arial"/>
          <w:sz w:val="22"/>
          <w:szCs w:val="22"/>
        </w:rPr>
        <w:t xml:space="preserve">burden imposed by the </w:t>
      </w:r>
      <w:r w:rsidRPr="00D94FBA" w:rsidR="00CF06B4">
        <w:rPr>
          <w:rFonts w:ascii="Arial" w:hAnsi="Arial" w:cs="Arial"/>
          <w:sz w:val="22"/>
          <w:szCs w:val="22"/>
        </w:rPr>
        <w:t>10 CFR </w:t>
      </w:r>
      <w:r w:rsidRPr="00D94FBA" w:rsidR="0056087A">
        <w:rPr>
          <w:rFonts w:ascii="Arial" w:hAnsi="Arial" w:cs="Arial"/>
          <w:sz w:val="22"/>
          <w:szCs w:val="22"/>
        </w:rPr>
        <w:t>Part 53 proposed rule</w:t>
      </w:r>
      <w:r w:rsidRPr="00D94FBA" w:rsidR="00044157">
        <w:rPr>
          <w:rFonts w:ascii="Arial" w:hAnsi="Arial" w:cs="Arial"/>
          <w:sz w:val="22"/>
          <w:szCs w:val="22"/>
        </w:rPr>
        <w:t>.</w:t>
      </w:r>
    </w:p>
    <w:p w:rsidR="00161929" w:rsidP="00D94FBA" w14:paraId="441BF112" w14:textId="77777777">
      <w:pPr>
        <w:spacing w:after="220"/>
        <w:rPr>
          <w:rFonts w:ascii="Arial" w:hAnsi="Arial" w:cs="Arial"/>
          <w:sz w:val="22"/>
          <w:szCs w:val="22"/>
        </w:rPr>
      </w:pPr>
      <w:r w:rsidRPr="00D94FBA">
        <w:rPr>
          <w:rFonts w:ascii="Arial" w:hAnsi="Arial" w:cs="Arial"/>
          <w:sz w:val="22"/>
          <w:szCs w:val="22"/>
        </w:rPr>
        <w:t xml:space="preserve">Accordingly, the NRC did not </w:t>
      </w:r>
      <w:r w:rsidR="005334D5">
        <w:rPr>
          <w:rFonts w:ascii="Arial" w:hAnsi="Arial" w:cs="Arial"/>
          <w:sz w:val="22"/>
          <w:szCs w:val="22"/>
        </w:rPr>
        <w:t>change</w:t>
      </w:r>
      <w:r w:rsidRPr="00D94FBA">
        <w:rPr>
          <w:rFonts w:ascii="Arial" w:hAnsi="Arial" w:cs="Arial"/>
          <w:sz w:val="22"/>
          <w:szCs w:val="22"/>
        </w:rPr>
        <w:t xml:space="preserve"> the rule language in response to these comments.</w:t>
      </w:r>
    </w:p>
    <w:p w:rsidR="00161929" w:rsidRPr="00D94FBA" w:rsidP="00D94FBA" w14:paraId="7EFC1E2C" w14:textId="77777777">
      <w:pPr>
        <w:spacing w:after="220"/>
        <w:rPr>
          <w:rFonts w:ascii="Arial" w:hAnsi="Arial" w:cs="Arial"/>
          <w:b/>
          <w:sz w:val="22"/>
          <w:szCs w:val="22"/>
        </w:rPr>
      </w:pPr>
      <w:r>
        <w:rPr>
          <w:rFonts w:ascii="Arial" w:eastAsia="Times New Roman" w:hAnsi="Arial" w:cs="Arial"/>
          <w:sz w:val="22"/>
          <w:szCs w:val="22"/>
          <w:lang w:eastAsia="zh-CN"/>
        </w:rPr>
        <w:pict>
          <v:rect id="_x0000_i1086" style="width:0;height:1.5pt" o:hralign="center" o:hrstd="t" o:hrnoshade="t" o:hr="t" fillcolor="black" stroked="f"/>
        </w:pict>
      </w:r>
    </w:p>
    <w:p w:rsidR="0030636D" w:rsidRPr="007F722A" w:rsidP="007F722A" w14:paraId="291E67A3" w14:textId="77777777">
      <w:pPr>
        <w:spacing w:after="220"/>
        <w:rPr>
          <w:rFonts w:ascii="Arial" w:hAnsi="Arial" w:cs="Arial"/>
          <w:sz w:val="22"/>
          <w:szCs w:val="22"/>
        </w:rPr>
      </w:pPr>
      <w:r w:rsidRPr="007F722A">
        <w:rPr>
          <w:rFonts w:ascii="Arial" w:hAnsi="Arial" w:cs="Arial"/>
          <w:b/>
          <w:sz w:val="22"/>
          <w:szCs w:val="22"/>
        </w:rPr>
        <w:t>Comment Bin 3.2.1.2.</w:t>
      </w:r>
      <w:r w:rsidRPr="007F722A" w:rsidR="003712A2">
        <w:rPr>
          <w:rFonts w:ascii="Arial" w:hAnsi="Arial" w:cs="Arial"/>
          <w:b/>
          <w:sz w:val="22"/>
          <w:szCs w:val="22"/>
        </w:rPr>
        <w:t>K</w:t>
      </w:r>
      <w:r w:rsidRPr="007F722A">
        <w:rPr>
          <w:rFonts w:ascii="Arial" w:hAnsi="Arial" w:cs="Arial"/>
          <w:b/>
          <w:sz w:val="22"/>
          <w:szCs w:val="22"/>
        </w:rPr>
        <w:t xml:space="preserve">: </w:t>
      </w:r>
      <w:r w:rsidRPr="007F722A">
        <w:rPr>
          <w:rFonts w:ascii="Arial" w:hAnsi="Arial" w:cs="Arial"/>
          <w:sz w:val="22"/>
          <w:szCs w:val="22"/>
        </w:rPr>
        <w:t>Regarding the NRC’s request for comment on the use of comprehensive risk metrics, a commenter wrote that “applicant-defined” comprehensive risk metrics and associated risk performance objectives create regulatory uncertainty, and it is a challenge for applicants to create and define their comprehensive risk metrics without proper guidance. The commenter added that existing metrics took significant time to develop and required multiple layers of approval. The commenter also argued that comprehensive risk metrics were only introduced to 10 CFR Part 53 as a result of direction from the Commission in the SRM, and there was no public engagement regarding this outside of an NRC workshop that the NRC staff indicated was not related to 10 CFR Part 53. The commenter highlighted several challenges with the concept of comprehensive risk metrics in the proposed rule (</w:t>
      </w:r>
      <w:r w:rsidR="004C1A5D">
        <w:rPr>
          <w:rFonts w:ascii="Arial" w:hAnsi="Arial" w:cs="Arial"/>
          <w:sz w:val="22"/>
          <w:szCs w:val="22"/>
        </w:rPr>
        <w:t>BI1</w:t>
      </w:r>
      <w:r w:rsidRPr="007F722A">
        <w:rPr>
          <w:rFonts w:ascii="Arial" w:hAnsi="Arial" w:cs="Arial"/>
          <w:sz w:val="22"/>
          <w:szCs w:val="22"/>
        </w:rPr>
        <w:t>-0005):</w:t>
      </w:r>
    </w:p>
    <w:p w:rsidR="0030636D" w:rsidRPr="007F722A" w:rsidP="007F722A" w14:paraId="0E7A9031" w14:textId="77777777">
      <w:pPr>
        <w:numPr>
          <w:ilvl w:val="0"/>
          <w:numId w:val="17"/>
        </w:numPr>
        <w:spacing w:after="220"/>
        <w:rPr>
          <w:rFonts w:ascii="Arial" w:hAnsi="Arial" w:cs="Arial"/>
          <w:sz w:val="22"/>
          <w:szCs w:val="22"/>
        </w:rPr>
      </w:pPr>
      <w:r w:rsidRPr="007F722A">
        <w:rPr>
          <w:rFonts w:ascii="Arial" w:hAnsi="Arial" w:cs="Arial"/>
          <w:sz w:val="22"/>
          <w:szCs w:val="22"/>
        </w:rPr>
        <w:t>The commenter wrote that the proposed rule language mixes regulatory terminology, writing that several terms including “adequate protection”, “appropriate level of safety”, “acceptable risk”, “safe enough”, “comprehensive risk”, and “overall risk”, are used interchangeably. The commenter added that comprehensive risk metrics are defined in the proposed rule as the “total, overall risk from the facility” and associated risk performance objectives are indicative values of the comprehensive risk metrics; and that requirements are analogous to those in 10 CFR Part 50 and 10 CFR Part 52, where no single regulatory requirement governs whether a plant is “safe enough.” However, the proposed rule states that the QHOs would be acceptable as a risk performance objective. The commenter wrote that the 10 CFR Part 50 and 10 CFR Part 52 licensing frameworks used an amalgamation of deterministic requirements and compare the outcomes to risk goals, but 10 CFR Part 53 is significantly different where risk is a core principle and as drafted requires a comprehensive metric of “overall” risk.</w:t>
      </w:r>
    </w:p>
    <w:p w:rsidR="0030636D" w:rsidRPr="007F722A" w:rsidP="007F722A" w14:paraId="0EFA4F37" w14:textId="77777777">
      <w:pPr>
        <w:numPr>
          <w:ilvl w:val="0"/>
          <w:numId w:val="17"/>
        </w:numPr>
        <w:spacing w:after="220"/>
        <w:rPr>
          <w:rFonts w:ascii="Arial" w:hAnsi="Arial" w:cs="Arial"/>
          <w:sz w:val="22"/>
          <w:szCs w:val="22"/>
        </w:rPr>
      </w:pPr>
      <w:r w:rsidRPr="007F722A">
        <w:rPr>
          <w:rFonts w:ascii="Arial" w:hAnsi="Arial" w:cs="Arial"/>
          <w:sz w:val="22"/>
          <w:szCs w:val="22"/>
        </w:rPr>
        <w:t>The commenter wrote that there are functional barriers to developing comprehensive risk metrics including historical timelines, layers of approval necessary, and shifting application of existing NRC risk metrics. The commenter wrote that it is unrealistic to expect an applicant to effectively or efficiently define a new novel risk metric or set of metrics and receive NRC approval on a much shorter timeline as part of an application; and, given these challenges, applicants will default to existing metrics, particularly the QHOs even though the Commission moved to remove them from the proposed rule language.</w:t>
      </w:r>
    </w:p>
    <w:p w:rsidR="0030636D" w:rsidRPr="007F722A" w:rsidP="007F722A" w14:paraId="33BDB94A" w14:textId="77777777">
      <w:pPr>
        <w:numPr>
          <w:ilvl w:val="0"/>
          <w:numId w:val="17"/>
        </w:numPr>
        <w:spacing w:after="220"/>
        <w:rPr>
          <w:rFonts w:ascii="Arial" w:hAnsi="Arial" w:cs="Arial"/>
          <w:sz w:val="22"/>
          <w:szCs w:val="22"/>
        </w:rPr>
      </w:pPr>
      <w:r w:rsidRPr="007F722A">
        <w:rPr>
          <w:rFonts w:ascii="Arial" w:hAnsi="Arial" w:cs="Arial"/>
          <w:sz w:val="22"/>
          <w:szCs w:val="22"/>
        </w:rPr>
        <w:t>The commenter highlighted what they said were policy and legal defects in the proposed rule. Specifically, the commenter wrote that the proposed rule does not specify a metric for adequate protection and does not make clear what is “safe enough.” This makes the approach arbitrary and capricious and would hold similarly situated applicants to different standards. The commenter added that the proposed rule is inconsistent with Congressional intent</w:t>
      </w:r>
      <w:r w:rsidRPr="007F722A" w:rsidR="003B325E">
        <w:rPr>
          <w:rFonts w:ascii="Arial" w:hAnsi="Arial" w:cs="Arial"/>
          <w:sz w:val="22"/>
          <w:szCs w:val="22"/>
        </w:rPr>
        <w:t>, citing the</w:t>
      </w:r>
      <w:r w:rsidRPr="007F722A" w:rsidR="006F1CAD">
        <w:rPr>
          <w:rFonts w:ascii="Arial" w:hAnsi="Arial" w:cs="Arial"/>
          <w:sz w:val="22"/>
          <w:szCs w:val="22"/>
        </w:rPr>
        <w:t xml:space="preserve"> </w:t>
      </w:r>
      <w:r w:rsidRPr="007F722A" w:rsidR="003B325E">
        <w:rPr>
          <w:rFonts w:ascii="Arial" w:hAnsi="Arial" w:cs="Arial"/>
          <w:sz w:val="22"/>
          <w:szCs w:val="22"/>
        </w:rPr>
        <w:t xml:space="preserve">1990 </w:t>
      </w:r>
      <w:r w:rsidR="00FB5E85">
        <w:rPr>
          <w:rFonts w:ascii="Arial" w:hAnsi="Arial" w:cs="Arial"/>
          <w:sz w:val="22"/>
          <w:szCs w:val="22"/>
        </w:rPr>
        <w:t>CAA</w:t>
      </w:r>
      <w:r w:rsidRPr="007F722A" w:rsidR="003B325E">
        <w:rPr>
          <w:rFonts w:ascii="Arial" w:hAnsi="Arial" w:cs="Arial"/>
          <w:sz w:val="22"/>
          <w:szCs w:val="22"/>
        </w:rPr>
        <w:t xml:space="preserve"> Amendments, NEIMA, and the ADVANCE Act</w:t>
      </w:r>
      <w:r w:rsidRPr="007F722A">
        <w:rPr>
          <w:rFonts w:ascii="Arial" w:hAnsi="Arial" w:cs="Arial"/>
          <w:sz w:val="22"/>
          <w:szCs w:val="22"/>
        </w:rPr>
        <w:t>. The commenter wrote that as a result 10 CFR Part 53 is not a risk-based rule as risk value is not the sole basis for decisions.</w:t>
      </w:r>
    </w:p>
    <w:p w:rsidR="0030636D" w:rsidRPr="007F722A" w:rsidP="007F722A" w14:paraId="107A0A3A" w14:textId="77777777">
      <w:pPr>
        <w:spacing w:after="220"/>
        <w:rPr>
          <w:rFonts w:ascii="Arial" w:hAnsi="Arial" w:cs="Arial"/>
          <w:sz w:val="22"/>
          <w:szCs w:val="22"/>
        </w:rPr>
      </w:pPr>
      <w:r w:rsidRPr="007F722A">
        <w:rPr>
          <w:rFonts w:ascii="Arial" w:hAnsi="Arial" w:cs="Arial"/>
          <w:sz w:val="22"/>
          <w:szCs w:val="22"/>
        </w:rPr>
        <w:t>The commenter wrote that an integrated safety approach requires that a comprehensive safety metric should capture the cumulative effects of all regulatory requirements, rather than serving as an isolated indicator of risk. Accordingly, the rule should reflect that a comprehensive safety performance objective is sufficient to demonstrate that a plant is “safe enough” (</w:t>
      </w:r>
      <w:r w:rsidR="004C1A5D">
        <w:rPr>
          <w:rFonts w:ascii="Arial" w:hAnsi="Arial" w:cs="Arial"/>
          <w:sz w:val="22"/>
          <w:szCs w:val="22"/>
        </w:rPr>
        <w:t>BI1</w:t>
      </w:r>
      <w:r w:rsidRPr="007F722A">
        <w:rPr>
          <w:rFonts w:ascii="Arial" w:hAnsi="Arial" w:cs="Arial"/>
          <w:sz w:val="22"/>
          <w:szCs w:val="22"/>
        </w:rPr>
        <w:t>-0005).</w:t>
      </w:r>
    </w:p>
    <w:p w:rsidR="0030636D" w:rsidRPr="007F722A" w:rsidP="007F722A" w14:paraId="34E70B58" w14:textId="77777777">
      <w:pPr>
        <w:spacing w:after="220"/>
        <w:rPr>
          <w:rFonts w:ascii="Arial" w:hAnsi="Arial" w:cs="Arial"/>
          <w:sz w:val="22"/>
          <w:szCs w:val="22"/>
        </w:rPr>
      </w:pPr>
      <w:r w:rsidRPr="007F722A">
        <w:rPr>
          <w:rFonts w:ascii="Arial" w:hAnsi="Arial" w:cs="Arial"/>
          <w:sz w:val="22"/>
          <w:szCs w:val="22"/>
        </w:rPr>
        <w:t xml:space="preserve">The commenter added that if comprehensive risk metrics are retained in the final rule, then further revision to the definition is required. Additionally, the commenter wrote that comprehensive risk metrics and associated risk performance objectives must be consistent with Congressional direction on radiological risk standards in </w:t>
      </w:r>
      <w:r w:rsidR="00827A6E">
        <w:rPr>
          <w:rFonts w:ascii="Arial" w:hAnsi="Arial" w:cs="Arial"/>
          <w:sz w:val="22"/>
          <w:szCs w:val="22"/>
        </w:rPr>
        <w:t>s</w:t>
      </w:r>
      <w:r w:rsidRPr="007F722A">
        <w:rPr>
          <w:rFonts w:ascii="Arial" w:hAnsi="Arial" w:cs="Arial"/>
          <w:sz w:val="22"/>
          <w:szCs w:val="22"/>
        </w:rPr>
        <w:t xml:space="preserve">ection 112 of the </w:t>
      </w:r>
      <w:r w:rsidRPr="007F722A" w:rsidR="00190B9C">
        <w:rPr>
          <w:rFonts w:ascii="Arial" w:hAnsi="Arial" w:cs="Arial"/>
          <w:sz w:val="22"/>
          <w:szCs w:val="22"/>
        </w:rPr>
        <w:t>CAA</w:t>
      </w:r>
      <w:r w:rsidRPr="007F722A">
        <w:rPr>
          <w:rFonts w:ascii="Arial" w:hAnsi="Arial" w:cs="Arial"/>
          <w:sz w:val="22"/>
          <w:szCs w:val="22"/>
        </w:rPr>
        <w:t>; and, if metrics are applicant-defined, the NRC must give clear direction in the preamble and separate guidance documentation that proposed metrics and objectives should be consistent with the level of risk established by Congress that define “acceptable risk” and “ample margin of safety to protect public health” (</w:t>
      </w:r>
      <w:r w:rsidR="004C1A5D">
        <w:rPr>
          <w:rFonts w:ascii="Arial" w:hAnsi="Arial" w:cs="Arial"/>
          <w:sz w:val="22"/>
          <w:szCs w:val="22"/>
        </w:rPr>
        <w:t>BI1</w:t>
      </w:r>
      <w:r w:rsidRPr="007F722A">
        <w:rPr>
          <w:rFonts w:ascii="Arial" w:hAnsi="Arial" w:cs="Arial"/>
          <w:sz w:val="22"/>
          <w:szCs w:val="22"/>
        </w:rPr>
        <w:t>-0005).</w:t>
      </w:r>
    </w:p>
    <w:p w:rsidR="0030636D" w:rsidRPr="007F722A" w:rsidP="007F722A" w14:paraId="1EAAF242" w14:textId="77777777">
      <w:pPr>
        <w:spacing w:after="220"/>
        <w:rPr>
          <w:rFonts w:ascii="Arial" w:hAnsi="Arial" w:cs="Arial"/>
          <w:sz w:val="22"/>
          <w:szCs w:val="22"/>
        </w:rPr>
      </w:pPr>
      <w:r w:rsidRPr="007F722A">
        <w:rPr>
          <w:rFonts w:ascii="Arial" w:hAnsi="Arial" w:cs="Arial"/>
          <w:sz w:val="22"/>
          <w:szCs w:val="22"/>
        </w:rPr>
        <w:t>The commenter also wrote that, in order to better align language between the preamble and rule text, the NRC needs to define what “appropriate level of safety” means in the preamble. The commenter argued that SRM-SECY-23-0021</w:t>
      </w:r>
      <w:r w:rsidR="009408EE">
        <w:rPr>
          <w:rFonts w:ascii="Arial" w:hAnsi="Arial" w:cs="Arial"/>
          <w:sz w:val="22"/>
          <w:szCs w:val="22"/>
        </w:rPr>
        <w:t>, “</w:t>
      </w:r>
      <w:r w:rsidRPr="0099788D" w:rsidR="0099788D">
        <w:rPr>
          <w:rFonts w:ascii="Arial" w:hAnsi="Arial" w:cs="Arial"/>
          <w:sz w:val="22"/>
          <w:szCs w:val="22"/>
        </w:rPr>
        <w:t>Proposed Rule: Risk-Informed, Technology</w:t>
      </w:r>
      <w:r w:rsidR="00690940">
        <w:rPr>
          <w:rFonts w:ascii="Arial" w:hAnsi="Arial" w:cs="Arial"/>
          <w:sz w:val="22"/>
          <w:szCs w:val="22"/>
        </w:rPr>
        <w:noBreakHyphen/>
      </w:r>
      <w:r w:rsidRPr="0099788D" w:rsidR="0099788D">
        <w:rPr>
          <w:rFonts w:ascii="Arial" w:hAnsi="Arial" w:cs="Arial"/>
          <w:sz w:val="22"/>
          <w:szCs w:val="22"/>
        </w:rPr>
        <w:t>Inclusive Regulatory Framework for Advanced Reacto</w:t>
      </w:r>
      <w:r w:rsidR="0099788D">
        <w:rPr>
          <w:rFonts w:ascii="Arial" w:hAnsi="Arial" w:cs="Arial"/>
          <w:sz w:val="22"/>
          <w:szCs w:val="22"/>
        </w:rPr>
        <w:t>rs</w:t>
      </w:r>
      <w:r w:rsidR="00B75EBE">
        <w:rPr>
          <w:rFonts w:ascii="Arial" w:hAnsi="Arial" w:cs="Arial"/>
          <w:sz w:val="22"/>
          <w:szCs w:val="22"/>
        </w:rPr>
        <w:t xml:space="preserve"> (RIN 3150-AK31)</w:t>
      </w:r>
      <w:r w:rsidR="009408EE">
        <w:rPr>
          <w:rFonts w:ascii="Arial" w:hAnsi="Arial" w:cs="Arial"/>
          <w:sz w:val="22"/>
          <w:szCs w:val="22"/>
        </w:rPr>
        <w:t xml:space="preserve">,” </w:t>
      </w:r>
      <w:r w:rsidR="003526DD">
        <w:rPr>
          <w:rFonts w:ascii="Arial" w:hAnsi="Arial" w:cs="Arial"/>
          <w:sz w:val="22"/>
          <w:szCs w:val="22"/>
        </w:rPr>
        <w:t>issu</w:t>
      </w:r>
      <w:r w:rsidR="00B52072">
        <w:rPr>
          <w:rFonts w:ascii="Arial" w:hAnsi="Arial" w:cs="Arial"/>
          <w:sz w:val="22"/>
          <w:szCs w:val="22"/>
        </w:rPr>
        <w:t>e</w:t>
      </w:r>
      <w:r w:rsidR="009408EE">
        <w:rPr>
          <w:rFonts w:ascii="Arial" w:hAnsi="Arial" w:cs="Arial"/>
          <w:sz w:val="22"/>
          <w:szCs w:val="22"/>
        </w:rPr>
        <w:t xml:space="preserve">d </w:t>
      </w:r>
      <w:r w:rsidR="0099788D">
        <w:rPr>
          <w:rFonts w:ascii="Arial" w:hAnsi="Arial" w:cs="Arial"/>
          <w:sz w:val="22"/>
          <w:szCs w:val="22"/>
        </w:rPr>
        <w:t xml:space="preserve">March 2024 </w:t>
      </w:r>
      <w:r w:rsidR="00D63CDD">
        <w:rPr>
          <w:rFonts w:ascii="Arial" w:hAnsi="Arial" w:cs="Arial"/>
          <w:sz w:val="22"/>
          <w:szCs w:val="22"/>
        </w:rPr>
        <w:t>(</w:t>
      </w:r>
      <w:r w:rsidRPr="00D63CDD" w:rsidR="00D63CDD">
        <w:rPr>
          <w:rFonts w:ascii="Arial" w:hAnsi="Arial" w:cs="Arial"/>
          <w:sz w:val="22"/>
          <w:szCs w:val="22"/>
        </w:rPr>
        <w:t>ML24064A039</w:t>
      </w:r>
      <w:r w:rsidR="00D63CDD">
        <w:rPr>
          <w:rFonts w:ascii="Arial" w:hAnsi="Arial" w:cs="Arial"/>
          <w:sz w:val="22"/>
          <w:szCs w:val="22"/>
        </w:rPr>
        <w:t>)</w:t>
      </w:r>
      <w:r w:rsidR="00CB052F">
        <w:rPr>
          <w:rFonts w:ascii="Arial" w:hAnsi="Arial" w:cs="Arial"/>
          <w:sz w:val="22"/>
          <w:szCs w:val="22"/>
        </w:rPr>
        <w:t>,</w:t>
      </w:r>
      <w:r w:rsidRPr="007F722A">
        <w:rPr>
          <w:rFonts w:ascii="Arial" w:hAnsi="Arial" w:cs="Arial"/>
          <w:sz w:val="22"/>
          <w:szCs w:val="22"/>
        </w:rPr>
        <w:t xml:space="preserve"> directed the staff to not apply a PRA consensus standard as a strict checklist, but the preambles stated that these standards are retained because they have sufficient flexibility (</w:t>
      </w:r>
      <w:r w:rsidR="004C1A5D">
        <w:rPr>
          <w:rFonts w:ascii="Arial" w:hAnsi="Arial" w:cs="Arial"/>
          <w:sz w:val="22"/>
          <w:szCs w:val="22"/>
        </w:rPr>
        <w:t>BI1</w:t>
      </w:r>
      <w:r w:rsidRPr="007F722A">
        <w:rPr>
          <w:rFonts w:ascii="Arial" w:hAnsi="Arial" w:cs="Arial"/>
          <w:sz w:val="22"/>
          <w:szCs w:val="22"/>
        </w:rPr>
        <w:t>-0035).</w:t>
      </w:r>
    </w:p>
    <w:p w:rsidR="0030636D" w:rsidRPr="007F722A" w:rsidP="007F722A" w14:paraId="1F1C85CD" w14:textId="77777777">
      <w:pPr>
        <w:spacing w:after="220"/>
        <w:rPr>
          <w:rFonts w:ascii="Arial" w:hAnsi="Arial" w:cs="Arial"/>
          <w:sz w:val="22"/>
          <w:szCs w:val="22"/>
        </w:rPr>
      </w:pPr>
      <w:r w:rsidRPr="007F722A">
        <w:rPr>
          <w:rFonts w:ascii="Arial" w:hAnsi="Arial" w:cs="Arial"/>
          <w:sz w:val="22"/>
          <w:szCs w:val="22"/>
        </w:rPr>
        <w:t xml:space="preserve">Another commenter recommended that comprehensive risk metrics should be retained in the rule as they are one of several key requirements that characterize the safety of a reactor in a performance-based regulatory framework. Additionally, the commenter recommended that comprehensive risk metrics proposed by applicants and approved by the NRC staff have the option of being codified through NRC staff development of regulatory guidance, NRC staff endorsement of applicant reports, or NRC staff approval of topical reports that document the risk metrics. The commenter wrote that in their own engagement with stakeholders they found confusion over the use of the term “risk metric” to describe a performance-based regulatory requirement, and concerns that “risk metric” would limit applicant proposals of metrics and demonstration of compliance with metrics to numerical evaluations of risk and would exclude </w:t>
      </w:r>
      <w:r w:rsidRPr="007F722A">
        <w:rPr>
          <w:rFonts w:ascii="Arial" w:hAnsi="Arial" w:cs="Arial"/>
          <w:sz w:val="22"/>
          <w:szCs w:val="22"/>
        </w:rPr>
        <w:t>qualitative evaluations of safety that could enable the NRC to help reach the same finding of “reasonable assurance of adequate protection” (</w:t>
      </w:r>
      <w:r w:rsidR="000341A7">
        <w:rPr>
          <w:rFonts w:ascii="Arial" w:hAnsi="Arial" w:cs="Arial"/>
          <w:sz w:val="22"/>
          <w:szCs w:val="22"/>
        </w:rPr>
        <w:t>NIA2</w:t>
      </w:r>
      <w:r w:rsidRPr="007F722A">
        <w:rPr>
          <w:rFonts w:ascii="Arial" w:hAnsi="Arial" w:cs="Arial"/>
          <w:sz w:val="22"/>
          <w:szCs w:val="22"/>
        </w:rPr>
        <w:t>-0010).</w:t>
      </w:r>
    </w:p>
    <w:p w:rsidR="0030636D" w:rsidRPr="007F722A" w:rsidP="007F722A" w14:paraId="2445C950" w14:textId="77777777">
      <w:pPr>
        <w:spacing w:after="220"/>
        <w:rPr>
          <w:rFonts w:ascii="Arial" w:hAnsi="Arial" w:cs="Arial"/>
          <w:sz w:val="22"/>
          <w:szCs w:val="22"/>
        </w:rPr>
      </w:pPr>
      <w:r w:rsidRPr="007F722A">
        <w:rPr>
          <w:rFonts w:ascii="Arial" w:hAnsi="Arial" w:cs="Arial"/>
          <w:sz w:val="22"/>
          <w:szCs w:val="22"/>
        </w:rPr>
        <w:t>Another commenter wrote that the NRC needs to clarify proposed requirements for applicant-defined comprehensive risk metrics and associated risk performance objectives in to avoid creating regulatory uncertainty. The commenter said that the preamble for the final rule and the rule language should be clear and consistent in relation to the definition and use of the term “risk” in the context of safety, and NRC expectations of the appropriate levels of risk. The commenter added that the proposed rule is not clear or consistent in relation to expectations of levels of risk, using multiple terms, including “appropriate” levels of risk, “overall” risk, and “acceptable” risk.</w:t>
      </w:r>
    </w:p>
    <w:p w:rsidR="0030636D" w:rsidRPr="007F722A" w:rsidP="007F722A" w14:paraId="2448D29D" w14:textId="77777777">
      <w:pPr>
        <w:spacing w:after="220"/>
        <w:rPr>
          <w:rFonts w:ascii="Arial" w:hAnsi="Arial" w:cs="Arial"/>
          <w:sz w:val="22"/>
          <w:szCs w:val="22"/>
        </w:rPr>
      </w:pPr>
      <w:r w:rsidRPr="007F722A">
        <w:rPr>
          <w:rFonts w:ascii="Arial" w:hAnsi="Arial" w:cs="Arial"/>
          <w:sz w:val="22"/>
          <w:szCs w:val="22"/>
        </w:rPr>
        <w:t>The commenter argued that the proposed rule introduces new requirements for applicant evaluation of plant risks that differ from the existing regulatory requirements in 10 CFR</w:t>
      </w:r>
      <w:r w:rsidR="009D2C23">
        <w:rPr>
          <w:rFonts w:ascii="Arial" w:hAnsi="Arial" w:cs="Arial"/>
          <w:sz w:val="22"/>
          <w:szCs w:val="22"/>
        </w:rPr>
        <w:t> </w:t>
      </w:r>
      <w:r w:rsidRPr="007F722A">
        <w:rPr>
          <w:rFonts w:ascii="Arial" w:hAnsi="Arial" w:cs="Arial"/>
          <w:sz w:val="22"/>
          <w:szCs w:val="22"/>
        </w:rPr>
        <w:t>Part</w:t>
      </w:r>
      <w:r w:rsidR="009D2C23">
        <w:rPr>
          <w:rFonts w:ascii="Arial" w:hAnsi="Arial" w:cs="Arial"/>
          <w:sz w:val="22"/>
          <w:szCs w:val="22"/>
        </w:rPr>
        <w:t> </w:t>
      </w:r>
      <w:r w:rsidRPr="007F722A">
        <w:rPr>
          <w:rFonts w:ascii="Arial" w:hAnsi="Arial" w:cs="Arial"/>
          <w:sz w:val="22"/>
          <w:szCs w:val="22"/>
        </w:rPr>
        <w:t>50 and</w:t>
      </w:r>
      <w:r w:rsidR="0082524D">
        <w:rPr>
          <w:rFonts w:ascii="Arial" w:hAnsi="Arial" w:cs="Arial"/>
          <w:sz w:val="22"/>
          <w:szCs w:val="22"/>
        </w:rPr>
        <w:t xml:space="preserve"> </w:t>
      </w:r>
      <w:r w:rsidRPr="007F722A">
        <w:rPr>
          <w:rFonts w:ascii="Arial" w:hAnsi="Arial" w:cs="Arial"/>
          <w:sz w:val="22"/>
          <w:szCs w:val="22"/>
        </w:rPr>
        <w:t>10 CFR Part 52 that do not utilize a comprehensive metric of overall risk. The commenter wrote that it is important that the discussion and application of comprehensive risk metrics in final rule reflect the position that it is one tool to help characterize plant safety and that the NRC Safety Goals, including the QHOs, are not intended to serve as the sole basis of licensing decisions but can enable NRC to quantify levels of “acceptable risk” and the regulatory basis for “safe enough.” The commenter wrote that, as written, comprehensive risk metrics in the proposed rule could become interpreted as a risk-based requirement instead of a performance-based requirement (</w:t>
      </w:r>
      <w:r w:rsidR="00D87876">
        <w:rPr>
          <w:rFonts w:ascii="Arial" w:hAnsi="Arial" w:cs="Arial"/>
          <w:sz w:val="22"/>
          <w:szCs w:val="22"/>
        </w:rPr>
        <w:t>SCWG</w:t>
      </w:r>
      <w:r w:rsidRPr="007F722A">
        <w:rPr>
          <w:rFonts w:ascii="Arial" w:hAnsi="Arial" w:cs="Arial"/>
          <w:sz w:val="22"/>
          <w:szCs w:val="22"/>
        </w:rPr>
        <w:t>-0010).</w:t>
      </w:r>
    </w:p>
    <w:p w:rsidR="0030636D" w:rsidRPr="007F722A" w:rsidP="007F722A" w14:paraId="18C48EA1" w14:textId="77777777">
      <w:pPr>
        <w:spacing w:after="220"/>
        <w:rPr>
          <w:rFonts w:ascii="Arial" w:hAnsi="Arial" w:cs="Arial"/>
          <w:sz w:val="22"/>
          <w:szCs w:val="22"/>
        </w:rPr>
      </w:pPr>
      <w:r w:rsidRPr="007F722A">
        <w:rPr>
          <w:rFonts w:ascii="Arial" w:hAnsi="Arial" w:cs="Arial"/>
          <w:sz w:val="22"/>
          <w:szCs w:val="22"/>
        </w:rPr>
        <w:t>To address concerns regarding comprehensive risk metrics, all three commenters offered the following recommendations (</w:t>
      </w:r>
      <w:r w:rsidR="000341A7">
        <w:rPr>
          <w:rFonts w:ascii="Arial" w:hAnsi="Arial" w:cs="Arial"/>
          <w:sz w:val="22"/>
          <w:szCs w:val="22"/>
        </w:rPr>
        <w:t>NIA2</w:t>
      </w:r>
      <w:r w:rsidRPr="007F722A">
        <w:rPr>
          <w:rFonts w:ascii="Arial" w:hAnsi="Arial" w:cs="Arial"/>
          <w:sz w:val="22"/>
          <w:szCs w:val="22"/>
        </w:rPr>
        <w:t>-0010</w:t>
      </w:r>
      <w:r w:rsidR="00E005BC">
        <w:rPr>
          <w:rFonts w:ascii="Arial" w:hAnsi="Arial" w:cs="Arial"/>
          <w:sz w:val="22"/>
          <w:szCs w:val="22"/>
        </w:rPr>
        <w:t>,</w:t>
      </w:r>
      <w:r w:rsidRPr="007F722A">
        <w:rPr>
          <w:rFonts w:ascii="Arial" w:hAnsi="Arial" w:cs="Arial"/>
          <w:sz w:val="22"/>
          <w:szCs w:val="22"/>
        </w:rPr>
        <w:t xml:space="preserve"> </w:t>
      </w:r>
      <w:r w:rsidR="004C1A5D">
        <w:rPr>
          <w:rFonts w:ascii="Arial" w:hAnsi="Arial" w:cs="Arial"/>
          <w:sz w:val="22"/>
          <w:szCs w:val="22"/>
        </w:rPr>
        <w:t>BI1</w:t>
      </w:r>
      <w:r w:rsidRPr="007F722A">
        <w:rPr>
          <w:rFonts w:ascii="Arial" w:hAnsi="Arial" w:cs="Arial"/>
          <w:sz w:val="22"/>
          <w:szCs w:val="22"/>
        </w:rPr>
        <w:t>-0005</w:t>
      </w:r>
      <w:r w:rsidR="00E005BC">
        <w:rPr>
          <w:rFonts w:ascii="Arial" w:hAnsi="Arial" w:cs="Arial"/>
          <w:sz w:val="22"/>
          <w:szCs w:val="22"/>
        </w:rPr>
        <w:t>,</w:t>
      </w:r>
      <w:r w:rsidRPr="007F722A">
        <w:rPr>
          <w:rFonts w:ascii="Arial" w:hAnsi="Arial" w:cs="Arial"/>
          <w:sz w:val="22"/>
          <w:szCs w:val="22"/>
        </w:rPr>
        <w:t xml:space="preserve"> </w:t>
      </w:r>
      <w:r w:rsidR="00D87876">
        <w:rPr>
          <w:rFonts w:ascii="Arial" w:hAnsi="Arial" w:cs="Arial"/>
          <w:sz w:val="22"/>
          <w:szCs w:val="22"/>
        </w:rPr>
        <w:t>SCWG</w:t>
      </w:r>
      <w:r w:rsidRPr="007F722A">
        <w:rPr>
          <w:rFonts w:ascii="Arial" w:hAnsi="Arial" w:cs="Arial"/>
          <w:sz w:val="22"/>
          <w:szCs w:val="22"/>
        </w:rPr>
        <w:t>-0010):</w:t>
      </w:r>
    </w:p>
    <w:p w:rsidR="0030636D" w:rsidRPr="007F722A" w:rsidP="007F722A" w14:paraId="47A075CD" w14:textId="77777777">
      <w:pPr>
        <w:numPr>
          <w:ilvl w:val="0"/>
          <w:numId w:val="16"/>
        </w:numPr>
        <w:spacing w:after="220"/>
        <w:rPr>
          <w:rFonts w:ascii="Arial" w:hAnsi="Arial" w:cs="Arial"/>
          <w:sz w:val="22"/>
          <w:szCs w:val="22"/>
        </w:rPr>
      </w:pPr>
      <w:r w:rsidRPr="007F722A">
        <w:rPr>
          <w:rFonts w:ascii="Arial" w:hAnsi="Arial" w:cs="Arial"/>
          <w:sz w:val="22"/>
          <w:szCs w:val="22"/>
        </w:rPr>
        <w:t>Revise the terminology from a “comprehensive risk metric” to a “comprehensive safety metric” to emphasize that the purpose of the metric is to evaluate overall safety of the facility.</w:t>
      </w:r>
    </w:p>
    <w:p w:rsidR="0030636D" w:rsidRPr="007F722A" w:rsidP="007F722A" w14:paraId="71D425F7" w14:textId="77777777">
      <w:pPr>
        <w:numPr>
          <w:ilvl w:val="0"/>
          <w:numId w:val="16"/>
        </w:numPr>
        <w:spacing w:after="220"/>
        <w:rPr>
          <w:rFonts w:ascii="Arial" w:hAnsi="Arial" w:cs="Arial"/>
          <w:sz w:val="22"/>
          <w:szCs w:val="22"/>
        </w:rPr>
      </w:pPr>
      <w:r w:rsidRPr="007F722A">
        <w:rPr>
          <w:rFonts w:ascii="Arial" w:hAnsi="Arial" w:cs="Arial"/>
          <w:sz w:val="22"/>
          <w:szCs w:val="22"/>
        </w:rPr>
        <w:t>Define a comprehensive safety metric as the figure of merit that will be assessed during licensing and “comprehensive safety assessment” as the methodology or set of methodologies used to evaluate and demonstrate compliance with the figure of merit.</w:t>
      </w:r>
    </w:p>
    <w:p w:rsidR="0030636D" w:rsidRPr="007F722A" w:rsidP="007F722A" w14:paraId="72C17588" w14:textId="77777777">
      <w:pPr>
        <w:numPr>
          <w:ilvl w:val="0"/>
          <w:numId w:val="16"/>
        </w:numPr>
        <w:spacing w:after="220"/>
        <w:rPr>
          <w:rFonts w:ascii="Arial" w:hAnsi="Arial" w:cs="Arial"/>
          <w:sz w:val="22"/>
          <w:szCs w:val="22"/>
        </w:rPr>
      </w:pPr>
      <w:r w:rsidRPr="007F722A">
        <w:rPr>
          <w:rFonts w:ascii="Arial" w:hAnsi="Arial" w:cs="Arial"/>
          <w:sz w:val="22"/>
          <w:szCs w:val="22"/>
        </w:rPr>
        <w:t>Clarify in the preamble the intended relationship between existing NRC risk objectives, comprehensive safety metric, and comprehensive safety assessment to establish a clear framework for assessing overall safety while ensuring that comprehensive safety metrics are not the sole basis for regulatory decision-making.</w:t>
      </w:r>
    </w:p>
    <w:p w:rsidR="0030636D" w:rsidRPr="007F722A" w:rsidP="007F722A" w14:paraId="02C6C58A" w14:textId="77777777">
      <w:pPr>
        <w:numPr>
          <w:ilvl w:val="0"/>
          <w:numId w:val="16"/>
        </w:numPr>
        <w:spacing w:after="220"/>
        <w:rPr>
          <w:rFonts w:ascii="Arial" w:hAnsi="Arial" w:cs="Arial"/>
          <w:sz w:val="22"/>
          <w:szCs w:val="22"/>
        </w:rPr>
      </w:pPr>
      <w:r w:rsidRPr="007F722A">
        <w:rPr>
          <w:rFonts w:ascii="Arial" w:hAnsi="Arial" w:cs="Arial"/>
          <w:sz w:val="22"/>
          <w:szCs w:val="22"/>
        </w:rPr>
        <w:t>Emphasize that the overall goal of comprehensive safety metric is to help ensure the outcome of “adequate protection of public health and safety” when evaluating existing or proposed metrics.</w:t>
      </w:r>
    </w:p>
    <w:p w:rsidR="0030636D" w:rsidRPr="007F722A" w:rsidP="007F722A" w14:paraId="1E94FE99" w14:textId="77777777">
      <w:pPr>
        <w:numPr>
          <w:ilvl w:val="0"/>
          <w:numId w:val="16"/>
        </w:numPr>
        <w:spacing w:after="220"/>
        <w:rPr>
          <w:rFonts w:ascii="Arial" w:hAnsi="Arial" w:cs="Arial"/>
          <w:sz w:val="22"/>
          <w:szCs w:val="22"/>
        </w:rPr>
      </w:pPr>
      <w:r w:rsidRPr="007F722A">
        <w:rPr>
          <w:rFonts w:ascii="Arial" w:hAnsi="Arial" w:cs="Arial"/>
          <w:sz w:val="22"/>
          <w:szCs w:val="22"/>
        </w:rPr>
        <w:t>Enable applicant definition and use of comprehensive safety metric to align with accepted industry practices for safety and risk evaluations completed during design and allow applicants to select metrics (e.g., QHOs, CDF, LERF) and evaluation methodologies (e.g., PRA, AERI) that meet the overall intent of the comprehensive safety metric.</w:t>
      </w:r>
    </w:p>
    <w:p w:rsidR="0030636D" w:rsidRPr="007F722A" w:rsidP="007F722A" w14:paraId="54F807A7" w14:textId="77777777">
      <w:pPr>
        <w:numPr>
          <w:ilvl w:val="0"/>
          <w:numId w:val="16"/>
        </w:numPr>
        <w:spacing w:after="220"/>
        <w:rPr>
          <w:rFonts w:ascii="Arial" w:hAnsi="Arial" w:cs="Arial"/>
          <w:sz w:val="22"/>
          <w:szCs w:val="22"/>
        </w:rPr>
      </w:pPr>
      <w:r w:rsidRPr="007F722A">
        <w:rPr>
          <w:rFonts w:ascii="Arial" w:hAnsi="Arial" w:cs="Arial"/>
          <w:sz w:val="22"/>
          <w:szCs w:val="22"/>
        </w:rPr>
        <w:t>Remove explicit references to QHOs in the rule text to prevent QHOs from becoming a de facto regulatory requirement. QHOs should remain an acceptable option for applicants who choose to use them as their comprehensive safety metric.</w:t>
      </w:r>
    </w:p>
    <w:p w:rsidR="002655E4" w:rsidRPr="007F722A" w:rsidP="007F722A" w14:paraId="4A4A7ADE" w14:textId="77777777">
      <w:pPr>
        <w:pStyle w:val="ListParagraph"/>
        <w:numPr>
          <w:ilvl w:val="0"/>
          <w:numId w:val="16"/>
        </w:numPr>
        <w:spacing w:after="220"/>
        <w:rPr>
          <w:rFonts w:ascii="Arial" w:hAnsi="Arial" w:cs="Arial"/>
          <w:b/>
          <w:sz w:val="22"/>
          <w:szCs w:val="22"/>
        </w:rPr>
      </w:pPr>
      <w:r w:rsidRPr="007F722A">
        <w:rPr>
          <w:rFonts w:ascii="Arial" w:hAnsi="Arial" w:cs="Arial"/>
          <w:sz w:val="22"/>
          <w:szCs w:val="22"/>
        </w:rPr>
        <w:t>Revise rule text to focus on applicant completion of an “integrated safety assessment” rather than mandating specific evaluation methodologies (e.g., PRA) be used when demonstrating the overall safety of a facility. </w:t>
      </w:r>
    </w:p>
    <w:p w:rsidR="0030636D" w:rsidRPr="007F722A" w:rsidP="007F722A" w14:paraId="26587163"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in part, with the comments.</w:t>
      </w:r>
    </w:p>
    <w:p w:rsidR="0030636D" w:rsidRPr="007F722A" w:rsidP="007F722A" w14:paraId="2A02BB88" w14:textId="77777777">
      <w:pPr>
        <w:spacing w:after="220"/>
        <w:rPr>
          <w:rFonts w:ascii="Arial" w:hAnsi="Arial" w:cs="Arial"/>
          <w:sz w:val="22"/>
          <w:szCs w:val="22"/>
        </w:rPr>
      </w:pPr>
      <w:r w:rsidRPr="007F722A">
        <w:rPr>
          <w:rFonts w:ascii="Arial" w:hAnsi="Arial" w:cs="Arial"/>
          <w:sz w:val="22"/>
          <w:szCs w:val="22"/>
        </w:rPr>
        <w:t xml:space="preserve">To the degree that these comments are generally describing risk-informed decision-making processes and stating that there are multiple possible ways to use risk insights, comprehensive risk metrics, and associated risk performance objectives, the NRC agrees and has provided flexibility in 10 CFR Part 53 for applicants to propose such alternatives for NRC review and approval. The NRC acknowledges the concern that the language in the comprehensive risk metric standard may reduce regulatory certainty because of the greater flexibility it provides applicants. However, as explained in the proposed and final rules, while 10 CFR Part 53 does not define specific risk measures or associated risk performance objectives, the QHOs and their related surrogates of IEFR and ILCFR are cited within the proposed and final rules as one acceptable approach. </w:t>
      </w:r>
    </w:p>
    <w:p w:rsidR="0030636D" w:rsidRPr="007F722A" w:rsidP="007F722A" w14:paraId="45E11EB5" w14:textId="77777777">
      <w:pPr>
        <w:spacing w:after="220"/>
        <w:rPr>
          <w:rFonts w:ascii="Arial" w:hAnsi="Arial" w:cs="Arial"/>
          <w:sz w:val="22"/>
          <w:szCs w:val="22"/>
        </w:rPr>
      </w:pPr>
      <w:r w:rsidRPr="007F722A">
        <w:rPr>
          <w:rFonts w:ascii="Arial" w:hAnsi="Arial" w:cs="Arial"/>
          <w:sz w:val="22"/>
          <w:szCs w:val="22"/>
        </w:rPr>
        <w:t>As noted in the comments, the NRC has discussed the comprehensive risk metric generically at a previous public meeting, and at a meeting on Part 53 during the comment period. The NRC intends to continue to interface with stakeholders and develop additional guidance on other acceptable approaches to meeting the comprehensive risk metric requirements. Therefore, the NRC d</w:t>
      </w:r>
      <w:r w:rsidRPr="007F722A" w:rsidR="000A5CD2">
        <w:rPr>
          <w:rFonts w:ascii="Arial" w:hAnsi="Arial" w:cs="Arial"/>
          <w:sz w:val="22"/>
          <w:szCs w:val="22"/>
        </w:rPr>
        <w:t>is</w:t>
      </w:r>
      <w:r w:rsidRPr="007F722A">
        <w:rPr>
          <w:rFonts w:ascii="Arial" w:hAnsi="Arial" w:cs="Arial"/>
          <w:sz w:val="22"/>
          <w:szCs w:val="22"/>
        </w:rPr>
        <w:t>agree</w:t>
      </w:r>
      <w:r w:rsidRPr="007F722A" w:rsidR="000A5CD2">
        <w:rPr>
          <w:rFonts w:ascii="Arial" w:hAnsi="Arial" w:cs="Arial"/>
          <w:sz w:val="22"/>
          <w:szCs w:val="22"/>
        </w:rPr>
        <w:t>s</w:t>
      </w:r>
      <w:r w:rsidRPr="007F722A">
        <w:rPr>
          <w:rFonts w:ascii="Arial" w:hAnsi="Arial" w:cs="Arial"/>
          <w:sz w:val="22"/>
          <w:szCs w:val="22"/>
        </w:rPr>
        <w:t xml:space="preserve"> that referring to the QHOs and their related surrogates in the final rule will result in them becoming de facto regulatory requirements </w:t>
      </w:r>
      <w:r w:rsidRPr="007F722A" w:rsidR="002B7151">
        <w:rPr>
          <w:rFonts w:ascii="Arial" w:hAnsi="Arial" w:cs="Arial"/>
          <w:sz w:val="22"/>
          <w:szCs w:val="22"/>
        </w:rPr>
        <w:t>and disagrees</w:t>
      </w:r>
      <w:r w:rsidRPr="007F722A">
        <w:rPr>
          <w:rFonts w:ascii="Arial" w:hAnsi="Arial" w:cs="Arial"/>
          <w:sz w:val="22"/>
          <w:szCs w:val="22"/>
        </w:rPr>
        <w:t xml:space="preserve"> that applicants will need to default to the QHOs and their related surrogates because of the challenges of developing and using alternatives. As explained in </w:t>
      </w:r>
      <w:r w:rsidR="00533BCB">
        <w:rPr>
          <w:rFonts w:ascii="Arial" w:hAnsi="Arial" w:cs="Arial"/>
          <w:sz w:val="22"/>
          <w:szCs w:val="22"/>
        </w:rPr>
        <w:t>the NRC’s</w:t>
      </w:r>
      <w:r w:rsidRPr="007F722A">
        <w:rPr>
          <w:rFonts w:ascii="Arial" w:hAnsi="Arial" w:cs="Arial"/>
          <w:sz w:val="22"/>
          <w:szCs w:val="22"/>
        </w:rPr>
        <w:t xml:space="preserve"> response</w:t>
      </w:r>
      <w:r w:rsidRPr="007F722A" w:rsidR="00B810EF">
        <w:rPr>
          <w:rFonts w:ascii="Arial" w:hAnsi="Arial" w:cs="Arial"/>
          <w:sz w:val="22"/>
          <w:szCs w:val="22"/>
        </w:rPr>
        <w:t>s</w:t>
      </w:r>
      <w:r w:rsidRPr="007F722A">
        <w:rPr>
          <w:rFonts w:ascii="Arial" w:hAnsi="Arial" w:cs="Arial"/>
          <w:sz w:val="22"/>
          <w:szCs w:val="22"/>
        </w:rPr>
        <w:t xml:space="preserve"> to </w:t>
      </w:r>
      <w:r w:rsidRPr="007F722A" w:rsidR="00C570B2">
        <w:rPr>
          <w:rFonts w:ascii="Arial" w:hAnsi="Arial" w:cs="Arial"/>
          <w:sz w:val="22"/>
          <w:szCs w:val="22"/>
        </w:rPr>
        <w:t>Comment Bin</w:t>
      </w:r>
      <w:r w:rsidRPr="007F722A" w:rsidR="00D678D3">
        <w:rPr>
          <w:rFonts w:ascii="Arial" w:hAnsi="Arial" w:cs="Arial"/>
          <w:sz w:val="22"/>
          <w:szCs w:val="22"/>
        </w:rPr>
        <w:t>s</w:t>
      </w:r>
      <w:r w:rsidRPr="007F722A" w:rsidR="00C570B2">
        <w:rPr>
          <w:rFonts w:ascii="Arial" w:hAnsi="Arial" w:cs="Arial"/>
          <w:sz w:val="22"/>
          <w:szCs w:val="22"/>
        </w:rPr>
        <w:t xml:space="preserve"> 1.3.B</w:t>
      </w:r>
      <w:r w:rsidRPr="007F722A" w:rsidR="00792229">
        <w:rPr>
          <w:rFonts w:ascii="Arial" w:hAnsi="Arial" w:cs="Arial"/>
          <w:sz w:val="22"/>
          <w:szCs w:val="22"/>
        </w:rPr>
        <w:t xml:space="preserve"> and 3.2.</w:t>
      </w:r>
      <w:r w:rsidRPr="007F722A" w:rsidR="004F08DE">
        <w:rPr>
          <w:rFonts w:ascii="Arial" w:hAnsi="Arial" w:cs="Arial"/>
          <w:sz w:val="22"/>
          <w:szCs w:val="22"/>
        </w:rPr>
        <w:t>1.2.</w:t>
      </w:r>
      <w:r w:rsidRPr="007F722A" w:rsidR="00B5678F">
        <w:rPr>
          <w:rFonts w:ascii="Arial" w:hAnsi="Arial" w:cs="Arial"/>
          <w:sz w:val="22"/>
          <w:szCs w:val="22"/>
        </w:rPr>
        <w:t>G</w:t>
      </w:r>
      <w:r w:rsidRPr="007F722A">
        <w:rPr>
          <w:rFonts w:ascii="Arial" w:hAnsi="Arial" w:cs="Arial"/>
          <w:sz w:val="22"/>
          <w:szCs w:val="22"/>
        </w:rPr>
        <w:t xml:space="preserve">, the NRC also does not agree that the </w:t>
      </w:r>
      <w:r w:rsidRPr="007F722A" w:rsidR="00CD7685">
        <w:rPr>
          <w:rFonts w:ascii="Arial" w:hAnsi="Arial" w:cs="Arial"/>
          <w:sz w:val="22"/>
          <w:szCs w:val="22"/>
        </w:rPr>
        <w:t>CAA</w:t>
      </w:r>
      <w:r w:rsidRPr="007F722A">
        <w:rPr>
          <w:rFonts w:ascii="Arial" w:hAnsi="Arial" w:cs="Arial"/>
          <w:sz w:val="22"/>
          <w:szCs w:val="22"/>
        </w:rPr>
        <w:t xml:space="preserve"> alters the NRC’s regulatory authority to set appropriate safety standards, that a risk-informed licensing framework requires the NRC to establish a definition of adequate protection, or that reliance on an ill-defined “integrated safety assessment” is appropriate.</w:t>
      </w:r>
    </w:p>
    <w:p w:rsidR="0030636D" w:rsidRPr="007F722A" w:rsidP="007F722A" w14:paraId="6863D879" w14:textId="77777777">
      <w:pPr>
        <w:spacing w:after="220"/>
        <w:rPr>
          <w:rFonts w:ascii="Arial" w:hAnsi="Arial" w:cs="Arial"/>
          <w:sz w:val="22"/>
          <w:szCs w:val="22"/>
        </w:rPr>
      </w:pPr>
      <w:r w:rsidRPr="007F722A">
        <w:rPr>
          <w:rFonts w:ascii="Arial" w:hAnsi="Arial" w:cs="Arial"/>
          <w:sz w:val="22"/>
          <w:szCs w:val="22"/>
        </w:rPr>
        <w:t xml:space="preserve">The NRC also acknowledges that </w:t>
      </w:r>
      <w:r w:rsidRPr="007F722A" w:rsidR="00083362">
        <w:rPr>
          <w:rFonts w:ascii="Arial" w:hAnsi="Arial" w:cs="Arial"/>
          <w:sz w:val="22"/>
          <w:szCs w:val="22"/>
        </w:rPr>
        <w:t>10 CFR </w:t>
      </w:r>
      <w:r w:rsidRPr="007F722A">
        <w:rPr>
          <w:rFonts w:ascii="Arial" w:hAnsi="Arial" w:cs="Arial"/>
          <w:sz w:val="22"/>
          <w:szCs w:val="22"/>
        </w:rPr>
        <w:t>Part</w:t>
      </w:r>
      <w:r w:rsidRPr="007F722A" w:rsidR="00083362">
        <w:rPr>
          <w:rFonts w:ascii="Arial" w:hAnsi="Arial" w:cs="Arial"/>
          <w:sz w:val="22"/>
          <w:szCs w:val="22"/>
        </w:rPr>
        <w:t> </w:t>
      </w:r>
      <w:r w:rsidRPr="007F722A">
        <w:rPr>
          <w:rFonts w:ascii="Arial" w:hAnsi="Arial" w:cs="Arial"/>
          <w:sz w:val="22"/>
          <w:szCs w:val="22"/>
        </w:rPr>
        <w:t>53 uses many similar but different terms to describe its safety requirements. However, these terms are generally intended to capture different meanings; therefore, the differing terminology is intentional. Based on context, language in the final rule, and guidance documents, the different meaning in terms should be apparent. For example, while “adequate protection” refers to the minimum level of safety NRC regulation must provide in the A</w:t>
      </w:r>
      <w:r w:rsidR="00F00366">
        <w:rPr>
          <w:rFonts w:ascii="Arial" w:hAnsi="Arial" w:cs="Arial"/>
          <w:sz w:val="22"/>
          <w:szCs w:val="22"/>
        </w:rPr>
        <w:t>EA</w:t>
      </w:r>
      <w:r w:rsidRPr="007F722A">
        <w:rPr>
          <w:rFonts w:ascii="Arial" w:hAnsi="Arial" w:cs="Arial"/>
          <w:sz w:val="22"/>
          <w:szCs w:val="22"/>
        </w:rPr>
        <w:t>, “appropriate level of safety” refers to the standard that the applicant’s proposed comprehensive risk metric must meet, which as discussed elsewhere, is one component of the agency’s overall “adequate protection” finding.</w:t>
      </w:r>
    </w:p>
    <w:p w:rsidR="0030636D" w:rsidRPr="007F722A" w:rsidP="007F722A" w14:paraId="5974882D" w14:textId="77777777">
      <w:pPr>
        <w:spacing w:after="220"/>
        <w:rPr>
          <w:rFonts w:ascii="Arial" w:hAnsi="Arial" w:cs="Arial"/>
          <w:sz w:val="22"/>
          <w:szCs w:val="22"/>
        </w:rPr>
      </w:pPr>
      <w:r w:rsidRPr="007F722A">
        <w:rPr>
          <w:rFonts w:ascii="Arial" w:hAnsi="Arial" w:cs="Arial"/>
          <w:sz w:val="22"/>
          <w:szCs w:val="22"/>
        </w:rPr>
        <w:t xml:space="preserve">The NRC disagrees with the suggestion to use the phrase “comprehensive safety metric(s).” The alternate wording does not provide any meaningful advantage over the existing text and could blur the distinction between risk-informed and deterministic frameworks. </w:t>
      </w:r>
    </w:p>
    <w:p w:rsidR="0030636D" w:rsidP="007F722A" w14:paraId="6699079A" w14:textId="77777777">
      <w:pPr>
        <w:spacing w:after="220"/>
        <w:rPr>
          <w:rFonts w:ascii="Arial" w:hAnsi="Arial" w:cs="Arial"/>
        </w:rPr>
      </w:pPr>
      <w:r w:rsidRPr="007F722A">
        <w:rPr>
          <w:rFonts w:ascii="Arial" w:hAnsi="Arial" w:cs="Arial"/>
          <w:sz w:val="22"/>
          <w:szCs w:val="22"/>
        </w:rPr>
        <w:t xml:space="preserve">Accordingly, the NRC did not </w:t>
      </w:r>
      <w:r w:rsidRPr="007F722A" w:rsidR="00A82C87">
        <w:rPr>
          <w:rFonts w:ascii="Arial" w:hAnsi="Arial" w:cs="Arial"/>
          <w:sz w:val="22"/>
          <w:szCs w:val="22"/>
        </w:rPr>
        <w:t>change</w:t>
      </w:r>
      <w:r w:rsidRPr="007F722A">
        <w:rPr>
          <w:rFonts w:ascii="Arial" w:hAnsi="Arial" w:cs="Arial"/>
          <w:sz w:val="22"/>
          <w:szCs w:val="22"/>
        </w:rPr>
        <w:t xml:space="preserve"> the rule language in response to these comments.</w:t>
      </w:r>
      <w:r w:rsidRPr="007F722A">
        <w:rPr>
          <w:sz w:val="22"/>
          <w:szCs w:val="22"/>
        </w:rPr>
        <w:t xml:space="preserve"> </w:t>
      </w:r>
      <w:r w:rsidRPr="007F722A">
        <w:rPr>
          <w:rFonts w:ascii="Arial" w:hAnsi="Arial" w:cs="Arial"/>
          <w:sz w:val="22"/>
          <w:szCs w:val="22"/>
        </w:rPr>
        <w:t xml:space="preserve">However, the </w:t>
      </w:r>
      <w:r w:rsidRPr="007F722A" w:rsidR="00A82C87">
        <w:rPr>
          <w:rFonts w:ascii="Arial" w:hAnsi="Arial" w:cs="Arial"/>
          <w:sz w:val="22"/>
          <w:szCs w:val="22"/>
        </w:rPr>
        <w:t xml:space="preserve">NRC </w:t>
      </w:r>
      <w:r w:rsidR="00BE2513">
        <w:rPr>
          <w:rFonts w:ascii="Arial" w:hAnsi="Arial" w:cs="Arial"/>
          <w:sz w:val="22"/>
          <w:szCs w:val="22"/>
        </w:rPr>
        <w:t>revised</w:t>
      </w:r>
      <w:r w:rsidRPr="007F722A" w:rsidR="00737D5D">
        <w:rPr>
          <w:rFonts w:ascii="Arial" w:hAnsi="Arial" w:cs="Arial"/>
          <w:sz w:val="22"/>
          <w:szCs w:val="22"/>
        </w:rPr>
        <w:t xml:space="preserve"> the </w:t>
      </w:r>
      <w:r w:rsidRPr="007F722A">
        <w:rPr>
          <w:rFonts w:ascii="Arial" w:hAnsi="Arial" w:cs="Arial"/>
          <w:sz w:val="22"/>
          <w:szCs w:val="22"/>
        </w:rPr>
        <w:t>rule language for 10 CFR 53.</w:t>
      </w:r>
      <w:r w:rsidRPr="007F722A" w:rsidR="00587619">
        <w:rPr>
          <w:rFonts w:ascii="Arial" w:hAnsi="Arial" w:cs="Arial"/>
          <w:sz w:val="22"/>
          <w:szCs w:val="22"/>
        </w:rPr>
        <w:t>4</w:t>
      </w:r>
      <w:r w:rsidRPr="007F722A">
        <w:rPr>
          <w:rFonts w:ascii="Arial" w:hAnsi="Arial" w:cs="Arial"/>
          <w:sz w:val="22"/>
          <w:szCs w:val="22"/>
        </w:rPr>
        <w:t>50</w:t>
      </w:r>
      <w:r w:rsidRPr="007F722A" w:rsidR="00587619">
        <w:rPr>
          <w:rFonts w:ascii="Arial" w:hAnsi="Arial" w:cs="Arial"/>
          <w:sz w:val="22"/>
          <w:szCs w:val="22"/>
        </w:rPr>
        <w:t>(a)</w:t>
      </w:r>
      <w:r w:rsidRPr="007F722A">
        <w:rPr>
          <w:rFonts w:ascii="Arial" w:hAnsi="Arial" w:cs="Arial"/>
          <w:sz w:val="22"/>
          <w:szCs w:val="22"/>
        </w:rPr>
        <w:t xml:space="preserve"> in response to </w:t>
      </w:r>
      <w:r w:rsidRPr="007F722A" w:rsidR="00D6395D">
        <w:rPr>
          <w:rFonts w:ascii="Arial" w:hAnsi="Arial" w:cs="Arial"/>
          <w:sz w:val="22"/>
          <w:szCs w:val="22"/>
        </w:rPr>
        <w:t>C</w:t>
      </w:r>
      <w:r w:rsidRPr="007F722A">
        <w:rPr>
          <w:rFonts w:ascii="Arial" w:hAnsi="Arial" w:cs="Arial"/>
          <w:sz w:val="22"/>
          <w:szCs w:val="22"/>
        </w:rPr>
        <w:t xml:space="preserve">omment </w:t>
      </w:r>
      <w:r w:rsidRPr="007F722A" w:rsidR="00D6395D">
        <w:rPr>
          <w:rFonts w:ascii="Arial" w:hAnsi="Arial" w:cs="Arial"/>
          <w:sz w:val="22"/>
          <w:szCs w:val="22"/>
        </w:rPr>
        <w:t>B</w:t>
      </w:r>
      <w:r w:rsidRPr="007F722A" w:rsidR="004C78A3">
        <w:rPr>
          <w:rFonts w:ascii="Arial" w:hAnsi="Arial" w:cs="Arial"/>
          <w:sz w:val="22"/>
          <w:szCs w:val="22"/>
        </w:rPr>
        <w:t>in 3.3.2.2.</w:t>
      </w:r>
      <w:r w:rsidRPr="007F722A" w:rsidR="003755E2">
        <w:rPr>
          <w:rFonts w:ascii="Arial" w:hAnsi="Arial" w:cs="Arial"/>
          <w:sz w:val="22"/>
          <w:szCs w:val="22"/>
        </w:rPr>
        <w:t>E</w:t>
      </w:r>
      <w:r w:rsidRPr="007F722A">
        <w:rPr>
          <w:rFonts w:ascii="Arial" w:hAnsi="Arial" w:cs="Arial"/>
          <w:sz w:val="22"/>
          <w:szCs w:val="22"/>
        </w:rPr>
        <w:t xml:space="preserve"> to support the potential for systematic risk evaluation techniques other than PRA.</w:t>
      </w:r>
    </w:p>
    <w:p w:rsidR="0030636D" w:rsidRPr="0030636D" w:rsidP="007F722A" w14:paraId="17C5964F" w14:textId="77777777">
      <w:pPr>
        <w:spacing w:after="220"/>
        <w:rPr>
          <w:rFonts w:ascii="Arial" w:hAnsi="Arial" w:cs="Arial"/>
          <w:b/>
        </w:rPr>
      </w:pPr>
      <w:r>
        <w:rPr>
          <w:rFonts w:ascii="Arial" w:hAnsi="Arial" w:cs="Arial"/>
        </w:rPr>
        <w:pict>
          <v:rect id="_x0000_i1087" style="width:0;height:1.5pt" o:hralign="center" o:hrstd="t" o:hrnoshade="t" o:hr="t" fillcolor="black" stroked="f"/>
        </w:pict>
      </w:r>
    </w:p>
    <w:p w:rsidR="007D725C" w:rsidP="00970BAB" w14:paraId="122415BD" w14:textId="77777777">
      <w:pPr>
        <w:pStyle w:val="Heading3"/>
        <w:keepNext/>
        <w:keepLines/>
        <w:numPr>
          <w:ilvl w:val="0"/>
          <w:numId w:val="0"/>
        </w:numPr>
        <w:ind w:left="720" w:hanging="720"/>
      </w:pPr>
      <w:bookmarkStart w:id="27" w:name="_Toc207222805"/>
      <w:r w:rsidRPr="007D4E93">
        <w:rPr>
          <w:u w:val="none"/>
        </w:rPr>
        <w:t>3.2.2.</w:t>
      </w:r>
      <w:r w:rsidRPr="007D4E93">
        <w:rPr>
          <w:u w:val="none"/>
        </w:rPr>
        <w:tab/>
      </w:r>
      <w:r w:rsidR="006A1E5C">
        <w:t xml:space="preserve">Defense in depth </w:t>
      </w:r>
      <w:r w:rsidRPr="007D725C" w:rsidR="006A1E5C">
        <w:t>(§ 53.250), including RFC on inherent safety characteristics</w:t>
      </w:r>
      <w:bookmarkEnd w:id="27"/>
    </w:p>
    <w:p w:rsidR="00D37459" w:rsidRPr="007F722A" w:rsidP="007F722A" w14:paraId="0D62C09D" w14:textId="77777777">
      <w:pPr>
        <w:spacing w:after="220"/>
        <w:rPr>
          <w:rFonts w:ascii="Arial" w:hAnsi="Arial" w:cs="Arial"/>
          <w:sz w:val="22"/>
          <w:szCs w:val="22"/>
        </w:rPr>
      </w:pPr>
      <w:r w:rsidRPr="007F722A">
        <w:rPr>
          <w:rFonts w:ascii="Arial" w:hAnsi="Arial" w:cs="Arial"/>
          <w:b/>
          <w:sz w:val="22"/>
          <w:szCs w:val="22"/>
        </w:rPr>
        <w:t xml:space="preserve">Comment Bin 3.2.2.A: </w:t>
      </w:r>
      <w:r w:rsidRPr="007F722A">
        <w:rPr>
          <w:rFonts w:ascii="Arial" w:hAnsi="Arial" w:cs="Arial"/>
          <w:sz w:val="22"/>
          <w:szCs w:val="22"/>
        </w:rPr>
        <w:t>A commenter suggested deleting 10 CFR 53.250 from the rule, stating that 10 CFR Part 50 and 10 CFR Part 52 do not contain such requirements and instead achieve the desired outcome by applying a defense-in-depth philosophy.</w:t>
      </w:r>
    </w:p>
    <w:p w:rsidR="00D37459" w:rsidRPr="007F722A" w:rsidP="00F533CA" w14:paraId="20840F6B" w14:textId="77777777">
      <w:pPr>
        <w:spacing w:after="220"/>
        <w:rPr>
          <w:rFonts w:ascii="Arial" w:hAnsi="Arial" w:cs="Arial"/>
          <w:sz w:val="22"/>
          <w:szCs w:val="22"/>
        </w:rPr>
      </w:pPr>
      <w:r w:rsidRPr="007F722A">
        <w:rPr>
          <w:rFonts w:ascii="Arial" w:hAnsi="Arial" w:cs="Arial"/>
          <w:sz w:val="22"/>
          <w:szCs w:val="22"/>
        </w:rPr>
        <w:t>The commenter characterized 10 CFR 53.250 as prescriptive rather than performance-based or risk-informed, giving as an example the phrase “Measures must be taken” in paragraph (a), which they said prescribes the feature rather than defining the desired outcome. The commenter also questioned why 10 CFR 53.250 is written to be applicable to NSRSS and S[R] SSCs when the single failure would be more effectively applied to SR SSCs relied upon for DBAs. The commenter argued that 10 CFR 53.250 is inconsistent with the basis for the Commission’s direction in SRM</w:t>
      </w:r>
      <w:r w:rsidRPr="007F722A">
        <w:rPr>
          <w:rFonts w:ascii="Arial" w:hAnsi="Arial" w:cs="Arial"/>
          <w:sz w:val="22"/>
          <w:szCs w:val="22"/>
        </w:rPr>
        <w:noBreakHyphen/>
        <w:t>SECY-19-0036</w:t>
      </w:r>
      <w:r w:rsidR="003B5D0A">
        <w:rPr>
          <w:rFonts w:ascii="Arial" w:hAnsi="Arial" w:cs="Arial"/>
          <w:sz w:val="22"/>
          <w:szCs w:val="22"/>
        </w:rPr>
        <w:t xml:space="preserve">, </w:t>
      </w:r>
      <w:r w:rsidR="00F533CA">
        <w:rPr>
          <w:rFonts w:ascii="Arial" w:hAnsi="Arial" w:cs="Arial"/>
          <w:sz w:val="22"/>
          <w:szCs w:val="22"/>
        </w:rPr>
        <w:t>“</w:t>
      </w:r>
      <w:r w:rsidRPr="00F533CA" w:rsidR="00F533CA">
        <w:rPr>
          <w:rFonts w:ascii="Arial" w:hAnsi="Arial" w:cs="Arial"/>
          <w:sz w:val="22"/>
          <w:szCs w:val="22"/>
        </w:rPr>
        <w:t>Staff Requirements</w:t>
      </w:r>
      <w:r w:rsidR="000528B2">
        <w:rPr>
          <w:rFonts w:ascii="Arial" w:hAnsi="Arial" w:cs="Arial"/>
          <w:sz w:val="22"/>
          <w:szCs w:val="22"/>
        </w:rPr>
        <w:t xml:space="preserve"> </w:t>
      </w:r>
      <w:r w:rsidRPr="00D94FBA" w:rsidR="00953B23">
        <w:rPr>
          <w:rFonts w:ascii="Arial" w:hAnsi="Arial" w:cs="Arial"/>
          <w:sz w:val="22"/>
          <w:szCs w:val="22"/>
        </w:rPr>
        <w:t>–</w:t>
      </w:r>
      <w:r w:rsidR="00953B23">
        <w:rPr>
          <w:rFonts w:ascii="Arial" w:hAnsi="Arial" w:cs="Arial"/>
          <w:sz w:val="22"/>
          <w:szCs w:val="22"/>
        </w:rPr>
        <w:t xml:space="preserve"> </w:t>
      </w:r>
      <w:r w:rsidRPr="00F533CA" w:rsidR="00F533CA">
        <w:rPr>
          <w:rFonts w:ascii="Arial" w:hAnsi="Arial" w:cs="Arial"/>
          <w:sz w:val="22"/>
          <w:szCs w:val="22"/>
        </w:rPr>
        <w:t>S</w:t>
      </w:r>
      <w:r w:rsidR="00F533CA">
        <w:rPr>
          <w:rFonts w:ascii="Arial" w:hAnsi="Arial" w:cs="Arial"/>
          <w:sz w:val="22"/>
          <w:szCs w:val="22"/>
        </w:rPr>
        <w:t>ECY</w:t>
      </w:r>
      <w:r w:rsidRPr="00F533CA" w:rsidR="00F533CA">
        <w:rPr>
          <w:rFonts w:ascii="Arial" w:hAnsi="Arial" w:cs="Arial"/>
          <w:sz w:val="22"/>
          <w:szCs w:val="22"/>
        </w:rPr>
        <w:t>-19-0036</w:t>
      </w:r>
      <w:r w:rsidR="000528B2">
        <w:rPr>
          <w:rFonts w:ascii="Arial" w:hAnsi="Arial" w:cs="Arial"/>
          <w:sz w:val="22"/>
          <w:szCs w:val="22"/>
        </w:rPr>
        <w:t xml:space="preserve"> </w:t>
      </w:r>
      <w:r w:rsidRPr="00D94FBA" w:rsidR="00953B23">
        <w:rPr>
          <w:rFonts w:ascii="Arial" w:hAnsi="Arial" w:cs="Arial"/>
          <w:sz w:val="22"/>
          <w:szCs w:val="22"/>
        </w:rPr>
        <w:t>–</w:t>
      </w:r>
      <w:r w:rsidRPr="00F533CA" w:rsidR="00F533CA">
        <w:rPr>
          <w:rFonts w:ascii="Arial" w:hAnsi="Arial" w:cs="Arial"/>
          <w:sz w:val="22"/>
          <w:szCs w:val="22"/>
        </w:rPr>
        <w:t xml:space="preserve">Application </w:t>
      </w:r>
      <w:r w:rsidR="00C06560">
        <w:rPr>
          <w:rFonts w:ascii="Arial" w:hAnsi="Arial" w:cs="Arial"/>
          <w:sz w:val="22"/>
          <w:szCs w:val="22"/>
        </w:rPr>
        <w:t>o</w:t>
      </w:r>
      <w:r w:rsidRPr="00F533CA" w:rsidR="00F533CA">
        <w:rPr>
          <w:rFonts w:ascii="Arial" w:hAnsi="Arial" w:cs="Arial"/>
          <w:sz w:val="22"/>
          <w:szCs w:val="22"/>
        </w:rPr>
        <w:t>f</w:t>
      </w:r>
      <w:r w:rsidR="00C06560">
        <w:rPr>
          <w:rFonts w:ascii="Arial" w:hAnsi="Arial" w:cs="Arial"/>
          <w:sz w:val="22"/>
          <w:szCs w:val="22"/>
        </w:rPr>
        <w:t xml:space="preserve"> </w:t>
      </w:r>
      <w:r w:rsidRPr="00F533CA" w:rsidR="00F533CA">
        <w:rPr>
          <w:rFonts w:ascii="Arial" w:hAnsi="Arial" w:cs="Arial"/>
          <w:sz w:val="22"/>
          <w:szCs w:val="22"/>
        </w:rPr>
        <w:t xml:space="preserve">the Single Failure Criterion </w:t>
      </w:r>
      <w:r w:rsidR="00C06560">
        <w:rPr>
          <w:rFonts w:ascii="Arial" w:hAnsi="Arial" w:cs="Arial"/>
          <w:sz w:val="22"/>
          <w:szCs w:val="22"/>
        </w:rPr>
        <w:t>t</w:t>
      </w:r>
      <w:r w:rsidRPr="00F533CA" w:rsidR="00F533CA">
        <w:rPr>
          <w:rFonts w:ascii="Arial" w:hAnsi="Arial" w:cs="Arial"/>
          <w:sz w:val="22"/>
          <w:szCs w:val="22"/>
        </w:rPr>
        <w:t xml:space="preserve">o </w:t>
      </w:r>
      <w:r w:rsidRPr="00F533CA" w:rsidR="00F533CA">
        <w:rPr>
          <w:rFonts w:ascii="Arial" w:hAnsi="Arial" w:cs="Arial"/>
          <w:sz w:val="22"/>
          <w:szCs w:val="22"/>
        </w:rPr>
        <w:t>Nuscale</w:t>
      </w:r>
      <w:r w:rsidRPr="00F533CA" w:rsidR="00F533CA">
        <w:rPr>
          <w:rFonts w:ascii="Arial" w:hAnsi="Arial" w:cs="Arial"/>
          <w:sz w:val="22"/>
          <w:szCs w:val="22"/>
        </w:rPr>
        <w:t xml:space="preserve"> Power</w:t>
      </w:r>
      <w:r w:rsidR="00F533CA">
        <w:rPr>
          <w:rFonts w:ascii="Arial" w:hAnsi="Arial" w:cs="Arial"/>
          <w:sz w:val="22"/>
          <w:szCs w:val="22"/>
        </w:rPr>
        <w:t xml:space="preserve"> </w:t>
      </w:r>
      <w:r w:rsidRPr="00F533CA" w:rsidR="00F533CA">
        <w:rPr>
          <w:rFonts w:ascii="Arial" w:hAnsi="Arial" w:cs="Arial"/>
          <w:sz w:val="22"/>
          <w:szCs w:val="22"/>
        </w:rPr>
        <w:t>L</w:t>
      </w:r>
      <w:r w:rsidR="00C06560">
        <w:rPr>
          <w:rFonts w:ascii="Arial" w:hAnsi="Arial" w:cs="Arial"/>
          <w:sz w:val="22"/>
          <w:szCs w:val="22"/>
        </w:rPr>
        <w:t>L</w:t>
      </w:r>
      <w:r w:rsidR="008C247D">
        <w:rPr>
          <w:rFonts w:ascii="Arial" w:hAnsi="Arial" w:cs="Arial"/>
          <w:sz w:val="22"/>
          <w:szCs w:val="22"/>
        </w:rPr>
        <w:t>C</w:t>
      </w:r>
      <w:r w:rsidRPr="00F533CA" w:rsidR="00F533CA">
        <w:rPr>
          <w:rFonts w:ascii="Arial" w:hAnsi="Arial" w:cs="Arial"/>
          <w:sz w:val="22"/>
          <w:szCs w:val="22"/>
        </w:rPr>
        <w:t>'s Inadvertent Actuation Block Valves</w:t>
      </w:r>
      <w:r w:rsidR="00B04C01">
        <w:rPr>
          <w:rFonts w:ascii="Arial" w:hAnsi="Arial" w:cs="Arial"/>
          <w:sz w:val="22"/>
          <w:szCs w:val="22"/>
        </w:rPr>
        <w:t>,”</w:t>
      </w:r>
      <w:r w:rsidR="008C247D">
        <w:rPr>
          <w:rFonts w:ascii="Arial" w:hAnsi="Arial" w:cs="Arial"/>
          <w:sz w:val="22"/>
          <w:szCs w:val="22"/>
        </w:rPr>
        <w:t xml:space="preserve"> </w:t>
      </w:r>
      <w:r w:rsidR="003526DD">
        <w:rPr>
          <w:rFonts w:ascii="Arial" w:hAnsi="Arial" w:cs="Arial"/>
          <w:sz w:val="22"/>
          <w:szCs w:val="22"/>
        </w:rPr>
        <w:t>issu</w:t>
      </w:r>
      <w:r w:rsidR="008C247D">
        <w:rPr>
          <w:rFonts w:ascii="Arial" w:hAnsi="Arial" w:cs="Arial"/>
          <w:sz w:val="22"/>
          <w:szCs w:val="22"/>
        </w:rPr>
        <w:t>ed</w:t>
      </w:r>
      <w:r w:rsidRPr="007F722A" w:rsidR="00F533CA">
        <w:rPr>
          <w:rFonts w:ascii="Arial" w:hAnsi="Arial" w:cs="Arial"/>
          <w:sz w:val="22"/>
          <w:szCs w:val="22"/>
        </w:rPr>
        <w:t xml:space="preserve"> </w:t>
      </w:r>
      <w:r w:rsidR="008C247D">
        <w:rPr>
          <w:rFonts w:ascii="Arial" w:hAnsi="Arial" w:cs="Arial"/>
          <w:sz w:val="22"/>
          <w:szCs w:val="22"/>
        </w:rPr>
        <w:t>July 2019 (</w:t>
      </w:r>
      <w:r w:rsidRPr="00A36BEC" w:rsidR="00A36BEC">
        <w:rPr>
          <w:rFonts w:ascii="Arial" w:hAnsi="Arial" w:cs="Arial"/>
          <w:sz w:val="22"/>
          <w:szCs w:val="22"/>
        </w:rPr>
        <w:t>ML19183A408</w:t>
      </w:r>
      <w:r w:rsidR="00A36BEC">
        <w:rPr>
          <w:rFonts w:ascii="Arial" w:hAnsi="Arial" w:cs="Arial"/>
          <w:sz w:val="22"/>
          <w:szCs w:val="22"/>
        </w:rPr>
        <w:t xml:space="preserve">), </w:t>
      </w:r>
      <w:r w:rsidRPr="007F722A">
        <w:rPr>
          <w:rFonts w:ascii="Arial" w:hAnsi="Arial" w:cs="Arial"/>
          <w:sz w:val="22"/>
          <w:szCs w:val="22"/>
        </w:rPr>
        <w:t>not to apply deterministic criteria when they are unnecessary based on risk insights.</w:t>
      </w:r>
    </w:p>
    <w:p w:rsidR="00D37459" w:rsidRPr="007F722A" w:rsidP="007F722A" w14:paraId="0550412F" w14:textId="77777777">
      <w:pPr>
        <w:spacing w:after="220"/>
        <w:rPr>
          <w:rFonts w:ascii="Arial" w:hAnsi="Arial" w:cs="Arial"/>
          <w:sz w:val="22"/>
          <w:szCs w:val="22"/>
        </w:rPr>
      </w:pPr>
      <w:r w:rsidRPr="007F722A">
        <w:rPr>
          <w:rFonts w:ascii="Arial" w:hAnsi="Arial" w:cs="Arial"/>
          <w:sz w:val="22"/>
          <w:szCs w:val="22"/>
        </w:rPr>
        <w:t>Ultimately, the commenter suggested that if the NRC does not delete 10</w:t>
      </w:r>
      <w:r w:rsidR="009D2C23">
        <w:rPr>
          <w:rFonts w:ascii="Arial" w:hAnsi="Arial" w:cs="Arial"/>
          <w:sz w:val="22"/>
          <w:szCs w:val="22"/>
        </w:rPr>
        <w:t> </w:t>
      </w:r>
      <w:r w:rsidRPr="007F722A">
        <w:rPr>
          <w:rFonts w:ascii="Arial" w:hAnsi="Arial" w:cs="Arial"/>
          <w:sz w:val="22"/>
          <w:szCs w:val="22"/>
        </w:rPr>
        <w:t>CFR</w:t>
      </w:r>
      <w:r w:rsidR="009D2C23">
        <w:rPr>
          <w:rFonts w:ascii="Arial" w:hAnsi="Arial" w:cs="Arial"/>
          <w:sz w:val="22"/>
          <w:szCs w:val="22"/>
        </w:rPr>
        <w:t> </w:t>
      </w:r>
      <w:r w:rsidRPr="007F722A">
        <w:rPr>
          <w:rFonts w:ascii="Arial" w:hAnsi="Arial" w:cs="Arial"/>
          <w:sz w:val="22"/>
          <w:szCs w:val="22"/>
        </w:rPr>
        <w:t>53.250, then paragraphs (a) and (c) should be revised as follows (</w:t>
      </w:r>
      <w:r w:rsidR="009D6BB9">
        <w:rPr>
          <w:rFonts w:ascii="Arial" w:hAnsi="Arial" w:cs="Arial"/>
          <w:sz w:val="22"/>
          <w:szCs w:val="22"/>
        </w:rPr>
        <w:t>NEI2</w:t>
      </w:r>
      <w:r w:rsidRPr="007F722A">
        <w:rPr>
          <w:rFonts w:ascii="Arial" w:hAnsi="Arial" w:cs="Arial"/>
          <w:sz w:val="22"/>
          <w:szCs w:val="22"/>
        </w:rPr>
        <w:t>-0041):</w:t>
      </w:r>
    </w:p>
    <w:p w:rsidR="00D37459" w:rsidRPr="007F722A" w:rsidP="007F722A" w14:paraId="72E15C39" w14:textId="77777777">
      <w:pPr>
        <w:spacing w:after="220"/>
        <w:ind w:left="720" w:right="720"/>
        <w:rPr>
          <w:rFonts w:ascii="Arial" w:hAnsi="Arial" w:cs="Arial"/>
          <w:sz w:val="22"/>
          <w:szCs w:val="22"/>
        </w:rPr>
      </w:pPr>
      <w:r w:rsidRPr="007F722A">
        <w:rPr>
          <w:rFonts w:ascii="Arial" w:hAnsi="Arial" w:cs="Arial"/>
          <w:sz w:val="22"/>
          <w:szCs w:val="22"/>
        </w:rPr>
        <w:t>(a) Defense in depth must be provided to compensate for uncertainties in the analysis of the safety criteria such that there is reasonable assurance that the safety criteria in this subpart are met over the life of the plant.</w:t>
      </w:r>
    </w:p>
    <w:p w:rsidR="00D37459" w:rsidRPr="007F722A" w:rsidP="007F722A" w14:paraId="4A9BE0BB" w14:textId="77777777">
      <w:pPr>
        <w:spacing w:after="220"/>
        <w:ind w:left="720" w:right="720"/>
        <w:rPr>
          <w:rFonts w:ascii="Arial" w:hAnsi="Arial" w:cs="Arial"/>
          <w:sz w:val="22"/>
          <w:szCs w:val="22"/>
        </w:rPr>
      </w:pPr>
      <w:r w:rsidRPr="007F722A">
        <w:rPr>
          <w:rFonts w:ascii="Arial" w:hAnsi="Arial" w:cs="Arial"/>
          <w:sz w:val="22"/>
          <w:szCs w:val="22"/>
        </w:rPr>
        <w:t>. . .</w:t>
      </w:r>
    </w:p>
    <w:p w:rsidR="00D37459" w:rsidRPr="007F722A" w:rsidP="007F722A" w14:paraId="590940AC" w14:textId="77777777">
      <w:pPr>
        <w:spacing w:after="220"/>
        <w:ind w:left="720" w:right="720"/>
        <w:rPr>
          <w:rFonts w:ascii="Arial" w:hAnsi="Arial" w:cs="Arial"/>
          <w:sz w:val="22"/>
          <w:szCs w:val="22"/>
        </w:rPr>
      </w:pPr>
      <w:r w:rsidRPr="007F722A">
        <w:rPr>
          <w:rFonts w:ascii="Arial" w:hAnsi="Arial" w:cs="Arial"/>
          <w:sz w:val="22"/>
          <w:szCs w:val="22"/>
        </w:rPr>
        <w:t>(c) Defense in depth measures may include increased safety margin and redundant layers of protection.</w:t>
      </w:r>
    </w:p>
    <w:p w:rsidR="00D37459" w:rsidRPr="007F722A" w:rsidP="007F722A" w14:paraId="5302DF0C" w14:textId="77777777">
      <w:pPr>
        <w:spacing w:after="220"/>
        <w:rPr>
          <w:rFonts w:ascii="Arial" w:hAnsi="Arial" w:cs="Arial"/>
          <w:sz w:val="22"/>
          <w:szCs w:val="22"/>
        </w:rPr>
      </w:pPr>
      <w:r w:rsidRPr="007F722A">
        <w:rPr>
          <w:rFonts w:ascii="Arial" w:hAnsi="Arial" w:cs="Arial"/>
          <w:sz w:val="22"/>
          <w:szCs w:val="22"/>
        </w:rPr>
        <w:t>Another commenter wrote that a simple PRA can provide useful insights to generally assess defense-in-depth, however the proposed rule suggests the NRC staff would be involved at “more than a macro level” which is a “semi-terrifying prospect” for applicants and licensees (</w:t>
      </w:r>
      <w:r w:rsidR="00BF4BEF">
        <w:rPr>
          <w:rFonts w:ascii="Arial" w:hAnsi="Arial" w:cs="Arial"/>
          <w:sz w:val="22"/>
          <w:szCs w:val="22"/>
        </w:rPr>
        <w:t>HPT42</w:t>
      </w:r>
      <w:r w:rsidRPr="007F722A">
        <w:rPr>
          <w:rFonts w:ascii="Arial" w:hAnsi="Arial" w:cs="Arial"/>
          <w:sz w:val="22"/>
          <w:szCs w:val="22"/>
        </w:rPr>
        <w:t>-0004).</w:t>
      </w:r>
    </w:p>
    <w:p w:rsidR="00D37459" w:rsidRPr="007F722A" w:rsidP="007F722A" w14:paraId="3033C406" w14:textId="77777777">
      <w:pPr>
        <w:spacing w:after="220"/>
        <w:rPr>
          <w:rFonts w:ascii="Arial" w:hAnsi="Arial" w:cs="Arial"/>
          <w:sz w:val="22"/>
          <w:szCs w:val="22"/>
        </w:rPr>
      </w:pPr>
      <w:r w:rsidRPr="007F722A">
        <w:rPr>
          <w:rFonts w:ascii="Arial" w:hAnsi="Arial" w:cs="Arial"/>
          <w:sz w:val="22"/>
          <w:szCs w:val="22"/>
        </w:rPr>
        <w:t>Another commenter requested that the NRC should work with stakeholders to establish acceptable means to comply with 10 CFR 53.250 defense-in-depth requirements for non-LMP applicants (</w:t>
      </w:r>
      <w:r w:rsidR="009D6BB9">
        <w:rPr>
          <w:rFonts w:ascii="Arial" w:hAnsi="Arial" w:cs="Arial"/>
          <w:sz w:val="22"/>
          <w:szCs w:val="22"/>
        </w:rPr>
        <w:t>NEI2</w:t>
      </w:r>
      <w:r w:rsidRPr="007F722A">
        <w:rPr>
          <w:rFonts w:ascii="Arial" w:hAnsi="Arial" w:cs="Arial"/>
          <w:sz w:val="22"/>
          <w:szCs w:val="22"/>
        </w:rPr>
        <w:t>-0006).</w:t>
      </w:r>
    </w:p>
    <w:p w:rsidR="00D37459" w:rsidRPr="007F722A" w:rsidP="007F722A" w14:paraId="4CF3ECE6"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in part, with the comments.</w:t>
      </w:r>
    </w:p>
    <w:p w:rsidR="00D37459" w:rsidRPr="007F722A" w:rsidP="007F722A" w14:paraId="44D421C6" w14:textId="77777777">
      <w:pPr>
        <w:spacing w:after="220"/>
        <w:rPr>
          <w:rFonts w:ascii="Arial" w:hAnsi="Arial" w:cs="Arial"/>
          <w:sz w:val="22"/>
          <w:szCs w:val="22"/>
        </w:rPr>
      </w:pPr>
      <w:r w:rsidRPr="007F722A">
        <w:rPr>
          <w:rFonts w:ascii="Arial" w:hAnsi="Arial" w:cs="Arial"/>
          <w:sz w:val="22"/>
          <w:szCs w:val="22"/>
        </w:rPr>
        <w:t xml:space="preserve">The NRC disagrees with the suggestion to delete 10 CFR 53.250 from the rule. The requirement under 10 CFR 53.250(c) is different from the single failure criterion described in Appendix A to 10 CFR Part 50 in that the 10 CFR 53.250(c) requirement does not allow the safety analysis to exclusively rely on a single engineered design feature, human action, or programmatic control to address the range of LBEs other than DBAs (i.e., ranging from very unlikely event sequences to anticipated event sequences). In contrast, the single failure criterion under Appendix A to 10 CFR Part 50 relates, in part, to the failure of a component to perform its intended safety functions, regardless of whether that component was exclusively relied on to address the range of LBEs. This means the requirement under 10 CFR 53.250(c) does not strictly disallow single failures, as defined in Appendix A to 10 CFR Part 50, because a component could experience such a single failure and, if it is not otherwise relied on to address the range of LBEs other than DBAs, its failure alone does not preclude being able to meet </w:t>
      </w:r>
      <w:r w:rsidRPr="007F722A">
        <w:rPr>
          <w:rFonts w:ascii="Arial" w:hAnsi="Arial" w:cs="Arial"/>
          <w:sz w:val="22"/>
          <w:szCs w:val="22"/>
        </w:rPr>
        <w:t>10</w:t>
      </w:r>
      <w:r w:rsidR="009D2C23">
        <w:rPr>
          <w:rFonts w:ascii="Arial" w:hAnsi="Arial" w:cs="Arial"/>
          <w:sz w:val="22"/>
          <w:szCs w:val="22"/>
        </w:rPr>
        <w:t> </w:t>
      </w:r>
      <w:r w:rsidRPr="007F722A">
        <w:rPr>
          <w:rFonts w:ascii="Arial" w:hAnsi="Arial" w:cs="Arial"/>
          <w:sz w:val="22"/>
          <w:szCs w:val="22"/>
        </w:rPr>
        <w:t>CFR 53.250(c). In that regard, 10 CFR 53.250 would allow for greater flexibility such that other measures could be taken to ensure appropriate defense in depth without needing to accommodate single failures, as defined in Appendix A to 10 CFR Part 50.</w:t>
      </w:r>
      <w:r w:rsidR="009D171E">
        <w:rPr>
          <w:rFonts w:ascii="Arial" w:hAnsi="Arial" w:cs="Arial"/>
          <w:sz w:val="22"/>
          <w:szCs w:val="22"/>
        </w:rPr>
        <w:t xml:space="preserve"> </w:t>
      </w:r>
      <w:r w:rsidR="007D2B26">
        <w:rPr>
          <w:rFonts w:ascii="Arial" w:hAnsi="Arial" w:cs="Arial"/>
          <w:sz w:val="22"/>
          <w:szCs w:val="22"/>
        </w:rPr>
        <w:t>However, t</w:t>
      </w:r>
      <w:r w:rsidR="00265342">
        <w:rPr>
          <w:rFonts w:ascii="Arial" w:hAnsi="Arial" w:cs="Arial"/>
          <w:sz w:val="22"/>
          <w:szCs w:val="22"/>
        </w:rPr>
        <w:t>he NRC identified</w:t>
      </w:r>
      <w:r w:rsidR="007D2B26">
        <w:rPr>
          <w:rFonts w:ascii="Arial" w:hAnsi="Arial" w:cs="Arial"/>
          <w:sz w:val="22"/>
          <w:szCs w:val="22"/>
        </w:rPr>
        <w:t xml:space="preserve"> that the rule language in 10 CFR</w:t>
      </w:r>
      <w:r w:rsidR="00737592">
        <w:rPr>
          <w:rFonts w:ascii="Arial" w:hAnsi="Arial" w:cs="Arial"/>
          <w:sz w:val="22"/>
          <w:szCs w:val="22"/>
        </w:rPr>
        <w:t xml:space="preserve"> 53.250(c) in </w:t>
      </w:r>
      <w:r w:rsidR="00E479C6">
        <w:rPr>
          <w:rFonts w:ascii="Arial" w:hAnsi="Arial" w:cs="Arial"/>
          <w:sz w:val="22"/>
          <w:szCs w:val="22"/>
        </w:rPr>
        <w:t>the proposed rule did not include the qualifier “exclusively</w:t>
      </w:r>
      <w:r w:rsidR="00A928D6">
        <w:rPr>
          <w:rFonts w:ascii="Arial" w:hAnsi="Arial" w:cs="Arial"/>
          <w:sz w:val="22"/>
          <w:szCs w:val="22"/>
        </w:rPr>
        <w:t xml:space="preserve">,” consistent with the discussion in Section IV of the </w:t>
      </w:r>
      <w:r w:rsidR="00413CA3">
        <w:rPr>
          <w:rFonts w:ascii="Arial" w:hAnsi="Arial" w:cs="Arial"/>
          <w:sz w:val="22"/>
          <w:szCs w:val="22"/>
        </w:rPr>
        <w:t>FRN</w:t>
      </w:r>
      <w:r w:rsidR="00A928D6">
        <w:rPr>
          <w:rFonts w:ascii="Arial" w:hAnsi="Arial" w:cs="Arial"/>
          <w:sz w:val="22"/>
          <w:szCs w:val="22"/>
        </w:rPr>
        <w:t xml:space="preserve"> for the </w:t>
      </w:r>
      <w:r w:rsidR="00323954">
        <w:rPr>
          <w:rFonts w:ascii="Arial" w:hAnsi="Arial" w:cs="Arial"/>
          <w:sz w:val="22"/>
          <w:szCs w:val="22"/>
        </w:rPr>
        <w:t>proposed rule. Accordingly, the NRC revised the rule language in 10</w:t>
      </w:r>
      <w:r w:rsidR="00413CA3">
        <w:rPr>
          <w:rFonts w:ascii="Arial" w:hAnsi="Arial" w:cs="Arial"/>
          <w:sz w:val="22"/>
          <w:szCs w:val="22"/>
        </w:rPr>
        <w:t> </w:t>
      </w:r>
      <w:r w:rsidR="00323954">
        <w:rPr>
          <w:rFonts w:ascii="Arial" w:hAnsi="Arial" w:cs="Arial"/>
          <w:sz w:val="22"/>
          <w:szCs w:val="22"/>
        </w:rPr>
        <w:t>CFR</w:t>
      </w:r>
      <w:r w:rsidR="00413CA3">
        <w:rPr>
          <w:rFonts w:ascii="Arial" w:hAnsi="Arial" w:cs="Arial"/>
          <w:sz w:val="22"/>
          <w:szCs w:val="22"/>
        </w:rPr>
        <w:t> </w:t>
      </w:r>
      <w:r w:rsidR="00323954">
        <w:rPr>
          <w:rFonts w:ascii="Arial" w:hAnsi="Arial" w:cs="Arial"/>
          <w:sz w:val="22"/>
          <w:szCs w:val="22"/>
        </w:rPr>
        <w:t xml:space="preserve">53.250(c) to </w:t>
      </w:r>
      <w:r w:rsidR="00F21EE7">
        <w:rPr>
          <w:rFonts w:ascii="Arial" w:hAnsi="Arial" w:cs="Arial"/>
          <w:sz w:val="22"/>
          <w:szCs w:val="22"/>
        </w:rPr>
        <w:t>include “exclusively</w:t>
      </w:r>
      <w:r w:rsidR="00412F63">
        <w:rPr>
          <w:rFonts w:ascii="Arial" w:hAnsi="Arial" w:cs="Arial"/>
          <w:sz w:val="22"/>
          <w:szCs w:val="22"/>
        </w:rPr>
        <w:t>,</w:t>
      </w:r>
      <w:r w:rsidR="00F21EE7">
        <w:rPr>
          <w:rFonts w:ascii="Arial" w:hAnsi="Arial" w:cs="Arial"/>
          <w:sz w:val="22"/>
          <w:szCs w:val="22"/>
        </w:rPr>
        <w:t>” as discussed in this response</w:t>
      </w:r>
      <w:r w:rsidR="00412F63">
        <w:rPr>
          <w:rFonts w:ascii="Arial" w:hAnsi="Arial" w:cs="Arial"/>
          <w:sz w:val="22"/>
          <w:szCs w:val="22"/>
        </w:rPr>
        <w:t>.</w:t>
      </w:r>
      <w:r w:rsidR="00F21EE7">
        <w:rPr>
          <w:rFonts w:ascii="Arial" w:hAnsi="Arial" w:cs="Arial"/>
          <w:sz w:val="22"/>
          <w:szCs w:val="22"/>
        </w:rPr>
        <w:t xml:space="preserve"> </w:t>
      </w:r>
    </w:p>
    <w:p w:rsidR="00D37459" w:rsidRPr="007F722A" w:rsidP="007F722A" w14:paraId="19208A30" w14:textId="77777777">
      <w:pPr>
        <w:spacing w:after="220"/>
        <w:rPr>
          <w:rFonts w:ascii="Arial" w:hAnsi="Arial" w:cs="Arial"/>
          <w:sz w:val="22"/>
          <w:szCs w:val="22"/>
        </w:rPr>
      </w:pPr>
      <w:r w:rsidRPr="007F722A">
        <w:rPr>
          <w:rFonts w:ascii="Arial" w:hAnsi="Arial" w:cs="Arial"/>
          <w:sz w:val="22"/>
          <w:szCs w:val="22"/>
        </w:rPr>
        <w:t>As discussed in the proposed and final rules, defense in depth is addressed in 10 CFR</w:t>
      </w:r>
      <w:r w:rsidR="009D2C23">
        <w:rPr>
          <w:rFonts w:ascii="Arial" w:hAnsi="Arial" w:cs="Arial"/>
          <w:sz w:val="22"/>
          <w:szCs w:val="22"/>
        </w:rPr>
        <w:t> </w:t>
      </w:r>
      <w:r w:rsidRPr="007F722A">
        <w:rPr>
          <w:rFonts w:ascii="Arial" w:hAnsi="Arial" w:cs="Arial"/>
          <w:sz w:val="22"/>
          <w:szCs w:val="22"/>
        </w:rPr>
        <w:t>Part</w:t>
      </w:r>
      <w:r w:rsidR="009D2C23">
        <w:rPr>
          <w:rFonts w:ascii="Arial" w:hAnsi="Arial" w:cs="Arial"/>
          <w:sz w:val="22"/>
          <w:szCs w:val="22"/>
        </w:rPr>
        <w:t> </w:t>
      </w:r>
      <w:r w:rsidRPr="007F722A">
        <w:rPr>
          <w:rFonts w:ascii="Arial" w:hAnsi="Arial" w:cs="Arial"/>
          <w:sz w:val="22"/>
          <w:szCs w:val="22"/>
        </w:rPr>
        <w:t xml:space="preserve">50 and </w:t>
      </w:r>
      <w:r w:rsidR="00E573E9">
        <w:rPr>
          <w:rFonts w:ascii="Arial" w:hAnsi="Arial" w:cs="Arial"/>
          <w:sz w:val="22"/>
          <w:szCs w:val="22"/>
        </w:rPr>
        <w:t xml:space="preserve">10 CFR Part </w:t>
      </w:r>
      <w:r w:rsidRPr="007F722A">
        <w:rPr>
          <w:rFonts w:ascii="Arial" w:hAnsi="Arial" w:cs="Arial"/>
          <w:sz w:val="22"/>
          <w:szCs w:val="22"/>
        </w:rPr>
        <w:t xml:space="preserve">52 through layered, prescriptive technical requirements for LWRs. However, under 10 CFR Part 53, applicants have flexibility related to how they could propose demonstrating compliance with the high-level safety criteria. As such, without specific requirements to explicitly address defense in depth, 10 CFR Part 53 could otherwise allow for substantial deviation from the NRC’s longstanding philosophy of providing defense in depth to address uncertainties about the design, operation, and performance of commercial nuclear plants (e.g., proposed measures that only address preventing versus mitigating an event sequence and vice versa). As such, the requirement under 10 CFR 53.250(a) is expressed in terms of “measures” because those are the aspects of </w:t>
      </w:r>
      <w:r w:rsidR="00A54D0E">
        <w:rPr>
          <w:rFonts w:ascii="Arial" w:hAnsi="Arial" w:cs="Arial"/>
          <w:sz w:val="22"/>
          <w:szCs w:val="22"/>
        </w:rPr>
        <w:t xml:space="preserve">managing the risks posed by a commercial nuclear plant </w:t>
      </w:r>
      <w:r w:rsidRPr="007F722A">
        <w:rPr>
          <w:rFonts w:ascii="Arial" w:hAnsi="Arial" w:cs="Arial"/>
          <w:sz w:val="22"/>
          <w:szCs w:val="22"/>
        </w:rPr>
        <w:t>that would be evaluated by the NRC to determine whether a design has appropriate defense in depth.</w:t>
      </w:r>
    </w:p>
    <w:p w:rsidR="00D37459" w:rsidRPr="007F722A" w:rsidP="007F722A" w14:paraId="10622470" w14:textId="77777777">
      <w:pPr>
        <w:spacing w:after="220"/>
        <w:rPr>
          <w:rFonts w:ascii="Arial" w:hAnsi="Arial" w:cs="Arial"/>
          <w:sz w:val="22"/>
          <w:szCs w:val="22"/>
        </w:rPr>
      </w:pPr>
      <w:r w:rsidRPr="007F722A">
        <w:rPr>
          <w:rFonts w:ascii="Arial" w:hAnsi="Arial" w:cs="Arial"/>
          <w:sz w:val="22"/>
          <w:szCs w:val="22"/>
        </w:rPr>
        <w:t>The NRC agrees that it would be beneficial to work with stakeholders to establish acceptable means to comply with 10 CFR 53.250 defense-in-depth requirements for non-LMP applicants when non-LMP approaches are developed. This comment suggests no changes to the proposed rule.</w:t>
      </w:r>
    </w:p>
    <w:p w:rsidR="00D37459" w:rsidP="007F722A" w14:paraId="201C9DBA" w14:textId="77777777">
      <w:pPr>
        <w:spacing w:after="220"/>
        <w:rPr>
          <w:rFonts w:ascii="Arial" w:hAnsi="Arial" w:cs="Arial"/>
          <w:sz w:val="22"/>
          <w:szCs w:val="22"/>
        </w:rPr>
      </w:pPr>
      <w:r w:rsidRPr="007F722A">
        <w:rPr>
          <w:rFonts w:ascii="Arial" w:hAnsi="Arial" w:cs="Arial"/>
          <w:sz w:val="22"/>
          <w:szCs w:val="22"/>
        </w:rPr>
        <w:t xml:space="preserve">Accordingly, the NRC </w:t>
      </w:r>
      <w:r w:rsidR="006D250F">
        <w:rPr>
          <w:rFonts w:ascii="Arial" w:hAnsi="Arial" w:cs="Arial"/>
          <w:sz w:val="22"/>
          <w:szCs w:val="22"/>
        </w:rPr>
        <w:t xml:space="preserve">revised </w:t>
      </w:r>
      <w:r w:rsidRPr="007F722A">
        <w:rPr>
          <w:rFonts w:ascii="Arial" w:hAnsi="Arial" w:cs="Arial"/>
          <w:sz w:val="22"/>
          <w:szCs w:val="22"/>
        </w:rPr>
        <w:t xml:space="preserve">the rule language in </w:t>
      </w:r>
      <w:r w:rsidR="00336E53">
        <w:rPr>
          <w:rFonts w:ascii="Arial" w:hAnsi="Arial" w:cs="Arial"/>
          <w:sz w:val="22"/>
          <w:szCs w:val="22"/>
        </w:rPr>
        <w:t xml:space="preserve">10 CFR 53.250(c) </w:t>
      </w:r>
      <w:r w:rsidR="00DF2AAF">
        <w:rPr>
          <w:rFonts w:ascii="Arial" w:hAnsi="Arial" w:cs="Arial"/>
          <w:sz w:val="22"/>
          <w:szCs w:val="22"/>
        </w:rPr>
        <w:t xml:space="preserve">only </w:t>
      </w:r>
      <w:r w:rsidR="00336E53">
        <w:rPr>
          <w:rFonts w:ascii="Arial" w:hAnsi="Arial" w:cs="Arial"/>
          <w:sz w:val="22"/>
          <w:szCs w:val="22"/>
        </w:rPr>
        <w:t xml:space="preserve">to </w:t>
      </w:r>
      <w:r w:rsidR="007150BE">
        <w:rPr>
          <w:rFonts w:ascii="Arial" w:hAnsi="Arial" w:cs="Arial"/>
          <w:sz w:val="22"/>
          <w:szCs w:val="22"/>
        </w:rPr>
        <w:t xml:space="preserve">align with the intent of the discussion in </w:t>
      </w:r>
      <w:r w:rsidR="00523D57">
        <w:rPr>
          <w:rFonts w:ascii="Arial" w:hAnsi="Arial" w:cs="Arial"/>
          <w:sz w:val="22"/>
          <w:szCs w:val="22"/>
        </w:rPr>
        <w:t xml:space="preserve">Section </w:t>
      </w:r>
      <w:r w:rsidR="00353F44">
        <w:rPr>
          <w:rFonts w:ascii="Arial" w:hAnsi="Arial" w:cs="Arial"/>
          <w:sz w:val="22"/>
          <w:szCs w:val="22"/>
        </w:rPr>
        <w:t xml:space="preserve">IV of </w:t>
      </w:r>
      <w:r w:rsidR="007150BE">
        <w:rPr>
          <w:rFonts w:ascii="Arial" w:hAnsi="Arial" w:cs="Arial"/>
          <w:sz w:val="22"/>
          <w:szCs w:val="22"/>
        </w:rPr>
        <w:t xml:space="preserve">the </w:t>
      </w:r>
      <w:r w:rsidR="00195DBA">
        <w:rPr>
          <w:rFonts w:ascii="Arial" w:hAnsi="Arial" w:cs="Arial"/>
          <w:sz w:val="22"/>
          <w:szCs w:val="22"/>
        </w:rPr>
        <w:t>FRN</w:t>
      </w:r>
      <w:r w:rsidR="009C00A7">
        <w:rPr>
          <w:rFonts w:ascii="Arial" w:hAnsi="Arial" w:cs="Arial"/>
          <w:sz w:val="22"/>
          <w:szCs w:val="22"/>
        </w:rPr>
        <w:t xml:space="preserve"> for the </w:t>
      </w:r>
      <w:r w:rsidR="007150BE">
        <w:rPr>
          <w:rFonts w:ascii="Arial" w:hAnsi="Arial" w:cs="Arial"/>
          <w:sz w:val="22"/>
          <w:szCs w:val="22"/>
        </w:rPr>
        <w:t>final rule</w:t>
      </w:r>
      <w:r w:rsidR="00D9498D">
        <w:rPr>
          <w:rFonts w:ascii="Arial" w:hAnsi="Arial" w:cs="Arial"/>
          <w:sz w:val="22"/>
          <w:szCs w:val="22"/>
        </w:rPr>
        <w:t>, as discussed above</w:t>
      </w:r>
      <w:r w:rsidRPr="007F722A">
        <w:rPr>
          <w:rFonts w:ascii="Arial" w:hAnsi="Arial" w:cs="Arial"/>
          <w:sz w:val="22"/>
          <w:szCs w:val="22"/>
        </w:rPr>
        <w:t>.</w:t>
      </w:r>
    </w:p>
    <w:p w:rsidR="00D37459" w:rsidRPr="007F722A" w:rsidP="007F722A" w14:paraId="04DBB587" w14:textId="77777777">
      <w:pPr>
        <w:spacing w:after="220"/>
        <w:rPr>
          <w:rFonts w:ascii="Arial" w:hAnsi="Arial" w:cs="Arial"/>
          <w:b/>
          <w:sz w:val="22"/>
          <w:szCs w:val="22"/>
        </w:rPr>
      </w:pPr>
      <w:r>
        <w:rPr>
          <w:rFonts w:ascii="Arial" w:hAnsi="Arial" w:cs="Arial"/>
          <w:sz w:val="22"/>
          <w:szCs w:val="22"/>
        </w:rPr>
        <w:pict>
          <v:rect id="_x0000_i1088" style="width:0;height:1.5pt" o:hralign="center" o:hrstd="t" o:hrnoshade="t" o:hr="t" fillcolor="black" stroked="f"/>
        </w:pict>
      </w:r>
    </w:p>
    <w:p w:rsidR="00D37459" w:rsidRPr="007F722A" w:rsidP="007F722A" w14:paraId="7BCF9E0F" w14:textId="77777777">
      <w:pPr>
        <w:spacing w:after="220"/>
        <w:rPr>
          <w:rFonts w:ascii="Arial" w:hAnsi="Arial" w:cs="Arial"/>
          <w:sz w:val="22"/>
          <w:szCs w:val="22"/>
        </w:rPr>
      </w:pPr>
      <w:r w:rsidRPr="007F722A">
        <w:rPr>
          <w:rFonts w:ascii="Arial" w:hAnsi="Arial" w:cs="Arial"/>
          <w:b/>
          <w:sz w:val="22"/>
          <w:szCs w:val="22"/>
        </w:rPr>
        <w:t xml:space="preserve">Comment Bin 3.2.2.B: </w:t>
      </w:r>
      <w:r w:rsidRPr="007F722A">
        <w:rPr>
          <w:rFonts w:ascii="Arial" w:hAnsi="Arial" w:cs="Arial"/>
          <w:sz w:val="22"/>
          <w:szCs w:val="22"/>
        </w:rPr>
        <w:t>Two commenters supported the clarification in the preamble regarding “engineered design feature” and crediting inherent characteristics within the design analysis and added that they supported additional clarification and guidance in RG 1.233 (</w:t>
      </w:r>
      <w:r w:rsidR="009D6BB9">
        <w:rPr>
          <w:rFonts w:ascii="Arial" w:hAnsi="Arial" w:cs="Arial"/>
          <w:sz w:val="22"/>
          <w:szCs w:val="22"/>
        </w:rPr>
        <w:t>NEI2</w:t>
      </w:r>
      <w:r w:rsidRPr="007F722A">
        <w:rPr>
          <w:rFonts w:ascii="Arial" w:hAnsi="Arial" w:cs="Arial"/>
          <w:sz w:val="22"/>
          <w:szCs w:val="22"/>
        </w:rPr>
        <w:t xml:space="preserve">-0180, </w:t>
      </w:r>
      <w:r w:rsidR="00AE0B17">
        <w:rPr>
          <w:rFonts w:ascii="Arial" w:hAnsi="Arial" w:cs="Arial"/>
          <w:sz w:val="22"/>
          <w:szCs w:val="22"/>
        </w:rPr>
        <w:t>USNIC2</w:t>
      </w:r>
      <w:r w:rsidRPr="007F722A">
        <w:rPr>
          <w:rFonts w:ascii="Arial" w:hAnsi="Arial" w:cs="Arial"/>
          <w:sz w:val="22"/>
          <w:szCs w:val="22"/>
        </w:rPr>
        <w:t>-0029). One of the commenters argued, the rule could be clearer about how, beyond the methodology endorsed in RG 1.233, this concept can be acceptable to the NRC (e.g., clear criteria that build on the information in SECY-18-0096</w:t>
      </w:r>
      <w:r w:rsidR="00651867">
        <w:rPr>
          <w:rFonts w:ascii="Arial" w:hAnsi="Arial" w:cs="Arial"/>
          <w:sz w:val="22"/>
          <w:szCs w:val="22"/>
        </w:rPr>
        <w:t xml:space="preserve">, </w:t>
      </w:r>
      <w:r w:rsidR="003A03D8">
        <w:rPr>
          <w:rFonts w:ascii="Arial" w:hAnsi="Arial" w:cs="Arial"/>
          <w:sz w:val="22"/>
          <w:szCs w:val="22"/>
        </w:rPr>
        <w:t>“</w:t>
      </w:r>
      <w:r w:rsidRPr="00E40584" w:rsidR="00E40584">
        <w:rPr>
          <w:rFonts w:ascii="Arial" w:hAnsi="Arial" w:cs="Arial"/>
          <w:sz w:val="22"/>
          <w:szCs w:val="22"/>
        </w:rPr>
        <w:t>Functional Containment Performance Criteria</w:t>
      </w:r>
      <w:r w:rsidR="00E40584">
        <w:rPr>
          <w:rFonts w:ascii="Arial" w:hAnsi="Arial" w:cs="Arial"/>
          <w:sz w:val="22"/>
          <w:szCs w:val="22"/>
        </w:rPr>
        <w:t xml:space="preserve"> f</w:t>
      </w:r>
      <w:r w:rsidRPr="00E40584" w:rsidR="00E40584">
        <w:rPr>
          <w:rFonts w:ascii="Arial" w:hAnsi="Arial" w:cs="Arial"/>
          <w:sz w:val="22"/>
          <w:szCs w:val="22"/>
        </w:rPr>
        <w:t>or Non-Light-Water-Reactors</w:t>
      </w:r>
      <w:r w:rsidR="00E40584">
        <w:rPr>
          <w:rFonts w:ascii="Arial" w:hAnsi="Arial" w:cs="Arial"/>
          <w:sz w:val="22"/>
          <w:szCs w:val="22"/>
        </w:rPr>
        <w:t xml:space="preserve">,” </w:t>
      </w:r>
      <w:r w:rsidR="008815B5">
        <w:rPr>
          <w:rFonts w:ascii="Arial" w:hAnsi="Arial" w:cs="Arial"/>
          <w:sz w:val="22"/>
          <w:szCs w:val="22"/>
        </w:rPr>
        <w:t>issu</w:t>
      </w:r>
      <w:r w:rsidR="00E40584">
        <w:rPr>
          <w:rFonts w:ascii="Arial" w:hAnsi="Arial" w:cs="Arial"/>
          <w:sz w:val="22"/>
          <w:szCs w:val="22"/>
        </w:rPr>
        <w:t>ed September</w:t>
      </w:r>
      <w:r w:rsidR="00F0689A">
        <w:rPr>
          <w:rFonts w:ascii="Arial" w:hAnsi="Arial" w:cs="Arial"/>
          <w:sz w:val="22"/>
          <w:szCs w:val="22"/>
        </w:rPr>
        <w:t xml:space="preserve"> </w:t>
      </w:r>
      <w:r w:rsidR="00E40584">
        <w:rPr>
          <w:rFonts w:ascii="Arial" w:hAnsi="Arial" w:cs="Arial"/>
          <w:sz w:val="22"/>
          <w:szCs w:val="22"/>
        </w:rPr>
        <w:t xml:space="preserve">2018 </w:t>
      </w:r>
      <w:r w:rsidR="003A03D8">
        <w:rPr>
          <w:rFonts w:ascii="Arial" w:hAnsi="Arial" w:cs="Arial"/>
          <w:sz w:val="22"/>
          <w:szCs w:val="22"/>
        </w:rPr>
        <w:t>(</w:t>
      </w:r>
      <w:r w:rsidRPr="003A03D8" w:rsidR="003A03D8">
        <w:rPr>
          <w:rFonts w:ascii="Arial" w:hAnsi="Arial" w:cs="Arial"/>
          <w:sz w:val="22"/>
          <w:szCs w:val="22"/>
        </w:rPr>
        <w:t>ML18115A157</w:t>
      </w:r>
      <w:r w:rsidR="003A03D8">
        <w:rPr>
          <w:rFonts w:ascii="Arial" w:hAnsi="Arial" w:cs="Arial"/>
          <w:sz w:val="22"/>
          <w:szCs w:val="22"/>
        </w:rPr>
        <w:t>)</w:t>
      </w:r>
      <w:r w:rsidR="00E82A93">
        <w:rPr>
          <w:rFonts w:ascii="Arial" w:hAnsi="Arial" w:cs="Arial"/>
          <w:sz w:val="22"/>
          <w:szCs w:val="22"/>
        </w:rPr>
        <w:t>,</w:t>
      </w:r>
      <w:r w:rsidRPr="007F722A">
        <w:rPr>
          <w:rFonts w:ascii="Arial" w:hAnsi="Arial" w:cs="Arial"/>
          <w:sz w:val="22"/>
          <w:szCs w:val="22"/>
        </w:rPr>
        <w:t xml:space="preserve"> for a more conservative approach to design criteria for radionuclide retention). The commenter also advocated allowing the use of the traditional approach to defense-in-depth, which they indicated would require the use of the single failure criterion and would have implications across 10 CFR</w:t>
      </w:r>
      <w:r w:rsidR="003820E9">
        <w:rPr>
          <w:rFonts w:ascii="Arial" w:hAnsi="Arial" w:cs="Arial"/>
          <w:sz w:val="22"/>
          <w:szCs w:val="22"/>
        </w:rPr>
        <w:t> </w:t>
      </w:r>
      <w:r w:rsidRPr="007F722A">
        <w:rPr>
          <w:rFonts w:ascii="Arial" w:hAnsi="Arial" w:cs="Arial"/>
          <w:sz w:val="22"/>
          <w:szCs w:val="22"/>
        </w:rPr>
        <w:t>Part 53, stating that it remains a valid method for achieving adequate protection of public health and safety and should remain an option under 10 CFR Part 53 (</w:t>
      </w:r>
      <w:r w:rsidR="009D6BB9">
        <w:rPr>
          <w:rFonts w:ascii="Arial" w:hAnsi="Arial" w:cs="Arial"/>
          <w:sz w:val="22"/>
          <w:szCs w:val="22"/>
        </w:rPr>
        <w:t>NEI2</w:t>
      </w:r>
      <w:r w:rsidRPr="007F722A">
        <w:rPr>
          <w:rFonts w:ascii="Arial" w:hAnsi="Arial" w:cs="Arial"/>
          <w:sz w:val="22"/>
          <w:szCs w:val="22"/>
        </w:rPr>
        <w:t>-0180).</w:t>
      </w:r>
    </w:p>
    <w:p w:rsidR="00D37459" w:rsidRPr="007F722A" w:rsidP="007F722A" w14:paraId="66EF911E" w14:textId="77777777">
      <w:pPr>
        <w:spacing w:after="220"/>
        <w:rPr>
          <w:rFonts w:ascii="Arial" w:hAnsi="Arial" w:cs="Arial"/>
          <w:sz w:val="22"/>
          <w:szCs w:val="22"/>
        </w:rPr>
      </w:pPr>
      <w:r w:rsidRPr="007F722A">
        <w:rPr>
          <w:rFonts w:ascii="Arial" w:hAnsi="Arial" w:cs="Arial"/>
          <w:sz w:val="22"/>
          <w:szCs w:val="22"/>
        </w:rPr>
        <w:t>Another commenter wrote that the proposed rule only vaguely defines the uncertainties that a licensee’s defense-in-depth analysis must consider (</w:t>
      </w:r>
      <w:r w:rsidR="00E36F7E">
        <w:rPr>
          <w:rFonts w:ascii="Arial" w:hAnsi="Arial" w:cs="Arial"/>
          <w:sz w:val="22"/>
          <w:szCs w:val="22"/>
        </w:rPr>
        <w:t>NYS2</w:t>
      </w:r>
      <w:r w:rsidRPr="007F722A">
        <w:rPr>
          <w:rFonts w:ascii="Arial" w:hAnsi="Arial" w:cs="Arial"/>
          <w:sz w:val="22"/>
          <w:szCs w:val="22"/>
        </w:rPr>
        <w:t>-0007). </w:t>
      </w:r>
    </w:p>
    <w:p w:rsidR="00175B86" w:rsidRPr="007F722A" w:rsidP="007F722A" w14:paraId="0F9F2CDA"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in part, with the comments.</w:t>
      </w:r>
    </w:p>
    <w:p w:rsidR="00175B86" w:rsidRPr="007F722A" w:rsidP="007F722A" w14:paraId="688871D2" w14:textId="77777777">
      <w:pPr>
        <w:spacing w:after="220"/>
        <w:rPr>
          <w:rFonts w:ascii="Arial" w:hAnsi="Arial" w:cs="Arial"/>
          <w:sz w:val="22"/>
          <w:szCs w:val="22"/>
        </w:rPr>
      </w:pPr>
      <w:r w:rsidRPr="007F722A">
        <w:rPr>
          <w:rFonts w:ascii="Arial" w:hAnsi="Arial" w:cs="Arial"/>
          <w:sz w:val="22"/>
          <w:szCs w:val="22"/>
        </w:rPr>
        <w:t>As explained in the proposed and final rules, the term ‘‘engineered design feature’’ within 10</w:t>
      </w:r>
      <w:r w:rsidR="009D2C23">
        <w:rPr>
          <w:rFonts w:ascii="Arial" w:hAnsi="Arial" w:cs="Arial"/>
          <w:sz w:val="22"/>
          <w:szCs w:val="22"/>
        </w:rPr>
        <w:t> </w:t>
      </w:r>
      <w:r w:rsidRPr="007F722A">
        <w:rPr>
          <w:rFonts w:ascii="Arial" w:hAnsi="Arial" w:cs="Arial"/>
          <w:sz w:val="22"/>
          <w:szCs w:val="22"/>
        </w:rPr>
        <w:t xml:space="preserve">CFR 53.250(c) does not preclude the possible crediting of inherent characteristics within the design and analysis for commercial nuclear reactors. Uncertainties related to inherent </w:t>
      </w:r>
      <w:r w:rsidRPr="007F722A">
        <w:rPr>
          <w:rFonts w:ascii="Arial" w:hAnsi="Arial" w:cs="Arial"/>
          <w:sz w:val="22"/>
          <w:szCs w:val="22"/>
        </w:rPr>
        <w:t>characteristics of design features are addressed by the other provisions in 10 CFR 53.250 as well as the design requirements of 10 CFR 53.440(a) that require each design feature, including any credited inherent characteristics, to be demonstrated by analysis, appropriate test programs, prototype testing, operating experience, or a combination thereof. Although the NRC is preparing guidance related to the content of applications for 10 CFR Part 53, the rule provides a great deal of flexibility in terms of the variety of designs and related safety approaches, which limits how prescriptive the guidance can be.</w:t>
      </w:r>
    </w:p>
    <w:p w:rsidR="00175B86" w:rsidRPr="007F722A" w:rsidP="007F722A" w14:paraId="55838232" w14:textId="77777777">
      <w:pPr>
        <w:spacing w:after="220"/>
        <w:rPr>
          <w:rFonts w:ascii="Arial" w:hAnsi="Arial" w:cs="Arial"/>
          <w:sz w:val="22"/>
          <w:szCs w:val="22"/>
        </w:rPr>
      </w:pPr>
      <w:r w:rsidRPr="007F722A">
        <w:rPr>
          <w:rFonts w:ascii="Arial" w:hAnsi="Arial" w:cs="Arial"/>
          <w:sz w:val="22"/>
          <w:szCs w:val="22"/>
        </w:rPr>
        <w:t>The NRC disagrees with the suggestions to revise 10 CFR Part 53 to include an optional approach that defines specific design requirements and design rules, such as the single-failure criterion. 10 CFR Part 53 was developed as an alternative to the traditional, deterministic regulations in 10 CFR Part 50. The NRC recognizes that there may be cases where a reactor designer wishes to apply to the NRC under 10 CFR Part 53 while also incorporating certain design rules into a proposed reactor design to meet the requirements established by other regulators or international standards. The requirements in 10 CFR Part 53 do not preclude such an approach but meeting the requirements of multiple regulatory frameworks could result in additional design features, functional design criteria, or programmatic controls when compared to those needed to meet a single regulatory framework.</w:t>
      </w:r>
    </w:p>
    <w:p w:rsidR="004F1BE9" w:rsidRPr="007F722A" w:rsidP="007F722A" w14:paraId="31268A23" w14:textId="77777777">
      <w:pPr>
        <w:spacing w:after="220"/>
        <w:rPr>
          <w:rFonts w:ascii="Arial" w:hAnsi="Arial" w:cs="Arial"/>
          <w:sz w:val="22"/>
          <w:szCs w:val="22"/>
        </w:rPr>
      </w:pPr>
      <w:r>
        <w:rPr>
          <w:rFonts w:ascii="Arial" w:hAnsi="Arial" w:cs="Arial"/>
          <w:sz w:val="22"/>
          <w:szCs w:val="22"/>
        </w:rPr>
        <w:t>With regard</w:t>
      </w:r>
      <w:r w:rsidR="0041589F">
        <w:rPr>
          <w:rFonts w:ascii="Arial" w:hAnsi="Arial" w:cs="Arial"/>
          <w:sz w:val="22"/>
          <w:szCs w:val="22"/>
        </w:rPr>
        <w:t>s</w:t>
      </w:r>
      <w:r>
        <w:rPr>
          <w:rFonts w:ascii="Arial" w:hAnsi="Arial" w:cs="Arial"/>
          <w:sz w:val="22"/>
          <w:szCs w:val="22"/>
        </w:rPr>
        <w:t xml:space="preserve"> to defense</w:t>
      </w:r>
      <w:r w:rsidR="00DB0AE8">
        <w:rPr>
          <w:rFonts w:ascii="Arial" w:hAnsi="Arial" w:cs="Arial"/>
          <w:sz w:val="22"/>
          <w:szCs w:val="22"/>
        </w:rPr>
        <w:t xml:space="preserve"> in depth, </w:t>
      </w:r>
      <w:r w:rsidRPr="007F722A" w:rsidR="00037AB9">
        <w:rPr>
          <w:rFonts w:ascii="Arial" w:hAnsi="Arial" w:cs="Arial"/>
          <w:sz w:val="22"/>
          <w:szCs w:val="22"/>
        </w:rPr>
        <w:t xml:space="preserve">10 CFR 53.250(b) </w:t>
      </w:r>
      <w:r w:rsidRPr="007F722A" w:rsidR="002701FD">
        <w:rPr>
          <w:rFonts w:ascii="Arial" w:hAnsi="Arial" w:cs="Arial"/>
          <w:sz w:val="22"/>
          <w:szCs w:val="22"/>
        </w:rPr>
        <w:t>strike</w:t>
      </w:r>
      <w:r w:rsidRPr="007F722A" w:rsidR="00795D30">
        <w:rPr>
          <w:rFonts w:ascii="Arial" w:hAnsi="Arial" w:cs="Arial"/>
          <w:sz w:val="22"/>
          <w:szCs w:val="22"/>
        </w:rPr>
        <w:t>s</w:t>
      </w:r>
      <w:r w:rsidRPr="007F722A" w:rsidR="002701FD">
        <w:rPr>
          <w:rFonts w:ascii="Arial" w:hAnsi="Arial" w:cs="Arial"/>
          <w:sz w:val="22"/>
          <w:szCs w:val="22"/>
        </w:rPr>
        <w:t xml:space="preserve"> a balance </w:t>
      </w:r>
      <w:r w:rsidRPr="007F722A" w:rsidR="00614862">
        <w:rPr>
          <w:rFonts w:ascii="Arial" w:hAnsi="Arial" w:cs="Arial"/>
          <w:sz w:val="22"/>
          <w:szCs w:val="22"/>
        </w:rPr>
        <w:t xml:space="preserve">between </w:t>
      </w:r>
      <w:r w:rsidRPr="007F722A" w:rsidR="00795D30">
        <w:rPr>
          <w:rFonts w:ascii="Arial" w:hAnsi="Arial" w:cs="Arial"/>
          <w:sz w:val="22"/>
          <w:szCs w:val="22"/>
        </w:rPr>
        <w:t xml:space="preserve">permitting </w:t>
      </w:r>
      <w:r w:rsidRPr="007F722A" w:rsidR="00C9274A">
        <w:rPr>
          <w:rFonts w:ascii="Arial" w:hAnsi="Arial" w:cs="Arial"/>
          <w:sz w:val="22"/>
          <w:szCs w:val="22"/>
        </w:rPr>
        <w:t xml:space="preserve">flexibility and offering regulatory certainty by </w:t>
      </w:r>
      <w:r w:rsidRPr="007F722A" w:rsidR="00795D30">
        <w:rPr>
          <w:rFonts w:ascii="Arial" w:hAnsi="Arial" w:cs="Arial"/>
          <w:sz w:val="22"/>
          <w:szCs w:val="22"/>
        </w:rPr>
        <w:t xml:space="preserve">addressing </w:t>
      </w:r>
      <w:r w:rsidRPr="007F722A" w:rsidR="00C9274A">
        <w:rPr>
          <w:rFonts w:ascii="Arial" w:hAnsi="Arial" w:cs="Arial"/>
          <w:sz w:val="22"/>
          <w:szCs w:val="22"/>
        </w:rPr>
        <w:t xml:space="preserve">uncertainties </w:t>
      </w:r>
      <w:r w:rsidRPr="007F722A" w:rsidR="00270E33">
        <w:rPr>
          <w:rFonts w:ascii="Arial" w:hAnsi="Arial" w:cs="Arial"/>
          <w:sz w:val="22"/>
          <w:szCs w:val="22"/>
        </w:rPr>
        <w:t xml:space="preserve">at a high enough level so as not to be too prescriptive, but </w:t>
      </w:r>
      <w:r w:rsidRPr="007F722A" w:rsidR="00977DC2">
        <w:rPr>
          <w:rFonts w:ascii="Arial" w:hAnsi="Arial" w:cs="Arial"/>
          <w:sz w:val="22"/>
          <w:szCs w:val="22"/>
        </w:rPr>
        <w:t xml:space="preserve">by also acknowledging </w:t>
      </w:r>
      <w:r w:rsidRPr="007F722A" w:rsidR="00463F9F">
        <w:rPr>
          <w:rFonts w:ascii="Arial" w:hAnsi="Arial" w:cs="Arial"/>
          <w:sz w:val="22"/>
          <w:szCs w:val="22"/>
        </w:rPr>
        <w:t>well-</w:t>
      </w:r>
      <w:r w:rsidRPr="007F722A" w:rsidR="00F33EA5">
        <w:rPr>
          <w:rFonts w:ascii="Arial" w:hAnsi="Arial" w:cs="Arial"/>
          <w:sz w:val="22"/>
          <w:szCs w:val="22"/>
        </w:rPr>
        <w:t xml:space="preserve">known </w:t>
      </w:r>
      <w:r w:rsidRPr="007F722A" w:rsidR="00977DC2">
        <w:rPr>
          <w:rFonts w:ascii="Arial" w:hAnsi="Arial" w:cs="Arial"/>
          <w:sz w:val="22"/>
          <w:szCs w:val="22"/>
        </w:rPr>
        <w:t xml:space="preserve">types of uncertainty </w:t>
      </w:r>
      <w:r w:rsidRPr="007F722A" w:rsidR="00AF7B99">
        <w:rPr>
          <w:rFonts w:ascii="Arial" w:hAnsi="Arial" w:cs="Arial"/>
          <w:sz w:val="22"/>
          <w:szCs w:val="22"/>
        </w:rPr>
        <w:t xml:space="preserve">that may </w:t>
      </w:r>
      <w:r w:rsidRPr="007F722A" w:rsidR="003634E4">
        <w:rPr>
          <w:rFonts w:ascii="Arial" w:hAnsi="Arial" w:cs="Arial"/>
          <w:sz w:val="22"/>
          <w:szCs w:val="22"/>
        </w:rPr>
        <w:t xml:space="preserve">potentially </w:t>
      </w:r>
      <w:r w:rsidRPr="007F722A" w:rsidR="00AF7B99">
        <w:rPr>
          <w:rFonts w:ascii="Arial" w:hAnsi="Arial" w:cs="Arial"/>
          <w:sz w:val="22"/>
          <w:szCs w:val="22"/>
        </w:rPr>
        <w:t xml:space="preserve">be </w:t>
      </w:r>
      <w:r w:rsidRPr="007F722A" w:rsidR="00FE5454">
        <w:rPr>
          <w:rFonts w:ascii="Arial" w:hAnsi="Arial" w:cs="Arial"/>
          <w:sz w:val="22"/>
          <w:szCs w:val="22"/>
        </w:rPr>
        <w:t>impact</w:t>
      </w:r>
      <w:r w:rsidRPr="007F722A" w:rsidR="003634E4">
        <w:rPr>
          <w:rFonts w:ascii="Arial" w:hAnsi="Arial" w:cs="Arial"/>
          <w:sz w:val="22"/>
          <w:szCs w:val="22"/>
        </w:rPr>
        <w:t xml:space="preserve">ful in </w:t>
      </w:r>
      <w:r w:rsidRPr="007F722A" w:rsidR="00FE5454">
        <w:rPr>
          <w:rFonts w:ascii="Arial" w:hAnsi="Arial" w:cs="Arial"/>
          <w:sz w:val="22"/>
          <w:szCs w:val="22"/>
        </w:rPr>
        <w:t>risk-informed decision</w:t>
      </w:r>
      <w:r w:rsidRPr="007F722A" w:rsidR="00FB6349">
        <w:rPr>
          <w:rFonts w:ascii="Arial" w:hAnsi="Arial" w:cs="Arial"/>
          <w:sz w:val="22"/>
          <w:szCs w:val="22"/>
        </w:rPr>
        <w:t>-</w:t>
      </w:r>
      <w:r w:rsidRPr="007F722A" w:rsidR="00FE5454">
        <w:rPr>
          <w:rFonts w:ascii="Arial" w:hAnsi="Arial" w:cs="Arial"/>
          <w:sz w:val="22"/>
          <w:szCs w:val="22"/>
        </w:rPr>
        <w:t>making</w:t>
      </w:r>
      <w:r w:rsidRPr="007F722A" w:rsidR="006801D6">
        <w:rPr>
          <w:rFonts w:ascii="Arial" w:hAnsi="Arial" w:cs="Arial"/>
          <w:sz w:val="22"/>
          <w:szCs w:val="22"/>
        </w:rPr>
        <w:t xml:space="preserve"> related to the design and operation of commercial nuclear plants</w:t>
      </w:r>
      <w:r w:rsidRPr="007F722A" w:rsidR="00270E33">
        <w:rPr>
          <w:rFonts w:ascii="Arial" w:hAnsi="Arial" w:cs="Arial"/>
          <w:sz w:val="22"/>
          <w:szCs w:val="22"/>
        </w:rPr>
        <w:t>.</w:t>
      </w:r>
    </w:p>
    <w:p w:rsidR="00175B86" w:rsidRPr="007F722A" w:rsidP="007F722A" w14:paraId="2E8E2F9E" w14:textId="77777777">
      <w:pPr>
        <w:spacing w:after="220"/>
        <w:rPr>
          <w:rFonts w:ascii="Arial" w:hAnsi="Arial" w:cs="Arial"/>
          <w:sz w:val="22"/>
          <w:szCs w:val="22"/>
        </w:rPr>
      </w:pPr>
      <w:r w:rsidRPr="007F722A">
        <w:rPr>
          <w:rFonts w:ascii="Arial" w:hAnsi="Arial" w:cs="Arial"/>
          <w:sz w:val="22"/>
          <w:szCs w:val="22"/>
        </w:rPr>
        <w:t>Accordingly, the NRC did not change the rule language in response to these comments.</w:t>
      </w:r>
    </w:p>
    <w:p w:rsidR="000E5B49" w:rsidRPr="00F97A1B" w:rsidP="007F722A" w14:paraId="1FC57E24" w14:textId="77777777">
      <w:pPr>
        <w:spacing w:after="220"/>
        <w:rPr>
          <w:rFonts w:ascii="Arial" w:hAnsi="Arial" w:cs="Arial"/>
          <w:b/>
        </w:rPr>
      </w:pPr>
      <w:r>
        <w:rPr>
          <w:rFonts w:ascii="Arial" w:hAnsi="Arial" w:cs="Arial"/>
          <w:sz w:val="22"/>
          <w:szCs w:val="22"/>
        </w:rPr>
        <w:pict>
          <v:rect id="_x0000_i1089" style="width:0;height:1.5pt" o:hralign="center" o:hrstd="t" o:hrnoshade="t" o:hr="t" fillcolor="black" stroked="f"/>
        </w:pict>
      </w:r>
    </w:p>
    <w:p w:rsidR="00175B86" w:rsidRPr="007F722A" w:rsidP="007F722A" w14:paraId="7684F854" w14:textId="77777777">
      <w:pPr>
        <w:spacing w:after="220"/>
        <w:rPr>
          <w:rFonts w:ascii="Arial" w:hAnsi="Arial" w:cs="Arial"/>
          <w:sz w:val="22"/>
          <w:szCs w:val="22"/>
        </w:rPr>
      </w:pPr>
      <w:r w:rsidRPr="007F722A">
        <w:rPr>
          <w:rFonts w:ascii="Arial" w:hAnsi="Arial" w:cs="Arial"/>
          <w:b/>
          <w:sz w:val="22"/>
          <w:szCs w:val="22"/>
        </w:rPr>
        <w:t>Comment Bin 3.2.2.C:</w:t>
      </w:r>
      <w:r w:rsidRPr="007F722A">
        <w:rPr>
          <w:rFonts w:ascii="Arial" w:hAnsi="Arial" w:cs="Arial"/>
          <w:sz w:val="22"/>
          <w:szCs w:val="22"/>
        </w:rPr>
        <w:t xml:space="preserve"> A commenter wrote that the rule should clearly state that the applicant is responsible for identifying and justifying their defense-in-depth approach; nuclear safety functions and their associated design criteria; risk based methodology used to establish the importance of their various defense-in-depth measures; programs used to enhance their defense-in-depth measures, including identifying and justifying their measures that demonstrate that their on-going programs operate effectively; and identifying the key codes and standards employed with their defense-in-depth measure</w:t>
      </w:r>
      <w:r w:rsidRPr="00E4312C">
        <w:rPr>
          <w:rFonts w:ascii="Arial" w:hAnsi="Arial" w:cs="Arial"/>
          <w:sz w:val="22"/>
          <w:szCs w:val="22"/>
        </w:rPr>
        <w:t>s (</w:t>
      </w:r>
      <w:r w:rsidRPr="00E4312C" w:rsidR="00E4312C">
        <w:rPr>
          <w:rFonts w:ascii="Arial" w:eastAsia="Times New Roman" w:hAnsi="Arial" w:cs="Arial"/>
          <w:color w:val="000000"/>
          <w:sz w:val="22"/>
          <w:szCs w:val="22"/>
        </w:rPr>
        <w:t>HPT3</w:t>
      </w:r>
      <w:r w:rsidRPr="00E4312C">
        <w:rPr>
          <w:rFonts w:ascii="Arial" w:hAnsi="Arial" w:cs="Arial"/>
          <w:sz w:val="22"/>
          <w:szCs w:val="22"/>
        </w:rPr>
        <w:t>-00</w:t>
      </w:r>
      <w:r w:rsidRPr="007F722A">
        <w:rPr>
          <w:rFonts w:ascii="Arial" w:hAnsi="Arial" w:cs="Arial"/>
          <w:sz w:val="22"/>
          <w:szCs w:val="22"/>
        </w:rPr>
        <w:t>01).</w:t>
      </w:r>
    </w:p>
    <w:p w:rsidR="002D5799" w:rsidRPr="007F722A" w:rsidP="007F722A" w14:paraId="663792C5"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in part, with th</w:t>
      </w:r>
      <w:r w:rsidR="009D2C23">
        <w:rPr>
          <w:rFonts w:ascii="Arial" w:hAnsi="Arial" w:cs="Arial"/>
          <w:sz w:val="22"/>
          <w:szCs w:val="22"/>
        </w:rPr>
        <w:t>e</w:t>
      </w:r>
      <w:r w:rsidRPr="007F722A">
        <w:rPr>
          <w:rFonts w:ascii="Arial" w:hAnsi="Arial" w:cs="Arial"/>
          <w:sz w:val="22"/>
          <w:szCs w:val="22"/>
        </w:rPr>
        <w:t xml:space="preserve"> comment.</w:t>
      </w:r>
    </w:p>
    <w:p w:rsidR="00AB641B" w:rsidRPr="007F722A" w:rsidP="007F722A" w14:paraId="7D066AE7" w14:textId="77777777">
      <w:pPr>
        <w:spacing w:after="220"/>
        <w:rPr>
          <w:rFonts w:ascii="Arial" w:hAnsi="Arial" w:cs="Arial"/>
          <w:sz w:val="22"/>
          <w:szCs w:val="22"/>
        </w:rPr>
      </w:pPr>
      <w:r w:rsidRPr="007F722A">
        <w:rPr>
          <w:rFonts w:ascii="Arial" w:hAnsi="Arial" w:cs="Arial"/>
          <w:sz w:val="22"/>
          <w:szCs w:val="22"/>
        </w:rPr>
        <w:t xml:space="preserve">For a given licensing process, an applicant would be required to submit information to the NRC consistent with the requirements in 10 CFR Part 53, Subpart H, related to that licensing process. The requirements in 10 CFR Part 53 accommodate the considerations described in the comment in that the information submitted by an applicant must necessarily be sufficient to demonstrate that the related technical requirements under 10 CFR Part 53, including 10 CFR 53.250, “Defense in depth,” are met such that the NRC can make the required regulatory determinations related to the subject licensing process. So, while the NRC agrees in concept with many of the sentiments described in the comment, </w:t>
      </w:r>
      <w:r w:rsidRPr="007F722A" w:rsidR="008923D7">
        <w:rPr>
          <w:rFonts w:ascii="Arial" w:hAnsi="Arial" w:cs="Arial"/>
          <w:sz w:val="22"/>
          <w:szCs w:val="22"/>
        </w:rPr>
        <w:t xml:space="preserve">the NRC </w:t>
      </w:r>
      <w:r w:rsidRPr="007F722A">
        <w:rPr>
          <w:rFonts w:ascii="Arial" w:hAnsi="Arial" w:cs="Arial"/>
          <w:sz w:val="22"/>
          <w:szCs w:val="22"/>
        </w:rPr>
        <w:t>disagree</w:t>
      </w:r>
      <w:r w:rsidRPr="007F722A" w:rsidR="008923D7">
        <w:rPr>
          <w:rFonts w:ascii="Arial" w:hAnsi="Arial" w:cs="Arial"/>
          <w:sz w:val="22"/>
          <w:szCs w:val="22"/>
        </w:rPr>
        <w:t>s</w:t>
      </w:r>
      <w:r w:rsidRPr="007F722A">
        <w:rPr>
          <w:rFonts w:ascii="Arial" w:hAnsi="Arial" w:cs="Arial"/>
          <w:sz w:val="22"/>
          <w:szCs w:val="22"/>
        </w:rPr>
        <w:t xml:space="preserve"> that additional changes are needed </w:t>
      </w:r>
      <w:r w:rsidRPr="007F722A" w:rsidR="006C18FC">
        <w:rPr>
          <w:rFonts w:ascii="Arial" w:hAnsi="Arial" w:cs="Arial"/>
          <w:sz w:val="22"/>
          <w:szCs w:val="22"/>
        </w:rPr>
        <w:t>in</w:t>
      </w:r>
      <w:r w:rsidRPr="007F722A">
        <w:rPr>
          <w:rFonts w:ascii="Arial" w:hAnsi="Arial" w:cs="Arial"/>
          <w:sz w:val="22"/>
          <w:szCs w:val="22"/>
        </w:rPr>
        <w:t xml:space="preserve"> 10 CFR Part 53.</w:t>
      </w:r>
    </w:p>
    <w:p w:rsidR="00175B86" w:rsidRPr="007F722A" w:rsidP="007F722A" w14:paraId="7A4009DD" w14:textId="77777777">
      <w:pPr>
        <w:spacing w:after="220"/>
        <w:rPr>
          <w:rFonts w:ascii="Arial" w:hAnsi="Arial" w:cs="Arial"/>
          <w:b/>
          <w:sz w:val="22"/>
          <w:szCs w:val="22"/>
        </w:rPr>
      </w:pPr>
      <w:r w:rsidRPr="007F722A">
        <w:rPr>
          <w:rFonts w:ascii="Arial" w:hAnsi="Arial" w:cs="Arial"/>
          <w:sz w:val="22"/>
          <w:szCs w:val="22"/>
        </w:rPr>
        <w:t>Accordingly, the NRC did not change the rule language in response to this comment.</w:t>
      </w:r>
    </w:p>
    <w:p w:rsidR="000E5B49" w:rsidRPr="007F722A" w:rsidP="007F722A" w14:paraId="05C75D7F" w14:textId="77777777">
      <w:pPr>
        <w:spacing w:after="220"/>
        <w:rPr>
          <w:rFonts w:ascii="Arial" w:hAnsi="Arial" w:cs="Arial"/>
          <w:sz w:val="22"/>
          <w:szCs w:val="22"/>
        </w:rPr>
      </w:pPr>
      <w:r>
        <w:rPr>
          <w:rFonts w:ascii="Arial" w:hAnsi="Arial" w:cs="Arial"/>
          <w:sz w:val="22"/>
          <w:szCs w:val="22"/>
        </w:rPr>
        <w:pict>
          <v:rect id="_x0000_i1090" style="width:0;height:1.5pt" o:hralign="center" o:hrstd="t" o:hrnoshade="t" o:hr="t" fillcolor="black" stroked="f"/>
        </w:pict>
      </w:r>
    </w:p>
    <w:p w:rsidR="00B82769" w:rsidRPr="007F722A" w:rsidP="007F722A" w14:paraId="4C5A8E81" w14:textId="77777777">
      <w:pPr>
        <w:spacing w:after="220"/>
        <w:rPr>
          <w:rFonts w:ascii="Arial" w:hAnsi="Arial" w:cs="Arial"/>
          <w:sz w:val="22"/>
          <w:szCs w:val="22"/>
        </w:rPr>
      </w:pPr>
      <w:r w:rsidRPr="007F722A">
        <w:rPr>
          <w:rFonts w:ascii="Arial" w:hAnsi="Arial" w:cs="Arial"/>
          <w:b/>
          <w:sz w:val="22"/>
          <w:szCs w:val="22"/>
        </w:rPr>
        <w:t xml:space="preserve">Comment Bin 3.2.2.D: </w:t>
      </w:r>
      <w:r w:rsidRPr="007F722A">
        <w:rPr>
          <w:rFonts w:ascii="Arial" w:hAnsi="Arial" w:cs="Arial"/>
          <w:sz w:val="22"/>
          <w:szCs w:val="22"/>
        </w:rPr>
        <w:t>A commenter wrote that previous legislation on nuclear energy over the previous five decades have embedded the defense-in-depth approach for radiation protection, and nuclear safety functions and implementing design criteria are foundational elements of this defense-in-depth approach. The commenter added that generally industry codes and standards are implementing vehicles, and another key defense-in-depth element lies with the use of various programs in conjunction with industry codes and standards. The commenter wrote that, as legislation evolved over time, recognition emerged that protective measures involve varying levels of importance and that risk</w:t>
      </w:r>
      <w:r w:rsidRPr="007F722A">
        <w:rPr>
          <w:rFonts w:ascii="Arial" w:hAnsi="Arial" w:cs="Arial"/>
          <w:sz w:val="22"/>
          <w:szCs w:val="22"/>
        </w:rPr>
        <w:noBreakHyphen/>
        <w:t xml:space="preserve">based evaluations can provide a method to help establish importance </w:t>
      </w:r>
      <w:r w:rsidRPr="00E4312C">
        <w:rPr>
          <w:rFonts w:ascii="Arial" w:hAnsi="Arial" w:cs="Arial"/>
          <w:sz w:val="22"/>
          <w:szCs w:val="22"/>
        </w:rPr>
        <w:t>(</w:t>
      </w:r>
      <w:r w:rsidRPr="00E4312C" w:rsidR="00E4312C">
        <w:rPr>
          <w:rFonts w:ascii="Arial" w:eastAsia="Times New Roman" w:hAnsi="Arial" w:cs="Arial"/>
          <w:color w:val="000000"/>
          <w:sz w:val="22"/>
          <w:szCs w:val="22"/>
        </w:rPr>
        <w:t>HPT3</w:t>
      </w:r>
      <w:r w:rsidRPr="00E4312C">
        <w:rPr>
          <w:rFonts w:ascii="Arial" w:hAnsi="Arial" w:cs="Arial"/>
          <w:sz w:val="22"/>
          <w:szCs w:val="22"/>
        </w:rPr>
        <w:t>-</w:t>
      </w:r>
      <w:r w:rsidRPr="007F722A">
        <w:rPr>
          <w:rFonts w:ascii="Arial" w:hAnsi="Arial" w:cs="Arial"/>
          <w:sz w:val="22"/>
          <w:szCs w:val="22"/>
        </w:rPr>
        <w:t>0002).</w:t>
      </w:r>
    </w:p>
    <w:p w:rsidR="00A43CD6" w:rsidRPr="007F722A" w:rsidP="007F722A" w14:paraId="4919BBA3"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with th</w:t>
      </w:r>
      <w:r w:rsidR="009D2C23">
        <w:rPr>
          <w:rFonts w:ascii="Arial" w:hAnsi="Arial" w:cs="Arial"/>
          <w:sz w:val="22"/>
          <w:szCs w:val="22"/>
        </w:rPr>
        <w:t>e</w:t>
      </w:r>
      <w:r w:rsidRPr="007F722A">
        <w:rPr>
          <w:rFonts w:ascii="Arial" w:hAnsi="Arial" w:cs="Arial"/>
          <w:sz w:val="22"/>
          <w:szCs w:val="22"/>
        </w:rPr>
        <w:t xml:space="preserve"> comment.</w:t>
      </w:r>
    </w:p>
    <w:p w:rsidR="00AB641B" w:rsidRPr="007F722A" w:rsidP="007F722A" w14:paraId="7B402EB5" w14:textId="77777777">
      <w:pPr>
        <w:spacing w:after="220"/>
        <w:rPr>
          <w:rFonts w:ascii="Arial" w:hAnsi="Arial" w:cs="Arial"/>
          <w:sz w:val="22"/>
          <w:szCs w:val="22"/>
        </w:rPr>
      </w:pPr>
      <w:r w:rsidRPr="007F722A">
        <w:rPr>
          <w:rFonts w:ascii="Arial" w:hAnsi="Arial" w:cs="Arial"/>
          <w:sz w:val="22"/>
          <w:szCs w:val="22"/>
        </w:rPr>
        <w:t>The NRC agrees that various legislative actions and rulemakings have led to requirements intended to protect public health and safety, including the defense</w:t>
      </w:r>
      <w:r w:rsidRPr="007F722A">
        <w:rPr>
          <w:rFonts w:ascii="Arial" w:hAnsi="Arial" w:cs="Arial"/>
          <w:sz w:val="22"/>
          <w:szCs w:val="22"/>
        </w:rPr>
        <w:noBreakHyphen/>
        <w:t>in</w:t>
      </w:r>
      <w:r w:rsidRPr="007F722A">
        <w:rPr>
          <w:rFonts w:ascii="Arial" w:hAnsi="Arial" w:cs="Arial"/>
          <w:sz w:val="22"/>
          <w:szCs w:val="22"/>
        </w:rPr>
        <w:noBreakHyphen/>
        <w:t xml:space="preserve">depth approach. </w:t>
      </w:r>
      <w:r w:rsidRPr="007F722A">
        <w:rPr>
          <w:rFonts w:ascii="Arial" w:eastAsia="DengXian" w:hAnsi="Arial" w:cs="Arial"/>
          <w:sz w:val="22"/>
          <w:szCs w:val="22"/>
          <w:lang w:eastAsia="ja-JP"/>
        </w:rPr>
        <w:t>The comment did not suggest changes to the proposed rule.</w:t>
      </w:r>
      <w:r w:rsidRPr="007F722A">
        <w:rPr>
          <w:rFonts w:ascii="Arial" w:hAnsi="Arial" w:cs="Arial"/>
          <w:sz w:val="22"/>
          <w:szCs w:val="22"/>
        </w:rPr>
        <w:t xml:space="preserve"> </w:t>
      </w:r>
    </w:p>
    <w:p w:rsidR="00B82769" w:rsidRPr="007F722A" w:rsidP="007F722A" w14:paraId="684CD56E" w14:textId="77777777">
      <w:pPr>
        <w:spacing w:after="220"/>
        <w:rPr>
          <w:rFonts w:ascii="Arial" w:hAnsi="Arial" w:cs="Arial"/>
          <w:b/>
          <w:sz w:val="22"/>
          <w:szCs w:val="22"/>
        </w:rPr>
      </w:pPr>
      <w:r w:rsidRPr="007F722A">
        <w:rPr>
          <w:rFonts w:ascii="Arial" w:hAnsi="Arial" w:cs="Arial"/>
          <w:sz w:val="22"/>
          <w:szCs w:val="22"/>
        </w:rPr>
        <w:t>Accordingly, the NRC did not change the rule language in response to this comment.</w:t>
      </w:r>
    </w:p>
    <w:p w:rsidR="000E5B49" w:rsidRPr="007F722A" w:rsidP="007F722A" w14:paraId="66A4CA94" w14:textId="77777777">
      <w:pPr>
        <w:spacing w:after="220"/>
        <w:rPr>
          <w:rFonts w:ascii="Arial" w:hAnsi="Arial" w:cs="Arial"/>
          <w:sz w:val="22"/>
          <w:szCs w:val="22"/>
        </w:rPr>
      </w:pPr>
      <w:r>
        <w:rPr>
          <w:rFonts w:ascii="Arial" w:hAnsi="Arial" w:cs="Arial"/>
          <w:sz w:val="22"/>
          <w:szCs w:val="22"/>
        </w:rPr>
        <w:pict>
          <v:rect id="_x0000_i1091" style="width:0;height:1.5pt" o:hralign="center" o:hrstd="t" o:hrnoshade="t" o:hr="t" fillcolor="black" stroked="f"/>
        </w:pict>
      </w:r>
    </w:p>
    <w:p w:rsidR="00B82769" w:rsidRPr="007F722A" w:rsidP="007F722A" w14:paraId="5AFC8600" w14:textId="77777777">
      <w:pPr>
        <w:spacing w:after="220"/>
        <w:rPr>
          <w:rFonts w:ascii="Arial" w:hAnsi="Arial" w:cs="Arial"/>
          <w:sz w:val="22"/>
          <w:szCs w:val="22"/>
        </w:rPr>
      </w:pPr>
      <w:r w:rsidRPr="007F722A">
        <w:rPr>
          <w:rFonts w:ascii="Arial" w:hAnsi="Arial" w:cs="Arial"/>
          <w:b/>
          <w:sz w:val="22"/>
          <w:szCs w:val="22"/>
        </w:rPr>
        <w:t xml:space="preserve">Comment Bin 3.2.2.E: </w:t>
      </w:r>
      <w:r w:rsidRPr="007F722A">
        <w:rPr>
          <w:rFonts w:ascii="Arial" w:hAnsi="Arial" w:cs="Arial"/>
          <w:sz w:val="22"/>
          <w:szCs w:val="22"/>
        </w:rPr>
        <w:t>A commenter wrote that to enhance defense-in-depth, the NRC should concentrate on a subset of accident scenarios that might cause a rapid loss of containment integrity. The commenter continued that this subset of unidentified, potentially serious accidents can be narrowed by eliminating those prompt release scenarios whose source terms are too small to cause an early or latent fatality. Additionally, scenarios which have well heated and buoyant plumes and/or happen when there are considerable ongoing wind shifts during the plume release could be excluded from further analyses. The remaining unidentified accident scenarios that might lead to a rapid loss of containment integrity, a large source term and a ground level release are very different from the accident sequences in the present spectrum of accidents that the NRC now reviews. The commenter wrote that advancing defense-in-depth in a modern NRC would require focusing resources on looking for a special subset of sequences that have specific characteristics. The commenter wrote that the NRC should establish a special group of experts to review past plant operating incidents to see if they offer clues on potential rapid containment failure scenarios and other accidents outside of the usual spectrum of accidents the NRC examines (</w:t>
      </w:r>
      <w:r w:rsidR="00B9339E">
        <w:rPr>
          <w:rFonts w:ascii="Arial" w:hAnsi="Arial" w:cs="Arial"/>
          <w:sz w:val="22"/>
          <w:szCs w:val="22"/>
        </w:rPr>
        <w:t>MU1</w:t>
      </w:r>
      <w:r w:rsidRPr="007F722A">
        <w:rPr>
          <w:rFonts w:ascii="Arial" w:hAnsi="Arial" w:cs="Arial"/>
          <w:sz w:val="22"/>
          <w:szCs w:val="22"/>
        </w:rPr>
        <w:t>-0004). </w:t>
      </w:r>
    </w:p>
    <w:p w:rsidR="005E391F" w:rsidRPr="007F722A" w:rsidP="007F722A" w14:paraId="24AD9FF8"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disagrees with th</w:t>
      </w:r>
      <w:r w:rsidR="009D2C23">
        <w:rPr>
          <w:rFonts w:ascii="Arial" w:hAnsi="Arial" w:cs="Arial"/>
          <w:sz w:val="22"/>
          <w:szCs w:val="22"/>
        </w:rPr>
        <w:t>e</w:t>
      </w:r>
      <w:r w:rsidRPr="007F722A">
        <w:rPr>
          <w:rFonts w:ascii="Arial" w:hAnsi="Arial" w:cs="Arial"/>
          <w:sz w:val="22"/>
          <w:szCs w:val="22"/>
        </w:rPr>
        <w:t xml:space="preserve"> comment.</w:t>
      </w:r>
    </w:p>
    <w:p w:rsidR="00C12869" w:rsidRPr="007F722A" w:rsidP="007F722A" w14:paraId="33DEAB23" w14:textId="77777777">
      <w:pPr>
        <w:spacing w:after="220"/>
        <w:rPr>
          <w:rFonts w:ascii="Arial" w:hAnsi="Arial" w:cs="Arial"/>
          <w:sz w:val="22"/>
          <w:szCs w:val="22"/>
        </w:rPr>
      </w:pPr>
      <w:r w:rsidRPr="007F722A">
        <w:rPr>
          <w:rFonts w:ascii="Arial" w:hAnsi="Arial" w:cs="Arial"/>
          <w:sz w:val="22"/>
          <w:szCs w:val="22"/>
        </w:rPr>
        <w:t>As explained in the proposed and final rules, 10 CFR Part 53 requires the evaluation of a wide range of event sequences for comparison to evaluation criteria defined for each licensing</w:t>
      </w:r>
      <w:r w:rsidR="00113FE3">
        <w:rPr>
          <w:rFonts w:ascii="Arial" w:hAnsi="Arial" w:cs="Arial"/>
          <w:sz w:val="22"/>
          <w:szCs w:val="22"/>
        </w:rPr>
        <w:noBreakHyphen/>
      </w:r>
      <w:r w:rsidRPr="007F722A">
        <w:rPr>
          <w:rFonts w:ascii="Arial" w:hAnsi="Arial" w:cs="Arial"/>
          <w:sz w:val="22"/>
          <w:szCs w:val="22"/>
        </w:rPr>
        <w:t>basis event (LBE) or category of LBEs. Such evaluation criteria for specific LBEs or categories of LBEs would be defined in terms of limits on the release of radionuclides or maintaining the integrity of one or more barriers used to limit the release of radionuclides and reflect a graded approach of allowing lesser potential consequences from more frequent events. Although the approach described in the comment may be appropriate for some event sequences or as a means to define a bounding offsite consequence, the NRC disagrees that the approach is a suitable replacement for the broader systematic evaluation of a range of event sequences required under 10 CFR Part 53.</w:t>
      </w:r>
    </w:p>
    <w:p w:rsidR="00B82769" w:rsidRPr="007F722A" w:rsidP="007F722A" w14:paraId="0058207B" w14:textId="77777777">
      <w:pPr>
        <w:spacing w:after="220"/>
        <w:rPr>
          <w:rFonts w:ascii="Arial" w:hAnsi="Arial" w:cs="Arial"/>
          <w:sz w:val="22"/>
          <w:szCs w:val="22"/>
        </w:rPr>
      </w:pPr>
      <w:r w:rsidRPr="007F722A">
        <w:rPr>
          <w:rFonts w:ascii="Arial" w:hAnsi="Arial" w:cs="Arial"/>
          <w:sz w:val="22"/>
          <w:szCs w:val="22"/>
        </w:rPr>
        <w:t xml:space="preserve">To the extent </w:t>
      </w:r>
      <w:r w:rsidRPr="007F722A" w:rsidR="00AA4A91">
        <w:rPr>
          <w:rFonts w:ascii="Arial" w:hAnsi="Arial" w:cs="Arial"/>
          <w:sz w:val="22"/>
          <w:szCs w:val="22"/>
        </w:rPr>
        <w:t xml:space="preserve">that </w:t>
      </w:r>
      <w:r w:rsidRPr="007F722A">
        <w:rPr>
          <w:rFonts w:ascii="Arial" w:hAnsi="Arial" w:cs="Arial"/>
          <w:sz w:val="22"/>
          <w:szCs w:val="22"/>
        </w:rPr>
        <w:t xml:space="preserve">the comment suggests establishing a group of experts to investigate such event sequences, the comment is outside the scope of this rulemaking. Although, the NRC notes that the </w:t>
      </w:r>
      <w:r w:rsidR="00957FE7">
        <w:rPr>
          <w:rFonts w:ascii="Arial" w:hAnsi="Arial" w:cs="Arial"/>
          <w:sz w:val="22"/>
          <w:szCs w:val="22"/>
        </w:rPr>
        <w:t>Advisory Committee on Reactor Safeguards (</w:t>
      </w:r>
      <w:r w:rsidRPr="007F722A">
        <w:rPr>
          <w:rFonts w:ascii="Arial" w:hAnsi="Arial" w:cs="Arial"/>
          <w:sz w:val="22"/>
          <w:szCs w:val="22"/>
        </w:rPr>
        <w:t>ACRS</w:t>
      </w:r>
      <w:r w:rsidR="00957FE7">
        <w:rPr>
          <w:rFonts w:ascii="Arial" w:hAnsi="Arial" w:cs="Arial"/>
          <w:sz w:val="22"/>
          <w:szCs w:val="22"/>
        </w:rPr>
        <w:t>)</w:t>
      </w:r>
      <w:r w:rsidRPr="007F722A">
        <w:rPr>
          <w:rFonts w:ascii="Arial" w:hAnsi="Arial" w:cs="Arial"/>
          <w:sz w:val="22"/>
          <w:szCs w:val="22"/>
        </w:rPr>
        <w:t xml:space="preserve"> will review new reactor </w:t>
      </w:r>
      <w:r w:rsidRPr="007F722A">
        <w:rPr>
          <w:rFonts w:ascii="Arial" w:hAnsi="Arial" w:cs="Arial"/>
          <w:sz w:val="22"/>
          <w:szCs w:val="22"/>
        </w:rPr>
        <w:t>applications and provide additional safety insights to the staff, which can include highlighting overlooked event sequences.</w:t>
      </w:r>
    </w:p>
    <w:p w:rsidR="00B82769" w:rsidRPr="007F722A" w:rsidP="007F722A" w14:paraId="4FE2BC17" w14:textId="77777777">
      <w:pPr>
        <w:spacing w:after="220"/>
        <w:rPr>
          <w:rFonts w:ascii="Arial" w:hAnsi="Arial" w:cs="Arial"/>
          <w:b/>
          <w:sz w:val="22"/>
          <w:szCs w:val="22"/>
        </w:rPr>
      </w:pPr>
      <w:r w:rsidRPr="007F722A">
        <w:rPr>
          <w:rFonts w:ascii="Arial" w:hAnsi="Arial" w:cs="Arial"/>
          <w:sz w:val="22"/>
          <w:szCs w:val="22"/>
        </w:rPr>
        <w:t xml:space="preserve">Accordingly, the NRC did not change the rule </w:t>
      </w:r>
      <w:r w:rsidRPr="007F722A" w:rsidR="00075EC8">
        <w:rPr>
          <w:rFonts w:ascii="Arial" w:hAnsi="Arial" w:cs="Arial"/>
          <w:sz w:val="22"/>
          <w:szCs w:val="22"/>
        </w:rPr>
        <w:t>language</w:t>
      </w:r>
      <w:r w:rsidRPr="007F722A">
        <w:rPr>
          <w:rFonts w:ascii="Arial" w:hAnsi="Arial" w:cs="Arial"/>
          <w:sz w:val="22"/>
          <w:szCs w:val="22"/>
        </w:rPr>
        <w:t xml:space="preserve"> </w:t>
      </w:r>
      <w:r w:rsidRPr="007F722A" w:rsidR="00235FEF">
        <w:rPr>
          <w:rFonts w:ascii="Arial" w:hAnsi="Arial" w:cs="Arial"/>
          <w:sz w:val="22"/>
          <w:szCs w:val="22"/>
        </w:rPr>
        <w:t>in response to</w:t>
      </w:r>
      <w:r w:rsidRPr="007F722A">
        <w:rPr>
          <w:rFonts w:ascii="Arial" w:hAnsi="Arial" w:cs="Arial"/>
          <w:sz w:val="22"/>
          <w:szCs w:val="22"/>
        </w:rPr>
        <w:t xml:space="preserve"> this comment.</w:t>
      </w:r>
    </w:p>
    <w:p w:rsidR="000E5B49" w:rsidRPr="007F722A" w:rsidP="007F722A" w14:paraId="48569B0B" w14:textId="77777777">
      <w:pPr>
        <w:spacing w:after="220"/>
        <w:rPr>
          <w:rFonts w:ascii="Arial" w:hAnsi="Arial" w:cs="Arial"/>
          <w:sz w:val="22"/>
          <w:szCs w:val="22"/>
        </w:rPr>
      </w:pPr>
      <w:r>
        <w:rPr>
          <w:rFonts w:ascii="Arial" w:hAnsi="Arial" w:cs="Arial"/>
          <w:sz w:val="22"/>
          <w:szCs w:val="22"/>
        </w:rPr>
        <w:pict>
          <v:rect id="_x0000_i1092" style="width:0;height:1.5pt" o:hralign="center" o:hrstd="t" o:hrnoshade="t" o:hr="t" fillcolor="black" stroked="f"/>
        </w:pict>
      </w:r>
    </w:p>
    <w:p w:rsidR="00BE4354" w:rsidRPr="007F722A" w:rsidP="007F722A" w14:paraId="3D86D14F" w14:textId="77777777">
      <w:pPr>
        <w:spacing w:after="220"/>
        <w:rPr>
          <w:rFonts w:ascii="Arial" w:hAnsi="Arial" w:cs="Arial"/>
          <w:sz w:val="22"/>
          <w:szCs w:val="22"/>
        </w:rPr>
      </w:pPr>
      <w:r w:rsidRPr="007F722A">
        <w:rPr>
          <w:rFonts w:ascii="Arial" w:hAnsi="Arial" w:cs="Arial"/>
          <w:b/>
          <w:sz w:val="22"/>
          <w:szCs w:val="22"/>
        </w:rPr>
        <w:t xml:space="preserve">Comment Bin 3.2.2.F: </w:t>
      </w:r>
      <w:r w:rsidRPr="007F722A">
        <w:rPr>
          <w:rFonts w:ascii="Arial" w:hAnsi="Arial" w:cs="Arial"/>
          <w:sz w:val="22"/>
          <w:szCs w:val="22"/>
        </w:rPr>
        <w:t>A commenter stated that while the proposed rule’s discussion of defense in depth focusing on DBEs other than DBAs, which the NRC interprets as meaning LBEs other than DBAs, aligns with LMP, a bounding risk assessment also can inform a defense-in-depth assessment. The</w:t>
      </w:r>
      <w:r w:rsidRPr="007F722A">
        <w:rPr>
          <w:rFonts w:ascii="Arial" w:eastAsia="Times New Roman" w:hAnsi="Arial" w:cs="Arial"/>
          <w:sz w:val="22"/>
          <w:szCs w:val="22"/>
        </w:rPr>
        <w:t xml:space="preserve"> commenter gave an example where systems credited in the DBA perform a mitigation function and systems that fail to create the initial conditions of the DBA perform a prevention function.</w:t>
      </w:r>
      <w:r w:rsidRPr="007F722A">
        <w:rPr>
          <w:rFonts w:ascii="Arial" w:hAnsi="Arial" w:cs="Arial"/>
          <w:sz w:val="22"/>
          <w:szCs w:val="22"/>
        </w:rPr>
        <w:t xml:space="preserve"> The commenter suggested that the NRC remove the “other than DBAs” language from the discussion of defense in depth (</w:t>
      </w:r>
      <w:r w:rsidR="009D6BB9">
        <w:rPr>
          <w:rFonts w:ascii="Arial" w:hAnsi="Arial" w:cs="Arial"/>
          <w:sz w:val="22"/>
          <w:szCs w:val="22"/>
        </w:rPr>
        <w:t>NEI2</w:t>
      </w:r>
      <w:r w:rsidRPr="007F722A">
        <w:rPr>
          <w:rFonts w:ascii="Arial" w:hAnsi="Arial" w:cs="Arial"/>
          <w:sz w:val="22"/>
          <w:szCs w:val="22"/>
        </w:rPr>
        <w:t>-0018)</w:t>
      </w:r>
      <w:r w:rsidRPr="007F722A" w:rsidR="00787619">
        <w:rPr>
          <w:rFonts w:ascii="Arial" w:hAnsi="Arial" w:cs="Arial"/>
          <w:sz w:val="22"/>
          <w:szCs w:val="22"/>
        </w:rPr>
        <w:t>.</w:t>
      </w:r>
    </w:p>
    <w:p w:rsidR="00BE4354" w:rsidRPr="007F722A" w:rsidP="007F722A" w14:paraId="78189525" w14:textId="77777777">
      <w:pPr>
        <w:spacing w:after="220"/>
        <w:rPr>
          <w:rFonts w:ascii="Arial" w:hAnsi="Arial" w:cs="Arial"/>
          <w:sz w:val="22"/>
          <w:szCs w:val="22"/>
        </w:rPr>
      </w:pPr>
      <w:r w:rsidRPr="007F722A">
        <w:rPr>
          <w:rFonts w:ascii="Arial" w:hAnsi="Arial" w:cs="Arial"/>
          <w:b/>
          <w:sz w:val="22"/>
          <w:szCs w:val="22"/>
        </w:rPr>
        <w:t>NRC Response:</w:t>
      </w:r>
      <w:r w:rsidRPr="007F722A">
        <w:rPr>
          <w:rFonts w:ascii="Arial" w:hAnsi="Arial" w:cs="Arial"/>
          <w:sz w:val="22"/>
          <w:szCs w:val="22"/>
        </w:rPr>
        <w:t> The NRC agrees, in part, with th</w:t>
      </w:r>
      <w:r w:rsidR="009D2C23">
        <w:rPr>
          <w:rFonts w:ascii="Arial" w:hAnsi="Arial" w:cs="Arial"/>
          <w:sz w:val="22"/>
          <w:szCs w:val="22"/>
        </w:rPr>
        <w:t>e</w:t>
      </w:r>
      <w:r w:rsidRPr="007F722A">
        <w:rPr>
          <w:rFonts w:ascii="Arial" w:hAnsi="Arial" w:cs="Arial"/>
          <w:sz w:val="22"/>
          <w:szCs w:val="22"/>
        </w:rPr>
        <w:t xml:space="preserve"> comment.</w:t>
      </w:r>
    </w:p>
    <w:p w:rsidR="002F5800" w:rsidRPr="007F722A" w:rsidP="007F722A" w14:paraId="621E974A" w14:textId="77777777">
      <w:pPr>
        <w:spacing w:after="220"/>
        <w:rPr>
          <w:rFonts w:ascii="Arial" w:hAnsi="Arial" w:cs="Arial"/>
          <w:sz w:val="22"/>
          <w:szCs w:val="22"/>
        </w:rPr>
      </w:pPr>
      <w:r w:rsidRPr="007F722A">
        <w:rPr>
          <w:rFonts w:ascii="Arial" w:hAnsi="Arial" w:cs="Arial"/>
          <w:sz w:val="22"/>
          <w:szCs w:val="22"/>
        </w:rPr>
        <w:t xml:space="preserve">As explained in the proposed and final rules, screening tools and bounding or simplified methods may be used for any mode or hazard, provided that the applicant provides an acceptable technical basis. As such, the NRC agrees a bounding risk assessment used together with PRA, other </w:t>
      </w:r>
      <w:r w:rsidR="000373CF">
        <w:rPr>
          <w:rFonts w:ascii="Arial" w:hAnsi="Arial" w:cs="Arial"/>
          <w:sz w:val="22"/>
          <w:szCs w:val="22"/>
        </w:rPr>
        <w:t>systemat</w:t>
      </w:r>
      <w:r w:rsidR="00BA5166">
        <w:rPr>
          <w:rFonts w:ascii="Arial" w:hAnsi="Arial" w:cs="Arial"/>
          <w:sz w:val="22"/>
          <w:szCs w:val="22"/>
        </w:rPr>
        <w:t>ic risk evaluations (</w:t>
      </w:r>
      <w:r w:rsidRPr="007F722A">
        <w:rPr>
          <w:rFonts w:ascii="Arial" w:hAnsi="Arial" w:cs="Arial"/>
          <w:sz w:val="22"/>
          <w:szCs w:val="22"/>
        </w:rPr>
        <w:t>SREs</w:t>
      </w:r>
      <w:r w:rsidR="00BA5166">
        <w:rPr>
          <w:rFonts w:ascii="Arial" w:hAnsi="Arial" w:cs="Arial"/>
          <w:sz w:val="22"/>
          <w:szCs w:val="22"/>
        </w:rPr>
        <w:t>)</w:t>
      </w:r>
      <w:r w:rsidRPr="007F722A">
        <w:rPr>
          <w:rFonts w:ascii="Arial" w:hAnsi="Arial" w:cs="Arial"/>
          <w:sz w:val="22"/>
          <w:szCs w:val="22"/>
        </w:rPr>
        <w:t>, or combination thereof can inform an evaluation of defense</w:t>
      </w:r>
      <w:r w:rsidRPr="007F722A">
        <w:rPr>
          <w:rFonts w:ascii="Arial" w:hAnsi="Arial" w:cs="Arial"/>
          <w:sz w:val="22"/>
          <w:szCs w:val="22"/>
        </w:rPr>
        <w:noBreakHyphen/>
        <w:t>in</w:t>
      </w:r>
      <w:r w:rsidRPr="007F722A">
        <w:rPr>
          <w:rFonts w:ascii="Arial" w:hAnsi="Arial" w:cs="Arial"/>
          <w:sz w:val="22"/>
          <w:szCs w:val="22"/>
        </w:rPr>
        <w:noBreakHyphen/>
        <w:t xml:space="preserve">depth adequacy. However, </w:t>
      </w:r>
      <w:r w:rsidRPr="007F722A" w:rsidR="007B30AD">
        <w:rPr>
          <w:rFonts w:ascii="Arial" w:hAnsi="Arial" w:cs="Arial"/>
          <w:sz w:val="22"/>
          <w:szCs w:val="22"/>
        </w:rPr>
        <w:t>the</w:t>
      </w:r>
      <w:r w:rsidRPr="007F722A">
        <w:rPr>
          <w:rFonts w:ascii="Arial" w:hAnsi="Arial" w:cs="Arial"/>
          <w:sz w:val="22"/>
          <w:szCs w:val="22"/>
        </w:rPr>
        <w:t xml:space="preserve"> exclusive use of bounding risk assessments or a traditionally developed, deterministic safety </w:t>
      </w:r>
      <w:r w:rsidR="00956281">
        <w:rPr>
          <w:rFonts w:ascii="Arial" w:hAnsi="Arial" w:cs="Arial"/>
          <w:sz w:val="22"/>
          <w:szCs w:val="22"/>
        </w:rPr>
        <w:t>analyses</w:t>
      </w:r>
      <w:r w:rsidRPr="007F722A" w:rsidR="00956281">
        <w:rPr>
          <w:rFonts w:ascii="Arial" w:hAnsi="Arial" w:cs="Arial"/>
          <w:sz w:val="22"/>
          <w:szCs w:val="22"/>
        </w:rPr>
        <w:t xml:space="preserve"> </w:t>
      </w:r>
      <w:r w:rsidRPr="007F722A">
        <w:rPr>
          <w:rFonts w:ascii="Arial" w:hAnsi="Arial" w:cs="Arial"/>
          <w:sz w:val="22"/>
          <w:szCs w:val="22"/>
        </w:rPr>
        <w:t xml:space="preserve">would not be sufficient for meeting other analysis requirements under 10 CFR 53.450(e), such as paragraph (4), as it relates to identifying event sequences deemed significant for controlling risks. </w:t>
      </w:r>
      <w:r w:rsidRPr="007F722A" w:rsidR="00186174">
        <w:rPr>
          <w:rFonts w:ascii="Arial" w:hAnsi="Arial" w:cs="Arial"/>
          <w:sz w:val="22"/>
          <w:szCs w:val="22"/>
        </w:rPr>
        <w:t xml:space="preserve">This is because the analysis used to identify event sequences deemed significant for controlling risk necessarily </w:t>
      </w:r>
      <w:r w:rsidRPr="007F722A" w:rsidR="004240EB">
        <w:rPr>
          <w:rFonts w:ascii="Arial" w:hAnsi="Arial" w:cs="Arial"/>
          <w:sz w:val="22"/>
          <w:szCs w:val="22"/>
        </w:rPr>
        <w:t xml:space="preserve">rely on </w:t>
      </w:r>
      <w:r w:rsidRPr="007F722A" w:rsidR="00186174">
        <w:rPr>
          <w:rFonts w:ascii="Arial" w:hAnsi="Arial" w:cs="Arial"/>
          <w:sz w:val="22"/>
          <w:szCs w:val="22"/>
        </w:rPr>
        <w:t xml:space="preserve">greater degrees of realism to </w:t>
      </w:r>
      <w:r w:rsidRPr="007F722A" w:rsidR="00563930">
        <w:rPr>
          <w:rFonts w:ascii="Arial" w:hAnsi="Arial" w:cs="Arial"/>
          <w:sz w:val="22"/>
          <w:szCs w:val="22"/>
        </w:rPr>
        <w:t>allow a decisionmaker to</w:t>
      </w:r>
      <w:r w:rsidRPr="007F722A" w:rsidR="004240EB">
        <w:rPr>
          <w:rFonts w:ascii="Arial" w:hAnsi="Arial" w:cs="Arial"/>
          <w:sz w:val="22"/>
          <w:szCs w:val="22"/>
        </w:rPr>
        <w:t xml:space="preserve"> </w:t>
      </w:r>
      <w:r w:rsidRPr="007F722A" w:rsidR="006E71FF">
        <w:rPr>
          <w:rFonts w:ascii="Arial" w:hAnsi="Arial" w:cs="Arial"/>
          <w:sz w:val="22"/>
          <w:szCs w:val="22"/>
        </w:rPr>
        <w:t xml:space="preserve">better </w:t>
      </w:r>
      <w:r w:rsidRPr="007F722A" w:rsidR="00186174">
        <w:rPr>
          <w:rFonts w:ascii="Arial" w:hAnsi="Arial" w:cs="Arial"/>
          <w:sz w:val="22"/>
          <w:szCs w:val="22"/>
        </w:rPr>
        <w:t>distinguish between the relative importance of different risk contributors</w:t>
      </w:r>
      <w:r w:rsidRPr="007F722A" w:rsidR="00EA076B">
        <w:rPr>
          <w:rFonts w:ascii="Arial" w:hAnsi="Arial" w:cs="Arial"/>
          <w:sz w:val="22"/>
          <w:szCs w:val="22"/>
        </w:rPr>
        <w:t xml:space="preserve"> and better prioritize different safety aspects of a design</w:t>
      </w:r>
      <w:r w:rsidRPr="007F722A" w:rsidR="00186174">
        <w:rPr>
          <w:rFonts w:ascii="Arial" w:hAnsi="Arial" w:cs="Arial"/>
          <w:sz w:val="22"/>
          <w:szCs w:val="22"/>
        </w:rPr>
        <w:t xml:space="preserve">. In contrast, </w:t>
      </w:r>
      <w:r w:rsidRPr="007F722A" w:rsidR="00447B16">
        <w:rPr>
          <w:rFonts w:ascii="Arial" w:hAnsi="Arial" w:cs="Arial"/>
          <w:sz w:val="22"/>
          <w:szCs w:val="22"/>
        </w:rPr>
        <w:t>artificially pessimistic assumptions associated with</w:t>
      </w:r>
      <w:r w:rsidRPr="007F722A" w:rsidR="00186174">
        <w:rPr>
          <w:rFonts w:ascii="Arial" w:hAnsi="Arial" w:cs="Arial"/>
          <w:sz w:val="22"/>
          <w:szCs w:val="22"/>
        </w:rPr>
        <w:t xml:space="preserve"> bounding risk assessments or </w:t>
      </w:r>
      <w:r w:rsidRPr="007F722A" w:rsidR="0025454B">
        <w:rPr>
          <w:rFonts w:ascii="Arial" w:hAnsi="Arial" w:cs="Arial"/>
          <w:sz w:val="22"/>
          <w:szCs w:val="22"/>
        </w:rPr>
        <w:t>a</w:t>
      </w:r>
      <w:r w:rsidRPr="007F722A" w:rsidR="00186174">
        <w:rPr>
          <w:rFonts w:ascii="Arial" w:hAnsi="Arial" w:cs="Arial"/>
          <w:sz w:val="22"/>
          <w:szCs w:val="22"/>
        </w:rPr>
        <w:t xml:space="preserve"> traditionally developed, deterministic safety </w:t>
      </w:r>
      <w:r w:rsidR="00055C39">
        <w:rPr>
          <w:rFonts w:ascii="Arial" w:hAnsi="Arial" w:cs="Arial"/>
          <w:sz w:val="22"/>
          <w:szCs w:val="22"/>
        </w:rPr>
        <w:t>analyses</w:t>
      </w:r>
      <w:r w:rsidRPr="007F722A" w:rsidR="00055C39">
        <w:rPr>
          <w:rFonts w:ascii="Arial" w:hAnsi="Arial" w:cs="Arial"/>
          <w:sz w:val="22"/>
          <w:szCs w:val="22"/>
        </w:rPr>
        <w:t xml:space="preserve"> </w:t>
      </w:r>
      <w:r w:rsidRPr="007F722A" w:rsidR="003F3E97">
        <w:rPr>
          <w:rFonts w:ascii="Arial" w:hAnsi="Arial" w:cs="Arial"/>
          <w:sz w:val="22"/>
          <w:szCs w:val="22"/>
        </w:rPr>
        <w:t>can significantly</w:t>
      </w:r>
      <w:r w:rsidRPr="007F722A" w:rsidR="00EE0239">
        <w:rPr>
          <w:rFonts w:ascii="Arial" w:hAnsi="Arial" w:cs="Arial"/>
          <w:sz w:val="22"/>
          <w:szCs w:val="22"/>
        </w:rPr>
        <w:t xml:space="preserve"> misrepresent</w:t>
      </w:r>
      <w:r w:rsidRPr="007F722A" w:rsidR="006647CC">
        <w:rPr>
          <w:rFonts w:ascii="Arial" w:hAnsi="Arial" w:cs="Arial"/>
          <w:sz w:val="22"/>
          <w:szCs w:val="22"/>
        </w:rPr>
        <w:t xml:space="preserve"> </w:t>
      </w:r>
      <w:r w:rsidRPr="007F722A" w:rsidR="000709F4">
        <w:rPr>
          <w:rFonts w:ascii="Arial" w:hAnsi="Arial" w:cs="Arial"/>
          <w:sz w:val="22"/>
          <w:szCs w:val="22"/>
        </w:rPr>
        <w:t xml:space="preserve">(i.e., mask) </w:t>
      </w:r>
      <w:r w:rsidRPr="007F722A" w:rsidR="00624FB2">
        <w:rPr>
          <w:rFonts w:ascii="Arial" w:hAnsi="Arial" w:cs="Arial"/>
          <w:sz w:val="22"/>
          <w:szCs w:val="22"/>
        </w:rPr>
        <w:t xml:space="preserve">the </w:t>
      </w:r>
      <w:r w:rsidRPr="007F722A" w:rsidR="00B64805">
        <w:rPr>
          <w:rFonts w:ascii="Arial" w:hAnsi="Arial" w:cs="Arial"/>
          <w:sz w:val="22"/>
          <w:szCs w:val="22"/>
        </w:rPr>
        <w:t xml:space="preserve">relative </w:t>
      </w:r>
      <w:r w:rsidRPr="007F722A" w:rsidR="00624FB2">
        <w:rPr>
          <w:rFonts w:ascii="Arial" w:hAnsi="Arial" w:cs="Arial"/>
          <w:sz w:val="22"/>
          <w:szCs w:val="22"/>
        </w:rPr>
        <w:t xml:space="preserve">risk importance of </w:t>
      </w:r>
      <w:r w:rsidRPr="007F722A" w:rsidR="00C5230E">
        <w:rPr>
          <w:rFonts w:ascii="Arial" w:hAnsi="Arial" w:cs="Arial"/>
          <w:sz w:val="22"/>
          <w:szCs w:val="22"/>
        </w:rPr>
        <w:t>a</w:t>
      </w:r>
      <w:r w:rsidRPr="007F722A" w:rsidR="007E4996">
        <w:rPr>
          <w:rFonts w:ascii="Arial" w:hAnsi="Arial" w:cs="Arial"/>
          <w:sz w:val="22"/>
          <w:szCs w:val="22"/>
        </w:rPr>
        <w:t xml:space="preserve"> related</w:t>
      </w:r>
      <w:r w:rsidRPr="007F722A" w:rsidR="00C5230E">
        <w:rPr>
          <w:rFonts w:ascii="Arial" w:hAnsi="Arial" w:cs="Arial"/>
          <w:sz w:val="22"/>
          <w:szCs w:val="22"/>
        </w:rPr>
        <w:t xml:space="preserve"> aspect of a design</w:t>
      </w:r>
      <w:r w:rsidRPr="007F722A" w:rsidR="00186174">
        <w:rPr>
          <w:rFonts w:ascii="Arial" w:hAnsi="Arial" w:cs="Arial"/>
          <w:sz w:val="22"/>
          <w:szCs w:val="22"/>
        </w:rPr>
        <w:t>.</w:t>
      </w:r>
    </w:p>
    <w:p w:rsidR="00BE4354" w:rsidRPr="007F722A" w:rsidP="007F722A" w14:paraId="4A9ECC9F" w14:textId="77777777">
      <w:pPr>
        <w:spacing w:after="220"/>
        <w:rPr>
          <w:rFonts w:ascii="Arial" w:hAnsi="Arial" w:cs="Arial"/>
          <w:sz w:val="22"/>
          <w:szCs w:val="22"/>
        </w:rPr>
      </w:pPr>
      <w:r w:rsidRPr="007F722A">
        <w:rPr>
          <w:rFonts w:ascii="Arial" w:hAnsi="Arial" w:cs="Arial"/>
          <w:sz w:val="22"/>
          <w:szCs w:val="22"/>
        </w:rPr>
        <w:t>As explained in the proposed and final rules, while the dedicated success paths associated with DBAs contribute to the overall defense in depth for each commercial nuclear plant under 10</w:t>
      </w:r>
      <w:r w:rsidR="009D2C23">
        <w:rPr>
          <w:rFonts w:ascii="Arial" w:hAnsi="Arial" w:cs="Arial"/>
          <w:sz w:val="22"/>
          <w:szCs w:val="22"/>
        </w:rPr>
        <w:t> </w:t>
      </w:r>
      <w:r w:rsidRPr="007F722A">
        <w:rPr>
          <w:rFonts w:ascii="Arial" w:hAnsi="Arial" w:cs="Arial"/>
          <w:sz w:val="22"/>
          <w:szCs w:val="22"/>
        </w:rPr>
        <w:t>CFR Part 53, DBAs are conservative in their nature and</w:t>
      </w:r>
      <w:r w:rsidRPr="007F722A" w:rsidR="00E73BCD">
        <w:rPr>
          <w:rFonts w:ascii="Arial" w:hAnsi="Arial" w:cs="Arial"/>
          <w:sz w:val="22"/>
          <w:szCs w:val="22"/>
        </w:rPr>
        <w:t xml:space="preserve">, depending on the design under consideration, the </w:t>
      </w:r>
      <w:r w:rsidRPr="007F722A" w:rsidR="00646C48">
        <w:rPr>
          <w:rFonts w:ascii="Arial" w:hAnsi="Arial" w:cs="Arial"/>
          <w:sz w:val="22"/>
          <w:szCs w:val="22"/>
        </w:rPr>
        <w:t>overall defense in depth</w:t>
      </w:r>
      <w:r w:rsidRPr="007F722A" w:rsidR="000A689A">
        <w:rPr>
          <w:rFonts w:ascii="Arial" w:hAnsi="Arial" w:cs="Arial"/>
          <w:sz w:val="22"/>
          <w:szCs w:val="22"/>
        </w:rPr>
        <w:t xml:space="preserve"> for that design may need to be further complemented with other, more realistic scenario evaluations</w:t>
      </w:r>
      <w:r w:rsidRPr="007F722A">
        <w:rPr>
          <w:rFonts w:ascii="Arial" w:hAnsi="Arial" w:cs="Arial"/>
          <w:sz w:val="22"/>
          <w:szCs w:val="22"/>
        </w:rPr>
        <w:t>.</w:t>
      </w:r>
    </w:p>
    <w:p w:rsidR="00BE4354" w:rsidRPr="007F722A" w:rsidP="007F722A" w14:paraId="491CC854" w14:textId="77777777">
      <w:pPr>
        <w:spacing w:after="220"/>
        <w:rPr>
          <w:rFonts w:ascii="Arial" w:hAnsi="Arial" w:cs="Arial"/>
          <w:b/>
          <w:sz w:val="22"/>
          <w:szCs w:val="22"/>
        </w:rPr>
      </w:pPr>
      <w:r w:rsidRPr="007F722A">
        <w:rPr>
          <w:rFonts w:ascii="Arial" w:hAnsi="Arial" w:cs="Arial"/>
          <w:sz w:val="22"/>
          <w:szCs w:val="22"/>
        </w:rPr>
        <w:t>Accordingly, the NRC did not change the rule language in response to this comment.</w:t>
      </w:r>
    </w:p>
    <w:p w:rsidR="000E5B49" w:rsidRPr="00F97A1B" w:rsidP="00A424A1" w14:paraId="703E0CD0" w14:textId="77777777">
      <w:pPr>
        <w:spacing w:after="220"/>
        <w:rPr>
          <w:rFonts w:ascii="Arial" w:hAnsi="Arial" w:cs="Arial"/>
        </w:rPr>
      </w:pPr>
      <w:r>
        <w:rPr>
          <w:rFonts w:ascii="Arial" w:hAnsi="Arial" w:cs="Arial"/>
        </w:rPr>
        <w:pict>
          <v:rect id="_x0000_i1093" style="width:0;height:1.5pt" o:hralign="center" o:hrstd="t" o:hrnoshade="t" o:hr="t" fillcolor="black" stroked="f"/>
        </w:pict>
      </w:r>
    </w:p>
    <w:p w:rsidR="00BE4354" w:rsidRPr="00583EDF" w:rsidP="00A424A1" w14:paraId="177E80A6" w14:textId="77777777">
      <w:pPr>
        <w:spacing w:after="220"/>
        <w:rPr>
          <w:rFonts w:ascii="Arial" w:hAnsi="Arial" w:cs="Arial"/>
          <w:sz w:val="22"/>
          <w:szCs w:val="22"/>
        </w:rPr>
      </w:pPr>
      <w:r w:rsidRPr="00583EDF">
        <w:rPr>
          <w:rFonts w:ascii="Arial" w:hAnsi="Arial" w:cs="Arial"/>
          <w:b/>
          <w:bCs/>
          <w:sz w:val="22"/>
          <w:szCs w:val="22"/>
        </w:rPr>
        <w:t xml:space="preserve">Comment Bin 3.2.2.G: </w:t>
      </w:r>
      <w:r w:rsidRPr="00583EDF">
        <w:rPr>
          <w:rFonts w:ascii="Arial" w:hAnsi="Arial" w:cs="Arial"/>
          <w:sz w:val="22"/>
          <w:szCs w:val="22"/>
        </w:rPr>
        <w:t>A commenter wrote that they supported including specific defense</w:t>
      </w:r>
      <w:r w:rsidRPr="00583EDF">
        <w:rPr>
          <w:rFonts w:ascii="Arial" w:hAnsi="Arial" w:cs="Arial"/>
          <w:sz w:val="22"/>
          <w:szCs w:val="22"/>
        </w:rPr>
        <w:noBreakHyphen/>
        <w:t>in</w:t>
      </w:r>
      <w:r w:rsidRPr="00583EDF">
        <w:rPr>
          <w:rFonts w:ascii="Arial" w:hAnsi="Arial" w:cs="Arial"/>
          <w:sz w:val="22"/>
          <w:szCs w:val="22"/>
        </w:rPr>
        <w:noBreakHyphen/>
        <w:t>depth requirements including the “single-failure-like provision” in 10</w:t>
      </w:r>
      <w:r w:rsidRPr="00583EDF" w:rsidR="005B4384">
        <w:rPr>
          <w:rFonts w:ascii="Arial" w:hAnsi="Arial" w:cs="Arial"/>
          <w:sz w:val="22"/>
          <w:szCs w:val="22"/>
        </w:rPr>
        <w:t> </w:t>
      </w:r>
      <w:r w:rsidRPr="00583EDF">
        <w:rPr>
          <w:rFonts w:ascii="Arial" w:hAnsi="Arial" w:cs="Arial"/>
          <w:sz w:val="22"/>
          <w:szCs w:val="22"/>
        </w:rPr>
        <w:t>CFR</w:t>
      </w:r>
      <w:r w:rsidRPr="00583EDF" w:rsidR="005B4384">
        <w:rPr>
          <w:rFonts w:ascii="Arial" w:hAnsi="Arial" w:cs="Arial"/>
          <w:sz w:val="22"/>
          <w:szCs w:val="22"/>
        </w:rPr>
        <w:t> </w:t>
      </w:r>
      <w:r w:rsidRPr="00583EDF">
        <w:rPr>
          <w:rFonts w:ascii="Arial" w:hAnsi="Arial" w:cs="Arial"/>
          <w:sz w:val="22"/>
          <w:szCs w:val="22"/>
        </w:rPr>
        <w:t>53.250(c). The commenter wrote that this provision should also apply to DBAs as they are more likely events that have a higher degree of assurance than the lower probability beyond</w:t>
      </w:r>
      <w:r w:rsidR="009D2C23">
        <w:rPr>
          <w:rFonts w:ascii="Arial" w:hAnsi="Arial" w:cs="Arial"/>
          <w:sz w:val="22"/>
          <w:szCs w:val="22"/>
        </w:rPr>
        <w:noBreakHyphen/>
      </w:r>
      <w:r w:rsidRPr="00583EDF">
        <w:rPr>
          <w:rFonts w:ascii="Arial" w:hAnsi="Arial" w:cs="Arial"/>
          <w:sz w:val="22"/>
          <w:szCs w:val="22"/>
        </w:rPr>
        <w:t>design</w:t>
      </w:r>
      <w:r w:rsidR="009D2C23">
        <w:rPr>
          <w:rFonts w:ascii="Arial" w:hAnsi="Arial" w:cs="Arial"/>
          <w:sz w:val="22"/>
          <w:szCs w:val="22"/>
        </w:rPr>
        <w:noBreakHyphen/>
      </w:r>
      <w:r w:rsidRPr="00583EDF">
        <w:rPr>
          <w:rFonts w:ascii="Arial" w:hAnsi="Arial" w:cs="Arial"/>
          <w:sz w:val="22"/>
          <w:szCs w:val="22"/>
        </w:rPr>
        <w:t>basis events. The comment</w:t>
      </w:r>
      <w:r w:rsidRPr="00583EDF" w:rsidR="00D54F1F">
        <w:rPr>
          <w:rFonts w:ascii="Arial" w:hAnsi="Arial" w:cs="Arial"/>
          <w:sz w:val="22"/>
          <w:szCs w:val="22"/>
        </w:rPr>
        <w:t>er</w:t>
      </w:r>
      <w:r w:rsidRPr="00583EDF">
        <w:rPr>
          <w:rFonts w:ascii="Arial" w:hAnsi="Arial" w:cs="Arial"/>
          <w:sz w:val="22"/>
          <w:szCs w:val="22"/>
        </w:rPr>
        <w:t xml:space="preserve"> also stated that crediting of "inherent" characteristics of SSCs should not be allowed as the sole means of prevention or mitigation unless those characteristics can be demonstrated through testing to be at least as reliable as engineered active or passive safety features (</w:t>
      </w:r>
      <w:r w:rsidR="00337242">
        <w:rPr>
          <w:rFonts w:ascii="Arial" w:hAnsi="Arial" w:cs="Arial"/>
          <w:sz w:val="22"/>
          <w:szCs w:val="22"/>
        </w:rPr>
        <w:t>UCS</w:t>
      </w:r>
      <w:r w:rsidRPr="00583EDF">
        <w:rPr>
          <w:rFonts w:ascii="Arial" w:hAnsi="Arial" w:cs="Arial"/>
          <w:sz w:val="22"/>
          <w:szCs w:val="22"/>
        </w:rPr>
        <w:t>-0007).</w:t>
      </w:r>
    </w:p>
    <w:p w:rsidR="00BE4354" w:rsidRPr="00583EDF" w:rsidP="00A424A1" w14:paraId="6B1A2829" w14:textId="77777777">
      <w:pPr>
        <w:spacing w:after="220"/>
        <w:rPr>
          <w:rFonts w:ascii="Arial" w:hAnsi="Arial" w:cs="Arial"/>
          <w:sz w:val="22"/>
          <w:szCs w:val="22"/>
        </w:rPr>
      </w:pPr>
      <w:r w:rsidRPr="00583EDF">
        <w:rPr>
          <w:rFonts w:ascii="Arial" w:hAnsi="Arial" w:cs="Arial"/>
          <w:b/>
          <w:sz w:val="22"/>
          <w:szCs w:val="22"/>
        </w:rPr>
        <w:t>NRC Response:</w:t>
      </w:r>
      <w:r w:rsidRPr="00583EDF">
        <w:rPr>
          <w:rFonts w:ascii="Arial" w:hAnsi="Arial" w:cs="Arial"/>
          <w:sz w:val="22"/>
          <w:szCs w:val="22"/>
        </w:rPr>
        <w:t> The NRC agrees in part with th</w:t>
      </w:r>
      <w:r w:rsidR="009D2C23">
        <w:rPr>
          <w:rFonts w:ascii="Arial" w:hAnsi="Arial" w:cs="Arial"/>
          <w:sz w:val="22"/>
          <w:szCs w:val="22"/>
        </w:rPr>
        <w:t>e</w:t>
      </w:r>
      <w:r w:rsidRPr="00583EDF">
        <w:rPr>
          <w:rFonts w:ascii="Arial" w:hAnsi="Arial" w:cs="Arial"/>
          <w:sz w:val="22"/>
          <w:szCs w:val="22"/>
        </w:rPr>
        <w:t xml:space="preserve"> comment.</w:t>
      </w:r>
    </w:p>
    <w:p w:rsidR="00BE4354" w:rsidRPr="00583EDF" w:rsidP="00A424A1" w14:paraId="65838E26" w14:textId="77777777">
      <w:pPr>
        <w:spacing w:after="220"/>
        <w:rPr>
          <w:rFonts w:ascii="Arial" w:hAnsi="Arial" w:cs="Arial"/>
          <w:sz w:val="22"/>
          <w:szCs w:val="22"/>
        </w:rPr>
      </w:pPr>
      <w:r w:rsidRPr="00583EDF">
        <w:rPr>
          <w:rFonts w:ascii="Arial" w:hAnsi="Arial" w:cs="Arial"/>
          <w:sz w:val="22"/>
          <w:szCs w:val="22"/>
        </w:rPr>
        <w:t>The NRC agrees that it is appropriate to maintain the requirement in 10 CFR 53.250(c) for the safety analyses to not rely upon a single engineered design feature, human action, or programmatic control, no matter how robust, to address the range of LBEs other than DBAs. The NRC disagrees with th</w:t>
      </w:r>
      <w:r w:rsidR="00B65AB1">
        <w:rPr>
          <w:rFonts w:ascii="Arial" w:hAnsi="Arial" w:cs="Arial"/>
          <w:sz w:val="22"/>
          <w:szCs w:val="22"/>
        </w:rPr>
        <w:t>e</w:t>
      </w:r>
      <w:r w:rsidRPr="00583EDF">
        <w:rPr>
          <w:rFonts w:ascii="Arial" w:hAnsi="Arial" w:cs="Arial"/>
          <w:sz w:val="22"/>
          <w:szCs w:val="22"/>
        </w:rPr>
        <w:t xml:space="preserve"> part of the comment suggesting that a single-failure-like provision be added to the analysis of DBAs. As explained in the proposed and final rules, the role of DBAs within 10 CFR Part 53 is more narrowly focused on selecting SR SSCs and determining functional design criteria for those SSCs to ensure the commercial nuclear plant meets the safety criteria in 10 CFR 53.210. The overall control of risks posed by commercial nuclear plants under 10 CFR Part 53 is addressed by the analyses of and measures taken for both DBAs and other LBEs, including very unlikely event sequences. This contrasts with the traditional deterministic approach in </w:t>
      </w:r>
      <w:r w:rsidRPr="00583EDF" w:rsidR="00792F88">
        <w:rPr>
          <w:rFonts w:ascii="Arial" w:hAnsi="Arial" w:cs="Arial"/>
          <w:sz w:val="22"/>
          <w:szCs w:val="22"/>
        </w:rPr>
        <w:t>10 CFR P</w:t>
      </w:r>
      <w:r w:rsidRPr="00583EDF">
        <w:rPr>
          <w:rFonts w:ascii="Arial" w:hAnsi="Arial" w:cs="Arial"/>
          <w:sz w:val="22"/>
          <w:szCs w:val="22"/>
        </w:rPr>
        <w:t>art 50 wherein the analyses of DBAs are used to provide bounding assessments, incorporate standard design rules such as assumptions related to single failures, and to define conservative performance requirements for SR SSCs.</w:t>
      </w:r>
    </w:p>
    <w:p w:rsidR="005B4384" w:rsidRPr="00583EDF" w:rsidP="00A424A1" w14:paraId="02F13F52" w14:textId="77777777">
      <w:pPr>
        <w:spacing w:after="220"/>
        <w:rPr>
          <w:rFonts w:ascii="Arial" w:hAnsi="Arial" w:cs="Arial"/>
          <w:sz w:val="22"/>
          <w:szCs w:val="22"/>
        </w:rPr>
      </w:pPr>
      <w:r w:rsidRPr="00583EDF">
        <w:rPr>
          <w:rFonts w:ascii="Arial" w:hAnsi="Arial" w:cs="Arial"/>
          <w:sz w:val="22"/>
          <w:szCs w:val="22"/>
        </w:rPr>
        <w:t xml:space="preserve">The NRC agrees with </w:t>
      </w:r>
      <w:r w:rsidRPr="00583EDF" w:rsidR="00650E7A">
        <w:rPr>
          <w:rFonts w:ascii="Arial" w:hAnsi="Arial" w:cs="Arial"/>
          <w:sz w:val="22"/>
          <w:szCs w:val="22"/>
        </w:rPr>
        <w:t xml:space="preserve">limiting </w:t>
      </w:r>
      <w:r w:rsidRPr="00583EDF">
        <w:rPr>
          <w:rFonts w:ascii="Arial" w:hAnsi="Arial" w:cs="Arial"/>
          <w:sz w:val="22"/>
          <w:szCs w:val="22"/>
        </w:rPr>
        <w:t>crediting of inherent characteristics</w:t>
      </w:r>
      <w:r w:rsidRPr="00583EDF" w:rsidR="00650E7A">
        <w:rPr>
          <w:rFonts w:ascii="Arial" w:hAnsi="Arial" w:cs="Arial"/>
          <w:sz w:val="22"/>
          <w:szCs w:val="22"/>
        </w:rPr>
        <w:t xml:space="preserve"> as the comment states</w:t>
      </w:r>
      <w:r w:rsidRPr="00583EDF">
        <w:rPr>
          <w:rFonts w:ascii="Arial" w:hAnsi="Arial" w:cs="Arial"/>
          <w:sz w:val="22"/>
          <w:szCs w:val="22"/>
        </w:rPr>
        <w:t>. The proposed and final rules explain that the term ‘‘engineered design feature’’ within 10</w:t>
      </w:r>
      <w:r w:rsidR="009D2C23">
        <w:rPr>
          <w:rFonts w:ascii="Arial" w:hAnsi="Arial" w:cs="Arial"/>
          <w:sz w:val="22"/>
          <w:szCs w:val="22"/>
        </w:rPr>
        <w:t> </w:t>
      </w:r>
      <w:r w:rsidRPr="00583EDF">
        <w:rPr>
          <w:rFonts w:ascii="Arial" w:hAnsi="Arial" w:cs="Arial"/>
          <w:sz w:val="22"/>
          <w:szCs w:val="22"/>
        </w:rPr>
        <w:t>CFR</w:t>
      </w:r>
      <w:r w:rsidR="009D2C23">
        <w:rPr>
          <w:rFonts w:ascii="Arial" w:hAnsi="Arial" w:cs="Arial"/>
          <w:sz w:val="22"/>
          <w:szCs w:val="22"/>
        </w:rPr>
        <w:t> </w:t>
      </w:r>
      <w:r w:rsidRPr="00583EDF">
        <w:rPr>
          <w:rFonts w:ascii="Arial" w:hAnsi="Arial" w:cs="Arial"/>
          <w:sz w:val="22"/>
          <w:szCs w:val="22"/>
        </w:rPr>
        <w:t>53.250(c) does not preclude the possible crediting of inherent characteristics within the design and analysis for commercial nuclear reactors. However, this statement is also in the context of the preceding requirements in 10 CFR 53.250(a) and (b) to provide defense in depth to address uncertainties related to the state of knowledge and modeling capabilities, the ability of barriers to limit the release of radioactive materials from the facility during LBEs other than DBAs, the reliability and performance of plant SSCs and personnel, and the effectiveness of programmatic controls. Uncertainties related to inherent characteristics of design features are addressed by these provisions as well as the design requirements of 10 CFR</w:t>
      </w:r>
      <w:r w:rsidR="009D2C23">
        <w:rPr>
          <w:rFonts w:ascii="Arial" w:hAnsi="Arial" w:cs="Arial"/>
          <w:sz w:val="22"/>
          <w:szCs w:val="22"/>
        </w:rPr>
        <w:t> </w:t>
      </w:r>
      <w:r w:rsidRPr="00583EDF">
        <w:rPr>
          <w:rFonts w:ascii="Arial" w:hAnsi="Arial" w:cs="Arial"/>
          <w:sz w:val="22"/>
          <w:szCs w:val="22"/>
        </w:rPr>
        <w:t>53.440(a) that requires each design feature, including any credited inherent characteristics, to be demonstrated by analysis, appropriate test programs, prototype testing, operating experience, or a combination thereof.</w:t>
      </w:r>
    </w:p>
    <w:p w:rsidR="00BE4354" w:rsidRPr="00583EDF" w:rsidP="00A424A1" w14:paraId="7C16D566" w14:textId="77777777">
      <w:pPr>
        <w:spacing w:after="220"/>
        <w:rPr>
          <w:rFonts w:ascii="Arial" w:hAnsi="Arial" w:cs="Arial"/>
          <w:b/>
          <w:bCs/>
          <w:sz w:val="22"/>
          <w:szCs w:val="22"/>
        </w:rPr>
      </w:pPr>
      <w:r w:rsidRPr="00583EDF">
        <w:rPr>
          <w:rFonts w:ascii="Arial" w:hAnsi="Arial" w:cs="Arial"/>
          <w:sz w:val="22"/>
          <w:szCs w:val="22"/>
        </w:rPr>
        <w:t>Accordingly, the NRC did not change the rule language in response to this comment.</w:t>
      </w:r>
    </w:p>
    <w:p w:rsidR="00BE4354" w:rsidRPr="00583EDF" w:rsidP="00A424A1" w14:paraId="13059522" w14:textId="77777777">
      <w:pPr>
        <w:spacing w:after="220"/>
        <w:rPr>
          <w:rFonts w:ascii="Arial" w:hAnsi="Arial" w:cs="Arial"/>
          <w:sz w:val="22"/>
          <w:szCs w:val="22"/>
        </w:rPr>
      </w:pPr>
      <w:r>
        <w:rPr>
          <w:rFonts w:ascii="Arial" w:hAnsi="Arial" w:cs="Arial"/>
          <w:sz w:val="22"/>
          <w:szCs w:val="22"/>
        </w:rPr>
        <w:pict>
          <v:rect id="_x0000_i1094" style="width:0;height:1.5pt" o:hralign="center" o:hrstd="t" o:hrnoshade="t" o:hr="t" fillcolor="black" stroked="f"/>
        </w:pict>
      </w:r>
    </w:p>
    <w:p w:rsidR="00BE4354" w:rsidRPr="00583EDF" w:rsidP="00A424A1" w14:paraId="5836F31F" w14:textId="77777777">
      <w:pPr>
        <w:spacing w:after="220"/>
        <w:rPr>
          <w:rFonts w:ascii="Arial" w:hAnsi="Arial" w:cs="Arial"/>
          <w:sz w:val="22"/>
          <w:szCs w:val="22"/>
        </w:rPr>
      </w:pPr>
      <w:r w:rsidRPr="00583EDF">
        <w:rPr>
          <w:rFonts w:ascii="Arial" w:hAnsi="Arial" w:cs="Arial"/>
          <w:b/>
          <w:bCs/>
          <w:sz w:val="22"/>
          <w:szCs w:val="22"/>
        </w:rPr>
        <w:t>Comment Bin 3.2.2.H</w:t>
      </w:r>
      <w:r w:rsidRPr="00583EDF">
        <w:rPr>
          <w:rFonts w:ascii="Arial" w:hAnsi="Arial" w:cs="Arial"/>
          <w:b/>
          <w:sz w:val="22"/>
          <w:szCs w:val="22"/>
        </w:rPr>
        <w:t>:</w:t>
      </w:r>
      <w:r w:rsidRPr="00583EDF">
        <w:rPr>
          <w:rFonts w:ascii="Arial" w:hAnsi="Arial" w:cs="Arial"/>
          <w:sz w:val="22"/>
          <w:szCs w:val="22"/>
        </w:rPr>
        <w:t xml:space="preserve"> Two commenters wrote that the proposed rule’s defense-in-depth requirement is deterministic instead of performance</w:t>
      </w:r>
      <w:r w:rsidRPr="00583EDF">
        <w:rPr>
          <w:rFonts w:ascii="Arial" w:hAnsi="Arial" w:cs="Arial"/>
          <w:sz w:val="22"/>
          <w:szCs w:val="22"/>
        </w:rPr>
        <w:noBreakHyphen/>
        <w:t>based as 10 CFR 53.250(c) requires that no single barrier be used to address licensing</w:t>
      </w:r>
      <w:r w:rsidRPr="00583EDF" w:rsidR="00113FE3">
        <w:rPr>
          <w:rFonts w:ascii="Arial" w:hAnsi="Arial" w:cs="Arial"/>
          <w:sz w:val="22"/>
          <w:szCs w:val="22"/>
        </w:rPr>
        <w:t>-</w:t>
      </w:r>
      <w:r w:rsidRPr="00583EDF">
        <w:rPr>
          <w:rFonts w:ascii="Arial" w:hAnsi="Arial" w:cs="Arial"/>
          <w:sz w:val="22"/>
          <w:szCs w:val="22"/>
        </w:rPr>
        <w:t>basis events other than design</w:t>
      </w:r>
      <w:r w:rsidRPr="00583EDF" w:rsidR="008C4102">
        <w:rPr>
          <w:rFonts w:ascii="Arial" w:hAnsi="Arial" w:cs="Arial"/>
          <w:sz w:val="22"/>
          <w:szCs w:val="22"/>
        </w:rPr>
        <w:t>-</w:t>
      </w:r>
      <w:r w:rsidRPr="00583EDF">
        <w:rPr>
          <w:rFonts w:ascii="Arial" w:hAnsi="Arial" w:cs="Arial"/>
          <w:sz w:val="22"/>
          <w:szCs w:val="22"/>
        </w:rPr>
        <w:t>basis accidents, even if there is reasonable assurance that the uncertainty in 10</w:t>
      </w:r>
      <w:r w:rsidRPr="00583EDF" w:rsidR="004B3FF9">
        <w:rPr>
          <w:rFonts w:ascii="Arial" w:hAnsi="Arial" w:cs="Arial"/>
          <w:sz w:val="22"/>
          <w:szCs w:val="22"/>
        </w:rPr>
        <w:t> </w:t>
      </w:r>
      <w:r w:rsidRPr="00583EDF">
        <w:rPr>
          <w:rFonts w:ascii="Arial" w:hAnsi="Arial" w:cs="Arial"/>
          <w:sz w:val="22"/>
          <w:szCs w:val="22"/>
        </w:rPr>
        <w:t>CFR 53.250(a) and (b) has been addressed (</w:t>
      </w:r>
      <w:r w:rsidR="004C1A5D">
        <w:rPr>
          <w:rFonts w:ascii="Arial" w:hAnsi="Arial" w:cs="Arial"/>
          <w:sz w:val="22"/>
          <w:szCs w:val="22"/>
        </w:rPr>
        <w:t>BI1</w:t>
      </w:r>
      <w:r w:rsidRPr="00583EDF">
        <w:rPr>
          <w:rFonts w:ascii="Arial" w:hAnsi="Arial" w:cs="Arial"/>
          <w:sz w:val="22"/>
          <w:szCs w:val="22"/>
        </w:rPr>
        <w:t xml:space="preserve">-0006, </w:t>
      </w:r>
      <w:r w:rsidR="00D87876">
        <w:rPr>
          <w:rFonts w:ascii="Arial" w:hAnsi="Arial" w:cs="Arial"/>
          <w:sz w:val="22"/>
          <w:szCs w:val="22"/>
        </w:rPr>
        <w:t>SCWG</w:t>
      </w:r>
      <w:r w:rsidRPr="00583EDF">
        <w:rPr>
          <w:rFonts w:ascii="Arial" w:hAnsi="Arial" w:cs="Arial"/>
          <w:sz w:val="22"/>
          <w:szCs w:val="22"/>
        </w:rPr>
        <w:t>-0012).</w:t>
      </w:r>
    </w:p>
    <w:p w:rsidR="00BE4354" w:rsidRPr="00583EDF" w:rsidP="00A424A1" w14:paraId="4F19C7D3" w14:textId="77777777">
      <w:pPr>
        <w:spacing w:after="220"/>
        <w:rPr>
          <w:rFonts w:ascii="Arial" w:hAnsi="Arial" w:cs="Arial"/>
          <w:sz w:val="22"/>
          <w:szCs w:val="22"/>
        </w:rPr>
      </w:pPr>
      <w:r w:rsidRPr="00583EDF">
        <w:rPr>
          <w:rFonts w:ascii="Arial" w:hAnsi="Arial" w:cs="Arial"/>
          <w:sz w:val="22"/>
          <w:szCs w:val="22"/>
        </w:rPr>
        <w:t>Another commenter wrote that the rule text in 10 CFR 53.250 is a remnant of the single failure criterion and not consistent with 10 CFR 53.220 if the risk metrics already include, do not require, or do not allow a single failure (</w:t>
      </w:r>
      <w:r w:rsidR="00A02F0C">
        <w:rPr>
          <w:rFonts w:ascii="Arial" w:hAnsi="Arial" w:cs="Arial"/>
          <w:sz w:val="22"/>
          <w:szCs w:val="22"/>
        </w:rPr>
        <w:t>RD</w:t>
      </w:r>
      <w:r w:rsidRPr="00583EDF">
        <w:rPr>
          <w:rFonts w:ascii="Arial" w:hAnsi="Arial" w:cs="Arial"/>
          <w:sz w:val="22"/>
          <w:szCs w:val="22"/>
        </w:rPr>
        <w:t>-0018).</w:t>
      </w:r>
    </w:p>
    <w:p w:rsidR="00BE4354" w:rsidRPr="00583EDF" w:rsidP="00A424A1" w14:paraId="2B13C225" w14:textId="77777777">
      <w:pPr>
        <w:spacing w:after="220"/>
        <w:rPr>
          <w:rFonts w:ascii="Arial" w:hAnsi="Arial" w:cs="Arial"/>
          <w:sz w:val="22"/>
          <w:szCs w:val="22"/>
        </w:rPr>
      </w:pPr>
      <w:r w:rsidRPr="00583EDF">
        <w:rPr>
          <w:rFonts w:ascii="Arial" w:hAnsi="Arial" w:cs="Arial"/>
          <w:sz w:val="22"/>
          <w:szCs w:val="22"/>
        </w:rPr>
        <w:t>Two commenters recommended removing 10 CFR 53.250(b) and (c) writing that the approach in 10 CFR 53.250(a) is risk-informed and appropriately compensates for uncertainties (</w:t>
      </w:r>
      <w:r w:rsidR="004C1A5D">
        <w:rPr>
          <w:rFonts w:ascii="Arial" w:hAnsi="Arial" w:cs="Arial"/>
          <w:sz w:val="22"/>
          <w:szCs w:val="22"/>
        </w:rPr>
        <w:t>BI1</w:t>
      </w:r>
      <w:r w:rsidRPr="00583EDF">
        <w:rPr>
          <w:rFonts w:ascii="Arial" w:hAnsi="Arial" w:cs="Arial"/>
          <w:sz w:val="22"/>
          <w:szCs w:val="22"/>
        </w:rPr>
        <w:t xml:space="preserve">-0006, </w:t>
      </w:r>
      <w:r w:rsidR="00D87876">
        <w:rPr>
          <w:rFonts w:ascii="Arial" w:hAnsi="Arial" w:cs="Arial"/>
          <w:sz w:val="22"/>
          <w:szCs w:val="22"/>
        </w:rPr>
        <w:t>SCWG</w:t>
      </w:r>
      <w:r w:rsidRPr="00583EDF">
        <w:rPr>
          <w:rFonts w:ascii="Arial" w:hAnsi="Arial" w:cs="Arial"/>
          <w:sz w:val="22"/>
          <w:szCs w:val="22"/>
        </w:rPr>
        <w:t>-0012).</w:t>
      </w:r>
    </w:p>
    <w:p w:rsidR="00BE4354" w:rsidRPr="00583EDF" w:rsidP="00A424A1" w14:paraId="300BCCC6" w14:textId="77777777">
      <w:pPr>
        <w:spacing w:after="220"/>
        <w:rPr>
          <w:rFonts w:ascii="Arial" w:hAnsi="Arial" w:cs="Arial"/>
          <w:sz w:val="22"/>
          <w:szCs w:val="22"/>
        </w:rPr>
      </w:pPr>
      <w:r w:rsidRPr="00583EDF">
        <w:rPr>
          <w:rFonts w:ascii="Arial" w:hAnsi="Arial" w:cs="Arial"/>
          <w:sz w:val="22"/>
          <w:szCs w:val="22"/>
        </w:rPr>
        <w:t>Another commenter recommended rewriting the requirements to assess single points of failure using multiple tool and analyses and to provide sufficient diversity and redundancy in the design (</w:t>
      </w:r>
      <w:r w:rsidR="00A02F0C">
        <w:rPr>
          <w:rFonts w:ascii="Arial" w:hAnsi="Arial" w:cs="Arial"/>
          <w:sz w:val="22"/>
          <w:szCs w:val="22"/>
        </w:rPr>
        <w:t>RD</w:t>
      </w:r>
      <w:r w:rsidRPr="00583EDF">
        <w:rPr>
          <w:rFonts w:ascii="Arial" w:hAnsi="Arial" w:cs="Arial"/>
          <w:sz w:val="22"/>
          <w:szCs w:val="22"/>
        </w:rPr>
        <w:t>-0018). </w:t>
      </w:r>
    </w:p>
    <w:p w:rsidR="00BE4354" w:rsidRPr="00583EDF" w:rsidP="00A424A1" w14:paraId="4FBB9EC5" w14:textId="77777777">
      <w:pPr>
        <w:spacing w:after="220"/>
        <w:rPr>
          <w:rFonts w:ascii="Arial" w:hAnsi="Arial" w:cs="Arial"/>
          <w:sz w:val="22"/>
          <w:szCs w:val="22"/>
        </w:rPr>
      </w:pPr>
      <w:r w:rsidRPr="00583EDF">
        <w:rPr>
          <w:rFonts w:ascii="Arial" w:hAnsi="Arial" w:cs="Arial"/>
          <w:sz w:val="22"/>
          <w:szCs w:val="22"/>
        </w:rPr>
        <w:t xml:space="preserve">A commenter wrote that the approach in the proposed rule creates challenges for anticipated event sequences that are not expected to result in the release of radioactive materials, even if </w:t>
      </w:r>
      <w:r w:rsidRPr="00583EDF">
        <w:rPr>
          <w:rFonts w:ascii="Arial" w:hAnsi="Arial" w:cs="Arial"/>
          <w:sz w:val="22"/>
          <w:szCs w:val="22"/>
        </w:rPr>
        <w:t>the event does occur, as the definition of licensing</w:t>
      </w:r>
      <w:r w:rsidRPr="00583EDF" w:rsidR="00113FE3">
        <w:rPr>
          <w:rFonts w:ascii="Arial" w:hAnsi="Arial" w:cs="Arial"/>
          <w:sz w:val="22"/>
          <w:szCs w:val="22"/>
        </w:rPr>
        <w:t>-</w:t>
      </w:r>
      <w:r w:rsidRPr="00583EDF">
        <w:rPr>
          <w:rFonts w:ascii="Arial" w:hAnsi="Arial" w:cs="Arial"/>
          <w:sz w:val="22"/>
          <w:szCs w:val="22"/>
        </w:rPr>
        <w:t>basis events includes these anticipated event sequences. The commenter added that the preamble should explicitly acknowledge that inherent safety features can play a role in meeting defense-in-depth objectives without dictating their use or precluding other approaches (</w:t>
      </w:r>
      <w:r w:rsidR="004C1A5D">
        <w:rPr>
          <w:rFonts w:ascii="Arial" w:hAnsi="Arial" w:cs="Arial"/>
          <w:sz w:val="22"/>
          <w:szCs w:val="22"/>
        </w:rPr>
        <w:t>BI1</w:t>
      </w:r>
      <w:r w:rsidRPr="00583EDF">
        <w:rPr>
          <w:rFonts w:ascii="Arial" w:hAnsi="Arial" w:cs="Arial"/>
          <w:sz w:val="22"/>
          <w:szCs w:val="22"/>
        </w:rPr>
        <w:t>-0006).</w:t>
      </w:r>
    </w:p>
    <w:p w:rsidR="00BE4354" w:rsidRPr="00583EDF" w:rsidP="00A424A1" w14:paraId="6BC6D969" w14:textId="77777777">
      <w:pPr>
        <w:spacing w:after="220"/>
        <w:rPr>
          <w:rFonts w:ascii="Arial" w:hAnsi="Arial" w:cs="Arial"/>
          <w:sz w:val="22"/>
          <w:szCs w:val="22"/>
        </w:rPr>
      </w:pPr>
      <w:r w:rsidRPr="00583EDF">
        <w:rPr>
          <w:rFonts w:ascii="Arial" w:hAnsi="Arial" w:cs="Arial"/>
          <w:sz w:val="22"/>
          <w:szCs w:val="22"/>
        </w:rPr>
        <w:t>A commenter recommended that the role of inherent safety features in defense</w:t>
      </w:r>
      <w:r w:rsidR="00E45F2A">
        <w:rPr>
          <w:rFonts w:ascii="Arial" w:hAnsi="Arial" w:cs="Arial"/>
          <w:sz w:val="22"/>
          <w:szCs w:val="22"/>
        </w:rPr>
        <w:t xml:space="preserve"> </w:t>
      </w:r>
      <w:r w:rsidRPr="00583EDF">
        <w:rPr>
          <w:rFonts w:ascii="Arial" w:hAnsi="Arial" w:cs="Arial"/>
          <w:sz w:val="22"/>
          <w:szCs w:val="22"/>
        </w:rPr>
        <w:t>in</w:t>
      </w:r>
      <w:r w:rsidR="00E45F2A">
        <w:rPr>
          <w:rFonts w:ascii="Arial" w:hAnsi="Arial" w:cs="Arial"/>
          <w:sz w:val="22"/>
          <w:szCs w:val="22"/>
        </w:rPr>
        <w:t xml:space="preserve"> </w:t>
      </w:r>
      <w:r w:rsidRPr="00583EDF">
        <w:rPr>
          <w:rFonts w:ascii="Arial" w:hAnsi="Arial" w:cs="Arial"/>
          <w:sz w:val="22"/>
          <w:szCs w:val="22"/>
        </w:rPr>
        <w:t>depth be emphasized in guidance rather than rule language, highlighting specifically that (</w:t>
      </w:r>
      <w:r w:rsidR="00D87876">
        <w:rPr>
          <w:rFonts w:ascii="Arial" w:hAnsi="Arial" w:cs="Arial"/>
          <w:sz w:val="22"/>
          <w:szCs w:val="22"/>
        </w:rPr>
        <w:t>SCWG</w:t>
      </w:r>
      <w:r w:rsidRPr="00583EDF">
        <w:rPr>
          <w:rFonts w:ascii="Arial" w:hAnsi="Arial" w:cs="Arial"/>
          <w:sz w:val="22"/>
          <w:szCs w:val="22"/>
        </w:rPr>
        <w:t>-0012):</w:t>
      </w:r>
    </w:p>
    <w:p w:rsidR="00BE4354" w:rsidRPr="00583EDF" w:rsidP="00A424A1" w14:paraId="468F75EC" w14:textId="77777777">
      <w:pPr>
        <w:numPr>
          <w:ilvl w:val="0"/>
          <w:numId w:val="18"/>
        </w:numPr>
        <w:spacing w:after="220"/>
        <w:rPr>
          <w:rFonts w:ascii="Arial" w:hAnsi="Arial" w:cs="Arial"/>
          <w:sz w:val="22"/>
          <w:szCs w:val="22"/>
        </w:rPr>
      </w:pPr>
      <w:r w:rsidRPr="00583EDF">
        <w:rPr>
          <w:rFonts w:ascii="Arial" w:hAnsi="Arial" w:cs="Arial"/>
          <w:sz w:val="22"/>
          <w:szCs w:val="22"/>
        </w:rPr>
        <w:t>The principle that no single barrier should be relied upon for non-design basis licensing events should be addressed in guidance rather than codified in rule.</w:t>
      </w:r>
    </w:p>
    <w:p w:rsidR="00BE4354" w:rsidRPr="00583EDF" w:rsidP="00A424A1" w14:paraId="08ABC46A" w14:textId="77777777">
      <w:pPr>
        <w:numPr>
          <w:ilvl w:val="0"/>
          <w:numId w:val="18"/>
        </w:numPr>
        <w:spacing w:after="220"/>
        <w:rPr>
          <w:rFonts w:ascii="Arial" w:hAnsi="Arial" w:cs="Arial"/>
          <w:sz w:val="22"/>
          <w:szCs w:val="22"/>
        </w:rPr>
      </w:pPr>
      <w:r w:rsidRPr="00583EDF">
        <w:rPr>
          <w:rFonts w:ascii="Arial" w:hAnsi="Arial" w:cs="Arial"/>
          <w:sz w:val="22"/>
          <w:szCs w:val="22"/>
        </w:rPr>
        <w:t>The NRC should clarify in the preamble that inherent safety features can be relied upon for defense-in-depth, ensuring that applicants can use them effectively without rigid prescriptive requirements.</w:t>
      </w:r>
    </w:p>
    <w:p w:rsidR="00E56C2B" w:rsidRPr="00583EDF" w:rsidP="00A424A1" w14:paraId="409ADCA4" w14:textId="77777777">
      <w:pPr>
        <w:pStyle w:val="ListParagraph"/>
        <w:numPr>
          <w:ilvl w:val="0"/>
          <w:numId w:val="18"/>
        </w:numPr>
        <w:spacing w:after="220"/>
        <w:rPr>
          <w:rFonts w:ascii="Arial" w:hAnsi="Arial" w:cs="Arial"/>
          <w:b/>
          <w:bCs/>
          <w:sz w:val="22"/>
          <w:szCs w:val="22"/>
        </w:rPr>
      </w:pPr>
      <w:r w:rsidRPr="00583EDF">
        <w:rPr>
          <w:rFonts w:ascii="Arial" w:hAnsi="Arial" w:cs="Arial"/>
          <w:sz w:val="22"/>
          <w:szCs w:val="22"/>
        </w:rPr>
        <w:t>The existing regulatory framework, including RG 1.174, provides sufficient guidance on DID without additional process-level requirements.</w:t>
      </w:r>
    </w:p>
    <w:p w:rsidR="00BE4354" w:rsidRPr="00583EDF" w:rsidP="00A424A1" w14:paraId="100F5A05" w14:textId="77777777">
      <w:pPr>
        <w:spacing w:after="220"/>
        <w:rPr>
          <w:rFonts w:ascii="Arial" w:hAnsi="Arial" w:cs="Arial"/>
          <w:sz w:val="22"/>
          <w:szCs w:val="22"/>
        </w:rPr>
      </w:pPr>
      <w:r w:rsidRPr="00583EDF">
        <w:rPr>
          <w:rFonts w:ascii="Arial" w:hAnsi="Arial" w:cs="Arial"/>
          <w:b/>
          <w:sz w:val="22"/>
          <w:szCs w:val="22"/>
        </w:rPr>
        <w:t>NRC Response:</w:t>
      </w:r>
      <w:r w:rsidRPr="00583EDF">
        <w:rPr>
          <w:rFonts w:ascii="Arial" w:hAnsi="Arial" w:cs="Arial"/>
          <w:sz w:val="22"/>
          <w:szCs w:val="22"/>
        </w:rPr>
        <w:t> The NRC disagrees with the comments.</w:t>
      </w:r>
    </w:p>
    <w:p w:rsidR="00BE4354" w:rsidRPr="00583EDF" w:rsidP="00A424A1" w14:paraId="37FD2E82" w14:textId="77777777">
      <w:pPr>
        <w:spacing w:after="220"/>
        <w:rPr>
          <w:rFonts w:ascii="Arial" w:hAnsi="Arial" w:cs="Arial"/>
          <w:sz w:val="22"/>
          <w:szCs w:val="22"/>
        </w:rPr>
      </w:pPr>
      <w:r w:rsidRPr="00583EDF">
        <w:rPr>
          <w:rFonts w:ascii="Arial" w:hAnsi="Arial" w:cs="Arial"/>
          <w:sz w:val="22"/>
          <w:szCs w:val="22"/>
        </w:rPr>
        <w:t>Regarding the comments suggesting deletion of 10 CFR 53.250(b), identifying some specific uncertainties to be addressed through defense in depth measures contributes to regulatory certainty. The NRC also disagrees with the suggested deletion of 10 CFR 53.250(c) and the prohibition against the safety analysis relying upon a single engineered design feature, human action, or programmatic control, no matter how robust, to address the range of LBEs other than DBAs. The comment which references defense in depth for anticipated event sequences misinterprets the requirement, as explained below.</w:t>
      </w:r>
    </w:p>
    <w:p w:rsidR="00BE4354" w:rsidRPr="00583EDF" w:rsidP="00A424A1" w14:paraId="06EE1004" w14:textId="77777777">
      <w:pPr>
        <w:spacing w:after="220"/>
        <w:rPr>
          <w:rFonts w:ascii="Arial" w:hAnsi="Arial" w:cs="Arial"/>
          <w:sz w:val="22"/>
          <w:szCs w:val="22"/>
        </w:rPr>
      </w:pPr>
      <w:r w:rsidRPr="00583EDF">
        <w:rPr>
          <w:rFonts w:ascii="Arial" w:hAnsi="Arial" w:cs="Arial"/>
          <w:sz w:val="22"/>
          <w:szCs w:val="22"/>
        </w:rPr>
        <w:t>As described in the final rule, the requirement under 10 CFR 53.250(c) is different from the single failure criterion described in Appendix A to 10 CFR Part 50</w:t>
      </w:r>
      <w:r w:rsidRPr="00583EDF" w:rsidR="00C7711E">
        <w:rPr>
          <w:rFonts w:ascii="Arial" w:hAnsi="Arial" w:cs="Arial"/>
          <w:sz w:val="22"/>
          <w:szCs w:val="22"/>
        </w:rPr>
        <w:t xml:space="preserve"> i</w:t>
      </w:r>
      <w:r w:rsidRPr="00583EDF">
        <w:rPr>
          <w:rFonts w:ascii="Arial" w:hAnsi="Arial" w:cs="Arial"/>
          <w:sz w:val="22"/>
          <w:szCs w:val="22"/>
        </w:rPr>
        <w:t xml:space="preserve">n that 10 CFR 53.250 allows for greater flexibility such that other measures could be taken to ensure appropriate defense in depth without needing to accommodate single failures, as defined in Appendix A to 10 CFR Part 50. </w:t>
      </w:r>
    </w:p>
    <w:p w:rsidR="00BE4354" w:rsidRPr="00583EDF" w:rsidP="00A424A1" w14:paraId="75E9144F" w14:textId="77777777">
      <w:pPr>
        <w:spacing w:after="220"/>
        <w:rPr>
          <w:rFonts w:ascii="Arial" w:hAnsi="Arial" w:cs="Arial"/>
          <w:sz w:val="22"/>
          <w:szCs w:val="22"/>
        </w:rPr>
      </w:pPr>
      <w:r w:rsidRPr="00583EDF">
        <w:rPr>
          <w:rFonts w:ascii="Arial" w:hAnsi="Arial" w:cs="Arial"/>
          <w:sz w:val="22"/>
          <w:szCs w:val="22"/>
        </w:rPr>
        <w:t xml:space="preserve">The underlying concept of 10 CFR 53.250(c) is similar to that described in various standards and guidance issued by the International Atomic Energy Agency, the </w:t>
      </w:r>
      <w:r w:rsidR="00C32F34">
        <w:rPr>
          <w:rFonts w:ascii="Arial" w:hAnsi="Arial" w:cs="Arial"/>
          <w:sz w:val="22"/>
          <w:szCs w:val="22"/>
        </w:rPr>
        <w:t>LMP</w:t>
      </w:r>
      <w:r w:rsidRPr="00583EDF">
        <w:rPr>
          <w:rFonts w:ascii="Arial" w:hAnsi="Arial" w:cs="Arial"/>
          <w:sz w:val="22"/>
          <w:szCs w:val="22"/>
        </w:rPr>
        <w:t xml:space="preserve"> methodology, and NRC references such as NUREG/KM-0009, “Historical Review and Observations of Defense-in-Depth</w:t>
      </w:r>
      <w:r w:rsidR="007D3F52">
        <w:rPr>
          <w:rFonts w:ascii="Arial" w:hAnsi="Arial" w:cs="Arial"/>
          <w:sz w:val="22"/>
          <w:szCs w:val="22"/>
        </w:rPr>
        <w:t>,</w:t>
      </w:r>
      <w:r w:rsidRPr="00583EDF">
        <w:rPr>
          <w:rFonts w:ascii="Arial" w:hAnsi="Arial" w:cs="Arial"/>
          <w:sz w:val="22"/>
          <w:szCs w:val="22"/>
        </w:rPr>
        <w:t>”</w:t>
      </w:r>
      <w:r w:rsidR="007D3F52">
        <w:rPr>
          <w:rFonts w:ascii="Arial" w:hAnsi="Arial" w:cs="Arial"/>
          <w:sz w:val="22"/>
          <w:szCs w:val="22"/>
        </w:rPr>
        <w:t xml:space="preserve"> issued</w:t>
      </w:r>
      <w:r w:rsidR="00D579EA">
        <w:rPr>
          <w:rFonts w:ascii="Arial" w:hAnsi="Arial" w:cs="Arial"/>
          <w:sz w:val="22"/>
          <w:szCs w:val="22"/>
        </w:rPr>
        <w:t xml:space="preserve"> April 2016 (</w:t>
      </w:r>
      <w:r w:rsidRPr="00AA0A56" w:rsidR="00AA0A56">
        <w:rPr>
          <w:rFonts w:ascii="Arial" w:hAnsi="Arial" w:cs="Arial"/>
          <w:sz w:val="22"/>
          <w:szCs w:val="22"/>
        </w:rPr>
        <w:t>ML16104A071</w:t>
      </w:r>
      <w:r w:rsidR="00AA0A56">
        <w:rPr>
          <w:rFonts w:ascii="Arial" w:hAnsi="Arial" w:cs="Arial"/>
          <w:sz w:val="22"/>
          <w:szCs w:val="22"/>
        </w:rPr>
        <w:t>).</w:t>
      </w:r>
    </w:p>
    <w:p w:rsidR="00BE4354" w:rsidRPr="00583EDF" w:rsidP="00A424A1" w14:paraId="09BD1702" w14:textId="77777777">
      <w:pPr>
        <w:spacing w:after="220"/>
        <w:rPr>
          <w:rFonts w:ascii="Arial" w:hAnsi="Arial" w:cs="Arial"/>
          <w:sz w:val="22"/>
          <w:szCs w:val="22"/>
        </w:rPr>
      </w:pPr>
      <w:r w:rsidRPr="00583EDF">
        <w:rPr>
          <w:rFonts w:ascii="Arial" w:hAnsi="Arial" w:cs="Arial"/>
          <w:sz w:val="22"/>
          <w:szCs w:val="22"/>
        </w:rPr>
        <w:t>References within the comment to the existing regulatory framework fail to acknowledge that defense in depth is addressed within 10 CFR Part 50 by prescribing specific principal design criteria, including specific layers or barriers to limit the release of radionuclides, specific design rules such as application of the single failure criterion to each layer, and the identification of specific events to be analyzed. As explained in the proposed and final rules, 10 CFR</w:t>
      </w:r>
      <w:r w:rsidR="00B635D9">
        <w:rPr>
          <w:rFonts w:ascii="Arial" w:hAnsi="Arial" w:cs="Arial"/>
          <w:sz w:val="22"/>
          <w:szCs w:val="22"/>
        </w:rPr>
        <w:t> </w:t>
      </w:r>
      <w:r w:rsidRPr="00583EDF">
        <w:rPr>
          <w:rFonts w:ascii="Arial" w:hAnsi="Arial" w:cs="Arial"/>
          <w:sz w:val="22"/>
          <w:szCs w:val="22"/>
        </w:rPr>
        <w:t>Part 53 reflects an integrated decision-making process similar to that described in RG 1.174, but RG</w:t>
      </w:r>
      <w:r w:rsidR="00B635D9">
        <w:rPr>
          <w:rFonts w:ascii="Arial" w:hAnsi="Arial" w:cs="Arial"/>
          <w:sz w:val="22"/>
          <w:szCs w:val="22"/>
        </w:rPr>
        <w:t> </w:t>
      </w:r>
      <w:r w:rsidRPr="00583EDF">
        <w:rPr>
          <w:rFonts w:ascii="Arial" w:hAnsi="Arial" w:cs="Arial"/>
          <w:sz w:val="22"/>
          <w:szCs w:val="22"/>
        </w:rPr>
        <w:t xml:space="preserve">1.174 is not directly applicable since it is used to evaluate changes within the generally prescriptive and deterministic 10 CFR Part 50 framework. Regarding that part of the comment mentioning inherent characteristics, the proposed and final rules explain ‘‘engineered design feature’’ would not preclude the possible crediting of inherent characteristics within the design and analysis for commercial nuclear reactors. Limitations on the crediting of inherent characteristics are explained in the response to Comment </w:t>
      </w:r>
      <w:r w:rsidRPr="00583EDF" w:rsidR="009B2667">
        <w:rPr>
          <w:rFonts w:ascii="Arial" w:hAnsi="Arial" w:cs="Arial"/>
          <w:sz w:val="22"/>
          <w:szCs w:val="22"/>
        </w:rPr>
        <w:t>Bin 3.2.2.G</w:t>
      </w:r>
      <w:r w:rsidRPr="00583EDF">
        <w:rPr>
          <w:rFonts w:ascii="Arial" w:hAnsi="Arial" w:cs="Arial"/>
          <w:sz w:val="22"/>
          <w:szCs w:val="22"/>
        </w:rPr>
        <w:t>.</w:t>
      </w:r>
    </w:p>
    <w:p w:rsidR="00BE4354" w:rsidRPr="00583EDF" w:rsidP="00A424A1" w14:paraId="36286864" w14:textId="77777777">
      <w:pPr>
        <w:spacing w:after="220"/>
        <w:rPr>
          <w:rFonts w:ascii="Arial" w:hAnsi="Arial" w:cs="Arial"/>
          <w:b/>
          <w:bCs/>
          <w:sz w:val="22"/>
          <w:szCs w:val="22"/>
        </w:rPr>
      </w:pPr>
      <w:r w:rsidRPr="00583EDF">
        <w:rPr>
          <w:rFonts w:ascii="Arial" w:hAnsi="Arial" w:cs="Arial"/>
          <w:sz w:val="22"/>
          <w:szCs w:val="22"/>
        </w:rPr>
        <w:t>Accordingly, the NRC did not change the rule language in response to these comments.</w:t>
      </w:r>
    </w:p>
    <w:p w:rsidR="000E5B49" w:rsidRPr="00583EDF" w:rsidP="00A424A1" w14:paraId="473994CD" w14:textId="77777777">
      <w:pPr>
        <w:spacing w:after="220"/>
        <w:rPr>
          <w:rFonts w:ascii="Arial" w:hAnsi="Arial" w:cs="Arial"/>
          <w:sz w:val="22"/>
          <w:szCs w:val="22"/>
        </w:rPr>
      </w:pPr>
      <w:r>
        <w:rPr>
          <w:rFonts w:ascii="Arial" w:hAnsi="Arial" w:cs="Arial"/>
          <w:sz w:val="22"/>
          <w:szCs w:val="22"/>
        </w:rPr>
        <w:pict>
          <v:rect id="_x0000_i1095" style="width:0;height:1.5pt" o:hralign="center" o:hrstd="t" o:hrnoshade="t" o:hr="t" fillcolor="black" stroked="f"/>
        </w:pict>
      </w:r>
    </w:p>
    <w:p w:rsidR="006A523B" w:rsidP="007D4E93" w14:paraId="070E5976" w14:textId="77777777">
      <w:pPr>
        <w:pStyle w:val="Heading3"/>
        <w:numPr>
          <w:ilvl w:val="0"/>
          <w:numId w:val="0"/>
        </w:numPr>
        <w:ind w:left="720" w:hanging="720"/>
      </w:pPr>
      <w:bookmarkStart w:id="28" w:name="_Toc207222806"/>
      <w:r w:rsidRPr="007D4E93">
        <w:rPr>
          <w:u w:val="none"/>
        </w:rPr>
        <w:t>3.2.3.</w:t>
      </w:r>
      <w:r w:rsidRPr="007D4E93">
        <w:rPr>
          <w:u w:val="none"/>
        </w:rPr>
        <w:tab/>
      </w:r>
      <w:r w:rsidRPr="00A902B3">
        <w:t>Radiation protection programs (e.g., §§ 53.260-53.270, meeting the requirements of 10</w:t>
      </w:r>
      <w:r w:rsidR="00E27716">
        <w:t> </w:t>
      </w:r>
      <w:r w:rsidRPr="00A902B3">
        <w:t>CFR Part 20)</w:t>
      </w:r>
      <w:bookmarkEnd w:id="28"/>
    </w:p>
    <w:p w:rsidR="00E84EC4" w:rsidRPr="00200C35" w:rsidP="00200C35" w14:paraId="4C8AC74D" w14:textId="77777777">
      <w:pPr>
        <w:spacing w:after="220"/>
        <w:rPr>
          <w:rFonts w:ascii="Arial" w:hAnsi="Arial" w:cs="Arial"/>
          <w:sz w:val="22"/>
          <w:szCs w:val="22"/>
        </w:rPr>
      </w:pPr>
      <w:r w:rsidRPr="00200C35">
        <w:rPr>
          <w:rFonts w:ascii="Arial" w:hAnsi="Arial" w:cs="Arial"/>
          <w:b/>
          <w:sz w:val="22"/>
          <w:szCs w:val="22"/>
        </w:rPr>
        <w:t xml:space="preserve">Comment Bin 3.2.3.A: </w:t>
      </w:r>
      <w:r w:rsidRPr="00200C35" w:rsidR="009336C1">
        <w:rPr>
          <w:rFonts w:ascii="Arial" w:hAnsi="Arial" w:cs="Arial"/>
          <w:sz w:val="22"/>
          <w:szCs w:val="22"/>
        </w:rPr>
        <w:t xml:space="preserve">Multiple commenters suggested deleting the requirements in 10 CFR 53.270 for </w:t>
      </w:r>
      <w:r w:rsidR="005B4A45">
        <w:rPr>
          <w:rFonts w:ascii="Arial" w:hAnsi="Arial" w:cs="Arial"/>
          <w:sz w:val="22"/>
          <w:szCs w:val="22"/>
        </w:rPr>
        <w:t xml:space="preserve">keeping </w:t>
      </w:r>
      <w:r w:rsidR="001C0809">
        <w:rPr>
          <w:rFonts w:ascii="Arial" w:hAnsi="Arial" w:cs="Arial"/>
          <w:sz w:val="22"/>
          <w:szCs w:val="22"/>
        </w:rPr>
        <w:t>dose as low as reasonably achievable (</w:t>
      </w:r>
      <w:r w:rsidRPr="00200C35" w:rsidR="009336C1">
        <w:rPr>
          <w:rFonts w:ascii="Arial" w:hAnsi="Arial" w:cs="Arial"/>
          <w:sz w:val="22"/>
          <w:szCs w:val="22"/>
        </w:rPr>
        <w:t>ALARA</w:t>
      </w:r>
      <w:r w:rsidR="001C0809">
        <w:rPr>
          <w:rFonts w:ascii="Arial" w:hAnsi="Arial" w:cs="Arial"/>
          <w:sz w:val="22"/>
          <w:szCs w:val="22"/>
        </w:rPr>
        <w:t>)</w:t>
      </w:r>
      <w:r w:rsidRPr="00200C35" w:rsidR="009336C1">
        <w:rPr>
          <w:rFonts w:ascii="Arial" w:hAnsi="Arial" w:cs="Arial"/>
          <w:sz w:val="22"/>
          <w:szCs w:val="22"/>
        </w:rPr>
        <w:t>, writing that 10</w:t>
      </w:r>
      <w:r w:rsidR="001C0809">
        <w:rPr>
          <w:rFonts w:ascii="Arial" w:hAnsi="Arial" w:cs="Arial"/>
          <w:sz w:val="22"/>
          <w:szCs w:val="22"/>
        </w:rPr>
        <w:t> </w:t>
      </w:r>
      <w:r w:rsidRPr="00200C35" w:rsidR="009336C1">
        <w:rPr>
          <w:rFonts w:ascii="Arial" w:hAnsi="Arial" w:cs="Arial"/>
          <w:sz w:val="22"/>
          <w:szCs w:val="22"/>
        </w:rPr>
        <w:t>CFR</w:t>
      </w:r>
      <w:r w:rsidR="001C0809">
        <w:rPr>
          <w:rFonts w:ascii="Arial" w:hAnsi="Arial" w:cs="Arial"/>
          <w:sz w:val="22"/>
          <w:szCs w:val="22"/>
        </w:rPr>
        <w:t> </w:t>
      </w:r>
      <w:r w:rsidRPr="00200C35" w:rsidR="009336C1">
        <w:rPr>
          <w:rFonts w:ascii="Arial" w:hAnsi="Arial" w:cs="Arial"/>
          <w:sz w:val="22"/>
          <w:szCs w:val="22"/>
        </w:rPr>
        <w:t>53.260 and 10 CFR 53.270 are unnecessary as they are redundant with the dose standards in 10 CFR Part 20 and ALARA is already achieved by operational considerations through 10 CFR Part 20, which they said applies to all 10</w:t>
      </w:r>
      <w:r w:rsidR="00B635D9">
        <w:rPr>
          <w:rFonts w:ascii="Arial" w:hAnsi="Arial" w:cs="Arial"/>
          <w:sz w:val="22"/>
          <w:szCs w:val="22"/>
        </w:rPr>
        <w:t> </w:t>
      </w:r>
      <w:r w:rsidRPr="00200C35" w:rsidR="009336C1">
        <w:rPr>
          <w:rFonts w:ascii="Arial" w:hAnsi="Arial" w:cs="Arial"/>
          <w:sz w:val="22"/>
          <w:szCs w:val="22"/>
        </w:rPr>
        <w:t>CFR</w:t>
      </w:r>
      <w:r w:rsidR="00B635D9">
        <w:rPr>
          <w:rFonts w:ascii="Arial" w:hAnsi="Arial" w:cs="Arial"/>
          <w:sz w:val="22"/>
          <w:szCs w:val="22"/>
        </w:rPr>
        <w:t> </w:t>
      </w:r>
      <w:r w:rsidRPr="00200C35" w:rsidR="009336C1">
        <w:rPr>
          <w:rFonts w:ascii="Arial" w:hAnsi="Arial" w:cs="Arial"/>
          <w:sz w:val="22"/>
          <w:szCs w:val="22"/>
        </w:rPr>
        <w:t>Part 53 licensees even if 10</w:t>
      </w:r>
      <w:r w:rsidR="001C0809">
        <w:rPr>
          <w:rFonts w:ascii="Arial" w:hAnsi="Arial" w:cs="Arial"/>
          <w:sz w:val="22"/>
          <w:szCs w:val="22"/>
        </w:rPr>
        <w:t> </w:t>
      </w:r>
      <w:r w:rsidRPr="00200C35" w:rsidR="009336C1">
        <w:rPr>
          <w:rFonts w:ascii="Arial" w:hAnsi="Arial" w:cs="Arial"/>
          <w:sz w:val="22"/>
          <w:szCs w:val="22"/>
        </w:rPr>
        <w:t>CFR</w:t>
      </w:r>
      <w:r w:rsidR="001C0809">
        <w:rPr>
          <w:rFonts w:ascii="Arial" w:hAnsi="Arial" w:cs="Arial"/>
          <w:sz w:val="22"/>
          <w:szCs w:val="22"/>
        </w:rPr>
        <w:t> </w:t>
      </w:r>
      <w:r w:rsidRPr="00200C35" w:rsidR="009336C1">
        <w:rPr>
          <w:rFonts w:ascii="Arial" w:hAnsi="Arial" w:cs="Arial"/>
          <w:sz w:val="22"/>
          <w:szCs w:val="22"/>
        </w:rPr>
        <w:t>Part 53 does not explicitly state this (</w:t>
      </w:r>
      <w:r w:rsidR="009D6BB9">
        <w:rPr>
          <w:rFonts w:ascii="Arial" w:hAnsi="Arial" w:cs="Arial"/>
          <w:sz w:val="22"/>
          <w:szCs w:val="22"/>
        </w:rPr>
        <w:t>NEI2</w:t>
      </w:r>
      <w:r w:rsidRPr="00200C35" w:rsidR="009336C1">
        <w:rPr>
          <w:rFonts w:ascii="Arial" w:hAnsi="Arial" w:cs="Arial"/>
          <w:sz w:val="22"/>
          <w:szCs w:val="22"/>
        </w:rPr>
        <w:t xml:space="preserve">-0042, </w:t>
      </w:r>
      <w:r w:rsidR="009D6BB9">
        <w:rPr>
          <w:rFonts w:ascii="Arial" w:hAnsi="Arial" w:cs="Arial"/>
          <w:sz w:val="22"/>
          <w:szCs w:val="22"/>
        </w:rPr>
        <w:t>NEI2</w:t>
      </w:r>
      <w:r w:rsidRPr="00200C35" w:rsidR="009336C1">
        <w:rPr>
          <w:rFonts w:ascii="Arial" w:hAnsi="Arial" w:cs="Arial"/>
          <w:sz w:val="22"/>
          <w:szCs w:val="22"/>
        </w:rPr>
        <w:t xml:space="preserve">-0043, </w:t>
      </w:r>
      <w:r w:rsidR="00AE0B17">
        <w:rPr>
          <w:rFonts w:ascii="Arial" w:hAnsi="Arial" w:cs="Arial"/>
          <w:sz w:val="22"/>
          <w:szCs w:val="22"/>
        </w:rPr>
        <w:t>USNIC2</w:t>
      </w:r>
      <w:r w:rsidRPr="00200C35" w:rsidR="009336C1">
        <w:rPr>
          <w:rFonts w:ascii="Arial" w:hAnsi="Arial" w:cs="Arial"/>
          <w:sz w:val="22"/>
          <w:szCs w:val="22"/>
        </w:rPr>
        <w:t xml:space="preserve">-0022, </w:t>
      </w:r>
      <w:r w:rsidR="009D6BB9">
        <w:rPr>
          <w:rFonts w:ascii="Arial" w:hAnsi="Arial" w:cs="Arial"/>
          <w:sz w:val="22"/>
          <w:szCs w:val="22"/>
        </w:rPr>
        <w:t>NEI2</w:t>
      </w:r>
      <w:r w:rsidR="001C0809">
        <w:rPr>
          <w:rFonts w:ascii="Arial" w:hAnsi="Arial" w:cs="Arial"/>
          <w:sz w:val="22"/>
          <w:szCs w:val="22"/>
        </w:rPr>
        <w:noBreakHyphen/>
      </w:r>
      <w:r w:rsidRPr="00200C35" w:rsidR="009336C1">
        <w:rPr>
          <w:rFonts w:ascii="Arial" w:hAnsi="Arial" w:cs="Arial"/>
          <w:sz w:val="22"/>
          <w:szCs w:val="22"/>
        </w:rPr>
        <w:t>0006). One of the commenters wrote that 10 CFR 53.430 elevates ALARA requirements to specific design requirements and new functional design criteria, increasing regulatory burden compared to 10 CFR Part 50 and 10 CFR Part 52 (</w:t>
      </w:r>
      <w:r w:rsidR="00AE0B17">
        <w:rPr>
          <w:rFonts w:ascii="Arial" w:hAnsi="Arial" w:cs="Arial"/>
          <w:sz w:val="22"/>
          <w:szCs w:val="22"/>
        </w:rPr>
        <w:t>USNIC2</w:t>
      </w:r>
      <w:r w:rsidRPr="00200C35" w:rsidR="009336C1">
        <w:rPr>
          <w:rFonts w:ascii="Arial" w:hAnsi="Arial" w:cs="Arial"/>
          <w:sz w:val="22"/>
          <w:szCs w:val="22"/>
        </w:rPr>
        <w:t>-0022). </w:t>
      </w:r>
    </w:p>
    <w:p w:rsidR="009336C1" w:rsidRPr="00200C35" w:rsidP="00200C35" w14:paraId="030CC119" w14:textId="77777777">
      <w:pPr>
        <w:spacing w:after="220"/>
        <w:rPr>
          <w:rFonts w:ascii="Arial" w:hAnsi="Arial" w:cs="Arial"/>
          <w:sz w:val="22"/>
          <w:szCs w:val="22"/>
        </w:rPr>
      </w:pPr>
      <w:r w:rsidRPr="00200C35">
        <w:rPr>
          <w:rFonts w:ascii="Arial" w:hAnsi="Arial" w:cs="Arial"/>
          <w:b/>
          <w:sz w:val="22"/>
          <w:szCs w:val="22"/>
        </w:rPr>
        <w:t>NRC Response:</w:t>
      </w:r>
      <w:r w:rsidRPr="00200C35">
        <w:rPr>
          <w:rFonts w:ascii="Arial" w:hAnsi="Arial" w:cs="Arial"/>
          <w:sz w:val="22"/>
          <w:szCs w:val="22"/>
        </w:rPr>
        <w:t xml:space="preserve"> The NRC </w:t>
      </w:r>
      <w:r w:rsidRPr="00200C35" w:rsidR="008C7AAA">
        <w:rPr>
          <w:rFonts w:ascii="Arial" w:hAnsi="Arial" w:cs="Arial"/>
          <w:sz w:val="22"/>
          <w:szCs w:val="22"/>
        </w:rPr>
        <w:t>agrees</w:t>
      </w:r>
      <w:r w:rsidR="0041589F">
        <w:rPr>
          <w:rFonts w:ascii="Arial" w:hAnsi="Arial" w:cs="Arial"/>
          <w:sz w:val="22"/>
          <w:szCs w:val="22"/>
        </w:rPr>
        <w:t>,</w:t>
      </w:r>
      <w:r w:rsidRPr="00200C35" w:rsidR="008C7AAA">
        <w:rPr>
          <w:rFonts w:ascii="Arial" w:hAnsi="Arial" w:cs="Arial"/>
          <w:sz w:val="22"/>
          <w:szCs w:val="22"/>
        </w:rPr>
        <w:t xml:space="preserve"> </w:t>
      </w:r>
      <w:r w:rsidR="001606F2">
        <w:rPr>
          <w:rFonts w:ascii="Arial" w:hAnsi="Arial" w:cs="Arial"/>
          <w:sz w:val="22"/>
          <w:szCs w:val="22"/>
        </w:rPr>
        <w:t>in part</w:t>
      </w:r>
      <w:r w:rsidR="0041589F">
        <w:rPr>
          <w:rFonts w:ascii="Arial" w:hAnsi="Arial" w:cs="Arial"/>
          <w:sz w:val="22"/>
          <w:szCs w:val="22"/>
        </w:rPr>
        <w:t>,</w:t>
      </w:r>
      <w:r w:rsidRPr="00200C35">
        <w:rPr>
          <w:rFonts w:ascii="Arial" w:hAnsi="Arial" w:cs="Arial"/>
          <w:sz w:val="22"/>
          <w:szCs w:val="22"/>
        </w:rPr>
        <w:t xml:space="preserve"> with the comments.</w:t>
      </w:r>
    </w:p>
    <w:p w:rsidR="009336C1" w:rsidRPr="00200C35" w:rsidP="00200C35" w14:paraId="1B5893AE" w14:textId="77777777">
      <w:pPr>
        <w:spacing w:after="220"/>
        <w:rPr>
          <w:sz w:val="22"/>
          <w:szCs w:val="22"/>
        </w:rPr>
      </w:pPr>
      <w:r w:rsidRPr="00200C35">
        <w:rPr>
          <w:rFonts w:ascii="Arial" w:hAnsi="Arial" w:cs="Arial"/>
          <w:sz w:val="22"/>
          <w:szCs w:val="22"/>
        </w:rPr>
        <w:t xml:space="preserve">As explained in the proposed and final rules, the NRC has historically </w:t>
      </w:r>
      <w:r w:rsidR="009C33BB">
        <w:rPr>
          <w:rFonts w:ascii="Arial" w:hAnsi="Arial" w:cs="Arial"/>
          <w:sz w:val="22"/>
          <w:szCs w:val="22"/>
        </w:rPr>
        <w:t xml:space="preserve">seen </w:t>
      </w:r>
      <w:r w:rsidRPr="00200C35">
        <w:rPr>
          <w:rFonts w:ascii="Arial" w:hAnsi="Arial" w:cs="Arial"/>
          <w:sz w:val="22"/>
          <w:szCs w:val="22"/>
        </w:rPr>
        <w:t>and continues to see benefits to including requirements for radiation protection during normal operations for commercial nuclear plants, even though this includes references to 10 CFR Part 20. The requirements in 10 CFR 53.425 and 10 CFR 53.430 for design features and functional design criteria to support radiation protection activities have parallels in other regulations such as 10</w:t>
      </w:r>
      <w:r w:rsidR="00B635D9">
        <w:rPr>
          <w:rFonts w:ascii="Arial" w:hAnsi="Arial" w:cs="Arial"/>
          <w:sz w:val="22"/>
          <w:szCs w:val="22"/>
        </w:rPr>
        <w:t> </w:t>
      </w:r>
      <w:r w:rsidRPr="00200C35">
        <w:rPr>
          <w:rFonts w:ascii="Arial" w:hAnsi="Arial" w:cs="Arial"/>
          <w:sz w:val="22"/>
          <w:szCs w:val="22"/>
        </w:rPr>
        <w:t>CFR 50.34(a) and (b)(3), which require in part that the means be provided for meeting the requirements of 10 CFR Part 20; 10 CFR 50.34a, “Design objectives for equipment to control releases of radioactive material in effluents—nuclear power reactors”, General Design Criterion 60, 61, 63, and 64 in Appendix A to 10</w:t>
      </w:r>
      <w:r w:rsidRPr="00200C35" w:rsidR="00D179C3">
        <w:rPr>
          <w:rFonts w:ascii="Arial" w:hAnsi="Arial" w:cs="Arial"/>
          <w:sz w:val="22"/>
          <w:szCs w:val="22"/>
        </w:rPr>
        <w:t> </w:t>
      </w:r>
      <w:r w:rsidRPr="00200C35">
        <w:rPr>
          <w:rFonts w:ascii="Arial" w:hAnsi="Arial" w:cs="Arial"/>
          <w:sz w:val="22"/>
          <w:szCs w:val="22"/>
        </w:rPr>
        <w:t>CFR</w:t>
      </w:r>
      <w:r w:rsidRPr="00200C35" w:rsidR="00D179C3">
        <w:rPr>
          <w:rFonts w:ascii="Arial" w:hAnsi="Arial" w:cs="Arial"/>
          <w:sz w:val="22"/>
          <w:szCs w:val="22"/>
        </w:rPr>
        <w:t> </w:t>
      </w:r>
      <w:r w:rsidRPr="00200C35">
        <w:rPr>
          <w:rFonts w:ascii="Arial" w:hAnsi="Arial" w:cs="Arial"/>
          <w:sz w:val="22"/>
          <w:szCs w:val="22"/>
        </w:rPr>
        <w:t>Part 50, which provide radiation protection related design criteria; and Appendix</w:t>
      </w:r>
      <w:r w:rsidRPr="00200C35" w:rsidR="00E330AB">
        <w:rPr>
          <w:rFonts w:ascii="Arial" w:hAnsi="Arial" w:cs="Arial"/>
          <w:sz w:val="22"/>
          <w:szCs w:val="22"/>
        </w:rPr>
        <w:t> </w:t>
      </w:r>
      <w:r w:rsidRPr="00200C35">
        <w:rPr>
          <w:rFonts w:ascii="Arial" w:hAnsi="Arial" w:cs="Arial"/>
          <w:sz w:val="22"/>
          <w:szCs w:val="22"/>
        </w:rPr>
        <w:t>I, “Numerical Guides for Design Objectives and Limiting Conditions for Operation to Meet the Criterion "As Low as is Reasonably Achievable" for Radioactive Material in Light-Water-Cooled Nuclear Power Reactor Effluents</w:t>
      </w:r>
      <w:r w:rsidR="006B4344">
        <w:rPr>
          <w:rFonts w:ascii="Arial" w:hAnsi="Arial" w:cs="Arial"/>
          <w:sz w:val="22"/>
          <w:szCs w:val="22"/>
        </w:rPr>
        <w:t>,</w:t>
      </w:r>
      <w:r w:rsidRPr="00200C35">
        <w:rPr>
          <w:rFonts w:ascii="Arial" w:hAnsi="Arial" w:cs="Arial"/>
          <w:sz w:val="22"/>
          <w:szCs w:val="22"/>
        </w:rPr>
        <w:t>”</w:t>
      </w:r>
      <w:r w:rsidR="006B4344">
        <w:rPr>
          <w:rFonts w:ascii="Arial" w:hAnsi="Arial" w:cs="Arial"/>
          <w:sz w:val="22"/>
          <w:szCs w:val="22"/>
        </w:rPr>
        <w:t xml:space="preserve"> </w:t>
      </w:r>
      <w:r w:rsidRPr="00200C35" w:rsidR="006B4344">
        <w:rPr>
          <w:rFonts w:ascii="Arial" w:hAnsi="Arial" w:cs="Arial"/>
          <w:sz w:val="22"/>
          <w:szCs w:val="22"/>
        </w:rPr>
        <w:t>to 10 CFR</w:t>
      </w:r>
      <w:r w:rsidR="00B635D9">
        <w:rPr>
          <w:rFonts w:ascii="Arial" w:hAnsi="Arial" w:cs="Arial"/>
          <w:sz w:val="22"/>
          <w:szCs w:val="22"/>
        </w:rPr>
        <w:t> </w:t>
      </w:r>
      <w:r w:rsidRPr="00200C35" w:rsidR="006B4344">
        <w:rPr>
          <w:rFonts w:ascii="Arial" w:hAnsi="Arial" w:cs="Arial"/>
          <w:sz w:val="22"/>
          <w:szCs w:val="22"/>
        </w:rPr>
        <w:t>Part</w:t>
      </w:r>
      <w:r w:rsidR="00B635D9">
        <w:rPr>
          <w:rFonts w:ascii="Arial" w:hAnsi="Arial" w:cs="Arial"/>
          <w:sz w:val="22"/>
          <w:szCs w:val="22"/>
        </w:rPr>
        <w:t> </w:t>
      </w:r>
      <w:r w:rsidRPr="00200C35" w:rsidR="006B4344">
        <w:rPr>
          <w:rFonts w:ascii="Arial" w:hAnsi="Arial" w:cs="Arial"/>
          <w:sz w:val="22"/>
          <w:szCs w:val="22"/>
        </w:rPr>
        <w:t>50</w:t>
      </w:r>
      <w:r w:rsidR="006B4344">
        <w:rPr>
          <w:rFonts w:ascii="Arial" w:hAnsi="Arial" w:cs="Arial"/>
          <w:sz w:val="22"/>
          <w:szCs w:val="22"/>
        </w:rPr>
        <w:t>.</w:t>
      </w:r>
    </w:p>
    <w:p w:rsidR="009336C1" w:rsidRPr="00200C35" w:rsidP="00200C35" w14:paraId="30264B83" w14:textId="77777777">
      <w:pPr>
        <w:spacing w:after="220"/>
        <w:rPr>
          <w:rFonts w:ascii="Arial" w:hAnsi="Arial" w:cs="Arial"/>
          <w:sz w:val="22"/>
          <w:szCs w:val="22"/>
        </w:rPr>
      </w:pPr>
      <w:r w:rsidRPr="00200C35">
        <w:rPr>
          <w:rFonts w:ascii="Arial" w:hAnsi="Arial" w:cs="Arial"/>
          <w:sz w:val="22"/>
          <w:szCs w:val="22"/>
        </w:rPr>
        <w:t>Accordingly, the NRC did not change the rule language in response to th</w:t>
      </w:r>
      <w:r w:rsidR="00F47A08">
        <w:rPr>
          <w:rFonts w:ascii="Arial" w:hAnsi="Arial" w:cs="Arial"/>
          <w:sz w:val="22"/>
          <w:szCs w:val="22"/>
        </w:rPr>
        <w:t>ese</w:t>
      </w:r>
      <w:r w:rsidRPr="00200C35">
        <w:rPr>
          <w:rFonts w:ascii="Arial" w:hAnsi="Arial" w:cs="Arial"/>
          <w:sz w:val="22"/>
          <w:szCs w:val="22"/>
        </w:rPr>
        <w:t xml:space="preserve"> comment</w:t>
      </w:r>
      <w:r w:rsidR="00F47A08">
        <w:rPr>
          <w:rFonts w:ascii="Arial" w:hAnsi="Arial" w:cs="Arial"/>
          <w:sz w:val="22"/>
          <w:szCs w:val="22"/>
        </w:rPr>
        <w:t>s</w:t>
      </w:r>
      <w:r w:rsidRPr="00200C35">
        <w:rPr>
          <w:rFonts w:ascii="Arial" w:hAnsi="Arial" w:cs="Arial"/>
          <w:sz w:val="22"/>
          <w:szCs w:val="22"/>
        </w:rPr>
        <w:t>.</w:t>
      </w:r>
    </w:p>
    <w:p w:rsidR="009336C1" w:rsidRPr="00200C35" w:rsidP="00200C35" w14:paraId="482BAE24" w14:textId="77777777">
      <w:pPr>
        <w:spacing w:after="220"/>
        <w:rPr>
          <w:rFonts w:ascii="Arial" w:hAnsi="Arial" w:cs="Arial"/>
          <w:b/>
          <w:sz w:val="22"/>
          <w:szCs w:val="22"/>
        </w:rPr>
      </w:pPr>
      <w:r w:rsidRPr="00200C35">
        <w:rPr>
          <w:rFonts w:ascii="Arial" w:hAnsi="Arial" w:cs="Arial"/>
          <w:sz w:val="22"/>
          <w:szCs w:val="22"/>
        </w:rPr>
        <w:t xml:space="preserve">However, </w:t>
      </w:r>
      <w:r w:rsidR="003D1B35">
        <w:rPr>
          <w:rFonts w:ascii="Arial" w:hAnsi="Arial" w:cs="Arial"/>
          <w:sz w:val="22"/>
          <w:szCs w:val="22"/>
        </w:rPr>
        <w:t>t</w:t>
      </w:r>
      <w:r w:rsidR="00DA02F6">
        <w:rPr>
          <w:rFonts w:ascii="Arial" w:hAnsi="Arial" w:cs="Arial"/>
          <w:sz w:val="22"/>
          <w:szCs w:val="22"/>
        </w:rPr>
        <w:t xml:space="preserve">he NRC </w:t>
      </w:r>
      <w:r w:rsidR="003D1B35">
        <w:rPr>
          <w:rFonts w:ascii="Arial" w:hAnsi="Arial" w:cs="Arial"/>
          <w:sz w:val="22"/>
          <w:szCs w:val="22"/>
        </w:rPr>
        <w:t xml:space="preserve">agrees that referring to 10 CFR Part 20 is sufficient </w:t>
      </w:r>
      <w:r w:rsidR="007675B6">
        <w:rPr>
          <w:rFonts w:ascii="Arial" w:hAnsi="Arial" w:cs="Arial"/>
          <w:sz w:val="22"/>
          <w:szCs w:val="22"/>
        </w:rPr>
        <w:t xml:space="preserve">to </w:t>
      </w:r>
      <w:r w:rsidR="003D1B35">
        <w:rPr>
          <w:rFonts w:ascii="Arial" w:hAnsi="Arial" w:cs="Arial"/>
          <w:sz w:val="22"/>
          <w:szCs w:val="22"/>
        </w:rPr>
        <w:t>address</w:t>
      </w:r>
      <w:r w:rsidR="00CA7826">
        <w:rPr>
          <w:rFonts w:ascii="Arial" w:hAnsi="Arial" w:cs="Arial"/>
          <w:sz w:val="22"/>
          <w:szCs w:val="22"/>
        </w:rPr>
        <w:t xml:space="preserve"> </w:t>
      </w:r>
      <w:r w:rsidR="003D1B35">
        <w:rPr>
          <w:rFonts w:ascii="Arial" w:hAnsi="Arial" w:cs="Arial"/>
          <w:sz w:val="22"/>
          <w:szCs w:val="22"/>
        </w:rPr>
        <w:t xml:space="preserve">radiation protection </w:t>
      </w:r>
      <w:r w:rsidR="00703E44">
        <w:rPr>
          <w:rFonts w:ascii="Arial" w:hAnsi="Arial" w:cs="Arial"/>
          <w:sz w:val="22"/>
          <w:szCs w:val="22"/>
        </w:rPr>
        <w:t>standards</w:t>
      </w:r>
      <w:r w:rsidR="003D1B35">
        <w:rPr>
          <w:rFonts w:ascii="Arial" w:hAnsi="Arial" w:cs="Arial"/>
          <w:sz w:val="22"/>
          <w:szCs w:val="22"/>
        </w:rPr>
        <w:t>.</w:t>
      </w:r>
      <w:r w:rsidR="00B97A72">
        <w:rPr>
          <w:rFonts w:ascii="Arial" w:hAnsi="Arial" w:cs="Arial"/>
          <w:sz w:val="22"/>
          <w:szCs w:val="22"/>
        </w:rPr>
        <w:t xml:space="preserve"> Accordingly, the NRC </w:t>
      </w:r>
      <w:r w:rsidR="00EA7CD9">
        <w:rPr>
          <w:rFonts w:ascii="Arial" w:hAnsi="Arial" w:cs="Arial"/>
          <w:sz w:val="22"/>
          <w:szCs w:val="22"/>
        </w:rPr>
        <w:t xml:space="preserve">revised </w:t>
      </w:r>
      <w:r w:rsidR="00DE3D6C">
        <w:rPr>
          <w:rFonts w:ascii="Arial" w:hAnsi="Arial" w:cs="Arial"/>
          <w:sz w:val="22"/>
          <w:szCs w:val="22"/>
        </w:rPr>
        <w:t xml:space="preserve">the final rule to </w:t>
      </w:r>
      <w:r w:rsidR="004A0CC6">
        <w:rPr>
          <w:rFonts w:ascii="Arial" w:hAnsi="Arial" w:cs="Arial"/>
          <w:sz w:val="22"/>
          <w:szCs w:val="22"/>
        </w:rPr>
        <w:t>remove specific references</w:t>
      </w:r>
      <w:r w:rsidR="0031510A">
        <w:rPr>
          <w:rFonts w:ascii="Arial" w:hAnsi="Arial" w:cs="Arial"/>
          <w:sz w:val="22"/>
          <w:szCs w:val="22"/>
        </w:rPr>
        <w:t xml:space="preserve"> within Part 53</w:t>
      </w:r>
      <w:r w:rsidR="00631E5F">
        <w:rPr>
          <w:rFonts w:ascii="Arial" w:hAnsi="Arial" w:cs="Arial"/>
          <w:sz w:val="22"/>
          <w:szCs w:val="22"/>
        </w:rPr>
        <w:t xml:space="preserve"> </w:t>
      </w:r>
      <w:r w:rsidR="004A0CC6">
        <w:rPr>
          <w:rFonts w:ascii="Arial" w:hAnsi="Arial" w:cs="Arial"/>
          <w:sz w:val="22"/>
          <w:szCs w:val="22"/>
        </w:rPr>
        <w:t xml:space="preserve">to </w:t>
      </w:r>
      <w:r w:rsidR="00465B85">
        <w:rPr>
          <w:rFonts w:ascii="Arial" w:hAnsi="Arial" w:cs="Arial"/>
          <w:sz w:val="22"/>
          <w:szCs w:val="22"/>
        </w:rPr>
        <w:t xml:space="preserve">ALARA </w:t>
      </w:r>
      <w:r w:rsidR="00FD068B">
        <w:rPr>
          <w:rFonts w:ascii="Arial" w:hAnsi="Arial" w:cs="Arial"/>
          <w:sz w:val="22"/>
          <w:szCs w:val="22"/>
        </w:rPr>
        <w:t xml:space="preserve">and </w:t>
      </w:r>
      <w:r w:rsidR="00C000F1">
        <w:rPr>
          <w:rFonts w:ascii="Arial" w:hAnsi="Arial" w:cs="Arial"/>
          <w:sz w:val="22"/>
          <w:szCs w:val="22"/>
        </w:rPr>
        <w:t>only</w:t>
      </w:r>
      <w:r w:rsidR="00FD068B">
        <w:rPr>
          <w:rFonts w:ascii="Arial" w:hAnsi="Arial" w:cs="Arial"/>
          <w:sz w:val="22"/>
          <w:szCs w:val="22"/>
        </w:rPr>
        <w:t xml:space="preserve"> </w:t>
      </w:r>
      <w:r w:rsidR="00A67B6C">
        <w:rPr>
          <w:rFonts w:ascii="Arial" w:hAnsi="Arial" w:cs="Arial"/>
          <w:sz w:val="22"/>
          <w:szCs w:val="22"/>
        </w:rPr>
        <w:t xml:space="preserve">included </w:t>
      </w:r>
      <w:r w:rsidR="00FD068B">
        <w:rPr>
          <w:rFonts w:ascii="Arial" w:hAnsi="Arial" w:cs="Arial"/>
          <w:sz w:val="22"/>
          <w:szCs w:val="22"/>
        </w:rPr>
        <w:t>direct refer</w:t>
      </w:r>
      <w:r w:rsidR="00A67B6C">
        <w:rPr>
          <w:rFonts w:ascii="Arial" w:hAnsi="Arial" w:cs="Arial"/>
          <w:sz w:val="22"/>
          <w:szCs w:val="22"/>
        </w:rPr>
        <w:t>ence</w:t>
      </w:r>
      <w:r w:rsidR="00C000F1">
        <w:rPr>
          <w:rFonts w:ascii="Arial" w:hAnsi="Arial" w:cs="Arial"/>
          <w:sz w:val="22"/>
          <w:szCs w:val="22"/>
        </w:rPr>
        <w:t>s</w:t>
      </w:r>
      <w:r w:rsidR="00FD068B">
        <w:rPr>
          <w:rFonts w:ascii="Arial" w:hAnsi="Arial" w:cs="Arial"/>
          <w:sz w:val="22"/>
          <w:szCs w:val="22"/>
        </w:rPr>
        <w:t xml:space="preserve"> to</w:t>
      </w:r>
      <w:r w:rsidR="00BC4059">
        <w:rPr>
          <w:rFonts w:ascii="Arial" w:hAnsi="Arial" w:cs="Arial"/>
          <w:sz w:val="22"/>
          <w:szCs w:val="22"/>
        </w:rPr>
        <w:t xml:space="preserve"> </w:t>
      </w:r>
      <w:r w:rsidR="00EE27B4">
        <w:rPr>
          <w:rFonts w:ascii="Arial" w:hAnsi="Arial" w:cs="Arial"/>
          <w:sz w:val="22"/>
          <w:szCs w:val="22"/>
        </w:rPr>
        <w:t>10</w:t>
      </w:r>
      <w:r w:rsidR="007E07FA">
        <w:rPr>
          <w:rFonts w:ascii="Arial" w:hAnsi="Arial" w:cs="Arial"/>
          <w:sz w:val="22"/>
          <w:szCs w:val="22"/>
        </w:rPr>
        <w:t> </w:t>
      </w:r>
      <w:r w:rsidR="00EE27B4">
        <w:rPr>
          <w:rFonts w:ascii="Arial" w:hAnsi="Arial" w:cs="Arial"/>
          <w:sz w:val="22"/>
          <w:szCs w:val="22"/>
        </w:rPr>
        <w:t>CFR</w:t>
      </w:r>
      <w:r w:rsidR="007E07FA">
        <w:rPr>
          <w:rFonts w:ascii="Arial" w:hAnsi="Arial" w:cs="Arial"/>
          <w:sz w:val="22"/>
          <w:szCs w:val="22"/>
        </w:rPr>
        <w:t> </w:t>
      </w:r>
      <w:r w:rsidR="00EE27B4">
        <w:rPr>
          <w:rFonts w:ascii="Arial" w:hAnsi="Arial" w:cs="Arial"/>
          <w:sz w:val="22"/>
          <w:szCs w:val="22"/>
        </w:rPr>
        <w:t>Part</w:t>
      </w:r>
      <w:r w:rsidR="007E07FA">
        <w:rPr>
          <w:rFonts w:ascii="Arial" w:hAnsi="Arial" w:cs="Arial"/>
          <w:sz w:val="22"/>
          <w:szCs w:val="22"/>
        </w:rPr>
        <w:t> </w:t>
      </w:r>
      <w:r w:rsidR="00EE27B4">
        <w:rPr>
          <w:rFonts w:ascii="Arial" w:hAnsi="Arial" w:cs="Arial"/>
          <w:sz w:val="22"/>
          <w:szCs w:val="22"/>
        </w:rPr>
        <w:t>20.</w:t>
      </w:r>
    </w:p>
    <w:p w:rsidR="000E5B49" w:rsidRPr="00200C35" w:rsidP="00200C35" w14:paraId="4EC474D7" w14:textId="77777777">
      <w:pPr>
        <w:spacing w:after="220"/>
        <w:rPr>
          <w:rFonts w:ascii="Arial" w:hAnsi="Arial" w:cs="Arial"/>
          <w:sz w:val="22"/>
          <w:szCs w:val="22"/>
        </w:rPr>
      </w:pPr>
      <w:r>
        <w:rPr>
          <w:rFonts w:ascii="Arial" w:hAnsi="Arial" w:cs="Arial"/>
          <w:sz w:val="22"/>
          <w:szCs w:val="22"/>
        </w:rPr>
        <w:pict>
          <v:rect id="_x0000_i1096" style="width:0;height:1.5pt" o:hralign="center" o:hrstd="t" o:hrnoshade="t" o:hr="t" fillcolor="black" stroked="f"/>
        </w:pict>
      </w:r>
    </w:p>
    <w:p w:rsidR="000D3C2A" w:rsidRPr="00A6425D" w:rsidP="003036E4" w14:paraId="61C34D2C" w14:textId="77777777">
      <w:pPr>
        <w:pStyle w:val="Heading3"/>
        <w:numPr>
          <w:ilvl w:val="0"/>
          <w:numId w:val="0"/>
        </w:numPr>
        <w:ind w:left="720" w:hanging="720"/>
      </w:pPr>
      <w:bookmarkStart w:id="29" w:name="_Toc207222807"/>
      <w:r w:rsidRPr="004128BE">
        <w:rPr>
          <w:u w:val="none"/>
        </w:rPr>
        <w:t>3.2.4.</w:t>
      </w:r>
      <w:r w:rsidRPr="004128BE">
        <w:rPr>
          <w:u w:val="none"/>
        </w:rPr>
        <w:tab/>
      </w:r>
      <w:r w:rsidRPr="00A6425D">
        <w:t>Other comments on Subpart B (§§ 53.230-53.270)</w:t>
      </w:r>
      <w:bookmarkEnd w:id="29"/>
    </w:p>
    <w:p w:rsidR="00ED524E" w:rsidRPr="00B3020F" w:rsidP="00200C35" w14:paraId="1C746E7F" w14:textId="77777777">
      <w:pPr>
        <w:spacing w:after="220"/>
        <w:rPr>
          <w:rFonts w:ascii="Arial" w:hAnsi="Arial" w:cs="Arial"/>
          <w:sz w:val="22"/>
          <w:szCs w:val="22"/>
        </w:rPr>
      </w:pPr>
      <w:r w:rsidRPr="00B3020F">
        <w:rPr>
          <w:rFonts w:ascii="Arial" w:hAnsi="Arial" w:cs="Arial"/>
          <w:b/>
          <w:sz w:val="22"/>
          <w:szCs w:val="22"/>
        </w:rPr>
        <w:t xml:space="preserve">Comment Bin 3.2.4.A: </w:t>
      </w:r>
      <w:r w:rsidRPr="00B3020F">
        <w:rPr>
          <w:rFonts w:ascii="Arial" w:hAnsi="Arial" w:cs="Arial"/>
          <w:sz w:val="22"/>
          <w:szCs w:val="22"/>
        </w:rPr>
        <w:t>Two commenters wrote that it is unclear what purpose is served by defining primary and alternative safety functions other than to justify including the comprehensive risk metrics in 10 CFR 53.220 (</w:t>
      </w:r>
      <w:r w:rsidR="009D6BB9">
        <w:rPr>
          <w:rFonts w:ascii="Arial" w:hAnsi="Arial" w:cs="Arial"/>
          <w:sz w:val="22"/>
          <w:szCs w:val="22"/>
        </w:rPr>
        <w:t>NEI2</w:t>
      </w:r>
      <w:r w:rsidRPr="00B3020F">
        <w:rPr>
          <w:rFonts w:ascii="Arial" w:hAnsi="Arial" w:cs="Arial"/>
          <w:sz w:val="22"/>
          <w:szCs w:val="22"/>
        </w:rPr>
        <w:t xml:space="preserve">-0039, </w:t>
      </w:r>
      <w:r w:rsidR="00AE0B17">
        <w:rPr>
          <w:rFonts w:ascii="Arial" w:hAnsi="Arial" w:cs="Arial"/>
          <w:sz w:val="22"/>
          <w:szCs w:val="22"/>
        </w:rPr>
        <w:t>USNIC2</w:t>
      </w:r>
      <w:r w:rsidRPr="00B3020F">
        <w:rPr>
          <w:rFonts w:ascii="Arial" w:hAnsi="Arial" w:cs="Arial"/>
          <w:sz w:val="22"/>
          <w:szCs w:val="22"/>
        </w:rPr>
        <w:t>-0021). One of the commenters questioned what purpose is served by defining primary and alternative safety functions, other than to justify including the comprehensive risk metrics in 10</w:t>
      </w:r>
      <w:r w:rsidR="00B635D9">
        <w:rPr>
          <w:rFonts w:ascii="Arial" w:hAnsi="Arial" w:cs="Arial"/>
          <w:sz w:val="22"/>
          <w:szCs w:val="22"/>
        </w:rPr>
        <w:t> </w:t>
      </w:r>
      <w:r w:rsidRPr="00B3020F">
        <w:rPr>
          <w:rFonts w:ascii="Arial" w:hAnsi="Arial" w:cs="Arial"/>
          <w:sz w:val="22"/>
          <w:szCs w:val="22"/>
        </w:rPr>
        <w:t xml:space="preserve">CFR 53.220, and asked whether the NRC intends that some safety functions (primary) are only needed to meet the “reasonable assurance of adequate protection of public health and safety” standard while other safety functions (additional) are needed to meet the “to protect health or to minimize danger to life or property” standard. The commenter reasoned that safety functions should </w:t>
      </w:r>
      <w:r w:rsidRPr="00B3020F">
        <w:rPr>
          <w:rFonts w:ascii="Arial" w:hAnsi="Arial" w:cs="Arial"/>
          <w:sz w:val="22"/>
          <w:szCs w:val="22"/>
        </w:rPr>
        <w:t>relate to DBAs and requirements for SR SSCs because any other functions the plant needs to provide may be safety-significant but would not be safety-related.</w:t>
      </w:r>
    </w:p>
    <w:p w:rsidR="00ED524E" w:rsidRPr="00B3020F" w:rsidP="00200C35" w14:paraId="39BFCBFD" w14:textId="77777777">
      <w:pPr>
        <w:spacing w:after="220"/>
        <w:rPr>
          <w:rFonts w:ascii="Arial" w:hAnsi="Arial" w:cs="Arial"/>
          <w:sz w:val="22"/>
          <w:szCs w:val="22"/>
        </w:rPr>
      </w:pPr>
      <w:r w:rsidRPr="00B3020F">
        <w:rPr>
          <w:rFonts w:ascii="Arial" w:hAnsi="Arial" w:cs="Arial"/>
          <w:sz w:val="22"/>
          <w:szCs w:val="22"/>
        </w:rPr>
        <w:t xml:space="preserve">The commenter read the statement that safety functions must be maintained for LBEs as implying that there is an equivalence in the design standards for SR SSCs that are needed for DBAs to meet 10 CFR 53.210 and those for NSRSS and </w:t>
      </w:r>
      <w:r w:rsidR="00B27C3F">
        <w:rPr>
          <w:rFonts w:ascii="Arial" w:hAnsi="Arial" w:cs="Arial"/>
          <w:sz w:val="22"/>
          <w:szCs w:val="22"/>
        </w:rPr>
        <w:t>non</w:t>
      </w:r>
      <w:r w:rsidR="00054C5C">
        <w:rPr>
          <w:rFonts w:ascii="Arial" w:hAnsi="Arial" w:cs="Arial"/>
          <w:sz w:val="22"/>
          <w:szCs w:val="22"/>
        </w:rPr>
        <w:t>-safety-significant</w:t>
      </w:r>
      <w:r w:rsidRPr="00B3020F" w:rsidR="00B27C3F">
        <w:rPr>
          <w:rFonts w:ascii="Arial" w:hAnsi="Arial" w:cs="Arial"/>
          <w:sz w:val="22"/>
          <w:szCs w:val="22"/>
        </w:rPr>
        <w:t xml:space="preserve"> </w:t>
      </w:r>
      <w:r w:rsidRPr="00B3020F">
        <w:rPr>
          <w:rFonts w:ascii="Arial" w:hAnsi="Arial" w:cs="Arial"/>
          <w:sz w:val="22"/>
          <w:szCs w:val="22"/>
        </w:rPr>
        <w:t xml:space="preserve">SSCs that are relied upon for AOOs and BDBEs. The commenter warned that such an equivalence could lead to unintended consequences in that it would elevate the NSRSS and </w:t>
      </w:r>
      <w:r w:rsidR="00B27D26">
        <w:rPr>
          <w:rFonts w:ascii="Arial" w:hAnsi="Arial" w:cs="Arial"/>
          <w:sz w:val="22"/>
          <w:szCs w:val="22"/>
        </w:rPr>
        <w:t>non</w:t>
      </w:r>
      <w:r w:rsidR="00DB3091">
        <w:rPr>
          <w:rFonts w:ascii="Arial" w:hAnsi="Arial" w:cs="Arial"/>
          <w:sz w:val="22"/>
          <w:szCs w:val="22"/>
        </w:rPr>
        <w:noBreakHyphen/>
      </w:r>
      <w:r w:rsidR="00B27D26">
        <w:rPr>
          <w:rFonts w:ascii="Arial" w:hAnsi="Arial" w:cs="Arial"/>
          <w:sz w:val="22"/>
          <w:szCs w:val="22"/>
        </w:rPr>
        <w:t>safety</w:t>
      </w:r>
      <w:r w:rsidR="00DB3091">
        <w:rPr>
          <w:rFonts w:ascii="Arial" w:hAnsi="Arial" w:cs="Arial"/>
          <w:sz w:val="22"/>
          <w:szCs w:val="22"/>
        </w:rPr>
        <w:noBreakHyphen/>
      </w:r>
      <w:r w:rsidR="00B27D26">
        <w:rPr>
          <w:rFonts w:ascii="Arial" w:hAnsi="Arial" w:cs="Arial"/>
          <w:sz w:val="22"/>
          <w:szCs w:val="22"/>
        </w:rPr>
        <w:t>si</w:t>
      </w:r>
      <w:r w:rsidR="009C373D">
        <w:rPr>
          <w:rFonts w:ascii="Arial" w:hAnsi="Arial" w:cs="Arial"/>
          <w:sz w:val="22"/>
          <w:szCs w:val="22"/>
        </w:rPr>
        <w:t>gnificant</w:t>
      </w:r>
      <w:r w:rsidRPr="00B3020F" w:rsidR="00B27D26">
        <w:rPr>
          <w:rFonts w:ascii="Arial" w:hAnsi="Arial" w:cs="Arial"/>
          <w:sz w:val="22"/>
          <w:szCs w:val="22"/>
        </w:rPr>
        <w:t xml:space="preserve"> </w:t>
      </w:r>
      <w:r w:rsidRPr="00B3020F">
        <w:rPr>
          <w:rFonts w:ascii="Arial" w:hAnsi="Arial" w:cs="Arial"/>
          <w:sz w:val="22"/>
          <w:szCs w:val="22"/>
        </w:rPr>
        <w:t>SSCs to need similar confidence in performance as SR SSCs, thus increasing regulatory burden without increasing safety. Noting that many codes and standards rely on the term “safety function” as traditionally understood to mean safety-related functions, the commenter expressed concern that expanding it to NSRSS would cause confusion and overprescription of requirements.</w:t>
      </w:r>
    </w:p>
    <w:p w:rsidR="00ED524E" w:rsidRPr="00B3020F" w:rsidP="00200C35" w14:paraId="0E017830" w14:textId="77777777">
      <w:pPr>
        <w:spacing w:after="220"/>
        <w:rPr>
          <w:rFonts w:ascii="Arial" w:hAnsi="Arial" w:cs="Arial"/>
          <w:sz w:val="22"/>
          <w:szCs w:val="22"/>
        </w:rPr>
      </w:pPr>
      <w:r w:rsidRPr="00B3020F">
        <w:rPr>
          <w:rFonts w:ascii="Arial" w:hAnsi="Arial" w:cs="Arial"/>
          <w:sz w:val="22"/>
          <w:szCs w:val="22"/>
        </w:rPr>
        <w:t>Because examples in regulation may be interpreted as minimum requirements, the commenter stated, the language used in the rule should make clear that safety functions are design specific.</w:t>
      </w:r>
    </w:p>
    <w:p w:rsidR="00ED524E" w:rsidRPr="00B3020F" w:rsidP="00200C35" w14:paraId="696C83A8" w14:textId="77777777">
      <w:pPr>
        <w:spacing w:after="220"/>
        <w:rPr>
          <w:rFonts w:ascii="Arial" w:hAnsi="Arial" w:cs="Arial"/>
          <w:sz w:val="22"/>
          <w:szCs w:val="22"/>
        </w:rPr>
      </w:pPr>
      <w:r w:rsidRPr="00B3020F">
        <w:rPr>
          <w:rFonts w:ascii="Arial" w:hAnsi="Arial" w:cs="Arial"/>
          <w:sz w:val="22"/>
          <w:szCs w:val="22"/>
        </w:rPr>
        <w:t>The commenter suggested that the NRC could address their concerns and improve the clarity of 10 CFR 53.230 by removing paragraph (a), redesignating paragraphs (b) and (c) as (a) and (b), and revising them to read as follows (</w:t>
      </w:r>
      <w:r w:rsidR="009D6BB9">
        <w:rPr>
          <w:rFonts w:ascii="Arial" w:hAnsi="Arial" w:cs="Arial"/>
          <w:sz w:val="22"/>
          <w:szCs w:val="22"/>
        </w:rPr>
        <w:t>NEI2</w:t>
      </w:r>
      <w:r w:rsidRPr="00B3020F">
        <w:rPr>
          <w:rFonts w:ascii="Arial" w:hAnsi="Arial" w:cs="Arial"/>
          <w:sz w:val="22"/>
          <w:szCs w:val="22"/>
        </w:rPr>
        <w:t>-0039):</w:t>
      </w:r>
    </w:p>
    <w:p w:rsidR="00ED524E" w:rsidRPr="00B3020F" w:rsidP="00200C35" w14:paraId="0303A30B" w14:textId="77777777">
      <w:pPr>
        <w:spacing w:after="220"/>
        <w:ind w:left="720" w:right="720"/>
        <w:rPr>
          <w:rFonts w:ascii="Arial" w:hAnsi="Arial" w:cs="Arial"/>
          <w:sz w:val="22"/>
          <w:szCs w:val="22"/>
        </w:rPr>
      </w:pPr>
      <w:r w:rsidRPr="00B3020F">
        <w:rPr>
          <w:rFonts w:ascii="Arial" w:hAnsi="Arial" w:cs="Arial"/>
          <w:sz w:val="22"/>
          <w:szCs w:val="22"/>
        </w:rPr>
        <w:t>(a) The safety functions necessary to meet 53.210 must be identified for each commercial nuclear plant. Controlling reactivity, heat generation, heat removal, and chemical interactions are examples of possible safety functions depending on the specific technology and design.</w:t>
      </w:r>
    </w:p>
    <w:p w:rsidR="00ED524E" w:rsidRPr="00B3020F" w:rsidP="00200C35" w14:paraId="3D929CC3" w14:textId="77777777">
      <w:pPr>
        <w:spacing w:after="220"/>
        <w:ind w:left="720" w:right="720"/>
        <w:rPr>
          <w:rFonts w:ascii="Arial" w:hAnsi="Arial" w:cs="Arial"/>
          <w:sz w:val="22"/>
          <w:szCs w:val="22"/>
        </w:rPr>
      </w:pPr>
      <w:r w:rsidRPr="00B3020F">
        <w:rPr>
          <w:rFonts w:ascii="Arial" w:hAnsi="Arial" w:cs="Arial"/>
          <w:sz w:val="22"/>
          <w:szCs w:val="22"/>
        </w:rPr>
        <w:t>(b) The SR SSCs must be capable of performing their intended safety functions. NSRSS SSCs may be relied upon to accomplish the safety functions for other LBEs, or more restrictive alternative criteria adopted under § 53.470.</w:t>
      </w:r>
    </w:p>
    <w:p w:rsidR="00ED524E" w:rsidRPr="00B3020F" w:rsidP="00200C35" w14:paraId="3C94AE6C" w14:textId="77777777">
      <w:pPr>
        <w:spacing w:after="220"/>
        <w:rPr>
          <w:rFonts w:ascii="Arial" w:hAnsi="Arial" w:cs="Arial"/>
          <w:sz w:val="22"/>
          <w:szCs w:val="22"/>
        </w:rPr>
      </w:pPr>
      <w:r w:rsidRPr="00B3020F">
        <w:rPr>
          <w:rFonts w:ascii="Arial" w:hAnsi="Arial" w:cs="Arial"/>
          <w:sz w:val="22"/>
          <w:szCs w:val="22"/>
        </w:rPr>
        <w:t>Another commenter wrote that the term “primary safety function” is a broad new construct which will be subject to ill-defined and moving regulatory requirements. The commenter wrote that both the A</w:t>
      </w:r>
      <w:r w:rsidR="00247770">
        <w:rPr>
          <w:rFonts w:ascii="Arial" w:hAnsi="Arial" w:cs="Arial"/>
          <w:sz w:val="22"/>
          <w:szCs w:val="22"/>
        </w:rPr>
        <w:t>EA</w:t>
      </w:r>
      <w:r w:rsidRPr="00B3020F">
        <w:rPr>
          <w:rFonts w:ascii="Arial" w:hAnsi="Arial" w:cs="Arial"/>
          <w:sz w:val="22"/>
          <w:szCs w:val="22"/>
        </w:rPr>
        <w:t xml:space="preserve"> and NEIMA require safety functions involving graduated levels of risk with appropriately tethered design criteria requirements which would not be met by the primary safety criteria term introduced in the rule. The commenter recommended replacing 10</w:t>
      </w:r>
      <w:r w:rsidR="00787BC1">
        <w:rPr>
          <w:rFonts w:ascii="Arial" w:hAnsi="Arial" w:cs="Arial"/>
          <w:sz w:val="22"/>
          <w:szCs w:val="22"/>
        </w:rPr>
        <w:t> </w:t>
      </w:r>
      <w:r w:rsidRPr="00B3020F">
        <w:rPr>
          <w:rFonts w:ascii="Arial" w:hAnsi="Arial" w:cs="Arial"/>
          <w:sz w:val="22"/>
          <w:szCs w:val="22"/>
        </w:rPr>
        <w:t>CFR</w:t>
      </w:r>
      <w:r w:rsidR="00787BC1">
        <w:rPr>
          <w:rFonts w:ascii="Arial" w:hAnsi="Arial" w:cs="Arial"/>
          <w:sz w:val="22"/>
          <w:szCs w:val="22"/>
        </w:rPr>
        <w:t> </w:t>
      </w:r>
      <w:r w:rsidRPr="00B3020F">
        <w:rPr>
          <w:rFonts w:ascii="Arial" w:hAnsi="Arial" w:cs="Arial"/>
          <w:sz w:val="22"/>
          <w:szCs w:val="22"/>
        </w:rPr>
        <w:t>53.230 with the following text (</w:t>
      </w:r>
      <w:r w:rsidR="00F22AD5">
        <w:rPr>
          <w:rFonts w:ascii="Arial" w:hAnsi="Arial" w:cs="Arial"/>
          <w:sz w:val="22"/>
          <w:szCs w:val="22"/>
        </w:rPr>
        <w:t>HPT10</w:t>
      </w:r>
      <w:r w:rsidRPr="00B3020F">
        <w:rPr>
          <w:rFonts w:ascii="Arial" w:hAnsi="Arial" w:cs="Arial"/>
          <w:sz w:val="22"/>
          <w:szCs w:val="22"/>
        </w:rPr>
        <w:t xml:space="preserve">-0001, </w:t>
      </w:r>
      <w:r w:rsidR="00F22AD5">
        <w:rPr>
          <w:rFonts w:ascii="Arial" w:hAnsi="Arial" w:cs="Arial"/>
          <w:sz w:val="22"/>
          <w:szCs w:val="22"/>
        </w:rPr>
        <w:t>HPT10</w:t>
      </w:r>
      <w:r w:rsidRPr="00B3020F">
        <w:rPr>
          <w:rFonts w:ascii="Arial" w:hAnsi="Arial" w:cs="Arial"/>
          <w:sz w:val="22"/>
          <w:szCs w:val="22"/>
        </w:rPr>
        <w:t>-0002):</w:t>
      </w:r>
    </w:p>
    <w:p w:rsidR="00ED524E" w:rsidRPr="00B3020F" w:rsidP="00200C35" w14:paraId="2EF43DF3" w14:textId="77777777">
      <w:pPr>
        <w:spacing w:after="220"/>
        <w:ind w:left="720" w:right="720"/>
        <w:rPr>
          <w:rFonts w:ascii="Arial" w:hAnsi="Arial" w:cs="Arial"/>
          <w:sz w:val="22"/>
          <w:szCs w:val="22"/>
        </w:rPr>
      </w:pPr>
      <w:r w:rsidRPr="00B3020F">
        <w:rPr>
          <w:rFonts w:ascii="Arial" w:hAnsi="Arial" w:cs="Arial"/>
          <w:sz w:val="22"/>
          <w:szCs w:val="22"/>
        </w:rPr>
        <w:t>Nuclear Safety Functions are: (1) those graduated, risk</w:t>
      </w:r>
      <w:r w:rsidR="00B3020F">
        <w:rPr>
          <w:rFonts w:ascii="Arial" w:hAnsi="Arial" w:cs="Arial"/>
          <w:sz w:val="22"/>
          <w:szCs w:val="22"/>
        </w:rPr>
        <w:t>-</w:t>
      </w:r>
      <w:r w:rsidRPr="00B3020F">
        <w:rPr>
          <w:rFonts w:ascii="Arial" w:hAnsi="Arial" w:cs="Arial"/>
          <w:sz w:val="22"/>
          <w:szCs w:val="22"/>
        </w:rPr>
        <w:t>informed features that directly protect the public from hazardous radiation releases (25 Rem of section 53.210) that may occur as a result of limiting Design Basis Events and Design Basis Accident; and (2) those lesser graduated, risk</w:t>
      </w:r>
      <w:r w:rsidR="00B3020F">
        <w:rPr>
          <w:rFonts w:ascii="Arial" w:hAnsi="Arial" w:cs="Arial"/>
          <w:sz w:val="22"/>
          <w:szCs w:val="22"/>
        </w:rPr>
        <w:t>-</w:t>
      </w:r>
      <w:r w:rsidRPr="00B3020F">
        <w:rPr>
          <w:rFonts w:ascii="Arial" w:hAnsi="Arial" w:cs="Arial"/>
          <w:sz w:val="22"/>
          <w:szCs w:val="22"/>
        </w:rPr>
        <w:t>informed features that support defense-in-depth protection of the public. The Nuclear Safety Functions shall be used in conjunction with development of Nuclear Safety Design Criteria and the accompanying nuclear safety categorization of systems, structures, and components. The applicant is to identify and justify the use of their Nuclear Safety Functions.</w:t>
      </w:r>
    </w:p>
    <w:p w:rsidR="00ED524E" w:rsidRPr="00B3020F" w:rsidP="00200C35" w14:paraId="6AF96F83" w14:textId="77777777">
      <w:pPr>
        <w:spacing w:after="220"/>
        <w:rPr>
          <w:rFonts w:ascii="Arial" w:hAnsi="Arial" w:cs="Arial"/>
          <w:sz w:val="22"/>
          <w:szCs w:val="22"/>
        </w:rPr>
      </w:pPr>
      <w:r w:rsidRPr="00B3020F">
        <w:rPr>
          <w:rFonts w:ascii="Arial" w:hAnsi="Arial" w:cs="Arial"/>
          <w:sz w:val="22"/>
          <w:szCs w:val="22"/>
        </w:rPr>
        <w:t>A commenter wrote that they agreed with another commenter’s proposal to relocate rule text to guidance in order to reduce the level of prescription in the requirements. Specifically, the commenter approved of rewriting 10 CFR 53.230 as follows (</w:t>
      </w:r>
      <w:r w:rsidR="00611CA0">
        <w:rPr>
          <w:rFonts w:ascii="Arial" w:hAnsi="Arial" w:cs="Arial"/>
          <w:sz w:val="22"/>
          <w:szCs w:val="22"/>
        </w:rPr>
        <w:t>RAD</w:t>
      </w:r>
      <w:r w:rsidRPr="00B3020F">
        <w:rPr>
          <w:rFonts w:ascii="Arial" w:hAnsi="Arial" w:cs="Arial"/>
          <w:sz w:val="22"/>
          <w:szCs w:val="22"/>
        </w:rPr>
        <w:t>-0013):</w:t>
      </w:r>
    </w:p>
    <w:p w:rsidR="00ED524E" w:rsidRPr="00B3020F" w:rsidP="00200C35" w14:paraId="7E37E56E" w14:textId="77777777">
      <w:pPr>
        <w:spacing w:after="220"/>
        <w:ind w:left="720" w:right="720"/>
        <w:rPr>
          <w:rFonts w:ascii="Arial" w:hAnsi="Arial" w:cs="Arial"/>
          <w:sz w:val="22"/>
          <w:szCs w:val="22"/>
        </w:rPr>
      </w:pPr>
      <w:r w:rsidRPr="00B3020F">
        <w:rPr>
          <w:rFonts w:ascii="Arial" w:hAnsi="Arial" w:cs="Arial"/>
          <w:sz w:val="22"/>
          <w:szCs w:val="22"/>
        </w:rPr>
        <w:t>(a) The primary safety function is limiting the release of radioactive materials from the facility over the life of the plant.</w:t>
      </w:r>
    </w:p>
    <w:p w:rsidR="00ED524E" w:rsidRPr="00B3020F" w:rsidP="00200C35" w14:paraId="41699C14" w14:textId="77777777">
      <w:pPr>
        <w:spacing w:after="220"/>
        <w:ind w:left="720"/>
        <w:rPr>
          <w:rFonts w:ascii="Arial" w:hAnsi="Arial" w:cs="Arial"/>
          <w:sz w:val="22"/>
          <w:szCs w:val="22"/>
        </w:rPr>
      </w:pPr>
      <w:r w:rsidRPr="00B3020F">
        <w:rPr>
          <w:rFonts w:ascii="Arial" w:hAnsi="Arial" w:cs="Arial"/>
          <w:sz w:val="22"/>
          <w:szCs w:val="22"/>
        </w:rPr>
        <w:t>(b) Safety functions needed to support the retention of radioactive materials--such as controlling reactivity, heat generation, heat removal, and chemical interactions--must be identified for each commercial nuclear plant. </w:t>
      </w:r>
    </w:p>
    <w:p w:rsidR="00ED524E" w:rsidRPr="00B3020F" w:rsidP="00200C35" w14:paraId="0B95937F" w14:textId="77777777">
      <w:pPr>
        <w:spacing w:after="220"/>
        <w:rPr>
          <w:rFonts w:ascii="Arial" w:hAnsi="Arial" w:cs="Arial"/>
          <w:sz w:val="22"/>
          <w:szCs w:val="22"/>
        </w:rPr>
      </w:pPr>
      <w:r w:rsidRPr="00B3020F">
        <w:rPr>
          <w:rFonts w:ascii="Arial" w:hAnsi="Arial" w:cs="Arial"/>
          <w:b/>
          <w:sz w:val="22"/>
          <w:szCs w:val="22"/>
        </w:rPr>
        <w:t>NRC Response:</w:t>
      </w:r>
      <w:r w:rsidRPr="00B3020F">
        <w:rPr>
          <w:rFonts w:ascii="Arial" w:hAnsi="Arial" w:cs="Arial"/>
          <w:sz w:val="22"/>
          <w:szCs w:val="22"/>
        </w:rPr>
        <w:t> The NRC disagrees with the comments.</w:t>
      </w:r>
    </w:p>
    <w:p w:rsidR="00ED524E" w:rsidRPr="00B3020F" w:rsidP="00200C35" w14:paraId="044815A7" w14:textId="77777777">
      <w:pPr>
        <w:spacing w:after="220"/>
        <w:rPr>
          <w:rFonts w:ascii="Arial" w:hAnsi="Arial" w:cs="Arial"/>
          <w:sz w:val="22"/>
          <w:szCs w:val="22"/>
        </w:rPr>
      </w:pPr>
      <w:r w:rsidRPr="00B3020F">
        <w:rPr>
          <w:rFonts w:ascii="Arial" w:hAnsi="Arial" w:cs="Arial"/>
          <w:sz w:val="22"/>
          <w:szCs w:val="22"/>
        </w:rPr>
        <w:t xml:space="preserve">As explained in the proposed and final rules, 10 CFR 53.230 requires safety functions needed to ensure that the safety criteria under 10 CFR 53.210 and </w:t>
      </w:r>
      <w:r w:rsidR="00751F16">
        <w:rPr>
          <w:rFonts w:ascii="Arial" w:hAnsi="Arial" w:cs="Arial"/>
          <w:sz w:val="22"/>
          <w:szCs w:val="22"/>
        </w:rPr>
        <w:t xml:space="preserve">10 CFR </w:t>
      </w:r>
      <w:r w:rsidRPr="00B3020F">
        <w:rPr>
          <w:rFonts w:ascii="Arial" w:hAnsi="Arial" w:cs="Arial"/>
          <w:sz w:val="22"/>
          <w:szCs w:val="22"/>
        </w:rPr>
        <w:t>53.220 can be met if an assumed LBE were to occur at a commercial nuclear plant. Limiting the release of radioactive materials from the facility is identified as the primary safety function to support a technology</w:t>
      </w:r>
      <w:r w:rsidR="00F804EA">
        <w:rPr>
          <w:rFonts w:ascii="Arial" w:hAnsi="Arial" w:cs="Arial"/>
          <w:sz w:val="22"/>
          <w:szCs w:val="22"/>
        </w:rPr>
        <w:noBreakHyphen/>
      </w:r>
      <w:r w:rsidRPr="00B3020F">
        <w:rPr>
          <w:rFonts w:ascii="Arial" w:hAnsi="Arial" w:cs="Arial"/>
          <w:sz w:val="22"/>
          <w:szCs w:val="22"/>
        </w:rPr>
        <w:t xml:space="preserve">inclusive framework since the risks posed by the effects of ionizing radiation </w:t>
      </w:r>
      <w:r w:rsidR="00BB499C">
        <w:rPr>
          <w:rFonts w:ascii="Arial" w:hAnsi="Arial" w:cs="Arial"/>
          <w:sz w:val="22"/>
          <w:szCs w:val="22"/>
        </w:rPr>
        <w:t>are</w:t>
      </w:r>
      <w:r w:rsidRPr="00B3020F" w:rsidR="00BB499C">
        <w:rPr>
          <w:rFonts w:ascii="Arial" w:hAnsi="Arial" w:cs="Arial"/>
          <w:sz w:val="22"/>
          <w:szCs w:val="22"/>
        </w:rPr>
        <w:t xml:space="preserve"> </w:t>
      </w:r>
      <w:r w:rsidRPr="00B3020F">
        <w:rPr>
          <w:rFonts w:ascii="Arial" w:hAnsi="Arial" w:cs="Arial"/>
          <w:sz w:val="22"/>
          <w:szCs w:val="22"/>
        </w:rPr>
        <w:t>the common hazard from any commercial nuclear plant. The identification of limiting the release of radioactive materials as the primary safety function also supports use of estimated doses to hypothetical individuals resulting from licensing</w:t>
      </w:r>
      <w:r w:rsidRPr="00B3020F" w:rsidR="00113FE3">
        <w:rPr>
          <w:rFonts w:ascii="Arial" w:hAnsi="Arial" w:cs="Arial"/>
          <w:sz w:val="22"/>
          <w:szCs w:val="22"/>
        </w:rPr>
        <w:t>-</w:t>
      </w:r>
      <w:r w:rsidRPr="00B3020F">
        <w:rPr>
          <w:rFonts w:ascii="Arial" w:hAnsi="Arial" w:cs="Arial"/>
          <w:sz w:val="22"/>
          <w:szCs w:val="22"/>
        </w:rPr>
        <w:t>basis events as the primary performance metric throughout 10 CFR Part 53. The additional or subsidiary safety functions needed to limit the release of radionuclides may include, without limitation, controlling processes related to reactivity, heat generation, heat removal, and chemical interactions. 10 CFR Part 53 provides flexibility to applicants and licensees in identifying, implementing, and maintaining the safety functions supporting retention of radionuclides for commercial nuclear plants of varying sizes and technologies.</w:t>
      </w:r>
    </w:p>
    <w:p w:rsidR="00ED524E" w:rsidRPr="00B3020F" w:rsidP="00200C35" w14:paraId="5C736914" w14:textId="77777777">
      <w:pPr>
        <w:spacing w:after="220"/>
        <w:rPr>
          <w:rFonts w:ascii="Arial" w:hAnsi="Arial" w:cs="Arial"/>
          <w:sz w:val="22"/>
          <w:szCs w:val="22"/>
        </w:rPr>
      </w:pPr>
      <w:r w:rsidRPr="00B3020F">
        <w:rPr>
          <w:rFonts w:ascii="Arial" w:hAnsi="Arial" w:cs="Arial"/>
          <w:sz w:val="22"/>
          <w:szCs w:val="22"/>
        </w:rPr>
        <w:t>The risk-informed and performance-based framework in 10 CFR Part 53 uses an overall hierarchy that covers: (1) plant-level safety criteria; (2) safety functions needed to demonstrate compliance with the safety criteria; (3) design features, human actions, and programmatic controls needed to fulfill the safety functions; and (4) functional design criteria defined for each design feature relied on to demonstrate the safety criteria are met. This hierarchy is reflected throughout 10 CFR Part 53 and is most obvious in the structure and requirements within Subpart B, which addresses the plant-level safety criteria and safety functions, and Subpart C, which addresses design features and functional design criteria. The sections of 10 CFR</w:t>
      </w:r>
      <w:r w:rsidR="00F804EA">
        <w:rPr>
          <w:rFonts w:ascii="Arial" w:hAnsi="Arial" w:cs="Arial"/>
          <w:sz w:val="22"/>
          <w:szCs w:val="22"/>
        </w:rPr>
        <w:t> </w:t>
      </w:r>
      <w:r w:rsidRPr="00B3020F">
        <w:rPr>
          <w:rFonts w:ascii="Arial" w:hAnsi="Arial" w:cs="Arial"/>
          <w:sz w:val="22"/>
          <w:szCs w:val="22"/>
        </w:rPr>
        <w:t>Part 53 for design features and functional design requirements allow a grading of requirements based on risk insights, safety categorization, and special treatments that will differ between safety-related and non-safety-related but safety</w:t>
      </w:r>
      <w:r w:rsidR="00960478">
        <w:rPr>
          <w:rFonts w:ascii="Arial" w:hAnsi="Arial" w:cs="Arial"/>
          <w:sz w:val="22"/>
          <w:szCs w:val="22"/>
        </w:rPr>
        <w:noBreakHyphen/>
      </w:r>
      <w:r w:rsidRPr="00B3020F">
        <w:rPr>
          <w:rFonts w:ascii="Arial" w:hAnsi="Arial" w:cs="Arial"/>
          <w:sz w:val="22"/>
          <w:szCs w:val="22"/>
        </w:rPr>
        <w:t>significant structures systems and components. 10</w:t>
      </w:r>
      <w:r w:rsidR="00F804EA">
        <w:rPr>
          <w:rFonts w:ascii="Arial" w:hAnsi="Arial" w:cs="Arial"/>
          <w:sz w:val="22"/>
          <w:szCs w:val="22"/>
        </w:rPr>
        <w:t> </w:t>
      </w:r>
      <w:r w:rsidRPr="00B3020F">
        <w:rPr>
          <w:rFonts w:ascii="Arial" w:hAnsi="Arial" w:cs="Arial"/>
          <w:sz w:val="22"/>
          <w:szCs w:val="22"/>
        </w:rPr>
        <w:t>CFR 53.240(c) requires that the safety functions be fulfilled by the design features, human actions, and programmatic controls specified throughout 10</w:t>
      </w:r>
      <w:r w:rsidRPr="00B3020F" w:rsidR="00404BEC">
        <w:rPr>
          <w:rFonts w:ascii="Arial" w:hAnsi="Arial" w:cs="Arial"/>
          <w:sz w:val="22"/>
          <w:szCs w:val="22"/>
        </w:rPr>
        <w:t> </w:t>
      </w:r>
      <w:r w:rsidRPr="00B3020F">
        <w:rPr>
          <w:rFonts w:ascii="Arial" w:hAnsi="Arial" w:cs="Arial"/>
          <w:sz w:val="22"/>
          <w:szCs w:val="22"/>
        </w:rPr>
        <w:t>CFR Part 53, including provisions in Subpart F, “Requirements for Operation,” to maintain the capabilities to fulfill the identified safety functions during plant operations.</w:t>
      </w:r>
    </w:p>
    <w:p w:rsidR="00ED524E" w:rsidRPr="00B3020F" w:rsidP="00200C35" w14:paraId="5293140F" w14:textId="77777777">
      <w:pPr>
        <w:spacing w:after="220"/>
        <w:rPr>
          <w:rFonts w:ascii="Arial" w:hAnsi="Arial" w:cs="Arial"/>
          <w:b/>
          <w:sz w:val="22"/>
          <w:szCs w:val="22"/>
        </w:rPr>
      </w:pPr>
      <w:r w:rsidRPr="00B3020F">
        <w:rPr>
          <w:rFonts w:ascii="Arial" w:hAnsi="Arial" w:cs="Arial"/>
          <w:sz w:val="22"/>
          <w:szCs w:val="22"/>
        </w:rPr>
        <w:t>Accordingly, the NRC did not change the rule language in response to th</w:t>
      </w:r>
      <w:r w:rsidR="00E76697">
        <w:rPr>
          <w:rFonts w:ascii="Arial" w:hAnsi="Arial" w:cs="Arial"/>
          <w:sz w:val="22"/>
          <w:szCs w:val="22"/>
        </w:rPr>
        <w:t>ese</w:t>
      </w:r>
      <w:r w:rsidRPr="00B3020F">
        <w:rPr>
          <w:rFonts w:ascii="Arial" w:hAnsi="Arial" w:cs="Arial"/>
          <w:sz w:val="22"/>
          <w:szCs w:val="22"/>
        </w:rPr>
        <w:t xml:space="preserve"> comment</w:t>
      </w:r>
      <w:r w:rsidR="00E76697">
        <w:rPr>
          <w:rFonts w:ascii="Arial" w:hAnsi="Arial" w:cs="Arial"/>
          <w:sz w:val="22"/>
          <w:szCs w:val="22"/>
        </w:rPr>
        <w:t>s</w:t>
      </w:r>
      <w:r w:rsidRPr="00B3020F">
        <w:rPr>
          <w:rFonts w:ascii="Arial" w:hAnsi="Arial" w:cs="Arial"/>
          <w:sz w:val="22"/>
          <w:szCs w:val="22"/>
        </w:rPr>
        <w:t>.</w:t>
      </w:r>
    </w:p>
    <w:p w:rsidR="000E5B49" w:rsidRPr="00B3020F" w:rsidP="00200C35" w14:paraId="6F755D96" w14:textId="77777777">
      <w:pPr>
        <w:spacing w:after="220"/>
        <w:rPr>
          <w:rFonts w:ascii="Arial" w:hAnsi="Arial" w:cs="Arial"/>
          <w:sz w:val="22"/>
          <w:szCs w:val="22"/>
        </w:rPr>
      </w:pPr>
      <w:r>
        <w:rPr>
          <w:rFonts w:ascii="Arial" w:hAnsi="Arial" w:cs="Arial"/>
          <w:sz w:val="22"/>
          <w:szCs w:val="22"/>
        </w:rPr>
        <w:pict>
          <v:rect id="_x0000_i1097" style="width:0;height:1.5pt" o:hralign="center" o:hrstd="t" o:hrnoshade="t" o:hr="t" fillcolor="black" stroked="f"/>
        </w:pict>
      </w:r>
    </w:p>
    <w:p w:rsidR="005A75E0" w:rsidRPr="00DB06ED" w:rsidP="00DB06ED" w14:paraId="0494310B" w14:textId="77777777">
      <w:pPr>
        <w:spacing w:after="220"/>
        <w:rPr>
          <w:rFonts w:ascii="Arial" w:hAnsi="Arial" w:cs="Arial"/>
          <w:sz w:val="22"/>
          <w:szCs w:val="22"/>
        </w:rPr>
      </w:pPr>
      <w:r w:rsidRPr="00DB06ED">
        <w:rPr>
          <w:rFonts w:ascii="Arial" w:hAnsi="Arial" w:cs="Arial"/>
          <w:b/>
          <w:sz w:val="22"/>
          <w:szCs w:val="22"/>
        </w:rPr>
        <w:t xml:space="preserve">Comment Bin 3.2.4.B: </w:t>
      </w:r>
      <w:r w:rsidRPr="00DB06ED">
        <w:rPr>
          <w:rFonts w:ascii="Arial" w:hAnsi="Arial" w:cs="Arial"/>
          <w:sz w:val="22"/>
          <w:szCs w:val="22"/>
        </w:rPr>
        <w:t xml:space="preserve">A commenter recommended that the NRC replace the use of “LBEs other than DBAs” with “LBEs” throughout </w:t>
      </w:r>
      <w:r w:rsidRPr="00DB06ED" w:rsidR="00B64FDC">
        <w:rPr>
          <w:rFonts w:ascii="Arial" w:hAnsi="Arial" w:cs="Arial"/>
          <w:sz w:val="22"/>
          <w:szCs w:val="22"/>
        </w:rPr>
        <w:t xml:space="preserve">10 CFR </w:t>
      </w:r>
      <w:r w:rsidRPr="00DB06ED">
        <w:rPr>
          <w:rFonts w:ascii="Arial" w:hAnsi="Arial" w:cs="Arial"/>
          <w:sz w:val="22"/>
          <w:szCs w:val="22"/>
        </w:rPr>
        <w:t xml:space="preserve">Part 53, asserting that the phrase </w:t>
      </w:r>
      <w:r w:rsidRPr="00DB06ED" w:rsidR="009B13C1">
        <w:rPr>
          <w:rFonts w:ascii="Arial" w:hAnsi="Arial" w:cs="Arial"/>
          <w:sz w:val="22"/>
          <w:szCs w:val="22"/>
        </w:rPr>
        <w:t xml:space="preserve">“LBEs other than DBAs” </w:t>
      </w:r>
      <w:r w:rsidRPr="00DB06ED">
        <w:rPr>
          <w:rFonts w:ascii="Arial" w:hAnsi="Arial" w:cs="Arial"/>
          <w:sz w:val="22"/>
          <w:szCs w:val="22"/>
        </w:rPr>
        <w:t xml:space="preserve">could </w:t>
      </w:r>
      <w:r w:rsidRPr="00DB06ED" w:rsidR="008C3352">
        <w:rPr>
          <w:rFonts w:ascii="Arial" w:hAnsi="Arial" w:cs="Arial"/>
          <w:sz w:val="22"/>
          <w:szCs w:val="22"/>
        </w:rPr>
        <w:t>create</w:t>
      </w:r>
      <w:r w:rsidRPr="00DB06ED">
        <w:rPr>
          <w:rFonts w:ascii="Arial" w:hAnsi="Arial" w:cs="Arial"/>
          <w:sz w:val="22"/>
          <w:szCs w:val="22"/>
        </w:rPr>
        <w:t xml:space="preserve"> confusion</w:t>
      </w:r>
      <w:r w:rsidRPr="00DB06ED" w:rsidR="005A5C6F">
        <w:rPr>
          <w:rFonts w:ascii="Arial" w:hAnsi="Arial" w:cs="Arial"/>
          <w:sz w:val="22"/>
          <w:szCs w:val="22"/>
        </w:rPr>
        <w:t>.</w:t>
      </w:r>
      <w:r w:rsidRPr="00DB06ED">
        <w:rPr>
          <w:rFonts w:ascii="Arial" w:hAnsi="Arial" w:cs="Arial"/>
          <w:sz w:val="22"/>
          <w:szCs w:val="22"/>
        </w:rPr>
        <w:t xml:space="preserve"> </w:t>
      </w:r>
      <w:r w:rsidRPr="00DB06ED" w:rsidR="005A5C6F">
        <w:rPr>
          <w:rFonts w:ascii="Arial" w:hAnsi="Arial" w:cs="Arial"/>
          <w:sz w:val="22"/>
          <w:szCs w:val="22"/>
        </w:rPr>
        <w:t>The commenter argued</w:t>
      </w:r>
      <w:r w:rsidRPr="00DB06ED" w:rsidR="00082D8E">
        <w:rPr>
          <w:rFonts w:ascii="Arial" w:hAnsi="Arial" w:cs="Arial"/>
          <w:sz w:val="22"/>
          <w:szCs w:val="22"/>
        </w:rPr>
        <w:t xml:space="preserve"> that</w:t>
      </w:r>
      <w:r w:rsidRPr="00DB06ED" w:rsidR="005631F0">
        <w:rPr>
          <w:rFonts w:ascii="Arial" w:hAnsi="Arial" w:cs="Arial"/>
          <w:sz w:val="22"/>
          <w:szCs w:val="22"/>
        </w:rPr>
        <w:t xml:space="preserve"> replacing </w:t>
      </w:r>
      <w:r w:rsidRPr="00DB06ED" w:rsidR="00082D8E">
        <w:rPr>
          <w:rFonts w:ascii="Arial" w:hAnsi="Arial" w:cs="Arial"/>
          <w:sz w:val="22"/>
          <w:szCs w:val="22"/>
        </w:rPr>
        <w:t>the phrase would</w:t>
      </w:r>
      <w:r w:rsidRPr="00DB06ED" w:rsidR="005631F0">
        <w:rPr>
          <w:rFonts w:ascii="Arial" w:hAnsi="Arial" w:cs="Arial"/>
          <w:sz w:val="22"/>
          <w:szCs w:val="22"/>
        </w:rPr>
        <w:t xml:space="preserve"> not change the intent of the regulation</w:t>
      </w:r>
      <w:r w:rsidRPr="00DB06ED" w:rsidR="005A5C6F">
        <w:rPr>
          <w:rFonts w:ascii="Arial" w:hAnsi="Arial" w:cs="Arial"/>
          <w:sz w:val="22"/>
          <w:szCs w:val="22"/>
        </w:rPr>
        <w:t>,</w:t>
      </w:r>
      <w:r w:rsidRPr="00DB06ED" w:rsidR="005631F0">
        <w:rPr>
          <w:rFonts w:ascii="Arial" w:hAnsi="Arial" w:cs="Arial"/>
          <w:sz w:val="22"/>
          <w:szCs w:val="22"/>
        </w:rPr>
        <w:t xml:space="preserve"> and supporting guidance can provide clarity in the LBEs requiring assessment. </w:t>
      </w:r>
    </w:p>
    <w:p w:rsidR="009442EF" w:rsidRPr="00DB06ED" w:rsidP="00DB06ED" w14:paraId="442A15B0" w14:textId="77777777">
      <w:pPr>
        <w:spacing w:after="220"/>
        <w:rPr>
          <w:rFonts w:ascii="Arial" w:hAnsi="Arial" w:cs="Arial"/>
          <w:sz w:val="22"/>
          <w:szCs w:val="22"/>
        </w:rPr>
      </w:pPr>
      <w:r w:rsidRPr="00DB06ED">
        <w:rPr>
          <w:rFonts w:ascii="Arial" w:hAnsi="Arial" w:cs="Arial"/>
          <w:sz w:val="22"/>
          <w:szCs w:val="22"/>
        </w:rPr>
        <w:t>Specifically, the comm</w:t>
      </w:r>
      <w:r w:rsidRPr="00DB06ED" w:rsidR="00E20FB9">
        <w:rPr>
          <w:rFonts w:ascii="Arial" w:hAnsi="Arial" w:cs="Arial"/>
          <w:sz w:val="22"/>
          <w:szCs w:val="22"/>
        </w:rPr>
        <w:t>enter wrote that for</w:t>
      </w:r>
      <w:r w:rsidRPr="00DB06ED" w:rsidR="00ED524E">
        <w:rPr>
          <w:rFonts w:ascii="Arial" w:hAnsi="Arial" w:cs="Arial"/>
          <w:sz w:val="22"/>
          <w:szCs w:val="22"/>
        </w:rPr>
        <w:t xml:space="preserve"> 10</w:t>
      </w:r>
      <w:r w:rsidR="009726E5">
        <w:rPr>
          <w:rFonts w:ascii="Arial" w:hAnsi="Arial" w:cs="Arial"/>
          <w:sz w:val="22"/>
          <w:szCs w:val="22"/>
        </w:rPr>
        <w:t> </w:t>
      </w:r>
      <w:r w:rsidRPr="00DB06ED" w:rsidR="00ED524E">
        <w:rPr>
          <w:rFonts w:ascii="Arial" w:hAnsi="Arial" w:cs="Arial"/>
          <w:sz w:val="22"/>
          <w:szCs w:val="22"/>
        </w:rPr>
        <w:t>CFR</w:t>
      </w:r>
      <w:r w:rsidR="009726E5">
        <w:rPr>
          <w:rFonts w:ascii="Arial" w:hAnsi="Arial" w:cs="Arial"/>
          <w:sz w:val="22"/>
          <w:szCs w:val="22"/>
        </w:rPr>
        <w:t> </w:t>
      </w:r>
      <w:r w:rsidRPr="00DB06ED" w:rsidR="00ED524E">
        <w:rPr>
          <w:rFonts w:ascii="Arial" w:hAnsi="Arial" w:cs="Arial"/>
          <w:sz w:val="22"/>
          <w:szCs w:val="22"/>
        </w:rPr>
        <w:t xml:space="preserve">53.220 and </w:t>
      </w:r>
      <w:r w:rsidRPr="00DB06ED" w:rsidR="00250CCE">
        <w:rPr>
          <w:rFonts w:ascii="Arial" w:hAnsi="Arial" w:cs="Arial"/>
          <w:sz w:val="22"/>
          <w:szCs w:val="22"/>
        </w:rPr>
        <w:t>10 CFR </w:t>
      </w:r>
      <w:r w:rsidRPr="00DB06ED" w:rsidR="00ED524E">
        <w:rPr>
          <w:rFonts w:ascii="Arial" w:hAnsi="Arial" w:cs="Arial"/>
          <w:sz w:val="22"/>
          <w:szCs w:val="22"/>
        </w:rPr>
        <w:t>53.250, RG</w:t>
      </w:r>
      <w:r w:rsidR="00F804EA">
        <w:rPr>
          <w:rFonts w:ascii="Arial" w:hAnsi="Arial" w:cs="Arial"/>
          <w:sz w:val="22"/>
          <w:szCs w:val="22"/>
        </w:rPr>
        <w:t> </w:t>
      </w:r>
      <w:r w:rsidRPr="00DB06ED" w:rsidR="00ED524E">
        <w:rPr>
          <w:rFonts w:ascii="Arial" w:hAnsi="Arial" w:cs="Arial"/>
          <w:sz w:val="22"/>
          <w:szCs w:val="22"/>
        </w:rPr>
        <w:t xml:space="preserve">1.233 holistically accounts for both DBAs and non-DBA LBEs. </w:t>
      </w:r>
      <w:r w:rsidRPr="00DB06ED" w:rsidR="00B81D9C">
        <w:rPr>
          <w:rFonts w:ascii="Arial" w:hAnsi="Arial" w:cs="Arial"/>
          <w:sz w:val="22"/>
          <w:szCs w:val="22"/>
        </w:rPr>
        <w:t>For</w:t>
      </w:r>
      <w:r w:rsidRPr="00DB06ED" w:rsidR="00ED524E">
        <w:rPr>
          <w:rFonts w:ascii="Arial" w:hAnsi="Arial" w:cs="Arial"/>
          <w:sz w:val="22"/>
          <w:szCs w:val="22"/>
        </w:rPr>
        <w:t xml:space="preserve"> 10</w:t>
      </w:r>
      <w:r w:rsidRPr="00DB06ED" w:rsidR="00F21B57">
        <w:rPr>
          <w:rFonts w:ascii="Arial" w:hAnsi="Arial" w:cs="Arial"/>
          <w:sz w:val="22"/>
          <w:szCs w:val="22"/>
        </w:rPr>
        <w:t> </w:t>
      </w:r>
      <w:r w:rsidRPr="00DB06ED" w:rsidR="00ED524E">
        <w:rPr>
          <w:rFonts w:ascii="Arial" w:hAnsi="Arial" w:cs="Arial"/>
          <w:sz w:val="22"/>
          <w:szCs w:val="22"/>
        </w:rPr>
        <w:t>CFR</w:t>
      </w:r>
      <w:r w:rsidRPr="00DB06ED" w:rsidR="00F21B57">
        <w:rPr>
          <w:rFonts w:ascii="Arial" w:hAnsi="Arial" w:cs="Arial"/>
          <w:sz w:val="22"/>
          <w:szCs w:val="22"/>
        </w:rPr>
        <w:t> </w:t>
      </w:r>
      <w:r w:rsidRPr="00DB06ED" w:rsidR="00ED524E">
        <w:rPr>
          <w:rFonts w:ascii="Arial" w:hAnsi="Arial" w:cs="Arial"/>
          <w:sz w:val="22"/>
          <w:szCs w:val="22"/>
        </w:rPr>
        <w:t xml:space="preserve">53.220(b), the commenter </w:t>
      </w:r>
      <w:r w:rsidRPr="00DB06ED" w:rsidR="00353ECC">
        <w:rPr>
          <w:rFonts w:ascii="Arial" w:hAnsi="Arial" w:cs="Arial"/>
          <w:sz w:val="22"/>
          <w:szCs w:val="22"/>
        </w:rPr>
        <w:t xml:space="preserve">wrote that </w:t>
      </w:r>
      <w:r w:rsidRPr="00DB06ED" w:rsidR="002A2033">
        <w:rPr>
          <w:rFonts w:ascii="Arial" w:hAnsi="Arial" w:cs="Arial"/>
          <w:sz w:val="22"/>
          <w:szCs w:val="22"/>
        </w:rPr>
        <w:t xml:space="preserve">the </w:t>
      </w:r>
      <w:r w:rsidR="006C1500">
        <w:rPr>
          <w:rFonts w:ascii="Arial" w:hAnsi="Arial" w:cs="Arial"/>
          <w:sz w:val="22"/>
          <w:szCs w:val="22"/>
        </w:rPr>
        <w:t>d</w:t>
      </w:r>
      <w:r w:rsidRPr="00DB06ED" w:rsidR="002A2033">
        <w:rPr>
          <w:rFonts w:ascii="Arial" w:hAnsi="Arial" w:cs="Arial"/>
          <w:sz w:val="22"/>
          <w:szCs w:val="22"/>
        </w:rPr>
        <w:t>esig</w:t>
      </w:r>
      <w:r w:rsidR="006C1500">
        <w:rPr>
          <w:rFonts w:ascii="Arial" w:hAnsi="Arial" w:cs="Arial"/>
          <w:sz w:val="22"/>
          <w:szCs w:val="22"/>
        </w:rPr>
        <w:t>n-b</w:t>
      </w:r>
      <w:r w:rsidRPr="00DB06ED" w:rsidR="002A2033">
        <w:rPr>
          <w:rFonts w:ascii="Arial" w:hAnsi="Arial" w:cs="Arial"/>
          <w:sz w:val="22"/>
          <w:szCs w:val="22"/>
        </w:rPr>
        <w:t xml:space="preserve">asis </w:t>
      </w:r>
      <w:r w:rsidR="006C1500">
        <w:rPr>
          <w:rFonts w:ascii="Arial" w:hAnsi="Arial" w:cs="Arial"/>
          <w:sz w:val="22"/>
          <w:szCs w:val="22"/>
        </w:rPr>
        <w:t>e</w:t>
      </w:r>
      <w:r w:rsidRPr="00DB06ED" w:rsidR="002A2033">
        <w:rPr>
          <w:rFonts w:ascii="Arial" w:hAnsi="Arial" w:cs="Arial"/>
          <w:sz w:val="22"/>
          <w:szCs w:val="22"/>
        </w:rPr>
        <w:t xml:space="preserve">xternal </w:t>
      </w:r>
      <w:r w:rsidR="006C1500">
        <w:rPr>
          <w:rFonts w:ascii="Arial" w:hAnsi="Arial" w:cs="Arial"/>
          <w:sz w:val="22"/>
          <w:szCs w:val="22"/>
        </w:rPr>
        <w:t>h</w:t>
      </w:r>
      <w:r w:rsidRPr="00DB06ED" w:rsidR="002A2033">
        <w:rPr>
          <w:rFonts w:ascii="Arial" w:hAnsi="Arial" w:cs="Arial"/>
          <w:sz w:val="22"/>
          <w:szCs w:val="22"/>
        </w:rPr>
        <w:t xml:space="preserve">azard </w:t>
      </w:r>
      <w:r w:rsidR="006C1500">
        <w:rPr>
          <w:rFonts w:ascii="Arial" w:hAnsi="Arial" w:cs="Arial"/>
          <w:sz w:val="22"/>
          <w:szCs w:val="22"/>
        </w:rPr>
        <w:t>l</w:t>
      </w:r>
      <w:r w:rsidRPr="00DB06ED" w:rsidR="002A2033">
        <w:rPr>
          <w:rFonts w:ascii="Arial" w:hAnsi="Arial" w:cs="Arial"/>
          <w:sz w:val="22"/>
          <w:szCs w:val="22"/>
        </w:rPr>
        <w:t>evel (DBEHL) concept ensures that risk of a set consequence remains below a certain frequency. The commenter</w:t>
      </w:r>
      <w:r w:rsidRPr="00DB06ED" w:rsidR="00ED524E">
        <w:rPr>
          <w:rFonts w:ascii="Arial" w:hAnsi="Arial" w:cs="Arial"/>
          <w:sz w:val="22"/>
          <w:szCs w:val="22"/>
        </w:rPr>
        <w:t xml:space="preserve"> </w:t>
      </w:r>
      <w:r w:rsidRPr="00DB06ED" w:rsidR="00ED353E">
        <w:rPr>
          <w:rFonts w:ascii="Arial" w:hAnsi="Arial" w:cs="Arial"/>
          <w:sz w:val="22"/>
          <w:szCs w:val="22"/>
        </w:rPr>
        <w:t>also</w:t>
      </w:r>
      <w:r w:rsidRPr="00DB06ED" w:rsidR="00ED524E">
        <w:rPr>
          <w:rFonts w:ascii="Arial" w:hAnsi="Arial" w:cs="Arial"/>
          <w:sz w:val="22"/>
          <w:szCs w:val="22"/>
        </w:rPr>
        <w:t xml:space="preserve"> recommended that </w:t>
      </w:r>
      <w:r w:rsidRPr="00DB06ED" w:rsidR="009034D3">
        <w:rPr>
          <w:rFonts w:ascii="Arial" w:hAnsi="Arial" w:cs="Arial"/>
          <w:sz w:val="22"/>
          <w:szCs w:val="22"/>
        </w:rPr>
        <w:t>10</w:t>
      </w:r>
      <w:r w:rsidRPr="00DB06ED" w:rsidR="00E818F9">
        <w:rPr>
          <w:rFonts w:ascii="Arial" w:hAnsi="Arial" w:cs="Arial"/>
          <w:sz w:val="22"/>
          <w:szCs w:val="22"/>
        </w:rPr>
        <w:t> </w:t>
      </w:r>
      <w:r w:rsidRPr="00DB06ED" w:rsidR="009034D3">
        <w:rPr>
          <w:rFonts w:ascii="Arial" w:hAnsi="Arial" w:cs="Arial"/>
          <w:sz w:val="22"/>
          <w:szCs w:val="22"/>
        </w:rPr>
        <w:t>CFR</w:t>
      </w:r>
      <w:r w:rsidRPr="00DB06ED" w:rsidR="00E818F9">
        <w:rPr>
          <w:rFonts w:ascii="Arial" w:hAnsi="Arial" w:cs="Arial"/>
          <w:sz w:val="22"/>
          <w:szCs w:val="22"/>
        </w:rPr>
        <w:t> </w:t>
      </w:r>
      <w:r w:rsidRPr="00DB06ED" w:rsidR="00ED524E">
        <w:rPr>
          <w:rFonts w:ascii="Arial" w:hAnsi="Arial" w:cs="Arial"/>
          <w:sz w:val="22"/>
          <w:szCs w:val="22"/>
        </w:rPr>
        <w:t>Part 53 use the NEI 21-07</w:t>
      </w:r>
      <w:r w:rsidR="009D326B">
        <w:rPr>
          <w:rFonts w:ascii="Arial" w:hAnsi="Arial" w:cs="Arial"/>
          <w:sz w:val="22"/>
          <w:szCs w:val="22"/>
        </w:rPr>
        <w:t xml:space="preserve">, </w:t>
      </w:r>
      <w:r w:rsidRPr="009D326B" w:rsidR="009D326B">
        <w:rPr>
          <w:rFonts w:ascii="Arial" w:hAnsi="Arial" w:cs="Arial"/>
          <w:sz w:val="22"/>
          <w:szCs w:val="22"/>
        </w:rPr>
        <w:t>“Technology Inclusive Guidance for Non-Light Water Reactors, Safety Analysis Report Content</w:t>
      </w:r>
      <w:r w:rsidR="00E20674">
        <w:rPr>
          <w:rFonts w:ascii="Arial" w:hAnsi="Arial" w:cs="Arial"/>
          <w:sz w:val="22"/>
          <w:szCs w:val="22"/>
        </w:rPr>
        <w:t xml:space="preserve"> f</w:t>
      </w:r>
      <w:r w:rsidRPr="009D326B" w:rsidR="009D326B">
        <w:rPr>
          <w:rFonts w:ascii="Arial" w:hAnsi="Arial" w:cs="Arial"/>
          <w:sz w:val="22"/>
          <w:szCs w:val="22"/>
        </w:rPr>
        <w:t>or Applicants Using the NEI 18-04 Methodology” issued February 2022</w:t>
      </w:r>
      <w:r w:rsidR="00886455">
        <w:rPr>
          <w:rFonts w:ascii="Arial" w:hAnsi="Arial" w:cs="Arial"/>
          <w:sz w:val="22"/>
          <w:szCs w:val="22"/>
        </w:rPr>
        <w:t>,</w:t>
      </w:r>
      <w:r w:rsidRPr="00DB06ED" w:rsidR="00ED524E">
        <w:rPr>
          <w:rFonts w:ascii="Arial" w:hAnsi="Arial" w:cs="Arial"/>
          <w:sz w:val="22"/>
          <w:szCs w:val="22"/>
        </w:rPr>
        <w:t xml:space="preserve"> </w:t>
      </w:r>
      <w:r w:rsidR="006C1500">
        <w:rPr>
          <w:rFonts w:ascii="Arial" w:hAnsi="Arial" w:cs="Arial"/>
          <w:sz w:val="22"/>
          <w:szCs w:val="22"/>
        </w:rPr>
        <w:t>d</w:t>
      </w:r>
      <w:r w:rsidRPr="00DB06ED" w:rsidR="00ED524E">
        <w:rPr>
          <w:rFonts w:ascii="Arial" w:hAnsi="Arial" w:cs="Arial"/>
          <w:sz w:val="22"/>
          <w:szCs w:val="22"/>
        </w:rPr>
        <w:t>esign</w:t>
      </w:r>
      <w:r w:rsidR="006C1500">
        <w:rPr>
          <w:rFonts w:ascii="Arial" w:hAnsi="Arial" w:cs="Arial"/>
          <w:sz w:val="22"/>
          <w:szCs w:val="22"/>
        </w:rPr>
        <w:t>-b</w:t>
      </w:r>
      <w:r w:rsidRPr="00DB06ED" w:rsidR="00ED524E">
        <w:rPr>
          <w:rFonts w:ascii="Arial" w:hAnsi="Arial" w:cs="Arial"/>
          <w:sz w:val="22"/>
          <w:szCs w:val="22"/>
        </w:rPr>
        <w:t xml:space="preserve">asis </w:t>
      </w:r>
      <w:r w:rsidR="006C1500">
        <w:rPr>
          <w:rFonts w:ascii="Arial" w:hAnsi="Arial" w:cs="Arial"/>
          <w:sz w:val="22"/>
          <w:szCs w:val="22"/>
        </w:rPr>
        <w:t>h</w:t>
      </w:r>
      <w:r w:rsidRPr="00DB06ED" w:rsidR="00ED524E">
        <w:rPr>
          <w:rFonts w:ascii="Arial" w:hAnsi="Arial" w:cs="Arial"/>
          <w:sz w:val="22"/>
          <w:szCs w:val="22"/>
        </w:rPr>
        <w:t xml:space="preserve">azard </w:t>
      </w:r>
      <w:r w:rsidR="006C1500">
        <w:rPr>
          <w:rFonts w:ascii="Arial" w:hAnsi="Arial" w:cs="Arial"/>
          <w:sz w:val="22"/>
          <w:szCs w:val="22"/>
        </w:rPr>
        <w:t>l</w:t>
      </w:r>
      <w:r w:rsidRPr="00DB06ED" w:rsidR="00ED524E">
        <w:rPr>
          <w:rFonts w:ascii="Arial" w:hAnsi="Arial" w:cs="Arial"/>
          <w:sz w:val="22"/>
          <w:szCs w:val="22"/>
        </w:rPr>
        <w:t xml:space="preserve">evels (DBHLs) </w:t>
      </w:r>
      <w:r w:rsidRPr="00DB06ED" w:rsidR="00452E6C">
        <w:rPr>
          <w:rFonts w:ascii="Arial" w:hAnsi="Arial" w:cs="Arial"/>
          <w:sz w:val="22"/>
          <w:szCs w:val="22"/>
        </w:rPr>
        <w:t>concept</w:t>
      </w:r>
      <w:r w:rsidRPr="00DB06ED" w:rsidR="00ED524E">
        <w:rPr>
          <w:rFonts w:ascii="Arial" w:hAnsi="Arial" w:cs="Arial"/>
          <w:sz w:val="22"/>
          <w:szCs w:val="22"/>
        </w:rPr>
        <w:t xml:space="preserve"> instead of DBEHLs or clarify when requirements apply to either. </w:t>
      </w:r>
      <w:r w:rsidRPr="00DB06ED" w:rsidR="00A80579">
        <w:rPr>
          <w:rFonts w:ascii="Arial" w:hAnsi="Arial" w:cs="Arial"/>
          <w:sz w:val="22"/>
          <w:szCs w:val="22"/>
        </w:rPr>
        <w:t xml:space="preserve">For </w:t>
      </w:r>
      <w:r w:rsidRPr="00DB06ED" w:rsidR="00E72E99">
        <w:rPr>
          <w:rFonts w:ascii="Arial" w:hAnsi="Arial" w:cs="Arial"/>
          <w:sz w:val="22"/>
          <w:szCs w:val="22"/>
        </w:rPr>
        <w:t>10</w:t>
      </w:r>
      <w:r w:rsidRPr="00DB06ED" w:rsidR="00E818F9">
        <w:rPr>
          <w:rFonts w:ascii="Arial" w:hAnsi="Arial" w:cs="Arial"/>
          <w:sz w:val="22"/>
          <w:szCs w:val="22"/>
        </w:rPr>
        <w:t> </w:t>
      </w:r>
      <w:r w:rsidRPr="00DB06ED" w:rsidR="00E72E99">
        <w:rPr>
          <w:rFonts w:ascii="Arial" w:hAnsi="Arial" w:cs="Arial"/>
          <w:sz w:val="22"/>
          <w:szCs w:val="22"/>
        </w:rPr>
        <w:t>CFR 53.240, t</w:t>
      </w:r>
      <w:r w:rsidRPr="00DB06ED" w:rsidR="005470C2">
        <w:rPr>
          <w:rFonts w:ascii="Arial" w:hAnsi="Arial" w:cs="Arial"/>
          <w:sz w:val="22"/>
          <w:szCs w:val="22"/>
        </w:rPr>
        <w:t xml:space="preserve">he commenter </w:t>
      </w:r>
      <w:r w:rsidRPr="00DB06ED" w:rsidR="00E72E99">
        <w:rPr>
          <w:rFonts w:ascii="Arial" w:hAnsi="Arial" w:cs="Arial"/>
          <w:sz w:val="22"/>
          <w:szCs w:val="22"/>
        </w:rPr>
        <w:t>wrote that</w:t>
      </w:r>
      <w:r w:rsidRPr="00DB06ED" w:rsidR="005470C2">
        <w:rPr>
          <w:rFonts w:ascii="Arial" w:hAnsi="Arial" w:cs="Arial"/>
          <w:sz w:val="22"/>
          <w:szCs w:val="22"/>
        </w:rPr>
        <w:t xml:space="preserve"> </w:t>
      </w:r>
      <w:r w:rsidRPr="00DB06ED" w:rsidR="000F3DA5">
        <w:rPr>
          <w:rFonts w:ascii="Arial" w:hAnsi="Arial" w:cs="Arial"/>
          <w:sz w:val="22"/>
          <w:szCs w:val="22"/>
        </w:rPr>
        <w:t xml:space="preserve">DBAs and </w:t>
      </w:r>
      <w:r w:rsidRPr="00DB06ED" w:rsidR="00D62F93">
        <w:rPr>
          <w:rFonts w:ascii="Arial" w:hAnsi="Arial" w:cs="Arial"/>
          <w:sz w:val="22"/>
          <w:szCs w:val="22"/>
        </w:rPr>
        <w:t>other LBEs</w:t>
      </w:r>
      <w:r w:rsidRPr="00DB06ED" w:rsidR="00A760C1">
        <w:rPr>
          <w:rFonts w:ascii="Arial" w:hAnsi="Arial" w:cs="Arial"/>
          <w:sz w:val="22"/>
          <w:szCs w:val="22"/>
        </w:rPr>
        <w:t>, informed by general design criteria (GDC) can</w:t>
      </w:r>
      <w:r w:rsidRPr="00DB06ED" w:rsidR="003C45ED">
        <w:rPr>
          <w:rFonts w:ascii="Arial" w:hAnsi="Arial" w:cs="Arial"/>
          <w:sz w:val="22"/>
          <w:szCs w:val="22"/>
        </w:rPr>
        <w:t xml:space="preserve"> establish</w:t>
      </w:r>
      <w:r w:rsidRPr="00DB06ED" w:rsidR="00D62F93">
        <w:rPr>
          <w:rFonts w:ascii="Arial" w:hAnsi="Arial" w:cs="Arial"/>
          <w:sz w:val="22"/>
          <w:szCs w:val="22"/>
        </w:rPr>
        <w:t xml:space="preserve"> the safety criteria in 10</w:t>
      </w:r>
      <w:r w:rsidRPr="00DB06ED" w:rsidR="002E31FE">
        <w:rPr>
          <w:rFonts w:ascii="Arial" w:hAnsi="Arial" w:cs="Arial"/>
          <w:sz w:val="22"/>
          <w:szCs w:val="22"/>
        </w:rPr>
        <w:t> </w:t>
      </w:r>
      <w:r w:rsidRPr="00DB06ED" w:rsidR="00D62F93">
        <w:rPr>
          <w:rFonts w:ascii="Arial" w:hAnsi="Arial" w:cs="Arial"/>
          <w:sz w:val="22"/>
          <w:szCs w:val="22"/>
        </w:rPr>
        <w:t>CFR</w:t>
      </w:r>
      <w:r w:rsidRPr="00DB06ED" w:rsidR="002E31FE">
        <w:rPr>
          <w:rFonts w:ascii="Arial" w:hAnsi="Arial" w:cs="Arial"/>
          <w:sz w:val="22"/>
          <w:szCs w:val="22"/>
        </w:rPr>
        <w:t> </w:t>
      </w:r>
      <w:r w:rsidRPr="00DB06ED" w:rsidR="00D62F93">
        <w:rPr>
          <w:rFonts w:ascii="Arial" w:hAnsi="Arial" w:cs="Arial"/>
          <w:sz w:val="22"/>
          <w:szCs w:val="22"/>
        </w:rPr>
        <w:t>53.420</w:t>
      </w:r>
      <w:r w:rsidRPr="00DB06ED">
        <w:rPr>
          <w:rFonts w:ascii="Arial" w:hAnsi="Arial" w:cs="Arial"/>
          <w:sz w:val="22"/>
          <w:szCs w:val="22"/>
        </w:rPr>
        <w:t xml:space="preserve">. </w:t>
      </w:r>
      <w:r w:rsidRPr="00DB06ED" w:rsidR="002D5B4F">
        <w:rPr>
          <w:rFonts w:ascii="Arial" w:hAnsi="Arial" w:cs="Arial"/>
          <w:sz w:val="22"/>
          <w:szCs w:val="22"/>
        </w:rPr>
        <w:t>For</w:t>
      </w:r>
      <w:r w:rsidRPr="00DB06ED">
        <w:rPr>
          <w:rFonts w:ascii="Arial" w:hAnsi="Arial" w:cs="Arial"/>
          <w:sz w:val="22"/>
          <w:szCs w:val="22"/>
        </w:rPr>
        <w:t xml:space="preserve"> 10 CFR 53.450(e)(1)</w:t>
      </w:r>
      <w:r w:rsidRPr="00DB06ED" w:rsidR="002D5B4F">
        <w:rPr>
          <w:rFonts w:ascii="Arial" w:hAnsi="Arial" w:cs="Arial"/>
          <w:sz w:val="22"/>
          <w:szCs w:val="22"/>
        </w:rPr>
        <w:t>,</w:t>
      </w:r>
      <w:r w:rsidRPr="00DB06ED" w:rsidR="00BE1647">
        <w:rPr>
          <w:rFonts w:ascii="Arial" w:hAnsi="Arial" w:cs="Arial"/>
          <w:sz w:val="22"/>
          <w:szCs w:val="22"/>
        </w:rPr>
        <w:t xml:space="preserve"> the commenter wrote</w:t>
      </w:r>
      <w:r w:rsidRPr="00DB06ED" w:rsidR="00CC237C">
        <w:rPr>
          <w:rFonts w:ascii="Arial" w:hAnsi="Arial" w:cs="Arial"/>
          <w:sz w:val="22"/>
          <w:szCs w:val="22"/>
        </w:rPr>
        <w:t xml:space="preserve"> “other generally accepted approaches for systematically evaluating engineered systems”</w:t>
      </w:r>
      <w:r w:rsidRPr="00DB06ED" w:rsidR="00BE1647">
        <w:rPr>
          <w:rFonts w:ascii="Arial" w:hAnsi="Arial" w:cs="Arial"/>
          <w:sz w:val="22"/>
          <w:szCs w:val="22"/>
        </w:rPr>
        <w:t xml:space="preserve"> </w:t>
      </w:r>
      <w:r w:rsidRPr="00DB06ED">
        <w:rPr>
          <w:rFonts w:ascii="Arial" w:hAnsi="Arial" w:cs="Arial"/>
          <w:sz w:val="22"/>
          <w:szCs w:val="22"/>
        </w:rPr>
        <w:t>should allow for traditional DBA approaches to systematic evaluations</w:t>
      </w:r>
      <w:r w:rsidRPr="00DB06ED" w:rsidR="008935AF">
        <w:rPr>
          <w:rFonts w:ascii="Arial" w:hAnsi="Arial" w:cs="Arial"/>
          <w:sz w:val="22"/>
          <w:szCs w:val="22"/>
        </w:rPr>
        <w:t xml:space="preserve"> (</w:t>
      </w:r>
      <w:r w:rsidR="009D6BB9">
        <w:rPr>
          <w:rFonts w:ascii="Arial" w:hAnsi="Arial" w:cs="Arial"/>
          <w:sz w:val="22"/>
          <w:szCs w:val="22"/>
        </w:rPr>
        <w:t>NEI2</w:t>
      </w:r>
      <w:r w:rsidRPr="00DB06ED" w:rsidR="008935AF">
        <w:rPr>
          <w:rFonts w:ascii="Arial" w:hAnsi="Arial" w:cs="Arial"/>
          <w:sz w:val="22"/>
          <w:szCs w:val="22"/>
        </w:rPr>
        <w:t>-0013).</w:t>
      </w:r>
    </w:p>
    <w:p w:rsidR="00BD12F6" w:rsidRPr="00DB06ED" w:rsidP="00DB06ED" w14:paraId="1D8EDE9A" w14:textId="77777777">
      <w:pPr>
        <w:spacing w:after="220"/>
        <w:rPr>
          <w:rFonts w:ascii="Arial" w:hAnsi="Arial" w:cs="Arial"/>
          <w:sz w:val="22"/>
          <w:szCs w:val="22"/>
        </w:rPr>
      </w:pPr>
      <w:r w:rsidRPr="00DB06ED">
        <w:rPr>
          <w:rFonts w:ascii="Arial" w:hAnsi="Arial" w:cs="Arial"/>
          <w:sz w:val="22"/>
          <w:szCs w:val="22"/>
        </w:rPr>
        <w:t>The commenter also suggested that removing “other than DBAs” would enable applicants to take more flexible analytical approaches, beyond an analysis meeting consensus standards for a PRA, which would comport with the SRM</w:t>
      </w:r>
      <w:r w:rsidRPr="00DB06ED" w:rsidR="006B7274">
        <w:rPr>
          <w:rFonts w:ascii="Arial" w:hAnsi="Arial" w:cs="Arial"/>
          <w:sz w:val="22"/>
          <w:szCs w:val="22"/>
        </w:rPr>
        <w:t>-</w:t>
      </w:r>
      <w:r w:rsidRPr="00DB06ED">
        <w:rPr>
          <w:rFonts w:ascii="Arial" w:hAnsi="Arial" w:cs="Arial"/>
          <w:sz w:val="22"/>
          <w:szCs w:val="22"/>
        </w:rPr>
        <w:t>SECY</w:t>
      </w:r>
      <w:r w:rsidRPr="00DB06ED" w:rsidR="006B7274">
        <w:rPr>
          <w:rFonts w:ascii="Arial" w:hAnsi="Arial" w:cs="Arial"/>
          <w:sz w:val="22"/>
          <w:szCs w:val="22"/>
        </w:rPr>
        <w:t>-</w:t>
      </w:r>
      <w:r w:rsidRPr="00DB06ED">
        <w:rPr>
          <w:rFonts w:ascii="Arial" w:hAnsi="Arial" w:cs="Arial"/>
          <w:sz w:val="22"/>
          <w:szCs w:val="22"/>
        </w:rPr>
        <w:t>23</w:t>
      </w:r>
      <w:r w:rsidRPr="00DB06ED" w:rsidR="006B7274">
        <w:rPr>
          <w:rFonts w:ascii="Arial" w:hAnsi="Arial" w:cs="Arial"/>
          <w:sz w:val="22"/>
          <w:szCs w:val="22"/>
        </w:rPr>
        <w:t>-</w:t>
      </w:r>
      <w:r w:rsidRPr="00DB06ED">
        <w:rPr>
          <w:rFonts w:ascii="Arial" w:hAnsi="Arial" w:cs="Arial"/>
          <w:sz w:val="22"/>
          <w:szCs w:val="22"/>
        </w:rPr>
        <w:t xml:space="preserve">0021 and </w:t>
      </w:r>
      <w:r w:rsidR="00827A6E">
        <w:rPr>
          <w:rFonts w:ascii="Arial" w:hAnsi="Arial" w:cs="Arial"/>
          <w:sz w:val="22"/>
          <w:szCs w:val="22"/>
        </w:rPr>
        <w:t>s</w:t>
      </w:r>
      <w:r w:rsidRPr="00DB06ED">
        <w:rPr>
          <w:rFonts w:ascii="Arial" w:hAnsi="Arial" w:cs="Arial"/>
          <w:sz w:val="22"/>
          <w:szCs w:val="22"/>
        </w:rPr>
        <w:t>ection 208 of the ADVANCE Act (</w:t>
      </w:r>
      <w:r w:rsidR="009D6BB9">
        <w:rPr>
          <w:rFonts w:ascii="Arial" w:hAnsi="Arial" w:cs="Arial"/>
          <w:sz w:val="22"/>
          <w:szCs w:val="22"/>
        </w:rPr>
        <w:t>NEI2</w:t>
      </w:r>
      <w:r w:rsidRPr="00DB06ED">
        <w:rPr>
          <w:rFonts w:ascii="Arial" w:hAnsi="Arial" w:cs="Arial"/>
          <w:sz w:val="22"/>
          <w:szCs w:val="22"/>
        </w:rPr>
        <w:t xml:space="preserve">-0251, </w:t>
      </w:r>
      <w:r w:rsidR="009D6BB9">
        <w:rPr>
          <w:rFonts w:ascii="Arial" w:hAnsi="Arial" w:cs="Arial"/>
          <w:sz w:val="22"/>
          <w:szCs w:val="22"/>
        </w:rPr>
        <w:t>NEI2</w:t>
      </w:r>
      <w:r w:rsidRPr="00DB06ED">
        <w:rPr>
          <w:rFonts w:ascii="Arial" w:hAnsi="Arial" w:cs="Arial"/>
          <w:sz w:val="22"/>
          <w:szCs w:val="22"/>
        </w:rPr>
        <w:t xml:space="preserve">-0013). </w:t>
      </w:r>
    </w:p>
    <w:p w:rsidR="001E2D08" w:rsidRPr="00DB06ED" w:rsidP="00DB06ED" w14:paraId="0CFE6F5F" w14:textId="77777777">
      <w:pPr>
        <w:spacing w:after="220"/>
        <w:rPr>
          <w:rFonts w:ascii="Arial" w:hAnsi="Arial" w:cs="Arial"/>
          <w:sz w:val="22"/>
          <w:szCs w:val="22"/>
        </w:rPr>
      </w:pPr>
      <w:r w:rsidRPr="00DB06ED">
        <w:rPr>
          <w:rFonts w:ascii="Arial" w:hAnsi="Arial" w:cs="Arial"/>
          <w:sz w:val="22"/>
          <w:szCs w:val="22"/>
        </w:rPr>
        <w:t xml:space="preserve">The commenter </w:t>
      </w:r>
      <w:r w:rsidR="00E12E75">
        <w:rPr>
          <w:rFonts w:ascii="Arial" w:hAnsi="Arial" w:cs="Arial"/>
          <w:sz w:val="22"/>
          <w:szCs w:val="22"/>
        </w:rPr>
        <w:t xml:space="preserve">also </w:t>
      </w:r>
      <w:r w:rsidRPr="00DB06ED">
        <w:rPr>
          <w:rFonts w:ascii="Arial" w:hAnsi="Arial" w:cs="Arial"/>
          <w:sz w:val="22"/>
          <w:szCs w:val="22"/>
        </w:rPr>
        <w:t xml:space="preserve">asserted that this </w:t>
      </w:r>
      <w:r w:rsidRPr="00DB06ED" w:rsidR="00675D05">
        <w:rPr>
          <w:rFonts w:ascii="Arial" w:hAnsi="Arial" w:cs="Arial"/>
          <w:sz w:val="22"/>
          <w:szCs w:val="22"/>
        </w:rPr>
        <w:t>approach</w:t>
      </w:r>
      <w:r w:rsidRPr="00DB06ED">
        <w:rPr>
          <w:rFonts w:ascii="Arial" w:hAnsi="Arial" w:cs="Arial"/>
          <w:sz w:val="22"/>
          <w:szCs w:val="22"/>
        </w:rPr>
        <w:t xml:space="preserve"> would help facilitate transitions from 10</w:t>
      </w:r>
      <w:r w:rsidRPr="00DB06ED" w:rsidR="00EF2B52">
        <w:rPr>
          <w:rFonts w:ascii="Arial" w:hAnsi="Arial" w:cs="Arial"/>
          <w:sz w:val="22"/>
          <w:szCs w:val="22"/>
        </w:rPr>
        <w:t> </w:t>
      </w:r>
      <w:r w:rsidRPr="00DB06ED">
        <w:rPr>
          <w:rFonts w:ascii="Arial" w:hAnsi="Arial" w:cs="Arial"/>
          <w:sz w:val="22"/>
          <w:szCs w:val="22"/>
        </w:rPr>
        <w:t>CFR</w:t>
      </w:r>
      <w:r w:rsidR="00F804EA">
        <w:rPr>
          <w:rFonts w:ascii="Arial" w:hAnsi="Arial" w:cs="Arial"/>
          <w:sz w:val="22"/>
          <w:szCs w:val="22"/>
        </w:rPr>
        <w:t> </w:t>
      </w:r>
      <w:r w:rsidRPr="00DB06ED">
        <w:rPr>
          <w:rFonts w:ascii="Arial" w:hAnsi="Arial" w:cs="Arial"/>
          <w:sz w:val="22"/>
          <w:szCs w:val="22"/>
        </w:rPr>
        <w:t>Part</w:t>
      </w:r>
      <w:r w:rsidR="00F804EA">
        <w:rPr>
          <w:rFonts w:ascii="Arial" w:hAnsi="Arial" w:cs="Arial"/>
          <w:sz w:val="22"/>
          <w:szCs w:val="22"/>
        </w:rPr>
        <w:t> </w:t>
      </w:r>
      <w:r w:rsidRPr="00DB06ED">
        <w:rPr>
          <w:rFonts w:ascii="Arial" w:hAnsi="Arial" w:cs="Arial"/>
          <w:sz w:val="22"/>
          <w:szCs w:val="22"/>
        </w:rPr>
        <w:t xml:space="preserve">50 and </w:t>
      </w:r>
      <w:r w:rsidR="0035768A">
        <w:rPr>
          <w:rFonts w:ascii="Arial" w:hAnsi="Arial" w:cs="Arial"/>
          <w:sz w:val="22"/>
          <w:szCs w:val="22"/>
        </w:rPr>
        <w:t xml:space="preserve">10 CFR Part </w:t>
      </w:r>
      <w:r w:rsidRPr="00DB06ED">
        <w:rPr>
          <w:rFonts w:ascii="Arial" w:hAnsi="Arial" w:cs="Arial"/>
          <w:sz w:val="22"/>
          <w:szCs w:val="22"/>
        </w:rPr>
        <w:t xml:space="preserve">52 to 10 CFR Part 53, such as the transition from a CP to an </w:t>
      </w:r>
      <w:r w:rsidR="00D1385D">
        <w:rPr>
          <w:rFonts w:ascii="Arial" w:hAnsi="Arial" w:cs="Arial"/>
          <w:sz w:val="22"/>
          <w:szCs w:val="22"/>
        </w:rPr>
        <w:t>operat</w:t>
      </w:r>
      <w:r w:rsidR="00563862">
        <w:rPr>
          <w:rFonts w:ascii="Arial" w:hAnsi="Arial" w:cs="Arial"/>
          <w:sz w:val="22"/>
          <w:szCs w:val="22"/>
        </w:rPr>
        <w:t>ing license (</w:t>
      </w:r>
      <w:r w:rsidRPr="00DB06ED">
        <w:rPr>
          <w:rFonts w:ascii="Arial" w:hAnsi="Arial" w:cs="Arial"/>
          <w:sz w:val="22"/>
          <w:szCs w:val="22"/>
        </w:rPr>
        <w:t>OL</w:t>
      </w:r>
      <w:r w:rsidR="00563862">
        <w:rPr>
          <w:rFonts w:ascii="Arial" w:hAnsi="Arial" w:cs="Arial"/>
          <w:sz w:val="22"/>
          <w:szCs w:val="22"/>
        </w:rPr>
        <w:t>)</w:t>
      </w:r>
      <w:r w:rsidRPr="00DB06ED">
        <w:rPr>
          <w:rFonts w:ascii="Arial" w:hAnsi="Arial" w:cs="Arial"/>
          <w:sz w:val="22"/>
          <w:szCs w:val="22"/>
        </w:rPr>
        <w:t xml:space="preserve"> or design certification and provide public confidence in the equivalence of all parts in addressing public health and safety</w:t>
      </w:r>
      <w:r w:rsidRPr="00DB06ED" w:rsidR="00F57C97">
        <w:rPr>
          <w:rFonts w:ascii="Arial" w:hAnsi="Arial" w:cs="Arial"/>
          <w:sz w:val="22"/>
          <w:szCs w:val="22"/>
        </w:rPr>
        <w:t xml:space="preserve"> (</w:t>
      </w:r>
      <w:r w:rsidR="009D6BB9">
        <w:rPr>
          <w:rFonts w:ascii="Arial" w:hAnsi="Arial" w:cs="Arial"/>
          <w:sz w:val="22"/>
          <w:szCs w:val="22"/>
        </w:rPr>
        <w:t>NEI2</w:t>
      </w:r>
      <w:r w:rsidRPr="00DB06ED" w:rsidR="00F57C97">
        <w:rPr>
          <w:rFonts w:ascii="Arial" w:hAnsi="Arial" w:cs="Arial"/>
          <w:sz w:val="22"/>
          <w:szCs w:val="22"/>
        </w:rPr>
        <w:t>-0013)</w:t>
      </w:r>
      <w:r w:rsidRPr="00DB06ED">
        <w:rPr>
          <w:rFonts w:ascii="Arial" w:hAnsi="Arial" w:cs="Arial"/>
          <w:sz w:val="22"/>
          <w:szCs w:val="22"/>
        </w:rPr>
        <w:t>.</w:t>
      </w:r>
    </w:p>
    <w:p w:rsidR="00654C4F" w:rsidRPr="00DB06ED" w:rsidP="00DB06ED" w14:paraId="1803568C" w14:textId="77777777">
      <w:pPr>
        <w:spacing w:after="220"/>
        <w:rPr>
          <w:rFonts w:ascii="Arial" w:hAnsi="Arial" w:cs="Arial"/>
          <w:sz w:val="22"/>
          <w:szCs w:val="22"/>
        </w:rPr>
      </w:pPr>
      <w:r w:rsidRPr="00DB06ED">
        <w:rPr>
          <w:rFonts w:ascii="Arial" w:hAnsi="Arial" w:cs="Arial"/>
          <w:b/>
          <w:sz w:val="22"/>
          <w:szCs w:val="22"/>
        </w:rPr>
        <w:t>NRC Response:</w:t>
      </w:r>
      <w:r w:rsidRPr="00DB06ED">
        <w:rPr>
          <w:rFonts w:ascii="Arial" w:hAnsi="Arial" w:cs="Arial"/>
          <w:sz w:val="22"/>
          <w:szCs w:val="22"/>
        </w:rPr>
        <w:t> The NRC agrees</w:t>
      </w:r>
      <w:r w:rsidR="00F804EA">
        <w:rPr>
          <w:rFonts w:ascii="Arial" w:hAnsi="Arial" w:cs="Arial"/>
          <w:sz w:val="22"/>
          <w:szCs w:val="22"/>
        </w:rPr>
        <w:t>,</w:t>
      </w:r>
      <w:r w:rsidRPr="00DB06ED">
        <w:rPr>
          <w:rFonts w:ascii="Arial" w:hAnsi="Arial" w:cs="Arial"/>
          <w:sz w:val="22"/>
          <w:szCs w:val="22"/>
        </w:rPr>
        <w:t xml:space="preserve"> </w:t>
      </w:r>
      <w:r w:rsidRPr="00DB06ED" w:rsidR="00162E87">
        <w:rPr>
          <w:rFonts w:ascii="Arial" w:hAnsi="Arial" w:cs="Arial"/>
          <w:sz w:val="22"/>
          <w:szCs w:val="22"/>
        </w:rPr>
        <w:t>in part</w:t>
      </w:r>
      <w:r w:rsidR="00F804EA">
        <w:rPr>
          <w:rFonts w:ascii="Arial" w:hAnsi="Arial" w:cs="Arial"/>
          <w:sz w:val="22"/>
          <w:szCs w:val="22"/>
        </w:rPr>
        <w:t>,</w:t>
      </w:r>
      <w:r w:rsidRPr="00DB06ED" w:rsidR="00162E87">
        <w:rPr>
          <w:rFonts w:ascii="Arial" w:hAnsi="Arial" w:cs="Arial"/>
          <w:sz w:val="22"/>
          <w:szCs w:val="22"/>
        </w:rPr>
        <w:t xml:space="preserve"> </w:t>
      </w:r>
      <w:r w:rsidRPr="00DB06ED">
        <w:rPr>
          <w:rFonts w:ascii="Arial" w:hAnsi="Arial" w:cs="Arial"/>
          <w:sz w:val="22"/>
          <w:szCs w:val="22"/>
        </w:rPr>
        <w:t>with the comments.</w:t>
      </w:r>
    </w:p>
    <w:p w:rsidR="00654C4F" w:rsidRPr="00DB06ED" w:rsidP="00DB06ED" w14:paraId="531BF3D4" w14:textId="77777777">
      <w:pPr>
        <w:spacing w:after="220"/>
        <w:rPr>
          <w:rFonts w:ascii="Arial" w:hAnsi="Arial" w:cs="Arial"/>
          <w:sz w:val="22"/>
          <w:szCs w:val="22"/>
        </w:rPr>
      </w:pPr>
      <w:r w:rsidRPr="00DB06ED">
        <w:rPr>
          <w:rFonts w:ascii="Arial" w:hAnsi="Arial" w:cs="Arial"/>
          <w:sz w:val="22"/>
          <w:szCs w:val="22"/>
        </w:rPr>
        <w:t xml:space="preserve">The NRC </w:t>
      </w:r>
      <w:r w:rsidRPr="00DB06ED" w:rsidR="00BB47F5">
        <w:rPr>
          <w:rFonts w:ascii="Arial" w:hAnsi="Arial" w:cs="Arial"/>
          <w:sz w:val="22"/>
          <w:szCs w:val="22"/>
        </w:rPr>
        <w:t xml:space="preserve">disagrees with the majority of these comments related to the organization and </w:t>
      </w:r>
      <w:r w:rsidRPr="00DB06ED" w:rsidR="0048281A">
        <w:rPr>
          <w:rFonts w:ascii="Arial" w:hAnsi="Arial" w:cs="Arial"/>
          <w:sz w:val="22"/>
          <w:szCs w:val="22"/>
        </w:rPr>
        <w:t>terminology</w:t>
      </w:r>
      <w:r w:rsidRPr="00DB06ED" w:rsidR="00BB47F5">
        <w:rPr>
          <w:rFonts w:ascii="Arial" w:hAnsi="Arial" w:cs="Arial"/>
          <w:sz w:val="22"/>
          <w:szCs w:val="22"/>
        </w:rPr>
        <w:t xml:space="preserve"> for </w:t>
      </w:r>
      <w:r w:rsidRPr="00DB06ED" w:rsidR="0048281A">
        <w:rPr>
          <w:rFonts w:ascii="Arial" w:hAnsi="Arial" w:cs="Arial"/>
          <w:sz w:val="22"/>
          <w:szCs w:val="22"/>
        </w:rPr>
        <w:t>LBEs. The NRC</w:t>
      </w:r>
      <w:r w:rsidRPr="00DB06ED">
        <w:rPr>
          <w:rFonts w:ascii="Arial" w:hAnsi="Arial" w:cs="Arial"/>
          <w:sz w:val="22"/>
          <w:szCs w:val="22"/>
        </w:rPr>
        <w:t xml:space="preserve"> selected the terminology to distinguish between those LBEs in the categories of anticipated, unlikely, and very unlikely event sequences analyzed under 10 CFR 53.450(e) that are considered in assessing the risk performance objectives under 10 CFR 53.220(b) and design</w:t>
      </w:r>
      <w:r w:rsidR="008C4102">
        <w:rPr>
          <w:rFonts w:ascii="Arial" w:hAnsi="Arial" w:cs="Arial"/>
          <w:sz w:val="22"/>
          <w:szCs w:val="22"/>
        </w:rPr>
        <w:t>-</w:t>
      </w:r>
      <w:r w:rsidRPr="00DB06ED">
        <w:rPr>
          <w:rFonts w:ascii="Arial" w:hAnsi="Arial" w:cs="Arial"/>
          <w:sz w:val="22"/>
          <w:szCs w:val="22"/>
        </w:rPr>
        <w:t>basis accidents analyzed under 10</w:t>
      </w:r>
      <w:r w:rsidR="006D05D8">
        <w:rPr>
          <w:rFonts w:ascii="Arial" w:hAnsi="Arial" w:cs="Arial"/>
          <w:sz w:val="22"/>
          <w:szCs w:val="22"/>
        </w:rPr>
        <w:t> </w:t>
      </w:r>
      <w:r w:rsidRPr="00DB06ED">
        <w:rPr>
          <w:rFonts w:ascii="Arial" w:hAnsi="Arial" w:cs="Arial"/>
          <w:sz w:val="22"/>
          <w:szCs w:val="22"/>
        </w:rPr>
        <w:t>CFR 53.450(f). These LBE categories are similar to the related construct from NEI</w:t>
      </w:r>
      <w:r w:rsidR="00F804EA">
        <w:rPr>
          <w:rFonts w:ascii="Arial" w:hAnsi="Arial" w:cs="Arial"/>
          <w:sz w:val="22"/>
          <w:szCs w:val="22"/>
        </w:rPr>
        <w:t> </w:t>
      </w:r>
      <w:r w:rsidRPr="00DB06ED">
        <w:rPr>
          <w:rFonts w:ascii="Arial" w:hAnsi="Arial" w:cs="Arial"/>
          <w:sz w:val="22"/>
          <w:szCs w:val="22"/>
        </w:rPr>
        <w:t>18</w:t>
      </w:r>
      <w:r w:rsidR="00142451">
        <w:rPr>
          <w:rFonts w:ascii="Arial" w:hAnsi="Arial" w:cs="Arial"/>
          <w:sz w:val="22"/>
          <w:szCs w:val="22"/>
        </w:rPr>
        <w:noBreakHyphen/>
      </w:r>
      <w:r w:rsidRPr="00DB06ED">
        <w:rPr>
          <w:rFonts w:ascii="Arial" w:hAnsi="Arial" w:cs="Arial"/>
          <w:sz w:val="22"/>
          <w:szCs w:val="22"/>
        </w:rPr>
        <w:t>04, as endorsed by RG 1.233, which describes the DBA category and three, frequency</w:t>
      </w:r>
      <w:r w:rsidR="00C47DF1">
        <w:rPr>
          <w:rFonts w:ascii="Arial" w:hAnsi="Arial" w:cs="Arial"/>
          <w:sz w:val="22"/>
          <w:szCs w:val="22"/>
        </w:rPr>
        <w:noBreakHyphen/>
      </w:r>
      <w:r w:rsidRPr="00DB06ED">
        <w:rPr>
          <w:rFonts w:ascii="Arial" w:hAnsi="Arial" w:cs="Arial"/>
          <w:sz w:val="22"/>
          <w:szCs w:val="22"/>
        </w:rPr>
        <w:t>based categories as being types of LBEs. Three event categories are also used in recent NRC activities under 10 CFR Part 50 and</w:t>
      </w:r>
      <w:r w:rsidR="00D03B32">
        <w:rPr>
          <w:rFonts w:ascii="Arial" w:hAnsi="Arial" w:cs="Arial"/>
          <w:sz w:val="22"/>
          <w:szCs w:val="22"/>
        </w:rPr>
        <w:t xml:space="preserve"> 10 CFR Part</w:t>
      </w:r>
      <w:r w:rsidRPr="00DB06ED">
        <w:rPr>
          <w:rFonts w:ascii="Arial" w:hAnsi="Arial" w:cs="Arial"/>
          <w:sz w:val="22"/>
          <w:szCs w:val="22"/>
        </w:rPr>
        <w:t xml:space="preserve"> 52 and in the framework developed by IAEA. The requirements under 10 CFR Part 53 refer to “DBA” and “LBE other than DBA” consistent with the different purposes those types of LBEs serve in meeting safety criteria under 10</w:t>
      </w:r>
      <w:r w:rsidR="00142451">
        <w:rPr>
          <w:rFonts w:ascii="Arial" w:hAnsi="Arial" w:cs="Arial"/>
          <w:sz w:val="22"/>
          <w:szCs w:val="22"/>
        </w:rPr>
        <w:t> </w:t>
      </w:r>
      <w:r w:rsidRPr="00DB06ED">
        <w:rPr>
          <w:rFonts w:ascii="Arial" w:hAnsi="Arial" w:cs="Arial"/>
          <w:sz w:val="22"/>
          <w:szCs w:val="22"/>
        </w:rPr>
        <w:t>CFR</w:t>
      </w:r>
      <w:r w:rsidR="00142451">
        <w:rPr>
          <w:rFonts w:ascii="Arial" w:hAnsi="Arial" w:cs="Arial"/>
          <w:sz w:val="22"/>
          <w:szCs w:val="22"/>
        </w:rPr>
        <w:t> </w:t>
      </w:r>
      <w:r w:rsidRPr="00DB06ED">
        <w:rPr>
          <w:rFonts w:ascii="Arial" w:hAnsi="Arial" w:cs="Arial"/>
          <w:sz w:val="22"/>
          <w:szCs w:val="22"/>
        </w:rPr>
        <w:t xml:space="preserve">53.210 and 10 CFR 53.220, respectively. Thus, the NRC concludes that the clarity provided by the phrase “other than DBA” outweighs the risk of confusion. Additionally, changes to the rule language in 10 CFR 53.450 in response </w:t>
      </w:r>
      <w:r w:rsidR="00C14DFB">
        <w:rPr>
          <w:rFonts w:ascii="Arial" w:hAnsi="Arial" w:cs="Arial"/>
          <w:sz w:val="22"/>
          <w:szCs w:val="22"/>
        </w:rPr>
        <w:t>Comment Bin 3.3.2.2.E</w:t>
      </w:r>
      <w:r w:rsidRPr="00DB06ED">
        <w:rPr>
          <w:rFonts w:ascii="Arial" w:hAnsi="Arial" w:cs="Arial"/>
          <w:sz w:val="22"/>
          <w:szCs w:val="22"/>
        </w:rPr>
        <w:t xml:space="preserve"> allow a broader spectrum of types of systematic risk evaluations, which offers applicants flexibility to potentially use more traditional approaches in combination with risk-informed approaches when developing safety </w:t>
      </w:r>
      <w:r w:rsidR="001D3234">
        <w:rPr>
          <w:rFonts w:ascii="Arial" w:hAnsi="Arial" w:cs="Arial"/>
          <w:sz w:val="22"/>
          <w:szCs w:val="22"/>
        </w:rPr>
        <w:t>analys</w:t>
      </w:r>
      <w:r w:rsidR="002F496E">
        <w:rPr>
          <w:rFonts w:ascii="Arial" w:hAnsi="Arial" w:cs="Arial"/>
          <w:sz w:val="22"/>
          <w:szCs w:val="22"/>
        </w:rPr>
        <w:t>e</w:t>
      </w:r>
      <w:r w:rsidR="002854FA">
        <w:rPr>
          <w:rFonts w:ascii="Arial" w:hAnsi="Arial" w:cs="Arial"/>
          <w:sz w:val="22"/>
          <w:szCs w:val="22"/>
        </w:rPr>
        <w:t>s</w:t>
      </w:r>
      <w:r w:rsidRPr="00DB06ED" w:rsidR="001D3234">
        <w:rPr>
          <w:rFonts w:ascii="Arial" w:hAnsi="Arial" w:cs="Arial"/>
          <w:sz w:val="22"/>
          <w:szCs w:val="22"/>
        </w:rPr>
        <w:t xml:space="preserve"> </w:t>
      </w:r>
      <w:r w:rsidRPr="00DB06ED">
        <w:rPr>
          <w:rFonts w:ascii="Arial" w:hAnsi="Arial" w:cs="Arial"/>
          <w:sz w:val="22"/>
          <w:szCs w:val="22"/>
        </w:rPr>
        <w:t>under 10 CFR Part 53.</w:t>
      </w:r>
    </w:p>
    <w:p w:rsidR="00F442FA" w:rsidRPr="00DB06ED" w:rsidP="00DB06ED" w14:paraId="7265E3FB" w14:textId="77777777">
      <w:pPr>
        <w:spacing w:after="220"/>
        <w:rPr>
          <w:rFonts w:ascii="Arial" w:hAnsi="Arial" w:cs="Arial"/>
          <w:sz w:val="22"/>
          <w:szCs w:val="22"/>
        </w:rPr>
      </w:pPr>
      <w:r w:rsidRPr="00DB06ED">
        <w:rPr>
          <w:rFonts w:ascii="Arial" w:hAnsi="Arial" w:cs="Arial"/>
          <w:sz w:val="22"/>
          <w:szCs w:val="22"/>
        </w:rPr>
        <w:t xml:space="preserve">Regarding the </w:t>
      </w:r>
      <w:r w:rsidRPr="00DB06ED" w:rsidR="00407C52">
        <w:rPr>
          <w:rFonts w:ascii="Arial" w:hAnsi="Arial" w:cs="Arial"/>
          <w:sz w:val="22"/>
          <w:szCs w:val="22"/>
        </w:rPr>
        <w:t xml:space="preserve">need to </w:t>
      </w:r>
      <w:r w:rsidRPr="00DB06ED" w:rsidR="00BE48C0">
        <w:rPr>
          <w:rFonts w:ascii="Arial" w:hAnsi="Arial" w:cs="Arial"/>
          <w:sz w:val="22"/>
          <w:szCs w:val="22"/>
        </w:rPr>
        <w:t>address both inter</w:t>
      </w:r>
      <w:r w:rsidRPr="00DB06ED" w:rsidR="00F01E87">
        <w:rPr>
          <w:rFonts w:ascii="Arial" w:hAnsi="Arial" w:cs="Arial"/>
          <w:sz w:val="22"/>
          <w:szCs w:val="22"/>
        </w:rPr>
        <w:t xml:space="preserve">nal hazards such as </w:t>
      </w:r>
      <w:r w:rsidRPr="00DB06ED" w:rsidR="00CB7C3B">
        <w:rPr>
          <w:rFonts w:ascii="Arial" w:hAnsi="Arial" w:cs="Arial"/>
          <w:sz w:val="22"/>
          <w:szCs w:val="22"/>
        </w:rPr>
        <w:t xml:space="preserve">room flooding from fluid system malfunctions </w:t>
      </w:r>
      <w:r w:rsidRPr="00DB06ED" w:rsidR="008753CA">
        <w:rPr>
          <w:rFonts w:ascii="Arial" w:hAnsi="Arial" w:cs="Arial"/>
          <w:sz w:val="22"/>
          <w:szCs w:val="22"/>
        </w:rPr>
        <w:t xml:space="preserve">and external hazards such as </w:t>
      </w:r>
      <w:r w:rsidRPr="00DB06ED" w:rsidR="00913120">
        <w:rPr>
          <w:rFonts w:ascii="Arial" w:hAnsi="Arial" w:cs="Arial"/>
          <w:sz w:val="22"/>
          <w:szCs w:val="22"/>
        </w:rPr>
        <w:t xml:space="preserve">flooding from </w:t>
      </w:r>
      <w:r w:rsidRPr="00DB06ED" w:rsidR="008753CA">
        <w:rPr>
          <w:rFonts w:ascii="Arial" w:hAnsi="Arial" w:cs="Arial"/>
          <w:sz w:val="22"/>
          <w:szCs w:val="22"/>
        </w:rPr>
        <w:t xml:space="preserve">extreme precipitation, </w:t>
      </w:r>
      <w:r w:rsidRPr="00DB06ED" w:rsidR="00090647">
        <w:rPr>
          <w:rFonts w:ascii="Arial" w:hAnsi="Arial" w:cs="Arial"/>
          <w:sz w:val="22"/>
          <w:szCs w:val="22"/>
        </w:rPr>
        <w:t>the NRC agrees</w:t>
      </w:r>
      <w:r w:rsidRPr="00DB06ED" w:rsidR="0032523C">
        <w:rPr>
          <w:rFonts w:ascii="Arial" w:hAnsi="Arial" w:cs="Arial"/>
          <w:sz w:val="22"/>
          <w:szCs w:val="22"/>
        </w:rPr>
        <w:t xml:space="preserve"> that both need to be addressed within </w:t>
      </w:r>
      <w:r w:rsidRPr="00DB06ED" w:rsidR="00244236">
        <w:rPr>
          <w:rFonts w:ascii="Arial" w:hAnsi="Arial" w:cs="Arial"/>
          <w:sz w:val="22"/>
          <w:szCs w:val="22"/>
        </w:rPr>
        <w:t>the design and analyses for commercial nuclear plants</w:t>
      </w:r>
      <w:r w:rsidRPr="00DB06ED" w:rsidR="00090647">
        <w:rPr>
          <w:rFonts w:ascii="Arial" w:hAnsi="Arial" w:cs="Arial"/>
          <w:sz w:val="22"/>
          <w:szCs w:val="22"/>
        </w:rPr>
        <w:t xml:space="preserve">. </w:t>
      </w:r>
      <w:r w:rsidRPr="00DB06ED" w:rsidR="00EB4B4D">
        <w:rPr>
          <w:rFonts w:ascii="Arial" w:hAnsi="Arial" w:cs="Arial"/>
          <w:sz w:val="22"/>
          <w:szCs w:val="22"/>
        </w:rPr>
        <w:t>10 CFR </w:t>
      </w:r>
      <w:r w:rsidRPr="00DB06ED" w:rsidR="00090647">
        <w:rPr>
          <w:rFonts w:ascii="Arial" w:hAnsi="Arial" w:cs="Arial"/>
          <w:sz w:val="22"/>
          <w:szCs w:val="22"/>
        </w:rPr>
        <w:t>Part 53 specific</w:t>
      </w:r>
      <w:r w:rsidRPr="00DB06ED" w:rsidR="00D247DE">
        <w:rPr>
          <w:rFonts w:ascii="Arial" w:hAnsi="Arial" w:cs="Arial"/>
          <w:sz w:val="22"/>
          <w:szCs w:val="22"/>
        </w:rPr>
        <w:t xml:space="preserve">ally addresses the protection of safety-related SSCs </w:t>
      </w:r>
      <w:r w:rsidRPr="00DB06ED" w:rsidR="008B536E">
        <w:rPr>
          <w:rFonts w:ascii="Arial" w:hAnsi="Arial" w:cs="Arial"/>
          <w:sz w:val="22"/>
          <w:szCs w:val="22"/>
        </w:rPr>
        <w:t xml:space="preserve">from external hazards </w:t>
      </w:r>
      <w:r w:rsidRPr="00DB06ED" w:rsidR="004527EC">
        <w:rPr>
          <w:rFonts w:ascii="Arial" w:hAnsi="Arial" w:cs="Arial"/>
          <w:sz w:val="22"/>
          <w:szCs w:val="22"/>
        </w:rPr>
        <w:t xml:space="preserve">up to design-basis external hazard levels </w:t>
      </w:r>
      <w:r w:rsidRPr="00DB06ED" w:rsidR="008B536E">
        <w:rPr>
          <w:rFonts w:ascii="Arial" w:hAnsi="Arial" w:cs="Arial"/>
          <w:sz w:val="22"/>
          <w:szCs w:val="22"/>
        </w:rPr>
        <w:t>in 10 CFR 53.415</w:t>
      </w:r>
      <w:r w:rsidRPr="00DB06ED" w:rsidR="00A73918">
        <w:rPr>
          <w:rFonts w:ascii="Arial" w:hAnsi="Arial" w:cs="Arial"/>
          <w:sz w:val="22"/>
          <w:szCs w:val="22"/>
        </w:rPr>
        <w:t xml:space="preserve"> </w:t>
      </w:r>
      <w:r w:rsidRPr="00DB06ED" w:rsidR="00BD00C0">
        <w:rPr>
          <w:rFonts w:ascii="Arial" w:hAnsi="Arial" w:cs="Arial"/>
          <w:sz w:val="22"/>
          <w:szCs w:val="22"/>
        </w:rPr>
        <w:t>to re</w:t>
      </w:r>
      <w:r w:rsidRPr="00DB06ED" w:rsidR="00BA29EF">
        <w:rPr>
          <w:rFonts w:ascii="Arial" w:hAnsi="Arial" w:cs="Arial"/>
          <w:sz w:val="22"/>
          <w:szCs w:val="22"/>
        </w:rPr>
        <w:t xml:space="preserve">flect the </w:t>
      </w:r>
      <w:r w:rsidRPr="00DB06ED" w:rsidR="002834D1">
        <w:rPr>
          <w:rFonts w:ascii="Arial" w:hAnsi="Arial" w:cs="Arial"/>
          <w:sz w:val="22"/>
          <w:szCs w:val="22"/>
        </w:rPr>
        <w:t xml:space="preserve">relationships between the </w:t>
      </w:r>
      <w:r w:rsidRPr="00DB06ED" w:rsidR="00BA29EF">
        <w:rPr>
          <w:rFonts w:ascii="Arial" w:hAnsi="Arial" w:cs="Arial"/>
          <w:sz w:val="22"/>
          <w:szCs w:val="22"/>
        </w:rPr>
        <w:t xml:space="preserve">design and analysis requirements in Subpart C </w:t>
      </w:r>
      <w:r w:rsidRPr="00DB06ED" w:rsidR="002834D1">
        <w:rPr>
          <w:rFonts w:ascii="Arial" w:hAnsi="Arial" w:cs="Arial"/>
          <w:sz w:val="22"/>
          <w:szCs w:val="22"/>
        </w:rPr>
        <w:t xml:space="preserve">and the siting requirements in Subpart D. </w:t>
      </w:r>
      <w:r w:rsidRPr="00DB06ED" w:rsidR="0030755C">
        <w:rPr>
          <w:rFonts w:ascii="Arial" w:hAnsi="Arial" w:cs="Arial"/>
          <w:sz w:val="22"/>
          <w:szCs w:val="22"/>
        </w:rPr>
        <w:t xml:space="preserve">The consideration </w:t>
      </w:r>
      <w:r w:rsidRPr="00DB06ED" w:rsidR="00CB49DF">
        <w:rPr>
          <w:rFonts w:ascii="Arial" w:hAnsi="Arial" w:cs="Arial"/>
          <w:sz w:val="22"/>
          <w:szCs w:val="22"/>
        </w:rPr>
        <w:t xml:space="preserve">of ranges of internal and external hazards </w:t>
      </w:r>
      <w:r w:rsidRPr="00DB06ED" w:rsidR="00BB6DDA">
        <w:rPr>
          <w:rFonts w:ascii="Arial" w:hAnsi="Arial" w:cs="Arial"/>
          <w:sz w:val="22"/>
          <w:szCs w:val="22"/>
        </w:rPr>
        <w:t xml:space="preserve">is otherwise addressed </w:t>
      </w:r>
      <w:r w:rsidRPr="00DB06ED" w:rsidR="006C0EA3">
        <w:rPr>
          <w:rFonts w:ascii="Arial" w:hAnsi="Arial" w:cs="Arial"/>
          <w:sz w:val="22"/>
          <w:szCs w:val="22"/>
        </w:rPr>
        <w:t xml:space="preserve">within the LBEs by </w:t>
      </w:r>
      <w:r w:rsidRPr="00DB06ED" w:rsidR="00D46E82">
        <w:rPr>
          <w:rFonts w:ascii="Arial" w:hAnsi="Arial" w:cs="Arial"/>
          <w:sz w:val="22"/>
          <w:szCs w:val="22"/>
        </w:rPr>
        <w:t xml:space="preserve">the requirement in 10 CFR 53.240 </w:t>
      </w:r>
      <w:r w:rsidRPr="00DB06ED" w:rsidR="00521B17">
        <w:rPr>
          <w:rFonts w:ascii="Arial" w:hAnsi="Arial" w:cs="Arial"/>
          <w:sz w:val="22"/>
          <w:szCs w:val="22"/>
        </w:rPr>
        <w:t xml:space="preserve">for the systematic </w:t>
      </w:r>
      <w:r w:rsidRPr="00DB06ED" w:rsidR="00273FF1">
        <w:rPr>
          <w:rFonts w:ascii="Arial" w:hAnsi="Arial" w:cs="Arial"/>
          <w:sz w:val="22"/>
          <w:szCs w:val="22"/>
        </w:rPr>
        <w:t xml:space="preserve">evaluation of </w:t>
      </w:r>
      <w:r w:rsidRPr="00DB06ED" w:rsidR="006C0EA3">
        <w:rPr>
          <w:rFonts w:ascii="Arial" w:hAnsi="Arial" w:cs="Arial"/>
          <w:sz w:val="22"/>
          <w:szCs w:val="22"/>
        </w:rPr>
        <w:t xml:space="preserve">appropriate risk-informed combinations of malfunctions of plant SSCs, human errors, facility hazards, and the effects of external hazards. </w:t>
      </w:r>
      <w:r w:rsidRPr="00DB06ED" w:rsidR="00AA77D9">
        <w:rPr>
          <w:rFonts w:ascii="Arial" w:hAnsi="Arial" w:cs="Arial"/>
          <w:sz w:val="22"/>
          <w:szCs w:val="22"/>
        </w:rPr>
        <w:t xml:space="preserve">The NRC </w:t>
      </w:r>
      <w:r w:rsidRPr="00DB06ED" w:rsidR="00DD76BB">
        <w:rPr>
          <w:rFonts w:ascii="Arial" w:hAnsi="Arial" w:cs="Arial"/>
          <w:sz w:val="22"/>
          <w:szCs w:val="22"/>
        </w:rPr>
        <w:t>made</w:t>
      </w:r>
      <w:r w:rsidRPr="00DB06ED" w:rsidR="00AA77D9">
        <w:rPr>
          <w:rFonts w:ascii="Arial" w:hAnsi="Arial" w:cs="Arial"/>
          <w:sz w:val="22"/>
          <w:szCs w:val="22"/>
        </w:rPr>
        <w:t xml:space="preserve"> a clarifying change to 10</w:t>
      </w:r>
      <w:r w:rsidRPr="00DB06ED" w:rsidR="00CF7AF6">
        <w:rPr>
          <w:rFonts w:ascii="Arial" w:hAnsi="Arial" w:cs="Arial"/>
          <w:sz w:val="22"/>
          <w:szCs w:val="22"/>
        </w:rPr>
        <w:t> </w:t>
      </w:r>
      <w:r w:rsidRPr="00DB06ED" w:rsidR="00AA77D9">
        <w:rPr>
          <w:rFonts w:ascii="Arial" w:hAnsi="Arial" w:cs="Arial"/>
          <w:sz w:val="22"/>
          <w:szCs w:val="22"/>
        </w:rPr>
        <w:t>CFR</w:t>
      </w:r>
      <w:r w:rsidRPr="00DB06ED" w:rsidR="00CF7AF6">
        <w:rPr>
          <w:rFonts w:ascii="Arial" w:hAnsi="Arial" w:cs="Arial"/>
          <w:sz w:val="22"/>
          <w:szCs w:val="22"/>
        </w:rPr>
        <w:t> </w:t>
      </w:r>
      <w:r w:rsidRPr="00DB06ED" w:rsidR="00AA77D9">
        <w:rPr>
          <w:rFonts w:ascii="Arial" w:hAnsi="Arial" w:cs="Arial"/>
          <w:sz w:val="22"/>
          <w:szCs w:val="22"/>
        </w:rPr>
        <w:t>53.240(</w:t>
      </w:r>
      <w:r w:rsidR="00EA3432">
        <w:rPr>
          <w:rFonts w:ascii="Arial" w:hAnsi="Arial" w:cs="Arial"/>
          <w:sz w:val="22"/>
          <w:szCs w:val="22"/>
        </w:rPr>
        <w:t>b</w:t>
      </w:r>
      <w:r w:rsidRPr="00DB06ED" w:rsidR="00AA77D9">
        <w:rPr>
          <w:rFonts w:ascii="Arial" w:hAnsi="Arial" w:cs="Arial"/>
          <w:sz w:val="22"/>
          <w:szCs w:val="22"/>
        </w:rPr>
        <w:t>)</w:t>
      </w:r>
      <w:r w:rsidRPr="00DB06ED" w:rsidR="00BF1F57">
        <w:rPr>
          <w:rFonts w:ascii="Arial" w:hAnsi="Arial" w:cs="Arial"/>
          <w:sz w:val="22"/>
          <w:szCs w:val="22"/>
        </w:rPr>
        <w:t xml:space="preserve"> in response to</w:t>
      </w:r>
      <w:r w:rsidRPr="00DB06ED" w:rsidR="006C0EA3">
        <w:rPr>
          <w:rFonts w:ascii="Arial" w:hAnsi="Arial" w:cs="Arial"/>
          <w:sz w:val="22"/>
          <w:szCs w:val="22"/>
        </w:rPr>
        <w:t xml:space="preserve"> </w:t>
      </w:r>
      <w:r w:rsidRPr="00DB06ED" w:rsidR="00BF1F57">
        <w:rPr>
          <w:rFonts w:ascii="Arial" w:hAnsi="Arial" w:cs="Arial"/>
          <w:sz w:val="22"/>
          <w:szCs w:val="22"/>
        </w:rPr>
        <w:t>Comment Bin 3.2.4.D</w:t>
      </w:r>
      <w:r w:rsidRPr="00DB06ED" w:rsidR="00AA77D9">
        <w:rPr>
          <w:rFonts w:ascii="Arial" w:hAnsi="Arial" w:cs="Arial"/>
          <w:sz w:val="22"/>
          <w:szCs w:val="22"/>
        </w:rPr>
        <w:t>.</w:t>
      </w:r>
      <w:r w:rsidRPr="00DB06ED" w:rsidR="006C0EA3">
        <w:rPr>
          <w:rFonts w:ascii="Arial" w:hAnsi="Arial" w:cs="Arial"/>
          <w:sz w:val="22"/>
          <w:szCs w:val="22"/>
        </w:rPr>
        <w:t xml:space="preserve"> </w:t>
      </w:r>
      <w:r w:rsidRPr="00DB06ED" w:rsidR="00D84266">
        <w:rPr>
          <w:rFonts w:ascii="Arial" w:hAnsi="Arial" w:cs="Arial"/>
          <w:sz w:val="22"/>
          <w:szCs w:val="22"/>
        </w:rPr>
        <w:t xml:space="preserve">Regarding the potential use of </w:t>
      </w:r>
      <w:r w:rsidRPr="00DB06ED" w:rsidR="00543F21">
        <w:rPr>
          <w:rFonts w:ascii="Arial" w:hAnsi="Arial" w:cs="Arial"/>
          <w:sz w:val="22"/>
          <w:szCs w:val="22"/>
        </w:rPr>
        <w:t xml:space="preserve">the GDC </w:t>
      </w:r>
      <w:r w:rsidRPr="00DB06ED" w:rsidR="00543F21">
        <w:rPr>
          <w:rFonts w:ascii="Arial" w:hAnsi="Arial" w:cs="Arial"/>
          <w:sz w:val="22"/>
          <w:szCs w:val="22"/>
        </w:rPr>
        <w:t xml:space="preserve">from Appendix A to 10 CFR Part 50 to inform </w:t>
      </w:r>
      <w:r w:rsidRPr="00DB06ED" w:rsidR="009617B1">
        <w:rPr>
          <w:rFonts w:ascii="Arial" w:hAnsi="Arial" w:cs="Arial"/>
          <w:sz w:val="22"/>
          <w:szCs w:val="22"/>
        </w:rPr>
        <w:t>the development of functional design criteria</w:t>
      </w:r>
      <w:r w:rsidRPr="00DB06ED" w:rsidR="008924E4">
        <w:rPr>
          <w:rFonts w:ascii="Arial" w:hAnsi="Arial" w:cs="Arial"/>
          <w:sz w:val="22"/>
          <w:szCs w:val="22"/>
        </w:rPr>
        <w:t xml:space="preserve"> under 10 CFR 53.420, see the </w:t>
      </w:r>
      <w:r w:rsidR="001E3DFE">
        <w:rPr>
          <w:rFonts w:ascii="Arial" w:hAnsi="Arial" w:cs="Arial"/>
          <w:sz w:val="22"/>
          <w:szCs w:val="22"/>
        </w:rPr>
        <w:t xml:space="preserve">NRC’s </w:t>
      </w:r>
      <w:r w:rsidRPr="00DB06ED" w:rsidR="008924E4">
        <w:rPr>
          <w:rFonts w:ascii="Arial" w:hAnsi="Arial" w:cs="Arial"/>
          <w:sz w:val="22"/>
          <w:szCs w:val="22"/>
        </w:rPr>
        <w:t xml:space="preserve">response to </w:t>
      </w:r>
      <w:r w:rsidRPr="00DB06ED" w:rsidR="00C564DA">
        <w:rPr>
          <w:rFonts w:ascii="Arial" w:hAnsi="Arial" w:cs="Arial"/>
          <w:sz w:val="22"/>
          <w:szCs w:val="22"/>
        </w:rPr>
        <w:t>Comment Bin 3.1.1.A</w:t>
      </w:r>
      <w:r w:rsidRPr="00DB06ED" w:rsidR="008924E4">
        <w:rPr>
          <w:rFonts w:ascii="Arial" w:hAnsi="Arial" w:cs="Arial"/>
          <w:sz w:val="22"/>
          <w:szCs w:val="22"/>
        </w:rPr>
        <w:t>.</w:t>
      </w:r>
      <w:r w:rsidR="00B01436">
        <w:rPr>
          <w:rFonts w:ascii="Arial" w:hAnsi="Arial" w:cs="Arial"/>
          <w:sz w:val="22"/>
          <w:szCs w:val="22"/>
        </w:rPr>
        <w:t xml:space="preserve"> Regarding </w:t>
      </w:r>
      <w:r w:rsidR="00287CBD">
        <w:rPr>
          <w:rFonts w:ascii="Arial" w:hAnsi="Arial" w:cs="Arial"/>
          <w:sz w:val="22"/>
          <w:szCs w:val="22"/>
        </w:rPr>
        <w:t xml:space="preserve">the assertion </w:t>
      </w:r>
      <w:r w:rsidR="00DC71F6">
        <w:rPr>
          <w:rFonts w:ascii="Arial" w:hAnsi="Arial" w:cs="Arial"/>
          <w:sz w:val="22"/>
          <w:szCs w:val="22"/>
        </w:rPr>
        <w:t xml:space="preserve">on </w:t>
      </w:r>
      <w:r w:rsidR="00B01436">
        <w:rPr>
          <w:rFonts w:ascii="Arial" w:hAnsi="Arial" w:cs="Arial"/>
          <w:sz w:val="22"/>
          <w:szCs w:val="22"/>
        </w:rPr>
        <w:t xml:space="preserve">transitions from </w:t>
      </w:r>
      <w:r w:rsidR="00CA5135">
        <w:rPr>
          <w:rFonts w:ascii="Arial" w:hAnsi="Arial" w:cs="Arial"/>
          <w:sz w:val="22"/>
          <w:szCs w:val="22"/>
        </w:rPr>
        <w:t>10 CFR Part 50</w:t>
      </w:r>
      <w:r w:rsidR="00DC71F6">
        <w:rPr>
          <w:rFonts w:ascii="Arial" w:hAnsi="Arial" w:cs="Arial"/>
          <w:sz w:val="22"/>
          <w:szCs w:val="22"/>
        </w:rPr>
        <w:t xml:space="preserve"> and Part 52 to 10 CFR Part 53, see the </w:t>
      </w:r>
      <w:r w:rsidR="006D05D8">
        <w:rPr>
          <w:rFonts w:ascii="Arial" w:hAnsi="Arial" w:cs="Arial"/>
          <w:sz w:val="22"/>
          <w:szCs w:val="22"/>
        </w:rPr>
        <w:t xml:space="preserve">NRC’s </w:t>
      </w:r>
      <w:r w:rsidR="00DC71F6">
        <w:rPr>
          <w:rFonts w:ascii="Arial" w:hAnsi="Arial" w:cs="Arial"/>
          <w:sz w:val="22"/>
          <w:szCs w:val="22"/>
        </w:rPr>
        <w:t xml:space="preserve">response to Comment </w:t>
      </w:r>
      <w:r w:rsidR="00920B80">
        <w:rPr>
          <w:rFonts w:ascii="Arial" w:hAnsi="Arial" w:cs="Arial"/>
          <w:sz w:val="22"/>
          <w:szCs w:val="22"/>
        </w:rPr>
        <w:t>Bin </w:t>
      </w:r>
      <w:r w:rsidR="00DC71F6">
        <w:rPr>
          <w:rFonts w:ascii="Arial" w:hAnsi="Arial" w:cs="Arial"/>
          <w:sz w:val="22"/>
          <w:szCs w:val="22"/>
        </w:rPr>
        <w:t>3.8.1.A.</w:t>
      </w:r>
    </w:p>
    <w:p w:rsidR="00ED524E" w:rsidRPr="00DB06ED" w:rsidP="00DB06ED" w14:paraId="49E7F777" w14:textId="77777777">
      <w:pPr>
        <w:spacing w:after="220"/>
        <w:rPr>
          <w:rFonts w:ascii="Arial" w:hAnsi="Arial" w:cs="Arial"/>
          <w:sz w:val="22"/>
          <w:szCs w:val="22"/>
        </w:rPr>
      </w:pPr>
      <w:r w:rsidRPr="00DB06ED">
        <w:rPr>
          <w:rFonts w:ascii="Arial" w:hAnsi="Arial" w:cs="Arial"/>
          <w:sz w:val="22"/>
          <w:szCs w:val="22"/>
        </w:rPr>
        <w:t>Accordingly, the NRC did not change the rule language in response to th</w:t>
      </w:r>
      <w:r w:rsidRPr="00DB06ED" w:rsidR="00654C4F">
        <w:rPr>
          <w:rFonts w:ascii="Arial" w:hAnsi="Arial" w:cs="Arial"/>
          <w:sz w:val="22"/>
          <w:szCs w:val="22"/>
        </w:rPr>
        <w:t>e</w:t>
      </w:r>
      <w:r w:rsidRPr="00DB06ED">
        <w:rPr>
          <w:rFonts w:ascii="Arial" w:hAnsi="Arial" w:cs="Arial"/>
          <w:sz w:val="22"/>
          <w:szCs w:val="22"/>
        </w:rPr>
        <w:t>s</w:t>
      </w:r>
      <w:r w:rsidRPr="00DB06ED" w:rsidR="00654C4F">
        <w:rPr>
          <w:rFonts w:ascii="Arial" w:hAnsi="Arial" w:cs="Arial"/>
          <w:sz w:val="22"/>
          <w:szCs w:val="22"/>
        </w:rPr>
        <w:t>e</w:t>
      </w:r>
      <w:r w:rsidRPr="00DB06ED">
        <w:rPr>
          <w:rFonts w:ascii="Arial" w:hAnsi="Arial" w:cs="Arial"/>
          <w:sz w:val="22"/>
          <w:szCs w:val="22"/>
        </w:rPr>
        <w:t xml:space="preserve"> comment</w:t>
      </w:r>
      <w:r w:rsidRPr="00DB06ED" w:rsidR="00654C4F">
        <w:rPr>
          <w:rFonts w:ascii="Arial" w:hAnsi="Arial" w:cs="Arial"/>
          <w:sz w:val="22"/>
          <w:szCs w:val="22"/>
        </w:rPr>
        <w:t>s</w:t>
      </w:r>
      <w:r w:rsidRPr="00DB06ED">
        <w:rPr>
          <w:rFonts w:ascii="Arial" w:hAnsi="Arial" w:cs="Arial"/>
          <w:sz w:val="22"/>
          <w:szCs w:val="22"/>
        </w:rPr>
        <w:t>.</w:t>
      </w:r>
    </w:p>
    <w:p w:rsidR="005F243A" w:rsidRPr="006375D7" w:rsidP="00DB06ED" w14:paraId="630D5DA1" w14:textId="77777777">
      <w:pPr>
        <w:spacing w:after="220"/>
        <w:rPr>
          <w:rFonts w:ascii="Arial" w:hAnsi="Arial" w:cs="Arial"/>
          <w:sz w:val="22"/>
          <w:szCs w:val="22"/>
        </w:rPr>
      </w:pPr>
      <w:r>
        <w:rPr>
          <w:rFonts w:ascii="Arial" w:hAnsi="Arial" w:cs="Arial"/>
          <w:sz w:val="22"/>
          <w:szCs w:val="22"/>
        </w:rPr>
        <w:pict>
          <v:rect id="_x0000_i1098" style="width:0;height:1.5pt" o:hralign="center" o:hrstd="t" o:hrnoshade="t" o:hr="t" fillcolor="black" stroked="f"/>
        </w:pict>
      </w:r>
    </w:p>
    <w:p w:rsidR="005F243A" w:rsidRPr="006375D7" w:rsidP="006375D7" w14:paraId="12CDDBAF" w14:textId="77777777">
      <w:pPr>
        <w:spacing w:after="220"/>
        <w:rPr>
          <w:rFonts w:ascii="Arial" w:hAnsi="Arial" w:cs="Arial"/>
          <w:sz w:val="22"/>
          <w:szCs w:val="22"/>
        </w:rPr>
      </w:pPr>
      <w:r w:rsidRPr="006375D7">
        <w:rPr>
          <w:rFonts w:ascii="Arial" w:hAnsi="Arial" w:cs="Arial"/>
          <w:b/>
          <w:sz w:val="22"/>
          <w:szCs w:val="22"/>
        </w:rPr>
        <w:t xml:space="preserve">Comment Bin 3.2.4.C: </w:t>
      </w:r>
      <w:r w:rsidRPr="006375D7">
        <w:rPr>
          <w:rFonts w:ascii="Arial" w:hAnsi="Arial" w:cs="Arial"/>
          <w:sz w:val="22"/>
          <w:szCs w:val="22"/>
        </w:rPr>
        <w:t>A commenter wrote that 10 CFR 53.240 requires applicants to identify their own licensing-basis events on a case-by-case basis which is ambiguous and will negatively impact the public’s ability to understand the current licensing basis or participate in the 10 CFR 2.206 process (</w:t>
      </w:r>
      <w:r w:rsidR="00E36F7E">
        <w:rPr>
          <w:rFonts w:ascii="Arial" w:hAnsi="Arial" w:cs="Arial"/>
          <w:sz w:val="22"/>
          <w:szCs w:val="22"/>
        </w:rPr>
        <w:t>NYS2</w:t>
      </w:r>
      <w:r w:rsidRPr="006375D7">
        <w:rPr>
          <w:rFonts w:ascii="Arial" w:hAnsi="Arial" w:cs="Arial"/>
          <w:sz w:val="22"/>
          <w:szCs w:val="22"/>
        </w:rPr>
        <w:t>-0007). </w:t>
      </w:r>
    </w:p>
    <w:p w:rsidR="0088748F" w:rsidRPr="006375D7" w:rsidP="006375D7" w14:paraId="7E717527" w14:textId="77777777">
      <w:pPr>
        <w:spacing w:after="220"/>
        <w:rPr>
          <w:rFonts w:ascii="Arial" w:hAnsi="Arial" w:cs="Arial"/>
          <w:sz w:val="22"/>
          <w:szCs w:val="22"/>
        </w:rPr>
      </w:pPr>
      <w:r w:rsidRPr="006375D7">
        <w:rPr>
          <w:rFonts w:ascii="Arial" w:hAnsi="Arial" w:cs="Arial"/>
          <w:b/>
          <w:sz w:val="22"/>
          <w:szCs w:val="22"/>
        </w:rPr>
        <w:t>NRC Response:</w:t>
      </w:r>
      <w:r w:rsidRPr="006375D7">
        <w:rPr>
          <w:rFonts w:ascii="Arial" w:hAnsi="Arial" w:cs="Arial"/>
          <w:sz w:val="22"/>
          <w:szCs w:val="22"/>
        </w:rPr>
        <w:t> The NRC disagrees with th</w:t>
      </w:r>
      <w:r w:rsidR="00142451">
        <w:rPr>
          <w:rFonts w:ascii="Arial" w:hAnsi="Arial" w:cs="Arial"/>
          <w:sz w:val="22"/>
          <w:szCs w:val="22"/>
        </w:rPr>
        <w:t>e</w:t>
      </w:r>
      <w:r w:rsidRPr="006375D7">
        <w:rPr>
          <w:rFonts w:ascii="Arial" w:hAnsi="Arial" w:cs="Arial"/>
          <w:sz w:val="22"/>
          <w:szCs w:val="22"/>
        </w:rPr>
        <w:t xml:space="preserve"> comment.</w:t>
      </w:r>
    </w:p>
    <w:p w:rsidR="0055240F" w:rsidRPr="006375D7" w:rsidP="006375D7" w14:paraId="61A85C4A" w14:textId="77777777">
      <w:pPr>
        <w:spacing w:after="220"/>
        <w:rPr>
          <w:rFonts w:ascii="Arial" w:hAnsi="Arial" w:cs="Arial"/>
          <w:sz w:val="22"/>
          <w:szCs w:val="22"/>
        </w:rPr>
      </w:pPr>
      <w:r w:rsidRPr="006375D7">
        <w:rPr>
          <w:rFonts w:ascii="Arial" w:hAnsi="Arial" w:cs="Arial"/>
          <w:sz w:val="22"/>
          <w:szCs w:val="22"/>
        </w:rPr>
        <w:t>As explained in the proposed and final rules, 10 CFR Part 53 is a risk-informed, performance</w:t>
      </w:r>
      <w:r w:rsidRPr="006375D7">
        <w:rPr>
          <w:rFonts w:ascii="Arial" w:hAnsi="Arial" w:cs="Arial"/>
          <w:sz w:val="22"/>
          <w:szCs w:val="22"/>
        </w:rPr>
        <w:noBreakHyphen/>
        <w:t>based, and technology-inclusive regulatory framework for commercial nuclear plants. The framework provides a general methodology for the identification of licensing</w:t>
      </w:r>
      <w:r w:rsidR="00113FE3">
        <w:rPr>
          <w:rFonts w:ascii="Arial" w:hAnsi="Arial" w:cs="Arial"/>
          <w:sz w:val="22"/>
          <w:szCs w:val="22"/>
        </w:rPr>
        <w:noBreakHyphen/>
      </w:r>
      <w:r w:rsidRPr="006375D7">
        <w:rPr>
          <w:rFonts w:ascii="Arial" w:hAnsi="Arial" w:cs="Arial"/>
          <w:sz w:val="22"/>
          <w:szCs w:val="22"/>
        </w:rPr>
        <w:t>basis events that includes a systematic assessment of reactor designs and analysis of various combinations of malfunctions of plant SSCs, human errors, facility hazards, and the effects of external hazards, which enables the rule to meet the requirements in NEIMA to establish a technology-inclusive licensing framework.</w:t>
      </w:r>
    </w:p>
    <w:p w:rsidR="0088748F" w:rsidRPr="006375D7" w:rsidP="006375D7" w14:paraId="12E97E4B" w14:textId="77777777">
      <w:pPr>
        <w:spacing w:after="220"/>
        <w:rPr>
          <w:rFonts w:ascii="Arial" w:hAnsi="Arial" w:cs="Arial"/>
          <w:sz w:val="22"/>
          <w:szCs w:val="22"/>
        </w:rPr>
      </w:pPr>
      <w:r w:rsidRPr="006375D7">
        <w:rPr>
          <w:rFonts w:ascii="Arial" w:hAnsi="Arial" w:cs="Arial"/>
          <w:sz w:val="22"/>
          <w:szCs w:val="22"/>
        </w:rPr>
        <w:t>Additional information on one way that licensees may meet these general standards is provided in RG</w:t>
      </w:r>
      <w:r w:rsidR="00FA5F08">
        <w:rPr>
          <w:rFonts w:ascii="Arial" w:hAnsi="Arial" w:cs="Arial"/>
          <w:sz w:val="22"/>
          <w:szCs w:val="22"/>
        </w:rPr>
        <w:t> </w:t>
      </w:r>
      <w:r w:rsidRPr="006375D7">
        <w:rPr>
          <w:rFonts w:ascii="Arial" w:hAnsi="Arial" w:cs="Arial"/>
          <w:sz w:val="22"/>
          <w:szCs w:val="22"/>
        </w:rPr>
        <w:t xml:space="preserve">1.254, ‘‘Technology-Inclusive Identification of Licensing Events for Commercial Nuclear Plants,” </w:t>
      </w:r>
      <w:r w:rsidR="00B13FC3">
        <w:rPr>
          <w:rFonts w:ascii="Arial" w:hAnsi="Arial" w:cs="Arial"/>
          <w:sz w:val="22"/>
          <w:szCs w:val="22"/>
        </w:rPr>
        <w:t>issued concurrently with the</w:t>
      </w:r>
      <w:r w:rsidRPr="006375D7">
        <w:rPr>
          <w:rFonts w:ascii="Arial" w:hAnsi="Arial" w:cs="Arial"/>
          <w:sz w:val="22"/>
          <w:szCs w:val="22"/>
        </w:rPr>
        <w:t xml:space="preserve"> final rulemaking. Moreover, the NRC anticipates providing additional guidance on meeting </w:t>
      </w:r>
      <w:r w:rsidRPr="006375D7" w:rsidR="00B65C1C">
        <w:rPr>
          <w:rFonts w:ascii="Arial" w:hAnsi="Arial" w:cs="Arial"/>
          <w:sz w:val="22"/>
          <w:szCs w:val="22"/>
        </w:rPr>
        <w:t>10 CFR </w:t>
      </w:r>
      <w:r w:rsidRPr="006375D7">
        <w:rPr>
          <w:rFonts w:ascii="Arial" w:hAnsi="Arial" w:cs="Arial"/>
          <w:sz w:val="22"/>
          <w:szCs w:val="22"/>
        </w:rPr>
        <w:t xml:space="preserve">Part 53 following the rule’s publication. The NRC acknowledges that </w:t>
      </w:r>
      <w:r w:rsidRPr="006375D7" w:rsidR="00B65C1C">
        <w:rPr>
          <w:rFonts w:ascii="Arial" w:hAnsi="Arial" w:cs="Arial"/>
          <w:sz w:val="22"/>
          <w:szCs w:val="22"/>
        </w:rPr>
        <w:t>10 CFR </w:t>
      </w:r>
      <w:r w:rsidRPr="006375D7">
        <w:rPr>
          <w:rFonts w:ascii="Arial" w:hAnsi="Arial" w:cs="Arial"/>
          <w:sz w:val="22"/>
          <w:szCs w:val="22"/>
        </w:rPr>
        <w:t xml:space="preserve">Part 53 provides high level standards that could be met by applicants employing a wide-range of technology; nonetheless, for all plants licensed under </w:t>
      </w:r>
      <w:r w:rsidRPr="006375D7" w:rsidR="00B65C1C">
        <w:rPr>
          <w:rFonts w:ascii="Arial" w:hAnsi="Arial" w:cs="Arial"/>
          <w:sz w:val="22"/>
          <w:szCs w:val="22"/>
        </w:rPr>
        <w:t>10 CFR </w:t>
      </w:r>
      <w:r w:rsidRPr="006375D7">
        <w:rPr>
          <w:rFonts w:ascii="Arial" w:hAnsi="Arial" w:cs="Arial"/>
          <w:sz w:val="22"/>
          <w:szCs w:val="22"/>
        </w:rPr>
        <w:t>Part 53, the licensing process will yield a set of requirements and specifications in the plant’s individual license that will clearly state the facility’s licensing basis and thereby also allow meaningful participation in the 10 CFR 2.206 process.</w:t>
      </w:r>
    </w:p>
    <w:p w:rsidR="005F243A" w:rsidRPr="006375D7" w:rsidP="006375D7" w14:paraId="229EBCF1" w14:textId="77777777">
      <w:pPr>
        <w:spacing w:after="220"/>
        <w:rPr>
          <w:rFonts w:ascii="Arial" w:hAnsi="Arial" w:cs="Arial"/>
          <w:b/>
          <w:sz w:val="22"/>
          <w:szCs w:val="22"/>
        </w:rPr>
      </w:pPr>
      <w:r w:rsidRPr="006375D7">
        <w:rPr>
          <w:rFonts w:ascii="Arial" w:hAnsi="Arial" w:cs="Arial"/>
          <w:sz w:val="22"/>
          <w:szCs w:val="22"/>
        </w:rPr>
        <w:t>Accordingly, the NRC did not change the rule language in response to this comment.</w:t>
      </w:r>
    </w:p>
    <w:p w:rsidR="005F243A" w:rsidRPr="006375D7" w:rsidP="006375D7" w14:paraId="3EC33E25" w14:textId="77777777">
      <w:pPr>
        <w:spacing w:after="220"/>
        <w:rPr>
          <w:rFonts w:ascii="Arial" w:hAnsi="Arial" w:cs="Arial"/>
          <w:sz w:val="22"/>
          <w:szCs w:val="22"/>
        </w:rPr>
      </w:pPr>
      <w:r>
        <w:rPr>
          <w:rFonts w:ascii="Arial" w:hAnsi="Arial" w:cs="Arial"/>
          <w:sz w:val="22"/>
          <w:szCs w:val="22"/>
        </w:rPr>
        <w:pict>
          <v:rect id="_x0000_i1099" style="width:0;height:1.5pt" o:hralign="center" o:hrstd="t" o:hrnoshade="t" o:hr="t" fillcolor="black" stroked="f"/>
        </w:pict>
      </w:r>
    </w:p>
    <w:p w:rsidR="00BB55DE" w:rsidRPr="006375D7" w:rsidP="006375D7" w14:paraId="6333EE0D" w14:textId="77777777">
      <w:pPr>
        <w:spacing w:after="220"/>
        <w:rPr>
          <w:rFonts w:ascii="Arial" w:hAnsi="Arial" w:cs="Arial"/>
          <w:sz w:val="22"/>
          <w:szCs w:val="22"/>
        </w:rPr>
      </w:pPr>
      <w:r w:rsidRPr="006375D7">
        <w:rPr>
          <w:rFonts w:ascii="Arial" w:hAnsi="Arial" w:cs="Arial"/>
          <w:b/>
          <w:sz w:val="22"/>
          <w:szCs w:val="22"/>
        </w:rPr>
        <w:t xml:space="preserve">Comment Bin 3.2.4.D: </w:t>
      </w:r>
      <w:r w:rsidRPr="006375D7">
        <w:rPr>
          <w:rFonts w:ascii="Arial" w:hAnsi="Arial" w:cs="Arial"/>
          <w:sz w:val="22"/>
          <w:szCs w:val="22"/>
        </w:rPr>
        <w:t>A commenter asserted that because 10 CFR 53.240 duplicates requirements elsewhere in the rule, it could lead to unintended consequences and increased regulatory complexity and burden without an increase in safety. The commenter added it is important to ensure that only “relevant” or “appropriate” combinations of hazards are considered. The commenter suggested multiple revisions to the section as follows (</w:t>
      </w:r>
      <w:r w:rsidR="009D6BB9">
        <w:rPr>
          <w:rFonts w:ascii="Arial" w:hAnsi="Arial" w:cs="Arial"/>
          <w:sz w:val="22"/>
          <w:szCs w:val="22"/>
        </w:rPr>
        <w:t>NEI2</w:t>
      </w:r>
      <w:r w:rsidRPr="006375D7">
        <w:rPr>
          <w:rFonts w:ascii="Arial" w:hAnsi="Arial" w:cs="Arial"/>
          <w:sz w:val="22"/>
          <w:szCs w:val="22"/>
        </w:rPr>
        <w:t xml:space="preserve">-0040, </w:t>
      </w:r>
      <w:r w:rsidR="009D6BB9">
        <w:rPr>
          <w:rFonts w:ascii="Arial" w:hAnsi="Arial" w:cs="Arial"/>
          <w:sz w:val="22"/>
          <w:szCs w:val="22"/>
        </w:rPr>
        <w:t>NEI2</w:t>
      </w:r>
      <w:r w:rsidRPr="006375D7" w:rsidR="00C1073F">
        <w:rPr>
          <w:rFonts w:ascii="Arial" w:hAnsi="Arial" w:cs="Arial"/>
          <w:sz w:val="22"/>
          <w:szCs w:val="22"/>
        </w:rPr>
        <w:t xml:space="preserve">-0013, </w:t>
      </w:r>
      <w:r w:rsidR="00DF6CD2">
        <w:rPr>
          <w:rFonts w:ascii="Arial" w:hAnsi="Arial" w:cs="Arial"/>
          <w:sz w:val="22"/>
          <w:szCs w:val="22"/>
        </w:rPr>
        <w:t>NEI3</w:t>
      </w:r>
      <w:r w:rsidRPr="006375D7">
        <w:rPr>
          <w:rFonts w:ascii="Arial" w:hAnsi="Arial" w:cs="Arial"/>
          <w:sz w:val="22"/>
          <w:szCs w:val="22"/>
        </w:rPr>
        <w:t>-0013):</w:t>
      </w:r>
    </w:p>
    <w:p w:rsidR="00BB55DE" w:rsidRPr="006375D7" w:rsidP="006375D7" w14:paraId="5A40560B" w14:textId="77777777">
      <w:pPr>
        <w:numPr>
          <w:ilvl w:val="0"/>
          <w:numId w:val="19"/>
        </w:numPr>
        <w:spacing w:after="220"/>
        <w:rPr>
          <w:rFonts w:ascii="Arial" w:hAnsi="Arial" w:cs="Arial"/>
          <w:sz w:val="22"/>
          <w:szCs w:val="22"/>
        </w:rPr>
      </w:pPr>
      <w:r w:rsidRPr="006375D7">
        <w:rPr>
          <w:rFonts w:ascii="Arial" w:hAnsi="Arial" w:cs="Arial"/>
          <w:sz w:val="22"/>
          <w:szCs w:val="22"/>
        </w:rPr>
        <w:t>In paragraph (a), delete “and analyzed under § 53.450 to demonstrate that the safety requirements in this subpart have been satisfied.”</w:t>
      </w:r>
    </w:p>
    <w:p w:rsidR="00BB55DE" w:rsidRPr="006375D7" w:rsidP="006375D7" w14:paraId="7131BE5B" w14:textId="77777777">
      <w:pPr>
        <w:numPr>
          <w:ilvl w:val="0"/>
          <w:numId w:val="19"/>
        </w:numPr>
        <w:spacing w:after="220"/>
        <w:rPr>
          <w:rFonts w:ascii="Arial" w:hAnsi="Arial" w:cs="Arial"/>
          <w:sz w:val="22"/>
          <w:szCs w:val="22"/>
        </w:rPr>
      </w:pPr>
      <w:r w:rsidRPr="006375D7">
        <w:rPr>
          <w:rFonts w:ascii="Arial" w:hAnsi="Arial" w:cs="Arial"/>
          <w:sz w:val="22"/>
          <w:szCs w:val="22"/>
        </w:rPr>
        <w:t>In paragraph (b), change the language from “address combinations of” to read “address appropriate combinations of” or “address relevant combinations of</w:t>
      </w:r>
      <w:r w:rsidR="00286DAA">
        <w:rPr>
          <w:rFonts w:ascii="Arial" w:hAnsi="Arial" w:cs="Arial"/>
          <w:sz w:val="22"/>
          <w:szCs w:val="22"/>
        </w:rPr>
        <w:t>.</w:t>
      </w:r>
      <w:r w:rsidRPr="006375D7">
        <w:rPr>
          <w:rFonts w:ascii="Arial" w:hAnsi="Arial" w:cs="Arial"/>
          <w:sz w:val="22"/>
          <w:szCs w:val="22"/>
        </w:rPr>
        <w:t>”</w:t>
      </w:r>
    </w:p>
    <w:p w:rsidR="00BB55DE" w:rsidRPr="006375D7" w:rsidP="006375D7" w14:paraId="1C60AB83" w14:textId="77777777">
      <w:pPr>
        <w:numPr>
          <w:ilvl w:val="0"/>
          <w:numId w:val="19"/>
        </w:numPr>
        <w:spacing w:after="220"/>
        <w:rPr>
          <w:rFonts w:ascii="Arial" w:hAnsi="Arial" w:cs="Arial"/>
          <w:sz w:val="22"/>
          <w:szCs w:val="22"/>
        </w:rPr>
      </w:pPr>
      <w:r w:rsidRPr="006375D7">
        <w:rPr>
          <w:rFonts w:ascii="Arial" w:hAnsi="Arial" w:cs="Arial"/>
          <w:sz w:val="22"/>
          <w:szCs w:val="22"/>
        </w:rPr>
        <w:t>In paragraph (c), remove paragraph (1) (“Include analysis of one or more DBAs under § 53.450(f)”).</w:t>
      </w:r>
    </w:p>
    <w:p w:rsidR="005F243A" w:rsidRPr="006375D7" w:rsidP="006375D7" w14:paraId="43A07D35" w14:textId="77777777">
      <w:pPr>
        <w:spacing w:after="220"/>
        <w:rPr>
          <w:rFonts w:ascii="Arial" w:hAnsi="Arial" w:cs="Arial"/>
          <w:sz w:val="22"/>
          <w:szCs w:val="22"/>
        </w:rPr>
      </w:pPr>
      <w:r w:rsidRPr="006375D7">
        <w:rPr>
          <w:rFonts w:ascii="Arial" w:hAnsi="Arial" w:cs="Arial"/>
          <w:sz w:val="22"/>
          <w:szCs w:val="22"/>
        </w:rPr>
        <w:t>The commenter also wrote that the existing language in 10 CFR 53.240(c)(2) is ambiguous and recommended replacing “Confirm the adequacy of design features and programmatic controls” with “Evaluate the adequacy of design features and programmatic controls” (</w:t>
      </w:r>
      <w:r w:rsidR="00DF6CD2">
        <w:rPr>
          <w:rFonts w:ascii="Arial" w:hAnsi="Arial" w:cs="Arial"/>
          <w:sz w:val="22"/>
          <w:szCs w:val="22"/>
        </w:rPr>
        <w:t>NEI3</w:t>
      </w:r>
      <w:r w:rsidRPr="006375D7">
        <w:rPr>
          <w:rFonts w:ascii="Arial" w:hAnsi="Arial" w:cs="Arial"/>
          <w:sz w:val="22"/>
          <w:szCs w:val="22"/>
        </w:rPr>
        <w:t>-0014).</w:t>
      </w:r>
    </w:p>
    <w:p w:rsidR="00BB55DE" w:rsidRPr="006375D7" w:rsidP="006375D7" w14:paraId="7EF03211" w14:textId="77777777">
      <w:pPr>
        <w:spacing w:after="220"/>
        <w:rPr>
          <w:rFonts w:ascii="Arial" w:hAnsi="Arial" w:cs="Arial"/>
          <w:sz w:val="22"/>
          <w:szCs w:val="22"/>
        </w:rPr>
      </w:pPr>
      <w:r w:rsidRPr="006375D7">
        <w:rPr>
          <w:rFonts w:ascii="Arial" w:hAnsi="Arial" w:cs="Arial"/>
          <w:b/>
          <w:sz w:val="22"/>
          <w:szCs w:val="22"/>
        </w:rPr>
        <w:t>NRC Response:</w:t>
      </w:r>
      <w:r w:rsidRPr="006375D7">
        <w:rPr>
          <w:rFonts w:ascii="Arial" w:hAnsi="Arial" w:cs="Arial"/>
          <w:sz w:val="22"/>
          <w:szCs w:val="22"/>
        </w:rPr>
        <w:t> The NRC agrees, in part, with the comments.</w:t>
      </w:r>
    </w:p>
    <w:p w:rsidR="00BB55DE" w:rsidRPr="006375D7" w:rsidP="006375D7" w14:paraId="5FBDB1E1" w14:textId="77777777">
      <w:pPr>
        <w:spacing w:after="220"/>
        <w:rPr>
          <w:rFonts w:ascii="Arial" w:hAnsi="Arial" w:cs="Arial"/>
          <w:sz w:val="22"/>
          <w:szCs w:val="22"/>
        </w:rPr>
      </w:pPr>
      <w:r w:rsidRPr="006375D7">
        <w:rPr>
          <w:rFonts w:ascii="Arial" w:hAnsi="Arial" w:cs="Arial"/>
          <w:sz w:val="22"/>
          <w:szCs w:val="22"/>
        </w:rPr>
        <w:t>The NRC disagrees with deleting the reference to 10 CFR 53.450 in 10 CFR 53.240(a) because it makes a distinction between what analyses are required for LBEs versus measures and design features addressed by other analyses.</w:t>
      </w:r>
    </w:p>
    <w:p w:rsidR="00541D1B" w:rsidRPr="006375D7" w:rsidP="006375D7" w14:paraId="0B5E00C0" w14:textId="77777777">
      <w:pPr>
        <w:spacing w:after="220"/>
        <w:rPr>
          <w:rFonts w:ascii="Arial" w:hAnsi="Arial" w:cs="Arial"/>
          <w:sz w:val="22"/>
          <w:szCs w:val="22"/>
        </w:rPr>
      </w:pPr>
      <w:r w:rsidRPr="006375D7">
        <w:rPr>
          <w:rFonts w:ascii="Arial" w:hAnsi="Arial" w:cs="Arial"/>
          <w:sz w:val="22"/>
          <w:szCs w:val="22"/>
        </w:rPr>
        <w:t>The NRC agrees that clarification was warranted for the language used in 10</w:t>
      </w:r>
      <w:r w:rsidRPr="006375D7" w:rsidR="008E0E24">
        <w:rPr>
          <w:rFonts w:ascii="Arial" w:hAnsi="Arial" w:cs="Arial"/>
          <w:sz w:val="22"/>
          <w:szCs w:val="22"/>
        </w:rPr>
        <w:t> </w:t>
      </w:r>
      <w:r w:rsidRPr="006375D7">
        <w:rPr>
          <w:rFonts w:ascii="Arial" w:hAnsi="Arial" w:cs="Arial"/>
          <w:sz w:val="22"/>
          <w:szCs w:val="22"/>
        </w:rPr>
        <w:t>CFR</w:t>
      </w:r>
      <w:r w:rsidRPr="006375D7" w:rsidR="005B3940">
        <w:rPr>
          <w:rFonts w:ascii="Arial" w:hAnsi="Arial" w:cs="Arial"/>
          <w:sz w:val="22"/>
          <w:szCs w:val="22"/>
        </w:rPr>
        <w:t> </w:t>
      </w:r>
      <w:r w:rsidRPr="006375D7">
        <w:rPr>
          <w:rFonts w:ascii="Arial" w:hAnsi="Arial" w:cs="Arial"/>
          <w:sz w:val="22"/>
          <w:szCs w:val="22"/>
        </w:rPr>
        <w:t xml:space="preserve">53.240(b) and </w:t>
      </w:r>
      <w:r w:rsidR="00F24B99">
        <w:rPr>
          <w:rFonts w:ascii="Arial" w:hAnsi="Arial" w:cs="Arial"/>
          <w:sz w:val="22"/>
          <w:szCs w:val="22"/>
        </w:rPr>
        <w:t>revis</w:t>
      </w:r>
      <w:r w:rsidR="0085116D">
        <w:rPr>
          <w:rFonts w:ascii="Arial" w:hAnsi="Arial" w:cs="Arial"/>
          <w:sz w:val="22"/>
          <w:szCs w:val="22"/>
        </w:rPr>
        <w:t>ed</w:t>
      </w:r>
      <w:r w:rsidRPr="006375D7">
        <w:rPr>
          <w:rFonts w:ascii="Arial" w:hAnsi="Arial" w:cs="Arial"/>
          <w:sz w:val="22"/>
          <w:szCs w:val="22"/>
        </w:rPr>
        <w:t xml:space="preserve"> the final rule to state that LBEs must collectively address “appropriate risk-informed” combinations of malfunctions of plant SSCs, human errors, facility hazards, and the effects of external hazards.</w:t>
      </w:r>
    </w:p>
    <w:p w:rsidR="00BB55DE" w:rsidRPr="006375D7" w:rsidP="006375D7" w14:paraId="304F6A77" w14:textId="77777777">
      <w:pPr>
        <w:spacing w:after="220"/>
        <w:rPr>
          <w:rFonts w:ascii="Arial" w:hAnsi="Arial" w:cs="Arial"/>
          <w:sz w:val="22"/>
          <w:szCs w:val="22"/>
        </w:rPr>
      </w:pPr>
      <w:r w:rsidRPr="006375D7">
        <w:rPr>
          <w:rFonts w:ascii="Arial" w:hAnsi="Arial" w:cs="Arial"/>
          <w:sz w:val="22"/>
          <w:szCs w:val="22"/>
        </w:rPr>
        <w:t>The NRC disagrees with deleting 10 CFR 53.240(c)(1) because doing so would remove the requirement to include DBAs in a licensing basis, which is a fundamental construct of the 10</w:t>
      </w:r>
      <w:r w:rsidR="00217409">
        <w:rPr>
          <w:rFonts w:ascii="Arial" w:hAnsi="Arial" w:cs="Arial"/>
          <w:sz w:val="22"/>
          <w:szCs w:val="22"/>
        </w:rPr>
        <w:t> </w:t>
      </w:r>
      <w:r w:rsidRPr="006375D7">
        <w:rPr>
          <w:rFonts w:ascii="Arial" w:hAnsi="Arial" w:cs="Arial"/>
          <w:sz w:val="22"/>
          <w:szCs w:val="22"/>
        </w:rPr>
        <w:t>CFR Part 53 regulatory framework.</w:t>
      </w:r>
    </w:p>
    <w:p w:rsidR="00BB55DE" w:rsidRPr="006375D7" w:rsidP="006375D7" w14:paraId="71B43137" w14:textId="77777777">
      <w:pPr>
        <w:spacing w:after="220"/>
        <w:rPr>
          <w:rFonts w:ascii="Arial" w:hAnsi="Arial" w:cs="Arial"/>
          <w:sz w:val="22"/>
          <w:szCs w:val="22"/>
        </w:rPr>
      </w:pPr>
      <w:r w:rsidRPr="006375D7">
        <w:rPr>
          <w:rFonts w:ascii="Arial" w:hAnsi="Arial" w:cs="Arial"/>
          <w:sz w:val="22"/>
          <w:szCs w:val="22"/>
        </w:rPr>
        <w:t>The NRC disagrees with the recommended change to 10 CFR 53.240(c)(2) because requiring that the evaluation only be performed may not result in determining whether design features and programmatic controls are adequate to satisfy the safety criteria in 10 CFR 53.210 and 10</w:t>
      </w:r>
      <w:r w:rsidR="00217409">
        <w:rPr>
          <w:rFonts w:ascii="Arial" w:hAnsi="Arial" w:cs="Arial"/>
          <w:sz w:val="22"/>
          <w:szCs w:val="22"/>
        </w:rPr>
        <w:t> </w:t>
      </w:r>
      <w:r w:rsidRPr="006375D7">
        <w:rPr>
          <w:rFonts w:ascii="Arial" w:hAnsi="Arial" w:cs="Arial"/>
          <w:sz w:val="22"/>
          <w:szCs w:val="22"/>
        </w:rPr>
        <w:t>CFR</w:t>
      </w:r>
      <w:r w:rsidR="00217409">
        <w:rPr>
          <w:rFonts w:ascii="Arial" w:hAnsi="Arial" w:cs="Arial"/>
          <w:sz w:val="22"/>
          <w:szCs w:val="22"/>
        </w:rPr>
        <w:t> </w:t>
      </w:r>
      <w:r w:rsidRPr="006375D7">
        <w:rPr>
          <w:rFonts w:ascii="Arial" w:hAnsi="Arial" w:cs="Arial"/>
          <w:sz w:val="22"/>
          <w:szCs w:val="22"/>
        </w:rPr>
        <w:t xml:space="preserve">53.220. </w:t>
      </w:r>
    </w:p>
    <w:p w:rsidR="00BB55DE" w:rsidRPr="006375D7" w:rsidP="006375D7" w14:paraId="28D110F4" w14:textId="77777777">
      <w:pPr>
        <w:spacing w:after="220"/>
        <w:rPr>
          <w:rFonts w:ascii="Arial" w:hAnsi="Arial" w:cs="Arial"/>
          <w:b/>
          <w:sz w:val="22"/>
          <w:szCs w:val="22"/>
        </w:rPr>
      </w:pPr>
      <w:r w:rsidRPr="006375D7">
        <w:rPr>
          <w:rFonts w:ascii="Arial" w:hAnsi="Arial" w:cs="Arial"/>
          <w:sz w:val="22"/>
          <w:szCs w:val="22"/>
        </w:rPr>
        <w:t>Accordingly, the NRC did not change the rule language in response to these comments, except for the suggested change to 10 CFR 53.240(b).</w:t>
      </w:r>
    </w:p>
    <w:p w:rsidR="000E5B49" w:rsidRPr="006375D7" w:rsidP="006375D7" w14:paraId="778431C9" w14:textId="77777777">
      <w:pPr>
        <w:spacing w:after="220"/>
        <w:rPr>
          <w:rFonts w:ascii="Arial" w:hAnsi="Arial" w:cs="Arial"/>
          <w:sz w:val="22"/>
          <w:szCs w:val="22"/>
        </w:rPr>
      </w:pPr>
      <w:r>
        <w:rPr>
          <w:rFonts w:ascii="Arial" w:hAnsi="Arial" w:cs="Arial"/>
          <w:sz w:val="22"/>
          <w:szCs w:val="22"/>
        </w:rPr>
        <w:pict>
          <v:rect id="_x0000_i1100" style="width:0;height:1.5pt" o:hralign="center" o:hrstd="t" o:hrnoshade="t" o:hr="t" fillcolor="black" stroked="f"/>
        </w:pict>
      </w:r>
    </w:p>
    <w:p w:rsidR="00BB55DE" w:rsidRPr="006375D7" w:rsidP="006375D7" w14:paraId="2576E15C" w14:textId="77777777">
      <w:pPr>
        <w:spacing w:after="220"/>
        <w:rPr>
          <w:rFonts w:ascii="Arial" w:hAnsi="Arial" w:cs="Arial"/>
          <w:sz w:val="22"/>
          <w:szCs w:val="22"/>
        </w:rPr>
      </w:pPr>
      <w:r w:rsidRPr="006375D7">
        <w:rPr>
          <w:rFonts w:ascii="Arial" w:hAnsi="Arial" w:cs="Arial"/>
          <w:b/>
          <w:sz w:val="22"/>
          <w:szCs w:val="22"/>
        </w:rPr>
        <w:t xml:space="preserve">Comment Bin 3.2.4.E: </w:t>
      </w:r>
      <w:r w:rsidRPr="006375D7">
        <w:rPr>
          <w:rFonts w:ascii="Arial" w:hAnsi="Arial" w:cs="Arial"/>
          <w:sz w:val="22"/>
          <w:szCs w:val="22"/>
        </w:rPr>
        <w:t>A commenter recommend</w:t>
      </w:r>
      <w:r w:rsidR="007A029F">
        <w:rPr>
          <w:rFonts w:ascii="Arial" w:hAnsi="Arial" w:cs="Arial"/>
          <w:sz w:val="22"/>
          <w:szCs w:val="22"/>
        </w:rPr>
        <w:t>ed</w:t>
      </w:r>
      <w:r w:rsidRPr="006375D7">
        <w:rPr>
          <w:rFonts w:ascii="Arial" w:hAnsi="Arial" w:cs="Arial"/>
          <w:sz w:val="22"/>
          <w:szCs w:val="22"/>
        </w:rPr>
        <w:t xml:space="preserve"> revising 10 CFR 53.230 to improve the structure and organization of the rule language. With regard to 10 CFR 53.230(a), the commenter wrote that this paragraph identifies limiting release of radioactive materials as the primary safety function over the life of the plant. The commenter wrote that, interpreted according to the terms of ANSI/</w:t>
      </w:r>
      <w:r w:rsidR="00346724">
        <w:rPr>
          <w:rFonts w:ascii="Arial" w:hAnsi="Arial" w:cs="Arial"/>
          <w:sz w:val="22"/>
          <w:szCs w:val="22"/>
        </w:rPr>
        <w:t>American Nuclear Society (</w:t>
      </w:r>
      <w:r w:rsidRPr="006375D7">
        <w:rPr>
          <w:rFonts w:ascii="Arial" w:hAnsi="Arial" w:cs="Arial"/>
          <w:sz w:val="22"/>
          <w:szCs w:val="22"/>
        </w:rPr>
        <w:t>ANS</w:t>
      </w:r>
      <w:r w:rsidR="00346724">
        <w:rPr>
          <w:rFonts w:ascii="Arial" w:hAnsi="Arial" w:cs="Arial"/>
          <w:sz w:val="22"/>
          <w:szCs w:val="22"/>
        </w:rPr>
        <w:t>)</w:t>
      </w:r>
      <w:r w:rsidRPr="006375D7">
        <w:rPr>
          <w:rFonts w:ascii="Arial" w:hAnsi="Arial" w:cs="Arial"/>
          <w:sz w:val="22"/>
          <w:szCs w:val="22"/>
        </w:rPr>
        <w:t>-30.3, the requirement would apply at the plant level so that all design features and programmatic controls support the requirement. The commenter wrote that from the perspective of structured performance objectives in a performance-based approach, the safety objective of limiting release of radioactive materials would occur at the highest level, then decomposed to show relationships and dependencies of other supporting functions, and the performance standard associated with the primary safety function should apply consistently for requirements specified for all phases. The commenter recommends revising 10</w:t>
      </w:r>
      <w:r w:rsidRPr="006375D7" w:rsidR="001432A5">
        <w:rPr>
          <w:rFonts w:ascii="Arial" w:hAnsi="Arial" w:cs="Arial"/>
          <w:sz w:val="22"/>
          <w:szCs w:val="22"/>
        </w:rPr>
        <w:t> </w:t>
      </w:r>
      <w:r w:rsidRPr="006375D7">
        <w:rPr>
          <w:rFonts w:ascii="Arial" w:hAnsi="Arial" w:cs="Arial"/>
          <w:sz w:val="22"/>
          <w:szCs w:val="22"/>
        </w:rPr>
        <w:t>CFR</w:t>
      </w:r>
      <w:r w:rsidRPr="006375D7" w:rsidR="001432A5">
        <w:rPr>
          <w:rFonts w:ascii="Arial" w:hAnsi="Arial" w:cs="Arial"/>
          <w:sz w:val="22"/>
          <w:szCs w:val="22"/>
        </w:rPr>
        <w:t> </w:t>
      </w:r>
      <w:r w:rsidRPr="006375D7">
        <w:rPr>
          <w:rFonts w:ascii="Arial" w:hAnsi="Arial" w:cs="Arial"/>
          <w:sz w:val="22"/>
          <w:szCs w:val="22"/>
        </w:rPr>
        <w:t>53.230(a) as follows:</w:t>
      </w:r>
    </w:p>
    <w:p w:rsidR="00BB55DE" w:rsidRPr="006375D7" w:rsidP="006375D7" w14:paraId="5CB04B48" w14:textId="77777777">
      <w:pPr>
        <w:spacing w:after="220"/>
        <w:ind w:left="720" w:right="720"/>
        <w:rPr>
          <w:rFonts w:ascii="Arial" w:hAnsi="Arial" w:cs="Arial"/>
          <w:sz w:val="22"/>
          <w:szCs w:val="22"/>
        </w:rPr>
      </w:pPr>
      <w:r w:rsidRPr="006375D7">
        <w:rPr>
          <w:rFonts w:ascii="Arial" w:hAnsi="Arial" w:cs="Arial"/>
          <w:sz w:val="22"/>
          <w:szCs w:val="22"/>
        </w:rPr>
        <w:t>(a) The primary safety function is limiting the release of radioactive materials from the facility over the life of the plant.</w:t>
      </w:r>
    </w:p>
    <w:p w:rsidR="00BB55DE" w:rsidRPr="006375D7" w:rsidP="006375D7" w14:paraId="7244E038" w14:textId="77777777">
      <w:pPr>
        <w:spacing w:after="220"/>
        <w:rPr>
          <w:rFonts w:ascii="Arial" w:hAnsi="Arial" w:cs="Arial"/>
          <w:sz w:val="22"/>
          <w:szCs w:val="22"/>
        </w:rPr>
      </w:pPr>
      <w:r w:rsidRPr="006375D7">
        <w:rPr>
          <w:rFonts w:ascii="Arial" w:hAnsi="Arial" w:cs="Arial"/>
          <w:sz w:val="22"/>
          <w:szCs w:val="22"/>
        </w:rPr>
        <w:t xml:space="preserve">The commenter also wrote that the rule language in 10 CFR 53.230(b) is confusing as it implies that the functionalities associated with controlling reactivity, heat generation, heat removal, and chemical interactions are significant only during those events identified as LBEs. This would be </w:t>
      </w:r>
      <w:r w:rsidRPr="006375D7">
        <w:rPr>
          <w:rFonts w:ascii="Arial" w:hAnsi="Arial" w:cs="Arial"/>
          <w:sz w:val="22"/>
          <w:szCs w:val="22"/>
        </w:rPr>
        <w:t>erroneous because these functionalities are important considerations during all phases of the plant life cycle. The commenter recommends revising 10 CFR 53.230(b) as follows:</w:t>
      </w:r>
    </w:p>
    <w:p w:rsidR="00BB55DE" w:rsidRPr="006375D7" w:rsidP="006375D7" w14:paraId="575AC718" w14:textId="77777777">
      <w:pPr>
        <w:spacing w:after="220"/>
        <w:ind w:left="720" w:right="720"/>
        <w:rPr>
          <w:rFonts w:ascii="Arial" w:hAnsi="Arial" w:cs="Arial"/>
          <w:sz w:val="22"/>
          <w:szCs w:val="22"/>
        </w:rPr>
      </w:pPr>
      <w:r w:rsidRPr="006375D7">
        <w:rPr>
          <w:rFonts w:ascii="Arial" w:hAnsi="Arial" w:cs="Arial"/>
          <w:sz w:val="22"/>
          <w:szCs w:val="22"/>
        </w:rPr>
        <w:t>(b) Safety functions needed to support the retention of radioactive materials - such as controlling reactivity, heat generation, heat removal, and chemical interactions - must be identified for each commercial nuclear plant.</w:t>
      </w:r>
    </w:p>
    <w:p w:rsidR="00BB55DE" w:rsidRPr="006375D7" w:rsidP="006375D7" w14:paraId="5094BC35" w14:textId="77777777">
      <w:pPr>
        <w:spacing w:after="220"/>
        <w:rPr>
          <w:rFonts w:ascii="Arial" w:hAnsi="Arial" w:cs="Arial"/>
          <w:sz w:val="22"/>
          <w:szCs w:val="22"/>
        </w:rPr>
      </w:pPr>
      <w:r w:rsidRPr="006375D7">
        <w:rPr>
          <w:rFonts w:ascii="Arial" w:hAnsi="Arial" w:cs="Arial"/>
          <w:sz w:val="22"/>
          <w:szCs w:val="22"/>
        </w:rPr>
        <w:t>The commenter wrote that these changes to both paragraphs would apply systems</w:t>
      </w:r>
      <w:r w:rsidRPr="006375D7">
        <w:rPr>
          <w:rFonts w:ascii="Arial" w:hAnsi="Arial" w:cs="Arial"/>
          <w:sz w:val="22"/>
          <w:szCs w:val="22"/>
        </w:rPr>
        <w:noBreakHyphen/>
        <w:t>engineering best practices and would make the requirements better aligned with performance-based principles (</w:t>
      </w:r>
      <w:r w:rsidR="00C3447B">
        <w:rPr>
          <w:rFonts w:ascii="Arial" w:hAnsi="Arial" w:cs="Arial"/>
          <w:sz w:val="22"/>
          <w:szCs w:val="22"/>
        </w:rPr>
        <w:t>ROSE</w:t>
      </w:r>
      <w:r w:rsidRPr="006375D7">
        <w:rPr>
          <w:rFonts w:ascii="Arial" w:hAnsi="Arial" w:cs="Arial"/>
          <w:sz w:val="22"/>
          <w:szCs w:val="22"/>
        </w:rPr>
        <w:t>-0005). </w:t>
      </w:r>
    </w:p>
    <w:p w:rsidR="000F6ED6" w:rsidRPr="006375D7" w:rsidP="006375D7" w14:paraId="75052AF2" w14:textId="77777777">
      <w:pPr>
        <w:spacing w:after="220"/>
        <w:rPr>
          <w:rFonts w:ascii="Arial" w:hAnsi="Arial" w:cs="Arial"/>
          <w:sz w:val="22"/>
          <w:szCs w:val="22"/>
        </w:rPr>
      </w:pPr>
      <w:r w:rsidRPr="006375D7">
        <w:rPr>
          <w:rFonts w:ascii="Arial" w:hAnsi="Arial" w:cs="Arial"/>
          <w:b/>
          <w:sz w:val="22"/>
          <w:szCs w:val="22"/>
        </w:rPr>
        <w:t>NRC Response:</w:t>
      </w:r>
      <w:r w:rsidRPr="006375D7">
        <w:rPr>
          <w:rFonts w:ascii="Arial" w:hAnsi="Arial" w:cs="Arial"/>
          <w:sz w:val="22"/>
          <w:szCs w:val="22"/>
        </w:rPr>
        <w:t> The NRC disagrees with th</w:t>
      </w:r>
      <w:r w:rsidR="00864E8F">
        <w:rPr>
          <w:rFonts w:ascii="Arial" w:hAnsi="Arial" w:cs="Arial"/>
          <w:sz w:val="22"/>
          <w:szCs w:val="22"/>
        </w:rPr>
        <w:t>e</w:t>
      </w:r>
      <w:r w:rsidR="003452C8">
        <w:rPr>
          <w:rFonts w:ascii="Arial" w:hAnsi="Arial" w:cs="Arial"/>
          <w:sz w:val="22"/>
          <w:szCs w:val="22"/>
        </w:rPr>
        <w:t xml:space="preserve"> </w:t>
      </w:r>
      <w:r w:rsidRPr="006375D7">
        <w:rPr>
          <w:rFonts w:ascii="Arial" w:hAnsi="Arial" w:cs="Arial"/>
          <w:sz w:val="22"/>
          <w:szCs w:val="22"/>
        </w:rPr>
        <w:t>comment.</w:t>
      </w:r>
    </w:p>
    <w:p w:rsidR="001432A5" w:rsidRPr="006375D7" w:rsidP="006375D7" w14:paraId="624D831E" w14:textId="77777777">
      <w:pPr>
        <w:spacing w:after="220"/>
        <w:rPr>
          <w:rFonts w:ascii="Arial" w:hAnsi="Arial" w:cs="Arial"/>
          <w:sz w:val="22"/>
          <w:szCs w:val="22"/>
        </w:rPr>
      </w:pPr>
      <w:r w:rsidRPr="006375D7">
        <w:rPr>
          <w:rFonts w:ascii="Arial" w:hAnsi="Arial" w:cs="Arial"/>
          <w:sz w:val="22"/>
          <w:szCs w:val="22"/>
        </w:rPr>
        <w:t>As explained in the proposed and final rules, 10 CFR 53.230 requires safety functions needed to ensure that the safety criteria under 10 CFR 53.210 and 53.220 can be met if an assumed LBE were to occur at a commercial nuclear plant. The structure of 10 CFR Part 53 distinguishes between the safety functions associated with preventing or mitigating unplanned events and the design features and programmatic controls to limit doses to the public and workers that result from normal operations.</w:t>
      </w:r>
    </w:p>
    <w:p w:rsidR="00BB55DE" w:rsidRPr="006375D7" w:rsidP="006375D7" w14:paraId="52AC03D1" w14:textId="77777777">
      <w:pPr>
        <w:spacing w:after="220"/>
        <w:rPr>
          <w:rFonts w:ascii="Arial" w:hAnsi="Arial" w:cs="Arial"/>
          <w:b/>
          <w:sz w:val="22"/>
          <w:szCs w:val="22"/>
        </w:rPr>
      </w:pPr>
      <w:r w:rsidRPr="006375D7">
        <w:rPr>
          <w:rFonts w:ascii="Arial" w:hAnsi="Arial" w:cs="Arial"/>
          <w:sz w:val="22"/>
          <w:szCs w:val="22"/>
        </w:rPr>
        <w:t>Accordingly, the NRC did not change the rule language in response to this comment.</w:t>
      </w:r>
    </w:p>
    <w:p w:rsidR="000F3D5B" w:rsidRPr="00F97A1B" w:rsidP="006375D7" w14:paraId="2C1B54AD" w14:textId="77777777">
      <w:pPr>
        <w:spacing w:after="220"/>
        <w:rPr>
          <w:rFonts w:ascii="Arial" w:hAnsi="Arial" w:cs="Arial"/>
        </w:rPr>
      </w:pPr>
      <w:r>
        <w:rPr>
          <w:rFonts w:ascii="Arial" w:hAnsi="Arial" w:cs="Arial"/>
        </w:rPr>
        <w:pict>
          <v:rect id="_x0000_i1101" style="width:0;height:1.5pt" o:hralign="center" o:hrstd="t" o:hrnoshade="t" o:hr="t" fillcolor="black" stroked="f"/>
        </w:pict>
      </w:r>
    </w:p>
    <w:p w:rsidR="002D5858" w:rsidRPr="005E489E" w:rsidP="00A27ADE" w14:paraId="2F8C2BF8" w14:textId="77777777">
      <w:pPr>
        <w:pStyle w:val="Heading2"/>
        <w:keepNext/>
        <w:keepLines/>
        <w:numPr>
          <w:ilvl w:val="0"/>
          <w:numId w:val="0"/>
        </w:numPr>
        <w:ind w:left="720" w:hanging="720"/>
        <w:rPr>
          <w:rFonts w:eastAsia="Times New Roman"/>
          <w:b/>
        </w:rPr>
      </w:pPr>
      <w:bookmarkStart w:id="30" w:name="_Toc194467903"/>
      <w:bookmarkStart w:id="31" w:name="_Toc207222808"/>
      <w:r w:rsidRPr="004128BE">
        <w:rPr>
          <w:u w:val="none"/>
        </w:rPr>
        <w:t>3.3.</w:t>
      </w:r>
      <w:r w:rsidRPr="004128BE">
        <w:rPr>
          <w:u w:val="none"/>
        </w:rPr>
        <w:tab/>
      </w:r>
      <w:r w:rsidRPr="00C21AF1" w:rsidR="000F3D5B">
        <w:t>Subpart C: Design and Analysis Requirements (§§ 53.400-53.480)</w:t>
      </w:r>
      <w:bookmarkStart w:id="32" w:name="_Toc205379990"/>
      <w:bookmarkStart w:id="33" w:name="_Toc205379989"/>
      <w:bookmarkEnd w:id="30"/>
      <w:bookmarkEnd w:id="31"/>
      <w:bookmarkEnd w:id="32"/>
      <w:bookmarkEnd w:id="33"/>
    </w:p>
    <w:p w:rsidR="000F3D5B" w:rsidRPr="004E2C0E" w:rsidP="007D78E7" w14:paraId="2F7F88A2" w14:textId="77777777">
      <w:pPr>
        <w:pStyle w:val="Heading3"/>
        <w:numPr>
          <w:ilvl w:val="0"/>
          <w:numId w:val="0"/>
        </w:numPr>
        <w:ind w:left="720" w:hanging="720"/>
      </w:pPr>
      <w:bookmarkStart w:id="34" w:name="_Toc207222809"/>
      <w:r w:rsidRPr="007D78E7">
        <w:rPr>
          <w:u w:val="none"/>
        </w:rPr>
        <w:t>3.3.1</w:t>
      </w:r>
      <w:r w:rsidRPr="007D78E7">
        <w:rPr>
          <w:u w:val="none"/>
        </w:rPr>
        <w:tab/>
      </w:r>
      <w:r w:rsidRPr="004E2C0E">
        <w:t>Design features and functional design criteria (§§ 53.400-53.430)</w:t>
      </w:r>
      <w:bookmarkEnd w:id="34"/>
    </w:p>
    <w:p w:rsidR="00421C56" w:rsidRPr="004E2C0E" w:rsidP="00A27ADE" w14:paraId="4AA989E4" w14:textId="77777777">
      <w:pPr>
        <w:keepNext/>
        <w:keepLines/>
        <w:spacing w:after="220"/>
        <w:rPr>
          <w:rFonts w:ascii="Arial" w:eastAsia="Times New Roman" w:hAnsi="Arial" w:cs="Arial"/>
          <w:sz w:val="22"/>
          <w:szCs w:val="22"/>
        </w:rPr>
      </w:pPr>
      <w:r w:rsidRPr="004E2C0E">
        <w:rPr>
          <w:rFonts w:ascii="Arial" w:hAnsi="Arial" w:cs="Arial"/>
          <w:b/>
          <w:sz w:val="22"/>
          <w:szCs w:val="22"/>
        </w:rPr>
        <w:t xml:space="preserve">Comment Bin 3.3.1.A: </w:t>
      </w:r>
      <w:r w:rsidRPr="004E2C0E">
        <w:rPr>
          <w:rFonts w:ascii="Arial" w:eastAsia="Times New Roman" w:hAnsi="Arial" w:cs="Arial"/>
          <w:sz w:val="22"/>
          <w:szCs w:val="22"/>
        </w:rPr>
        <w:t>For alignment with the licensing framework under 10</w:t>
      </w:r>
      <w:r w:rsidRPr="004E2C0E" w:rsidR="003906A9">
        <w:rPr>
          <w:rFonts w:ascii="Arial" w:eastAsia="Times New Roman" w:hAnsi="Arial" w:cs="Arial"/>
          <w:sz w:val="22"/>
          <w:szCs w:val="22"/>
        </w:rPr>
        <w:t> </w:t>
      </w:r>
      <w:r w:rsidRPr="004E2C0E">
        <w:rPr>
          <w:rFonts w:ascii="Arial" w:eastAsia="Times New Roman" w:hAnsi="Arial" w:cs="Arial"/>
          <w:sz w:val="22"/>
          <w:szCs w:val="22"/>
        </w:rPr>
        <w:t>CFR</w:t>
      </w:r>
      <w:r w:rsidRPr="004E2C0E" w:rsidR="003906A9">
        <w:rPr>
          <w:rFonts w:ascii="Arial" w:eastAsia="Times New Roman" w:hAnsi="Arial" w:cs="Arial"/>
          <w:sz w:val="22"/>
          <w:szCs w:val="22"/>
        </w:rPr>
        <w:t> </w:t>
      </w:r>
      <w:r w:rsidRPr="004E2C0E">
        <w:rPr>
          <w:rFonts w:ascii="Arial" w:eastAsia="Times New Roman" w:hAnsi="Arial" w:cs="Arial"/>
          <w:sz w:val="22"/>
          <w:szCs w:val="22"/>
        </w:rPr>
        <w:t>Part</w:t>
      </w:r>
      <w:r w:rsidRPr="004E2C0E" w:rsidR="003906A9">
        <w:rPr>
          <w:rFonts w:ascii="Arial" w:eastAsia="Times New Roman" w:hAnsi="Arial" w:cs="Arial"/>
          <w:sz w:val="22"/>
          <w:szCs w:val="22"/>
        </w:rPr>
        <w:t> </w:t>
      </w:r>
      <w:r w:rsidRPr="004E2C0E">
        <w:rPr>
          <w:rFonts w:ascii="Arial" w:eastAsia="Times New Roman" w:hAnsi="Arial" w:cs="Arial"/>
          <w:sz w:val="22"/>
          <w:szCs w:val="22"/>
        </w:rPr>
        <w:t>50 and 10 CFR Part 52, a commenter recommended the NRC revise 10</w:t>
      </w:r>
      <w:r w:rsidRPr="004E2C0E" w:rsidR="003906A9">
        <w:rPr>
          <w:rFonts w:ascii="Arial" w:eastAsia="Times New Roman" w:hAnsi="Arial" w:cs="Arial"/>
          <w:sz w:val="22"/>
          <w:szCs w:val="22"/>
        </w:rPr>
        <w:t> </w:t>
      </w:r>
      <w:r w:rsidRPr="004E2C0E">
        <w:rPr>
          <w:rFonts w:ascii="Arial" w:eastAsia="Times New Roman" w:hAnsi="Arial" w:cs="Arial"/>
          <w:sz w:val="22"/>
          <w:szCs w:val="22"/>
        </w:rPr>
        <w:t>CFR 53.425 to make the requirements apply on a per-reactor and/or per-license basis rather than on a per-site basis, which could impose overly restrictive constraints from a design perspective for effluents during normal operations, especially when multiple reactors are planned for a single site (</w:t>
      </w:r>
      <w:r w:rsidR="009D6BB9">
        <w:rPr>
          <w:rFonts w:ascii="Arial" w:eastAsia="Times New Roman" w:hAnsi="Arial" w:cs="Arial"/>
          <w:sz w:val="22"/>
          <w:szCs w:val="22"/>
        </w:rPr>
        <w:t>NEI2</w:t>
      </w:r>
      <w:r w:rsidRPr="004E2C0E">
        <w:rPr>
          <w:rFonts w:ascii="Arial" w:eastAsia="Times New Roman" w:hAnsi="Arial" w:cs="Arial"/>
          <w:sz w:val="22"/>
          <w:szCs w:val="22"/>
        </w:rPr>
        <w:t>-0044).</w:t>
      </w:r>
    </w:p>
    <w:p w:rsidR="00F5049C" w:rsidRPr="004E2C0E" w:rsidP="004E2C0E" w14:paraId="651BBDE7" w14:textId="77777777">
      <w:pPr>
        <w:spacing w:after="220"/>
        <w:rPr>
          <w:rFonts w:ascii="Arial" w:hAnsi="Arial" w:cs="Arial"/>
          <w:sz w:val="22"/>
          <w:szCs w:val="22"/>
        </w:rPr>
      </w:pPr>
      <w:r w:rsidRPr="004E2C0E">
        <w:rPr>
          <w:rFonts w:ascii="Arial" w:hAnsi="Arial" w:cs="Arial"/>
          <w:b/>
          <w:sz w:val="22"/>
          <w:szCs w:val="22"/>
        </w:rPr>
        <w:t>NRC Response:</w:t>
      </w:r>
      <w:r w:rsidRPr="004E2C0E">
        <w:rPr>
          <w:rFonts w:ascii="Arial" w:hAnsi="Arial" w:cs="Arial"/>
          <w:sz w:val="22"/>
          <w:szCs w:val="22"/>
        </w:rPr>
        <w:t> The NRC disagrees with th</w:t>
      </w:r>
      <w:r w:rsidR="008A7308">
        <w:rPr>
          <w:rFonts w:ascii="Arial" w:hAnsi="Arial" w:cs="Arial"/>
          <w:sz w:val="22"/>
          <w:szCs w:val="22"/>
        </w:rPr>
        <w:t>e</w:t>
      </w:r>
      <w:r w:rsidRPr="004E2C0E">
        <w:rPr>
          <w:rFonts w:ascii="Arial" w:hAnsi="Arial" w:cs="Arial"/>
          <w:sz w:val="22"/>
          <w:szCs w:val="22"/>
        </w:rPr>
        <w:t xml:space="preserve"> comment.</w:t>
      </w:r>
    </w:p>
    <w:p w:rsidR="003906A9" w:rsidRPr="004E2C0E" w:rsidP="004E2C0E" w14:paraId="74512B18" w14:textId="77777777">
      <w:pPr>
        <w:spacing w:after="220"/>
        <w:rPr>
          <w:rFonts w:ascii="Arial" w:hAnsi="Arial" w:cs="Arial"/>
          <w:sz w:val="22"/>
          <w:szCs w:val="22"/>
        </w:rPr>
      </w:pPr>
      <w:r w:rsidRPr="004E2C0E">
        <w:rPr>
          <w:rFonts w:ascii="Arial" w:hAnsi="Arial" w:cs="Arial"/>
          <w:sz w:val="22"/>
          <w:szCs w:val="22"/>
        </w:rPr>
        <w:t xml:space="preserve">As a technology-inclusive regulatory framework, 10 CFR Part 53 was developed for the evaluation of unplanned and routine releases of radiological material to be performed on a sitewide basis recognizing that some designs may have multiple reactors operating at a single site and some designs could have many more reactors on site than currently operating facilities. </w:t>
      </w:r>
      <w:r w:rsidRPr="004E2C0E" w:rsidR="005901ED">
        <w:rPr>
          <w:rFonts w:ascii="Arial" w:hAnsi="Arial" w:cs="Arial"/>
          <w:sz w:val="22"/>
          <w:szCs w:val="22"/>
        </w:rPr>
        <w:t xml:space="preserve">In addition, some reactor technologies </w:t>
      </w:r>
      <w:r w:rsidRPr="004E2C0E" w:rsidR="00597FA5">
        <w:rPr>
          <w:rFonts w:ascii="Arial" w:hAnsi="Arial" w:cs="Arial"/>
          <w:sz w:val="22"/>
          <w:szCs w:val="22"/>
        </w:rPr>
        <w:t>will have significant inventories of radioactive material in</w:t>
      </w:r>
      <w:r w:rsidRPr="004E2C0E" w:rsidR="005901ED">
        <w:rPr>
          <w:rFonts w:ascii="Arial" w:hAnsi="Arial" w:cs="Arial"/>
          <w:sz w:val="22"/>
          <w:szCs w:val="22"/>
        </w:rPr>
        <w:t xml:space="preserve"> </w:t>
      </w:r>
      <w:r w:rsidRPr="004E2C0E" w:rsidR="0084126E">
        <w:rPr>
          <w:rFonts w:ascii="Arial" w:hAnsi="Arial" w:cs="Arial"/>
          <w:sz w:val="22"/>
          <w:szCs w:val="22"/>
        </w:rPr>
        <w:t xml:space="preserve">storage and process </w:t>
      </w:r>
      <w:r w:rsidRPr="004E2C0E" w:rsidR="00CB4325">
        <w:rPr>
          <w:rFonts w:ascii="Arial" w:hAnsi="Arial" w:cs="Arial"/>
          <w:sz w:val="22"/>
          <w:szCs w:val="22"/>
        </w:rPr>
        <w:t xml:space="preserve">systems </w:t>
      </w:r>
      <w:r w:rsidRPr="004E2C0E" w:rsidR="00BA4C75">
        <w:rPr>
          <w:rFonts w:ascii="Arial" w:hAnsi="Arial" w:cs="Arial"/>
          <w:sz w:val="22"/>
          <w:szCs w:val="22"/>
        </w:rPr>
        <w:t xml:space="preserve">that may differ from single reactors and associated waste systems </w:t>
      </w:r>
      <w:r w:rsidRPr="004E2C0E" w:rsidR="005A5769">
        <w:rPr>
          <w:rFonts w:ascii="Arial" w:hAnsi="Arial" w:cs="Arial"/>
          <w:sz w:val="22"/>
          <w:szCs w:val="22"/>
        </w:rPr>
        <w:t xml:space="preserve">in </w:t>
      </w:r>
      <w:r w:rsidRPr="004E2C0E" w:rsidR="003173F2">
        <w:rPr>
          <w:rFonts w:ascii="Arial" w:hAnsi="Arial" w:cs="Arial"/>
          <w:sz w:val="22"/>
          <w:szCs w:val="22"/>
        </w:rPr>
        <w:t xml:space="preserve">the current </w:t>
      </w:r>
      <w:r w:rsidRPr="004E2C0E" w:rsidR="005A5769">
        <w:rPr>
          <w:rFonts w:ascii="Arial" w:hAnsi="Arial" w:cs="Arial"/>
          <w:sz w:val="22"/>
          <w:szCs w:val="22"/>
        </w:rPr>
        <w:t>operating reactor</w:t>
      </w:r>
      <w:r w:rsidRPr="004E2C0E" w:rsidR="00D34078">
        <w:rPr>
          <w:rFonts w:ascii="Arial" w:hAnsi="Arial" w:cs="Arial"/>
          <w:sz w:val="22"/>
          <w:szCs w:val="22"/>
        </w:rPr>
        <w:t xml:space="preserve"> fleet</w:t>
      </w:r>
      <w:r w:rsidRPr="004E2C0E" w:rsidR="00C920EC">
        <w:rPr>
          <w:rFonts w:ascii="Arial" w:hAnsi="Arial" w:cs="Arial"/>
          <w:sz w:val="22"/>
          <w:szCs w:val="22"/>
        </w:rPr>
        <w:t>.</w:t>
      </w:r>
      <w:r w:rsidRPr="004E2C0E">
        <w:rPr>
          <w:rFonts w:ascii="Arial" w:hAnsi="Arial" w:cs="Arial"/>
          <w:sz w:val="22"/>
          <w:szCs w:val="22"/>
        </w:rPr>
        <w:t xml:space="preserve"> Thus, </w:t>
      </w:r>
      <w:r w:rsidRPr="004E2C0E" w:rsidR="13D1C004">
        <w:rPr>
          <w:rFonts w:ascii="Arial" w:hAnsi="Arial" w:cs="Arial"/>
          <w:sz w:val="22"/>
          <w:szCs w:val="22"/>
        </w:rPr>
        <w:t>in 10 CFR Part 53</w:t>
      </w:r>
      <w:r w:rsidRPr="004E2C0E">
        <w:rPr>
          <w:rFonts w:ascii="Arial" w:hAnsi="Arial" w:cs="Arial"/>
          <w:sz w:val="22"/>
          <w:szCs w:val="22"/>
        </w:rPr>
        <w:t xml:space="preserve">, </w:t>
      </w:r>
      <w:r w:rsidRPr="004E2C0E" w:rsidR="005A29D7">
        <w:rPr>
          <w:rFonts w:ascii="Arial" w:hAnsi="Arial" w:cs="Arial"/>
          <w:sz w:val="22"/>
          <w:szCs w:val="22"/>
        </w:rPr>
        <w:t xml:space="preserve">the NRC </w:t>
      </w:r>
      <w:r w:rsidRPr="004E2C0E" w:rsidR="2EA09FB7">
        <w:rPr>
          <w:rFonts w:ascii="Arial" w:hAnsi="Arial" w:cs="Arial"/>
          <w:sz w:val="22"/>
          <w:szCs w:val="22"/>
        </w:rPr>
        <w:t>is</w:t>
      </w:r>
      <w:r w:rsidRPr="004E2C0E" w:rsidR="005A29D7">
        <w:rPr>
          <w:rFonts w:ascii="Arial" w:hAnsi="Arial" w:cs="Arial"/>
          <w:sz w:val="22"/>
          <w:szCs w:val="22"/>
        </w:rPr>
        <w:t xml:space="preserve"> </w:t>
      </w:r>
      <w:r w:rsidRPr="004E2C0E">
        <w:rPr>
          <w:rFonts w:ascii="Arial" w:hAnsi="Arial" w:cs="Arial"/>
          <w:sz w:val="22"/>
          <w:szCs w:val="22"/>
        </w:rPr>
        <w:t xml:space="preserve">establishing release limits </w:t>
      </w:r>
      <w:r w:rsidRPr="004E2C0E" w:rsidR="001C4553">
        <w:rPr>
          <w:rFonts w:ascii="Arial" w:hAnsi="Arial" w:cs="Arial"/>
          <w:sz w:val="22"/>
          <w:szCs w:val="22"/>
        </w:rPr>
        <w:t>and performance goals</w:t>
      </w:r>
      <w:r w:rsidRPr="004E2C0E">
        <w:rPr>
          <w:rFonts w:ascii="Arial" w:hAnsi="Arial" w:cs="Arial"/>
          <w:sz w:val="22"/>
          <w:szCs w:val="22"/>
        </w:rPr>
        <w:t xml:space="preserve"> on a </w:t>
      </w:r>
      <w:r w:rsidRPr="004E2C0E" w:rsidR="00D47EED">
        <w:rPr>
          <w:rFonts w:ascii="Arial" w:hAnsi="Arial" w:cs="Arial"/>
          <w:sz w:val="22"/>
          <w:szCs w:val="22"/>
        </w:rPr>
        <w:t>site</w:t>
      </w:r>
      <w:r w:rsidRPr="004E2C0E">
        <w:rPr>
          <w:rFonts w:ascii="Arial" w:hAnsi="Arial" w:cs="Arial"/>
          <w:sz w:val="22"/>
          <w:szCs w:val="22"/>
        </w:rPr>
        <w:t xml:space="preserve"> basis </w:t>
      </w:r>
      <w:r w:rsidRPr="004E2C0E" w:rsidR="00D47EED">
        <w:rPr>
          <w:rFonts w:ascii="Arial" w:hAnsi="Arial" w:cs="Arial"/>
          <w:sz w:val="22"/>
          <w:szCs w:val="22"/>
        </w:rPr>
        <w:t xml:space="preserve">to more accurately address the risks posed by </w:t>
      </w:r>
      <w:r w:rsidRPr="004E2C0E" w:rsidR="00C34548">
        <w:rPr>
          <w:rFonts w:ascii="Arial" w:hAnsi="Arial" w:cs="Arial"/>
          <w:sz w:val="22"/>
          <w:szCs w:val="22"/>
        </w:rPr>
        <w:t xml:space="preserve">all of the </w:t>
      </w:r>
      <w:r w:rsidRPr="004E2C0E" w:rsidR="0016158B">
        <w:rPr>
          <w:rFonts w:ascii="Arial" w:hAnsi="Arial" w:cs="Arial"/>
          <w:sz w:val="22"/>
          <w:szCs w:val="22"/>
        </w:rPr>
        <w:t xml:space="preserve">potential </w:t>
      </w:r>
      <w:r w:rsidRPr="004E2C0E" w:rsidR="00E152D7">
        <w:rPr>
          <w:rFonts w:ascii="Arial" w:hAnsi="Arial" w:cs="Arial"/>
          <w:sz w:val="22"/>
          <w:szCs w:val="22"/>
        </w:rPr>
        <w:t xml:space="preserve">sources of </w:t>
      </w:r>
      <w:r w:rsidRPr="004E2C0E" w:rsidR="00C34548">
        <w:rPr>
          <w:rFonts w:ascii="Arial" w:hAnsi="Arial" w:cs="Arial"/>
          <w:sz w:val="22"/>
          <w:szCs w:val="22"/>
        </w:rPr>
        <w:t xml:space="preserve">radiological </w:t>
      </w:r>
      <w:r w:rsidRPr="004E2C0E" w:rsidR="00020C2C">
        <w:rPr>
          <w:rFonts w:ascii="Arial" w:hAnsi="Arial" w:cs="Arial"/>
          <w:sz w:val="22"/>
          <w:szCs w:val="22"/>
        </w:rPr>
        <w:t>effluents</w:t>
      </w:r>
      <w:r w:rsidRPr="004E2C0E" w:rsidR="00C34548">
        <w:rPr>
          <w:rFonts w:ascii="Arial" w:hAnsi="Arial" w:cs="Arial"/>
          <w:sz w:val="22"/>
          <w:szCs w:val="22"/>
        </w:rPr>
        <w:t xml:space="preserve"> associated with a commercial nuclear plant</w:t>
      </w:r>
      <w:r w:rsidRPr="004E2C0E">
        <w:rPr>
          <w:rFonts w:ascii="Arial" w:hAnsi="Arial" w:cs="Arial"/>
          <w:sz w:val="22"/>
          <w:szCs w:val="22"/>
        </w:rPr>
        <w:t>.</w:t>
      </w:r>
    </w:p>
    <w:p w:rsidR="00421C56" w:rsidRPr="004E2C0E" w:rsidP="004E2C0E" w14:paraId="68EF324D" w14:textId="77777777">
      <w:pPr>
        <w:spacing w:after="220"/>
        <w:rPr>
          <w:rFonts w:ascii="Arial" w:eastAsia="Times New Roman" w:hAnsi="Arial" w:cs="Arial"/>
          <w:sz w:val="22"/>
          <w:szCs w:val="22"/>
        </w:rPr>
      </w:pPr>
      <w:r w:rsidRPr="004E2C0E">
        <w:rPr>
          <w:rFonts w:ascii="Arial" w:hAnsi="Arial" w:cs="Arial"/>
          <w:sz w:val="22"/>
          <w:szCs w:val="22"/>
        </w:rPr>
        <w:t xml:space="preserve">Accordingly, the NRC did not change the rule </w:t>
      </w:r>
      <w:r w:rsidRPr="004E2C0E" w:rsidR="003906A9">
        <w:rPr>
          <w:rFonts w:ascii="Arial" w:hAnsi="Arial" w:cs="Arial"/>
          <w:sz w:val="22"/>
          <w:szCs w:val="22"/>
        </w:rPr>
        <w:t>language</w:t>
      </w:r>
      <w:r w:rsidRPr="004E2C0E">
        <w:rPr>
          <w:rFonts w:ascii="Arial" w:hAnsi="Arial" w:cs="Arial"/>
          <w:sz w:val="22"/>
          <w:szCs w:val="22"/>
        </w:rPr>
        <w:t xml:space="preserve"> in response to this comment.</w:t>
      </w:r>
    </w:p>
    <w:p w:rsidR="000F3D5B" w:rsidRPr="004E2C0E" w:rsidP="004E2C0E" w14:paraId="3B69941B" w14:textId="77777777">
      <w:pPr>
        <w:spacing w:after="220"/>
        <w:rPr>
          <w:rFonts w:ascii="Arial" w:hAnsi="Arial" w:cs="Arial"/>
          <w:sz w:val="22"/>
          <w:szCs w:val="22"/>
        </w:rPr>
      </w:pPr>
      <w:r>
        <w:rPr>
          <w:rFonts w:ascii="Arial" w:hAnsi="Arial" w:cs="Arial"/>
          <w:sz w:val="22"/>
          <w:szCs w:val="22"/>
        </w:rPr>
        <w:pict>
          <v:rect id="_x0000_i1102" style="width:0;height:1.5pt" o:hralign="center" o:hrstd="t" o:hrnoshade="t" o:hr="t" fillcolor="black" stroked="f"/>
        </w:pict>
      </w:r>
    </w:p>
    <w:p w:rsidR="00E127E4" w:rsidRPr="004E2C0E" w:rsidP="004E2C0E" w14:paraId="5C63AB5F" w14:textId="77777777">
      <w:pPr>
        <w:spacing w:after="220"/>
        <w:rPr>
          <w:rFonts w:ascii="Arial" w:eastAsia="Times New Roman" w:hAnsi="Arial" w:cs="Arial"/>
          <w:sz w:val="22"/>
          <w:szCs w:val="22"/>
        </w:rPr>
      </w:pPr>
      <w:r w:rsidRPr="004E2C0E">
        <w:rPr>
          <w:rFonts w:ascii="Arial" w:hAnsi="Arial" w:cs="Arial"/>
          <w:b/>
          <w:sz w:val="22"/>
          <w:szCs w:val="22"/>
        </w:rPr>
        <w:t xml:space="preserve">Comment </w:t>
      </w:r>
      <w:r w:rsidRPr="004E2C0E" w:rsidR="00947C5E">
        <w:rPr>
          <w:rFonts w:ascii="Arial" w:hAnsi="Arial" w:cs="Arial"/>
          <w:b/>
          <w:sz w:val="22"/>
          <w:szCs w:val="22"/>
        </w:rPr>
        <w:t xml:space="preserve">Bin </w:t>
      </w:r>
      <w:r w:rsidRPr="004E2C0E">
        <w:rPr>
          <w:rFonts w:ascii="Arial" w:hAnsi="Arial" w:cs="Arial"/>
          <w:b/>
          <w:sz w:val="22"/>
          <w:szCs w:val="22"/>
        </w:rPr>
        <w:t>3.3.1.B:</w:t>
      </w:r>
      <w:r w:rsidRPr="004E2C0E">
        <w:rPr>
          <w:rFonts w:ascii="Arial" w:eastAsia="Times New Roman" w:hAnsi="Arial" w:cs="Arial"/>
          <w:sz w:val="22"/>
          <w:szCs w:val="22"/>
        </w:rPr>
        <w:t xml:space="preserve"> Stating that the functional design requirements in 10</w:t>
      </w:r>
      <w:r w:rsidRPr="004E2C0E" w:rsidR="00002C3F">
        <w:rPr>
          <w:rFonts w:ascii="Arial" w:eastAsia="Times New Roman" w:hAnsi="Arial" w:cs="Arial"/>
          <w:sz w:val="22"/>
          <w:szCs w:val="22"/>
        </w:rPr>
        <w:t> </w:t>
      </w:r>
      <w:r w:rsidRPr="004E2C0E">
        <w:rPr>
          <w:rFonts w:ascii="Arial" w:eastAsia="Times New Roman" w:hAnsi="Arial" w:cs="Arial"/>
          <w:sz w:val="22"/>
          <w:szCs w:val="22"/>
        </w:rPr>
        <w:t>CFR</w:t>
      </w:r>
      <w:r w:rsidRPr="004E2C0E" w:rsidR="00002C3F">
        <w:rPr>
          <w:sz w:val="22"/>
          <w:szCs w:val="22"/>
        </w:rPr>
        <w:t> </w:t>
      </w:r>
      <w:r w:rsidRPr="004E2C0E">
        <w:rPr>
          <w:rFonts w:ascii="Arial" w:eastAsia="Times New Roman" w:hAnsi="Arial" w:cs="Arial"/>
          <w:sz w:val="22"/>
          <w:szCs w:val="22"/>
        </w:rPr>
        <w:t xml:space="preserve">53.410, </w:t>
      </w:r>
      <w:r w:rsidR="003A6889">
        <w:rPr>
          <w:rFonts w:ascii="Arial" w:eastAsia="Times New Roman" w:hAnsi="Arial" w:cs="Arial"/>
          <w:sz w:val="22"/>
          <w:szCs w:val="22"/>
        </w:rPr>
        <w:t>10</w:t>
      </w:r>
      <w:r w:rsidR="001C360D">
        <w:rPr>
          <w:rFonts w:ascii="Arial" w:eastAsia="Times New Roman" w:hAnsi="Arial" w:cs="Arial"/>
          <w:sz w:val="22"/>
          <w:szCs w:val="22"/>
        </w:rPr>
        <w:t> </w:t>
      </w:r>
      <w:r w:rsidR="003A6889">
        <w:rPr>
          <w:rFonts w:ascii="Arial" w:eastAsia="Times New Roman" w:hAnsi="Arial" w:cs="Arial"/>
          <w:sz w:val="22"/>
          <w:szCs w:val="22"/>
        </w:rPr>
        <w:t xml:space="preserve">CFR </w:t>
      </w:r>
      <w:r w:rsidRPr="004E2C0E">
        <w:rPr>
          <w:rFonts w:ascii="Arial" w:eastAsia="Times New Roman" w:hAnsi="Arial" w:cs="Arial"/>
          <w:sz w:val="22"/>
          <w:szCs w:val="22"/>
        </w:rPr>
        <w:t xml:space="preserve">53.420, </w:t>
      </w:r>
      <w:r w:rsidR="003A6889">
        <w:rPr>
          <w:rFonts w:ascii="Arial" w:eastAsia="Times New Roman" w:hAnsi="Arial" w:cs="Arial"/>
          <w:sz w:val="22"/>
          <w:szCs w:val="22"/>
        </w:rPr>
        <w:t xml:space="preserve">10 CFR </w:t>
      </w:r>
      <w:r w:rsidRPr="004E2C0E">
        <w:rPr>
          <w:rFonts w:ascii="Arial" w:eastAsia="Times New Roman" w:hAnsi="Arial" w:cs="Arial"/>
          <w:sz w:val="22"/>
          <w:szCs w:val="22"/>
        </w:rPr>
        <w:t xml:space="preserve">53.425, and </w:t>
      </w:r>
      <w:r w:rsidR="003A6889">
        <w:rPr>
          <w:rFonts w:ascii="Arial" w:eastAsia="Times New Roman" w:hAnsi="Arial" w:cs="Arial"/>
          <w:sz w:val="22"/>
          <w:szCs w:val="22"/>
        </w:rPr>
        <w:t xml:space="preserve">10 CFR </w:t>
      </w:r>
      <w:r w:rsidRPr="004E2C0E">
        <w:rPr>
          <w:rFonts w:ascii="Arial" w:eastAsia="Times New Roman" w:hAnsi="Arial" w:cs="Arial"/>
          <w:sz w:val="22"/>
          <w:szCs w:val="22"/>
        </w:rPr>
        <w:t xml:space="preserve">53.430 are nearly identical, a commenter </w:t>
      </w:r>
      <w:r w:rsidRPr="004E2C0E">
        <w:rPr>
          <w:rFonts w:ascii="Arial" w:eastAsia="Times New Roman" w:hAnsi="Arial" w:cs="Arial"/>
          <w:sz w:val="22"/>
          <w:szCs w:val="22"/>
        </w:rPr>
        <w:t>expressed concern that such repetition and duplication would reduce regulatory clarity and predictability and increase regulatory complexity and burden without an increase in safety. The commenter suggested revising 10 CFR 53.410 by:</w:t>
      </w:r>
    </w:p>
    <w:p w:rsidR="00E127E4" w:rsidRPr="004E2C0E" w:rsidP="00455E55" w14:paraId="76B23400" w14:textId="77777777">
      <w:pPr>
        <w:pStyle w:val="ListParagraph"/>
        <w:numPr>
          <w:ilvl w:val="0"/>
          <w:numId w:val="38"/>
        </w:numPr>
        <w:spacing w:after="220"/>
        <w:contextualSpacing w:val="0"/>
        <w:rPr>
          <w:rFonts w:ascii="Arial" w:eastAsia="Times New Roman" w:hAnsi="Arial" w:cs="Arial"/>
          <w:sz w:val="22"/>
          <w:szCs w:val="22"/>
        </w:rPr>
      </w:pPr>
      <w:r w:rsidRPr="004E2C0E">
        <w:rPr>
          <w:rFonts w:ascii="Arial" w:eastAsia="Times New Roman" w:hAnsi="Arial" w:cs="Arial"/>
          <w:sz w:val="22"/>
          <w:szCs w:val="22"/>
        </w:rPr>
        <w:t>shortening the section heading to “Functional design criteria” to align with the hierarchical flow of “design features” and “functional design criteria”;</w:t>
      </w:r>
    </w:p>
    <w:p w:rsidR="00E127E4" w:rsidRPr="004E2C0E" w:rsidP="00455E55" w14:paraId="2D81D1B2" w14:textId="77777777">
      <w:pPr>
        <w:pStyle w:val="ListParagraph"/>
        <w:numPr>
          <w:ilvl w:val="0"/>
          <w:numId w:val="38"/>
        </w:numPr>
        <w:spacing w:after="220"/>
        <w:contextualSpacing w:val="0"/>
        <w:rPr>
          <w:rFonts w:ascii="Arial" w:eastAsia="Times New Roman" w:hAnsi="Arial" w:cs="Arial"/>
          <w:sz w:val="22"/>
          <w:szCs w:val="22"/>
        </w:rPr>
      </w:pPr>
      <w:r w:rsidRPr="004E2C0E">
        <w:rPr>
          <w:rFonts w:ascii="Arial" w:eastAsia="Times New Roman" w:hAnsi="Arial" w:cs="Arial"/>
          <w:sz w:val="22"/>
          <w:szCs w:val="22"/>
        </w:rPr>
        <w:t xml:space="preserve">adding cross-references to 10 CFR 53.220, </w:t>
      </w:r>
      <w:r w:rsidR="003A6889">
        <w:rPr>
          <w:rFonts w:ascii="Arial" w:eastAsia="Times New Roman" w:hAnsi="Arial" w:cs="Arial"/>
          <w:sz w:val="22"/>
          <w:szCs w:val="22"/>
        </w:rPr>
        <w:t xml:space="preserve">10 CFR </w:t>
      </w:r>
      <w:r w:rsidRPr="004E2C0E">
        <w:rPr>
          <w:rFonts w:ascii="Arial" w:eastAsia="Times New Roman" w:hAnsi="Arial" w:cs="Arial"/>
          <w:sz w:val="22"/>
          <w:szCs w:val="22"/>
        </w:rPr>
        <w:t xml:space="preserve">53.260, and </w:t>
      </w:r>
      <w:r w:rsidR="003A6889">
        <w:rPr>
          <w:rFonts w:ascii="Arial" w:eastAsia="Times New Roman" w:hAnsi="Arial" w:cs="Arial"/>
          <w:sz w:val="22"/>
          <w:szCs w:val="22"/>
        </w:rPr>
        <w:t xml:space="preserve">10 CFR </w:t>
      </w:r>
      <w:r w:rsidRPr="004E2C0E">
        <w:rPr>
          <w:rFonts w:ascii="Arial" w:eastAsia="Times New Roman" w:hAnsi="Arial" w:cs="Arial"/>
          <w:sz w:val="22"/>
          <w:szCs w:val="22"/>
        </w:rPr>
        <w:t>53.270 at the end of paragraph (a); and</w:t>
      </w:r>
    </w:p>
    <w:p w:rsidR="00421C56" w:rsidRPr="004E2C0E" w:rsidP="00455E55" w14:paraId="68567081" w14:textId="77777777">
      <w:pPr>
        <w:pStyle w:val="ListParagraph"/>
        <w:numPr>
          <w:ilvl w:val="0"/>
          <w:numId w:val="38"/>
        </w:numPr>
        <w:spacing w:after="220"/>
        <w:contextualSpacing w:val="0"/>
        <w:rPr>
          <w:rFonts w:ascii="Arial" w:eastAsia="Times New Roman" w:hAnsi="Arial" w:cs="Arial"/>
          <w:sz w:val="22"/>
          <w:szCs w:val="22"/>
        </w:rPr>
      </w:pPr>
      <w:r w:rsidRPr="004E2C0E">
        <w:rPr>
          <w:rFonts w:ascii="Arial" w:eastAsia="Times New Roman" w:hAnsi="Arial" w:cs="Arial"/>
          <w:sz w:val="22"/>
          <w:szCs w:val="22"/>
        </w:rPr>
        <w:t>deleting paragraph (b) as the requirements are appropriately addressed in Subpart F, “Requirements for Operation.”</w:t>
      </w:r>
    </w:p>
    <w:p w:rsidR="00421C56" w:rsidRPr="004E2C0E" w:rsidP="004E2C0E" w14:paraId="5726F2B5" w14:textId="77777777">
      <w:pPr>
        <w:spacing w:after="220"/>
        <w:rPr>
          <w:rFonts w:ascii="Arial" w:eastAsia="Times New Roman" w:hAnsi="Arial" w:cs="Arial"/>
          <w:sz w:val="22"/>
          <w:szCs w:val="22"/>
        </w:rPr>
      </w:pPr>
      <w:r w:rsidRPr="004E2C0E">
        <w:rPr>
          <w:rFonts w:ascii="Arial" w:eastAsia="Times New Roman" w:hAnsi="Arial" w:cs="Arial"/>
          <w:sz w:val="22"/>
          <w:szCs w:val="22"/>
        </w:rPr>
        <w:t xml:space="preserve">The commenter stated that if the NRC revises 10 CFR 53.410 as suggested, then it should remove 10 CFR 53.420, </w:t>
      </w:r>
      <w:r w:rsidR="00AA4FA5">
        <w:rPr>
          <w:rFonts w:ascii="Arial" w:eastAsia="Times New Roman" w:hAnsi="Arial" w:cs="Arial"/>
          <w:sz w:val="22"/>
          <w:szCs w:val="22"/>
        </w:rPr>
        <w:t xml:space="preserve">10 CFR </w:t>
      </w:r>
      <w:r w:rsidRPr="004E2C0E">
        <w:rPr>
          <w:rFonts w:ascii="Arial" w:eastAsia="Times New Roman" w:hAnsi="Arial" w:cs="Arial"/>
          <w:sz w:val="22"/>
          <w:szCs w:val="22"/>
        </w:rPr>
        <w:t xml:space="preserve">53.425, and </w:t>
      </w:r>
      <w:r w:rsidR="00AA4FA5">
        <w:rPr>
          <w:rFonts w:ascii="Arial" w:eastAsia="Times New Roman" w:hAnsi="Arial" w:cs="Arial"/>
          <w:sz w:val="22"/>
          <w:szCs w:val="22"/>
        </w:rPr>
        <w:t xml:space="preserve">10 CFR </w:t>
      </w:r>
      <w:r w:rsidRPr="004E2C0E">
        <w:rPr>
          <w:rFonts w:ascii="Arial" w:eastAsia="Times New Roman" w:hAnsi="Arial" w:cs="Arial"/>
          <w:sz w:val="22"/>
          <w:szCs w:val="22"/>
        </w:rPr>
        <w:t>53.430 because the revision incorporates those requirements. If the NRC does not implement the above approach, the commenter recommended revising 10 CFR 53.420,</w:t>
      </w:r>
      <w:r w:rsidR="00AA4FA5">
        <w:rPr>
          <w:rFonts w:ascii="Arial" w:eastAsia="Times New Roman" w:hAnsi="Arial" w:cs="Arial"/>
          <w:sz w:val="22"/>
          <w:szCs w:val="22"/>
        </w:rPr>
        <w:t xml:space="preserve"> 10 CFR</w:t>
      </w:r>
      <w:r w:rsidRPr="004E2C0E">
        <w:rPr>
          <w:rFonts w:ascii="Arial" w:eastAsia="Times New Roman" w:hAnsi="Arial" w:cs="Arial"/>
          <w:sz w:val="22"/>
          <w:szCs w:val="22"/>
        </w:rPr>
        <w:t xml:space="preserve"> 53.425, and </w:t>
      </w:r>
      <w:r w:rsidR="00AA4FA5">
        <w:rPr>
          <w:rFonts w:ascii="Arial" w:eastAsia="Times New Roman" w:hAnsi="Arial" w:cs="Arial"/>
          <w:sz w:val="22"/>
          <w:szCs w:val="22"/>
        </w:rPr>
        <w:t xml:space="preserve">10 CFR </w:t>
      </w:r>
      <w:r w:rsidRPr="004E2C0E">
        <w:rPr>
          <w:rFonts w:ascii="Arial" w:eastAsia="Times New Roman" w:hAnsi="Arial" w:cs="Arial"/>
          <w:sz w:val="22"/>
          <w:szCs w:val="22"/>
        </w:rPr>
        <w:t>53.430 to limit the requirement that functional design criteria must be defined for each design feature to only those design features classified as NSRSS (</w:t>
      </w:r>
      <w:r w:rsidR="009D6BB9">
        <w:rPr>
          <w:rFonts w:ascii="Arial" w:eastAsia="Times New Roman" w:hAnsi="Arial" w:cs="Arial"/>
          <w:sz w:val="22"/>
          <w:szCs w:val="22"/>
        </w:rPr>
        <w:t>NEI2</w:t>
      </w:r>
      <w:r w:rsidRPr="004E2C0E">
        <w:rPr>
          <w:rFonts w:ascii="Arial" w:eastAsia="Times New Roman" w:hAnsi="Arial" w:cs="Arial"/>
          <w:sz w:val="22"/>
          <w:szCs w:val="22"/>
        </w:rPr>
        <w:t>-0045).</w:t>
      </w:r>
    </w:p>
    <w:p w:rsidR="00E4473E" w:rsidRPr="004E2C0E" w:rsidP="004E2C0E" w14:paraId="0C39EE89" w14:textId="77777777">
      <w:pPr>
        <w:spacing w:after="220"/>
        <w:rPr>
          <w:rFonts w:ascii="Arial" w:hAnsi="Arial" w:cs="Arial"/>
          <w:sz w:val="22"/>
          <w:szCs w:val="22"/>
        </w:rPr>
      </w:pPr>
      <w:r w:rsidRPr="004E2C0E">
        <w:rPr>
          <w:rFonts w:ascii="Arial" w:hAnsi="Arial" w:cs="Arial"/>
          <w:b/>
          <w:sz w:val="22"/>
          <w:szCs w:val="22"/>
        </w:rPr>
        <w:t>NRC Response:</w:t>
      </w:r>
      <w:r w:rsidRPr="004E2C0E">
        <w:rPr>
          <w:rFonts w:ascii="Arial" w:hAnsi="Arial" w:cs="Arial"/>
          <w:sz w:val="22"/>
          <w:szCs w:val="22"/>
        </w:rPr>
        <w:t> The NRC agrees</w:t>
      </w:r>
      <w:r w:rsidRPr="004E2C0E" w:rsidR="00753181">
        <w:rPr>
          <w:rFonts w:ascii="Arial" w:hAnsi="Arial" w:cs="Arial"/>
          <w:sz w:val="22"/>
          <w:szCs w:val="22"/>
        </w:rPr>
        <w:t>,</w:t>
      </w:r>
      <w:r w:rsidRPr="004E2C0E">
        <w:rPr>
          <w:rFonts w:ascii="Arial" w:hAnsi="Arial" w:cs="Arial"/>
          <w:sz w:val="22"/>
          <w:szCs w:val="22"/>
        </w:rPr>
        <w:t xml:space="preserve"> in part</w:t>
      </w:r>
      <w:r w:rsidRPr="004E2C0E" w:rsidR="00753181">
        <w:rPr>
          <w:rFonts w:ascii="Arial" w:hAnsi="Arial" w:cs="Arial"/>
          <w:sz w:val="22"/>
          <w:szCs w:val="22"/>
        </w:rPr>
        <w:t>,</w:t>
      </w:r>
      <w:r w:rsidRPr="004E2C0E">
        <w:rPr>
          <w:rFonts w:ascii="Arial" w:hAnsi="Arial" w:cs="Arial"/>
          <w:sz w:val="22"/>
          <w:szCs w:val="22"/>
        </w:rPr>
        <w:t xml:space="preserve"> with th</w:t>
      </w:r>
      <w:r w:rsidR="001C360D">
        <w:rPr>
          <w:rFonts w:ascii="Arial" w:hAnsi="Arial" w:cs="Arial"/>
          <w:sz w:val="22"/>
          <w:szCs w:val="22"/>
        </w:rPr>
        <w:t>e</w:t>
      </w:r>
      <w:r w:rsidRPr="004E2C0E">
        <w:rPr>
          <w:rFonts w:ascii="Arial" w:hAnsi="Arial" w:cs="Arial"/>
          <w:sz w:val="22"/>
          <w:szCs w:val="22"/>
        </w:rPr>
        <w:t xml:space="preserve"> comment.</w:t>
      </w:r>
    </w:p>
    <w:p w:rsidR="00421C56" w:rsidRPr="004E2C0E" w:rsidP="004E2C0E" w14:paraId="2580BD03" w14:textId="77777777">
      <w:pPr>
        <w:spacing w:after="220"/>
        <w:rPr>
          <w:rFonts w:ascii="Arial" w:eastAsia="Times New Roman" w:hAnsi="Arial" w:cs="Arial"/>
          <w:sz w:val="22"/>
          <w:szCs w:val="22"/>
        </w:rPr>
      </w:pPr>
      <w:r w:rsidRPr="004E2C0E">
        <w:rPr>
          <w:rFonts w:ascii="Arial" w:hAnsi="Arial" w:cs="Arial"/>
          <w:sz w:val="22"/>
          <w:szCs w:val="22"/>
        </w:rPr>
        <w:t>Although some of the l</w:t>
      </w:r>
      <w:r w:rsidRPr="004E2C0E">
        <w:rPr>
          <w:rFonts w:ascii="Arial" w:eastAsia="Times New Roman" w:hAnsi="Arial" w:cs="Arial"/>
          <w:sz w:val="22"/>
          <w:szCs w:val="22"/>
        </w:rPr>
        <w:t>anguage in 10 CFR 53.410, 10 CFR 53.420, 10 CFR 53.425, and 10</w:t>
      </w:r>
      <w:r w:rsidR="001C360D">
        <w:rPr>
          <w:rFonts w:ascii="Arial" w:eastAsia="Times New Roman" w:hAnsi="Arial" w:cs="Arial"/>
          <w:sz w:val="22"/>
          <w:szCs w:val="22"/>
        </w:rPr>
        <w:t> </w:t>
      </w:r>
      <w:r w:rsidRPr="004E2C0E">
        <w:rPr>
          <w:rFonts w:ascii="Arial" w:eastAsia="Times New Roman" w:hAnsi="Arial" w:cs="Arial"/>
          <w:sz w:val="22"/>
          <w:szCs w:val="22"/>
        </w:rPr>
        <w:t xml:space="preserve">CFR 53.430 is very similar, these sections are unique in that they are intended to distinguish between treatments of SR and NSRSS SSCs and with respect to normal operations, the control of identified functional design criteria though the design lifecycle, and special treatments. This organization is consistent with other similar portions of 10 CFR Part 53 in Subparts B and C. However, the NRC agrees these requirements may benefit from additional specificity to further make these distinctions. Accordingly, the NRC </w:t>
      </w:r>
      <w:r w:rsidR="00BE2513">
        <w:rPr>
          <w:rFonts w:ascii="Arial" w:eastAsia="Times New Roman" w:hAnsi="Arial" w:cs="Arial"/>
          <w:sz w:val="22"/>
          <w:szCs w:val="22"/>
        </w:rPr>
        <w:t>revised</w:t>
      </w:r>
      <w:r w:rsidRPr="004E2C0E">
        <w:rPr>
          <w:rFonts w:ascii="Arial" w:eastAsia="Times New Roman" w:hAnsi="Arial" w:cs="Arial"/>
          <w:sz w:val="22"/>
          <w:szCs w:val="22"/>
        </w:rPr>
        <w:t xml:space="preserve"> the rule language in response to this </w:t>
      </w:r>
      <w:r w:rsidR="004165B0">
        <w:rPr>
          <w:rFonts w:ascii="Arial" w:eastAsia="Times New Roman" w:hAnsi="Arial" w:cs="Arial"/>
          <w:sz w:val="22"/>
          <w:szCs w:val="22"/>
        </w:rPr>
        <w:t>part of th</w:t>
      </w:r>
      <w:r w:rsidR="00825564">
        <w:rPr>
          <w:rFonts w:ascii="Arial" w:eastAsia="Times New Roman" w:hAnsi="Arial" w:cs="Arial"/>
          <w:sz w:val="22"/>
          <w:szCs w:val="22"/>
        </w:rPr>
        <w:t>e</w:t>
      </w:r>
      <w:r w:rsidR="004165B0">
        <w:rPr>
          <w:rFonts w:ascii="Arial" w:eastAsia="Times New Roman" w:hAnsi="Arial" w:cs="Arial"/>
          <w:sz w:val="22"/>
          <w:szCs w:val="22"/>
        </w:rPr>
        <w:t xml:space="preserve"> </w:t>
      </w:r>
      <w:r w:rsidRPr="004E2C0E">
        <w:rPr>
          <w:rFonts w:ascii="Arial" w:eastAsia="Times New Roman" w:hAnsi="Arial" w:cs="Arial"/>
          <w:sz w:val="22"/>
          <w:szCs w:val="22"/>
        </w:rPr>
        <w:t>comment to add specificity in 10 CFR 53.410 and 10 CFR 53.420 on the applicable safety categories of SSCs.</w:t>
      </w:r>
    </w:p>
    <w:p w:rsidR="00421C56" w:rsidRPr="004E2C0E" w:rsidP="004E2C0E" w14:paraId="56DFDB41" w14:textId="77777777">
      <w:pPr>
        <w:spacing w:after="220"/>
        <w:rPr>
          <w:rFonts w:ascii="Arial" w:hAnsi="Arial" w:cs="Arial"/>
          <w:b/>
          <w:sz w:val="22"/>
          <w:szCs w:val="22"/>
        </w:rPr>
      </w:pPr>
      <w:r w:rsidRPr="004E2C0E">
        <w:rPr>
          <w:rFonts w:ascii="Arial" w:eastAsia="Times New Roman" w:hAnsi="Arial" w:cs="Arial"/>
          <w:sz w:val="22"/>
          <w:szCs w:val="22"/>
        </w:rPr>
        <w:t>The NRC disagrees with the other suggested changes related to the observed repetition as it does not see an advantage to such a reorganization of requirements. Accordingly, the NRC did not change the rule language in response to this part of th</w:t>
      </w:r>
      <w:r w:rsidR="00825564">
        <w:rPr>
          <w:rFonts w:ascii="Arial" w:eastAsia="Times New Roman" w:hAnsi="Arial" w:cs="Arial"/>
          <w:sz w:val="22"/>
          <w:szCs w:val="22"/>
        </w:rPr>
        <w:t>e</w:t>
      </w:r>
      <w:r w:rsidRPr="004E2C0E">
        <w:rPr>
          <w:rFonts w:ascii="Arial" w:eastAsia="Times New Roman" w:hAnsi="Arial" w:cs="Arial"/>
          <w:sz w:val="22"/>
          <w:szCs w:val="22"/>
        </w:rPr>
        <w:t xml:space="preserve"> comment.</w:t>
      </w:r>
    </w:p>
    <w:p w:rsidR="000F3D5B" w:rsidRPr="004E2C0E" w:rsidP="004E2C0E" w14:paraId="64EB2B2C" w14:textId="77777777">
      <w:pPr>
        <w:spacing w:after="220"/>
        <w:rPr>
          <w:rFonts w:ascii="Arial" w:hAnsi="Arial" w:cs="Arial"/>
          <w:sz w:val="22"/>
          <w:szCs w:val="22"/>
        </w:rPr>
      </w:pPr>
      <w:r>
        <w:rPr>
          <w:rFonts w:ascii="Arial" w:hAnsi="Arial" w:cs="Arial"/>
          <w:sz w:val="22"/>
          <w:szCs w:val="22"/>
        </w:rPr>
        <w:pict>
          <v:rect id="_x0000_i1103" style="width:0;height:1.5pt" o:hralign="center" o:hrstd="t" o:hrnoshade="t" o:hr="t" fillcolor="black" stroked="f"/>
        </w:pict>
      </w:r>
    </w:p>
    <w:p w:rsidR="00421C56" w:rsidRPr="004E2C0E" w:rsidP="004E2C0E" w14:paraId="2CE419AB" w14:textId="77777777">
      <w:pPr>
        <w:spacing w:after="220"/>
        <w:rPr>
          <w:rFonts w:ascii="Arial" w:eastAsia="Times New Roman" w:hAnsi="Arial" w:cs="Arial"/>
          <w:sz w:val="22"/>
          <w:szCs w:val="22"/>
        </w:rPr>
      </w:pPr>
      <w:r w:rsidRPr="004E2C0E">
        <w:rPr>
          <w:rFonts w:ascii="Arial" w:hAnsi="Arial" w:cs="Arial"/>
          <w:b/>
          <w:sz w:val="22"/>
          <w:szCs w:val="22"/>
        </w:rPr>
        <w:t>Comment Bin 3.3.1.C:</w:t>
      </w:r>
      <w:r w:rsidRPr="004E2C0E">
        <w:rPr>
          <w:rFonts w:ascii="Arial" w:eastAsia="Aptos" w:hAnsi="Arial" w:cs="Arial"/>
          <w:sz w:val="22"/>
          <w:szCs w:val="22"/>
        </w:rPr>
        <w:t xml:space="preserve"> A commenter stated that, s</w:t>
      </w:r>
      <w:r w:rsidRPr="004E2C0E">
        <w:rPr>
          <w:rFonts w:ascii="Arial" w:eastAsia="Times New Roman" w:hAnsi="Arial" w:cs="Arial"/>
          <w:sz w:val="22"/>
          <w:szCs w:val="22"/>
        </w:rPr>
        <w:t>hould the NRC not remove 10 CFR 53.425, the NRC should remove from 10 CFR 53.425(c) the footnote that indirectly establishes a design objective of 10 mrem[/year] for keeping doses to the public ALARA, as there is currently no guidance available on how this design objective can be achieved, and instead develop and provide guidance that documents what could be considered a reasonable design objective, including flexible methods or criteria for meeting it (</w:t>
      </w:r>
      <w:r w:rsidR="009D6BB9">
        <w:rPr>
          <w:rFonts w:ascii="Arial" w:eastAsia="Times New Roman" w:hAnsi="Arial" w:cs="Arial"/>
          <w:sz w:val="22"/>
          <w:szCs w:val="22"/>
        </w:rPr>
        <w:t>NEI2</w:t>
      </w:r>
      <w:r w:rsidRPr="004E2C0E">
        <w:rPr>
          <w:rFonts w:ascii="Arial" w:eastAsia="Times New Roman" w:hAnsi="Arial" w:cs="Arial"/>
          <w:sz w:val="22"/>
          <w:szCs w:val="22"/>
        </w:rPr>
        <w:t>-0046).</w:t>
      </w:r>
    </w:p>
    <w:p w:rsidR="00421C56" w:rsidRPr="004E2C0E" w:rsidP="004E2C0E" w14:paraId="45B97110" w14:textId="77777777">
      <w:pPr>
        <w:spacing w:after="220"/>
        <w:rPr>
          <w:rFonts w:ascii="Arial" w:hAnsi="Arial" w:cs="Arial"/>
          <w:sz w:val="22"/>
          <w:szCs w:val="22"/>
        </w:rPr>
      </w:pPr>
      <w:r w:rsidRPr="004E2C0E">
        <w:rPr>
          <w:rFonts w:ascii="Arial" w:hAnsi="Arial" w:cs="Arial"/>
          <w:b/>
          <w:sz w:val="22"/>
          <w:szCs w:val="22"/>
        </w:rPr>
        <w:t>NRC Response:</w:t>
      </w:r>
      <w:r w:rsidRPr="004E2C0E">
        <w:rPr>
          <w:rFonts w:ascii="Arial" w:hAnsi="Arial" w:cs="Arial"/>
          <w:sz w:val="22"/>
          <w:szCs w:val="22"/>
        </w:rPr>
        <w:t xml:space="preserve"> The NRC </w:t>
      </w:r>
      <w:r w:rsidR="0065454F">
        <w:rPr>
          <w:rFonts w:ascii="Arial" w:hAnsi="Arial" w:cs="Arial"/>
          <w:sz w:val="22"/>
          <w:szCs w:val="22"/>
        </w:rPr>
        <w:t xml:space="preserve">agrees </w:t>
      </w:r>
      <w:r w:rsidRPr="004E2C0E">
        <w:rPr>
          <w:rFonts w:ascii="Arial" w:hAnsi="Arial" w:cs="Arial"/>
          <w:sz w:val="22"/>
          <w:szCs w:val="22"/>
        </w:rPr>
        <w:t>with th</w:t>
      </w:r>
      <w:r w:rsidR="001C360D">
        <w:rPr>
          <w:rFonts w:ascii="Arial" w:hAnsi="Arial" w:cs="Arial"/>
          <w:sz w:val="22"/>
          <w:szCs w:val="22"/>
        </w:rPr>
        <w:t>e</w:t>
      </w:r>
      <w:r w:rsidRPr="004E2C0E">
        <w:rPr>
          <w:rFonts w:ascii="Arial" w:hAnsi="Arial" w:cs="Arial"/>
          <w:sz w:val="22"/>
          <w:szCs w:val="22"/>
        </w:rPr>
        <w:t xml:space="preserve"> comment.</w:t>
      </w:r>
    </w:p>
    <w:p w:rsidR="000F2A82" w:rsidP="004E2C0E" w14:paraId="763358A3" w14:textId="77777777">
      <w:pPr>
        <w:spacing w:after="220"/>
        <w:rPr>
          <w:rFonts w:ascii="Arial" w:hAnsi="Arial" w:cs="Arial"/>
          <w:sz w:val="22"/>
          <w:szCs w:val="22"/>
        </w:rPr>
      </w:pPr>
      <w:r w:rsidRPr="004E2C0E">
        <w:rPr>
          <w:rFonts w:ascii="Arial" w:hAnsi="Arial" w:cs="Arial"/>
          <w:sz w:val="22"/>
          <w:szCs w:val="22"/>
        </w:rPr>
        <w:t>The NRC and its predecessor the Atomic Energy Commission recognized the benefits of including a design objective to allay fears that ALARA would be interpreted as a need to continually strive for lower and lower goals for radiation exposures to the public or plant workers. In the original version of Appendix I</w:t>
      </w:r>
      <w:r w:rsidR="00426D57">
        <w:rPr>
          <w:rFonts w:ascii="Arial" w:hAnsi="Arial" w:cs="Arial"/>
          <w:sz w:val="22"/>
          <w:szCs w:val="22"/>
        </w:rPr>
        <w:t xml:space="preserve"> </w:t>
      </w:r>
      <w:r w:rsidRPr="004E2C0E">
        <w:rPr>
          <w:rFonts w:ascii="Arial" w:hAnsi="Arial" w:cs="Arial"/>
          <w:sz w:val="22"/>
          <w:szCs w:val="22"/>
        </w:rPr>
        <w:t>to 10 CFR Part 50 (40 FR 19442, May 5, 1975), the Commission stated that “[d]</w:t>
      </w:r>
      <w:r w:rsidRPr="004E2C0E">
        <w:rPr>
          <w:rFonts w:ascii="Arial" w:hAnsi="Arial" w:cs="Arial"/>
          <w:sz w:val="22"/>
          <w:szCs w:val="22"/>
        </w:rPr>
        <w:t>esign</w:t>
      </w:r>
      <w:r w:rsidRPr="004E2C0E">
        <w:rPr>
          <w:rFonts w:ascii="Arial" w:hAnsi="Arial" w:cs="Arial"/>
          <w:sz w:val="22"/>
          <w:szCs w:val="22"/>
        </w:rPr>
        <w:t xml:space="preserve"> objectives and limiting conditions for operation conforming </w:t>
      </w:r>
      <w:r w:rsidRPr="004E2C0E">
        <w:rPr>
          <w:rFonts w:ascii="Arial" w:hAnsi="Arial" w:cs="Arial"/>
          <w:sz w:val="22"/>
          <w:szCs w:val="22"/>
        </w:rPr>
        <w:t xml:space="preserve">to the guidelines of [Appendix I] shall be deemed a conclusive showing of compliance with the “as low as practicable” requirement of 10 CFR 50.34a and 10 CFR 50.36a. </w:t>
      </w:r>
      <w:r w:rsidR="001A6E2F">
        <w:rPr>
          <w:rFonts w:ascii="Arial" w:hAnsi="Arial" w:cs="Arial"/>
          <w:sz w:val="22"/>
          <w:szCs w:val="22"/>
        </w:rPr>
        <w:t>T</w:t>
      </w:r>
      <w:r w:rsidRPr="001A6E2F" w:rsidR="001A6E2F">
        <w:rPr>
          <w:rFonts w:ascii="Arial" w:hAnsi="Arial" w:cs="Arial"/>
          <w:sz w:val="22"/>
          <w:szCs w:val="22"/>
        </w:rPr>
        <w:t>he NRC continues to believe that including a requirement to define a design objective in 10 CFR 53.425 is beneficial</w:t>
      </w:r>
      <w:r w:rsidR="00CB32F9">
        <w:rPr>
          <w:rFonts w:ascii="Arial" w:hAnsi="Arial" w:cs="Arial"/>
          <w:sz w:val="22"/>
          <w:szCs w:val="22"/>
        </w:rPr>
        <w:t xml:space="preserve">, but that </w:t>
      </w:r>
      <w:r w:rsidR="00BD7FAD">
        <w:rPr>
          <w:rFonts w:ascii="Arial" w:hAnsi="Arial" w:cs="Arial"/>
          <w:sz w:val="22"/>
          <w:szCs w:val="22"/>
        </w:rPr>
        <w:t>such a requirement</w:t>
      </w:r>
      <w:r w:rsidR="00CB32F9">
        <w:rPr>
          <w:rFonts w:ascii="Arial" w:hAnsi="Arial" w:cs="Arial"/>
          <w:sz w:val="22"/>
          <w:szCs w:val="22"/>
        </w:rPr>
        <w:t xml:space="preserve"> is </w:t>
      </w:r>
      <w:r w:rsidR="00F56FDB">
        <w:rPr>
          <w:rFonts w:ascii="Arial" w:hAnsi="Arial" w:cs="Arial"/>
          <w:sz w:val="22"/>
          <w:szCs w:val="22"/>
        </w:rPr>
        <w:t xml:space="preserve">sufficient without including </w:t>
      </w:r>
      <w:r w:rsidR="007E02DF">
        <w:rPr>
          <w:rFonts w:ascii="Arial" w:hAnsi="Arial" w:cs="Arial"/>
          <w:sz w:val="22"/>
          <w:szCs w:val="22"/>
        </w:rPr>
        <w:t>numerical guidelines for the design objective</w:t>
      </w:r>
      <w:r w:rsidR="00E877C6">
        <w:rPr>
          <w:rFonts w:ascii="Arial" w:hAnsi="Arial" w:cs="Arial"/>
          <w:sz w:val="22"/>
          <w:szCs w:val="22"/>
        </w:rPr>
        <w:t xml:space="preserve"> and that</w:t>
      </w:r>
      <w:r w:rsidR="00B2457A">
        <w:rPr>
          <w:rFonts w:ascii="Arial" w:hAnsi="Arial" w:cs="Arial"/>
          <w:sz w:val="22"/>
          <w:szCs w:val="22"/>
        </w:rPr>
        <w:t xml:space="preserve"> the detail in the footnote in the proposed rule is not </w:t>
      </w:r>
      <w:r w:rsidR="000677C7">
        <w:rPr>
          <w:rFonts w:ascii="Arial" w:hAnsi="Arial" w:cs="Arial"/>
          <w:sz w:val="22"/>
          <w:szCs w:val="22"/>
        </w:rPr>
        <w:t>required</w:t>
      </w:r>
      <w:r w:rsidR="001A6E2F">
        <w:rPr>
          <w:rFonts w:ascii="Arial" w:hAnsi="Arial" w:cs="Arial"/>
          <w:sz w:val="22"/>
          <w:szCs w:val="22"/>
        </w:rPr>
        <w:t>.</w:t>
      </w:r>
      <w:r w:rsidRPr="001A6E2F" w:rsidR="001A6E2F">
        <w:rPr>
          <w:rFonts w:ascii="Arial" w:hAnsi="Arial" w:cs="Arial"/>
          <w:sz w:val="22"/>
          <w:szCs w:val="22"/>
        </w:rPr>
        <w:t xml:space="preserve"> </w:t>
      </w:r>
    </w:p>
    <w:p w:rsidR="001372A9" w:rsidP="004E2C0E" w14:paraId="2ADC5FA6" w14:textId="77777777">
      <w:pPr>
        <w:spacing w:after="220"/>
        <w:rPr>
          <w:rFonts w:ascii="Arial" w:hAnsi="Arial" w:cs="Arial"/>
          <w:sz w:val="22"/>
          <w:szCs w:val="22"/>
        </w:rPr>
      </w:pPr>
      <w:r>
        <w:rPr>
          <w:rFonts w:ascii="Arial" w:hAnsi="Arial" w:cs="Arial"/>
          <w:sz w:val="22"/>
          <w:szCs w:val="22"/>
        </w:rPr>
        <w:t xml:space="preserve">Accordingly, the NRC revised </w:t>
      </w:r>
      <w:r w:rsidR="00DE1EA4">
        <w:rPr>
          <w:rFonts w:ascii="Arial" w:hAnsi="Arial" w:cs="Arial"/>
          <w:sz w:val="22"/>
          <w:szCs w:val="22"/>
        </w:rPr>
        <w:t xml:space="preserve">10 CFR 53.425(c) </w:t>
      </w:r>
      <w:r w:rsidR="00D86010">
        <w:rPr>
          <w:rFonts w:ascii="Arial" w:hAnsi="Arial" w:cs="Arial"/>
          <w:sz w:val="22"/>
          <w:szCs w:val="22"/>
        </w:rPr>
        <w:t>to</w:t>
      </w:r>
      <w:r w:rsidR="00B06CD8">
        <w:rPr>
          <w:rFonts w:ascii="Arial" w:hAnsi="Arial" w:cs="Arial"/>
          <w:sz w:val="22"/>
          <w:szCs w:val="22"/>
        </w:rPr>
        <w:t xml:space="preserve"> remov</w:t>
      </w:r>
      <w:r w:rsidR="00D86010">
        <w:rPr>
          <w:rFonts w:ascii="Arial" w:hAnsi="Arial" w:cs="Arial"/>
          <w:sz w:val="22"/>
          <w:szCs w:val="22"/>
        </w:rPr>
        <w:t>e</w:t>
      </w:r>
      <w:r w:rsidR="00B06CD8">
        <w:rPr>
          <w:rFonts w:ascii="Arial" w:hAnsi="Arial" w:cs="Arial"/>
          <w:sz w:val="22"/>
          <w:szCs w:val="22"/>
        </w:rPr>
        <w:t xml:space="preserve"> the footnote</w:t>
      </w:r>
      <w:r w:rsidR="00D86010">
        <w:rPr>
          <w:rFonts w:ascii="Arial" w:hAnsi="Arial" w:cs="Arial"/>
          <w:sz w:val="22"/>
          <w:szCs w:val="22"/>
        </w:rPr>
        <w:t>, which</w:t>
      </w:r>
      <w:r w:rsidR="003D5A74">
        <w:rPr>
          <w:rFonts w:ascii="Arial" w:hAnsi="Arial" w:cs="Arial"/>
          <w:sz w:val="22"/>
          <w:szCs w:val="22"/>
        </w:rPr>
        <w:t xml:space="preserve"> </w:t>
      </w:r>
      <w:r w:rsidR="00AD474A">
        <w:rPr>
          <w:rFonts w:ascii="Arial" w:hAnsi="Arial" w:cs="Arial"/>
          <w:sz w:val="22"/>
          <w:szCs w:val="22"/>
        </w:rPr>
        <w:t xml:space="preserve">had </w:t>
      </w:r>
      <w:r w:rsidR="003D5A74">
        <w:rPr>
          <w:rFonts w:ascii="Arial" w:hAnsi="Arial" w:cs="Arial"/>
          <w:sz w:val="22"/>
          <w:szCs w:val="22"/>
        </w:rPr>
        <w:t>provid</w:t>
      </w:r>
      <w:r w:rsidR="00D86010">
        <w:rPr>
          <w:rFonts w:ascii="Arial" w:hAnsi="Arial" w:cs="Arial"/>
          <w:sz w:val="22"/>
          <w:szCs w:val="22"/>
        </w:rPr>
        <w:t>ed</w:t>
      </w:r>
      <w:r w:rsidR="003D5A74">
        <w:rPr>
          <w:rFonts w:ascii="Arial" w:hAnsi="Arial" w:cs="Arial"/>
          <w:sz w:val="22"/>
          <w:szCs w:val="22"/>
        </w:rPr>
        <w:t xml:space="preserve"> an acceptable design objective of an annual dose to members of the public of less than 10 mrem</w:t>
      </w:r>
      <w:r w:rsidR="00000090">
        <w:rPr>
          <w:rFonts w:ascii="Arial" w:hAnsi="Arial" w:cs="Arial"/>
          <w:sz w:val="22"/>
          <w:szCs w:val="22"/>
        </w:rPr>
        <w:t>. Additionally</w:t>
      </w:r>
      <w:r w:rsidR="00497A22">
        <w:rPr>
          <w:rFonts w:ascii="Arial" w:hAnsi="Arial" w:cs="Arial"/>
          <w:sz w:val="22"/>
          <w:szCs w:val="22"/>
        </w:rPr>
        <w:t>, t</w:t>
      </w:r>
      <w:r w:rsidRPr="00470A59" w:rsidR="00470A59">
        <w:rPr>
          <w:rFonts w:ascii="Arial" w:hAnsi="Arial" w:cs="Arial"/>
          <w:sz w:val="22"/>
          <w:szCs w:val="22"/>
        </w:rPr>
        <w:t xml:space="preserve">he NRC revised the final rule to remove specific references </w:t>
      </w:r>
      <w:r w:rsidR="00CF6389">
        <w:rPr>
          <w:rFonts w:ascii="Arial" w:hAnsi="Arial" w:cs="Arial"/>
          <w:sz w:val="22"/>
          <w:szCs w:val="22"/>
        </w:rPr>
        <w:t>with</w:t>
      </w:r>
      <w:r w:rsidR="00556074">
        <w:rPr>
          <w:rFonts w:ascii="Arial" w:hAnsi="Arial" w:cs="Arial"/>
          <w:sz w:val="22"/>
          <w:szCs w:val="22"/>
        </w:rPr>
        <w:t>in</w:t>
      </w:r>
      <w:r w:rsidR="00CF6389">
        <w:rPr>
          <w:rFonts w:ascii="Arial" w:hAnsi="Arial" w:cs="Arial"/>
          <w:sz w:val="22"/>
          <w:szCs w:val="22"/>
        </w:rPr>
        <w:t xml:space="preserve"> Part 53 </w:t>
      </w:r>
      <w:r w:rsidRPr="00470A59" w:rsidR="00470A59">
        <w:rPr>
          <w:rFonts w:ascii="Arial" w:hAnsi="Arial" w:cs="Arial"/>
          <w:sz w:val="22"/>
          <w:szCs w:val="22"/>
        </w:rPr>
        <w:t xml:space="preserve">to ALARA </w:t>
      </w:r>
      <w:r w:rsidR="005E2C48">
        <w:rPr>
          <w:rFonts w:ascii="Arial" w:hAnsi="Arial" w:cs="Arial"/>
          <w:sz w:val="22"/>
          <w:szCs w:val="22"/>
        </w:rPr>
        <w:t xml:space="preserve">because referring directly to </w:t>
      </w:r>
      <w:r w:rsidRPr="00470A59" w:rsidR="00470A59">
        <w:rPr>
          <w:rFonts w:ascii="Arial" w:hAnsi="Arial" w:cs="Arial"/>
          <w:sz w:val="22"/>
          <w:szCs w:val="22"/>
        </w:rPr>
        <w:t>10 CFR Part 20</w:t>
      </w:r>
      <w:r w:rsidR="002A3AE3">
        <w:rPr>
          <w:rFonts w:ascii="Arial" w:hAnsi="Arial" w:cs="Arial"/>
          <w:sz w:val="22"/>
          <w:szCs w:val="22"/>
        </w:rPr>
        <w:t xml:space="preserve"> is sufficient to address radiation protection </w:t>
      </w:r>
      <w:r w:rsidR="00B11385">
        <w:rPr>
          <w:rFonts w:ascii="Arial" w:hAnsi="Arial" w:cs="Arial"/>
          <w:sz w:val="22"/>
          <w:szCs w:val="22"/>
        </w:rPr>
        <w:t>standards</w:t>
      </w:r>
      <w:r w:rsidRPr="00470A59" w:rsidR="00470A59">
        <w:rPr>
          <w:rFonts w:ascii="Arial" w:hAnsi="Arial" w:cs="Arial"/>
          <w:sz w:val="22"/>
          <w:szCs w:val="22"/>
        </w:rPr>
        <w:t>.</w:t>
      </w:r>
      <w:r w:rsidR="001A31F1">
        <w:rPr>
          <w:rFonts w:ascii="Arial" w:hAnsi="Arial" w:cs="Arial"/>
          <w:sz w:val="22"/>
          <w:szCs w:val="22"/>
        </w:rPr>
        <w:t xml:space="preserve"> </w:t>
      </w:r>
    </w:p>
    <w:p w:rsidR="000F3D5B" w:rsidRPr="004E2C0E" w:rsidP="004E2C0E" w14:paraId="634E35A6" w14:textId="77777777">
      <w:pPr>
        <w:spacing w:after="220"/>
        <w:rPr>
          <w:rFonts w:ascii="Arial" w:hAnsi="Arial" w:cs="Arial"/>
          <w:sz w:val="22"/>
          <w:szCs w:val="22"/>
        </w:rPr>
      </w:pPr>
      <w:r>
        <w:rPr>
          <w:rFonts w:ascii="Arial" w:hAnsi="Arial" w:cs="Arial"/>
          <w:sz w:val="22"/>
          <w:szCs w:val="22"/>
        </w:rPr>
        <w:pict>
          <v:rect id="_x0000_i1104" style="width:0;height:1.5pt" o:hralign="center" o:hrstd="t" o:hrnoshade="t" o:hr="t" fillcolor="black" stroked="f"/>
        </w:pict>
      </w:r>
    </w:p>
    <w:p w:rsidR="00725C66" w:rsidRPr="004E2C0E" w:rsidP="004E2C0E" w14:paraId="4A6D130C" w14:textId="77777777">
      <w:pPr>
        <w:spacing w:after="220"/>
        <w:rPr>
          <w:rFonts w:ascii="Arial" w:eastAsia="Aptos" w:hAnsi="Arial" w:cs="Arial"/>
          <w:sz w:val="22"/>
          <w:szCs w:val="22"/>
        </w:rPr>
      </w:pPr>
      <w:r w:rsidRPr="004E2C0E">
        <w:rPr>
          <w:rFonts w:ascii="Arial" w:hAnsi="Arial" w:cs="Arial"/>
          <w:b/>
          <w:sz w:val="22"/>
          <w:szCs w:val="22"/>
        </w:rPr>
        <w:t xml:space="preserve">Comment Bin 3.3.1.D: </w:t>
      </w:r>
      <w:r w:rsidRPr="004E2C0E">
        <w:rPr>
          <w:rFonts w:ascii="Arial" w:eastAsia="Aptos" w:hAnsi="Arial" w:cs="Arial"/>
          <w:sz w:val="22"/>
          <w:szCs w:val="22"/>
        </w:rPr>
        <w:t>A commenter recommended the NRC revise 10 CFR 53.420(a) to apply only to design features classified as NSRSS, stating this revision would help applicants understand and apply the appropriate level of rigor to different classifications of components (</w:t>
      </w:r>
      <w:r w:rsidR="00DF6CD2">
        <w:rPr>
          <w:rFonts w:ascii="Arial" w:eastAsia="Aptos" w:hAnsi="Arial" w:cs="Arial"/>
          <w:sz w:val="22"/>
          <w:szCs w:val="22"/>
        </w:rPr>
        <w:t>NEI3</w:t>
      </w:r>
      <w:r w:rsidRPr="004E2C0E">
        <w:rPr>
          <w:rFonts w:ascii="Arial" w:eastAsia="Aptos" w:hAnsi="Arial" w:cs="Arial"/>
          <w:sz w:val="22"/>
          <w:szCs w:val="22"/>
        </w:rPr>
        <w:t>-0012).</w:t>
      </w:r>
    </w:p>
    <w:p w:rsidR="00890478" w:rsidP="004E2C0E" w14:paraId="558082DB" w14:textId="77777777">
      <w:pPr>
        <w:spacing w:after="220"/>
        <w:rPr>
          <w:rFonts w:ascii="Arial" w:hAnsi="Arial" w:cs="Arial"/>
          <w:sz w:val="22"/>
          <w:szCs w:val="22"/>
        </w:rPr>
      </w:pPr>
      <w:r w:rsidRPr="004E2C0E">
        <w:rPr>
          <w:rFonts w:ascii="Arial" w:hAnsi="Arial" w:cs="Arial"/>
          <w:b/>
          <w:sz w:val="22"/>
          <w:szCs w:val="22"/>
        </w:rPr>
        <w:t>NRC Response:</w:t>
      </w:r>
      <w:r w:rsidRPr="004E2C0E">
        <w:rPr>
          <w:rFonts w:ascii="Arial" w:hAnsi="Arial" w:cs="Arial"/>
          <w:sz w:val="22"/>
          <w:szCs w:val="22"/>
        </w:rPr>
        <w:t> The NRC agrees in part with th</w:t>
      </w:r>
      <w:r w:rsidR="001C360D">
        <w:rPr>
          <w:rFonts w:ascii="Arial" w:hAnsi="Arial" w:cs="Arial"/>
          <w:sz w:val="22"/>
          <w:szCs w:val="22"/>
        </w:rPr>
        <w:t>e</w:t>
      </w:r>
      <w:r w:rsidRPr="004E2C0E">
        <w:rPr>
          <w:rFonts w:ascii="Arial" w:hAnsi="Arial" w:cs="Arial"/>
          <w:sz w:val="22"/>
          <w:szCs w:val="22"/>
        </w:rPr>
        <w:t xml:space="preserve"> comment. </w:t>
      </w:r>
    </w:p>
    <w:p w:rsidR="00890478" w:rsidP="004E2C0E" w14:paraId="3E29010C" w14:textId="77777777">
      <w:pPr>
        <w:spacing w:after="220"/>
        <w:rPr>
          <w:rFonts w:ascii="Arial" w:hAnsi="Arial" w:cs="Arial"/>
          <w:sz w:val="22"/>
          <w:szCs w:val="22"/>
        </w:rPr>
      </w:pPr>
      <w:r w:rsidRPr="004E2C0E">
        <w:rPr>
          <w:rFonts w:ascii="Arial" w:hAnsi="Arial" w:cs="Arial"/>
          <w:sz w:val="22"/>
          <w:szCs w:val="22"/>
        </w:rPr>
        <w:t xml:space="preserve">The NRC agrees that adding specificity improves the requirement. The NRC disagrees that applying functional design criteria only to design features classified as NSRSS is appropriate since functional design criteria for SR SSCs may be accounted for in LBEs other than DBAs in addition to functional design criteria for NSRSS SSCs. </w:t>
      </w:r>
    </w:p>
    <w:p w:rsidR="00725C66" w:rsidRPr="004E2C0E" w:rsidP="004E2C0E" w14:paraId="4619FC01" w14:textId="77777777">
      <w:pPr>
        <w:spacing w:after="220"/>
        <w:rPr>
          <w:rFonts w:ascii="Arial" w:hAnsi="Arial" w:cs="Arial"/>
          <w:b/>
          <w:sz w:val="22"/>
          <w:szCs w:val="22"/>
        </w:rPr>
      </w:pPr>
      <w:r w:rsidRPr="004E2C0E">
        <w:rPr>
          <w:rFonts w:ascii="Arial" w:hAnsi="Arial" w:cs="Arial"/>
          <w:sz w:val="22"/>
          <w:szCs w:val="22"/>
        </w:rPr>
        <w:t xml:space="preserve">Accordingly, the NRC </w:t>
      </w:r>
      <w:r w:rsidR="004D3689">
        <w:rPr>
          <w:rFonts w:ascii="Arial" w:hAnsi="Arial" w:cs="Arial"/>
          <w:sz w:val="22"/>
          <w:szCs w:val="22"/>
        </w:rPr>
        <w:t>revised</w:t>
      </w:r>
      <w:r w:rsidRPr="004E2C0E">
        <w:rPr>
          <w:rFonts w:ascii="Arial" w:hAnsi="Arial" w:cs="Arial"/>
          <w:sz w:val="22"/>
          <w:szCs w:val="22"/>
        </w:rPr>
        <w:t xml:space="preserve"> the rule language in response to this comment to address both SR and NSRSS in 10 CFR 53.420(a).</w:t>
      </w:r>
    </w:p>
    <w:p w:rsidR="000F3D5B" w:rsidRPr="004E2C0E" w:rsidP="004E2C0E" w14:paraId="6DE5999D" w14:textId="77777777">
      <w:pPr>
        <w:spacing w:after="220"/>
        <w:rPr>
          <w:rFonts w:ascii="Arial" w:hAnsi="Arial" w:cs="Arial"/>
          <w:sz w:val="22"/>
          <w:szCs w:val="22"/>
        </w:rPr>
      </w:pPr>
      <w:r>
        <w:rPr>
          <w:rFonts w:ascii="Arial" w:hAnsi="Arial" w:cs="Arial"/>
          <w:sz w:val="22"/>
          <w:szCs w:val="22"/>
        </w:rPr>
        <w:pict>
          <v:rect id="_x0000_i1105" style="width:0;height:1.5pt" o:hralign="center" o:hrstd="t" o:hrnoshade="t" o:hr="t" fillcolor="black" stroked="f"/>
        </w:pict>
      </w:r>
    </w:p>
    <w:p w:rsidR="00725C66" w:rsidRPr="004E2C0E" w:rsidP="004E2C0E" w14:paraId="1C43016A" w14:textId="77777777">
      <w:pPr>
        <w:spacing w:after="220"/>
        <w:rPr>
          <w:rFonts w:ascii="Arial" w:eastAsia="Aptos" w:hAnsi="Arial" w:cs="Arial"/>
          <w:sz w:val="22"/>
          <w:szCs w:val="22"/>
        </w:rPr>
      </w:pPr>
      <w:r w:rsidRPr="004E2C0E">
        <w:rPr>
          <w:rFonts w:ascii="Arial" w:hAnsi="Arial" w:cs="Arial"/>
          <w:b/>
          <w:sz w:val="22"/>
          <w:szCs w:val="22"/>
        </w:rPr>
        <w:t>Comment Bin 3.3.1.E:</w:t>
      </w:r>
      <w:r w:rsidRPr="004E2C0E">
        <w:rPr>
          <w:rFonts w:ascii="Arial" w:hAnsi="Arial" w:cs="Arial"/>
          <w:sz w:val="22"/>
          <w:szCs w:val="22"/>
        </w:rPr>
        <w:t xml:space="preserve"> </w:t>
      </w:r>
      <w:r w:rsidRPr="004E2C0E">
        <w:rPr>
          <w:rFonts w:ascii="Arial" w:eastAsia="Aptos" w:hAnsi="Arial" w:cs="Arial"/>
          <w:sz w:val="22"/>
          <w:szCs w:val="22"/>
        </w:rPr>
        <w:t>A commenter stated that 10 CFR 53.415 could be interpreted to require all SR SSCs to be able to withstand and be capable of performing their safety functions for the DBHL of all hazards, which would be inappropriate for the performance-based nature of Part 53 and may impose onerous design requirements on SR SSCs and complex analyses to demonstrate that the requirement is met. The commenter added that while the primary role of DBAs under the proposed rule is the identification of SR SSCs that are necessary to ensure plant safety, the role and importance of the SR SSCs may differ depending on the accident scenario. The commenter stated that 10 CFR 53.415 should require that SR SSCs be protected against or be designed to withstand all DBHLs, but the requirement to be capable of performing their safety functions should only be required for those DBHLs where performance of the SR SSC may be necessary</w:t>
      </w:r>
      <w:r w:rsidR="00FF46B0">
        <w:rPr>
          <w:rFonts w:ascii="Arial" w:eastAsia="Aptos" w:hAnsi="Arial" w:cs="Arial"/>
          <w:sz w:val="22"/>
          <w:szCs w:val="22"/>
        </w:rPr>
        <w:t>.</w:t>
      </w:r>
      <w:r w:rsidRPr="004E2C0E">
        <w:rPr>
          <w:rFonts w:ascii="Arial" w:eastAsia="Aptos" w:hAnsi="Arial" w:cs="Arial"/>
          <w:sz w:val="22"/>
          <w:szCs w:val="22"/>
        </w:rPr>
        <w:t xml:space="preserve"> </w:t>
      </w:r>
      <w:r w:rsidR="00F73531">
        <w:rPr>
          <w:rFonts w:ascii="Arial" w:eastAsia="Aptos" w:hAnsi="Arial" w:cs="Arial"/>
          <w:sz w:val="22"/>
          <w:szCs w:val="22"/>
        </w:rPr>
        <w:t>T</w:t>
      </w:r>
      <w:r w:rsidR="00A77535">
        <w:rPr>
          <w:rFonts w:ascii="Arial" w:eastAsia="Aptos" w:hAnsi="Arial" w:cs="Arial"/>
          <w:sz w:val="22"/>
          <w:szCs w:val="22"/>
        </w:rPr>
        <w:t xml:space="preserve">he commenter </w:t>
      </w:r>
      <w:r w:rsidR="00E83F82">
        <w:rPr>
          <w:rFonts w:ascii="Arial" w:eastAsia="Aptos" w:hAnsi="Arial" w:cs="Arial"/>
          <w:sz w:val="22"/>
          <w:szCs w:val="22"/>
        </w:rPr>
        <w:t>also</w:t>
      </w:r>
      <w:r w:rsidR="002165C2">
        <w:rPr>
          <w:rFonts w:ascii="Arial" w:eastAsia="Aptos" w:hAnsi="Arial" w:cs="Arial"/>
          <w:sz w:val="22"/>
          <w:szCs w:val="22"/>
        </w:rPr>
        <w:t xml:space="preserve"> </w:t>
      </w:r>
      <w:r w:rsidRPr="004E2C0E">
        <w:rPr>
          <w:rFonts w:ascii="Arial" w:eastAsia="Aptos" w:hAnsi="Arial" w:cs="Arial"/>
          <w:sz w:val="22"/>
          <w:szCs w:val="22"/>
        </w:rPr>
        <w:t>provided recommended rule text</w:t>
      </w:r>
      <w:r w:rsidR="000776DA">
        <w:rPr>
          <w:rFonts w:ascii="Arial" w:eastAsia="Aptos" w:hAnsi="Arial" w:cs="Arial"/>
          <w:sz w:val="22"/>
          <w:szCs w:val="22"/>
        </w:rPr>
        <w:t xml:space="preserve"> changes for 10 CFR 53.415</w:t>
      </w:r>
      <w:r w:rsidRPr="004E2C0E">
        <w:rPr>
          <w:rFonts w:ascii="Arial" w:eastAsia="Aptos" w:hAnsi="Arial" w:cs="Arial"/>
          <w:sz w:val="22"/>
          <w:szCs w:val="22"/>
        </w:rPr>
        <w:t>. The commenter added that this would align the requirements of SR SSCs with the approach of special treatments for NSRSS SSCs (</w:t>
      </w:r>
      <w:r w:rsidR="0072098F">
        <w:rPr>
          <w:rFonts w:ascii="Arial" w:eastAsia="Aptos" w:hAnsi="Arial" w:cs="Arial"/>
          <w:sz w:val="22"/>
          <w:szCs w:val="22"/>
        </w:rPr>
        <w:t>IDNL</w:t>
      </w:r>
      <w:r w:rsidRPr="004E2C0E">
        <w:rPr>
          <w:rFonts w:ascii="Arial" w:eastAsia="Aptos" w:hAnsi="Arial" w:cs="Arial"/>
          <w:sz w:val="22"/>
          <w:szCs w:val="22"/>
        </w:rPr>
        <w:t>-0004).</w:t>
      </w:r>
    </w:p>
    <w:p w:rsidR="00725C66" w:rsidRPr="004E2C0E" w:rsidP="004E2C0E" w14:paraId="519A1034" w14:textId="77777777">
      <w:pPr>
        <w:spacing w:after="220"/>
        <w:rPr>
          <w:rFonts w:ascii="Arial" w:hAnsi="Arial" w:cs="Arial"/>
          <w:sz w:val="22"/>
          <w:szCs w:val="22"/>
        </w:rPr>
      </w:pPr>
      <w:r w:rsidRPr="004E2C0E">
        <w:rPr>
          <w:rFonts w:ascii="Arial" w:hAnsi="Arial" w:cs="Arial"/>
          <w:b/>
          <w:sz w:val="22"/>
          <w:szCs w:val="22"/>
        </w:rPr>
        <w:t>NRC Response:</w:t>
      </w:r>
      <w:r w:rsidRPr="004E2C0E">
        <w:rPr>
          <w:rFonts w:ascii="Arial" w:hAnsi="Arial" w:cs="Arial"/>
          <w:sz w:val="22"/>
          <w:szCs w:val="22"/>
        </w:rPr>
        <w:t> The NRC disagrees with th</w:t>
      </w:r>
      <w:r w:rsidR="00946CED">
        <w:rPr>
          <w:rFonts w:ascii="Arial" w:hAnsi="Arial" w:cs="Arial"/>
          <w:sz w:val="22"/>
          <w:szCs w:val="22"/>
        </w:rPr>
        <w:t>e</w:t>
      </w:r>
      <w:r w:rsidRPr="004E2C0E">
        <w:rPr>
          <w:rFonts w:ascii="Arial" w:hAnsi="Arial" w:cs="Arial"/>
          <w:sz w:val="22"/>
          <w:szCs w:val="22"/>
        </w:rPr>
        <w:t xml:space="preserve"> comment.</w:t>
      </w:r>
    </w:p>
    <w:p w:rsidR="00725C66" w:rsidRPr="004E2C0E" w:rsidP="004E2C0E" w14:paraId="1E6C8CC9" w14:textId="77777777">
      <w:pPr>
        <w:spacing w:after="220"/>
        <w:rPr>
          <w:rFonts w:ascii="Arial" w:hAnsi="Arial" w:cs="Arial"/>
          <w:sz w:val="22"/>
          <w:szCs w:val="22"/>
        </w:rPr>
      </w:pPr>
      <w:r w:rsidRPr="004E2C0E">
        <w:rPr>
          <w:rFonts w:ascii="Arial" w:hAnsi="Arial" w:cs="Arial"/>
          <w:sz w:val="22"/>
          <w:szCs w:val="22"/>
        </w:rPr>
        <w:t>The construct of 10 CFR Part 53 includes evaluating a range of event sequences as LBEs other than DBAs. These event sequences can be organized into licensing</w:t>
      </w:r>
      <w:r w:rsidR="00113FE3">
        <w:rPr>
          <w:rFonts w:ascii="Arial" w:hAnsi="Arial" w:cs="Arial"/>
          <w:sz w:val="22"/>
          <w:szCs w:val="22"/>
        </w:rPr>
        <w:t>-</w:t>
      </w:r>
      <w:r w:rsidRPr="004E2C0E">
        <w:rPr>
          <w:rFonts w:ascii="Arial" w:hAnsi="Arial" w:cs="Arial"/>
          <w:sz w:val="22"/>
          <w:szCs w:val="22"/>
        </w:rPr>
        <w:t xml:space="preserve">basis events and distinguish between contributors to initiating events related to various natural or constructed hazards. This flexibility provides opportunities to refine special treatments for some SSCs. However, in addition to the realistic evaluations and flexibilities associated with LBEs other than </w:t>
      </w:r>
      <w:r w:rsidRPr="004E2C0E">
        <w:rPr>
          <w:rFonts w:ascii="Arial" w:hAnsi="Arial" w:cs="Arial"/>
          <w:sz w:val="22"/>
          <w:szCs w:val="22"/>
        </w:rPr>
        <w:t>DBAs, 10 CFR Part 53 requires the analysis of DBAs using a more deterministic approach and requires the identification of safety-related SSCs.</w:t>
      </w:r>
    </w:p>
    <w:p w:rsidR="00725C66" w:rsidRPr="004E2C0E" w:rsidP="004E2C0E" w14:paraId="4561B218" w14:textId="77777777">
      <w:pPr>
        <w:spacing w:after="220"/>
        <w:rPr>
          <w:rFonts w:ascii="Arial" w:hAnsi="Arial" w:cs="Arial"/>
          <w:sz w:val="22"/>
          <w:szCs w:val="22"/>
        </w:rPr>
      </w:pPr>
      <w:r w:rsidRPr="004E2C0E">
        <w:rPr>
          <w:rFonts w:ascii="Arial" w:hAnsi="Arial" w:cs="Arial"/>
          <w:sz w:val="22"/>
          <w:szCs w:val="22"/>
        </w:rPr>
        <w:t>As explained in the proposed and final rules, SR SSCs provide that a defined success path exists for DBAs and 10 CFR 53.415 states that those SR SSCs remain capable of performing the safety functions stated in 10 CFR 53.230 for which they are credited up to the design</w:t>
      </w:r>
      <w:r w:rsidR="00946CED">
        <w:rPr>
          <w:rFonts w:ascii="Arial" w:hAnsi="Arial" w:cs="Arial"/>
          <w:sz w:val="22"/>
          <w:szCs w:val="22"/>
        </w:rPr>
        <w:noBreakHyphen/>
      </w:r>
      <w:r w:rsidRPr="004E2C0E">
        <w:rPr>
          <w:rFonts w:ascii="Arial" w:hAnsi="Arial" w:cs="Arial"/>
          <w:sz w:val="22"/>
          <w:szCs w:val="22"/>
        </w:rPr>
        <w:t>basis external hazard levels as determined under 10 CFR 53.510. This requirement maintains the traditional protection of SR SSCs and generally allows the DBAs to be analyzed separately from the evaluations of design basis external hazard levels. The comment provides possible examples where the protection of specific SR SSCs from specific external hazards may not be warranted. The NRC believes these special circumstances can be addressed using the language in 10 CFR 53.415, which states that protections from external hazards should preclude “losing the capability to perform the safety functions identified under §53.230.”</w:t>
      </w:r>
    </w:p>
    <w:p w:rsidR="00725C66" w:rsidRPr="004E2C0E" w:rsidP="004E2C0E" w14:paraId="4FFA099A" w14:textId="77777777">
      <w:pPr>
        <w:spacing w:after="220"/>
        <w:rPr>
          <w:rFonts w:ascii="Arial" w:hAnsi="Arial" w:cs="Arial"/>
          <w:sz w:val="22"/>
          <w:szCs w:val="22"/>
        </w:rPr>
      </w:pPr>
      <w:r w:rsidRPr="004E2C0E">
        <w:rPr>
          <w:rFonts w:ascii="Arial" w:hAnsi="Arial" w:cs="Arial"/>
          <w:sz w:val="22"/>
          <w:szCs w:val="22"/>
        </w:rPr>
        <w:t>Accordingly, the NRC did not change the rule language in response to this comment.</w:t>
      </w:r>
    </w:p>
    <w:p w:rsidR="000F3D5B" w:rsidRPr="004E2C0E" w:rsidP="004E2C0E" w14:paraId="464F2C57" w14:textId="77777777">
      <w:pPr>
        <w:spacing w:after="220"/>
        <w:rPr>
          <w:rFonts w:ascii="Arial" w:hAnsi="Arial" w:cs="Arial"/>
          <w:sz w:val="22"/>
          <w:szCs w:val="22"/>
        </w:rPr>
      </w:pPr>
      <w:r>
        <w:rPr>
          <w:rFonts w:ascii="Arial" w:hAnsi="Arial" w:cs="Arial"/>
          <w:sz w:val="22"/>
          <w:szCs w:val="22"/>
        </w:rPr>
        <w:pict>
          <v:rect id="_x0000_i1106" style="width:0;height:1.5pt" o:hralign="center" o:hrstd="t" o:hrnoshade="t" o:hr="t" fillcolor="black" stroked="f"/>
        </w:pict>
      </w:r>
    </w:p>
    <w:p w:rsidR="000F3D5B" w:rsidRPr="005E489E" w:rsidP="00A27ADE" w14:paraId="6664E5D0" w14:textId="77777777">
      <w:pPr>
        <w:pStyle w:val="Heading3"/>
        <w:keepNext/>
        <w:keepLines/>
        <w:numPr>
          <w:ilvl w:val="0"/>
          <w:numId w:val="0"/>
        </w:numPr>
        <w:ind w:left="720" w:hanging="720"/>
        <w:rPr>
          <w:rFonts w:eastAsia="Times New Roman"/>
          <w:b/>
        </w:rPr>
      </w:pPr>
      <w:bookmarkStart w:id="35" w:name="_Toc207222810"/>
      <w:r w:rsidRPr="00D1225A">
        <w:rPr>
          <w:u w:val="none"/>
        </w:rPr>
        <w:t>3.3.2.</w:t>
      </w:r>
      <w:r w:rsidRPr="00D1225A">
        <w:rPr>
          <w:u w:val="none"/>
        </w:rPr>
        <w:tab/>
      </w:r>
      <w:r w:rsidRPr="0030052D">
        <w:t>Other comments on Subpart C provisions (§§ 53.440-53.480, including design and analysis requirements, safety categorization, and special treatment)</w:t>
      </w:r>
      <w:bookmarkEnd w:id="35"/>
    </w:p>
    <w:p w:rsidR="00532ED4" w:rsidRPr="001E571B" w:rsidP="00A27ADE" w14:paraId="47D13F18" w14:textId="77777777">
      <w:pPr>
        <w:pStyle w:val="Heading4"/>
        <w:keepNext/>
        <w:keepLines/>
        <w:rPr>
          <w:rFonts w:eastAsia="Times New Roman"/>
          <w:b/>
          <w:i/>
        </w:rPr>
      </w:pPr>
      <w:r w:rsidRPr="008A7CB7">
        <w:rPr>
          <w:u w:val="none"/>
        </w:rPr>
        <w:t>3.3.2.1</w:t>
      </w:r>
      <w:r w:rsidRPr="008A7CB7" w:rsidR="00A56251">
        <w:rPr>
          <w:u w:val="none"/>
        </w:rPr>
        <w:t>.</w:t>
      </w:r>
      <w:r w:rsidRPr="008A7CB7">
        <w:rPr>
          <w:u w:val="none"/>
        </w:rPr>
        <w:t xml:space="preserve"> </w:t>
      </w:r>
      <w:r w:rsidRPr="008A7CB7" w:rsidR="00A56251">
        <w:rPr>
          <w:u w:val="none"/>
        </w:rPr>
        <w:tab/>
      </w:r>
      <w:r w:rsidRPr="00A56251">
        <w:t xml:space="preserve">Comments on </w:t>
      </w:r>
      <w:r w:rsidRPr="00A56251" w:rsidR="00CE230C">
        <w:rPr>
          <w:rFonts w:eastAsia="Times New Roman"/>
        </w:rPr>
        <w:t xml:space="preserve">§ </w:t>
      </w:r>
      <w:r w:rsidRPr="00A56251">
        <w:rPr>
          <w:rFonts w:eastAsia="Times New Roman"/>
        </w:rPr>
        <w:t>53.440</w:t>
      </w:r>
    </w:p>
    <w:p w:rsidR="00082819" w:rsidRPr="00E70252" w:rsidP="00A27ADE" w14:paraId="416E5017" w14:textId="77777777">
      <w:pPr>
        <w:keepNext/>
        <w:keepLines/>
        <w:spacing w:after="220"/>
        <w:rPr>
          <w:rFonts w:ascii="Arial" w:eastAsia="Aptos" w:hAnsi="Arial" w:cs="Arial"/>
          <w:sz w:val="22"/>
          <w:szCs w:val="22"/>
        </w:rPr>
      </w:pPr>
      <w:r w:rsidRPr="00E70252">
        <w:rPr>
          <w:rFonts w:ascii="Arial" w:hAnsi="Arial" w:cs="Arial"/>
          <w:b/>
          <w:sz w:val="22"/>
          <w:szCs w:val="22"/>
        </w:rPr>
        <w:t xml:space="preserve">Comment Bin 3.3.2.1.A: </w:t>
      </w:r>
      <w:r w:rsidRPr="00E70252">
        <w:rPr>
          <w:rFonts w:ascii="Arial" w:eastAsia="Aptos" w:hAnsi="Arial" w:cs="Arial"/>
          <w:sz w:val="22"/>
          <w:szCs w:val="22"/>
        </w:rPr>
        <w:t>Many</w:t>
      </w:r>
      <w:r w:rsidRPr="00E70252">
        <w:rPr>
          <w:rFonts w:ascii="Arial" w:eastAsia="Times New Roman" w:hAnsi="Arial" w:cs="Arial"/>
          <w:sz w:val="22"/>
          <w:szCs w:val="22"/>
        </w:rPr>
        <w:t xml:space="preserve"> commenters expressed concern about the scope and substance of 10 CFR 53.440(b), which proposed a requirement to use generally accepted consensus codes and standards that have been endorsed or otherwise found acceptable by the NRC for SR SSCs and NSRSS SSCs (</w:t>
      </w:r>
      <w:r w:rsidR="00005A63">
        <w:rPr>
          <w:rFonts w:ascii="Arial" w:eastAsia="Aptos" w:hAnsi="Arial" w:cs="Arial"/>
          <w:sz w:val="22"/>
          <w:szCs w:val="22"/>
        </w:rPr>
        <w:t>HPT8</w:t>
      </w:r>
      <w:r w:rsidRPr="00E70252">
        <w:rPr>
          <w:rFonts w:ascii="Arial" w:eastAsia="Aptos" w:hAnsi="Arial" w:cs="Arial"/>
          <w:sz w:val="22"/>
          <w:szCs w:val="22"/>
        </w:rPr>
        <w:t xml:space="preserve">-0001, </w:t>
      </w:r>
      <w:r w:rsidR="00005A63">
        <w:rPr>
          <w:rFonts w:ascii="Arial" w:eastAsia="Aptos" w:hAnsi="Arial" w:cs="Arial"/>
          <w:sz w:val="22"/>
          <w:szCs w:val="22"/>
        </w:rPr>
        <w:t>HPT8</w:t>
      </w:r>
      <w:r w:rsidRPr="00E70252">
        <w:rPr>
          <w:rFonts w:ascii="Arial" w:eastAsia="Aptos" w:hAnsi="Arial" w:cs="Arial"/>
          <w:sz w:val="22"/>
          <w:szCs w:val="22"/>
        </w:rPr>
        <w:t xml:space="preserve">-0002, </w:t>
      </w:r>
      <w:r w:rsidR="009D6BB9">
        <w:rPr>
          <w:rFonts w:ascii="Arial" w:eastAsia="Aptos" w:hAnsi="Arial" w:cs="Arial"/>
          <w:sz w:val="22"/>
          <w:szCs w:val="22"/>
        </w:rPr>
        <w:t>HPT32</w:t>
      </w:r>
      <w:r w:rsidRPr="00E70252">
        <w:rPr>
          <w:rFonts w:ascii="Arial" w:eastAsia="Aptos" w:hAnsi="Arial" w:cs="Arial"/>
          <w:sz w:val="22"/>
          <w:szCs w:val="22"/>
        </w:rPr>
        <w:t xml:space="preserve">-0001, </w:t>
      </w:r>
      <w:r w:rsidR="009D6BB9">
        <w:rPr>
          <w:rFonts w:ascii="Arial" w:eastAsia="Aptos" w:hAnsi="Arial" w:cs="Arial"/>
          <w:sz w:val="22"/>
          <w:szCs w:val="22"/>
        </w:rPr>
        <w:t>HPT32</w:t>
      </w:r>
      <w:r w:rsidRPr="00E70252">
        <w:rPr>
          <w:rFonts w:ascii="Arial" w:eastAsia="Aptos" w:hAnsi="Arial" w:cs="Arial"/>
          <w:sz w:val="22"/>
          <w:szCs w:val="22"/>
        </w:rPr>
        <w:t xml:space="preserve">-0003. </w:t>
      </w:r>
      <w:r w:rsidR="009D6BB9">
        <w:rPr>
          <w:rFonts w:ascii="Arial" w:eastAsia="Aptos" w:hAnsi="Arial" w:cs="Arial"/>
          <w:sz w:val="22"/>
          <w:szCs w:val="22"/>
        </w:rPr>
        <w:t>NEI2</w:t>
      </w:r>
      <w:r w:rsidRPr="00E70252">
        <w:rPr>
          <w:rFonts w:ascii="Arial" w:eastAsia="Aptos" w:hAnsi="Arial" w:cs="Arial"/>
          <w:sz w:val="22"/>
          <w:szCs w:val="22"/>
        </w:rPr>
        <w:t xml:space="preserve">-0049, </w:t>
      </w:r>
      <w:r w:rsidR="00BF4BEF">
        <w:rPr>
          <w:rFonts w:ascii="Arial" w:eastAsia="Aptos" w:hAnsi="Arial" w:cs="Arial"/>
          <w:sz w:val="22"/>
          <w:szCs w:val="22"/>
        </w:rPr>
        <w:t>HPT42</w:t>
      </w:r>
      <w:r w:rsidRPr="00E70252">
        <w:rPr>
          <w:rFonts w:ascii="Arial" w:eastAsia="Aptos" w:hAnsi="Arial" w:cs="Arial"/>
          <w:sz w:val="22"/>
          <w:szCs w:val="22"/>
        </w:rPr>
        <w:t xml:space="preserve">-0006, </w:t>
      </w:r>
      <w:r w:rsidR="00704A39">
        <w:rPr>
          <w:rFonts w:ascii="Arial" w:eastAsia="Aptos" w:hAnsi="Arial" w:cs="Arial"/>
          <w:sz w:val="22"/>
          <w:szCs w:val="22"/>
        </w:rPr>
        <w:t>ANS</w:t>
      </w:r>
      <w:r w:rsidRPr="00E70252">
        <w:rPr>
          <w:rFonts w:ascii="Arial" w:eastAsia="Aptos" w:hAnsi="Arial" w:cs="Arial"/>
          <w:sz w:val="22"/>
          <w:szCs w:val="22"/>
        </w:rPr>
        <w:t xml:space="preserve">-0002, </w:t>
      </w:r>
      <w:r w:rsidR="00611CA0">
        <w:rPr>
          <w:rFonts w:ascii="Arial" w:eastAsia="Aptos" w:hAnsi="Arial" w:cs="Arial"/>
          <w:sz w:val="22"/>
          <w:szCs w:val="22"/>
        </w:rPr>
        <w:t>RAD</w:t>
      </w:r>
      <w:r w:rsidRPr="00E70252">
        <w:rPr>
          <w:rFonts w:ascii="Arial" w:eastAsia="Aptos" w:hAnsi="Arial" w:cs="Arial"/>
          <w:sz w:val="22"/>
          <w:szCs w:val="22"/>
        </w:rPr>
        <w:t xml:space="preserve">-0001, </w:t>
      </w:r>
      <w:r w:rsidR="004C1A5D">
        <w:rPr>
          <w:rFonts w:ascii="Arial" w:eastAsia="Aptos" w:hAnsi="Arial" w:cs="Arial"/>
          <w:sz w:val="22"/>
          <w:szCs w:val="22"/>
        </w:rPr>
        <w:t>BI1</w:t>
      </w:r>
      <w:r w:rsidRPr="00E70252">
        <w:rPr>
          <w:rFonts w:ascii="Arial" w:eastAsia="Aptos" w:hAnsi="Arial" w:cs="Arial"/>
          <w:sz w:val="22"/>
          <w:szCs w:val="22"/>
        </w:rPr>
        <w:t xml:space="preserve">-0012, </w:t>
      </w:r>
      <w:r w:rsidR="00C3447B">
        <w:rPr>
          <w:rFonts w:ascii="Arial" w:eastAsia="Aptos" w:hAnsi="Arial" w:cs="Arial"/>
          <w:sz w:val="22"/>
          <w:szCs w:val="22"/>
        </w:rPr>
        <w:t>ROSE</w:t>
      </w:r>
      <w:r w:rsidRPr="00E70252">
        <w:rPr>
          <w:rFonts w:ascii="Arial" w:eastAsia="Aptos" w:hAnsi="Arial" w:cs="Arial"/>
          <w:sz w:val="22"/>
          <w:szCs w:val="22"/>
        </w:rPr>
        <w:t xml:space="preserve">-0016, </w:t>
      </w:r>
      <w:r w:rsidR="00C3447B">
        <w:rPr>
          <w:rFonts w:ascii="Arial" w:eastAsia="Aptos" w:hAnsi="Arial" w:cs="Arial"/>
          <w:sz w:val="22"/>
          <w:szCs w:val="22"/>
        </w:rPr>
        <w:t>ROSE</w:t>
      </w:r>
      <w:r w:rsidRPr="00E70252">
        <w:rPr>
          <w:rFonts w:ascii="Arial" w:eastAsia="Aptos" w:hAnsi="Arial" w:cs="Arial"/>
          <w:sz w:val="22"/>
          <w:szCs w:val="22"/>
        </w:rPr>
        <w:t xml:space="preserve">-0002, </w:t>
      </w:r>
      <w:r w:rsidR="00DF6CD2">
        <w:rPr>
          <w:rFonts w:ascii="Arial" w:eastAsia="Aptos" w:hAnsi="Arial" w:cs="Arial"/>
          <w:sz w:val="22"/>
          <w:szCs w:val="22"/>
        </w:rPr>
        <w:t>NEI3</w:t>
      </w:r>
      <w:r w:rsidRPr="00E70252">
        <w:rPr>
          <w:rFonts w:ascii="Arial" w:eastAsia="Aptos" w:hAnsi="Arial" w:cs="Arial"/>
          <w:sz w:val="22"/>
          <w:szCs w:val="22"/>
        </w:rPr>
        <w:t xml:space="preserve">-0019, </w:t>
      </w:r>
      <w:r w:rsidR="009D6BB9">
        <w:rPr>
          <w:rFonts w:ascii="Arial" w:eastAsia="Aptos" w:hAnsi="Arial" w:cs="Arial"/>
          <w:sz w:val="22"/>
          <w:szCs w:val="22"/>
        </w:rPr>
        <w:t>NEI2</w:t>
      </w:r>
      <w:r w:rsidRPr="00E70252">
        <w:rPr>
          <w:rFonts w:ascii="Arial" w:eastAsia="Aptos" w:hAnsi="Arial" w:cs="Arial"/>
          <w:sz w:val="22"/>
          <w:szCs w:val="22"/>
        </w:rPr>
        <w:t xml:space="preserve">-0009, </w:t>
      </w:r>
      <w:r w:rsidR="004427C3">
        <w:rPr>
          <w:rFonts w:ascii="Arial" w:eastAsia="Aptos" w:hAnsi="Arial" w:cs="Arial"/>
          <w:sz w:val="22"/>
          <w:szCs w:val="22"/>
        </w:rPr>
        <w:t>DOM</w:t>
      </w:r>
      <w:r w:rsidRPr="00E70252">
        <w:rPr>
          <w:rFonts w:ascii="Arial" w:eastAsia="Aptos" w:hAnsi="Arial" w:cs="Arial"/>
          <w:sz w:val="22"/>
          <w:szCs w:val="22"/>
        </w:rPr>
        <w:t xml:space="preserve">-0006, </w:t>
      </w:r>
      <w:r w:rsidR="00AE0B17">
        <w:rPr>
          <w:rFonts w:ascii="Arial" w:eastAsia="Aptos" w:hAnsi="Arial" w:cs="Arial"/>
          <w:sz w:val="22"/>
          <w:szCs w:val="22"/>
        </w:rPr>
        <w:t>USNIC2</w:t>
      </w:r>
      <w:r w:rsidRPr="00E70252">
        <w:rPr>
          <w:rFonts w:ascii="Arial" w:eastAsia="Aptos" w:hAnsi="Arial" w:cs="Arial"/>
          <w:sz w:val="22"/>
          <w:szCs w:val="22"/>
        </w:rPr>
        <w:t>-0013).</w:t>
      </w:r>
    </w:p>
    <w:p w:rsidR="00082819" w:rsidRPr="00E70252" w:rsidP="00E70252" w14:paraId="40034A10" w14:textId="77777777">
      <w:pPr>
        <w:spacing w:after="220"/>
        <w:rPr>
          <w:rFonts w:ascii="Arial" w:eastAsia="Aptos" w:hAnsi="Arial" w:cs="Arial"/>
          <w:sz w:val="22"/>
          <w:szCs w:val="22"/>
        </w:rPr>
      </w:pPr>
      <w:r w:rsidRPr="00E70252">
        <w:rPr>
          <w:rFonts w:ascii="Arial" w:eastAsia="Aptos" w:hAnsi="Arial" w:cs="Arial"/>
          <w:sz w:val="22"/>
          <w:szCs w:val="22"/>
        </w:rPr>
        <w:t>A few commenters added that the proposed requirement could increase regulatory burden and create barriers to efficient licensing and oversight without an apparent safety benefit (</w:t>
      </w:r>
      <w:r w:rsidR="00611CA0">
        <w:rPr>
          <w:rFonts w:ascii="Arial" w:eastAsia="Aptos" w:hAnsi="Arial" w:cs="Arial"/>
          <w:sz w:val="22"/>
          <w:szCs w:val="22"/>
        </w:rPr>
        <w:t>RAD</w:t>
      </w:r>
      <w:r w:rsidRPr="00E70252">
        <w:rPr>
          <w:rFonts w:ascii="Arial" w:eastAsia="Aptos" w:hAnsi="Arial" w:cs="Arial"/>
          <w:sz w:val="22"/>
          <w:szCs w:val="22"/>
        </w:rPr>
        <w:t xml:space="preserve">-0001, </w:t>
      </w:r>
      <w:r w:rsidR="00C3447B">
        <w:rPr>
          <w:rFonts w:ascii="Arial" w:eastAsia="Aptos" w:hAnsi="Arial" w:cs="Arial"/>
          <w:sz w:val="22"/>
          <w:szCs w:val="22"/>
        </w:rPr>
        <w:t>ROSE</w:t>
      </w:r>
      <w:r w:rsidRPr="00E70252">
        <w:rPr>
          <w:rFonts w:ascii="Arial" w:eastAsia="Aptos" w:hAnsi="Arial" w:cs="Arial"/>
          <w:sz w:val="22"/>
          <w:szCs w:val="22"/>
        </w:rPr>
        <w:t xml:space="preserve">-0016, </w:t>
      </w:r>
      <w:r w:rsidR="00C3447B">
        <w:rPr>
          <w:rFonts w:ascii="Arial" w:eastAsia="Aptos" w:hAnsi="Arial" w:cs="Arial"/>
          <w:sz w:val="22"/>
          <w:szCs w:val="22"/>
        </w:rPr>
        <w:t>ROSE</w:t>
      </w:r>
      <w:r w:rsidRPr="00E70252">
        <w:rPr>
          <w:rFonts w:ascii="Arial" w:eastAsia="Aptos" w:hAnsi="Arial" w:cs="Arial"/>
          <w:sz w:val="22"/>
          <w:szCs w:val="22"/>
        </w:rPr>
        <w:t xml:space="preserve">-0002, </w:t>
      </w:r>
      <w:r w:rsidR="004427C3">
        <w:rPr>
          <w:rFonts w:ascii="Arial" w:eastAsia="Aptos" w:hAnsi="Arial" w:cs="Arial"/>
          <w:sz w:val="22"/>
          <w:szCs w:val="22"/>
        </w:rPr>
        <w:t>DOM</w:t>
      </w:r>
      <w:r w:rsidRPr="00E70252">
        <w:rPr>
          <w:rFonts w:ascii="Arial" w:eastAsia="Aptos" w:hAnsi="Arial" w:cs="Arial"/>
          <w:sz w:val="22"/>
          <w:szCs w:val="22"/>
        </w:rPr>
        <w:t>-0006).</w:t>
      </w:r>
    </w:p>
    <w:p w:rsidR="00082819" w:rsidRPr="00E70252" w:rsidP="00E70252" w14:paraId="593D1B22" w14:textId="77777777">
      <w:pPr>
        <w:spacing w:after="220"/>
        <w:rPr>
          <w:rFonts w:ascii="Arial" w:eastAsia="Aptos" w:hAnsi="Arial" w:cs="Arial"/>
          <w:sz w:val="22"/>
          <w:szCs w:val="22"/>
        </w:rPr>
      </w:pPr>
      <w:r w:rsidRPr="00E70252">
        <w:rPr>
          <w:rFonts w:ascii="Arial" w:eastAsia="Aptos" w:hAnsi="Arial" w:cs="Arial"/>
          <w:sz w:val="22"/>
          <w:szCs w:val="22"/>
        </w:rPr>
        <w:t>One commenter stated this approach has no historical precedence and NEIMA established that consensus is acceptable for licensing purposes (</w:t>
      </w:r>
      <w:r w:rsidR="00005A63">
        <w:rPr>
          <w:rFonts w:ascii="Arial" w:eastAsia="Aptos" w:hAnsi="Arial" w:cs="Arial"/>
          <w:sz w:val="22"/>
          <w:szCs w:val="22"/>
        </w:rPr>
        <w:t>HPT8</w:t>
      </w:r>
      <w:r w:rsidRPr="00E70252">
        <w:rPr>
          <w:rFonts w:ascii="Arial" w:eastAsia="Aptos" w:hAnsi="Arial" w:cs="Arial"/>
          <w:sz w:val="22"/>
          <w:szCs w:val="22"/>
        </w:rPr>
        <w:t xml:space="preserve">-0001, </w:t>
      </w:r>
      <w:r w:rsidR="009D6BB9">
        <w:rPr>
          <w:rFonts w:ascii="Arial" w:eastAsia="Aptos" w:hAnsi="Arial" w:cs="Arial"/>
          <w:sz w:val="22"/>
          <w:szCs w:val="22"/>
        </w:rPr>
        <w:t>HPT32</w:t>
      </w:r>
      <w:r w:rsidRPr="00E70252">
        <w:rPr>
          <w:rFonts w:ascii="Arial" w:eastAsia="Aptos" w:hAnsi="Arial" w:cs="Arial"/>
          <w:sz w:val="22"/>
          <w:szCs w:val="22"/>
        </w:rPr>
        <w:t xml:space="preserve">-0001, </w:t>
      </w:r>
      <w:r w:rsidR="00BF4BEF">
        <w:rPr>
          <w:rFonts w:ascii="Arial" w:eastAsia="Aptos" w:hAnsi="Arial" w:cs="Arial"/>
          <w:sz w:val="22"/>
          <w:szCs w:val="22"/>
        </w:rPr>
        <w:t>HPT42</w:t>
      </w:r>
      <w:r w:rsidRPr="00E70252">
        <w:rPr>
          <w:rFonts w:ascii="Arial" w:eastAsia="Aptos" w:hAnsi="Arial" w:cs="Arial"/>
          <w:sz w:val="22"/>
          <w:szCs w:val="22"/>
        </w:rPr>
        <w:t>-0006). The commenter also questioned the legality of the NRC’s endorsement of industry codes and standards through guidance documents and suggested that requiring such endorsement conflicts with NEIMA’s directive to use such codes and standards. The commenter further stated that there is no apparent mechanism for obtaining NRC endorsement other than during the application process (</w:t>
      </w:r>
      <w:r w:rsidR="00005A63">
        <w:rPr>
          <w:rFonts w:ascii="Arial" w:eastAsia="Aptos" w:hAnsi="Arial" w:cs="Arial"/>
          <w:sz w:val="22"/>
          <w:szCs w:val="22"/>
        </w:rPr>
        <w:t>HPT8</w:t>
      </w:r>
      <w:r w:rsidRPr="00E70252">
        <w:rPr>
          <w:rFonts w:ascii="Arial" w:eastAsia="Aptos" w:hAnsi="Arial" w:cs="Arial"/>
          <w:sz w:val="22"/>
          <w:szCs w:val="22"/>
        </w:rPr>
        <w:t>-0002). The commenter also stated that the process of endorsing codes and standards is extraordinarily time consuming and would lessen the public's safety because reactor designs, inspections, and operations would be forced to employ outdated standards/codes (</w:t>
      </w:r>
      <w:r w:rsidR="009D6BB9">
        <w:rPr>
          <w:rFonts w:ascii="Arial" w:eastAsia="Aptos" w:hAnsi="Arial" w:cs="Arial"/>
          <w:sz w:val="22"/>
          <w:szCs w:val="22"/>
        </w:rPr>
        <w:t>HPT32</w:t>
      </w:r>
      <w:r w:rsidRPr="00E70252">
        <w:rPr>
          <w:rFonts w:ascii="Arial" w:eastAsia="Aptos" w:hAnsi="Arial" w:cs="Arial"/>
          <w:sz w:val="22"/>
          <w:szCs w:val="22"/>
        </w:rPr>
        <w:t>-0001).</w:t>
      </w:r>
    </w:p>
    <w:p w:rsidR="00082819" w:rsidRPr="00E70252" w:rsidP="00E70252" w14:paraId="1846C098" w14:textId="77777777">
      <w:pPr>
        <w:spacing w:after="220"/>
        <w:rPr>
          <w:rFonts w:ascii="Arial" w:eastAsia="Aptos" w:hAnsi="Arial" w:cs="Arial"/>
          <w:sz w:val="22"/>
          <w:szCs w:val="22"/>
        </w:rPr>
      </w:pPr>
      <w:r w:rsidRPr="00E70252">
        <w:rPr>
          <w:rFonts w:ascii="Arial" w:eastAsia="Aptos" w:hAnsi="Arial" w:cs="Arial"/>
          <w:sz w:val="22"/>
          <w:szCs w:val="22"/>
        </w:rPr>
        <w:t>The commenter proposed removing this requirement from 10 CFR 53.440, and instead replacing it with a requirement for the applicant to identify the codes and standards involving the principal design criteria (as used in 10 CFR Part 50) associated with nuclear safety functions, noting that NRC review and enforcement efforts would need to recognize that the Nuclear Safety-Related items carry more importance that lesser functional items (</w:t>
      </w:r>
      <w:r w:rsidR="00005A63">
        <w:rPr>
          <w:rFonts w:ascii="Arial" w:eastAsia="Aptos" w:hAnsi="Arial" w:cs="Arial"/>
          <w:sz w:val="22"/>
          <w:szCs w:val="22"/>
        </w:rPr>
        <w:t>HPT8</w:t>
      </w:r>
      <w:r w:rsidRPr="00E70252">
        <w:rPr>
          <w:rFonts w:ascii="Arial" w:eastAsia="Aptos" w:hAnsi="Arial" w:cs="Arial"/>
          <w:sz w:val="22"/>
          <w:szCs w:val="22"/>
        </w:rPr>
        <w:t xml:space="preserve">-0002, </w:t>
      </w:r>
      <w:r w:rsidR="00BF4BEF">
        <w:rPr>
          <w:rFonts w:ascii="Arial" w:eastAsia="Aptos" w:hAnsi="Arial" w:cs="Arial"/>
          <w:sz w:val="22"/>
          <w:szCs w:val="22"/>
        </w:rPr>
        <w:t>HPT42</w:t>
      </w:r>
      <w:r w:rsidRPr="00E70252">
        <w:rPr>
          <w:rFonts w:ascii="Arial" w:eastAsia="Aptos" w:hAnsi="Arial" w:cs="Arial"/>
          <w:sz w:val="22"/>
          <w:szCs w:val="22"/>
        </w:rPr>
        <w:t>-0006).</w:t>
      </w:r>
    </w:p>
    <w:p w:rsidR="00082819" w:rsidRPr="00E70252" w:rsidP="00E70252" w14:paraId="6D574781" w14:textId="77777777">
      <w:pPr>
        <w:spacing w:after="220"/>
        <w:rPr>
          <w:rFonts w:ascii="Arial" w:eastAsia="Aptos" w:hAnsi="Arial" w:cs="Arial"/>
          <w:sz w:val="22"/>
          <w:szCs w:val="22"/>
        </w:rPr>
      </w:pPr>
      <w:r w:rsidRPr="00E70252">
        <w:rPr>
          <w:rFonts w:ascii="Arial" w:eastAsia="Aptos" w:hAnsi="Arial" w:cs="Arial"/>
          <w:sz w:val="22"/>
          <w:szCs w:val="22"/>
        </w:rPr>
        <w:t>The commenter also recommended that the NRC identify codes/standards with which the NRC has participated in consensus code/standard development activities and that specific sub</w:t>
      </w:r>
      <w:r w:rsidR="00D101B1">
        <w:rPr>
          <w:rFonts w:ascii="Arial" w:eastAsia="Aptos" w:hAnsi="Arial" w:cs="Arial"/>
          <w:sz w:val="22"/>
          <w:szCs w:val="22"/>
        </w:rPr>
        <w:noBreakHyphen/>
      </w:r>
      <w:r w:rsidRPr="00E70252">
        <w:rPr>
          <w:rFonts w:ascii="Arial" w:eastAsia="Aptos" w:hAnsi="Arial" w:cs="Arial"/>
          <w:sz w:val="22"/>
          <w:szCs w:val="22"/>
        </w:rPr>
        <w:t>sections of 10 CFR Part 53 identify that the applicant is expected to identify the key codes/standards, as well as the intended application involving the sub-section. If the NRC requires more specific information than that, the commenter recommended that the inquiries should be employed as part of the NRC licensing review efforts and appropriately consider the level of risk, and that 10 CFR Part 53 should state that review efforts must be proportionate to the level of risk (</w:t>
      </w:r>
      <w:r w:rsidR="009D6BB9">
        <w:rPr>
          <w:rFonts w:ascii="Arial" w:eastAsia="Aptos" w:hAnsi="Arial" w:cs="Arial"/>
          <w:sz w:val="22"/>
          <w:szCs w:val="22"/>
        </w:rPr>
        <w:t>HPT32</w:t>
      </w:r>
      <w:r w:rsidRPr="00E70252">
        <w:rPr>
          <w:rFonts w:ascii="Arial" w:eastAsia="Aptos" w:hAnsi="Arial" w:cs="Arial"/>
          <w:sz w:val="22"/>
          <w:szCs w:val="22"/>
        </w:rPr>
        <w:t>-0003).</w:t>
      </w:r>
    </w:p>
    <w:p w:rsidR="00082819" w:rsidRPr="00E70252" w:rsidP="00E70252" w14:paraId="485F1A39" w14:textId="77777777">
      <w:pPr>
        <w:spacing w:after="220"/>
        <w:rPr>
          <w:rFonts w:ascii="Arial" w:eastAsia="Times New Roman" w:hAnsi="Arial" w:cs="Arial"/>
          <w:sz w:val="22"/>
          <w:szCs w:val="22"/>
        </w:rPr>
      </w:pPr>
      <w:r w:rsidRPr="00E70252">
        <w:rPr>
          <w:rFonts w:ascii="Arial" w:eastAsia="Aptos" w:hAnsi="Arial" w:cs="Arial"/>
          <w:sz w:val="22"/>
          <w:szCs w:val="22"/>
        </w:rPr>
        <w:t>Another commenter</w:t>
      </w:r>
      <w:r w:rsidRPr="00E70252">
        <w:rPr>
          <w:rFonts w:ascii="Arial" w:eastAsia="Times New Roman" w:hAnsi="Arial" w:cs="Arial"/>
          <w:sz w:val="22"/>
          <w:szCs w:val="22"/>
        </w:rPr>
        <w:t xml:space="preserve"> recommended that the NRC should at a minimum limit the scope of paragraph </w:t>
      </w:r>
      <w:r w:rsidRPr="00E70252" w:rsidR="00C0260D">
        <w:rPr>
          <w:rFonts w:ascii="Arial" w:eastAsia="Times New Roman" w:hAnsi="Arial" w:cs="Arial"/>
          <w:sz w:val="22"/>
          <w:szCs w:val="22"/>
        </w:rPr>
        <w:t>10 CFR </w:t>
      </w:r>
      <w:r w:rsidRPr="00E70252">
        <w:rPr>
          <w:rFonts w:ascii="Arial" w:eastAsia="Times New Roman" w:hAnsi="Arial" w:cs="Arial"/>
          <w:sz w:val="22"/>
          <w:szCs w:val="22"/>
        </w:rPr>
        <w:t>53.440(b) to SR SSCs and clarify what the scope of “design” is. The commenter stated that including NSRSS SSCs here is problematic, because for many of them there are no NRC-endorsed codes and standards other than safety</w:t>
      </w:r>
      <w:r w:rsidRPr="00E70252">
        <w:rPr>
          <w:rFonts w:ascii="Arial" w:eastAsia="Times New Roman" w:hAnsi="Arial" w:cs="Arial"/>
          <w:sz w:val="22"/>
          <w:szCs w:val="22"/>
        </w:rPr>
        <w:noBreakHyphen/>
        <w:t>related codes and standards, which would create a barrier to the use of NSRSS SSCs that is contrary to the goal of a more flexible and efficient licensing process. The commenter suggested changing the qualification for design features from those that are “required by § 53.400” to those that are “safety related” (</w:t>
      </w:r>
      <w:r w:rsidR="009D6BB9">
        <w:rPr>
          <w:rFonts w:ascii="Arial" w:eastAsia="Times New Roman" w:hAnsi="Arial" w:cs="Arial"/>
          <w:sz w:val="22"/>
          <w:szCs w:val="22"/>
        </w:rPr>
        <w:t>NEI2</w:t>
      </w:r>
      <w:r w:rsidRPr="00E70252">
        <w:rPr>
          <w:rFonts w:ascii="Arial" w:eastAsia="Times New Roman" w:hAnsi="Arial" w:cs="Arial"/>
          <w:sz w:val="22"/>
          <w:szCs w:val="22"/>
        </w:rPr>
        <w:t>-0049).</w:t>
      </w:r>
    </w:p>
    <w:p w:rsidR="00082819" w:rsidRPr="00E70252" w:rsidP="00E70252" w14:paraId="037DC804" w14:textId="77777777">
      <w:pPr>
        <w:spacing w:after="220"/>
        <w:rPr>
          <w:rFonts w:ascii="Arial" w:eastAsia="Aptos" w:hAnsi="Arial" w:cs="Arial"/>
          <w:sz w:val="22"/>
          <w:szCs w:val="22"/>
        </w:rPr>
      </w:pPr>
      <w:r w:rsidRPr="00E70252">
        <w:rPr>
          <w:rFonts w:ascii="Arial" w:eastAsia="Times New Roman" w:hAnsi="Arial" w:cs="Arial"/>
          <w:sz w:val="22"/>
          <w:szCs w:val="22"/>
        </w:rPr>
        <w:t>Two</w:t>
      </w:r>
      <w:r w:rsidRPr="00E70252">
        <w:rPr>
          <w:rFonts w:ascii="Arial" w:eastAsia="Aptos" w:hAnsi="Arial" w:cs="Arial"/>
          <w:sz w:val="22"/>
          <w:szCs w:val="22"/>
        </w:rPr>
        <w:t xml:space="preserve"> commenters recommended </w:t>
      </w:r>
      <w:r w:rsidRPr="00E70252">
        <w:rPr>
          <w:rFonts w:ascii="Arial" w:eastAsia="Times New Roman" w:hAnsi="Arial" w:cs="Arial"/>
          <w:sz w:val="22"/>
          <w:szCs w:val="22"/>
        </w:rPr>
        <w:t>changing the qualification for codes and standards from those that “have been endorsed or otherwise found acceptable by the U.S. Nuclear Regulatory Commission (NRC)” to those that “are sufficient to meet the design criteria defined under 53.410, 53.420, 53.425, and 53.430” (</w:t>
      </w:r>
      <w:r w:rsidR="004C1A5D">
        <w:rPr>
          <w:rFonts w:ascii="Arial" w:eastAsia="Aptos" w:hAnsi="Arial" w:cs="Arial"/>
          <w:sz w:val="22"/>
          <w:szCs w:val="22"/>
        </w:rPr>
        <w:t>BI1</w:t>
      </w:r>
      <w:r w:rsidRPr="00E70252">
        <w:rPr>
          <w:rFonts w:ascii="Arial" w:eastAsia="Aptos" w:hAnsi="Arial" w:cs="Arial"/>
          <w:sz w:val="22"/>
          <w:szCs w:val="22"/>
        </w:rPr>
        <w:t xml:space="preserve">-0012, </w:t>
      </w:r>
      <w:r w:rsidR="009D6BB9">
        <w:rPr>
          <w:rFonts w:ascii="Arial" w:eastAsia="Times New Roman" w:hAnsi="Arial" w:cs="Arial"/>
          <w:sz w:val="22"/>
          <w:szCs w:val="22"/>
        </w:rPr>
        <w:t>NEI2</w:t>
      </w:r>
      <w:r w:rsidRPr="00E70252">
        <w:rPr>
          <w:rFonts w:ascii="Arial" w:eastAsia="Times New Roman" w:hAnsi="Arial" w:cs="Arial"/>
          <w:sz w:val="22"/>
          <w:szCs w:val="22"/>
        </w:rPr>
        <w:t>-0049). One commenter wrote that under this change</w:t>
      </w:r>
      <w:r w:rsidR="00BB3202">
        <w:rPr>
          <w:rFonts w:ascii="Arial" w:eastAsia="Times New Roman" w:hAnsi="Arial" w:cs="Arial"/>
          <w:sz w:val="22"/>
          <w:szCs w:val="22"/>
        </w:rPr>
        <w:t>:</w:t>
      </w:r>
      <w:r w:rsidRPr="00E70252">
        <w:rPr>
          <w:rFonts w:ascii="Arial" w:eastAsia="Times New Roman" w:hAnsi="Arial" w:cs="Arial"/>
          <w:sz w:val="22"/>
          <w:szCs w:val="22"/>
        </w:rPr>
        <w:t xml:space="preserve"> the NRC would still be able to endorse codes and standards to define what is acceptable in meeting 10</w:t>
      </w:r>
      <w:r w:rsidRPr="00E70252" w:rsidR="00A924EC">
        <w:rPr>
          <w:rFonts w:ascii="Arial" w:eastAsia="Times New Roman" w:hAnsi="Arial" w:cs="Arial"/>
          <w:sz w:val="22"/>
          <w:szCs w:val="22"/>
        </w:rPr>
        <w:t> </w:t>
      </w:r>
      <w:r w:rsidRPr="00E70252">
        <w:rPr>
          <w:rFonts w:ascii="Arial" w:eastAsia="Times New Roman" w:hAnsi="Arial" w:cs="Arial"/>
          <w:sz w:val="22"/>
          <w:szCs w:val="22"/>
        </w:rPr>
        <w:t>CFR 53.440(b) but without unnecessarily slowing down the licensing process. The commenter also recommended adding language to the preamble to describe the scope of the requirements in 10 CFR 53.440(b) (</w:t>
      </w:r>
      <w:r w:rsidR="009D6BB9">
        <w:rPr>
          <w:rFonts w:ascii="Arial" w:eastAsia="Times New Roman" w:hAnsi="Arial" w:cs="Arial"/>
          <w:sz w:val="22"/>
          <w:szCs w:val="22"/>
        </w:rPr>
        <w:t>NEI2</w:t>
      </w:r>
      <w:r w:rsidRPr="00E70252">
        <w:rPr>
          <w:rFonts w:ascii="Arial" w:eastAsia="Times New Roman" w:hAnsi="Arial" w:cs="Arial"/>
          <w:sz w:val="22"/>
          <w:szCs w:val="22"/>
        </w:rPr>
        <w:t>-0049).</w:t>
      </w:r>
    </w:p>
    <w:p w:rsidR="00082819" w:rsidRPr="00E70252" w:rsidP="00E70252" w14:paraId="0B6EE3A0" w14:textId="77777777">
      <w:pPr>
        <w:spacing w:after="220"/>
        <w:rPr>
          <w:rFonts w:ascii="Arial" w:eastAsia="Times New Roman" w:hAnsi="Arial" w:cs="Arial"/>
          <w:sz w:val="22"/>
          <w:szCs w:val="22"/>
        </w:rPr>
      </w:pPr>
      <w:r w:rsidRPr="00E70252">
        <w:rPr>
          <w:rFonts w:ascii="Arial" w:eastAsia="Times New Roman" w:hAnsi="Arial" w:cs="Arial"/>
          <w:sz w:val="22"/>
          <w:szCs w:val="22"/>
        </w:rPr>
        <w:t xml:space="preserve">The commenter also suggested that if the scope of the section continues to include NSRSS SSCs, then the NRC should endorse these codes and standards as appropriate for NSRSS SSCs: </w:t>
      </w:r>
      <w:r w:rsidR="004E68A0">
        <w:rPr>
          <w:rFonts w:ascii="Arial" w:eastAsia="Times New Roman" w:hAnsi="Arial" w:cs="Arial"/>
          <w:sz w:val="22"/>
          <w:szCs w:val="22"/>
        </w:rPr>
        <w:t xml:space="preserve">International </w:t>
      </w:r>
      <w:r w:rsidR="002160CB">
        <w:rPr>
          <w:rFonts w:ascii="Arial" w:eastAsia="Times New Roman" w:hAnsi="Arial" w:cs="Arial"/>
          <w:sz w:val="22"/>
          <w:szCs w:val="22"/>
        </w:rPr>
        <w:t>Organization for Standardization (</w:t>
      </w:r>
      <w:r w:rsidRPr="00E70252">
        <w:rPr>
          <w:rFonts w:ascii="Arial" w:eastAsia="Times New Roman" w:hAnsi="Arial" w:cs="Arial"/>
          <w:sz w:val="22"/>
          <w:szCs w:val="22"/>
        </w:rPr>
        <w:t>ISO</w:t>
      </w:r>
      <w:r w:rsidR="002160CB">
        <w:rPr>
          <w:rFonts w:ascii="Arial" w:eastAsia="Times New Roman" w:hAnsi="Arial" w:cs="Arial"/>
          <w:sz w:val="22"/>
          <w:szCs w:val="22"/>
        </w:rPr>
        <w:t>)</w:t>
      </w:r>
      <w:r w:rsidRPr="00E70252">
        <w:rPr>
          <w:rFonts w:ascii="Arial" w:eastAsia="Times New Roman" w:hAnsi="Arial" w:cs="Arial"/>
          <w:sz w:val="22"/>
          <w:szCs w:val="22"/>
        </w:rPr>
        <w:t xml:space="preserve">-9001, NEI 22-04, </w:t>
      </w:r>
      <w:r w:rsidR="00302887">
        <w:rPr>
          <w:rFonts w:ascii="Arial" w:eastAsia="Times New Roman" w:hAnsi="Arial" w:cs="Arial"/>
          <w:sz w:val="22"/>
          <w:szCs w:val="22"/>
        </w:rPr>
        <w:t>American Society of</w:t>
      </w:r>
      <w:r w:rsidR="001C700E">
        <w:rPr>
          <w:rFonts w:ascii="Arial" w:eastAsia="Times New Roman" w:hAnsi="Arial" w:cs="Arial"/>
          <w:sz w:val="22"/>
          <w:szCs w:val="22"/>
        </w:rPr>
        <w:t xml:space="preserve"> Mechanical Engineers (</w:t>
      </w:r>
      <w:r w:rsidRPr="00E70252">
        <w:rPr>
          <w:rFonts w:ascii="Arial" w:eastAsia="Times New Roman" w:hAnsi="Arial" w:cs="Arial"/>
          <w:sz w:val="22"/>
          <w:szCs w:val="22"/>
        </w:rPr>
        <w:t>ASME</w:t>
      </w:r>
      <w:r w:rsidR="001C700E">
        <w:rPr>
          <w:rFonts w:ascii="Arial" w:eastAsia="Times New Roman" w:hAnsi="Arial" w:cs="Arial"/>
          <w:sz w:val="22"/>
          <w:szCs w:val="22"/>
        </w:rPr>
        <w:t>)</w:t>
      </w:r>
      <w:r w:rsidRPr="00E70252">
        <w:rPr>
          <w:rFonts w:ascii="Arial" w:eastAsia="Times New Roman" w:hAnsi="Arial" w:cs="Arial"/>
          <w:sz w:val="22"/>
          <w:szCs w:val="22"/>
        </w:rPr>
        <w:t xml:space="preserve"> Section VIII, ASME B31.1 and B31.3, </w:t>
      </w:r>
      <w:r w:rsidR="00ED1D83">
        <w:rPr>
          <w:rFonts w:ascii="Arial" w:eastAsia="Times New Roman" w:hAnsi="Arial" w:cs="Arial"/>
          <w:sz w:val="22"/>
          <w:szCs w:val="22"/>
        </w:rPr>
        <w:t>American Society of Civil Engineers (</w:t>
      </w:r>
      <w:r w:rsidRPr="00E70252">
        <w:rPr>
          <w:rFonts w:ascii="Arial" w:eastAsia="Times New Roman" w:hAnsi="Arial" w:cs="Arial"/>
          <w:sz w:val="22"/>
          <w:szCs w:val="22"/>
        </w:rPr>
        <w:t>ASCE</w:t>
      </w:r>
      <w:r w:rsidR="00ED1D83">
        <w:rPr>
          <w:rFonts w:ascii="Arial" w:eastAsia="Times New Roman" w:hAnsi="Arial" w:cs="Arial"/>
          <w:sz w:val="22"/>
          <w:szCs w:val="22"/>
        </w:rPr>
        <w:t>)</w:t>
      </w:r>
      <w:r w:rsidRPr="00E70252">
        <w:rPr>
          <w:rFonts w:ascii="Arial" w:eastAsia="Times New Roman" w:hAnsi="Arial" w:cs="Arial"/>
          <w:sz w:val="22"/>
          <w:szCs w:val="22"/>
        </w:rPr>
        <w:t xml:space="preserve"> 7, </w:t>
      </w:r>
      <w:r w:rsidR="00255255">
        <w:rPr>
          <w:rFonts w:ascii="Arial" w:eastAsia="Times New Roman" w:hAnsi="Arial" w:cs="Arial"/>
          <w:sz w:val="22"/>
          <w:szCs w:val="22"/>
        </w:rPr>
        <w:t>American Institute of Steel Construction (</w:t>
      </w:r>
      <w:r w:rsidRPr="00E70252">
        <w:rPr>
          <w:rFonts w:ascii="Arial" w:eastAsia="Times New Roman" w:hAnsi="Arial" w:cs="Arial"/>
          <w:sz w:val="22"/>
          <w:szCs w:val="22"/>
        </w:rPr>
        <w:t>AISC</w:t>
      </w:r>
      <w:r w:rsidR="00255255">
        <w:rPr>
          <w:rFonts w:ascii="Arial" w:eastAsia="Times New Roman" w:hAnsi="Arial" w:cs="Arial"/>
          <w:sz w:val="22"/>
          <w:szCs w:val="22"/>
        </w:rPr>
        <w:t>)</w:t>
      </w:r>
      <w:r w:rsidR="00D101B1">
        <w:rPr>
          <w:rFonts w:ascii="Arial" w:eastAsia="Times New Roman" w:hAnsi="Arial" w:cs="Arial"/>
          <w:sz w:val="22"/>
          <w:szCs w:val="22"/>
        </w:rPr>
        <w:t> </w:t>
      </w:r>
      <w:r w:rsidRPr="00E70252">
        <w:rPr>
          <w:rFonts w:ascii="Arial" w:eastAsia="Times New Roman" w:hAnsi="Arial" w:cs="Arial"/>
          <w:sz w:val="22"/>
          <w:szCs w:val="22"/>
        </w:rPr>
        <w:t xml:space="preserve">360, and </w:t>
      </w:r>
      <w:r w:rsidR="00255255">
        <w:rPr>
          <w:rFonts w:ascii="Arial" w:eastAsia="Times New Roman" w:hAnsi="Arial" w:cs="Arial"/>
          <w:sz w:val="22"/>
          <w:szCs w:val="22"/>
        </w:rPr>
        <w:t>American Concrete Institute (</w:t>
      </w:r>
      <w:r w:rsidRPr="00E70252">
        <w:rPr>
          <w:rFonts w:ascii="Arial" w:eastAsia="Times New Roman" w:hAnsi="Arial" w:cs="Arial"/>
          <w:sz w:val="22"/>
          <w:szCs w:val="22"/>
        </w:rPr>
        <w:t>ACI</w:t>
      </w:r>
      <w:r w:rsidR="00255255">
        <w:rPr>
          <w:rFonts w:ascii="Arial" w:eastAsia="Times New Roman" w:hAnsi="Arial" w:cs="Arial"/>
          <w:sz w:val="22"/>
          <w:szCs w:val="22"/>
        </w:rPr>
        <w:t>)</w:t>
      </w:r>
      <w:r w:rsidRPr="00E70252">
        <w:rPr>
          <w:rFonts w:ascii="Arial" w:eastAsia="Times New Roman" w:hAnsi="Arial" w:cs="Arial"/>
          <w:sz w:val="22"/>
          <w:szCs w:val="22"/>
        </w:rPr>
        <w:t xml:space="preserve"> 318, plus any additional unendorsed codes and standards that may have been used or proposed for use for U.S. reactors. The commenter noted that this list is incomplete</w:t>
      </w:r>
      <w:r w:rsidR="0023283D">
        <w:rPr>
          <w:rFonts w:ascii="Arial" w:eastAsia="Times New Roman" w:hAnsi="Arial" w:cs="Arial"/>
          <w:sz w:val="22"/>
          <w:szCs w:val="22"/>
        </w:rPr>
        <w:t>,</w:t>
      </w:r>
      <w:r w:rsidRPr="00E70252">
        <w:rPr>
          <w:rFonts w:ascii="Arial" w:eastAsia="Times New Roman" w:hAnsi="Arial" w:cs="Arial"/>
          <w:sz w:val="22"/>
          <w:szCs w:val="22"/>
        </w:rPr>
        <w:t xml:space="preserve"> and effort would be needed to identify a comprehensive set of codes and standards that applicants intend to use for NSRSS SSCs under LMP (</w:t>
      </w:r>
      <w:r w:rsidR="009D6BB9">
        <w:rPr>
          <w:rFonts w:ascii="Arial" w:eastAsia="Times New Roman" w:hAnsi="Arial" w:cs="Arial"/>
          <w:sz w:val="22"/>
          <w:szCs w:val="22"/>
        </w:rPr>
        <w:t>NEI2</w:t>
      </w:r>
      <w:r w:rsidRPr="00E70252">
        <w:rPr>
          <w:rFonts w:ascii="Arial" w:eastAsia="Times New Roman" w:hAnsi="Arial" w:cs="Arial"/>
          <w:sz w:val="22"/>
          <w:szCs w:val="22"/>
        </w:rPr>
        <w:t xml:space="preserve">-0009, </w:t>
      </w:r>
      <w:r w:rsidR="00DF6CD2">
        <w:rPr>
          <w:rFonts w:ascii="Arial" w:eastAsia="Aptos" w:hAnsi="Arial" w:cs="Arial"/>
          <w:sz w:val="22"/>
          <w:szCs w:val="22"/>
        </w:rPr>
        <w:t>NEI3</w:t>
      </w:r>
      <w:r w:rsidRPr="00E70252">
        <w:rPr>
          <w:rFonts w:ascii="Arial" w:eastAsia="Aptos" w:hAnsi="Arial" w:cs="Arial"/>
          <w:sz w:val="22"/>
          <w:szCs w:val="22"/>
        </w:rPr>
        <w:t>-0019</w:t>
      </w:r>
      <w:r w:rsidRPr="00E70252">
        <w:rPr>
          <w:rFonts w:ascii="Arial" w:eastAsia="Times New Roman" w:hAnsi="Arial" w:cs="Arial"/>
          <w:sz w:val="22"/>
          <w:szCs w:val="22"/>
        </w:rPr>
        <w:t xml:space="preserve">). </w:t>
      </w:r>
    </w:p>
    <w:p w:rsidR="00082819" w:rsidRPr="00E70252" w:rsidP="00E70252" w14:paraId="381F1E02" w14:textId="77777777">
      <w:pPr>
        <w:spacing w:after="220"/>
        <w:rPr>
          <w:rFonts w:ascii="Arial" w:eastAsia="Times New Roman" w:hAnsi="Arial" w:cs="Arial"/>
          <w:sz w:val="22"/>
          <w:szCs w:val="22"/>
        </w:rPr>
      </w:pPr>
      <w:r w:rsidRPr="00E70252">
        <w:rPr>
          <w:rFonts w:ascii="Arial" w:eastAsia="Aptos" w:hAnsi="Arial" w:cs="Arial"/>
          <w:sz w:val="22"/>
          <w:szCs w:val="22"/>
        </w:rPr>
        <w:t>One commenter stated that NEIMA demands the NRC to collaborate with standards</w:t>
      </w:r>
      <w:r w:rsidRPr="00E70252">
        <w:rPr>
          <w:rFonts w:ascii="Arial" w:eastAsia="Aptos" w:hAnsi="Arial" w:cs="Arial"/>
          <w:sz w:val="22"/>
          <w:szCs w:val="22"/>
        </w:rPr>
        <w:noBreakHyphen/>
        <w:t>setting organizations to identify specific technical areas and incorporate the respective consensus</w:t>
      </w:r>
      <w:r w:rsidR="00A00F1F">
        <w:rPr>
          <w:rFonts w:ascii="Arial" w:eastAsia="Aptos" w:hAnsi="Arial" w:cs="Arial"/>
          <w:sz w:val="22"/>
          <w:szCs w:val="22"/>
        </w:rPr>
        <w:noBreakHyphen/>
      </w:r>
      <w:r w:rsidRPr="00E70252">
        <w:rPr>
          <w:rFonts w:ascii="Arial" w:eastAsia="Aptos" w:hAnsi="Arial" w:cs="Arial"/>
          <w:sz w:val="22"/>
          <w:szCs w:val="22"/>
        </w:rPr>
        <w:t>based codes and standards into the regulatory framework, and the proposed rule should be modified to ensure that codes and standards for safety components are applied at least as stringently as they are in the current licensing frameworks, particularly for 10</w:t>
      </w:r>
      <w:r w:rsidR="00A00F1F">
        <w:rPr>
          <w:rFonts w:ascii="Arial" w:eastAsia="Aptos" w:hAnsi="Arial" w:cs="Arial"/>
          <w:sz w:val="22"/>
          <w:szCs w:val="22"/>
        </w:rPr>
        <w:t> </w:t>
      </w:r>
      <w:r w:rsidRPr="00E70252">
        <w:rPr>
          <w:rFonts w:ascii="Arial" w:eastAsia="Aptos" w:hAnsi="Arial" w:cs="Arial"/>
          <w:sz w:val="22"/>
          <w:szCs w:val="22"/>
        </w:rPr>
        <w:t>CFR</w:t>
      </w:r>
      <w:r w:rsidR="00A00F1F">
        <w:rPr>
          <w:rFonts w:ascii="Arial" w:eastAsia="Aptos" w:hAnsi="Arial" w:cs="Arial"/>
          <w:sz w:val="22"/>
          <w:szCs w:val="22"/>
        </w:rPr>
        <w:t> </w:t>
      </w:r>
      <w:r w:rsidRPr="00E70252">
        <w:rPr>
          <w:rFonts w:ascii="Arial" w:eastAsia="Aptos" w:hAnsi="Arial" w:cs="Arial"/>
          <w:sz w:val="22"/>
          <w:szCs w:val="22"/>
        </w:rPr>
        <w:t>Part</w:t>
      </w:r>
      <w:r w:rsidR="00A00F1F">
        <w:rPr>
          <w:rFonts w:ascii="Arial" w:eastAsia="Aptos" w:hAnsi="Arial" w:cs="Arial"/>
          <w:sz w:val="22"/>
          <w:szCs w:val="22"/>
        </w:rPr>
        <w:t> </w:t>
      </w:r>
      <w:r w:rsidRPr="00E70252">
        <w:rPr>
          <w:rFonts w:ascii="Arial" w:eastAsia="Aptos" w:hAnsi="Arial" w:cs="Arial"/>
          <w:sz w:val="22"/>
          <w:szCs w:val="22"/>
        </w:rPr>
        <w:t xml:space="preserve">50 and 10 CFR Part 52. </w:t>
      </w:r>
      <w:r w:rsidRPr="00E70252">
        <w:rPr>
          <w:rFonts w:ascii="Arial" w:eastAsia="Times New Roman" w:hAnsi="Arial" w:cs="Arial"/>
          <w:sz w:val="22"/>
          <w:szCs w:val="22"/>
        </w:rPr>
        <w:t>The commenter also suggested that 10 CFR 53.440(c) be revised to only apply to SR SSCs, and that the NRC should ensure that components are classified using performance</w:t>
      </w:r>
      <w:r w:rsidRPr="00E70252">
        <w:rPr>
          <w:rFonts w:ascii="Arial" w:eastAsia="Times New Roman" w:hAnsi="Arial" w:cs="Arial"/>
          <w:sz w:val="22"/>
          <w:szCs w:val="22"/>
        </w:rPr>
        <w:noBreakHyphen/>
        <w:t>based approaches (</w:t>
      </w:r>
      <w:r w:rsidR="004C1A5D">
        <w:rPr>
          <w:rFonts w:ascii="Arial" w:eastAsia="Aptos" w:hAnsi="Arial" w:cs="Arial"/>
          <w:sz w:val="22"/>
          <w:szCs w:val="22"/>
        </w:rPr>
        <w:t>BI1</w:t>
      </w:r>
      <w:r w:rsidRPr="00E70252">
        <w:rPr>
          <w:rFonts w:ascii="Arial" w:eastAsia="Aptos" w:hAnsi="Arial" w:cs="Arial"/>
          <w:sz w:val="22"/>
          <w:szCs w:val="22"/>
        </w:rPr>
        <w:t>-0012)</w:t>
      </w:r>
      <w:r w:rsidRPr="00E70252">
        <w:rPr>
          <w:rFonts w:ascii="Arial" w:eastAsia="Times New Roman" w:hAnsi="Arial" w:cs="Arial"/>
          <w:sz w:val="22"/>
          <w:szCs w:val="22"/>
        </w:rPr>
        <w:t>.</w:t>
      </w:r>
    </w:p>
    <w:p w:rsidR="00082819" w:rsidRPr="00E70252" w:rsidP="00E70252" w14:paraId="1CCF0500" w14:textId="77777777">
      <w:pPr>
        <w:spacing w:after="220"/>
        <w:rPr>
          <w:rFonts w:ascii="Arial" w:eastAsia="Aptos" w:hAnsi="Arial" w:cs="Arial"/>
          <w:sz w:val="22"/>
          <w:szCs w:val="22"/>
        </w:rPr>
      </w:pPr>
      <w:r w:rsidRPr="00E70252">
        <w:rPr>
          <w:rFonts w:ascii="Arial" w:eastAsia="Aptos" w:hAnsi="Arial" w:cs="Arial"/>
          <w:sz w:val="22"/>
          <w:szCs w:val="22"/>
        </w:rPr>
        <w:t>Commenters urged the NRC to conf</w:t>
      </w:r>
      <w:r w:rsidR="00F12368">
        <w:rPr>
          <w:rFonts w:ascii="Arial" w:eastAsia="Aptos" w:hAnsi="Arial" w:cs="Arial"/>
          <w:sz w:val="22"/>
          <w:szCs w:val="22"/>
        </w:rPr>
        <w:t>o</w:t>
      </w:r>
      <w:r w:rsidRPr="00E70252">
        <w:rPr>
          <w:rFonts w:ascii="Arial" w:eastAsia="Aptos" w:hAnsi="Arial" w:cs="Arial"/>
          <w:sz w:val="22"/>
          <w:szCs w:val="22"/>
        </w:rPr>
        <w:t xml:space="preserve">rm with directives for </w:t>
      </w:r>
      <w:r w:rsidR="007B2668">
        <w:rPr>
          <w:rFonts w:ascii="Arial" w:eastAsia="Aptos" w:hAnsi="Arial" w:cs="Arial"/>
          <w:sz w:val="22"/>
          <w:szCs w:val="22"/>
        </w:rPr>
        <w:t>“</w:t>
      </w:r>
      <w:r w:rsidRPr="00E70252">
        <w:rPr>
          <w:rFonts w:ascii="Arial" w:eastAsia="Aptos" w:hAnsi="Arial" w:cs="Arial"/>
          <w:sz w:val="22"/>
          <w:szCs w:val="22"/>
        </w:rPr>
        <w:t>Federal agencies to adopt voluntary consensus standards wherever possible</w:t>
      </w:r>
      <w:r w:rsidR="007B2668">
        <w:rPr>
          <w:rFonts w:ascii="Arial" w:eastAsia="Aptos" w:hAnsi="Arial" w:cs="Arial"/>
          <w:sz w:val="22"/>
          <w:szCs w:val="22"/>
        </w:rPr>
        <w:t>”</w:t>
      </w:r>
      <w:r w:rsidRPr="00E70252">
        <w:rPr>
          <w:rFonts w:ascii="Arial" w:eastAsia="Aptos" w:hAnsi="Arial" w:cs="Arial"/>
          <w:sz w:val="22"/>
          <w:szCs w:val="22"/>
        </w:rPr>
        <w:t xml:space="preserve"> and </w:t>
      </w:r>
      <w:r w:rsidR="007B2668">
        <w:rPr>
          <w:rFonts w:ascii="Arial" w:eastAsia="Aptos" w:hAnsi="Arial" w:cs="Arial"/>
          <w:sz w:val="22"/>
          <w:szCs w:val="22"/>
        </w:rPr>
        <w:t>“</w:t>
      </w:r>
      <w:r w:rsidRPr="00E70252">
        <w:rPr>
          <w:rFonts w:ascii="Arial" w:eastAsia="Aptos" w:hAnsi="Arial" w:cs="Arial"/>
          <w:sz w:val="22"/>
          <w:szCs w:val="22"/>
        </w:rPr>
        <w:t>to meet respective agency requirements in an efficient and cost-effective manner for the agency and its stakeholders,</w:t>
      </w:r>
      <w:r w:rsidR="007B2668">
        <w:rPr>
          <w:rFonts w:ascii="Arial" w:eastAsia="Aptos" w:hAnsi="Arial" w:cs="Arial"/>
          <w:sz w:val="22"/>
          <w:szCs w:val="22"/>
        </w:rPr>
        <w:t>”</w:t>
      </w:r>
      <w:r w:rsidRPr="00E70252">
        <w:rPr>
          <w:rFonts w:ascii="Arial" w:eastAsia="Aptos" w:hAnsi="Arial" w:cs="Arial"/>
          <w:sz w:val="22"/>
          <w:szCs w:val="22"/>
        </w:rPr>
        <w:t xml:space="preserve"> noting that consensus standards provide the basis for currently operating plants, and some were not reviewed and endorse by the NRC, and safety improvements for advanced reactors are often reflected in </w:t>
      </w:r>
      <w:r w:rsidRPr="00E70252">
        <w:rPr>
          <w:rFonts w:ascii="Arial" w:eastAsia="Aptos" w:hAnsi="Arial" w:cs="Arial"/>
          <w:sz w:val="22"/>
          <w:szCs w:val="22"/>
        </w:rPr>
        <w:t>approved consensus standards be</w:t>
      </w:r>
      <w:r w:rsidR="00A9294E">
        <w:rPr>
          <w:rFonts w:ascii="Arial" w:eastAsia="Aptos" w:hAnsi="Arial" w:cs="Arial"/>
          <w:sz w:val="22"/>
          <w:szCs w:val="22"/>
        </w:rPr>
        <w:t>fore</w:t>
      </w:r>
      <w:r w:rsidRPr="00E70252">
        <w:rPr>
          <w:rFonts w:ascii="Arial" w:eastAsia="Aptos" w:hAnsi="Arial" w:cs="Arial"/>
          <w:sz w:val="22"/>
          <w:szCs w:val="22"/>
        </w:rPr>
        <w:t xml:space="preserve"> the NRC gets involved (</w:t>
      </w:r>
      <w:r w:rsidR="00611CA0">
        <w:rPr>
          <w:rFonts w:ascii="Arial" w:eastAsia="Aptos" w:hAnsi="Arial" w:cs="Arial"/>
          <w:sz w:val="22"/>
          <w:szCs w:val="22"/>
        </w:rPr>
        <w:t>RAD</w:t>
      </w:r>
      <w:r w:rsidRPr="00E70252">
        <w:rPr>
          <w:rFonts w:ascii="Arial" w:eastAsia="Aptos" w:hAnsi="Arial" w:cs="Arial"/>
          <w:sz w:val="22"/>
          <w:szCs w:val="22"/>
        </w:rPr>
        <w:t xml:space="preserve">-0001, </w:t>
      </w:r>
      <w:r w:rsidR="00C3447B">
        <w:rPr>
          <w:rFonts w:ascii="Arial" w:eastAsia="Aptos" w:hAnsi="Arial" w:cs="Arial"/>
          <w:sz w:val="22"/>
          <w:szCs w:val="22"/>
        </w:rPr>
        <w:t>ROSE</w:t>
      </w:r>
      <w:r w:rsidRPr="00E70252">
        <w:rPr>
          <w:rFonts w:ascii="Arial" w:eastAsia="Aptos" w:hAnsi="Arial" w:cs="Arial"/>
          <w:sz w:val="22"/>
          <w:szCs w:val="22"/>
        </w:rPr>
        <w:t xml:space="preserve">-0016, </w:t>
      </w:r>
      <w:r w:rsidR="00C3447B">
        <w:rPr>
          <w:rFonts w:ascii="Arial" w:eastAsia="Aptos" w:hAnsi="Arial" w:cs="Arial"/>
          <w:sz w:val="22"/>
          <w:szCs w:val="22"/>
        </w:rPr>
        <w:t>ROSE</w:t>
      </w:r>
      <w:r w:rsidR="00A9294E">
        <w:rPr>
          <w:rFonts w:ascii="Arial" w:eastAsia="Aptos" w:hAnsi="Arial" w:cs="Arial"/>
          <w:sz w:val="22"/>
          <w:szCs w:val="22"/>
        </w:rPr>
        <w:noBreakHyphen/>
      </w:r>
      <w:r w:rsidRPr="00E70252">
        <w:rPr>
          <w:rFonts w:ascii="Arial" w:eastAsia="Aptos" w:hAnsi="Arial" w:cs="Arial"/>
          <w:sz w:val="22"/>
          <w:szCs w:val="22"/>
        </w:rPr>
        <w:t>0002).</w:t>
      </w:r>
    </w:p>
    <w:p w:rsidR="00082819" w:rsidRPr="00E70252" w:rsidP="00E70252" w14:paraId="4CFF9569" w14:textId="77777777">
      <w:pPr>
        <w:spacing w:after="220"/>
        <w:rPr>
          <w:rFonts w:ascii="Arial" w:eastAsia="Aptos" w:hAnsi="Arial" w:cs="Arial"/>
          <w:sz w:val="22"/>
          <w:szCs w:val="22"/>
        </w:rPr>
      </w:pPr>
      <w:r w:rsidRPr="00E70252">
        <w:rPr>
          <w:rFonts w:ascii="Arial" w:eastAsia="Aptos" w:hAnsi="Arial" w:cs="Arial"/>
          <w:sz w:val="22"/>
          <w:szCs w:val="22"/>
        </w:rPr>
        <w:t>Another commenter stated that commercial codes and standards have been applied at large complex chemical facilities that are considering co-location of nuclear facilities at their industrial facilities, and that the NRC should allow such codes that have a long history of allowing safe commercial operations to be used in meeting nuclear requirements. The commenter added that the requirement to use NRC</w:t>
      </w:r>
      <w:r w:rsidRPr="00E70252">
        <w:rPr>
          <w:rFonts w:ascii="Arial" w:eastAsia="Aptos" w:hAnsi="Arial" w:cs="Arial"/>
          <w:sz w:val="22"/>
          <w:szCs w:val="22"/>
        </w:rPr>
        <w:noBreakHyphen/>
        <w:t>endorsed codes and standards is not performance-based and presents an implementation challenge and noted that useful dialog to address this issue was provided in the February</w:t>
      </w:r>
      <w:r w:rsidRPr="00E70252" w:rsidR="001708B1">
        <w:rPr>
          <w:rFonts w:ascii="Arial" w:eastAsia="Aptos" w:hAnsi="Arial" w:cs="Arial"/>
          <w:sz w:val="22"/>
          <w:szCs w:val="22"/>
        </w:rPr>
        <w:t> </w:t>
      </w:r>
      <w:r w:rsidRPr="00E70252">
        <w:rPr>
          <w:rFonts w:ascii="Arial" w:eastAsia="Aptos" w:hAnsi="Arial" w:cs="Arial"/>
          <w:sz w:val="22"/>
          <w:szCs w:val="22"/>
        </w:rPr>
        <w:t>11,</w:t>
      </w:r>
      <w:r w:rsidRPr="00E70252" w:rsidR="001708B1">
        <w:rPr>
          <w:rFonts w:ascii="Arial" w:eastAsia="Aptos" w:hAnsi="Arial" w:cs="Arial"/>
          <w:sz w:val="22"/>
          <w:szCs w:val="22"/>
        </w:rPr>
        <w:t> </w:t>
      </w:r>
      <w:r w:rsidRPr="00E70252">
        <w:rPr>
          <w:rFonts w:ascii="Arial" w:eastAsia="Aptos" w:hAnsi="Arial" w:cs="Arial"/>
          <w:sz w:val="22"/>
          <w:szCs w:val="22"/>
        </w:rPr>
        <w:t>2025 NRC public meeting "Application of Commercial Codes and Standards by Advanced Reactor Vendors and Applicants." The commenter asked the NRC to justify why existing codes/standards not endorsed by the NRC are insufficient for use (</w:t>
      </w:r>
      <w:r w:rsidR="00AE0B17">
        <w:rPr>
          <w:rFonts w:ascii="Arial" w:eastAsia="Aptos" w:hAnsi="Arial" w:cs="Arial"/>
          <w:sz w:val="22"/>
          <w:szCs w:val="22"/>
        </w:rPr>
        <w:t>USNIC2</w:t>
      </w:r>
      <w:r w:rsidRPr="00E70252">
        <w:rPr>
          <w:rFonts w:ascii="Arial" w:eastAsia="Aptos" w:hAnsi="Arial" w:cs="Arial"/>
          <w:sz w:val="22"/>
          <w:szCs w:val="22"/>
        </w:rPr>
        <w:t>-0013)</w:t>
      </w:r>
      <w:r w:rsidR="007B2668">
        <w:rPr>
          <w:rFonts w:ascii="Arial" w:eastAsia="Aptos" w:hAnsi="Arial" w:cs="Arial"/>
          <w:sz w:val="22"/>
          <w:szCs w:val="22"/>
        </w:rPr>
        <w:t>.</w:t>
      </w:r>
    </w:p>
    <w:p w:rsidR="00082819" w:rsidRPr="00E70252" w:rsidP="00E70252" w14:paraId="0413B0C5" w14:textId="77777777">
      <w:pPr>
        <w:spacing w:after="220"/>
        <w:rPr>
          <w:rFonts w:ascii="Arial" w:eastAsia="Aptos" w:hAnsi="Arial" w:cs="Arial"/>
          <w:sz w:val="22"/>
          <w:szCs w:val="22"/>
        </w:rPr>
      </w:pPr>
      <w:r w:rsidRPr="00E70252">
        <w:rPr>
          <w:rFonts w:ascii="Arial" w:eastAsia="Aptos" w:hAnsi="Arial" w:cs="Arial"/>
          <w:sz w:val="22"/>
          <w:szCs w:val="22"/>
        </w:rPr>
        <w:t>A</w:t>
      </w:r>
      <w:r w:rsidRPr="00E70252" w:rsidR="007F1D66">
        <w:rPr>
          <w:rFonts w:ascii="Arial" w:eastAsia="Aptos" w:hAnsi="Arial" w:cs="Arial"/>
          <w:sz w:val="22"/>
          <w:szCs w:val="22"/>
        </w:rPr>
        <w:t>nother</w:t>
      </w:r>
      <w:r w:rsidRPr="00E70252">
        <w:rPr>
          <w:rFonts w:ascii="Arial" w:eastAsia="Aptos" w:hAnsi="Arial" w:cs="Arial"/>
          <w:sz w:val="22"/>
          <w:szCs w:val="22"/>
        </w:rPr>
        <w:t xml:space="preserve"> commenter stated that the phrasing </w:t>
      </w:r>
      <w:r w:rsidR="007B2668">
        <w:rPr>
          <w:rFonts w:ascii="Arial" w:eastAsia="Aptos" w:hAnsi="Arial" w:cs="Arial"/>
          <w:sz w:val="22"/>
          <w:szCs w:val="22"/>
        </w:rPr>
        <w:t>“</w:t>
      </w:r>
      <w:r w:rsidRPr="00E70252">
        <w:rPr>
          <w:rFonts w:ascii="Arial" w:eastAsia="Aptos" w:hAnsi="Arial" w:cs="Arial"/>
          <w:sz w:val="22"/>
          <w:szCs w:val="22"/>
        </w:rPr>
        <w:t>generally accepted consensus codes and standards</w:t>
      </w:r>
      <w:r w:rsidR="007B2668">
        <w:rPr>
          <w:rFonts w:ascii="Arial" w:eastAsia="Aptos" w:hAnsi="Arial" w:cs="Arial"/>
          <w:sz w:val="22"/>
          <w:szCs w:val="22"/>
        </w:rPr>
        <w:t>”</w:t>
      </w:r>
      <w:r w:rsidRPr="00E70252">
        <w:rPr>
          <w:rFonts w:ascii="Arial" w:eastAsia="Aptos" w:hAnsi="Arial" w:cs="Arial"/>
          <w:sz w:val="22"/>
          <w:szCs w:val="22"/>
        </w:rPr>
        <w:t xml:space="preserve"> is different than that in </w:t>
      </w:r>
      <w:r w:rsidR="00827A6E">
        <w:rPr>
          <w:rFonts w:ascii="Arial" w:eastAsia="Aptos" w:hAnsi="Arial" w:cs="Arial"/>
          <w:sz w:val="22"/>
          <w:szCs w:val="22"/>
        </w:rPr>
        <w:t>s</w:t>
      </w:r>
      <w:r w:rsidRPr="00E70252">
        <w:rPr>
          <w:rFonts w:ascii="Arial" w:eastAsia="Aptos" w:hAnsi="Arial" w:cs="Arial"/>
          <w:sz w:val="22"/>
          <w:szCs w:val="22"/>
        </w:rPr>
        <w:t xml:space="preserve">ection 12(d)(1) of the National Technology Transfer and Advancement Act of 1995 </w:t>
      </w:r>
      <w:r w:rsidR="00B15E9C">
        <w:rPr>
          <w:rFonts w:ascii="Arial" w:eastAsia="Aptos" w:hAnsi="Arial" w:cs="Arial"/>
          <w:sz w:val="22"/>
          <w:szCs w:val="22"/>
        </w:rPr>
        <w:t>(</w:t>
      </w:r>
      <w:r w:rsidRPr="00B15E9C" w:rsidR="00B15E9C">
        <w:rPr>
          <w:rFonts w:ascii="Arial" w:eastAsia="Aptos" w:hAnsi="Arial" w:cs="Arial"/>
          <w:sz w:val="22"/>
          <w:szCs w:val="22"/>
        </w:rPr>
        <w:t>NTTAA</w:t>
      </w:r>
      <w:r w:rsidR="00B15E9C">
        <w:rPr>
          <w:rFonts w:ascii="Arial" w:eastAsia="Aptos" w:hAnsi="Arial" w:cs="Arial"/>
          <w:sz w:val="22"/>
          <w:szCs w:val="22"/>
        </w:rPr>
        <w:t xml:space="preserve">) </w:t>
      </w:r>
      <w:r w:rsidRPr="00220690" w:rsidR="004921E7">
        <w:rPr>
          <w:rFonts w:ascii="Arial" w:hAnsi="Arial" w:cs="Arial"/>
          <w:sz w:val="22"/>
          <w:szCs w:val="22"/>
        </w:rPr>
        <w:t>(Pub. L. 104-113)</w:t>
      </w:r>
      <w:r w:rsidR="004921E7">
        <w:rPr>
          <w:rFonts w:ascii="Arial" w:hAnsi="Arial" w:cs="Arial"/>
          <w:sz w:val="22"/>
          <w:szCs w:val="22"/>
        </w:rPr>
        <w:t xml:space="preserve"> </w:t>
      </w:r>
      <w:r w:rsidRPr="00E70252">
        <w:rPr>
          <w:rFonts w:ascii="Arial" w:eastAsia="Aptos" w:hAnsi="Arial" w:cs="Arial"/>
          <w:sz w:val="22"/>
          <w:szCs w:val="22"/>
        </w:rPr>
        <w:t xml:space="preserve">and </w:t>
      </w:r>
      <w:r w:rsidR="00900AEE">
        <w:rPr>
          <w:rFonts w:ascii="Arial" w:eastAsia="Aptos" w:hAnsi="Arial" w:cs="Arial"/>
          <w:sz w:val="22"/>
          <w:szCs w:val="22"/>
        </w:rPr>
        <w:t>Office of Management and Budget (</w:t>
      </w:r>
      <w:r w:rsidRPr="00E70252">
        <w:rPr>
          <w:rFonts w:ascii="Arial" w:eastAsia="Aptos" w:hAnsi="Arial" w:cs="Arial"/>
          <w:sz w:val="22"/>
          <w:szCs w:val="22"/>
        </w:rPr>
        <w:t>OMB</w:t>
      </w:r>
      <w:r w:rsidR="00900AEE">
        <w:rPr>
          <w:rFonts w:ascii="Arial" w:eastAsia="Aptos" w:hAnsi="Arial" w:cs="Arial"/>
          <w:sz w:val="22"/>
          <w:szCs w:val="22"/>
        </w:rPr>
        <w:t>)</w:t>
      </w:r>
      <w:r w:rsidRPr="00E70252">
        <w:rPr>
          <w:rFonts w:ascii="Arial" w:eastAsia="Aptos" w:hAnsi="Arial" w:cs="Arial"/>
          <w:sz w:val="22"/>
          <w:szCs w:val="22"/>
        </w:rPr>
        <w:t xml:space="preserve"> Circular A-119, which refer to and establish preference for "volunteer consensus standards," and asked the NRC to revise this language for clarity or justify the departure. The commenter also stated the apparent requirement for prior endorsement of codes and standards could discourage the use of new, revised, or previously unapproved codes and standards, and asked the NRC to either provide additional justification for this requirement, if this interpretation is correct, or revise the rule text for clarity (</w:t>
      </w:r>
      <w:r w:rsidR="00704A39">
        <w:rPr>
          <w:rFonts w:ascii="Arial" w:eastAsia="Aptos" w:hAnsi="Arial" w:cs="Arial"/>
          <w:sz w:val="22"/>
          <w:szCs w:val="22"/>
        </w:rPr>
        <w:t>ANS</w:t>
      </w:r>
      <w:r w:rsidRPr="00E70252">
        <w:rPr>
          <w:rFonts w:ascii="Arial" w:eastAsia="Aptos" w:hAnsi="Arial" w:cs="Arial"/>
          <w:sz w:val="22"/>
          <w:szCs w:val="22"/>
        </w:rPr>
        <w:t>-0002).</w:t>
      </w:r>
    </w:p>
    <w:p w:rsidR="00082819" w:rsidRPr="00E70252" w:rsidP="00E70252" w14:paraId="02711DF5" w14:textId="77777777">
      <w:pPr>
        <w:spacing w:after="220"/>
        <w:rPr>
          <w:rFonts w:ascii="Arial" w:eastAsia="Aptos" w:hAnsi="Arial" w:cs="Arial"/>
          <w:sz w:val="22"/>
          <w:szCs w:val="22"/>
        </w:rPr>
      </w:pPr>
      <w:r w:rsidRPr="00E70252">
        <w:rPr>
          <w:rFonts w:ascii="Arial" w:eastAsia="Aptos" w:hAnsi="Arial" w:cs="Arial"/>
          <w:sz w:val="22"/>
          <w:szCs w:val="22"/>
        </w:rPr>
        <w:t>Another commenter added there are no codes and standards currently endorsed for NSRSS SSCs, which could make applicants feel like they are required to apply codes and standards for SR SSCs to NSRSS SSCs, and the current requirement would provide no reason for applicants to choose 10 CFR Part 53 over 10 CFR Part 50 or 10</w:t>
      </w:r>
      <w:r w:rsidRPr="00E70252" w:rsidR="002A13BA">
        <w:rPr>
          <w:rFonts w:ascii="Arial" w:eastAsia="Aptos" w:hAnsi="Arial" w:cs="Arial"/>
          <w:sz w:val="22"/>
          <w:szCs w:val="22"/>
        </w:rPr>
        <w:t> </w:t>
      </w:r>
      <w:r w:rsidRPr="00E70252">
        <w:rPr>
          <w:rFonts w:ascii="Arial" w:eastAsia="Aptos" w:hAnsi="Arial" w:cs="Arial"/>
          <w:sz w:val="22"/>
          <w:szCs w:val="22"/>
        </w:rPr>
        <w:t xml:space="preserve">CFR Part 52. </w:t>
      </w:r>
      <w:r w:rsidRPr="00E70252">
        <w:rPr>
          <w:rFonts w:ascii="Arial" w:hAnsi="Arial" w:cs="Arial"/>
          <w:sz w:val="22"/>
          <w:szCs w:val="22"/>
        </w:rPr>
        <w:t>The commenter suggested l</w:t>
      </w:r>
      <w:r w:rsidRPr="00E70252">
        <w:rPr>
          <w:rFonts w:ascii="Arial" w:eastAsia="Aptos" w:hAnsi="Arial" w:cs="Arial"/>
          <w:sz w:val="22"/>
          <w:szCs w:val="22"/>
        </w:rPr>
        <w:t>imiting the scope of 10</w:t>
      </w:r>
      <w:r w:rsidRPr="00E70252" w:rsidR="00E84ACD">
        <w:rPr>
          <w:rFonts w:ascii="Arial" w:eastAsia="Aptos" w:hAnsi="Arial" w:cs="Arial"/>
          <w:sz w:val="22"/>
          <w:szCs w:val="22"/>
        </w:rPr>
        <w:t> </w:t>
      </w:r>
      <w:r w:rsidRPr="00E70252">
        <w:rPr>
          <w:rFonts w:ascii="Arial" w:eastAsia="Aptos" w:hAnsi="Arial" w:cs="Arial"/>
          <w:sz w:val="22"/>
          <w:szCs w:val="22"/>
        </w:rPr>
        <w:t>CFR</w:t>
      </w:r>
      <w:r w:rsidRPr="00E70252" w:rsidR="00E84ACD">
        <w:rPr>
          <w:rFonts w:ascii="Arial" w:eastAsia="Aptos" w:hAnsi="Arial" w:cs="Arial"/>
          <w:sz w:val="22"/>
          <w:szCs w:val="22"/>
        </w:rPr>
        <w:t> </w:t>
      </w:r>
      <w:r w:rsidRPr="00E70252">
        <w:rPr>
          <w:rFonts w:ascii="Arial" w:eastAsia="Aptos" w:hAnsi="Arial" w:cs="Arial"/>
          <w:sz w:val="22"/>
          <w:szCs w:val="22"/>
        </w:rPr>
        <w:t>53.440(b) to SR SSCs, as is the case for other sections (e.g.,</w:t>
      </w:r>
      <w:r w:rsidRPr="00E70252" w:rsidR="00E84ACD">
        <w:rPr>
          <w:rFonts w:ascii="Arial" w:eastAsia="Aptos" w:hAnsi="Arial" w:cs="Arial"/>
          <w:sz w:val="22"/>
          <w:szCs w:val="22"/>
        </w:rPr>
        <w:t> </w:t>
      </w:r>
      <w:r w:rsidRPr="00E70252">
        <w:rPr>
          <w:rFonts w:ascii="Arial" w:eastAsia="Aptos" w:hAnsi="Arial" w:cs="Arial"/>
          <w:sz w:val="22"/>
          <w:szCs w:val="22"/>
        </w:rPr>
        <w:t>10</w:t>
      </w:r>
      <w:r w:rsidRPr="00E70252" w:rsidR="00E84ACD">
        <w:rPr>
          <w:rFonts w:ascii="Arial" w:eastAsia="Aptos" w:hAnsi="Arial" w:cs="Arial"/>
          <w:sz w:val="22"/>
          <w:szCs w:val="22"/>
        </w:rPr>
        <w:t> </w:t>
      </w:r>
      <w:r w:rsidRPr="00E70252">
        <w:rPr>
          <w:rFonts w:ascii="Arial" w:eastAsia="Aptos" w:hAnsi="Arial" w:cs="Arial"/>
          <w:sz w:val="22"/>
          <w:szCs w:val="22"/>
        </w:rPr>
        <w:t>CFR</w:t>
      </w:r>
      <w:r w:rsidRPr="00E70252" w:rsidR="00E84ACD">
        <w:rPr>
          <w:rFonts w:ascii="Arial" w:eastAsia="Aptos" w:hAnsi="Arial" w:cs="Arial"/>
          <w:sz w:val="22"/>
          <w:szCs w:val="22"/>
        </w:rPr>
        <w:t> </w:t>
      </w:r>
      <w:r w:rsidRPr="00E70252">
        <w:rPr>
          <w:rFonts w:ascii="Arial" w:eastAsia="Aptos" w:hAnsi="Arial" w:cs="Arial"/>
          <w:sz w:val="22"/>
          <w:szCs w:val="22"/>
        </w:rPr>
        <w:t>53.415), and stated that i</w:t>
      </w:r>
      <w:r w:rsidRPr="00E70252">
        <w:rPr>
          <w:rFonts w:ascii="Arial" w:eastAsia="Times New Roman" w:hAnsi="Arial" w:cs="Arial"/>
          <w:sz w:val="22"/>
          <w:szCs w:val="22"/>
        </w:rPr>
        <w:t>f the scope of the section continues to include NSRSS SSCs, then the NRC should endorse ASCE 7, AISC 360, and ACI 318 for NSRSS SSCs (</w:t>
      </w:r>
      <w:r w:rsidR="009D6BB9">
        <w:rPr>
          <w:rFonts w:ascii="Arial" w:eastAsia="Aptos" w:hAnsi="Arial" w:cs="Arial"/>
          <w:sz w:val="22"/>
          <w:szCs w:val="22"/>
        </w:rPr>
        <w:t>NEI2</w:t>
      </w:r>
      <w:r w:rsidRPr="00E70252">
        <w:rPr>
          <w:rFonts w:ascii="Arial" w:eastAsia="Aptos" w:hAnsi="Arial" w:cs="Arial"/>
          <w:sz w:val="22"/>
          <w:szCs w:val="22"/>
        </w:rPr>
        <w:t>-0005</w:t>
      </w:r>
      <w:r w:rsidR="00E005BC">
        <w:rPr>
          <w:rFonts w:ascii="Arial" w:eastAsia="Aptos" w:hAnsi="Arial" w:cs="Arial"/>
          <w:sz w:val="22"/>
          <w:szCs w:val="22"/>
        </w:rPr>
        <w:t>,</w:t>
      </w:r>
      <w:r w:rsidRPr="00E70252">
        <w:rPr>
          <w:rFonts w:ascii="Arial" w:eastAsia="Aptos" w:hAnsi="Arial" w:cs="Arial"/>
          <w:sz w:val="22"/>
          <w:szCs w:val="22"/>
        </w:rPr>
        <w:t xml:space="preserve"> </w:t>
      </w:r>
      <w:r w:rsidR="009D6BB9">
        <w:rPr>
          <w:rFonts w:ascii="Arial" w:eastAsia="Aptos" w:hAnsi="Arial" w:cs="Arial"/>
          <w:sz w:val="22"/>
          <w:szCs w:val="22"/>
        </w:rPr>
        <w:t>NEI2</w:t>
      </w:r>
      <w:r w:rsidRPr="00E70252">
        <w:rPr>
          <w:rFonts w:ascii="Arial" w:eastAsia="Aptos" w:hAnsi="Arial" w:cs="Arial"/>
          <w:sz w:val="22"/>
          <w:szCs w:val="22"/>
        </w:rPr>
        <w:t>-0182).</w:t>
      </w:r>
    </w:p>
    <w:p w:rsidR="00082819" w:rsidRPr="00E70252" w:rsidP="00E70252" w14:paraId="4896EFCF" w14:textId="77777777">
      <w:pPr>
        <w:spacing w:after="220"/>
        <w:rPr>
          <w:rFonts w:ascii="Arial" w:hAnsi="Arial" w:cs="Arial"/>
          <w:sz w:val="22"/>
          <w:szCs w:val="22"/>
        </w:rPr>
      </w:pPr>
      <w:r w:rsidRPr="00E70252">
        <w:rPr>
          <w:rFonts w:ascii="Arial" w:hAnsi="Arial" w:cs="Arial"/>
          <w:b/>
          <w:sz w:val="22"/>
          <w:szCs w:val="22"/>
        </w:rPr>
        <w:t>NRC Response:</w:t>
      </w:r>
      <w:r w:rsidRPr="00E70252">
        <w:rPr>
          <w:rFonts w:ascii="Arial" w:hAnsi="Arial" w:cs="Arial"/>
          <w:sz w:val="22"/>
          <w:szCs w:val="22"/>
        </w:rPr>
        <w:t> The NRC agrees, in part, with the comments.</w:t>
      </w:r>
    </w:p>
    <w:p w:rsidR="00082819" w:rsidRPr="00E70252" w:rsidP="00E70252" w14:paraId="617AADB1" w14:textId="77777777">
      <w:pPr>
        <w:spacing w:after="220"/>
        <w:rPr>
          <w:rFonts w:ascii="Arial" w:hAnsi="Arial" w:cs="Arial"/>
          <w:sz w:val="22"/>
          <w:szCs w:val="22"/>
        </w:rPr>
      </w:pPr>
      <w:r w:rsidRPr="00E70252">
        <w:rPr>
          <w:rFonts w:ascii="Arial" w:hAnsi="Arial" w:cs="Arial"/>
          <w:sz w:val="22"/>
          <w:szCs w:val="22"/>
        </w:rPr>
        <w:t>The NRC agrees that NRC review and endorsement of the numerous consensus codes and standards that may be used for SSC not classified as safety-related would potentially create a substantial obstacle to efficient licensing and could impede flexibilities that are otherwise intended to be afforded by the regulatory framework under 10 CFR Part 53.</w:t>
      </w:r>
      <w:r w:rsidRPr="00E70252" w:rsidR="002E31AE">
        <w:rPr>
          <w:rFonts w:ascii="Arial" w:hAnsi="Arial" w:cs="Arial"/>
          <w:sz w:val="22"/>
          <w:szCs w:val="22"/>
        </w:rPr>
        <w:t xml:space="preserve"> </w:t>
      </w:r>
      <w:r w:rsidRPr="00E70252">
        <w:rPr>
          <w:rFonts w:ascii="Arial" w:hAnsi="Arial" w:cs="Arial"/>
          <w:sz w:val="22"/>
          <w:szCs w:val="22"/>
        </w:rPr>
        <w:t xml:space="preserve">The NRC therefore </w:t>
      </w:r>
      <w:r w:rsidR="004D3689">
        <w:rPr>
          <w:rFonts w:ascii="Arial" w:hAnsi="Arial" w:cs="Arial"/>
          <w:sz w:val="22"/>
          <w:szCs w:val="22"/>
        </w:rPr>
        <w:t>revised</w:t>
      </w:r>
      <w:r w:rsidRPr="00E70252">
        <w:rPr>
          <w:rFonts w:ascii="Arial" w:hAnsi="Arial" w:cs="Arial"/>
          <w:sz w:val="22"/>
          <w:szCs w:val="22"/>
        </w:rPr>
        <w:t xml:space="preserve"> 10 CFR 53.440(b) in the final rule to be applicable to only SR SSCs. Related changes were made to the definition of special treatment in 10 CFR 53.020 </w:t>
      </w:r>
      <w:r w:rsidRPr="00E70252" w:rsidR="00761C0A">
        <w:rPr>
          <w:rFonts w:ascii="Arial" w:hAnsi="Arial" w:cs="Arial"/>
          <w:sz w:val="22"/>
          <w:szCs w:val="22"/>
        </w:rPr>
        <w:t xml:space="preserve">(see </w:t>
      </w:r>
      <w:r w:rsidR="00344287">
        <w:rPr>
          <w:rFonts w:ascii="Arial" w:hAnsi="Arial" w:cs="Arial"/>
          <w:sz w:val="22"/>
          <w:szCs w:val="22"/>
        </w:rPr>
        <w:t xml:space="preserve">the NRC’s </w:t>
      </w:r>
      <w:r w:rsidRPr="00E70252" w:rsidR="00761C0A">
        <w:rPr>
          <w:rFonts w:ascii="Arial" w:hAnsi="Arial" w:cs="Arial"/>
          <w:sz w:val="22"/>
          <w:szCs w:val="22"/>
        </w:rPr>
        <w:t xml:space="preserve">response to Comment Bin 3.1.1.G) </w:t>
      </w:r>
      <w:r w:rsidRPr="00E70252">
        <w:rPr>
          <w:rFonts w:ascii="Arial" w:hAnsi="Arial" w:cs="Arial"/>
          <w:sz w:val="22"/>
          <w:szCs w:val="22"/>
        </w:rPr>
        <w:t xml:space="preserve">and the related discussion in the </w:t>
      </w:r>
      <w:r w:rsidR="00596943">
        <w:rPr>
          <w:rFonts w:ascii="Arial" w:hAnsi="Arial" w:cs="Arial"/>
          <w:sz w:val="22"/>
          <w:szCs w:val="22"/>
        </w:rPr>
        <w:t xml:space="preserve">final rule </w:t>
      </w:r>
      <w:r w:rsidR="00CD7049">
        <w:rPr>
          <w:rFonts w:ascii="Arial" w:hAnsi="Arial" w:cs="Arial"/>
          <w:sz w:val="22"/>
          <w:szCs w:val="22"/>
        </w:rPr>
        <w:t>FRN</w:t>
      </w:r>
      <w:r w:rsidRPr="005C3695">
        <w:rPr>
          <w:rFonts w:ascii="Arial" w:hAnsi="Arial" w:cs="Arial"/>
          <w:sz w:val="22"/>
          <w:szCs w:val="22"/>
        </w:rPr>
        <w:t xml:space="preserve"> </w:t>
      </w:r>
      <w:r w:rsidRPr="00297084">
        <w:rPr>
          <w:rStyle w:val="CommentReference"/>
          <w:rFonts w:ascii="Arial" w:eastAsia="DengXian" w:hAnsi="Arial" w:cs="Arial"/>
          <w:sz w:val="22"/>
          <w:szCs w:val="22"/>
          <w:lang w:eastAsia="ja-JP"/>
        </w:rPr>
        <w:t>t</w:t>
      </w:r>
      <w:r w:rsidRPr="00E70252">
        <w:rPr>
          <w:rFonts w:ascii="Arial" w:hAnsi="Arial" w:cs="Arial"/>
          <w:sz w:val="22"/>
          <w:szCs w:val="22"/>
        </w:rPr>
        <w:t xml:space="preserve">o further clarify that special treatment are those measures taken beyond the procurement, installation, and maintenance of commercial grade products. The design and fabrication of commercial grade products may include the use of selected consensus codes and standards. The consensus codes and standards for commercial grade products used for NSRSS SSCs would be cited in applications to support the identification of special treatments that may go beyond what would otherwise be required by those selected commercial codes and standards. The NRC also acknowledges that the consideration of consensus codes and standards for NSRSS SSCs is also being discussed in the context of applications developed using the </w:t>
      </w:r>
      <w:r w:rsidR="00C32F34">
        <w:rPr>
          <w:rFonts w:ascii="Arial" w:hAnsi="Arial" w:cs="Arial"/>
          <w:sz w:val="22"/>
          <w:szCs w:val="22"/>
        </w:rPr>
        <w:t>LMP</w:t>
      </w:r>
      <w:r w:rsidRPr="00E70252">
        <w:rPr>
          <w:rFonts w:ascii="Arial" w:hAnsi="Arial" w:cs="Arial"/>
          <w:sz w:val="22"/>
          <w:szCs w:val="22"/>
        </w:rPr>
        <w:t xml:space="preserve"> methodology and broader NRC efforts to improve the efficiency of its regulatory programs.</w:t>
      </w:r>
    </w:p>
    <w:p w:rsidR="00082819" w:rsidRPr="00E70252" w:rsidP="00E70252" w14:paraId="3A6659CF" w14:textId="77777777">
      <w:pPr>
        <w:spacing w:after="220"/>
        <w:rPr>
          <w:rFonts w:ascii="Arial" w:hAnsi="Arial" w:cs="Arial"/>
          <w:sz w:val="22"/>
          <w:szCs w:val="22"/>
        </w:rPr>
      </w:pPr>
      <w:r w:rsidRPr="00E70252">
        <w:rPr>
          <w:rFonts w:ascii="Arial" w:hAnsi="Arial" w:cs="Arial"/>
          <w:sz w:val="22"/>
          <w:szCs w:val="22"/>
        </w:rPr>
        <w:t>While acknowledging the above revision to limit the need for NRC approval of consensus codes and standards to those used for SR SSCs, the NRC disagrees that the NRC review and endorsement of consensus codes and standards is a new concept introduced by 10</w:t>
      </w:r>
      <w:r w:rsidR="003A280D">
        <w:rPr>
          <w:rFonts w:ascii="Arial" w:hAnsi="Arial" w:cs="Arial"/>
          <w:sz w:val="22"/>
          <w:szCs w:val="22"/>
        </w:rPr>
        <w:t> </w:t>
      </w:r>
      <w:r w:rsidRPr="00E70252">
        <w:rPr>
          <w:rFonts w:ascii="Arial" w:hAnsi="Arial" w:cs="Arial"/>
          <w:sz w:val="22"/>
          <w:szCs w:val="22"/>
        </w:rPr>
        <w:t>CFR</w:t>
      </w:r>
      <w:r w:rsidR="003A280D">
        <w:rPr>
          <w:rFonts w:ascii="Arial" w:hAnsi="Arial" w:cs="Arial"/>
          <w:sz w:val="22"/>
          <w:szCs w:val="22"/>
        </w:rPr>
        <w:t> </w:t>
      </w:r>
      <w:r w:rsidRPr="00E70252">
        <w:rPr>
          <w:rFonts w:ascii="Arial" w:hAnsi="Arial" w:cs="Arial"/>
          <w:sz w:val="22"/>
          <w:szCs w:val="22"/>
        </w:rPr>
        <w:t>Part</w:t>
      </w:r>
      <w:r w:rsidR="003A280D">
        <w:rPr>
          <w:rFonts w:ascii="Arial" w:hAnsi="Arial" w:cs="Arial"/>
          <w:sz w:val="22"/>
          <w:szCs w:val="22"/>
        </w:rPr>
        <w:t> </w:t>
      </w:r>
      <w:r w:rsidRPr="00E70252">
        <w:rPr>
          <w:rFonts w:ascii="Arial" w:hAnsi="Arial" w:cs="Arial"/>
          <w:sz w:val="22"/>
          <w:szCs w:val="22"/>
        </w:rPr>
        <w:t xml:space="preserve">53. The regulations in 10 CFR Part 50 incorporate by reference selected consensus codes and standards and numerous other consensus codes and standards endorsed by the NRC are referenced in </w:t>
      </w:r>
      <w:r w:rsidR="00FA5F08">
        <w:rPr>
          <w:rFonts w:ascii="Arial" w:hAnsi="Arial" w:cs="Arial"/>
          <w:sz w:val="22"/>
          <w:szCs w:val="22"/>
        </w:rPr>
        <w:t>R</w:t>
      </w:r>
      <w:r w:rsidR="00BC2CEB">
        <w:rPr>
          <w:rFonts w:ascii="Arial" w:hAnsi="Arial" w:cs="Arial"/>
          <w:sz w:val="22"/>
          <w:szCs w:val="22"/>
        </w:rPr>
        <w:t>G</w:t>
      </w:r>
      <w:r w:rsidRPr="00E70252">
        <w:rPr>
          <w:rFonts w:ascii="Arial" w:hAnsi="Arial" w:cs="Arial"/>
          <w:sz w:val="22"/>
          <w:szCs w:val="22"/>
        </w:rPr>
        <w:t xml:space="preserve">s issued by the NRC. The NRC explained the use of consensus standards consistent with the provisions of the NTTAA and the role of related NRC reviews in the document “Analysis of Public Comments on Draft </w:t>
      </w:r>
      <w:r w:rsidR="00287A77">
        <w:rPr>
          <w:rFonts w:ascii="Arial" w:hAnsi="Arial" w:cs="Arial"/>
          <w:sz w:val="22"/>
          <w:szCs w:val="22"/>
        </w:rPr>
        <w:t>In</w:t>
      </w:r>
      <w:r w:rsidR="00ED0CCA">
        <w:rPr>
          <w:rFonts w:ascii="Arial" w:hAnsi="Arial" w:cs="Arial"/>
          <w:sz w:val="22"/>
          <w:szCs w:val="22"/>
        </w:rPr>
        <w:t xml:space="preserve">terim Staff Guidance </w:t>
      </w:r>
      <w:r w:rsidR="00E3514B">
        <w:rPr>
          <w:rFonts w:ascii="Arial" w:hAnsi="Arial" w:cs="Arial"/>
          <w:sz w:val="22"/>
          <w:szCs w:val="22"/>
        </w:rPr>
        <w:t>[</w:t>
      </w:r>
      <w:r w:rsidRPr="00E70252">
        <w:rPr>
          <w:rFonts w:ascii="Arial" w:hAnsi="Arial" w:cs="Arial"/>
          <w:sz w:val="22"/>
          <w:szCs w:val="22"/>
        </w:rPr>
        <w:t>ISG</w:t>
      </w:r>
      <w:r w:rsidR="00E3514B">
        <w:rPr>
          <w:rFonts w:ascii="Arial" w:hAnsi="Arial" w:cs="Arial"/>
          <w:sz w:val="22"/>
          <w:szCs w:val="22"/>
        </w:rPr>
        <w:t>]</w:t>
      </w:r>
      <w:r w:rsidRPr="00E70252">
        <w:rPr>
          <w:rFonts w:ascii="Arial" w:hAnsi="Arial" w:cs="Arial"/>
          <w:sz w:val="22"/>
          <w:szCs w:val="22"/>
        </w:rPr>
        <w:t xml:space="preserve"> </w:t>
      </w:r>
      <w:r w:rsidR="00C95D75">
        <w:rPr>
          <w:rFonts w:ascii="Arial" w:hAnsi="Arial" w:cs="Arial"/>
          <w:sz w:val="22"/>
          <w:szCs w:val="22"/>
        </w:rPr>
        <w:t>Division of Advanced</w:t>
      </w:r>
      <w:r w:rsidR="00D91663">
        <w:rPr>
          <w:rFonts w:ascii="Arial" w:hAnsi="Arial" w:cs="Arial"/>
          <w:sz w:val="22"/>
          <w:szCs w:val="22"/>
        </w:rPr>
        <w:t xml:space="preserve"> Reactors and Non-Power Production or </w:t>
      </w:r>
      <w:r w:rsidR="004732A8">
        <w:rPr>
          <w:rFonts w:ascii="Arial" w:hAnsi="Arial" w:cs="Arial"/>
          <w:sz w:val="22"/>
          <w:szCs w:val="22"/>
        </w:rPr>
        <w:t>Utilization Facilities [</w:t>
      </w:r>
      <w:r w:rsidRPr="00E70252">
        <w:rPr>
          <w:rFonts w:ascii="Arial" w:hAnsi="Arial" w:cs="Arial"/>
          <w:sz w:val="22"/>
          <w:szCs w:val="22"/>
        </w:rPr>
        <w:t>DANU</w:t>
      </w:r>
      <w:r w:rsidR="000E3B8C">
        <w:rPr>
          <w:rFonts w:ascii="Arial" w:hAnsi="Arial" w:cs="Arial"/>
          <w:sz w:val="22"/>
          <w:szCs w:val="22"/>
        </w:rPr>
        <w:t>]</w:t>
      </w:r>
      <w:r w:rsidR="003A280D">
        <w:rPr>
          <w:rFonts w:ascii="Arial" w:hAnsi="Arial" w:cs="Arial"/>
          <w:sz w:val="22"/>
          <w:szCs w:val="22"/>
        </w:rPr>
        <w:noBreakHyphen/>
      </w:r>
      <w:r w:rsidRPr="00E70252">
        <w:rPr>
          <w:rFonts w:ascii="Arial" w:hAnsi="Arial" w:cs="Arial"/>
          <w:sz w:val="22"/>
          <w:szCs w:val="22"/>
        </w:rPr>
        <w:t>ISG</w:t>
      </w:r>
      <w:r w:rsidR="00827D3A">
        <w:rPr>
          <w:rFonts w:ascii="Arial" w:hAnsi="Arial" w:cs="Arial"/>
          <w:sz w:val="22"/>
          <w:szCs w:val="22"/>
        </w:rPr>
        <w:noBreakHyphen/>
      </w:r>
      <w:r w:rsidRPr="00E70252">
        <w:rPr>
          <w:rFonts w:ascii="Arial" w:hAnsi="Arial" w:cs="Arial"/>
          <w:sz w:val="22"/>
          <w:szCs w:val="22"/>
        </w:rPr>
        <w:t>2022</w:t>
      </w:r>
      <w:r w:rsidR="00827D3A">
        <w:rPr>
          <w:rFonts w:ascii="Arial" w:hAnsi="Arial" w:cs="Arial"/>
          <w:sz w:val="22"/>
          <w:szCs w:val="22"/>
        </w:rPr>
        <w:noBreakHyphen/>
      </w:r>
      <w:r w:rsidRPr="00E70252">
        <w:rPr>
          <w:rFonts w:ascii="Arial" w:hAnsi="Arial" w:cs="Arial"/>
          <w:sz w:val="22"/>
          <w:szCs w:val="22"/>
        </w:rPr>
        <w:t>01; Advanced Reactor Content of Application Project ‘Review of Risk</w:t>
      </w:r>
      <w:r w:rsidR="003A280D">
        <w:rPr>
          <w:rFonts w:ascii="Arial" w:hAnsi="Arial" w:cs="Arial"/>
          <w:sz w:val="22"/>
          <w:szCs w:val="22"/>
        </w:rPr>
        <w:noBreakHyphen/>
      </w:r>
      <w:r w:rsidRPr="00E70252">
        <w:rPr>
          <w:rFonts w:ascii="Arial" w:hAnsi="Arial" w:cs="Arial"/>
          <w:sz w:val="22"/>
          <w:szCs w:val="22"/>
        </w:rPr>
        <w:t>Informed, Technology-Inclusive Advanced Reactor Applications-Roadmap’” (ML23277A148).</w:t>
      </w:r>
    </w:p>
    <w:p w:rsidR="00082819" w:rsidRPr="00E70252" w:rsidP="00E70252" w14:paraId="0390335E" w14:textId="77777777">
      <w:pPr>
        <w:spacing w:after="220"/>
        <w:rPr>
          <w:rFonts w:ascii="Arial" w:hAnsi="Arial" w:cs="Arial"/>
          <w:sz w:val="22"/>
          <w:szCs w:val="22"/>
        </w:rPr>
      </w:pPr>
      <w:r w:rsidRPr="00E70252">
        <w:rPr>
          <w:rFonts w:ascii="Arial" w:hAnsi="Arial" w:cs="Arial"/>
          <w:sz w:val="22"/>
          <w:szCs w:val="22"/>
        </w:rPr>
        <w:t xml:space="preserve">The NRC acknowledges the suggestion to revise the rule language from </w:t>
      </w:r>
      <w:r w:rsidR="003A280D">
        <w:rPr>
          <w:rFonts w:ascii="Arial" w:hAnsi="Arial" w:cs="Arial"/>
          <w:sz w:val="22"/>
          <w:szCs w:val="22"/>
        </w:rPr>
        <w:t>“</w:t>
      </w:r>
      <w:r w:rsidRPr="00E70252">
        <w:rPr>
          <w:rFonts w:ascii="Arial" w:hAnsi="Arial" w:cs="Arial"/>
          <w:sz w:val="22"/>
          <w:szCs w:val="22"/>
        </w:rPr>
        <w:t>generally accepted consensus codes and standards</w:t>
      </w:r>
      <w:r w:rsidR="003A280D">
        <w:rPr>
          <w:rFonts w:ascii="Arial" w:hAnsi="Arial" w:cs="Arial"/>
          <w:sz w:val="22"/>
          <w:szCs w:val="22"/>
        </w:rPr>
        <w:t>”</w:t>
      </w:r>
      <w:r w:rsidRPr="00E70252">
        <w:rPr>
          <w:rFonts w:ascii="Arial" w:hAnsi="Arial" w:cs="Arial"/>
          <w:sz w:val="22"/>
          <w:szCs w:val="22"/>
        </w:rPr>
        <w:t xml:space="preserve"> to </w:t>
      </w:r>
      <w:r w:rsidR="003A280D">
        <w:rPr>
          <w:rFonts w:ascii="Arial" w:hAnsi="Arial" w:cs="Arial"/>
          <w:sz w:val="22"/>
          <w:szCs w:val="22"/>
        </w:rPr>
        <w:t>“</w:t>
      </w:r>
      <w:r w:rsidRPr="00E70252">
        <w:rPr>
          <w:rFonts w:ascii="Arial" w:hAnsi="Arial" w:cs="Arial"/>
          <w:sz w:val="22"/>
          <w:szCs w:val="22"/>
        </w:rPr>
        <w:t>volunteer consensus standards</w:t>
      </w:r>
      <w:r w:rsidR="003A280D">
        <w:rPr>
          <w:rFonts w:ascii="Arial" w:hAnsi="Arial" w:cs="Arial"/>
          <w:sz w:val="22"/>
          <w:szCs w:val="22"/>
        </w:rPr>
        <w:t>”</w:t>
      </w:r>
      <w:r w:rsidRPr="00E70252">
        <w:rPr>
          <w:rFonts w:ascii="Arial" w:hAnsi="Arial" w:cs="Arial"/>
          <w:sz w:val="22"/>
          <w:szCs w:val="22"/>
        </w:rPr>
        <w:t xml:space="preserve"> but has not incorporated the change. The phrase </w:t>
      </w:r>
      <w:r w:rsidR="00865941">
        <w:rPr>
          <w:rFonts w:ascii="Arial" w:hAnsi="Arial" w:cs="Arial"/>
          <w:sz w:val="22"/>
          <w:szCs w:val="22"/>
        </w:rPr>
        <w:t>“</w:t>
      </w:r>
      <w:r w:rsidRPr="00E70252">
        <w:rPr>
          <w:rFonts w:ascii="Arial" w:hAnsi="Arial" w:cs="Arial"/>
          <w:sz w:val="22"/>
          <w:szCs w:val="22"/>
        </w:rPr>
        <w:t>generally accepted consensus codes and standards</w:t>
      </w:r>
      <w:r w:rsidR="00865941">
        <w:rPr>
          <w:rFonts w:ascii="Arial" w:hAnsi="Arial" w:cs="Arial"/>
          <w:sz w:val="22"/>
          <w:szCs w:val="22"/>
        </w:rPr>
        <w:t>”</w:t>
      </w:r>
      <w:r w:rsidRPr="00E70252">
        <w:rPr>
          <w:rFonts w:ascii="Arial" w:hAnsi="Arial" w:cs="Arial"/>
          <w:sz w:val="22"/>
          <w:szCs w:val="22"/>
        </w:rPr>
        <w:t xml:space="preserve"> has been maintained in recognition that codes and standards referenced in applications and possibly submitted to the NRC for endorsement may come from organizations other than recognized standards development organizations. The NRC did, however, remove the definition of “consensus code or standard” from 10</w:t>
      </w:r>
      <w:r w:rsidRPr="00E70252" w:rsidR="000466AB">
        <w:rPr>
          <w:rFonts w:ascii="Arial" w:hAnsi="Arial" w:cs="Arial"/>
          <w:sz w:val="22"/>
          <w:szCs w:val="22"/>
        </w:rPr>
        <w:t> </w:t>
      </w:r>
      <w:r w:rsidRPr="00E70252">
        <w:rPr>
          <w:rFonts w:ascii="Arial" w:hAnsi="Arial" w:cs="Arial"/>
          <w:sz w:val="22"/>
          <w:szCs w:val="22"/>
        </w:rPr>
        <w:t>CFR</w:t>
      </w:r>
      <w:r w:rsidRPr="00E70252" w:rsidR="000466AB">
        <w:rPr>
          <w:rFonts w:ascii="Arial" w:hAnsi="Arial" w:cs="Arial"/>
          <w:sz w:val="22"/>
          <w:szCs w:val="22"/>
        </w:rPr>
        <w:t> </w:t>
      </w:r>
      <w:r w:rsidRPr="00E70252">
        <w:rPr>
          <w:rFonts w:ascii="Arial" w:hAnsi="Arial" w:cs="Arial"/>
          <w:sz w:val="22"/>
          <w:szCs w:val="22"/>
        </w:rPr>
        <w:t xml:space="preserve">53.020 </w:t>
      </w:r>
      <w:r w:rsidRPr="00E70252" w:rsidR="001F0686">
        <w:rPr>
          <w:rFonts w:ascii="Arial" w:hAnsi="Arial" w:cs="Arial"/>
          <w:sz w:val="22"/>
          <w:szCs w:val="22"/>
        </w:rPr>
        <w:t xml:space="preserve">(see response to Comment Bin </w:t>
      </w:r>
      <w:r w:rsidRPr="00E70252" w:rsidR="00997246">
        <w:rPr>
          <w:rFonts w:ascii="Arial" w:hAnsi="Arial" w:cs="Arial"/>
          <w:sz w:val="22"/>
          <w:szCs w:val="22"/>
        </w:rPr>
        <w:t xml:space="preserve">3.1.1.C) </w:t>
      </w:r>
      <w:r w:rsidRPr="00E70252">
        <w:rPr>
          <w:rFonts w:ascii="Arial" w:hAnsi="Arial" w:cs="Arial"/>
          <w:sz w:val="22"/>
          <w:szCs w:val="22"/>
        </w:rPr>
        <w:t>to remove some conflicting language within the regulations.</w:t>
      </w:r>
    </w:p>
    <w:p w:rsidR="00082819" w:rsidRPr="00E70252" w:rsidP="00E70252" w14:paraId="4E0F5678" w14:textId="77777777">
      <w:pPr>
        <w:spacing w:after="220"/>
        <w:rPr>
          <w:rFonts w:ascii="Arial" w:hAnsi="Arial" w:cs="Arial"/>
          <w:sz w:val="22"/>
          <w:szCs w:val="22"/>
        </w:rPr>
      </w:pPr>
      <w:r w:rsidRPr="00E70252">
        <w:rPr>
          <w:rFonts w:ascii="Arial" w:hAnsi="Arial" w:cs="Arial"/>
          <w:sz w:val="22"/>
          <w:szCs w:val="22"/>
        </w:rPr>
        <w:t>Finally, the NRC observes that guidance documents, such as those that endorse industry codes and standards, are a well-established part of the regulatory process. Requiring use of codes and standards that the NRC has endorsed or found acceptable does not conflict with NEIMA’s direction to use such codes and standards. NRC review of consensus codes and standards can be requested independent</w:t>
      </w:r>
      <w:r w:rsidR="008D2C98">
        <w:rPr>
          <w:rFonts w:ascii="Arial" w:hAnsi="Arial" w:cs="Arial"/>
          <w:sz w:val="22"/>
          <w:szCs w:val="22"/>
        </w:rPr>
        <w:t>ly</w:t>
      </w:r>
      <w:r w:rsidRPr="00E70252">
        <w:rPr>
          <w:rFonts w:ascii="Arial" w:hAnsi="Arial" w:cs="Arial"/>
          <w:sz w:val="22"/>
          <w:szCs w:val="22"/>
        </w:rPr>
        <w:t xml:space="preserve"> from and on an individual basis outside of an application review via mechanisms like the Topical Report review process. </w:t>
      </w:r>
    </w:p>
    <w:p w:rsidR="00252733" w:rsidRPr="00E70252" w:rsidP="00E70252" w14:paraId="3D7511B6" w14:textId="77777777">
      <w:pPr>
        <w:spacing w:after="220"/>
        <w:rPr>
          <w:rFonts w:ascii="Arial" w:hAnsi="Arial" w:cs="Arial"/>
          <w:sz w:val="22"/>
          <w:szCs w:val="22"/>
        </w:rPr>
      </w:pPr>
      <w:r w:rsidRPr="00E70252">
        <w:rPr>
          <w:rFonts w:ascii="Arial" w:eastAsia="DengXian" w:hAnsi="Arial" w:cs="Arial"/>
          <w:sz w:val="22"/>
          <w:szCs w:val="22"/>
        </w:rPr>
        <w:t xml:space="preserve">Accordingly, the NRC </w:t>
      </w:r>
      <w:r w:rsidR="0090500F">
        <w:rPr>
          <w:rFonts w:ascii="Arial" w:eastAsia="DengXian" w:hAnsi="Arial" w:cs="Arial"/>
          <w:sz w:val="22"/>
          <w:szCs w:val="22"/>
        </w:rPr>
        <w:t>revised</w:t>
      </w:r>
      <w:r w:rsidR="00E0032D">
        <w:rPr>
          <w:rFonts w:ascii="Arial" w:eastAsia="DengXian" w:hAnsi="Arial" w:cs="Arial"/>
          <w:sz w:val="22"/>
          <w:szCs w:val="22"/>
        </w:rPr>
        <w:t xml:space="preserve"> the rule language in response to this comment. Specifically, the NRC </w:t>
      </w:r>
      <w:r w:rsidR="0090500F">
        <w:rPr>
          <w:rFonts w:ascii="Arial" w:eastAsia="DengXian" w:hAnsi="Arial" w:cs="Arial"/>
          <w:sz w:val="22"/>
          <w:szCs w:val="22"/>
        </w:rPr>
        <w:t>revised</w:t>
      </w:r>
      <w:r w:rsidRPr="00E70252">
        <w:rPr>
          <w:rFonts w:ascii="Arial" w:eastAsia="DengXian" w:hAnsi="Arial" w:cs="Arial"/>
          <w:sz w:val="22"/>
          <w:szCs w:val="22"/>
        </w:rPr>
        <w:t xml:space="preserve"> the requirement in 10 CFR 53.440(b) to specifically apply to SSCs classified as SR and also removed the definition of “consensus code and standar</w:t>
      </w:r>
      <w:r w:rsidR="00E0032D">
        <w:rPr>
          <w:rFonts w:ascii="Arial" w:eastAsia="DengXian" w:hAnsi="Arial" w:cs="Arial"/>
          <w:sz w:val="22"/>
          <w:szCs w:val="22"/>
        </w:rPr>
        <w:t>d</w:t>
      </w:r>
      <w:r w:rsidRPr="00E70252">
        <w:rPr>
          <w:rFonts w:ascii="Arial" w:eastAsia="DengXian" w:hAnsi="Arial" w:cs="Arial"/>
          <w:sz w:val="22"/>
          <w:szCs w:val="22"/>
        </w:rPr>
        <w:t>.</w:t>
      </w:r>
      <w:r w:rsidR="00E0032D">
        <w:rPr>
          <w:rFonts w:ascii="Arial" w:eastAsia="DengXian" w:hAnsi="Arial" w:cs="Arial"/>
          <w:sz w:val="22"/>
          <w:szCs w:val="22"/>
        </w:rPr>
        <w:t>”</w:t>
      </w:r>
    </w:p>
    <w:p w:rsidR="000F3D5B" w:rsidRPr="00E70252" w:rsidP="00E70252" w14:paraId="4F353DF8" w14:textId="77777777">
      <w:pPr>
        <w:spacing w:after="220"/>
        <w:rPr>
          <w:rFonts w:ascii="Arial" w:hAnsi="Arial" w:cs="Arial"/>
          <w:sz w:val="22"/>
          <w:szCs w:val="22"/>
        </w:rPr>
      </w:pPr>
      <w:r>
        <w:rPr>
          <w:rFonts w:ascii="Arial" w:eastAsia="Times New Roman" w:hAnsi="Arial" w:cs="Arial"/>
          <w:sz w:val="22"/>
          <w:szCs w:val="22"/>
          <w:lang w:eastAsia="zh-CN"/>
        </w:rPr>
        <w:pict>
          <v:rect id="_x0000_i1107" style="width:0;height:1.5pt" o:hralign="center" o:hrstd="t" o:hrnoshade="t" o:hr="t" fillcolor="black" stroked="f"/>
        </w:pict>
      </w:r>
    </w:p>
    <w:p w:rsidR="00602234" w:rsidRPr="00E70252" w:rsidP="00E70252" w14:paraId="48973E8A" w14:textId="77777777">
      <w:pPr>
        <w:spacing w:after="220"/>
        <w:rPr>
          <w:rFonts w:ascii="Arial" w:eastAsia="Aptos" w:hAnsi="Arial" w:cs="Arial"/>
          <w:sz w:val="22"/>
          <w:szCs w:val="22"/>
        </w:rPr>
      </w:pPr>
      <w:r w:rsidRPr="00E70252">
        <w:rPr>
          <w:rFonts w:ascii="Arial" w:hAnsi="Arial" w:cs="Arial"/>
          <w:b/>
          <w:sz w:val="22"/>
          <w:szCs w:val="22"/>
        </w:rPr>
        <w:t>Comment Bin 3.3.2.1.</w:t>
      </w:r>
      <w:r w:rsidRPr="00E70252" w:rsidR="00CC2598">
        <w:rPr>
          <w:rFonts w:ascii="Arial" w:hAnsi="Arial" w:cs="Arial"/>
          <w:b/>
          <w:sz w:val="22"/>
          <w:szCs w:val="22"/>
        </w:rPr>
        <w:t>B</w:t>
      </w:r>
      <w:r w:rsidRPr="00E70252">
        <w:rPr>
          <w:rFonts w:ascii="Arial" w:hAnsi="Arial" w:cs="Arial"/>
          <w:b/>
          <w:sz w:val="22"/>
          <w:szCs w:val="22"/>
        </w:rPr>
        <w:t>:</w:t>
      </w:r>
      <w:r w:rsidRPr="00E70252">
        <w:rPr>
          <w:rFonts w:ascii="Arial" w:hAnsi="Arial" w:cs="Arial"/>
          <w:sz w:val="22"/>
          <w:szCs w:val="22"/>
        </w:rPr>
        <w:t xml:space="preserve"> </w:t>
      </w:r>
      <w:r w:rsidRPr="00E70252">
        <w:rPr>
          <w:rFonts w:ascii="Arial" w:eastAsia="Aptos" w:hAnsi="Arial" w:cs="Arial"/>
          <w:sz w:val="22"/>
          <w:szCs w:val="22"/>
        </w:rPr>
        <w:t xml:space="preserve">A few commenters expressed concern about language in 10 CFR Part 53 that suggests requirements traditionally limited to SR SSCs or a subset of </w:t>
      </w:r>
      <w:r w:rsidR="00865941">
        <w:rPr>
          <w:rFonts w:ascii="Arial" w:eastAsia="Aptos" w:hAnsi="Arial" w:cs="Arial"/>
          <w:sz w:val="22"/>
          <w:szCs w:val="22"/>
        </w:rPr>
        <w:t>“</w:t>
      </w:r>
      <w:r w:rsidRPr="00E70252">
        <w:rPr>
          <w:rFonts w:ascii="Arial" w:eastAsia="Aptos" w:hAnsi="Arial" w:cs="Arial"/>
          <w:sz w:val="22"/>
          <w:szCs w:val="22"/>
        </w:rPr>
        <w:t>important to safety</w:t>
      </w:r>
      <w:r w:rsidR="00865941">
        <w:rPr>
          <w:rFonts w:ascii="Arial" w:eastAsia="Aptos" w:hAnsi="Arial" w:cs="Arial"/>
          <w:sz w:val="22"/>
          <w:szCs w:val="22"/>
        </w:rPr>
        <w:t>”</w:t>
      </w:r>
      <w:r w:rsidRPr="00E70252">
        <w:rPr>
          <w:rFonts w:ascii="Arial" w:eastAsia="Aptos" w:hAnsi="Arial" w:cs="Arial"/>
          <w:sz w:val="22"/>
          <w:szCs w:val="22"/>
        </w:rPr>
        <w:t xml:space="preserve"> SSCs under 10 CFR Part 50 and </w:t>
      </w:r>
      <w:r w:rsidR="00787F6F">
        <w:rPr>
          <w:rFonts w:ascii="Arial" w:eastAsia="Aptos" w:hAnsi="Arial" w:cs="Arial"/>
          <w:sz w:val="22"/>
          <w:szCs w:val="22"/>
        </w:rPr>
        <w:t xml:space="preserve">10 CFR </w:t>
      </w:r>
      <w:r w:rsidR="000E1E6C">
        <w:rPr>
          <w:rFonts w:ascii="Arial" w:eastAsia="Aptos" w:hAnsi="Arial" w:cs="Arial"/>
          <w:sz w:val="22"/>
          <w:szCs w:val="22"/>
        </w:rPr>
        <w:t xml:space="preserve">Part </w:t>
      </w:r>
      <w:r w:rsidRPr="00E70252">
        <w:rPr>
          <w:rFonts w:ascii="Arial" w:eastAsia="Aptos" w:hAnsi="Arial" w:cs="Arial"/>
          <w:sz w:val="22"/>
          <w:szCs w:val="22"/>
        </w:rPr>
        <w:t>52 are being placed on all NSRSS SSCs under 10 CFR Part 53 (</w:t>
      </w:r>
      <w:r w:rsidR="009D6BB9">
        <w:rPr>
          <w:rFonts w:ascii="Arial" w:eastAsia="Aptos" w:hAnsi="Arial" w:cs="Arial"/>
          <w:sz w:val="22"/>
          <w:szCs w:val="22"/>
        </w:rPr>
        <w:t>NEI2</w:t>
      </w:r>
      <w:r w:rsidRPr="00E70252">
        <w:rPr>
          <w:rFonts w:ascii="Arial" w:eastAsia="Aptos" w:hAnsi="Arial" w:cs="Arial"/>
          <w:sz w:val="22"/>
          <w:szCs w:val="22"/>
        </w:rPr>
        <w:t>-0005</w:t>
      </w:r>
      <w:r w:rsidR="00E005BC">
        <w:rPr>
          <w:rFonts w:ascii="Arial" w:eastAsia="Aptos" w:hAnsi="Arial" w:cs="Arial"/>
          <w:sz w:val="22"/>
          <w:szCs w:val="22"/>
        </w:rPr>
        <w:t>,</w:t>
      </w:r>
      <w:r w:rsidRPr="00E70252">
        <w:rPr>
          <w:rFonts w:ascii="Arial" w:eastAsia="Aptos" w:hAnsi="Arial" w:cs="Arial"/>
          <w:sz w:val="22"/>
          <w:szCs w:val="22"/>
        </w:rPr>
        <w:t xml:space="preserve"> </w:t>
      </w:r>
      <w:r w:rsidR="009D6BB9">
        <w:rPr>
          <w:rFonts w:ascii="Arial" w:eastAsia="Aptos" w:hAnsi="Arial" w:cs="Arial"/>
          <w:sz w:val="22"/>
          <w:szCs w:val="22"/>
        </w:rPr>
        <w:t>NEI2</w:t>
      </w:r>
      <w:r w:rsidRPr="00E70252">
        <w:rPr>
          <w:rFonts w:ascii="Arial" w:eastAsia="Aptos" w:hAnsi="Arial" w:cs="Arial"/>
          <w:sz w:val="22"/>
          <w:szCs w:val="22"/>
        </w:rPr>
        <w:t xml:space="preserve">-0182, </w:t>
      </w:r>
      <w:r w:rsidR="006912EB">
        <w:rPr>
          <w:rFonts w:ascii="Arial" w:eastAsia="Aptos" w:hAnsi="Arial" w:cs="Arial"/>
          <w:sz w:val="22"/>
          <w:szCs w:val="22"/>
        </w:rPr>
        <w:t>NEX</w:t>
      </w:r>
      <w:r w:rsidRPr="00E70252">
        <w:rPr>
          <w:rFonts w:ascii="Arial" w:eastAsia="Aptos" w:hAnsi="Arial" w:cs="Arial"/>
          <w:sz w:val="22"/>
          <w:szCs w:val="22"/>
        </w:rPr>
        <w:t xml:space="preserve">-0012, </w:t>
      </w:r>
      <w:r w:rsidR="00AE0B17">
        <w:rPr>
          <w:rFonts w:ascii="Arial" w:eastAsia="Aptos" w:hAnsi="Arial" w:cs="Arial"/>
          <w:sz w:val="22"/>
          <w:szCs w:val="22"/>
        </w:rPr>
        <w:t>USNIC2</w:t>
      </w:r>
      <w:r w:rsidRPr="00E70252">
        <w:rPr>
          <w:rFonts w:ascii="Arial" w:eastAsia="Aptos" w:hAnsi="Arial" w:cs="Arial"/>
          <w:sz w:val="22"/>
          <w:szCs w:val="22"/>
        </w:rPr>
        <w:t>-0004).</w:t>
      </w:r>
    </w:p>
    <w:p w:rsidR="00716C68" w:rsidRPr="00E70252" w:rsidP="00E70252" w14:paraId="6D47201A" w14:textId="77777777">
      <w:pPr>
        <w:spacing w:after="220"/>
        <w:rPr>
          <w:rFonts w:ascii="Arial" w:eastAsia="Aptos" w:hAnsi="Arial" w:cs="Arial"/>
          <w:sz w:val="22"/>
          <w:szCs w:val="22"/>
        </w:rPr>
      </w:pPr>
      <w:r w:rsidRPr="00E70252">
        <w:rPr>
          <w:rFonts w:ascii="Arial" w:eastAsia="Aptos" w:hAnsi="Arial" w:cs="Arial"/>
          <w:sz w:val="22"/>
          <w:szCs w:val="22"/>
        </w:rPr>
        <w:t>A commenter stated this includes requirements in 10 CFR 53.440(e) and 10 CFR 53.875(b) related to fire protection, 10 CFR 53.440(c) and (d) related to environmental qualifications, 10</w:t>
      </w:r>
      <w:r w:rsidRPr="00E70252" w:rsidR="008036D4">
        <w:rPr>
          <w:rFonts w:ascii="Arial" w:eastAsia="Aptos" w:hAnsi="Arial" w:cs="Arial"/>
          <w:sz w:val="22"/>
          <w:szCs w:val="22"/>
        </w:rPr>
        <w:t> </w:t>
      </w:r>
      <w:r w:rsidRPr="00E70252">
        <w:rPr>
          <w:rFonts w:ascii="Arial" w:eastAsia="Aptos" w:hAnsi="Arial" w:cs="Arial"/>
          <w:sz w:val="22"/>
          <w:szCs w:val="22"/>
        </w:rPr>
        <w:t>CFR 53.440(b) related to codes and standards, and 10</w:t>
      </w:r>
      <w:r w:rsidRPr="00E70252" w:rsidR="00C81C98">
        <w:rPr>
          <w:rFonts w:ascii="Arial" w:eastAsia="Aptos" w:hAnsi="Arial" w:cs="Arial"/>
          <w:sz w:val="22"/>
          <w:szCs w:val="22"/>
        </w:rPr>
        <w:t> </w:t>
      </w:r>
      <w:r w:rsidRPr="00E70252">
        <w:rPr>
          <w:rFonts w:ascii="Arial" w:eastAsia="Aptos" w:hAnsi="Arial" w:cs="Arial"/>
          <w:sz w:val="22"/>
          <w:szCs w:val="22"/>
        </w:rPr>
        <w:t>CFR 53.480 related to equipment qualifications</w:t>
      </w:r>
      <w:r w:rsidRPr="00E70252" w:rsidR="00F26858">
        <w:rPr>
          <w:rFonts w:ascii="Arial" w:eastAsia="Aptos" w:hAnsi="Arial" w:cs="Arial"/>
          <w:sz w:val="22"/>
          <w:szCs w:val="22"/>
        </w:rPr>
        <w:t xml:space="preserve"> </w:t>
      </w:r>
      <w:r w:rsidRPr="00E70252" w:rsidR="00F26858">
        <w:rPr>
          <w:rFonts w:ascii="Arial" w:eastAsia="Times New Roman" w:hAnsi="Arial" w:cs="Arial"/>
          <w:sz w:val="22"/>
          <w:szCs w:val="22"/>
        </w:rPr>
        <w:t>(</w:t>
      </w:r>
      <w:r w:rsidR="009D6BB9">
        <w:rPr>
          <w:rFonts w:ascii="Arial" w:eastAsia="Aptos" w:hAnsi="Arial" w:cs="Arial"/>
          <w:sz w:val="22"/>
          <w:szCs w:val="22"/>
        </w:rPr>
        <w:t>NEI2</w:t>
      </w:r>
      <w:r w:rsidRPr="00E70252" w:rsidR="00F26858">
        <w:rPr>
          <w:rFonts w:ascii="Arial" w:eastAsia="Aptos" w:hAnsi="Arial" w:cs="Arial"/>
          <w:sz w:val="22"/>
          <w:szCs w:val="22"/>
        </w:rPr>
        <w:t>-0005</w:t>
      </w:r>
      <w:r w:rsidR="00E005BC">
        <w:rPr>
          <w:rFonts w:ascii="Arial" w:eastAsia="Aptos" w:hAnsi="Arial" w:cs="Arial"/>
          <w:sz w:val="22"/>
          <w:szCs w:val="22"/>
        </w:rPr>
        <w:t>,</w:t>
      </w:r>
      <w:r w:rsidRPr="00E70252" w:rsidR="00F26858">
        <w:rPr>
          <w:rFonts w:ascii="Arial" w:eastAsia="Aptos" w:hAnsi="Arial" w:cs="Arial"/>
          <w:sz w:val="22"/>
          <w:szCs w:val="22"/>
        </w:rPr>
        <w:t xml:space="preserve"> </w:t>
      </w:r>
      <w:r w:rsidR="009D6BB9">
        <w:rPr>
          <w:rFonts w:ascii="Arial" w:eastAsia="Aptos" w:hAnsi="Arial" w:cs="Arial"/>
          <w:sz w:val="22"/>
          <w:szCs w:val="22"/>
        </w:rPr>
        <w:t>NEI2</w:t>
      </w:r>
      <w:r w:rsidRPr="00E70252" w:rsidR="00F26858">
        <w:rPr>
          <w:rFonts w:ascii="Arial" w:eastAsia="Aptos" w:hAnsi="Arial" w:cs="Arial"/>
          <w:sz w:val="22"/>
          <w:szCs w:val="22"/>
        </w:rPr>
        <w:t>-0182)</w:t>
      </w:r>
      <w:r w:rsidRPr="00E70252">
        <w:rPr>
          <w:rFonts w:ascii="Arial" w:eastAsia="Aptos" w:hAnsi="Arial" w:cs="Arial"/>
          <w:sz w:val="22"/>
          <w:szCs w:val="22"/>
        </w:rPr>
        <w:t>.</w:t>
      </w:r>
    </w:p>
    <w:p w:rsidR="00716C68" w:rsidRPr="00E70252" w:rsidP="00E70252" w14:paraId="5CA77BD5" w14:textId="77777777">
      <w:pPr>
        <w:spacing w:after="220"/>
        <w:rPr>
          <w:rFonts w:ascii="Arial" w:eastAsia="Aptos" w:hAnsi="Arial" w:cs="Arial"/>
          <w:sz w:val="22"/>
          <w:szCs w:val="22"/>
        </w:rPr>
      </w:pPr>
      <w:r w:rsidRPr="00E70252">
        <w:rPr>
          <w:rFonts w:ascii="Arial" w:eastAsia="Times New Roman" w:hAnsi="Arial" w:cs="Arial"/>
          <w:sz w:val="22"/>
          <w:szCs w:val="22"/>
        </w:rPr>
        <w:t>A commenter suggested that, should the NRC not adopt their suggestion to delete most of the requirements from the section, the NRC should l</w:t>
      </w:r>
      <w:r w:rsidRPr="00E70252">
        <w:rPr>
          <w:rFonts w:ascii="Arial" w:eastAsia="Aptos" w:hAnsi="Arial" w:cs="Arial"/>
          <w:sz w:val="22"/>
          <w:szCs w:val="22"/>
        </w:rPr>
        <w:t>imit the scope of 10 CFR 53.440(e) to SR SSCs, consistent with the guidance in RG 1.189</w:t>
      </w:r>
      <w:r w:rsidR="00745E37">
        <w:rPr>
          <w:rFonts w:ascii="Arial" w:eastAsia="Aptos" w:hAnsi="Arial" w:cs="Arial"/>
          <w:sz w:val="22"/>
          <w:szCs w:val="22"/>
        </w:rPr>
        <w:t>, Rev. 4, “</w:t>
      </w:r>
      <w:r w:rsidR="000A3743">
        <w:rPr>
          <w:rFonts w:ascii="Arial" w:eastAsia="Aptos" w:hAnsi="Arial" w:cs="Arial"/>
          <w:sz w:val="22"/>
          <w:szCs w:val="22"/>
        </w:rPr>
        <w:t>Fire Protection for Nuclear Power Plants,” issued May 2021 (</w:t>
      </w:r>
      <w:r w:rsidRPr="000A3743" w:rsidR="000A3743">
        <w:rPr>
          <w:rFonts w:ascii="Arial" w:eastAsia="Aptos" w:hAnsi="Arial" w:cs="Arial"/>
          <w:sz w:val="22"/>
          <w:szCs w:val="22"/>
        </w:rPr>
        <w:t>ML21048A441</w:t>
      </w:r>
      <w:r w:rsidR="000A3743">
        <w:rPr>
          <w:rFonts w:ascii="Arial" w:eastAsia="Aptos" w:hAnsi="Arial" w:cs="Arial"/>
          <w:sz w:val="22"/>
          <w:szCs w:val="22"/>
        </w:rPr>
        <w:t>)</w:t>
      </w:r>
      <w:r w:rsidRPr="00E70252">
        <w:rPr>
          <w:rFonts w:ascii="Arial" w:eastAsia="Aptos" w:hAnsi="Arial" w:cs="Arial"/>
          <w:sz w:val="22"/>
          <w:szCs w:val="22"/>
        </w:rPr>
        <w:t xml:space="preserve"> for safe shutdown equipment, specifically by deleting the words “and NSRSS” throughout. The commenter reasoned that while requirements for NSRSS SSCs may flow from the risk assessment and design process, paragraph 10 CFR 53.440(e) should not be a blanket requirement for all NSRSS SSCs (</w:t>
      </w:r>
      <w:r w:rsidR="009D6BB9">
        <w:rPr>
          <w:rFonts w:ascii="Arial" w:eastAsia="Aptos" w:hAnsi="Arial" w:cs="Arial"/>
          <w:sz w:val="22"/>
          <w:szCs w:val="22"/>
        </w:rPr>
        <w:t>NEI2</w:t>
      </w:r>
      <w:r w:rsidRPr="00E70252">
        <w:rPr>
          <w:rFonts w:ascii="Arial" w:eastAsia="Aptos" w:hAnsi="Arial" w:cs="Arial"/>
          <w:sz w:val="22"/>
          <w:szCs w:val="22"/>
        </w:rPr>
        <w:t>-0050).</w:t>
      </w:r>
    </w:p>
    <w:p w:rsidR="005C74B1" w:rsidRPr="00E70252" w:rsidP="00E70252" w14:paraId="204673EC" w14:textId="77777777">
      <w:pPr>
        <w:spacing w:after="220"/>
        <w:rPr>
          <w:rFonts w:ascii="Arial" w:eastAsia="Aptos" w:hAnsi="Arial" w:cs="Arial"/>
          <w:sz w:val="22"/>
          <w:szCs w:val="22"/>
        </w:rPr>
      </w:pPr>
      <w:r w:rsidRPr="00E70252">
        <w:rPr>
          <w:rFonts w:ascii="Arial" w:eastAsia="Times New Roman" w:hAnsi="Arial" w:cs="Arial"/>
          <w:sz w:val="22"/>
          <w:szCs w:val="22"/>
        </w:rPr>
        <w:t>A commenter suggested reducing requirements for non-safety</w:t>
      </w:r>
      <w:r w:rsidR="00C616F5">
        <w:rPr>
          <w:rFonts w:ascii="Arial" w:eastAsia="Times New Roman" w:hAnsi="Arial" w:cs="Arial"/>
          <w:sz w:val="22"/>
          <w:szCs w:val="22"/>
        </w:rPr>
        <w:noBreakHyphen/>
      </w:r>
      <w:r w:rsidRPr="00E70252">
        <w:rPr>
          <w:rFonts w:ascii="Arial" w:eastAsia="Times New Roman" w:hAnsi="Arial" w:cs="Arial"/>
          <w:sz w:val="22"/>
          <w:szCs w:val="22"/>
        </w:rPr>
        <w:t>related with special treatment (NSR-ST) SSCs when such classification is due solely to ensuring defense in depth adequacy (</w:t>
      </w:r>
      <w:r w:rsidR="00E36F7E">
        <w:rPr>
          <w:rFonts w:ascii="Arial" w:eastAsia="Aptos" w:hAnsi="Arial" w:cs="Arial"/>
          <w:sz w:val="22"/>
          <w:szCs w:val="22"/>
        </w:rPr>
        <w:t>ENW</w:t>
      </w:r>
      <w:r w:rsidRPr="00E70252">
        <w:rPr>
          <w:rFonts w:ascii="Arial" w:eastAsia="Aptos" w:hAnsi="Arial" w:cs="Arial"/>
          <w:sz w:val="22"/>
          <w:szCs w:val="22"/>
        </w:rPr>
        <w:t>-0002).</w:t>
      </w:r>
    </w:p>
    <w:p w:rsidR="005C74B1" w:rsidP="005C4749" w14:paraId="49D9DA88" w14:textId="77777777">
      <w:pPr>
        <w:spacing w:after="220"/>
        <w:rPr>
          <w:rFonts w:ascii="Arial" w:hAnsi="Arial" w:cs="Arial"/>
          <w:sz w:val="22"/>
          <w:szCs w:val="22"/>
        </w:rPr>
      </w:pPr>
      <w:r w:rsidRPr="00E70252">
        <w:rPr>
          <w:rFonts w:ascii="Arial" w:hAnsi="Arial" w:cs="Arial"/>
          <w:b/>
          <w:sz w:val="22"/>
          <w:szCs w:val="22"/>
        </w:rPr>
        <w:t>NRC Response:</w:t>
      </w:r>
      <w:r w:rsidRPr="00E70252">
        <w:rPr>
          <w:rFonts w:ascii="Arial" w:hAnsi="Arial" w:cs="Arial"/>
          <w:sz w:val="22"/>
          <w:szCs w:val="22"/>
        </w:rPr>
        <w:t> </w:t>
      </w:r>
      <w:r w:rsidRPr="00AA265D">
        <w:rPr>
          <w:rFonts w:ascii="Arial" w:hAnsi="Arial" w:cs="Arial"/>
          <w:sz w:val="22"/>
          <w:szCs w:val="22"/>
        </w:rPr>
        <w:t>The NRC agrees, in part, with the comment</w:t>
      </w:r>
      <w:r w:rsidRPr="00AA265D" w:rsidR="00AE19F7">
        <w:rPr>
          <w:rFonts w:ascii="Arial" w:hAnsi="Arial" w:cs="Arial"/>
          <w:sz w:val="22"/>
          <w:szCs w:val="22"/>
        </w:rPr>
        <w:t>s</w:t>
      </w:r>
      <w:r w:rsidRPr="00AA265D">
        <w:rPr>
          <w:rFonts w:ascii="Arial" w:hAnsi="Arial" w:cs="Arial"/>
          <w:sz w:val="22"/>
          <w:szCs w:val="22"/>
        </w:rPr>
        <w:t>.</w:t>
      </w:r>
    </w:p>
    <w:p w:rsidR="005C74B1" w:rsidRPr="00AA265D" w:rsidP="005C4749" w14:paraId="45A17D48" w14:textId="77777777">
      <w:pPr>
        <w:spacing w:after="220"/>
        <w:rPr>
          <w:rFonts w:ascii="Arial" w:hAnsi="Arial" w:cs="Arial"/>
          <w:sz w:val="22"/>
          <w:szCs w:val="22"/>
        </w:rPr>
      </w:pPr>
      <w:r w:rsidRPr="00AA265D">
        <w:rPr>
          <w:rFonts w:ascii="Arial" w:hAnsi="Arial" w:cs="Arial"/>
          <w:sz w:val="22"/>
          <w:szCs w:val="22"/>
        </w:rPr>
        <w:t xml:space="preserve">Regarding 10 CFR 53.440(b), see the </w:t>
      </w:r>
      <w:r w:rsidR="007B7F66">
        <w:rPr>
          <w:rFonts w:ascii="Arial" w:hAnsi="Arial" w:cs="Arial"/>
          <w:sz w:val="22"/>
          <w:szCs w:val="22"/>
        </w:rPr>
        <w:t xml:space="preserve">NRC’s </w:t>
      </w:r>
      <w:r w:rsidRPr="00AA265D">
        <w:rPr>
          <w:rFonts w:ascii="Arial" w:hAnsi="Arial" w:cs="Arial"/>
          <w:sz w:val="22"/>
          <w:szCs w:val="22"/>
        </w:rPr>
        <w:t xml:space="preserve">response to Comment </w:t>
      </w:r>
      <w:r w:rsidRPr="00AA265D" w:rsidR="00BF6C08">
        <w:rPr>
          <w:rFonts w:ascii="Arial" w:hAnsi="Arial" w:cs="Arial"/>
          <w:sz w:val="22"/>
          <w:szCs w:val="22"/>
        </w:rPr>
        <w:t>Bin 3.3.2.1.A</w:t>
      </w:r>
      <w:r w:rsidRPr="00AA265D">
        <w:rPr>
          <w:rFonts w:ascii="Arial" w:hAnsi="Arial" w:cs="Arial"/>
          <w:sz w:val="22"/>
          <w:szCs w:val="22"/>
        </w:rPr>
        <w:t>, which describes changes made to this paragraph in the final rule.</w:t>
      </w:r>
    </w:p>
    <w:p w:rsidR="005C74B1" w:rsidRPr="00AA265D" w:rsidP="005C4749" w14:paraId="5F4FFFE2" w14:textId="77777777">
      <w:pPr>
        <w:spacing w:after="220"/>
        <w:rPr>
          <w:rFonts w:ascii="Arial" w:hAnsi="Arial" w:cs="Arial"/>
          <w:sz w:val="22"/>
          <w:szCs w:val="22"/>
        </w:rPr>
      </w:pPr>
      <w:r w:rsidRPr="00AA265D">
        <w:rPr>
          <w:rFonts w:ascii="Arial" w:hAnsi="Arial" w:cs="Arial"/>
          <w:sz w:val="22"/>
          <w:szCs w:val="22"/>
        </w:rPr>
        <w:t xml:space="preserve">Regarding those parts of the comment related to 10 CFR 53.440(c), see the </w:t>
      </w:r>
      <w:r w:rsidR="007B7F66">
        <w:rPr>
          <w:rFonts w:ascii="Arial" w:hAnsi="Arial" w:cs="Arial"/>
          <w:sz w:val="22"/>
          <w:szCs w:val="22"/>
        </w:rPr>
        <w:t xml:space="preserve">NRC’s </w:t>
      </w:r>
      <w:r w:rsidRPr="00AA265D">
        <w:rPr>
          <w:rFonts w:ascii="Arial" w:hAnsi="Arial" w:cs="Arial"/>
          <w:sz w:val="22"/>
          <w:szCs w:val="22"/>
        </w:rPr>
        <w:t xml:space="preserve">response to </w:t>
      </w:r>
      <w:r w:rsidRPr="00AA265D" w:rsidR="00BB1343">
        <w:rPr>
          <w:rFonts w:ascii="Arial" w:hAnsi="Arial" w:cs="Arial"/>
          <w:sz w:val="22"/>
          <w:szCs w:val="22"/>
        </w:rPr>
        <w:t>Comment Bin 3.3.2.1.E</w:t>
      </w:r>
      <w:r w:rsidRPr="00AA265D">
        <w:rPr>
          <w:rFonts w:ascii="Arial" w:hAnsi="Arial" w:cs="Arial"/>
          <w:sz w:val="22"/>
          <w:szCs w:val="22"/>
        </w:rPr>
        <w:t>, which describes changes made to this paragraph in the final rule.</w:t>
      </w:r>
    </w:p>
    <w:p w:rsidR="005C74B1" w:rsidRPr="00AA265D" w:rsidP="005C4749" w14:paraId="1B185AF1" w14:textId="77777777">
      <w:pPr>
        <w:spacing w:after="220"/>
        <w:rPr>
          <w:rFonts w:ascii="Arial" w:hAnsi="Arial" w:cs="Arial"/>
          <w:sz w:val="22"/>
          <w:szCs w:val="22"/>
        </w:rPr>
      </w:pPr>
      <w:r w:rsidRPr="00AA265D">
        <w:rPr>
          <w:rFonts w:ascii="Arial" w:hAnsi="Arial" w:cs="Arial"/>
          <w:sz w:val="22"/>
          <w:szCs w:val="22"/>
        </w:rPr>
        <w:t xml:space="preserve">Regarding those parts of the comment related to 10 CFR 53.440(d), see the </w:t>
      </w:r>
      <w:r w:rsidR="007B7F66">
        <w:rPr>
          <w:rFonts w:ascii="Arial" w:hAnsi="Arial" w:cs="Arial"/>
          <w:sz w:val="22"/>
          <w:szCs w:val="22"/>
        </w:rPr>
        <w:t xml:space="preserve">NRC’s </w:t>
      </w:r>
      <w:r w:rsidRPr="00AA265D">
        <w:rPr>
          <w:rFonts w:ascii="Arial" w:hAnsi="Arial" w:cs="Arial"/>
          <w:sz w:val="22"/>
          <w:szCs w:val="22"/>
        </w:rPr>
        <w:t xml:space="preserve">response to </w:t>
      </w:r>
      <w:r w:rsidRPr="00AA265D" w:rsidR="00D33C08">
        <w:rPr>
          <w:rFonts w:ascii="Arial" w:hAnsi="Arial" w:cs="Arial"/>
          <w:sz w:val="22"/>
          <w:szCs w:val="22"/>
        </w:rPr>
        <w:t>C</w:t>
      </w:r>
      <w:r w:rsidRPr="00AA265D">
        <w:rPr>
          <w:rFonts w:ascii="Arial" w:hAnsi="Arial" w:cs="Arial"/>
          <w:sz w:val="22"/>
          <w:szCs w:val="22"/>
        </w:rPr>
        <w:t xml:space="preserve">omment </w:t>
      </w:r>
      <w:r w:rsidRPr="00AA265D" w:rsidR="00D33C08">
        <w:rPr>
          <w:rFonts w:ascii="Arial" w:hAnsi="Arial" w:cs="Arial"/>
          <w:sz w:val="22"/>
          <w:szCs w:val="22"/>
        </w:rPr>
        <w:t>Bin</w:t>
      </w:r>
      <w:r w:rsidRPr="00AA265D">
        <w:rPr>
          <w:rFonts w:ascii="Arial" w:hAnsi="Arial" w:cs="Arial"/>
          <w:sz w:val="22"/>
          <w:szCs w:val="22"/>
        </w:rPr>
        <w:t xml:space="preserve"> 3.6.3.4</w:t>
      </w:r>
      <w:r w:rsidRPr="00AA265D" w:rsidR="00D33C08">
        <w:rPr>
          <w:rFonts w:ascii="Arial" w:hAnsi="Arial" w:cs="Arial"/>
          <w:sz w:val="22"/>
          <w:szCs w:val="22"/>
        </w:rPr>
        <w:t>.A</w:t>
      </w:r>
      <w:r w:rsidRPr="00AA265D">
        <w:rPr>
          <w:rFonts w:ascii="Arial" w:hAnsi="Arial" w:cs="Arial"/>
          <w:sz w:val="22"/>
          <w:szCs w:val="22"/>
        </w:rPr>
        <w:t xml:space="preserve">, which </w:t>
      </w:r>
      <w:r w:rsidRPr="00AA265D" w:rsidR="004A3B7D">
        <w:rPr>
          <w:rFonts w:ascii="Arial" w:hAnsi="Arial" w:cs="Arial"/>
          <w:sz w:val="22"/>
          <w:szCs w:val="22"/>
        </w:rPr>
        <w:t>addresses the related topic of integrity assessment programs.</w:t>
      </w:r>
    </w:p>
    <w:p w:rsidR="005C74B1" w:rsidRPr="00AA265D" w:rsidP="005C4749" w14:paraId="1065A13A" w14:textId="77777777">
      <w:pPr>
        <w:spacing w:after="220"/>
        <w:rPr>
          <w:rFonts w:ascii="Arial" w:hAnsi="Arial" w:cs="Arial"/>
          <w:sz w:val="22"/>
          <w:szCs w:val="22"/>
        </w:rPr>
      </w:pPr>
      <w:r w:rsidRPr="00AA265D">
        <w:rPr>
          <w:rFonts w:ascii="Arial" w:hAnsi="Arial" w:cs="Arial"/>
          <w:sz w:val="22"/>
          <w:szCs w:val="22"/>
        </w:rPr>
        <w:t>Regarding those parts of the comment related to 10 CFR 53.440(e), the NRC agrees</w:t>
      </w:r>
      <w:r w:rsidR="007B7F66">
        <w:rPr>
          <w:rFonts w:ascii="Arial" w:hAnsi="Arial" w:cs="Arial"/>
          <w:sz w:val="22"/>
          <w:szCs w:val="22"/>
        </w:rPr>
        <w:t>,</w:t>
      </w:r>
      <w:r w:rsidRPr="00AA265D">
        <w:rPr>
          <w:rFonts w:ascii="Arial" w:hAnsi="Arial" w:cs="Arial"/>
          <w:sz w:val="22"/>
          <w:szCs w:val="22"/>
        </w:rPr>
        <w:t xml:space="preserve"> in part</w:t>
      </w:r>
      <w:r w:rsidR="007B7F66">
        <w:rPr>
          <w:rFonts w:ascii="Arial" w:hAnsi="Arial" w:cs="Arial"/>
          <w:sz w:val="22"/>
          <w:szCs w:val="22"/>
        </w:rPr>
        <w:t>,</w:t>
      </w:r>
      <w:r w:rsidRPr="00AA265D">
        <w:rPr>
          <w:rFonts w:ascii="Arial" w:hAnsi="Arial" w:cs="Arial"/>
          <w:sz w:val="22"/>
          <w:szCs w:val="22"/>
        </w:rPr>
        <w:t xml:space="preserve"> and </w:t>
      </w:r>
      <w:r w:rsidR="00C24489">
        <w:rPr>
          <w:rFonts w:ascii="Arial" w:hAnsi="Arial" w:cs="Arial"/>
          <w:sz w:val="22"/>
          <w:szCs w:val="22"/>
        </w:rPr>
        <w:t>revised</w:t>
      </w:r>
      <w:r w:rsidRPr="00AA265D">
        <w:rPr>
          <w:rFonts w:ascii="Arial" w:hAnsi="Arial" w:cs="Arial"/>
          <w:sz w:val="22"/>
          <w:szCs w:val="22"/>
        </w:rPr>
        <w:t xml:space="preserve"> the language in this paragraph to add the qualifier “where appropriate” for the scope of NSRSS SSCs required to be designed and located to minimize the probability and effect of fires and explosions. This change addresses the concerns included in the comment that some NSRSS SSCs may not need to incorporate fire protection measures.</w:t>
      </w:r>
    </w:p>
    <w:p w:rsidR="005C74B1" w:rsidP="005C4749" w14:paraId="25E6E119" w14:textId="77777777">
      <w:pPr>
        <w:spacing w:after="220"/>
        <w:rPr>
          <w:rFonts w:ascii="Arial" w:hAnsi="Arial" w:cs="Arial"/>
          <w:sz w:val="22"/>
          <w:szCs w:val="22"/>
        </w:rPr>
      </w:pPr>
      <w:r w:rsidRPr="00AA265D">
        <w:rPr>
          <w:rFonts w:ascii="Arial" w:hAnsi="Arial" w:cs="Arial"/>
          <w:sz w:val="22"/>
          <w:szCs w:val="22"/>
        </w:rPr>
        <w:t>The NRC acknowledges that part of the comment suggesting reduced requirements for SSCs designated as NSRSS due to their role in providing defense in depth but believes that this flexibility is already afforded by 10 CFR 53.460 in both safety categorization and assigning special treatments to such SSCs.</w:t>
      </w:r>
    </w:p>
    <w:p w:rsidR="005C74B1" w:rsidRPr="00AA265D" w:rsidP="00E70252" w14:paraId="25564A4F" w14:textId="77777777">
      <w:pPr>
        <w:spacing w:after="220"/>
        <w:rPr>
          <w:rFonts w:ascii="Arial" w:hAnsi="Arial" w:cs="Arial"/>
          <w:sz w:val="22"/>
          <w:szCs w:val="22"/>
        </w:rPr>
      </w:pPr>
      <w:r w:rsidRPr="00AA265D">
        <w:rPr>
          <w:rFonts w:ascii="Arial" w:hAnsi="Arial" w:cs="Arial"/>
          <w:sz w:val="22"/>
          <w:szCs w:val="22"/>
        </w:rPr>
        <w:t xml:space="preserve">Accordingly, the NRC </w:t>
      </w:r>
      <w:r w:rsidR="00C24489">
        <w:rPr>
          <w:rFonts w:ascii="Arial" w:hAnsi="Arial" w:cs="Arial"/>
          <w:sz w:val="22"/>
          <w:szCs w:val="22"/>
        </w:rPr>
        <w:t>revised</w:t>
      </w:r>
      <w:r w:rsidRPr="00AA265D">
        <w:rPr>
          <w:rFonts w:ascii="Arial" w:hAnsi="Arial" w:cs="Arial"/>
          <w:sz w:val="22"/>
          <w:szCs w:val="22"/>
        </w:rPr>
        <w:t xml:space="preserve"> the </w:t>
      </w:r>
      <w:r w:rsidRPr="00AA265D" w:rsidR="00B61E36">
        <w:rPr>
          <w:rFonts w:ascii="Arial" w:hAnsi="Arial" w:cs="Arial"/>
          <w:sz w:val="22"/>
          <w:szCs w:val="22"/>
        </w:rPr>
        <w:t xml:space="preserve">rule </w:t>
      </w:r>
      <w:r w:rsidRPr="00AA265D">
        <w:rPr>
          <w:rFonts w:ascii="Arial" w:hAnsi="Arial" w:cs="Arial"/>
          <w:sz w:val="22"/>
          <w:szCs w:val="22"/>
        </w:rPr>
        <w:t xml:space="preserve">language </w:t>
      </w:r>
      <w:r w:rsidRPr="00AA265D" w:rsidR="00B61E36">
        <w:rPr>
          <w:rFonts w:ascii="Arial" w:hAnsi="Arial" w:cs="Arial"/>
          <w:sz w:val="22"/>
          <w:szCs w:val="22"/>
        </w:rPr>
        <w:t>in</w:t>
      </w:r>
      <w:r w:rsidRPr="00AA265D">
        <w:rPr>
          <w:rFonts w:ascii="Arial" w:hAnsi="Arial" w:cs="Arial"/>
          <w:sz w:val="22"/>
          <w:szCs w:val="22"/>
        </w:rPr>
        <w:t xml:space="preserve"> paragraphs 10 CFR 53.440(b) through 10</w:t>
      </w:r>
      <w:r w:rsidR="00C24489">
        <w:rPr>
          <w:rFonts w:ascii="Arial" w:hAnsi="Arial" w:cs="Arial"/>
          <w:sz w:val="22"/>
          <w:szCs w:val="22"/>
        </w:rPr>
        <w:t> </w:t>
      </w:r>
      <w:r w:rsidRPr="00AA265D">
        <w:rPr>
          <w:rFonts w:ascii="Arial" w:hAnsi="Arial" w:cs="Arial"/>
          <w:sz w:val="22"/>
          <w:szCs w:val="22"/>
        </w:rPr>
        <w:t>CFR Part 53.440(e)</w:t>
      </w:r>
      <w:r w:rsidR="008746DF">
        <w:rPr>
          <w:rFonts w:ascii="Arial" w:hAnsi="Arial" w:cs="Arial"/>
          <w:sz w:val="22"/>
          <w:szCs w:val="22"/>
        </w:rPr>
        <w:t xml:space="preserve"> in response to these comments</w:t>
      </w:r>
      <w:r w:rsidRPr="00AA265D">
        <w:rPr>
          <w:rFonts w:ascii="Arial" w:hAnsi="Arial" w:cs="Arial"/>
          <w:sz w:val="22"/>
          <w:szCs w:val="22"/>
        </w:rPr>
        <w:t>.</w:t>
      </w:r>
    </w:p>
    <w:p w:rsidR="000F3D5B" w:rsidRPr="00E70252" w:rsidP="00E70252" w14:paraId="7A6D8473" w14:textId="77777777">
      <w:pPr>
        <w:spacing w:after="220"/>
        <w:rPr>
          <w:rFonts w:ascii="Arial" w:hAnsi="Arial" w:cs="Arial"/>
          <w:sz w:val="22"/>
          <w:szCs w:val="22"/>
        </w:rPr>
      </w:pPr>
      <w:r>
        <w:rPr>
          <w:rFonts w:ascii="Arial" w:hAnsi="Arial" w:cs="Arial"/>
          <w:sz w:val="22"/>
          <w:szCs w:val="22"/>
        </w:rPr>
        <w:pict>
          <v:rect id="_x0000_i1108" style="width:0;height:1.5pt" o:hralign="center" o:hrstd="t" o:hrnoshade="t" o:hr="t" fillcolor="black" stroked="f"/>
        </w:pict>
      </w:r>
    </w:p>
    <w:p w:rsidR="00CC2598" w:rsidRPr="00E70252" w:rsidP="00E70252" w14:paraId="567F221E" w14:textId="77777777">
      <w:pPr>
        <w:spacing w:after="220"/>
        <w:rPr>
          <w:rFonts w:ascii="Arial" w:eastAsia="Aptos" w:hAnsi="Arial" w:cs="Arial"/>
          <w:sz w:val="22"/>
          <w:szCs w:val="22"/>
        </w:rPr>
      </w:pPr>
      <w:r w:rsidRPr="00E70252">
        <w:rPr>
          <w:rFonts w:ascii="Arial" w:hAnsi="Arial" w:cs="Arial"/>
          <w:b/>
          <w:sz w:val="22"/>
          <w:szCs w:val="22"/>
        </w:rPr>
        <w:t>Comment Bin 3.3.2.1.C:</w:t>
      </w:r>
      <w:r w:rsidRPr="00E70252">
        <w:rPr>
          <w:rFonts w:ascii="Arial" w:hAnsi="Arial" w:cs="Arial"/>
          <w:sz w:val="22"/>
          <w:szCs w:val="22"/>
        </w:rPr>
        <w:t xml:space="preserve"> A few</w:t>
      </w:r>
      <w:r w:rsidRPr="00E70252">
        <w:rPr>
          <w:rFonts w:ascii="Arial" w:eastAsia="Aptos" w:hAnsi="Arial" w:cs="Arial"/>
          <w:sz w:val="22"/>
          <w:szCs w:val="22"/>
        </w:rPr>
        <w:t xml:space="preserve"> commenters stated that the aircraft impact requirements in 10 CFR 53.440(j) should be removed (</w:t>
      </w:r>
      <w:r w:rsidR="00903A73">
        <w:rPr>
          <w:rFonts w:ascii="Arial" w:eastAsia="Aptos" w:hAnsi="Arial" w:cs="Arial"/>
          <w:sz w:val="22"/>
          <w:szCs w:val="22"/>
        </w:rPr>
        <w:t>HPT16</w:t>
      </w:r>
      <w:r w:rsidRPr="00E70252">
        <w:rPr>
          <w:rFonts w:ascii="Arial" w:eastAsia="Aptos" w:hAnsi="Arial" w:cs="Arial"/>
          <w:sz w:val="22"/>
          <w:szCs w:val="22"/>
        </w:rPr>
        <w:t xml:space="preserve">-0001, </w:t>
      </w:r>
      <w:r w:rsidR="00903A73">
        <w:rPr>
          <w:rFonts w:ascii="Arial" w:eastAsia="Aptos" w:hAnsi="Arial" w:cs="Arial"/>
          <w:sz w:val="22"/>
          <w:szCs w:val="22"/>
        </w:rPr>
        <w:t>HPT16</w:t>
      </w:r>
      <w:r w:rsidRPr="00E70252">
        <w:rPr>
          <w:rFonts w:ascii="Arial" w:eastAsia="Aptos" w:hAnsi="Arial" w:cs="Arial"/>
          <w:sz w:val="22"/>
          <w:szCs w:val="22"/>
        </w:rPr>
        <w:t xml:space="preserve">-0002, </w:t>
      </w:r>
      <w:r w:rsidR="00903A73">
        <w:rPr>
          <w:rFonts w:ascii="Arial" w:eastAsia="Aptos" w:hAnsi="Arial" w:cs="Arial"/>
          <w:sz w:val="22"/>
          <w:szCs w:val="22"/>
        </w:rPr>
        <w:t>HPT16</w:t>
      </w:r>
      <w:r w:rsidRPr="00E70252">
        <w:rPr>
          <w:rFonts w:ascii="Arial" w:eastAsia="Aptos" w:hAnsi="Arial" w:cs="Arial"/>
          <w:sz w:val="22"/>
          <w:szCs w:val="22"/>
        </w:rPr>
        <w:t xml:space="preserve">-0004, </w:t>
      </w:r>
      <w:r w:rsidR="009D6BB9">
        <w:rPr>
          <w:rFonts w:ascii="Arial" w:eastAsia="Aptos" w:hAnsi="Arial" w:cs="Arial"/>
          <w:sz w:val="22"/>
          <w:szCs w:val="22"/>
        </w:rPr>
        <w:t>NEI2</w:t>
      </w:r>
      <w:r w:rsidRPr="00E70252">
        <w:rPr>
          <w:rFonts w:ascii="Arial" w:eastAsia="Aptos" w:hAnsi="Arial" w:cs="Arial"/>
          <w:sz w:val="22"/>
          <w:szCs w:val="22"/>
        </w:rPr>
        <w:t xml:space="preserve">-0016, </w:t>
      </w:r>
      <w:r w:rsidR="009D6BB9">
        <w:rPr>
          <w:rFonts w:ascii="Arial" w:eastAsia="Aptos" w:hAnsi="Arial" w:cs="Arial"/>
          <w:sz w:val="22"/>
          <w:szCs w:val="22"/>
        </w:rPr>
        <w:t>NEI2</w:t>
      </w:r>
      <w:r w:rsidRPr="00E70252">
        <w:rPr>
          <w:rFonts w:ascii="Arial" w:eastAsia="Aptos" w:hAnsi="Arial" w:cs="Arial"/>
          <w:sz w:val="22"/>
          <w:szCs w:val="22"/>
        </w:rPr>
        <w:t xml:space="preserve">-0021, </w:t>
      </w:r>
      <w:r w:rsidR="008B69CC">
        <w:rPr>
          <w:rFonts w:ascii="Arial" w:eastAsia="Aptos" w:hAnsi="Arial" w:cs="Arial"/>
          <w:sz w:val="22"/>
          <w:szCs w:val="22"/>
        </w:rPr>
        <w:t>KAP</w:t>
      </w:r>
      <w:r w:rsidRPr="00E70252">
        <w:rPr>
          <w:rFonts w:ascii="Arial" w:eastAsia="Aptos" w:hAnsi="Arial" w:cs="Arial"/>
          <w:sz w:val="22"/>
          <w:szCs w:val="22"/>
        </w:rPr>
        <w:t>-0004). Two commenters stated that the aircraft impact requirement in 10</w:t>
      </w:r>
      <w:r w:rsidR="00BC1649">
        <w:rPr>
          <w:rFonts w:ascii="Arial" w:eastAsia="Aptos" w:hAnsi="Arial" w:cs="Arial"/>
          <w:sz w:val="22"/>
          <w:szCs w:val="22"/>
        </w:rPr>
        <w:t> </w:t>
      </w:r>
      <w:r w:rsidRPr="00E70252">
        <w:rPr>
          <w:rFonts w:ascii="Arial" w:eastAsia="Aptos" w:hAnsi="Arial" w:cs="Arial"/>
          <w:sz w:val="22"/>
          <w:szCs w:val="22"/>
        </w:rPr>
        <w:t xml:space="preserve">CFR 53.440(j) </w:t>
      </w:r>
      <w:r w:rsidRPr="0071384E" w:rsidR="00D12772">
        <w:rPr>
          <w:rFonts w:ascii="Arial" w:eastAsia="Aptos" w:hAnsi="Arial" w:cs="Arial"/>
        </w:rPr>
        <w:t>conflicts</w:t>
      </w:r>
      <w:r w:rsidRPr="00E70252" w:rsidR="00D12772">
        <w:rPr>
          <w:rFonts w:ascii="Arial" w:eastAsia="Aptos" w:hAnsi="Arial" w:cs="Arial"/>
          <w:sz w:val="22"/>
          <w:szCs w:val="22"/>
        </w:rPr>
        <w:t xml:space="preserve"> with</w:t>
      </w:r>
      <w:r w:rsidRPr="00E70252">
        <w:rPr>
          <w:rFonts w:ascii="Arial" w:eastAsia="Aptos" w:hAnsi="Arial" w:cs="Arial"/>
          <w:sz w:val="22"/>
          <w:szCs w:val="22"/>
        </w:rPr>
        <w:t xml:space="preserve"> 10 CFR 53.110, which establishes that the facility is not required to provide design features or other measures to protect against a malicious act (</w:t>
      </w:r>
      <w:r w:rsidR="00903A73">
        <w:rPr>
          <w:rFonts w:ascii="Arial" w:eastAsia="Aptos" w:hAnsi="Arial" w:cs="Arial"/>
          <w:sz w:val="22"/>
          <w:szCs w:val="22"/>
        </w:rPr>
        <w:t>HPT16</w:t>
      </w:r>
      <w:r w:rsidRPr="00E70252">
        <w:rPr>
          <w:rFonts w:ascii="Arial" w:eastAsia="Aptos" w:hAnsi="Arial" w:cs="Arial"/>
          <w:sz w:val="22"/>
          <w:szCs w:val="22"/>
        </w:rPr>
        <w:t xml:space="preserve">-0001, </w:t>
      </w:r>
      <w:r w:rsidR="00903A73">
        <w:rPr>
          <w:rFonts w:ascii="Arial" w:eastAsia="Aptos" w:hAnsi="Arial" w:cs="Arial"/>
          <w:sz w:val="22"/>
          <w:szCs w:val="22"/>
        </w:rPr>
        <w:t>HPT16</w:t>
      </w:r>
      <w:r w:rsidRPr="00E70252">
        <w:rPr>
          <w:rFonts w:ascii="Arial" w:eastAsia="Aptos" w:hAnsi="Arial" w:cs="Arial"/>
          <w:sz w:val="22"/>
          <w:szCs w:val="22"/>
        </w:rPr>
        <w:t xml:space="preserve">-0004, </w:t>
      </w:r>
      <w:r w:rsidR="009D6BB9">
        <w:rPr>
          <w:rFonts w:ascii="Arial" w:eastAsia="Aptos" w:hAnsi="Arial" w:cs="Arial"/>
          <w:sz w:val="22"/>
          <w:szCs w:val="22"/>
        </w:rPr>
        <w:t>NEI2</w:t>
      </w:r>
      <w:r w:rsidRPr="00E70252">
        <w:rPr>
          <w:rFonts w:ascii="Arial" w:eastAsia="Aptos" w:hAnsi="Arial" w:cs="Arial"/>
          <w:sz w:val="22"/>
          <w:szCs w:val="22"/>
        </w:rPr>
        <w:t xml:space="preserve">-0021). One </w:t>
      </w:r>
      <w:r w:rsidRPr="00E70252">
        <w:rPr>
          <w:rFonts w:ascii="Arial" w:eastAsia="Times New Roman" w:hAnsi="Arial" w:cs="Arial"/>
          <w:sz w:val="22"/>
          <w:szCs w:val="22"/>
        </w:rPr>
        <w:t>commenter also said 10 CFR 53.440(j) and 10 CFR 50.150 are unnecessary given 10 CFR 50.13 and 10 CFR 53.110 and should be removed (</w:t>
      </w:r>
      <w:r w:rsidR="009D6BB9">
        <w:rPr>
          <w:rFonts w:ascii="Arial" w:eastAsia="Times New Roman" w:hAnsi="Arial" w:cs="Arial"/>
          <w:sz w:val="22"/>
          <w:szCs w:val="22"/>
        </w:rPr>
        <w:t>NEI2</w:t>
      </w:r>
      <w:r w:rsidRPr="00E70252">
        <w:rPr>
          <w:rFonts w:ascii="Arial" w:eastAsia="Times New Roman" w:hAnsi="Arial" w:cs="Arial"/>
          <w:sz w:val="22"/>
          <w:szCs w:val="22"/>
        </w:rPr>
        <w:t>-0016).</w:t>
      </w:r>
    </w:p>
    <w:p w:rsidR="00CC2598" w:rsidRPr="00E70252" w:rsidP="00E70252" w14:paraId="664CB9EE" w14:textId="77777777">
      <w:pPr>
        <w:spacing w:after="220"/>
        <w:rPr>
          <w:rFonts w:ascii="Arial" w:eastAsia="Aptos" w:hAnsi="Arial" w:cs="Arial"/>
          <w:sz w:val="22"/>
          <w:szCs w:val="22"/>
        </w:rPr>
      </w:pPr>
      <w:r w:rsidRPr="00E70252">
        <w:rPr>
          <w:rFonts w:ascii="Arial" w:eastAsia="Aptos" w:hAnsi="Arial" w:cs="Arial"/>
          <w:sz w:val="22"/>
          <w:szCs w:val="22"/>
        </w:rPr>
        <w:t>One commenter stated the requirement is also in conflict with the U.S. Constitution, which requires the federal government to mitigate such risk, and the risk</w:t>
      </w:r>
      <w:r w:rsidRPr="00E70252" w:rsidR="009A3AF6">
        <w:rPr>
          <w:rFonts w:ascii="Arial" w:eastAsia="Aptos" w:hAnsi="Arial" w:cs="Arial"/>
          <w:sz w:val="22"/>
          <w:szCs w:val="22"/>
        </w:rPr>
        <w:noBreakHyphen/>
      </w:r>
      <w:r w:rsidRPr="00E70252">
        <w:rPr>
          <w:rFonts w:ascii="Arial" w:eastAsia="Aptos" w:hAnsi="Arial" w:cs="Arial"/>
          <w:sz w:val="22"/>
          <w:szCs w:val="22"/>
        </w:rPr>
        <w:t xml:space="preserve">informed requirements of NEIMA. The commenter stated that both 10 CFR 53.440(j)(1) and 10 CFR 53.450(g)(2) </w:t>
      </w:r>
      <w:r w:rsidRPr="00E70252" w:rsidR="00EA3294">
        <w:rPr>
          <w:rFonts w:ascii="Arial" w:eastAsia="Aptos" w:hAnsi="Arial" w:cs="Arial"/>
          <w:sz w:val="22"/>
          <w:szCs w:val="22"/>
        </w:rPr>
        <w:t xml:space="preserve">would </w:t>
      </w:r>
      <w:r w:rsidRPr="003C39D4" w:rsidR="00EA3294">
        <w:rPr>
          <w:rFonts w:ascii="Arial" w:eastAsia="Aptos" w:hAnsi="Arial" w:cs="Arial"/>
          <w:sz w:val="22"/>
          <w:szCs w:val="22"/>
        </w:rPr>
        <w:t xml:space="preserve">be </w:t>
      </w:r>
      <w:r w:rsidRPr="003C39D4" w:rsidR="00DC6622">
        <w:rPr>
          <w:rFonts w:ascii="Arial" w:eastAsia="Aptos" w:hAnsi="Arial" w:cs="Arial"/>
          <w:sz w:val="22"/>
          <w:szCs w:val="22"/>
        </w:rPr>
        <w:t>illegal</w:t>
      </w:r>
      <w:r w:rsidRPr="00F447D7" w:rsidR="00CF3F74">
        <w:rPr>
          <w:rFonts w:ascii="Arial" w:hAnsi="Arial" w:cs="Arial"/>
          <w:sz w:val="22"/>
          <w:szCs w:val="22"/>
        </w:rPr>
        <w:t>.</w:t>
      </w:r>
      <w:r w:rsidRPr="00F447D7">
        <w:rPr>
          <w:rFonts w:ascii="Arial" w:eastAsia="Aptos" w:hAnsi="Arial" w:cs="Arial"/>
          <w:sz w:val="22"/>
          <w:szCs w:val="22"/>
        </w:rPr>
        <w:t xml:space="preserve"> The commenter recommended revising 10 CFR 53.440(j), including by referencing a commercial regional commuter sized aircraft instead of a large commercial aircraft, which the</w:t>
      </w:r>
      <w:r w:rsidRPr="00F447D7" w:rsidR="00414E23">
        <w:rPr>
          <w:rFonts w:ascii="Arial" w:eastAsia="Aptos" w:hAnsi="Arial" w:cs="Arial"/>
          <w:sz w:val="22"/>
          <w:szCs w:val="22"/>
        </w:rPr>
        <w:t xml:space="preserve"> commenter</w:t>
      </w:r>
      <w:r w:rsidRPr="00E70252">
        <w:rPr>
          <w:rFonts w:ascii="Arial" w:eastAsia="Aptos" w:hAnsi="Arial" w:cs="Arial"/>
          <w:sz w:val="22"/>
          <w:szCs w:val="22"/>
        </w:rPr>
        <w:t xml:space="preserve"> believe</w:t>
      </w:r>
      <w:r w:rsidRPr="00E70252" w:rsidR="00414E23">
        <w:rPr>
          <w:rFonts w:ascii="Arial" w:eastAsia="Aptos" w:hAnsi="Arial" w:cs="Arial"/>
          <w:sz w:val="22"/>
          <w:szCs w:val="22"/>
        </w:rPr>
        <w:t>s</w:t>
      </w:r>
      <w:r w:rsidRPr="00E70252">
        <w:rPr>
          <w:rFonts w:ascii="Arial" w:eastAsia="Aptos" w:hAnsi="Arial" w:cs="Arial"/>
          <w:sz w:val="22"/>
          <w:szCs w:val="22"/>
        </w:rPr>
        <w:t xml:space="preserve"> may pose a higher level of accident risk because such aircraft are relatively common with somewhat less robust security measures (</w:t>
      </w:r>
      <w:r w:rsidR="00903A73">
        <w:rPr>
          <w:rFonts w:ascii="Arial" w:eastAsia="Aptos" w:hAnsi="Arial" w:cs="Arial"/>
          <w:sz w:val="22"/>
          <w:szCs w:val="22"/>
        </w:rPr>
        <w:t>HPT16</w:t>
      </w:r>
      <w:r w:rsidRPr="00E70252">
        <w:rPr>
          <w:rFonts w:ascii="Arial" w:eastAsia="Aptos" w:hAnsi="Arial" w:cs="Arial"/>
          <w:sz w:val="22"/>
          <w:szCs w:val="22"/>
        </w:rPr>
        <w:t xml:space="preserve">-0001, </w:t>
      </w:r>
      <w:r w:rsidR="00903A73">
        <w:rPr>
          <w:rFonts w:ascii="Arial" w:eastAsia="Aptos" w:hAnsi="Arial" w:cs="Arial"/>
          <w:sz w:val="22"/>
          <w:szCs w:val="22"/>
        </w:rPr>
        <w:t>HPT16</w:t>
      </w:r>
      <w:r w:rsidRPr="00E70252">
        <w:rPr>
          <w:rFonts w:ascii="Arial" w:eastAsia="Aptos" w:hAnsi="Arial" w:cs="Arial"/>
          <w:sz w:val="22"/>
          <w:szCs w:val="22"/>
        </w:rPr>
        <w:t xml:space="preserve">-0002, </w:t>
      </w:r>
      <w:r w:rsidR="00903A73">
        <w:rPr>
          <w:rFonts w:ascii="Arial" w:eastAsia="Aptos" w:hAnsi="Arial" w:cs="Arial"/>
          <w:sz w:val="22"/>
          <w:szCs w:val="22"/>
        </w:rPr>
        <w:t>HPT16</w:t>
      </w:r>
      <w:r w:rsidRPr="00E70252">
        <w:rPr>
          <w:rFonts w:ascii="Arial" w:eastAsia="Aptos" w:hAnsi="Arial" w:cs="Arial"/>
          <w:sz w:val="22"/>
          <w:szCs w:val="22"/>
        </w:rPr>
        <w:t xml:space="preserve">-0004). </w:t>
      </w:r>
    </w:p>
    <w:p w:rsidR="0085169B" w:rsidRPr="00E70252" w:rsidP="00E70252" w14:paraId="2885C1EB" w14:textId="77777777">
      <w:pPr>
        <w:spacing w:after="220"/>
        <w:rPr>
          <w:rFonts w:ascii="Arial" w:eastAsia="Aptos" w:hAnsi="Arial" w:cs="Arial"/>
          <w:sz w:val="22"/>
          <w:szCs w:val="22"/>
        </w:rPr>
      </w:pPr>
      <w:r w:rsidRPr="00E70252">
        <w:rPr>
          <w:rFonts w:ascii="Arial" w:eastAsia="Aptos" w:hAnsi="Arial" w:cs="Arial"/>
          <w:sz w:val="22"/>
          <w:szCs w:val="22"/>
        </w:rPr>
        <w:t>Two commenters stated that following September 11, 2001, there have been significant increases in security, so large commercial aircraft impact design requirements are not necessary, due to the lowered risk (</w:t>
      </w:r>
      <w:r w:rsidR="008B69CC">
        <w:rPr>
          <w:rFonts w:ascii="Arial" w:eastAsia="Aptos" w:hAnsi="Arial" w:cs="Arial"/>
          <w:sz w:val="22"/>
          <w:szCs w:val="22"/>
        </w:rPr>
        <w:t>KAP</w:t>
      </w:r>
      <w:r w:rsidRPr="00E70252">
        <w:rPr>
          <w:rFonts w:ascii="Arial" w:eastAsia="Aptos" w:hAnsi="Arial" w:cs="Arial"/>
          <w:sz w:val="22"/>
          <w:szCs w:val="22"/>
        </w:rPr>
        <w:t xml:space="preserve">-0004, </w:t>
      </w:r>
      <w:r w:rsidR="00903A73">
        <w:rPr>
          <w:rFonts w:ascii="Arial" w:eastAsia="Aptos" w:hAnsi="Arial" w:cs="Arial"/>
          <w:sz w:val="22"/>
          <w:szCs w:val="22"/>
        </w:rPr>
        <w:t>HPT16</w:t>
      </w:r>
      <w:r w:rsidRPr="00E70252">
        <w:rPr>
          <w:rFonts w:ascii="Arial" w:eastAsia="Aptos" w:hAnsi="Arial" w:cs="Arial"/>
          <w:sz w:val="22"/>
          <w:szCs w:val="22"/>
        </w:rPr>
        <w:t>-0002).</w:t>
      </w:r>
    </w:p>
    <w:p w:rsidR="0085169B" w:rsidRPr="00E70252" w:rsidP="00E70252" w14:paraId="2E6D21C6" w14:textId="77777777">
      <w:pPr>
        <w:spacing w:after="220"/>
        <w:rPr>
          <w:rFonts w:ascii="Arial" w:hAnsi="Arial" w:cs="Arial"/>
          <w:sz w:val="22"/>
          <w:szCs w:val="22"/>
        </w:rPr>
      </w:pPr>
      <w:r w:rsidRPr="00E70252">
        <w:rPr>
          <w:rFonts w:ascii="Arial" w:hAnsi="Arial" w:cs="Arial"/>
          <w:b/>
          <w:sz w:val="22"/>
          <w:szCs w:val="22"/>
        </w:rPr>
        <w:t>NRC Response:</w:t>
      </w:r>
      <w:r w:rsidRPr="00E70252">
        <w:rPr>
          <w:rFonts w:ascii="Arial" w:hAnsi="Arial" w:cs="Arial"/>
          <w:sz w:val="22"/>
          <w:szCs w:val="22"/>
        </w:rPr>
        <w:t> The NRC agrees</w:t>
      </w:r>
      <w:r w:rsidRPr="00E70252" w:rsidR="00B21CF9">
        <w:rPr>
          <w:rFonts w:ascii="Arial" w:hAnsi="Arial" w:cs="Arial"/>
          <w:sz w:val="22"/>
          <w:szCs w:val="22"/>
        </w:rPr>
        <w:t>,</w:t>
      </w:r>
      <w:r w:rsidRPr="00E70252">
        <w:rPr>
          <w:rFonts w:ascii="Arial" w:hAnsi="Arial" w:cs="Arial"/>
          <w:sz w:val="22"/>
          <w:szCs w:val="22"/>
        </w:rPr>
        <w:t xml:space="preserve"> in part</w:t>
      </w:r>
      <w:r w:rsidRPr="00E70252" w:rsidR="00B21CF9">
        <w:rPr>
          <w:rFonts w:ascii="Arial" w:hAnsi="Arial" w:cs="Arial"/>
          <w:sz w:val="22"/>
          <w:szCs w:val="22"/>
        </w:rPr>
        <w:t>,</w:t>
      </w:r>
      <w:r w:rsidRPr="00E70252">
        <w:rPr>
          <w:rFonts w:ascii="Arial" w:hAnsi="Arial" w:cs="Arial"/>
          <w:sz w:val="22"/>
          <w:szCs w:val="22"/>
        </w:rPr>
        <w:t xml:space="preserve"> with the comments.</w:t>
      </w:r>
    </w:p>
    <w:p w:rsidR="0085169B" w:rsidRPr="00E70252" w:rsidP="00E70252" w14:paraId="2BB574C2" w14:textId="77777777">
      <w:pPr>
        <w:spacing w:after="220"/>
        <w:rPr>
          <w:rFonts w:ascii="Arial" w:hAnsi="Arial" w:cs="Arial"/>
          <w:sz w:val="22"/>
          <w:szCs w:val="22"/>
        </w:rPr>
      </w:pPr>
      <w:r w:rsidRPr="00E70252">
        <w:rPr>
          <w:rFonts w:ascii="Arial" w:hAnsi="Arial" w:cs="Arial"/>
          <w:sz w:val="22"/>
          <w:szCs w:val="22"/>
        </w:rPr>
        <w:t>The NRC has reconsidered the need for the requirement in proposed 10 CFR 53.440(j) that facilities be designed to limit the release of radionuclides from reactor systems, waste stores, or other significant inventories of radioactive materials assuming the impact of a large, commercial aircraft and agrees with the comment to delete it from the final rule. The NRC does not agree with the suggestion to revise 10 CFR 53.440(j) by referencing a commercial regional commuter sized aircraft instead of a large commercial aircraft for the reasons discussed below.</w:t>
      </w:r>
    </w:p>
    <w:p w:rsidR="0085169B" w:rsidRPr="00E70252" w:rsidP="00E70252" w14:paraId="6B4D096B" w14:textId="77777777">
      <w:pPr>
        <w:spacing w:after="220"/>
        <w:rPr>
          <w:rFonts w:ascii="Arial" w:hAnsi="Arial" w:cs="Arial"/>
          <w:sz w:val="22"/>
          <w:szCs w:val="22"/>
        </w:rPr>
      </w:pPr>
      <w:r w:rsidRPr="00E70252">
        <w:rPr>
          <w:rFonts w:ascii="Arial" w:hAnsi="Arial" w:cs="Arial"/>
          <w:sz w:val="22"/>
          <w:szCs w:val="22"/>
        </w:rPr>
        <w:t>The NRC also does not agree that the proposed requirements in 10 CFR 53.440(j) conflicted with the proposed requirements in 10 CFR 53.110. The provisions of 10 CFR 53.110, “Attacks and destructive acts,” exempt licensees or applicants under 10 CFR Part 53 from providing design features to protect against attacks or destructive acts directed at the facility by United States adversaries. The requirement in 10 CFR 53.110 is equivalent to that provided in 10</w:t>
      </w:r>
      <w:r w:rsidR="00BC1649">
        <w:rPr>
          <w:rFonts w:ascii="Arial" w:hAnsi="Arial" w:cs="Arial"/>
          <w:sz w:val="22"/>
          <w:szCs w:val="22"/>
        </w:rPr>
        <w:t> </w:t>
      </w:r>
      <w:r w:rsidRPr="00E70252">
        <w:rPr>
          <w:rFonts w:ascii="Arial" w:hAnsi="Arial" w:cs="Arial"/>
          <w:sz w:val="22"/>
          <w:szCs w:val="22"/>
        </w:rPr>
        <w:t>CFR</w:t>
      </w:r>
      <w:r w:rsidR="00BC1649">
        <w:rPr>
          <w:rFonts w:ascii="Arial" w:hAnsi="Arial" w:cs="Arial"/>
          <w:sz w:val="22"/>
          <w:szCs w:val="22"/>
        </w:rPr>
        <w:t> </w:t>
      </w:r>
      <w:r w:rsidRPr="00E70252">
        <w:rPr>
          <w:rFonts w:ascii="Arial" w:hAnsi="Arial" w:cs="Arial"/>
          <w:sz w:val="22"/>
          <w:szCs w:val="22"/>
        </w:rPr>
        <w:t xml:space="preserve">50.13 for licensees and applicants under 10 CFR Part 50 and </w:t>
      </w:r>
      <w:r w:rsidR="00F45ED2">
        <w:rPr>
          <w:rFonts w:ascii="Arial" w:hAnsi="Arial" w:cs="Arial"/>
          <w:sz w:val="22"/>
          <w:szCs w:val="22"/>
        </w:rPr>
        <w:t xml:space="preserve">10 CFR Part </w:t>
      </w:r>
      <w:r w:rsidRPr="00E70252">
        <w:rPr>
          <w:rFonts w:ascii="Arial" w:hAnsi="Arial" w:cs="Arial"/>
          <w:sz w:val="22"/>
          <w:szCs w:val="22"/>
        </w:rPr>
        <w:t>52.</w:t>
      </w:r>
    </w:p>
    <w:p w:rsidR="0085169B" w:rsidRPr="00E70252" w:rsidP="00E70252" w14:paraId="056F5100" w14:textId="77777777">
      <w:pPr>
        <w:spacing w:after="220"/>
        <w:rPr>
          <w:rFonts w:ascii="Arial" w:hAnsi="Arial" w:cs="Arial"/>
          <w:sz w:val="22"/>
          <w:szCs w:val="22"/>
        </w:rPr>
      </w:pPr>
      <w:r w:rsidRPr="00E70252">
        <w:rPr>
          <w:rFonts w:ascii="Arial" w:hAnsi="Arial" w:cs="Arial"/>
          <w:sz w:val="22"/>
          <w:szCs w:val="22"/>
        </w:rPr>
        <w:t>When the Commission promulgated the final rule</w:t>
      </w:r>
      <w:r w:rsidR="0098469C">
        <w:rPr>
          <w:rFonts w:ascii="Arial" w:hAnsi="Arial" w:cs="Arial"/>
          <w:sz w:val="22"/>
          <w:szCs w:val="22"/>
        </w:rPr>
        <w:t>, “</w:t>
      </w:r>
      <w:r w:rsidRPr="0098469C" w:rsidR="0098469C">
        <w:rPr>
          <w:rFonts w:ascii="Arial" w:hAnsi="Arial" w:cs="Arial"/>
          <w:sz w:val="22"/>
          <w:szCs w:val="22"/>
        </w:rPr>
        <w:t>Consideration of Aircraft Impacts for New Nuclear Power Reactors</w:t>
      </w:r>
      <w:r w:rsidR="0098469C">
        <w:rPr>
          <w:rFonts w:ascii="Arial" w:hAnsi="Arial" w:cs="Arial"/>
          <w:sz w:val="22"/>
          <w:szCs w:val="22"/>
        </w:rPr>
        <w:t>,”</w:t>
      </w:r>
      <w:r w:rsidRPr="00E70252">
        <w:rPr>
          <w:rFonts w:ascii="Arial" w:hAnsi="Arial" w:cs="Arial"/>
          <w:sz w:val="22"/>
          <w:szCs w:val="22"/>
        </w:rPr>
        <w:t xml:space="preserve"> (74 FR 28112; June 12, 2009), it addressed the relationship of the rule to the requirements in 10 CFR 50.13 and proceeded with codification of requirements to address the impact of a large, commercial aircraft. In doing so, the NRC noted that “the impact of a large aircraft on the nuclear power plant is regarded as a beyond-design-basis event” and it was “the NRC’s view that effective mitigation of the effects of events causing large fires and explosions (including the impact of a large, commercial aircraft) can be provided through operational actions,” which were covered by other requirements. In light of this view, the Commission stated that “the mitigation of the effects of aircraft impacts through design should be regarded as a safety enhancement which is not necessary for adequate protection.”</w:t>
      </w:r>
    </w:p>
    <w:p w:rsidR="0085169B" w:rsidRPr="00E70252" w:rsidP="00E70252" w14:paraId="1A831BAF" w14:textId="77777777">
      <w:pPr>
        <w:spacing w:after="220"/>
        <w:rPr>
          <w:rFonts w:ascii="Arial" w:hAnsi="Arial" w:cs="Arial"/>
          <w:sz w:val="22"/>
          <w:szCs w:val="22"/>
        </w:rPr>
      </w:pPr>
      <w:r w:rsidRPr="00E70252">
        <w:rPr>
          <w:rFonts w:ascii="Arial" w:hAnsi="Arial" w:cs="Arial"/>
          <w:sz w:val="22"/>
          <w:szCs w:val="22"/>
        </w:rPr>
        <w:t>In the Regulatory Analysis that accompanied the aircraft impact rule, the NRC quantified the costs of the rule, but did not quantify the benefits of the rule, stating that the “benefits of the final rule can be evaluated only on a qualitative basis.” The NRC concluded that the key benefit of the rule was “improvement in knowledge.” The Commission acknowledged that “it is difficult to quantify the safety enhancement gained through implementation of the aircraft impact rule,” but stated that “the NRC nevertheless believes that the cost of performing the assessment and incorporating the results into the design…is justified in view of the increased safety provided by implementation of the aircraft impact rule.”</w:t>
      </w:r>
    </w:p>
    <w:p w:rsidR="0085169B" w:rsidRPr="00E70252" w:rsidP="00E70252" w14:paraId="32C9C245" w14:textId="77777777">
      <w:pPr>
        <w:spacing w:after="220"/>
        <w:rPr>
          <w:rFonts w:ascii="Arial" w:hAnsi="Arial" w:cs="Arial"/>
          <w:sz w:val="22"/>
          <w:szCs w:val="22"/>
        </w:rPr>
      </w:pPr>
      <w:r w:rsidRPr="00E70252">
        <w:rPr>
          <w:rFonts w:ascii="Arial" w:hAnsi="Arial" w:cs="Arial"/>
          <w:sz w:val="22"/>
          <w:szCs w:val="22"/>
        </w:rPr>
        <w:t>It has been over 15 years since promulgation of the aircraft impact rule in 2009. The NRC agrees that events like the terrorist attacks of 9/11 are now much less likely due to significant increases in security at commercial aviation facilities as well as hardened access to aircraft cockpits. It is not clear that the Commission’s previous belief that the cost of implementation of the aircraft impact rule was justified by the increase in safety provided by the rule would hold true for future reactors licensed under 10 CFR Part 53. As stated previously, the NRC concluded that the key benefit of the rule was “improvement in knowledge” achieved by performing the aircraft impact assessment.</w:t>
      </w:r>
    </w:p>
    <w:p w:rsidR="0085169B" w:rsidRPr="00E70252" w:rsidP="00E70252" w14:paraId="012EA5AA" w14:textId="77777777">
      <w:pPr>
        <w:spacing w:after="220"/>
        <w:rPr>
          <w:rFonts w:ascii="Arial" w:hAnsi="Arial" w:cs="Arial"/>
          <w:sz w:val="22"/>
          <w:szCs w:val="22"/>
        </w:rPr>
      </w:pPr>
      <w:r>
        <w:rPr>
          <w:rFonts w:ascii="Arial" w:hAnsi="Arial" w:cs="Arial"/>
          <w:sz w:val="22"/>
          <w:szCs w:val="22"/>
        </w:rPr>
        <w:t>The NRC notes</w:t>
      </w:r>
      <w:r w:rsidRPr="00E70252">
        <w:rPr>
          <w:rFonts w:ascii="Arial" w:hAnsi="Arial" w:cs="Arial"/>
          <w:sz w:val="22"/>
          <w:szCs w:val="22"/>
        </w:rPr>
        <w:t xml:space="preserve"> that licenses issued under 10 CFR Part 50 and </w:t>
      </w:r>
      <w:r w:rsidR="00294D2A">
        <w:rPr>
          <w:rFonts w:ascii="Arial" w:hAnsi="Arial" w:cs="Arial"/>
          <w:sz w:val="22"/>
          <w:szCs w:val="22"/>
        </w:rPr>
        <w:t xml:space="preserve">10 CFR Part </w:t>
      </w:r>
      <w:r w:rsidRPr="00E70252">
        <w:rPr>
          <w:rFonts w:ascii="Arial" w:hAnsi="Arial" w:cs="Arial"/>
          <w:sz w:val="22"/>
          <w:szCs w:val="22"/>
        </w:rPr>
        <w:t xml:space="preserve">52 were largely based on deterministic analyses of the safety of the facility based on the General Design Criteria. The technical requirements in 10 CFR Part 50 were supplemented over the years to address specific beyond-design-basis events, such as the loss of large areas of the plant due to fires and explosions, as mentioned above. In contrast, under 10 CFR Part 53, applicants will be required to perform a comprehensive assessment of their reactor design to identify potential failures, susceptibility to internal and external hazards, and other contributing factors that could </w:t>
      </w:r>
      <w:r w:rsidRPr="00E70252">
        <w:rPr>
          <w:rFonts w:ascii="Arial" w:hAnsi="Arial" w:cs="Arial"/>
          <w:sz w:val="22"/>
          <w:szCs w:val="22"/>
        </w:rPr>
        <w:t>pose a risk to public health and safety. The spectrum of events and hazards considered will include those that have traditionally been considered design</w:t>
      </w:r>
      <w:r w:rsidRPr="00E70252">
        <w:rPr>
          <w:rFonts w:ascii="Arial" w:hAnsi="Arial" w:cs="Arial"/>
          <w:sz w:val="22"/>
          <w:szCs w:val="22"/>
        </w:rPr>
        <w:noBreakHyphen/>
        <w:t>basis events and those that have been considered beyond-design-basis events. Although 10 CFR Part 53 does not include prescriptive requirements to assess a licensing</w:t>
      </w:r>
      <w:r w:rsidR="00113FE3">
        <w:rPr>
          <w:rFonts w:ascii="Arial" w:hAnsi="Arial" w:cs="Arial"/>
          <w:sz w:val="22"/>
          <w:szCs w:val="22"/>
        </w:rPr>
        <w:t>-</w:t>
      </w:r>
      <w:r w:rsidRPr="00E70252">
        <w:rPr>
          <w:rFonts w:ascii="Arial" w:hAnsi="Arial" w:cs="Arial"/>
          <w:sz w:val="22"/>
          <w:szCs w:val="22"/>
        </w:rPr>
        <w:t xml:space="preserve">basis event comprising an </w:t>
      </w:r>
      <w:r w:rsidRPr="00E70252">
        <w:rPr>
          <w:rFonts w:ascii="Arial" w:hAnsi="Arial" w:cs="Arial"/>
          <w:i/>
          <w:sz w:val="22"/>
          <w:szCs w:val="22"/>
        </w:rPr>
        <w:t>intentional</w:t>
      </w:r>
      <w:r w:rsidRPr="00E70252">
        <w:rPr>
          <w:rFonts w:ascii="Arial" w:hAnsi="Arial" w:cs="Arial"/>
          <w:sz w:val="22"/>
          <w:szCs w:val="22"/>
        </w:rPr>
        <w:t xml:space="preserve"> act that could cause large fires or explosions, it does require applicants to assess a full spectrum of unplanned events, to include anticipated events, unlikely events, and very unlikely events. The NRC believes that the systematic evaluations of internal hazards, external hazards, and security threats under 10 CFR Part 53 and 10 CFR Part 73 sufficiently address the potential loss of large areas of the plant due to explosions or fire currently addressed under 10</w:t>
      </w:r>
      <w:r w:rsidR="00B768E0">
        <w:rPr>
          <w:rFonts w:ascii="Arial" w:hAnsi="Arial" w:cs="Arial"/>
          <w:sz w:val="22"/>
          <w:szCs w:val="22"/>
        </w:rPr>
        <w:t> </w:t>
      </w:r>
      <w:r w:rsidRPr="00E70252">
        <w:rPr>
          <w:rFonts w:ascii="Arial" w:hAnsi="Arial" w:cs="Arial"/>
          <w:sz w:val="22"/>
          <w:szCs w:val="22"/>
        </w:rPr>
        <w:t>CFR 50.155(b)(2).</w:t>
      </w:r>
    </w:p>
    <w:p w:rsidR="0085169B" w:rsidRPr="00E70252" w:rsidP="00E70252" w14:paraId="75962101" w14:textId="77777777">
      <w:pPr>
        <w:spacing w:after="220"/>
        <w:rPr>
          <w:rFonts w:ascii="Arial" w:hAnsi="Arial" w:cs="Arial"/>
          <w:sz w:val="22"/>
          <w:szCs w:val="22"/>
        </w:rPr>
      </w:pPr>
      <w:r w:rsidRPr="00E70252">
        <w:rPr>
          <w:rFonts w:ascii="Arial" w:hAnsi="Arial" w:cs="Arial"/>
          <w:sz w:val="22"/>
          <w:szCs w:val="22"/>
        </w:rPr>
        <w:t xml:space="preserve">Therefore, the </w:t>
      </w:r>
      <w:r w:rsidR="009347D4">
        <w:rPr>
          <w:rFonts w:ascii="Arial" w:hAnsi="Arial" w:cs="Arial"/>
          <w:sz w:val="22"/>
          <w:szCs w:val="22"/>
        </w:rPr>
        <w:t>10 CFR </w:t>
      </w:r>
      <w:r w:rsidRPr="00E70252">
        <w:rPr>
          <w:rFonts w:ascii="Arial" w:hAnsi="Arial" w:cs="Arial"/>
          <w:sz w:val="22"/>
          <w:szCs w:val="22"/>
        </w:rPr>
        <w:t xml:space="preserve">Part 53 applicant will have considered how to mitigate the broader potential plant impacts that may result from an event such as the impact of a large aircraft. As a result, applicants and licensees under 10 CFR Part 53 will have substantially more information about the design of their facilities than applicants and licensees did before promulgation of the aircraft impact rule. </w:t>
      </w:r>
      <w:r w:rsidR="00DF5C71">
        <w:rPr>
          <w:rFonts w:ascii="Arial" w:hAnsi="Arial" w:cs="Arial"/>
          <w:sz w:val="22"/>
          <w:szCs w:val="22"/>
        </w:rPr>
        <w:t>Accordingly,</w:t>
      </w:r>
      <w:r w:rsidRPr="00E70252">
        <w:rPr>
          <w:rFonts w:ascii="Arial" w:hAnsi="Arial" w:cs="Arial"/>
          <w:sz w:val="22"/>
          <w:szCs w:val="22"/>
        </w:rPr>
        <w:t xml:space="preserve"> the “improvement in knowledge” to be gained by requiring a separate assessment of the impact of a large commercial aircraft under 10</w:t>
      </w:r>
      <w:r w:rsidR="00F41541">
        <w:rPr>
          <w:rFonts w:ascii="Arial" w:hAnsi="Arial" w:cs="Arial"/>
          <w:sz w:val="22"/>
          <w:szCs w:val="22"/>
        </w:rPr>
        <w:t> </w:t>
      </w:r>
      <w:r w:rsidRPr="00E70252">
        <w:rPr>
          <w:rFonts w:ascii="Arial" w:hAnsi="Arial" w:cs="Arial"/>
          <w:sz w:val="22"/>
          <w:szCs w:val="22"/>
        </w:rPr>
        <w:t>CFR</w:t>
      </w:r>
      <w:r w:rsidR="00F41541">
        <w:rPr>
          <w:rFonts w:ascii="Arial" w:hAnsi="Arial" w:cs="Arial"/>
          <w:sz w:val="22"/>
          <w:szCs w:val="22"/>
        </w:rPr>
        <w:t> </w:t>
      </w:r>
      <w:r w:rsidRPr="00E70252">
        <w:rPr>
          <w:rFonts w:ascii="Arial" w:hAnsi="Arial" w:cs="Arial"/>
          <w:sz w:val="22"/>
          <w:szCs w:val="22"/>
        </w:rPr>
        <w:t>Part</w:t>
      </w:r>
      <w:r w:rsidR="00F41541">
        <w:rPr>
          <w:rFonts w:ascii="Arial" w:hAnsi="Arial" w:cs="Arial"/>
          <w:sz w:val="22"/>
          <w:szCs w:val="22"/>
        </w:rPr>
        <w:t> </w:t>
      </w:r>
      <w:r w:rsidRPr="00E70252">
        <w:rPr>
          <w:rFonts w:ascii="Arial" w:hAnsi="Arial" w:cs="Arial"/>
          <w:sz w:val="22"/>
          <w:szCs w:val="22"/>
        </w:rPr>
        <w:t xml:space="preserve">53 is expected to be significantly less than the </w:t>
      </w:r>
      <w:r w:rsidRPr="00245EC4" w:rsidR="00245EC4">
        <w:rPr>
          <w:rFonts w:ascii="Arial" w:hAnsi="Arial" w:cs="Arial"/>
          <w:sz w:val="22"/>
          <w:szCs w:val="22"/>
        </w:rPr>
        <w:t xml:space="preserve">improvements in knowledge for </w:t>
      </w:r>
      <w:r w:rsidR="007C54D2">
        <w:rPr>
          <w:rFonts w:ascii="Arial" w:hAnsi="Arial" w:cs="Arial"/>
          <w:sz w:val="22"/>
          <w:szCs w:val="22"/>
        </w:rPr>
        <w:t>10</w:t>
      </w:r>
      <w:r w:rsidR="00EC385E">
        <w:rPr>
          <w:rFonts w:ascii="Arial" w:hAnsi="Arial" w:cs="Arial"/>
          <w:sz w:val="22"/>
          <w:szCs w:val="22"/>
        </w:rPr>
        <w:t> </w:t>
      </w:r>
      <w:r w:rsidR="007C54D2">
        <w:rPr>
          <w:rFonts w:ascii="Arial" w:hAnsi="Arial" w:cs="Arial"/>
          <w:sz w:val="22"/>
          <w:szCs w:val="22"/>
        </w:rPr>
        <w:t xml:space="preserve">CFR </w:t>
      </w:r>
      <w:r w:rsidRPr="00245EC4" w:rsidR="00245EC4">
        <w:rPr>
          <w:rFonts w:ascii="Arial" w:hAnsi="Arial" w:cs="Arial"/>
          <w:sz w:val="22"/>
          <w:szCs w:val="22"/>
        </w:rPr>
        <w:t xml:space="preserve">Part 50 or 52 applicants the </w:t>
      </w:r>
      <w:r w:rsidRPr="00E70252">
        <w:rPr>
          <w:rFonts w:ascii="Arial" w:hAnsi="Arial" w:cs="Arial"/>
          <w:sz w:val="22"/>
          <w:szCs w:val="22"/>
        </w:rPr>
        <w:t>Commission estimated when it promulgated the aircraft impact rule. Because the potential impact of beyond-design-basis events are considered in other ways under 10</w:t>
      </w:r>
      <w:r w:rsidR="00F41541">
        <w:rPr>
          <w:rFonts w:ascii="Arial" w:hAnsi="Arial" w:cs="Arial"/>
          <w:sz w:val="22"/>
          <w:szCs w:val="22"/>
        </w:rPr>
        <w:t> </w:t>
      </w:r>
      <w:r w:rsidRPr="00E70252">
        <w:rPr>
          <w:rFonts w:ascii="Arial" w:hAnsi="Arial" w:cs="Arial"/>
          <w:sz w:val="22"/>
          <w:szCs w:val="22"/>
        </w:rPr>
        <w:t>CFR</w:t>
      </w:r>
      <w:r w:rsidR="00F41541">
        <w:rPr>
          <w:rFonts w:ascii="Arial" w:hAnsi="Arial" w:cs="Arial"/>
          <w:sz w:val="22"/>
          <w:szCs w:val="22"/>
        </w:rPr>
        <w:t> </w:t>
      </w:r>
      <w:r w:rsidRPr="00E70252">
        <w:rPr>
          <w:rFonts w:ascii="Arial" w:hAnsi="Arial" w:cs="Arial"/>
          <w:sz w:val="22"/>
          <w:szCs w:val="22"/>
        </w:rPr>
        <w:t>Part 53, the NRC concludes that the cost of performing the aircraft impact assessment and incorporating the results into the design of a commercial nuclear plant licensed under 10</w:t>
      </w:r>
      <w:r w:rsidR="00F41541">
        <w:rPr>
          <w:rFonts w:ascii="Arial" w:hAnsi="Arial" w:cs="Arial"/>
          <w:sz w:val="22"/>
          <w:szCs w:val="22"/>
        </w:rPr>
        <w:t> </w:t>
      </w:r>
      <w:r w:rsidRPr="00E70252">
        <w:rPr>
          <w:rFonts w:ascii="Arial" w:hAnsi="Arial" w:cs="Arial"/>
          <w:sz w:val="22"/>
          <w:szCs w:val="22"/>
        </w:rPr>
        <w:t>CFR</w:t>
      </w:r>
      <w:r w:rsidR="00F41541">
        <w:rPr>
          <w:rFonts w:ascii="Arial" w:hAnsi="Arial" w:cs="Arial"/>
          <w:sz w:val="22"/>
          <w:szCs w:val="22"/>
        </w:rPr>
        <w:t> </w:t>
      </w:r>
      <w:r w:rsidRPr="00E70252">
        <w:rPr>
          <w:rFonts w:ascii="Arial" w:hAnsi="Arial" w:cs="Arial"/>
          <w:sz w:val="22"/>
          <w:szCs w:val="22"/>
        </w:rPr>
        <w:t>Part 53 would not be justified.</w:t>
      </w:r>
    </w:p>
    <w:p w:rsidR="0085169B" w:rsidRPr="00E70252" w:rsidP="00E70252" w14:paraId="1B7D10B0" w14:textId="77777777">
      <w:pPr>
        <w:spacing w:after="220"/>
        <w:rPr>
          <w:rFonts w:ascii="Arial" w:hAnsi="Arial" w:cs="Arial"/>
          <w:sz w:val="22"/>
          <w:szCs w:val="22"/>
        </w:rPr>
      </w:pPr>
      <w:r>
        <w:rPr>
          <w:rFonts w:ascii="Arial" w:hAnsi="Arial" w:cs="Arial"/>
          <w:sz w:val="22"/>
          <w:szCs w:val="22"/>
        </w:rPr>
        <w:t>Accordingly</w:t>
      </w:r>
      <w:r w:rsidRPr="00E70252">
        <w:rPr>
          <w:rFonts w:ascii="Arial" w:hAnsi="Arial" w:cs="Arial"/>
          <w:sz w:val="22"/>
          <w:szCs w:val="22"/>
        </w:rPr>
        <w:t xml:space="preserve">, </w:t>
      </w:r>
      <w:r w:rsidR="0061186C">
        <w:rPr>
          <w:rFonts w:ascii="Arial" w:hAnsi="Arial" w:cs="Arial"/>
          <w:sz w:val="22"/>
          <w:szCs w:val="22"/>
        </w:rPr>
        <w:t xml:space="preserve">the NRC </w:t>
      </w:r>
      <w:r w:rsidR="00B84BB8">
        <w:rPr>
          <w:rFonts w:ascii="Arial" w:hAnsi="Arial" w:cs="Arial"/>
          <w:sz w:val="22"/>
          <w:szCs w:val="22"/>
        </w:rPr>
        <w:t xml:space="preserve">has revised </w:t>
      </w:r>
      <w:r w:rsidR="0061186C">
        <w:rPr>
          <w:rFonts w:ascii="Arial" w:hAnsi="Arial" w:cs="Arial"/>
          <w:sz w:val="22"/>
          <w:szCs w:val="22"/>
        </w:rPr>
        <w:t>the rule language in response to these comments to remove</w:t>
      </w:r>
      <w:r w:rsidRPr="00E70252">
        <w:rPr>
          <w:rFonts w:ascii="Arial" w:hAnsi="Arial" w:cs="Arial"/>
          <w:sz w:val="22"/>
          <w:szCs w:val="22"/>
        </w:rPr>
        <w:t xml:space="preserve"> the requirements that were contained in proposed 10 CFR 53.440(j).</w:t>
      </w:r>
    </w:p>
    <w:p w:rsidR="00D766AD" w:rsidRPr="00E70252" w:rsidP="00E70252" w14:paraId="27F5EF8E" w14:textId="77777777">
      <w:pPr>
        <w:spacing w:after="220"/>
        <w:rPr>
          <w:rFonts w:ascii="Arial" w:hAnsi="Arial" w:cs="Arial"/>
          <w:sz w:val="22"/>
          <w:szCs w:val="22"/>
        </w:rPr>
      </w:pPr>
      <w:r>
        <w:rPr>
          <w:rFonts w:ascii="Arial" w:hAnsi="Arial" w:cs="Arial"/>
          <w:sz w:val="22"/>
          <w:szCs w:val="22"/>
        </w:rPr>
        <w:pict>
          <v:rect id="_x0000_i1109" style="width:0;height:1.5pt" o:hralign="center" o:hrstd="t" o:hrnoshade="t" o:hr="t" fillcolor="black" stroked="f"/>
        </w:pict>
      </w:r>
    </w:p>
    <w:p w:rsidR="00D766AD" w:rsidRPr="00E76C08" w:rsidP="00A42382" w14:paraId="20F3D63B" w14:textId="77777777">
      <w:pPr>
        <w:spacing w:after="220"/>
        <w:rPr>
          <w:rFonts w:ascii="Arial" w:eastAsia="Aptos" w:hAnsi="Arial" w:cs="Arial"/>
        </w:rPr>
      </w:pPr>
      <w:r w:rsidRPr="00E70252">
        <w:rPr>
          <w:rFonts w:ascii="Arial" w:hAnsi="Arial" w:cs="Arial"/>
          <w:b/>
          <w:sz w:val="22"/>
          <w:szCs w:val="22"/>
        </w:rPr>
        <w:t>Comment Bin 3.3.2.1.D:</w:t>
      </w:r>
      <w:r w:rsidRPr="00E70252">
        <w:rPr>
          <w:rFonts w:ascii="Arial" w:hAnsi="Arial" w:cs="Arial"/>
          <w:sz w:val="22"/>
          <w:szCs w:val="22"/>
        </w:rPr>
        <w:t xml:space="preserve"> A</w:t>
      </w:r>
      <w:r w:rsidRPr="00E70252">
        <w:rPr>
          <w:rFonts w:ascii="Arial" w:eastAsia="Aptos" w:hAnsi="Arial" w:cs="Arial"/>
          <w:sz w:val="22"/>
          <w:szCs w:val="22"/>
        </w:rPr>
        <w:t xml:space="preserve"> commenter provided input on the requirements in 10</w:t>
      </w:r>
      <w:r w:rsidRPr="00E70252" w:rsidR="00C27751">
        <w:rPr>
          <w:rFonts w:ascii="Arial" w:eastAsia="Aptos" w:hAnsi="Arial" w:cs="Arial"/>
          <w:sz w:val="22"/>
          <w:szCs w:val="22"/>
        </w:rPr>
        <w:t> </w:t>
      </w:r>
      <w:r w:rsidRPr="00E70252">
        <w:rPr>
          <w:rFonts w:ascii="Arial" w:eastAsia="Aptos" w:hAnsi="Arial" w:cs="Arial"/>
          <w:sz w:val="22"/>
          <w:szCs w:val="22"/>
        </w:rPr>
        <w:t>CFR</w:t>
      </w:r>
      <w:r w:rsidRPr="00E70252" w:rsidR="00C27751">
        <w:rPr>
          <w:rFonts w:ascii="Arial" w:eastAsia="Aptos" w:hAnsi="Arial" w:cs="Arial"/>
          <w:sz w:val="22"/>
          <w:szCs w:val="22"/>
        </w:rPr>
        <w:t> </w:t>
      </w:r>
      <w:r w:rsidRPr="00E70252">
        <w:rPr>
          <w:rFonts w:ascii="Arial" w:eastAsia="Aptos" w:hAnsi="Arial" w:cs="Arial"/>
          <w:sz w:val="22"/>
          <w:szCs w:val="22"/>
        </w:rPr>
        <w:t>53.440 and 10 CFR 53.450 and how guidance can be used to meet these requirements. The commenter also noted whether or not the method of meeting the requirements depends on the type of technology-inclusive, risk-informed, performance-based analysis method used (</w:t>
      </w:r>
      <w:r w:rsidR="00DF6CD2">
        <w:rPr>
          <w:rFonts w:ascii="Arial" w:eastAsia="Aptos" w:hAnsi="Arial" w:cs="Arial"/>
          <w:sz w:val="22"/>
          <w:szCs w:val="22"/>
        </w:rPr>
        <w:t>NEI3</w:t>
      </w:r>
      <w:r w:rsidRPr="00E70252">
        <w:rPr>
          <w:rFonts w:ascii="Arial" w:eastAsia="Aptos" w:hAnsi="Arial" w:cs="Arial"/>
          <w:sz w:val="22"/>
          <w:szCs w:val="22"/>
        </w:rPr>
        <w:t xml:space="preserve">-0018, </w:t>
      </w:r>
      <w:r w:rsidR="00DF6CD2">
        <w:rPr>
          <w:rFonts w:ascii="Arial" w:eastAsia="Aptos" w:hAnsi="Arial" w:cs="Arial"/>
          <w:sz w:val="22"/>
          <w:szCs w:val="22"/>
        </w:rPr>
        <w:t>NEI3</w:t>
      </w:r>
      <w:r w:rsidRPr="00E70252">
        <w:rPr>
          <w:rFonts w:ascii="Arial" w:eastAsia="Aptos" w:hAnsi="Arial" w:cs="Arial"/>
          <w:sz w:val="22"/>
          <w:szCs w:val="22"/>
        </w:rPr>
        <w:t xml:space="preserve">-0020, </w:t>
      </w:r>
      <w:r w:rsidR="00DF6CD2">
        <w:rPr>
          <w:rFonts w:ascii="Arial" w:eastAsia="Aptos" w:hAnsi="Arial" w:cs="Arial"/>
          <w:sz w:val="22"/>
          <w:szCs w:val="22"/>
        </w:rPr>
        <w:t>NEI3</w:t>
      </w:r>
      <w:r w:rsidRPr="00E70252">
        <w:rPr>
          <w:rFonts w:ascii="Arial" w:eastAsia="Aptos" w:hAnsi="Arial" w:cs="Arial"/>
          <w:sz w:val="22"/>
          <w:szCs w:val="22"/>
        </w:rPr>
        <w:t xml:space="preserve">-0021, </w:t>
      </w:r>
      <w:r w:rsidR="00DF6CD2">
        <w:rPr>
          <w:rFonts w:ascii="Arial" w:eastAsia="Aptos" w:hAnsi="Arial" w:cs="Arial"/>
          <w:sz w:val="22"/>
          <w:szCs w:val="22"/>
        </w:rPr>
        <w:t>NEI3</w:t>
      </w:r>
      <w:r w:rsidRPr="00E70252">
        <w:rPr>
          <w:rFonts w:ascii="Arial" w:eastAsia="Aptos" w:hAnsi="Arial" w:cs="Arial"/>
          <w:sz w:val="22"/>
          <w:szCs w:val="22"/>
        </w:rPr>
        <w:t xml:space="preserve">-0022, </w:t>
      </w:r>
      <w:r w:rsidR="00DF6CD2">
        <w:rPr>
          <w:rFonts w:ascii="Arial" w:eastAsia="Aptos" w:hAnsi="Arial" w:cs="Arial"/>
          <w:sz w:val="22"/>
          <w:szCs w:val="22"/>
        </w:rPr>
        <w:t>NEI3</w:t>
      </w:r>
      <w:r w:rsidRPr="00E70252">
        <w:rPr>
          <w:rFonts w:ascii="Arial" w:eastAsia="Aptos" w:hAnsi="Arial" w:cs="Arial"/>
          <w:sz w:val="22"/>
          <w:szCs w:val="22"/>
        </w:rPr>
        <w:t xml:space="preserve">-0023, </w:t>
      </w:r>
      <w:r w:rsidR="00DF6CD2">
        <w:rPr>
          <w:rFonts w:ascii="Arial" w:eastAsia="Aptos" w:hAnsi="Arial" w:cs="Arial"/>
          <w:sz w:val="22"/>
          <w:szCs w:val="22"/>
        </w:rPr>
        <w:t>NEI3</w:t>
      </w:r>
      <w:r w:rsidRPr="00E70252">
        <w:rPr>
          <w:rFonts w:ascii="Arial" w:eastAsia="Aptos" w:hAnsi="Arial" w:cs="Arial"/>
          <w:sz w:val="22"/>
          <w:szCs w:val="22"/>
        </w:rPr>
        <w:t xml:space="preserve">-0024, </w:t>
      </w:r>
      <w:r w:rsidR="00DF6CD2">
        <w:rPr>
          <w:rFonts w:ascii="Arial" w:eastAsia="Aptos" w:hAnsi="Arial" w:cs="Arial"/>
          <w:sz w:val="22"/>
          <w:szCs w:val="22"/>
        </w:rPr>
        <w:t>NEI3</w:t>
      </w:r>
      <w:r w:rsidRPr="00E70252">
        <w:rPr>
          <w:rFonts w:ascii="Arial" w:eastAsia="Aptos" w:hAnsi="Arial" w:cs="Arial"/>
          <w:sz w:val="22"/>
          <w:szCs w:val="22"/>
        </w:rPr>
        <w:t xml:space="preserve">-0025, </w:t>
      </w:r>
      <w:r w:rsidR="00DF6CD2">
        <w:rPr>
          <w:rFonts w:ascii="Arial" w:eastAsia="Aptos" w:hAnsi="Arial" w:cs="Arial"/>
          <w:sz w:val="22"/>
          <w:szCs w:val="22"/>
        </w:rPr>
        <w:t>NEI3</w:t>
      </w:r>
      <w:r w:rsidRPr="00E70252">
        <w:rPr>
          <w:rFonts w:ascii="Arial" w:eastAsia="Aptos" w:hAnsi="Arial" w:cs="Arial"/>
          <w:sz w:val="22"/>
          <w:szCs w:val="22"/>
        </w:rPr>
        <w:t xml:space="preserve">-0026, </w:t>
      </w:r>
      <w:r w:rsidR="00DF6CD2">
        <w:rPr>
          <w:rFonts w:ascii="Arial" w:eastAsia="Aptos" w:hAnsi="Arial" w:cs="Arial"/>
          <w:sz w:val="22"/>
          <w:szCs w:val="22"/>
        </w:rPr>
        <w:t>NEI3</w:t>
      </w:r>
      <w:r w:rsidRPr="00E70252">
        <w:rPr>
          <w:rFonts w:ascii="Arial" w:eastAsia="Aptos" w:hAnsi="Arial" w:cs="Arial"/>
          <w:sz w:val="22"/>
          <w:szCs w:val="22"/>
        </w:rPr>
        <w:t xml:space="preserve">-0027, </w:t>
      </w:r>
      <w:r w:rsidR="00DF6CD2">
        <w:rPr>
          <w:rFonts w:ascii="Arial" w:eastAsia="Aptos" w:hAnsi="Arial" w:cs="Arial"/>
          <w:sz w:val="22"/>
          <w:szCs w:val="22"/>
        </w:rPr>
        <w:t>NEI3</w:t>
      </w:r>
      <w:r w:rsidRPr="00E70252">
        <w:rPr>
          <w:rFonts w:ascii="Arial" w:eastAsia="Aptos" w:hAnsi="Arial" w:cs="Arial"/>
          <w:sz w:val="22"/>
          <w:szCs w:val="22"/>
        </w:rPr>
        <w:t xml:space="preserve">-0028, </w:t>
      </w:r>
      <w:r w:rsidR="00DF6CD2">
        <w:rPr>
          <w:rFonts w:ascii="Arial" w:eastAsia="Aptos" w:hAnsi="Arial" w:cs="Arial"/>
          <w:sz w:val="22"/>
          <w:szCs w:val="22"/>
        </w:rPr>
        <w:t>NEI3</w:t>
      </w:r>
      <w:r w:rsidRPr="00E70252">
        <w:rPr>
          <w:rFonts w:ascii="Arial" w:eastAsia="Aptos" w:hAnsi="Arial" w:cs="Arial"/>
          <w:sz w:val="22"/>
          <w:szCs w:val="22"/>
        </w:rPr>
        <w:t xml:space="preserve">-0029, </w:t>
      </w:r>
      <w:r w:rsidR="00DF6CD2">
        <w:rPr>
          <w:rFonts w:ascii="Arial" w:eastAsia="Aptos" w:hAnsi="Arial" w:cs="Arial"/>
          <w:sz w:val="22"/>
          <w:szCs w:val="22"/>
        </w:rPr>
        <w:t>NEI3</w:t>
      </w:r>
      <w:r w:rsidRPr="00E70252">
        <w:rPr>
          <w:rFonts w:ascii="Arial" w:eastAsia="Aptos" w:hAnsi="Arial" w:cs="Arial"/>
          <w:sz w:val="22"/>
          <w:szCs w:val="22"/>
        </w:rPr>
        <w:t xml:space="preserve">-0030, </w:t>
      </w:r>
      <w:r w:rsidR="00DF6CD2">
        <w:rPr>
          <w:rFonts w:ascii="Arial" w:eastAsia="Aptos" w:hAnsi="Arial" w:cs="Arial"/>
          <w:sz w:val="22"/>
          <w:szCs w:val="22"/>
        </w:rPr>
        <w:t>NEI3</w:t>
      </w:r>
      <w:r w:rsidRPr="00E70252">
        <w:rPr>
          <w:rFonts w:ascii="Arial" w:eastAsia="Aptos" w:hAnsi="Arial" w:cs="Arial"/>
          <w:sz w:val="22"/>
          <w:szCs w:val="22"/>
        </w:rPr>
        <w:t xml:space="preserve">-0031, </w:t>
      </w:r>
      <w:r w:rsidR="00DF6CD2">
        <w:rPr>
          <w:rFonts w:ascii="Arial" w:eastAsia="Aptos" w:hAnsi="Arial" w:cs="Arial"/>
          <w:sz w:val="22"/>
          <w:szCs w:val="22"/>
        </w:rPr>
        <w:t>NEI3</w:t>
      </w:r>
      <w:r w:rsidRPr="00E70252">
        <w:rPr>
          <w:rFonts w:ascii="Arial" w:eastAsia="Aptos" w:hAnsi="Arial" w:cs="Arial"/>
          <w:sz w:val="22"/>
          <w:szCs w:val="22"/>
        </w:rPr>
        <w:t xml:space="preserve">-0032, </w:t>
      </w:r>
      <w:r w:rsidR="00DF6CD2">
        <w:rPr>
          <w:rFonts w:ascii="Arial" w:eastAsia="Aptos" w:hAnsi="Arial" w:cs="Arial"/>
          <w:sz w:val="22"/>
          <w:szCs w:val="22"/>
        </w:rPr>
        <w:t>NEI3</w:t>
      </w:r>
      <w:r w:rsidRPr="00E70252">
        <w:rPr>
          <w:rFonts w:ascii="Arial" w:eastAsia="Aptos" w:hAnsi="Arial" w:cs="Arial"/>
          <w:sz w:val="22"/>
          <w:szCs w:val="22"/>
        </w:rPr>
        <w:t>-0033).</w:t>
      </w:r>
    </w:p>
    <w:p w:rsidR="006C45E9" w:rsidRPr="00E70252" w:rsidP="00E70252" w14:paraId="456E5F63" w14:textId="77777777">
      <w:pPr>
        <w:spacing w:after="220"/>
        <w:rPr>
          <w:rFonts w:ascii="Arial" w:hAnsi="Arial" w:cs="Arial"/>
          <w:sz w:val="22"/>
          <w:szCs w:val="22"/>
        </w:rPr>
      </w:pPr>
      <w:r w:rsidRPr="00E70252">
        <w:rPr>
          <w:rFonts w:ascii="Arial" w:hAnsi="Arial" w:cs="Arial"/>
          <w:b/>
          <w:sz w:val="22"/>
          <w:szCs w:val="22"/>
        </w:rPr>
        <w:t>NRC Response:</w:t>
      </w:r>
      <w:r w:rsidRPr="00E70252">
        <w:rPr>
          <w:rFonts w:ascii="Arial" w:hAnsi="Arial" w:cs="Arial"/>
          <w:sz w:val="22"/>
          <w:szCs w:val="22"/>
        </w:rPr>
        <w:t> The NRC agrees with th</w:t>
      </w:r>
      <w:r w:rsidR="00B5481A">
        <w:rPr>
          <w:rFonts w:ascii="Arial" w:hAnsi="Arial" w:cs="Arial"/>
          <w:sz w:val="22"/>
          <w:szCs w:val="22"/>
        </w:rPr>
        <w:t>e</w:t>
      </w:r>
      <w:r w:rsidRPr="00E70252">
        <w:rPr>
          <w:rFonts w:ascii="Arial" w:hAnsi="Arial" w:cs="Arial"/>
          <w:sz w:val="22"/>
          <w:szCs w:val="22"/>
        </w:rPr>
        <w:t xml:space="preserve"> comment</w:t>
      </w:r>
      <w:r w:rsidR="00B5481A">
        <w:rPr>
          <w:rFonts w:ascii="Arial" w:hAnsi="Arial" w:cs="Arial"/>
          <w:sz w:val="22"/>
          <w:szCs w:val="22"/>
        </w:rPr>
        <w:t>s</w:t>
      </w:r>
      <w:r w:rsidRPr="00E70252">
        <w:rPr>
          <w:rFonts w:ascii="Arial" w:hAnsi="Arial" w:cs="Arial"/>
          <w:sz w:val="22"/>
          <w:szCs w:val="22"/>
        </w:rPr>
        <w:t xml:space="preserve">. </w:t>
      </w:r>
    </w:p>
    <w:p w:rsidR="00645643" w:rsidRPr="00E70252" w:rsidP="00E70252" w14:paraId="364E3D85" w14:textId="77777777">
      <w:pPr>
        <w:spacing w:after="220"/>
        <w:rPr>
          <w:rFonts w:ascii="Arial" w:hAnsi="Arial" w:cs="Arial"/>
          <w:sz w:val="22"/>
          <w:szCs w:val="22"/>
        </w:rPr>
      </w:pPr>
      <w:r w:rsidRPr="00E70252">
        <w:rPr>
          <w:rFonts w:ascii="Arial" w:hAnsi="Arial" w:cs="Arial"/>
          <w:sz w:val="22"/>
          <w:szCs w:val="22"/>
        </w:rPr>
        <w:t xml:space="preserve">As explained in the proposed and final rules, guidance documents are being prepared or are expected to be prepared </w:t>
      </w:r>
      <w:r w:rsidRPr="00E70252" w:rsidR="00D23100">
        <w:rPr>
          <w:rFonts w:ascii="Arial" w:hAnsi="Arial" w:cs="Arial"/>
          <w:sz w:val="22"/>
          <w:szCs w:val="22"/>
        </w:rPr>
        <w:t>or updated</w:t>
      </w:r>
      <w:r w:rsidRPr="00E70252">
        <w:rPr>
          <w:rFonts w:ascii="Arial" w:hAnsi="Arial" w:cs="Arial"/>
          <w:sz w:val="22"/>
          <w:szCs w:val="22"/>
        </w:rPr>
        <w:t xml:space="preserve"> in the future to address various requirements in 10 CFR Part 53, including those in 10</w:t>
      </w:r>
      <w:r w:rsidRPr="00E70252" w:rsidR="007A350A">
        <w:rPr>
          <w:rFonts w:ascii="Arial" w:hAnsi="Arial" w:cs="Arial"/>
          <w:sz w:val="22"/>
          <w:szCs w:val="22"/>
        </w:rPr>
        <w:t> </w:t>
      </w:r>
      <w:r w:rsidRPr="00E70252">
        <w:rPr>
          <w:rFonts w:ascii="Arial" w:hAnsi="Arial" w:cs="Arial"/>
          <w:sz w:val="22"/>
          <w:szCs w:val="22"/>
        </w:rPr>
        <w:t xml:space="preserve">CFR 53.440 and </w:t>
      </w:r>
      <w:r w:rsidR="00913384">
        <w:rPr>
          <w:rFonts w:ascii="Arial" w:hAnsi="Arial" w:cs="Arial"/>
          <w:sz w:val="22"/>
          <w:szCs w:val="22"/>
        </w:rPr>
        <w:t xml:space="preserve">10 CFR </w:t>
      </w:r>
      <w:r w:rsidRPr="00E70252">
        <w:rPr>
          <w:rFonts w:ascii="Arial" w:hAnsi="Arial" w:cs="Arial"/>
          <w:sz w:val="22"/>
          <w:szCs w:val="22"/>
        </w:rPr>
        <w:t>53.450.</w:t>
      </w:r>
    </w:p>
    <w:p w:rsidR="00D766AD" w:rsidRPr="00E70252" w:rsidP="00E70252" w14:paraId="729AE803" w14:textId="77777777">
      <w:pPr>
        <w:spacing w:after="220"/>
        <w:rPr>
          <w:rFonts w:ascii="Arial" w:hAnsi="Arial" w:cs="Arial"/>
          <w:sz w:val="22"/>
          <w:szCs w:val="22"/>
        </w:rPr>
      </w:pPr>
      <w:r w:rsidRPr="00E70252">
        <w:rPr>
          <w:rFonts w:ascii="Arial" w:hAnsi="Arial" w:cs="Arial"/>
          <w:sz w:val="22"/>
          <w:szCs w:val="22"/>
        </w:rPr>
        <w:t>Accordingly, the NRC did not change the rule language in response to th</w:t>
      </w:r>
      <w:r w:rsidR="00B5481A">
        <w:rPr>
          <w:rFonts w:ascii="Arial" w:hAnsi="Arial" w:cs="Arial"/>
          <w:sz w:val="22"/>
          <w:szCs w:val="22"/>
        </w:rPr>
        <w:t>ese</w:t>
      </w:r>
      <w:r w:rsidRPr="00E70252">
        <w:rPr>
          <w:rFonts w:ascii="Arial" w:hAnsi="Arial" w:cs="Arial"/>
          <w:sz w:val="22"/>
          <w:szCs w:val="22"/>
        </w:rPr>
        <w:t xml:space="preserve"> comment</w:t>
      </w:r>
      <w:r w:rsidR="00B5481A">
        <w:rPr>
          <w:rFonts w:ascii="Arial" w:hAnsi="Arial" w:cs="Arial"/>
          <w:sz w:val="22"/>
          <w:szCs w:val="22"/>
        </w:rPr>
        <w:t>s</w:t>
      </w:r>
      <w:r w:rsidRPr="00E70252">
        <w:rPr>
          <w:rFonts w:ascii="Arial" w:hAnsi="Arial" w:cs="Arial"/>
          <w:sz w:val="22"/>
          <w:szCs w:val="22"/>
        </w:rPr>
        <w:t>.</w:t>
      </w:r>
    </w:p>
    <w:p w:rsidR="00BE62E7" w:rsidRPr="00E76C08" w:rsidP="00E76C08" w14:paraId="3BC3ACFB" w14:textId="77777777">
      <w:pPr>
        <w:spacing w:after="220"/>
        <w:rPr>
          <w:rFonts w:ascii="Arial" w:hAnsi="Arial" w:cs="Arial"/>
          <w:sz w:val="22"/>
          <w:szCs w:val="22"/>
        </w:rPr>
      </w:pPr>
      <w:r>
        <w:rPr>
          <w:rFonts w:ascii="Arial" w:hAnsi="Arial" w:cs="Arial"/>
          <w:sz w:val="22"/>
          <w:szCs w:val="22"/>
        </w:rPr>
        <w:pict>
          <v:rect id="_x0000_i1110" style="width:0;height:1.5pt" o:hralign="center" o:hrstd="t" o:hrnoshade="t" o:hr="t" fillcolor="black" stroked="f"/>
        </w:pict>
      </w:r>
    </w:p>
    <w:p w:rsidR="009B18F6" w:rsidRPr="00E76C08" w:rsidP="00E76C08" w14:paraId="5CCFF69E" w14:textId="77777777">
      <w:pPr>
        <w:spacing w:after="220"/>
        <w:rPr>
          <w:rFonts w:ascii="Arial" w:hAnsi="Arial" w:cs="Arial"/>
          <w:sz w:val="22"/>
          <w:szCs w:val="22"/>
        </w:rPr>
      </w:pPr>
      <w:r w:rsidRPr="00E76C08">
        <w:rPr>
          <w:rFonts w:ascii="Arial" w:hAnsi="Arial" w:cs="Arial"/>
          <w:b/>
          <w:sz w:val="22"/>
          <w:szCs w:val="22"/>
        </w:rPr>
        <w:t>Comment Bin 3.3.2.1.E:</w:t>
      </w:r>
      <w:r w:rsidRPr="00E76C08">
        <w:rPr>
          <w:rFonts w:ascii="Arial" w:hAnsi="Arial" w:cs="Arial"/>
          <w:sz w:val="22"/>
          <w:szCs w:val="22"/>
        </w:rPr>
        <w:t xml:space="preserve"> A commenter said that the “design requirements” in 10</w:t>
      </w:r>
      <w:r w:rsidRPr="00E76C08" w:rsidR="006B4664">
        <w:rPr>
          <w:rFonts w:ascii="Arial" w:hAnsi="Arial" w:cs="Arial"/>
          <w:sz w:val="22"/>
          <w:szCs w:val="22"/>
        </w:rPr>
        <w:t> </w:t>
      </w:r>
      <w:r w:rsidRPr="00E76C08">
        <w:rPr>
          <w:rFonts w:ascii="Arial" w:hAnsi="Arial" w:cs="Arial"/>
          <w:sz w:val="22"/>
          <w:szCs w:val="22"/>
        </w:rPr>
        <w:t>CFR</w:t>
      </w:r>
      <w:r w:rsidRPr="00E76C08" w:rsidR="006B4664">
        <w:rPr>
          <w:rFonts w:ascii="Arial" w:hAnsi="Arial" w:cs="Arial"/>
          <w:sz w:val="22"/>
          <w:szCs w:val="22"/>
        </w:rPr>
        <w:t> </w:t>
      </w:r>
      <w:r w:rsidRPr="00E76C08">
        <w:rPr>
          <w:rFonts w:ascii="Arial" w:hAnsi="Arial" w:cs="Arial"/>
          <w:sz w:val="22"/>
          <w:szCs w:val="22"/>
        </w:rPr>
        <w:t>53.440 are duplicate requirements and that duplication of requirements reduces clarity and predictability and increases regulatory complexity and burden without an increase in safety.</w:t>
      </w:r>
    </w:p>
    <w:p w:rsidR="00CE4DF4" w:rsidRPr="00E76C08" w:rsidP="00E76C08" w14:paraId="3134F8A5" w14:textId="77777777">
      <w:pPr>
        <w:spacing w:after="220"/>
        <w:rPr>
          <w:rFonts w:ascii="Arial" w:hAnsi="Arial" w:cs="Arial"/>
          <w:sz w:val="22"/>
          <w:szCs w:val="22"/>
        </w:rPr>
      </w:pPr>
      <w:r w:rsidRPr="00E76C08">
        <w:rPr>
          <w:rFonts w:ascii="Arial" w:hAnsi="Arial" w:cs="Arial"/>
          <w:sz w:val="22"/>
          <w:szCs w:val="22"/>
        </w:rPr>
        <w:t>The commenter stated that 10 CFR 53.440</w:t>
      </w:r>
      <w:r w:rsidRPr="00E76C08" w:rsidR="001D16B7">
        <w:rPr>
          <w:rFonts w:ascii="Arial" w:hAnsi="Arial" w:cs="Arial"/>
          <w:sz w:val="22"/>
          <w:szCs w:val="22"/>
        </w:rPr>
        <w:t xml:space="preserve">(c), </w:t>
      </w:r>
      <w:r w:rsidRPr="00E76C08" w:rsidR="00166652">
        <w:rPr>
          <w:rFonts w:ascii="Arial" w:hAnsi="Arial" w:cs="Arial"/>
          <w:sz w:val="22"/>
          <w:szCs w:val="22"/>
        </w:rPr>
        <w:t>which</w:t>
      </w:r>
      <w:r w:rsidRPr="00E76C08" w:rsidR="001D16B7">
        <w:rPr>
          <w:rFonts w:ascii="Arial" w:hAnsi="Arial" w:cs="Arial"/>
          <w:sz w:val="22"/>
          <w:szCs w:val="22"/>
        </w:rPr>
        <w:t xml:space="preserve"> </w:t>
      </w:r>
      <w:r w:rsidRPr="00E76C08" w:rsidR="00015019">
        <w:rPr>
          <w:rFonts w:ascii="Arial" w:hAnsi="Arial" w:cs="Arial"/>
          <w:sz w:val="22"/>
          <w:szCs w:val="22"/>
        </w:rPr>
        <w:t>requires that</w:t>
      </w:r>
      <w:r w:rsidRPr="00E76C08" w:rsidR="001D16B7">
        <w:rPr>
          <w:rFonts w:ascii="Arial" w:hAnsi="Arial" w:cs="Arial"/>
          <w:sz w:val="22"/>
          <w:szCs w:val="22"/>
        </w:rPr>
        <w:t xml:space="preserve"> SSCs </w:t>
      </w:r>
      <w:r w:rsidRPr="00E76C08" w:rsidR="00FE4A3F">
        <w:rPr>
          <w:rFonts w:ascii="Arial" w:hAnsi="Arial" w:cs="Arial"/>
          <w:sz w:val="22"/>
          <w:szCs w:val="22"/>
        </w:rPr>
        <w:t xml:space="preserve">must be qualified </w:t>
      </w:r>
      <w:r w:rsidRPr="00E76C08" w:rsidR="001D16B7">
        <w:rPr>
          <w:rFonts w:ascii="Arial" w:hAnsi="Arial" w:cs="Arial"/>
          <w:sz w:val="22"/>
          <w:szCs w:val="22"/>
        </w:rPr>
        <w:t xml:space="preserve">for their service conditions over the design life of the SSC, contributes to eliminating the need for an Integrity Assessment Program in </w:t>
      </w:r>
      <w:r w:rsidRPr="00E76C08" w:rsidR="00373284">
        <w:rPr>
          <w:rFonts w:ascii="Arial" w:hAnsi="Arial" w:cs="Arial"/>
          <w:sz w:val="22"/>
          <w:szCs w:val="22"/>
        </w:rPr>
        <w:t>10 CFR </w:t>
      </w:r>
      <w:r w:rsidRPr="00E76C08" w:rsidR="001D16B7">
        <w:rPr>
          <w:rFonts w:ascii="Arial" w:hAnsi="Arial" w:cs="Arial"/>
          <w:sz w:val="22"/>
          <w:szCs w:val="22"/>
        </w:rPr>
        <w:t>53.870.</w:t>
      </w:r>
      <w:r w:rsidRPr="00E76C08" w:rsidR="009B18F6">
        <w:rPr>
          <w:rFonts w:ascii="Arial" w:hAnsi="Arial" w:cs="Arial"/>
          <w:sz w:val="22"/>
          <w:szCs w:val="22"/>
        </w:rPr>
        <w:t xml:space="preserve"> </w:t>
      </w:r>
      <w:r w:rsidRPr="00E76C08" w:rsidR="00373284">
        <w:rPr>
          <w:rFonts w:ascii="Arial" w:hAnsi="Arial" w:cs="Arial"/>
          <w:sz w:val="22"/>
          <w:szCs w:val="22"/>
        </w:rPr>
        <w:t xml:space="preserve">The commenter </w:t>
      </w:r>
      <w:r w:rsidRPr="00E76C08" w:rsidR="00A3059E">
        <w:rPr>
          <w:rFonts w:ascii="Arial" w:hAnsi="Arial" w:cs="Arial"/>
          <w:sz w:val="22"/>
          <w:szCs w:val="22"/>
        </w:rPr>
        <w:t xml:space="preserve">also </w:t>
      </w:r>
      <w:r w:rsidRPr="00E76C08" w:rsidR="00373284">
        <w:rPr>
          <w:rFonts w:ascii="Arial" w:hAnsi="Arial" w:cs="Arial"/>
          <w:sz w:val="22"/>
          <w:szCs w:val="22"/>
        </w:rPr>
        <w:t xml:space="preserve">stated that </w:t>
      </w:r>
      <w:r w:rsidRPr="00E76C08" w:rsidR="00373284">
        <w:rPr>
          <w:rFonts w:ascii="Arial" w:hAnsi="Arial" w:cs="Arial"/>
          <w:sz w:val="22"/>
          <w:szCs w:val="22"/>
        </w:rPr>
        <w:t>10 CFR 53.440</w:t>
      </w:r>
      <w:r w:rsidRPr="00E76C08" w:rsidR="001D16B7">
        <w:rPr>
          <w:rFonts w:ascii="Arial" w:hAnsi="Arial" w:cs="Arial"/>
          <w:sz w:val="22"/>
          <w:szCs w:val="22"/>
        </w:rPr>
        <w:t xml:space="preserve">(d), </w:t>
      </w:r>
      <w:r w:rsidRPr="00E76C08" w:rsidR="00442EB5">
        <w:rPr>
          <w:rFonts w:ascii="Arial" w:hAnsi="Arial" w:cs="Arial"/>
          <w:sz w:val="22"/>
          <w:szCs w:val="22"/>
        </w:rPr>
        <w:t>which</w:t>
      </w:r>
      <w:r w:rsidRPr="00E76C08" w:rsidR="001D16B7">
        <w:rPr>
          <w:rFonts w:ascii="Arial" w:hAnsi="Arial" w:cs="Arial"/>
          <w:sz w:val="22"/>
          <w:szCs w:val="22"/>
        </w:rPr>
        <w:t xml:space="preserve"> </w:t>
      </w:r>
      <w:r w:rsidRPr="00E76C08" w:rsidR="008B36C5">
        <w:rPr>
          <w:rFonts w:ascii="Arial" w:hAnsi="Arial" w:cs="Arial"/>
          <w:sz w:val="22"/>
          <w:szCs w:val="22"/>
        </w:rPr>
        <w:t xml:space="preserve">requires the </w:t>
      </w:r>
      <w:r w:rsidRPr="00E76C08" w:rsidR="001D16B7">
        <w:rPr>
          <w:rFonts w:ascii="Arial" w:hAnsi="Arial" w:cs="Arial"/>
          <w:sz w:val="22"/>
          <w:szCs w:val="22"/>
        </w:rPr>
        <w:t>evaluat</w:t>
      </w:r>
      <w:r w:rsidRPr="00E76C08" w:rsidR="008B36C5">
        <w:rPr>
          <w:rFonts w:ascii="Arial" w:hAnsi="Arial" w:cs="Arial"/>
          <w:sz w:val="22"/>
          <w:szCs w:val="22"/>
        </w:rPr>
        <w:t>ion of</w:t>
      </w:r>
      <w:r w:rsidRPr="00E76C08" w:rsidR="001D16B7">
        <w:rPr>
          <w:rFonts w:ascii="Arial" w:hAnsi="Arial" w:cs="Arial"/>
          <w:sz w:val="22"/>
          <w:szCs w:val="22"/>
        </w:rPr>
        <w:t xml:space="preserve"> possible degradation mechanisms over the plant lifetime</w:t>
      </w:r>
      <w:r w:rsidRPr="00E76C08" w:rsidR="00473205">
        <w:rPr>
          <w:rFonts w:ascii="Arial" w:hAnsi="Arial" w:cs="Arial"/>
          <w:sz w:val="22"/>
          <w:szCs w:val="22"/>
        </w:rPr>
        <w:t>,</w:t>
      </w:r>
      <w:r w:rsidRPr="00E76C08" w:rsidR="001D16B7">
        <w:rPr>
          <w:rFonts w:ascii="Arial" w:hAnsi="Arial" w:cs="Arial"/>
          <w:sz w:val="22"/>
          <w:szCs w:val="22"/>
        </w:rPr>
        <w:t xml:space="preserve"> c</w:t>
      </w:r>
      <w:r w:rsidRPr="00E76C08" w:rsidR="00442EB5">
        <w:rPr>
          <w:rFonts w:ascii="Arial" w:hAnsi="Arial" w:cs="Arial"/>
          <w:sz w:val="22"/>
          <w:szCs w:val="22"/>
        </w:rPr>
        <w:t>ould</w:t>
      </w:r>
      <w:r w:rsidRPr="00E76C08" w:rsidR="001D16B7">
        <w:rPr>
          <w:rFonts w:ascii="Arial" w:hAnsi="Arial" w:cs="Arial"/>
          <w:sz w:val="22"/>
          <w:szCs w:val="22"/>
        </w:rPr>
        <w:t xml:space="preserve"> be reassigned to provide further clarification for the need to qualify materials </w:t>
      </w:r>
      <w:r w:rsidRPr="00E76C08" w:rsidR="001C3291">
        <w:rPr>
          <w:rFonts w:ascii="Arial" w:hAnsi="Arial" w:cs="Arial"/>
          <w:sz w:val="22"/>
          <w:szCs w:val="22"/>
        </w:rPr>
        <w:t>under</w:t>
      </w:r>
      <w:r w:rsidRPr="00E76C08" w:rsidR="001D16B7">
        <w:rPr>
          <w:rFonts w:ascii="Arial" w:hAnsi="Arial" w:cs="Arial"/>
          <w:sz w:val="22"/>
          <w:szCs w:val="22"/>
        </w:rPr>
        <w:t xml:space="preserve"> </w:t>
      </w:r>
      <w:r w:rsidRPr="00E76C08" w:rsidR="00442EB5">
        <w:rPr>
          <w:rFonts w:ascii="Arial" w:hAnsi="Arial" w:cs="Arial"/>
          <w:sz w:val="22"/>
          <w:szCs w:val="22"/>
        </w:rPr>
        <w:t>10 CFR 53.440</w:t>
      </w:r>
      <w:r w:rsidRPr="00E76C08" w:rsidR="001D16B7">
        <w:rPr>
          <w:rFonts w:ascii="Arial" w:hAnsi="Arial" w:cs="Arial"/>
          <w:sz w:val="22"/>
          <w:szCs w:val="22"/>
        </w:rPr>
        <w:t>(c).</w:t>
      </w:r>
    </w:p>
    <w:p w:rsidR="00535366" w:rsidRPr="00E76C08" w:rsidP="00E76C08" w14:paraId="5833A556" w14:textId="77777777">
      <w:pPr>
        <w:spacing w:after="220"/>
        <w:rPr>
          <w:rFonts w:ascii="Arial" w:hAnsi="Arial" w:cs="Arial"/>
          <w:sz w:val="22"/>
          <w:szCs w:val="22"/>
        </w:rPr>
      </w:pPr>
      <w:r w:rsidRPr="00E76C08">
        <w:rPr>
          <w:rFonts w:ascii="Arial" w:hAnsi="Arial" w:cs="Arial"/>
          <w:sz w:val="22"/>
          <w:szCs w:val="22"/>
        </w:rPr>
        <w:t>The commenter wrote that the requirements in 10</w:t>
      </w:r>
      <w:r w:rsidRPr="00E76C08" w:rsidR="006B4664">
        <w:rPr>
          <w:rFonts w:ascii="Arial" w:hAnsi="Arial" w:cs="Arial"/>
          <w:sz w:val="22"/>
          <w:szCs w:val="22"/>
        </w:rPr>
        <w:t> </w:t>
      </w:r>
      <w:r w:rsidRPr="00E76C08">
        <w:rPr>
          <w:rFonts w:ascii="Arial" w:hAnsi="Arial" w:cs="Arial"/>
          <w:sz w:val="22"/>
          <w:szCs w:val="22"/>
        </w:rPr>
        <w:t>CFR</w:t>
      </w:r>
      <w:r w:rsidRPr="00E76C08" w:rsidR="006B4664">
        <w:rPr>
          <w:rFonts w:ascii="Arial" w:hAnsi="Arial" w:cs="Arial"/>
          <w:sz w:val="22"/>
          <w:szCs w:val="22"/>
        </w:rPr>
        <w:t> </w:t>
      </w:r>
      <w:r w:rsidRPr="00E76C08">
        <w:rPr>
          <w:rFonts w:ascii="Arial" w:hAnsi="Arial" w:cs="Arial"/>
          <w:sz w:val="22"/>
          <w:szCs w:val="22"/>
        </w:rPr>
        <w:t>53.</w:t>
      </w:r>
      <w:r w:rsidRPr="00E76C08" w:rsidR="001D68DA">
        <w:rPr>
          <w:rFonts w:ascii="Arial" w:hAnsi="Arial" w:cs="Arial"/>
          <w:sz w:val="22"/>
          <w:szCs w:val="22"/>
        </w:rPr>
        <w:t>44</w:t>
      </w:r>
      <w:r w:rsidRPr="00E76C08">
        <w:rPr>
          <w:rFonts w:ascii="Arial" w:hAnsi="Arial" w:cs="Arial"/>
          <w:sz w:val="22"/>
          <w:szCs w:val="22"/>
        </w:rPr>
        <w:t xml:space="preserve">0(c) and (d) increase the traditional scope of qualification beyond SR SSCs </w:t>
      </w:r>
      <w:r w:rsidRPr="00E76C08" w:rsidR="00080D1A">
        <w:rPr>
          <w:rFonts w:ascii="Arial" w:hAnsi="Arial" w:cs="Arial"/>
          <w:sz w:val="22"/>
          <w:szCs w:val="22"/>
        </w:rPr>
        <w:t>to</w:t>
      </w:r>
      <w:r w:rsidRPr="00E76C08" w:rsidR="00F11D50">
        <w:rPr>
          <w:rFonts w:ascii="Arial" w:hAnsi="Arial" w:cs="Arial"/>
          <w:sz w:val="22"/>
          <w:szCs w:val="22"/>
        </w:rPr>
        <w:t xml:space="preserve"> also include</w:t>
      </w:r>
      <w:r w:rsidRPr="00E76C08" w:rsidR="00080D1A">
        <w:rPr>
          <w:rFonts w:ascii="Arial" w:hAnsi="Arial" w:cs="Arial"/>
          <w:sz w:val="22"/>
          <w:szCs w:val="22"/>
        </w:rPr>
        <w:t xml:space="preserve"> NSR</w:t>
      </w:r>
      <w:r w:rsidRPr="00E76C08" w:rsidR="00170861">
        <w:rPr>
          <w:rFonts w:ascii="Arial" w:hAnsi="Arial" w:cs="Arial"/>
          <w:sz w:val="22"/>
          <w:szCs w:val="22"/>
        </w:rPr>
        <w:t xml:space="preserve">SS SSCs </w:t>
      </w:r>
      <w:r w:rsidRPr="00E76C08">
        <w:rPr>
          <w:rFonts w:ascii="Arial" w:hAnsi="Arial" w:cs="Arial"/>
          <w:sz w:val="22"/>
          <w:szCs w:val="22"/>
        </w:rPr>
        <w:t>and</w:t>
      </w:r>
      <w:r w:rsidRPr="00E76C08" w:rsidR="006B4664">
        <w:rPr>
          <w:rFonts w:ascii="Arial" w:hAnsi="Arial" w:cs="Arial"/>
          <w:sz w:val="22"/>
          <w:szCs w:val="22"/>
        </w:rPr>
        <w:t xml:space="preserve"> </w:t>
      </w:r>
      <w:r w:rsidRPr="00E76C08">
        <w:rPr>
          <w:rFonts w:ascii="Arial" w:hAnsi="Arial" w:cs="Arial"/>
          <w:sz w:val="22"/>
          <w:szCs w:val="22"/>
        </w:rPr>
        <w:t xml:space="preserve">proposed that </w:t>
      </w:r>
      <w:r w:rsidRPr="00E76C08" w:rsidR="009F1054">
        <w:rPr>
          <w:rFonts w:ascii="Arial" w:hAnsi="Arial" w:cs="Arial"/>
          <w:sz w:val="22"/>
          <w:szCs w:val="22"/>
        </w:rPr>
        <w:t xml:space="preserve">qualification should only be a requirement for SR SSCs and an option for NSRSS SSCs. The commenter suggested that </w:t>
      </w:r>
      <w:r w:rsidRPr="00E76C08">
        <w:rPr>
          <w:rFonts w:ascii="Arial" w:hAnsi="Arial" w:cs="Arial"/>
          <w:sz w:val="22"/>
          <w:szCs w:val="22"/>
        </w:rPr>
        <w:t>the NRC combine paragraphs (c) and (d) to read</w:t>
      </w:r>
      <w:r w:rsidRPr="00E76C08" w:rsidR="00170861">
        <w:rPr>
          <w:rFonts w:ascii="Arial" w:hAnsi="Arial" w:cs="Arial"/>
          <w:sz w:val="22"/>
          <w:szCs w:val="22"/>
        </w:rPr>
        <w:t xml:space="preserve"> as follows</w:t>
      </w:r>
      <w:r w:rsidRPr="00E76C08">
        <w:rPr>
          <w:rFonts w:ascii="Arial" w:hAnsi="Arial" w:cs="Arial"/>
          <w:sz w:val="22"/>
          <w:szCs w:val="22"/>
        </w:rPr>
        <w:t xml:space="preserve"> (</w:t>
      </w:r>
      <w:r w:rsidR="009D6BB9">
        <w:rPr>
          <w:rFonts w:ascii="Arial" w:hAnsi="Arial" w:cs="Arial"/>
          <w:sz w:val="22"/>
          <w:szCs w:val="22"/>
        </w:rPr>
        <w:t>NEI2</w:t>
      </w:r>
      <w:r w:rsidRPr="00E76C08">
        <w:rPr>
          <w:rFonts w:ascii="Arial" w:hAnsi="Arial" w:cs="Arial"/>
          <w:sz w:val="22"/>
          <w:szCs w:val="22"/>
        </w:rPr>
        <w:t>-0048):</w:t>
      </w:r>
    </w:p>
    <w:p w:rsidR="00535366" w:rsidRPr="00E76C08" w:rsidP="00E76C08" w14:paraId="505AB473" w14:textId="77777777">
      <w:pPr>
        <w:spacing w:after="220"/>
        <w:ind w:left="720"/>
        <w:rPr>
          <w:rFonts w:ascii="Arial" w:hAnsi="Arial" w:cs="Arial"/>
          <w:sz w:val="22"/>
          <w:szCs w:val="22"/>
        </w:rPr>
      </w:pPr>
      <w:r w:rsidRPr="00E76C08">
        <w:rPr>
          <w:rFonts w:ascii="Arial" w:hAnsi="Arial" w:cs="Arial"/>
          <w:sz w:val="22"/>
          <w:szCs w:val="22"/>
        </w:rPr>
        <w:t>The materials used for safety related SSCs must be qualified for their service conditions over the plant lifetime. Qualification must consider possible degradation mechanisms related to service time, fatigue, chemical interactions, operating temperatures, effects of irradiation, and other environmental factors that may affect their performance.”</w:t>
      </w:r>
    </w:p>
    <w:p w:rsidR="00535366" w:rsidRPr="00E76C08" w:rsidP="00E76C08" w14:paraId="42C9824F" w14:textId="77777777">
      <w:pPr>
        <w:spacing w:after="220"/>
        <w:rPr>
          <w:rFonts w:ascii="Arial" w:hAnsi="Arial" w:cs="Arial"/>
          <w:sz w:val="22"/>
          <w:szCs w:val="22"/>
        </w:rPr>
      </w:pPr>
      <w:r w:rsidRPr="00E76C08">
        <w:rPr>
          <w:rFonts w:ascii="Arial" w:hAnsi="Arial" w:cs="Arial"/>
          <w:sz w:val="22"/>
          <w:szCs w:val="22"/>
        </w:rPr>
        <w:t>The commenter also suggested that NRC (</w:t>
      </w:r>
      <w:r w:rsidR="009D6BB9">
        <w:rPr>
          <w:rFonts w:ascii="Arial" w:hAnsi="Arial" w:cs="Arial"/>
          <w:sz w:val="22"/>
          <w:szCs w:val="22"/>
        </w:rPr>
        <w:t>NEI2</w:t>
      </w:r>
      <w:r w:rsidRPr="00E76C08">
        <w:rPr>
          <w:rFonts w:ascii="Arial" w:hAnsi="Arial" w:cs="Arial"/>
          <w:sz w:val="22"/>
          <w:szCs w:val="22"/>
        </w:rPr>
        <w:t>-0048):</w:t>
      </w:r>
    </w:p>
    <w:p w:rsidR="00535366" w:rsidRPr="00E76C08" w:rsidP="00455E55" w14:paraId="4798E511"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 (e) related to fire protection due to its redundance with paragraph (a).</w:t>
      </w:r>
    </w:p>
    <w:p w:rsidR="00535366" w:rsidRPr="00E76C08" w:rsidP="00455E55" w14:paraId="4F98AB3F"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 (f) related to safety and security due to it duplicating 10</w:t>
      </w:r>
      <w:r w:rsidRPr="00E76C08" w:rsidR="008445BB">
        <w:rPr>
          <w:rFonts w:ascii="Arial" w:hAnsi="Arial" w:cs="Arial"/>
          <w:sz w:val="22"/>
          <w:szCs w:val="22"/>
        </w:rPr>
        <w:t> </w:t>
      </w:r>
      <w:r w:rsidRPr="00E76C08">
        <w:rPr>
          <w:rFonts w:ascii="Arial" w:hAnsi="Arial" w:cs="Arial"/>
          <w:sz w:val="22"/>
          <w:szCs w:val="22"/>
        </w:rPr>
        <w:t>CFR</w:t>
      </w:r>
      <w:r w:rsidRPr="00E76C08" w:rsidR="008445BB">
        <w:rPr>
          <w:rFonts w:ascii="Arial" w:hAnsi="Arial" w:cs="Arial"/>
          <w:sz w:val="22"/>
          <w:szCs w:val="22"/>
        </w:rPr>
        <w:t> </w:t>
      </w:r>
      <w:r w:rsidRPr="00E76C08">
        <w:rPr>
          <w:rFonts w:ascii="Arial" w:hAnsi="Arial" w:cs="Arial"/>
          <w:sz w:val="22"/>
          <w:szCs w:val="22"/>
        </w:rPr>
        <w:t>73.58.</w:t>
      </w:r>
    </w:p>
    <w:p w:rsidR="00535366" w:rsidRPr="00E76C08" w:rsidP="00455E55" w14:paraId="2EEE6335"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paragraphs (g) and (h) due to their duplicating elements of 10</w:t>
      </w:r>
      <w:r w:rsidRPr="00E76C08" w:rsidR="008445BB">
        <w:rPr>
          <w:rFonts w:ascii="Arial" w:hAnsi="Arial" w:cs="Arial"/>
          <w:sz w:val="22"/>
          <w:szCs w:val="22"/>
        </w:rPr>
        <w:t> </w:t>
      </w:r>
      <w:r w:rsidRPr="00E76C08">
        <w:rPr>
          <w:rFonts w:ascii="Arial" w:hAnsi="Arial" w:cs="Arial"/>
          <w:sz w:val="22"/>
          <w:szCs w:val="22"/>
        </w:rPr>
        <w:t>CFR</w:t>
      </w:r>
      <w:r w:rsidRPr="00E76C08" w:rsidR="008445BB">
        <w:rPr>
          <w:rFonts w:ascii="Arial" w:hAnsi="Arial" w:cs="Arial"/>
          <w:sz w:val="22"/>
          <w:szCs w:val="22"/>
        </w:rPr>
        <w:t> </w:t>
      </w:r>
      <w:r w:rsidRPr="00E76C08">
        <w:rPr>
          <w:rFonts w:ascii="Arial" w:hAnsi="Arial" w:cs="Arial"/>
          <w:sz w:val="22"/>
          <w:szCs w:val="22"/>
        </w:rPr>
        <w:t xml:space="preserve">53.210, </w:t>
      </w:r>
      <w:r w:rsidR="001F303A">
        <w:rPr>
          <w:rFonts w:ascii="Arial" w:hAnsi="Arial" w:cs="Arial"/>
          <w:sz w:val="22"/>
          <w:szCs w:val="22"/>
        </w:rPr>
        <w:t>10</w:t>
      </w:r>
      <w:r w:rsidR="00504022">
        <w:rPr>
          <w:rFonts w:ascii="Arial" w:hAnsi="Arial" w:cs="Arial"/>
          <w:sz w:val="22"/>
          <w:szCs w:val="22"/>
        </w:rPr>
        <w:t> </w:t>
      </w:r>
      <w:r w:rsidR="001F303A">
        <w:rPr>
          <w:rFonts w:ascii="Arial" w:hAnsi="Arial" w:cs="Arial"/>
          <w:sz w:val="22"/>
          <w:szCs w:val="22"/>
        </w:rPr>
        <w:t xml:space="preserve">CFR </w:t>
      </w:r>
      <w:r w:rsidRPr="00E76C08">
        <w:rPr>
          <w:rFonts w:ascii="Arial" w:hAnsi="Arial" w:cs="Arial"/>
          <w:sz w:val="22"/>
          <w:szCs w:val="22"/>
        </w:rPr>
        <w:t xml:space="preserve">53.220, and </w:t>
      </w:r>
      <w:r w:rsidR="001F303A">
        <w:rPr>
          <w:rFonts w:ascii="Arial" w:hAnsi="Arial" w:cs="Arial"/>
          <w:sz w:val="22"/>
          <w:szCs w:val="22"/>
        </w:rPr>
        <w:t xml:space="preserve">10 CFR </w:t>
      </w:r>
      <w:r w:rsidRPr="00E76C08">
        <w:rPr>
          <w:rFonts w:ascii="Arial" w:hAnsi="Arial" w:cs="Arial"/>
          <w:sz w:val="22"/>
          <w:szCs w:val="22"/>
        </w:rPr>
        <w:t>53.240.</w:t>
      </w:r>
    </w:p>
    <w:p w:rsidR="00535366" w:rsidRPr="00E76C08" w:rsidP="00455E55" w14:paraId="0A60C17F"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remove paragraph (i) related to fuel and radionuclides outside the reactor as the commenter states it is covered implicitly in 10 CFR Part 53, Subpart B, and is explicitly required for analysis under 10 CFR 53.450(b)(4) and (5).</w:t>
      </w:r>
    </w:p>
    <w:p w:rsidR="00535366" w:rsidRPr="00E76C08" w:rsidP="00455E55" w14:paraId="3CEBE56D"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remove paragraph (j) as it postulates an aircraft impact that results from an attack or destructive action. The commenter states that per 10 CFR 53.110, licensees are not required to provide for design features to protect against such attacks.</w:t>
      </w:r>
    </w:p>
    <w:p w:rsidR="00535366" w:rsidRPr="00E76C08" w:rsidP="00455E55" w14:paraId="40CD5A98"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 (k) but ensure chemical hazards are addressed in the EP plan consistent with language in 10 CFR 70.22</w:t>
      </w:r>
      <w:r w:rsidR="00504022">
        <w:rPr>
          <w:rFonts w:ascii="Arial" w:hAnsi="Arial" w:cs="Arial"/>
          <w:sz w:val="22"/>
          <w:szCs w:val="22"/>
        </w:rPr>
        <w:t>.</w:t>
      </w:r>
    </w:p>
    <w:p w:rsidR="00535366" w:rsidRPr="00E76C08" w:rsidP="00455E55" w14:paraId="21194473"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paragraphs (l) due to it duplicating requirements in 10 CFR 20.1406</w:t>
      </w:r>
      <w:r w:rsidR="00504022">
        <w:rPr>
          <w:rFonts w:ascii="Arial" w:hAnsi="Arial" w:cs="Arial"/>
          <w:sz w:val="22"/>
          <w:szCs w:val="22"/>
        </w:rPr>
        <w:t>.</w:t>
      </w:r>
    </w:p>
    <w:p w:rsidR="00535366" w:rsidRPr="00E76C08" w:rsidP="00455E55" w14:paraId="6163B156"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 xml:space="preserve">delete paragraph (m) due to some elements being duplicative of 10 CFR 70.24. The commenter suggested some elements would be better suited for Subpart F. </w:t>
      </w:r>
    </w:p>
    <w:p w:rsidR="00535366" w:rsidRPr="00E76C08" w:rsidP="00455E55" w14:paraId="48972DF9" w14:textId="77777777">
      <w:pPr>
        <w:pStyle w:val="ListParagraph"/>
        <w:numPr>
          <w:ilvl w:val="0"/>
          <w:numId w:val="25"/>
        </w:numPr>
        <w:spacing w:after="220"/>
        <w:contextualSpacing w:val="0"/>
        <w:rPr>
          <w:rFonts w:ascii="Arial" w:hAnsi="Arial" w:cs="Arial"/>
          <w:sz w:val="22"/>
          <w:szCs w:val="22"/>
        </w:rPr>
      </w:pPr>
      <w:r w:rsidRPr="00E76C08">
        <w:rPr>
          <w:rFonts w:ascii="Arial" w:hAnsi="Arial" w:cs="Arial"/>
          <w:sz w:val="22"/>
          <w:szCs w:val="22"/>
        </w:rPr>
        <w:t>delete paragraph (n). The comment suggested the human factors elements are duplicative of Subpart F, including individual elements of a human factors program within regulation may prevent applicants from maintaining the "state</w:t>
      </w:r>
      <w:r w:rsidRPr="00E76C08" w:rsidR="005001E0">
        <w:rPr>
          <w:rFonts w:ascii="Arial" w:hAnsi="Arial" w:cs="Arial"/>
          <w:sz w:val="22"/>
          <w:szCs w:val="22"/>
        </w:rPr>
        <w:noBreakHyphen/>
      </w:r>
      <w:r w:rsidRPr="00E76C08">
        <w:rPr>
          <w:rFonts w:ascii="Arial" w:hAnsi="Arial" w:cs="Arial"/>
          <w:sz w:val="22"/>
          <w:szCs w:val="22"/>
        </w:rPr>
        <w:t>of</w:t>
      </w:r>
      <w:r w:rsidRPr="00E76C08" w:rsidR="005001E0">
        <w:rPr>
          <w:rFonts w:ascii="Arial" w:hAnsi="Arial" w:cs="Arial"/>
          <w:sz w:val="22"/>
          <w:szCs w:val="22"/>
        </w:rPr>
        <w:noBreakHyphen/>
      </w:r>
      <w:r w:rsidRPr="00E76C08">
        <w:rPr>
          <w:rFonts w:ascii="Arial" w:hAnsi="Arial" w:cs="Arial"/>
          <w:sz w:val="22"/>
          <w:szCs w:val="22"/>
        </w:rPr>
        <w:t>the art" as required, and that program elements should be relocated to guidance.</w:t>
      </w:r>
    </w:p>
    <w:p w:rsidR="00535366" w:rsidRPr="00E76C08" w:rsidP="00E76C08" w14:paraId="6ACB7B5A" w14:textId="77777777">
      <w:pPr>
        <w:spacing w:after="220"/>
        <w:rPr>
          <w:rFonts w:ascii="Arial" w:eastAsia="Aptos" w:hAnsi="Arial" w:cs="Arial"/>
          <w:sz w:val="22"/>
          <w:szCs w:val="22"/>
        </w:rPr>
      </w:pPr>
      <w:r w:rsidRPr="00E76C08">
        <w:rPr>
          <w:rFonts w:ascii="Arial" w:eastAsia="Aptos" w:hAnsi="Arial" w:cs="Arial"/>
          <w:sz w:val="22"/>
          <w:szCs w:val="22"/>
        </w:rPr>
        <w:t>T</w:t>
      </w:r>
      <w:r w:rsidRPr="00E76C08" w:rsidR="00DA0BC1">
        <w:rPr>
          <w:rFonts w:ascii="Arial" w:eastAsia="Aptos" w:hAnsi="Arial" w:cs="Arial"/>
          <w:sz w:val="22"/>
          <w:szCs w:val="22"/>
        </w:rPr>
        <w:t>wo</w:t>
      </w:r>
      <w:r w:rsidRPr="00E76C08">
        <w:rPr>
          <w:rFonts w:ascii="Arial" w:eastAsia="Aptos" w:hAnsi="Arial" w:cs="Arial"/>
          <w:sz w:val="22"/>
          <w:szCs w:val="22"/>
        </w:rPr>
        <w:t xml:space="preserve"> commenter</w:t>
      </w:r>
      <w:r w:rsidRPr="00E76C08" w:rsidR="00140046">
        <w:rPr>
          <w:rFonts w:ascii="Arial" w:eastAsia="Aptos" w:hAnsi="Arial" w:cs="Arial"/>
          <w:sz w:val="22"/>
          <w:szCs w:val="22"/>
        </w:rPr>
        <w:t>s</w:t>
      </w:r>
      <w:r w:rsidRPr="00E76C08">
        <w:rPr>
          <w:rFonts w:ascii="Arial" w:eastAsia="Aptos" w:hAnsi="Arial" w:cs="Arial"/>
          <w:sz w:val="22"/>
          <w:szCs w:val="22"/>
        </w:rPr>
        <w:t xml:space="preserve"> stated that the requirements in 10</w:t>
      </w:r>
      <w:r w:rsidRPr="00E76C08" w:rsidR="006C654C">
        <w:rPr>
          <w:rFonts w:ascii="Arial" w:eastAsia="Aptos" w:hAnsi="Arial" w:cs="Arial"/>
          <w:sz w:val="22"/>
          <w:szCs w:val="22"/>
        </w:rPr>
        <w:t> </w:t>
      </w:r>
      <w:r w:rsidRPr="00E76C08">
        <w:rPr>
          <w:rFonts w:ascii="Arial" w:eastAsia="Aptos" w:hAnsi="Arial" w:cs="Arial"/>
          <w:sz w:val="22"/>
          <w:szCs w:val="22"/>
        </w:rPr>
        <w:t>CFR</w:t>
      </w:r>
      <w:r w:rsidRPr="00E76C08" w:rsidR="00737C65">
        <w:rPr>
          <w:rFonts w:ascii="Arial" w:eastAsia="Aptos" w:hAnsi="Arial" w:cs="Arial"/>
          <w:sz w:val="22"/>
          <w:szCs w:val="22"/>
        </w:rPr>
        <w:t> </w:t>
      </w:r>
      <w:r w:rsidRPr="00E76C08">
        <w:rPr>
          <w:rFonts w:ascii="Arial" w:eastAsia="Aptos" w:hAnsi="Arial" w:cs="Arial"/>
          <w:sz w:val="22"/>
          <w:szCs w:val="22"/>
        </w:rPr>
        <w:t>53.440(k) addressing chemical hazards are unwarranted and go beyond existing regulatory requirements and exceed chemical safety requirements in 10</w:t>
      </w:r>
      <w:r w:rsidRPr="00E76C08" w:rsidR="00737C65">
        <w:rPr>
          <w:rFonts w:ascii="Arial" w:eastAsia="Aptos" w:hAnsi="Arial" w:cs="Arial"/>
          <w:sz w:val="22"/>
          <w:szCs w:val="22"/>
        </w:rPr>
        <w:t> </w:t>
      </w:r>
      <w:r w:rsidRPr="00E76C08">
        <w:rPr>
          <w:rFonts w:ascii="Arial" w:eastAsia="Aptos" w:hAnsi="Arial" w:cs="Arial"/>
          <w:sz w:val="22"/>
          <w:szCs w:val="22"/>
        </w:rPr>
        <w:t>CFR</w:t>
      </w:r>
      <w:r w:rsidRPr="00E76C08" w:rsidR="00737C65">
        <w:rPr>
          <w:rFonts w:ascii="Arial" w:eastAsia="Aptos" w:hAnsi="Arial" w:cs="Arial"/>
          <w:sz w:val="22"/>
          <w:szCs w:val="22"/>
        </w:rPr>
        <w:t> </w:t>
      </w:r>
      <w:r w:rsidRPr="00E76C08">
        <w:rPr>
          <w:rFonts w:ascii="Arial" w:eastAsia="Aptos" w:hAnsi="Arial" w:cs="Arial"/>
          <w:sz w:val="22"/>
          <w:szCs w:val="22"/>
        </w:rPr>
        <w:t>Part 70. The commenters noted that consistent with 10</w:t>
      </w:r>
      <w:r w:rsidR="002334ED">
        <w:rPr>
          <w:rFonts w:ascii="Arial" w:eastAsia="Aptos" w:hAnsi="Arial" w:cs="Arial"/>
          <w:sz w:val="22"/>
          <w:szCs w:val="22"/>
        </w:rPr>
        <w:t> </w:t>
      </w:r>
      <w:r w:rsidRPr="00E76C08">
        <w:rPr>
          <w:rFonts w:ascii="Arial" w:eastAsia="Aptos" w:hAnsi="Arial" w:cs="Arial"/>
          <w:sz w:val="22"/>
          <w:szCs w:val="22"/>
        </w:rPr>
        <w:t>CFR</w:t>
      </w:r>
      <w:r w:rsidR="002334ED">
        <w:rPr>
          <w:rFonts w:ascii="Arial" w:eastAsia="Aptos" w:hAnsi="Arial" w:cs="Arial"/>
          <w:sz w:val="22"/>
          <w:szCs w:val="22"/>
        </w:rPr>
        <w:t> </w:t>
      </w:r>
      <w:r w:rsidRPr="00E76C08">
        <w:rPr>
          <w:rFonts w:ascii="Arial" w:eastAsia="Aptos" w:hAnsi="Arial" w:cs="Arial"/>
          <w:sz w:val="22"/>
          <w:szCs w:val="22"/>
        </w:rPr>
        <w:t>70.22(i)(1)(ii), chemical hazards should be addressed in the emergency plan responding to radiological hazards and should not be included as a design requirement (</w:t>
      </w:r>
      <w:r w:rsidR="009D6BB9">
        <w:rPr>
          <w:rFonts w:ascii="Arial" w:eastAsia="Aptos" w:hAnsi="Arial" w:cs="Arial"/>
          <w:sz w:val="22"/>
          <w:szCs w:val="22"/>
        </w:rPr>
        <w:t>NEI2</w:t>
      </w:r>
      <w:r w:rsidRPr="00E76C08">
        <w:rPr>
          <w:rFonts w:ascii="Arial" w:hAnsi="Arial" w:cs="Arial"/>
          <w:sz w:val="22"/>
          <w:szCs w:val="22"/>
        </w:rPr>
        <w:t xml:space="preserve">-0048, </w:t>
      </w:r>
      <w:r w:rsidR="00AE0B17">
        <w:rPr>
          <w:rFonts w:ascii="Arial" w:eastAsia="Aptos" w:hAnsi="Arial" w:cs="Arial"/>
          <w:sz w:val="22"/>
          <w:szCs w:val="22"/>
        </w:rPr>
        <w:t>USNIC2</w:t>
      </w:r>
      <w:r w:rsidRPr="00E76C08">
        <w:rPr>
          <w:rFonts w:ascii="Arial" w:eastAsia="Aptos" w:hAnsi="Arial" w:cs="Arial"/>
          <w:sz w:val="22"/>
          <w:szCs w:val="22"/>
        </w:rPr>
        <w:t>-0023).</w:t>
      </w:r>
    </w:p>
    <w:p w:rsidR="00535366" w:rsidRPr="00E76C08" w:rsidP="00E76C08" w14:paraId="1B4819FE" w14:textId="77777777">
      <w:pPr>
        <w:spacing w:after="220"/>
        <w:rPr>
          <w:rFonts w:ascii="Arial" w:hAnsi="Arial" w:cs="Arial"/>
          <w:sz w:val="22"/>
          <w:szCs w:val="22"/>
        </w:rPr>
      </w:pPr>
      <w:r w:rsidRPr="00E76C08">
        <w:rPr>
          <w:rFonts w:ascii="Arial" w:hAnsi="Arial" w:cs="Arial"/>
          <w:b/>
          <w:sz w:val="22"/>
          <w:szCs w:val="22"/>
        </w:rPr>
        <w:t>NRC Response:</w:t>
      </w:r>
      <w:r w:rsidRPr="00E76C08">
        <w:rPr>
          <w:rFonts w:ascii="Arial" w:hAnsi="Arial" w:cs="Arial"/>
          <w:sz w:val="22"/>
          <w:szCs w:val="22"/>
        </w:rPr>
        <w:t> The NRC agrees, in part, with the comments.</w:t>
      </w:r>
    </w:p>
    <w:p w:rsidR="00535366" w:rsidRPr="00E76C08" w:rsidP="00E76C08" w14:paraId="3819E723" w14:textId="77777777">
      <w:pPr>
        <w:spacing w:after="220"/>
        <w:rPr>
          <w:rFonts w:ascii="Arial" w:hAnsi="Arial" w:cs="Arial"/>
          <w:sz w:val="22"/>
          <w:szCs w:val="22"/>
        </w:rPr>
      </w:pPr>
      <w:r>
        <w:rPr>
          <w:rFonts w:ascii="Arial" w:hAnsi="Arial" w:cs="Arial"/>
          <w:sz w:val="22"/>
          <w:szCs w:val="22"/>
        </w:rPr>
        <w:t xml:space="preserve">The NRC </w:t>
      </w:r>
      <w:r w:rsidR="00B702D7">
        <w:rPr>
          <w:rFonts w:ascii="Arial" w:hAnsi="Arial" w:cs="Arial"/>
          <w:sz w:val="22"/>
          <w:szCs w:val="22"/>
        </w:rPr>
        <w:t>revised</w:t>
      </w:r>
      <w:r>
        <w:rPr>
          <w:rFonts w:ascii="Arial" w:hAnsi="Arial" w:cs="Arial"/>
          <w:sz w:val="22"/>
          <w:szCs w:val="22"/>
        </w:rPr>
        <w:t xml:space="preserve"> the rule language in response to comments</w:t>
      </w:r>
      <w:r w:rsidR="00EF1550">
        <w:rPr>
          <w:rFonts w:ascii="Arial" w:hAnsi="Arial" w:cs="Arial"/>
          <w:sz w:val="22"/>
          <w:szCs w:val="22"/>
        </w:rPr>
        <w:t xml:space="preserve"> on</w:t>
      </w:r>
      <w:r w:rsidRPr="00E76C08">
        <w:rPr>
          <w:rFonts w:ascii="Arial" w:hAnsi="Arial" w:cs="Arial"/>
          <w:sz w:val="22"/>
          <w:szCs w:val="22"/>
        </w:rPr>
        <w:t xml:space="preserve"> 10 CFR 53.440(c)</w:t>
      </w:r>
      <w:r w:rsidR="00EF1550">
        <w:rPr>
          <w:rFonts w:ascii="Arial" w:hAnsi="Arial" w:cs="Arial"/>
          <w:sz w:val="22"/>
          <w:szCs w:val="22"/>
        </w:rPr>
        <w:t>. Specifically,</w:t>
      </w:r>
      <w:r w:rsidRPr="00E76C08">
        <w:rPr>
          <w:sz w:val="22"/>
          <w:szCs w:val="22"/>
        </w:rPr>
        <w:t xml:space="preserve"> </w:t>
      </w:r>
      <w:r w:rsidRPr="00E76C08" w:rsidR="00EA5277">
        <w:rPr>
          <w:rFonts w:ascii="Arial" w:hAnsi="Arial" w:cs="Arial"/>
          <w:sz w:val="22"/>
          <w:szCs w:val="22"/>
        </w:rPr>
        <w:t xml:space="preserve">the NRC </w:t>
      </w:r>
      <w:r w:rsidR="00B702D7">
        <w:rPr>
          <w:rFonts w:ascii="Arial" w:hAnsi="Arial" w:cs="Arial"/>
          <w:sz w:val="22"/>
          <w:szCs w:val="22"/>
        </w:rPr>
        <w:t>revised</w:t>
      </w:r>
      <w:r w:rsidRPr="00E76C08" w:rsidR="00EA5277">
        <w:rPr>
          <w:rFonts w:ascii="Arial" w:hAnsi="Arial" w:cs="Arial"/>
          <w:sz w:val="22"/>
          <w:szCs w:val="22"/>
        </w:rPr>
        <w:t xml:space="preserve"> the rule language for 10 CFR 53.440(c) to address concerns expressed that “qualify” has a historical meaning that might imply that requirements for safety-related SSCs necessarily also apply to NSRSS SSCs. The </w:t>
      </w:r>
      <w:r w:rsidR="00F24B99">
        <w:rPr>
          <w:rFonts w:ascii="Arial" w:hAnsi="Arial" w:cs="Arial"/>
          <w:sz w:val="22"/>
          <w:szCs w:val="22"/>
        </w:rPr>
        <w:t xml:space="preserve">NRC </w:t>
      </w:r>
      <w:r w:rsidR="00B702D7">
        <w:rPr>
          <w:rFonts w:ascii="Arial" w:hAnsi="Arial" w:cs="Arial"/>
          <w:sz w:val="22"/>
          <w:szCs w:val="22"/>
        </w:rPr>
        <w:t>revised</w:t>
      </w:r>
      <w:r w:rsidR="00F24B99">
        <w:rPr>
          <w:rFonts w:ascii="Arial" w:hAnsi="Arial" w:cs="Arial"/>
          <w:sz w:val="22"/>
          <w:szCs w:val="22"/>
        </w:rPr>
        <w:t xml:space="preserve"> the </w:t>
      </w:r>
      <w:r w:rsidRPr="00E76C08" w:rsidR="00EA5277">
        <w:rPr>
          <w:rFonts w:ascii="Arial" w:hAnsi="Arial" w:cs="Arial"/>
          <w:sz w:val="22"/>
          <w:szCs w:val="22"/>
        </w:rPr>
        <w:t>paragraph to include qualifications as appropriate to address the special treatments identified under 10</w:t>
      </w:r>
      <w:r w:rsidR="00B702D7">
        <w:rPr>
          <w:rFonts w:ascii="Arial" w:hAnsi="Arial" w:cs="Arial"/>
          <w:sz w:val="22"/>
          <w:szCs w:val="22"/>
        </w:rPr>
        <w:t> </w:t>
      </w:r>
      <w:r w:rsidRPr="00E76C08" w:rsidR="00EA5277">
        <w:rPr>
          <w:rFonts w:ascii="Arial" w:hAnsi="Arial" w:cs="Arial"/>
          <w:sz w:val="22"/>
          <w:szCs w:val="22"/>
        </w:rPr>
        <w:t>CFR</w:t>
      </w:r>
      <w:r w:rsidR="00B702D7">
        <w:rPr>
          <w:rFonts w:ascii="Arial" w:hAnsi="Arial" w:cs="Arial"/>
          <w:sz w:val="22"/>
          <w:szCs w:val="22"/>
        </w:rPr>
        <w:t> </w:t>
      </w:r>
      <w:r w:rsidRPr="00E76C08" w:rsidR="00EA5277">
        <w:rPr>
          <w:rFonts w:ascii="Arial" w:hAnsi="Arial" w:cs="Arial"/>
          <w:sz w:val="22"/>
          <w:szCs w:val="22"/>
        </w:rPr>
        <w:t>53.460</w:t>
      </w:r>
      <w:r w:rsidRPr="00E76C08">
        <w:rPr>
          <w:rFonts w:ascii="Arial" w:hAnsi="Arial" w:cs="Arial"/>
          <w:sz w:val="22"/>
          <w:szCs w:val="22"/>
        </w:rPr>
        <w:t>.</w:t>
      </w:r>
    </w:p>
    <w:p w:rsidR="00535366" w:rsidRPr="00E76C08" w:rsidP="00E76C08" w14:paraId="54C4F697" w14:textId="77777777">
      <w:pPr>
        <w:spacing w:after="220"/>
        <w:rPr>
          <w:rFonts w:ascii="Arial" w:hAnsi="Arial" w:cs="Arial"/>
          <w:sz w:val="22"/>
          <w:szCs w:val="22"/>
        </w:rPr>
      </w:pPr>
      <w:r w:rsidRPr="00E76C08">
        <w:rPr>
          <w:rFonts w:ascii="Arial" w:hAnsi="Arial" w:cs="Arial"/>
          <w:sz w:val="22"/>
          <w:szCs w:val="22"/>
        </w:rPr>
        <w:t xml:space="preserve">Regarding 10 CFR 53.440(d), see the response to </w:t>
      </w:r>
      <w:r w:rsidRPr="00E76C08" w:rsidR="007E51BE">
        <w:rPr>
          <w:rFonts w:ascii="Arial" w:hAnsi="Arial" w:cs="Arial"/>
          <w:sz w:val="22"/>
          <w:szCs w:val="22"/>
        </w:rPr>
        <w:t>C</w:t>
      </w:r>
      <w:r w:rsidRPr="00E76C08">
        <w:rPr>
          <w:rFonts w:ascii="Arial" w:hAnsi="Arial" w:cs="Arial"/>
          <w:sz w:val="22"/>
          <w:szCs w:val="22"/>
        </w:rPr>
        <w:t xml:space="preserve">omment </w:t>
      </w:r>
      <w:r w:rsidRPr="00E76C08" w:rsidR="007E51BE">
        <w:rPr>
          <w:rFonts w:ascii="Arial" w:hAnsi="Arial" w:cs="Arial"/>
          <w:sz w:val="22"/>
          <w:szCs w:val="22"/>
        </w:rPr>
        <w:t>Bin</w:t>
      </w:r>
      <w:r w:rsidRPr="00E76C08">
        <w:rPr>
          <w:rFonts w:ascii="Arial" w:hAnsi="Arial" w:cs="Arial"/>
          <w:sz w:val="22"/>
          <w:szCs w:val="22"/>
        </w:rPr>
        <w:t xml:space="preserve"> 3.6.3.4</w:t>
      </w:r>
      <w:r w:rsidRPr="00E76C08" w:rsidR="007E51BE">
        <w:rPr>
          <w:rFonts w:ascii="Arial" w:hAnsi="Arial" w:cs="Arial"/>
          <w:sz w:val="22"/>
          <w:szCs w:val="22"/>
        </w:rPr>
        <w:t>.A</w:t>
      </w:r>
      <w:r w:rsidRPr="00E76C08">
        <w:rPr>
          <w:rFonts w:ascii="Arial" w:hAnsi="Arial" w:cs="Arial"/>
          <w:sz w:val="22"/>
          <w:szCs w:val="22"/>
        </w:rPr>
        <w:t xml:space="preserve">, which </w:t>
      </w:r>
      <w:r w:rsidRPr="00E76C08" w:rsidR="004A3B7D">
        <w:rPr>
          <w:rFonts w:ascii="Arial" w:hAnsi="Arial" w:cs="Arial"/>
          <w:sz w:val="22"/>
          <w:szCs w:val="22"/>
        </w:rPr>
        <w:t>addresses the related topic of integrity assessment programs</w:t>
      </w:r>
      <w:r w:rsidRPr="00E76C08">
        <w:rPr>
          <w:rFonts w:ascii="Arial" w:hAnsi="Arial" w:cs="Arial"/>
          <w:sz w:val="22"/>
          <w:szCs w:val="22"/>
        </w:rPr>
        <w:t>.</w:t>
      </w:r>
    </w:p>
    <w:p w:rsidR="00535366" w:rsidRPr="00E76C08" w:rsidP="00E76C08" w14:paraId="2334E6A2" w14:textId="77777777">
      <w:pPr>
        <w:spacing w:after="220"/>
        <w:rPr>
          <w:rFonts w:ascii="Arial" w:hAnsi="Arial" w:cs="Arial"/>
          <w:sz w:val="22"/>
          <w:szCs w:val="22"/>
        </w:rPr>
      </w:pPr>
      <w:r w:rsidRPr="00E76C08">
        <w:rPr>
          <w:rFonts w:ascii="Arial" w:hAnsi="Arial" w:cs="Arial"/>
          <w:sz w:val="22"/>
          <w:szCs w:val="22"/>
        </w:rPr>
        <w:t xml:space="preserve">The NRC disagrees with the suggestion to combine 10 CFR 53.440(c) and (d) because, while related, the requirements for qualification of equipment to meet the special treatments established for an SSC can be a separate activity from the identification of degradation mechanisms and the monitoring of those degradation mechanisms during operations. </w:t>
      </w:r>
      <w:r w:rsidR="00A87E7C">
        <w:rPr>
          <w:rFonts w:ascii="Arial" w:hAnsi="Arial" w:cs="Arial"/>
          <w:sz w:val="22"/>
          <w:szCs w:val="22"/>
        </w:rPr>
        <w:t>See the NRC</w:t>
      </w:r>
      <w:r w:rsidR="00512CBC">
        <w:rPr>
          <w:rFonts w:ascii="Arial" w:hAnsi="Arial" w:cs="Arial"/>
          <w:sz w:val="22"/>
          <w:szCs w:val="22"/>
        </w:rPr>
        <w:t>’s</w:t>
      </w:r>
      <w:r w:rsidR="00A87E7C">
        <w:rPr>
          <w:rFonts w:ascii="Arial" w:hAnsi="Arial" w:cs="Arial"/>
          <w:sz w:val="22"/>
          <w:szCs w:val="22"/>
        </w:rPr>
        <w:t xml:space="preserve"> response to Comment Bin</w:t>
      </w:r>
      <w:r w:rsidR="001B3C89">
        <w:rPr>
          <w:rFonts w:ascii="Arial" w:hAnsi="Arial" w:cs="Arial"/>
          <w:sz w:val="22"/>
          <w:szCs w:val="22"/>
        </w:rPr>
        <w:t>s</w:t>
      </w:r>
      <w:r w:rsidR="00A87E7C">
        <w:rPr>
          <w:rFonts w:ascii="Arial" w:hAnsi="Arial" w:cs="Arial"/>
          <w:sz w:val="22"/>
          <w:szCs w:val="22"/>
        </w:rPr>
        <w:t xml:space="preserve"> 3.3.2.1.A, 3.3.2.1.B, 3.3.2.1.C, and 3.3.2.1.D for o</w:t>
      </w:r>
      <w:r w:rsidRPr="00E76C08">
        <w:rPr>
          <w:rFonts w:ascii="Arial" w:hAnsi="Arial" w:cs="Arial"/>
          <w:sz w:val="22"/>
          <w:szCs w:val="22"/>
        </w:rPr>
        <w:t xml:space="preserve">ther items in 10 CFR 53.440 that are mentioned in the comment. </w:t>
      </w:r>
      <w:r w:rsidR="00EF1550">
        <w:rPr>
          <w:rFonts w:ascii="Arial" w:hAnsi="Arial" w:cs="Arial"/>
          <w:sz w:val="22"/>
          <w:szCs w:val="22"/>
        </w:rPr>
        <w:t xml:space="preserve">Accordingly, the NRC </w:t>
      </w:r>
      <w:r w:rsidR="00093839">
        <w:rPr>
          <w:rFonts w:ascii="Arial" w:hAnsi="Arial" w:cs="Arial"/>
          <w:sz w:val="22"/>
          <w:szCs w:val="22"/>
        </w:rPr>
        <w:t>did not change</w:t>
      </w:r>
      <w:r w:rsidR="00EF1550">
        <w:rPr>
          <w:rFonts w:ascii="Arial" w:hAnsi="Arial" w:cs="Arial"/>
          <w:sz w:val="22"/>
          <w:szCs w:val="22"/>
        </w:rPr>
        <w:t xml:space="preserve"> the rule language in response to these comments. </w:t>
      </w:r>
    </w:p>
    <w:p w:rsidR="00535366" w:rsidRPr="00E76C08" w:rsidP="00E76C08" w14:paraId="3F809E48" w14:textId="77777777">
      <w:pPr>
        <w:spacing w:after="220"/>
        <w:rPr>
          <w:rFonts w:ascii="Arial" w:hAnsi="Arial" w:cs="Arial"/>
          <w:sz w:val="22"/>
          <w:szCs w:val="22"/>
        </w:rPr>
      </w:pPr>
      <w:r w:rsidRPr="00E76C08">
        <w:rPr>
          <w:rFonts w:ascii="Arial" w:hAnsi="Arial" w:cs="Arial"/>
          <w:sz w:val="22"/>
          <w:szCs w:val="22"/>
        </w:rPr>
        <w:t xml:space="preserve">Regarding 10 CFR 53.440(e), see the response to </w:t>
      </w:r>
      <w:r w:rsidRPr="00E76C08" w:rsidR="002127B0">
        <w:rPr>
          <w:rFonts w:ascii="Arial" w:hAnsi="Arial" w:cs="Arial"/>
          <w:sz w:val="22"/>
          <w:szCs w:val="22"/>
        </w:rPr>
        <w:t>C</w:t>
      </w:r>
      <w:r w:rsidRPr="00E76C08">
        <w:rPr>
          <w:rFonts w:ascii="Arial" w:hAnsi="Arial" w:cs="Arial"/>
          <w:sz w:val="22"/>
          <w:szCs w:val="22"/>
        </w:rPr>
        <w:t xml:space="preserve">omment </w:t>
      </w:r>
      <w:r w:rsidRPr="00E76C08" w:rsidR="002127B0">
        <w:rPr>
          <w:rFonts w:ascii="Arial" w:hAnsi="Arial" w:cs="Arial"/>
          <w:sz w:val="22"/>
          <w:szCs w:val="22"/>
        </w:rPr>
        <w:t xml:space="preserve">Bin </w:t>
      </w:r>
      <w:r w:rsidRPr="00E76C08" w:rsidR="00E51D1B">
        <w:rPr>
          <w:rFonts w:ascii="Arial" w:hAnsi="Arial" w:cs="Arial"/>
          <w:sz w:val="22"/>
          <w:szCs w:val="22"/>
        </w:rPr>
        <w:t>3.3.2.1.B</w:t>
      </w:r>
      <w:r w:rsidRPr="00E76C08">
        <w:rPr>
          <w:rFonts w:ascii="Arial" w:hAnsi="Arial" w:cs="Arial"/>
          <w:sz w:val="22"/>
          <w:szCs w:val="22"/>
        </w:rPr>
        <w:t>.</w:t>
      </w:r>
    </w:p>
    <w:p w:rsidR="00535366" w:rsidRPr="00E76C08" w:rsidP="00E76C08" w14:paraId="44450A4C" w14:textId="77777777">
      <w:pPr>
        <w:spacing w:after="220"/>
        <w:rPr>
          <w:rFonts w:ascii="Arial" w:hAnsi="Arial" w:cs="Arial"/>
          <w:sz w:val="22"/>
          <w:szCs w:val="22"/>
        </w:rPr>
      </w:pPr>
      <w:r w:rsidRPr="00E76C08">
        <w:rPr>
          <w:rFonts w:ascii="Arial" w:hAnsi="Arial" w:cs="Arial"/>
          <w:sz w:val="22"/>
          <w:szCs w:val="22"/>
        </w:rPr>
        <w:t xml:space="preserve">Regarding 10 CFR 53.440(f), the NRC </w:t>
      </w:r>
      <w:r w:rsidR="00B43434">
        <w:rPr>
          <w:rFonts w:ascii="Arial" w:hAnsi="Arial" w:cs="Arial"/>
          <w:sz w:val="22"/>
          <w:szCs w:val="22"/>
        </w:rPr>
        <w:t>dis</w:t>
      </w:r>
      <w:r w:rsidRPr="00E76C08">
        <w:rPr>
          <w:rFonts w:ascii="Arial" w:hAnsi="Arial" w:cs="Arial"/>
          <w:sz w:val="22"/>
          <w:szCs w:val="22"/>
        </w:rPr>
        <w:t xml:space="preserve">agrees that </w:t>
      </w:r>
      <w:r w:rsidR="00B43434">
        <w:rPr>
          <w:rFonts w:ascii="Arial" w:hAnsi="Arial" w:cs="Arial"/>
          <w:sz w:val="22"/>
          <w:szCs w:val="22"/>
        </w:rPr>
        <w:t>10 CFR 73.58 duplicates the security by design concept in 10 CFR 53.440(f). The safety/security interface requirements in 10 CFR 73.58 address changes to plant configurations, facility con</w:t>
      </w:r>
      <w:r w:rsidR="007E6A96">
        <w:rPr>
          <w:rFonts w:ascii="Arial" w:hAnsi="Arial" w:cs="Arial"/>
          <w:sz w:val="22"/>
          <w:szCs w:val="22"/>
        </w:rPr>
        <w:t>d</w:t>
      </w:r>
      <w:r w:rsidR="00B43434">
        <w:rPr>
          <w:rFonts w:ascii="Arial" w:hAnsi="Arial" w:cs="Arial"/>
          <w:sz w:val="22"/>
          <w:szCs w:val="22"/>
        </w:rPr>
        <w:t>itions, or security</w:t>
      </w:r>
      <w:r w:rsidR="00071F4D">
        <w:rPr>
          <w:rFonts w:ascii="Arial" w:hAnsi="Arial" w:cs="Arial"/>
          <w:sz w:val="22"/>
          <w:szCs w:val="22"/>
        </w:rPr>
        <w:t xml:space="preserve"> for operating licensees</w:t>
      </w:r>
      <w:r w:rsidR="00B43434">
        <w:rPr>
          <w:rFonts w:ascii="Arial" w:hAnsi="Arial" w:cs="Arial"/>
          <w:sz w:val="22"/>
          <w:szCs w:val="22"/>
        </w:rPr>
        <w:t xml:space="preserve">, and do not </w:t>
      </w:r>
      <w:r w:rsidR="00C15A43">
        <w:rPr>
          <w:rFonts w:ascii="Arial" w:hAnsi="Arial" w:cs="Arial"/>
          <w:sz w:val="22"/>
          <w:szCs w:val="22"/>
        </w:rPr>
        <w:t>apply to an initial design</w:t>
      </w:r>
      <w:r w:rsidR="00B43434">
        <w:rPr>
          <w:rFonts w:ascii="Arial" w:hAnsi="Arial" w:cs="Arial"/>
          <w:sz w:val="22"/>
          <w:szCs w:val="22"/>
        </w:rPr>
        <w:t>. Accordingly, the NRC did not change the rule language in 10 CFR 53.440(f) in response to this comment. However, the NRC did delete the related stand</w:t>
      </w:r>
      <w:r w:rsidR="00F6723A">
        <w:rPr>
          <w:rFonts w:ascii="Arial" w:hAnsi="Arial" w:cs="Arial"/>
          <w:sz w:val="22"/>
          <w:szCs w:val="22"/>
        </w:rPr>
        <w:noBreakHyphen/>
      </w:r>
      <w:r w:rsidR="00B43434">
        <w:rPr>
          <w:rFonts w:ascii="Arial" w:hAnsi="Arial" w:cs="Arial"/>
          <w:sz w:val="22"/>
          <w:szCs w:val="22"/>
        </w:rPr>
        <w:t xml:space="preserve">alone requirement in 10 CFR 53.1239(a)(14) to address this topic in </w:t>
      </w:r>
      <w:r w:rsidR="00F6723A">
        <w:rPr>
          <w:rFonts w:ascii="Arial" w:hAnsi="Arial" w:cs="Arial"/>
          <w:sz w:val="22"/>
          <w:szCs w:val="22"/>
        </w:rPr>
        <w:t>FSARs</w:t>
      </w:r>
      <w:r w:rsidR="00B43434">
        <w:rPr>
          <w:rFonts w:ascii="Arial" w:hAnsi="Arial" w:cs="Arial"/>
          <w:sz w:val="22"/>
          <w:szCs w:val="22"/>
        </w:rPr>
        <w:t xml:space="preserve"> with the expectation that meeting the requirement in 10</w:t>
      </w:r>
      <w:r w:rsidR="00B25DD7">
        <w:rPr>
          <w:rFonts w:ascii="Arial" w:hAnsi="Arial" w:cs="Arial"/>
          <w:sz w:val="22"/>
          <w:szCs w:val="22"/>
        </w:rPr>
        <w:t> </w:t>
      </w:r>
      <w:r w:rsidR="00B43434">
        <w:rPr>
          <w:rFonts w:ascii="Arial" w:hAnsi="Arial" w:cs="Arial"/>
          <w:sz w:val="22"/>
          <w:szCs w:val="22"/>
        </w:rPr>
        <w:t>CFR</w:t>
      </w:r>
      <w:r w:rsidR="00B25DD7">
        <w:rPr>
          <w:rFonts w:ascii="Arial" w:hAnsi="Arial" w:cs="Arial"/>
          <w:sz w:val="22"/>
          <w:szCs w:val="22"/>
        </w:rPr>
        <w:t> </w:t>
      </w:r>
      <w:r w:rsidR="00B43434">
        <w:rPr>
          <w:rFonts w:ascii="Arial" w:hAnsi="Arial" w:cs="Arial"/>
          <w:sz w:val="22"/>
          <w:szCs w:val="22"/>
        </w:rPr>
        <w:t xml:space="preserve">53.440(f) is better addressed in documents related to various security plans. Furthermore, the NRC added clarifying language </w:t>
      </w:r>
      <w:r w:rsidR="007E6A96">
        <w:rPr>
          <w:rFonts w:ascii="Arial" w:hAnsi="Arial" w:cs="Arial"/>
          <w:sz w:val="22"/>
          <w:szCs w:val="22"/>
        </w:rPr>
        <w:t xml:space="preserve">to the final rule </w:t>
      </w:r>
      <w:r w:rsidR="00AC5B58">
        <w:rPr>
          <w:rFonts w:ascii="Arial" w:hAnsi="Arial" w:cs="Arial"/>
          <w:sz w:val="22"/>
          <w:szCs w:val="22"/>
        </w:rPr>
        <w:t xml:space="preserve">FRN </w:t>
      </w:r>
      <w:r w:rsidR="007E6A96">
        <w:rPr>
          <w:rFonts w:ascii="Arial" w:hAnsi="Arial" w:cs="Arial"/>
          <w:sz w:val="22"/>
          <w:szCs w:val="22"/>
        </w:rPr>
        <w:t>regarding the security by design concept in 10</w:t>
      </w:r>
      <w:r w:rsidR="007510E5">
        <w:rPr>
          <w:rFonts w:ascii="Arial" w:hAnsi="Arial" w:cs="Arial"/>
          <w:sz w:val="22"/>
          <w:szCs w:val="22"/>
        </w:rPr>
        <w:t> </w:t>
      </w:r>
      <w:r w:rsidR="007E6A96">
        <w:rPr>
          <w:rFonts w:ascii="Arial" w:hAnsi="Arial" w:cs="Arial"/>
          <w:sz w:val="22"/>
          <w:szCs w:val="22"/>
        </w:rPr>
        <w:t>CFR</w:t>
      </w:r>
      <w:r w:rsidR="007510E5">
        <w:rPr>
          <w:rFonts w:ascii="Arial" w:hAnsi="Arial" w:cs="Arial"/>
          <w:sz w:val="22"/>
          <w:szCs w:val="22"/>
        </w:rPr>
        <w:t> </w:t>
      </w:r>
      <w:r w:rsidR="007E6A96">
        <w:rPr>
          <w:rFonts w:ascii="Arial" w:hAnsi="Arial" w:cs="Arial"/>
          <w:sz w:val="22"/>
          <w:szCs w:val="22"/>
        </w:rPr>
        <w:t xml:space="preserve">53.440(f). </w:t>
      </w:r>
    </w:p>
    <w:p w:rsidR="00535366" w:rsidRPr="00E76C08" w:rsidP="00E76C08" w14:paraId="27A8CCCB" w14:textId="77777777">
      <w:pPr>
        <w:spacing w:after="220"/>
        <w:rPr>
          <w:rFonts w:ascii="Arial" w:hAnsi="Arial" w:cs="Arial"/>
          <w:sz w:val="22"/>
          <w:szCs w:val="22"/>
        </w:rPr>
      </w:pPr>
      <w:r w:rsidRPr="00E76C08">
        <w:rPr>
          <w:rFonts w:ascii="Arial" w:hAnsi="Arial" w:cs="Arial"/>
          <w:sz w:val="22"/>
          <w:szCs w:val="22"/>
        </w:rPr>
        <w:t>Regarding 10 CFR 53.440(g) and (h), the NRC disagrees</w:t>
      </w:r>
      <w:r w:rsidR="00BA22B5">
        <w:rPr>
          <w:rFonts w:ascii="Arial" w:hAnsi="Arial" w:cs="Arial"/>
          <w:sz w:val="22"/>
          <w:szCs w:val="22"/>
        </w:rPr>
        <w:t xml:space="preserve"> with the comments</w:t>
      </w:r>
      <w:r w:rsidRPr="00E76C08">
        <w:rPr>
          <w:rFonts w:ascii="Arial" w:hAnsi="Arial" w:cs="Arial"/>
          <w:sz w:val="22"/>
          <w:szCs w:val="22"/>
        </w:rPr>
        <w:t>. As explained in the proposed and final rules, these design requirements are included to ensure commercial nuclear reactors under 10 CFR Part 53 have the capability to achieve and maintain subcriticality and long-term cooling. The requirements are included to address the potential that some reactor designs may be able to achieve a stable end state for the purpose of event analyses but might need further actions to completely shut down and service the facility. Accordingly, the NRC did not change the rule language in response to this comment.</w:t>
      </w:r>
    </w:p>
    <w:p w:rsidR="00535366" w:rsidRPr="00E76C08" w:rsidP="00E76C08" w14:paraId="11C550A8" w14:textId="77777777">
      <w:pPr>
        <w:spacing w:after="220"/>
        <w:rPr>
          <w:rFonts w:ascii="Arial" w:hAnsi="Arial" w:cs="Arial"/>
          <w:sz w:val="22"/>
          <w:szCs w:val="22"/>
        </w:rPr>
      </w:pPr>
      <w:r w:rsidRPr="00E76C08">
        <w:rPr>
          <w:rFonts w:ascii="Arial" w:hAnsi="Arial" w:cs="Arial"/>
          <w:sz w:val="22"/>
          <w:szCs w:val="22"/>
        </w:rPr>
        <w:t xml:space="preserve">Regarding those parts of the comment related to 10 CFR 53.440(i), the NRC disagrees. As explained in the proposed and final rules, the design, analysis, and development of programmatic controls under </w:t>
      </w:r>
      <w:r w:rsidR="00414CD2">
        <w:rPr>
          <w:rFonts w:ascii="Arial" w:hAnsi="Arial" w:cs="Arial"/>
          <w:sz w:val="22"/>
          <w:szCs w:val="22"/>
        </w:rPr>
        <w:t>P</w:t>
      </w:r>
      <w:r w:rsidRPr="00E76C08">
        <w:rPr>
          <w:rFonts w:ascii="Arial" w:hAnsi="Arial" w:cs="Arial"/>
          <w:sz w:val="22"/>
          <w:szCs w:val="22"/>
        </w:rPr>
        <w:t>art 53 considers the number of reactor units and other significant inventories of radioactive materials contributing to the risks to public health and safety. While implied in other sections of 10 CFR Part 53 and addressed in the analysis requirements of 10</w:t>
      </w:r>
      <w:r w:rsidR="000E438C">
        <w:rPr>
          <w:rFonts w:ascii="Arial" w:hAnsi="Arial" w:cs="Arial"/>
          <w:sz w:val="22"/>
          <w:szCs w:val="22"/>
        </w:rPr>
        <w:t> </w:t>
      </w:r>
      <w:r w:rsidRPr="00E76C08">
        <w:rPr>
          <w:rFonts w:ascii="Arial" w:hAnsi="Arial" w:cs="Arial"/>
          <w:sz w:val="22"/>
          <w:szCs w:val="22"/>
        </w:rPr>
        <w:t>CFR 53.450, the NRC has maintained 10 CFR 53.440(i) in the final rule to emphasize the importance of this distinction from the traditional design requirements in 10</w:t>
      </w:r>
      <w:r w:rsidR="002334ED">
        <w:rPr>
          <w:rFonts w:ascii="Arial" w:hAnsi="Arial" w:cs="Arial"/>
          <w:sz w:val="22"/>
          <w:szCs w:val="22"/>
        </w:rPr>
        <w:t> </w:t>
      </w:r>
      <w:r w:rsidRPr="00E76C08">
        <w:rPr>
          <w:rFonts w:ascii="Arial" w:hAnsi="Arial" w:cs="Arial"/>
          <w:sz w:val="22"/>
          <w:szCs w:val="22"/>
        </w:rPr>
        <w:t>CFR</w:t>
      </w:r>
      <w:r w:rsidR="002334ED">
        <w:rPr>
          <w:rFonts w:ascii="Arial" w:hAnsi="Arial" w:cs="Arial"/>
          <w:sz w:val="22"/>
          <w:szCs w:val="22"/>
        </w:rPr>
        <w:t> </w:t>
      </w:r>
      <w:r w:rsidRPr="00E76C08">
        <w:rPr>
          <w:rFonts w:ascii="Arial" w:hAnsi="Arial" w:cs="Arial"/>
          <w:sz w:val="22"/>
          <w:szCs w:val="22"/>
        </w:rPr>
        <w:t xml:space="preserve">Part 50 and </w:t>
      </w:r>
      <w:r w:rsidR="008E0179">
        <w:rPr>
          <w:rFonts w:ascii="Arial" w:hAnsi="Arial" w:cs="Arial"/>
          <w:sz w:val="22"/>
          <w:szCs w:val="22"/>
        </w:rPr>
        <w:t>10</w:t>
      </w:r>
      <w:r w:rsidR="000E438C">
        <w:rPr>
          <w:rFonts w:ascii="Arial" w:hAnsi="Arial" w:cs="Arial"/>
          <w:sz w:val="22"/>
          <w:szCs w:val="22"/>
        </w:rPr>
        <w:t> </w:t>
      </w:r>
      <w:r w:rsidR="008E0179">
        <w:rPr>
          <w:rFonts w:ascii="Arial" w:hAnsi="Arial" w:cs="Arial"/>
          <w:sz w:val="22"/>
          <w:szCs w:val="22"/>
        </w:rPr>
        <w:t xml:space="preserve">CFR </w:t>
      </w:r>
      <w:r w:rsidR="000E1E6C">
        <w:rPr>
          <w:rFonts w:ascii="Arial" w:hAnsi="Arial" w:cs="Arial"/>
          <w:sz w:val="22"/>
          <w:szCs w:val="22"/>
        </w:rPr>
        <w:t xml:space="preserve">Part </w:t>
      </w:r>
      <w:r w:rsidRPr="00E76C08">
        <w:rPr>
          <w:rFonts w:ascii="Arial" w:hAnsi="Arial" w:cs="Arial"/>
          <w:sz w:val="22"/>
          <w:szCs w:val="22"/>
        </w:rPr>
        <w:t>52. Accordingly, the NRC did not change the rule language in response to this comment.</w:t>
      </w:r>
    </w:p>
    <w:p w:rsidR="00535366" w:rsidRPr="00E76C08" w:rsidP="00E76C08" w14:paraId="59B3E664" w14:textId="77777777">
      <w:pPr>
        <w:spacing w:after="220"/>
        <w:rPr>
          <w:rFonts w:ascii="Arial" w:hAnsi="Arial" w:cs="Arial"/>
          <w:sz w:val="22"/>
          <w:szCs w:val="22"/>
        </w:rPr>
      </w:pPr>
      <w:r w:rsidRPr="00E76C08">
        <w:rPr>
          <w:rFonts w:ascii="Arial" w:hAnsi="Arial" w:cs="Arial"/>
          <w:sz w:val="22"/>
          <w:szCs w:val="22"/>
        </w:rPr>
        <w:t xml:space="preserve">Regarding 10 CFR 53.440(j), see the response to </w:t>
      </w:r>
      <w:r w:rsidRPr="00E76C08" w:rsidR="0012133B">
        <w:rPr>
          <w:rFonts w:ascii="Arial" w:hAnsi="Arial" w:cs="Arial"/>
          <w:sz w:val="22"/>
          <w:szCs w:val="22"/>
        </w:rPr>
        <w:t>C</w:t>
      </w:r>
      <w:r w:rsidRPr="00E76C08">
        <w:rPr>
          <w:rFonts w:ascii="Arial" w:hAnsi="Arial" w:cs="Arial"/>
          <w:sz w:val="22"/>
          <w:szCs w:val="22"/>
        </w:rPr>
        <w:t xml:space="preserve">omment </w:t>
      </w:r>
      <w:r w:rsidRPr="00E76C08" w:rsidR="0012133B">
        <w:rPr>
          <w:rFonts w:ascii="Arial" w:hAnsi="Arial" w:cs="Arial"/>
          <w:sz w:val="22"/>
          <w:szCs w:val="22"/>
        </w:rPr>
        <w:t>Bin 3.3.2.1.C</w:t>
      </w:r>
      <w:r w:rsidRPr="00E76C08">
        <w:rPr>
          <w:rFonts w:ascii="Arial" w:hAnsi="Arial" w:cs="Arial"/>
          <w:sz w:val="22"/>
          <w:szCs w:val="22"/>
        </w:rPr>
        <w:t>, which describes the deletion of this paragraph in the final rule.</w:t>
      </w:r>
    </w:p>
    <w:p w:rsidR="00535366" w:rsidRPr="00E76C08" w:rsidP="00E76C08" w14:paraId="659A6E5B" w14:textId="77777777">
      <w:pPr>
        <w:spacing w:after="220"/>
        <w:rPr>
          <w:rFonts w:ascii="Arial" w:hAnsi="Arial" w:cs="Arial"/>
          <w:sz w:val="22"/>
          <w:szCs w:val="22"/>
        </w:rPr>
      </w:pPr>
      <w:r w:rsidRPr="00E76C08">
        <w:rPr>
          <w:rFonts w:ascii="Arial" w:hAnsi="Arial" w:cs="Arial"/>
          <w:sz w:val="22"/>
          <w:szCs w:val="22"/>
        </w:rPr>
        <w:t xml:space="preserve">Regarding </w:t>
      </w:r>
      <w:r w:rsidRPr="00E76C08" w:rsidR="009304D7">
        <w:rPr>
          <w:rFonts w:ascii="Arial" w:hAnsi="Arial" w:cs="Arial"/>
          <w:sz w:val="22"/>
          <w:szCs w:val="22"/>
        </w:rPr>
        <w:t>10 CFR </w:t>
      </w:r>
      <w:r w:rsidRPr="00E76C08">
        <w:rPr>
          <w:rFonts w:ascii="Arial" w:hAnsi="Arial" w:cs="Arial"/>
          <w:sz w:val="22"/>
          <w:szCs w:val="22"/>
        </w:rPr>
        <w:t xml:space="preserve">53.440(k), the NRC </w:t>
      </w:r>
      <w:r w:rsidR="00AE10F4">
        <w:rPr>
          <w:rFonts w:ascii="Arial" w:hAnsi="Arial" w:cs="Arial"/>
          <w:sz w:val="22"/>
          <w:szCs w:val="22"/>
        </w:rPr>
        <w:t>agrees, in part,</w:t>
      </w:r>
      <w:r w:rsidRPr="00E76C08" w:rsidR="00AE10F4">
        <w:rPr>
          <w:rFonts w:ascii="Arial" w:hAnsi="Arial" w:cs="Arial"/>
          <w:sz w:val="22"/>
          <w:szCs w:val="22"/>
        </w:rPr>
        <w:t xml:space="preserve"> </w:t>
      </w:r>
      <w:r w:rsidRPr="00E76C08">
        <w:rPr>
          <w:rFonts w:ascii="Arial" w:hAnsi="Arial" w:cs="Arial"/>
          <w:sz w:val="22"/>
          <w:szCs w:val="22"/>
        </w:rPr>
        <w:t xml:space="preserve">with the comments. </w:t>
      </w:r>
      <w:r w:rsidR="00A32708">
        <w:rPr>
          <w:rFonts w:ascii="Arial" w:hAnsi="Arial" w:cs="Arial"/>
          <w:sz w:val="22"/>
          <w:szCs w:val="22"/>
        </w:rPr>
        <w:t xml:space="preserve">The NRC disagrees that it should </w:t>
      </w:r>
      <w:r w:rsidRPr="00A32708" w:rsidR="00A32708">
        <w:rPr>
          <w:rFonts w:ascii="Arial" w:hAnsi="Arial" w:cs="Arial"/>
          <w:sz w:val="22"/>
          <w:szCs w:val="22"/>
        </w:rPr>
        <w:t xml:space="preserve">delete paragraph (k) </w:t>
      </w:r>
      <w:r w:rsidR="00A32708">
        <w:rPr>
          <w:rFonts w:ascii="Arial" w:hAnsi="Arial" w:cs="Arial"/>
          <w:sz w:val="22"/>
          <w:szCs w:val="22"/>
        </w:rPr>
        <w:t>and instead</w:t>
      </w:r>
      <w:r w:rsidRPr="00A32708" w:rsidR="00A32708">
        <w:rPr>
          <w:rFonts w:ascii="Arial" w:hAnsi="Arial" w:cs="Arial"/>
          <w:sz w:val="22"/>
          <w:szCs w:val="22"/>
        </w:rPr>
        <w:t xml:space="preserve"> ensure chemical hazards are addressed in the EP plan</w:t>
      </w:r>
      <w:r w:rsidR="00A32708">
        <w:rPr>
          <w:rFonts w:ascii="Arial" w:hAnsi="Arial" w:cs="Arial"/>
          <w:sz w:val="22"/>
          <w:szCs w:val="22"/>
        </w:rPr>
        <w:t>.</w:t>
      </w:r>
      <w:r w:rsidRPr="00E76C08">
        <w:rPr>
          <w:rFonts w:ascii="Arial" w:hAnsi="Arial" w:cs="Arial"/>
          <w:sz w:val="22"/>
          <w:szCs w:val="22"/>
        </w:rPr>
        <w:t xml:space="preserve"> Because of the diversity of technologies that may be proposed to be licensed under 10 CFR Part 53, the NRC does not presume to know how chemical hazards associated with releases of licensed material from a commercial nuclear plant would compare to the same type of hazard associated with facilities licensed under 10 CFR Part 70. Additionally, addressing such hazards only through a proposed Emergency Preparedness plan would not achieve the goal of establishing a balance between mitigation and prevention of potential chemical hazards. Nevertheless, the NRC </w:t>
      </w:r>
      <w:r w:rsidR="0097583E">
        <w:rPr>
          <w:rFonts w:ascii="Arial" w:hAnsi="Arial" w:cs="Arial"/>
          <w:sz w:val="22"/>
          <w:szCs w:val="22"/>
        </w:rPr>
        <w:t>agrees</w:t>
      </w:r>
      <w:r w:rsidRPr="00E76C08">
        <w:rPr>
          <w:rFonts w:ascii="Arial" w:hAnsi="Arial" w:cs="Arial"/>
          <w:sz w:val="22"/>
          <w:szCs w:val="22"/>
        </w:rPr>
        <w:t xml:space="preserve"> that greater flexibility in how an applicant or licensee meets this requirement is warranted</w:t>
      </w:r>
      <w:r w:rsidR="007A66B2">
        <w:rPr>
          <w:rFonts w:ascii="Arial" w:hAnsi="Arial" w:cs="Arial"/>
          <w:sz w:val="22"/>
          <w:szCs w:val="22"/>
        </w:rPr>
        <w:t>, which may include the use of programmatic controls</w:t>
      </w:r>
      <w:r w:rsidRPr="00E76C08">
        <w:rPr>
          <w:rFonts w:ascii="Arial" w:hAnsi="Arial" w:cs="Arial"/>
          <w:sz w:val="22"/>
          <w:szCs w:val="22"/>
        </w:rPr>
        <w:t>. Accordingly,</w:t>
      </w:r>
      <w:r w:rsidRPr="00E76C08">
        <w:rPr>
          <w:rFonts w:ascii="Arial" w:hAnsi="Arial" w:cstheme="minorBidi"/>
          <w:kern w:val="2"/>
          <w:sz w:val="22"/>
          <w:szCs w:val="22"/>
          <w14:ligatures w14:val="standardContextual"/>
        </w:rPr>
        <w:t xml:space="preserve"> </w:t>
      </w:r>
      <w:r w:rsidRPr="00E76C08">
        <w:rPr>
          <w:rFonts w:ascii="Arial" w:hAnsi="Arial" w:cs="Arial"/>
          <w:sz w:val="22"/>
          <w:szCs w:val="22"/>
        </w:rPr>
        <w:t xml:space="preserve">the NRC </w:t>
      </w:r>
      <w:r w:rsidR="00B84BB8">
        <w:rPr>
          <w:rFonts w:ascii="Arial" w:hAnsi="Arial" w:cs="Arial"/>
          <w:sz w:val="22"/>
          <w:szCs w:val="22"/>
        </w:rPr>
        <w:t>has revised</w:t>
      </w:r>
      <w:r w:rsidR="00BA22B5">
        <w:rPr>
          <w:rFonts w:ascii="Arial" w:hAnsi="Arial" w:cs="Arial"/>
          <w:sz w:val="22"/>
          <w:szCs w:val="22"/>
        </w:rPr>
        <w:t xml:space="preserve"> the </w:t>
      </w:r>
      <w:r w:rsidR="004061AC">
        <w:rPr>
          <w:rFonts w:ascii="Arial" w:hAnsi="Arial" w:cs="Arial"/>
          <w:sz w:val="22"/>
          <w:szCs w:val="22"/>
        </w:rPr>
        <w:t>rule language</w:t>
      </w:r>
      <w:r w:rsidR="007C0B84">
        <w:rPr>
          <w:rFonts w:ascii="Arial" w:hAnsi="Arial" w:cs="Arial"/>
          <w:sz w:val="22"/>
          <w:szCs w:val="22"/>
        </w:rPr>
        <w:t xml:space="preserve"> in response to this comment</w:t>
      </w:r>
      <w:r w:rsidR="00BA22B5">
        <w:rPr>
          <w:rFonts w:ascii="Arial" w:hAnsi="Arial" w:cs="Arial"/>
          <w:sz w:val="22"/>
          <w:szCs w:val="22"/>
        </w:rPr>
        <w:t>. Specifically</w:t>
      </w:r>
      <w:r w:rsidR="003609C9">
        <w:rPr>
          <w:rFonts w:ascii="Arial" w:hAnsi="Arial" w:cs="Arial"/>
          <w:sz w:val="22"/>
          <w:szCs w:val="22"/>
        </w:rPr>
        <w:t>, the revisions</w:t>
      </w:r>
      <w:r w:rsidRPr="00E76C08">
        <w:rPr>
          <w:rFonts w:ascii="Arial" w:hAnsi="Arial" w:cs="Arial"/>
          <w:sz w:val="22"/>
          <w:szCs w:val="22"/>
        </w:rPr>
        <w:t xml:space="preserve"> indicate that 10</w:t>
      </w:r>
      <w:r w:rsidR="005F2AE0">
        <w:rPr>
          <w:rFonts w:ascii="Arial" w:hAnsi="Arial" w:cs="Arial"/>
          <w:sz w:val="22"/>
          <w:szCs w:val="22"/>
        </w:rPr>
        <w:t> </w:t>
      </w:r>
      <w:r w:rsidRPr="00E76C08">
        <w:rPr>
          <w:rFonts w:ascii="Arial" w:hAnsi="Arial" w:cs="Arial"/>
          <w:sz w:val="22"/>
          <w:szCs w:val="22"/>
        </w:rPr>
        <w:t>CFR 53.440(k) can be met through the use of design features, programmatic controls, or combinations thereof.</w:t>
      </w:r>
    </w:p>
    <w:p w:rsidR="00921FE9" w:rsidRPr="00E76C08" w:rsidP="00E76C08" w14:paraId="708885B4" w14:textId="77777777">
      <w:pPr>
        <w:spacing w:after="220"/>
        <w:rPr>
          <w:rFonts w:ascii="Arial" w:hAnsi="Arial" w:cs="Arial"/>
          <w:sz w:val="22"/>
          <w:szCs w:val="22"/>
        </w:rPr>
      </w:pPr>
      <w:r w:rsidRPr="00E76C08">
        <w:rPr>
          <w:rFonts w:ascii="Arial" w:hAnsi="Arial" w:cs="Arial"/>
          <w:sz w:val="22"/>
          <w:szCs w:val="22"/>
        </w:rPr>
        <w:t>Regarding 10 CFR 53.440(l),</w:t>
      </w:r>
      <w:r w:rsidRPr="00E76C08" w:rsidR="00E6166A">
        <w:rPr>
          <w:rFonts w:ascii="Arial" w:hAnsi="Arial" w:cs="Arial"/>
          <w:sz w:val="22"/>
          <w:szCs w:val="22"/>
        </w:rPr>
        <w:t xml:space="preserve"> </w:t>
      </w:r>
      <w:r w:rsidRPr="00E76C08" w:rsidR="00072179">
        <w:rPr>
          <w:rFonts w:ascii="Arial" w:hAnsi="Arial" w:cs="Arial"/>
          <w:sz w:val="22"/>
          <w:szCs w:val="22"/>
        </w:rPr>
        <w:t xml:space="preserve">it is </w:t>
      </w:r>
      <w:r w:rsidRPr="00E76C08" w:rsidR="00E6166A">
        <w:rPr>
          <w:rFonts w:ascii="Arial" w:hAnsi="Arial" w:cs="Arial"/>
          <w:sz w:val="22"/>
          <w:szCs w:val="22"/>
        </w:rPr>
        <w:t>the NRC</w:t>
      </w:r>
      <w:r w:rsidRPr="00E76C08" w:rsidR="00072179">
        <w:rPr>
          <w:rFonts w:ascii="Arial" w:hAnsi="Arial" w:cs="Arial"/>
          <w:sz w:val="22"/>
          <w:szCs w:val="22"/>
        </w:rPr>
        <w:t>’s view</w:t>
      </w:r>
      <w:r w:rsidRPr="00E76C08" w:rsidR="00E6166A">
        <w:rPr>
          <w:rFonts w:ascii="Arial" w:hAnsi="Arial" w:cs="Arial"/>
          <w:sz w:val="22"/>
          <w:szCs w:val="22"/>
        </w:rPr>
        <w:t xml:space="preserve"> that retaining </w:t>
      </w:r>
      <w:r w:rsidRPr="00E76C08" w:rsidR="00072179">
        <w:rPr>
          <w:rFonts w:ascii="Arial" w:hAnsi="Arial" w:cs="Arial"/>
          <w:sz w:val="22"/>
          <w:szCs w:val="22"/>
        </w:rPr>
        <w:t xml:space="preserve">certain </w:t>
      </w:r>
      <w:r w:rsidRPr="00E76C08" w:rsidR="00E6166A">
        <w:rPr>
          <w:rFonts w:ascii="Arial" w:hAnsi="Arial" w:cs="Arial"/>
          <w:sz w:val="22"/>
          <w:szCs w:val="22"/>
        </w:rPr>
        <w:t>references</w:t>
      </w:r>
      <w:r w:rsidRPr="00E76C08" w:rsidR="000F5368">
        <w:rPr>
          <w:rFonts w:ascii="Arial" w:hAnsi="Arial" w:cs="Arial"/>
          <w:sz w:val="22"/>
          <w:szCs w:val="22"/>
        </w:rPr>
        <w:t xml:space="preserve"> to other parts and sections </w:t>
      </w:r>
      <w:r w:rsidRPr="00E76C08" w:rsidR="00E6166A">
        <w:rPr>
          <w:rFonts w:ascii="Arial" w:hAnsi="Arial" w:cs="Arial"/>
          <w:sz w:val="22"/>
          <w:szCs w:val="22"/>
        </w:rPr>
        <w:t xml:space="preserve">within </w:t>
      </w:r>
      <w:r w:rsidRPr="00E76C08" w:rsidR="000F5368">
        <w:rPr>
          <w:rFonts w:ascii="Arial" w:hAnsi="Arial" w:cs="Arial"/>
          <w:sz w:val="22"/>
          <w:szCs w:val="22"/>
        </w:rPr>
        <w:t>10 CFR</w:t>
      </w:r>
      <w:r w:rsidRPr="00E76C08" w:rsidR="00E6166A">
        <w:rPr>
          <w:rFonts w:ascii="Arial" w:hAnsi="Arial" w:cs="Arial"/>
          <w:sz w:val="22"/>
          <w:szCs w:val="22"/>
        </w:rPr>
        <w:t xml:space="preserve"> is useful and </w:t>
      </w:r>
      <w:r w:rsidRPr="00E76C08" w:rsidR="00BC1C05">
        <w:rPr>
          <w:rFonts w:ascii="Arial" w:hAnsi="Arial" w:cs="Arial"/>
          <w:sz w:val="22"/>
          <w:szCs w:val="22"/>
        </w:rPr>
        <w:t xml:space="preserve">the NRC </w:t>
      </w:r>
      <w:r w:rsidRPr="00E76C08" w:rsidR="00E6166A">
        <w:rPr>
          <w:rFonts w:ascii="Arial" w:hAnsi="Arial" w:cs="Arial"/>
          <w:sz w:val="22"/>
          <w:szCs w:val="22"/>
        </w:rPr>
        <w:t>has maintained these references in the final rule</w:t>
      </w:r>
      <w:r w:rsidRPr="00E76C08" w:rsidR="00696FA5">
        <w:rPr>
          <w:rFonts w:ascii="Arial" w:hAnsi="Arial" w:cs="Arial"/>
          <w:sz w:val="22"/>
          <w:szCs w:val="22"/>
        </w:rPr>
        <w:t xml:space="preserve">. In this case, </w:t>
      </w:r>
      <w:r w:rsidRPr="00E76C08" w:rsidR="00ED20AD">
        <w:rPr>
          <w:rFonts w:ascii="Arial" w:hAnsi="Arial" w:cs="Arial"/>
          <w:sz w:val="22"/>
          <w:szCs w:val="22"/>
        </w:rPr>
        <w:t>maintaining</w:t>
      </w:r>
      <w:r w:rsidRPr="00E76C08" w:rsidR="00696FA5">
        <w:rPr>
          <w:rFonts w:ascii="Arial" w:hAnsi="Arial" w:cs="Arial"/>
          <w:sz w:val="22"/>
          <w:szCs w:val="22"/>
        </w:rPr>
        <w:t xml:space="preserve"> the reference to 10 CFR 20.1406 </w:t>
      </w:r>
      <w:r w:rsidRPr="00E76C08" w:rsidR="005A7D78">
        <w:rPr>
          <w:rFonts w:ascii="Arial" w:hAnsi="Arial" w:cs="Arial"/>
          <w:sz w:val="22"/>
          <w:szCs w:val="22"/>
        </w:rPr>
        <w:t>allows a comprehensive list of design requirements</w:t>
      </w:r>
      <w:r w:rsidRPr="00E76C08" w:rsidR="00ED20AD">
        <w:rPr>
          <w:rFonts w:ascii="Arial" w:hAnsi="Arial" w:cs="Arial"/>
          <w:sz w:val="22"/>
          <w:szCs w:val="22"/>
        </w:rPr>
        <w:t xml:space="preserve"> to </w:t>
      </w:r>
      <w:r w:rsidRPr="00E76C08" w:rsidR="00502582">
        <w:rPr>
          <w:rFonts w:ascii="Arial" w:hAnsi="Arial" w:cs="Arial"/>
          <w:sz w:val="22"/>
          <w:szCs w:val="22"/>
        </w:rPr>
        <w:t xml:space="preserve">be </w:t>
      </w:r>
      <w:r w:rsidRPr="00E76C08" w:rsidR="77855EFF">
        <w:rPr>
          <w:rFonts w:ascii="Arial" w:hAnsi="Arial" w:cs="Arial"/>
          <w:sz w:val="22"/>
          <w:szCs w:val="22"/>
        </w:rPr>
        <w:t>conveyed</w:t>
      </w:r>
      <w:r w:rsidRPr="00E76C08" w:rsidR="00502582">
        <w:rPr>
          <w:rFonts w:ascii="Arial" w:hAnsi="Arial" w:cs="Arial"/>
          <w:sz w:val="22"/>
          <w:szCs w:val="22"/>
        </w:rPr>
        <w:t xml:space="preserve"> in one location</w:t>
      </w:r>
      <w:r w:rsidRPr="00E76C08" w:rsidR="0038550F">
        <w:rPr>
          <w:rFonts w:ascii="Arial" w:hAnsi="Arial" w:cs="Arial"/>
          <w:sz w:val="22"/>
          <w:szCs w:val="22"/>
        </w:rPr>
        <w:t>, which the NRC views as helpful to future applicants under 10 CFR Part 53.</w:t>
      </w:r>
      <w:r w:rsidR="005F2AE0">
        <w:rPr>
          <w:rFonts w:ascii="Arial" w:hAnsi="Arial" w:cs="Arial"/>
          <w:sz w:val="22"/>
          <w:szCs w:val="22"/>
        </w:rPr>
        <w:t xml:space="preserve"> Accordingly, the NRC did not change the rule language in response to this comment.</w:t>
      </w:r>
    </w:p>
    <w:p w:rsidR="00535366" w:rsidRPr="00E76C08" w:rsidP="00E76C08" w14:paraId="407E32C4" w14:textId="77777777">
      <w:pPr>
        <w:spacing w:after="220"/>
        <w:rPr>
          <w:rFonts w:ascii="Arial" w:hAnsi="Arial" w:cs="Arial"/>
          <w:sz w:val="22"/>
          <w:szCs w:val="22"/>
        </w:rPr>
      </w:pPr>
      <w:r w:rsidRPr="00E76C08">
        <w:rPr>
          <w:rFonts w:ascii="Arial" w:hAnsi="Arial" w:cs="Arial"/>
          <w:sz w:val="22"/>
          <w:szCs w:val="22"/>
        </w:rPr>
        <w:t xml:space="preserve">Regarding </w:t>
      </w:r>
      <w:r w:rsidR="00645526">
        <w:rPr>
          <w:rFonts w:ascii="Arial" w:hAnsi="Arial" w:cs="Arial"/>
          <w:sz w:val="22"/>
          <w:szCs w:val="22"/>
        </w:rPr>
        <w:t xml:space="preserve">the comment on </w:t>
      </w:r>
      <w:r w:rsidRPr="00E76C08">
        <w:rPr>
          <w:rFonts w:ascii="Arial" w:hAnsi="Arial" w:cs="Arial"/>
          <w:sz w:val="22"/>
          <w:szCs w:val="22"/>
        </w:rPr>
        <w:t>10 CFR 53.440(m), the NRC disagrees. As explained in the proposed and final rules, 10 CFR 53.440(m) provides an alternative to meeting the requirements of 10</w:t>
      </w:r>
      <w:r w:rsidRPr="00E76C08" w:rsidR="00367F54">
        <w:rPr>
          <w:rFonts w:ascii="Arial" w:hAnsi="Arial" w:cs="Arial"/>
          <w:sz w:val="22"/>
          <w:szCs w:val="22"/>
        </w:rPr>
        <w:t> </w:t>
      </w:r>
      <w:r w:rsidRPr="00E76C08">
        <w:rPr>
          <w:rFonts w:ascii="Arial" w:hAnsi="Arial" w:cs="Arial"/>
          <w:sz w:val="22"/>
          <w:szCs w:val="22"/>
        </w:rPr>
        <w:t>CFR 70.24 similar to the provisions included in 10 CFR 50.68. Accordingly, the NRC did not change the rule language in response to this comment.</w:t>
      </w:r>
    </w:p>
    <w:p w:rsidR="00535366" w:rsidRPr="00E76C08" w:rsidP="00E76C08" w14:paraId="446E6417" w14:textId="77777777">
      <w:pPr>
        <w:spacing w:after="220"/>
        <w:rPr>
          <w:rFonts w:ascii="Arial" w:hAnsi="Arial" w:cs="Arial"/>
          <w:sz w:val="22"/>
          <w:szCs w:val="22"/>
        </w:rPr>
      </w:pPr>
      <w:r w:rsidRPr="00E76C08">
        <w:rPr>
          <w:rFonts w:ascii="Arial" w:hAnsi="Arial" w:cs="Arial"/>
          <w:sz w:val="22"/>
          <w:szCs w:val="22"/>
        </w:rPr>
        <w:t xml:space="preserve">Regarding </w:t>
      </w:r>
      <w:r w:rsidR="00B95ABB">
        <w:rPr>
          <w:rFonts w:ascii="Arial" w:hAnsi="Arial" w:cs="Arial"/>
          <w:sz w:val="22"/>
          <w:szCs w:val="22"/>
        </w:rPr>
        <w:t xml:space="preserve">the comment on </w:t>
      </w:r>
      <w:r w:rsidRPr="00E76C08">
        <w:rPr>
          <w:rFonts w:ascii="Arial" w:hAnsi="Arial" w:cs="Arial"/>
          <w:sz w:val="22"/>
          <w:szCs w:val="22"/>
        </w:rPr>
        <w:t>10 CFR 53.440(n), the NRC disagrees. As explained in the proposed and final rules, 10</w:t>
      </w:r>
      <w:r w:rsidRPr="00E76C08" w:rsidR="006C0C46">
        <w:rPr>
          <w:rFonts w:ascii="Arial" w:hAnsi="Arial" w:cs="Arial"/>
          <w:sz w:val="22"/>
          <w:szCs w:val="22"/>
        </w:rPr>
        <w:t> </w:t>
      </w:r>
      <w:r w:rsidRPr="00E76C08">
        <w:rPr>
          <w:rFonts w:ascii="Arial" w:hAnsi="Arial" w:cs="Arial"/>
          <w:sz w:val="22"/>
          <w:szCs w:val="22"/>
        </w:rPr>
        <w:t>CFR 53.440(n) requires that the design of commercial nuclear plants reflect state</w:t>
      </w:r>
      <w:r w:rsidRPr="00E76C08" w:rsidR="00BF6EC7">
        <w:rPr>
          <w:rFonts w:ascii="Arial" w:hAnsi="Arial" w:cs="Arial"/>
          <w:sz w:val="22"/>
          <w:szCs w:val="22"/>
        </w:rPr>
        <w:noBreakHyphen/>
      </w:r>
      <w:r w:rsidRPr="00E76C08">
        <w:rPr>
          <w:rFonts w:ascii="Arial" w:hAnsi="Arial" w:cs="Arial"/>
          <w:sz w:val="22"/>
          <w:szCs w:val="22"/>
        </w:rPr>
        <w:t>of</w:t>
      </w:r>
      <w:r w:rsidRPr="00E76C08" w:rsidR="00BF6EC7">
        <w:rPr>
          <w:rFonts w:ascii="Arial" w:hAnsi="Arial" w:cs="Arial"/>
          <w:sz w:val="22"/>
          <w:szCs w:val="22"/>
        </w:rPr>
        <w:noBreakHyphen/>
      </w:r>
      <w:r w:rsidRPr="00E76C08">
        <w:rPr>
          <w:rFonts w:ascii="Arial" w:hAnsi="Arial" w:cs="Arial"/>
          <w:sz w:val="22"/>
          <w:szCs w:val="22"/>
        </w:rPr>
        <w:t>the</w:t>
      </w:r>
      <w:r w:rsidRPr="00E76C08" w:rsidR="00BF6EC7">
        <w:rPr>
          <w:rFonts w:ascii="Arial" w:hAnsi="Arial" w:cs="Arial"/>
          <w:sz w:val="22"/>
          <w:szCs w:val="22"/>
        </w:rPr>
        <w:noBreakHyphen/>
      </w:r>
      <w:r w:rsidRPr="00E76C08">
        <w:rPr>
          <w:rFonts w:ascii="Arial" w:hAnsi="Arial" w:cs="Arial"/>
          <w:sz w:val="22"/>
          <w:szCs w:val="22"/>
        </w:rPr>
        <w:t>art human factors principles for safe and reliable performance in all settings that human activities are expected for performing or supporting the continued availability of plant safety or emergency response functions. Since this requirement is addressing the human-system interface, the NRC accepts that there is some degree of duplication within the sections in 10</w:t>
      </w:r>
      <w:r w:rsidRPr="00E76C08" w:rsidR="00BE3443">
        <w:rPr>
          <w:rFonts w:ascii="Arial" w:hAnsi="Arial" w:cs="Arial"/>
          <w:sz w:val="22"/>
          <w:szCs w:val="22"/>
        </w:rPr>
        <w:t> </w:t>
      </w:r>
      <w:r w:rsidRPr="00E76C08">
        <w:rPr>
          <w:rFonts w:ascii="Arial" w:hAnsi="Arial" w:cs="Arial"/>
          <w:sz w:val="22"/>
          <w:szCs w:val="22"/>
        </w:rPr>
        <w:t>CFR</w:t>
      </w:r>
      <w:r w:rsidRPr="00E76C08" w:rsidR="00BE3443">
        <w:rPr>
          <w:rFonts w:ascii="Arial" w:hAnsi="Arial" w:cs="Arial"/>
          <w:sz w:val="22"/>
          <w:szCs w:val="22"/>
        </w:rPr>
        <w:t> </w:t>
      </w:r>
      <w:r w:rsidRPr="00E76C08">
        <w:rPr>
          <w:rFonts w:ascii="Arial" w:hAnsi="Arial" w:cs="Arial"/>
          <w:sz w:val="22"/>
          <w:szCs w:val="22"/>
        </w:rPr>
        <w:t>53.730 that are addressing similar topics but from the perspective of the role of personnel in ensuring safe operations. Accordingly, the NRC did not change the rule language in response to this comment</w:t>
      </w:r>
      <w:r w:rsidR="005F2AE0">
        <w:rPr>
          <w:rFonts w:ascii="Arial" w:hAnsi="Arial" w:cs="Arial"/>
          <w:sz w:val="22"/>
          <w:szCs w:val="22"/>
        </w:rPr>
        <w:t>.</w:t>
      </w:r>
    </w:p>
    <w:p w:rsidR="00C72900" w:rsidRPr="00E76C08" w:rsidP="00E76C08" w14:paraId="5A02ACDB" w14:textId="77777777">
      <w:pPr>
        <w:spacing w:after="220"/>
        <w:rPr>
          <w:rFonts w:ascii="Arial" w:hAnsi="Arial" w:cs="Arial"/>
          <w:sz w:val="22"/>
          <w:szCs w:val="22"/>
        </w:rPr>
      </w:pPr>
      <w:r>
        <w:rPr>
          <w:rFonts w:ascii="Arial" w:hAnsi="Arial" w:cs="Arial"/>
          <w:sz w:val="22"/>
          <w:szCs w:val="22"/>
        </w:rPr>
        <w:pict>
          <v:rect id="_x0000_i1111" style="width:0;height:1.5pt" o:hralign="center" o:hrstd="t" o:hrnoshade="t" o:hr="t" fillcolor="black" stroked="f"/>
        </w:pict>
      </w:r>
    </w:p>
    <w:p w:rsidR="00C72900" w:rsidRPr="00E76C08" w:rsidP="00E76C08" w14:paraId="33AE39FB" w14:textId="77777777">
      <w:pPr>
        <w:spacing w:after="220"/>
        <w:rPr>
          <w:rFonts w:ascii="Arial" w:eastAsia="Aptos" w:hAnsi="Arial" w:cs="Arial"/>
          <w:sz w:val="22"/>
          <w:szCs w:val="22"/>
        </w:rPr>
      </w:pPr>
      <w:r w:rsidRPr="00E76C08">
        <w:rPr>
          <w:rFonts w:ascii="Arial" w:hAnsi="Arial" w:cs="Arial"/>
          <w:b/>
          <w:sz w:val="22"/>
          <w:szCs w:val="22"/>
        </w:rPr>
        <w:t>Comment Bin 3.3.2.1.F:</w:t>
      </w:r>
      <w:r w:rsidRPr="00E76C08">
        <w:rPr>
          <w:rFonts w:ascii="Arial" w:hAnsi="Arial" w:cs="Arial"/>
          <w:sz w:val="22"/>
          <w:szCs w:val="22"/>
        </w:rPr>
        <w:t xml:space="preserve"> </w:t>
      </w:r>
      <w:r w:rsidRPr="00E76C08">
        <w:rPr>
          <w:rFonts w:ascii="Arial" w:eastAsia="Aptos" w:hAnsi="Arial" w:cs="Arial"/>
          <w:sz w:val="22"/>
          <w:szCs w:val="22"/>
        </w:rPr>
        <w:t>A commenter stated that since 10 CFR 53.440 defines required design features in terms of "generally accepted consensus codes and standards,” the provision is ambiguous and would negatively impact state and public stakeholders and their ability to understand the current licensing basis or participate in the 10 CFR 2.206 process. The commenter added that it will be difficult for the NRC to enforce such a provision, and suggested the NRC include in the rule a more clear and structured process to allow for the involvement of State regulators and stakeholders in the entire licensing process (</w:t>
      </w:r>
      <w:r w:rsidR="00E36F7E">
        <w:rPr>
          <w:rFonts w:ascii="Arial" w:eastAsia="Aptos" w:hAnsi="Arial" w:cs="Arial"/>
          <w:sz w:val="22"/>
          <w:szCs w:val="22"/>
        </w:rPr>
        <w:t>NYS2</w:t>
      </w:r>
      <w:r w:rsidRPr="00E76C08">
        <w:rPr>
          <w:rFonts w:ascii="Arial" w:eastAsia="Aptos" w:hAnsi="Arial" w:cs="Arial"/>
          <w:sz w:val="22"/>
          <w:szCs w:val="22"/>
        </w:rPr>
        <w:t>-0007).</w:t>
      </w:r>
    </w:p>
    <w:p w:rsidR="00C72900" w:rsidRPr="00E76C08" w:rsidP="00E76C08" w14:paraId="3DF325A7" w14:textId="77777777">
      <w:pPr>
        <w:spacing w:after="220"/>
        <w:rPr>
          <w:rFonts w:ascii="Arial" w:hAnsi="Arial" w:cs="Arial"/>
          <w:sz w:val="22"/>
          <w:szCs w:val="22"/>
        </w:rPr>
      </w:pPr>
      <w:r w:rsidRPr="00E76C08">
        <w:rPr>
          <w:rFonts w:ascii="Arial" w:hAnsi="Arial" w:cs="Arial"/>
          <w:b/>
          <w:sz w:val="22"/>
          <w:szCs w:val="22"/>
        </w:rPr>
        <w:t>NRC Response:</w:t>
      </w:r>
      <w:r w:rsidRPr="00E76C08">
        <w:rPr>
          <w:rFonts w:ascii="Arial" w:hAnsi="Arial" w:cs="Arial"/>
          <w:sz w:val="22"/>
          <w:szCs w:val="22"/>
        </w:rPr>
        <w:t> The NRC disagrees with th</w:t>
      </w:r>
      <w:r w:rsidR="005F2AE0">
        <w:rPr>
          <w:rFonts w:ascii="Arial" w:hAnsi="Arial" w:cs="Arial"/>
          <w:sz w:val="22"/>
          <w:szCs w:val="22"/>
        </w:rPr>
        <w:t>e</w:t>
      </w:r>
      <w:r w:rsidRPr="00E76C08">
        <w:rPr>
          <w:rFonts w:ascii="Arial" w:hAnsi="Arial" w:cs="Arial"/>
          <w:sz w:val="22"/>
          <w:szCs w:val="22"/>
        </w:rPr>
        <w:t xml:space="preserve"> comment.</w:t>
      </w:r>
    </w:p>
    <w:p w:rsidR="00C72900" w:rsidP="00190F94" w14:paraId="33F85ED8" w14:textId="77777777">
      <w:pPr>
        <w:rPr>
          <w:rFonts w:ascii="Arial" w:hAnsi="Arial" w:cs="Arial"/>
        </w:rPr>
      </w:pPr>
      <w:r w:rsidRPr="00E76C08">
        <w:rPr>
          <w:rFonts w:ascii="Arial" w:hAnsi="Arial" w:cs="Arial"/>
          <w:sz w:val="22"/>
          <w:szCs w:val="22"/>
        </w:rPr>
        <w:t xml:space="preserve">10 CFR 53.440(b) </w:t>
      </w:r>
      <w:r w:rsidR="00F24B99">
        <w:rPr>
          <w:rFonts w:ascii="Arial" w:hAnsi="Arial" w:cs="Arial"/>
          <w:sz w:val="22"/>
          <w:szCs w:val="22"/>
        </w:rPr>
        <w:t>is being revised</w:t>
      </w:r>
      <w:r w:rsidRPr="00E76C08">
        <w:rPr>
          <w:rFonts w:ascii="Arial" w:hAnsi="Arial" w:cs="Arial"/>
          <w:sz w:val="22"/>
          <w:szCs w:val="22"/>
        </w:rPr>
        <w:t xml:space="preserve"> in response to other comments </w:t>
      </w:r>
      <w:r w:rsidRPr="005C6338">
        <w:rPr>
          <w:rFonts w:ascii="Arial" w:hAnsi="Arial" w:cs="Arial"/>
          <w:sz w:val="22"/>
          <w:szCs w:val="22"/>
        </w:rPr>
        <w:t xml:space="preserve">(see </w:t>
      </w:r>
      <w:r w:rsidRPr="005C6338" w:rsidR="00B61DE3">
        <w:rPr>
          <w:rFonts w:ascii="Arial" w:hAnsi="Arial" w:cs="Arial"/>
          <w:sz w:val="22"/>
          <w:szCs w:val="22"/>
        </w:rPr>
        <w:t xml:space="preserve">the </w:t>
      </w:r>
      <w:r w:rsidR="00665F31">
        <w:rPr>
          <w:rFonts w:ascii="Arial" w:hAnsi="Arial" w:cs="Arial"/>
          <w:sz w:val="22"/>
          <w:szCs w:val="22"/>
        </w:rPr>
        <w:t>NRC’s</w:t>
      </w:r>
      <w:r w:rsidRPr="005C6338" w:rsidR="00B61DE3">
        <w:rPr>
          <w:rFonts w:ascii="Arial" w:hAnsi="Arial" w:cs="Arial"/>
          <w:sz w:val="22"/>
          <w:szCs w:val="22"/>
        </w:rPr>
        <w:t xml:space="preserve"> response to Comment Bin 3.3.2.1.</w:t>
      </w:r>
      <w:r w:rsidRPr="00DD48B2" w:rsidR="00741FEB">
        <w:rPr>
          <w:rFonts w:ascii="Arial" w:hAnsi="Arial" w:cs="Arial"/>
          <w:sz w:val="22"/>
          <w:szCs w:val="22"/>
        </w:rPr>
        <w:t>A</w:t>
      </w:r>
      <w:r w:rsidRPr="00DD48B2">
        <w:rPr>
          <w:rFonts w:ascii="Arial" w:hAnsi="Arial" w:cs="Arial"/>
          <w:sz w:val="22"/>
          <w:szCs w:val="22"/>
        </w:rPr>
        <w:t>) to limit the applicability of the requirement for using generally accepted consensus codes and</w:t>
      </w:r>
      <w:r w:rsidRPr="00E76C08">
        <w:rPr>
          <w:rFonts w:ascii="Arial" w:hAnsi="Arial" w:cs="Arial"/>
          <w:sz w:val="22"/>
          <w:szCs w:val="22"/>
        </w:rPr>
        <w:t xml:space="preserve"> standards approved by the NRC to safety</w:t>
      </w:r>
      <w:r w:rsidRPr="00E76C08">
        <w:rPr>
          <w:rFonts w:ascii="Arial" w:hAnsi="Arial" w:cs="Arial"/>
          <w:sz w:val="22"/>
          <w:szCs w:val="22"/>
        </w:rPr>
        <w:noBreakHyphen/>
        <w:t xml:space="preserve">related SSCs. The discussion </w:t>
      </w:r>
      <w:r w:rsidR="00F24B99">
        <w:rPr>
          <w:rFonts w:ascii="Arial" w:hAnsi="Arial" w:cs="Arial"/>
          <w:sz w:val="22"/>
          <w:szCs w:val="22"/>
        </w:rPr>
        <w:t>is also being revised</w:t>
      </w:r>
      <w:r w:rsidRPr="00E76C08">
        <w:rPr>
          <w:rFonts w:ascii="Arial" w:hAnsi="Arial" w:cs="Arial"/>
          <w:sz w:val="22"/>
          <w:szCs w:val="22"/>
        </w:rPr>
        <w:t xml:space="preserve"> to explain that special treatment is defined in Subpart A of </w:t>
      </w:r>
      <w:r w:rsidRPr="00E76C08" w:rsidR="004045B5">
        <w:rPr>
          <w:rFonts w:ascii="Arial" w:hAnsi="Arial" w:cs="Arial"/>
          <w:sz w:val="22"/>
          <w:szCs w:val="22"/>
        </w:rPr>
        <w:t>10 CFR </w:t>
      </w:r>
      <w:r w:rsidRPr="00E76C08">
        <w:rPr>
          <w:rFonts w:ascii="Arial" w:hAnsi="Arial" w:cs="Arial"/>
          <w:sz w:val="22"/>
          <w:szCs w:val="22"/>
        </w:rPr>
        <w:t xml:space="preserve">Part 53 </w:t>
      </w:r>
      <w:r w:rsidRPr="00E76C08">
        <w:rPr>
          <w:rFonts w:ascii="Arial" w:hAnsi="Arial" w:cs="Arial"/>
          <w:sz w:val="22"/>
          <w:szCs w:val="22"/>
        </w:rPr>
        <w:t>and generally refers to measures (e.g., quality assurance, testing, monitoring) taken beyond normal commercial practices related to the procurement and installation of commercial</w:t>
      </w:r>
      <w:r w:rsidR="00C861D3">
        <w:rPr>
          <w:rFonts w:ascii="Arial" w:hAnsi="Arial" w:cs="Arial"/>
          <w:sz w:val="22"/>
          <w:szCs w:val="22"/>
        </w:rPr>
        <w:t>-</w:t>
      </w:r>
      <w:r w:rsidRPr="00E76C08">
        <w:rPr>
          <w:rFonts w:ascii="Arial" w:hAnsi="Arial" w:cs="Arial"/>
          <w:sz w:val="22"/>
          <w:szCs w:val="22"/>
        </w:rPr>
        <w:t xml:space="preserve">grade products to provide confidence that the SSC will comply with the applicable functional design criteria. Such normal commercial practices include the use of consensus codes and standards, as identified in an application to support the identification of special treatments which includes special treatments that may go beyond the use of commercial codes and standards. The consensus codes and standards used for both SR and NSRSS SSCs are expected to be identified in safety analysis reports </w:t>
      </w:r>
      <w:r w:rsidR="006478AC">
        <w:rPr>
          <w:rFonts w:ascii="Arial" w:hAnsi="Arial" w:cs="Arial"/>
          <w:sz w:val="22"/>
          <w:szCs w:val="22"/>
        </w:rPr>
        <w:t>(SARs)</w:t>
      </w:r>
      <w:r w:rsidRPr="00E76C08">
        <w:rPr>
          <w:rFonts w:ascii="Arial" w:hAnsi="Arial" w:cs="Arial"/>
          <w:sz w:val="22"/>
          <w:szCs w:val="22"/>
        </w:rPr>
        <w:t xml:space="preserve"> provided with applications and so would provide a comparable level of information as has been made available to state and public stakeholders under 10 CFR</w:t>
      </w:r>
      <w:r w:rsidRPr="00E76C08" w:rsidR="004045B5">
        <w:rPr>
          <w:rFonts w:ascii="Arial" w:hAnsi="Arial" w:cs="Arial"/>
          <w:sz w:val="22"/>
          <w:szCs w:val="22"/>
        </w:rPr>
        <w:t> </w:t>
      </w:r>
      <w:r w:rsidRPr="00E76C08">
        <w:rPr>
          <w:rFonts w:ascii="Arial" w:hAnsi="Arial" w:cs="Arial"/>
          <w:sz w:val="22"/>
          <w:szCs w:val="22"/>
        </w:rPr>
        <w:t xml:space="preserve">Part 50 and </w:t>
      </w:r>
      <w:r w:rsidR="00190F94">
        <w:rPr>
          <w:rFonts w:ascii="Arial" w:hAnsi="Arial" w:cs="Arial"/>
          <w:sz w:val="22"/>
          <w:szCs w:val="22"/>
        </w:rPr>
        <w:t xml:space="preserve">10 CFR </w:t>
      </w:r>
      <w:r w:rsidR="000E1E6C">
        <w:rPr>
          <w:rFonts w:ascii="Arial" w:hAnsi="Arial" w:cs="Arial"/>
          <w:sz w:val="22"/>
          <w:szCs w:val="22"/>
        </w:rPr>
        <w:t xml:space="preserve">Part </w:t>
      </w:r>
      <w:r w:rsidRPr="00E76C08">
        <w:rPr>
          <w:rFonts w:ascii="Arial" w:hAnsi="Arial" w:cs="Arial"/>
          <w:sz w:val="22"/>
          <w:szCs w:val="22"/>
        </w:rPr>
        <w:t>52.</w:t>
      </w:r>
    </w:p>
    <w:p w:rsidR="00190F94" w:rsidRPr="00190F94" w:rsidP="00190F94" w14:paraId="5A5B62E1" w14:textId="77777777">
      <w:pPr>
        <w:rPr>
          <w:rFonts w:ascii="Arial" w:hAnsi="Arial" w:cs="Arial"/>
        </w:rPr>
      </w:pPr>
    </w:p>
    <w:p w:rsidR="00C72900" w:rsidRPr="00E76C08" w:rsidP="00E76C08" w14:paraId="7EED267B" w14:textId="77777777">
      <w:pPr>
        <w:spacing w:after="220"/>
        <w:rPr>
          <w:rFonts w:ascii="Arial" w:hAnsi="Arial" w:cs="Arial"/>
          <w:sz w:val="22"/>
          <w:szCs w:val="22"/>
        </w:rPr>
      </w:pPr>
      <w:r w:rsidRPr="00E76C08">
        <w:rPr>
          <w:rFonts w:ascii="Arial" w:hAnsi="Arial" w:cs="Arial"/>
          <w:sz w:val="22"/>
          <w:szCs w:val="22"/>
        </w:rPr>
        <w:t xml:space="preserve">Regarding the part of the comment on public participation in the licensing process — the licensing provisions in 10 CFR Part 53, availability of information, opportunities to participate in licensing proceedings and rulemakings, opportunities to participate in environmental reviews, opportunities to request NRC actions, and other interactions with states and public stakeholders incorporated in 10 CFR Part 53 are structured </w:t>
      </w:r>
      <w:r w:rsidR="00F759AC">
        <w:rPr>
          <w:rFonts w:ascii="Arial" w:hAnsi="Arial" w:cs="Arial"/>
          <w:sz w:val="22"/>
          <w:szCs w:val="22"/>
        </w:rPr>
        <w:t xml:space="preserve">to provide the same opportunities for public participation as </w:t>
      </w:r>
      <w:r w:rsidRPr="00E76C08">
        <w:rPr>
          <w:rFonts w:ascii="Arial" w:hAnsi="Arial" w:cs="Arial"/>
          <w:sz w:val="22"/>
          <w:szCs w:val="22"/>
        </w:rPr>
        <w:t xml:space="preserve">the </w:t>
      </w:r>
      <w:r w:rsidR="00E7677B">
        <w:rPr>
          <w:rFonts w:ascii="Arial" w:hAnsi="Arial" w:cs="Arial"/>
          <w:sz w:val="22"/>
          <w:szCs w:val="22"/>
        </w:rPr>
        <w:t>equivalent</w:t>
      </w:r>
      <w:r w:rsidRPr="00E76C08">
        <w:rPr>
          <w:rFonts w:ascii="Arial" w:hAnsi="Arial" w:cs="Arial"/>
          <w:sz w:val="22"/>
          <w:szCs w:val="22"/>
        </w:rPr>
        <w:t xml:space="preserve"> provisions included in 10</w:t>
      </w:r>
      <w:r w:rsidR="005F2AE0">
        <w:rPr>
          <w:rFonts w:ascii="Arial" w:hAnsi="Arial" w:cs="Arial"/>
          <w:sz w:val="22"/>
          <w:szCs w:val="22"/>
        </w:rPr>
        <w:t> </w:t>
      </w:r>
      <w:r w:rsidRPr="00E76C08">
        <w:rPr>
          <w:rFonts w:ascii="Arial" w:hAnsi="Arial" w:cs="Arial"/>
          <w:sz w:val="22"/>
          <w:szCs w:val="22"/>
        </w:rPr>
        <w:t>CFR</w:t>
      </w:r>
      <w:r w:rsidR="005F2AE0">
        <w:rPr>
          <w:rFonts w:ascii="Arial" w:hAnsi="Arial" w:cs="Arial"/>
          <w:sz w:val="22"/>
          <w:szCs w:val="22"/>
        </w:rPr>
        <w:t> </w:t>
      </w:r>
      <w:r w:rsidRPr="00E76C08">
        <w:rPr>
          <w:rFonts w:ascii="Arial" w:hAnsi="Arial" w:cs="Arial"/>
          <w:sz w:val="22"/>
          <w:szCs w:val="22"/>
        </w:rPr>
        <w:t xml:space="preserve">Part 50 and </w:t>
      </w:r>
      <w:r w:rsidR="000E1E6C">
        <w:rPr>
          <w:rFonts w:ascii="Arial" w:hAnsi="Arial" w:cs="Arial"/>
          <w:sz w:val="22"/>
          <w:szCs w:val="22"/>
        </w:rPr>
        <w:t>10</w:t>
      </w:r>
      <w:r w:rsidR="007C7121">
        <w:rPr>
          <w:rFonts w:ascii="Arial" w:hAnsi="Arial" w:cs="Arial"/>
          <w:sz w:val="22"/>
          <w:szCs w:val="22"/>
        </w:rPr>
        <w:t> </w:t>
      </w:r>
      <w:r w:rsidR="000E1E6C">
        <w:rPr>
          <w:rFonts w:ascii="Arial" w:hAnsi="Arial" w:cs="Arial"/>
          <w:sz w:val="22"/>
          <w:szCs w:val="22"/>
        </w:rPr>
        <w:t>CFR</w:t>
      </w:r>
      <w:r w:rsidR="007C7121">
        <w:rPr>
          <w:rFonts w:ascii="Arial" w:hAnsi="Arial" w:cs="Arial"/>
          <w:sz w:val="22"/>
          <w:szCs w:val="22"/>
        </w:rPr>
        <w:t> </w:t>
      </w:r>
      <w:r w:rsidR="000E1E6C">
        <w:rPr>
          <w:rFonts w:ascii="Arial" w:hAnsi="Arial" w:cs="Arial"/>
          <w:sz w:val="22"/>
          <w:szCs w:val="22"/>
        </w:rPr>
        <w:t xml:space="preserve">Part </w:t>
      </w:r>
      <w:r w:rsidRPr="00E76C08">
        <w:rPr>
          <w:rFonts w:ascii="Arial" w:hAnsi="Arial" w:cs="Arial"/>
          <w:sz w:val="22"/>
          <w:szCs w:val="22"/>
        </w:rPr>
        <w:t>52.</w:t>
      </w:r>
    </w:p>
    <w:p w:rsidR="00C72900" w:rsidRPr="00E76C08" w:rsidP="00E76C08" w14:paraId="6AEA273B" w14:textId="77777777">
      <w:pPr>
        <w:spacing w:after="220"/>
        <w:rPr>
          <w:rFonts w:ascii="Arial" w:hAnsi="Arial" w:cs="Arial"/>
          <w:sz w:val="22"/>
          <w:szCs w:val="22"/>
        </w:rPr>
      </w:pPr>
      <w:r w:rsidRPr="00E76C08">
        <w:rPr>
          <w:rFonts w:ascii="Arial" w:hAnsi="Arial" w:cs="Arial"/>
          <w:sz w:val="22"/>
          <w:szCs w:val="22"/>
        </w:rPr>
        <w:t>Accordingly, the NRC did not change the rule language in response to this comment.</w:t>
      </w:r>
    </w:p>
    <w:p w:rsidR="00C92267" w:rsidRPr="00E76C08" w:rsidP="00E76C08" w14:paraId="33EFE7AA" w14:textId="77777777">
      <w:pPr>
        <w:spacing w:after="220"/>
        <w:rPr>
          <w:rFonts w:ascii="Arial" w:hAnsi="Arial" w:cs="Arial"/>
          <w:sz w:val="22"/>
          <w:szCs w:val="22"/>
        </w:rPr>
      </w:pPr>
      <w:r>
        <w:rPr>
          <w:rFonts w:ascii="Arial" w:hAnsi="Arial" w:cs="Arial"/>
          <w:sz w:val="22"/>
          <w:szCs w:val="22"/>
        </w:rPr>
        <w:pict>
          <v:rect id="_x0000_i1112" style="width:0;height:1.5pt" o:hralign="center" o:hrstd="t" o:hrnoshade="t" o:hr="t" fillcolor="black" stroked="f"/>
        </w:pict>
      </w:r>
    </w:p>
    <w:p w:rsidR="00C92267" w:rsidRPr="00E76C08" w:rsidP="00E76C08" w14:paraId="15972786" w14:textId="77777777">
      <w:pPr>
        <w:spacing w:after="220"/>
        <w:rPr>
          <w:rFonts w:ascii="Arial" w:eastAsia="Aptos" w:hAnsi="Arial" w:cs="Arial"/>
          <w:sz w:val="22"/>
          <w:szCs w:val="22"/>
        </w:rPr>
      </w:pPr>
      <w:r w:rsidRPr="00E76C08">
        <w:rPr>
          <w:rFonts w:ascii="Arial" w:hAnsi="Arial" w:cs="Arial"/>
          <w:b/>
          <w:sz w:val="22"/>
          <w:szCs w:val="22"/>
        </w:rPr>
        <w:t>Comment Bin 3.3.2.1.G:</w:t>
      </w:r>
      <w:r w:rsidRPr="00E76C08">
        <w:rPr>
          <w:rFonts w:ascii="Arial" w:hAnsi="Arial" w:cs="Arial"/>
          <w:sz w:val="22"/>
          <w:szCs w:val="22"/>
        </w:rPr>
        <w:t xml:space="preserve"> </w:t>
      </w:r>
      <w:r w:rsidRPr="00E76C08">
        <w:rPr>
          <w:rFonts w:ascii="Arial" w:eastAsia="Aptos" w:hAnsi="Arial" w:cs="Arial"/>
          <w:sz w:val="22"/>
          <w:szCs w:val="22"/>
        </w:rPr>
        <w:t>A commenter stated that the NRC should not operate with a zero risk tolerance and suggested that a specific value of acceptable risk of event occurrence needs to be established for NRC use when analyzing advanced reactor designs, which would reduce costs for both the NRC and industry (</w:t>
      </w:r>
      <w:r w:rsidRPr="0050157F" w:rsidR="0050157F">
        <w:rPr>
          <w:rFonts w:ascii="Arial" w:eastAsia="Times New Roman" w:hAnsi="Arial" w:cs="Arial"/>
          <w:color w:val="000000"/>
          <w:sz w:val="22"/>
          <w:szCs w:val="22"/>
        </w:rPr>
        <w:t>TG28</w:t>
      </w:r>
      <w:r w:rsidRPr="0050157F">
        <w:rPr>
          <w:rFonts w:ascii="Arial" w:eastAsia="Aptos" w:hAnsi="Arial" w:cs="Arial"/>
          <w:sz w:val="22"/>
          <w:szCs w:val="22"/>
        </w:rPr>
        <w:t>-0</w:t>
      </w:r>
      <w:r w:rsidRPr="00E76C08">
        <w:rPr>
          <w:rFonts w:ascii="Arial" w:eastAsia="Aptos" w:hAnsi="Arial" w:cs="Arial"/>
          <w:sz w:val="22"/>
          <w:szCs w:val="22"/>
        </w:rPr>
        <w:t>001).</w:t>
      </w:r>
    </w:p>
    <w:p w:rsidR="00127541" w:rsidRPr="00E76C08" w:rsidP="00E76C08" w14:paraId="62D3ED16" w14:textId="77777777">
      <w:pPr>
        <w:spacing w:after="220"/>
        <w:rPr>
          <w:rFonts w:ascii="Arial" w:hAnsi="Arial" w:cs="Arial"/>
          <w:sz w:val="22"/>
          <w:szCs w:val="22"/>
        </w:rPr>
      </w:pPr>
      <w:r w:rsidRPr="00E76C08">
        <w:rPr>
          <w:rFonts w:ascii="Arial" w:hAnsi="Arial" w:cs="Arial"/>
          <w:b/>
          <w:sz w:val="22"/>
          <w:szCs w:val="22"/>
        </w:rPr>
        <w:t>NRC Response:</w:t>
      </w:r>
      <w:r w:rsidRPr="00E76C08">
        <w:rPr>
          <w:rFonts w:ascii="Arial" w:hAnsi="Arial" w:cs="Arial"/>
          <w:sz w:val="22"/>
          <w:szCs w:val="22"/>
        </w:rPr>
        <w:t> The NRC agrees, in part, with th</w:t>
      </w:r>
      <w:r w:rsidR="005F2AE0">
        <w:rPr>
          <w:rFonts w:ascii="Arial" w:hAnsi="Arial" w:cs="Arial"/>
          <w:sz w:val="22"/>
          <w:szCs w:val="22"/>
        </w:rPr>
        <w:t>e</w:t>
      </w:r>
      <w:r w:rsidRPr="00E76C08">
        <w:rPr>
          <w:rFonts w:ascii="Arial" w:hAnsi="Arial" w:cs="Arial"/>
          <w:sz w:val="22"/>
          <w:szCs w:val="22"/>
        </w:rPr>
        <w:t xml:space="preserve"> comment.</w:t>
      </w:r>
    </w:p>
    <w:p w:rsidR="00127541" w:rsidRPr="00E76C08" w:rsidP="00E76C08" w14:paraId="773B41AD" w14:textId="77777777">
      <w:pPr>
        <w:spacing w:after="220"/>
        <w:rPr>
          <w:rFonts w:ascii="Arial" w:hAnsi="Arial" w:cs="Arial"/>
          <w:sz w:val="22"/>
          <w:szCs w:val="22"/>
        </w:rPr>
      </w:pPr>
      <w:r w:rsidRPr="00E76C08">
        <w:rPr>
          <w:rFonts w:ascii="Arial" w:hAnsi="Arial" w:cs="Arial"/>
          <w:sz w:val="22"/>
          <w:szCs w:val="22"/>
        </w:rPr>
        <w:t>The NRC does not regulate to achieve a goal of zero risk to public health and safety from the operation of commercial nuclear plants and has not incorporated such a concept into 10 CFR Part 53. As explained in the proposed and final rules related to 10 CFR 53.220, applicants are required to identify comprehensive risk metrics and associated risk performance objectives that are acceptable to the NRC and provide an appropriate level of safety.</w:t>
      </w:r>
    </w:p>
    <w:p w:rsidR="00127541" w:rsidRPr="00E76C08" w:rsidP="00E76C08" w14:paraId="37537E23" w14:textId="77777777">
      <w:pPr>
        <w:spacing w:after="220"/>
        <w:rPr>
          <w:rFonts w:ascii="Arial" w:hAnsi="Arial" w:cs="Arial"/>
          <w:sz w:val="22"/>
          <w:szCs w:val="22"/>
        </w:rPr>
      </w:pPr>
      <w:r w:rsidRPr="00E76C08">
        <w:rPr>
          <w:rFonts w:ascii="Arial" w:hAnsi="Arial" w:cs="Arial"/>
          <w:sz w:val="22"/>
          <w:szCs w:val="22"/>
        </w:rPr>
        <w:t>Further, the</w:t>
      </w:r>
      <w:r w:rsidRPr="00E76C08" w:rsidR="00C42F37">
        <w:rPr>
          <w:rFonts w:ascii="Arial" w:hAnsi="Arial" w:cs="Arial"/>
          <w:sz w:val="22"/>
          <w:szCs w:val="22"/>
        </w:rPr>
        <w:t xml:space="preserve"> </w:t>
      </w:r>
      <w:r w:rsidR="0034081D">
        <w:rPr>
          <w:rFonts w:ascii="Arial" w:hAnsi="Arial" w:cs="Arial"/>
        </w:rPr>
        <w:t>f</w:t>
      </w:r>
      <w:r w:rsidR="00C42F37">
        <w:rPr>
          <w:rFonts w:ascii="Arial" w:hAnsi="Arial" w:cs="Arial"/>
        </w:rPr>
        <w:t xml:space="preserve">inal </w:t>
      </w:r>
      <w:r w:rsidR="0034081D">
        <w:rPr>
          <w:rFonts w:ascii="Arial" w:hAnsi="Arial" w:cs="Arial"/>
        </w:rPr>
        <w:t>r</w:t>
      </w:r>
      <w:r w:rsidR="00C42F37">
        <w:rPr>
          <w:rFonts w:ascii="Arial" w:hAnsi="Arial" w:cs="Arial"/>
        </w:rPr>
        <w:t>ule</w:t>
      </w:r>
      <w:r w:rsidRPr="00E76C08" w:rsidR="00C42F37">
        <w:rPr>
          <w:rFonts w:ascii="Arial" w:hAnsi="Arial" w:cs="Arial"/>
          <w:sz w:val="22"/>
          <w:szCs w:val="22"/>
        </w:rPr>
        <w:t xml:space="preserve"> text provides some specific examples of risk metrics the NRC would find acceptable</w:t>
      </w:r>
      <w:r w:rsidRPr="00E76C08" w:rsidR="00CB7D9C">
        <w:rPr>
          <w:rFonts w:ascii="Arial" w:hAnsi="Arial" w:cs="Arial"/>
          <w:sz w:val="22"/>
          <w:szCs w:val="22"/>
        </w:rPr>
        <w:t>,</w:t>
      </w:r>
      <w:r w:rsidRPr="00E76C08" w:rsidR="00C42F37">
        <w:rPr>
          <w:rFonts w:ascii="Arial" w:hAnsi="Arial" w:cs="Arial"/>
          <w:sz w:val="22"/>
          <w:szCs w:val="22"/>
        </w:rPr>
        <w:t xml:space="preserve"> and</w:t>
      </w:r>
      <w:r w:rsidRPr="00E76C08">
        <w:rPr>
          <w:rFonts w:ascii="Arial" w:hAnsi="Arial" w:cs="Arial"/>
          <w:sz w:val="22"/>
          <w:szCs w:val="22"/>
        </w:rPr>
        <w:t xml:space="preserve"> the NRC intends to issue </w:t>
      </w:r>
      <w:r w:rsidRPr="00E76C08" w:rsidR="00C42F37">
        <w:rPr>
          <w:rFonts w:ascii="Arial" w:hAnsi="Arial" w:cs="Arial"/>
          <w:sz w:val="22"/>
          <w:szCs w:val="22"/>
        </w:rPr>
        <w:t>further</w:t>
      </w:r>
      <w:r w:rsidRPr="00E76C08">
        <w:rPr>
          <w:rFonts w:ascii="Arial" w:hAnsi="Arial" w:cs="Arial"/>
          <w:sz w:val="22"/>
          <w:szCs w:val="22"/>
        </w:rPr>
        <w:t xml:space="preserve"> guidance that will provide </w:t>
      </w:r>
      <w:r w:rsidRPr="00E76C08" w:rsidR="00C42F37">
        <w:rPr>
          <w:rFonts w:ascii="Arial" w:hAnsi="Arial" w:cs="Arial"/>
          <w:sz w:val="22"/>
          <w:szCs w:val="22"/>
        </w:rPr>
        <w:t>additional</w:t>
      </w:r>
      <w:r w:rsidRPr="00E76C08">
        <w:rPr>
          <w:rFonts w:ascii="Arial" w:hAnsi="Arial" w:cs="Arial"/>
          <w:sz w:val="22"/>
          <w:szCs w:val="22"/>
        </w:rPr>
        <w:t xml:space="preserve"> examples of acceptable risk metrics</w:t>
      </w:r>
      <w:r w:rsidRPr="00E76C08" w:rsidR="00C42F37">
        <w:rPr>
          <w:rFonts w:ascii="Arial" w:hAnsi="Arial" w:cs="Arial"/>
          <w:sz w:val="22"/>
          <w:szCs w:val="22"/>
        </w:rPr>
        <w:t>. T</w:t>
      </w:r>
      <w:r w:rsidRPr="00E76C08" w:rsidR="00D2506D">
        <w:rPr>
          <w:rFonts w:ascii="Arial" w:hAnsi="Arial" w:cs="Arial"/>
          <w:sz w:val="22"/>
          <w:szCs w:val="22"/>
        </w:rPr>
        <w:t>he NRC anticipates that use of these guidance documents will reduce costs for both applicants and the NRC.</w:t>
      </w:r>
    </w:p>
    <w:p w:rsidR="00C92267" w:rsidRPr="00E76C08" w:rsidP="00E76C08" w14:paraId="191ADAF6" w14:textId="77777777">
      <w:pPr>
        <w:spacing w:after="220"/>
        <w:rPr>
          <w:rFonts w:ascii="Arial" w:hAnsi="Arial" w:cs="Arial"/>
          <w:sz w:val="22"/>
          <w:szCs w:val="22"/>
        </w:rPr>
      </w:pPr>
      <w:r w:rsidRPr="00E76C08">
        <w:rPr>
          <w:rFonts w:ascii="Arial" w:hAnsi="Arial" w:cs="Arial"/>
          <w:sz w:val="22"/>
          <w:szCs w:val="22"/>
        </w:rPr>
        <w:t>Accordingly, the NRC did not change the rule language in response to this comment.</w:t>
      </w:r>
    </w:p>
    <w:p w:rsidR="000F3D5B" w:rsidRPr="00E76C08" w:rsidP="00E76C08" w14:paraId="364EC577" w14:textId="77777777">
      <w:pPr>
        <w:spacing w:after="220"/>
        <w:rPr>
          <w:rFonts w:ascii="Arial" w:hAnsi="Arial" w:cs="Arial"/>
          <w:sz w:val="22"/>
          <w:szCs w:val="22"/>
        </w:rPr>
      </w:pPr>
      <w:r>
        <w:rPr>
          <w:rFonts w:ascii="Arial" w:hAnsi="Arial" w:cs="Arial"/>
          <w:sz w:val="22"/>
          <w:szCs w:val="22"/>
        </w:rPr>
        <w:pict>
          <v:rect id="_x0000_i1113" style="width:0;height:1.5pt" o:hralign="center" o:hrstd="t" o:hrnoshade="t" o:hr="t" fillcolor="black" stroked="f"/>
        </w:pict>
      </w:r>
    </w:p>
    <w:p w:rsidR="000F3D5B" w:rsidRPr="005F2AE0" w:rsidP="000975CC" w14:paraId="06FA459E" w14:textId="77777777">
      <w:pPr>
        <w:pStyle w:val="Heading4"/>
        <w:keepNext/>
        <w:keepLines/>
        <w:ind w:left="907" w:hanging="907"/>
        <w:rPr>
          <w:b/>
          <w:i/>
        </w:rPr>
      </w:pPr>
      <w:r w:rsidRPr="008A7CB7">
        <w:rPr>
          <w:u w:val="none"/>
        </w:rPr>
        <w:t>3.3.2.</w:t>
      </w:r>
      <w:r w:rsidRPr="008A7CB7" w:rsidR="005822F0">
        <w:rPr>
          <w:u w:val="none"/>
        </w:rPr>
        <w:t>2</w:t>
      </w:r>
      <w:r w:rsidRPr="008A7CB7" w:rsidR="00A56251">
        <w:rPr>
          <w:u w:val="none"/>
        </w:rPr>
        <w:t>.</w:t>
      </w:r>
      <w:r w:rsidRPr="008A7CB7">
        <w:rPr>
          <w:u w:val="none"/>
        </w:rPr>
        <w:t xml:space="preserve"> </w:t>
      </w:r>
      <w:r w:rsidRPr="008A7CB7" w:rsidR="00A56251">
        <w:rPr>
          <w:u w:val="none"/>
        </w:rPr>
        <w:tab/>
      </w:r>
      <w:r w:rsidRPr="00A56251">
        <w:t>Comments on § 53.450</w:t>
      </w:r>
      <w:r w:rsidRPr="005F2AE0">
        <w:t xml:space="preserve"> </w:t>
      </w:r>
    </w:p>
    <w:p w:rsidR="00B3441E" w:rsidRPr="007D0A05" w:rsidP="00113485" w14:paraId="4A4D7AA4" w14:textId="77777777">
      <w:pPr>
        <w:spacing w:after="220"/>
        <w:rPr>
          <w:rFonts w:ascii="Arial" w:hAnsi="Arial" w:cs="Arial"/>
          <w:b/>
          <w:sz w:val="22"/>
          <w:szCs w:val="22"/>
          <w:lang w:eastAsia="zh-CN"/>
        </w:rPr>
      </w:pPr>
      <w:r w:rsidRPr="00113485">
        <w:rPr>
          <w:rFonts w:ascii="Arial" w:hAnsi="Arial" w:cs="Arial"/>
          <w:b/>
          <w:sz w:val="22"/>
          <w:szCs w:val="22"/>
          <w:lang w:eastAsia="zh-CN"/>
        </w:rPr>
        <w:t>Comment Bin 3.3.2.2.A:</w:t>
      </w:r>
      <w:r w:rsidRPr="00113485" w:rsidR="00582DCF">
        <w:rPr>
          <w:rFonts w:ascii="Arial" w:hAnsi="Arial" w:cs="Arial"/>
          <w:b/>
          <w:sz w:val="22"/>
          <w:szCs w:val="22"/>
          <w:lang w:eastAsia="zh-CN"/>
        </w:rPr>
        <w:t xml:space="preserve"> </w:t>
      </w:r>
      <w:r w:rsidRPr="00113485" w:rsidR="00582DCF">
        <w:rPr>
          <w:rFonts w:ascii="Arial" w:eastAsia="Aptos" w:hAnsi="Arial" w:cs="Arial"/>
          <w:sz w:val="22"/>
          <w:szCs w:val="22"/>
        </w:rPr>
        <w:t xml:space="preserve">A commenter stated that the proposed 10 CFR 53.240 intends to introduce PRA to “identify and assess LBEs,” but explained that that PRA event trees and scenarios have several deficiencies. Specifically, the commenter wrote that </w:t>
      </w:r>
      <w:r w:rsidRPr="00113485" w:rsidR="00582DCF">
        <w:rPr>
          <w:rFonts w:ascii="Arial" w:hAnsi="Arial" w:cs="Arial"/>
          <w:sz w:val="22"/>
          <w:szCs w:val="22"/>
        </w:rPr>
        <w:t xml:space="preserve">PRA event trees and scenarios: are not mathematically or physically complete in including all possible scenarios and events; cannot today conduct accurate dynamic analyses and represent passive design features; must appeal to using deterministic analyses; and should be utilized with judgement in </w:t>
      </w:r>
      <w:r w:rsidRPr="00113485" w:rsidR="00582DCF">
        <w:rPr>
          <w:rFonts w:ascii="Arial" w:hAnsi="Arial" w:cs="Arial"/>
          <w:sz w:val="22"/>
          <w:szCs w:val="22"/>
        </w:rPr>
        <w:t xml:space="preserve">risk-informed decision-making to a greater extent. </w:t>
      </w:r>
      <w:r w:rsidRPr="00113485" w:rsidR="00582DCF">
        <w:rPr>
          <w:rFonts w:ascii="Arial" w:eastAsia="Aptos" w:hAnsi="Arial" w:cs="Arial"/>
          <w:sz w:val="22"/>
          <w:szCs w:val="22"/>
        </w:rPr>
        <w:t>The commenter also noted that current PRA methods are essentially pre-selected static event trees, whereas present deterministic methods are inherently dynamic, and stated that the two approaches are often stated to be complementary, but in the proposed rule the types of analyses used also depend on the types of accident based on frequency criteria. The commenter added that it is preferable to have a fully integrated and physically consistent coupled and dynamic RIDM methodology for the full spectrum of significant events relevant to the chosen design. The commenter urged the NRC to explicitly state the limits of PRA applicability and completeness and note that the PRA cannot be independently verified, so it cannot be validated by direct comparisons against data or cover all possible scenarios. The commenter concluded that judgment must be used in RIDM based on data and known uncertainties in data, methods, and completeness (</w:t>
      </w:r>
      <w:r w:rsidR="00A02F0C">
        <w:rPr>
          <w:rFonts w:ascii="Arial" w:eastAsia="Aptos" w:hAnsi="Arial" w:cs="Arial"/>
          <w:sz w:val="22"/>
          <w:szCs w:val="22"/>
        </w:rPr>
        <w:t>RD</w:t>
      </w:r>
      <w:r w:rsidRPr="00113485" w:rsidR="00582DCF">
        <w:rPr>
          <w:rFonts w:ascii="Arial" w:eastAsia="Aptos" w:hAnsi="Arial" w:cs="Arial"/>
          <w:sz w:val="22"/>
          <w:szCs w:val="22"/>
        </w:rPr>
        <w:t>-0016).</w:t>
      </w:r>
    </w:p>
    <w:p w:rsidR="00582DCF" w:rsidRPr="00113485" w:rsidP="00113485" w14:paraId="1966C0EB" w14:textId="77777777">
      <w:pPr>
        <w:spacing w:after="220"/>
        <w:rPr>
          <w:rFonts w:ascii="Arial" w:hAnsi="Arial" w:cs="Arial"/>
          <w:sz w:val="22"/>
          <w:szCs w:val="22"/>
        </w:rPr>
      </w:pPr>
      <w:r w:rsidRPr="00113485">
        <w:rPr>
          <w:rFonts w:ascii="Arial" w:hAnsi="Arial" w:cs="Arial"/>
          <w:b/>
          <w:sz w:val="22"/>
          <w:szCs w:val="22"/>
          <w:lang w:eastAsia="zh-CN"/>
        </w:rPr>
        <w:t xml:space="preserve">NRC Response: </w:t>
      </w:r>
      <w:r w:rsidRPr="00113485">
        <w:rPr>
          <w:rFonts w:ascii="Arial" w:hAnsi="Arial" w:cs="Arial"/>
          <w:sz w:val="22"/>
          <w:szCs w:val="22"/>
        </w:rPr>
        <w:t>The NRC agrees, in part, with th</w:t>
      </w:r>
      <w:r w:rsidR="009269C6">
        <w:rPr>
          <w:rFonts w:ascii="Arial" w:hAnsi="Arial" w:cs="Arial"/>
          <w:sz w:val="22"/>
          <w:szCs w:val="22"/>
        </w:rPr>
        <w:t>e</w:t>
      </w:r>
      <w:r w:rsidRPr="00113485">
        <w:rPr>
          <w:rFonts w:ascii="Arial" w:hAnsi="Arial" w:cs="Arial"/>
          <w:sz w:val="22"/>
          <w:szCs w:val="22"/>
        </w:rPr>
        <w:t xml:space="preserve"> comment.</w:t>
      </w:r>
    </w:p>
    <w:p w:rsidR="00582DCF" w:rsidRPr="00113485" w:rsidP="00113485" w14:paraId="1603BAF6" w14:textId="77777777">
      <w:pPr>
        <w:spacing w:after="220"/>
        <w:rPr>
          <w:rFonts w:ascii="Arial" w:hAnsi="Arial" w:cs="Arial"/>
          <w:sz w:val="22"/>
          <w:szCs w:val="22"/>
        </w:rPr>
      </w:pPr>
      <w:r w:rsidRPr="00113485">
        <w:rPr>
          <w:rFonts w:ascii="Arial" w:hAnsi="Arial" w:cs="Arial"/>
          <w:sz w:val="22"/>
          <w:szCs w:val="22"/>
        </w:rPr>
        <w:t>The references to a PRA or other systematic risk evaluation within 10 CFR Part 53 include the broader set of analyses discussed in the comment (e.g., simulations of plant response) and not simply the elements of the PRA referred to in the comment, such as static event trees. Additionally, 10 CFR Part 53 does not rely entirely on the PRA or systematic risk evaluation to demonstrate safety; 10 CFR Part 53 also requires applicants to perform a deterministic analysis of design</w:t>
      </w:r>
      <w:r w:rsidR="008C4102">
        <w:rPr>
          <w:rFonts w:ascii="Arial" w:hAnsi="Arial" w:cs="Arial"/>
          <w:sz w:val="22"/>
          <w:szCs w:val="22"/>
        </w:rPr>
        <w:t>-</w:t>
      </w:r>
      <w:r w:rsidRPr="00113485">
        <w:rPr>
          <w:rFonts w:ascii="Arial" w:hAnsi="Arial" w:cs="Arial"/>
          <w:sz w:val="22"/>
          <w:szCs w:val="22"/>
        </w:rPr>
        <w:t>basis accidents to further inform the plant’s licensing basis. Moreover, engineering judgment will continue to be an important part of the design and analyses processes addressed in 10 CFR Part 53. For example, references such as ASME/ANS RA-S-1.4-2020, “Probabilistic Risk Assessment Standard for Advanced Non-Light Water Reactor Nuclear Power Plants,” highlight the importance of risk-informed decision</w:t>
      </w:r>
      <w:r w:rsidR="00923E71">
        <w:rPr>
          <w:rFonts w:ascii="Arial" w:hAnsi="Arial" w:cs="Arial"/>
          <w:sz w:val="22"/>
          <w:szCs w:val="22"/>
        </w:rPr>
        <w:t>-</w:t>
      </w:r>
      <w:r w:rsidRPr="00113485">
        <w:rPr>
          <w:rFonts w:ascii="Arial" w:hAnsi="Arial" w:cs="Arial"/>
          <w:sz w:val="22"/>
          <w:szCs w:val="22"/>
        </w:rPr>
        <w:t>making, expert judgment, and peer review.</w:t>
      </w:r>
    </w:p>
    <w:p w:rsidR="00B3441E" w:rsidP="00113485" w14:paraId="28281CB3" w14:textId="77777777">
      <w:pPr>
        <w:spacing w:after="220"/>
        <w:rPr>
          <w:rFonts w:ascii="Arial" w:hAnsi="Arial" w:cs="Arial"/>
          <w:sz w:val="22"/>
          <w:szCs w:val="22"/>
        </w:rPr>
      </w:pPr>
      <w:r w:rsidRPr="00113485">
        <w:rPr>
          <w:rFonts w:ascii="Arial" w:hAnsi="Arial" w:cs="Arial"/>
          <w:sz w:val="22"/>
          <w:szCs w:val="22"/>
        </w:rPr>
        <w:t>Accordingly, the NRC did not change the rule language in response to this comment.</w:t>
      </w:r>
    </w:p>
    <w:p w:rsidR="002E197A" w:rsidRPr="00113485" w:rsidP="00113485" w14:paraId="25E1D4BF" w14:textId="77777777">
      <w:pPr>
        <w:spacing w:after="220"/>
        <w:rPr>
          <w:sz w:val="22"/>
          <w:szCs w:val="22"/>
          <w:lang w:eastAsia="zh-CN"/>
        </w:rPr>
      </w:pPr>
      <w:r>
        <w:rPr>
          <w:rFonts w:ascii="Arial" w:hAnsi="Arial" w:cs="Arial"/>
          <w:sz w:val="22"/>
          <w:szCs w:val="22"/>
        </w:rPr>
        <w:pict>
          <v:rect id="_x0000_i1114" style="width:0;height:1.5pt" o:hralign="center" o:hrstd="t" o:hrnoshade="t" o:hr="t" fillcolor="black" stroked="f"/>
        </w:pict>
      </w:r>
    </w:p>
    <w:p w:rsidR="00B3441E" w:rsidRPr="00113485" w:rsidP="00113485" w14:paraId="63AB756E" w14:textId="77777777">
      <w:pPr>
        <w:spacing w:after="220"/>
        <w:rPr>
          <w:sz w:val="22"/>
          <w:szCs w:val="22"/>
          <w:lang w:eastAsia="zh-CN"/>
        </w:rPr>
      </w:pPr>
      <w:r w:rsidRPr="00113485">
        <w:rPr>
          <w:rFonts w:ascii="Arial" w:hAnsi="Arial" w:cs="Arial"/>
          <w:b/>
          <w:sz w:val="22"/>
          <w:szCs w:val="22"/>
          <w:lang w:eastAsia="zh-CN"/>
        </w:rPr>
        <w:t>Comment Bin 3.3.2.2.B:</w:t>
      </w:r>
      <w:r w:rsidRPr="00113485" w:rsidR="00582DCF">
        <w:rPr>
          <w:rFonts w:ascii="Arial" w:hAnsi="Arial" w:cs="Arial"/>
          <w:b/>
          <w:sz w:val="22"/>
          <w:szCs w:val="22"/>
          <w:lang w:eastAsia="zh-CN"/>
        </w:rPr>
        <w:t xml:space="preserve"> </w:t>
      </w:r>
      <w:r w:rsidRPr="00113485" w:rsidR="00582DCF">
        <w:rPr>
          <w:rFonts w:ascii="Arial" w:eastAsia="Aptos" w:hAnsi="Arial" w:cs="Arial"/>
          <w:sz w:val="22"/>
          <w:szCs w:val="22"/>
        </w:rPr>
        <w:t>A commenter recommended the NRC incorporate digital twin technology as a critical component of the 10 CFR Part 53 framework, noting this would align with the rule's goals of enhancing safety, optimizing performance, and fostering innovation, and described the benefits of such technology, including enhanced safety, operational efficiency, innovation and flexibility, and valuable insights for data-driven decision</w:t>
      </w:r>
      <w:r w:rsidR="00923E71">
        <w:rPr>
          <w:rFonts w:ascii="Arial" w:eastAsia="Aptos" w:hAnsi="Arial" w:cs="Arial"/>
          <w:sz w:val="22"/>
          <w:szCs w:val="22"/>
        </w:rPr>
        <w:t>-</w:t>
      </w:r>
      <w:r w:rsidRPr="00113485" w:rsidR="00582DCF">
        <w:rPr>
          <w:rFonts w:ascii="Arial" w:eastAsia="Aptos" w:hAnsi="Arial" w:cs="Arial"/>
          <w:sz w:val="22"/>
          <w:szCs w:val="22"/>
        </w:rPr>
        <w:t>making. To integrate this technology into 10 CFR Part 53, the commenter suggested amending 10 CFR 53.450 to require that the PRA must leverage digital twin technology to continuously update risk assessments based on real-time data and simulations, ensuring adaptive and proactive risk management strategies. The commenter also suggested additional language to be incorporated into 10</w:t>
      </w:r>
      <w:r w:rsidR="00D5551A">
        <w:rPr>
          <w:rFonts w:ascii="Arial" w:eastAsia="Aptos" w:hAnsi="Arial" w:cs="Arial"/>
          <w:sz w:val="22"/>
          <w:szCs w:val="22"/>
        </w:rPr>
        <w:t> </w:t>
      </w:r>
      <w:r w:rsidRPr="00113485" w:rsidR="00582DCF">
        <w:rPr>
          <w:rFonts w:ascii="Arial" w:eastAsia="Aptos" w:hAnsi="Arial" w:cs="Arial"/>
          <w:sz w:val="22"/>
          <w:szCs w:val="22"/>
        </w:rPr>
        <w:t>CFR</w:t>
      </w:r>
      <w:r w:rsidR="00D5551A">
        <w:rPr>
          <w:rFonts w:ascii="Arial" w:eastAsia="Aptos" w:hAnsi="Arial" w:cs="Arial"/>
          <w:sz w:val="22"/>
          <w:szCs w:val="22"/>
        </w:rPr>
        <w:t> </w:t>
      </w:r>
      <w:r w:rsidRPr="00113485" w:rsidR="00582DCF">
        <w:rPr>
          <w:rFonts w:ascii="Arial" w:eastAsia="Aptos" w:hAnsi="Arial" w:cs="Arial"/>
          <w:sz w:val="22"/>
          <w:szCs w:val="22"/>
        </w:rPr>
        <w:t>53.1239 related to digital twin technology (</w:t>
      </w:r>
      <w:r w:rsidRPr="0094577D" w:rsidR="0094577D">
        <w:rPr>
          <w:rFonts w:ascii="Arial" w:eastAsia="Times New Roman" w:hAnsi="Arial" w:cs="Arial"/>
          <w:color w:val="000000"/>
          <w:sz w:val="22"/>
          <w:szCs w:val="22"/>
        </w:rPr>
        <w:t>MR</w:t>
      </w:r>
      <w:r w:rsidRPr="0094577D" w:rsidR="00582DCF">
        <w:rPr>
          <w:rFonts w:ascii="Arial" w:eastAsia="Aptos" w:hAnsi="Arial" w:cs="Arial"/>
          <w:sz w:val="22"/>
          <w:szCs w:val="22"/>
        </w:rPr>
        <w:t>-</w:t>
      </w:r>
      <w:r w:rsidRPr="00113485" w:rsidR="00582DCF">
        <w:rPr>
          <w:rFonts w:ascii="Arial" w:eastAsia="Aptos" w:hAnsi="Arial" w:cs="Arial"/>
          <w:sz w:val="22"/>
          <w:szCs w:val="22"/>
        </w:rPr>
        <w:t>0008).</w:t>
      </w:r>
    </w:p>
    <w:p w:rsidR="00407202" w:rsidRPr="00C07ECA" w:rsidP="00113485" w14:paraId="43C4F931" w14:textId="77777777">
      <w:pPr>
        <w:spacing w:after="220"/>
        <w:rPr>
          <w:rFonts w:ascii="Arial" w:hAnsi="Arial" w:cs="Arial"/>
          <w:sz w:val="22"/>
          <w:szCs w:val="22"/>
        </w:rPr>
      </w:pPr>
      <w:r w:rsidRPr="00113485">
        <w:rPr>
          <w:rFonts w:ascii="Arial" w:hAnsi="Arial" w:cs="Arial"/>
          <w:b/>
          <w:sz w:val="22"/>
          <w:szCs w:val="22"/>
          <w:lang w:eastAsia="zh-CN"/>
        </w:rPr>
        <w:t>NRC Response:</w:t>
      </w:r>
      <w:r w:rsidRPr="00113485">
        <w:rPr>
          <w:sz w:val="22"/>
          <w:szCs w:val="22"/>
          <w:lang w:eastAsia="zh-CN"/>
        </w:rPr>
        <w:t xml:space="preserve"> </w:t>
      </w:r>
      <w:r w:rsidRPr="00C07ECA" w:rsidR="00582DCF">
        <w:rPr>
          <w:rFonts w:ascii="Arial" w:hAnsi="Arial" w:cs="Arial"/>
          <w:sz w:val="22"/>
          <w:szCs w:val="22"/>
        </w:rPr>
        <w:t>The NRC disagrees with th</w:t>
      </w:r>
      <w:r w:rsidR="00D5551A">
        <w:rPr>
          <w:rFonts w:ascii="Arial" w:hAnsi="Arial" w:cs="Arial"/>
          <w:sz w:val="22"/>
          <w:szCs w:val="22"/>
        </w:rPr>
        <w:t>e</w:t>
      </w:r>
      <w:r w:rsidRPr="00C07ECA" w:rsidR="00582DCF">
        <w:rPr>
          <w:rFonts w:ascii="Arial" w:hAnsi="Arial" w:cs="Arial"/>
          <w:sz w:val="22"/>
          <w:szCs w:val="22"/>
        </w:rPr>
        <w:t xml:space="preserve"> comment. </w:t>
      </w:r>
    </w:p>
    <w:p w:rsidR="00407202" w:rsidRPr="00C07ECA" w:rsidP="00113485" w14:paraId="7698ACC8" w14:textId="77777777">
      <w:pPr>
        <w:spacing w:after="220"/>
        <w:rPr>
          <w:rFonts w:ascii="Arial" w:hAnsi="Arial" w:cs="Arial"/>
          <w:sz w:val="22"/>
          <w:szCs w:val="22"/>
        </w:rPr>
      </w:pPr>
      <w:r w:rsidRPr="00C07ECA">
        <w:rPr>
          <w:rFonts w:ascii="Arial" w:hAnsi="Arial" w:cs="Arial"/>
          <w:sz w:val="22"/>
          <w:szCs w:val="22"/>
        </w:rPr>
        <w:t xml:space="preserve">This rule was developed as a risk-informed, performance-based, and technology-inclusive regulatory framework for commercial nuclear plants in response to NEIMA. To prescribe a specific means of monitoring and optimizing reactor operations would be counter to the performance-based nature of the rule. Notwithstanding the potential benefits of digital twin technology, the NRC disagrees that it should be required within the regulations. </w:t>
      </w:r>
    </w:p>
    <w:p w:rsidR="009E48A8" w:rsidRPr="00C07ECA" w:rsidP="00113485" w14:paraId="5A2968A5" w14:textId="77777777">
      <w:pPr>
        <w:spacing w:after="220"/>
        <w:rPr>
          <w:rFonts w:ascii="Arial" w:hAnsi="Arial" w:cs="Arial"/>
          <w:sz w:val="22"/>
          <w:szCs w:val="22"/>
        </w:rPr>
      </w:pPr>
      <w:r w:rsidRPr="00C07ECA">
        <w:rPr>
          <w:rFonts w:ascii="Arial" w:hAnsi="Arial" w:cs="Arial"/>
          <w:sz w:val="22"/>
          <w:szCs w:val="22"/>
        </w:rPr>
        <w:t>Accordingly, the NRC did not change the rule language in response to this comment.</w:t>
      </w:r>
    </w:p>
    <w:p w:rsidR="002E197A" w:rsidRPr="00113485" w:rsidP="00113485" w14:paraId="01A062AE" w14:textId="77777777">
      <w:pPr>
        <w:spacing w:after="220"/>
        <w:rPr>
          <w:sz w:val="22"/>
          <w:szCs w:val="22"/>
          <w:lang w:eastAsia="zh-CN"/>
        </w:rPr>
      </w:pPr>
      <w:r>
        <w:rPr>
          <w:rFonts w:ascii="Arial" w:hAnsi="Arial" w:cs="Arial"/>
          <w:sz w:val="22"/>
          <w:szCs w:val="22"/>
        </w:rPr>
        <w:pict>
          <v:rect id="_x0000_i1115" style="width:0;height:1.5pt" o:hralign="center" o:hrstd="t" o:hrnoshade="t" o:hr="t" fillcolor="black" stroked="f"/>
        </w:pict>
      </w:r>
    </w:p>
    <w:p w:rsidR="00B3441E" w:rsidRPr="00113485" w:rsidP="00113485" w14:paraId="00F64D6F" w14:textId="77777777">
      <w:pPr>
        <w:spacing w:after="220"/>
        <w:rPr>
          <w:sz w:val="22"/>
          <w:szCs w:val="22"/>
          <w:lang w:eastAsia="zh-CN"/>
        </w:rPr>
      </w:pPr>
      <w:r w:rsidRPr="00113485">
        <w:rPr>
          <w:rFonts w:ascii="Arial" w:hAnsi="Arial" w:cs="Arial"/>
          <w:b/>
          <w:sz w:val="22"/>
          <w:szCs w:val="22"/>
          <w:lang w:eastAsia="zh-CN"/>
        </w:rPr>
        <w:t>Comment Bin 3.3.2.2.C:</w:t>
      </w:r>
      <w:r w:rsidRPr="00113485" w:rsidR="00582DCF">
        <w:rPr>
          <w:rFonts w:ascii="Arial" w:hAnsi="Arial" w:cs="Arial"/>
          <w:b/>
          <w:sz w:val="22"/>
          <w:szCs w:val="22"/>
          <w:lang w:eastAsia="zh-CN"/>
        </w:rPr>
        <w:t xml:space="preserve"> </w:t>
      </w:r>
      <w:r w:rsidRPr="00113485" w:rsidR="00582DCF">
        <w:rPr>
          <w:rFonts w:ascii="Arial" w:eastAsia="Aptos" w:hAnsi="Arial" w:cs="Arial"/>
          <w:sz w:val="22"/>
          <w:szCs w:val="22"/>
        </w:rPr>
        <w:t xml:space="preserve">A commenter discussed language in </w:t>
      </w:r>
      <w:r w:rsidRPr="00113485" w:rsidR="00582DCF">
        <w:rPr>
          <w:rFonts w:ascii="Arial" w:eastAsia="DengXian" w:hAnsi="Arial" w:cs="Arial"/>
          <w:sz w:val="22"/>
          <w:szCs w:val="22"/>
        </w:rPr>
        <w:t xml:space="preserve">Section IV, “Part 53 Framework,” of the </w:t>
      </w:r>
      <w:r w:rsidR="005E359A">
        <w:rPr>
          <w:rFonts w:ascii="Arial" w:eastAsia="DengXian" w:hAnsi="Arial" w:cs="Arial"/>
          <w:sz w:val="22"/>
          <w:szCs w:val="22"/>
        </w:rPr>
        <w:t>FRN</w:t>
      </w:r>
      <w:r w:rsidRPr="00113485" w:rsidR="00582DCF">
        <w:rPr>
          <w:rFonts w:ascii="Arial" w:eastAsia="DengXian" w:hAnsi="Arial" w:cs="Arial"/>
          <w:sz w:val="22"/>
          <w:szCs w:val="22"/>
        </w:rPr>
        <w:t xml:space="preserve"> of the proposed </w:t>
      </w:r>
      <w:r w:rsidRPr="00113485" w:rsidR="00582DCF">
        <w:rPr>
          <w:rFonts w:ascii="Arial" w:eastAsia="Aptos" w:hAnsi="Arial" w:cs="Arial"/>
          <w:sz w:val="22"/>
          <w:szCs w:val="22"/>
        </w:rPr>
        <w:t xml:space="preserve">rule that states that “These analyses would need to use realistic approaches and address uncertainties associated with states of knowledge, modeling, and performance of SSCs,” noting that previously uncertainty did not need to be addressed and adequate results were still achieved. The commenter questioned whether addressing uncertainty is necessary and asked how much it would cost and how much value it would provide, noting it may be a better use of resources to spend more on a stronger design, or if the design appears adequate, not spend at all </w:t>
      </w:r>
      <w:r w:rsidRPr="008C3FEF" w:rsidR="00582DCF">
        <w:rPr>
          <w:rFonts w:ascii="Arial" w:eastAsia="Aptos" w:hAnsi="Arial" w:cs="Arial"/>
          <w:sz w:val="22"/>
          <w:szCs w:val="22"/>
        </w:rPr>
        <w:t>(</w:t>
      </w:r>
      <w:r w:rsidRPr="008C3FEF" w:rsidR="008C3FEF">
        <w:rPr>
          <w:rFonts w:ascii="Arial" w:eastAsia="Times New Roman" w:hAnsi="Arial" w:cs="Arial"/>
          <w:color w:val="000000"/>
          <w:sz w:val="22"/>
          <w:szCs w:val="22"/>
        </w:rPr>
        <w:t>TG5</w:t>
      </w:r>
      <w:r w:rsidRPr="008C3FEF" w:rsidR="00582DCF">
        <w:rPr>
          <w:rFonts w:ascii="Arial" w:eastAsia="Aptos" w:hAnsi="Arial" w:cs="Arial"/>
          <w:sz w:val="22"/>
          <w:szCs w:val="22"/>
        </w:rPr>
        <w:t>-</w:t>
      </w:r>
      <w:r w:rsidRPr="00113485" w:rsidR="00582DCF">
        <w:rPr>
          <w:rFonts w:ascii="Arial" w:eastAsia="Aptos" w:hAnsi="Arial" w:cs="Arial"/>
          <w:sz w:val="22"/>
          <w:szCs w:val="22"/>
        </w:rPr>
        <w:t>0001).</w:t>
      </w:r>
    </w:p>
    <w:p w:rsidR="00E22FB2" w:rsidP="00113485" w14:paraId="040552DA" w14:textId="77777777">
      <w:pPr>
        <w:spacing w:after="220"/>
        <w:rPr>
          <w:rFonts w:ascii="Arial" w:hAnsi="Arial" w:cs="Arial"/>
          <w:sz w:val="22"/>
          <w:szCs w:val="22"/>
        </w:rPr>
      </w:pPr>
      <w:r w:rsidRPr="00113485">
        <w:rPr>
          <w:rFonts w:ascii="Arial" w:hAnsi="Arial" w:cs="Arial"/>
          <w:b/>
          <w:sz w:val="22"/>
          <w:szCs w:val="22"/>
          <w:lang w:eastAsia="zh-CN"/>
        </w:rPr>
        <w:t>NRC Response:</w:t>
      </w:r>
      <w:r w:rsidRPr="00113485" w:rsidR="00582DCF">
        <w:rPr>
          <w:rFonts w:ascii="Arial" w:hAnsi="Arial" w:cs="Arial"/>
          <w:b/>
          <w:sz w:val="22"/>
          <w:szCs w:val="22"/>
          <w:lang w:eastAsia="zh-CN"/>
        </w:rPr>
        <w:t xml:space="preserve"> </w:t>
      </w:r>
      <w:r w:rsidRPr="00113485" w:rsidR="00582DCF">
        <w:rPr>
          <w:rFonts w:ascii="Arial" w:hAnsi="Arial" w:cs="Arial"/>
          <w:sz w:val="22"/>
          <w:szCs w:val="22"/>
        </w:rPr>
        <w:t>The NRC disagrees with th</w:t>
      </w:r>
      <w:r w:rsidR="00D5551A">
        <w:rPr>
          <w:rFonts w:ascii="Arial" w:hAnsi="Arial" w:cs="Arial"/>
          <w:sz w:val="22"/>
          <w:szCs w:val="22"/>
        </w:rPr>
        <w:t>e</w:t>
      </w:r>
      <w:r w:rsidRPr="00113485" w:rsidR="00582DCF">
        <w:rPr>
          <w:rFonts w:ascii="Arial" w:hAnsi="Arial" w:cs="Arial"/>
          <w:sz w:val="22"/>
          <w:szCs w:val="22"/>
        </w:rPr>
        <w:t xml:space="preserve"> comment.</w:t>
      </w:r>
    </w:p>
    <w:p w:rsidR="00582DCF" w:rsidRPr="00113485" w:rsidP="00113485" w14:paraId="5B4824A9" w14:textId="77777777">
      <w:pPr>
        <w:spacing w:after="220"/>
        <w:rPr>
          <w:rFonts w:ascii="Arial" w:hAnsi="Arial" w:cs="Arial"/>
          <w:sz w:val="22"/>
          <w:szCs w:val="22"/>
        </w:rPr>
      </w:pPr>
      <w:r w:rsidRPr="00113485">
        <w:rPr>
          <w:rFonts w:ascii="Arial" w:hAnsi="Arial" w:cs="Arial"/>
          <w:sz w:val="22"/>
          <w:szCs w:val="22"/>
        </w:rPr>
        <w:t>Uncertainties related to the state of knowledge, or the performance of plant systems are accounted for in both the largely deterministic framework of 10 CFR Part 50 and the more risk-informed framework of 10 CFR Part 53. The means of addressing uncertainties under the 10 CFR Part 50 framework is primarily through the need to verify and validate analytical models and by conservatisms included in the regulations to provide design margins and defense in depth. The 10 CFR Part 53 framework provides more flexibility in addressing uncertainties but, in the absence of prescriptive requirements, includes a more general requirement to identify and address uncertainties.</w:t>
      </w:r>
    </w:p>
    <w:p w:rsidR="00B3441E" w:rsidP="00113485" w14:paraId="79B34014" w14:textId="77777777">
      <w:pPr>
        <w:spacing w:after="220"/>
        <w:rPr>
          <w:rFonts w:ascii="Arial" w:hAnsi="Arial" w:cs="Arial"/>
          <w:sz w:val="22"/>
          <w:szCs w:val="22"/>
        </w:rPr>
      </w:pPr>
      <w:r w:rsidRPr="00113485">
        <w:rPr>
          <w:rFonts w:ascii="Arial" w:hAnsi="Arial" w:cs="Arial"/>
          <w:sz w:val="22"/>
          <w:szCs w:val="22"/>
        </w:rPr>
        <w:t>Accordingly, the NRC did not change the rule language in response to this comment.</w:t>
      </w:r>
    </w:p>
    <w:p w:rsidR="002E197A" w:rsidRPr="00113485" w:rsidP="00113485" w14:paraId="6CAE3A72" w14:textId="77777777">
      <w:pPr>
        <w:spacing w:after="220"/>
        <w:rPr>
          <w:sz w:val="22"/>
          <w:szCs w:val="22"/>
          <w:lang w:eastAsia="zh-CN"/>
        </w:rPr>
      </w:pPr>
      <w:r>
        <w:rPr>
          <w:rFonts w:ascii="Arial" w:hAnsi="Arial" w:cs="Arial"/>
          <w:sz w:val="22"/>
          <w:szCs w:val="22"/>
        </w:rPr>
        <w:pict>
          <v:rect id="_x0000_i1116" style="width:0;height:1.5pt" o:hralign="center" o:hrstd="t" o:hrnoshade="t" o:hr="t" fillcolor="black" stroked="f"/>
        </w:pict>
      </w:r>
    </w:p>
    <w:p w:rsidR="00B3441E" w:rsidRPr="00113485" w:rsidP="00113485" w14:paraId="730518ED" w14:textId="77777777">
      <w:pPr>
        <w:spacing w:after="220"/>
        <w:rPr>
          <w:sz w:val="22"/>
          <w:szCs w:val="22"/>
          <w:lang w:eastAsia="zh-CN"/>
        </w:rPr>
      </w:pPr>
      <w:r w:rsidRPr="00113485">
        <w:rPr>
          <w:rFonts w:ascii="Arial" w:hAnsi="Arial" w:cs="Arial"/>
          <w:b/>
          <w:sz w:val="22"/>
          <w:szCs w:val="22"/>
          <w:lang w:eastAsia="zh-CN"/>
        </w:rPr>
        <w:t>Comment Bin 3.3.2.2.D:</w:t>
      </w:r>
      <w:r w:rsidRPr="00113485" w:rsidR="00B306E7">
        <w:rPr>
          <w:rFonts w:ascii="Arial" w:hAnsi="Arial" w:cs="Arial"/>
          <w:b/>
          <w:sz w:val="22"/>
          <w:szCs w:val="22"/>
          <w:lang w:eastAsia="zh-CN"/>
        </w:rPr>
        <w:t xml:space="preserve"> </w:t>
      </w:r>
      <w:r w:rsidRPr="00113485" w:rsidR="00B306E7">
        <w:rPr>
          <w:rFonts w:ascii="Arial" w:eastAsia="Aptos" w:hAnsi="Arial" w:cs="Arial"/>
          <w:sz w:val="22"/>
          <w:szCs w:val="22"/>
        </w:rPr>
        <w:t>A commenter stated that while the NRC stated it intends for the new rulemaking to offer a transparent and efficient process for the licensing of advanced nuclear reactors, the proposed 10 CFR Part 53 only requires applicants to provide a summary of the PRA and risk insights to support safety findings. The commenter stated that proprietary information is unlikely to be provided to host states, municipalities, or other interested parties, so the public will be precluded from reasonably evaluating the accuracy and thoroughness of the applicant's analysis of potential accidents or mitigating systems and noted this may undermine public confidence in the safety of new designs coupled with limited opportunity for public input. The commenter urged the NRC to provide the public with a detailed review of PRAs and risk insights to facilitate public confidence regarding the safety of advanced reactor designs and other matters important to public safety, such as emergency planning, physical security, and fire protection (</w:t>
      </w:r>
      <w:r w:rsidR="00E36F7E">
        <w:rPr>
          <w:rFonts w:ascii="Arial" w:eastAsia="Aptos" w:hAnsi="Arial" w:cs="Arial"/>
          <w:sz w:val="22"/>
          <w:szCs w:val="22"/>
        </w:rPr>
        <w:t>NYS2</w:t>
      </w:r>
      <w:r w:rsidRPr="00113485" w:rsidR="00B306E7">
        <w:rPr>
          <w:rFonts w:ascii="Arial" w:eastAsia="Aptos" w:hAnsi="Arial" w:cs="Arial"/>
          <w:sz w:val="22"/>
          <w:szCs w:val="22"/>
        </w:rPr>
        <w:t>-0006).</w:t>
      </w:r>
    </w:p>
    <w:p w:rsidR="00B306E7" w:rsidRPr="00113485" w:rsidP="00113485" w14:paraId="259A437F" w14:textId="77777777">
      <w:pPr>
        <w:spacing w:after="220"/>
        <w:rPr>
          <w:rFonts w:ascii="Arial" w:hAnsi="Arial" w:cs="Arial"/>
          <w:sz w:val="22"/>
          <w:szCs w:val="22"/>
        </w:rPr>
      </w:pPr>
      <w:r w:rsidRPr="00113485">
        <w:rPr>
          <w:rFonts w:ascii="Arial" w:hAnsi="Arial" w:cs="Arial"/>
          <w:b/>
          <w:sz w:val="22"/>
          <w:szCs w:val="22"/>
          <w:lang w:eastAsia="zh-CN"/>
        </w:rPr>
        <w:t xml:space="preserve">NRC Response: </w:t>
      </w:r>
      <w:r w:rsidRPr="00113485">
        <w:rPr>
          <w:rFonts w:ascii="Arial" w:hAnsi="Arial" w:cs="Arial"/>
          <w:sz w:val="22"/>
          <w:szCs w:val="22"/>
        </w:rPr>
        <w:t>The NRC agrees, in part, with th</w:t>
      </w:r>
      <w:r w:rsidR="00D5551A">
        <w:rPr>
          <w:rFonts w:ascii="Arial" w:hAnsi="Arial" w:cs="Arial"/>
          <w:sz w:val="22"/>
          <w:szCs w:val="22"/>
        </w:rPr>
        <w:t>e</w:t>
      </w:r>
      <w:r w:rsidRPr="00113485">
        <w:rPr>
          <w:rFonts w:ascii="Arial" w:hAnsi="Arial" w:cs="Arial"/>
          <w:sz w:val="22"/>
          <w:szCs w:val="22"/>
        </w:rPr>
        <w:t xml:space="preserve"> comment.</w:t>
      </w:r>
    </w:p>
    <w:p w:rsidR="00B306E7" w:rsidRPr="00113485" w:rsidP="00113485" w14:paraId="2A1C1B4E" w14:textId="77777777">
      <w:pPr>
        <w:spacing w:after="220"/>
        <w:rPr>
          <w:rFonts w:ascii="Arial" w:hAnsi="Arial" w:cs="Arial"/>
          <w:sz w:val="22"/>
          <w:szCs w:val="22"/>
        </w:rPr>
      </w:pPr>
      <w:r w:rsidRPr="00113485">
        <w:rPr>
          <w:rFonts w:ascii="Arial" w:hAnsi="Arial" w:cs="Arial"/>
          <w:sz w:val="22"/>
          <w:szCs w:val="22"/>
        </w:rPr>
        <w:t>The NRC agrees with the comment in terms of the importance of transparency in the licensing process and the need to provide information on the risks posed by commercial nuclear plants to the public. The NRC</w:t>
      </w:r>
      <w:r w:rsidR="00043CFB">
        <w:rPr>
          <w:rFonts w:ascii="Arial" w:hAnsi="Arial" w:cs="Arial"/>
          <w:sz w:val="22"/>
          <w:szCs w:val="22"/>
        </w:rPr>
        <w:t xml:space="preserve"> requires applicants to submit sufficient information on the record to support the NRC’s licensing review</w:t>
      </w:r>
      <w:r w:rsidR="00705EFF">
        <w:rPr>
          <w:rFonts w:ascii="Arial" w:hAnsi="Arial" w:cs="Arial"/>
          <w:sz w:val="22"/>
          <w:szCs w:val="22"/>
        </w:rPr>
        <w:t xml:space="preserve">; </w:t>
      </w:r>
      <w:r w:rsidR="00615E80">
        <w:rPr>
          <w:rFonts w:ascii="Arial" w:hAnsi="Arial" w:cs="Arial"/>
          <w:sz w:val="22"/>
          <w:szCs w:val="22"/>
        </w:rPr>
        <w:t xml:space="preserve">this information will generally </w:t>
      </w:r>
      <w:r w:rsidR="00F70BA6">
        <w:rPr>
          <w:rFonts w:ascii="Arial" w:hAnsi="Arial" w:cs="Arial"/>
          <w:sz w:val="22"/>
          <w:szCs w:val="22"/>
        </w:rPr>
        <w:t xml:space="preserve">address </w:t>
      </w:r>
      <w:r w:rsidRPr="00113485">
        <w:rPr>
          <w:rFonts w:ascii="Arial" w:hAnsi="Arial" w:cs="Arial"/>
          <w:sz w:val="22"/>
          <w:szCs w:val="22"/>
        </w:rPr>
        <w:t>the risks posed by the licensed activity</w:t>
      </w:r>
      <w:r w:rsidR="00CA72B4">
        <w:rPr>
          <w:rFonts w:ascii="Arial" w:hAnsi="Arial" w:cs="Arial"/>
          <w:sz w:val="22"/>
          <w:szCs w:val="22"/>
        </w:rPr>
        <w:t xml:space="preserve">. If necessary, the NRC also has </w:t>
      </w:r>
      <w:r w:rsidR="00CD0FBE">
        <w:rPr>
          <w:rFonts w:ascii="Arial" w:hAnsi="Arial" w:cs="Arial"/>
          <w:sz w:val="22"/>
          <w:szCs w:val="22"/>
        </w:rPr>
        <w:t>mechanisms</w:t>
      </w:r>
      <w:r w:rsidR="00CA72B4">
        <w:rPr>
          <w:rFonts w:ascii="Arial" w:hAnsi="Arial" w:cs="Arial"/>
          <w:sz w:val="22"/>
          <w:szCs w:val="22"/>
        </w:rPr>
        <w:t xml:space="preserve"> </w:t>
      </w:r>
      <w:r w:rsidRPr="00113485">
        <w:rPr>
          <w:rFonts w:ascii="Arial" w:hAnsi="Arial" w:cs="Arial"/>
          <w:sz w:val="22"/>
          <w:szCs w:val="22"/>
        </w:rPr>
        <w:t xml:space="preserve">and </w:t>
      </w:r>
      <w:r w:rsidR="001037A8">
        <w:rPr>
          <w:rFonts w:ascii="Arial" w:hAnsi="Arial" w:cs="Arial"/>
          <w:sz w:val="22"/>
          <w:szCs w:val="22"/>
        </w:rPr>
        <w:t>the obligation to</w:t>
      </w:r>
      <w:r w:rsidRPr="00113485">
        <w:rPr>
          <w:rFonts w:ascii="Arial" w:hAnsi="Arial" w:cs="Arial"/>
          <w:sz w:val="22"/>
          <w:szCs w:val="22"/>
        </w:rPr>
        <w:t xml:space="preserve"> protect sensitive information</w:t>
      </w:r>
      <w:r w:rsidR="00A71344">
        <w:rPr>
          <w:rFonts w:ascii="Arial" w:hAnsi="Arial" w:cs="Arial"/>
          <w:sz w:val="22"/>
          <w:szCs w:val="22"/>
        </w:rPr>
        <w:t xml:space="preserve"> submitted as part of the application</w:t>
      </w:r>
      <w:r w:rsidR="00C80747">
        <w:rPr>
          <w:rFonts w:ascii="Arial" w:hAnsi="Arial" w:cs="Arial"/>
          <w:sz w:val="22"/>
          <w:szCs w:val="22"/>
        </w:rPr>
        <w:t>, which includes a process for th</w:t>
      </w:r>
      <w:r w:rsidR="00854040">
        <w:rPr>
          <w:rFonts w:ascii="Arial" w:hAnsi="Arial" w:cs="Arial"/>
          <w:sz w:val="22"/>
          <w:szCs w:val="22"/>
        </w:rPr>
        <w:t xml:space="preserve">e public to </w:t>
      </w:r>
      <w:r w:rsidR="00E33787">
        <w:rPr>
          <w:rFonts w:ascii="Arial" w:hAnsi="Arial" w:cs="Arial"/>
          <w:sz w:val="22"/>
          <w:szCs w:val="22"/>
        </w:rPr>
        <w:t>access</w:t>
      </w:r>
      <w:r w:rsidR="00854040">
        <w:rPr>
          <w:rFonts w:ascii="Arial" w:hAnsi="Arial" w:cs="Arial"/>
          <w:sz w:val="22"/>
          <w:szCs w:val="22"/>
        </w:rPr>
        <w:t xml:space="preserve"> </w:t>
      </w:r>
      <w:r w:rsidR="002807F7">
        <w:rPr>
          <w:rFonts w:ascii="Arial" w:hAnsi="Arial" w:cs="Arial"/>
          <w:sz w:val="22"/>
          <w:szCs w:val="22"/>
        </w:rPr>
        <w:t>protected</w:t>
      </w:r>
      <w:r w:rsidR="00854040">
        <w:rPr>
          <w:rFonts w:ascii="Arial" w:hAnsi="Arial" w:cs="Arial"/>
          <w:sz w:val="22"/>
          <w:szCs w:val="22"/>
        </w:rPr>
        <w:t xml:space="preserve"> information when needed to support an adjudicatory challenge to the application</w:t>
      </w:r>
      <w:r w:rsidRPr="00113485">
        <w:rPr>
          <w:rFonts w:ascii="Arial" w:hAnsi="Arial" w:cs="Arial"/>
          <w:sz w:val="22"/>
          <w:szCs w:val="22"/>
        </w:rPr>
        <w:t>. The level of information reviewed by the NRC related to the PRA, other systematic risk evaluations, and related risk insights will be more detailed under 10 CFR</w:t>
      </w:r>
      <w:r w:rsidR="00D5551A">
        <w:rPr>
          <w:rFonts w:ascii="Arial" w:hAnsi="Arial" w:cs="Arial"/>
          <w:sz w:val="22"/>
          <w:szCs w:val="22"/>
        </w:rPr>
        <w:t> </w:t>
      </w:r>
      <w:r w:rsidRPr="00113485">
        <w:rPr>
          <w:rFonts w:ascii="Arial" w:hAnsi="Arial" w:cs="Arial"/>
          <w:sz w:val="22"/>
          <w:szCs w:val="22"/>
        </w:rPr>
        <w:t>Part</w:t>
      </w:r>
      <w:r w:rsidR="00D5551A">
        <w:rPr>
          <w:rFonts w:ascii="Arial" w:hAnsi="Arial" w:cs="Arial"/>
          <w:sz w:val="22"/>
          <w:szCs w:val="22"/>
        </w:rPr>
        <w:t> </w:t>
      </w:r>
      <w:r w:rsidRPr="00113485">
        <w:rPr>
          <w:rFonts w:ascii="Arial" w:hAnsi="Arial" w:cs="Arial"/>
          <w:sz w:val="22"/>
          <w:szCs w:val="22"/>
        </w:rPr>
        <w:t>53 than has traditionally been the case under 10 CFR Part 52 since the risk evaluations are integral to much of the licensing basis information under 10 CFR Part 53.</w:t>
      </w:r>
    </w:p>
    <w:p w:rsidR="00B306E7" w:rsidRPr="00113485" w:rsidP="00113485" w14:paraId="135053B5" w14:textId="77777777">
      <w:pPr>
        <w:spacing w:after="220"/>
        <w:rPr>
          <w:rFonts w:ascii="Arial" w:hAnsi="Arial" w:cs="Arial"/>
          <w:sz w:val="22"/>
          <w:szCs w:val="22"/>
        </w:rPr>
      </w:pPr>
      <w:r w:rsidRPr="00113485">
        <w:rPr>
          <w:rFonts w:ascii="Arial" w:hAnsi="Arial" w:cs="Arial"/>
          <w:sz w:val="22"/>
          <w:szCs w:val="22"/>
        </w:rPr>
        <w:t xml:space="preserve">However, as explained in the proposed and final rules, </w:t>
      </w:r>
      <w:r w:rsidR="00EB6D43">
        <w:rPr>
          <w:rFonts w:ascii="Arial" w:hAnsi="Arial" w:cs="Arial"/>
          <w:sz w:val="22"/>
          <w:szCs w:val="22"/>
        </w:rPr>
        <w:t>10 CFR P</w:t>
      </w:r>
      <w:r w:rsidR="00EA5BFC">
        <w:rPr>
          <w:rFonts w:ascii="Arial" w:hAnsi="Arial" w:cs="Arial"/>
          <w:sz w:val="22"/>
          <w:szCs w:val="22"/>
        </w:rPr>
        <w:t>art 53 is designed to</w:t>
      </w:r>
      <w:r w:rsidRPr="00113485">
        <w:rPr>
          <w:rFonts w:ascii="Arial" w:hAnsi="Arial" w:cs="Arial"/>
          <w:sz w:val="22"/>
          <w:szCs w:val="22"/>
        </w:rPr>
        <w:t xml:space="preserve"> avoid problems experienced with the submittal of voluminous PRA information initially required under 10</w:t>
      </w:r>
      <w:r w:rsidR="00D5551A">
        <w:rPr>
          <w:rFonts w:ascii="Arial" w:hAnsi="Arial" w:cs="Arial"/>
          <w:sz w:val="22"/>
          <w:szCs w:val="22"/>
        </w:rPr>
        <w:t> </w:t>
      </w:r>
      <w:r w:rsidRPr="00113485">
        <w:rPr>
          <w:rFonts w:ascii="Arial" w:hAnsi="Arial" w:cs="Arial"/>
          <w:sz w:val="22"/>
          <w:szCs w:val="22"/>
        </w:rPr>
        <w:t>CFR</w:t>
      </w:r>
      <w:r w:rsidR="00D5551A">
        <w:rPr>
          <w:rFonts w:ascii="Arial" w:hAnsi="Arial" w:cs="Arial"/>
          <w:sz w:val="22"/>
          <w:szCs w:val="22"/>
        </w:rPr>
        <w:t> </w:t>
      </w:r>
      <w:r w:rsidRPr="00113485">
        <w:rPr>
          <w:rFonts w:ascii="Arial" w:hAnsi="Arial" w:cs="Arial"/>
          <w:sz w:val="22"/>
          <w:szCs w:val="22"/>
        </w:rPr>
        <w:t>Part 52 that proved to be impractical and was subsequently addressed with the 2007 revision of 10 CFR Part 52</w:t>
      </w:r>
      <w:r w:rsidR="00F226C3">
        <w:rPr>
          <w:rFonts w:ascii="Arial" w:hAnsi="Arial" w:cs="Arial"/>
          <w:sz w:val="22"/>
          <w:szCs w:val="22"/>
        </w:rPr>
        <w:t xml:space="preserve"> (72 FR </w:t>
      </w:r>
      <w:r w:rsidR="00271B81">
        <w:rPr>
          <w:rFonts w:ascii="Arial" w:hAnsi="Arial" w:cs="Arial"/>
          <w:sz w:val="22"/>
          <w:szCs w:val="22"/>
        </w:rPr>
        <w:t>49352; August 28, 2007)</w:t>
      </w:r>
      <w:r w:rsidRPr="00113485">
        <w:rPr>
          <w:rFonts w:ascii="Arial" w:hAnsi="Arial" w:cs="Arial"/>
          <w:sz w:val="22"/>
          <w:szCs w:val="22"/>
        </w:rPr>
        <w:t>. In that regard, the NRC agrees that 10 CFR Part 53 requires the content of applications to include a description of the PRA, other systematic risk evaluations, or combination thereof. Based on the application information and any other pertinent information the NRC deems necessary to reach conclusions about the safety of the facility, the NRC will continue to document its safety decisions and will be guided by what is necessary to explain any findings of reasonable assurance of adequate protection of public health and safety and the common defense and security. The information needed to support the NRC’s determination will continue to be docketed either as part of the initial application or a supplement or in a response to a request for additional information; therefore</w:t>
      </w:r>
      <w:r w:rsidR="007019D2">
        <w:rPr>
          <w:rFonts w:ascii="Arial" w:hAnsi="Arial" w:cs="Arial"/>
          <w:sz w:val="22"/>
          <w:szCs w:val="22"/>
        </w:rPr>
        <w:t>,</w:t>
      </w:r>
      <w:r w:rsidRPr="00113485">
        <w:rPr>
          <w:rFonts w:ascii="Arial" w:hAnsi="Arial" w:cs="Arial"/>
          <w:sz w:val="22"/>
          <w:szCs w:val="22"/>
        </w:rPr>
        <w:t xml:space="preserve"> the public will continue to have adequate information to assess the application. </w:t>
      </w:r>
      <w:r w:rsidR="0023037F">
        <w:rPr>
          <w:rFonts w:ascii="Arial" w:hAnsi="Arial" w:cs="Arial"/>
          <w:sz w:val="22"/>
          <w:szCs w:val="22"/>
        </w:rPr>
        <w:t xml:space="preserve">Publicly available information will also include details on emergency planning, fire protection, and physical security. </w:t>
      </w:r>
      <w:r w:rsidRPr="00113485">
        <w:rPr>
          <w:rFonts w:ascii="Arial" w:hAnsi="Arial" w:cs="Arial"/>
          <w:sz w:val="22"/>
          <w:szCs w:val="22"/>
        </w:rPr>
        <w:t xml:space="preserve">RG 1.253 provides information on the format and content of </w:t>
      </w:r>
      <w:r w:rsidR="00F13348">
        <w:rPr>
          <w:rFonts w:ascii="Arial" w:hAnsi="Arial" w:cs="Arial"/>
          <w:sz w:val="22"/>
          <w:szCs w:val="22"/>
        </w:rPr>
        <w:t>SARs</w:t>
      </w:r>
      <w:r w:rsidRPr="00113485">
        <w:rPr>
          <w:rFonts w:ascii="Arial" w:hAnsi="Arial" w:cs="Arial"/>
          <w:sz w:val="22"/>
          <w:szCs w:val="22"/>
        </w:rPr>
        <w:t xml:space="preserve"> for applications developed using the </w:t>
      </w:r>
      <w:r w:rsidR="00C32F34">
        <w:rPr>
          <w:rFonts w:ascii="Arial" w:hAnsi="Arial" w:cs="Arial"/>
          <w:sz w:val="22"/>
          <w:szCs w:val="22"/>
        </w:rPr>
        <w:t>LMP</w:t>
      </w:r>
      <w:r w:rsidRPr="00113485">
        <w:rPr>
          <w:rFonts w:ascii="Arial" w:hAnsi="Arial" w:cs="Arial"/>
          <w:sz w:val="22"/>
          <w:szCs w:val="22"/>
        </w:rPr>
        <w:t xml:space="preserve"> methodology and the NRC expects applications under 10 CFR Part 53 will be similar in terms of structure and level of detail.</w:t>
      </w:r>
    </w:p>
    <w:p w:rsidR="008B6B2C" w:rsidP="00113485" w14:paraId="0BA80E77" w14:textId="77777777">
      <w:pPr>
        <w:spacing w:after="220"/>
        <w:rPr>
          <w:rFonts w:ascii="Arial" w:hAnsi="Arial" w:cs="Arial"/>
          <w:sz w:val="22"/>
          <w:szCs w:val="22"/>
        </w:rPr>
      </w:pPr>
      <w:r w:rsidRPr="00113485">
        <w:rPr>
          <w:rFonts w:ascii="Arial" w:hAnsi="Arial" w:cs="Arial"/>
          <w:sz w:val="22"/>
          <w:szCs w:val="22"/>
        </w:rPr>
        <w:t>Accordingly, the NRC did not change the rule language in response to this comment.</w:t>
      </w:r>
    </w:p>
    <w:p w:rsidR="002E197A" w:rsidRPr="007D0A05" w:rsidP="00113485" w14:paraId="493F9830" w14:textId="77777777">
      <w:pPr>
        <w:spacing w:after="220"/>
        <w:rPr>
          <w:sz w:val="22"/>
          <w:szCs w:val="22"/>
          <w:lang w:eastAsia="zh-CN"/>
        </w:rPr>
      </w:pPr>
      <w:r>
        <w:rPr>
          <w:rFonts w:ascii="Arial" w:hAnsi="Arial" w:cs="Arial"/>
          <w:sz w:val="22"/>
          <w:szCs w:val="22"/>
        </w:rPr>
        <w:pict>
          <v:rect id="_x0000_i1117" style="width:0;height:1.5pt" o:hralign="center" o:hrstd="t" o:hrnoshade="t" o:hr="t" fillcolor="black" stroked="f"/>
        </w:pict>
      </w:r>
    </w:p>
    <w:p w:rsidR="00F64ABA" w:rsidRPr="00113485" w:rsidP="00113485" w14:paraId="27BE42AE" w14:textId="77777777">
      <w:pPr>
        <w:spacing w:after="220"/>
        <w:rPr>
          <w:rFonts w:ascii="Arial" w:eastAsia="Aptos" w:hAnsi="Arial" w:cs="Arial"/>
          <w:sz w:val="22"/>
          <w:szCs w:val="22"/>
        </w:rPr>
      </w:pPr>
      <w:r w:rsidRPr="00113485">
        <w:rPr>
          <w:rFonts w:ascii="Arial" w:hAnsi="Arial" w:cs="Arial"/>
          <w:b/>
          <w:sz w:val="22"/>
          <w:szCs w:val="22"/>
        </w:rPr>
        <w:t xml:space="preserve">Comment Bin 3.3.2.2.E: </w:t>
      </w:r>
      <w:r w:rsidRPr="00113485">
        <w:rPr>
          <w:rFonts w:ascii="Arial" w:eastAsia="Aptos" w:hAnsi="Arial" w:cs="Arial"/>
          <w:sz w:val="22"/>
          <w:szCs w:val="22"/>
        </w:rPr>
        <w:t>Many commenters discussed PRA requirements in the proposed rule, generally voicing opposition to requiring PRAs for 10 CFR Part 53 applicants (</w:t>
      </w:r>
      <w:r w:rsidR="00E266B2">
        <w:rPr>
          <w:rFonts w:ascii="Arial" w:eastAsia="Aptos" w:hAnsi="Arial" w:cs="Arial"/>
          <w:sz w:val="22"/>
          <w:szCs w:val="22"/>
        </w:rPr>
        <w:t>TG22</w:t>
      </w:r>
      <w:r w:rsidRPr="00113485">
        <w:rPr>
          <w:rFonts w:ascii="Arial" w:eastAsia="Aptos" w:hAnsi="Arial" w:cs="Arial"/>
          <w:sz w:val="22"/>
          <w:szCs w:val="22"/>
        </w:rPr>
        <w:t xml:space="preserve">-0002, </w:t>
      </w:r>
      <w:r w:rsidR="00E266B2">
        <w:rPr>
          <w:rFonts w:ascii="Arial" w:eastAsia="Aptos" w:hAnsi="Arial" w:cs="Arial"/>
          <w:sz w:val="22"/>
          <w:szCs w:val="22"/>
        </w:rPr>
        <w:t>TG22</w:t>
      </w:r>
      <w:r w:rsidRPr="00113485">
        <w:rPr>
          <w:rFonts w:ascii="Arial" w:eastAsia="Aptos" w:hAnsi="Arial" w:cs="Arial"/>
          <w:sz w:val="22"/>
          <w:szCs w:val="22"/>
        </w:rPr>
        <w:t xml:space="preserve">-0004, </w:t>
      </w:r>
      <w:r w:rsidR="009D6BB9">
        <w:rPr>
          <w:rFonts w:ascii="Arial" w:eastAsia="Aptos" w:hAnsi="Arial" w:cs="Arial"/>
          <w:sz w:val="22"/>
          <w:szCs w:val="22"/>
        </w:rPr>
        <w:t>NEI2</w:t>
      </w:r>
      <w:r w:rsidRPr="00113485">
        <w:rPr>
          <w:rFonts w:ascii="Arial" w:eastAsia="Aptos" w:hAnsi="Arial" w:cs="Arial"/>
          <w:sz w:val="22"/>
          <w:szCs w:val="22"/>
        </w:rPr>
        <w:t xml:space="preserve">-0019, </w:t>
      </w:r>
      <w:r w:rsidR="009D6BB9">
        <w:rPr>
          <w:rFonts w:ascii="Arial" w:eastAsia="Aptos" w:hAnsi="Arial" w:cs="Arial"/>
          <w:sz w:val="22"/>
          <w:szCs w:val="22"/>
        </w:rPr>
        <w:t>NEI2</w:t>
      </w:r>
      <w:r w:rsidRPr="00113485">
        <w:rPr>
          <w:rFonts w:ascii="Arial" w:eastAsia="Aptos" w:hAnsi="Arial" w:cs="Arial"/>
          <w:sz w:val="22"/>
          <w:szCs w:val="22"/>
        </w:rPr>
        <w:t xml:space="preserve">-0003, </w:t>
      </w:r>
      <w:r w:rsidR="009D6BB9">
        <w:rPr>
          <w:rFonts w:ascii="Arial" w:eastAsia="Aptos" w:hAnsi="Arial" w:cs="Arial"/>
          <w:sz w:val="22"/>
          <w:szCs w:val="22"/>
        </w:rPr>
        <w:t>NEI2</w:t>
      </w:r>
      <w:r w:rsidRPr="00113485">
        <w:rPr>
          <w:rFonts w:ascii="Arial" w:eastAsia="Aptos" w:hAnsi="Arial" w:cs="Arial"/>
          <w:sz w:val="22"/>
          <w:szCs w:val="22"/>
        </w:rPr>
        <w:t xml:space="preserve">-0051, </w:t>
      </w:r>
      <w:r w:rsidR="00BF4BEF">
        <w:rPr>
          <w:rFonts w:ascii="Arial" w:eastAsia="Aptos" w:hAnsi="Arial" w:cs="Arial"/>
          <w:sz w:val="22"/>
          <w:szCs w:val="22"/>
        </w:rPr>
        <w:t>HPT42</w:t>
      </w:r>
      <w:r w:rsidRPr="00113485">
        <w:rPr>
          <w:rFonts w:ascii="Arial" w:eastAsia="Aptos" w:hAnsi="Arial" w:cs="Arial"/>
          <w:sz w:val="22"/>
          <w:szCs w:val="22"/>
        </w:rPr>
        <w:t xml:space="preserve">-0001, </w:t>
      </w:r>
      <w:r w:rsidR="00BF4BEF">
        <w:rPr>
          <w:rFonts w:ascii="Arial" w:eastAsia="Aptos" w:hAnsi="Arial" w:cs="Arial"/>
          <w:sz w:val="22"/>
          <w:szCs w:val="22"/>
        </w:rPr>
        <w:t>HPT42</w:t>
      </w:r>
      <w:r w:rsidRPr="00113485">
        <w:rPr>
          <w:rFonts w:ascii="Arial" w:eastAsia="Aptos" w:hAnsi="Arial" w:cs="Arial"/>
          <w:sz w:val="22"/>
          <w:szCs w:val="22"/>
        </w:rPr>
        <w:t xml:space="preserve">-0002, </w:t>
      </w:r>
      <w:r w:rsidR="00BF4BEF">
        <w:rPr>
          <w:rFonts w:ascii="Arial" w:eastAsia="Aptos" w:hAnsi="Arial" w:cs="Arial"/>
          <w:sz w:val="22"/>
          <w:szCs w:val="22"/>
        </w:rPr>
        <w:t>HPT42</w:t>
      </w:r>
      <w:r w:rsidRPr="00113485">
        <w:rPr>
          <w:rFonts w:ascii="Arial" w:eastAsia="Aptos" w:hAnsi="Arial" w:cs="Arial"/>
          <w:sz w:val="22"/>
          <w:szCs w:val="22"/>
        </w:rPr>
        <w:t xml:space="preserve">-0003, </w:t>
      </w:r>
      <w:r w:rsidR="00BF4BEF">
        <w:rPr>
          <w:rFonts w:ascii="Arial" w:eastAsia="Aptos" w:hAnsi="Arial" w:cs="Arial"/>
          <w:sz w:val="22"/>
          <w:szCs w:val="22"/>
        </w:rPr>
        <w:t>HPT42</w:t>
      </w:r>
      <w:r w:rsidRPr="00113485">
        <w:rPr>
          <w:rFonts w:ascii="Arial" w:eastAsia="Aptos" w:hAnsi="Arial" w:cs="Arial"/>
          <w:sz w:val="22"/>
          <w:szCs w:val="22"/>
        </w:rPr>
        <w:t xml:space="preserve">-0005, </w:t>
      </w:r>
      <w:r w:rsidR="00D87876">
        <w:rPr>
          <w:rFonts w:ascii="Arial" w:eastAsia="Aptos" w:hAnsi="Arial" w:cs="Arial"/>
          <w:sz w:val="22"/>
          <w:szCs w:val="22"/>
        </w:rPr>
        <w:t>SCWG</w:t>
      </w:r>
      <w:r w:rsidRPr="00113485">
        <w:rPr>
          <w:rFonts w:ascii="Arial" w:eastAsia="Aptos" w:hAnsi="Arial" w:cs="Arial"/>
          <w:sz w:val="22"/>
          <w:szCs w:val="22"/>
        </w:rPr>
        <w:t xml:space="preserve">-0013, </w:t>
      </w:r>
      <w:r w:rsidR="008B69CC">
        <w:rPr>
          <w:rFonts w:ascii="Arial" w:eastAsia="Aptos" w:hAnsi="Arial" w:cs="Arial"/>
          <w:sz w:val="22"/>
          <w:szCs w:val="22"/>
        </w:rPr>
        <w:t>KAP</w:t>
      </w:r>
      <w:r w:rsidRPr="00113485">
        <w:rPr>
          <w:rFonts w:ascii="Arial" w:eastAsia="Aptos" w:hAnsi="Arial" w:cs="Arial"/>
          <w:sz w:val="22"/>
          <w:szCs w:val="22"/>
        </w:rPr>
        <w:t xml:space="preserve">-0002, </w:t>
      </w:r>
      <w:r w:rsidR="000341A7">
        <w:rPr>
          <w:rFonts w:ascii="Arial" w:eastAsia="Aptos" w:hAnsi="Arial" w:cs="Arial"/>
          <w:sz w:val="22"/>
          <w:szCs w:val="22"/>
        </w:rPr>
        <w:t>NIA2</w:t>
      </w:r>
      <w:r w:rsidRPr="00113485">
        <w:rPr>
          <w:rFonts w:ascii="Arial" w:eastAsia="Aptos" w:hAnsi="Arial" w:cs="Arial"/>
          <w:sz w:val="22"/>
          <w:szCs w:val="22"/>
        </w:rPr>
        <w:t xml:space="preserve">-0003, </w:t>
      </w:r>
      <w:r w:rsidR="000341A7">
        <w:rPr>
          <w:rFonts w:ascii="Arial" w:eastAsia="Aptos" w:hAnsi="Arial" w:cs="Arial"/>
          <w:sz w:val="22"/>
          <w:szCs w:val="22"/>
        </w:rPr>
        <w:t>NIA2</w:t>
      </w:r>
      <w:r w:rsidRPr="00113485">
        <w:rPr>
          <w:rFonts w:ascii="Arial" w:eastAsia="Aptos" w:hAnsi="Arial" w:cs="Arial"/>
          <w:sz w:val="22"/>
          <w:szCs w:val="22"/>
        </w:rPr>
        <w:t xml:space="preserve">-0009, </w:t>
      </w:r>
      <w:r w:rsidR="00343546">
        <w:rPr>
          <w:rFonts w:ascii="Arial" w:eastAsia="Aptos" w:hAnsi="Arial" w:cs="Arial"/>
          <w:sz w:val="22"/>
          <w:szCs w:val="22"/>
        </w:rPr>
        <w:t>NGO</w:t>
      </w:r>
      <w:r w:rsidRPr="00113485">
        <w:rPr>
          <w:rFonts w:ascii="Arial" w:eastAsia="Aptos" w:hAnsi="Arial" w:cs="Arial"/>
          <w:sz w:val="22"/>
          <w:szCs w:val="22"/>
        </w:rPr>
        <w:t xml:space="preserve">-0003, </w:t>
      </w:r>
      <w:r w:rsidR="00AE0B17">
        <w:rPr>
          <w:rFonts w:ascii="Arial" w:eastAsia="Aptos" w:hAnsi="Arial" w:cs="Arial"/>
          <w:sz w:val="22"/>
          <w:szCs w:val="22"/>
        </w:rPr>
        <w:t>USNIC2</w:t>
      </w:r>
      <w:r w:rsidRPr="00113485">
        <w:rPr>
          <w:rFonts w:ascii="Arial" w:eastAsia="Aptos" w:hAnsi="Arial" w:cs="Arial"/>
          <w:sz w:val="22"/>
          <w:szCs w:val="22"/>
        </w:rPr>
        <w:t xml:space="preserve">-0030, </w:t>
      </w:r>
      <w:r w:rsidR="00611CA0">
        <w:rPr>
          <w:rFonts w:ascii="Arial" w:eastAsia="Aptos" w:hAnsi="Arial" w:cs="Arial"/>
          <w:sz w:val="22"/>
          <w:szCs w:val="22"/>
        </w:rPr>
        <w:t>RAD</w:t>
      </w:r>
      <w:r w:rsidRPr="00113485">
        <w:rPr>
          <w:rFonts w:ascii="Arial" w:eastAsia="Aptos" w:hAnsi="Arial" w:cs="Arial"/>
          <w:sz w:val="22"/>
          <w:szCs w:val="22"/>
        </w:rPr>
        <w:t xml:space="preserve">-0013, </w:t>
      </w:r>
      <w:r w:rsidR="00DF6CD2">
        <w:rPr>
          <w:rFonts w:ascii="Arial" w:eastAsia="Aptos" w:hAnsi="Arial" w:cs="Arial"/>
          <w:sz w:val="22"/>
          <w:szCs w:val="22"/>
        </w:rPr>
        <w:t>NEI3</w:t>
      </w:r>
      <w:r w:rsidRPr="00113485">
        <w:rPr>
          <w:rFonts w:ascii="Arial" w:eastAsia="Aptos" w:hAnsi="Arial" w:cs="Arial"/>
          <w:sz w:val="22"/>
          <w:szCs w:val="22"/>
        </w:rPr>
        <w:t xml:space="preserve">-0003, </w:t>
      </w:r>
      <w:r w:rsidR="00DF6CD2">
        <w:rPr>
          <w:rFonts w:ascii="Arial" w:eastAsia="Aptos" w:hAnsi="Arial" w:cs="Arial"/>
          <w:sz w:val="22"/>
          <w:szCs w:val="22"/>
        </w:rPr>
        <w:t>NEI3</w:t>
      </w:r>
      <w:r w:rsidRPr="00113485">
        <w:rPr>
          <w:rFonts w:ascii="Arial" w:eastAsia="Aptos" w:hAnsi="Arial" w:cs="Arial"/>
          <w:sz w:val="22"/>
          <w:szCs w:val="22"/>
        </w:rPr>
        <w:t xml:space="preserve">-0004, </w:t>
      </w:r>
      <w:r w:rsidR="00DF6CD2">
        <w:rPr>
          <w:rFonts w:ascii="Arial" w:eastAsia="Aptos" w:hAnsi="Arial" w:cs="Arial"/>
          <w:sz w:val="22"/>
          <w:szCs w:val="22"/>
        </w:rPr>
        <w:t>NEI3</w:t>
      </w:r>
      <w:r w:rsidRPr="00113485">
        <w:rPr>
          <w:rFonts w:ascii="Arial" w:eastAsia="Aptos" w:hAnsi="Arial" w:cs="Arial"/>
          <w:sz w:val="22"/>
          <w:szCs w:val="22"/>
        </w:rPr>
        <w:t xml:space="preserve">-0006, </w:t>
      </w:r>
      <w:r w:rsidR="00DF6CD2">
        <w:rPr>
          <w:rFonts w:ascii="Arial" w:eastAsia="Aptos" w:hAnsi="Arial" w:cs="Arial"/>
          <w:sz w:val="22"/>
          <w:szCs w:val="22"/>
        </w:rPr>
        <w:t>NEI3</w:t>
      </w:r>
      <w:r w:rsidRPr="00113485">
        <w:rPr>
          <w:rFonts w:ascii="Arial" w:eastAsia="Aptos" w:hAnsi="Arial" w:cs="Arial"/>
          <w:sz w:val="22"/>
          <w:szCs w:val="22"/>
        </w:rPr>
        <w:t xml:space="preserve">-0007, </w:t>
      </w:r>
      <w:r w:rsidR="004427C3">
        <w:rPr>
          <w:rFonts w:ascii="Arial" w:eastAsia="Aptos" w:hAnsi="Arial" w:cs="Arial"/>
          <w:sz w:val="22"/>
          <w:szCs w:val="22"/>
        </w:rPr>
        <w:t>DOM</w:t>
      </w:r>
      <w:r w:rsidRPr="00113485">
        <w:rPr>
          <w:rFonts w:ascii="Arial" w:eastAsia="Aptos" w:hAnsi="Arial" w:cs="Arial"/>
          <w:sz w:val="22"/>
          <w:szCs w:val="22"/>
        </w:rPr>
        <w:t xml:space="preserve">-0004, </w:t>
      </w:r>
      <w:r w:rsidR="006912EB">
        <w:rPr>
          <w:rFonts w:ascii="Arial" w:eastAsia="Aptos" w:hAnsi="Arial" w:cs="Arial"/>
          <w:sz w:val="22"/>
          <w:szCs w:val="22"/>
        </w:rPr>
        <w:t>NEX</w:t>
      </w:r>
      <w:r w:rsidRPr="00113485">
        <w:rPr>
          <w:rFonts w:ascii="Arial" w:eastAsia="Aptos" w:hAnsi="Arial" w:cs="Arial"/>
          <w:sz w:val="22"/>
          <w:szCs w:val="22"/>
        </w:rPr>
        <w:t xml:space="preserve">-0018, </w:t>
      </w:r>
      <w:r w:rsidR="006912EB">
        <w:rPr>
          <w:rFonts w:ascii="Arial" w:eastAsia="Aptos" w:hAnsi="Arial" w:cs="Arial"/>
          <w:sz w:val="22"/>
          <w:szCs w:val="22"/>
        </w:rPr>
        <w:t>NEX</w:t>
      </w:r>
      <w:r w:rsidRPr="00113485">
        <w:rPr>
          <w:rFonts w:ascii="Arial" w:eastAsia="Aptos" w:hAnsi="Arial" w:cs="Arial"/>
          <w:sz w:val="22"/>
          <w:szCs w:val="22"/>
        </w:rPr>
        <w:t xml:space="preserve">-0009, </w:t>
      </w:r>
      <w:r w:rsidR="00AE0B17">
        <w:rPr>
          <w:rFonts w:ascii="Arial" w:eastAsia="Aptos" w:hAnsi="Arial" w:cs="Arial"/>
          <w:sz w:val="22"/>
          <w:szCs w:val="22"/>
        </w:rPr>
        <w:t>USNIC2</w:t>
      </w:r>
      <w:r w:rsidRPr="00113485">
        <w:rPr>
          <w:rFonts w:ascii="Arial" w:eastAsia="Aptos" w:hAnsi="Arial" w:cs="Arial"/>
          <w:sz w:val="22"/>
          <w:szCs w:val="22"/>
        </w:rPr>
        <w:t xml:space="preserve">-0005, </w:t>
      </w:r>
      <w:r w:rsidR="00AE0B17">
        <w:rPr>
          <w:rFonts w:ascii="Arial" w:eastAsia="Aptos" w:hAnsi="Arial" w:cs="Arial"/>
          <w:sz w:val="22"/>
          <w:szCs w:val="22"/>
        </w:rPr>
        <w:t>USNIC2</w:t>
      </w:r>
      <w:r w:rsidRPr="00113485">
        <w:rPr>
          <w:rFonts w:ascii="Arial" w:eastAsia="Aptos" w:hAnsi="Arial" w:cs="Arial"/>
          <w:sz w:val="22"/>
          <w:szCs w:val="22"/>
        </w:rPr>
        <w:t xml:space="preserve">-0025, </w:t>
      </w:r>
      <w:r w:rsidR="00AE0B17">
        <w:rPr>
          <w:rFonts w:ascii="Arial" w:eastAsia="Aptos" w:hAnsi="Arial" w:cs="Arial"/>
          <w:sz w:val="22"/>
          <w:szCs w:val="22"/>
        </w:rPr>
        <w:t>USNIC2</w:t>
      </w:r>
      <w:r w:rsidRPr="00113485">
        <w:rPr>
          <w:rFonts w:ascii="Arial" w:eastAsia="Aptos" w:hAnsi="Arial" w:cs="Arial"/>
          <w:sz w:val="22"/>
          <w:szCs w:val="22"/>
        </w:rPr>
        <w:t xml:space="preserve">-0016, </w:t>
      </w:r>
      <w:r w:rsidR="00AE5960">
        <w:rPr>
          <w:rFonts w:ascii="Arial" w:eastAsia="Aptos" w:hAnsi="Arial" w:cs="Arial"/>
          <w:sz w:val="22"/>
          <w:szCs w:val="22"/>
        </w:rPr>
        <w:t>HPT13</w:t>
      </w:r>
      <w:r w:rsidRPr="00113485">
        <w:rPr>
          <w:rFonts w:ascii="Arial" w:eastAsia="Aptos" w:hAnsi="Arial" w:cs="Arial"/>
          <w:sz w:val="22"/>
          <w:szCs w:val="22"/>
        </w:rPr>
        <w:t xml:space="preserve">-0001, </w:t>
      </w:r>
      <w:r w:rsidR="00AE5960">
        <w:rPr>
          <w:rFonts w:ascii="Arial" w:eastAsia="Aptos" w:hAnsi="Arial" w:cs="Arial"/>
          <w:sz w:val="22"/>
          <w:szCs w:val="22"/>
        </w:rPr>
        <w:t>HPT13</w:t>
      </w:r>
      <w:r w:rsidRPr="00113485">
        <w:rPr>
          <w:rFonts w:ascii="Arial" w:eastAsia="Aptos" w:hAnsi="Arial" w:cs="Arial"/>
          <w:sz w:val="22"/>
          <w:szCs w:val="22"/>
        </w:rPr>
        <w:t xml:space="preserve">-0002). </w:t>
      </w:r>
    </w:p>
    <w:p w:rsidR="00F64ABA" w:rsidRPr="00113485" w:rsidP="00113485" w14:paraId="4910CD80" w14:textId="77777777">
      <w:pPr>
        <w:spacing w:after="220"/>
        <w:rPr>
          <w:rFonts w:ascii="Arial" w:eastAsia="Aptos" w:hAnsi="Arial" w:cs="Arial"/>
          <w:sz w:val="22"/>
          <w:szCs w:val="22"/>
        </w:rPr>
      </w:pPr>
      <w:r w:rsidRPr="00113485">
        <w:rPr>
          <w:rFonts w:ascii="Arial" w:eastAsia="Aptos" w:hAnsi="Arial" w:cs="Arial"/>
          <w:sz w:val="22"/>
          <w:szCs w:val="22"/>
        </w:rPr>
        <w:t>A commenter stated that the requirement to perform a PRA is unnecessarily inflexible and especially not appropriate for technologies with simple safety case strategies (</w:t>
      </w:r>
      <w:r w:rsidR="008B69CC">
        <w:rPr>
          <w:rFonts w:ascii="Arial" w:eastAsia="Aptos" w:hAnsi="Arial" w:cs="Arial"/>
          <w:sz w:val="22"/>
          <w:szCs w:val="22"/>
        </w:rPr>
        <w:t>KAP</w:t>
      </w:r>
      <w:r w:rsidRPr="00113485">
        <w:rPr>
          <w:rFonts w:ascii="Arial" w:eastAsia="Aptos" w:hAnsi="Arial" w:cs="Arial"/>
          <w:sz w:val="22"/>
          <w:szCs w:val="22"/>
        </w:rPr>
        <w:t>-0002). Another commenter stated that the burden associated with the proposed requirements is out of proportion with the benefit to nuclear safety, and that PRAs are a useful tool, but not if deployed in a heavily prescriptive manner while overlooking the inherent shortcomings of statistical analysis (</w:t>
      </w:r>
      <w:r w:rsidR="00BF4BEF">
        <w:rPr>
          <w:rFonts w:ascii="Arial" w:eastAsia="Aptos" w:hAnsi="Arial" w:cs="Arial"/>
          <w:sz w:val="22"/>
          <w:szCs w:val="22"/>
        </w:rPr>
        <w:t>HPT42</w:t>
      </w:r>
      <w:r w:rsidRPr="00113485">
        <w:rPr>
          <w:rFonts w:ascii="Arial" w:eastAsia="Aptos" w:hAnsi="Arial" w:cs="Arial"/>
          <w:sz w:val="22"/>
          <w:szCs w:val="22"/>
        </w:rPr>
        <w:t xml:space="preserve">-0001, </w:t>
      </w:r>
      <w:r w:rsidR="00BF4BEF">
        <w:rPr>
          <w:rFonts w:ascii="Arial" w:eastAsia="Aptos" w:hAnsi="Arial" w:cs="Arial"/>
          <w:sz w:val="22"/>
          <w:szCs w:val="22"/>
        </w:rPr>
        <w:t>HPT42</w:t>
      </w:r>
      <w:r w:rsidRPr="00113485">
        <w:rPr>
          <w:rFonts w:ascii="Arial" w:eastAsia="Aptos" w:hAnsi="Arial" w:cs="Arial"/>
          <w:sz w:val="22"/>
          <w:szCs w:val="22"/>
        </w:rPr>
        <w:t xml:space="preserve">-0002, </w:t>
      </w:r>
      <w:r w:rsidR="00BF4BEF">
        <w:rPr>
          <w:rFonts w:ascii="Arial" w:eastAsia="Aptos" w:hAnsi="Arial" w:cs="Arial"/>
          <w:sz w:val="22"/>
          <w:szCs w:val="22"/>
        </w:rPr>
        <w:t>HPT42</w:t>
      </w:r>
      <w:r w:rsidRPr="00113485">
        <w:rPr>
          <w:rFonts w:ascii="Arial" w:eastAsia="Aptos" w:hAnsi="Arial" w:cs="Arial"/>
          <w:sz w:val="22"/>
          <w:szCs w:val="22"/>
        </w:rPr>
        <w:t>-0005).</w:t>
      </w:r>
    </w:p>
    <w:p w:rsidR="00F64ABA" w:rsidRPr="00113485" w:rsidP="00113485" w14:paraId="24A87B7F" w14:textId="77777777">
      <w:pPr>
        <w:spacing w:after="220"/>
        <w:rPr>
          <w:rFonts w:ascii="Arial" w:eastAsia="Aptos" w:hAnsi="Arial" w:cs="Arial"/>
          <w:sz w:val="22"/>
          <w:szCs w:val="22"/>
        </w:rPr>
      </w:pPr>
      <w:r w:rsidRPr="00113485">
        <w:rPr>
          <w:rFonts w:ascii="Arial" w:eastAsia="Aptos" w:hAnsi="Arial" w:cs="Arial"/>
          <w:sz w:val="22"/>
          <w:szCs w:val="22"/>
        </w:rPr>
        <w:t xml:space="preserve">The commenter added that in the context of protection of the public from hazardous radiation, limiting events are the key, noting that these events should be based on </w:t>
      </w:r>
      <w:r w:rsidR="00D5551A">
        <w:rPr>
          <w:rFonts w:ascii="Arial" w:eastAsia="Aptos" w:hAnsi="Arial" w:cs="Arial"/>
          <w:sz w:val="22"/>
          <w:szCs w:val="22"/>
        </w:rPr>
        <w:t>“</w:t>
      </w:r>
      <w:r w:rsidRPr="00113485">
        <w:rPr>
          <w:rFonts w:ascii="Arial" w:eastAsia="Aptos" w:hAnsi="Arial" w:cs="Arial"/>
          <w:sz w:val="22"/>
          <w:szCs w:val="22"/>
        </w:rPr>
        <w:t>danger to life,</w:t>
      </w:r>
      <w:r w:rsidR="00D5551A">
        <w:rPr>
          <w:rFonts w:ascii="Arial" w:eastAsia="Aptos" w:hAnsi="Arial" w:cs="Arial"/>
          <w:sz w:val="22"/>
          <w:szCs w:val="22"/>
        </w:rPr>
        <w:t>”</w:t>
      </w:r>
      <w:r w:rsidRPr="00113485">
        <w:rPr>
          <w:rFonts w:ascii="Arial" w:eastAsia="Aptos" w:hAnsi="Arial" w:cs="Arial"/>
          <w:sz w:val="22"/>
          <w:szCs w:val="22"/>
        </w:rPr>
        <w:t xml:space="preserve"> and not </w:t>
      </w:r>
      <w:r w:rsidR="00D5551A">
        <w:rPr>
          <w:rFonts w:ascii="Arial" w:eastAsia="Aptos" w:hAnsi="Arial" w:cs="Arial"/>
          <w:sz w:val="22"/>
          <w:szCs w:val="22"/>
        </w:rPr>
        <w:t>“</w:t>
      </w:r>
      <w:r w:rsidRPr="00113485">
        <w:rPr>
          <w:rFonts w:ascii="Arial" w:eastAsia="Aptos" w:hAnsi="Arial" w:cs="Arial"/>
          <w:sz w:val="22"/>
          <w:szCs w:val="22"/>
        </w:rPr>
        <w:t>unreasonable risk to the public health and safety.</w:t>
      </w:r>
      <w:r w:rsidR="00D5551A">
        <w:rPr>
          <w:rFonts w:ascii="Arial" w:eastAsia="Aptos" w:hAnsi="Arial" w:cs="Arial"/>
          <w:sz w:val="22"/>
          <w:szCs w:val="22"/>
        </w:rPr>
        <w:t>”</w:t>
      </w:r>
      <w:r w:rsidRPr="00113485">
        <w:rPr>
          <w:rFonts w:ascii="Arial" w:eastAsia="Aptos" w:hAnsi="Arial" w:cs="Arial"/>
          <w:sz w:val="22"/>
          <w:szCs w:val="22"/>
        </w:rPr>
        <w:t xml:space="preserve"> The commenter also stated that components of the PRA, including the likelihood of events and assumptions regarding individual component failures, are imprecise and lead to uncertainty in PRA results, reinforcing the idea that the PRA is useful, but not as a key part of regulation (</w:t>
      </w:r>
      <w:r w:rsidR="00BF4BEF">
        <w:rPr>
          <w:rFonts w:ascii="Arial" w:eastAsia="Aptos" w:hAnsi="Arial" w:cs="Arial"/>
          <w:sz w:val="22"/>
          <w:szCs w:val="22"/>
        </w:rPr>
        <w:t>HPT42</w:t>
      </w:r>
      <w:r w:rsidRPr="00113485">
        <w:rPr>
          <w:rFonts w:ascii="Arial" w:eastAsia="Aptos" w:hAnsi="Arial" w:cs="Arial"/>
          <w:sz w:val="22"/>
          <w:szCs w:val="22"/>
        </w:rPr>
        <w:t>-0002).</w:t>
      </w:r>
    </w:p>
    <w:p w:rsidR="00F64ABA" w:rsidRPr="00113485" w:rsidP="00113485" w14:paraId="6E96825D" w14:textId="77777777">
      <w:pPr>
        <w:spacing w:after="220"/>
        <w:rPr>
          <w:rFonts w:ascii="Arial" w:eastAsia="Times New Roman" w:hAnsi="Arial" w:cs="Arial"/>
          <w:sz w:val="22"/>
          <w:szCs w:val="22"/>
        </w:rPr>
      </w:pPr>
      <w:r w:rsidRPr="00113485">
        <w:rPr>
          <w:rFonts w:ascii="Arial" w:eastAsia="Aptos" w:hAnsi="Arial" w:cs="Arial"/>
          <w:sz w:val="22"/>
          <w:szCs w:val="22"/>
        </w:rPr>
        <w:t xml:space="preserve">Another </w:t>
      </w:r>
      <w:r w:rsidRPr="00113485">
        <w:rPr>
          <w:rFonts w:ascii="Arial" w:eastAsia="Times New Roman" w:hAnsi="Arial" w:cs="Arial"/>
          <w:sz w:val="22"/>
          <w:szCs w:val="22"/>
        </w:rPr>
        <w:t>commenter stated that the level of detail in the PRA requirements reduces flexibility, without any increase in clarity or predictability, and increases regulatory complexity and burden, because it likely increases the amount of information from the PRA that must be included in the licensing basis, without any increase in safety (</w:t>
      </w:r>
      <w:r w:rsidR="009D6BB9">
        <w:rPr>
          <w:rFonts w:ascii="Arial" w:eastAsia="Times New Roman" w:hAnsi="Arial" w:cs="Arial"/>
          <w:sz w:val="22"/>
          <w:szCs w:val="22"/>
        </w:rPr>
        <w:t>NEI2</w:t>
      </w:r>
      <w:r w:rsidRPr="00113485">
        <w:rPr>
          <w:rFonts w:ascii="Arial" w:eastAsia="Times New Roman" w:hAnsi="Arial" w:cs="Arial"/>
          <w:sz w:val="22"/>
          <w:szCs w:val="22"/>
        </w:rPr>
        <w:t>-0051). Another commenter agreed with the previous commenter (</w:t>
      </w:r>
      <w:r w:rsidR="006912EB">
        <w:rPr>
          <w:rFonts w:ascii="Arial" w:eastAsia="Aptos" w:hAnsi="Arial" w:cs="Arial"/>
          <w:sz w:val="22"/>
          <w:szCs w:val="22"/>
        </w:rPr>
        <w:t>NEX</w:t>
      </w:r>
      <w:r w:rsidRPr="00113485">
        <w:rPr>
          <w:rFonts w:ascii="Arial" w:eastAsia="Aptos" w:hAnsi="Arial" w:cs="Arial"/>
          <w:sz w:val="22"/>
          <w:szCs w:val="22"/>
        </w:rPr>
        <w:t>-0009</w:t>
      </w:r>
      <w:r w:rsidRPr="00113485">
        <w:rPr>
          <w:rFonts w:ascii="Arial" w:eastAsia="Times New Roman" w:hAnsi="Arial" w:cs="Arial"/>
          <w:sz w:val="22"/>
          <w:szCs w:val="22"/>
        </w:rPr>
        <w:t>).</w:t>
      </w:r>
    </w:p>
    <w:p w:rsidR="00F64ABA" w:rsidRPr="00113485" w:rsidP="00113485" w14:paraId="1F1411B7" w14:textId="77777777">
      <w:pPr>
        <w:spacing w:after="220"/>
        <w:rPr>
          <w:rFonts w:ascii="Arial" w:hAnsi="Arial" w:cs="Arial"/>
          <w:sz w:val="22"/>
          <w:szCs w:val="22"/>
        </w:rPr>
      </w:pPr>
      <w:r w:rsidRPr="00113485">
        <w:rPr>
          <w:rFonts w:ascii="Arial" w:eastAsia="Aptos" w:hAnsi="Arial" w:cs="Arial"/>
          <w:sz w:val="22"/>
          <w:szCs w:val="22"/>
        </w:rPr>
        <w:t>Many commenters requested that the NRC generally allow for the use of a risk evaluation instead of requiring a PRA (</w:t>
      </w:r>
      <w:r w:rsidR="00D87876">
        <w:rPr>
          <w:rFonts w:ascii="Arial" w:eastAsia="Aptos" w:hAnsi="Arial" w:cs="Arial"/>
          <w:sz w:val="22"/>
          <w:szCs w:val="22"/>
        </w:rPr>
        <w:t>SCWG</w:t>
      </w:r>
      <w:r w:rsidRPr="00113485">
        <w:rPr>
          <w:rFonts w:ascii="Arial" w:eastAsia="Aptos" w:hAnsi="Arial" w:cs="Arial"/>
          <w:sz w:val="22"/>
          <w:szCs w:val="22"/>
        </w:rPr>
        <w:t xml:space="preserve">-0013, </w:t>
      </w:r>
      <w:r w:rsidR="000341A7">
        <w:rPr>
          <w:rFonts w:ascii="Arial" w:eastAsia="Aptos" w:hAnsi="Arial" w:cs="Arial"/>
          <w:sz w:val="22"/>
          <w:szCs w:val="22"/>
        </w:rPr>
        <w:t>NIA2</w:t>
      </w:r>
      <w:r w:rsidRPr="00113485">
        <w:rPr>
          <w:rFonts w:ascii="Arial" w:eastAsia="Aptos" w:hAnsi="Arial" w:cs="Arial"/>
          <w:sz w:val="22"/>
          <w:szCs w:val="22"/>
        </w:rPr>
        <w:t xml:space="preserve">-0003, </w:t>
      </w:r>
      <w:r w:rsidR="000341A7">
        <w:rPr>
          <w:rFonts w:ascii="Arial" w:eastAsia="Aptos" w:hAnsi="Arial" w:cs="Arial"/>
          <w:sz w:val="22"/>
          <w:szCs w:val="22"/>
        </w:rPr>
        <w:t>NIA2</w:t>
      </w:r>
      <w:r w:rsidRPr="00113485">
        <w:rPr>
          <w:rFonts w:ascii="Arial" w:eastAsia="Aptos" w:hAnsi="Arial" w:cs="Arial"/>
          <w:sz w:val="22"/>
          <w:szCs w:val="22"/>
        </w:rPr>
        <w:t xml:space="preserve">-0009, </w:t>
      </w:r>
      <w:r w:rsidR="00343546">
        <w:rPr>
          <w:rFonts w:ascii="Arial" w:eastAsia="Aptos" w:hAnsi="Arial" w:cs="Arial"/>
          <w:sz w:val="22"/>
          <w:szCs w:val="22"/>
        </w:rPr>
        <w:t>NGO</w:t>
      </w:r>
      <w:r w:rsidRPr="00113485">
        <w:rPr>
          <w:rFonts w:ascii="Arial" w:eastAsia="Aptos" w:hAnsi="Arial" w:cs="Arial"/>
          <w:sz w:val="22"/>
          <w:szCs w:val="22"/>
        </w:rPr>
        <w:t xml:space="preserve">-0003, </w:t>
      </w:r>
      <w:r w:rsidR="00AE0B17">
        <w:rPr>
          <w:rFonts w:ascii="Arial" w:eastAsia="Aptos" w:hAnsi="Arial" w:cs="Arial"/>
          <w:sz w:val="22"/>
          <w:szCs w:val="22"/>
        </w:rPr>
        <w:t>USNIC2</w:t>
      </w:r>
      <w:r w:rsidRPr="00113485">
        <w:rPr>
          <w:rFonts w:ascii="Arial" w:eastAsia="Aptos" w:hAnsi="Arial" w:cs="Arial"/>
          <w:sz w:val="22"/>
          <w:szCs w:val="22"/>
        </w:rPr>
        <w:t xml:space="preserve">-0030, </w:t>
      </w:r>
      <w:r w:rsidR="00DF6CD2">
        <w:rPr>
          <w:rFonts w:ascii="Arial" w:eastAsia="Aptos" w:hAnsi="Arial" w:cs="Arial"/>
          <w:sz w:val="22"/>
          <w:szCs w:val="22"/>
        </w:rPr>
        <w:t>NEI3</w:t>
      </w:r>
      <w:r w:rsidRPr="00113485">
        <w:rPr>
          <w:rFonts w:ascii="Arial" w:eastAsia="Aptos" w:hAnsi="Arial" w:cs="Arial"/>
          <w:sz w:val="22"/>
          <w:szCs w:val="22"/>
        </w:rPr>
        <w:t xml:space="preserve">-0006, </w:t>
      </w:r>
      <w:r w:rsidR="00DF6CD2">
        <w:rPr>
          <w:rFonts w:ascii="Arial" w:eastAsia="Aptos" w:hAnsi="Arial" w:cs="Arial"/>
          <w:sz w:val="22"/>
          <w:szCs w:val="22"/>
        </w:rPr>
        <w:t>NEI3</w:t>
      </w:r>
      <w:r w:rsidRPr="00113485">
        <w:rPr>
          <w:rFonts w:ascii="Arial" w:eastAsia="Aptos" w:hAnsi="Arial" w:cs="Arial"/>
          <w:sz w:val="22"/>
          <w:szCs w:val="22"/>
        </w:rPr>
        <w:t xml:space="preserve">-0007, </w:t>
      </w:r>
      <w:r w:rsidR="00DF6CD2">
        <w:rPr>
          <w:rFonts w:ascii="Arial" w:eastAsia="Aptos" w:hAnsi="Arial" w:cs="Arial"/>
          <w:sz w:val="22"/>
          <w:szCs w:val="22"/>
        </w:rPr>
        <w:t>NEI3</w:t>
      </w:r>
      <w:r w:rsidRPr="00113485">
        <w:rPr>
          <w:rFonts w:ascii="Arial" w:eastAsia="Aptos" w:hAnsi="Arial" w:cs="Arial"/>
          <w:sz w:val="22"/>
          <w:szCs w:val="22"/>
        </w:rPr>
        <w:t xml:space="preserve">-0009, </w:t>
      </w:r>
      <w:r w:rsidR="004427C3">
        <w:rPr>
          <w:rFonts w:ascii="Arial" w:eastAsia="Aptos" w:hAnsi="Arial" w:cs="Arial"/>
          <w:sz w:val="22"/>
          <w:szCs w:val="22"/>
        </w:rPr>
        <w:t>DOM</w:t>
      </w:r>
      <w:r w:rsidRPr="00113485">
        <w:rPr>
          <w:rFonts w:ascii="Arial" w:eastAsia="Aptos" w:hAnsi="Arial" w:cs="Arial"/>
          <w:sz w:val="22"/>
          <w:szCs w:val="22"/>
        </w:rPr>
        <w:t xml:space="preserve">-0004, </w:t>
      </w:r>
      <w:r w:rsidR="006912EB">
        <w:rPr>
          <w:rFonts w:ascii="Arial" w:eastAsia="Aptos" w:hAnsi="Arial" w:cs="Arial"/>
          <w:sz w:val="22"/>
          <w:szCs w:val="22"/>
        </w:rPr>
        <w:t>NEX</w:t>
      </w:r>
      <w:r w:rsidRPr="00113485">
        <w:rPr>
          <w:rFonts w:ascii="Arial" w:eastAsia="Aptos" w:hAnsi="Arial" w:cs="Arial"/>
          <w:sz w:val="22"/>
          <w:szCs w:val="22"/>
        </w:rPr>
        <w:t xml:space="preserve">-0018, </w:t>
      </w:r>
      <w:r w:rsidR="00AE0B17">
        <w:rPr>
          <w:rFonts w:ascii="Arial" w:eastAsia="Aptos" w:hAnsi="Arial" w:cs="Arial"/>
          <w:sz w:val="22"/>
          <w:szCs w:val="22"/>
        </w:rPr>
        <w:t>USNIC2</w:t>
      </w:r>
      <w:r w:rsidRPr="00113485">
        <w:rPr>
          <w:rFonts w:ascii="Arial" w:eastAsia="Aptos" w:hAnsi="Arial" w:cs="Arial"/>
          <w:sz w:val="22"/>
          <w:szCs w:val="22"/>
        </w:rPr>
        <w:t xml:space="preserve">-0025, </w:t>
      </w:r>
      <w:r w:rsidR="00AE0B17">
        <w:rPr>
          <w:rFonts w:ascii="Arial" w:eastAsia="Aptos" w:hAnsi="Arial" w:cs="Arial"/>
          <w:sz w:val="22"/>
          <w:szCs w:val="22"/>
        </w:rPr>
        <w:t>USNIC2</w:t>
      </w:r>
      <w:r w:rsidRPr="00113485">
        <w:rPr>
          <w:rFonts w:ascii="Arial" w:eastAsia="Aptos" w:hAnsi="Arial" w:cs="Arial"/>
          <w:sz w:val="22"/>
          <w:szCs w:val="22"/>
        </w:rPr>
        <w:t xml:space="preserve">-0016, </w:t>
      </w:r>
      <w:r w:rsidR="009D6BB9">
        <w:rPr>
          <w:rFonts w:ascii="Arial" w:eastAsia="Aptos" w:hAnsi="Arial" w:cs="Arial"/>
          <w:sz w:val="22"/>
          <w:szCs w:val="22"/>
        </w:rPr>
        <w:t>NEI2</w:t>
      </w:r>
      <w:r w:rsidRPr="00113485">
        <w:rPr>
          <w:rFonts w:ascii="Arial" w:eastAsia="Aptos" w:hAnsi="Arial" w:cs="Arial"/>
          <w:sz w:val="22"/>
          <w:szCs w:val="22"/>
        </w:rPr>
        <w:t xml:space="preserve">-0019, </w:t>
      </w:r>
      <w:r w:rsidR="009D6BB9">
        <w:rPr>
          <w:rFonts w:ascii="Arial" w:eastAsia="Aptos" w:hAnsi="Arial" w:cs="Arial"/>
          <w:sz w:val="22"/>
          <w:szCs w:val="22"/>
        </w:rPr>
        <w:t>NEI2</w:t>
      </w:r>
      <w:r w:rsidRPr="00113485">
        <w:rPr>
          <w:rFonts w:ascii="Arial" w:eastAsia="Aptos" w:hAnsi="Arial" w:cs="Arial"/>
          <w:sz w:val="22"/>
          <w:szCs w:val="22"/>
        </w:rPr>
        <w:t xml:space="preserve">-0003, </w:t>
      </w:r>
      <w:r w:rsidR="009D6BB9">
        <w:rPr>
          <w:rFonts w:ascii="Arial" w:eastAsia="Aptos" w:hAnsi="Arial" w:cs="Arial"/>
          <w:sz w:val="22"/>
          <w:szCs w:val="22"/>
        </w:rPr>
        <w:t>NEI2</w:t>
      </w:r>
      <w:r w:rsidRPr="00113485">
        <w:rPr>
          <w:rFonts w:ascii="Arial" w:eastAsia="Aptos" w:hAnsi="Arial" w:cs="Arial"/>
          <w:sz w:val="22"/>
          <w:szCs w:val="22"/>
        </w:rPr>
        <w:t>-0051). A commenter specifically recommended allowing the use of alternative risk evaluations to PRA in all current and proposed licensing frameworks. The commenter requested that the NRC make conforming changes throughout 10 CFR Part 53 to describe how risk evaluations are used to support licensing and require applicants to submit analyses and documentation that support their specific safety case (</w:t>
      </w:r>
      <w:r w:rsidR="000341A7">
        <w:rPr>
          <w:rFonts w:ascii="Arial" w:eastAsia="Aptos" w:hAnsi="Arial" w:cs="Arial"/>
          <w:sz w:val="22"/>
          <w:szCs w:val="22"/>
        </w:rPr>
        <w:t>NIA2</w:t>
      </w:r>
      <w:r w:rsidRPr="00113485">
        <w:rPr>
          <w:rFonts w:ascii="Arial" w:eastAsia="Aptos" w:hAnsi="Arial" w:cs="Arial"/>
          <w:sz w:val="22"/>
          <w:szCs w:val="22"/>
        </w:rPr>
        <w:t>-0009). Another commenter stated that the following sections</w:t>
      </w:r>
      <w:r w:rsidRPr="00113485">
        <w:rPr>
          <w:rFonts w:ascii="Arial" w:hAnsi="Arial" w:cs="Arial"/>
          <w:sz w:val="22"/>
          <w:szCs w:val="22"/>
        </w:rPr>
        <w:t xml:space="preserve"> should specifically be updated to reference a risk evaluation rather than a PRA: 10 CFR 53.450(b), 10 CFR 53.450(c), 10 CFR 53.450(e), 10 CFR 53.1239(a)(18), 10 CFR 53.1416(e)(1), 10 CFR 53.1416(f)(1), 10 CFR 53.1416(g)(1), 10 CFR 53.1545(a)(3), and 10 CFR 53.800 (</w:t>
      </w:r>
      <w:r w:rsidR="00DF6CD2">
        <w:rPr>
          <w:rFonts w:ascii="Arial" w:hAnsi="Arial" w:cs="Arial"/>
          <w:sz w:val="22"/>
          <w:szCs w:val="22"/>
        </w:rPr>
        <w:t>NEI3</w:t>
      </w:r>
      <w:r w:rsidRPr="00113485">
        <w:rPr>
          <w:rFonts w:ascii="Arial" w:hAnsi="Arial" w:cs="Arial"/>
          <w:sz w:val="22"/>
          <w:szCs w:val="22"/>
        </w:rPr>
        <w:t xml:space="preserve">-0009). </w:t>
      </w:r>
    </w:p>
    <w:p w:rsidR="00F64ABA" w:rsidRPr="00113485" w:rsidP="00113485" w14:paraId="5FF84A8F" w14:textId="77777777">
      <w:pPr>
        <w:spacing w:after="220"/>
        <w:rPr>
          <w:rFonts w:ascii="Arial" w:eastAsia="Aptos" w:hAnsi="Arial" w:cs="Arial"/>
          <w:sz w:val="22"/>
          <w:szCs w:val="22"/>
        </w:rPr>
      </w:pPr>
      <w:r w:rsidRPr="00113485">
        <w:rPr>
          <w:rFonts w:ascii="Arial" w:eastAsia="Aptos" w:hAnsi="Arial" w:cs="Arial"/>
          <w:sz w:val="22"/>
          <w:szCs w:val="22"/>
        </w:rPr>
        <w:t>Several commenters stated that allowing risk evaluations instead of a PRA is necessary to meet the requirements of the ADVANCE Act (</w:t>
      </w:r>
      <w:r w:rsidR="000341A7">
        <w:rPr>
          <w:rFonts w:ascii="Arial" w:eastAsia="Aptos" w:hAnsi="Arial" w:cs="Arial"/>
          <w:sz w:val="22"/>
          <w:szCs w:val="22"/>
        </w:rPr>
        <w:t>NIA2</w:t>
      </w:r>
      <w:r w:rsidRPr="00113485">
        <w:rPr>
          <w:rFonts w:ascii="Arial" w:eastAsia="Aptos" w:hAnsi="Arial" w:cs="Arial"/>
          <w:sz w:val="22"/>
          <w:szCs w:val="22"/>
        </w:rPr>
        <w:t xml:space="preserve">-0003, </w:t>
      </w:r>
      <w:r w:rsidR="00CB2432">
        <w:rPr>
          <w:rFonts w:ascii="Arial" w:eastAsia="Aptos" w:hAnsi="Arial" w:cs="Arial"/>
          <w:sz w:val="22"/>
          <w:szCs w:val="22"/>
        </w:rPr>
        <w:t>SCWG</w:t>
      </w:r>
      <w:r w:rsidRPr="00113485">
        <w:rPr>
          <w:rFonts w:ascii="Arial" w:eastAsia="Aptos" w:hAnsi="Arial" w:cs="Arial"/>
          <w:sz w:val="22"/>
          <w:szCs w:val="22"/>
        </w:rPr>
        <w:t xml:space="preserve">-0013, </w:t>
      </w:r>
      <w:r w:rsidR="000341A7">
        <w:rPr>
          <w:rFonts w:ascii="Arial" w:eastAsia="Aptos" w:hAnsi="Arial" w:cs="Arial"/>
          <w:sz w:val="22"/>
          <w:szCs w:val="22"/>
        </w:rPr>
        <w:t>NIA2</w:t>
      </w:r>
      <w:r w:rsidRPr="00113485">
        <w:rPr>
          <w:rFonts w:ascii="Arial" w:eastAsia="Aptos" w:hAnsi="Arial" w:cs="Arial"/>
          <w:sz w:val="22"/>
          <w:szCs w:val="22"/>
        </w:rPr>
        <w:t xml:space="preserve">-0009, </w:t>
      </w:r>
      <w:r w:rsidR="00343546">
        <w:rPr>
          <w:rFonts w:ascii="Arial" w:eastAsia="Aptos" w:hAnsi="Arial" w:cs="Arial"/>
          <w:sz w:val="22"/>
          <w:szCs w:val="22"/>
        </w:rPr>
        <w:t>NGO</w:t>
      </w:r>
      <w:r w:rsidRPr="00113485">
        <w:rPr>
          <w:rFonts w:ascii="Arial" w:eastAsia="Aptos" w:hAnsi="Arial" w:cs="Arial"/>
          <w:sz w:val="22"/>
          <w:szCs w:val="22"/>
        </w:rPr>
        <w:t xml:space="preserve">-0003, </w:t>
      </w:r>
      <w:r w:rsidR="00DF6CD2">
        <w:rPr>
          <w:rFonts w:ascii="Arial" w:eastAsia="Aptos" w:hAnsi="Arial" w:cs="Arial"/>
          <w:sz w:val="22"/>
          <w:szCs w:val="22"/>
        </w:rPr>
        <w:t>NEI3</w:t>
      </w:r>
      <w:r w:rsidRPr="00113485">
        <w:rPr>
          <w:rFonts w:ascii="Arial" w:eastAsia="Aptos" w:hAnsi="Arial" w:cs="Arial"/>
          <w:sz w:val="22"/>
          <w:szCs w:val="22"/>
        </w:rPr>
        <w:t xml:space="preserve">-0003, </w:t>
      </w:r>
      <w:r w:rsidR="00DF6CD2">
        <w:rPr>
          <w:rFonts w:ascii="Arial" w:eastAsia="Aptos" w:hAnsi="Arial" w:cs="Arial"/>
          <w:sz w:val="22"/>
          <w:szCs w:val="22"/>
        </w:rPr>
        <w:t>NEI3</w:t>
      </w:r>
      <w:r w:rsidRPr="00113485">
        <w:rPr>
          <w:rFonts w:ascii="Arial" w:eastAsia="Aptos" w:hAnsi="Arial" w:cs="Arial"/>
          <w:sz w:val="22"/>
          <w:szCs w:val="22"/>
        </w:rPr>
        <w:t xml:space="preserve">-0004, </w:t>
      </w:r>
      <w:r w:rsidR="00DF6CD2">
        <w:rPr>
          <w:rFonts w:ascii="Arial" w:eastAsia="Aptos" w:hAnsi="Arial" w:cs="Arial"/>
          <w:sz w:val="22"/>
          <w:szCs w:val="22"/>
        </w:rPr>
        <w:t>NEI3</w:t>
      </w:r>
      <w:r w:rsidRPr="00113485">
        <w:rPr>
          <w:rFonts w:ascii="Arial" w:eastAsia="Aptos" w:hAnsi="Arial" w:cs="Arial"/>
          <w:sz w:val="22"/>
          <w:szCs w:val="22"/>
        </w:rPr>
        <w:t xml:space="preserve">-0006, </w:t>
      </w:r>
      <w:r w:rsidR="00DF6CD2">
        <w:rPr>
          <w:rFonts w:ascii="Arial" w:eastAsia="Aptos" w:hAnsi="Arial" w:cs="Arial"/>
          <w:sz w:val="22"/>
          <w:szCs w:val="22"/>
        </w:rPr>
        <w:t>NEI3</w:t>
      </w:r>
      <w:r w:rsidRPr="00113485">
        <w:rPr>
          <w:rFonts w:ascii="Arial" w:eastAsia="Aptos" w:hAnsi="Arial" w:cs="Arial"/>
          <w:sz w:val="22"/>
          <w:szCs w:val="22"/>
        </w:rPr>
        <w:t xml:space="preserve">-0007, </w:t>
      </w:r>
      <w:r w:rsidR="00AE0B17">
        <w:rPr>
          <w:rFonts w:ascii="Arial" w:eastAsia="Aptos" w:hAnsi="Arial" w:cs="Arial"/>
          <w:sz w:val="22"/>
          <w:szCs w:val="22"/>
        </w:rPr>
        <w:t>USNIC2</w:t>
      </w:r>
      <w:r w:rsidRPr="00113485">
        <w:rPr>
          <w:rFonts w:ascii="Arial" w:eastAsia="Aptos" w:hAnsi="Arial" w:cs="Arial"/>
          <w:sz w:val="22"/>
          <w:szCs w:val="22"/>
        </w:rPr>
        <w:t xml:space="preserve">-0025, </w:t>
      </w:r>
      <w:r w:rsidR="009D6BB9">
        <w:rPr>
          <w:rFonts w:ascii="Arial" w:eastAsia="Aptos" w:hAnsi="Arial" w:cs="Arial"/>
          <w:sz w:val="22"/>
          <w:szCs w:val="22"/>
        </w:rPr>
        <w:t>NEI2</w:t>
      </w:r>
      <w:r w:rsidRPr="00113485">
        <w:rPr>
          <w:rFonts w:ascii="Arial" w:eastAsia="Aptos" w:hAnsi="Arial" w:cs="Arial"/>
          <w:sz w:val="22"/>
          <w:szCs w:val="22"/>
        </w:rPr>
        <w:t xml:space="preserve">-0251, </w:t>
      </w:r>
      <w:r w:rsidR="009D6BB9">
        <w:rPr>
          <w:rFonts w:ascii="Arial" w:hAnsi="Arial" w:cs="Arial"/>
          <w:sz w:val="22"/>
          <w:szCs w:val="22"/>
        </w:rPr>
        <w:t>NEI2</w:t>
      </w:r>
      <w:r w:rsidRPr="00113485">
        <w:rPr>
          <w:rFonts w:ascii="Arial" w:hAnsi="Arial" w:cs="Arial"/>
          <w:sz w:val="22"/>
          <w:szCs w:val="22"/>
        </w:rPr>
        <w:t>-0003</w:t>
      </w:r>
      <w:r w:rsidRPr="00113485">
        <w:rPr>
          <w:rFonts w:ascii="Arial" w:eastAsia="Aptos" w:hAnsi="Arial" w:cs="Arial"/>
          <w:sz w:val="22"/>
          <w:szCs w:val="22"/>
        </w:rPr>
        <w:t>), with a few commenters also stating this would be consistent with the Commission’s direction in SRM</w:t>
      </w:r>
      <w:r w:rsidR="000A390D">
        <w:rPr>
          <w:rFonts w:ascii="Arial" w:eastAsia="Aptos" w:hAnsi="Arial" w:cs="Arial"/>
          <w:sz w:val="22"/>
          <w:szCs w:val="22"/>
        </w:rPr>
        <w:noBreakHyphen/>
      </w:r>
      <w:r w:rsidRPr="00113485">
        <w:rPr>
          <w:rFonts w:ascii="Arial" w:eastAsia="Aptos" w:hAnsi="Arial" w:cs="Arial"/>
          <w:sz w:val="22"/>
          <w:szCs w:val="22"/>
        </w:rPr>
        <w:t xml:space="preserve">SECY-23-0021, “Proposed Rule: Risk-Informed, Technology-Inclusive Regulatory Framework for Advanced Reactors (RIN 3150-AK31),” </w:t>
      </w:r>
      <w:r w:rsidR="00CF2059">
        <w:rPr>
          <w:rFonts w:ascii="Arial" w:eastAsia="Aptos" w:hAnsi="Arial" w:cs="Arial"/>
          <w:sz w:val="22"/>
          <w:szCs w:val="22"/>
        </w:rPr>
        <w:t>issu</w:t>
      </w:r>
      <w:r w:rsidRPr="00113485">
        <w:rPr>
          <w:rFonts w:ascii="Arial" w:eastAsia="Aptos" w:hAnsi="Arial" w:cs="Arial"/>
          <w:sz w:val="22"/>
          <w:szCs w:val="22"/>
        </w:rPr>
        <w:t>ed March 2024 (ML24064A039) (</w:t>
      </w:r>
      <w:r w:rsidR="000341A7">
        <w:rPr>
          <w:rFonts w:ascii="Arial" w:eastAsia="Aptos" w:hAnsi="Arial" w:cs="Arial"/>
          <w:sz w:val="22"/>
          <w:szCs w:val="22"/>
        </w:rPr>
        <w:t>NIA2</w:t>
      </w:r>
      <w:r w:rsidRPr="00113485">
        <w:rPr>
          <w:rFonts w:ascii="Arial" w:eastAsia="Aptos" w:hAnsi="Arial" w:cs="Arial"/>
          <w:sz w:val="22"/>
          <w:szCs w:val="22"/>
        </w:rPr>
        <w:t xml:space="preserve">-0003, </w:t>
      </w:r>
      <w:r w:rsidR="00343546">
        <w:rPr>
          <w:rFonts w:ascii="Arial" w:eastAsia="Aptos" w:hAnsi="Arial" w:cs="Arial"/>
          <w:sz w:val="22"/>
          <w:szCs w:val="22"/>
        </w:rPr>
        <w:t>NGO</w:t>
      </w:r>
      <w:r w:rsidRPr="00113485">
        <w:rPr>
          <w:rFonts w:ascii="Arial" w:eastAsia="Aptos" w:hAnsi="Arial" w:cs="Arial"/>
          <w:sz w:val="22"/>
          <w:szCs w:val="22"/>
        </w:rPr>
        <w:t xml:space="preserve">-0003, </w:t>
      </w:r>
      <w:r w:rsidR="00DF6CD2">
        <w:rPr>
          <w:rFonts w:ascii="Arial" w:eastAsia="Aptos" w:hAnsi="Arial" w:cs="Arial"/>
          <w:sz w:val="22"/>
          <w:szCs w:val="22"/>
        </w:rPr>
        <w:t>NEI3</w:t>
      </w:r>
      <w:r w:rsidRPr="00113485">
        <w:rPr>
          <w:rFonts w:ascii="Arial" w:eastAsia="Aptos" w:hAnsi="Arial" w:cs="Arial"/>
          <w:sz w:val="22"/>
          <w:szCs w:val="22"/>
        </w:rPr>
        <w:t xml:space="preserve">-0003, </w:t>
      </w:r>
      <w:r w:rsidR="00DF6CD2">
        <w:rPr>
          <w:rFonts w:ascii="Arial" w:eastAsia="Aptos" w:hAnsi="Arial" w:cs="Arial"/>
          <w:sz w:val="22"/>
          <w:szCs w:val="22"/>
        </w:rPr>
        <w:t>NEI3</w:t>
      </w:r>
      <w:r w:rsidRPr="00113485">
        <w:rPr>
          <w:rFonts w:ascii="Arial" w:eastAsia="Aptos" w:hAnsi="Arial" w:cs="Arial"/>
          <w:sz w:val="22"/>
          <w:szCs w:val="22"/>
        </w:rPr>
        <w:t xml:space="preserve">-0006, </w:t>
      </w:r>
      <w:r w:rsidR="009D6BB9">
        <w:rPr>
          <w:rFonts w:ascii="Arial" w:eastAsia="Aptos" w:hAnsi="Arial" w:cs="Arial"/>
          <w:sz w:val="22"/>
          <w:szCs w:val="22"/>
        </w:rPr>
        <w:t>NEI2</w:t>
      </w:r>
      <w:r w:rsidRPr="00113485">
        <w:rPr>
          <w:rFonts w:ascii="Arial" w:eastAsia="Aptos" w:hAnsi="Arial" w:cs="Arial"/>
          <w:sz w:val="22"/>
          <w:szCs w:val="22"/>
        </w:rPr>
        <w:t>-0251). A few commenters also stated this change is necessary for the rule to be technology</w:t>
      </w:r>
      <w:r w:rsidRPr="00113485">
        <w:rPr>
          <w:rFonts w:ascii="Arial" w:eastAsia="Aptos" w:hAnsi="Arial" w:cs="Arial"/>
          <w:sz w:val="22"/>
          <w:szCs w:val="22"/>
        </w:rPr>
        <w:noBreakHyphen/>
        <w:t>inclusive and meet the requirements of NEIMA (</w:t>
      </w:r>
      <w:r w:rsidR="000341A7">
        <w:rPr>
          <w:rFonts w:ascii="Arial" w:eastAsia="Aptos" w:hAnsi="Arial" w:cs="Arial"/>
          <w:sz w:val="22"/>
          <w:szCs w:val="22"/>
        </w:rPr>
        <w:t>NIA2</w:t>
      </w:r>
      <w:r w:rsidRPr="00113485">
        <w:rPr>
          <w:rFonts w:ascii="Arial" w:eastAsia="Aptos" w:hAnsi="Arial" w:cs="Arial"/>
          <w:sz w:val="22"/>
          <w:szCs w:val="22"/>
        </w:rPr>
        <w:t xml:space="preserve">-0009, </w:t>
      </w:r>
      <w:r w:rsidR="00D87876">
        <w:rPr>
          <w:rFonts w:ascii="Arial" w:eastAsia="Aptos" w:hAnsi="Arial" w:cs="Arial"/>
          <w:sz w:val="22"/>
          <w:szCs w:val="22"/>
        </w:rPr>
        <w:t>SCWG</w:t>
      </w:r>
      <w:r w:rsidRPr="00113485">
        <w:rPr>
          <w:rFonts w:ascii="Arial" w:eastAsia="Aptos" w:hAnsi="Arial" w:cs="Arial"/>
          <w:sz w:val="22"/>
          <w:szCs w:val="22"/>
        </w:rPr>
        <w:t xml:space="preserve">-0013, </w:t>
      </w:r>
      <w:r w:rsidR="00DF6CD2">
        <w:rPr>
          <w:rFonts w:ascii="Arial" w:eastAsia="Aptos" w:hAnsi="Arial" w:cs="Arial"/>
          <w:sz w:val="22"/>
          <w:szCs w:val="22"/>
        </w:rPr>
        <w:t>NEI3</w:t>
      </w:r>
      <w:r w:rsidRPr="00113485">
        <w:rPr>
          <w:rFonts w:ascii="Arial" w:eastAsia="Aptos" w:hAnsi="Arial" w:cs="Arial"/>
          <w:sz w:val="22"/>
          <w:szCs w:val="22"/>
        </w:rPr>
        <w:t xml:space="preserve">-0006, </w:t>
      </w:r>
      <w:r w:rsidR="00DF6CD2">
        <w:rPr>
          <w:rFonts w:ascii="Arial" w:eastAsia="Aptos" w:hAnsi="Arial" w:cs="Arial"/>
          <w:sz w:val="22"/>
          <w:szCs w:val="22"/>
        </w:rPr>
        <w:t>NEI3</w:t>
      </w:r>
      <w:r w:rsidRPr="00113485">
        <w:rPr>
          <w:rFonts w:ascii="Arial" w:eastAsia="Aptos" w:hAnsi="Arial" w:cs="Arial"/>
          <w:sz w:val="22"/>
          <w:szCs w:val="22"/>
        </w:rPr>
        <w:t xml:space="preserve">-0007). </w:t>
      </w:r>
      <w:r w:rsidRPr="00113485">
        <w:rPr>
          <w:rFonts w:ascii="Arial" w:hAnsi="Arial" w:cs="Arial"/>
          <w:sz w:val="22"/>
          <w:szCs w:val="22"/>
        </w:rPr>
        <w:t xml:space="preserve">A commenter also argued this change would be consistent with Commissioner Caputo’s markup of the proposed rule </w:t>
      </w:r>
      <w:r w:rsidR="00086924">
        <w:rPr>
          <w:rFonts w:ascii="Arial" w:hAnsi="Arial" w:cs="Arial"/>
          <w:sz w:val="22"/>
          <w:szCs w:val="22"/>
        </w:rPr>
        <w:br/>
      </w:r>
      <w:r w:rsidRPr="00113485">
        <w:rPr>
          <w:rFonts w:ascii="Arial" w:hAnsi="Arial" w:cs="Arial"/>
          <w:sz w:val="22"/>
          <w:szCs w:val="22"/>
        </w:rPr>
        <w:t>(</w:t>
      </w:r>
      <w:r w:rsidR="009D6BB9">
        <w:rPr>
          <w:rFonts w:ascii="Arial" w:hAnsi="Arial" w:cs="Arial"/>
          <w:sz w:val="22"/>
          <w:szCs w:val="22"/>
        </w:rPr>
        <w:t>NEI2</w:t>
      </w:r>
      <w:r w:rsidRPr="00113485">
        <w:rPr>
          <w:rFonts w:ascii="Arial" w:hAnsi="Arial" w:cs="Arial"/>
          <w:sz w:val="22"/>
          <w:szCs w:val="22"/>
        </w:rPr>
        <w:t>-0003).</w:t>
      </w:r>
    </w:p>
    <w:p w:rsidR="00F64ABA" w:rsidRPr="00113485" w:rsidP="00113485" w14:paraId="535128D0" w14:textId="77777777">
      <w:pPr>
        <w:spacing w:after="220"/>
        <w:rPr>
          <w:rFonts w:ascii="Arial" w:eastAsia="Aptos" w:hAnsi="Arial" w:cs="Arial"/>
          <w:sz w:val="22"/>
          <w:szCs w:val="22"/>
        </w:rPr>
      </w:pPr>
      <w:r w:rsidRPr="00113485">
        <w:rPr>
          <w:rFonts w:ascii="Arial" w:eastAsia="Aptos" w:hAnsi="Arial" w:cs="Arial"/>
          <w:sz w:val="22"/>
          <w:szCs w:val="22"/>
        </w:rPr>
        <w:t>Regarding the required scope of a PRA, a few commenters specifically explained that an “all hazards” PRA is not needed by all applicants and should not be required (</w:t>
      </w:r>
      <w:r w:rsidR="000341A7">
        <w:rPr>
          <w:rFonts w:ascii="Arial" w:eastAsia="Aptos" w:hAnsi="Arial" w:cs="Arial"/>
          <w:sz w:val="22"/>
          <w:szCs w:val="22"/>
        </w:rPr>
        <w:t>NIA2</w:t>
      </w:r>
      <w:r w:rsidRPr="00113485">
        <w:rPr>
          <w:rFonts w:ascii="Arial" w:eastAsia="Aptos" w:hAnsi="Arial" w:cs="Arial"/>
          <w:sz w:val="22"/>
          <w:szCs w:val="22"/>
        </w:rPr>
        <w:t xml:space="preserve">-0003, </w:t>
      </w:r>
      <w:r w:rsidR="00086924">
        <w:rPr>
          <w:rFonts w:ascii="Arial" w:eastAsia="Aptos" w:hAnsi="Arial" w:cs="Arial"/>
          <w:sz w:val="22"/>
          <w:szCs w:val="22"/>
        </w:rPr>
        <w:br/>
      </w:r>
      <w:r w:rsidR="000341A7">
        <w:rPr>
          <w:rFonts w:ascii="Arial" w:eastAsia="Aptos" w:hAnsi="Arial" w:cs="Arial"/>
          <w:sz w:val="22"/>
          <w:szCs w:val="22"/>
        </w:rPr>
        <w:t>NIA2</w:t>
      </w:r>
      <w:r w:rsidRPr="00113485">
        <w:rPr>
          <w:rFonts w:ascii="Arial" w:eastAsia="Aptos" w:hAnsi="Arial" w:cs="Arial"/>
          <w:sz w:val="22"/>
          <w:szCs w:val="22"/>
        </w:rPr>
        <w:t xml:space="preserve">-0009, </w:t>
      </w:r>
      <w:r w:rsidR="00343546">
        <w:rPr>
          <w:rFonts w:ascii="Arial" w:eastAsia="Aptos" w:hAnsi="Arial" w:cs="Arial"/>
          <w:sz w:val="22"/>
          <w:szCs w:val="22"/>
        </w:rPr>
        <w:t>NGO</w:t>
      </w:r>
      <w:r w:rsidRPr="00113485">
        <w:rPr>
          <w:rFonts w:ascii="Arial" w:eastAsia="Aptos" w:hAnsi="Arial" w:cs="Arial"/>
          <w:sz w:val="22"/>
          <w:szCs w:val="22"/>
        </w:rPr>
        <w:t xml:space="preserve">-0003, </w:t>
      </w:r>
      <w:r w:rsidR="009D6BB9">
        <w:rPr>
          <w:rFonts w:ascii="Arial" w:eastAsia="Aptos" w:hAnsi="Arial" w:cs="Arial"/>
          <w:sz w:val="22"/>
          <w:szCs w:val="22"/>
        </w:rPr>
        <w:t>NEI2</w:t>
      </w:r>
      <w:r w:rsidRPr="00113485">
        <w:rPr>
          <w:rFonts w:ascii="Arial" w:eastAsia="Aptos" w:hAnsi="Arial" w:cs="Arial"/>
          <w:sz w:val="22"/>
          <w:szCs w:val="22"/>
        </w:rPr>
        <w:t xml:space="preserve">-0003, </w:t>
      </w:r>
      <w:r w:rsidR="009D6BB9">
        <w:rPr>
          <w:rFonts w:ascii="Arial" w:eastAsia="Aptos" w:hAnsi="Arial" w:cs="Arial"/>
          <w:sz w:val="22"/>
          <w:szCs w:val="22"/>
        </w:rPr>
        <w:t>NEI2</w:t>
      </w:r>
      <w:r w:rsidRPr="00113485">
        <w:rPr>
          <w:rFonts w:ascii="Arial" w:eastAsia="Aptos" w:hAnsi="Arial" w:cs="Arial"/>
          <w:sz w:val="22"/>
          <w:szCs w:val="22"/>
        </w:rPr>
        <w:t>-0051).</w:t>
      </w:r>
    </w:p>
    <w:p w:rsidR="00F64ABA" w:rsidRPr="00113485" w:rsidP="00113485" w14:paraId="6B979DBC" w14:textId="77777777">
      <w:pPr>
        <w:spacing w:after="220"/>
        <w:rPr>
          <w:rFonts w:ascii="Arial" w:eastAsia="Times New Roman" w:hAnsi="Arial" w:cs="Arial"/>
          <w:sz w:val="22"/>
          <w:szCs w:val="22"/>
        </w:rPr>
      </w:pPr>
      <w:r w:rsidRPr="00113485">
        <w:rPr>
          <w:rFonts w:ascii="Arial" w:eastAsia="Times New Roman" w:hAnsi="Arial" w:cs="Arial"/>
          <w:sz w:val="22"/>
          <w:szCs w:val="22"/>
        </w:rPr>
        <w:t>One commenter expressed concern about language in the preamble (“Existing processes for defining the scope and capability of a PRA supporting an application offer flexibility in determining the degree to which the PRA needs to be developed…”) that they said contradicts the requirement in 10 CFR 53.450(a) for the PRA to assess susceptibility to internal and external hazards. The commenter wrote that the regulation should reflect the following language from the same paragraph of the preamble: “An NRC determination of the acceptability of a PRA includes… the use of screening tools and bounding or simplified methods for any mode or hazard.” The commenter urged the NRC to remove the language in 10 CFR 53.450(a) requiring internal and external hazards to be addressed by the PRA (</w:t>
      </w:r>
      <w:r w:rsidR="009D6BB9">
        <w:rPr>
          <w:rFonts w:ascii="Arial" w:eastAsia="Times New Roman" w:hAnsi="Arial" w:cs="Arial"/>
          <w:sz w:val="22"/>
          <w:szCs w:val="22"/>
        </w:rPr>
        <w:t>NEI2</w:t>
      </w:r>
      <w:r w:rsidRPr="00113485">
        <w:rPr>
          <w:rFonts w:ascii="Arial" w:eastAsia="Times New Roman" w:hAnsi="Arial" w:cs="Arial"/>
          <w:sz w:val="22"/>
          <w:szCs w:val="22"/>
        </w:rPr>
        <w:t>-0022). Another commenter agreed with the previous commenter (</w:t>
      </w:r>
      <w:r w:rsidR="006912EB">
        <w:rPr>
          <w:rFonts w:ascii="Arial" w:eastAsia="Aptos" w:hAnsi="Arial" w:cs="Arial"/>
          <w:sz w:val="22"/>
          <w:szCs w:val="22"/>
        </w:rPr>
        <w:t>NEX</w:t>
      </w:r>
      <w:r w:rsidRPr="00113485">
        <w:rPr>
          <w:rFonts w:ascii="Arial" w:eastAsia="Aptos" w:hAnsi="Arial" w:cs="Arial"/>
          <w:sz w:val="22"/>
          <w:szCs w:val="22"/>
        </w:rPr>
        <w:t>-0020</w:t>
      </w:r>
      <w:r w:rsidRPr="00113485">
        <w:rPr>
          <w:rFonts w:ascii="Arial" w:eastAsia="Times New Roman" w:hAnsi="Arial" w:cs="Arial"/>
          <w:sz w:val="22"/>
          <w:szCs w:val="22"/>
        </w:rPr>
        <w:t>).</w:t>
      </w:r>
    </w:p>
    <w:p w:rsidR="00F64ABA" w:rsidRPr="00113485" w:rsidP="00113485" w14:paraId="328B1DE6" w14:textId="77777777">
      <w:pPr>
        <w:spacing w:after="220"/>
        <w:rPr>
          <w:rFonts w:ascii="Arial" w:eastAsia="Aptos" w:hAnsi="Arial" w:cs="Arial"/>
          <w:sz w:val="22"/>
          <w:szCs w:val="22"/>
        </w:rPr>
      </w:pPr>
      <w:r w:rsidRPr="00113485">
        <w:rPr>
          <w:rFonts w:ascii="Arial" w:eastAsia="Aptos" w:hAnsi="Arial" w:cs="Arial"/>
          <w:sz w:val="22"/>
          <w:szCs w:val="22"/>
        </w:rPr>
        <w:t>Alternatively, one commenter recommended that, at a minimum, wherever 10 CFR 53.450(a) refers to PRA, the NRC should change it to “PRA in combination with other generally accepted approaches for systematically evaluating engineered systems” for consistency with the phrasing in 10 CFR 53.450(e) (</w:t>
      </w:r>
      <w:r w:rsidR="009D6BB9">
        <w:rPr>
          <w:rFonts w:ascii="Arial" w:eastAsia="Aptos" w:hAnsi="Arial" w:cs="Arial"/>
          <w:sz w:val="22"/>
          <w:szCs w:val="22"/>
        </w:rPr>
        <w:t>NEI2</w:t>
      </w:r>
      <w:r w:rsidRPr="00113485">
        <w:rPr>
          <w:rFonts w:ascii="Arial" w:eastAsia="Aptos" w:hAnsi="Arial" w:cs="Arial"/>
          <w:sz w:val="22"/>
          <w:szCs w:val="22"/>
        </w:rPr>
        <w:t xml:space="preserve">-0003, </w:t>
      </w:r>
      <w:r w:rsidR="009D6BB9">
        <w:rPr>
          <w:rFonts w:ascii="Arial" w:eastAsia="Aptos" w:hAnsi="Arial" w:cs="Arial"/>
          <w:sz w:val="22"/>
          <w:szCs w:val="22"/>
        </w:rPr>
        <w:t>NEI2</w:t>
      </w:r>
      <w:r w:rsidRPr="00113485">
        <w:rPr>
          <w:rFonts w:ascii="Arial" w:eastAsia="Aptos" w:hAnsi="Arial" w:cs="Arial"/>
          <w:sz w:val="22"/>
          <w:szCs w:val="22"/>
        </w:rPr>
        <w:t xml:space="preserve">-0051, </w:t>
      </w:r>
      <w:r w:rsidR="00DF6CD2">
        <w:rPr>
          <w:rFonts w:ascii="Arial" w:eastAsia="Aptos" w:hAnsi="Arial" w:cs="Arial"/>
          <w:sz w:val="22"/>
          <w:szCs w:val="22"/>
        </w:rPr>
        <w:t>NEI3</w:t>
      </w:r>
      <w:r w:rsidRPr="00113485">
        <w:rPr>
          <w:rFonts w:ascii="Arial" w:eastAsia="Aptos" w:hAnsi="Arial" w:cs="Arial"/>
          <w:sz w:val="22"/>
          <w:szCs w:val="22"/>
        </w:rPr>
        <w:t>-0003). The</w:t>
      </w:r>
      <w:r w:rsidRPr="00113485">
        <w:rPr>
          <w:rFonts w:ascii="Arial" w:eastAsia="Times New Roman" w:hAnsi="Arial" w:cs="Arial"/>
          <w:sz w:val="22"/>
          <w:szCs w:val="22"/>
        </w:rPr>
        <w:t xml:space="preserve"> </w:t>
      </w:r>
      <w:r w:rsidRPr="00113485">
        <w:rPr>
          <w:rFonts w:ascii="Arial" w:eastAsia="Aptos" w:hAnsi="Arial" w:cs="Arial"/>
          <w:sz w:val="22"/>
          <w:szCs w:val="22"/>
        </w:rPr>
        <w:t xml:space="preserve">commenter noted that doing so would address susceptibility to internal and external hazards and would align with RG 1.253, </w:t>
      </w:r>
      <w:r w:rsidR="00086924">
        <w:rPr>
          <w:rFonts w:ascii="Arial" w:eastAsia="Aptos" w:hAnsi="Arial" w:cs="Arial"/>
          <w:sz w:val="22"/>
          <w:szCs w:val="22"/>
        </w:rPr>
        <w:br/>
      </w:r>
      <w:r w:rsidRPr="00113485">
        <w:rPr>
          <w:rFonts w:ascii="Arial" w:eastAsia="Aptos" w:hAnsi="Arial" w:cs="Arial"/>
          <w:sz w:val="22"/>
          <w:szCs w:val="22"/>
        </w:rPr>
        <w:t>10 CFR 53.450(e) and SRM</w:t>
      </w:r>
      <w:r w:rsidRPr="00113485">
        <w:rPr>
          <w:rFonts w:ascii="Arial" w:eastAsia="Aptos" w:hAnsi="Arial" w:cs="Arial"/>
          <w:sz w:val="22"/>
          <w:szCs w:val="22"/>
        </w:rPr>
        <w:noBreakHyphen/>
        <w:t>SECY</w:t>
      </w:r>
      <w:r w:rsidRPr="00113485">
        <w:rPr>
          <w:rFonts w:ascii="Arial" w:eastAsia="Aptos" w:hAnsi="Arial" w:cs="Arial"/>
          <w:sz w:val="22"/>
          <w:szCs w:val="22"/>
        </w:rPr>
        <w:noBreakHyphen/>
        <w:t>23</w:t>
      </w:r>
      <w:r w:rsidR="00D5551A">
        <w:rPr>
          <w:rFonts w:ascii="Arial" w:eastAsia="Aptos" w:hAnsi="Arial" w:cs="Arial"/>
          <w:sz w:val="22"/>
          <w:szCs w:val="22"/>
        </w:rPr>
        <w:noBreakHyphen/>
      </w:r>
      <w:r w:rsidRPr="00113485">
        <w:rPr>
          <w:rFonts w:ascii="Arial" w:eastAsia="Aptos" w:hAnsi="Arial" w:cs="Arial"/>
          <w:sz w:val="22"/>
          <w:szCs w:val="22"/>
        </w:rPr>
        <w:t>0021 (</w:t>
      </w:r>
      <w:r w:rsidR="00DF6CD2">
        <w:rPr>
          <w:rFonts w:ascii="Arial" w:eastAsia="Aptos" w:hAnsi="Arial" w:cs="Arial"/>
          <w:sz w:val="22"/>
          <w:szCs w:val="22"/>
        </w:rPr>
        <w:t>NEI3</w:t>
      </w:r>
      <w:r w:rsidRPr="00113485">
        <w:rPr>
          <w:rFonts w:ascii="Arial" w:eastAsia="Aptos" w:hAnsi="Arial" w:cs="Arial"/>
          <w:sz w:val="22"/>
          <w:szCs w:val="22"/>
        </w:rPr>
        <w:t>-0003).</w:t>
      </w:r>
    </w:p>
    <w:p w:rsidR="00F64ABA" w:rsidRPr="00113485" w:rsidP="00113485" w14:paraId="1E06C9E9" w14:textId="77777777">
      <w:pPr>
        <w:spacing w:after="220"/>
        <w:rPr>
          <w:rFonts w:ascii="Arial" w:eastAsia="Aptos" w:hAnsi="Arial" w:cs="Arial"/>
          <w:sz w:val="22"/>
          <w:szCs w:val="22"/>
        </w:rPr>
      </w:pPr>
      <w:r w:rsidRPr="00113485">
        <w:rPr>
          <w:rFonts w:ascii="Arial" w:eastAsia="Aptos" w:hAnsi="Arial" w:cs="Arial"/>
          <w:sz w:val="22"/>
          <w:szCs w:val="22"/>
        </w:rPr>
        <w:t>One commenter stated that there is not sufficient operating experience to expect PRAs for reactors under 10 CFR Part 53 to provide valuable results (</w:t>
      </w:r>
      <w:r w:rsidR="00E266B2">
        <w:rPr>
          <w:rFonts w:ascii="Arial" w:eastAsia="Aptos" w:hAnsi="Arial" w:cs="Arial"/>
          <w:sz w:val="22"/>
          <w:szCs w:val="22"/>
        </w:rPr>
        <w:t>TG22</w:t>
      </w:r>
      <w:r w:rsidRPr="00113485">
        <w:rPr>
          <w:rFonts w:ascii="Arial" w:eastAsia="Aptos" w:hAnsi="Arial" w:cs="Arial"/>
          <w:sz w:val="22"/>
          <w:szCs w:val="22"/>
        </w:rPr>
        <w:t>-0004).</w:t>
      </w:r>
    </w:p>
    <w:p w:rsidR="00F64ABA" w:rsidRPr="00113485" w:rsidP="00113485" w14:paraId="057CC2D2" w14:textId="77777777">
      <w:pPr>
        <w:spacing w:after="220"/>
        <w:rPr>
          <w:rFonts w:ascii="Arial" w:eastAsia="Aptos" w:hAnsi="Arial" w:cs="Arial"/>
          <w:sz w:val="22"/>
          <w:szCs w:val="22"/>
        </w:rPr>
      </w:pPr>
      <w:r w:rsidRPr="00113485">
        <w:rPr>
          <w:rFonts w:ascii="Arial" w:eastAsia="Aptos" w:hAnsi="Arial" w:cs="Arial"/>
          <w:sz w:val="22"/>
          <w:szCs w:val="22"/>
        </w:rPr>
        <w:t>A commenter stated that 10 CFR Part 53 must accommodate multiple licensing approaches, including the use of RG 1.233 (LMP), a “less than full LMP” implementation, a maximum hypothetical accident (MHA) approach, and an “MHA-like” safety case, and urged the NRC to establish in the rule how the rule language and guidance are flexible enough to enable the use of additional approaches (</w:t>
      </w:r>
      <w:r w:rsidR="00AE0B17">
        <w:rPr>
          <w:rFonts w:ascii="Arial" w:eastAsia="Aptos" w:hAnsi="Arial" w:cs="Arial"/>
          <w:sz w:val="22"/>
          <w:szCs w:val="22"/>
        </w:rPr>
        <w:t>USNIC2</w:t>
      </w:r>
      <w:r w:rsidRPr="00113485">
        <w:rPr>
          <w:rFonts w:ascii="Arial" w:eastAsia="Aptos" w:hAnsi="Arial" w:cs="Arial"/>
          <w:sz w:val="22"/>
          <w:szCs w:val="22"/>
        </w:rPr>
        <w:t>-0005).</w:t>
      </w:r>
    </w:p>
    <w:p w:rsidR="00F64ABA" w:rsidRPr="00113485" w:rsidP="00113485" w14:paraId="1E4A973B" w14:textId="77777777">
      <w:pPr>
        <w:spacing w:after="220"/>
        <w:rPr>
          <w:rFonts w:ascii="Arial" w:eastAsia="Times New Roman" w:hAnsi="Arial" w:cs="Arial"/>
          <w:sz w:val="22"/>
          <w:szCs w:val="22"/>
        </w:rPr>
      </w:pPr>
      <w:r w:rsidRPr="00113485">
        <w:rPr>
          <w:rFonts w:ascii="Arial" w:eastAsia="Aptos" w:hAnsi="Arial" w:cs="Arial"/>
          <w:sz w:val="22"/>
          <w:szCs w:val="22"/>
        </w:rPr>
        <w:t>Another commenter also stated that the current proposed requirement for a PRA would preclude the bounding approach described by the commenter as well as the traditional DBA approach that was used by most of the current operating fleet (</w:t>
      </w:r>
      <w:r w:rsidR="00DF6CD2">
        <w:rPr>
          <w:rFonts w:ascii="Arial" w:eastAsia="Aptos" w:hAnsi="Arial" w:cs="Arial"/>
          <w:sz w:val="22"/>
          <w:szCs w:val="22"/>
        </w:rPr>
        <w:t>NEI3</w:t>
      </w:r>
      <w:r w:rsidRPr="00113485">
        <w:rPr>
          <w:rFonts w:ascii="Arial" w:eastAsia="Aptos" w:hAnsi="Arial" w:cs="Arial"/>
          <w:sz w:val="22"/>
          <w:szCs w:val="22"/>
        </w:rPr>
        <w:t xml:space="preserve">-0007). The commenter suggested revising 10 CFR 53.450 to </w:t>
      </w:r>
      <w:r w:rsidRPr="00113485">
        <w:rPr>
          <w:rFonts w:ascii="Arial" w:eastAsia="Times New Roman" w:hAnsi="Arial" w:cs="Arial"/>
          <w:sz w:val="22"/>
          <w:szCs w:val="22"/>
        </w:rPr>
        <w:t>include requirements related to flexibility for bounding analyses in 10 CFR 53.450 (</w:t>
      </w:r>
      <w:r w:rsidR="009D6BB9">
        <w:rPr>
          <w:rFonts w:ascii="Arial" w:eastAsia="Times New Roman" w:hAnsi="Arial" w:cs="Arial"/>
          <w:sz w:val="22"/>
          <w:szCs w:val="22"/>
        </w:rPr>
        <w:t>NEI2</w:t>
      </w:r>
      <w:r w:rsidRPr="00113485">
        <w:rPr>
          <w:rFonts w:ascii="Arial" w:eastAsia="Times New Roman" w:hAnsi="Arial" w:cs="Arial"/>
          <w:sz w:val="22"/>
          <w:szCs w:val="22"/>
        </w:rPr>
        <w:t>-0051).</w:t>
      </w:r>
    </w:p>
    <w:p w:rsidR="00F64ABA" w:rsidRPr="00113485" w:rsidP="00113485" w14:paraId="2E987AF7" w14:textId="77777777">
      <w:pPr>
        <w:spacing w:after="220"/>
        <w:rPr>
          <w:rFonts w:ascii="Arial" w:eastAsia="Aptos" w:hAnsi="Arial" w:cs="Arial"/>
          <w:sz w:val="22"/>
          <w:szCs w:val="22"/>
        </w:rPr>
      </w:pPr>
      <w:r w:rsidRPr="00113485">
        <w:rPr>
          <w:rFonts w:ascii="Arial" w:eastAsia="Times New Roman" w:hAnsi="Arial" w:cs="Arial"/>
          <w:sz w:val="22"/>
          <w:szCs w:val="22"/>
        </w:rPr>
        <w:t>Two</w:t>
      </w:r>
      <w:r w:rsidRPr="00113485">
        <w:rPr>
          <w:rFonts w:ascii="Arial" w:eastAsia="Aptos" w:hAnsi="Arial" w:cs="Arial"/>
          <w:sz w:val="22"/>
          <w:szCs w:val="22"/>
        </w:rPr>
        <w:t xml:space="preserve"> commenters cited recent experience with the Kairos-Hermes construction permit application that was approved without using a strict PRA approach, indicating that alternative approaches can be successfully used (</w:t>
      </w:r>
      <w:r w:rsidR="00D87876">
        <w:rPr>
          <w:rFonts w:ascii="Arial" w:eastAsia="Aptos" w:hAnsi="Arial" w:cs="Arial"/>
          <w:sz w:val="22"/>
          <w:szCs w:val="22"/>
        </w:rPr>
        <w:t>SCWG</w:t>
      </w:r>
      <w:r w:rsidRPr="00113485">
        <w:rPr>
          <w:rFonts w:ascii="Arial" w:eastAsia="Aptos" w:hAnsi="Arial" w:cs="Arial"/>
          <w:sz w:val="22"/>
          <w:szCs w:val="22"/>
        </w:rPr>
        <w:t xml:space="preserve">-0013, </w:t>
      </w:r>
      <w:r w:rsidR="000341A7">
        <w:rPr>
          <w:rFonts w:ascii="Arial" w:eastAsia="Aptos" w:hAnsi="Arial" w:cs="Arial"/>
          <w:sz w:val="22"/>
          <w:szCs w:val="22"/>
        </w:rPr>
        <w:t>NIA2</w:t>
      </w:r>
      <w:r w:rsidRPr="00113485">
        <w:rPr>
          <w:rFonts w:ascii="Arial" w:eastAsia="Aptos" w:hAnsi="Arial" w:cs="Arial"/>
          <w:sz w:val="22"/>
          <w:szCs w:val="22"/>
        </w:rPr>
        <w:t>-0009).</w:t>
      </w:r>
    </w:p>
    <w:p w:rsidR="00F64ABA" w:rsidRPr="00113485" w:rsidP="00113485" w14:paraId="2AB228FA" w14:textId="77777777">
      <w:pPr>
        <w:spacing w:after="220"/>
        <w:rPr>
          <w:rFonts w:ascii="Arial" w:hAnsi="Arial" w:cs="Arial"/>
          <w:sz w:val="22"/>
          <w:szCs w:val="22"/>
        </w:rPr>
      </w:pPr>
      <w:r w:rsidRPr="00113485">
        <w:rPr>
          <w:rFonts w:ascii="Arial" w:eastAsia="Aptos" w:hAnsi="Arial" w:cs="Arial"/>
          <w:sz w:val="22"/>
          <w:szCs w:val="22"/>
        </w:rPr>
        <w:t>A commenter suggested that 10 CFR 53.450(a) be revised to reference primary and secondary safety functions and require applicants to identify the key consensus codes and standards employed (</w:t>
      </w:r>
      <w:r w:rsidR="00AE5960">
        <w:rPr>
          <w:rFonts w:ascii="Arial" w:eastAsia="Aptos" w:hAnsi="Arial" w:cs="Arial"/>
          <w:sz w:val="22"/>
          <w:szCs w:val="22"/>
        </w:rPr>
        <w:t>HPT13</w:t>
      </w:r>
      <w:r w:rsidRPr="00113485">
        <w:rPr>
          <w:rFonts w:ascii="Arial" w:eastAsia="Aptos" w:hAnsi="Arial" w:cs="Arial"/>
          <w:sz w:val="22"/>
          <w:szCs w:val="22"/>
        </w:rPr>
        <w:t xml:space="preserve">-0001, </w:t>
      </w:r>
      <w:r w:rsidR="00AE5960">
        <w:rPr>
          <w:rFonts w:ascii="Arial" w:eastAsia="Aptos" w:hAnsi="Arial" w:cs="Arial"/>
          <w:sz w:val="22"/>
          <w:szCs w:val="22"/>
        </w:rPr>
        <w:t>HPT13</w:t>
      </w:r>
      <w:r w:rsidRPr="00113485">
        <w:rPr>
          <w:rFonts w:ascii="Arial" w:eastAsia="Aptos" w:hAnsi="Arial" w:cs="Arial"/>
          <w:sz w:val="22"/>
          <w:szCs w:val="22"/>
        </w:rPr>
        <w:t>-0002).</w:t>
      </w:r>
    </w:p>
    <w:p w:rsidR="00F64ABA" w:rsidRPr="00113485" w:rsidP="00113485" w14:paraId="0FDAD118" w14:textId="77777777">
      <w:pPr>
        <w:spacing w:after="220"/>
        <w:rPr>
          <w:rFonts w:ascii="Arial" w:hAnsi="Arial" w:cs="Arial"/>
          <w:sz w:val="22"/>
          <w:szCs w:val="22"/>
        </w:rPr>
      </w:pPr>
      <w:r w:rsidRPr="00113485">
        <w:rPr>
          <w:rFonts w:ascii="Arial" w:hAnsi="Arial" w:cs="Arial"/>
          <w:b/>
          <w:sz w:val="22"/>
          <w:szCs w:val="22"/>
        </w:rPr>
        <w:t xml:space="preserve">NRC Response: </w:t>
      </w:r>
      <w:r w:rsidRPr="00113485">
        <w:rPr>
          <w:rFonts w:ascii="Arial" w:hAnsi="Arial" w:cs="Arial"/>
          <w:sz w:val="22"/>
          <w:szCs w:val="22"/>
        </w:rPr>
        <w:t>The NRC agrees, in part, with the comments.</w:t>
      </w:r>
    </w:p>
    <w:p w:rsidR="00F64ABA" w:rsidRPr="00113485" w:rsidP="00113485" w14:paraId="58944A21" w14:textId="77777777">
      <w:pPr>
        <w:spacing w:after="220"/>
        <w:rPr>
          <w:rFonts w:ascii="Arial" w:hAnsi="Arial" w:cs="Arial"/>
          <w:sz w:val="22"/>
          <w:szCs w:val="22"/>
        </w:rPr>
      </w:pPr>
      <w:r w:rsidRPr="00113485">
        <w:rPr>
          <w:rFonts w:ascii="Arial" w:hAnsi="Arial" w:cs="Arial"/>
          <w:sz w:val="22"/>
          <w:szCs w:val="22"/>
        </w:rPr>
        <w:t xml:space="preserve">Regarding the suggestion that 10 CFR Part 53 allow for risk evaluations other than PRA, the NRC agrees, in part. The requirements in 10 CFR 53.450(a) </w:t>
      </w:r>
      <w:r w:rsidR="00F24B99">
        <w:rPr>
          <w:rFonts w:ascii="Arial" w:hAnsi="Arial" w:cs="Arial"/>
          <w:sz w:val="22"/>
          <w:szCs w:val="22"/>
        </w:rPr>
        <w:t>are being</w:t>
      </w:r>
      <w:r w:rsidRPr="00113485">
        <w:rPr>
          <w:rFonts w:ascii="Arial" w:hAnsi="Arial" w:cs="Arial"/>
          <w:sz w:val="22"/>
          <w:szCs w:val="22"/>
        </w:rPr>
        <w:t xml:space="preserve"> revised to allow other SREs to be used as a supplement or possibly an alternative to an “all hazards” PRA. Conforming changes have been made to other portions of the rule language that invoke the use of PRA. Additionally, the NRC </w:t>
      </w:r>
      <w:r w:rsidR="00BE539E">
        <w:rPr>
          <w:rFonts w:ascii="Arial" w:hAnsi="Arial" w:cs="Arial"/>
          <w:sz w:val="22"/>
          <w:szCs w:val="22"/>
        </w:rPr>
        <w:t>has revised</w:t>
      </w:r>
      <w:r w:rsidRPr="00113485">
        <w:rPr>
          <w:rFonts w:ascii="Arial" w:hAnsi="Arial" w:cs="Arial"/>
          <w:sz w:val="22"/>
          <w:szCs w:val="22"/>
        </w:rPr>
        <w:t xml:space="preserve"> the rule language in 10 CFR 53.450(a) to require that a PRA, other SREs, or combination thereof be used together with other generally accepted approaches for systematically evaluating engineered systems. Understanding that other SREs are still under development, the NRC </w:t>
      </w:r>
      <w:r w:rsidR="00BE539E">
        <w:rPr>
          <w:rFonts w:ascii="Arial" w:hAnsi="Arial" w:cs="Arial"/>
          <w:sz w:val="22"/>
          <w:szCs w:val="22"/>
        </w:rPr>
        <w:t xml:space="preserve">has </w:t>
      </w:r>
      <w:r w:rsidRPr="00113485">
        <w:rPr>
          <w:rFonts w:ascii="Arial" w:hAnsi="Arial" w:cs="Arial"/>
          <w:sz w:val="22"/>
          <w:szCs w:val="22"/>
        </w:rPr>
        <w:t xml:space="preserve">also </w:t>
      </w:r>
      <w:r w:rsidR="00BE539E">
        <w:rPr>
          <w:rFonts w:ascii="Arial" w:hAnsi="Arial" w:cs="Arial"/>
          <w:sz w:val="22"/>
          <w:szCs w:val="22"/>
        </w:rPr>
        <w:t xml:space="preserve">revised </w:t>
      </w:r>
      <w:r w:rsidRPr="00113485">
        <w:rPr>
          <w:rFonts w:ascii="Arial" w:hAnsi="Arial" w:cs="Arial"/>
          <w:sz w:val="22"/>
          <w:szCs w:val="22"/>
        </w:rPr>
        <w:t>the rule language in 10</w:t>
      </w:r>
      <w:r w:rsidR="000C0B3A">
        <w:rPr>
          <w:rFonts w:ascii="Arial" w:hAnsi="Arial" w:cs="Arial"/>
          <w:sz w:val="22"/>
          <w:szCs w:val="22"/>
        </w:rPr>
        <w:t> </w:t>
      </w:r>
      <w:r w:rsidRPr="00113485">
        <w:rPr>
          <w:rFonts w:ascii="Arial" w:hAnsi="Arial" w:cs="Arial"/>
          <w:sz w:val="22"/>
          <w:szCs w:val="22"/>
        </w:rPr>
        <w:t>CFR</w:t>
      </w:r>
      <w:r w:rsidR="000C0B3A">
        <w:rPr>
          <w:rFonts w:ascii="Arial" w:hAnsi="Arial" w:cs="Arial"/>
          <w:sz w:val="22"/>
          <w:szCs w:val="22"/>
        </w:rPr>
        <w:t> </w:t>
      </w:r>
      <w:r w:rsidRPr="00113485">
        <w:rPr>
          <w:rFonts w:ascii="Arial" w:hAnsi="Arial" w:cs="Arial"/>
          <w:sz w:val="22"/>
          <w:szCs w:val="22"/>
        </w:rPr>
        <w:t xml:space="preserve">53.450(b) to include a requirement ensuring </w:t>
      </w:r>
      <w:r w:rsidRPr="00113485">
        <w:rPr>
          <w:rFonts w:ascii="Arial" w:eastAsia="DengXian" w:hAnsi="Arial" w:cs="Arial"/>
          <w:sz w:val="22"/>
          <w:szCs w:val="22"/>
        </w:rPr>
        <w:t xml:space="preserve">that PRA, other SREs, or combination thereof are used to inform the establishment and updating of appropriate controls on plant operations, including availability controls. Finally, the NRC </w:t>
      </w:r>
      <w:r w:rsidR="00BE539E">
        <w:rPr>
          <w:rFonts w:ascii="Arial" w:hAnsi="Arial" w:cs="Arial"/>
          <w:sz w:val="22"/>
          <w:szCs w:val="22"/>
        </w:rPr>
        <w:t>has revised</w:t>
      </w:r>
      <w:r w:rsidR="00BE539E">
        <w:rPr>
          <w:rFonts w:ascii="Arial" w:eastAsia="DengXian" w:hAnsi="Arial" w:cs="Arial"/>
          <w:sz w:val="22"/>
          <w:szCs w:val="22"/>
        </w:rPr>
        <w:t xml:space="preserve"> </w:t>
      </w:r>
      <w:r w:rsidRPr="00113485">
        <w:rPr>
          <w:rFonts w:ascii="Arial" w:eastAsia="DengXian" w:hAnsi="Arial" w:cs="Arial"/>
          <w:sz w:val="22"/>
          <w:szCs w:val="22"/>
        </w:rPr>
        <w:t>the discussion from the proposed rule to the final rule to emphasize that the term “</w:t>
      </w:r>
      <w:r w:rsidRPr="00113485">
        <w:rPr>
          <w:rFonts w:ascii="Arial" w:eastAsia="DengXian" w:hAnsi="Arial" w:cs="Arial"/>
          <w:i/>
          <w:sz w:val="22"/>
          <w:szCs w:val="22"/>
        </w:rPr>
        <w:t>Event Sequence</w:t>
      </w:r>
      <w:r w:rsidRPr="00113485">
        <w:rPr>
          <w:rFonts w:ascii="Arial" w:eastAsia="DengXian" w:hAnsi="Arial" w:cs="Arial"/>
          <w:sz w:val="22"/>
          <w:szCs w:val="22"/>
        </w:rPr>
        <w:t>” is used generically in 10 CFR Part 53 and does not imply the use of a specific type of systematic risk evaluation.</w:t>
      </w:r>
    </w:p>
    <w:p w:rsidR="00F64ABA" w:rsidRPr="00113485" w:rsidP="00113485" w14:paraId="4BECA79C" w14:textId="77777777">
      <w:pPr>
        <w:spacing w:after="220"/>
        <w:rPr>
          <w:rFonts w:ascii="Arial" w:hAnsi="Arial" w:cs="Arial"/>
          <w:sz w:val="22"/>
          <w:szCs w:val="22"/>
        </w:rPr>
      </w:pPr>
      <w:r w:rsidRPr="00113485">
        <w:rPr>
          <w:rFonts w:ascii="Arial" w:hAnsi="Arial" w:cs="Arial"/>
          <w:sz w:val="22"/>
          <w:szCs w:val="22"/>
        </w:rPr>
        <w:t>One statement observed that there is not sufficient operating experience to expect PRAs for reactors under 10 CFR Part 53, a lack of understanding of what possible malfunctions can occur, how often they may occur, and what would be the consequences should they occur, which would rightly present a fundamental challenge to licensing a commercial nuclear plant under any regulatory framework. The NRC acknowledges that uncertainties exist and need to be addressed through design and analyses. The use of PRAs and other systematic risk evaluations has been incorporated into various consensus codes and standards and regulatory frameworks for decades. The 10 CFR Part 50 framework remains available for those applicants that prefer more deterministic or prescriptive requirements such preestablished design rules and licensing</w:t>
      </w:r>
      <w:r w:rsidR="00113FE3">
        <w:rPr>
          <w:rFonts w:ascii="Arial" w:hAnsi="Arial" w:cs="Arial"/>
          <w:sz w:val="22"/>
          <w:szCs w:val="22"/>
        </w:rPr>
        <w:t>-</w:t>
      </w:r>
      <w:r w:rsidRPr="00113485">
        <w:rPr>
          <w:rFonts w:ascii="Arial" w:hAnsi="Arial" w:cs="Arial"/>
          <w:sz w:val="22"/>
          <w:szCs w:val="22"/>
        </w:rPr>
        <w:t>basis events. Accordingly, the NRC did not change the rule language in response to this comment.</w:t>
      </w:r>
    </w:p>
    <w:p w:rsidR="00F64ABA" w:rsidRPr="00113485" w:rsidP="00113485" w14:paraId="50E6DA6C" w14:textId="77777777">
      <w:pPr>
        <w:spacing w:after="220"/>
        <w:rPr>
          <w:rFonts w:ascii="Arial" w:hAnsi="Arial" w:cs="Arial"/>
          <w:sz w:val="22"/>
          <w:szCs w:val="22"/>
        </w:rPr>
      </w:pPr>
      <w:r w:rsidRPr="00113485">
        <w:rPr>
          <w:rFonts w:ascii="Arial" w:hAnsi="Arial" w:cs="Arial"/>
          <w:sz w:val="22"/>
          <w:szCs w:val="22"/>
        </w:rPr>
        <w:t>The NRC disagrees with the suggestion that 10 CFR 53.450 be revised to allow the use of bounding analyses or a MHA approach. 10 CFR</w:t>
      </w:r>
      <w:r w:rsidR="000C0B3A">
        <w:rPr>
          <w:rFonts w:ascii="Arial" w:hAnsi="Arial" w:cs="Arial"/>
          <w:sz w:val="22"/>
          <w:szCs w:val="22"/>
        </w:rPr>
        <w:t> </w:t>
      </w:r>
      <w:r w:rsidRPr="00113485">
        <w:rPr>
          <w:rFonts w:ascii="Arial" w:hAnsi="Arial" w:cs="Arial"/>
          <w:sz w:val="22"/>
          <w:szCs w:val="22"/>
        </w:rPr>
        <w:t>Part</w:t>
      </w:r>
      <w:r w:rsidR="000C0B3A">
        <w:rPr>
          <w:rFonts w:ascii="Arial" w:hAnsi="Arial" w:cs="Arial"/>
          <w:sz w:val="22"/>
          <w:szCs w:val="22"/>
        </w:rPr>
        <w:t> </w:t>
      </w:r>
      <w:r w:rsidRPr="00113485">
        <w:rPr>
          <w:rFonts w:ascii="Arial" w:hAnsi="Arial" w:cs="Arial"/>
          <w:sz w:val="22"/>
          <w:szCs w:val="22"/>
        </w:rPr>
        <w:t>53 provides flexibility for establishing the comprehensive risk metrics and associated risk performance objectives and the evaluation criteria for licensing</w:t>
      </w:r>
      <w:r w:rsidR="00113FE3">
        <w:rPr>
          <w:rFonts w:ascii="Arial" w:hAnsi="Arial" w:cs="Arial"/>
          <w:sz w:val="22"/>
          <w:szCs w:val="22"/>
        </w:rPr>
        <w:noBreakHyphen/>
      </w:r>
      <w:r w:rsidRPr="00113485">
        <w:rPr>
          <w:rFonts w:ascii="Arial" w:hAnsi="Arial" w:cs="Arial"/>
          <w:sz w:val="22"/>
          <w:szCs w:val="22"/>
        </w:rPr>
        <w:t>basis events other than design</w:t>
      </w:r>
      <w:r w:rsidR="00113FE3">
        <w:rPr>
          <w:rFonts w:ascii="Arial" w:hAnsi="Arial" w:cs="Arial"/>
          <w:sz w:val="22"/>
          <w:szCs w:val="22"/>
        </w:rPr>
        <w:noBreakHyphen/>
      </w:r>
      <w:r w:rsidRPr="00113485">
        <w:rPr>
          <w:rFonts w:ascii="Arial" w:hAnsi="Arial" w:cs="Arial"/>
          <w:sz w:val="22"/>
          <w:szCs w:val="22"/>
        </w:rPr>
        <w:t xml:space="preserve">basis accidents. The actual analyses to demonstrate the risk performance objectives and evaluation criteria can use conservative or bounding-type analyses for particular parameters of interest such as estimated offsite doses. However, a notion that the design and licensing of a commercial nuclear plant, including the identification of special treatments for SR and NSRSS SSCs, functional allocations for staffing, and development of programs could be developed based on the analyses of a single event does </w:t>
      </w:r>
      <w:r w:rsidRPr="00113485">
        <w:rPr>
          <w:rFonts w:ascii="Arial" w:hAnsi="Arial" w:cs="Arial"/>
          <w:sz w:val="22"/>
          <w:szCs w:val="22"/>
        </w:rPr>
        <w:t>not comport to any systematic engineering approach.</w:t>
      </w:r>
      <w:r w:rsidRPr="00113485">
        <w:rPr>
          <w:sz w:val="22"/>
          <w:szCs w:val="22"/>
        </w:rPr>
        <w:t xml:space="preserve"> </w:t>
      </w:r>
      <w:r w:rsidRPr="00113485">
        <w:rPr>
          <w:rFonts w:ascii="Arial" w:hAnsi="Arial" w:cs="Arial"/>
          <w:sz w:val="22"/>
          <w:szCs w:val="22"/>
        </w:rPr>
        <w:t>Accordingly, the NRC did not change the rule language in response to the</w:t>
      </w:r>
      <w:r w:rsidR="007B534D">
        <w:rPr>
          <w:rFonts w:ascii="Arial" w:hAnsi="Arial" w:cs="Arial"/>
          <w:sz w:val="22"/>
          <w:szCs w:val="22"/>
        </w:rPr>
        <w:t>se</w:t>
      </w:r>
      <w:r w:rsidRPr="00113485">
        <w:rPr>
          <w:rFonts w:ascii="Arial" w:hAnsi="Arial" w:cs="Arial"/>
          <w:sz w:val="22"/>
          <w:szCs w:val="22"/>
        </w:rPr>
        <w:t xml:space="preserve"> comment</w:t>
      </w:r>
      <w:r w:rsidR="00582324">
        <w:rPr>
          <w:rFonts w:ascii="Arial" w:hAnsi="Arial" w:cs="Arial"/>
          <w:sz w:val="22"/>
          <w:szCs w:val="22"/>
        </w:rPr>
        <w:t>s</w:t>
      </w:r>
      <w:r w:rsidRPr="00113485">
        <w:rPr>
          <w:rFonts w:ascii="Arial" w:hAnsi="Arial" w:cs="Arial"/>
          <w:sz w:val="22"/>
          <w:szCs w:val="22"/>
        </w:rPr>
        <w:t>.</w:t>
      </w:r>
    </w:p>
    <w:p w:rsidR="00F64ABA" w:rsidRPr="00113485" w:rsidP="00113485" w14:paraId="43563767" w14:textId="77777777">
      <w:pPr>
        <w:spacing w:after="220"/>
        <w:rPr>
          <w:rFonts w:ascii="Arial" w:hAnsi="Arial" w:cs="Arial"/>
          <w:sz w:val="22"/>
          <w:szCs w:val="22"/>
        </w:rPr>
      </w:pPr>
      <w:r w:rsidRPr="00113485">
        <w:rPr>
          <w:rFonts w:ascii="Arial" w:hAnsi="Arial" w:cs="Arial"/>
          <w:sz w:val="22"/>
          <w:szCs w:val="22"/>
        </w:rPr>
        <w:t>The NRC disagrees with the suggestion that 10 CFR Part 53 be revised to encompass any design or licensing approach. 10 CFR Part 53 has been developed as an integrated framework with relatively high-level safety requirements that are shown to be met through design and analyses, siting, construction and manufacturing, and requirements during operation and decommissioning for configuration control, staffing and programs. 10 CFR Part 50 has also evolved to provide an overall framework based on combinations of prescriptive design requirements, deterministic analyses, and consideration of risk insights. However, the NRC does not believe that it is practical to support both approaches within a single set of regulations and notes that 10 CFR Part 50 remains available for those applicants that prefer a more prescriptive, deterministic framework. Accordingly, the NRC did not change the rule language in response to the</w:t>
      </w:r>
      <w:r w:rsidR="00DF68EE">
        <w:rPr>
          <w:rFonts w:ascii="Arial" w:hAnsi="Arial" w:cs="Arial"/>
          <w:sz w:val="22"/>
          <w:szCs w:val="22"/>
        </w:rPr>
        <w:t>se</w:t>
      </w:r>
      <w:r w:rsidRPr="00113485">
        <w:rPr>
          <w:rFonts w:ascii="Arial" w:hAnsi="Arial" w:cs="Arial"/>
          <w:sz w:val="22"/>
          <w:szCs w:val="22"/>
        </w:rPr>
        <w:t xml:space="preserve"> comment</w:t>
      </w:r>
      <w:r w:rsidR="00582324">
        <w:rPr>
          <w:rFonts w:ascii="Arial" w:hAnsi="Arial" w:cs="Arial"/>
          <w:sz w:val="22"/>
          <w:szCs w:val="22"/>
        </w:rPr>
        <w:t>s</w:t>
      </w:r>
      <w:r w:rsidRPr="00113485">
        <w:rPr>
          <w:rFonts w:ascii="Arial" w:hAnsi="Arial" w:cs="Arial"/>
          <w:sz w:val="22"/>
          <w:szCs w:val="22"/>
        </w:rPr>
        <w:t>.</w:t>
      </w:r>
    </w:p>
    <w:p w:rsidR="00F64ABA" w:rsidRPr="002E197A" w:rsidP="002E197A" w14:paraId="5D983FE9" w14:textId="77777777">
      <w:pPr>
        <w:spacing w:after="220"/>
        <w:rPr>
          <w:rFonts w:ascii="Arial" w:hAnsi="Arial" w:cs="Arial"/>
          <w:b/>
          <w:sz w:val="22"/>
          <w:szCs w:val="22"/>
        </w:rPr>
      </w:pPr>
      <w:r w:rsidRPr="00113485">
        <w:rPr>
          <w:rFonts w:ascii="Arial" w:hAnsi="Arial" w:cs="Arial"/>
          <w:sz w:val="22"/>
          <w:szCs w:val="22"/>
        </w:rPr>
        <w:t>The NRC disagrees with the suggestion to revise 10 CFR 53.450(a) to reference primary and secondary safety functions and identify key consensus codes and standards employed because 10 CFR 53.450(a) already references 10 CFR 53.230 in relation to safety functions and the use of consensus codes and standards is addressed in other requirements under Subpart C. Accordingly, the NRC did not change the rule language in response to the</w:t>
      </w:r>
      <w:r w:rsidR="007C7668">
        <w:rPr>
          <w:rFonts w:ascii="Arial" w:hAnsi="Arial" w:cs="Arial"/>
          <w:sz w:val="22"/>
          <w:szCs w:val="22"/>
        </w:rPr>
        <w:t>se</w:t>
      </w:r>
      <w:r w:rsidRPr="00113485">
        <w:rPr>
          <w:rFonts w:ascii="Arial" w:hAnsi="Arial" w:cs="Arial"/>
          <w:sz w:val="22"/>
          <w:szCs w:val="22"/>
        </w:rPr>
        <w:t xml:space="preserve"> comment</w:t>
      </w:r>
      <w:r w:rsidR="00582324">
        <w:rPr>
          <w:rFonts w:ascii="Arial" w:hAnsi="Arial" w:cs="Arial"/>
          <w:sz w:val="22"/>
          <w:szCs w:val="22"/>
        </w:rPr>
        <w:t>s</w:t>
      </w:r>
      <w:r w:rsidRPr="00113485">
        <w:rPr>
          <w:rFonts w:ascii="Arial" w:hAnsi="Arial" w:cs="Arial"/>
          <w:sz w:val="22"/>
          <w:szCs w:val="22"/>
        </w:rPr>
        <w:t>.</w:t>
      </w:r>
    </w:p>
    <w:p w:rsidR="000F3D5B" w:rsidRPr="00F97A1B" w:rsidP="002E197A" w14:paraId="34D8B126" w14:textId="77777777">
      <w:pPr>
        <w:spacing w:after="220"/>
        <w:rPr>
          <w:rFonts w:ascii="Arial" w:hAnsi="Arial" w:cs="Arial"/>
        </w:rPr>
      </w:pPr>
      <w:r>
        <w:rPr>
          <w:rFonts w:ascii="Arial" w:hAnsi="Arial" w:cs="Arial"/>
        </w:rPr>
        <w:pict>
          <v:rect id="_x0000_i1118" style="width:0;height:1.5pt" o:hralign="center" o:hrstd="t" o:hrnoshade="t" o:hr="t" fillcolor="black" stroked="f"/>
        </w:pict>
      </w:r>
    </w:p>
    <w:p w:rsidR="004F65DB" w:rsidRPr="00113485" w:rsidP="002E197A" w14:paraId="7810E108" w14:textId="77777777">
      <w:pPr>
        <w:spacing w:after="220"/>
        <w:rPr>
          <w:rFonts w:ascii="Arial" w:hAnsi="Arial" w:cs="Arial"/>
          <w:sz w:val="22"/>
          <w:szCs w:val="22"/>
        </w:rPr>
      </w:pPr>
      <w:r w:rsidRPr="00113485">
        <w:rPr>
          <w:rFonts w:ascii="Arial" w:hAnsi="Arial" w:cs="Arial"/>
          <w:b/>
          <w:sz w:val="22"/>
          <w:szCs w:val="22"/>
        </w:rPr>
        <w:t xml:space="preserve">Comment Bin 3.3.2.2.F: </w:t>
      </w:r>
      <w:r w:rsidRPr="00113485">
        <w:rPr>
          <w:rFonts w:ascii="Arial" w:eastAsia="Times New Roman" w:hAnsi="Arial" w:cs="Arial"/>
          <w:sz w:val="22"/>
          <w:szCs w:val="22"/>
        </w:rPr>
        <w:t>A commenter suggested revising 10 CFR 53.450(b), to remove the requirement that a PRA and other evaluations need to consider all plant operating states, because assessment of lower modes of operation should be acceptable based on traditional methods (</w:t>
      </w:r>
      <w:r w:rsidR="009D6BB9">
        <w:rPr>
          <w:rFonts w:ascii="Arial" w:eastAsia="Times New Roman" w:hAnsi="Arial" w:cs="Arial"/>
          <w:sz w:val="22"/>
          <w:szCs w:val="22"/>
        </w:rPr>
        <w:t>NEI2</w:t>
      </w:r>
      <w:r w:rsidRPr="00113485">
        <w:rPr>
          <w:rFonts w:ascii="Arial" w:eastAsia="Times New Roman" w:hAnsi="Arial" w:cs="Arial"/>
          <w:sz w:val="22"/>
          <w:szCs w:val="22"/>
        </w:rPr>
        <w:t>-0022). Another commenter suggested r</w:t>
      </w:r>
      <w:r w:rsidRPr="00113485">
        <w:rPr>
          <w:rFonts w:ascii="Arial" w:eastAsia="Aptos" w:hAnsi="Arial" w:cs="Arial"/>
          <w:sz w:val="22"/>
          <w:szCs w:val="22"/>
        </w:rPr>
        <w:t>emoving 10</w:t>
      </w:r>
      <w:r w:rsidR="00DF68EE">
        <w:rPr>
          <w:rFonts w:ascii="Arial" w:eastAsia="Aptos" w:hAnsi="Arial" w:cs="Arial"/>
          <w:sz w:val="22"/>
          <w:szCs w:val="22"/>
        </w:rPr>
        <w:t> </w:t>
      </w:r>
      <w:r w:rsidRPr="00113485">
        <w:rPr>
          <w:rFonts w:ascii="Arial" w:eastAsia="Aptos" w:hAnsi="Arial" w:cs="Arial"/>
          <w:sz w:val="22"/>
          <w:szCs w:val="22"/>
        </w:rPr>
        <w:t>CFR</w:t>
      </w:r>
      <w:r w:rsidR="00DF68EE">
        <w:rPr>
          <w:rFonts w:ascii="Arial" w:eastAsia="Aptos" w:hAnsi="Arial" w:cs="Arial"/>
          <w:sz w:val="22"/>
          <w:szCs w:val="22"/>
        </w:rPr>
        <w:t> </w:t>
      </w:r>
      <w:r w:rsidRPr="00113485">
        <w:rPr>
          <w:rFonts w:ascii="Arial" w:eastAsia="Aptos" w:hAnsi="Arial" w:cs="Arial"/>
          <w:sz w:val="22"/>
          <w:szCs w:val="22"/>
        </w:rPr>
        <w:t>53.450(b)(4) and (5), on the basis that there is no lawful requirement to analyze events beyond limiting DBEs (</w:t>
      </w:r>
      <w:r w:rsidR="00AE5960">
        <w:rPr>
          <w:rFonts w:ascii="Arial" w:eastAsia="Aptos" w:hAnsi="Arial" w:cs="Arial"/>
          <w:sz w:val="22"/>
          <w:szCs w:val="22"/>
        </w:rPr>
        <w:t>HPT13</w:t>
      </w:r>
      <w:r w:rsidRPr="00113485">
        <w:rPr>
          <w:rFonts w:ascii="Arial" w:eastAsia="Aptos" w:hAnsi="Arial" w:cs="Arial"/>
          <w:sz w:val="22"/>
          <w:szCs w:val="22"/>
        </w:rPr>
        <w:t>-</w:t>
      </w:r>
      <w:r w:rsidRPr="00113485">
        <w:rPr>
          <w:rFonts w:ascii="Arial" w:hAnsi="Arial" w:cs="Arial"/>
          <w:sz w:val="22"/>
          <w:szCs w:val="22"/>
        </w:rPr>
        <w:t xml:space="preserve">0001, </w:t>
      </w:r>
      <w:r w:rsidR="00AE5960">
        <w:rPr>
          <w:rFonts w:ascii="Arial" w:eastAsia="Aptos" w:hAnsi="Arial" w:cs="Arial"/>
          <w:sz w:val="22"/>
          <w:szCs w:val="22"/>
        </w:rPr>
        <w:t>HPT13</w:t>
      </w:r>
      <w:r w:rsidRPr="00113485">
        <w:rPr>
          <w:rFonts w:ascii="Arial" w:eastAsia="Aptos" w:hAnsi="Arial" w:cs="Arial"/>
          <w:sz w:val="22"/>
          <w:szCs w:val="22"/>
        </w:rPr>
        <w:t>-0002).</w:t>
      </w:r>
    </w:p>
    <w:p w:rsidR="004F65DB" w:rsidRPr="002E197A" w:rsidP="002E197A" w14:paraId="3A95F521" w14:textId="77777777">
      <w:pPr>
        <w:spacing w:after="220"/>
        <w:rPr>
          <w:rFonts w:ascii="Arial" w:hAnsi="Arial" w:cs="Arial"/>
          <w:b/>
          <w:sz w:val="22"/>
          <w:szCs w:val="22"/>
        </w:rPr>
      </w:pPr>
      <w:r w:rsidRPr="00113485">
        <w:rPr>
          <w:rFonts w:ascii="Arial" w:eastAsia="Times New Roman" w:hAnsi="Arial" w:cs="Arial"/>
          <w:sz w:val="22"/>
          <w:szCs w:val="22"/>
        </w:rPr>
        <w:t>Stating that a PRA should not be required to identify DBAs, particularly for LWRs with decades of regulatory precedent for DBA definition, a commenter expressed concern that the discussion of DBAs in 10 CFR 53.450 is too restrictive. The commenter thus suggested that the rule should allow for definition of DBAs based on past precedent for LWRs (where sufficient operating experience exists) and bounding or conservative assessments (with accepted methods endorsed in guidance) (</w:t>
      </w:r>
      <w:r w:rsidR="009D6BB9">
        <w:rPr>
          <w:rFonts w:ascii="Arial" w:eastAsia="Times New Roman" w:hAnsi="Arial" w:cs="Arial"/>
          <w:sz w:val="22"/>
          <w:szCs w:val="22"/>
        </w:rPr>
        <w:t>NEI2</w:t>
      </w:r>
      <w:r w:rsidRPr="00113485">
        <w:rPr>
          <w:rFonts w:ascii="Arial" w:eastAsia="Times New Roman" w:hAnsi="Arial" w:cs="Arial"/>
          <w:sz w:val="22"/>
          <w:szCs w:val="22"/>
        </w:rPr>
        <w:t xml:space="preserve">-0015). </w:t>
      </w:r>
      <w:r w:rsidRPr="00113485">
        <w:rPr>
          <w:rFonts w:ascii="Arial" w:eastAsia="Aptos" w:hAnsi="Arial" w:cs="Arial"/>
          <w:sz w:val="22"/>
          <w:szCs w:val="22"/>
        </w:rPr>
        <w:t>Another commenter stated that the classification of SSCs does not require high levels of precision</w:t>
      </w:r>
      <w:r w:rsidR="008A5CF9">
        <w:rPr>
          <w:rFonts w:ascii="Arial" w:eastAsia="Aptos" w:hAnsi="Arial" w:cs="Arial"/>
          <w:sz w:val="22"/>
          <w:szCs w:val="22"/>
        </w:rPr>
        <w:t>,</w:t>
      </w:r>
      <w:r w:rsidRPr="00113485">
        <w:rPr>
          <w:rFonts w:ascii="Arial" w:eastAsia="Aptos" w:hAnsi="Arial" w:cs="Arial"/>
          <w:sz w:val="22"/>
          <w:szCs w:val="22"/>
        </w:rPr>
        <w:t xml:space="preserve"> and a PRA should not be employed for this purpose (</w:t>
      </w:r>
      <w:r w:rsidR="00BF4BEF">
        <w:rPr>
          <w:rFonts w:ascii="Arial" w:eastAsia="Aptos" w:hAnsi="Arial" w:cs="Arial"/>
          <w:sz w:val="22"/>
          <w:szCs w:val="22"/>
        </w:rPr>
        <w:t>HPT42</w:t>
      </w:r>
      <w:r w:rsidRPr="00113485">
        <w:rPr>
          <w:rFonts w:ascii="Arial" w:eastAsia="Aptos" w:hAnsi="Arial" w:cs="Arial"/>
          <w:sz w:val="22"/>
          <w:szCs w:val="22"/>
        </w:rPr>
        <w:t>-0003).</w:t>
      </w:r>
    </w:p>
    <w:p w:rsidR="004F65DB" w:rsidRPr="002E197A" w:rsidP="002E197A" w14:paraId="25E9CB55" w14:textId="77777777">
      <w:pPr>
        <w:spacing w:after="220"/>
        <w:rPr>
          <w:rFonts w:ascii="Arial" w:hAnsi="Arial" w:cs="Arial"/>
          <w:sz w:val="22"/>
          <w:szCs w:val="22"/>
        </w:rPr>
      </w:pPr>
      <w:r w:rsidRPr="002E197A">
        <w:rPr>
          <w:rFonts w:ascii="Arial" w:hAnsi="Arial" w:cs="Arial"/>
          <w:b/>
          <w:sz w:val="22"/>
          <w:szCs w:val="22"/>
        </w:rPr>
        <w:t xml:space="preserve">NRC Response: </w:t>
      </w:r>
      <w:r w:rsidRPr="002E197A">
        <w:rPr>
          <w:rFonts w:ascii="Arial" w:hAnsi="Arial" w:cs="Arial"/>
          <w:sz w:val="22"/>
          <w:szCs w:val="22"/>
        </w:rPr>
        <w:t>The NRC disagrees with the comments.</w:t>
      </w:r>
    </w:p>
    <w:p w:rsidR="004F65DB" w:rsidRPr="002E197A" w:rsidP="002E197A" w14:paraId="152A3547" w14:textId="77777777">
      <w:pPr>
        <w:spacing w:after="220"/>
        <w:rPr>
          <w:rFonts w:ascii="Arial" w:hAnsi="Arial" w:cs="Arial"/>
          <w:sz w:val="22"/>
          <w:szCs w:val="22"/>
        </w:rPr>
      </w:pPr>
      <w:r w:rsidRPr="002E197A">
        <w:rPr>
          <w:rFonts w:ascii="Arial" w:hAnsi="Arial" w:cs="Arial"/>
          <w:sz w:val="22"/>
          <w:szCs w:val="22"/>
        </w:rPr>
        <w:t>The NRC disagrees with revising 10 CFR 53.450(b)(4) to eliminate the need to identify and assess all plant operating states because plant operating states other than full-power operation can be as important to analyze as full-power operating states. Experience with such analyses for large</w:t>
      </w:r>
      <w:r w:rsidR="00D75AFE">
        <w:rPr>
          <w:rFonts w:ascii="Arial" w:hAnsi="Arial" w:cs="Arial"/>
          <w:sz w:val="22"/>
          <w:szCs w:val="22"/>
        </w:rPr>
        <w:t>-</w:t>
      </w:r>
      <w:r w:rsidRPr="002E197A">
        <w:rPr>
          <w:rFonts w:ascii="Arial" w:hAnsi="Arial" w:cs="Arial"/>
          <w:sz w:val="22"/>
          <w:szCs w:val="22"/>
        </w:rPr>
        <w:t>light-water reactors has demonstrated that the assessed risk associated with other than full-power plant operating states may be greater than for full-power plant operating states.</w:t>
      </w:r>
    </w:p>
    <w:p w:rsidR="004F65DB" w:rsidRPr="002E197A" w:rsidP="002E197A" w14:paraId="0F4A9D84" w14:textId="77777777">
      <w:pPr>
        <w:spacing w:after="220"/>
        <w:rPr>
          <w:rFonts w:ascii="Arial" w:hAnsi="Arial" w:cs="Arial"/>
          <w:sz w:val="22"/>
          <w:szCs w:val="22"/>
        </w:rPr>
      </w:pPr>
      <w:r w:rsidRPr="002E197A">
        <w:rPr>
          <w:rFonts w:ascii="Arial" w:hAnsi="Arial" w:cs="Arial"/>
          <w:sz w:val="22"/>
          <w:szCs w:val="22"/>
        </w:rPr>
        <w:t>The NRC also disagrees that requirements to analyze events beyond DBEs are unlawful. The NRC’s jurisdiction is not limited to design</w:t>
      </w:r>
      <w:r w:rsidR="00FD7FE3">
        <w:rPr>
          <w:rFonts w:ascii="Arial" w:hAnsi="Arial" w:cs="Arial"/>
          <w:sz w:val="22"/>
          <w:szCs w:val="22"/>
        </w:rPr>
        <w:t>-</w:t>
      </w:r>
      <w:r w:rsidRPr="002E197A">
        <w:rPr>
          <w:rFonts w:ascii="Arial" w:hAnsi="Arial" w:cs="Arial"/>
          <w:sz w:val="22"/>
          <w:szCs w:val="22"/>
        </w:rPr>
        <w:t>basis events; the NRC’s existing regulations contain requirements to analyze and mitigate events that are beyond the design basis of a facility to ensure that operating reactors provide an appropriate level of safety. Likewise, 10 CFR Part 53 contains similar requirements to systematically evaluate a spectrum of licensing</w:t>
      </w:r>
      <w:r w:rsidR="00113FE3">
        <w:rPr>
          <w:rFonts w:ascii="Arial" w:hAnsi="Arial" w:cs="Arial"/>
          <w:sz w:val="22"/>
          <w:szCs w:val="22"/>
        </w:rPr>
        <w:noBreakHyphen/>
      </w:r>
      <w:r w:rsidRPr="002E197A">
        <w:rPr>
          <w:rFonts w:ascii="Arial" w:hAnsi="Arial" w:cs="Arial"/>
          <w:sz w:val="22"/>
          <w:szCs w:val="22"/>
        </w:rPr>
        <w:t xml:space="preserve">basis events to </w:t>
      </w:r>
      <w:r w:rsidRPr="002E197A">
        <w:rPr>
          <w:rFonts w:ascii="Arial" w:hAnsi="Arial" w:cs="Arial"/>
          <w:sz w:val="22"/>
          <w:szCs w:val="22"/>
        </w:rPr>
        <w:t xml:space="preserve">appropriately inform the plant’s licensing basis. The NRC disagrees that the required uses of the analyses in 10 CFR 53.450(a) should not include informing the selection of LBEs, as per 10 CFR 53.450(b)(1). The regulatory construct under 10 CFR Part 53 is based on the concept of using systematic analyses to help provide confidence that the identification and evaluation of LBEs, including DBAs, for the operation of a commercial nuclear plant are appropriate and adequate. This construct is foundational to allowing an applicant the flexibility to identify necessary design features and establish their functional design criteria to demonstrate how the high-level safety criteria in 10 CFR 53.210 and 53.220 are met. This is in contrast to the more prescriptive construct in the regulatory frameworks of 10 CFR Part 50 and </w:t>
      </w:r>
      <w:r w:rsidR="0076017E">
        <w:rPr>
          <w:rFonts w:ascii="Arial" w:hAnsi="Arial" w:cs="Arial"/>
          <w:sz w:val="22"/>
          <w:szCs w:val="22"/>
        </w:rPr>
        <w:t xml:space="preserve">10 CFR Part </w:t>
      </w:r>
      <w:r w:rsidRPr="002E197A">
        <w:rPr>
          <w:rFonts w:ascii="Arial" w:hAnsi="Arial" w:cs="Arial"/>
          <w:sz w:val="22"/>
          <w:szCs w:val="22"/>
        </w:rPr>
        <w:t>52 that require meeting specific design rules and criteria.</w:t>
      </w:r>
    </w:p>
    <w:p w:rsidR="004F65DB" w:rsidRPr="002E197A" w:rsidP="002E197A" w14:paraId="3C8997B0" w14:textId="77777777">
      <w:pPr>
        <w:spacing w:after="220"/>
        <w:rPr>
          <w:rFonts w:ascii="Arial" w:hAnsi="Arial" w:cs="Arial"/>
          <w:b/>
          <w:sz w:val="22"/>
          <w:szCs w:val="22"/>
        </w:rPr>
      </w:pPr>
      <w:r w:rsidRPr="002E197A">
        <w:rPr>
          <w:rFonts w:ascii="Arial" w:hAnsi="Arial" w:cs="Arial"/>
          <w:sz w:val="22"/>
          <w:szCs w:val="22"/>
        </w:rPr>
        <w:t>Accordingly, the NRC did not change the rule language in response to these comments.</w:t>
      </w:r>
    </w:p>
    <w:p w:rsidR="000F3D5B" w:rsidRPr="00F97A1B" w:rsidP="002E197A" w14:paraId="058D0066" w14:textId="77777777">
      <w:pPr>
        <w:spacing w:after="220"/>
        <w:rPr>
          <w:rFonts w:ascii="Arial" w:hAnsi="Arial" w:cs="Arial"/>
        </w:rPr>
      </w:pPr>
      <w:r>
        <w:rPr>
          <w:rFonts w:ascii="Arial" w:hAnsi="Arial" w:cs="Arial"/>
        </w:rPr>
        <w:pict>
          <v:rect id="_x0000_i1119" style="width:0;height:1.5pt" o:hralign="center" o:hrstd="t" o:hrnoshade="t" o:hr="t" fillcolor="black" stroked="f"/>
        </w:pict>
      </w:r>
    </w:p>
    <w:p w:rsidR="00EC7450" w:rsidRPr="002E197A" w:rsidP="002E197A" w14:paraId="0D550B25" w14:textId="77777777">
      <w:pPr>
        <w:spacing w:after="220"/>
        <w:rPr>
          <w:rFonts w:ascii="Arial" w:hAnsi="Arial" w:cs="Arial"/>
          <w:sz w:val="22"/>
          <w:szCs w:val="22"/>
        </w:rPr>
      </w:pPr>
      <w:r w:rsidRPr="002E197A">
        <w:rPr>
          <w:rFonts w:ascii="Arial" w:hAnsi="Arial" w:cs="Arial"/>
          <w:b/>
          <w:sz w:val="22"/>
          <w:szCs w:val="22"/>
        </w:rPr>
        <w:t xml:space="preserve">Comment Bin 3.3.2.2.G: </w:t>
      </w:r>
      <w:r w:rsidRPr="002E197A">
        <w:rPr>
          <w:rFonts w:ascii="Arial" w:eastAsia="Times New Roman" w:hAnsi="Arial" w:cs="Arial"/>
          <w:sz w:val="22"/>
          <w:szCs w:val="22"/>
        </w:rPr>
        <w:t xml:space="preserve">In 10 CFR 53.450(c), to be consistent with the Alignment of Licensing Processes and Lessons Learned from New Reactor Licensing rulemaking, a commenter urged the NRC to have the requirement to upgrade analyses be triggered when a new standard is endorsed or </w:t>
      </w:r>
      <w:r w:rsidRPr="00C73CD5">
        <w:rPr>
          <w:rFonts w:ascii="Arial" w:eastAsia="Times New Roman" w:hAnsi="Arial" w:cs="Arial"/>
          <w:sz w:val="22"/>
          <w:szCs w:val="22"/>
        </w:rPr>
        <w:t>a</w:t>
      </w:r>
      <w:r w:rsidRPr="002E197A">
        <w:rPr>
          <w:rFonts w:ascii="Arial" w:eastAsia="Times New Roman" w:hAnsi="Arial" w:cs="Arial"/>
          <w:sz w:val="22"/>
          <w:szCs w:val="22"/>
        </w:rPr>
        <w:t xml:space="preserve"> refueling outage, whichever is later, rather than on what the commenter considered an arbitrary (not performance-based) deadline of every 5 years (</w:t>
      </w:r>
      <w:r w:rsidR="009D6BB9">
        <w:rPr>
          <w:rFonts w:ascii="Arial" w:eastAsia="Times New Roman" w:hAnsi="Arial" w:cs="Arial"/>
          <w:sz w:val="22"/>
          <w:szCs w:val="22"/>
        </w:rPr>
        <w:t>NEI2</w:t>
      </w:r>
      <w:r w:rsidRPr="002E197A">
        <w:rPr>
          <w:rFonts w:ascii="Arial" w:eastAsia="Times New Roman" w:hAnsi="Arial" w:cs="Arial"/>
          <w:sz w:val="22"/>
          <w:szCs w:val="22"/>
        </w:rPr>
        <w:t xml:space="preserve">-0052). </w:t>
      </w:r>
      <w:r w:rsidRPr="002E197A">
        <w:rPr>
          <w:rFonts w:ascii="Arial" w:eastAsia="Aptos" w:hAnsi="Arial" w:cs="Arial"/>
          <w:sz w:val="22"/>
          <w:szCs w:val="22"/>
        </w:rPr>
        <w:t>Another commenter recommended that the proposed requirements should be modified to require PRAs to be revisited periodically or as major events warrant (</w:t>
      </w:r>
      <w:r w:rsidR="00BF4BEF">
        <w:rPr>
          <w:rFonts w:ascii="Arial" w:eastAsia="Aptos" w:hAnsi="Arial" w:cs="Arial"/>
          <w:sz w:val="22"/>
          <w:szCs w:val="22"/>
        </w:rPr>
        <w:t>HPT42</w:t>
      </w:r>
      <w:r w:rsidRPr="002E197A">
        <w:rPr>
          <w:rFonts w:ascii="Arial" w:eastAsia="Aptos" w:hAnsi="Arial" w:cs="Arial"/>
          <w:sz w:val="22"/>
          <w:szCs w:val="22"/>
        </w:rPr>
        <w:t>-0005).</w:t>
      </w:r>
    </w:p>
    <w:p w:rsidR="00EC7450" w:rsidRPr="002E197A" w:rsidP="002E197A" w14:paraId="129945DD" w14:textId="77777777">
      <w:pPr>
        <w:spacing w:after="220"/>
        <w:rPr>
          <w:rFonts w:ascii="Arial" w:hAnsi="Arial" w:cs="Arial"/>
          <w:b/>
          <w:sz w:val="22"/>
          <w:szCs w:val="22"/>
        </w:rPr>
      </w:pPr>
      <w:r w:rsidRPr="002E197A">
        <w:rPr>
          <w:rFonts w:ascii="Arial" w:eastAsia="Times New Roman" w:hAnsi="Arial" w:cs="Arial"/>
          <w:sz w:val="22"/>
          <w:szCs w:val="22"/>
        </w:rPr>
        <w:t>A commenter suggested r</w:t>
      </w:r>
      <w:r w:rsidRPr="002E197A">
        <w:rPr>
          <w:rFonts w:ascii="Arial" w:eastAsia="Aptos" w:hAnsi="Arial" w:cs="Arial"/>
          <w:sz w:val="22"/>
          <w:szCs w:val="22"/>
        </w:rPr>
        <w:t>evising 10 CFR 53.450(c) to remove the requirement for NRC endorsement of codes and standards and require PRAs are reviewed, not maintained, and updated as necessary to reflect the plant’s nuclear safety configuration (</w:t>
      </w:r>
      <w:r w:rsidR="00AE5960">
        <w:rPr>
          <w:rFonts w:ascii="Arial" w:eastAsia="Aptos" w:hAnsi="Arial" w:cs="Arial"/>
          <w:sz w:val="22"/>
          <w:szCs w:val="22"/>
        </w:rPr>
        <w:t>HPT13</w:t>
      </w:r>
      <w:r w:rsidRPr="002E197A">
        <w:rPr>
          <w:rFonts w:ascii="Arial" w:eastAsia="Aptos" w:hAnsi="Arial" w:cs="Arial"/>
          <w:sz w:val="22"/>
          <w:szCs w:val="22"/>
        </w:rPr>
        <w:t>-</w:t>
      </w:r>
      <w:r w:rsidRPr="002E197A">
        <w:rPr>
          <w:rFonts w:ascii="Arial" w:hAnsi="Arial" w:cs="Arial"/>
          <w:sz w:val="22"/>
          <w:szCs w:val="22"/>
        </w:rPr>
        <w:t xml:space="preserve">0001, </w:t>
      </w:r>
      <w:r w:rsidR="00421274">
        <w:rPr>
          <w:rFonts w:ascii="Arial" w:hAnsi="Arial" w:cs="Arial"/>
          <w:sz w:val="22"/>
          <w:szCs w:val="22"/>
        </w:rPr>
        <w:br/>
      </w:r>
      <w:r w:rsidR="00AE5960">
        <w:rPr>
          <w:rFonts w:ascii="Arial" w:eastAsia="Aptos" w:hAnsi="Arial" w:cs="Arial"/>
          <w:sz w:val="22"/>
          <w:szCs w:val="22"/>
        </w:rPr>
        <w:t>HPT13</w:t>
      </w:r>
      <w:r w:rsidRPr="002E197A">
        <w:rPr>
          <w:rFonts w:ascii="Arial" w:eastAsia="Aptos" w:hAnsi="Arial" w:cs="Arial"/>
          <w:sz w:val="22"/>
          <w:szCs w:val="22"/>
        </w:rPr>
        <w:t>-0002).</w:t>
      </w:r>
    </w:p>
    <w:p w:rsidR="00EC7450" w:rsidRPr="002E197A" w:rsidP="002E197A" w14:paraId="1D19E456" w14:textId="77777777">
      <w:pPr>
        <w:spacing w:after="220"/>
        <w:rPr>
          <w:rFonts w:ascii="Arial" w:hAnsi="Arial" w:cs="Arial"/>
          <w:sz w:val="22"/>
          <w:szCs w:val="22"/>
        </w:rPr>
      </w:pPr>
      <w:r w:rsidRPr="002E197A">
        <w:rPr>
          <w:rFonts w:ascii="Arial" w:hAnsi="Arial" w:cs="Arial"/>
          <w:b/>
          <w:sz w:val="22"/>
          <w:szCs w:val="22"/>
        </w:rPr>
        <w:t xml:space="preserve">NRC Response: </w:t>
      </w:r>
      <w:r w:rsidRPr="002E197A">
        <w:rPr>
          <w:rFonts w:ascii="Arial" w:hAnsi="Arial" w:cs="Arial"/>
          <w:sz w:val="22"/>
          <w:szCs w:val="22"/>
        </w:rPr>
        <w:t>The NRC disagrees with the comments.</w:t>
      </w:r>
    </w:p>
    <w:p w:rsidR="00EC7450" w:rsidRPr="002E197A" w:rsidP="002E197A" w14:paraId="055981CD" w14:textId="77777777">
      <w:pPr>
        <w:spacing w:after="220"/>
        <w:rPr>
          <w:rFonts w:ascii="Arial" w:hAnsi="Arial" w:cs="Arial"/>
          <w:sz w:val="22"/>
          <w:szCs w:val="22"/>
        </w:rPr>
      </w:pPr>
      <w:r w:rsidRPr="002E197A">
        <w:rPr>
          <w:rFonts w:ascii="Arial" w:hAnsi="Arial" w:cs="Arial"/>
          <w:sz w:val="22"/>
          <w:szCs w:val="22"/>
        </w:rPr>
        <w:t xml:space="preserve">The NRC disagrees with the comments suggesting </w:t>
      </w:r>
      <w:r w:rsidRPr="002E197A">
        <w:rPr>
          <w:rFonts w:ascii="Arial" w:eastAsia="Times New Roman" w:hAnsi="Arial" w:cs="Arial"/>
          <w:sz w:val="22"/>
          <w:szCs w:val="22"/>
        </w:rPr>
        <w:t xml:space="preserve">the requirement in 10 CFR 53.450(c) be triggered only when a new PRA standard is endorsed or </w:t>
      </w:r>
      <w:r w:rsidRPr="00C73CD5">
        <w:rPr>
          <w:rFonts w:ascii="Arial" w:eastAsia="Times New Roman" w:hAnsi="Arial" w:cs="Arial"/>
          <w:sz w:val="22"/>
          <w:szCs w:val="22"/>
        </w:rPr>
        <w:t>a</w:t>
      </w:r>
      <w:r w:rsidRPr="002E197A">
        <w:rPr>
          <w:rFonts w:ascii="Arial" w:eastAsia="Times New Roman" w:hAnsi="Arial" w:cs="Arial"/>
          <w:sz w:val="22"/>
          <w:szCs w:val="22"/>
        </w:rPr>
        <w:t xml:space="preserve"> refueling outage or only on an as</w:t>
      </w:r>
      <w:r w:rsidRPr="002E197A">
        <w:rPr>
          <w:rFonts w:ascii="Arial" w:eastAsia="Times New Roman" w:hAnsi="Arial" w:cs="Arial"/>
          <w:sz w:val="22"/>
          <w:szCs w:val="22"/>
        </w:rPr>
        <w:noBreakHyphen/>
        <w:t>needed basis</w:t>
      </w:r>
      <w:r w:rsidRPr="002E197A">
        <w:rPr>
          <w:rFonts w:ascii="Arial" w:hAnsi="Arial" w:cs="Arial"/>
          <w:sz w:val="22"/>
          <w:szCs w:val="22"/>
        </w:rPr>
        <w:t>. The PRA, other SREs, or combination thereof used to establish the licensing basis need to be updated on a periodic frequency. Doing so at a minimum in</w:t>
      </w:r>
      <w:r w:rsidRPr="002E197A" w:rsidR="00556568">
        <w:rPr>
          <w:rFonts w:ascii="Arial" w:hAnsi="Arial" w:cs="Arial"/>
          <w:sz w:val="22"/>
          <w:szCs w:val="22"/>
        </w:rPr>
        <w:t xml:space="preserve"> </w:t>
      </w:r>
      <w:r w:rsidRPr="002E197A">
        <w:rPr>
          <w:rFonts w:ascii="Arial" w:hAnsi="Arial" w:cs="Arial"/>
          <w:sz w:val="22"/>
          <w:szCs w:val="22"/>
        </w:rPr>
        <w:t>five</w:t>
      </w:r>
      <w:r w:rsidR="00851D92">
        <w:rPr>
          <w:rFonts w:ascii="Arial" w:hAnsi="Arial" w:cs="Arial"/>
          <w:sz w:val="22"/>
          <w:szCs w:val="22"/>
        </w:rPr>
        <w:noBreakHyphen/>
      </w:r>
      <w:r w:rsidRPr="002E197A">
        <w:rPr>
          <w:rFonts w:ascii="Arial" w:hAnsi="Arial" w:cs="Arial"/>
          <w:sz w:val="22"/>
          <w:szCs w:val="22"/>
        </w:rPr>
        <w:t>year intervals appropriately accounts for potential changes in facility design, external hazards, and plant</w:t>
      </w:r>
      <w:r w:rsidR="00DA7605">
        <w:rPr>
          <w:rFonts w:ascii="Arial" w:hAnsi="Arial" w:cs="Arial"/>
          <w:sz w:val="22"/>
          <w:szCs w:val="22"/>
        </w:rPr>
        <w:noBreakHyphen/>
      </w:r>
      <w:r w:rsidRPr="002E197A">
        <w:rPr>
          <w:rFonts w:ascii="Arial" w:hAnsi="Arial" w:cs="Arial"/>
          <w:sz w:val="22"/>
          <w:szCs w:val="22"/>
        </w:rPr>
        <w:t>specific or generic operating experience and ensures the configuration and operation of the as</w:t>
      </w:r>
      <w:r w:rsidR="00DA7605">
        <w:rPr>
          <w:rFonts w:ascii="Arial" w:hAnsi="Arial" w:cs="Arial"/>
          <w:sz w:val="22"/>
          <w:szCs w:val="22"/>
        </w:rPr>
        <w:noBreakHyphen/>
      </w:r>
      <w:r w:rsidRPr="002E197A">
        <w:rPr>
          <w:rFonts w:ascii="Arial" w:hAnsi="Arial" w:cs="Arial"/>
          <w:sz w:val="22"/>
          <w:szCs w:val="22"/>
        </w:rPr>
        <w:t>operated, as-built facility continues to be appropriately represented in the analyses required under 10 CFR 53.450.</w:t>
      </w:r>
    </w:p>
    <w:p w:rsidR="00EC7450" w:rsidRPr="002E197A" w:rsidP="002E197A" w14:paraId="55D53EAF" w14:textId="77777777">
      <w:pPr>
        <w:spacing w:after="220"/>
        <w:rPr>
          <w:rFonts w:ascii="Arial" w:hAnsi="Arial" w:cs="Arial"/>
          <w:sz w:val="22"/>
          <w:szCs w:val="22"/>
        </w:rPr>
      </w:pPr>
      <w:r w:rsidRPr="002E197A">
        <w:rPr>
          <w:rFonts w:ascii="Arial" w:hAnsi="Arial" w:cs="Arial"/>
          <w:sz w:val="22"/>
          <w:szCs w:val="22"/>
        </w:rPr>
        <w:t>The NRC disagrees with revising 10 CFR 53.450(c) to remove the portion related to NRC</w:t>
      </w:r>
      <w:r w:rsidR="00DA7605">
        <w:rPr>
          <w:rFonts w:ascii="Arial" w:hAnsi="Arial" w:cs="Arial"/>
          <w:sz w:val="22"/>
          <w:szCs w:val="22"/>
        </w:rPr>
        <w:noBreakHyphen/>
      </w:r>
      <w:r w:rsidRPr="002E197A">
        <w:rPr>
          <w:rFonts w:ascii="Arial" w:hAnsi="Arial" w:cs="Arial"/>
          <w:sz w:val="22"/>
          <w:szCs w:val="22"/>
        </w:rPr>
        <w:t xml:space="preserve">endorsed standards; ensuring adequate updates is critical given the central role the PRA, other SRE, or combination thereof </w:t>
      </w:r>
      <w:r w:rsidRPr="00C73CD5">
        <w:rPr>
          <w:rFonts w:ascii="Arial" w:hAnsi="Arial" w:cs="Arial"/>
          <w:sz w:val="22"/>
          <w:szCs w:val="22"/>
        </w:rPr>
        <w:t>play</w:t>
      </w:r>
      <w:r w:rsidRPr="002E197A">
        <w:rPr>
          <w:rFonts w:ascii="Arial" w:hAnsi="Arial" w:cs="Arial"/>
          <w:sz w:val="22"/>
          <w:szCs w:val="22"/>
        </w:rPr>
        <w:t xml:space="preserve"> in the 10 CFR Part 53 licensing framework. However, as described in the response to </w:t>
      </w:r>
      <w:r w:rsidRPr="00C73CD5">
        <w:rPr>
          <w:rFonts w:ascii="Arial" w:hAnsi="Arial" w:cs="Arial"/>
          <w:sz w:val="22"/>
          <w:szCs w:val="22"/>
        </w:rPr>
        <w:t>Comment Bin</w:t>
      </w:r>
      <w:r w:rsidRPr="002E197A">
        <w:rPr>
          <w:rFonts w:ascii="Arial" w:hAnsi="Arial" w:cs="Arial"/>
          <w:sz w:val="22"/>
          <w:szCs w:val="22"/>
        </w:rPr>
        <w:t xml:space="preserve"> 3.3.2.1</w:t>
      </w:r>
      <w:r w:rsidRPr="00C331DB">
        <w:rPr>
          <w:rFonts w:ascii="Arial" w:hAnsi="Arial" w:cs="Arial"/>
          <w:sz w:val="22"/>
          <w:szCs w:val="22"/>
        </w:rPr>
        <w:t>.A</w:t>
      </w:r>
      <w:r w:rsidRPr="002E197A">
        <w:rPr>
          <w:rFonts w:ascii="Arial" w:hAnsi="Arial" w:cs="Arial"/>
          <w:sz w:val="22"/>
          <w:szCs w:val="22"/>
        </w:rPr>
        <w:t>, related changes to the rule language have been affected in 10 CFR 53.440(b).</w:t>
      </w:r>
    </w:p>
    <w:p w:rsidR="00EC7450" w:rsidRPr="002E197A" w:rsidP="002E197A" w14:paraId="70D295AA" w14:textId="77777777">
      <w:pPr>
        <w:spacing w:after="220"/>
        <w:rPr>
          <w:rFonts w:ascii="Arial" w:hAnsi="Arial" w:cs="Arial"/>
          <w:sz w:val="22"/>
          <w:szCs w:val="22"/>
        </w:rPr>
      </w:pPr>
      <w:r w:rsidRPr="002E197A">
        <w:rPr>
          <w:rFonts w:ascii="Arial" w:hAnsi="Arial" w:cs="Arial"/>
          <w:sz w:val="22"/>
          <w:szCs w:val="22"/>
        </w:rPr>
        <w:t>The NRC also disagrees with replacing the requirement to maintain PRAs, other SREs, or combination thereof, with requirements to review and update those analyses as necessary to reflect a plant’s nuclear safety configuration because doing so could exclude addressing maintenance of those analyses that do not involve changes to a plant’s configuration, such as updating analysis parameters with operating experience.</w:t>
      </w:r>
    </w:p>
    <w:p w:rsidR="00EC7450" w:rsidP="002E197A" w14:paraId="59C48FA5" w14:textId="77777777">
      <w:pPr>
        <w:spacing w:after="220"/>
        <w:rPr>
          <w:rFonts w:ascii="Arial" w:hAnsi="Arial" w:cs="Arial"/>
          <w:sz w:val="22"/>
          <w:szCs w:val="22"/>
        </w:rPr>
      </w:pPr>
      <w:r w:rsidRPr="00C73CD5">
        <w:rPr>
          <w:rFonts w:ascii="Arial" w:hAnsi="Arial" w:cs="Arial"/>
          <w:sz w:val="22"/>
          <w:szCs w:val="22"/>
        </w:rPr>
        <w:t>Accordingly</w:t>
      </w:r>
      <w:r w:rsidRPr="002E197A">
        <w:rPr>
          <w:rFonts w:ascii="Arial" w:hAnsi="Arial" w:cs="Arial"/>
          <w:sz w:val="22"/>
          <w:szCs w:val="22"/>
        </w:rPr>
        <w:t xml:space="preserve">, the NRC did not change the rule language in 10 CFR 53.450(c) in response to </w:t>
      </w:r>
      <w:r w:rsidRPr="00C73CD5">
        <w:rPr>
          <w:rFonts w:ascii="Arial" w:hAnsi="Arial" w:cs="Arial"/>
          <w:sz w:val="22"/>
          <w:szCs w:val="22"/>
        </w:rPr>
        <w:t>these</w:t>
      </w:r>
      <w:r w:rsidRPr="002E197A">
        <w:rPr>
          <w:rFonts w:ascii="Arial" w:hAnsi="Arial" w:cs="Arial"/>
          <w:sz w:val="22"/>
          <w:szCs w:val="22"/>
        </w:rPr>
        <w:t xml:space="preserve"> comments.</w:t>
      </w:r>
    </w:p>
    <w:p w:rsidR="00297214" w:rsidRPr="002E197A" w:rsidP="002E197A" w14:paraId="64C79491" w14:textId="77777777">
      <w:pPr>
        <w:spacing w:after="220"/>
        <w:rPr>
          <w:rFonts w:ascii="Arial" w:hAnsi="Arial" w:cs="Arial"/>
          <w:b/>
          <w:sz w:val="22"/>
          <w:szCs w:val="22"/>
        </w:rPr>
      </w:pPr>
      <w:r>
        <w:rPr>
          <w:rFonts w:ascii="Arial" w:hAnsi="Arial" w:cs="Arial"/>
        </w:rPr>
        <w:pict>
          <v:rect id="_x0000_i1120" style="width:0;height:1.5pt" o:hralign="center" o:hrstd="t" o:hrnoshade="t" o:hr="t" fillcolor="black" stroked="f"/>
        </w:pict>
      </w:r>
    </w:p>
    <w:p w:rsidR="00EC7450" w:rsidRPr="002E197A" w:rsidP="002E197A" w14:paraId="579B6088" w14:textId="77777777">
      <w:pPr>
        <w:spacing w:after="220"/>
        <w:rPr>
          <w:rFonts w:ascii="Arial" w:hAnsi="Arial" w:cs="Arial"/>
          <w:b/>
          <w:sz w:val="22"/>
          <w:szCs w:val="22"/>
        </w:rPr>
      </w:pPr>
      <w:r w:rsidRPr="002E197A">
        <w:rPr>
          <w:rFonts w:ascii="Arial" w:hAnsi="Arial" w:cs="Arial"/>
          <w:b/>
          <w:sz w:val="22"/>
          <w:szCs w:val="22"/>
        </w:rPr>
        <w:t xml:space="preserve">Comment Bin 3.3.2.2.H: </w:t>
      </w:r>
      <w:r w:rsidRPr="002E197A">
        <w:rPr>
          <w:rFonts w:ascii="Arial" w:eastAsia="Aptos" w:hAnsi="Arial" w:cs="Arial"/>
          <w:sz w:val="22"/>
          <w:szCs w:val="22"/>
        </w:rPr>
        <w:t>A commenter urged the NRC to clarify how the NRC will maintain oversight of applicants’ quality control for their PRA models and inputs, as well as consistency across different plants and applicants, noting that the NRC is pursuing a new approach with little operational history and that while PRA can be a valuable tool, it has inherent uncertainties (</w:t>
      </w:r>
      <w:r w:rsidR="00E36F7E">
        <w:rPr>
          <w:rFonts w:ascii="Arial" w:eastAsia="Aptos" w:hAnsi="Arial" w:cs="Arial"/>
          <w:sz w:val="22"/>
          <w:szCs w:val="22"/>
        </w:rPr>
        <w:t>NYS2</w:t>
      </w:r>
      <w:r w:rsidRPr="002E197A">
        <w:rPr>
          <w:rFonts w:ascii="Arial" w:eastAsia="Aptos" w:hAnsi="Arial" w:cs="Arial"/>
          <w:sz w:val="22"/>
          <w:szCs w:val="22"/>
        </w:rPr>
        <w:t>-0004).</w:t>
      </w:r>
      <w:r w:rsidRPr="002E197A">
        <w:rPr>
          <w:rFonts w:ascii="Arial" w:hAnsi="Arial" w:cs="Arial"/>
          <w:sz w:val="22"/>
          <w:szCs w:val="22"/>
        </w:rPr>
        <w:t> </w:t>
      </w:r>
    </w:p>
    <w:p w:rsidR="00EC7450" w:rsidRPr="002E197A" w:rsidP="002E197A" w14:paraId="7ED323C9" w14:textId="77777777">
      <w:pPr>
        <w:spacing w:after="220"/>
        <w:rPr>
          <w:rFonts w:ascii="Arial" w:hAnsi="Arial" w:cs="Arial"/>
          <w:sz w:val="22"/>
          <w:szCs w:val="22"/>
        </w:rPr>
      </w:pPr>
      <w:r w:rsidRPr="002E197A">
        <w:rPr>
          <w:rFonts w:ascii="Arial" w:hAnsi="Arial" w:cs="Arial"/>
          <w:b/>
          <w:sz w:val="22"/>
          <w:szCs w:val="22"/>
        </w:rPr>
        <w:t xml:space="preserve">NRC Response: </w:t>
      </w:r>
      <w:r w:rsidRPr="002E197A">
        <w:rPr>
          <w:rFonts w:ascii="Arial" w:hAnsi="Arial" w:cs="Arial"/>
          <w:sz w:val="22"/>
          <w:szCs w:val="22"/>
        </w:rPr>
        <w:t>The NRC agrees, in part, with th</w:t>
      </w:r>
      <w:r w:rsidR="00DA7605">
        <w:rPr>
          <w:rFonts w:ascii="Arial" w:hAnsi="Arial" w:cs="Arial"/>
          <w:sz w:val="22"/>
          <w:szCs w:val="22"/>
        </w:rPr>
        <w:t>e</w:t>
      </w:r>
      <w:r w:rsidRPr="002E197A">
        <w:rPr>
          <w:rFonts w:ascii="Arial" w:hAnsi="Arial" w:cs="Arial"/>
          <w:sz w:val="22"/>
          <w:szCs w:val="22"/>
        </w:rPr>
        <w:t xml:space="preserve"> comment.</w:t>
      </w:r>
    </w:p>
    <w:p w:rsidR="00EC7450" w:rsidRPr="002E197A" w:rsidP="002E197A" w14:paraId="0510C2D2" w14:textId="77777777">
      <w:pPr>
        <w:spacing w:after="220"/>
        <w:rPr>
          <w:rFonts w:ascii="Arial" w:hAnsi="Arial" w:cs="Arial"/>
          <w:sz w:val="22"/>
          <w:szCs w:val="22"/>
        </w:rPr>
      </w:pPr>
      <w:r w:rsidRPr="002E197A">
        <w:rPr>
          <w:rFonts w:ascii="Arial" w:hAnsi="Arial" w:cs="Arial"/>
          <w:sz w:val="22"/>
          <w:szCs w:val="22"/>
        </w:rPr>
        <w:t>The NRC agrees that maintaining oversight of the applicant’s quality control for the PRA, other SRE, or combination thereof will be essential. However, the NRC disagrees that additional clarity is needed because</w:t>
      </w:r>
      <w:r w:rsidR="008B543A">
        <w:rPr>
          <w:rFonts w:ascii="Arial" w:hAnsi="Arial" w:cs="Arial"/>
          <w:sz w:val="22"/>
          <w:szCs w:val="22"/>
        </w:rPr>
        <w:t xml:space="preserve"> </w:t>
      </w:r>
      <w:r w:rsidRPr="002E197A">
        <w:rPr>
          <w:rFonts w:ascii="Arial" w:hAnsi="Arial" w:cs="Arial"/>
          <w:sz w:val="22"/>
          <w:szCs w:val="22"/>
        </w:rPr>
        <w:t>10 CFR 53.450(c) already requires the maintenance and upgrade of analyses required in 10 CFR 53.450 and the requirements in 10 CFR Part 53, Subpart I, address maintaining and revising licensing-basis information. The NRC will perform oversight functions similar to that for currently operating reactors to ensure licensing-basis information for a given facility remains in compliance with performance-based regulatory requirements, including the use of PRA models and inputs.</w:t>
      </w:r>
    </w:p>
    <w:p w:rsidR="00102CD9" w:rsidRPr="00A553BF" w:rsidP="002E197A" w14:paraId="6F0E9BDF" w14:textId="77777777">
      <w:pPr>
        <w:spacing w:after="220"/>
        <w:rPr>
          <w:rFonts w:ascii="Arial" w:hAnsi="Arial" w:cs="Arial"/>
        </w:rPr>
      </w:pPr>
      <w:r w:rsidRPr="002E197A">
        <w:rPr>
          <w:rFonts w:ascii="Arial" w:eastAsia="DengXian" w:hAnsi="Arial" w:cs="Arial"/>
          <w:sz w:val="22"/>
          <w:szCs w:val="22"/>
          <w:lang w:eastAsia="ja-JP"/>
        </w:rPr>
        <w:t>Accordingly, the NRC did not change the rule language in response to this comment.</w:t>
      </w:r>
      <w:r>
        <w:rPr>
          <w:rFonts w:ascii="Arial" w:hAnsi="Arial" w:cs="Arial"/>
        </w:rPr>
        <w:pict>
          <v:rect id="_x0000_i1121" style="width:0;height:1.5pt" o:hralign="center" o:hrstd="t" o:hrnoshade="t" o:hr="t" fillcolor="black" stroked="f"/>
        </w:pict>
      </w:r>
    </w:p>
    <w:p w:rsidR="00F44224" w:rsidRPr="002E197A" w:rsidP="002E197A" w14:paraId="1E7EB2F3" w14:textId="77777777">
      <w:pPr>
        <w:spacing w:after="220"/>
        <w:rPr>
          <w:rFonts w:ascii="Arial" w:eastAsia="Times New Roman" w:hAnsi="Arial" w:cs="Arial"/>
          <w:sz w:val="22"/>
          <w:szCs w:val="22"/>
        </w:rPr>
      </w:pPr>
      <w:r w:rsidRPr="00DA7605">
        <w:rPr>
          <w:rFonts w:ascii="Arial" w:hAnsi="Arial" w:cs="Arial"/>
          <w:b/>
          <w:sz w:val="22"/>
          <w:szCs w:val="22"/>
        </w:rPr>
        <w:t xml:space="preserve">Comment Bin </w:t>
      </w:r>
      <w:r w:rsidRPr="00DA7605" w:rsidR="00A87379">
        <w:rPr>
          <w:rFonts w:ascii="Arial" w:hAnsi="Arial" w:cs="Arial"/>
          <w:b/>
          <w:sz w:val="22"/>
          <w:szCs w:val="22"/>
        </w:rPr>
        <w:t>3.3.2.2.I</w:t>
      </w:r>
      <w:r w:rsidRPr="00DA7605" w:rsidR="00804B97">
        <w:rPr>
          <w:rFonts w:ascii="Arial" w:hAnsi="Arial" w:cs="Arial"/>
          <w:b/>
          <w:sz w:val="22"/>
          <w:szCs w:val="22"/>
        </w:rPr>
        <w:t>:</w:t>
      </w:r>
      <w:r w:rsidRPr="002E197A" w:rsidR="004818E4">
        <w:rPr>
          <w:rFonts w:ascii="Arial" w:hAnsi="Arial" w:cs="Arial"/>
          <w:b/>
          <w:sz w:val="22"/>
          <w:szCs w:val="22"/>
        </w:rPr>
        <w:t xml:space="preserve"> </w:t>
      </w:r>
      <w:r w:rsidRPr="002E197A">
        <w:rPr>
          <w:rFonts w:ascii="Arial" w:eastAsia="Aptos" w:hAnsi="Arial" w:cs="Arial"/>
          <w:sz w:val="22"/>
          <w:szCs w:val="22"/>
        </w:rPr>
        <w:t>A commenter stated that the qualification of codes and standards, including PRA, for existing designs still remain incomplete, so it would be impossible to meet the requirement in 10 CFR 53.450(d) for a first of a kind or prototype reactor, as there is insufficient data for qualification for the range of conditions for which they are to be used. The commenter recommended the NRC define more precisely the licensing and approval process to be used to handle new concepts and designs with limited data or qualification capability, both with and without a prototype (</w:t>
      </w:r>
      <w:r w:rsidR="00A02F0C">
        <w:rPr>
          <w:rFonts w:ascii="Arial" w:eastAsia="Aptos" w:hAnsi="Arial" w:cs="Arial"/>
          <w:sz w:val="22"/>
          <w:szCs w:val="22"/>
        </w:rPr>
        <w:t>RD</w:t>
      </w:r>
      <w:r w:rsidRPr="002E197A">
        <w:rPr>
          <w:rFonts w:ascii="Arial" w:eastAsia="Aptos" w:hAnsi="Arial" w:cs="Arial"/>
          <w:sz w:val="22"/>
          <w:szCs w:val="22"/>
        </w:rPr>
        <w:t>-0021).</w:t>
      </w:r>
    </w:p>
    <w:p w:rsidR="00F44224" w:rsidRPr="002E197A" w:rsidP="002E197A" w14:paraId="7DA3CE58" w14:textId="77777777">
      <w:pPr>
        <w:spacing w:after="220"/>
        <w:rPr>
          <w:rFonts w:ascii="Arial" w:eastAsia="Aptos" w:hAnsi="Arial" w:cs="Arial"/>
          <w:sz w:val="22"/>
          <w:szCs w:val="22"/>
        </w:rPr>
      </w:pPr>
      <w:r w:rsidRPr="002E197A">
        <w:rPr>
          <w:rFonts w:ascii="Arial" w:eastAsia="Times New Roman" w:hAnsi="Arial" w:cs="Arial"/>
          <w:sz w:val="22"/>
          <w:szCs w:val="22"/>
        </w:rPr>
        <w:t>Another commenter suggested r</w:t>
      </w:r>
      <w:r w:rsidRPr="002E197A">
        <w:rPr>
          <w:rFonts w:ascii="Arial" w:eastAsia="Aptos" w:hAnsi="Arial" w:cs="Arial"/>
          <w:sz w:val="22"/>
          <w:szCs w:val="22"/>
        </w:rPr>
        <w:t>evising 10 CFR 53.450(d) to require applicants to identify the key consensus codes and standards employed (</w:t>
      </w:r>
      <w:r w:rsidR="00AE5960">
        <w:rPr>
          <w:rFonts w:ascii="Arial" w:eastAsia="Aptos" w:hAnsi="Arial" w:cs="Arial"/>
          <w:sz w:val="22"/>
          <w:szCs w:val="22"/>
        </w:rPr>
        <w:t>HPT13</w:t>
      </w:r>
      <w:r w:rsidRPr="002E197A">
        <w:rPr>
          <w:rFonts w:ascii="Arial" w:eastAsia="Aptos" w:hAnsi="Arial" w:cs="Arial"/>
          <w:sz w:val="22"/>
          <w:szCs w:val="22"/>
        </w:rPr>
        <w:t>-</w:t>
      </w:r>
      <w:r w:rsidRPr="002E197A">
        <w:rPr>
          <w:rFonts w:ascii="Arial" w:hAnsi="Arial" w:cs="Arial"/>
          <w:sz w:val="22"/>
          <w:szCs w:val="22"/>
        </w:rPr>
        <w:t xml:space="preserve">0001, </w:t>
      </w:r>
      <w:r w:rsidR="00AE5960">
        <w:rPr>
          <w:rFonts w:ascii="Arial" w:eastAsia="Aptos" w:hAnsi="Arial" w:cs="Arial"/>
          <w:sz w:val="22"/>
          <w:szCs w:val="22"/>
        </w:rPr>
        <w:t>HPT13</w:t>
      </w:r>
      <w:r w:rsidRPr="002E197A">
        <w:rPr>
          <w:rFonts w:ascii="Arial" w:eastAsia="Aptos" w:hAnsi="Arial" w:cs="Arial"/>
          <w:sz w:val="22"/>
          <w:szCs w:val="22"/>
        </w:rPr>
        <w:t>-0002).</w:t>
      </w:r>
    </w:p>
    <w:p w:rsidR="00A87379" w:rsidRPr="00DA7605" w:rsidP="002E197A" w14:paraId="102FFD68" w14:textId="77777777">
      <w:pPr>
        <w:spacing w:after="220"/>
        <w:rPr>
          <w:rFonts w:ascii="Arial" w:hAnsi="Arial" w:cs="Arial"/>
          <w:b/>
          <w:sz w:val="22"/>
          <w:szCs w:val="22"/>
        </w:rPr>
      </w:pPr>
      <w:r w:rsidRPr="002E197A">
        <w:rPr>
          <w:rFonts w:ascii="Arial" w:eastAsia="Times New Roman" w:hAnsi="Arial" w:cs="Arial"/>
          <w:sz w:val="22"/>
          <w:szCs w:val="22"/>
        </w:rPr>
        <w:t>Other commenters stated that the language in 10 CFR 53.450(d) could bar software used for PRA that cannot be qualified in the traditional sense of RG 1.203 compliance, and urged the NRC revise the requirement so that it refers to “physics-based” analyses, to maintain the PRA acceptability and qualification of codes used as part of current industry practice (e.g.,</w:t>
      </w:r>
      <w:r w:rsidR="00DA7605">
        <w:rPr>
          <w:rFonts w:ascii="Arial" w:eastAsia="Times New Roman" w:hAnsi="Arial" w:cs="Arial"/>
          <w:sz w:val="22"/>
          <w:szCs w:val="22"/>
        </w:rPr>
        <w:t> </w:t>
      </w:r>
      <w:r w:rsidRPr="002E197A">
        <w:rPr>
          <w:rFonts w:ascii="Arial" w:eastAsia="Times New Roman" w:hAnsi="Arial" w:cs="Arial"/>
          <w:sz w:val="22"/>
          <w:szCs w:val="22"/>
        </w:rPr>
        <w:t>CAFTA, SAPHIRE, FTREX, and PRAQUANT) (</w:t>
      </w:r>
      <w:r w:rsidR="009D6BB9">
        <w:rPr>
          <w:rFonts w:ascii="Arial" w:eastAsia="Times New Roman" w:hAnsi="Arial" w:cs="Arial"/>
          <w:sz w:val="22"/>
          <w:szCs w:val="22"/>
        </w:rPr>
        <w:t>NEI2</w:t>
      </w:r>
      <w:r w:rsidRPr="002E197A">
        <w:rPr>
          <w:rFonts w:ascii="Arial" w:eastAsia="Times New Roman" w:hAnsi="Arial" w:cs="Arial"/>
          <w:sz w:val="22"/>
          <w:szCs w:val="22"/>
        </w:rPr>
        <w:t xml:space="preserve">-0053, </w:t>
      </w:r>
      <w:r w:rsidR="00DF6CD2">
        <w:rPr>
          <w:rFonts w:ascii="Arial" w:eastAsia="Aptos" w:hAnsi="Arial" w:cs="Arial"/>
          <w:sz w:val="22"/>
          <w:szCs w:val="22"/>
        </w:rPr>
        <w:t>NEI3</w:t>
      </w:r>
      <w:r w:rsidRPr="002E197A">
        <w:rPr>
          <w:rFonts w:ascii="Arial" w:eastAsia="Aptos" w:hAnsi="Arial" w:cs="Arial"/>
          <w:sz w:val="22"/>
          <w:szCs w:val="22"/>
        </w:rPr>
        <w:t>-0010</w:t>
      </w:r>
      <w:r w:rsidRPr="002E197A">
        <w:rPr>
          <w:rFonts w:ascii="Arial" w:eastAsia="Times New Roman" w:hAnsi="Arial" w:cs="Arial"/>
          <w:sz w:val="22"/>
          <w:szCs w:val="22"/>
        </w:rPr>
        <w:t>).</w:t>
      </w:r>
    </w:p>
    <w:p w:rsidR="00F44224" w:rsidRPr="002E197A" w:rsidP="002E197A" w14:paraId="1C1946F1" w14:textId="77777777">
      <w:pPr>
        <w:spacing w:after="220"/>
        <w:rPr>
          <w:rFonts w:ascii="Arial" w:hAnsi="Arial" w:cs="Arial"/>
          <w:sz w:val="22"/>
          <w:szCs w:val="22"/>
        </w:rPr>
      </w:pPr>
      <w:r w:rsidRPr="00DA7605">
        <w:rPr>
          <w:rFonts w:ascii="Arial" w:hAnsi="Arial" w:cs="Arial"/>
          <w:b/>
          <w:sz w:val="22"/>
          <w:szCs w:val="22"/>
        </w:rPr>
        <w:t>NRC Response:</w:t>
      </w:r>
      <w:r w:rsidRPr="002E197A">
        <w:rPr>
          <w:rFonts w:ascii="Arial" w:hAnsi="Arial" w:cs="Arial"/>
          <w:b/>
          <w:sz w:val="22"/>
          <w:szCs w:val="22"/>
        </w:rPr>
        <w:t xml:space="preserve"> </w:t>
      </w:r>
      <w:r w:rsidRPr="002E197A">
        <w:rPr>
          <w:rFonts w:ascii="Arial" w:hAnsi="Arial" w:cs="Arial"/>
          <w:sz w:val="22"/>
          <w:szCs w:val="22"/>
        </w:rPr>
        <w:t>The NRC agrees, in part, with the comments.</w:t>
      </w:r>
    </w:p>
    <w:p w:rsidR="00F44224" w:rsidRPr="00C331DB" w:rsidP="00EF3BBF" w14:paraId="10C33BF5" w14:textId="77777777">
      <w:pPr>
        <w:rPr>
          <w:rFonts w:ascii="Arial" w:hAnsi="Arial" w:cs="Arial"/>
          <w:sz w:val="22"/>
          <w:szCs w:val="22"/>
        </w:rPr>
      </w:pPr>
      <w:r w:rsidRPr="002E197A">
        <w:rPr>
          <w:rFonts w:ascii="Arial" w:hAnsi="Arial" w:cs="Arial"/>
          <w:sz w:val="22"/>
          <w:szCs w:val="22"/>
        </w:rPr>
        <w:t xml:space="preserve">Regarding the </w:t>
      </w:r>
      <w:r w:rsidRPr="00C331DB">
        <w:rPr>
          <w:rFonts w:ascii="Arial" w:hAnsi="Arial" w:cs="Arial"/>
          <w:sz w:val="22"/>
          <w:szCs w:val="22"/>
        </w:rPr>
        <w:t>statement</w:t>
      </w:r>
      <w:r w:rsidRPr="002E197A">
        <w:rPr>
          <w:rFonts w:ascii="Arial" w:hAnsi="Arial" w:cs="Arial"/>
          <w:sz w:val="22"/>
          <w:szCs w:val="22"/>
        </w:rPr>
        <w:t xml:space="preserve"> that it is not possible to qualify analytical codes due to a lack of data, the NRC disagrees insofar as an analytical code that cannot be validated to cover the range of conditions for which it is to be used should not be presented to support the licensing of a commercial nuclear plant. However, </w:t>
      </w:r>
      <w:r w:rsidRPr="00C331DB">
        <w:rPr>
          <w:rFonts w:ascii="Arial" w:hAnsi="Arial" w:cs="Arial"/>
          <w:sz w:val="22"/>
          <w:szCs w:val="22"/>
        </w:rPr>
        <w:t>uncertainties</w:t>
      </w:r>
      <w:r w:rsidRPr="002E197A">
        <w:rPr>
          <w:rFonts w:ascii="Arial" w:hAnsi="Arial" w:cs="Arial"/>
          <w:sz w:val="22"/>
          <w:szCs w:val="22"/>
        </w:rPr>
        <w:t xml:space="preserve"> associated with the state of knowledge and modeling capabilities, the ability of barriers to limit the release of radioactive materials from the facility during LBEs other than DBAs, the reliability and performance of plant SSCs and personnel, and the effectiveness of programmatic controls can be addressed through adding </w:t>
      </w:r>
      <w:r w:rsidRPr="002E197A">
        <w:rPr>
          <w:rFonts w:ascii="Arial" w:hAnsi="Arial" w:cs="Arial"/>
          <w:sz w:val="22"/>
          <w:szCs w:val="22"/>
        </w:rPr>
        <w:t>measures for defense in depth. Accordingly, the NRC did not change the rule language in response to this comment.</w:t>
      </w:r>
    </w:p>
    <w:p w:rsidR="00EF3BBF" w:rsidRPr="00C331DB" w:rsidP="00EF3BBF" w14:paraId="2CDFE685" w14:textId="77777777">
      <w:pPr>
        <w:rPr>
          <w:rFonts w:ascii="Arial" w:hAnsi="Arial" w:cs="Arial"/>
          <w:sz w:val="22"/>
          <w:szCs w:val="22"/>
        </w:rPr>
      </w:pPr>
    </w:p>
    <w:p w:rsidR="00F44224" w:rsidRPr="00C331DB" w:rsidP="00EF3BBF" w14:paraId="249B3EDB" w14:textId="77777777">
      <w:pPr>
        <w:rPr>
          <w:rFonts w:ascii="Arial" w:hAnsi="Arial" w:cs="Arial"/>
          <w:sz w:val="22"/>
          <w:szCs w:val="22"/>
        </w:rPr>
      </w:pPr>
      <w:r w:rsidRPr="002E197A">
        <w:rPr>
          <w:rFonts w:ascii="Arial" w:hAnsi="Arial" w:cs="Arial"/>
          <w:sz w:val="22"/>
          <w:szCs w:val="22"/>
        </w:rPr>
        <w:t xml:space="preserve">The NRC agrees, in part, with the concept of </w:t>
      </w:r>
      <w:r w:rsidRPr="00C331DB">
        <w:rPr>
          <w:rFonts w:ascii="Arial" w:hAnsi="Arial" w:cs="Arial"/>
          <w:sz w:val="22"/>
          <w:szCs w:val="22"/>
        </w:rPr>
        <w:t>requiring</w:t>
      </w:r>
      <w:r w:rsidRPr="002E197A">
        <w:rPr>
          <w:rFonts w:ascii="Arial" w:hAnsi="Arial" w:cs="Arial"/>
          <w:sz w:val="22"/>
          <w:szCs w:val="22"/>
        </w:rPr>
        <w:t xml:space="preserve"> applicants to identify key consensus codes and standards. However, as described in the </w:t>
      </w:r>
      <w:r w:rsidRPr="00B366C8" w:rsidR="00B366C8">
        <w:rPr>
          <w:rFonts w:ascii="Arial" w:hAnsi="Arial" w:cs="Arial"/>
          <w:sz w:val="22"/>
          <w:szCs w:val="22"/>
        </w:rPr>
        <w:t xml:space="preserve">NRC’s </w:t>
      </w:r>
      <w:r w:rsidRPr="00A27ADE">
        <w:rPr>
          <w:rFonts w:ascii="Arial" w:hAnsi="Arial" w:cs="Arial"/>
          <w:sz w:val="22"/>
          <w:szCs w:val="22"/>
        </w:rPr>
        <w:t>response to Comment Bin</w:t>
      </w:r>
      <w:r w:rsidRPr="00A27ADE" w:rsidR="00B366C8">
        <w:rPr>
          <w:rFonts w:ascii="Arial" w:hAnsi="Arial" w:cs="Arial"/>
          <w:sz w:val="22"/>
          <w:szCs w:val="22"/>
        </w:rPr>
        <w:t> </w:t>
      </w:r>
      <w:r w:rsidRPr="00A27ADE">
        <w:rPr>
          <w:rFonts w:ascii="Arial" w:hAnsi="Arial" w:cs="Arial"/>
          <w:sz w:val="22"/>
          <w:szCs w:val="22"/>
        </w:rPr>
        <w:t>3.3.2.1.A,</w:t>
      </w:r>
      <w:r w:rsidRPr="002E197A">
        <w:rPr>
          <w:rFonts w:ascii="Arial" w:hAnsi="Arial" w:cs="Arial"/>
          <w:sz w:val="22"/>
          <w:szCs w:val="22"/>
        </w:rPr>
        <w:t xml:space="preserve"> related changes to the rule language have been </w:t>
      </w:r>
      <w:r w:rsidRPr="00C331DB">
        <w:rPr>
          <w:rFonts w:ascii="Arial" w:hAnsi="Arial" w:cs="Arial"/>
          <w:sz w:val="22"/>
          <w:szCs w:val="22"/>
        </w:rPr>
        <w:t>implemented</w:t>
      </w:r>
      <w:r w:rsidRPr="002E197A">
        <w:rPr>
          <w:rFonts w:ascii="Arial" w:hAnsi="Arial" w:cs="Arial"/>
          <w:sz w:val="22"/>
          <w:szCs w:val="22"/>
        </w:rPr>
        <w:t xml:space="preserve"> in 10 CFR 53.440(b) that address this concept and, accordingly, the NRC did not change the rule language in 10 CFR</w:t>
      </w:r>
      <w:r w:rsidR="009D3373">
        <w:rPr>
          <w:rFonts w:ascii="Arial" w:hAnsi="Arial" w:cs="Arial"/>
          <w:sz w:val="22"/>
          <w:szCs w:val="22"/>
        </w:rPr>
        <w:t> </w:t>
      </w:r>
      <w:r w:rsidRPr="002E197A">
        <w:rPr>
          <w:rFonts w:ascii="Arial" w:hAnsi="Arial" w:cs="Arial"/>
          <w:sz w:val="22"/>
          <w:szCs w:val="22"/>
        </w:rPr>
        <w:t xml:space="preserve">53.450(d) in response to </w:t>
      </w:r>
      <w:r w:rsidR="00E34389">
        <w:rPr>
          <w:rFonts w:ascii="Arial" w:hAnsi="Arial" w:cs="Arial"/>
          <w:sz w:val="22"/>
          <w:szCs w:val="22"/>
        </w:rPr>
        <w:t>the</w:t>
      </w:r>
      <w:r w:rsidR="009D3373">
        <w:rPr>
          <w:rFonts w:ascii="Arial" w:hAnsi="Arial" w:cs="Arial"/>
          <w:sz w:val="22"/>
          <w:szCs w:val="22"/>
        </w:rPr>
        <w:t>se</w:t>
      </w:r>
      <w:r w:rsidR="00E34389">
        <w:rPr>
          <w:rFonts w:ascii="Arial" w:hAnsi="Arial" w:cs="Arial"/>
          <w:sz w:val="22"/>
          <w:szCs w:val="22"/>
        </w:rPr>
        <w:t xml:space="preserve"> </w:t>
      </w:r>
      <w:r w:rsidRPr="002E197A">
        <w:rPr>
          <w:rFonts w:ascii="Arial" w:hAnsi="Arial" w:cs="Arial"/>
          <w:sz w:val="22"/>
          <w:szCs w:val="22"/>
        </w:rPr>
        <w:t>comment</w:t>
      </w:r>
      <w:r w:rsidR="00E34389">
        <w:rPr>
          <w:rFonts w:ascii="Arial" w:hAnsi="Arial" w:cs="Arial"/>
          <w:sz w:val="22"/>
          <w:szCs w:val="22"/>
        </w:rPr>
        <w:t>s</w:t>
      </w:r>
      <w:r w:rsidRPr="002E197A">
        <w:rPr>
          <w:rFonts w:ascii="Arial" w:hAnsi="Arial" w:cs="Arial"/>
          <w:sz w:val="22"/>
          <w:szCs w:val="22"/>
        </w:rPr>
        <w:t>.</w:t>
      </w:r>
    </w:p>
    <w:p w:rsidR="00EF3BBF" w:rsidRPr="00C331DB" w:rsidP="00EF3BBF" w14:paraId="72C7166C" w14:textId="77777777">
      <w:pPr>
        <w:rPr>
          <w:rFonts w:ascii="Arial" w:hAnsi="Arial" w:cs="Arial"/>
          <w:sz w:val="22"/>
          <w:szCs w:val="22"/>
        </w:rPr>
      </w:pPr>
    </w:p>
    <w:p w:rsidR="00A87379" w:rsidRPr="006E2405" w:rsidP="002E197A" w14:paraId="5AB41648" w14:textId="77777777">
      <w:pPr>
        <w:spacing w:after="220"/>
        <w:rPr>
          <w:rFonts w:ascii="Arial" w:hAnsi="Arial" w:cs="Arial"/>
          <w:b/>
          <w:sz w:val="22"/>
          <w:szCs w:val="22"/>
        </w:rPr>
      </w:pPr>
      <w:r w:rsidRPr="002E197A">
        <w:rPr>
          <w:rFonts w:ascii="Arial" w:hAnsi="Arial" w:cs="Arial"/>
          <w:sz w:val="22"/>
          <w:szCs w:val="22"/>
        </w:rPr>
        <w:t xml:space="preserve">The NRC agrees with the suggestion that 10 CFR 53.450(d) be applicable to “physics-based” behavior in analyses of licensing-basis events. Accordingly, the NRC </w:t>
      </w:r>
      <w:r w:rsidR="00BE539E">
        <w:rPr>
          <w:rFonts w:ascii="Arial" w:hAnsi="Arial" w:cs="Arial"/>
          <w:sz w:val="22"/>
          <w:szCs w:val="22"/>
        </w:rPr>
        <w:t xml:space="preserve">has revised </w:t>
      </w:r>
      <w:r w:rsidRPr="002E197A">
        <w:rPr>
          <w:rFonts w:ascii="Arial" w:hAnsi="Arial" w:cs="Arial"/>
          <w:sz w:val="22"/>
          <w:szCs w:val="22"/>
        </w:rPr>
        <w:t>the rule language to include equivalent wording</w:t>
      </w:r>
      <w:r w:rsidR="00320493">
        <w:rPr>
          <w:rFonts w:ascii="Arial" w:hAnsi="Arial" w:cs="Arial"/>
          <w:sz w:val="22"/>
          <w:szCs w:val="22"/>
        </w:rPr>
        <w:t xml:space="preserve"> in response to the</w:t>
      </w:r>
      <w:r w:rsidR="009D3373">
        <w:rPr>
          <w:rFonts w:ascii="Arial" w:hAnsi="Arial" w:cs="Arial"/>
          <w:sz w:val="22"/>
          <w:szCs w:val="22"/>
        </w:rPr>
        <w:t>se</w:t>
      </w:r>
      <w:r w:rsidR="00320493">
        <w:rPr>
          <w:rFonts w:ascii="Arial" w:hAnsi="Arial" w:cs="Arial"/>
          <w:sz w:val="22"/>
          <w:szCs w:val="22"/>
        </w:rPr>
        <w:t xml:space="preserve"> comments</w:t>
      </w:r>
      <w:r w:rsidRPr="002E197A">
        <w:rPr>
          <w:rFonts w:ascii="Arial" w:hAnsi="Arial" w:cs="Arial"/>
          <w:sz w:val="22"/>
          <w:szCs w:val="22"/>
        </w:rPr>
        <w:t>.</w:t>
      </w:r>
    </w:p>
    <w:p w:rsidR="00E93F5B" w:rsidP="002E197A" w14:paraId="49C7BB78" w14:textId="77777777">
      <w:pPr>
        <w:spacing w:after="220"/>
        <w:rPr>
          <w:rFonts w:ascii="Arial" w:hAnsi="Arial" w:cs="Arial"/>
        </w:rPr>
      </w:pPr>
      <w:r>
        <w:rPr>
          <w:rFonts w:ascii="Arial" w:hAnsi="Arial" w:cs="Arial"/>
        </w:rPr>
        <w:pict>
          <v:rect id="_x0000_i1122" style="width:0;height:1.5pt" o:hralign="center" o:hrstd="t" o:hrnoshade="t" o:hr="t" fillcolor="black" stroked="f"/>
        </w:pict>
      </w:r>
    </w:p>
    <w:p w:rsidR="004818E4" w:rsidRPr="002E197A" w:rsidP="002E197A" w14:paraId="0E6FD957" w14:textId="77777777">
      <w:pPr>
        <w:spacing w:after="220"/>
        <w:rPr>
          <w:rFonts w:ascii="Arial" w:hAnsi="Arial" w:cs="Arial"/>
          <w:b/>
          <w:sz w:val="22"/>
          <w:szCs w:val="22"/>
        </w:rPr>
      </w:pPr>
      <w:r w:rsidRPr="002E197A">
        <w:rPr>
          <w:rFonts w:ascii="Arial" w:hAnsi="Arial" w:cs="Arial"/>
          <w:b/>
          <w:sz w:val="22"/>
          <w:szCs w:val="22"/>
        </w:rPr>
        <w:t xml:space="preserve">Comment Bin 3.3.2.2.J: </w:t>
      </w:r>
      <w:r w:rsidRPr="002E197A" w:rsidR="000F3483">
        <w:rPr>
          <w:rFonts w:ascii="Arial" w:eastAsia="Aptos" w:hAnsi="Arial" w:cs="Arial"/>
          <w:sz w:val="22"/>
          <w:szCs w:val="22"/>
        </w:rPr>
        <w:t>Regarding</w:t>
      </w:r>
      <w:r w:rsidRPr="002E197A" w:rsidR="000F3483">
        <w:rPr>
          <w:rFonts w:ascii="Arial" w:eastAsia="Times New Roman" w:hAnsi="Arial" w:cs="Arial"/>
          <w:sz w:val="22"/>
          <w:szCs w:val="22"/>
        </w:rPr>
        <w:t xml:space="preserve"> 10 CFR 53.450(e), a commenter recommended that the NRC change “LBEs other than DBAs” to just “LBEs” to allow the use of bounding risk assessment to inform a defense in depth assessment (</w:t>
      </w:r>
      <w:r w:rsidR="009D6BB9">
        <w:rPr>
          <w:rFonts w:ascii="Arial" w:eastAsia="Times New Roman" w:hAnsi="Arial" w:cs="Arial"/>
          <w:sz w:val="22"/>
          <w:szCs w:val="22"/>
        </w:rPr>
        <w:t>NEI2</w:t>
      </w:r>
      <w:r w:rsidRPr="002E197A" w:rsidR="000F3483">
        <w:rPr>
          <w:rFonts w:ascii="Arial" w:eastAsia="Times New Roman" w:hAnsi="Arial" w:cs="Arial"/>
          <w:sz w:val="22"/>
          <w:szCs w:val="22"/>
        </w:rPr>
        <w:t>-0023). Another commenter suggested revising 10 CFR 53.450(e) to apply to limiting DBEs and revise the specific analysis requirements (</w:t>
      </w:r>
      <w:r w:rsidR="00AE5960">
        <w:rPr>
          <w:rFonts w:ascii="Arial" w:eastAsia="Times New Roman" w:hAnsi="Arial" w:cs="Arial"/>
          <w:sz w:val="22"/>
          <w:szCs w:val="22"/>
        </w:rPr>
        <w:t>HPT13</w:t>
      </w:r>
      <w:r w:rsidRPr="002E197A" w:rsidR="000F3483">
        <w:rPr>
          <w:rFonts w:ascii="Arial" w:eastAsia="Times New Roman" w:hAnsi="Arial" w:cs="Arial"/>
          <w:sz w:val="22"/>
          <w:szCs w:val="22"/>
        </w:rPr>
        <w:t>-0002).</w:t>
      </w:r>
    </w:p>
    <w:p w:rsidR="000F3483" w:rsidRPr="002E197A" w:rsidP="002E197A" w14:paraId="73F1A3E9" w14:textId="77777777">
      <w:pPr>
        <w:spacing w:after="220"/>
        <w:rPr>
          <w:rFonts w:ascii="Arial" w:hAnsi="Arial" w:cs="Arial"/>
          <w:sz w:val="22"/>
          <w:szCs w:val="22"/>
        </w:rPr>
      </w:pPr>
      <w:r w:rsidRPr="002E197A">
        <w:rPr>
          <w:rFonts w:ascii="Arial" w:hAnsi="Arial" w:cs="Arial"/>
          <w:b/>
          <w:sz w:val="22"/>
          <w:szCs w:val="22"/>
        </w:rPr>
        <w:t xml:space="preserve">NRC Response: </w:t>
      </w:r>
      <w:r w:rsidRPr="002E197A">
        <w:rPr>
          <w:rFonts w:ascii="Arial" w:hAnsi="Arial" w:cs="Arial"/>
          <w:sz w:val="22"/>
          <w:szCs w:val="22"/>
        </w:rPr>
        <w:t>The NRC disagrees with the comments.</w:t>
      </w:r>
    </w:p>
    <w:p w:rsidR="000F3483" w:rsidRPr="002E197A" w:rsidP="002E197A" w14:paraId="182A2286" w14:textId="77777777">
      <w:pPr>
        <w:spacing w:after="220"/>
        <w:rPr>
          <w:rFonts w:ascii="Arial" w:hAnsi="Arial" w:cs="Arial"/>
          <w:sz w:val="22"/>
          <w:szCs w:val="22"/>
        </w:rPr>
      </w:pPr>
      <w:r w:rsidRPr="002E197A">
        <w:rPr>
          <w:rFonts w:ascii="Arial" w:hAnsi="Arial" w:cs="Arial"/>
          <w:sz w:val="22"/>
          <w:szCs w:val="22"/>
        </w:rPr>
        <w:t xml:space="preserve">Regarding changing “LBEs other than DBAs” to just “LBEs,” see </w:t>
      </w:r>
      <w:r w:rsidR="00035552">
        <w:rPr>
          <w:rFonts w:ascii="Arial" w:hAnsi="Arial" w:cs="Arial"/>
          <w:sz w:val="22"/>
          <w:szCs w:val="22"/>
        </w:rPr>
        <w:t xml:space="preserve">the NRC’s </w:t>
      </w:r>
      <w:r w:rsidRPr="002E197A">
        <w:rPr>
          <w:rFonts w:ascii="Arial" w:hAnsi="Arial" w:cs="Arial"/>
          <w:sz w:val="22"/>
          <w:szCs w:val="22"/>
        </w:rPr>
        <w:t>response to Comment Bin 3.2.4.B.</w:t>
      </w:r>
    </w:p>
    <w:p w:rsidR="000F3483" w:rsidRPr="002E197A" w:rsidP="002E197A" w14:paraId="237B3258" w14:textId="77777777">
      <w:pPr>
        <w:spacing w:after="220"/>
        <w:rPr>
          <w:rFonts w:ascii="Arial" w:hAnsi="Arial" w:cs="Arial"/>
          <w:sz w:val="22"/>
          <w:szCs w:val="22"/>
        </w:rPr>
      </w:pPr>
      <w:r w:rsidRPr="002E197A">
        <w:rPr>
          <w:rFonts w:ascii="Arial" w:hAnsi="Arial" w:cs="Arial"/>
          <w:sz w:val="22"/>
          <w:szCs w:val="22"/>
        </w:rPr>
        <w:t>The NRC disagrees that 10 CFR 53.450(e) should apply to limiting DBEs because the NRC does not see an advantage for introducing such a construct and doing so could unnecessarily complicate the existing analysis requirements in 10 CFR 53.450(e).</w:t>
      </w:r>
    </w:p>
    <w:p w:rsidR="004818E4" w:rsidP="002E197A" w14:paraId="48470E45" w14:textId="77777777">
      <w:pPr>
        <w:spacing w:after="220"/>
        <w:rPr>
          <w:rFonts w:ascii="Arial" w:hAnsi="Arial" w:cs="Arial"/>
          <w:sz w:val="22"/>
          <w:szCs w:val="22"/>
        </w:rPr>
      </w:pPr>
      <w:r w:rsidRPr="002E197A">
        <w:rPr>
          <w:rFonts w:ascii="Arial" w:hAnsi="Arial" w:cs="Arial"/>
          <w:sz w:val="22"/>
          <w:szCs w:val="22"/>
        </w:rPr>
        <w:t>Accordingly, the NRC did not change the rule language in response to these comments.</w:t>
      </w:r>
    </w:p>
    <w:p w:rsidR="007E3EA2" w:rsidRPr="002E197A" w:rsidP="002E197A" w14:paraId="68FB3EA9" w14:textId="77777777">
      <w:pPr>
        <w:spacing w:after="220"/>
        <w:rPr>
          <w:rFonts w:ascii="Arial" w:hAnsi="Arial" w:cs="Arial"/>
          <w:b/>
          <w:sz w:val="22"/>
          <w:szCs w:val="22"/>
        </w:rPr>
      </w:pPr>
      <w:r>
        <w:rPr>
          <w:rFonts w:ascii="Arial" w:hAnsi="Arial" w:cs="Arial"/>
        </w:rPr>
        <w:pict>
          <v:rect id="_x0000_i1123" style="width:0;height:1.5pt" o:hralign="center" o:hrstd="t" o:hrnoshade="t" o:hr="t" fillcolor="black" stroked="f"/>
        </w:pict>
      </w:r>
    </w:p>
    <w:p w:rsidR="009D5D99" w:rsidRPr="002E197A" w:rsidP="002E197A" w14:paraId="099FD22F" w14:textId="77777777">
      <w:pPr>
        <w:spacing w:after="220"/>
        <w:rPr>
          <w:rFonts w:ascii="Arial" w:hAnsi="Arial" w:cs="Arial"/>
          <w:sz w:val="22"/>
          <w:szCs w:val="22"/>
        </w:rPr>
      </w:pPr>
      <w:r w:rsidRPr="002E197A">
        <w:rPr>
          <w:rFonts w:ascii="Arial" w:hAnsi="Arial" w:cs="Arial"/>
          <w:b/>
          <w:sz w:val="22"/>
          <w:szCs w:val="22"/>
        </w:rPr>
        <w:t xml:space="preserve">Comment Bin 3.3.2.2.K: </w:t>
      </w:r>
      <w:r w:rsidRPr="002E197A">
        <w:rPr>
          <w:rFonts w:ascii="Arial" w:eastAsia="Aptos" w:hAnsi="Arial" w:cs="Arial"/>
          <w:sz w:val="22"/>
          <w:szCs w:val="22"/>
        </w:rPr>
        <w:t>A commenter discussed language in the preamble related to 10 CFR 53.450(f) which references “frequencies as low as one in ten thousand years,” and, assuming that the preamble is indicating that this would be accepted as a screening value for analysis purposes and anything lower can be “screened out,” expressed support for this approach because a screening value is necessary to reduce analytical effort and the selected value is appropriate (</w:t>
      </w:r>
      <w:r w:rsidRPr="00C721F2" w:rsidR="00C721F2">
        <w:rPr>
          <w:rFonts w:ascii="Arial" w:eastAsia="Times New Roman" w:hAnsi="Arial" w:cs="Arial"/>
          <w:color w:val="000000"/>
          <w:sz w:val="22"/>
          <w:szCs w:val="22"/>
        </w:rPr>
        <w:t>TG2</w:t>
      </w:r>
      <w:r w:rsidRPr="002E197A">
        <w:rPr>
          <w:rFonts w:ascii="Arial" w:eastAsia="Aptos" w:hAnsi="Arial" w:cs="Arial"/>
          <w:sz w:val="22"/>
          <w:szCs w:val="22"/>
        </w:rPr>
        <w:t>-0001).</w:t>
      </w:r>
    </w:p>
    <w:p w:rsidR="009D5D99" w:rsidRPr="002E197A" w:rsidP="002E197A" w14:paraId="534F010E" w14:textId="77777777">
      <w:pPr>
        <w:spacing w:after="220"/>
        <w:rPr>
          <w:rFonts w:ascii="Arial" w:eastAsia="Aptos" w:hAnsi="Arial" w:cs="Arial"/>
          <w:sz w:val="22"/>
          <w:szCs w:val="22"/>
        </w:rPr>
      </w:pPr>
      <w:r w:rsidRPr="002E197A">
        <w:rPr>
          <w:rFonts w:ascii="Arial" w:eastAsia="Aptos" w:hAnsi="Arial" w:cs="Arial"/>
          <w:sz w:val="22"/>
          <w:szCs w:val="22"/>
        </w:rPr>
        <w:t>A commenter stated that the use of the “deterministic” and “conservative” terminology in 10</w:t>
      </w:r>
      <w:r w:rsidR="009D3373">
        <w:rPr>
          <w:rFonts w:ascii="Arial" w:eastAsia="Aptos" w:hAnsi="Arial" w:cs="Arial"/>
          <w:sz w:val="22"/>
          <w:szCs w:val="22"/>
        </w:rPr>
        <w:t> </w:t>
      </w:r>
      <w:r w:rsidRPr="002E197A">
        <w:rPr>
          <w:rFonts w:ascii="Arial" w:eastAsia="Aptos" w:hAnsi="Arial" w:cs="Arial"/>
          <w:sz w:val="22"/>
          <w:szCs w:val="22"/>
        </w:rPr>
        <w:t>CFR</w:t>
      </w:r>
      <w:r w:rsidR="009D3373">
        <w:rPr>
          <w:rFonts w:ascii="Arial" w:eastAsia="Aptos" w:hAnsi="Arial" w:cs="Arial"/>
          <w:sz w:val="22"/>
          <w:szCs w:val="22"/>
        </w:rPr>
        <w:t> </w:t>
      </w:r>
      <w:r w:rsidRPr="002E197A">
        <w:rPr>
          <w:rFonts w:ascii="Arial" w:eastAsia="Aptos" w:hAnsi="Arial" w:cs="Arial"/>
          <w:sz w:val="22"/>
          <w:szCs w:val="22"/>
        </w:rPr>
        <w:t>53.450(f)(2) and (3) leads to confusion about the use of PRA to determine LBEs and DBAs, which themselves are and invoke “deterministic methods” (</w:t>
      </w:r>
      <w:r w:rsidR="00A02F0C">
        <w:rPr>
          <w:rFonts w:ascii="Arial" w:eastAsia="Aptos" w:hAnsi="Arial" w:cs="Arial"/>
          <w:sz w:val="22"/>
          <w:szCs w:val="22"/>
        </w:rPr>
        <w:t>RD</w:t>
      </w:r>
      <w:r w:rsidRPr="002E197A">
        <w:rPr>
          <w:rFonts w:ascii="Arial" w:eastAsia="Aptos" w:hAnsi="Arial" w:cs="Arial"/>
          <w:sz w:val="22"/>
          <w:szCs w:val="22"/>
        </w:rPr>
        <w:t>-0024).</w:t>
      </w:r>
    </w:p>
    <w:p w:rsidR="001250E9" w:rsidRPr="002E197A" w:rsidP="002E197A" w14:paraId="18E867D4" w14:textId="77777777">
      <w:pPr>
        <w:spacing w:after="220"/>
        <w:rPr>
          <w:rFonts w:ascii="Arial" w:hAnsi="Arial" w:cs="Arial"/>
          <w:b/>
          <w:sz w:val="22"/>
          <w:szCs w:val="22"/>
        </w:rPr>
      </w:pPr>
      <w:r w:rsidRPr="002E197A">
        <w:rPr>
          <w:rFonts w:ascii="Arial" w:hAnsi="Arial" w:cs="Arial"/>
          <w:sz w:val="22"/>
          <w:szCs w:val="22"/>
        </w:rPr>
        <w:t>Another commenter suggested deleting 10 CFR 53.450(f), because the commenter argues there is no need to distinguish between LBEs and DBAs, and deleting 10 CFR 53.450(f)(3), which the commenter states is of doubtful legality (</w:t>
      </w:r>
      <w:r w:rsidR="00AE5960">
        <w:rPr>
          <w:rFonts w:ascii="Arial" w:eastAsia="Aptos" w:hAnsi="Arial" w:cs="Arial"/>
          <w:sz w:val="22"/>
          <w:szCs w:val="22"/>
        </w:rPr>
        <w:t>HPT13</w:t>
      </w:r>
      <w:r w:rsidRPr="002E197A">
        <w:rPr>
          <w:rFonts w:ascii="Arial" w:eastAsia="Aptos" w:hAnsi="Arial" w:cs="Arial"/>
          <w:sz w:val="22"/>
          <w:szCs w:val="22"/>
        </w:rPr>
        <w:t>-</w:t>
      </w:r>
      <w:r w:rsidRPr="002E197A">
        <w:rPr>
          <w:rFonts w:ascii="Arial" w:hAnsi="Arial" w:cs="Arial"/>
          <w:sz w:val="22"/>
          <w:szCs w:val="22"/>
        </w:rPr>
        <w:t xml:space="preserve">0001, </w:t>
      </w:r>
      <w:r w:rsidR="00AE5960">
        <w:rPr>
          <w:rFonts w:ascii="Arial" w:eastAsia="Aptos" w:hAnsi="Arial" w:cs="Arial"/>
          <w:sz w:val="22"/>
          <w:szCs w:val="22"/>
        </w:rPr>
        <w:t>HPT13</w:t>
      </w:r>
      <w:r w:rsidRPr="002E197A">
        <w:rPr>
          <w:rFonts w:ascii="Arial" w:eastAsia="Aptos" w:hAnsi="Arial" w:cs="Arial"/>
          <w:sz w:val="22"/>
          <w:szCs w:val="22"/>
        </w:rPr>
        <w:t>-0002).</w:t>
      </w:r>
    </w:p>
    <w:p w:rsidR="00B27463" w:rsidRPr="002E197A" w:rsidP="002E197A" w14:paraId="26E3FF84" w14:textId="77777777">
      <w:pPr>
        <w:spacing w:after="220"/>
        <w:rPr>
          <w:rFonts w:ascii="Arial" w:hAnsi="Arial" w:cs="Arial"/>
          <w:sz w:val="22"/>
          <w:szCs w:val="22"/>
        </w:rPr>
      </w:pPr>
      <w:r w:rsidRPr="002E197A">
        <w:rPr>
          <w:rFonts w:ascii="Arial" w:hAnsi="Arial" w:cs="Arial"/>
          <w:b/>
          <w:sz w:val="22"/>
          <w:szCs w:val="22"/>
        </w:rPr>
        <w:t xml:space="preserve">NRC Response: </w:t>
      </w:r>
      <w:r w:rsidRPr="002E197A">
        <w:rPr>
          <w:rFonts w:ascii="Arial" w:hAnsi="Arial" w:cs="Arial"/>
          <w:sz w:val="22"/>
          <w:szCs w:val="22"/>
        </w:rPr>
        <w:t>The NRC disagrees with the comments.</w:t>
      </w:r>
    </w:p>
    <w:p w:rsidR="00B27463" w:rsidRPr="002E197A" w:rsidP="002E197A" w14:paraId="13CE3A15" w14:textId="77777777">
      <w:pPr>
        <w:spacing w:after="220"/>
        <w:rPr>
          <w:rFonts w:ascii="Arial" w:hAnsi="Arial" w:cs="Arial"/>
          <w:sz w:val="22"/>
          <w:szCs w:val="22"/>
        </w:rPr>
      </w:pPr>
      <w:r w:rsidRPr="002E197A">
        <w:rPr>
          <w:rFonts w:ascii="Arial" w:hAnsi="Arial" w:cs="Arial"/>
          <w:sz w:val="22"/>
          <w:szCs w:val="22"/>
        </w:rPr>
        <w:t>The proposed and final rules discuss the event sequence frequency of as low as one in ten thousand as being an example of part a frequency range for unlikely event sequences and associated with those event sequences from which the design</w:t>
      </w:r>
      <w:r w:rsidRPr="002E197A">
        <w:rPr>
          <w:rFonts w:ascii="Arial" w:hAnsi="Arial" w:cs="Arial"/>
          <w:sz w:val="22"/>
          <w:szCs w:val="22"/>
        </w:rPr>
        <w:noBreakHyphen/>
        <w:t>basis accidents would be derived and subsequently analyzed using deterministic methods. The discussion also provides an example of frequencies for very unlikely event sequences that uses a value of 5 in 10</w:t>
      </w:r>
      <w:r w:rsidR="009D3373">
        <w:rPr>
          <w:rFonts w:ascii="Arial" w:hAnsi="Arial" w:cs="Arial"/>
          <w:sz w:val="22"/>
          <w:szCs w:val="22"/>
        </w:rPr>
        <w:t> </w:t>
      </w:r>
      <w:r w:rsidRPr="002E197A">
        <w:rPr>
          <w:rFonts w:ascii="Arial" w:hAnsi="Arial" w:cs="Arial"/>
          <w:sz w:val="22"/>
          <w:szCs w:val="22"/>
        </w:rPr>
        <w:t>million years.</w:t>
      </w:r>
    </w:p>
    <w:p w:rsidR="00B27463" w:rsidRPr="002E197A" w:rsidP="002E197A" w14:paraId="6996E3E9" w14:textId="77777777">
      <w:pPr>
        <w:spacing w:after="220"/>
        <w:rPr>
          <w:rFonts w:ascii="Arial" w:hAnsi="Arial" w:cs="Arial"/>
          <w:sz w:val="22"/>
          <w:szCs w:val="22"/>
        </w:rPr>
      </w:pPr>
      <w:r w:rsidRPr="002E197A">
        <w:rPr>
          <w:rFonts w:ascii="Arial" w:hAnsi="Arial" w:cs="Arial"/>
          <w:sz w:val="22"/>
          <w:szCs w:val="22"/>
        </w:rPr>
        <w:t>As explained in the proposed and final rules, the 10 CFR Part 53 framework distinguishes between LBEs other than DBAs and DBAs because 10 CFR Part 53 includes a role for both risk assessment techniques (e.g., PRA or other systematic risk evaluations) and a deterministic element through design-basis accidents and the related analysis under 10 CFR 53.450(f). The use of this terminology in 10 CFR Part 53 is consistent with the common use of the terminology within the nuclear community.</w:t>
      </w:r>
    </w:p>
    <w:p w:rsidR="007E3EA2" w:rsidRPr="002E197A" w:rsidP="002E197A" w14:paraId="5CB248E5" w14:textId="77777777">
      <w:pPr>
        <w:spacing w:after="220"/>
        <w:rPr>
          <w:rFonts w:ascii="Arial" w:hAnsi="Arial" w:cs="Arial"/>
          <w:b/>
          <w:sz w:val="22"/>
          <w:szCs w:val="22"/>
        </w:rPr>
      </w:pPr>
      <w:r w:rsidRPr="002E197A">
        <w:rPr>
          <w:rFonts w:ascii="Arial" w:hAnsi="Arial" w:cs="Arial"/>
          <w:sz w:val="22"/>
          <w:szCs w:val="22"/>
        </w:rPr>
        <w:t>Accordingly, the NRC did not change the rule language in response to these comments.</w:t>
      </w:r>
    </w:p>
    <w:p w:rsidR="000F3D5B" w:rsidRPr="00F97A1B" w:rsidP="002E197A" w14:paraId="3EA35E92" w14:textId="77777777">
      <w:pPr>
        <w:spacing w:after="220"/>
        <w:rPr>
          <w:rFonts w:ascii="Arial" w:hAnsi="Arial" w:cs="Arial"/>
        </w:rPr>
      </w:pPr>
      <w:r>
        <w:rPr>
          <w:rFonts w:ascii="Arial" w:hAnsi="Arial" w:cs="Arial"/>
        </w:rPr>
        <w:pict>
          <v:rect id="_x0000_i1124" style="width:0;height:1.5pt" o:hralign="center" o:hrstd="t" o:hrnoshade="t" o:hr="t" fillcolor="black" stroked="f"/>
        </w:pict>
      </w:r>
    </w:p>
    <w:p w:rsidR="00B27463" w:rsidP="00DA1B50" w14:paraId="1C6FD7AA" w14:textId="77777777">
      <w:pPr>
        <w:rPr>
          <w:rFonts w:ascii="Arial" w:eastAsia="Times New Roman" w:hAnsi="Arial" w:cs="Arial"/>
          <w:sz w:val="22"/>
          <w:szCs w:val="22"/>
        </w:rPr>
      </w:pPr>
      <w:r w:rsidRPr="002E197A">
        <w:rPr>
          <w:rFonts w:ascii="Arial" w:hAnsi="Arial" w:cs="Arial"/>
          <w:b/>
          <w:sz w:val="22"/>
          <w:szCs w:val="22"/>
        </w:rPr>
        <w:t xml:space="preserve">Comment Bin 3.3.2.2.L: </w:t>
      </w:r>
      <w:r w:rsidRPr="002E197A">
        <w:rPr>
          <w:rFonts w:ascii="Arial" w:eastAsia="Aptos" w:hAnsi="Arial" w:cs="Arial"/>
          <w:sz w:val="22"/>
          <w:szCs w:val="22"/>
        </w:rPr>
        <w:t>A commenter suggested revising 10 CFR 53.450(g) to c</w:t>
      </w:r>
      <w:r w:rsidRPr="002E197A">
        <w:rPr>
          <w:rFonts w:ascii="Arial" w:eastAsia="Times New Roman" w:hAnsi="Arial" w:cs="Arial"/>
          <w:sz w:val="22"/>
          <w:szCs w:val="22"/>
        </w:rPr>
        <w:t>ondition the requirements related to fire protection and aircraft impacts on the applicability of these types of events to the nuclear facility (e.g., some designs, such as microreactors, should not need to consider aircraft impacts because the consequences do not pose an undue risk to the public) (</w:t>
      </w:r>
      <w:r w:rsidR="009D6BB9">
        <w:rPr>
          <w:rFonts w:ascii="Arial" w:eastAsia="Times New Roman" w:hAnsi="Arial" w:cs="Arial"/>
          <w:sz w:val="22"/>
          <w:szCs w:val="22"/>
        </w:rPr>
        <w:t>NEI2</w:t>
      </w:r>
      <w:r w:rsidRPr="002E197A">
        <w:rPr>
          <w:rFonts w:ascii="Arial" w:eastAsia="Times New Roman" w:hAnsi="Arial" w:cs="Arial"/>
          <w:sz w:val="22"/>
          <w:szCs w:val="22"/>
        </w:rPr>
        <w:t>-0051).</w:t>
      </w:r>
    </w:p>
    <w:p w:rsidR="002522E1" w:rsidRPr="002E197A" w:rsidP="00DA1B50" w14:paraId="09B15952" w14:textId="77777777">
      <w:pPr>
        <w:rPr>
          <w:rFonts w:ascii="Arial" w:eastAsia="Times New Roman" w:hAnsi="Arial" w:cs="Arial"/>
          <w:sz w:val="22"/>
          <w:szCs w:val="22"/>
        </w:rPr>
      </w:pPr>
    </w:p>
    <w:p w:rsidR="00DC7BB6" w:rsidRPr="002E197A" w:rsidP="002E197A" w14:paraId="73BC59FB" w14:textId="77777777">
      <w:pPr>
        <w:spacing w:after="220"/>
        <w:rPr>
          <w:rFonts w:ascii="Arial" w:hAnsi="Arial" w:cs="Arial"/>
          <w:b/>
          <w:sz w:val="22"/>
          <w:szCs w:val="22"/>
        </w:rPr>
      </w:pPr>
      <w:r w:rsidRPr="002E197A">
        <w:rPr>
          <w:rFonts w:ascii="Arial" w:eastAsia="Times New Roman" w:hAnsi="Arial" w:cs="Arial"/>
          <w:sz w:val="22"/>
          <w:szCs w:val="22"/>
        </w:rPr>
        <w:t>Another commenter suggested revising 10 CFR 53.450(g) to use the word “demonstrate” instead of “assess”</w:t>
      </w:r>
      <w:r w:rsidRPr="002E197A">
        <w:rPr>
          <w:rFonts w:ascii="Arial" w:hAnsi="Arial" w:cs="Arial"/>
          <w:sz w:val="22"/>
          <w:szCs w:val="22"/>
        </w:rPr>
        <w:t xml:space="preserve"> and removing the aircraft impact requirement in 10 CFR 53.450(g)(2) (</w:t>
      </w:r>
      <w:r w:rsidR="00AE5960">
        <w:rPr>
          <w:rFonts w:ascii="Arial" w:eastAsia="Aptos" w:hAnsi="Arial" w:cs="Arial"/>
          <w:sz w:val="22"/>
          <w:szCs w:val="22"/>
        </w:rPr>
        <w:t>HPT13</w:t>
      </w:r>
      <w:r w:rsidRPr="002E197A">
        <w:rPr>
          <w:rFonts w:ascii="Arial" w:eastAsia="Aptos" w:hAnsi="Arial" w:cs="Arial"/>
          <w:sz w:val="22"/>
          <w:szCs w:val="22"/>
        </w:rPr>
        <w:t>-</w:t>
      </w:r>
      <w:r w:rsidRPr="002E197A">
        <w:rPr>
          <w:rFonts w:ascii="Arial" w:hAnsi="Arial" w:cs="Arial"/>
          <w:sz w:val="22"/>
          <w:szCs w:val="22"/>
        </w:rPr>
        <w:t xml:space="preserve">0001, </w:t>
      </w:r>
      <w:r w:rsidR="00AE5960">
        <w:rPr>
          <w:rFonts w:ascii="Arial" w:eastAsia="Aptos" w:hAnsi="Arial" w:cs="Arial"/>
          <w:sz w:val="22"/>
          <w:szCs w:val="22"/>
        </w:rPr>
        <w:t>HPT13</w:t>
      </w:r>
      <w:r w:rsidRPr="002E197A">
        <w:rPr>
          <w:rFonts w:ascii="Arial" w:eastAsia="Aptos" w:hAnsi="Arial" w:cs="Arial"/>
          <w:sz w:val="22"/>
          <w:szCs w:val="22"/>
        </w:rPr>
        <w:t>-0002).</w:t>
      </w:r>
    </w:p>
    <w:p w:rsidR="0048076C" w:rsidRPr="002E197A" w:rsidP="002E197A" w14:paraId="1BD4DF0F" w14:textId="77777777">
      <w:pPr>
        <w:spacing w:after="220"/>
        <w:rPr>
          <w:rFonts w:ascii="Arial" w:eastAsia="Aptos" w:hAnsi="Arial" w:cs="Arial"/>
          <w:sz w:val="22"/>
          <w:szCs w:val="22"/>
        </w:rPr>
      </w:pPr>
      <w:r w:rsidRPr="002E197A">
        <w:rPr>
          <w:rFonts w:ascii="Arial" w:hAnsi="Arial" w:cs="Arial"/>
          <w:b/>
          <w:sz w:val="22"/>
          <w:szCs w:val="22"/>
        </w:rPr>
        <w:t xml:space="preserve">NRC Response: </w:t>
      </w:r>
      <w:r w:rsidRPr="002E197A">
        <w:rPr>
          <w:rFonts w:ascii="Arial" w:eastAsia="Aptos" w:hAnsi="Arial" w:cs="Arial"/>
          <w:sz w:val="22"/>
          <w:szCs w:val="22"/>
        </w:rPr>
        <w:t>The NRC agrees, in part, with the comments.</w:t>
      </w:r>
    </w:p>
    <w:p w:rsidR="0048076C" w:rsidRPr="002E197A" w:rsidP="002E197A" w14:paraId="507DF314" w14:textId="77777777">
      <w:pPr>
        <w:spacing w:after="220"/>
        <w:rPr>
          <w:rFonts w:ascii="Arial" w:hAnsi="Arial" w:cs="Arial"/>
          <w:sz w:val="22"/>
          <w:szCs w:val="22"/>
        </w:rPr>
      </w:pPr>
      <w:r w:rsidRPr="002E197A">
        <w:rPr>
          <w:rFonts w:ascii="Arial" w:hAnsi="Arial" w:cs="Arial"/>
          <w:sz w:val="22"/>
          <w:szCs w:val="22"/>
        </w:rPr>
        <w:t>The NRC agrees with the suggestion to revise 10 CFR 53.450(g) related to aircraft impacts. As addressed in the response to Comment Bin 3.3.2.1.C, the NRC has removed requirements related to aircraft impact assessments from 10 CFR Part 53. The NRC has removed the associated analysis requirements from 10 CFR 53.450(g).</w:t>
      </w:r>
    </w:p>
    <w:p w:rsidR="0048076C" w:rsidRPr="002E197A" w:rsidP="002E197A" w14:paraId="0AE31BB0" w14:textId="77777777">
      <w:pPr>
        <w:spacing w:after="220"/>
        <w:rPr>
          <w:rFonts w:ascii="Arial" w:hAnsi="Arial" w:cs="Arial"/>
          <w:sz w:val="22"/>
          <w:szCs w:val="22"/>
        </w:rPr>
      </w:pPr>
      <w:r w:rsidRPr="002E197A">
        <w:rPr>
          <w:rFonts w:ascii="Arial" w:hAnsi="Arial" w:cs="Arial"/>
          <w:sz w:val="22"/>
          <w:szCs w:val="22"/>
        </w:rPr>
        <w:t>The NRC disagrees with the suggestion to revise 10 CFR 53.450(g) related to fire protection and notes that 10 CFR 53.450(g) provides flexibility by allowing the assessment of fire protection measures through either inclusion of fires in the analysis of LBEs or by separate analyses.</w:t>
      </w:r>
    </w:p>
    <w:p w:rsidR="0048076C" w:rsidRPr="002E197A" w:rsidP="002E197A" w14:paraId="45A9E51C" w14:textId="77777777">
      <w:pPr>
        <w:spacing w:after="220"/>
        <w:rPr>
          <w:rFonts w:ascii="Arial" w:hAnsi="Arial" w:cs="Arial"/>
          <w:sz w:val="22"/>
          <w:szCs w:val="22"/>
        </w:rPr>
      </w:pPr>
      <w:r w:rsidRPr="002E197A">
        <w:rPr>
          <w:rFonts w:ascii="Arial" w:hAnsi="Arial" w:cs="Arial"/>
          <w:sz w:val="22"/>
          <w:szCs w:val="22"/>
        </w:rPr>
        <w:t xml:space="preserve">The NRC disagrees with </w:t>
      </w:r>
      <w:r w:rsidR="00BE4338">
        <w:rPr>
          <w:rFonts w:ascii="Arial" w:hAnsi="Arial" w:cs="Arial"/>
          <w:sz w:val="22"/>
          <w:szCs w:val="22"/>
        </w:rPr>
        <w:t>using</w:t>
      </w:r>
      <w:r w:rsidRPr="002E197A" w:rsidR="00BE4338">
        <w:rPr>
          <w:rFonts w:ascii="Arial" w:hAnsi="Arial" w:cs="Arial"/>
          <w:sz w:val="22"/>
          <w:szCs w:val="22"/>
        </w:rPr>
        <w:t xml:space="preserve"> </w:t>
      </w:r>
      <w:r w:rsidRPr="002E197A">
        <w:rPr>
          <w:rFonts w:ascii="Arial" w:hAnsi="Arial" w:cs="Arial"/>
          <w:sz w:val="22"/>
          <w:szCs w:val="22"/>
        </w:rPr>
        <w:t>the term “demonstrate” instead of “assess” in 10</w:t>
      </w:r>
      <w:r w:rsidR="009D3373">
        <w:rPr>
          <w:rFonts w:ascii="Arial" w:hAnsi="Arial" w:cs="Arial"/>
          <w:sz w:val="22"/>
          <w:szCs w:val="22"/>
        </w:rPr>
        <w:t> </w:t>
      </w:r>
      <w:r w:rsidRPr="002E197A">
        <w:rPr>
          <w:rFonts w:ascii="Arial" w:hAnsi="Arial" w:cs="Arial"/>
          <w:sz w:val="22"/>
          <w:szCs w:val="22"/>
        </w:rPr>
        <w:t>CFR</w:t>
      </w:r>
      <w:r w:rsidR="009D3373">
        <w:rPr>
          <w:rFonts w:ascii="Arial" w:hAnsi="Arial" w:cs="Arial"/>
          <w:sz w:val="22"/>
          <w:szCs w:val="22"/>
        </w:rPr>
        <w:t> </w:t>
      </w:r>
      <w:r w:rsidRPr="002E197A">
        <w:rPr>
          <w:rFonts w:ascii="Arial" w:hAnsi="Arial" w:cs="Arial"/>
          <w:sz w:val="22"/>
          <w:szCs w:val="22"/>
        </w:rPr>
        <w:t>53.450(g) because it does not otherwise see an advantage given both terms are used in those requirements.</w:t>
      </w:r>
    </w:p>
    <w:p w:rsidR="0048076C" w:rsidRPr="002E197A" w:rsidP="002E197A" w14:paraId="21C74987" w14:textId="77777777">
      <w:pPr>
        <w:spacing w:after="220"/>
        <w:rPr>
          <w:rFonts w:ascii="Arial" w:hAnsi="Arial" w:cs="Arial"/>
          <w:sz w:val="22"/>
          <w:szCs w:val="22"/>
        </w:rPr>
      </w:pPr>
      <w:r w:rsidRPr="002E197A">
        <w:rPr>
          <w:rFonts w:ascii="Arial" w:hAnsi="Arial" w:cs="Arial"/>
          <w:sz w:val="22"/>
          <w:szCs w:val="22"/>
        </w:rPr>
        <w:t>Accordingly, the NRC did not change the rule language in response to these comments.</w:t>
      </w:r>
    </w:p>
    <w:p w:rsidR="00710084" w:rsidRPr="002E197A" w:rsidP="002E197A" w14:paraId="755C7829" w14:textId="77777777">
      <w:pPr>
        <w:spacing w:after="220"/>
        <w:rPr>
          <w:rFonts w:ascii="Arial" w:hAnsi="Arial" w:cs="Arial"/>
          <w:b/>
        </w:rPr>
      </w:pPr>
      <w:r>
        <w:rPr>
          <w:rFonts w:ascii="Arial" w:hAnsi="Arial" w:cs="Arial"/>
          <w:sz w:val="22"/>
          <w:szCs w:val="22"/>
        </w:rPr>
        <w:pict>
          <v:rect id="_x0000_i1125" style="width:0;height:1.5pt" o:hralign="center" o:hrstd="t" o:hrnoshade="t" o:hr="t" fillcolor="black" stroked="f"/>
        </w:pict>
      </w:r>
    </w:p>
    <w:p w:rsidR="00710084" w:rsidRPr="001F7B5A" w:rsidP="003679BD" w14:paraId="777ABEF8" w14:textId="77777777">
      <w:pPr>
        <w:pStyle w:val="Heading4"/>
        <w:rPr>
          <w:b/>
          <w:i/>
        </w:rPr>
      </w:pPr>
      <w:r w:rsidRPr="008A7CB7">
        <w:rPr>
          <w:u w:val="none"/>
        </w:rPr>
        <w:t>3.2.3.</w:t>
      </w:r>
      <w:r w:rsidRPr="008A7CB7" w:rsidR="003679BD">
        <w:rPr>
          <w:u w:val="none"/>
        </w:rPr>
        <w:t>3.</w:t>
      </w:r>
      <w:r w:rsidRPr="008A7CB7" w:rsidR="003679BD">
        <w:rPr>
          <w:u w:val="none"/>
        </w:rPr>
        <w:tab/>
      </w:r>
      <w:r w:rsidRPr="003679BD" w:rsidR="003679BD">
        <w:t>C</w:t>
      </w:r>
      <w:r w:rsidRPr="003679BD">
        <w:t xml:space="preserve">omments on </w:t>
      </w:r>
      <w:r w:rsidRPr="003679BD" w:rsidR="00253103">
        <w:t xml:space="preserve">§ </w:t>
      </w:r>
      <w:r w:rsidRPr="003679BD">
        <w:t>53.</w:t>
      </w:r>
      <w:r w:rsidRPr="003679BD" w:rsidR="00A01AE5">
        <w:t xml:space="preserve">460 – </w:t>
      </w:r>
      <w:r w:rsidRPr="003679BD" w:rsidR="00253103">
        <w:t xml:space="preserve">§ </w:t>
      </w:r>
      <w:r w:rsidRPr="003679BD" w:rsidR="00A01AE5">
        <w:t>53.480</w:t>
      </w:r>
    </w:p>
    <w:p w:rsidR="008B3636" w:rsidRPr="00264959" w:rsidP="00264959" w14:paraId="3AFD1685" w14:textId="77777777">
      <w:pPr>
        <w:spacing w:after="220"/>
        <w:rPr>
          <w:rFonts w:ascii="Arial" w:eastAsia="Aptos" w:hAnsi="Arial" w:cs="Arial"/>
          <w:sz w:val="22"/>
          <w:szCs w:val="22"/>
        </w:rPr>
      </w:pPr>
      <w:r w:rsidRPr="00264959">
        <w:rPr>
          <w:rFonts w:ascii="Arial" w:hAnsi="Arial" w:cs="Arial"/>
          <w:b/>
          <w:sz w:val="22"/>
          <w:szCs w:val="22"/>
        </w:rPr>
        <w:t>Comment Bin 3.3.2.3.A:</w:t>
      </w:r>
      <w:r w:rsidRPr="00264959">
        <w:rPr>
          <w:rFonts w:ascii="Arial" w:hAnsi="Arial" w:cs="Arial"/>
          <w:sz w:val="22"/>
          <w:szCs w:val="22"/>
        </w:rPr>
        <w:t xml:space="preserve"> </w:t>
      </w:r>
      <w:r w:rsidRPr="00264959">
        <w:rPr>
          <w:rFonts w:ascii="Arial" w:eastAsia="Times New Roman" w:hAnsi="Arial" w:cs="Arial"/>
          <w:sz w:val="22"/>
          <w:szCs w:val="22"/>
        </w:rPr>
        <w:t xml:space="preserve">Two commenters expressed concern that NSRSS SSCs could receive an equivalent regulatory burden as SR SSCs because the rule does not define the differences </w:t>
      </w:r>
      <w:r w:rsidRPr="00264959">
        <w:rPr>
          <w:rFonts w:ascii="Arial" w:eastAsia="Times New Roman" w:hAnsi="Arial" w:cs="Arial"/>
          <w:sz w:val="22"/>
          <w:szCs w:val="22"/>
        </w:rPr>
        <w:t>in special treatments between these types of SSCs. The commenters cautioned that the lack of definition reduces regulatory predictability (</w:t>
      </w:r>
      <w:r w:rsidR="009D6BB9">
        <w:rPr>
          <w:rFonts w:ascii="Arial" w:eastAsia="Times New Roman" w:hAnsi="Arial" w:cs="Arial"/>
          <w:sz w:val="22"/>
          <w:szCs w:val="22"/>
        </w:rPr>
        <w:t>NEI2</w:t>
      </w:r>
      <w:r w:rsidRPr="00264959">
        <w:rPr>
          <w:rFonts w:ascii="Arial" w:eastAsia="Times New Roman" w:hAnsi="Arial" w:cs="Arial"/>
          <w:sz w:val="22"/>
          <w:szCs w:val="22"/>
        </w:rPr>
        <w:t>-0054,</w:t>
      </w:r>
      <w:r w:rsidRPr="00264959">
        <w:rPr>
          <w:rFonts w:ascii="Arial" w:eastAsia="Aptos" w:hAnsi="Arial" w:cs="Arial"/>
          <w:sz w:val="22"/>
          <w:szCs w:val="22"/>
        </w:rPr>
        <w:t xml:space="preserve"> </w:t>
      </w:r>
      <w:r w:rsidR="00AE0B17">
        <w:rPr>
          <w:rFonts w:ascii="Arial" w:eastAsia="Aptos" w:hAnsi="Arial" w:cs="Arial"/>
          <w:sz w:val="22"/>
          <w:szCs w:val="22"/>
        </w:rPr>
        <w:t>USNIC2</w:t>
      </w:r>
      <w:r w:rsidRPr="00264959">
        <w:rPr>
          <w:rFonts w:ascii="Arial" w:eastAsia="Aptos" w:hAnsi="Arial" w:cs="Arial"/>
          <w:sz w:val="22"/>
          <w:szCs w:val="22"/>
        </w:rPr>
        <w:t>-0026).</w:t>
      </w:r>
    </w:p>
    <w:p w:rsidR="008B3636" w:rsidRPr="00264959" w:rsidP="00264959" w14:paraId="1A55D1D9" w14:textId="77777777">
      <w:pPr>
        <w:spacing w:after="220"/>
        <w:rPr>
          <w:rFonts w:ascii="Arial" w:eastAsia="Times New Roman" w:hAnsi="Arial" w:cs="Arial"/>
          <w:sz w:val="22"/>
          <w:szCs w:val="22"/>
        </w:rPr>
      </w:pPr>
      <w:r w:rsidRPr="00264959">
        <w:rPr>
          <w:rFonts w:ascii="Arial" w:eastAsia="Aptos" w:hAnsi="Arial" w:cs="Arial"/>
          <w:sz w:val="22"/>
          <w:szCs w:val="22"/>
        </w:rPr>
        <w:t>One commenter</w:t>
      </w:r>
      <w:r w:rsidRPr="00264959">
        <w:rPr>
          <w:rFonts w:ascii="Arial" w:eastAsia="Times New Roman" w:hAnsi="Arial" w:cs="Arial"/>
          <w:sz w:val="22"/>
          <w:szCs w:val="22"/>
        </w:rPr>
        <w:t xml:space="preserve"> suggested deleting 10 CFR 53.460(b) because special treatments are already required by 10 CFR 53.440 and numerous requirements in subpart F. The commenter noted that 10 CFR 53.865 should also be updated to include the guidance in 10 CFR 53.460 for Appendix B to 10 CFR Part 50 applicability only required for SR SSCs.</w:t>
      </w:r>
    </w:p>
    <w:p w:rsidR="00672EB5" w:rsidRPr="00264959" w:rsidP="00264959" w14:paraId="69602A07" w14:textId="77777777">
      <w:pPr>
        <w:spacing w:after="220"/>
        <w:rPr>
          <w:rFonts w:ascii="Arial" w:hAnsi="Arial" w:cs="Arial"/>
          <w:sz w:val="22"/>
          <w:szCs w:val="22"/>
        </w:rPr>
      </w:pPr>
      <w:r w:rsidRPr="00264959">
        <w:rPr>
          <w:rFonts w:ascii="Arial" w:eastAsia="Times New Roman" w:hAnsi="Arial" w:cs="Arial"/>
          <w:sz w:val="22"/>
          <w:szCs w:val="22"/>
        </w:rPr>
        <w:t>The commenter also suggested relocating 10 CFR 53.460(c), which relates to the confidence that human actions will be performed as assumed in the analysis, to 10 CFR</w:t>
      </w:r>
      <w:r w:rsidRPr="00264959" w:rsidR="008C3D04">
        <w:rPr>
          <w:rFonts w:ascii="Arial" w:eastAsia="Times New Roman" w:hAnsi="Arial" w:cs="Arial"/>
          <w:sz w:val="22"/>
          <w:szCs w:val="22"/>
        </w:rPr>
        <w:t> </w:t>
      </w:r>
      <w:r w:rsidRPr="00264959">
        <w:rPr>
          <w:rFonts w:ascii="Arial" w:eastAsia="Times New Roman" w:hAnsi="Arial" w:cs="Arial"/>
          <w:sz w:val="22"/>
          <w:szCs w:val="22"/>
        </w:rPr>
        <w:t>53.450, stating that it is out of place currently and would be more appropriately included there (</w:t>
      </w:r>
      <w:r w:rsidR="009D6BB9">
        <w:rPr>
          <w:rFonts w:ascii="Arial" w:eastAsia="Times New Roman" w:hAnsi="Arial" w:cs="Arial"/>
          <w:sz w:val="22"/>
          <w:szCs w:val="22"/>
        </w:rPr>
        <w:t>NEI2</w:t>
      </w:r>
      <w:r w:rsidRPr="00264959">
        <w:rPr>
          <w:rFonts w:ascii="Arial" w:eastAsia="Times New Roman" w:hAnsi="Arial" w:cs="Arial"/>
          <w:sz w:val="22"/>
          <w:szCs w:val="22"/>
        </w:rPr>
        <w:t xml:space="preserve">-0054, </w:t>
      </w:r>
      <w:r w:rsidR="009D6BB9">
        <w:rPr>
          <w:rFonts w:ascii="Arial" w:hAnsi="Arial" w:cs="Arial"/>
          <w:sz w:val="22"/>
          <w:szCs w:val="22"/>
        </w:rPr>
        <w:t>NEI2</w:t>
      </w:r>
      <w:r w:rsidRPr="00264959">
        <w:rPr>
          <w:rFonts w:ascii="Arial" w:hAnsi="Arial" w:cs="Arial"/>
          <w:sz w:val="22"/>
          <w:szCs w:val="22"/>
        </w:rPr>
        <w:t>-0111</w:t>
      </w:r>
      <w:r w:rsidRPr="00264959">
        <w:rPr>
          <w:rFonts w:ascii="Arial" w:eastAsia="Times New Roman" w:hAnsi="Arial" w:cs="Arial"/>
          <w:sz w:val="22"/>
          <w:szCs w:val="22"/>
        </w:rPr>
        <w:t xml:space="preserve">, </w:t>
      </w:r>
      <w:r w:rsidR="009D6BB9">
        <w:rPr>
          <w:rFonts w:ascii="Arial" w:hAnsi="Arial" w:cs="Arial"/>
          <w:sz w:val="22"/>
          <w:szCs w:val="22"/>
        </w:rPr>
        <w:t>NEI2</w:t>
      </w:r>
      <w:r w:rsidRPr="00264959">
        <w:rPr>
          <w:rFonts w:ascii="Arial" w:hAnsi="Arial" w:cs="Arial"/>
          <w:sz w:val="22"/>
          <w:szCs w:val="22"/>
        </w:rPr>
        <w:t>-0051)</w:t>
      </w:r>
      <w:r w:rsidRPr="00264959">
        <w:rPr>
          <w:rFonts w:ascii="Arial" w:eastAsia="Times New Roman" w:hAnsi="Arial" w:cs="Arial"/>
          <w:sz w:val="22"/>
          <w:szCs w:val="22"/>
        </w:rPr>
        <w:t>.</w:t>
      </w:r>
    </w:p>
    <w:p w:rsidR="00672EB5" w:rsidRPr="00264959" w:rsidP="00264959" w14:paraId="2939313A" w14:textId="77777777">
      <w:pPr>
        <w:spacing w:after="220"/>
        <w:rPr>
          <w:rFonts w:ascii="Arial" w:hAnsi="Arial" w:cs="Arial"/>
          <w:sz w:val="22"/>
          <w:szCs w:val="22"/>
        </w:rPr>
      </w:pPr>
      <w:r w:rsidRPr="00264959">
        <w:rPr>
          <w:rFonts w:ascii="Arial" w:hAnsi="Arial" w:cs="Arial"/>
          <w:b/>
          <w:sz w:val="22"/>
          <w:szCs w:val="22"/>
        </w:rPr>
        <w:t>NRC Response:</w:t>
      </w:r>
      <w:r w:rsidRPr="00264959">
        <w:rPr>
          <w:rFonts w:ascii="Arial" w:hAnsi="Arial" w:cs="Arial"/>
          <w:sz w:val="22"/>
          <w:szCs w:val="22"/>
        </w:rPr>
        <w:t> The NRC agrees, in part, with the comments.</w:t>
      </w:r>
    </w:p>
    <w:p w:rsidR="00672EB5" w:rsidRPr="00264959" w:rsidP="00264959" w14:paraId="12223A04" w14:textId="77777777">
      <w:pPr>
        <w:spacing w:after="220"/>
        <w:rPr>
          <w:rFonts w:ascii="Arial" w:eastAsia="Times New Roman" w:hAnsi="Arial" w:cs="Arial"/>
          <w:sz w:val="22"/>
          <w:szCs w:val="22"/>
        </w:rPr>
      </w:pPr>
      <w:r w:rsidRPr="00264959">
        <w:rPr>
          <w:rFonts w:ascii="Arial" w:eastAsia="Times New Roman" w:hAnsi="Arial" w:cs="Arial"/>
          <w:sz w:val="22"/>
          <w:szCs w:val="22"/>
        </w:rPr>
        <w:t>The regulations within 10 CFR Part 53 require applicants and licensees to identify appropriate special treatments for SSCs to fulfill functional design requirements associated with either design</w:t>
      </w:r>
      <w:r w:rsidR="008C4102">
        <w:rPr>
          <w:rFonts w:ascii="Arial" w:eastAsia="Times New Roman" w:hAnsi="Arial" w:cs="Arial"/>
          <w:sz w:val="22"/>
          <w:szCs w:val="22"/>
        </w:rPr>
        <w:t>-</w:t>
      </w:r>
      <w:r w:rsidRPr="00264959">
        <w:rPr>
          <w:rFonts w:ascii="Arial" w:eastAsia="Times New Roman" w:hAnsi="Arial" w:cs="Arial"/>
          <w:sz w:val="22"/>
          <w:szCs w:val="22"/>
        </w:rPr>
        <w:t>basis accidents or licensing</w:t>
      </w:r>
      <w:r w:rsidR="00505C1D">
        <w:rPr>
          <w:rFonts w:ascii="Arial" w:eastAsia="Times New Roman" w:hAnsi="Arial" w:cs="Arial"/>
          <w:sz w:val="22"/>
          <w:szCs w:val="22"/>
        </w:rPr>
        <w:noBreakHyphen/>
      </w:r>
      <w:r w:rsidRPr="00264959">
        <w:rPr>
          <w:rFonts w:ascii="Arial" w:eastAsia="Times New Roman" w:hAnsi="Arial" w:cs="Arial"/>
          <w:sz w:val="22"/>
          <w:szCs w:val="22"/>
        </w:rPr>
        <w:t>basis events other than design</w:t>
      </w:r>
      <w:r w:rsidR="008C4102">
        <w:rPr>
          <w:rFonts w:ascii="Arial" w:eastAsia="Times New Roman" w:hAnsi="Arial" w:cs="Arial"/>
          <w:sz w:val="22"/>
          <w:szCs w:val="22"/>
        </w:rPr>
        <w:t>-</w:t>
      </w:r>
      <w:r w:rsidRPr="00264959">
        <w:rPr>
          <w:rFonts w:ascii="Arial" w:eastAsia="Times New Roman" w:hAnsi="Arial" w:cs="Arial"/>
          <w:sz w:val="22"/>
          <w:szCs w:val="22"/>
        </w:rPr>
        <w:t>basis accidents. This provides both a technology-inclusive approach and flexibility to applicants and licensees in defining the role of various SSCs and programmatic controls to meet safety criteria in Subpart</w:t>
      </w:r>
      <w:r w:rsidR="00B51917">
        <w:rPr>
          <w:rFonts w:ascii="Arial" w:eastAsia="Times New Roman" w:hAnsi="Arial" w:cs="Arial"/>
          <w:sz w:val="22"/>
          <w:szCs w:val="22"/>
        </w:rPr>
        <w:t> </w:t>
      </w:r>
      <w:r w:rsidRPr="00264959">
        <w:rPr>
          <w:rFonts w:ascii="Arial" w:eastAsia="Times New Roman" w:hAnsi="Arial" w:cs="Arial"/>
          <w:sz w:val="22"/>
          <w:szCs w:val="22"/>
        </w:rPr>
        <w:t>B.</w:t>
      </w:r>
      <w:r w:rsidRPr="00264959" w:rsidR="008A16C7">
        <w:rPr>
          <w:rFonts w:ascii="Arial" w:eastAsia="Times New Roman" w:hAnsi="Arial" w:cs="Arial"/>
          <w:sz w:val="22"/>
          <w:szCs w:val="22"/>
        </w:rPr>
        <w:t xml:space="preserve"> </w:t>
      </w:r>
      <w:r w:rsidRPr="00264959" w:rsidR="00043E25">
        <w:rPr>
          <w:rFonts w:ascii="Arial" w:eastAsia="Times New Roman" w:hAnsi="Arial" w:cs="Arial"/>
          <w:sz w:val="22"/>
          <w:szCs w:val="22"/>
        </w:rPr>
        <w:t xml:space="preserve">Contrary to the comment’s suggestion, </w:t>
      </w:r>
      <w:r w:rsidRPr="00264959" w:rsidR="007F2D9A">
        <w:rPr>
          <w:rFonts w:ascii="Arial" w:eastAsia="Times New Roman" w:hAnsi="Arial" w:cs="Arial"/>
          <w:sz w:val="22"/>
          <w:szCs w:val="22"/>
        </w:rPr>
        <w:t xml:space="preserve">the NRC </w:t>
      </w:r>
      <w:r w:rsidRPr="00264959" w:rsidR="00043E25">
        <w:rPr>
          <w:rFonts w:ascii="Arial" w:eastAsia="Times New Roman" w:hAnsi="Arial" w:cs="Arial"/>
          <w:sz w:val="22"/>
          <w:szCs w:val="22"/>
        </w:rPr>
        <w:t>expects that SR SSCs and NSRSS SSCs will receive differing regulatory treatment when appropriate, based on this flexibility.</w:t>
      </w:r>
      <w:r w:rsidRPr="00264959" w:rsidR="008A16C7">
        <w:rPr>
          <w:rFonts w:ascii="Arial" w:eastAsia="Times New Roman" w:hAnsi="Arial" w:cs="Arial"/>
          <w:sz w:val="22"/>
          <w:szCs w:val="22"/>
        </w:rPr>
        <w:t xml:space="preserve"> </w:t>
      </w:r>
    </w:p>
    <w:p w:rsidR="00672EB5" w:rsidRPr="00264959" w:rsidP="00264959" w14:paraId="46186AEB" w14:textId="77777777">
      <w:pPr>
        <w:spacing w:after="220"/>
        <w:rPr>
          <w:rFonts w:ascii="Arial" w:eastAsia="Times New Roman" w:hAnsi="Arial" w:cs="Arial"/>
          <w:sz w:val="22"/>
          <w:szCs w:val="22"/>
        </w:rPr>
      </w:pPr>
      <w:r w:rsidRPr="00264959">
        <w:rPr>
          <w:rFonts w:ascii="Arial" w:eastAsia="Times New Roman" w:hAnsi="Arial" w:cs="Arial"/>
          <w:sz w:val="22"/>
          <w:szCs w:val="22"/>
        </w:rPr>
        <w:t>The NRC disagrees with deleting 10 CFR 53.460(b) and revising 10 CFR 53.865 as suggested because, in combination with changes to the definition of the term “special treatment” in 10</w:t>
      </w:r>
      <w:r w:rsidR="004F5C6D">
        <w:rPr>
          <w:rFonts w:ascii="Arial" w:eastAsia="Times New Roman" w:hAnsi="Arial" w:cs="Arial"/>
          <w:sz w:val="22"/>
          <w:szCs w:val="22"/>
        </w:rPr>
        <w:t> </w:t>
      </w:r>
      <w:r w:rsidRPr="00264959">
        <w:rPr>
          <w:rFonts w:ascii="Arial" w:eastAsia="Times New Roman" w:hAnsi="Arial" w:cs="Arial"/>
          <w:sz w:val="22"/>
          <w:szCs w:val="22"/>
        </w:rPr>
        <w:t>CFR</w:t>
      </w:r>
      <w:r w:rsidR="004F5C6D">
        <w:rPr>
          <w:rFonts w:ascii="Arial" w:eastAsia="Times New Roman" w:hAnsi="Arial" w:cs="Arial"/>
          <w:sz w:val="22"/>
          <w:szCs w:val="22"/>
        </w:rPr>
        <w:t> </w:t>
      </w:r>
      <w:r w:rsidRPr="00264959">
        <w:rPr>
          <w:rFonts w:ascii="Arial" w:eastAsia="Times New Roman" w:hAnsi="Arial" w:cs="Arial"/>
          <w:sz w:val="22"/>
          <w:szCs w:val="22"/>
        </w:rPr>
        <w:t>53.020, 10 CFR 53.460(b) conveys that the regulatory treatment of NSRSS SSCs depends on the conditions under which they must perform their intended safety function.</w:t>
      </w:r>
      <w:r w:rsidR="005166C1">
        <w:rPr>
          <w:rFonts w:ascii="Arial" w:eastAsia="Times New Roman" w:hAnsi="Arial" w:cs="Arial"/>
          <w:sz w:val="22"/>
          <w:szCs w:val="22"/>
        </w:rPr>
        <w:t xml:space="preserve"> </w:t>
      </w:r>
      <w:r w:rsidRPr="005F3399" w:rsidR="005166C1">
        <w:rPr>
          <w:rFonts w:ascii="Arial" w:eastAsia="Times New Roman" w:hAnsi="Arial" w:cs="Arial"/>
          <w:sz w:val="22"/>
          <w:szCs w:val="22"/>
        </w:rPr>
        <w:t>Accordingly, the NRC did not change the rule language in response to this comment.</w:t>
      </w:r>
    </w:p>
    <w:p w:rsidR="001911F1" w:rsidRPr="00264959" w:rsidP="00264959" w14:paraId="31CA8D71" w14:textId="77777777">
      <w:pPr>
        <w:spacing w:after="220"/>
        <w:rPr>
          <w:rFonts w:ascii="Arial" w:hAnsi="Arial" w:cs="Arial"/>
          <w:sz w:val="22"/>
          <w:szCs w:val="22"/>
        </w:rPr>
      </w:pPr>
      <w:r w:rsidRPr="00264959">
        <w:rPr>
          <w:rFonts w:ascii="Arial" w:eastAsia="Times New Roman" w:hAnsi="Arial" w:cs="Arial"/>
          <w:sz w:val="22"/>
          <w:szCs w:val="22"/>
        </w:rPr>
        <w:t>The NRC agrees</w:t>
      </w:r>
      <w:r w:rsidRPr="00264959" w:rsidR="00E71333">
        <w:rPr>
          <w:rFonts w:ascii="Arial" w:eastAsia="Times New Roman" w:hAnsi="Arial" w:cs="Arial"/>
          <w:sz w:val="22"/>
          <w:szCs w:val="22"/>
        </w:rPr>
        <w:t>,</w:t>
      </w:r>
      <w:r w:rsidRPr="00264959">
        <w:rPr>
          <w:rFonts w:ascii="Arial" w:eastAsia="Times New Roman" w:hAnsi="Arial" w:cs="Arial"/>
          <w:sz w:val="22"/>
          <w:szCs w:val="22"/>
        </w:rPr>
        <w:t xml:space="preserve"> in part</w:t>
      </w:r>
      <w:r w:rsidRPr="00264959" w:rsidR="00E71333">
        <w:rPr>
          <w:rFonts w:ascii="Arial" w:eastAsia="Times New Roman" w:hAnsi="Arial" w:cs="Arial"/>
          <w:sz w:val="22"/>
          <w:szCs w:val="22"/>
        </w:rPr>
        <w:t>,</w:t>
      </w:r>
      <w:r w:rsidRPr="00264959">
        <w:rPr>
          <w:rFonts w:ascii="Arial" w:eastAsia="Times New Roman" w:hAnsi="Arial" w:cs="Arial"/>
          <w:sz w:val="22"/>
          <w:szCs w:val="22"/>
        </w:rPr>
        <w:t xml:space="preserve"> with revising the requirement in 10 CFR 53.460(c) but not the total relocation of the requirement because the need to account for human actions may be an important attribute of certain special treatments for SSCs. </w:t>
      </w:r>
      <w:r w:rsidR="001B4EAE">
        <w:rPr>
          <w:rFonts w:ascii="Arial" w:eastAsia="Times New Roman" w:hAnsi="Arial" w:cs="Arial"/>
          <w:sz w:val="22"/>
          <w:szCs w:val="22"/>
        </w:rPr>
        <w:t>Accordingly, t</w:t>
      </w:r>
      <w:r w:rsidRPr="00264959">
        <w:rPr>
          <w:rFonts w:ascii="Arial" w:eastAsia="Times New Roman" w:hAnsi="Arial" w:cs="Arial"/>
          <w:sz w:val="22"/>
          <w:szCs w:val="22"/>
        </w:rPr>
        <w:t>he</w:t>
      </w:r>
      <w:r w:rsidRPr="00264959" w:rsidR="0061594D">
        <w:rPr>
          <w:rFonts w:ascii="Arial" w:eastAsia="Times New Roman" w:hAnsi="Arial" w:cs="Arial"/>
          <w:sz w:val="22"/>
          <w:szCs w:val="22"/>
        </w:rPr>
        <w:t xml:space="preserve"> NRC </w:t>
      </w:r>
      <w:r w:rsidR="00CC4232">
        <w:rPr>
          <w:rFonts w:ascii="Arial" w:eastAsia="Times New Roman" w:hAnsi="Arial" w:cs="Arial"/>
          <w:sz w:val="22"/>
          <w:szCs w:val="22"/>
        </w:rPr>
        <w:t>revised</w:t>
      </w:r>
      <w:r w:rsidRPr="00264959">
        <w:rPr>
          <w:rFonts w:ascii="Arial" w:eastAsia="Times New Roman" w:hAnsi="Arial" w:cs="Arial"/>
          <w:sz w:val="22"/>
          <w:szCs w:val="22"/>
        </w:rPr>
        <w:t xml:space="preserve"> the requirement in 10 CFR 53.460(c) to focus more on special treatments for SSCs related to human action versus the actual performance of the human actions.</w:t>
      </w:r>
    </w:p>
    <w:p w:rsidR="009356AE" w:rsidRPr="00F97A1B" w:rsidP="00264959" w14:paraId="42A0FA3F" w14:textId="77777777">
      <w:pPr>
        <w:spacing w:after="220"/>
        <w:rPr>
          <w:rFonts w:ascii="Arial" w:hAnsi="Arial" w:cs="Arial"/>
        </w:rPr>
      </w:pPr>
      <w:r>
        <w:rPr>
          <w:rFonts w:ascii="Arial" w:hAnsi="Arial" w:cs="Arial"/>
          <w:sz w:val="22"/>
          <w:szCs w:val="22"/>
        </w:rPr>
        <w:pict>
          <v:rect id="_x0000_i1126" style="width:0;height:1.5pt" o:hralign="center" o:hrstd="t" o:hrnoshade="t" o:hr="t" fillcolor="black" stroked="f"/>
        </w:pict>
      </w:r>
    </w:p>
    <w:p w:rsidR="00D34753" w:rsidRPr="00264959" w:rsidP="00264959" w14:paraId="34AD26B1" w14:textId="77777777">
      <w:pPr>
        <w:spacing w:after="220"/>
        <w:rPr>
          <w:rFonts w:ascii="Arial" w:eastAsia="Aptos" w:hAnsi="Arial" w:cs="Arial"/>
          <w:sz w:val="22"/>
          <w:szCs w:val="22"/>
        </w:rPr>
      </w:pPr>
      <w:r w:rsidRPr="00264959">
        <w:rPr>
          <w:rFonts w:ascii="Arial" w:hAnsi="Arial" w:cs="Arial"/>
          <w:b/>
          <w:sz w:val="22"/>
          <w:szCs w:val="22"/>
        </w:rPr>
        <w:t xml:space="preserve">Comment Bin </w:t>
      </w:r>
      <w:r w:rsidRPr="00264959" w:rsidR="00BD3C07">
        <w:rPr>
          <w:rFonts w:ascii="Arial" w:hAnsi="Arial" w:cs="Arial"/>
          <w:b/>
          <w:sz w:val="22"/>
          <w:szCs w:val="22"/>
        </w:rPr>
        <w:t>3.3.2.3.B</w:t>
      </w:r>
      <w:r w:rsidRPr="00264959">
        <w:rPr>
          <w:rFonts w:ascii="Arial" w:hAnsi="Arial" w:cs="Arial"/>
          <w:b/>
          <w:sz w:val="22"/>
          <w:szCs w:val="22"/>
        </w:rPr>
        <w:t>:</w:t>
      </w:r>
      <w:r w:rsidRPr="00264959">
        <w:rPr>
          <w:rFonts w:ascii="Arial" w:hAnsi="Arial" w:cs="Arial"/>
          <w:sz w:val="22"/>
          <w:szCs w:val="22"/>
        </w:rPr>
        <w:t xml:space="preserve"> </w:t>
      </w:r>
      <w:r w:rsidRPr="00264959">
        <w:rPr>
          <w:rFonts w:ascii="Arial" w:eastAsia="Aptos" w:hAnsi="Arial" w:cs="Arial"/>
          <w:sz w:val="22"/>
          <w:szCs w:val="22"/>
        </w:rPr>
        <w:t xml:space="preserve">Two commenters stated 10 CFR 53.470 is not needed </w:t>
      </w:r>
      <w:r w:rsidRPr="00D06C63">
        <w:rPr>
          <w:rFonts w:ascii="Arial" w:eastAsia="Aptos" w:hAnsi="Arial" w:cs="Arial"/>
          <w:sz w:val="22"/>
          <w:szCs w:val="22"/>
        </w:rPr>
        <w:t>(</w:t>
      </w:r>
      <w:r w:rsidRPr="00D06C63" w:rsidR="00D06C63">
        <w:rPr>
          <w:rFonts w:ascii="Arial" w:eastAsia="Times New Roman" w:hAnsi="Arial" w:cs="Arial"/>
          <w:color w:val="000000"/>
          <w:sz w:val="22"/>
          <w:szCs w:val="22"/>
        </w:rPr>
        <w:t>TG21</w:t>
      </w:r>
      <w:r w:rsidRPr="00D06C63">
        <w:rPr>
          <w:rFonts w:ascii="Arial" w:eastAsia="Aptos" w:hAnsi="Arial" w:cs="Arial"/>
          <w:sz w:val="22"/>
          <w:szCs w:val="22"/>
        </w:rPr>
        <w:t>-0</w:t>
      </w:r>
      <w:r w:rsidRPr="00264959">
        <w:rPr>
          <w:rFonts w:ascii="Arial" w:eastAsia="Aptos" w:hAnsi="Arial" w:cs="Arial"/>
          <w:sz w:val="22"/>
          <w:szCs w:val="22"/>
        </w:rPr>
        <w:t xml:space="preserve">001, </w:t>
      </w:r>
      <w:r w:rsidR="009D6BB9">
        <w:rPr>
          <w:rFonts w:ascii="Arial" w:eastAsia="Aptos" w:hAnsi="Arial" w:cs="Arial"/>
          <w:sz w:val="22"/>
          <w:szCs w:val="22"/>
        </w:rPr>
        <w:t>NEI2</w:t>
      </w:r>
      <w:r w:rsidRPr="00264959">
        <w:rPr>
          <w:rFonts w:ascii="Arial" w:eastAsia="Aptos" w:hAnsi="Arial" w:cs="Arial"/>
          <w:sz w:val="22"/>
          <w:szCs w:val="22"/>
        </w:rPr>
        <w:t xml:space="preserve">-0055). </w:t>
      </w:r>
      <w:r w:rsidRPr="00264959">
        <w:rPr>
          <w:rFonts w:ascii="Arial" w:eastAsia="Times New Roman" w:hAnsi="Arial" w:cs="Arial"/>
          <w:sz w:val="22"/>
          <w:szCs w:val="22"/>
        </w:rPr>
        <w:t>One commenter stated that it is confusing in that it is not clear what the alternative criteria are supposed to be, nor what benefit in operational flexibility would result from using the alternative criteria, and the requirement is little used in the rest of 10 CFR Part 53. The commenter also expressed concern that 10</w:t>
      </w:r>
      <w:r w:rsidR="008E687B">
        <w:rPr>
          <w:rFonts w:ascii="Arial" w:eastAsia="Times New Roman" w:hAnsi="Arial" w:cs="Arial"/>
          <w:sz w:val="22"/>
          <w:szCs w:val="22"/>
        </w:rPr>
        <w:t> </w:t>
      </w:r>
      <w:r w:rsidRPr="00264959">
        <w:rPr>
          <w:rFonts w:ascii="Arial" w:eastAsia="Times New Roman" w:hAnsi="Arial" w:cs="Arial"/>
          <w:sz w:val="22"/>
          <w:szCs w:val="22"/>
        </w:rPr>
        <w:t>CFR</w:t>
      </w:r>
      <w:r w:rsidR="008E687B">
        <w:rPr>
          <w:rFonts w:ascii="Arial" w:eastAsia="Times New Roman" w:hAnsi="Arial" w:cs="Arial"/>
          <w:sz w:val="22"/>
          <w:szCs w:val="22"/>
        </w:rPr>
        <w:t> </w:t>
      </w:r>
      <w:r w:rsidRPr="00264959">
        <w:rPr>
          <w:rFonts w:ascii="Arial" w:eastAsia="Times New Roman" w:hAnsi="Arial" w:cs="Arial"/>
          <w:sz w:val="22"/>
          <w:szCs w:val="22"/>
        </w:rPr>
        <w:t>53.470 could be used inappropriately to force more strict criteria on designs to achieve the same operational flexibility that is provided in 10 CFR Part 50 and</w:t>
      </w:r>
      <w:r w:rsidR="00A9738B">
        <w:rPr>
          <w:rFonts w:ascii="Arial" w:eastAsia="Times New Roman" w:hAnsi="Arial" w:cs="Arial"/>
          <w:sz w:val="22"/>
          <w:szCs w:val="22"/>
        </w:rPr>
        <w:t xml:space="preserve"> 10 CFR Part</w:t>
      </w:r>
      <w:r w:rsidRPr="00264959">
        <w:rPr>
          <w:rFonts w:ascii="Arial" w:eastAsia="Times New Roman" w:hAnsi="Arial" w:cs="Arial"/>
          <w:sz w:val="22"/>
          <w:szCs w:val="22"/>
        </w:rPr>
        <w:t xml:space="preserve"> 52 without an equivalent requirement in those parts. The same commenter suggested either deleting 10</w:t>
      </w:r>
      <w:r w:rsidR="008E687B">
        <w:rPr>
          <w:rFonts w:ascii="Arial" w:eastAsia="Times New Roman" w:hAnsi="Arial" w:cs="Arial"/>
          <w:sz w:val="22"/>
          <w:szCs w:val="22"/>
        </w:rPr>
        <w:t> </w:t>
      </w:r>
      <w:r w:rsidRPr="00264959">
        <w:rPr>
          <w:rFonts w:ascii="Arial" w:eastAsia="Times New Roman" w:hAnsi="Arial" w:cs="Arial"/>
          <w:sz w:val="22"/>
          <w:szCs w:val="22"/>
        </w:rPr>
        <w:t>CFR 53.470 or clarifying in the rule language that exemptions would not be needed if the NRC staff determines that margins justify deviation from the regulatory requirements. In the event that 10 CFR 53.470 remains, the commenter suggested supporting it with regulatory guidance providing information on what potential benefit is gained by the optional requirement (</w:t>
      </w:r>
      <w:r w:rsidR="009D6BB9">
        <w:rPr>
          <w:rFonts w:ascii="Arial" w:eastAsia="Aptos" w:hAnsi="Arial" w:cs="Arial"/>
          <w:sz w:val="22"/>
          <w:szCs w:val="22"/>
        </w:rPr>
        <w:t>NEI2</w:t>
      </w:r>
      <w:r w:rsidRPr="00264959">
        <w:rPr>
          <w:rFonts w:ascii="Arial" w:eastAsia="Aptos" w:hAnsi="Arial" w:cs="Arial"/>
          <w:sz w:val="22"/>
          <w:szCs w:val="22"/>
        </w:rPr>
        <w:t>-0055).</w:t>
      </w:r>
    </w:p>
    <w:p w:rsidR="00431BBA" w:rsidRPr="00264959" w:rsidP="00264959" w14:paraId="71B22C0A" w14:textId="77777777">
      <w:pPr>
        <w:spacing w:after="220"/>
        <w:rPr>
          <w:rFonts w:ascii="Arial" w:eastAsia="Aptos" w:hAnsi="Arial" w:cs="Arial"/>
          <w:sz w:val="22"/>
          <w:szCs w:val="22"/>
        </w:rPr>
      </w:pPr>
      <w:r w:rsidRPr="00264959">
        <w:rPr>
          <w:rFonts w:ascii="Arial" w:eastAsia="Aptos" w:hAnsi="Arial" w:cs="Arial"/>
          <w:sz w:val="22"/>
          <w:szCs w:val="22"/>
        </w:rPr>
        <w:t xml:space="preserve">Another commenter questioned the need for the section, noting that if a plant owner can accept more restrictive requirements, why can they not just operate the plant within those </w:t>
      </w:r>
      <w:r w:rsidRPr="00264959">
        <w:rPr>
          <w:rFonts w:ascii="Arial" w:eastAsia="Aptos" w:hAnsi="Arial" w:cs="Arial"/>
          <w:sz w:val="22"/>
          <w:szCs w:val="22"/>
        </w:rPr>
        <w:t>requirements, and asked if this is any different than what the current operating fleet has done. The commenter also stated that it seems impossible to easily incorporate any changes necessary to acquire the desired flexibility into existing design features due to present "intellectual property" interpretations. Additionally, the commenter expressed concern about 10</w:t>
      </w:r>
      <w:r w:rsidR="008E687B">
        <w:rPr>
          <w:rFonts w:ascii="Arial" w:eastAsia="Aptos" w:hAnsi="Arial" w:cs="Arial"/>
          <w:sz w:val="22"/>
          <w:szCs w:val="22"/>
        </w:rPr>
        <w:t> </w:t>
      </w:r>
      <w:r w:rsidRPr="00264959">
        <w:rPr>
          <w:rFonts w:ascii="Arial" w:eastAsia="Aptos" w:hAnsi="Arial" w:cs="Arial"/>
          <w:sz w:val="22"/>
          <w:szCs w:val="22"/>
        </w:rPr>
        <w:t>CFR 53.470 not requiring any reporting or NRC approval before implementing operational flexibilities (</w:t>
      </w:r>
      <w:r w:rsidRPr="00D06C63" w:rsidR="00D06C63">
        <w:rPr>
          <w:rFonts w:ascii="Arial" w:eastAsia="Times New Roman" w:hAnsi="Arial" w:cs="Arial"/>
          <w:color w:val="000000"/>
          <w:sz w:val="22"/>
          <w:szCs w:val="22"/>
        </w:rPr>
        <w:t>TG21</w:t>
      </w:r>
      <w:r w:rsidRPr="00D06C63">
        <w:rPr>
          <w:rFonts w:ascii="Arial" w:eastAsia="Aptos" w:hAnsi="Arial" w:cs="Arial"/>
          <w:sz w:val="22"/>
          <w:szCs w:val="22"/>
        </w:rPr>
        <w:t>-00</w:t>
      </w:r>
      <w:r w:rsidRPr="00264959">
        <w:rPr>
          <w:rFonts w:ascii="Arial" w:eastAsia="Aptos" w:hAnsi="Arial" w:cs="Arial"/>
          <w:sz w:val="22"/>
          <w:szCs w:val="22"/>
        </w:rPr>
        <w:t>01).</w:t>
      </w:r>
    </w:p>
    <w:p w:rsidR="00431BBA" w:rsidRPr="00264959" w:rsidP="00264959" w14:paraId="5B50705F" w14:textId="77777777">
      <w:pPr>
        <w:spacing w:after="220"/>
        <w:rPr>
          <w:rFonts w:ascii="Arial" w:hAnsi="Arial" w:cs="Arial"/>
          <w:sz w:val="22"/>
          <w:szCs w:val="22"/>
        </w:rPr>
      </w:pPr>
      <w:r w:rsidRPr="00264959">
        <w:rPr>
          <w:rFonts w:ascii="Arial" w:hAnsi="Arial" w:cs="Arial"/>
          <w:b/>
          <w:sz w:val="22"/>
          <w:szCs w:val="22"/>
        </w:rPr>
        <w:t>NRC Response:</w:t>
      </w:r>
      <w:r w:rsidRPr="00264959">
        <w:rPr>
          <w:rFonts w:ascii="Arial" w:hAnsi="Arial" w:cs="Arial"/>
          <w:sz w:val="22"/>
          <w:szCs w:val="22"/>
        </w:rPr>
        <w:t> The NRC agrees</w:t>
      </w:r>
      <w:r w:rsidR="00E85909">
        <w:rPr>
          <w:rFonts w:ascii="Arial" w:hAnsi="Arial" w:cs="Arial"/>
          <w:sz w:val="22"/>
          <w:szCs w:val="22"/>
        </w:rPr>
        <w:t>, in part,</w:t>
      </w:r>
      <w:r w:rsidRPr="00264959">
        <w:rPr>
          <w:rFonts w:ascii="Arial" w:hAnsi="Arial" w:cs="Arial"/>
          <w:sz w:val="22"/>
          <w:szCs w:val="22"/>
        </w:rPr>
        <w:t xml:space="preserve"> with the comments.</w:t>
      </w:r>
    </w:p>
    <w:p w:rsidR="00431BBA" w:rsidP="00264959" w14:paraId="37F3C65A" w14:textId="77777777">
      <w:pPr>
        <w:spacing w:after="220"/>
        <w:rPr>
          <w:rFonts w:ascii="Arial" w:hAnsi="Arial" w:cs="Arial"/>
          <w:sz w:val="22"/>
          <w:szCs w:val="22"/>
        </w:rPr>
      </w:pPr>
      <w:r w:rsidRPr="00264959">
        <w:rPr>
          <w:rFonts w:ascii="Arial" w:hAnsi="Arial" w:cs="Arial"/>
          <w:sz w:val="22"/>
          <w:szCs w:val="22"/>
        </w:rPr>
        <w:t xml:space="preserve">As explained in the proposed and final rules, </w:t>
      </w:r>
      <w:r w:rsidR="00125D03">
        <w:rPr>
          <w:rFonts w:ascii="Arial" w:hAnsi="Arial" w:cs="Arial"/>
          <w:sz w:val="22"/>
          <w:szCs w:val="22"/>
        </w:rPr>
        <w:t>P</w:t>
      </w:r>
      <w:r w:rsidR="00E350C4">
        <w:rPr>
          <w:rFonts w:ascii="Arial" w:hAnsi="Arial" w:cs="Arial"/>
          <w:sz w:val="22"/>
          <w:szCs w:val="22"/>
        </w:rPr>
        <w:t>art 53</w:t>
      </w:r>
      <w:r w:rsidRPr="00264959">
        <w:rPr>
          <w:rFonts w:ascii="Arial" w:hAnsi="Arial" w:cs="Arial"/>
          <w:sz w:val="22"/>
          <w:szCs w:val="22"/>
        </w:rPr>
        <w:t xml:space="preserve"> allows an applicant or licensee to seek operational flexibilities by </w:t>
      </w:r>
      <w:r w:rsidR="007B6D3B">
        <w:rPr>
          <w:rFonts w:ascii="Arial" w:hAnsi="Arial" w:cs="Arial"/>
          <w:sz w:val="22"/>
          <w:szCs w:val="22"/>
        </w:rPr>
        <w:t>establishing analys</w:t>
      </w:r>
      <w:r w:rsidR="008F7131">
        <w:rPr>
          <w:rFonts w:ascii="Arial" w:hAnsi="Arial" w:cs="Arial"/>
          <w:sz w:val="22"/>
          <w:szCs w:val="22"/>
        </w:rPr>
        <w:t>i</w:t>
      </w:r>
      <w:r w:rsidR="007B6D3B">
        <w:rPr>
          <w:rFonts w:ascii="Arial" w:hAnsi="Arial" w:cs="Arial"/>
          <w:sz w:val="22"/>
          <w:szCs w:val="22"/>
        </w:rPr>
        <w:t>s</w:t>
      </w:r>
      <w:r w:rsidRPr="00264959">
        <w:rPr>
          <w:rFonts w:ascii="Arial" w:hAnsi="Arial" w:cs="Arial"/>
          <w:sz w:val="22"/>
          <w:szCs w:val="22"/>
        </w:rPr>
        <w:t xml:space="preserve"> criteria </w:t>
      </w:r>
      <w:r w:rsidRPr="00264959" w:rsidR="00D5065B">
        <w:rPr>
          <w:rFonts w:ascii="Arial" w:hAnsi="Arial" w:cs="Arial"/>
          <w:sz w:val="22"/>
          <w:szCs w:val="22"/>
        </w:rPr>
        <w:t>tha</w:t>
      </w:r>
      <w:r w:rsidR="00D5065B">
        <w:rPr>
          <w:rFonts w:ascii="Arial" w:hAnsi="Arial" w:cs="Arial"/>
          <w:sz w:val="22"/>
          <w:szCs w:val="22"/>
        </w:rPr>
        <w:t>t</w:t>
      </w:r>
      <w:r w:rsidRPr="00264959" w:rsidR="00D5065B">
        <w:rPr>
          <w:rFonts w:ascii="Arial" w:hAnsi="Arial" w:cs="Arial"/>
          <w:sz w:val="22"/>
          <w:szCs w:val="22"/>
        </w:rPr>
        <w:t xml:space="preserve"> </w:t>
      </w:r>
      <w:r w:rsidR="00D5065B">
        <w:rPr>
          <w:rFonts w:ascii="Arial" w:hAnsi="Arial" w:cs="Arial"/>
          <w:sz w:val="22"/>
          <w:szCs w:val="22"/>
        </w:rPr>
        <w:t xml:space="preserve">may be more restrictive </w:t>
      </w:r>
      <w:r w:rsidR="00E45248">
        <w:rPr>
          <w:rFonts w:ascii="Arial" w:hAnsi="Arial" w:cs="Arial"/>
          <w:sz w:val="22"/>
          <w:szCs w:val="22"/>
        </w:rPr>
        <w:t>tha</w:t>
      </w:r>
      <w:r w:rsidR="005D5AF4">
        <w:rPr>
          <w:rFonts w:ascii="Arial" w:hAnsi="Arial" w:cs="Arial"/>
          <w:sz w:val="22"/>
          <w:szCs w:val="22"/>
        </w:rPr>
        <w:t>n</w:t>
      </w:r>
      <w:r w:rsidR="00CB4580">
        <w:rPr>
          <w:rFonts w:ascii="Arial" w:hAnsi="Arial" w:cs="Arial"/>
          <w:sz w:val="22"/>
          <w:szCs w:val="22"/>
        </w:rPr>
        <w:t xml:space="preserve"> </w:t>
      </w:r>
      <w:r w:rsidR="0014319E">
        <w:rPr>
          <w:rFonts w:ascii="Arial" w:hAnsi="Arial" w:cs="Arial"/>
          <w:sz w:val="22"/>
          <w:szCs w:val="22"/>
        </w:rPr>
        <w:t xml:space="preserve">otherwise could be </w:t>
      </w:r>
      <w:r w:rsidR="001B5862">
        <w:rPr>
          <w:rFonts w:ascii="Arial" w:hAnsi="Arial" w:cs="Arial"/>
          <w:sz w:val="22"/>
          <w:szCs w:val="22"/>
        </w:rPr>
        <w:t>proposed under</w:t>
      </w:r>
      <w:r w:rsidRPr="00264959">
        <w:rPr>
          <w:rFonts w:ascii="Arial" w:hAnsi="Arial" w:cs="Arial"/>
          <w:sz w:val="22"/>
          <w:szCs w:val="22"/>
        </w:rPr>
        <w:t xml:space="preserve"> 10</w:t>
      </w:r>
      <w:r w:rsidR="008E687B">
        <w:rPr>
          <w:rFonts w:ascii="Arial" w:hAnsi="Arial" w:cs="Arial"/>
          <w:sz w:val="22"/>
          <w:szCs w:val="22"/>
        </w:rPr>
        <w:t> </w:t>
      </w:r>
      <w:r w:rsidRPr="00264959">
        <w:rPr>
          <w:rFonts w:ascii="Arial" w:hAnsi="Arial" w:cs="Arial"/>
          <w:sz w:val="22"/>
          <w:szCs w:val="22"/>
        </w:rPr>
        <w:t>CFR</w:t>
      </w:r>
      <w:r w:rsidR="008E687B">
        <w:rPr>
          <w:rFonts w:ascii="Arial" w:hAnsi="Arial" w:cs="Arial"/>
          <w:sz w:val="22"/>
          <w:szCs w:val="22"/>
        </w:rPr>
        <w:t> </w:t>
      </w:r>
      <w:r w:rsidRPr="00264959">
        <w:rPr>
          <w:rFonts w:ascii="Arial" w:hAnsi="Arial" w:cs="Arial"/>
          <w:sz w:val="22"/>
          <w:szCs w:val="22"/>
        </w:rPr>
        <w:t xml:space="preserve">53.220. An example is referring to estimated offsite consequences in terms of doses to a hypothetical individual that are lower than required under 10 CFR 53.220 to justify siting in relation to population centers. The NRC acknowledges that an alternative to </w:t>
      </w:r>
      <w:r w:rsidR="00E176A8">
        <w:rPr>
          <w:rFonts w:ascii="Arial" w:hAnsi="Arial" w:cs="Arial"/>
          <w:sz w:val="22"/>
          <w:szCs w:val="22"/>
        </w:rPr>
        <w:t xml:space="preserve">the </w:t>
      </w:r>
      <w:r w:rsidRPr="00264959">
        <w:rPr>
          <w:rFonts w:ascii="Arial" w:hAnsi="Arial" w:cs="Arial"/>
          <w:sz w:val="22"/>
          <w:szCs w:val="22"/>
        </w:rPr>
        <w:t xml:space="preserve">10 CFR 53.470 </w:t>
      </w:r>
      <w:r w:rsidR="00720BD9">
        <w:rPr>
          <w:rFonts w:ascii="Arial" w:hAnsi="Arial" w:cs="Arial"/>
          <w:sz w:val="22"/>
          <w:szCs w:val="22"/>
        </w:rPr>
        <w:t xml:space="preserve">included in the proposed rule </w:t>
      </w:r>
      <w:r w:rsidRPr="00264959">
        <w:rPr>
          <w:rFonts w:ascii="Arial" w:hAnsi="Arial" w:cs="Arial"/>
          <w:sz w:val="22"/>
          <w:szCs w:val="22"/>
        </w:rPr>
        <w:t>could be that the siting criteria from RG 4.7</w:t>
      </w:r>
      <w:r w:rsidR="005470E3">
        <w:rPr>
          <w:rFonts w:ascii="Arial" w:hAnsi="Arial" w:cs="Arial"/>
          <w:sz w:val="22"/>
          <w:szCs w:val="22"/>
        </w:rPr>
        <w:t>, “</w:t>
      </w:r>
      <w:r w:rsidRPr="001B7960" w:rsidR="001B7960">
        <w:rPr>
          <w:rFonts w:ascii="Arial" w:hAnsi="Arial" w:cs="Arial"/>
          <w:sz w:val="22"/>
          <w:szCs w:val="22"/>
        </w:rPr>
        <w:t xml:space="preserve">General Site Suitability Criteria </w:t>
      </w:r>
      <w:r w:rsidR="001B7960">
        <w:rPr>
          <w:rFonts w:ascii="Arial" w:hAnsi="Arial" w:cs="Arial"/>
          <w:sz w:val="22"/>
          <w:szCs w:val="22"/>
        </w:rPr>
        <w:t>f</w:t>
      </w:r>
      <w:r w:rsidRPr="001B7960" w:rsidR="001B7960">
        <w:rPr>
          <w:rFonts w:ascii="Arial" w:hAnsi="Arial" w:cs="Arial"/>
          <w:sz w:val="22"/>
          <w:szCs w:val="22"/>
        </w:rPr>
        <w:t>or Nuclear Power Stations</w:t>
      </w:r>
      <w:r w:rsidR="001B7960">
        <w:rPr>
          <w:rFonts w:ascii="Arial" w:hAnsi="Arial" w:cs="Arial"/>
          <w:sz w:val="22"/>
          <w:szCs w:val="22"/>
        </w:rPr>
        <w:t>,” issued February 2024 (</w:t>
      </w:r>
      <w:r w:rsidRPr="00901E1A" w:rsidR="00901E1A">
        <w:rPr>
          <w:rFonts w:ascii="Arial" w:hAnsi="Arial" w:cs="Arial"/>
          <w:sz w:val="22"/>
          <w:szCs w:val="22"/>
        </w:rPr>
        <w:t>ML23348A082</w:t>
      </w:r>
      <w:r w:rsidR="00901E1A">
        <w:rPr>
          <w:rFonts w:ascii="Arial" w:hAnsi="Arial" w:cs="Arial"/>
          <w:sz w:val="22"/>
          <w:szCs w:val="22"/>
        </w:rPr>
        <w:t>),</w:t>
      </w:r>
      <w:r w:rsidRPr="00264959" w:rsidR="001B7960">
        <w:rPr>
          <w:rFonts w:ascii="Arial" w:hAnsi="Arial" w:cs="Arial"/>
          <w:sz w:val="22"/>
          <w:szCs w:val="22"/>
        </w:rPr>
        <w:t xml:space="preserve"> </w:t>
      </w:r>
      <w:r w:rsidRPr="00264959">
        <w:rPr>
          <w:rFonts w:ascii="Arial" w:hAnsi="Arial" w:cs="Arial"/>
          <w:sz w:val="22"/>
          <w:szCs w:val="22"/>
        </w:rPr>
        <w:t>(e.g.,</w:t>
      </w:r>
      <w:r w:rsidR="00B70E05">
        <w:rPr>
          <w:rFonts w:ascii="Arial" w:hAnsi="Arial" w:cs="Arial"/>
          <w:sz w:val="22"/>
          <w:szCs w:val="22"/>
        </w:rPr>
        <w:t> </w:t>
      </w:r>
      <w:r w:rsidRPr="00264959">
        <w:rPr>
          <w:rFonts w:ascii="Arial" w:hAnsi="Arial" w:cs="Arial"/>
          <w:sz w:val="22"/>
          <w:szCs w:val="22"/>
        </w:rPr>
        <w:t>less than 1 rem over 30 days at a specified distance) could be adopted as part of risk performance objectives under 10 CFR 53.220 and thereby be integrated into the analyses and requirements for associated design features and programmatic controls.</w:t>
      </w:r>
      <w:r w:rsidR="00766810">
        <w:rPr>
          <w:rFonts w:ascii="Arial" w:hAnsi="Arial" w:cs="Arial"/>
          <w:sz w:val="22"/>
          <w:szCs w:val="22"/>
        </w:rPr>
        <w:t xml:space="preserve"> </w:t>
      </w:r>
      <w:r w:rsidR="00D51CBB">
        <w:rPr>
          <w:rFonts w:ascii="Arial" w:hAnsi="Arial" w:cs="Arial"/>
          <w:sz w:val="22"/>
          <w:szCs w:val="22"/>
        </w:rPr>
        <w:t xml:space="preserve">The comments </w:t>
      </w:r>
      <w:r w:rsidR="00984394">
        <w:rPr>
          <w:rFonts w:ascii="Arial" w:hAnsi="Arial" w:cs="Arial"/>
          <w:sz w:val="22"/>
          <w:szCs w:val="22"/>
        </w:rPr>
        <w:t xml:space="preserve">suggest that the integration of </w:t>
      </w:r>
      <w:r w:rsidR="00A31BA8">
        <w:rPr>
          <w:rFonts w:ascii="Arial" w:hAnsi="Arial" w:cs="Arial"/>
          <w:sz w:val="22"/>
          <w:szCs w:val="22"/>
        </w:rPr>
        <w:t xml:space="preserve">appropriate criteria for operational flexibilities </w:t>
      </w:r>
      <w:r w:rsidR="00E07A3D">
        <w:rPr>
          <w:rFonts w:ascii="Arial" w:hAnsi="Arial" w:cs="Arial"/>
          <w:sz w:val="22"/>
          <w:szCs w:val="22"/>
        </w:rPr>
        <w:t xml:space="preserve">into the requirements </w:t>
      </w:r>
      <w:r w:rsidR="008E2068">
        <w:rPr>
          <w:rFonts w:ascii="Arial" w:hAnsi="Arial" w:cs="Arial"/>
          <w:sz w:val="22"/>
          <w:szCs w:val="22"/>
        </w:rPr>
        <w:t>of</w:t>
      </w:r>
      <w:r w:rsidR="00E07A3D">
        <w:rPr>
          <w:rFonts w:ascii="Arial" w:hAnsi="Arial" w:cs="Arial"/>
          <w:sz w:val="22"/>
          <w:szCs w:val="22"/>
        </w:rPr>
        <w:t xml:space="preserve"> </w:t>
      </w:r>
      <w:r w:rsidR="00EE4111">
        <w:rPr>
          <w:rFonts w:ascii="Arial" w:hAnsi="Arial" w:cs="Arial"/>
          <w:sz w:val="22"/>
          <w:szCs w:val="22"/>
        </w:rPr>
        <w:t xml:space="preserve">10 CFR 53.220 </w:t>
      </w:r>
      <w:r w:rsidR="008E2068">
        <w:rPr>
          <w:rFonts w:ascii="Arial" w:hAnsi="Arial" w:cs="Arial"/>
          <w:sz w:val="22"/>
          <w:szCs w:val="22"/>
        </w:rPr>
        <w:t>is preferrable</w:t>
      </w:r>
      <w:r w:rsidR="00B577C6">
        <w:rPr>
          <w:rFonts w:ascii="Arial" w:hAnsi="Arial" w:cs="Arial"/>
          <w:sz w:val="22"/>
          <w:szCs w:val="22"/>
        </w:rPr>
        <w:t xml:space="preserve"> to </w:t>
      </w:r>
      <w:r w:rsidR="00CD4904">
        <w:rPr>
          <w:rFonts w:ascii="Arial" w:hAnsi="Arial" w:cs="Arial"/>
          <w:sz w:val="22"/>
          <w:szCs w:val="22"/>
        </w:rPr>
        <w:t xml:space="preserve">having a separate provision </w:t>
      </w:r>
      <w:r w:rsidR="00580679">
        <w:rPr>
          <w:rFonts w:ascii="Arial" w:hAnsi="Arial" w:cs="Arial"/>
          <w:sz w:val="22"/>
          <w:szCs w:val="22"/>
        </w:rPr>
        <w:t xml:space="preserve">such as the proposed </w:t>
      </w:r>
      <w:r w:rsidR="003D7F14">
        <w:rPr>
          <w:rFonts w:ascii="Arial" w:hAnsi="Arial" w:cs="Arial"/>
          <w:sz w:val="22"/>
          <w:szCs w:val="22"/>
        </w:rPr>
        <w:t>10 CFR 53.470.</w:t>
      </w:r>
    </w:p>
    <w:p w:rsidR="000F4909" w:rsidP="00264959" w14:paraId="1E0D3C5F" w14:textId="77777777">
      <w:pPr>
        <w:spacing w:after="220"/>
        <w:rPr>
          <w:rFonts w:ascii="Arial" w:hAnsi="Arial" w:cs="Arial"/>
          <w:sz w:val="22"/>
          <w:szCs w:val="22"/>
        </w:rPr>
      </w:pPr>
      <w:r w:rsidRPr="003D7F14">
        <w:rPr>
          <w:rFonts w:ascii="Arial" w:hAnsi="Arial" w:cs="Arial"/>
          <w:sz w:val="22"/>
          <w:szCs w:val="22"/>
        </w:rPr>
        <w:t>The NRC agrees</w:t>
      </w:r>
      <w:r w:rsidR="00CE649F">
        <w:rPr>
          <w:rFonts w:ascii="Arial" w:hAnsi="Arial" w:cs="Arial"/>
          <w:sz w:val="22"/>
          <w:szCs w:val="22"/>
        </w:rPr>
        <w:t xml:space="preserve"> that either approach </w:t>
      </w:r>
      <w:r w:rsidR="000B4894">
        <w:rPr>
          <w:rFonts w:ascii="Arial" w:hAnsi="Arial" w:cs="Arial"/>
          <w:sz w:val="22"/>
          <w:szCs w:val="22"/>
        </w:rPr>
        <w:t xml:space="preserve">discussed above </w:t>
      </w:r>
      <w:r w:rsidR="00CE649F">
        <w:rPr>
          <w:rFonts w:ascii="Arial" w:hAnsi="Arial" w:cs="Arial"/>
          <w:sz w:val="22"/>
          <w:szCs w:val="22"/>
        </w:rPr>
        <w:t xml:space="preserve">can </w:t>
      </w:r>
      <w:r w:rsidR="000B4894">
        <w:rPr>
          <w:rFonts w:ascii="Arial" w:hAnsi="Arial" w:cs="Arial"/>
          <w:sz w:val="22"/>
          <w:szCs w:val="22"/>
        </w:rPr>
        <w:t xml:space="preserve">adequately establish </w:t>
      </w:r>
      <w:r w:rsidR="00C667EF">
        <w:rPr>
          <w:rFonts w:ascii="Arial" w:hAnsi="Arial" w:cs="Arial"/>
          <w:sz w:val="22"/>
          <w:szCs w:val="22"/>
        </w:rPr>
        <w:t>criteria for</w:t>
      </w:r>
      <w:r w:rsidR="004362B1">
        <w:rPr>
          <w:rFonts w:ascii="Arial" w:hAnsi="Arial" w:cs="Arial"/>
          <w:sz w:val="22"/>
          <w:szCs w:val="22"/>
        </w:rPr>
        <w:t xml:space="preserve"> consideratio</w:t>
      </w:r>
      <w:r w:rsidR="00E302FC">
        <w:rPr>
          <w:rFonts w:ascii="Arial" w:hAnsi="Arial" w:cs="Arial"/>
          <w:sz w:val="22"/>
          <w:szCs w:val="22"/>
        </w:rPr>
        <w:t xml:space="preserve">n of </w:t>
      </w:r>
      <w:r w:rsidR="00BF152E">
        <w:rPr>
          <w:rFonts w:ascii="Arial" w:hAnsi="Arial" w:cs="Arial"/>
          <w:sz w:val="22"/>
          <w:szCs w:val="22"/>
        </w:rPr>
        <w:t xml:space="preserve">requirements in various </w:t>
      </w:r>
      <w:r w:rsidR="00316E33">
        <w:rPr>
          <w:rFonts w:ascii="Arial" w:hAnsi="Arial" w:cs="Arial"/>
          <w:sz w:val="22"/>
          <w:szCs w:val="22"/>
        </w:rPr>
        <w:t>sections of Part 53 (e.g., design, siting, and operations)</w:t>
      </w:r>
      <w:r w:rsidRPr="003D7F14">
        <w:rPr>
          <w:rFonts w:ascii="Arial" w:hAnsi="Arial" w:cs="Arial"/>
          <w:sz w:val="22"/>
          <w:szCs w:val="22"/>
        </w:rPr>
        <w:t xml:space="preserve">. </w:t>
      </w:r>
      <w:r w:rsidR="00CF066E">
        <w:rPr>
          <w:rFonts w:ascii="Arial" w:hAnsi="Arial" w:cs="Arial"/>
          <w:sz w:val="22"/>
          <w:szCs w:val="22"/>
        </w:rPr>
        <w:t xml:space="preserve">The NRC cautions against simple references to the lack of such requirements in Parts 50 and 52 given </w:t>
      </w:r>
      <w:r w:rsidR="0004013D">
        <w:rPr>
          <w:rFonts w:ascii="Arial" w:hAnsi="Arial" w:cs="Arial"/>
          <w:sz w:val="22"/>
          <w:szCs w:val="22"/>
        </w:rPr>
        <w:t xml:space="preserve">those regulations </w:t>
      </w:r>
      <w:r w:rsidR="00005F31">
        <w:rPr>
          <w:rFonts w:ascii="Arial" w:hAnsi="Arial" w:cs="Arial"/>
          <w:sz w:val="22"/>
          <w:szCs w:val="22"/>
        </w:rPr>
        <w:t xml:space="preserve">do not afford the flexibilities </w:t>
      </w:r>
      <w:r w:rsidR="00710E09">
        <w:rPr>
          <w:rFonts w:ascii="Arial" w:hAnsi="Arial" w:cs="Arial"/>
          <w:sz w:val="22"/>
          <w:szCs w:val="22"/>
        </w:rPr>
        <w:t xml:space="preserve">provided in Part 53 and used conservative, generic analyses for </w:t>
      </w:r>
      <w:r w:rsidR="0007030B">
        <w:rPr>
          <w:rFonts w:ascii="Arial" w:hAnsi="Arial" w:cs="Arial"/>
          <w:sz w:val="22"/>
          <w:szCs w:val="22"/>
        </w:rPr>
        <w:t>consideration</w:t>
      </w:r>
      <w:r w:rsidR="00710E09">
        <w:rPr>
          <w:rFonts w:ascii="Arial" w:hAnsi="Arial" w:cs="Arial"/>
          <w:sz w:val="22"/>
          <w:szCs w:val="22"/>
        </w:rPr>
        <w:t xml:space="preserve"> in areas such as </w:t>
      </w:r>
      <w:r w:rsidR="008D2460">
        <w:rPr>
          <w:rFonts w:ascii="Arial" w:hAnsi="Arial" w:cs="Arial"/>
          <w:sz w:val="22"/>
          <w:szCs w:val="22"/>
        </w:rPr>
        <w:t xml:space="preserve">siting relative to </w:t>
      </w:r>
      <w:r w:rsidR="0007030B">
        <w:rPr>
          <w:rFonts w:ascii="Arial" w:hAnsi="Arial" w:cs="Arial"/>
          <w:sz w:val="22"/>
          <w:szCs w:val="22"/>
        </w:rPr>
        <w:t>population density</w:t>
      </w:r>
      <w:r w:rsidR="008D2460">
        <w:rPr>
          <w:rFonts w:ascii="Arial" w:hAnsi="Arial" w:cs="Arial"/>
          <w:sz w:val="22"/>
          <w:szCs w:val="22"/>
        </w:rPr>
        <w:t>.</w:t>
      </w:r>
      <w:r w:rsidR="0007030B">
        <w:rPr>
          <w:rFonts w:ascii="Arial" w:hAnsi="Arial" w:cs="Arial"/>
          <w:sz w:val="22"/>
          <w:szCs w:val="22"/>
        </w:rPr>
        <w:t xml:space="preserve"> </w:t>
      </w:r>
    </w:p>
    <w:p w:rsidR="003D7F14" w:rsidRPr="00264959" w:rsidP="00264959" w14:paraId="7CD1BB89" w14:textId="77777777">
      <w:pPr>
        <w:spacing w:after="220"/>
        <w:rPr>
          <w:rFonts w:ascii="Arial" w:hAnsi="Arial" w:cs="Arial"/>
          <w:sz w:val="22"/>
          <w:szCs w:val="22"/>
        </w:rPr>
      </w:pPr>
      <w:r w:rsidRPr="003D7F14">
        <w:rPr>
          <w:rFonts w:ascii="Arial" w:hAnsi="Arial" w:cs="Arial"/>
          <w:sz w:val="22"/>
          <w:szCs w:val="22"/>
        </w:rPr>
        <w:t xml:space="preserve">Accordingly, the NRC </w:t>
      </w:r>
      <w:r w:rsidR="008B5E4D">
        <w:rPr>
          <w:rFonts w:ascii="Arial" w:hAnsi="Arial" w:cs="Arial"/>
          <w:sz w:val="22"/>
          <w:szCs w:val="22"/>
        </w:rPr>
        <w:t xml:space="preserve">has deleted </w:t>
      </w:r>
      <w:r w:rsidR="00434A3B">
        <w:rPr>
          <w:rFonts w:ascii="Arial" w:hAnsi="Arial" w:cs="Arial"/>
          <w:sz w:val="22"/>
          <w:szCs w:val="22"/>
        </w:rPr>
        <w:t>10 CFR 53.470</w:t>
      </w:r>
      <w:r w:rsidR="00ED33B4">
        <w:rPr>
          <w:rFonts w:ascii="Arial" w:hAnsi="Arial" w:cs="Arial"/>
          <w:sz w:val="22"/>
          <w:szCs w:val="22"/>
        </w:rPr>
        <w:t xml:space="preserve"> </w:t>
      </w:r>
      <w:r w:rsidR="004C478F">
        <w:rPr>
          <w:rFonts w:ascii="Arial" w:hAnsi="Arial" w:cs="Arial"/>
          <w:sz w:val="22"/>
          <w:szCs w:val="22"/>
        </w:rPr>
        <w:t xml:space="preserve">in the final rule </w:t>
      </w:r>
      <w:r w:rsidR="00ED33B4">
        <w:rPr>
          <w:rFonts w:ascii="Arial" w:hAnsi="Arial" w:cs="Arial"/>
          <w:sz w:val="22"/>
          <w:szCs w:val="22"/>
        </w:rPr>
        <w:t xml:space="preserve">and included additional discussion in the </w:t>
      </w:r>
      <w:r w:rsidR="00C368D5">
        <w:rPr>
          <w:rFonts w:ascii="Arial" w:hAnsi="Arial" w:cs="Arial"/>
          <w:sz w:val="22"/>
          <w:szCs w:val="22"/>
        </w:rPr>
        <w:t xml:space="preserve">final rule </w:t>
      </w:r>
      <w:r w:rsidR="003F066C">
        <w:rPr>
          <w:rFonts w:ascii="Arial" w:hAnsi="Arial" w:cs="Arial"/>
          <w:sz w:val="22"/>
          <w:szCs w:val="22"/>
        </w:rPr>
        <w:t xml:space="preserve">to </w:t>
      </w:r>
      <w:r w:rsidR="00FD2226">
        <w:rPr>
          <w:rFonts w:ascii="Arial" w:hAnsi="Arial" w:cs="Arial"/>
          <w:sz w:val="22"/>
          <w:szCs w:val="22"/>
        </w:rPr>
        <w:t xml:space="preserve">describe </w:t>
      </w:r>
      <w:r w:rsidR="00B6092F">
        <w:rPr>
          <w:rFonts w:ascii="Arial" w:hAnsi="Arial" w:cs="Arial"/>
          <w:sz w:val="22"/>
          <w:szCs w:val="22"/>
        </w:rPr>
        <w:t>how the analysis criteria under 10 CFR 53.220</w:t>
      </w:r>
      <w:r w:rsidR="00313BC0">
        <w:rPr>
          <w:rFonts w:ascii="Arial" w:hAnsi="Arial" w:cs="Arial"/>
          <w:sz w:val="22"/>
          <w:szCs w:val="22"/>
        </w:rPr>
        <w:t xml:space="preserve"> and 10</w:t>
      </w:r>
      <w:r w:rsidR="004C478F">
        <w:rPr>
          <w:rFonts w:ascii="Arial" w:hAnsi="Arial" w:cs="Arial"/>
          <w:sz w:val="22"/>
          <w:szCs w:val="22"/>
        </w:rPr>
        <w:t> </w:t>
      </w:r>
      <w:r w:rsidR="00313BC0">
        <w:rPr>
          <w:rFonts w:ascii="Arial" w:hAnsi="Arial" w:cs="Arial"/>
          <w:sz w:val="22"/>
          <w:szCs w:val="22"/>
        </w:rPr>
        <w:t>CFR</w:t>
      </w:r>
      <w:r w:rsidR="004C478F">
        <w:rPr>
          <w:rFonts w:ascii="Arial" w:hAnsi="Arial" w:cs="Arial"/>
          <w:sz w:val="22"/>
          <w:szCs w:val="22"/>
        </w:rPr>
        <w:t> </w:t>
      </w:r>
      <w:r w:rsidR="00313BC0">
        <w:rPr>
          <w:rFonts w:ascii="Arial" w:hAnsi="Arial" w:cs="Arial"/>
          <w:sz w:val="22"/>
          <w:szCs w:val="22"/>
        </w:rPr>
        <w:t xml:space="preserve">53.450(e) </w:t>
      </w:r>
      <w:r w:rsidR="00657683">
        <w:rPr>
          <w:rFonts w:ascii="Arial" w:hAnsi="Arial" w:cs="Arial"/>
          <w:sz w:val="22"/>
          <w:szCs w:val="22"/>
        </w:rPr>
        <w:t xml:space="preserve">should reflect the use of the analysis </w:t>
      </w:r>
      <w:r w:rsidR="001A092C">
        <w:rPr>
          <w:rFonts w:ascii="Arial" w:hAnsi="Arial" w:cs="Arial"/>
          <w:sz w:val="22"/>
          <w:szCs w:val="22"/>
        </w:rPr>
        <w:t xml:space="preserve">in </w:t>
      </w:r>
      <w:r w:rsidR="00CE355C">
        <w:rPr>
          <w:rFonts w:ascii="Arial" w:hAnsi="Arial" w:cs="Arial"/>
          <w:sz w:val="22"/>
          <w:szCs w:val="22"/>
        </w:rPr>
        <w:t>proposing</w:t>
      </w:r>
      <w:r w:rsidR="001A092C">
        <w:rPr>
          <w:rFonts w:ascii="Arial" w:hAnsi="Arial" w:cs="Arial"/>
          <w:sz w:val="22"/>
          <w:szCs w:val="22"/>
        </w:rPr>
        <w:t xml:space="preserve"> operational flexibilities such as siting relative to population density.</w:t>
      </w:r>
    </w:p>
    <w:p w:rsidR="000F3D5B" w:rsidRPr="00264959" w:rsidP="00264959" w14:paraId="15146B5C" w14:textId="77777777">
      <w:pPr>
        <w:spacing w:after="220"/>
        <w:rPr>
          <w:rFonts w:ascii="Arial" w:hAnsi="Arial" w:cs="Arial"/>
          <w:sz w:val="22"/>
          <w:szCs w:val="22"/>
        </w:rPr>
      </w:pPr>
      <w:r>
        <w:rPr>
          <w:rFonts w:ascii="Arial" w:hAnsi="Arial" w:cs="Arial"/>
          <w:sz w:val="22"/>
          <w:szCs w:val="22"/>
        </w:rPr>
        <w:pict>
          <v:rect id="_x0000_i1127" style="width:0;height:1.5pt" o:hralign="center" o:hrstd="t" o:hrnoshade="t" o:hr="t" fillcolor="black" stroked="f"/>
        </w:pict>
      </w:r>
    </w:p>
    <w:p w:rsidR="000F3D5B" w:rsidRPr="0030052D" w:rsidP="00E53C3B" w14:paraId="4B67742D" w14:textId="77777777">
      <w:pPr>
        <w:pStyle w:val="Heading3"/>
        <w:keepNext/>
        <w:keepLines/>
        <w:numPr>
          <w:ilvl w:val="0"/>
          <w:numId w:val="0"/>
        </w:numPr>
        <w:ind w:left="720" w:hanging="720"/>
      </w:pPr>
      <w:bookmarkStart w:id="36" w:name="_Toc207222811"/>
      <w:r w:rsidRPr="00D1225A">
        <w:rPr>
          <w:u w:val="none"/>
        </w:rPr>
        <w:t>3.3.3.</w:t>
      </w:r>
      <w:r w:rsidRPr="00D1225A">
        <w:rPr>
          <w:u w:val="none"/>
        </w:rPr>
        <w:tab/>
      </w:r>
      <w:r w:rsidRPr="0030052D">
        <w:t>RFC: Probabilistic risk assessment (PRA) acceptability reviews</w:t>
      </w:r>
      <w:bookmarkEnd w:id="36"/>
    </w:p>
    <w:p w:rsidR="00D31A99" w:rsidRPr="00264959" w:rsidP="00264959" w14:paraId="5AE0AE53" w14:textId="77777777">
      <w:pPr>
        <w:spacing w:after="220"/>
        <w:rPr>
          <w:rFonts w:ascii="Arial" w:eastAsia="Aptos" w:hAnsi="Arial" w:cs="Arial"/>
          <w:sz w:val="22"/>
          <w:szCs w:val="22"/>
        </w:rPr>
      </w:pPr>
      <w:r w:rsidRPr="00264959">
        <w:rPr>
          <w:rFonts w:ascii="Arial" w:hAnsi="Arial" w:cs="Arial"/>
          <w:b/>
          <w:sz w:val="22"/>
          <w:szCs w:val="22"/>
        </w:rPr>
        <w:t>Comment Bin 3.3.3.A:</w:t>
      </w:r>
      <w:r w:rsidRPr="00264959">
        <w:rPr>
          <w:rFonts w:ascii="Arial" w:hAnsi="Arial" w:cs="Arial"/>
          <w:sz w:val="22"/>
          <w:szCs w:val="22"/>
        </w:rPr>
        <w:t xml:space="preserve"> Two</w:t>
      </w:r>
      <w:r w:rsidRPr="00264959">
        <w:rPr>
          <w:rFonts w:ascii="Arial" w:eastAsia="Times New Roman" w:hAnsi="Arial" w:cs="Arial"/>
          <w:sz w:val="22"/>
          <w:szCs w:val="22"/>
          <w:lang w:eastAsia="ja-JP"/>
        </w:rPr>
        <w:t xml:space="preserve"> commenters stated that guidance on risk evaluation methodologies should strike a balance between predictability and flexibility and noted that while certain guidance updates may be beneficial, </w:t>
      </w:r>
      <w:r w:rsidRPr="00264959">
        <w:rPr>
          <w:rFonts w:ascii="Arial" w:eastAsia="Aptos" w:hAnsi="Arial" w:cs="Arial"/>
          <w:sz w:val="22"/>
          <w:szCs w:val="22"/>
        </w:rPr>
        <w:t>new prescriptive guidance should be developed as needed to avoid limiting innovation (</w:t>
      </w:r>
      <w:r w:rsidR="00D87876">
        <w:rPr>
          <w:rFonts w:ascii="Arial" w:eastAsia="Aptos" w:hAnsi="Arial" w:cs="Arial"/>
          <w:sz w:val="22"/>
          <w:szCs w:val="22"/>
        </w:rPr>
        <w:t>SCWG</w:t>
      </w:r>
      <w:r w:rsidRPr="00264959">
        <w:rPr>
          <w:rFonts w:ascii="Arial" w:eastAsia="Aptos" w:hAnsi="Arial" w:cs="Arial"/>
          <w:sz w:val="22"/>
          <w:szCs w:val="22"/>
        </w:rPr>
        <w:t xml:space="preserve">-0014, </w:t>
      </w:r>
      <w:r w:rsidR="004C1A5D">
        <w:rPr>
          <w:rFonts w:ascii="Arial" w:eastAsia="Times New Roman" w:hAnsi="Arial" w:cs="Arial"/>
          <w:color w:val="000000"/>
          <w:sz w:val="22"/>
          <w:szCs w:val="22"/>
          <w:lang w:eastAsia="zh-CN"/>
        </w:rPr>
        <w:t>BI1</w:t>
      </w:r>
      <w:r w:rsidRPr="00264959">
        <w:rPr>
          <w:rFonts w:ascii="Arial" w:eastAsia="Times New Roman" w:hAnsi="Arial" w:cs="Arial"/>
          <w:color w:val="000000"/>
          <w:sz w:val="22"/>
          <w:szCs w:val="22"/>
          <w:lang w:eastAsia="zh-CN"/>
        </w:rPr>
        <w:t>-0007).</w:t>
      </w:r>
      <w:r w:rsidRPr="00264959">
        <w:rPr>
          <w:rFonts w:ascii="Arial" w:eastAsia="Aptos" w:hAnsi="Arial" w:cs="Arial"/>
          <w:sz w:val="22"/>
          <w:szCs w:val="22"/>
        </w:rPr>
        <w:t xml:space="preserve"> One commenter recommended that the NRC focus on defining clear performance outcomes, allowing applicants to choose the most appropriate risk evaluation approach, and added that the NRC does not need to define acceptable methods, but instead should document decisions and lessons learned to provide clarity over time </w:t>
      </w:r>
      <w:r w:rsidRPr="00264959">
        <w:rPr>
          <w:rFonts w:ascii="Arial" w:eastAsia="Times New Roman" w:hAnsi="Arial" w:cs="Arial"/>
          <w:sz w:val="22"/>
          <w:szCs w:val="22"/>
          <w:lang w:eastAsia="ja-JP"/>
        </w:rPr>
        <w:t>(</w:t>
      </w:r>
      <w:r w:rsidR="00D87876">
        <w:rPr>
          <w:rFonts w:ascii="Arial" w:eastAsia="Aptos" w:hAnsi="Arial" w:cs="Arial"/>
          <w:sz w:val="22"/>
          <w:szCs w:val="22"/>
        </w:rPr>
        <w:t>SCWG</w:t>
      </w:r>
      <w:r w:rsidRPr="00264959">
        <w:rPr>
          <w:rFonts w:ascii="Arial" w:eastAsia="Aptos" w:hAnsi="Arial" w:cs="Arial"/>
          <w:sz w:val="22"/>
          <w:szCs w:val="22"/>
        </w:rPr>
        <w:t>-0014). The commenters concluded that guidance should be considered on the level of detail necessary depending on the risk evaluation method used, including if an all-hazards PRA is required, content of application guidance, and principal design criteria. The commenters recommended that the NRC update RG 1.233, RG 1.174, RG 1.200</w:t>
      </w:r>
      <w:r w:rsidR="00607F07">
        <w:rPr>
          <w:rFonts w:ascii="Arial" w:eastAsia="Aptos" w:hAnsi="Arial" w:cs="Arial"/>
          <w:sz w:val="22"/>
          <w:szCs w:val="22"/>
        </w:rPr>
        <w:t>, “</w:t>
      </w:r>
      <w:r w:rsidRPr="00A574A9" w:rsidR="00A574A9">
        <w:rPr>
          <w:rFonts w:ascii="Arial" w:eastAsia="Aptos" w:hAnsi="Arial" w:cs="Arial"/>
          <w:sz w:val="22"/>
          <w:szCs w:val="22"/>
        </w:rPr>
        <w:t xml:space="preserve">Acceptability </w:t>
      </w:r>
      <w:r w:rsidR="00A574A9">
        <w:rPr>
          <w:rFonts w:ascii="Arial" w:eastAsia="Aptos" w:hAnsi="Arial" w:cs="Arial"/>
          <w:sz w:val="22"/>
          <w:szCs w:val="22"/>
        </w:rPr>
        <w:t>o</w:t>
      </w:r>
      <w:r w:rsidRPr="00A574A9" w:rsidR="00A574A9">
        <w:rPr>
          <w:rFonts w:ascii="Arial" w:eastAsia="Aptos" w:hAnsi="Arial" w:cs="Arial"/>
          <w:sz w:val="22"/>
          <w:szCs w:val="22"/>
        </w:rPr>
        <w:t xml:space="preserve">f Probabilistic Risk Assessment Results </w:t>
      </w:r>
      <w:r w:rsidR="00A574A9">
        <w:rPr>
          <w:rFonts w:ascii="Arial" w:eastAsia="Aptos" w:hAnsi="Arial" w:cs="Arial"/>
          <w:sz w:val="22"/>
          <w:szCs w:val="22"/>
        </w:rPr>
        <w:t>f</w:t>
      </w:r>
      <w:r w:rsidRPr="00A574A9" w:rsidR="00A574A9">
        <w:rPr>
          <w:rFonts w:ascii="Arial" w:eastAsia="Aptos" w:hAnsi="Arial" w:cs="Arial"/>
          <w:sz w:val="22"/>
          <w:szCs w:val="22"/>
        </w:rPr>
        <w:t>or Risk-Informed Activities</w:t>
      </w:r>
      <w:r w:rsidRPr="00264959">
        <w:rPr>
          <w:rFonts w:ascii="Arial" w:eastAsia="Aptos" w:hAnsi="Arial" w:cs="Arial"/>
          <w:sz w:val="22"/>
          <w:szCs w:val="22"/>
        </w:rPr>
        <w:t>,</w:t>
      </w:r>
      <w:r w:rsidR="00A574A9">
        <w:rPr>
          <w:rFonts w:ascii="Arial" w:eastAsia="Aptos" w:hAnsi="Arial" w:cs="Arial"/>
          <w:sz w:val="22"/>
          <w:szCs w:val="22"/>
        </w:rPr>
        <w:t>” issued December 2020 (</w:t>
      </w:r>
      <w:r w:rsidRPr="00546014" w:rsidR="00546014">
        <w:rPr>
          <w:rFonts w:ascii="Arial" w:eastAsia="Aptos" w:hAnsi="Arial" w:cs="Arial"/>
          <w:sz w:val="22"/>
          <w:szCs w:val="22"/>
        </w:rPr>
        <w:t>ML20238B871</w:t>
      </w:r>
      <w:r w:rsidR="00546014">
        <w:rPr>
          <w:rFonts w:ascii="Arial" w:eastAsia="Aptos" w:hAnsi="Arial" w:cs="Arial"/>
          <w:sz w:val="22"/>
          <w:szCs w:val="22"/>
        </w:rPr>
        <w:t>),</w:t>
      </w:r>
      <w:r w:rsidRPr="00264959">
        <w:rPr>
          <w:rFonts w:ascii="Arial" w:eastAsia="Aptos" w:hAnsi="Arial" w:cs="Arial"/>
          <w:sz w:val="22"/>
          <w:szCs w:val="22"/>
        </w:rPr>
        <w:t xml:space="preserve"> RG 1.247, </w:t>
      </w:r>
      <w:r w:rsidR="00130D49">
        <w:rPr>
          <w:rFonts w:ascii="Arial" w:eastAsia="Aptos" w:hAnsi="Arial" w:cs="Arial"/>
          <w:sz w:val="22"/>
          <w:szCs w:val="22"/>
        </w:rPr>
        <w:t>“</w:t>
      </w:r>
      <w:r w:rsidRPr="00130D49" w:rsidR="00130D49">
        <w:rPr>
          <w:rFonts w:ascii="Arial" w:eastAsia="Aptos" w:hAnsi="Arial" w:cs="Arial"/>
          <w:sz w:val="22"/>
          <w:szCs w:val="22"/>
        </w:rPr>
        <w:t xml:space="preserve">Acceptability </w:t>
      </w:r>
      <w:r w:rsidR="00130D49">
        <w:rPr>
          <w:rFonts w:ascii="Arial" w:eastAsia="Aptos" w:hAnsi="Arial" w:cs="Arial"/>
          <w:sz w:val="22"/>
          <w:szCs w:val="22"/>
        </w:rPr>
        <w:t>o</w:t>
      </w:r>
      <w:r w:rsidRPr="00130D49" w:rsidR="00130D49">
        <w:rPr>
          <w:rFonts w:ascii="Arial" w:eastAsia="Aptos" w:hAnsi="Arial" w:cs="Arial"/>
          <w:sz w:val="22"/>
          <w:szCs w:val="22"/>
        </w:rPr>
        <w:t xml:space="preserve">f Probabilistic Risk Assessment </w:t>
      </w:r>
      <w:r w:rsidRPr="00130D49" w:rsidR="00130D49">
        <w:rPr>
          <w:rFonts w:ascii="Arial" w:eastAsia="Aptos" w:hAnsi="Arial" w:cs="Arial"/>
          <w:sz w:val="22"/>
          <w:szCs w:val="22"/>
        </w:rPr>
        <w:t xml:space="preserve">Results </w:t>
      </w:r>
      <w:r w:rsidR="00130D49">
        <w:rPr>
          <w:rFonts w:ascii="Arial" w:eastAsia="Aptos" w:hAnsi="Arial" w:cs="Arial"/>
          <w:sz w:val="22"/>
          <w:szCs w:val="22"/>
        </w:rPr>
        <w:t>f</w:t>
      </w:r>
      <w:r w:rsidRPr="00130D49" w:rsidR="00130D49">
        <w:rPr>
          <w:rFonts w:ascii="Arial" w:eastAsia="Aptos" w:hAnsi="Arial" w:cs="Arial"/>
          <w:sz w:val="22"/>
          <w:szCs w:val="22"/>
        </w:rPr>
        <w:t>or Non-Light-Water Reactor Risk</w:t>
      </w:r>
      <w:r w:rsidR="00130D49">
        <w:rPr>
          <w:rFonts w:ascii="Arial" w:eastAsia="Aptos" w:hAnsi="Arial" w:cs="Arial"/>
          <w:sz w:val="22"/>
          <w:szCs w:val="22"/>
        </w:rPr>
        <w:t>-</w:t>
      </w:r>
      <w:r w:rsidRPr="00130D49" w:rsidR="00130D49">
        <w:rPr>
          <w:rFonts w:ascii="Arial" w:eastAsia="Aptos" w:hAnsi="Arial" w:cs="Arial"/>
          <w:sz w:val="22"/>
          <w:szCs w:val="22"/>
        </w:rPr>
        <w:t>informed Activities</w:t>
      </w:r>
      <w:r w:rsidR="00130D49">
        <w:rPr>
          <w:rFonts w:ascii="Arial" w:eastAsia="Aptos" w:hAnsi="Arial" w:cs="Arial"/>
          <w:sz w:val="22"/>
          <w:szCs w:val="22"/>
        </w:rPr>
        <w:t>,” issued March 2022 (for trial use) (</w:t>
      </w:r>
      <w:r w:rsidRPr="00130D49" w:rsidR="00130D49">
        <w:rPr>
          <w:rFonts w:ascii="Arial" w:eastAsia="Aptos" w:hAnsi="Arial" w:cs="Arial"/>
          <w:sz w:val="22"/>
          <w:szCs w:val="22"/>
        </w:rPr>
        <w:t>ML21235A008</w:t>
      </w:r>
      <w:r w:rsidR="00130D49">
        <w:rPr>
          <w:rFonts w:ascii="Arial" w:eastAsia="Aptos" w:hAnsi="Arial" w:cs="Arial"/>
          <w:sz w:val="22"/>
          <w:szCs w:val="22"/>
        </w:rPr>
        <w:t xml:space="preserve">), </w:t>
      </w:r>
      <w:r w:rsidRPr="00264959">
        <w:rPr>
          <w:rFonts w:ascii="Arial" w:eastAsia="Aptos" w:hAnsi="Arial" w:cs="Arial"/>
          <w:sz w:val="22"/>
          <w:szCs w:val="22"/>
        </w:rPr>
        <w:t>and any others as needed, and consider creating additional guidance on the criteria that need to be met if risk evaluation methods other than PRA are used</w:t>
      </w:r>
      <w:r w:rsidRPr="00264959">
        <w:rPr>
          <w:rFonts w:ascii="Arial" w:eastAsia="Times New Roman" w:hAnsi="Arial" w:cs="Arial"/>
          <w:sz w:val="22"/>
          <w:szCs w:val="22"/>
          <w:lang w:eastAsia="ja-JP"/>
        </w:rPr>
        <w:t xml:space="preserve"> (</w:t>
      </w:r>
      <w:r w:rsidR="00D87876">
        <w:rPr>
          <w:rFonts w:ascii="Arial" w:eastAsia="Aptos" w:hAnsi="Arial" w:cs="Arial"/>
          <w:sz w:val="22"/>
          <w:szCs w:val="22"/>
        </w:rPr>
        <w:t>SCWG</w:t>
      </w:r>
      <w:r w:rsidRPr="00264959">
        <w:rPr>
          <w:rFonts w:ascii="Arial" w:eastAsia="Aptos" w:hAnsi="Arial" w:cs="Arial"/>
          <w:sz w:val="22"/>
          <w:szCs w:val="22"/>
        </w:rPr>
        <w:t xml:space="preserve">-0014, </w:t>
      </w:r>
      <w:r w:rsidR="004C1A5D">
        <w:rPr>
          <w:rFonts w:ascii="Arial" w:eastAsia="Times New Roman" w:hAnsi="Arial" w:cs="Arial"/>
          <w:color w:val="000000"/>
          <w:sz w:val="22"/>
          <w:szCs w:val="22"/>
          <w:lang w:eastAsia="zh-CN"/>
        </w:rPr>
        <w:t>BI1</w:t>
      </w:r>
      <w:r w:rsidRPr="00264959">
        <w:rPr>
          <w:rFonts w:ascii="Arial" w:eastAsia="Times New Roman" w:hAnsi="Arial" w:cs="Arial"/>
          <w:color w:val="000000"/>
          <w:sz w:val="22"/>
          <w:szCs w:val="22"/>
          <w:lang w:eastAsia="zh-CN"/>
        </w:rPr>
        <w:t>-0007</w:t>
      </w:r>
      <w:r w:rsidRPr="00264959">
        <w:rPr>
          <w:rFonts w:ascii="Arial" w:eastAsia="Aptos" w:hAnsi="Arial" w:cs="Arial"/>
          <w:sz w:val="22"/>
          <w:szCs w:val="22"/>
        </w:rPr>
        <w:t>).</w:t>
      </w:r>
    </w:p>
    <w:p w:rsidR="005E6269" w:rsidRPr="00264959" w:rsidP="00264959" w14:paraId="788C8708" w14:textId="77777777">
      <w:pPr>
        <w:tabs>
          <w:tab w:val="left" w:pos="2427"/>
        </w:tabs>
        <w:spacing w:after="220"/>
        <w:rPr>
          <w:rFonts w:ascii="Arial" w:eastAsia="DengXian" w:hAnsi="Arial" w:cs="Arial"/>
          <w:sz w:val="22"/>
          <w:szCs w:val="22"/>
          <w:lang w:eastAsia="ja-JP"/>
        </w:rPr>
      </w:pPr>
      <w:r w:rsidRPr="00264959">
        <w:rPr>
          <w:rFonts w:ascii="Arial" w:eastAsia="DengXian" w:hAnsi="Arial" w:cs="Arial"/>
          <w:sz w:val="22"/>
          <w:szCs w:val="22"/>
          <w:lang w:eastAsia="ja-JP"/>
        </w:rPr>
        <w:t xml:space="preserve">One commenter also stated that clarification is needed on the definition of an “appropriate level of safety,” which is used differently in the proposed rule than in existing rules and guidance, and noted clarification is also needed on ensuring safety </w:t>
      </w:r>
      <w:r w:rsidRPr="00264959">
        <w:rPr>
          <w:rFonts w:ascii="Arial" w:eastAsia="Times New Roman" w:hAnsi="Arial" w:cs="Arial"/>
          <w:color w:val="000000"/>
          <w:sz w:val="22"/>
          <w:szCs w:val="22"/>
          <w:lang w:eastAsia="zh-CN"/>
        </w:rPr>
        <w:t>"comparable to what has been licensed in the past"</w:t>
      </w:r>
      <w:r w:rsidRPr="00264959">
        <w:rPr>
          <w:rFonts w:ascii="Arial" w:eastAsia="DengXian" w:hAnsi="Arial" w:cs="Arial"/>
          <w:sz w:val="22"/>
          <w:szCs w:val="22"/>
          <w:lang w:eastAsia="ja-JP"/>
        </w:rPr>
        <w:t xml:space="preserve"> (</w:t>
      </w:r>
      <w:r w:rsidR="004C1A5D">
        <w:rPr>
          <w:rFonts w:ascii="Arial" w:eastAsia="Times New Roman" w:hAnsi="Arial" w:cs="Arial"/>
          <w:color w:val="000000"/>
          <w:sz w:val="22"/>
          <w:szCs w:val="22"/>
          <w:lang w:eastAsia="zh-CN"/>
        </w:rPr>
        <w:t>BI1</w:t>
      </w:r>
      <w:r w:rsidRPr="00264959">
        <w:rPr>
          <w:rFonts w:ascii="Arial" w:eastAsia="Times New Roman" w:hAnsi="Arial" w:cs="Arial"/>
          <w:color w:val="000000"/>
          <w:sz w:val="22"/>
          <w:szCs w:val="22"/>
          <w:lang w:eastAsia="zh-CN"/>
        </w:rPr>
        <w:t>-0007).</w:t>
      </w:r>
    </w:p>
    <w:p w:rsidR="005E6269" w:rsidRPr="00264959" w:rsidP="00264959" w14:paraId="422538CA" w14:textId="77777777">
      <w:pPr>
        <w:spacing w:after="220"/>
        <w:rPr>
          <w:rFonts w:ascii="Arial" w:eastAsia="Times New Roman" w:hAnsi="Arial" w:cs="Arial"/>
          <w:sz w:val="22"/>
          <w:szCs w:val="22"/>
        </w:rPr>
      </w:pPr>
      <w:r w:rsidRPr="00264959">
        <w:rPr>
          <w:rFonts w:ascii="Arial" w:eastAsia="Times New Roman" w:hAnsi="Arial" w:cs="Arial"/>
          <w:sz w:val="22"/>
          <w:szCs w:val="22"/>
        </w:rPr>
        <w:t>A commenter stated that 10 CFR Part 53 should allow a graded approach to PRA in which the applicant can choose among a range of approaches for the scope of the PRA:</w:t>
      </w:r>
    </w:p>
    <w:p w:rsidR="005E6269" w:rsidRPr="00264959" w:rsidP="00455E55" w14:paraId="29007307" w14:textId="77777777">
      <w:pPr>
        <w:pStyle w:val="ListParagraph"/>
        <w:numPr>
          <w:ilvl w:val="0"/>
          <w:numId w:val="24"/>
        </w:numPr>
        <w:spacing w:after="220"/>
        <w:rPr>
          <w:rFonts w:ascii="Arial" w:eastAsia="Times New Roman" w:hAnsi="Arial" w:cs="Arial"/>
          <w:i/>
          <w:sz w:val="22"/>
          <w:szCs w:val="22"/>
        </w:rPr>
      </w:pPr>
      <w:r w:rsidRPr="00264959">
        <w:rPr>
          <w:rFonts w:ascii="Arial" w:eastAsia="Times New Roman" w:hAnsi="Arial" w:cs="Arial"/>
          <w:sz w:val="22"/>
          <w:szCs w:val="22"/>
        </w:rPr>
        <w:t>An all-modes, all-sources, all-hazards PRA that greatly informs the licensing basis.</w:t>
      </w:r>
    </w:p>
    <w:p w:rsidR="005E6269" w:rsidRPr="00264959" w:rsidP="00455E55" w14:paraId="11499EA0" w14:textId="77777777">
      <w:pPr>
        <w:pStyle w:val="ListParagraph"/>
        <w:numPr>
          <w:ilvl w:val="0"/>
          <w:numId w:val="24"/>
        </w:numPr>
        <w:spacing w:after="220"/>
        <w:rPr>
          <w:rFonts w:ascii="Arial" w:eastAsia="Times New Roman" w:hAnsi="Arial" w:cs="Arial"/>
          <w:i/>
          <w:sz w:val="22"/>
          <w:szCs w:val="22"/>
        </w:rPr>
      </w:pPr>
      <w:r w:rsidRPr="00264959">
        <w:rPr>
          <w:rFonts w:ascii="Arial" w:eastAsia="Times New Roman" w:hAnsi="Arial" w:cs="Arial"/>
          <w:sz w:val="22"/>
          <w:szCs w:val="22"/>
        </w:rPr>
        <w:t>Non-core sources handled through traditional means and regulatory requirements (i.e.,</w:t>
      </w:r>
      <w:r w:rsidR="008E687B">
        <w:rPr>
          <w:rFonts w:ascii="Arial" w:eastAsia="Times New Roman" w:hAnsi="Arial" w:cs="Arial"/>
          <w:sz w:val="22"/>
          <w:szCs w:val="22"/>
        </w:rPr>
        <w:t> </w:t>
      </w:r>
      <w:r w:rsidRPr="00264959">
        <w:rPr>
          <w:rFonts w:ascii="Arial" w:eastAsia="Times New Roman" w:hAnsi="Arial" w:cs="Arial"/>
          <w:sz w:val="22"/>
          <w:szCs w:val="22"/>
        </w:rPr>
        <w:t>Standard Review Plan fuel handling accidents with the traditional regulatory requirements for spent fuel pools and spent fuel storage on site).</w:t>
      </w:r>
    </w:p>
    <w:p w:rsidR="005E6269" w:rsidRPr="00264959" w:rsidP="00455E55" w14:paraId="505713C0" w14:textId="77777777">
      <w:pPr>
        <w:pStyle w:val="ListParagraph"/>
        <w:numPr>
          <w:ilvl w:val="0"/>
          <w:numId w:val="24"/>
        </w:numPr>
        <w:spacing w:after="220"/>
        <w:rPr>
          <w:rFonts w:ascii="Arial" w:eastAsia="Times New Roman" w:hAnsi="Arial" w:cs="Arial"/>
          <w:i/>
          <w:sz w:val="22"/>
          <w:szCs w:val="22"/>
        </w:rPr>
      </w:pPr>
      <w:r w:rsidRPr="00264959">
        <w:rPr>
          <w:rFonts w:ascii="Arial" w:eastAsia="Times New Roman" w:hAnsi="Arial" w:cs="Arial"/>
          <w:sz w:val="22"/>
          <w:szCs w:val="22"/>
        </w:rPr>
        <w:t>Lower modes handled through traditional means and regulatory requirements (i.e.,</w:t>
      </w:r>
      <w:r w:rsidR="008E687B">
        <w:rPr>
          <w:rFonts w:ascii="Arial" w:eastAsia="Times New Roman" w:hAnsi="Arial" w:cs="Arial"/>
          <w:sz w:val="22"/>
          <w:szCs w:val="22"/>
        </w:rPr>
        <w:t> </w:t>
      </w:r>
      <w:r w:rsidRPr="00264959">
        <w:rPr>
          <w:rFonts w:ascii="Arial" w:eastAsia="Times New Roman" w:hAnsi="Arial" w:cs="Arial"/>
          <w:sz w:val="22"/>
          <w:szCs w:val="22"/>
        </w:rPr>
        <w:t>control rod withdrawal DBAs from lower power levels).</w:t>
      </w:r>
    </w:p>
    <w:p w:rsidR="005E6269" w:rsidRPr="00264959" w:rsidP="00455E55" w14:paraId="379D8C5C" w14:textId="77777777">
      <w:pPr>
        <w:pStyle w:val="ListParagraph"/>
        <w:numPr>
          <w:ilvl w:val="0"/>
          <w:numId w:val="24"/>
        </w:numPr>
        <w:spacing w:after="220"/>
        <w:rPr>
          <w:rFonts w:ascii="Arial" w:eastAsia="Times New Roman" w:hAnsi="Arial" w:cs="Arial"/>
          <w:i/>
          <w:sz w:val="22"/>
          <w:szCs w:val="22"/>
        </w:rPr>
      </w:pPr>
      <w:r w:rsidRPr="00264959">
        <w:rPr>
          <w:rFonts w:ascii="Arial" w:eastAsia="Times New Roman" w:hAnsi="Arial" w:cs="Arial"/>
          <w:sz w:val="22"/>
          <w:szCs w:val="22"/>
        </w:rPr>
        <w:t>Hazards handled through traditional means and regulatory requirements (Appendix S seismic requirements, Appendix R fire requirements, etc.).</w:t>
      </w:r>
    </w:p>
    <w:p w:rsidR="005E6269" w:rsidRPr="00264959" w:rsidP="00455E55" w14:paraId="321E7692" w14:textId="77777777">
      <w:pPr>
        <w:pStyle w:val="ListParagraph"/>
        <w:numPr>
          <w:ilvl w:val="0"/>
          <w:numId w:val="24"/>
        </w:numPr>
        <w:spacing w:after="220"/>
        <w:rPr>
          <w:rFonts w:ascii="Arial" w:eastAsia="Times New Roman" w:hAnsi="Arial" w:cs="Arial"/>
          <w:sz w:val="22"/>
          <w:szCs w:val="22"/>
        </w:rPr>
      </w:pPr>
      <w:r w:rsidRPr="00264959">
        <w:rPr>
          <w:rFonts w:ascii="Arial" w:eastAsia="Times New Roman" w:hAnsi="Arial" w:cs="Arial"/>
          <w:sz w:val="22"/>
          <w:szCs w:val="22"/>
        </w:rPr>
        <w:t>DBAs confirmed, as needed, by risk insights.</w:t>
      </w:r>
    </w:p>
    <w:p w:rsidR="005E6269" w:rsidRPr="00264959" w:rsidP="00264959" w14:paraId="55B78E03" w14:textId="77777777">
      <w:pPr>
        <w:spacing w:after="220"/>
        <w:rPr>
          <w:rFonts w:ascii="Arial" w:eastAsia="Times New Roman" w:hAnsi="Arial" w:cs="Arial"/>
          <w:sz w:val="22"/>
          <w:szCs w:val="22"/>
        </w:rPr>
      </w:pPr>
      <w:r w:rsidRPr="00264959">
        <w:rPr>
          <w:rFonts w:ascii="Arial" w:eastAsia="Times New Roman" w:hAnsi="Arial" w:cs="Arial"/>
          <w:sz w:val="22"/>
          <w:szCs w:val="22"/>
        </w:rPr>
        <w:t>The commenter noted that all of these approaches may utilize the screening criteria in PRA standards to screen out modes, hazards, and sources while still meeting NRC requirements for PRA adequacy or acceptability.</w:t>
      </w:r>
    </w:p>
    <w:p w:rsidR="005E6269" w:rsidRPr="00264959" w:rsidP="00264959" w14:paraId="7DCFF429" w14:textId="77777777">
      <w:pPr>
        <w:spacing w:after="220"/>
        <w:rPr>
          <w:rFonts w:ascii="Arial" w:eastAsia="Times New Roman" w:hAnsi="Arial" w:cs="Arial"/>
          <w:sz w:val="22"/>
          <w:szCs w:val="22"/>
        </w:rPr>
      </w:pPr>
      <w:r w:rsidRPr="00264959">
        <w:rPr>
          <w:rFonts w:ascii="Arial" w:eastAsia="Times New Roman" w:hAnsi="Arial" w:cs="Arial"/>
          <w:sz w:val="22"/>
          <w:szCs w:val="22"/>
        </w:rPr>
        <w:t xml:space="preserve">While acknowledging that their stance that DBAs may only need to be confirmed by risk insights could be controversial for 10 CFR Part 53 and arguably not in line with the Commission directive in SRM-SECY-19-0036, the commenter wrote that an approach informed by DG-1414 and maximum credible accident analysis creates a path to a licensing basis determined by traditional DBAs confirmed by a PRA that would remain within the owner scope and be made available to the NRC for auditing. The commenter explained that under such a framework, the PRA would serve as a check on whether the traditional DBAs were in fact bounding (e.g., no risk insights would challenge assumptions made in the DBA). The commenter emphasized that reliance on more traditional means of risk assessment would further </w:t>
      </w:r>
      <w:r w:rsidR="00BC49B6">
        <w:rPr>
          <w:rFonts w:ascii="Arial" w:eastAsia="Times New Roman" w:hAnsi="Arial" w:cs="Arial"/>
          <w:sz w:val="22"/>
          <w:szCs w:val="22"/>
        </w:rPr>
        <w:t>s</w:t>
      </w:r>
      <w:r w:rsidRPr="00264959">
        <w:rPr>
          <w:rFonts w:ascii="Arial" w:eastAsia="Times New Roman" w:hAnsi="Arial" w:cs="Arial"/>
          <w:sz w:val="22"/>
          <w:szCs w:val="22"/>
        </w:rPr>
        <w:t>ection 208 of the ADVANCE Act, which provides that risk analysis methods should encompass alternatives to probabilistic risk assessments.</w:t>
      </w:r>
    </w:p>
    <w:p w:rsidR="005E6269" w:rsidRPr="00264959" w:rsidP="00264959" w14:paraId="2DD6B864" w14:textId="77777777">
      <w:pPr>
        <w:spacing w:after="220"/>
        <w:rPr>
          <w:rFonts w:ascii="Arial" w:eastAsia="Times New Roman" w:hAnsi="Arial" w:cs="Arial"/>
          <w:sz w:val="22"/>
          <w:szCs w:val="22"/>
        </w:rPr>
      </w:pPr>
      <w:r w:rsidRPr="00264959">
        <w:rPr>
          <w:rFonts w:ascii="Arial" w:eastAsia="Times New Roman" w:hAnsi="Arial" w:cs="Arial"/>
          <w:sz w:val="22"/>
          <w:szCs w:val="22"/>
        </w:rPr>
        <w:t>The commenter expressed concern about language in slides that the NRC presented during a January 16, 2025, public meeting indicating that flexibility in PRA analysis in 10</w:t>
      </w:r>
      <w:r w:rsidRPr="00264959" w:rsidR="00D31A99">
        <w:rPr>
          <w:rFonts w:ascii="Arial" w:eastAsia="Times New Roman" w:hAnsi="Arial" w:cs="Arial"/>
          <w:sz w:val="22"/>
          <w:szCs w:val="22"/>
        </w:rPr>
        <w:t> </w:t>
      </w:r>
      <w:r w:rsidRPr="00264959">
        <w:rPr>
          <w:rFonts w:ascii="Arial" w:eastAsia="Times New Roman" w:hAnsi="Arial" w:cs="Arial"/>
          <w:sz w:val="22"/>
          <w:szCs w:val="22"/>
        </w:rPr>
        <w:t>CFR Part</w:t>
      </w:r>
      <w:r w:rsidR="008E687B">
        <w:rPr>
          <w:rFonts w:ascii="Arial" w:eastAsia="Times New Roman" w:hAnsi="Arial" w:cs="Arial"/>
          <w:sz w:val="22"/>
          <w:szCs w:val="22"/>
        </w:rPr>
        <w:t> </w:t>
      </w:r>
      <w:r w:rsidRPr="00264959">
        <w:rPr>
          <w:rFonts w:ascii="Arial" w:eastAsia="Times New Roman" w:hAnsi="Arial" w:cs="Arial"/>
          <w:sz w:val="22"/>
          <w:szCs w:val="22"/>
        </w:rPr>
        <w:t>53 “would be used in limited cases (e.g., seismic analysis) where state of the art knowledge of very low frequency events may not yield useful PRA results.” The commenter argued that Section</w:t>
      </w:r>
      <w:r w:rsidR="008E687B">
        <w:rPr>
          <w:rFonts w:ascii="Arial" w:eastAsia="Times New Roman" w:hAnsi="Arial" w:cs="Arial"/>
          <w:sz w:val="22"/>
          <w:szCs w:val="22"/>
        </w:rPr>
        <w:t> </w:t>
      </w:r>
      <w:r w:rsidRPr="00264959">
        <w:rPr>
          <w:rFonts w:ascii="Arial" w:eastAsia="Times New Roman" w:hAnsi="Arial" w:cs="Arial"/>
          <w:sz w:val="22"/>
          <w:szCs w:val="22"/>
        </w:rPr>
        <w:t>3 of the non-LWR PRA standard provides an appropriate framework for determining PRA scope that should be acceptable for all 10</w:t>
      </w:r>
      <w:r w:rsidRPr="00264959" w:rsidR="002F269D">
        <w:rPr>
          <w:rFonts w:ascii="Arial" w:eastAsia="Times New Roman" w:hAnsi="Arial" w:cs="Arial"/>
          <w:sz w:val="22"/>
          <w:szCs w:val="22"/>
        </w:rPr>
        <w:t> </w:t>
      </w:r>
      <w:r w:rsidRPr="00264959">
        <w:rPr>
          <w:rFonts w:ascii="Arial" w:eastAsia="Times New Roman" w:hAnsi="Arial" w:cs="Arial"/>
          <w:sz w:val="22"/>
          <w:szCs w:val="22"/>
        </w:rPr>
        <w:t>CFR Part 53 applications and may justify limiting PRA scope to full power internal events or even a maximum hazard analysis of other supplemental evaluations. The commenter concluded that such an approach not only would be aligned with the Commission directive in SRM-SECY-19-0036 but also is supported by the PRA Policy Statement.</w:t>
      </w:r>
    </w:p>
    <w:p w:rsidR="005E6269" w:rsidRPr="00264959" w:rsidP="00264959" w14:paraId="216C9299" w14:textId="77777777">
      <w:pPr>
        <w:spacing w:after="220"/>
        <w:rPr>
          <w:rFonts w:ascii="Arial" w:eastAsia="Times New Roman" w:hAnsi="Arial" w:cs="Arial"/>
          <w:sz w:val="22"/>
          <w:szCs w:val="22"/>
        </w:rPr>
      </w:pPr>
      <w:r w:rsidRPr="00264959">
        <w:rPr>
          <w:rFonts w:ascii="Arial" w:eastAsia="Times New Roman" w:hAnsi="Arial" w:cs="Arial"/>
          <w:sz w:val="22"/>
          <w:szCs w:val="22"/>
        </w:rPr>
        <w:t xml:space="preserve">Quoting the preamble discussion </w:t>
      </w:r>
      <w:r w:rsidR="00017FF8">
        <w:rPr>
          <w:rFonts w:ascii="Arial" w:eastAsia="Times New Roman" w:hAnsi="Arial" w:cs="Arial"/>
          <w:sz w:val="22"/>
          <w:szCs w:val="22"/>
        </w:rPr>
        <w:t>for</w:t>
      </w:r>
      <w:r w:rsidRPr="00264959">
        <w:rPr>
          <w:rFonts w:ascii="Arial" w:eastAsia="Times New Roman" w:hAnsi="Arial" w:cs="Arial"/>
          <w:sz w:val="22"/>
          <w:szCs w:val="22"/>
        </w:rPr>
        <w:t xml:space="preserve"> 10 CFR 53.415, in which the NRC said the requirements of that section would support “either traditional deterministic approaches for determining and protecting against external hazards or probabilistic approaches that are being developed for seismic and some other external hazards,” the commenter suggested that clarity could be gained from the NRC explicitly stating the criteria by which it determines that a hazards PRA or lower modes PRA is necessary. The commenter also asked the NRC for guidance on the statement in the preamble discussion of </w:t>
      </w:r>
      <w:r w:rsidR="00E32316">
        <w:rPr>
          <w:rFonts w:ascii="Arial" w:eastAsia="Times New Roman" w:hAnsi="Arial" w:cs="Arial"/>
          <w:sz w:val="22"/>
          <w:szCs w:val="22"/>
        </w:rPr>
        <w:t>S</w:t>
      </w:r>
      <w:r w:rsidRPr="00264959">
        <w:rPr>
          <w:rFonts w:ascii="Arial" w:eastAsia="Times New Roman" w:hAnsi="Arial" w:cs="Arial"/>
          <w:sz w:val="22"/>
          <w:szCs w:val="22"/>
        </w:rPr>
        <w:t xml:space="preserve">ubpart C that its approach to determining PRA acceptability offers appropriate flexibility for PRAs to be developed and assessed “based on the application they are used to support,” saying it should build on NRC precedent where development of a certain PRA scope is an entry condition to specific risk-informed applications (e.g., an internal flood PRA could justify deviation from </w:t>
      </w:r>
      <w:r w:rsidR="00EF6BA7">
        <w:rPr>
          <w:rFonts w:ascii="Arial" w:eastAsia="Times New Roman" w:hAnsi="Arial" w:cs="Arial"/>
          <w:sz w:val="22"/>
          <w:szCs w:val="22"/>
        </w:rPr>
        <w:t>standard revi</w:t>
      </w:r>
      <w:r w:rsidR="00FD61FE">
        <w:rPr>
          <w:rFonts w:ascii="Arial" w:eastAsia="Times New Roman" w:hAnsi="Arial" w:cs="Arial"/>
          <w:sz w:val="22"/>
          <w:szCs w:val="22"/>
        </w:rPr>
        <w:t>ew plan</w:t>
      </w:r>
      <w:r w:rsidRPr="00264959">
        <w:rPr>
          <w:rFonts w:ascii="Arial" w:eastAsia="Times New Roman" w:hAnsi="Arial" w:cs="Arial"/>
          <w:sz w:val="22"/>
          <w:szCs w:val="22"/>
        </w:rPr>
        <w:t xml:space="preserve"> </w:t>
      </w:r>
      <w:r w:rsidR="00FD61FE">
        <w:rPr>
          <w:rFonts w:ascii="Arial" w:eastAsia="Times New Roman" w:hAnsi="Arial" w:cs="Arial"/>
          <w:sz w:val="22"/>
          <w:szCs w:val="22"/>
        </w:rPr>
        <w:t>(</w:t>
      </w:r>
      <w:r w:rsidRPr="00264959">
        <w:rPr>
          <w:rFonts w:ascii="Arial" w:eastAsia="Times New Roman" w:hAnsi="Arial" w:cs="Arial"/>
          <w:sz w:val="22"/>
          <w:szCs w:val="22"/>
        </w:rPr>
        <w:t>SRP</w:t>
      </w:r>
      <w:r w:rsidR="00FD61FE">
        <w:rPr>
          <w:rFonts w:ascii="Arial" w:eastAsia="Times New Roman" w:hAnsi="Arial" w:cs="Arial"/>
          <w:sz w:val="22"/>
          <w:szCs w:val="22"/>
        </w:rPr>
        <w:t>)</w:t>
      </w:r>
      <w:r w:rsidRPr="00264959">
        <w:rPr>
          <w:rFonts w:ascii="Arial" w:eastAsia="Times New Roman" w:hAnsi="Arial" w:cs="Arial"/>
          <w:sz w:val="22"/>
          <w:szCs w:val="22"/>
        </w:rPr>
        <w:t xml:space="preserve"> 3.4.1 for internal flooding design). The commenter described their September 2021 white paper on “Technology-inclusive, Risk</w:t>
      </w:r>
      <w:r w:rsidR="008E687B">
        <w:rPr>
          <w:rFonts w:ascii="Arial" w:eastAsia="Times New Roman" w:hAnsi="Arial" w:cs="Arial"/>
          <w:sz w:val="22"/>
          <w:szCs w:val="22"/>
        </w:rPr>
        <w:noBreakHyphen/>
      </w:r>
      <w:r w:rsidRPr="00264959">
        <w:rPr>
          <w:rFonts w:ascii="Arial" w:eastAsia="Times New Roman" w:hAnsi="Arial" w:cs="Arial"/>
          <w:sz w:val="22"/>
          <w:szCs w:val="22"/>
        </w:rPr>
        <w:t>informed, Performance-based Approaches for Development of Licensing Bases Under Part</w:t>
      </w:r>
      <w:r w:rsidR="008E687B">
        <w:rPr>
          <w:rFonts w:ascii="Arial" w:eastAsia="Times New Roman" w:hAnsi="Arial" w:cs="Arial"/>
          <w:sz w:val="22"/>
          <w:szCs w:val="22"/>
        </w:rPr>
        <w:t> </w:t>
      </w:r>
      <w:r w:rsidRPr="00264959">
        <w:rPr>
          <w:rFonts w:ascii="Arial" w:eastAsia="Times New Roman" w:hAnsi="Arial" w:cs="Arial"/>
          <w:sz w:val="22"/>
          <w:szCs w:val="22"/>
        </w:rPr>
        <w:t>53” as helping to provide clarity on the various means of risk-informed and performance</w:t>
      </w:r>
      <w:r w:rsidR="008E687B">
        <w:rPr>
          <w:rFonts w:ascii="Arial" w:eastAsia="Times New Roman" w:hAnsi="Arial" w:cs="Arial"/>
          <w:sz w:val="22"/>
          <w:szCs w:val="22"/>
        </w:rPr>
        <w:noBreakHyphen/>
      </w:r>
      <w:r w:rsidRPr="00264959">
        <w:rPr>
          <w:rFonts w:ascii="Arial" w:eastAsia="Times New Roman" w:hAnsi="Arial" w:cs="Arial"/>
          <w:sz w:val="22"/>
          <w:szCs w:val="22"/>
        </w:rPr>
        <w:t>based methodologies complying with 10 CFR Part 53 (</w:t>
      </w:r>
      <w:r w:rsidR="009D6BB9">
        <w:rPr>
          <w:rFonts w:ascii="Arial" w:eastAsia="Times New Roman" w:hAnsi="Arial" w:cs="Arial"/>
          <w:sz w:val="22"/>
          <w:szCs w:val="22"/>
        </w:rPr>
        <w:t>NEI2</w:t>
      </w:r>
      <w:r w:rsidRPr="00264959">
        <w:rPr>
          <w:rFonts w:ascii="Arial" w:eastAsia="Times New Roman" w:hAnsi="Arial" w:cs="Arial"/>
          <w:sz w:val="22"/>
          <w:szCs w:val="22"/>
        </w:rPr>
        <w:t>-0181).</w:t>
      </w:r>
    </w:p>
    <w:p w:rsidR="005E6269" w:rsidRPr="00264959" w:rsidP="00264959" w14:paraId="5D40A8E2" w14:textId="77777777">
      <w:pPr>
        <w:spacing w:after="220"/>
        <w:rPr>
          <w:rFonts w:ascii="Arial" w:hAnsi="Arial" w:cs="Arial"/>
          <w:sz w:val="22"/>
          <w:szCs w:val="22"/>
        </w:rPr>
      </w:pPr>
      <w:r w:rsidRPr="00264959">
        <w:rPr>
          <w:rFonts w:ascii="Arial" w:hAnsi="Arial" w:cs="Arial"/>
          <w:b/>
          <w:sz w:val="22"/>
          <w:szCs w:val="22"/>
        </w:rPr>
        <w:t>NRC Response:</w:t>
      </w:r>
      <w:r w:rsidRPr="00264959">
        <w:rPr>
          <w:rFonts w:ascii="Arial" w:hAnsi="Arial" w:cs="Arial"/>
          <w:sz w:val="22"/>
          <w:szCs w:val="22"/>
        </w:rPr>
        <w:t> The NRC agrees, in part, with the comment</w:t>
      </w:r>
      <w:r w:rsidRPr="00264959" w:rsidR="004369E3">
        <w:rPr>
          <w:rFonts w:ascii="Arial" w:hAnsi="Arial" w:cs="Arial"/>
          <w:sz w:val="22"/>
          <w:szCs w:val="22"/>
        </w:rPr>
        <w:t>s</w:t>
      </w:r>
      <w:r w:rsidRPr="00264959">
        <w:rPr>
          <w:rFonts w:ascii="Arial" w:hAnsi="Arial" w:cs="Arial"/>
          <w:sz w:val="22"/>
          <w:szCs w:val="22"/>
        </w:rPr>
        <w:t>.</w:t>
      </w:r>
    </w:p>
    <w:p w:rsidR="005E6269" w:rsidRPr="00264959" w:rsidP="00264959" w14:paraId="149BD3E0" w14:textId="77777777">
      <w:pPr>
        <w:spacing w:after="220"/>
        <w:rPr>
          <w:rFonts w:ascii="Arial" w:hAnsi="Arial" w:cs="Arial"/>
          <w:sz w:val="22"/>
          <w:szCs w:val="22"/>
        </w:rPr>
      </w:pPr>
      <w:r w:rsidRPr="00264959">
        <w:rPr>
          <w:rFonts w:ascii="Arial" w:hAnsi="Arial" w:cs="Arial"/>
          <w:sz w:val="22"/>
          <w:szCs w:val="22"/>
        </w:rPr>
        <w:t>The NRC agrees that updates to existing RGs, standard review plans, and other NRC guidance to reflect methodologies acceptable under 10 CFR Part 53 would increase regulatory certainty. The NRC continues to identify and develop additional guidance needed to support 10</w:t>
      </w:r>
      <w:r w:rsidR="00B627D0">
        <w:rPr>
          <w:rFonts w:ascii="Arial" w:hAnsi="Arial" w:cs="Arial"/>
          <w:sz w:val="22"/>
          <w:szCs w:val="22"/>
        </w:rPr>
        <w:t> </w:t>
      </w:r>
      <w:r w:rsidRPr="00264959">
        <w:rPr>
          <w:rFonts w:ascii="Arial" w:hAnsi="Arial" w:cs="Arial"/>
          <w:sz w:val="22"/>
          <w:szCs w:val="22"/>
        </w:rPr>
        <w:t>CFR</w:t>
      </w:r>
      <w:r w:rsidR="00B627D0">
        <w:rPr>
          <w:rFonts w:ascii="Arial" w:hAnsi="Arial" w:cs="Arial"/>
          <w:sz w:val="22"/>
          <w:szCs w:val="22"/>
        </w:rPr>
        <w:t> </w:t>
      </w:r>
      <w:r w:rsidRPr="00264959">
        <w:rPr>
          <w:rFonts w:ascii="Arial" w:hAnsi="Arial" w:cs="Arial"/>
          <w:sz w:val="22"/>
          <w:szCs w:val="22"/>
        </w:rPr>
        <w:t>Part</w:t>
      </w:r>
      <w:r w:rsidR="00B627D0">
        <w:rPr>
          <w:rFonts w:ascii="Arial" w:hAnsi="Arial" w:cs="Arial"/>
          <w:sz w:val="22"/>
          <w:szCs w:val="22"/>
        </w:rPr>
        <w:t> </w:t>
      </w:r>
      <w:r w:rsidRPr="00264959">
        <w:rPr>
          <w:rFonts w:ascii="Arial" w:hAnsi="Arial" w:cs="Arial"/>
          <w:sz w:val="22"/>
          <w:szCs w:val="22"/>
        </w:rPr>
        <w:t>53 and appreciates the comments’ suggestions for prioritization of such guidance.</w:t>
      </w:r>
    </w:p>
    <w:p w:rsidR="005E6269" w:rsidRPr="00264959" w:rsidP="00264959" w14:paraId="391BEFD3" w14:textId="77777777">
      <w:pPr>
        <w:spacing w:after="220"/>
        <w:rPr>
          <w:rFonts w:ascii="Arial" w:hAnsi="Arial" w:cs="Arial"/>
          <w:sz w:val="22"/>
          <w:szCs w:val="22"/>
        </w:rPr>
      </w:pPr>
      <w:r w:rsidRPr="00264959">
        <w:rPr>
          <w:rFonts w:ascii="Arial" w:hAnsi="Arial" w:cs="Arial"/>
          <w:sz w:val="22"/>
          <w:szCs w:val="22"/>
        </w:rPr>
        <w:t>As described in the final rule, existing processes in consensus PRA standards related to defining the needed scope and level of detail of a PRA for a given application currently provide flexibility for an applicant to choose whether risk contributors may be evaluated by being represented in a PRA logic model or PRA screening analysis, or by non-PRA approaches, as based on the needs of the application. The requirements under 10 CFR</w:t>
      </w:r>
      <w:r w:rsidRPr="00264959" w:rsidR="0057757B">
        <w:rPr>
          <w:rFonts w:ascii="Arial" w:hAnsi="Arial" w:cs="Arial"/>
          <w:sz w:val="22"/>
          <w:szCs w:val="22"/>
        </w:rPr>
        <w:t> </w:t>
      </w:r>
      <w:r w:rsidRPr="00264959">
        <w:rPr>
          <w:rFonts w:ascii="Arial" w:hAnsi="Arial" w:cs="Arial"/>
          <w:sz w:val="22"/>
          <w:szCs w:val="22"/>
        </w:rPr>
        <w:t>Part 53 could be satisfied using existing processes; however, the NRC recognizes additional specificity in the related requirements can provide clarity on how they can be met. In that regard and consistent with existing processes, the NRC recognizes that PRA, other SREs, or combination thereof may be used together with other generally accepted approaches for systematically evaluating engineered systems to meet the related requirements under 10</w:t>
      </w:r>
      <w:r w:rsidR="008E687B">
        <w:rPr>
          <w:rFonts w:ascii="Arial" w:hAnsi="Arial" w:cs="Arial"/>
          <w:sz w:val="22"/>
          <w:szCs w:val="22"/>
        </w:rPr>
        <w:t> </w:t>
      </w:r>
      <w:r w:rsidRPr="00264959">
        <w:rPr>
          <w:rFonts w:ascii="Arial" w:hAnsi="Arial" w:cs="Arial"/>
          <w:sz w:val="22"/>
          <w:szCs w:val="22"/>
        </w:rPr>
        <w:t xml:space="preserve">CFR Part 53. However, the use of PRA, SREs, or combination thereof would not include the exclusive use of bounding assessments or evaluations as </w:t>
      </w:r>
      <w:r w:rsidR="007C7230">
        <w:rPr>
          <w:rFonts w:ascii="Arial" w:hAnsi="Arial" w:cs="Arial"/>
          <w:sz w:val="22"/>
          <w:szCs w:val="22"/>
        </w:rPr>
        <w:t>a means to satisfy the analyses requirements</w:t>
      </w:r>
      <w:r w:rsidRPr="00264959">
        <w:rPr>
          <w:rFonts w:ascii="Arial" w:hAnsi="Arial" w:cs="Arial"/>
          <w:sz w:val="22"/>
          <w:szCs w:val="22"/>
        </w:rPr>
        <w:t xml:space="preserve"> under 10</w:t>
      </w:r>
      <w:r w:rsidRPr="00264959" w:rsidR="0057757B">
        <w:rPr>
          <w:rFonts w:ascii="Arial" w:hAnsi="Arial" w:cs="Arial"/>
          <w:sz w:val="22"/>
          <w:szCs w:val="22"/>
        </w:rPr>
        <w:t> </w:t>
      </w:r>
      <w:r w:rsidRPr="00264959">
        <w:rPr>
          <w:rFonts w:ascii="Arial" w:hAnsi="Arial" w:cs="Arial"/>
          <w:sz w:val="22"/>
          <w:szCs w:val="22"/>
        </w:rPr>
        <w:t>CFR Part 53 because such assessments would not be sufficient to meet certain requirements, for example, under 10 CFR 53.450(b) and 10 CFR 53.450(e) related to the classifying SSCs based on safety significance and identifying significant event sequences.</w:t>
      </w:r>
    </w:p>
    <w:p w:rsidR="00977E0C" w:rsidRPr="00264959" w:rsidP="00264959" w14:paraId="7FCC3502" w14:textId="77777777">
      <w:pPr>
        <w:spacing w:after="220"/>
        <w:rPr>
          <w:rFonts w:ascii="Arial" w:hAnsi="Arial" w:cs="Arial"/>
          <w:sz w:val="22"/>
          <w:szCs w:val="22"/>
        </w:rPr>
      </w:pPr>
      <w:r w:rsidRPr="00264959">
        <w:rPr>
          <w:rFonts w:ascii="Arial" w:hAnsi="Arial" w:cs="Arial"/>
          <w:sz w:val="22"/>
          <w:szCs w:val="22"/>
        </w:rPr>
        <w:t xml:space="preserve">Accordingly, the NRC </w:t>
      </w:r>
      <w:r w:rsidR="00BE539E">
        <w:rPr>
          <w:rFonts w:ascii="Arial" w:hAnsi="Arial" w:cs="Arial"/>
          <w:sz w:val="22"/>
          <w:szCs w:val="22"/>
        </w:rPr>
        <w:t xml:space="preserve">has revised </w:t>
      </w:r>
      <w:r w:rsidRPr="00264959">
        <w:rPr>
          <w:rFonts w:ascii="Arial" w:hAnsi="Arial" w:cs="Arial"/>
          <w:sz w:val="22"/>
          <w:szCs w:val="22"/>
        </w:rPr>
        <w:t xml:space="preserve">the rule language in response to these comments (see also the response to </w:t>
      </w:r>
      <w:r w:rsidRPr="00264959" w:rsidR="00860732">
        <w:rPr>
          <w:rFonts w:ascii="Arial" w:hAnsi="Arial" w:cs="Arial"/>
          <w:sz w:val="22"/>
          <w:szCs w:val="22"/>
        </w:rPr>
        <w:t>Comment Bin 3.</w:t>
      </w:r>
      <w:r w:rsidRPr="00264959" w:rsidR="002B6C36">
        <w:rPr>
          <w:rFonts w:ascii="Arial" w:hAnsi="Arial" w:cs="Arial"/>
          <w:sz w:val="22"/>
          <w:szCs w:val="22"/>
        </w:rPr>
        <w:t>3.2.</w:t>
      </w:r>
      <w:r w:rsidRPr="00264959" w:rsidR="00860732">
        <w:rPr>
          <w:rFonts w:ascii="Arial" w:hAnsi="Arial" w:cs="Arial"/>
          <w:sz w:val="22"/>
          <w:szCs w:val="22"/>
        </w:rPr>
        <w:t>2.</w:t>
      </w:r>
      <w:r w:rsidRPr="00264959" w:rsidR="00AE6ED1">
        <w:rPr>
          <w:rFonts w:ascii="Arial" w:hAnsi="Arial" w:cs="Arial"/>
          <w:sz w:val="22"/>
          <w:szCs w:val="22"/>
        </w:rPr>
        <w:t>E</w:t>
      </w:r>
      <w:r w:rsidRPr="00264959" w:rsidR="5133A222">
        <w:rPr>
          <w:rFonts w:ascii="Arial" w:hAnsi="Arial" w:cs="Arial"/>
          <w:sz w:val="22"/>
          <w:szCs w:val="22"/>
        </w:rPr>
        <w:t>)</w:t>
      </w:r>
      <w:r w:rsidRPr="00264959">
        <w:rPr>
          <w:rFonts w:ascii="Arial" w:hAnsi="Arial" w:cs="Arial"/>
          <w:sz w:val="22"/>
          <w:szCs w:val="22"/>
        </w:rPr>
        <w:t xml:space="preserve"> to allow for the use of PRA, other SREs, or combination thereof together with other generally accepted approaches for systematically evaluating engineered systems to meet the related requirements under 10 CFR Part 53.</w:t>
      </w:r>
    </w:p>
    <w:p w:rsidR="000F3D5B" w:rsidRPr="00264959" w:rsidP="00264959" w14:paraId="581A993E" w14:textId="77777777">
      <w:pPr>
        <w:spacing w:after="220"/>
        <w:rPr>
          <w:rFonts w:ascii="Arial" w:hAnsi="Arial" w:cs="Arial"/>
          <w:sz w:val="22"/>
          <w:szCs w:val="22"/>
        </w:rPr>
      </w:pPr>
      <w:r>
        <w:rPr>
          <w:rFonts w:ascii="Arial" w:hAnsi="Arial" w:cs="Arial"/>
          <w:sz w:val="22"/>
          <w:szCs w:val="22"/>
        </w:rPr>
        <w:pict>
          <v:rect id="_x0000_i1128" style="width:0;height:1.5pt" o:hralign="center" o:hrstd="t" o:hrnoshade="t" o:hr="t" fillcolor="black" stroked="f"/>
        </w:pict>
      </w:r>
    </w:p>
    <w:p w:rsidR="000F3D5B" w:rsidRPr="005E489E" w:rsidP="00D1225A" w14:paraId="0F75C1C2" w14:textId="77777777">
      <w:pPr>
        <w:pStyle w:val="Heading3"/>
        <w:numPr>
          <w:ilvl w:val="0"/>
          <w:numId w:val="0"/>
        </w:numPr>
        <w:ind w:left="720" w:hanging="720"/>
        <w:rPr>
          <w:rFonts w:eastAsia="Times New Roman"/>
          <w:b/>
        </w:rPr>
      </w:pPr>
      <w:bookmarkStart w:id="37" w:name="_Toc207222812"/>
      <w:r w:rsidRPr="00D1225A">
        <w:rPr>
          <w:u w:val="none"/>
        </w:rPr>
        <w:t>3.3.4.</w:t>
      </w:r>
      <w:r w:rsidRPr="00D1225A">
        <w:rPr>
          <w:u w:val="none"/>
        </w:rPr>
        <w:tab/>
      </w:r>
      <w:r w:rsidRPr="0030052D">
        <w:t xml:space="preserve">RFC: Earthquake engineering and flexibility in addressing seismic risk (§ </w:t>
      </w:r>
      <w:r w:rsidRPr="005E489E">
        <w:rPr>
          <w:rFonts w:eastAsia="Times New Roman"/>
        </w:rPr>
        <w:t>53.480)</w:t>
      </w:r>
      <w:bookmarkEnd w:id="37"/>
    </w:p>
    <w:p w:rsidR="005F3498" w:rsidRPr="005E5020" w:rsidP="005E5020" w14:paraId="3396E7F9" w14:textId="77777777">
      <w:pPr>
        <w:spacing w:after="220"/>
        <w:rPr>
          <w:rFonts w:ascii="Arial" w:eastAsia="Times New Roman" w:hAnsi="Arial" w:cs="Arial"/>
          <w:sz w:val="22"/>
          <w:szCs w:val="22"/>
        </w:rPr>
      </w:pPr>
      <w:r w:rsidRPr="005E5020">
        <w:rPr>
          <w:rFonts w:ascii="Arial" w:hAnsi="Arial" w:cs="Arial"/>
          <w:b/>
          <w:sz w:val="22"/>
          <w:szCs w:val="22"/>
        </w:rPr>
        <w:t>Comment Bin 3.3.4.A:</w:t>
      </w:r>
      <w:r w:rsidRPr="005E5020">
        <w:rPr>
          <w:rFonts w:ascii="Arial" w:hAnsi="Arial" w:cs="Arial"/>
          <w:sz w:val="22"/>
          <w:szCs w:val="22"/>
        </w:rPr>
        <w:t xml:space="preserve"> </w:t>
      </w:r>
      <w:r w:rsidRPr="005E5020">
        <w:rPr>
          <w:rFonts w:ascii="Arial" w:eastAsia="Times New Roman" w:hAnsi="Arial" w:cs="Arial"/>
          <w:sz w:val="22"/>
          <w:szCs w:val="22"/>
        </w:rPr>
        <w:t>Observing that numerous requirements in 10 CFR 53.480 reference both SR and NSRSS SSCs, a commenter stated that limiting the scope of the section to SR SSCs would be more appropriate and align with 10 CFR 53.415 (</w:t>
      </w:r>
      <w:r w:rsidR="009D6BB9">
        <w:rPr>
          <w:rFonts w:ascii="Arial" w:eastAsia="Times New Roman" w:hAnsi="Arial" w:cs="Arial"/>
          <w:sz w:val="22"/>
          <w:szCs w:val="22"/>
        </w:rPr>
        <w:t>NEI2</w:t>
      </w:r>
      <w:r w:rsidRPr="005E5020">
        <w:rPr>
          <w:rFonts w:ascii="Arial" w:eastAsia="Times New Roman" w:hAnsi="Arial" w:cs="Arial"/>
          <w:sz w:val="22"/>
          <w:szCs w:val="22"/>
        </w:rPr>
        <w:t>-0182</w:t>
      </w:r>
      <w:r w:rsidR="008E687B">
        <w:rPr>
          <w:rFonts w:ascii="Arial" w:eastAsia="Times New Roman" w:hAnsi="Arial" w:cs="Arial"/>
          <w:sz w:val="22"/>
          <w:szCs w:val="22"/>
        </w:rPr>
        <w:t>,</w:t>
      </w:r>
      <w:r w:rsidRPr="005E5020">
        <w:rPr>
          <w:rFonts w:ascii="Arial" w:eastAsia="Times New Roman" w:hAnsi="Arial" w:cs="Arial"/>
          <w:sz w:val="22"/>
          <w:szCs w:val="22"/>
        </w:rPr>
        <w:t xml:space="preserve"> </w:t>
      </w:r>
      <w:r w:rsidR="009D6BB9">
        <w:rPr>
          <w:rFonts w:ascii="Arial" w:eastAsia="Times New Roman" w:hAnsi="Arial" w:cs="Arial"/>
          <w:sz w:val="22"/>
          <w:szCs w:val="22"/>
        </w:rPr>
        <w:t>NEI2</w:t>
      </w:r>
      <w:r w:rsidRPr="005E5020">
        <w:rPr>
          <w:rFonts w:ascii="Arial" w:eastAsia="Times New Roman" w:hAnsi="Arial" w:cs="Arial"/>
          <w:sz w:val="22"/>
          <w:szCs w:val="22"/>
        </w:rPr>
        <w:t xml:space="preserve">-0056). The commenter argued that 10 CFR 53.480 lacks sufficient clarification on the design requirements </w:t>
      </w:r>
      <w:r w:rsidRPr="005E5020">
        <w:rPr>
          <w:rFonts w:ascii="Arial" w:eastAsia="Times New Roman" w:hAnsi="Arial" w:cs="Arial"/>
          <w:sz w:val="22"/>
          <w:szCs w:val="22"/>
        </w:rPr>
        <w:t>for NSRSS SSCs and, taken together with 10</w:t>
      </w:r>
      <w:r w:rsidR="008E687B">
        <w:rPr>
          <w:rFonts w:ascii="Arial" w:eastAsia="Times New Roman" w:hAnsi="Arial" w:cs="Arial"/>
          <w:sz w:val="22"/>
          <w:szCs w:val="22"/>
        </w:rPr>
        <w:t> </w:t>
      </w:r>
      <w:r w:rsidRPr="005E5020">
        <w:rPr>
          <w:rFonts w:ascii="Arial" w:eastAsia="Times New Roman" w:hAnsi="Arial" w:cs="Arial"/>
          <w:sz w:val="22"/>
          <w:szCs w:val="22"/>
        </w:rPr>
        <w:t>CFR</w:t>
      </w:r>
      <w:r w:rsidR="008E687B">
        <w:rPr>
          <w:rFonts w:ascii="Arial" w:eastAsia="Times New Roman" w:hAnsi="Arial" w:cs="Arial"/>
          <w:sz w:val="22"/>
          <w:szCs w:val="22"/>
        </w:rPr>
        <w:t> </w:t>
      </w:r>
      <w:r w:rsidRPr="005E5020">
        <w:rPr>
          <w:rFonts w:ascii="Arial" w:eastAsia="Times New Roman" w:hAnsi="Arial" w:cs="Arial"/>
          <w:sz w:val="22"/>
          <w:szCs w:val="22"/>
        </w:rPr>
        <w:t>53.440(b), could imply that both SR and NSRSS structures must be designed to ASCE</w:t>
      </w:r>
      <w:r w:rsidR="008E687B">
        <w:rPr>
          <w:rFonts w:ascii="Arial" w:eastAsia="Times New Roman" w:hAnsi="Arial" w:cs="Arial"/>
          <w:sz w:val="22"/>
          <w:szCs w:val="22"/>
        </w:rPr>
        <w:t> </w:t>
      </w:r>
      <w:r w:rsidRPr="005E5020">
        <w:rPr>
          <w:rFonts w:ascii="Arial" w:eastAsia="Times New Roman" w:hAnsi="Arial" w:cs="Arial"/>
          <w:sz w:val="22"/>
          <w:szCs w:val="22"/>
        </w:rPr>
        <w:t>43-05 (and eventually ASCE 43-19) as the only NRC-endorsed standards available (</w:t>
      </w:r>
      <w:r w:rsidR="009D6BB9">
        <w:rPr>
          <w:rFonts w:ascii="Arial" w:eastAsia="Times New Roman" w:hAnsi="Arial" w:cs="Arial"/>
          <w:sz w:val="22"/>
          <w:szCs w:val="22"/>
        </w:rPr>
        <w:t>NEI2</w:t>
      </w:r>
      <w:r w:rsidRPr="005E5020">
        <w:rPr>
          <w:rFonts w:ascii="Arial" w:eastAsia="Times New Roman" w:hAnsi="Arial" w:cs="Arial"/>
          <w:sz w:val="22"/>
          <w:szCs w:val="22"/>
        </w:rPr>
        <w:t>-0056).</w:t>
      </w:r>
    </w:p>
    <w:p w:rsidR="005F3498" w:rsidRPr="005E5020" w:rsidP="005E5020" w14:paraId="3F4E13A6" w14:textId="77777777">
      <w:pPr>
        <w:spacing w:after="220"/>
        <w:rPr>
          <w:rFonts w:ascii="Arial" w:eastAsia="Times New Roman" w:hAnsi="Arial" w:cs="Arial"/>
          <w:sz w:val="22"/>
          <w:szCs w:val="22"/>
        </w:rPr>
      </w:pPr>
      <w:r w:rsidRPr="005E5020">
        <w:rPr>
          <w:rFonts w:ascii="Arial" w:eastAsia="Times New Roman" w:hAnsi="Arial" w:cs="Arial"/>
          <w:sz w:val="22"/>
          <w:szCs w:val="22"/>
        </w:rPr>
        <w:t>The commenter characterized the requirement in 10 CFR 53.480(c)(vi) on soil</w:t>
      </w:r>
      <w:r w:rsidRPr="005E5020">
        <w:rPr>
          <w:rFonts w:ascii="Arial" w:eastAsia="Times New Roman" w:hAnsi="Arial" w:cs="Arial"/>
          <w:sz w:val="22"/>
          <w:szCs w:val="22"/>
        </w:rPr>
        <w:noBreakHyphen/>
        <w:t xml:space="preserve">structure interaction as overly prescriptive and, citing NUREG-0800, </w:t>
      </w:r>
      <w:r w:rsidR="00550116">
        <w:rPr>
          <w:rFonts w:ascii="Arial" w:eastAsia="Times New Roman" w:hAnsi="Arial" w:cs="Arial"/>
          <w:sz w:val="22"/>
          <w:szCs w:val="22"/>
        </w:rPr>
        <w:t>“</w:t>
      </w:r>
      <w:r w:rsidRPr="00550116" w:rsidR="00550116">
        <w:rPr>
          <w:rFonts w:ascii="Arial" w:eastAsia="Times New Roman" w:hAnsi="Arial" w:cs="Arial"/>
          <w:sz w:val="22"/>
          <w:szCs w:val="22"/>
        </w:rPr>
        <w:t>Standard Review Plan for the Review of Safety Analysis Reports for Nuclear Power Plants: LWR Edition</w:t>
      </w:r>
      <w:r w:rsidR="004C3B05">
        <w:rPr>
          <w:rFonts w:ascii="Arial" w:eastAsia="Times New Roman" w:hAnsi="Arial" w:cs="Arial"/>
          <w:sz w:val="22"/>
          <w:szCs w:val="22"/>
        </w:rPr>
        <w:t>,</w:t>
      </w:r>
      <w:r w:rsidR="00550116">
        <w:rPr>
          <w:rFonts w:ascii="Arial" w:eastAsia="Times New Roman" w:hAnsi="Arial" w:cs="Arial"/>
          <w:sz w:val="22"/>
          <w:szCs w:val="22"/>
        </w:rPr>
        <w:t>”</w:t>
      </w:r>
      <w:r w:rsidRPr="00550116" w:rsidR="00550116">
        <w:rPr>
          <w:rFonts w:ascii="Arial" w:eastAsia="Times New Roman" w:hAnsi="Arial" w:cs="Arial"/>
          <w:sz w:val="22"/>
          <w:szCs w:val="22"/>
        </w:rPr>
        <w:t xml:space="preserve"> </w:t>
      </w:r>
      <w:r w:rsidRPr="005E5020">
        <w:rPr>
          <w:rFonts w:ascii="Arial" w:eastAsia="Times New Roman" w:hAnsi="Arial" w:cs="Arial"/>
          <w:sz w:val="22"/>
          <w:szCs w:val="22"/>
        </w:rPr>
        <w:t>Section 3.7.2, cautioned that it may not be appropriate for some sites and designs (</w:t>
      </w:r>
      <w:r w:rsidR="009D6BB9">
        <w:rPr>
          <w:rFonts w:ascii="Arial" w:eastAsia="Times New Roman" w:hAnsi="Arial" w:cs="Arial"/>
          <w:sz w:val="22"/>
          <w:szCs w:val="22"/>
        </w:rPr>
        <w:t>NEI2</w:t>
      </w:r>
      <w:r w:rsidRPr="005E5020">
        <w:rPr>
          <w:rFonts w:ascii="Arial" w:eastAsia="Times New Roman" w:hAnsi="Arial" w:cs="Arial"/>
          <w:sz w:val="22"/>
          <w:szCs w:val="22"/>
        </w:rPr>
        <w:t>-0182</w:t>
      </w:r>
      <w:r w:rsidR="00E005BC">
        <w:rPr>
          <w:rFonts w:ascii="Arial" w:eastAsia="Times New Roman" w:hAnsi="Arial" w:cs="Arial"/>
          <w:sz w:val="22"/>
          <w:szCs w:val="22"/>
        </w:rPr>
        <w:t>,</w:t>
      </w:r>
      <w:r w:rsidRPr="005E5020">
        <w:rPr>
          <w:rFonts w:ascii="Arial" w:eastAsia="Times New Roman" w:hAnsi="Arial" w:cs="Arial"/>
          <w:sz w:val="22"/>
          <w:szCs w:val="22"/>
        </w:rPr>
        <w:t xml:space="preserve"> </w:t>
      </w:r>
      <w:r w:rsidR="009D6BB9">
        <w:rPr>
          <w:rFonts w:ascii="Arial" w:eastAsia="Times New Roman" w:hAnsi="Arial" w:cs="Arial"/>
          <w:sz w:val="22"/>
          <w:szCs w:val="22"/>
        </w:rPr>
        <w:t>NEI2</w:t>
      </w:r>
      <w:r w:rsidRPr="005E5020">
        <w:rPr>
          <w:rFonts w:ascii="Arial" w:eastAsia="Times New Roman" w:hAnsi="Arial" w:cs="Arial"/>
          <w:sz w:val="22"/>
          <w:szCs w:val="22"/>
        </w:rPr>
        <w:t>-0057). Saying the rule should be performance-based and minimize exemptions, the commenter suggested two changes to the language, from “must take into account” to “should consider” and from “strain limits in excess of yield strain” to “inelastic behavior” (to better characterize the properties of concrete) (</w:t>
      </w:r>
      <w:r w:rsidR="009D6BB9">
        <w:rPr>
          <w:rFonts w:ascii="Arial" w:eastAsia="Times New Roman" w:hAnsi="Arial" w:cs="Arial"/>
          <w:sz w:val="22"/>
          <w:szCs w:val="22"/>
        </w:rPr>
        <w:t>NEI2</w:t>
      </w:r>
      <w:r w:rsidRPr="005E5020">
        <w:rPr>
          <w:rFonts w:ascii="Arial" w:eastAsia="Times New Roman" w:hAnsi="Arial" w:cs="Arial"/>
          <w:sz w:val="22"/>
          <w:szCs w:val="22"/>
        </w:rPr>
        <w:t>-0182</w:t>
      </w:r>
      <w:r w:rsidR="00E005BC">
        <w:rPr>
          <w:rFonts w:ascii="Arial" w:eastAsia="Times New Roman" w:hAnsi="Arial" w:cs="Arial"/>
          <w:sz w:val="22"/>
          <w:szCs w:val="22"/>
        </w:rPr>
        <w:t>,</w:t>
      </w:r>
      <w:r w:rsidRPr="005E5020">
        <w:rPr>
          <w:rFonts w:ascii="Arial" w:eastAsia="Times New Roman" w:hAnsi="Arial" w:cs="Arial"/>
          <w:sz w:val="22"/>
          <w:szCs w:val="22"/>
        </w:rPr>
        <w:t xml:space="preserve"> </w:t>
      </w:r>
      <w:r w:rsidR="009D6BB9">
        <w:rPr>
          <w:rFonts w:ascii="Arial" w:eastAsia="Times New Roman" w:hAnsi="Arial" w:cs="Arial"/>
          <w:sz w:val="22"/>
          <w:szCs w:val="22"/>
        </w:rPr>
        <w:t>NEI2</w:t>
      </w:r>
      <w:r w:rsidRPr="005E5020">
        <w:rPr>
          <w:rFonts w:ascii="Arial" w:eastAsia="Times New Roman" w:hAnsi="Arial" w:cs="Arial"/>
          <w:sz w:val="22"/>
          <w:szCs w:val="22"/>
        </w:rPr>
        <w:t>-0057).</w:t>
      </w:r>
    </w:p>
    <w:p w:rsidR="005F3498" w:rsidRPr="005E5020" w:rsidP="005E5020" w14:paraId="31549921" w14:textId="77777777">
      <w:pPr>
        <w:spacing w:after="220"/>
        <w:rPr>
          <w:rFonts w:ascii="Arial" w:eastAsia="Aptos" w:hAnsi="Arial" w:cs="Arial"/>
          <w:sz w:val="22"/>
          <w:szCs w:val="22"/>
        </w:rPr>
      </w:pPr>
      <w:r w:rsidRPr="005E5020">
        <w:rPr>
          <w:rFonts w:ascii="Arial" w:eastAsia="Times New Roman" w:hAnsi="Arial" w:cs="Arial"/>
          <w:sz w:val="22"/>
          <w:szCs w:val="22"/>
        </w:rPr>
        <w:t>Another commenter stated that the scope of 10 CFR 53.480 should be limited to SR SSCs in order to align with the existing NRC frameworks, enhance regulatory efficiency, ensure that seismic risk management remains risk-informed and performance-based, and provide necessary flexibility while maintaining safety and supporting the licensing of advanced reactors in accordance with the ADVANCE Act. The commenter added that the NRC should ensure 10</w:t>
      </w:r>
      <w:r w:rsidR="002C49D4">
        <w:rPr>
          <w:rFonts w:ascii="Arial" w:eastAsia="Times New Roman" w:hAnsi="Arial" w:cs="Arial"/>
          <w:sz w:val="22"/>
          <w:szCs w:val="22"/>
        </w:rPr>
        <w:t> </w:t>
      </w:r>
      <w:r w:rsidRPr="005E5020">
        <w:rPr>
          <w:rFonts w:ascii="Arial" w:eastAsia="Times New Roman" w:hAnsi="Arial" w:cs="Arial"/>
          <w:sz w:val="22"/>
          <w:szCs w:val="22"/>
        </w:rPr>
        <w:t>CFR 53.480 is consistent with the ADVANCE Act’s goals by incorporating graded approaches for seismic design (</w:t>
      </w:r>
      <w:r w:rsidR="00D87876">
        <w:rPr>
          <w:rFonts w:ascii="Arial" w:eastAsia="Aptos" w:hAnsi="Arial" w:cs="Arial"/>
          <w:sz w:val="22"/>
          <w:szCs w:val="22"/>
        </w:rPr>
        <w:t>SCWG</w:t>
      </w:r>
      <w:r w:rsidRPr="005E5020">
        <w:rPr>
          <w:rFonts w:ascii="Arial" w:eastAsia="Aptos" w:hAnsi="Arial" w:cs="Arial"/>
          <w:sz w:val="22"/>
          <w:szCs w:val="22"/>
        </w:rPr>
        <w:t>-0002).</w:t>
      </w:r>
    </w:p>
    <w:p w:rsidR="005F3498" w:rsidRPr="005E5020" w:rsidP="005E5020" w14:paraId="158347F4" w14:textId="77777777">
      <w:pPr>
        <w:spacing w:after="220"/>
        <w:rPr>
          <w:rFonts w:ascii="Arial" w:hAnsi="Arial" w:cs="Arial"/>
          <w:sz w:val="22"/>
          <w:szCs w:val="22"/>
        </w:rPr>
      </w:pPr>
      <w:r w:rsidRPr="005E5020">
        <w:rPr>
          <w:rFonts w:ascii="Arial" w:hAnsi="Arial" w:cs="Arial"/>
          <w:b/>
          <w:sz w:val="22"/>
          <w:szCs w:val="22"/>
        </w:rPr>
        <w:t>NRC Response:</w:t>
      </w:r>
      <w:r w:rsidRPr="005E5020">
        <w:rPr>
          <w:rFonts w:ascii="Arial" w:hAnsi="Arial" w:cs="Arial"/>
          <w:sz w:val="22"/>
          <w:szCs w:val="22"/>
        </w:rPr>
        <w:t> The NRC agrees, in part, with the comments.</w:t>
      </w:r>
    </w:p>
    <w:p w:rsidR="005F3498" w:rsidRPr="005E5020" w:rsidP="005E5020" w14:paraId="686C219F" w14:textId="77777777">
      <w:pPr>
        <w:spacing w:after="220"/>
        <w:rPr>
          <w:rFonts w:ascii="Arial" w:hAnsi="Arial" w:cs="Arial"/>
          <w:sz w:val="22"/>
          <w:szCs w:val="22"/>
        </w:rPr>
      </w:pPr>
      <w:r w:rsidRPr="005E5020">
        <w:rPr>
          <w:rFonts w:ascii="Arial" w:hAnsi="Arial" w:cs="Arial"/>
          <w:sz w:val="22"/>
          <w:szCs w:val="22"/>
        </w:rPr>
        <w:t xml:space="preserve">In regard to the applicability of 10 CFR 53.480 to SR and NSRSS SSCs, the proposed and final rules describe how the rule language for this section can support a variety of approaches to address the design of nuclear plants and specific SSCs to address the risks posed by seismic events. Risk-informed approaches such as those cited in the comment include requirements for both SR and NSRSS SSCs but those requirements can be different to reflect the functions and risk significance of the various SSCs. The NRC is preparing guidance documents that include a graded approach for seismic design by grouping SSCs into different seismic design categories based on their risk significance. Accordingly, the NRC did not </w:t>
      </w:r>
      <w:r w:rsidR="009C5163">
        <w:rPr>
          <w:rFonts w:ascii="Arial" w:hAnsi="Arial" w:cs="Arial"/>
          <w:sz w:val="22"/>
          <w:szCs w:val="22"/>
        </w:rPr>
        <w:t>change</w:t>
      </w:r>
      <w:r w:rsidRPr="005E5020">
        <w:rPr>
          <w:rFonts w:ascii="Arial" w:hAnsi="Arial" w:cs="Arial"/>
          <w:sz w:val="22"/>
          <w:szCs w:val="22"/>
        </w:rPr>
        <w:t xml:space="preserve"> the rule language in response to the</w:t>
      </w:r>
      <w:r w:rsidR="00210925">
        <w:rPr>
          <w:rFonts w:ascii="Arial" w:hAnsi="Arial" w:cs="Arial"/>
          <w:sz w:val="22"/>
          <w:szCs w:val="22"/>
        </w:rPr>
        <w:t>se</w:t>
      </w:r>
      <w:r w:rsidRPr="005E5020">
        <w:rPr>
          <w:rFonts w:ascii="Arial" w:hAnsi="Arial" w:cs="Arial"/>
          <w:sz w:val="22"/>
          <w:szCs w:val="22"/>
        </w:rPr>
        <w:t xml:space="preserve"> comment</w:t>
      </w:r>
      <w:r w:rsidR="004F5DFD">
        <w:rPr>
          <w:rFonts w:ascii="Arial" w:hAnsi="Arial" w:cs="Arial"/>
          <w:sz w:val="22"/>
          <w:szCs w:val="22"/>
        </w:rPr>
        <w:t>s</w:t>
      </w:r>
      <w:r w:rsidRPr="005E5020">
        <w:rPr>
          <w:rFonts w:ascii="Arial" w:hAnsi="Arial" w:cs="Arial"/>
          <w:sz w:val="22"/>
          <w:szCs w:val="22"/>
        </w:rPr>
        <w:t>.</w:t>
      </w:r>
    </w:p>
    <w:p w:rsidR="005F3498" w:rsidRPr="005E5020" w:rsidP="005E5020" w14:paraId="1752C3A1" w14:textId="77777777">
      <w:pPr>
        <w:spacing w:after="220"/>
        <w:rPr>
          <w:rFonts w:ascii="Arial" w:hAnsi="Arial" w:cs="Arial"/>
          <w:sz w:val="22"/>
          <w:szCs w:val="22"/>
        </w:rPr>
      </w:pPr>
      <w:r w:rsidRPr="005E5020">
        <w:rPr>
          <w:rFonts w:ascii="Arial" w:hAnsi="Arial" w:cs="Arial"/>
          <w:sz w:val="22"/>
          <w:szCs w:val="22"/>
        </w:rPr>
        <w:t xml:space="preserve">Regarding the part of the comment suggesting specific changes to 10 CFR 53.480(c)(1)(vi), the NRC agrees with the suggested edits. Accordingly, the NRC </w:t>
      </w:r>
      <w:r w:rsidR="00BE539E">
        <w:rPr>
          <w:rFonts w:ascii="Arial" w:hAnsi="Arial" w:cs="Arial"/>
          <w:sz w:val="22"/>
          <w:szCs w:val="22"/>
        </w:rPr>
        <w:t xml:space="preserve">has revised </w:t>
      </w:r>
      <w:r w:rsidRPr="005E5020">
        <w:rPr>
          <w:rFonts w:ascii="Arial" w:hAnsi="Arial" w:cs="Arial"/>
          <w:sz w:val="22"/>
          <w:szCs w:val="22"/>
        </w:rPr>
        <w:t>the rule language in response to this comment.</w:t>
      </w:r>
    </w:p>
    <w:p w:rsidR="000F3D5B" w:rsidRPr="005E5020" w:rsidP="005E5020" w14:paraId="5D27BC6C" w14:textId="77777777">
      <w:pPr>
        <w:spacing w:after="220"/>
        <w:rPr>
          <w:rFonts w:ascii="Arial" w:hAnsi="Arial" w:cs="Arial"/>
          <w:sz w:val="22"/>
          <w:szCs w:val="22"/>
        </w:rPr>
      </w:pPr>
      <w:r>
        <w:rPr>
          <w:rFonts w:ascii="Arial" w:hAnsi="Arial" w:cs="Arial"/>
          <w:sz w:val="22"/>
          <w:szCs w:val="22"/>
        </w:rPr>
        <w:pict>
          <v:rect id="_x0000_i1129" style="width:0;height:1.5pt" o:hralign="center" o:hrstd="t" o:hrnoshade="t" o:hr="t" fillcolor="black" stroked="f"/>
        </w:pict>
      </w:r>
    </w:p>
    <w:p w:rsidR="00B21371" w:rsidRPr="005E5020" w:rsidP="005E5020" w14:paraId="58745945" w14:textId="77777777">
      <w:pPr>
        <w:spacing w:after="220"/>
        <w:rPr>
          <w:rFonts w:ascii="Arial" w:eastAsia="Aptos" w:hAnsi="Arial" w:cs="Arial"/>
          <w:sz w:val="22"/>
          <w:szCs w:val="22"/>
        </w:rPr>
      </w:pPr>
      <w:r w:rsidRPr="005E5020">
        <w:rPr>
          <w:rFonts w:ascii="Arial" w:hAnsi="Arial" w:cs="Arial"/>
          <w:b/>
          <w:sz w:val="22"/>
          <w:szCs w:val="22"/>
        </w:rPr>
        <w:t>Comment Bin 3.3.4.B:</w:t>
      </w:r>
      <w:r w:rsidRPr="005E5020">
        <w:rPr>
          <w:rFonts w:ascii="Arial" w:hAnsi="Arial" w:cs="Arial"/>
          <w:sz w:val="22"/>
          <w:szCs w:val="22"/>
        </w:rPr>
        <w:t xml:space="preserve"> </w:t>
      </w:r>
      <w:r w:rsidRPr="005E5020">
        <w:rPr>
          <w:rFonts w:ascii="Arial" w:eastAsia="Aptos" w:hAnsi="Arial" w:cs="Arial"/>
          <w:sz w:val="22"/>
          <w:szCs w:val="22"/>
        </w:rPr>
        <w:t>A commenter stated that the NRC should include provisions in the rule for developing ground motion response spectra that would enable the use of alternative, risk</w:t>
      </w:r>
      <w:r w:rsidR="00210925">
        <w:rPr>
          <w:rFonts w:ascii="Arial" w:eastAsia="Aptos" w:hAnsi="Arial" w:cs="Arial"/>
          <w:sz w:val="22"/>
          <w:szCs w:val="22"/>
        </w:rPr>
        <w:noBreakHyphen/>
      </w:r>
      <w:r w:rsidRPr="005E5020">
        <w:rPr>
          <w:rFonts w:ascii="Arial" w:eastAsia="Aptos" w:hAnsi="Arial" w:cs="Arial"/>
          <w:sz w:val="22"/>
          <w:szCs w:val="22"/>
        </w:rPr>
        <w:t xml:space="preserve">informed, performance-based approaches to seismic design and develop related guidance instead of utilizing the seismic design requirements in </w:t>
      </w:r>
      <w:r w:rsidR="00F1192B">
        <w:rPr>
          <w:rFonts w:ascii="Arial" w:eastAsia="Aptos" w:hAnsi="Arial" w:cs="Arial"/>
          <w:sz w:val="22"/>
          <w:szCs w:val="22"/>
        </w:rPr>
        <w:t xml:space="preserve">Appendix S, </w:t>
      </w:r>
      <w:r w:rsidR="004014F4">
        <w:rPr>
          <w:rFonts w:ascii="Arial" w:eastAsia="Aptos" w:hAnsi="Arial" w:cs="Arial"/>
          <w:sz w:val="22"/>
          <w:szCs w:val="22"/>
        </w:rPr>
        <w:t>“</w:t>
      </w:r>
      <w:r w:rsidRPr="004014F4" w:rsidR="004014F4">
        <w:rPr>
          <w:rFonts w:ascii="Arial" w:eastAsia="Aptos" w:hAnsi="Arial" w:cs="Arial"/>
          <w:sz w:val="22"/>
          <w:szCs w:val="22"/>
        </w:rPr>
        <w:t>Earthquake Engineering Criteria for Nuclear Power Plants</w:t>
      </w:r>
      <w:r w:rsidR="004014F4">
        <w:rPr>
          <w:rFonts w:ascii="Arial" w:eastAsia="Aptos" w:hAnsi="Arial" w:cs="Arial"/>
          <w:sz w:val="22"/>
          <w:szCs w:val="22"/>
        </w:rPr>
        <w:t>,” to</w:t>
      </w:r>
      <w:r w:rsidRPr="004014F4" w:rsidR="004014F4">
        <w:rPr>
          <w:rFonts w:ascii="Arial" w:eastAsia="Aptos" w:hAnsi="Arial" w:cs="Arial"/>
          <w:sz w:val="22"/>
          <w:szCs w:val="22"/>
        </w:rPr>
        <w:t xml:space="preserve"> </w:t>
      </w:r>
      <w:r w:rsidRPr="005E5020">
        <w:rPr>
          <w:rFonts w:ascii="Arial" w:eastAsia="Aptos" w:hAnsi="Arial" w:cs="Arial"/>
          <w:sz w:val="22"/>
          <w:szCs w:val="22"/>
        </w:rPr>
        <w:t>10 CFR</w:t>
      </w:r>
      <w:r w:rsidRPr="005E5020" w:rsidR="007012A6">
        <w:rPr>
          <w:rFonts w:ascii="Arial" w:eastAsia="Aptos" w:hAnsi="Arial" w:cs="Arial"/>
          <w:sz w:val="22"/>
          <w:szCs w:val="22"/>
        </w:rPr>
        <w:t> </w:t>
      </w:r>
      <w:r w:rsidRPr="005E5020">
        <w:rPr>
          <w:rFonts w:ascii="Arial" w:eastAsia="Aptos" w:hAnsi="Arial" w:cs="Arial"/>
          <w:sz w:val="22"/>
          <w:szCs w:val="22"/>
        </w:rPr>
        <w:t>Part 50. The commenter explained this would allow applicants with sufficient risk insights to grade the assumptions and inputs for the seismic analyses and classification of SSCs. The commenter added that there is risk</w:t>
      </w:r>
      <w:r w:rsidRPr="005E5020">
        <w:rPr>
          <w:rFonts w:ascii="Arial" w:eastAsia="Aptos" w:hAnsi="Arial" w:cs="Arial"/>
          <w:sz w:val="22"/>
          <w:szCs w:val="22"/>
        </w:rPr>
        <w:noBreakHyphen/>
        <w:t>informed guidance through consensus codes such as ANS 2.26 and ASCE 7 that could provide a method for the use of information such as high-quality U.S Geological Survey data, which could minimize the need for expensive site characterization efforts prior to a license application submittal (</w:t>
      </w:r>
      <w:r w:rsidR="00AE0B17">
        <w:rPr>
          <w:rFonts w:ascii="Arial" w:eastAsia="Aptos" w:hAnsi="Arial" w:cs="Arial"/>
          <w:sz w:val="22"/>
          <w:szCs w:val="22"/>
        </w:rPr>
        <w:t>USNIC2</w:t>
      </w:r>
      <w:r w:rsidRPr="005E5020">
        <w:rPr>
          <w:rFonts w:ascii="Arial" w:eastAsia="Aptos" w:hAnsi="Arial" w:cs="Arial"/>
          <w:sz w:val="22"/>
          <w:szCs w:val="22"/>
        </w:rPr>
        <w:t>-0017).</w:t>
      </w:r>
    </w:p>
    <w:p w:rsidR="00B12E0E" w:rsidP="005E5020" w14:paraId="02918456" w14:textId="77777777">
      <w:pPr>
        <w:spacing w:after="220"/>
        <w:rPr>
          <w:rFonts w:ascii="Arial" w:hAnsi="Arial" w:cs="Arial"/>
          <w:sz w:val="22"/>
          <w:szCs w:val="22"/>
        </w:rPr>
      </w:pPr>
      <w:r w:rsidRPr="005E5020">
        <w:rPr>
          <w:rFonts w:ascii="Arial" w:hAnsi="Arial" w:cs="Arial"/>
          <w:b/>
          <w:sz w:val="22"/>
          <w:szCs w:val="22"/>
        </w:rPr>
        <w:t>NRC Response:</w:t>
      </w:r>
      <w:r w:rsidRPr="005E5020">
        <w:rPr>
          <w:rFonts w:ascii="Arial" w:hAnsi="Arial" w:cs="Arial"/>
          <w:sz w:val="22"/>
          <w:szCs w:val="22"/>
        </w:rPr>
        <w:t> The NRC agrees with th</w:t>
      </w:r>
      <w:r w:rsidR="00210925">
        <w:rPr>
          <w:rFonts w:ascii="Arial" w:hAnsi="Arial" w:cs="Arial"/>
          <w:sz w:val="22"/>
          <w:szCs w:val="22"/>
        </w:rPr>
        <w:t>e</w:t>
      </w:r>
      <w:r w:rsidRPr="005E5020">
        <w:rPr>
          <w:rFonts w:ascii="Arial" w:hAnsi="Arial" w:cs="Arial"/>
          <w:sz w:val="22"/>
          <w:szCs w:val="22"/>
        </w:rPr>
        <w:t xml:space="preserve"> comment. </w:t>
      </w:r>
    </w:p>
    <w:p w:rsidR="00064618" w:rsidRPr="005E5020" w:rsidP="005E5020" w14:paraId="238E89AC" w14:textId="77777777">
      <w:pPr>
        <w:spacing w:after="220"/>
        <w:rPr>
          <w:rFonts w:ascii="Arial" w:hAnsi="Arial" w:cs="Arial"/>
          <w:sz w:val="22"/>
          <w:szCs w:val="22"/>
        </w:rPr>
      </w:pPr>
      <w:r w:rsidRPr="005E5020">
        <w:rPr>
          <w:rFonts w:ascii="Arial" w:hAnsi="Arial" w:cs="Arial"/>
          <w:sz w:val="22"/>
          <w:szCs w:val="22"/>
        </w:rPr>
        <w:t>Provisions similar to those suggested in the comment were included in the proposed rule language for 10</w:t>
      </w:r>
      <w:r w:rsidRPr="005E5020" w:rsidR="007012A6">
        <w:rPr>
          <w:rFonts w:ascii="Arial" w:hAnsi="Arial" w:cs="Arial"/>
          <w:sz w:val="22"/>
          <w:szCs w:val="22"/>
        </w:rPr>
        <w:t> </w:t>
      </w:r>
      <w:r w:rsidRPr="005E5020">
        <w:rPr>
          <w:rFonts w:ascii="Arial" w:hAnsi="Arial" w:cs="Arial"/>
          <w:sz w:val="22"/>
          <w:szCs w:val="22"/>
        </w:rPr>
        <w:t>CFR</w:t>
      </w:r>
      <w:r w:rsidRPr="005E5020" w:rsidR="005206C4">
        <w:rPr>
          <w:rFonts w:ascii="Arial" w:hAnsi="Arial" w:cs="Arial"/>
          <w:sz w:val="22"/>
          <w:szCs w:val="22"/>
        </w:rPr>
        <w:t> </w:t>
      </w:r>
      <w:r w:rsidRPr="005E5020">
        <w:rPr>
          <w:rFonts w:ascii="Arial" w:hAnsi="Arial" w:cs="Arial"/>
          <w:sz w:val="22"/>
          <w:szCs w:val="22"/>
        </w:rPr>
        <w:t>53.480, “Earthquake engineering”</w:t>
      </w:r>
      <w:r w:rsidRPr="005E5020" w:rsidR="00746EAF">
        <w:rPr>
          <w:rFonts w:ascii="Arial" w:hAnsi="Arial" w:cs="Arial"/>
          <w:sz w:val="22"/>
          <w:szCs w:val="22"/>
        </w:rPr>
        <w:t xml:space="preserve"> </w:t>
      </w:r>
      <w:r w:rsidRPr="005E5020" w:rsidR="00800EE9">
        <w:rPr>
          <w:rFonts w:ascii="Arial" w:hAnsi="Arial" w:cs="Arial"/>
          <w:sz w:val="22"/>
          <w:szCs w:val="22"/>
        </w:rPr>
        <w:t xml:space="preserve">in </w:t>
      </w:r>
      <w:r w:rsidRPr="005E5020" w:rsidR="00140524">
        <w:rPr>
          <w:rFonts w:ascii="Arial" w:hAnsi="Arial" w:cs="Arial"/>
          <w:sz w:val="22"/>
          <w:szCs w:val="22"/>
        </w:rPr>
        <w:t>paragraph (c), “Design considerations,”</w:t>
      </w:r>
      <w:r w:rsidRPr="005E5020" w:rsidR="00746EAF">
        <w:rPr>
          <w:rFonts w:ascii="Arial" w:hAnsi="Arial" w:cs="Arial"/>
          <w:sz w:val="22"/>
          <w:szCs w:val="22"/>
        </w:rPr>
        <w:t xml:space="preserve"> and remain in the final rule.</w:t>
      </w:r>
    </w:p>
    <w:p w:rsidR="00B21371" w:rsidRPr="005E5020" w:rsidP="005E5020" w14:paraId="2E444854" w14:textId="77777777">
      <w:pPr>
        <w:spacing w:after="220"/>
        <w:rPr>
          <w:rFonts w:ascii="Arial" w:hAnsi="Arial" w:cs="Arial"/>
          <w:sz w:val="22"/>
          <w:szCs w:val="22"/>
        </w:rPr>
      </w:pPr>
      <w:r w:rsidRPr="005E5020">
        <w:rPr>
          <w:rFonts w:ascii="Arial" w:hAnsi="Arial" w:cs="Arial"/>
          <w:sz w:val="22"/>
          <w:szCs w:val="22"/>
        </w:rPr>
        <w:t xml:space="preserve">Accordingly, the NRC did not </w:t>
      </w:r>
      <w:r w:rsidRPr="005E5020" w:rsidR="00F93AF2">
        <w:rPr>
          <w:rFonts w:ascii="Arial" w:hAnsi="Arial" w:cs="Arial"/>
          <w:sz w:val="22"/>
          <w:szCs w:val="22"/>
        </w:rPr>
        <w:t>change</w:t>
      </w:r>
      <w:r w:rsidRPr="005E5020">
        <w:rPr>
          <w:rFonts w:ascii="Arial" w:hAnsi="Arial" w:cs="Arial"/>
          <w:sz w:val="22"/>
          <w:szCs w:val="22"/>
        </w:rPr>
        <w:t xml:space="preserve"> the rule language in response to this comment.</w:t>
      </w:r>
    </w:p>
    <w:p w:rsidR="000F3D5B" w:rsidP="005E5020" w14:paraId="0C979BE1" w14:textId="77777777">
      <w:pPr>
        <w:spacing w:after="220"/>
        <w:rPr>
          <w:rFonts w:ascii="Arial" w:eastAsia="Times New Roman" w:hAnsi="Arial" w:cs="Arial"/>
          <w:lang w:eastAsia="zh-CN"/>
        </w:rPr>
      </w:pPr>
      <w:r>
        <w:rPr>
          <w:rFonts w:ascii="Arial" w:hAnsi="Arial" w:cs="Arial"/>
          <w:sz w:val="22"/>
          <w:szCs w:val="22"/>
        </w:rPr>
        <w:pict>
          <v:rect id="_x0000_i1130" style="width:0;height:1.5pt" o:hralign="center" o:hrstd="t" o:hrnoshade="t" o:hr="t" fillcolor="black" stroked="f"/>
        </w:pict>
      </w:r>
    </w:p>
    <w:p w:rsidR="006906C0" w:rsidRPr="00210925" w:rsidP="00490288" w14:paraId="2F43C6A7" w14:textId="77777777">
      <w:pPr>
        <w:pStyle w:val="Heading2"/>
        <w:numPr>
          <w:ilvl w:val="0"/>
          <w:numId w:val="0"/>
        </w:numPr>
        <w:ind w:left="720" w:hanging="720"/>
      </w:pPr>
      <w:bookmarkStart w:id="38" w:name="_Toc194466460"/>
      <w:bookmarkStart w:id="39" w:name="_Toc207222813"/>
      <w:r w:rsidRPr="00490288">
        <w:rPr>
          <w:u w:val="none"/>
        </w:rPr>
        <w:t>3.4.</w:t>
      </w:r>
      <w:r w:rsidRPr="00490288">
        <w:rPr>
          <w:u w:val="none"/>
        </w:rPr>
        <w:tab/>
      </w:r>
      <w:r w:rsidRPr="00576FBD" w:rsidR="00AC1417">
        <w:t>Subpart D: Siting Requirements (§§ 53.500-53.540)</w:t>
      </w:r>
      <w:bookmarkStart w:id="40" w:name="_Toc205379997"/>
      <w:bookmarkStart w:id="41" w:name="_Toc194466461"/>
      <w:bookmarkEnd w:id="38"/>
      <w:bookmarkEnd w:id="39"/>
      <w:bookmarkEnd w:id="40"/>
    </w:p>
    <w:p w:rsidR="00AC1417" w:rsidRPr="002D5858" w:rsidP="00490288" w14:paraId="5628CC2F" w14:textId="77777777">
      <w:pPr>
        <w:pStyle w:val="Heading3"/>
        <w:numPr>
          <w:ilvl w:val="0"/>
          <w:numId w:val="0"/>
        </w:numPr>
        <w:ind w:left="720" w:hanging="720"/>
      </w:pPr>
      <w:bookmarkStart w:id="42" w:name="_Toc207222814"/>
      <w:r w:rsidRPr="00490288">
        <w:rPr>
          <w:u w:val="none"/>
        </w:rPr>
        <w:t>3.4.1.</w:t>
      </w:r>
      <w:r w:rsidRPr="00490288">
        <w:rPr>
          <w:u w:val="none"/>
        </w:rPr>
        <w:tab/>
      </w:r>
      <w:r w:rsidRPr="00845D1D">
        <w:t>External hazards (§ 53.510)</w:t>
      </w:r>
      <w:bookmarkEnd w:id="41"/>
      <w:bookmarkEnd w:id="42"/>
    </w:p>
    <w:p w:rsidR="00A23D35" w:rsidRPr="00224223" w:rsidP="00B33A50" w14:paraId="762E06E8" w14:textId="77777777">
      <w:pPr>
        <w:rPr>
          <w:rFonts w:ascii="Arial" w:hAnsi="Arial" w:cs="Arial"/>
          <w:sz w:val="22"/>
          <w:szCs w:val="22"/>
        </w:rPr>
      </w:pPr>
      <w:r w:rsidRPr="00224223">
        <w:rPr>
          <w:rFonts w:ascii="Arial" w:hAnsi="Arial" w:cs="Arial"/>
          <w:sz w:val="22"/>
          <w:szCs w:val="22"/>
        </w:rPr>
        <w:t>No comments are associated with this issue.</w:t>
      </w:r>
    </w:p>
    <w:p w:rsidR="00AC1417" w:rsidRPr="00845D1D" w:rsidP="00224223" w14:paraId="5ECBD855" w14:textId="77777777">
      <w:pPr>
        <w:spacing w:after="220"/>
        <w:rPr>
          <w:rFonts w:ascii="Arial" w:eastAsia="Times New Roman" w:hAnsi="Arial" w:cs="Arial"/>
          <w:lang w:eastAsia="zh-CN"/>
        </w:rPr>
      </w:pPr>
      <w:r>
        <w:rPr>
          <w:rFonts w:ascii="Arial" w:eastAsia="Times New Roman" w:hAnsi="Arial" w:cs="Arial"/>
          <w:lang w:eastAsia="zh-CN"/>
        </w:rPr>
        <w:pict>
          <v:rect id="_x0000_i1131" style="width:0;height:1.5pt" o:hralign="center" o:hrstd="t" o:hrnoshade="t" o:hr="t" fillcolor="black" stroked="f"/>
        </w:pict>
      </w:r>
    </w:p>
    <w:p w:rsidR="00AC1417" w:rsidRPr="00576FBD" w:rsidP="00D87C94" w14:paraId="4D371E01" w14:textId="77777777">
      <w:pPr>
        <w:pStyle w:val="Heading3"/>
        <w:keepNext/>
        <w:keepLines/>
        <w:numPr>
          <w:ilvl w:val="0"/>
          <w:numId w:val="0"/>
        </w:numPr>
        <w:ind w:left="720" w:hanging="720"/>
      </w:pPr>
      <w:bookmarkStart w:id="43" w:name="_Toc194466462"/>
      <w:bookmarkStart w:id="44" w:name="_Toc207222815"/>
      <w:r w:rsidRPr="00490288">
        <w:rPr>
          <w:u w:val="none"/>
        </w:rPr>
        <w:t>3.4.2.</w:t>
      </w:r>
      <w:r w:rsidRPr="00490288">
        <w:rPr>
          <w:u w:val="none"/>
        </w:rPr>
        <w:tab/>
      </w:r>
      <w:r w:rsidRPr="00845D1D">
        <w:t>Other comments on Subpart D</w:t>
      </w:r>
      <w:bookmarkEnd w:id="43"/>
      <w:bookmarkEnd w:id="44"/>
    </w:p>
    <w:p w:rsidR="00E35E7F" w:rsidRPr="00224223" w:rsidP="00224223" w14:paraId="5686E022" w14:textId="77777777">
      <w:pPr>
        <w:tabs>
          <w:tab w:val="left" w:pos="3950"/>
        </w:tabs>
        <w:spacing w:after="220"/>
        <w:rPr>
          <w:rFonts w:ascii="Arial" w:eastAsia="DengXian" w:hAnsi="Arial" w:cs="Arial"/>
          <w:sz w:val="22"/>
          <w:szCs w:val="22"/>
        </w:rPr>
      </w:pPr>
      <w:r w:rsidRPr="00224223">
        <w:rPr>
          <w:rFonts w:ascii="Arial" w:eastAsia="DengXian" w:hAnsi="Arial" w:cs="Arial"/>
          <w:b/>
          <w:sz w:val="22"/>
          <w:szCs w:val="22"/>
        </w:rPr>
        <w:t>Comment Bin 3.4.2.A:</w:t>
      </w:r>
      <w:r w:rsidRPr="00224223">
        <w:rPr>
          <w:rFonts w:ascii="Arial" w:eastAsia="DengXian" w:hAnsi="Arial" w:cs="Arial"/>
          <w:sz w:val="22"/>
          <w:szCs w:val="22"/>
        </w:rPr>
        <w:t xml:space="preserve"> A commenter stated that the proposed rule provides no technical or regulatory basis for the decision to retain the 10 CFR Part 100 siting requirements and expressed concern regarding the adverse implications for siting of advanced reactors close to or within larger population centers to support various industrial and commercial applications. The commenter stated that importing the prescriptive and exclusionary 10 CFR Part 100 population siting requirements is inconsistent with the purpose of 10 CFR Part 53 as mandated in NEIMA and reinforced by the ADVANCE Act, and they requested that the NRC’s approach to population siting provide new applicants with flexibility to site plants closer to or within densely populated centers based on the specific reactor designs and safety attributes. The commenter suggested that the NRC’s 2023 rulemaking establishing alternative </w:t>
      </w:r>
      <w:r w:rsidRPr="00224223" w:rsidR="00FE66A9">
        <w:rPr>
          <w:rFonts w:ascii="Arial" w:eastAsia="DengXian" w:hAnsi="Arial" w:cs="Arial"/>
          <w:sz w:val="22"/>
          <w:szCs w:val="22"/>
        </w:rPr>
        <w:t>emergency planning zone (</w:t>
      </w:r>
      <w:r w:rsidRPr="00224223">
        <w:rPr>
          <w:rFonts w:ascii="Arial" w:eastAsia="DengXian" w:hAnsi="Arial" w:cs="Arial"/>
          <w:sz w:val="22"/>
          <w:szCs w:val="22"/>
        </w:rPr>
        <w:t>EPZ</w:t>
      </w:r>
      <w:r w:rsidRPr="00224223" w:rsidR="00FE66A9">
        <w:rPr>
          <w:rFonts w:ascii="Arial" w:eastAsia="DengXian" w:hAnsi="Arial" w:cs="Arial"/>
          <w:sz w:val="22"/>
          <w:szCs w:val="22"/>
        </w:rPr>
        <w:t>)</w:t>
      </w:r>
      <w:r w:rsidRPr="00224223">
        <w:rPr>
          <w:rFonts w:ascii="Arial" w:eastAsia="DengXian" w:hAnsi="Arial" w:cs="Arial"/>
          <w:sz w:val="22"/>
          <w:szCs w:val="22"/>
        </w:rPr>
        <w:t xml:space="preserve"> sizing requirements for SMRs and ONTs provides the necessary technical and regulatory bases for population siting requirements in 10 CFR Part 53, without increasing risk to the public or reducing defense-in-depth, and is supported by discussion in SECY</w:t>
      </w:r>
      <w:r w:rsidRPr="00224223" w:rsidR="00F84223">
        <w:rPr>
          <w:rFonts w:ascii="Arial" w:eastAsia="DengXian" w:hAnsi="Arial" w:cs="Arial"/>
          <w:sz w:val="22"/>
          <w:szCs w:val="22"/>
        </w:rPr>
        <w:noBreakHyphen/>
      </w:r>
      <w:r w:rsidRPr="00224223">
        <w:rPr>
          <w:rFonts w:ascii="Arial" w:eastAsia="DengXian" w:hAnsi="Arial" w:cs="Arial"/>
          <w:sz w:val="22"/>
          <w:szCs w:val="22"/>
        </w:rPr>
        <w:t>16</w:t>
      </w:r>
      <w:r w:rsidRPr="00224223" w:rsidR="00F84223">
        <w:rPr>
          <w:rFonts w:ascii="Arial" w:eastAsia="DengXian" w:hAnsi="Arial" w:cs="Arial"/>
          <w:sz w:val="22"/>
          <w:szCs w:val="22"/>
        </w:rPr>
        <w:noBreakHyphen/>
      </w:r>
      <w:r w:rsidRPr="00224223">
        <w:rPr>
          <w:rFonts w:ascii="Arial" w:eastAsia="DengXian" w:hAnsi="Arial" w:cs="Arial"/>
          <w:sz w:val="22"/>
          <w:szCs w:val="22"/>
        </w:rPr>
        <w:t>0012</w:t>
      </w:r>
      <w:r w:rsidR="006E4270">
        <w:rPr>
          <w:rFonts w:ascii="Arial" w:eastAsia="DengXian" w:hAnsi="Arial" w:cs="Arial"/>
          <w:sz w:val="22"/>
          <w:szCs w:val="22"/>
        </w:rPr>
        <w:t xml:space="preserve">, </w:t>
      </w:r>
      <w:r w:rsidR="00091035">
        <w:rPr>
          <w:rFonts w:ascii="Arial" w:eastAsia="DengXian" w:hAnsi="Arial" w:cs="Arial"/>
          <w:sz w:val="22"/>
          <w:szCs w:val="22"/>
        </w:rPr>
        <w:t>“</w:t>
      </w:r>
      <w:r w:rsidRPr="00091035" w:rsidR="00091035">
        <w:rPr>
          <w:rFonts w:ascii="Arial" w:eastAsia="DengXian" w:hAnsi="Arial" w:cs="Arial"/>
          <w:sz w:val="22"/>
          <w:szCs w:val="22"/>
        </w:rPr>
        <w:t xml:space="preserve">Accident Source Terms </w:t>
      </w:r>
      <w:r w:rsidR="00091035">
        <w:rPr>
          <w:rFonts w:ascii="Arial" w:eastAsia="DengXian" w:hAnsi="Arial" w:cs="Arial"/>
          <w:sz w:val="22"/>
          <w:szCs w:val="22"/>
        </w:rPr>
        <w:t>a</w:t>
      </w:r>
      <w:r w:rsidRPr="00091035" w:rsidR="00091035">
        <w:rPr>
          <w:rFonts w:ascii="Arial" w:eastAsia="DengXian" w:hAnsi="Arial" w:cs="Arial"/>
          <w:sz w:val="22"/>
          <w:szCs w:val="22"/>
        </w:rPr>
        <w:t xml:space="preserve">nd Siting </w:t>
      </w:r>
      <w:r w:rsidR="00091035">
        <w:rPr>
          <w:rFonts w:ascii="Arial" w:eastAsia="DengXian" w:hAnsi="Arial" w:cs="Arial"/>
          <w:sz w:val="22"/>
          <w:szCs w:val="22"/>
        </w:rPr>
        <w:t>f</w:t>
      </w:r>
      <w:r w:rsidRPr="00091035" w:rsidR="00091035">
        <w:rPr>
          <w:rFonts w:ascii="Arial" w:eastAsia="DengXian" w:hAnsi="Arial" w:cs="Arial"/>
          <w:sz w:val="22"/>
          <w:szCs w:val="22"/>
        </w:rPr>
        <w:t xml:space="preserve">or Small Modular Reactors </w:t>
      </w:r>
      <w:r w:rsidR="00091035">
        <w:rPr>
          <w:rFonts w:ascii="Arial" w:eastAsia="DengXian" w:hAnsi="Arial" w:cs="Arial"/>
          <w:sz w:val="22"/>
          <w:szCs w:val="22"/>
        </w:rPr>
        <w:t>a</w:t>
      </w:r>
      <w:r w:rsidRPr="00091035" w:rsidR="00091035">
        <w:rPr>
          <w:rFonts w:ascii="Arial" w:eastAsia="DengXian" w:hAnsi="Arial" w:cs="Arial"/>
          <w:sz w:val="22"/>
          <w:szCs w:val="22"/>
        </w:rPr>
        <w:t>nd Non-Light Water Reactors</w:t>
      </w:r>
      <w:r w:rsidR="00091035">
        <w:rPr>
          <w:rFonts w:ascii="Arial" w:eastAsia="DengXian" w:hAnsi="Arial" w:cs="Arial"/>
          <w:sz w:val="22"/>
          <w:szCs w:val="22"/>
        </w:rPr>
        <w:t>,” issued February 2016 (</w:t>
      </w:r>
      <w:r w:rsidR="00B70B39">
        <w:rPr>
          <w:rFonts w:ascii="Arial" w:eastAsia="DengXian" w:hAnsi="Arial" w:cs="Arial"/>
          <w:sz w:val="22"/>
          <w:szCs w:val="22"/>
        </w:rPr>
        <w:t>ML</w:t>
      </w:r>
      <w:r w:rsidRPr="00B70B39" w:rsidR="00B70B39">
        <w:rPr>
          <w:rFonts w:ascii="Arial" w:eastAsia="DengXian" w:hAnsi="Arial" w:cs="Arial"/>
          <w:sz w:val="22"/>
          <w:szCs w:val="22"/>
        </w:rPr>
        <w:t>15309</w:t>
      </w:r>
      <w:r w:rsidR="00B70B39">
        <w:rPr>
          <w:rFonts w:ascii="Arial" w:eastAsia="DengXian" w:hAnsi="Arial" w:cs="Arial"/>
          <w:sz w:val="22"/>
          <w:szCs w:val="22"/>
        </w:rPr>
        <w:t>A</w:t>
      </w:r>
      <w:r w:rsidRPr="00B70B39" w:rsidR="00B70B39">
        <w:rPr>
          <w:rFonts w:ascii="Arial" w:eastAsia="DengXian" w:hAnsi="Arial" w:cs="Arial"/>
          <w:sz w:val="22"/>
          <w:szCs w:val="22"/>
        </w:rPr>
        <w:t>319</w:t>
      </w:r>
      <w:r w:rsidR="00EC4450">
        <w:rPr>
          <w:rFonts w:ascii="Arial" w:eastAsia="DengXian" w:hAnsi="Arial" w:cs="Arial"/>
          <w:sz w:val="22"/>
          <w:szCs w:val="22"/>
        </w:rPr>
        <w:t>)</w:t>
      </w:r>
      <w:r w:rsidRPr="00224223" w:rsidR="00091035">
        <w:rPr>
          <w:rFonts w:ascii="Arial" w:eastAsia="DengXian" w:hAnsi="Arial" w:cs="Arial"/>
          <w:sz w:val="22"/>
          <w:szCs w:val="22"/>
        </w:rPr>
        <w:t xml:space="preserve"> </w:t>
      </w:r>
      <w:r w:rsidRPr="00224223">
        <w:rPr>
          <w:rFonts w:ascii="Arial" w:eastAsia="DengXian" w:hAnsi="Arial" w:cs="Arial"/>
          <w:sz w:val="22"/>
          <w:szCs w:val="22"/>
        </w:rPr>
        <w:t>and SECY-20-0045</w:t>
      </w:r>
      <w:r w:rsidR="00EC4450">
        <w:rPr>
          <w:rFonts w:ascii="Arial" w:eastAsia="DengXian" w:hAnsi="Arial" w:cs="Arial"/>
          <w:sz w:val="22"/>
          <w:szCs w:val="22"/>
        </w:rPr>
        <w:t>, “</w:t>
      </w:r>
      <w:r w:rsidRPr="00EC4450" w:rsidR="00EC4450">
        <w:rPr>
          <w:rFonts w:ascii="Arial" w:eastAsia="DengXian" w:hAnsi="Arial" w:cs="Arial"/>
          <w:sz w:val="22"/>
          <w:szCs w:val="22"/>
        </w:rPr>
        <w:t>Population Related Siting Considerations for Advanced Reactors</w:t>
      </w:r>
      <w:r w:rsidR="00EC4450">
        <w:rPr>
          <w:rFonts w:ascii="Arial" w:eastAsia="DengXian" w:hAnsi="Arial" w:cs="Arial"/>
          <w:sz w:val="22"/>
          <w:szCs w:val="22"/>
        </w:rPr>
        <w:t>,” issued May 2020</w:t>
      </w:r>
      <w:r w:rsidR="00F7096E">
        <w:rPr>
          <w:rFonts w:ascii="Arial" w:eastAsia="DengXian" w:hAnsi="Arial" w:cs="Arial"/>
          <w:sz w:val="22"/>
          <w:szCs w:val="22"/>
        </w:rPr>
        <w:t xml:space="preserve"> (</w:t>
      </w:r>
      <w:r w:rsidRPr="00F7096E" w:rsidR="00F7096E">
        <w:rPr>
          <w:rFonts w:ascii="Arial" w:eastAsia="DengXian" w:hAnsi="Arial" w:cs="Arial"/>
          <w:sz w:val="22"/>
          <w:szCs w:val="22"/>
        </w:rPr>
        <w:t>ML19143A194</w:t>
      </w:r>
      <w:r w:rsidR="00F7096E">
        <w:rPr>
          <w:rFonts w:ascii="Arial" w:eastAsia="DengXian" w:hAnsi="Arial" w:cs="Arial"/>
          <w:sz w:val="22"/>
          <w:szCs w:val="22"/>
        </w:rPr>
        <w:t>)</w:t>
      </w:r>
      <w:r w:rsidRPr="00224223">
        <w:rPr>
          <w:rFonts w:ascii="Arial" w:eastAsia="DengXian" w:hAnsi="Arial" w:cs="Arial"/>
          <w:sz w:val="22"/>
          <w:szCs w:val="22"/>
        </w:rPr>
        <w:t>. The commenter suggested that the NRC should remove proposed 10</w:t>
      </w:r>
      <w:r w:rsidR="00210925">
        <w:rPr>
          <w:rFonts w:ascii="Arial" w:eastAsia="DengXian" w:hAnsi="Arial" w:cs="Arial"/>
          <w:sz w:val="22"/>
          <w:szCs w:val="22"/>
        </w:rPr>
        <w:t> </w:t>
      </w:r>
      <w:r w:rsidRPr="00224223">
        <w:rPr>
          <w:rFonts w:ascii="Arial" w:eastAsia="DengXian" w:hAnsi="Arial" w:cs="Arial"/>
          <w:sz w:val="22"/>
          <w:szCs w:val="22"/>
        </w:rPr>
        <w:t>CFR</w:t>
      </w:r>
      <w:r w:rsidR="00210925">
        <w:rPr>
          <w:rFonts w:ascii="Arial" w:eastAsia="DengXian" w:hAnsi="Arial" w:cs="Arial"/>
          <w:sz w:val="22"/>
          <w:szCs w:val="22"/>
        </w:rPr>
        <w:t> </w:t>
      </w:r>
      <w:r w:rsidRPr="00224223">
        <w:rPr>
          <w:rFonts w:ascii="Arial" w:eastAsia="DengXian" w:hAnsi="Arial" w:cs="Arial"/>
          <w:sz w:val="22"/>
          <w:szCs w:val="22"/>
        </w:rPr>
        <w:t>53.530(c), rely on updated guidance in RG 4.7, and develop performance-based guidance to potentially allow siting of low-consequence reactors close to or within densely populated centers containing more than 25,000 residents (</w:t>
      </w:r>
      <w:r w:rsidR="009D6BB9">
        <w:rPr>
          <w:rFonts w:ascii="Arial" w:eastAsia="Times New Roman" w:hAnsi="Arial" w:cs="Arial"/>
          <w:color w:val="000000"/>
          <w:sz w:val="22"/>
          <w:szCs w:val="22"/>
          <w:lang w:eastAsia="zh-CN"/>
        </w:rPr>
        <w:t>NEI2</w:t>
      </w:r>
      <w:r w:rsidRPr="00224223">
        <w:rPr>
          <w:rFonts w:ascii="Arial" w:eastAsia="Times New Roman" w:hAnsi="Arial" w:cs="Arial"/>
          <w:color w:val="000000"/>
          <w:sz w:val="22"/>
          <w:szCs w:val="22"/>
          <w:lang w:eastAsia="zh-CN"/>
        </w:rPr>
        <w:t xml:space="preserve">-0249, </w:t>
      </w:r>
      <w:r w:rsidR="009D6BB9">
        <w:rPr>
          <w:rFonts w:ascii="Arial" w:eastAsia="Times New Roman" w:hAnsi="Arial" w:cs="Arial"/>
          <w:color w:val="000000"/>
          <w:sz w:val="22"/>
          <w:szCs w:val="22"/>
          <w:lang w:eastAsia="zh-CN"/>
        </w:rPr>
        <w:t>NEI2</w:t>
      </w:r>
      <w:r w:rsidRPr="00224223">
        <w:rPr>
          <w:rFonts w:ascii="Arial" w:eastAsia="Times New Roman" w:hAnsi="Arial" w:cs="Arial"/>
          <w:color w:val="000000"/>
          <w:sz w:val="22"/>
          <w:szCs w:val="22"/>
          <w:lang w:eastAsia="zh-CN"/>
        </w:rPr>
        <w:t>-0253)</w:t>
      </w:r>
      <w:r w:rsidRPr="00224223">
        <w:rPr>
          <w:rFonts w:ascii="Arial" w:eastAsia="DengXian" w:hAnsi="Arial" w:cs="Arial"/>
          <w:sz w:val="22"/>
          <w:szCs w:val="22"/>
        </w:rPr>
        <w:t>.</w:t>
      </w:r>
    </w:p>
    <w:p w:rsidR="00E35E7F" w:rsidRPr="00224223" w:rsidP="00224223" w14:paraId="0F51550B" w14:textId="77777777">
      <w:pPr>
        <w:tabs>
          <w:tab w:val="left" w:pos="3950"/>
        </w:tabs>
        <w:spacing w:after="220"/>
        <w:rPr>
          <w:rFonts w:ascii="Arial" w:eastAsia="DengXian" w:hAnsi="Arial" w:cs="Arial"/>
          <w:sz w:val="22"/>
          <w:szCs w:val="22"/>
        </w:rPr>
      </w:pPr>
      <w:r w:rsidRPr="00224223">
        <w:rPr>
          <w:rFonts w:ascii="Arial" w:eastAsia="DengXian" w:hAnsi="Arial" w:cs="Arial"/>
          <w:sz w:val="22"/>
          <w:szCs w:val="22"/>
        </w:rPr>
        <w:t>The commenter reasoned that because the siting requirements in Subpart D were carried over from 10 CFR Part 100 without being modified to be performance-based in line with NEIMA, they would impose significant unnecessary regulatory burden (</w:t>
      </w:r>
      <w:r w:rsidR="009D6BB9">
        <w:rPr>
          <w:rFonts w:ascii="Arial" w:eastAsia="DengXian" w:hAnsi="Arial" w:cs="Arial"/>
          <w:sz w:val="22"/>
          <w:szCs w:val="22"/>
        </w:rPr>
        <w:t>NEI2</w:t>
      </w:r>
      <w:r w:rsidRPr="00224223">
        <w:rPr>
          <w:rFonts w:ascii="Arial" w:eastAsia="DengXian" w:hAnsi="Arial" w:cs="Arial"/>
          <w:sz w:val="22"/>
          <w:szCs w:val="22"/>
        </w:rPr>
        <w:t xml:space="preserve">-0006). </w:t>
      </w:r>
    </w:p>
    <w:p w:rsidR="00E35E7F" w:rsidRPr="00224223" w:rsidP="00224223" w14:paraId="3E382E8F" w14:textId="77777777">
      <w:pPr>
        <w:tabs>
          <w:tab w:val="left" w:pos="3950"/>
        </w:tabs>
        <w:spacing w:after="220"/>
        <w:rPr>
          <w:rFonts w:ascii="Arial" w:eastAsia="DengXian" w:hAnsi="Arial" w:cs="Arial"/>
          <w:sz w:val="22"/>
          <w:szCs w:val="22"/>
        </w:rPr>
      </w:pPr>
      <w:r w:rsidRPr="00224223">
        <w:rPr>
          <w:rFonts w:ascii="Arial" w:eastAsia="DengXian" w:hAnsi="Arial" w:cs="Arial"/>
          <w:sz w:val="22"/>
          <w:szCs w:val="22"/>
        </w:rPr>
        <w:t>The commenter questioned the need for 10 CFR 53.500, saying it essentially duplicates all the requirements in Subpart D at a high level. The commenter suggested revising the section to clarify that it is a purpose statement, outlining the collective nature of the Subpart D requirements and the outcome achieved by meeting those requirements, rather than a requirement that an applicant and licensee must meet (</w:t>
      </w:r>
      <w:r w:rsidR="009D6BB9">
        <w:rPr>
          <w:rFonts w:ascii="Arial" w:eastAsia="DengXian" w:hAnsi="Arial" w:cs="Arial"/>
          <w:sz w:val="22"/>
          <w:szCs w:val="22"/>
        </w:rPr>
        <w:t>NEI2</w:t>
      </w:r>
      <w:r w:rsidRPr="00224223">
        <w:rPr>
          <w:rFonts w:ascii="Arial" w:eastAsia="DengXian" w:hAnsi="Arial" w:cs="Arial"/>
          <w:sz w:val="22"/>
          <w:szCs w:val="22"/>
        </w:rPr>
        <w:t>-0059).</w:t>
      </w:r>
    </w:p>
    <w:p w:rsidR="00E35E7F" w:rsidRPr="00224223" w:rsidP="00224223" w14:paraId="0C5EFA32" w14:textId="77777777">
      <w:pPr>
        <w:tabs>
          <w:tab w:val="left" w:pos="3950"/>
        </w:tabs>
        <w:spacing w:after="220"/>
        <w:rPr>
          <w:rFonts w:ascii="Arial" w:eastAsia="DengXian" w:hAnsi="Arial" w:cs="Arial"/>
          <w:sz w:val="22"/>
          <w:szCs w:val="22"/>
        </w:rPr>
      </w:pPr>
      <w:r w:rsidRPr="00224223">
        <w:rPr>
          <w:rFonts w:ascii="Arial" w:eastAsia="DengXian" w:hAnsi="Arial" w:cs="Arial"/>
          <w:sz w:val="22"/>
          <w:szCs w:val="22"/>
        </w:rPr>
        <w:t>The commenter also took issue with 10 CFR 53.530, which they said was copied from 10</w:t>
      </w:r>
      <w:r w:rsidR="00750F6B">
        <w:rPr>
          <w:rFonts w:ascii="Arial" w:eastAsia="DengXian" w:hAnsi="Arial" w:cs="Arial"/>
          <w:sz w:val="22"/>
          <w:szCs w:val="22"/>
        </w:rPr>
        <w:t> </w:t>
      </w:r>
      <w:r w:rsidRPr="00224223">
        <w:rPr>
          <w:rFonts w:ascii="Arial" w:eastAsia="DengXian" w:hAnsi="Arial" w:cs="Arial"/>
          <w:sz w:val="22"/>
          <w:szCs w:val="22"/>
        </w:rPr>
        <w:t>CFR</w:t>
      </w:r>
      <w:r w:rsidR="00750F6B">
        <w:rPr>
          <w:rFonts w:ascii="Arial" w:eastAsia="DengXian" w:hAnsi="Arial" w:cs="Arial"/>
          <w:sz w:val="22"/>
          <w:szCs w:val="22"/>
        </w:rPr>
        <w:t> </w:t>
      </w:r>
      <w:r w:rsidRPr="00224223">
        <w:rPr>
          <w:rFonts w:ascii="Arial" w:eastAsia="DengXian" w:hAnsi="Arial" w:cs="Arial"/>
          <w:sz w:val="22"/>
          <w:szCs w:val="22"/>
        </w:rPr>
        <w:t xml:space="preserve">Part 100 and may not be appropriate for smaller, low-consequence reactors, and they quoted language from SECY-24-0008 in which the NRC seems to acknowledge that this requirement may be too restrictive. Because 10 CFR Part 53 intends to be performance-based </w:t>
      </w:r>
      <w:r w:rsidRPr="00224223">
        <w:rPr>
          <w:rFonts w:ascii="Arial" w:eastAsia="DengXian" w:hAnsi="Arial" w:cs="Arial"/>
          <w:sz w:val="22"/>
          <w:szCs w:val="22"/>
        </w:rPr>
        <w:t>and should consider microreactor deployment models as directed by the ADVANCE Act, the commenter argued, the population center distance criteria should not be prescriptive and exclusionary. The commenter suggested removing 10 CFR 53.530(c) or revising 10</w:t>
      </w:r>
      <w:r w:rsidR="00750F6B">
        <w:rPr>
          <w:rFonts w:ascii="Arial" w:eastAsia="DengXian" w:hAnsi="Arial" w:cs="Arial"/>
          <w:sz w:val="22"/>
          <w:szCs w:val="22"/>
        </w:rPr>
        <w:t> </w:t>
      </w:r>
      <w:r w:rsidRPr="00224223">
        <w:rPr>
          <w:rFonts w:ascii="Arial" w:eastAsia="DengXian" w:hAnsi="Arial" w:cs="Arial"/>
          <w:sz w:val="22"/>
          <w:szCs w:val="22"/>
        </w:rPr>
        <w:t>CFR</w:t>
      </w:r>
      <w:r w:rsidR="00750F6B">
        <w:rPr>
          <w:rFonts w:ascii="Arial" w:eastAsia="DengXian" w:hAnsi="Arial" w:cs="Arial"/>
          <w:sz w:val="22"/>
          <w:szCs w:val="22"/>
        </w:rPr>
        <w:t> </w:t>
      </w:r>
      <w:r w:rsidRPr="00224223">
        <w:rPr>
          <w:rFonts w:ascii="Arial" w:eastAsia="DengXian" w:hAnsi="Arial" w:cs="Arial"/>
          <w:sz w:val="22"/>
          <w:szCs w:val="22"/>
        </w:rPr>
        <w:t>53.530 as follows:</w:t>
      </w:r>
    </w:p>
    <w:p w:rsidR="00E35E7F" w:rsidRPr="00224223" w:rsidP="00224223" w14:paraId="32B10643" w14:textId="77777777">
      <w:pPr>
        <w:numPr>
          <w:ilvl w:val="0"/>
          <w:numId w:val="1"/>
        </w:numPr>
        <w:tabs>
          <w:tab w:val="left" w:pos="3950"/>
        </w:tabs>
        <w:spacing w:after="220"/>
        <w:rPr>
          <w:rFonts w:ascii="Arial" w:eastAsia="DengXian" w:hAnsi="Arial" w:cs="Arial"/>
          <w:sz w:val="22"/>
          <w:szCs w:val="22"/>
        </w:rPr>
      </w:pPr>
      <w:r w:rsidRPr="00224223">
        <w:rPr>
          <w:rFonts w:ascii="Arial" w:eastAsia="DengXian" w:hAnsi="Arial" w:cs="Arial"/>
          <w:sz w:val="22"/>
          <w:szCs w:val="22"/>
        </w:rPr>
        <w:t>Add a second sentence to the introductory paragraph: “For sites that establish that no plume exposure pathway EPZ is required or that the plume exposure pathway EPZ does not extend beyond site boundary in accordance with the requirements of § 53.1109(g)(2) of this chapter, the low-population zone and population center distance would coincide with the site boundary.”</w:t>
      </w:r>
    </w:p>
    <w:p w:rsidR="00E35E7F" w:rsidRPr="00224223" w:rsidP="00224223" w14:paraId="4C4A17B9" w14:textId="77777777">
      <w:pPr>
        <w:numPr>
          <w:ilvl w:val="0"/>
          <w:numId w:val="1"/>
        </w:numPr>
        <w:tabs>
          <w:tab w:val="left" w:pos="3950"/>
        </w:tabs>
        <w:spacing w:after="220"/>
        <w:rPr>
          <w:rFonts w:ascii="Arial" w:eastAsia="DengXian" w:hAnsi="Arial" w:cs="Arial"/>
          <w:sz w:val="22"/>
          <w:szCs w:val="22"/>
        </w:rPr>
      </w:pPr>
      <w:r w:rsidRPr="00224223">
        <w:rPr>
          <w:rFonts w:ascii="Arial" w:eastAsia="DengXian" w:hAnsi="Arial" w:cs="Arial"/>
          <w:sz w:val="22"/>
          <w:szCs w:val="22"/>
        </w:rPr>
        <w:t>Remove the language from 10 CFR 53.530(c) discussing that reactor sites should be located away from very densely populated centers.</w:t>
      </w:r>
    </w:p>
    <w:p w:rsidR="00E35E7F" w:rsidRPr="00224223" w:rsidP="00224223" w14:paraId="517CF6D0" w14:textId="77777777">
      <w:pPr>
        <w:tabs>
          <w:tab w:val="left" w:pos="3950"/>
        </w:tabs>
        <w:spacing w:after="220"/>
        <w:rPr>
          <w:rFonts w:ascii="Arial" w:eastAsia="DengXian" w:hAnsi="Arial" w:cs="Arial"/>
          <w:sz w:val="22"/>
          <w:szCs w:val="22"/>
        </w:rPr>
      </w:pPr>
      <w:r w:rsidRPr="00224223">
        <w:rPr>
          <w:rFonts w:ascii="Arial" w:eastAsia="DengXian" w:hAnsi="Arial" w:cs="Arial"/>
          <w:sz w:val="22"/>
          <w:szCs w:val="22"/>
        </w:rPr>
        <w:t>The commenter suggested that performance-based guidance on potentially co-locating the low population zone and population center distance with a site boundary EPZ should be developed for the population density criterion, writing that this would potentially allow siting of low</w:t>
      </w:r>
      <w:r w:rsidR="00750F6B">
        <w:rPr>
          <w:rFonts w:ascii="Arial" w:eastAsia="DengXian" w:hAnsi="Arial" w:cs="Arial"/>
          <w:sz w:val="22"/>
          <w:szCs w:val="22"/>
        </w:rPr>
        <w:noBreakHyphen/>
      </w:r>
      <w:r w:rsidRPr="00224223">
        <w:rPr>
          <w:rFonts w:ascii="Arial" w:eastAsia="DengXian" w:hAnsi="Arial" w:cs="Arial"/>
          <w:sz w:val="22"/>
          <w:szCs w:val="22"/>
        </w:rPr>
        <w:t>consequence reactors close to or within densely populated centers containing more than about 25,000 residents. The commenter stated its intent to further justify this position in an upcoming white paper to the NRC (</w:t>
      </w:r>
      <w:r w:rsidR="009D6BB9">
        <w:rPr>
          <w:rFonts w:ascii="Arial" w:eastAsia="DengXian" w:hAnsi="Arial" w:cs="Arial"/>
          <w:sz w:val="22"/>
          <w:szCs w:val="22"/>
        </w:rPr>
        <w:t>NEI2</w:t>
      </w:r>
      <w:r w:rsidRPr="00224223">
        <w:rPr>
          <w:rFonts w:ascii="Arial" w:eastAsia="DengXian" w:hAnsi="Arial" w:cs="Arial"/>
          <w:sz w:val="22"/>
          <w:szCs w:val="22"/>
        </w:rPr>
        <w:t>-0061). Other commenters agreed with these suggestions (</w:t>
      </w:r>
      <w:r w:rsidR="006912EB">
        <w:rPr>
          <w:rFonts w:ascii="Arial" w:eastAsia="DengXian" w:hAnsi="Arial" w:cs="Arial"/>
          <w:sz w:val="22"/>
          <w:szCs w:val="22"/>
        </w:rPr>
        <w:t>NEX</w:t>
      </w:r>
      <w:r w:rsidRPr="00224223">
        <w:rPr>
          <w:rFonts w:ascii="Arial" w:eastAsia="DengXian" w:hAnsi="Arial" w:cs="Arial"/>
          <w:sz w:val="22"/>
          <w:szCs w:val="22"/>
        </w:rPr>
        <w:t>-0026</w:t>
      </w:r>
      <w:r w:rsidR="00E005BC">
        <w:rPr>
          <w:rFonts w:ascii="Arial" w:eastAsia="DengXian" w:hAnsi="Arial" w:cs="Arial"/>
          <w:sz w:val="22"/>
          <w:szCs w:val="22"/>
        </w:rPr>
        <w:t>,</w:t>
      </w:r>
      <w:r w:rsidRPr="00224223">
        <w:rPr>
          <w:rFonts w:ascii="Arial" w:eastAsia="DengXian" w:hAnsi="Arial" w:cs="Arial"/>
          <w:sz w:val="22"/>
          <w:szCs w:val="22"/>
        </w:rPr>
        <w:t xml:space="preserve"> </w:t>
      </w:r>
      <w:r w:rsidR="00AE0B17">
        <w:rPr>
          <w:rFonts w:ascii="Arial" w:eastAsia="DengXian" w:hAnsi="Arial" w:cs="Arial"/>
          <w:sz w:val="22"/>
          <w:szCs w:val="22"/>
        </w:rPr>
        <w:t>USNIC2</w:t>
      </w:r>
      <w:r w:rsidRPr="00224223">
        <w:rPr>
          <w:rFonts w:ascii="Arial" w:eastAsia="DengXian" w:hAnsi="Arial" w:cs="Arial"/>
          <w:sz w:val="22"/>
          <w:szCs w:val="22"/>
        </w:rPr>
        <w:t>-0027).</w:t>
      </w:r>
    </w:p>
    <w:p w:rsidR="00E35E7F" w:rsidRPr="00224223" w:rsidP="00224223" w14:paraId="421564E6" w14:textId="77777777">
      <w:pPr>
        <w:spacing w:after="220"/>
        <w:rPr>
          <w:rFonts w:ascii="Arial" w:eastAsia="Times New Roman" w:hAnsi="Arial" w:cs="Arial"/>
          <w:color w:val="000000"/>
          <w:sz w:val="22"/>
          <w:szCs w:val="22"/>
          <w:lang w:eastAsia="zh-CN"/>
        </w:rPr>
      </w:pPr>
      <w:r w:rsidRPr="00224223">
        <w:rPr>
          <w:rFonts w:ascii="Arial" w:eastAsia="DengXian" w:hAnsi="Arial" w:cs="Arial"/>
          <w:sz w:val="22"/>
          <w:szCs w:val="22"/>
        </w:rPr>
        <w:t>A commenter objected to the proposed options set forth in SECY-20-0045 regarding site selection for SMRs, arguing that they are deterministic when NEIMA calls for risk-informed approaches and would eliminate the siting of SMRs on sites where higher powered LWRs have operated safely for years. The commenter wrote that this deterministic approach to site selection is not based on science and can frighten the public without good reason by overstating the risk of health hazards, and they disputed the idea that a 20-mile radius adds defense</w:t>
      </w:r>
      <w:r w:rsidR="00750F6B">
        <w:rPr>
          <w:rFonts w:ascii="Arial" w:eastAsia="DengXian" w:hAnsi="Arial" w:cs="Arial"/>
          <w:sz w:val="22"/>
          <w:szCs w:val="22"/>
        </w:rPr>
        <w:t xml:space="preserve"> </w:t>
      </w:r>
      <w:r w:rsidRPr="00224223">
        <w:rPr>
          <w:rFonts w:ascii="Arial" w:eastAsia="DengXian" w:hAnsi="Arial" w:cs="Arial"/>
          <w:sz w:val="22"/>
          <w:szCs w:val="22"/>
        </w:rPr>
        <w:t>in</w:t>
      </w:r>
      <w:r w:rsidR="00750F6B">
        <w:rPr>
          <w:rFonts w:ascii="Arial" w:eastAsia="DengXian" w:hAnsi="Arial" w:cs="Arial"/>
          <w:sz w:val="22"/>
          <w:szCs w:val="22"/>
        </w:rPr>
        <w:t xml:space="preserve"> </w:t>
      </w:r>
      <w:r w:rsidRPr="00224223">
        <w:rPr>
          <w:rFonts w:ascii="Arial" w:eastAsia="DengXian" w:hAnsi="Arial" w:cs="Arial"/>
          <w:sz w:val="22"/>
          <w:szCs w:val="22"/>
        </w:rPr>
        <w:t>depth. The commenter urged the NRC to rescind SECY</w:t>
      </w:r>
      <w:r w:rsidRPr="00224223">
        <w:rPr>
          <w:rFonts w:ascii="Arial" w:eastAsia="DengXian" w:hAnsi="Arial" w:cs="Arial"/>
          <w:sz w:val="22"/>
          <w:szCs w:val="22"/>
        </w:rPr>
        <w:noBreakHyphen/>
        <w:t>20-0045 and RG 4.7, which they said can promote fear of nuclear energy, are not risk-informed, and could be replaced with risk</w:t>
      </w:r>
      <w:r w:rsidR="00750F6B">
        <w:rPr>
          <w:rFonts w:ascii="Arial" w:eastAsia="DengXian" w:hAnsi="Arial" w:cs="Arial"/>
          <w:sz w:val="22"/>
          <w:szCs w:val="22"/>
        </w:rPr>
        <w:noBreakHyphen/>
      </w:r>
      <w:r w:rsidRPr="00224223">
        <w:rPr>
          <w:rFonts w:ascii="Arial" w:eastAsia="DengXian" w:hAnsi="Arial" w:cs="Arial"/>
          <w:sz w:val="22"/>
          <w:szCs w:val="22"/>
        </w:rPr>
        <w:t>informed technologies now available (</w:t>
      </w:r>
      <w:r w:rsidR="00B9339E">
        <w:rPr>
          <w:rFonts w:ascii="Arial" w:eastAsia="DengXian" w:hAnsi="Arial" w:cs="Arial"/>
          <w:sz w:val="22"/>
          <w:szCs w:val="22"/>
        </w:rPr>
        <w:t>MU1</w:t>
      </w:r>
      <w:r w:rsidRPr="00224223">
        <w:rPr>
          <w:rFonts w:ascii="Arial" w:eastAsia="DengXian" w:hAnsi="Arial" w:cs="Arial"/>
          <w:sz w:val="22"/>
          <w:szCs w:val="22"/>
        </w:rPr>
        <w:t>-0003). Similarly, another commenter asked the NRC to reconsider its preference for siting reactors in areas of low population density and to apply a more risk-informed and performance-based approach to radiation safety and adequate protection (</w:t>
      </w:r>
      <w:r w:rsidR="00611CA0">
        <w:rPr>
          <w:rFonts w:ascii="Arial" w:eastAsia="DengXian" w:hAnsi="Arial" w:cs="Arial"/>
          <w:sz w:val="22"/>
          <w:szCs w:val="22"/>
        </w:rPr>
        <w:t>RAD</w:t>
      </w:r>
      <w:r w:rsidRPr="00224223">
        <w:rPr>
          <w:rFonts w:ascii="Arial" w:eastAsia="DengXian" w:hAnsi="Arial" w:cs="Arial"/>
          <w:sz w:val="22"/>
          <w:szCs w:val="22"/>
        </w:rPr>
        <w:t>-0015).</w:t>
      </w:r>
    </w:p>
    <w:p w:rsidR="00612208" w:rsidRPr="00224223" w:rsidP="00224223" w14:paraId="49CCB581" w14:textId="77777777">
      <w:pPr>
        <w:spacing w:after="220"/>
        <w:rPr>
          <w:rFonts w:ascii="Arial" w:eastAsia="DengXian" w:hAnsi="Arial" w:cs="Arial"/>
          <w:sz w:val="22"/>
          <w:szCs w:val="22"/>
        </w:rPr>
      </w:pPr>
      <w:r w:rsidRPr="00224223">
        <w:rPr>
          <w:rFonts w:ascii="Arial" w:eastAsia="DengXian" w:hAnsi="Arial" w:cs="Arial"/>
          <w:b/>
          <w:sz w:val="22"/>
          <w:szCs w:val="22"/>
        </w:rPr>
        <w:t>NRC Response:</w:t>
      </w:r>
      <w:r w:rsidRPr="00224223">
        <w:rPr>
          <w:rFonts w:ascii="Arial" w:eastAsia="DengXian" w:hAnsi="Arial" w:cs="Arial"/>
          <w:sz w:val="22"/>
          <w:szCs w:val="22"/>
        </w:rPr>
        <w:t xml:space="preserve"> The NRC agrees, in part, with the comments.</w:t>
      </w:r>
    </w:p>
    <w:p w:rsidR="00E35E7F" w:rsidRPr="00224223" w:rsidP="00224223" w14:paraId="4D5BE98F" w14:textId="5ED0C083">
      <w:pPr>
        <w:spacing w:after="220"/>
        <w:rPr>
          <w:rFonts w:ascii="Arial" w:eastAsia="DengXian" w:hAnsi="Arial" w:cs="Arial"/>
          <w:sz w:val="22"/>
          <w:szCs w:val="22"/>
        </w:rPr>
      </w:pPr>
      <w:r w:rsidRPr="00224223">
        <w:rPr>
          <w:rFonts w:ascii="Arial" w:eastAsia="DengXian" w:hAnsi="Arial" w:cs="Arial"/>
          <w:sz w:val="22"/>
          <w:szCs w:val="22"/>
        </w:rPr>
        <w:t>Regarding th</w:t>
      </w:r>
      <w:r w:rsidRPr="00224223" w:rsidR="00612208">
        <w:rPr>
          <w:rFonts w:ascii="Arial" w:eastAsia="DengXian" w:hAnsi="Arial" w:cs="Arial"/>
          <w:sz w:val="22"/>
          <w:szCs w:val="22"/>
        </w:rPr>
        <w:t>e</w:t>
      </w:r>
      <w:r w:rsidRPr="00224223">
        <w:rPr>
          <w:rFonts w:ascii="Arial" w:eastAsia="DengXian" w:hAnsi="Arial" w:cs="Arial"/>
          <w:sz w:val="22"/>
          <w:szCs w:val="22"/>
        </w:rPr>
        <w:t xml:space="preserve"> suggesti</w:t>
      </w:r>
      <w:r w:rsidRPr="00224223" w:rsidR="00612208">
        <w:rPr>
          <w:rFonts w:ascii="Arial" w:eastAsia="DengXian" w:hAnsi="Arial" w:cs="Arial"/>
          <w:sz w:val="22"/>
          <w:szCs w:val="22"/>
        </w:rPr>
        <w:t>on</w:t>
      </w:r>
      <w:r w:rsidRPr="00224223" w:rsidR="00D54B81">
        <w:rPr>
          <w:rFonts w:ascii="Arial" w:eastAsia="DengXian" w:hAnsi="Arial" w:cs="Arial"/>
          <w:sz w:val="22"/>
          <w:szCs w:val="22"/>
        </w:rPr>
        <w:t xml:space="preserve"> of</w:t>
      </w:r>
      <w:r w:rsidRPr="00224223">
        <w:rPr>
          <w:rFonts w:ascii="Arial" w:eastAsia="DengXian" w:hAnsi="Arial" w:cs="Arial"/>
          <w:sz w:val="22"/>
          <w:szCs w:val="22"/>
        </w:rPr>
        <w:t xml:space="preserve"> alternatives to the population-related siting considerations in the proposed 10 CFR 53.530, the NRC </w:t>
      </w:r>
      <w:r w:rsidR="00850A2D">
        <w:rPr>
          <w:rFonts w:ascii="Arial" w:hAnsi="Arial" w:cs="Arial"/>
          <w:sz w:val="22"/>
          <w:szCs w:val="22"/>
        </w:rPr>
        <w:t>has revised</w:t>
      </w:r>
      <w:r w:rsidR="00850A2D">
        <w:rPr>
          <w:rFonts w:ascii="Arial" w:eastAsia="DengXian" w:hAnsi="Arial" w:cs="Arial"/>
          <w:sz w:val="22"/>
          <w:szCs w:val="22"/>
        </w:rPr>
        <w:t xml:space="preserve"> </w:t>
      </w:r>
      <w:r w:rsidRPr="00224223">
        <w:rPr>
          <w:rFonts w:ascii="Arial" w:eastAsia="DengXian" w:hAnsi="Arial" w:cs="Arial"/>
          <w:sz w:val="22"/>
          <w:szCs w:val="22"/>
        </w:rPr>
        <w:t>the final rule to allow proposed siting based on assessments of estimated societal risks as compared to societal benefits of siting a commercial nuclear plant in a more densely populated area. The NRC disagrees with approaches for siting considering only estimated doses to individuals from licensing</w:t>
      </w:r>
      <w:r w:rsidR="00505C1D">
        <w:rPr>
          <w:rFonts w:ascii="Arial" w:eastAsia="DengXian" w:hAnsi="Arial" w:cs="Arial"/>
          <w:sz w:val="22"/>
          <w:szCs w:val="22"/>
        </w:rPr>
        <w:noBreakHyphen/>
      </w:r>
      <w:r w:rsidRPr="00224223">
        <w:rPr>
          <w:rFonts w:ascii="Arial" w:eastAsia="DengXian" w:hAnsi="Arial" w:cs="Arial"/>
          <w:sz w:val="22"/>
          <w:szCs w:val="22"/>
        </w:rPr>
        <w:t>basis events or siting solely on the possible need to take prompt protective actions such as evacuating people because an important part of the historical purpose of the siting provisions in 10</w:t>
      </w:r>
      <w:r w:rsidRPr="00224223" w:rsidR="00D54B81">
        <w:rPr>
          <w:rFonts w:ascii="Arial" w:eastAsia="DengXian" w:hAnsi="Arial" w:cs="Arial"/>
          <w:sz w:val="22"/>
          <w:szCs w:val="22"/>
        </w:rPr>
        <w:t> </w:t>
      </w:r>
      <w:r w:rsidRPr="00224223">
        <w:rPr>
          <w:rFonts w:ascii="Arial" w:eastAsia="DengXian" w:hAnsi="Arial" w:cs="Arial"/>
          <w:sz w:val="22"/>
          <w:szCs w:val="22"/>
        </w:rPr>
        <w:t>CFR</w:t>
      </w:r>
      <w:r w:rsidRPr="00224223" w:rsidR="00D54B81">
        <w:rPr>
          <w:rFonts w:ascii="Arial" w:eastAsia="DengXian" w:hAnsi="Arial" w:cs="Arial"/>
          <w:sz w:val="22"/>
          <w:szCs w:val="22"/>
        </w:rPr>
        <w:t> </w:t>
      </w:r>
      <w:r w:rsidRPr="00224223">
        <w:rPr>
          <w:rFonts w:ascii="Arial" w:eastAsia="DengXian" w:hAnsi="Arial" w:cs="Arial"/>
          <w:sz w:val="22"/>
          <w:szCs w:val="22"/>
        </w:rPr>
        <w:t>Part 100 and the proposed Subpart D to 10 CFR Part 53 was to take into consideration the broader societal impact of reactor accidents. The changes to 10</w:t>
      </w:r>
      <w:r w:rsidRPr="00224223" w:rsidR="00D54B81">
        <w:rPr>
          <w:rFonts w:ascii="Arial" w:eastAsia="DengXian" w:hAnsi="Arial" w:cs="Arial"/>
          <w:sz w:val="22"/>
          <w:szCs w:val="22"/>
        </w:rPr>
        <w:t> </w:t>
      </w:r>
      <w:r w:rsidRPr="00224223">
        <w:rPr>
          <w:rFonts w:ascii="Arial" w:eastAsia="DengXian" w:hAnsi="Arial" w:cs="Arial"/>
          <w:sz w:val="22"/>
          <w:szCs w:val="22"/>
        </w:rPr>
        <w:t>CFR</w:t>
      </w:r>
      <w:r w:rsidRPr="00224223" w:rsidR="00D54B81">
        <w:rPr>
          <w:rFonts w:ascii="Arial" w:eastAsia="DengXian" w:hAnsi="Arial" w:cs="Arial"/>
          <w:sz w:val="22"/>
          <w:szCs w:val="22"/>
        </w:rPr>
        <w:t> </w:t>
      </w:r>
      <w:r w:rsidRPr="00224223">
        <w:rPr>
          <w:rFonts w:ascii="Arial" w:eastAsia="DengXian" w:hAnsi="Arial" w:cs="Arial"/>
          <w:sz w:val="22"/>
          <w:szCs w:val="22"/>
        </w:rPr>
        <w:t>53.530</w:t>
      </w:r>
      <w:r w:rsidR="00005A69">
        <w:rPr>
          <w:rFonts w:ascii="Arial" w:eastAsia="DengXian" w:hAnsi="Arial" w:cs="Arial"/>
          <w:sz w:val="22"/>
          <w:szCs w:val="22"/>
        </w:rPr>
        <w:t xml:space="preserve">(b) and </w:t>
      </w:r>
      <w:r w:rsidRPr="00224223">
        <w:rPr>
          <w:rFonts w:ascii="Arial" w:eastAsia="DengXian" w:hAnsi="Arial" w:cs="Arial"/>
          <w:sz w:val="22"/>
          <w:szCs w:val="22"/>
        </w:rPr>
        <w:t xml:space="preserve">(c) provide an option for sites to be proposed using assessments of additional societal risks associated with siting a reactor in areas of higher population density (e.g., potential increases in population dose or economic consequences from reactor accidents) in comparison to the societal benefits of a specific site (e.g., ability to use existing infrastructure for a retired fossil fuel power plant). The </w:t>
      </w:r>
      <w:r w:rsidRPr="00224223">
        <w:rPr>
          <w:rFonts w:ascii="Arial" w:eastAsia="DengXian" w:hAnsi="Arial" w:cs="Arial"/>
          <w:sz w:val="22"/>
          <w:szCs w:val="22"/>
        </w:rPr>
        <w:t>measure of merit for a comparison of societal benefits to societal risks would likely be expressed in dollars.</w:t>
      </w:r>
    </w:p>
    <w:p w:rsidR="00E35E7F" w:rsidRPr="00224223" w:rsidP="00224223" w14:paraId="5A1BE8AA" w14:textId="77777777">
      <w:pPr>
        <w:spacing w:after="220"/>
        <w:rPr>
          <w:rFonts w:ascii="Arial" w:eastAsia="DengXian" w:hAnsi="Arial" w:cs="Arial"/>
          <w:sz w:val="22"/>
          <w:szCs w:val="22"/>
        </w:rPr>
      </w:pPr>
      <w:r w:rsidRPr="00224223">
        <w:rPr>
          <w:rFonts w:ascii="Arial" w:eastAsia="DengXian" w:hAnsi="Arial" w:cs="Arial"/>
          <w:sz w:val="22"/>
          <w:szCs w:val="22"/>
        </w:rPr>
        <w:t xml:space="preserve">The NRC agrees, in part, with that part of the comment related to 10 CFR 53.500 and </w:t>
      </w:r>
      <w:r w:rsidR="00850A2D">
        <w:rPr>
          <w:rFonts w:ascii="Arial" w:hAnsi="Arial" w:cs="Arial"/>
          <w:sz w:val="22"/>
          <w:szCs w:val="22"/>
        </w:rPr>
        <w:t>has revised</w:t>
      </w:r>
      <w:r w:rsidR="00850A2D">
        <w:rPr>
          <w:rFonts w:ascii="Arial" w:eastAsia="DengXian" w:hAnsi="Arial" w:cs="Arial"/>
          <w:sz w:val="22"/>
          <w:szCs w:val="22"/>
        </w:rPr>
        <w:t xml:space="preserve"> </w:t>
      </w:r>
      <w:r w:rsidRPr="00224223">
        <w:rPr>
          <w:rFonts w:ascii="Arial" w:eastAsia="DengXian" w:hAnsi="Arial" w:cs="Arial"/>
          <w:sz w:val="22"/>
          <w:szCs w:val="22"/>
        </w:rPr>
        <w:t xml:space="preserve">the rule language for the final rule to have that section serve as an introduction to Subpart D. </w:t>
      </w:r>
    </w:p>
    <w:p w:rsidR="00E35E7F" w:rsidRPr="00224223" w:rsidP="00224223" w14:paraId="7BB9BA2A" w14:textId="77777777">
      <w:pPr>
        <w:spacing w:after="220"/>
        <w:rPr>
          <w:rFonts w:ascii="Arial" w:eastAsia="DengXian" w:hAnsi="Arial" w:cs="Arial"/>
          <w:sz w:val="22"/>
          <w:szCs w:val="22"/>
        </w:rPr>
      </w:pPr>
      <w:r w:rsidRPr="00224223">
        <w:rPr>
          <w:rFonts w:ascii="Arial" w:eastAsia="DengXian" w:hAnsi="Arial" w:cs="Arial"/>
          <w:sz w:val="22"/>
          <w:szCs w:val="22"/>
        </w:rPr>
        <w:t>The NRC d</w:t>
      </w:r>
      <w:r w:rsidR="004D432C">
        <w:rPr>
          <w:rFonts w:ascii="Arial" w:eastAsia="DengXian" w:hAnsi="Arial" w:cs="Arial"/>
          <w:sz w:val="22"/>
          <w:szCs w:val="22"/>
        </w:rPr>
        <w:t>is</w:t>
      </w:r>
      <w:r w:rsidRPr="00224223">
        <w:rPr>
          <w:rFonts w:ascii="Arial" w:eastAsia="DengXian" w:hAnsi="Arial" w:cs="Arial"/>
          <w:sz w:val="22"/>
          <w:szCs w:val="22"/>
        </w:rPr>
        <w:t>agree</w:t>
      </w:r>
      <w:r w:rsidR="004D432C">
        <w:rPr>
          <w:rFonts w:ascii="Arial" w:eastAsia="DengXian" w:hAnsi="Arial" w:cs="Arial"/>
          <w:sz w:val="22"/>
          <w:szCs w:val="22"/>
        </w:rPr>
        <w:t>s</w:t>
      </w:r>
      <w:r w:rsidRPr="00224223">
        <w:rPr>
          <w:rFonts w:ascii="Arial" w:eastAsia="DengXian" w:hAnsi="Arial" w:cs="Arial"/>
          <w:sz w:val="22"/>
          <w:szCs w:val="22"/>
        </w:rPr>
        <w:t xml:space="preserve"> that the revisions to RG 4.7 and associated provisions in 10</w:t>
      </w:r>
      <w:r w:rsidRPr="00224223" w:rsidR="004A2D6A">
        <w:rPr>
          <w:rFonts w:ascii="Arial" w:eastAsia="DengXian" w:hAnsi="Arial" w:cs="Arial"/>
          <w:sz w:val="22"/>
          <w:szCs w:val="22"/>
        </w:rPr>
        <w:t> </w:t>
      </w:r>
      <w:r w:rsidRPr="00224223">
        <w:rPr>
          <w:rFonts w:ascii="Arial" w:eastAsia="DengXian" w:hAnsi="Arial" w:cs="Arial"/>
          <w:sz w:val="22"/>
          <w:szCs w:val="22"/>
        </w:rPr>
        <w:t>CFR</w:t>
      </w:r>
      <w:r w:rsidR="00D81ABC">
        <w:rPr>
          <w:rFonts w:ascii="Arial" w:eastAsia="DengXian" w:hAnsi="Arial" w:cs="Arial"/>
          <w:sz w:val="22"/>
          <w:szCs w:val="22"/>
        </w:rPr>
        <w:t> </w:t>
      </w:r>
      <w:r w:rsidRPr="00224223">
        <w:rPr>
          <w:rFonts w:ascii="Arial" w:eastAsia="DengXian" w:hAnsi="Arial" w:cs="Arial"/>
          <w:sz w:val="22"/>
          <w:szCs w:val="22"/>
        </w:rPr>
        <w:t>53.530 are not risk-informed insofar as the events considered in determining the areas in which population density is assessed are the licensing</w:t>
      </w:r>
      <w:r w:rsidR="00505C1D">
        <w:rPr>
          <w:rFonts w:ascii="Arial" w:eastAsia="DengXian" w:hAnsi="Arial" w:cs="Arial"/>
          <w:sz w:val="22"/>
          <w:szCs w:val="22"/>
        </w:rPr>
        <w:noBreakHyphen/>
      </w:r>
      <w:r w:rsidRPr="00224223">
        <w:rPr>
          <w:rFonts w:ascii="Arial" w:eastAsia="DengXian" w:hAnsi="Arial" w:cs="Arial"/>
          <w:sz w:val="22"/>
          <w:szCs w:val="22"/>
        </w:rPr>
        <w:t>basis events identified from the probabilistic risk assessment or other systematic risk evaluations under 10 CFR 53.450(e). The changes made to 10 CFR 53.530 to provide an option for considering societal risks and societal benefits will likewise be risk-informed since such assessments consider the analyses of event frequencies and consequences under 10</w:t>
      </w:r>
      <w:r w:rsidRPr="00224223" w:rsidR="004A2D6A">
        <w:rPr>
          <w:rFonts w:ascii="Arial" w:eastAsia="DengXian" w:hAnsi="Arial" w:cs="Arial"/>
          <w:sz w:val="22"/>
          <w:szCs w:val="22"/>
        </w:rPr>
        <w:t> </w:t>
      </w:r>
      <w:r w:rsidRPr="00224223">
        <w:rPr>
          <w:rFonts w:ascii="Arial" w:eastAsia="DengXian" w:hAnsi="Arial" w:cs="Arial"/>
          <w:sz w:val="22"/>
          <w:szCs w:val="22"/>
        </w:rPr>
        <w:t>CFR 53.450(e).</w:t>
      </w:r>
    </w:p>
    <w:p w:rsidR="00E35E7F" w:rsidRPr="00224223" w:rsidP="00224223" w14:paraId="1F27D97E" w14:textId="77777777">
      <w:pPr>
        <w:spacing w:after="220"/>
        <w:rPr>
          <w:rFonts w:ascii="Arial" w:eastAsia="Times New Roman" w:hAnsi="Arial" w:cs="Arial"/>
          <w:color w:val="000000"/>
          <w:sz w:val="22"/>
          <w:szCs w:val="22"/>
          <w:lang w:eastAsia="zh-CN"/>
        </w:rPr>
      </w:pPr>
      <w:r w:rsidRPr="00224223">
        <w:rPr>
          <w:rFonts w:ascii="Arial" w:eastAsia="DengXian" w:hAnsi="Arial" w:cs="Arial"/>
          <w:sz w:val="22"/>
          <w:szCs w:val="22"/>
        </w:rPr>
        <w:t xml:space="preserve">Accordingly, the NRC </w:t>
      </w:r>
      <w:r w:rsidR="00850A2D">
        <w:rPr>
          <w:rFonts w:ascii="Arial" w:hAnsi="Arial" w:cs="Arial"/>
          <w:sz w:val="22"/>
          <w:szCs w:val="22"/>
        </w:rPr>
        <w:t>has revised</w:t>
      </w:r>
      <w:r w:rsidR="00850A2D">
        <w:rPr>
          <w:rFonts w:ascii="Arial" w:eastAsia="DengXian" w:hAnsi="Arial" w:cs="Arial"/>
          <w:sz w:val="22"/>
          <w:szCs w:val="22"/>
        </w:rPr>
        <w:t xml:space="preserve"> </w:t>
      </w:r>
      <w:r w:rsidRPr="00224223">
        <w:rPr>
          <w:rFonts w:ascii="Arial" w:eastAsia="DengXian" w:hAnsi="Arial" w:cs="Arial"/>
          <w:sz w:val="22"/>
          <w:szCs w:val="22"/>
        </w:rPr>
        <w:t>the rule language in 10 CFR 53.500 and 10</w:t>
      </w:r>
      <w:r w:rsidRPr="00224223" w:rsidR="004A2D6A">
        <w:rPr>
          <w:rFonts w:ascii="Arial" w:eastAsia="DengXian" w:hAnsi="Arial" w:cs="Arial"/>
          <w:sz w:val="22"/>
          <w:szCs w:val="22"/>
        </w:rPr>
        <w:t> </w:t>
      </w:r>
      <w:r w:rsidRPr="00224223">
        <w:rPr>
          <w:rFonts w:ascii="Arial" w:eastAsia="DengXian" w:hAnsi="Arial" w:cs="Arial"/>
          <w:sz w:val="22"/>
          <w:szCs w:val="22"/>
        </w:rPr>
        <w:t>CFR</w:t>
      </w:r>
      <w:r w:rsidRPr="00224223" w:rsidR="004A2D6A">
        <w:rPr>
          <w:rFonts w:ascii="Arial" w:eastAsia="DengXian" w:hAnsi="Arial" w:cs="Arial"/>
          <w:sz w:val="22"/>
          <w:szCs w:val="22"/>
        </w:rPr>
        <w:t> </w:t>
      </w:r>
      <w:r w:rsidRPr="00224223">
        <w:rPr>
          <w:rFonts w:ascii="Arial" w:eastAsia="DengXian" w:hAnsi="Arial" w:cs="Arial"/>
          <w:sz w:val="22"/>
          <w:szCs w:val="22"/>
        </w:rPr>
        <w:t>53.530(</w:t>
      </w:r>
      <w:r w:rsidR="007F575B">
        <w:rPr>
          <w:rFonts w:ascii="Arial" w:eastAsia="DengXian" w:hAnsi="Arial" w:cs="Arial"/>
          <w:sz w:val="22"/>
          <w:szCs w:val="22"/>
        </w:rPr>
        <w:t xml:space="preserve">b) and </w:t>
      </w:r>
      <w:r w:rsidRPr="00224223">
        <w:rPr>
          <w:rFonts w:ascii="Arial" w:eastAsia="DengXian" w:hAnsi="Arial" w:cs="Arial"/>
          <w:sz w:val="22"/>
          <w:szCs w:val="22"/>
        </w:rPr>
        <w:t>(c) in response to these comments.</w:t>
      </w:r>
    </w:p>
    <w:p w:rsidR="00AC1417" w:rsidRPr="00224223" w:rsidP="00224223" w14:paraId="56CF708B"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32" style="width:0;height:1.5pt" o:hralign="center" o:hrstd="t" o:hrnoshade="t" o:hr="t" fillcolor="black" stroked="f"/>
        </w:pict>
      </w:r>
    </w:p>
    <w:p w:rsidR="00A65E09" w:rsidRPr="00224223" w:rsidP="00224223" w14:paraId="6F1D600E" w14:textId="77777777">
      <w:pPr>
        <w:spacing w:after="220"/>
        <w:rPr>
          <w:rFonts w:ascii="Arial" w:eastAsia="Times New Roman" w:hAnsi="Arial" w:cs="Arial"/>
          <w:sz w:val="22"/>
          <w:szCs w:val="22"/>
        </w:rPr>
      </w:pPr>
      <w:r w:rsidRPr="00224223">
        <w:rPr>
          <w:rFonts w:ascii="Arial" w:eastAsia="DengXian" w:hAnsi="Arial" w:cs="Arial"/>
          <w:b/>
          <w:sz w:val="22"/>
          <w:szCs w:val="22"/>
        </w:rPr>
        <w:t>Comment Bin 3.4.2.B:</w:t>
      </w:r>
      <w:r w:rsidRPr="00224223">
        <w:rPr>
          <w:rFonts w:ascii="Arial" w:eastAsia="DengXian" w:hAnsi="Arial" w:cs="Arial"/>
          <w:sz w:val="22"/>
          <w:szCs w:val="22"/>
        </w:rPr>
        <w:t xml:space="preserve"> </w:t>
      </w:r>
      <w:r w:rsidRPr="00224223">
        <w:rPr>
          <w:rFonts w:ascii="Arial" w:eastAsia="Times New Roman" w:hAnsi="Arial" w:cs="Arial"/>
          <w:sz w:val="22"/>
          <w:szCs w:val="22"/>
        </w:rPr>
        <w:t>A commenter suggested that instead of effectively relocating the siting requirements from one part to another without endeavoring to establish a more modern technology-inclusive, risk-informed, and performance-based approach to siting, 10 CFR</w:t>
      </w:r>
      <w:r w:rsidR="003E5BB0">
        <w:rPr>
          <w:rFonts w:ascii="Arial" w:eastAsia="Times New Roman" w:hAnsi="Arial" w:cs="Arial"/>
          <w:sz w:val="22"/>
          <w:szCs w:val="22"/>
        </w:rPr>
        <w:t> </w:t>
      </w:r>
      <w:r w:rsidRPr="00224223">
        <w:rPr>
          <w:rFonts w:ascii="Arial" w:eastAsia="Times New Roman" w:hAnsi="Arial" w:cs="Arial"/>
          <w:sz w:val="22"/>
          <w:szCs w:val="22"/>
        </w:rPr>
        <w:t>Part 53 should reevaluate that approach by considering how safety, security, EP, and siting could be better integrated to establish a more efficient framework (</w:t>
      </w:r>
      <w:r w:rsidR="009D6BB9">
        <w:rPr>
          <w:rFonts w:ascii="Arial" w:eastAsia="Times New Roman" w:hAnsi="Arial" w:cs="Arial"/>
          <w:sz w:val="22"/>
          <w:szCs w:val="22"/>
        </w:rPr>
        <w:t>NEI2</w:t>
      </w:r>
      <w:r w:rsidRPr="00224223">
        <w:rPr>
          <w:rFonts w:ascii="Arial" w:eastAsia="Times New Roman" w:hAnsi="Arial" w:cs="Arial"/>
          <w:sz w:val="22"/>
          <w:szCs w:val="22"/>
        </w:rPr>
        <w:t xml:space="preserve">-0060, </w:t>
      </w:r>
      <w:r w:rsidR="009D6BB9">
        <w:rPr>
          <w:rFonts w:ascii="Arial" w:eastAsia="Times New Roman" w:hAnsi="Arial" w:cs="Arial"/>
          <w:sz w:val="22"/>
          <w:szCs w:val="22"/>
        </w:rPr>
        <w:t>NEI2</w:t>
      </w:r>
      <w:r w:rsidRPr="00224223">
        <w:rPr>
          <w:rFonts w:ascii="Arial" w:eastAsia="Times New Roman" w:hAnsi="Arial" w:cs="Arial"/>
          <w:sz w:val="22"/>
          <w:szCs w:val="22"/>
        </w:rPr>
        <w:noBreakHyphen/>
        <w:t>0058). Another commenter agreed with this suggestion (</w:t>
      </w:r>
      <w:r w:rsidR="006912EB">
        <w:rPr>
          <w:rFonts w:ascii="Arial" w:eastAsia="Times New Roman" w:hAnsi="Arial" w:cs="Arial"/>
          <w:sz w:val="22"/>
          <w:szCs w:val="22"/>
        </w:rPr>
        <w:t>NEX</w:t>
      </w:r>
      <w:r w:rsidRPr="00224223">
        <w:rPr>
          <w:rFonts w:ascii="Arial" w:eastAsia="Times New Roman" w:hAnsi="Arial" w:cs="Arial"/>
          <w:sz w:val="22"/>
          <w:szCs w:val="22"/>
        </w:rPr>
        <w:t>-0025,</w:t>
      </w:r>
      <w:r w:rsidRPr="00224223">
        <w:rPr>
          <w:rFonts w:ascii="Arial" w:eastAsia="DengXian" w:hAnsi="Arial" w:cs="Arial"/>
          <w:sz w:val="22"/>
          <w:szCs w:val="22"/>
        </w:rPr>
        <w:t xml:space="preserve"> </w:t>
      </w:r>
      <w:r w:rsidR="006912EB">
        <w:rPr>
          <w:rFonts w:ascii="Arial" w:eastAsia="DengXian" w:hAnsi="Arial" w:cs="Arial"/>
          <w:sz w:val="22"/>
          <w:szCs w:val="22"/>
        </w:rPr>
        <w:t>NEX</w:t>
      </w:r>
      <w:r w:rsidRPr="00224223">
        <w:rPr>
          <w:rFonts w:ascii="Arial" w:eastAsia="DengXian" w:hAnsi="Arial" w:cs="Arial"/>
          <w:sz w:val="22"/>
          <w:szCs w:val="22"/>
        </w:rPr>
        <w:t>-0024</w:t>
      </w:r>
      <w:r w:rsidRPr="00224223">
        <w:rPr>
          <w:rFonts w:ascii="Arial" w:eastAsia="Times New Roman" w:hAnsi="Arial" w:cs="Arial"/>
          <w:sz w:val="22"/>
          <w:szCs w:val="22"/>
        </w:rPr>
        <w:t>).</w:t>
      </w:r>
    </w:p>
    <w:p w:rsidR="001A5112" w:rsidRPr="00224223" w:rsidP="00224223" w14:paraId="54FAF7F0" w14:textId="77777777">
      <w:pPr>
        <w:spacing w:after="220"/>
        <w:rPr>
          <w:rFonts w:ascii="Arial" w:eastAsia="DengXian" w:hAnsi="Arial" w:cs="Arial"/>
          <w:sz w:val="22"/>
          <w:szCs w:val="22"/>
        </w:rPr>
      </w:pPr>
      <w:r w:rsidRPr="00224223">
        <w:rPr>
          <w:rFonts w:ascii="Arial" w:eastAsia="DengXian" w:hAnsi="Arial" w:cs="Arial"/>
          <w:sz w:val="22"/>
          <w:szCs w:val="22"/>
        </w:rPr>
        <w:t>Specifically, the commenter referenced their February 11, 2021, comment letter that proposed establishing the site boundary, in lieu of the low population zone and exclusion area boundary, as the key boundary, in alignment with the SMR Emergency Preparedness rulemaking, thus streamlining the licensing basis of the facility (</w:t>
      </w:r>
      <w:r w:rsidR="009D6BB9">
        <w:rPr>
          <w:rFonts w:ascii="Arial" w:eastAsia="DengXian" w:hAnsi="Arial" w:cs="Arial"/>
          <w:sz w:val="22"/>
          <w:szCs w:val="22"/>
        </w:rPr>
        <w:t>NEI2</w:t>
      </w:r>
      <w:r w:rsidRPr="00224223">
        <w:rPr>
          <w:rFonts w:ascii="Arial" w:eastAsia="DengXian" w:hAnsi="Arial" w:cs="Arial"/>
          <w:sz w:val="22"/>
          <w:szCs w:val="22"/>
        </w:rPr>
        <w:t>-0058). Another commenter agreed with this suggestion (</w:t>
      </w:r>
      <w:r w:rsidR="006912EB">
        <w:rPr>
          <w:rFonts w:ascii="Arial" w:eastAsia="DengXian" w:hAnsi="Arial" w:cs="Arial"/>
          <w:sz w:val="22"/>
          <w:szCs w:val="22"/>
        </w:rPr>
        <w:t>NEX</w:t>
      </w:r>
      <w:r w:rsidRPr="00224223">
        <w:rPr>
          <w:rFonts w:ascii="Arial" w:eastAsia="DengXian" w:hAnsi="Arial" w:cs="Arial"/>
          <w:sz w:val="22"/>
          <w:szCs w:val="22"/>
        </w:rPr>
        <w:t>-0024).</w:t>
      </w:r>
    </w:p>
    <w:p w:rsidR="00895DCE" w:rsidRPr="00224223" w:rsidP="00224223" w14:paraId="3B069FF5" w14:textId="77777777">
      <w:pPr>
        <w:spacing w:after="220"/>
        <w:rPr>
          <w:rFonts w:ascii="Arial" w:eastAsia="DengXian" w:hAnsi="Arial" w:cs="Arial"/>
          <w:sz w:val="22"/>
          <w:szCs w:val="22"/>
        </w:rPr>
      </w:pPr>
      <w:r w:rsidRPr="00224223">
        <w:rPr>
          <w:rFonts w:ascii="Arial" w:eastAsia="DengXian" w:hAnsi="Arial" w:cs="Arial"/>
          <w:b/>
          <w:sz w:val="22"/>
          <w:szCs w:val="22"/>
        </w:rPr>
        <w:t>NRC Response:</w:t>
      </w:r>
      <w:r w:rsidRPr="00224223">
        <w:rPr>
          <w:rFonts w:ascii="Arial" w:eastAsia="DengXian" w:hAnsi="Arial" w:cs="Arial"/>
          <w:sz w:val="22"/>
          <w:szCs w:val="22"/>
        </w:rPr>
        <w:t xml:space="preserve"> The NRC disagrees with the comments.</w:t>
      </w:r>
    </w:p>
    <w:p w:rsidR="005779E8" w:rsidP="00224223" w14:paraId="083357D1" w14:textId="77777777">
      <w:pPr>
        <w:spacing w:after="220"/>
        <w:rPr>
          <w:rFonts w:ascii="Arial" w:eastAsia="DengXian" w:hAnsi="Arial" w:cs="Arial"/>
          <w:sz w:val="22"/>
          <w:szCs w:val="22"/>
        </w:rPr>
      </w:pPr>
      <w:r w:rsidRPr="00224223">
        <w:rPr>
          <w:rFonts w:ascii="Arial" w:eastAsia="DengXian" w:hAnsi="Arial" w:cs="Arial"/>
          <w:sz w:val="22"/>
          <w:szCs w:val="22"/>
        </w:rPr>
        <w:t>The NRC disagrees that the siting requirements in 10 CFR Part 53 require a fundamental reevaluation. The rule is technology-inclusive and so must accommodate siting for all types of facilities, from microreactors to large</w:t>
      </w:r>
      <w:r w:rsidR="00D75AFE">
        <w:rPr>
          <w:rFonts w:ascii="Arial" w:eastAsia="DengXian" w:hAnsi="Arial" w:cs="Arial"/>
          <w:sz w:val="22"/>
          <w:szCs w:val="22"/>
        </w:rPr>
        <w:t>-</w:t>
      </w:r>
      <w:r w:rsidRPr="00224223">
        <w:rPr>
          <w:rFonts w:ascii="Arial" w:eastAsia="DengXian" w:hAnsi="Arial" w:cs="Arial"/>
          <w:sz w:val="22"/>
          <w:szCs w:val="22"/>
        </w:rPr>
        <w:t xml:space="preserve">LWRs. </w:t>
      </w:r>
      <w:r w:rsidR="00666B3D">
        <w:rPr>
          <w:rFonts w:ascii="Arial" w:eastAsia="DengXian" w:hAnsi="Arial" w:cs="Arial"/>
          <w:sz w:val="22"/>
          <w:szCs w:val="22"/>
        </w:rPr>
        <w:t xml:space="preserve">In addition, </w:t>
      </w:r>
      <w:r w:rsidR="001B3430">
        <w:rPr>
          <w:rFonts w:ascii="Arial" w:eastAsia="DengXian" w:hAnsi="Arial" w:cs="Arial"/>
          <w:sz w:val="22"/>
          <w:szCs w:val="22"/>
        </w:rPr>
        <w:t>10 CFR Part 53</w:t>
      </w:r>
      <w:r w:rsidR="00D529A2">
        <w:rPr>
          <w:rFonts w:ascii="Arial" w:eastAsia="DengXian" w:hAnsi="Arial" w:cs="Arial"/>
          <w:sz w:val="22"/>
          <w:szCs w:val="22"/>
        </w:rPr>
        <w:t xml:space="preserve"> and 10 CFR Part 73 </w:t>
      </w:r>
      <w:r w:rsidR="001B3430">
        <w:rPr>
          <w:rFonts w:ascii="Arial" w:eastAsia="DengXian" w:hAnsi="Arial" w:cs="Arial"/>
          <w:sz w:val="22"/>
          <w:szCs w:val="22"/>
        </w:rPr>
        <w:t>include</w:t>
      </w:r>
      <w:r w:rsidR="00D529A2">
        <w:rPr>
          <w:rFonts w:ascii="Arial" w:eastAsia="DengXian" w:hAnsi="Arial" w:cs="Arial"/>
          <w:sz w:val="22"/>
          <w:szCs w:val="22"/>
        </w:rPr>
        <w:t xml:space="preserve"> </w:t>
      </w:r>
      <w:r w:rsidR="00F373FE">
        <w:rPr>
          <w:rFonts w:ascii="Arial" w:eastAsia="DengXian" w:hAnsi="Arial" w:cs="Arial"/>
          <w:sz w:val="22"/>
          <w:szCs w:val="22"/>
        </w:rPr>
        <w:t xml:space="preserve">risk-informed alternatives </w:t>
      </w:r>
      <w:r w:rsidR="008F3DB7">
        <w:rPr>
          <w:rFonts w:ascii="Arial" w:eastAsia="DengXian" w:hAnsi="Arial" w:cs="Arial"/>
          <w:sz w:val="22"/>
          <w:szCs w:val="22"/>
        </w:rPr>
        <w:t xml:space="preserve">that can consider potential offsite consequences </w:t>
      </w:r>
      <w:r w:rsidR="00CC4B06">
        <w:rPr>
          <w:rFonts w:ascii="Arial" w:eastAsia="DengXian" w:hAnsi="Arial" w:cs="Arial"/>
          <w:sz w:val="22"/>
          <w:szCs w:val="22"/>
        </w:rPr>
        <w:t>resulting from a variety of events and hazards</w:t>
      </w:r>
      <w:r w:rsidR="00C75EA9">
        <w:rPr>
          <w:rFonts w:ascii="Arial" w:eastAsia="DengXian" w:hAnsi="Arial" w:cs="Arial"/>
          <w:sz w:val="22"/>
          <w:szCs w:val="22"/>
        </w:rPr>
        <w:t xml:space="preserve"> for </w:t>
      </w:r>
      <w:r w:rsidR="00481C3B">
        <w:rPr>
          <w:rFonts w:ascii="Arial" w:eastAsia="DengXian" w:hAnsi="Arial" w:cs="Arial"/>
          <w:sz w:val="22"/>
          <w:szCs w:val="22"/>
        </w:rPr>
        <w:t xml:space="preserve">specific sites </w:t>
      </w:r>
      <w:r w:rsidR="00B92E9D">
        <w:rPr>
          <w:rFonts w:ascii="Arial" w:eastAsia="DengXian" w:hAnsi="Arial" w:cs="Arial"/>
          <w:sz w:val="22"/>
          <w:szCs w:val="22"/>
        </w:rPr>
        <w:t xml:space="preserve">and thereby </w:t>
      </w:r>
      <w:r w:rsidR="00BC72E2">
        <w:rPr>
          <w:rFonts w:ascii="Arial" w:eastAsia="DengXian" w:hAnsi="Arial" w:cs="Arial"/>
          <w:sz w:val="22"/>
          <w:szCs w:val="22"/>
        </w:rPr>
        <w:t xml:space="preserve">provides a more integrated </w:t>
      </w:r>
      <w:r w:rsidR="009E1F36">
        <w:rPr>
          <w:rFonts w:ascii="Arial" w:eastAsia="DengXian" w:hAnsi="Arial" w:cs="Arial"/>
          <w:sz w:val="22"/>
          <w:szCs w:val="22"/>
        </w:rPr>
        <w:t>regulatory framework.</w:t>
      </w:r>
    </w:p>
    <w:p w:rsidR="00E752C0" w:rsidP="00224223" w14:paraId="34BCB04A" w14:textId="77777777">
      <w:pPr>
        <w:spacing w:after="220"/>
        <w:rPr>
          <w:rFonts w:ascii="Arial" w:eastAsia="DengXian" w:hAnsi="Arial" w:cs="Arial"/>
          <w:sz w:val="22"/>
          <w:szCs w:val="22"/>
        </w:rPr>
      </w:pPr>
      <w:r w:rsidRPr="00224223">
        <w:rPr>
          <w:rFonts w:ascii="Arial" w:eastAsia="DengXian" w:hAnsi="Arial" w:cs="Arial"/>
          <w:sz w:val="22"/>
          <w:szCs w:val="22"/>
        </w:rPr>
        <w:t xml:space="preserve">However, the NRC </w:t>
      </w:r>
      <w:r w:rsidR="00137EEA">
        <w:rPr>
          <w:rFonts w:ascii="Arial" w:eastAsia="DengXian" w:hAnsi="Arial" w:cs="Arial"/>
          <w:sz w:val="22"/>
          <w:szCs w:val="22"/>
        </w:rPr>
        <w:t>has</w:t>
      </w:r>
      <w:r w:rsidRPr="00224223">
        <w:rPr>
          <w:rFonts w:ascii="Arial" w:eastAsia="DengXian" w:hAnsi="Arial" w:cs="Arial"/>
          <w:sz w:val="22"/>
          <w:szCs w:val="22"/>
        </w:rPr>
        <w:t xml:space="preserve"> change</w:t>
      </w:r>
      <w:r w:rsidR="00137EEA">
        <w:rPr>
          <w:rFonts w:ascii="Arial" w:eastAsia="DengXian" w:hAnsi="Arial" w:cs="Arial"/>
          <w:sz w:val="22"/>
          <w:szCs w:val="22"/>
        </w:rPr>
        <w:t>d</w:t>
      </w:r>
      <w:r w:rsidRPr="00224223">
        <w:rPr>
          <w:rFonts w:ascii="Arial" w:eastAsia="DengXian" w:hAnsi="Arial" w:cs="Arial"/>
          <w:sz w:val="22"/>
          <w:szCs w:val="22"/>
        </w:rPr>
        <w:t xml:space="preserve"> some of the siting requirements in 10 CFR 53.530 in response to comments on that section of the rule. See the </w:t>
      </w:r>
      <w:r>
        <w:rPr>
          <w:rFonts w:ascii="Arial" w:eastAsia="DengXian" w:hAnsi="Arial" w:cs="Arial"/>
          <w:sz w:val="22"/>
          <w:szCs w:val="22"/>
        </w:rPr>
        <w:t xml:space="preserve">NRC’s </w:t>
      </w:r>
      <w:r w:rsidRPr="00224223">
        <w:rPr>
          <w:rFonts w:ascii="Arial" w:eastAsia="DengXian" w:hAnsi="Arial" w:cs="Arial"/>
          <w:sz w:val="22"/>
          <w:szCs w:val="22"/>
        </w:rPr>
        <w:t>response to Comment Bin 3.4.2.A.</w:t>
      </w:r>
    </w:p>
    <w:p w:rsidR="00A65E09" w:rsidRPr="00224223" w:rsidP="00224223" w14:paraId="45C3C5AC" w14:textId="77777777">
      <w:pPr>
        <w:spacing w:after="220"/>
        <w:rPr>
          <w:rFonts w:ascii="Arial" w:eastAsia="Times New Roman" w:hAnsi="Arial" w:cs="Arial"/>
          <w:color w:val="000000"/>
          <w:sz w:val="22"/>
          <w:szCs w:val="22"/>
          <w:lang w:eastAsia="zh-CN"/>
        </w:rPr>
      </w:pPr>
      <w:r w:rsidRPr="005F3399">
        <w:rPr>
          <w:rFonts w:ascii="Arial" w:eastAsia="DengXian" w:hAnsi="Arial" w:cs="Arial"/>
          <w:sz w:val="22"/>
          <w:szCs w:val="22"/>
        </w:rPr>
        <w:t>Accordingly, the NRC did not change the rule language in response to these comments.</w:t>
      </w:r>
      <w:r>
        <w:rPr>
          <w:rFonts w:ascii="Arial" w:eastAsia="DengXian" w:hAnsi="Arial" w:cs="Arial"/>
          <w:sz w:val="22"/>
          <w:szCs w:val="22"/>
        </w:rPr>
        <w:t xml:space="preserve"> </w:t>
      </w:r>
    </w:p>
    <w:p w:rsidR="00AC1417" w:rsidRPr="00224223" w:rsidP="00224223" w14:paraId="02833992"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33" style="width:0;height:1.5pt" o:hralign="center" o:hrstd="t" o:hrnoshade="t" o:hr="t" fillcolor="black" stroked="f"/>
        </w:pict>
      </w:r>
    </w:p>
    <w:p w:rsidR="00ED20DB" w:rsidRPr="00224223" w:rsidP="00224223" w14:paraId="7F444098" w14:textId="77777777">
      <w:pPr>
        <w:spacing w:after="220"/>
        <w:rPr>
          <w:rFonts w:ascii="Arial" w:eastAsia="DengXian" w:hAnsi="Arial" w:cs="Arial"/>
          <w:sz w:val="22"/>
          <w:szCs w:val="22"/>
        </w:rPr>
      </w:pPr>
      <w:r w:rsidRPr="00224223">
        <w:rPr>
          <w:rFonts w:ascii="Arial" w:eastAsia="DengXian" w:hAnsi="Arial" w:cs="Arial"/>
          <w:b/>
          <w:sz w:val="22"/>
          <w:szCs w:val="22"/>
        </w:rPr>
        <w:t>Comment Bin 3.4.2.C:</w:t>
      </w:r>
      <w:r w:rsidRPr="00224223">
        <w:rPr>
          <w:rFonts w:ascii="Arial" w:eastAsia="DengXian" w:hAnsi="Arial" w:cs="Arial"/>
          <w:sz w:val="22"/>
          <w:szCs w:val="22"/>
        </w:rPr>
        <w:t xml:space="preserve"> A commenter that supported increased licensing of microreactors suggested revising the rule as follows (</w:t>
      </w:r>
      <w:r w:rsidR="004C1A5D">
        <w:rPr>
          <w:rFonts w:ascii="Arial" w:eastAsia="DengXian" w:hAnsi="Arial" w:cs="Arial"/>
          <w:sz w:val="22"/>
          <w:szCs w:val="22"/>
        </w:rPr>
        <w:t>BI1</w:t>
      </w:r>
      <w:r w:rsidRPr="00224223">
        <w:rPr>
          <w:rFonts w:ascii="Arial" w:eastAsia="DengXian" w:hAnsi="Arial" w:cs="Arial"/>
          <w:sz w:val="22"/>
          <w:szCs w:val="22"/>
        </w:rPr>
        <w:t>-0018</w:t>
      </w:r>
      <w:r w:rsidR="00E005BC">
        <w:rPr>
          <w:rFonts w:ascii="Arial" w:eastAsia="DengXian" w:hAnsi="Arial" w:cs="Arial"/>
          <w:sz w:val="22"/>
          <w:szCs w:val="22"/>
        </w:rPr>
        <w:t>,</w:t>
      </w:r>
      <w:r w:rsidRPr="00224223">
        <w:rPr>
          <w:rFonts w:ascii="Arial" w:eastAsia="DengXian" w:hAnsi="Arial" w:cs="Arial"/>
          <w:sz w:val="22"/>
          <w:szCs w:val="22"/>
        </w:rPr>
        <w:t xml:space="preserve"> </w:t>
      </w:r>
      <w:r w:rsidR="004C1A5D">
        <w:rPr>
          <w:rFonts w:ascii="Arial" w:eastAsia="DengXian" w:hAnsi="Arial" w:cs="Arial"/>
          <w:sz w:val="22"/>
          <w:szCs w:val="22"/>
        </w:rPr>
        <w:t>BI1</w:t>
      </w:r>
      <w:r w:rsidRPr="00224223">
        <w:rPr>
          <w:rFonts w:ascii="Arial" w:eastAsia="DengXian" w:hAnsi="Arial" w:cs="Arial"/>
          <w:sz w:val="22"/>
          <w:szCs w:val="22"/>
        </w:rPr>
        <w:t>-0019):</w:t>
      </w:r>
    </w:p>
    <w:p w:rsidR="00ED20DB" w:rsidRPr="00224223" w:rsidP="00224223" w14:paraId="786F0E04"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 xml:space="preserve">For consistency with the approach in 10 CFR Part 50 and </w:t>
      </w:r>
      <w:r w:rsidR="00A01E7C">
        <w:rPr>
          <w:rFonts w:ascii="Arial" w:eastAsia="DengXian" w:hAnsi="Arial" w:cs="Arial"/>
          <w:sz w:val="22"/>
          <w:szCs w:val="22"/>
        </w:rPr>
        <w:t xml:space="preserve">10 CFR Part </w:t>
      </w:r>
      <w:r w:rsidRPr="00224223">
        <w:rPr>
          <w:rFonts w:ascii="Arial" w:eastAsia="DengXian" w:hAnsi="Arial" w:cs="Arial"/>
          <w:sz w:val="22"/>
          <w:szCs w:val="22"/>
        </w:rPr>
        <w:t>52, relocate from 10</w:t>
      </w:r>
      <w:r w:rsidRPr="00224223" w:rsidR="00B4202F">
        <w:rPr>
          <w:rFonts w:ascii="Arial" w:eastAsia="DengXian" w:hAnsi="Arial" w:cs="Arial"/>
          <w:sz w:val="22"/>
          <w:szCs w:val="22"/>
        </w:rPr>
        <w:t> </w:t>
      </w:r>
      <w:r w:rsidRPr="00224223">
        <w:rPr>
          <w:rFonts w:ascii="Arial" w:eastAsia="DengXian" w:hAnsi="Arial" w:cs="Arial"/>
          <w:sz w:val="22"/>
          <w:szCs w:val="22"/>
        </w:rPr>
        <w:t>CFR 53.530(c) to guidance the statement that reactor sites should be located away from very densely populated centers.</w:t>
      </w:r>
    </w:p>
    <w:p w:rsidR="00ED20DB" w:rsidRPr="00224223" w:rsidP="00224223" w14:paraId="57799787"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Include a categorical exemption from 10 CFR 53.530 for existing sites defined as “covered sites” in the ADVANCE Act, including microreactors, coal to nuclear transitions, production facilities, utilizations facilities, and brownfield sites.</w:t>
      </w:r>
    </w:p>
    <w:p w:rsidR="00ED20DB" w:rsidRPr="00224223" w:rsidP="00224223" w14:paraId="6EB6FB6B"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Change the definition of population center distance from the deterministic threshold of 25,000 residents to a risk-informed, performance-based metric.</w:t>
      </w:r>
    </w:p>
    <w:p w:rsidR="00ED20DB" w:rsidRPr="00224223" w:rsidP="00224223" w14:paraId="7CD82EDB"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To the extent possible, use available information and data, such as site-specific geologic, seismic, weather, and other environmental data.</w:t>
      </w:r>
    </w:p>
    <w:p w:rsidR="00ED20DB" w:rsidRPr="00224223" w:rsidP="00224223" w14:paraId="0C8A727C"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Potential impacts to the environment from a new facility should consider improvements that may occur compared to the as-found condition of the site.</w:t>
      </w:r>
    </w:p>
    <w:p w:rsidR="00ED20DB" w:rsidRPr="00224223" w:rsidP="00224223" w14:paraId="3656BA51"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Permit the use of plant parameter envelopes and site parameter envelopes on a portion of a larger site without the need to segment the site parcel.</w:t>
      </w:r>
    </w:p>
    <w:p w:rsidR="00ED20DB" w:rsidRPr="00224223" w:rsidP="00224223" w14:paraId="383682E7" w14:textId="77777777">
      <w:pPr>
        <w:numPr>
          <w:ilvl w:val="0"/>
          <w:numId w:val="9"/>
        </w:numPr>
        <w:spacing w:after="220"/>
        <w:rPr>
          <w:rFonts w:ascii="Arial" w:eastAsia="DengXian" w:hAnsi="Arial" w:cs="Arial"/>
          <w:sz w:val="22"/>
          <w:szCs w:val="22"/>
        </w:rPr>
      </w:pPr>
      <w:r w:rsidRPr="00224223">
        <w:rPr>
          <w:rFonts w:ascii="Arial" w:eastAsia="DengXian" w:hAnsi="Arial" w:cs="Arial"/>
          <w:sz w:val="22"/>
          <w:szCs w:val="22"/>
        </w:rPr>
        <w:t>Allow the use of ESPs, with or without site parameter envelopes, to finalize site approval without the need to re-evaluate the site when evaluating a CP, OL, or COL, with the ESP remaining valid unless and until significant changes in the site are identified.</w:t>
      </w:r>
    </w:p>
    <w:p w:rsidR="00ED20DB" w:rsidRPr="00224223" w:rsidP="00224223" w14:paraId="1E48AAB7" w14:textId="77777777">
      <w:pPr>
        <w:spacing w:after="220"/>
        <w:rPr>
          <w:rFonts w:ascii="Arial" w:eastAsia="DengXian" w:hAnsi="Arial" w:cs="Arial"/>
          <w:sz w:val="22"/>
          <w:szCs w:val="22"/>
        </w:rPr>
      </w:pPr>
      <w:r w:rsidRPr="00224223">
        <w:rPr>
          <w:rFonts w:ascii="Arial" w:eastAsia="DengXian" w:hAnsi="Arial" w:cs="Arial"/>
          <w:sz w:val="22"/>
          <w:szCs w:val="22"/>
        </w:rPr>
        <w:t>Stating that the regulations should be applicable to all reactor types and deployment models that could be deployed under 10 CFR Part 53, including microreactors, a commenter asked the NRC to consider whether the inclusion of population-related siting criteria could unnecessarily restrict deployment opportunities for microreactors that meet the dose requirements, which they said have the potential to be a highly reliable power source for facilities located in large population density areas. The commenter described the siting criteria as prescriptive, exclusionary, and inconsistent with the performance-based objectives of the proposed rulemaking and concluded that their removal would address the ADVANCE Act’s directive for consideration of deployment models (</w:t>
      </w:r>
      <w:r w:rsidR="00333B47">
        <w:rPr>
          <w:rFonts w:ascii="Arial" w:eastAsia="DengXian" w:hAnsi="Arial" w:cs="Arial"/>
          <w:sz w:val="22"/>
          <w:szCs w:val="22"/>
        </w:rPr>
        <w:t>WEST1</w:t>
      </w:r>
      <w:r w:rsidRPr="00224223">
        <w:rPr>
          <w:rFonts w:ascii="Arial" w:eastAsia="DengXian" w:hAnsi="Arial" w:cs="Arial"/>
          <w:sz w:val="22"/>
          <w:szCs w:val="22"/>
        </w:rPr>
        <w:t>-0010).</w:t>
      </w:r>
    </w:p>
    <w:p w:rsidR="00ED20DB" w:rsidP="00224223" w14:paraId="64C9FD4E" w14:textId="77777777">
      <w:pPr>
        <w:spacing w:after="220"/>
        <w:rPr>
          <w:rFonts w:ascii="Arial" w:eastAsia="DengXian" w:hAnsi="Arial" w:cs="Arial"/>
          <w:sz w:val="22"/>
          <w:szCs w:val="22"/>
        </w:rPr>
      </w:pPr>
      <w:r w:rsidRPr="00224223">
        <w:rPr>
          <w:rFonts w:ascii="Arial" w:eastAsia="DengXian" w:hAnsi="Arial" w:cs="Arial"/>
          <w:sz w:val="22"/>
          <w:szCs w:val="22"/>
        </w:rPr>
        <w:t>Another commenter suggested adopting siting criteria that consider envelopes of approved site characteristics for a specific design, including approaches for seismic envelopes. To allow siting closer to or in population centers, and/or co-located with or near industrial facilities, the commenter suggested removing the phrase “containing more than about 25,000 residents” from the definition of population center distance. Cautioning that an incremental approach misses the opportunity to achieve transformational changes that result in a more efficient regulatory framework to protect the public health and safety, the commenter urged the NRC to move away from an approach to siting grounded in the 1960s/1970s and instead build 10 CFR Part 53 upon a more modern, realistic, and flexible regulatory framework (</w:t>
      </w:r>
      <w:r w:rsidR="00AE0B17">
        <w:rPr>
          <w:rFonts w:ascii="Arial" w:eastAsia="DengXian" w:hAnsi="Arial" w:cs="Arial"/>
          <w:sz w:val="22"/>
          <w:szCs w:val="22"/>
        </w:rPr>
        <w:t>USNIC2</w:t>
      </w:r>
      <w:r w:rsidRPr="00224223">
        <w:rPr>
          <w:rFonts w:ascii="Arial" w:eastAsia="DengXian" w:hAnsi="Arial" w:cs="Arial"/>
          <w:sz w:val="22"/>
          <w:szCs w:val="22"/>
        </w:rPr>
        <w:t>-0012).</w:t>
      </w:r>
    </w:p>
    <w:p w:rsidR="00AF5745" w:rsidRPr="00224223" w:rsidP="00224223" w14:paraId="34077679" w14:textId="77777777">
      <w:pPr>
        <w:spacing w:after="220"/>
        <w:rPr>
          <w:rFonts w:ascii="Arial" w:eastAsia="Times New Roman" w:hAnsi="Arial" w:cs="Arial"/>
          <w:color w:val="000000"/>
          <w:sz w:val="22"/>
          <w:szCs w:val="22"/>
          <w:lang w:eastAsia="zh-CN"/>
        </w:rPr>
      </w:pPr>
      <w:r w:rsidRPr="00B50320">
        <w:rPr>
          <w:rFonts w:ascii="Arial" w:eastAsia="Times New Roman" w:hAnsi="Arial" w:cs="Arial"/>
          <w:sz w:val="22"/>
          <w:szCs w:val="22"/>
          <w:lang w:eastAsia="zh-CN"/>
        </w:rPr>
        <w:t>A</w:t>
      </w:r>
      <w:r>
        <w:rPr>
          <w:rFonts w:ascii="Arial" w:eastAsia="Times New Roman" w:hAnsi="Arial" w:cs="Arial"/>
          <w:sz w:val="22"/>
          <w:szCs w:val="22"/>
          <w:lang w:eastAsia="zh-CN"/>
        </w:rPr>
        <w:t xml:space="preserve">nother </w:t>
      </w:r>
      <w:r w:rsidRPr="00B50320">
        <w:rPr>
          <w:rFonts w:ascii="Arial" w:eastAsia="Times New Roman" w:hAnsi="Arial" w:cs="Arial"/>
          <w:sz w:val="22"/>
          <w:szCs w:val="22"/>
          <w:lang w:eastAsia="zh-CN"/>
        </w:rPr>
        <w:t>commenter objected to the definition of population center distance because: (1) it is not technology-inclusive and is overly descriptive, limiting the flexibility needed to accommodate a diverse range of reactor technologies; (2) a one</w:t>
      </w:r>
      <w:r w:rsidRPr="00B50320">
        <w:rPr>
          <w:rFonts w:ascii="Arial" w:eastAsia="Times New Roman" w:hAnsi="Arial" w:cs="Arial"/>
          <w:sz w:val="22"/>
          <w:szCs w:val="22"/>
          <w:lang w:eastAsia="zh-CN"/>
        </w:rPr>
        <w:noBreakHyphen/>
        <w:t xml:space="preserve">size-fits-all approach does not account for the specific circumstances and characteristics of advanced reactors; and (3) the assumption that population growth is inherently problematic overlooks natural, expected trends of demographic shifts (e.g., population growth near existing plants due to workforce commute). The commenter argued that 10 CFR 53.530(a)(1) and (2) represent deterministic risk objectives that fail to </w:t>
      </w:r>
      <w:r w:rsidRPr="00B50320">
        <w:rPr>
          <w:rFonts w:ascii="Arial" w:eastAsia="Times New Roman" w:hAnsi="Arial" w:cs="Arial"/>
          <w:sz w:val="22"/>
          <w:szCs w:val="22"/>
          <w:lang w:eastAsia="zh-CN"/>
        </w:rPr>
        <w:t>account for broader, population-related considerations and do not integrate defense-in-depth (e.g., by not allowing for protective actions that are a critical part of emergency preparedness requirements). The commenter described the narrow focus of these requirements as inconsistent with a holistic, integrated approach to licensing, which should encompass the full spectrum of safety measures, including preparedness and protective actions, rather than focusing solely on fixed, prescriptive risk thresholds. Thus, the commenter suggested revising the rule to align with a more flexible, inclusive framework that accounts for the unique safety features of advanced reactors and integrates the full range of protective measures (</w:t>
      </w:r>
      <w:r w:rsidR="004C1A5D">
        <w:rPr>
          <w:rFonts w:ascii="Arial" w:eastAsia="Times New Roman" w:hAnsi="Arial" w:cs="Arial"/>
          <w:sz w:val="22"/>
          <w:szCs w:val="22"/>
          <w:lang w:eastAsia="zh-CN"/>
        </w:rPr>
        <w:t>BI1</w:t>
      </w:r>
      <w:r w:rsidRPr="00B50320">
        <w:rPr>
          <w:rFonts w:ascii="Arial" w:eastAsia="Times New Roman" w:hAnsi="Arial" w:cs="Arial"/>
          <w:sz w:val="22"/>
          <w:szCs w:val="22"/>
          <w:lang w:eastAsia="zh-CN"/>
        </w:rPr>
        <w:t>-0028).</w:t>
      </w:r>
    </w:p>
    <w:p w:rsidR="00ED20DB" w:rsidRPr="00224223" w:rsidP="00224223" w14:paraId="1D58D155" w14:textId="77777777">
      <w:pPr>
        <w:spacing w:after="220"/>
        <w:rPr>
          <w:rFonts w:ascii="Arial" w:eastAsia="DengXian" w:hAnsi="Arial" w:cs="Arial"/>
          <w:sz w:val="22"/>
          <w:szCs w:val="22"/>
        </w:rPr>
      </w:pPr>
      <w:r w:rsidRPr="00224223">
        <w:rPr>
          <w:rFonts w:ascii="Arial" w:eastAsia="DengXian" w:hAnsi="Arial" w:cs="Arial"/>
          <w:b/>
          <w:sz w:val="22"/>
          <w:szCs w:val="22"/>
        </w:rPr>
        <w:t>NRC Response:</w:t>
      </w:r>
      <w:r w:rsidRPr="00224223">
        <w:rPr>
          <w:rFonts w:ascii="Arial" w:eastAsia="DengXian" w:hAnsi="Arial" w:cs="Arial"/>
          <w:sz w:val="22"/>
          <w:szCs w:val="22"/>
        </w:rPr>
        <w:t xml:space="preserve"> The NRC agrees</w:t>
      </w:r>
      <w:r w:rsidRPr="00224223" w:rsidR="00B45406">
        <w:rPr>
          <w:rFonts w:ascii="Arial" w:eastAsia="DengXian" w:hAnsi="Arial" w:cs="Arial"/>
          <w:sz w:val="22"/>
          <w:szCs w:val="22"/>
        </w:rPr>
        <w:t>,</w:t>
      </w:r>
      <w:r w:rsidRPr="00224223">
        <w:rPr>
          <w:rFonts w:ascii="Arial" w:eastAsia="DengXian" w:hAnsi="Arial" w:cs="Arial"/>
          <w:sz w:val="22"/>
          <w:szCs w:val="22"/>
        </w:rPr>
        <w:t xml:space="preserve"> in part</w:t>
      </w:r>
      <w:r w:rsidRPr="00224223" w:rsidR="00B45406">
        <w:rPr>
          <w:rFonts w:ascii="Arial" w:eastAsia="DengXian" w:hAnsi="Arial" w:cs="Arial"/>
          <w:sz w:val="22"/>
          <w:szCs w:val="22"/>
        </w:rPr>
        <w:t>,</w:t>
      </w:r>
      <w:r w:rsidRPr="00224223">
        <w:rPr>
          <w:rFonts w:ascii="Arial" w:eastAsia="DengXian" w:hAnsi="Arial" w:cs="Arial"/>
          <w:sz w:val="22"/>
          <w:szCs w:val="22"/>
        </w:rPr>
        <w:t xml:space="preserve"> with the comments.</w:t>
      </w:r>
    </w:p>
    <w:p w:rsidR="00ED20DB" w:rsidRPr="00224223" w:rsidP="00224223" w14:paraId="73636764" w14:textId="77777777">
      <w:pPr>
        <w:spacing w:after="220"/>
        <w:rPr>
          <w:rFonts w:ascii="Arial" w:eastAsia="DengXian" w:hAnsi="Arial" w:cs="Arial"/>
          <w:sz w:val="22"/>
          <w:szCs w:val="22"/>
        </w:rPr>
      </w:pPr>
      <w:r w:rsidRPr="00224223">
        <w:rPr>
          <w:rFonts w:ascii="Arial" w:eastAsia="DengXian" w:hAnsi="Arial" w:cs="Arial"/>
          <w:sz w:val="22"/>
          <w:szCs w:val="22"/>
        </w:rPr>
        <w:t xml:space="preserve">10 CFR Part 50 and </w:t>
      </w:r>
      <w:r w:rsidR="004D20A2">
        <w:rPr>
          <w:rFonts w:ascii="Arial" w:eastAsia="DengXian" w:hAnsi="Arial" w:cs="Arial"/>
          <w:sz w:val="22"/>
          <w:szCs w:val="22"/>
        </w:rPr>
        <w:t xml:space="preserve">10 CFR Part </w:t>
      </w:r>
      <w:r w:rsidRPr="00224223">
        <w:rPr>
          <w:rFonts w:ascii="Arial" w:eastAsia="DengXian" w:hAnsi="Arial" w:cs="Arial"/>
          <w:sz w:val="22"/>
          <w:szCs w:val="22"/>
        </w:rPr>
        <w:t xml:space="preserve">52 require compliance with 10 CFR Part 100, which includes a requirement under 10 CFR 100.21(h) that a reactor site be located away from very densely populated centers. </w:t>
      </w:r>
    </w:p>
    <w:p w:rsidR="00ED20DB" w:rsidRPr="00224223" w:rsidP="00224223" w14:paraId="47826C67" w14:textId="77777777">
      <w:pPr>
        <w:spacing w:after="220"/>
        <w:rPr>
          <w:rFonts w:ascii="Arial" w:eastAsia="DengXian" w:hAnsi="Arial" w:cs="Arial"/>
          <w:sz w:val="22"/>
          <w:szCs w:val="22"/>
        </w:rPr>
      </w:pPr>
      <w:r w:rsidRPr="00224223">
        <w:rPr>
          <w:rFonts w:ascii="Arial" w:eastAsia="DengXian" w:hAnsi="Arial" w:cs="Arial"/>
          <w:sz w:val="22"/>
          <w:szCs w:val="22"/>
        </w:rPr>
        <w:t>The NRC disagrees with changing the definition of the population center distance in 10</w:t>
      </w:r>
      <w:r w:rsidRPr="00224223" w:rsidR="00B45406">
        <w:rPr>
          <w:rFonts w:ascii="Arial" w:eastAsia="DengXian" w:hAnsi="Arial" w:cs="Arial"/>
          <w:sz w:val="22"/>
          <w:szCs w:val="22"/>
        </w:rPr>
        <w:t> </w:t>
      </w:r>
      <w:r w:rsidRPr="00224223">
        <w:rPr>
          <w:rFonts w:ascii="Arial" w:eastAsia="DengXian" w:hAnsi="Arial" w:cs="Arial"/>
          <w:sz w:val="22"/>
          <w:szCs w:val="22"/>
        </w:rPr>
        <w:t>CFR</w:t>
      </w:r>
      <w:r w:rsidR="003E5BB0">
        <w:rPr>
          <w:rFonts w:ascii="Arial" w:eastAsia="DengXian" w:hAnsi="Arial" w:cs="Arial"/>
          <w:sz w:val="22"/>
          <w:szCs w:val="22"/>
        </w:rPr>
        <w:t> </w:t>
      </w:r>
      <w:r w:rsidRPr="00224223">
        <w:rPr>
          <w:rFonts w:ascii="Arial" w:eastAsia="DengXian" w:hAnsi="Arial" w:cs="Arial"/>
          <w:sz w:val="22"/>
          <w:szCs w:val="22"/>
        </w:rPr>
        <w:t>53.020, which is based on past legal and policy precedents. However, while the related requirement under 10 CFR 53.530(c) establishes a preference for siting reactors in areas of low-population density, the NRC acknowledges that some proposed reactor designs may be able to justify different siting scenarios based on appropriate analyses of factors that impact public health and safety.</w:t>
      </w:r>
    </w:p>
    <w:p w:rsidR="00DB16E9" w:rsidRPr="00ED20DB" w:rsidP="00224223" w14:paraId="718575AB" w14:textId="77777777">
      <w:pPr>
        <w:spacing w:after="220"/>
        <w:rPr>
          <w:rFonts w:ascii="Arial" w:eastAsia="Times New Roman" w:hAnsi="Arial" w:cs="Arial"/>
          <w:color w:val="000000"/>
          <w:lang w:eastAsia="zh-CN"/>
        </w:rPr>
      </w:pPr>
      <w:r w:rsidRPr="00224223">
        <w:rPr>
          <w:rFonts w:ascii="Arial" w:eastAsia="DengXian" w:hAnsi="Arial" w:cs="Arial"/>
          <w:sz w:val="22"/>
          <w:szCs w:val="22"/>
        </w:rPr>
        <w:t xml:space="preserve">Accordingly, the NRC </w:t>
      </w:r>
      <w:r w:rsidR="00850A2D">
        <w:rPr>
          <w:rFonts w:ascii="Arial" w:hAnsi="Arial" w:cs="Arial"/>
          <w:sz w:val="22"/>
          <w:szCs w:val="22"/>
        </w:rPr>
        <w:t>has revised</w:t>
      </w:r>
      <w:r w:rsidR="00850A2D">
        <w:rPr>
          <w:rFonts w:ascii="Arial" w:eastAsia="DengXian" w:hAnsi="Arial" w:cs="Arial"/>
          <w:sz w:val="22"/>
          <w:szCs w:val="22"/>
        </w:rPr>
        <w:t xml:space="preserve"> </w:t>
      </w:r>
      <w:r w:rsidRPr="00224223">
        <w:rPr>
          <w:rFonts w:ascii="Arial" w:eastAsia="DengXian" w:hAnsi="Arial" w:cs="Arial"/>
          <w:sz w:val="22"/>
          <w:szCs w:val="22"/>
        </w:rPr>
        <w:t>the rule language in response to th</w:t>
      </w:r>
      <w:r w:rsidRPr="00224223" w:rsidR="001B5A15">
        <w:rPr>
          <w:rFonts w:ascii="Arial" w:eastAsia="DengXian" w:hAnsi="Arial" w:cs="Arial"/>
          <w:sz w:val="22"/>
          <w:szCs w:val="22"/>
        </w:rPr>
        <w:t>ese</w:t>
      </w:r>
      <w:r w:rsidRPr="00224223">
        <w:rPr>
          <w:rFonts w:ascii="Arial" w:eastAsia="DengXian" w:hAnsi="Arial" w:cs="Arial"/>
          <w:sz w:val="22"/>
          <w:szCs w:val="22"/>
        </w:rPr>
        <w:t xml:space="preserve"> comment</w:t>
      </w:r>
      <w:r w:rsidRPr="00224223" w:rsidR="001B5A15">
        <w:rPr>
          <w:rFonts w:ascii="Arial" w:eastAsia="DengXian" w:hAnsi="Arial" w:cs="Arial"/>
          <w:sz w:val="22"/>
          <w:szCs w:val="22"/>
        </w:rPr>
        <w:t>s</w:t>
      </w:r>
      <w:r w:rsidRPr="00224223">
        <w:rPr>
          <w:rFonts w:ascii="Arial" w:eastAsia="DengXian" w:hAnsi="Arial" w:cs="Arial"/>
          <w:sz w:val="22"/>
          <w:szCs w:val="22"/>
        </w:rPr>
        <w:t xml:space="preserve"> and </w:t>
      </w:r>
      <w:r w:rsidRPr="00224223" w:rsidR="003F6306">
        <w:rPr>
          <w:rFonts w:ascii="Arial" w:eastAsia="DengXian" w:hAnsi="Arial" w:cs="Arial"/>
          <w:sz w:val="22"/>
          <w:szCs w:val="22"/>
        </w:rPr>
        <w:t>Comment Bin 3.4.2.A</w:t>
      </w:r>
      <w:r w:rsidRPr="00224223">
        <w:rPr>
          <w:rFonts w:ascii="Arial" w:eastAsia="DengXian" w:hAnsi="Arial" w:cs="Arial"/>
          <w:sz w:val="22"/>
          <w:szCs w:val="22"/>
        </w:rPr>
        <w:t xml:space="preserve">. Specifically, the NRC </w:t>
      </w:r>
      <w:r w:rsidR="00850A2D">
        <w:rPr>
          <w:rFonts w:ascii="Arial" w:hAnsi="Arial" w:cs="Arial"/>
          <w:sz w:val="22"/>
          <w:szCs w:val="22"/>
        </w:rPr>
        <w:t>has revised</w:t>
      </w:r>
      <w:r w:rsidR="00850A2D">
        <w:rPr>
          <w:rFonts w:ascii="Arial" w:eastAsia="DengXian" w:hAnsi="Arial" w:cs="Arial"/>
          <w:sz w:val="22"/>
          <w:szCs w:val="22"/>
        </w:rPr>
        <w:t xml:space="preserve"> </w:t>
      </w:r>
      <w:r w:rsidRPr="00224223">
        <w:rPr>
          <w:rFonts w:ascii="Arial" w:eastAsia="DengXian" w:hAnsi="Arial" w:cs="Arial"/>
          <w:sz w:val="22"/>
          <w:szCs w:val="22"/>
        </w:rPr>
        <w:t>10</w:t>
      </w:r>
      <w:r w:rsidRPr="00224223" w:rsidR="001B5A15">
        <w:rPr>
          <w:rFonts w:ascii="Arial" w:eastAsia="DengXian" w:hAnsi="Arial" w:cs="Arial"/>
          <w:sz w:val="22"/>
          <w:szCs w:val="22"/>
        </w:rPr>
        <w:t> </w:t>
      </w:r>
      <w:r w:rsidRPr="00224223">
        <w:rPr>
          <w:rFonts w:ascii="Arial" w:eastAsia="DengXian" w:hAnsi="Arial" w:cs="Arial"/>
          <w:sz w:val="22"/>
          <w:szCs w:val="22"/>
        </w:rPr>
        <w:t>CFR 53.530(c) to allow alternatives to siting a reactor away from very densely populated centers as supported by an acceptable technical basis.</w:t>
      </w:r>
      <w:r>
        <w:rPr>
          <w:rFonts w:ascii="Arial" w:eastAsia="Times New Roman" w:hAnsi="Arial" w:cs="Arial"/>
          <w:sz w:val="22"/>
          <w:szCs w:val="22"/>
          <w:lang w:eastAsia="zh-CN"/>
        </w:rPr>
        <w:pict>
          <v:rect id="_x0000_i1134" style="width:0;height:1.5pt" o:hralign="center" o:hrstd="t" o:hrnoshade="t" o:hr="t" fillcolor="black" stroked="f"/>
        </w:pict>
      </w:r>
    </w:p>
    <w:p w:rsidR="00A51B57" w:rsidRPr="003E5BB0" w:rsidP="009B2200" w14:paraId="2800218D" w14:textId="77777777">
      <w:pPr>
        <w:pStyle w:val="Heading2"/>
        <w:numPr>
          <w:ilvl w:val="0"/>
          <w:numId w:val="0"/>
        </w:numPr>
        <w:ind w:left="720" w:hanging="720"/>
      </w:pPr>
      <w:bookmarkStart w:id="45" w:name="_Toc194466463"/>
      <w:bookmarkStart w:id="46" w:name="_Toc207222816"/>
      <w:r w:rsidRPr="009B2200">
        <w:rPr>
          <w:u w:val="none"/>
        </w:rPr>
        <w:t>3.5.</w:t>
      </w:r>
      <w:r w:rsidRPr="009B2200">
        <w:rPr>
          <w:u w:val="none"/>
        </w:rPr>
        <w:tab/>
      </w:r>
      <w:r w:rsidRPr="00845D1D" w:rsidR="00AC1417">
        <w:t>Subpart E: Construction and Manufacturing Requirements (§§ 53.600-53.620)</w:t>
      </w:r>
      <w:bookmarkStart w:id="47" w:name="_Toc194466464"/>
      <w:bookmarkEnd w:id="45"/>
      <w:bookmarkEnd w:id="46"/>
    </w:p>
    <w:p w:rsidR="00147763" w:rsidRPr="00191F04" w:rsidP="009B2200" w14:paraId="2813DE96" w14:textId="77777777">
      <w:pPr>
        <w:pStyle w:val="Heading3"/>
        <w:numPr>
          <w:ilvl w:val="0"/>
          <w:numId w:val="0"/>
        </w:numPr>
        <w:ind w:left="720" w:hanging="720"/>
      </w:pPr>
      <w:bookmarkStart w:id="48" w:name="_Toc207222817"/>
      <w:r w:rsidRPr="009B2200">
        <w:rPr>
          <w:u w:val="none"/>
        </w:rPr>
        <w:t>3.5.1.</w:t>
      </w:r>
      <w:r w:rsidRPr="009B2200">
        <w:rPr>
          <w:u w:val="none"/>
        </w:rPr>
        <w:tab/>
      </w:r>
      <w:r w:rsidRPr="00845D1D" w:rsidR="00AC1417">
        <w:t>Factory fuel loading requirements (§ 53.620)</w:t>
      </w:r>
      <w:bookmarkStart w:id="49" w:name="_Toc205380013"/>
      <w:bookmarkEnd w:id="47"/>
      <w:bookmarkEnd w:id="48"/>
      <w:bookmarkEnd w:id="49"/>
    </w:p>
    <w:p w:rsidR="00AC1417" w:rsidRPr="00B92619" w:rsidP="00B92619" w14:paraId="1D4EFB75" w14:textId="77777777">
      <w:pPr>
        <w:pStyle w:val="Heading4"/>
      </w:pPr>
      <w:r w:rsidRPr="00B92619">
        <w:rPr>
          <w:u w:val="none"/>
        </w:rPr>
        <w:t>3.5.1.1.</w:t>
      </w:r>
      <w:r w:rsidR="00F24F97">
        <w:rPr>
          <w:u w:val="none"/>
        </w:rPr>
        <w:tab/>
      </w:r>
      <w:r w:rsidRPr="00B92619">
        <w:t>Comments on factory fuel loading requirements not related to RFC</w:t>
      </w:r>
    </w:p>
    <w:p w:rsidR="00A1264A" w:rsidRPr="00C1227F" w:rsidP="00C1227F" w14:paraId="7A117E9C" w14:textId="77777777">
      <w:pPr>
        <w:spacing w:after="220"/>
        <w:rPr>
          <w:rFonts w:ascii="Arial" w:eastAsia="DengXian" w:hAnsi="Arial" w:cs="Arial"/>
          <w:sz w:val="22"/>
          <w:szCs w:val="22"/>
        </w:rPr>
      </w:pPr>
      <w:r w:rsidRPr="00C1227F">
        <w:rPr>
          <w:rFonts w:ascii="Arial" w:eastAsia="DengXian" w:hAnsi="Arial" w:cs="Arial"/>
          <w:b/>
          <w:sz w:val="22"/>
          <w:szCs w:val="22"/>
        </w:rPr>
        <w:t>Comment Bin 3.5.1.1.A:</w:t>
      </w:r>
      <w:r w:rsidRPr="00C1227F">
        <w:rPr>
          <w:rFonts w:ascii="Arial" w:eastAsia="DengXian" w:hAnsi="Arial" w:cs="Arial"/>
          <w:sz w:val="22"/>
          <w:szCs w:val="22"/>
        </w:rPr>
        <w:t xml:space="preserve"> A commenter suggested removing the term “fresh fuel” (in reference to a reactor becoming fueled at the manufacturing facility prior to shipment) from 10 CFR</w:t>
      </w:r>
      <w:r w:rsidR="00871A74">
        <w:rPr>
          <w:rFonts w:ascii="Arial" w:eastAsia="DengXian" w:hAnsi="Arial" w:cs="Arial"/>
          <w:sz w:val="22"/>
          <w:szCs w:val="22"/>
        </w:rPr>
        <w:t> </w:t>
      </w:r>
      <w:r w:rsidRPr="00C1227F">
        <w:rPr>
          <w:rFonts w:ascii="Arial" w:eastAsia="DengXian" w:hAnsi="Arial" w:cs="Arial"/>
          <w:sz w:val="22"/>
          <w:szCs w:val="22"/>
        </w:rPr>
        <w:t>Part</w:t>
      </w:r>
      <w:r w:rsidR="00871A74">
        <w:rPr>
          <w:rFonts w:ascii="Arial" w:eastAsia="DengXian" w:hAnsi="Arial" w:cs="Arial"/>
          <w:sz w:val="22"/>
          <w:szCs w:val="22"/>
        </w:rPr>
        <w:t> </w:t>
      </w:r>
      <w:r w:rsidRPr="00C1227F">
        <w:rPr>
          <w:rFonts w:ascii="Arial" w:eastAsia="DengXian" w:hAnsi="Arial" w:cs="Arial"/>
          <w:sz w:val="22"/>
          <w:szCs w:val="22"/>
        </w:rPr>
        <w:t xml:space="preserve">53 for the following reasons </w:t>
      </w:r>
      <w:r w:rsidRPr="00BE1FE9">
        <w:rPr>
          <w:rFonts w:ascii="Arial" w:eastAsia="DengXian" w:hAnsi="Arial" w:cs="Arial"/>
          <w:sz w:val="22"/>
          <w:szCs w:val="22"/>
        </w:rPr>
        <w:t>(</w:t>
      </w:r>
      <w:r w:rsidRPr="00BE1FE9" w:rsidR="00BE1FE9">
        <w:rPr>
          <w:rFonts w:ascii="Arial" w:eastAsia="Times New Roman" w:hAnsi="Arial" w:cs="Arial"/>
          <w:color w:val="000000"/>
          <w:sz w:val="22"/>
          <w:szCs w:val="22"/>
        </w:rPr>
        <w:t>SG1</w:t>
      </w:r>
      <w:r w:rsidRPr="00BE1FE9">
        <w:rPr>
          <w:rFonts w:ascii="Arial" w:eastAsia="DengXian" w:hAnsi="Arial" w:cs="Arial"/>
          <w:sz w:val="22"/>
          <w:szCs w:val="22"/>
        </w:rPr>
        <w:t>-0</w:t>
      </w:r>
      <w:r w:rsidRPr="00C1227F">
        <w:rPr>
          <w:rFonts w:ascii="Arial" w:eastAsia="DengXian" w:hAnsi="Arial" w:cs="Arial"/>
          <w:sz w:val="22"/>
          <w:szCs w:val="22"/>
        </w:rPr>
        <w:t>001):</w:t>
      </w:r>
    </w:p>
    <w:p w:rsidR="00A1264A" w:rsidRPr="00C1227F" w:rsidP="00C1227F" w14:paraId="0C330EFA" w14:textId="77777777">
      <w:pPr>
        <w:numPr>
          <w:ilvl w:val="0"/>
          <w:numId w:val="10"/>
        </w:numPr>
        <w:spacing w:after="220"/>
        <w:rPr>
          <w:rFonts w:ascii="Arial" w:eastAsia="DengXian" w:hAnsi="Arial" w:cs="Arial"/>
          <w:sz w:val="22"/>
          <w:szCs w:val="22"/>
        </w:rPr>
      </w:pPr>
      <w:r w:rsidRPr="00C1227F">
        <w:rPr>
          <w:rFonts w:ascii="Arial" w:eastAsia="DengXian" w:hAnsi="Arial" w:cs="Arial"/>
          <w:sz w:val="22"/>
          <w:szCs w:val="22"/>
        </w:rPr>
        <w:t>Factory acceptance testing is expected to occur at the conclusion of manufacturing a microreactor at the factory, creating byproduct material in the final reactor ready for shipment, which means that the package will be slightly radioactive and need shielding during transportation.</w:t>
      </w:r>
    </w:p>
    <w:p w:rsidR="000871B5" w:rsidRPr="00C1227F" w:rsidP="00C1227F" w14:paraId="1DD23A4E" w14:textId="77777777">
      <w:pPr>
        <w:numPr>
          <w:ilvl w:val="0"/>
          <w:numId w:val="10"/>
        </w:numPr>
        <w:spacing w:after="220"/>
        <w:rPr>
          <w:rFonts w:ascii="Arial" w:eastAsia="DengXian" w:hAnsi="Arial" w:cs="Arial"/>
          <w:sz w:val="22"/>
          <w:szCs w:val="22"/>
        </w:rPr>
      </w:pPr>
      <w:r w:rsidRPr="00C1227F">
        <w:rPr>
          <w:rFonts w:ascii="Arial" w:eastAsia="DengXian" w:hAnsi="Arial" w:cs="Arial"/>
          <w:sz w:val="22"/>
          <w:szCs w:val="22"/>
        </w:rPr>
        <w:t xml:space="preserve">Fresh fuel transportation does not </w:t>
      </w:r>
      <w:r w:rsidRPr="00C1227F" w:rsidR="0046774E">
        <w:rPr>
          <w:rFonts w:ascii="Arial" w:eastAsia="DengXian" w:hAnsi="Arial" w:cs="Arial"/>
          <w:sz w:val="22"/>
          <w:szCs w:val="22"/>
        </w:rPr>
        <w:t>n</w:t>
      </w:r>
      <w:r w:rsidRPr="00C1227F" w:rsidR="009F491C">
        <w:rPr>
          <w:rFonts w:ascii="Arial" w:eastAsia="DengXian" w:hAnsi="Arial" w:cs="Arial"/>
          <w:sz w:val="22"/>
          <w:szCs w:val="22"/>
        </w:rPr>
        <w:t>eed</w:t>
      </w:r>
      <w:r w:rsidRPr="00C1227F">
        <w:rPr>
          <w:rFonts w:ascii="Arial" w:eastAsia="DengXian" w:hAnsi="Arial" w:cs="Arial"/>
          <w:sz w:val="22"/>
          <w:szCs w:val="22"/>
        </w:rPr>
        <w:t xml:space="preserve"> meaningful shielding.</w:t>
      </w:r>
    </w:p>
    <w:p w:rsidR="0058154D" w:rsidRPr="00C1227F" w:rsidP="00C1227F" w14:paraId="25137FA1" w14:textId="77777777">
      <w:pPr>
        <w:numPr>
          <w:ilvl w:val="0"/>
          <w:numId w:val="10"/>
        </w:numPr>
        <w:spacing w:after="220"/>
        <w:rPr>
          <w:rFonts w:ascii="Arial" w:eastAsia="DengXian" w:hAnsi="Arial" w:cs="Arial"/>
          <w:sz w:val="22"/>
          <w:szCs w:val="22"/>
        </w:rPr>
      </w:pPr>
      <w:r w:rsidRPr="00C1227F">
        <w:rPr>
          <w:rFonts w:ascii="Arial" w:eastAsia="DengXian" w:hAnsi="Arial" w:cs="Arial"/>
          <w:sz w:val="22"/>
          <w:szCs w:val="22"/>
        </w:rPr>
        <w:t>The total applicability of 10 CFR Part 71 is cited in 10 CFR Part 53.</w:t>
      </w:r>
    </w:p>
    <w:p w:rsidR="00A1264A" w:rsidRPr="00C1227F" w:rsidP="00C1227F" w14:paraId="78140D4A"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disagrees with th</w:t>
      </w:r>
      <w:r w:rsidR="00871A74">
        <w:rPr>
          <w:rFonts w:ascii="Arial" w:eastAsia="DengXian" w:hAnsi="Arial" w:cs="Arial"/>
          <w:sz w:val="22"/>
          <w:szCs w:val="22"/>
        </w:rPr>
        <w:t>e</w:t>
      </w:r>
      <w:r w:rsidRPr="00C1227F">
        <w:rPr>
          <w:rFonts w:ascii="Arial" w:eastAsia="DengXian" w:hAnsi="Arial" w:cs="Arial"/>
          <w:sz w:val="22"/>
          <w:szCs w:val="22"/>
        </w:rPr>
        <w:t xml:space="preserve"> comment.</w:t>
      </w:r>
    </w:p>
    <w:p w:rsidR="00A1264A" w:rsidRPr="00C1227F" w:rsidP="00C1227F" w14:paraId="344ECCDD" w14:textId="77777777">
      <w:pPr>
        <w:spacing w:after="220"/>
        <w:rPr>
          <w:rFonts w:ascii="Arial" w:eastAsia="DengXian" w:hAnsi="Arial" w:cs="Arial"/>
          <w:sz w:val="22"/>
          <w:szCs w:val="22"/>
        </w:rPr>
      </w:pPr>
      <w:r w:rsidRPr="00C1227F">
        <w:rPr>
          <w:rFonts w:ascii="Arial" w:eastAsia="DengXian" w:hAnsi="Arial" w:cs="Arial"/>
          <w:sz w:val="22"/>
          <w:szCs w:val="22"/>
        </w:rPr>
        <w:t xml:space="preserve">10 CFR Part 53 does not include specific provisions for the testing of manufactured reactors within the manufacturing facility. The </w:t>
      </w:r>
      <w:r w:rsidR="0093576D">
        <w:rPr>
          <w:rFonts w:ascii="Arial" w:eastAsia="DengXian" w:hAnsi="Arial" w:cs="Arial"/>
          <w:sz w:val="22"/>
          <w:szCs w:val="22"/>
        </w:rPr>
        <w:t xml:space="preserve">NRC’s </w:t>
      </w:r>
      <w:r w:rsidRPr="000665F2" w:rsidR="0093576D">
        <w:rPr>
          <w:rFonts w:ascii="Arial" w:eastAsia="DengXian" w:hAnsi="Arial" w:cs="Arial"/>
          <w:sz w:val="22"/>
          <w:szCs w:val="22"/>
        </w:rPr>
        <w:t>response to</w:t>
      </w:r>
      <w:r w:rsidRPr="000665F2">
        <w:rPr>
          <w:rFonts w:ascii="Arial" w:eastAsia="DengXian" w:hAnsi="Arial" w:cs="Arial"/>
          <w:sz w:val="22"/>
          <w:szCs w:val="22"/>
        </w:rPr>
        <w:t xml:space="preserve"> comments in</w:t>
      </w:r>
      <w:r w:rsidRPr="00C1227F">
        <w:rPr>
          <w:rFonts w:ascii="Arial" w:eastAsia="DengXian" w:hAnsi="Arial" w:cs="Arial"/>
          <w:sz w:val="22"/>
          <w:szCs w:val="22"/>
        </w:rPr>
        <w:t xml:space="preserve"> Section</w:t>
      </w:r>
      <w:r w:rsidR="005B19CA">
        <w:rPr>
          <w:rFonts w:ascii="Arial" w:eastAsia="DengXian" w:hAnsi="Arial" w:cs="Arial"/>
          <w:sz w:val="22"/>
          <w:szCs w:val="22"/>
        </w:rPr>
        <w:t> </w:t>
      </w:r>
      <w:r w:rsidRPr="00C1227F">
        <w:rPr>
          <w:rFonts w:ascii="Arial" w:eastAsia="DengXian" w:hAnsi="Arial" w:cs="Arial"/>
          <w:sz w:val="22"/>
          <w:szCs w:val="22"/>
        </w:rPr>
        <w:t xml:space="preserve">3.8.10 explains that the NRC considered adding such provisions, but comments received generally favored </w:t>
      </w:r>
      <w:r w:rsidRPr="00C1227F">
        <w:rPr>
          <w:rFonts w:ascii="Arial" w:eastAsia="DengXian" w:hAnsi="Arial" w:cs="Arial"/>
          <w:sz w:val="22"/>
          <w:szCs w:val="22"/>
        </w:rPr>
        <w:t>approaches where applicants for or holders of an ML would request exemptions from specific requirements in 10 CFR Part 53 to allow reactor testing at the manufacturing facility. The NRC therefore elected to not make changes to the final rule language to accommodate factory testing. The introduction of byproduct materials by operational testing at the manufacturing facility will need to be addressed within any exemption requests from any part of NRC regulations.</w:t>
      </w:r>
    </w:p>
    <w:p w:rsidR="00A1264A" w:rsidRPr="00C1227F" w:rsidP="00C1227F" w14:paraId="4E161339" w14:textId="77777777">
      <w:pPr>
        <w:spacing w:after="220"/>
        <w:rPr>
          <w:rFonts w:ascii="Arial" w:eastAsia="Times New Roman" w:hAnsi="Arial" w:cs="Arial"/>
          <w:color w:val="000000"/>
          <w:sz w:val="22"/>
          <w:szCs w:val="22"/>
          <w:lang w:eastAsia="zh-CN"/>
        </w:rPr>
      </w:pPr>
      <w:r w:rsidRPr="00C1227F">
        <w:rPr>
          <w:rFonts w:ascii="Arial" w:eastAsia="DengXian" w:hAnsi="Arial" w:cs="Arial"/>
          <w:sz w:val="22"/>
          <w:szCs w:val="22"/>
        </w:rPr>
        <w:t>Accordingly, the NRC did not change the rule language in response to this comment.</w:t>
      </w:r>
    </w:p>
    <w:p w:rsidR="00B06D18" w:rsidRPr="00C1227F" w:rsidP="00C1227F" w14:paraId="3FEC62D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35" style="width:0;height:1.5pt" o:hralign="center" o:hrstd="t" o:hrnoshade="t" o:hr="t" fillcolor="black" stroked="f"/>
        </w:pict>
      </w:r>
    </w:p>
    <w:p w:rsidR="00F426AD" w:rsidRPr="00C1227F" w:rsidP="00C1227F" w14:paraId="6A99034F" w14:textId="77777777">
      <w:pPr>
        <w:spacing w:after="220"/>
        <w:rPr>
          <w:rFonts w:ascii="Arial" w:eastAsia="Times New Roman" w:hAnsi="Arial" w:cs="Arial"/>
          <w:sz w:val="22"/>
          <w:szCs w:val="22"/>
          <w:lang w:eastAsia="zh-CN"/>
        </w:rPr>
      </w:pPr>
      <w:r w:rsidRPr="00C1227F">
        <w:rPr>
          <w:rFonts w:ascii="Arial" w:eastAsia="DengXian" w:hAnsi="Arial" w:cs="Arial"/>
          <w:b/>
          <w:sz w:val="22"/>
          <w:szCs w:val="22"/>
        </w:rPr>
        <w:t>Comment Bin 3.5.1.1.B:</w:t>
      </w:r>
      <w:r w:rsidRPr="00C1227F">
        <w:rPr>
          <w:rFonts w:ascii="Arial" w:eastAsia="DengXian" w:hAnsi="Arial" w:cs="Arial"/>
          <w:sz w:val="22"/>
          <w:szCs w:val="22"/>
        </w:rPr>
        <w:t xml:space="preserve"> </w:t>
      </w:r>
      <w:r w:rsidRPr="00C1227F">
        <w:rPr>
          <w:rFonts w:ascii="Arial" w:eastAsia="Times New Roman" w:hAnsi="Arial" w:cs="Arial"/>
          <w:color w:val="000000"/>
          <w:sz w:val="22"/>
          <w:szCs w:val="22"/>
          <w:lang w:eastAsia="zh-CN"/>
        </w:rPr>
        <w:t>Regarding the proposed requirement in 10</w:t>
      </w:r>
      <w:r w:rsidRPr="00C1227F" w:rsidR="00443C8B">
        <w:rPr>
          <w:rFonts w:ascii="Arial" w:eastAsia="Times New Roman" w:hAnsi="Arial" w:cs="Arial"/>
          <w:color w:val="000000"/>
          <w:sz w:val="22"/>
          <w:szCs w:val="22"/>
          <w:lang w:eastAsia="zh-CN"/>
        </w:rPr>
        <w:t> </w:t>
      </w:r>
      <w:r w:rsidRPr="00C1227F">
        <w:rPr>
          <w:rFonts w:ascii="Arial" w:eastAsia="Times New Roman" w:hAnsi="Arial" w:cs="Arial"/>
          <w:color w:val="000000"/>
          <w:sz w:val="22"/>
          <w:szCs w:val="22"/>
          <w:lang w:eastAsia="zh-CN"/>
        </w:rPr>
        <w:t>CFR</w:t>
      </w:r>
      <w:r w:rsidRPr="00C1227F" w:rsidR="00443C8B">
        <w:rPr>
          <w:rFonts w:ascii="Arial" w:eastAsia="Times New Roman" w:hAnsi="Arial" w:cs="Arial"/>
          <w:color w:val="000000"/>
          <w:sz w:val="22"/>
          <w:szCs w:val="22"/>
          <w:lang w:eastAsia="zh-CN"/>
        </w:rPr>
        <w:t> </w:t>
      </w:r>
      <w:r w:rsidRPr="00C1227F">
        <w:rPr>
          <w:rFonts w:ascii="Arial" w:eastAsia="Times New Roman" w:hAnsi="Arial" w:cs="Arial"/>
          <w:color w:val="000000"/>
          <w:sz w:val="22"/>
          <w:szCs w:val="22"/>
          <w:lang w:eastAsia="zh-CN"/>
        </w:rPr>
        <w:t xml:space="preserve">53.620(d)(1)(i) that fuel loading of a manufactured reactor is allowed only if at least two independent physical mechanisms—each sufficient to prevent criticality assuming optimum moderation and neutron reflection conditions—are in place, a commenter argued that the requirement is unnecessary because the requirements of Subpart H of 10 CFR Part 70 already provide reasonable assurance that subcriticality will be </w:t>
      </w:r>
      <w:r w:rsidRPr="00C1227F">
        <w:rPr>
          <w:rFonts w:ascii="Arial" w:eastAsia="Times New Roman" w:hAnsi="Arial" w:cs="Arial"/>
          <w:sz w:val="22"/>
          <w:szCs w:val="22"/>
          <w:lang w:eastAsia="zh-CN"/>
        </w:rPr>
        <w:t>maintained throughout all processes. The commenter thus proposed revising 10 CFR 53.620(d) as follows:</w:t>
      </w:r>
    </w:p>
    <w:p w:rsidR="00F426AD" w:rsidRPr="00C1227F" w:rsidP="00455E55" w14:paraId="0B20DDCC" w14:textId="77777777">
      <w:pPr>
        <w:pStyle w:val="ListParagraph"/>
        <w:numPr>
          <w:ilvl w:val="0"/>
          <w:numId w:val="27"/>
        </w:numPr>
        <w:spacing w:after="220"/>
        <w:contextualSpacing w:val="0"/>
        <w:rPr>
          <w:rFonts w:ascii="Arial" w:eastAsia="Arial" w:hAnsi="Arial" w:cs="Arial"/>
          <w:sz w:val="22"/>
          <w:szCs w:val="22"/>
        </w:rPr>
      </w:pPr>
      <w:r w:rsidRPr="00C1227F">
        <w:rPr>
          <w:rFonts w:ascii="Arial" w:eastAsia="Arial" w:hAnsi="Arial" w:cs="Arial"/>
          <w:sz w:val="22"/>
          <w:szCs w:val="22"/>
        </w:rPr>
        <w:t>In 10 CFR 53.620(d)(1)(i), remove “only if the manufactured reactor is configured during its loading, storage, and transport with at least two independent physical mechanisms in place, each of which is sufficient to prevent criticality assuming optimum neutron moderation and neutron reflection conditions.”</w:t>
      </w:r>
    </w:p>
    <w:p w:rsidR="00F426AD" w:rsidRPr="00C1227F" w:rsidP="00455E55" w14:paraId="06E98466" w14:textId="77777777">
      <w:pPr>
        <w:pStyle w:val="ListParagraph"/>
        <w:numPr>
          <w:ilvl w:val="0"/>
          <w:numId w:val="27"/>
        </w:numPr>
        <w:spacing w:after="220"/>
        <w:contextualSpacing w:val="0"/>
        <w:rPr>
          <w:rFonts w:ascii="Arial" w:eastAsia="Arial" w:hAnsi="Arial" w:cs="Arial"/>
          <w:sz w:val="22"/>
          <w:szCs w:val="22"/>
        </w:rPr>
      </w:pPr>
      <w:r w:rsidRPr="00C1227F">
        <w:rPr>
          <w:rFonts w:ascii="Arial" w:eastAsia="Arial" w:hAnsi="Arial" w:cs="Arial"/>
          <w:sz w:val="22"/>
          <w:szCs w:val="22"/>
        </w:rPr>
        <w:t>Revise 10 CFR 53.620(d)(1)(iii) by replacing “in which the independent physical mechanisms to prevent criticality have been installed” with “possessed under a 10</w:t>
      </w:r>
      <w:r w:rsidR="005B19CA">
        <w:rPr>
          <w:rFonts w:ascii="Arial" w:eastAsia="Arial" w:hAnsi="Arial" w:cs="Arial"/>
          <w:sz w:val="22"/>
          <w:szCs w:val="22"/>
        </w:rPr>
        <w:t> </w:t>
      </w:r>
      <w:r w:rsidRPr="00C1227F">
        <w:rPr>
          <w:rFonts w:ascii="Arial" w:eastAsia="Arial" w:hAnsi="Arial" w:cs="Arial"/>
          <w:sz w:val="22"/>
          <w:szCs w:val="22"/>
        </w:rPr>
        <w:t>CFR part 70 license.”</w:t>
      </w:r>
    </w:p>
    <w:p w:rsidR="00F426AD" w:rsidRPr="00C1227F" w:rsidP="00455E55" w14:paraId="4788F3C1" w14:textId="77777777">
      <w:pPr>
        <w:pStyle w:val="ListParagraph"/>
        <w:numPr>
          <w:ilvl w:val="0"/>
          <w:numId w:val="27"/>
        </w:numPr>
        <w:spacing w:after="220"/>
        <w:contextualSpacing w:val="0"/>
        <w:rPr>
          <w:rFonts w:ascii="Arial" w:eastAsia="Arial" w:hAnsi="Arial" w:cs="Arial"/>
          <w:sz w:val="22"/>
          <w:szCs w:val="22"/>
        </w:rPr>
      </w:pPr>
      <w:r w:rsidRPr="00C1227F">
        <w:rPr>
          <w:rFonts w:ascii="Arial" w:eastAsia="Arial" w:hAnsi="Arial" w:cs="Arial"/>
          <w:sz w:val="22"/>
          <w:szCs w:val="22"/>
        </w:rPr>
        <w:t>Revise 10 CFR 53.620(d)(1)(iv) by replacing “the independent physical mechanisms to prevent criticality may be removed” with “the licensee may remove manufacturing controls in place to ensure subcriticality” and changing the last sentence to state that “Upon removing those controls, a manufactured reactor has commenced operation.”</w:t>
      </w:r>
    </w:p>
    <w:p w:rsidR="00F426AD" w:rsidRPr="00C1227F" w:rsidP="00C1227F" w14:paraId="6BFBFD84" w14:textId="77777777">
      <w:pPr>
        <w:spacing w:after="220"/>
        <w:rPr>
          <w:rFonts w:ascii="Arial" w:eastAsia="Arial" w:hAnsi="Arial" w:cs="Arial"/>
          <w:sz w:val="22"/>
          <w:szCs w:val="22"/>
        </w:rPr>
      </w:pPr>
      <w:r w:rsidRPr="00C1227F">
        <w:rPr>
          <w:rFonts w:ascii="Arial" w:eastAsia="Arial" w:hAnsi="Arial" w:cs="Arial"/>
          <w:sz w:val="22"/>
          <w:szCs w:val="22"/>
        </w:rPr>
        <w:t xml:space="preserve">The commenter also suggested related changes to other sections of the regulatory text as follows: </w:t>
      </w:r>
    </w:p>
    <w:p w:rsidR="00F426AD" w:rsidRPr="00C1227F" w:rsidP="00455E55" w14:paraId="3D3998F4" w14:textId="77777777">
      <w:pPr>
        <w:pStyle w:val="ListParagraph"/>
        <w:numPr>
          <w:ilvl w:val="0"/>
          <w:numId w:val="27"/>
        </w:numPr>
        <w:spacing w:after="220"/>
        <w:contextualSpacing w:val="0"/>
        <w:rPr>
          <w:rFonts w:ascii="Arial" w:eastAsia="Arial" w:hAnsi="Arial" w:cs="Arial"/>
          <w:sz w:val="22"/>
          <w:szCs w:val="22"/>
        </w:rPr>
      </w:pPr>
      <w:r w:rsidRPr="00C1227F">
        <w:rPr>
          <w:rFonts w:ascii="Arial" w:eastAsia="Arial" w:hAnsi="Arial" w:cs="Arial"/>
          <w:sz w:val="22"/>
          <w:szCs w:val="22"/>
        </w:rPr>
        <w:t xml:space="preserve">Revise 10 CFR 50.160(c)(2) by replacing “removal of any one of the independent physical mechanisms to prevent criticality” with “removal of manufacturing subcriticality controls at the operating site.” </w:t>
      </w:r>
    </w:p>
    <w:p w:rsidR="00F426AD" w:rsidRPr="00C1227F" w:rsidP="00455E55" w14:paraId="65ADA6F9" w14:textId="77777777">
      <w:pPr>
        <w:pStyle w:val="ListParagraph"/>
        <w:numPr>
          <w:ilvl w:val="0"/>
          <w:numId w:val="27"/>
        </w:numPr>
        <w:spacing w:after="220"/>
        <w:contextualSpacing w:val="0"/>
        <w:rPr>
          <w:rFonts w:ascii="Arial" w:eastAsia="Arial" w:hAnsi="Arial" w:cs="Arial"/>
          <w:sz w:val="22"/>
          <w:szCs w:val="22"/>
        </w:rPr>
      </w:pPr>
      <w:r w:rsidRPr="00C1227F">
        <w:rPr>
          <w:rFonts w:ascii="Arial" w:eastAsia="Arial" w:hAnsi="Arial" w:cs="Arial"/>
          <w:sz w:val="22"/>
          <w:szCs w:val="22"/>
        </w:rPr>
        <w:t>Revise footnote 1 to 10 CFR 53.1452 by replacing “its scheduled date for initiating the physical removal of any one of the independent physical mechanisms to prevent criticality required under § 53.620(d)(1)” with “its scheduled date for initiating the removal of manufacturing subcriticality controls required under § 53.620(d)(1) through the ML.”</w:t>
      </w:r>
    </w:p>
    <w:p w:rsidR="00F426AD" w:rsidRPr="00C1227F" w:rsidP="00C1227F" w14:paraId="51EB9298" w14:textId="77777777">
      <w:pPr>
        <w:spacing w:after="220"/>
        <w:rPr>
          <w:rFonts w:ascii="Arial" w:eastAsia="Arial" w:hAnsi="Arial" w:cs="Arial"/>
          <w:sz w:val="22"/>
          <w:szCs w:val="22"/>
        </w:rPr>
      </w:pPr>
      <w:r w:rsidRPr="00C1227F">
        <w:rPr>
          <w:rFonts w:ascii="Arial" w:eastAsia="Arial" w:hAnsi="Arial" w:cs="Arial"/>
          <w:sz w:val="22"/>
          <w:szCs w:val="22"/>
        </w:rPr>
        <w:t>Lastly, the commenter suggested that all other instances in the proposed rule of “physical mechanisms” should change to “manufacturing subcriticality controls” (</w:t>
      </w:r>
      <w:r w:rsidR="009D6BB9">
        <w:rPr>
          <w:rFonts w:ascii="Arial" w:eastAsia="Arial" w:hAnsi="Arial" w:cs="Arial"/>
          <w:sz w:val="22"/>
          <w:szCs w:val="22"/>
        </w:rPr>
        <w:t>NEI2</w:t>
      </w:r>
      <w:r w:rsidRPr="00C1227F">
        <w:rPr>
          <w:rFonts w:ascii="Arial" w:eastAsia="Arial" w:hAnsi="Arial" w:cs="Arial"/>
          <w:sz w:val="22"/>
          <w:szCs w:val="22"/>
        </w:rPr>
        <w:t xml:space="preserve">-0067). </w:t>
      </w:r>
    </w:p>
    <w:p w:rsidR="00F426AD" w:rsidRPr="00C1227F" w:rsidP="00C1227F" w14:paraId="5563BFE3" w14:textId="77777777">
      <w:pPr>
        <w:spacing w:after="220"/>
        <w:rPr>
          <w:rFonts w:ascii="Arial" w:eastAsia="Arial" w:hAnsi="Arial" w:cs="Arial"/>
          <w:sz w:val="22"/>
          <w:szCs w:val="22"/>
        </w:rPr>
      </w:pPr>
      <w:r w:rsidRPr="00C1227F">
        <w:rPr>
          <w:rFonts w:ascii="Arial" w:eastAsia="DengXian" w:hAnsi="Arial" w:cs="Arial"/>
          <w:sz w:val="22"/>
          <w:szCs w:val="22"/>
        </w:rPr>
        <w:t>Similarly, another commenter questioned why multiple requirements in 10 CFR 53.620(d)(1) related to transportation of a fueled reactor refer to “independent physical mechanisms” to prevent criticality when the equivalent requirement in 10</w:t>
      </w:r>
      <w:r w:rsidRPr="00C1227F" w:rsidR="00070947">
        <w:rPr>
          <w:rFonts w:ascii="Arial" w:eastAsia="DengXian" w:hAnsi="Arial" w:cs="Arial"/>
          <w:sz w:val="22"/>
          <w:szCs w:val="22"/>
        </w:rPr>
        <w:t> </w:t>
      </w:r>
      <w:r w:rsidRPr="00C1227F">
        <w:rPr>
          <w:rFonts w:ascii="Arial" w:eastAsia="DengXian" w:hAnsi="Arial" w:cs="Arial"/>
          <w:sz w:val="22"/>
          <w:szCs w:val="22"/>
        </w:rPr>
        <w:t>CFR</w:t>
      </w:r>
      <w:r w:rsidRPr="00C1227F" w:rsidR="00070947">
        <w:rPr>
          <w:rFonts w:ascii="Arial" w:eastAsia="DengXian" w:hAnsi="Arial" w:cs="Arial"/>
          <w:sz w:val="22"/>
          <w:szCs w:val="22"/>
        </w:rPr>
        <w:t> </w:t>
      </w:r>
      <w:r w:rsidRPr="00C1227F">
        <w:rPr>
          <w:rFonts w:ascii="Arial" w:eastAsia="DengXian" w:hAnsi="Arial" w:cs="Arial"/>
          <w:sz w:val="22"/>
          <w:szCs w:val="22"/>
        </w:rPr>
        <w:t xml:space="preserve">Part 50 does not specify that they </w:t>
      </w:r>
      <w:r w:rsidRPr="00C1227F">
        <w:rPr>
          <w:rFonts w:ascii="Arial" w:eastAsia="DengXian" w:hAnsi="Arial" w:cs="Arial"/>
          <w:sz w:val="22"/>
          <w:szCs w:val="22"/>
        </w:rPr>
        <w:t>must be physical. The commenter asserted that this specificity introduces a prescriptive requirement, leads to overinterpretation of wording and intent, restricts the ability to select alternate and equally effective measures, and could preclude licensing of mobile reactors if a broad requirement for physical prevention of criticality is required during transportation (</w:t>
      </w:r>
      <w:r w:rsidR="00611CA0">
        <w:rPr>
          <w:rFonts w:ascii="Arial" w:eastAsia="DengXian" w:hAnsi="Arial" w:cs="Arial"/>
          <w:sz w:val="22"/>
          <w:szCs w:val="22"/>
        </w:rPr>
        <w:t>RAD</w:t>
      </w:r>
      <w:r w:rsidRPr="00C1227F">
        <w:rPr>
          <w:rFonts w:ascii="Arial" w:eastAsia="DengXian" w:hAnsi="Arial" w:cs="Arial"/>
          <w:sz w:val="22"/>
          <w:szCs w:val="22"/>
        </w:rPr>
        <w:t>-0006).</w:t>
      </w:r>
    </w:p>
    <w:p w:rsidR="00DE55EA" w:rsidRPr="00C1227F" w:rsidP="00C1227F" w14:paraId="6EC54C2A" w14:textId="77777777">
      <w:pPr>
        <w:spacing w:after="220"/>
        <w:rPr>
          <w:rFonts w:ascii="Arial" w:eastAsia="Arial" w:hAnsi="Arial" w:cs="Arial"/>
          <w:sz w:val="22"/>
          <w:szCs w:val="22"/>
        </w:rPr>
      </w:pPr>
      <w:r w:rsidRPr="00C1227F">
        <w:rPr>
          <w:rFonts w:ascii="Arial" w:eastAsia="Arial" w:hAnsi="Arial" w:cs="Arial"/>
          <w:sz w:val="22"/>
          <w:szCs w:val="22"/>
        </w:rPr>
        <w:t xml:space="preserve">Other commenters </w:t>
      </w:r>
      <w:r w:rsidRPr="00C1227F" w:rsidR="0003379A">
        <w:rPr>
          <w:rFonts w:ascii="Arial" w:eastAsia="Arial" w:hAnsi="Arial" w:cs="Arial"/>
          <w:sz w:val="22"/>
          <w:szCs w:val="22"/>
        </w:rPr>
        <w:t>stated</w:t>
      </w:r>
      <w:r w:rsidRPr="00C1227F">
        <w:rPr>
          <w:rFonts w:ascii="Arial" w:eastAsia="Arial" w:hAnsi="Arial" w:cs="Arial"/>
          <w:sz w:val="22"/>
          <w:szCs w:val="22"/>
        </w:rPr>
        <w:t xml:space="preserve"> that a requirement for at least two independent physical mechanisms to prevent inadvertent criticality is unnecessary because:</w:t>
      </w:r>
    </w:p>
    <w:p w:rsidR="00DE55EA" w:rsidRPr="00C1227F" w:rsidP="00455E55" w14:paraId="2207EC42" w14:textId="77777777">
      <w:pPr>
        <w:pStyle w:val="ListParagraph"/>
        <w:numPr>
          <w:ilvl w:val="0"/>
          <w:numId w:val="39"/>
        </w:numPr>
        <w:spacing w:after="220"/>
        <w:contextualSpacing w:val="0"/>
        <w:rPr>
          <w:rFonts w:ascii="Arial" w:hAnsi="Arial" w:cs="Arial"/>
          <w:sz w:val="22"/>
          <w:szCs w:val="22"/>
        </w:rPr>
      </w:pPr>
      <w:r w:rsidRPr="00C1227F">
        <w:rPr>
          <w:rFonts w:ascii="Arial" w:eastAsia="Arial" w:hAnsi="Arial" w:cs="Arial"/>
          <w:sz w:val="22"/>
          <w:szCs w:val="22"/>
        </w:rPr>
        <w:t>the requirement</w:t>
      </w:r>
      <w:r w:rsidRPr="00C1227F" w:rsidR="00F426AD">
        <w:rPr>
          <w:rFonts w:ascii="Arial" w:eastAsia="Arial" w:hAnsi="Arial" w:cs="Arial"/>
          <w:sz w:val="22"/>
          <w:szCs w:val="22"/>
        </w:rPr>
        <w:t xml:space="preserve"> goes beyond established NRC regulatory precedent and consensus standards (e.g., ANSI/ANS</w:t>
      </w:r>
      <w:r w:rsidRPr="00C1227F" w:rsidR="00070947">
        <w:rPr>
          <w:rFonts w:ascii="Arial" w:eastAsia="Arial" w:hAnsi="Arial" w:cs="Arial"/>
          <w:sz w:val="22"/>
          <w:szCs w:val="22"/>
        </w:rPr>
        <w:noBreakHyphen/>
      </w:r>
      <w:r w:rsidRPr="00C1227F" w:rsidR="00F426AD">
        <w:rPr>
          <w:rFonts w:ascii="Arial" w:eastAsia="Arial" w:hAnsi="Arial" w:cs="Arial"/>
          <w:sz w:val="22"/>
          <w:szCs w:val="22"/>
        </w:rPr>
        <w:t xml:space="preserve">19.13) </w:t>
      </w:r>
      <w:r w:rsidRPr="00582F5B">
        <w:rPr>
          <w:rFonts w:ascii="Arial" w:eastAsia="Arial" w:hAnsi="Arial" w:cs="Arial"/>
          <w:sz w:val="22"/>
          <w:szCs w:val="22"/>
        </w:rPr>
        <w:t>that</w:t>
      </w:r>
      <w:r w:rsidRPr="00C1227F">
        <w:rPr>
          <w:rFonts w:ascii="Arial" w:eastAsia="Arial" w:hAnsi="Arial" w:cs="Arial"/>
          <w:sz w:val="22"/>
          <w:szCs w:val="22"/>
        </w:rPr>
        <w:t xml:space="preserve"> </w:t>
      </w:r>
      <w:r w:rsidRPr="00C1227F" w:rsidR="00F426AD">
        <w:rPr>
          <w:rFonts w:ascii="Arial" w:eastAsia="Arial" w:hAnsi="Arial" w:cs="Arial"/>
          <w:sz w:val="22"/>
          <w:szCs w:val="22"/>
        </w:rPr>
        <w:t>already provide adequate protection and align with defense-in-depth principles (</w:t>
      </w:r>
      <w:r w:rsidR="00D87876">
        <w:rPr>
          <w:rFonts w:ascii="Arial" w:eastAsia="Arial" w:hAnsi="Arial" w:cs="Arial"/>
          <w:sz w:val="22"/>
          <w:szCs w:val="22"/>
        </w:rPr>
        <w:t>SCWG</w:t>
      </w:r>
      <w:r w:rsidRPr="00C1227F" w:rsidR="00F426AD">
        <w:rPr>
          <w:rFonts w:ascii="Arial" w:eastAsia="Arial" w:hAnsi="Arial" w:cs="Arial"/>
          <w:sz w:val="22"/>
          <w:szCs w:val="22"/>
        </w:rPr>
        <w:t>-0003</w:t>
      </w:r>
      <w:r w:rsidR="00E005BC">
        <w:rPr>
          <w:rFonts w:ascii="Arial" w:eastAsia="Arial" w:hAnsi="Arial" w:cs="Arial"/>
          <w:sz w:val="22"/>
          <w:szCs w:val="22"/>
        </w:rPr>
        <w:t>,</w:t>
      </w:r>
      <w:r w:rsidRPr="00C1227F" w:rsidR="00F426AD">
        <w:rPr>
          <w:rFonts w:ascii="Arial" w:eastAsia="Arial" w:hAnsi="Arial" w:cs="Arial"/>
          <w:sz w:val="22"/>
          <w:szCs w:val="22"/>
        </w:rPr>
        <w:t xml:space="preserve"> </w:t>
      </w:r>
      <w:r w:rsidR="004C1A5D">
        <w:rPr>
          <w:rFonts w:ascii="Arial" w:hAnsi="Arial" w:cs="Arial"/>
          <w:sz w:val="22"/>
          <w:szCs w:val="22"/>
        </w:rPr>
        <w:t>BI1</w:t>
      </w:r>
      <w:r w:rsidRPr="00C1227F" w:rsidR="00F426AD">
        <w:rPr>
          <w:rFonts w:ascii="Arial" w:hAnsi="Arial" w:cs="Arial"/>
          <w:sz w:val="22"/>
          <w:szCs w:val="22"/>
        </w:rPr>
        <w:t>-0008</w:t>
      </w:r>
      <w:r w:rsidRPr="00C1227F" w:rsidR="00F426AD">
        <w:rPr>
          <w:rFonts w:ascii="Arial" w:eastAsia="Arial" w:hAnsi="Arial" w:cs="Arial"/>
          <w:sz w:val="22"/>
          <w:szCs w:val="22"/>
        </w:rPr>
        <w:t>);</w:t>
      </w:r>
    </w:p>
    <w:p w:rsidR="00DE55EA" w:rsidRPr="00C1227F" w:rsidP="00455E55" w14:paraId="24FF6357" w14:textId="77777777">
      <w:pPr>
        <w:pStyle w:val="ListParagraph"/>
        <w:numPr>
          <w:ilvl w:val="0"/>
          <w:numId w:val="39"/>
        </w:numPr>
        <w:spacing w:after="220"/>
        <w:contextualSpacing w:val="0"/>
        <w:rPr>
          <w:rFonts w:ascii="Arial" w:hAnsi="Arial" w:cs="Arial"/>
          <w:sz w:val="22"/>
          <w:szCs w:val="22"/>
        </w:rPr>
      </w:pPr>
      <w:r w:rsidRPr="00C1227F">
        <w:rPr>
          <w:rFonts w:ascii="Arial" w:eastAsia="Arial" w:hAnsi="Arial" w:cs="Arial"/>
          <w:sz w:val="22"/>
          <w:szCs w:val="22"/>
        </w:rPr>
        <w:t>the requirement</w:t>
      </w:r>
      <w:r w:rsidRPr="00C1227F" w:rsidR="00F426AD">
        <w:rPr>
          <w:rFonts w:ascii="Arial" w:eastAsia="Arial" w:hAnsi="Arial" w:cs="Arial"/>
          <w:sz w:val="22"/>
          <w:szCs w:val="22"/>
        </w:rPr>
        <w:t xml:space="preserve"> does not align with risk-informed, performance-based principles (</w:t>
      </w:r>
      <w:r w:rsidR="00D87876">
        <w:rPr>
          <w:rFonts w:ascii="Arial" w:eastAsia="Arial" w:hAnsi="Arial" w:cs="Arial"/>
          <w:sz w:val="22"/>
          <w:szCs w:val="22"/>
        </w:rPr>
        <w:t>SCWG</w:t>
      </w:r>
      <w:r w:rsidRPr="00C1227F" w:rsidR="00F426AD">
        <w:rPr>
          <w:rFonts w:ascii="Arial" w:eastAsia="Arial" w:hAnsi="Arial" w:cs="Arial"/>
          <w:sz w:val="22"/>
          <w:szCs w:val="22"/>
        </w:rPr>
        <w:t>-0003</w:t>
      </w:r>
      <w:r w:rsidR="00E005BC">
        <w:rPr>
          <w:rFonts w:ascii="Arial" w:eastAsia="Arial" w:hAnsi="Arial" w:cs="Arial"/>
          <w:sz w:val="22"/>
          <w:szCs w:val="22"/>
        </w:rPr>
        <w:t>,</w:t>
      </w:r>
      <w:r w:rsidRPr="00C1227F" w:rsidR="00F426AD">
        <w:rPr>
          <w:rFonts w:ascii="Arial" w:eastAsia="Arial" w:hAnsi="Arial" w:cs="Arial"/>
          <w:sz w:val="22"/>
          <w:szCs w:val="22"/>
        </w:rPr>
        <w:t xml:space="preserve"> </w:t>
      </w:r>
      <w:r w:rsidR="004C1A5D">
        <w:rPr>
          <w:rFonts w:ascii="Arial" w:hAnsi="Arial" w:cs="Arial"/>
          <w:sz w:val="22"/>
          <w:szCs w:val="22"/>
        </w:rPr>
        <w:t>BI1</w:t>
      </w:r>
      <w:r w:rsidRPr="00C1227F" w:rsidR="00F426AD">
        <w:rPr>
          <w:rFonts w:ascii="Arial" w:hAnsi="Arial" w:cs="Arial"/>
          <w:sz w:val="22"/>
          <w:szCs w:val="22"/>
        </w:rPr>
        <w:t>-0008</w:t>
      </w:r>
      <w:r w:rsidRPr="00C1227F" w:rsidR="00F426AD">
        <w:rPr>
          <w:rFonts w:ascii="Arial" w:eastAsia="Arial" w:hAnsi="Arial" w:cs="Arial"/>
          <w:sz w:val="22"/>
          <w:szCs w:val="22"/>
        </w:rPr>
        <w:t>);</w:t>
      </w:r>
    </w:p>
    <w:p w:rsidR="00DE55EA" w:rsidRPr="00C1227F" w:rsidP="00455E55" w14:paraId="7492BF64" w14:textId="77777777">
      <w:pPr>
        <w:pStyle w:val="ListParagraph"/>
        <w:numPr>
          <w:ilvl w:val="0"/>
          <w:numId w:val="39"/>
        </w:numPr>
        <w:spacing w:after="220"/>
        <w:contextualSpacing w:val="0"/>
        <w:rPr>
          <w:rFonts w:ascii="Arial" w:hAnsi="Arial" w:cs="Arial"/>
          <w:sz w:val="22"/>
          <w:szCs w:val="22"/>
        </w:rPr>
      </w:pPr>
      <w:r w:rsidRPr="00C1227F">
        <w:rPr>
          <w:rFonts w:ascii="Arial" w:eastAsia="Arial" w:hAnsi="Arial" w:cs="Arial"/>
          <w:sz w:val="22"/>
          <w:szCs w:val="22"/>
        </w:rPr>
        <w:t>the requirements in 10 CFR Part 70 are adequate (</w:t>
      </w:r>
      <w:r w:rsidR="00333B47">
        <w:rPr>
          <w:rFonts w:ascii="Arial" w:eastAsia="Arial" w:hAnsi="Arial" w:cs="Arial"/>
          <w:sz w:val="22"/>
          <w:szCs w:val="22"/>
        </w:rPr>
        <w:t>WEST1</w:t>
      </w:r>
      <w:r w:rsidRPr="00C1227F">
        <w:rPr>
          <w:rFonts w:ascii="Arial" w:eastAsia="Arial" w:hAnsi="Arial" w:cs="Arial"/>
          <w:sz w:val="22"/>
          <w:szCs w:val="22"/>
        </w:rPr>
        <w:t>-0007); and</w:t>
      </w:r>
    </w:p>
    <w:p w:rsidR="00DE55EA" w:rsidRPr="00C1227F" w:rsidP="00455E55" w14:paraId="3CC567C6" w14:textId="77777777">
      <w:pPr>
        <w:pStyle w:val="ListParagraph"/>
        <w:numPr>
          <w:ilvl w:val="0"/>
          <w:numId w:val="39"/>
        </w:numPr>
        <w:spacing w:after="220"/>
        <w:contextualSpacing w:val="0"/>
        <w:rPr>
          <w:rFonts w:ascii="Arial" w:hAnsi="Arial" w:cs="Arial"/>
          <w:sz w:val="22"/>
          <w:szCs w:val="22"/>
        </w:rPr>
      </w:pPr>
      <w:r w:rsidRPr="00C1227F">
        <w:rPr>
          <w:rFonts w:ascii="Arial" w:eastAsia="Arial" w:hAnsi="Arial" w:cs="Arial"/>
          <w:sz w:val="22"/>
          <w:szCs w:val="22"/>
        </w:rPr>
        <w:t>the requirement</w:t>
      </w:r>
      <w:r w:rsidRPr="00C1227F" w:rsidR="00F426AD">
        <w:rPr>
          <w:rFonts w:ascii="Arial" w:eastAsia="Arial" w:hAnsi="Arial" w:cs="Arial"/>
          <w:sz w:val="22"/>
          <w:szCs w:val="22"/>
        </w:rPr>
        <w:t xml:space="preserve"> adds significant and potentially confusing layers of requirements above the double contingency principle practices proven over decades of operations with SNM (</w:t>
      </w:r>
      <w:r w:rsidR="00333B47">
        <w:rPr>
          <w:rFonts w:ascii="Arial" w:eastAsia="Arial" w:hAnsi="Arial" w:cs="Arial"/>
          <w:sz w:val="22"/>
          <w:szCs w:val="22"/>
        </w:rPr>
        <w:t>WEST1</w:t>
      </w:r>
      <w:r w:rsidRPr="00C1227F" w:rsidR="00F426AD">
        <w:rPr>
          <w:rFonts w:ascii="Arial" w:eastAsia="Arial" w:hAnsi="Arial" w:cs="Arial"/>
          <w:sz w:val="22"/>
          <w:szCs w:val="22"/>
        </w:rPr>
        <w:t>-0007).</w:t>
      </w:r>
    </w:p>
    <w:p w:rsidR="00215DAD" w:rsidRPr="00C1227F" w:rsidP="00C1227F" w14:paraId="7C2AE7EC" w14:textId="77777777">
      <w:pPr>
        <w:spacing w:after="220"/>
        <w:rPr>
          <w:rFonts w:ascii="Arial" w:eastAsia="Arial" w:hAnsi="Arial" w:cs="Arial"/>
          <w:sz w:val="22"/>
          <w:szCs w:val="22"/>
        </w:rPr>
      </w:pPr>
      <w:r w:rsidRPr="00C1227F">
        <w:rPr>
          <w:rFonts w:ascii="Arial" w:eastAsia="Arial" w:hAnsi="Arial" w:cs="Arial"/>
          <w:sz w:val="22"/>
          <w:szCs w:val="22"/>
        </w:rPr>
        <w:t>Two commenters stated that the NRC could further risk-inform the rule in line with NEIMA and the ADVANCE Act by revising the requirement to allow for technology</w:t>
      </w:r>
      <w:r w:rsidRPr="00C1227F" w:rsidR="0082255F">
        <w:rPr>
          <w:rFonts w:ascii="Arial" w:eastAsia="Arial" w:hAnsi="Arial" w:cs="Arial"/>
          <w:sz w:val="22"/>
          <w:szCs w:val="22"/>
        </w:rPr>
        <w:noBreakHyphen/>
      </w:r>
      <w:r w:rsidRPr="00C1227F">
        <w:rPr>
          <w:rFonts w:ascii="Arial" w:eastAsia="Arial" w:hAnsi="Arial" w:cs="Arial"/>
          <w:sz w:val="22"/>
          <w:szCs w:val="22"/>
        </w:rPr>
        <w:t>inclusive approaches without impacting protection (</w:t>
      </w:r>
      <w:r w:rsidR="00D87876">
        <w:rPr>
          <w:rFonts w:ascii="Arial" w:eastAsia="Arial" w:hAnsi="Arial" w:cs="Arial"/>
          <w:sz w:val="22"/>
          <w:szCs w:val="22"/>
        </w:rPr>
        <w:t>SCWG</w:t>
      </w:r>
      <w:r w:rsidRPr="00C1227F">
        <w:rPr>
          <w:rFonts w:ascii="Arial" w:eastAsia="Arial" w:hAnsi="Arial" w:cs="Arial"/>
          <w:sz w:val="22"/>
          <w:szCs w:val="22"/>
        </w:rPr>
        <w:t>-0003</w:t>
      </w:r>
      <w:r w:rsidR="00E005BC">
        <w:rPr>
          <w:rFonts w:ascii="Arial" w:eastAsia="Arial" w:hAnsi="Arial" w:cs="Arial"/>
          <w:sz w:val="22"/>
          <w:szCs w:val="22"/>
        </w:rPr>
        <w:t>,</w:t>
      </w:r>
      <w:r w:rsidRPr="00C1227F">
        <w:rPr>
          <w:rFonts w:ascii="Arial" w:eastAsia="Arial" w:hAnsi="Arial" w:cs="Arial"/>
          <w:sz w:val="22"/>
          <w:szCs w:val="22"/>
        </w:rPr>
        <w:t xml:space="preserve"> </w:t>
      </w:r>
      <w:r w:rsidR="004C1A5D">
        <w:rPr>
          <w:rFonts w:ascii="Arial" w:eastAsia="Arial" w:hAnsi="Arial" w:cs="Arial"/>
          <w:sz w:val="22"/>
          <w:szCs w:val="22"/>
        </w:rPr>
        <w:t>BI1</w:t>
      </w:r>
      <w:r w:rsidRPr="00C1227F">
        <w:rPr>
          <w:rFonts w:ascii="Arial" w:eastAsia="Arial" w:hAnsi="Arial" w:cs="Arial"/>
          <w:sz w:val="22"/>
          <w:szCs w:val="22"/>
        </w:rPr>
        <w:t>-0008).</w:t>
      </w:r>
    </w:p>
    <w:p w:rsidR="00F426AD" w:rsidRPr="00C1227F" w:rsidP="00C1227F" w14:paraId="15105680"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 in part, with the comments.</w:t>
      </w:r>
    </w:p>
    <w:p w:rsidR="00427F5F" w:rsidRPr="00C1227F" w:rsidP="00C1227F" w14:paraId="2ED33974" w14:textId="77777777">
      <w:pPr>
        <w:spacing w:after="220"/>
        <w:rPr>
          <w:rFonts w:ascii="Arial" w:eastAsia="DengXian" w:hAnsi="Arial" w:cs="Arial"/>
          <w:sz w:val="22"/>
          <w:szCs w:val="22"/>
        </w:rPr>
      </w:pPr>
      <w:r w:rsidRPr="00C1227F">
        <w:rPr>
          <w:rFonts w:ascii="Arial" w:eastAsia="DengXian" w:hAnsi="Arial" w:cs="Arial"/>
          <w:sz w:val="22"/>
          <w:szCs w:val="22"/>
        </w:rPr>
        <w:t>The NRC does not fully agree with the relevance of consensus codes and standards related to physics testing and criticality controls for fissionable materials outside of reactors. However, the NRC agrees that the final rule text would benefit from additional flexibilities. The final rule now requires the manufactured reactor to be configured during its loading, storage, and transport with features to pre</w:t>
      </w:r>
      <w:r w:rsidRPr="00C1227F" w:rsidR="00E07E0D">
        <w:rPr>
          <w:rFonts w:ascii="Arial" w:eastAsia="DengXian" w:hAnsi="Arial" w:cs="Arial"/>
          <w:sz w:val="22"/>
          <w:szCs w:val="22"/>
        </w:rPr>
        <w:t>vent</w:t>
      </w:r>
      <w:r w:rsidRPr="00C1227F">
        <w:rPr>
          <w:rFonts w:ascii="Arial" w:eastAsia="DengXian" w:hAnsi="Arial" w:cs="Arial"/>
          <w:sz w:val="22"/>
          <w:szCs w:val="22"/>
        </w:rPr>
        <w:t xml:space="preserve"> criticality and requires that those features be specified in the ML. The requirement provides flexibility to address the variety of reactor designs and possible approaches to pre</w:t>
      </w:r>
      <w:r w:rsidRPr="00C1227F" w:rsidR="0082255F">
        <w:rPr>
          <w:rFonts w:ascii="Arial" w:eastAsia="DengXian" w:hAnsi="Arial" w:cs="Arial"/>
          <w:sz w:val="22"/>
          <w:szCs w:val="22"/>
        </w:rPr>
        <w:t>vent</w:t>
      </w:r>
      <w:r w:rsidRPr="00C1227F">
        <w:rPr>
          <w:rFonts w:ascii="Arial" w:eastAsia="DengXian" w:hAnsi="Arial" w:cs="Arial"/>
          <w:sz w:val="22"/>
          <w:szCs w:val="22"/>
        </w:rPr>
        <w:t xml:space="preserve"> criticality and the range of possible conditions associated with the loading, storage, and transport of manufactured reactors. The requirement, to have in place features to pre</w:t>
      </w:r>
      <w:r w:rsidRPr="00C1227F" w:rsidR="00E07E0D">
        <w:rPr>
          <w:rFonts w:ascii="Arial" w:eastAsia="DengXian" w:hAnsi="Arial" w:cs="Arial"/>
          <w:sz w:val="22"/>
          <w:szCs w:val="22"/>
        </w:rPr>
        <w:t>vent</w:t>
      </w:r>
      <w:r w:rsidRPr="00C1227F">
        <w:rPr>
          <w:rFonts w:ascii="Arial" w:eastAsia="DengXian" w:hAnsi="Arial" w:cs="Arial"/>
          <w:sz w:val="22"/>
          <w:szCs w:val="22"/>
        </w:rPr>
        <w:t xml:space="preserve"> criticality, could support meeting the provisions in </w:t>
      </w:r>
      <w:r w:rsidRPr="00C1227F" w:rsidR="00E07E0D">
        <w:rPr>
          <w:rFonts w:ascii="Arial" w:eastAsia="DengXian" w:hAnsi="Arial" w:cs="Arial"/>
          <w:sz w:val="22"/>
          <w:szCs w:val="22"/>
        </w:rPr>
        <w:t>S</w:t>
      </w:r>
      <w:r w:rsidRPr="00C1227F">
        <w:rPr>
          <w:rFonts w:ascii="Arial" w:eastAsia="DengXian" w:hAnsi="Arial" w:cs="Arial"/>
          <w:sz w:val="22"/>
          <w:szCs w:val="22"/>
        </w:rPr>
        <w:t>ubpart H to 10 CFR Part</w:t>
      </w:r>
      <w:r w:rsidR="005B19CA">
        <w:rPr>
          <w:rFonts w:ascii="Arial" w:eastAsia="DengXian" w:hAnsi="Arial" w:cs="Arial"/>
          <w:sz w:val="22"/>
          <w:szCs w:val="22"/>
        </w:rPr>
        <w:t> </w:t>
      </w:r>
      <w:r w:rsidRPr="00C1227F">
        <w:rPr>
          <w:rFonts w:ascii="Arial" w:eastAsia="DengXian" w:hAnsi="Arial" w:cs="Arial"/>
          <w:sz w:val="22"/>
          <w:szCs w:val="22"/>
        </w:rPr>
        <w:t>70. However, the protections may go beyond those requirements to address concerns associated with fueling, storing, and transporting a nuclear reactor with the fuel arranged in what will be a critical configuration during operations.</w:t>
      </w:r>
    </w:p>
    <w:p w:rsidR="00F426AD" w:rsidRPr="00C1227F" w:rsidP="00C1227F" w14:paraId="784FDF85" w14:textId="77777777">
      <w:pPr>
        <w:spacing w:after="220"/>
        <w:rPr>
          <w:rFonts w:ascii="Arial" w:eastAsia="DengXian" w:hAnsi="Arial" w:cs="Arial"/>
          <w:sz w:val="22"/>
          <w:szCs w:val="22"/>
        </w:rPr>
      </w:pPr>
      <w:r w:rsidRPr="00C1227F">
        <w:rPr>
          <w:rFonts w:ascii="Arial" w:eastAsia="DengXian" w:hAnsi="Arial" w:cs="Arial"/>
          <w:sz w:val="22"/>
          <w:szCs w:val="22"/>
        </w:rPr>
        <w:t>The final rule remove</w:t>
      </w:r>
      <w:r w:rsidRPr="00C1227F" w:rsidR="00427F5F">
        <w:rPr>
          <w:rFonts w:ascii="Arial" w:eastAsia="DengXian" w:hAnsi="Arial" w:cs="Arial"/>
          <w:sz w:val="22"/>
          <w:szCs w:val="22"/>
        </w:rPr>
        <w:t>d</w:t>
      </w:r>
      <w:r w:rsidRPr="00C1227F">
        <w:rPr>
          <w:rFonts w:ascii="Arial" w:eastAsia="DengXian" w:hAnsi="Arial" w:cs="Arial"/>
          <w:sz w:val="22"/>
          <w:szCs w:val="22"/>
        </w:rPr>
        <w:t xml:space="preserve"> the prescriptive requirement that was in the proposed rule and allows applicants to propose features to pre</w:t>
      </w:r>
      <w:r w:rsidRPr="00C1227F" w:rsidR="00E07E0D">
        <w:rPr>
          <w:rFonts w:ascii="Arial" w:eastAsia="DengXian" w:hAnsi="Arial" w:cs="Arial"/>
          <w:sz w:val="22"/>
          <w:szCs w:val="22"/>
        </w:rPr>
        <w:t>vent</w:t>
      </w:r>
      <w:r w:rsidRPr="00C1227F">
        <w:rPr>
          <w:rFonts w:ascii="Arial" w:eastAsia="DengXian" w:hAnsi="Arial" w:cs="Arial"/>
          <w:sz w:val="22"/>
          <w:szCs w:val="22"/>
        </w:rPr>
        <w:t xml:space="preserve"> criticality that are appropriate for specific reactor designs and circumstances associated with their fueling, storage, and transport. While the features to pre</w:t>
      </w:r>
      <w:r w:rsidRPr="00C1227F" w:rsidR="00E07E0D">
        <w:rPr>
          <w:rFonts w:ascii="Arial" w:eastAsia="DengXian" w:hAnsi="Arial" w:cs="Arial"/>
          <w:sz w:val="22"/>
          <w:szCs w:val="22"/>
        </w:rPr>
        <w:t>vent</w:t>
      </w:r>
      <w:r w:rsidRPr="00C1227F">
        <w:rPr>
          <w:rFonts w:ascii="Arial" w:eastAsia="DengXian" w:hAnsi="Arial" w:cs="Arial"/>
          <w:sz w:val="22"/>
          <w:szCs w:val="22"/>
        </w:rPr>
        <w:t xml:space="preserve"> criticality will be governed by various parts of NRC regulations, they will be included in the ML to manage the appropriate controls during the various phases of the manufacture, fueling, storage, transport, and deployment of the manufactured reactor. As stated in the comment, the </w:t>
      </w:r>
      <w:r w:rsidRPr="00C1227F" w:rsidR="005C37CC">
        <w:rPr>
          <w:rFonts w:ascii="Arial" w:eastAsia="DengXian" w:hAnsi="Arial" w:cs="Arial"/>
          <w:sz w:val="22"/>
          <w:szCs w:val="22"/>
        </w:rPr>
        <w:t xml:space="preserve">suggested </w:t>
      </w:r>
      <w:r w:rsidRPr="00C1227F">
        <w:rPr>
          <w:rFonts w:ascii="Arial" w:eastAsia="DengXian" w:hAnsi="Arial" w:cs="Arial"/>
          <w:sz w:val="22"/>
          <w:szCs w:val="22"/>
        </w:rPr>
        <w:t xml:space="preserve">changes to 10 CFR 53.620(d) </w:t>
      </w:r>
      <w:r w:rsidRPr="00C1227F" w:rsidR="00C676F6">
        <w:rPr>
          <w:rFonts w:ascii="Arial" w:eastAsia="DengXian" w:hAnsi="Arial" w:cs="Arial"/>
          <w:sz w:val="22"/>
          <w:szCs w:val="22"/>
        </w:rPr>
        <w:t xml:space="preserve">also </w:t>
      </w:r>
      <w:r w:rsidRPr="00C1227F">
        <w:rPr>
          <w:rFonts w:ascii="Arial" w:eastAsia="DengXian" w:hAnsi="Arial" w:cs="Arial"/>
          <w:sz w:val="22"/>
          <w:szCs w:val="22"/>
        </w:rPr>
        <w:t>required conforming changes to other sections in 10</w:t>
      </w:r>
      <w:r w:rsidRPr="00C1227F" w:rsidR="002C2208">
        <w:rPr>
          <w:rFonts w:ascii="Arial" w:eastAsia="DengXian" w:hAnsi="Arial" w:cs="Arial"/>
          <w:sz w:val="22"/>
          <w:szCs w:val="22"/>
        </w:rPr>
        <w:t> </w:t>
      </w:r>
      <w:r w:rsidRPr="00C1227F">
        <w:rPr>
          <w:rFonts w:ascii="Arial" w:eastAsia="DengXian" w:hAnsi="Arial" w:cs="Arial"/>
          <w:sz w:val="22"/>
          <w:szCs w:val="22"/>
        </w:rPr>
        <w:t>CFR Part 53</w:t>
      </w:r>
      <w:r w:rsidRPr="00C1227F" w:rsidR="00C676F6">
        <w:rPr>
          <w:rFonts w:ascii="Arial" w:eastAsia="DengXian" w:hAnsi="Arial" w:cs="Arial"/>
          <w:sz w:val="22"/>
          <w:szCs w:val="22"/>
        </w:rPr>
        <w:t>.</w:t>
      </w:r>
    </w:p>
    <w:p w:rsidR="00F426AD" w:rsidRPr="00C1227F" w:rsidP="00C1227F" w14:paraId="2B3EDCFD" w14:textId="77777777">
      <w:pPr>
        <w:spacing w:after="220"/>
        <w:rPr>
          <w:rFonts w:ascii="Arial" w:eastAsia="Times New Roman" w:hAnsi="Arial" w:cs="Arial"/>
          <w:color w:val="000000"/>
          <w:sz w:val="22"/>
          <w:szCs w:val="22"/>
          <w:lang w:eastAsia="zh-CN"/>
        </w:rPr>
      </w:pPr>
      <w:r w:rsidRPr="00C1227F">
        <w:rPr>
          <w:rFonts w:ascii="Arial" w:eastAsia="DengXian" w:hAnsi="Arial" w:cs="Arial"/>
          <w:sz w:val="22"/>
          <w:szCs w:val="22"/>
        </w:rPr>
        <w:t xml:space="preserve">Accordingly, the NRC </w:t>
      </w:r>
      <w:r w:rsidR="00850A2D">
        <w:rPr>
          <w:rFonts w:ascii="Arial" w:hAnsi="Arial" w:cs="Arial"/>
          <w:sz w:val="22"/>
          <w:szCs w:val="22"/>
        </w:rPr>
        <w:t>has revised</w:t>
      </w:r>
      <w:r w:rsidR="00850A2D">
        <w:rPr>
          <w:rFonts w:ascii="Arial" w:eastAsia="DengXian" w:hAnsi="Arial" w:cs="Arial"/>
          <w:sz w:val="22"/>
          <w:szCs w:val="22"/>
        </w:rPr>
        <w:t xml:space="preserve"> </w:t>
      </w:r>
      <w:r w:rsidRPr="00C1227F">
        <w:rPr>
          <w:rFonts w:ascii="Arial" w:eastAsia="DengXian" w:hAnsi="Arial" w:cs="Arial"/>
          <w:sz w:val="22"/>
          <w:szCs w:val="22"/>
        </w:rPr>
        <w:t xml:space="preserve">the rule language in 10 CFR 53.620(d) </w:t>
      </w:r>
      <w:r w:rsidRPr="00C1227F" w:rsidR="00C6672B">
        <w:rPr>
          <w:rFonts w:ascii="Arial" w:eastAsia="DengXian" w:hAnsi="Arial" w:cs="Arial"/>
          <w:sz w:val="22"/>
          <w:szCs w:val="22"/>
        </w:rPr>
        <w:t xml:space="preserve">and made conforming changes </w:t>
      </w:r>
      <w:r w:rsidRPr="00C1227F" w:rsidR="00C96EA7">
        <w:rPr>
          <w:rFonts w:ascii="Arial" w:eastAsia="DengXian" w:hAnsi="Arial" w:cs="Arial"/>
          <w:sz w:val="22"/>
          <w:szCs w:val="22"/>
        </w:rPr>
        <w:t xml:space="preserve">throughout 10 CFR Part 53 </w:t>
      </w:r>
      <w:r w:rsidRPr="00C1227F">
        <w:rPr>
          <w:rFonts w:ascii="Arial" w:eastAsia="DengXian" w:hAnsi="Arial" w:cs="Arial"/>
          <w:sz w:val="22"/>
          <w:szCs w:val="22"/>
        </w:rPr>
        <w:t>in response to th</w:t>
      </w:r>
      <w:r w:rsidRPr="00C1227F" w:rsidR="0081054F">
        <w:rPr>
          <w:rFonts w:ascii="Arial" w:eastAsia="DengXian" w:hAnsi="Arial" w:cs="Arial"/>
          <w:sz w:val="22"/>
          <w:szCs w:val="22"/>
        </w:rPr>
        <w:t>e</w:t>
      </w:r>
      <w:r w:rsidRPr="00C1227F">
        <w:rPr>
          <w:rFonts w:ascii="Arial" w:eastAsia="DengXian" w:hAnsi="Arial" w:cs="Arial"/>
          <w:sz w:val="22"/>
          <w:szCs w:val="22"/>
        </w:rPr>
        <w:t>s</w:t>
      </w:r>
      <w:r w:rsidRPr="00C1227F" w:rsidR="0081054F">
        <w:rPr>
          <w:rFonts w:ascii="Arial" w:eastAsia="DengXian" w:hAnsi="Arial" w:cs="Arial"/>
          <w:sz w:val="22"/>
          <w:szCs w:val="22"/>
        </w:rPr>
        <w:t>e</w:t>
      </w:r>
      <w:r w:rsidRPr="00C1227F">
        <w:rPr>
          <w:rFonts w:ascii="Arial" w:eastAsia="DengXian" w:hAnsi="Arial" w:cs="Arial"/>
          <w:sz w:val="22"/>
          <w:szCs w:val="22"/>
        </w:rPr>
        <w:t xml:space="preserve"> comment</w:t>
      </w:r>
      <w:r w:rsidRPr="00C1227F" w:rsidR="0081054F">
        <w:rPr>
          <w:rFonts w:ascii="Arial" w:eastAsia="DengXian" w:hAnsi="Arial" w:cs="Arial"/>
          <w:sz w:val="22"/>
          <w:szCs w:val="22"/>
        </w:rPr>
        <w:t>s</w:t>
      </w:r>
      <w:r w:rsidRPr="00C1227F">
        <w:rPr>
          <w:rFonts w:ascii="Arial" w:eastAsia="DengXian" w:hAnsi="Arial" w:cs="Arial"/>
          <w:sz w:val="22"/>
          <w:szCs w:val="22"/>
        </w:rPr>
        <w:t>.</w:t>
      </w:r>
    </w:p>
    <w:p w:rsidR="006B0443" w:rsidRPr="00C1227F" w:rsidP="00C1227F" w14:paraId="25B0B080"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36" style="width:0;height:1.5pt" o:hralign="center" o:hrstd="t" o:hrnoshade="t" o:hr="t" fillcolor="black" stroked="f"/>
        </w:pict>
      </w:r>
    </w:p>
    <w:p w:rsidR="006B0443" w:rsidRPr="00C1227F" w:rsidP="00C1227F" w14:paraId="066FE922" w14:textId="77777777">
      <w:pPr>
        <w:spacing w:after="220"/>
        <w:rPr>
          <w:rFonts w:ascii="Arial" w:eastAsia="Times New Roman" w:hAnsi="Arial" w:cs="Arial"/>
          <w:color w:val="000000"/>
          <w:sz w:val="22"/>
          <w:szCs w:val="22"/>
          <w:lang w:eastAsia="zh-CN"/>
        </w:rPr>
      </w:pPr>
      <w:r w:rsidRPr="00C1227F">
        <w:rPr>
          <w:rFonts w:ascii="Arial" w:eastAsia="DengXian" w:hAnsi="Arial" w:cs="Arial"/>
          <w:b/>
          <w:sz w:val="22"/>
          <w:szCs w:val="22"/>
        </w:rPr>
        <w:t xml:space="preserve">Comment Bin </w:t>
      </w:r>
      <w:r w:rsidRPr="00C1227F" w:rsidR="00F42726">
        <w:rPr>
          <w:rFonts w:ascii="Arial" w:eastAsia="DengXian" w:hAnsi="Arial" w:cs="Arial"/>
          <w:b/>
          <w:sz w:val="22"/>
          <w:szCs w:val="22"/>
        </w:rPr>
        <w:t>3.5.1.1.C</w:t>
      </w:r>
      <w:r w:rsidRPr="00C1227F">
        <w:rPr>
          <w:rFonts w:ascii="Arial" w:eastAsia="DengXian" w:hAnsi="Arial" w:cs="Arial"/>
          <w:b/>
          <w:sz w:val="22"/>
          <w:szCs w:val="22"/>
        </w:rPr>
        <w:t>:</w:t>
      </w:r>
      <w:r w:rsidRPr="00C1227F">
        <w:rPr>
          <w:rFonts w:ascii="Arial" w:eastAsia="DengXian" w:hAnsi="Arial" w:cs="Arial"/>
          <w:sz w:val="22"/>
          <w:szCs w:val="22"/>
        </w:rPr>
        <w:t xml:space="preserve"> A commenter discussed that the proposed rule missed an opportunity to address transportation of microreactors. The commenter stated that 10 CFR Part 53 begins with a pathway for the transport of a fueled microreactor and cited relevant discussion from SECY-24-0008 regarding the operating status of a fueled microreactor. The commenter expressed agreement with the SECY</w:t>
      </w:r>
      <w:r w:rsidRPr="00C1227F">
        <w:rPr>
          <w:rFonts w:ascii="Arial" w:eastAsia="DengXian" w:hAnsi="Arial" w:cs="Arial"/>
          <w:sz w:val="22"/>
          <w:szCs w:val="22"/>
        </w:rPr>
        <w:noBreakHyphen/>
        <w:t>24</w:t>
      </w:r>
      <w:r w:rsidRPr="00C1227F">
        <w:rPr>
          <w:rFonts w:ascii="Arial" w:eastAsia="DengXian" w:hAnsi="Arial" w:cs="Arial"/>
          <w:sz w:val="22"/>
          <w:szCs w:val="22"/>
        </w:rPr>
        <w:noBreakHyphen/>
        <w:t>0008 conclusion that a fueled microreactor with features to preclude criticality should not be considered “in operation,” and they suggested that more can be done to increase regulatory certainty and technology inclusivity in the context of fueled or mobile microreactors transport and licensing (</w:t>
      </w:r>
      <w:r w:rsidR="009D6BB9">
        <w:rPr>
          <w:rFonts w:ascii="Arial" w:eastAsia="Times New Roman" w:hAnsi="Arial" w:cs="Arial"/>
          <w:color w:val="000000"/>
          <w:sz w:val="22"/>
          <w:szCs w:val="22"/>
          <w:lang w:eastAsia="zh-CN"/>
        </w:rPr>
        <w:t>NEI2</w:t>
      </w:r>
      <w:r w:rsidRPr="00C1227F">
        <w:rPr>
          <w:rFonts w:ascii="Arial" w:eastAsia="Times New Roman" w:hAnsi="Arial" w:cs="Arial"/>
          <w:color w:val="000000"/>
          <w:sz w:val="22"/>
          <w:szCs w:val="22"/>
          <w:lang w:eastAsia="zh-CN"/>
        </w:rPr>
        <w:t>-0252).</w:t>
      </w:r>
    </w:p>
    <w:p w:rsidR="0082490B" w:rsidP="00C1227F" w14:paraId="0E4F6D89"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 in part, with th</w:t>
      </w:r>
      <w:r w:rsidR="005B19CA">
        <w:rPr>
          <w:rFonts w:ascii="Arial" w:eastAsia="DengXian" w:hAnsi="Arial" w:cs="Arial"/>
          <w:sz w:val="22"/>
          <w:szCs w:val="22"/>
        </w:rPr>
        <w:t>e</w:t>
      </w:r>
      <w:r w:rsidRPr="00C1227F">
        <w:rPr>
          <w:rFonts w:ascii="Arial" w:eastAsia="DengXian" w:hAnsi="Arial" w:cs="Arial"/>
          <w:sz w:val="22"/>
          <w:szCs w:val="22"/>
        </w:rPr>
        <w:t xml:space="preserve"> comment.</w:t>
      </w:r>
    </w:p>
    <w:p w:rsidR="00AF1F12" w:rsidP="00C1227F" w14:paraId="1829CC61" w14:textId="77777777">
      <w:pPr>
        <w:spacing w:after="220"/>
        <w:rPr>
          <w:rFonts w:ascii="Arial" w:eastAsia="DengXian" w:hAnsi="Arial" w:cs="Arial"/>
          <w:sz w:val="22"/>
          <w:szCs w:val="22"/>
        </w:rPr>
      </w:pPr>
      <w:r w:rsidRPr="00C1227F">
        <w:rPr>
          <w:rFonts w:ascii="Arial" w:eastAsia="DengXian" w:hAnsi="Arial" w:cs="Arial"/>
          <w:sz w:val="22"/>
          <w:szCs w:val="22"/>
        </w:rPr>
        <w:t xml:space="preserve">The proposed and final rule includes a Commission finding in 10 CFR 53.620(d)(iii) that a manufactured reactor meeting the requirements of 10 CFR 53.620(d)(i) is not in operation. </w:t>
      </w:r>
    </w:p>
    <w:p w:rsidR="00380E0E" w:rsidP="00C1227F" w14:paraId="16927424" w14:textId="77777777">
      <w:pPr>
        <w:spacing w:after="220"/>
        <w:rPr>
          <w:rFonts w:ascii="Arial" w:eastAsia="DengXian" w:hAnsi="Arial" w:cs="Arial"/>
          <w:sz w:val="22"/>
          <w:szCs w:val="22"/>
        </w:rPr>
      </w:pPr>
      <w:r w:rsidRPr="00C1227F">
        <w:rPr>
          <w:rFonts w:ascii="Arial" w:eastAsia="DengXian" w:hAnsi="Arial" w:cs="Arial"/>
          <w:sz w:val="22"/>
          <w:szCs w:val="22"/>
        </w:rPr>
        <w:t xml:space="preserve">The NRC </w:t>
      </w:r>
      <w:r w:rsidR="00850A2D">
        <w:rPr>
          <w:rFonts w:ascii="Arial" w:hAnsi="Arial" w:cs="Arial"/>
          <w:sz w:val="22"/>
          <w:szCs w:val="22"/>
        </w:rPr>
        <w:t xml:space="preserve">has </w:t>
      </w:r>
      <w:r w:rsidR="00500A44">
        <w:rPr>
          <w:rFonts w:ascii="Arial" w:hAnsi="Arial" w:cs="Arial"/>
          <w:sz w:val="22"/>
          <w:szCs w:val="22"/>
        </w:rPr>
        <w:t xml:space="preserve">also </w:t>
      </w:r>
      <w:r w:rsidR="00850A2D">
        <w:rPr>
          <w:rFonts w:ascii="Arial" w:hAnsi="Arial" w:cs="Arial"/>
          <w:sz w:val="22"/>
          <w:szCs w:val="22"/>
        </w:rPr>
        <w:t>revised</w:t>
      </w:r>
      <w:r w:rsidR="00850A2D">
        <w:rPr>
          <w:rFonts w:ascii="Arial" w:eastAsia="DengXian" w:hAnsi="Arial" w:cs="Arial"/>
          <w:sz w:val="22"/>
          <w:szCs w:val="22"/>
        </w:rPr>
        <w:t xml:space="preserve"> </w:t>
      </w:r>
      <w:r w:rsidRPr="00C1227F">
        <w:rPr>
          <w:rFonts w:ascii="Arial" w:eastAsia="DengXian" w:hAnsi="Arial" w:cs="Arial"/>
          <w:sz w:val="22"/>
          <w:szCs w:val="22"/>
        </w:rPr>
        <w:t>the rule language to address other comments in this section</w:t>
      </w:r>
      <w:r w:rsidR="0033405D">
        <w:rPr>
          <w:rFonts w:ascii="Arial" w:eastAsia="DengXian" w:hAnsi="Arial" w:cs="Arial"/>
          <w:sz w:val="22"/>
          <w:szCs w:val="22"/>
        </w:rPr>
        <w:t xml:space="preserve"> (Section 3.5.1.1)</w:t>
      </w:r>
      <w:r w:rsidR="00E054D2">
        <w:rPr>
          <w:rFonts w:ascii="Arial" w:eastAsia="DengXian" w:hAnsi="Arial" w:cs="Arial"/>
          <w:sz w:val="22"/>
          <w:szCs w:val="22"/>
        </w:rPr>
        <w:t>.</w:t>
      </w:r>
      <w:r w:rsidRPr="00C1227F">
        <w:rPr>
          <w:rFonts w:ascii="Arial" w:eastAsia="DengXian" w:hAnsi="Arial" w:cs="Arial"/>
          <w:sz w:val="22"/>
          <w:szCs w:val="22"/>
        </w:rPr>
        <w:t xml:space="preserve"> The NRC is undertaking a separate rulemaking effort to expedite licensing of qualifying microreactors and other low safety and security consequence reactors. This rulemaking effort is consistent with the ADVANCE Act and EOs issued in 2025.</w:t>
      </w:r>
    </w:p>
    <w:p w:rsidR="00380E0E" w:rsidP="00C1227F" w14:paraId="0B7E46D3" w14:textId="77777777">
      <w:pPr>
        <w:spacing w:after="220"/>
        <w:rPr>
          <w:rFonts w:ascii="Arial" w:eastAsia="DengXian" w:hAnsi="Arial" w:cs="Arial"/>
          <w:sz w:val="22"/>
          <w:szCs w:val="22"/>
        </w:rPr>
      </w:pPr>
      <w:r>
        <w:rPr>
          <w:rFonts w:ascii="Arial" w:eastAsia="DengXian" w:hAnsi="Arial" w:cs="Arial"/>
          <w:sz w:val="22"/>
          <w:szCs w:val="22"/>
        </w:rPr>
        <w:t xml:space="preserve">Accordingly, </w:t>
      </w:r>
      <w:r w:rsidRPr="00C1227F">
        <w:rPr>
          <w:rFonts w:ascii="Arial" w:eastAsia="DengXian" w:hAnsi="Arial" w:cs="Arial"/>
          <w:sz w:val="22"/>
          <w:szCs w:val="22"/>
        </w:rPr>
        <w:t>the NRC did not change the rule language in response to this comment.</w:t>
      </w:r>
    </w:p>
    <w:p w:rsidR="009B35E5" w:rsidRPr="00C1227F" w:rsidP="00C1227F" w14:paraId="066FB38B" w14:textId="77777777">
      <w:pPr>
        <w:spacing w:after="220"/>
        <w:rPr>
          <w:rFonts w:ascii="Arial" w:eastAsia="DengXian" w:hAnsi="Arial" w:cs="Arial"/>
          <w:sz w:val="22"/>
          <w:szCs w:val="22"/>
        </w:rPr>
      </w:pPr>
      <w:r>
        <w:rPr>
          <w:rFonts w:ascii="Arial" w:eastAsia="Times New Roman" w:hAnsi="Arial" w:cs="Arial"/>
          <w:sz w:val="22"/>
          <w:szCs w:val="22"/>
          <w:lang w:eastAsia="zh-CN"/>
        </w:rPr>
        <w:pict>
          <v:rect id="_x0000_i1137" style="width:0;height:1.5pt" o:hralign="center" o:hrstd="t" o:hrnoshade="t" o:hr="t" fillcolor="black" stroked="f"/>
        </w:pict>
      </w:r>
    </w:p>
    <w:p w:rsidR="007606F6" w:rsidRPr="00C1227F" w:rsidP="00C1227F" w14:paraId="06479964" w14:textId="77777777">
      <w:pPr>
        <w:spacing w:after="220"/>
        <w:rPr>
          <w:rFonts w:ascii="Arial" w:hAnsi="Arial" w:cs="Arial"/>
          <w:sz w:val="22"/>
          <w:szCs w:val="22"/>
        </w:rPr>
      </w:pPr>
      <w:r w:rsidRPr="00C1227F">
        <w:rPr>
          <w:rFonts w:ascii="Arial" w:hAnsi="Arial" w:cs="Arial"/>
          <w:b/>
          <w:sz w:val="22"/>
          <w:szCs w:val="22"/>
        </w:rPr>
        <w:t>Comment Bin 3.5.1.1.D:</w:t>
      </w:r>
      <w:r w:rsidRPr="00C1227F">
        <w:rPr>
          <w:rFonts w:ascii="Arial" w:hAnsi="Arial" w:cs="Arial"/>
          <w:sz w:val="22"/>
          <w:szCs w:val="22"/>
        </w:rPr>
        <w:t xml:space="preserve"> A comme</w:t>
      </w:r>
      <w:r w:rsidRPr="00C1227F" w:rsidR="00FD0A49">
        <w:rPr>
          <w:rFonts w:ascii="Arial" w:hAnsi="Arial" w:cs="Arial"/>
          <w:sz w:val="22"/>
          <w:szCs w:val="22"/>
        </w:rPr>
        <w:t xml:space="preserve">nter stated that the proposed rule </w:t>
      </w:r>
      <w:r w:rsidRPr="00C1227F" w:rsidR="00091226">
        <w:rPr>
          <w:rFonts w:ascii="Arial" w:hAnsi="Arial" w:cs="Arial"/>
          <w:sz w:val="22"/>
          <w:szCs w:val="22"/>
        </w:rPr>
        <w:t xml:space="preserve">does not include modifications to 10 CFR Part 71 to align it with </w:t>
      </w:r>
      <w:r w:rsidRPr="00C1227F" w:rsidR="00EF0142">
        <w:rPr>
          <w:rFonts w:ascii="Arial" w:hAnsi="Arial" w:cs="Arial"/>
          <w:sz w:val="22"/>
          <w:szCs w:val="22"/>
        </w:rPr>
        <w:t>10 CFR </w:t>
      </w:r>
      <w:r w:rsidRPr="00C1227F" w:rsidR="00091226">
        <w:rPr>
          <w:rFonts w:ascii="Arial" w:hAnsi="Arial" w:cs="Arial"/>
          <w:sz w:val="22"/>
          <w:szCs w:val="22"/>
        </w:rPr>
        <w:t xml:space="preserve">Part 53 and that this is </w:t>
      </w:r>
      <w:r w:rsidRPr="00C1227F" w:rsidR="0075563B">
        <w:rPr>
          <w:rFonts w:ascii="Arial" w:hAnsi="Arial" w:cs="Arial"/>
          <w:sz w:val="22"/>
          <w:szCs w:val="22"/>
        </w:rPr>
        <w:t xml:space="preserve">evident in </w:t>
      </w:r>
      <w:r w:rsidRPr="00C1227F" w:rsidR="003A33D6">
        <w:rPr>
          <w:rFonts w:ascii="Arial" w:hAnsi="Arial" w:cs="Arial"/>
          <w:sz w:val="22"/>
          <w:szCs w:val="22"/>
        </w:rPr>
        <w:t>10</w:t>
      </w:r>
      <w:r w:rsidRPr="00C1227F" w:rsidR="0023424F">
        <w:rPr>
          <w:rFonts w:ascii="Arial" w:hAnsi="Arial" w:cs="Arial"/>
          <w:sz w:val="22"/>
          <w:szCs w:val="22"/>
        </w:rPr>
        <w:t> </w:t>
      </w:r>
      <w:r w:rsidRPr="00C1227F" w:rsidR="003A33D6">
        <w:rPr>
          <w:rFonts w:ascii="Arial" w:hAnsi="Arial" w:cs="Arial"/>
          <w:sz w:val="22"/>
          <w:szCs w:val="22"/>
        </w:rPr>
        <w:t xml:space="preserve">CFR </w:t>
      </w:r>
      <w:r w:rsidRPr="00C1227F" w:rsidR="0075563B">
        <w:rPr>
          <w:rFonts w:ascii="Arial" w:hAnsi="Arial" w:cs="Arial"/>
          <w:sz w:val="22"/>
          <w:szCs w:val="22"/>
        </w:rPr>
        <w:t xml:space="preserve">53.620(e)(4), which requires that for a manufactured reactor pre-loaded with fresh fuel and transported to its place of operation, transportation must comply with </w:t>
      </w:r>
      <w:r w:rsidRPr="00C1227F" w:rsidR="003A33D6">
        <w:rPr>
          <w:rFonts w:ascii="Arial" w:hAnsi="Arial" w:cs="Arial"/>
          <w:sz w:val="22"/>
          <w:szCs w:val="22"/>
        </w:rPr>
        <w:t>10</w:t>
      </w:r>
      <w:r w:rsidRPr="00C1227F" w:rsidR="00EF0142">
        <w:rPr>
          <w:rFonts w:ascii="Arial" w:hAnsi="Arial" w:cs="Arial"/>
          <w:sz w:val="22"/>
          <w:szCs w:val="22"/>
        </w:rPr>
        <w:t> </w:t>
      </w:r>
      <w:r w:rsidRPr="00C1227F" w:rsidR="003A33D6">
        <w:rPr>
          <w:rFonts w:ascii="Arial" w:hAnsi="Arial" w:cs="Arial"/>
          <w:sz w:val="22"/>
          <w:szCs w:val="22"/>
        </w:rPr>
        <w:t xml:space="preserve">CFR </w:t>
      </w:r>
      <w:r w:rsidRPr="00C1227F" w:rsidR="0075563B">
        <w:rPr>
          <w:rFonts w:ascii="Arial" w:hAnsi="Arial" w:cs="Arial"/>
          <w:sz w:val="22"/>
          <w:szCs w:val="22"/>
        </w:rPr>
        <w:t xml:space="preserve">Part 71 and </w:t>
      </w:r>
      <w:r w:rsidR="006631AF">
        <w:rPr>
          <w:rFonts w:ascii="Arial" w:hAnsi="Arial" w:cs="Arial"/>
          <w:sz w:val="22"/>
          <w:szCs w:val="22"/>
        </w:rPr>
        <w:t xml:space="preserve">10 CFR Part </w:t>
      </w:r>
      <w:r w:rsidRPr="00C1227F" w:rsidR="0075563B">
        <w:rPr>
          <w:rFonts w:ascii="Arial" w:hAnsi="Arial" w:cs="Arial"/>
          <w:sz w:val="22"/>
          <w:szCs w:val="22"/>
        </w:rPr>
        <w:t>73. The</w:t>
      </w:r>
      <w:r w:rsidRPr="00C1227F" w:rsidR="0023424F">
        <w:rPr>
          <w:rFonts w:ascii="Arial" w:hAnsi="Arial" w:cs="Arial"/>
          <w:sz w:val="22"/>
          <w:szCs w:val="22"/>
        </w:rPr>
        <w:t xml:space="preserve"> commenter ass</w:t>
      </w:r>
      <w:r w:rsidRPr="00C1227F" w:rsidR="007A19A3">
        <w:rPr>
          <w:rFonts w:ascii="Arial" w:hAnsi="Arial" w:cs="Arial"/>
          <w:sz w:val="22"/>
          <w:szCs w:val="22"/>
        </w:rPr>
        <w:t>erted that the</w:t>
      </w:r>
      <w:r w:rsidRPr="00C1227F" w:rsidR="0075563B">
        <w:rPr>
          <w:rFonts w:ascii="Arial" w:hAnsi="Arial" w:cs="Arial"/>
          <w:sz w:val="22"/>
          <w:szCs w:val="22"/>
        </w:rPr>
        <w:t xml:space="preserve"> prescriptive nature of 10</w:t>
      </w:r>
      <w:r w:rsidRPr="00C1227F" w:rsidR="00EF0142">
        <w:rPr>
          <w:rFonts w:ascii="Arial" w:hAnsi="Arial" w:cs="Arial"/>
          <w:sz w:val="22"/>
          <w:szCs w:val="22"/>
        </w:rPr>
        <w:t> </w:t>
      </w:r>
      <w:r w:rsidRPr="00C1227F" w:rsidR="0075563B">
        <w:rPr>
          <w:rFonts w:ascii="Arial" w:hAnsi="Arial" w:cs="Arial"/>
          <w:sz w:val="22"/>
          <w:szCs w:val="22"/>
        </w:rPr>
        <w:t>CFR 71.55 may not adequately accommodate advanced reactor designs</w:t>
      </w:r>
      <w:r w:rsidR="009F6584">
        <w:rPr>
          <w:rFonts w:ascii="Arial" w:hAnsi="Arial" w:cs="Arial"/>
          <w:sz w:val="22"/>
          <w:szCs w:val="22"/>
        </w:rPr>
        <w:t>,</w:t>
      </w:r>
      <w:r w:rsidRPr="00C1227F" w:rsidR="008436C1">
        <w:rPr>
          <w:rFonts w:ascii="Arial" w:hAnsi="Arial" w:cs="Arial"/>
          <w:sz w:val="22"/>
          <w:szCs w:val="22"/>
        </w:rPr>
        <w:t xml:space="preserve"> and 10</w:t>
      </w:r>
      <w:r w:rsidRPr="00C1227F" w:rsidR="00F70FBC">
        <w:rPr>
          <w:rFonts w:ascii="Arial" w:hAnsi="Arial" w:cs="Arial"/>
          <w:sz w:val="22"/>
          <w:szCs w:val="22"/>
        </w:rPr>
        <w:t> </w:t>
      </w:r>
      <w:r w:rsidRPr="00C1227F" w:rsidR="008436C1">
        <w:rPr>
          <w:rFonts w:ascii="Arial" w:hAnsi="Arial" w:cs="Arial"/>
          <w:sz w:val="22"/>
          <w:szCs w:val="22"/>
        </w:rPr>
        <w:t>CFR</w:t>
      </w:r>
      <w:r w:rsidRPr="00C1227F" w:rsidR="0075563B">
        <w:rPr>
          <w:rFonts w:ascii="Arial" w:hAnsi="Arial" w:cs="Arial"/>
          <w:sz w:val="22"/>
          <w:szCs w:val="22"/>
        </w:rPr>
        <w:t xml:space="preserve"> 71.73 requirements may not sufficiently cover advanced reactor designs during transportation.</w:t>
      </w:r>
    </w:p>
    <w:p w:rsidR="00E17E7B" w:rsidRPr="00C1227F" w:rsidP="00C1227F" w14:paraId="03D44628" w14:textId="77777777">
      <w:pPr>
        <w:spacing w:after="220"/>
        <w:rPr>
          <w:rFonts w:ascii="Arial" w:hAnsi="Arial" w:cs="Arial"/>
          <w:sz w:val="22"/>
          <w:szCs w:val="22"/>
        </w:rPr>
      </w:pPr>
      <w:r w:rsidRPr="00C1227F">
        <w:rPr>
          <w:rFonts w:ascii="Arial" w:hAnsi="Arial" w:cs="Arial"/>
          <w:sz w:val="22"/>
          <w:szCs w:val="22"/>
        </w:rPr>
        <w:t>The commenter recommended the NRC consider using a technology-inclusive, risk-informed, and performance-based approach in developing packaging and transportation requirements in 10 CFR Part 71 to meet the objectives of the proposed regulatory framework. The commenter said that this approach should address the needs of factory</w:t>
      </w:r>
      <w:r w:rsidRPr="00C1227F">
        <w:rPr>
          <w:rFonts w:ascii="Arial" w:hAnsi="Arial" w:cs="Arial"/>
          <w:sz w:val="22"/>
          <w:szCs w:val="22"/>
        </w:rPr>
        <w:noBreakHyphen/>
        <w:t>fueled reactors that require transportation from the factory to their operational sites (</w:t>
      </w:r>
      <w:r w:rsidR="0072098F">
        <w:rPr>
          <w:rFonts w:ascii="Arial" w:hAnsi="Arial" w:cs="Arial"/>
          <w:sz w:val="22"/>
          <w:szCs w:val="22"/>
        </w:rPr>
        <w:t>IDNL</w:t>
      </w:r>
      <w:r w:rsidRPr="00C1227F">
        <w:rPr>
          <w:rFonts w:ascii="Arial" w:hAnsi="Arial" w:cs="Arial"/>
          <w:sz w:val="22"/>
          <w:szCs w:val="22"/>
        </w:rPr>
        <w:t>-0006).</w:t>
      </w:r>
    </w:p>
    <w:p w:rsidR="00273DBD" w:rsidRPr="00C1227F" w:rsidP="00C1227F" w14:paraId="0194222F" w14:textId="77777777">
      <w:pPr>
        <w:spacing w:after="220"/>
        <w:rPr>
          <w:rFonts w:ascii="Arial" w:hAnsi="Arial" w:cs="Arial"/>
          <w:sz w:val="22"/>
          <w:szCs w:val="22"/>
        </w:rPr>
      </w:pPr>
      <w:r w:rsidRPr="00C1227F">
        <w:rPr>
          <w:rFonts w:ascii="Arial" w:hAnsi="Arial" w:cs="Arial"/>
          <w:b/>
          <w:sz w:val="22"/>
          <w:szCs w:val="22"/>
        </w:rPr>
        <w:t>NRC Response:</w:t>
      </w:r>
      <w:r w:rsidRPr="00C1227F">
        <w:rPr>
          <w:rFonts w:ascii="Arial" w:hAnsi="Arial" w:cs="Arial"/>
          <w:sz w:val="22"/>
          <w:szCs w:val="22"/>
        </w:rPr>
        <w:t> The NRC agrees, in part, with th</w:t>
      </w:r>
      <w:r w:rsidR="0070087A">
        <w:rPr>
          <w:rFonts w:ascii="Arial" w:hAnsi="Arial" w:cs="Arial"/>
          <w:sz w:val="22"/>
          <w:szCs w:val="22"/>
        </w:rPr>
        <w:t>e</w:t>
      </w:r>
      <w:r w:rsidRPr="00C1227F">
        <w:rPr>
          <w:rFonts w:ascii="Arial" w:hAnsi="Arial" w:cs="Arial"/>
          <w:sz w:val="22"/>
          <w:szCs w:val="22"/>
        </w:rPr>
        <w:t xml:space="preserve"> comment.</w:t>
      </w:r>
    </w:p>
    <w:p w:rsidR="00273DBD" w:rsidRPr="00C1227F" w:rsidP="00C1227F" w14:paraId="2AF01AA6" w14:textId="77777777">
      <w:pPr>
        <w:spacing w:after="220"/>
        <w:rPr>
          <w:rFonts w:ascii="Arial" w:hAnsi="Arial" w:cs="Arial"/>
          <w:sz w:val="22"/>
          <w:szCs w:val="22"/>
        </w:rPr>
      </w:pPr>
      <w:r w:rsidRPr="00C1227F">
        <w:rPr>
          <w:rFonts w:ascii="Arial" w:hAnsi="Arial" w:cs="Arial"/>
          <w:sz w:val="22"/>
          <w:szCs w:val="22"/>
        </w:rPr>
        <w:t xml:space="preserve">As discussed in the response to </w:t>
      </w:r>
      <w:r w:rsidRPr="00C1227F" w:rsidR="001F26E6">
        <w:rPr>
          <w:rFonts w:ascii="Arial" w:hAnsi="Arial" w:cs="Arial"/>
          <w:sz w:val="22"/>
          <w:szCs w:val="22"/>
        </w:rPr>
        <w:t>C</w:t>
      </w:r>
      <w:r w:rsidRPr="00C1227F">
        <w:rPr>
          <w:rFonts w:ascii="Arial" w:hAnsi="Arial" w:cs="Arial"/>
          <w:sz w:val="22"/>
          <w:szCs w:val="22"/>
        </w:rPr>
        <w:t>omment</w:t>
      </w:r>
      <w:r w:rsidRPr="00C1227F" w:rsidR="001F26E6">
        <w:rPr>
          <w:rFonts w:ascii="Arial" w:hAnsi="Arial" w:cs="Arial"/>
          <w:sz w:val="22"/>
          <w:szCs w:val="22"/>
        </w:rPr>
        <w:t xml:space="preserve"> Bin</w:t>
      </w:r>
      <w:r w:rsidRPr="00C1227F">
        <w:rPr>
          <w:rFonts w:ascii="Arial" w:hAnsi="Arial" w:cs="Arial"/>
          <w:sz w:val="22"/>
          <w:szCs w:val="22"/>
        </w:rPr>
        <w:t xml:space="preserve"> 3.5.1.1</w:t>
      </w:r>
      <w:r w:rsidRPr="00C1227F" w:rsidR="001F26E6">
        <w:rPr>
          <w:rFonts w:ascii="Arial" w:hAnsi="Arial" w:cs="Arial"/>
          <w:sz w:val="22"/>
          <w:szCs w:val="22"/>
        </w:rPr>
        <w:t>.B</w:t>
      </w:r>
      <w:r w:rsidRPr="00C1227F">
        <w:rPr>
          <w:rFonts w:ascii="Arial" w:hAnsi="Arial" w:cs="Arial"/>
          <w:sz w:val="22"/>
          <w:szCs w:val="22"/>
        </w:rPr>
        <w:t xml:space="preserve">, the NRC </w:t>
      </w:r>
      <w:r w:rsidR="002F3E70">
        <w:rPr>
          <w:rFonts w:ascii="Arial" w:hAnsi="Arial" w:cs="Arial"/>
          <w:sz w:val="22"/>
          <w:szCs w:val="22"/>
        </w:rPr>
        <w:t xml:space="preserve">has revised </w:t>
      </w:r>
      <w:r w:rsidRPr="00C1227F">
        <w:rPr>
          <w:rFonts w:ascii="Arial" w:hAnsi="Arial" w:cs="Arial"/>
          <w:sz w:val="22"/>
          <w:szCs w:val="22"/>
        </w:rPr>
        <w:t>the requirements in 10 CFR 53.620(d) related to features to pre</w:t>
      </w:r>
      <w:r w:rsidRPr="00C1227F" w:rsidR="00584D2D">
        <w:rPr>
          <w:rFonts w:ascii="Arial" w:hAnsi="Arial" w:cs="Arial"/>
          <w:sz w:val="22"/>
          <w:szCs w:val="22"/>
        </w:rPr>
        <w:t>vent</w:t>
      </w:r>
      <w:r w:rsidRPr="00C1227F">
        <w:rPr>
          <w:rFonts w:ascii="Arial" w:hAnsi="Arial" w:cs="Arial"/>
          <w:sz w:val="22"/>
          <w:szCs w:val="22"/>
        </w:rPr>
        <w:t xml:space="preserve"> criticality in the final rule. This change offers additional flexibility in 10 CFR Part 53 and may facilitate the alignment of design features and other measures needed to comply with requirements in 10 CFR Part 71. However, the NRC acknowledges that applicants will need to carefully assess the various regulations of the NRC and other agencies and may propose exemptions from specific regulations where appropriate and justifiable.</w:t>
      </w:r>
    </w:p>
    <w:p w:rsidR="00E44655" w:rsidRPr="00C1227F" w:rsidP="00C1227F" w14:paraId="583B2746" w14:textId="77777777">
      <w:pPr>
        <w:spacing w:after="220"/>
        <w:rPr>
          <w:rFonts w:ascii="Arial" w:hAnsi="Arial" w:cs="Arial"/>
          <w:sz w:val="22"/>
          <w:szCs w:val="22"/>
        </w:rPr>
      </w:pPr>
      <w:r w:rsidRPr="00C1227F">
        <w:rPr>
          <w:rFonts w:ascii="Arial" w:hAnsi="Arial" w:cs="Arial"/>
          <w:sz w:val="22"/>
          <w:szCs w:val="22"/>
        </w:rPr>
        <w:t xml:space="preserve">Additional rulemakings </w:t>
      </w:r>
      <w:r w:rsidRPr="00C1227F" w:rsidR="002E5E13">
        <w:rPr>
          <w:rFonts w:ascii="Arial" w:hAnsi="Arial" w:cs="Arial"/>
          <w:sz w:val="22"/>
          <w:szCs w:val="22"/>
        </w:rPr>
        <w:t>may be appropriate</w:t>
      </w:r>
      <w:r w:rsidRPr="00C1227F">
        <w:rPr>
          <w:rFonts w:ascii="Arial" w:hAnsi="Arial" w:cs="Arial"/>
          <w:sz w:val="22"/>
          <w:szCs w:val="22"/>
        </w:rPr>
        <w:t xml:space="preserve"> as the designs and deployment models evolve. For example, the NRC is undertaking a separate rulemaking effort to expedite licensing of </w:t>
      </w:r>
      <w:r w:rsidRPr="00C1227F">
        <w:rPr>
          <w:rFonts w:ascii="Arial" w:hAnsi="Arial" w:cs="Arial"/>
          <w:sz w:val="22"/>
          <w:szCs w:val="22"/>
        </w:rPr>
        <w:t>microreactors and other low safety and security consequence reactors. This rulemaking effort is consistent with the ADVANCE Act and EOs issued in 2025.</w:t>
      </w:r>
    </w:p>
    <w:p w:rsidR="00E17E7B" w:rsidRPr="00C1227F" w:rsidP="00C1227F" w14:paraId="705E8D05" w14:textId="77777777">
      <w:pPr>
        <w:spacing w:after="220"/>
        <w:rPr>
          <w:rFonts w:ascii="Arial" w:hAnsi="Arial" w:cs="Arial"/>
          <w:sz w:val="22"/>
          <w:szCs w:val="22"/>
        </w:rPr>
      </w:pPr>
      <w:r w:rsidRPr="00C1227F">
        <w:rPr>
          <w:rFonts w:ascii="Arial" w:hAnsi="Arial" w:cs="Arial"/>
          <w:sz w:val="22"/>
          <w:szCs w:val="22"/>
        </w:rPr>
        <w:t>Accordingly, the NRC did not change the rule language in response to th</w:t>
      </w:r>
      <w:r w:rsidRPr="00C1227F" w:rsidR="00E44655">
        <w:rPr>
          <w:rFonts w:ascii="Arial" w:hAnsi="Arial" w:cs="Arial"/>
          <w:sz w:val="22"/>
          <w:szCs w:val="22"/>
        </w:rPr>
        <w:t>is</w:t>
      </w:r>
      <w:r w:rsidRPr="00C1227F">
        <w:rPr>
          <w:rFonts w:ascii="Arial" w:hAnsi="Arial" w:cs="Arial"/>
          <w:sz w:val="22"/>
          <w:szCs w:val="22"/>
        </w:rPr>
        <w:t xml:space="preserve"> comment.</w:t>
      </w:r>
    </w:p>
    <w:p w:rsidR="00D507BC" w:rsidRPr="00845D1D" w:rsidP="00C1227F" w14:paraId="7654E037" w14:textId="77777777">
      <w:pPr>
        <w:spacing w:after="220"/>
        <w:rPr>
          <w:rFonts w:ascii="Arial" w:eastAsia="Times New Roman" w:hAnsi="Arial" w:cs="Arial"/>
          <w:lang w:eastAsia="zh-CN"/>
        </w:rPr>
      </w:pPr>
      <w:r>
        <w:rPr>
          <w:rFonts w:ascii="Arial" w:eastAsia="Times New Roman" w:hAnsi="Arial" w:cs="Arial"/>
          <w:sz w:val="22"/>
          <w:szCs w:val="22"/>
          <w:lang w:eastAsia="zh-CN"/>
        </w:rPr>
        <w:pict>
          <v:rect id="_x0000_i1138" style="width:0;height:1.5pt" o:hralign="center" o:hrstd="t" o:hrnoshade="t" o:hr="t" fillcolor="black" stroked="f"/>
        </w:pict>
      </w:r>
    </w:p>
    <w:p w:rsidR="00654EC1" w:rsidRPr="00B92619" w:rsidP="00B92619" w14:paraId="312A914C" w14:textId="77777777">
      <w:pPr>
        <w:pStyle w:val="Heading4"/>
      </w:pPr>
      <w:r w:rsidRPr="00F24F97">
        <w:rPr>
          <w:u w:val="none"/>
        </w:rPr>
        <w:t>3.5.1.2.</w:t>
      </w:r>
      <w:r w:rsidRPr="00F24F97">
        <w:rPr>
          <w:u w:val="none"/>
        </w:rPr>
        <w:tab/>
      </w:r>
      <w:r w:rsidRPr="00B92619" w:rsidR="00AC1417">
        <w:t>RFC: Applicability of factory fuel loading requirements by size or type of reactor</w:t>
      </w:r>
    </w:p>
    <w:p w:rsidR="00D17F57" w:rsidRPr="00C1227F" w:rsidP="00C1227F" w14:paraId="4914D911" w14:textId="77777777">
      <w:pPr>
        <w:spacing w:after="220"/>
        <w:rPr>
          <w:rFonts w:ascii="Arial" w:eastAsia="Times New Roman" w:hAnsi="Arial" w:cs="Arial"/>
          <w:color w:val="000000"/>
          <w:sz w:val="22"/>
          <w:szCs w:val="22"/>
          <w:lang w:eastAsia="zh-CN"/>
        </w:rPr>
      </w:pPr>
      <w:r w:rsidRPr="00C1227F">
        <w:rPr>
          <w:rFonts w:ascii="Arial" w:eastAsia="DengXian" w:hAnsi="Arial" w:cs="Arial"/>
          <w:b/>
          <w:sz w:val="22"/>
          <w:szCs w:val="22"/>
        </w:rPr>
        <w:t xml:space="preserve">Comment Bin </w:t>
      </w:r>
      <w:r w:rsidRPr="00C1227F" w:rsidR="007B3F00">
        <w:rPr>
          <w:rFonts w:ascii="Arial" w:eastAsia="DengXian" w:hAnsi="Arial" w:cs="Arial"/>
          <w:b/>
          <w:sz w:val="22"/>
          <w:szCs w:val="22"/>
        </w:rPr>
        <w:t>3.5.1.2.A:</w:t>
      </w:r>
      <w:r w:rsidRPr="00C1227F">
        <w:rPr>
          <w:rFonts w:ascii="Arial" w:eastAsia="DengXian" w:hAnsi="Arial" w:cs="Arial"/>
          <w:sz w:val="22"/>
          <w:szCs w:val="22"/>
        </w:rPr>
        <w:t xml:space="preserve"> One commenter stated that the rule should clearly and efficiently allow for factory fuel loading of reactors with factory-focused inspections and testing of production units. The commenter suggested incorporating SECY-24-0008</w:t>
      </w:r>
      <w:r w:rsidR="00CF6565">
        <w:rPr>
          <w:rFonts w:ascii="Arial" w:eastAsia="DengXian" w:hAnsi="Arial" w:cs="Arial"/>
          <w:sz w:val="22"/>
          <w:szCs w:val="22"/>
        </w:rPr>
        <w:t xml:space="preserve"> </w:t>
      </w:r>
      <w:r w:rsidRPr="00C1227F">
        <w:rPr>
          <w:rFonts w:ascii="Arial" w:eastAsia="DengXian" w:hAnsi="Arial" w:cs="Arial"/>
          <w:sz w:val="22"/>
          <w:szCs w:val="22"/>
        </w:rPr>
        <w:t>and making such approaches acceptable for any technology that can use them, not just microreactors. The commenter supported the staff's recommended options 1b, 2b, and 3b, which would allow the staff to employ risk insights and performance-based approaches to regulating commercial factory</w:t>
      </w:r>
      <w:r w:rsidR="00DF23BD">
        <w:rPr>
          <w:rFonts w:ascii="Arial" w:eastAsia="DengXian" w:hAnsi="Arial" w:cs="Arial"/>
          <w:sz w:val="22"/>
          <w:szCs w:val="22"/>
        </w:rPr>
        <w:noBreakHyphen/>
      </w:r>
      <w:r w:rsidRPr="00C1227F">
        <w:rPr>
          <w:rFonts w:ascii="Arial" w:eastAsia="DengXian" w:hAnsi="Arial" w:cs="Arial"/>
          <w:sz w:val="22"/>
          <w:szCs w:val="22"/>
        </w:rPr>
        <w:t>fabricated reactors, and said options 1a, 2a, and 3a, which mostly rely on established policies and processes for power reactor licensing, may be appropriate in certain circumstances (</w:t>
      </w:r>
      <w:r w:rsidR="00AE0B17">
        <w:rPr>
          <w:rFonts w:ascii="Arial" w:eastAsia="DengXian" w:hAnsi="Arial" w:cs="Arial"/>
          <w:sz w:val="22"/>
          <w:szCs w:val="22"/>
        </w:rPr>
        <w:t>USNIC2</w:t>
      </w:r>
      <w:r w:rsidRPr="00C1227F">
        <w:rPr>
          <w:rFonts w:ascii="Arial" w:eastAsia="DengXian" w:hAnsi="Arial" w:cs="Arial"/>
          <w:sz w:val="22"/>
          <w:szCs w:val="22"/>
        </w:rPr>
        <w:t>-0014).</w:t>
      </w:r>
    </w:p>
    <w:p w:rsidR="00047061" w:rsidP="00C1227F" w14:paraId="3FD82D74"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 in part, with th</w:t>
      </w:r>
      <w:r w:rsidR="0070087A">
        <w:rPr>
          <w:rFonts w:ascii="Arial" w:eastAsia="DengXian" w:hAnsi="Arial" w:cs="Arial"/>
          <w:sz w:val="22"/>
          <w:szCs w:val="22"/>
        </w:rPr>
        <w:t>e</w:t>
      </w:r>
      <w:r w:rsidRPr="00C1227F">
        <w:rPr>
          <w:rFonts w:ascii="Arial" w:eastAsia="DengXian" w:hAnsi="Arial" w:cs="Arial"/>
          <w:sz w:val="22"/>
          <w:szCs w:val="22"/>
        </w:rPr>
        <w:t xml:space="preserve"> comment. </w:t>
      </w:r>
    </w:p>
    <w:p w:rsidR="007B3F00" w:rsidRPr="00C1227F" w:rsidP="00C1227F" w14:paraId="63549188" w14:textId="77777777">
      <w:pPr>
        <w:spacing w:after="220"/>
        <w:rPr>
          <w:rFonts w:ascii="Arial" w:eastAsia="DengXian" w:hAnsi="Arial" w:cs="Arial"/>
          <w:sz w:val="22"/>
          <w:szCs w:val="22"/>
        </w:rPr>
      </w:pPr>
      <w:r w:rsidRPr="00C1227F">
        <w:rPr>
          <w:rFonts w:ascii="Arial" w:eastAsia="DengXian" w:hAnsi="Arial" w:cs="Arial"/>
          <w:sz w:val="22"/>
          <w:szCs w:val="22"/>
        </w:rPr>
        <w:t xml:space="preserve">10 CFR Part 53 includes provisions for the loading of fuel into manufactured reactors at the manufacturing facility. The associated provisions do not have specific exclusions that limit them to microreactors and are similar to the options described in SECY-24-0008 for how factory fuel loading might be accomplished under 10 CFR Part 50 and </w:t>
      </w:r>
      <w:r w:rsidR="00AC15CE">
        <w:rPr>
          <w:rFonts w:ascii="Arial" w:eastAsia="DengXian" w:hAnsi="Arial" w:cs="Arial"/>
          <w:sz w:val="22"/>
          <w:szCs w:val="22"/>
        </w:rPr>
        <w:t xml:space="preserve">10 CFR Part </w:t>
      </w:r>
      <w:r w:rsidRPr="00C1227F">
        <w:rPr>
          <w:rFonts w:ascii="Arial" w:eastAsia="DengXian" w:hAnsi="Arial" w:cs="Arial"/>
          <w:sz w:val="22"/>
          <w:szCs w:val="22"/>
        </w:rPr>
        <w:t>52.</w:t>
      </w:r>
    </w:p>
    <w:p w:rsidR="007B3F00" w:rsidRPr="00C1227F" w:rsidP="00C1227F" w14:paraId="3E5FF8CE" w14:textId="77777777">
      <w:pPr>
        <w:spacing w:after="220"/>
        <w:rPr>
          <w:rFonts w:ascii="Arial" w:eastAsia="DengXian" w:hAnsi="Arial" w:cs="Arial"/>
          <w:sz w:val="22"/>
          <w:szCs w:val="22"/>
        </w:rPr>
      </w:pPr>
      <w:r w:rsidRPr="00C1227F">
        <w:rPr>
          <w:rFonts w:ascii="Arial" w:eastAsia="DengXian" w:hAnsi="Arial" w:cs="Arial"/>
          <w:sz w:val="22"/>
          <w:szCs w:val="22"/>
        </w:rPr>
        <w:t>Regarding allowing operational testing of manufactured reactors within the manufacturing facility (Options 3a and 3b in SECY-24-0008), the response to the comments in Section 3.8.10 explains that the NRC has not included specific provisions for such testing in 10 CFR Part 53 but instead agrees with the comment’s suggestion that applicants for or holders of manufactured licenses would follow the approach outlined in SECY-24-0008 and request specific exemptions from various requirements in 10 CFR Part 53 based on particulars of the reactor design and testing plans.</w:t>
      </w:r>
    </w:p>
    <w:p w:rsidR="00AC1417" w:rsidRPr="00C1227F" w:rsidP="00C1227F" w14:paraId="02D8CDFB" w14:textId="77777777">
      <w:pPr>
        <w:spacing w:after="220"/>
        <w:rPr>
          <w:rFonts w:ascii="Arial" w:eastAsia="DengXian" w:hAnsi="Arial" w:cs="Arial"/>
          <w:sz w:val="22"/>
          <w:szCs w:val="22"/>
        </w:rPr>
      </w:pPr>
      <w:r w:rsidRPr="00C1227F">
        <w:rPr>
          <w:rFonts w:ascii="Arial" w:eastAsia="DengXian" w:hAnsi="Arial" w:cs="Arial"/>
          <w:sz w:val="22"/>
          <w:szCs w:val="22"/>
        </w:rPr>
        <w:t xml:space="preserve">Accordingly, the NRC did not change the rule language in response to this comment. However, the NRC did revise </w:t>
      </w:r>
      <w:r w:rsidR="00C15FEC">
        <w:rPr>
          <w:rFonts w:ascii="Arial" w:eastAsia="DengXian" w:hAnsi="Arial" w:cs="Arial"/>
          <w:sz w:val="22"/>
          <w:szCs w:val="22"/>
        </w:rPr>
        <w:t xml:space="preserve">the </w:t>
      </w:r>
      <w:r w:rsidRPr="00C1227F">
        <w:rPr>
          <w:rFonts w:ascii="Arial" w:eastAsia="DengXian" w:hAnsi="Arial" w:cs="Arial"/>
          <w:sz w:val="22"/>
          <w:szCs w:val="22"/>
        </w:rPr>
        <w:t xml:space="preserve">rule language </w:t>
      </w:r>
      <w:r w:rsidR="00C15FEC">
        <w:rPr>
          <w:rFonts w:ascii="Arial" w:eastAsia="DengXian" w:hAnsi="Arial" w:cs="Arial"/>
          <w:sz w:val="22"/>
          <w:szCs w:val="22"/>
        </w:rPr>
        <w:t>in response to a</w:t>
      </w:r>
      <w:r w:rsidRPr="00C1227F">
        <w:rPr>
          <w:rFonts w:ascii="Arial" w:eastAsia="DengXian" w:hAnsi="Arial" w:cs="Arial"/>
          <w:sz w:val="22"/>
          <w:szCs w:val="22"/>
        </w:rPr>
        <w:t xml:space="preserve"> related comment on appropriate measures to prevent criticality in fueled manufactured reactors. See the response to the comments in Section 3.5.1.3.</w:t>
      </w:r>
    </w:p>
    <w:p w:rsidR="00654EC1" w:rsidRPr="007B3F00" w:rsidP="00C1227F" w14:paraId="5262D32D" w14:textId="77777777">
      <w:pPr>
        <w:spacing w:after="220"/>
        <w:rPr>
          <w:rFonts w:ascii="Arial" w:eastAsia="Times New Roman" w:hAnsi="Arial" w:cs="Arial"/>
          <w:color w:val="000000"/>
          <w:lang w:eastAsia="zh-CN"/>
        </w:rPr>
      </w:pPr>
      <w:r>
        <w:rPr>
          <w:rFonts w:ascii="Arial" w:eastAsia="Times New Roman" w:hAnsi="Arial" w:cs="Arial"/>
          <w:sz w:val="22"/>
          <w:szCs w:val="22"/>
          <w:lang w:eastAsia="zh-CN"/>
        </w:rPr>
        <w:pict>
          <v:rect id="_x0000_i1139" style="width:0;height:1.5pt" o:hralign="center" o:hrstd="t" o:hrnoshade="t" o:hr="t" fillcolor="black" stroked="f"/>
        </w:pict>
      </w:r>
    </w:p>
    <w:p w:rsidR="00AC1417" w:rsidRPr="006D16AE" w:rsidP="00F24F97" w14:paraId="344C39A5" w14:textId="77777777">
      <w:pPr>
        <w:pStyle w:val="Heading4"/>
        <w:rPr>
          <w:rFonts w:eastAsia="Times New Roman"/>
          <w:b/>
        </w:rPr>
      </w:pPr>
      <w:r w:rsidRPr="00F24F97">
        <w:rPr>
          <w:u w:val="none"/>
        </w:rPr>
        <w:t>3.5.1.3.</w:t>
      </w:r>
      <w:r w:rsidRPr="00F24F97">
        <w:rPr>
          <w:u w:val="none"/>
        </w:rPr>
        <w:tab/>
      </w:r>
      <w:r w:rsidRPr="00845D1D">
        <w:t>RFC: Inclusion of Subpart H to 10 CFR Part 70 requirements for factory fuel loading</w:t>
      </w:r>
    </w:p>
    <w:p w:rsidR="00F41613" w:rsidRPr="00C1227F" w:rsidP="00C1227F" w14:paraId="6B4C46AE" w14:textId="77777777">
      <w:pPr>
        <w:spacing w:after="220"/>
        <w:rPr>
          <w:rFonts w:ascii="Arial" w:eastAsia="Times New Roman" w:hAnsi="Arial" w:cs="Arial"/>
          <w:i/>
          <w:sz w:val="22"/>
          <w:szCs w:val="22"/>
        </w:rPr>
      </w:pPr>
      <w:r w:rsidRPr="00C1227F">
        <w:rPr>
          <w:rFonts w:ascii="Arial" w:eastAsia="DengXian" w:hAnsi="Arial" w:cs="Arial"/>
          <w:b/>
          <w:sz w:val="22"/>
          <w:szCs w:val="22"/>
        </w:rPr>
        <w:t xml:space="preserve">Comment Bin </w:t>
      </w:r>
      <w:r w:rsidRPr="00C1227F" w:rsidR="00E63F0B">
        <w:rPr>
          <w:rFonts w:ascii="Arial" w:eastAsia="DengXian" w:hAnsi="Arial" w:cs="Arial"/>
          <w:b/>
          <w:sz w:val="22"/>
          <w:szCs w:val="22"/>
        </w:rPr>
        <w:t>3.5.1.3.A</w:t>
      </w:r>
      <w:r w:rsidRPr="00C1227F">
        <w:rPr>
          <w:rFonts w:ascii="Arial" w:eastAsia="DengXian" w:hAnsi="Arial" w:cs="Arial"/>
          <w:b/>
          <w:sz w:val="22"/>
          <w:szCs w:val="22"/>
        </w:rPr>
        <w:t>:</w:t>
      </w:r>
      <w:r w:rsidRPr="00C1227F">
        <w:rPr>
          <w:rFonts w:ascii="Arial" w:eastAsia="DengXian" w:hAnsi="Arial" w:cs="Arial"/>
          <w:sz w:val="22"/>
          <w:szCs w:val="22"/>
        </w:rPr>
        <w:t xml:space="preserve"> </w:t>
      </w:r>
      <w:r w:rsidRPr="00C1227F">
        <w:rPr>
          <w:rFonts w:ascii="Arial" w:eastAsia="Times New Roman" w:hAnsi="Arial" w:cs="Arial"/>
          <w:sz w:val="22"/>
          <w:szCs w:val="22"/>
        </w:rPr>
        <w:t>A commenter said there is a gap with regard to factory testing of fueled microreactors and that this topic would be addressed more efficiently by relying on existing guidance instead of adding new requirements. The commenter also asked for more clarity in the rule on the relationship between requirements in 10 CFR Part 53 and 10</w:t>
      </w:r>
      <w:r w:rsidR="00065C09">
        <w:rPr>
          <w:rFonts w:ascii="Arial" w:eastAsia="Times New Roman" w:hAnsi="Arial" w:cs="Arial"/>
          <w:sz w:val="22"/>
          <w:szCs w:val="22"/>
        </w:rPr>
        <w:t> </w:t>
      </w:r>
      <w:r w:rsidRPr="00C1227F">
        <w:rPr>
          <w:rFonts w:ascii="Arial" w:eastAsia="Times New Roman" w:hAnsi="Arial" w:cs="Arial"/>
          <w:sz w:val="22"/>
          <w:szCs w:val="22"/>
        </w:rPr>
        <w:t>CFR</w:t>
      </w:r>
      <w:r w:rsidR="00065C09">
        <w:rPr>
          <w:rFonts w:ascii="Arial" w:eastAsia="Times New Roman" w:hAnsi="Arial" w:cs="Arial"/>
          <w:sz w:val="22"/>
          <w:szCs w:val="22"/>
        </w:rPr>
        <w:t> </w:t>
      </w:r>
      <w:r w:rsidRPr="00C1227F">
        <w:rPr>
          <w:rFonts w:ascii="Arial" w:eastAsia="Times New Roman" w:hAnsi="Arial" w:cs="Arial"/>
          <w:sz w:val="22"/>
          <w:szCs w:val="22"/>
        </w:rPr>
        <w:t>Part</w:t>
      </w:r>
      <w:r w:rsidR="00065C09">
        <w:rPr>
          <w:rFonts w:ascii="Arial" w:eastAsia="Times New Roman" w:hAnsi="Arial" w:cs="Arial"/>
          <w:sz w:val="22"/>
          <w:szCs w:val="22"/>
        </w:rPr>
        <w:t> </w:t>
      </w:r>
      <w:r w:rsidRPr="00C1227F">
        <w:rPr>
          <w:rFonts w:ascii="Arial" w:eastAsia="Times New Roman" w:hAnsi="Arial" w:cs="Arial"/>
          <w:sz w:val="22"/>
          <w:szCs w:val="22"/>
        </w:rPr>
        <w:t>70, which includes performance requirements for radiological, chemical, fire, and criticality safety. The commenter cautioned that attempts to either bypass or restate the requirements of 10 CFR Part 70 in 10 CFR Part</w:t>
      </w:r>
      <w:r w:rsidRPr="00C1227F" w:rsidR="008446BB">
        <w:rPr>
          <w:rFonts w:ascii="Arial" w:eastAsia="Times New Roman" w:hAnsi="Arial" w:cs="Arial"/>
          <w:sz w:val="22"/>
          <w:szCs w:val="22"/>
        </w:rPr>
        <w:t> </w:t>
      </w:r>
      <w:r w:rsidRPr="00C1227F">
        <w:rPr>
          <w:rFonts w:ascii="Arial" w:eastAsia="Times New Roman" w:hAnsi="Arial" w:cs="Arial"/>
          <w:sz w:val="22"/>
          <w:szCs w:val="22"/>
        </w:rPr>
        <w:t>53 could overlook requirements that are essential to factory safety and safeguards, result in contradictions between the two parts, and lead to confusion regarding which regulation is operative.</w:t>
      </w:r>
    </w:p>
    <w:p w:rsidR="00F41613" w:rsidRPr="00C1227F" w:rsidP="00C1227F" w14:paraId="684075F2" w14:textId="77777777">
      <w:pPr>
        <w:spacing w:after="220"/>
        <w:rPr>
          <w:rFonts w:ascii="Arial" w:eastAsia="Times New Roman" w:hAnsi="Arial" w:cs="Arial"/>
          <w:sz w:val="22"/>
          <w:szCs w:val="22"/>
        </w:rPr>
      </w:pPr>
      <w:r w:rsidRPr="00C1227F">
        <w:rPr>
          <w:rFonts w:ascii="Arial" w:eastAsia="Times New Roman" w:hAnsi="Arial" w:cs="Arial"/>
          <w:sz w:val="22"/>
          <w:szCs w:val="22"/>
        </w:rPr>
        <w:t>The commenter noted some proposed requirements that they consider duplicative:</w:t>
      </w:r>
    </w:p>
    <w:p w:rsidR="00F41613" w:rsidRPr="00C1227F" w:rsidP="00C1227F" w14:paraId="0BF9C51F" w14:textId="77777777">
      <w:pPr>
        <w:numPr>
          <w:ilvl w:val="0"/>
          <w:numId w:val="4"/>
        </w:numPr>
        <w:spacing w:after="220"/>
        <w:rPr>
          <w:rFonts w:ascii="Arial" w:eastAsia="Times New Roman" w:hAnsi="Arial" w:cs="Arial"/>
          <w:i/>
          <w:sz w:val="22"/>
          <w:szCs w:val="22"/>
        </w:rPr>
      </w:pPr>
      <w:r w:rsidRPr="00C1227F">
        <w:rPr>
          <w:rFonts w:ascii="Arial" w:eastAsia="Times New Roman" w:hAnsi="Arial" w:cs="Arial"/>
          <w:sz w:val="22"/>
          <w:szCs w:val="22"/>
        </w:rPr>
        <w:t>Requiring licenses issued under 10 CFR Part 70 for loading fuel into a manufactured reactor to comply with that part’s Subpart H, “Additional Requirements for Certain Licensees Authorized to Possess a Critical Mass of Special Nuclear Material.”</w:t>
      </w:r>
    </w:p>
    <w:p w:rsidR="00F41613" w:rsidRPr="00C1227F" w:rsidP="00C1227F" w14:paraId="080BE193" w14:textId="77777777">
      <w:pPr>
        <w:numPr>
          <w:ilvl w:val="0"/>
          <w:numId w:val="4"/>
        </w:numPr>
        <w:spacing w:after="220"/>
        <w:rPr>
          <w:rFonts w:ascii="Arial" w:eastAsia="Times New Roman" w:hAnsi="Arial" w:cs="Arial"/>
          <w:sz w:val="22"/>
          <w:szCs w:val="22"/>
        </w:rPr>
      </w:pPr>
      <w:r w:rsidRPr="00C1227F">
        <w:rPr>
          <w:rFonts w:ascii="Arial" w:eastAsia="Times New Roman" w:hAnsi="Arial" w:cs="Arial"/>
          <w:sz w:val="22"/>
          <w:szCs w:val="22"/>
        </w:rPr>
        <w:t>10 CFR 53.620(e)(2), which appears to be duplicative of 10 CFR 53.620(e)(4).</w:t>
      </w:r>
    </w:p>
    <w:p w:rsidR="00F41613" w:rsidRPr="00C1227F" w:rsidP="00C1227F" w14:paraId="4AD9776E" w14:textId="77777777">
      <w:pPr>
        <w:spacing w:after="220"/>
        <w:rPr>
          <w:rFonts w:ascii="Arial" w:eastAsia="Times New Roman" w:hAnsi="Arial" w:cs="Arial"/>
          <w:sz w:val="22"/>
          <w:szCs w:val="22"/>
        </w:rPr>
      </w:pPr>
      <w:r w:rsidRPr="00C1227F">
        <w:rPr>
          <w:rFonts w:ascii="Arial" w:eastAsia="Times New Roman" w:hAnsi="Arial" w:cs="Arial"/>
          <w:sz w:val="22"/>
          <w:szCs w:val="22"/>
        </w:rPr>
        <w:t>The commenter also noted some proposed requirements that they consider unduly restrictive:</w:t>
      </w:r>
    </w:p>
    <w:p w:rsidR="00F41613" w:rsidRPr="00C1227F" w:rsidP="00C1227F" w14:paraId="13C78530" w14:textId="77777777">
      <w:pPr>
        <w:numPr>
          <w:ilvl w:val="0"/>
          <w:numId w:val="5"/>
        </w:numPr>
        <w:spacing w:after="220"/>
        <w:rPr>
          <w:rFonts w:ascii="Arial" w:eastAsia="Times New Roman" w:hAnsi="Arial" w:cs="Arial"/>
          <w:i/>
          <w:sz w:val="22"/>
          <w:szCs w:val="22"/>
        </w:rPr>
      </w:pPr>
      <w:r w:rsidRPr="00C1227F">
        <w:rPr>
          <w:rFonts w:ascii="Arial" w:eastAsia="Times New Roman" w:hAnsi="Arial" w:cs="Arial"/>
          <w:sz w:val="22"/>
          <w:szCs w:val="22"/>
        </w:rPr>
        <w:t>Limiting shipment of a manufactured and loaded microreactor to destinations with a COL, which should be revised to include deployment sites for which the NRC has issued an export license under 10 CFR Part 110.</w:t>
      </w:r>
    </w:p>
    <w:p w:rsidR="00F41613" w:rsidRPr="00C1227F" w:rsidP="00C1227F" w14:paraId="684D4E30" w14:textId="77777777">
      <w:pPr>
        <w:numPr>
          <w:ilvl w:val="0"/>
          <w:numId w:val="5"/>
        </w:numPr>
        <w:spacing w:after="220"/>
        <w:rPr>
          <w:rFonts w:ascii="Arial" w:eastAsia="Times New Roman" w:hAnsi="Arial" w:cs="Arial"/>
          <w:i/>
          <w:sz w:val="22"/>
          <w:szCs w:val="22"/>
        </w:rPr>
      </w:pPr>
      <w:r w:rsidRPr="00C1227F">
        <w:rPr>
          <w:rFonts w:ascii="Arial" w:eastAsia="Times New Roman" w:hAnsi="Arial" w:cs="Arial"/>
          <w:sz w:val="22"/>
          <w:szCs w:val="22"/>
        </w:rPr>
        <w:t>Absent a safety finding, fabrication should be able to start any time when the ML is in timely renewal.</w:t>
      </w:r>
    </w:p>
    <w:p w:rsidR="00F41613" w:rsidRPr="00C1227F" w:rsidP="00C1227F" w14:paraId="78BD79C6" w14:textId="77777777">
      <w:pPr>
        <w:numPr>
          <w:ilvl w:val="0"/>
          <w:numId w:val="5"/>
        </w:numPr>
        <w:spacing w:after="220"/>
        <w:rPr>
          <w:rFonts w:ascii="Arial" w:eastAsia="Times New Roman" w:hAnsi="Arial" w:cs="Arial"/>
          <w:i/>
          <w:sz w:val="22"/>
          <w:szCs w:val="22"/>
        </w:rPr>
      </w:pPr>
      <w:r w:rsidRPr="00C1227F">
        <w:rPr>
          <w:rFonts w:ascii="Arial" w:eastAsia="Times New Roman" w:hAnsi="Arial" w:cs="Arial"/>
          <w:sz w:val="22"/>
          <w:szCs w:val="22"/>
        </w:rPr>
        <w:t>A reactor in which there are two independent features to preclude criticality is not “designed or used to sustain nuclear fission.”</w:t>
      </w:r>
    </w:p>
    <w:p w:rsidR="00F41613" w:rsidRPr="00C1227F" w:rsidP="00C1227F" w14:paraId="17F5A82E" w14:textId="77777777">
      <w:pPr>
        <w:numPr>
          <w:ilvl w:val="0"/>
          <w:numId w:val="5"/>
        </w:numPr>
        <w:spacing w:after="220"/>
        <w:rPr>
          <w:rFonts w:ascii="Arial" w:eastAsia="Times New Roman" w:hAnsi="Arial" w:cs="Arial"/>
          <w:i/>
          <w:sz w:val="22"/>
          <w:szCs w:val="22"/>
        </w:rPr>
      </w:pPr>
      <w:r w:rsidRPr="00C1227F">
        <w:rPr>
          <w:rFonts w:ascii="Arial" w:eastAsia="Times New Roman" w:hAnsi="Arial" w:cs="Arial"/>
          <w:sz w:val="22"/>
          <w:szCs w:val="22"/>
        </w:rPr>
        <w:t>Limiting the number of microreactors that a manufacturing facility can produce over its lifetime, while the rule instead should limit, based on safety and security analyses, the quantity of SNM onsite and the number of reactors fabricated and being loaded with fuel at a given time.</w:t>
      </w:r>
    </w:p>
    <w:p w:rsidR="00F41613" w:rsidRPr="00C1227F" w:rsidP="00C1227F" w14:paraId="46419AF1" w14:textId="77777777">
      <w:pPr>
        <w:numPr>
          <w:ilvl w:val="0"/>
          <w:numId w:val="5"/>
        </w:numPr>
        <w:spacing w:after="220"/>
        <w:rPr>
          <w:rFonts w:ascii="Arial" w:eastAsia="Times New Roman" w:hAnsi="Arial" w:cs="Arial"/>
          <w:sz w:val="22"/>
          <w:szCs w:val="22"/>
        </w:rPr>
      </w:pPr>
      <w:r w:rsidRPr="00C1227F">
        <w:rPr>
          <w:rFonts w:ascii="Arial" w:eastAsia="Times New Roman" w:hAnsi="Arial" w:cs="Arial"/>
          <w:sz w:val="22"/>
          <w:szCs w:val="22"/>
        </w:rPr>
        <w:t>Not authorizing changes to an ML, as the proposed rule appears to do, which would not allow for technological innovation after feedback from reactor operations.</w:t>
      </w:r>
    </w:p>
    <w:p w:rsidR="00F41613" w:rsidRPr="00C1227F" w:rsidP="00C1227F" w14:paraId="5DE1EC29" w14:textId="77777777">
      <w:pPr>
        <w:spacing w:after="220"/>
        <w:rPr>
          <w:rFonts w:ascii="Arial" w:eastAsia="Times New Roman" w:hAnsi="Arial" w:cs="Arial"/>
          <w:sz w:val="22"/>
          <w:szCs w:val="22"/>
        </w:rPr>
      </w:pPr>
      <w:r w:rsidRPr="00C1227F">
        <w:rPr>
          <w:rFonts w:ascii="Arial" w:eastAsia="Times New Roman" w:hAnsi="Arial" w:cs="Arial"/>
          <w:sz w:val="22"/>
          <w:szCs w:val="22"/>
        </w:rPr>
        <w:t>The commenter suggested that any attempt to control the possession and use of SNM should be relegated, by reference in 10 CFR Part 53, to the requirements of 10</w:t>
      </w:r>
      <w:r w:rsidRPr="00C1227F" w:rsidR="00842D11">
        <w:rPr>
          <w:rFonts w:ascii="Arial" w:eastAsia="Times New Roman" w:hAnsi="Arial" w:cs="Arial"/>
          <w:sz w:val="22"/>
          <w:szCs w:val="22"/>
        </w:rPr>
        <w:t> </w:t>
      </w:r>
      <w:r w:rsidRPr="00C1227F">
        <w:rPr>
          <w:rFonts w:ascii="Arial" w:eastAsia="Times New Roman" w:hAnsi="Arial" w:cs="Arial"/>
          <w:sz w:val="22"/>
          <w:szCs w:val="22"/>
        </w:rPr>
        <w:t>CFR</w:t>
      </w:r>
      <w:r w:rsidRPr="00C1227F" w:rsidR="00842D11">
        <w:rPr>
          <w:rFonts w:ascii="Arial" w:eastAsia="Times New Roman" w:hAnsi="Arial" w:cs="Arial"/>
          <w:sz w:val="22"/>
          <w:szCs w:val="22"/>
        </w:rPr>
        <w:t> </w:t>
      </w:r>
      <w:r w:rsidRPr="00C1227F">
        <w:rPr>
          <w:rFonts w:ascii="Arial" w:eastAsia="Times New Roman" w:hAnsi="Arial" w:cs="Arial"/>
          <w:sz w:val="22"/>
          <w:szCs w:val="22"/>
        </w:rPr>
        <w:t>Part 70, with the 10 CFR Part 53 ML findings limited to those attributes that are relevant to the ultimate reactor operational safety and safeguards. The commenter described an approach in which the 10</w:t>
      </w:r>
      <w:r w:rsidR="00065C09">
        <w:rPr>
          <w:rFonts w:ascii="Arial" w:eastAsia="Times New Roman" w:hAnsi="Arial" w:cs="Arial"/>
          <w:sz w:val="22"/>
          <w:szCs w:val="22"/>
        </w:rPr>
        <w:t> </w:t>
      </w:r>
      <w:r w:rsidRPr="00C1227F">
        <w:rPr>
          <w:rFonts w:ascii="Arial" w:eastAsia="Times New Roman" w:hAnsi="Arial" w:cs="Arial"/>
          <w:sz w:val="22"/>
          <w:szCs w:val="22"/>
        </w:rPr>
        <w:t>CFR</w:t>
      </w:r>
      <w:r w:rsidR="00065C09">
        <w:rPr>
          <w:rFonts w:ascii="Arial" w:eastAsia="Times New Roman" w:hAnsi="Arial" w:cs="Arial"/>
          <w:sz w:val="22"/>
          <w:szCs w:val="22"/>
        </w:rPr>
        <w:t> </w:t>
      </w:r>
      <w:r w:rsidRPr="00C1227F">
        <w:rPr>
          <w:rFonts w:ascii="Arial" w:eastAsia="Times New Roman" w:hAnsi="Arial" w:cs="Arial"/>
          <w:sz w:val="22"/>
          <w:szCs w:val="22"/>
        </w:rPr>
        <w:t>Part 53 finding would only authorize assembly and fueling at a manufacturing facility licensed under 10 CFR Part 53 but would require a separate safety finding consistent with 10 CFR Part 70 for all SNM operations in a factory setting, including reactor fueling.</w:t>
      </w:r>
    </w:p>
    <w:p w:rsidR="00F41613" w:rsidRPr="00C1227F" w:rsidP="00C1227F" w14:paraId="3F2DCE37" w14:textId="77777777">
      <w:pPr>
        <w:spacing w:after="220"/>
        <w:rPr>
          <w:rFonts w:ascii="Arial" w:eastAsia="Times New Roman" w:hAnsi="Arial" w:cs="Arial"/>
          <w:sz w:val="22"/>
          <w:szCs w:val="22"/>
        </w:rPr>
      </w:pPr>
      <w:r w:rsidRPr="00C1227F">
        <w:rPr>
          <w:rFonts w:ascii="Arial" w:eastAsia="Times New Roman" w:hAnsi="Arial" w:cs="Arial"/>
          <w:sz w:val="22"/>
          <w:szCs w:val="22"/>
        </w:rPr>
        <w:t>Finally, the commenter requested additional clarification in Subpart E of this rule to differentiate the 10 CFR Part 53 requirements for manufactured reactors that do not include in-factory fueling activities from the requirements addressing SNM and radioactive material activities for a manufactured reactor fueled at a factory (</w:t>
      </w:r>
      <w:r w:rsidR="009D6BB9">
        <w:rPr>
          <w:rFonts w:ascii="Arial" w:eastAsia="Times New Roman" w:hAnsi="Arial" w:cs="Arial"/>
          <w:sz w:val="22"/>
          <w:szCs w:val="22"/>
        </w:rPr>
        <w:t>NEI2</w:t>
      </w:r>
      <w:r w:rsidRPr="00C1227F">
        <w:rPr>
          <w:rFonts w:ascii="Arial" w:eastAsia="Times New Roman" w:hAnsi="Arial" w:cs="Arial"/>
          <w:sz w:val="22"/>
          <w:szCs w:val="22"/>
        </w:rPr>
        <w:t>-0184).</w:t>
      </w:r>
    </w:p>
    <w:p w:rsidR="00F41613" w:rsidRPr="00C1227F" w:rsidP="00C1227F" w14:paraId="5B4CEE58" w14:textId="77777777">
      <w:pPr>
        <w:spacing w:after="220"/>
        <w:rPr>
          <w:rFonts w:ascii="Arial" w:eastAsia="Times New Roman" w:hAnsi="Arial" w:cs="Arial"/>
          <w:sz w:val="22"/>
          <w:szCs w:val="22"/>
        </w:rPr>
      </w:pPr>
      <w:r w:rsidRPr="00C1227F">
        <w:rPr>
          <w:rFonts w:ascii="Arial" w:eastAsia="Times New Roman" w:hAnsi="Arial" w:cs="Arial"/>
          <w:sz w:val="22"/>
          <w:szCs w:val="22"/>
        </w:rPr>
        <w:t>Another commenter agreed that the requirement limiting shipment to only destinations with a COL should be revised to include deployment sites for which the NRC has issued an export license under 10 CFR Part 110, writing that the proposed requirement limits U.S. reactor vendors (going against the goals of the ADVANCE Act) or requires them to have fabrication facilities outside the United States (</w:t>
      </w:r>
      <w:r w:rsidR="00333B47">
        <w:rPr>
          <w:rFonts w:ascii="Arial" w:eastAsia="Times New Roman" w:hAnsi="Arial" w:cs="Arial"/>
          <w:sz w:val="22"/>
          <w:szCs w:val="22"/>
        </w:rPr>
        <w:t>WEST1</w:t>
      </w:r>
      <w:r w:rsidRPr="00C1227F">
        <w:rPr>
          <w:rFonts w:ascii="Arial" w:eastAsia="Times New Roman" w:hAnsi="Arial" w:cs="Arial"/>
          <w:sz w:val="22"/>
          <w:szCs w:val="22"/>
        </w:rPr>
        <w:t>-0008).</w:t>
      </w:r>
    </w:p>
    <w:p w:rsidR="00842D11" w:rsidRPr="00C1227F" w:rsidP="00C1227F" w14:paraId="3160820F"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 in part, with the</w:t>
      </w:r>
      <w:r w:rsidR="003E0787">
        <w:rPr>
          <w:rFonts w:ascii="Arial" w:eastAsia="DengXian" w:hAnsi="Arial" w:cs="Arial"/>
          <w:sz w:val="22"/>
          <w:szCs w:val="22"/>
        </w:rPr>
        <w:t>se</w:t>
      </w:r>
      <w:r w:rsidRPr="00C1227F">
        <w:rPr>
          <w:rFonts w:ascii="Arial" w:eastAsia="DengXian" w:hAnsi="Arial" w:cs="Arial"/>
          <w:sz w:val="22"/>
          <w:szCs w:val="22"/>
        </w:rPr>
        <w:t xml:space="preserve"> comments.</w:t>
      </w:r>
    </w:p>
    <w:p w:rsidR="00E63F0B" w:rsidRPr="00C1227F" w:rsidP="00C1227F" w14:paraId="5E6A35FD" w14:textId="77777777">
      <w:pPr>
        <w:spacing w:after="220"/>
        <w:rPr>
          <w:rFonts w:ascii="Arial" w:eastAsia="DengXian" w:hAnsi="Arial" w:cs="Arial"/>
          <w:sz w:val="22"/>
          <w:szCs w:val="22"/>
        </w:rPr>
      </w:pPr>
      <w:r w:rsidRPr="00C1227F">
        <w:rPr>
          <w:rFonts w:ascii="Arial" w:eastAsia="DengXian" w:hAnsi="Arial" w:cs="Arial"/>
          <w:sz w:val="22"/>
          <w:szCs w:val="22"/>
        </w:rPr>
        <w:t xml:space="preserve">As explained in the </w:t>
      </w:r>
      <w:r w:rsidRPr="00C1227F" w:rsidR="00476C4B">
        <w:rPr>
          <w:rFonts w:ascii="Arial" w:eastAsia="DengXian" w:hAnsi="Arial" w:cs="Arial"/>
          <w:sz w:val="22"/>
          <w:szCs w:val="22"/>
        </w:rPr>
        <w:t>proposed</w:t>
      </w:r>
      <w:r w:rsidRPr="00C1227F" w:rsidR="00567FCE">
        <w:rPr>
          <w:rFonts w:ascii="Arial" w:eastAsia="DengXian" w:hAnsi="Arial" w:cs="Arial"/>
          <w:sz w:val="22"/>
          <w:szCs w:val="22"/>
        </w:rPr>
        <w:t xml:space="preserve"> </w:t>
      </w:r>
      <w:r w:rsidRPr="00C1227F">
        <w:rPr>
          <w:rFonts w:ascii="Arial" w:eastAsia="DengXian" w:hAnsi="Arial" w:cs="Arial"/>
          <w:sz w:val="22"/>
          <w:szCs w:val="22"/>
        </w:rPr>
        <w:t>and final rules, the loading of fuel into manufactured reactors in a factory setting will involve several parts of NRC regulations in 10 CFR. The primary connection with 10</w:t>
      </w:r>
      <w:r w:rsidRPr="00C1227F" w:rsidR="002C7E00">
        <w:rPr>
          <w:rFonts w:ascii="Arial" w:eastAsia="DengXian" w:hAnsi="Arial" w:cs="Arial"/>
          <w:sz w:val="22"/>
          <w:szCs w:val="22"/>
        </w:rPr>
        <w:t> </w:t>
      </w:r>
      <w:r w:rsidRPr="00C1227F">
        <w:rPr>
          <w:rFonts w:ascii="Arial" w:eastAsia="DengXian" w:hAnsi="Arial" w:cs="Arial"/>
          <w:sz w:val="22"/>
          <w:szCs w:val="22"/>
        </w:rPr>
        <w:t xml:space="preserve">CFR Part 53 is the manufactured reactor and ensuring that its subsequent operation will </w:t>
      </w:r>
      <w:r w:rsidRPr="00C1227F">
        <w:rPr>
          <w:rFonts w:ascii="Arial" w:eastAsia="DengXian" w:hAnsi="Arial" w:cs="Arial"/>
          <w:sz w:val="22"/>
          <w:szCs w:val="22"/>
        </w:rPr>
        <w:t xml:space="preserve">not present undue risk to public health and safety. The possession of special nuclear material will require a license under 10 CFR Part 70. </w:t>
      </w:r>
      <w:r w:rsidRPr="00C1227F" w:rsidR="00476C4B">
        <w:rPr>
          <w:rFonts w:ascii="Arial" w:eastAsia="DengXian" w:hAnsi="Arial" w:cs="Arial"/>
          <w:sz w:val="22"/>
          <w:szCs w:val="22"/>
        </w:rPr>
        <w:t xml:space="preserve">Section </w:t>
      </w:r>
      <w:r w:rsidRPr="00C1227F">
        <w:rPr>
          <w:rFonts w:ascii="Arial" w:eastAsia="DengXian" w:hAnsi="Arial" w:cs="Arial"/>
          <w:sz w:val="22"/>
          <w:szCs w:val="22"/>
        </w:rPr>
        <w:t>10</w:t>
      </w:r>
      <w:r w:rsidRPr="00C1227F" w:rsidR="00842D11">
        <w:rPr>
          <w:rFonts w:ascii="Arial" w:eastAsia="DengXian" w:hAnsi="Arial" w:cs="Arial"/>
          <w:sz w:val="22"/>
          <w:szCs w:val="22"/>
        </w:rPr>
        <w:t> </w:t>
      </w:r>
      <w:r w:rsidRPr="00C1227F">
        <w:rPr>
          <w:rFonts w:ascii="Arial" w:eastAsia="DengXian" w:hAnsi="Arial" w:cs="Arial"/>
          <w:sz w:val="22"/>
          <w:szCs w:val="22"/>
        </w:rPr>
        <w:t>CFR 53.620(d) makes Subpart H of 10</w:t>
      </w:r>
      <w:r w:rsidR="00065C09">
        <w:rPr>
          <w:rFonts w:ascii="Arial" w:eastAsia="DengXian" w:hAnsi="Arial" w:cs="Arial"/>
          <w:sz w:val="22"/>
          <w:szCs w:val="22"/>
        </w:rPr>
        <w:t> </w:t>
      </w:r>
      <w:r w:rsidRPr="00C1227F">
        <w:rPr>
          <w:rFonts w:ascii="Arial" w:eastAsia="DengXian" w:hAnsi="Arial" w:cs="Arial"/>
          <w:sz w:val="22"/>
          <w:szCs w:val="22"/>
        </w:rPr>
        <w:t>CFR Part 70 applicable and largely controlling of the fuel loading activities within the manufacturing facility instead of using the requirements for design, construction, and operations under 10 CFR Part 53.</w:t>
      </w:r>
    </w:p>
    <w:p w:rsidR="00E63F0B" w:rsidRPr="00C1227F" w:rsidP="00C1227F" w14:paraId="2BA6221F" w14:textId="77777777">
      <w:pPr>
        <w:spacing w:after="220"/>
        <w:rPr>
          <w:rFonts w:ascii="Arial" w:eastAsia="DengXian" w:hAnsi="Arial" w:cs="Arial"/>
          <w:sz w:val="22"/>
          <w:szCs w:val="22"/>
        </w:rPr>
      </w:pPr>
      <w:r w:rsidRPr="00C1227F">
        <w:rPr>
          <w:rFonts w:ascii="Arial" w:eastAsia="DengXian" w:hAnsi="Arial" w:cs="Arial"/>
          <w:sz w:val="22"/>
          <w:szCs w:val="22"/>
        </w:rPr>
        <w:t xml:space="preserve">In recognition that the manufactured reactor does differ from most fuel cycle facilities in that the fuel is loaded into what will be a critical configuration for plant operation, additional measures are included in 10 CFR 53.620, including the need for </w:t>
      </w:r>
      <w:r w:rsidR="00B937C4">
        <w:rPr>
          <w:rFonts w:ascii="Arial" w:eastAsia="DengXian" w:hAnsi="Arial" w:cs="Arial"/>
          <w:sz w:val="22"/>
          <w:szCs w:val="22"/>
        </w:rPr>
        <w:t>features</w:t>
      </w:r>
      <w:r w:rsidRPr="00C1227F">
        <w:rPr>
          <w:rFonts w:ascii="Arial" w:eastAsia="DengXian" w:hAnsi="Arial" w:cs="Arial"/>
          <w:sz w:val="22"/>
          <w:szCs w:val="22"/>
        </w:rPr>
        <w:t xml:space="preserve"> to prevent criticality</w:t>
      </w:r>
      <w:r w:rsidR="00B937C4">
        <w:rPr>
          <w:rFonts w:ascii="Arial" w:eastAsia="DengXian" w:hAnsi="Arial" w:cs="Arial"/>
          <w:sz w:val="22"/>
          <w:szCs w:val="22"/>
        </w:rPr>
        <w:t xml:space="preserve"> </w:t>
      </w:r>
      <w:r w:rsidR="005C037B">
        <w:rPr>
          <w:rFonts w:ascii="Arial" w:eastAsia="DengXian" w:hAnsi="Arial" w:cs="Arial"/>
          <w:sz w:val="22"/>
          <w:szCs w:val="22"/>
        </w:rPr>
        <w:t>that are specified in the ML</w:t>
      </w:r>
      <w:r w:rsidRPr="00C1227F">
        <w:rPr>
          <w:rFonts w:ascii="Arial" w:eastAsia="DengXian" w:hAnsi="Arial" w:cs="Arial"/>
          <w:sz w:val="22"/>
          <w:szCs w:val="22"/>
        </w:rPr>
        <w:t xml:space="preserve">. The NRC </w:t>
      </w:r>
      <w:r w:rsidR="002F3E70">
        <w:rPr>
          <w:rFonts w:ascii="Arial" w:hAnsi="Arial" w:cs="Arial"/>
          <w:sz w:val="22"/>
          <w:szCs w:val="22"/>
        </w:rPr>
        <w:t>has revised</w:t>
      </w:r>
      <w:r w:rsidRPr="00C1227F">
        <w:rPr>
          <w:rFonts w:ascii="Arial" w:eastAsia="DengXian" w:hAnsi="Arial" w:cs="Arial"/>
          <w:sz w:val="22"/>
          <w:szCs w:val="22"/>
        </w:rPr>
        <w:t xml:space="preserve"> the requirements in 10 CFR 53.620(d)(1) related to criticality prevention in response to </w:t>
      </w:r>
      <w:r w:rsidRPr="00C1227F" w:rsidR="00515EA0">
        <w:rPr>
          <w:rFonts w:ascii="Arial" w:eastAsia="DengXian" w:hAnsi="Arial" w:cs="Arial"/>
          <w:sz w:val="22"/>
          <w:szCs w:val="22"/>
        </w:rPr>
        <w:t>C</w:t>
      </w:r>
      <w:r w:rsidRPr="00C1227F">
        <w:rPr>
          <w:rFonts w:ascii="Arial" w:eastAsia="DengXian" w:hAnsi="Arial" w:cs="Arial"/>
          <w:sz w:val="22"/>
          <w:szCs w:val="22"/>
        </w:rPr>
        <w:t xml:space="preserve">omment </w:t>
      </w:r>
      <w:r w:rsidRPr="00C1227F" w:rsidR="00515EA0">
        <w:rPr>
          <w:rFonts w:ascii="Arial" w:eastAsia="DengXian" w:hAnsi="Arial" w:cs="Arial"/>
          <w:sz w:val="22"/>
          <w:szCs w:val="22"/>
        </w:rPr>
        <w:t>Bin 3.5.1.3.C</w:t>
      </w:r>
      <w:r w:rsidRPr="00C1227F">
        <w:rPr>
          <w:rFonts w:ascii="Arial" w:eastAsia="DengXian" w:hAnsi="Arial" w:cs="Arial"/>
          <w:sz w:val="22"/>
          <w:szCs w:val="22"/>
        </w:rPr>
        <w:t>.</w:t>
      </w:r>
    </w:p>
    <w:p w:rsidR="00E63F0B" w:rsidRPr="00C1227F" w:rsidP="00C1227F" w14:paraId="1F77D8BA" w14:textId="77777777">
      <w:pPr>
        <w:spacing w:after="220"/>
        <w:rPr>
          <w:rFonts w:ascii="Arial" w:eastAsia="DengXian" w:hAnsi="Arial" w:cs="Arial"/>
          <w:sz w:val="22"/>
          <w:szCs w:val="22"/>
        </w:rPr>
      </w:pPr>
      <w:r w:rsidRPr="00C1227F">
        <w:rPr>
          <w:rFonts w:ascii="Arial" w:eastAsia="DengXian" w:hAnsi="Arial" w:cs="Arial"/>
          <w:sz w:val="22"/>
          <w:szCs w:val="22"/>
        </w:rPr>
        <w:t>The NRC sees how paragraph 10 CFR 53.620(e)(4) can be viewed as being duplicative of the more general requirements in paragraph 10 CFR 53.620(e)(2). However, the distinction is that 10 CFR 53.620(e)(2) is a requirement on licensees</w:t>
      </w:r>
      <w:r w:rsidR="003D07F3">
        <w:rPr>
          <w:rFonts w:ascii="Arial" w:eastAsia="DengXian" w:hAnsi="Arial" w:cs="Arial"/>
          <w:sz w:val="22"/>
          <w:szCs w:val="22"/>
        </w:rPr>
        <w:t>,</w:t>
      </w:r>
      <w:r w:rsidRPr="00C1227F">
        <w:rPr>
          <w:rFonts w:ascii="Arial" w:eastAsia="DengXian" w:hAnsi="Arial" w:cs="Arial"/>
          <w:sz w:val="22"/>
          <w:szCs w:val="22"/>
        </w:rPr>
        <w:t xml:space="preserve"> and</w:t>
      </w:r>
      <w:r w:rsidRPr="00C1227F" w:rsidR="00501173">
        <w:rPr>
          <w:rFonts w:ascii="Arial" w:eastAsia="DengXian" w:hAnsi="Arial" w:cs="Arial"/>
          <w:sz w:val="22"/>
          <w:szCs w:val="22"/>
        </w:rPr>
        <w:t xml:space="preserve"> </w:t>
      </w:r>
      <w:r w:rsidRPr="00C1227F">
        <w:rPr>
          <w:rFonts w:ascii="Arial" w:eastAsia="DengXian" w:hAnsi="Arial" w:cs="Arial"/>
          <w:sz w:val="22"/>
          <w:szCs w:val="22"/>
        </w:rPr>
        <w:t>10</w:t>
      </w:r>
      <w:r w:rsidRPr="00C1227F" w:rsidR="002C7E00">
        <w:rPr>
          <w:rFonts w:ascii="Arial" w:eastAsia="DengXian" w:hAnsi="Arial" w:cs="Arial"/>
          <w:sz w:val="22"/>
          <w:szCs w:val="22"/>
        </w:rPr>
        <w:t> </w:t>
      </w:r>
      <w:r w:rsidRPr="00C1227F">
        <w:rPr>
          <w:rFonts w:ascii="Arial" w:eastAsia="DengXian" w:hAnsi="Arial" w:cs="Arial"/>
          <w:sz w:val="22"/>
          <w:szCs w:val="22"/>
        </w:rPr>
        <w:t>CFR</w:t>
      </w:r>
      <w:r w:rsidRPr="00C1227F" w:rsidR="002C7E00">
        <w:rPr>
          <w:rFonts w:ascii="Arial" w:eastAsia="DengXian" w:hAnsi="Arial" w:cs="Arial"/>
          <w:sz w:val="22"/>
          <w:szCs w:val="22"/>
        </w:rPr>
        <w:t> </w:t>
      </w:r>
      <w:r w:rsidRPr="00C1227F">
        <w:rPr>
          <w:rFonts w:ascii="Arial" w:eastAsia="DengXian" w:hAnsi="Arial" w:cs="Arial"/>
          <w:sz w:val="22"/>
          <w:szCs w:val="22"/>
        </w:rPr>
        <w:t>53.620(e)(4) is a requirement for the content of an ML. No change was made in response to the comment in order to maintain the emphasis on additional requirements that apply to the transport of a fueled manufactured reactor.</w:t>
      </w:r>
    </w:p>
    <w:p w:rsidR="00E63F0B" w:rsidRPr="00C1227F" w:rsidP="00C1227F" w14:paraId="53C22CC3" w14:textId="77777777">
      <w:pPr>
        <w:spacing w:after="220"/>
        <w:rPr>
          <w:rFonts w:ascii="Arial" w:eastAsia="DengXian" w:hAnsi="Arial" w:cs="Arial"/>
          <w:sz w:val="22"/>
          <w:szCs w:val="22"/>
        </w:rPr>
      </w:pPr>
      <w:r w:rsidRPr="00C1227F">
        <w:rPr>
          <w:rFonts w:ascii="Arial" w:eastAsia="DengXian" w:hAnsi="Arial" w:cs="Arial"/>
          <w:sz w:val="22"/>
          <w:szCs w:val="22"/>
        </w:rPr>
        <w:t xml:space="preserve">The NRC agrees with allowing transport of a manufactured reactor to a destination covered by 10 CFR Part 110, </w:t>
      </w:r>
      <w:r w:rsidRPr="00C1227F" w:rsidR="00B60E21">
        <w:rPr>
          <w:rFonts w:ascii="Arial" w:eastAsia="DengXian" w:hAnsi="Arial" w:cs="Arial"/>
          <w:sz w:val="22"/>
          <w:szCs w:val="22"/>
        </w:rPr>
        <w:t>a</w:t>
      </w:r>
      <w:r w:rsidRPr="00C1227F">
        <w:rPr>
          <w:rFonts w:ascii="Arial" w:eastAsia="DengXian" w:hAnsi="Arial" w:cs="Arial"/>
          <w:sz w:val="22"/>
          <w:szCs w:val="22"/>
        </w:rPr>
        <w:t>s explained in the response to Comment Bin 3.5.2.F</w:t>
      </w:r>
      <w:r w:rsidRPr="00C1227F" w:rsidR="00476C4B">
        <w:rPr>
          <w:rFonts w:ascii="Arial" w:eastAsia="DengXian" w:hAnsi="Arial" w:cs="Arial"/>
          <w:sz w:val="22"/>
          <w:szCs w:val="22"/>
        </w:rPr>
        <w:t>,</w:t>
      </w:r>
      <w:r w:rsidRPr="00C1227F">
        <w:rPr>
          <w:rFonts w:ascii="Arial" w:eastAsia="DengXian" w:hAnsi="Arial" w:cs="Arial"/>
          <w:sz w:val="22"/>
          <w:szCs w:val="22"/>
        </w:rPr>
        <w:t xml:space="preserve"> and accordingly has changed the rule language for the final rule.</w:t>
      </w:r>
    </w:p>
    <w:p w:rsidR="00E63F0B" w:rsidRPr="00C1227F" w:rsidP="00C1227F" w14:paraId="5B3C22D5" w14:textId="77777777">
      <w:pPr>
        <w:spacing w:after="220"/>
        <w:rPr>
          <w:rFonts w:ascii="Arial" w:eastAsia="DengXian" w:hAnsi="Arial" w:cs="Arial"/>
          <w:sz w:val="22"/>
          <w:szCs w:val="22"/>
        </w:rPr>
      </w:pPr>
      <w:r w:rsidRPr="00C1227F">
        <w:rPr>
          <w:rFonts w:ascii="Arial" w:eastAsia="DengXian" w:hAnsi="Arial" w:cs="Arial"/>
          <w:sz w:val="22"/>
          <w:szCs w:val="22"/>
        </w:rPr>
        <w:t>The NRC agrees with th</w:t>
      </w:r>
      <w:r w:rsidRPr="00C1227F" w:rsidR="0052009F">
        <w:rPr>
          <w:rFonts w:ascii="Arial" w:eastAsia="DengXian" w:hAnsi="Arial" w:cs="Arial"/>
          <w:sz w:val="22"/>
          <w:szCs w:val="22"/>
        </w:rPr>
        <w:t>e</w:t>
      </w:r>
      <w:r w:rsidRPr="00C1227F">
        <w:rPr>
          <w:rFonts w:ascii="Arial" w:eastAsia="DengXian" w:hAnsi="Arial" w:cs="Arial"/>
          <w:sz w:val="22"/>
          <w:szCs w:val="22"/>
        </w:rPr>
        <w:t xml:space="preserve"> suggesti</w:t>
      </w:r>
      <w:r w:rsidRPr="00C1227F" w:rsidR="0052009F">
        <w:rPr>
          <w:rFonts w:ascii="Arial" w:eastAsia="DengXian" w:hAnsi="Arial" w:cs="Arial"/>
          <w:sz w:val="22"/>
          <w:szCs w:val="22"/>
        </w:rPr>
        <w:t>on</w:t>
      </w:r>
      <w:r w:rsidRPr="00C1227F">
        <w:rPr>
          <w:rFonts w:ascii="Arial" w:eastAsia="DengXian" w:hAnsi="Arial" w:cs="Arial"/>
          <w:sz w:val="22"/>
          <w:szCs w:val="22"/>
        </w:rPr>
        <w:t xml:space="preserve"> that the holder of an ML may continue to manufacture manufactured reactors so long as a timely application for renewal has been filed</w:t>
      </w:r>
      <w:r w:rsidRPr="00C1227F" w:rsidR="00476C4B">
        <w:rPr>
          <w:rFonts w:ascii="Arial" w:eastAsia="DengXian" w:hAnsi="Arial" w:cs="Arial"/>
          <w:sz w:val="22"/>
          <w:szCs w:val="22"/>
        </w:rPr>
        <w:t>. T</w:t>
      </w:r>
      <w:r w:rsidRPr="00C1227F">
        <w:rPr>
          <w:rFonts w:ascii="Arial" w:eastAsia="DengXian" w:hAnsi="Arial" w:cs="Arial"/>
          <w:sz w:val="22"/>
          <w:szCs w:val="22"/>
        </w:rPr>
        <w:t xml:space="preserve">he NRC has removed the restriction that stated that manufacturing could not begin with less than 6 months before the expiration of the license. See the </w:t>
      </w:r>
      <w:r w:rsidR="00533586">
        <w:rPr>
          <w:rFonts w:ascii="Arial" w:eastAsia="DengXian" w:hAnsi="Arial" w:cs="Arial"/>
          <w:sz w:val="22"/>
          <w:szCs w:val="22"/>
        </w:rPr>
        <w:t>NRC’s</w:t>
      </w:r>
      <w:r w:rsidRPr="00C1227F">
        <w:rPr>
          <w:rFonts w:ascii="Arial" w:eastAsia="DengXian" w:hAnsi="Arial" w:cs="Arial"/>
          <w:sz w:val="22"/>
          <w:szCs w:val="22"/>
        </w:rPr>
        <w:t xml:space="preserve"> response to Comment Bin 3.8.6.B.</w:t>
      </w:r>
    </w:p>
    <w:p w:rsidR="00A25A92" w:rsidRPr="00C1227F" w:rsidP="00C1227F" w14:paraId="2D113818" w14:textId="77777777">
      <w:pPr>
        <w:spacing w:after="220"/>
        <w:rPr>
          <w:rFonts w:ascii="Arial" w:eastAsia="DengXian" w:hAnsi="Arial" w:cs="Arial"/>
          <w:sz w:val="22"/>
          <w:szCs w:val="22"/>
        </w:rPr>
      </w:pPr>
      <w:r w:rsidRPr="00C1227F">
        <w:rPr>
          <w:rFonts w:ascii="Arial" w:eastAsia="DengXian" w:hAnsi="Arial" w:cs="Arial"/>
          <w:sz w:val="22"/>
          <w:szCs w:val="22"/>
        </w:rPr>
        <w:t>The NRC agrees, in part,</w:t>
      </w:r>
      <w:r w:rsidRPr="00C1227F" w:rsidR="00EF21EF">
        <w:rPr>
          <w:rFonts w:ascii="Arial" w:eastAsia="DengXian" w:hAnsi="Arial" w:cs="Arial"/>
          <w:sz w:val="22"/>
          <w:szCs w:val="22"/>
        </w:rPr>
        <w:t xml:space="preserve"> </w:t>
      </w:r>
      <w:r w:rsidRPr="00C1227F" w:rsidR="00E63F0B">
        <w:rPr>
          <w:rFonts w:ascii="Arial" w:eastAsia="DengXian" w:hAnsi="Arial" w:cs="Arial"/>
          <w:sz w:val="22"/>
          <w:szCs w:val="22"/>
        </w:rPr>
        <w:t>that changes to the design of a manufactured reactor should be allowed</w:t>
      </w:r>
      <w:r w:rsidRPr="00C1227F" w:rsidR="00476C4B">
        <w:rPr>
          <w:rFonts w:ascii="Arial" w:eastAsia="DengXian" w:hAnsi="Arial" w:cs="Arial"/>
          <w:sz w:val="22"/>
          <w:szCs w:val="22"/>
        </w:rPr>
        <w:t>.</w:t>
      </w:r>
      <w:r w:rsidRPr="00C1227F" w:rsidR="00E63F0B">
        <w:rPr>
          <w:rFonts w:ascii="Arial" w:eastAsia="DengXian" w:hAnsi="Arial" w:cs="Arial"/>
          <w:sz w:val="22"/>
          <w:szCs w:val="22"/>
        </w:rPr>
        <w:t xml:space="preserve"> </w:t>
      </w:r>
      <w:r w:rsidRPr="00C1227F" w:rsidR="00476C4B">
        <w:rPr>
          <w:rFonts w:ascii="Arial" w:eastAsia="DengXian" w:hAnsi="Arial" w:cs="Arial"/>
          <w:sz w:val="22"/>
          <w:szCs w:val="22"/>
        </w:rPr>
        <w:t>S</w:t>
      </w:r>
      <w:r w:rsidRPr="00C1227F" w:rsidR="006668EC">
        <w:rPr>
          <w:rFonts w:ascii="Arial" w:eastAsia="DengXian" w:hAnsi="Arial" w:cs="Arial"/>
          <w:sz w:val="22"/>
          <w:szCs w:val="22"/>
        </w:rPr>
        <w:t>ee</w:t>
      </w:r>
      <w:r w:rsidRPr="00C1227F" w:rsidR="00E63F0B">
        <w:rPr>
          <w:rFonts w:ascii="Arial" w:eastAsia="DengXian" w:hAnsi="Arial" w:cs="Arial"/>
          <w:sz w:val="22"/>
          <w:szCs w:val="22"/>
        </w:rPr>
        <w:t xml:space="preserve"> the </w:t>
      </w:r>
      <w:r w:rsidR="00533586">
        <w:rPr>
          <w:rFonts w:ascii="Arial" w:eastAsia="DengXian" w:hAnsi="Arial" w:cs="Arial"/>
          <w:sz w:val="22"/>
          <w:szCs w:val="22"/>
        </w:rPr>
        <w:t xml:space="preserve">NRC’s </w:t>
      </w:r>
      <w:r w:rsidRPr="00C1227F" w:rsidR="00E63F0B">
        <w:rPr>
          <w:rFonts w:ascii="Arial" w:eastAsia="DengXian" w:hAnsi="Arial" w:cs="Arial"/>
          <w:sz w:val="22"/>
          <w:szCs w:val="22"/>
        </w:rPr>
        <w:t xml:space="preserve">response to </w:t>
      </w:r>
      <w:r w:rsidRPr="00C1227F" w:rsidR="006668EC">
        <w:rPr>
          <w:rFonts w:ascii="Arial" w:eastAsia="DengXian" w:hAnsi="Arial" w:cs="Arial"/>
          <w:sz w:val="22"/>
          <w:szCs w:val="22"/>
        </w:rPr>
        <w:t>C</w:t>
      </w:r>
      <w:r w:rsidRPr="00C1227F" w:rsidR="00E63F0B">
        <w:rPr>
          <w:rFonts w:ascii="Arial" w:eastAsia="DengXian" w:hAnsi="Arial" w:cs="Arial"/>
          <w:sz w:val="22"/>
          <w:szCs w:val="22"/>
        </w:rPr>
        <w:t xml:space="preserve">omment </w:t>
      </w:r>
      <w:r w:rsidRPr="00C1227F" w:rsidR="006668EC">
        <w:rPr>
          <w:rFonts w:ascii="Arial" w:eastAsia="DengXian" w:hAnsi="Arial" w:cs="Arial"/>
          <w:sz w:val="22"/>
          <w:szCs w:val="22"/>
        </w:rPr>
        <w:t>Bin</w:t>
      </w:r>
      <w:r w:rsidRPr="00C1227F">
        <w:rPr>
          <w:rFonts w:ascii="Arial" w:eastAsia="DengXian" w:hAnsi="Arial" w:cs="Arial"/>
          <w:sz w:val="22"/>
          <w:szCs w:val="22"/>
        </w:rPr>
        <w:t xml:space="preserve"> </w:t>
      </w:r>
      <w:r w:rsidR="00E352C2">
        <w:rPr>
          <w:rFonts w:ascii="Arial" w:eastAsia="DengXian" w:hAnsi="Arial" w:cs="Arial"/>
          <w:sz w:val="22"/>
          <w:szCs w:val="22"/>
        </w:rPr>
        <w:t>3.9.3.B</w:t>
      </w:r>
      <w:r w:rsidRPr="00C1227F" w:rsidR="00E63F0B">
        <w:rPr>
          <w:rFonts w:ascii="Arial" w:eastAsia="DengXian" w:hAnsi="Arial" w:cs="Arial"/>
          <w:sz w:val="22"/>
          <w:szCs w:val="22"/>
        </w:rPr>
        <w:t>.</w:t>
      </w:r>
    </w:p>
    <w:p w:rsidR="00E63F0B" w:rsidRPr="00C1227F" w:rsidP="00C1227F" w14:paraId="08A1CE15" w14:textId="77777777">
      <w:pPr>
        <w:spacing w:after="220"/>
        <w:rPr>
          <w:rFonts w:ascii="Arial" w:eastAsia="DengXian" w:hAnsi="Arial" w:cs="Arial"/>
          <w:sz w:val="22"/>
          <w:szCs w:val="22"/>
        </w:rPr>
      </w:pPr>
      <w:r w:rsidRPr="00C1227F">
        <w:rPr>
          <w:rFonts w:ascii="Arial" w:eastAsia="DengXian" w:hAnsi="Arial" w:cs="Arial"/>
          <w:sz w:val="22"/>
          <w:szCs w:val="22"/>
        </w:rPr>
        <w:t xml:space="preserve">Accordingly, the NRC </w:t>
      </w:r>
      <w:r w:rsidR="00533586">
        <w:rPr>
          <w:rFonts w:ascii="Arial" w:eastAsia="DengXian" w:hAnsi="Arial" w:cs="Arial"/>
          <w:sz w:val="22"/>
          <w:szCs w:val="22"/>
        </w:rPr>
        <w:t>revised</w:t>
      </w:r>
      <w:r w:rsidRPr="00C1227F" w:rsidR="00677AB9">
        <w:rPr>
          <w:rFonts w:ascii="Arial" w:eastAsia="DengXian" w:hAnsi="Arial" w:cs="Arial"/>
          <w:sz w:val="22"/>
          <w:szCs w:val="22"/>
        </w:rPr>
        <w:t xml:space="preserve"> the rule </w:t>
      </w:r>
      <w:r w:rsidRPr="00C1227F" w:rsidR="00C31EEB">
        <w:rPr>
          <w:rFonts w:ascii="Arial" w:eastAsia="DengXian" w:hAnsi="Arial" w:cs="Arial"/>
          <w:sz w:val="22"/>
          <w:szCs w:val="22"/>
        </w:rPr>
        <w:t xml:space="preserve">language as </w:t>
      </w:r>
      <w:r w:rsidRPr="00C1227F" w:rsidR="00F711B2">
        <w:rPr>
          <w:rFonts w:ascii="Arial" w:eastAsia="DengXian" w:hAnsi="Arial" w:cs="Arial"/>
          <w:sz w:val="22"/>
          <w:szCs w:val="22"/>
        </w:rPr>
        <w:t xml:space="preserve">described in the referenced Comment Bin responses, but </w:t>
      </w:r>
      <w:r w:rsidRPr="00C1227F" w:rsidR="0033128A">
        <w:rPr>
          <w:rFonts w:ascii="Arial" w:eastAsia="DengXian" w:hAnsi="Arial" w:cs="Arial"/>
          <w:sz w:val="22"/>
          <w:szCs w:val="22"/>
        </w:rPr>
        <w:t>the NRC did not make</w:t>
      </w:r>
      <w:r w:rsidRPr="00C1227F" w:rsidR="00F711B2">
        <w:rPr>
          <w:rFonts w:ascii="Arial" w:eastAsia="DengXian" w:hAnsi="Arial" w:cs="Arial"/>
          <w:sz w:val="22"/>
          <w:szCs w:val="22"/>
        </w:rPr>
        <w:t xml:space="preserve"> additional changes</w:t>
      </w:r>
      <w:r w:rsidRPr="00C1227F" w:rsidR="0033128A">
        <w:rPr>
          <w:rFonts w:ascii="Arial" w:eastAsia="DengXian" w:hAnsi="Arial" w:cs="Arial"/>
          <w:sz w:val="22"/>
          <w:szCs w:val="22"/>
        </w:rPr>
        <w:t xml:space="preserve"> to the rule language</w:t>
      </w:r>
      <w:r w:rsidRPr="00C1227F" w:rsidR="00677AB9">
        <w:rPr>
          <w:rFonts w:ascii="Arial" w:eastAsia="DengXian" w:hAnsi="Arial" w:cs="Arial"/>
          <w:sz w:val="22"/>
          <w:szCs w:val="22"/>
        </w:rPr>
        <w:t xml:space="preserve"> in response to these comments.</w:t>
      </w:r>
    </w:p>
    <w:p w:rsidR="00AC1417" w:rsidRPr="00C1227F" w:rsidP="00C1227F" w14:paraId="426BBB8B"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40" style="width:0;height:1.5pt" o:hralign="center" o:hrstd="t" o:hrnoshade="t" o:hr="t" fillcolor="black" stroked="f"/>
        </w:pict>
      </w:r>
    </w:p>
    <w:p w:rsidR="00B55D6A" w:rsidRPr="00C1227F" w:rsidP="00C1227F" w14:paraId="3A069B03" w14:textId="77777777">
      <w:pPr>
        <w:spacing w:after="220"/>
        <w:rPr>
          <w:rFonts w:ascii="Arial" w:eastAsia="DengXian" w:hAnsi="Arial" w:cs="Arial"/>
          <w:sz w:val="22"/>
          <w:szCs w:val="22"/>
        </w:rPr>
      </w:pPr>
      <w:r w:rsidRPr="00C1227F">
        <w:rPr>
          <w:rFonts w:ascii="Arial" w:eastAsia="DengXian" w:hAnsi="Arial" w:cs="Arial"/>
          <w:b/>
          <w:sz w:val="22"/>
          <w:szCs w:val="22"/>
        </w:rPr>
        <w:t>Comment Bin 3.5.1.3.B:</w:t>
      </w:r>
      <w:r w:rsidRPr="00C1227F">
        <w:rPr>
          <w:rFonts w:ascii="Arial" w:eastAsia="DengXian" w:hAnsi="Arial" w:cs="Arial"/>
          <w:sz w:val="22"/>
          <w:szCs w:val="22"/>
        </w:rPr>
        <w:t xml:space="preserve"> A commenter asserted that 10 CFR Part 70 sufficiently governs the handling, processing, and loading of nuclear fuel, ensuring appropriate safety and security measures are in place, and thus suggested removing 10 CFR 53.620(d) as it is unnecessary and redundant. The commenter reasoned that while the NRC has not previously applied 10</w:t>
      </w:r>
      <w:r w:rsidR="00065C09">
        <w:rPr>
          <w:rFonts w:ascii="Arial" w:eastAsia="DengXian" w:hAnsi="Arial" w:cs="Arial"/>
          <w:sz w:val="22"/>
          <w:szCs w:val="22"/>
        </w:rPr>
        <w:t> </w:t>
      </w:r>
      <w:r w:rsidRPr="00C1227F">
        <w:rPr>
          <w:rFonts w:ascii="Arial" w:eastAsia="DengXian" w:hAnsi="Arial" w:cs="Arial"/>
          <w:sz w:val="22"/>
          <w:szCs w:val="22"/>
        </w:rPr>
        <w:t>CFR Part 70 to factory fuel loading of a manufactured reactor, it provides an established, structured approach, nor has the NRC previously applied different standards in this context (</w:t>
      </w:r>
      <w:r w:rsidR="00D87876">
        <w:rPr>
          <w:rFonts w:ascii="Arial" w:eastAsia="DengXian" w:hAnsi="Arial" w:cs="Arial"/>
          <w:sz w:val="22"/>
          <w:szCs w:val="22"/>
        </w:rPr>
        <w:t>SCWG</w:t>
      </w:r>
      <w:r w:rsidRPr="00C1227F">
        <w:rPr>
          <w:rFonts w:ascii="Arial" w:eastAsia="DengXian" w:hAnsi="Arial" w:cs="Arial"/>
          <w:sz w:val="22"/>
          <w:szCs w:val="22"/>
        </w:rPr>
        <w:t>-0017</w:t>
      </w:r>
      <w:r w:rsidR="00E005BC">
        <w:rPr>
          <w:rFonts w:ascii="Arial" w:eastAsia="DengXian" w:hAnsi="Arial" w:cs="Arial"/>
          <w:sz w:val="22"/>
          <w:szCs w:val="22"/>
        </w:rPr>
        <w:t>,</w:t>
      </w:r>
      <w:r w:rsidRPr="00C1227F">
        <w:rPr>
          <w:rFonts w:ascii="Arial" w:eastAsia="DengXian" w:hAnsi="Arial" w:cs="Arial"/>
          <w:sz w:val="22"/>
          <w:szCs w:val="22"/>
        </w:rPr>
        <w:t xml:space="preserve"> </w:t>
      </w:r>
      <w:r w:rsidR="00D87876">
        <w:rPr>
          <w:rFonts w:ascii="Arial" w:eastAsia="DengXian" w:hAnsi="Arial" w:cs="Arial"/>
          <w:sz w:val="22"/>
          <w:szCs w:val="22"/>
        </w:rPr>
        <w:t>SCWG</w:t>
      </w:r>
      <w:r w:rsidRPr="00C1227F">
        <w:rPr>
          <w:rFonts w:ascii="Arial" w:eastAsia="DengXian" w:hAnsi="Arial" w:cs="Arial"/>
          <w:sz w:val="22"/>
          <w:szCs w:val="22"/>
        </w:rPr>
        <w:t>-0021).</w:t>
      </w:r>
    </w:p>
    <w:p w:rsidR="00B55D6A" w:rsidRPr="00C1227F" w:rsidP="00C1227F" w14:paraId="2A75A1ED"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w:t>
      </w:r>
      <w:r w:rsidRPr="00C1227F" w:rsidR="00864EF5">
        <w:rPr>
          <w:rFonts w:ascii="Arial" w:eastAsia="DengXian" w:hAnsi="Arial" w:cs="Arial"/>
          <w:sz w:val="22"/>
          <w:szCs w:val="22"/>
        </w:rPr>
        <w:t>,</w:t>
      </w:r>
      <w:r w:rsidRPr="00C1227F">
        <w:rPr>
          <w:rFonts w:ascii="Arial" w:eastAsia="DengXian" w:hAnsi="Arial" w:cs="Arial"/>
          <w:sz w:val="22"/>
          <w:szCs w:val="22"/>
        </w:rPr>
        <w:t xml:space="preserve"> in part</w:t>
      </w:r>
      <w:r w:rsidRPr="00C1227F" w:rsidR="00864EF5">
        <w:rPr>
          <w:rFonts w:ascii="Arial" w:eastAsia="DengXian" w:hAnsi="Arial" w:cs="Arial"/>
          <w:sz w:val="22"/>
          <w:szCs w:val="22"/>
        </w:rPr>
        <w:t>,</w:t>
      </w:r>
      <w:r w:rsidRPr="00C1227F">
        <w:rPr>
          <w:rFonts w:ascii="Arial" w:eastAsia="DengXian" w:hAnsi="Arial" w:cs="Arial"/>
          <w:sz w:val="22"/>
          <w:szCs w:val="22"/>
        </w:rPr>
        <w:t xml:space="preserve"> with the comments.</w:t>
      </w:r>
    </w:p>
    <w:p w:rsidR="007A500B" w:rsidRPr="00C1227F" w:rsidP="00C1227F" w14:paraId="7DD1C0C9" w14:textId="77777777">
      <w:pPr>
        <w:spacing w:after="220"/>
        <w:rPr>
          <w:rFonts w:ascii="Arial" w:eastAsia="DengXian" w:hAnsi="Arial" w:cs="Arial"/>
          <w:sz w:val="22"/>
          <w:szCs w:val="22"/>
        </w:rPr>
      </w:pPr>
      <w:r w:rsidRPr="00C1227F">
        <w:rPr>
          <w:rFonts w:ascii="Arial" w:eastAsia="DengXian" w:hAnsi="Arial" w:cs="Arial"/>
          <w:sz w:val="22"/>
          <w:szCs w:val="22"/>
        </w:rPr>
        <w:t xml:space="preserve">See the response to </w:t>
      </w:r>
      <w:r w:rsidRPr="00C1227F" w:rsidR="00D97743">
        <w:rPr>
          <w:rFonts w:ascii="Arial" w:eastAsia="DengXian" w:hAnsi="Arial" w:cs="Arial"/>
          <w:sz w:val="22"/>
          <w:szCs w:val="22"/>
        </w:rPr>
        <w:t>C</w:t>
      </w:r>
      <w:r w:rsidRPr="00C1227F">
        <w:rPr>
          <w:rFonts w:ascii="Arial" w:eastAsia="DengXian" w:hAnsi="Arial" w:cs="Arial"/>
          <w:sz w:val="22"/>
          <w:szCs w:val="22"/>
        </w:rPr>
        <w:t>omment</w:t>
      </w:r>
      <w:r w:rsidRPr="00C1227F" w:rsidR="00D97743">
        <w:rPr>
          <w:rFonts w:ascii="Arial" w:eastAsia="DengXian" w:hAnsi="Arial" w:cs="Arial"/>
          <w:sz w:val="22"/>
          <w:szCs w:val="22"/>
        </w:rPr>
        <w:t xml:space="preserve"> Bin</w:t>
      </w:r>
      <w:r w:rsidRPr="00C1227F">
        <w:rPr>
          <w:rFonts w:ascii="Arial" w:eastAsia="DengXian" w:hAnsi="Arial" w:cs="Arial"/>
          <w:sz w:val="22"/>
          <w:szCs w:val="22"/>
        </w:rPr>
        <w:t xml:space="preserve"> 3.5.1.1</w:t>
      </w:r>
      <w:r w:rsidRPr="00C1227F" w:rsidR="00D97743">
        <w:rPr>
          <w:rFonts w:ascii="Arial" w:eastAsia="DengXian" w:hAnsi="Arial" w:cs="Arial"/>
          <w:sz w:val="22"/>
          <w:szCs w:val="22"/>
        </w:rPr>
        <w:t>.B</w:t>
      </w:r>
      <w:r w:rsidRPr="00C1227F">
        <w:rPr>
          <w:rFonts w:ascii="Arial" w:eastAsia="DengXian" w:hAnsi="Arial" w:cs="Arial"/>
          <w:sz w:val="22"/>
          <w:szCs w:val="22"/>
        </w:rPr>
        <w:t xml:space="preserve"> regarding the NRC revisions to the rule language for 10 CFR 53.620(d), which provides flexibility in how an applicant or licensee defines features to pre</w:t>
      </w:r>
      <w:r w:rsidRPr="00C1227F" w:rsidR="00D23216">
        <w:rPr>
          <w:rFonts w:ascii="Arial" w:eastAsia="DengXian" w:hAnsi="Arial" w:cs="Arial"/>
          <w:sz w:val="22"/>
          <w:szCs w:val="22"/>
        </w:rPr>
        <w:t>vent</w:t>
      </w:r>
      <w:r w:rsidRPr="00C1227F">
        <w:rPr>
          <w:rFonts w:ascii="Arial" w:eastAsia="DengXian" w:hAnsi="Arial" w:cs="Arial"/>
          <w:sz w:val="22"/>
          <w:szCs w:val="22"/>
        </w:rPr>
        <w:t xml:space="preserve"> criticality for fueling, storing, and transporting a fueled manufactured reactor. The requirements in 10 CFR 53.620(d) do rely heavily on the regulations in 10 CFR Part 70 to address the handling of special nuclear material, the loading of fuel into manufactured reactors, </w:t>
      </w:r>
      <w:r w:rsidRPr="00C1227F">
        <w:rPr>
          <w:rFonts w:ascii="Arial" w:eastAsia="DengXian" w:hAnsi="Arial" w:cs="Arial"/>
          <w:sz w:val="22"/>
          <w:szCs w:val="22"/>
        </w:rPr>
        <w:t>and the subsequent storage of the fueled manufactured reactor pending its transport from the manufacturing facility.</w:t>
      </w:r>
    </w:p>
    <w:p w:rsidR="00B55D6A" w:rsidRPr="00C1227F" w:rsidP="00C1227F" w14:paraId="72DDC7FE" w14:textId="77777777">
      <w:pPr>
        <w:spacing w:after="220"/>
        <w:rPr>
          <w:rFonts w:ascii="Arial" w:eastAsia="DengXian" w:hAnsi="Arial" w:cs="Arial"/>
          <w:sz w:val="22"/>
          <w:szCs w:val="22"/>
        </w:rPr>
      </w:pPr>
      <w:r w:rsidRPr="00C1227F">
        <w:rPr>
          <w:rFonts w:ascii="Arial" w:eastAsia="DengXian" w:hAnsi="Arial" w:cs="Arial"/>
          <w:sz w:val="22"/>
          <w:szCs w:val="22"/>
        </w:rPr>
        <w:t>However, the NRC does not agree that the references to 10 CFR Part 70 render 10</w:t>
      </w:r>
      <w:r w:rsidRPr="00C1227F" w:rsidR="00C96E14">
        <w:rPr>
          <w:rFonts w:ascii="Arial" w:eastAsia="DengXian" w:hAnsi="Arial" w:cs="Arial"/>
          <w:sz w:val="22"/>
          <w:szCs w:val="22"/>
        </w:rPr>
        <w:t> </w:t>
      </w:r>
      <w:r w:rsidRPr="00C1227F">
        <w:rPr>
          <w:rFonts w:ascii="Arial" w:eastAsia="DengXian" w:hAnsi="Arial" w:cs="Arial"/>
          <w:sz w:val="22"/>
          <w:szCs w:val="22"/>
        </w:rPr>
        <w:t>CFR</w:t>
      </w:r>
      <w:r w:rsidRPr="00C1227F" w:rsidR="00C96E14">
        <w:rPr>
          <w:rFonts w:ascii="Arial" w:eastAsia="DengXian" w:hAnsi="Arial" w:cs="Arial"/>
          <w:sz w:val="22"/>
          <w:szCs w:val="22"/>
        </w:rPr>
        <w:t> </w:t>
      </w:r>
      <w:r w:rsidRPr="00C1227F">
        <w:rPr>
          <w:rFonts w:ascii="Arial" w:eastAsia="DengXian" w:hAnsi="Arial" w:cs="Arial"/>
          <w:sz w:val="22"/>
          <w:szCs w:val="22"/>
        </w:rPr>
        <w:t>53.620(d) unnecessary because the provisions in 10 CFR Part 53 provide the necessary structure for the regulation of the manufactured reactor under those sections of the A</w:t>
      </w:r>
      <w:r w:rsidR="0062673C">
        <w:rPr>
          <w:rFonts w:ascii="Arial" w:eastAsia="DengXian" w:hAnsi="Arial" w:cs="Arial"/>
          <w:sz w:val="22"/>
          <w:szCs w:val="22"/>
        </w:rPr>
        <w:t>EA</w:t>
      </w:r>
      <w:r w:rsidRPr="00C1227F">
        <w:rPr>
          <w:rFonts w:ascii="Arial" w:eastAsia="DengXian" w:hAnsi="Arial" w:cs="Arial"/>
          <w:sz w:val="22"/>
          <w:szCs w:val="22"/>
        </w:rPr>
        <w:t xml:space="preserve"> and other NRC regulations governing commercial nuclear plants. </w:t>
      </w:r>
      <w:r w:rsidRPr="00C1227F" w:rsidR="00FD7A3D">
        <w:rPr>
          <w:rFonts w:ascii="Arial" w:eastAsia="DengXian" w:hAnsi="Arial" w:cs="Arial"/>
          <w:sz w:val="22"/>
          <w:szCs w:val="22"/>
        </w:rPr>
        <w:t>10 CFR </w:t>
      </w:r>
      <w:r w:rsidRPr="00C1227F" w:rsidR="002722F4">
        <w:rPr>
          <w:rFonts w:ascii="Arial" w:eastAsia="DengXian" w:hAnsi="Arial" w:cs="Arial"/>
          <w:sz w:val="22"/>
          <w:szCs w:val="22"/>
        </w:rPr>
        <w:t>53.620(d) also</w:t>
      </w:r>
      <w:r w:rsidRPr="00C1227F" w:rsidR="00427455">
        <w:rPr>
          <w:rFonts w:ascii="Arial" w:eastAsia="DengXian" w:hAnsi="Arial" w:cs="Arial"/>
          <w:sz w:val="22"/>
          <w:szCs w:val="22"/>
        </w:rPr>
        <w:t xml:space="preserve"> confirm</w:t>
      </w:r>
      <w:r w:rsidRPr="00C1227F" w:rsidR="00004E45">
        <w:rPr>
          <w:rFonts w:ascii="Arial" w:eastAsia="DengXian" w:hAnsi="Arial" w:cs="Arial"/>
          <w:sz w:val="22"/>
          <w:szCs w:val="22"/>
        </w:rPr>
        <w:t xml:space="preserve">s </w:t>
      </w:r>
      <w:r w:rsidRPr="00C1227F" w:rsidR="00427455">
        <w:rPr>
          <w:rFonts w:ascii="Arial" w:eastAsia="DengXian" w:hAnsi="Arial" w:cs="Arial"/>
          <w:sz w:val="22"/>
          <w:szCs w:val="22"/>
        </w:rPr>
        <w:t xml:space="preserve">that </w:t>
      </w:r>
      <w:r w:rsidRPr="00C1227F" w:rsidR="00C43335">
        <w:rPr>
          <w:rFonts w:ascii="Arial" w:eastAsia="DengXian" w:hAnsi="Arial" w:cs="Arial"/>
          <w:sz w:val="22"/>
          <w:szCs w:val="22"/>
        </w:rPr>
        <w:t>a manufactured reactor is not in operatio</w:t>
      </w:r>
      <w:r w:rsidRPr="00C1227F" w:rsidR="00EF33CB">
        <w:rPr>
          <w:rFonts w:ascii="Arial" w:eastAsia="DengXian" w:hAnsi="Arial" w:cs="Arial"/>
          <w:sz w:val="22"/>
          <w:szCs w:val="22"/>
        </w:rPr>
        <w:t>n</w:t>
      </w:r>
      <w:r w:rsidRPr="00C1227F" w:rsidR="00C43335">
        <w:rPr>
          <w:rFonts w:ascii="Arial" w:eastAsia="DengXian" w:hAnsi="Arial" w:cs="Arial"/>
          <w:sz w:val="22"/>
          <w:szCs w:val="22"/>
        </w:rPr>
        <w:t xml:space="preserve"> while t</w:t>
      </w:r>
      <w:r w:rsidRPr="00C1227F" w:rsidR="00884F7A">
        <w:rPr>
          <w:rFonts w:ascii="Arial" w:eastAsia="DengXian" w:hAnsi="Arial" w:cs="Arial"/>
          <w:sz w:val="22"/>
          <w:szCs w:val="22"/>
        </w:rPr>
        <w:t>he mechanisms to prevent criticality are in place</w:t>
      </w:r>
      <w:r w:rsidRPr="00C1227F" w:rsidR="00004E45">
        <w:rPr>
          <w:rFonts w:ascii="Arial" w:eastAsia="DengXian" w:hAnsi="Arial" w:cs="Arial"/>
          <w:sz w:val="22"/>
          <w:szCs w:val="22"/>
        </w:rPr>
        <w:t xml:space="preserve"> even after fuel load</w:t>
      </w:r>
      <w:r w:rsidRPr="00C1227F" w:rsidR="002722F4">
        <w:rPr>
          <w:rFonts w:ascii="Arial" w:eastAsia="DengXian" w:hAnsi="Arial" w:cs="Arial"/>
          <w:sz w:val="22"/>
          <w:szCs w:val="22"/>
        </w:rPr>
        <w:t xml:space="preserve"> and therefore can be possessed with just the ML </w:t>
      </w:r>
      <w:r w:rsidR="00634BC3">
        <w:rPr>
          <w:rFonts w:ascii="Arial" w:eastAsia="DengXian" w:hAnsi="Arial" w:cs="Arial"/>
          <w:sz w:val="22"/>
          <w:szCs w:val="22"/>
        </w:rPr>
        <w:t xml:space="preserve">and not the </w:t>
      </w:r>
      <w:r w:rsidR="00127656">
        <w:rPr>
          <w:rFonts w:ascii="Arial" w:eastAsia="DengXian" w:hAnsi="Arial" w:cs="Arial"/>
          <w:sz w:val="22"/>
          <w:szCs w:val="22"/>
        </w:rPr>
        <w:t xml:space="preserve">operating </w:t>
      </w:r>
      <w:r w:rsidR="001F1FE2">
        <w:rPr>
          <w:rFonts w:ascii="Arial" w:eastAsia="DengXian" w:hAnsi="Arial" w:cs="Arial"/>
          <w:sz w:val="22"/>
          <w:szCs w:val="22"/>
        </w:rPr>
        <w:t xml:space="preserve">licenses traditionally used for </w:t>
      </w:r>
      <w:r w:rsidR="007A6052">
        <w:rPr>
          <w:rFonts w:ascii="Arial" w:eastAsia="DengXian" w:hAnsi="Arial" w:cs="Arial"/>
          <w:sz w:val="22"/>
          <w:szCs w:val="22"/>
        </w:rPr>
        <w:t xml:space="preserve">loading of fuel into a nuclear reactor under </w:t>
      </w:r>
      <w:r w:rsidR="00576B36">
        <w:rPr>
          <w:rFonts w:ascii="Arial" w:eastAsia="DengXian" w:hAnsi="Arial" w:cs="Arial"/>
          <w:sz w:val="22"/>
          <w:szCs w:val="22"/>
        </w:rPr>
        <w:t>10 CFR </w:t>
      </w:r>
      <w:r w:rsidR="007A6052">
        <w:rPr>
          <w:rFonts w:ascii="Arial" w:eastAsia="DengXian" w:hAnsi="Arial" w:cs="Arial"/>
          <w:sz w:val="22"/>
          <w:szCs w:val="22"/>
        </w:rPr>
        <w:t>Parts 50 and 52</w:t>
      </w:r>
      <w:r w:rsidRPr="00C1227F">
        <w:rPr>
          <w:rFonts w:ascii="Arial" w:eastAsia="DengXian" w:hAnsi="Arial" w:cs="Arial"/>
          <w:sz w:val="22"/>
          <w:szCs w:val="22"/>
        </w:rPr>
        <w:t>.</w:t>
      </w:r>
    </w:p>
    <w:p w:rsidR="00AC1417" w:rsidRPr="00C1227F" w:rsidP="00C1227F" w14:paraId="414E478C" w14:textId="77777777">
      <w:pPr>
        <w:spacing w:after="220"/>
        <w:rPr>
          <w:rFonts w:ascii="Arial" w:eastAsia="Times New Roman" w:hAnsi="Arial" w:cs="Arial"/>
          <w:color w:val="000000"/>
          <w:sz w:val="22"/>
          <w:szCs w:val="22"/>
          <w:lang w:eastAsia="zh-CN"/>
        </w:rPr>
      </w:pPr>
      <w:r w:rsidRPr="00C1227F">
        <w:rPr>
          <w:rFonts w:ascii="Arial" w:eastAsia="DengXian" w:hAnsi="Arial" w:cs="Arial"/>
          <w:sz w:val="22"/>
          <w:szCs w:val="22"/>
        </w:rPr>
        <w:t xml:space="preserve">Accordingly, the NRC did not </w:t>
      </w:r>
      <w:r w:rsidRPr="00C1227F" w:rsidR="00C96E14">
        <w:rPr>
          <w:rFonts w:ascii="Arial" w:eastAsia="DengXian" w:hAnsi="Arial" w:cs="Arial"/>
          <w:sz w:val="22"/>
          <w:szCs w:val="22"/>
        </w:rPr>
        <w:t>change</w:t>
      </w:r>
      <w:r w:rsidRPr="00C1227F">
        <w:rPr>
          <w:rFonts w:ascii="Arial" w:eastAsia="DengXian" w:hAnsi="Arial" w:cs="Arial"/>
          <w:sz w:val="22"/>
          <w:szCs w:val="22"/>
        </w:rPr>
        <w:t xml:space="preserve"> the rule language in response to th</w:t>
      </w:r>
      <w:r w:rsidRPr="00C1227F" w:rsidR="00C96E14">
        <w:rPr>
          <w:rFonts w:ascii="Arial" w:eastAsia="DengXian" w:hAnsi="Arial" w:cs="Arial"/>
          <w:sz w:val="22"/>
          <w:szCs w:val="22"/>
        </w:rPr>
        <w:t>e</w:t>
      </w:r>
      <w:r w:rsidRPr="00C1227F">
        <w:rPr>
          <w:rFonts w:ascii="Arial" w:eastAsia="DengXian" w:hAnsi="Arial" w:cs="Arial"/>
          <w:sz w:val="22"/>
          <w:szCs w:val="22"/>
        </w:rPr>
        <w:t>s</w:t>
      </w:r>
      <w:r w:rsidRPr="00C1227F" w:rsidR="00C96E14">
        <w:rPr>
          <w:rFonts w:ascii="Arial" w:eastAsia="DengXian" w:hAnsi="Arial" w:cs="Arial"/>
          <w:sz w:val="22"/>
          <w:szCs w:val="22"/>
        </w:rPr>
        <w:t>e</w:t>
      </w:r>
      <w:r w:rsidRPr="00C1227F">
        <w:rPr>
          <w:rFonts w:ascii="Arial" w:eastAsia="DengXian" w:hAnsi="Arial" w:cs="Arial"/>
          <w:sz w:val="22"/>
          <w:szCs w:val="22"/>
        </w:rPr>
        <w:t xml:space="preserve"> comment</w:t>
      </w:r>
      <w:r w:rsidRPr="00C1227F" w:rsidR="00C96E14">
        <w:rPr>
          <w:rFonts w:ascii="Arial" w:eastAsia="DengXian" w:hAnsi="Arial" w:cs="Arial"/>
          <w:sz w:val="22"/>
          <w:szCs w:val="22"/>
        </w:rPr>
        <w:t>s</w:t>
      </w:r>
      <w:r w:rsidRPr="00C1227F">
        <w:rPr>
          <w:rFonts w:ascii="Arial" w:eastAsia="DengXian" w:hAnsi="Arial" w:cs="Arial"/>
          <w:sz w:val="22"/>
          <w:szCs w:val="22"/>
        </w:rPr>
        <w:t>.</w:t>
      </w:r>
      <w:r>
        <w:rPr>
          <w:rFonts w:ascii="Arial" w:eastAsia="Times New Roman" w:hAnsi="Arial" w:cs="Arial"/>
          <w:sz w:val="22"/>
          <w:szCs w:val="22"/>
          <w:lang w:eastAsia="zh-CN"/>
        </w:rPr>
        <w:pict>
          <v:rect id="_x0000_i1141" style="width:0;height:1.5pt" o:hralign="center" o:hrstd="t" o:hrnoshade="t" o:hr="t" fillcolor="black" stroked="f"/>
        </w:pict>
      </w:r>
    </w:p>
    <w:p w:rsidR="001340EA" w:rsidRPr="00C1227F" w:rsidP="00C1227F" w14:paraId="731B8B77" w14:textId="77777777">
      <w:pPr>
        <w:spacing w:after="220"/>
        <w:rPr>
          <w:rFonts w:ascii="Arial" w:eastAsia="DengXian" w:hAnsi="Arial" w:cs="Arial"/>
          <w:sz w:val="22"/>
          <w:szCs w:val="22"/>
        </w:rPr>
      </w:pPr>
      <w:r w:rsidRPr="00C1227F">
        <w:rPr>
          <w:rFonts w:ascii="Arial" w:eastAsia="DengXian" w:hAnsi="Arial" w:cs="Arial"/>
          <w:b/>
          <w:sz w:val="22"/>
          <w:szCs w:val="22"/>
        </w:rPr>
        <w:t xml:space="preserve">Comment Bin </w:t>
      </w:r>
      <w:r w:rsidRPr="00C1227F" w:rsidR="008F1F30">
        <w:rPr>
          <w:rFonts w:ascii="Arial" w:eastAsia="DengXian" w:hAnsi="Arial" w:cs="Arial"/>
          <w:b/>
          <w:sz w:val="22"/>
          <w:szCs w:val="22"/>
        </w:rPr>
        <w:t>3.5.1.3.C</w:t>
      </w:r>
      <w:r w:rsidRPr="00C1227F">
        <w:rPr>
          <w:rFonts w:ascii="Arial" w:eastAsia="DengXian" w:hAnsi="Arial" w:cs="Arial"/>
          <w:b/>
          <w:sz w:val="22"/>
          <w:szCs w:val="22"/>
        </w:rPr>
        <w:t>:</w:t>
      </w:r>
      <w:r w:rsidRPr="00C1227F">
        <w:rPr>
          <w:rFonts w:ascii="Arial" w:eastAsia="DengXian" w:hAnsi="Arial" w:cs="Arial"/>
          <w:sz w:val="22"/>
          <w:szCs w:val="22"/>
        </w:rPr>
        <w:t xml:space="preserve"> A commenter expressed concern that the proposed rule departs from the NRC-endorsed voluntary consensus standard ANSI/ANS-8.1-2014 (R2023), “Nuclear Criticality Safety in Operations with Fissionable Material Outside Reactors,” without justification. The commenter wrote that the requirement for at least two independent physical mechanisms that will each prevent criticality is inconsistent with ANSI/ANS-8.1</w:t>
      </w:r>
      <w:r w:rsidRPr="00C1227F">
        <w:rPr>
          <w:rFonts w:ascii="Arial" w:eastAsia="DengXian" w:hAnsi="Arial" w:cs="Arial"/>
          <w:sz w:val="22"/>
          <w:szCs w:val="22"/>
        </w:rPr>
        <w:noBreakHyphen/>
        <w:t>2014 (R2023), goes beyond what 10 CFR Part 70 requires for reasonable assurance of adequate protection, and is not performance</w:t>
      </w:r>
      <w:r w:rsidRPr="00C1227F">
        <w:rPr>
          <w:rFonts w:ascii="Arial" w:eastAsia="DengXian" w:hAnsi="Arial" w:cs="Arial"/>
          <w:sz w:val="22"/>
          <w:szCs w:val="22"/>
        </w:rPr>
        <w:noBreakHyphen/>
        <w:t>based as mandated by NEIMA and the ADVANCE Act. The commenter argued that the existing process analysis requirement in ANSI/ANS</w:t>
      </w:r>
      <w:r w:rsidRPr="00C1227F">
        <w:rPr>
          <w:rFonts w:ascii="Arial" w:eastAsia="DengXian" w:hAnsi="Arial" w:cs="Arial"/>
          <w:sz w:val="22"/>
          <w:szCs w:val="22"/>
        </w:rPr>
        <w:noBreakHyphen/>
        <w:t>8.1</w:t>
      </w:r>
      <w:r w:rsidRPr="00C1227F">
        <w:rPr>
          <w:rFonts w:ascii="Arial" w:eastAsia="DengXian" w:hAnsi="Arial" w:cs="Arial"/>
          <w:sz w:val="22"/>
          <w:szCs w:val="22"/>
        </w:rPr>
        <w:noBreakHyphen/>
        <w:t>2014 (R2023) and double contingency principle in 10 CFR Part 70 are the foundations of criticality safety for all 10</w:t>
      </w:r>
      <w:r w:rsidR="00992B24">
        <w:rPr>
          <w:rFonts w:ascii="Arial" w:eastAsia="DengXian" w:hAnsi="Arial" w:cs="Arial"/>
          <w:sz w:val="22"/>
          <w:szCs w:val="22"/>
        </w:rPr>
        <w:t> </w:t>
      </w:r>
      <w:r w:rsidRPr="00C1227F">
        <w:rPr>
          <w:rFonts w:ascii="Arial" w:eastAsia="DengXian" w:hAnsi="Arial" w:cs="Arial"/>
          <w:sz w:val="22"/>
          <w:szCs w:val="22"/>
        </w:rPr>
        <w:t>CFR</w:t>
      </w:r>
      <w:r w:rsidR="00992B24">
        <w:rPr>
          <w:rFonts w:ascii="Arial" w:eastAsia="DengXian" w:hAnsi="Arial" w:cs="Arial"/>
          <w:sz w:val="22"/>
          <w:szCs w:val="22"/>
        </w:rPr>
        <w:t> </w:t>
      </w:r>
      <w:r w:rsidRPr="00C1227F">
        <w:rPr>
          <w:rFonts w:ascii="Arial" w:eastAsia="DengXian" w:hAnsi="Arial" w:cs="Arial"/>
          <w:sz w:val="22"/>
          <w:szCs w:val="22"/>
        </w:rPr>
        <w:t>Part 70 facilities, while the proposed requirement would add a burdensome, prescriptive level of control that bars non-physical methods of control that would meet the existing regulation in 10 CFR Part 70. Quoting OMB Circular A</w:t>
      </w:r>
      <w:r w:rsidRPr="00C1227F">
        <w:rPr>
          <w:rFonts w:ascii="Arial" w:eastAsia="DengXian" w:hAnsi="Arial" w:cs="Arial"/>
          <w:sz w:val="22"/>
          <w:szCs w:val="22"/>
        </w:rPr>
        <w:noBreakHyphen/>
        <w:t>119, which states that “all Federal agencies must use voluntary consensus standards in lieu of government-unique standards in their procurement and regulatory activities, except where inconsistent with law or otherwise impractical,” the commenter explained that while the NRC’s endorsement of ANSI/ANS-8.1-2014 (R2023) was not without exception, it did not take exception to the performance process analysis requirement or the double contingency recommendation. The commenter requested that the NRC revise the rule to require the operations covered by 10 CFR 53.620(d) to follow the ANSI/ANS-8 series of standards, particularly ANSI/ANS-8.1-2014 (R2023), for ensuring criticality safety at 10 CFR Part 70 facilities (</w:t>
      </w:r>
      <w:r w:rsidR="00704A39">
        <w:rPr>
          <w:rFonts w:ascii="Arial" w:eastAsia="DengXian" w:hAnsi="Arial" w:cs="Arial"/>
          <w:sz w:val="22"/>
          <w:szCs w:val="22"/>
        </w:rPr>
        <w:t>ANS</w:t>
      </w:r>
      <w:r w:rsidRPr="00C1227F">
        <w:rPr>
          <w:rFonts w:ascii="Arial" w:eastAsia="DengXian" w:hAnsi="Arial" w:cs="Arial"/>
          <w:sz w:val="22"/>
          <w:szCs w:val="22"/>
        </w:rPr>
        <w:t>-0001).</w:t>
      </w:r>
    </w:p>
    <w:p w:rsidR="001340EA" w:rsidRPr="00C1227F" w:rsidP="00C1227F" w14:paraId="02C24A9F" w14:textId="77777777">
      <w:pPr>
        <w:spacing w:after="220"/>
        <w:rPr>
          <w:rFonts w:ascii="Arial" w:eastAsia="DengXian" w:hAnsi="Arial" w:cs="Arial"/>
          <w:sz w:val="22"/>
          <w:szCs w:val="22"/>
        </w:rPr>
      </w:pPr>
      <w:r w:rsidRPr="00C1227F">
        <w:rPr>
          <w:rFonts w:ascii="Arial" w:eastAsia="DengXian" w:hAnsi="Arial" w:cs="Arial"/>
          <w:sz w:val="22"/>
          <w:szCs w:val="22"/>
        </w:rPr>
        <w:t>Another commenter wrote that for a microreactor with two methods to control criticality (thus satisfying the double contingency principle), the safety evaluation should show that there is no way for an inadvertent criticality event at fuel load, even during an accident or natural phenomena, and as such the NRC should not treat it as a nuclear reactor. Stating that the requirements of 10 CFR Part 70 should be adequate for safely loading fuel into a reactor at the factory, the commenter argued that there is no need to require, as 10 CFR 53.620(d)(1)(i) does, also having in place at least two independent criticality prevention mechanisms. The commenter asserted that this requirement not only is unnecessary but also adds significant and potentially confusing layers of requirements above long-established double contingency principle practices and could preclude the otherwise safe loading of certain reactor types without the need to disassemble at the use site to remove physical mechanisms.</w:t>
      </w:r>
    </w:p>
    <w:p w:rsidR="001340EA" w:rsidRPr="00D61D04" w:rsidP="00C1227F" w14:paraId="72B568EF" w14:textId="77777777">
      <w:pPr>
        <w:spacing w:after="220"/>
        <w:rPr>
          <w:rFonts w:ascii="Arial" w:eastAsia="DengXian" w:hAnsi="Arial" w:cs="Arial"/>
          <w:sz w:val="22"/>
          <w:szCs w:val="22"/>
        </w:rPr>
      </w:pPr>
      <w:r w:rsidRPr="00C1227F">
        <w:rPr>
          <w:rFonts w:ascii="Arial" w:eastAsia="DengXian" w:hAnsi="Arial" w:cs="Arial"/>
          <w:sz w:val="22"/>
          <w:szCs w:val="22"/>
        </w:rPr>
        <w:t xml:space="preserve">Objecting to the requirement for two separate mechanisms, the commenter quoted the definition in 10 CFR 70.4 of the double contingency principle, which states that “process designs should incorporate sufficient factors of safety to require at least two unlikely, independent, and </w:t>
      </w:r>
      <w:r w:rsidRPr="00C1227F">
        <w:rPr>
          <w:rFonts w:ascii="Arial" w:eastAsia="DengXian" w:hAnsi="Arial" w:cs="Arial"/>
          <w:sz w:val="22"/>
          <w:szCs w:val="22"/>
        </w:rPr>
        <w:t xml:space="preserve">concurrent changes in process conditions before a criticality accident is possible.” The commenter then noted that as described in NUREG-1520, Revision 2, </w:t>
      </w:r>
      <w:r w:rsidR="00D8364E">
        <w:rPr>
          <w:rFonts w:ascii="Arial" w:eastAsia="DengXian" w:hAnsi="Arial" w:cs="Arial"/>
          <w:sz w:val="22"/>
          <w:szCs w:val="22"/>
        </w:rPr>
        <w:t>“</w:t>
      </w:r>
      <w:r w:rsidRPr="00D8364E" w:rsidR="00D8364E">
        <w:rPr>
          <w:rFonts w:ascii="Arial" w:eastAsia="DengXian" w:hAnsi="Arial" w:cs="Arial"/>
          <w:sz w:val="22"/>
          <w:szCs w:val="22"/>
        </w:rPr>
        <w:t>Standard Review Plan for Fuel Cycle Facilities License Applications —Final Report</w:t>
      </w:r>
      <w:r w:rsidR="00D8364E">
        <w:rPr>
          <w:rFonts w:ascii="Arial" w:eastAsia="DengXian" w:hAnsi="Arial" w:cs="Arial"/>
          <w:sz w:val="22"/>
          <w:szCs w:val="22"/>
        </w:rPr>
        <w:t>,”</w:t>
      </w:r>
      <w:r w:rsidR="003377E7">
        <w:rPr>
          <w:rFonts w:ascii="Arial" w:eastAsia="DengXian" w:hAnsi="Arial" w:cs="Arial"/>
          <w:sz w:val="22"/>
          <w:szCs w:val="22"/>
        </w:rPr>
        <w:t xml:space="preserve"> issued June 2015 (</w:t>
      </w:r>
      <w:r w:rsidRPr="00D61D04" w:rsidR="00D61D04">
        <w:rPr>
          <w:rFonts w:ascii="Arial" w:eastAsia="DengXian" w:hAnsi="Arial" w:cs="Arial"/>
          <w:sz w:val="22"/>
          <w:szCs w:val="22"/>
        </w:rPr>
        <w:t>ML15176A258</w:t>
      </w:r>
      <w:r w:rsidR="00D61D04">
        <w:rPr>
          <w:rFonts w:ascii="Arial" w:eastAsia="DengXian" w:hAnsi="Arial" w:cs="Arial"/>
          <w:sz w:val="22"/>
          <w:szCs w:val="22"/>
        </w:rPr>
        <w:t xml:space="preserve">), </w:t>
      </w:r>
      <w:r w:rsidRPr="00C1227F">
        <w:rPr>
          <w:rFonts w:ascii="Arial" w:eastAsia="DengXian" w:hAnsi="Arial" w:cs="Arial"/>
          <w:sz w:val="22"/>
          <w:szCs w:val="22"/>
        </w:rPr>
        <w:t>one mechanism can provide control of two separate parameters, or a single process can be controlled such that at least two independent failures involving the parameter would be required before a criticality accident is possible. Lastly, the commenter remarked that adequate guidance for factory fueling activities can be developed as necessary to provide clarity for 10 CFR Part 70 license holders that will manage them (</w:t>
      </w:r>
      <w:r w:rsidR="009D6BB9">
        <w:rPr>
          <w:rFonts w:ascii="Arial" w:eastAsia="DengXian" w:hAnsi="Arial" w:cs="Arial"/>
          <w:sz w:val="22"/>
          <w:szCs w:val="22"/>
        </w:rPr>
        <w:t>NEI2</w:t>
      </w:r>
      <w:r w:rsidRPr="00C1227F">
        <w:rPr>
          <w:rFonts w:ascii="Arial" w:eastAsia="DengXian" w:hAnsi="Arial" w:cs="Arial"/>
          <w:sz w:val="22"/>
          <w:szCs w:val="22"/>
        </w:rPr>
        <w:t>-0188).</w:t>
      </w:r>
    </w:p>
    <w:p w:rsidR="00CB207E" w:rsidRPr="00C1227F" w:rsidP="00C1227F" w14:paraId="34879B5A" w14:textId="77777777">
      <w:pPr>
        <w:spacing w:after="220"/>
        <w:rPr>
          <w:rFonts w:ascii="Arial" w:eastAsia="DengXian" w:hAnsi="Arial" w:cs="Arial"/>
          <w:sz w:val="22"/>
          <w:szCs w:val="22"/>
        </w:rPr>
      </w:pPr>
      <w:r w:rsidRPr="00C1227F">
        <w:rPr>
          <w:rFonts w:ascii="Arial" w:eastAsia="DengXian" w:hAnsi="Arial" w:cs="Arial"/>
          <w:b/>
          <w:sz w:val="22"/>
          <w:szCs w:val="22"/>
        </w:rPr>
        <w:t>NRC Response:</w:t>
      </w:r>
      <w:r w:rsidRPr="00C1227F">
        <w:rPr>
          <w:rFonts w:ascii="Arial" w:eastAsia="DengXian" w:hAnsi="Arial" w:cs="Arial"/>
          <w:sz w:val="22"/>
          <w:szCs w:val="22"/>
        </w:rPr>
        <w:t xml:space="preserve"> The NRC agrees</w:t>
      </w:r>
      <w:r w:rsidRPr="00C1227F" w:rsidR="00B76C43">
        <w:rPr>
          <w:rFonts w:ascii="Arial" w:eastAsia="DengXian" w:hAnsi="Arial" w:cs="Arial"/>
          <w:sz w:val="22"/>
          <w:szCs w:val="22"/>
        </w:rPr>
        <w:t>,</w:t>
      </w:r>
      <w:r w:rsidRPr="00C1227F">
        <w:rPr>
          <w:rFonts w:ascii="Arial" w:eastAsia="DengXian" w:hAnsi="Arial" w:cs="Arial"/>
          <w:sz w:val="22"/>
          <w:szCs w:val="22"/>
        </w:rPr>
        <w:t xml:space="preserve"> in part</w:t>
      </w:r>
      <w:r w:rsidRPr="00C1227F" w:rsidR="00B76C43">
        <w:rPr>
          <w:rFonts w:ascii="Arial" w:eastAsia="DengXian" w:hAnsi="Arial" w:cs="Arial"/>
          <w:sz w:val="22"/>
          <w:szCs w:val="22"/>
        </w:rPr>
        <w:t>,</w:t>
      </w:r>
      <w:r w:rsidRPr="00C1227F">
        <w:rPr>
          <w:rFonts w:ascii="Arial" w:eastAsia="DengXian" w:hAnsi="Arial" w:cs="Arial"/>
          <w:sz w:val="22"/>
          <w:szCs w:val="22"/>
        </w:rPr>
        <w:t xml:space="preserve"> with the comments.</w:t>
      </w:r>
    </w:p>
    <w:p w:rsidR="00CB207E" w:rsidRPr="000D7CD4" w:rsidP="00C1227F" w14:paraId="515FA648" w14:textId="77777777">
      <w:pPr>
        <w:spacing w:after="220"/>
        <w:rPr>
          <w:rFonts w:ascii="Arial" w:eastAsia="DengXian" w:hAnsi="Arial" w:cs="Arial"/>
          <w:sz w:val="22"/>
          <w:szCs w:val="22"/>
        </w:rPr>
      </w:pPr>
      <w:r w:rsidRPr="00C1227F">
        <w:rPr>
          <w:rFonts w:ascii="Arial" w:eastAsia="DengXian" w:hAnsi="Arial" w:cs="Arial"/>
          <w:sz w:val="22"/>
          <w:szCs w:val="22"/>
        </w:rPr>
        <w:t xml:space="preserve">See the </w:t>
      </w:r>
      <w:r w:rsidRPr="000D7CD4">
        <w:rPr>
          <w:rFonts w:ascii="Arial" w:eastAsia="DengXian" w:hAnsi="Arial" w:cs="Arial"/>
          <w:sz w:val="22"/>
          <w:szCs w:val="22"/>
        </w:rPr>
        <w:t xml:space="preserve">response to </w:t>
      </w:r>
      <w:r w:rsidRPr="000D7CD4" w:rsidR="00C17552">
        <w:rPr>
          <w:rFonts w:ascii="Arial" w:eastAsia="DengXian" w:hAnsi="Arial" w:cs="Arial"/>
          <w:sz w:val="22"/>
          <w:szCs w:val="22"/>
        </w:rPr>
        <w:t>C</w:t>
      </w:r>
      <w:r w:rsidRPr="000D7CD4">
        <w:rPr>
          <w:rFonts w:ascii="Arial" w:eastAsia="DengXian" w:hAnsi="Arial" w:cs="Arial"/>
          <w:sz w:val="22"/>
          <w:szCs w:val="22"/>
        </w:rPr>
        <w:t>omment</w:t>
      </w:r>
      <w:r w:rsidRPr="000D7CD4" w:rsidR="00C17552">
        <w:rPr>
          <w:rFonts w:ascii="Arial" w:eastAsia="DengXian" w:hAnsi="Arial" w:cs="Arial"/>
          <w:sz w:val="22"/>
          <w:szCs w:val="22"/>
        </w:rPr>
        <w:t xml:space="preserve"> Bin</w:t>
      </w:r>
      <w:r w:rsidRPr="000D7CD4">
        <w:rPr>
          <w:rFonts w:ascii="Arial" w:eastAsia="DengXian" w:hAnsi="Arial" w:cs="Arial"/>
          <w:sz w:val="22"/>
          <w:szCs w:val="22"/>
        </w:rPr>
        <w:t xml:space="preserve"> 3.5.1.1</w:t>
      </w:r>
      <w:r w:rsidRPr="000D7CD4" w:rsidR="00C17552">
        <w:rPr>
          <w:rFonts w:ascii="Arial" w:eastAsia="DengXian" w:hAnsi="Arial" w:cs="Arial"/>
          <w:sz w:val="22"/>
          <w:szCs w:val="22"/>
        </w:rPr>
        <w:t>.B</w:t>
      </w:r>
      <w:r w:rsidRPr="000D7CD4">
        <w:rPr>
          <w:rFonts w:ascii="Arial" w:eastAsia="DengXian" w:hAnsi="Arial" w:cs="Arial"/>
          <w:sz w:val="22"/>
          <w:szCs w:val="22"/>
        </w:rPr>
        <w:t xml:space="preserve"> regarding the NRC revisions to the rule language for 10 CFR 53.620(d), which provides flexibility in how an applicant or licensee defines features to pre</w:t>
      </w:r>
      <w:r w:rsidRPr="000D7CD4" w:rsidR="0023165F">
        <w:rPr>
          <w:rFonts w:ascii="Arial" w:eastAsia="DengXian" w:hAnsi="Arial" w:cs="Arial"/>
          <w:sz w:val="22"/>
          <w:szCs w:val="22"/>
        </w:rPr>
        <w:t>vent</w:t>
      </w:r>
      <w:r w:rsidRPr="000D7CD4">
        <w:rPr>
          <w:rFonts w:ascii="Arial" w:eastAsia="DengXian" w:hAnsi="Arial" w:cs="Arial"/>
          <w:sz w:val="22"/>
          <w:szCs w:val="22"/>
        </w:rPr>
        <w:t xml:space="preserve"> criticality for fueling, storing, and transporting a fueled manufactured reactor. In making th</w:t>
      </w:r>
      <w:r w:rsidRPr="000D7CD4" w:rsidR="003E466B">
        <w:rPr>
          <w:rFonts w:ascii="Arial" w:eastAsia="DengXian" w:hAnsi="Arial" w:cs="Arial"/>
          <w:sz w:val="22"/>
          <w:szCs w:val="22"/>
        </w:rPr>
        <w:t>is</w:t>
      </w:r>
      <w:r w:rsidRPr="000D7CD4">
        <w:rPr>
          <w:rFonts w:ascii="Arial" w:eastAsia="DengXian" w:hAnsi="Arial" w:cs="Arial"/>
          <w:sz w:val="22"/>
          <w:szCs w:val="22"/>
        </w:rPr>
        <w:t xml:space="preserve"> change </w:t>
      </w:r>
      <w:r w:rsidRPr="000D7CD4" w:rsidR="003E466B">
        <w:rPr>
          <w:rFonts w:ascii="Arial" w:eastAsia="DengXian" w:hAnsi="Arial" w:cs="Arial"/>
          <w:sz w:val="22"/>
          <w:szCs w:val="22"/>
        </w:rPr>
        <w:t>to 10 CFR 53.620(d) and the conforming changes</w:t>
      </w:r>
      <w:r w:rsidRPr="000D7CD4">
        <w:rPr>
          <w:rFonts w:ascii="Arial" w:eastAsia="DengXian" w:hAnsi="Arial" w:cs="Arial"/>
          <w:sz w:val="22"/>
          <w:szCs w:val="22"/>
        </w:rPr>
        <w:t>, the NRC is open to reviewing proposals and including requirements in manufacturing licenses but does not necessarily agree that criticality controls for all manufactured reactors with fuel loaded into critical configurations for the purpose of operations are sufficiently addressed by the referenced standards related to the handling of fissionable material outside of reactors.</w:t>
      </w:r>
    </w:p>
    <w:p w:rsidR="006540AA" w:rsidRPr="000D7CD4" w:rsidP="00C1227F" w14:paraId="5D7B0926" w14:textId="77777777">
      <w:pPr>
        <w:spacing w:after="220"/>
        <w:rPr>
          <w:rFonts w:ascii="Arial" w:eastAsia="DengXian" w:hAnsi="Arial" w:cs="Arial"/>
          <w:sz w:val="22"/>
          <w:szCs w:val="22"/>
        </w:rPr>
      </w:pPr>
      <w:r w:rsidRPr="000D7CD4">
        <w:rPr>
          <w:rFonts w:ascii="Arial" w:eastAsia="DengXian" w:hAnsi="Arial" w:cs="Arial"/>
          <w:sz w:val="22"/>
          <w:szCs w:val="22"/>
        </w:rPr>
        <w:t>Regarding the suggesti</w:t>
      </w:r>
      <w:r w:rsidRPr="000D7CD4" w:rsidR="00CA148C">
        <w:rPr>
          <w:rFonts w:ascii="Arial" w:eastAsia="DengXian" w:hAnsi="Arial" w:cs="Arial"/>
          <w:sz w:val="22"/>
          <w:szCs w:val="22"/>
        </w:rPr>
        <w:t>on</w:t>
      </w:r>
      <w:r w:rsidRPr="000D7CD4">
        <w:rPr>
          <w:rFonts w:ascii="Arial" w:eastAsia="DengXian" w:hAnsi="Arial" w:cs="Arial"/>
          <w:sz w:val="22"/>
          <w:szCs w:val="22"/>
        </w:rPr>
        <w:t xml:space="preserve"> that fueled manufactured reactors need not be considered utilization facilities, see the </w:t>
      </w:r>
      <w:r w:rsidRPr="000D7CD4" w:rsidR="00F1385D">
        <w:rPr>
          <w:rFonts w:ascii="Arial" w:eastAsia="DengXian" w:hAnsi="Arial" w:cs="Arial"/>
          <w:sz w:val="22"/>
          <w:szCs w:val="22"/>
        </w:rPr>
        <w:t xml:space="preserve">NRC’s </w:t>
      </w:r>
      <w:r w:rsidRPr="000D7CD4">
        <w:rPr>
          <w:rFonts w:ascii="Arial" w:eastAsia="DengXian" w:hAnsi="Arial" w:cs="Arial"/>
          <w:sz w:val="22"/>
          <w:szCs w:val="22"/>
        </w:rPr>
        <w:t xml:space="preserve">response to </w:t>
      </w:r>
      <w:r w:rsidRPr="000D7CD4" w:rsidR="00E045DB">
        <w:rPr>
          <w:rFonts w:ascii="Arial" w:eastAsia="DengXian" w:hAnsi="Arial" w:cs="Arial"/>
          <w:sz w:val="22"/>
          <w:szCs w:val="22"/>
        </w:rPr>
        <w:t>Comment Bin</w:t>
      </w:r>
      <w:r w:rsidRPr="000D7CD4" w:rsidR="001D1638">
        <w:rPr>
          <w:rFonts w:ascii="Arial" w:eastAsia="DengXian" w:hAnsi="Arial" w:cs="Arial"/>
          <w:sz w:val="22"/>
          <w:szCs w:val="22"/>
        </w:rPr>
        <w:t> </w:t>
      </w:r>
      <w:r w:rsidRPr="000D7CD4" w:rsidR="00E045DB">
        <w:rPr>
          <w:rFonts w:ascii="Arial" w:eastAsia="DengXian" w:hAnsi="Arial" w:cs="Arial"/>
          <w:sz w:val="22"/>
          <w:szCs w:val="22"/>
        </w:rPr>
        <w:t>3.8.9.A</w:t>
      </w:r>
      <w:r w:rsidRPr="000D7CD4">
        <w:rPr>
          <w:rFonts w:ascii="Arial" w:eastAsia="DengXian" w:hAnsi="Arial" w:cs="Arial"/>
          <w:sz w:val="22"/>
          <w:szCs w:val="22"/>
        </w:rPr>
        <w:t>.</w:t>
      </w:r>
    </w:p>
    <w:p w:rsidR="00AC1417" w:rsidRPr="000D7CD4" w:rsidP="00C1227F" w14:paraId="541ACD59" w14:textId="77777777">
      <w:pPr>
        <w:spacing w:after="220"/>
        <w:rPr>
          <w:rFonts w:ascii="Arial" w:eastAsia="Times New Roman" w:hAnsi="Arial" w:cs="Arial"/>
          <w:sz w:val="22"/>
          <w:szCs w:val="22"/>
          <w:lang w:eastAsia="zh-CN"/>
        </w:rPr>
      </w:pPr>
      <w:r w:rsidRPr="000D7CD4">
        <w:rPr>
          <w:rFonts w:ascii="Arial" w:eastAsia="DengXian" w:hAnsi="Arial" w:cs="Arial"/>
          <w:sz w:val="22"/>
          <w:szCs w:val="22"/>
        </w:rPr>
        <w:t>Accordingly, the NRC did not change the rule language in response to these comments.</w:t>
      </w:r>
      <w:r>
        <w:rPr>
          <w:rFonts w:ascii="Arial" w:eastAsia="Times New Roman" w:hAnsi="Arial" w:cs="Arial"/>
          <w:sz w:val="22"/>
          <w:szCs w:val="22"/>
          <w:lang w:eastAsia="zh-CN"/>
        </w:rPr>
        <w:pict>
          <v:rect id="_x0000_i1142" style="width:0;height:1.5pt" o:hralign="center" o:hrstd="t" o:hrnoshade="t" o:hr="t" fillcolor="black" stroked="f"/>
        </w:pict>
      </w:r>
    </w:p>
    <w:p w:rsidR="00AC1417" w:rsidRPr="000D7CD4" w:rsidP="00A27ADE" w14:paraId="2344A14E" w14:textId="77777777">
      <w:pPr>
        <w:pStyle w:val="Heading4"/>
        <w:keepNext/>
        <w:keepLines/>
        <w:rPr>
          <w:rFonts w:eastAsia="Times New Roman"/>
          <w:b/>
        </w:rPr>
      </w:pPr>
      <w:r w:rsidRPr="008A7CB7">
        <w:rPr>
          <w:u w:val="none"/>
        </w:rPr>
        <w:t>3.5.1.4.</w:t>
      </w:r>
      <w:r w:rsidRPr="008A7CB7">
        <w:rPr>
          <w:u w:val="none"/>
        </w:rPr>
        <w:tab/>
      </w:r>
      <w:r w:rsidRPr="000D7CD4">
        <w:t>RFC: Security programs for a fueled manufactured reactor (§</w:t>
      </w:r>
      <w:r w:rsidRPr="000D7CD4" w:rsidR="00942884">
        <w:rPr>
          <w:rFonts w:eastAsia="Times New Roman"/>
        </w:rPr>
        <w:t> </w:t>
      </w:r>
      <w:r w:rsidRPr="000D7CD4">
        <w:rPr>
          <w:rFonts w:eastAsia="Times New Roman"/>
        </w:rPr>
        <w:t>53.620(d)(2)(i))</w:t>
      </w:r>
    </w:p>
    <w:p w:rsidR="001D1638" w:rsidRPr="00566CB9" w:rsidP="00A27ADE" w14:paraId="1AECFC3D" w14:textId="77777777">
      <w:pPr>
        <w:pStyle w:val="ListParagraph"/>
        <w:keepNext/>
        <w:keepLines/>
        <w:spacing w:after="220"/>
        <w:ind w:left="0"/>
        <w:contextualSpacing w:val="0"/>
        <w:rPr>
          <w:rFonts w:ascii="Arial" w:eastAsia="DengXian" w:hAnsi="Arial" w:cs="Arial"/>
          <w:sz w:val="22"/>
          <w:szCs w:val="22"/>
        </w:rPr>
      </w:pPr>
      <w:r w:rsidRPr="000D7CD4">
        <w:rPr>
          <w:rFonts w:ascii="Arial" w:eastAsia="DengXian" w:hAnsi="Arial" w:cs="Arial"/>
          <w:b/>
          <w:sz w:val="22"/>
          <w:szCs w:val="22"/>
        </w:rPr>
        <w:t>Comment Bin 3.5.1.4.A:</w:t>
      </w:r>
      <w:r w:rsidRPr="000D7CD4">
        <w:rPr>
          <w:rFonts w:ascii="Arial" w:eastAsia="DengXian" w:hAnsi="Arial" w:cs="Arial"/>
          <w:sz w:val="22"/>
          <w:szCs w:val="22"/>
        </w:rPr>
        <w:t xml:space="preserve"> A commenter suggested handling the safeguards and security aspects of a manufacturing facility authorized to possess SNM independently of 10 CFR Part</w:t>
      </w:r>
      <w:r w:rsidRPr="000D7CD4" w:rsidR="00992B24">
        <w:rPr>
          <w:rFonts w:ascii="Arial" w:eastAsia="DengXian" w:hAnsi="Arial" w:cs="Arial"/>
          <w:sz w:val="22"/>
          <w:szCs w:val="22"/>
        </w:rPr>
        <w:t> </w:t>
      </w:r>
      <w:r w:rsidRPr="000D7CD4">
        <w:rPr>
          <w:rFonts w:ascii="Arial" w:eastAsia="DengXian" w:hAnsi="Arial" w:cs="Arial"/>
          <w:sz w:val="22"/>
          <w:szCs w:val="22"/>
        </w:rPr>
        <w:t>53 and incorporated into the 10 CFR Part 70 possession license. The commenter described their understanding that Category</w:t>
      </w:r>
      <w:r w:rsidRPr="00566CB9">
        <w:rPr>
          <w:rFonts w:ascii="Arial" w:eastAsia="DengXian" w:hAnsi="Arial" w:cs="Arial"/>
          <w:sz w:val="22"/>
          <w:szCs w:val="22"/>
        </w:rPr>
        <w:t xml:space="preserve"> III safeguards measures for protecting SNM are currently adequate in 10 CFR Part 73 and 10 CFR </w:t>
      </w:r>
      <w:r w:rsidR="000B5299">
        <w:rPr>
          <w:rFonts w:ascii="Arial" w:eastAsia="DengXian" w:hAnsi="Arial" w:cs="Arial"/>
          <w:sz w:val="22"/>
          <w:szCs w:val="22"/>
        </w:rPr>
        <w:t xml:space="preserve">Part </w:t>
      </w:r>
      <w:r w:rsidRPr="00566CB9">
        <w:rPr>
          <w:rFonts w:ascii="Arial" w:eastAsia="DengXian" w:hAnsi="Arial" w:cs="Arial"/>
          <w:sz w:val="22"/>
          <w:szCs w:val="22"/>
        </w:rPr>
        <w:t>74 and that the NRC is treating Category II possession on a case-by-case basis due to the small number of applicants seeking to possess such quantities. The commenter concluded that while long-term changes to 10 CFR Part 73 and 10 CFR</w:t>
      </w:r>
      <w:r w:rsidR="00992B24">
        <w:rPr>
          <w:rFonts w:ascii="Arial" w:eastAsia="DengXian" w:hAnsi="Arial" w:cs="Arial"/>
          <w:sz w:val="22"/>
          <w:szCs w:val="22"/>
        </w:rPr>
        <w:t> </w:t>
      </w:r>
      <w:r w:rsidRPr="00566CB9">
        <w:rPr>
          <w:rFonts w:ascii="Arial" w:eastAsia="DengXian" w:hAnsi="Arial" w:cs="Arial"/>
          <w:sz w:val="22"/>
          <w:szCs w:val="22"/>
        </w:rPr>
        <w:t>Part</w:t>
      </w:r>
      <w:r w:rsidR="00992B24">
        <w:rPr>
          <w:rFonts w:ascii="Arial" w:eastAsia="DengXian" w:hAnsi="Arial" w:cs="Arial"/>
          <w:sz w:val="22"/>
          <w:szCs w:val="22"/>
        </w:rPr>
        <w:t> </w:t>
      </w:r>
      <w:r w:rsidRPr="00566CB9">
        <w:rPr>
          <w:rFonts w:ascii="Arial" w:eastAsia="DengXian" w:hAnsi="Arial" w:cs="Arial"/>
          <w:sz w:val="22"/>
          <w:szCs w:val="22"/>
        </w:rPr>
        <w:t>74 may be warranted, this should be handled in existing regulations related to material possession rather than codified in 10 CFR Part 53 (</w:t>
      </w:r>
      <w:r w:rsidR="009D6BB9">
        <w:rPr>
          <w:rFonts w:ascii="Arial" w:eastAsia="DengXian" w:hAnsi="Arial" w:cs="Arial"/>
          <w:sz w:val="22"/>
          <w:szCs w:val="22"/>
        </w:rPr>
        <w:t>NEI2</w:t>
      </w:r>
      <w:r w:rsidRPr="00566CB9">
        <w:rPr>
          <w:rFonts w:ascii="Arial" w:eastAsia="DengXian" w:hAnsi="Arial" w:cs="Arial"/>
          <w:sz w:val="22"/>
          <w:szCs w:val="22"/>
        </w:rPr>
        <w:t>-0191).</w:t>
      </w:r>
    </w:p>
    <w:p w:rsidR="008A005D" w:rsidP="00E10279" w14:paraId="10956DE7" w14:textId="77777777">
      <w:pPr>
        <w:spacing w:after="220"/>
        <w:rPr>
          <w:rFonts w:ascii="Arial" w:eastAsia="DengXian" w:hAnsi="Arial" w:cs="Arial"/>
          <w:sz w:val="22"/>
          <w:szCs w:val="22"/>
        </w:rPr>
      </w:pPr>
      <w:r w:rsidRPr="00566CB9">
        <w:rPr>
          <w:rFonts w:ascii="Arial" w:eastAsia="DengXian" w:hAnsi="Arial" w:cs="Arial"/>
          <w:b/>
          <w:sz w:val="22"/>
          <w:szCs w:val="22"/>
        </w:rPr>
        <w:t>NRC Response:</w:t>
      </w:r>
      <w:r w:rsidRPr="00566CB9" w:rsidR="00E40DFD">
        <w:rPr>
          <w:rFonts w:ascii="Arial" w:eastAsia="DengXian" w:hAnsi="Arial" w:cs="Arial"/>
          <w:sz w:val="22"/>
          <w:szCs w:val="22"/>
        </w:rPr>
        <w:t xml:space="preserve"> </w:t>
      </w:r>
      <w:r>
        <w:rPr>
          <w:rFonts w:ascii="Arial" w:eastAsia="DengXian" w:hAnsi="Arial" w:cs="Arial"/>
          <w:sz w:val="22"/>
          <w:szCs w:val="22"/>
        </w:rPr>
        <w:t>The NRC agrees, in part,</w:t>
      </w:r>
      <w:r w:rsidR="0026742D">
        <w:rPr>
          <w:rFonts w:ascii="Arial" w:eastAsia="DengXian" w:hAnsi="Arial" w:cs="Arial"/>
          <w:sz w:val="22"/>
          <w:szCs w:val="22"/>
        </w:rPr>
        <w:t xml:space="preserve"> with this comment.</w:t>
      </w:r>
    </w:p>
    <w:p w:rsidR="00E10279" w:rsidRPr="00E10279" w:rsidP="00E10279" w14:paraId="4FA6042B" w14:textId="77777777">
      <w:pPr>
        <w:spacing w:after="220"/>
        <w:rPr>
          <w:rFonts w:ascii="Arial" w:eastAsia="DengXian" w:hAnsi="Arial" w:cs="Arial"/>
          <w:sz w:val="22"/>
          <w:szCs w:val="22"/>
        </w:rPr>
      </w:pPr>
      <w:r w:rsidRPr="00E10279">
        <w:rPr>
          <w:rFonts w:ascii="Arial" w:eastAsia="DengXian" w:hAnsi="Arial" w:cs="Arial"/>
          <w:sz w:val="22"/>
          <w:szCs w:val="22"/>
        </w:rPr>
        <w:t xml:space="preserve">The NRC intends to license SNM at a manufacturing facility under </w:t>
      </w:r>
      <w:r w:rsidR="007C4CA2">
        <w:rPr>
          <w:rFonts w:ascii="Arial" w:eastAsia="DengXian" w:hAnsi="Arial" w:cs="Arial"/>
          <w:sz w:val="22"/>
          <w:szCs w:val="22"/>
        </w:rPr>
        <w:t xml:space="preserve">10 CFR </w:t>
      </w:r>
      <w:r w:rsidRPr="00E10279">
        <w:rPr>
          <w:rFonts w:ascii="Arial" w:eastAsia="DengXian" w:hAnsi="Arial" w:cs="Arial"/>
          <w:sz w:val="22"/>
          <w:szCs w:val="22"/>
        </w:rPr>
        <w:t>Part 70. This will require the licensee to protect the SNM under the requirements of 10</w:t>
      </w:r>
      <w:r w:rsidR="007C4CA2">
        <w:rPr>
          <w:rFonts w:ascii="Arial" w:eastAsia="DengXian" w:hAnsi="Arial" w:cs="Arial"/>
          <w:sz w:val="22"/>
          <w:szCs w:val="22"/>
        </w:rPr>
        <w:t> </w:t>
      </w:r>
      <w:r w:rsidRPr="00E10279">
        <w:rPr>
          <w:rFonts w:ascii="Arial" w:eastAsia="DengXian" w:hAnsi="Arial" w:cs="Arial"/>
          <w:sz w:val="22"/>
          <w:szCs w:val="22"/>
        </w:rPr>
        <w:t>CFR 73.67 for Category II and Category III SNM. Once the fuel is loaded into the reactor this material will be protected per 10 CFR 53</w:t>
      </w:r>
      <w:r w:rsidR="00CC0BAD">
        <w:rPr>
          <w:rFonts w:ascii="Arial" w:eastAsia="DengXian" w:hAnsi="Arial" w:cs="Arial"/>
          <w:sz w:val="22"/>
          <w:szCs w:val="22"/>
        </w:rPr>
        <w:t>.620(d)</w:t>
      </w:r>
      <w:r w:rsidRPr="00E10279">
        <w:rPr>
          <w:rFonts w:ascii="Arial" w:eastAsia="DengXian" w:hAnsi="Arial" w:cs="Arial"/>
          <w:sz w:val="22"/>
          <w:szCs w:val="22"/>
        </w:rPr>
        <w:t xml:space="preserve"> which </w:t>
      </w:r>
      <w:r w:rsidR="00A85680">
        <w:rPr>
          <w:rFonts w:ascii="Arial" w:eastAsia="DengXian" w:hAnsi="Arial" w:cs="Arial"/>
          <w:sz w:val="22"/>
          <w:szCs w:val="22"/>
        </w:rPr>
        <w:t xml:space="preserve">likewise </w:t>
      </w:r>
      <w:r w:rsidRPr="00E10279">
        <w:rPr>
          <w:rFonts w:ascii="Arial" w:eastAsia="DengXian" w:hAnsi="Arial" w:cs="Arial"/>
          <w:sz w:val="22"/>
          <w:szCs w:val="22"/>
        </w:rPr>
        <w:t>points to 10</w:t>
      </w:r>
      <w:r w:rsidR="003946BD">
        <w:rPr>
          <w:rFonts w:ascii="Arial" w:eastAsia="DengXian" w:hAnsi="Arial" w:cs="Arial"/>
          <w:sz w:val="22"/>
          <w:szCs w:val="22"/>
        </w:rPr>
        <w:t> </w:t>
      </w:r>
      <w:r w:rsidRPr="00E10279">
        <w:rPr>
          <w:rFonts w:ascii="Arial" w:eastAsia="DengXian" w:hAnsi="Arial" w:cs="Arial"/>
          <w:sz w:val="22"/>
          <w:szCs w:val="22"/>
        </w:rPr>
        <w:t>CFR</w:t>
      </w:r>
      <w:r w:rsidR="003946BD">
        <w:rPr>
          <w:rFonts w:ascii="Arial" w:eastAsia="DengXian" w:hAnsi="Arial" w:cs="Arial"/>
          <w:sz w:val="22"/>
          <w:szCs w:val="22"/>
        </w:rPr>
        <w:t> </w:t>
      </w:r>
      <w:r w:rsidRPr="00E10279">
        <w:rPr>
          <w:rFonts w:ascii="Arial" w:eastAsia="DengXian" w:hAnsi="Arial" w:cs="Arial"/>
          <w:sz w:val="22"/>
          <w:szCs w:val="22"/>
        </w:rPr>
        <w:t>73</w:t>
      </w:r>
      <w:r w:rsidR="00A85680">
        <w:rPr>
          <w:rFonts w:ascii="Arial" w:eastAsia="DengXian" w:hAnsi="Arial" w:cs="Arial"/>
          <w:sz w:val="22"/>
          <w:szCs w:val="22"/>
        </w:rPr>
        <w:t>.67</w:t>
      </w:r>
      <w:r w:rsidRPr="00E10279">
        <w:rPr>
          <w:rFonts w:ascii="Arial" w:eastAsia="DengXian" w:hAnsi="Arial" w:cs="Arial"/>
          <w:sz w:val="22"/>
          <w:szCs w:val="22"/>
        </w:rPr>
        <w:t xml:space="preserve"> for physical protection against radiological sabotage.</w:t>
      </w:r>
    </w:p>
    <w:p w:rsidR="00E10279" w:rsidRPr="00E10279" w:rsidP="00E10279" w14:paraId="2EFAC9E0" w14:textId="77777777">
      <w:pPr>
        <w:spacing w:after="220"/>
        <w:rPr>
          <w:rFonts w:ascii="Arial" w:eastAsia="DengXian" w:hAnsi="Arial" w:cs="Arial"/>
          <w:sz w:val="22"/>
          <w:szCs w:val="22"/>
        </w:rPr>
      </w:pPr>
      <w:r w:rsidRPr="00E10279">
        <w:rPr>
          <w:rFonts w:ascii="Arial" w:eastAsia="DengXian" w:hAnsi="Arial" w:cs="Arial"/>
          <w:sz w:val="22"/>
          <w:szCs w:val="22"/>
        </w:rPr>
        <w:t xml:space="preserve">The NRC considers physical protection for Category III adequate. </w:t>
      </w:r>
    </w:p>
    <w:p w:rsidR="00E10279" w:rsidRPr="00E10279" w:rsidP="00E10279" w14:paraId="661F7190" w14:textId="77777777">
      <w:pPr>
        <w:spacing w:after="220"/>
        <w:rPr>
          <w:rFonts w:ascii="Arial" w:eastAsia="DengXian" w:hAnsi="Arial" w:cs="Arial"/>
          <w:sz w:val="22"/>
          <w:szCs w:val="22"/>
        </w:rPr>
      </w:pPr>
      <w:r w:rsidRPr="00E10279">
        <w:rPr>
          <w:rFonts w:ascii="Arial" w:eastAsia="DengXian" w:hAnsi="Arial" w:cs="Arial"/>
          <w:sz w:val="22"/>
          <w:szCs w:val="22"/>
        </w:rPr>
        <w:t xml:space="preserve">Prior to loading the fuel into the </w:t>
      </w:r>
      <w:r w:rsidR="00DE2E65">
        <w:rPr>
          <w:rFonts w:ascii="Arial" w:eastAsia="DengXian" w:hAnsi="Arial" w:cs="Arial"/>
          <w:sz w:val="22"/>
          <w:szCs w:val="22"/>
        </w:rPr>
        <w:t xml:space="preserve">manufactured </w:t>
      </w:r>
      <w:r w:rsidR="00C36B42">
        <w:rPr>
          <w:rFonts w:ascii="Arial" w:eastAsia="DengXian" w:hAnsi="Arial" w:cs="Arial"/>
          <w:sz w:val="22"/>
          <w:szCs w:val="22"/>
        </w:rPr>
        <w:t>reactor</w:t>
      </w:r>
      <w:r w:rsidRPr="00E10279">
        <w:rPr>
          <w:rFonts w:ascii="Arial" w:eastAsia="DengXian" w:hAnsi="Arial" w:cs="Arial"/>
          <w:sz w:val="22"/>
          <w:szCs w:val="22"/>
        </w:rPr>
        <w:t xml:space="preserve">, for Category II SNM the NRC intends to continue </w:t>
      </w:r>
      <w:r w:rsidR="006B7D4C">
        <w:rPr>
          <w:rFonts w:ascii="Arial" w:eastAsia="DengXian" w:hAnsi="Arial" w:cs="Arial"/>
          <w:sz w:val="22"/>
          <w:szCs w:val="22"/>
        </w:rPr>
        <w:t>its</w:t>
      </w:r>
      <w:r w:rsidRPr="00E10279">
        <w:rPr>
          <w:rFonts w:ascii="Arial" w:eastAsia="DengXian" w:hAnsi="Arial" w:cs="Arial"/>
          <w:sz w:val="22"/>
          <w:szCs w:val="22"/>
        </w:rPr>
        <w:t xml:space="preserve"> practice of evaluating the physical protection needed to ensure adequate protection on a site-specific</w:t>
      </w:r>
      <w:r w:rsidR="00DA404B">
        <w:rPr>
          <w:rFonts w:ascii="Arial" w:eastAsia="DengXian" w:hAnsi="Arial" w:cs="Arial"/>
          <w:sz w:val="22"/>
          <w:szCs w:val="22"/>
        </w:rPr>
        <w:t>,</w:t>
      </w:r>
      <w:r w:rsidRPr="00E10279">
        <w:rPr>
          <w:rFonts w:ascii="Arial" w:eastAsia="DengXian" w:hAnsi="Arial" w:cs="Arial"/>
          <w:sz w:val="22"/>
          <w:szCs w:val="22"/>
        </w:rPr>
        <w:t xml:space="preserve"> case-by-case basis informed by material attractiveness concepts.</w:t>
      </w:r>
    </w:p>
    <w:p w:rsidR="001D1638" w:rsidRPr="00566CB9" w:rsidP="00566CB9" w14:paraId="5F547D53" w14:textId="77777777">
      <w:pPr>
        <w:spacing w:after="220"/>
        <w:rPr>
          <w:rFonts w:ascii="Arial" w:eastAsia="DengXian" w:hAnsi="Arial" w:cs="Arial"/>
          <w:sz w:val="22"/>
          <w:szCs w:val="22"/>
        </w:rPr>
      </w:pPr>
      <w:r w:rsidRPr="00C1227F">
        <w:rPr>
          <w:rFonts w:ascii="Arial" w:eastAsia="DengXian" w:hAnsi="Arial" w:cs="Arial"/>
          <w:sz w:val="22"/>
          <w:szCs w:val="22"/>
        </w:rPr>
        <w:t>Accordingly, the NRC did not change the rule language in response to th</w:t>
      </w:r>
      <w:r w:rsidR="009A6F4E">
        <w:rPr>
          <w:rFonts w:ascii="Arial" w:eastAsia="DengXian" w:hAnsi="Arial" w:cs="Arial"/>
          <w:sz w:val="22"/>
          <w:szCs w:val="22"/>
        </w:rPr>
        <w:t>is</w:t>
      </w:r>
      <w:r w:rsidRPr="00C1227F">
        <w:rPr>
          <w:rFonts w:ascii="Arial" w:eastAsia="DengXian" w:hAnsi="Arial" w:cs="Arial"/>
          <w:sz w:val="22"/>
          <w:szCs w:val="22"/>
        </w:rPr>
        <w:t xml:space="preserve"> comment.</w:t>
      </w:r>
    </w:p>
    <w:p w:rsidR="00566CB9" w:rsidP="00566CB9" w14:paraId="4758B51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43" style="width:0;height:1.5pt" o:hralign="center" o:hrstd="t" o:hrnoshade="t" o:hr="t" fillcolor="black" stroked="f"/>
        </w:pict>
      </w:r>
    </w:p>
    <w:p w:rsidR="00C679D1" w:rsidRPr="00566CB9" w:rsidP="00566CB9" w14:paraId="31280853" w14:textId="77777777">
      <w:pPr>
        <w:spacing w:after="220"/>
        <w:rPr>
          <w:rFonts w:ascii="Arial" w:eastAsia="DengXian" w:hAnsi="Arial" w:cs="Arial"/>
          <w:sz w:val="22"/>
          <w:szCs w:val="22"/>
        </w:rPr>
      </w:pPr>
      <w:r w:rsidRPr="00566CB9">
        <w:rPr>
          <w:rFonts w:ascii="Arial" w:eastAsia="DengXian" w:hAnsi="Arial" w:cs="Arial"/>
          <w:b/>
          <w:sz w:val="22"/>
          <w:szCs w:val="22"/>
        </w:rPr>
        <w:t>Comment Bin 3.5.1.4.B:</w:t>
      </w:r>
      <w:r w:rsidRPr="00566CB9">
        <w:rPr>
          <w:rFonts w:ascii="Arial" w:eastAsia="DengXian" w:hAnsi="Arial" w:cs="Arial"/>
          <w:sz w:val="22"/>
          <w:szCs w:val="22"/>
        </w:rPr>
        <w:t xml:space="preserve"> A commenter supported requiring security programs for all MLs where fuel will be loaded into reactors, with the security requirements based on the categorization of the fuel type regardless of where that fuel is stored, and suggested imposing additional security requirements for pre-loaded reactors at manufacturing facilities to preclude clandestine operation of the reactors that could result in the production of SNM of higher strategic significance than the fresh fuel. The commenter also advocated the development of more stringent supplemental security measures for high-assay low-enriched uranium (HALEU) in quantities above 20 kilograms of contained uranium-235 to protect against the </w:t>
      </w:r>
      <w:r w:rsidR="00BA561F">
        <w:rPr>
          <w:rFonts w:ascii="Arial" w:eastAsia="DengXian" w:hAnsi="Arial" w:cs="Arial"/>
          <w:sz w:val="22"/>
          <w:szCs w:val="22"/>
        </w:rPr>
        <w:t>design</w:t>
      </w:r>
      <w:r w:rsidR="006E5B1D">
        <w:rPr>
          <w:rFonts w:ascii="Arial" w:eastAsia="DengXian" w:hAnsi="Arial" w:cs="Arial"/>
          <w:sz w:val="22"/>
          <w:szCs w:val="22"/>
        </w:rPr>
        <w:noBreakHyphen/>
      </w:r>
      <w:r w:rsidRPr="00566CB9">
        <w:rPr>
          <w:rFonts w:ascii="Arial" w:eastAsia="DengXian" w:hAnsi="Arial" w:cs="Arial"/>
          <w:sz w:val="22"/>
          <w:szCs w:val="22"/>
        </w:rPr>
        <w:t xml:space="preserve">basis threat </w:t>
      </w:r>
      <w:r w:rsidR="00C64292">
        <w:rPr>
          <w:rFonts w:ascii="Arial" w:eastAsia="DengXian" w:hAnsi="Arial" w:cs="Arial"/>
          <w:sz w:val="22"/>
          <w:szCs w:val="22"/>
        </w:rPr>
        <w:t>(</w:t>
      </w:r>
      <w:r w:rsidR="006D56A3">
        <w:rPr>
          <w:rFonts w:ascii="Arial" w:eastAsia="DengXian" w:hAnsi="Arial" w:cs="Arial"/>
          <w:sz w:val="22"/>
          <w:szCs w:val="22"/>
        </w:rPr>
        <w:t>DBT</w:t>
      </w:r>
      <w:r w:rsidR="00C64292">
        <w:rPr>
          <w:rFonts w:ascii="Arial" w:eastAsia="DengXian" w:hAnsi="Arial" w:cs="Arial"/>
          <w:sz w:val="22"/>
          <w:szCs w:val="22"/>
        </w:rPr>
        <w:t>)</w:t>
      </w:r>
      <w:r w:rsidRPr="00566CB9">
        <w:rPr>
          <w:rFonts w:ascii="Arial" w:eastAsia="DengXian" w:hAnsi="Arial" w:cs="Arial"/>
          <w:sz w:val="22"/>
          <w:szCs w:val="22"/>
        </w:rPr>
        <w:t xml:space="preserve"> of theft, referencing a recent article on the weapons potential of HALEU (</w:t>
      </w:r>
      <w:r w:rsidR="00337242">
        <w:rPr>
          <w:rFonts w:ascii="Arial" w:eastAsia="DengXian" w:hAnsi="Arial" w:cs="Arial"/>
          <w:sz w:val="22"/>
          <w:szCs w:val="22"/>
        </w:rPr>
        <w:t>UCS</w:t>
      </w:r>
      <w:r w:rsidR="006E5B1D">
        <w:rPr>
          <w:rFonts w:ascii="Arial" w:eastAsia="DengXian" w:hAnsi="Arial" w:cs="Arial"/>
          <w:sz w:val="22"/>
          <w:szCs w:val="22"/>
        </w:rPr>
        <w:noBreakHyphen/>
      </w:r>
      <w:r w:rsidRPr="00566CB9">
        <w:rPr>
          <w:rFonts w:ascii="Arial" w:eastAsia="DengXian" w:hAnsi="Arial" w:cs="Arial"/>
          <w:sz w:val="22"/>
          <w:szCs w:val="22"/>
        </w:rPr>
        <w:t>0008).</w:t>
      </w:r>
    </w:p>
    <w:p w:rsidR="00C73EAC" w:rsidRPr="00566CB9" w:rsidP="00566CB9" w14:paraId="67D4313D" w14:textId="77777777">
      <w:pPr>
        <w:spacing w:after="220"/>
        <w:rPr>
          <w:rFonts w:ascii="Arial" w:eastAsia="DengXian" w:hAnsi="Arial" w:cs="Arial"/>
          <w:sz w:val="22"/>
          <w:szCs w:val="22"/>
        </w:rPr>
      </w:pPr>
      <w:r w:rsidRPr="00566CB9">
        <w:rPr>
          <w:rFonts w:ascii="Arial" w:eastAsia="DengXian" w:hAnsi="Arial" w:cs="Arial"/>
          <w:b/>
          <w:sz w:val="22"/>
          <w:szCs w:val="22"/>
        </w:rPr>
        <w:t>NRC Response:</w:t>
      </w:r>
      <w:r w:rsidRPr="00566CB9">
        <w:rPr>
          <w:rFonts w:ascii="Arial" w:eastAsia="DengXian" w:hAnsi="Arial" w:cs="Arial"/>
          <w:sz w:val="22"/>
          <w:szCs w:val="22"/>
        </w:rPr>
        <w:t xml:space="preserve"> </w:t>
      </w:r>
      <w:r w:rsidRPr="00566CB9" w:rsidR="00F8231B">
        <w:rPr>
          <w:rFonts w:ascii="Arial" w:eastAsia="DengXian" w:hAnsi="Arial" w:cs="Arial"/>
          <w:sz w:val="22"/>
          <w:szCs w:val="22"/>
        </w:rPr>
        <w:t>The NRC agrees, in part, with th</w:t>
      </w:r>
      <w:r w:rsidR="00992B24">
        <w:rPr>
          <w:rFonts w:ascii="Arial" w:eastAsia="DengXian" w:hAnsi="Arial" w:cs="Arial"/>
          <w:sz w:val="22"/>
          <w:szCs w:val="22"/>
        </w:rPr>
        <w:t>e</w:t>
      </w:r>
      <w:r w:rsidRPr="00566CB9" w:rsidR="00F8231B">
        <w:rPr>
          <w:rFonts w:ascii="Arial" w:eastAsia="DengXian" w:hAnsi="Arial" w:cs="Arial"/>
          <w:sz w:val="22"/>
          <w:szCs w:val="22"/>
        </w:rPr>
        <w:t xml:space="preserve"> comment.</w:t>
      </w:r>
    </w:p>
    <w:p w:rsidR="00C679D1" w:rsidRPr="00566CB9" w:rsidP="00566CB9" w14:paraId="5271F03D" w14:textId="77777777">
      <w:pPr>
        <w:spacing w:after="220"/>
        <w:rPr>
          <w:rFonts w:ascii="Arial" w:eastAsia="DengXian" w:hAnsi="Arial" w:cs="Arial"/>
          <w:sz w:val="22"/>
          <w:szCs w:val="22"/>
        </w:rPr>
      </w:pPr>
      <w:r w:rsidRPr="00566CB9">
        <w:rPr>
          <w:rFonts w:ascii="Arial" w:eastAsia="DengXian" w:hAnsi="Arial" w:cs="Arial"/>
          <w:sz w:val="22"/>
          <w:szCs w:val="22"/>
        </w:rPr>
        <w:t xml:space="preserve">The NRC agrees that security programs </w:t>
      </w:r>
      <w:r w:rsidRPr="00566CB9">
        <w:rPr>
          <w:rFonts w:ascii="Arial" w:eastAsia="Times New Roman" w:hAnsi="Arial" w:cs="Arial"/>
          <w:color w:val="000000"/>
          <w:sz w:val="22"/>
          <w:szCs w:val="22"/>
          <w:lang w:eastAsia="zh-CN"/>
        </w:rPr>
        <w:t xml:space="preserve">should be required for all manufacturing licenses where fuel will be loaded into reactors. Currently, </w:t>
      </w:r>
      <w:r w:rsidRPr="00566CB9" w:rsidR="00FB4809">
        <w:rPr>
          <w:rFonts w:ascii="Arial" w:eastAsia="Times New Roman" w:hAnsi="Arial" w:cs="Arial"/>
          <w:color w:val="000000"/>
          <w:sz w:val="22"/>
          <w:szCs w:val="22"/>
          <w:lang w:eastAsia="zh-CN"/>
        </w:rPr>
        <w:t>10 CFR </w:t>
      </w:r>
      <w:r w:rsidRPr="00566CB9">
        <w:rPr>
          <w:rFonts w:ascii="Arial" w:eastAsia="Times New Roman" w:hAnsi="Arial" w:cs="Arial"/>
          <w:color w:val="000000"/>
          <w:sz w:val="22"/>
          <w:szCs w:val="22"/>
          <w:lang w:eastAsia="zh-CN"/>
        </w:rPr>
        <w:t>73.67 only requires a security plan for licensees who possess, use, transport, or deliver to a carrier for transport SNM of moderate strategic significance</w:t>
      </w:r>
      <w:r w:rsidR="00855180">
        <w:rPr>
          <w:rFonts w:ascii="Arial" w:eastAsia="Times New Roman" w:hAnsi="Arial" w:cs="Arial"/>
          <w:color w:val="000000"/>
          <w:sz w:val="22"/>
          <w:szCs w:val="22"/>
          <w:lang w:eastAsia="zh-CN"/>
        </w:rPr>
        <w:t xml:space="preserve"> (Category II)</w:t>
      </w:r>
      <w:r w:rsidRPr="00566CB9">
        <w:rPr>
          <w:rFonts w:ascii="Arial" w:eastAsia="Times New Roman" w:hAnsi="Arial" w:cs="Arial"/>
          <w:color w:val="000000"/>
          <w:sz w:val="22"/>
          <w:szCs w:val="22"/>
          <w:lang w:eastAsia="zh-CN"/>
        </w:rPr>
        <w:t xml:space="preserve">, or 10 kg or more of SNM of low strategic significance. However, the physical security program for fueled manufactured reactors </w:t>
      </w:r>
      <w:r w:rsidRPr="00566CB9" w:rsidR="0053112E">
        <w:rPr>
          <w:rFonts w:ascii="Arial" w:eastAsia="Times New Roman" w:hAnsi="Arial" w:cs="Arial"/>
          <w:color w:val="000000"/>
          <w:sz w:val="22"/>
          <w:szCs w:val="22"/>
          <w:lang w:eastAsia="zh-CN"/>
        </w:rPr>
        <w:t xml:space="preserve">will </w:t>
      </w:r>
      <w:r w:rsidRPr="00566CB9">
        <w:rPr>
          <w:rFonts w:ascii="Arial" w:eastAsia="Times New Roman" w:hAnsi="Arial" w:cs="Arial"/>
          <w:color w:val="000000"/>
          <w:sz w:val="22"/>
          <w:szCs w:val="22"/>
          <w:lang w:eastAsia="zh-CN"/>
        </w:rPr>
        <w:t>require a security plan for any ML authorizing possession of a manufactured reactor into which fuel has been loaded at the manufacturing facility, regardless of fuel type, enrichment, and quantity. In addition,</w:t>
      </w:r>
      <w:r w:rsidR="000647D2">
        <w:rPr>
          <w:rFonts w:ascii="Arial" w:eastAsia="Times New Roman" w:hAnsi="Arial" w:cs="Arial"/>
          <w:color w:val="000000"/>
          <w:sz w:val="22"/>
          <w:szCs w:val="22"/>
          <w:lang w:eastAsia="zh-CN"/>
        </w:rPr>
        <w:t xml:space="preserve"> RG 5.97</w:t>
      </w:r>
      <w:r w:rsidRPr="00566CB9">
        <w:rPr>
          <w:rFonts w:ascii="Arial" w:eastAsia="Times New Roman" w:hAnsi="Arial" w:cs="Arial"/>
          <w:color w:val="000000"/>
          <w:sz w:val="22"/>
          <w:szCs w:val="22"/>
          <w:lang w:eastAsia="zh-CN"/>
        </w:rPr>
        <w:t xml:space="preserve">, “Guidance for Technology-Inclusive Requirements for Physical Protection of Licensed Activities at Commercial Nuclear Plants,” has been updated to include a section on security requirements for the possession and loading of fresh fuel into a manufactured reactor. </w:t>
      </w:r>
    </w:p>
    <w:p w:rsidR="00C679D1" w:rsidRPr="000647D2" w:rsidP="000714C9" w14:paraId="781A3065" w14:textId="77777777">
      <w:pPr>
        <w:spacing w:after="220"/>
        <w:rPr>
          <w:rFonts w:ascii="Arial" w:eastAsia="DengXian" w:hAnsi="Arial" w:cs="Arial"/>
          <w:sz w:val="22"/>
          <w:szCs w:val="22"/>
        </w:rPr>
      </w:pPr>
      <w:r w:rsidRPr="00566CB9">
        <w:rPr>
          <w:rFonts w:ascii="Arial" w:eastAsia="DengXian" w:hAnsi="Arial" w:cs="Arial"/>
          <w:sz w:val="22"/>
          <w:szCs w:val="22"/>
        </w:rPr>
        <w:t>Regarding the comment’s suggestion for the development of more stringent supplemental security measures for high</w:t>
      </w:r>
      <w:r w:rsidRPr="00566CB9">
        <w:rPr>
          <w:rFonts w:ascii="Arial" w:eastAsia="Arial" w:hAnsi="Arial" w:cs="Arial"/>
          <w:sz w:val="22"/>
          <w:szCs w:val="22"/>
        </w:rPr>
        <w:t>-assay low-enriched uranium (HALEU), the regulations in 10</w:t>
      </w:r>
      <w:r w:rsidR="00992B24">
        <w:rPr>
          <w:rFonts w:ascii="Arial" w:eastAsia="Arial" w:hAnsi="Arial" w:cs="Arial"/>
          <w:sz w:val="22"/>
          <w:szCs w:val="22"/>
        </w:rPr>
        <w:t> </w:t>
      </w:r>
      <w:r w:rsidRPr="00566CB9">
        <w:rPr>
          <w:rFonts w:ascii="Arial" w:eastAsia="Arial" w:hAnsi="Arial" w:cs="Arial"/>
          <w:sz w:val="22"/>
          <w:szCs w:val="22"/>
        </w:rPr>
        <w:t>CFR</w:t>
      </w:r>
      <w:r w:rsidR="00992B24">
        <w:rPr>
          <w:rFonts w:ascii="Arial" w:eastAsia="Arial" w:hAnsi="Arial" w:cs="Arial"/>
          <w:sz w:val="22"/>
          <w:szCs w:val="22"/>
        </w:rPr>
        <w:t> </w:t>
      </w:r>
      <w:r w:rsidRPr="00566CB9">
        <w:rPr>
          <w:rFonts w:ascii="Arial" w:eastAsia="Arial" w:hAnsi="Arial" w:cs="Arial"/>
          <w:sz w:val="22"/>
          <w:szCs w:val="22"/>
        </w:rPr>
        <w:t xml:space="preserve">73.67(d) and (e) for the protection of </w:t>
      </w:r>
      <w:r w:rsidRPr="00566CB9" w:rsidR="00A02C01">
        <w:rPr>
          <w:rFonts w:ascii="Arial" w:eastAsia="Arial" w:hAnsi="Arial" w:cs="Arial"/>
          <w:sz w:val="22"/>
          <w:szCs w:val="22"/>
        </w:rPr>
        <w:t xml:space="preserve">Category </w:t>
      </w:r>
      <w:r w:rsidRPr="00566CB9">
        <w:rPr>
          <w:rFonts w:ascii="Arial" w:eastAsia="Arial" w:hAnsi="Arial" w:cs="Arial"/>
          <w:sz w:val="22"/>
          <w:szCs w:val="22"/>
        </w:rPr>
        <w:t xml:space="preserve">II </w:t>
      </w:r>
      <w:r w:rsidR="00855180">
        <w:rPr>
          <w:rFonts w:ascii="Arial" w:eastAsia="Arial" w:hAnsi="Arial" w:cs="Arial"/>
          <w:sz w:val="22"/>
          <w:szCs w:val="22"/>
        </w:rPr>
        <w:t>quantities of SNM</w:t>
      </w:r>
      <w:r w:rsidRPr="00566CB9">
        <w:rPr>
          <w:rFonts w:ascii="Arial" w:eastAsia="Arial" w:hAnsi="Arial" w:cs="Arial"/>
          <w:sz w:val="22"/>
          <w:szCs w:val="22"/>
        </w:rPr>
        <w:t xml:space="preserve"> represent the minimum requirements for physical protection. The NRC uses a risk</w:t>
      </w:r>
      <w:r w:rsidRPr="00566CB9" w:rsidR="000A4AE2">
        <w:rPr>
          <w:rFonts w:ascii="Arial" w:eastAsia="Arial" w:hAnsi="Arial" w:cs="Arial"/>
          <w:sz w:val="22"/>
          <w:szCs w:val="22"/>
        </w:rPr>
        <w:noBreakHyphen/>
      </w:r>
      <w:r w:rsidRPr="00566CB9">
        <w:rPr>
          <w:rFonts w:ascii="Arial" w:eastAsia="Arial" w:hAnsi="Arial" w:cs="Arial"/>
          <w:sz w:val="22"/>
          <w:szCs w:val="22"/>
        </w:rPr>
        <w:t xml:space="preserve">informed site-specific physical security analysis to determine if additional security requirements are needed in addition to the requirements in </w:t>
      </w:r>
      <w:r w:rsidRPr="00566CB9" w:rsidR="006E26CA">
        <w:rPr>
          <w:rFonts w:ascii="Arial" w:eastAsia="Arial" w:hAnsi="Arial" w:cs="Arial"/>
          <w:sz w:val="22"/>
          <w:szCs w:val="22"/>
        </w:rPr>
        <w:t>10 CFR </w:t>
      </w:r>
      <w:r w:rsidRPr="00566CB9">
        <w:rPr>
          <w:rFonts w:ascii="Arial" w:eastAsia="Arial" w:hAnsi="Arial" w:cs="Arial"/>
          <w:sz w:val="22"/>
          <w:szCs w:val="22"/>
        </w:rPr>
        <w:t xml:space="preserve">73.67 to ensure the adequate protection </w:t>
      </w:r>
      <w:r w:rsidRPr="00566CB9" w:rsidR="009F34AD">
        <w:rPr>
          <w:rFonts w:ascii="Arial" w:eastAsia="Arial" w:hAnsi="Arial" w:cs="Arial"/>
          <w:sz w:val="22"/>
          <w:szCs w:val="22"/>
        </w:rPr>
        <w:t xml:space="preserve">of </w:t>
      </w:r>
      <w:r w:rsidRPr="00566CB9">
        <w:rPr>
          <w:rFonts w:ascii="Arial" w:eastAsia="Arial" w:hAnsi="Arial" w:cs="Arial"/>
          <w:sz w:val="22"/>
          <w:szCs w:val="22"/>
        </w:rPr>
        <w:t>C</w:t>
      </w:r>
      <w:r w:rsidRPr="00566CB9" w:rsidR="009F34AD">
        <w:rPr>
          <w:rFonts w:ascii="Arial" w:eastAsia="Arial" w:hAnsi="Arial" w:cs="Arial"/>
          <w:sz w:val="22"/>
          <w:szCs w:val="22"/>
        </w:rPr>
        <w:t>ategory</w:t>
      </w:r>
      <w:r w:rsidRPr="00566CB9">
        <w:rPr>
          <w:rFonts w:ascii="Arial" w:eastAsia="Arial" w:hAnsi="Arial" w:cs="Arial"/>
          <w:sz w:val="22"/>
          <w:szCs w:val="22"/>
        </w:rPr>
        <w:t xml:space="preserve"> II quantities of SNM. The NRC has determined that this graded approach ensures </w:t>
      </w:r>
      <w:r w:rsidR="00C52E80">
        <w:rPr>
          <w:rFonts w:ascii="Arial" w:eastAsia="Arial" w:hAnsi="Arial" w:cs="Arial"/>
          <w:sz w:val="22"/>
          <w:szCs w:val="22"/>
        </w:rPr>
        <w:t xml:space="preserve">that any licensed facility will </w:t>
      </w:r>
      <w:r w:rsidR="000E2572">
        <w:rPr>
          <w:rFonts w:ascii="Arial" w:eastAsia="Arial" w:hAnsi="Arial" w:cs="Arial"/>
          <w:sz w:val="22"/>
          <w:szCs w:val="22"/>
        </w:rPr>
        <w:t>be</w:t>
      </w:r>
      <w:r w:rsidR="00C52E80">
        <w:rPr>
          <w:rFonts w:ascii="Arial" w:eastAsia="Arial" w:hAnsi="Arial" w:cs="Arial"/>
          <w:sz w:val="22"/>
          <w:szCs w:val="22"/>
        </w:rPr>
        <w:t xml:space="preserve"> in accord with the</w:t>
      </w:r>
      <w:r w:rsidRPr="00566CB9">
        <w:rPr>
          <w:rFonts w:ascii="Arial" w:eastAsia="Arial" w:hAnsi="Arial" w:cs="Arial"/>
          <w:sz w:val="22"/>
          <w:szCs w:val="22"/>
        </w:rPr>
        <w:t xml:space="preserve"> </w:t>
      </w:r>
      <w:r w:rsidRPr="004846A4" w:rsidR="004846A4">
        <w:rPr>
          <w:rFonts w:ascii="Arial" w:eastAsia="Arial" w:hAnsi="Arial" w:cs="Arial"/>
          <w:sz w:val="22"/>
          <w:szCs w:val="22"/>
        </w:rPr>
        <w:t>common defense and security</w:t>
      </w:r>
      <w:r w:rsidRPr="000647D2">
        <w:rPr>
          <w:rFonts w:ascii="Arial" w:eastAsia="Arial" w:hAnsi="Arial" w:cs="Arial"/>
          <w:sz w:val="22"/>
          <w:szCs w:val="22"/>
        </w:rPr>
        <w:t>.</w:t>
      </w:r>
    </w:p>
    <w:p w:rsidR="00AC1417" w:rsidRPr="00566CB9" w:rsidP="00566CB9" w14:paraId="1FBF8389" w14:textId="77777777">
      <w:pPr>
        <w:spacing w:after="220"/>
        <w:rPr>
          <w:rFonts w:ascii="Arial" w:eastAsia="DengXian" w:hAnsi="Arial" w:cs="Arial"/>
          <w:sz w:val="22"/>
          <w:szCs w:val="22"/>
        </w:rPr>
      </w:pPr>
      <w:r w:rsidRPr="000647D2">
        <w:rPr>
          <w:rFonts w:ascii="Arial" w:eastAsia="DengXian" w:hAnsi="Arial" w:cs="Arial"/>
          <w:sz w:val="22"/>
          <w:szCs w:val="22"/>
        </w:rPr>
        <w:t>Accordingly, the NRC did not change the rule language in response to th</w:t>
      </w:r>
      <w:r w:rsidRPr="000647D2" w:rsidR="00CA046D">
        <w:rPr>
          <w:rFonts w:ascii="Arial" w:eastAsia="DengXian" w:hAnsi="Arial" w:cs="Arial"/>
          <w:sz w:val="22"/>
          <w:szCs w:val="22"/>
        </w:rPr>
        <w:t>is</w:t>
      </w:r>
      <w:r w:rsidRPr="000647D2">
        <w:rPr>
          <w:rFonts w:ascii="Arial" w:eastAsia="DengXian" w:hAnsi="Arial" w:cs="Arial"/>
          <w:sz w:val="22"/>
          <w:szCs w:val="22"/>
        </w:rPr>
        <w:t xml:space="preserve"> comment</w:t>
      </w:r>
      <w:r w:rsidR="00396C78">
        <w:rPr>
          <w:rFonts w:ascii="Arial" w:eastAsia="DengXian" w:hAnsi="Arial" w:cs="Arial"/>
          <w:sz w:val="22"/>
          <w:szCs w:val="22"/>
        </w:rPr>
        <w:t>; the NRC</w:t>
      </w:r>
      <w:r w:rsidRPr="000647D2" w:rsidR="00C74073">
        <w:rPr>
          <w:rFonts w:ascii="Arial" w:eastAsia="DengXian" w:hAnsi="Arial" w:cs="Arial"/>
          <w:sz w:val="22"/>
          <w:szCs w:val="22"/>
        </w:rPr>
        <w:t xml:space="preserve"> </w:t>
      </w:r>
      <w:r w:rsidRPr="000647D2" w:rsidR="000647D2">
        <w:rPr>
          <w:rFonts w:ascii="Arial" w:eastAsia="DengXian" w:hAnsi="Arial" w:cs="Arial"/>
          <w:sz w:val="22"/>
          <w:szCs w:val="22"/>
        </w:rPr>
        <w:t xml:space="preserve">revised RG 5.97 </w:t>
      </w:r>
      <w:r w:rsidR="0025380F">
        <w:rPr>
          <w:rFonts w:ascii="Arial" w:eastAsia="DengXian" w:hAnsi="Arial" w:cs="Arial"/>
          <w:sz w:val="22"/>
          <w:szCs w:val="22"/>
        </w:rPr>
        <w:t>(</w:t>
      </w:r>
      <w:r w:rsidR="00B53180">
        <w:rPr>
          <w:rFonts w:ascii="Arial" w:eastAsia="DengXian" w:hAnsi="Arial" w:cs="Arial"/>
          <w:sz w:val="22"/>
          <w:szCs w:val="22"/>
        </w:rPr>
        <w:t>f</w:t>
      </w:r>
      <w:r w:rsidR="0025380F">
        <w:rPr>
          <w:rFonts w:ascii="Arial" w:eastAsia="DengXian" w:hAnsi="Arial" w:cs="Arial"/>
          <w:sz w:val="22"/>
          <w:szCs w:val="22"/>
        </w:rPr>
        <w:t>ormer</w:t>
      </w:r>
      <w:r w:rsidR="00B53180">
        <w:rPr>
          <w:rFonts w:ascii="Arial" w:eastAsia="DengXian" w:hAnsi="Arial" w:cs="Arial"/>
          <w:sz w:val="22"/>
          <w:szCs w:val="22"/>
        </w:rPr>
        <w:t>ly</w:t>
      </w:r>
      <w:r w:rsidR="0025380F">
        <w:rPr>
          <w:rFonts w:ascii="Arial" w:eastAsia="DengXian" w:hAnsi="Arial" w:cs="Arial"/>
          <w:sz w:val="22"/>
          <w:szCs w:val="22"/>
        </w:rPr>
        <w:t xml:space="preserve"> </w:t>
      </w:r>
      <w:r w:rsidR="00C9385E">
        <w:rPr>
          <w:rFonts w:ascii="Arial" w:eastAsia="DengXian" w:hAnsi="Arial" w:cs="Arial"/>
          <w:sz w:val="22"/>
          <w:szCs w:val="22"/>
        </w:rPr>
        <w:t>DG</w:t>
      </w:r>
      <w:r w:rsidR="00790E76">
        <w:rPr>
          <w:rFonts w:ascii="Arial" w:eastAsia="DengXian" w:hAnsi="Arial" w:cs="Arial"/>
          <w:sz w:val="22"/>
          <w:szCs w:val="22"/>
        </w:rPr>
        <w:t>-5076</w:t>
      </w:r>
      <w:r w:rsidR="00C9385E">
        <w:rPr>
          <w:rFonts w:ascii="Arial" w:eastAsia="DengXian" w:hAnsi="Arial" w:cs="Arial"/>
          <w:sz w:val="22"/>
          <w:szCs w:val="22"/>
        </w:rPr>
        <w:t xml:space="preserve">) </w:t>
      </w:r>
      <w:r w:rsidRPr="000647D2" w:rsidR="009D0AF5">
        <w:rPr>
          <w:rFonts w:ascii="Arial" w:eastAsia="DengXian" w:hAnsi="Arial" w:cs="Arial"/>
          <w:sz w:val="22"/>
          <w:szCs w:val="22"/>
        </w:rPr>
        <w:t>in response to this comment</w:t>
      </w:r>
      <w:r w:rsidRPr="000647D2">
        <w:rPr>
          <w:rFonts w:ascii="Arial" w:eastAsia="DengXian" w:hAnsi="Arial" w:cs="Arial"/>
          <w:sz w:val="22"/>
          <w:szCs w:val="22"/>
        </w:rPr>
        <w:t>.</w:t>
      </w:r>
    </w:p>
    <w:p w:rsidR="005B1A83" w:rsidRPr="00900708" w:rsidP="00566CB9" w14:paraId="1125E787" w14:textId="77777777">
      <w:pPr>
        <w:spacing w:after="220"/>
        <w:rPr>
          <w:rFonts w:ascii="Arial" w:eastAsia="DengXian" w:hAnsi="Arial" w:cs="Arial"/>
        </w:rPr>
      </w:pPr>
      <w:r>
        <w:rPr>
          <w:rFonts w:ascii="Arial" w:eastAsia="Times New Roman" w:hAnsi="Arial" w:cs="Arial"/>
          <w:sz w:val="22"/>
          <w:szCs w:val="22"/>
          <w:lang w:eastAsia="zh-CN"/>
        </w:rPr>
        <w:pict>
          <v:rect id="_x0000_i1144" style="width:0;height:1.5pt" o:hralign="center" o:hrstd="t" o:hrnoshade="t" o:hr="t" fillcolor="black" stroked="f"/>
        </w:pict>
      </w:r>
    </w:p>
    <w:p w:rsidR="00AC1417" w:rsidRPr="006D16AE" w:rsidP="008D20C9" w14:paraId="762FE7D4" w14:textId="77777777">
      <w:pPr>
        <w:pStyle w:val="Heading4"/>
        <w:keepNext/>
        <w:keepLines/>
        <w:ind w:left="907" w:hanging="907"/>
        <w:rPr>
          <w:rFonts w:eastAsia="Times New Roman"/>
          <w:b/>
        </w:rPr>
      </w:pPr>
      <w:r w:rsidRPr="008A7CB7">
        <w:rPr>
          <w:u w:val="none"/>
        </w:rPr>
        <w:t>3.5.1.5.</w:t>
      </w:r>
      <w:r w:rsidRPr="008A7CB7">
        <w:rPr>
          <w:u w:val="none"/>
        </w:rPr>
        <w:tab/>
      </w:r>
      <w:r w:rsidRPr="00355404">
        <w:t>RFC: Cybersecurity programs for a fueled manufactured reactor (§ 53.620(d)(2)(i))</w:t>
      </w:r>
    </w:p>
    <w:p w:rsidR="001575AD" w:rsidRPr="00566CB9" w:rsidP="00566CB9" w14:paraId="26DD9C4A" w14:textId="77777777">
      <w:pPr>
        <w:spacing w:after="220"/>
        <w:rPr>
          <w:rFonts w:ascii="Arial" w:eastAsia="Times New Roman" w:hAnsi="Arial" w:cs="Arial"/>
          <w:color w:val="000000"/>
          <w:sz w:val="22"/>
          <w:szCs w:val="22"/>
          <w:lang w:eastAsia="zh-CN"/>
        </w:rPr>
      </w:pPr>
      <w:r w:rsidRPr="00566CB9">
        <w:rPr>
          <w:rFonts w:ascii="Arial" w:eastAsia="DengXian" w:hAnsi="Arial" w:cs="Arial"/>
          <w:b/>
          <w:sz w:val="22"/>
          <w:szCs w:val="22"/>
        </w:rPr>
        <w:t>Comment Bin 3.5.1.5.A:</w:t>
      </w:r>
      <w:r w:rsidRPr="00566CB9">
        <w:rPr>
          <w:rFonts w:ascii="Arial" w:eastAsia="DengXian" w:hAnsi="Arial" w:cs="Arial"/>
          <w:sz w:val="22"/>
          <w:szCs w:val="22"/>
        </w:rPr>
        <w:t xml:space="preserve"> </w:t>
      </w:r>
      <w:r w:rsidRPr="00566CB9">
        <w:rPr>
          <w:rFonts w:ascii="Arial" w:eastAsia="Times New Roman" w:hAnsi="Arial" w:cs="Arial"/>
          <w:sz w:val="22"/>
          <w:szCs w:val="22"/>
        </w:rPr>
        <w:t>Because existing cybersecurity requirements for possession licenses are adequately implemented, a commenter explained, there is minimal value in codifying the requirements into 10 CFR Part 53 for possession and fuel loading activities conducted under a 10 CFR Part 70 license at the manufacturing facility. However, the commenter noted, there may be components of cybersecurity that need to be implemented at the manufacturing facility to prevent issues from manifesting at the reactor operating site under the OL or COL (</w:t>
      </w:r>
      <w:r w:rsidR="009D6BB9">
        <w:rPr>
          <w:rFonts w:ascii="Arial" w:eastAsia="Times New Roman" w:hAnsi="Arial" w:cs="Arial"/>
          <w:sz w:val="22"/>
          <w:szCs w:val="22"/>
        </w:rPr>
        <w:t>NEI2</w:t>
      </w:r>
      <w:r w:rsidRPr="00566CB9">
        <w:rPr>
          <w:rFonts w:ascii="Arial" w:eastAsia="Times New Roman" w:hAnsi="Arial" w:cs="Arial"/>
          <w:sz w:val="22"/>
          <w:szCs w:val="22"/>
        </w:rPr>
        <w:t>-0192). Another commenter expressed support for the comment (</w:t>
      </w:r>
      <w:r w:rsidR="006912EB">
        <w:rPr>
          <w:rFonts w:ascii="Arial" w:eastAsia="Times New Roman" w:hAnsi="Arial" w:cs="Arial"/>
          <w:sz w:val="22"/>
          <w:szCs w:val="22"/>
        </w:rPr>
        <w:t>NEX</w:t>
      </w:r>
      <w:r w:rsidRPr="00566CB9">
        <w:rPr>
          <w:rFonts w:ascii="Arial" w:eastAsia="Times New Roman" w:hAnsi="Arial" w:cs="Arial"/>
          <w:sz w:val="22"/>
          <w:szCs w:val="22"/>
        </w:rPr>
        <w:t>-0017).</w:t>
      </w:r>
    </w:p>
    <w:p w:rsidR="0050643E" w:rsidRPr="00566CB9" w:rsidP="00566CB9" w14:paraId="1EC1887E" w14:textId="77777777">
      <w:pPr>
        <w:spacing w:after="220"/>
        <w:rPr>
          <w:rFonts w:ascii="Arial" w:eastAsia="DengXian" w:hAnsi="Arial" w:cs="Arial"/>
          <w:sz w:val="22"/>
          <w:szCs w:val="22"/>
        </w:rPr>
      </w:pPr>
      <w:r w:rsidRPr="00566CB9">
        <w:rPr>
          <w:rFonts w:ascii="Arial" w:eastAsia="DengXian" w:hAnsi="Arial" w:cs="Arial"/>
          <w:b/>
          <w:sz w:val="22"/>
          <w:szCs w:val="22"/>
        </w:rPr>
        <w:t>NRC Response:</w:t>
      </w:r>
      <w:r w:rsidRPr="00566CB9">
        <w:rPr>
          <w:rFonts w:ascii="Arial" w:eastAsia="DengXian" w:hAnsi="Arial" w:cs="Arial"/>
          <w:sz w:val="22"/>
          <w:szCs w:val="22"/>
        </w:rPr>
        <w:t xml:space="preserve"> The NRC disagrees with the comments.</w:t>
      </w:r>
    </w:p>
    <w:p w:rsidR="0001633F" w:rsidP="00566CB9" w14:paraId="019E19CD" w14:textId="77777777">
      <w:pPr>
        <w:spacing w:after="220"/>
        <w:rPr>
          <w:rFonts w:ascii="Arial" w:eastAsia="DengXian" w:hAnsi="Arial" w:cs="Arial"/>
          <w:sz w:val="22"/>
          <w:szCs w:val="22"/>
        </w:rPr>
      </w:pPr>
      <w:r w:rsidRPr="00566CB9">
        <w:rPr>
          <w:rFonts w:ascii="Arial" w:eastAsia="DengXian" w:hAnsi="Arial" w:cs="Arial"/>
          <w:sz w:val="22"/>
          <w:szCs w:val="22"/>
        </w:rPr>
        <w:t>The NRC disagrees that cybersecurity requirements for possession licenses are currently adequately implemented as there are no existing cybersecurity requirements for possession. Furthermore, the NRC disagrees that there is minimal value in codifying cybersecurity requirements under 10 CFR Part 53. Cybersecurity needs to be implemented at the manufacturing facility to prevent issues from manifesting during operations as stated by the comment.</w:t>
      </w:r>
    </w:p>
    <w:p w:rsidR="00E535F0" w:rsidRPr="00566CB9" w:rsidP="00566CB9" w14:paraId="295080A7" w14:textId="77777777">
      <w:pPr>
        <w:spacing w:after="220"/>
        <w:rPr>
          <w:rFonts w:ascii="Arial" w:eastAsia="Times New Roman" w:hAnsi="Arial" w:cs="Arial"/>
          <w:color w:val="000000"/>
          <w:sz w:val="22"/>
          <w:szCs w:val="22"/>
          <w:lang w:eastAsia="zh-CN"/>
        </w:rPr>
      </w:pPr>
      <w:r w:rsidRPr="00566CB9">
        <w:rPr>
          <w:rFonts w:ascii="Arial" w:eastAsia="DengXian" w:hAnsi="Arial" w:cs="Arial"/>
          <w:sz w:val="22"/>
          <w:szCs w:val="22"/>
        </w:rPr>
        <w:t>Accordingly, the NRC did not change the rule language in response to these comments.</w:t>
      </w:r>
    </w:p>
    <w:p w:rsidR="00046F33" w:rsidRPr="00566CB9" w:rsidP="00566CB9" w14:paraId="10643C7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45" style="width:0;height:1.5pt" o:hralign="center" o:hrstd="t" o:hrnoshade="t" o:hr="t" fillcolor="black" stroked="f"/>
        </w:pict>
      </w:r>
    </w:p>
    <w:p w:rsidR="00046F33" w:rsidRPr="00566CB9" w:rsidP="00566CB9" w14:paraId="7070969A" w14:textId="77777777">
      <w:pPr>
        <w:spacing w:after="220"/>
        <w:rPr>
          <w:rFonts w:ascii="Arial" w:eastAsia="Times New Roman" w:hAnsi="Arial" w:cs="Arial"/>
          <w:color w:val="000000"/>
          <w:sz w:val="22"/>
          <w:szCs w:val="22"/>
          <w:lang w:eastAsia="zh-CN"/>
        </w:rPr>
      </w:pPr>
      <w:r w:rsidRPr="00566CB9">
        <w:rPr>
          <w:rFonts w:ascii="Arial" w:eastAsia="DengXian" w:hAnsi="Arial" w:cs="Arial"/>
          <w:b/>
          <w:sz w:val="22"/>
          <w:szCs w:val="22"/>
        </w:rPr>
        <w:t>Comment Bin 3.5.1.5.B:</w:t>
      </w:r>
      <w:r w:rsidRPr="00566CB9">
        <w:rPr>
          <w:rFonts w:ascii="Arial" w:eastAsia="DengXian" w:hAnsi="Arial" w:cs="Arial"/>
          <w:sz w:val="22"/>
          <w:szCs w:val="22"/>
        </w:rPr>
        <w:t xml:space="preserve"> In response to an NRC request for comment, a commenter stated that they expect to utilize digital technologies to the maximum extent for physical security controls, radiation monitoring, and criticality controls at a manufacturing facility, writing that such systems have demonstrated maturity and benefits in performance and capability. The commenter suggested that </w:t>
      </w:r>
      <w:r w:rsidRPr="00566CB9">
        <w:rPr>
          <w:rFonts w:ascii="Arial" w:eastAsia="Times New Roman" w:hAnsi="Arial" w:cs="Arial"/>
          <w:color w:val="000000"/>
          <w:sz w:val="22"/>
          <w:szCs w:val="22"/>
          <w:lang w:eastAsia="zh-CN"/>
        </w:rPr>
        <w:t>ML holders should be required to protect digital systems that are involved in the fuel loading operations, while digital systems that are part of the manufacturing facility but do not interact with fueling operations should not require NRC oversight regarding protection</w:t>
      </w:r>
      <w:r w:rsidRPr="00566CB9">
        <w:rPr>
          <w:rFonts w:ascii="Arial" w:eastAsia="DengXian" w:hAnsi="Arial" w:cs="Arial"/>
          <w:sz w:val="22"/>
          <w:szCs w:val="22"/>
        </w:rPr>
        <w:t xml:space="preserve"> (</w:t>
      </w:r>
      <w:r w:rsidR="00611CA0">
        <w:rPr>
          <w:rFonts w:ascii="Arial" w:eastAsia="DengXian" w:hAnsi="Arial" w:cs="Arial"/>
          <w:sz w:val="22"/>
          <w:szCs w:val="22"/>
        </w:rPr>
        <w:t>RAD</w:t>
      </w:r>
      <w:r w:rsidRPr="00566CB9">
        <w:rPr>
          <w:rFonts w:ascii="Arial" w:eastAsia="DengXian" w:hAnsi="Arial" w:cs="Arial"/>
          <w:sz w:val="22"/>
          <w:szCs w:val="22"/>
        </w:rPr>
        <w:t>-0008).</w:t>
      </w:r>
    </w:p>
    <w:p w:rsidR="00DF766A" w:rsidP="009F208A" w14:paraId="2A4E93AF" w14:textId="77777777">
      <w:pPr>
        <w:spacing w:after="220"/>
        <w:rPr>
          <w:rFonts w:ascii="Arial" w:eastAsia="DengXian" w:hAnsi="Arial" w:cs="Arial"/>
          <w:sz w:val="22"/>
          <w:szCs w:val="22"/>
        </w:rPr>
      </w:pPr>
      <w:r w:rsidRPr="00566CB9">
        <w:rPr>
          <w:rFonts w:ascii="Arial" w:eastAsia="DengXian" w:hAnsi="Arial" w:cs="Arial"/>
          <w:b/>
          <w:sz w:val="22"/>
          <w:szCs w:val="22"/>
        </w:rPr>
        <w:t>NRC Response:</w:t>
      </w:r>
      <w:r w:rsidRPr="00566CB9">
        <w:rPr>
          <w:rFonts w:ascii="Arial" w:eastAsia="DengXian" w:hAnsi="Arial" w:cs="Arial"/>
          <w:sz w:val="22"/>
          <w:szCs w:val="22"/>
        </w:rPr>
        <w:t xml:space="preserve"> The NRC agrees</w:t>
      </w:r>
      <w:r w:rsidR="00513103">
        <w:rPr>
          <w:rFonts w:ascii="Arial" w:eastAsia="DengXian" w:hAnsi="Arial" w:cs="Arial"/>
          <w:sz w:val="22"/>
          <w:szCs w:val="22"/>
        </w:rPr>
        <w:t>,</w:t>
      </w:r>
      <w:r w:rsidRPr="00566CB9">
        <w:rPr>
          <w:rFonts w:ascii="Arial" w:eastAsia="DengXian" w:hAnsi="Arial" w:cs="Arial"/>
          <w:sz w:val="22"/>
          <w:szCs w:val="22"/>
        </w:rPr>
        <w:t xml:space="preserve"> in part</w:t>
      </w:r>
      <w:r w:rsidR="00513103">
        <w:rPr>
          <w:rFonts w:ascii="Arial" w:eastAsia="DengXian" w:hAnsi="Arial" w:cs="Arial"/>
          <w:sz w:val="22"/>
          <w:szCs w:val="22"/>
        </w:rPr>
        <w:t>,</w:t>
      </w:r>
      <w:r w:rsidRPr="00566CB9">
        <w:rPr>
          <w:rFonts w:ascii="Arial" w:eastAsia="DengXian" w:hAnsi="Arial" w:cs="Arial"/>
          <w:sz w:val="22"/>
          <w:szCs w:val="22"/>
        </w:rPr>
        <w:t xml:space="preserve"> with th</w:t>
      </w:r>
      <w:r w:rsidR="00920100">
        <w:rPr>
          <w:rFonts w:ascii="Arial" w:eastAsia="DengXian" w:hAnsi="Arial" w:cs="Arial"/>
          <w:sz w:val="22"/>
          <w:szCs w:val="22"/>
        </w:rPr>
        <w:t>e</w:t>
      </w:r>
      <w:r w:rsidRPr="00566CB9">
        <w:rPr>
          <w:rFonts w:ascii="Arial" w:eastAsia="DengXian" w:hAnsi="Arial" w:cs="Arial"/>
          <w:sz w:val="22"/>
          <w:szCs w:val="22"/>
        </w:rPr>
        <w:t xml:space="preserve"> comment. </w:t>
      </w:r>
    </w:p>
    <w:p w:rsidR="00A3091E" w:rsidP="009F208A" w14:paraId="23847ADD" w14:textId="77777777">
      <w:pPr>
        <w:spacing w:after="220"/>
        <w:rPr>
          <w:rFonts w:ascii="Arial" w:eastAsia="DengXian" w:hAnsi="Arial" w:cs="Arial"/>
          <w:sz w:val="22"/>
          <w:szCs w:val="22"/>
        </w:rPr>
      </w:pPr>
      <w:r w:rsidRPr="00566CB9">
        <w:rPr>
          <w:rFonts w:ascii="Arial" w:eastAsia="DengXian" w:hAnsi="Arial" w:cs="Arial"/>
          <w:sz w:val="22"/>
          <w:szCs w:val="22"/>
        </w:rPr>
        <w:t xml:space="preserve">While not being as prescriptive as </w:t>
      </w:r>
      <w:r w:rsidRPr="00566CB9" w:rsidR="0067104E">
        <w:rPr>
          <w:rFonts w:ascii="Arial" w:eastAsia="DengXian" w:hAnsi="Arial" w:cs="Arial"/>
          <w:sz w:val="22"/>
          <w:szCs w:val="22"/>
        </w:rPr>
        <w:t xml:space="preserve">suggested </w:t>
      </w:r>
      <w:r w:rsidRPr="00566CB9">
        <w:rPr>
          <w:rFonts w:ascii="Arial" w:eastAsia="DengXian" w:hAnsi="Arial" w:cs="Arial"/>
          <w:sz w:val="22"/>
          <w:szCs w:val="22"/>
        </w:rPr>
        <w:t xml:space="preserve">in the comment, the </w:t>
      </w:r>
      <w:r w:rsidRPr="00566CB9" w:rsidR="007F11AA">
        <w:rPr>
          <w:rFonts w:ascii="Arial" w:eastAsia="DengXian" w:hAnsi="Arial" w:cs="Arial"/>
          <w:sz w:val="22"/>
          <w:szCs w:val="22"/>
        </w:rPr>
        <w:t xml:space="preserve">NRC </w:t>
      </w:r>
      <w:r w:rsidR="000B0D7E">
        <w:rPr>
          <w:rFonts w:ascii="Arial" w:eastAsia="DengXian" w:hAnsi="Arial" w:cs="Arial"/>
          <w:sz w:val="22"/>
          <w:szCs w:val="22"/>
        </w:rPr>
        <w:t xml:space="preserve">has </w:t>
      </w:r>
      <w:r w:rsidR="00F71A7F">
        <w:rPr>
          <w:rFonts w:ascii="Arial" w:eastAsia="DengXian" w:hAnsi="Arial" w:cs="Arial"/>
          <w:sz w:val="22"/>
          <w:szCs w:val="22"/>
        </w:rPr>
        <w:t>revised</w:t>
      </w:r>
      <w:r w:rsidR="00BD2D86">
        <w:rPr>
          <w:rFonts w:ascii="Arial" w:eastAsia="DengXian" w:hAnsi="Arial" w:cs="Arial"/>
          <w:sz w:val="22"/>
          <w:szCs w:val="22"/>
        </w:rPr>
        <w:t xml:space="preserve"> the</w:t>
      </w:r>
      <w:r w:rsidRPr="00566CB9" w:rsidR="007F11AA">
        <w:rPr>
          <w:rFonts w:ascii="Arial" w:eastAsia="DengXian" w:hAnsi="Arial" w:cs="Arial"/>
          <w:sz w:val="22"/>
          <w:szCs w:val="22"/>
        </w:rPr>
        <w:t xml:space="preserve"> rule text for 10</w:t>
      </w:r>
      <w:r w:rsidRPr="00566CB9" w:rsidR="00595C20">
        <w:rPr>
          <w:rFonts w:ascii="Arial" w:eastAsia="DengXian" w:hAnsi="Arial" w:cs="Arial"/>
          <w:sz w:val="22"/>
          <w:szCs w:val="22"/>
        </w:rPr>
        <w:t> </w:t>
      </w:r>
      <w:r w:rsidRPr="00566CB9" w:rsidR="007F11AA">
        <w:rPr>
          <w:rFonts w:ascii="Arial" w:eastAsia="DengXian" w:hAnsi="Arial" w:cs="Arial"/>
          <w:sz w:val="22"/>
          <w:szCs w:val="22"/>
        </w:rPr>
        <w:t>CFR</w:t>
      </w:r>
      <w:r w:rsidRPr="00566CB9" w:rsidR="00595C20">
        <w:rPr>
          <w:sz w:val="22"/>
          <w:szCs w:val="22"/>
        </w:rPr>
        <w:t> </w:t>
      </w:r>
      <w:r w:rsidRPr="00566CB9" w:rsidR="007F11AA">
        <w:rPr>
          <w:rFonts w:ascii="Arial" w:eastAsia="DengXian" w:hAnsi="Arial" w:cs="Arial"/>
          <w:sz w:val="22"/>
          <w:szCs w:val="22"/>
        </w:rPr>
        <w:t xml:space="preserve">53.620(d)(2)(i)(C) to ensure only those digital assets that are necessary for </w:t>
      </w:r>
      <w:r w:rsidR="00B14719">
        <w:rPr>
          <w:rFonts w:ascii="Arial" w:eastAsia="DengXian" w:hAnsi="Arial" w:cs="Arial"/>
          <w:sz w:val="22"/>
          <w:szCs w:val="22"/>
        </w:rPr>
        <w:t xml:space="preserve">the possession </w:t>
      </w:r>
      <w:r w:rsidR="00E21F3B">
        <w:rPr>
          <w:rFonts w:ascii="Arial" w:eastAsia="DengXian" w:hAnsi="Arial" w:cs="Arial"/>
          <w:sz w:val="22"/>
          <w:szCs w:val="22"/>
        </w:rPr>
        <w:t xml:space="preserve">and loading of </w:t>
      </w:r>
      <w:r w:rsidRPr="00566CB9" w:rsidR="007F11AA">
        <w:rPr>
          <w:rFonts w:ascii="Arial" w:eastAsia="DengXian" w:hAnsi="Arial" w:cs="Arial"/>
          <w:sz w:val="22"/>
          <w:szCs w:val="22"/>
        </w:rPr>
        <w:t xml:space="preserve">fuel are within scope. </w:t>
      </w:r>
      <w:r w:rsidRPr="00566CB9" w:rsidR="0061765C">
        <w:rPr>
          <w:rFonts w:ascii="Arial" w:eastAsia="DengXian" w:hAnsi="Arial" w:cs="Arial"/>
          <w:sz w:val="22"/>
          <w:szCs w:val="22"/>
        </w:rPr>
        <w:t>T</w:t>
      </w:r>
      <w:r w:rsidRPr="00566CB9">
        <w:rPr>
          <w:rFonts w:ascii="Arial" w:eastAsia="DengXian" w:hAnsi="Arial" w:cs="Arial"/>
          <w:sz w:val="22"/>
          <w:szCs w:val="22"/>
        </w:rPr>
        <w:t>he associated guidance (</w:t>
      </w:r>
      <w:r w:rsidR="00BD2D86">
        <w:rPr>
          <w:rFonts w:ascii="Arial" w:eastAsia="DengXian" w:hAnsi="Arial" w:cs="Arial"/>
          <w:sz w:val="22"/>
          <w:szCs w:val="22"/>
        </w:rPr>
        <w:t>RG 5.96</w:t>
      </w:r>
      <w:r w:rsidR="006D3371">
        <w:rPr>
          <w:rFonts w:ascii="Arial" w:eastAsia="DengXian" w:hAnsi="Arial" w:cs="Arial"/>
          <w:sz w:val="22"/>
          <w:szCs w:val="22"/>
        </w:rPr>
        <w:t>, “</w:t>
      </w:r>
      <w:r w:rsidRPr="006D3371" w:rsidR="006D3371">
        <w:rPr>
          <w:rFonts w:ascii="Arial" w:eastAsia="DengXian" w:hAnsi="Arial" w:cs="Arial"/>
          <w:sz w:val="22"/>
          <w:szCs w:val="22"/>
        </w:rPr>
        <w:t xml:space="preserve">Establishing Cybersecurity Programs for Commercial Nuclear Plants </w:t>
      </w:r>
      <w:r w:rsidR="005A078C">
        <w:rPr>
          <w:rFonts w:ascii="Arial" w:eastAsia="DengXian" w:hAnsi="Arial" w:cs="Arial"/>
          <w:sz w:val="22"/>
          <w:szCs w:val="22"/>
        </w:rPr>
        <w:t>L</w:t>
      </w:r>
      <w:r w:rsidRPr="006D3371" w:rsidR="006D3371">
        <w:rPr>
          <w:rFonts w:ascii="Arial" w:eastAsia="DengXian" w:hAnsi="Arial" w:cs="Arial"/>
          <w:sz w:val="22"/>
          <w:szCs w:val="22"/>
        </w:rPr>
        <w:t xml:space="preserve">icensed </w:t>
      </w:r>
      <w:r w:rsidR="005A078C">
        <w:rPr>
          <w:rFonts w:ascii="Arial" w:eastAsia="DengXian" w:hAnsi="Arial" w:cs="Arial"/>
          <w:sz w:val="22"/>
          <w:szCs w:val="22"/>
        </w:rPr>
        <w:t>U</w:t>
      </w:r>
      <w:r w:rsidRPr="006D3371" w:rsidR="006D3371">
        <w:rPr>
          <w:rFonts w:ascii="Arial" w:eastAsia="DengXian" w:hAnsi="Arial" w:cs="Arial"/>
          <w:sz w:val="22"/>
          <w:szCs w:val="22"/>
        </w:rPr>
        <w:t xml:space="preserve">nder 10 CFR </w:t>
      </w:r>
      <w:r w:rsidR="00BF635B">
        <w:rPr>
          <w:rFonts w:ascii="Arial" w:eastAsia="DengXian" w:hAnsi="Arial" w:cs="Arial"/>
          <w:sz w:val="22"/>
          <w:szCs w:val="22"/>
        </w:rPr>
        <w:t>P</w:t>
      </w:r>
      <w:r w:rsidRPr="006D3371" w:rsidR="006D3371">
        <w:rPr>
          <w:rFonts w:ascii="Arial" w:eastAsia="DengXian" w:hAnsi="Arial" w:cs="Arial"/>
          <w:sz w:val="22"/>
          <w:szCs w:val="22"/>
        </w:rPr>
        <w:t>art 53</w:t>
      </w:r>
      <w:r w:rsidR="00BD2D86">
        <w:rPr>
          <w:rFonts w:ascii="Arial" w:eastAsia="DengXian" w:hAnsi="Arial" w:cs="Arial"/>
          <w:sz w:val="22"/>
          <w:szCs w:val="22"/>
        </w:rPr>
        <w:t>”</w:t>
      </w:r>
      <w:r w:rsidR="00AD13A7">
        <w:rPr>
          <w:rFonts w:ascii="Arial" w:eastAsia="DengXian" w:hAnsi="Arial" w:cs="Arial"/>
          <w:sz w:val="22"/>
          <w:szCs w:val="22"/>
        </w:rPr>
        <w:t>)</w:t>
      </w:r>
      <w:r w:rsidRPr="00566CB9">
        <w:rPr>
          <w:rFonts w:ascii="Arial" w:eastAsia="DengXian" w:hAnsi="Arial" w:cs="Arial"/>
          <w:sz w:val="22"/>
          <w:szCs w:val="22"/>
        </w:rPr>
        <w:t xml:space="preserve"> provides a method that the NRC deems acceptable for implementing the requirements of 10</w:t>
      </w:r>
      <w:r w:rsidR="000B0D7E">
        <w:rPr>
          <w:rFonts w:ascii="Arial" w:eastAsia="DengXian" w:hAnsi="Arial" w:cs="Arial"/>
          <w:sz w:val="22"/>
          <w:szCs w:val="22"/>
        </w:rPr>
        <w:t> </w:t>
      </w:r>
      <w:r w:rsidRPr="00566CB9">
        <w:rPr>
          <w:rFonts w:ascii="Arial" w:eastAsia="DengXian" w:hAnsi="Arial" w:cs="Arial"/>
          <w:sz w:val="22"/>
          <w:szCs w:val="22"/>
        </w:rPr>
        <w:t>CFR 53.620(d)(2)(i)(C) for establishing, implementing, and maintaining a cybersecurity program at a manufacturing facility that would be licensed under 10 CFR Part 53.</w:t>
      </w:r>
    </w:p>
    <w:p w:rsidR="009F208A" w:rsidRPr="00566CB9" w:rsidP="009F208A" w14:paraId="2C6A4568"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46" style="width:0;height:1.5pt" o:hralign="center" o:hrstd="t" o:hrnoshade="t" o:hr="t" fillcolor="black" stroked="f"/>
        </w:pict>
      </w:r>
    </w:p>
    <w:p w:rsidR="00A3091E" w:rsidRPr="00566CB9" w:rsidP="00566CB9" w14:paraId="03F56773" w14:textId="77777777">
      <w:pPr>
        <w:spacing w:after="220"/>
        <w:rPr>
          <w:rFonts w:ascii="Arial" w:eastAsia="Times New Roman" w:hAnsi="Arial" w:cs="Arial"/>
          <w:color w:val="000000"/>
          <w:sz w:val="22"/>
          <w:szCs w:val="22"/>
          <w:lang w:eastAsia="zh-CN"/>
        </w:rPr>
      </w:pPr>
      <w:r w:rsidRPr="00566CB9">
        <w:rPr>
          <w:rFonts w:ascii="Arial" w:eastAsia="DengXian" w:hAnsi="Arial" w:cs="Arial"/>
          <w:b/>
          <w:sz w:val="22"/>
          <w:szCs w:val="22"/>
        </w:rPr>
        <w:t xml:space="preserve">Comment Bin 3.5.1.5.C: </w:t>
      </w:r>
      <w:r w:rsidRPr="00566CB9">
        <w:rPr>
          <w:rFonts w:ascii="Arial" w:eastAsia="DengXian" w:hAnsi="Arial" w:cs="Arial"/>
          <w:sz w:val="22"/>
          <w:szCs w:val="22"/>
        </w:rPr>
        <w:t>A commenter reasoned that if there are credible pathways for cyberattacks that could turn a manufactured reactor into a radiological weapon in storage or transport, then there must be provisions to preclude such events, consistent with the objectives of the security measures designed to prevent physical attacks (</w:t>
      </w:r>
      <w:r w:rsidR="00337242">
        <w:rPr>
          <w:rFonts w:ascii="Arial" w:eastAsia="DengXian" w:hAnsi="Arial" w:cs="Arial"/>
          <w:sz w:val="22"/>
          <w:szCs w:val="22"/>
        </w:rPr>
        <w:t>UCS</w:t>
      </w:r>
      <w:r w:rsidRPr="00566CB9">
        <w:rPr>
          <w:rFonts w:ascii="Arial" w:eastAsia="DengXian" w:hAnsi="Arial" w:cs="Arial"/>
          <w:sz w:val="22"/>
          <w:szCs w:val="22"/>
        </w:rPr>
        <w:t xml:space="preserve">-0009). </w:t>
      </w:r>
    </w:p>
    <w:p w:rsidR="008140C7" w:rsidP="00566CB9" w14:paraId="788E50E2" w14:textId="77777777">
      <w:pPr>
        <w:spacing w:after="220"/>
        <w:rPr>
          <w:rFonts w:ascii="Arial" w:eastAsia="DengXian" w:hAnsi="Arial" w:cs="Arial"/>
          <w:sz w:val="22"/>
          <w:szCs w:val="22"/>
        </w:rPr>
      </w:pPr>
      <w:r w:rsidRPr="00566CB9">
        <w:rPr>
          <w:rFonts w:ascii="Arial" w:eastAsia="DengXian" w:hAnsi="Arial" w:cs="Arial"/>
          <w:b/>
          <w:sz w:val="22"/>
          <w:szCs w:val="22"/>
        </w:rPr>
        <w:t>NRC Response:</w:t>
      </w:r>
      <w:r w:rsidRPr="00566CB9">
        <w:rPr>
          <w:rFonts w:ascii="Arial" w:eastAsia="DengXian" w:hAnsi="Arial" w:cs="Arial"/>
          <w:sz w:val="22"/>
          <w:szCs w:val="22"/>
        </w:rPr>
        <w:t xml:space="preserve"> The NRC agrees with th</w:t>
      </w:r>
      <w:r w:rsidR="00EF6E33">
        <w:rPr>
          <w:rFonts w:ascii="Arial" w:eastAsia="DengXian" w:hAnsi="Arial" w:cs="Arial"/>
          <w:sz w:val="22"/>
          <w:szCs w:val="22"/>
        </w:rPr>
        <w:t>e</w:t>
      </w:r>
      <w:r w:rsidRPr="00566CB9">
        <w:rPr>
          <w:rFonts w:ascii="Arial" w:eastAsia="DengXian" w:hAnsi="Arial" w:cs="Arial"/>
          <w:sz w:val="22"/>
          <w:szCs w:val="22"/>
        </w:rPr>
        <w:t xml:space="preserve"> comment.</w:t>
      </w:r>
    </w:p>
    <w:p w:rsidR="00064CD6" w:rsidRPr="00566CB9" w:rsidP="00566CB9" w14:paraId="06C1F174" w14:textId="77777777">
      <w:pPr>
        <w:spacing w:after="220"/>
        <w:rPr>
          <w:rFonts w:ascii="Arial" w:eastAsia="DengXian" w:hAnsi="Arial" w:cs="Arial"/>
          <w:sz w:val="22"/>
          <w:szCs w:val="22"/>
        </w:rPr>
      </w:pPr>
      <w:r w:rsidRPr="00566CB9">
        <w:rPr>
          <w:rFonts w:ascii="Arial" w:eastAsia="DengXian" w:hAnsi="Arial" w:cs="Arial"/>
          <w:sz w:val="22"/>
          <w:szCs w:val="22"/>
        </w:rPr>
        <w:t>The comment supports the inclusion of cybersecurity requirements in the proposed rule and suggests no changes to the proposed rule.</w:t>
      </w:r>
    </w:p>
    <w:p w:rsidR="00791DBD" w:rsidRPr="00566CB9" w:rsidP="00566CB9" w14:paraId="5958B2A6" w14:textId="77777777">
      <w:pPr>
        <w:spacing w:after="220"/>
        <w:rPr>
          <w:rFonts w:ascii="Arial" w:eastAsia="DengXian" w:hAnsi="Arial" w:cs="Arial"/>
          <w:sz w:val="22"/>
          <w:szCs w:val="22"/>
        </w:rPr>
      </w:pPr>
      <w:r w:rsidRPr="00566CB9">
        <w:rPr>
          <w:rFonts w:ascii="Arial" w:eastAsia="DengXian" w:hAnsi="Arial" w:cs="Arial"/>
          <w:sz w:val="22"/>
          <w:szCs w:val="22"/>
        </w:rPr>
        <w:t xml:space="preserve">Accordingly, the NRC did not </w:t>
      </w:r>
      <w:r w:rsidRPr="00566CB9" w:rsidR="00064CD6">
        <w:rPr>
          <w:rFonts w:ascii="Arial" w:eastAsia="DengXian" w:hAnsi="Arial" w:cs="Arial"/>
          <w:sz w:val="22"/>
          <w:szCs w:val="22"/>
        </w:rPr>
        <w:t>change</w:t>
      </w:r>
      <w:r w:rsidRPr="00566CB9">
        <w:rPr>
          <w:rFonts w:ascii="Arial" w:eastAsia="DengXian" w:hAnsi="Arial" w:cs="Arial"/>
          <w:sz w:val="22"/>
          <w:szCs w:val="22"/>
        </w:rPr>
        <w:t xml:space="preserve"> the rule language in response to this comment.</w:t>
      </w:r>
    </w:p>
    <w:p w:rsidR="005B1A83" w:rsidRPr="00566CB9" w:rsidP="00566CB9" w14:paraId="3ACA7D65"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47" style="width:0;height:1.5pt" o:hralign="center" o:hrstd="t" o:hrnoshade="t" o:hr="t" fillcolor="black" stroked="f"/>
        </w:pict>
      </w:r>
    </w:p>
    <w:p w:rsidR="00AC1417" w:rsidRPr="006D16AE" w:rsidP="008A7CB7" w14:paraId="05396589" w14:textId="77777777">
      <w:pPr>
        <w:pStyle w:val="Heading4"/>
      </w:pPr>
      <w:r w:rsidRPr="008A7CB7">
        <w:rPr>
          <w:u w:val="none"/>
        </w:rPr>
        <w:t>3.5.1.6.</w:t>
      </w:r>
      <w:r w:rsidRPr="008A7CB7">
        <w:rPr>
          <w:u w:val="none"/>
        </w:rPr>
        <w:tab/>
      </w:r>
      <w:r w:rsidRPr="00355404">
        <w:t>RFC: Design of physical security program to protect against radiological sabotage (§</w:t>
      </w:r>
      <w:r w:rsidR="0038076A">
        <w:t> </w:t>
      </w:r>
      <w:r w:rsidRPr="00355404">
        <w:t>53.620(d)(2)(i)(B))</w:t>
      </w:r>
    </w:p>
    <w:p w:rsidR="001110A7" w:rsidRPr="009F208A" w:rsidP="009F208A" w14:paraId="05F8E415" w14:textId="77777777">
      <w:pPr>
        <w:spacing w:after="220"/>
        <w:rPr>
          <w:rFonts w:ascii="Arial" w:eastAsia="Times New Roman" w:hAnsi="Arial" w:cs="Arial"/>
          <w:color w:val="000000"/>
          <w:sz w:val="22"/>
          <w:szCs w:val="22"/>
          <w:lang w:eastAsia="zh-CN"/>
        </w:rPr>
      </w:pPr>
      <w:r w:rsidRPr="009F208A">
        <w:rPr>
          <w:rFonts w:ascii="Arial" w:eastAsia="DengXian" w:hAnsi="Arial" w:cs="Arial"/>
          <w:b/>
          <w:sz w:val="22"/>
          <w:szCs w:val="22"/>
        </w:rPr>
        <w:t>Comment Bin 3.5.1.6.A:</w:t>
      </w:r>
      <w:r w:rsidRPr="009F208A">
        <w:rPr>
          <w:rFonts w:ascii="Arial" w:eastAsia="DengXian" w:hAnsi="Arial" w:cs="Arial"/>
          <w:sz w:val="22"/>
          <w:szCs w:val="22"/>
        </w:rPr>
        <w:t xml:space="preserve"> </w:t>
      </w:r>
      <w:r w:rsidRPr="009F208A">
        <w:rPr>
          <w:rFonts w:ascii="Arial" w:eastAsia="Times New Roman" w:hAnsi="Arial" w:cs="Arial"/>
          <w:sz w:val="22"/>
          <w:szCs w:val="22"/>
        </w:rPr>
        <w:t xml:space="preserve">A commenter </w:t>
      </w:r>
      <w:r w:rsidRPr="009F208A" w:rsidR="00A17F65">
        <w:rPr>
          <w:rFonts w:ascii="Arial" w:eastAsia="Times New Roman" w:hAnsi="Arial" w:cs="Arial"/>
          <w:sz w:val="22"/>
          <w:szCs w:val="22"/>
        </w:rPr>
        <w:t>noted that 10 CFR </w:t>
      </w:r>
      <w:r w:rsidRPr="009F208A" w:rsidR="00A17F65">
        <w:rPr>
          <w:rFonts w:ascii="Arial" w:eastAsia="Times New Roman" w:hAnsi="Arial" w:cs="Arial"/>
          <w:color w:val="000000"/>
          <w:sz w:val="22"/>
          <w:szCs w:val="22"/>
          <w:lang w:eastAsia="zh-CN"/>
        </w:rPr>
        <w:t xml:space="preserve">70.22(j)(1) requires a "licensee safeguards contingency plan for dealing with threats, thefts, and radiological sabotage, as defined in part 73 of this chapter" for possession of special nuclear materials licensed under </w:t>
      </w:r>
      <w:r w:rsidR="002D6BD6">
        <w:rPr>
          <w:rFonts w:ascii="Arial" w:eastAsia="Times New Roman" w:hAnsi="Arial" w:cs="Arial"/>
          <w:color w:val="000000"/>
          <w:sz w:val="22"/>
          <w:szCs w:val="22"/>
          <w:lang w:eastAsia="zh-CN"/>
        </w:rPr>
        <w:t>10</w:t>
      </w:r>
      <w:r w:rsidR="006F15C9">
        <w:rPr>
          <w:rFonts w:ascii="Arial" w:eastAsia="Times New Roman" w:hAnsi="Arial" w:cs="Arial"/>
          <w:color w:val="000000"/>
          <w:sz w:val="22"/>
          <w:szCs w:val="22"/>
          <w:lang w:eastAsia="zh-CN"/>
        </w:rPr>
        <w:t> </w:t>
      </w:r>
      <w:r w:rsidR="002D6BD6">
        <w:rPr>
          <w:rFonts w:ascii="Arial" w:eastAsia="Times New Roman" w:hAnsi="Arial" w:cs="Arial"/>
          <w:color w:val="000000"/>
          <w:sz w:val="22"/>
          <w:szCs w:val="22"/>
          <w:lang w:eastAsia="zh-CN"/>
        </w:rPr>
        <w:t xml:space="preserve">CFR </w:t>
      </w:r>
      <w:r w:rsidRPr="009F208A" w:rsidR="00A17F65">
        <w:rPr>
          <w:rFonts w:ascii="Arial" w:eastAsia="Times New Roman" w:hAnsi="Arial" w:cs="Arial"/>
          <w:color w:val="000000"/>
          <w:sz w:val="22"/>
          <w:szCs w:val="22"/>
          <w:lang w:eastAsia="zh-CN"/>
        </w:rPr>
        <w:t xml:space="preserve">Part 70. </w:t>
      </w:r>
      <w:r w:rsidRPr="009F208A" w:rsidR="00B07932">
        <w:rPr>
          <w:rFonts w:ascii="Arial" w:eastAsia="Times New Roman" w:hAnsi="Arial" w:cs="Arial"/>
          <w:color w:val="000000"/>
          <w:sz w:val="22"/>
          <w:szCs w:val="22"/>
          <w:lang w:eastAsia="zh-CN"/>
        </w:rPr>
        <w:t>The commenter stated that p</w:t>
      </w:r>
      <w:r w:rsidRPr="009F208A" w:rsidR="00A17F65">
        <w:rPr>
          <w:rFonts w:ascii="Arial" w:eastAsia="Times New Roman" w:hAnsi="Arial" w:cs="Arial"/>
          <w:color w:val="000000"/>
          <w:sz w:val="22"/>
          <w:szCs w:val="22"/>
          <w:lang w:eastAsia="zh-CN"/>
        </w:rPr>
        <w:t>hysical security requirements can provide reasonable assurance that a malevolent act by an intruder or insider threat would not lead to a criticality event.</w:t>
      </w:r>
    </w:p>
    <w:p w:rsidR="002D576D" w:rsidRPr="009F208A" w:rsidP="009F208A" w14:paraId="3852ACA8" w14:textId="77777777">
      <w:pPr>
        <w:spacing w:after="220"/>
        <w:rPr>
          <w:rFonts w:ascii="Arial" w:eastAsia="Times New Roman" w:hAnsi="Arial" w:cs="Arial"/>
          <w:color w:val="000000"/>
          <w:sz w:val="22"/>
          <w:szCs w:val="22"/>
          <w:lang w:eastAsia="zh-CN"/>
        </w:rPr>
      </w:pPr>
      <w:r w:rsidRPr="009F208A">
        <w:rPr>
          <w:rFonts w:ascii="Arial" w:eastAsia="Times New Roman" w:hAnsi="Arial" w:cs="Arial"/>
          <w:color w:val="000000" w:themeColor="text1"/>
          <w:sz w:val="22"/>
          <w:szCs w:val="22"/>
          <w:lang w:eastAsia="zh-CN"/>
        </w:rPr>
        <w:t xml:space="preserve">The commenter further </w:t>
      </w:r>
      <w:r w:rsidRPr="009F208A">
        <w:rPr>
          <w:rFonts w:ascii="Arial" w:eastAsia="Times New Roman" w:hAnsi="Arial" w:cs="Arial"/>
          <w:sz w:val="22"/>
          <w:szCs w:val="22"/>
        </w:rPr>
        <w:t xml:space="preserve">suggested revising the security requirements in 10 CFR 53.620 to ensure that an individual cannot achieve an unintended criticality event at fuel load if the individual either makes sufficient changes to a reactor’s control systems or moves a sufficient quantity of SNM to an unsafe, moderated geometry. The commenter suggested that during other phases </w:t>
      </w:r>
      <w:r w:rsidRPr="009F208A" w:rsidR="00BE5035">
        <w:rPr>
          <w:rFonts w:ascii="Arial" w:eastAsia="Times New Roman" w:hAnsi="Arial" w:cs="Arial"/>
          <w:sz w:val="22"/>
          <w:szCs w:val="22"/>
        </w:rPr>
        <w:t>security</w:t>
      </w:r>
      <w:r w:rsidRPr="009F208A">
        <w:rPr>
          <w:rFonts w:ascii="Arial" w:eastAsia="Times New Roman" w:hAnsi="Arial" w:cs="Arial"/>
          <w:sz w:val="22"/>
          <w:szCs w:val="22"/>
        </w:rPr>
        <w:t xml:space="preserve"> should fall under separate licenses (e.g., 10 CFR Part 73 for transportation) (</w:t>
      </w:r>
      <w:r w:rsidR="009D6BB9">
        <w:rPr>
          <w:rFonts w:ascii="Arial" w:eastAsia="Times New Roman" w:hAnsi="Arial" w:cs="Arial"/>
          <w:sz w:val="22"/>
          <w:szCs w:val="22"/>
        </w:rPr>
        <w:t>NEI2</w:t>
      </w:r>
      <w:r w:rsidRPr="009F208A">
        <w:rPr>
          <w:rFonts w:ascii="Arial" w:eastAsia="Times New Roman" w:hAnsi="Arial" w:cs="Arial"/>
          <w:sz w:val="22"/>
          <w:szCs w:val="22"/>
        </w:rPr>
        <w:t>-0193).</w:t>
      </w:r>
    </w:p>
    <w:p w:rsidR="002D576D" w:rsidP="009F208A" w14:paraId="56B67741" w14:textId="77777777">
      <w:pPr>
        <w:spacing w:after="220"/>
        <w:rPr>
          <w:rFonts w:ascii="Arial" w:eastAsia="DengXian" w:hAnsi="Arial" w:cs="Arial"/>
          <w:sz w:val="22"/>
          <w:szCs w:val="22"/>
        </w:rPr>
      </w:pPr>
      <w:r w:rsidRPr="009F208A">
        <w:rPr>
          <w:rFonts w:ascii="Arial" w:eastAsia="DengXian" w:hAnsi="Arial" w:cs="Arial"/>
          <w:b/>
          <w:sz w:val="22"/>
          <w:szCs w:val="22"/>
        </w:rPr>
        <w:t>NRC Response:</w:t>
      </w:r>
      <w:r w:rsidRPr="009F208A">
        <w:rPr>
          <w:rFonts w:ascii="Arial" w:eastAsia="DengXian" w:hAnsi="Arial" w:cs="Arial"/>
          <w:sz w:val="22"/>
          <w:szCs w:val="22"/>
        </w:rPr>
        <w:t xml:space="preserve"> The NRC disagrees with th</w:t>
      </w:r>
      <w:r w:rsidR="0002783A">
        <w:rPr>
          <w:rFonts w:ascii="Arial" w:eastAsia="DengXian" w:hAnsi="Arial" w:cs="Arial"/>
          <w:sz w:val="22"/>
          <w:szCs w:val="22"/>
        </w:rPr>
        <w:t>e</w:t>
      </w:r>
      <w:r w:rsidRPr="009F208A">
        <w:rPr>
          <w:rFonts w:ascii="Arial" w:eastAsia="DengXian" w:hAnsi="Arial" w:cs="Arial"/>
          <w:sz w:val="22"/>
          <w:szCs w:val="22"/>
        </w:rPr>
        <w:t xml:space="preserve"> comment.</w:t>
      </w:r>
    </w:p>
    <w:p w:rsidR="002D576D" w:rsidRPr="009F208A" w:rsidP="009F208A" w14:paraId="3109EABB" w14:textId="77777777">
      <w:pPr>
        <w:spacing w:after="220"/>
        <w:rPr>
          <w:rFonts w:ascii="Arial" w:eastAsia="DengXian" w:hAnsi="Arial" w:cs="Arial"/>
          <w:sz w:val="22"/>
          <w:szCs w:val="22"/>
        </w:rPr>
      </w:pPr>
      <w:r w:rsidRPr="009F208A">
        <w:rPr>
          <w:rFonts w:ascii="Arial" w:eastAsia="DengXian" w:hAnsi="Arial" w:cs="Arial"/>
          <w:sz w:val="22"/>
          <w:szCs w:val="22"/>
        </w:rPr>
        <w:t xml:space="preserve">Regarding safeguards contingency plans, 10 CFR 70.22(j)(1) is applicable </w:t>
      </w:r>
      <w:r w:rsidRPr="009F208A" w:rsidR="00245655">
        <w:rPr>
          <w:rFonts w:ascii="Arial" w:eastAsia="DengXian" w:hAnsi="Arial" w:cs="Arial"/>
          <w:sz w:val="22"/>
          <w:szCs w:val="22"/>
        </w:rPr>
        <w:t>to</w:t>
      </w:r>
      <w:r w:rsidRPr="009F208A">
        <w:rPr>
          <w:rFonts w:ascii="Arial" w:eastAsia="DengXian" w:hAnsi="Arial" w:cs="Arial"/>
          <w:sz w:val="22"/>
          <w:szCs w:val="22"/>
        </w:rPr>
        <w:t xml:space="preserve"> licensee</w:t>
      </w:r>
      <w:r w:rsidRPr="009F208A" w:rsidR="00245655">
        <w:rPr>
          <w:rFonts w:ascii="Arial" w:eastAsia="DengXian" w:hAnsi="Arial" w:cs="Arial"/>
          <w:sz w:val="22"/>
          <w:szCs w:val="22"/>
        </w:rPr>
        <w:t>s</w:t>
      </w:r>
      <w:r w:rsidRPr="009F208A">
        <w:rPr>
          <w:rFonts w:ascii="Arial" w:eastAsia="DengXian" w:hAnsi="Arial" w:cs="Arial"/>
          <w:sz w:val="22"/>
          <w:szCs w:val="22"/>
        </w:rPr>
        <w:t xml:space="preserve"> or applicant</w:t>
      </w:r>
      <w:r w:rsidRPr="009F208A" w:rsidR="00245655">
        <w:rPr>
          <w:rFonts w:ascii="Arial" w:eastAsia="DengXian" w:hAnsi="Arial" w:cs="Arial"/>
          <w:sz w:val="22"/>
          <w:szCs w:val="22"/>
        </w:rPr>
        <w:t>s</w:t>
      </w:r>
      <w:r w:rsidRPr="009F208A">
        <w:rPr>
          <w:rFonts w:ascii="Arial" w:eastAsia="DengXian" w:hAnsi="Arial" w:cs="Arial"/>
          <w:sz w:val="22"/>
          <w:szCs w:val="22"/>
        </w:rPr>
        <w:t xml:space="preserve"> that will possess Category I quantities of SNM</w:t>
      </w:r>
      <w:r w:rsidRPr="009F208A" w:rsidR="00245655">
        <w:rPr>
          <w:rFonts w:ascii="Arial" w:eastAsia="DengXian" w:hAnsi="Arial" w:cs="Arial"/>
          <w:sz w:val="22"/>
          <w:szCs w:val="22"/>
        </w:rPr>
        <w:t>. For these licensees or applicants</w:t>
      </w:r>
      <w:r w:rsidRPr="009F208A">
        <w:rPr>
          <w:rFonts w:ascii="Arial" w:eastAsia="DengXian" w:hAnsi="Arial" w:cs="Arial"/>
          <w:sz w:val="22"/>
          <w:szCs w:val="22"/>
        </w:rPr>
        <w:t xml:space="preserve">, a safeguards contingency plan is required under </w:t>
      </w:r>
      <w:r w:rsidR="00E1020D">
        <w:rPr>
          <w:rFonts w:ascii="Arial" w:eastAsia="DengXian" w:hAnsi="Arial" w:cs="Arial"/>
          <w:sz w:val="22"/>
          <w:szCs w:val="22"/>
        </w:rPr>
        <w:t>Appendix C, “</w:t>
      </w:r>
      <w:r w:rsidRPr="00E1020D" w:rsidR="00E1020D">
        <w:rPr>
          <w:rFonts w:ascii="Arial" w:eastAsia="DengXian" w:hAnsi="Arial" w:cs="Arial"/>
          <w:sz w:val="22"/>
          <w:szCs w:val="22"/>
        </w:rPr>
        <w:t>Licensee Safeguards Contingency Plans</w:t>
      </w:r>
      <w:r w:rsidR="00E1020D">
        <w:rPr>
          <w:rFonts w:ascii="Arial" w:eastAsia="DengXian" w:hAnsi="Arial" w:cs="Arial"/>
          <w:sz w:val="22"/>
          <w:szCs w:val="22"/>
        </w:rPr>
        <w:t xml:space="preserve">,” to </w:t>
      </w:r>
      <w:r w:rsidRPr="009F208A">
        <w:rPr>
          <w:rFonts w:ascii="Arial" w:eastAsia="DengXian" w:hAnsi="Arial" w:cs="Arial"/>
          <w:sz w:val="22"/>
          <w:szCs w:val="22"/>
        </w:rPr>
        <w:t xml:space="preserve">10 CFR Part 73. </w:t>
      </w:r>
      <w:r w:rsidRPr="00FF5693" w:rsidR="00FF5693">
        <w:rPr>
          <w:rFonts w:ascii="Arial" w:eastAsia="DengXian" w:hAnsi="Arial" w:cs="Arial"/>
          <w:sz w:val="22"/>
          <w:szCs w:val="22"/>
        </w:rPr>
        <w:t>Due to the required layers of defense</w:t>
      </w:r>
      <w:r w:rsidR="00AF2F8A">
        <w:rPr>
          <w:rFonts w:ascii="Arial" w:eastAsia="DengXian" w:hAnsi="Arial" w:cs="Arial"/>
          <w:sz w:val="22"/>
          <w:szCs w:val="22"/>
        </w:rPr>
        <w:noBreakHyphen/>
      </w:r>
      <w:r w:rsidRPr="00FF5693" w:rsidR="00FF5693">
        <w:rPr>
          <w:rFonts w:ascii="Arial" w:eastAsia="DengXian" w:hAnsi="Arial" w:cs="Arial"/>
          <w:sz w:val="22"/>
          <w:szCs w:val="22"/>
        </w:rPr>
        <w:t>in</w:t>
      </w:r>
      <w:r w:rsidR="00AF2F8A">
        <w:rPr>
          <w:rFonts w:ascii="Arial" w:eastAsia="DengXian" w:hAnsi="Arial" w:cs="Arial"/>
          <w:sz w:val="22"/>
          <w:szCs w:val="22"/>
        </w:rPr>
        <w:noBreakHyphen/>
      </w:r>
      <w:r w:rsidRPr="00FF5693" w:rsidR="00FF5693">
        <w:rPr>
          <w:rFonts w:ascii="Arial" w:eastAsia="DengXian" w:hAnsi="Arial" w:cs="Arial"/>
          <w:sz w:val="22"/>
          <w:szCs w:val="22"/>
        </w:rPr>
        <w:t>depth—such as the material control and accounting (MC&amp;A) plan, insider mitigation program, and criticality controls—it is generally not anticipated that a manufacturing licensee would need to implement a safeguards contingency plan.</w:t>
      </w:r>
    </w:p>
    <w:p w:rsidR="002D576D" w:rsidRPr="009F208A" w:rsidP="009F208A" w14:paraId="647ED3E9" w14:textId="77777777">
      <w:pPr>
        <w:spacing w:after="220"/>
        <w:rPr>
          <w:rFonts w:ascii="Arial" w:eastAsia="DengXian" w:hAnsi="Arial" w:cs="Arial"/>
          <w:sz w:val="22"/>
          <w:szCs w:val="22"/>
        </w:rPr>
      </w:pPr>
      <w:r w:rsidRPr="009F208A">
        <w:rPr>
          <w:rFonts w:ascii="Arial" w:eastAsia="DengXian" w:hAnsi="Arial" w:cs="Arial"/>
          <w:sz w:val="22"/>
          <w:szCs w:val="22"/>
        </w:rPr>
        <w:t xml:space="preserve">Regarding the concern for diverting sufficient quantities of SNM to induce an unintended criticality, the </w:t>
      </w:r>
      <w:r w:rsidR="000157BB">
        <w:rPr>
          <w:rFonts w:ascii="Arial" w:eastAsia="DengXian" w:hAnsi="Arial" w:cs="Arial"/>
          <w:sz w:val="22"/>
          <w:szCs w:val="22"/>
        </w:rPr>
        <w:t>MC&amp;A</w:t>
      </w:r>
      <w:r w:rsidRPr="009F208A">
        <w:rPr>
          <w:rFonts w:ascii="Arial" w:eastAsia="DengXian" w:hAnsi="Arial" w:cs="Arial"/>
          <w:sz w:val="22"/>
          <w:szCs w:val="22"/>
        </w:rPr>
        <w:t xml:space="preserve"> plan is designed to prevent the malevolent actor from amassing a large quantity of Category II or III SNM, undetected, for malevolent purposes</w:t>
      </w:r>
      <w:r w:rsidR="000157BB">
        <w:rPr>
          <w:rFonts w:ascii="Arial" w:eastAsia="DengXian" w:hAnsi="Arial" w:cs="Arial"/>
          <w:sz w:val="22"/>
          <w:szCs w:val="22"/>
        </w:rPr>
        <w:t>. The MC&amp;A</w:t>
      </w:r>
      <w:r w:rsidR="00F6378A">
        <w:rPr>
          <w:rFonts w:ascii="Arial" w:eastAsia="DengXian" w:hAnsi="Arial" w:cs="Arial"/>
          <w:sz w:val="22"/>
          <w:szCs w:val="22"/>
        </w:rPr>
        <w:t xml:space="preserve"> program</w:t>
      </w:r>
      <w:r w:rsidRPr="009F208A">
        <w:rPr>
          <w:rFonts w:ascii="Arial" w:eastAsia="DengXian" w:hAnsi="Arial" w:cs="Arial"/>
          <w:sz w:val="22"/>
          <w:szCs w:val="22"/>
        </w:rPr>
        <w:t xml:space="preserve"> </w:t>
      </w:r>
      <w:r w:rsidR="008A67D8">
        <w:rPr>
          <w:rFonts w:ascii="Arial" w:eastAsia="DengXian" w:hAnsi="Arial" w:cs="Arial"/>
          <w:sz w:val="22"/>
          <w:szCs w:val="22"/>
        </w:rPr>
        <w:t>allows the licensee</w:t>
      </w:r>
      <w:r w:rsidRPr="009F208A">
        <w:rPr>
          <w:rFonts w:ascii="Arial" w:eastAsia="DengXian" w:hAnsi="Arial" w:cs="Arial"/>
          <w:sz w:val="22"/>
          <w:szCs w:val="22"/>
        </w:rPr>
        <w:t xml:space="preserve"> </w:t>
      </w:r>
      <w:r w:rsidR="0056333C">
        <w:rPr>
          <w:rFonts w:ascii="Arial" w:eastAsia="DengXian" w:hAnsi="Arial" w:cs="Arial"/>
          <w:sz w:val="22"/>
          <w:szCs w:val="22"/>
        </w:rPr>
        <w:t>to monitor</w:t>
      </w:r>
      <w:r w:rsidRPr="009F208A">
        <w:rPr>
          <w:rFonts w:ascii="Arial" w:eastAsia="DengXian" w:hAnsi="Arial" w:cs="Arial"/>
          <w:sz w:val="22"/>
          <w:szCs w:val="22"/>
        </w:rPr>
        <w:t xml:space="preserve"> the movement </w:t>
      </w:r>
      <w:r w:rsidR="00D36678">
        <w:rPr>
          <w:rFonts w:ascii="Arial" w:eastAsia="DengXian" w:hAnsi="Arial" w:cs="Arial"/>
          <w:sz w:val="22"/>
          <w:szCs w:val="22"/>
        </w:rPr>
        <w:t xml:space="preserve">of SNM </w:t>
      </w:r>
      <w:r w:rsidRPr="009F208A">
        <w:rPr>
          <w:rFonts w:ascii="Arial" w:eastAsia="DengXian" w:hAnsi="Arial" w:cs="Arial"/>
          <w:sz w:val="22"/>
          <w:szCs w:val="22"/>
        </w:rPr>
        <w:t xml:space="preserve">within the facility </w:t>
      </w:r>
      <w:r w:rsidR="00153CFD">
        <w:rPr>
          <w:rFonts w:ascii="Arial" w:eastAsia="DengXian" w:hAnsi="Arial" w:cs="Arial"/>
          <w:sz w:val="22"/>
          <w:szCs w:val="22"/>
        </w:rPr>
        <w:t>through</w:t>
      </w:r>
      <w:r w:rsidRPr="009F208A">
        <w:rPr>
          <w:rFonts w:ascii="Arial" w:eastAsia="DengXian" w:hAnsi="Arial" w:cs="Arial"/>
          <w:sz w:val="22"/>
          <w:szCs w:val="22"/>
        </w:rPr>
        <w:t xml:space="preserve"> periodic inspections </w:t>
      </w:r>
      <w:r w:rsidR="0031240E">
        <w:rPr>
          <w:rFonts w:ascii="Arial" w:eastAsia="DengXian" w:hAnsi="Arial" w:cs="Arial"/>
          <w:sz w:val="22"/>
          <w:szCs w:val="22"/>
        </w:rPr>
        <w:t>and</w:t>
      </w:r>
      <w:r w:rsidR="00FF5628">
        <w:rPr>
          <w:rFonts w:ascii="Arial" w:eastAsia="DengXian" w:hAnsi="Arial" w:cs="Arial"/>
          <w:sz w:val="22"/>
          <w:szCs w:val="22"/>
        </w:rPr>
        <w:t xml:space="preserve"> </w:t>
      </w:r>
      <w:r w:rsidRPr="009F208A">
        <w:rPr>
          <w:rFonts w:ascii="Arial" w:eastAsia="DengXian" w:hAnsi="Arial" w:cs="Arial"/>
          <w:sz w:val="22"/>
          <w:szCs w:val="22"/>
        </w:rPr>
        <w:t xml:space="preserve">account </w:t>
      </w:r>
      <w:r w:rsidR="00FF5628">
        <w:rPr>
          <w:rFonts w:ascii="Arial" w:eastAsia="DengXian" w:hAnsi="Arial" w:cs="Arial"/>
          <w:sz w:val="22"/>
          <w:szCs w:val="22"/>
        </w:rPr>
        <w:t xml:space="preserve">for </w:t>
      </w:r>
      <w:r w:rsidRPr="009F208A">
        <w:rPr>
          <w:rFonts w:ascii="Arial" w:eastAsia="DengXian" w:hAnsi="Arial" w:cs="Arial"/>
          <w:sz w:val="22"/>
          <w:szCs w:val="22"/>
        </w:rPr>
        <w:t>SNM</w:t>
      </w:r>
      <w:r w:rsidR="00FF5628">
        <w:rPr>
          <w:rFonts w:ascii="Arial" w:eastAsia="DengXian" w:hAnsi="Arial" w:cs="Arial"/>
          <w:sz w:val="22"/>
          <w:szCs w:val="22"/>
        </w:rPr>
        <w:t xml:space="preserve"> to ensure that </w:t>
      </w:r>
      <w:r w:rsidR="006A45BB">
        <w:rPr>
          <w:rFonts w:ascii="Arial" w:eastAsia="DengXian" w:hAnsi="Arial" w:cs="Arial"/>
          <w:sz w:val="22"/>
          <w:szCs w:val="22"/>
        </w:rPr>
        <w:t>SNM has not been diverted</w:t>
      </w:r>
      <w:r w:rsidRPr="009F208A">
        <w:rPr>
          <w:rFonts w:ascii="Arial" w:eastAsia="DengXian" w:hAnsi="Arial" w:cs="Arial"/>
          <w:sz w:val="22"/>
          <w:szCs w:val="22"/>
        </w:rPr>
        <w:t xml:space="preserve">. The NRC does not issue separate SNM licenses for a fixed site or for transport of SNM. Licensing of a site is accomplished under one license </w:t>
      </w:r>
      <w:r w:rsidRPr="009F208A" w:rsidR="67C36801">
        <w:rPr>
          <w:rFonts w:ascii="Arial" w:eastAsia="DengXian" w:hAnsi="Arial" w:cs="Arial"/>
          <w:sz w:val="22"/>
          <w:szCs w:val="22"/>
        </w:rPr>
        <w:t>including meeting any</w:t>
      </w:r>
      <w:r w:rsidRPr="009F208A">
        <w:rPr>
          <w:rFonts w:ascii="Arial" w:eastAsia="DengXian" w:hAnsi="Arial" w:cs="Arial"/>
          <w:sz w:val="22"/>
          <w:szCs w:val="22"/>
        </w:rPr>
        <w:t xml:space="preserve"> transport </w:t>
      </w:r>
      <w:r w:rsidRPr="009F208A" w:rsidR="63E3FBB5">
        <w:rPr>
          <w:rFonts w:ascii="Arial" w:eastAsia="DengXian" w:hAnsi="Arial" w:cs="Arial"/>
          <w:sz w:val="22"/>
          <w:szCs w:val="22"/>
        </w:rPr>
        <w:t xml:space="preserve">security </w:t>
      </w:r>
      <w:r w:rsidRPr="009F208A">
        <w:rPr>
          <w:rFonts w:ascii="Arial" w:eastAsia="DengXian" w:hAnsi="Arial" w:cs="Arial"/>
          <w:sz w:val="22"/>
          <w:szCs w:val="22"/>
        </w:rPr>
        <w:t xml:space="preserve">of that SNM </w:t>
      </w:r>
      <w:r w:rsidRPr="009F208A" w:rsidR="01948E72">
        <w:rPr>
          <w:rFonts w:ascii="Arial" w:eastAsia="DengXian" w:hAnsi="Arial" w:cs="Arial"/>
          <w:sz w:val="22"/>
          <w:szCs w:val="22"/>
        </w:rPr>
        <w:t>for shipment</w:t>
      </w:r>
      <w:r w:rsidRPr="009F208A">
        <w:rPr>
          <w:rFonts w:ascii="Arial" w:eastAsia="DengXian" w:hAnsi="Arial" w:cs="Arial"/>
          <w:sz w:val="22"/>
          <w:szCs w:val="22"/>
        </w:rPr>
        <w:t xml:space="preserve"> to another NRC licensee</w:t>
      </w:r>
      <w:r w:rsidRPr="009F208A" w:rsidR="680C8239">
        <w:rPr>
          <w:rFonts w:ascii="Arial" w:eastAsia="DengXian" w:hAnsi="Arial" w:cs="Arial"/>
          <w:sz w:val="22"/>
          <w:szCs w:val="22"/>
        </w:rPr>
        <w:t>/receiver</w:t>
      </w:r>
      <w:r w:rsidRPr="009F208A">
        <w:rPr>
          <w:rFonts w:ascii="Arial" w:eastAsia="DengXian" w:hAnsi="Arial" w:cs="Arial"/>
          <w:sz w:val="22"/>
          <w:szCs w:val="22"/>
        </w:rPr>
        <w:t xml:space="preserve">. </w:t>
      </w:r>
    </w:p>
    <w:p w:rsidR="002D576D" w:rsidP="009F208A" w14:paraId="70947286" w14:textId="77777777">
      <w:pPr>
        <w:spacing w:after="220"/>
        <w:rPr>
          <w:rFonts w:ascii="Arial" w:eastAsia="DengXian" w:hAnsi="Arial" w:cs="Arial"/>
          <w:sz w:val="22"/>
          <w:szCs w:val="22"/>
        </w:rPr>
      </w:pPr>
      <w:r w:rsidRPr="009F208A">
        <w:rPr>
          <w:rFonts w:ascii="Arial" w:eastAsia="DengXian" w:hAnsi="Arial" w:cs="Arial"/>
          <w:sz w:val="22"/>
          <w:szCs w:val="22"/>
        </w:rPr>
        <w:t>Accordingly, the NRC did not change the rule language in response to this comment.</w:t>
      </w:r>
    </w:p>
    <w:p w:rsidR="00B22ED7" w:rsidRPr="009F208A" w:rsidP="009F208A" w14:paraId="09FA7991"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48" style="width:0;height:1.5pt" o:hralign="center" o:hrstd="t" o:hrnoshade="t" o:hr="t" fillcolor="black" stroked="f"/>
        </w:pict>
      </w:r>
    </w:p>
    <w:p w:rsidR="00B22ED7" w:rsidRPr="009F208A" w:rsidP="009F208A" w14:paraId="69165EF4" w14:textId="77777777">
      <w:pPr>
        <w:spacing w:after="220"/>
        <w:rPr>
          <w:rFonts w:ascii="Arial" w:eastAsia="Times New Roman" w:hAnsi="Arial" w:cs="Arial"/>
          <w:color w:val="000000"/>
          <w:sz w:val="22"/>
          <w:szCs w:val="22"/>
          <w:lang w:eastAsia="zh-CN"/>
        </w:rPr>
      </w:pPr>
      <w:r w:rsidRPr="009F208A">
        <w:rPr>
          <w:rFonts w:ascii="Arial" w:eastAsia="DengXian" w:hAnsi="Arial" w:cs="Arial"/>
          <w:b/>
          <w:sz w:val="22"/>
          <w:szCs w:val="22"/>
        </w:rPr>
        <w:t>Comment Bin 3.5.1.6.B:</w:t>
      </w:r>
      <w:r w:rsidRPr="009F208A">
        <w:rPr>
          <w:rFonts w:ascii="Arial" w:eastAsia="DengXian" w:hAnsi="Arial" w:cs="Arial"/>
          <w:sz w:val="22"/>
          <w:szCs w:val="22"/>
        </w:rPr>
        <w:t xml:space="preserve"> A commenter supported including security requirements to protect against radiological sabotage of reactors pre-loaded with unirradiated fuel, reasoning that they could be converted into extremely dangerous radiological weapons, especially in busy or densely populated areas. Stating that the range of scenarios would include stable operation of the reactor or a violent reactivity insertion that could cause a massive power excursion and explosion, the commenter wrote that all relevant technical factors should be taken into account in developing the security requirements for ensuring denial of access or denial of task, but they described security categorization of the fuel as of limited relevance for these scenarios, because whatever the fuel, the core will presumably be in a configuration that would allow for reactor startup once criticality controls are removed. However, the commenter added, some reactor types (e.g., fast reactors) may be more conducive to rapid reactivity insertion events and, thus, may warrant additional security measures (</w:t>
      </w:r>
      <w:r w:rsidR="00337242">
        <w:rPr>
          <w:rFonts w:ascii="Arial" w:eastAsia="DengXian" w:hAnsi="Arial" w:cs="Arial"/>
          <w:sz w:val="22"/>
          <w:szCs w:val="22"/>
        </w:rPr>
        <w:t>UCS</w:t>
      </w:r>
      <w:r w:rsidRPr="009F208A">
        <w:rPr>
          <w:rFonts w:ascii="Arial" w:eastAsia="DengXian" w:hAnsi="Arial" w:cs="Arial"/>
          <w:sz w:val="22"/>
          <w:szCs w:val="22"/>
        </w:rPr>
        <w:t>-0010).</w:t>
      </w:r>
    </w:p>
    <w:p w:rsidR="008A7B7B" w:rsidRPr="009F208A" w:rsidP="009F208A" w14:paraId="1A45A816" w14:textId="77777777">
      <w:pPr>
        <w:spacing w:after="220"/>
        <w:rPr>
          <w:rFonts w:ascii="Arial" w:eastAsia="DengXian" w:hAnsi="Arial" w:cs="Arial"/>
          <w:sz w:val="22"/>
          <w:szCs w:val="22"/>
        </w:rPr>
      </w:pPr>
      <w:r w:rsidRPr="009F208A">
        <w:rPr>
          <w:rFonts w:ascii="Arial" w:eastAsia="DengXian" w:hAnsi="Arial" w:cs="Arial"/>
          <w:b/>
          <w:sz w:val="22"/>
          <w:szCs w:val="22"/>
        </w:rPr>
        <w:t>NRC Response:</w:t>
      </w:r>
      <w:r w:rsidRPr="009F208A">
        <w:rPr>
          <w:rFonts w:ascii="Arial" w:eastAsia="DengXian" w:hAnsi="Arial" w:cs="Arial"/>
          <w:sz w:val="22"/>
          <w:szCs w:val="22"/>
        </w:rPr>
        <w:t xml:space="preserve"> The NRC agrees</w:t>
      </w:r>
      <w:r w:rsidR="003F6EB9">
        <w:rPr>
          <w:rFonts w:ascii="Arial" w:eastAsia="DengXian" w:hAnsi="Arial" w:cs="Arial"/>
          <w:sz w:val="22"/>
          <w:szCs w:val="22"/>
        </w:rPr>
        <w:t>,</w:t>
      </w:r>
      <w:r w:rsidRPr="009F208A">
        <w:rPr>
          <w:rFonts w:ascii="Arial" w:eastAsia="DengXian" w:hAnsi="Arial" w:cs="Arial"/>
          <w:sz w:val="22"/>
          <w:szCs w:val="22"/>
        </w:rPr>
        <w:t xml:space="preserve"> in part</w:t>
      </w:r>
      <w:r w:rsidR="003F6EB9">
        <w:rPr>
          <w:rFonts w:ascii="Arial" w:eastAsia="DengXian" w:hAnsi="Arial" w:cs="Arial"/>
          <w:sz w:val="22"/>
          <w:szCs w:val="22"/>
        </w:rPr>
        <w:t>,</w:t>
      </w:r>
      <w:r w:rsidRPr="009F208A">
        <w:rPr>
          <w:rFonts w:ascii="Arial" w:eastAsia="DengXian" w:hAnsi="Arial" w:cs="Arial"/>
          <w:sz w:val="22"/>
          <w:szCs w:val="22"/>
        </w:rPr>
        <w:t xml:space="preserve"> with th</w:t>
      </w:r>
      <w:r w:rsidR="00A775D1">
        <w:rPr>
          <w:rFonts w:ascii="Arial" w:eastAsia="DengXian" w:hAnsi="Arial" w:cs="Arial"/>
          <w:sz w:val="22"/>
          <w:szCs w:val="22"/>
        </w:rPr>
        <w:t>e</w:t>
      </w:r>
      <w:r w:rsidRPr="009F208A">
        <w:rPr>
          <w:rFonts w:ascii="Arial" w:eastAsia="DengXian" w:hAnsi="Arial" w:cs="Arial"/>
          <w:sz w:val="22"/>
          <w:szCs w:val="22"/>
        </w:rPr>
        <w:t xml:space="preserve"> comment.</w:t>
      </w:r>
    </w:p>
    <w:p w:rsidR="00B97BB4" w:rsidRPr="009F208A" w:rsidP="009F208A" w14:paraId="7D4E079D" w14:textId="77777777">
      <w:pPr>
        <w:spacing w:after="220"/>
        <w:rPr>
          <w:rFonts w:ascii="Arial" w:eastAsia="DengXian" w:hAnsi="Arial" w:cs="Arial"/>
          <w:sz w:val="22"/>
          <w:szCs w:val="22"/>
        </w:rPr>
      </w:pPr>
      <w:r w:rsidRPr="009F208A">
        <w:rPr>
          <w:rFonts w:ascii="Arial" w:eastAsia="DengXian" w:hAnsi="Arial" w:cs="Arial"/>
          <w:sz w:val="22"/>
          <w:szCs w:val="22"/>
        </w:rPr>
        <w:t>The comment is generally supportive of the requirements in 10 CFR Part 53. NRC security requirements are designed to protect against acts of radiological sabotage and to prevent the theft of special nuclear material</w:t>
      </w:r>
      <w:r w:rsidR="009D1C99">
        <w:rPr>
          <w:rFonts w:ascii="Arial" w:eastAsia="DengXian" w:hAnsi="Arial" w:cs="Arial"/>
          <w:sz w:val="22"/>
          <w:szCs w:val="22"/>
        </w:rPr>
        <w:t xml:space="preserve"> and accommodate a wide range of designs and </w:t>
      </w:r>
      <w:r w:rsidR="00ED3AA3">
        <w:rPr>
          <w:rFonts w:ascii="Arial" w:eastAsia="DengXian" w:hAnsi="Arial" w:cs="Arial"/>
          <w:sz w:val="22"/>
          <w:szCs w:val="22"/>
        </w:rPr>
        <w:t>configurations</w:t>
      </w:r>
      <w:r w:rsidRPr="009F208A">
        <w:rPr>
          <w:rFonts w:ascii="Arial" w:eastAsia="DengXian" w:hAnsi="Arial" w:cs="Arial"/>
          <w:sz w:val="22"/>
          <w:szCs w:val="22"/>
        </w:rPr>
        <w:t>.</w:t>
      </w:r>
    </w:p>
    <w:p w:rsidR="00AC1417" w:rsidP="009F208A" w14:paraId="35871802" w14:textId="77777777">
      <w:pPr>
        <w:spacing w:after="220"/>
        <w:rPr>
          <w:rFonts w:ascii="Arial" w:eastAsia="DengXian" w:hAnsi="Arial" w:cs="Arial"/>
          <w:sz w:val="22"/>
          <w:szCs w:val="22"/>
        </w:rPr>
      </w:pPr>
      <w:r w:rsidRPr="009F208A">
        <w:rPr>
          <w:rFonts w:ascii="Arial" w:eastAsia="DengXian" w:hAnsi="Arial" w:cs="Arial"/>
          <w:sz w:val="22"/>
          <w:szCs w:val="22"/>
        </w:rPr>
        <w:t>Accordingly, the NRC did not change the rule language in response to this comment</w:t>
      </w:r>
      <w:r>
        <w:rPr>
          <w:rFonts w:ascii="Arial" w:eastAsia="DengXian" w:hAnsi="Arial" w:cs="Arial"/>
          <w:sz w:val="22"/>
          <w:szCs w:val="22"/>
        </w:rPr>
        <w:t>.</w:t>
      </w:r>
    </w:p>
    <w:p w:rsidR="009F208A" w:rsidP="009F208A" w14:paraId="1AB0D5E0" w14:textId="77777777">
      <w:pPr>
        <w:spacing w:after="220"/>
        <w:rPr>
          <w:rFonts w:ascii="Arial" w:eastAsia="DengXian" w:hAnsi="Arial" w:cs="Arial"/>
          <w:sz w:val="22"/>
          <w:szCs w:val="22"/>
        </w:rPr>
      </w:pPr>
      <w:r>
        <w:rPr>
          <w:rFonts w:ascii="Arial" w:eastAsia="Times New Roman" w:hAnsi="Arial" w:cs="Arial"/>
          <w:sz w:val="22"/>
          <w:szCs w:val="22"/>
          <w:lang w:eastAsia="zh-CN"/>
        </w:rPr>
        <w:pict>
          <v:rect id="_x0000_i1149" style="width:0;height:1.5pt" o:hralign="center" o:hrstd="t" o:hrnoshade="t" o:hr="t" fillcolor="black" stroked="f"/>
        </w:pict>
      </w:r>
    </w:p>
    <w:p w:rsidR="00AC1417" w:rsidRPr="006D16AE" w:rsidP="009E0831" w14:paraId="0D09C15A" w14:textId="77777777">
      <w:pPr>
        <w:pStyle w:val="Heading4"/>
        <w:keepNext/>
        <w:keepLines/>
        <w:ind w:left="907" w:hanging="907"/>
        <w:rPr>
          <w:rFonts w:eastAsia="Times New Roman"/>
          <w:b/>
        </w:rPr>
      </w:pPr>
      <w:r w:rsidRPr="008A7CB7">
        <w:rPr>
          <w:u w:val="none"/>
        </w:rPr>
        <w:t>3.5.1.7.</w:t>
      </w:r>
      <w:r w:rsidRPr="008A7CB7">
        <w:rPr>
          <w:u w:val="none"/>
        </w:rPr>
        <w:tab/>
      </w:r>
      <w:r w:rsidRPr="00355404">
        <w:t xml:space="preserve">RFC: Additional security measures for transportation of a fueled manufactured reactor (§ </w:t>
      </w:r>
      <w:r w:rsidRPr="00BC4836">
        <w:rPr>
          <w:rFonts w:eastAsia="Times New Roman"/>
        </w:rPr>
        <w:t>53.620(d)(2)(i))</w:t>
      </w:r>
    </w:p>
    <w:p w:rsidR="00BE67D2" w:rsidRPr="00D16CA6" w:rsidP="00D16CA6" w14:paraId="4A4B5E67" w14:textId="77777777">
      <w:pPr>
        <w:spacing w:after="220"/>
        <w:rPr>
          <w:rFonts w:ascii="Arial" w:eastAsia="DengXian" w:hAnsi="Arial" w:cs="Arial"/>
          <w:sz w:val="22"/>
          <w:szCs w:val="22"/>
        </w:rPr>
      </w:pPr>
      <w:r w:rsidRPr="00D16CA6">
        <w:rPr>
          <w:rFonts w:ascii="Arial" w:eastAsia="DengXian" w:hAnsi="Arial" w:cs="Arial"/>
          <w:b/>
          <w:sz w:val="22"/>
          <w:szCs w:val="22"/>
        </w:rPr>
        <w:t>Comment Bin 3.5.1.7.A:</w:t>
      </w:r>
      <w:r w:rsidRPr="00D16CA6">
        <w:rPr>
          <w:rFonts w:ascii="Arial" w:eastAsia="DengXian" w:hAnsi="Arial" w:cs="Arial"/>
          <w:sz w:val="22"/>
          <w:szCs w:val="22"/>
        </w:rPr>
        <w:t xml:space="preserve"> </w:t>
      </w:r>
      <w:r w:rsidRPr="00D16CA6" w:rsidR="00510FC9">
        <w:rPr>
          <w:rFonts w:ascii="Arial" w:eastAsia="DengXian" w:hAnsi="Arial" w:cs="Arial"/>
          <w:sz w:val="22"/>
          <w:szCs w:val="22"/>
        </w:rPr>
        <w:t>A</w:t>
      </w:r>
      <w:r w:rsidRPr="00D16CA6">
        <w:rPr>
          <w:rFonts w:ascii="Arial" w:eastAsia="DengXian" w:hAnsi="Arial" w:cs="Arial"/>
          <w:sz w:val="22"/>
          <w:szCs w:val="22"/>
        </w:rPr>
        <w:t xml:space="preserve"> commenter disputed the need for additional security measures for transportation of a fueled reactor, compared to existing requirements for transporting SNM, given that the increased shipment size of a fueled reactor, the inaccessibility of SNM in a fueled reactor, and the increased rate of detection suggest the risk of diversion is lower for SNM from a fueled reactor compared to approved transportation packages (</w:t>
      </w:r>
      <w:r w:rsidR="00611CA0">
        <w:rPr>
          <w:rFonts w:ascii="Arial" w:eastAsia="DengXian" w:hAnsi="Arial" w:cs="Arial"/>
          <w:sz w:val="22"/>
          <w:szCs w:val="22"/>
        </w:rPr>
        <w:t>RAD</w:t>
      </w:r>
      <w:r w:rsidRPr="00D16CA6">
        <w:rPr>
          <w:rFonts w:ascii="Arial" w:eastAsia="DengXian" w:hAnsi="Arial" w:cs="Arial"/>
          <w:sz w:val="22"/>
          <w:szCs w:val="22"/>
        </w:rPr>
        <w:t>-0009).</w:t>
      </w:r>
    </w:p>
    <w:p w:rsidR="002D7DF8" w:rsidRPr="00D16CA6" w:rsidP="00D16CA6" w14:paraId="487184E9" w14:textId="77777777">
      <w:pPr>
        <w:spacing w:after="220"/>
        <w:rPr>
          <w:rFonts w:ascii="Arial" w:eastAsia="Times New Roman" w:hAnsi="Arial" w:cs="Arial"/>
          <w:color w:val="000000"/>
          <w:sz w:val="22"/>
          <w:szCs w:val="22"/>
          <w:lang w:eastAsia="zh-CN"/>
        </w:rPr>
      </w:pPr>
      <w:r w:rsidRPr="00D16CA6">
        <w:rPr>
          <w:rFonts w:ascii="Arial" w:eastAsia="DengXian" w:hAnsi="Arial" w:cs="Arial"/>
          <w:sz w:val="22"/>
          <w:szCs w:val="22"/>
        </w:rPr>
        <w:t>Another commenter suggested that transportation security requirements should be codified in 10 CFR Part 71 or 10 CFR Part 73 rather than in 10 CFR Part 53 (</w:t>
      </w:r>
      <w:r w:rsidR="009D6BB9">
        <w:rPr>
          <w:rFonts w:ascii="Arial" w:eastAsia="DengXian" w:hAnsi="Arial" w:cs="Arial"/>
          <w:sz w:val="22"/>
          <w:szCs w:val="22"/>
        </w:rPr>
        <w:t>NEI2</w:t>
      </w:r>
      <w:r w:rsidRPr="00D16CA6">
        <w:rPr>
          <w:rFonts w:ascii="Arial" w:eastAsia="DengXian" w:hAnsi="Arial" w:cs="Arial"/>
          <w:sz w:val="22"/>
          <w:szCs w:val="22"/>
        </w:rPr>
        <w:t>-0194).</w:t>
      </w:r>
    </w:p>
    <w:p w:rsidR="00BE67D2" w:rsidRPr="00D16CA6" w:rsidP="00D16CA6" w14:paraId="4604C346" w14:textId="77777777">
      <w:pPr>
        <w:spacing w:after="220"/>
        <w:rPr>
          <w:rFonts w:ascii="Arial" w:eastAsia="DengXian" w:hAnsi="Arial" w:cs="Arial"/>
          <w:sz w:val="22"/>
          <w:szCs w:val="22"/>
        </w:rPr>
      </w:pPr>
      <w:r w:rsidRPr="00D16CA6">
        <w:rPr>
          <w:rFonts w:ascii="Arial" w:eastAsia="DengXian" w:hAnsi="Arial" w:cs="Arial"/>
          <w:b/>
          <w:sz w:val="22"/>
          <w:szCs w:val="22"/>
        </w:rPr>
        <w:t>NRC Response:</w:t>
      </w:r>
      <w:r w:rsidRPr="00D16CA6">
        <w:rPr>
          <w:rFonts w:ascii="Arial" w:eastAsia="DengXian" w:hAnsi="Arial" w:cs="Arial"/>
          <w:sz w:val="22"/>
          <w:szCs w:val="22"/>
        </w:rPr>
        <w:t xml:space="preserve"> The NRC agrees, in part, with the</w:t>
      </w:r>
      <w:r w:rsidR="00D23EA3">
        <w:rPr>
          <w:rFonts w:ascii="Arial" w:eastAsia="DengXian" w:hAnsi="Arial" w:cs="Arial"/>
          <w:sz w:val="22"/>
          <w:szCs w:val="22"/>
        </w:rPr>
        <w:t>se</w:t>
      </w:r>
      <w:r w:rsidRPr="00D16CA6">
        <w:rPr>
          <w:rFonts w:ascii="Arial" w:eastAsia="DengXian" w:hAnsi="Arial" w:cs="Arial"/>
          <w:sz w:val="22"/>
          <w:szCs w:val="22"/>
        </w:rPr>
        <w:t xml:space="preserve"> comments.</w:t>
      </w:r>
    </w:p>
    <w:p w:rsidR="00BE67D2" w:rsidRPr="00D16CA6" w:rsidP="00D16CA6" w14:paraId="3FC42C19" w14:textId="77777777">
      <w:pPr>
        <w:spacing w:after="220"/>
        <w:rPr>
          <w:rFonts w:ascii="Arial" w:eastAsia="Aptos" w:hAnsi="Arial" w:cs="Arial"/>
          <w:sz w:val="22"/>
          <w:szCs w:val="22"/>
        </w:rPr>
      </w:pPr>
      <w:r w:rsidRPr="00D16CA6">
        <w:rPr>
          <w:rFonts w:ascii="Arial" w:eastAsia="Aptos" w:hAnsi="Arial" w:cs="Arial"/>
          <w:sz w:val="22"/>
          <w:szCs w:val="22"/>
        </w:rPr>
        <w:t xml:space="preserve">Regarding additional security measures, the NRC agrees that supplemental security measures </w:t>
      </w:r>
      <w:r w:rsidR="002222B1">
        <w:rPr>
          <w:rFonts w:ascii="Arial" w:eastAsia="Aptos" w:hAnsi="Arial" w:cs="Arial"/>
          <w:sz w:val="22"/>
          <w:szCs w:val="22"/>
        </w:rPr>
        <w:t>should</w:t>
      </w:r>
      <w:r w:rsidRPr="00D16CA6" w:rsidR="002222B1">
        <w:rPr>
          <w:rFonts w:ascii="Arial" w:eastAsia="Aptos" w:hAnsi="Arial" w:cs="Arial"/>
          <w:sz w:val="22"/>
          <w:szCs w:val="22"/>
        </w:rPr>
        <w:t xml:space="preserve"> </w:t>
      </w:r>
      <w:r w:rsidRPr="00D16CA6">
        <w:rPr>
          <w:rFonts w:ascii="Arial" w:eastAsia="Aptos" w:hAnsi="Arial" w:cs="Arial"/>
          <w:sz w:val="22"/>
          <w:szCs w:val="22"/>
        </w:rPr>
        <w:t xml:space="preserve">not be </w:t>
      </w:r>
      <w:r w:rsidR="002222B1">
        <w:rPr>
          <w:rFonts w:ascii="Arial" w:eastAsia="Aptos" w:hAnsi="Arial" w:cs="Arial"/>
          <w:sz w:val="22"/>
          <w:szCs w:val="22"/>
        </w:rPr>
        <w:t>necessary</w:t>
      </w:r>
      <w:r w:rsidRPr="00D16CA6">
        <w:rPr>
          <w:rFonts w:ascii="Arial" w:eastAsia="Aptos" w:hAnsi="Arial" w:cs="Arial"/>
          <w:sz w:val="22"/>
          <w:szCs w:val="22"/>
        </w:rPr>
        <w:t xml:space="preserve"> for Category II or Category III quantities of SNM transport based on quantity of material, </w:t>
      </w:r>
      <w:r w:rsidR="00914286">
        <w:rPr>
          <w:rFonts w:ascii="Arial" w:eastAsia="Aptos" w:hAnsi="Arial" w:cs="Arial"/>
          <w:sz w:val="22"/>
          <w:szCs w:val="22"/>
        </w:rPr>
        <w:t>the shape and form</w:t>
      </w:r>
      <w:r w:rsidR="000E157F">
        <w:rPr>
          <w:rFonts w:ascii="Arial" w:eastAsia="Aptos" w:hAnsi="Arial" w:cs="Arial"/>
          <w:sz w:val="22"/>
          <w:szCs w:val="22"/>
        </w:rPr>
        <w:t xml:space="preserve"> as well as the </w:t>
      </w:r>
      <w:r w:rsidRPr="00D16CA6">
        <w:rPr>
          <w:rFonts w:ascii="Arial" w:eastAsia="Aptos" w:hAnsi="Arial" w:cs="Arial"/>
          <w:sz w:val="22"/>
          <w:szCs w:val="22"/>
        </w:rPr>
        <w:t xml:space="preserve">physical measures </w:t>
      </w:r>
      <w:r w:rsidR="000E157F">
        <w:rPr>
          <w:rFonts w:ascii="Arial" w:eastAsia="Aptos" w:hAnsi="Arial" w:cs="Arial"/>
          <w:sz w:val="22"/>
          <w:szCs w:val="22"/>
        </w:rPr>
        <w:t xml:space="preserve">in place </w:t>
      </w:r>
      <w:r w:rsidRPr="00D16CA6">
        <w:rPr>
          <w:rFonts w:ascii="Arial" w:eastAsia="Aptos" w:hAnsi="Arial" w:cs="Arial"/>
          <w:sz w:val="22"/>
          <w:szCs w:val="22"/>
        </w:rPr>
        <w:t>that limit access</w:t>
      </w:r>
      <w:r w:rsidR="005F6A03">
        <w:rPr>
          <w:rFonts w:ascii="Arial" w:eastAsia="Aptos" w:hAnsi="Arial" w:cs="Arial"/>
          <w:sz w:val="22"/>
          <w:szCs w:val="22"/>
        </w:rPr>
        <w:t xml:space="preserve"> to the material</w:t>
      </w:r>
      <w:r w:rsidRPr="00D16CA6">
        <w:rPr>
          <w:rFonts w:ascii="Arial" w:eastAsia="Aptos" w:hAnsi="Arial" w:cs="Arial"/>
          <w:sz w:val="22"/>
          <w:szCs w:val="22"/>
        </w:rPr>
        <w:t>, and the ability to detect unauthorized access.</w:t>
      </w:r>
    </w:p>
    <w:p w:rsidR="00BE67D2" w:rsidRPr="00D16CA6" w:rsidP="00D16CA6" w14:paraId="63DC827D" w14:textId="77777777">
      <w:pPr>
        <w:spacing w:after="220"/>
        <w:rPr>
          <w:rFonts w:ascii="Arial" w:eastAsia="DengXian" w:hAnsi="Arial" w:cs="Arial"/>
          <w:sz w:val="22"/>
          <w:szCs w:val="22"/>
        </w:rPr>
      </w:pPr>
      <w:r w:rsidRPr="00D16CA6">
        <w:rPr>
          <w:rFonts w:ascii="Arial" w:eastAsia="Aptos" w:hAnsi="Arial" w:cs="Arial"/>
          <w:sz w:val="22"/>
          <w:szCs w:val="22"/>
        </w:rPr>
        <w:t xml:space="preserve">Regarding the location of transportation security requirements, the NRC agrees that these requirements should be in 10 CFR Part 73. 10 CFR 53.620(d)(2)(i) requires an ML holder to meet the performance objectives in 10 CFR 73.67. </w:t>
      </w:r>
      <w:r w:rsidR="00CF30B6">
        <w:rPr>
          <w:rFonts w:ascii="Arial" w:eastAsia="Aptos" w:hAnsi="Arial" w:cs="Arial"/>
          <w:sz w:val="22"/>
          <w:szCs w:val="22"/>
        </w:rPr>
        <w:t xml:space="preserve">Requirements </w:t>
      </w:r>
      <w:r w:rsidR="00E711BE">
        <w:rPr>
          <w:rFonts w:ascii="Arial" w:eastAsia="Aptos" w:hAnsi="Arial" w:cs="Arial"/>
          <w:sz w:val="22"/>
          <w:szCs w:val="22"/>
        </w:rPr>
        <w:t>in</w:t>
      </w:r>
      <w:r w:rsidRPr="00D16CA6" w:rsidR="00E711BE">
        <w:rPr>
          <w:rFonts w:ascii="Arial" w:eastAsia="Aptos" w:hAnsi="Arial" w:cs="Arial"/>
          <w:sz w:val="22"/>
          <w:szCs w:val="22"/>
        </w:rPr>
        <w:t xml:space="preserve"> </w:t>
      </w:r>
      <w:r w:rsidRPr="00D16CA6">
        <w:rPr>
          <w:rFonts w:ascii="Arial" w:eastAsia="Aptos" w:hAnsi="Arial" w:cs="Arial"/>
          <w:sz w:val="22"/>
          <w:szCs w:val="22"/>
        </w:rPr>
        <w:t>10 CFR 73.67(e) and 10 CFR 73.67(g) include provisions for security of Category II and Category III quantities of SNM, respectively, during transportation.</w:t>
      </w:r>
    </w:p>
    <w:p w:rsidR="002D7DF8" w:rsidP="00D16CA6" w14:paraId="1D86D339" w14:textId="77777777">
      <w:pPr>
        <w:spacing w:after="220"/>
        <w:rPr>
          <w:rFonts w:ascii="Arial" w:eastAsia="DengXian" w:hAnsi="Arial" w:cs="Arial"/>
          <w:sz w:val="22"/>
          <w:szCs w:val="22"/>
        </w:rPr>
      </w:pPr>
      <w:r w:rsidRPr="00D16CA6">
        <w:rPr>
          <w:rFonts w:ascii="Arial" w:eastAsia="DengXian" w:hAnsi="Arial" w:cs="Arial"/>
          <w:sz w:val="22"/>
          <w:szCs w:val="22"/>
        </w:rPr>
        <w:t>Accordingly, the NRC did not change the rule language in response to these comments.</w:t>
      </w:r>
    </w:p>
    <w:p w:rsidR="00D02343" w:rsidRPr="00D16CA6" w:rsidP="00DD6B5A" w14:paraId="5861F511"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50" style="width:0;height:1.5pt" o:hralign="center" o:hrstd="t" o:hrnoshade="t" o:hr="t" fillcolor="black" stroked="f"/>
        </w:pict>
      </w:r>
    </w:p>
    <w:p w:rsidR="00D02343" w:rsidRPr="00DD6B5A" w:rsidP="00DD6B5A" w14:paraId="41037254" w14:textId="77777777">
      <w:pPr>
        <w:spacing w:after="220"/>
        <w:rPr>
          <w:rFonts w:ascii="Arial" w:eastAsia="Times New Roman" w:hAnsi="Arial" w:cs="Arial"/>
          <w:color w:val="000000"/>
          <w:sz w:val="22"/>
          <w:szCs w:val="22"/>
          <w:lang w:eastAsia="zh-CN"/>
        </w:rPr>
      </w:pPr>
      <w:r w:rsidRPr="00DD6B5A">
        <w:rPr>
          <w:rFonts w:ascii="Arial" w:eastAsia="DengXian" w:hAnsi="Arial" w:cs="Arial"/>
          <w:b/>
          <w:sz w:val="22"/>
          <w:szCs w:val="22"/>
        </w:rPr>
        <w:t>Comment Bin 3.5.1.7.B:</w:t>
      </w:r>
      <w:r w:rsidRPr="00DD6B5A">
        <w:rPr>
          <w:rFonts w:ascii="Arial" w:eastAsia="DengXian" w:hAnsi="Arial" w:cs="Arial"/>
          <w:sz w:val="22"/>
          <w:szCs w:val="22"/>
        </w:rPr>
        <w:t xml:space="preserve"> A commenter stated that alternative security measures to preclude deliberate criticality scenarios also should apply to transportation, along with enhanced security requirements for transport of quantities of HALEU of high strategic significance (</w:t>
      </w:r>
      <w:r w:rsidR="00815989">
        <w:rPr>
          <w:rFonts w:ascii="Arial" w:eastAsia="DengXian" w:hAnsi="Arial" w:cs="Arial"/>
          <w:sz w:val="22"/>
          <w:szCs w:val="22"/>
        </w:rPr>
        <w:t>UCS</w:t>
      </w:r>
      <w:r w:rsidRPr="00DD6B5A">
        <w:rPr>
          <w:rFonts w:ascii="Arial" w:eastAsia="DengXian" w:hAnsi="Arial" w:cs="Arial"/>
          <w:sz w:val="22"/>
          <w:szCs w:val="22"/>
        </w:rPr>
        <w:t>-0011).</w:t>
      </w:r>
    </w:p>
    <w:p w:rsidR="00753C93" w:rsidP="00DD6B5A" w14:paraId="3C45E299" w14:textId="77777777">
      <w:pPr>
        <w:spacing w:after="220"/>
        <w:rPr>
          <w:rFonts w:ascii="Arial" w:eastAsia="Aptos" w:hAnsi="Arial" w:cs="Arial"/>
          <w:sz w:val="22"/>
          <w:szCs w:val="22"/>
        </w:rPr>
      </w:pPr>
      <w:r w:rsidRPr="00DD6B5A">
        <w:rPr>
          <w:rFonts w:ascii="Arial" w:eastAsia="DengXian" w:hAnsi="Arial" w:cs="Arial"/>
          <w:b/>
          <w:sz w:val="22"/>
          <w:szCs w:val="22"/>
        </w:rPr>
        <w:t>NRC Response:</w:t>
      </w:r>
      <w:r w:rsidRPr="00DD6B5A">
        <w:rPr>
          <w:rFonts w:ascii="Arial" w:eastAsia="DengXian" w:hAnsi="Arial" w:cs="Arial"/>
          <w:sz w:val="22"/>
          <w:szCs w:val="22"/>
        </w:rPr>
        <w:t xml:space="preserve"> </w:t>
      </w:r>
      <w:r w:rsidRPr="00DD6B5A">
        <w:rPr>
          <w:rFonts w:ascii="Arial" w:eastAsia="Aptos" w:hAnsi="Arial" w:cs="Arial"/>
          <w:sz w:val="22"/>
          <w:szCs w:val="22"/>
        </w:rPr>
        <w:t>The NRC disagrees with th</w:t>
      </w:r>
      <w:r w:rsidR="00270172">
        <w:rPr>
          <w:rFonts w:ascii="Arial" w:eastAsia="Aptos" w:hAnsi="Arial" w:cs="Arial"/>
          <w:sz w:val="22"/>
          <w:szCs w:val="22"/>
        </w:rPr>
        <w:t>is</w:t>
      </w:r>
      <w:r w:rsidRPr="00DD6B5A">
        <w:rPr>
          <w:rFonts w:ascii="Arial" w:eastAsia="Aptos" w:hAnsi="Arial" w:cs="Arial"/>
          <w:sz w:val="22"/>
          <w:szCs w:val="22"/>
        </w:rPr>
        <w:t xml:space="preserve"> comment. </w:t>
      </w:r>
    </w:p>
    <w:p w:rsidR="00753C93" w:rsidP="00DD6B5A" w14:paraId="6012D881" w14:textId="77777777">
      <w:pPr>
        <w:spacing w:after="220"/>
        <w:rPr>
          <w:rFonts w:ascii="Arial" w:eastAsia="Aptos" w:hAnsi="Arial" w:cs="Arial"/>
          <w:sz w:val="22"/>
          <w:szCs w:val="22"/>
        </w:rPr>
      </w:pPr>
      <w:r w:rsidRPr="004A5951">
        <w:rPr>
          <w:rFonts w:ascii="Arial" w:hAnsi="Arial" w:cs="Arial"/>
          <w:sz w:val="22"/>
          <w:szCs w:val="22"/>
        </w:rPr>
        <w:t xml:space="preserve">The language in </w:t>
      </w:r>
      <w:r w:rsidRPr="00DD6B5A" w:rsidR="00D02343">
        <w:rPr>
          <w:rFonts w:ascii="Arial" w:eastAsia="Aptos" w:hAnsi="Arial" w:cs="Arial"/>
          <w:sz w:val="22"/>
          <w:szCs w:val="22"/>
        </w:rPr>
        <w:t>10 CFR 53.620(d)(2)(i) requires an ML holder to meet the performance objectives in 10 CFR 73.67. Requirements in 10 CFR 73.67(e) and 10 CFR 73.67(g) include provisions for security of category II and category III quantities of SNM, respectively, during transportation</w:t>
      </w:r>
      <w:r w:rsidR="007D1CFA">
        <w:rPr>
          <w:rFonts w:ascii="Arial" w:eastAsia="Aptos" w:hAnsi="Arial" w:cs="Arial"/>
          <w:sz w:val="22"/>
          <w:szCs w:val="22"/>
        </w:rPr>
        <w:t xml:space="preserve">. </w:t>
      </w:r>
      <w:r w:rsidR="00F04727">
        <w:rPr>
          <w:rFonts w:ascii="Arial" w:eastAsia="Aptos" w:hAnsi="Arial" w:cs="Arial"/>
          <w:sz w:val="22"/>
          <w:szCs w:val="22"/>
        </w:rPr>
        <w:t>F</w:t>
      </w:r>
      <w:r w:rsidR="005E34DB">
        <w:rPr>
          <w:rFonts w:ascii="Arial" w:eastAsia="Aptos" w:hAnsi="Arial" w:cs="Arial"/>
          <w:sz w:val="22"/>
          <w:szCs w:val="22"/>
        </w:rPr>
        <w:t>or new applications using HALEU / Category II SNM</w:t>
      </w:r>
      <w:r w:rsidR="00AC4FFC">
        <w:rPr>
          <w:rFonts w:ascii="Arial" w:eastAsia="Aptos" w:hAnsi="Arial" w:cs="Arial"/>
          <w:sz w:val="22"/>
          <w:szCs w:val="22"/>
        </w:rPr>
        <w:t xml:space="preserve">, the NRC intends to continue its practice of evaluating </w:t>
      </w:r>
      <w:r w:rsidRPr="00E10279" w:rsidR="00DE34D7">
        <w:rPr>
          <w:rFonts w:ascii="Arial" w:eastAsia="DengXian" w:hAnsi="Arial" w:cs="Arial"/>
          <w:sz w:val="22"/>
          <w:szCs w:val="22"/>
        </w:rPr>
        <w:t>the physical protection</w:t>
      </w:r>
      <w:r w:rsidR="00DE34D7">
        <w:rPr>
          <w:rFonts w:ascii="Arial" w:eastAsia="Aptos" w:hAnsi="Arial" w:cs="Arial"/>
          <w:sz w:val="22"/>
          <w:szCs w:val="22"/>
        </w:rPr>
        <w:t xml:space="preserve"> needed </w:t>
      </w:r>
      <w:r w:rsidRPr="00E10279" w:rsidR="00DE34D7">
        <w:rPr>
          <w:rFonts w:ascii="Arial" w:eastAsia="DengXian" w:hAnsi="Arial" w:cs="Arial"/>
          <w:sz w:val="22"/>
          <w:szCs w:val="22"/>
        </w:rPr>
        <w:t xml:space="preserve">to ensure adequate protection </w:t>
      </w:r>
      <w:r w:rsidR="00DE34D7">
        <w:rPr>
          <w:rFonts w:ascii="Arial" w:eastAsia="Aptos" w:hAnsi="Arial" w:cs="Arial"/>
          <w:sz w:val="22"/>
          <w:szCs w:val="22"/>
        </w:rPr>
        <w:t xml:space="preserve">during transport </w:t>
      </w:r>
      <w:r w:rsidR="008F243E">
        <w:rPr>
          <w:rFonts w:ascii="Arial" w:eastAsia="Aptos" w:hAnsi="Arial" w:cs="Arial"/>
          <w:sz w:val="22"/>
          <w:szCs w:val="22"/>
        </w:rPr>
        <w:t>on a case-by-case basis</w:t>
      </w:r>
      <w:r w:rsidR="00383FB4">
        <w:rPr>
          <w:rFonts w:ascii="Arial" w:eastAsia="Aptos" w:hAnsi="Arial" w:cs="Arial"/>
          <w:sz w:val="22"/>
          <w:szCs w:val="22"/>
        </w:rPr>
        <w:t>,</w:t>
      </w:r>
      <w:r w:rsidR="00DE34D7">
        <w:rPr>
          <w:rFonts w:ascii="Arial" w:eastAsia="Aptos" w:hAnsi="Arial" w:cs="Arial"/>
          <w:sz w:val="22"/>
          <w:szCs w:val="22"/>
        </w:rPr>
        <w:t xml:space="preserve"> </w:t>
      </w:r>
      <w:r w:rsidRPr="00E10279" w:rsidR="00DE34D7">
        <w:rPr>
          <w:rFonts w:ascii="Arial" w:eastAsia="DengXian" w:hAnsi="Arial" w:cs="Arial"/>
          <w:sz w:val="22"/>
          <w:szCs w:val="22"/>
        </w:rPr>
        <w:t>informed by material attractiveness concept</w:t>
      </w:r>
      <w:r w:rsidR="00DE34D7">
        <w:rPr>
          <w:rFonts w:ascii="Arial" w:eastAsia="DengXian" w:hAnsi="Arial" w:cs="Arial"/>
          <w:sz w:val="22"/>
          <w:szCs w:val="22"/>
        </w:rPr>
        <w:t>s</w:t>
      </w:r>
      <w:r w:rsidR="006F7D76">
        <w:rPr>
          <w:rFonts w:ascii="Arial" w:eastAsia="Aptos" w:hAnsi="Arial" w:cs="Arial"/>
          <w:sz w:val="22"/>
          <w:szCs w:val="22"/>
        </w:rPr>
        <w:t>.</w:t>
      </w:r>
      <w:r w:rsidR="001703C3">
        <w:rPr>
          <w:rFonts w:ascii="Arial" w:eastAsia="Aptos" w:hAnsi="Arial" w:cs="Arial"/>
          <w:sz w:val="22"/>
          <w:szCs w:val="22"/>
        </w:rPr>
        <w:t xml:space="preserve"> </w:t>
      </w:r>
    </w:p>
    <w:p w:rsidR="0052718D" w:rsidP="00DD6B5A" w14:paraId="4E08AD4C" w14:textId="77777777">
      <w:pPr>
        <w:spacing w:after="220"/>
        <w:rPr>
          <w:rFonts w:ascii="Arial" w:eastAsia="Aptos" w:hAnsi="Arial" w:cs="Arial"/>
          <w:sz w:val="22"/>
          <w:szCs w:val="22"/>
        </w:rPr>
      </w:pPr>
    </w:p>
    <w:p w:rsidR="00D02343" w:rsidRPr="00DD6B5A" w:rsidP="00DD6B5A" w14:paraId="3DED0DAF" w14:textId="77777777">
      <w:pPr>
        <w:spacing w:after="220"/>
        <w:rPr>
          <w:rFonts w:ascii="Arial" w:eastAsia="Times New Roman" w:hAnsi="Arial" w:cs="Arial"/>
          <w:color w:val="000000"/>
          <w:sz w:val="22"/>
          <w:szCs w:val="22"/>
          <w:lang w:eastAsia="zh-CN"/>
        </w:rPr>
      </w:pPr>
      <w:r w:rsidRPr="00DD6B5A">
        <w:rPr>
          <w:rFonts w:ascii="Arial" w:eastAsia="Aptos" w:hAnsi="Arial" w:cs="Arial"/>
          <w:sz w:val="22"/>
          <w:szCs w:val="22"/>
        </w:rPr>
        <w:t>Accordingly, the NRC did not change the rule language in response to this comment.</w:t>
      </w:r>
    </w:p>
    <w:p w:rsidR="00AC1417" w:rsidRPr="00355404" w:rsidP="00AC1417" w14:paraId="4A32BA94" w14:textId="77777777">
      <w:pPr>
        <w:spacing w:after="120"/>
        <w:rPr>
          <w:rFonts w:ascii="Arial" w:eastAsia="Times New Roman" w:hAnsi="Arial" w:cs="Arial"/>
          <w:lang w:eastAsia="zh-CN"/>
        </w:rPr>
      </w:pPr>
      <w:r>
        <w:rPr>
          <w:rFonts w:ascii="Arial" w:eastAsia="Times New Roman" w:hAnsi="Arial" w:cs="Arial"/>
          <w:lang w:eastAsia="zh-CN"/>
        </w:rPr>
        <w:pict>
          <v:rect id="_x0000_i1151" style="width:0;height:1.5pt" o:hralign="center" o:hrstd="t" o:hrnoshade="t" o:hr="t" fillcolor="black" stroked="f"/>
        </w:pict>
      </w:r>
    </w:p>
    <w:p w:rsidR="00AC1417" w:rsidRPr="006D16AE" w:rsidP="008A7CB7" w14:paraId="172CAEF6" w14:textId="77777777">
      <w:pPr>
        <w:pStyle w:val="Heading4"/>
        <w:rPr>
          <w:rFonts w:eastAsia="Times New Roman"/>
          <w:b/>
        </w:rPr>
      </w:pPr>
      <w:r w:rsidRPr="008A7CB7">
        <w:rPr>
          <w:u w:val="none"/>
        </w:rPr>
        <w:t>3.5.1.8.</w:t>
      </w:r>
      <w:r w:rsidRPr="008A7CB7">
        <w:rPr>
          <w:u w:val="none"/>
        </w:rPr>
        <w:tab/>
      </w:r>
      <w:r w:rsidRPr="00355404">
        <w:t>RFC: Additional security measures for access authorization (§ 53.620(d)(2)(i))</w:t>
      </w:r>
    </w:p>
    <w:p w:rsidR="00865EBE" w:rsidRPr="004A5951" w:rsidP="004A5951" w14:paraId="2840DC20" w14:textId="77777777">
      <w:pPr>
        <w:spacing w:after="220"/>
        <w:rPr>
          <w:rFonts w:ascii="Arial" w:eastAsia="Times New Roman" w:hAnsi="Arial" w:cs="Arial"/>
          <w:color w:val="000000"/>
          <w:sz w:val="22"/>
          <w:szCs w:val="22"/>
          <w:lang w:eastAsia="zh-CN"/>
        </w:rPr>
      </w:pPr>
      <w:r w:rsidRPr="004A5951">
        <w:rPr>
          <w:rFonts w:ascii="Arial" w:eastAsia="DengXian" w:hAnsi="Arial" w:cs="Arial"/>
          <w:b/>
          <w:sz w:val="22"/>
          <w:szCs w:val="22"/>
        </w:rPr>
        <w:t>Comment Bin 3.5.1.</w:t>
      </w:r>
      <w:r w:rsidRPr="004A5951" w:rsidR="00E67A4D">
        <w:rPr>
          <w:rFonts w:ascii="Arial" w:eastAsia="DengXian" w:hAnsi="Arial" w:cs="Arial"/>
          <w:b/>
          <w:sz w:val="22"/>
          <w:szCs w:val="22"/>
        </w:rPr>
        <w:t>8</w:t>
      </w:r>
      <w:r w:rsidRPr="004A5951">
        <w:rPr>
          <w:rFonts w:ascii="Arial" w:eastAsia="DengXian" w:hAnsi="Arial" w:cs="Arial"/>
          <w:b/>
          <w:sz w:val="22"/>
          <w:szCs w:val="22"/>
        </w:rPr>
        <w:t>.A:</w:t>
      </w:r>
      <w:r w:rsidRPr="004A5951">
        <w:rPr>
          <w:rFonts w:ascii="Arial" w:eastAsia="DengXian" w:hAnsi="Arial" w:cs="Arial"/>
          <w:sz w:val="22"/>
          <w:szCs w:val="22"/>
        </w:rPr>
        <w:t xml:space="preserve"> </w:t>
      </w:r>
      <w:r w:rsidRPr="004A5951">
        <w:rPr>
          <w:rFonts w:ascii="Arial" w:eastAsia="Times New Roman" w:hAnsi="Arial" w:cs="Arial"/>
          <w:sz w:val="22"/>
          <w:szCs w:val="22"/>
        </w:rPr>
        <w:t xml:space="preserve">A commenter suggested relegating security measures for </w:t>
      </w:r>
      <w:r w:rsidR="00995E97">
        <w:rPr>
          <w:rFonts w:ascii="Arial" w:eastAsia="Times New Roman" w:hAnsi="Arial" w:cs="Arial"/>
          <w:sz w:val="22"/>
          <w:szCs w:val="22"/>
        </w:rPr>
        <w:t xml:space="preserve">a manufacturing facility </w:t>
      </w:r>
      <w:r w:rsidRPr="004A5951">
        <w:rPr>
          <w:rFonts w:ascii="Arial" w:eastAsia="Times New Roman" w:hAnsi="Arial" w:cs="Arial"/>
          <w:sz w:val="22"/>
          <w:szCs w:val="22"/>
        </w:rPr>
        <w:t>for access authorization to the 10 CFR Part 70 license and existing requirements and methods rather than introducing duplicative and potentially contradictory requirements in 10 CFR Part 53 (</w:t>
      </w:r>
      <w:r w:rsidR="009D6BB9">
        <w:rPr>
          <w:rFonts w:ascii="Arial" w:eastAsia="Times New Roman" w:hAnsi="Arial" w:cs="Arial"/>
          <w:sz w:val="22"/>
          <w:szCs w:val="22"/>
        </w:rPr>
        <w:t>NEI2</w:t>
      </w:r>
      <w:r w:rsidRPr="004A5951">
        <w:rPr>
          <w:rFonts w:ascii="Arial" w:eastAsia="Times New Roman" w:hAnsi="Arial" w:cs="Arial"/>
          <w:sz w:val="22"/>
          <w:szCs w:val="22"/>
        </w:rPr>
        <w:t>-0195).</w:t>
      </w:r>
    </w:p>
    <w:p w:rsidR="00865EBE" w:rsidRPr="004A5951" w:rsidP="004A5951" w14:paraId="5B497969" w14:textId="77777777">
      <w:pPr>
        <w:spacing w:after="220"/>
        <w:rPr>
          <w:rFonts w:ascii="Arial" w:eastAsia="DengXian" w:hAnsi="Arial" w:cs="Arial"/>
          <w:sz w:val="22"/>
          <w:szCs w:val="22"/>
        </w:rPr>
      </w:pPr>
      <w:r w:rsidRPr="004A5951">
        <w:rPr>
          <w:rFonts w:ascii="Arial" w:eastAsia="DengXian" w:hAnsi="Arial" w:cs="Arial"/>
          <w:b/>
          <w:sz w:val="22"/>
          <w:szCs w:val="22"/>
        </w:rPr>
        <w:t>NRC Response:</w:t>
      </w:r>
      <w:r w:rsidRPr="004A5951">
        <w:rPr>
          <w:rFonts w:ascii="Arial" w:eastAsia="DengXian" w:hAnsi="Arial" w:cs="Arial"/>
          <w:sz w:val="22"/>
          <w:szCs w:val="22"/>
        </w:rPr>
        <w:t xml:space="preserve"> The NRC disagrees with this comment.</w:t>
      </w:r>
    </w:p>
    <w:p w:rsidR="00865EBE" w:rsidRPr="004A5951" w:rsidP="004A5951" w14:paraId="2CC39D6B" w14:textId="77777777">
      <w:pPr>
        <w:spacing w:after="220"/>
        <w:rPr>
          <w:rFonts w:ascii="Arial" w:hAnsi="Arial" w:cs="Arial"/>
          <w:sz w:val="22"/>
          <w:szCs w:val="22"/>
        </w:rPr>
      </w:pPr>
      <w:r>
        <w:rPr>
          <w:rFonts w:ascii="Arial" w:eastAsia="DengXian" w:hAnsi="Arial" w:cs="Arial"/>
          <w:sz w:val="22"/>
          <w:szCs w:val="22"/>
        </w:rPr>
        <w:t>A</w:t>
      </w:r>
      <w:r w:rsidRPr="004A5951">
        <w:rPr>
          <w:rFonts w:ascii="Arial" w:eastAsia="DengXian" w:hAnsi="Arial" w:cs="Arial"/>
          <w:sz w:val="22"/>
          <w:szCs w:val="22"/>
        </w:rPr>
        <w:t xml:space="preserve">ccess authorization </w:t>
      </w:r>
      <w:r>
        <w:rPr>
          <w:rFonts w:ascii="Arial" w:eastAsia="DengXian" w:hAnsi="Arial" w:cs="Arial"/>
          <w:sz w:val="22"/>
          <w:szCs w:val="22"/>
        </w:rPr>
        <w:t>requirements</w:t>
      </w:r>
      <w:r w:rsidRPr="004A5951">
        <w:rPr>
          <w:rFonts w:ascii="Arial" w:eastAsia="DengXian" w:hAnsi="Arial" w:cs="Arial"/>
          <w:sz w:val="22"/>
          <w:szCs w:val="22"/>
        </w:rPr>
        <w:t xml:space="preserve"> </w:t>
      </w:r>
      <w:r>
        <w:rPr>
          <w:rFonts w:ascii="Arial" w:eastAsia="DengXian" w:hAnsi="Arial" w:cs="Arial"/>
          <w:sz w:val="22"/>
          <w:szCs w:val="22"/>
        </w:rPr>
        <w:t>are</w:t>
      </w:r>
      <w:r w:rsidRPr="004A5951">
        <w:rPr>
          <w:rFonts w:ascii="Arial" w:eastAsia="DengXian" w:hAnsi="Arial" w:cs="Arial"/>
          <w:sz w:val="22"/>
          <w:szCs w:val="22"/>
        </w:rPr>
        <w:t xml:space="preserve"> needed for a </w:t>
      </w:r>
      <w:r w:rsidR="00823FA4">
        <w:rPr>
          <w:rFonts w:ascii="Arial" w:eastAsia="DengXian" w:hAnsi="Arial" w:cs="Arial"/>
          <w:sz w:val="22"/>
          <w:szCs w:val="22"/>
        </w:rPr>
        <w:t xml:space="preserve">fueled </w:t>
      </w:r>
      <w:r w:rsidRPr="004A5951">
        <w:rPr>
          <w:rFonts w:ascii="Arial" w:eastAsia="DengXian" w:hAnsi="Arial" w:cs="Arial"/>
          <w:sz w:val="22"/>
          <w:szCs w:val="22"/>
        </w:rPr>
        <w:t xml:space="preserve">manufactured reactor in addition to maintaining the requirements for special nuclear material. </w:t>
      </w:r>
      <w:r w:rsidR="00EA2FBB">
        <w:rPr>
          <w:rFonts w:ascii="Arial" w:eastAsia="DengXian" w:hAnsi="Arial" w:cs="Arial"/>
          <w:sz w:val="22"/>
          <w:szCs w:val="22"/>
        </w:rPr>
        <w:t>The 10 CFR Part 53 final rule contains</w:t>
      </w:r>
      <w:r w:rsidR="0017386D">
        <w:rPr>
          <w:rFonts w:ascii="Arial" w:eastAsia="DengXian" w:hAnsi="Arial" w:cs="Arial"/>
          <w:sz w:val="22"/>
          <w:szCs w:val="22"/>
        </w:rPr>
        <w:t xml:space="preserve"> requirements for </w:t>
      </w:r>
      <w:r w:rsidR="00B16298">
        <w:rPr>
          <w:rFonts w:ascii="Arial" w:eastAsia="DengXian" w:hAnsi="Arial" w:cs="Arial"/>
          <w:sz w:val="22"/>
          <w:szCs w:val="22"/>
        </w:rPr>
        <w:t xml:space="preserve">access controls and access authorization for </w:t>
      </w:r>
      <w:r w:rsidR="0017386D">
        <w:rPr>
          <w:rFonts w:ascii="Arial" w:eastAsia="DengXian" w:hAnsi="Arial" w:cs="Arial"/>
          <w:sz w:val="22"/>
          <w:szCs w:val="22"/>
        </w:rPr>
        <w:t xml:space="preserve">an ML holder under </w:t>
      </w:r>
      <w:r w:rsidR="008C77CB">
        <w:rPr>
          <w:rFonts w:ascii="Arial" w:eastAsia="DengXian" w:hAnsi="Arial" w:cs="Arial"/>
          <w:sz w:val="22"/>
          <w:szCs w:val="22"/>
        </w:rPr>
        <w:br/>
      </w:r>
      <w:r w:rsidRPr="00EA2FBB" w:rsidR="00EA2FBB">
        <w:rPr>
          <w:rFonts w:ascii="Arial" w:eastAsia="DengXian" w:hAnsi="Arial" w:cs="Arial"/>
          <w:sz w:val="22"/>
          <w:szCs w:val="22"/>
        </w:rPr>
        <w:t>10 CFR 53.620(b)(1) and (d)(2)(i)(D)</w:t>
      </w:r>
      <w:r w:rsidR="0017386D">
        <w:rPr>
          <w:rFonts w:ascii="Arial" w:eastAsia="DengXian" w:hAnsi="Arial" w:cs="Arial"/>
          <w:sz w:val="22"/>
          <w:szCs w:val="22"/>
        </w:rPr>
        <w:t>.</w:t>
      </w:r>
      <w:r w:rsidRPr="00EA2FBB" w:rsidR="00EA2FBB">
        <w:rPr>
          <w:rFonts w:ascii="Arial" w:eastAsia="DengXian" w:hAnsi="Arial" w:cs="Arial"/>
          <w:sz w:val="22"/>
          <w:szCs w:val="22"/>
        </w:rPr>
        <w:t xml:space="preserve"> </w:t>
      </w:r>
      <w:r w:rsidRPr="004A5951">
        <w:rPr>
          <w:rFonts w:ascii="Arial" w:eastAsia="DengXian" w:hAnsi="Arial" w:cs="Arial"/>
          <w:sz w:val="22"/>
          <w:szCs w:val="22"/>
        </w:rPr>
        <w:t xml:space="preserve">The inclusion of access authorization </w:t>
      </w:r>
      <w:r>
        <w:rPr>
          <w:rFonts w:ascii="Arial" w:eastAsia="DengXian" w:hAnsi="Arial" w:cs="Arial"/>
          <w:sz w:val="22"/>
          <w:szCs w:val="22"/>
        </w:rPr>
        <w:t>requirements</w:t>
      </w:r>
      <w:r w:rsidRPr="004A5951">
        <w:rPr>
          <w:rFonts w:ascii="Arial" w:eastAsia="DengXian" w:hAnsi="Arial" w:cs="Arial"/>
          <w:sz w:val="22"/>
          <w:szCs w:val="22"/>
        </w:rPr>
        <w:t xml:space="preserve"> </w:t>
      </w:r>
      <w:r w:rsidRPr="004A5951">
        <w:rPr>
          <w:rFonts w:ascii="Arial" w:hAnsi="Arial" w:cs="Arial"/>
          <w:sz w:val="22"/>
          <w:szCs w:val="22"/>
        </w:rPr>
        <w:t xml:space="preserve">is necessary to provide reasonable assurance that individuals </w:t>
      </w:r>
      <w:r w:rsidR="00A04B24">
        <w:rPr>
          <w:rFonts w:ascii="Arial" w:hAnsi="Arial" w:cs="Arial"/>
          <w:sz w:val="22"/>
          <w:szCs w:val="22"/>
        </w:rPr>
        <w:t xml:space="preserve">with unescorted access </w:t>
      </w:r>
      <w:r w:rsidRPr="004A5951">
        <w:rPr>
          <w:rFonts w:ascii="Arial" w:hAnsi="Arial" w:cs="Arial"/>
          <w:sz w:val="22"/>
          <w:szCs w:val="22"/>
        </w:rPr>
        <w:t xml:space="preserve">are trustworthy and reliable, so as not to constitute an unreasonable risk to public health and safety or the common defense and security, regardless of the reactor technology. </w:t>
      </w:r>
    </w:p>
    <w:p w:rsidR="00AC1417" w:rsidRPr="004A5951" w:rsidP="004A5951" w14:paraId="677AD767" w14:textId="77777777">
      <w:pPr>
        <w:spacing w:after="220"/>
        <w:rPr>
          <w:rFonts w:ascii="Arial" w:hAnsi="Arial" w:eastAsiaTheme="minorHAnsi" w:cs="Arial"/>
          <w:kern w:val="2"/>
          <w:sz w:val="22"/>
          <w:szCs w:val="22"/>
          <w14:ligatures w14:val="standardContextual"/>
        </w:rPr>
      </w:pPr>
      <w:r w:rsidRPr="004A5951">
        <w:rPr>
          <w:rFonts w:ascii="Arial" w:hAnsi="Arial" w:eastAsiaTheme="minorHAnsi" w:cs="Arial"/>
          <w:kern w:val="2"/>
          <w:sz w:val="22"/>
          <w:szCs w:val="22"/>
          <w14:ligatures w14:val="standardContextual"/>
        </w:rPr>
        <w:t>Accordingly, the NRC did not change the rule language in response to this comment.</w:t>
      </w:r>
    </w:p>
    <w:p w:rsidR="005B1A83" w:rsidRPr="00405F02" w:rsidP="004A5951" w14:paraId="6EA679D5" w14:textId="77777777">
      <w:pPr>
        <w:spacing w:after="220"/>
        <w:rPr>
          <w:rFonts w:ascii="Arial" w:eastAsia="Times New Roman" w:hAnsi="Arial" w:cs="Arial"/>
          <w:color w:val="000000"/>
          <w:lang w:eastAsia="zh-CN"/>
        </w:rPr>
      </w:pPr>
      <w:r>
        <w:rPr>
          <w:rFonts w:ascii="Arial" w:eastAsia="Times New Roman" w:hAnsi="Arial" w:cs="Arial"/>
          <w:sz w:val="22"/>
          <w:szCs w:val="22"/>
          <w:lang w:eastAsia="zh-CN"/>
        </w:rPr>
        <w:pict>
          <v:rect id="_x0000_i1152" style="width:0;height:1.5pt" o:hralign="center" o:hrstd="t" o:hrnoshade="t" o:hr="t" fillcolor="black" stroked="f"/>
        </w:pict>
      </w:r>
    </w:p>
    <w:p w:rsidR="00306B8B" w:rsidRPr="00423884" w:rsidP="009B2200" w14:paraId="039CE468" w14:textId="77777777">
      <w:pPr>
        <w:pStyle w:val="Heading3"/>
        <w:numPr>
          <w:ilvl w:val="0"/>
          <w:numId w:val="0"/>
        </w:numPr>
        <w:ind w:left="720" w:hanging="720"/>
      </w:pPr>
      <w:bookmarkStart w:id="50" w:name="_Toc207222818"/>
      <w:bookmarkStart w:id="51" w:name="_Toc194466465"/>
      <w:r>
        <w:rPr>
          <w:u w:val="none"/>
        </w:rPr>
        <w:t>3.5.2.</w:t>
      </w:r>
      <w:r>
        <w:rPr>
          <w:u w:val="none"/>
        </w:rPr>
        <w:tab/>
      </w:r>
      <w:r w:rsidRPr="00CD69E3">
        <w:t>Other comments on Subpart E provisions (§§ 53.600-53.610, comments on §§ 53.620 not related to factory fuel loading)</w:t>
      </w:r>
      <w:bookmarkEnd w:id="50"/>
    </w:p>
    <w:bookmarkEnd w:id="51"/>
    <w:p w:rsidR="003F5777" w:rsidRPr="007F5F17" w:rsidP="007F5F17" w14:paraId="34F31F5B" w14:textId="77777777">
      <w:pPr>
        <w:spacing w:after="220"/>
        <w:rPr>
          <w:rFonts w:ascii="Arial" w:eastAsia="Times New Roman" w:hAnsi="Arial" w:cs="Arial"/>
          <w:color w:val="000000"/>
          <w:sz w:val="22"/>
          <w:szCs w:val="22"/>
          <w:lang w:eastAsia="zh-CN"/>
        </w:rPr>
      </w:pPr>
      <w:r w:rsidRPr="007F5F17">
        <w:rPr>
          <w:rFonts w:ascii="Arial" w:eastAsia="DengXian" w:hAnsi="Arial" w:cs="Arial"/>
          <w:b/>
          <w:sz w:val="22"/>
          <w:szCs w:val="22"/>
        </w:rPr>
        <w:t>Comment Bin 3.5.2.A:</w:t>
      </w:r>
      <w:r w:rsidRPr="007F5F17">
        <w:rPr>
          <w:rFonts w:ascii="Arial" w:eastAsia="DengXian" w:hAnsi="Arial" w:cs="Arial"/>
          <w:sz w:val="22"/>
          <w:szCs w:val="22"/>
        </w:rPr>
        <w:t xml:space="preserve"> A commenter expressed general support for Subpart E of the proposed rule, stating that it makes sites more secure by connecting the construction and manufacturing requirements to the safety criteria. The commenter highlighted 10 CFR 53.610(a) as giving the public confidence in the proposed rule by ensuring safety through quality assurance requirements (</w:t>
      </w:r>
      <w:r w:rsidR="00B401ED">
        <w:rPr>
          <w:rFonts w:ascii="Arial" w:eastAsia="DengXian" w:hAnsi="Arial" w:cs="Arial"/>
          <w:sz w:val="22"/>
          <w:szCs w:val="22"/>
        </w:rPr>
        <w:t>NP</w:t>
      </w:r>
      <w:r w:rsidRPr="007F5F17">
        <w:rPr>
          <w:rFonts w:ascii="Arial" w:eastAsia="DengXian" w:hAnsi="Arial" w:cs="Arial"/>
          <w:sz w:val="22"/>
          <w:szCs w:val="22"/>
        </w:rPr>
        <w:t>-0002).</w:t>
      </w:r>
    </w:p>
    <w:p w:rsidR="00D13636" w:rsidP="007F5F17" w14:paraId="6E06BB06" w14:textId="77777777">
      <w:pPr>
        <w:spacing w:after="220"/>
        <w:rPr>
          <w:rFonts w:ascii="Arial" w:eastAsia="DengXian" w:hAnsi="Arial" w:cs="Arial"/>
          <w:sz w:val="22"/>
          <w:szCs w:val="22"/>
          <w:lang w:eastAsia="ja-JP"/>
        </w:rPr>
      </w:pPr>
      <w:r w:rsidRPr="007F5F17">
        <w:rPr>
          <w:rFonts w:ascii="Arial" w:eastAsia="DengXian" w:hAnsi="Arial" w:cs="Arial"/>
          <w:b/>
          <w:sz w:val="22"/>
          <w:szCs w:val="22"/>
        </w:rPr>
        <w:t>NRC Response:</w:t>
      </w:r>
      <w:r w:rsidRPr="007F5F17">
        <w:rPr>
          <w:rFonts w:ascii="Arial" w:eastAsia="DengXian" w:hAnsi="Arial" w:cs="Arial"/>
          <w:sz w:val="22"/>
          <w:szCs w:val="22"/>
        </w:rPr>
        <w:t xml:space="preserve"> </w:t>
      </w:r>
      <w:r w:rsidRPr="007F5F17">
        <w:rPr>
          <w:rFonts w:ascii="Arial" w:eastAsia="DengXian" w:hAnsi="Arial" w:cs="Arial"/>
          <w:sz w:val="22"/>
          <w:szCs w:val="22"/>
          <w:lang w:eastAsia="ja-JP"/>
        </w:rPr>
        <w:t>The NRC agrees with this comment.</w:t>
      </w:r>
    </w:p>
    <w:p w:rsidR="00CD136D" w:rsidRPr="007F5F17" w:rsidP="007F5F17" w14:paraId="1341D4A3" w14:textId="77777777">
      <w:pPr>
        <w:spacing w:after="220"/>
        <w:rPr>
          <w:rFonts w:ascii="Arial" w:eastAsia="DengXian" w:hAnsi="Arial" w:cs="Arial"/>
          <w:sz w:val="22"/>
          <w:szCs w:val="22"/>
          <w:lang w:eastAsia="ja-JP"/>
        </w:rPr>
      </w:pPr>
      <w:r w:rsidRPr="007F5F17">
        <w:rPr>
          <w:rFonts w:ascii="Arial" w:eastAsia="DengXian" w:hAnsi="Arial" w:cs="Arial"/>
          <w:sz w:val="22"/>
          <w:szCs w:val="22"/>
          <w:lang w:eastAsia="ja-JP"/>
        </w:rPr>
        <w:t>The comment supports the proposed rule and suggests no changes to the proposed rule.</w:t>
      </w:r>
    </w:p>
    <w:p w:rsidR="00AC1417" w:rsidP="000615C1" w14:paraId="5F8723A4" w14:textId="77777777">
      <w:pPr>
        <w:spacing w:after="220"/>
        <w:rPr>
          <w:rFonts w:ascii="Arial" w:eastAsia="DengXian" w:hAnsi="Arial" w:cs="Arial"/>
          <w:sz w:val="22"/>
          <w:szCs w:val="22"/>
          <w:lang w:eastAsia="ja-JP"/>
        </w:rPr>
      </w:pPr>
      <w:r w:rsidRPr="007F5F17">
        <w:rPr>
          <w:rFonts w:ascii="Arial" w:eastAsia="DengXian" w:hAnsi="Arial" w:cs="Arial"/>
          <w:sz w:val="22"/>
          <w:szCs w:val="22"/>
          <w:lang w:eastAsia="ja-JP"/>
        </w:rPr>
        <w:t>Accordingly, the NRC did not change the rule language in response to this comment.</w:t>
      </w:r>
    </w:p>
    <w:p w:rsidR="006C20D4" w:rsidRPr="007F5F17" w:rsidP="007F5F17" w14:paraId="5E6F2DC8"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53" style="width:0;height:1.5pt" o:hralign="center" o:hrstd="t" o:hrnoshade="t" o:hr="t" fillcolor="black" stroked="f"/>
        </w:pict>
      </w:r>
    </w:p>
    <w:p w:rsidR="001F7BE1" w:rsidRPr="007F5F17" w:rsidP="007F5F17" w14:paraId="6A3C3E60" w14:textId="77777777">
      <w:pPr>
        <w:spacing w:after="220"/>
        <w:rPr>
          <w:rFonts w:ascii="Arial" w:eastAsia="Times New Roman" w:hAnsi="Arial" w:cs="Arial"/>
          <w:color w:val="000000"/>
          <w:sz w:val="22"/>
          <w:szCs w:val="22"/>
          <w:lang w:eastAsia="zh-CN"/>
        </w:rPr>
      </w:pPr>
      <w:r w:rsidRPr="007F5F17">
        <w:rPr>
          <w:rFonts w:ascii="Arial" w:eastAsia="DengXian" w:hAnsi="Arial" w:cs="Arial"/>
          <w:b/>
          <w:sz w:val="22"/>
          <w:szCs w:val="22"/>
        </w:rPr>
        <w:t>Comment Bin 3.5.2.B:</w:t>
      </w:r>
      <w:r w:rsidRPr="007F5F17">
        <w:rPr>
          <w:rFonts w:ascii="Arial" w:eastAsia="DengXian" w:hAnsi="Arial" w:cs="Arial"/>
          <w:sz w:val="22"/>
          <w:szCs w:val="22"/>
        </w:rPr>
        <w:t xml:space="preserve"> </w:t>
      </w:r>
      <w:r w:rsidRPr="007F5F17">
        <w:rPr>
          <w:rFonts w:ascii="Arial" w:eastAsia="Times New Roman" w:hAnsi="Arial" w:cs="Arial"/>
          <w:sz w:val="22"/>
          <w:szCs w:val="22"/>
        </w:rPr>
        <w:t>Questioning why 10 CFR 53.605 was included in the rule as it duplicates 10 CFR Part 21, a commenter noted that in 2012 the NRC and industry considered removing 10 CFR 50.55(e) as unnecessary given 10 CFR Part 21, an argument the commenter said remains valid. Therefore, the commenter wrote, removing 10 CFR 53.605 is consistent with the NRC’s position in 2012 (ML13163A401) that “[t]he underlying purpose of 10 CFR 50.55(e) is fully achieved through the implementation of 10 CFR Part 21 and other regulatory processes” and it “should be deleted and can be deleted without any reduction to the health and safety of the public” (</w:t>
      </w:r>
      <w:r w:rsidR="009D6BB9">
        <w:rPr>
          <w:rFonts w:ascii="Arial" w:eastAsia="Times New Roman" w:hAnsi="Arial" w:cs="Arial"/>
          <w:sz w:val="22"/>
          <w:szCs w:val="22"/>
        </w:rPr>
        <w:t>NEI2</w:t>
      </w:r>
      <w:r w:rsidRPr="007F5F17">
        <w:rPr>
          <w:rFonts w:ascii="Arial" w:eastAsia="Times New Roman" w:hAnsi="Arial" w:cs="Arial"/>
          <w:sz w:val="22"/>
          <w:szCs w:val="22"/>
        </w:rPr>
        <w:t>-0063).</w:t>
      </w:r>
    </w:p>
    <w:p w:rsidR="00E767C0" w:rsidRPr="007F5F17" w:rsidP="007F5F17" w14:paraId="2431D838" w14:textId="77777777">
      <w:pPr>
        <w:spacing w:after="220"/>
        <w:rPr>
          <w:rFonts w:ascii="Arial" w:eastAsia="DengXian" w:hAnsi="Arial" w:cs="Arial"/>
          <w:sz w:val="22"/>
          <w:szCs w:val="22"/>
        </w:rPr>
      </w:pPr>
      <w:r w:rsidRPr="007F5F17">
        <w:rPr>
          <w:rFonts w:ascii="Arial" w:eastAsia="DengXian" w:hAnsi="Arial" w:cs="Arial"/>
          <w:b/>
          <w:sz w:val="22"/>
          <w:szCs w:val="22"/>
        </w:rPr>
        <w:t>NRC Response:</w:t>
      </w:r>
      <w:r w:rsidRPr="007F5F17">
        <w:rPr>
          <w:rFonts w:ascii="Arial" w:eastAsia="DengXian" w:hAnsi="Arial" w:cs="Arial"/>
          <w:sz w:val="22"/>
          <w:szCs w:val="22"/>
        </w:rPr>
        <w:t xml:space="preserve"> The NRC disagrees with th</w:t>
      </w:r>
      <w:r w:rsidR="00281B25">
        <w:rPr>
          <w:rFonts w:ascii="Arial" w:eastAsia="DengXian" w:hAnsi="Arial" w:cs="Arial"/>
          <w:sz w:val="22"/>
          <w:szCs w:val="22"/>
        </w:rPr>
        <w:t>is</w:t>
      </w:r>
      <w:r w:rsidRPr="007F5F17">
        <w:rPr>
          <w:rFonts w:ascii="Arial" w:eastAsia="DengXian" w:hAnsi="Arial" w:cs="Arial"/>
          <w:sz w:val="22"/>
          <w:szCs w:val="22"/>
        </w:rPr>
        <w:t xml:space="preserve"> comment.</w:t>
      </w:r>
    </w:p>
    <w:p w:rsidR="001F7BE1" w:rsidRPr="007F5F17" w:rsidP="007F5F17" w14:paraId="2740B30A" w14:textId="77777777">
      <w:pPr>
        <w:spacing w:after="220"/>
        <w:rPr>
          <w:rFonts w:ascii="Arial" w:eastAsia="DengXian" w:hAnsi="Arial" w:cs="Arial"/>
          <w:sz w:val="22"/>
          <w:szCs w:val="22"/>
        </w:rPr>
      </w:pPr>
      <w:r w:rsidRPr="007F5F17">
        <w:rPr>
          <w:rFonts w:ascii="Arial" w:eastAsia="DengXian" w:hAnsi="Arial" w:cs="Arial"/>
          <w:sz w:val="22"/>
          <w:szCs w:val="22"/>
        </w:rPr>
        <w:t>The provisions in 10 CFR 53.605 are equivalent to the existing provisions in 10</w:t>
      </w:r>
      <w:r w:rsidRPr="007F5F17" w:rsidR="00E767C0">
        <w:rPr>
          <w:rFonts w:ascii="Arial" w:eastAsia="DengXian" w:hAnsi="Arial" w:cs="Arial"/>
          <w:sz w:val="22"/>
          <w:szCs w:val="22"/>
        </w:rPr>
        <w:t> </w:t>
      </w:r>
      <w:r w:rsidRPr="007F5F17">
        <w:rPr>
          <w:rFonts w:ascii="Arial" w:eastAsia="DengXian" w:hAnsi="Arial" w:cs="Arial"/>
          <w:sz w:val="22"/>
          <w:szCs w:val="22"/>
        </w:rPr>
        <w:t>CFR</w:t>
      </w:r>
      <w:r w:rsidRPr="007F5F17" w:rsidR="00E767C0">
        <w:rPr>
          <w:rFonts w:ascii="Arial" w:eastAsia="DengXian" w:hAnsi="Arial" w:cs="Arial"/>
          <w:sz w:val="22"/>
          <w:szCs w:val="22"/>
        </w:rPr>
        <w:t> </w:t>
      </w:r>
      <w:r w:rsidRPr="007F5F17">
        <w:rPr>
          <w:rFonts w:ascii="Arial" w:eastAsia="DengXian" w:hAnsi="Arial" w:cs="Arial"/>
          <w:sz w:val="22"/>
          <w:szCs w:val="22"/>
        </w:rPr>
        <w:t xml:space="preserve">50.55(e) for plants constructed under a 10 CFR Part 50 or </w:t>
      </w:r>
      <w:r w:rsidR="008E23CF">
        <w:rPr>
          <w:rFonts w:ascii="Arial" w:eastAsia="DengXian" w:hAnsi="Arial" w:cs="Arial"/>
          <w:sz w:val="22"/>
          <w:szCs w:val="22"/>
        </w:rPr>
        <w:t xml:space="preserve">10 CFR Part </w:t>
      </w:r>
      <w:r w:rsidRPr="007F5F17">
        <w:rPr>
          <w:rFonts w:ascii="Arial" w:eastAsia="DengXian" w:hAnsi="Arial" w:cs="Arial"/>
          <w:sz w:val="22"/>
          <w:szCs w:val="22"/>
        </w:rPr>
        <w:t xml:space="preserve">52 license. The document </w:t>
      </w:r>
      <w:r w:rsidRPr="007F5F17">
        <w:rPr>
          <w:rFonts w:ascii="Arial" w:eastAsia="DengXian" w:hAnsi="Arial" w:cs="Arial"/>
          <w:sz w:val="22"/>
          <w:szCs w:val="22"/>
        </w:rPr>
        <w:t xml:space="preserve">referred to in the comment </w:t>
      </w:r>
      <w:r w:rsidRPr="007F5F17" w:rsidR="00AC63A6">
        <w:rPr>
          <w:rFonts w:ascii="Arial" w:eastAsia="DengXian" w:hAnsi="Arial" w:cs="Arial"/>
          <w:sz w:val="22"/>
          <w:szCs w:val="22"/>
        </w:rPr>
        <w:t xml:space="preserve">and the statements within do not represent an NRC position. The document </w:t>
      </w:r>
      <w:r w:rsidRPr="007F5F17">
        <w:rPr>
          <w:rFonts w:ascii="Arial" w:eastAsia="DengXian" w:hAnsi="Arial" w:cs="Arial"/>
          <w:sz w:val="22"/>
          <w:szCs w:val="22"/>
        </w:rPr>
        <w:t>represented industry feedback on the draft regulatory basis to clarify 10 CFR Part 21, “Reporting of Defects and Noncompliance,” from December 2012 (ML12248A200). The rulemaking effort for which that draft regulatory basis was developed was ultimately terminated by the NRC.</w:t>
      </w:r>
    </w:p>
    <w:p w:rsidR="001F7BE1" w:rsidRPr="007F5F17" w:rsidP="007F5F17" w14:paraId="7821402D" w14:textId="77777777">
      <w:pPr>
        <w:spacing w:after="220"/>
        <w:rPr>
          <w:rFonts w:ascii="Arial" w:eastAsia="DengXian" w:hAnsi="Arial" w:cs="Arial"/>
          <w:sz w:val="22"/>
          <w:szCs w:val="22"/>
        </w:rPr>
      </w:pPr>
      <w:r w:rsidRPr="007F5F17">
        <w:rPr>
          <w:rFonts w:ascii="Arial" w:eastAsia="DengXian" w:hAnsi="Arial" w:cs="Arial"/>
          <w:sz w:val="22"/>
          <w:szCs w:val="22"/>
        </w:rPr>
        <w:t>Two key differences remain between the requirements of 10 CFR Part 21 and those in 10</w:t>
      </w:r>
      <w:r w:rsidR="004953B3">
        <w:rPr>
          <w:rFonts w:ascii="Arial" w:eastAsia="DengXian" w:hAnsi="Arial" w:cs="Arial"/>
          <w:sz w:val="22"/>
          <w:szCs w:val="22"/>
        </w:rPr>
        <w:t> </w:t>
      </w:r>
      <w:r w:rsidRPr="007F5F17">
        <w:rPr>
          <w:rFonts w:ascii="Arial" w:eastAsia="DengXian" w:hAnsi="Arial" w:cs="Arial"/>
          <w:sz w:val="22"/>
          <w:szCs w:val="22"/>
        </w:rPr>
        <w:t>CFR</w:t>
      </w:r>
      <w:r w:rsidR="004953B3">
        <w:rPr>
          <w:rFonts w:ascii="Arial" w:eastAsia="DengXian" w:hAnsi="Arial" w:cs="Arial"/>
          <w:sz w:val="22"/>
          <w:szCs w:val="22"/>
        </w:rPr>
        <w:t> </w:t>
      </w:r>
      <w:r w:rsidRPr="007F5F17">
        <w:rPr>
          <w:rFonts w:ascii="Arial" w:eastAsia="DengXian" w:hAnsi="Arial" w:cs="Arial"/>
          <w:sz w:val="22"/>
          <w:szCs w:val="22"/>
        </w:rPr>
        <w:t xml:space="preserve">50.55(e) and 10 CFR 53.605; namely, requirements to report a significant breakdown in any portion of the quality assurance program and requirements related to the holding of records by suppliers. Given the lack of construction experience for many of the potential commercial nuclear plants to be licensed under 10 CFR Part 53, as well as planned changes to the NRC’s construction oversight activities under the </w:t>
      </w:r>
      <w:r w:rsidRPr="007F5F17" w:rsidR="007D311D">
        <w:rPr>
          <w:rFonts w:ascii="Arial" w:eastAsia="DengXian" w:hAnsi="Arial" w:cs="Arial"/>
          <w:sz w:val="22"/>
          <w:szCs w:val="22"/>
        </w:rPr>
        <w:t>a</w:t>
      </w:r>
      <w:r w:rsidRPr="007F5F17">
        <w:rPr>
          <w:rFonts w:ascii="Arial" w:eastAsia="DengXian" w:hAnsi="Arial" w:cs="Arial"/>
          <w:sz w:val="22"/>
          <w:szCs w:val="22"/>
        </w:rPr>
        <w:t>gency’s Advanced Reactor Construction Oversight Program, the conclusions of the cited white paper may not be directly applicable to construction activities under 10 CFR Part 53. Inferences about their applicability cannot be made until sufficient experience is gained for reactors licensed under 10 CFR Part 53.</w:t>
      </w:r>
    </w:p>
    <w:p w:rsidR="00AC1417" w:rsidP="000615C1" w14:paraId="2EA7EB5F" w14:textId="77777777">
      <w:pPr>
        <w:spacing w:after="220"/>
        <w:rPr>
          <w:rFonts w:ascii="Arial" w:eastAsia="DengXian" w:hAnsi="Arial" w:cs="Arial"/>
          <w:sz w:val="22"/>
          <w:szCs w:val="22"/>
        </w:rPr>
      </w:pPr>
      <w:r w:rsidRPr="007F5F17">
        <w:rPr>
          <w:rFonts w:ascii="Arial" w:eastAsia="DengXian" w:hAnsi="Arial" w:cs="Arial"/>
          <w:sz w:val="22"/>
          <w:szCs w:val="22"/>
        </w:rPr>
        <w:t>Accordingly, the NRC did not change the rule language in response to this comment.</w:t>
      </w:r>
    </w:p>
    <w:p w:rsidR="00E8310B" w:rsidRPr="004732C7" w:rsidP="004732C7" w14:paraId="7AFD5A13"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54" style="width:0;height:1.5pt" o:hralign="center" o:hrstd="t" o:hrnoshade="t" o:hr="t" fillcolor="black" stroked="f"/>
        </w:pict>
      </w:r>
    </w:p>
    <w:p w:rsidR="00E8310B" w:rsidRPr="004732C7" w:rsidP="00D15F15" w14:paraId="64757E71" w14:textId="77777777">
      <w:pPr>
        <w:spacing w:after="220"/>
        <w:rPr>
          <w:rFonts w:ascii="Arial" w:eastAsia="DengXian" w:hAnsi="Arial" w:cs="Arial"/>
          <w:sz w:val="22"/>
          <w:szCs w:val="22"/>
        </w:rPr>
      </w:pPr>
      <w:r w:rsidRPr="004732C7">
        <w:rPr>
          <w:rFonts w:ascii="Arial" w:eastAsia="DengXian" w:hAnsi="Arial" w:cs="Arial"/>
          <w:b/>
          <w:sz w:val="22"/>
          <w:szCs w:val="22"/>
        </w:rPr>
        <w:t>Comment Bin 3.5.2.C:</w:t>
      </w:r>
      <w:r w:rsidRPr="004732C7">
        <w:rPr>
          <w:rFonts w:ascii="Arial" w:eastAsia="DengXian" w:hAnsi="Arial" w:cs="Arial"/>
          <w:sz w:val="22"/>
          <w:szCs w:val="22"/>
        </w:rPr>
        <w:t xml:space="preserve"> A commenter suggested deleting 10 CFR 53.610(a)(4), which requires procedures to evaluate and provide construction experience applicable for the planned and ongoing construction activities, as the NRC should not be regulating construction knowledge acquisition or construction efficiency, competitors may not openly share information, and there is neither time nor money to change already planned construction crew actions. With respect to the regulation of construction knowledge acquisition and construction efficiency, the commenter added that perhaps Congress could do this (</w:t>
      </w:r>
      <w:r w:rsidRPr="003F6DE5" w:rsidR="003F6DE5">
        <w:rPr>
          <w:rFonts w:ascii="Arial" w:eastAsia="Times New Roman" w:hAnsi="Arial" w:cs="Arial"/>
          <w:color w:val="000000"/>
          <w:sz w:val="22"/>
          <w:szCs w:val="22"/>
        </w:rPr>
        <w:t>TG6</w:t>
      </w:r>
      <w:r w:rsidRPr="003F6DE5">
        <w:rPr>
          <w:rFonts w:ascii="Arial" w:eastAsia="DengXian" w:hAnsi="Arial" w:cs="Arial"/>
          <w:sz w:val="22"/>
          <w:szCs w:val="22"/>
        </w:rPr>
        <w:t>-</w:t>
      </w:r>
      <w:r w:rsidRPr="004732C7">
        <w:rPr>
          <w:rFonts w:ascii="Arial" w:eastAsia="DengXian" w:hAnsi="Arial" w:cs="Arial"/>
          <w:sz w:val="22"/>
          <w:szCs w:val="22"/>
        </w:rPr>
        <w:t>0001).</w:t>
      </w:r>
    </w:p>
    <w:p w:rsidR="00E8310B" w:rsidRPr="004732C7" w:rsidP="004732C7" w14:paraId="0A80927D" w14:textId="77777777">
      <w:pPr>
        <w:spacing w:after="220"/>
        <w:rPr>
          <w:rFonts w:ascii="Arial" w:eastAsia="DengXian" w:hAnsi="Arial" w:cs="Arial"/>
          <w:sz w:val="22"/>
          <w:szCs w:val="22"/>
        </w:rPr>
      </w:pPr>
      <w:r w:rsidRPr="004732C7">
        <w:rPr>
          <w:rFonts w:ascii="Arial" w:eastAsia="DengXian" w:hAnsi="Arial" w:cs="Arial"/>
          <w:sz w:val="22"/>
          <w:szCs w:val="22"/>
        </w:rPr>
        <w:t>Meanwhile, a few commenters suggested removing 10 CFR 53.610 from the proposed rule entirely (</w:t>
      </w:r>
      <w:r w:rsidR="00D12FBC">
        <w:rPr>
          <w:rFonts w:ascii="Arial" w:eastAsia="DengXian" w:hAnsi="Arial" w:cs="Arial"/>
          <w:sz w:val="22"/>
          <w:szCs w:val="22"/>
        </w:rPr>
        <w:t>HPT24</w:t>
      </w:r>
      <w:r w:rsidRPr="004732C7">
        <w:rPr>
          <w:rFonts w:ascii="Arial" w:eastAsia="DengXian" w:hAnsi="Arial" w:cs="Arial"/>
          <w:sz w:val="22"/>
          <w:szCs w:val="22"/>
        </w:rPr>
        <w:t>-0001</w:t>
      </w:r>
      <w:r w:rsidR="00E005BC">
        <w:rPr>
          <w:rFonts w:ascii="Arial" w:eastAsia="DengXian" w:hAnsi="Arial" w:cs="Arial"/>
          <w:sz w:val="22"/>
          <w:szCs w:val="22"/>
        </w:rPr>
        <w:t>,</w:t>
      </w:r>
      <w:r w:rsidRPr="004732C7">
        <w:rPr>
          <w:rFonts w:ascii="Arial" w:eastAsia="DengXian" w:hAnsi="Arial" w:cs="Arial"/>
          <w:sz w:val="22"/>
          <w:szCs w:val="22"/>
        </w:rPr>
        <w:t xml:space="preserve"> </w:t>
      </w:r>
      <w:r w:rsidR="00D12FBC">
        <w:rPr>
          <w:rFonts w:ascii="Arial" w:eastAsia="DengXian" w:hAnsi="Arial" w:cs="Arial"/>
          <w:sz w:val="22"/>
          <w:szCs w:val="22"/>
        </w:rPr>
        <w:t>HPT24</w:t>
      </w:r>
      <w:r w:rsidRPr="004732C7">
        <w:rPr>
          <w:rFonts w:ascii="Arial" w:eastAsia="DengXian" w:hAnsi="Arial" w:cs="Arial"/>
          <w:sz w:val="22"/>
          <w:szCs w:val="22"/>
        </w:rPr>
        <w:t>-0002</w:t>
      </w:r>
      <w:r w:rsidR="00E005BC">
        <w:rPr>
          <w:rFonts w:ascii="Arial" w:eastAsia="DengXian" w:hAnsi="Arial" w:cs="Arial"/>
          <w:sz w:val="22"/>
          <w:szCs w:val="22"/>
        </w:rPr>
        <w:t>,</w:t>
      </w:r>
      <w:r w:rsidRPr="004732C7">
        <w:rPr>
          <w:rFonts w:ascii="Arial" w:eastAsia="DengXian" w:hAnsi="Arial" w:cs="Arial"/>
          <w:sz w:val="22"/>
          <w:szCs w:val="22"/>
        </w:rPr>
        <w:t xml:space="preserve"> </w:t>
      </w:r>
      <w:r w:rsidR="00D87876">
        <w:rPr>
          <w:rFonts w:ascii="Arial" w:eastAsia="DengXian" w:hAnsi="Arial" w:cs="Arial"/>
          <w:sz w:val="22"/>
          <w:szCs w:val="22"/>
        </w:rPr>
        <w:t>SCWG</w:t>
      </w:r>
      <w:r w:rsidRPr="004732C7">
        <w:rPr>
          <w:rFonts w:ascii="Arial" w:eastAsia="DengXian" w:hAnsi="Arial" w:cs="Arial"/>
          <w:sz w:val="22"/>
          <w:szCs w:val="22"/>
        </w:rPr>
        <w:t xml:space="preserve">-0016, </w:t>
      </w:r>
      <w:r w:rsidR="004C1A5D">
        <w:rPr>
          <w:rFonts w:ascii="Arial" w:hAnsi="Arial" w:cs="Arial"/>
          <w:sz w:val="22"/>
          <w:szCs w:val="22"/>
        </w:rPr>
        <w:t>BI1</w:t>
      </w:r>
      <w:r w:rsidRPr="004732C7">
        <w:rPr>
          <w:rFonts w:ascii="Arial" w:hAnsi="Arial" w:cs="Arial"/>
          <w:sz w:val="22"/>
          <w:szCs w:val="22"/>
        </w:rPr>
        <w:t>-0030</w:t>
      </w:r>
      <w:r w:rsidRPr="004732C7">
        <w:rPr>
          <w:rFonts w:ascii="Arial" w:eastAsia="DengXian" w:hAnsi="Arial" w:cs="Arial"/>
          <w:sz w:val="22"/>
          <w:szCs w:val="22"/>
        </w:rPr>
        <w:t xml:space="preserve">). One of the commenters questioned the NRC’s claims that these requirements generally reflect or are equivalent to requirements in current 10 CFR Part 50 and </w:t>
      </w:r>
      <w:r w:rsidR="00FC1129">
        <w:rPr>
          <w:rFonts w:ascii="Arial" w:eastAsia="DengXian" w:hAnsi="Arial" w:cs="Arial"/>
          <w:sz w:val="22"/>
          <w:szCs w:val="22"/>
        </w:rPr>
        <w:t xml:space="preserve">10 CFR Part </w:t>
      </w:r>
      <w:r w:rsidRPr="004732C7">
        <w:rPr>
          <w:rFonts w:ascii="Arial" w:eastAsia="DengXian" w:hAnsi="Arial" w:cs="Arial"/>
          <w:sz w:val="22"/>
          <w:szCs w:val="22"/>
        </w:rPr>
        <w:t>52 and characterized the entire section as disjointed with no logical reason for existing. The commenter provided feedback on specific provisions as follows (</w:t>
      </w:r>
      <w:r w:rsidR="00D12FBC">
        <w:rPr>
          <w:rFonts w:ascii="Arial" w:eastAsia="DengXian" w:hAnsi="Arial" w:cs="Arial"/>
          <w:sz w:val="22"/>
          <w:szCs w:val="22"/>
        </w:rPr>
        <w:t>HPT24</w:t>
      </w:r>
      <w:r w:rsidRPr="004732C7">
        <w:rPr>
          <w:rFonts w:ascii="Arial" w:eastAsia="DengXian" w:hAnsi="Arial" w:cs="Arial"/>
          <w:sz w:val="22"/>
          <w:szCs w:val="22"/>
        </w:rPr>
        <w:t>-0002):</w:t>
      </w:r>
    </w:p>
    <w:p w:rsidR="00E8310B" w:rsidRPr="004732C7" w:rsidP="004732C7" w14:paraId="01808C4C" w14:textId="77777777">
      <w:pPr>
        <w:numPr>
          <w:ilvl w:val="0"/>
          <w:numId w:val="11"/>
        </w:numPr>
        <w:spacing w:after="220"/>
        <w:rPr>
          <w:rFonts w:ascii="Arial" w:eastAsia="DengXian" w:hAnsi="Arial" w:cs="Arial"/>
          <w:sz w:val="22"/>
          <w:szCs w:val="22"/>
        </w:rPr>
      </w:pPr>
      <w:r w:rsidRPr="004732C7">
        <w:rPr>
          <w:rFonts w:ascii="Arial" w:eastAsia="DengXian" w:hAnsi="Arial" w:cs="Arial"/>
          <w:sz w:val="22"/>
          <w:szCs w:val="22"/>
        </w:rPr>
        <w:t xml:space="preserve">Paragraph (a) is unbounded, with no success criteria, which subjects the applicant to costly and unnecessary burdens from staff-determined “noncompliance”; the commenter warned that this approach is outside the law for reasoned decision-making, citing </w:t>
      </w:r>
      <w:r w:rsidRPr="004732C7">
        <w:rPr>
          <w:rFonts w:ascii="Arial" w:eastAsia="DengXian" w:hAnsi="Arial" w:cs="Arial"/>
          <w:i/>
          <w:sz w:val="22"/>
          <w:szCs w:val="22"/>
        </w:rPr>
        <w:t>Michigan v. EPA</w:t>
      </w:r>
      <w:r w:rsidRPr="004732C7">
        <w:rPr>
          <w:rFonts w:ascii="Arial" w:eastAsia="DengXian" w:hAnsi="Arial" w:cs="Arial"/>
          <w:sz w:val="22"/>
          <w:szCs w:val="22"/>
        </w:rPr>
        <w:t>, 576 U.S. 743, 750 (2015), and said it is unclear how this provision constitutes being “risk</w:t>
      </w:r>
      <w:r w:rsidR="00D61DAE">
        <w:rPr>
          <w:rFonts w:ascii="Arial" w:eastAsia="DengXian" w:hAnsi="Arial" w:cs="Arial"/>
          <w:sz w:val="22"/>
          <w:szCs w:val="22"/>
        </w:rPr>
        <w:t>-</w:t>
      </w:r>
      <w:r w:rsidRPr="004732C7">
        <w:rPr>
          <w:rFonts w:ascii="Arial" w:eastAsia="DengXian" w:hAnsi="Arial" w:cs="Arial"/>
          <w:sz w:val="22"/>
          <w:szCs w:val="22"/>
        </w:rPr>
        <w:t>informed” under NEIMA.</w:t>
      </w:r>
    </w:p>
    <w:p w:rsidR="00E8310B" w:rsidRPr="004732C7" w:rsidP="004732C7" w14:paraId="3B92ECA4" w14:textId="77777777">
      <w:pPr>
        <w:numPr>
          <w:ilvl w:val="0"/>
          <w:numId w:val="11"/>
        </w:numPr>
        <w:spacing w:after="220"/>
        <w:rPr>
          <w:rFonts w:ascii="Arial" w:eastAsia="DengXian" w:hAnsi="Arial" w:cs="Arial"/>
          <w:sz w:val="22"/>
          <w:szCs w:val="22"/>
        </w:rPr>
      </w:pPr>
      <w:r w:rsidRPr="004732C7">
        <w:rPr>
          <w:rFonts w:ascii="Arial" w:eastAsia="DengXian" w:hAnsi="Arial" w:cs="Arial"/>
          <w:sz w:val="22"/>
          <w:szCs w:val="22"/>
        </w:rPr>
        <w:t>Paragraph (b)(1)(i) involves SNM, which is covered by 10 CFR Part 73, and there is no compelling reason to augment that; in general, SNM cannot be stored in a facility that is not ready to fully accept and protect the material.</w:t>
      </w:r>
    </w:p>
    <w:p w:rsidR="00E8310B" w:rsidRPr="004732C7" w:rsidP="004732C7" w14:paraId="0E8D2FCA" w14:textId="77777777">
      <w:pPr>
        <w:numPr>
          <w:ilvl w:val="0"/>
          <w:numId w:val="11"/>
        </w:numPr>
        <w:spacing w:after="220"/>
        <w:rPr>
          <w:rFonts w:ascii="Arial" w:eastAsia="DengXian" w:hAnsi="Arial" w:cs="Arial"/>
          <w:sz w:val="22"/>
          <w:szCs w:val="22"/>
        </w:rPr>
      </w:pPr>
      <w:r w:rsidRPr="004732C7">
        <w:rPr>
          <w:rFonts w:ascii="Arial" w:eastAsia="DengXian" w:hAnsi="Arial" w:cs="Arial"/>
          <w:sz w:val="22"/>
          <w:szCs w:val="22"/>
        </w:rPr>
        <w:t xml:space="preserve">Paragraph (b)(1)(ii) should not be codified as these requirements are standard construction practices. As with paragraph (a), it is unbounded, with no success criteria, which subjects the applicant to costly and unnecessary burdens from staff-determined “noncompliance”; the commenter again warned that this approach is outside the law for reasoned decision-making, citing </w:t>
      </w:r>
      <w:r w:rsidRPr="004732C7">
        <w:rPr>
          <w:rFonts w:ascii="Arial" w:eastAsia="DengXian" w:hAnsi="Arial" w:cs="Arial"/>
          <w:i/>
          <w:sz w:val="22"/>
          <w:szCs w:val="22"/>
        </w:rPr>
        <w:t>Michigan v. EPA</w:t>
      </w:r>
      <w:r w:rsidRPr="004732C7">
        <w:rPr>
          <w:rFonts w:ascii="Arial" w:eastAsia="DengXian" w:hAnsi="Arial" w:cs="Arial"/>
          <w:sz w:val="22"/>
          <w:szCs w:val="22"/>
        </w:rPr>
        <w:t>.</w:t>
      </w:r>
    </w:p>
    <w:p w:rsidR="00E8310B" w:rsidRPr="004732C7" w:rsidP="004732C7" w14:paraId="596F2003" w14:textId="77777777">
      <w:pPr>
        <w:numPr>
          <w:ilvl w:val="0"/>
          <w:numId w:val="11"/>
        </w:numPr>
        <w:spacing w:after="220"/>
        <w:rPr>
          <w:rFonts w:ascii="Arial" w:eastAsia="DengXian" w:hAnsi="Arial" w:cs="Arial"/>
          <w:sz w:val="22"/>
          <w:szCs w:val="22"/>
        </w:rPr>
      </w:pPr>
      <w:r w:rsidRPr="004732C7">
        <w:rPr>
          <w:rFonts w:ascii="Arial" w:eastAsia="DengXian" w:hAnsi="Arial" w:cs="Arial"/>
          <w:sz w:val="22"/>
          <w:szCs w:val="22"/>
        </w:rPr>
        <w:t>Paragraph (b)(1)(iii) should not be codified as these requirements, too, are standard construction practices.</w:t>
      </w:r>
    </w:p>
    <w:p w:rsidR="00E8310B" w:rsidRPr="004732C7" w:rsidP="004732C7" w14:paraId="172C05CF" w14:textId="77777777">
      <w:pPr>
        <w:numPr>
          <w:ilvl w:val="0"/>
          <w:numId w:val="11"/>
        </w:numPr>
        <w:spacing w:after="220"/>
        <w:rPr>
          <w:rFonts w:ascii="Arial" w:eastAsia="DengXian" w:hAnsi="Arial" w:cs="Arial"/>
          <w:sz w:val="22"/>
          <w:szCs w:val="22"/>
        </w:rPr>
      </w:pPr>
      <w:r w:rsidRPr="004732C7">
        <w:rPr>
          <w:rFonts w:ascii="Arial" w:eastAsia="DengXian" w:hAnsi="Arial" w:cs="Arial"/>
          <w:sz w:val="22"/>
          <w:szCs w:val="22"/>
        </w:rPr>
        <w:t>Paragraph (c) involves inspections and tests covered by Appendix B to 10 CFR Part 50, start-up testing activities are subject to their own efforts generally associated with industry codes and standards, and the sections cross-referenced in paragraph (c)(2) (i.e., 10 CFR 53.1440 and 10 CFR 53.1387) have no analog in existing requirements.</w:t>
      </w:r>
    </w:p>
    <w:p w:rsidR="00E8310B" w:rsidRPr="004732C7" w:rsidP="004732C7" w14:paraId="0EE78D33" w14:textId="77777777">
      <w:pPr>
        <w:spacing w:after="220"/>
        <w:rPr>
          <w:rFonts w:ascii="Arial" w:eastAsia="Times New Roman" w:hAnsi="Arial" w:cs="Arial"/>
          <w:color w:val="000000"/>
          <w:sz w:val="22"/>
          <w:szCs w:val="22"/>
          <w:lang w:eastAsia="zh-CN"/>
        </w:rPr>
      </w:pPr>
      <w:r w:rsidRPr="004732C7">
        <w:rPr>
          <w:rFonts w:ascii="Arial" w:eastAsia="DengXian" w:hAnsi="Arial" w:cs="Arial"/>
          <w:sz w:val="22"/>
          <w:szCs w:val="22"/>
        </w:rPr>
        <w:t>Multiple commenters suggested using the existing quality assurance framework under Appendix</w:t>
      </w:r>
      <w:r w:rsidR="006748E0">
        <w:rPr>
          <w:rFonts w:ascii="Arial" w:eastAsia="DengXian" w:hAnsi="Arial" w:cs="Arial"/>
          <w:sz w:val="22"/>
          <w:szCs w:val="22"/>
        </w:rPr>
        <w:t> </w:t>
      </w:r>
      <w:r w:rsidRPr="004732C7">
        <w:rPr>
          <w:rFonts w:ascii="Arial" w:eastAsia="DengXian" w:hAnsi="Arial" w:cs="Arial"/>
          <w:sz w:val="22"/>
          <w:szCs w:val="22"/>
        </w:rPr>
        <w:t>B to avoid duplicative requirements and supply chain inefficiencies. The commenters also encouraged the NRC to consider accepting alternative quality assurance programs (e.g., internationally recognized standards like ISO 9001) if they meet the necessary safety and reliability criteria, saying this approach would enhance international alignment and maintain regulatory consistency without compromising safety. The commenters added that existing quality assurance requirements under 10</w:t>
      </w:r>
      <w:r w:rsidRPr="004732C7" w:rsidR="00E8697D">
        <w:rPr>
          <w:rFonts w:ascii="Arial" w:eastAsia="DengXian" w:hAnsi="Arial" w:cs="Arial"/>
          <w:sz w:val="22"/>
          <w:szCs w:val="22"/>
        </w:rPr>
        <w:t> </w:t>
      </w:r>
      <w:r w:rsidRPr="004732C7">
        <w:rPr>
          <w:rFonts w:ascii="Arial" w:eastAsia="DengXian" w:hAnsi="Arial" w:cs="Arial"/>
          <w:sz w:val="22"/>
          <w:szCs w:val="22"/>
        </w:rPr>
        <w:t>CFR Part 50 and 10 CFR Part 52 should be transferable to 10 CFR Part 53 (</w:t>
      </w:r>
      <w:r w:rsidR="00D87876">
        <w:rPr>
          <w:rFonts w:ascii="Arial" w:eastAsia="DengXian" w:hAnsi="Arial" w:cs="Arial"/>
          <w:sz w:val="22"/>
          <w:szCs w:val="22"/>
        </w:rPr>
        <w:t>SCWG</w:t>
      </w:r>
      <w:r w:rsidRPr="004732C7">
        <w:rPr>
          <w:rFonts w:ascii="Arial" w:eastAsia="DengXian" w:hAnsi="Arial" w:cs="Arial"/>
          <w:sz w:val="22"/>
          <w:szCs w:val="22"/>
        </w:rPr>
        <w:t xml:space="preserve">-0016, </w:t>
      </w:r>
      <w:r w:rsidR="004C1A5D">
        <w:rPr>
          <w:rFonts w:ascii="Arial" w:hAnsi="Arial" w:cs="Arial"/>
          <w:sz w:val="22"/>
          <w:szCs w:val="22"/>
        </w:rPr>
        <w:t>BI1</w:t>
      </w:r>
      <w:r w:rsidRPr="004732C7">
        <w:rPr>
          <w:rFonts w:ascii="Arial" w:hAnsi="Arial" w:cs="Arial"/>
          <w:sz w:val="22"/>
          <w:szCs w:val="22"/>
        </w:rPr>
        <w:t>-0030</w:t>
      </w:r>
      <w:r w:rsidRPr="004732C7">
        <w:rPr>
          <w:rFonts w:ascii="Arial" w:eastAsia="DengXian" w:hAnsi="Arial" w:cs="Arial"/>
          <w:sz w:val="22"/>
          <w:szCs w:val="22"/>
        </w:rPr>
        <w:t>).</w:t>
      </w:r>
    </w:p>
    <w:p w:rsidR="00E8310B" w:rsidRPr="004732C7" w:rsidP="004732C7" w14:paraId="64209D70" w14:textId="77777777">
      <w:pPr>
        <w:spacing w:after="220"/>
        <w:rPr>
          <w:rFonts w:ascii="Arial" w:eastAsia="DengXian" w:hAnsi="Arial" w:cs="Arial"/>
          <w:sz w:val="22"/>
          <w:szCs w:val="22"/>
        </w:rPr>
      </w:pPr>
      <w:r w:rsidRPr="004732C7">
        <w:rPr>
          <w:rFonts w:ascii="Arial" w:eastAsia="DengXian" w:hAnsi="Arial" w:cs="Arial"/>
          <w:b/>
          <w:sz w:val="22"/>
          <w:szCs w:val="22"/>
        </w:rPr>
        <w:t>NRC Response:</w:t>
      </w:r>
      <w:r w:rsidRPr="004732C7">
        <w:rPr>
          <w:rFonts w:ascii="Arial" w:eastAsia="DengXian" w:hAnsi="Arial" w:cs="Arial"/>
          <w:sz w:val="22"/>
          <w:szCs w:val="22"/>
        </w:rPr>
        <w:t xml:space="preserve"> The NRC disagrees with these comments.</w:t>
      </w:r>
    </w:p>
    <w:p w:rsidR="00E8310B" w:rsidRPr="004732C7" w:rsidP="004732C7" w14:paraId="5244CF91" w14:textId="77777777">
      <w:pPr>
        <w:spacing w:after="220"/>
        <w:rPr>
          <w:rFonts w:ascii="Arial" w:eastAsia="DengXian" w:hAnsi="Arial" w:cs="Arial"/>
          <w:sz w:val="22"/>
          <w:szCs w:val="22"/>
        </w:rPr>
      </w:pPr>
      <w:r w:rsidRPr="004732C7">
        <w:rPr>
          <w:rFonts w:ascii="Arial" w:eastAsia="DengXian" w:hAnsi="Arial" w:cs="Arial"/>
          <w:sz w:val="22"/>
          <w:szCs w:val="22"/>
        </w:rPr>
        <w:t>The requirements within 10 CFR Part 53 to evaluate the applicability of other national and international experiences related to design, construction, and operation reflect lessons learned from past successes and failures to develop and deploy nuclear power plants. The specific requirement in 10 CFR 53.610(a)(4) mirrors the requirements introduced into 10 CFR Part 50 following the accident at Three Mile Island.</w:t>
      </w:r>
    </w:p>
    <w:p w:rsidR="00E8310B" w:rsidRPr="004732C7" w:rsidP="004732C7" w14:paraId="34DBCD83" w14:textId="77777777">
      <w:pPr>
        <w:spacing w:after="220"/>
        <w:rPr>
          <w:rFonts w:ascii="Arial" w:eastAsia="DengXian" w:hAnsi="Arial" w:cs="Arial"/>
          <w:sz w:val="22"/>
          <w:szCs w:val="22"/>
        </w:rPr>
      </w:pPr>
      <w:r w:rsidRPr="004732C7">
        <w:rPr>
          <w:rFonts w:ascii="Arial" w:eastAsia="DengXian" w:hAnsi="Arial" w:cs="Arial"/>
          <w:sz w:val="22"/>
          <w:szCs w:val="22"/>
        </w:rPr>
        <w:t>Regarding the parts of the comment related to the general topics of NRC regulations covering construction activities, the proposed and final rules explained the overall structure of 10</w:t>
      </w:r>
      <w:r w:rsidR="006748E0">
        <w:rPr>
          <w:rFonts w:ascii="Arial" w:eastAsia="DengXian" w:hAnsi="Arial" w:cs="Arial"/>
          <w:sz w:val="22"/>
          <w:szCs w:val="22"/>
        </w:rPr>
        <w:t> </w:t>
      </w:r>
      <w:r w:rsidRPr="004732C7">
        <w:rPr>
          <w:rFonts w:ascii="Arial" w:eastAsia="DengXian" w:hAnsi="Arial" w:cs="Arial"/>
          <w:sz w:val="22"/>
          <w:szCs w:val="22"/>
        </w:rPr>
        <w:t>CFR</w:t>
      </w:r>
      <w:r w:rsidR="006748E0">
        <w:rPr>
          <w:rFonts w:ascii="Arial" w:eastAsia="DengXian" w:hAnsi="Arial" w:cs="Arial"/>
          <w:sz w:val="22"/>
          <w:szCs w:val="22"/>
        </w:rPr>
        <w:t> </w:t>
      </w:r>
      <w:r w:rsidRPr="004732C7">
        <w:rPr>
          <w:rFonts w:ascii="Arial" w:eastAsia="DengXian" w:hAnsi="Arial" w:cs="Arial"/>
          <w:sz w:val="22"/>
          <w:szCs w:val="22"/>
        </w:rPr>
        <w:t>Part 53 and the systems engineering type approach of having requirements addressing the various stages of a project life cycle. The construction requirements in Subpart E of 10</w:t>
      </w:r>
      <w:r w:rsidR="00705649">
        <w:rPr>
          <w:rFonts w:ascii="Arial" w:eastAsia="DengXian" w:hAnsi="Arial" w:cs="Arial"/>
          <w:sz w:val="22"/>
          <w:szCs w:val="22"/>
        </w:rPr>
        <w:t> </w:t>
      </w:r>
      <w:r w:rsidRPr="004732C7">
        <w:rPr>
          <w:rFonts w:ascii="Arial" w:eastAsia="DengXian" w:hAnsi="Arial" w:cs="Arial"/>
          <w:sz w:val="22"/>
          <w:szCs w:val="22"/>
        </w:rPr>
        <w:t>CFR</w:t>
      </w:r>
      <w:r w:rsidR="00705649">
        <w:rPr>
          <w:rFonts w:ascii="Arial" w:eastAsia="DengXian" w:hAnsi="Arial" w:cs="Arial"/>
          <w:sz w:val="22"/>
          <w:szCs w:val="22"/>
        </w:rPr>
        <w:t> </w:t>
      </w:r>
      <w:r w:rsidRPr="004732C7">
        <w:rPr>
          <w:rFonts w:ascii="Arial" w:eastAsia="DengXian" w:hAnsi="Arial" w:cs="Arial"/>
          <w:sz w:val="22"/>
          <w:szCs w:val="22"/>
        </w:rPr>
        <w:t>Part 53 are an important part of implementing the design and programmatic requirements identified from the design process and analyses under Subpart C of 10 CFR Part 53. The NRC disagrees with the premise that Subpart</w:t>
      </w:r>
      <w:r w:rsidRPr="004732C7" w:rsidR="00E8697D">
        <w:rPr>
          <w:rFonts w:ascii="Arial" w:eastAsia="DengXian" w:hAnsi="Arial" w:cs="Arial"/>
          <w:sz w:val="22"/>
          <w:szCs w:val="22"/>
        </w:rPr>
        <w:t> </w:t>
      </w:r>
      <w:r w:rsidRPr="004732C7">
        <w:rPr>
          <w:rFonts w:ascii="Arial" w:eastAsia="DengXian" w:hAnsi="Arial" w:cs="Arial"/>
          <w:sz w:val="22"/>
          <w:szCs w:val="22"/>
        </w:rPr>
        <w:t>E to 10 CFR Part 53 does not reflect the risk-informed and performance-based approaches that are provided by the integration of these concepts throughout the various subparts or that the construction phase of a project need not be addressed within the regulations.</w:t>
      </w:r>
    </w:p>
    <w:p w:rsidR="00E8310B" w:rsidRPr="004732C7" w:rsidP="004732C7" w14:paraId="6F67DA47" w14:textId="77777777">
      <w:pPr>
        <w:spacing w:after="220"/>
        <w:rPr>
          <w:rFonts w:ascii="Arial" w:eastAsia="DengXian" w:hAnsi="Arial" w:cs="Arial"/>
          <w:sz w:val="22"/>
          <w:szCs w:val="22"/>
        </w:rPr>
      </w:pPr>
      <w:r w:rsidRPr="004732C7">
        <w:rPr>
          <w:rFonts w:ascii="Arial" w:eastAsia="DengXian" w:hAnsi="Arial" w:cs="Arial"/>
          <w:sz w:val="22"/>
          <w:szCs w:val="22"/>
        </w:rPr>
        <w:t>Regarding the references to other regulations such as those in 10 CFR 73, the NRC agrees in part that such requirements need not be duplicated but has maintained the references in the final rule to help stakeholders identify and understand the interrelationships among various NRC regulations. The NRC disagrees that requirements under 10 CFR 53.610 are simply duplicative of the quality assurance requirements of Appendix B to 10 CFR Part 50. As explained in Section</w:t>
      </w:r>
      <w:r w:rsidR="00802661">
        <w:rPr>
          <w:rFonts w:ascii="Arial" w:eastAsia="DengXian" w:hAnsi="Arial" w:cs="Arial"/>
          <w:sz w:val="22"/>
          <w:szCs w:val="22"/>
        </w:rPr>
        <w:t> </w:t>
      </w:r>
      <w:r w:rsidRPr="004732C7">
        <w:rPr>
          <w:rFonts w:ascii="Arial" w:eastAsia="DengXian" w:hAnsi="Arial" w:cs="Arial"/>
          <w:sz w:val="22"/>
          <w:szCs w:val="22"/>
        </w:rPr>
        <w:t xml:space="preserve">IV, “Part 53 Framework,” of the </w:t>
      </w:r>
      <w:r w:rsidR="005E359A">
        <w:rPr>
          <w:rFonts w:ascii="Arial" w:eastAsia="DengXian" w:hAnsi="Arial" w:cs="Arial"/>
          <w:sz w:val="22"/>
          <w:szCs w:val="22"/>
        </w:rPr>
        <w:t>FRN</w:t>
      </w:r>
      <w:r w:rsidRPr="004732C7">
        <w:rPr>
          <w:rFonts w:ascii="Arial" w:eastAsia="DengXian" w:hAnsi="Arial" w:cs="Arial"/>
          <w:sz w:val="22"/>
          <w:szCs w:val="22"/>
        </w:rPr>
        <w:t>, the requirements of 10 CFR 53.610 are also needed to address potential special treatment of non</w:t>
      </w:r>
      <w:r w:rsidR="0061204D">
        <w:rPr>
          <w:rFonts w:ascii="Arial" w:eastAsia="DengXian" w:hAnsi="Arial" w:cs="Arial"/>
          <w:sz w:val="22"/>
          <w:szCs w:val="22"/>
        </w:rPr>
        <w:noBreakHyphen/>
      </w:r>
      <w:r w:rsidRPr="004732C7">
        <w:rPr>
          <w:rFonts w:ascii="Arial" w:eastAsia="DengXian" w:hAnsi="Arial" w:cs="Arial"/>
          <w:sz w:val="22"/>
          <w:szCs w:val="22"/>
        </w:rPr>
        <w:t>safety</w:t>
      </w:r>
      <w:r w:rsidR="0061204D">
        <w:rPr>
          <w:rFonts w:ascii="Arial" w:eastAsia="DengXian" w:hAnsi="Arial" w:cs="Arial"/>
          <w:sz w:val="22"/>
          <w:szCs w:val="22"/>
        </w:rPr>
        <w:noBreakHyphen/>
      </w:r>
      <w:r w:rsidRPr="004732C7">
        <w:rPr>
          <w:rFonts w:ascii="Arial" w:eastAsia="DengXian" w:hAnsi="Arial" w:cs="Arial"/>
          <w:sz w:val="22"/>
          <w:szCs w:val="22"/>
        </w:rPr>
        <w:t>related but safety</w:t>
      </w:r>
      <w:r w:rsidR="00EE6930">
        <w:rPr>
          <w:rFonts w:ascii="Arial" w:eastAsia="DengXian" w:hAnsi="Arial" w:cs="Arial"/>
          <w:sz w:val="22"/>
          <w:szCs w:val="22"/>
        </w:rPr>
        <w:noBreakHyphen/>
      </w:r>
      <w:r w:rsidRPr="004732C7">
        <w:rPr>
          <w:rFonts w:ascii="Arial" w:eastAsia="DengXian" w:hAnsi="Arial" w:cs="Arial"/>
          <w:sz w:val="22"/>
          <w:szCs w:val="22"/>
        </w:rPr>
        <w:t xml:space="preserve">significant (NSRSS) SSCs (see also response to Comment </w:t>
      </w:r>
      <w:r w:rsidRPr="004732C7" w:rsidR="00990F58">
        <w:rPr>
          <w:rFonts w:ascii="Arial" w:eastAsia="DengXian" w:hAnsi="Arial" w:cs="Arial"/>
          <w:sz w:val="22"/>
          <w:szCs w:val="22"/>
        </w:rPr>
        <w:t>Bin 3</w:t>
      </w:r>
      <w:r w:rsidRPr="004732C7" w:rsidR="001A785A">
        <w:rPr>
          <w:rFonts w:ascii="Arial" w:eastAsia="DengXian" w:hAnsi="Arial" w:cs="Arial"/>
          <w:sz w:val="22"/>
          <w:szCs w:val="22"/>
        </w:rPr>
        <w:t>.5.3.A</w:t>
      </w:r>
      <w:r w:rsidRPr="004732C7">
        <w:rPr>
          <w:rFonts w:ascii="Arial" w:eastAsia="DengXian" w:hAnsi="Arial" w:cs="Arial"/>
          <w:sz w:val="22"/>
          <w:szCs w:val="22"/>
        </w:rPr>
        <w:t>).</w:t>
      </w:r>
    </w:p>
    <w:p w:rsidR="00E8310B" w:rsidRPr="004732C7" w:rsidP="004732C7" w14:paraId="7E2DBEC4" w14:textId="77777777">
      <w:pPr>
        <w:spacing w:after="220"/>
        <w:rPr>
          <w:rFonts w:ascii="Arial" w:eastAsia="DengXian" w:hAnsi="Arial" w:cs="Arial"/>
          <w:sz w:val="22"/>
          <w:szCs w:val="22"/>
        </w:rPr>
      </w:pPr>
      <w:r w:rsidRPr="004732C7">
        <w:rPr>
          <w:rFonts w:ascii="Arial" w:eastAsia="DengXian" w:hAnsi="Arial" w:cs="Arial"/>
          <w:sz w:val="22"/>
          <w:szCs w:val="22"/>
        </w:rPr>
        <w:t xml:space="preserve">Regarding the </w:t>
      </w:r>
      <w:r w:rsidRPr="004732C7" w:rsidR="00362B1F">
        <w:rPr>
          <w:rFonts w:ascii="Arial" w:eastAsia="DengXian" w:hAnsi="Arial" w:cs="Arial"/>
          <w:sz w:val="22"/>
          <w:szCs w:val="22"/>
        </w:rPr>
        <w:t>statement</w:t>
      </w:r>
      <w:r w:rsidRPr="004732C7">
        <w:rPr>
          <w:rFonts w:ascii="Arial" w:eastAsia="DengXian" w:hAnsi="Arial" w:cs="Arial"/>
          <w:sz w:val="22"/>
          <w:szCs w:val="22"/>
        </w:rPr>
        <w:t xml:space="preserve"> on the need for 10 CFR 53.610(b)(1)(ii), the NRC disagrees that it is inappropriate for regulations to address prudent measures related to possible interactions between construction activities and collocated operating commercial nuclear reactors. The requirement is equivalent to the regulation in 10</w:t>
      </w:r>
      <w:r w:rsidRPr="004732C7" w:rsidR="00362B1F">
        <w:rPr>
          <w:rFonts w:ascii="Arial" w:eastAsia="DengXian" w:hAnsi="Arial" w:cs="Arial"/>
          <w:sz w:val="22"/>
          <w:szCs w:val="22"/>
        </w:rPr>
        <w:t> </w:t>
      </w:r>
      <w:r w:rsidRPr="004732C7">
        <w:rPr>
          <w:rFonts w:ascii="Arial" w:eastAsia="DengXian" w:hAnsi="Arial" w:cs="Arial"/>
          <w:sz w:val="22"/>
          <w:szCs w:val="22"/>
        </w:rPr>
        <w:t>CFR</w:t>
      </w:r>
      <w:r w:rsidRPr="004732C7" w:rsidR="00362B1F">
        <w:rPr>
          <w:rFonts w:ascii="Arial" w:eastAsia="DengXian" w:hAnsi="Arial" w:cs="Arial"/>
          <w:sz w:val="22"/>
          <w:szCs w:val="22"/>
        </w:rPr>
        <w:t> </w:t>
      </w:r>
      <w:r w:rsidRPr="004732C7">
        <w:rPr>
          <w:rFonts w:ascii="Arial" w:eastAsia="DengXian" w:hAnsi="Arial" w:cs="Arial"/>
          <w:sz w:val="22"/>
          <w:szCs w:val="22"/>
        </w:rPr>
        <w:t>52.79(a)(31).</w:t>
      </w:r>
    </w:p>
    <w:p w:rsidR="00E8310B" w:rsidRPr="004732C7" w:rsidP="004732C7" w14:paraId="3BFC517A" w14:textId="77777777">
      <w:pPr>
        <w:spacing w:after="220"/>
        <w:rPr>
          <w:rFonts w:ascii="Arial" w:eastAsia="DengXian" w:hAnsi="Arial" w:cs="Arial"/>
          <w:sz w:val="22"/>
          <w:szCs w:val="22"/>
        </w:rPr>
      </w:pPr>
      <w:r w:rsidRPr="004732C7">
        <w:rPr>
          <w:rFonts w:ascii="Arial" w:eastAsia="DengXian" w:hAnsi="Arial" w:cs="Arial"/>
          <w:sz w:val="22"/>
          <w:szCs w:val="22"/>
        </w:rPr>
        <w:t xml:space="preserve">Regarding the comment on 10 CFR 610.(b)(1)(iii), the NRC disagrees that the requirement is not needed insofar as it was added to address problems encountered with past construction </w:t>
      </w:r>
      <w:r w:rsidRPr="004732C7">
        <w:rPr>
          <w:rFonts w:ascii="Arial" w:eastAsia="DengXian" w:hAnsi="Arial" w:cs="Arial"/>
          <w:sz w:val="22"/>
          <w:szCs w:val="22"/>
        </w:rPr>
        <w:t xml:space="preserve">projects and related licensing issues on whether preconstruction activities such as installing dewatering systems trigger the need for a </w:t>
      </w:r>
      <w:r w:rsidR="00AA119A">
        <w:rPr>
          <w:rFonts w:ascii="Arial" w:eastAsia="DengXian" w:hAnsi="Arial" w:cs="Arial"/>
          <w:sz w:val="22"/>
          <w:szCs w:val="22"/>
        </w:rPr>
        <w:t>CP</w:t>
      </w:r>
      <w:r w:rsidRPr="004732C7">
        <w:rPr>
          <w:rFonts w:ascii="Arial" w:eastAsia="DengXian" w:hAnsi="Arial" w:cs="Arial"/>
          <w:sz w:val="22"/>
          <w:szCs w:val="22"/>
        </w:rPr>
        <w:t xml:space="preserve"> permit or a finding under 10</w:t>
      </w:r>
      <w:r w:rsidR="0090162B">
        <w:rPr>
          <w:rFonts w:ascii="Arial" w:eastAsia="DengXian" w:hAnsi="Arial" w:cs="Arial"/>
          <w:sz w:val="22"/>
          <w:szCs w:val="22"/>
        </w:rPr>
        <w:t> </w:t>
      </w:r>
      <w:r w:rsidRPr="004732C7">
        <w:rPr>
          <w:rFonts w:ascii="Arial" w:eastAsia="DengXian" w:hAnsi="Arial" w:cs="Arial"/>
          <w:sz w:val="22"/>
          <w:szCs w:val="22"/>
        </w:rPr>
        <w:t>CFR</w:t>
      </w:r>
      <w:r w:rsidR="0090162B">
        <w:rPr>
          <w:rFonts w:ascii="Arial" w:eastAsia="DengXian" w:hAnsi="Arial" w:cs="Arial"/>
          <w:sz w:val="22"/>
          <w:szCs w:val="22"/>
        </w:rPr>
        <w:t> </w:t>
      </w:r>
      <w:r w:rsidRPr="004732C7">
        <w:rPr>
          <w:rFonts w:ascii="Arial" w:eastAsia="DengXian" w:hAnsi="Arial" w:cs="Arial"/>
          <w:sz w:val="22"/>
          <w:szCs w:val="22"/>
        </w:rPr>
        <w:t xml:space="preserve">53.1452(g) (see also </w:t>
      </w:r>
      <w:r w:rsidR="003432AE">
        <w:rPr>
          <w:rFonts w:ascii="Arial" w:eastAsia="DengXian" w:hAnsi="Arial" w:cs="Arial"/>
          <w:sz w:val="22"/>
          <w:szCs w:val="22"/>
        </w:rPr>
        <w:t xml:space="preserve">the NRC’s </w:t>
      </w:r>
      <w:r w:rsidRPr="004732C7">
        <w:rPr>
          <w:rFonts w:ascii="Arial" w:eastAsia="DengXian" w:hAnsi="Arial" w:cs="Arial"/>
          <w:sz w:val="22"/>
          <w:szCs w:val="22"/>
        </w:rPr>
        <w:t xml:space="preserve">response to Comment </w:t>
      </w:r>
      <w:r w:rsidRPr="003432AE" w:rsidR="003432AE">
        <w:rPr>
          <w:rFonts w:ascii="Arial" w:eastAsia="DengXian" w:hAnsi="Arial" w:cs="Arial"/>
          <w:sz w:val="22"/>
          <w:szCs w:val="22"/>
        </w:rPr>
        <w:t>Bin 3.5.3.A</w:t>
      </w:r>
      <w:r w:rsidRPr="004732C7">
        <w:rPr>
          <w:rFonts w:ascii="Arial" w:eastAsia="DengXian" w:hAnsi="Arial" w:cs="Arial"/>
          <w:sz w:val="22"/>
          <w:szCs w:val="22"/>
        </w:rPr>
        <w:t>).</w:t>
      </w:r>
    </w:p>
    <w:p w:rsidR="00E8310B" w:rsidP="004732C7" w14:paraId="59CE7AED" w14:textId="77777777">
      <w:pPr>
        <w:spacing w:after="220"/>
        <w:rPr>
          <w:rFonts w:ascii="Arial" w:eastAsia="DengXian" w:hAnsi="Arial" w:cs="Arial"/>
          <w:sz w:val="22"/>
          <w:szCs w:val="22"/>
        </w:rPr>
      </w:pPr>
      <w:r w:rsidRPr="004732C7">
        <w:rPr>
          <w:rFonts w:ascii="Arial" w:eastAsia="DengXian" w:hAnsi="Arial" w:cs="Arial"/>
          <w:sz w:val="22"/>
          <w:szCs w:val="22"/>
        </w:rPr>
        <w:t>Accordingly, the NRC did not change the rule language in response to these comments.</w:t>
      </w:r>
    </w:p>
    <w:p w:rsidR="008737FC" w:rsidRPr="004732C7" w:rsidP="004732C7" w14:paraId="614ECC7C"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55" style="width:0;height:1.5pt" o:hralign="center" o:hrstd="t" o:hrnoshade="t" o:hr="t" fillcolor="black" stroked="f"/>
        </w:pict>
      </w:r>
    </w:p>
    <w:p w:rsidR="008737FC" w:rsidRPr="00063205" w:rsidP="004732C7" w14:paraId="27078A97" w14:textId="77777777">
      <w:pPr>
        <w:spacing w:after="220"/>
        <w:rPr>
          <w:rFonts w:ascii="Arial" w:eastAsia="Times New Roman" w:hAnsi="Arial" w:cs="Arial"/>
          <w:color w:val="000000"/>
          <w:sz w:val="22"/>
          <w:szCs w:val="22"/>
          <w:lang w:eastAsia="zh-CN"/>
        </w:rPr>
      </w:pPr>
      <w:r w:rsidRPr="00063205">
        <w:rPr>
          <w:rFonts w:ascii="Arial" w:eastAsia="DengXian" w:hAnsi="Arial" w:cs="Arial"/>
          <w:b/>
          <w:sz w:val="22"/>
          <w:szCs w:val="22"/>
        </w:rPr>
        <w:t>Comment Bin 3.5.2.D:</w:t>
      </w:r>
      <w:r w:rsidRPr="00063205">
        <w:rPr>
          <w:rFonts w:ascii="Arial" w:eastAsia="DengXian" w:hAnsi="Arial" w:cs="Arial"/>
          <w:sz w:val="22"/>
          <w:szCs w:val="22"/>
        </w:rPr>
        <w:t xml:space="preserve"> Citing 10 CFR 53.610(a)(6)(ii), which requires appropriate programmatic controls to provide special treatment for NSRSS SSCs, a commenter shared their understanding that the standard practice in construction is to build an item according to the plans, drawings, codes, and standards of the agreed-upon issue date. If those requirements are met, the commenter said, then the item is acceptable, and if they are not met, then you may need to remove the non</w:t>
      </w:r>
      <w:r w:rsidRPr="00063205">
        <w:rPr>
          <w:rFonts w:ascii="Arial" w:eastAsia="DengXian" w:hAnsi="Arial" w:cs="Arial"/>
          <w:sz w:val="22"/>
          <w:szCs w:val="22"/>
        </w:rPr>
        <w:noBreakHyphen/>
        <w:t xml:space="preserve">compliant item and try again, sometimes at your own expense. Given that, the commenter questioned when there would be a need for “special treatment” </w:t>
      </w:r>
      <w:r w:rsidR="003E4F40">
        <w:rPr>
          <w:rFonts w:ascii="Arial" w:eastAsia="DengXian" w:hAnsi="Arial" w:cs="Arial"/>
          <w:sz w:val="22"/>
          <w:szCs w:val="22"/>
        </w:rPr>
        <w:br/>
      </w:r>
      <w:r w:rsidRPr="00063205">
        <w:rPr>
          <w:rFonts w:ascii="Arial" w:eastAsia="DengXian" w:hAnsi="Arial" w:cs="Arial"/>
          <w:sz w:val="22"/>
          <w:szCs w:val="22"/>
        </w:rPr>
        <w:t>(</w:t>
      </w:r>
      <w:r w:rsidRPr="00994DF5" w:rsidR="00994DF5">
        <w:rPr>
          <w:rFonts w:ascii="Arial" w:eastAsia="Times New Roman" w:hAnsi="Arial" w:cs="Arial"/>
          <w:color w:val="000000"/>
          <w:sz w:val="22"/>
          <w:szCs w:val="22"/>
        </w:rPr>
        <w:t>TG7</w:t>
      </w:r>
      <w:r w:rsidRPr="00994DF5">
        <w:rPr>
          <w:rFonts w:ascii="Arial" w:eastAsia="DengXian" w:hAnsi="Arial" w:cs="Arial"/>
          <w:sz w:val="22"/>
          <w:szCs w:val="22"/>
        </w:rPr>
        <w:t>-0</w:t>
      </w:r>
      <w:r w:rsidRPr="00063205">
        <w:rPr>
          <w:rFonts w:ascii="Arial" w:eastAsia="DengXian" w:hAnsi="Arial" w:cs="Arial"/>
          <w:sz w:val="22"/>
          <w:szCs w:val="22"/>
        </w:rPr>
        <w:t>001).</w:t>
      </w:r>
    </w:p>
    <w:p w:rsidR="00F668EE" w:rsidRPr="00A27ADE" w:rsidP="004732C7" w14:paraId="675C78A7" w14:textId="77777777">
      <w:pPr>
        <w:spacing w:after="220"/>
        <w:rPr>
          <w:rFonts w:ascii="Arial" w:eastAsia="DengXian" w:hAnsi="Arial" w:cs="Arial"/>
          <w:sz w:val="22"/>
          <w:szCs w:val="22"/>
        </w:rPr>
      </w:pPr>
      <w:r w:rsidRPr="00A27ADE">
        <w:rPr>
          <w:rFonts w:ascii="Arial" w:eastAsia="DengXian" w:hAnsi="Arial" w:cs="Arial"/>
          <w:b/>
          <w:sz w:val="22"/>
          <w:szCs w:val="22"/>
        </w:rPr>
        <w:t>NRC Response:</w:t>
      </w:r>
      <w:r w:rsidRPr="00A27ADE">
        <w:rPr>
          <w:rFonts w:ascii="Arial" w:eastAsia="DengXian" w:hAnsi="Arial" w:cs="Arial"/>
          <w:sz w:val="22"/>
          <w:szCs w:val="22"/>
        </w:rPr>
        <w:t xml:space="preserve"> </w:t>
      </w:r>
      <w:r w:rsidRPr="00A27ADE" w:rsidR="00D16361">
        <w:rPr>
          <w:rFonts w:ascii="Arial" w:eastAsia="DengXian" w:hAnsi="Arial" w:cs="Arial"/>
          <w:sz w:val="22"/>
          <w:szCs w:val="22"/>
        </w:rPr>
        <w:t xml:space="preserve">The NRC </w:t>
      </w:r>
      <w:r w:rsidRPr="00A27ADE" w:rsidR="00E36B87">
        <w:rPr>
          <w:rFonts w:ascii="Arial" w:eastAsia="DengXian" w:hAnsi="Arial" w:cs="Arial"/>
          <w:sz w:val="22"/>
          <w:szCs w:val="22"/>
        </w:rPr>
        <w:t>disagrees</w:t>
      </w:r>
      <w:r w:rsidRPr="00A27ADE" w:rsidR="005030C7">
        <w:rPr>
          <w:rFonts w:ascii="Arial" w:eastAsia="DengXian" w:hAnsi="Arial" w:cs="Arial"/>
          <w:sz w:val="22"/>
          <w:szCs w:val="22"/>
        </w:rPr>
        <w:t xml:space="preserve"> with</w:t>
      </w:r>
      <w:r w:rsidRPr="00A27ADE" w:rsidR="000F4F66">
        <w:rPr>
          <w:rFonts w:ascii="Arial" w:eastAsia="DengXian" w:hAnsi="Arial" w:cs="Arial"/>
          <w:sz w:val="22"/>
          <w:szCs w:val="22"/>
        </w:rPr>
        <w:t xml:space="preserve"> th</w:t>
      </w:r>
      <w:r w:rsidRPr="00A27ADE" w:rsidR="002B6BC3">
        <w:rPr>
          <w:rFonts w:ascii="Arial" w:eastAsia="DengXian" w:hAnsi="Arial" w:cs="Arial"/>
          <w:sz w:val="22"/>
          <w:szCs w:val="22"/>
        </w:rPr>
        <w:t>e</w:t>
      </w:r>
      <w:r w:rsidRPr="00A27ADE" w:rsidR="000F4F66">
        <w:rPr>
          <w:rFonts w:ascii="Arial" w:eastAsia="DengXian" w:hAnsi="Arial" w:cs="Arial"/>
          <w:sz w:val="22"/>
          <w:szCs w:val="22"/>
        </w:rPr>
        <w:t xml:space="preserve"> comment</w:t>
      </w:r>
      <w:r w:rsidRPr="00A27ADE">
        <w:rPr>
          <w:rFonts w:ascii="Arial" w:eastAsia="DengXian" w:hAnsi="Arial" w:cs="Arial"/>
          <w:sz w:val="22"/>
          <w:szCs w:val="22"/>
        </w:rPr>
        <w:t>.</w:t>
      </w:r>
    </w:p>
    <w:p w:rsidR="00827932" w:rsidRPr="00063205" w:rsidP="004732C7" w14:paraId="618D888A" w14:textId="77777777">
      <w:pPr>
        <w:spacing w:after="220"/>
        <w:rPr>
          <w:rFonts w:ascii="Arial" w:eastAsia="DengXian" w:hAnsi="Arial" w:cs="Arial"/>
          <w:sz w:val="22"/>
          <w:szCs w:val="22"/>
        </w:rPr>
      </w:pPr>
      <w:r w:rsidRPr="00A27ADE">
        <w:rPr>
          <w:rFonts w:ascii="Arial" w:eastAsia="DengXian" w:hAnsi="Arial" w:cs="Arial"/>
          <w:sz w:val="22"/>
          <w:szCs w:val="22"/>
        </w:rPr>
        <w:t>The NRC disagrees with the</w:t>
      </w:r>
      <w:r w:rsidRPr="00A27ADE" w:rsidR="002B6BC3">
        <w:rPr>
          <w:rFonts w:ascii="Arial" w:eastAsia="DengXian" w:hAnsi="Arial" w:cs="Arial"/>
          <w:sz w:val="22"/>
          <w:szCs w:val="22"/>
        </w:rPr>
        <w:t xml:space="preserve"> assertion that special treatment </w:t>
      </w:r>
      <w:r w:rsidRPr="00A27ADE" w:rsidR="0088188B">
        <w:rPr>
          <w:rFonts w:ascii="Arial" w:eastAsia="DengXian" w:hAnsi="Arial" w:cs="Arial"/>
          <w:sz w:val="22"/>
          <w:szCs w:val="22"/>
        </w:rPr>
        <w:t xml:space="preserve">requirements </w:t>
      </w:r>
      <w:r w:rsidRPr="00A27ADE" w:rsidR="004A5EE5">
        <w:rPr>
          <w:rFonts w:ascii="Arial" w:eastAsia="DengXian" w:hAnsi="Arial" w:cs="Arial"/>
          <w:sz w:val="22"/>
          <w:szCs w:val="22"/>
        </w:rPr>
        <w:t>would not be needed</w:t>
      </w:r>
      <w:r w:rsidRPr="00A27ADE" w:rsidR="0088188B">
        <w:rPr>
          <w:rFonts w:ascii="Arial" w:eastAsia="DengXian" w:hAnsi="Arial" w:cs="Arial"/>
          <w:sz w:val="22"/>
          <w:szCs w:val="22"/>
        </w:rPr>
        <w:t xml:space="preserve"> if standard construction practices are followed</w:t>
      </w:r>
      <w:r w:rsidRPr="00A27ADE" w:rsidR="000F4F66">
        <w:rPr>
          <w:rFonts w:ascii="Arial" w:eastAsia="DengXian" w:hAnsi="Arial" w:cs="Arial"/>
          <w:sz w:val="22"/>
          <w:szCs w:val="22"/>
        </w:rPr>
        <w:t>.</w:t>
      </w:r>
      <w:r w:rsidRPr="00A27ADE" w:rsidR="00EA4179">
        <w:rPr>
          <w:rFonts w:ascii="Arial" w:eastAsia="DengXian" w:hAnsi="Arial" w:cs="Arial"/>
          <w:sz w:val="22"/>
          <w:szCs w:val="22"/>
        </w:rPr>
        <w:t xml:space="preserve"> </w:t>
      </w:r>
      <w:r w:rsidRPr="00A27ADE" w:rsidR="008737FC">
        <w:rPr>
          <w:rFonts w:ascii="Arial" w:eastAsia="DengXian" w:hAnsi="Arial" w:cs="Arial"/>
          <w:sz w:val="22"/>
          <w:szCs w:val="22"/>
        </w:rPr>
        <w:t xml:space="preserve">As explained in Section IV, “Part 53 Framework,” of the </w:t>
      </w:r>
      <w:r w:rsidRPr="00A27ADE" w:rsidR="0090162B">
        <w:rPr>
          <w:rFonts w:ascii="Arial" w:eastAsia="DengXian" w:hAnsi="Arial" w:cs="Arial"/>
          <w:sz w:val="22"/>
          <w:szCs w:val="22"/>
        </w:rPr>
        <w:t>FRN</w:t>
      </w:r>
      <w:r w:rsidRPr="00A27ADE" w:rsidR="008737FC">
        <w:rPr>
          <w:rFonts w:ascii="Arial" w:eastAsia="DengXian" w:hAnsi="Arial" w:cs="Arial"/>
          <w:sz w:val="22"/>
          <w:szCs w:val="22"/>
        </w:rPr>
        <w:t>, special treatment refers to measures (e.g., quality assurance, testing, monitoring) taken beyond the procurement and installation of commercial grade products to provide confidence that the SSC will comply with the applicable</w:t>
      </w:r>
      <w:r w:rsidRPr="00063205" w:rsidR="008737FC">
        <w:rPr>
          <w:rFonts w:ascii="Arial" w:eastAsia="DengXian" w:hAnsi="Arial" w:cs="Arial"/>
          <w:sz w:val="22"/>
          <w:szCs w:val="22"/>
        </w:rPr>
        <w:t xml:space="preserve"> functional design criteria. The possible identification and implementation of special treatments for both SR and NSRSS SSCs is an integral part of the design process, analyses, construction and manufacturing, and maintenance activities under Subpart F to 10</w:t>
      </w:r>
      <w:r w:rsidRPr="00063205">
        <w:rPr>
          <w:rFonts w:ascii="Arial" w:eastAsia="DengXian" w:hAnsi="Arial" w:cs="Arial"/>
          <w:sz w:val="22"/>
          <w:szCs w:val="22"/>
        </w:rPr>
        <w:t> </w:t>
      </w:r>
      <w:r w:rsidRPr="00063205" w:rsidR="008737FC">
        <w:rPr>
          <w:rFonts w:ascii="Arial" w:eastAsia="DengXian" w:hAnsi="Arial" w:cs="Arial"/>
          <w:sz w:val="22"/>
          <w:szCs w:val="22"/>
        </w:rPr>
        <w:t>CFR</w:t>
      </w:r>
      <w:r w:rsidRPr="00063205">
        <w:rPr>
          <w:rFonts w:ascii="Arial" w:eastAsia="DengXian" w:hAnsi="Arial" w:cs="Arial"/>
          <w:sz w:val="22"/>
          <w:szCs w:val="22"/>
        </w:rPr>
        <w:t> </w:t>
      </w:r>
      <w:r w:rsidRPr="00063205" w:rsidR="008737FC">
        <w:rPr>
          <w:rFonts w:ascii="Arial" w:eastAsia="DengXian" w:hAnsi="Arial" w:cs="Arial"/>
          <w:sz w:val="22"/>
          <w:szCs w:val="22"/>
        </w:rPr>
        <w:t>Part 53.</w:t>
      </w:r>
    </w:p>
    <w:p w:rsidR="00561E2F" w:rsidP="000615C1" w14:paraId="0DBC093A" w14:textId="77777777">
      <w:pPr>
        <w:spacing w:after="220"/>
        <w:rPr>
          <w:rFonts w:ascii="Arial" w:eastAsia="Times New Roman" w:hAnsi="Arial" w:cs="Arial"/>
          <w:sz w:val="22"/>
          <w:szCs w:val="22"/>
          <w:lang w:eastAsia="zh-CN"/>
        </w:rPr>
      </w:pPr>
      <w:r w:rsidRPr="00063205">
        <w:rPr>
          <w:rFonts w:ascii="Arial" w:eastAsia="DengXian" w:hAnsi="Arial" w:cs="Arial"/>
          <w:sz w:val="22"/>
          <w:szCs w:val="22"/>
        </w:rPr>
        <w:t>Accordingly, the NRC did not change the rule language in response to this comment.</w:t>
      </w:r>
    </w:p>
    <w:p w:rsidR="00D87F7D" w:rsidP="00D87F7D" w14:paraId="01BAA98D"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56" style="width:0;height:1.5pt" o:hralign="center" o:hrstd="t" o:hrnoshade="t" o:hr="t" fillcolor="black" stroked="f"/>
        </w:pict>
      </w:r>
    </w:p>
    <w:p w:rsidR="00BF73CC" w:rsidRPr="000C1757" w:rsidP="000C1757" w14:paraId="71073187" w14:textId="77777777">
      <w:pPr>
        <w:spacing w:after="220"/>
        <w:rPr>
          <w:rFonts w:ascii="Arial" w:eastAsia="Times New Roman" w:hAnsi="Arial" w:cs="Arial"/>
          <w:sz w:val="22"/>
          <w:szCs w:val="22"/>
        </w:rPr>
      </w:pPr>
      <w:r w:rsidRPr="000C1757">
        <w:rPr>
          <w:rFonts w:ascii="Arial" w:eastAsia="DengXian" w:hAnsi="Arial" w:cs="Arial"/>
          <w:b/>
          <w:sz w:val="22"/>
          <w:szCs w:val="22"/>
        </w:rPr>
        <w:t>Comment Bin 3.5.2.E:</w:t>
      </w:r>
      <w:r w:rsidRPr="000C1757">
        <w:rPr>
          <w:rFonts w:ascii="Arial" w:eastAsia="DengXian" w:hAnsi="Arial" w:cs="Arial"/>
          <w:sz w:val="22"/>
          <w:szCs w:val="22"/>
        </w:rPr>
        <w:t xml:space="preserve"> </w:t>
      </w:r>
      <w:r w:rsidRPr="000C1757">
        <w:rPr>
          <w:rFonts w:ascii="Arial" w:eastAsia="Times New Roman" w:hAnsi="Arial" w:cs="Arial"/>
          <w:sz w:val="22"/>
          <w:szCs w:val="22"/>
        </w:rPr>
        <w:t>A commenter wrote that the requirements in 10 CFR 53.610 overlap and sometimes duplicate, in full or in part, QA requirements in Appendix B to 10 CFR Part 50 and recommended the following revisions (</w:t>
      </w:r>
      <w:r w:rsidR="009D6BB9">
        <w:rPr>
          <w:rFonts w:ascii="Arial" w:eastAsia="Times New Roman" w:hAnsi="Arial" w:cs="Arial"/>
          <w:sz w:val="22"/>
          <w:szCs w:val="22"/>
        </w:rPr>
        <w:t>NEI2</w:t>
      </w:r>
      <w:r w:rsidRPr="000C1757">
        <w:rPr>
          <w:rFonts w:ascii="Arial" w:eastAsia="Times New Roman" w:hAnsi="Arial" w:cs="Arial"/>
          <w:sz w:val="22"/>
          <w:szCs w:val="22"/>
        </w:rPr>
        <w:t xml:space="preserve">-0064): </w:t>
      </w:r>
    </w:p>
    <w:p w:rsidR="00BF73CC" w:rsidRPr="000C1757" w:rsidP="00455E55" w14:paraId="3C0407CC" w14:textId="77777777">
      <w:pPr>
        <w:pStyle w:val="ListParagraph"/>
        <w:numPr>
          <w:ilvl w:val="0"/>
          <w:numId w:val="26"/>
        </w:numPr>
        <w:spacing w:after="220"/>
        <w:contextualSpacing w:val="0"/>
        <w:rPr>
          <w:rFonts w:ascii="Arial" w:eastAsia="Times New Roman" w:hAnsi="Arial" w:cs="Arial"/>
          <w:sz w:val="22"/>
          <w:szCs w:val="22"/>
        </w:rPr>
      </w:pPr>
      <w:r w:rsidRPr="000C1757">
        <w:rPr>
          <w:rFonts w:ascii="Arial" w:eastAsia="Times New Roman" w:hAnsi="Arial" w:cs="Arial"/>
          <w:sz w:val="22"/>
          <w:szCs w:val="22"/>
        </w:rPr>
        <w:t xml:space="preserve">Revise paragraph (a) to refer to the Appendix B requirements—instead of setting forth specific requirements—to make the requirements clearer and more consistent. </w:t>
      </w:r>
    </w:p>
    <w:p w:rsidR="00BF73CC" w:rsidRPr="000C1757" w:rsidP="00455E55" w14:paraId="01AC0257" w14:textId="77777777">
      <w:pPr>
        <w:pStyle w:val="ListParagraph"/>
        <w:numPr>
          <w:ilvl w:val="0"/>
          <w:numId w:val="26"/>
        </w:numPr>
        <w:spacing w:after="220"/>
        <w:contextualSpacing w:val="0"/>
        <w:rPr>
          <w:rFonts w:ascii="Arial" w:eastAsia="Times New Roman" w:hAnsi="Arial" w:cs="Arial"/>
          <w:sz w:val="22"/>
          <w:szCs w:val="22"/>
        </w:rPr>
      </w:pPr>
      <w:r w:rsidRPr="000C1757">
        <w:rPr>
          <w:rFonts w:ascii="Arial" w:eastAsia="Times New Roman" w:hAnsi="Arial" w:cs="Arial"/>
          <w:sz w:val="22"/>
          <w:szCs w:val="22"/>
        </w:rPr>
        <w:t>Reorganizing paragraph (a) to group all the required programs under a single paragraph, with a subordinate paragraph for each program, and separating this from the other requirements in paragraph (a) related to organization and procedures.</w:t>
      </w:r>
    </w:p>
    <w:p w:rsidR="00BF73CC" w:rsidRPr="000C1757" w:rsidP="00455E55" w14:paraId="3EE2864B" w14:textId="77777777">
      <w:pPr>
        <w:pStyle w:val="ListParagraph"/>
        <w:numPr>
          <w:ilvl w:val="0"/>
          <w:numId w:val="26"/>
        </w:numPr>
        <w:spacing w:after="220"/>
        <w:contextualSpacing w:val="0"/>
        <w:rPr>
          <w:rFonts w:ascii="Arial" w:eastAsia="Times New Roman" w:hAnsi="Arial" w:cs="Arial"/>
          <w:sz w:val="22"/>
          <w:szCs w:val="22"/>
        </w:rPr>
      </w:pPr>
      <w:r w:rsidRPr="000C1757">
        <w:rPr>
          <w:rFonts w:ascii="Arial" w:eastAsia="Times New Roman" w:hAnsi="Arial" w:cs="Arial"/>
          <w:sz w:val="22"/>
          <w:szCs w:val="22"/>
        </w:rPr>
        <w:t>Relocate paragraph (b)(1)(i)(C) to Subpart F (alongside other training programs).</w:t>
      </w:r>
    </w:p>
    <w:p w:rsidR="00BF73CC" w:rsidRPr="000C1757" w:rsidP="000C1757" w14:paraId="1346B80E" w14:textId="77777777">
      <w:pPr>
        <w:spacing w:after="220"/>
        <w:rPr>
          <w:rFonts w:ascii="Arial" w:eastAsia="Times New Roman" w:hAnsi="Arial" w:cs="Arial"/>
          <w:sz w:val="22"/>
          <w:szCs w:val="22"/>
        </w:rPr>
      </w:pPr>
      <w:r w:rsidRPr="000C1757">
        <w:rPr>
          <w:rFonts w:ascii="Arial" w:eastAsia="Times New Roman" w:hAnsi="Arial" w:cs="Arial"/>
          <w:sz w:val="22"/>
          <w:szCs w:val="22"/>
        </w:rPr>
        <w:t>The commenter also suggested multiple revisions to make 10 CFR 53.620 clearer, more consistently interpreted, and less burdensome:</w:t>
      </w:r>
    </w:p>
    <w:p w:rsidR="00BF73CC" w:rsidRPr="000C1757" w:rsidP="000C1757" w14:paraId="1B0F9C2C" w14:textId="77777777">
      <w:pPr>
        <w:numPr>
          <w:ilvl w:val="0"/>
          <w:numId w:val="6"/>
        </w:numPr>
        <w:spacing w:after="220"/>
        <w:rPr>
          <w:rFonts w:ascii="Arial" w:eastAsia="Times New Roman" w:hAnsi="Arial" w:cs="Arial"/>
          <w:sz w:val="22"/>
          <w:szCs w:val="22"/>
        </w:rPr>
      </w:pPr>
      <w:r w:rsidRPr="000C1757">
        <w:rPr>
          <w:rFonts w:ascii="Arial" w:eastAsia="Times New Roman" w:hAnsi="Arial" w:cs="Arial"/>
          <w:sz w:val="22"/>
          <w:szCs w:val="22"/>
        </w:rPr>
        <w:t>Because its requirements overlap with each other and sometimes duplicate, in full or in part, QA requirements in Appendix B to 10 CFR Part 50 (e.g., paragraphs (a)(1) through (3) and (6) are duplicative of Appendix B), paragraph (a) should refer to the Appendix B requirements rather than setting forth specific requirements (</w:t>
      </w:r>
      <w:r w:rsidR="009D6BB9">
        <w:rPr>
          <w:rFonts w:ascii="Arial" w:eastAsia="Times New Roman" w:hAnsi="Arial" w:cs="Arial"/>
          <w:sz w:val="22"/>
          <w:szCs w:val="22"/>
        </w:rPr>
        <w:t>NEI2</w:t>
      </w:r>
      <w:r w:rsidRPr="000C1757">
        <w:rPr>
          <w:rFonts w:ascii="Arial" w:eastAsia="Times New Roman" w:hAnsi="Arial" w:cs="Arial"/>
          <w:sz w:val="22"/>
          <w:szCs w:val="22"/>
        </w:rPr>
        <w:t>-0066).</w:t>
      </w:r>
    </w:p>
    <w:p w:rsidR="00BF73CC" w:rsidRPr="000C1757" w:rsidP="00D15F15" w14:paraId="40E70878" w14:textId="77777777">
      <w:pPr>
        <w:numPr>
          <w:ilvl w:val="0"/>
          <w:numId w:val="6"/>
        </w:numPr>
        <w:spacing w:after="220"/>
        <w:rPr>
          <w:rFonts w:ascii="Arial" w:eastAsia="Times New Roman" w:hAnsi="Arial" w:cs="Arial"/>
          <w:sz w:val="22"/>
          <w:szCs w:val="22"/>
        </w:rPr>
      </w:pPr>
      <w:r w:rsidRPr="000C1757">
        <w:rPr>
          <w:rFonts w:ascii="Arial" w:eastAsia="Times New Roman" w:hAnsi="Arial" w:cs="Arial"/>
          <w:sz w:val="22"/>
          <w:szCs w:val="22"/>
        </w:rPr>
        <w:t>Reorganize paragraph (a) to group all the required programs under a single paragraph, with a subordinate paragraph for each program, and separate this from the other requirements in paragraph (a) related to organization and procedures (</w:t>
      </w:r>
      <w:r w:rsidR="009D6BB9">
        <w:rPr>
          <w:rFonts w:ascii="Arial" w:eastAsia="Times New Roman" w:hAnsi="Arial" w:cs="Arial"/>
          <w:sz w:val="22"/>
          <w:szCs w:val="22"/>
        </w:rPr>
        <w:t>NEI2</w:t>
      </w:r>
      <w:r w:rsidRPr="000C1757">
        <w:rPr>
          <w:rFonts w:ascii="Arial" w:eastAsia="Times New Roman" w:hAnsi="Arial" w:cs="Arial"/>
          <w:sz w:val="22"/>
          <w:szCs w:val="22"/>
        </w:rPr>
        <w:t>-0066).</w:t>
      </w:r>
    </w:p>
    <w:p w:rsidR="00BF73CC" w:rsidRPr="000C1757" w:rsidP="000C1757" w14:paraId="7A3CBE2E" w14:textId="77777777">
      <w:pPr>
        <w:numPr>
          <w:ilvl w:val="0"/>
          <w:numId w:val="6"/>
        </w:numPr>
        <w:spacing w:after="220"/>
        <w:rPr>
          <w:rFonts w:ascii="Arial" w:eastAsia="Times New Roman" w:hAnsi="Arial" w:cs="Arial"/>
          <w:sz w:val="22"/>
          <w:szCs w:val="22"/>
        </w:rPr>
      </w:pPr>
      <w:r w:rsidRPr="000C1757">
        <w:rPr>
          <w:rFonts w:ascii="Arial" w:eastAsia="Times New Roman" w:hAnsi="Arial" w:cs="Arial"/>
          <w:sz w:val="22"/>
          <w:szCs w:val="22"/>
        </w:rPr>
        <w:t>Relocate paragraph (c)(4) to Subpart F (alongside other training programs) (</w:t>
      </w:r>
      <w:r w:rsidR="009D6BB9">
        <w:rPr>
          <w:rFonts w:ascii="Arial" w:eastAsia="Times New Roman" w:hAnsi="Arial" w:cs="Arial"/>
          <w:sz w:val="22"/>
          <w:szCs w:val="22"/>
        </w:rPr>
        <w:t>NEI2</w:t>
      </w:r>
      <w:r w:rsidRPr="000C1757">
        <w:rPr>
          <w:rFonts w:ascii="Arial" w:eastAsia="Times New Roman" w:hAnsi="Arial" w:cs="Arial"/>
          <w:sz w:val="22"/>
          <w:szCs w:val="22"/>
        </w:rPr>
        <w:t>-0066).</w:t>
      </w:r>
    </w:p>
    <w:p w:rsidR="00BF73CC" w:rsidRPr="00374249" w:rsidP="00374249" w14:paraId="0758DBB5" w14:textId="77777777">
      <w:pPr>
        <w:pStyle w:val="ListParagraph"/>
        <w:numPr>
          <w:ilvl w:val="0"/>
          <w:numId w:val="6"/>
        </w:numPr>
        <w:spacing w:after="220"/>
        <w:rPr>
          <w:rFonts w:ascii="Arial" w:eastAsia="Times New Roman" w:hAnsi="Arial" w:cs="Arial"/>
          <w:color w:val="000000"/>
          <w:sz w:val="22"/>
          <w:szCs w:val="22"/>
          <w:lang w:eastAsia="zh-CN"/>
        </w:rPr>
      </w:pPr>
      <w:r w:rsidRPr="00374249">
        <w:rPr>
          <w:rFonts w:ascii="Arial" w:eastAsia="Times New Roman" w:hAnsi="Arial" w:cs="Arial"/>
          <w:sz w:val="22"/>
          <w:szCs w:val="22"/>
        </w:rPr>
        <w:t>Remove paragraph (e)(2) as duplicative of paragraph (e)(4) (</w:t>
      </w:r>
      <w:r w:rsidR="009D6BB9">
        <w:rPr>
          <w:rFonts w:ascii="Arial" w:eastAsia="Times New Roman" w:hAnsi="Arial" w:cs="Arial"/>
          <w:sz w:val="22"/>
          <w:szCs w:val="22"/>
        </w:rPr>
        <w:t>NEI2</w:t>
      </w:r>
      <w:r w:rsidRPr="00374249">
        <w:rPr>
          <w:rFonts w:ascii="Arial" w:eastAsia="Times New Roman" w:hAnsi="Arial" w:cs="Arial"/>
          <w:sz w:val="22"/>
          <w:szCs w:val="22"/>
        </w:rPr>
        <w:t>-0069).</w:t>
      </w:r>
    </w:p>
    <w:p w:rsidR="00BF73CC" w:rsidRPr="000C1757" w:rsidP="000C1757" w14:paraId="76F15EEE" w14:textId="77777777">
      <w:pPr>
        <w:spacing w:after="220"/>
        <w:rPr>
          <w:rFonts w:ascii="Arial" w:eastAsia="DengXian" w:hAnsi="Arial" w:cs="Arial"/>
          <w:sz w:val="22"/>
          <w:szCs w:val="22"/>
        </w:rPr>
      </w:pPr>
      <w:r w:rsidRPr="000C1757">
        <w:rPr>
          <w:rFonts w:ascii="Arial" w:eastAsia="DengXian" w:hAnsi="Arial" w:cs="Arial"/>
          <w:b/>
          <w:sz w:val="22"/>
          <w:szCs w:val="22"/>
        </w:rPr>
        <w:t>NRC Response:</w:t>
      </w:r>
      <w:r w:rsidRPr="000C1757">
        <w:rPr>
          <w:rFonts w:ascii="Arial" w:eastAsia="DengXian" w:hAnsi="Arial" w:cs="Arial"/>
          <w:sz w:val="22"/>
          <w:szCs w:val="22"/>
        </w:rPr>
        <w:t xml:space="preserve"> The NRC disagrees with these comments.</w:t>
      </w:r>
    </w:p>
    <w:p w:rsidR="00BF73CC" w:rsidRPr="000C1757" w:rsidP="003909EF" w14:paraId="24D3C8CC" w14:textId="77777777">
      <w:pPr>
        <w:spacing w:after="220"/>
        <w:rPr>
          <w:rFonts w:ascii="Arial" w:eastAsia="DengXian" w:hAnsi="Arial" w:cs="Arial"/>
          <w:sz w:val="22"/>
          <w:szCs w:val="22"/>
        </w:rPr>
      </w:pPr>
      <w:r w:rsidRPr="000C1757">
        <w:rPr>
          <w:rFonts w:ascii="Arial" w:eastAsia="DengXian" w:hAnsi="Arial" w:cs="Arial"/>
          <w:sz w:val="22"/>
          <w:szCs w:val="22"/>
        </w:rPr>
        <w:t xml:space="preserve">As explained in Section IV, “Part 53 Framework,” of the </w:t>
      </w:r>
      <w:r w:rsidR="0090162B">
        <w:rPr>
          <w:rFonts w:ascii="Arial" w:eastAsia="DengXian" w:hAnsi="Arial" w:cs="Arial"/>
          <w:sz w:val="22"/>
          <w:szCs w:val="22"/>
        </w:rPr>
        <w:t>FRN</w:t>
      </w:r>
      <w:r w:rsidRPr="000C1757">
        <w:rPr>
          <w:rFonts w:ascii="Arial" w:eastAsia="DengXian" w:hAnsi="Arial" w:cs="Arial"/>
          <w:sz w:val="22"/>
          <w:szCs w:val="22"/>
        </w:rPr>
        <w:t>, the requirements of 10 CFR 53.610 for construction and 10 CFR 53.620 for manufacturing go beyond SR SSCs addressed by the quality assurance programs under 10 CFR 53.460 and Appendix B to 10 CFR Part 50 for safety-related SSCs in order to also address potential special treatment of NSRSS SSCs. So, whereas the comment is correct that there is some duplication of requirements for safety-related SSCs, it does not suggest an alternative way to address manufacturing requirements for NSRSS SSCs.</w:t>
      </w:r>
    </w:p>
    <w:p w:rsidR="00BF73CC" w:rsidRPr="000C1757" w:rsidP="003909EF" w14:paraId="6BCB0928" w14:textId="77777777">
      <w:pPr>
        <w:spacing w:after="220"/>
        <w:rPr>
          <w:rFonts w:ascii="Arial" w:eastAsia="DengXian" w:hAnsi="Arial" w:cs="Arial"/>
          <w:sz w:val="22"/>
          <w:szCs w:val="22"/>
        </w:rPr>
      </w:pPr>
      <w:r w:rsidRPr="000C1757">
        <w:rPr>
          <w:rFonts w:ascii="Arial" w:eastAsia="DengXian" w:hAnsi="Arial" w:cs="Arial"/>
          <w:sz w:val="22"/>
          <w:szCs w:val="22"/>
        </w:rPr>
        <w:t>Regarding the part of the comment on reorganizing requirements in 10 CFR 53.610 and 10</w:t>
      </w:r>
      <w:r w:rsidR="00717C64">
        <w:rPr>
          <w:rFonts w:ascii="Arial" w:eastAsia="DengXian" w:hAnsi="Arial" w:cs="Arial"/>
          <w:sz w:val="22"/>
          <w:szCs w:val="22"/>
        </w:rPr>
        <w:t> </w:t>
      </w:r>
      <w:r w:rsidRPr="000C1757">
        <w:rPr>
          <w:rFonts w:ascii="Arial" w:eastAsia="DengXian" w:hAnsi="Arial" w:cs="Arial"/>
          <w:sz w:val="22"/>
          <w:szCs w:val="22"/>
        </w:rPr>
        <w:t>CFR</w:t>
      </w:r>
      <w:r w:rsidR="00717C64">
        <w:rPr>
          <w:rFonts w:ascii="Arial" w:eastAsia="DengXian" w:hAnsi="Arial" w:cs="Arial"/>
          <w:sz w:val="22"/>
          <w:szCs w:val="22"/>
        </w:rPr>
        <w:t> </w:t>
      </w:r>
      <w:r w:rsidRPr="000C1757">
        <w:rPr>
          <w:rFonts w:ascii="Arial" w:eastAsia="DengXian" w:hAnsi="Arial" w:cs="Arial"/>
          <w:sz w:val="22"/>
          <w:szCs w:val="22"/>
        </w:rPr>
        <w:t>53.620, the NRC does not see an obvious improvement in clarity that would warrant making a change from the language in the proposed rule. Regarding the relocation of 10</w:t>
      </w:r>
      <w:r w:rsidR="00717C64">
        <w:rPr>
          <w:rFonts w:ascii="Arial" w:eastAsia="DengXian" w:hAnsi="Arial" w:cs="Arial"/>
          <w:sz w:val="22"/>
          <w:szCs w:val="22"/>
        </w:rPr>
        <w:t> </w:t>
      </w:r>
      <w:r w:rsidRPr="000C1757">
        <w:rPr>
          <w:rFonts w:ascii="Arial" w:eastAsia="DengXian" w:hAnsi="Arial" w:cs="Arial"/>
          <w:sz w:val="22"/>
          <w:szCs w:val="22"/>
        </w:rPr>
        <w:t>CFR</w:t>
      </w:r>
      <w:r w:rsidR="00717C64">
        <w:rPr>
          <w:rFonts w:ascii="Arial" w:eastAsia="DengXian" w:hAnsi="Arial" w:cs="Arial"/>
          <w:sz w:val="22"/>
          <w:szCs w:val="22"/>
        </w:rPr>
        <w:t> </w:t>
      </w:r>
      <w:r w:rsidRPr="000C1757">
        <w:rPr>
          <w:rFonts w:ascii="Arial" w:eastAsia="DengXian" w:hAnsi="Arial" w:cs="Arial"/>
          <w:sz w:val="22"/>
          <w:szCs w:val="22"/>
        </w:rPr>
        <w:t>53.610(b)(1)(i)(C) and 10 CFR 53.620(c)(4), the NRC disagrees insofar as the programs may be needed for construction or manufacturing activities not related to the operation of a manufactured reactor and therefore not within the scope of Subpart F to 10</w:t>
      </w:r>
      <w:r w:rsidR="00717C64">
        <w:rPr>
          <w:rFonts w:ascii="Arial" w:eastAsia="DengXian" w:hAnsi="Arial" w:cs="Arial"/>
          <w:sz w:val="22"/>
          <w:szCs w:val="22"/>
        </w:rPr>
        <w:t> </w:t>
      </w:r>
      <w:r w:rsidRPr="000C1757">
        <w:rPr>
          <w:rFonts w:ascii="Arial" w:eastAsia="DengXian" w:hAnsi="Arial" w:cs="Arial"/>
          <w:sz w:val="22"/>
          <w:szCs w:val="22"/>
        </w:rPr>
        <w:t>CFR</w:t>
      </w:r>
      <w:r w:rsidR="00717C64">
        <w:rPr>
          <w:rFonts w:ascii="Arial" w:eastAsia="DengXian" w:hAnsi="Arial" w:cs="Arial"/>
          <w:sz w:val="22"/>
          <w:szCs w:val="22"/>
        </w:rPr>
        <w:t> </w:t>
      </w:r>
      <w:r w:rsidRPr="000C1757">
        <w:rPr>
          <w:rFonts w:ascii="Arial" w:eastAsia="DengXian" w:hAnsi="Arial" w:cs="Arial"/>
          <w:sz w:val="22"/>
          <w:szCs w:val="22"/>
        </w:rPr>
        <w:t>Part 53.</w:t>
      </w:r>
    </w:p>
    <w:p w:rsidR="00BF73CC" w:rsidRPr="000C1757" w:rsidP="000C1757" w14:paraId="672B3592" w14:textId="77777777">
      <w:pPr>
        <w:spacing w:after="220"/>
        <w:rPr>
          <w:rFonts w:ascii="Arial" w:eastAsia="DengXian" w:hAnsi="Arial" w:cs="Arial"/>
          <w:sz w:val="22"/>
          <w:szCs w:val="22"/>
        </w:rPr>
      </w:pPr>
      <w:r w:rsidRPr="000C1757">
        <w:rPr>
          <w:rFonts w:ascii="Arial" w:eastAsia="DengXian" w:hAnsi="Arial" w:cs="Arial"/>
          <w:sz w:val="22"/>
          <w:szCs w:val="22"/>
        </w:rPr>
        <w:t xml:space="preserve">Regarding the part of the comment on 10 CFR 53.620(e)(2) and (e)(4), see the response to </w:t>
      </w:r>
      <w:r w:rsidRPr="000C1757" w:rsidR="00DA13B6">
        <w:rPr>
          <w:rFonts w:ascii="Arial" w:eastAsia="DengXian" w:hAnsi="Arial" w:cs="Arial"/>
          <w:sz w:val="22"/>
          <w:szCs w:val="22"/>
        </w:rPr>
        <w:t>Comment Bin</w:t>
      </w:r>
      <w:r w:rsidRPr="000C1757">
        <w:rPr>
          <w:rFonts w:ascii="Arial" w:eastAsia="DengXian" w:hAnsi="Arial" w:cs="Arial"/>
          <w:sz w:val="22"/>
          <w:szCs w:val="22"/>
        </w:rPr>
        <w:t xml:space="preserve"> 3.5.1.</w:t>
      </w:r>
      <w:r w:rsidRPr="000C1757" w:rsidR="00DA13B6">
        <w:rPr>
          <w:rFonts w:ascii="Arial" w:eastAsia="DengXian" w:hAnsi="Arial" w:cs="Arial"/>
          <w:sz w:val="22"/>
          <w:szCs w:val="22"/>
        </w:rPr>
        <w:t>3.A</w:t>
      </w:r>
      <w:r w:rsidRPr="000C1757">
        <w:rPr>
          <w:rFonts w:ascii="Arial" w:eastAsia="DengXian" w:hAnsi="Arial" w:cs="Arial"/>
          <w:sz w:val="22"/>
          <w:szCs w:val="22"/>
        </w:rPr>
        <w:t>.</w:t>
      </w:r>
    </w:p>
    <w:p w:rsidR="005605CA" w:rsidP="000615C1" w14:paraId="7FB30D8F" w14:textId="77777777">
      <w:pPr>
        <w:spacing w:after="220"/>
        <w:rPr>
          <w:rFonts w:ascii="Arial" w:eastAsia="Times New Roman" w:hAnsi="Arial" w:cs="Arial"/>
          <w:sz w:val="22"/>
          <w:szCs w:val="22"/>
          <w:lang w:eastAsia="zh-CN"/>
        </w:rPr>
      </w:pPr>
      <w:r w:rsidRPr="000C1757">
        <w:rPr>
          <w:rFonts w:ascii="Arial" w:eastAsia="DengXian" w:hAnsi="Arial" w:cs="Arial"/>
          <w:sz w:val="22"/>
          <w:szCs w:val="22"/>
        </w:rPr>
        <w:t>Accordingly, the NRC did not change the rule language in response to these comments.</w:t>
      </w:r>
    </w:p>
    <w:p w:rsidR="00D87F7D" w:rsidP="00D87F7D" w14:paraId="131C19E4"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57" style="width:0;height:1.5pt" o:hralign="center" o:hrstd="t" o:hrnoshade="t" o:hr="t" fillcolor="black" stroked="f"/>
        </w:pict>
      </w:r>
    </w:p>
    <w:p w:rsidR="005605CA" w:rsidRPr="000C1757" w:rsidP="000C1757" w14:paraId="381A0BE2" w14:textId="77777777">
      <w:pPr>
        <w:spacing w:after="220"/>
        <w:rPr>
          <w:rFonts w:ascii="Arial" w:eastAsia="Times New Roman" w:hAnsi="Arial" w:cs="Arial"/>
          <w:color w:val="000000"/>
          <w:sz w:val="22"/>
          <w:szCs w:val="22"/>
          <w:lang w:eastAsia="zh-CN"/>
        </w:rPr>
      </w:pPr>
      <w:r w:rsidRPr="000C1757">
        <w:rPr>
          <w:rFonts w:ascii="Arial" w:eastAsia="DengXian" w:hAnsi="Arial" w:cs="Arial"/>
          <w:b/>
          <w:sz w:val="22"/>
          <w:szCs w:val="22"/>
        </w:rPr>
        <w:t>Comment Bin 3.5.2.</w:t>
      </w:r>
      <w:r w:rsidRPr="000C1757" w:rsidR="00001955">
        <w:rPr>
          <w:rFonts w:ascii="Arial" w:eastAsia="DengXian" w:hAnsi="Arial" w:cs="Arial"/>
          <w:b/>
          <w:sz w:val="22"/>
          <w:szCs w:val="22"/>
        </w:rPr>
        <w:t>F</w:t>
      </w:r>
      <w:r w:rsidRPr="000C1757">
        <w:rPr>
          <w:rFonts w:ascii="Arial" w:eastAsia="DengXian" w:hAnsi="Arial" w:cs="Arial"/>
          <w:b/>
          <w:sz w:val="22"/>
          <w:szCs w:val="22"/>
        </w:rPr>
        <w:t>:</w:t>
      </w:r>
      <w:r w:rsidRPr="000C1757">
        <w:rPr>
          <w:rFonts w:ascii="Arial" w:eastAsia="DengXian" w:hAnsi="Arial" w:cs="Arial"/>
          <w:sz w:val="22"/>
          <w:szCs w:val="22"/>
        </w:rPr>
        <w:t xml:space="preserve"> </w:t>
      </w:r>
      <w:r w:rsidRPr="000C1757" w:rsidR="00001955">
        <w:rPr>
          <w:rFonts w:ascii="Arial" w:eastAsia="Times New Roman" w:hAnsi="Arial" w:cs="Arial"/>
          <w:sz w:val="22"/>
          <w:szCs w:val="22"/>
        </w:rPr>
        <w:t>A commenter said that to align with the A</w:t>
      </w:r>
      <w:r w:rsidR="00516CBE">
        <w:rPr>
          <w:rFonts w:ascii="Arial" w:eastAsia="Times New Roman" w:hAnsi="Arial" w:cs="Arial"/>
          <w:sz w:val="22"/>
          <w:szCs w:val="22"/>
        </w:rPr>
        <w:t>EA</w:t>
      </w:r>
      <w:r w:rsidRPr="000C1757" w:rsidR="00001955">
        <w:rPr>
          <w:rFonts w:ascii="Arial" w:eastAsia="Times New Roman" w:hAnsi="Arial" w:cs="Arial"/>
          <w:sz w:val="22"/>
          <w:szCs w:val="22"/>
        </w:rPr>
        <w:t>’s authorization of export of utilization facilities, NRC should revise paragraph 10 CFR 53.620(e)(1) to allow transport to international destinations for microreactors manufactured in the United States under a 10 CFR Part 53 ML license, with the requirement that the ML holder must obtain an NRC export license under 10 CFR Part 110; otherwise the ML holder would have to request an exemption to export each reactor (</w:t>
      </w:r>
      <w:r w:rsidR="009D6BB9">
        <w:rPr>
          <w:rFonts w:ascii="Arial" w:eastAsia="Times New Roman" w:hAnsi="Arial" w:cs="Arial"/>
          <w:sz w:val="22"/>
          <w:szCs w:val="22"/>
        </w:rPr>
        <w:t>NEI2</w:t>
      </w:r>
      <w:r w:rsidRPr="000C1757" w:rsidR="00001955">
        <w:rPr>
          <w:rFonts w:ascii="Arial" w:eastAsia="Times New Roman" w:hAnsi="Arial" w:cs="Arial"/>
          <w:sz w:val="22"/>
          <w:szCs w:val="22"/>
        </w:rPr>
        <w:t>-0068).</w:t>
      </w:r>
    </w:p>
    <w:p w:rsidR="0032529F" w:rsidP="000615C1" w14:paraId="5A469E96" w14:textId="77777777">
      <w:pPr>
        <w:spacing w:after="220"/>
        <w:rPr>
          <w:rFonts w:ascii="Arial" w:eastAsia="DengXian" w:hAnsi="Arial" w:cs="Arial"/>
          <w:sz w:val="22"/>
          <w:szCs w:val="22"/>
        </w:rPr>
      </w:pPr>
      <w:r w:rsidRPr="000C1757">
        <w:rPr>
          <w:rFonts w:ascii="Arial" w:eastAsia="DengXian" w:hAnsi="Arial" w:cs="Arial"/>
          <w:b/>
          <w:sz w:val="22"/>
          <w:szCs w:val="22"/>
        </w:rPr>
        <w:t>NRC Response:</w:t>
      </w:r>
      <w:r w:rsidRPr="000C1757">
        <w:rPr>
          <w:rFonts w:ascii="Arial" w:eastAsia="DengXian" w:hAnsi="Arial" w:cs="Arial"/>
          <w:sz w:val="22"/>
          <w:szCs w:val="22"/>
        </w:rPr>
        <w:t xml:space="preserve"> </w:t>
      </w:r>
      <w:r w:rsidRPr="000C1757" w:rsidR="00001955">
        <w:rPr>
          <w:rFonts w:ascii="Arial" w:eastAsia="DengXian" w:hAnsi="Arial" w:cs="Arial"/>
          <w:sz w:val="22"/>
          <w:szCs w:val="22"/>
        </w:rPr>
        <w:t>The NRC agrees with th</w:t>
      </w:r>
      <w:r w:rsidR="00753CA2">
        <w:rPr>
          <w:rFonts w:ascii="Arial" w:eastAsia="DengXian" w:hAnsi="Arial" w:cs="Arial"/>
          <w:sz w:val="22"/>
          <w:szCs w:val="22"/>
        </w:rPr>
        <w:t>is</w:t>
      </w:r>
      <w:r w:rsidRPr="000C1757" w:rsidR="00001955">
        <w:rPr>
          <w:rFonts w:ascii="Arial" w:eastAsia="DengXian" w:hAnsi="Arial" w:cs="Arial"/>
          <w:sz w:val="22"/>
          <w:szCs w:val="22"/>
        </w:rPr>
        <w:t xml:space="preserve"> comment. </w:t>
      </w:r>
    </w:p>
    <w:p w:rsidR="009E0831" w:rsidP="000615C1" w14:paraId="623ED740" w14:textId="77777777">
      <w:pPr>
        <w:spacing w:after="220"/>
        <w:rPr>
          <w:rFonts w:ascii="Arial" w:eastAsia="DengXian" w:hAnsi="Arial" w:cs="Arial"/>
          <w:sz w:val="22"/>
          <w:szCs w:val="22"/>
        </w:rPr>
      </w:pPr>
      <w:r w:rsidRPr="000C1757">
        <w:rPr>
          <w:rFonts w:ascii="Arial" w:eastAsia="DengXian" w:hAnsi="Arial" w:cs="Arial"/>
          <w:sz w:val="22"/>
          <w:szCs w:val="22"/>
        </w:rPr>
        <w:t xml:space="preserve">Accordingly, </w:t>
      </w:r>
      <w:r w:rsidR="00671C88">
        <w:rPr>
          <w:rFonts w:ascii="Arial" w:eastAsia="DengXian" w:hAnsi="Arial" w:cs="Arial"/>
          <w:sz w:val="22"/>
          <w:szCs w:val="22"/>
        </w:rPr>
        <w:t>in response to</w:t>
      </w:r>
      <w:r w:rsidRPr="000C1757">
        <w:rPr>
          <w:rFonts w:ascii="Arial" w:eastAsia="DengXian" w:hAnsi="Arial" w:cs="Arial"/>
          <w:sz w:val="22"/>
          <w:szCs w:val="22"/>
        </w:rPr>
        <w:t xml:space="preserve"> this comment, the NRC </w:t>
      </w:r>
      <w:r w:rsidR="002F3E70">
        <w:rPr>
          <w:rFonts w:ascii="Arial" w:hAnsi="Arial" w:cs="Arial"/>
          <w:sz w:val="22"/>
          <w:szCs w:val="22"/>
        </w:rPr>
        <w:t>has revised</w:t>
      </w:r>
      <w:r w:rsidR="002F3E70">
        <w:rPr>
          <w:rFonts w:ascii="Arial" w:eastAsia="DengXian" w:hAnsi="Arial" w:cs="Arial"/>
          <w:sz w:val="22"/>
          <w:szCs w:val="22"/>
        </w:rPr>
        <w:t xml:space="preserve"> </w:t>
      </w:r>
      <w:r w:rsidRPr="000C1757">
        <w:rPr>
          <w:rFonts w:ascii="Arial" w:eastAsia="DengXian" w:hAnsi="Arial" w:cs="Arial"/>
          <w:sz w:val="22"/>
          <w:szCs w:val="22"/>
        </w:rPr>
        <w:t xml:space="preserve">the </w:t>
      </w:r>
      <w:r w:rsidR="00E70DAF">
        <w:rPr>
          <w:rFonts w:ascii="Arial" w:eastAsia="DengXian" w:hAnsi="Arial" w:cs="Arial"/>
          <w:sz w:val="22"/>
          <w:szCs w:val="22"/>
        </w:rPr>
        <w:t xml:space="preserve">rule </w:t>
      </w:r>
      <w:r w:rsidRPr="000C1757">
        <w:rPr>
          <w:rFonts w:ascii="Arial" w:eastAsia="DengXian" w:hAnsi="Arial" w:cs="Arial"/>
          <w:sz w:val="22"/>
          <w:szCs w:val="22"/>
        </w:rPr>
        <w:t>language to specifically allow the transport of a manufactured reactor from the manufactured facility for the purpose of export under 10 CFR Part 110.</w:t>
      </w:r>
    </w:p>
    <w:p w:rsidR="00AC1417" w:rsidP="000615C1" w14:paraId="1FD4AEA2"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58" style="width:0;height:1.5pt" o:hralign="center" o:hrstd="t" o:hrnoshade="t" o:hr="t" fillcolor="black" stroked="f"/>
        </w:pict>
      </w:r>
    </w:p>
    <w:p w:rsidR="00AC1417" w:rsidRPr="008F5CFC" w:rsidP="0058683F" w14:paraId="3D3C4469" w14:textId="77777777">
      <w:pPr>
        <w:pStyle w:val="Heading3"/>
        <w:numPr>
          <w:ilvl w:val="0"/>
          <w:numId w:val="0"/>
        </w:numPr>
        <w:ind w:left="720" w:hanging="720"/>
      </w:pPr>
      <w:bookmarkStart w:id="52" w:name="_Toc194466466"/>
      <w:bookmarkStart w:id="53" w:name="_Toc207222819"/>
      <w:r>
        <w:rPr>
          <w:u w:val="none"/>
        </w:rPr>
        <w:t>3.5.3.</w:t>
      </w:r>
      <w:r>
        <w:rPr>
          <w:u w:val="none"/>
        </w:rPr>
        <w:tab/>
      </w:r>
      <w:r w:rsidRPr="00355404">
        <w:t>RFC: Control of construction so as not to impact other features important to design (§ 53.610(b)(1)(iii))</w:t>
      </w:r>
      <w:bookmarkEnd w:id="52"/>
      <w:bookmarkEnd w:id="53"/>
    </w:p>
    <w:p w:rsidR="00F25C40" w:rsidRPr="00C241C8" w:rsidP="002B41A6" w14:paraId="4C193587" w14:textId="77777777">
      <w:pPr>
        <w:spacing w:after="220"/>
        <w:rPr>
          <w:rFonts w:ascii="Arial" w:eastAsia="Times New Roman" w:hAnsi="Arial" w:cs="Arial"/>
          <w:color w:val="000000"/>
          <w:sz w:val="22"/>
          <w:szCs w:val="22"/>
          <w:lang w:eastAsia="zh-CN"/>
        </w:rPr>
      </w:pPr>
      <w:r w:rsidRPr="00C241C8">
        <w:rPr>
          <w:rFonts w:ascii="Arial" w:eastAsia="DengXian" w:hAnsi="Arial" w:cs="Arial"/>
          <w:b/>
          <w:sz w:val="22"/>
          <w:szCs w:val="22"/>
        </w:rPr>
        <w:t>Comment Bin 3.5.3.A:</w:t>
      </w:r>
      <w:r w:rsidRPr="00C241C8">
        <w:rPr>
          <w:rFonts w:ascii="Arial" w:eastAsia="DengXian" w:hAnsi="Arial" w:cs="Arial"/>
          <w:sz w:val="22"/>
          <w:szCs w:val="22"/>
        </w:rPr>
        <w:t xml:space="preserve"> </w:t>
      </w:r>
      <w:r w:rsidRPr="00C241C8">
        <w:rPr>
          <w:rFonts w:ascii="Arial" w:eastAsia="Times New Roman" w:hAnsi="Arial" w:cs="Arial"/>
          <w:sz w:val="22"/>
          <w:szCs w:val="22"/>
        </w:rPr>
        <w:t xml:space="preserve">A commenter stated that 10 CFR 53.610(a)(1) through (4) and (6), which are arguably redundant of QA requirements in Appendix B to 10 CFR Part 50, are sufficient to meet the intent of 10 CFR 53.610(b)(1)(iii). Specifically, the commenter explained, Criterion III (Design Control) of </w:t>
      </w:r>
      <w:r w:rsidR="00285940">
        <w:rPr>
          <w:rFonts w:ascii="Arial" w:eastAsia="Times New Roman" w:hAnsi="Arial" w:cs="Arial"/>
          <w:sz w:val="22"/>
          <w:szCs w:val="22"/>
        </w:rPr>
        <w:t xml:space="preserve">Appendix B to </w:t>
      </w:r>
      <w:r w:rsidRPr="00C241C8">
        <w:rPr>
          <w:rFonts w:ascii="Arial" w:eastAsia="Times New Roman" w:hAnsi="Arial" w:cs="Arial"/>
          <w:sz w:val="22"/>
          <w:szCs w:val="22"/>
        </w:rPr>
        <w:t>10 CFR Part 50 requires the translation of design basis requirements for SSCs into procedures, meaning that features related to protection of the plant from external hazards (e.g., dewatering, slope stability, backfill, compaction) would be addressed through Criterion III. The commenter thus suggested deleting 10 CFR 53.610(b)(1)(iii) as duplicative (</w:t>
      </w:r>
      <w:r w:rsidR="009D6BB9">
        <w:rPr>
          <w:rFonts w:ascii="Arial" w:eastAsia="Times New Roman" w:hAnsi="Arial" w:cs="Arial"/>
          <w:sz w:val="22"/>
          <w:szCs w:val="22"/>
        </w:rPr>
        <w:t>NEI2</w:t>
      </w:r>
      <w:r w:rsidRPr="00C241C8">
        <w:rPr>
          <w:rFonts w:ascii="Arial" w:eastAsia="Times New Roman" w:hAnsi="Arial" w:cs="Arial"/>
          <w:sz w:val="22"/>
          <w:szCs w:val="22"/>
        </w:rPr>
        <w:t>-0183).</w:t>
      </w:r>
    </w:p>
    <w:p w:rsidR="00F25C40" w:rsidRPr="00C241C8" w:rsidP="002B41A6" w14:paraId="7E275D85" w14:textId="77777777">
      <w:pPr>
        <w:spacing w:after="220"/>
        <w:rPr>
          <w:rFonts w:ascii="Arial" w:eastAsia="DengXian" w:hAnsi="Arial" w:cs="Arial"/>
          <w:sz w:val="22"/>
          <w:szCs w:val="22"/>
        </w:rPr>
      </w:pPr>
      <w:r w:rsidRPr="00C241C8">
        <w:rPr>
          <w:rFonts w:ascii="Arial" w:eastAsia="DengXian" w:hAnsi="Arial" w:cs="Arial"/>
          <w:b/>
          <w:sz w:val="22"/>
          <w:szCs w:val="22"/>
        </w:rPr>
        <w:t>NRC Response:</w:t>
      </w:r>
      <w:r w:rsidRPr="00C241C8">
        <w:rPr>
          <w:rFonts w:ascii="Arial" w:eastAsia="DengXian" w:hAnsi="Arial" w:cs="Arial"/>
          <w:sz w:val="22"/>
          <w:szCs w:val="22"/>
        </w:rPr>
        <w:t xml:space="preserve"> The NRC disagrees with th</w:t>
      </w:r>
      <w:r w:rsidR="00DF6690">
        <w:rPr>
          <w:rFonts w:ascii="Arial" w:eastAsia="DengXian" w:hAnsi="Arial" w:cs="Arial"/>
          <w:sz w:val="22"/>
          <w:szCs w:val="22"/>
        </w:rPr>
        <w:t>is</w:t>
      </w:r>
      <w:r w:rsidRPr="00C241C8">
        <w:rPr>
          <w:rFonts w:ascii="Arial" w:eastAsia="DengXian" w:hAnsi="Arial" w:cs="Arial"/>
          <w:sz w:val="22"/>
          <w:szCs w:val="22"/>
        </w:rPr>
        <w:t xml:space="preserve"> comment.</w:t>
      </w:r>
    </w:p>
    <w:p w:rsidR="00F25C40" w:rsidRPr="00C241C8" w:rsidP="002B41A6" w14:paraId="473BC395" w14:textId="77777777">
      <w:pPr>
        <w:spacing w:after="220"/>
        <w:rPr>
          <w:rFonts w:ascii="Arial" w:eastAsia="DengXian" w:hAnsi="Arial" w:cs="Arial"/>
          <w:sz w:val="22"/>
          <w:szCs w:val="22"/>
        </w:rPr>
      </w:pPr>
      <w:r w:rsidRPr="00C241C8">
        <w:rPr>
          <w:rFonts w:ascii="Arial" w:eastAsia="DengXian" w:hAnsi="Arial" w:cs="Arial"/>
          <w:sz w:val="22"/>
          <w:szCs w:val="22"/>
        </w:rPr>
        <w:t xml:space="preserve">As explained in Section IV, “Part 53 Framework,” of the </w:t>
      </w:r>
      <w:r w:rsidR="00730223">
        <w:rPr>
          <w:rFonts w:ascii="Arial" w:eastAsia="DengXian" w:hAnsi="Arial" w:cs="Arial"/>
          <w:sz w:val="22"/>
          <w:szCs w:val="22"/>
        </w:rPr>
        <w:t>FRN</w:t>
      </w:r>
      <w:r w:rsidRPr="00C241C8">
        <w:rPr>
          <w:rFonts w:ascii="Arial" w:eastAsia="DengXian" w:hAnsi="Arial" w:cs="Arial"/>
          <w:sz w:val="22"/>
          <w:szCs w:val="22"/>
        </w:rPr>
        <w:t>, the requirements of 10 CFR 53.610 go beyond SR SSCs addressed by the quality assurance programs under 10</w:t>
      </w:r>
      <w:r w:rsidR="00802661">
        <w:rPr>
          <w:rFonts w:ascii="Arial" w:eastAsia="DengXian" w:hAnsi="Arial" w:cs="Arial"/>
          <w:sz w:val="22"/>
          <w:szCs w:val="22"/>
        </w:rPr>
        <w:t> </w:t>
      </w:r>
      <w:r w:rsidRPr="00C241C8">
        <w:rPr>
          <w:rFonts w:ascii="Arial" w:eastAsia="DengXian" w:hAnsi="Arial" w:cs="Arial"/>
          <w:sz w:val="22"/>
          <w:szCs w:val="22"/>
        </w:rPr>
        <w:t>CFR 53.460 and Appendix B to 10 CFR Part 50 for safety-related SSCs to also address potential special treatment of NSRSS SSCs. So, whereas the comment is correct that there is some duplication of requirements for safety-related SSCs, it does not suggest an alternative way to address construction requirements for NSRSS SSCs.</w:t>
      </w:r>
    </w:p>
    <w:p w:rsidR="00F25C40" w:rsidRPr="00C241C8" w:rsidP="002B41A6" w14:paraId="5ACB062A" w14:textId="77777777">
      <w:pPr>
        <w:spacing w:after="220"/>
        <w:rPr>
          <w:rFonts w:ascii="Arial" w:eastAsia="DengXian" w:hAnsi="Arial" w:cs="Arial"/>
          <w:sz w:val="22"/>
          <w:szCs w:val="22"/>
        </w:rPr>
      </w:pPr>
      <w:r w:rsidRPr="00C241C8">
        <w:rPr>
          <w:rFonts w:ascii="Arial" w:eastAsia="DengXian" w:hAnsi="Arial" w:cs="Arial"/>
          <w:sz w:val="22"/>
          <w:szCs w:val="22"/>
        </w:rPr>
        <w:t>Regarding th</w:t>
      </w:r>
      <w:r w:rsidR="00A56158">
        <w:rPr>
          <w:rFonts w:ascii="Arial" w:eastAsia="DengXian" w:hAnsi="Arial" w:cs="Arial"/>
          <w:sz w:val="22"/>
          <w:szCs w:val="22"/>
        </w:rPr>
        <w:t>e</w:t>
      </w:r>
      <w:r w:rsidRPr="00C241C8">
        <w:rPr>
          <w:rFonts w:ascii="Arial" w:eastAsia="DengXian" w:hAnsi="Arial" w:cs="Arial"/>
          <w:sz w:val="22"/>
          <w:szCs w:val="22"/>
        </w:rPr>
        <w:t xml:space="preserve"> part of the comment related to preconstruction activities and duplication of quality assurance requirements, the NRC disagrees insofar as the comment does not address NSRSS SSCs or the desire to ensure that preconstruction activities such dewatering, ensuring slope stability, backfill, compaction, and controlling seepage do not unnecessarily require issuance of a </w:t>
      </w:r>
      <w:r w:rsidR="00AA119A">
        <w:rPr>
          <w:rFonts w:ascii="Arial" w:eastAsia="DengXian" w:hAnsi="Arial" w:cs="Arial"/>
          <w:sz w:val="22"/>
          <w:szCs w:val="22"/>
        </w:rPr>
        <w:t>CP</w:t>
      </w:r>
      <w:r w:rsidRPr="00C241C8">
        <w:rPr>
          <w:rFonts w:ascii="Arial" w:eastAsia="DengXian" w:hAnsi="Arial" w:cs="Arial"/>
          <w:sz w:val="22"/>
          <w:szCs w:val="22"/>
        </w:rPr>
        <w:t xml:space="preserve"> or a finding under 10 CFR 53.1452(g) for a </w:t>
      </w:r>
      <w:r w:rsidR="00D00F42">
        <w:rPr>
          <w:rFonts w:ascii="Arial" w:eastAsia="DengXian" w:hAnsi="Arial" w:cs="Arial"/>
          <w:sz w:val="22"/>
          <w:szCs w:val="22"/>
        </w:rPr>
        <w:t>COL</w:t>
      </w:r>
      <w:r w:rsidRPr="00C241C8">
        <w:rPr>
          <w:rFonts w:ascii="Arial" w:eastAsia="DengXian" w:hAnsi="Arial" w:cs="Arial"/>
          <w:sz w:val="22"/>
          <w:szCs w:val="22"/>
        </w:rPr>
        <w:t xml:space="preserve"> to initiate those types of site activities.</w:t>
      </w:r>
    </w:p>
    <w:p w:rsidR="003869A0" w:rsidRPr="00C241C8" w:rsidP="002B41A6" w14:paraId="39B86DB2" w14:textId="77777777">
      <w:pPr>
        <w:spacing w:after="220"/>
        <w:rPr>
          <w:rFonts w:ascii="Arial" w:eastAsia="DengXian" w:hAnsi="Arial" w:cs="Arial"/>
          <w:sz w:val="22"/>
          <w:szCs w:val="22"/>
        </w:rPr>
      </w:pPr>
      <w:r w:rsidRPr="00C241C8">
        <w:rPr>
          <w:rFonts w:ascii="Arial" w:eastAsia="DengXian" w:hAnsi="Arial" w:cs="Arial"/>
          <w:sz w:val="22"/>
          <w:szCs w:val="22"/>
        </w:rPr>
        <w:t>Accordingly, the NRC did not change the rule language in response to this comment.</w:t>
      </w:r>
    </w:p>
    <w:p w:rsidR="007F112A" w:rsidRPr="00E252BF" w:rsidP="00E252BF" w14:paraId="735529D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59" style="width:0;height:1.5pt" o:hralign="center" o:hrstd="t" o:hrnoshade="t" o:hr="t" fillcolor="black" stroked="f"/>
        </w:pict>
      </w:r>
    </w:p>
    <w:p w:rsidR="00063F0C" w:rsidRPr="00D03A2C" w:rsidP="00F4440C" w14:paraId="253317B1" w14:textId="77777777">
      <w:pPr>
        <w:pStyle w:val="Heading2"/>
        <w:numPr>
          <w:ilvl w:val="0"/>
          <w:numId w:val="0"/>
        </w:numPr>
        <w:ind w:left="720" w:hanging="720"/>
      </w:pPr>
      <w:bookmarkStart w:id="54" w:name="_Toc207222820"/>
      <w:bookmarkStart w:id="55" w:name="_Toc194466467"/>
      <w:r>
        <w:rPr>
          <w:u w:val="none"/>
        </w:rPr>
        <w:t>3.6.</w:t>
      </w:r>
      <w:r>
        <w:rPr>
          <w:u w:val="none"/>
        </w:rPr>
        <w:tab/>
      </w:r>
      <w:r w:rsidRPr="00DA0A3C" w:rsidR="007F112A">
        <w:t>Subpart F: Requirements for Operation (§§ 53.700-53.910)</w:t>
      </w:r>
      <w:bookmarkStart w:id="56" w:name="_Toc205380018"/>
      <w:bookmarkStart w:id="57" w:name="_Toc205457646"/>
      <w:bookmarkStart w:id="58" w:name="_Toc205380017"/>
      <w:bookmarkStart w:id="59" w:name="_Toc205457645"/>
      <w:bookmarkEnd w:id="54"/>
      <w:bookmarkEnd w:id="56"/>
      <w:bookmarkEnd w:id="57"/>
      <w:bookmarkEnd w:id="58"/>
      <w:bookmarkEnd w:id="59"/>
    </w:p>
    <w:p w:rsidR="007F112A" w:rsidRPr="00E252BF" w:rsidP="00751583" w14:paraId="34209B12" w14:textId="77777777">
      <w:pPr>
        <w:pStyle w:val="Heading3"/>
        <w:numPr>
          <w:ilvl w:val="0"/>
          <w:numId w:val="0"/>
        </w:numPr>
        <w:ind w:left="720" w:hanging="720"/>
      </w:pPr>
      <w:bookmarkStart w:id="60" w:name="_Toc207222821"/>
      <w:r>
        <w:rPr>
          <w:u w:val="none"/>
        </w:rPr>
        <w:t>3.6.1.</w:t>
      </w:r>
      <w:r>
        <w:rPr>
          <w:u w:val="none"/>
        </w:rPr>
        <w:tab/>
      </w:r>
      <w:r w:rsidRPr="00DA0A3C">
        <w:t xml:space="preserve">Controls of SSCs (§§ </w:t>
      </w:r>
      <w:r w:rsidRPr="00A25797">
        <w:t>53.700-53.720: technical specifications and plant controls, maintenance, repair, inspection programs, plant reliability programs, and response to seismic events)</w:t>
      </w:r>
      <w:bookmarkEnd w:id="60"/>
    </w:p>
    <w:p w:rsidR="007F112A" w:rsidRPr="00E252BF" w:rsidP="00E252BF" w14:paraId="61E9DD1A" w14:textId="77777777">
      <w:pPr>
        <w:spacing w:after="220"/>
        <w:rPr>
          <w:rFonts w:ascii="Arial" w:hAnsi="Arial" w:cs="Arial"/>
          <w:sz w:val="22"/>
          <w:szCs w:val="22"/>
        </w:rPr>
      </w:pPr>
      <w:r w:rsidRPr="00E252BF">
        <w:rPr>
          <w:rFonts w:ascii="Arial" w:eastAsia="DengXian" w:hAnsi="Arial" w:cs="Arial"/>
          <w:b/>
          <w:sz w:val="22"/>
          <w:szCs w:val="22"/>
        </w:rPr>
        <w:t>Comment Bin 3.6.1.A:</w:t>
      </w:r>
      <w:r w:rsidRPr="00E252BF">
        <w:rPr>
          <w:rFonts w:ascii="Arial" w:eastAsia="DengXian" w:hAnsi="Arial" w:cs="Arial"/>
          <w:sz w:val="22"/>
          <w:szCs w:val="22"/>
        </w:rPr>
        <w:t xml:space="preserve"> </w:t>
      </w:r>
      <w:r w:rsidRPr="00E252BF">
        <w:rPr>
          <w:rFonts w:ascii="Arial" w:hAnsi="Arial" w:cs="Arial"/>
          <w:sz w:val="22"/>
          <w:szCs w:val="22"/>
        </w:rPr>
        <w:t>A commenter asked if the operational objectives in 10 CFR 53.700 are for all advanced reactors because 10 CFR 53.800 specifically mentioned self-reliant mitigation facilities. The commenter suggested that NRC clarify that all sections of 10 CFR 53.700 apply unless otherwise noted because 10 CFR 53.800 references that subsections are used in lieu of specific sections of 10 CFR 53.700 (</w:t>
      </w:r>
      <w:r w:rsidR="009D6BB9">
        <w:rPr>
          <w:rFonts w:ascii="Arial" w:hAnsi="Arial" w:cs="Arial"/>
          <w:sz w:val="22"/>
          <w:szCs w:val="22"/>
        </w:rPr>
        <w:t>NEI2</w:t>
      </w:r>
      <w:r w:rsidRPr="00E252BF">
        <w:rPr>
          <w:rFonts w:ascii="Arial" w:hAnsi="Arial" w:cs="Arial"/>
          <w:sz w:val="22"/>
          <w:szCs w:val="22"/>
        </w:rPr>
        <w:t>-0070).</w:t>
      </w:r>
    </w:p>
    <w:p w:rsidR="007F112A" w:rsidRPr="00E252BF" w:rsidP="00E252BF" w14:paraId="63D406EF" w14:textId="77777777">
      <w:pPr>
        <w:spacing w:after="220"/>
        <w:rPr>
          <w:rFonts w:ascii="Arial" w:hAnsi="Arial" w:cs="Arial"/>
          <w:sz w:val="22"/>
          <w:szCs w:val="22"/>
        </w:rPr>
      </w:pPr>
      <w:r w:rsidRPr="00E252BF">
        <w:rPr>
          <w:rFonts w:ascii="Arial" w:hAnsi="Arial" w:cs="Arial"/>
          <w:sz w:val="22"/>
          <w:szCs w:val="22"/>
        </w:rPr>
        <w:t>The commenter also said that each holder of an OL or COL under 10 CFR 53.700(a)(1) must maintain the capabilities, availability, and reliability of plant SSCs to ensure that the safety functions identified in 10 CFR 53.230 will be performed if called upon during LBEs. The commenter wrote that 10 CFR 53.230 states that plant SSCs, personnel, and programs should provide measures for defense in depth in accordance with 10 CFR 53.250. The commenter recommended that the NRC clarify how much defense in depth is required or include a regulatory reference to ensure a consistent interpretation (</w:t>
      </w:r>
      <w:r w:rsidR="009D6BB9">
        <w:rPr>
          <w:rFonts w:ascii="Arial" w:hAnsi="Arial" w:cs="Arial"/>
          <w:sz w:val="22"/>
          <w:szCs w:val="22"/>
        </w:rPr>
        <w:t>NEI2</w:t>
      </w:r>
      <w:r w:rsidRPr="00E252BF">
        <w:rPr>
          <w:rFonts w:ascii="Arial" w:hAnsi="Arial" w:cs="Arial"/>
          <w:sz w:val="22"/>
          <w:szCs w:val="22"/>
        </w:rPr>
        <w:t>-0071).</w:t>
      </w:r>
    </w:p>
    <w:p w:rsidR="007F112A" w:rsidRPr="00E252BF" w:rsidP="00E252BF" w14:paraId="581AEC85" w14:textId="77777777">
      <w:pPr>
        <w:spacing w:after="220"/>
        <w:rPr>
          <w:rFonts w:ascii="Arial" w:eastAsia="Times New Roman" w:hAnsi="Arial" w:cs="Arial"/>
          <w:color w:val="000000"/>
          <w:sz w:val="22"/>
          <w:szCs w:val="22"/>
          <w:lang w:eastAsia="zh-CN"/>
        </w:rPr>
      </w:pPr>
      <w:r w:rsidRPr="00E252BF">
        <w:rPr>
          <w:rFonts w:ascii="Arial" w:hAnsi="Arial" w:cs="Arial"/>
          <w:sz w:val="22"/>
          <w:szCs w:val="22"/>
        </w:rPr>
        <w:t>In 10 CFR 53.700, another commenter recommended changing "responsibilities of plant personnel" to "responsibilities of personnel, (both plant and off site)" (</w:t>
      </w:r>
      <w:r w:rsidR="002F66D1">
        <w:rPr>
          <w:rFonts w:ascii="Arial" w:hAnsi="Arial" w:cs="Arial"/>
          <w:sz w:val="22"/>
          <w:szCs w:val="22"/>
        </w:rPr>
        <w:t>TG8</w:t>
      </w:r>
      <w:r w:rsidRPr="00E252BF">
        <w:rPr>
          <w:rFonts w:ascii="Arial" w:hAnsi="Arial" w:cs="Arial"/>
          <w:sz w:val="22"/>
          <w:szCs w:val="22"/>
        </w:rPr>
        <w:t>-0001). </w:t>
      </w:r>
    </w:p>
    <w:p w:rsidR="007F112A" w:rsidRPr="00E252BF" w:rsidP="00E252BF" w14:paraId="1BF08129" w14:textId="77777777">
      <w:pPr>
        <w:spacing w:after="220"/>
        <w:rPr>
          <w:rFonts w:ascii="Arial"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The NRC agrees, in part, with the comments.</w:t>
      </w:r>
    </w:p>
    <w:p w:rsidR="007F112A" w:rsidRPr="00E252BF" w:rsidP="00E252BF" w14:paraId="7497C960" w14:textId="77777777">
      <w:pPr>
        <w:spacing w:after="220"/>
        <w:rPr>
          <w:rFonts w:ascii="Arial" w:hAnsi="Arial" w:cs="Arial"/>
          <w:sz w:val="22"/>
          <w:szCs w:val="22"/>
        </w:rPr>
      </w:pPr>
      <w:r w:rsidRPr="00E252BF">
        <w:rPr>
          <w:rFonts w:ascii="Arial" w:hAnsi="Arial" w:cs="Arial"/>
          <w:sz w:val="22"/>
          <w:szCs w:val="22"/>
        </w:rPr>
        <w:t xml:space="preserve">The NRC </w:t>
      </w:r>
      <w:r w:rsidR="002F3E70">
        <w:rPr>
          <w:rFonts w:ascii="Arial" w:hAnsi="Arial" w:cs="Arial"/>
          <w:sz w:val="22"/>
          <w:szCs w:val="22"/>
        </w:rPr>
        <w:t xml:space="preserve">has revised </w:t>
      </w:r>
      <w:r w:rsidRPr="00E252BF">
        <w:rPr>
          <w:rFonts w:ascii="Arial" w:hAnsi="Arial" w:cs="Arial"/>
          <w:sz w:val="22"/>
          <w:szCs w:val="22"/>
        </w:rPr>
        <w:t>the rule language to clarify that 10 CFR 53.700 provides a purpose and outline for Subpart</w:t>
      </w:r>
      <w:r w:rsidRPr="00E252BF" w:rsidR="00707E9A">
        <w:rPr>
          <w:rFonts w:ascii="Arial" w:hAnsi="Arial" w:cs="Arial"/>
          <w:sz w:val="22"/>
          <w:szCs w:val="22"/>
        </w:rPr>
        <w:t> </w:t>
      </w:r>
      <w:r w:rsidRPr="00E252BF">
        <w:rPr>
          <w:rFonts w:ascii="Arial" w:hAnsi="Arial" w:cs="Arial"/>
          <w:sz w:val="22"/>
          <w:szCs w:val="22"/>
        </w:rPr>
        <w:t xml:space="preserve">F to 10 CFR Part 53 and that actual requirements are provided in specific sections. The sections are organized by those related to maintaining plant equipment, those related to personnel, and those related to plant programs. </w:t>
      </w:r>
    </w:p>
    <w:p w:rsidR="007F112A" w:rsidRPr="00E252BF" w:rsidP="00E252BF" w14:paraId="7E154CA6" w14:textId="77777777">
      <w:pPr>
        <w:spacing w:after="220"/>
        <w:rPr>
          <w:rFonts w:ascii="Arial" w:hAnsi="Arial" w:cs="Arial"/>
          <w:sz w:val="22"/>
          <w:szCs w:val="22"/>
        </w:rPr>
      </w:pPr>
      <w:r w:rsidRPr="00E252BF">
        <w:rPr>
          <w:rFonts w:ascii="Arial" w:hAnsi="Arial" w:cs="Arial"/>
          <w:sz w:val="22"/>
          <w:szCs w:val="22"/>
        </w:rPr>
        <w:t xml:space="preserve">The NRC </w:t>
      </w:r>
      <w:r w:rsidRPr="00E252BF" w:rsidR="00707E9A">
        <w:rPr>
          <w:rFonts w:ascii="Arial" w:hAnsi="Arial" w:cs="Arial"/>
          <w:sz w:val="22"/>
          <w:szCs w:val="22"/>
        </w:rPr>
        <w:t>disagrees</w:t>
      </w:r>
      <w:r w:rsidRPr="00E252BF">
        <w:rPr>
          <w:rFonts w:ascii="Arial" w:hAnsi="Arial" w:cs="Arial"/>
          <w:sz w:val="22"/>
          <w:szCs w:val="22"/>
        </w:rPr>
        <w:t xml:space="preserve"> with the suggesti</w:t>
      </w:r>
      <w:r w:rsidRPr="00E252BF" w:rsidR="00707E9A">
        <w:rPr>
          <w:rFonts w:ascii="Arial" w:hAnsi="Arial" w:cs="Arial"/>
          <w:sz w:val="22"/>
          <w:szCs w:val="22"/>
        </w:rPr>
        <w:t>on of</w:t>
      </w:r>
      <w:r w:rsidRPr="00E252BF">
        <w:rPr>
          <w:rFonts w:ascii="Arial" w:hAnsi="Arial" w:cs="Arial"/>
          <w:sz w:val="22"/>
          <w:szCs w:val="22"/>
        </w:rPr>
        <w:t xml:space="preserve"> more prescriptive requirements for defense in depth</w:t>
      </w:r>
      <w:r w:rsidRPr="00E252BF" w:rsidR="00651C31">
        <w:rPr>
          <w:rFonts w:ascii="Arial" w:hAnsi="Arial" w:cs="Arial"/>
          <w:sz w:val="22"/>
          <w:szCs w:val="22"/>
        </w:rPr>
        <w:t xml:space="preserve"> to clarify how much defense in depth is required</w:t>
      </w:r>
      <w:r w:rsidRPr="00E252BF">
        <w:rPr>
          <w:rFonts w:ascii="Arial" w:hAnsi="Arial" w:cs="Arial"/>
          <w:sz w:val="22"/>
          <w:szCs w:val="22"/>
        </w:rPr>
        <w:t>. As explained in 10 CFR 53.250(a), defense in depth is required to compensate for uncertainties in the analysis of the safety criteria such that there is reasonable assurance that the safety criteria in this subpart are met over the life of the plant. Appropriate measures to provide defense in depth are therefore dependent on the uncertainties associated with specific reactor technologies or designs and it would be counterproductive to generically define required defense-in-depth measures in a manner similar to the deterministic approach in 10 CFR Part 50. Accordingly, the NRC did not change the rule language in response to this comment.</w:t>
      </w:r>
    </w:p>
    <w:p w:rsidR="00177030" w:rsidP="00E252BF" w14:paraId="122A8859" w14:textId="77777777">
      <w:pPr>
        <w:spacing w:after="220"/>
        <w:rPr>
          <w:rFonts w:ascii="Arial" w:eastAsia="Times New Roman" w:hAnsi="Arial" w:cs="Arial"/>
          <w:sz w:val="22"/>
          <w:szCs w:val="22"/>
          <w:lang w:eastAsia="zh-CN"/>
        </w:rPr>
      </w:pPr>
      <w:r w:rsidRPr="00E252BF">
        <w:rPr>
          <w:rFonts w:ascii="Arial" w:hAnsi="Arial" w:cs="Arial"/>
          <w:sz w:val="22"/>
          <w:szCs w:val="22"/>
        </w:rPr>
        <w:t xml:space="preserve">The NRC agrees </w:t>
      </w:r>
      <w:r w:rsidRPr="00E252BF" w:rsidR="00BC2BD4">
        <w:rPr>
          <w:rFonts w:ascii="Arial" w:hAnsi="Arial" w:cs="Arial"/>
          <w:sz w:val="22"/>
          <w:szCs w:val="22"/>
        </w:rPr>
        <w:t xml:space="preserve">with </w:t>
      </w:r>
      <w:r w:rsidRPr="00E252BF" w:rsidR="007F112A">
        <w:rPr>
          <w:rFonts w:ascii="Arial" w:hAnsi="Arial" w:cs="Arial"/>
          <w:sz w:val="22"/>
          <w:szCs w:val="22"/>
        </w:rPr>
        <w:t>the suggesti</w:t>
      </w:r>
      <w:r w:rsidRPr="00E252BF">
        <w:rPr>
          <w:rFonts w:ascii="Arial" w:hAnsi="Arial" w:cs="Arial"/>
          <w:sz w:val="22"/>
          <w:szCs w:val="22"/>
        </w:rPr>
        <w:t>on</w:t>
      </w:r>
      <w:r w:rsidRPr="00E252BF" w:rsidR="007F112A">
        <w:rPr>
          <w:rFonts w:ascii="Arial" w:hAnsi="Arial" w:cs="Arial"/>
          <w:sz w:val="22"/>
          <w:szCs w:val="22"/>
        </w:rPr>
        <w:t xml:space="preserve"> that the use of “plant personnel” in the proposed rule could be read as limiting the potential role of operators or engineering expertise in remote locations</w:t>
      </w:r>
      <w:r w:rsidR="005379E6">
        <w:rPr>
          <w:rFonts w:ascii="Arial" w:hAnsi="Arial" w:cs="Arial"/>
          <w:sz w:val="22"/>
          <w:szCs w:val="22"/>
        </w:rPr>
        <w:t>.</w:t>
      </w:r>
      <w:r w:rsidRPr="00E252BF" w:rsidR="007F112A">
        <w:rPr>
          <w:rFonts w:ascii="Arial" w:hAnsi="Arial" w:cs="Arial"/>
          <w:sz w:val="22"/>
          <w:szCs w:val="22"/>
        </w:rPr>
        <w:t xml:space="preserve"> </w:t>
      </w:r>
      <w:r w:rsidRPr="00E252BF" w:rsidR="00476043">
        <w:rPr>
          <w:rFonts w:ascii="Arial" w:hAnsi="Arial" w:cs="Arial"/>
          <w:sz w:val="22"/>
          <w:szCs w:val="22"/>
        </w:rPr>
        <w:t>Accordingly, t</w:t>
      </w:r>
      <w:r w:rsidRPr="00E252BF" w:rsidR="00432443">
        <w:rPr>
          <w:rFonts w:ascii="Arial" w:hAnsi="Arial" w:cs="Arial"/>
          <w:sz w:val="22"/>
          <w:szCs w:val="22"/>
        </w:rPr>
        <w:t xml:space="preserve">he NRC </w:t>
      </w:r>
      <w:r w:rsidR="002F3E70">
        <w:rPr>
          <w:rFonts w:ascii="Arial" w:hAnsi="Arial" w:cs="Arial"/>
          <w:sz w:val="22"/>
          <w:szCs w:val="22"/>
        </w:rPr>
        <w:t xml:space="preserve">has revised </w:t>
      </w:r>
      <w:r w:rsidR="00F24B99">
        <w:rPr>
          <w:rFonts w:ascii="Arial" w:hAnsi="Arial" w:cs="Arial"/>
          <w:sz w:val="22"/>
          <w:szCs w:val="22"/>
        </w:rPr>
        <w:t>the rule language</w:t>
      </w:r>
      <w:r w:rsidRPr="00E252BF" w:rsidR="007F112A">
        <w:rPr>
          <w:rFonts w:ascii="Arial" w:hAnsi="Arial" w:cs="Arial"/>
          <w:sz w:val="22"/>
          <w:szCs w:val="22"/>
        </w:rPr>
        <w:t xml:space="preserve"> to the broader term “personnel” in 10</w:t>
      </w:r>
      <w:r w:rsidR="00F940CE">
        <w:rPr>
          <w:rFonts w:ascii="Arial" w:hAnsi="Arial" w:cs="Arial"/>
          <w:sz w:val="22"/>
          <w:szCs w:val="22"/>
        </w:rPr>
        <w:t> </w:t>
      </w:r>
      <w:r w:rsidRPr="00E252BF" w:rsidR="007F112A">
        <w:rPr>
          <w:rFonts w:ascii="Arial" w:hAnsi="Arial" w:cs="Arial"/>
          <w:sz w:val="22"/>
          <w:szCs w:val="22"/>
        </w:rPr>
        <w:t>CFR</w:t>
      </w:r>
      <w:r w:rsidR="00F940CE">
        <w:rPr>
          <w:rFonts w:ascii="Arial" w:hAnsi="Arial" w:cs="Arial"/>
          <w:sz w:val="22"/>
          <w:szCs w:val="22"/>
        </w:rPr>
        <w:t> </w:t>
      </w:r>
      <w:r w:rsidRPr="00E252BF" w:rsidR="007F112A">
        <w:rPr>
          <w:rFonts w:ascii="Arial" w:hAnsi="Arial" w:cs="Arial"/>
          <w:sz w:val="22"/>
          <w:szCs w:val="22"/>
        </w:rPr>
        <w:t>53.700</w:t>
      </w:r>
      <w:r w:rsidR="00484FEB">
        <w:rPr>
          <w:rFonts w:ascii="Arial" w:hAnsi="Arial" w:cs="Arial"/>
          <w:sz w:val="22"/>
          <w:szCs w:val="22"/>
        </w:rPr>
        <w:t xml:space="preserve"> and made similar conforming changes to </w:t>
      </w:r>
      <w:r w:rsidR="00555BB7">
        <w:rPr>
          <w:rFonts w:ascii="Arial" w:hAnsi="Arial" w:cs="Arial"/>
          <w:sz w:val="22"/>
          <w:szCs w:val="22"/>
        </w:rPr>
        <w:t xml:space="preserve">10 CFR 53.805(a)(4) and </w:t>
      </w:r>
      <w:r w:rsidR="0000432D">
        <w:rPr>
          <w:rFonts w:ascii="Arial" w:hAnsi="Arial" w:cs="Arial"/>
          <w:sz w:val="22"/>
          <w:szCs w:val="22"/>
        </w:rPr>
        <w:t>10 CFR </w:t>
      </w:r>
      <w:r w:rsidR="00555BB7">
        <w:rPr>
          <w:rFonts w:ascii="Arial" w:hAnsi="Arial" w:cs="Arial"/>
          <w:sz w:val="22"/>
          <w:szCs w:val="22"/>
        </w:rPr>
        <w:t>53.830</w:t>
      </w:r>
      <w:r w:rsidR="000A3C5F">
        <w:rPr>
          <w:rFonts w:ascii="Arial" w:hAnsi="Arial" w:cs="Arial"/>
          <w:sz w:val="22"/>
          <w:szCs w:val="22"/>
        </w:rPr>
        <w:t xml:space="preserve">. The NRC also made similar conforming changes to </w:t>
      </w:r>
      <w:r w:rsidR="001628CD">
        <w:rPr>
          <w:rFonts w:ascii="Arial" w:hAnsi="Arial" w:cs="Arial"/>
          <w:sz w:val="22"/>
          <w:szCs w:val="22"/>
        </w:rPr>
        <w:t>Division of Reactor Oversight</w:t>
      </w:r>
      <w:r w:rsidR="000A3C5F">
        <w:rPr>
          <w:rFonts w:ascii="Arial" w:hAnsi="Arial" w:cs="Arial"/>
          <w:sz w:val="22"/>
          <w:szCs w:val="22"/>
        </w:rPr>
        <w:t xml:space="preserve"> </w:t>
      </w:r>
      <w:r w:rsidR="006A5C12">
        <w:rPr>
          <w:rFonts w:ascii="Arial" w:hAnsi="Arial" w:cs="Arial"/>
          <w:sz w:val="22"/>
          <w:szCs w:val="22"/>
        </w:rPr>
        <w:t>(</w:t>
      </w:r>
      <w:r w:rsidR="000A3C5F">
        <w:rPr>
          <w:rFonts w:ascii="Arial" w:hAnsi="Arial" w:cs="Arial"/>
          <w:sz w:val="22"/>
          <w:szCs w:val="22"/>
        </w:rPr>
        <w:t>DRO</w:t>
      </w:r>
      <w:r w:rsidR="006A5C12">
        <w:rPr>
          <w:rFonts w:ascii="Arial" w:hAnsi="Arial" w:cs="Arial"/>
          <w:sz w:val="22"/>
          <w:szCs w:val="22"/>
        </w:rPr>
        <w:t>)</w:t>
      </w:r>
      <w:r w:rsidR="000A3C5F">
        <w:rPr>
          <w:rFonts w:ascii="Arial" w:hAnsi="Arial" w:cs="Arial"/>
          <w:sz w:val="22"/>
          <w:szCs w:val="22"/>
        </w:rPr>
        <w:t>-ISG-2023-02, “Interim Staff Guidance Augmenting NUREG-1791, “Guidance for Assessing Exemption Requests from the Nuclear Power Plant Licensed Operator Staffing Requirements Specified in 10</w:t>
      </w:r>
      <w:r w:rsidR="0000432D">
        <w:rPr>
          <w:rFonts w:ascii="Arial" w:hAnsi="Arial" w:cs="Arial"/>
          <w:sz w:val="22"/>
          <w:szCs w:val="22"/>
        </w:rPr>
        <w:t> </w:t>
      </w:r>
      <w:r w:rsidR="000A3C5F">
        <w:rPr>
          <w:rFonts w:ascii="Arial" w:hAnsi="Arial" w:cs="Arial"/>
          <w:sz w:val="22"/>
          <w:szCs w:val="22"/>
        </w:rPr>
        <w:t>CFR</w:t>
      </w:r>
      <w:r w:rsidR="0000432D">
        <w:rPr>
          <w:rFonts w:ascii="Arial" w:hAnsi="Arial" w:cs="Arial"/>
          <w:sz w:val="22"/>
          <w:szCs w:val="22"/>
        </w:rPr>
        <w:t> </w:t>
      </w:r>
      <w:r w:rsidR="000A3C5F">
        <w:rPr>
          <w:rFonts w:ascii="Arial" w:hAnsi="Arial" w:cs="Arial"/>
          <w:sz w:val="22"/>
          <w:szCs w:val="22"/>
        </w:rPr>
        <w:t>50.54(m),” for Licensing Commercial Nuclear Plants under 10 CFR Part 53,” and DRO-ISG-2023-03, “Development of Scalable Human Factors Engineering</w:t>
      </w:r>
      <w:r w:rsidRPr="00E252BF" w:rsidR="007F112A">
        <w:rPr>
          <w:rFonts w:ascii="Arial" w:hAnsi="Arial" w:cs="Arial"/>
          <w:sz w:val="22"/>
          <w:szCs w:val="22"/>
        </w:rPr>
        <w:t>.</w:t>
      </w:r>
      <w:r w:rsidR="000A3C5F">
        <w:rPr>
          <w:rFonts w:ascii="Arial" w:hAnsi="Arial" w:cs="Arial"/>
          <w:sz w:val="22"/>
          <w:szCs w:val="22"/>
        </w:rPr>
        <w:t>”</w:t>
      </w:r>
      <w:r w:rsidRPr="00E252BF" w:rsidR="007F112A">
        <w:rPr>
          <w:rFonts w:ascii="Arial" w:hAnsi="Arial" w:cs="Arial"/>
          <w:sz w:val="22"/>
          <w:szCs w:val="22"/>
        </w:rPr>
        <w:t xml:space="preserve"> Additionally, the NRC made a conforming change to the rule text in 10</w:t>
      </w:r>
      <w:r w:rsidR="00F940CE">
        <w:rPr>
          <w:rFonts w:ascii="Arial" w:hAnsi="Arial" w:cs="Arial"/>
          <w:sz w:val="22"/>
          <w:szCs w:val="22"/>
        </w:rPr>
        <w:t> </w:t>
      </w:r>
      <w:r w:rsidRPr="00E252BF" w:rsidR="007F112A">
        <w:rPr>
          <w:rFonts w:ascii="Arial" w:hAnsi="Arial" w:cs="Arial"/>
          <w:sz w:val="22"/>
          <w:szCs w:val="22"/>
        </w:rPr>
        <w:t>CFR</w:t>
      </w:r>
      <w:r w:rsidR="00F940CE">
        <w:rPr>
          <w:rFonts w:ascii="Arial" w:hAnsi="Arial" w:cs="Arial"/>
          <w:sz w:val="22"/>
          <w:szCs w:val="22"/>
        </w:rPr>
        <w:t> </w:t>
      </w:r>
      <w:r w:rsidRPr="00E252BF" w:rsidR="007F112A">
        <w:rPr>
          <w:rFonts w:ascii="Arial" w:hAnsi="Arial" w:cs="Arial"/>
          <w:sz w:val="22"/>
          <w:szCs w:val="22"/>
        </w:rPr>
        <w:t>53.710 on authority for configuration changes for NSRSS SSCs in the final rule to refer to “within the licensee’s organization” instead of the “within the commercial nuclear plant</w:t>
      </w:r>
      <w:r w:rsidRPr="00E252BF" w:rsidR="00624B0F">
        <w:rPr>
          <w:rFonts w:ascii="Arial" w:hAnsi="Arial" w:cs="Arial"/>
          <w:sz w:val="22"/>
          <w:szCs w:val="22"/>
        </w:rPr>
        <w:t>,</w:t>
      </w:r>
      <w:r w:rsidRPr="00E252BF" w:rsidR="007F112A">
        <w:rPr>
          <w:rFonts w:ascii="Arial" w:hAnsi="Arial" w:cs="Arial"/>
          <w:sz w:val="22"/>
          <w:szCs w:val="22"/>
        </w:rPr>
        <w:t xml:space="preserve">” </w:t>
      </w:r>
      <w:r w:rsidRPr="00E252BF" w:rsidR="00624B0F">
        <w:rPr>
          <w:rFonts w:ascii="Arial" w:hAnsi="Arial" w:cs="Arial"/>
          <w:sz w:val="22"/>
          <w:szCs w:val="22"/>
        </w:rPr>
        <w:t>which is what</w:t>
      </w:r>
      <w:r w:rsidRPr="00E252BF" w:rsidR="007F112A">
        <w:rPr>
          <w:rFonts w:ascii="Arial" w:hAnsi="Arial" w:cs="Arial"/>
          <w:sz w:val="22"/>
          <w:szCs w:val="22"/>
        </w:rPr>
        <w:t xml:space="preserve"> appeared in the proposed rule.</w:t>
      </w:r>
    </w:p>
    <w:p w:rsidR="00E252BF" w:rsidRPr="00E252BF" w:rsidP="00E252BF" w14:paraId="04BD848B"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60" style="width:0;height:1.5pt" o:hralign="center" o:hrstd="t" o:hrnoshade="t" o:hr="t" fillcolor="black" stroked="f"/>
        </w:pict>
      </w:r>
    </w:p>
    <w:p w:rsidR="00177030" w:rsidRPr="00E252BF" w:rsidP="00E252BF" w14:paraId="75928389" w14:textId="77777777">
      <w:pPr>
        <w:spacing w:after="220"/>
        <w:rPr>
          <w:rFonts w:ascii="Arial" w:hAnsi="Arial" w:cs="Arial"/>
          <w:sz w:val="22"/>
          <w:szCs w:val="22"/>
        </w:rPr>
      </w:pPr>
      <w:r w:rsidRPr="00E252BF">
        <w:rPr>
          <w:rFonts w:ascii="Arial" w:eastAsia="DengXian" w:hAnsi="Arial" w:cs="Arial"/>
          <w:b/>
          <w:sz w:val="22"/>
          <w:szCs w:val="22"/>
        </w:rPr>
        <w:t>Comment Bin 3.6.1.B:</w:t>
      </w:r>
      <w:r w:rsidRPr="00E252BF">
        <w:rPr>
          <w:rFonts w:ascii="Arial" w:eastAsia="DengXian" w:hAnsi="Arial" w:cs="Arial"/>
          <w:sz w:val="22"/>
          <w:szCs w:val="22"/>
        </w:rPr>
        <w:t xml:space="preserve"> </w:t>
      </w:r>
      <w:r w:rsidRPr="00E252BF">
        <w:rPr>
          <w:rFonts w:ascii="Arial" w:hAnsi="Arial" w:cs="Arial"/>
          <w:sz w:val="22"/>
          <w:szCs w:val="22"/>
        </w:rPr>
        <w:t>A commenter wrote that 10 CFR 53.710 is overly prescriptive, decoupled from operational reality, and should be replaced with an approach consistent with NEIMA. The commenter added that large numbers of components and structures are typically involved with SR and special treatment systems, and applying technical specifications at these levels will create unnecessary operational burdens. The commenter provided revised rule language which they said mirrors 10 CFR 50.36 (</w:t>
      </w:r>
      <w:r w:rsidRPr="009D6BB9" w:rsidR="009D6BB9">
        <w:rPr>
          <w:rFonts w:ascii="Arial" w:eastAsia="Times New Roman" w:hAnsi="Arial" w:cs="Arial"/>
          <w:color w:val="000000"/>
          <w:sz w:val="22"/>
          <w:szCs w:val="22"/>
        </w:rPr>
        <w:t>HPT31</w:t>
      </w:r>
      <w:r w:rsidRPr="009D6BB9">
        <w:rPr>
          <w:rFonts w:ascii="Arial" w:hAnsi="Arial" w:cs="Arial"/>
          <w:sz w:val="22"/>
          <w:szCs w:val="22"/>
        </w:rPr>
        <w:t>-000</w:t>
      </w:r>
      <w:r w:rsidRPr="00E252BF">
        <w:rPr>
          <w:rFonts w:ascii="Arial" w:hAnsi="Arial" w:cs="Arial"/>
          <w:sz w:val="22"/>
          <w:szCs w:val="22"/>
        </w:rPr>
        <w:t xml:space="preserve">1, </w:t>
      </w:r>
      <w:r w:rsidRPr="009D6BB9" w:rsidR="009D6BB9">
        <w:rPr>
          <w:rFonts w:ascii="Arial" w:eastAsia="Times New Roman" w:hAnsi="Arial" w:cs="Arial"/>
          <w:color w:val="000000"/>
          <w:sz w:val="22"/>
          <w:szCs w:val="22"/>
        </w:rPr>
        <w:t>HPT31</w:t>
      </w:r>
      <w:r w:rsidRPr="009D6BB9">
        <w:rPr>
          <w:rFonts w:ascii="Arial" w:hAnsi="Arial" w:cs="Arial"/>
          <w:sz w:val="22"/>
          <w:szCs w:val="22"/>
        </w:rPr>
        <w:t>-00</w:t>
      </w:r>
      <w:r w:rsidRPr="00E252BF">
        <w:rPr>
          <w:rFonts w:ascii="Arial" w:hAnsi="Arial" w:cs="Arial"/>
          <w:sz w:val="22"/>
          <w:szCs w:val="22"/>
        </w:rPr>
        <w:t>02).</w:t>
      </w:r>
    </w:p>
    <w:p w:rsidR="00177030" w:rsidRPr="00E252BF" w:rsidP="00E252BF" w14:paraId="10CD2412" w14:textId="77777777">
      <w:pPr>
        <w:spacing w:after="220"/>
        <w:rPr>
          <w:rFonts w:ascii="Arial"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 xml:space="preserve">The NRC </w:t>
      </w:r>
      <w:r w:rsidRPr="00E252BF" w:rsidR="006C3725">
        <w:rPr>
          <w:rFonts w:ascii="Arial" w:hAnsi="Arial" w:cs="Arial"/>
          <w:sz w:val="22"/>
          <w:szCs w:val="22"/>
        </w:rPr>
        <w:t>dis</w:t>
      </w:r>
      <w:r w:rsidRPr="00E252BF">
        <w:rPr>
          <w:rFonts w:ascii="Arial" w:hAnsi="Arial" w:cs="Arial"/>
          <w:sz w:val="22"/>
          <w:szCs w:val="22"/>
        </w:rPr>
        <w:t>agrees with the comments.</w:t>
      </w:r>
    </w:p>
    <w:p w:rsidR="00997E92" w:rsidRPr="00E252BF" w:rsidP="00E252BF" w14:paraId="28ED7F69" w14:textId="77777777">
      <w:pPr>
        <w:spacing w:after="220"/>
        <w:rPr>
          <w:rFonts w:ascii="Arial" w:hAnsi="Arial" w:cs="Arial"/>
          <w:sz w:val="22"/>
          <w:szCs w:val="22"/>
        </w:rPr>
      </w:pPr>
      <w:r w:rsidRPr="00E252BF">
        <w:rPr>
          <w:rFonts w:ascii="Arial" w:hAnsi="Arial" w:cs="Arial"/>
          <w:sz w:val="22"/>
          <w:szCs w:val="22"/>
        </w:rPr>
        <w:t>Regarding the scope and requirements for technical specifications, the NRC disagrees insofar as the number of SSCs subject to technical specifications under 10 CFR 53.710 is limited to safety-related SSCs and therefore clearly defined and likely fewer in number than required under 10 CFR 50.36. The required content of technical specifications under 10 CFR 53.710(a) is similar to that required under 10 CFR 50.36. The use of consistent rule language is intentional and will facilitate guidance development and application of lessons learned from many years of developing and improving technical specifications for plants licensed under 10 CFR Parts 50 and 52.</w:t>
      </w:r>
    </w:p>
    <w:p w:rsidR="00177030" w:rsidRPr="00E252BF" w:rsidP="00E252BF" w14:paraId="3A3DB3D0" w14:textId="77777777">
      <w:pPr>
        <w:spacing w:after="220"/>
        <w:rPr>
          <w:rFonts w:ascii="Arial" w:hAnsi="Arial" w:cs="Arial"/>
          <w:sz w:val="22"/>
          <w:szCs w:val="22"/>
        </w:rPr>
      </w:pPr>
      <w:r w:rsidRPr="00E252BF">
        <w:rPr>
          <w:rFonts w:ascii="Arial" w:hAnsi="Arial" w:cs="Arial"/>
          <w:sz w:val="22"/>
          <w:szCs w:val="22"/>
        </w:rPr>
        <w:t>Accordingly, the NRC did not change the rule language in response to th</w:t>
      </w:r>
      <w:r w:rsidRPr="00E252BF" w:rsidR="00097F69">
        <w:rPr>
          <w:rFonts w:ascii="Arial" w:hAnsi="Arial" w:cs="Arial"/>
          <w:sz w:val="22"/>
          <w:szCs w:val="22"/>
        </w:rPr>
        <w:t>ese</w:t>
      </w:r>
      <w:r w:rsidRPr="00E252BF">
        <w:rPr>
          <w:rFonts w:ascii="Arial" w:hAnsi="Arial" w:cs="Arial"/>
          <w:sz w:val="22"/>
          <w:szCs w:val="22"/>
        </w:rPr>
        <w:t xml:space="preserve"> comment</w:t>
      </w:r>
      <w:r w:rsidRPr="00E252BF" w:rsidR="00097F69">
        <w:rPr>
          <w:rFonts w:ascii="Arial" w:hAnsi="Arial" w:cs="Arial"/>
          <w:sz w:val="22"/>
          <w:szCs w:val="22"/>
        </w:rPr>
        <w:t>s</w:t>
      </w:r>
      <w:r w:rsidRPr="00E252BF">
        <w:rPr>
          <w:rFonts w:ascii="Arial" w:hAnsi="Arial" w:cs="Arial"/>
          <w:sz w:val="22"/>
          <w:szCs w:val="22"/>
        </w:rPr>
        <w:t>.</w:t>
      </w:r>
    </w:p>
    <w:p w:rsidR="007F112A" w:rsidRPr="00E252BF" w:rsidP="00E252BF" w14:paraId="6C281624" w14:textId="77777777">
      <w:pPr>
        <w:spacing w:after="220"/>
        <w:rPr>
          <w:rFonts w:ascii="Arial" w:hAnsi="Arial" w:cs="Arial"/>
          <w:sz w:val="22"/>
          <w:szCs w:val="22"/>
        </w:rPr>
      </w:pPr>
      <w:r>
        <w:rPr>
          <w:rFonts w:ascii="Arial" w:eastAsia="Times New Roman" w:hAnsi="Arial" w:cs="Arial"/>
          <w:sz w:val="22"/>
          <w:szCs w:val="22"/>
          <w:lang w:eastAsia="zh-CN"/>
        </w:rPr>
        <w:pict>
          <v:rect id="_x0000_i1161" style="width:0;height:1.5pt" o:hralign="center" o:hrstd="t" o:hrnoshade="t" o:hr="t" fillcolor="black" stroked="f"/>
        </w:pict>
      </w:r>
    </w:p>
    <w:p w:rsidR="007F112A" w:rsidRPr="00E252BF" w:rsidP="00E252BF" w14:paraId="58E64C47" w14:textId="77777777">
      <w:pPr>
        <w:spacing w:after="220"/>
        <w:rPr>
          <w:rFonts w:ascii="Arial" w:hAnsi="Arial" w:cs="Arial"/>
          <w:sz w:val="22"/>
          <w:szCs w:val="22"/>
        </w:rPr>
      </w:pPr>
      <w:r w:rsidRPr="00E252BF">
        <w:rPr>
          <w:rFonts w:ascii="Arial" w:eastAsia="DengXian" w:hAnsi="Arial" w:cs="Arial"/>
          <w:b/>
          <w:sz w:val="22"/>
          <w:szCs w:val="22"/>
        </w:rPr>
        <w:t>Comment Bin 3.6.1.</w:t>
      </w:r>
      <w:r w:rsidRPr="00E252BF" w:rsidR="006E07CD">
        <w:rPr>
          <w:rFonts w:ascii="Arial" w:eastAsia="DengXian" w:hAnsi="Arial" w:cs="Arial"/>
          <w:b/>
          <w:sz w:val="22"/>
          <w:szCs w:val="22"/>
        </w:rPr>
        <w:t>C</w:t>
      </w:r>
      <w:r w:rsidRPr="00E252BF">
        <w:rPr>
          <w:rFonts w:ascii="Arial" w:eastAsia="DengXian" w:hAnsi="Arial" w:cs="Arial"/>
          <w:b/>
          <w:sz w:val="22"/>
          <w:szCs w:val="22"/>
        </w:rPr>
        <w:t>:</w:t>
      </w:r>
      <w:r w:rsidRPr="00E252BF">
        <w:rPr>
          <w:rFonts w:ascii="Arial" w:eastAsia="DengXian" w:hAnsi="Arial" w:cs="Arial"/>
          <w:sz w:val="22"/>
          <w:szCs w:val="22"/>
        </w:rPr>
        <w:t xml:space="preserve"> </w:t>
      </w:r>
      <w:r w:rsidRPr="00E252BF">
        <w:rPr>
          <w:rFonts w:ascii="Arial" w:hAnsi="Arial" w:cs="Arial"/>
          <w:sz w:val="22"/>
          <w:szCs w:val="22"/>
        </w:rPr>
        <w:t>A commenter suggested revising 10 CFR 53.710 to read "when combined with corresponding programmatic controls, digital controls, and human actions" and “Identify who within the commercial nuclear organization has authority to make configuration changes” (</w:t>
      </w:r>
      <w:r w:rsidR="002F66D1">
        <w:rPr>
          <w:rFonts w:ascii="Arial" w:hAnsi="Arial" w:cs="Arial"/>
          <w:sz w:val="22"/>
          <w:szCs w:val="22"/>
        </w:rPr>
        <w:t>TG8</w:t>
      </w:r>
      <w:r w:rsidRPr="00E252BF">
        <w:rPr>
          <w:rFonts w:ascii="Arial" w:hAnsi="Arial" w:cs="Arial"/>
          <w:sz w:val="22"/>
          <w:szCs w:val="22"/>
        </w:rPr>
        <w:t>-0004).</w:t>
      </w:r>
    </w:p>
    <w:p w:rsidR="00E62A32" w:rsidP="00E252BF" w14:paraId="16091A89" w14:textId="77777777">
      <w:pPr>
        <w:spacing w:after="220"/>
        <w:rPr>
          <w:rFonts w:ascii="Arial"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The NRC agrees, in part, with the comment.</w:t>
      </w:r>
    </w:p>
    <w:p w:rsidR="00302EF4" w:rsidRPr="00E252BF" w:rsidP="00E252BF" w14:paraId="764BABF8" w14:textId="77777777">
      <w:pPr>
        <w:spacing w:after="220"/>
        <w:rPr>
          <w:rFonts w:ascii="Arial" w:hAnsi="Arial" w:cs="Arial"/>
          <w:sz w:val="22"/>
          <w:szCs w:val="22"/>
        </w:rPr>
      </w:pPr>
      <w:r w:rsidRPr="00E252BF">
        <w:rPr>
          <w:rFonts w:ascii="Arial" w:hAnsi="Arial" w:cs="Arial"/>
          <w:sz w:val="22"/>
          <w:szCs w:val="22"/>
        </w:rPr>
        <w:t>T</w:t>
      </w:r>
      <w:r w:rsidRPr="00E252BF" w:rsidR="007F112A">
        <w:rPr>
          <w:rFonts w:ascii="Arial" w:hAnsi="Arial" w:cs="Arial"/>
          <w:sz w:val="22"/>
          <w:szCs w:val="22"/>
        </w:rPr>
        <w:t xml:space="preserve">he NRC agrees that digital controls may play an important role for future commercial nuclear plants but believes that they are </w:t>
      </w:r>
      <w:r w:rsidR="008634C5">
        <w:rPr>
          <w:rFonts w:ascii="Arial" w:hAnsi="Arial" w:cs="Arial"/>
          <w:sz w:val="22"/>
          <w:szCs w:val="22"/>
        </w:rPr>
        <w:t xml:space="preserve">already </w:t>
      </w:r>
      <w:r w:rsidRPr="00E252BF" w:rsidR="007F112A">
        <w:rPr>
          <w:rFonts w:ascii="Arial" w:hAnsi="Arial" w:cs="Arial"/>
          <w:sz w:val="22"/>
          <w:szCs w:val="22"/>
        </w:rPr>
        <w:t>appropriately addressed within the requirements to identify SSCs and determine appropriate safety categorization and special treatments.</w:t>
      </w:r>
      <w:r w:rsidR="008634C5">
        <w:rPr>
          <w:rFonts w:ascii="Arial" w:hAnsi="Arial" w:cs="Arial"/>
          <w:sz w:val="22"/>
          <w:szCs w:val="22"/>
        </w:rPr>
        <w:t xml:space="preserve"> </w:t>
      </w:r>
      <w:r w:rsidRPr="00E252BF" w:rsidR="008634C5">
        <w:rPr>
          <w:rFonts w:ascii="Arial" w:hAnsi="Arial" w:cs="Arial"/>
          <w:sz w:val="22"/>
          <w:szCs w:val="22"/>
        </w:rPr>
        <w:t>However, as explained in the response to Comment Bin</w:t>
      </w:r>
      <w:r w:rsidR="008634C5">
        <w:rPr>
          <w:rFonts w:ascii="Arial" w:hAnsi="Arial" w:cs="Arial"/>
          <w:sz w:val="22"/>
          <w:szCs w:val="22"/>
        </w:rPr>
        <w:t>s</w:t>
      </w:r>
      <w:r w:rsidRPr="00E252BF" w:rsidR="008634C5">
        <w:rPr>
          <w:rFonts w:ascii="Arial" w:hAnsi="Arial" w:cs="Arial"/>
          <w:sz w:val="22"/>
          <w:szCs w:val="22"/>
        </w:rPr>
        <w:t xml:space="preserve"> 3.6.1.A</w:t>
      </w:r>
      <w:r w:rsidR="008634C5">
        <w:rPr>
          <w:rFonts w:ascii="Arial" w:hAnsi="Arial" w:cs="Arial"/>
          <w:sz w:val="22"/>
          <w:szCs w:val="22"/>
        </w:rPr>
        <w:t xml:space="preserve"> and 3.6.1.D</w:t>
      </w:r>
      <w:r w:rsidRPr="00E252BF" w:rsidR="008634C5">
        <w:rPr>
          <w:rFonts w:ascii="Arial" w:hAnsi="Arial" w:cs="Arial"/>
          <w:sz w:val="22"/>
          <w:szCs w:val="22"/>
        </w:rPr>
        <w:t>, the NRC did revise the rule text in 10 CFR 53.710.</w:t>
      </w:r>
    </w:p>
    <w:p w:rsidR="007F112A" w:rsidRPr="00E252BF" w:rsidP="00E252BF" w14:paraId="50113DC2" w14:textId="77777777">
      <w:pPr>
        <w:spacing w:after="220"/>
        <w:rPr>
          <w:rFonts w:ascii="Arial" w:hAnsi="Arial" w:cs="Arial"/>
          <w:sz w:val="22"/>
          <w:szCs w:val="22"/>
        </w:rPr>
      </w:pPr>
      <w:r w:rsidRPr="00E252BF">
        <w:rPr>
          <w:rFonts w:ascii="Arial" w:hAnsi="Arial" w:cs="Arial"/>
          <w:sz w:val="22"/>
          <w:szCs w:val="22"/>
        </w:rPr>
        <w:t xml:space="preserve">Accordingly, the NRC did not change the rule language in response to this comment. </w:t>
      </w:r>
    </w:p>
    <w:p w:rsidR="000C7D7F" w:rsidRPr="00E252BF" w:rsidP="00E252BF" w14:paraId="407B0E46"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62" style="width:0;height:1.5pt" o:hralign="center" o:hrstd="t" o:hrnoshade="t" o:hr="t" fillcolor="black" stroked="f"/>
        </w:pict>
      </w:r>
    </w:p>
    <w:p w:rsidR="008546BE" w:rsidRPr="00E252BF" w:rsidP="00E252BF" w14:paraId="4BDF6241" w14:textId="77777777">
      <w:pPr>
        <w:spacing w:after="220"/>
        <w:rPr>
          <w:rFonts w:ascii="Arial" w:hAnsi="Arial" w:cs="Arial"/>
          <w:sz w:val="22"/>
          <w:szCs w:val="22"/>
        </w:rPr>
      </w:pPr>
      <w:r w:rsidRPr="00E252BF">
        <w:rPr>
          <w:rFonts w:ascii="Arial" w:eastAsia="DengXian" w:hAnsi="Arial" w:cs="Arial"/>
          <w:b/>
          <w:sz w:val="22"/>
          <w:szCs w:val="22"/>
        </w:rPr>
        <w:t>Comment Bin 3.6.1.</w:t>
      </w:r>
      <w:r w:rsidRPr="00E252BF" w:rsidR="006E07CD">
        <w:rPr>
          <w:rFonts w:ascii="Arial" w:eastAsia="DengXian" w:hAnsi="Arial" w:cs="Arial"/>
          <w:b/>
          <w:sz w:val="22"/>
          <w:szCs w:val="22"/>
        </w:rPr>
        <w:t>D</w:t>
      </w:r>
      <w:r w:rsidRPr="00E252BF">
        <w:rPr>
          <w:rFonts w:ascii="Arial" w:eastAsia="DengXian" w:hAnsi="Arial" w:cs="Arial"/>
          <w:b/>
          <w:sz w:val="22"/>
          <w:szCs w:val="22"/>
        </w:rPr>
        <w:t>:</w:t>
      </w:r>
      <w:r w:rsidRPr="00E252BF">
        <w:rPr>
          <w:rFonts w:ascii="Arial" w:eastAsia="DengXian" w:hAnsi="Arial" w:cs="Arial"/>
          <w:sz w:val="22"/>
          <w:szCs w:val="22"/>
        </w:rPr>
        <w:t xml:space="preserve"> </w:t>
      </w:r>
      <w:r w:rsidRPr="00E252BF">
        <w:rPr>
          <w:rFonts w:ascii="Arial" w:hAnsi="Arial" w:cs="Arial"/>
          <w:sz w:val="22"/>
          <w:szCs w:val="22"/>
        </w:rPr>
        <w:t>A commenter said that the use of the term “controls” through 10</w:t>
      </w:r>
      <w:r w:rsidRPr="00E252BF" w:rsidR="00A67BF2">
        <w:rPr>
          <w:rFonts w:ascii="Arial" w:hAnsi="Arial" w:cs="Arial"/>
          <w:sz w:val="22"/>
          <w:szCs w:val="22"/>
        </w:rPr>
        <w:t> </w:t>
      </w:r>
      <w:r w:rsidRPr="00E252BF">
        <w:rPr>
          <w:rFonts w:ascii="Arial" w:hAnsi="Arial" w:cs="Arial"/>
          <w:sz w:val="22"/>
          <w:szCs w:val="22"/>
        </w:rPr>
        <w:t>CFR</w:t>
      </w:r>
      <w:r w:rsidR="000C059A">
        <w:rPr>
          <w:rFonts w:ascii="Arial" w:hAnsi="Arial" w:cs="Arial"/>
          <w:sz w:val="22"/>
          <w:szCs w:val="22"/>
        </w:rPr>
        <w:t> </w:t>
      </w:r>
      <w:r w:rsidRPr="00E252BF">
        <w:rPr>
          <w:rFonts w:ascii="Arial" w:hAnsi="Arial" w:cs="Arial"/>
          <w:sz w:val="22"/>
          <w:szCs w:val="22"/>
        </w:rPr>
        <w:t>53.710 is not consistent with the definition of the term in 10 CFR 53.725(c) and recommended that the NRC replace “controls” with “measures.” The commenter also suggested reviewing 10 CFR Part 53 for other uses of “controls” to ensure consistent use (</w:t>
      </w:r>
      <w:r w:rsidR="009D6BB9">
        <w:rPr>
          <w:rFonts w:ascii="Arial" w:hAnsi="Arial" w:cs="Arial"/>
          <w:sz w:val="22"/>
          <w:szCs w:val="22"/>
        </w:rPr>
        <w:t>NEI2</w:t>
      </w:r>
      <w:r w:rsidRPr="00E252BF">
        <w:rPr>
          <w:rFonts w:ascii="Arial" w:hAnsi="Arial" w:cs="Arial"/>
          <w:sz w:val="22"/>
          <w:szCs w:val="22"/>
        </w:rPr>
        <w:t>-0072).  </w:t>
      </w:r>
    </w:p>
    <w:p w:rsidR="000C7D7F" w:rsidRPr="00E252BF" w:rsidP="00E252BF" w14:paraId="53C934C0" w14:textId="77777777">
      <w:pPr>
        <w:spacing w:after="220"/>
        <w:rPr>
          <w:rFonts w:ascii="Arial"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The NRC agrees, in part, with the comment.</w:t>
      </w:r>
    </w:p>
    <w:p w:rsidR="005D0CD9" w:rsidRPr="00E252BF" w:rsidP="00E252BF" w14:paraId="68F97B1F" w14:textId="77777777">
      <w:pPr>
        <w:spacing w:after="220"/>
        <w:rPr>
          <w:rFonts w:ascii="Arial" w:hAnsi="Arial" w:cs="Arial"/>
          <w:sz w:val="22"/>
          <w:szCs w:val="22"/>
        </w:rPr>
      </w:pPr>
      <w:r w:rsidRPr="00E252BF">
        <w:rPr>
          <w:rFonts w:ascii="Arial" w:hAnsi="Arial" w:cs="Arial"/>
          <w:sz w:val="22"/>
          <w:szCs w:val="22"/>
        </w:rPr>
        <w:t>The NRC agrees that use of the word “measures</w:t>
      </w:r>
      <w:r w:rsidRPr="00E252BF" w:rsidR="00667D33">
        <w:rPr>
          <w:rFonts w:ascii="Arial" w:hAnsi="Arial" w:cs="Arial"/>
          <w:sz w:val="22"/>
          <w:szCs w:val="22"/>
        </w:rPr>
        <w:t>”</w:t>
      </w:r>
      <w:r w:rsidRPr="00E252BF">
        <w:rPr>
          <w:rFonts w:ascii="Arial" w:hAnsi="Arial" w:cs="Arial"/>
          <w:sz w:val="22"/>
          <w:szCs w:val="22"/>
        </w:rPr>
        <w:t xml:space="preserve"> in 10 CFR 53.710 instead of “controls” could avoid confusion since “controls” are later defined for those sections covering personnel and plant operations.</w:t>
      </w:r>
    </w:p>
    <w:p w:rsidR="000C7D7F" w:rsidRPr="00E252BF" w:rsidP="00E252BF" w14:paraId="45F53824" w14:textId="77777777">
      <w:pPr>
        <w:spacing w:after="220"/>
        <w:rPr>
          <w:rFonts w:ascii="Arial" w:eastAsia="Times New Roman" w:hAnsi="Arial" w:cs="Arial"/>
          <w:sz w:val="22"/>
          <w:szCs w:val="22"/>
          <w:lang w:eastAsia="zh-CN"/>
        </w:rPr>
      </w:pPr>
      <w:r w:rsidRPr="00E252BF">
        <w:rPr>
          <w:rFonts w:ascii="Arial" w:hAnsi="Arial" w:cs="Arial"/>
          <w:sz w:val="22"/>
          <w:szCs w:val="22"/>
        </w:rPr>
        <w:t xml:space="preserve">Accordingly, the NRC </w:t>
      </w:r>
      <w:r w:rsidR="002F3E70">
        <w:rPr>
          <w:rFonts w:ascii="Arial" w:hAnsi="Arial" w:cs="Arial"/>
          <w:sz w:val="22"/>
          <w:szCs w:val="22"/>
        </w:rPr>
        <w:t>has revised</w:t>
      </w:r>
      <w:r w:rsidRPr="00E252BF">
        <w:rPr>
          <w:rFonts w:ascii="Arial" w:hAnsi="Arial" w:cs="Arial"/>
          <w:sz w:val="22"/>
          <w:szCs w:val="22"/>
        </w:rPr>
        <w:t xml:space="preserve"> the rule language in 10</w:t>
      </w:r>
      <w:r w:rsidRPr="00E252BF" w:rsidR="005D0CD9">
        <w:rPr>
          <w:rFonts w:ascii="Arial" w:hAnsi="Arial" w:cs="Arial"/>
          <w:sz w:val="22"/>
          <w:szCs w:val="22"/>
        </w:rPr>
        <w:t> </w:t>
      </w:r>
      <w:r w:rsidRPr="00E252BF">
        <w:rPr>
          <w:rFonts w:ascii="Arial" w:hAnsi="Arial" w:cs="Arial"/>
          <w:sz w:val="22"/>
          <w:szCs w:val="22"/>
        </w:rPr>
        <w:t>CFR 53.710 to use “measures” or “control measures” in the final rule.</w:t>
      </w:r>
      <w:r w:rsidRPr="00E252BF" w:rsidR="005D0CD9">
        <w:rPr>
          <w:rFonts w:ascii="Arial" w:hAnsi="Arial" w:cs="Arial"/>
          <w:sz w:val="22"/>
          <w:szCs w:val="22"/>
        </w:rPr>
        <w:t xml:space="preserve"> </w:t>
      </w:r>
      <w:r w:rsidRPr="00E252BF">
        <w:rPr>
          <w:rFonts w:ascii="Arial" w:hAnsi="Arial" w:cs="Arial"/>
          <w:sz w:val="22"/>
          <w:szCs w:val="22"/>
        </w:rPr>
        <w:t>The NRC reviewed other sections of 10 CFR Part 53 and found that other uses of the word “controls” were sufficiently clear in the context of those sections (e.g.,</w:t>
      </w:r>
      <w:r w:rsidRPr="00E252BF" w:rsidR="00BB79E7">
        <w:rPr>
          <w:rFonts w:ascii="Arial" w:hAnsi="Arial" w:cs="Arial"/>
          <w:sz w:val="22"/>
          <w:szCs w:val="22"/>
        </w:rPr>
        <w:t> </w:t>
      </w:r>
      <w:r w:rsidRPr="00E252BF">
        <w:rPr>
          <w:rFonts w:ascii="Arial" w:hAnsi="Arial" w:cs="Arial"/>
          <w:sz w:val="22"/>
          <w:szCs w:val="22"/>
        </w:rPr>
        <w:t>the use of programmatic controls, availability controls) and did not revise the rule text outside of 10</w:t>
      </w:r>
      <w:r w:rsidRPr="00E252BF" w:rsidR="00BB79E7">
        <w:rPr>
          <w:rFonts w:ascii="Arial" w:hAnsi="Arial" w:cs="Arial"/>
          <w:sz w:val="22"/>
          <w:szCs w:val="22"/>
        </w:rPr>
        <w:t> </w:t>
      </w:r>
      <w:r w:rsidRPr="00E252BF">
        <w:rPr>
          <w:rFonts w:ascii="Arial" w:hAnsi="Arial" w:cs="Arial"/>
          <w:sz w:val="22"/>
          <w:szCs w:val="22"/>
        </w:rPr>
        <w:t>CFR 53.710 in response to this comment.</w:t>
      </w:r>
    </w:p>
    <w:p w:rsidR="007F112A" w:rsidRPr="00E252BF" w:rsidP="00E252BF" w14:paraId="6B779BC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63" style="width:0;height:1.5pt" o:hralign="center" o:hrstd="t" o:hrnoshade="t" o:hr="t" fillcolor="black" stroked="f"/>
        </w:pict>
      </w:r>
    </w:p>
    <w:p w:rsidR="007F112A" w:rsidRPr="00E252BF" w:rsidP="00E252BF" w14:paraId="66A05EA2" w14:textId="77777777">
      <w:pPr>
        <w:spacing w:after="220"/>
        <w:rPr>
          <w:rFonts w:ascii="Arial" w:hAnsi="Arial" w:cs="Arial"/>
          <w:sz w:val="22"/>
          <w:szCs w:val="22"/>
        </w:rPr>
      </w:pPr>
      <w:r w:rsidRPr="00E252BF">
        <w:rPr>
          <w:rFonts w:ascii="Arial" w:eastAsia="DengXian" w:hAnsi="Arial" w:cs="Arial"/>
          <w:b/>
          <w:sz w:val="22"/>
          <w:szCs w:val="22"/>
        </w:rPr>
        <w:t>Comment Bin 3.6.1.</w:t>
      </w:r>
      <w:r w:rsidRPr="00E252BF" w:rsidR="006E07CD">
        <w:rPr>
          <w:rFonts w:ascii="Arial" w:eastAsia="DengXian" w:hAnsi="Arial" w:cs="Arial"/>
          <w:b/>
          <w:sz w:val="22"/>
          <w:szCs w:val="22"/>
        </w:rPr>
        <w:t>E</w:t>
      </w:r>
      <w:r w:rsidRPr="00E252BF">
        <w:rPr>
          <w:rFonts w:ascii="Arial" w:eastAsia="DengXian" w:hAnsi="Arial" w:cs="Arial"/>
          <w:b/>
          <w:sz w:val="22"/>
          <w:szCs w:val="22"/>
        </w:rPr>
        <w:t>:</w:t>
      </w:r>
      <w:r w:rsidRPr="00E252BF">
        <w:rPr>
          <w:rFonts w:ascii="Arial" w:eastAsia="DengXian" w:hAnsi="Arial" w:cs="Arial"/>
          <w:sz w:val="22"/>
          <w:szCs w:val="22"/>
        </w:rPr>
        <w:t xml:space="preserve"> </w:t>
      </w:r>
      <w:r w:rsidRPr="00E252BF">
        <w:rPr>
          <w:rFonts w:ascii="Arial" w:hAnsi="Arial" w:cs="Arial"/>
          <w:sz w:val="22"/>
          <w:szCs w:val="22"/>
        </w:rPr>
        <w:t xml:space="preserve">A commenter said that 10 CFR 53.720 refers to operating basis earthquake ground motion or significant plant damage and said that </w:t>
      </w:r>
      <w:r w:rsidRPr="00665EBF">
        <w:rPr>
          <w:rFonts w:ascii="Arial" w:hAnsi="Arial" w:cs="Arial"/>
          <w:sz w:val="22"/>
          <w:szCs w:val="22"/>
        </w:rPr>
        <w:t xml:space="preserve">“significant plant damage” should be defined or clarified as it is arbitrary. The commenter said that </w:t>
      </w:r>
      <w:r w:rsidRPr="00665EBF" w:rsidR="00933ECD">
        <w:rPr>
          <w:rFonts w:ascii="Arial" w:hAnsi="Arial" w:cs="Arial"/>
          <w:sz w:val="22"/>
          <w:szCs w:val="22"/>
        </w:rPr>
        <w:t>limit</w:t>
      </w:r>
      <w:r w:rsidRPr="00665EBF" w:rsidR="000B5ADF">
        <w:rPr>
          <w:rFonts w:ascii="Arial" w:hAnsi="Arial" w:cs="Arial"/>
          <w:sz w:val="22"/>
          <w:szCs w:val="22"/>
        </w:rPr>
        <w:t>ing conditions for operation</w:t>
      </w:r>
      <w:r w:rsidRPr="00665EBF">
        <w:rPr>
          <w:rFonts w:ascii="Arial" w:hAnsi="Arial" w:cs="Arial"/>
          <w:sz w:val="22"/>
          <w:szCs w:val="22"/>
        </w:rPr>
        <w:t xml:space="preserve"> are already defined for SR SSCs in 10 CFR 53.710, so the intent of significant plant damage is likely duplicative</w:t>
      </w:r>
      <w:r w:rsidRPr="00E252BF">
        <w:rPr>
          <w:rFonts w:ascii="Arial" w:hAnsi="Arial" w:cs="Arial"/>
          <w:sz w:val="22"/>
          <w:szCs w:val="22"/>
        </w:rPr>
        <w:t xml:space="preserve"> (</w:t>
      </w:r>
      <w:r w:rsidR="009D6BB9">
        <w:rPr>
          <w:rFonts w:ascii="Arial" w:hAnsi="Arial" w:cs="Arial"/>
          <w:sz w:val="22"/>
          <w:szCs w:val="22"/>
        </w:rPr>
        <w:t>NEI2</w:t>
      </w:r>
      <w:r w:rsidRPr="00E252BF">
        <w:rPr>
          <w:rFonts w:ascii="Arial" w:hAnsi="Arial" w:cs="Arial"/>
          <w:sz w:val="22"/>
          <w:szCs w:val="22"/>
        </w:rPr>
        <w:t>-0073).</w:t>
      </w:r>
    </w:p>
    <w:p w:rsidR="007F112A" w:rsidRPr="00E252BF" w:rsidP="00E252BF" w14:paraId="315B6D5B" w14:textId="77777777">
      <w:pPr>
        <w:spacing w:after="220"/>
        <w:rPr>
          <w:rFonts w:ascii="Arial" w:hAnsi="Arial" w:cs="Arial"/>
          <w:sz w:val="22"/>
          <w:szCs w:val="22"/>
        </w:rPr>
      </w:pPr>
      <w:r w:rsidRPr="00E252BF">
        <w:rPr>
          <w:rFonts w:ascii="Arial" w:hAnsi="Arial" w:cs="Arial"/>
          <w:sz w:val="22"/>
          <w:szCs w:val="22"/>
        </w:rPr>
        <w:t xml:space="preserve">A commenter wrote that the </w:t>
      </w:r>
      <w:r w:rsidRPr="00665EBF">
        <w:rPr>
          <w:rFonts w:ascii="Arial" w:hAnsi="Arial" w:cs="Arial"/>
          <w:sz w:val="22"/>
          <w:szCs w:val="22"/>
        </w:rPr>
        <w:t>NRC should not be involved in controlling, hindering, or preventing a licensee from shutting down the reactor as a result of a seismic event</w:t>
      </w:r>
      <w:r w:rsidRPr="00E252BF">
        <w:rPr>
          <w:rFonts w:ascii="Arial" w:hAnsi="Arial" w:cs="Arial"/>
          <w:sz w:val="22"/>
          <w:szCs w:val="22"/>
        </w:rPr>
        <w:t xml:space="preserve"> as the licensee is directly responsible for protecting the public and has superior technical expertise. The commenter added that the U.S. government would assume all liabilities if the NRC intervened in preventing licensee shutdown of a reactor. The </w:t>
      </w:r>
      <w:r w:rsidRPr="00665EBF">
        <w:rPr>
          <w:rFonts w:ascii="Arial" w:hAnsi="Arial" w:cs="Arial"/>
          <w:sz w:val="22"/>
          <w:szCs w:val="22"/>
        </w:rPr>
        <w:t>commenter proposed revising 10 CFR 53.720</w:t>
      </w:r>
      <w:r w:rsidRPr="00E252BF">
        <w:rPr>
          <w:rFonts w:ascii="Arial" w:hAnsi="Arial" w:cs="Arial"/>
          <w:sz w:val="22"/>
          <w:szCs w:val="22"/>
        </w:rPr>
        <w:t xml:space="preserve"> to read as follows (</w:t>
      </w:r>
      <w:r w:rsidRPr="009D6BB9" w:rsidR="009D6BB9">
        <w:rPr>
          <w:rFonts w:ascii="Arial" w:eastAsia="Times New Roman" w:hAnsi="Arial" w:cs="Arial"/>
          <w:color w:val="000000"/>
          <w:sz w:val="22"/>
          <w:szCs w:val="22"/>
        </w:rPr>
        <w:t>HPT30</w:t>
      </w:r>
      <w:r w:rsidRPr="009D6BB9">
        <w:rPr>
          <w:rFonts w:ascii="Arial" w:hAnsi="Arial" w:cs="Arial"/>
          <w:sz w:val="22"/>
          <w:szCs w:val="22"/>
        </w:rPr>
        <w:t>-000</w:t>
      </w:r>
      <w:r w:rsidRPr="00E252BF">
        <w:rPr>
          <w:rFonts w:ascii="Arial" w:hAnsi="Arial" w:cs="Arial"/>
          <w:sz w:val="22"/>
          <w:szCs w:val="22"/>
        </w:rPr>
        <w:t>1):</w:t>
      </w:r>
    </w:p>
    <w:p w:rsidR="007F112A" w:rsidRPr="00E252BF" w:rsidP="00E252BF" w14:paraId="1B7F033E" w14:textId="77777777">
      <w:pPr>
        <w:spacing w:after="220"/>
        <w:ind w:left="720" w:right="720"/>
        <w:rPr>
          <w:rFonts w:ascii="Arial" w:hAnsi="Arial" w:cs="Arial"/>
          <w:sz w:val="22"/>
          <w:szCs w:val="22"/>
        </w:rPr>
      </w:pPr>
      <w:r w:rsidRPr="00E252BF">
        <w:rPr>
          <w:rFonts w:ascii="Arial" w:hAnsi="Arial" w:cs="Arial"/>
          <w:sz w:val="22"/>
          <w:szCs w:val="22"/>
        </w:rPr>
        <w:t xml:space="preserve">If vibratory ground motion exceeding that of the operating basis earthquake ground motion or significant reactor damage due to vibratory ground motion occurs, then the licensee must shut down the commercial nuclear plant. Prior to </w:t>
      </w:r>
      <w:r w:rsidRPr="00E252BF">
        <w:rPr>
          <w:rFonts w:ascii="Arial" w:hAnsi="Arial" w:cs="Arial"/>
          <w:sz w:val="22"/>
          <w:szCs w:val="22"/>
        </w:rPr>
        <w:t>resuming operations, the licensee must demonstrate to the NRC that those features necessary for continued operation without undue risk to the health and safety of the public have been repaired or demonstrated as being operational.</w:t>
      </w:r>
    </w:p>
    <w:p w:rsidR="007F112A" w:rsidRPr="00E252BF" w:rsidP="00E252BF" w14:paraId="72AC2A6D" w14:textId="77777777">
      <w:pPr>
        <w:spacing w:after="220"/>
        <w:rPr>
          <w:rFonts w:ascii="Arial" w:eastAsia="Times New Roman" w:hAnsi="Arial" w:cs="Arial"/>
          <w:color w:val="000000"/>
          <w:sz w:val="22"/>
          <w:szCs w:val="22"/>
          <w:lang w:eastAsia="zh-CN"/>
        </w:rPr>
      </w:pPr>
      <w:r w:rsidRPr="00E252BF">
        <w:rPr>
          <w:rFonts w:ascii="Arial" w:hAnsi="Arial" w:cs="Arial"/>
          <w:sz w:val="22"/>
          <w:szCs w:val="22"/>
        </w:rPr>
        <w:t xml:space="preserve">A commenter wrote that it is necessary for safety, security, and proper procedures to be in place to counteract the possibility of seismic events which the proposed rule acknowledges </w:t>
      </w:r>
      <w:r w:rsidR="00014002">
        <w:rPr>
          <w:rFonts w:ascii="Arial" w:hAnsi="Arial" w:cs="Arial"/>
          <w:sz w:val="22"/>
          <w:szCs w:val="22"/>
        </w:rPr>
        <w:br/>
      </w:r>
      <w:r w:rsidRPr="00E252BF">
        <w:rPr>
          <w:rFonts w:ascii="Arial" w:hAnsi="Arial" w:cs="Arial"/>
          <w:sz w:val="22"/>
          <w:szCs w:val="22"/>
        </w:rPr>
        <w:t>(</w:t>
      </w:r>
      <w:r w:rsidR="00B401ED">
        <w:rPr>
          <w:rFonts w:ascii="Arial" w:hAnsi="Arial" w:cs="Arial"/>
          <w:sz w:val="22"/>
          <w:szCs w:val="22"/>
        </w:rPr>
        <w:t>NP</w:t>
      </w:r>
      <w:r w:rsidRPr="00E252BF">
        <w:rPr>
          <w:rFonts w:ascii="Arial" w:hAnsi="Arial" w:cs="Arial"/>
          <w:sz w:val="22"/>
          <w:szCs w:val="22"/>
        </w:rPr>
        <w:t>-0003). </w:t>
      </w:r>
    </w:p>
    <w:p w:rsidR="00174C99" w:rsidRPr="00E252BF" w:rsidP="00E252BF" w14:paraId="51E48DAF" w14:textId="77777777">
      <w:pPr>
        <w:spacing w:after="220"/>
        <w:rPr>
          <w:rFonts w:ascii="Arial" w:eastAsia="DengXian"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The NRC agrees, in part, with the comments.</w:t>
      </w:r>
    </w:p>
    <w:p w:rsidR="007F112A" w:rsidRPr="00E252BF" w:rsidP="00E252BF" w14:paraId="481C569A" w14:textId="77777777">
      <w:pPr>
        <w:spacing w:after="220"/>
        <w:rPr>
          <w:rFonts w:ascii="Arial" w:hAnsi="Arial" w:cs="Arial"/>
          <w:sz w:val="22"/>
          <w:szCs w:val="22"/>
        </w:rPr>
      </w:pPr>
      <w:r>
        <w:rPr>
          <w:rFonts w:ascii="Arial" w:hAnsi="Arial" w:cs="Arial"/>
          <w:sz w:val="22"/>
          <w:szCs w:val="22"/>
        </w:rPr>
        <w:t xml:space="preserve">The NRC disagrees </w:t>
      </w:r>
      <w:r w:rsidR="00A568AC">
        <w:rPr>
          <w:rFonts w:ascii="Arial" w:hAnsi="Arial" w:cs="Arial"/>
          <w:sz w:val="22"/>
          <w:szCs w:val="22"/>
        </w:rPr>
        <w:t>with</w:t>
      </w:r>
      <w:r w:rsidRPr="00E252BF">
        <w:rPr>
          <w:rFonts w:ascii="Arial" w:hAnsi="Arial" w:cs="Arial"/>
          <w:sz w:val="22"/>
          <w:szCs w:val="22"/>
        </w:rPr>
        <w:t xml:space="preserve"> </w:t>
      </w:r>
      <w:r w:rsidR="00A568AC">
        <w:rPr>
          <w:rFonts w:ascii="Arial" w:hAnsi="Arial" w:cs="Arial"/>
          <w:sz w:val="22"/>
          <w:szCs w:val="22"/>
        </w:rPr>
        <w:t>the</w:t>
      </w:r>
      <w:r w:rsidRPr="00E252BF">
        <w:rPr>
          <w:rFonts w:ascii="Arial" w:hAnsi="Arial" w:cs="Arial"/>
          <w:sz w:val="22"/>
          <w:szCs w:val="22"/>
        </w:rPr>
        <w:t xml:space="preserve"> suggest</w:t>
      </w:r>
      <w:r w:rsidR="00A568AC">
        <w:rPr>
          <w:rFonts w:ascii="Arial" w:hAnsi="Arial" w:cs="Arial"/>
          <w:sz w:val="22"/>
          <w:szCs w:val="22"/>
        </w:rPr>
        <w:t>ed</w:t>
      </w:r>
      <w:r w:rsidRPr="00E252BF">
        <w:rPr>
          <w:rFonts w:ascii="Arial" w:hAnsi="Arial" w:cs="Arial"/>
          <w:sz w:val="22"/>
          <w:szCs w:val="22"/>
        </w:rPr>
        <w:t xml:space="preserve"> changes to 10 CFR 53.720, </w:t>
      </w:r>
      <w:r w:rsidRPr="00E252BF" w:rsidR="00EF0E3C">
        <w:rPr>
          <w:rFonts w:ascii="Arial" w:hAnsi="Arial" w:cs="Arial"/>
          <w:sz w:val="22"/>
          <w:szCs w:val="22"/>
        </w:rPr>
        <w:t>such as defining “significant plant damage</w:t>
      </w:r>
      <w:r w:rsidR="00A568AC">
        <w:rPr>
          <w:rFonts w:ascii="Arial" w:hAnsi="Arial" w:cs="Arial"/>
          <w:sz w:val="22"/>
          <w:szCs w:val="22"/>
        </w:rPr>
        <w:t>.</w:t>
      </w:r>
      <w:r w:rsidRPr="00E252BF" w:rsidR="00EF0E3C">
        <w:rPr>
          <w:rFonts w:ascii="Arial" w:hAnsi="Arial" w:cs="Arial"/>
          <w:sz w:val="22"/>
          <w:szCs w:val="22"/>
        </w:rPr>
        <w:t>”</w:t>
      </w:r>
      <w:r w:rsidRPr="00E252BF">
        <w:rPr>
          <w:rFonts w:ascii="Arial" w:hAnsi="Arial" w:cs="Arial"/>
          <w:sz w:val="22"/>
          <w:szCs w:val="22"/>
        </w:rPr>
        <w:t xml:space="preserve"> The rule language in 10 CFR</w:t>
      </w:r>
      <w:r w:rsidR="00A568AC">
        <w:rPr>
          <w:rFonts w:ascii="Arial" w:hAnsi="Arial" w:cs="Arial"/>
          <w:sz w:val="22"/>
          <w:szCs w:val="22"/>
        </w:rPr>
        <w:t> </w:t>
      </w:r>
      <w:r w:rsidRPr="00E252BF">
        <w:rPr>
          <w:rFonts w:ascii="Arial" w:hAnsi="Arial" w:cs="Arial"/>
          <w:sz w:val="22"/>
          <w:szCs w:val="22"/>
        </w:rPr>
        <w:t xml:space="preserve">53.720 is </w:t>
      </w:r>
      <w:r w:rsidRPr="00E252BF" w:rsidR="00A95118">
        <w:rPr>
          <w:rFonts w:ascii="Arial" w:hAnsi="Arial" w:cs="Arial"/>
          <w:sz w:val="22"/>
          <w:szCs w:val="22"/>
        </w:rPr>
        <w:t>consistent with the existing requirements</w:t>
      </w:r>
      <w:r w:rsidRPr="00E252BF">
        <w:rPr>
          <w:rFonts w:ascii="Arial" w:hAnsi="Arial" w:cs="Arial"/>
          <w:sz w:val="22"/>
          <w:szCs w:val="22"/>
        </w:rPr>
        <w:t xml:space="preserve"> in Appendix S to 10 CFR Part 50. In both places, the rule language requires a plant shutdown if vibratory ground motion exceeds that of the operating basis earthquake ground motion or if significant plant damage occurs. The use of the same language is intentional and </w:t>
      </w:r>
      <w:r w:rsidRPr="00E252BF" w:rsidR="00423E9F">
        <w:rPr>
          <w:rFonts w:ascii="Arial" w:hAnsi="Arial" w:cs="Arial"/>
          <w:sz w:val="22"/>
          <w:szCs w:val="22"/>
        </w:rPr>
        <w:t xml:space="preserve">is discussed in more detail in </w:t>
      </w:r>
      <w:r w:rsidRPr="00E252BF">
        <w:rPr>
          <w:rFonts w:ascii="Arial" w:hAnsi="Arial" w:cs="Arial"/>
          <w:sz w:val="22"/>
          <w:szCs w:val="22"/>
        </w:rPr>
        <w:t>RG 1.166, “Pre</w:t>
      </w:r>
      <w:r w:rsidR="00A568AC">
        <w:rPr>
          <w:rFonts w:ascii="Arial" w:hAnsi="Arial" w:cs="Arial"/>
          <w:sz w:val="22"/>
          <w:szCs w:val="22"/>
        </w:rPr>
        <w:noBreakHyphen/>
      </w:r>
      <w:r w:rsidRPr="00E252BF">
        <w:rPr>
          <w:rFonts w:ascii="Arial" w:hAnsi="Arial" w:cs="Arial"/>
          <w:sz w:val="22"/>
          <w:szCs w:val="22"/>
        </w:rPr>
        <w:t xml:space="preserve">Earthquake Planning, Shutdown, and Restart of a Nuclear Power Plant Following an Earthquake,” </w:t>
      </w:r>
      <w:r w:rsidRPr="00E252BF" w:rsidR="00D0095F">
        <w:rPr>
          <w:rFonts w:ascii="Arial" w:hAnsi="Arial" w:cs="Arial"/>
          <w:sz w:val="22"/>
          <w:szCs w:val="22"/>
        </w:rPr>
        <w:t xml:space="preserve">which is </w:t>
      </w:r>
      <w:r w:rsidRPr="00E252BF">
        <w:rPr>
          <w:rFonts w:ascii="Arial" w:hAnsi="Arial" w:cs="Arial"/>
          <w:sz w:val="22"/>
          <w:szCs w:val="22"/>
        </w:rPr>
        <w:t xml:space="preserve">used for the evaluation of plant damage and subsequent restart activities </w:t>
      </w:r>
      <w:r w:rsidRPr="00E252BF" w:rsidR="00D0095F">
        <w:rPr>
          <w:rFonts w:ascii="Arial" w:hAnsi="Arial" w:cs="Arial"/>
          <w:sz w:val="22"/>
          <w:szCs w:val="22"/>
        </w:rPr>
        <w:t xml:space="preserve">following an earthquake. </w:t>
      </w:r>
      <w:r w:rsidRPr="00E252BF" w:rsidR="00532A08">
        <w:rPr>
          <w:rFonts w:ascii="Arial" w:hAnsi="Arial" w:cs="Arial"/>
          <w:sz w:val="22"/>
          <w:szCs w:val="22"/>
        </w:rPr>
        <w:t>Use of rule language in</w:t>
      </w:r>
      <w:r w:rsidRPr="00E252BF">
        <w:rPr>
          <w:rFonts w:ascii="Arial" w:hAnsi="Arial" w:cs="Arial"/>
          <w:sz w:val="22"/>
          <w:szCs w:val="22"/>
        </w:rPr>
        <w:t xml:space="preserve"> 10 CFR 53.720</w:t>
      </w:r>
      <w:r w:rsidRPr="00E252BF" w:rsidR="00E63D6F">
        <w:rPr>
          <w:rFonts w:ascii="Arial" w:hAnsi="Arial" w:cs="Arial"/>
          <w:sz w:val="22"/>
          <w:szCs w:val="22"/>
        </w:rPr>
        <w:t xml:space="preserve"> sim</w:t>
      </w:r>
      <w:r w:rsidRPr="00E252BF" w:rsidR="00140156">
        <w:rPr>
          <w:rFonts w:ascii="Arial" w:hAnsi="Arial" w:cs="Arial"/>
          <w:sz w:val="22"/>
          <w:szCs w:val="22"/>
        </w:rPr>
        <w:t>ilar to that in 10</w:t>
      </w:r>
      <w:r w:rsidR="00242E0E">
        <w:rPr>
          <w:rFonts w:ascii="Arial" w:hAnsi="Arial" w:cs="Arial"/>
          <w:sz w:val="22"/>
          <w:szCs w:val="22"/>
        </w:rPr>
        <w:t> </w:t>
      </w:r>
      <w:r w:rsidRPr="00E252BF" w:rsidR="00140156">
        <w:rPr>
          <w:rFonts w:ascii="Arial" w:hAnsi="Arial" w:cs="Arial"/>
          <w:sz w:val="22"/>
          <w:szCs w:val="22"/>
        </w:rPr>
        <w:t>CFR</w:t>
      </w:r>
      <w:r w:rsidR="00242E0E">
        <w:rPr>
          <w:rFonts w:ascii="Arial" w:hAnsi="Arial" w:cs="Arial"/>
          <w:sz w:val="22"/>
          <w:szCs w:val="22"/>
        </w:rPr>
        <w:t> </w:t>
      </w:r>
      <w:r w:rsidRPr="00E252BF" w:rsidR="00140156">
        <w:rPr>
          <w:rFonts w:ascii="Arial" w:hAnsi="Arial" w:cs="Arial"/>
          <w:sz w:val="22"/>
          <w:szCs w:val="22"/>
        </w:rPr>
        <w:t>Part</w:t>
      </w:r>
      <w:r w:rsidR="00242E0E">
        <w:rPr>
          <w:rFonts w:ascii="Arial" w:hAnsi="Arial" w:cs="Arial"/>
          <w:sz w:val="22"/>
          <w:szCs w:val="22"/>
        </w:rPr>
        <w:t> </w:t>
      </w:r>
      <w:r w:rsidRPr="00E252BF" w:rsidR="00140156">
        <w:rPr>
          <w:rFonts w:ascii="Arial" w:hAnsi="Arial" w:cs="Arial"/>
          <w:sz w:val="22"/>
          <w:szCs w:val="22"/>
        </w:rPr>
        <w:t xml:space="preserve">50 allows for </w:t>
      </w:r>
      <w:r w:rsidRPr="00E252BF" w:rsidR="00853D5A">
        <w:rPr>
          <w:rFonts w:ascii="Arial" w:hAnsi="Arial" w:cs="Arial"/>
          <w:sz w:val="22"/>
          <w:szCs w:val="22"/>
        </w:rPr>
        <w:t xml:space="preserve">the </w:t>
      </w:r>
      <w:r w:rsidRPr="00E252BF" w:rsidR="00140C7B">
        <w:rPr>
          <w:rFonts w:ascii="Arial" w:hAnsi="Arial" w:cs="Arial"/>
          <w:sz w:val="22"/>
          <w:szCs w:val="22"/>
        </w:rPr>
        <w:t>adap</w:t>
      </w:r>
      <w:r w:rsidRPr="00E252BF" w:rsidR="00076EA1">
        <w:rPr>
          <w:rFonts w:ascii="Arial" w:hAnsi="Arial" w:cs="Arial"/>
          <w:sz w:val="22"/>
          <w:szCs w:val="22"/>
        </w:rPr>
        <w:t>ta</w:t>
      </w:r>
      <w:r w:rsidRPr="00E252BF" w:rsidR="00140C7B">
        <w:rPr>
          <w:rFonts w:ascii="Arial" w:hAnsi="Arial" w:cs="Arial"/>
          <w:sz w:val="22"/>
          <w:szCs w:val="22"/>
        </w:rPr>
        <w:t>tion</w:t>
      </w:r>
      <w:r w:rsidRPr="00E252BF" w:rsidR="004E6DE8">
        <w:rPr>
          <w:rFonts w:ascii="Arial" w:hAnsi="Arial" w:cs="Arial"/>
          <w:sz w:val="22"/>
          <w:szCs w:val="22"/>
        </w:rPr>
        <w:t xml:space="preserve"> of the </w:t>
      </w:r>
      <w:r w:rsidRPr="00E252BF" w:rsidR="00853D5A">
        <w:rPr>
          <w:rFonts w:ascii="Arial" w:hAnsi="Arial" w:cs="Arial"/>
          <w:sz w:val="22"/>
          <w:szCs w:val="22"/>
        </w:rPr>
        <w:t xml:space="preserve">longstanding guidance in </w:t>
      </w:r>
      <w:r w:rsidRPr="00E252BF" w:rsidR="00140156">
        <w:rPr>
          <w:rFonts w:ascii="Arial" w:hAnsi="Arial" w:cs="Arial"/>
          <w:sz w:val="22"/>
          <w:szCs w:val="22"/>
        </w:rPr>
        <w:t>RG 1.16</w:t>
      </w:r>
      <w:r w:rsidRPr="00E252BF" w:rsidR="00853D5A">
        <w:rPr>
          <w:rFonts w:ascii="Arial" w:hAnsi="Arial" w:cs="Arial"/>
          <w:sz w:val="22"/>
          <w:szCs w:val="22"/>
        </w:rPr>
        <w:t>6</w:t>
      </w:r>
      <w:r w:rsidRPr="00E252BF" w:rsidR="00140C7B">
        <w:rPr>
          <w:rFonts w:ascii="Arial" w:hAnsi="Arial" w:cs="Arial"/>
          <w:sz w:val="22"/>
          <w:szCs w:val="22"/>
        </w:rPr>
        <w:t xml:space="preserve"> </w:t>
      </w:r>
      <w:r w:rsidRPr="00E252BF" w:rsidR="004E6DE8">
        <w:rPr>
          <w:rFonts w:ascii="Arial" w:hAnsi="Arial" w:cs="Arial"/>
          <w:sz w:val="22"/>
          <w:szCs w:val="22"/>
        </w:rPr>
        <w:t>for</w:t>
      </w:r>
      <w:r w:rsidRPr="00E252BF" w:rsidR="00140C7B">
        <w:rPr>
          <w:rFonts w:ascii="Arial" w:hAnsi="Arial" w:cs="Arial"/>
          <w:sz w:val="22"/>
          <w:szCs w:val="22"/>
        </w:rPr>
        <w:t xml:space="preserve"> </w:t>
      </w:r>
      <w:r w:rsidRPr="00E252BF" w:rsidR="00E8514C">
        <w:rPr>
          <w:rFonts w:ascii="Arial" w:hAnsi="Arial" w:cs="Arial"/>
          <w:sz w:val="22"/>
          <w:szCs w:val="22"/>
        </w:rPr>
        <w:t>use by 10 CFR Part 53 licensees</w:t>
      </w:r>
      <w:r w:rsidRPr="00E252BF">
        <w:rPr>
          <w:rFonts w:ascii="Arial" w:hAnsi="Arial" w:cs="Arial"/>
          <w:sz w:val="22"/>
          <w:szCs w:val="22"/>
        </w:rPr>
        <w:t>.</w:t>
      </w:r>
    </w:p>
    <w:p w:rsidR="007F112A" w:rsidRPr="00E252BF" w:rsidP="00E252BF" w14:paraId="02333E98" w14:textId="77777777">
      <w:pPr>
        <w:spacing w:after="220"/>
        <w:rPr>
          <w:rFonts w:ascii="Arial" w:hAnsi="Arial" w:cs="Arial"/>
          <w:sz w:val="22"/>
          <w:szCs w:val="22"/>
        </w:rPr>
      </w:pPr>
      <w:r w:rsidRPr="00E252BF">
        <w:rPr>
          <w:rFonts w:ascii="Arial" w:hAnsi="Arial" w:cs="Arial"/>
          <w:sz w:val="22"/>
          <w:szCs w:val="22"/>
        </w:rPr>
        <w:t>Regarding the comment concerning the NRC preventing a licensee from shutting down a plant following a seismic event, both 10 CFR 53.720 and Appendix S to 10 CFR Part 50 require a licensee to consult with and propose a plan to the NRC to accomplish the shutdown if a shutdown is hindered by the unavailability of plant equipment resulting from the earthquake. This requirement does not imply the NRC would assume control of the facility but does reflect the seriousness of conditions when safety functions have been compromised by a seismic event.</w:t>
      </w:r>
    </w:p>
    <w:p w:rsidR="007F112A" w:rsidRPr="00E252BF" w:rsidP="00E252BF" w14:paraId="02F50F3C" w14:textId="77777777">
      <w:pPr>
        <w:spacing w:after="220"/>
        <w:rPr>
          <w:rFonts w:ascii="Arial" w:hAnsi="Arial" w:cs="Arial"/>
          <w:sz w:val="22"/>
          <w:szCs w:val="22"/>
        </w:rPr>
      </w:pPr>
      <w:r>
        <w:rPr>
          <w:rFonts w:ascii="Arial" w:hAnsi="Arial" w:cs="Arial"/>
          <w:sz w:val="22"/>
          <w:szCs w:val="22"/>
        </w:rPr>
        <w:t xml:space="preserve">The NRC </w:t>
      </w:r>
      <w:r w:rsidR="00FE36A5">
        <w:rPr>
          <w:rFonts w:ascii="Arial" w:hAnsi="Arial" w:cs="Arial"/>
          <w:sz w:val="22"/>
          <w:szCs w:val="22"/>
        </w:rPr>
        <w:t>agrees with the</w:t>
      </w:r>
      <w:r w:rsidRPr="00E252BF">
        <w:rPr>
          <w:rFonts w:ascii="Arial" w:hAnsi="Arial" w:cs="Arial"/>
          <w:sz w:val="22"/>
          <w:szCs w:val="22"/>
        </w:rPr>
        <w:t xml:space="preserve"> general support of the approach taken for earthquake engineering in 10 CFR 53.480 and operational response to a seismic event under 10</w:t>
      </w:r>
      <w:r w:rsidR="00D35690">
        <w:rPr>
          <w:rFonts w:ascii="Arial" w:hAnsi="Arial" w:cs="Arial"/>
          <w:sz w:val="22"/>
          <w:szCs w:val="22"/>
        </w:rPr>
        <w:t> </w:t>
      </w:r>
      <w:r w:rsidRPr="00E252BF">
        <w:rPr>
          <w:rFonts w:ascii="Arial" w:hAnsi="Arial" w:cs="Arial"/>
          <w:sz w:val="22"/>
          <w:szCs w:val="22"/>
        </w:rPr>
        <w:t>CFR</w:t>
      </w:r>
      <w:r w:rsidR="00D35690">
        <w:rPr>
          <w:rFonts w:ascii="Arial" w:hAnsi="Arial" w:cs="Arial"/>
          <w:sz w:val="22"/>
          <w:szCs w:val="22"/>
        </w:rPr>
        <w:t> </w:t>
      </w:r>
      <w:r w:rsidRPr="00E252BF">
        <w:rPr>
          <w:rFonts w:ascii="Arial" w:hAnsi="Arial" w:cs="Arial"/>
          <w:sz w:val="22"/>
          <w:szCs w:val="22"/>
        </w:rPr>
        <w:t>53.720</w:t>
      </w:r>
      <w:r w:rsidR="001271CF">
        <w:rPr>
          <w:rFonts w:ascii="Arial" w:hAnsi="Arial" w:cs="Arial"/>
          <w:sz w:val="22"/>
          <w:szCs w:val="22"/>
        </w:rPr>
        <w:t>.</w:t>
      </w:r>
      <w:r w:rsidRPr="00E252BF">
        <w:rPr>
          <w:rFonts w:ascii="Arial" w:hAnsi="Arial" w:cs="Arial"/>
          <w:sz w:val="22"/>
          <w:szCs w:val="22"/>
        </w:rPr>
        <w:t xml:space="preserve"> </w:t>
      </w:r>
      <w:r w:rsidR="001271CF">
        <w:rPr>
          <w:rFonts w:ascii="Arial" w:hAnsi="Arial" w:cs="Arial"/>
          <w:sz w:val="22"/>
          <w:szCs w:val="22"/>
        </w:rPr>
        <w:t xml:space="preserve">The NRC </w:t>
      </w:r>
      <w:r w:rsidRPr="00E252BF">
        <w:rPr>
          <w:rFonts w:ascii="Arial" w:hAnsi="Arial" w:cs="Arial"/>
          <w:sz w:val="22"/>
          <w:szCs w:val="22"/>
        </w:rPr>
        <w:t>notes that the comment did not suggest changes to the rule language.</w:t>
      </w:r>
    </w:p>
    <w:p w:rsidR="007F112A" w:rsidRPr="00E252BF" w:rsidP="00E252BF" w14:paraId="0E562541" w14:textId="77777777">
      <w:pPr>
        <w:spacing w:after="220"/>
        <w:rPr>
          <w:rFonts w:ascii="Arial" w:eastAsia="Times New Roman" w:hAnsi="Arial" w:cs="Arial"/>
          <w:color w:val="000000"/>
          <w:sz w:val="22"/>
          <w:szCs w:val="22"/>
          <w:lang w:eastAsia="zh-CN"/>
        </w:rPr>
      </w:pPr>
      <w:r w:rsidRPr="00E252BF">
        <w:rPr>
          <w:rFonts w:ascii="Arial" w:hAnsi="Arial" w:cs="Arial"/>
          <w:sz w:val="22"/>
          <w:szCs w:val="22"/>
        </w:rPr>
        <w:t>Accordingly, the NRC did not change the rule language in response to these comments.</w:t>
      </w:r>
    </w:p>
    <w:p w:rsidR="007F112A" w:rsidRPr="00E252BF" w:rsidP="00E252BF" w14:paraId="19DFD86C"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64" style="width:0;height:1.5pt" o:hralign="center" o:hrstd="t" o:hrnoshade="t" o:hr="t" fillcolor="black" stroked="f"/>
        </w:pict>
      </w:r>
    </w:p>
    <w:p w:rsidR="007F112A" w:rsidRPr="00E252BF" w:rsidP="00E252BF" w14:paraId="3B7E60B9" w14:textId="77777777">
      <w:pPr>
        <w:spacing w:after="220"/>
        <w:rPr>
          <w:rFonts w:ascii="Arial" w:hAnsi="Arial" w:cs="Arial"/>
          <w:sz w:val="22"/>
          <w:szCs w:val="22"/>
        </w:rPr>
      </w:pPr>
      <w:r w:rsidRPr="00E252BF">
        <w:rPr>
          <w:rFonts w:ascii="Arial" w:eastAsia="DengXian" w:hAnsi="Arial" w:cs="Arial"/>
          <w:b/>
          <w:sz w:val="22"/>
          <w:szCs w:val="22"/>
        </w:rPr>
        <w:t>Comment Bin 3.6.1.</w:t>
      </w:r>
      <w:r w:rsidRPr="00E252BF" w:rsidR="006E07CD">
        <w:rPr>
          <w:rFonts w:ascii="Arial" w:eastAsia="DengXian" w:hAnsi="Arial" w:cs="Arial"/>
          <w:b/>
          <w:sz w:val="22"/>
          <w:szCs w:val="22"/>
        </w:rPr>
        <w:t>F</w:t>
      </w:r>
      <w:r w:rsidRPr="00E252BF">
        <w:rPr>
          <w:rFonts w:ascii="Arial" w:eastAsia="DengXian" w:hAnsi="Arial" w:cs="Arial"/>
          <w:b/>
          <w:sz w:val="22"/>
          <w:szCs w:val="22"/>
        </w:rPr>
        <w:t>:</w:t>
      </w:r>
      <w:r w:rsidRPr="00E252BF">
        <w:rPr>
          <w:rFonts w:ascii="Arial" w:eastAsia="DengXian" w:hAnsi="Arial" w:cs="Arial"/>
          <w:sz w:val="22"/>
          <w:szCs w:val="22"/>
        </w:rPr>
        <w:t xml:space="preserve"> </w:t>
      </w:r>
      <w:r w:rsidRPr="00E252BF">
        <w:rPr>
          <w:rFonts w:ascii="Arial" w:hAnsi="Arial" w:cs="Arial"/>
          <w:sz w:val="22"/>
          <w:szCs w:val="22"/>
        </w:rPr>
        <w:t>A commenter wrote that the requirements in 10 CFR 53.715 are not equivalent to the subsections in 10 CFR Part 50 that are referenced. The commenter wrote that linking SSC conditions, incorporating industry wide-experience, and assessing increased risk are all not measurable. The commenter proposed revising 10 CFR 53.715 to read as follows (</w:t>
      </w:r>
      <w:r w:rsidRPr="00996B61" w:rsidR="00996B61">
        <w:rPr>
          <w:rFonts w:ascii="Arial" w:eastAsia="Times New Roman" w:hAnsi="Arial" w:cs="Arial"/>
          <w:color w:val="000000"/>
          <w:sz w:val="22"/>
          <w:szCs w:val="22"/>
        </w:rPr>
        <w:t>HPT34</w:t>
      </w:r>
      <w:r w:rsidRPr="00996B61">
        <w:rPr>
          <w:rFonts w:ascii="Arial" w:hAnsi="Arial" w:cs="Arial"/>
          <w:sz w:val="22"/>
          <w:szCs w:val="22"/>
        </w:rPr>
        <w:t>-000</w:t>
      </w:r>
      <w:r w:rsidRPr="00E252BF">
        <w:rPr>
          <w:rFonts w:ascii="Arial" w:hAnsi="Arial" w:cs="Arial"/>
          <w:sz w:val="22"/>
          <w:szCs w:val="22"/>
        </w:rPr>
        <w:t>1):</w:t>
      </w:r>
    </w:p>
    <w:p w:rsidR="007F112A" w:rsidRPr="00E252BF" w:rsidP="00E252BF" w14:paraId="7A517768" w14:textId="77777777">
      <w:pPr>
        <w:spacing w:after="220"/>
        <w:ind w:left="720" w:right="720"/>
        <w:rPr>
          <w:rFonts w:ascii="Arial" w:hAnsi="Arial" w:cs="Arial"/>
          <w:sz w:val="22"/>
          <w:szCs w:val="22"/>
        </w:rPr>
      </w:pPr>
      <w:r w:rsidRPr="00E252BF">
        <w:rPr>
          <w:rFonts w:ascii="Arial" w:hAnsi="Arial" w:cs="Arial"/>
          <w:sz w:val="22"/>
          <w:szCs w:val="22"/>
        </w:rPr>
        <w:t xml:space="preserve">(a) Condition monitoring program an applicant developed program must be deployed to periodically monitor the condition of safety-related and important-to-safety-related structures, systems and components (SSC) against licensee established goals that provide additional reasonable assurance that these SSC items can perform their safety function. The program goals must be consider the risk associated with the SSC’s nuclear safety function. Risk is linked to the applicant developed probabilistic risk analysis. The licensee must identify any key consensus industry codes/standards employed to develop the monitoring program and goals. Appropriate corrective actions must be taken if the condition </w:t>
      </w:r>
      <w:r w:rsidRPr="00E252BF">
        <w:rPr>
          <w:rFonts w:ascii="Arial" w:hAnsi="Arial" w:cs="Arial"/>
          <w:sz w:val="22"/>
          <w:szCs w:val="22"/>
        </w:rPr>
        <w:t>monitoring program or maintenance activities indicate goal non-compliance issues.</w:t>
      </w:r>
    </w:p>
    <w:p w:rsidR="007F112A" w:rsidRPr="00E252BF" w:rsidP="00E252BF" w14:paraId="225ED57B" w14:textId="77777777">
      <w:pPr>
        <w:spacing w:after="220"/>
        <w:ind w:left="720" w:right="720"/>
        <w:rPr>
          <w:rFonts w:ascii="Arial" w:hAnsi="Arial" w:cs="Arial"/>
          <w:sz w:val="22"/>
          <w:szCs w:val="22"/>
        </w:rPr>
      </w:pPr>
      <w:r w:rsidRPr="00E252BF">
        <w:rPr>
          <w:rFonts w:ascii="Arial" w:hAnsi="Arial" w:cs="Arial"/>
          <w:sz w:val="22"/>
          <w:szCs w:val="22"/>
        </w:rPr>
        <w:t>(b) The program goals must be reviewed at least every 24 months and adjusted as considered appropriate by the licensee.</w:t>
      </w:r>
    </w:p>
    <w:p w:rsidR="007F112A" w:rsidRPr="00E252BF" w:rsidP="00E252BF" w14:paraId="2B309D89" w14:textId="77777777">
      <w:pPr>
        <w:spacing w:after="220"/>
        <w:ind w:left="720" w:right="720"/>
        <w:rPr>
          <w:rFonts w:ascii="Arial" w:hAnsi="Arial" w:cs="Arial"/>
          <w:sz w:val="22"/>
          <w:szCs w:val="22"/>
        </w:rPr>
      </w:pPr>
      <w:r w:rsidRPr="00E252BF">
        <w:rPr>
          <w:rFonts w:ascii="Arial" w:hAnsi="Arial" w:cs="Arial"/>
          <w:sz w:val="22"/>
          <w:szCs w:val="22"/>
        </w:rPr>
        <w:t>(c) Before performing maintenance or surveillance/testing activities on safety-related and important-to-safety SSC’, must assess the impact on the associated conditioning monitoring program goal(s) and take appropriate cautionary actions as considered necessary. </w:t>
      </w:r>
    </w:p>
    <w:p w:rsidR="007F112A" w:rsidRPr="00E252BF" w:rsidP="00E252BF" w14:paraId="0318600C" w14:textId="77777777">
      <w:pPr>
        <w:spacing w:after="220"/>
        <w:rPr>
          <w:rFonts w:ascii="Arial" w:hAnsi="Arial" w:cs="Arial"/>
          <w:sz w:val="22"/>
          <w:szCs w:val="22"/>
        </w:rPr>
      </w:pPr>
      <w:r w:rsidRPr="00E252BF">
        <w:rPr>
          <w:rFonts w:ascii="Arial" w:eastAsia="DengXian" w:hAnsi="Arial" w:cs="Arial"/>
          <w:b/>
          <w:sz w:val="22"/>
          <w:szCs w:val="22"/>
        </w:rPr>
        <w:t>NRC Response:</w:t>
      </w:r>
      <w:r w:rsidRPr="00E252BF">
        <w:rPr>
          <w:rFonts w:ascii="Arial" w:eastAsia="DengXian" w:hAnsi="Arial" w:cs="Arial"/>
          <w:sz w:val="22"/>
          <w:szCs w:val="22"/>
        </w:rPr>
        <w:t xml:space="preserve"> </w:t>
      </w:r>
      <w:r w:rsidRPr="00E252BF">
        <w:rPr>
          <w:rFonts w:ascii="Arial" w:hAnsi="Arial" w:cs="Arial"/>
          <w:sz w:val="22"/>
          <w:szCs w:val="22"/>
        </w:rPr>
        <w:t>The NRC disagrees with the comment.</w:t>
      </w:r>
    </w:p>
    <w:p w:rsidR="007F112A" w:rsidRPr="00E252BF" w:rsidP="00E252BF" w14:paraId="59296694" w14:textId="77777777">
      <w:pPr>
        <w:spacing w:after="220"/>
        <w:rPr>
          <w:rFonts w:ascii="Arial" w:hAnsi="Arial" w:cs="Arial"/>
          <w:sz w:val="22"/>
          <w:szCs w:val="22"/>
        </w:rPr>
      </w:pPr>
      <w:r w:rsidRPr="00E252BF">
        <w:rPr>
          <w:rFonts w:ascii="Arial" w:hAnsi="Arial" w:cs="Arial"/>
          <w:sz w:val="22"/>
          <w:szCs w:val="22"/>
        </w:rPr>
        <w:t>The rule language for 10 CFR 53.715 is based largely on the corresponding requirements in 10 CFR 50.65</w:t>
      </w:r>
      <w:r w:rsidRPr="00E252BF" w:rsidR="00732581">
        <w:rPr>
          <w:rFonts w:ascii="Arial" w:hAnsi="Arial" w:cs="Arial"/>
          <w:sz w:val="22"/>
          <w:szCs w:val="22"/>
        </w:rPr>
        <w:t>,</w:t>
      </w:r>
      <w:r w:rsidRPr="00E252BF">
        <w:rPr>
          <w:rFonts w:ascii="Arial" w:hAnsi="Arial" w:cs="Arial"/>
          <w:sz w:val="22"/>
          <w:szCs w:val="22"/>
        </w:rPr>
        <w:t xml:space="preserve"> except where the requirements are addressed by other sections in 10</w:t>
      </w:r>
      <w:r w:rsidR="007B5990">
        <w:rPr>
          <w:rFonts w:ascii="Arial" w:hAnsi="Arial" w:cs="Arial"/>
          <w:sz w:val="22"/>
          <w:szCs w:val="22"/>
        </w:rPr>
        <w:t> </w:t>
      </w:r>
      <w:r w:rsidRPr="00E252BF">
        <w:rPr>
          <w:rFonts w:ascii="Arial" w:hAnsi="Arial" w:cs="Arial"/>
          <w:sz w:val="22"/>
          <w:szCs w:val="22"/>
        </w:rPr>
        <w:t>CFR</w:t>
      </w:r>
      <w:r w:rsidR="007B5990">
        <w:rPr>
          <w:rFonts w:ascii="Arial" w:hAnsi="Arial" w:cs="Arial"/>
          <w:sz w:val="22"/>
          <w:szCs w:val="22"/>
        </w:rPr>
        <w:t> </w:t>
      </w:r>
      <w:r w:rsidRPr="00E252BF">
        <w:rPr>
          <w:rFonts w:ascii="Arial" w:hAnsi="Arial" w:cs="Arial"/>
          <w:sz w:val="22"/>
          <w:szCs w:val="22"/>
        </w:rPr>
        <w:t>Part</w:t>
      </w:r>
      <w:r w:rsidR="007B5990">
        <w:rPr>
          <w:rFonts w:ascii="Arial" w:hAnsi="Arial" w:cs="Arial"/>
          <w:sz w:val="22"/>
          <w:szCs w:val="22"/>
        </w:rPr>
        <w:t> </w:t>
      </w:r>
      <w:r w:rsidRPr="00E252BF">
        <w:rPr>
          <w:rFonts w:ascii="Arial" w:hAnsi="Arial" w:cs="Arial"/>
          <w:sz w:val="22"/>
          <w:szCs w:val="22"/>
        </w:rPr>
        <w:t xml:space="preserve">53. The use of consistent rule language is intentional and will facilitate guidance development and application of lessons learned from many years of experience </w:t>
      </w:r>
      <w:r w:rsidR="00B73665">
        <w:rPr>
          <w:rFonts w:ascii="Arial" w:hAnsi="Arial" w:cs="Arial"/>
          <w:sz w:val="22"/>
          <w:szCs w:val="22"/>
        </w:rPr>
        <w:t>implementing 10</w:t>
      </w:r>
      <w:r w:rsidR="007B5990">
        <w:rPr>
          <w:rFonts w:ascii="Arial" w:hAnsi="Arial" w:cs="Arial"/>
          <w:sz w:val="22"/>
          <w:szCs w:val="22"/>
        </w:rPr>
        <w:t> </w:t>
      </w:r>
      <w:r w:rsidR="00B73665">
        <w:rPr>
          <w:rFonts w:ascii="Arial" w:hAnsi="Arial" w:cs="Arial"/>
          <w:sz w:val="22"/>
          <w:szCs w:val="22"/>
        </w:rPr>
        <w:t>CFR</w:t>
      </w:r>
      <w:r w:rsidR="007B5990">
        <w:rPr>
          <w:rFonts w:ascii="Arial" w:hAnsi="Arial" w:cs="Arial"/>
          <w:sz w:val="22"/>
          <w:szCs w:val="22"/>
        </w:rPr>
        <w:t> </w:t>
      </w:r>
      <w:r w:rsidR="00B73665">
        <w:rPr>
          <w:rFonts w:ascii="Arial" w:hAnsi="Arial" w:cs="Arial"/>
          <w:sz w:val="22"/>
          <w:szCs w:val="22"/>
        </w:rPr>
        <w:t>50</w:t>
      </w:r>
      <w:r w:rsidR="00B8419E">
        <w:rPr>
          <w:rFonts w:ascii="Arial" w:hAnsi="Arial" w:cs="Arial"/>
          <w:sz w:val="22"/>
          <w:szCs w:val="22"/>
        </w:rPr>
        <w:t>.65</w:t>
      </w:r>
      <w:r w:rsidRPr="00E252BF">
        <w:rPr>
          <w:rFonts w:ascii="Arial" w:hAnsi="Arial" w:cs="Arial"/>
          <w:sz w:val="22"/>
          <w:szCs w:val="22"/>
        </w:rPr>
        <w:t xml:space="preserve"> for plants licensed under 10 CFR Parts 50 and 52. Some of the suggestions in the comment align with 10 CFR 50.65 but do not reflect performance monitoring in other sections of 10 CFR Part 53, such as 10</w:t>
      </w:r>
      <w:r w:rsidRPr="00E252BF" w:rsidR="0026434E">
        <w:rPr>
          <w:rFonts w:ascii="Arial" w:hAnsi="Arial" w:cs="Arial"/>
          <w:sz w:val="22"/>
          <w:szCs w:val="22"/>
        </w:rPr>
        <w:t> </w:t>
      </w:r>
      <w:r w:rsidRPr="00E252BF">
        <w:rPr>
          <w:rFonts w:ascii="Arial" w:hAnsi="Arial" w:cs="Arial"/>
          <w:sz w:val="22"/>
          <w:szCs w:val="22"/>
        </w:rPr>
        <w:t>CFR</w:t>
      </w:r>
      <w:r w:rsidRPr="00E252BF" w:rsidR="0026434E">
        <w:rPr>
          <w:rFonts w:ascii="Arial" w:hAnsi="Arial" w:cs="Arial"/>
          <w:sz w:val="22"/>
          <w:szCs w:val="22"/>
        </w:rPr>
        <w:t> </w:t>
      </w:r>
      <w:r w:rsidRPr="00E252BF">
        <w:rPr>
          <w:rFonts w:ascii="Arial" w:hAnsi="Arial" w:cs="Arial"/>
          <w:sz w:val="22"/>
          <w:szCs w:val="22"/>
        </w:rPr>
        <w:t>53.710(b), that addresses control measures on plant operations, including availability controls, to ensure that plant configurations and special treatments for SR SSCs and NSRSS SSCs provide the capabilities, availability, and reliability required to demonstrate compliance with the criteria of 10</w:t>
      </w:r>
      <w:r w:rsidRPr="00E252BF" w:rsidR="0026434E">
        <w:rPr>
          <w:rFonts w:ascii="Arial" w:hAnsi="Arial" w:cs="Arial"/>
          <w:sz w:val="22"/>
          <w:szCs w:val="22"/>
        </w:rPr>
        <w:t> </w:t>
      </w:r>
      <w:r w:rsidRPr="00E252BF">
        <w:rPr>
          <w:rFonts w:ascii="Arial" w:hAnsi="Arial" w:cs="Arial"/>
          <w:sz w:val="22"/>
          <w:szCs w:val="22"/>
        </w:rPr>
        <w:t>CFR 53.220 and 10</w:t>
      </w:r>
      <w:r w:rsidR="008D2D31">
        <w:rPr>
          <w:rFonts w:ascii="Arial" w:hAnsi="Arial" w:cs="Arial"/>
          <w:sz w:val="22"/>
          <w:szCs w:val="22"/>
        </w:rPr>
        <w:t> </w:t>
      </w:r>
      <w:r w:rsidRPr="00E252BF">
        <w:rPr>
          <w:rFonts w:ascii="Arial" w:hAnsi="Arial" w:cs="Arial"/>
          <w:sz w:val="22"/>
          <w:szCs w:val="22"/>
        </w:rPr>
        <w:t>CFR</w:t>
      </w:r>
      <w:r w:rsidR="008D2D31">
        <w:rPr>
          <w:rFonts w:ascii="Arial" w:hAnsi="Arial" w:cs="Arial"/>
          <w:sz w:val="22"/>
          <w:szCs w:val="22"/>
        </w:rPr>
        <w:t> </w:t>
      </w:r>
      <w:r w:rsidRPr="00E252BF">
        <w:rPr>
          <w:rFonts w:ascii="Arial" w:hAnsi="Arial" w:cs="Arial"/>
          <w:sz w:val="22"/>
          <w:szCs w:val="22"/>
        </w:rPr>
        <w:t>53.450(e).</w:t>
      </w:r>
    </w:p>
    <w:p w:rsidR="007F112A" w:rsidP="00E252BF" w14:paraId="24511AC7" w14:textId="77777777">
      <w:pPr>
        <w:spacing w:after="220"/>
        <w:rPr>
          <w:rFonts w:ascii="Arial" w:eastAsia="Times New Roman" w:hAnsi="Arial" w:cs="Arial"/>
          <w:sz w:val="22"/>
          <w:szCs w:val="22"/>
          <w:lang w:eastAsia="zh-CN"/>
        </w:rPr>
      </w:pPr>
      <w:r w:rsidRPr="00E252BF">
        <w:rPr>
          <w:rFonts w:ascii="Arial" w:hAnsi="Arial" w:cs="Arial"/>
          <w:sz w:val="22"/>
          <w:szCs w:val="22"/>
        </w:rPr>
        <w:t>Accordingly, the NRC did not change the rule language in response to this comment.</w:t>
      </w:r>
    </w:p>
    <w:p w:rsidR="00E252BF" w:rsidRPr="00E45BC7" w:rsidP="00E252BF" w14:paraId="567D1B0F"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65" style="width:0;height:1.5pt" o:hralign="center" o:hrstd="t" o:hrnoshade="t" o:hr="t" fillcolor="black" stroked="f"/>
        </w:pict>
      </w:r>
    </w:p>
    <w:p w:rsidR="007F112A" w:rsidRPr="00E45BC7" w:rsidP="00E252BF" w14:paraId="1883F554"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3.6.1.</w:t>
      </w:r>
      <w:r w:rsidRPr="00E45BC7" w:rsidR="006E07CD">
        <w:rPr>
          <w:rFonts w:ascii="Arial" w:eastAsia="DengXian" w:hAnsi="Arial" w:cs="Arial"/>
          <w:b/>
          <w:sz w:val="22"/>
          <w:szCs w:val="22"/>
        </w:rPr>
        <w:t>G</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 xml:space="preserve">A commenter wrote that Subpart F includes multiple reliability assurance programs with multiple panels created under current LMP guidance in NEI 18-04; however, the commenter stated that early users have found that multiple programs with multiple panels covering the same reliability scope does not increase the safety of the plant design. The commenter asked that the NRC revise 10 CFR Part 53 in a way that does not require the establishment of multiple panels </w:t>
      </w:r>
      <w:r w:rsidRPr="00BE1FE9">
        <w:rPr>
          <w:rFonts w:ascii="Arial" w:hAnsi="Arial" w:cs="Arial"/>
          <w:sz w:val="22"/>
          <w:szCs w:val="22"/>
        </w:rPr>
        <w:t>(</w:t>
      </w:r>
      <w:r w:rsidRPr="00BE1FE9" w:rsidR="00BE1FE9">
        <w:rPr>
          <w:rFonts w:ascii="Arial" w:eastAsia="Times New Roman" w:hAnsi="Arial" w:cs="Arial"/>
          <w:color w:val="000000"/>
          <w:sz w:val="22"/>
          <w:szCs w:val="22"/>
        </w:rPr>
        <w:t>SG2</w:t>
      </w:r>
      <w:r w:rsidRPr="00BE1FE9">
        <w:rPr>
          <w:rFonts w:ascii="Arial" w:hAnsi="Arial" w:cs="Arial"/>
          <w:sz w:val="22"/>
          <w:szCs w:val="22"/>
        </w:rPr>
        <w:t>-00</w:t>
      </w:r>
      <w:r w:rsidRPr="00E45BC7">
        <w:rPr>
          <w:rFonts w:ascii="Arial" w:hAnsi="Arial" w:cs="Arial"/>
          <w:sz w:val="22"/>
          <w:szCs w:val="22"/>
        </w:rPr>
        <w:t>01). </w:t>
      </w:r>
    </w:p>
    <w:p w:rsidR="007F112A" w:rsidRPr="00E45BC7" w:rsidP="00E252BF" w14:paraId="19675A0E"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the comment.</w:t>
      </w:r>
    </w:p>
    <w:p w:rsidR="007F112A" w:rsidRPr="00E45BC7" w:rsidP="00E252BF" w14:paraId="2CF689F4" w14:textId="77777777">
      <w:pPr>
        <w:spacing w:after="220"/>
        <w:rPr>
          <w:rFonts w:ascii="Arial" w:hAnsi="Arial" w:cs="Arial"/>
          <w:sz w:val="22"/>
          <w:szCs w:val="22"/>
        </w:rPr>
      </w:pPr>
      <w:r w:rsidRPr="00E45BC7">
        <w:rPr>
          <w:rFonts w:ascii="Arial" w:hAnsi="Arial" w:cs="Arial"/>
          <w:sz w:val="22"/>
          <w:szCs w:val="22"/>
        </w:rPr>
        <w:t>The NRC is aware that the risk-informed, performance-based, and technology-inclusive framework for 10 CFR Part 53 and the related consensus codes and standards result in the need for expert panels in multiple areas related to the design and operation of commercial nuclear plants. The use of such multidisciplinary expert panels is an important element of risk-informed approaches and is equally a challenge when risk-informed alternatives are widely adopted under 10 CFR Parts 50 and 52. However, the requirements in 10 CFR Part 53 do not dictate how applicants and licensees organize such expert panels in terms of fulfilling the role for singular or multiple design and operational programs.</w:t>
      </w:r>
    </w:p>
    <w:p w:rsidR="007F112A" w:rsidRPr="00E45BC7" w:rsidP="00E252BF" w14:paraId="09171855" w14:textId="77777777">
      <w:pPr>
        <w:spacing w:after="220"/>
        <w:rPr>
          <w:rFonts w:ascii="Arial" w:eastAsia="Times New Roman" w:hAnsi="Arial" w:cs="Arial"/>
          <w:sz w:val="22"/>
          <w:szCs w:val="22"/>
          <w:lang w:eastAsia="zh-CN"/>
        </w:rPr>
      </w:pPr>
      <w:r w:rsidRPr="00E45BC7">
        <w:rPr>
          <w:rFonts w:ascii="Arial" w:hAnsi="Arial" w:cs="Arial"/>
          <w:sz w:val="22"/>
          <w:szCs w:val="22"/>
        </w:rPr>
        <w:t>Accordingly, the NRC did not change the rule language in response to this comment</w:t>
      </w:r>
    </w:p>
    <w:p w:rsidR="00E45BC7" w:rsidRPr="00E45BC7" w:rsidP="00E252BF" w14:paraId="560D1B51"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66" style="width:0;height:1.5pt" o:hralign="center" o:hrstd="t" o:hrnoshade="t" o:hr="t" fillcolor="black" stroked="f"/>
        </w:pict>
      </w:r>
    </w:p>
    <w:p w:rsidR="007F112A" w:rsidRPr="00E45BC7" w:rsidP="00E252BF" w14:paraId="4FDDD33C"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3.6.1.</w:t>
      </w:r>
      <w:r w:rsidRPr="00E45BC7" w:rsidR="00290DFC">
        <w:rPr>
          <w:rFonts w:ascii="Arial" w:eastAsia="DengXian" w:hAnsi="Arial" w:cs="Arial"/>
          <w:b/>
          <w:sz w:val="22"/>
          <w:szCs w:val="22"/>
        </w:rPr>
        <w:t>H</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 xml:space="preserve">A commenter provided an example of a pressurized water reactor with a physical containment building that was able to contain events such as a hydrogen burn or an </w:t>
      </w:r>
      <w:r w:rsidRPr="00E45BC7">
        <w:rPr>
          <w:rFonts w:ascii="Arial" w:hAnsi="Arial" w:cs="Arial"/>
          <w:sz w:val="22"/>
          <w:szCs w:val="22"/>
        </w:rPr>
        <w:t>explosion but wrote that today that kind of approach no longer exists in favor of functional containment (</w:t>
      </w:r>
      <w:r w:rsidR="000179BD">
        <w:rPr>
          <w:rFonts w:ascii="Arial" w:hAnsi="Arial" w:cs="Arial"/>
          <w:sz w:val="22"/>
          <w:szCs w:val="22"/>
        </w:rPr>
        <w:t>TG17</w:t>
      </w:r>
      <w:r w:rsidRPr="00E45BC7">
        <w:rPr>
          <w:rFonts w:ascii="Arial" w:hAnsi="Arial" w:cs="Arial"/>
          <w:sz w:val="22"/>
          <w:szCs w:val="22"/>
        </w:rPr>
        <w:t>-0003).</w:t>
      </w:r>
    </w:p>
    <w:p w:rsidR="00000521" w:rsidRPr="00E45BC7" w:rsidP="00E252BF" w14:paraId="0BFD725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 xml:space="preserve">The NRC acknowledges the information provided by the commenter and notes that 10 CFR Part 53 does not disallow the use of more traditional types of containment structures associated with nuclear power plants licensed under 10 CFR Part 50 or 10 CFR Part 52. Moreover, regardless of the approach taken by a given applicant to support their safety </w:t>
      </w:r>
      <w:r w:rsidR="00603799">
        <w:rPr>
          <w:rFonts w:ascii="Arial" w:hAnsi="Arial" w:cs="Arial"/>
          <w:sz w:val="22"/>
          <w:szCs w:val="22"/>
        </w:rPr>
        <w:t>analy</w:t>
      </w:r>
      <w:r w:rsidR="00375144">
        <w:rPr>
          <w:rFonts w:ascii="Arial" w:hAnsi="Arial" w:cs="Arial"/>
          <w:sz w:val="22"/>
          <w:szCs w:val="22"/>
        </w:rPr>
        <w:t>s</w:t>
      </w:r>
      <w:r w:rsidR="00D029BB">
        <w:rPr>
          <w:rFonts w:ascii="Arial" w:hAnsi="Arial" w:cs="Arial"/>
          <w:sz w:val="22"/>
          <w:szCs w:val="22"/>
        </w:rPr>
        <w:t>e</w:t>
      </w:r>
      <w:r w:rsidR="00375144">
        <w:rPr>
          <w:rFonts w:ascii="Arial" w:hAnsi="Arial" w:cs="Arial"/>
          <w:sz w:val="22"/>
          <w:szCs w:val="22"/>
        </w:rPr>
        <w:t>s</w:t>
      </w:r>
      <w:r w:rsidRPr="00E45BC7">
        <w:rPr>
          <w:rFonts w:ascii="Arial" w:hAnsi="Arial" w:cs="Arial"/>
          <w:sz w:val="22"/>
          <w:szCs w:val="22"/>
        </w:rPr>
        <w:t>, the regulatory framework under 10 CFR Part 53 ensures an equivalent level of safety to that of operating commercial nuclear plants while providing flexibility for licensing and regulating a variety of technologies and designs.</w:t>
      </w:r>
    </w:p>
    <w:p w:rsidR="007F112A" w:rsidP="00E252BF" w14:paraId="15189A19"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this comment.</w:t>
      </w:r>
    </w:p>
    <w:p w:rsidR="00E45BC7" w:rsidRPr="00E45BC7" w:rsidP="00E252BF" w14:paraId="6BDC7BC8"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67" style="width:0;height:1.5pt" o:hralign="center" o:hrstd="t" o:hrnoshade="t" o:hr="t" fillcolor="black" stroked="f"/>
        </w:pict>
      </w:r>
    </w:p>
    <w:p w:rsidR="000442DA" w:rsidRPr="00BB27D5" w:rsidP="00751583" w14:paraId="0485AB89" w14:textId="77777777">
      <w:pPr>
        <w:pStyle w:val="Heading3"/>
        <w:numPr>
          <w:ilvl w:val="0"/>
          <w:numId w:val="0"/>
        </w:numPr>
        <w:ind w:left="720" w:hanging="720"/>
        <w:rPr>
          <w:b/>
        </w:rPr>
      </w:pPr>
      <w:bookmarkStart w:id="61" w:name="_Toc207222822"/>
      <w:r>
        <w:rPr>
          <w:u w:val="none"/>
        </w:rPr>
        <w:t>3.6.2.</w:t>
      </w:r>
      <w:r>
        <w:rPr>
          <w:u w:val="none"/>
        </w:rPr>
        <w:tab/>
      </w:r>
      <w:r w:rsidRPr="00DA0A3C" w:rsidR="007F112A">
        <w:t>Staffing, training, personnel qualifications, and human factors engineering (§§ 53.725-53.830)</w:t>
      </w:r>
      <w:bookmarkEnd w:id="61"/>
    </w:p>
    <w:p w:rsidR="007F112A" w:rsidRPr="00F37C1E" w:rsidP="00F37C1E" w14:paraId="17124E42" w14:textId="77777777">
      <w:pPr>
        <w:pStyle w:val="Heading4"/>
      </w:pPr>
      <w:r w:rsidRPr="00F37C1E">
        <w:rPr>
          <w:u w:val="none"/>
        </w:rPr>
        <w:t>3.6.2.1.</w:t>
      </w:r>
      <w:r w:rsidRPr="00F37C1E">
        <w:rPr>
          <w:u w:val="none"/>
        </w:rPr>
        <w:tab/>
      </w:r>
      <w:r w:rsidRPr="00DA0A3C">
        <w:t>Comments on staffing, training, personnel qualifications, and human factors engineering requirements not related to RFC</w:t>
      </w:r>
    </w:p>
    <w:p w:rsidR="007F112A" w:rsidRPr="00E45BC7" w:rsidP="00E45BC7" w14:paraId="34510940" w14:textId="77777777">
      <w:pPr>
        <w:spacing w:after="220"/>
        <w:rPr>
          <w:rFonts w:ascii="Arial" w:hAnsi="Arial" w:cs="Arial"/>
          <w:sz w:val="22"/>
          <w:szCs w:val="22"/>
        </w:rPr>
      </w:pPr>
      <w:r w:rsidRPr="00E45BC7">
        <w:rPr>
          <w:rFonts w:ascii="Arial" w:eastAsia="DengXian" w:hAnsi="Arial" w:cs="Arial"/>
          <w:b/>
          <w:sz w:val="22"/>
          <w:szCs w:val="22"/>
        </w:rPr>
        <w:t>Comment Bin 3.6.2.1.A:</w:t>
      </w:r>
      <w:r w:rsidRPr="00E45BC7">
        <w:rPr>
          <w:rFonts w:ascii="Arial" w:eastAsia="DengXian" w:hAnsi="Arial" w:cs="Arial"/>
          <w:sz w:val="22"/>
          <w:szCs w:val="22"/>
        </w:rPr>
        <w:t xml:space="preserve"> </w:t>
      </w:r>
      <w:r w:rsidRPr="00E45BC7">
        <w:rPr>
          <w:rFonts w:ascii="Arial" w:hAnsi="Arial" w:cs="Arial"/>
          <w:sz w:val="22"/>
          <w:szCs w:val="22"/>
        </w:rPr>
        <w:t>A commenter made the following recommendations in reference to the text in 10 CFR 53.725:</w:t>
      </w:r>
    </w:p>
    <w:p w:rsidR="007F112A" w:rsidRPr="00E45BC7" w:rsidP="00E45BC7" w14:paraId="23DCBCD6" w14:textId="77777777">
      <w:pPr>
        <w:numPr>
          <w:ilvl w:val="0"/>
          <w:numId w:val="20"/>
        </w:numPr>
        <w:spacing w:after="220"/>
        <w:rPr>
          <w:rFonts w:ascii="Arial" w:hAnsi="Arial" w:cs="Arial"/>
          <w:sz w:val="22"/>
          <w:szCs w:val="22"/>
        </w:rPr>
      </w:pPr>
      <w:r w:rsidRPr="00E45BC7">
        <w:rPr>
          <w:rFonts w:ascii="Arial" w:hAnsi="Arial" w:cs="Arial"/>
          <w:sz w:val="22"/>
          <w:szCs w:val="22"/>
        </w:rPr>
        <w:t>Complete the wording of “are either of the class.”</w:t>
      </w:r>
    </w:p>
    <w:p w:rsidR="007F112A" w:rsidRPr="00E45BC7" w:rsidP="00E45BC7" w14:paraId="66451663" w14:textId="77777777">
      <w:pPr>
        <w:numPr>
          <w:ilvl w:val="0"/>
          <w:numId w:val="20"/>
        </w:numPr>
        <w:spacing w:after="220"/>
        <w:rPr>
          <w:rFonts w:ascii="Arial" w:hAnsi="Arial" w:cs="Arial"/>
          <w:sz w:val="22"/>
          <w:szCs w:val="22"/>
        </w:rPr>
      </w:pPr>
      <w:r w:rsidRPr="00E45BC7">
        <w:rPr>
          <w:rFonts w:ascii="Arial" w:hAnsi="Arial" w:cs="Arial"/>
          <w:sz w:val="22"/>
          <w:szCs w:val="22"/>
        </w:rPr>
        <w:t>Rewrite 10 CFR 53.725(a) entirely using terms such as “continuously staffed” and “not continuously staffed.”</w:t>
      </w:r>
    </w:p>
    <w:p w:rsidR="007F112A" w:rsidRPr="00E45BC7" w:rsidP="00E45BC7" w14:paraId="0378BA19" w14:textId="77777777">
      <w:pPr>
        <w:numPr>
          <w:ilvl w:val="0"/>
          <w:numId w:val="20"/>
        </w:numPr>
        <w:spacing w:after="220"/>
        <w:rPr>
          <w:rFonts w:ascii="Arial" w:hAnsi="Arial" w:cs="Arial"/>
          <w:sz w:val="22"/>
          <w:szCs w:val="22"/>
        </w:rPr>
      </w:pPr>
      <w:r w:rsidRPr="00E45BC7">
        <w:rPr>
          <w:rFonts w:ascii="Arial" w:hAnsi="Arial" w:cs="Arial"/>
          <w:sz w:val="22"/>
          <w:szCs w:val="22"/>
        </w:rPr>
        <w:t>In 10 CFR 53.725(c)</w:t>
      </w:r>
      <w:r w:rsidRPr="00E45BC7" w:rsidR="0025213B">
        <w:rPr>
          <w:rFonts w:ascii="Arial" w:hAnsi="Arial" w:cs="Arial"/>
          <w:sz w:val="22"/>
          <w:szCs w:val="22"/>
        </w:rPr>
        <w:t>,</w:t>
      </w:r>
      <w:r w:rsidRPr="00E45BC7">
        <w:rPr>
          <w:rFonts w:ascii="Arial" w:hAnsi="Arial" w:cs="Arial"/>
          <w:sz w:val="22"/>
          <w:szCs w:val="22"/>
        </w:rPr>
        <w:t xml:space="preserve"> change “reference plant” to “reference plant design” if the plant has not been built. </w:t>
      </w:r>
    </w:p>
    <w:p w:rsidR="007F112A" w:rsidRPr="00E45BC7" w:rsidP="00E45BC7" w14:paraId="4987F44C" w14:textId="77777777">
      <w:pPr>
        <w:numPr>
          <w:ilvl w:val="0"/>
          <w:numId w:val="20"/>
        </w:numPr>
        <w:spacing w:after="220"/>
        <w:rPr>
          <w:rFonts w:ascii="Arial" w:hAnsi="Arial" w:cs="Arial"/>
          <w:sz w:val="22"/>
          <w:szCs w:val="22"/>
        </w:rPr>
      </w:pPr>
      <w:r w:rsidRPr="00E45BC7">
        <w:rPr>
          <w:rFonts w:ascii="Arial" w:hAnsi="Arial" w:cs="Arial"/>
          <w:sz w:val="22"/>
          <w:szCs w:val="22"/>
        </w:rPr>
        <w:t>In 10 CFR 53.725(c)</w:t>
      </w:r>
      <w:r w:rsidRPr="00E45BC7" w:rsidR="0025213B">
        <w:rPr>
          <w:rFonts w:ascii="Arial" w:hAnsi="Arial" w:cs="Arial"/>
          <w:sz w:val="22"/>
          <w:szCs w:val="22"/>
        </w:rPr>
        <w:t>,</w:t>
      </w:r>
      <w:r w:rsidRPr="00E45BC7">
        <w:rPr>
          <w:rFonts w:ascii="Arial" w:hAnsi="Arial" w:cs="Arial"/>
          <w:sz w:val="22"/>
          <w:szCs w:val="22"/>
        </w:rPr>
        <w:t xml:space="preserve"> change “commercial nuclear plant automatically changing its output” to “commercial nuclear plant manually or automatically changing its output”</w:t>
      </w:r>
      <w:r w:rsidRPr="00E45BC7" w:rsidR="00276A45">
        <w:rPr>
          <w:rFonts w:ascii="Arial" w:hAnsi="Arial" w:cs="Arial"/>
          <w:sz w:val="22"/>
          <w:szCs w:val="22"/>
        </w:rPr>
        <w:t>.</w:t>
      </w:r>
    </w:p>
    <w:p w:rsidR="007F112A" w:rsidRPr="00E45BC7" w:rsidP="00E45BC7" w14:paraId="7FB3EFAE" w14:textId="77777777">
      <w:pPr>
        <w:spacing w:after="220"/>
        <w:rPr>
          <w:rFonts w:ascii="Arial" w:hAnsi="Arial" w:cs="Arial"/>
          <w:sz w:val="22"/>
          <w:szCs w:val="22"/>
        </w:rPr>
      </w:pPr>
      <w:r w:rsidRPr="00E45BC7">
        <w:rPr>
          <w:rFonts w:ascii="Arial" w:hAnsi="Arial" w:cs="Arial"/>
          <w:sz w:val="22"/>
          <w:szCs w:val="22"/>
        </w:rPr>
        <w:t>The commenter also wrote that, generally, “licensee” has only been applied to the organization holding the plant license and not operating staff holding individual licenses. The commenter wrote that using the term “operator” if the person is licensed will cause confusion and recommended using "licensed operator" or "licensed reactor operator.”</w:t>
      </w:r>
    </w:p>
    <w:p w:rsidR="007F112A" w:rsidRPr="00E45BC7" w:rsidP="00E45BC7" w14:paraId="34FEF1E1"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asked if an “interaction-dependent-mitigation facility” is a continuously staffed reactor. The commenter asked why “performance testing” is only tied to a simulation facility (</w:t>
      </w:r>
      <w:r w:rsidR="002F66D1">
        <w:rPr>
          <w:rFonts w:ascii="Arial" w:hAnsi="Arial" w:cs="Arial"/>
          <w:sz w:val="22"/>
          <w:szCs w:val="22"/>
        </w:rPr>
        <w:t>TG8</w:t>
      </w:r>
      <w:r w:rsidRPr="00E45BC7">
        <w:rPr>
          <w:rFonts w:ascii="Arial" w:hAnsi="Arial" w:cs="Arial"/>
          <w:sz w:val="22"/>
          <w:szCs w:val="22"/>
        </w:rPr>
        <w:t>-0002). </w:t>
      </w:r>
    </w:p>
    <w:p w:rsidR="00276A45" w:rsidRPr="00E45BC7" w:rsidP="00E45BC7" w14:paraId="33920E65" w14:textId="77777777">
      <w:pPr>
        <w:spacing w:after="220"/>
        <w:rPr>
          <w:rFonts w:ascii="Arial" w:eastAsia="DengXian"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 xml:space="preserve">The NRC </w:t>
      </w:r>
      <w:r w:rsidRPr="00E45BC7">
        <w:rPr>
          <w:rFonts w:ascii="Arial" w:eastAsia="DengXian" w:hAnsi="Arial" w:cs="Arial"/>
          <w:sz w:val="22"/>
          <w:szCs w:val="22"/>
        </w:rPr>
        <w:t>agrees, in part, with the comment.</w:t>
      </w:r>
    </w:p>
    <w:p w:rsidR="007F112A" w:rsidRPr="00E45BC7" w:rsidP="00E45BC7" w14:paraId="053F0160" w14:textId="77777777">
      <w:pPr>
        <w:spacing w:after="220"/>
        <w:rPr>
          <w:rFonts w:ascii="Arial" w:hAnsi="Arial" w:cs="Arial"/>
          <w:sz w:val="22"/>
          <w:szCs w:val="22"/>
        </w:rPr>
      </w:pPr>
      <w:r w:rsidRPr="00E45BC7">
        <w:rPr>
          <w:rFonts w:ascii="Arial" w:hAnsi="Arial" w:cs="Arial"/>
          <w:sz w:val="22"/>
          <w:szCs w:val="22"/>
        </w:rPr>
        <w:t xml:space="preserve">The NRC partially agrees with the comment “complete the wording of ‘are either of the class’.” Although the sentence is grammatically correct as written, the NRC determined that revising the sentence improves clarity. Accordingly, the NRC restructured this sentence. </w:t>
      </w:r>
    </w:p>
    <w:p w:rsidR="007F112A" w:rsidRPr="00E45BC7" w:rsidP="00E45BC7" w14:paraId="5D247AB1" w14:textId="77777777">
      <w:pPr>
        <w:spacing w:after="220"/>
        <w:rPr>
          <w:rFonts w:ascii="Arial" w:hAnsi="Arial" w:cs="Arial"/>
          <w:sz w:val="22"/>
          <w:szCs w:val="22"/>
        </w:rPr>
      </w:pPr>
      <w:r w:rsidRPr="00E45BC7">
        <w:rPr>
          <w:rFonts w:ascii="Arial" w:hAnsi="Arial" w:cs="Arial"/>
          <w:sz w:val="22"/>
          <w:szCs w:val="22"/>
        </w:rPr>
        <w:t xml:space="preserve">The NRC disagrees with </w:t>
      </w:r>
      <w:r w:rsidRPr="00E45BC7" w:rsidR="00500D5E">
        <w:rPr>
          <w:rFonts w:ascii="Arial" w:hAnsi="Arial" w:cs="Arial"/>
          <w:sz w:val="22"/>
          <w:szCs w:val="22"/>
        </w:rPr>
        <w:t xml:space="preserve">rewriting </w:t>
      </w:r>
      <w:r w:rsidRPr="00E45BC7">
        <w:rPr>
          <w:rFonts w:ascii="Arial" w:hAnsi="Arial" w:cs="Arial"/>
          <w:sz w:val="22"/>
          <w:szCs w:val="22"/>
        </w:rPr>
        <w:t xml:space="preserve">“10 CFR 53.725(a) entirely using terms such as ‘continuously staffed’ and ‘not continuously staffed’.” The terms are not interchangeable or analogous with </w:t>
      </w:r>
      <w:r w:rsidRPr="00E45BC7">
        <w:rPr>
          <w:rFonts w:ascii="Arial" w:hAnsi="Arial" w:cs="Arial"/>
          <w:sz w:val="22"/>
          <w:szCs w:val="22"/>
        </w:rPr>
        <w:t>self-reliant-mitigation facilities and interaction</w:t>
      </w:r>
      <w:r w:rsidRPr="00E45BC7" w:rsidR="00AA1F77">
        <w:rPr>
          <w:rFonts w:ascii="Arial" w:hAnsi="Arial" w:cs="Arial"/>
          <w:sz w:val="22"/>
          <w:szCs w:val="22"/>
        </w:rPr>
        <w:noBreakHyphen/>
      </w:r>
      <w:r w:rsidRPr="00E45BC7">
        <w:rPr>
          <w:rFonts w:ascii="Arial" w:hAnsi="Arial" w:cs="Arial"/>
          <w:sz w:val="22"/>
          <w:szCs w:val="22"/>
        </w:rPr>
        <w:t>dependent-mitigation facilities. Self</w:t>
      </w:r>
      <w:r w:rsidR="00132C53">
        <w:rPr>
          <w:rFonts w:ascii="Arial" w:hAnsi="Arial" w:cs="Arial"/>
          <w:sz w:val="22"/>
          <w:szCs w:val="22"/>
        </w:rPr>
        <w:noBreakHyphen/>
      </w:r>
      <w:r w:rsidRPr="00E45BC7">
        <w:rPr>
          <w:rFonts w:ascii="Arial" w:hAnsi="Arial" w:cs="Arial"/>
          <w:sz w:val="22"/>
          <w:szCs w:val="22"/>
        </w:rPr>
        <w:t>reliant</w:t>
      </w:r>
      <w:r w:rsidR="00132C53">
        <w:rPr>
          <w:rFonts w:ascii="Arial" w:hAnsi="Arial" w:cs="Arial"/>
          <w:sz w:val="22"/>
          <w:szCs w:val="22"/>
        </w:rPr>
        <w:noBreakHyphen/>
      </w:r>
      <w:r w:rsidRPr="00E45BC7">
        <w:rPr>
          <w:rFonts w:ascii="Arial" w:hAnsi="Arial" w:cs="Arial"/>
          <w:sz w:val="22"/>
          <w:szCs w:val="22"/>
        </w:rPr>
        <w:t>mitigation facilities may or may not be continuously staffed, as this would be facility-dependent. Additionally</w:t>
      </w:r>
      <w:r w:rsidRPr="00E45BC7" w:rsidR="004103A2">
        <w:rPr>
          <w:rFonts w:ascii="Arial" w:hAnsi="Arial" w:cs="Arial"/>
          <w:sz w:val="22"/>
          <w:szCs w:val="22"/>
        </w:rPr>
        <w:t>,</w:t>
      </w:r>
      <w:r w:rsidRPr="00E45BC7">
        <w:rPr>
          <w:rFonts w:ascii="Arial" w:hAnsi="Arial" w:cs="Arial"/>
          <w:sz w:val="22"/>
          <w:szCs w:val="22"/>
        </w:rPr>
        <w:t xml:space="preserve"> the staffing plan of the facility would determine whether an interaction</w:t>
      </w:r>
      <w:r w:rsidR="00132C53">
        <w:rPr>
          <w:rFonts w:ascii="Arial" w:hAnsi="Arial" w:cs="Arial"/>
          <w:sz w:val="22"/>
          <w:szCs w:val="22"/>
        </w:rPr>
        <w:noBreakHyphen/>
      </w:r>
      <w:r w:rsidRPr="00E45BC7">
        <w:rPr>
          <w:rFonts w:ascii="Arial" w:hAnsi="Arial" w:cs="Arial"/>
          <w:sz w:val="22"/>
          <w:szCs w:val="22"/>
        </w:rPr>
        <w:t>dependent</w:t>
      </w:r>
      <w:r w:rsidR="00132C53">
        <w:rPr>
          <w:rFonts w:ascii="Arial" w:hAnsi="Arial" w:cs="Arial"/>
          <w:sz w:val="22"/>
          <w:szCs w:val="22"/>
        </w:rPr>
        <w:noBreakHyphen/>
      </w:r>
      <w:r w:rsidRPr="00E45BC7">
        <w:rPr>
          <w:rFonts w:ascii="Arial" w:hAnsi="Arial" w:cs="Arial"/>
          <w:sz w:val="22"/>
          <w:szCs w:val="22"/>
        </w:rPr>
        <w:t xml:space="preserve">mitigation facility is a continuously staffed reactor. Accordingly, the NRC did not change the rule language in response to this comment. </w:t>
      </w:r>
    </w:p>
    <w:p w:rsidR="007F112A" w:rsidRPr="00E45BC7" w:rsidP="00E45BC7" w14:paraId="5B83C8B1" w14:textId="77777777">
      <w:pPr>
        <w:spacing w:after="220"/>
        <w:rPr>
          <w:rFonts w:ascii="Arial" w:hAnsi="Arial" w:cs="Arial"/>
          <w:sz w:val="22"/>
          <w:szCs w:val="22"/>
        </w:rPr>
      </w:pPr>
      <w:r w:rsidRPr="00E45BC7">
        <w:rPr>
          <w:rFonts w:ascii="Arial" w:hAnsi="Arial" w:cs="Arial"/>
          <w:sz w:val="22"/>
          <w:szCs w:val="22"/>
        </w:rPr>
        <w:t xml:space="preserve">The NRC partially agrees with the comment “in 10 CFR 53.725(c) change ‘reference plant’ to ‘reference plant design’ if the plant has not been built.” The NRC agrees that there is a need for language to be added to the definition of “reference plant” to provide clarification for when a plant has yet to be constructed. Accordingly, the NRC </w:t>
      </w:r>
      <w:r w:rsidR="002F3E70">
        <w:rPr>
          <w:rFonts w:ascii="Arial" w:hAnsi="Arial" w:cs="Arial"/>
          <w:sz w:val="22"/>
          <w:szCs w:val="22"/>
        </w:rPr>
        <w:t xml:space="preserve">has revised </w:t>
      </w:r>
      <w:r w:rsidRPr="00E45BC7">
        <w:rPr>
          <w:rFonts w:ascii="Arial" w:hAnsi="Arial" w:cs="Arial"/>
          <w:sz w:val="22"/>
          <w:szCs w:val="22"/>
        </w:rPr>
        <w:t>the rule language to provide clarification.</w:t>
      </w:r>
    </w:p>
    <w:p w:rsidR="007F112A" w:rsidRPr="00E45BC7" w:rsidP="00E45BC7" w14:paraId="69B719D2" w14:textId="77777777">
      <w:pPr>
        <w:spacing w:after="220"/>
        <w:rPr>
          <w:rFonts w:ascii="Arial" w:hAnsi="Arial" w:cs="Arial"/>
          <w:sz w:val="22"/>
          <w:szCs w:val="22"/>
        </w:rPr>
      </w:pPr>
      <w:r w:rsidRPr="00E45BC7">
        <w:rPr>
          <w:rFonts w:ascii="Arial" w:hAnsi="Arial" w:cs="Arial"/>
          <w:sz w:val="22"/>
          <w:szCs w:val="22"/>
        </w:rPr>
        <w:t xml:space="preserve">The NRC disagrees with the comment “in 10 CFR 53.725(c) change ‘commercial nuclear plant automatically changing its output’ to ‘commercial nuclear plant manually or automatically changing its output’.” The term “load following”, as defined in </w:t>
      </w:r>
      <w:r w:rsidR="001840BE">
        <w:rPr>
          <w:rFonts w:ascii="Arial" w:hAnsi="Arial" w:cs="Arial"/>
          <w:sz w:val="22"/>
          <w:szCs w:val="22"/>
        </w:rPr>
        <w:t>10 CFR </w:t>
      </w:r>
      <w:r w:rsidRPr="00E45BC7">
        <w:rPr>
          <w:rFonts w:ascii="Arial" w:hAnsi="Arial" w:cs="Arial"/>
          <w:sz w:val="22"/>
          <w:szCs w:val="22"/>
        </w:rPr>
        <w:t xml:space="preserve">53.725(c), is intended only to apply when the plant automatically changes the load using an automated intermediary system, which requires additional regulatory requirements. A manual load change would be considered a normal load change and would not be considered load following. A manual load change does not require additional regulatory requirements. Accordingly, the NRC did not change the rule language in response to this comment. </w:t>
      </w:r>
    </w:p>
    <w:p w:rsidR="007F112A" w:rsidRPr="00E45BC7" w:rsidP="00E45BC7" w14:paraId="3066803B" w14:textId="77777777">
      <w:pPr>
        <w:spacing w:after="220"/>
        <w:rPr>
          <w:rFonts w:ascii="Arial" w:hAnsi="Arial" w:cs="Arial"/>
          <w:sz w:val="22"/>
          <w:szCs w:val="22"/>
        </w:rPr>
      </w:pPr>
      <w:r w:rsidRPr="00E45BC7">
        <w:rPr>
          <w:rFonts w:ascii="Arial" w:hAnsi="Arial" w:cs="Arial"/>
          <w:sz w:val="22"/>
          <w:szCs w:val="22"/>
        </w:rPr>
        <w:t xml:space="preserve">The NRC disagrees with the comments that “generally, ‘licensee’ has only been applied to the organization holding the plant license and not operating staff holding individual licenses” and that “using the term ‘operator’ if the person is licensed will cause confusion.” The current regulations in 10 CFR Part 55 use the terminology of “licensee” to refer to an individual and uses “facility licensee” to refer to the facility. This terminology is both well-known and widely used. Changing terminology could create confusion for those who are intimately familiar with the current terminology in </w:t>
      </w:r>
      <w:r w:rsidRPr="00E45BC7" w:rsidR="008D1214">
        <w:rPr>
          <w:rFonts w:ascii="Arial" w:hAnsi="Arial" w:cs="Arial"/>
          <w:sz w:val="22"/>
          <w:szCs w:val="22"/>
        </w:rPr>
        <w:t>10 CFR </w:t>
      </w:r>
      <w:r w:rsidRPr="00E45BC7">
        <w:rPr>
          <w:rFonts w:ascii="Arial" w:hAnsi="Arial" w:cs="Arial"/>
          <w:sz w:val="22"/>
          <w:szCs w:val="22"/>
        </w:rPr>
        <w:t>Part 55. Accordingly, the NRC did not change the rule language in response to th</w:t>
      </w:r>
      <w:r w:rsidRPr="00E45BC7" w:rsidR="00B84EDA">
        <w:rPr>
          <w:rFonts w:ascii="Arial" w:hAnsi="Arial" w:cs="Arial"/>
          <w:sz w:val="22"/>
          <w:szCs w:val="22"/>
        </w:rPr>
        <w:t>e</w:t>
      </w:r>
      <w:r w:rsidRPr="00E45BC7">
        <w:rPr>
          <w:rFonts w:ascii="Arial" w:hAnsi="Arial" w:cs="Arial"/>
          <w:sz w:val="22"/>
          <w:szCs w:val="22"/>
        </w:rPr>
        <w:t>s</w:t>
      </w:r>
      <w:r w:rsidRPr="00E45BC7" w:rsidR="00B84EDA">
        <w:rPr>
          <w:rFonts w:ascii="Arial" w:hAnsi="Arial" w:cs="Arial"/>
          <w:sz w:val="22"/>
          <w:szCs w:val="22"/>
        </w:rPr>
        <w:t>e</w:t>
      </w:r>
      <w:r w:rsidRPr="00E45BC7">
        <w:rPr>
          <w:rFonts w:ascii="Arial" w:hAnsi="Arial" w:cs="Arial"/>
          <w:sz w:val="22"/>
          <w:szCs w:val="22"/>
        </w:rPr>
        <w:t xml:space="preserve"> comment</w:t>
      </w:r>
      <w:r w:rsidRPr="00E45BC7" w:rsidR="00B84EDA">
        <w:rPr>
          <w:rFonts w:ascii="Arial" w:hAnsi="Arial" w:cs="Arial"/>
          <w:sz w:val="22"/>
          <w:szCs w:val="22"/>
        </w:rPr>
        <w:t>s</w:t>
      </w:r>
      <w:r w:rsidRPr="00E45BC7">
        <w:rPr>
          <w:rFonts w:ascii="Arial" w:hAnsi="Arial" w:cs="Arial"/>
          <w:sz w:val="22"/>
          <w:szCs w:val="22"/>
        </w:rPr>
        <w:t xml:space="preserve">. </w:t>
      </w:r>
    </w:p>
    <w:p w:rsidR="007F112A" w:rsidRPr="00E45BC7" w:rsidP="00E45BC7" w14:paraId="67522355" w14:textId="77777777">
      <w:pPr>
        <w:spacing w:after="220"/>
        <w:rPr>
          <w:rFonts w:ascii="Arial" w:hAnsi="Arial" w:cs="Arial"/>
          <w:sz w:val="22"/>
          <w:szCs w:val="22"/>
        </w:rPr>
      </w:pPr>
      <w:r w:rsidRPr="00E45BC7">
        <w:rPr>
          <w:rFonts w:ascii="Arial" w:hAnsi="Arial" w:cs="Arial"/>
          <w:sz w:val="22"/>
          <w:szCs w:val="22"/>
        </w:rPr>
        <w:t xml:space="preserve">Regarding why performance testing is only tied to a simulation facility, the definition of “performance testing” is only applicable to the operator licensing section as noted in </w:t>
      </w:r>
      <w:r w:rsidRPr="00E45BC7" w:rsidR="008D1214">
        <w:rPr>
          <w:rFonts w:ascii="Arial" w:hAnsi="Arial" w:cs="Arial"/>
          <w:sz w:val="22"/>
          <w:szCs w:val="22"/>
        </w:rPr>
        <w:t>10 CFR </w:t>
      </w:r>
      <w:r w:rsidRPr="00E45BC7">
        <w:rPr>
          <w:rFonts w:ascii="Arial" w:hAnsi="Arial" w:cs="Arial"/>
          <w:sz w:val="22"/>
          <w:szCs w:val="22"/>
        </w:rPr>
        <w:t xml:space="preserve">53.725(c) for definitions. The definition of “performance testing” is limited to simulators for the operator licensing section because the simulator is the only equipment used for the training and qualification of the operators. This question did not suggest changes to the rule. Accordingly, the NRC did not change the rule language in response to this comment. </w:t>
      </w:r>
    </w:p>
    <w:p w:rsidR="007F112A" w:rsidRPr="00E45BC7" w:rsidP="00E45BC7" w14:paraId="55227428" w14:textId="77777777">
      <w:pPr>
        <w:spacing w:after="220"/>
        <w:rPr>
          <w:rFonts w:ascii="Arial" w:hAnsi="Arial" w:cs="Arial"/>
          <w:sz w:val="22"/>
          <w:szCs w:val="22"/>
        </w:rPr>
      </w:pPr>
      <w:r>
        <w:rPr>
          <w:rFonts w:ascii="Arial" w:hAnsi="Arial" w:cs="Arial"/>
          <w:sz w:val="22"/>
          <w:szCs w:val="22"/>
        </w:rPr>
        <w:pict>
          <v:rect id="_x0000_i1168" style="width:0;height:1.5pt" o:hralign="center" o:hrstd="t" o:hrnoshade="t" o:hr="t" fillcolor="black" stroked="f"/>
        </w:pict>
      </w:r>
    </w:p>
    <w:p w:rsidR="00223801" w:rsidRPr="00E45BC7" w:rsidP="00E45BC7" w14:paraId="25CEFB2C" w14:textId="77777777">
      <w:pPr>
        <w:spacing w:after="220"/>
        <w:rPr>
          <w:rFonts w:ascii="Arial" w:hAnsi="Arial" w:cs="Arial"/>
          <w:sz w:val="22"/>
          <w:szCs w:val="22"/>
        </w:rPr>
      </w:pPr>
      <w:r w:rsidRPr="00E45BC7">
        <w:rPr>
          <w:rFonts w:ascii="Arial" w:eastAsia="DengXian" w:hAnsi="Arial" w:cs="Arial"/>
          <w:b/>
          <w:sz w:val="22"/>
          <w:szCs w:val="22"/>
        </w:rPr>
        <w:t>Comment Bin 3.6.2.1.B</w:t>
      </w:r>
      <w:r w:rsidRPr="00E45BC7">
        <w:rPr>
          <w:rFonts w:ascii="Arial" w:hAnsi="Arial" w:cs="Arial"/>
          <w:b/>
          <w:sz w:val="22"/>
          <w:szCs w:val="22"/>
        </w:rPr>
        <w:t>:</w:t>
      </w:r>
      <w:r w:rsidRPr="00E45BC7">
        <w:rPr>
          <w:rFonts w:ascii="Arial" w:hAnsi="Arial" w:cs="Arial"/>
          <w:sz w:val="22"/>
          <w:szCs w:val="22"/>
        </w:rPr>
        <w:t xml:space="preserve"> A commenter wrote that many of the elements of 10 CFR 53.730 are elements of a “state-of-the-art human factors engineering" as defined in NUREG</w:t>
      </w:r>
      <w:r w:rsidRPr="00E45BC7">
        <w:rPr>
          <w:rFonts w:ascii="Arial" w:hAnsi="Arial" w:cs="Arial"/>
          <w:sz w:val="22"/>
          <w:szCs w:val="22"/>
        </w:rPr>
        <w:noBreakHyphen/>
        <w:t>0711, and if specific elements are required to meet the requirements</w:t>
      </w:r>
      <w:r w:rsidR="00961BEA">
        <w:rPr>
          <w:rFonts w:ascii="Arial" w:hAnsi="Arial" w:cs="Arial"/>
          <w:sz w:val="22"/>
          <w:szCs w:val="22"/>
        </w:rPr>
        <w:t>,</w:t>
      </w:r>
      <w:r w:rsidRPr="00E45BC7">
        <w:rPr>
          <w:rFonts w:ascii="Arial" w:hAnsi="Arial" w:cs="Arial"/>
          <w:sz w:val="22"/>
          <w:szCs w:val="22"/>
        </w:rPr>
        <w:t xml:space="preserve"> then the industry will not be able to maintain the “state-of-the-art” without a future rulemaking. The commenter suggested that 10</w:t>
      </w:r>
      <w:r w:rsidR="00B540A5">
        <w:rPr>
          <w:rFonts w:ascii="Arial" w:hAnsi="Arial" w:cs="Arial"/>
          <w:sz w:val="22"/>
          <w:szCs w:val="22"/>
        </w:rPr>
        <w:t> </w:t>
      </w:r>
      <w:r w:rsidRPr="00E45BC7">
        <w:rPr>
          <w:rFonts w:ascii="Arial" w:hAnsi="Arial" w:cs="Arial"/>
          <w:sz w:val="22"/>
          <w:szCs w:val="22"/>
        </w:rPr>
        <w:t xml:space="preserve">CFR 53.730 should mirror the approach in 10 CFR Part 50 which maintains a requirement for a human factors engineering </w:t>
      </w:r>
      <w:r w:rsidRPr="00E45BC7" w:rsidR="00957A31">
        <w:rPr>
          <w:rFonts w:ascii="Arial" w:hAnsi="Arial" w:cs="Arial"/>
          <w:sz w:val="22"/>
          <w:szCs w:val="22"/>
        </w:rPr>
        <w:t xml:space="preserve">(HFE) </w:t>
      </w:r>
      <w:r w:rsidRPr="00E45BC7">
        <w:rPr>
          <w:rFonts w:ascii="Arial" w:hAnsi="Arial" w:cs="Arial"/>
          <w:sz w:val="22"/>
          <w:szCs w:val="22"/>
        </w:rPr>
        <w:t>program but is not prescriptive in nature (</w:t>
      </w:r>
      <w:r w:rsidR="009D6BB9">
        <w:rPr>
          <w:rFonts w:ascii="Arial" w:hAnsi="Arial" w:cs="Arial"/>
          <w:sz w:val="22"/>
          <w:szCs w:val="22"/>
        </w:rPr>
        <w:t>NEI2</w:t>
      </w:r>
      <w:r w:rsidRPr="00E45BC7">
        <w:rPr>
          <w:rFonts w:ascii="Arial" w:hAnsi="Arial" w:cs="Arial"/>
          <w:sz w:val="22"/>
          <w:szCs w:val="22"/>
        </w:rPr>
        <w:t xml:space="preserve">-0074, </w:t>
      </w:r>
      <w:r w:rsidR="009D6BB9">
        <w:rPr>
          <w:rFonts w:ascii="Arial" w:hAnsi="Arial" w:cs="Arial"/>
          <w:sz w:val="22"/>
          <w:szCs w:val="22"/>
        </w:rPr>
        <w:t>NEI2</w:t>
      </w:r>
      <w:r w:rsidRPr="00E45BC7">
        <w:rPr>
          <w:rFonts w:ascii="Arial" w:hAnsi="Arial" w:cs="Arial"/>
          <w:sz w:val="22"/>
          <w:szCs w:val="22"/>
        </w:rPr>
        <w:t>-0048). Another commenter expressed agreement with th</w:t>
      </w:r>
      <w:r w:rsidRPr="00E45BC7" w:rsidR="00BB51D5">
        <w:rPr>
          <w:rFonts w:ascii="Arial" w:hAnsi="Arial" w:cs="Arial"/>
          <w:sz w:val="22"/>
          <w:szCs w:val="22"/>
        </w:rPr>
        <w:t>e</w:t>
      </w:r>
      <w:r w:rsidRPr="00E45BC7">
        <w:rPr>
          <w:rFonts w:ascii="Arial" w:hAnsi="Arial" w:cs="Arial"/>
          <w:sz w:val="22"/>
          <w:szCs w:val="22"/>
        </w:rPr>
        <w:t>s</w:t>
      </w:r>
      <w:r w:rsidRPr="00E45BC7" w:rsidR="00BB51D5">
        <w:rPr>
          <w:rFonts w:ascii="Arial" w:hAnsi="Arial" w:cs="Arial"/>
          <w:sz w:val="22"/>
          <w:szCs w:val="22"/>
        </w:rPr>
        <w:t>e</w:t>
      </w:r>
      <w:r w:rsidRPr="00E45BC7">
        <w:rPr>
          <w:rFonts w:ascii="Arial" w:hAnsi="Arial" w:cs="Arial"/>
          <w:sz w:val="22"/>
          <w:szCs w:val="22"/>
        </w:rPr>
        <w:t xml:space="preserve"> comment</w:t>
      </w:r>
      <w:r w:rsidRPr="00E45BC7" w:rsidR="00BB51D5">
        <w:rPr>
          <w:rFonts w:ascii="Arial" w:hAnsi="Arial" w:cs="Arial"/>
          <w:sz w:val="22"/>
          <w:szCs w:val="22"/>
        </w:rPr>
        <w:t>s</w:t>
      </w:r>
      <w:r w:rsidRPr="00E45BC7">
        <w:rPr>
          <w:rFonts w:ascii="Arial" w:hAnsi="Arial" w:cs="Arial"/>
          <w:sz w:val="22"/>
          <w:szCs w:val="22"/>
        </w:rPr>
        <w:t xml:space="preserve"> (</w:t>
      </w:r>
      <w:r w:rsidR="006912EB">
        <w:rPr>
          <w:rFonts w:ascii="Arial" w:hAnsi="Arial" w:cs="Arial"/>
          <w:sz w:val="22"/>
          <w:szCs w:val="22"/>
        </w:rPr>
        <w:t>NEX</w:t>
      </w:r>
      <w:r w:rsidRPr="00E45BC7">
        <w:rPr>
          <w:rFonts w:ascii="Arial" w:hAnsi="Arial" w:cs="Arial"/>
          <w:sz w:val="22"/>
          <w:szCs w:val="22"/>
        </w:rPr>
        <w:t xml:space="preserve">-0027). </w:t>
      </w:r>
    </w:p>
    <w:p w:rsidR="00E7199D" w:rsidRPr="00E45BC7" w:rsidP="00E45BC7" w14:paraId="10869C42"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the comments.</w:t>
      </w:r>
    </w:p>
    <w:p w:rsidR="007F112A" w:rsidRPr="00E45BC7" w:rsidP="00E45BC7" w14:paraId="17253837" w14:textId="77777777">
      <w:pPr>
        <w:spacing w:after="220"/>
        <w:rPr>
          <w:rFonts w:ascii="Arial" w:hAnsi="Arial" w:cs="Arial"/>
          <w:sz w:val="22"/>
          <w:szCs w:val="22"/>
        </w:rPr>
      </w:pPr>
      <w:r w:rsidRPr="00E45BC7">
        <w:rPr>
          <w:rFonts w:ascii="Arial" w:hAnsi="Arial" w:cs="Arial"/>
          <w:sz w:val="22"/>
          <w:szCs w:val="22"/>
        </w:rPr>
        <w:t xml:space="preserve">The </w:t>
      </w:r>
      <w:r w:rsidRPr="00E45BC7" w:rsidR="00F237CE">
        <w:rPr>
          <w:rFonts w:ascii="Arial" w:hAnsi="Arial" w:cs="Arial"/>
          <w:sz w:val="22"/>
          <w:szCs w:val="22"/>
        </w:rPr>
        <w:t>NRC disagrees that</w:t>
      </w:r>
      <w:r w:rsidRPr="00E45BC7" w:rsidR="00A63FA7">
        <w:rPr>
          <w:rFonts w:ascii="Arial" w:hAnsi="Arial" w:cs="Arial"/>
          <w:sz w:val="22"/>
          <w:szCs w:val="22"/>
        </w:rPr>
        <w:t xml:space="preserve"> </w:t>
      </w:r>
      <w:r w:rsidRPr="00E45BC7" w:rsidR="00A910AF">
        <w:rPr>
          <w:rFonts w:ascii="Arial" w:hAnsi="Arial" w:cs="Arial"/>
          <w:sz w:val="22"/>
          <w:szCs w:val="22"/>
        </w:rPr>
        <w:t xml:space="preserve">10 CFR 53.730 prescribes elements of “state of the art human factors engineering” </w:t>
      </w:r>
      <w:r w:rsidRPr="00E45BC7" w:rsidR="0099214D">
        <w:rPr>
          <w:rFonts w:ascii="Arial" w:hAnsi="Arial" w:cs="Arial"/>
          <w:sz w:val="22"/>
          <w:szCs w:val="22"/>
        </w:rPr>
        <w:t xml:space="preserve">that would require a future rulemaking to enable the facility to maintain </w:t>
      </w:r>
      <w:r w:rsidRPr="00E45BC7" w:rsidR="005A1018">
        <w:rPr>
          <w:rFonts w:ascii="Arial" w:hAnsi="Arial" w:cs="Arial"/>
          <w:sz w:val="22"/>
          <w:szCs w:val="22"/>
        </w:rPr>
        <w:t>the “state of the art.”</w:t>
      </w:r>
      <w:r w:rsidRPr="00E45BC7" w:rsidR="00A910AF">
        <w:rPr>
          <w:rFonts w:ascii="Arial" w:hAnsi="Arial" w:cs="Arial"/>
          <w:sz w:val="22"/>
          <w:szCs w:val="22"/>
        </w:rPr>
        <w:t xml:space="preserve"> </w:t>
      </w:r>
      <w:r w:rsidRPr="00E45BC7" w:rsidR="00105406">
        <w:rPr>
          <w:rFonts w:ascii="Arial" w:hAnsi="Arial" w:cs="Arial"/>
          <w:sz w:val="22"/>
          <w:szCs w:val="22"/>
        </w:rPr>
        <w:t xml:space="preserve">The requirement </w:t>
      </w:r>
      <w:r w:rsidRPr="00E45BC7" w:rsidR="005A1018">
        <w:rPr>
          <w:rFonts w:ascii="Arial" w:hAnsi="Arial" w:cs="Arial"/>
          <w:sz w:val="22"/>
          <w:szCs w:val="22"/>
        </w:rPr>
        <w:t xml:space="preserve">of 10 </w:t>
      </w:r>
      <w:r w:rsidRPr="00E45BC7" w:rsidR="00FB0BAF">
        <w:rPr>
          <w:rFonts w:ascii="Arial" w:hAnsi="Arial" w:cs="Arial"/>
          <w:sz w:val="22"/>
          <w:szCs w:val="22"/>
        </w:rPr>
        <w:t xml:space="preserve">CFR </w:t>
      </w:r>
      <w:r w:rsidRPr="00E45BC7" w:rsidR="005A1018">
        <w:rPr>
          <w:rFonts w:ascii="Arial" w:hAnsi="Arial" w:cs="Arial"/>
          <w:sz w:val="22"/>
          <w:szCs w:val="22"/>
        </w:rPr>
        <w:t xml:space="preserve">53.730(a) </w:t>
      </w:r>
      <w:r w:rsidRPr="00E45BC7">
        <w:rPr>
          <w:rFonts w:ascii="Arial" w:hAnsi="Arial" w:cs="Arial"/>
          <w:sz w:val="22"/>
          <w:szCs w:val="22"/>
        </w:rPr>
        <w:t>that the applicant must show they meet state-of-</w:t>
      </w:r>
      <w:r w:rsidRPr="00E45BC7">
        <w:rPr>
          <w:rFonts w:ascii="Arial" w:hAnsi="Arial" w:cs="Arial"/>
          <w:sz w:val="22"/>
          <w:szCs w:val="22"/>
        </w:rPr>
        <w:t>the-art during the licensing process is consistent with previous regulations</w:t>
      </w:r>
      <w:r w:rsidRPr="00E45BC7" w:rsidR="005A1018">
        <w:rPr>
          <w:rFonts w:ascii="Arial" w:hAnsi="Arial" w:cs="Arial"/>
          <w:sz w:val="22"/>
          <w:szCs w:val="22"/>
        </w:rPr>
        <w:t>, specifically 10</w:t>
      </w:r>
      <w:r w:rsidR="009B1172">
        <w:rPr>
          <w:rFonts w:ascii="Arial" w:hAnsi="Arial" w:cs="Arial"/>
          <w:sz w:val="22"/>
          <w:szCs w:val="22"/>
        </w:rPr>
        <w:t> </w:t>
      </w:r>
      <w:r w:rsidRPr="00E45BC7" w:rsidR="005A1018">
        <w:rPr>
          <w:rFonts w:ascii="Arial" w:hAnsi="Arial" w:cs="Arial"/>
          <w:sz w:val="22"/>
          <w:szCs w:val="22"/>
        </w:rPr>
        <w:t>CFR</w:t>
      </w:r>
      <w:r w:rsidR="009B1172">
        <w:rPr>
          <w:rFonts w:ascii="Arial" w:hAnsi="Arial" w:cs="Arial"/>
          <w:sz w:val="22"/>
          <w:szCs w:val="22"/>
        </w:rPr>
        <w:t> </w:t>
      </w:r>
      <w:r w:rsidRPr="00E45BC7" w:rsidR="005A1018">
        <w:rPr>
          <w:rFonts w:ascii="Arial" w:hAnsi="Arial" w:cs="Arial"/>
          <w:sz w:val="22"/>
          <w:szCs w:val="22"/>
        </w:rPr>
        <w:t>50.34(f)(2)(iii)</w:t>
      </w:r>
      <w:r w:rsidRPr="00E45BC7">
        <w:rPr>
          <w:rFonts w:ascii="Arial" w:hAnsi="Arial" w:cs="Arial"/>
          <w:sz w:val="22"/>
          <w:szCs w:val="22"/>
        </w:rPr>
        <w:t>. Changes are then considered using the change control process. If the change requires a license amendment, then the design change must also include state-of-the-art principles. The scope of human factors reviews is comparable to previous regulations with a few, carefully considered, differences:</w:t>
      </w:r>
    </w:p>
    <w:p w:rsidR="007F112A" w:rsidRPr="00E45BC7" w:rsidP="00455E55" w14:paraId="09EA5E37" w14:textId="77777777">
      <w:pPr>
        <w:pStyle w:val="ListParagraph"/>
        <w:numPr>
          <w:ilvl w:val="0"/>
          <w:numId w:val="32"/>
        </w:numPr>
        <w:spacing w:after="220"/>
        <w:contextualSpacing w:val="0"/>
        <w:rPr>
          <w:rFonts w:ascii="Arial" w:hAnsi="Arial" w:cs="Arial"/>
          <w:sz w:val="22"/>
          <w:szCs w:val="22"/>
        </w:rPr>
      </w:pPr>
      <w:r w:rsidRPr="00E45BC7">
        <w:rPr>
          <w:rFonts w:ascii="Arial" w:hAnsi="Arial" w:cs="Arial"/>
          <w:sz w:val="22"/>
          <w:szCs w:val="22"/>
        </w:rPr>
        <w:t xml:space="preserve">The concept of operations of existing plants </w:t>
      </w:r>
      <w:r w:rsidR="00D50A7C">
        <w:rPr>
          <w:rFonts w:ascii="Arial" w:hAnsi="Arial" w:cs="Arial"/>
          <w:sz w:val="22"/>
          <w:szCs w:val="22"/>
        </w:rPr>
        <w:t>is</w:t>
      </w:r>
      <w:r w:rsidRPr="00E45BC7" w:rsidR="00D50A7C">
        <w:rPr>
          <w:rFonts w:ascii="Arial" w:hAnsi="Arial" w:cs="Arial"/>
          <w:sz w:val="22"/>
          <w:szCs w:val="22"/>
        </w:rPr>
        <w:t xml:space="preserve"> </w:t>
      </w:r>
      <w:r w:rsidRPr="00E45BC7">
        <w:rPr>
          <w:rFonts w:ascii="Arial" w:hAnsi="Arial" w:cs="Arial"/>
          <w:sz w:val="22"/>
          <w:szCs w:val="22"/>
        </w:rPr>
        <w:t>similar and w</w:t>
      </w:r>
      <w:r w:rsidRPr="00E45BC7" w:rsidR="66B5CF78">
        <w:rPr>
          <w:rFonts w:ascii="Arial" w:hAnsi="Arial" w:cs="Arial"/>
          <w:sz w:val="22"/>
          <w:szCs w:val="22"/>
        </w:rPr>
        <w:t>e</w:t>
      </w:r>
      <w:r w:rsidRPr="00E45BC7">
        <w:rPr>
          <w:rFonts w:ascii="Arial" w:hAnsi="Arial" w:cs="Arial"/>
          <w:sz w:val="22"/>
          <w:szCs w:val="22"/>
        </w:rPr>
        <w:t>ll</w:t>
      </w:r>
      <w:r w:rsidRPr="00E45BC7" w:rsidR="04ED6215">
        <w:rPr>
          <w:rFonts w:ascii="Arial" w:hAnsi="Arial" w:cs="Arial"/>
          <w:sz w:val="22"/>
          <w:szCs w:val="22"/>
        </w:rPr>
        <w:t>-</w:t>
      </w:r>
      <w:r w:rsidRPr="00E45BC7">
        <w:rPr>
          <w:rFonts w:ascii="Arial" w:hAnsi="Arial" w:cs="Arial"/>
          <w:sz w:val="22"/>
          <w:szCs w:val="22"/>
        </w:rPr>
        <w:t>known such that the staff can make reasonable assumptions about how operators will interact with systems to support the HFE review without requiring a specific submittal. This is not the case for facilities licensed under 10 CFR Part 53 and would thus require such a submittal.</w:t>
      </w:r>
    </w:p>
    <w:p w:rsidR="007F112A" w:rsidRPr="00E45BC7" w:rsidP="00455E55" w14:paraId="7F2D1B59" w14:textId="77777777">
      <w:pPr>
        <w:pStyle w:val="ListParagraph"/>
        <w:numPr>
          <w:ilvl w:val="0"/>
          <w:numId w:val="32"/>
        </w:numPr>
        <w:spacing w:after="220"/>
        <w:contextualSpacing w:val="0"/>
        <w:rPr>
          <w:rFonts w:ascii="Arial" w:hAnsi="Arial" w:cs="Arial"/>
          <w:sz w:val="22"/>
          <w:szCs w:val="22"/>
        </w:rPr>
      </w:pPr>
      <w:r w:rsidRPr="00E45BC7">
        <w:rPr>
          <w:rFonts w:ascii="Arial" w:hAnsi="Arial" w:cs="Arial"/>
          <w:sz w:val="22"/>
          <w:szCs w:val="22"/>
        </w:rPr>
        <w:t>The Function Requirements Analysis and Function Allocation element was moved from guidance into regulation</w:t>
      </w:r>
      <w:r w:rsidRPr="00E45BC7" w:rsidR="5B7B14FD">
        <w:rPr>
          <w:rFonts w:ascii="Arial" w:hAnsi="Arial" w:cs="Arial"/>
          <w:sz w:val="22"/>
          <w:szCs w:val="22"/>
        </w:rPr>
        <w:t>s</w:t>
      </w:r>
      <w:r w:rsidRPr="00E45BC7">
        <w:rPr>
          <w:rFonts w:ascii="Arial" w:hAnsi="Arial" w:cs="Arial"/>
          <w:sz w:val="22"/>
          <w:szCs w:val="22"/>
        </w:rPr>
        <w:t xml:space="preserve"> for </w:t>
      </w:r>
      <w:r w:rsidRPr="00E45BC7" w:rsidR="001550B6">
        <w:rPr>
          <w:rFonts w:ascii="Arial" w:hAnsi="Arial" w:cs="Arial"/>
          <w:sz w:val="22"/>
          <w:szCs w:val="22"/>
        </w:rPr>
        <w:t>10 CFR </w:t>
      </w:r>
      <w:r w:rsidRPr="00E45BC7">
        <w:rPr>
          <w:rFonts w:ascii="Arial" w:hAnsi="Arial" w:cs="Arial"/>
          <w:sz w:val="22"/>
          <w:szCs w:val="22"/>
        </w:rPr>
        <w:t>Part 53 because it is necessary for modern designs as information from these analyses is critical to understanding the operator’s role and therefore the staffing plan.</w:t>
      </w:r>
    </w:p>
    <w:p w:rsidR="005F2661" w:rsidRPr="00E45BC7" w:rsidP="00455E55" w14:paraId="007F2E74" w14:textId="77777777">
      <w:pPr>
        <w:pStyle w:val="ListParagraph"/>
        <w:numPr>
          <w:ilvl w:val="0"/>
          <w:numId w:val="32"/>
        </w:numPr>
        <w:spacing w:after="220"/>
        <w:contextualSpacing w:val="0"/>
        <w:rPr>
          <w:rFonts w:ascii="Arial" w:hAnsi="Arial" w:cs="Arial"/>
          <w:sz w:val="22"/>
          <w:szCs w:val="22"/>
        </w:rPr>
      </w:pPr>
      <w:r w:rsidRPr="00E45BC7">
        <w:rPr>
          <w:rFonts w:ascii="Arial" w:hAnsi="Arial" w:cs="Arial"/>
          <w:sz w:val="22"/>
          <w:szCs w:val="22"/>
        </w:rPr>
        <w:t>The NRC currently considers important operator actions outside the control room when they meet the criteria for important human actions as defined by the accident analysis for facilities licensed under 10 CFR Part 50 or 52. Adding this helps clarify what is already in practice and supports designs without a traditional control room that may still have important actions outside of the control room.</w:t>
      </w:r>
    </w:p>
    <w:p w:rsidR="00E87070" w:rsidP="00E45BC7" w14:paraId="2A25DB34" w14:textId="77777777">
      <w:pPr>
        <w:spacing w:after="220"/>
        <w:ind w:left="45"/>
        <w:rPr>
          <w:rFonts w:ascii="Arial" w:hAnsi="Arial" w:cs="Arial"/>
          <w:sz w:val="22"/>
          <w:szCs w:val="22"/>
        </w:rPr>
      </w:pPr>
      <w:r w:rsidRPr="00E45BC7">
        <w:rPr>
          <w:rFonts w:ascii="Arial" w:hAnsi="Arial" w:cs="Arial"/>
          <w:sz w:val="22"/>
          <w:szCs w:val="22"/>
        </w:rPr>
        <w:t xml:space="preserve">These changes move small portions of the HFE process from guidance into the regulations due to the novel concept of operators, approaches to automation, and control room/ex-control room strategies under consideration with these designs that were not under consideration during </w:t>
      </w:r>
      <w:r w:rsidR="00087158">
        <w:rPr>
          <w:rFonts w:ascii="Arial" w:hAnsi="Arial" w:cs="Arial"/>
          <w:sz w:val="22"/>
          <w:szCs w:val="22"/>
        </w:rPr>
        <w:t xml:space="preserve">the </w:t>
      </w:r>
      <w:r w:rsidRPr="00E45BC7">
        <w:rPr>
          <w:rFonts w:ascii="Arial" w:hAnsi="Arial" w:cs="Arial"/>
          <w:sz w:val="22"/>
          <w:szCs w:val="22"/>
        </w:rPr>
        <w:t>development of 10 CFR Part</w:t>
      </w:r>
      <w:r w:rsidR="00D50354">
        <w:rPr>
          <w:rFonts w:ascii="Arial" w:hAnsi="Arial" w:cs="Arial"/>
          <w:sz w:val="22"/>
          <w:szCs w:val="22"/>
        </w:rPr>
        <w:t>s</w:t>
      </w:r>
      <w:r w:rsidRPr="00E45BC7">
        <w:rPr>
          <w:rFonts w:ascii="Arial" w:hAnsi="Arial" w:cs="Arial"/>
          <w:sz w:val="22"/>
          <w:szCs w:val="22"/>
        </w:rPr>
        <w:t xml:space="preserve"> 50 and 52. </w:t>
      </w:r>
    </w:p>
    <w:p w:rsidR="00F37F92" w:rsidRPr="00E45BC7" w:rsidP="00E45BC7" w14:paraId="0957232D" w14:textId="77777777">
      <w:pPr>
        <w:spacing w:after="220"/>
        <w:ind w:left="45"/>
        <w:rPr>
          <w:rFonts w:ascii="Arial" w:hAnsi="Arial" w:cs="Arial"/>
          <w:sz w:val="22"/>
          <w:szCs w:val="22"/>
        </w:rPr>
      </w:pPr>
      <w:r>
        <w:rPr>
          <w:rFonts w:ascii="Arial" w:hAnsi="Arial" w:cs="Arial"/>
          <w:sz w:val="22"/>
          <w:szCs w:val="22"/>
        </w:rPr>
        <w:t xml:space="preserve">In addition, in response to the </w:t>
      </w:r>
      <w:r w:rsidR="00810029">
        <w:rPr>
          <w:rFonts w:ascii="Arial" w:hAnsi="Arial" w:cs="Arial"/>
          <w:sz w:val="22"/>
          <w:szCs w:val="22"/>
        </w:rPr>
        <w:t>statement that</w:t>
      </w:r>
      <w:r>
        <w:rPr>
          <w:rFonts w:ascii="Arial" w:hAnsi="Arial" w:cs="Arial"/>
          <w:sz w:val="22"/>
          <w:szCs w:val="22"/>
        </w:rPr>
        <w:t xml:space="preserve"> </w:t>
      </w:r>
      <w:r w:rsidRPr="00E45BC7">
        <w:rPr>
          <w:rFonts w:ascii="Arial" w:hAnsi="Arial" w:cs="Arial"/>
          <w:sz w:val="22"/>
          <w:szCs w:val="22"/>
        </w:rPr>
        <w:t>10</w:t>
      </w:r>
      <w:r>
        <w:rPr>
          <w:rFonts w:ascii="Arial" w:hAnsi="Arial" w:cs="Arial"/>
          <w:sz w:val="22"/>
          <w:szCs w:val="22"/>
        </w:rPr>
        <w:t> </w:t>
      </w:r>
      <w:r w:rsidRPr="00E45BC7">
        <w:rPr>
          <w:rFonts w:ascii="Arial" w:hAnsi="Arial" w:cs="Arial"/>
          <w:sz w:val="22"/>
          <w:szCs w:val="22"/>
        </w:rPr>
        <w:t xml:space="preserve">CFR 53.730 should </w:t>
      </w:r>
      <w:r w:rsidR="00AC7E1A">
        <w:rPr>
          <w:rFonts w:ascii="Arial" w:hAnsi="Arial" w:cs="Arial"/>
          <w:sz w:val="22"/>
          <w:szCs w:val="22"/>
        </w:rPr>
        <w:t xml:space="preserve">simply </w:t>
      </w:r>
      <w:r w:rsidRPr="00E45BC7">
        <w:rPr>
          <w:rFonts w:ascii="Arial" w:hAnsi="Arial" w:cs="Arial"/>
          <w:sz w:val="22"/>
          <w:szCs w:val="22"/>
        </w:rPr>
        <w:t xml:space="preserve">mirror the </w:t>
      </w:r>
      <w:r w:rsidR="00B45687">
        <w:rPr>
          <w:rFonts w:ascii="Arial" w:hAnsi="Arial" w:cs="Arial"/>
          <w:sz w:val="22"/>
          <w:szCs w:val="22"/>
        </w:rPr>
        <w:t xml:space="preserve">HFE </w:t>
      </w:r>
      <w:r w:rsidRPr="00E45BC7">
        <w:rPr>
          <w:rFonts w:ascii="Arial" w:hAnsi="Arial" w:cs="Arial"/>
          <w:sz w:val="22"/>
          <w:szCs w:val="22"/>
        </w:rPr>
        <w:t>approach in 10 CFR</w:t>
      </w:r>
      <w:r>
        <w:rPr>
          <w:rFonts w:ascii="Arial" w:hAnsi="Arial" w:cs="Arial"/>
          <w:sz w:val="22"/>
          <w:szCs w:val="22"/>
        </w:rPr>
        <w:t> </w:t>
      </w:r>
      <w:r w:rsidRPr="00E45BC7">
        <w:rPr>
          <w:rFonts w:ascii="Arial" w:hAnsi="Arial" w:cs="Arial"/>
          <w:sz w:val="22"/>
          <w:szCs w:val="22"/>
        </w:rPr>
        <w:t>Part</w:t>
      </w:r>
      <w:r>
        <w:rPr>
          <w:rFonts w:ascii="Arial" w:hAnsi="Arial" w:cs="Arial"/>
          <w:sz w:val="22"/>
          <w:szCs w:val="22"/>
        </w:rPr>
        <w:t> </w:t>
      </w:r>
      <w:r w:rsidRPr="00E45BC7">
        <w:rPr>
          <w:rFonts w:ascii="Arial" w:hAnsi="Arial" w:cs="Arial"/>
          <w:sz w:val="22"/>
          <w:szCs w:val="22"/>
        </w:rPr>
        <w:t>50</w:t>
      </w:r>
      <w:r w:rsidR="00810029">
        <w:rPr>
          <w:rFonts w:ascii="Arial" w:hAnsi="Arial" w:cs="Arial"/>
          <w:sz w:val="22"/>
          <w:szCs w:val="22"/>
        </w:rPr>
        <w:t>, note that</w:t>
      </w:r>
      <w:r w:rsidRPr="00E45BC7">
        <w:rPr>
          <w:rFonts w:ascii="Arial" w:hAnsi="Arial" w:cs="Arial"/>
          <w:sz w:val="22"/>
          <w:szCs w:val="22"/>
        </w:rPr>
        <w:t xml:space="preserve"> </w:t>
      </w:r>
      <w:r w:rsidR="00810029">
        <w:rPr>
          <w:rFonts w:ascii="Arial" w:hAnsi="Arial" w:cs="Arial"/>
          <w:sz w:val="22"/>
          <w:szCs w:val="22"/>
        </w:rPr>
        <w:t>t</w:t>
      </w:r>
      <w:r w:rsidRPr="00E45BC7" w:rsidR="0085361D">
        <w:rPr>
          <w:rFonts w:ascii="Arial" w:hAnsi="Arial" w:cs="Arial"/>
          <w:sz w:val="22"/>
          <w:szCs w:val="22"/>
        </w:rPr>
        <w:t xml:space="preserve">he training, examination, and proficiency program requirement of 10 CFR 53.730(g) is not related to the “state of the art” </w:t>
      </w:r>
      <w:r w:rsidRPr="00E45BC7" w:rsidR="00957A31">
        <w:rPr>
          <w:rFonts w:ascii="Arial" w:hAnsi="Arial" w:cs="Arial"/>
          <w:sz w:val="22"/>
          <w:szCs w:val="22"/>
        </w:rPr>
        <w:t>HFE</w:t>
      </w:r>
      <w:r w:rsidRPr="00E45BC7" w:rsidR="0085361D">
        <w:rPr>
          <w:rFonts w:ascii="Arial" w:hAnsi="Arial" w:cs="Arial"/>
          <w:sz w:val="22"/>
          <w:szCs w:val="22"/>
        </w:rPr>
        <w:t xml:space="preserve"> but instead is a </w:t>
      </w:r>
      <w:r w:rsidR="00B45687">
        <w:rPr>
          <w:rFonts w:ascii="Arial" w:hAnsi="Arial" w:cs="Arial"/>
          <w:sz w:val="22"/>
          <w:szCs w:val="22"/>
        </w:rPr>
        <w:t xml:space="preserve">necessary </w:t>
      </w:r>
      <w:r w:rsidRPr="00E45BC7" w:rsidR="0085361D">
        <w:rPr>
          <w:rFonts w:ascii="Arial" w:hAnsi="Arial" w:cs="Arial"/>
          <w:sz w:val="22"/>
          <w:szCs w:val="22"/>
        </w:rPr>
        <w:t xml:space="preserve">requirement for the facility to maintain programs to train, qualify, and maintain the qualification of </w:t>
      </w:r>
      <w:r w:rsidRPr="00E45BC7" w:rsidR="00071451">
        <w:rPr>
          <w:rFonts w:ascii="Arial" w:hAnsi="Arial" w:cs="Arial"/>
          <w:sz w:val="22"/>
          <w:szCs w:val="22"/>
        </w:rPr>
        <w:t>licensed operators</w:t>
      </w:r>
      <w:r w:rsidRPr="00E45BC7" w:rsidR="00ED36D3">
        <w:rPr>
          <w:rFonts w:ascii="Arial" w:hAnsi="Arial" w:cs="Arial"/>
          <w:sz w:val="22"/>
          <w:szCs w:val="22"/>
        </w:rPr>
        <w:t>.</w:t>
      </w:r>
    </w:p>
    <w:p w:rsidR="007F112A" w:rsidRPr="00E45BC7" w:rsidP="00E45BC7" w14:paraId="6EED26AF" w14:textId="77777777">
      <w:pPr>
        <w:spacing w:after="220"/>
        <w:ind w:left="45"/>
        <w:rPr>
          <w:rFonts w:ascii="Arial" w:hAnsi="Arial" w:cs="Arial"/>
          <w:sz w:val="22"/>
          <w:szCs w:val="22"/>
        </w:rPr>
      </w:pPr>
      <w:r w:rsidRPr="00E45BC7">
        <w:rPr>
          <w:rFonts w:ascii="Arial" w:hAnsi="Arial" w:cs="Arial"/>
          <w:sz w:val="22"/>
          <w:szCs w:val="22"/>
        </w:rPr>
        <w:t>Accordingly, the NRC did not change the rule language in response to th</w:t>
      </w:r>
      <w:r w:rsidRPr="00E45BC7" w:rsidR="00F37F92">
        <w:rPr>
          <w:rFonts w:ascii="Arial" w:hAnsi="Arial" w:cs="Arial"/>
          <w:sz w:val="22"/>
          <w:szCs w:val="22"/>
        </w:rPr>
        <w:t>ese</w:t>
      </w:r>
      <w:r w:rsidRPr="00E45BC7">
        <w:rPr>
          <w:rFonts w:ascii="Arial" w:hAnsi="Arial" w:cs="Arial"/>
          <w:sz w:val="22"/>
          <w:szCs w:val="22"/>
        </w:rPr>
        <w:t xml:space="preserve"> comment</w:t>
      </w:r>
      <w:r w:rsidRPr="00E45BC7" w:rsidR="00F37F92">
        <w:rPr>
          <w:rFonts w:ascii="Arial" w:hAnsi="Arial" w:cs="Arial"/>
          <w:sz w:val="22"/>
          <w:szCs w:val="22"/>
        </w:rPr>
        <w:t>s</w:t>
      </w:r>
      <w:r w:rsidRPr="00E45BC7">
        <w:rPr>
          <w:rFonts w:ascii="Arial" w:hAnsi="Arial" w:cs="Arial"/>
          <w:sz w:val="22"/>
          <w:szCs w:val="22"/>
        </w:rPr>
        <w:t>.</w:t>
      </w:r>
    </w:p>
    <w:p w:rsidR="007F112A" w:rsidRPr="00E45BC7" w:rsidP="00E45BC7" w14:paraId="1AF20C03" w14:textId="77777777">
      <w:pPr>
        <w:spacing w:after="220"/>
        <w:ind w:left="45"/>
        <w:rPr>
          <w:rFonts w:ascii="Arial" w:hAnsi="Arial" w:cs="Arial"/>
          <w:sz w:val="22"/>
          <w:szCs w:val="22"/>
        </w:rPr>
      </w:pPr>
      <w:r>
        <w:rPr>
          <w:rFonts w:ascii="Arial" w:eastAsia="Times New Roman" w:hAnsi="Arial" w:cs="Arial"/>
          <w:sz w:val="22"/>
          <w:szCs w:val="22"/>
          <w:lang w:eastAsia="zh-CN"/>
        </w:rPr>
        <w:pict>
          <v:rect id="_x0000_i1169" style="width:0;height:1.5pt" o:hralign="center" o:hrstd="t" o:hrnoshade="t" o:hr="t" fillcolor="black" stroked="f"/>
        </w:pict>
      </w:r>
    </w:p>
    <w:p w:rsidR="00223801" w:rsidRPr="00E45BC7" w:rsidP="00E45BC7" w14:paraId="52C397B2" w14:textId="77777777">
      <w:pPr>
        <w:spacing w:after="220"/>
        <w:rPr>
          <w:rFonts w:ascii="Arial" w:hAnsi="Arial" w:cs="Arial"/>
          <w:sz w:val="22"/>
          <w:szCs w:val="22"/>
        </w:rPr>
      </w:pPr>
      <w:r w:rsidRPr="00E45BC7">
        <w:rPr>
          <w:rFonts w:ascii="Arial" w:eastAsia="DengXian" w:hAnsi="Arial" w:cs="Arial"/>
          <w:b/>
          <w:sz w:val="22"/>
          <w:szCs w:val="22"/>
        </w:rPr>
        <w:t>Comment Bin 3.6.2.1.C</w:t>
      </w:r>
      <w:r w:rsidRPr="00E45BC7">
        <w:rPr>
          <w:rFonts w:ascii="Arial" w:hAnsi="Arial" w:cs="Arial"/>
          <w:b/>
          <w:sz w:val="22"/>
          <w:szCs w:val="22"/>
        </w:rPr>
        <w:t>:</w:t>
      </w:r>
      <w:r w:rsidRPr="00E45BC7">
        <w:rPr>
          <w:rFonts w:ascii="Arial" w:hAnsi="Arial" w:cs="Arial"/>
          <w:sz w:val="22"/>
          <w:szCs w:val="22"/>
        </w:rPr>
        <w:t xml:space="preserve"> A commenter wrote that 10 CFR 53.730(f)(4) has a requirement for staffing plans with </w:t>
      </w:r>
      <w:r w:rsidRPr="00E45BC7" w:rsidR="6ACDB41B">
        <w:rPr>
          <w:rFonts w:ascii="Arial" w:hAnsi="Arial" w:cs="Arial"/>
          <w:sz w:val="22"/>
          <w:szCs w:val="22"/>
        </w:rPr>
        <w:t xml:space="preserve">a </w:t>
      </w:r>
      <w:r w:rsidRPr="00E45BC7">
        <w:rPr>
          <w:rFonts w:ascii="Arial" w:hAnsi="Arial" w:cs="Arial"/>
          <w:sz w:val="22"/>
          <w:szCs w:val="22"/>
        </w:rPr>
        <w:t>specific minimum for how many persons are required to perform equipment surveillance and maintenance which is excessive and overburdensome. The commenter recommended removing “numbers” and replacing it with “…how the positions and responsibilities…” (</w:t>
      </w:r>
      <w:r w:rsidR="009D6BB9">
        <w:rPr>
          <w:rFonts w:ascii="Arial" w:hAnsi="Arial" w:cs="Arial"/>
          <w:sz w:val="22"/>
          <w:szCs w:val="22"/>
        </w:rPr>
        <w:t>NEI2</w:t>
      </w:r>
      <w:r w:rsidRPr="00E45BC7">
        <w:rPr>
          <w:rFonts w:ascii="Arial" w:hAnsi="Arial" w:cs="Arial"/>
          <w:sz w:val="22"/>
          <w:szCs w:val="22"/>
        </w:rPr>
        <w:t>-0076). Another commenter expressed agreement with this approach (</w:t>
      </w:r>
      <w:r w:rsidR="006912EB">
        <w:rPr>
          <w:rFonts w:ascii="Arial" w:hAnsi="Arial" w:cs="Arial"/>
          <w:sz w:val="22"/>
          <w:szCs w:val="22"/>
        </w:rPr>
        <w:t>NEX</w:t>
      </w:r>
      <w:r w:rsidRPr="00E45BC7">
        <w:rPr>
          <w:rFonts w:ascii="Arial" w:hAnsi="Arial" w:cs="Arial"/>
          <w:sz w:val="22"/>
          <w:szCs w:val="22"/>
        </w:rPr>
        <w:t>-0029).</w:t>
      </w:r>
    </w:p>
    <w:p w:rsidR="00E62D41" w:rsidRPr="00E45BC7" w:rsidP="00E45BC7" w14:paraId="349F61E1" w14:textId="77777777">
      <w:pPr>
        <w:spacing w:after="220"/>
        <w:rPr>
          <w:rFonts w:ascii="Arial" w:eastAsia="DengXian"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The NRC agrees with the comments.</w:t>
      </w:r>
    </w:p>
    <w:p w:rsidR="00321AF9" w:rsidRPr="00E45BC7" w:rsidP="00E45BC7" w14:paraId="617AC2E3" w14:textId="77777777">
      <w:pPr>
        <w:spacing w:after="220"/>
        <w:rPr>
          <w:rFonts w:ascii="Arial" w:hAnsi="Arial" w:cs="Arial"/>
          <w:sz w:val="22"/>
          <w:szCs w:val="22"/>
        </w:rPr>
      </w:pPr>
      <w:r w:rsidRPr="00E45BC7">
        <w:rPr>
          <w:rFonts w:ascii="Arial" w:hAnsi="Arial" w:cs="Arial"/>
          <w:sz w:val="22"/>
          <w:szCs w:val="22"/>
        </w:rPr>
        <w:t xml:space="preserve">The NRC agrees with the recommendation to remove the “numbers” from the 10 CFR 53.730(f)(4) proposed requirement for </w:t>
      </w:r>
      <w:r w:rsidRPr="00E45BC7" w:rsidR="00E06978">
        <w:rPr>
          <w:rFonts w:ascii="Arial" w:hAnsi="Arial" w:cs="Arial"/>
          <w:sz w:val="22"/>
          <w:szCs w:val="22"/>
        </w:rPr>
        <w:t xml:space="preserve">the </w:t>
      </w:r>
      <w:r w:rsidRPr="00E45BC7">
        <w:rPr>
          <w:rFonts w:ascii="Arial" w:hAnsi="Arial" w:cs="Arial"/>
          <w:sz w:val="22"/>
          <w:szCs w:val="22"/>
        </w:rPr>
        <w:t>staffing plan to include specific minimum numbers for how many people are required to perform equipment surveillance and maintenance.</w:t>
      </w:r>
    </w:p>
    <w:p w:rsidR="00223801" w:rsidRPr="00E45BC7" w:rsidP="00E45BC7" w14:paraId="3D93699D" w14:textId="77777777">
      <w:pPr>
        <w:spacing w:after="220"/>
        <w:rPr>
          <w:rFonts w:ascii="Arial" w:hAnsi="Arial" w:cs="Arial"/>
          <w:sz w:val="22"/>
          <w:szCs w:val="22"/>
        </w:rPr>
      </w:pPr>
      <w:r w:rsidRPr="00E45BC7">
        <w:rPr>
          <w:rFonts w:ascii="Arial" w:hAnsi="Arial" w:cs="Arial"/>
          <w:sz w:val="22"/>
          <w:szCs w:val="22"/>
        </w:rPr>
        <w:t xml:space="preserve">Accordingly, the NRC </w:t>
      </w:r>
      <w:r w:rsidR="00142F2B">
        <w:rPr>
          <w:rFonts w:ascii="Arial" w:hAnsi="Arial" w:cs="Arial"/>
          <w:sz w:val="22"/>
          <w:szCs w:val="22"/>
        </w:rPr>
        <w:t>revised</w:t>
      </w:r>
      <w:r w:rsidRPr="00E45BC7">
        <w:rPr>
          <w:rFonts w:ascii="Arial" w:hAnsi="Arial" w:cs="Arial"/>
          <w:sz w:val="22"/>
          <w:szCs w:val="22"/>
        </w:rPr>
        <w:t xml:space="preserve"> 10 CFR 53.730(f) to remove the requirement to provide specific numbers of support personnel in the staffing plan submittal in response to this comment. </w:t>
      </w:r>
    </w:p>
    <w:p w:rsidR="00223801" w:rsidRPr="00E45BC7" w:rsidP="00E45BC7" w14:paraId="5B477C22" w14:textId="77777777">
      <w:pPr>
        <w:spacing w:after="220"/>
        <w:rPr>
          <w:rFonts w:ascii="Arial" w:hAnsi="Arial" w:cs="Arial"/>
          <w:sz w:val="22"/>
          <w:szCs w:val="22"/>
        </w:rPr>
      </w:pPr>
      <w:r>
        <w:rPr>
          <w:rFonts w:ascii="Arial" w:eastAsia="Times New Roman" w:hAnsi="Arial" w:cs="Arial"/>
          <w:sz w:val="22"/>
          <w:szCs w:val="22"/>
          <w:lang w:eastAsia="zh-CN"/>
        </w:rPr>
        <w:pict>
          <v:rect id="_x0000_i1170" style="width:0;height:1.5pt" o:hralign="center" o:hrstd="t" o:hrnoshade="t" o:hr="t" fillcolor="black" stroked="f"/>
        </w:pict>
      </w:r>
    </w:p>
    <w:p w:rsidR="00223801" w:rsidRPr="00E45BC7" w:rsidP="00E45BC7" w14:paraId="607204DC" w14:textId="77777777">
      <w:pPr>
        <w:spacing w:after="220"/>
        <w:rPr>
          <w:rFonts w:ascii="Arial" w:hAnsi="Arial" w:cs="Arial"/>
          <w:sz w:val="22"/>
          <w:szCs w:val="22"/>
        </w:rPr>
      </w:pPr>
      <w:r w:rsidRPr="00E45BC7">
        <w:rPr>
          <w:rFonts w:ascii="Arial" w:eastAsia="DengXian" w:hAnsi="Arial" w:cs="Arial"/>
          <w:b/>
          <w:sz w:val="22"/>
          <w:szCs w:val="22"/>
        </w:rPr>
        <w:t>Comment Bin 3.6.2.1.D</w:t>
      </w:r>
      <w:r w:rsidRPr="00E45BC7">
        <w:rPr>
          <w:rFonts w:ascii="Arial" w:hAnsi="Arial" w:cs="Arial"/>
          <w:b/>
          <w:sz w:val="22"/>
          <w:szCs w:val="22"/>
        </w:rPr>
        <w:t>:</w:t>
      </w:r>
      <w:r w:rsidRPr="00E45BC7">
        <w:rPr>
          <w:rFonts w:ascii="Arial" w:hAnsi="Arial" w:cs="Arial"/>
          <w:sz w:val="22"/>
          <w:szCs w:val="22"/>
        </w:rPr>
        <w:t xml:space="preserve"> A commenter recommended revising and moving 10</w:t>
      </w:r>
      <w:r w:rsidRPr="00E45BC7" w:rsidR="007545BB">
        <w:rPr>
          <w:rFonts w:ascii="Arial" w:hAnsi="Arial" w:cs="Arial"/>
          <w:sz w:val="22"/>
          <w:szCs w:val="22"/>
        </w:rPr>
        <w:t> </w:t>
      </w:r>
      <w:r w:rsidRPr="00E45BC7">
        <w:rPr>
          <w:rFonts w:ascii="Arial" w:hAnsi="Arial" w:cs="Arial"/>
          <w:sz w:val="22"/>
          <w:szCs w:val="22"/>
        </w:rPr>
        <w:t>CFR</w:t>
      </w:r>
      <w:r w:rsidRPr="00E45BC7" w:rsidR="001E57F1">
        <w:rPr>
          <w:rFonts w:ascii="Arial" w:hAnsi="Arial" w:cs="Arial"/>
          <w:sz w:val="22"/>
          <w:szCs w:val="22"/>
        </w:rPr>
        <w:t> </w:t>
      </w:r>
      <w:r w:rsidRPr="00E45BC7">
        <w:rPr>
          <w:rFonts w:ascii="Arial" w:hAnsi="Arial" w:cs="Arial"/>
          <w:sz w:val="22"/>
          <w:szCs w:val="22"/>
        </w:rPr>
        <w:t>53.730(a) and (b) to 10 CFR 53.415 and retitling the section “Man/Machine Interface” (in subsequent text in the comment, the commenter labeled this new section as 10 CFR 53.445 and also 10 CFR</w:t>
      </w:r>
      <w:r w:rsidR="003C2797">
        <w:rPr>
          <w:rFonts w:ascii="Arial" w:hAnsi="Arial" w:cs="Arial"/>
          <w:sz w:val="22"/>
          <w:szCs w:val="22"/>
        </w:rPr>
        <w:t> </w:t>
      </w:r>
      <w:r w:rsidRPr="00E45BC7">
        <w:rPr>
          <w:rFonts w:ascii="Arial" w:hAnsi="Arial" w:cs="Arial"/>
          <w:sz w:val="22"/>
          <w:szCs w:val="22"/>
        </w:rPr>
        <w:t xml:space="preserve">53.400). The revised rule text would “(1) explicitly identify the intent of the human engineering (man/machine interface), (2) establish acceptance criteria, and (3) properly limit the scope of the section.” </w:t>
      </w:r>
    </w:p>
    <w:p w:rsidR="00223801" w:rsidRPr="00E45BC7" w:rsidP="00E45BC7" w14:paraId="113143F7" w14:textId="77777777">
      <w:pPr>
        <w:spacing w:after="220"/>
        <w:rPr>
          <w:rFonts w:ascii="Arial" w:hAnsi="Arial" w:cs="Arial"/>
          <w:sz w:val="22"/>
          <w:szCs w:val="22"/>
        </w:rPr>
      </w:pPr>
      <w:r w:rsidRPr="00E45BC7">
        <w:rPr>
          <w:rFonts w:ascii="Arial" w:hAnsi="Arial" w:cs="Arial"/>
          <w:sz w:val="22"/>
          <w:szCs w:val="22"/>
        </w:rPr>
        <w:t xml:space="preserve">The commenter wrote that 10 CFR 53.730(a) is unbounded with no success criteria and that the requirements would encompass the entire power plant which is “astoundingly excessive.” The commenter recommended the addition of a new subsection to encompass the defense-in-depth portion of the reactor's man-machine interface. </w:t>
      </w:r>
    </w:p>
    <w:p w:rsidR="00223801" w:rsidRPr="00E45BC7" w:rsidP="00E45BC7" w14:paraId="2A091E9E" w14:textId="77777777">
      <w:pPr>
        <w:tabs>
          <w:tab w:val="left" w:pos="489"/>
        </w:tabs>
        <w:spacing w:after="220"/>
        <w:rPr>
          <w:rFonts w:ascii="Arial" w:hAnsi="Arial" w:cs="Arial"/>
          <w:sz w:val="22"/>
          <w:szCs w:val="22"/>
        </w:rPr>
      </w:pPr>
      <w:r w:rsidRPr="00E45BC7">
        <w:rPr>
          <w:rFonts w:ascii="Arial" w:hAnsi="Arial" w:cs="Arial"/>
          <w:sz w:val="22"/>
          <w:szCs w:val="22"/>
        </w:rPr>
        <w:t>The commenter suggested deleting 10 CFR 53.730(b)(7)</w:t>
      </w:r>
      <w:r w:rsidRPr="00E45BC7" w:rsidR="5D3E3F85">
        <w:rPr>
          <w:rFonts w:ascii="Arial" w:hAnsi="Arial" w:cs="Arial"/>
          <w:sz w:val="22"/>
          <w:szCs w:val="22"/>
        </w:rPr>
        <w:t>,</w:t>
      </w:r>
      <w:r w:rsidRPr="00E45BC7">
        <w:rPr>
          <w:rFonts w:ascii="Arial" w:hAnsi="Arial" w:cs="Arial"/>
          <w:sz w:val="22"/>
          <w:szCs w:val="22"/>
        </w:rPr>
        <w:t xml:space="preserve"> writing that proper man/machine interface requirements always apply to the reactor, and added that they are not aware of what a self-reliant mitigation facility is. The commenter recommended removing 10 CFR 53.730 (c) and (d) in its entirety</w:t>
      </w:r>
      <w:r w:rsidRPr="00E45BC7" w:rsidR="28CF6FC6">
        <w:rPr>
          <w:rFonts w:ascii="Arial" w:hAnsi="Arial" w:cs="Arial"/>
          <w:sz w:val="22"/>
          <w:szCs w:val="22"/>
        </w:rPr>
        <w:t>,</w:t>
      </w:r>
      <w:r w:rsidRPr="00E45BC7">
        <w:rPr>
          <w:rFonts w:ascii="Arial" w:hAnsi="Arial" w:cs="Arial"/>
          <w:sz w:val="22"/>
          <w:szCs w:val="22"/>
        </w:rPr>
        <w:t xml:space="preserve"> writing that there is no human factor counterpart in 10 CFR Part 50. The commenter added that the rule text as written is illegal and contradicts the requirements of NEIMA</w:t>
      </w:r>
      <w:r w:rsidRPr="00E45BC7" w:rsidR="008A0616">
        <w:rPr>
          <w:rFonts w:ascii="Arial" w:hAnsi="Arial" w:cs="Arial"/>
          <w:sz w:val="22"/>
          <w:szCs w:val="22"/>
        </w:rPr>
        <w:t>. The commenter also expressed confusion over the meaning of a self</w:t>
      </w:r>
      <w:r w:rsidRPr="00E45BC7" w:rsidR="00E2599F">
        <w:rPr>
          <w:rFonts w:ascii="Arial" w:hAnsi="Arial" w:cs="Arial"/>
          <w:sz w:val="22"/>
          <w:szCs w:val="22"/>
        </w:rPr>
        <w:t>-</w:t>
      </w:r>
      <w:r w:rsidRPr="00E45BC7" w:rsidR="008A0616">
        <w:rPr>
          <w:rFonts w:ascii="Arial" w:hAnsi="Arial" w:cs="Arial"/>
          <w:sz w:val="22"/>
          <w:szCs w:val="22"/>
        </w:rPr>
        <w:t>reliant mitigation facility</w:t>
      </w:r>
      <w:r w:rsidRPr="00E45BC7">
        <w:rPr>
          <w:rFonts w:ascii="Arial" w:hAnsi="Arial" w:cs="Arial"/>
          <w:sz w:val="22"/>
          <w:szCs w:val="22"/>
        </w:rPr>
        <w:t xml:space="preserve"> (</w:t>
      </w:r>
      <w:r w:rsidR="00903A73">
        <w:rPr>
          <w:rFonts w:ascii="Arial" w:hAnsi="Arial" w:cs="Arial"/>
          <w:sz w:val="22"/>
          <w:szCs w:val="22"/>
        </w:rPr>
        <w:t>HPT15</w:t>
      </w:r>
      <w:r w:rsidRPr="00E45BC7">
        <w:rPr>
          <w:rFonts w:ascii="Arial" w:hAnsi="Arial" w:cs="Arial"/>
          <w:sz w:val="22"/>
          <w:szCs w:val="22"/>
        </w:rPr>
        <w:t xml:space="preserve">-0001, </w:t>
      </w:r>
      <w:r w:rsidR="00903A73">
        <w:rPr>
          <w:rFonts w:ascii="Arial" w:hAnsi="Arial" w:cs="Arial"/>
          <w:sz w:val="22"/>
          <w:szCs w:val="22"/>
        </w:rPr>
        <w:t>HPT15</w:t>
      </w:r>
      <w:r w:rsidRPr="00E45BC7">
        <w:rPr>
          <w:rFonts w:ascii="Arial" w:hAnsi="Arial" w:cs="Arial"/>
          <w:sz w:val="22"/>
          <w:szCs w:val="22"/>
        </w:rPr>
        <w:t xml:space="preserve">-0002, </w:t>
      </w:r>
      <w:r w:rsidR="00903A73">
        <w:rPr>
          <w:rFonts w:ascii="Arial" w:hAnsi="Arial" w:cs="Arial"/>
          <w:sz w:val="22"/>
          <w:szCs w:val="22"/>
        </w:rPr>
        <w:t>HPT15</w:t>
      </w:r>
      <w:r w:rsidRPr="00E45BC7">
        <w:rPr>
          <w:rFonts w:ascii="Arial" w:hAnsi="Arial" w:cs="Arial"/>
          <w:sz w:val="22"/>
          <w:szCs w:val="22"/>
        </w:rPr>
        <w:t>-0003).</w:t>
      </w:r>
    </w:p>
    <w:p w:rsidR="00223801" w:rsidRPr="00E45BC7" w:rsidP="00E45BC7" w14:paraId="3AE85C9B" w14:textId="77777777">
      <w:pPr>
        <w:spacing w:after="220"/>
        <w:rPr>
          <w:rFonts w:ascii="Arial" w:hAnsi="Arial" w:cs="Arial"/>
          <w:sz w:val="22"/>
          <w:szCs w:val="22"/>
        </w:rPr>
      </w:pPr>
      <w:r w:rsidRPr="00E45BC7">
        <w:rPr>
          <w:rFonts w:ascii="Arial" w:hAnsi="Arial" w:cs="Arial"/>
          <w:sz w:val="22"/>
          <w:szCs w:val="22"/>
        </w:rPr>
        <w:t>However, a subsequent submission from the commenter suggested deleting the entirety of 10</w:t>
      </w:r>
      <w:r w:rsidR="006710E8">
        <w:rPr>
          <w:rFonts w:ascii="Arial" w:hAnsi="Arial" w:cs="Arial"/>
          <w:sz w:val="22"/>
          <w:szCs w:val="22"/>
        </w:rPr>
        <w:t> </w:t>
      </w:r>
      <w:r w:rsidRPr="00E45BC7">
        <w:rPr>
          <w:rFonts w:ascii="Arial" w:hAnsi="Arial" w:cs="Arial"/>
          <w:sz w:val="22"/>
          <w:szCs w:val="22"/>
        </w:rPr>
        <w:t xml:space="preserve">CFR 53.730 instead of moving it. The commenter wrote that, for most requirements in the section, there is no equivalent requirement in 10 CFR Part 50. The commenter added that the requirements in 10 CFR 53.730 are open ended with no discernable acceptance criteria </w:t>
      </w:r>
      <w:r w:rsidR="00433783">
        <w:rPr>
          <w:rFonts w:ascii="Arial" w:hAnsi="Arial" w:cs="Arial"/>
          <w:sz w:val="22"/>
          <w:szCs w:val="22"/>
        </w:rPr>
        <w:t xml:space="preserve">and </w:t>
      </w:r>
      <w:r w:rsidR="007A1507">
        <w:rPr>
          <w:rFonts w:ascii="Arial" w:hAnsi="Arial" w:cs="Arial"/>
          <w:sz w:val="22"/>
          <w:szCs w:val="22"/>
        </w:rPr>
        <w:t xml:space="preserve">specifically asserted </w:t>
      </w:r>
      <w:r w:rsidR="00433783">
        <w:rPr>
          <w:rFonts w:ascii="Arial" w:hAnsi="Arial" w:cs="Arial"/>
          <w:sz w:val="22"/>
          <w:szCs w:val="22"/>
        </w:rPr>
        <w:t xml:space="preserve">that </w:t>
      </w:r>
      <w:r w:rsidR="007A1507">
        <w:rPr>
          <w:rFonts w:ascii="Arial" w:hAnsi="Arial" w:cs="Arial"/>
          <w:sz w:val="22"/>
          <w:szCs w:val="22"/>
        </w:rPr>
        <w:t xml:space="preserve">10 CFR 53.730(g) is duplicative </w:t>
      </w:r>
      <w:r w:rsidR="008778CC">
        <w:rPr>
          <w:rFonts w:ascii="Arial" w:hAnsi="Arial" w:cs="Arial"/>
          <w:sz w:val="22"/>
          <w:szCs w:val="22"/>
        </w:rPr>
        <w:t>to</w:t>
      </w:r>
      <w:r w:rsidR="007A1507">
        <w:rPr>
          <w:rFonts w:ascii="Arial" w:hAnsi="Arial" w:cs="Arial"/>
          <w:sz w:val="22"/>
          <w:szCs w:val="22"/>
        </w:rPr>
        <w:t xml:space="preserve"> 10 CFR 53.815 and 53.830</w:t>
      </w:r>
      <w:r w:rsidRPr="00E45BC7">
        <w:rPr>
          <w:rFonts w:ascii="Arial" w:hAnsi="Arial" w:cs="Arial"/>
          <w:sz w:val="22"/>
          <w:szCs w:val="22"/>
        </w:rPr>
        <w:t xml:space="preserve"> (</w:t>
      </w:r>
      <w:r w:rsidR="00D64999">
        <w:rPr>
          <w:rFonts w:ascii="Arial" w:hAnsi="Arial" w:cs="Arial"/>
          <w:sz w:val="22"/>
          <w:szCs w:val="22"/>
        </w:rPr>
        <w:t>HPT20</w:t>
      </w:r>
      <w:r w:rsidRPr="00E45BC7">
        <w:rPr>
          <w:rFonts w:ascii="Arial" w:hAnsi="Arial" w:cs="Arial"/>
          <w:sz w:val="22"/>
          <w:szCs w:val="22"/>
        </w:rPr>
        <w:t xml:space="preserve">-0001, </w:t>
      </w:r>
      <w:r w:rsidR="00D64999">
        <w:rPr>
          <w:rFonts w:ascii="Arial" w:hAnsi="Arial" w:cs="Arial"/>
          <w:sz w:val="22"/>
          <w:szCs w:val="22"/>
        </w:rPr>
        <w:t>HPT20</w:t>
      </w:r>
      <w:r w:rsidRPr="00E45BC7">
        <w:rPr>
          <w:rFonts w:ascii="Arial" w:hAnsi="Arial" w:cs="Arial"/>
          <w:sz w:val="22"/>
          <w:szCs w:val="22"/>
        </w:rPr>
        <w:t>-0002)</w:t>
      </w:r>
      <w:r w:rsidRPr="00E45BC7" w:rsidR="00BA5F14">
        <w:rPr>
          <w:rFonts w:ascii="Arial" w:hAnsi="Arial" w:cs="Arial"/>
          <w:sz w:val="22"/>
          <w:szCs w:val="22"/>
        </w:rPr>
        <w:t>.</w:t>
      </w:r>
    </w:p>
    <w:p w:rsidR="00223801" w:rsidRPr="00E45BC7" w:rsidP="00E45BC7" w14:paraId="7F356B8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The NRC agrees, in part, with the comment</w:t>
      </w:r>
      <w:r w:rsidRPr="00E45BC7" w:rsidR="007B118A">
        <w:rPr>
          <w:rFonts w:ascii="Arial" w:eastAsia="DengXian" w:hAnsi="Arial" w:cs="Arial"/>
          <w:sz w:val="22"/>
          <w:szCs w:val="22"/>
        </w:rPr>
        <w:t>s</w:t>
      </w:r>
      <w:r w:rsidRPr="00E45BC7">
        <w:rPr>
          <w:rFonts w:ascii="Arial" w:eastAsia="DengXian" w:hAnsi="Arial" w:cs="Arial"/>
          <w:sz w:val="22"/>
          <w:szCs w:val="22"/>
        </w:rPr>
        <w:t xml:space="preserve">. </w:t>
      </w:r>
    </w:p>
    <w:p w:rsidR="007F112A" w:rsidRPr="00E45BC7" w:rsidP="00E45BC7" w14:paraId="3F6B870B" w14:textId="77777777">
      <w:pPr>
        <w:spacing w:after="220"/>
        <w:rPr>
          <w:rFonts w:ascii="Arial" w:hAnsi="Arial" w:cs="Arial"/>
          <w:sz w:val="22"/>
          <w:szCs w:val="22"/>
        </w:rPr>
      </w:pPr>
      <w:r w:rsidRPr="00E45BC7">
        <w:rPr>
          <w:rFonts w:ascii="Arial" w:hAnsi="Arial" w:cs="Arial"/>
          <w:sz w:val="22"/>
          <w:szCs w:val="22"/>
        </w:rPr>
        <w:t xml:space="preserve">The NRC disagrees with </w:t>
      </w:r>
      <w:r w:rsidRPr="00E45BC7" w:rsidR="00857C03">
        <w:rPr>
          <w:rFonts w:ascii="Arial" w:hAnsi="Arial" w:cs="Arial"/>
          <w:sz w:val="22"/>
          <w:szCs w:val="22"/>
        </w:rPr>
        <w:t xml:space="preserve">revising and moving </w:t>
      </w:r>
      <w:r w:rsidRPr="00E45BC7" w:rsidR="00A7333C">
        <w:rPr>
          <w:rFonts w:ascii="Arial" w:hAnsi="Arial" w:cs="Arial"/>
          <w:sz w:val="22"/>
          <w:szCs w:val="22"/>
        </w:rPr>
        <w:t xml:space="preserve">10 CFR </w:t>
      </w:r>
      <w:r w:rsidRPr="00E45BC7" w:rsidR="00857C03">
        <w:rPr>
          <w:rFonts w:ascii="Arial" w:hAnsi="Arial" w:cs="Arial"/>
          <w:sz w:val="22"/>
          <w:szCs w:val="22"/>
        </w:rPr>
        <w:t xml:space="preserve">53.730(a) and (b) to </w:t>
      </w:r>
      <w:r w:rsidRPr="00E45BC7" w:rsidR="00F13AA9">
        <w:rPr>
          <w:rFonts w:ascii="Arial" w:hAnsi="Arial" w:cs="Arial"/>
          <w:sz w:val="22"/>
          <w:szCs w:val="22"/>
        </w:rPr>
        <w:t>10 CFR </w:t>
      </w:r>
      <w:r w:rsidRPr="00E45BC7" w:rsidR="00857C03">
        <w:rPr>
          <w:rFonts w:ascii="Arial" w:hAnsi="Arial" w:cs="Arial"/>
          <w:sz w:val="22"/>
          <w:szCs w:val="22"/>
        </w:rPr>
        <w:t>53.415</w:t>
      </w:r>
      <w:r w:rsidRPr="00E45BC7">
        <w:rPr>
          <w:rFonts w:ascii="Arial" w:hAnsi="Arial" w:cs="Arial"/>
          <w:sz w:val="22"/>
          <w:szCs w:val="22"/>
        </w:rPr>
        <w:t>. The Man/Machine Interface (referred to as the Human System Interface, or HS</w:t>
      </w:r>
      <w:r w:rsidRPr="00E45BC7" w:rsidR="00233DFA">
        <w:rPr>
          <w:rFonts w:ascii="Arial" w:hAnsi="Arial" w:cs="Arial"/>
          <w:sz w:val="22"/>
          <w:szCs w:val="22"/>
        </w:rPr>
        <w:t>I</w:t>
      </w:r>
      <w:r w:rsidRPr="00E45BC7">
        <w:rPr>
          <w:rFonts w:ascii="Arial" w:hAnsi="Arial" w:cs="Arial"/>
          <w:sz w:val="22"/>
          <w:szCs w:val="22"/>
        </w:rPr>
        <w:t>, in NRC guidance documents) is included in the staff’s review. Reviewing HS</w:t>
      </w:r>
      <w:r w:rsidRPr="00E45BC7" w:rsidR="00233DFA">
        <w:rPr>
          <w:rFonts w:ascii="Arial" w:hAnsi="Arial" w:cs="Arial"/>
          <w:sz w:val="22"/>
          <w:szCs w:val="22"/>
        </w:rPr>
        <w:t>I</w:t>
      </w:r>
      <w:r w:rsidRPr="00E45BC7">
        <w:rPr>
          <w:rFonts w:ascii="Arial" w:hAnsi="Arial" w:cs="Arial"/>
          <w:sz w:val="22"/>
          <w:szCs w:val="22"/>
        </w:rPr>
        <w:t xml:space="preserve"> alone is inadequate for determining safe and reliable performance in all settings that human activities are expected for supporting the continued availability of plant safety or emergency response functions. Contextual information, such as the concept of operations, is necessary to properly evaluate the HSI. For example, some designs are considering combining the operator role with other site roles, which may mean that the operator is no longer continuously at-the-controls or in the main control room. In such cases, looking solely at the alarm system interface is inadequate without also considering that the operator would not be able to hear those alarms while in the plant. Human factors regulations ensure that human factors principles are appropriately considered and applied. The new regulation allows for scaling of these efforts informed by risk insights as described in </w:t>
      </w:r>
      <w:r w:rsidRPr="00E45BC7" w:rsidR="00233DFA">
        <w:rPr>
          <w:rFonts w:ascii="Arial" w:hAnsi="Arial" w:cs="Arial"/>
          <w:sz w:val="22"/>
          <w:szCs w:val="22"/>
        </w:rPr>
        <w:t>D</w:t>
      </w:r>
      <w:r w:rsidRPr="00E45BC7">
        <w:rPr>
          <w:rFonts w:ascii="Arial" w:hAnsi="Arial" w:cs="Arial"/>
          <w:sz w:val="22"/>
          <w:szCs w:val="22"/>
        </w:rPr>
        <w:t>RO-ISG-2023-03</w:t>
      </w:r>
      <w:r w:rsidRPr="00E45BC7" w:rsidR="009352ED">
        <w:rPr>
          <w:rFonts w:ascii="Arial" w:hAnsi="Arial" w:cs="Arial"/>
          <w:sz w:val="22"/>
          <w:szCs w:val="22"/>
        </w:rPr>
        <w:t>, “Development of Scalable Human Factors Engineering Review Plans</w:t>
      </w:r>
      <w:r w:rsidRPr="00E45BC7" w:rsidR="009E08B4">
        <w:rPr>
          <w:rFonts w:ascii="Arial" w:hAnsi="Arial" w:cs="Arial"/>
          <w:sz w:val="22"/>
          <w:szCs w:val="22"/>
        </w:rPr>
        <w:t>,</w:t>
      </w:r>
      <w:r w:rsidRPr="00E45BC7" w:rsidR="009352ED">
        <w:rPr>
          <w:rFonts w:ascii="Arial" w:hAnsi="Arial" w:cs="Arial"/>
          <w:sz w:val="22"/>
          <w:szCs w:val="22"/>
        </w:rPr>
        <w:t>”</w:t>
      </w:r>
      <w:r w:rsidRPr="00E45BC7" w:rsidR="009E08B4">
        <w:rPr>
          <w:rFonts w:ascii="Arial" w:hAnsi="Arial" w:cs="Arial"/>
          <w:sz w:val="22"/>
          <w:szCs w:val="22"/>
        </w:rPr>
        <w:t xml:space="preserve"> issued </w:t>
      </w:r>
      <w:r w:rsidRPr="00E45BC7" w:rsidR="0022735A">
        <w:rPr>
          <w:rFonts w:ascii="Arial" w:hAnsi="Arial" w:cs="Arial"/>
          <w:sz w:val="22"/>
          <w:szCs w:val="22"/>
        </w:rPr>
        <w:t>October 202</w:t>
      </w:r>
      <w:r w:rsidRPr="00E45BC7" w:rsidR="007A4651">
        <w:rPr>
          <w:rFonts w:ascii="Arial" w:hAnsi="Arial" w:cs="Arial"/>
          <w:sz w:val="22"/>
          <w:szCs w:val="22"/>
        </w:rPr>
        <w:t>4</w:t>
      </w:r>
      <w:r w:rsidRPr="00E45BC7" w:rsidR="0022735A">
        <w:rPr>
          <w:rFonts w:ascii="Arial" w:hAnsi="Arial" w:cs="Arial"/>
          <w:sz w:val="22"/>
          <w:szCs w:val="22"/>
        </w:rPr>
        <w:t xml:space="preserve"> (</w:t>
      </w:r>
      <w:r w:rsidRPr="00E45BC7" w:rsidR="007A4651">
        <w:rPr>
          <w:rFonts w:ascii="Arial" w:hAnsi="Arial" w:cs="Arial"/>
          <w:sz w:val="22"/>
          <w:szCs w:val="22"/>
        </w:rPr>
        <w:t>ML22266A072),</w:t>
      </w:r>
      <w:r w:rsidRPr="00E45BC7">
        <w:rPr>
          <w:rFonts w:ascii="Arial" w:hAnsi="Arial" w:cs="Arial"/>
          <w:sz w:val="22"/>
          <w:szCs w:val="22"/>
        </w:rPr>
        <w:t xml:space="preserve"> and thus limit the scope of the review based upon the specific design.</w:t>
      </w:r>
    </w:p>
    <w:p w:rsidR="007F112A" w:rsidRPr="00E45BC7" w:rsidP="00E45BC7" w14:paraId="1B2878DB" w14:textId="77777777">
      <w:pPr>
        <w:spacing w:after="220"/>
        <w:rPr>
          <w:rFonts w:ascii="Arial" w:hAnsi="Arial" w:cs="Arial"/>
          <w:sz w:val="22"/>
          <w:szCs w:val="22"/>
        </w:rPr>
      </w:pPr>
      <w:r w:rsidRPr="00E45BC7">
        <w:rPr>
          <w:rFonts w:ascii="Arial" w:hAnsi="Arial" w:cs="Arial"/>
          <w:sz w:val="22"/>
          <w:szCs w:val="22"/>
        </w:rPr>
        <w:t xml:space="preserve">The NRC disagrees with </w:t>
      </w:r>
      <w:r w:rsidRPr="00E45BC7" w:rsidR="001644F0">
        <w:rPr>
          <w:rFonts w:ascii="Arial" w:hAnsi="Arial" w:cs="Arial"/>
          <w:sz w:val="22"/>
          <w:szCs w:val="22"/>
        </w:rPr>
        <w:t xml:space="preserve">the </w:t>
      </w:r>
      <w:r w:rsidRPr="00E45BC7" w:rsidR="00A03772">
        <w:rPr>
          <w:rFonts w:ascii="Arial" w:hAnsi="Arial" w:cs="Arial"/>
          <w:sz w:val="22"/>
          <w:szCs w:val="22"/>
        </w:rPr>
        <w:t>statement</w:t>
      </w:r>
      <w:r w:rsidRPr="00E45BC7" w:rsidR="00A7333C">
        <w:rPr>
          <w:rFonts w:ascii="Arial" w:hAnsi="Arial" w:cs="Arial"/>
          <w:sz w:val="22"/>
          <w:szCs w:val="22"/>
        </w:rPr>
        <w:t xml:space="preserve"> that 10 CFR 53.730(a) is unbounded and without success criteria</w:t>
      </w:r>
      <w:r w:rsidRPr="00E45BC7" w:rsidR="00652A39">
        <w:rPr>
          <w:rFonts w:ascii="Arial" w:hAnsi="Arial" w:cs="Arial"/>
          <w:sz w:val="22"/>
          <w:szCs w:val="22"/>
        </w:rPr>
        <w:t xml:space="preserve"> such that the requirements are excessive</w:t>
      </w:r>
      <w:r w:rsidRPr="00E45BC7">
        <w:rPr>
          <w:rFonts w:ascii="Arial" w:hAnsi="Arial" w:cs="Arial"/>
          <w:sz w:val="22"/>
          <w:szCs w:val="22"/>
        </w:rPr>
        <w:t xml:space="preserve">. The human factors regulations are </w:t>
      </w:r>
      <w:r w:rsidRPr="00E45BC7">
        <w:rPr>
          <w:rFonts w:ascii="Arial" w:hAnsi="Arial" w:cs="Arial"/>
          <w:sz w:val="22"/>
          <w:szCs w:val="22"/>
        </w:rPr>
        <w:t xml:space="preserve">necessary to ensure that human factors principles are appropriately considered and applied. The NRC expects that many designers will limit the human role via inherent and highly reliable passive safety features, such that the self-reliant mitigation facility criteria will be met. For those designs, the NRC expects little additional HFE review to be necessary, thus providing for a scalable review that is technology-inclusive and risk-informed that performs only those HFE reviews that are necessary to ensure safety. The guidance provided in DRO-ISG-2023-03 reduces the effort needed to conduct license reviews for facilities licensing under 10 CFR Part 53 and is expected to expedite the technical review time and lower costs by focusing on novel features and risk-important features of the design. </w:t>
      </w:r>
    </w:p>
    <w:p w:rsidR="007F112A" w:rsidRPr="00E45BC7" w:rsidP="00E45BC7" w14:paraId="7AB12473" w14:textId="77777777">
      <w:pPr>
        <w:spacing w:after="220"/>
        <w:rPr>
          <w:rFonts w:ascii="Arial" w:hAnsi="Arial" w:cs="Arial"/>
          <w:sz w:val="22"/>
          <w:szCs w:val="22"/>
        </w:rPr>
      </w:pPr>
      <w:r w:rsidRPr="00E45BC7">
        <w:rPr>
          <w:rFonts w:ascii="Arial" w:hAnsi="Arial" w:cs="Arial"/>
          <w:sz w:val="22"/>
          <w:szCs w:val="22"/>
        </w:rPr>
        <w:t xml:space="preserve">The NRC disagrees with </w:t>
      </w:r>
      <w:r w:rsidRPr="00E45BC7" w:rsidR="00525D5C">
        <w:rPr>
          <w:rFonts w:ascii="Arial" w:hAnsi="Arial" w:cs="Arial"/>
          <w:sz w:val="22"/>
          <w:szCs w:val="22"/>
        </w:rPr>
        <w:t>the</w:t>
      </w:r>
      <w:r w:rsidRPr="00E45BC7">
        <w:rPr>
          <w:rFonts w:ascii="Arial" w:hAnsi="Arial" w:cs="Arial"/>
          <w:sz w:val="22"/>
          <w:szCs w:val="22"/>
        </w:rPr>
        <w:t xml:space="preserve"> </w:t>
      </w:r>
      <w:r w:rsidRPr="00E45BC7" w:rsidR="00495456">
        <w:rPr>
          <w:rFonts w:ascii="Arial" w:hAnsi="Arial" w:cs="Arial"/>
          <w:sz w:val="22"/>
          <w:szCs w:val="22"/>
        </w:rPr>
        <w:t>deletion of 10 CFR 53.730(b)(7)</w:t>
      </w:r>
      <w:r w:rsidRPr="00E45BC7">
        <w:rPr>
          <w:rFonts w:ascii="Arial" w:hAnsi="Arial" w:cs="Arial"/>
          <w:sz w:val="22"/>
          <w:szCs w:val="22"/>
        </w:rPr>
        <w:t xml:space="preserve">. The scope of the human factors reviews is comparable to previous </w:t>
      </w:r>
      <w:r w:rsidR="00FD161C">
        <w:rPr>
          <w:rFonts w:ascii="Arial" w:hAnsi="Arial" w:cs="Arial"/>
          <w:sz w:val="22"/>
          <w:szCs w:val="22"/>
        </w:rPr>
        <w:t xml:space="preserve">reviews conducted under the </w:t>
      </w:r>
      <w:r w:rsidRPr="00E45BC7">
        <w:rPr>
          <w:rFonts w:ascii="Arial" w:hAnsi="Arial" w:cs="Arial"/>
          <w:sz w:val="22"/>
          <w:szCs w:val="22"/>
        </w:rPr>
        <w:t xml:space="preserve">regulations </w:t>
      </w:r>
      <w:r w:rsidR="00FC6C6B">
        <w:rPr>
          <w:rFonts w:ascii="Arial" w:hAnsi="Arial" w:cs="Arial"/>
          <w:sz w:val="22"/>
          <w:szCs w:val="22"/>
        </w:rPr>
        <w:t>in 10 CFR Part</w:t>
      </w:r>
      <w:r w:rsidR="0040631D">
        <w:rPr>
          <w:rFonts w:ascii="Arial" w:hAnsi="Arial" w:cs="Arial"/>
          <w:sz w:val="22"/>
          <w:szCs w:val="22"/>
        </w:rPr>
        <w:t xml:space="preserve">s </w:t>
      </w:r>
      <w:r w:rsidR="00FD161C">
        <w:rPr>
          <w:rFonts w:ascii="Arial" w:hAnsi="Arial" w:cs="Arial"/>
          <w:sz w:val="22"/>
          <w:szCs w:val="22"/>
        </w:rPr>
        <w:t>50 and</w:t>
      </w:r>
      <w:r w:rsidR="00FC6C6B">
        <w:rPr>
          <w:rFonts w:ascii="Arial" w:hAnsi="Arial" w:cs="Arial"/>
          <w:sz w:val="22"/>
          <w:szCs w:val="22"/>
        </w:rPr>
        <w:t xml:space="preserve"> 55</w:t>
      </w:r>
      <w:r w:rsidRPr="00E45BC7">
        <w:rPr>
          <w:rFonts w:ascii="Arial" w:hAnsi="Arial" w:cs="Arial"/>
          <w:sz w:val="22"/>
          <w:szCs w:val="22"/>
        </w:rPr>
        <w:t xml:space="preserve"> with a few carefully considered differences. In total, the expectation is that the reviews will be more efficient and effective when compared to reviews performed under 10 CFR Part 50 due to the risk-informed, scalable nature of the reviews under 10 CFR Part 53. </w:t>
      </w:r>
    </w:p>
    <w:p w:rsidR="007F112A" w:rsidRPr="00E45BC7" w:rsidP="00E45BC7" w14:paraId="78D04723" w14:textId="77777777">
      <w:pPr>
        <w:spacing w:after="220"/>
        <w:rPr>
          <w:rFonts w:ascii="Arial" w:hAnsi="Arial" w:cs="Arial"/>
          <w:sz w:val="22"/>
          <w:szCs w:val="22"/>
        </w:rPr>
      </w:pPr>
      <w:r w:rsidRPr="00E45BC7">
        <w:rPr>
          <w:rFonts w:ascii="Arial" w:hAnsi="Arial" w:cs="Arial"/>
          <w:sz w:val="22"/>
          <w:szCs w:val="22"/>
        </w:rPr>
        <w:t xml:space="preserve">Regarding the </w:t>
      </w:r>
      <w:r w:rsidRPr="00E45BC7" w:rsidR="00A03772">
        <w:rPr>
          <w:rFonts w:ascii="Arial" w:hAnsi="Arial" w:cs="Arial"/>
          <w:sz w:val="22"/>
          <w:szCs w:val="22"/>
        </w:rPr>
        <w:t>statement</w:t>
      </w:r>
      <w:r w:rsidRPr="00E45BC7">
        <w:rPr>
          <w:rFonts w:ascii="Arial" w:hAnsi="Arial" w:cs="Arial"/>
          <w:sz w:val="22"/>
          <w:szCs w:val="22"/>
        </w:rPr>
        <w:t xml:space="preserve"> that </w:t>
      </w:r>
      <w:r w:rsidRPr="00E45BC7" w:rsidR="006B0088">
        <w:rPr>
          <w:rFonts w:ascii="Arial" w:hAnsi="Arial" w:cs="Arial"/>
          <w:sz w:val="22"/>
          <w:szCs w:val="22"/>
        </w:rPr>
        <w:t>10 CFR </w:t>
      </w:r>
      <w:r w:rsidRPr="00E45BC7">
        <w:rPr>
          <w:rFonts w:ascii="Arial" w:hAnsi="Arial" w:cs="Arial"/>
          <w:sz w:val="22"/>
          <w:szCs w:val="22"/>
        </w:rPr>
        <w:t>53.730(c) does not have an explicit counterpart in 10</w:t>
      </w:r>
      <w:r w:rsidR="007E3E16">
        <w:rPr>
          <w:rFonts w:ascii="Arial" w:hAnsi="Arial" w:cs="Arial"/>
          <w:sz w:val="22"/>
          <w:szCs w:val="22"/>
        </w:rPr>
        <w:t> </w:t>
      </w:r>
      <w:r w:rsidRPr="00E45BC7">
        <w:rPr>
          <w:rFonts w:ascii="Arial" w:hAnsi="Arial" w:cs="Arial"/>
          <w:sz w:val="22"/>
          <w:szCs w:val="22"/>
        </w:rPr>
        <w:t>CFR Part 50, 10 CFR Part 53 was developed to be technology</w:t>
      </w:r>
      <w:r w:rsidRPr="00E45BC7" w:rsidR="24B599AD">
        <w:rPr>
          <w:rFonts w:ascii="Arial" w:hAnsi="Arial" w:cs="Arial"/>
          <w:sz w:val="22"/>
          <w:szCs w:val="22"/>
        </w:rPr>
        <w:t>-</w:t>
      </w:r>
      <w:r w:rsidRPr="00E45BC7">
        <w:rPr>
          <w:rFonts w:ascii="Arial" w:hAnsi="Arial" w:cs="Arial"/>
          <w:sz w:val="22"/>
          <w:szCs w:val="22"/>
        </w:rPr>
        <w:t>inclusive and have the requisite flexibility to address different concepts of operation when compared to the prescriptive requirements of 10 CFR Part 50</w:t>
      </w:r>
      <w:r w:rsidRPr="00E45BC7" w:rsidR="5060BF8B">
        <w:rPr>
          <w:rFonts w:ascii="Arial" w:hAnsi="Arial" w:cs="Arial"/>
          <w:sz w:val="22"/>
          <w:szCs w:val="22"/>
        </w:rPr>
        <w:t>,</w:t>
      </w:r>
      <w:r w:rsidRPr="00E45BC7">
        <w:rPr>
          <w:rFonts w:ascii="Arial" w:hAnsi="Arial" w:cs="Arial"/>
          <w:sz w:val="22"/>
          <w:szCs w:val="22"/>
        </w:rPr>
        <w:t xml:space="preserve"> which is predicated upon a single concept of operations. Adding in the flexibility for the facility to determine the appropriate concept of operations based on their design rather than being forced to follow a concept of operations that may not be appropriate for their design leads to a need for a new requirement for that facility to provide the NRC with that concept of operations to help inform the NRC review. This concept of operations is foundational to </w:t>
      </w:r>
      <w:r w:rsidRPr="00E45BC7" w:rsidR="25A27E32">
        <w:rPr>
          <w:rFonts w:ascii="Arial" w:hAnsi="Arial" w:cs="Arial"/>
          <w:sz w:val="22"/>
          <w:szCs w:val="22"/>
        </w:rPr>
        <w:t xml:space="preserve">the </w:t>
      </w:r>
      <w:r w:rsidRPr="00E45BC7">
        <w:rPr>
          <w:rFonts w:ascii="Arial" w:hAnsi="Arial" w:cs="Arial"/>
          <w:sz w:val="22"/>
          <w:szCs w:val="22"/>
        </w:rPr>
        <w:t xml:space="preserve">review of operator licensing, staffing, and human factors program elements. Therefore, the NRC will retain this requirement. </w:t>
      </w:r>
    </w:p>
    <w:p w:rsidR="007F112A" w:rsidRPr="00E45BC7" w:rsidP="00E45BC7" w14:paraId="6945F130" w14:textId="77777777">
      <w:pPr>
        <w:spacing w:after="220"/>
        <w:rPr>
          <w:rFonts w:ascii="Arial" w:hAnsi="Arial" w:cs="Arial"/>
          <w:sz w:val="22"/>
          <w:szCs w:val="22"/>
        </w:rPr>
      </w:pPr>
      <w:r w:rsidRPr="00E45BC7">
        <w:rPr>
          <w:rFonts w:ascii="Arial" w:hAnsi="Arial" w:cs="Arial"/>
          <w:sz w:val="22"/>
          <w:szCs w:val="22"/>
        </w:rPr>
        <w:t xml:space="preserve">Regarding </w:t>
      </w:r>
      <w:r w:rsidRPr="00E45BC7" w:rsidR="00E06F99">
        <w:rPr>
          <w:rFonts w:ascii="Arial" w:hAnsi="Arial" w:cs="Arial"/>
          <w:sz w:val="22"/>
          <w:szCs w:val="22"/>
        </w:rPr>
        <w:t>10 CFR </w:t>
      </w:r>
      <w:r w:rsidRPr="00E45BC7">
        <w:rPr>
          <w:rFonts w:ascii="Arial" w:hAnsi="Arial" w:cs="Arial"/>
          <w:sz w:val="22"/>
          <w:szCs w:val="22"/>
        </w:rPr>
        <w:t>53.730(d), the NRC acknowledges that there is no direct equivalent in 10 CFR Part 50, but this is a direct result of the fact that there is no equivalent in 10 CFR</w:t>
      </w:r>
      <w:r w:rsidR="009F0CDA">
        <w:rPr>
          <w:rFonts w:ascii="Arial" w:hAnsi="Arial" w:cs="Arial"/>
          <w:sz w:val="22"/>
          <w:szCs w:val="22"/>
        </w:rPr>
        <w:t> </w:t>
      </w:r>
      <w:r w:rsidRPr="00E45BC7">
        <w:rPr>
          <w:rFonts w:ascii="Arial" w:hAnsi="Arial" w:cs="Arial"/>
          <w:sz w:val="22"/>
          <w:szCs w:val="22"/>
        </w:rPr>
        <w:t>Part</w:t>
      </w:r>
      <w:r w:rsidR="009F0CDA">
        <w:rPr>
          <w:rFonts w:ascii="Arial" w:hAnsi="Arial" w:cs="Arial"/>
          <w:sz w:val="22"/>
          <w:szCs w:val="22"/>
        </w:rPr>
        <w:t> </w:t>
      </w:r>
      <w:r w:rsidRPr="00E45BC7">
        <w:rPr>
          <w:rFonts w:ascii="Arial" w:hAnsi="Arial" w:cs="Arial"/>
          <w:sz w:val="22"/>
          <w:szCs w:val="22"/>
        </w:rPr>
        <w:t>53 to 10 CFR 50.54(m)</w:t>
      </w:r>
      <w:r w:rsidRPr="00E45BC7" w:rsidR="3EAE95AD">
        <w:rPr>
          <w:rFonts w:ascii="Arial" w:hAnsi="Arial" w:cs="Arial"/>
          <w:sz w:val="22"/>
          <w:szCs w:val="22"/>
        </w:rPr>
        <w:t>,</w:t>
      </w:r>
      <w:r w:rsidRPr="00E45BC7">
        <w:rPr>
          <w:rFonts w:ascii="Arial" w:hAnsi="Arial" w:cs="Arial"/>
          <w:sz w:val="22"/>
          <w:szCs w:val="22"/>
        </w:rPr>
        <w:t xml:space="preserve"> which prescribes the type and level of staffing for operating reactors. The </w:t>
      </w:r>
      <w:r w:rsidRPr="00E45BC7" w:rsidR="4773E855">
        <w:rPr>
          <w:rFonts w:ascii="Arial" w:hAnsi="Arial" w:cs="Arial"/>
          <w:sz w:val="22"/>
          <w:szCs w:val="22"/>
        </w:rPr>
        <w:t>NRC</w:t>
      </w:r>
      <w:r w:rsidRPr="00E45BC7">
        <w:rPr>
          <w:rFonts w:ascii="Arial" w:hAnsi="Arial" w:cs="Arial"/>
          <w:sz w:val="22"/>
          <w:szCs w:val="22"/>
        </w:rPr>
        <w:t xml:space="preserve"> acknowledge</w:t>
      </w:r>
      <w:r w:rsidRPr="00E45BC7" w:rsidR="32BAA4F4">
        <w:rPr>
          <w:rFonts w:ascii="Arial" w:hAnsi="Arial" w:cs="Arial"/>
          <w:sz w:val="22"/>
          <w:szCs w:val="22"/>
        </w:rPr>
        <w:t>s</w:t>
      </w:r>
      <w:r w:rsidRPr="00E45BC7">
        <w:rPr>
          <w:rFonts w:ascii="Arial" w:hAnsi="Arial" w:cs="Arial"/>
          <w:sz w:val="22"/>
          <w:szCs w:val="22"/>
        </w:rPr>
        <w:t xml:space="preserve"> that novel designs may have reductions in risk and few, if any, credited important human actions. The information gained from the </w:t>
      </w:r>
      <w:r w:rsidRPr="00E45BC7" w:rsidR="00FA2B4E">
        <w:rPr>
          <w:rFonts w:ascii="Arial" w:hAnsi="Arial" w:cs="Arial"/>
          <w:sz w:val="22"/>
          <w:szCs w:val="22"/>
        </w:rPr>
        <w:t>Function Requirements Analysis and Fu</w:t>
      </w:r>
      <w:r w:rsidRPr="00E45BC7" w:rsidR="004C3222">
        <w:rPr>
          <w:rFonts w:ascii="Arial" w:hAnsi="Arial" w:cs="Arial"/>
          <w:sz w:val="22"/>
          <w:szCs w:val="22"/>
        </w:rPr>
        <w:t>nction Allocation</w:t>
      </w:r>
      <w:r w:rsidRPr="00E45BC7">
        <w:rPr>
          <w:rFonts w:ascii="Arial" w:hAnsi="Arial" w:cs="Arial"/>
          <w:sz w:val="22"/>
          <w:szCs w:val="22"/>
        </w:rPr>
        <w:t xml:space="preserve"> analyses is critical to understanding the operator’s role in these new paradigms, understanding how the inherent and passive features are used to limit the need for operators, and to help the staff understand the justification for a proposed staffing plan.</w:t>
      </w:r>
    </w:p>
    <w:p w:rsidR="007F112A" w:rsidRPr="00E45BC7" w:rsidP="00E45BC7" w14:paraId="3B42B8CC" w14:textId="77777777">
      <w:pPr>
        <w:spacing w:after="220"/>
        <w:rPr>
          <w:rFonts w:ascii="Arial" w:hAnsi="Arial" w:cs="Arial"/>
          <w:sz w:val="22"/>
          <w:szCs w:val="22"/>
        </w:rPr>
      </w:pPr>
      <w:r w:rsidRPr="00E45BC7">
        <w:rPr>
          <w:rFonts w:ascii="Arial" w:hAnsi="Arial" w:cs="Arial"/>
          <w:sz w:val="22"/>
          <w:szCs w:val="22"/>
        </w:rPr>
        <w:t>Information pertaining to a self-reliant mitigation facility (SRMF) is located in 10 CFR 53.800. A commercial nuclear plant is classified as a SRMF if the NRC determines as part of its approval of the OL or COL for that plant that the design of the plant demonstrates compliance with the criteria in 10 CFR 53.800(a)(1) through (a)(5). A SRMF is of a class such that the licensee must comply with the requirements of 10 CFR 53.800 through 10 CFR 53.820 in lieu of the requirements in 10 CFR 53.760 through 10 CFR 53.795. Additionally, SRMFs will be operated by generally licensed reactor operators (GLROs), a new classification of operators as outlined in 10 CFR</w:t>
      </w:r>
      <w:r w:rsidRPr="00E45BC7" w:rsidR="00101B3E">
        <w:rPr>
          <w:rFonts w:ascii="Arial" w:hAnsi="Arial" w:cs="Arial"/>
          <w:sz w:val="22"/>
          <w:szCs w:val="22"/>
        </w:rPr>
        <w:t> </w:t>
      </w:r>
      <w:r w:rsidRPr="00E45BC7">
        <w:rPr>
          <w:rFonts w:ascii="Arial" w:hAnsi="Arial" w:cs="Arial"/>
          <w:sz w:val="22"/>
          <w:szCs w:val="22"/>
        </w:rPr>
        <w:t>53.810. The training, examination, and proficiency programs for GLROs can be found in 10 CFR 53.815 whereas facility licensee requirements related to GLROs can be found in 10 CFR 53.805.</w:t>
      </w:r>
    </w:p>
    <w:p w:rsidR="007F112A" w:rsidRPr="00E45BC7" w:rsidP="00E45BC7" w14:paraId="09B83557" w14:textId="77777777">
      <w:pPr>
        <w:spacing w:after="220"/>
        <w:rPr>
          <w:rFonts w:ascii="Arial" w:hAnsi="Arial" w:cs="Arial"/>
          <w:sz w:val="22"/>
          <w:szCs w:val="22"/>
        </w:rPr>
      </w:pPr>
      <w:r w:rsidRPr="00E45BC7">
        <w:rPr>
          <w:rFonts w:ascii="Arial" w:hAnsi="Arial" w:cs="Arial"/>
          <w:sz w:val="22"/>
          <w:szCs w:val="22"/>
        </w:rPr>
        <w:t xml:space="preserve">The NRC agrees, in part, </w:t>
      </w:r>
      <w:r w:rsidRPr="00E45BC7" w:rsidR="001525B9">
        <w:rPr>
          <w:rFonts w:ascii="Arial" w:hAnsi="Arial" w:cs="Arial"/>
          <w:sz w:val="22"/>
          <w:szCs w:val="22"/>
        </w:rPr>
        <w:t xml:space="preserve">that </w:t>
      </w:r>
      <w:r w:rsidRPr="00E45BC7" w:rsidR="000002A8">
        <w:rPr>
          <w:rFonts w:ascii="Arial" w:hAnsi="Arial" w:cs="Arial"/>
          <w:sz w:val="22"/>
          <w:szCs w:val="22"/>
        </w:rPr>
        <w:t>many portions of 10 CFR 53.730 do not have an equivalent requirement in 10 CFR Part 50</w:t>
      </w:r>
      <w:r w:rsidRPr="00E45BC7">
        <w:rPr>
          <w:rFonts w:ascii="Arial" w:hAnsi="Arial" w:cs="Arial"/>
          <w:sz w:val="22"/>
          <w:szCs w:val="22"/>
        </w:rPr>
        <w:t>. The NRC provides requirements for operator licensing in 10</w:t>
      </w:r>
      <w:r w:rsidR="009F0CDA">
        <w:rPr>
          <w:rFonts w:ascii="Arial" w:hAnsi="Arial" w:cs="Arial"/>
          <w:sz w:val="22"/>
          <w:szCs w:val="22"/>
        </w:rPr>
        <w:t> </w:t>
      </w:r>
      <w:r w:rsidRPr="00E45BC7">
        <w:rPr>
          <w:rFonts w:ascii="Arial" w:hAnsi="Arial" w:cs="Arial"/>
          <w:sz w:val="22"/>
          <w:szCs w:val="22"/>
        </w:rPr>
        <w:t xml:space="preserve">CFR Part 55 for facilities licensed under 10 CFR Parts 50 or 52 and therefore those </w:t>
      </w:r>
      <w:r w:rsidRPr="00E45BC7">
        <w:rPr>
          <w:rFonts w:ascii="Arial" w:hAnsi="Arial" w:cs="Arial"/>
          <w:sz w:val="22"/>
          <w:szCs w:val="22"/>
        </w:rPr>
        <w:t>requirements would not be in 10 CFR Part 50. For example, the requirements in 10 CFR</w:t>
      </w:r>
      <w:r w:rsidR="009F0CDA">
        <w:rPr>
          <w:rFonts w:ascii="Arial" w:hAnsi="Arial" w:cs="Arial"/>
          <w:sz w:val="22"/>
          <w:szCs w:val="22"/>
        </w:rPr>
        <w:t> </w:t>
      </w:r>
      <w:r w:rsidRPr="00E45BC7">
        <w:rPr>
          <w:rFonts w:ascii="Arial" w:hAnsi="Arial" w:cs="Arial"/>
          <w:sz w:val="22"/>
          <w:szCs w:val="22"/>
        </w:rPr>
        <w:t xml:space="preserve">53.730(g), which address the initial training and examination programs and the requalification program, are analogous to </w:t>
      </w:r>
      <w:r w:rsidRPr="00E45BC7" w:rsidR="000F73B8">
        <w:rPr>
          <w:rFonts w:ascii="Arial" w:hAnsi="Arial" w:cs="Arial"/>
          <w:sz w:val="22"/>
          <w:szCs w:val="22"/>
        </w:rPr>
        <w:t xml:space="preserve">10 CFR </w:t>
      </w:r>
      <w:r w:rsidRPr="00E45BC7">
        <w:rPr>
          <w:rFonts w:ascii="Arial" w:hAnsi="Arial" w:cs="Arial"/>
          <w:sz w:val="22"/>
          <w:szCs w:val="22"/>
        </w:rPr>
        <w:t xml:space="preserve">55.31, 55.33, and 55.59, which address the requirements for the initial application for an operator license and the requalification of operators. Furthermore, the requirements in </w:t>
      </w:r>
      <w:r w:rsidRPr="00E45BC7" w:rsidR="000F73B8">
        <w:rPr>
          <w:rFonts w:ascii="Arial" w:hAnsi="Arial" w:cs="Arial"/>
          <w:sz w:val="22"/>
          <w:szCs w:val="22"/>
        </w:rPr>
        <w:t xml:space="preserve">10 CFR </w:t>
      </w:r>
      <w:r w:rsidRPr="00E45BC7">
        <w:rPr>
          <w:rFonts w:ascii="Arial" w:hAnsi="Arial" w:cs="Arial"/>
          <w:sz w:val="22"/>
          <w:szCs w:val="22"/>
        </w:rPr>
        <w:t xml:space="preserve">53.775 and 53.780 apply to individually licensed </w:t>
      </w:r>
      <w:r w:rsidRPr="00E45BC7" w:rsidR="001C189D">
        <w:rPr>
          <w:rFonts w:ascii="Arial" w:hAnsi="Arial" w:cs="Arial"/>
          <w:sz w:val="22"/>
          <w:szCs w:val="22"/>
        </w:rPr>
        <w:t>senior reactor operators (</w:t>
      </w:r>
      <w:r w:rsidRPr="00E45BC7">
        <w:rPr>
          <w:rFonts w:ascii="Arial" w:hAnsi="Arial" w:cs="Arial"/>
          <w:sz w:val="22"/>
          <w:szCs w:val="22"/>
        </w:rPr>
        <w:t>SROs</w:t>
      </w:r>
      <w:r w:rsidRPr="00E45BC7" w:rsidR="001C189D">
        <w:rPr>
          <w:rFonts w:ascii="Arial" w:hAnsi="Arial" w:cs="Arial"/>
          <w:sz w:val="22"/>
          <w:szCs w:val="22"/>
        </w:rPr>
        <w:t>)</w:t>
      </w:r>
      <w:r w:rsidRPr="00E45BC7">
        <w:rPr>
          <w:rFonts w:ascii="Arial" w:hAnsi="Arial" w:cs="Arial"/>
          <w:sz w:val="22"/>
          <w:szCs w:val="22"/>
        </w:rPr>
        <w:t xml:space="preserve"> and </w:t>
      </w:r>
      <w:r w:rsidRPr="00E45BC7" w:rsidR="005F3C60">
        <w:rPr>
          <w:rFonts w:ascii="Arial" w:hAnsi="Arial" w:cs="Arial"/>
          <w:sz w:val="22"/>
          <w:szCs w:val="22"/>
        </w:rPr>
        <w:t>reactor operators (</w:t>
      </w:r>
      <w:r w:rsidRPr="00E45BC7">
        <w:rPr>
          <w:rFonts w:ascii="Arial" w:hAnsi="Arial" w:cs="Arial"/>
          <w:sz w:val="22"/>
          <w:szCs w:val="22"/>
        </w:rPr>
        <w:t>ROs</w:t>
      </w:r>
      <w:r w:rsidRPr="00E45BC7" w:rsidR="005F3C60">
        <w:rPr>
          <w:rFonts w:ascii="Arial" w:hAnsi="Arial" w:cs="Arial"/>
          <w:sz w:val="22"/>
          <w:szCs w:val="22"/>
        </w:rPr>
        <w:t>)</w:t>
      </w:r>
      <w:r w:rsidRPr="00E45BC7">
        <w:rPr>
          <w:rFonts w:ascii="Arial" w:hAnsi="Arial" w:cs="Arial"/>
          <w:sz w:val="22"/>
          <w:szCs w:val="22"/>
        </w:rPr>
        <w:t xml:space="preserve"> at interaction-dependent mitigation facilities, and </w:t>
      </w:r>
      <w:r w:rsidRPr="00E45BC7" w:rsidR="000F73B8">
        <w:rPr>
          <w:rFonts w:ascii="Arial" w:hAnsi="Arial" w:cs="Arial"/>
          <w:sz w:val="22"/>
          <w:szCs w:val="22"/>
        </w:rPr>
        <w:t xml:space="preserve">10 CFR </w:t>
      </w:r>
      <w:r w:rsidRPr="00E45BC7">
        <w:rPr>
          <w:rFonts w:ascii="Arial" w:hAnsi="Arial" w:cs="Arial"/>
          <w:sz w:val="22"/>
          <w:szCs w:val="22"/>
        </w:rPr>
        <w:t>53.815 and 53.830 appl</w:t>
      </w:r>
      <w:r w:rsidR="00CD02A5">
        <w:rPr>
          <w:rFonts w:ascii="Arial" w:hAnsi="Arial" w:cs="Arial"/>
          <w:sz w:val="22"/>
          <w:szCs w:val="22"/>
        </w:rPr>
        <w:t>y</w:t>
      </w:r>
      <w:r w:rsidRPr="00E45BC7">
        <w:rPr>
          <w:rFonts w:ascii="Arial" w:hAnsi="Arial" w:cs="Arial"/>
          <w:sz w:val="22"/>
          <w:szCs w:val="22"/>
        </w:rPr>
        <w:t xml:space="preserve"> to GLROs at self-reliant mitigation facilities whereas </w:t>
      </w:r>
      <w:r w:rsidRPr="00E45BC7" w:rsidR="00A715D6">
        <w:rPr>
          <w:rFonts w:ascii="Arial" w:hAnsi="Arial" w:cs="Arial"/>
          <w:sz w:val="22"/>
          <w:szCs w:val="22"/>
        </w:rPr>
        <w:t>10 CFR </w:t>
      </w:r>
      <w:r w:rsidRPr="00E45BC7">
        <w:rPr>
          <w:rFonts w:ascii="Arial" w:hAnsi="Arial" w:cs="Arial"/>
          <w:sz w:val="22"/>
          <w:szCs w:val="22"/>
        </w:rPr>
        <w:t>53.730 appl</w:t>
      </w:r>
      <w:r w:rsidR="006A58E9">
        <w:rPr>
          <w:rFonts w:ascii="Arial" w:hAnsi="Arial" w:cs="Arial"/>
          <w:sz w:val="22"/>
          <w:szCs w:val="22"/>
        </w:rPr>
        <w:t>ies</w:t>
      </w:r>
      <w:r w:rsidRPr="00E45BC7">
        <w:rPr>
          <w:rFonts w:ascii="Arial" w:hAnsi="Arial" w:cs="Arial"/>
          <w:sz w:val="22"/>
          <w:szCs w:val="22"/>
        </w:rPr>
        <w:t xml:space="preserve"> to all facilities irrespective of their classification. As </w:t>
      </w:r>
      <w:r w:rsidRPr="00E45BC7" w:rsidR="000F73B8">
        <w:rPr>
          <w:rFonts w:ascii="Arial" w:hAnsi="Arial" w:cs="Arial"/>
          <w:sz w:val="22"/>
          <w:szCs w:val="22"/>
        </w:rPr>
        <w:t>10 CFR</w:t>
      </w:r>
      <w:r w:rsidRPr="00E45BC7">
        <w:rPr>
          <w:rFonts w:ascii="Arial" w:hAnsi="Arial" w:cs="Arial"/>
          <w:sz w:val="22"/>
          <w:szCs w:val="22"/>
        </w:rPr>
        <w:t xml:space="preserve"> 53.730 addresses the requirements for personnel in ensuring safe operations as it applies to each facility applicant for or holder of an OL or COL, the requirements in this section are different than the requirements in </w:t>
      </w:r>
      <w:r w:rsidRPr="00E45BC7" w:rsidR="000F73B8">
        <w:rPr>
          <w:rFonts w:ascii="Arial" w:hAnsi="Arial" w:cs="Arial"/>
          <w:sz w:val="22"/>
          <w:szCs w:val="22"/>
        </w:rPr>
        <w:t xml:space="preserve">10 CFR </w:t>
      </w:r>
      <w:r w:rsidRPr="00E45BC7">
        <w:rPr>
          <w:rFonts w:ascii="Arial" w:hAnsi="Arial" w:cs="Arial"/>
          <w:sz w:val="22"/>
          <w:szCs w:val="22"/>
        </w:rPr>
        <w:t xml:space="preserve">53.815 and 53.830, which apply to the requirements for an individual operator; therefore, </w:t>
      </w:r>
      <w:r w:rsidRPr="00E45BC7" w:rsidR="000F73B8">
        <w:rPr>
          <w:rFonts w:ascii="Arial" w:hAnsi="Arial" w:cs="Arial"/>
          <w:sz w:val="22"/>
          <w:szCs w:val="22"/>
        </w:rPr>
        <w:t>10 CFR</w:t>
      </w:r>
      <w:r w:rsidRPr="00E45BC7" w:rsidR="004528ED">
        <w:rPr>
          <w:rFonts w:ascii="Arial" w:hAnsi="Arial" w:cs="Arial"/>
          <w:sz w:val="22"/>
          <w:szCs w:val="22"/>
        </w:rPr>
        <w:t> </w:t>
      </w:r>
      <w:r w:rsidRPr="00E45BC7">
        <w:rPr>
          <w:rFonts w:ascii="Arial" w:hAnsi="Arial" w:cs="Arial"/>
          <w:sz w:val="22"/>
          <w:szCs w:val="22"/>
        </w:rPr>
        <w:t xml:space="preserve">53.730 is not duplicative and cannot be deleted. </w:t>
      </w:r>
    </w:p>
    <w:p w:rsidR="00F46784" w:rsidRPr="00E45BC7" w:rsidP="00E45BC7" w14:paraId="7AE30C2A" w14:textId="77777777">
      <w:pPr>
        <w:spacing w:after="220"/>
        <w:rPr>
          <w:rFonts w:ascii="Arial" w:hAnsi="Arial" w:cs="Arial"/>
          <w:sz w:val="22"/>
          <w:szCs w:val="22"/>
        </w:rPr>
      </w:pPr>
      <w:r w:rsidRPr="00E45BC7">
        <w:rPr>
          <w:rFonts w:ascii="Arial" w:hAnsi="Arial" w:cs="Arial"/>
          <w:sz w:val="22"/>
          <w:szCs w:val="22"/>
        </w:rPr>
        <w:t xml:space="preserve">The NRC disagrees that </w:t>
      </w:r>
      <w:r w:rsidRPr="00E45BC7" w:rsidR="008D67ED">
        <w:rPr>
          <w:rFonts w:ascii="Arial" w:hAnsi="Arial" w:cs="Arial"/>
          <w:sz w:val="22"/>
          <w:szCs w:val="22"/>
        </w:rPr>
        <w:t>10 CFR </w:t>
      </w:r>
      <w:r w:rsidRPr="00E45BC7">
        <w:rPr>
          <w:rFonts w:ascii="Arial" w:hAnsi="Arial" w:cs="Arial"/>
          <w:sz w:val="22"/>
          <w:szCs w:val="22"/>
        </w:rPr>
        <w:t>Part 50 does not have requirements for a staffing plan; the minimum required number of licensed operators per shift are prescribed in 10</w:t>
      </w:r>
      <w:r w:rsidRPr="00E45BC7" w:rsidR="008D67ED">
        <w:rPr>
          <w:rFonts w:ascii="Arial" w:hAnsi="Arial" w:cs="Arial"/>
          <w:sz w:val="22"/>
          <w:szCs w:val="22"/>
        </w:rPr>
        <w:t> </w:t>
      </w:r>
      <w:r w:rsidRPr="00E45BC7">
        <w:rPr>
          <w:rFonts w:ascii="Arial" w:hAnsi="Arial" w:cs="Arial"/>
          <w:sz w:val="22"/>
          <w:szCs w:val="22"/>
        </w:rPr>
        <w:t>CFR</w:t>
      </w:r>
      <w:r w:rsidRPr="00E45BC7" w:rsidR="008D67ED">
        <w:rPr>
          <w:rFonts w:ascii="Arial" w:hAnsi="Arial" w:cs="Arial"/>
          <w:sz w:val="22"/>
          <w:szCs w:val="22"/>
        </w:rPr>
        <w:t> </w:t>
      </w:r>
      <w:r w:rsidRPr="00E45BC7">
        <w:rPr>
          <w:rFonts w:ascii="Arial" w:hAnsi="Arial" w:cs="Arial"/>
          <w:sz w:val="22"/>
          <w:szCs w:val="22"/>
        </w:rPr>
        <w:t xml:space="preserve">50.54(m). In contrast, </w:t>
      </w:r>
      <w:r w:rsidRPr="00E45BC7" w:rsidR="000F73B8">
        <w:rPr>
          <w:rFonts w:ascii="Arial" w:hAnsi="Arial" w:cs="Arial"/>
          <w:sz w:val="22"/>
          <w:szCs w:val="22"/>
        </w:rPr>
        <w:t>10 CFR</w:t>
      </w:r>
      <w:r w:rsidRPr="00E45BC7">
        <w:rPr>
          <w:rFonts w:ascii="Arial" w:hAnsi="Arial" w:cs="Arial"/>
          <w:sz w:val="22"/>
          <w:szCs w:val="22"/>
        </w:rPr>
        <w:t xml:space="preserve"> 53.730(f) allows applicants to determine the staffing needs of their facility and submit a staffing plan to the NRC for approval. This is a performance-based staffing requirement which allows, in part, an applicant to propose the minimum number, positions, and qualifications of licensed operators across all modes of operation. The approach results in a staffing level that is appropriate for the facility’s design, concept of operations, and workload levels for licensed operators. </w:t>
      </w:r>
    </w:p>
    <w:p w:rsidR="007F112A" w:rsidRPr="00E45BC7" w:rsidP="00E45BC7" w14:paraId="7356A4FC" w14:textId="77777777">
      <w:pPr>
        <w:spacing w:after="220"/>
        <w:rPr>
          <w:rFonts w:ascii="Arial" w:hAnsi="Arial" w:cs="Arial"/>
          <w:sz w:val="22"/>
          <w:szCs w:val="22"/>
        </w:rPr>
      </w:pPr>
      <w:r w:rsidRPr="00E45BC7">
        <w:rPr>
          <w:rFonts w:ascii="Arial" w:hAnsi="Arial" w:cs="Arial"/>
          <w:sz w:val="22"/>
          <w:szCs w:val="22"/>
        </w:rPr>
        <w:t xml:space="preserve">Regarding the </w:t>
      </w:r>
      <w:r w:rsidRPr="00E45BC7" w:rsidR="003C6DA4">
        <w:rPr>
          <w:rFonts w:ascii="Arial" w:hAnsi="Arial" w:cs="Arial"/>
          <w:sz w:val="22"/>
          <w:szCs w:val="22"/>
        </w:rPr>
        <w:t>statement</w:t>
      </w:r>
      <w:r w:rsidRPr="00E45BC7">
        <w:rPr>
          <w:rFonts w:ascii="Arial" w:hAnsi="Arial" w:cs="Arial"/>
          <w:sz w:val="22"/>
          <w:szCs w:val="22"/>
        </w:rPr>
        <w:t xml:space="preserve"> that the requirements in </w:t>
      </w:r>
      <w:r w:rsidRPr="00E45BC7" w:rsidR="003C6DA4">
        <w:rPr>
          <w:rFonts w:ascii="Arial" w:hAnsi="Arial" w:cs="Arial"/>
          <w:sz w:val="22"/>
          <w:szCs w:val="22"/>
        </w:rPr>
        <w:t xml:space="preserve">10 CFR </w:t>
      </w:r>
      <w:r w:rsidRPr="00E45BC7">
        <w:rPr>
          <w:rFonts w:ascii="Arial" w:hAnsi="Arial" w:cs="Arial"/>
          <w:sz w:val="22"/>
          <w:szCs w:val="22"/>
        </w:rPr>
        <w:t>53.730 are open</w:t>
      </w:r>
      <w:r w:rsidRPr="00E45BC7" w:rsidR="003C6DA4">
        <w:rPr>
          <w:rFonts w:ascii="Arial" w:hAnsi="Arial" w:cs="Arial"/>
          <w:sz w:val="22"/>
          <w:szCs w:val="22"/>
        </w:rPr>
        <w:noBreakHyphen/>
      </w:r>
      <w:r w:rsidRPr="00E45BC7">
        <w:rPr>
          <w:rFonts w:ascii="Arial" w:hAnsi="Arial" w:cs="Arial"/>
          <w:sz w:val="22"/>
          <w:szCs w:val="22"/>
        </w:rPr>
        <w:t xml:space="preserve">ended with no discernable acceptance criteria, </w:t>
      </w:r>
      <w:r w:rsidRPr="00E45BC7" w:rsidR="00186FD9">
        <w:rPr>
          <w:rFonts w:ascii="Arial" w:hAnsi="Arial" w:cs="Arial"/>
          <w:sz w:val="22"/>
          <w:szCs w:val="22"/>
        </w:rPr>
        <w:t>10 CFR </w:t>
      </w:r>
      <w:r w:rsidRPr="00E45BC7">
        <w:rPr>
          <w:rFonts w:ascii="Arial" w:hAnsi="Arial" w:cs="Arial"/>
          <w:sz w:val="22"/>
          <w:szCs w:val="22"/>
        </w:rPr>
        <w:t>53.730 establishes the risk</w:t>
      </w:r>
      <w:r w:rsidRPr="00E45BC7" w:rsidR="00551BCE">
        <w:rPr>
          <w:rFonts w:ascii="Arial" w:hAnsi="Arial" w:cs="Arial"/>
          <w:sz w:val="22"/>
          <w:szCs w:val="22"/>
        </w:rPr>
        <w:noBreakHyphen/>
      </w:r>
      <w:r w:rsidRPr="00E45BC7">
        <w:rPr>
          <w:rFonts w:ascii="Arial" w:hAnsi="Arial" w:cs="Arial"/>
          <w:sz w:val="22"/>
          <w:szCs w:val="22"/>
        </w:rPr>
        <w:t xml:space="preserve">informed, technology-inclusive technical requirements for applicants for or holders of OLs or COLs within specific areas as it relates to defining, fulfilling, and maintaining the role of personnel in ensuring safe operations. Because </w:t>
      </w:r>
      <w:r w:rsidRPr="00E45BC7" w:rsidR="00551BCE">
        <w:rPr>
          <w:rFonts w:ascii="Arial" w:hAnsi="Arial" w:cs="Arial"/>
          <w:sz w:val="22"/>
          <w:szCs w:val="22"/>
        </w:rPr>
        <w:t>10 CFR 53.730</w:t>
      </w:r>
      <w:r w:rsidRPr="00E45BC7">
        <w:rPr>
          <w:rFonts w:ascii="Arial" w:hAnsi="Arial" w:cs="Arial"/>
          <w:sz w:val="22"/>
          <w:szCs w:val="22"/>
        </w:rPr>
        <w:t xml:space="preserve"> is technology</w:t>
      </w:r>
      <w:r w:rsidRPr="00E45BC7" w:rsidR="00551BCE">
        <w:rPr>
          <w:rFonts w:ascii="Arial" w:hAnsi="Arial" w:cs="Arial"/>
          <w:sz w:val="22"/>
          <w:szCs w:val="22"/>
        </w:rPr>
        <w:noBreakHyphen/>
      </w:r>
      <w:r w:rsidRPr="00E45BC7">
        <w:rPr>
          <w:rFonts w:ascii="Arial" w:hAnsi="Arial" w:cs="Arial"/>
          <w:sz w:val="22"/>
          <w:szCs w:val="22"/>
        </w:rPr>
        <w:t xml:space="preserve">inclusive, it is not feasible to write specialized criteria, which would be dependent upon a given design; however, the requirements provide the generalized acceptance criteria, which are to be applied by the facility licensee based on their reactor design. Guidance to the staff, including acceptance criteria, for operator examination programs, staffing, and scalable human factors is provided in DRO-ISG-2023-01, </w:t>
      </w:r>
      <w:r w:rsidRPr="00E45BC7" w:rsidR="006A3D14">
        <w:rPr>
          <w:rFonts w:ascii="Arial" w:hAnsi="Arial" w:cs="Arial"/>
          <w:sz w:val="22"/>
          <w:szCs w:val="22"/>
        </w:rPr>
        <w:t>“Operator Licensing Programs,” issued October 202</w:t>
      </w:r>
      <w:r w:rsidRPr="00E45BC7" w:rsidR="00B2143A">
        <w:rPr>
          <w:rFonts w:ascii="Arial" w:hAnsi="Arial" w:cs="Arial"/>
          <w:sz w:val="22"/>
          <w:szCs w:val="22"/>
        </w:rPr>
        <w:t>4</w:t>
      </w:r>
      <w:r w:rsidRPr="00E45BC7" w:rsidR="006A3D14">
        <w:rPr>
          <w:rFonts w:ascii="Arial" w:hAnsi="Arial" w:cs="Arial"/>
          <w:sz w:val="22"/>
          <w:szCs w:val="22"/>
        </w:rPr>
        <w:t xml:space="preserve"> (ML</w:t>
      </w:r>
      <w:r w:rsidRPr="00E45BC7" w:rsidR="00B2143A">
        <w:rPr>
          <w:rFonts w:ascii="Arial" w:hAnsi="Arial" w:cs="Arial"/>
          <w:sz w:val="22"/>
          <w:szCs w:val="22"/>
        </w:rPr>
        <w:t>22266A066</w:t>
      </w:r>
      <w:r w:rsidRPr="00E45BC7" w:rsidR="006A3D14">
        <w:rPr>
          <w:rFonts w:ascii="Arial" w:hAnsi="Arial" w:cs="Arial"/>
          <w:sz w:val="22"/>
          <w:szCs w:val="22"/>
        </w:rPr>
        <w:t>),</w:t>
      </w:r>
      <w:r w:rsidRPr="00E45BC7">
        <w:rPr>
          <w:rFonts w:ascii="Arial" w:hAnsi="Arial" w:cs="Arial"/>
          <w:sz w:val="22"/>
          <w:szCs w:val="22"/>
        </w:rPr>
        <w:t xml:space="preserve"> DRO-ISG-2023-02, </w:t>
      </w:r>
      <w:r w:rsidRPr="00E45BC7" w:rsidR="00B2143A">
        <w:rPr>
          <w:rFonts w:ascii="Arial" w:hAnsi="Arial" w:cs="Arial"/>
          <w:sz w:val="22"/>
          <w:szCs w:val="22"/>
        </w:rPr>
        <w:t>“</w:t>
      </w:r>
      <w:r w:rsidRPr="00E45BC7" w:rsidR="001706AA">
        <w:rPr>
          <w:rFonts w:ascii="Arial" w:hAnsi="Arial" w:cs="Arial"/>
          <w:sz w:val="22"/>
          <w:szCs w:val="22"/>
        </w:rPr>
        <w:t>ISG Augmenting NUREG-1791, 'Guidance for Assessing Exemption Requests from the Nuclear Power Plant Licensed Operator Staffing Requirements Specified in 10 CFR 50.54(m),' for Licensing Plants under Part 53</w:t>
      </w:r>
      <w:r w:rsidRPr="00E45BC7" w:rsidR="00B2143A">
        <w:rPr>
          <w:rFonts w:ascii="Arial" w:hAnsi="Arial" w:cs="Arial"/>
          <w:sz w:val="22"/>
          <w:szCs w:val="22"/>
        </w:rPr>
        <w:t>,” issued October 2024 (</w:t>
      </w:r>
      <w:r w:rsidRPr="00E45BC7" w:rsidR="001706AA">
        <w:rPr>
          <w:rFonts w:ascii="Arial" w:hAnsi="Arial" w:cs="Arial"/>
          <w:sz w:val="22"/>
          <w:szCs w:val="22"/>
        </w:rPr>
        <w:t>ML22266A068</w:t>
      </w:r>
      <w:r w:rsidRPr="00E45BC7" w:rsidR="00B2143A">
        <w:rPr>
          <w:rFonts w:ascii="Arial" w:hAnsi="Arial" w:cs="Arial"/>
          <w:sz w:val="22"/>
          <w:szCs w:val="22"/>
        </w:rPr>
        <w:t xml:space="preserve">), </w:t>
      </w:r>
      <w:r w:rsidRPr="00E45BC7">
        <w:rPr>
          <w:rFonts w:ascii="Arial" w:hAnsi="Arial" w:cs="Arial"/>
          <w:sz w:val="22"/>
          <w:szCs w:val="22"/>
        </w:rPr>
        <w:t>and DRO-ISG-2023-03, respectively. Additional guidance for an acceptable method for meeting the regulatory requirements for training programs is provided in NUREG</w:t>
      </w:r>
      <w:r w:rsidRPr="00E45BC7" w:rsidR="00194AE7">
        <w:rPr>
          <w:rFonts w:ascii="Arial" w:hAnsi="Arial" w:cs="Arial"/>
          <w:sz w:val="22"/>
          <w:szCs w:val="22"/>
        </w:rPr>
        <w:noBreakHyphen/>
      </w:r>
      <w:r w:rsidRPr="00E45BC7">
        <w:rPr>
          <w:rFonts w:ascii="Arial" w:hAnsi="Arial" w:cs="Arial"/>
          <w:sz w:val="22"/>
          <w:szCs w:val="22"/>
        </w:rPr>
        <w:t>1220</w:t>
      </w:r>
      <w:r w:rsidRPr="00E45BC7" w:rsidR="00C24ADD">
        <w:rPr>
          <w:rFonts w:ascii="Arial" w:hAnsi="Arial" w:cs="Arial"/>
          <w:sz w:val="22"/>
          <w:szCs w:val="22"/>
        </w:rPr>
        <w:t>, Revision 1, “</w:t>
      </w:r>
      <w:r w:rsidRPr="00E45BC7" w:rsidR="00A57F3D">
        <w:rPr>
          <w:rFonts w:ascii="Arial" w:hAnsi="Arial" w:cs="Arial"/>
          <w:sz w:val="22"/>
          <w:szCs w:val="22"/>
        </w:rPr>
        <w:t>Training Review Criteria and Procedures</w:t>
      </w:r>
      <w:r w:rsidRPr="00E45BC7" w:rsidR="00C24ADD">
        <w:rPr>
          <w:rFonts w:ascii="Arial" w:hAnsi="Arial" w:cs="Arial"/>
          <w:sz w:val="22"/>
          <w:szCs w:val="22"/>
        </w:rPr>
        <w:t xml:space="preserve">,” issued </w:t>
      </w:r>
      <w:r w:rsidRPr="00E45BC7" w:rsidR="00A57F3D">
        <w:rPr>
          <w:rFonts w:ascii="Arial" w:hAnsi="Arial" w:cs="Arial"/>
          <w:sz w:val="22"/>
          <w:szCs w:val="22"/>
        </w:rPr>
        <w:t>January 1993 (</w:t>
      </w:r>
      <w:r w:rsidRPr="00E45BC7" w:rsidR="00964AE2">
        <w:rPr>
          <w:rFonts w:ascii="Arial" w:hAnsi="Arial" w:cs="Arial"/>
          <w:sz w:val="22"/>
          <w:szCs w:val="22"/>
        </w:rPr>
        <w:t>ML102571869</w:t>
      </w:r>
      <w:r w:rsidRPr="00E45BC7" w:rsidR="00A57F3D">
        <w:rPr>
          <w:rFonts w:ascii="Arial" w:hAnsi="Arial" w:cs="Arial"/>
          <w:sz w:val="22"/>
          <w:szCs w:val="22"/>
        </w:rPr>
        <w:t>).</w:t>
      </w:r>
    </w:p>
    <w:p w:rsidR="007F112A" w:rsidRPr="00E45BC7" w:rsidP="00E45BC7" w14:paraId="5E044FF5"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w:t>
      </w:r>
      <w:r w:rsidRPr="00E45BC7" w:rsidR="00A22BA9">
        <w:rPr>
          <w:rFonts w:ascii="Arial" w:hAnsi="Arial" w:cs="Arial"/>
          <w:sz w:val="22"/>
          <w:szCs w:val="22"/>
        </w:rPr>
        <w:t>ese</w:t>
      </w:r>
      <w:r w:rsidRPr="00E45BC7">
        <w:rPr>
          <w:rFonts w:ascii="Arial" w:hAnsi="Arial" w:cs="Arial"/>
          <w:sz w:val="22"/>
          <w:szCs w:val="22"/>
        </w:rPr>
        <w:t xml:space="preserve"> comment</w:t>
      </w:r>
      <w:r w:rsidRPr="00E45BC7" w:rsidR="00A22BA9">
        <w:rPr>
          <w:rFonts w:ascii="Arial" w:hAnsi="Arial" w:cs="Arial"/>
          <w:sz w:val="22"/>
          <w:szCs w:val="22"/>
        </w:rPr>
        <w:t>s</w:t>
      </w:r>
      <w:r w:rsidRPr="00E45BC7">
        <w:rPr>
          <w:rFonts w:ascii="Arial" w:hAnsi="Arial" w:cs="Arial"/>
          <w:sz w:val="22"/>
          <w:szCs w:val="22"/>
        </w:rPr>
        <w:t>.</w:t>
      </w:r>
    </w:p>
    <w:p w:rsidR="007F112A" w:rsidRPr="00E45BC7" w:rsidP="00E45BC7" w14:paraId="667C3FF2"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71" style="width:0;height:1.5pt" o:hralign="center" o:hrstd="t" o:hrnoshade="t" o:hr="t" fillcolor="black" stroked="f"/>
        </w:pict>
      </w:r>
    </w:p>
    <w:p w:rsidR="007F112A" w:rsidRPr="00E45BC7" w:rsidP="00E45BC7" w14:paraId="47AE0DDE"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E</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stated that it is unclear why oversight of a</w:t>
      </w:r>
      <w:r w:rsidR="005464E7">
        <w:rPr>
          <w:rFonts w:ascii="Arial" w:hAnsi="Arial" w:cs="Arial"/>
          <w:sz w:val="22"/>
          <w:szCs w:val="22"/>
        </w:rPr>
        <w:t>n</w:t>
      </w:r>
      <w:r w:rsidRPr="00E45BC7">
        <w:rPr>
          <w:rFonts w:ascii="Arial" w:hAnsi="Arial" w:cs="Arial"/>
          <w:sz w:val="22"/>
          <w:szCs w:val="22"/>
        </w:rPr>
        <w:t xml:space="preserve"> RO is insufficient in 10 CFR 53.735(b) and the interaction-dependent</w:t>
      </w:r>
      <w:r w:rsidRPr="00E45BC7">
        <w:rPr>
          <w:rFonts w:ascii="Arial" w:hAnsi="Arial" w:cs="Arial"/>
          <w:sz w:val="22"/>
          <w:szCs w:val="22"/>
        </w:rPr>
        <w:noBreakHyphen/>
        <w:t xml:space="preserve">mitigation facility would require an SRO. The commenter recommended that </w:t>
      </w:r>
      <w:r w:rsidRPr="00E45BC7" w:rsidR="005F3C60">
        <w:rPr>
          <w:rFonts w:ascii="Arial" w:hAnsi="Arial" w:cs="Arial"/>
          <w:sz w:val="22"/>
          <w:szCs w:val="22"/>
        </w:rPr>
        <w:t>10 CFR 53.735</w:t>
      </w:r>
      <w:r w:rsidRPr="00E45BC7">
        <w:rPr>
          <w:rFonts w:ascii="Arial" w:hAnsi="Arial" w:cs="Arial"/>
          <w:sz w:val="22"/>
          <w:szCs w:val="22"/>
        </w:rPr>
        <w:t xml:space="preserve">(b) use the same language as </w:t>
      </w:r>
      <w:r w:rsidR="00B81679">
        <w:rPr>
          <w:rFonts w:ascii="Arial" w:hAnsi="Arial" w:cs="Arial"/>
          <w:sz w:val="22"/>
          <w:szCs w:val="22"/>
        </w:rPr>
        <w:br/>
      </w:r>
      <w:r w:rsidRPr="00E45BC7" w:rsidR="005F3C60">
        <w:rPr>
          <w:rFonts w:ascii="Arial" w:hAnsi="Arial" w:cs="Arial"/>
          <w:sz w:val="22"/>
          <w:szCs w:val="22"/>
        </w:rPr>
        <w:t>10 CFR 53.735</w:t>
      </w:r>
      <w:r w:rsidRPr="00E45BC7">
        <w:rPr>
          <w:rFonts w:ascii="Arial" w:hAnsi="Arial" w:cs="Arial"/>
          <w:sz w:val="22"/>
          <w:szCs w:val="22"/>
        </w:rPr>
        <w:t>(a) and read, “Under the direction and in the presence of an operator, senior operator or generally licensed reactor operator, as appropriate…” (</w:t>
      </w:r>
      <w:r w:rsidR="009D6BB9">
        <w:rPr>
          <w:rFonts w:ascii="Arial" w:hAnsi="Arial" w:cs="Arial"/>
          <w:sz w:val="22"/>
          <w:szCs w:val="22"/>
        </w:rPr>
        <w:t>NEI2</w:t>
      </w:r>
      <w:r w:rsidRPr="00E45BC7">
        <w:rPr>
          <w:rFonts w:ascii="Arial" w:hAnsi="Arial" w:cs="Arial"/>
          <w:sz w:val="22"/>
          <w:szCs w:val="22"/>
        </w:rPr>
        <w:t>-0078). </w:t>
      </w:r>
    </w:p>
    <w:p w:rsidR="00964AE2" w:rsidRPr="00E45BC7" w:rsidP="00E45BC7" w14:paraId="7B56C726"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 xml:space="preserve">The NRC disagrees with the comment. </w:t>
      </w:r>
    </w:p>
    <w:p w:rsidR="007F112A" w:rsidRPr="00E45BC7" w:rsidP="00E45BC7" w14:paraId="4B230446" w14:textId="77777777">
      <w:pPr>
        <w:spacing w:after="220"/>
        <w:rPr>
          <w:rFonts w:ascii="Arial" w:hAnsi="Arial" w:cs="Arial"/>
          <w:sz w:val="22"/>
          <w:szCs w:val="22"/>
        </w:rPr>
      </w:pPr>
      <w:r w:rsidRPr="00E45BC7">
        <w:rPr>
          <w:rFonts w:ascii="Arial" w:hAnsi="Arial" w:cs="Arial"/>
          <w:sz w:val="22"/>
          <w:szCs w:val="22"/>
        </w:rPr>
        <w:t>SROs are able to provide oversight for fuel handling for the current reactor fleet because they are tested on fuel handling facilities and procedures under 10 CFR 55.43(b)(7). Although 10 CFR 53.780(b) does not explicitly discuss the content of examinations for RO and SRO applicants, draft guidance located in DRO</w:t>
      </w:r>
      <w:r w:rsidRPr="00E45BC7">
        <w:rPr>
          <w:rFonts w:ascii="Arial" w:hAnsi="Arial" w:cs="Arial"/>
          <w:sz w:val="22"/>
          <w:szCs w:val="22"/>
        </w:rPr>
        <w:noBreakHyphen/>
        <w:t xml:space="preserve">ISG-2023-01 provides guidance to the staff in the review and approval of these examination programs. Per this guidance, SROs and GLROs are expected to be tested on fuel handling facilities and procedures whereas ROs are not. This guidance is based on only SROs and GLROs performing this function. Additionally, GLROs are considered equivalent to SROs as both can direct the licensed activities of other operators and ROs </w:t>
      </w:r>
      <w:r w:rsidRPr="00E45BC7" w:rsidR="00A147E9">
        <w:rPr>
          <w:rFonts w:ascii="Arial" w:hAnsi="Arial" w:cs="Arial"/>
          <w:sz w:val="22"/>
          <w:szCs w:val="22"/>
        </w:rPr>
        <w:t>can</w:t>
      </w:r>
      <w:r w:rsidRPr="00E45BC7">
        <w:rPr>
          <w:rFonts w:ascii="Arial" w:hAnsi="Arial" w:cs="Arial"/>
          <w:sz w:val="22"/>
          <w:szCs w:val="22"/>
        </w:rPr>
        <w:t xml:space="preserve">not, hence the reduced testing of ROs. </w:t>
      </w:r>
    </w:p>
    <w:p w:rsidR="007F112A" w:rsidP="00E45BC7" w14:paraId="1967DADB" w14:textId="77777777">
      <w:pPr>
        <w:spacing w:after="220"/>
        <w:rPr>
          <w:rFonts w:ascii="Arial" w:eastAsia="DengXian" w:hAnsi="Arial" w:cs="Arial"/>
          <w:sz w:val="22"/>
          <w:szCs w:val="22"/>
          <w:lang w:eastAsia="ja-JP"/>
        </w:rPr>
      </w:pPr>
      <w:r w:rsidRPr="00E45BC7">
        <w:rPr>
          <w:rFonts w:ascii="Arial" w:eastAsia="DengXian" w:hAnsi="Arial" w:cs="Arial"/>
          <w:sz w:val="22"/>
          <w:szCs w:val="22"/>
          <w:lang w:eastAsia="ja-JP"/>
        </w:rPr>
        <w:t>Accordingly, the NRC did not change the rule language in response to this comment.</w:t>
      </w:r>
    </w:p>
    <w:p w:rsidR="007F112A" w:rsidRPr="00E45BC7" w:rsidP="00E45BC7" w14:paraId="4043CCD7"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72" style="width:0;height:1.5pt" o:hralign="center" o:hrstd="t" o:hrnoshade="t" o:hr="t" fillcolor="black" stroked="f"/>
        </w:pict>
      </w:r>
    </w:p>
    <w:p w:rsidR="007F112A" w:rsidRPr="00E45BC7" w:rsidP="00E45BC7" w14:paraId="04162050"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F</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unlike 10 CFR 55.31, 10</w:t>
      </w:r>
      <w:r w:rsidRPr="00E45BC7" w:rsidR="007C7C99">
        <w:rPr>
          <w:rFonts w:ascii="Arial" w:hAnsi="Arial" w:cs="Arial"/>
          <w:sz w:val="22"/>
          <w:szCs w:val="22"/>
        </w:rPr>
        <w:t> </w:t>
      </w:r>
      <w:r w:rsidRPr="00E45BC7">
        <w:rPr>
          <w:rFonts w:ascii="Arial" w:hAnsi="Arial" w:cs="Arial"/>
          <w:sz w:val="22"/>
          <w:szCs w:val="22"/>
        </w:rPr>
        <w:t>CFR</w:t>
      </w:r>
      <w:r w:rsidRPr="00E45BC7" w:rsidR="007C7C99">
        <w:rPr>
          <w:rFonts w:ascii="Arial" w:hAnsi="Arial" w:cs="Arial"/>
          <w:sz w:val="22"/>
          <w:szCs w:val="22"/>
        </w:rPr>
        <w:t> </w:t>
      </w:r>
      <w:r w:rsidRPr="00E45BC7">
        <w:rPr>
          <w:rFonts w:ascii="Arial" w:hAnsi="Arial" w:cs="Arial"/>
          <w:sz w:val="22"/>
          <w:szCs w:val="22"/>
        </w:rPr>
        <w:t>Part</w:t>
      </w:r>
      <w:r w:rsidRPr="00E45BC7" w:rsidR="007C7C99">
        <w:rPr>
          <w:rFonts w:ascii="Arial" w:hAnsi="Arial" w:cs="Arial"/>
          <w:sz w:val="22"/>
          <w:szCs w:val="22"/>
        </w:rPr>
        <w:t> </w:t>
      </w:r>
      <w:r w:rsidRPr="00E45BC7">
        <w:rPr>
          <w:rFonts w:ascii="Arial" w:hAnsi="Arial" w:cs="Arial"/>
          <w:sz w:val="22"/>
          <w:szCs w:val="22"/>
        </w:rPr>
        <w:t xml:space="preserve">53 does not specify the minimum number of control manipulations to be performed. Given this, the commenter asked the NRC to clarify if it intends to revise NRC Form 398 to remove the requirement to perform at least five significant control manipulations. The commenter added that the number of required control manipulations needed to be performed should be determined through the </w:t>
      </w:r>
      <w:r w:rsidR="000A5961">
        <w:rPr>
          <w:rFonts w:ascii="Arial" w:hAnsi="Arial" w:cs="Arial"/>
          <w:sz w:val="22"/>
          <w:szCs w:val="22"/>
        </w:rPr>
        <w:t>systems a</w:t>
      </w:r>
      <w:r w:rsidR="007177A4">
        <w:rPr>
          <w:rFonts w:ascii="Arial" w:hAnsi="Arial" w:cs="Arial"/>
          <w:sz w:val="22"/>
          <w:szCs w:val="22"/>
        </w:rPr>
        <w:t>pproach to training</w:t>
      </w:r>
      <w:r w:rsidRPr="00E45BC7">
        <w:rPr>
          <w:rFonts w:ascii="Arial" w:hAnsi="Arial" w:cs="Arial"/>
          <w:sz w:val="22"/>
          <w:szCs w:val="22"/>
        </w:rPr>
        <w:t xml:space="preserve"> </w:t>
      </w:r>
      <w:r w:rsidR="007177A4">
        <w:rPr>
          <w:rFonts w:ascii="Arial" w:hAnsi="Arial" w:cs="Arial"/>
          <w:sz w:val="22"/>
          <w:szCs w:val="22"/>
        </w:rPr>
        <w:t>(</w:t>
      </w:r>
      <w:r w:rsidRPr="00E45BC7">
        <w:rPr>
          <w:rFonts w:ascii="Arial" w:hAnsi="Arial" w:cs="Arial"/>
          <w:sz w:val="22"/>
          <w:szCs w:val="22"/>
        </w:rPr>
        <w:t>SAT</w:t>
      </w:r>
      <w:r w:rsidR="007177A4">
        <w:rPr>
          <w:rFonts w:ascii="Arial" w:hAnsi="Arial" w:cs="Arial"/>
          <w:sz w:val="22"/>
          <w:szCs w:val="22"/>
        </w:rPr>
        <w:t>)</w:t>
      </w:r>
      <w:r w:rsidRPr="00E45BC7">
        <w:rPr>
          <w:rFonts w:ascii="Arial" w:hAnsi="Arial" w:cs="Arial"/>
          <w:sz w:val="22"/>
          <w:szCs w:val="22"/>
        </w:rPr>
        <w:t>-based methodology and based on the design and operating characteristics of the reference plant (</w:t>
      </w:r>
      <w:r w:rsidR="009D6BB9">
        <w:rPr>
          <w:rFonts w:ascii="Arial" w:hAnsi="Arial" w:cs="Arial"/>
          <w:sz w:val="22"/>
          <w:szCs w:val="22"/>
        </w:rPr>
        <w:t>NEI2</w:t>
      </w:r>
      <w:r w:rsidRPr="00E45BC7">
        <w:rPr>
          <w:rFonts w:ascii="Arial" w:hAnsi="Arial" w:cs="Arial"/>
          <w:sz w:val="22"/>
          <w:szCs w:val="22"/>
        </w:rPr>
        <w:t>-0081).</w:t>
      </w:r>
    </w:p>
    <w:p w:rsidR="007F112A" w:rsidRPr="00E45BC7" w:rsidP="00E45BC7" w14:paraId="5FE2461F"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Additionally, the commenter wrote that NRC Form 398 should be updated to reflect 10</w:t>
      </w:r>
      <w:r w:rsidRPr="00E45BC7" w:rsidR="007C7C99">
        <w:rPr>
          <w:rFonts w:ascii="Arial" w:hAnsi="Arial" w:cs="Arial"/>
          <w:sz w:val="22"/>
          <w:szCs w:val="22"/>
        </w:rPr>
        <w:t> </w:t>
      </w:r>
      <w:r w:rsidRPr="00E45BC7">
        <w:rPr>
          <w:rFonts w:ascii="Arial" w:hAnsi="Arial" w:cs="Arial"/>
          <w:sz w:val="22"/>
          <w:szCs w:val="22"/>
        </w:rPr>
        <w:t>CFR Part 53 allowances (</w:t>
      </w:r>
      <w:r w:rsidR="009D6BB9">
        <w:rPr>
          <w:rFonts w:ascii="Arial" w:hAnsi="Arial" w:cs="Arial"/>
          <w:sz w:val="22"/>
          <w:szCs w:val="22"/>
        </w:rPr>
        <w:t>NEI2</w:t>
      </w:r>
      <w:r w:rsidRPr="00E45BC7">
        <w:rPr>
          <w:rFonts w:ascii="Arial" w:hAnsi="Arial" w:cs="Arial"/>
          <w:sz w:val="22"/>
          <w:szCs w:val="22"/>
        </w:rPr>
        <w:t xml:space="preserve">-0080). The commenter also wrote that NRC Form 398 is referred to as Form NRC 398 throughout 10 CFR 53.775, which should be corrected to NRC Form 398 </w:t>
      </w:r>
      <w:r w:rsidR="00391038">
        <w:rPr>
          <w:rFonts w:ascii="Arial" w:hAnsi="Arial" w:cs="Arial"/>
          <w:sz w:val="22"/>
          <w:szCs w:val="22"/>
        </w:rPr>
        <w:br/>
      </w:r>
      <w:r w:rsidRPr="00E45BC7">
        <w:rPr>
          <w:rFonts w:ascii="Arial" w:hAnsi="Arial" w:cs="Arial"/>
          <w:sz w:val="22"/>
          <w:szCs w:val="22"/>
        </w:rPr>
        <w:t>(</w:t>
      </w:r>
      <w:r w:rsidR="009D6BB9">
        <w:rPr>
          <w:rFonts w:ascii="Arial" w:hAnsi="Arial" w:cs="Arial"/>
          <w:sz w:val="22"/>
          <w:szCs w:val="22"/>
        </w:rPr>
        <w:t>NEI2</w:t>
      </w:r>
      <w:r w:rsidRPr="00E45BC7">
        <w:rPr>
          <w:rFonts w:ascii="Arial" w:hAnsi="Arial" w:cs="Arial"/>
          <w:sz w:val="22"/>
          <w:szCs w:val="22"/>
        </w:rPr>
        <w:t>-0079). </w:t>
      </w:r>
    </w:p>
    <w:p w:rsidR="00FF5EAE" w:rsidRPr="00E45BC7" w:rsidP="00E45BC7" w14:paraId="06A901C9"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the comments.</w:t>
      </w:r>
    </w:p>
    <w:p w:rsidR="00BF39A1" w:rsidRPr="00E45BC7" w:rsidP="00E45BC7" w14:paraId="1CB62C6D" w14:textId="77777777">
      <w:pPr>
        <w:spacing w:after="220"/>
        <w:rPr>
          <w:rFonts w:ascii="Arial" w:hAnsi="Arial" w:cs="Arial"/>
          <w:sz w:val="22"/>
          <w:szCs w:val="22"/>
        </w:rPr>
      </w:pPr>
      <w:r w:rsidRPr="00E45BC7">
        <w:rPr>
          <w:rFonts w:ascii="Arial" w:hAnsi="Arial" w:cs="Arial"/>
          <w:sz w:val="22"/>
          <w:szCs w:val="22"/>
        </w:rPr>
        <w:t xml:space="preserve">NRC Form 398 was erroneously referred to as “Form NRC 398” in 10 CFR Part 53. In addition, NRC Form 396 is also impacted by 10 CFR Part 53 and was erroneously referred to as “Form NRC 396” in the proposed rule language throughout </w:t>
      </w:r>
      <w:r w:rsidRPr="00E45BC7" w:rsidR="008F498B">
        <w:rPr>
          <w:rFonts w:ascii="Arial" w:hAnsi="Arial" w:cs="Arial"/>
          <w:sz w:val="22"/>
          <w:szCs w:val="22"/>
        </w:rPr>
        <w:t>S</w:t>
      </w:r>
      <w:r w:rsidRPr="00E45BC7">
        <w:rPr>
          <w:rFonts w:ascii="Arial" w:hAnsi="Arial" w:cs="Arial"/>
          <w:sz w:val="22"/>
          <w:szCs w:val="22"/>
        </w:rPr>
        <w:t>ubpart F.</w:t>
      </w:r>
    </w:p>
    <w:p w:rsidR="005B239F" w:rsidRPr="00E45BC7" w:rsidP="00E45BC7" w14:paraId="13D3121D" w14:textId="77777777">
      <w:pPr>
        <w:spacing w:after="220"/>
        <w:rPr>
          <w:rFonts w:ascii="Arial" w:hAnsi="Arial" w:cs="Arial"/>
          <w:sz w:val="22"/>
          <w:szCs w:val="22"/>
        </w:rPr>
      </w:pPr>
      <w:r w:rsidRPr="00E45BC7">
        <w:rPr>
          <w:rFonts w:ascii="Arial" w:eastAsia="DengXian" w:hAnsi="Arial" w:cs="Arial"/>
          <w:sz w:val="22"/>
          <w:szCs w:val="22"/>
          <w:lang w:eastAsia="ja-JP"/>
        </w:rPr>
        <w:t>Accordingly, the NRC corrected the erroneous use of “Form NRC 398” and “Form NRC 396” throughout 10 CFR Part 53, Subpart F, in response to these comments. The NRC also updated both NRC Form 398 and NRC Form 396 to conform with the requirements in 10 CFR Part 53 in addition to the requirements in 10 CFR Part 55 in response to these comments. However, NRC Form 398 will still require five reactivity control manipulations for operators licensing under 10</w:t>
      </w:r>
      <w:r w:rsidR="00C350C0">
        <w:rPr>
          <w:rFonts w:ascii="Arial" w:eastAsia="DengXian" w:hAnsi="Arial" w:cs="Arial"/>
          <w:sz w:val="22"/>
          <w:szCs w:val="22"/>
          <w:lang w:eastAsia="ja-JP"/>
        </w:rPr>
        <w:t> </w:t>
      </w:r>
      <w:r w:rsidRPr="00E45BC7">
        <w:rPr>
          <w:rFonts w:ascii="Arial" w:eastAsia="DengXian" w:hAnsi="Arial" w:cs="Arial"/>
          <w:sz w:val="22"/>
          <w:szCs w:val="22"/>
          <w:lang w:eastAsia="ja-JP"/>
        </w:rPr>
        <w:t xml:space="preserve">CFR Part 55 as 10 CFR 55.31(a)(5) requires </w:t>
      </w:r>
      <w:r w:rsidRPr="00E45BC7" w:rsidR="0067510C">
        <w:rPr>
          <w:rFonts w:ascii="Arial" w:eastAsia="DengXian" w:hAnsi="Arial" w:cs="Arial"/>
          <w:sz w:val="22"/>
          <w:szCs w:val="22"/>
          <w:lang w:eastAsia="ja-JP"/>
        </w:rPr>
        <w:t xml:space="preserve">the </w:t>
      </w:r>
      <w:r w:rsidRPr="00E45BC7">
        <w:rPr>
          <w:rFonts w:ascii="Arial" w:eastAsia="DengXian" w:hAnsi="Arial" w:cs="Arial"/>
          <w:sz w:val="22"/>
          <w:szCs w:val="22"/>
          <w:lang w:eastAsia="ja-JP"/>
        </w:rPr>
        <w:t>completion of at least five reactivity control manipulations.</w:t>
      </w:r>
    </w:p>
    <w:p w:rsidR="007F112A" w:rsidRPr="00E45BC7" w:rsidP="00E45BC7" w14:paraId="236AA513"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73" style="width:0;height:1.5pt" o:hralign="center" o:hrstd="t" o:hrnoshade="t" o:hr="t" fillcolor="black" stroked="f"/>
        </w:pict>
      </w:r>
    </w:p>
    <w:p w:rsidR="007F112A" w:rsidRPr="00E45BC7" w:rsidP="00E45BC7" w14:paraId="4D4B88C4"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G</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 NRC should revise 10</w:t>
      </w:r>
      <w:r w:rsidRPr="00E45BC7" w:rsidR="00175BFE">
        <w:rPr>
          <w:rFonts w:ascii="Arial" w:hAnsi="Arial" w:cs="Arial"/>
          <w:sz w:val="22"/>
          <w:szCs w:val="22"/>
        </w:rPr>
        <w:t> </w:t>
      </w:r>
      <w:r w:rsidRPr="00E45BC7">
        <w:rPr>
          <w:rFonts w:ascii="Arial" w:hAnsi="Arial" w:cs="Arial"/>
          <w:sz w:val="22"/>
          <w:szCs w:val="22"/>
        </w:rPr>
        <w:t>CFR</w:t>
      </w:r>
      <w:r w:rsidRPr="00E45BC7" w:rsidR="00175BFE">
        <w:rPr>
          <w:rFonts w:ascii="Arial" w:hAnsi="Arial" w:cs="Arial"/>
          <w:sz w:val="22"/>
          <w:szCs w:val="22"/>
        </w:rPr>
        <w:t> </w:t>
      </w:r>
      <w:r w:rsidRPr="00E45BC7">
        <w:rPr>
          <w:rFonts w:ascii="Arial" w:hAnsi="Arial" w:cs="Arial"/>
          <w:sz w:val="22"/>
          <w:szCs w:val="22"/>
        </w:rPr>
        <w:t xml:space="preserve">53.730(g), 10 CFR 53.780(a)(1) and (c)(1)(ii), and 10 CFR 53.830(b) and (c)(1)(ii) to provide clarification as to if facility licensee training programs accredited by the National Nuclear Accrediting Board </w:t>
      </w:r>
      <w:r w:rsidRPr="00E45BC7" w:rsidR="00F17250">
        <w:rPr>
          <w:rFonts w:ascii="Arial" w:hAnsi="Arial" w:cs="Arial"/>
          <w:sz w:val="22"/>
          <w:szCs w:val="22"/>
        </w:rPr>
        <w:t>(NNAB)</w:t>
      </w:r>
      <w:r w:rsidRPr="00E45BC7">
        <w:rPr>
          <w:rFonts w:ascii="Arial" w:hAnsi="Arial" w:cs="Arial"/>
          <w:sz w:val="22"/>
          <w:szCs w:val="22"/>
        </w:rPr>
        <w:t xml:space="preserve"> would be considered a "Commission-approved training program." The commenter suggested that this could be provided in the definition section and suggested including similar wording to that contained in NUREG-1021</w:t>
      </w:r>
      <w:r w:rsidRPr="00E45BC7" w:rsidR="009006FB">
        <w:rPr>
          <w:rFonts w:ascii="Arial" w:hAnsi="Arial" w:cs="Arial"/>
          <w:sz w:val="22"/>
          <w:szCs w:val="22"/>
        </w:rPr>
        <w:t xml:space="preserve">, </w:t>
      </w:r>
      <w:r w:rsidRPr="00E45BC7" w:rsidR="00D25DE7">
        <w:rPr>
          <w:rFonts w:ascii="Arial" w:hAnsi="Arial" w:cs="Arial"/>
          <w:sz w:val="22"/>
          <w:szCs w:val="22"/>
        </w:rPr>
        <w:t xml:space="preserve">Revision 1, </w:t>
      </w:r>
      <w:r w:rsidRPr="00E45BC7" w:rsidR="009006FB">
        <w:rPr>
          <w:rFonts w:ascii="Arial" w:hAnsi="Arial" w:cs="Arial"/>
          <w:sz w:val="22"/>
          <w:szCs w:val="22"/>
        </w:rPr>
        <w:t>“</w:t>
      </w:r>
      <w:r w:rsidRPr="00E45BC7" w:rsidR="008E13FE">
        <w:rPr>
          <w:rFonts w:ascii="Arial" w:hAnsi="Arial" w:cs="Arial"/>
          <w:sz w:val="22"/>
          <w:szCs w:val="22"/>
        </w:rPr>
        <w:t>Operator Licensing Examiner Standards</w:t>
      </w:r>
      <w:r w:rsidRPr="00E45BC7" w:rsidR="009006FB">
        <w:rPr>
          <w:rFonts w:ascii="Arial" w:hAnsi="Arial" w:cs="Arial"/>
          <w:sz w:val="22"/>
          <w:szCs w:val="22"/>
        </w:rPr>
        <w:t>,” issued October 1984 (ML15027A416)</w:t>
      </w:r>
      <w:r w:rsidRPr="00E45BC7">
        <w:rPr>
          <w:rFonts w:ascii="Arial" w:hAnsi="Arial" w:cs="Arial"/>
          <w:sz w:val="22"/>
          <w:szCs w:val="22"/>
        </w:rPr>
        <w:t xml:space="preserve">. The commenter suggested providing clarification guidance in DRO-ISG-2023-01, as well. Additionally, the commenter wrote that </w:t>
      </w:r>
      <w:r w:rsidR="00391038">
        <w:rPr>
          <w:rFonts w:ascii="Arial" w:hAnsi="Arial" w:cs="Arial"/>
          <w:sz w:val="22"/>
          <w:szCs w:val="22"/>
        </w:rPr>
        <w:br/>
      </w:r>
      <w:r w:rsidRPr="00E45BC7">
        <w:rPr>
          <w:rFonts w:ascii="Arial" w:hAnsi="Arial" w:cs="Arial"/>
          <w:sz w:val="22"/>
          <w:szCs w:val="22"/>
        </w:rPr>
        <w:t>10 CFR 53.830(b) should be revised, or guidance should be provided, to clarify if training programs must be approved by the NRC before initial use (</w:t>
      </w:r>
      <w:r w:rsidR="009D6BB9">
        <w:rPr>
          <w:rFonts w:ascii="Arial" w:hAnsi="Arial" w:cs="Arial"/>
          <w:sz w:val="22"/>
          <w:szCs w:val="22"/>
        </w:rPr>
        <w:t>NEI2</w:t>
      </w:r>
      <w:r w:rsidRPr="00E45BC7">
        <w:rPr>
          <w:rFonts w:ascii="Arial" w:hAnsi="Arial" w:cs="Arial"/>
          <w:sz w:val="22"/>
          <w:szCs w:val="22"/>
        </w:rPr>
        <w:t xml:space="preserve">-0077, </w:t>
      </w:r>
      <w:r w:rsidR="009D6BB9">
        <w:rPr>
          <w:rFonts w:ascii="Arial" w:hAnsi="Arial" w:cs="Arial"/>
          <w:sz w:val="22"/>
          <w:szCs w:val="22"/>
        </w:rPr>
        <w:t>NEI2</w:t>
      </w:r>
      <w:r w:rsidRPr="00E45BC7">
        <w:rPr>
          <w:rFonts w:ascii="Arial" w:hAnsi="Arial" w:cs="Arial"/>
          <w:sz w:val="22"/>
          <w:szCs w:val="22"/>
        </w:rPr>
        <w:t xml:space="preserve">-0082, </w:t>
      </w:r>
      <w:r w:rsidR="009D6BB9">
        <w:rPr>
          <w:rFonts w:ascii="Arial" w:hAnsi="Arial" w:cs="Arial"/>
          <w:sz w:val="22"/>
          <w:szCs w:val="22"/>
        </w:rPr>
        <w:t>NEI2</w:t>
      </w:r>
      <w:r w:rsidRPr="00E45BC7">
        <w:rPr>
          <w:rFonts w:ascii="Arial" w:hAnsi="Arial" w:cs="Arial"/>
          <w:sz w:val="22"/>
          <w:szCs w:val="22"/>
        </w:rPr>
        <w:t>-0106). </w:t>
      </w:r>
    </w:p>
    <w:p w:rsidR="007F112A" w:rsidRPr="00E45BC7" w:rsidP="00E45BC7" w14:paraId="65CAB040"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the comments.</w:t>
      </w:r>
    </w:p>
    <w:p w:rsidR="007F112A" w:rsidRPr="00E45BC7" w:rsidP="00E45BC7" w14:paraId="2BD87A6B" w14:textId="77777777">
      <w:pPr>
        <w:spacing w:after="220"/>
        <w:rPr>
          <w:rFonts w:ascii="Arial" w:hAnsi="Arial" w:cs="Arial"/>
          <w:sz w:val="22"/>
          <w:szCs w:val="22"/>
        </w:rPr>
      </w:pPr>
      <w:r w:rsidRPr="00E45BC7">
        <w:rPr>
          <w:rFonts w:ascii="Arial" w:hAnsi="Arial" w:cs="Arial"/>
          <w:sz w:val="22"/>
          <w:szCs w:val="22"/>
        </w:rPr>
        <w:t>Regarding NNAB accreditation, the Commission has not had the opportunity to review an NNAB accreditation program for training licensed operators at advanced reactor facilities or an opportunity to determine if such a program is sufficient to warrant Commission approval. Once such a program is provided to the Commission, the NRC will review the program and, if warranted, provide such approval at that time. For facilities that plan to use the current NNAB accreditation process, Commission approval of that process is already documented as discussed in the comment and additional approval is not required.</w:t>
      </w:r>
    </w:p>
    <w:p w:rsidR="007F112A" w:rsidRPr="00E45BC7" w:rsidP="00E45BC7" w14:paraId="2ADD1551" w14:textId="77777777">
      <w:pPr>
        <w:spacing w:after="220"/>
        <w:rPr>
          <w:rFonts w:ascii="Arial" w:hAnsi="Arial" w:cs="Arial"/>
          <w:sz w:val="22"/>
          <w:szCs w:val="22"/>
        </w:rPr>
      </w:pPr>
      <w:r w:rsidRPr="00E45BC7">
        <w:rPr>
          <w:rFonts w:ascii="Arial" w:hAnsi="Arial" w:cs="Arial"/>
          <w:sz w:val="22"/>
          <w:szCs w:val="22"/>
        </w:rPr>
        <w:t xml:space="preserve">Regarding the comment associated with 10 CFR 53.830(b), training programs for commercial nuclear plant personnel, other than licensed operators whose training is covered under other parts, </w:t>
      </w:r>
      <w:r w:rsidR="00A701AF">
        <w:rPr>
          <w:rFonts w:ascii="Arial" w:hAnsi="Arial" w:cs="Arial"/>
          <w:sz w:val="22"/>
          <w:szCs w:val="22"/>
        </w:rPr>
        <w:t>are</w:t>
      </w:r>
      <w:r w:rsidRPr="00E45BC7" w:rsidR="00A701AF">
        <w:rPr>
          <w:rFonts w:ascii="Arial" w:hAnsi="Arial" w:cs="Arial"/>
          <w:sz w:val="22"/>
          <w:szCs w:val="22"/>
        </w:rPr>
        <w:t xml:space="preserve"> </w:t>
      </w:r>
      <w:r w:rsidRPr="00E45BC7">
        <w:rPr>
          <w:rFonts w:ascii="Arial" w:hAnsi="Arial" w:cs="Arial"/>
          <w:sz w:val="22"/>
          <w:szCs w:val="22"/>
        </w:rPr>
        <w:t>not required to be Commission-approved. This is similar to the current training requirement documented in 10 CFR 50.120, which also does not require Commission</w:t>
      </w:r>
      <w:r w:rsidRPr="00E45BC7" w:rsidR="002438A5">
        <w:rPr>
          <w:rFonts w:ascii="Arial" w:hAnsi="Arial" w:cs="Arial"/>
          <w:sz w:val="22"/>
          <w:szCs w:val="22"/>
        </w:rPr>
        <w:t xml:space="preserve"> </w:t>
      </w:r>
      <w:r w:rsidRPr="00E45BC7">
        <w:rPr>
          <w:rFonts w:ascii="Arial" w:hAnsi="Arial" w:cs="Arial"/>
          <w:sz w:val="22"/>
          <w:szCs w:val="22"/>
        </w:rPr>
        <w:t>approval. Commission approval is only required for licensed operator initial and requalification training programs, whether those are for individually licensed ROs/SROs or GLROs. Not using “Commission-approved” in 10 CFR 53.830(b) was deliberate as such approval is not required.</w:t>
      </w:r>
    </w:p>
    <w:p w:rsidR="007F112A" w:rsidRPr="00E45BC7" w:rsidP="00E45BC7" w14:paraId="7E8791F9" w14:textId="77777777">
      <w:pPr>
        <w:spacing w:after="220"/>
        <w:rPr>
          <w:rFonts w:ascii="Arial" w:hAnsi="Arial" w:cs="Arial"/>
          <w:sz w:val="22"/>
          <w:szCs w:val="22"/>
        </w:rPr>
      </w:pPr>
      <w:r w:rsidRPr="00E45BC7">
        <w:rPr>
          <w:rFonts w:ascii="Arial" w:eastAsia="DengXian" w:hAnsi="Arial" w:cs="Arial"/>
          <w:sz w:val="22"/>
          <w:szCs w:val="22"/>
          <w:lang w:eastAsia="ja-JP"/>
        </w:rPr>
        <w:t>Accordingly, the NRC did not change the rule language in response to these comments</w:t>
      </w:r>
      <w:r w:rsidRPr="00E45BC7" w:rsidR="00265180">
        <w:rPr>
          <w:rFonts w:ascii="Arial" w:eastAsia="DengXian" w:hAnsi="Arial" w:cs="Arial"/>
          <w:sz w:val="22"/>
          <w:szCs w:val="22"/>
          <w:lang w:eastAsia="ja-JP"/>
        </w:rPr>
        <w:t>.</w:t>
      </w:r>
    </w:p>
    <w:p w:rsidR="007F112A" w:rsidRPr="00E45BC7" w:rsidP="00E45BC7" w14:paraId="31F7FD96"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74" style="width:0;height:1.5pt" o:hralign="center" o:hrstd="t" o:hrnoshade="t" o:hr="t" fillcolor="black" stroked="f"/>
        </w:pict>
      </w:r>
    </w:p>
    <w:p w:rsidR="007F112A" w:rsidRPr="00E45BC7" w:rsidP="00E45BC7" w14:paraId="11C82E59"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H</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recommended that the NRC delete the requirement to maintain answers given by a specifically licensed operator during initial and requalification examinations under 10 CFR 53.780(b)(5) and 10 CFR 53.780(c)(3) or GLRO participation during training and examination programs under 10 CFR 53.815(c). The commenter cited operating experience from the U.S. Navy where exam answers are not maintained as part of the qualification record. The commenter also stated that this requirement increases the number of records that need to be maintained. The commenter suggested that the NRC could instead clarify the basis behind maintaining the answers given by the applicant on the initial examination (</w:t>
      </w:r>
      <w:r w:rsidR="009D6BB9">
        <w:rPr>
          <w:rFonts w:ascii="Arial" w:hAnsi="Arial" w:cs="Arial"/>
          <w:sz w:val="22"/>
          <w:szCs w:val="22"/>
        </w:rPr>
        <w:t>NEI2</w:t>
      </w:r>
      <w:r w:rsidRPr="00E45BC7">
        <w:rPr>
          <w:rFonts w:ascii="Arial" w:hAnsi="Arial" w:cs="Arial"/>
          <w:sz w:val="22"/>
          <w:szCs w:val="22"/>
        </w:rPr>
        <w:t xml:space="preserve">-0086, </w:t>
      </w:r>
      <w:r w:rsidR="009D6BB9">
        <w:rPr>
          <w:rFonts w:ascii="Arial" w:hAnsi="Arial" w:cs="Arial"/>
          <w:sz w:val="22"/>
          <w:szCs w:val="22"/>
        </w:rPr>
        <w:t>NEI2</w:t>
      </w:r>
      <w:r w:rsidRPr="00E45BC7">
        <w:rPr>
          <w:rFonts w:ascii="Arial" w:hAnsi="Arial" w:cs="Arial"/>
          <w:sz w:val="22"/>
          <w:szCs w:val="22"/>
        </w:rPr>
        <w:t xml:space="preserve">-0090, </w:t>
      </w:r>
      <w:r w:rsidR="009D6BB9">
        <w:rPr>
          <w:rFonts w:ascii="Arial" w:hAnsi="Arial" w:cs="Arial"/>
          <w:sz w:val="22"/>
          <w:szCs w:val="22"/>
        </w:rPr>
        <w:t>NEI2</w:t>
      </w:r>
      <w:r w:rsidRPr="00E45BC7">
        <w:rPr>
          <w:rFonts w:ascii="Arial" w:hAnsi="Arial" w:cs="Arial"/>
          <w:sz w:val="22"/>
          <w:szCs w:val="22"/>
        </w:rPr>
        <w:t>-0103). </w:t>
      </w:r>
    </w:p>
    <w:p w:rsidR="00D34E0E" w:rsidRPr="00E45BC7" w:rsidP="00E45BC7" w14:paraId="47A6D16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w:t>
      </w:r>
      <w:r w:rsidRPr="00E45BC7" w:rsidR="00C25B65">
        <w:rPr>
          <w:rFonts w:ascii="Arial" w:hAnsi="Arial" w:cs="Arial"/>
          <w:sz w:val="22"/>
          <w:szCs w:val="22"/>
        </w:rPr>
        <w:t>e</w:t>
      </w:r>
      <w:r w:rsidRPr="00E45BC7">
        <w:rPr>
          <w:rFonts w:ascii="Arial" w:hAnsi="Arial" w:cs="Arial"/>
          <w:sz w:val="22"/>
          <w:szCs w:val="22"/>
        </w:rPr>
        <w:t xml:space="preserve"> comment</w:t>
      </w:r>
      <w:r w:rsidRPr="00E45BC7" w:rsidR="00C25B65">
        <w:rPr>
          <w:rFonts w:ascii="Arial" w:hAnsi="Arial" w:cs="Arial"/>
          <w:sz w:val="22"/>
          <w:szCs w:val="22"/>
        </w:rPr>
        <w:t>s</w:t>
      </w:r>
      <w:r w:rsidRPr="00E45BC7">
        <w:rPr>
          <w:rFonts w:ascii="Arial" w:hAnsi="Arial" w:cs="Arial"/>
          <w:sz w:val="22"/>
          <w:szCs w:val="22"/>
        </w:rPr>
        <w:t>.</w:t>
      </w:r>
    </w:p>
    <w:p w:rsidR="00F34E73" w:rsidRPr="00E45BC7" w:rsidP="00E45BC7" w14:paraId="65BCBB7A" w14:textId="77777777">
      <w:pPr>
        <w:spacing w:after="220"/>
        <w:rPr>
          <w:rFonts w:ascii="Arial" w:hAnsi="Arial" w:cs="Arial"/>
          <w:sz w:val="22"/>
          <w:szCs w:val="22"/>
        </w:rPr>
      </w:pPr>
      <w:r w:rsidRPr="00E45BC7">
        <w:rPr>
          <w:rFonts w:ascii="Arial" w:hAnsi="Arial" w:cs="Arial"/>
          <w:sz w:val="22"/>
          <w:szCs w:val="22"/>
        </w:rPr>
        <w:t>The retention of records in 10 CFR Part 53 as outlined in 10 CFR 53.780(b)(5), 10</w:t>
      </w:r>
      <w:r w:rsidRPr="00E45BC7" w:rsidR="00D34E0E">
        <w:rPr>
          <w:rFonts w:ascii="Arial" w:hAnsi="Arial" w:cs="Arial"/>
          <w:sz w:val="22"/>
          <w:szCs w:val="22"/>
        </w:rPr>
        <w:t> </w:t>
      </w:r>
      <w:r w:rsidRPr="00E45BC7">
        <w:rPr>
          <w:rFonts w:ascii="Arial" w:hAnsi="Arial" w:cs="Arial"/>
          <w:sz w:val="22"/>
          <w:szCs w:val="22"/>
        </w:rPr>
        <w:t>CFR</w:t>
      </w:r>
      <w:r w:rsidRPr="00E45BC7" w:rsidR="00BD5A80">
        <w:rPr>
          <w:rFonts w:ascii="Arial" w:hAnsi="Arial" w:cs="Arial"/>
          <w:sz w:val="22"/>
          <w:szCs w:val="22"/>
        </w:rPr>
        <w:t> </w:t>
      </w:r>
      <w:r w:rsidRPr="00E45BC7">
        <w:rPr>
          <w:rFonts w:ascii="Arial" w:hAnsi="Arial" w:cs="Arial"/>
          <w:sz w:val="22"/>
          <w:szCs w:val="22"/>
        </w:rPr>
        <w:t>53.780(c)(3), and 10 CFR 53.815(c)</w:t>
      </w:r>
      <w:r w:rsidRPr="00E45BC7">
        <w:rPr>
          <w:rFonts w:ascii="Arial" w:hAnsi="Arial" w:cs="Arial"/>
          <w:b/>
          <w:sz w:val="22"/>
          <w:szCs w:val="22"/>
        </w:rPr>
        <w:t xml:space="preserve"> </w:t>
      </w:r>
      <w:r w:rsidRPr="00E45BC7">
        <w:rPr>
          <w:rFonts w:ascii="Arial" w:hAnsi="Arial" w:cs="Arial"/>
          <w:sz w:val="22"/>
          <w:szCs w:val="22"/>
        </w:rPr>
        <w:t>is analogous to the retention of records in 10 CFR Part 55 and in NUREG</w:t>
      </w:r>
      <w:r w:rsidRPr="00E45BC7" w:rsidR="00F279CA">
        <w:rPr>
          <w:rFonts w:ascii="Arial" w:hAnsi="Arial" w:cs="Arial"/>
          <w:sz w:val="22"/>
          <w:szCs w:val="22"/>
        </w:rPr>
        <w:t>-</w:t>
      </w:r>
      <w:r w:rsidRPr="00E45BC7">
        <w:rPr>
          <w:rFonts w:ascii="Arial" w:hAnsi="Arial" w:cs="Arial"/>
          <w:sz w:val="22"/>
          <w:szCs w:val="22"/>
        </w:rPr>
        <w:t>1021. The NRC currently maintains the records for 10</w:t>
      </w:r>
      <w:r w:rsidRPr="00E45BC7" w:rsidR="00D34E0E">
        <w:rPr>
          <w:rFonts w:ascii="Arial" w:hAnsi="Arial" w:cs="Arial"/>
          <w:sz w:val="22"/>
          <w:szCs w:val="22"/>
        </w:rPr>
        <w:t> </w:t>
      </w:r>
      <w:r w:rsidRPr="00E45BC7">
        <w:rPr>
          <w:rFonts w:ascii="Arial" w:hAnsi="Arial" w:cs="Arial"/>
          <w:sz w:val="22"/>
          <w:szCs w:val="22"/>
        </w:rPr>
        <w:t>CFR</w:t>
      </w:r>
      <w:r w:rsidR="0063381A">
        <w:rPr>
          <w:rFonts w:ascii="Arial" w:hAnsi="Arial" w:cs="Arial"/>
          <w:sz w:val="22"/>
          <w:szCs w:val="22"/>
        </w:rPr>
        <w:t> </w:t>
      </w:r>
      <w:r w:rsidRPr="00E45BC7">
        <w:rPr>
          <w:rFonts w:ascii="Arial" w:hAnsi="Arial" w:cs="Arial"/>
          <w:sz w:val="22"/>
          <w:szCs w:val="22"/>
        </w:rPr>
        <w:t>Part</w:t>
      </w:r>
      <w:r w:rsidR="0063381A">
        <w:rPr>
          <w:rFonts w:ascii="Arial" w:hAnsi="Arial" w:cs="Arial"/>
          <w:sz w:val="22"/>
          <w:szCs w:val="22"/>
        </w:rPr>
        <w:t> </w:t>
      </w:r>
      <w:r w:rsidRPr="00E45BC7">
        <w:rPr>
          <w:rFonts w:ascii="Arial" w:hAnsi="Arial" w:cs="Arial"/>
          <w:sz w:val="22"/>
          <w:szCs w:val="22"/>
        </w:rPr>
        <w:t>55 initial licensing examinations as outlined in NUREG</w:t>
      </w:r>
      <w:r w:rsidRPr="00E45BC7" w:rsidR="00D34E0E">
        <w:rPr>
          <w:rFonts w:ascii="Arial" w:hAnsi="Arial" w:cs="Arial"/>
          <w:sz w:val="22"/>
          <w:szCs w:val="22"/>
        </w:rPr>
        <w:noBreakHyphen/>
      </w:r>
      <w:r w:rsidRPr="00E45BC7">
        <w:rPr>
          <w:rFonts w:ascii="Arial" w:hAnsi="Arial" w:cs="Arial"/>
          <w:sz w:val="22"/>
          <w:szCs w:val="22"/>
        </w:rPr>
        <w:t>1021</w:t>
      </w:r>
      <w:r w:rsidRPr="00E45BC7" w:rsidR="00981F60">
        <w:rPr>
          <w:rFonts w:ascii="Arial" w:hAnsi="Arial" w:cs="Arial"/>
          <w:sz w:val="22"/>
          <w:szCs w:val="22"/>
        </w:rPr>
        <w:t>,</w:t>
      </w:r>
      <w:r w:rsidRPr="00E45BC7">
        <w:rPr>
          <w:rFonts w:ascii="Arial" w:hAnsi="Arial" w:cs="Arial"/>
          <w:sz w:val="22"/>
          <w:szCs w:val="22"/>
        </w:rPr>
        <w:t xml:space="preserve"> whereas for requalification examinations the facilities maintain these records as outlined in 10 CFR 55.59(c)(5). Unlike 10 CFR Part 55, 10 CFR Part 53 has the facilities maintaining all records.</w:t>
      </w:r>
    </w:p>
    <w:p w:rsidR="004D0EDB" w:rsidRPr="00E45BC7" w:rsidP="00E45BC7" w14:paraId="14712DB6" w14:textId="77777777">
      <w:pPr>
        <w:spacing w:after="220"/>
        <w:rPr>
          <w:rFonts w:ascii="Arial" w:hAnsi="Arial" w:cs="Arial"/>
          <w:sz w:val="22"/>
          <w:szCs w:val="22"/>
        </w:rPr>
      </w:pPr>
      <w:r w:rsidRPr="00E45BC7">
        <w:rPr>
          <w:rFonts w:ascii="Arial" w:hAnsi="Arial" w:cs="Arial"/>
          <w:sz w:val="22"/>
          <w:szCs w:val="22"/>
        </w:rPr>
        <w:t>Retention of this information allows the NRC to audit the information as necessary</w:t>
      </w:r>
      <w:r w:rsidRPr="00E45BC7" w:rsidR="007F112A">
        <w:rPr>
          <w:rFonts w:ascii="Arial" w:hAnsi="Arial" w:cs="Arial"/>
          <w:sz w:val="22"/>
          <w:szCs w:val="22"/>
        </w:rPr>
        <w:t>.</w:t>
      </w:r>
      <w:r w:rsidRPr="00E45BC7" w:rsidR="001274E7">
        <w:rPr>
          <w:rFonts w:ascii="Arial" w:hAnsi="Arial" w:cs="Arial"/>
          <w:sz w:val="22"/>
          <w:szCs w:val="22"/>
        </w:rPr>
        <w:t xml:space="preserve"> Successful completion of the initial examination</w:t>
      </w:r>
      <w:r w:rsidRPr="00E45BC7" w:rsidR="009B65BF">
        <w:rPr>
          <w:rFonts w:ascii="Arial" w:hAnsi="Arial" w:cs="Arial"/>
          <w:sz w:val="22"/>
          <w:szCs w:val="22"/>
        </w:rPr>
        <w:t xml:space="preserve"> informs the licensing decision for the initial licensing of operators. This information needs to be retained in case it is needed later (such as </w:t>
      </w:r>
      <w:r w:rsidRPr="00E45BC7" w:rsidR="009E2CE9">
        <w:rPr>
          <w:rFonts w:ascii="Arial" w:hAnsi="Arial" w:cs="Arial"/>
          <w:sz w:val="22"/>
          <w:szCs w:val="22"/>
        </w:rPr>
        <w:t xml:space="preserve">ensuring the </w:t>
      </w:r>
      <w:r w:rsidRPr="00E45BC7" w:rsidR="00EE0E03">
        <w:rPr>
          <w:rFonts w:ascii="Arial" w:hAnsi="Arial" w:cs="Arial"/>
          <w:sz w:val="22"/>
          <w:szCs w:val="22"/>
        </w:rPr>
        <w:t>establish</w:t>
      </w:r>
      <w:r w:rsidRPr="00E45BC7" w:rsidR="009E2CE9">
        <w:rPr>
          <w:rFonts w:ascii="Arial" w:hAnsi="Arial" w:cs="Arial"/>
          <w:sz w:val="22"/>
          <w:szCs w:val="22"/>
        </w:rPr>
        <w:t>ment of</w:t>
      </w:r>
      <w:r w:rsidRPr="00E45BC7" w:rsidR="00EE0E03">
        <w:rPr>
          <w:rFonts w:ascii="Arial" w:hAnsi="Arial" w:cs="Arial"/>
          <w:sz w:val="22"/>
          <w:szCs w:val="22"/>
        </w:rPr>
        <w:t xml:space="preserve"> uniform conditions for operator licensing</w:t>
      </w:r>
      <w:r w:rsidRPr="00E45BC7" w:rsidR="00B457AB">
        <w:rPr>
          <w:rFonts w:ascii="Arial" w:hAnsi="Arial" w:cs="Arial"/>
          <w:sz w:val="22"/>
          <w:szCs w:val="22"/>
        </w:rPr>
        <w:t xml:space="preserve"> or in support of an audit of the NRC’s licensing decisions). For requalification, successful completion of the requalification examination is required for operator license maintenance. The NRC needs this information retained and </w:t>
      </w:r>
      <w:r w:rsidRPr="00E45BC7" w:rsidR="00B457AB">
        <w:rPr>
          <w:rFonts w:ascii="Arial" w:hAnsi="Arial" w:cs="Arial"/>
          <w:sz w:val="22"/>
          <w:szCs w:val="22"/>
        </w:rPr>
        <w:t xml:space="preserve">available so that </w:t>
      </w:r>
      <w:r w:rsidRPr="00E45BC7" w:rsidR="00887BDB">
        <w:rPr>
          <w:rFonts w:ascii="Arial" w:hAnsi="Arial" w:cs="Arial"/>
          <w:sz w:val="22"/>
          <w:szCs w:val="22"/>
        </w:rPr>
        <w:t xml:space="preserve">the NRC can confirm, via inspection, that these operators are meeting that </w:t>
      </w:r>
      <w:r w:rsidR="00BC1536">
        <w:rPr>
          <w:rFonts w:ascii="Arial" w:hAnsi="Arial" w:cs="Arial"/>
          <w:sz w:val="22"/>
          <w:szCs w:val="22"/>
        </w:rPr>
        <w:t>requirement</w:t>
      </w:r>
      <w:r w:rsidRPr="00E45BC7" w:rsidR="00887BDB">
        <w:rPr>
          <w:rFonts w:ascii="Arial" w:hAnsi="Arial" w:cs="Arial"/>
          <w:sz w:val="22"/>
          <w:szCs w:val="22"/>
        </w:rPr>
        <w:t>.</w:t>
      </w:r>
    </w:p>
    <w:p w:rsidR="007F112A" w:rsidP="00E45BC7" w14:paraId="54F3524B" w14:textId="77777777">
      <w:pPr>
        <w:spacing w:after="220"/>
        <w:rPr>
          <w:rFonts w:ascii="Arial" w:eastAsia="Times New Roman" w:hAnsi="Arial" w:cs="Arial"/>
          <w:sz w:val="22"/>
          <w:szCs w:val="22"/>
          <w:lang w:eastAsia="zh-CN"/>
        </w:rPr>
      </w:pPr>
      <w:r w:rsidRPr="00E45BC7">
        <w:rPr>
          <w:rFonts w:ascii="Arial" w:hAnsi="Arial" w:cs="Arial"/>
          <w:sz w:val="22"/>
          <w:szCs w:val="22"/>
        </w:rPr>
        <w:t>Accordingly, the NRC did not change the rule language in response to th</w:t>
      </w:r>
      <w:r w:rsidRPr="00E45BC7" w:rsidR="004D0EDB">
        <w:rPr>
          <w:rFonts w:ascii="Arial" w:hAnsi="Arial" w:cs="Arial"/>
          <w:sz w:val="22"/>
          <w:szCs w:val="22"/>
        </w:rPr>
        <w:t>ese</w:t>
      </w:r>
      <w:r w:rsidRPr="00E45BC7">
        <w:rPr>
          <w:rFonts w:ascii="Arial" w:hAnsi="Arial" w:cs="Arial"/>
          <w:sz w:val="22"/>
          <w:szCs w:val="22"/>
        </w:rPr>
        <w:t xml:space="preserve"> comment</w:t>
      </w:r>
      <w:r w:rsidRPr="00E45BC7" w:rsidR="004D0EDB">
        <w:rPr>
          <w:rFonts w:ascii="Arial" w:hAnsi="Arial" w:cs="Arial"/>
          <w:sz w:val="22"/>
          <w:szCs w:val="22"/>
        </w:rPr>
        <w:t>s.</w:t>
      </w:r>
    </w:p>
    <w:p w:rsidR="00E45BC7" w:rsidRPr="00E45BC7" w:rsidP="00E45BC7" w14:paraId="15A8E36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75" style="width:0;height:1.5pt" o:hralign="center" o:hrstd="t" o:hrnoshade="t" o:hr="t" fillcolor="black" stroked="f"/>
        </w:pict>
      </w:r>
    </w:p>
    <w:p w:rsidR="007F112A" w:rsidRPr="00E45BC7" w:rsidP="00E45BC7" w14:paraId="0B28F6A9"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I</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in 10 CFR 53.780(c)(2)(ii)(B) the NRC needs to more clearly define what the expectation is regarding a representative of the Commission being “afforded the opportunity to be present.” The commenter recommended deleting the requirement or further clarifying it in guidance (</w:t>
      </w:r>
      <w:r w:rsidR="009D6BB9">
        <w:rPr>
          <w:rFonts w:ascii="Arial" w:hAnsi="Arial" w:cs="Arial"/>
          <w:sz w:val="22"/>
          <w:szCs w:val="22"/>
        </w:rPr>
        <w:t>NEI2</w:t>
      </w:r>
      <w:r w:rsidRPr="00E45BC7">
        <w:rPr>
          <w:rFonts w:ascii="Arial" w:hAnsi="Arial" w:cs="Arial"/>
          <w:sz w:val="22"/>
          <w:szCs w:val="22"/>
        </w:rPr>
        <w:t>-0087). </w:t>
      </w:r>
    </w:p>
    <w:p w:rsidR="007F112A" w:rsidRPr="00E45BC7" w:rsidP="00E45BC7" w14:paraId="3D8B57C2"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w:t>
      </w:r>
      <w:r w:rsidRPr="00E45BC7" w:rsidR="00FE3DBE">
        <w:rPr>
          <w:rFonts w:ascii="Arial" w:hAnsi="Arial" w:cs="Arial"/>
          <w:sz w:val="22"/>
          <w:szCs w:val="22"/>
        </w:rPr>
        <w:t>,</w:t>
      </w:r>
      <w:r w:rsidRPr="00E45BC7">
        <w:rPr>
          <w:rFonts w:ascii="Arial" w:hAnsi="Arial" w:cs="Arial"/>
          <w:sz w:val="22"/>
          <w:szCs w:val="22"/>
        </w:rPr>
        <w:t xml:space="preserve"> in part</w:t>
      </w:r>
      <w:r w:rsidRPr="00E45BC7" w:rsidR="00FE3DBE">
        <w:rPr>
          <w:rFonts w:ascii="Arial" w:hAnsi="Arial" w:cs="Arial"/>
          <w:sz w:val="22"/>
          <w:szCs w:val="22"/>
        </w:rPr>
        <w:t>,</w:t>
      </w:r>
      <w:r w:rsidRPr="00E45BC7">
        <w:rPr>
          <w:rFonts w:ascii="Arial" w:hAnsi="Arial" w:cs="Arial"/>
          <w:sz w:val="22"/>
          <w:szCs w:val="22"/>
        </w:rPr>
        <w:t xml:space="preserve"> with the comment.</w:t>
      </w:r>
    </w:p>
    <w:p w:rsidR="00E23030" w:rsidRPr="00E45BC7" w:rsidP="00E45BC7" w14:paraId="25B28751" w14:textId="77777777">
      <w:pPr>
        <w:spacing w:after="220"/>
        <w:rPr>
          <w:rFonts w:ascii="Arial" w:hAnsi="Arial" w:cs="Arial"/>
          <w:sz w:val="22"/>
          <w:szCs w:val="22"/>
        </w:rPr>
      </w:pPr>
      <w:r w:rsidRPr="00E45BC7">
        <w:rPr>
          <w:rFonts w:ascii="Arial" w:hAnsi="Arial" w:cs="Arial"/>
          <w:sz w:val="22"/>
          <w:szCs w:val="22"/>
        </w:rPr>
        <w:t xml:space="preserve">The NRC disagrees with deleting 10 CFR 53.780(c)(2)(ii)(B). The NRC needs to know when requalification examinations will be administered to enable inspection, including observation of examination activities. To be able to schedule the necessary staff resources, the NRC needs to be informed ahead of the scheduled examination. Therefore, the regulatory requirement to inform the NRC ahead of the scheduled examination in sufficient time to allow the staff to be present is warranted. </w:t>
      </w:r>
    </w:p>
    <w:p w:rsidR="007F112A" w:rsidRPr="00E45BC7" w:rsidP="00E45BC7" w14:paraId="4CFE0019" w14:textId="77777777">
      <w:pPr>
        <w:spacing w:after="220"/>
        <w:rPr>
          <w:rFonts w:ascii="Arial" w:hAnsi="Arial" w:cs="Arial"/>
          <w:sz w:val="22"/>
          <w:szCs w:val="22"/>
        </w:rPr>
      </w:pPr>
      <w:r w:rsidRPr="00E45BC7">
        <w:rPr>
          <w:rFonts w:ascii="Arial" w:hAnsi="Arial" w:cs="Arial"/>
          <w:sz w:val="22"/>
          <w:szCs w:val="22"/>
        </w:rPr>
        <w:t>However, the NRC agrees that additional guidance regarding what this phrase means is warranted.</w:t>
      </w:r>
      <w:r w:rsidRPr="00E45BC7" w:rsidR="00E23030">
        <w:rPr>
          <w:rFonts w:ascii="Arial" w:hAnsi="Arial" w:cs="Arial"/>
          <w:sz w:val="22"/>
          <w:szCs w:val="22"/>
        </w:rPr>
        <w:t xml:space="preserve"> </w:t>
      </w:r>
      <w:r w:rsidR="004D4E05">
        <w:rPr>
          <w:rFonts w:ascii="Arial" w:hAnsi="Arial" w:cs="Arial"/>
          <w:sz w:val="22"/>
          <w:szCs w:val="22"/>
        </w:rPr>
        <w:t>Accordingly, t</w:t>
      </w:r>
      <w:r w:rsidRPr="00E45BC7" w:rsidR="00E23030">
        <w:rPr>
          <w:rFonts w:ascii="Arial" w:hAnsi="Arial" w:cs="Arial"/>
          <w:sz w:val="22"/>
          <w:szCs w:val="22"/>
        </w:rPr>
        <w:t xml:space="preserve">he NRC </w:t>
      </w:r>
      <w:r w:rsidR="004D4E05">
        <w:rPr>
          <w:rFonts w:ascii="Arial" w:hAnsi="Arial" w:cs="Arial"/>
          <w:sz w:val="22"/>
          <w:szCs w:val="22"/>
        </w:rPr>
        <w:t>revised</w:t>
      </w:r>
      <w:r w:rsidRPr="00E45BC7" w:rsidR="00E23030">
        <w:rPr>
          <w:rFonts w:ascii="Arial" w:hAnsi="Arial" w:cs="Arial"/>
          <w:sz w:val="22"/>
          <w:szCs w:val="22"/>
        </w:rPr>
        <w:t xml:space="preserve"> DRO-ISG-2023-01</w:t>
      </w:r>
      <w:r w:rsidR="004D4E05">
        <w:rPr>
          <w:rFonts w:ascii="Arial" w:hAnsi="Arial" w:cs="Arial"/>
          <w:sz w:val="22"/>
          <w:szCs w:val="22"/>
        </w:rPr>
        <w:t xml:space="preserve"> in response to this comment. Specifically, the NRC included</w:t>
      </w:r>
      <w:r w:rsidRPr="00E45BC7" w:rsidR="00E23030">
        <w:rPr>
          <w:rFonts w:ascii="Arial" w:hAnsi="Arial" w:cs="Arial"/>
          <w:sz w:val="22"/>
          <w:szCs w:val="22"/>
        </w:rPr>
        <w:t xml:space="preserve"> clarification of the phrase “afforded the opportunity to be present.”</w:t>
      </w:r>
      <w:r w:rsidRPr="00E45BC7" w:rsidR="00DD7EE7">
        <w:rPr>
          <w:rFonts w:ascii="Arial" w:hAnsi="Arial" w:cs="Arial"/>
          <w:sz w:val="22"/>
          <w:szCs w:val="22"/>
        </w:rPr>
        <w:t xml:space="preserve"> </w:t>
      </w:r>
    </w:p>
    <w:p w:rsidR="007F112A" w:rsidP="00E45BC7" w14:paraId="47569879" w14:textId="77777777">
      <w:pPr>
        <w:spacing w:after="220"/>
        <w:rPr>
          <w:rFonts w:ascii="Arial" w:hAnsi="Arial" w:cs="Arial"/>
          <w:sz w:val="22"/>
          <w:szCs w:val="22"/>
        </w:rPr>
      </w:pPr>
      <w:r w:rsidRPr="00E45BC7">
        <w:rPr>
          <w:rFonts w:ascii="Arial" w:hAnsi="Arial" w:cs="Arial"/>
          <w:sz w:val="22"/>
          <w:szCs w:val="22"/>
        </w:rPr>
        <w:t xml:space="preserve">Accordingly, </w:t>
      </w:r>
      <w:r w:rsidRPr="00E45BC7" w:rsidR="00DD7EE7">
        <w:rPr>
          <w:rFonts w:ascii="Arial" w:hAnsi="Arial" w:cs="Arial"/>
          <w:sz w:val="22"/>
          <w:szCs w:val="22"/>
        </w:rPr>
        <w:t>t</w:t>
      </w:r>
      <w:r w:rsidRPr="00E45BC7">
        <w:rPr>
          <w:rFonts w:ascii="Arial" w:hAnsi="Arial" w:cs="Arial"/>
          <w:sz w:val="22"/>
          <w:szCs w:val="22"/>
        </w:rPr>
        <w:t xml:space="preserve">he NRC did not change the rule language in response to this comment. </w:t>
      </w:r>
    </w:p>
    <w:p w:rsidR="00E45BC7" w:rsidRPr="00E45BC7" w:rsidP="00E45BC7" w14:paraId="6024282E" w14:textId="77777777">
      <w:pPr>
        <w:spacing w:after="220"/>
        <w:rPr>
          <w:rFonts w:ascii="Arial" w:hAnsi="Arial" w:cs="Arial"/>
          <w:sz w:val="22"/>
          <w:szCs w:val="22"/>
        </w:rPr>
      </w:pPr>
      <w:r>
        <w:rPr>
          <w:rFonts w:ascii="Arial" w:eastAsia="Times New Roman" w:hAnsi="Arial" w:cs="Arial"/>
          <w:sz w:val="22"/>
          <w:szCs w:val="22"/>
          <w:lang w:eastAsia="zh-CN"/>
        </w:rPr>
        <w:pict>
          <v:rect id="_x0000_i1176" style="width:0;height:1.5pt" o:hralign="center" o:hrstd="t" o:hrnoshade="t" o:hr="t" fillcolor="black" stroked="f"/>
        </w:pict>
      </w:r>
    </w:p>
    <w:p w:rsidR="007F112A" w:rsidRPr="00E45BC7" w:rsidP="00E45BC7" w14:paraId="66265ED3"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J</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 NRC should delete the word “promptly” from 10 CFR 53.780(b)(4) as the NRC can provide expectation in guidance documents as to “how early” a graded examination documentation for each applicant must be provided to the Commission (</w:t>
      </w:r>
      <w:r w:rsidR="009D6BB9">
        <w:rPr>
          <w:rFonts w:ascii="Arial" w:hAnsi="Arial" w:cs="Arial"/>
          <w:sz w:val="22"/>
          <w:szCs w:val="22"/>
        </w:rPr>
        <w:t>NEI2</w:t>
      </w:r>
      <w:r w:rsidRPr="00E45BC7">
        <w:rPr>
          <w:rFonts w:ascii="Arial" w:hAnsi="Arial" w:cs="Arial"/>
          <w:sz w:val="22"/>
          <w:szCs w:val="22"/>
        </w:rPr>
        <w:t>-0085).</w:t>
      </w:r>
    </w:p>
    <w:p w:rsidR="007F112A" w:rsidRPr="00E45BC7" w:rsidP="00E45BC7" w14:paraId="6910B6FE" w14:textId="77777777">
      <w:pPr>
        <w:spacing w:after="220"/>
        <w:rPr>
          <w:rFonts w:ascii="Arial" w:hAnsi="Arial" w:cs="Arial"/>
          <w:sz w:val="22"/>
          <w:szCs w:val="22"/>
        </w:rPr>
      </w:pPr>
      <w:r w:rsidRPr="00E45BC7">
        <w:rPr>
          <w:rFonts w:ascii="Arial" w:hAnsi="Arial" w:cs="Arial"/>
          <w:sz w:val="22"/>
          <w:szCs w:val="22"/>
        </w:rPr>
        <w:t>The commenter said that the definition of “prompt” is unclear in 10 CFR 53.780(c)(2)(ii)(D) and recommended that the NRC also clarify the entity the summary of examination results is being provided to (</w:t>
      </w:r>
      <w:r w:rsidR="009D6BB9">
        <w:rPr>
          <w:rFonts w:ascii="Arial" w:hAnsi="Arial" w:cs="Arial"/>
          <w:sz w:val="22"/>
          <w:szCs w:val="22"/>
        </w:rPr>
        <w:t>NEI2</w:t>
      </w:r>
      <w:r w:rsidRPr="00E45BC7">
        <w:rPr>
          <w:rFonts w:ascii="Arial" w:hAnsi="Arial" w:cs="Arial"/>
          <w:sz w:val="22"/>
          <w:szCs w:val="22"/>
        </w:rPr>
        <w:t>-0089).</w:t>
      </w:r>
    </w:p>
    <w:p w:rsidR="007F112A" w:rsidRPr="00E45BC7" w:rsidP="00E45BC7" w14:paraId="41490F28"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Finally, the commenter recommended that the NRC delete the word “promptly” from 10</w:t>
      </w:r>
      <w:r w:rsidR="009626C7">
        <w:rPr>
          <w:rFonts w:ascii="Arial" w:hAnsi="Arial" w:cs="Arial"/>
          <w:sz w:val="22"/>
          <w:szCs w:val="22"/>
        </w:rPr>
        <w:t> </w:t>
      </w:r>
      <w:r w:rsidRPr="00E45BC7">
        <w:rPr>
          <w:rFonts w:ascii="Arial" w:hAnsi="Arial" w:cs="Arial"/>
          <w:sz w:val="22"/>
          <w:szCs w:val="22"/>
        </w:rPr>
        <w:t>CFR</w:t>
      </w:r>
      <w:r w:rsidR="009626C7">
        <w:rPr>
          <w:rFonts w:ascii="Arial" w:hAnsi="Arial" w:cs="Arial"/>
          <w:sz w:val="22"/>
          <w:szCs w:val="22"/>
        </w:rPr>
        <w:t> </w:t>
      </w:r>
      <w:r w:rsidRPr="00E45BC7">
        <w:rPr>
          <w:rFonts w:ascii="Arial" w:hAnsi="Arial" w:cs="Arial"/>
          <w:sz w:val="22"/>
          <w:szCs w:val="22"/>
        </w:rPr>
        <w:t>53.780(e)(iii) and 10 CFR 53.815(e)(2)(iii), writing that the corrective action timeline may be impacted by a variety of factors, and the timeline of the repair is the responsibility of the simulation facility owner and not the NRC (</w:t>
      </w:r>
      <w:r w:rsidR="009D6BB9">
        <w:rPr>
          <w:rFonts w:ascii="Arial" w:hAnsi="Arial" w:cs="Arial"/>
          <w:sz w:val="22"/>
          <w:szCs w:val="22"/>
        </w:rPr>
        <w:t>NEI2</w:t>
      </w:r>
      <w:r w:rsidRPr="00E45BC7">
        <w:rPr>
          <w:rFonts w:ascii="Arial" w:hAnsi="Arial" w:cs="Arial"/>
          <w:sz w:val="22"/>
          <w:szCs w:val="22"/>
        </w:rPr>
        <w:t xml:space="preserve">-0091, </w:t>
      </w:r>
      <w:r w:rsidR="009D6BB9">
        <w:rPr>
          <w:rFonts w:ascii="Arial" w:hAnsi="Arial" w:cs="Arial"/>
          <w:sz w:val="22"/>
          <w:szCs w:val="22"/>
        </w:rPr>
        <w:t>NEI2</w:t>
      </w:r>
      <w:r w:rsidRPr="00E45BC7">
        <w:rPr>
          <w:rFonts w:ascii="Arial" w:hAnsi="Arial" w:cs="Arial"/>
          <w:sz w:val="22"/>
          <w:szCs w:val="22"/>
        </w:rPr>
        <w:t>-0105). </w:t>
      </w:r>
    </w:p>
    <w:p w:rsidR="007F112A" w:rsidRPr="00E45BC7" w:rsidP="00E45BC7" w14:paraId="2AD7460D"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the comments.</w:t>
      </w:r>
    </w:p>
    <w:p w:rsidR="007F112A" w:rsidRPr="00E45BC7" w:rsidP="00E45BC7" w14:paraId="1FA7365E" w14:textId="77777777">
      <w:pPr>
        <w:spacing w:after="220"/>
        <w:rPr>
          <w:rFonts w:ascii="Arial" w:hAnsi="Arial" w:cs="Arial"/>
          <w:sz w:val="22"/>
          <w:szCs w:val="22"/>
        </w:rPr>
      </w:pPr>
      <w:r w:rsidRPr="00E45BC7">
        <w:rPr>
          <w:rFonts w:ascii="Arial" w:hAnsi="Arial" w:cs="Arial"/>
          <w:sz w:val="22"/>
          <w:szCs w:val="22"/>
        </w:rPr>
        <w:t xml:space="preserve">Regarding use of the term “promptly” in 10 CFR 53.780(b)(4), the NRC agrees that there is no need </w:t>
      </w:r>
      <w:r w:rsidRPr="00E45BC7" w:rsidR="003E20E3">
        <w:rPr>
          <w:rFonts w:ascii="Arial" w:hAnsi="Arial" w:cs="Arial"/>
          <w:sz w:val="22"/>
          <w:szCs w:val="22"/>
        </w:rPr>
        <w:t xml:space="preserve">to use </w:t>
      </w:r>
      <w:r w:rsidRPr="00E45BC7">
        <w:rPr>
          <w:rFonts w:ascii="Arial" w:hAnsi="Arial" w:cs="Arial"/>
          <w:sz w:val="22"/>
          <w:szCs w:val="22"/>
        </w:rPr>
        <w:t xml:space="preserve">the term “promptly” because the NRC will not make any licensing decisions on received applications until this examination material is received and reviewed by the NRC. Therefore, the impact of a delayed submittal will be that the license decisions are delayed. The facility licensee has a material interest in timely licensing decisions and therefore will likely ensure submittal of the examination grading to support efficient licensing decisions. </w:t>
      </w:r>
      <w:r w:rsidRPr="00E45BC7" w:rsidR="00FF3876">
        <w:rPr>
          <w:rFonts w:ascii="Arial" w:hAnsi="Arial" w:cs="Arial"/>
          <w:sz w:val="22"/>
          <w:szCs w:val="22"/>
        </w:rPr>
        <w:t xml:space="preserve">Accordingly, </w:t>
      </w:r>
      <w:r w:rsidRPr="00E45BC7" w:rsidR="00FF3876">
        <w:rPr>
          <w:rFonts w:ascii="Arial" w:hAnsi="Arial" w:cs="Arial"/>
          <w:sz w:val="22"/>
          <w:szCs w:val="22"/>
        </w:rPr>
        <w:t>t</w:t>
      </w:r>
      <w:r w:rsidRPr="00E45BC7">
        <w:rPr>
          <w:rFonts w:ascii="Arial" w:hAnsi="Arial" w:cs="Arial"/>
          <w:sz w:val="22"/>
          <w:szCs w:val="22"/>
        </w:rPr>
        <w:t xml:space="preserve">he NRC updated the rule language to remove this term for submitting grading documentation for initial licensing examinations for specifically licensed operator applicants as a result of this comment. </w:t>
      </w:r>
    </w:p>
    <w:p w:rsidR="007F112A" w:rsidRPr="00E45BC7" w:rsidP="00E45BC7" w14:paraId="6CDD7F39" w14:textId="77777777">
      <w:pPr>
        <w:spacing w:after="220"/>
        <w:rPr>
          <w:rFonts w:ascii="Arial" w:hAnsi="Arial" w:cs="Arial"/>
          <w:sz w:val="22"/>
          <w:szCs w:val="22"/>
        </w:rPr>
      </w:pPr>
      <w:r w:rsidRPr="00E45BC7">
        <w:rPr>
          <w:rFonts w:ascii="Arial" w:hAnsi="Arial" w:cs="Arial"/>
          <w:sz w:val="22"/>
          <w:szCs w:val="22"/>
        </w:rPr>
        <w:t xml:space="preserve">Regarding the use of the term “promptly” in 10 CFR 53.780(c)(2)(ii)(D), the NRC agrees in part with the comment. The NRC needs to receive this information without delay to confirm that the licensed operators at the facility are maintaining the requisite skills and abilities to safely operate the facility, as evidenced by passing the examination. The NRC agrees that clarification of the term in guidance is warranted and updated DRO-ISG-2023-01 to provide this clarification. Regarding the entity </w:t>
      </w:r>
      <w:r w:rsidRPr="00E45BC7" w:rsidR="00E43E58">
        <w:rPr>
          <w:rFonts w:ascii="Arial" w:hAnsi="Arial" w:cs="Arial"/>
          <w:sz w:val="22"/>
          <w:szCs w:val="22"/>
        </w:rPr>
        <w:t xml:space="preserve">to which </w:t>
      </w:r>
      <w:r w:rsidRPr="00E45BC7">
        <w:rPr>
          <w:rFonts w:ascii="Arial" w:hAnsi="Arial" w:cs="Arial"/>
          <w:sz w:val="22"/>
          <w:szCs w:val="22"/>
        </w:rPr>
        <w:t xml:space="preserve">to provide the summary of examination results, this will be updated in guidance documents once determined. </w:t>
      </w:r>
      <w:r w:rsidRPr="00E45BC7" w:rsidR="00E23030">
        <w:rPr>
          <w:rFonts w:ascii="Arial" w:hAnsi="Arial" w:cs="Arial"/>
          <w:sz w:val="22"/>
          <w:szCs w:val="22"/>
        </w:rPr>
        <w:t>Accordingly, t</w:t>
      </w:r>
      <w:r w:rsidRPr="00E45BC7">
        <w:rPr>
          <w:rFonts w:ascii="Arial" w:hAnsi="Arial" w:cs="Arial"/>
          <w:sz w:val="22"/>
          <w:szCs w:val="22"/>
        </w:rPr>
        <w:t>he NRC did not change the rule language in response to this comment.</w:t>
      </w:r>
    </w:p>
    <w:p w:rsidR="007F112A" w:rsidP="00E45BC7" w14:paraId="0866AE10" w14:textId="77777777">
      <w:pPr>
        <w:spacing w:after="220"/>
        <w:rPr>
          <w:rFonts w:ascii="Arial" w:hAnsi="Arial" w:cs="Arial"/>
          <w:sz w:val="22"/>
          <w:szCs w:val="22"/>
        </w:rPr>
      </w:pPr>
      <w:r w:rsidRPr="00E45BC7">
        <w:rPr>
          <w:rFonts w:ascii="Arial" w:hAnsi="Arial" w:cs="Arial"/>
          <w:sz w:val="22"/>
          <w:szCs w:val="22"/>
        </w:rPr>
        <w:t xml:space="preserve">Regarding </w:t>
      </w:r>
      <w:r w:rsidRPr="00E45BC7" w:rsidR="005F6C6A">
        <w:rPr>
          <w:rFonts w:ascii="Arial" w:hAnsi="Arial" w:cs="Arial"/>
          <w:sz w:val="22"/>
          <w:szCs w:val="22"/>
        </w:rPr>
        <w:t xml:space="preserve">the </w:t>
      </w:r>
      <w:r w:rsidRPr="00E45BC7">
        <w:rPr>
          <w:rFonts w:ascii="Arial" w:hAnsi="Arial" w:cs="Arial"/>
          <w:sz w:val="22"/>
          <w:szCs w:val="22"/>
        </w:rPr>
        <w:t xml:space="preserve">use of the term “promptly” associated with the correction of hardware and software modeling changes to correct simulator deficiencies in 10 CFR 53.780(e)(3)(iii) and 10 CFR 53.815(e)(2)(iii), the NRC disagrees with the comment to remove this term. The concern is </w:t>
      </w:r>
      <w:r w:rsidR="004910F5">
        <w:rPr>
          <w:rFonts w:ascii="Arial" w:hAnsi="Arial" w:cs="Arial"/>
          <w:sz w:val="22"/>
          <w:szCs w:val="22"/>
        </w:rPr>
        <w:t>for potential</w:t>
      </w:r>
      <w:r w:rsidRPr="00E45BC7">
        <w:rPr>
          <w:rFonts w:ascii="Arial" w:hAnsi="Arial" w:cs="Arial"/>
          <w:sz w:val="22"/>
          <w:szCs w:val="22"/>
        </w:rPr>
        <w:t xml:space="preserve"> negative training due to the uncorrected simulator deficiency which could impact the ability of the operators to safely operate the actual plant. If the operators are trained that the plant will act one way due to the deficiency and the plant acts differently during an actual event, this could impact operator response to the actual event. This would mean that simulator deficiencies are prioritized for correction based on the significance of the issue, while recognizing that there may be factors that would warrant a delay in the correction, such as part availability. Such a delay would still be considered “prompt” for the purposes of this regulation. Accordingly, the NRC did not change the rule language as a result of these comments regarding 10 CFR 53.780(e)(3)(iii) and 10 CFR 53.815(e)(2)(iii).</w:t>
      </w:r>
    </w:p>
    <w:p w:rsidR="007F112A" w:rsidRPr="00E45BC7" w:rsidP="00E45BC7" w14:paraId="66305521"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77" style="width:0;height:1.5pt" o:hralign="center" o:hrstd="t" o:hrnoshade="t" o:hr="t" fillcolor="black" stroked="f"/>
        </w:pict>
      </w:r>
    </w:p>
    <w:p w:rsidR="007F112A" w:rsidRPr="00E45BC7" w:rsidP="00E45BC7" w14:paraId="673ED177"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K</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 xml:space="preserve">A commenter recommended deleting 10 CFR 53.780(f) or, if this </w:t>
      </w:r>
      <w:r w:rsidRPr="00E45BC7" w:rsidR="00522714">
        <w:rPr>
          <w:rFonts w:ascii="Arial" w:hAnsi="Arial" w:cs="Arial"/>
          <w:sz w:val="22"/>
          <w:szCs w:val="22"/>
        </w:rPr>
        <w:t>is not</w:t>
      </w:r>
      <w:r w:rsidRPr="00E45BC7">
        <w:rPr>
          <w:rFonts w:ascii="Arial" w:hAnsi="Arial" w:cs="Arial"/>
          <w:sz w:val="22"/>
          <w:szCs w:val="22"/>
        </w:rPr>
        <w:t xml:space="preserve"> possible, limiting the waiver of </w:t>
      </w:r>
      <w:r w:rsidRPr="00E45BC7" w:rsidR="002F66D1">
        <w:rPr>
          <w:rFonts w:ascii="Arial" w:hAnsi="Arial" w:cs="Arial"/>
          <w:sz w:val="22"/>
          <w:szCs w:val="22"/>
        </w:rPr>
        <w:t>examination</w:t>
      </w:r>
      <w:r w:rsidRPr="00E45BC7">
        <w:rPr>
          <w:rFonts w:ascii="Arial" w:hAnsi="Arial" w:cs="Arial"/>
          <w:sz w:val="22"/>
          <w:szCs w:val="22"/>
        </w:rPr>
        <w:t xml:space="preserve"> to two years (</w:t>
      </w:r>
      <w:r w:rsidRPr="002F66D1" w:rsidR="002F66D1">
        <w:rPr>
          <w:rFonts w:ascii="Arial" w:eastAsia="Times New Roman" w:hAnsi="Arial" w:cs="Arial"/>
          <w:color w:val="000000"/>
          <w:sz w:val="22"/>
          <w:szCs w:val="22"/>
        </w:rPr>
        <w:t>TG9</w:t>
      </w:r>
      <w:r w:rsidRPr="00E45BC7">
        <w:rPr>
          <w:rFonts w:ascii="Arial" w:hAnsi="Arial" w:cs="Arial"/>
          <w:sz w:val="22"/>
          <w:szCs w:val="22"/>
        </w:rPr>
        <w:t>-0001). </w:t>
      </w:r>
    </w:p>
    <w:p w:rsidR="00522714" w:rsidRPr="00E45BC7" w:rsidP="00E45BC7" w14:paraId="6FF6B372"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this comment. As the NRC explained in the proposed and final rules, the intent of this waiver in 10 CFR 53.780(f) is for a waiver of the initial examination requirements and is not intended for continued use associated with failure to complete required requalification examinations. In keeping with a risk-informed and technology-inclusive approach, specific prescriptive criteria, such as the two-year limit found in 10 CFR 55.47(a)(1)</w:t>
      </w:r>
      <w:r w:rsidRPr="00E45BC7" w:rsidR="0013116B">
        <w:rPr>
          <w:rFonts w:ascii="Arial" w:hAnsi="Arial" w:cs="Arial"/>
          <w:sz w:val="22"/>
          <w:szCs w:val="22"/>
        </w:rPr>
        <w:t>,</w:t>
      </w:r>
      <w:r w:rsidRPr="00E45BC7">
        <w:rPr>
          <w:rFonts w:ascii="Arial" w:hAnsi="Arial" w:cs="Arial"/>
          <w:sz w:val="22"/>
          <w:szCs w:val="22"/>
        </w:rPr>
        <w:t xml:space="preserve"> w</w:t>
      </w:r>
      <w:r w:rsidRPr="00E45BC7" w:rsidR="0013116B">
        <w:rPr>
          <w:rFonts w:ascii="Arial" w:hAnsi="Arial" w:cs="Arial"/>
          <w:sz w:val="22"/>
          <w:szCs w:val="22"/>
        </w:rPr>
        <w:t>ere</w:t>
      </w:r>
      <w:r w:rsidRPr="00E45BC7">
        <w:rPr>
          <w:rFonts w:ascii="Arial" w:hAnsi="Arial" w:cs="Arial"/>
          <w:sz w:val="22"/>
          <w:szCs w:val="22"/>
        </w:rPr>
        <w:t xml:space="preserve"> removed from the rule language and this information is instead covered in guidance documents, such as DRO-ISG-2023-01. However, the NRC agrees that the operating experience at a comparable facility should be recent, with guidance clarifying what constitutes “recent operating experience.” </w:t>
      </w:r>
    </w:p>
    <w:p w:rsidR="007F112A" w:rsidRPr="00E45BC7" w:rsidP="00E45BC7" w14:paraId="664F07DC" w14:textId="77777777">
      <w:pPr>
        <w:spacing w:after="220"/>
        <w:rPr>
          <w:rFonts w:ascii="Arial" w:hAnsi="Arial" w:cs="Arial"/>
          <w:sz w:val="22"/>
          <w:szCs w:val="22"/>
        </w:rPr>
      </w:pPr>
      <w:r w:rsidRPr="00E45BC7">
        <w:rPr>
          <w:rFonts w:ascii="Arial" w:hAnsi="Arial" w:cs="Arial"/>
          <w:sz w:val="22"/>
          <w:szCs w:val="22"/>
        </w:rPr>
        <w:t>Accordingly, the NRC clarified in the rule language that waivers are only applicable to initial examinations and that operating experience must be recent for a waiver to be considered.</w:t>
      </w:r>
    </w:p>
    <w:p w:rsidR="007F112A" w:rsidRPr="00E45BC7" w:rsidP="00E45BC7" w14:paraId="00ED6F0C"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78" style="width:0;height:1.5pt" o:hralign="center" o:hrstd="t" o:hrnoshade="t" o:hr="t" fillcolor="black" stroked="f"/>
        </w:pict>
      </w:r>
    </w:p>
    <w:p w:rsidR="007F112A" w:rsidRPr="00E45BC7" w:rsidP="00E45BC7" w14:paraId="2FC9D6F5"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L</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said that the regulations of 10</w:t>
      </w:r>
      <w:r w:rsidRPr="00E45BC7" w:rsidR="002219C7">
        <w:rPr>
          <w:rFonts w:ascii="Arial" w:hAnsi="Arial" w:cs="Arial"/>
          <w:sz w:val="22"/>
          <w:szCs w:val="22"/>
        </w:rPr>
        <w:t> </w:t>
      </w:r>
      <w:r w:rsidRPr="00E45BC7">
        <w:rPr>
          <w:rFonts w:ascii="Arial" w:hAnsi="Arial" w:cs="Arial"/>
          <w:sz w:val="22"/>
          <w:szCs w:val="22"/>
        </w:rPr>
        <w:t>CFR</w:t>
      </w:r>
      <w:r w:rsidRPr="00E45BC7" w:rsidR="002219C7">
        <w:rPr>
          <w:rFonts w:ascii="Arial" w:hAnsi="Arial" w:cs="Arial"/>
          <w:sz w:val="22"/>
          <w:szCs w:val="22"/>
        </w:rPr>
        <w:t> </w:t>
      </w:r>
      <w:r w:rsidRPr="00E45BC7">
        <w:rPr>
          <w:rFonts w:ascii="Arial" w:hAnsi="Arial" w:cs="Arial"/>
          <w:sz w:val="22"/>
          <w:szCs w:val="22"/>
        </w:rPr>
        <w:t>53.780(b)(2)-(4) do not clearly define the timelines facility licensees are expected to meet regarding certain aspects of the operator licensing initial examination program (</w:t>
      </w:r>
      <w:r w:rsidR="009D6BB9">
        <w:rPr>
          <w:rFonts w:ascii="Arial" w:hAnsi="Arial" w:cs="Arial"/>
          <w:sz w:val="22"/>
          <w:szCs w:val="22"/>
        </w:rPr>
        <w:t>NEI2</w:t>
      </w:r>
      <w:r w:rsidRPr="00E45BC7">
        <w:rPr>
          <w:rFonts w:ascii="Arial" w:hAnsi="Arial" w:cs="Arial"/>
          <w:sz w:val="22"/>
          <w:szCs w:val="22"/>
        </w:rPr>
        <w:t xml:space="preserve">-0083, </w:t>
      </w:r>
      <w:r w:rsidR="009D6BB9">
        <w:rPr>
          <w:rFonts w:ascii="Arial" w:hAnsi="Arial" w:cs="Arial"/>
          <w:sz w:val="22"/>
          <w:szCs w:val="22"/>
        </w:rPr>
        <w:t>NEI2</w:t>
      </w:r>
      <w:r w:rsidRPr="00E45BC7">
        <w:rPr>
          <w:rFonts w:ascii="Arial" w:hAnsi="Arial" w:cs="Arial"/>
          <w:sz w:val="22"/>
          <w:szCs w:val="22"/>
        </w:rPr>
        <w:t>-0084). In 10</w:t>
      </w:r>
      <w:r w:rsidRPr="00E45BC7" w:rsidR="002219C7">
        <w:rPr>
          <w:rFonts w:ascii="Arial" w:hAnsi="Arial" w:cs="Arial"/>
          <w:sz w:val="22"/>
          <w:szCs w:val="22"/>
        </w:rPr>
        <w:t> </w:t>
      </w:r>
      <w:r w:rsidRPr="00E45BC7">
        <w:rPr>
          <w:rFonts w:ascii="Arial" w:hAnsi="Arial" w:cs="Arial"/>
          <w:sz w:val="22"/>
          <w:szCs w:val="22"/>
        </w:rPr>
        <w:t>CFR</w:t>
      </w:r>
      <w:r w:rsidRPr="00E45BC7" w:rsidR="002219C7">
        <w:rPr>
          <w:rFonts w:ascii="Arial" w:hAnsi="Arial" w:cs="Arial"/>
          <w:sz w:val="22"/>
          <w:szCs w:val="22"/>
        </w:rPr>
        <w:t> </w:t>
      </w:r>
      <w:r w:rsidRPr="00E45BC7">
        <w:rPr>
          <w:rFonts w:ascii="Arial" w:hAnsi="Arial" w:cs="Arial"/>
          <w:sz w:val="22"/>
          <w:szCs w:val="22"/>
        </w:rPr>
        <w:t>53.780(b)(2)</w:t>
      </w:r>
      <w:r w:rsidRPr="00E45BC7" w:rsidR="007057BC">
        <w:rPr>
          <w:rFonts w:ascii="Arial" w:hAnsi="Arial" w:cs="Arial"/>
          <w:sz w:val="22"/>
          <w:szCs w:val="22"/>
        </w:rPr>
        <w:t>,</w:t>
      </w:r>
      <w:r w:rsidRPr="00E45BC7">
        <w:rPr>
          <w:rFonts w:ascii="Arial" w:hAnsi="Arial" w:cs="Arial"/>
          <w:sz w:val="22"/>
          <w:szCs w:val="22"/>
        </w:rPr>
        <w:t xml:space="preserve"> the commenter recommended that </w:t>
      </w:r>
      <w:r w:rsidRPr="00E45BC7" w:rsidR="007057BC">
        <w:rPr>
          <w:rFonts w:ascii="Arial" w:hAnsi="Arial" w:cs="Arial"/>
          <w:sz w:val="22"/>
          <w:szCs w:val="22"/>
        </w:rPr>
        <w:t xml:space="preserve">the </w:t>
      </w:r>
      <w:r w:rsidRPr="00E45BC7">
        <w:rPr>
          <w:rFonts w:ascii="Arial" w:hAnsi="Arial" w:cs="Arial"/>
          <w:sz w:val="22"/>
          <w:szCs w:val="22"/>
        </w:rPr>
        <w:t>NRC delete “in advance of” and replace it with “prior to” and also include a timeframe in guidance documents (</w:t>
      </w:r>
      <w:r w:rsidR="009D6BB9">
        <w:rPr>
          <w:rFonts w:ascii="Arial" w:hAnsi="Arial" w:cs="Arial"/>
          <w:sz w:val="22"/>
          <w:szCs w:val="22"/>
        </w:rPr>
        <w:t>NEI2</w:t>
      </w:r>
      <w:r w:rsidRPr="00E45BC7">
        <w:rPr>
          <w:rFonts w:ascii="Arial" w:hAnsi="Arial" w:cs="Arial"/>
          <w:sz w:val="22"/>
          <w:szCs w:val="22"/>
        </w:rPr>
        <w:t>-0083).</w:t>
      </w:r>
    </w:p>
    <w:p w:rsidR="007F112A" w:rsidRPr="00E45BC7" w:rsidP="00E45BC7" w14:paraId="6D48464D"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also said that the word “sufficient” is vague and should be defined in guidance documents, and suggested that 10 CFR 53.780(b)(3) be rephrased to read, “The facility licensee must ensure that the Commission is notified of the expected date the examination is to be administered to provide the Commission with the opportunity to be present when the facility licensee administers the examination” (</w:t>
      </w:r>
      <w:r w:rsidR="009D6BB9">
        <w:rPr>
          <w:rFonts w:ascii="Arial" w:hAnsi="Arial" w:cs="Arial"/>
          <w:sz w:val="22"/>
          <w:szCs w:val="22"/>
        </w:rPr>
        <w:t>NEI2</w:t>
      </w:r>
      <w:r w:rsidRPr="00E45BC7">
        <w:rPr>
          <w:rFonts w:ascii="Arial" w:hAnsi="Arial" w:cs="Arial"/>
          <w:sz w:val="22"/>
          <w:szCs w:val="22"/>
        </w:rPr>
        <w:t>-0084).</w:t>
      </w:r>
    </w:p>
    <w:p w:rsidR="007F112A" w:rsidRPr="00E45BC7" w:rsidP="00E45BC7" w14:paraId="08BDE064"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the comments.</w:t>
      </w:r>
    </w:p>
    <w:p w:rsidR="007F112A" w:rsidRPr="00E45BC7" w:rsidP="00E45BC7" w14:paraId="7756011D" w14:textId="77777777">
      <w:pPr>
        <w:spacing w:after="220"/>
        <w:rPr>
          <w:rFonts w:ascii="Arial" w:hAnsi="Arial" w:cs="Arial"/>
          <w:sz w:val="22"/>
          <w:szCs w:val="22"/>
        </w:rPr>
      </w:pPr>
      <w:r w:rsidRPr="00E45BC7">
        <w:rPr>
          <w:rFonts w:ascii="Arial" w:hAnsi="Arial" w:cs="Arial"/>
          <w:sz w:val="22"/>
          <w:szCs w:val="22"/>
        </w:rPr>
        <w:t xml:space="preserve">The use of “in advance of” in 10 CFR 53.780(b)(2) enables the facility licensee to determine </w:t>
      </w:r>
      <w:r w:rsidRPr="00E45BC7" w:rsidR="00DB40A3">
        <w:rPr>
          <w:rFonts w:ascii="Arial" w:hAnsi="Arial" w:cs="Arial"/>
          <w:sz w:val="22"/>
          <w:szCs w:val="22"/>
        </w:rPr>
        <w:t xml:space="preserve">its </w:t>
      </w:r>
      <w:r w:rsidRPr="00E45BC7">
        <w:rPr>
          <w:rFonts w:ascii="Arial" w:hAnsi="Arial" w:cs="Arial"/>
          <w:sz w:val="22"/>
          <w:szCs w:val="22"/>
        </w:rPr>
        <w:t>own timeline, as it is not feasible to determine one timeline for all facility licensees. A variable timeline is required because there are a variety of technologies and designs, each having a facility</w:t>
      </w:r>
      <w:r w:rsidRPr="00E45BC7" w:rsidR="00541883">
        <w:rPr>
          <w:rFonts w:ascii="Arial" w:hAnsi="Arial" w:cs="Arial"/>
          <w:sz w:val="22"/>
          <w:szCs w:val="22"/>
        </w:rPr>
        <w:t>-</w:t>
      </w:r>
      <w:r w:rsidRPr="00E45BC7">
        <w:rPr>
          <w:rFonts w:ascii="Arial" w:hAnsi="Arial" w:cs="Arial"/>
          <w:sz w:val="22"/>
          <w:szCs w:val="22"/>
        </w:rPr>
        <w:t xml:space="preserve">specific examination program (i.e., the timeline would be based on individual examination programs that are tailored by the facility licensee to </w:t>
      </w:r>
      <w:r w:rsidRPr="00E45BC7" w:rsidR="00DE01C0">
        <w:rPr>
          <w:rFonts w:ascii="Arial" w:hAnsi="Arial" w:cs="Arial"/>
          <w:sz w:val="22"/>
          <w:szCs w:val="22"/>
        </w:rPr>
        <w:t xml:space="preserve">its </w:t>
      </w:r>
      <w:r w:rsidRPr="00E45BC7">
        <w:rPr>
          <w:rFonts w:ascii="Arial" w:hAnsi="Arial" w:cs="Arial"/>
          <w:sz w:val="22"/>
          <w:szCs w:val="22"/>
        </w:rPr>
        <w:t xml:space="preserve">design). The timeline would be based on the complexity of the examination (e.g., the length or format of the examination). Therefore, the time required for the NRC to review and approve the examination will vary. Consequently, a single timeline for all facility licensees cannot be provided; however, a timeline for submittal to the NRC should be included as part of the examination program that each facility licensee submits to the NRC under 10 CFR 53.780(a). Additionally, the NRC needs to be informed of the timeline to ensure that the timeline will support allocation of the resources required to review and approve the examination. Accordingly, the NRC did not change the rule language in response to this comment; the NRC did clarify </w:t>
      </w:r>
      <w:r w:rsidRPr="00E45BC7" w:rsidR="00BB4B53">
        <w:rPr>
          <w:rFonts w:ascii="Arial" w:hAnsi="Arial" w:cs="Arial"/>
          <w:sz w:val="22"/>
          <w:szCs w:val="22"/>
        </w:rPr>
        <w:t xml:space="preserve">the language in </w:t>
      </w:r>
      <w:r w:rsidRPr="00E45BC7">
        <w:rPr>
          <w:rFonts w:ascii="Arial" w:hAnsi="Arial" w:cs="Arial"/>
          <w:sz w:val="22"/>
          <w:szCs w:val="22"/>
        </w:rPr>
        <w:t>DRO-ISG-2023</w:t>
      </w:r>
      <w:r w:rsidRPr="00E45BC7">
        <w:rPr>
          <w:rFonts w:ascii="Arial" w:hAnsi="Arial" w:cs="Arial"/>
          <w:sz w:val="22"/>
          <w:szCs w:val="22"/>
        </w:rPr>
        <w:noBreakHyphen/>
        <w:t>01.</w:t>
      </w:r>
    </w:p>
    <w:p w:rsidR="007F112A" w:rsidP="00E45BC7" w14:paraId="3975BCDB" w14:textId="77777777">
      <w:pPr>
        <w:spacing w:after="220"/>
        <w:rPr>
          <w:rFonts w:ascii="Arial" w:hAnsi="Arial" w:cs="Arial"/>
          <w:sz w:val="22"/>
          <w:szCs w:val="22"/>
        </w:rPr>
      </w:pPr>
      <w:r w:rsidRPr="00E45BC7">
        <w:rPr>
          <w:rFonts w:ascii="Arial" w:hAnsi="Arial" w:cs="Arial"/>
          <w:sz w:val="22"/>
          <w:szCs w:val="22"/>
        </w:rPr>
        <w:t>The NRC needs to know when examinations will be administered. The NRC needs to be informed ahead of the scheduled examination with sufficient time to allocate resources. Therefore, the regulatory requirement to inform the NRC ahead of the scheduled examination in sufficient time to allow the staff to be present is warranted. However, the NRC agrees that additional guidance regarding what this phrase means is warranted. Accordingly, the NRC did not change the rule language in response to this comment; the NRC did clarify the language in DRO-ISG-2023-01.</w:t>
      </w:r>
    </w:p>
    <w:p w:rsidR="007F112A" w:rsidRPr="00E45BC7" w:rsidP="00E45BC7" w14:paraId="74DAF931" w14:textId="77777777">
      <w:pPr>
        <w:spacing w:after="220"/>
        <w:rPr>
          <w:rFonts w:ascii="Arial" w:hAnsi="Arial" w:cs="Arial"/>
          <w:sz w:val="22"/>
          <w:szCs w:val="22"/>
        </w:rPr>
      </w:pPr>
      <w:r>
        <w:rPr>
          <w:rFonts w:ascii="Arial" w:eastAsia="Times New Roman" w:hAnsi="Arial" w:cs="Arial"/>
          <w:sz w:val="22"/>
          <w:szCs w:val="22"/>
          <w:lang w:eastAsia="zh-CN"/>
        </w:rPr>
        <w:pict>
          <v:rect id="_x0000_i1179" style="width:0;height:1.5pt" o:hralign="center" o:hrstd="t" o:hrnoshade="t" o:hr="t" fillcolor="black" stroked="f"/>
        </w:pict>
      </w:r>
    </w:p>
    <w:p w:rsidR="007F112A" w:rsidRPr="00E45BC7" w:rsidP="00E45BC7" w14:paraId="0F96D2A0"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M</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asked if there is a difference between “complete requalification examination” and the “biennial requalification examination” in 10 CFR 53.780(c)(2)(ii)(C) and recommended that NRC clarify if it intends to require a complete examination “retake” if a candidate fails the requalification exam, or if there are cases where the candidate may only have to retake certain sections if failures were in particular areas. The commenter suggested revising the last sentence of the paragraph to read, “necessary remedial training has been completed</w:t>
      </w:r>
      <w:r w:rsidR="00182128">
        <w:rPr>
          <w:rFonts w:ascii="Arial" w:hAnsi="Arial" w:cs="Arial"/>
          <w:sz w:val="22"/>
          <w:szCs w:val="22"/>
        </w:rPr>
        <w:t>,</w:t>
      </w:r>
      <w:r w:rsidRPr="00E45BC7">
        <w:rPr>
          <w:rFonts w:ascii="Arial" w:hAnsi="Arial" w:cs="Arial"/>
          <w:sz w:val="22"/>
          <w:szCs w:val="22"/>
        </w:rPr>
        <w:t xml:space="preserve"> and the candidate has successfully passed the necessary reexamination” (</w:t>
      </w:r>
      <w:r w:rsidR="009D6BB9">
        <w:rPr>
          <w:rFonts w:ascii="Arial" w:hAnsi="Arial" w:cs="Arial"/>
          <w:sz w:val="22"/>
          <w:szCs w:val="22"/>
        </w:rPr>
        <w:t>NEI2</w:t>
      </w:r>
      <w:r w:rsidRPr="00E45BC7">
        <w:rPr>
          <w:rFonts w:ascii="Arial" w:hAnsi="Arial" w:cs="Arial"/>
          <w:sz w:val="22"/>
          <w:szCs w:val="22"/>
        </w:rPr>
        <w:t>-0088).</w:t>
      </w:r>
    </w:p>
    <w:p w:rsidR="007F112A" w:rsidRPr="00E45BC7" w:rsidP="00E45BC7" w14:paraId="281B077D"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 xml:space="preserve">Another commenter wrote that 10 CFR 53.780(c)(2)(ii)(C) requires requalification for operators at a minimum every 24 months, while 10 CFR 53.795 states that an operator license would expire </w:t>
      </w:r>
      <w:r w:rsidR="00306A19">
        <w:rPr>
          <w:rFonts w:ascii="Arial" w:hAnsi="Arial" w:cs="Arial"/>
          <w:sz w:val="22"/>
          <w:szCs w:val="22"/>
        </w:rPr>
        <w:t>6</w:t>
      </w:r>
      <w:r w:rsidRPr="00E45BC7">
        <w:rPr>
          <w:rFonts w:ascii="Arial" w:hAnsi="Arial" w:cs="Arial"/>
          <w:sz w:val="22"/>
          <w:szCs w:val="22"/>
        </w:rPr>
        <w:t xml:space="preserve"> years after the date of issuance. The commenter wrote that this is overly burdensome to limit an operator license for a time period less than one fuel cycle and asked the NRC to consider the timeframes in relation to some features of microreactors (</w:t>
      </w:r>
      <w:r w:rsidR="00333B47">
        <w:rPr>
          <w:rFonts w:ascii="Arial" w:hAnsi="Arial" w:cs="Arial"/>
          <w:sz w:val="22"/>
          <w:szCs w:val="22"/>
        </w:rPr>
        <w:t>WEST1</w:t>
      </w:r>
      <w:r w:rsidRPr="00E45BC7">
        <w:rPr>
          <w:rFonts w:ascii="Arial" w:hAnsi="Arial" w:cs="Arial"/>
          <w:sz w:val="22"/>
          <w:szCs w:val="22"/>
        </w:rPr>
        <w:t>-0012).</w:t>
      </w:r>
    </w:p>
    <w:p w:rsidR="007F112A" w:rsidRPr="00E45BC7" w:rsidP="00E45BC7" w14:paraId="2FFB0534"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 in part, with the comments.</w:t>
      </w:r>
    </w:p>
    <w:p w:rsidR="007F112A" w:rsidRPr="00E45BC7" w:rsidP="00E45BC7" w14:paraId="4C03579C" w14:textId="77777777">
      <w:pPr>
        <w:spacing w:after="220"/>
        <w:rPr>
          <w:rFonts w:ascii="Arial" w:hAnsi="Arial" w:cs="Arial"/>
          <w:sz w:val="22"/>
          <w:szCs w:val="22"/>
        </w:rPr>
      </w:pPr>
      <w:r w:rsidRPr="00E45BC7">
        <w:rPr>
          <w:rFonts w:ascii="Arial" w:hAnsi="Arial" w:cs="Arial"/>
          <w:sz w:val="22"/>
          <w:szCs w:val="22"/>
        </w:rPr>
        <w:t xml:space="preserve">There is no difference between a “complete requalification examination” and the “biennial requalification examination.” Per 10 CFR 53.780(c)(2)(ii)(C), the complete requalification </w:t>
      </w:r>
      <w:r w:rsidRPr="00E45BC7">
        <w:rPr>
          <w:rFonts w:ascii="Arial" w:hAnsi="Arial" w:cs="Arial"/>
          <w:sz w:val="22"/>
          <w:szCs w:val="22"/>
        </w:rPr>
        <w:t>examination is on a period of not to exceed 24 months, or biennially. Accordingly, the NRC updated the rule language for clarity in response to this comment.</w:t>
      </w:r>
    </w:p>
    <w:p w:rsidR="007F112A" w:rsidRPr="00E45BC7" w:rsidP="00E45BC7" w14:paraId="3744CC98" w14:textId="77777777">
      <w:pPr>
        <w:spacing w:after="220"/>
        <w:rPr>
          <w:rFonts w:ascii="Arial" w:hAnsi="Arial" w:cs="Arial"/>
          <w:sz w:val="22"/>
          <w:szCs w:val="22"/>
        </w:rPr>
      </w:pPr>
      <w:r w:rsidRPr="00E45BC7">
        <w:rPr>
          <w:rFonts w:ascii="Arial" w:hAnsi="Arial" w:cs="Arial"/>
          <w:sz w:val="22"/>
          <w:szCs w:val="22"/>
        </w:rPr>
        <w:t>Regarding whether a candidate would only need to retake certain portions of the biennial requalification examination, the NRC agrees that additional guidance on what would constitute an appropriate retake examination is warranted. No change to the rule language was made; however, the NRC updated DRO-ISG-2023-01 to provide this guidance in response to this comment.</w:t>
      </w:r>
    </w:p>
    <w:p w:rsidR="007F112A" w:rsidRPr="00E45BC7" w:rsidP="00E45BC7" w14:paraId="6569C3A6" w14:textId="77777777">
      <w:pPr>
        <w:spacing w:after="220"/>
        <w:rPr>
          <w:rFonts w:ascii="Arial" w:hAnsi="Arial" w:cs="Arial"/>
          <w:sz w:val="22"/>
          <w:szCs w:val="22"/>
        </w:rPr>
      </w:pPr>
      <w:r w:rsidRPr="00E45BC7">
        <w:rPr>
          <w:rFonts w:ascii="Arial" w:hAnsi="Arial" w:cs="Arial"/>
          <w:sz w:val="22"/>
          <w:szCs w:val="22"/>
        </w:rPr>
        <w:t xml:space="preserve">The NRC disagrees with the statement that having a license expiration date of </w:t>
      </w:r>
      <w:r w:rsidR="00306A19">
        <w:rPr>
          <w:rFonts w:ascii="Arial" w:hAnsi="Arial" w:cs="Arial"/>
          <w:sz w:val="22"/>
          <w:szCs w:val="22"/>
        </w:rPr>
        <w:t>6</w:t>
      </w:r>
      <w:r w:rsidRPr="00E45BC7">
        <w:rPr>
          <w:rFonts w:ascii="Arial" w:hAnsi="Arial" w:cs="Arial"/>
          <w:sz w:val="22"/>
          <w:szCs w:val="22"/>
        </w:rPr>
        <w:t xml:space="preserve"> years is overly burdensome. Renewal of the license provides the NRC periodic insight into the competence of an operator to operate the controls at a facility. This information enables the NRC to determine if the operator meets the medical and performance requirements to warrant continued licensing, if license modifications are necessary, or if the license should be allowed to expire. This is not contingent on the length of a given fuel cycle but instead is a periodic check by the NRC that the operator has operated the controls safely and is capable of continuing to do so. Accordingly, the NRC did not change the rule language in response to this comment</w:t>
      </w:r>
      <w:r w:rsidR="001A268F">
        <w:rPr>
          <w:rFonts w:ascii="Arial" w:hAnsi="Arial" w:cs="Arial"/>
          <w:sz w:val="22"/>
          <w:szCs w:val="22"/>
        </w:rPr>
        <w:t>.</w:t>
      </w:r>
    </w:p>
    <w:p w:rsidR="007F112A" w:rsidRPr="00E45BC7" w:rsidP="00E45BC7" w14:paraId="2583AEBE"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0" style="width:0;height:1.5pt" o:hralign="center" o:hrstd="t" o:hrnoshade="t" o:hr="t" fillcolor="black" stroked="f"/>
        </w:pict>
      </w:r>
    </w:p>
    <w:p w:rsidR="007F112A" w:rsidRPr="00E45BC7" w:rsidP="00E45BC7" w14:paraId="47D37708"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N</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said that 10 CFR 53.785(b) contains the language, “The license is limited to the facility for which it is issued...” The commenter said that the definition of “license” in 10 CFR 53.020 would indicate that the facility is one or more reactors in the same location and does not allow for being licensed to an identical design at another facility. The commenter recommended that NRC provide a means for operation of multiple remote facilities, from a central control facility and licensing to a specific reactor design in addition to a location as currently proposed (</w:t>
      </w:r>
      <w:r w:rsidR="009D6BB9">
        <w:rPr>
          <w:rFonts w:ascii="Arial" w:hAnsi="Arial" w:cs="Arial"/>
          <w:sz w:val="22"/>
          <w:szCs w:val="22"/>
        </w:rPr>
        <w:t>NEI2</w:t>
      </w:r>
      <w:r w:rsidRPr="00E45BC7">
        <w:rPr>
          <w:rFonts w:ascii="Arial" w:hAnsi="Arial" w:cs="Arial"/>
          <w:sz w:val="22"/>
          <w:szCs w:val="22"/>
        </w:rPr>
        <w:t>-0092). Another commenter wrote that they supported this comment (</w:t>
      </w:r>
      <w:r w:rsidR="006912EB">
        <w:rPr>
          <w:rFonts w:ascii="Arial" w:hAnsi="Arial" w:cs="Arial"/>
          <w:sz w:val="22"/>
          <w:szCs w:val="22"/>
        </w:rPr>
        <w:t>NEX</w:t>
      </w:r>
      <w:r w:rsidRPr="00E45BC7">
        <w:rPr>
          <w:rFonts w:ascii="Arial" w:hAnsi="Arial" w:cs="Arial"/>
          <w:sz w:val="22"/>
          <w:szCs w:val="22"/>
        </w:rPr>
        <w:t>-0030).</w:t>
      </w:r>
    </w:p>
    <w:p w:rsidR="007F112A" w:rsidRPr="00E45BC7" w:rsidP="00E45BC7" w14:paraId="168A36BD"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also discussed 10 CFR 53.785(c) which adds the language “or facilities” compared to the existing requirements in 10 CFR 55.53. The commenter asked NRC to clarify why it would not add this same language to 10 CFR 53.785(b). The commenter recommended that NRC either remove “or facilities” in 10 CFR 53.785(c) or add it to 10 CFR 53.785(b) (</w:t>
      </w:r>
      <w:r w:rsidR="009D6BB9">
        <w:rPr>
          <w:rFonts w:ascii="Arial" w:hAnsi="Arial" w:cs="Arial"/>
          <w:sz w:val="22"/>
          <w:szCs w:val="22"/>
        </w:rPr>
        <w:t>NEI2</w:t>
      </w:r>
      <w:r w:rsidRPr="00E45BC7">
        <w:rPr>
          <w:rFonts w:ascii="Arial" w:hAnsi="Arial" w:cs="Arial"/>
          <w:sz w:val="22"/>
          <w:szCs w:val="22"/>
        </w:rPr>
        <w:t>-0092). </w:t>
      </w:r>
    </w:p>
    <w:p w:rsidR="007F112A" w:rsidRPr="00E45BC7" w:rsidP="00E45BC7" w14:paraId="4F62B96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w:t>
      </w:r>
      <w:r w:rsidRPr="00E45BC7" w:rsidR="00280A43">
        <w:rPr>
          <w:rFonts w:ascii="Arial" w:hAnsi="Arial" w:cs="Arial"/>
          <w:sz w:val="22"/>
          <w:szCs w:val="22"/>
        </w:rPr>
        <w:t>,</w:t>
      </w:r>
      <w:r w:rsidRPr="00E45BC7">
        <w:rPr>
          <w:rFonts w:ascii="Arial" w:hAnsi="Arial" w:cs="Arial"/>
          <w:sz w:val="22"/>
          <w:szCs w:val="22"/>
        </w:rPr>
        <w:t xml:space="preserve"> in part</w:t>
      </w:r>
      <w:r w:rsidRPr="00E45BC7" w:rsidR="00280A43">
        <w:rPr>
          <w:rFonts w:ascii="Arial" w:hAnsi="Arial" w:cs="Arial"/>
          <w:sz w:val="22"/>
          <w:szCs w:val="22"/>
        </w:rPr>
        <w:t>,</w:t>
      </w:r>
      <w:r w:rsidRPr="00E45BC7">
        <w:rPr>
          <w:rFonts w:ascii="Arial" w:hAnsi="Arial" w:cs="Arial"/>
          <w:sz w:val="22"/>
          <w:szCs w:val="22"/>
        </w:rPr>
        <w:t xml:space="preserve"> with the comments.</w:t>
      </w:r>
    </w:p>
    <w:p w:rsidR="007F112A" w:rsidRPr="00E45BC7" w:rsidP="00E45BC7" w14:paraId="196FFFA9" w14:textId="77777777">
      <w:pPr>
        <w:spacing w:after="220"/>
        <w:rPr>
          <w:rFonts w:ascii="Arial" w:hAnsi="Arial" w:cs="Arial"/>
          <w:sz w:val="22"/>
          <w:szCs w:val="22"/>
        </w:rPr>
      </w:pPr>
      <w:r w:rsidRPr="00E45BC7">
        <w:rPr>
          <w:rFonts w:ascii="Arial" w:hAnsi="Arial" w:cs="Arial"/>
          <w:sz w:val="22"/>
          <w:szCs w:val="22"/>
        </w:rPr>
        <w:t>Per the AEA</w:t>
      </w:r>
      <w:r w:rsidR="003966B6">
        <w:rPr>
          <w:rFonts w:ascii="Arial" w:hAnsi="Arial" w:cs="Arial"/>
          <w:sz w:val="22"/>
          <w:szCs w:val="22"/>
        </w:rPr>
        <w:t>,</w:t>
      </w:r>
      <w:r w:rsidRPr="00E45BC7">
        <w:rPr>
          <w:rFonts w:ascii="Arial" w:hAnsi="Arial" w:cs="Arial"/>
          <w:sz w:val="22"/>
          <w:szCs w:val="22"/>
        </w:rPr>
        <w:t xml:space="preserve"> a utilization facility is “any equipment or device … peculiarly adapted for making use of atomic energy” whereas a facility licensee is the </w:t>
      </w:r>
      <w:r w:rsidR="003907E3">
        <w:rPr>
          <w:rFonts w:ascii="Arial" w:hAnsi="Arial" w:cs="Arial"/>
          <w:sz w:val="22"/>
          <w:szCs w:val="22"/>
        </w:rPr>
        <w:t>entity</w:t>
      </w:r>
      <w:r w:rsidRPr="00E45BC7">
        <w:rPr>
          <w:rFonts w:ascii="Arial" w:hAnsi="Arial" w:cs="Arial"/>
          <w:sz w:val="22"/>
          <w:szCs w:val="22"/>
        </w:rPr>
        <w:t xml:space="preserve"> that holds the license for that utilization facility. Also, per the AEA, an operator is “any individual who manipulates the controls of a utilization </w:t>
      </w:r>
      <w:r w:rsidR="00C66563">
        <w:rPr>
          <w:rFonts w:ascii="Arial" w:hAnsi="Arial" w:cs="Arial"/>
          <w:sz w:val="22"/>
          <w:szCs w:val="22"/>
        </w:rPr>
        <w:t>…</w:t>
      </w:r>
      <w:r w:rsidRPr="00E45BC7">
        <w:rPr>
          <w:rFonts w:ascii="Arial" w:hAnsi="Arial" w:cs="Arial"/>
          <w:sz w:val="22"/>
          <w:szCs w:val="22"/>
        </w:rPr>
        <w:t xml:space="preserve"> facility”. A facility licensee can hold more than one facility license, and an operator could obtain a license that encompasses all comparable units for that facility licensee per the regulations as written. Additionally, there is nothing in the regulation</w:t>
      </w:r>
      <w:r w:rsidR="00F73EC2">
        <w:rPr>
          <w:rFonts w:ascii="Arial" w:hAnsi="Arial" w:cs="Arial"/>
          <w:sz w:val="22"/>
          <w:szCs w:val="22"/>
        </w:rPr>
        <w:t>s</w:t>
      </w:r>
      <w:r w:rsidRPr="00E45BC7">
        <w:rPr>
          <w:rFonts w:ascii="Arial" w:hAnsi="Arial" w:cs="Arial"/>
          <w:sz w:val="22"/>
          <w:szCs w:val="22"/>
        </w:rPr>
        <w:t xml:space="preserve"> that prohibit an operator from having a license at more than one facility so long as that operator is employed by the facility licensee. The current commercial operating fleet has examples of an operator hold</w:t>
      </w:r>
      <w:r w:rsidR="006326B6">
        <w:rPr>
          <w:rFonts w:ascii="Arial" w:hAnsi="Arial" w:cs="Arial"/>
          <w:sz w:val="22"/>
          <w:szCs w:val="22"/>
        </w:rPr>
        <w:t>ing</w:t>
      </w:r>
      <w:r w:rsidRPr="00E45BC7">
        <w:rPr>
          <w:rFonts w:ascii="Arial" w:hAnsi="Arial" w:cs="Arial"/>
          <w:sz w:val="22"/>
          <w:szCs w:val="22"/>
        </w:rPr>
        <w:t xml:space="preserve"> a license for more than one utilization facility. For example, at a multi</w:t>
      </w:r>
      <w:r w:rsidR="00A53E84">
        <w:rPr>
          <w:rFonts w:ascii="Arial" w:hAnsi="Arial" w:cs="Arial"/>
          <w:sz w:val="22"/>
          <w:szCs w:val="22"/>
        </w:rPr>
        <w:noBreakHyphen/>
      </w:r>
      <w:r w:rsidRPr="00E45BC7">
        <w:rPr>
          <w:rFonts w:ascii="Arial" w:hAnsi="Arial" w:cs="Arial"/>
          <w:sz w:val="22"/>
          <w:szCs w:val="22"/>
        </w:rPr>
        <w:t>unit site</w:t>
      </w:r>
      <w:r w:rsidR="00623003">
        <w:rPr>
          <w:rFonts w:ascii="Arial" w:hAnsi="Arial" w:cs="Arial"/>
          <w:sz w:val="22"/>
          <w:szCs w:val="22"/>
        </w:rPr>
        <w:t>,</w:t>
      </w:r>
      <w:r w:rsidRPr="00E45BC7">
        <w:rPr>
          <w:rFonts w:ascii="Arial" w:hAnsi="Arial" w:cs="Arial"/>
          <w:sz w:val="22"/>
          <w:szCs w:val="22"/>
        </w:rPr>
        <w:t xml:space="preserve"> an operator could be issued a license for more than one of the units (i.e., a license for more than one utilization facility by the same facility licensee). The NRC disagrees with the statement that the definition of license in </w:t>
      </w:r>
      <w:r w:rsidR="000257AC">
        <w:rPr>
          <w:rFonts w:ascii="Arial" w:hAnsi="Arial" w:cs="Arial"/>
          <w:sz w:val="22"/>
          <w:szCs w:val="22"/>
        </w:rPr>
        <w:t>10 CFR </w:t>
      </w:r>
      <w:r w:rsidRPr="00E45BC7">
        <w:rPr>
          <w:rFonts w:ascii="Arial" w:hAnsi="Arial" w:cs="Arial"/>
          <w:sz w:val="22"/>
          <w:szCs w:val="22"/>
        </w:rPr>
        <w:t xml:space="preserve">53.020 indicates that a facility is one or more reactors at the same location. The definition, as </w:t>
      </w:r>
      <w:r w:rsidR="003A7606">
        <w:rPr>
          <w:rFonts w:ascii="Arial" w:hAnsi="Arial" w:cs="Arial"/>
          <w:sz w:val="22"/>
          <w:szCs w:val="22"/>
        </w:rPr>
        <w:t>it</w:t>
      </w:r>
      <w:r w:rsidRPr="00E45BC7">
        <w:rPr>
          <w:rFonts w:ascii="Arial" w:hAnsi="Arial" w:cs="Arial"/>
          <w:sz w:val="22"/>
          <w:szCs w:val="22"/>
        </w:rPr>
        <w:t xml:space="preserve"> relates to a facility, is a single </w:t>
      </w:r>
      <w:r w:rsidR="00887ABD">
        <w:rPr>
          <w:rFonts w:ascii="Arial" w:hAnsi="Arial" w:cs="Arial"/>
          <w:sz w:val="22"/>
          <w:szCs w:val="22"/>
        </w:rPr>
        <w:t>LWA</w:t>
      </w:r>
      <w:r w:rsidRPr="00E45BC7">
        <w:rPr>
          <w:rFonts w:ascii="Arial" w:hAnsi="Arial" w:cs="Arial"/>
          <w:sz w:val="22"/>
          <w:szCs w:val="22"/>
        </w:rPr>
        <w:t xml:space="preserve">, CP, OL, </w:t>
      </w:r>
      <w:r w:rsidR="008E1D55">
        <w:rPr>
          <w:rFonts w:ascii="Arial" w:hAnsi="Arial" w:cs="Arial"/>
          <w:sz w:val="22"/>
          <w:szCs w:val="22"/>
        </w:rPr>
        <w:t>ESP</w:t>
      </w:r>
      <w:r w:rsidRPr="00E45BC7">
        <w:rPr>
          <w:rFonts w:ascii="Arial" w:hAnsi="Arial" w:cs="Arial"/>
          <w:sz w:val="22"/>
          <w:szCs w:val="22"/>
        </w:rPr>
        <w:t xml:space="preserve">, COL, or ML. Each reactor would be its own facility, and the holder of the facility license, or facility licensee, could hold multiple facility licenses. This can be seen with the current reactor fleet as each unit, or reactor, </w:t>
      </w:r>
      <w:r w:rsidRPr="00E45BC7">
        <w:rPr>
          <w:rFonts w:ascii="Arial" w:hAnsi="Arial" w:cs="Arial"/>
          <w:sz w:val="22"/>
          <w:szCs w:val="22"/>
        </w:rPr>
        <w:t xml:space="preserve">has its own license, even if there are multiple reactors at the same location. In other words, if there are two reactors at a single location, there are two licensed facilities, but </w:t>
      </w:r>
      <w:r w:rsidRPr="00E45BC7" w:rsidR="00CB7396">
        <w:rPr>
          <w:rFonts w:ascii="Arial" w:hAnsi="Arial" w:cs="Arial"/>
          <w:sz w:val="22"/>
          <w:szCs w:val="22"/>
        </w:rPr>
        <w:t xml:space="preserve">there </w:t>
      </w:r>
      <w:r w:rsidRPr="00E45BC7">
        <w:rPr>
          <w:rFonts w:ascii="Arial" w:hAnsi="Arial" w:cs="Arial"/>
          <w:sz w:val="22"/>
          <w:szCs w:val="22"/>
        </w:rPr>
        <w:t xml:space="preserve">may only </w:t>
      </w:r>
      <w:r w:rsidRPr="00E45BC7" w:rsidR="00CB7396">
        <w:rPr>
          <w:rFonts w:ascii="Arial" w:hAnsi="Arial" w:cs="Arial"/>
          <w:sz w:val="22"/>
          <w:szCs w:val="22"/>
        </w:rPr>
        <w:t xml:space="preserve">be </w:t>
      </w:r>
      <w:r w:rsidRPr="00E45BC7">
        <w:rPr>
          <w:rFonts w:ascii="Arial" w:hAnsi="Arial" w:cs="Arial"/>
          <w:sz w:val="22"/>
          <w:szCs w:val="22"/>
        </w:rPr>
        <w:t xml:space="preserve">a single </w:t>
      </w:r>
      <w:r w:rsidR="00190529">
        <w:rPr>
          <w:rFonts w:ascii="Arial" w:hAnsi="Arial" w:cs="Arial"/>
          <w:sz w:val="22"/>
          <w:szCs w:val="22"/>
        </w:rPr>
        <w:t>entity</w:t>
      </w:r>
      <w:r w:rsidRPr="00E45BC7" w:rsidR="00190529">
        <w:rPr>
          <w:rFonts w:ascii="Arial" w:hAnsi="Arial" w:cs="Arial"/>
          <w:sz w:val="22"/>
          <w:szCs w:val="22"/>
        </w:rPr>
        <w:t xml:space="preserve"> </w:t>
      </w:r>
      <w:r w:rsidRPr="00E45BC7">
        <w:rPr>
          <w:rFonts w:ascii="Arial" w:hAnsi="Arial" w:cs="Arial"/>
          <w:sz w:val="22"/>
          <w:szCs w:val="22"/>
        </w:rPr>
        <w:t xml:space="preserve">holding these licenses, referred to as a facility licensee. There is no requirement that the </w:t>
      </w:r>
      <w:r w:rsidR="00ED318D">
        <w:rPr>
          <w:rFonts w:ascii="Arial" w:hAnsi="Arial" w:cs="Arial"/>
          <w:sz w:val="22"/>
          <w:szCs w:val="22"/>
        </w:rPr>
        <w:t>entity</w:t>
      </w:r>
      <w:r w:rsidRPr="00E45BC7" w:rsidR="00ED318D">
        <w:rPr>
          <w:rFonts w:ascii="Arial" w:hAnsi="Arial" w:cs="Arial"/>
          <w:sz w:val="22"/>
          <w:szCs w:val="22"/>
        </w:rPr>
        <w:t xml:space="preserve"> </w:t>
      </w:r>
      <w:r w:rsidRPr="00E45BC7">
        <w:rPr>
          <w:rFonts w:ascii="Arial" w:hAnsi="Arial" w:cs="Arial"/>
          <w:sz w:val="22"/>
          <w:szCs w:val="22"/>
        </w:rPr>
        <w:t>only hold licenses to facilities in a single location.</w:t>
      </w:r>
    </w:p>
    <w:p w:rsidR="007F112A" w:rsidRPr="00E45BC7" w:rsidP="00E45BC7" w14:paraId="78AFBC4D" w14:textId="77777777">
      <w:pPr>
        <w:spacing w:after="220"/>
        <w:rPr>
          <w:rFonts w:ascii="Arial" w:hAnsi="Arial" w:cs="Arial"/>
          <w:sz w:val="22"/>
          <w:szCs w:val="22"/>
        </w:rPr>
      </w:pPr>
      <w:r w:rsidRPr="00E45BC7">
        <w:rPr>
          <w:rFonts w:ascii="Arial" w:hAnsi="Arial" w:cs="Arial"/>
          <w:sz w:val="22"/>
          <w:szCs w:val="22"/>
        </w:rPr>
        <w:t>Although all operators that are currently licensed at more than one facility happen to be at co</w:t>
      </w:r>
      <w:r w:rsidR="00E46512">
        <w:rPr>
          <w:rFonts w:ascii="Arial" w:hAnsi="Arial" w:cs="Arial"/>
          <w:sz w:val="22"/>
          <w:szCs w:val="22"/>
        </w:rPr>
        <w:noBreakHyphen/>
      </w:r>
      <w:r w:rsidRPr="00E45BC7">
        <w:rPr>
          <w:rFonts w:ascii="Arial" w:hAnsi="Arial" w:cs="Arial"/>
          <w:sz w:val="22"/>
          <w:szCs w:val="22"/>
        </w:rPr>
        <w:t>located facilities, nothing in 10 CFR 53.785 would require that the utilization facilities be co-located. An operator could obtain a license that encompasses all comparable units for that facility licensee (i.e., it would be acceptable for an operator to be licensed at multiple facilities for a specific facility licensee) but not be tied to a specific location. Licensing an operator to a product (i.e., </w:t>
      </w:r>
      <w:r w:rsidR="00647F76">
        <w:rPr>
          <w:rFonts w:ascii="Arial" w:hAnsi="Arial" w:cs="Arial"/>
          <w:sz w:val="22"/>
          <w:szCs w:val="22"/>
        </w:rPr>
        <w:t xml:space="preserve">a </w:t>
      </w:r>
      <w:r w:rsidRPr="00E45BC7">
        <w:rPr>
          <w:rFonts w:ascii="Arial" w:hAnsi="Arial" w:cs="Arial"/>
          <w:sz w:val="22"/>
          <w:szCs w:val="22"/>
        </w:rPr>
        <w:t xml:space="preserve">specific reactor type or design) would not be pragmatic as there is the potential for there to be a variety of organizational structures, reporting structures, and conduct of operations that would preclude licensing operators at different facility licensees, including differing training programs and requalification requirements. Furthermore, there is the possibility of differences in the technical specifications and operating procedures of the same reactor type because of variations between different facility licensees. </w:t>
      </w:r>
      <w:r w:rsidR="00E22487">
        <w:rPr>
          <w:rFonts w:ascii="Arial" w:hAnsi="Arial" w:cs="Arial"/>
          <w:sz w:val="22"/>
          <w:szCs w:val="22"/>
        </w:rPr>
        <w:br w:type="page"/>
      </w:r>
    </w:p>
    <w:p w:rsidR="007F112A" w:rsidRPr="00E45BC7" w:rsidP="00E45BC7" w14:paraId="08D7C1E0" w14:textId="77777777">
      <w:pPr>
        <w:spacing w:after="220"/>
        <w:rPr>
          <w:rFonts w:ascii="Arial" w:hAnsi="Arial" w:cs="Arial"/>
          <w:sz w:val="22"/>
          <w:szCs w:val="22"/>
        </w:rPr>
      </w:pPr>
      <w:r w:rsidRPr="00E45BC7">
        <w:rPr>
          <w:rFonts w:ascii="Arial" w:hAnsi="Arial" w:cs="Arial"/>
          <w:sz w:val="22"/>
          <w:szCs w:val="22"/>
        </w:rPr>
        <w:t xml:space="preserve">The NRC agrees with the comment to expand facility in 10 CFR 53.785(b) to include more than one facility. Accordingly, the NRC </w:t>
      </w:r>
      <w:r w:rsidR="002F3E70">
        <w:rPr>
          <w:rFonts w:ascii="Arial" w:hAnsi="Arial" w:cs="Arial"/>
          <w:sz w:val="22"/>
          <w:szCs w:val="22"/>
        </w:rPr>
        <w:t xml:space="preserve">has revised </w:t>
      </w:r>
      <w:r w:rsidRPr="00E45BC7" w:rsidR="00280A43">
        <w:rPr>
          <w:rFonts w:ascii="Arial" w:hAnsi="Arial" w:cs="Arial"/>
          <w:sz w:val="22"/>
          <w:szCs w:val="22"/>
        </w:rPr>
        <w:t>10 CFR </w:t>
      </w:r>
      <w:r w:rsidRPr="00E45BC7">
        <w:rPr>
          <w:rFonts w:ascii="Arial" w:hAnsi="Arial" w:cs="Arial"/>
          <w:sz w:val="22"/>
          <w:szCs w:val="22"/>
        </w:rPr>
        <w:t>53.785(b) in response to this comment.</w:t>
      </w:r>
    </w:p>
    <w:p w:rsidR="007F112A" w:rsidRPr="00E45BC7" w:rsidP="00E45BC7" w14:paraId="58355111"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1" style="width:0;height:1.5pt" o:hralign="center" o:hrstd="t" o:hrnoshade="t" o:hr="t" fillcolor="black" stroked="f"/>
        </w:pict>
      </w:r>
    </w:p>
    <w:p w:rsidR="007F112A" w:rsidRPr="00E45BC7" w:rsidP="00E45BC7" w14:paraId="1073D6D7"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O</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made several recommendations related to staffing requirements:</w:t>
      </w:r>
    </w:p>
    <w:p w:rsidR="007F112A" w:rsidRPr="00E45BC7" w:rsidP="00E45BC7" w14:paraId="4705AB87" w14:textId="77777777">
      <w:pPr>
        <w:numPr>
          <w:ilvl w:val="0"/>
          <w:numId w:val="21"/>
        </w:numPr>
        <w:spacing w:after="220"/>
        <w:rPr>
          <w:rFonts w:ascii="Arial" w:hAnsi="Arial" w:cs="Arial"/>
          <w:sz w:val="22"/>
          <w:szCs w:val="22"/>
        </w:rPr>
      </w:pPr>
      <w:r w:rsidRPr="00E45BC7">
        <w:rPr>
          <w:rFonts w:ascii="Arial" w:hAnsi="Arial" w:cs="Arial"/>
          <w:sz w:val="22"/>
          <w:szCs w:val="22"/>
        </w:rPr>
        <w:t>In 10 CFR 53.800(a)(4), change “may be achieved through the use of SSCs that function through inherent characteristics or that have engineered protections against human failures” to “may be achieved through the use of SSCs that function through inherent characteristics or digital software/controls or that have engineered protections against human failures.”</w:t>
      </w:r>
    </w:p>
    <w:p w:rsidR="007F112A" w:rsidRPr="00E45BC7" w:rsidP="00E45BC7" w14:paraId="3F924770" w14:textId="77777777">
      <w:pPr>
        <w:numPr>
          <w:ilvl w:val="0"/>
          <w:numId w:val="21"/>
        </w:numPr>
        <w:spacing w:after="220"/>
        <w:rPr>
          <w:rFonts w:ascii="Arial" w:hAnsi="Arial" w:cs="Arial"/>
          <w:sz w:val="22"/>
          <w:szCs w:val="22"/>
        </w:rPr>
      </w:pPr>
      <w:r w:rsidRPr="00E45BC7">
        <w:rPr>
          <w:rFonts w:ascii="Arial" w:hAnsi="Arial" w:cs="Arial"/>
          <w:sz w:val="22"/>
          <w:szCs w:val="22"/>
        </w:rPr>
        <w:t>In 10 CFR 53.805, change “permanent removal of fuel from the reactor vessel” to “permanent removal of fuel from the reactor vessel site.”</w:t>
      </w:r>
    </w:p>
    <w:p w:rsidR="007F112A" w:rsidRPr="00E45BC7" w:rsidP="00E45BC7" w14:paraId="69CB7504" w14:textId="77777777">
      <w:pPr>
        <w:numPr>
          <w:ilvl w:val="0"/>
          <w:numId w:val="21"/>
        </w:numPr>
        <w:spacing w:after="220"/>
        <w:rPr>
          <w:rFonts w:ascii="Arial" w:hAnsi="Arial" w:cs="Arial"/>
          <w:sz w:val="22"/>
          <w:szCs w:val="22"/>
        </w:rPr>
      </w:pPr>
      <w:r w:rsidRPr="00E45BC7">
        <w:rPr>
          <w:rFonts w:ascii="Arial" w:hAnsi="Arial" w:cs="Arial"/>
          <w:sz w:val="22"/>
          <w:szCs w:val="22"/>
        </w:rPr>
        <w:t>In 10 CFR 53.810(g), change the rule language from “conviction” to “arrest” as the timeline for waiting for a conviction may be too long, and change the time to either 7 or 14 days.</w:t>
      </w:r>
    </w:p>
    <w:p w:rsidR="007F112A" w:rsidRPr="00E45BC7" w:rsidP="00E45BC7" w14:paraId="3D5518C8" w14:textId="77777777">
      <w:pPr>
        <w:numPr>
          <w:ilvl w:val="0"/>
          <w:numId w:val="21"/>
        </w:numPr>
        <w:spacing w:after="220"/>
        <w:rPr>
          <w:rFonts w:ascii="Arial" w:hAnsi="Arial" w:cs="Arial"/>
          <w:sz w:val="22"/>
          <w:szCs w:val="22"/>
        </w:rPr>
      </w:pPr>
      <w:r w:rsidRPr="00E45BC7">
        <w:rPr>
          <w:rFonts w:ascii="Arial" w:hAnsi="Arial" w:cs="Arial"/>
          <w:sz w:val="22"/>
          <w:szCs w:val="22"/>
        </w:rPr>
        <w:t>In 10 CFR 53.815(f), delete the requirement if it refers to staff and not the simulator.</w:t>
      </w:r>
    </w:p>
    <w:p w:rsidR="007F112A" w:rsidRPr="00E45BC7" w:rsidP="00E45BC7" w14:paraId="04A493F1"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 xml:space="preserve">The commenter also wrote that 10 CFR 53.815(e)(iii) made “excellent points” and </w:t>
      </w:r>
      <w:r w:rsidRPr="00E45BC7" w:rsidR="00331431">
        <w:rPr>
          <w:rFonts w:ascii="Arial" w:hAnsi="Arial" w:cs="Arial"/>
          <w:sz w:val="22"/>
          <w:szCs w:val="22"/>
        </w:rPr>
        <w:t xml:space="preserve">stated that </w:t>
      </w:r>
      <w:r w:rsidRPr="00E45BC7">
        <w:rPr>
          <w:rFonts w:ascii="Arial" w:hAnsi="Arial" w:cs="Arial"/>
          <w:sz w:val="22"/>
          <w:szCs w:val="22"/>
        </w:rPr>
        <w:t>10 CFR 53.820 is too vague (</w:t>
      </w:r>
      <w:r w:rsidRPr="002F66D1" w:rsidR="002F66D1">
        <w:rPr>
          <w:rFonts w:ascii="Arial" w:eastAsia="Times New Roman" w:hAnsi="Arial" w:cs="Arial"/>
          <w:color w:val="000000"/>
          <w:sz w:val="22"/>
          <w:szCs w:val="22"/>
        </w:rPr>
        <w:t>TG10</w:t>
      </w:r>
      <w:r w:rsidRPr="002F66D1">
        <w:rPr>
          <w:rFonts w:ascii="Arial" w:hAnsi="Arial" w:cs="Arial"/>
          <w:sz w:val="22"/>
          <w:szCs w:val="22"/>
        </w:rPr>
        <w:t>-0</w:t>
      </w:r>
      <w:r w:rsidRPr="00E45BC7">
        <w:rPr>
          <w:rFonts w:ascii="Arial" w:hAnsi="Arial" w:cs="Arial"/>
          <w:sz w:val="22"/>
          <w:szCs w:val="22"/>
        </w:rPr>
        <w:t>001).</w:t>
      </w:r>
    </w:p>
    <w:p w:rsidR="007F112A" w:rsidRPr="00E45BC7" w:rsidP="00E45BC7" w14:paraId="38CC2B84"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w:t>
      </w:r>
      <w:r w:rsidR="00C02D01">
        <w:rPr>
          <w:rFonts w:ascii="Arial" w:hAnsi="Arial" w:cs="Arial"/>
          <w:sz w:val="22"/>
          <w:szCs w:val="22"/>
        </w:rPr>
        <w:t>e</w:t>
      </w:r>
      <w:r w:rsidRPr="00E45BC7">
        <w:rPr>
          <w:rFonts w:ascii="Arial" w:hAnsi="Arial" w:cs="Arial"/>
          <w:sz w:val="22"/>
          <w:szCs w:val="22"/>
        </w:rPr>
        <w:t xml:space="preserve"> comment.</w:t>
      </w:r>
    </w:p>
    <w:p w:rsidR="007F112A" w:rsidRPr="00E45BC7" w:rsidP="00E45BC7" w14:paraId="0BAE2BD1" w14:textId="77777777">
      <w:pPr>
        <w:spacing w:after="220"/>
        <w:rPr>
          <w:rFonts w:ascii="Arial" w:hAnsi="Arial" w:cs="Arial"/>
          <w:sz w:val="22"/>
          <w:szCs w:val="22"/>
        </w:rPr>
      </w:pPr>
      <w:r w:rsidRPr="00E45BC7">
        <w:rPr>
          <w:rFonts w:ascii="Arial" w:hAnsi="Arial" w:cs="Arial"/>
          <w:sz w:val="22"/>
          <w:szCs w:val="22"/>
        </w:rPr>
        <w:t xml:space="preserve">Regarding adding the term “digital software/controls” to 10 CFR 53.800(a)(4), this would not meet the intent of the regulation, which is to ensure that there are highly robust mechanisms, such as inherent features of the design or specifically designed engineering protections, against human errors. This requirement is necessary to ensure that only those facilities meeting the requirement </w:t>
      </w:r>
      <w:r w:rsidR="005568C4">
        <w:rPr>
          <w:rFonts w:ascii="Arial" w:hAnsi="Arial" w:cs="Arial"/>
          <w:sz w:val="22"/>
          <w:szCs w:val="22"/>
        </w:rPr>
        <w:t>receive</w:t>
      </w:r>
      <w:r w:rsidRPr="00E45BC7">
        <w:rPr>
          <w:rFonts w:ascii="Arial" w:hAnsi="Arial" w:cs="Arial"/>
          <w:sz w:val="22"/>
          <w:szCs w:val="22"/>
        </w:rPr>
        <w:t xml:space="preserve"> the reduced regulatory burden and oversight associated with the GLRO licensing process.</w:t>
      </w:r>
    </w:p>
    <w:p w:rsidR="007F112A" w:rsidRPr="00E45BC7" w:rsidP="00E45BC7" w14:paraId="33D3A1A1" w14:textId="77777777">
      <w:pPr>
        <w:spacing w:after="220"/>
        <w:rPr>
          <w:rFonts w:ascii="Arial" w:hAnsi="Arial" w:cs="Arial"/>
          <w:sz w:val="22"/>
          <w:szCs w:val="22"/>
        </w:rPr>
      </w:pPr>
      <w:r w:rsidRPr="00E45BC7">
        <w:rPr>
          <w:rFonts w:ascii="Arial" w:hAnsi="Arial" w:cs="Arial"/>
          <w:sz w:val="22"/>
          <w:szCs w:val="22"/>
        </w:rPr>
        <w:t>Regarding the proposed change from “permanent removal of fuel from the reactor vessel” to “removal of fuel from the reactor vessel site”, the current language is consistent with the language in 10 CFR 53.1070, which is referenced by 10 CFR 53.805. Th</w:t>
      </w:r>
      <w:r w:rsidRPr="00E45BC7" w:rsidR="00561420">
        <w:rPr>
          <w:rFonts w:ascii="Arial" w:hAnsi="Arial" w:cs="Arial"/>
          <w:sz w:val="22"/>
          <w:szCs w:val="22"/>
        </w:rPr>
        <w:t>e</w:t>
      </w:r>
      <w:r w:rsidRPr="00E45BC7">
        <w:rPr>
          <w:rFonts w:ascii="Arial" w:hAnsi="Arial" w:cs="Arial"/>
          <w:sz w:val="22"/>
          <w:szCs w:val="22"/>
        </w:rPr>
        <w:t xml:space="preserve"> language in 10</w:t>
      </w:r>
      <w:r w:rsidR="0065119F">
        <w:rPr>
          <w:rFonts w:ascii="Arial" w:hAnsi="Arial" w:cs="Arial"/>
          <w:sz w:val="22"/>
          <w:szCs w:val="22"/>
        </w:rPr>
        <w:t> </w:t>
      </w:r>
      <w:r w:rsidRPr="00E45BC7">
        <w:rPr>
          <w:rFonts w:ascii="Arial" w:hAnsi="Arial" w:cs="Arial"/>
          <w:sz w:val="22"/>
          <w:szCs w:val="22"/>
        </w:rPr>
        <w:t>CFR</w:t>
      </w:r>
      <w:r w:rsidR="0065119F">
        <w:rPr>
          <w:rFonts w:ascii="Arial" w:hAnsi="Arial" w:cs="Arial"/>
          <w:sz w:val="22"/>
          <w:szCs w:val="22"/>
        </w:rPr>
        <w:t> </w:t>
      </w:r>
      <w:r w:rsidRPr="00E45BC7">
        <w:rPr>
          <w:rFonts w:ascii="Arial" w:hAnsi="Arial" w:cs="Arial"/>
          <w:sz w:val="22"/>
          <w:szCs w:val="22"/>
        </w:rPr>
        <w:t xml:space="preserve">53.1070 is consistent with the equivalent requirement in </w:t>
      </w:r>
      <w:r w:rsidR="00493E72">
        <w:rPr>
          <w:rFonts w:ascii="Arial" w:hAnsi="Arial" w:cs="Arial"/>
          <w:sz w:val="22"/>
          <w:szCs w:val="22"/>
        </w:rPr>
        <w:t xml:space="preserve">the </w:t>
      </w:r>
      <w:r w:rsidRPr="00E45BC7">
        <w:rPr>
          <w:rFonts w:ascii="Arial" w:hAnsi="Arial" w:cs="Arial"/>
          <w:sz w:val="22"/>
          <w:szCs w:val="22"/>
        </w:rPr>
        <w:t xml:space="preserve">NRC’s existing regulations in 10 CFR 50.82. </w:t>
      </w:r>
      <w:r w:rsidRPr="00E45BC7" w:rsidR="00AD4B89">
        <w:rPr>
          <w:rFonts w:ascii="Arial" w:hAnsi="Arial" w:cs="Arial"/>
          <w:sz w:val="22"/>
          <w:szCs w:val="22"/>
        </w:rPr>
        <w:t>The NRC</w:t>
      </w:r>
      <w:r w:rsidRPr="00E45BC7" w:rsidR="00F50127">
        <w:rPr>
          <w:rFonts w:ascii="Arial" w:hAnsi="Arial" w:cs="Arial"/>
          <w:sz w:val="22"/>
          <w:szCs w:val="22"/>
        </w:rPr>
        <w:t xml:space="preserve"> </w:t>
      </w:r>
      <w:r w:rsidRPr="00E45BC7" w:rsidR="007A736E">
        <w:rPr>
          <w:rFonts w:ascii="Arial" w:hAnsi="Arial" w:cs="Arial"/>
          <w:sz w:val="22"/>
          <w:szCs w:val="22"/>
        </w:rPr>
        <w:t xml:space="preserve">believes that “reactor vessel” is a more appropriate term to address the change </w:t>
      </w:r>
      <w:r w:rsidRPr="00E45BC7" w:rsidR="005A2A7D">
        <w:rPr>
          <w:rFonts w:ascii="Arial" w:hAnsi="Arial" w:cs="Arial"/>
          <w:sz w:val="22"/>
          <w:szCs w:val="22"/>
        </w:rPr>
        <w:t xml:space="preserve">of plant status </w:t>
      </w:r>
      <w:r w:rsidRPr="00E45BC7" w:rsidR="00A41FAB">
        <w:rPr>
          <w:rFonts w:ascii="Arial" w:hAnsi="Arial" w:cs="Arial"/>
          <w:sz w:val="22"/>
          <w:szCs w:val="22"/>
        </w:rPr>
        <w:t xml:space="preserve">when all fuel </w:t>
      </w:r>
      <w:r w:rsidRPr="00E45BC7" w:rsidR="00F65736">
        <w:rPr>
          <w:rFonts w:ascii="Arial" w:hAnsi="Arial" w:cs="Arial"/>
          <w:sz w:val="22"/>
          <w:szCs w:val="22"/>
        </w:rPr>
        <w:t xml:space="preserve">is </w:t>
      </w:r>
      <w:r w:rsidRPr="00E45BC7" w:rsidR="00530FAA">
        <w:rPr>
          <w:rFonts w:ascii="Arial" w:hAnsi="Arial" w:cs="Arial"/>
          <w:sz w:val="22"/>
          <w:szCs w:val="22"/>
        </w:rPr>
        <w:t xml:space="preserve">removed from the primary reactor systems to </w:t>
      </w:r>
      <w:r w:rsidRPr="00E45BC7" w:rsidR="001E2D27">
        <w:rPr>
          <w:rFonts w:ascii="Arial" w:hAnsi="Arial" w:cs="Arial"/>
          <w:sz w:val="22"/>
          <w:szCs w:val="22"/>
        </w:rPr>
        <w:t>some form of storage</w:t>
      </w:r>
      <w:r w:rsidRPr="00E45BC7" w:rsidR="00BF4282">
        <w:rPr>
          <w:rFonts w:ascii="Arial" w:hAnsi="Arial" w:cs="Arial"/>
          <w:sz w:val="22"/>
          <w:szCs w:val="22"/>
        </w:rPr>
        <w:t xml:space="preserve">, including possible </w:t>
      </w:r>
      <w:r w:rsidRPr="00E45BC7" w:rsidR="007F21F6">
        <w:rPr>
          <w:rFonts w:ascii="Arial" w:hAnsi="Arial" w:cs="Arial"/>
          <w:sz w:val="22"/>
          <w:szCs w:val="22"/>
        </w:rPr>
        <w:t>storage within the</w:t>
      </w:r>
      <w:r w:rsidRPr="00E45BC7" w:rsidR="00036DD7">
        <w:rPr>
          <w:rFonts w:ascii="Arial" w:hAnsi="Arial" w:cs="Arial"/>
          <w:sz w:val="22"/>
          <w:szCs w:val="22"/>
        </w:rPr>
        <w:t xml:space="preserve"> site of the</w:t>
      </w:r>
      <w:r w:rsidRPr="00E45BC7" w:rsidR="007F21F6">
        <w:rPr>
          <w:rFonts w:ascii="Arial" w:hAnsi="Arial" w:cs="Arial"/>
          <w:sz w:val="22"/>
          <w:szCs w:val="22"/>
        </w:rPr>
        <w:t xml:space="preserve"> commercial nuclear plant </w:t>
      </w:r>
      <w:r w:rsidRPr="00E45BC7" w:rsidR="0083607C">
        <w:rPr>
          <w:rFonts w:ascii="Arial" w:hAnsi="Arial" w:cs="Arial"/>
          <w:sz w:val="22"/>
          <w:szCs w:val="22"/>
        </w:rPr>
        <w:t>(e.g.,</w:t>
      </w:r>
      <w:r w:rsidRPr="00E45BC7" w:rsidR="00CE1F54">
        <w:rPr>
          <w:rFonts w:ascii="Arial" w:hAnsi="Arial" w:cs="Arial"/>
          <w:sz w:val="22"/>
          <w:szCs w:val="22"/>
        </w:rPr>
        <w:t> </w:t>
      </w:r>
      <w:r w:rsidRPr="00E45BC7" w:rsidR="0083607C">
        <w:rPr>
          <w:rFonts w:ascii="Arial" w:hAnsi="Arial" w:cs="Arial"/>
          <w:sz w:val="22"/>
          <w:szCs w:val="22"/>
        </w:rPr>
        <w:t>spent fuel pool)</w:t>
      </w:r>
      <w:r w:rsidRPr="00E45BC7" w:rsidR="00415F52">
        <w:rPr>
          <w:rFonts w:ascii="Arial" w:hAnsi="Arial" w:cs="Arial"/>
          <w:sz w:val="22"/>
          <w:szCs w:val="22"/>
        </w:rPr>
        <w:t>.</w:t>
      </w:r>
    </w:p>
    <w:p w:rsidR="007F112A" w:rsidRPr="00E45BC7" w:rsidP="00E45BC7" w14:paraId="58EC79E0" w14:textId="77777777">
      <w:pPr>
        <w:spacing w:after="220"/>
        <w:rPr>
          <w:rFonts w:ascii="Arial" w:hAnsi="Arial" w:cs="Arial"/>
          <w:sz w:val="22"/>
          <w:szCs w:val="22"/>
        </w:rPr>
      </w:pPr>
      <w:r w:rsidRPr="00E45BC7">
        <w:rPr>
          <w:rFonts w:ascii="Arial" w:hAnsi="Arial" w:cs="Arial"/>
          <w:sz w:val="22"/>
          <w:szCs w:val="22"/>
        </w:rPr>
        <w:t>Regarding the comment on changing the term from “conviction” to “arrest” in 10 CFR 53.810(g), the NRC acknowledges the presumption of innocence until proven guilty via a conviction, hence the use of that term.</w:t>
      </w:r>
    </w:p>
    <w:p w:rsidR="007F112A" w:rsidRPr="00E45BC7" w:rsidP="00E45BC7" w14:paraId="030C5ECB" w14:textId="77777777">
      <w:pPr>
        <w:spacing w:after="220"/>
        <w:rPr>
          <w:rFonts w:ascii="Arial" w:hAnsi="Arial" w:cs="Arial"/>
          <w:sz w:val="22"/>
          <w:szCs w:val="22"/>
        </w:rPr>
      </w:pPr>
      <w:r w:rsidRPr="00E45BC7">
        <w:rPr>
          <w:rFonts w:ascii="Arial" w:hAnsi="Arial" w:cs="Arial"/>
          <w:sz w:val="22"/>
          <w:szCs w:val="22"/>
        </w:rPr>
        <w:t xml:space="preserve">Regarding 10 CFR 53.815(f), 10 CFR 53.815(e) is the portion of the rule language for simulators. The overarching regulation of 10 CFR 53.815, which includes 10 CFR 53.815(f), covers training, examination, and proficiency requirements for individuals licensing under the </w:t>
      </w:r>
      <w:r w:rsidR="00075FD0">
        <w:rPr>
          <w:rFonts w:ascii="Arial" w:hAnsi="Arial" w:cs="Arial"/>
          <w:sz w:val="22"/>
          <w:szCs w:val="22"/>
        </w:rPr>
        <w:t>GLRO</w:t>
      </w:r>
      <w:r w:rsidRPr="00E45BC7">
        <w:rPr>
          <w:rFonts w:ascii="Arial" w:hAnsi="Arial" w:cs="Arial"/>
          <w:sz w:val="22"/>
          <w:szCs w:val="22"/>
        </w:rPr>
        <w:t xml:space="preserve"> process. The waiver regulation provides a mechanism for a previously licensed operator </w:t>
      </w:r>
      <w:r w:rsidRPr="00E45BC7">
        <w:rPr>
          <w:rFonts w:ascii="Arial" w:hAnsi="Arial" w:cs="Arial"/>
          <w:sz w:val="22"/>
          <w:szCs w:val="22"/>
        </w:rPr>
        <w:t xml:space="preserve">to waive the requirement for an initial examination if certain criteria, designed to demonstrate the operator’s competence, are met. The NRC disagrees with removing this allowance. This waiver acknowledges that such operators have already demonstrated the capability of operating the plant safely and </w:t>
      </w:r>
      <w:r w:rsidR="001A2094">
        <w:rPr>
          <w:rFonts w:ascii="Arial" w:hAnsi="Arial" w:cs="Arial"/>
          <w:sz w:val="22"/>
          <w:szCs w:val="22"/>
        </w:rPr>
        <w:t>can have the</w:t>
      </w:r>
      <w:r w:rsidRPr="00E45BC7">
        <w:rPr>
          <w:rFonts w:ascii="Arial" w:hAnsi="Arial" w:cs="Arial"/>
          <w:sz w:val="22"/>
          <w:szCs w:val="22"/>
        </w:rPr>
        <w:t xml:space="preserve"> require</w:t>
      </w:r>
      <w:r w:rsidR="001A2094">
        <w:rPr>
          <w:rFonts w:ascii="Arial" w:hAnsi="Arial" w:cs="Arial"/>
          <w:sz w:val="22"/>
          <w:szCs w:val="22"/>
        </w:rPr>
        <w:t>ment</w:t>
      </w:r>
      <w:r w:rsidRPr="00E45BC7">
        <w:rPr>
          <w:rFonts w:ascii="Arial" w:hAnsi="Arial" w:cs="Arial"/>
          <w:sz w:val="22"/>
          <w:szCs w:val="22"/>
        </w:rPr>
        <w:t xml:space="preserve"> to take another examination</w:t>
      </w:r>
      <w:r w:rsidR="001A2094">
        <w:rPr>
          <w:rFonts w:ascii="Arial" w:hAnsi="Arial" w:cs="Arial"/>
          <w:sz w:val="22"/>
          <w:szCs w:val="22"/>
        </w:rPr>
        <w:t xml:space="preserve"> waived</w:t>
      </w:r>
      <w:r w:rsidRPr="00E45BC7">
        <w:rPr>
          <w:rFonts w:ascii="Arial" w:hAnsi="Arial" w:cs="Arial"/>
          <w:sz w:val="22"/>
          <w:szCs w:val="22"/>
        </w:rPr>
        <w:t>.</w:t>
      </w:r>
    </w:p>
    <w:p w:rsidR="007F112A" w:rsidP="00E45BC7" w14:paraId="0C9D521D"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this comment</w:t>
      </w:r>
      <w:r w:rsidRPr="00E45BC7" w:rsidR="00D258F8">
        <w:rPr>
          <w:rFonts w:ascii="Arial" w:hAnsi="Arial" w:cs="Arial"/>
          <w:sz w:val="22"/>
          <w:szCs w:val="22"/>
        </w:rPr>
        <w:t>.</w:t>
      </w:r>
    </w:p>
    <w:p w:rsidR="007F112A" w:rsidRPr="00E45BC7" w:rsidP="00E45BC7" w14:paraId="0A63D724"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82" style="width:0;height:1.5pt" o:hralign="center" o:hrstd="t" o:hrnoshade="t" o:hr="t" fillcolor="black" stroked="f"/>
        </w:pict>
      </w:r>
    </w:p>
    <w:p w:rsidR="00C47565" w:rsidRPr="00E45BC7" w:rsidP="00E45BC7" w14:paraId="334137D1"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P</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 NRC has taken a risk-informed approach in the development of GLROs but added that the requirements of 10</w:t>
      </w:r>
      <w:r w:rsidRPr="00E45BC7" w:rsidR="00B7360C">
        <w:rPr>
          <w:rFonts w:ascii="Arial" w:hAnsi="Arial" w:cs="Arial"/>
          <w:sz w:val="22"/>
          <w:szCs w:val="22"/>
        </w:rPr>
        <w:t> </w:t>
      </w:r>
      <w:r w:rsidRPr="00E45BC7">
        <w:rPr>
          <w:rFonts w:ascii="Arial" w:hAnsi="Arial" w:cs="Arial"/>
          <w:sz w:val="22"/>
          <w:szCs w:val="22"/>
        </w:rPr>
        <w:t>CFR</w:t>
      </w:r>
      <w:r w:rsidRPr="00E45BC7" w:rsidR="00B7360C">
        <w:rPr>
          <w:rFonts w:ascii="Arial" w:hAnsi="Arial" w:cs="Arial"/>
          <w:sz w:val="22"/>
          <w:szCs w:val="22"/>
        </w:rPr>
        <w:t> </w:t>
      </w:r>
      <w:r w:rsidRPr="00E45BC7">
        <w:rPr>
          <w:rFonts w:ascii="Arial" w:hAnsi="Arial" w:cs="Arial"/>
          <w:sz w:val="22"/>
          <w:szCs w:val="22"/>
        </w:rPr>
        <w:t>53.815 do not take full advantage of the enhanced safety benefits of self</w:t>
      </w:r>
      <w:r w:rsidRPr="00E45BC7" w:rsidR="00B7360C">
        <w:rPr>
          <w:rFonts w:ascii="Arial" w:hAnsi="Arial" w:cs="Arial"/>
          <w:sz w:val="22"/>
          <w:szCs w:val="22"/>
        </w:rPr>
        <w:noBreakHyphen/>
      </w:r>
      <w:r w:rsidRPr="00E45BC7">
        <w:rPr>
          <w:rFonts w:ascii="Arial" w:hAnsi="Arial" w:cs="Arial"/>
          <w:sz w:val="22"/>
          <w:szCs w:val="22"/>
        </w:rPr>
        <w:t>reliant-mitigation facilities. The commenter explained that since no safety functions for a self</w:t>
      </w:r>
      <w:r w:rsidRPr="00E45BC7">
        <w:rPr>
          <w:rFonts w:ascii="Arial" w:hAnsi="Arial" w:cs="Arial"/>
          <w:sz w:val="22"/>
          <w:szCs w:val="22"/>
        </w:rPr>
        <w:noBreakHyphen/>
        <w:t>reliant</w:t>
      </w:r>
      <w:r w:rsidRPr="00E45BC7">
        <w:rPr>
          <w:rFonts w:ascii="Arial" w:hAnsi="Arial" w:cs="Arial"/>
          <w:sz w:val="22"/>
          <w:szCs w:val="22"/>
        </w:rPr>
        <w:noBreakHyphen/>
        <w:t>mitigation facility are assigned to operator actions, the license requirements imposed by 10 CFR 53.815(e) for plant simulators are overly burdensome for the training and qualification of GLROs. The commenter wrote that the requirements in 10 CFR 53.830 are sufficient to ensure that GLROs are competent and proficient to carry out their duties as specified in 10 CFR 53.805.</w:t>
      </w:r>
    </w:p>
    <w:p w:rsidR="00D24A38" w:rsidRPr="00E45BC7" w:rsidP="00E45BC7" w14:paraId="68071CE6" w14:textId="77777777">
      <w:pPr>
        <w:spacing w:after="220"/>
        <w:rPr>
          <w:rFonts w:ascii="Arial" w:hAnsi="Arial" w:cs="Arial"/>
          <w:sz w:val="22"/>
          <w:szCs w:val="22"/>
        </w:rPr>
      </w:pPr>
      <w:r w:rsidRPr="00E45BC7">
        <w:rPr>
          <w:rFonts w:ascii="Arial" w:hAnsi="Arial" w:cs="Arial"/>
          <w:sz w:val="22"/>
          <w:szCs w:val="22"/>
        </w:rPr>
        <w:t>The commenter recommended that 10 CFR 53.815 be removed from the rule; an additional category of “Generally Licensed Reactor Operators" be added to 10</w:t>
      </w:r>
      <w:r w:rsidRPr="00E45BC7" w:rsidR="00C47565">
        <w:rPr>
          <w:rFonts w:ascii="Arial" w:hAnsi="Arial" w:cs="Arial"/>
          <w:sz w:val="22"/>
          <w:szCs w:val="22"/>
        </w:rPr>
        <w:t> </w:t>
      </w:r>
      <w:r w:rsidRPr="00E45BC7">
        <w:rPr>
          <w:rFonts w:ascii="Arial" w:hAnsi="Arial" w:cs="Arial"/>
          <w:sz w:val="22"/>
          <w:szCs w:val="22"/>
        </w:rPr>
        <w:t>CFR</w:t>
      </w:r>
      <w:r w:rsidRPr="00E45BC7" w:rsidR="00C47565">
        <w:rPr>
          <w:rFonts w:ascii="Arial" w:hAnsi="Arial" w:cs="Arial"/>
          <w:sz w:val="22"/>
          <w:szCs w:val="22"/>
        </w:rPr>
        <w:t> </w:t>
      </w:r>
      <w:r w:rsidRPr="00E45BC7">
        <w:rPr>
          <w:rFonts w:ascii="Arial" w:hAnsi="Arial" w:cs="Arial"/>
          <w:sz w:val="22"/>
          <w:szCs w:val="22"/>
        </w:rPr>
        <w:t>53.830(b); and a paragraph be added to 10</w:t>
      </w:r>
      <w:r w:rsidRPr="00E45BC7" w:rsidR="00D258F8">
        <w:rPr>
          <w:rFonts w:ascii="Arial" w:hAnsi="Arial" w:cs="Arial"/>
          <w:sz w:val="22"/>
          <w:szCs w:val="22"/>
        </w:rPr>
        <w:t> </w:t>
      </w:r>
      <w:r w:rsidRPr="00E45BC7">
        <w:rPr>
          <w:rFonts w:ascii="Arial" w:hAnsi="Arial" w:cs="Arial"/>
          <w:sz w:val="22"/>
          <w:szCs w:val="22"/>
        </w:rPr>
        <w:t>CFR 53.830(d) that identifies specific elements that must be included in the curriculum for GLROs including the topics listed in 89 FR 86940, as well as topics related to job performance requirements listed in 10 CFR 53.805 and 10 CFR 53.810. The commenter noted that this would allow for “continuous qualification” of the GLROs rather than a formal requalification process.</w:t>
      </w:r>
    </w:p>
    <w:p w:rsidR="007F112A" w:rsidRPr="00E45BC7" w:rsidP="00E45BC7" w14:paraId="73ECA3E7"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added it would be useful for the NRC to adopt GLROs and a similar set of graded operator licensing requirements in 10 CFR Part 55 (</w:t>
      </w:r>
      <w:r w:rsidR="00B051F3">
        <w:rPr>
          <w:rFonts w:ascii="Arial" w:hAnsi="Arial" w:cs="Arial"/>
          <w:sz w:val="22"/>
          <w:szCs w:val="22"/>
        </w:rPr>
        <w:t>SHP</w:t>
      </w:r>
      <w:r w:rsidRPr="00E45BC7">
        <w:rPr>
          <w:rFonts w:ascii="Arial" w:hAnsi="Arial" w:cs="Arial"/>
          <w:sz w:val="22"/>
          <w:szCs w:val="22"/>
        </w:rPr>
        <w:t>-0005).</w:t>
      </w:r>
    </w:p>
    <w:p w:rsidR="007F112A" w:rsidRPr="00E45BC7" w:rsidP="00E45BC7" w14:paraId="5858DAE3"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w:t>
      </w:r>
      <w:r w:rsidR="00C02D01">
        <w:rPr>
          <w:rFonts w:ascii="Arial" w:hAnsi="Arial" w:cs="Arial"/>
          <w:sz w:val="22"/>
          <w:szCs w:val="22"/>
        </w:rPr>
        <w:t>e</w:t>
      </w:r>
      <w:r w:rsidRPr="00E45BC7">
        <w:rPr>
          <w:rFonts w:ascii="Arial" w:hAnsi="Arial" w:cs="Arial"/>
          <w:sz w:val="22"/>
          <w:szCs w:val="22"/>
        </w:rPr>
        <w:t xml:space="preserve"> comment.</w:t>
      </w:r>
    </w:p>
    <w:p w:rsidR="007F112A" w:rsidRPr="00E45BC7" w:rsidP="00E45BC7" w14:paraId="63D22DF9" w14:textId="77777777">
      <w:pPr>
        <w:spacing w:after="220"/>
        <w:rPr>
          <w:rFonts w:ascii="Arial" w:hAnsi="Arial" w:cs="Arial"/>
          <w:sz w:val="22"/>
          <w:szCs w:val="22"/>
        </w:rPr>
      </w:pPr>
      <w:r w:rsidRPr="00E45BC7">
        <w:rPr>
          <w:rFonts w:ascii="Arial" w:hAnsi="Arial" w:cs="Arial"/>
          <w:sz w:val="22"/>
          <w:szCs w:val="22"/>
        </w:rPr>
        <w:t xml:space="preserve">The comment states that the GLRO training program can be moved into 10 CFR 53.830 and that this would still allow for initial approval of that training program by the NRC. However, this statement is not accurate as 10 CFR 53.830 has no requirements for Commission approval of the SAT-based training programs. This is one of the reasons why the GLRO programs are separate. Commission approval of the GLRO training program is necessary to ensure uniform conditions for operator licensing as well as to ensure </w:t>
      </w:r>
      <w:r w:rsidRPr="00E45BC7" w:rsidR="00A312F1">
        <w:rPr>
          <w:rFonts w:ascii="Arial" w:hAnsi="Arial" w:cs="Arial"/>
          <w:sz w:val="22"/>
          <w:szCs w:val="22"/>
        </w:rPr>
        <w:t xml:space="preserve">that </w:t>
      </w:r>
      <w:r w:rsidRPr="00E45BC7">
        <w:rPr>
          <w:rFonts w:ascii="Arial" w:hAnsi="Arial" w:cs="Arial"/>
          <w:sz w:val="22"/>
          <w:szCs w:val="22"/>
        </w:rPr>
        <w:t>those conditions are met prior to the license becoming effective.</w:t>
      </w:r>
    </w:p>
    <w:p w:rsidR="007F112A" w:rsidRPr="00E45BC7" w:rsidP="00E45BC7" w14:paraId="113A9ECC" w14:textId="77777777">
      <w:pPr>
        <w:spacing w:after="220"/>
        <w:rPr>
          <w:rFonts w:ascii="Arial" w:hAnsi="Arial" w:cs="Arial"/>
          <w:sz w:val="22"/>
          <w:szCs w:val="22"/>
        </w:rPr>
      </w:pPr>
      <w:r w:rsidRPr="00E45BC7">
        <w:rPr>
          <w:rFonts w:ascii="Arial" w:hAnsi="Arial" w:cs="Arial"/>
          <w:sz w:val="22"/>
          <w:szCs w:val="22"/>
        </w:rPr>
        <w:t xml:space="preserve">Regarding the comment about changes to allow flexibility to propose a “continuous qualification” of GLROs, the current rule language in 10 CFR 53.815 requires that requalification and examination include in a training program developed using a </w:t>
      </w:r>
      <w:r w:rsidR="003B4804">
        <w:rPr>
          <w:rFonts w:ascii="Arial" w:hAnsi="Arial" w:cs="Arial"/>
          <w:sz w:val="22"/>
          <w:szCs w:val="22"/>
        </w:rPr>
        <w:t>SAT</w:t>
      </w:r>
      <w:r w:rsidRPr="00E45BC7">
        <w:rPr>
          <w:rFonts w:ascii="Arial" w:hAnsi="Arial" w:cs="Arial"/>
          <w:sz w:val="22"/>
          <w:szCs w:val="22"/>
        </w:rPr>
        <w:t>. The only use</w:t>
      </w:r>
      <w:r w:rsidR="00E94963">
        <w:rPr>
          <w:rFonts w:ascii="Arial" w:hAnsi="Arial" w:cs="Arial"/>
          <w:sz w:val="22"/>
          <w:szCs w:val="22"/>
        </w:rPr>
        <w:t>s</w:t>
      </w:r>
      <w:r w:rsidRPr="00E45BC7">
        <w:rPr>
          <w:rFonts w:ascii="Arial" w:hAnsi="Arial" w:cs="Arial"/>
          <w:sz w:val="22"/>
          <w:szCs w:val="22"/>
        </w:rPr>
        <w:t xml:space="preserve"> of the term “periodicity” within 10 CFR 53.815 are as follows:</w:t>
      </w:r>
    </w:p>
    <w:p w:rsidR="007F112A" w:rsidRPr="00E45BC7" w:rsidP="00455E55" w14:paraId="10EABCD2" w14:textId="77777777">
      <w:pPr>
        <w:pStyle w:val="ListParagraph"/>
        <w:numPr>
          <w:ilvl w:val="0"/>
          <w:numId w:val="28"/>
        </w:numPr>
        <w:spacing w:after="220"/>
        <w:contextualSpacing w:val="0"/>
        <w:rPr>
          <w:rFonts w:ascii="Arial" w:hAnsi="Arial" w:cs="Arial"/>
          <w:sz w:val="22"/>
          <w:szCs w:val="22"/>
        </w:rPr>
      </w:pPr>
      <w:r w:rsidRPr="00E45BC7">
        <w:rPr>
          <w:rFonts w:ascii="Arial" w:hAnsi="Arial" w:cs="Arial"/>
          <w:sz w:val="22"/>
          <w:szCs w:val="22"/>
        </w:rPr>
        <w:t>10 CFR 53.815(b)(3)(i): The facility licensee must periodically evaluate and revise the training program, and management must periodically review the training program for effectiveness</w:t>
      </w:r>
    </w:p>
    <w:p w:rsidR="007F112A" w:rsidRPr="00E45BC7" w:rsidP="00455E55" w14:paraId="185A8D6C" w14:textId="77777777">
      <w:pPr>
        <w:pStyle w:val="ListParagraph"/>
        <w:numPr>
          <w:ilvl w:val="0"/>
          <w:numId w:val="28"/>
        </w:numPr>
        <w:spacing w:after="220"/>
        <w:contextualSpacing w:val="0"/>
        <w:rPr>
          <w:rFonts w:ascii="Arial" w:hAnsi="Arial" w:cs="Arial"/>
          <w:sz w:val="22"/>
          <w:szCs w:val="22"/>
        </w:rPr>
      </w:pPr>
      <w:r w:rsidRPr="00E45BC7">
        <w:rPr>
          <w:rFonts w:ascii="Arial" w:hAnsi="Arial" w:cs="Arial"/>
          <w:sz w:val="22"/>
          <w:szCs w:val="22"/>
        </w:rPr>
        <w:t>10 CFR 53.815(b)(3)(v): The requalification examination program must specify an appropriate periodicity</w:t>
      </w:r>
    </w:p>
    <w:p w:rsidR="007F112A" w:rsidRPr="00E45BC7" w:rsidP="00E45BC7" w14:paraId="64F0267F" w14:textId="77777777">
      <w:pPr>
        <w:spacing w:after="220"/>
        <w:rPr>
          <w:rFonts w:ascii="Arial" w:hAnsi="Arial" w:cs="Arial"/>
          <w:sz w:val="22"/>
          <w:szCs w:val="22"/>
        </w:rPr>
      </w:pPr>
      <w:r w:rsidRPr="00E45BC7">
        <w:rPr>
          <w:rFonts w:ascii="Arial" w:hAnsi="Arial" w:cs="Arial"/>
          <w:sz w:val="22"/>
          <w:szCs w:val="22"/>
        </w:rPr>
        <w:t xml:space="preserve">The rule language does not specify a periodicity for the requalification program itself. This could allow for continuous </w:t>
      </w:r>
      <w:r w:rsidRPr="00E45BC7" w:rsidR="008262A7">
        <w:rPr>
          <w:rFonts w:ascii="Arial" w:hAnsi="Arial" w:cs="Arial"/>
          <w:sz w:val="22"/>
          <w:szCs w:val="22"/>
        </w:rPr>
        <w:t>re</w:t>
      </w:r>
      <w:r w:rsidRPr="00E45BC7">
        <w:rPr>
          <w:rFonts w:ascii="Arial" w:hAnsi="Arial" w:cs="Arial"/>
          <w:sz w:val="22"/>
          <w:szCs w:val="22"/>
        </w:rPr>
        <w:t xml:space="preserve">qualification; however, the NRC sees a need to verify GLROs’ qualification periodically via an examination that demonstrates </w:t>
      </w:r>
      <w:r w:rsidRPr="00E45BC7" w:rsidR="00296A5E">
        <w:rPr>
          <w:rFonts w:ascii="Arial" w:hAnsi="Arial" w:cs="Arial"/>
          <w:sz w:val="22"/>
          <w:szCs w:val="22"/>
        </w:rPr>
        <w:t xml:space="preserve">that </w:t>
      </w:r>
      <w:r w:rsidRPr="00E45BC7">
        <w:rPr>
          <w:rFonts w:ascii="Arial" w:hAnsi="Arial" w:cs="Arial"/>
          <w:sz w:val="22"/>
          <w:szCs w:val="22"/>
        </w:rPr>
        <w:t>the GLROs are maintaining the knowledge necessary to meet the requirements for their license. The NRC leaves it to the facility licensee to propose the appropriate periodicity for those examinations.</w:t>
      </w:r>
    </w:p>
    <w:p w:rsidR="007F112A" w:rsidRPr="00E45BC7" w:rsidP="00E45BC7" w14:paraId="6C01D42A" w14:textId="77777777">
      <w:pPr>
        <w:spacing w:after="220"/>
        <w:rPr>
          <w:rFonts w:ascii="Arial" w:hAnsi="Arial" w:cs="Arial"/>
          <w:sz w:val="22"/>
          <w:szCs w:val="22"/>
        </w:rPr>
      </w:pPr>
      <w:r w:rsidRPr="00E45BC7">
        <w:rPr>
          <w:rFonts w:ascii="Arial" w:hAnsi="Arial" w:cs="Arial"/>
          <w:sz w:val="22"/>
          <w:szCs w:val="22"/>
        </w:rPr>
        <w:t xml:space="preserve">Including 10 CFR Part 53 provisions in 10 CFR Part 55 is out of scope </w:t>
      </w:r>
      <w:r w:rsidRPr="00E45BC7" w:rsidR="00F8645B">
        <w:rPr>
          <w:rFonts w:ascii="Arial" w:hAnsi="Arial" w:cs="Arial"/>
          <w:sz w:val="22"/>
          <w:szCs w:val="22"/>
        </w:rPr>
        <w:t>of</w:t>
      </w:r>
      <w:r w:rsidRPr="00E45BC7">
        <w:rPr>
          <w:rFonts w:ascii="Arial" w:hAnsi="Arial" w:cs="Arial"/>
          <w:sz w:val="22"/>
          <w:szCs w:val="22"/>
        </w:rPr>
        <w:t xml:space="preserve"> this rulemaking.</w:t>
      </w:r>
    </w:p>
    <w:p w:rsidR="007F112A" w:rsidP="00E45BC7" w14:paraId="1D353D08" w14:textId="77777777">
      <w:pPr>
        <w:spacing w:after="220"/>
        <w:rPr>
          <w:rFonts w:ascii="Arial" w:eastAsia="Times New Roman" w:hAnsi="Arial" w:cs="Arial"/>
          <w:sz w:val="22"/>
          <w:szCs w:val="22"/>
          <w:lang w:eastAsia="zh-CN"/>
        </w:rPr>
      </w:pPr>
      <w:r w:rsidRPr="00E45BC7">
        <w:rPr>
          <w:rFonts w:ascii="Arial" w:hAnsi="Arial" w:cs="Arial"/>
          <w:sz w:val="22"/>
          <w:szCs w:val="22"/>
        </w:rPr>
        <w:t>Accordingly, the NRC did not change the rule language in response to this comment</w:t>
      </w:r>
      <w:r w:rsidRPr="00E45BC7" w:rsidR="00EA4C04">
        <w:rPr>
          <w:rFonts w:ascii="Arial" w:hAnsi="Arial" w:cs="Arial"/>
          <w:sz w:val="22"/>
          <w:szCs w:val="22"/>
        </w:rPr>
        <w:t>.</w:t>
      </w:r>
    </w:p>
    <w:p w:rsidR="00E45BC7" w:rsidRPr="00E45BC7" w:rsidP="00E45BC7" w14:paraId="1E73136E"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3" style="width:0;height:1.5pt" o:hralign="center" o:hrstd="t" o:hrnoshade="t" o:hr="t" fillcolor="black" stroked="f"/>
        </w:pict>
      </w:r>
    </w:p>
    <w:p w:rsidR="007F112A" w:rsidRPr="00E45BC7" w:rsidP="00E45BC7" w14:paraId="3FBD2D4A"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Q</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as presently worded, 10</w:t>
      </w:r>
      <w:r w:rsidRPr="00E45BC7" w:rsidR="004B5C19">
        <w:rPr>
          <w:rFonts w:ascii="Arial" w:hAnsi="Arial" w:cs="Arial"/>
          <w:sz w:val="22"/>
          <w:szCs w:val="22"/>
        </w:rPr>
        <w:t> </w:t>
      </w:r>
      <w:r w:rsidRPr="00E45BC7">
        <w:rPr>
          <w:rFonts w:ascii="Arial" w:hAnsi="Arial" w:cs="Arial"/>
          <w:sz w:val="22"/>
          <w:szCs w:val="22"/>
        </w:rPr>
        <w:t>CFR</w:t>
      </w:r>
      <w:r w:rsidRPr="00E45BC7" w:rsidR="004B5C19">
        <w:rPr>
          <w:rFonts w:ascii="Arial" w:hAnsi="Arial" w:cs="Arial"/>
          <w:sz w:val="22"/>
          <w:szCs w:val="22"/>
        </w:rPr>
        <w:t> </w:t>
      </w:r>
      <w:r w:rsidRPr="00E45BC7">
        <w:rPr>
          <w:rFonts w:ascii="Arial" w:hAnsi="Arial" w:cs="Arial"/>
          <w:sz w:val="22"/>
          <w:szCs w:val="22"/>
        </w:rPr>
        <w:t>53.800(a)(5) appears to imply that the entirety of the multi-layered defense-in-depth scheme would need to be independent of human action, which is “excessive and likely impractical to achieve.” Additionally, the commenter stated this is not needed as 10 CFR 53.250(c) clarifies that the entirety of the defense-in-depth scheme needs to not be based on a single feature or barrier. Given this, the commenter suggested revising 10 CFR 53.800(a)(5) to read, “[t]he plant design must, for each safety function, provide for at least one layer of defense-in-depth that is independent from credited human action” (</w:t>
      </w:r>
      <w:r w:rsidR="007A704D">
        <w:rPr>
          <w:rFonts w:ascii="Arial" w:hAnsi="Arial" w:cs="Arial"/>
          <w:sz w:val="22"/>
          <w:szCs w:val="22"/>
        </w:rPr>
        <w:t>JSE</w:t>
      </w:r>
      <w:r w:rsidRPr="00E45BC7">
        <w:rPr>
          <w:rFonts w:ascii="Arial" w:hAnsi="Arial" w:cs="Arial"/>
          <w:sz w:val="22"/>
          <w:szCs w:val="22"/>
        </w:rPr>
        <w:noBreakHyphen/>
        <w:t>0001).</w:t>
      </w:r>
    </w:p>
    <w:p w:rsidR="007F112A" w:rsidRPr="00E45BC7" w:rsidP="00E45BC7" w14:paraId="577F50E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agrees</w:t>
      </w:r>
      <w:r w:rsidRPr="00E45BC7" w:rsidR="00AD7125">
        <w:rPr>
          <w:rFonts w:ascii="Arial" w:hAnsi="Arial" w:cs="Arial"/>
          <w:sz w:val="22"/>
          <w:szCs w:val="22"/>
        </w:rPr>
        <w:t>, in part,</w:t>
      </w:r>
      <w:r w:rsidRPr="00E45BC7">
        <w:rPr>
          <w:rFonts w:ascii="Arial" w:hAnsi="Arial" w:cs="Arial"/>
          <w:sz w:val="22"/>
          <w:szCs w:val="22"/>
        </w:rPr>
        <w:t xml:space="preserve"> with th</w:t>
      </w:r>
      <w:r w:rsidR="00C02D01">
        <w:rPr>
          <w:rFonts w:ascii="Arial" w:hAnsi="Arial" w:cs="Arial"/>
          <w:sz w:val="22"/>
          <w:szCs w:val="22"/>
        </w:rPr>
        <w:t>e</w:t>
      </w:r>
      <w:r w:rsidRPr="00E45BC7">
        <w:rPr>
          <w:rFonts w:ascii="Arial" w:hAnsi="Arial" w:cs="Arial"/>
          <w:sz w:val="22"/>
          <w:szCs w:val="22"/>
        </w:rPr>
        <w:t xml:space="preserve"> comment.</w:t>
      </w:r>
    </w:p>
    <w:p w:rsidR="007F112A" w:rsidRPr="00E45BC7" w:rsidP="00E45BC7" w14:paraId="4A500377" w14:textId="77777777">
      <w:pPr>
        <w:spacing w:after="220"/>
        <w:rPr>
          <w:rFonts w:ascii="Arial" w:hAnsi="Arial" w:cs="Arial"/>
          <w:sz w:val="22"/>
          <w:szCs w:val="22"/>
        </w:rPr>
      </w:pPr>
      <w:r w:rsidRPr="00E45BC7">
        <w:rPr>
          <w:rFonts w:ascii="Arial" w:hAnsi="Arial" w:cs="Arial"/>
          <w:sz w:val="22"/>
          <w:szCs w:val="22"/>
        </w:rPr>
        <w:t>As stated in the proposed and final rule</w:t>
      </w:r>
      <w:r w:rsidRPr="00E45BC7" w:rsidR="00296A5E">
        <w:rPr>
          <w:rFonts w:ascii="Arial" w:hAnsi="Arial" w:cs="Arial"/>
          <w:sz w:val="22"/>
          <w:szCs w:val="22"/>
        </w:rPr>
        <w:t>s</w:t>
      </w:r>
      <w:r w:rsidRPr="00E45BC7">
        <w:rPr>
          <w:rFonts w:ascii="Arial" w:hAnsi="Arial" w:cs="Arial"/>
          <w:sz w:val="22"/>
          <w:szCs w:val="22"/>
        </w:rPr>
        <w:t xml:space="preserve">, the intent of the criterion described in 10 CFR 53.800(a)(5) is to require “adequate defense in depth achieved without reliance on human action.” The NRC agrees that adequate defense in depth does not require that the entirety of the defense-in-depth scheme (for example, all layers of defense-in-depth) be independent of human action. </w:t>
      </w:r>
      <w:r w:rsidRPr="00E45BC7" w:rsidR="002063ED">
        <w:rPr>
          <w:rFonts w:ascii="Arial" w:hAnsi="Arial" w:cs="Arial"/>
          <w:sz w:val="22"/>
          <w:szCs w:val="22"/>
        </w:rPr>
        <w:t xml:space="preserve">The NRC does not wish to discourage possible contributors to </w:t>
      </w:r>
      <w:r w:rsidRPr="00E45BC7" w:rsidR="00AD7125">
        <w:rPr>
          <w:rFonts w:ascii="Arial" w:hAnsi="Arial" w:cs="Arial"/>
          <w:sz w:val="22"/>
          <w:szCs w:val="22"/>
        </w:rPr>
        <w:t>defense</w:t>
      </w:r>
      <w:r w:rsidRPr="00E45BC7" w:rsidR="006909C4">
        <w:rPr>
          <w:rFonts w:ascii="Arial" w:hAnsi="Arial" w:cs="Arial"/>
          <w:sz w:val="22"/>
          <w:szCs w:val="22"/>
        </w:rPr>
        <w:t>-</w:t>
      </w:r>
      <w:r w:rsidRPr="00E45BC7" w:rsidR="00AD7125">
        <w:rPr>
          <w:rFonts w:ascii="Arial" w:hAnsi="Arial" w:cs="Arial"/>
          <w:sz w:val="22"/>
          <w:szCs w:val="22"/>
        </w:rPr>
        <w:t>in</w:t>
      </w:r>
      <w:r w:rsidRPr="00E45BC7" w:rsidR="006909C4">
        <w:rPr>
          <w:rFonts w:ascii="Arial" w:hAnsi="Arial" w:cs="Arial"/>
          <w:sz w:val="22"/>
          <w:szCs w:val="22"/>
        </w:rPr>
        <w:t>-</w:t>
      </w:r>
      <w:r w:rsidRPr="00E45BC7" w:rsidR="00AD7125">
        <w:rPr>
          <w:rFonts w:ascii="Arial" w:hAnsi="Arial" w:cs="Arial"/>
          <w:sz w:val="22"/>
          <w:szCs w:val="22"/>
        </w:rPr>
        <w:t xml:space="preserve">depth </w:t>
      </w:r>
      <w:r w:rsidRPr="00E45BC7" w:rsidR="002063ED">
        <w:rPr>
          <w:rFonts w:ascii="Arial" w:hAnsi="Arial" w:cs="Arial"/>
          <w:sz w:val="22"/>
          <w:szCs w:val="22"/>
        </w:rPr>
        <w:t xml:space="preserve">that might be provided by a GLRO at a self-reliant mitigation facility. Also, </w:t>
      </w:r>
      <w:r w:rsidRPr="00E45BC7" w:rsidR="00725580">
        <w:rPr>
          <w:rFonts w:ascii="Arial" w:hAnsi="Arial" w:cs="Arial"/>
          <w:sz w:val="22"/>
          <w:szCs w:val="22"/>
        </w:rPr>
        <w:t>10</w:t>
      </w:r>
      <w:r w:rsidR="00DA0621">
        <w:rPr>
          <w:rFonts w:ascii="Arial" w:hAnsi="Arial" w:cs="Arial"/>
          <w:sz w:val="22"/>
          <w:szCs w:val="22"/>
        </w:rPr>
        <w:t> </w:t>
      </w:r>
      <w:r w:rsidRPr="00E45BC7" w:rsidR="00725580">
        <w:rPr>
          <w:rFonts w:ascii="Arial" w:hAnsi="Arial" w:cs="Arial"/>
          <w:sz w:val="22"/>
          <w:szCs w:val="22"/>
        </w:rPr>
        <w:t xml:space="preserve">CFR 53.250 does not require a </w:t>
      </w:r>
      <w:r w:rsidR="00FE7FC8">
        <w:rPr>
          <w:rFonts w:ascii="Arial" w:hAnsi="Arial" w:cs="Arial"/>
          <w:sz w:val="22"/>
          <w:szCs w:val="22"/>
        </w:rPr>
        <w:t>specific</w:t>
      </w:r>
      <w:r w:rsidRPr="00E45BC7" w:rsidR="00725580">
        <w:rPr>
          <w:rFonts w:ascii="Arial" w:hAnsi="Arial" w:cs="Arial"/>
          <w:sz w:val="22"/>
          <w:szCs w:val="22"/>
        </w:rPr>
        <w:t xml:space="preserve"> defense-in-depth approach</w:t>
      </w:r>
      <w:r w:rsidR="00610C5D">
        <w:rPr>
          <w:rFonts w:ascii="Arial" w:hAnsi="Arial" w:cs="Arial"/>
          <w:sz w:val="22"/>
          <w:szCs w:val="22"/>
        </w:rPr>
        <w:t>,</w:t>
      </w:r>
      <w:r w:rsidRPr="00E45BC7" w:rsidR="00725580">
        <w:rPr>
          <w:rFonts w:ascii="Arial" w:hAnsi="Arial" w:cs="Arial"/>
          <w:sz w:val="22"/>
          <w:szCs w:val="22"/>
        </w:rPr>
        <w:t xml:space="preserve"> and the NRC does not wish to </w:t>
      </w:r>
      <w:r w:rsidRPr="00E45BC7" w:rsidR="00B145A3">
        <w:rPr>
          <w:rFonts w:ascii="Arial" w:hAnsi="Arial" w:cs="Arial"/>
          <w:sz w:val="22"/>
          <w:szCs w:val="22"/>
        </w:rPr>
        <w:t>unnecessarily restrict the types of defense</w:t>
      </w:r>
      <w:r w:rsidRPr="00E45BC7" w:rsidR="00434CD7">
        <w:rPr>
          <w:rFonts w:ascii="Arial" w:hAnsi="Arial" w:cs="Arial"/>
          <w:sz w:val="22"/>
          <w:szCs w:val="22"/>
        </w:rPr>
        <w:noBreakHyphen/>
      </w:r>
      <w:r w:rsidRPr="00E45BC7" w:rsidR="00B145A3">
        <w:rPr>
          <w:rFonts w:ascii="Arial" w:hAnsi="Arial" w:cs="Arial"/>
          <w:sz w:val="22"/>
          <w:szCs w:val="22"/>
        </w:rPr>
        <w:t>in</w:t>
      </w:r>
      <w:r w:rsidRPr="00E45BC7" w:rsidR="00434CD7">
        <w:rPr>
          <w:rFonts w:ascii="Arial" w:hAnsi="Arial" w:cs="Arial"/>
          <w:sz w:val="22"/>
          <w:szCs w:val="22"/>
        </w:rPr>
        <w:noBreakHyphen/>
      </w:r>
      <w:r w:rsidRPr="00E45BC7" w:rsidR="00B145A3">
        <w:rPr>
          <w:rFonts w:ascii="Arial" w:hAnsi="Arial" w:cs="Arial"/>
          <w:sz w:val="22"/>
          <w:szCs w:val="22"/>
        </w:rPr>
        <w:t xml:space="preserve">depth measures developed </w:t>
      </w:r>
      <w:r w:rsidRPr="00E45BC7" w:rsidR="002C3B0E">
        <w:rPr>
          <w:rFonts w:ascii="Arial" w:hAnsi="Arial" w:cs="Arial"/>
          <w:sz w:val="22"/>
          <w:szCs w:val="22"/>
        </w:rPr>
        <w:t xml:space="preserve">in response to </w:t>
      </w:r>
      <w:r w:rsidRPr="00E45BC7" w:rsidR="00434CD7">
        <w:rPr>
          <w:rFonts w:ascii="Arial" w:hAnsi="Arial" w:cs="Arial"/>
          <w:sz w:val="22"/>
          <w:szCs w:val="22"/>
        </w:rPr>
        <w:t>10 CFR </w:t>
      </w:r>
      <w:r w:rsidRPr="00E45BC7" w:rsidR="002C3B0E">
        <w:rPr>
          <w:rFonts w:ascii="Arial" w:hAnsi="Arial" w:cs="Arial"/>
          <w:sz w:val="22"/>
          <w:szCs w:val="22"/>
        </w:rPr>
        <w:t>53.250 for self</w:t>
      </w:r>
      <w:r w:rsidRPr="00E45BC7" w:rsidR="00434CD7">
        <w:rPr>
          <w:rFonts w:ascii="Arial" w:hAnsi="Arial" w:cs="Arial"/>
          <w:sz w:val="22"/>
          <w:szCs w:val="22"/>
        </w:rPr>
        <w:noBreakHyphen/>
      </w:r>
      <w:r w:rsidRPr="00E45BC7" w:rsidR="002C3B0E">
        <w:rPr>
          <w:rFonts w:ascii="Arial" w:hAnsi="Arial" w:cs="Arial"/>
          <w:sz w:val="22"/>
          <w:szCs w:val="22"/>
        </w:rPr>
        <w:t xml:space="preserve">reliant mitigation facilities. </w:t>
      </w:r>
      <w:r w:rsidRPr="00E45BC7" w:rsidR="00F35DDC">
        <w:rPr>
          <w:rFonts w:ascii="Arial" w:hAnsi="Arial" w:cs="Arial"/>
          <w:sz w:val="22"/>
          <w:szCs w:val="22"/>
        </w:rPr>
        <w:t xml:space="preserve">Therefore, the NRC updated the rule language to ensure that </w:t>
      </w:r>
      <w:r w:rsidRPr="00E45BC7" w:rsidR="00B9119C">
        <w:rPr>
          <w:rFonts w:ascii="Arial" w:hAnsi="Arial" w:cs="Arial"/>
          <w:sz w:val="22"/>
          <w:szCs w:val="22"/>
        </w:rPr>
        <w:t xml:space="preserve">there are no important human actions needed to </w:t>
      </w:r>
      <w:r w:rsidRPr="00E45BC7" w:rsidR="006F6927">
        <w:rPr>
          <w:rFonts w:ascii="Arial" w:hAnsi="Arial" w:cs="Arial"/>
          <w:sz w:val="22"/>
          <w:szCs w:val="22"/>
        </w:rPr>
        <w:t>meet the requirements of 10 CFR 53.250.</w:t>
      </w:r>
    </w:p>
    <w:p w:rsidR="007F112A" w:rsidRPr="00E45BC7" w:rsidP="00E45BC7" w14:paraId="7AA1B9A1"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4" style="width:0;height:1.5pt" o:hralign="center" o:hrstd="t" o:hrnoshade="t" o:hr="t" fillcolor="black" stroked="f"/>
        </w:pict>
      </w:r>
    </w:p>
    <w:p w:rsidR="007F112A" w:rsidRPr="00E45BC7" w:rsidP="00E45BC7" w14:paraId="295B47AE"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R</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 xml:space="preserve">A commenter said that 10 CFR 53.805(a)(1) is a prescriptive requirement and GLRO training programs are already required to be developed using a </w:t>
      </w:r>
      <w:r w:rsidR="007557FA">
        <w:rPr>
          <w:rFonts w:ascii="Arial" w:hAnsi="Arial" w:cs="Arial"/>
          <w:sz w:val="22"/>
          <w:szCs w:val="22"/>
        </w:rPr>
        <w:t>SAT</w:t>
      </w:r>
      <w:r w:rsidRPr="00E45BC7">
        <w:rPr>
          <w:rFonts w:ascii="Arial" w:hAnsi="Arial" w:cs="Arial"/>
          <w:sz w:val="22"/>
          <w:szCs w:val="22"/>
        </w:rPr>
        <w:t xml:space="preserve"> in accordance with 10 CFR 53.815 and 53.805(3). The commenter recommended that </w:t>
      </w:r>
      <w:r w:rsidRPr="00E45BC7" w:rsidR="0092594F">
        <w:rPr>
          <w:rFonts w:ascii="Arial" w:hAnsi="Arial" w:cs="Arial"/>
          <w:sz w:val="22"/>
          <w:szCs w:val="22"/>
        </w:rPr>
        <w:t>the</w:t>
      </w:r>
      <w:r w:rsidRPr="00E45BC7">
        <w:rPr>
          <w:rFonts w:ascii="Arial" w:hAnsi="Arial" w:cs="Arial"/>
          <w:sz w:val="22"/>
          <w:szCs w:val="22"/>
        </w:rPr>
        <w:t xml:space="preserve"> NRC remove the requirement (</w:t>
      </w:r>
      <w:r w:rsidR="009D6BB9">
        <w:rPr>
          <w:rFonts w:ascii="Arial" w:hAnsi="Arial" w:cs="Arial"/>
          <w:sz w:val="22"/>
          <w:szCs w:val="22"/>
        </w:rPr>
        <w:t>NEI2</w:t>
      </w:r>
      <w:r w:rsidRPr="00E45BC7">
        <w:rPr>
          <w:rFonts w:ascii="Arial" w:hAnsi="Arial" w:cs="Arial"/>
          <w:sz w:val="22"/>
          <w:szCs w:val="22"/>
        </w:rPr>
        <w:t>-0095).</w:t>
      </w:r>
    </w:p>
    <w:p w:rsidR="007F112A" w:rsidRPr="00E45BC7" w:rsidP="00E45BC7" w14:paraId="2DD9B128" w14:textId="77777777">
      <w:pPr>
        <w:spacing w:after="220"/>
        <w:rPr>
          <w:rFonts w:ascii="Arial" w:hAnsi="Arial" w:cs="Arial"/>
          <w:sz w:val="22"/>
          <w:szCs w:val="22"/>
        </w:rPr>
      </w:pPr>
      <w:r w:rsidRPr="00E45BC7">
        <w:rPr>
          <w:rFonts w:ascii="Arial" w:hAnsi="Arial" w:cs="Arial"/>
          <w:sz w:val="22"/>
          <w:szCs w:val="22"/>
        </w:rPr>
        <w:t xml:space="preserve">The commenter asked if the phrase “these requirements” in 10 CFR 53.805(a)(2) is referring to just (a)(1) or all of 10 CFR 53.805. The commenter recommended that </w:t>
      </w:r>
      <w:r w:rsidRPr="00E45BC7" w:rsidR="0092594F">
        <w:rPr>
          <w:rFonts w:ascii="Arial" w:hAnsi="Arial" w:cs="Arial"/>
          <w:sz w:val="22"/>
          <w:szCs w:val="22"/>
        </w:rPr>
        <w:t xml:space="preserve">the </w:t>
      </w:r>
      <w:r w:rsidRPr="00E45BC7">
        <w:rPr>
          <w:rFonts w:ascii="Arial" w:hAnsi="Arial" w:cs="Arial"/>
          <w:sz w:val="22"/>
          <w:szCs w:val="22"/>
        </w:rPr>
        <w:t>NRC update to more specific implementation of 10 CFR 53.800 requirements or words to that effect (</w:t>
      </w:r>
      <w:r w:rsidR="009D6BB9">
        <w:rPr>
          <w:rFonts w:ascii="Arial" w:hAnsi="Arial" w:cs="Arial"/>
          <w:sz w:val="22"/>
          <w:szCs w:val="22"/>
        </w:rPr>
        <w:t>NEI2</w:t>
      </w:r>
      <w:r w:rsidRPr="00E45BC7">
        <w:rPr>
          <w:rFonts w:ascii="Arial" w:hAnsi="Arial" w:cs="Arial"/>
          <w:sz w:val="22"/>
          <w:szCs w:val="22"/>
        </w:rPr>
        <w:t>-0096).</w:t>
      </w:r>
    </w:p>
    <w:p w:rsidR="007F112A" w:rsidRPr="00E45BC7" w:rsidP="00E45BC7" w14:paraId="136E284C" w14:textId="77777777">
      <w:pPr>
        <w:spacing w:after="220"/>
        <w:rPr>
          <w:rFonts w:ascii="Arial" w:hAnsi="Arial" w:cs="Arial"/>
          <w:sz w:val="22"/>
          <w:szCs w:val="22"/>
        </w:rPr>
      </w:pPr>
      <w:r w:rsidRPr="00E45BC7">
        <w:rPr>
          <w:rFonts w:ascii="Arial" w:hAnsi="Arial" w:cs="Arial"/>
          <w:sz w:val="22"/>
          <w:szCs w:val="22"/>
        </w:rPr>
        <w:t>The commenter stated that the requirement in 10 CFR 53.805(a)(5) to report annually to the NRC the identity of all GLROs at the commercial plant should either be removed or rephrased to be more flexible and less burdensome. The commenter said that one option is to have this information available for inspection as opposed to an annual report (</w:t>
      </w:r>
      <w:r w:rsidR="009D6BB9">
        <w:rPr>
          <w:rFonts w:ascii="Arial" w:hAnsi="Arial" w:cs="Arial"/>
          <w:sz w:val="22"/>
          <w:szCs w:val="22"/>
        </w:rPr>
        <w:t>NEI2</w:t>
      </w:r>
      <w:r w:rsidRPr="00E45BC7">
        <w:rPr>
          <w:rFonts w:ascii="Arial" w:hAnsi="Arial" w:cs="Arial"/>
          <w:sz w:val="22"/>
          <w:szCs w:val="22"/>
        </w:rPr>
        <w:t>-0097).</w:t>
      </w:r>
    </w:p>
    <w:p w:rsidR="007F112A" w:rsidRPr="00E45BC7" w:rsidP="00E45BC7" w14:paraId="040C9A25"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Finally, the commenter said that the requirement in 10 CFR 53.805(a)(6) is already ensured by 10 CFR 53.1550 so this requirement should be removed (</w:t>
      </w:r>
      <w:r w:rsidR="009D6BB9">
        <w:rPr>
          <w:rFonts w:ascii="Arial" w:hAnsi="Arial" w:cs="Arial"/>
          <w:sz w:val="22"/>
          <w:szCs w:val="22"/>
        </w:rPr>
        <w:t>NEI2</w:t>
      </w:r>
      <w:r w:rsidRPr="00E45BC7">
        <w:rPr>
          <w:rFonts w:ascii="Arial" w:hAnsi="Arial" w:cs="Arial"/>
          <w:sz w:val="22"/>
          <w:szCs w:val="22"/>
        </w:rPr>
        <w:t>-0098). </w:t>
      </w:r>
    </w:p>
    <w:p w:rsidR="00FF04A3" w:rsidRPr="00E45BC7" w:rsidP="00E45BC7" w14:paraId="72822932" w14:textId="77777777">
      <w:pPr>
        <w:spacing w:after="220"/>
        <w:rPr>
          <w:rFonts w:ascii="Arial" w:eastAsia="DengXian"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The NRC agrees, in part, with the comments.</w:t>
      </w:r>
    </w:p>
    <w:p w:rsidR="007F112A" w:rsidRPr="00E45BC7" w:rsidP="00E45BC7" w14:paraId="0673665E" w14:textId="77777777">
      <w:pPr>
        <w:spacing w:after="220"/>
        <w:rPr>
          <w:rFonts w:ascii="Arial" w:hAnsi="Arial" w:cs="Arial"/>
          <w:sz w:val="22"/>
          <w:szCs w:val="22"/>
        </w:rPr>
      </w:pPr>
      <w:r w:rsidRPr="00E45BC7">
        <w:rPr>
          <w:rFonts w:ascii="Arial" w:hAnsi="Arial" w:cs="Arial"/>
          <w:sz w:val="22"/>
          <w:szCs w:val="22"/>
        </w:rPr>
        <w:t>The NRC disagrees with remov</w:t>
      </w:r>
      <w:r w:rsidRPr="00E45BC7" w:rsidR="00BC294E">
        <w:rPr>
          <w:rFonts w:ascii="Arial" w:hAnsi="Arial" w:cs="Arial"/>
          <w:sz w:val="22"/>
          <w:szCs w:val="22"/>
        </w:rPr>
        <w:t>ing</w:t>
      </w:r>
      <w:r w:rsidRPr="00E45BC7">
        <w:rPr>
          <w:rFonts w:ascii="Arial" w:hAnsi="Arial" w:cs="Arial"/>
          <w:sz w:val="22"/>
          <w:szCs w:val="22"/>
        </w:rPr>
        <w:t xml:space="preserve"> the requirements in 10 CFR 53.805(a)(1). The requirements in 10 CFR 53.805(a)(1) are a list of requirements that must be met that are in addition to the requirements that must be met in 10 CFR 53.815. The requirements in 10 CFR 53.815 pertain to the requirements for GLRO training, examination, and proficiency programs whereas the requirements in 10</w:t>
      </w:r>
      <w:r w:rsidRPr="00E45BC7" w:rsidR="00BC294E">
        <w:rPr>
          <w:rFonts w:ascii="Arial" w:hAnsi="Arial" w:cs="Arial"/>
          <w:sz w:val="22"/>
          <w:szCs w:val="22"/>
        </w:rPr>
        <w:t> </w:t>
      </w:r>
      <w:r w:rsidRPr="00E45BC7">
        <w:rPr>
          <w:rFonts w:ascii="Arial" w:hAnsi="Arial" w:cs="Arial"/>
          <w:sz w:val="22"/>
          <w:szCs w:val="22"/>
        </w:rPr>
        <w:t>CFR</w:t>
      </w:r>
      <w:r w:rsidRPr="00E45BC7" w:rsidR="00D94616">
        <w:rPr>
          <w:rFonts w:ascii="Arial" w:hAnsi="Arial" w:cs="Arial"/>
          <w:sz w:val="22"/>
          <w:szCs w:val="22"/>
        </w:rPr>
        <w:t> </w:t>
      </w:r>
      <w:r w:rsidRPr="00E45BC7">
        <w:rPr>
          <w:rFonts w:ascii="Arial" w:hAnsi="Arial" w:cs="Arial"/>
          <w:sz w:val="22"/>
          <w:szCs w:val="22"/>
        </w:rPr>
        <w:t>53.805(a)(1) and 10 CFR 53.805(a)(3) pertain to the general license requirements for facilities that have GLROs, the tasks that GLROs are expected to execute safely and competently, and the requirement for facilities to develop and maintain their training programs for GLROs. Accordingly, the NRC did not change the rule language in response to this comment.</w:t>
      </w:r>
    </w:p>
    <w:p w:rsidR="007F112A" w:rsidRPr="00E45BC7" w:rsidP="00E45BC7" w14:paraId="142AD9BA" w14:textId="77777777">
      <w:pPr>
        <w:spacing w:after="220"/>
        <w:rPr>
          <w:rFonts w:ascii="Arial" w:hAnsi="Arial" w:cs="Arial"/>
          <w:sz w:val="22"/>
          <w:szCs w:val="22"/>
        </w:rPr>
      </w:pPr>
      <w:r w:rsidRPr="00E45BC7">
        <w:rPr>
          <w:rFonts w:ascii="Arial" w:hAnsi="Arial" w:cs="Arial"/>
          <w:sz w:val="22"/>
          <w:szCs w:val="22"/>
        </w:rPr>
        <w:t>The NRC agrees with clarify</w:t>
      </w:r>
      <w:r w:rsidRPr="00E45BC7" w:rsidR="00BC294E">
        <w:rPr>
          <w:rFonts w:ascii="Arial" w:hAnsi="Arial" w:cs="Arial"/>
          <w:sz w:val="22"/>
          <w:szCs w:val="22"/>
        </w:rPr>
        <w:t>ing</w:t>
      </w:r>
      <w:r w:rsidRPr="00E45BC7">
        <w:rPr>
          <w:rFonts w:ascii="Arial" w:hAnsi="Arial" w:cs="Arial"/>
          <w:sz w:val="22"/>
          <w:szCs w:val="22"/>
        </w:rPr>
        <w:t xml:space="preserve"> the language in 10 CFR 53.805(a)(2). Use of the term “these requirements” is vague and warrants clarification. Accordingly, the NRC modified the language in the rule to reflect what 10 CFR 53.805(a)(2) is referencing.</w:t>
      </w:r>
    </w:p>
    <w:p w:rsidR="007F112A" w:rsidRPr="00E45BC7" w:rsidP="00E45BC7" w14:paraId="4AEF632D" w14:textId="77777777">
      <w:pPr>
        <w:spacing w:after="220"/>
        <w:rPr>
          <w:rFonts w:ascii="Arial" w:hAnsi="Arial" w:cs="Arial"/>
          <w:sz w:val="22"/>
          <w:szCs w:val="22"/>
        </w:rPr>
      </w:pPr>
      <w:r w:rsidRPr="00E45BC7">
        <w:rPr>
          <w:rFonts w:ascii="Arial" w:hAnsi="Arial" w:cs="Arial"/>
          <w:sz w:val="22"/>
          <w:szCs w:val="22"/>
        </w:rPr>
        <w:t>The NRC disagrees with the comment regarding the requirement to report annually to the NRC as stated in 10 CFR 53.805(a)(5). There is less oversight from the NRC at SRMF</w:t>
      </w:r>
      <w:r w:rsidR="00BD558A">
        <w:rPr>
          <w:rFonts w:ascii="Arial" w:hAnsi="Arial" w:cs="Arial"/>
          <w:sz w:val="22"/>
          <w:szCs w:val="22"/>
        </w:rPr>
        <w:t>s</w:t>
      </w:r>
      <w:r w:rsidRPr="00E45BC7">
        <w:rPr>
          <w:rFonts w:ascii="Arial" w:hAnsi="Arial" w:cs="Arial"/>
          <w:sz w:val="22"/>
          <w:szCs w:val="22"/>
        </w:rPr>
        <w:t xml:space="preserve"> because of the reduced safety significance of SRMFs and because of the minimal safety impact that GLROs have at these facilities; however, the NRC still needs to know who holds a GLRO license at these facilities. An annual reporting periodicity was selected to minimize the burden on the facilities but to still provide an accountability of GLROs without the NRC having to perform an onsite inspection. Accordingly, the NRC did not change the rule language in response to this comment.</w:t>
      </w:r>
    </w:p>
    <w:p w:rsidR="007F112A" w:rsidRPr="00E45BC7" w:rsidP="00E45BC7" w14:paraId="5CBC8E70"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NRC disagrees with the comment regarding the requirements in 10 CFR 53.805(a)(6). The requirements in 10 CFR 53.1550 pertain to guidelines for evaluating whether changes to licensing-basis information described in the FSAR would require the facility to obtain a license amendment to implement the change. This is different from 10 CFR 53.805(a)(6), which pertains to whether the design of the facility still meets the requirements to be classified as an SRMF. The former addresses implementing changes to the facility and the latter addresses the overall design of the facility and its adherence to the requirements that enable it to be classified as an SRMF. Accordingly</w:t>
      </w:r>
      <w:r w:rsidRPr="00E45BC7" w:rsidR="00ED72D8">
        <w:rPr>
          <w:rFonts w:ascii="Arial" w:hAnsi="Arial" w:cs="Arial"/>
          <w:sz w:val="22"/>
          <w:szCs w:val="22"/>
        </w:rPr>
        <w:t>, the NRC did not change the rule language in response to this comment.</w:t>
      </w:r>
    </w:p>
    <w:p w:rsidR="007F112A" w:rsidRPr="00E45BC7" w:rsidP="00E45BC7" w14:paraId="48B13767" w14:textId="77777777">
      <w:pPr>
        <w:spacing w:after="220"/>
        <w:rPr>
          <w:rFonts w:ascii="Arial" w:hAnsi="Arial" w:cs="Arial"/>
          <w:b/>
          <w:sz w:val="22"/>
          <w:szCs w:val="22"/>
        </w:rPr>
      </w:pPr>
      <w:r>
        <w:rPr>
          <w:rFonts w:ascii="Arial" w:hAnsi="Arial" w:cs="Arial"/>
          <w:sz w:val="22"/>
          <w:szCs w:val="22"/>
        </w:rPr>
        <w:pict>
          <v:rect id="_x0000_i1185" style="width:0;height:1.5pt" o:hralign="center" o:hrstd="t" o:hrnoshade="t" o:hr="t" fillcolor="black" stroked="f"/>
        </w:pict>
      </w:r>
    </w:p>
    <w:p w:rsidR="007F112A" w:rsidRPr="00E45BC7" w:rsidP="00E45BC7" w14:paraId="51A746A7"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S</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requested that the NRC clarify the intent of “or facilities” in 10 CFR 53.810(c), or reph</w:t>
      </w:r>
      <w:r w:rsidRPr="00E45BC7" w:rsidR="007907AA">
        <w:rPr>
          <w:rFonts w:ascii="Arial" w:hAnsi="Arial" w:cs="Arial"/>
          <w:sz w:val="22"/>
          <w:szCs w:val="22"/>
        </w:rPr>
        <w:t>r</w:t>
      </w:r>
      <w:r w:rsidRPr="00E45BC7">
        <w:rPr>
          <w:rFonts w:ascii="Arial" w:hAnsi="Arial" w:cs="Arial"/>
          <w:sz w:val="22"/>
          <w:szCs w:val="22"/>
        </w:rPr>
        <w:t xml:space="preserve">ase it to “is qualified”, delete “at which the operator is employed”, and reword the rule language to “The general license is limited to the facility for which it was issued” or rephrase it to “The general license is limited to the facility or facilities of which the operator is qualified.” The commenter also stated that “arguably, facility is already defined to include ‘facilities’ meaning multiple reactors under one operating license for a plant” </w:t>
      </w:r>
      <w:r w:rsidR="005F657A">
        <w:rPr>
          <w:rFonts w:ascii="Arial" w:hAnsi="Arial" w:cs="Arial"/>
          <w:sz w:val="22"/>
          <w:szCs w:val="22"/>
        </w:rPr>
        <w:br/>
      </w:r>
      <w:r w:rsidRPr="00E45BC7">
        <w:rPr>
          <w:rFonts w:ascii="Arial" w:hAnsi="Arial" w:cs="Arial"/>
          <w:sz w:val="22"/>
          <w:szCs w:val="22"/>
        </w:rPr>
        <w:t>(</w:t>
      </w:r>
      <w:r w:rsidR="009D6BB9">
        <w:rPr>
          <w:rFonts w:ascii="Arial" w:hAnsi="Arial" w:cs="Arial"/>
          <w:sz w:val="22"/>
          <w:szCs w:val="22"/>
        </w:rPr>
        <w:t>NEI2</w:t>
      </w:r>
      <w:r w:rsidRPr="00E45BC7">
        <w:rPr>
          <w:rFonts w:ascii="Arial" w:hAnsi="Arial" w:cs="Arial"/>
          <w:sz w:val="22"/>
          <w:szCs w:val="22"/>
        </w:rPr>
        <w:t>-0100).</w:t>
      </w:r>
    </w:p>
    <w:p w:rsidR="00C906E1" w:rsidP="00E45BC7" w14:paraId="194E6583" w14:textId="77777777">
      <w:pPr>
        <w:spacing w:after="220"/>
        <w:rPr>
          <w:rFonts w:ascii="Arial" w:hAnsi="Arial" w:cs="Arial"/>
          <w:sz w:val="22"/>
          <w:szCs w:val="22"/>
        </w:rPr>
      </w:pPr>
      <w:r w:rsidRPr="00E45BC7">
        <w:rPr>
          <w:rFonts w:ascii="Arial" w:hAnsi="Arial" w:cs="Arial"/>
          <w:sz w:val="22"/>
          <w:szCs w:val="22"/>
        </w:rPr>
        <w:t xml:space="preserve">The commenter added that 10 CFR 53.810(d) states that the “Commission will suspend the general license on an individual basis for violations”. The commenter asked if this means suspending the general license for the individual facility or the general license for an individual at the facility. The commenter recommended that NRC rephrase the rule language to state, </w:t>
      </w:r>
      <w:r w:rsidRPr="00E45BC7">
        <w:rPr>
          <w:rFonts w:ascii="Arial" w:hAnsi="Arial" w:cs="Arial"/>
          <w:sz w:val="22"/>
          <w:szCs w:val="22"/>
        </w:rPr>
        <w:t>“The Commission will suspend the general license of a generally licensed reactor operator on an individual basis for violations.” (</w:t>
      </w:r>
      <w:r w:rsidR="009D6BB9">
        <w:rPr>
          <w:rFonts w:ascii="Arial" w:hAnsi="Arial" w:cs="Arial"/>
          <w:sz w:val="22"/>
          <w:szCs w:val="22"/>
        </w:rPr>
        <w:t>NEI2</w:t>
      </w:r>
      <w:r w:rsidRPr="00E45BC7">
        <w:rPr>
          <w:rFonts w:ascii="Arial" w:hAnsi="Arial" w:cs="Arial"/>
          <w:sz w:val="22"/>
          <w:szCs w:val="22"/>
        </w:rPr>
        <w:t>-0101).</w:t>
      </w:r>
    </w:p>
    <w:p w:rsidR="007F112A" w:rsidRPr="00E45BC7" w:rsidP="00E45BC7" w14:paraId="6F991B31"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 xml:space="preserve">The commenter also requested clarification of when a general license is “issued” </w:t>
      </w:r>
      <w:r w:rsidR="00E408DB">
        <w:rPr>
          <w:rFonts w:ascii="Arial" w:hAnsi="Arial" w:cs="Arial"/>
          <w:sz w:val="22"/>
          <w:szCs w:val="22"/>
        </w:rPr>
        <w:t>and asked whether it was on the date of an initial qualification</w:t>
      </w:r>
      <w:r w:rsidRPr="00E45BC7">
        <w:rPr>
          <w:rFonts w:ascii="Arial" w:hAnsi="Arial" w:cs="Arial"/>
          <w:sz w:val="22"/>
          <w:szCs w:val="22"/>
        </w:rPr>
        <w:t xml:space="preserve"> </w:t>
      </w:r>
      <w:r w:rsidR="007707EF">
        <w:rPr>
          <w:rFonts w:ascii="Arial" w:hAnsi="Arial" w:cs="Arial"/>
          <w:sz w:val="22"/>
          <w:szCs w:val="22"/>
        </w:rPr>
        <w:t>or when an individual is employed into a position</w:t>
      </w:r>
      <w:r w:rsidRPr="00E45BC7">
        <w:rPr>
          <w:rFonts w:ascii="Arial" w:hAnsi="Arial" w:cs="Arial"/>
          <w:sz w:val="22"/>
          <w:szCs w:val="22"/>
        </w:rPr>
        <w:t xml:space="preserve"> (</w:t>
      </w:r>
      <w:r w:rsidR="009D6BB9">
        <w:rPr>
          <w:rFonts w:ascii="Arial" w:hAnsi="Arial" w:cs="Arial"/>
          <w:sz w:val="22"/>
          <w:szCs w:val="22"/>
        </w:rPr>
        <w:t>NEI2</w:t>
      </w:r>
      <w:r w:rsidRPr="00E45BC7">
        <w:rPr>
          <w:rFonts w:ascii="Arial" w:hAnsi="Arial" w:cs="Arial"/>
          <w:sz w:val="22"/>
          <w:szCs w:val="22"/>
        </w:rPr>
        <w:t>-0099).</w:t>
      </w:r>
    </w:p>
    <w:p w:rsidR="008B2EB2" w:rsidRPr="00E45BC7" w:rsidP="00E45BC7" w14:paraId="5FB52760" w14:textId="77777777">
      <w:pPr>
        <w:spacing w:after="220"/>
        <w:rPr>
          <w:rFonts w:ascii="Arial" w:hAnsi="Arial" w:cs="Arial"/>
          <w:sz w:val="22"/>
          <w:szCs w:val="22"/>
        </w:rPr>
      </w:pPr>
      <w:r w:rsidRPr="00E45BC7">
        <w:rPr>
          <w:rFonts w:ascii="Arial" w:eastAsia="DengXian" w:hAnsi="Arial" w:cs="Arial"/>
          <w:b/>
          <w:sz w:val="22"/>
          <w:szCs w:val="22"/>
        </w:rPr>
        <w:t xml:space="preserve">NRC </w:t>
      </w:r>
      <w:r w:rsidRPr="00E45BC7">
        <w:rPr>
          <w:rFonts w:ascii="Arial" w:hAnsi="Arial" w:cs="Arial"/>
          <w:b/>
          <w:sz w:val="22"/>
          <w:szCs w:val="22"/>
        </w:rPr>
        <w:t>Response:</w:t>
      </w:r>
      <w:r w:rsidRPr="00E45BC7">
        <w:rPr>
          <w:rFonts w:ascii="Arial" w:hAnsi="Arial" w:cs="Arial"/>
          <w:sz w:val="22"/>
          <w:szCs w:val="22"/>
        </w:rPr>
        <w:t xml:space="preserve"> The NRC agrees, in part, with the comments. </w:t>
      </w:r>
    </w:p>
    <w:p w:rsidR="00CB47A9" w:rsidRPr="00E45BC7" w:rsidP="00E45BC7" w14:paraId="43B48263" w14:textId="77777777">
      <w:pPr>
        <w:spacing w:after="220"/>
        <w:rPr>
          <w:rFonts w:ascii="Arial" w:hAnsi="Arial" w:cs="Arial"/>
          <w:sz w:val="22"/>
          <w:szCs w:val="22"/>
        </w:rPr>
      </w:pPr>
      <w:r w:rsidRPr="00E45BC7">
        <w:rPr>
          <w:rFonts w:ascii="Arial" w:hAnsi="Arial" w:cs="Arial"/>
          <w:sz w:val="22"/>
          <w:szCs w:val="22"/>
        </w:rPr>
        <w:t xml:space="preserve">The NRC disagrees with the </w:t>
      </w:r>
      <w:r w:rsidRPr="00E45BC7" w:rsidR="007A7689">
        <w:rPr>
          <w:rFonts w:ascii="Arial" w:hAnsi="Arial" w:cs="Arial"/>
          <w:sz w:val="22"/>
          <w:szCs w:val="22"/>
        </w:rPr>
        <w:t xml:space="preserve">request to </w:t>
      </w:r>
      <w:r w:rsidRPr="00E45BC7" w:rsidR="000118A7">
        <w:rPr>
          <w:rFonts w:ascii="Arial" w:hAnsi="Arial" w:cs="Arial"/>
          <w:sz w:val="22"/>
          <w:szCs w:val="22"/>
        </w:rPr>
        <w:t>change the rule language</w:t>
      </w:r>
      <w:r w:rsidRPr="00E45BC7" w:rsidR="007907AA">
        <w:rPr>
          <w:rFonts w:ascii="Arial" w:hAnsi="Arial" w:cs="Arial"/>
          <w:sz w:val="22"/>
          <w:szCs w:val="22"/>
        </w:rPr>
        <w:t xml:space="preserve"> in 10 CFR 53.810(c)</w:t>
      </w:r>
      <w:r w:rsidRPr="00E45BC7">
        <w:rPr>
          <w:rFonts w:ascii="Arial" w:hAnsi="Arial" w:cs="Arial"/>
          <w:sz w:val="22"/>
          <w:szCs w:val="22"/>
        </w:rPr>
        <w:t>. Section</w:t>
      </w:r>
      <w:r w:rsidR="00743675">
        <w:rPr>
          <w:rFonts w:ascii="Arial" w:hAnsi="Arial" w:cs="Arial"/>
          <w:sz w:val="22"/>
          <w:szCs w:val="22"/>
        </w:rPr>
        <w:t> </w:t>
      </w:r>
      <w:r w:rsidRPr="00E45BC7">
        <w:rPr>
          <w:rFonts w:ascii="Arial" w:hAnsi="Arial" w:cs="Arial"/>
          <w:sz w:val="22"/>
          <w:szCs w:val="22"/>
        </w:rPr>
        <w:t xml:space="preserve">107 of the AEA directs the Commission to license individuals as operators of facilities licensed under the AEA. The use of “or facilities” in 10 CFR 53.810(c) is pertinent as </w:t>
      </w:r>
      <w:r w:rsidR="00B439DA">
        <w:rPr>
          <w:rFonts w:ascii="Arial" w:hAnsi="Arial" w:cs="Arial"/>
          <w:sz w:val="22"/>
          <w:szCs w:val="22"/>
        </w:rPr>
        <w:t xml:space="preserve">the regulation can authorize an </w:t>
      </w:r>
      <w:r w:rsidR="00752B81">
        <w:rPr>
          <w:rFonts w:ascii="Arial" w:hAnsi="Arial" w:cs="Arial"/>
          <w:sz w:val="22"/>
          <w:szCs w:val="22"/>
        </w:rPr>
        <w:t>individua</w:t>
      </w:r>
      <w:r w:rsidR="00DE4D9A">
        <w:rPr>
          <w:rFonts w:ascii="Arial" w:hAnsi="Arial" w:cs="Arial"/>
          <w:sz w:val="22"/>
          <w:szCs w:val="22"/>
        </w:rPr>
        <w:t>l</w:t>
      </w:r>
      <w:r w:rsidRPr="00E45BC7">
        <w:rPr>
          <w:rFonts w:ascii="Arial" w:hAnsi="Arial" w:cs="Arial"/>
          <w:sz w:val="22"/>
          <w:szCs w:val="22"/>
        </w:rPr>
        <w:t xml:space="preserve"> to operate more than one facility. The AEA defines the term utilization facility, and the rule is written based on this definition. The NRC implements the licensing provisions of the AEA that govern utilization facilities by issuing an individual license for each licensed reactor and the comment does not provide any reason for departing from this practice. </w:t>
      </w:r>
      <w:r w:rsidRPr="00E45BC7" w:rsidR="00E72FB6">
        <w:rPr>
          <w:rFonts w:ascii="Arial" w:hAnsi="Arial" w:cs="Arial"/>
          <w:sz w:val="22"/>
          <w:szCs w:val="22"/>
        </w:rPr>
        <w:t>Accordingly</w:t>
      </w:r>
      <w:r w:rsidRPr="00E45BC7">
        <w:rPr>
          <w:rFonts w:ascii="Arial" w:hAnsi="Arial" w:cs="Arial"/>
          <w:sz w:val="22"/>
          <w:szCs w:val="22"/>
        </w:rPr>
        <w:t xml:space="preserve">, the NRC </w:t>
      </w:r>
      <w:r w:rsidRPr="00E45BC7" w:rsidR="006362B3">
        <w:rPr>
          <w:rFonts w:ascii="Arial" w:hAnsi="Arial" w:cs="Arial"/>
          <w:sz w:val="22"/>
          <w:szCs w:val="22"/>
        </w:rPr>
        <w:t xml:space="preserve">did </w:t>
      </w:r>
      <w:r w:rsidRPr="00E45BC7">
        <w:rPr>
          <w:rFonts w:ascii="Arial" w:hAnsi="Arial" w:cs="Arial"/>
          <w:sz w:val="22"/>
          <w:szCs w:val="22"/>
        </w:rPr>
        <w:t xml:space="preserve">not </w:t>
      </w:r>
      <w:r w:rsidRPr="00E45BC7" w:rsidR="006362B3">
        <w:rPr>
          <w:rFonts w:ascii="Arial" w:hAnsi="Arial" w:cs="Arial"/>
          <w:sz w:val="22"/>
          <w:szCs w:val="22"/>
        </w:rPr>
        <w:t xml:space="preserve">change </w:t>
      </w:r>
      <w:r w:rsidRPr="00E45BC7">
        <w:rPr>
          <w:rFonts w:ascii="Arial" w:hAnsi="Arial" w:cs="Arial"/>
          <w:sz w:val="22"/>
          <w:szCs w:val="22"/>
        </w:rPr>
        <w:t>the rule language in response to th</w:t>
      </w:r>
      <w:r w:rsidRPr="00E45BC7" w:rsidR="003D0A76">
        <w:rPr>
          <w:rFonts w:ascii="Arial" w:hAnsi="Arial" w:cs="Arial"/>
          <w:sz w:val="22"/>
          <w:szCs w:val="22"/>
        </w:rPr>
        <w:t>is</w:t>
      </w:r>
      <w:r w:rsidRPr="00E45BC7">
        <w:rPr>
          <w:rFonts w:ascii="Arial" w:hAnsi="Arial" w:cs="Arial"/>
          <w:sz w:val="22"/>
          <w:szCs w:val="22"/>
        </w:rPr>
        <w:t xml:space="preserve"> comment. </w:t>
      </w:r>
    </w:p>
    <w:p w:rsidR="007F112A" w:rsidRPr="00E45BC7" w:rsidP="00E45BC7" w14:paraId="7EFAFB1C" w14:textId="77777777">
      <w:pPr>
        <w:spacing w:after="220"/>
        <w:rPr>
          <w:rFonts w:ascii="Arial" w:hAnsi="Arial" w:cs="Arial"/>
          <w:sz w:val="22"/>
          <w:szCs w:val="22"/>
        </w:rPr>
      </w:pPr>
      <w:r w:rsidRPr="00E45BC7">
        <w:rPr>
          <w:rFonts w:ascii="Arial" w:hAnsi="Arial" w:cs="Arial"/>
          <w:sz w:val="22"/>
          <w:szCs w:val="22"/>
        </w:rPr>
        <w:t>The NRC acknowledges that the term “facility licensee” could refer to an entity that holds multiple facility licenses. Therefore, an operator could be licensed to operate more than one facility while working for a single facility licensee. There are currently multi-facility sites, each with their own separate facility license, with a single facility licensee that follow</w:t>
      </w:r>
      <w:r w:rsidR="003D5590">
        <w:rPr>
          <w:rFonts w:ascii="Arial" w:hAnsi="Arial" w:cs="Arial"/>
          <w:sz w:val="22"/>
          <w:szCs w:val="22"/>
        </w:rPr>
        <w:t>s</w:t>
      </w:r>
      <w:r w:rsidRPr="00E45BC7">
        <w:rPr>
          <w:rFonts w:ascii="Arial" w:hAnsi="Arial" w:cs="Arial"/>
          <w:sz w:val="22"/>
          <w:szCs w:val="22"/>
        </w:rPr>
        <w:t xml:space="preserve"> this paradigm which happen</w:t>
      </w:r>
      <w:r w:rsidRPr="00E45BC7" w:rsidR="004374C2">
        <w:rPr>
          <w:rFonts w:ascii="Arial" w:hAnsi="Arial" w:cs="Arial"/>
          <w:sz w:val="22"/>
          <w:szCs w:val="22"/>
        </w:rPr>
        <w:t xml:space="preserve"> to be</w:t>
      </w:r>
      <w:r w:rsidRPr="00E45BC7">
        <w:rPr>
          <w:rFonts w:ascii="Arial" w:hAnsi="Arial" w:cs="Arial"/>
          <w:sz w:val="22"/>
          <w:szCs w:val="22"/>
        </w:rPr>
        <w:t>, but are not required to be</w:t>
      </w:r>
      <w:r w:rsidRPr="00E45BC7" w:rsidR="004374C2">
        <w:rPr>
          <w:rFonts w:ascii="Arial" w:hAnsi="Arial" w:cs="Arial"/>
          <w:sz w:val="22"/>
          <w:szCs w:val="22"/>
        </w:rPr>
        <w:t>,</w:t>
      </w:r>
      <w:r w:rsidRPr="00E45BC7">
        <w:rPr>
          <w:rFonts w:ascii="Arial" w:hAnsi="Arial" w:cs="Arial"/>
          <w:sz w:val="22"/>
          <w:szCs w:val="22"/>
        </w:rPr>
        <w:t xml:space="preserve"> co-located. Having a single facility licensee as the employer of the operators allows for a single training program, use of similar procedures and conduct of operations, and other administrative and programmatic efficiencies that would not be possible for an operator employed by multiple facility licenses. Accordingly, the NRC did not change the rule language in response to this comment.</w:t>
      </w:r>
    </w:p>
    <w:p w:rsidR="007F112A" w:rsidRPr="00E45BC7" w:rsidP="00E45BC7" w14:paraId="7D8057A1" w14:textId="77777777">
      <w:pPr>
        <w:spacing w:after="220"/>
        <w:rPr>
          <w:rFonts w:ascii="Arial" w:hAnsi="Arial" w:cs="Arial"/>
          <w:sz w:val="22"/>
          <w:szCs w:val="22"/>
        </w:rPr>
      </w:pPr>
      <w:r w:rsidRPr="00E45BC7">
        <w:rPr>
          <w:rFonts w:ascii="Arial" w:hAnsi="Arial" w:cs="Arial"/>
          <w:sz w:val="22"/>
          <w:szCs w:val="22"/>
        </w:rPr>
        <w:t xml:space="preserve">The NRC agrees that clarification is needed for the suspension of a license for violations. The general license allows </w:t>
      </w:r>
      <w:r w:rsidR="00A63C2A">
        <w:rPr>
          <w:rFonts w:ascii="Arial" w:hAnsi="Arial" w:cs="Arial"/>
          <w:sz w:val="22"/>
          <w:szCs w:val="22"/>
        </w:rPr>
        <w:t>a</w:t>
      </w:r>
      <w:r w:rsidR="007E2913">
        <w:rPr>
          <w:rFonts w:ascii="Arial" w:hAnsi="Arial" w:cs="Arial"/>
          <w:sz w:val="22"/>
          <w:szCs w:val="22"/>
        </w:rPr>
        <w:t xml:space="preserve"> G</w:t>
      </w:r>
      <w:r w:rsidR="000C21AE">
        <w:rPr>
          <w:rFonts w:ascii="Arial" w:hAnsi="Arial" w:cs="Arial"/>
          <w:sz w:val="22"/>
          <w:szCs w:val="22"/>
        </w:rPr>
        <w:t>LRO</w:t>
      </w:r>
      <w:r w:rsidR="007E2913">
        <w:rPr>
          <w:rFonts w:ascii="Arial" w:hAnsi="Arial" w:cs="Arial"/>
          <w:sz w:val="22"/>
          <w:szCs w:val="22"/>
        </w:rPr>
        <w:t xml:space="preserve"> to</w:t>
      </w:r>
      <w:r w:rsidR="00A63C2A">
        <w:rPr>
          <w:rFonts w:ascii="Arial" w:hAnsi="Arial" w:cs="Arial"/>
          <w:sz w:val="22"/>
          <w:szCs w:val="22"/>
        </w:rPr>
        <w:t xml:space="preserve"> </w:t>
      </w:r>
      <w:r w:rsidRPr="00E45BC7">
        <w:rPr>
          <w:rFonts w:ascii="Arial" w:hAnsi="Arial" w:cs="Arial"/>
          <w:sz w:val="22"/>
          <w:szCs w:val="22"/>
        </w:rPr>
        <w:t>manipulat</w:t>
      </w:r>
      <w:r w:rsidR="007E2913">
        <w:rPr>
          <w:rFonts w:ascii="Arial" w:hAnsi="Arial" w:cs="Arial"/>
          <w:sz w:val="22"/>
          <w:szCs w:val="22"/>
        </w:rPr>
        <w:t>e</w:t>
      </w:r>
      <w:r w:rsidRPr="00E45BC7">
        <w:rPr>
          <w:rFonts w:ascii="Arial" w:hAnsi="Arial" w:cs="Arial"/>
          <w:sz w:val="22"/>
          <w:szCs w:val="22"/>
        </w:rPr>
        <w:t xml:space="preserve"> the controls of a self-reliant</w:t>
      </w:r>
      <w:r w:rsidR="00816489">
        <w:rPr>
          <w:rFonts w:ascii="Arial" w:hAnsi="Arial" w:cs="Arial"/>
          <w:sz w:val="22"/>
          <w:szCs w:val="22"/>
        </w:rPr>
        <w:noBreakHyphen/>
      </w:r>
      <w:r w:rsidRPr="00E45BC7">
        <w:rPr>
          <w:rFonts w:ascii="Arial" w:hAnsi="Arial" w:cs="Arial"/>
          <w:sz w:val="22"/>
          <w:szCs w:val="22"/>
        </w:rPr>
        <w:t>mitigation facility and</w:t>
      </w:r>
      <w:r w:rsidR="007E2913">
        <w:rPr>
          <w:rFonts w:ascii="Arial" w:hAnsi="Arial" w:cs="Arial"/>
          <w:sz w:val="22"/>
          <w:szCs w:val="22"/>
        </w:rPr>
        <w:t>, if the GLRO meets specified requirements,</w:t>
      </w:r>
      <w:r w:rsidRPr="00E45BC7">
        <w:rPr>
          <w:rFonts w:ascii="Arial" w:hAnsi="Arial" w:cs="Arial"/>
          <w:sz w:val="22"/>
          <w:szCs w:val="22"/>
        </w:rPr>
        <w:t xml:space="preserve"> to direct the </w:t>
      </w:r>
      <w:r w:rsidR="006C75A9">
        <w:rPr>
          <w:rFonts w:ascii="Arial" w:hAnsi="Arial" w:cs="Arial"/>
          <w:sz w:val="22"/>
          <w:szCs w:val="22"/>
        </w:rPr>
        <w:t xml:space="preserve">other </w:t>
      </w:r>
      <w:r w:rsidR="00914E99">
        <w:rPr>
          <w:rFonts w:ascii="Arial" w:hAnsi="Arial" w:cs="Arial"/>
          <w:sz w:val="22"/>
          <w:szCs w:val="22"/>
        </w:rPr>
        <w:t>GLROs</w:t>
      </w:r>
      <w:r w:rsidR="00FB728B">
        <w:rPr>
          <w:rFonts w:ascii="Arial" w:hAnsi="Arial" w:cs="Arial"/>
          <w:sz w:val="22"/>
          <w:szCs w:val="22"/>
        </w:rPr>
        <w:t>.</w:t>
      </w:r>
      <w:r w:rsidRPr="00E45BC7">
        <w:rPr>
          <w:rFonts w:ascii="Arial" w:hAnsi="Arial" w:cs="Arial"/>
          <w:sz w:val="22"/>
          <w:szCs w:val="22"/>
        </w:rPr>
        <w:t xml:space="preserve"> </w:t>
      </w:r>
      <w:r w:rsidR="00926A71">
        <w:rPr>
          <w:rFonts w:ascii="Arial" w:hAnsi="Arial" w:cs="Arial"/>
          <w:sz w:val="22"/>
          <w:szCs w:val="22"/>
        </w:rPr>
        <w:t>T</w:t>
      </w:r>
      <w:r w:rsidR="00FB728B">
        <w:rPr>
          <w:rFonts w:ascii="Arial" w:hAnsi="Arial" w:cs="Arial"/>
          <w:sz w:val="22"/>
          <w:szCs w:val="22"/>
        </w:rPr>
        <w:t xml:space="preserve">he rule provides that the NRC may suspend </w:t>
      </w:r>
      <w:r w:rsidRPr="00E45BC7">
        <w:rPr>
          <w:rFonts w:ascii="Arial" w:hAnsi="Arial" w:cs="Arial"/>
          <w:sz w:val="22"/>
          <w:szCs w:val="22"/>
        </w:rPr>
        <w:t xml:space="preserve">the license for </w:t>
      </w:r>
      <w:r w:rsidR="00EE377E">
        <w:rPr>
          <w:rFonts w:ascii="Arial" w:hAnsi="Arial" w:cs="Arial"/>
          <w:sz w:val="22"/>
          <w:szCs w:val="22"/>
        </w:rPr>
        <w:t>an</w:t>
      </w:r>
      <w:r w:rsidRPr="00E45BC7">
        <w:rPr>
          <w:rFonts w:ascii="Arial" w:hAnsi="Arial" w:cs="Arial"/>
          <w:sz w:val="22"/>
          <w:szCs w:val="22"/>
        </w:rPr>
        <w:t xml:space="preserve"> </w:t>
      </w:r>
      <w:r w:rsidR="00EE377E">
        <w:rPr>
          <w:rFonts w:ascii="Arial" w:hAnsi="Arial" w:cs="Arial"/>
          <w:sz w:val="22"/>
          <w:szCs w:val="22"/>
        </w:rPr>
        <w:t>individual GLRO</w:t>
      </w:r>
      <w:r w:rsidRPr="00E45BC7">
        <w:rPr>
          <w:rFonts w:ascii="Arial" w:hAnsi="Arial" w:cs="Arial"/>
          <w:sz w:val="22"/>
          <w:szCs w:val="22"/>
        </w:rPr>
        <w:t>. Accordingly, the NRC c</w:t>
      </w:r>
      <w:r w:rsidR="00926A71">
        <w:rPr>
          <w:rFonts w:ascii="Arial" w:hAnsi="Arial" w:cs="Arial"/>
          <w:sz w:val="22"/>
          <w:szCs w:val="22"/>
        </w:rPr>
        <w:t>larified</w:t>
      </w:r>
      <w:r w:rsidRPr="00E45BC7">
        <w:rPr>
          <w:rFonts w:ascii="Arial" w:hAnsi="Arial" w:cs="Arial"/>
          <w:sz w:val="22"/>
          <w:szCs w:val="22"/>
        </w:rPr>
        <w:t xml:space="preserve"> the language of </w:t>
      </w:r>
      <w:r w:rsidRPr="00E45BC7" w:rsidR="00E809C9">
        <w:rPr>
          <w:rFonts w:ascii="Arial" w:hAnsi="Arial" w:cs="Arial"/>
          <w:sz w:val="22"/>
          <w:szCs w:val="22"/>
        </w:rPr>
        <w:t>10 CFR </w:t>
      </w:r>
      <w:r w:rsidRPr="00E45BC7">
        <w:rPr>
          <w:rFonts w:ascii="Arial" w:hAnsi="Arial" w:cs="Arial"/>
          <w:sz w:val="22"/>
          <w:szCs w:val="22"/>
        </w:rPr>
        <w:t>53.810(d).</w:t>
      </w:r>
    </w:p>
    <w:p w:rsidR="007F112A" w:rsidRPr="00E45BC7" w:rsidP="00E45BC7" w14:paraId="3FAEC26F" w14:textId="77777777">
      <w:pPr>
        <w:spacing w:after="220"/>
        <w:rPr>
          <w:rFonts w:ascii="Arial" w:hAnsi="Arial" w:cs="Arial"/>
          <w:sz w:val="22"/>
          <w:szCs w:val="22"/>
        </w:rPr>
      </w:pPr>
      <w:r w:rsidRPr="00E45BC7">
        <w:rPr>
          <w:rFonts w:ascii="Arial" w:eastAsia="Arial" w:hAnsi="Arial" w:cs="Arial"/>
          <w:sz w:val="22"/>
          <w:szCs w:val="22"/>
        </w:rPr>
        <w:t xml:space="preserve">The NRC disagrees that </w:t>
      </w:r>
      <w:r w:rsidR="002C4587">
        <w:rPr>
          <w:rFonts w:ascii="Arial" w:eastAsia="Arial" w:hAnsi="Arial" w:cs="Arial"/>
          <w:sz w:val="22"/>
          <w:szCs w:val="22"/>
        </w:rPr>
        <w:t xml:space="preserve">additional </w:t>
      </w:r>
      <w:r w:rsidRPr="00E45BC7">
        <w:rPr>
          <w:rFonts w:ascii="Arial" w:eastAsia="Arial" w:hAnsi="Arial" w:cs="Arial"/>
          <w:sz w:val="22"/>
          <w:szCs w:val="22"/>
        </w:rPr>
        <w:t xml:space="preserve">clarification </w:t>
      </w:r>
      <w:r w:rsidR="00E451D3">
        <w:rPr>
          <w:rFonts w:ascii="Arial" w:eastAsia="Arial" w:hAnsi="Arial" w:cs="Arial"/>
          <w:sz w:val="22"/>
          <w:szCs w:val="22"/>
        </w:rPr>
        <w:t xml:space="preserve">to the rule language </w:t>
      </w:r>
      <w:r w:rsidRPr="00E45BC7">
        <w:rPr>
          <w:rFonts w:ascii="Arial" w:eastAsia="Arial" w:hAnsi="Arial" w:cs="Arial"/>
          <w:sz w:val="22"/>
          <w:szCs w:val="22"/>
        </w:rPr>
        <w:t>is needed regarding when the general license is “issued.” A rulemaking issues a general license, so the final 10 CFR Part</w:t>
      </w:r>
      <w:r w:rsidR="0020594C">
        <w:rPr>
          <w:rFonts w:ascii="Arial" w:eastAsia="Arial" w:hAnsi="Arial" w:cs="Arial"/>
          <w:sz w:val="22"/>
          <w:szCs w:val="22"/>
        </w:rPr>
        <w:t> </w:t>
      </w:r>
      <w:r w:rsidRPr="00E45BC7">
        <w:rPr>
          <w:rFonts w:ascii="Arial" w:eastAsia="Arial" w:hAnsi="Arial" w:cs="Arial"/>
          <w:sz w:val="22"/>
          <w:szCs w:val="22"/>
        </w:rPr>
        <w:t xml:space="preserve">53 rule will issue the general license </w:t>
      </w:r>
      <w:r w:rsidR="00E9284D">
        <w:rPr>
          <w:rFonts w:ascii="Arial" w:eastAsia="Arial" w:hAnsi="Arial" w:cs="Arial"/>
          <w:sz w:val="22"/>
          <w:szCs w:val="22"/>
        </w:rPr>
        <w:t xml:space="preserve">to any individuals that </w:t>
      </w:r>
      <w:r w:rsidR="00CC2E55">
        <w:rPr>
          <w:rFonts w:ascii="Arial" w:eastAsia="Arial" w:hAnsi="Arial" w:cs="Arial"/>
          <w:sz w:val="22"/>
          <w:szCs w:val="22"/>
        </w:rPr>
        <w:t>meet the criteria in 10 CFR 53.810(a)</w:t>
      </w:r>
      <w:r w:rsidRPr="00E45BC7">
        <w:rPr>
          <w:rFonts w:ascii="Arial" w:eastAsia="Arial" w:hAnsi="Arial" w:cs="Arial"/>
          <w:sz w:val="22"/>
          <w:szCs w:val="22"/>
        </w:rPr>
        <w:t xml:space="preserve">. </w:t>
      </w:r>
      <w:r w:rsidR="00461E96">
        <w:rPr>
          <w:rFonts w:ascii="Arial" w:eastAsia="Arial" w:hAnsi="Arial" w:cs="Arial"/>
          <w:sz w:val="22"/>
          <w:szCs w:val="22"/>
        </w:rPr>
        <w:t>As stated in 10 CFR 53.810(a)</w:t>
      </w:r>
      <w:r w:rsidRPr="00E45BC7">
        <w:rPr>
          <w:rFonts w:ascii="Arial" w:eastAsia="Arial" w:hAnsi="Arial" w:cs="Arial"/>
          <w:sz w:val="22"/>
          <w:szCs w:val="22"/>
        </w:rPr>
        <w:t xml:space="preserve"> the general license applies to an individual </w:t>
      </w:r>
      <w:r w:rsidR="00193C79">
        <w:rPr>
          <w:rFonts w:ascii="Arial" w:eastAsia="Arial" w:hAnsi="Arial" w:cs="Arial"/>
          <w:sz w:val="22"/>
          <w:szCs w:val="22"/>
        </w:rPr>
        <w:t>who is</w:t>
      </w:r>
      <w:r w:rsidRPr="00E45BC7">
        <w:rPr>
          <w:rFonts w:ascii="Arial" w:eastAsia="Arial" w:hAnsi="Arial" w:cs="Arial"/>
          <w:sz w:val="22"/>
          <w:szCs w:val="22"/>
        </w:rPr>
        <w:t xml:space="preserve"> employ</w:t>
      </w:r>
      <w:r w:rsidR="00633132">
        <w:rPr>
          <w:rFonts w:ascii="Arial" w:eastAsia="Arial" w:hAnsi="Arial" w:cs="Arial"/>
          <w:sz w:val="22"/>
          <w:szCs w:val="22"/>
        </w:rPr>
        <w:t>ed</w:t>
      </w:r>
      <w:r w:rsidRPr="00E45BC7">
        <w:rPr>
          <w:rFonts w:ascii="Arial" w:eastAsia="Arial" w:hAnsi="Arial" w:cs="Arial"/>
          <w:sz w:val="22"/>
          <w:szCs w:val="22"/>
        </w:rPr>
        <w:t xml:space="preserve"> in a position requiring the license and </w:t>
      </w:r>
      <w:r w:rsidR="00633132">
        <w:rPr>
          <w:rFonts w:ascii="Arial" w:eastAsia="Arial" w:hAnsi="Arial" w:cs="Arial"/>
          <w:sz w:val="22"/>
          <w:szCs w:val="22"/>
        </w:rPr>
        <w:t xml:space="preserve">has </w:t>
      </w:r>
      <w:r w:rsidRPr="00E45BC7">
        <w:rPr>
          <w:rFonts w:ascii="Arial" w:eastAsia="Arial" w:hAnsi="Arial" w:cs="Arial"/>
          <w:sz w:val="22"/>
          <w:szCs w:val="22"/>
        </w:rPr>
        <w:t>satisf</w:t>
      </w:r>
      <w:r w:rsidR="00633132">
        <w:rPr>
          <w:rFonts w:ascii="Arial" w:eastAsia="Arial" w:hAnsi="Arial" w:cs="Arial"/>
          <w:sz w:val="22"/>
          <w:szCs w:val="22"/>
        </w:rPr>
        <w:t>ied</w:t>
      </w:r>
      <w:r w:rsidRPr="00E45BC7">
        <w:rPr>
          <w:rFonts w:ascii="Arial" w:eastAsia="Arial" w:hAnsi="Arial" w:cs="Arial"/>
          <w:sz w:val="22"/>
          <w:szCs w:val="22"/>
        </w:rPr>
        <w:t xml:space="preserve"> the requirements of the general license. In accordance with </w:t>
      </w:r>
      <w:r w:rsidRPr="00E45BC7" w:rsidR="008B2EB2">
        <w:rPr>
          <w:rFonts w:ascii="Arial" w:eastAsia="Arial" w:hAnsi="Arial" w:cs="Arial"/>
          <w:sz w:val="22"/>
          <w:szCs w:val="22"/>
        </w:rPr>
        <w:t>10</w:t>
      </w:r>
      <w:r w:rsidR="006332F6">
        <w:rPr>
          <w:rFonts w:ascii="Arial" w:eastAsia="Arial" w:hAnsi="Arial" w:cs="Arial"/>
          <w:sz w:val="22"/>
          <w:szCs w:val="22"/>
        </w:rPr>
        <w:t> </w:t>
      </w:r>
      <w:r w:rsidRPr="00E45BC7" w:rsidR="008B2EB2">
        <w:rPr>
          <w:rFonts w:ascii="Arial" w:eastAsia="Arial" w:hAnsi="Arial" w:cs="Arial"/>
          <w:sz w:val="22"/>
          <w:szCs w:val="22"/>
        </w:rPr>
        <w:t>CFR</w:t>
      </w:r>
      <w:r w:rsidR="006332F6">
        <w:rPr>
          <w:rFonts w:ascii="Arial" w:eastAsia="Arial" w:hAnsi="Arial" w:cs="Arial"/>
          <w:sz w:val="22"/>
          <w:szCs w:val="22"/>
        </w:rPr>
        <w:t> </w:t>
      </w:r>
      <w:r w:rsidRPr="00E45BC7">
        <w:rPr>
          <w:rFonts w:ascii="Arial" w:eastAsia="Arial" w:hAnsi="Arial" w:cs="Arial"/>
          <w:sz w:val="22"/>
          <w:szCs w:val="22"/>
        </w:rPr>
        <w:t xml:space="preserve">53.805(a)(4), an individual not in compliance with the generally licensed operator training, examination, and proficiency programs is not qualified to be in a position that requires the license. Therefore, the individual must comply with the program, including satisfactorily completing the examination, prior to employment in such a position. </w:t>
      </w:r>
      <w:r w:rsidRPr="00E45BC7" w:rsidR="004F733D">
        <w:rPr>
          <w:rFonts w:ascii="Arial" w:eastAsia="Arial" w:hAnsi="Arial" w:cs="Arial"/>
          <w:sz w:val="22"/>
          <w:szCs w:val="22"/>
        </w:rPr>
        <w:t>Accordingly,</w:t>
      </w:r>
      <w:r w:rsidRPr="00E45BC7">
        <w:rPr>
          <w:rFonts w:ascii="Arial" w:eastAsia="Arial" w:hAnsi="Arial" w:cs="Arial"/>
          <w:sz w:val="22"/>
          <w:szCs w:val="22"/>
        </w:rPr>
        <w:t xml:space="preserve"> the NRC did not change the rule language in response to this comment.</w:t>
      </w:r>
    </w:p>
    <w:p w:rsidR="007F112A" w:rsidRPr="00E45BC7" w:rsidP="00E45BC7" w14:paraId="2E65FB6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6" style="width:0;height:1.5pt" o:hralign="center" o:hrstd="t" o:hrnoshade="t" o:hr="t" fillcolor="black" stroked="f"/>
        </w:pict>
      </w:r>
    </w:p>
    <w:p w:rsidR="007F112A" w:rsidRPr="00E45BC7" w:rsidP="00E45BC7" w14:paraId="196AB1E1"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T</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expressed support for 10 CFR 53.815(b)(3)(vi) and appreciation for the change that would have the NRC approve the examination process but not the exam itself (</w:t>
      </w:r>
      <w:r w:rsidR="009D6BB9">
        <w:rPr>
          <w:rFonts w:ascii="Arial" w:hAnsi="Arial" w:cs="Arial"/>
          <w:sz w:val="22"/>
          <w:szCs w:val="22"/>
        </w:rPr>
        <w:t>NEI2</w:t>
      </w:r>
      <w:r w:rsidRPr="00E45BC7">
        <w:rPr>
          <w:rFonts w:ascii="Arial" w:hAnsi="Arial" w:cs="Arial"/>
          <w:sz w:val="22"/>
          <w:szCs w:val="22"/>
        </w:rPr>
        <w:t>-0102).</w:t>
      </w:r>
    </w:p>
    <w:p w:rsidR="0055447B" w:rsidP="00E45BC7" w14:paraId="2D36CA33" w14:textId="77777777">
      <w:pPr>
        <w:spacing w:after="220"/>
        <w:rPr>
          <w:rFonts w:ascii="Arial" w:eastAsia="DengXian" w:hAnsi="Arial" w:cs="Arial"/>
          <w:sz w:val="22"/>
          <w:szCs w:val="22"/>
          <w:lang w:eastAsia="ja-JP"/>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eastAsia="DengXian" w:hAnsi="Arial" w:cs="Arial"/>
          <w:sz w:val="22"/>
          <w:szCs w:val="22"/>
          <w:lang w:eastAsia="ja-JP"/>
        </w:rPr>
        <w:t>The NRC agrees with th</w:t>
      </w:r>
      <w:r w:rsidR="00C02D01">
        <w:rPr>
          <w:rFonts w:ascii="Arial" w:eastAsia="DengXian" w:hAnsi="Arial" w:cs="Arial"/>
          <w:sz w:val="22"/>
          <w:szCs w:val="22"/>
          <w:lang w:eastAsia="ja-JP"/>
        </w:rPr>
        <w:t>e</w:t>
      </w:r>
      <w:r w:rsidRPr="00E45BC7">
        <w:rPr>
          <w:rFonts w:ascii="Arial" w:eastAsia="DengXian" w:hAnsi="Arial" w:cs="Arial"/>
          <w:sz w:val="22"/>
          <w:szCs w:val="22"/>
          <w:lang w:eastAsia="ja-JP"/>
        </w:rPr>
        <w:t xml:space="preserve"> comment.</w:t>
      </w:r>
    </w:p>
    <w:p w:rsidR="00D94B05" w:rsidRPr="00E45BC7" w:rsidP="00E45BC7" w14:paraId="29F7C89E" w14:textId="77777777">
      <w:pPr>
        <w:spacing w:after="220"/>
        <w:rPr>
          <w:rFonts w:ascii="Arial" w:eastAsia="DengXian" w:hAnsi="Arial" w:cs="Arial"/>
          <w:sz w:val="22"/>
          <w:szCs w:val="22"/>
          <w:lang w:eastAsia="ja-JP"/>
        </w:rPr>
      </w:pPr>
      <w:r w:rsidRPr="00E45BC7">
        <w:rPr>
          <w:rFonts w:ascii="Arial" w:eastAsia="DengXian" w:hAnsi="Arial" w:cs="Arial"/>
          <w:sz w:val="22"/>
          <w:szCs w:val="22"/>
          <w:lang w:eastAsia="ja-JP"/>
        </w:rPr>
        <w:t>The comment supports the proposed rule and suggests no changes to the proposed rule.</w:t>
      </w:r>
    </w:p>
    <w:p w:rsidR="007F112A" w:rsidP="00E45BC7" w14:paraId="21D810D2" w14:textId="77777777">
      <w:pPr>
        <w:spacing w:after="220"/>
        <w:rPr>
          <w:rFonts w:ascii="Arial" w:eastAsia="DengXian" w:hAnsi="Arial" w:cs="Arial"/>
          <w:sz w:val="22"/>
          <w:szCs w:val="22"/>
          <w:lang w:eastAsia="ja-JP"/>
        </w:rPr>
      </w:pPr>
      <w:r w:rsidRPr="00E45BC7">
        <w:rPr>
          <w:rFonts w:ascii="Arial" w:eastAsia="DengXian" w:hAnsi="Arial" w:cs="Arial"/>
          <w:sz w:val="22"/>
          <w:szCs w:val="22"/>
          <w:lang w:eastAsia="ja-JP"/>
        </w:rPr>
        <w:t>Accordingly, the NRC did not change the rule language in response to this comment.</w:t>
      </w:r>
    </w:p>
    <w:p w:rsidR="007F112A" w:rsidRPr="00E45BC7" w:rsidP="00E45BC7" w14:paraId="7909FD56"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87" style="width:0;height:1.5pt" o:hralign="center" o:hrstd="t" o:hrnoshade="t" o:hr="t" fillcolor="black" stroked="f"/>
        </w:pict>
      </w:r>
    </w:p>
    <w:p w:rsidR="007F112A" w:rsidRPr="00E45BC7" w:rsidP="00E45BC7" w14:paraId="0F48BD2A"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U</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 staffing, training, personnel qualifications, and human factors requirements are more complex than existing requirements, and suggested replacing 10 CFR 53.725 through 10 CFR 53.800 with “simple elements of the current 10 CFR 50.120” (</w:t>
      </w:r>
      <w:r w:rsidR="00D64999">
        <w:rPr>
          <w:rFonts w:ascii="Arial" w:hAnsi="Arial" w:cs="Arial"/>
          <w:sz w:val="22"/>
          <w:szCs w:val="22"/>
        </w:rPr>
        <w:t>HPT19</w:t>
      </w:r>
      <w:r w:rsidRPr="00E45BC7">
        <w:rPr>
          <w:rFonts w:ascii="Arial" w:hAnsi="Arial" w:cs="Arial"/>
          <w:sz w:val="22"/>
          <w:szCs w:val="22"/>
        </w:rPr>
        <w:t xml:space="preserve">-0001, </w:t>
      </w:r>
      <w:r w:rsidR="009D6BB9">
        <w:rPr>
          <w:rFonts w:ascii="Arial" w:hAnsi="Arial" w:cs="Arial"/>
          <w:sz w:val="22"/>
          <w:szCs w:val="22"/>
        </w:rPr>
        <w:t>HPT33</w:t>
      </w:r>
      <w:r w:rsidRPr="00E45BC7">
        <w:rPr>
          <w:rFonts w:ascii="Arial" w:hAnsi="Arial" w:cs="Arial"/>
          <w:sz w:val="22"/>
          <w:szCs w:val="22"/>
        </w:rPr>
        <w:t>-0001) </w:t>
      </w:r>
    </w:p>
    <w:p w:rsidR="007F112A" w:rsidRPr="00E45BC7" w:rsidP="00E45BC7" w14:paraId="748D9D8A"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these comments.</w:t>
      </w:r>
    </w:p>
    <w:p w:rsidR="007F112A" w:rsidRPr="00E45BC7" w:rsidP="00E45BC7" w14:paraId="77E1BA8E" w14:textId="77777777">
      <w:pPr>
        <w:spacing w:after="220"/>
        <w:rPr>
          <w:rFonts w:ascii="Arial" w:hAnsi="Arial" w:cs="Arial"/>
          <w:sz w:val="22"/>
          <w:szCs w:val="22"/>
        </w:rPr>
      </w:pPr>
      <w:r w:rsidRPr="00E45BC7">
        <w:rPr>
          <w:rFonts w:ascii="Arial" w:hAnsi="Arial" w:cs="Arial"/>
          <w:sz w:val="22"/>
          <w:szCs w:val="22"/>
        </w:rPr>
        <w:t xml:space="preserve">The requirements in 10 CFR 53.725 through 10 CFR 53.745 address general requirements for staffing, training, personnel qualifications, and </w:t>
      </w:r>
      <w:r w:rsidRPr="00E45BC7" w:rsidR="00957A31">
        <w:rPr>
          <w:rFonts w:ascii="Arial" w:hAnsi="Arial" w:cs="Arial"/>
          <w:sz w:val="22"/>
          <w:szCs w:val="22"/>
        </w:rPr>
        <w:t>HFE</w:t>
      </w:r>
      <w:r w:rsidRPr="00E45BC7">
        <w:rPr>
          <w:rFonts w:ascii="Arial" w:hAnsi="Arial" w:cs="Arial"/>
          <w:sz w:val="22"/>
          <w:szCs w:val="22"/>
        </w:rPr>
        <w:t xml:space="preserve">. Requirements in 10 CFR 53.760 through 10 CFR 53.795 address the licensing of operators who manipulate the controls of interaction-dependent mitigation facilities. Requirements in 10 CFR 53.800 address the licensing of </w:t>
      </w:r>
      <w:r w:rsidRPr="00E45BC7" w:rsidR="00686CDC">
        <w:rPr>
          <w:rFonts w:ascii="Arial" w:hAnsi="Arial" w:cs="Arial"/>
          <w:sz w:val="22"/>
          <w:szCs w:val="22"/>
        </w:rPr>
        <w:t>GLROs</w:t>
      </w:r>
      <w:r w:rsidRPr="00E45BC7">
        <w:rPr>
          <w:rFonts w:ascii="Arial" w:hAnsi="Arial" w:cs="Arial"/>
          <w:sz w:val="22"/>
          <w:szCs w:val="22"/>
        </w:rPr>
        <w:t xml:space="preserve"> who manipulate the controls of self-reliant mitigation facilities. Note that the existing requirements for the licensing of operators, located within 10</w:t>
      </w:r>
      <w:r w:rsidRPr="00E45BC7" w:rsidR="00C22F23">
        <w:rPr>
          <w:rFonts w:ascii="Arial" w:hAnsi="Arial" w:cs="Arial"/>
          <w:sz w:val="22"/>
          <w:szCs w:val="22"/>
        </w:rPr>
        <w:t> </w:t>
      </w:r>
      <w:r w:rsidRPr="00E45BC7">
        <w:rPr>
          <w:rFonts w:ascii="Arial" w:hAnsi="Arial" w:cs="Arial"/>
          <w:sz w:val="22"/>
          <w:szCs w:val="22"/>
        </w:rPr>
        <w:t>CFR</w:t>
      </w:r>
      <w:r w:rsidRPr="00E45BC7" w:rsidR="00C22F23">
        <w:rPr>
          <w:rFonts w:ascii="Arial" w:hAnsi="Arial" w:cs="Arial"/>
          <w:sz w:val="22"/>
          <w:szCs w:val="22"/>
        </w:rPr>
        <w:t> </w:t>
      </w:r>
      <w:r w:rsidRPr="00E45BC7">
        <w:rPr>
          <w:rFonts w:ascii="Arial" w:hAnsi="Arial" w:cs="Arial"/>
          <w:sz w:val="22"/>
          <w:szCs w:val="22"/>
        </w:rPr>
        <w:t>Part</w:t>
      </w:r>
      <w:r w:rsidRPr="00E45BC7" w:rsidR="00C22F23">
        <w:rPr>
          <w:rFonts w:ascii="Arial" w:hAnsi="Arial" w:cs="Arial"/>
          <w:sz w:val="22"/>
          <w:szCs w:val="22"/>
        </w:rPr>
        <w:t> </w:t>
      </w:r>
      <w:r w:rsidRPr="00E45BC7">
        <w:rPr>
          <w:rFonts w:ascii="Arial" w:hAnsi="Arial" w:cs="Arial"/>
          <w:sz w:val="22"/>
          <w:szCs w:val="22"/>
        </w:rPr>
        <w:t>55, are more prescriptive, technology-specific, and inflexible when compared to the corresponding risk-informed, technology</w:t>
      </w:r>
      <w:r w:rsidRPr="00E45BC7">
        <w:rPr>
          <w:rFonts w:ascii="Arial" w:hAnsi="Arial" w:cs="Arial"/>
          <w:sz w:val="22"/>
          <w:szCs w:val="22"/>
        </w:rPr>
        <w:noBreakHyphen/>
        <w:t>inclusive 10 CFR Part 53 rule language.</w:t>
      </w:r>
    </w:p>
    <w:p w:rsidR="007F112A" w:rsidRPr="00E45BC7" w:rsidP="00E45BC7" w14:paraId="29BECA81" w14:textId="77777777">
      <w:pPr>
        <w:spacing w:after="220"/>
        <w:rPr>
          <w:rFonts w:ascii="Arial" w:hAnsi="Arial" w:cs="Arial"/>
          <w:sz w:val="22"/>
          <w:szCs w:val="22"/>
        </w:rPr>
      </w:pPr>
      <w:r w:rsidRPr="00E45BC7">
        <w:rPr>
          <w:rFonts w:ascii="Arial" w:hAnsi="Arial" w:cs="Arial"/>
          <w:sz w:val="22"/>
          <w:szCs w:val="22"/>
        </w:rPr>
        <w:t>10</w:t>
      </w:r>
      <w:r w:rsidRPr="00E45BC7" w:rsidR="00B51787">
        <w:rPr>
          <w:rFonts w:ascii="Arial" w:hAnsi="Arial" w:cs="Arial"/>
          <w:sz w:val="22"/>
          <w:szCs w:val="22"/>
        </w:rPr>
        <w:t xml:space="preserve"> </w:t>
      </w:r>
      <w:r w:rsidR="002C1301">
        <w:rPr>
          <w:rFonts w:ascii="Arial" w:hAnsi="Arial" w:cs="Arial"/>
          <w:sz w:val="22"/>
          <w:szCs w:val="22"/>
        </w:rPr>
        <w:t>CFR</w:t>
      </w:r>
      <w:r w:rsidR="00066F31">
        <w:rPr>
          <w:rFonts w:ascii="Arial" w:hAnsi="Arial" w:cs="Arial"/>
          <w:sz w:val="22"/>
          <w:szCs w:val="22"/>
        </w:rPr>
        <w:t> </w:t>
      </w:r>
      <w:r w:rsidRPr="00E45BC7">
        <w:rPr>
          <w:rFonts w:ascii="Arial" w:hAnsi="Arial" w:cs="Arial"/>
          <w:sz w:val="22"/>
          <w:szCs w:val="22"/>
        </w:rPr>
        <w:t>53.830 includes similar requirements to those in 10 CFR 50.120 for non</w:t>
      </w:r>
      <w:r w:rsidRPr="00E45BC7">
        <w:rPr>
          <w:rFonts w:ascii="Arial" w:hAnsi="Arial" w:cs="Arial"/>
          <w:sz w:val="22"/>
          <w:szCs w:val="22"/>
        </w:rPr>
        <w:noBreakHyphen/>
        <w:t xml:space="preserve">licensed plant personnel. </w:t>
      </w:r>
      <w:r w:rsidR="002C1301">
        <w:rPr>
          <w:rFonts w:ascii="Arial" w:hAnsi="Arial" w:cs="Arial"/>
          <w:sz w:val="22"/>
          <w:szCs w:val="22"/>
        </w:rPr>
        <w:t>10 CFR</w:t>
      </w:r>
      <w:r w:rsidRPr="00E45BC7" w:rsidR="00A31AC6">
        <w:rPr>
          <w:rFonts w:ascii="Arial" w:hAnsi="Arial" w:cs="Arial"/>
          <w:sz w:val="22"/>
          <w:szCs w:val="22"/>
        </w:rPr>
        <w:t xml:space="preserve"> </w:t>
      </w:r>
      <w:r w:rsidRPr="00E45BC7">
        <w:rPr>
          <w:rFonts w:ascii="Arial" w:hAnsi="Arial" w:cs="Arial"/>
          <w:sz w:val="22"/>
          <w:szCs w:val="22"/>
        </w:rPr>
        <w:t>53.830 does not provide the provisions for licensing of operators, such as examinations to demonstrate mastery of the necessary material to operate the plant competently based on a risk-informed analysis of the operator role in safety.</w:t>
      </w:r>
    </w:p>
    <w:p w:rsidR="007F112A" w:rsidRPr="00E45BC7" w:rsidP="00E45BC7" w14:paraId="176B8684"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these comments</w:t>
      </w:r>
      <w:r w:rsidR="007C6894">
        <w:rPr>
          <w:rFonts w:ascii="Arial" w:hAnsi="Arial" w:cs="Arial"/>
          <w:sz w:val="22"/>
          <w:szCs w:val="22"/>
        </w:rPr>
        <w:t>.</w:t>
      </w:r>
    </w:p>
    <w:p w:rsidR="007F112A" w:rsidRPr="00E45BC7" w:rsidP="00E45BC7" w14:paraId="13142CA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88" style="width:0;height:1.5pt" o:hralign="center" o:hrstd="t" o:hrnoshade="t" o:hr="t" fillcolor="black" stroked="f"/>
        </w:pict>
      </w:r>
    </w:p>
    <w:p w:rsidR="007F112A" w:rsidRPr="00E45BC7" w:rsidP="00E45BC7" w14:paraId="0801CD13"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V</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 xml:space="preserve">A commenter wrote that 10 CFR Part 53 does not consider the need for in-person, on-shift management of operations. Providing background, the commenter wrote that the nature of nuclear plants causes them to be exceptionally complex from a management perspective, and this is reflected in the causes of early major nuclear accidents. The commenter wrote that the SRO cannot perform this role as they need to focus on efforts involving the reactor and allied systems, and other plant operations would be conducted by specialized operators as appropriate. </w:t>
      </w:r>
    </w:p>
    <w:p w:rsidR="007F112A" w:rsidRPr="00E45BC7" w:rsidP="00E45BC7" w14:paraId="4825138A" w14:textId="77777777">
      <w:pPr>
        <w:spacing w:after="220"/>
        <w:rPr>
          <w:rFonts w:ascii="Arial" w:hAnsi="Arial" w:cs="Arial"/>
          <w:sz w:val="22"/>
          <w:szCs w:val="22"/>
        </w:rPr>
      </w:pPr>
      <w:r w:rsidRPr="00E45BC7">
        <w:rPr>
          <w:rFonts w:ascii="Arial" w:hAnsi="Arial" w:cs="Arial"/>
          <w:sz w:val="22"/>
          <w:szCs w:val="22"/>
        </w:rPr>
        <w:t xml:space="preserve">The commenter wrote that the NRC should establish a new section in the rule that clearly states applicants must address on-shift management to ensure that a single individual has authority and responsibility to direct on-shift operations, and all on-shift operations personnel must report to this shift manager. The commenter’s suggestion included a recommendation that all on-shift activities involving the plant cannot occur without that individual's explicit knowledge. </w:t>
      </w:r>
    </w:p>
    <w:p w:rsidR="007F112A" w:rsidRPr="00E45BC7" w:rsidP="00E45BC7" w14:paraId="516B7377"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added that this individual’s responsibilities and qualifications should not be subject to extensive regulatory requirements, where a site certificate involving knowledge of reactor operations and periodic training would be appropriate. Instead, the commenter suggested the NRC should be given the opportunity to provide a “no-objection” to the individual (</w:t>
      </w:r>
      <w:r w:rsidRPr="00D12FBC" w:rsidR="00D12FBC">
        <w:rPr>
          <w:rFonts w:ascii="Arial" w:eastAsia="Times New Roman" w:hAnsi="Arial" w:cs="Arial"/>
          <w:color w:val="000000"/>
          <w:sz w:val="22"/>
          <w:szCs w:val="22"/>
        </w:rPr>
        <w:t>HPT22</w:t>
      </w:r>
      <w:r w:rsidRPr="00D12FBC">
        <w:rPr>
          <w:rFonts w:ascii="Arial" w:hAnsi="Arial" w:cs="Arial"/>
          <w:sz w:val="22"/>
          <w:szCs w:val="22"/>
        </w:rPr>
        <w:t>-00</w:t>
      </w:r>
      <w:r w:rsidRPr="00E45BC7">
        <w:rPr>
          <w:rFonts w:ascii="Arial" w:hAnsi="Arial" w:cs="Arial"/>
          <w:sz w:val="22"/>
          <w:szCs w:val="22"/>
        </w:rPr>
        <w:t>01). </w:t>
      </w:r>
    </w:p>
    <w:p w:rsidR="00C76F0D" w:rsidRPr="00E45BC7" w:rsidP="00E45BC7" w14:paraId="2239905F"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w:t>
      </w:r>
      <w:r w:rsidR="00C02D01">
        <w:rPr>
          <w:rFonts w:ascii="Arial" w:hAnsi="Arial" w:cs="Arial"/>
          <w:sz w:val="22"/>
          <w:szCs w:val="22"/>
        </w:rPr>
        <w:t>e</w:t>
      </w:r>
      <w:r w:rsidRPr="00E45BC7">
        <w:rPr>
          <w:rFonts w:ascii="Arial" w:hAnsi="Arial" w:cs="Arial"/>
          <w:sz w:val="22"/>
          <w:szCs w:val="22"/>
        </w:rPr>
        <w:t xml:space="preserve"> comment</w:t>
      </w:r>
      <w:r w:rsidRPr="00E45BC7" w:rsidR="00F2779B">
        <w:rPr>
          <w:rFonts w:ascii="Arial" w:hAnsi="Arial" w:cs="Arial"/>
          <w:sz w:val="22"/>
          <w:szCs w:val="22"/>
        </w:rPr>
        <w:t>.</w:t>
      </w:r>
      <w:r w:rsidRPr="00E45BC7">
        <w:rPr>
          <w:rFonts w:ascii="Arial" w:hAnsi="Arial" w:cs="Arial"/>
          <w:sz w:val="22"/>
          <w:szCs w:val="22"/>
        </w:rPr>
        <w:t xml:space="preserve"> </w:t>
      </w:r>
    </w:p>
    <w:p w:rsidR="007F112A" w:rsidRPr="00E45BC7" w:rsidP="00E45BC7" w14:paraId="156454D2" w14:textId="77777777">
      <w:pPr>
        <w:spacing w:after="220"/>
        <w:rPr>
          <w:rFonts w:ascii="Arial" w:hAnsi="Arial" w:cs="Arial"/>
          <w:sz w:val="22"/>
          <w:szCs w:val="22"/>
        </w:rPr>
      </w:pPr>
      <w:r w:rsidRPr="00E45BC7">
        <w:rPr>
          <w:rFonts w:ascii="Arial" w:hAnsi="Arial" w:cs="Arial"/>
          <w:sz w:val="22"/>
          <w:szCs w:val="22"/>
        </w:rPr>
        <w:t>The NRC disagrees that the rule language should include a new section requiring applicants to address on-shift management to ensure that a single individual has authority and responsibility to direct on-shift operations and that all on</w:t>
      </w:r>
      <w:r w:rsidRPr="00E45BC7">
        <w:rPr>
          <w:rFonts w:ascii="Arial" w:hAnsi="Arial" w:cs="Arial"/>
          <w:sz w:val="22"/>
          <w:szCs w:val="22"/>
        </w:rPr>
        <w:noBreakHyphen/>
        <w:t>shift operations personnel must report to this shift manager. As stated in the proposed and final rule discussion related to 10 CFR Part 53, Subpart F, the requirements address staffing, training, personnel qualifications, and HFE in a manner that is risk</w:t>
      </w:r>
      <w:r w:rsidRPr="00E45BC7">
        <w:rPr>
          <w:rFonts w:ascii="Arial" w:hAnsi="Arial" w:cs="Arial"/>
          <w:sz w:val="22"/>
          <w:szCs w:val="22"/>
        </w:rPr>
        <w:noBreakHyphen/>
        <w:t xml:space="preserve">informed, technology-inclusive, performance-based, and flexible in nature. Adding a requirement for a single on-shift individual with specific authorities and responsibilities is overly restrictive. </w:t>
      </w:r>
    </w:p>
    <w:p w:rsidR="007F112A" w:rsidRPr="00E45BC7" w:rsidP="00E45BC7" w14:paraId="4516BAA1" w14:textId="77777777">
      <w:pPr>
        <w:spacing w:after="220"/>
        <w:rPr>
          <w:rFonts w:ascii="Arial" w:hAnsi="Arial" w:cs="Arial"/>
          <w:sz w:val="22"/>
          <w:szCs w:val="22"/>
        </w:rPr>
      </w:pPr>
      <w:r w:rsidRPr="00E45BC7">
        <w:rPr>
          <w:rFonts w:ascii="Arial" w:hAnsi="Arial" w:cs="Arial"/>
          <w:sz w:val="22"/>
          <w:szCs w:val="22"/>
        </w:rPr>
        <w:t xml:space="preserve">The NRC considers the roles and responsibilities of operators and other plant staff as part of the </w:t>
      </w:r>
      <w:r w:rsidRPr="00E45BC7" w:rsidR="00957A31">
        <w:rPr>
          <w:rFonts w:ascii="Arial" w:hAnsi="Arial" w:cs="Arial"/>
          <w:sz w:val="22"/>
          <w:szCs w:val="22"/>
        </w:rPr>
        <w:t>HFE</w:t>
      </w:r>
      <w:r w:rsidRPr="00E45BC7">
        <w:rPr>
          <w:rFonts w:ascii="Arial" w:hAnsi="Arial" w:cs="Arial"/>
          <w:sz w:val="22"/>
          <w:szCs w:val="22"/>
        </w:rPr>
        <w:t xml:space="preserve"> program review associated with 10 CFR 53.730. </w:t>
      </w:r>
    </w:p>
    <w:p w:rsidR="007F112A" w:rsidP="00E45BC7" w14:paraId="14029120"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this comment.</w:t>
      </w:r>
    </w:p>
    <w:p w:rsidR="00BA0271" w:rsidP="00E45BC7" w14:paraId="41863BE9" w14:textId="77777777">
      <w:pPr>
        <w:spacing w:after="220"/>
        <w:rPr>
          <w:rFonts w:ascii="Arial" w:hAnsi="Arial" w:cs="Arial"/>
          <w:sz w:val="22"/>
          <w:szCs w:val="22"/>
        </w:rPr>
      </w:pPr>
      <w:r>
        <w:rPr>
          <w:rFonts w:ascii="Arial" w:eastAsia="Times New Roman" w:hAnsi="Arial" w:cs="Arial"/>
          <w:sz w:val="22"/>
          <w:szCs w:val="22"/>
          <w:lang w:eastAsia="zh-CN"/>
        </w:rPr>
        <w:pict>
          <v:rect id="_x0000_i1189" style="width:0;height:1.5pt" o:hralign="center" o:hrstd="t" o:hrnoshade="t" o:hr="t" fillcolor="black" stroked="f"/>
        </w:pict>
      </w:r>
    </w:p>
    <w:p w:rsidR="007F112A" w:rsidRPr="00E45BC7" w:rsidP="00E45BC7" w14:paraId="55B537D4" w14:textId="77777777">
      <w:pPr>
        <w:spacing w:after="220"/>
        <w:rPr>
          <w:rFonts w:ascii="Arial" w:hAnsi="Arial" w:cs="Arial"/>
          <w:sz w:val="22"/>
          <w:szCs w:val="22"/>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W</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said that it appears that the training programs required under 10 CFR 53.830(c) are similar to those required under 10 CFR 50.120, and the commenter requested additional clarification on the intent and classifications of training programs required per this subpart. Specifically, the commenter asked:</w:t>
      </w:r>
    </w:p>
    <w:p w:rsidR="007F112A" w:rsidRPr="00E45BC7" w:rsidP="00455E55" w14:paraId="242BA638" w14:textId="77777777">
      <w:pPr>
        <w:pStyle w:val="ListParagraph"/>
        <w:numPr>
          <w:ilvl w:val="0"/>
          <w:numId w:val="31"/>
        </w:numPr>
        <w:spacing w:after="220"/>
        <w:contextualSpacing w:val="0"/>
        <w:rPr>
          <w:rFonts w:ascii="Arial" w:hAnsi="Arial" w:cs="Arial"/>
          <w:sz w:val="22"/>
          <w:szCs w:val="22"/>
        </w:rPr>
      </w:pPr>
      <w:r w:rsidRPr="00E45BC7">
        <w:rPr>
          <w:rFonts w:ascii="Arial" w:hAnsi="Arial" w:cs="Arial"/>
          <w:sz w:val="22"/>
          <w:szCs w:val="22"/>
        </w:rPr>
        <w:t>if the category of “Supervisors” includes all supervisors from the technical disciplines or only supervisors overseeing operational aspects,</w:t>
      </w:r>
    </w:p>
    <w:p w:rsidR="007F112A" w:rsidRPr="00E45BC7" w:rsidP="00455E55" w14:paraId="399482E4" w14:textId="77777777">
      <w:pPr>
        <w:pStyle w:val="ListParagraph"/>
        <w:numPr>
          <w:ilvl w:val="0"/>
          <w:numId w:val="31"/>
        </w:numPr>
        <w:spacing w:after="220"/>
        <w:contextualSpacing w:val="0"/>
        <w:rPr>
          <w:rFonts w:ascii="Arial" w:hAnsi="Arial" w:cs="Arial"/>
          <w:sz w:val="22"/>
          <w:szCs w:val="22"/>
        </w:rPr>
      </w:pPr>
      <w:r w:rsidRPr="00E45BC7">
        <w:rPr>
          <w:rFonts w:ascii="Arial" w:hAnsi="Arial" w:cs="Arial"/>
          <w:sz w:val="22"/>
          <w:szCs w:val="22"/>
        </w:rPr>
        <w:t>if operating personnel includes engineering expertise to on-shift operation personnel similar to 10 CFR 50.120</w:t>
      </w:r>
      <w:r w:rsidR="0012612D">
        <w:rPr>
          <w:rFonts w:ascii="Arial" w:hAnsi="Arial" w:cs="Arial"/>
          <w:sz w:val="22"/>
          <w:szCs w:val="22"/>
        </w:rPr>
        <w:t>,</w:t>
      </w:r>
    </w:p>
    <w:p w:rsidR="007F112A" w:rsidRPr="00E45BC7" w:rsidP="00455E55" w14:paraId="116E48C9" w14:textId="77777777">
      <w:pPr>
        <w:pStyle w:val="ListParagraph"/>
        <w:numPr>
          <w:ilvl w:val="0"/>
          <w:numId w:val="31"/>
        </w:numPr>
        <w:spacing w:after="220"/>
        <w:contextualSpacing w:val="0"/>
        <w:rPr>
          <w:rFonts w:ascii="Arial" w:hAnsi="Arial" w:cs="Arial"/>
          <w:sz w:val="22"/>
          <w:szCs w:val="22"/>
        </w:rPr>
      </w:pPr>
      <w:r w:rsidRPr="00E45BC7">
        <w:rPr>
          <w:rFonts w:ascii="Arial" w:hAnsi="Arial" w:cs="Arial"/>
          <w:sz w:val="22"/>
          <w:szCs w:val="22"/>
        </w:rPr>
        <w:t>if, similar to 10 CFR 50.120, 10 CFR Part 53 should not call out certified fuel handlers, and</w:t>
      </w:r>
    </w:p>
    <w:p w:rsidR="007F112A" w:rsidRPr="00E45BC7" w:rsidP="00455E55" w14:paraId="4EEB0655" w14:textId="77777777">
      <w:pPr>
        <w:pStyle w:val="ListParagraph"/>
        <w:numPr>
          <w:ilvl w:val="0"/>
          <w:numId w:val="31"/>
        </w:numPr>
        <w:spacing w:after="220"/>
        <w:contextualSpacing w:val="0"/>
        <w:rPr>
          <w:rFonts w:ascii="Arial" w:hAnsi="Arial" w:cs="Arial"/>
          <w:sz w:val="22"/>
          <w:szCs w:val="22"/>
        </w:rPr>
      </w:pPr>
      <w:r w:rsidRPr="00E45BC7">
        <w:rPr>
          <w:rFonts w:ascii="Arial" w:hAnsi="Arial" w:cs="Arial"/>
          <w:sz w:val="22"/>
          <w:szCs w:val="22"/>
        </w:rPr>
        <w:t>if the term “auxiliary operators” in 10 CFR 53.830 and “non-licensed operators” in 10</w:t>
      </w:r>
      <w:r w:rsidR="00184360">
        <w:rPr>
          <w:rFonts w:ascii="Arial" w:hAnsi="Arial" w:cs="Arial"/>
          <w:sz w:val="22"/>
          <w:szCs w:val="22"/>
        </w:rPr>
        <w:t> </w:t>
      </w:r>
      <w:r w:rsidRPr="00E45BC7">
        <w:rPr>
          <w:rFonts w:ascii="Arial" w:hAnsi="Arial" w:cs="Arial"/>
          <w:sz w:val="22"/>
          <w:szCs w:val="22"/>
        </w:rPr>
        <w:t>CFR 53.020 are the same.</w:t>
      </w:r>
    </w:p>
    <w:p w:rsidR="007F112A" w:rsidRPr="00E45BC7" w:rsidP="00E45BC7" w14:paraId="295ED760" w14:textId="77777777">
      <w:pPr>
        <w:spacing w:after="220"/>
        <w:rPr>
          <w:rFonts w:ascii="Arial" w:eastAsia="Times New Roman" w:hAnsi="Arial" w:cs="Arial"/>
          <w:color w:val="000000"/>
          <w:sz w:val="22"/>
          <w:szCs w:val="22"/>
          <w:lang w:eastAsia="zh-CN"/>
        </w:rPr>
      </w:pPr>
      <w:r w:rsidRPr="00E45BC7">
        <w:rPr>
          <w:rFonts w:ascii="Arial" w:hAnsi="Arial" w:cs="Arial"/>
          <w:sz w:val="22"/>
          <w:szCs w:val="22"/>
        </w:rPr>
        <w:t>The commenter also asked NRC to clarify whether the category of “supervisors” includes technical program areas and maintenance supervisors or only operational shift supervisors as in 10 CFR 50.120, and to align definitions relating to non-licensed operator and auxiliary operator for consistency (</w:t>
      </w:r>
      <w:r w:rsidR="009D6BB9">
        <w:rPr>
          <w:rFonts w:ascii="Arial" w:hAnsi="Arial" w:cs="Arial"/>
          <w:sz w:val="22"/>
          <w:szCs w:val="22"/>
        </w:rPr>
        <w:t>NEI2</w:t>
      </w:r>
      <w:r w:rsidRPr="00E45BC7">
        <w:rPr>
          <w:rFonts w:ascii="Arial" w:hAnsi="Arial" w:cs="Arial"/>
          <w:sz w:val="22"/>
          <w:szCs w:val="22"/>
        </w:rPr>
        <w:t>-0107). </w:t>
      </w:r>
    </w:p>
    <w:p w:rsidR="00E63309" w:rsidRPr="00E45BC7" w:rsidP="00E45BC7" w14:paraId="36795850" w14:textId="77777777">
      <w:pPr>
        <w:spacing w:after="220"/>
        <w:rPr>
          <w:rFonts w:ascii="Arial" w:eastAsia="DengXian"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The NRC agrees, in part, with </w:t>
      </w:r>
      <w:r w:rsidRPr="00E45BC7" w:rsidR="00EB3E62">
        <w:rPr>
          <w:rFonts w:ascii="Arial" w:eastAsia="DengXian" w:hAnsi="Arial" w:cs="Arial"/>
          <w:sz w:val="22"/>
          <w:szCs w:val="22"/>
        </w:rPr>
        <w:t>this comment.</w:t>
      </w:r>
    </w:p>
    <w:p w:rsidR="007F112A" w:rsidRPr="00E45BC7" w:rsidP="00E45BC7" w14:paraId="683DD81E" w14:textId="77777777">
      <w:pPr>
        <w:spacing w:after="220"/>
        <w:rPr>
          <w:rFonts w:ascii="Arial" w:hAnsi="Arial" w:cs="Arial"/>
          <w:sz w:val="22"/>
          <w:szCs w:val="22"/>
        </w:rPr>
      </w:pPr>
      <w:r w:rsidRPr="00E45BC7">
        <w:rPr>
          <w:rFonts w:ascii="Arial" w:hAnsi="Arial" w:cs="Arial"/>
          <w:sz w:val="22"/>
          <w:szCs w:val="22"/>
        </w:rPr>
        <w:t xml:space="preserve">The NRC agrees, in part, regarding clarifying whether the category of “Supervisors” in 10 CFR 53.830(c) is intended to include supervisors from the technical disciplines. The intent was to use a more technology-inclusive and flexible approach to categorizing disciplines that warranted a </w:t>
      </w:r>
      <w:r w:rsidR="00370BBE">
        <w:rPr>
          <w:rFonts w:ascii="Arial" w:hAnsi="Arial" w:cs="Arial"/>
          <w:sz w:val="22"/>
          <w:szCs w:val="22"/>
        </w:rPr>
        <w:t>SAT-based</w:t>
      </w:r>
      <w:r w:rsidRPr="00E45BC7">
        <w:rPr>
          <w:rFonts w:ascii="Arial" w:hAnsi="Arial" w:cs="Arial"/>
          <w:sz w:val="22"/>
          <w:szCs w:val="22"/>
        </w:rPr>
        <w:t xml:space="preserve"> training program. The regulation in 10 CFR 50.120 is based on the paradigm and conduct of operations for the current reactor technology designs and does not reflect changes in that paradigm as a result of efficiencies gained in the proposed advanced reactor designs. Therefore, the NRC developed a new categorization method that was intended to capture appropriate roles and disciplines requiring this training but did not intend to expand the scope beyond that currently required in 10 CFR Part 50.</w:t>
      </w:r>
    </w:p>
    <w:p w:rsidR="007F112A" w:rsidRPr="00E45BC7" w:rsidP="00E45BC7" w14:paraId="2798D5AF" w14:textId="77777777">
      <w:pPr>
        <w:spacing w:after="220"/>
        <w:rPr>
          <w:rFonts w:ascii="Arial" w:hAnsi="Arial" w:cs="Arial"/>
          <w:sz w:val="22"/>
          <w:szCs w:val="22"/>
        </w:rPr>
      </w:pPr>
      <w:r w:rsidRPr="00E45BC7">
        <w:rPr>
          <w:rFonts w:ascii="Arial" w:hAnsi="Arial" w:cs="Arial"/>
          <w:sz w:val="22"/>
          <w:szCs w:val="22"/>
        </w:rPr>
        <w:t xml:space="preserve">The categories as defined in 10 CFR 53.830(c) were developed to align with the Nuclear Waste Policy Act of 1982, as amended. Section 306 directed the NRC to promulgate regulations for the </w:t>
      </w:r>
      <w:r w:rsidRPr="00E45BC7">
        <w:rPr>
          <w:rFonts w:ascii="Arial" w:hAnsi="Arial" w:cs="Arial"/>
          <w:sz w:val="22"/>
          <w:szCs w:val="22"/>
        </w:rPr>
        <w:t xml:space="preserve">training and qualification of civilian nuclear power plant operators, supervisors, technicians, and other appropriate operating personnel. The NRC updated the </w:t>
      </w:r>
      <w:r w:rsidR="00BE2F3F">
        <w:rPr>
          <w:rFonts w:ascii="Arial" w:hAnsi="Arial" w:cs="Arial"/>
          <w:sz w:val="22"/>
          <w:szCs w:val="22"/>
        </w:rPr>
        <w:t>final rule</w:t>
      </w:r>
      <w:r w:rsidRPr="00E45BC7">
        <w:rPr>
          <w:rFonts w:ascii="Arial" w:hAnsi="Arial" w:cs="Arial"/>
          <w:sz w:val="22"/>
          <w:szCs w:val="22"/>
        </w:rPr>
        <w:t xml:space="preserve"> </w:t>
      </w:r>
      <w:r w:rsidR="006D1BFF">
        <w:rPr>
          <w:rFonts w:ascii="Arial" w:hAnsi="Arial" w:cs="Arial"/>
          <w:sz w:val="22"/>
          <w:szCs w:val="22"/>
        </w:rPr>
        <w:t xml:space="preserve">FRN </w:t>
      </w:r>
      <w:r w:rsidRPr="00E45BC7">
        <w:rPr>
          <w:rFonts w:ascii="Arial" w:hAnsi="Arial" w:cs="Arial"/>
          <w:sz w:val="22"/>
          <w:szCs w:val="22"/>
        </w:rPr>
        <w:t>language to clarify the intent of the term “supervisors” for 10 CFR 53.830(c). However, the NRC does not believe this warrants additional clarification in the rule language</w:t>
      </w:r>
      <w:r w:rsidR="00B453F8">
        <w:rPr>
          <w:rFonts w:ascii="Arial" w:hAnsi="Arial" w:cs="Arial"/>
          <w:sz w:val="22"/>
          <w:szCs w:val="22"/>
        </w:rPr>
        <w:t xml:space="preserve"> itself</w:t>
      </w:r>
      <w:r w:rsidRPr="00E45BC7">
        <w:rPr>
          <w:rFonts w:ascii="Arial" w:hAnsi="Arial" w:cs="Arial"/>
          <w:sz w:val="22"/>
          <w:szCs w:val="22"/>
        </w:rPr>
        <w:t>.</w:t>
      </w:r>
    </w:p>
    <w:p w:rsidR="007F112A" w:rsidRPr="00E45BC7" w:rsidP="00E45BC7" w14:paraId="2D4A6BCC" w14:textId="77777777">
      <w:pPr>
        <w:spacing w:after="220"/>
        <w:rPr>
          <w:rFonts w:ascii="Arial" w:hAnsi="Arial" w:cs="Arial"/>
          <w:sz w:val="22"/>
          <w:szCs w:val="22"/>
        </w:rPr>
      </w:pPr>
      <w:r w:rsidRPr="00E45BC7">
        <w:rPr>
          <w:rFonts w:ascii="Arial" w:hAnsi="Arial" w:cs="Arial"/>
          <w:sz w:val="22"/>
          <w:szCs w:val="22"/>
        </w:rPr>
        <w:t>The NRC agrees regarding operating personnel</w:t>
      </w:r>
      <w:r w:rsidR="00F4458E">
        <w:rPr>
          <w:rFonts w:ascii="Arial" w:hAnsi="Arial" w:cs="Arial"/>
          <w:sz w:val="22"/>
          <w:szCs w:val="22"/>
        </w:rPr>
        <w:t>,</w:t>
      </w:r>
      <w:r w:rsidRPr="00E45BC7">
        <w:rPr>
          <w:rFonts w:ascii="Arial" w:hAnsi="Arial" w:cs="Arial"/>
          <w:sz w:val="22"/>
          <w:szCs w:val="22"/>
        </w:rPr>
        <w:t xml:space="preserve"> including engineering expertise</w:t>
      </w:r>
      <w:r w:rsidR="00F4458E">
        <w:rPr>
          <w:rFonts w:ascii="Arial" w:hAnsi="Arial" w:cs="Arial"/>
          <w:sz w:val="22"/>
          <w:szCs w:val="22"/>
        </w:rPr>
        <w:t>,</w:t>
      </w:r>
      <w:r w:rsidRPr="00E45BC7">
        <w:rPr>
          <w:rFonts w:ascii="Arial" w:hAnsi="Arial" w:cs="Arial"/>
          <w:sz w:val="22"/>
          <w:szCs w:val="22"/>
        </w:rPr>
        <w:t xml:space="preserve"> to on-shift personnel and </w:t>
      </w:r>
      <w:r w:rsidR="00C572FE">
        <w:rPr>
          <w:rFonts w:ascii="Arial" w:hAnsi="Arial" w:cs="Arial"/>
          <w:sz w:val="22"/>
          <w:szCs w:val="22"/>
        </w:rPr>
        <w:t>that</w:t>
      </w:r>
      <w:r w:rsidRPr="00E45BC7" w:rsidR="00C572FE">
        <w:rPr>
          <w:rFonts w:ascii="Arial" w:hAnsi="Arial" w:cs="Arial"/>
          <w:sz w:val="22"/>
          <w:szCs w:val="22"/>
        </w:rPr>
        <w:t xml:space="preserve"> </w:t>
      </w:r>
      <w:r w:rsidRPr="00E45BC7">
        <w:rPr>
          <w:rFonts w:ascii="Arial" w:hAnsi="Arial" w:cs="Arial"/>
          <w:sz w:val="22"/>
          <w:szCs w:val="22"/>
        </w:rPr>
        <w:t>the intent is similar to that in 10</w:t>
      </w:r>
      <w:r w:rsidRPr="00E45BC7" w:rsidR="00AE0327">
        <w:rPr>
          <w:rFonts w:ascii="Arial" w:hAnsi="Arial" w:cs="Arial"/>
          <w:sz w:val="22"/>
          <w:szCs w:val="22"/>
        </w:rPr>
        <w:t> </w:t>
      </w:r>
      <w:r w:rsidRPr="00E45BC7">
        <w:rPr>
          <w:rFonts w:ascii="Arial" w:hAnsi="Arial" w:cs="Arial"/>
          <w:sz w:val="22"/>
          <w:szCs w:val="22"/>
        </w:rPr>
        <w:t>CFR</w:t>
      </w:r>
      <w:r w:rsidRPr="00E45BC7" w:rsidR="00C43631">
        <w:rPr>
          <w:rFonts w:ascii="Arial" w:hAnsi="Arial" w:cs="Arial"/>
          <w:sz w:val="22"/>
          <w:szCs w:val="22"/>
        </w:rPr>
        <w:t> </w:t>
      </w:r>
      <w:r w:rsidRPr="00E45BC7">
        <w:rPr>
          <w:rFonts w:ascii="Arial" w:hAnsi="Arial" w:cs="Arial"/>
          <w:sz w:val="22"/>
          <w:szCs w:val="22"/>
        </w:rPr>
        <w:t xml:space="preserve">50.120. The NRC developed the language in 10 CFR 53.830 to allow for greater flexibility in personnel categorization under different conduct of operations and organizational structures while ensuring that the appropriate disciplines are covered by a </w:t>
      </w:r>
      <w:r w:rsidR="002D41F1">
        <w:rPr>
          <w:rFonts w:ascii="Arial" w:hAnsi="Arial" w:cs="Arial"/>
          <w:sz w:val="22"/>
          <w:szCs w:val="22"/>
        </w:rPr>
        <w:t>SAT-based</w:t>
      </w:r>
      <w:r w:rsidRPr="00E45BC7">
        <w:rPr>
          <w:rFonts w:ascii="Arial" w:hAnsi="Arial" w:cs="Arial"/>
          <w:sz w:val="22"/>
          <w:szCs w:val="22"/>
        </w:rPr>
        <w:t xml:space="preserve"> training program.</w:t>
      </w:r>
    </w:p>
    <w:p w:rsidR="007F112A" w:rsidRPr="00E45BC7" w:rsidP="00E45BC7" w14:paraId="1B16470E" w14:textId="77777777">
      <w:pPr>
        <w:spacing w:after="220"/>
        <w:rPr>
          <w:rFonts w:ascii="Arial" w:hAnsi="Arial" w:cs="Arial"/>
          <w:sz w:val="22"/>
          <w:szCs w:val="22"/>
        </w:rPr>
      </w:pPr>
      <w:r w:rsidRPr="00E45BC7">
        <w:rPr>
          <w:rFonts w:ascii="Arial" w:hAnsi="Arial" w:cs="Arial"/>
          <w:sz w:val="22"/>
          <w:szCs w:val="22"/>
        </w:rPr>
        <w:t>The NRC disagrees regarding 10 CFR 50.120 not including certified fuel handlers while 10 CFR 53.830 does. The NRC developed the 10 CFR Part 53 rule language to cover all aspects of the facility lifecycle, including decommissioning, at which time there would no longer be a need for licensed operators but would instead transition to certified fuel handlers. Currently, these training programs are handled individually via changes to the facility’s technical specifications during decommissioning. The requirements were instead moved into regulations for consistency.</w:t>
      </w:r>
    </w:p>
    <w:p w:rsidR="007F112A" w:rsidP="00E45BC7" w14:paraId="40B0A4AD" w14:textId="77777777">
      <w:pPr>
        <w:spacing w:after="220"/>
        <w:rPr>
          <w:rFonts w:ascii="Arial" w:hAnsi="Arial" w:cs="Arial"/>
          <w:sz w:val="22"/>
          <w:szCs w:val="22"/>
        </w:rPr>
      </w:pPr>
      <w:r w:rsidRPr="00E45BC7">
        <w:rPr>
          <w:rFonts w:ascii="Arial" w:hAnsi="Arial" w:cs="Arial"/>
          <w:sz w:val="22"/>
          <w:szCs w:val="22"/>
        </w:rPr>
        <w:t>The NRC disagrees regarding non-licensed operators and auxiliary operators. The term auxiliary operator is defined in 10 CFR 53.725(c) and refers to any individual who operates components of a commercial nuclear plant who is not required to be licensed. However, this definition is only applicable in 10 CFR 53.725 through 10 CFR 53.830 and therefore is not referenced elsewhere, such as in 10 CFR 53.020. The term “non-licensed” is used in 10 CFR 53.020 in the context of a certified fuel handler and is intended to delineate that position from one that would require an operator license.</w:t>
      </w:r>
    </w:p>
    <w:p w:rsidR="00B5348B" w:rsidP="00E45BC7" w14:paraId="53AA4A5A" w14:textId="77777777">
      <w:pPr>
        <w:spacing w:after="220"/>
        <w:rPr>
          <w:rFonts w:ascii="Arial" w:hAnsi="Arial" w:cs="Arial"/>
          <w:sz w:val="22"/>
          <w:szCs w:val="22"/>
        </w:rPr>
      </w:pPr>
      <w:r>
        <w:rPr>
          <w:rFonts w:ascii="Arial" w:hAnsi="Arial" w:cs="Arial"/>
          <w:sz w:val="22"/>
          <w:szCs w:val="22"/>
        </w:rPr>
        <w:t>Accordingly, t</w:t>
      </w:r>
      <w:r w:rsidRPr="00E45BC7">
        <w:rPr>
          <w:rFonts w:ascii="Arial" w:hAnsi="Arial" w:cs="Arial"/>
          <w:sz w:val="22"/>
          <w:szCs w:val="22"/>
        </w:rPr>
        <w:t xml:space="preserve">he NRC updated the </w:t>
      </w:r>
      <w:r>
        <w:rPr>
          <w:rFonts w:ascii="Arial" w:hAnsi="Arial" w:cs="Arial"/>
          <w:sz w:val="22"/>
          <w:szCs w:val="22"/>
        </w:rPr>
        <w:t>final rule</w:t>
      </w:r>
      <w:r w:rsidRPr="00E45BC7">
        <w:rPr>
          <w:rFonts w:ascii="Arial" w:hAnsi="Arial" w:cs="Arial"/>
          <w:sz w:val="22"/>
          <w:szCs w:val="22"/>
        </w:rPr>
        <w:t xml:space="preserve"> </w:t>
      </w:r>
      <w:r>
        <w:rPr>
          <w:rFonts w:ascii="Arial" w:hAnsi="Arial" w:cs="Arial"/>
          <w:sz w:val="22"/>
          <w:szCs w:val="22"/>
        </w:rPr>
        <w:t xml:space="preserve">FRN </w:t>
      </w:r>
      <w:r w:rsidRPr="00E45BC7">
        <w:rPr>
          <w:rFonts w:ascii="Arial" w:hAnsi="Arial" w:cs="Arial"/>
          <w:sz w:val="22"/>
          <w:szCs w:val="22"/>
        </w:rPr>
        <w:t>language to clarify the intent of the term “supervisors” for 10 CFR 53.830(c).</w:t>
      </w:r>
    </w:p>
    <w:p w:rsidR="007F112A" w:rsidRPr="00E45BC7" w:rsidP="00E45BC7" w14:paraId="46F33FCD"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190" style="width:0;height:1.5pt" o:hralign="center" o:hrstd="t" o:hrnoshade="t" o:hr="t" fillcolor="black" stroked="f"/>
        </w:pict>
      </w:r>
    </w:p>
    <w:p w:rsidR="007F112A" w:rsidRPr="00E45BC7" w:rsidP="00E45BC7" w14:paraId="7CE384E5"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X</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staffing, training, qualifications, and human factors requirements contained in the proposed rule are prescriptive and are fixated on reactor operators while not considering the automated nature of future advanced reactors. The commenter wrote that the NRC should take a simpler approach and state that licensee programs are required for reactor plant staffing, operator qualification and re-qualification, operator training, and simulators. The commenter added that the NRC should state that these programs must be developed from consensus industry codes and standards, and the applicable subsections in the rule should identify simple key requirements involving the programs. The commenter also stated that the NRC should accept licensee certifications of operators</w:t>
      </w:r>
      <w:r w:rsidRPr="00996B61">
        <w:rPr>
          <w:rFonts w:ascii="Arial" w:hAnsi="Arial" w:cs="Arial"/>
          <w:sz w:val="22"/>
          <w:szCs w:val="22"/>
        </w:rPr>
        <w:t xml:space="preserve"> </w:t>
      </w:r>
      <w:r w:rsidR="00485E9B">
        <w:rPr>
          <w:rFonts w:ascii="Arial" w:hAnsi="Arial" w:cs="Arial"/>
          <w:sz w:val="22"/>
          <w:szCs w:val="22"/>
        </w:rPr>
        <w:br/>
      </w:r>
      <w:r w:rsidRPr="00996B61">
        <w:rPr>
          <w:rFonts w:ascii="Arial" w:hAnsi="Arial" w:cs="Arial"/>
          <w:sz w:val="22"/>
          <w:szCs w:val="22"/>
        </w:rPr>
        <w:t>(</w:t>
      </w:r>
      <w:r w:rsidRPr="00996B61" w:rsidR="00996B61">
        <w:rPr>
          <w:rFonts w:ascii="Arial" w:eastAsia="Times New Roman" w:hAnsi="Arial" w:cs="Arial"/>
          <w:color w:val="000000"/>
          <w:sz w:val="22"/>
          <w:szCs w:val="22"/>
        </w:rPr>
        <w:t>HPT35</w:t>
      </w:r>
      <w:r w:rsidRPr="00996B61">
        <w:rPr>
          <w:rFonts w:ascii="Arial" w:hAnsi="Arial" w:cs="Arial"/>
          <w:sz w:val="22"/>
          <w:szCs w:val="22"/>
        </w:rPr>
        <w:t>-</w:t>
      </w:r>
      <w:r w:rsidRPr="00E45BC7">
        <w:rPr>
          <w:rFonts w:ascii="Arial" w:hAnsi="Arial" w:cs="Arial"/>
          <w:sz w:val="22"/>
          <w:szCs w:val="22"/>
        </w:rPr>
        <w:t>0001).</w:t>
      </w:r>
    </w:p>
    <w:p w:rsidR="007F112A" w:rsidRPr="00E45BC7" w:rsidP="00E45BC7" w14:paraId="3F6E34D6"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w:t>
      </w:r>
      <w:r w:rsidR="00C02D01">
        <w:rPr>
          <w:rFonts w:ascii="Arial" w:hAnsi="Arial" w:cs="Arial"/>
          <w:sz w:val="22"/>
          <w:szCs w:val="22"/>
        </w:rPr>
        <w:t>e</w:t>
      </w:r>
      <w:r w:rsidRPr="00E45BC7">
        <w:rPr>
          <w:rFonts w:ascii="Arial" w:hAnsi="Arial" w:cs="Arial"/>
          <w:sz w:val="22"/>
          <w:szCs w:val="22"/>
        </w:rPr>
        <w:t xml:space="preserve"> comment.</w:t>
      </w:r>
    </w:p>
    <w:p w:rsidR="007F112A" w:rsidRPr="00E45BC7" w:rsidP="00E45BC7" w14:paraId="01EDC219" w14:textId="77777777">
      <w:pPr>
        <w:spacing w:after="220"/>
        <w:rPr>
          <w:rFonts w:ascii="Arial" w:hAnsi="Arial" w:cs="Arial"/>
          <w:sz w:val="22"/>
          <w:szCs w:val="22"/>
        </w:rPr>
      </w:pPr>
      <w:r w:rsidRPr="00E45BC7">
        <w:rPr>
          <w:rFonts w:ascii="Arial" w:hAnsi="Arial" w:cs="Arial"/>
          <w:sz w:val="22"/>
          <w:szCs w:val="22"/>
        </w:rPr>
        <w:t xml:space="preserve">The NRC disagrees with the statement that the staffing, training, qualifications, and human factors requirements in the proposed rule are prescriptive. The staffing, training, licensing, and human factors requirements in 10 CFR Part 53 are designed to be risk-informed and technology-inclusive and appropriately provide requirements based on the requisite safety implications. For example, introduction of a </w:t>
      </w:r>
      <w:r w:rsidRPr="00E45BC7" w:rsidR="00F27A69">
        <w:rPr>
          <w:rFonts w:ascii="Arial" w:hAnsi="Arial" w:cs="Arial"/>
          <w:sz w:val="22"/>
          <w:szCs w:val="22"/>
        </w:rPr>
        <w:t>GLRO</w:t>
      </w:r>
      <w:r w:rsidRPr="00E45BC7">
        <w:rPr>
          <w:rFonts w:ascii="Arial" w:hAnsi="Arial" w:cs="Arial"/>
          <w:sz w:val="22"/>
          <w:szCs w:val="22"/>
        </w:rPr>
        <w:t xml:space="preserve"> simplifies and streamlines the licensing process for those operators at facilities </w:t>
      </w:r>
      <w:r w:rsidR="0003191C">
        <w:rPr>
          <w:rFonts w:ascii="Arial" w:hAnsi="Arial" w:cs="Arial"/>
          <w:sz w:val="22"/>
          <w:szCs w:val="22"/>
        </w:rPr>
        <w:t>that</w:t>
      </w:r>
      <w:r w:rsidRPr="00E45BC7" w:rsidR="0003191C">
        <w:rPr>
          <w:rFonts w:ascii="Arial" w:hAnsi="Arial" w:cs="Arial"/>
          <w:sz w:val="22"/>
          <w:szCs w:val="22"/>
        </w:rPr>
        <w:t xml:space="preserve"> </w:t>
      </w:r>
      <w:r w:rsidRPr="00E45BC7">
        <w:rPr>
          <w:rFonts w:ascii="Arial" w:hAnsi="Arial" w:cs="Arial"/>
          <w:sz w:val="22"/>
          <w:szCs w:val="22"/>
        </w:rPr>
        <w:t xml:space="preserve">have shown that the operator is not relied upon for safety, as might be found in facilities with high levels of autonomous operations. The key </w:t>
      </w:r>
      <w:r w:rsidRPr="00E45BC7">
        <w:rPr>
          <w:rFonts w:ascii="Arial" w:hAnsi="Arial" w:cs="Arial"/>
          <w:sz w:val="22"/>
          <w:szCs w:val="22"/>
        </w:rPr>
        <w:t xml:space="preserve">aspect, however, is not how autonomous the facility is, but rather whether the operator is relied upon for safe operation of that facility under normal, abnormal, or emergency operations. The 10 CFR Part 53 proposed rule language already requires programs for staffing, operator training, simulators, and operator licensing. </w:t>
      </w:r>
    </w:p>
    <w:p w:rsidR="007F112A" w:rsidRPr="00E45BC7" w:rsidP="00E45BC7" w14:paraId="193BF015" w14:textId="77777777">
      <w:pPr>
        <w:spacing w:after="220"/>
        <w:rPr>
          <w:rFonts w:ascii="Arial" w:hAnsi="Arial" w:cs="Arial"/>
          <w:sz w:val="22"/>
          <w:szCs w:val="22"/>
        </w:rPr>
      </w:pPr>
      <w:r w:rsidRPr="00E45BC7">
        <w:rPr>
          <w:rFonts w:ascii="Arial" w:hAnsi="Arial" w:cs="Arial"/>
          <w:sz w:val="22"/>
          <w:szCs w:val="22"/>
        </w:rPr>
        <w:t xml:space="preserve">Regarding the use of consensus codes and standards, NRC Forms 398 and 396, both referenced in this regulation, do refer to applicable industry codes and standards, which can be used to meet those requirements. Additionally, a </w:t>
      </w:r>
      <w:r w:rsidR="007557FA">
        <w:rPr>
          <w:rFonts w:ascii="Arial" w:hAnsi="Arial" w:cs="Arial"/>
          <w:sz w:val="22"/>
          <w:szCs w:val="22"/>
        </w:rPr>
        <w:t>SAT</w:t>
      </w:r>
      <w:r w:rsidRPr="00E45BC7">
        <w:rPr>
          <w:rFonts w:ascii="Arial" w:hAnsi="Arial" w:cs="Arial"/>
          <w:sz w:val="22"/>
          <w:szCs w:val="22"/>
        </w:rPr>
        <w:t xml:space="preserve"> is a standardized approach that is well-understood in the training area. Other industry standards that can be used to meet the regulatory requirements may be endorsed </w:t>
      </w:r>
      <w:r w:rsidRPr="00E45BC7" w:rsidR="0086608D">
        <w:rPr>
          <w:rFonts w:ascii="Arial" w:hAnsi="Arial" w:cs="Arial"/>
          <w:sz w:val="22"/>
          <w:szCs w:val="22"/>
        </w:rPr>
        <w:t xml:space="preserve">through </w:t>
      </w:r>
      <w:r w:rsidRPr="00E45BC7">
        <w:rPr>
          <w:rFonts w:ascii="Arial" w:hAnsi="Arial" w:cs="Arial"/>
          <w:sz w:val="22"/>
          <w:szCs w:val="22"/>
        </w:rPr>
        <w:t>the appropriate process (e.g., a</w:t>
      </w:r>
      <w:r w:rsidR="00907927">
        <w:rPr>
          <w:rFonts w:ascii="Arial" w:hAnsi="Arial" w:cs="Arial"/>
          <w:sz w:val="22"/>
          <w:szCs w:val="22"/>
        </w:rPr>
        <w:t>n</w:t>
      </w:r>
      <w:r w:rsidRPr="00E45BC7">
        <w:rPr>
          <w:rFonts w:ascii="Arial" w:hAnsi="Arial" w:cs="Arial"/>
          <w:sz w:val="22"/>
          <w:szCs w:val="22"/>
        </w:rPr>
        <w:t xml:space="preserve"> RG). Where necessary, the NRC has specified those minimum requirements in each area of staffing, training, licensing and human factors that must be met for both facilities and operators licensing under this part, to ensure that safety is met. Some of these requirements are prescriptive because that is what is needed to ensure </w:t>
      </w:r>
      <w:r w:rsidR="005A2BF4">
        <w:rPr>
          <w:rFonts w:ascii="Arial" w:hAnsi="Arial" w:cs="Arial"/>
          <w:sz w:val="22"/>
          <w:szCs w:val="22"/>
        </w:rPr>
        <w:t xml:space="preserve">that </w:t>
      </w:r>
      <w:r w:rsidRPr="00E45BC7">
        <w:rPr>
          <w:rFonts w:ascii="Arial" w:hAnsi="Arial" w:cs="Arial"/>
          <w:sz w:val="22"/>
          <w:szCs w:val="22"/>
        </w:rPr>
        <w:t>safety is addressed. Where appropriate, the NRC has designed the rule language to be risk-informed, scaling the requirements based on the associated risk while maintaining a technology-inclusive focus. This results in less prescriptive requirements as compared to 10 CFR Part 55, where the requirements for operators at facilities licensed under 10 CFR Parts 50 and 52 reside. As an example, 10 CFR Part 55 provides specific topics that must be covered in an examination, as well as the format (i.e., written or operating test) of that examination. No prescriptive list is in 10 CFR Part 53 rule language. This is intended to be technology-</w:t>
      </w:r>
      <w:r w:rsidRPr="00E45BC7" w:rsidR="00E0645A">
        <w:rPr>
          <w:rFonts w:ascii="Arial" w:hAnsi="Arial" w:cs="Arial"/>
          <w:sz w:val="22"/>
          <w:szCs w:val="22"/>
        </w:rPr>
        <w:t>inclusive</w:t>
      </w:r>
      <w:r w:rsidRPr="00E45BC7">
        <w:rPr>
          <w:rFonts w:ascii="Arial" w:hAnsi="Arial" w:cs="Arial"/>
          <w:sz w:val="22"/>
          <w:szCs w:val="22"/>
        </w:rPr>
        <w:t xml:space="preserve"> and to allow the facility to determine what operator knowledge is necessary based on the specific design and risk characteristics of that facility.</w:t>
      </w:r>
    </w:p>
    <w:p w:rsidR="007F112A" w:rsidRPr="00E45BC7" w:rsidP="00E45BC7" w14:paraId="2B76158C" w14:textId="77777777">
      <w:pPr>
        <w:spacing w:after="220"/>
        <w:rPr>
          <w:rFonts w:ascii="Arial" w:hAnsi="Arial" w:cs="Arial"/>
          <w:sz w:val="22"/>
          <w:szCs w:val="22"/>
        </w:rPr>
      </w:pPr>
      <w:r w:rsidRPr="00E45BC7">
        <w:rPr>
          <w:rFonts w:ascii="Arial" w:hAnsi="Arial" w:cs="Arial"/>
          <w:sz w:val="22"/>
          <w:szCs w:val="22"/>
        </w:rPr>
        <w:t>Regarding the NRC accepting licensee certification of operators, this would not be authorized under the A</w:t>
      </w:r>
      <w:r w:rsidR="009A3B38">
        <w:rPr>
          <w:rFonts w:ascii="Arial" w:hAnsi="Arial" w:cs="Arial"/>
          <w:sz w:val="22"/>
          <w:szCs w:val="22"/>
        </w:rPr>
        <w:t>EA</w:t>
      </w:r>
      <w:r w:rsidRPr="00E45BC7">
        <w:rPr>
          <w:rFonts w:ascii="Arial" w:hAnsi="Arial" w:cs="Arial"/>
          <w:sz w:val="22"/>
          <w:szCs w:val="22"/>
        </w:rPr>
        <w:t xml:space="preserve"> which requires the NRC to establish uniform conditions for the licensing of operators. Allowing facilities to establish their own processes for certifying operators would be </w:t>
      </w:r>
      <w:r w:rsidRPr="00E45BC7" w:rsidR="003F5635">
        <w:rPr>
          <w:rFonts w:ascii="Arial" w:hAnsi="Arial" w:cs="Arial"/>
          <w:sz w:val="22"/>
          <w:szCs w:val="22"/>
        </w:rPr>
        <w:t>contrary to</w:t>
      </w:r>
      <w:r w:rsidRPr="00E45BC7">
        <w:rPr>
          <w:rFonts w:ascii="Arial" w:hAnsi="Arial" w:cs="Arial"/>
          <w:sz w:val="22"/>
          <w:szCs w:val="22"/>
        </w:rPr>
        <w:t xml:space="preserve"> the A</w:t>
      </w:r>
      <w:r w:rsidR="009A3B38">
        <w:rPr>
          <w:rFonts w:ascii="Arial" w:hAnsi="Arial" w:cs="Arial"/>
          <w:sz w:val="22"/>
          <w:szCs w:val="22"/>
        </w:rPr>
        <w:t>EA</w:t>
      </w:r>
      <w:r w:rsidRPr="00E45BC7">
        <w:rPr>
          <w:rFonts w:ascii="Arial" w:hAnsi="Arial" w:cs="Arial"/>
          <w:sz w:val="22"/>
          <w:szCs w:val="22"/>
        </w:rPr>
        <w:t>.</w:t>
      </w:r>
    </w:p>
    <w:p w:rsidR="007F112A" w:rsidRPr="00E45BC7" w:rsidP="00E45BC7" w14:paraId="6C256403"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this comment</w:t>
      </w:r>
      <w:r w:rsidR="00213A70">
        <w:rPr>
          <w:rFonts w:ascii="Arial" w:hAnsi="Arial" w:cs="Arial"/>
          <w:sz w:val="22"/>
          <w:szCs w:val="22"/>
        </w:rPr>
        <w:t>.</w:t>
      </w:r>
    </w:p>
    <w:p w:rsidR="00BA0271" w:rsidRPr="00E45BC7" w:rsidP="00E45BC7" w14:paraId="717AC438" w14:textId="77777777">
      <w:pPr>
        <w:spacing w:after="220"/>
        <w:rPr>
          <w:rFonts w:ascii="Arial" w:hAnsi="Arial" w:cs="Arial"/>
          <w:sz w:val="22"/>
          <w:szCs w:val="22"/>
        </w:rPr>
      </w:pPr>
      <w:r>
        <w:rPr>
          <w:rFonts w:ascii="Arial" w:eastAsia="Times New Roman" w:hAnsi="Arial" w:cs="Arial"/>
          <w:sz w:val="22"/>
          <w:szCs w:val="22"/>
          <w:lang w:eastAsia="zh-CN"/>
        </w:rPr>
        <w:pict>
          <v:rect id="_x0000_i1191" style="width:0;height:1.5pt" o:hralign="center" o:hrstd="t" o:hrnoshade="t" o:hr="t" fillcolor="black" stroked="f"/>
        </w:pict>
      </w:r>
    </w:p>
    <w:p w:rsidR="007F112A" w:rsidRPr="00E45BC7" w:rsidP="00E45BC7" w14:paraId="0DC67F60"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Y</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 staffing approach is performance</w:t>
      </w:r>
      <w:r w:rsidRPr="00E45BC7">
        <w:rPr>
          <w:rFonts w:ascii="Arial" w:hAnsi="Arial" w:cs="Arial"/>
          <w:sz w:val="22"/>
          <w:szCs w:val="22"/>
        </w:rPr>
        <w:noBreakHyphen/>
        <w:t xml:space="preserve">based and has the potential to allow for reduced staffing levels if safety objectives are met through other means </w:t>
      </w:r>
      <w:r w:rsidRPr="00E45BC7" w:rsidR="006148E3">
        <w:rPr>
          <w:rFonts w:ascii="Arial" w:hAnsi="Arial" w:cs="Arial"/>
          <w:sz w:val="22"/>
          <w:szCs w:val="22"/>
        </w:rPr>
        <w:t>(</w:t>
      </w:r>
      <w:r w:rsidR="00E36F7E">
        <w:rPr>
          <w:rFonts w:ascii="Arial" w:hAnsi="Arial" w:cs="Arial"/>
          <w:sz w:val="22"/>
          <w:szCs w:val="22"/>
        </w:rPr>
        <w:t>NYS2</w:t>
      </w:r>
      <w:r w:rsidRPr="00E45BC7">
        <w:rPr>
          <w:rFonts w:ascii="Arial" w:hAnsi="Arial" w:cs="Arial"/>
          <w:sz w:val="22"/>
          <w:szCs w:val="22"/>
        </w:rPr>
        <w:t>-0012).</w:t>
      </w:r>
    </w:p>
    <w:p w:rsidR="006148E3" w:rsidRPr="00E45BC7" w:rsidP="00E45BC7" w14:paraId="13113010" w14:textId="77777777">
      <w:pPr>
        <w:spacing w:after="220"/>
        <w:rPr>
          <w:rFonts w:ascii="Arial" w:eastAsia="DengXian" w:hAnsi="Arial" w:cs="Arial"/>
          <w:sz w:val="22"/>
          <w:szCs w:val="22"/>
          <w:lang w:eastAsia="ja-JP"/>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eastAsia="DengXian" w:hAnsi="Arial" w:cs="Arial"/>
          <w:sz w:val="22"/>
          <w:szCs w:val="22"/>
          <w:lang w:eastAsia="ja-JP"/>
        </w:rPr>
        <w:t>The NRC agrees with th</w:t>
      </w:r>
      <w:r w:rsidR="00C02D01">
        <w:rPr>
          <w:rFonts w:ascii="Arial" w:eastAsia="DengXian" w:hAnsi="Arial" w:cs="Arial"/>
          <w:sz w:val="22"/>
          <w:szCs w:val="22"/>
          <w:lang w:eastAsia="ja-JP"/>
        </w:rPr>
        <w:t>e</w:t>
      </w:r>
      <w:r w:rsidRPr="00E45BC7">
        <w:rPr>
          <w:rFonts w:ascii="Arial" w:eastAsia="DengXian" w:hAnsi="Arial" w:cs="Arial"/>
          <w:sz w:val="22"/>
          <w:szCs w:val="22"/>
          <w:lang w:eastAsia="ja-JP"/>
        </w:rPr>
        <w:t xml:space="preserve"> comment. The comment supports the proposed rule and suggests no changes to the proposed rule. </w:t>
      </w:r>
    </w:p>
    <w:p w:rsidR="007F112A" w:rsidRPr="00E45BC7" w:rsidP="00E45BC7" w14:paraId="156D9368" w14:textId="77777777">
      <w:pPr>
        <w:spacing w:after="220"/>
        <w:rPr>
          <w:rFonts w:ascii="Arial" w:hAnsi="Arial" w:cs="Arial"/>
          <w:sz w:val="22"/>
          <w:szCs w:val="22"/>
        </w:rPr>
      </w:pPr>
      <w:r w:rsidRPr="00E45BC7">
        <w:rPr>
          <w:rFonts w:ascii="Arial" w:eastAsia="DengXian" w:hAnsi="Arial" w:cs="Arial"/>
          <w:sz w:val="22"/>
          <w:szCs w:val="22"/>
          <w:lang w:eastAsia="ja-JP"/>
        </w:rPr>
        <w:t>Accordingly, the NRC did not change the rule language in response to this comment</w:t>
      </w:r>
      <w:r w:rsidR="00213A70">
        <w:rPr>
          <w:rFonts w:ascii="Arial" w:eastAsia="DengXian" w:hAnsi="Arial" w:cs="Arial"/>
          <w:sz w:val="22"/>
          <w:szCs w:val="22"/>
          <w:lang w:eastAsia="ja-JP"/>
        </w:rPr>
        <w:t>.</w:t>
      </w:r>
    </w:p>
    <w:p w:rsidR="00BA0271" w:rsidRPr="00E45BC7" w:rsidP="00E45BC7" w14:paraId="27BCBC19" w14:textId="77777777">
      <w:pPr>
        <w:spacing w:after="220"/>
        <w:rPr>
          <w:rFonts w:ascii="Arial" w:hAnsi="Arial" w:cs="Arial"/>
          <w:sz w:val="22"/>
          <w:szCs w:val="22"/>
        </w:rPr>
      </w:pPr>
      <w:r>
        <w:rPr>
          <w:rFonts w:ascii="Arial" w:eastAsia="Times New Roman" w:hAnsi="Arial" w:cs="Arial"/>
          <w:sz w:val="22"/>
          <w:szCs w:val="22"/>
          <w:lang w:eastAsia="zh-CN"/>
        </w:rPr>
        <w:pict>
          <v:rect id="_x0000_i1192" style="width:0;height:1.5pt" o:hralign="center" o:hrstd="t" o:hrnoshade="t" o:hr="t" fillcolor="black" stroked="f"/>
        </w:pict>
      </w:r>
    </w:p>
    <w:p w:rsidR="007F112A" w:rsidRPr="00E45BC7" w:rsidP="00E45BC7" w14:paraId="0E88D138"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Z</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they disagreed with the proposed GLRO class of operators and added that the NRC should maintain a similar type of license for this class of operators as is done with other licensed nuclear operators. The commenter stated that a GLRO would not be required to hold a license with the NRC. The commenter also added that GLROs should be subject to similar medical evaluations and standards to other commercial nuclear licensed operators (</w:t>
      </w:r>
      <w:r w:rsidR="00E36F7E">
        <w:rPr>
          <w:rFonts w:ascii="Arial" w:hAnsi="Arial" w:cs="Arial"/>
          <w:sz w:val="22"/>
          <w:szCs w:val="22"/>
        </w:rPr>
        <w:t>NYS2</w:t>
      </w:r>
      <w:r w:rsidRPr="00E45BC7">
        <w:rPr>
          <w:rFonts w:ascii="Arial" w:hAnsi="Arial" w:cs="Arial"/>
          <w:sz w:val="22"/>
          <w:szCs w:val="22"/>
        </w:rPr>
        <w:t>-0013). </w:t>
      </w:r>
    </w:p>
    <w:p w:rsidR="007F112A" w:rsidRPr="00E45BC7" w:rsidP="00E45BC7" w14:paraId="31CF056C"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the comment.</w:t>
      </w:r>
    </w:p>
    <w:p w:rsidR="007F112A" w:rsidRPr="00E45BC7" w:rsidP="00E45BC7" w14:paraId="6E0FBCEC" w14:textId="77777777">
      <w:pPr>
        <w:spacing w:after="220"/>
        <w:rPr>
          <w:rFonts w:ascii="Arial" w:hAnsi="Arial" w:cs="Arial"/>
          <w:sz w:val="22"/>
          <w:szCs w:val="22"/>
        </w:rPr>
      </w:pPr>
      <w:r w:rsidRPr="00E45BC7">
        <w:rPr>
          <w:rFonts w:ascii="Arial" w:hAnsi="Arial" w:cs="Arial"/>
          <w:sz w:val="22"/>
          <w:szCs w:val="22"/>
        </w:rPr>
        <w:t xml:space="preserve">GLROs are licensed to perform duties under the provisions of a general license embedded in the general licensing process covered in 10 CFR 53.805 through 10 CFR 53.820, specifically 10 CFR 53.810. Therefore, GLROs are required to hold a license with the NRC, but </w:t>
      </w:r>
      <w:r w:rsidRPr="00E45BC7" w:rsidR="00DD3C52">
        <w:rPr>
          <w:rFonts w:ascii="Arial" w:hAnsi="Arial" w:cs="Arial"/>
          <w:sz w:val="22"/>
          <w:szCs w:val="22"/>
        </w:rPr>
        <w:t xml:space="preserve">that </w:t>
      </w:r>
      <w:r w:rsidRPr="00E45BC7">
        <w:rPr>
          <w:rFonts w:ascii="Arial" w:hAnsi="Arial" w:cs="Arial"/>
          <w:sz w:val="22"/>
          <w:szCs w:val="22"/>
        </w:rPr>
        <w:t>license would not be specifically issued via an application and license letter from the NRC.</w:t>
      </w:r>
      <w:r w:rsidR="007970D8">
        <w:rPr>
          <w:rFonts w:ascii="Arial" w:hAnsi="Arial" w:cs="Arial"/>
          <w:sz w:val="22"/>
          <w:szCs w:val="22"/>
        </w:rPr>
        <w:t xml:space="preserve"> </w:t>
      </w:r>
    </w:p>
    <w:p w:rsidR="007F112A" w:rsidRPr="00E45BC7" w:rsidP="00E45BC7" w14:paraId="6CCFAEE1" w14:textId="77777777">
      <w:pPr>
        <w:spacing w:after="220"/>
        <w:rPr>
          <w:rFonts w:ascii="Arial" w:hAnsi="Arial" w:cs="Arial"/>
          <w:sz w:val="22"/>
          <w:szCs w:val="22"/>
        </w:rPr>
      </w:pPr>
      <w:r w:rsidRPr="00E45BC7">
        <w:rPr>
          <w:rFonts w:ascii="Arial" w:hAnsi="Arial" w:cs="Arial"/>
          <w:sz w:val="22"/>
          <w:szCs w:val="22"/>
        </w:rPr>
        <w:t>Facilities licensed under 10 CFR 53.800 as SRMFs are required to report annually to the NRC the names of the GLROs at their facility in accordance with 10 CFR 53.805(a)(5). The GLROs would not need to have a comparable medical requirement to licensed operators at other commercial nuclear facilities because GLROs are not expected to have a role in the fulfillment of safety functions at an SRMF; licensed operators at other commercial nuclear facilities have roles that include the fulfillment of safety functions, thereby requiring more stringent medical requirements. By satisfying the criteria in 10 CFR 53.800, an SRMF establishes that GLROs will have minimal safety impact on the SRMF. The minimal safety impact warrants less oversight by the NRC.</w:t>
      </w:r>
    </w:p>
    <w:p w:rsidR="007F112A" w:rsidP="00E45BC7" w14:paraId="7674E565" w14:textId="77777777">
      <w:pPr>
        <w:spacing w:after="220"/>
        <w:rPr>
          <w:rFonts w:ascii="Arial" w:hAnsi="Arial" w:cs="Arial"/>
          <w:sz w:val="22"/>
          <w:szCs w:val="22"/>
        </w:rPr>
      </w:pPr>
      <w:r w:rsidRPr="00E45BC7">
        <w:rPr>
          <w:rFonts w:ascii="Arial" w:hAnsi="Arial" w:cs="Arial"/>
          <w:sz w:val="22"/>
          <w:szCs w:val="22"/>
        </w:rPr>
        <w:t xml:space="preserve">Accordingly, the NRC </w:t>
      </w:r>
      <w:r w:rsidRPr="00E45BC7">
        <w:rPr>
          <w:rFonts w:ascii="Arial" w:eastAsia="DengXian" w:hAnsi="Arial" w:cs="Arial"/>
          <w:sz w:val="22"/>
          <w:szCs w:val="22"/>
          <w:lang w:eastAsia="ja-JP"/>
        </w:rPr>
        <w:t>did not change the rule language in response to this comment</w:t>
      </w:r>
      <w:r w:rsidRPr="00E45BC7">
        <w:rPr>
          <w:rFonts w:ascii="Arial" w:hAnsi="Arial" w:cs="Arial"/>
          <w:sz w:val="22"/>
          <w:szCs w:val="22"/>
        </w:rPr>
        <w:t>.</w:t>
      </w:r>
    </w:p>
    <w:p w:rsidR="007F112A" w:rsidRPr="00E45BC7" w:rsidP="00E45BC7" w14:paraId="7D91570A"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93" style="width:0;height:1.5pt" o:hralign="center" o:hrstd="t" o:hrnoshade="t" o:hr="t" fillcolor="black" stroked="f"/>
        </w:pict>
      </w:r>
    </w:p>
    <w:p w:rsidR="007F112A" w:rsidRPr="00E45BC7" w:rsidP="00E45BC7" w14:paraId="4BC50482" w14:textId="77777777">
      <w:pPr>
        <w:spacing w:after="220"/>
        <w:rPr>
          <w:rFonts w:ascii="Arial" w:eastAsia="Times New Roman" w:hAnsi="Arial" w:cs="Arial"/>
          <w:color w:val="000000"/>
          <w:sz w:val="22"/>
          <w:szCs w:val="22"/>
          <w:lang w:eastAsia="zh-CN"/>
        </w:rPr>
      </w:pPr>
      <w:r w:rsidRPr="00E45BC7">
        <w:rPr>
          <w:rFonts w:ascii="Arial" w:eastAsia="DengXian" w:hAnsi="Arial" w:cs="Arial"/>
          <w:b/>
          <w:sz w:val="22"/>
          <w:szCs w:val="22"/>
        </w:rPr>
        <w:t>Comment Bin 3.6.2.1.</w:t>
      </w:r>
      <w:r w:rsidRPr="00E45BC7" w:rsidR="001B0CF5">
        <w:rPr>
          <w:rFonts w:ascii="Arial" w:eastAsia="DengXian" w:hAnsi="Arial" w:cs="Arial"/>
          <w:b/>
          <w:sz w:val="22"/>
          <w:szCs w:val="22"/>
        </w:rPr>
        <w:t>AA</w:t>
      </w:r>
      <w:r w:rsidRPr="00E45BC7">
        <w:rPr>
          <w:rFonts w:ascii="Arial" w:eastAsia="DengXian" w:hAnsi="Arial" w:cs="Arial"/>
          <w:b/>
          <w:sz w:val="22"/>
          <w:szCs w:val="22"/>
        </w:rPr>
        <w:t>:</w:t>
      </w:r>
      <w:r w:rsidRPr="00E45BC7">
        <w:rPr>
          <w:rFonts w:ascii="Arial" w:eastAsia="DengXian" w:hAnsi="Arial" w:cs="Arial"/>
          <w:sz w:val="22"/>
          <w:szCs w:val="22"/>
        </w:rPr>
        <w:t xml:space="preserve"> </w:t>
      </w:r>
      <w:r w:rsidRPr="00E45BC7">
        <w:rPr>
          <w:rFonts w:ascii="Arial" w:hAnsi="Arial" w:cs="Arial"/>
          <w:sz w:val="22"/>
          <w:szCs w:val="22"/>
        </w:rPr>
        <w:t>A commenter wrote that 10 CFR 53.740 bases its staffing requirements on licensee specific staffing plans. The commenter wrote that these provisions are ambiguous and will “negatively impact state and public stakeholders and their ability to understand the current licensing basis (CLB) or participate in the 10</w:t>
      </w:r>
      <w:r w:rsidRPr="00E45BC7" w:rsidR="009A31FB">
        <w:rPr>
          <w:rFonts w:ascii="Arial" w:hAnsi="Arial" w:cs="Arial"/>
          <w:sz w:val="22"/>
          <w:szCs w:val="22"/>
        </w:rPr>
        <w:t> </w:t>
      </w:r>
      <w:r w:rsidRPr="00E45BC7">
        <w:rPr>
          <w:rFonts w:ascii="Arial" w:hAnsi="Arial" w:cs="Arial"/>
          <w:sz w:val="22"/>
          <w:szCs w:val="22"/>
        </w:rPr>
        <w:t>CFR</w:t>
      </w:r>
      <w:r w:rsidRPr="00E45BC7" w:rsidR="009A31FB">
        <w:rPr>
          <w:rFonts w:ascii="Arial" w:hAnsi="Arial" w:cs="Arial"/>
          <w:sz w:val="22"/>
          <w:szCs w:val="22"/>
        </w:rPr>
        <w:t> </w:t>
      </w:r>
      <w:r w:rsidRPr="00E45BC7">
        <w:rPr>
          <w:rFonts w:ascii="Arial" w:hAnsi="Arial" w:cs="Arial"/>
          <w:sz w:val="22"/>
          <w:szCs w:val="22"/>
        </w:rPr>
        <w:t>2.206 process.” The commenter added that the NRC should provide a more clear and structured process to allow for involvement of State regulators and stakeholders (</w:t>
      </w:r>
      <w:r w:rsidR="00E36F7E">
        <w:rPr>
          <w:rFonts w:ascii="Arial" w:hAnsi="Arial" w:cs="Arial"/>
          <w:sz w:val="22"/>
          <w:szCs w:val="22"/>
        </w:rPr>
        <w:t>NYS2</w:t>
      </w:r>
      <w:r w:rsidRPr="00E45BC7">
        <w:rPr>
          <w:rFonts w:ascii="Arial" w:hAnsi="Arial" w:cs="Arial"/>
          <w:sz w:val="22"/>
          <w:szCs w:val="22"/>
        </w:rPr>
        <w:t>-0007). </w:t>
      </w:r>
    </w:p>
    <w:p w:rsidR="007F112A" w:rsidRPr="00E45BC7" w:rsidP="00E45BC7" w14:paraId="604ABC07" w14:textId="77777777">
      <w:pPr>
        <w:spacing w:after="220"/>
        <w:rPr>
          <w:rFonts w:ascii="Arial" w:hAnsi="Arial" w:cs="Arial"/>
          <w:sz w:val="22"/>
          <w:szCs w:val="22"/>
        </w:rPr>
      </w:pPr>
      <w:r w:rsidRPr="00E45BC7">
        <w:rPr>
          <w:rFonts w:ascii="Arial" w:eastAsia="DengXian" w:hAnsi="Arial" w:cs="Arial"/>
          <w:b/>
          <w:sz w:val="22"/>
          <w:szCs w:val="22"/>
        </w:rPr>
        <w:t>NRC Response:</w:t>
      </w:r>
      <w:r w:rsidRPr="00E45BC7">
        <w:rPr>
          <w:rFonts w:ascii="Arial" w:eastAsia="DengXian" w:hAnsi="Arial" w:cs="Arial"/>
          <w:sz w:val="22"/>
          <w:szCs w:val="22"/>
        </w:rPr>
        <w:t xml:space="preserve"> </w:t>
      </w:r>
      <w:r w:rsidRPr="00E45BC7">
        <w:rPr>
          <w:rFonts w:ascii="Arial" w:hAnsi="Arial" w:cs="Arial"/>
          <w:sz w:val="22"/>
          <w:szCs w:val="22"/>
        </w:rPr>
        <w:t>The NRC disagrees with the comment.</w:t>
      </w:r>
    </w:p>
    <w:p w:rsidR="007F112A" w:rsidRPr="00E45BC7" w:rsidP="00E45BC7" w14:paraId="2E1C395A" w14:textId="77777777">
      <w:pPr>
        <w:spacing w:after="220"/>
        <w:rPr>
          <w:rFonts w:ascii="Arial" w:hAnsi="Arial" w:cs="Arial"/>
          <w:sz w:val="22"/>
          <w:szCs w:val="22"/>
        </w:rPr>
      </w:pPr>
      <w:r w:rsidRPr="00E45BC7">
        <w:rPr>
          <w:rFonts w:ascii="Arial" w:hAnsi="Arial" w:cs="Arial"/>
          <w:sz w:val="22"/>
          <w:szCs w:val="22"/>
        </w:rPr>
        <w:t>The NRC acknowledges that 10 CFR Part 53 is much less prescriptive than the traditional regulatory framework implemented by regulations such as 10 CFR Parts 50, 52</w:t>
      </w:r>
      <w:r w:rsidRPr="00E45BC7" w:rsidR="00242AE5">
        <w:rPr>
          <w:rFonts w:ascii="Arial" w:hAnsi="Arial" w:cs="Arial"/>
          <w:sz w:val="22"/>
          <w:szCs w:val="22"/>
        </w:rPr>
        <w:t>,</w:t>
      </w:r>
      <w:r w:rsidRPr="00E45BC7">
        <w:rPr>
          <w:rFonts w:ascii="Arial" w:hAnsi="Arial" w:cs="Arial"/>
          <w:sz w:val="22"/>
          <w:szCs w:val="22"/>
        </w:rPr>
        <w:t xml:space="preserve"> and 55. The 10</w:t>
      </w:r>
      <w:r w:rsidR="00290511">
        <w:rPr>
          <w:rFonts w:ascii="Arial" w:hAnsi="Arial" w:cs="Arial"/>
          <w:sz w:val="22"/>
          <w:szCs w:val="22"/>
        </w:rPr>
        <w:t> </w:t>
      </w:r>
      <w:r w:rsidRPr="00E45BC7">
        <w:rPr>
          <w:rFonts w:ascii="Arial" w:hAnsi="Arial" w:cs="Arial"/>
          <w:sz w:val="22"/>
          <w:szCs w:val="22"/>
        </w:rPr>
        <w:t>CFR Part 53 framework needs to be less prescriptive and more risk-informed and performance-based to accommodate a wide variety of possible reactor technologies and designs</w:t>
      </w:r>
      <w:r w:rsidR="008C2E8B">
        <w:rPr>
          <w:rFonts w:ascii="Arial" w:hAnsi="Arial" w:cs="Arial"/>
          <w:sz w:val="22"/>
          <w:szCs w:val="22"/>
        </w:rPr>
        <w:t>, consistent with the statutory direction in NEIMA</w:t>
      </w:r>
      <w:r w:rsidRPr="00E45BC7">
        <w:rPr>
          <w:rFonts w:ascii="Arial" w:hAnsi="Arial" w:cs="Arial"/>
          <w:sz w:val="22"/>
          <w:szCs w:val="22"/>
        </w:rPr>
        <w:t>. The variety of reactor technologies and designs will likewise lead to significant differences in approved staffing plans under 10</w:t>
      </w:r>
      <w:r w:rsidR="00926BA8">
        <w:rPr>
          <w:rFonts w:ascii="Arial" w:hAnsi="Arial" w:cs="Arial"/>
          <w:sz w:val="22"/>
          <w:szCs w:val="22"/>
        </w:rPr>
        <w:t> </w:t>
      </w:r>
      <w:r w:rsidRPr="00E45BC7">
        <w:rPr>
          <w:rFonts w:ascii="Arial" w:hAnsi="Arial" w:cs="Arial"/>
          <w:sz w:val="22"/>
          <w:szCs w:val="22"/>
        </w:rPr>
        <w:t>CFR</w:t>
      </w:r>
      <w:r w:rsidR="00926BA8">
        <w:rPr>
          <w:rFonts w:ascii="Arial" w:hAnsi="Arial" w:cs="Arial"/>
          <w:sz w:val="22"/>
          <w:szCs w:val="22"/>
        </w:rPr>
        <w:t> </w:t>
      </w:r>
      <w:r w:rsidR="00C43DB1">
        <w:rPr>
          <w:rFonts w:ascii="Arial" w:hAnsi="Arial" w:cs="Arial"/>
          <w:sz w:val="22"/>
          <w:szCs w:val="22"/>
        </w:rPr>
        <w:t>5</w:t>
      </w:r>
      <w:r w:rsidRPr="00E45BC7" w:rsidR="00C43DB1">
        <w:rPr>
          <w:rFonts w:ascii="Arial" w:hAnsi="Arial" w:cs="Arial"/>
          <w:sz w:val="22"/>
          <w:szCs w:val="22"/>
        </w:rPr>
        <w:t>3</w:t>
      </w:r>
      <w:r w:rsidRPr="00E45BC7">
        <w:rPr>
          <w:rFonts w:ascii="Arial" w:hAnsi="Arial" w:cs="Arial"/>
          <w:sz w:val="22"/>
          <w:szCs w:val="22"/>
        </w:rPr>
        <w:t xml:space="preserve">.740(b) and other licensing basis information. Although the specific licensing basis information, including approved staffing plans, </w:t>
      </w:r>
      <w:r w:rsidR="008940FF">
        <w:rPr>
          <w:rFonts w:ascii="Arial" w:hAnsi="Arial" w:cs="Arial"/>
          <w:sz w:val="22"/>
          <w:szCs w:val="22"/>
        </w:rPr>
        <w:t>is</w:t>
      </w:r>
      <w:r w:rsidRPr="00E45BC7" w:rsidR="008940FF">
        <w:rPr>
          <w:rFonts w:ascii="Arial" w:hAnsi="Arial" w:cs="Arial"/>
          <w:sz w:val="22"/>
          <w:szCs w:val="22"/>
        </w:rPr>
        <w:t xml:space="preserve"> </w:t>
      </w:r>
      <w:r w:rsidRPr="00E45BC7">
        <w:rPr>
          <w:rFonts w:ascii="Arial" w:hAnsi="Arial" w:cs="Arial"/>
          <w:sz w:val="22"/>
          <w:szCs w:val="22"/>
        </w:rPr>
        <w:t xml:space="preserve">expected to vary from facility to facility, the organization of the information will be similar and will be publicly available </w:t>
      </w:r>
      <w:r w:rsidR="004602A1">
        <w:rPr>
          <w:rFonts w:ascii="Arial" w:hAnsi="Arial" w:cs="Arial"/>
          <w:sz w:val="22"/>
          <w:szCs w:val="22"/>
        </w:rPr>
        <w:t>in each facility’s licensing basis</w:t>
      </w:r>
      <w:r w:rsidRPr="00E45BC7">
        <w:rPr>
          <w:rFonts w:ascii="Arial" w:hAnsi="Arial" w:cs="Arial"/>
          <w:sz w:val="22"/>
          <w:szCs w:val="22"/>
        </w:rPr>
        <w:t xml:space="preserve"> to facilitate the involvement of State regulators and stakeholders.</w:t>
      </w:r>
    </w:p>
    <w:p w:rsidR="007F112A" w:rsidRPr="00E45BC7" w:rsidP="00E45BC7" w14:paraId="0BD0FF40" w14:textId="77777777">
      <w:pPr>
        <w:spacing w:after="220"/>
        <w:rPr>
          <w:rFonts w:ascii="Arial" w:hAnsi="Arial" w:cs="Arial"/>
          <w:sz w:val="22"/>
          <w:szCs w:val="22"/>
        </w:rPr>
      </w:pPr>
      <w:r w:rsidRPr="00E45BC7">
        <w:rPr>
          <w:rFonts w:ascii="Arial" w:hAnsi="Arial" w:cs="Arial"/>
          <w:sz w:val="22"/>
          <w:szCs w:val="22"/>
        </w:rPr>
        <w:t>Accordingly, the NRC did not change the rule language in response to this comment</w:t>
      </w:r>
      <w:r w:rsidR="00487AFB">
        <w:rPr>
          <w:rFonts w:ascii="Arial" w:hAnsi="Arial" w:cs="Arial"/>
          <w:sz w:val="22"/>
          <w:szCs w:val="22"/>
        </w:rPr>
        <w:t>.</w:t>
      </w:r>
    </w:p>
    <w:p w:rsidR="007F112A" w:rsidRPr="00E45BC7" w:rsidP="00E45BC7" w14:paraId="6BDCEDA6"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94" style="width:0;height:1.5pt" o:hralign="center" o:hrstd="t" o:hrnoshade="t" o:hr="t" fillcolor="black" stroked="f"/>
        </w:pict>
      </w:r>
    </w:p>
    <w:p w:rsidR="007F112A" w:rsidRPr="00BA0271" w:rsidP="00BA0271" w14:paraId="1595EA60" w14:textId="77777777">
      <w:pPr>
        <w:spacing w:after="220"/>
        <w:rPr>
          <w:rFonts w:ascii="Arial" w:hAnsi="Arial" w:cs="Arial"/>
          <w:sz w:val="22"/>
          <w:szCs w:val="22"/>
        </w:rPr>
      </w:pPr>
      <w:r w:rsidRPr="00BA0271">
        <w:rPr>
          <w:rFonts w:ascii="Arial" w:eastAsia="DengXian" w:hAnsi="Arial" w:cs="Arial"/>
          <w:b/>
          <w:sz w:val="22"/>
          <w:szCs w:val="22"/>
        </w:rPr>
        <w:t>Comment Bin 3.6.2.1.</w:t>
      </w:r>
      <w:r w:rsidRPr="00BA0271" w:rsidR="001B0CF5">
        <w:rPr>
          <w:rFonts w:ascii="Arial" w:eastAsia="DengXian" w:hAnsi="Arial" w:cs="Arial"/>
          <w:b/>
          <w:sz w:val="22"/>
          <w:szCs w:val="22"/>
        </w:rPr>
        <w:t>BB</w:t>
      </w:r>
      <w:r w:rsidRPr="00BA0271">
        <w:rPr>
          <w:rFonts w:ascii="Arial" w:eastAsia="DengXian" w:hAnsi="Arial" w:cs="Arial"/>
          <w:b/>
          <w:sz w:val="22"/>
          <w:szCs w:val="22"/>
        </w:rPr>
        <w:t>:</w:t>
      </w:r>
      <w:r w:rsidRPr="00BA0271">
        <w:rPr>
          <w:rFonts w:ascii="Arial" w:eastAsia="DengXian" w:hAnsi="Arial" w:cs="Arial"/>
          <w:sz w:val="22"/>
          <w:szCs w:val="22"/>
        </w:rPr>
        <w:t xml:space="preserve"> </w:t>
      </w:r>
      <w:r w:rsidRPr="00BA0271">
        <w:rPr>
          <w:rFonts w:ascii="Arial" w:hAnsi="Arial" w:cs="Arial"/>
          <w:sz w:val="22"/>
          <w:szCs w:val="22"/>
        </w:rPr>
        <w:t>A commenter recommended that the NRC eliminate most of the specifically licensed operator requirements in the proposed rule and instead reference existing regulations in 10 CFR Part 55. To accomplish this, the commenter recommended that the NRC adopt the edits to Subpart F that were included in Commissioner Caputo's vote on the proposed rulemaking.</w:t>
      </w:r>
    </w:p>
    <w:p w:rsidR="007F112A" w:rsidRPr="00BA0271" w:rsidP="00BA0271" w14:paraId="334D1C19" w14:textId="77777777">
      <w:pPr>
        <w:spacing w:after="220"/>
        <w:rPr>
          <w:rFonts w:ascii="Arial" w:eastAsia="Times New Roman" w:hAnsi="Arial" w:cs="Arial"/>
          <w:color w:val="000000"/>
          <w:sz w:val="22"/>
          <w:szCs w:val="22"/>
          <w:lang w:eastAsia="zh-CN"/>
        </w:rPr>
      </w:pPr>
      <w:r w:rsidRPr="00BA0271">
        <w:rPr>
          <w:rFonts w:ascii="Arial" w:hAnsi="Arial" w:cs="Arial"/>
          <w:sz w:val="22"/>
          <w:szCs w:val="22"/>
        </w:rPr>
        <w:t>The commenter wrote that this would allow companies with facilities licensed under 10</w:t>
      </w:r>
      <w:r w:rsidRPr="00BA0271" w:rsidR="009B23CE">
        <w:rPr>
          <w:rFonts w:ascii="Arial" w:hAnsi="Arial" w:cs="Arial"/>
          <w:sz w:val="22"/>
          <w:szCs w:val="22"/>
        </w:rPr>
        <w:t> </w:t>
      </w:r>
      <w:r w:rsidRPr="00BA0271">
        <w:rPr>
          <w:rFonts w:ascii="Arial" w:hAnsi="Arial" w:cs="Arial"/>
          <w:sz w:val="22"/>
          <w:szCs w:val="22"/>
        </w:rPr>
        <w:t xml:space="preserve">CFR Part 50 or 10 CFR Part 52 to continue using their established programs if they elect to license a new facility under 10 CFR Part 53. Otherwise, the commenter stated that companies would </w:t>
      </w:r>
      <w:r w:rsidRPr="00BA0271">
        <w:rPr>
          <w:rFonts w:ascii="Arial" w:hAnsi="Arial" w:cs="Arial"/>
          <w:sz w:val="22"/>
          <w:szCs w:val="22"/>
        </w:rPr>
        <w:t>need to implement changes to existing documents and other processes. For new operating companies intending to seek a license under 10</w:t>
      </w:r>
      <w:r w:rsidRPr="00BA0271" w:rsidR="009B23CE">
        <w:rPr>
          <w:rFonts w:ascii="Arial" w:hAnsi="Arial" w:cs="Arial"/>
          <w:sz w:val="22"/>
          <w:szCs w:val="22"/>
        </w:rPr>
        <w:t> </w:t>
      </w:r>
      <w:r w:rsidRPr="00BA0271">
        <w:rPr>
          <w:rFonts w:ascii="Arial" w:hAnsi="Arial" w:cs="Arial"/>
          <w:sz w:val="22"/>
          <w:szCs w:val="22"/>
        </w:rPr>
        <w:t>CFR</w:t>
      </w:r>
      <w:r w:rsidRPr="00BA0271" w:rsidR="009B23CE">
        <w:rPr>
          <w:rFonts w:ascii="Arial" w:hAnsi="Arial" w:cs="Arial"/>
          <w:sz w:val="22"/>
          <w:szCs w:val="22"/>
        </w:rPr>
        <w:t> </w:t>
      </w:r>
      <w:r w:rsidRPr="00BA0271">
        <w:rPr>
          <w:rFonts w:ascii="Arial" w:hAnsi="Arial" w:cs="Arial"/>
          <w:sz w:val="22"/>
          <w:szCs w:val="22"/>
        </w:rPr>
        <w:t>Part 53, the commenter stated there would be less of an administrative burden associated with the duplicated requirements since these companies would not be expected to have existing licensed operator infrastructure; however, by continuing to adopt the existing 10 CFR Part 55 licensed operator regulations, new operating companies would benefit from decades of experience, guidance, and other documentation (</w:t>
      </w:r>
      <w:r w:rsidR="00B051F3">
        <w:rPr>
          <w:rFonts w:ascii="Arial" w:hAnsi="Arial" w:cs="Arial"/>
          <w:sz w:val="22"/>
          <w:szCs w:val="22"/>
        </w:rPr>
        <w:t>SHP</w:t>
      </w:r>
      <w:r w:rsidRPr="00BA0271">
        <w:rPr>
          <w:rFonts w:ascii="Arial" w:hAnsi="Arial" w:cs="Arial"/>
          <w:sz w:val="22"/>
          <w:szCs w:val="22"/>
        </w:rPr>
        <w:t>-0004). </w:t>
      </w:r>
    </w:p>
    <w:p w:rsidR="007F112A" w:rsidRPr="00BA0271" w:rsidP="00BA0271" w14:paraId="303BBFE7" w14:textId="77777777">
      <w:pPr>
        <w:spacing w:after="220"/>
        <w:rPr>
          <w:rFonts w:ascii="Arial"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w:t>
      </w:r>
      <w:r w:rsidRPr="00BA0271">
        <w:rPr>
          <w:rFonts w:ascii="Arial" w:hAnsi="Arial" w:cs="Arial"/>
          <w:sz w:val="22"/>
          <w:szCs w:val="22"/>
        </w:rPr>
        <w:t>The NRC disagrees with th</w:t>
      </w:r>
      <w:r w:rsidR="00C02D01">
        <w:rPr>
          <w:rFonts w:ascii="Arial" w:hAnsi="Arial" w:cs="Arial"/>
          <w:sz w:val="22"/>
          <w:szCs w:val="22"/>
        </w:rPr>
        <w:t>e</w:t>
      </w:r>
      <w:r w:rsidRPr="00BA0271">
        <w:rPr>
          <w:rFonts w:ascii="Arial" w:hAnsi="Arial" w:cs="Arial"/>
          <w:sz w:val="22"/>
          <w:szCs w:val="22"/>
        </w:rPr>
        <w:t xml:space="preserve"> comment.</w:t>
      </w:r>
    </w:p>
    <w:p w:rsidR="007F112A" w:rsidRPr="00BA0271" w:rsidP="00BA0271" w14:paraId="7F3DCC11" w14:textId="77777777">
      <w:pPr>
        <w:spacing w:after="220"/>
        <w:rPr>
          <w:rFonts w:ascii="Arial" w:hAnsi="Arial" w:cs="Arial"/>
          <w:sz w:val="22"/>
          <w:szCs w:val="22"/>
        </w:rPr>
      </w:pPr>
      <w:r w:rsidRPr="00BA0271">
        <w:rPr>
          <w:rFonts w:ascii="Arial" w:hAnsi="Arial" w:cs="Arial"/>
          <w:sz w:val="22"/>
          <w:szCs w:val="22"/>
        </w:rPr>
        <w:t>The current regulations for the licensing of operators in 10 CFR Part 55 are prescriptive and based on safety considerations for reactors designed under 10 CFR Parts 50 and 52; they do not provide for efficiencies that could be gained based on advanced reactor designs.</w:t>
      </w:r>
    </w:p>
    <w:p w:rsidR="007F112A" w:rsidRPr="00BA0271" w:rsidP="00BA0271" w14:paraId="00CAAF80" w14:textId="77777777">
      <w:pPr>
        <w:spacing w:after="220"/>
        <w:rPr>
          <w:rFonts w:ascii="Arial" w:hAnsi="Arial" w:cs="Arial"/>
          <w:sz w:val="22"/>
          <w:szCs w:val="22"/>
        </w:rPr>
      </w:pPr>
      <w:r w:rsidRPr="00BA0271">
        <w:rPr>
          <w:rFonts w:ascii="Arial" w:hAnsi="Arial" w:cs="Arial"/>
          <w:sz w:val="22"/>
          <w:szCs w:val="22"/>
        </w:rPr>
        <w:t xml:space="preserve">The requirements for specifically licensed operators under 10 CFR Part 53 are not identical to those in 10 CFR Part 55. For example, an allowance is made under 10 CFR Part 53 for facilities to administer and grade the initial licensing examination. This allowance is a gain in efficiency over 10 CFR Part 55, which requires the NRC to administer and grade all initial licensing examinations, adding regulatory burden and </w:t>
      </w:r>
      <w:r w:rsidR="001430C8">
        <w:rPr>
          <w:rFonts w:ascii="Arial" w:hAnsi="Arial" w:cs="Arial"/>
          <w:sz w:val="22"/>
          <w:szCs w:val="22"/>
        </w:rPr>
        <w:t>resource requirements</w:t>
      </w:r>
      <w:r w:rsidRPr="00BA0271" w:rsidR="001430C8">
        <w:rPr>
          <w:rFonts w:ascii="Arial" w:hAnsi="Arial" w:cs="Arial"/>
          <w:sz w:val="22"/>
          <w:szCs w:val="22"/>
        </w:rPr>
        <w:t xml:space="preserve"> </w:t>
      </w:r>
      <w:r w:rsidRPr="00BA0271">
        <w:rPr>
          <w:rFonts w:ascii="Arial" w:hAnsi="Arial" w:cs="Arial"/>
          <w:sz w:val="22"/>
          <w:szCs w:val="22"/>
        </w:rPr>
        <w:t xml:space="preserve">in scheduling the examinations. Other efficiencies include the ability to determine the minimum number of reactivity manipulations required, a more streamlined training and examination program, more flexibility in the type of test instruments used in the examination program, and flexibilities in maintenance or re-establishment of proficiency. All of these efficiency gains would be lost if 10 CFR Part 53 referred to the current 10 CFR Part 55 requirements, leading to significant costs over the life of the facility. </w:t>
      </w:r>
    </w:p>
    <w:p w:rsidR="007F112A" w:rsidRPr="00BA0271" w:rsidP="00BA0271" w14:paraId="7ABB76C5" w14:textId="77777777">
      <w:pPr>
        <w:spacing w:after="220"/>
        <w:rPr>
          <w:rFonts w:ascii="Arial" w:hAnsi="Arial" w:cs="Arial"/>
          <w:sz w:val="22"/>
          <w:szCs w:val="22"/>
        </w:rPr>
      </w:pPr>
      <w:r w:rsidRPr="00BA0271">
        <w:rPr>
          <w:rFonts w:ascii="Arial" w:hAnsi="Arial" w:cs="Arial"/>
          <w:sz w:val="22"/>
          <w:szCs w:val="22"/>
        </w:rPr>
        <w:t>Regarding the commenter’s concern about needing to make changes between one facility licensed under 10 CFR Part 50 or 52 (and therefore licensing operators under 10 CFR Part 55) and another facility licensed under 10 CFR Part 53, operator licensing under 10 CFR Part 53 is designed to accommodate a program developed under 10 CFR Part 55. In other words, if the facility licensee wants to maintain the prescriptive requirements under 10 CFR Part 55 (such as having the NRC administer and grade examinations, using NUREG-1021 for development of examinations, requiring at least five reactivity control manipulations, etc.), these can be maintained under 10 CFR Part 53. Programs approved under 10 CFR Part 55, such as a Commission-approved training program, would also meet the requirements for Commission approval under 10 CFR Part 53. Regarding examinations, the NUREG</w:t>
      </w:r>
      <w:r w:rsidRPr="00BA0271">
        <w:rPr>
          <w:rFonts w:ascii="Arial" w:hAnsi="Arial" w:cs="Arial"/>
          <w:sz w:val="22"/>
          <w:szCs w:val="22"/>
        </w:rPr>
        <w:noBreakHyphen/>
        <w:t>1021 process under 10 CFR Part 55 would be considered a Commission</w:t>
      </w:r>
      <w:r w:rsidRPr="00BA0271" w:rsidR="006E5870">
        <w:rPr>
          <w:rFonts w:ascii="Arial" w:hAnsi="Arial" w:cs="Arial"/>
          <w:sz w:val="22"/>
          <w:szCs w:val="22"/>
        </w:rPr>
        <w:t>-</w:t>
      </w:r>
      <w:r w:rsidRPr="00BA0271">
        <w:rPr>
          <w:rFonts w:ascii="Arial" w:hAnsi="Arial" w:cs="Arial"/>
          <w:sz w:val="22"/>
          <w:szCs w:val="22"/>
        </w:rPr>
        <w:t xml:space="preserve">approved examination program under </w:t>
      </w:r>
      <w:r w:rsidR="00CB0B3A">
        <w:rPr>
          <w:rFonts w:ascii="Arial" w:hAnsi="Arial" w:cs="Arial"/>
          <w:sz w:val="22"/>
          <w:szCs w:val="22"/>
        </w:rPr>
        <w:br/>
      </w:r>
      <w:r w:rsidRPr="00BA0271">
        <w:rPr>
          <w:rFonts w:ascii="Arial" w:hAnsi="Arial" w:cs="Arial"/>
          <w:sz w:val="22"/>
          <w:szCs w:val="22"/>
        </w:rPr>
        <w:t>10 CFR Part 53. The programs would not be required to be changed unless the facility licensee wished to gain the efficiencies inherent within Part 53. This would allow the facility to benefit from the experience, guidance, and other documentation based on the 10 CFR Part 55 operator licensing process.</w:t>
      </w:r>
    </w:p>
    <w:p w:rsidR="007F112A" w:rsidRPr="00BA0271" w:rsidP="00BA0271" w14:paraId="04C86965" w14:textId="77777777">
      <w:pPr>
        <w:spacing w:after="220"/>
        <w:rPr>
          <w:rFonts w:ascii="Arial" w:hAnsi="Arial" w:cs="Arial"/>
          <w:sz w:val="22"/>
          <w:szCs w:val="22"/>
        </w:rPr>
      </w:pPr>
      <w:r w:rsidRPr="00BA0271">
        <w:rPr>
          <w:rFonts w:ascii="Arial" w:hAnsi="Arial" w:cs="Arial"/>
          <w:sz w:val="22"/>
          <w:szCs w:val="22"/>
        </w:rPr>
        <w:t>The NRC sees benefit in providing flexibility to allow facilities to determine the appropriate programmatic requirements for their respective reactor design using risk insights without requiring all facilities to follow the requirements of 10 CFR Part 55.</w:t>
      </w:r>
    </w:p>
    <w:p w:rsidR="00E31873" w:rsidP="00BA0271" w14:paraId="177FF015" w14:textId="77777777">
      <w:pPr>
        <w:spacing w:after="220"/>
        <w:rPr>
          <w:rFonts w:ascii="Arial" w:hAnsi="Arial" w:cs="Arial"/>
          <w:sz w:val="22"/>
          <w:szCs w:val="22"/>
        </w:rPr>
        <w:sectPr>
          <w:pgSz w:w="12240" w:h="15840"/>
          <w:pgMar w:top="1440" w:right="1440" w:bottom="1440" w:left="1440" w:header="720" w:footer="720" w:gutter="0"/>
          <w:cols w:space="720"/>
          <w:docGrid w:linePitch="360"/>
        </w:sectPr>
      </w:pPr>
      <w:r w:rsidRPr="00BA0271">
        <w:rPr>
          <w:rFonts w:ascii="Arial" w:hAnsi="Arial" w:cs="Arial"/>
          <w:sz w:val="22"/>
          <w:szCs w:val="22"/>
        </w:rPr>
        <w:t>Accordingly, the NRC did not change the rule language in response to this comment</w:t>
      </w:r>
      <w:r>
        <w:rPr>
          <w:rFonts w:ascii="Arial" w:hAnsi="Arial" w:cs="Arial"/>
          <w:sz w:val="22"/>
          <w:szCs w:val="22"/>
        </w:rPr>
        <w:pict>
          <v:rect id="_x0000_i1195" style="width:0;height:1.5pt" o:hralign="center" o:hrstd="t" o:hrnoshade="t" o:hr="t" fillcolor="black" stroked="f"/>
        </w:pict>
      </w:r>
    </w:p>
    <w:p w:rsidR="007F112A" w:rsidRPr="00F37C1E" w:rsidP="00F37C1E" w14:paraId="222A056F" w14:textId="77777777">
      <w:pPr>
        <w:pStyle w:val="Heading4"/>
      </w:pPr>
      <w:r w:rsidRPr="00F37C1E">
        <w:rPr>
          <w:u w:val="none"/>
        </w:rPr>
        <w:t>3.6.2.2.</w:t>
      </w:r>
      <w:r w:rsidRPr="00F37C1E">
        <w:rPr>
          <w:u w:val="none"/>
        </w:rPr>
        <w:tab/>
      </w:r>
      <w:r w:rsidRPr="00F37C1E">
        <w:t>RFC: Allowing GL</w:t>
      </w:r>
      <w:r w:rsidRPr="00F37C1E" w:rsidR="00020719">
        <w:t>R</w:t>
      </w:r>
      <w:r w:rsidRPr="00F37C1E">
        <w:t>Os to manipulate facility controls</w:t>
      </w:r>
    </w:p>
    <w:p w:rsidR="007F112A" w:rsidRPr="00BA0271" w:rsidP="00BA0271" w14:paraId="411F48D1" w14:textId="77777777">
      <w:pPr>
        <w:spacing w:after="220"/>
        <w:rPr>
          <w:rFonts w:ascii="Arial" w:hAnsi="Arial" w:cs="Arial"/>
          <w:sz w:val="22"/>
          <w:szCs w:val="22"/>
        </w:rPr>
      </w:pPr>
      <w:r w:rsidRPr="00BA0271">
        <w:rPr>
          <w:rFonts w:ascii="Arial" w:eastAsia="DengXian" w:hAnsi="Arial" w:cs="Arial"/>
          <w:b/>
          <w:sz w:val="22"/>
          <w:szCs w:val="22"/>
        </w:rPr>
        <w:t>Comment Bin 3.6.2.2.A:</w:t>
      </w:r>
      <w:r w:rsidRPr="00BA0271">
        <w:rPr>
          <w:rFonts w:ascii="Arial" w:eastAsia="DengXian" w:hAnsi="Arial" w:cs="Arial"/>
          <w:sz w:val="22"/>
          <w:szCs w:val="22"/>
        </w:rPr>
        <w:t xml:space="preserve"> </w:t>
      </w:r>
      <w:r w:rsidRPr="00BA0271">
        <w:rPr>
          <w:rFonts w:ascii="Arial" w:hAnsi="Arial" w:cs="Arial"/>
          <w:sz w:val="22"/>
          <w:szCs w:val="22"/>
        </w:rPr>
        <w:t>A commenter expressed support for NRC’s proposed requirements to allow the manipulation of the controls of certain facilities by GLROs in lieu of specifically licensed ROs and SROs. The commenter said that if a plant meets criteria specified in 10</w:t>
      </w:r>
      <w:r w:rsidR="00CC6ED0">
        <w:rPr>
          <w:rFonts w:ascii="Arial" w:hAnsi="Arial" w:cs="Arial"/>
          <w:sz w:val="22"/>
          <w:szCs w:val="22"/>
        </w:rPr>
        <w:t> </w:t>
      </w:r>
      <w:r w:rsidRPr="00BA0271">
        <w:rPr>
          <w:rFonts w:ascii="Arial" w:hAnsi="Arial" w:cs="Arial"/>
          <w:sz w:val="22"/>
          <w:szCs w:val="22"/>
        </w:rPr>
        <w:t>CFR</w:t>
      </w:r>
      <w:r w:rsidR="00CC6ED0">
        <w:rPr>
          <w:rFonts w:ascii="Arial" w:hAnsi="Arial" w:cs="Arial"/>
          <w:sz w:val="22"/>
          <w:szCs w:val="22"/>
        </w:rPr>
        <w:t> </w:t>
      </w:r>
      <w:r w:rsidRPr="00BA0271">
        <w:rPr>
          <w:rFonts w:ascii="Arial" w:hAnsi="Arial" w:cs="Arial"/>
          <w:sz w:val="22"/>
          <w:szCs w:val="22"/>
        </w:rPr>
        <w:t>53.800(a)(1)-(5), then there are no required operator actions or credible human errors that would impact the safe operation of the plant.</w:t>
      </w:r>
    </w:p>
    <w:p w:rsidR="007F112A" w:rsidRPr="00BA0271" w:rsidP="00BA0271" w14:paraId="68395D6E" w14:textId="77777777">
      <w:pPr>
        <w:spacing w:after="220"/>
        <w:rPr>
          <w:rFonts w:ascii="Arial" w:hAnsi="Arial" w:cs="Arial"/>
          <w:sz w:val="22"/>
          <w:szCs w:val="22"/>
        </w:rPr>
      </w:pPr>
      <w:r w:rsidRPr="00BA0271">
        <w:rPr>
          <w:rFonts w:ascii="Arial" w:hAnsi="Arial" w:cs="Arial"/>
          <w:sz w:val="22"/>
          <w:szCs w:val="22"/>
        </w:rPr>
        <w:t>The commenter also said that guidance should be provided on what meets defense</w:t>
      </w:r>
      <w:r w:rsidRPr="00BA0271">
        <w:rPr>
          <w:rFonts w:ascii="Arial" w:hAnsi="Arial" w:cs="Arial"/>
          <w:sz w:val="22"/>
          <w:szCs w:val="22"/>
        </w:rPr>
        <w:noBreakHyphen/>
        <w:t>in</w:t>
      </w:r>
      <w:r w:rsidRPr="00BA0271">
        <w:rPr>
          <w:rFonts w:ascii="Arial" w:hAnsi="Arial" w:cs="Arial"/>
          <w:sz w:val="22"/>
          <w:szCs w:val="22"/>
        </w:rPr>
        <w:noBreakHyphen/>
        <w:t xml:space="preserve">depth criteria under 10 CFR 53.800(a)(5) and recommended that NRC should require a time frame of seven days with no operator intervention needed as the first layer of defense in depth as the advanced reactors are less complex, have improved HSI, and significantly more time for accident sequences to progress without risk of core damage. The commenter </w:t>
      </w:r>
      <w:r w:rsidRPr="00BA0271" w:rsidR="00041582">
        <w:rPr>
          <w:rFonts w:ascii="Arial" w:hAnsi="Arial" w:cs="Arial"/>
          <w:sz w:val="22"/>
          <w:szCs w:val="22"/>
        </w:rPr>
        <w:t>stated</w:t>
      </w:r>
      <w:r w:rsidRPr="00BA0271">
        <w:rPr>
          <w:rFonts w:ascii="Arial" w:hAnsi="Arial" w:cs="Arial"/>
          <w:sz w:val="22"/>
          <w:szCs w:val="22"/>
        </w:rPr>
        <w:t xml:space="preserve"> that without timing in guidance</w:t>
      </w:r>
      <w:r w:rsidRPr="00BA0271" w:rsidR="00041582">
        <w:rPr>
          <w:rFonts w:ascii="Arial" w:hAnsi="Arial" w:cs="Arial"/>
          <w:sz w:val="22"/>
          <w:szCs w:val="22"/>
        </w:rPr>
        <w:t>,</w:t>
      </w:r>
      <w:r w:rsidRPr="00BA0271">
        <w:rPr>
          <w:rFonts w:ascii="Arial" w:hAnsi="Arial" w:cs="Arial"/>
          <w:sz w:val="22"/>
          <w:szCs w:val="22"/>
        </w:rPr>
        <w:t xml:space="preserve"> few plants will meet an unbounded criteria. The commenter also said that the criteria for being a self-reliant mitigation facility are not time bound with respect to human interaction, and that historically mission times for systems were 7 days or less with some out to 14 days.</w:t>
      </w:r>
    </w:p>
    <w:p w:rsidR="007F112A" w:rsidRPr="00BA0271" w:rsidP="00BA0271" w14:paraId="7BC22730" w14:textId="77777777">
      <w:pPr>
        <w:spacing w:after="220"/>
        <w:rPr>
          <w:rFonts w:ascii="Arial" w:hAnsi="Arial" w:cs="Arial"/>
          <w:sz w:val="22"/>
          <w:szCs w:val="22"/>
        </w:rPr>
      </w:pPr>
      <w:r w:rsidRPr="00BA0271">
        <w:rPr>
          <w:rFonts w:ascii="Arial" w:hAnsi="Arial" w:cs="Arial"/>
          <w:sz w:val="22"/>
          <w:szCs w:val="22"/>
        </w:rPr>
        <w:t>The commenter added that if defense in depth has a clear time-based limit defined either by the NRC or by the licensee, such that actions taken after that would be additional positive actions to keep the plant in a safe condition, then more plants could take advantage of the GLRO. The commenter supported the concept of a time requirement for defense-in-depth criteria and proposed a time of 72 hours (</w:t>
      </w:r>
      <w:r w:rsidR="009D6BB9">
        <w:rPr>
          <w:rFonts w:ascii="Arial" w:hAnsi="Arial" w:cs="Arial"/>
          <w:sz w:val="22"/>
          <w:szCs w:val="22"/>
        </w:rPr>
        <w:t>NEI2</w:t>
      </w:r>
      <w:r w:rsidRPr="00BA0271">
        <w:rPr>
          <w:rFonts w:ascii="Arial" w:hAnsi="Arial" w:cs="Arial"/>
          <w:sz w:val="22"/>
          <w:szCs w:val="22"/>
        </w:rPr>
        <w:t xml:space="preserve">-0197, </w:t>
      </w:r>
      <w:r w:rsidR="009D6BB9">
        <w:rPr>
          <w:rFonts w:ascii="Arial" w:hAnsi="Arial" w:cs="Arial"/>
          <w:sz w:val="22"/>
          <w:szCs w:val="22"/>
        </w:rPr>
        <w:t>NEI2</w:t>
      </w:r>
      <w:r w:rsidRPr="00BA0271">
        <w:rPr>
          <w:rFonts w:ascii="Arial" w:hAnsi="Arial" w:cs="Arial"/>
          <w:sz w:val="22"/>
          <w:szCs w:val="22"/>
        </w:rPr>
        <w:t xml:space="preserve">-0198, </w:t>
      </w:r>
      <w:r w:rsidR="009D6BB9">
        <w:rPr>
          <w:rFonts w:ascii="Arial" w:hAnsi="Arial" w:cs="Arial"/>
          <w:sz w:val="22"/>
          <w:szCs w:val="22"/>
        </w:rPr>
        <w:t>NEI2</w:t>
      </w:r>
      <w:r w:rsidRPr="00BA0271">
        <w:rPr>
          <w:rFonts w:ascii="Arial" w:hAnsi="Arial" w:cs="Arial"/>
          <w:sz w:val="22"/>
          <w:szCs w:val="22"/>
        </w:rPr>
        <w:t>-0245).</w:t>
      </w:r>
    </w:p>
    <w:p w:rsidR="007F112A" w:rsidRPr="00BA0271" w:rsidP="00BA0271" w14:paraId="626661A9" w14:textId="77777777">
      <w:pPr>
        <w:spacing w:after="220"/>
        <w:rPr>
          <w:rFonts w:ascii="Arial" w:eastAsia="Times New Roman" w:hAnsi="Arial" w:cs="Arial"/>
          <w:color w:val="000000"/>
          <w:sz w:val="22"/>
          <w:szCs w:val="22"/>
          <w:lang w:eastAsia="zh-CN"/>
        </w:rPr>
      </w:pPr>
      <w:r w:rsidRPr="00BA0271">
        <w:rPr>
          <w:rFonts w:ascii="Arial" w:hAnsi="Arial" w:cs="Arial"/>
          <w:sz w:val="22"/>
          <w:szCs w:val="22"/>
        </w:rPr>
        <w:t>Another commenter wrote that they support the introduction of GLROs and added that they envision an operating paradigm where a non-licensed individual may command nominal "states" or "modes" for reactor operation. The commenter added this would be possible as non-licensed individuals would not require the same level of training and expertise as licensed operators given they would not be directly manipulating controls or power levels, would not be required to use information about the operating state of the reactor to make decisions, and would not execute safety</w:t>
      </w:r>
      <w:r w:rsidRPr="00BA0271">
        <w:rPr>
          <w:rFonts w:ascii="Arial" w:hAnsi="Arial" w:cs="Arial"/>
          <w:sz w:val="22"/>
          <w:szCs w:val="22"/>
        </w:rPr>
        <w:noBreakHyphen/>
        <w:t>affecting actions (</w:t>
      </w:r>
      <w:r w:rsidR="00611CA0">
        <w:rPr>
          <w:rFonts w:ascii="Arial" w:hAnsi="Arial" w:cs="Arial"/>
          <w:sz w:val="22"/>
          <w:szCs w:val="22"/>
        </w:rPr>
        <w:t>RAD</w:t>
      </w:r>
      <w:r w:rsidRPr="00BA0271">
        <w:rPr>
          <w:rFonts w:ascii="Arial" w:hAnsi="Arial" w:cs="Arial"/>
          <w:sz w:val="22"/>
          <w:szCs w:val="22"/>
        </w:rPr>
        <w:t>-0011). </w:t>
      </w:r>
    </w:p>
    <w:p w:rsidR="007F112A" w:rsidRPr="00BA0271" w:rsidP="00BA0271" w14:paraId="0CBD68BD" w14:textId="77777777">
      <w:pPr>
        <w:spacing w:after="220"/>
        <w:rPr>
          <w:rFonts w:ascii="Arial"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w:t>
      </w:r>
      <w:r w:rsidRPr="00BA0271">
        <w:rPr>
          <w:rFonts w:ascii="Arial" w:hAnsi="Arial" w:cs="Arial"/>
          <w:sz w:val="22"/>
          <w:szCs w:val="22"/>
        </w:rPr>
        <w:t>The NRC agrees, in part, with the comments.</w:t>
      </w:r>
    </w:p>
    <w:p w:rsidR="007F112A" w:rsidRPr="00BA0271" w:rsidP="00BA0271" w14:paraId="5967D40E" w14:textId="77777777">
      <w:pPr>
        <w:spacing w:after="220"/>
        <w:rPr>
          <w:rFonts w:ascii="Arial" w:hAnsi="Arial" w:cs="Arial"/>
          <w:sz w:val="22"/>
          <w:szCs w:val="22"/>
        </w:rPr>
      </w:pPr>
      <w:r w:rsidRPr="00BA0271">
        <w:rPr>
          <w:rFonts w:ascii="Arial" w:hAnsi="Arial" w:cs="Arial"/>
          <w:sz w:val="22"/>
          <w:szCs w:val="22"/>
        </w:rPr>
        <w:t>The intent of the criteria defining the “self-reliant mitigation facility” class is to ensure that human actions are not relied upon for safety for this class of facility. Any use of a time limit for those actions would be dependent upon the specific design of the facility and therefore would not be technology-inclusive. The intent of 10 CFR 53.800(a)(5) is to ensure that the facility design can achieve a defined end state per 10 CFR 53.450(e)(3) with no credited human actions. After this point, any additional human action would be beyond the intent of the design criteria of 10 CFR</w:t>
      </w:r>
      <w:r w:rsidR="00BD0710">
        <w:rPr>
          <w:rFonts w:ascii="Arial" w:hAnsi="Arial" w:cs="Arial"/>
          <w:sz w:val="22"/>
          <w:szCs w:val="22"/>
        </w:rPr>
        <w:t> </w:t>
      </w:r>
      <w:r w:rsidRPr="00BA0271">
        <w:rPr>
          <w:rFonts w:ascii="Arial" w:hAnsi="Arial" w:cs="Arial"/>
          <w:sz w:val="22"/>
          <w:szCs w:val="22"/>
        </w:rPr>
        <w:t xml:space="preserve">53.800. A prescriptive, arbitrary time limit that </w:t>
      </w:r>
      <w:r w:rsidR="00BD44D3">
        <w:rPr>
          <w:rFonts w:ascii="Arial" w:hAnsi="Arial" w:cs="Arial"/>
          <w:sz w:val="22"/>
          <w:szCs w:val="22"/>
        </w:rPr>
        <w:t>does</w:t>
      </w:r>
      <w:r w:rsidRPr="00BA0271">
        <w:rPr>
          <w:rFonts w:ascii="Arial" w:hAnsi="Arial" w:cs="Arial"/>
          <w:sz w:val="22"/>
          <w:szCs w:val="22"/>
        </w:rPr>
        <w:t xml:space="preserve"> not show that this defined end state is reached without reliance on human action would not meet the intent of this criteria. The NRC did change the rule language </w:t>
      </w:r>
      <w:r w:rsidRPr="00E45BC7" w:rsidR="00AC4065">
        <w:rPr>
          <w:rFonts w:ascii="Arial" w:hAnsi="Arial" w:cs="Arial"/>
          <w:sz w:val="22"/>
          <w:szCs w:val="22"/>
        </w:rPr>
        <w:t>to ensure that there are no important human actions needed to meet the requirements of 10 CFR 53.250</w:t>
      </w:r>
      <w:r w:rsidRPr="00BA0271">
        <w:rPr>
          <w:rFonts w:ascii="Arial" w:hAnsi="Arial" w:cs="Arial"/>
          <w:sz w:val="22"/>
          <w:szCs w:val="22"/>
        </w:rPr>
        <w:t xml:space="preserve"> in response to </w:t>
      </w:r>
      <w:r w:rsidRPr="00BA0271" w:rsidR="00585206">
        <w:rPr>
          <w:rFonts w:ascii="Arial" w:hAnsi="Arial" w:cs="Arial"/>
          <w:sz w:val="22"/>
          <w:szCs w:val="22"/>
        </w:rPr>
        <w:t>Comment Bin 3</w:t>
      </w:r>
      <w:r w:rsidRPr="000442DA" w:rsidR="00585206">
        <w:rPr>
          <w:rFonts w:ascii="Arial" w:hAnsi="Arial" w:cs="Arial"/>
          <w:sz w:val="22"/>
          <w:szCs w:val="22"/>
        </w:rPr>
        <w:t>.6.2.1.Q</w:t>
      </w:r>
      <w:r w:rsidRPr="000442DA">
        <w:rPr>
          <w:rFonts w:ascii="Arial" w:hAnsi="Arial" w:cs="Arial"/>
          <w:sz w:val="22"/>
          <w:szCs w:val="22"/>
        </w:rPr>
        <w:t>.</w:t>
      </w:r>
    </w:p>
    <w:p w:rsidR="007F112A" w:rsidRPr="00BA0271" w:rsidP="00BA0271" w14:paraId="7F3EFC2B" w14:textId="77777777">
      <w:pPr>
        <w:spacing w:after="220"/>
        <w:rPr>
          <w:rFonts w:ascii="Arial" w:hAnsi="Arial" w:cs="Arial"/>
          <w:sz w:val="22"/>
          <w:szCs w:val="22"/>
        </w:rPr>
      </w:pPr>
      <w:r w:rsidRPr="00BA0271">
        <w:rPr>
          <w:rFonts w:ascii="Arial" w:hAnsi="Arial" w:cs="Arial"/>
          <w:sz w:val="22"/>
          <w:szCs w:val="22"/>
        </w:rPr>
        <w:t xml:space="preserve">Regarding the comment about an operating paradigm where non-licensed individuals may command nominal “states” or “modes” for reactor operation, that may be permissible provided </w:t>
      </w:r>
      <w:r w:rsidR="00E561CA">
        <w:rPr>
          <w:rFonts w:ascii="Arial" w:hAnsi="Arial" w:cs="Arial"/>
          <w:sz w:val="22"/>
          <w:szCs w:val="22"/>
        </w:rPr>
        <w:t xml:space="preserve">that </w:t>
      </w:r>
      <w:r w:rsidRPr="00BA0271">
        <w:rPr>
          <w:rFonts w:ascii="Arial" w:hAnsi="Arial" w:cs="Arial"/>
          <w:sz w:val="22"/>
          <w:szCs w:val="22"/>
        </w:rPr>
        <w:t xml:space="preserve">those operators are not operating apparatus or mechanisms that would meet the definition of controls as defined in 10 CFR 53.725(c) and provided </w:t>
      </w:r>
      <w:r w:rsidR="007F0876">
        <w:rPr>
          <w:rFonts w:ascii="Arial" w:hAnsi="Arial" w:cs="Arial"/>
          <w:sz w:val="22"/>
          <w:szCs w:val="22"/>
        </w:rPr>
        <w:t xml:space="preserve">that </w:t>
      </w:r>
      <w:r w:rsidRPr="00BA0271">
        <w:rPr>
          <w:rFonts w:ascii="Arial" w:hAnsi="Arial" w:cs="Arial"/>
          <w:sz w:val="22"/>
          <w:szCs w:val="22"/>
        </w:rPr>
        <w:t>any actions that may impact reactivity are performed only when plant conditions are monitored by a licensed operator as required under 10 CFR 53.740(e).</w:t>
      </w:r>
    </w:p>
    <w:p w:rsidR="007F112A" w:rsidP="00BA0271" w14:paraId="2E5CEAB8" w14:textId="77777777">
      <w:pPr>
        <w:spacing w:after="220"/>
        <w:rPr>
          <w:rFonts w:ascii="Arial" w:hAnsi="Arial" w:cs="Arial"/>
          <w:sz w:val="22"/>
          <w:szCs w:val="22"/>
        </w:rPr>
      </w:pPr>
      <w:r w:rsidRPr="00BA0271">
        <w:rPr>
          <w:rFonts w:ascii="Arial" w:hAnsi="Arial" w:cs="Arial"/>
          <w:sz w:val="22"/>
          <w:szCs w:val="22"/>
        </w:rPr>
        <w:t>Accordingly, the NRC did not change the rule language in response to these comments.</w:t>
      </w:r>
    </w:p>
    <w:p w:rsidR="00BA0271" w:rsidP="00BA0271" w14:paraId="3DA55A4E" w14:textId="77777777">
      <w:pPr>
        <w:spacing w:after="220"/>
        <w:rPr>
          <w:rFonts w:ascii="Arial" w:hAnsi="Arial" w:cs="Arial"/>
          <w:sz w:val="22"/>
          <w:szCs w:val="22"/>
        </w:rPr>
      </w:pPr>
      <w:r>
        <w:rPr>
          <w:rFonts w:ascii="Arial" w:eastAsia="Times New Roman" w:hAnsi="Arial" w:cs="Arial"/>
          <w:sz w:val="22"/>
          <w:szCs w:val="22"/>
          <w:lang w:eastAsia="zh-CN"/>
        </w:rPr>
        <w:pict>
          <v:rect id="_x0000_i1196" style="width:0;height:1.5pt" o:hralign="center" o:hrstd="t" o:hrnoshade="t" o:hr="t" fillcolor="black" stroked="f"/>
        </w:pict>
      </w:r>
    </w:p>
    <w:p w:rsidR="007F112A" w:rsidRPr="00DA0A3C" w:rsidP="00F15A02" w14:paraId="0B86246D" w14:textId="77777777">
      <w:pPr>
        <w:pStyle w:val="Heading4"/>
        <w:keepNext/>
        <w:keepLines/>
        <w:ind w:left="907" w:hanging="907"/>
        <w:rPr>
          <w:rFonts w:eastAsia="Times New Roman"/>
        </w:rPr>
      </w:pPr>
      <w:r w:rsidRPr="00F37C1E">
        <w:rPr>
          <w:u w:val="none"/>
        </w:rPr>
        <w:t>3.6.2.3.</w:t>
      </w:r>
      <w:r w:rsidRPr="00F37C1E">
        <w:rPr>
          <w:u w:val="none"/>
        </w:rPr>
        <w:tab/>
      </w:r>
      <w:r w:rsidRPr="00DA0A3C">
        <w:t>RFC: Criteria for G</w:t>
      </w:r>
      <w:r w:rsidR="00020719">
        <w:t>LR</w:t>
      </w:r>
      <w:r w:rsidRPr="00DA0A3C">
        <w:t>O staffing at self-reliant-mitigation facilities</w:t>
      </w:r>
    </w:p>
    <w:p w:rsidR="007F112A" w:rsidRPr="00BA0271" w:rsidP="00BA0271" w14:paraId="34302504" w14:textId="77777777">
      <w:pPr>
        <w:spacing w:after="220"/>
        <w:rPr>
          <w:rFonts w:ascii="Arial" w:eastAsia="Times New Roman" w:hAnsi="Arial" w:cs="Arial"/>
          <w:color w:val="000000"/>
          <w:sz w:val="22"/>
          <w:szCs w:val="22"/>
          <w:lang w:eastAsia="zh-CN"/>
        </w:rPr>
      </w:pPr>
      <w:r w:rsidRPr="00BA0271">
        <w:rPr>
          <w:rFonts w:ascii="Arial" w:eastAsia="DengXian" w:hAnsi="Arial" w:cs="Arial"/>
          <w:b/>
          <w:sz w:val="22"/>
          <w:szCs w:val="22"/>
        </w:rPr>
        <w:t>Comment Bin 3.6.2.3.A:</w:t>
      </w:r>
      <w:r w:rsidRPr="00BA0271">
        <w:rPr>
          <w:rFonts w:ascii="Arial" w:eastAsia="DengXian" w:hAnsi="Arial" w:cs="Arial"/>
          <w:sz w:val="22"/>
          <w:szCs w:val="22"/>
        </w:rPr>
        <w:t xml:space="preserve"> </w:t>
      </w:r>
      <w:r w:rsidRPr="00BA0271">
        <w:rPr>
          <w:rFonts w:ascii="Arial" w:hAnsi="Arial" w:cs="Arial"/>
          <w:sz w:val="22"/>
          <w:szCs w:val="22"/>
        </w:rPr>
        <w:t xml:space="preserve">A commenter wrote that 10 CFR 53.730(b)(7)(ii) allows GLROs for </w:t>
      </w:r>
      <w:r w:rsidRPr="00BA0271" w:rsidR="00585206">
        <w:rPr>
          <w:rFonts w:ascii="Arial" w:hAnsi="Arial" w:cs="Arial"/>
          <w:sz w:val="22"/>
          <w:szCs w:val="22"/>
        </w:rPr>
        <w:t>SRMFs</w:t>
      </w:r>
      <w:r w:rsidRPr="00BA0271">
        <w:rPr>
          <w:rFonts w:ascii="Arial" w:hAnsi="Arial" w:cs="Arial"/>
          <w:sz w:val="22"/>
          <w:szCs w:val="22"/>
        </w:rPr>
        <w:t xml:space="preserve"> the ability to immediately initiate a reactor shutdown from their location; however, the commenter wrote this is not the case under 10 CFR 53.805(a)(1)(v) for interaction-dependent</w:t>
      </w:r>
      <w:r w:rsidRPr="00BA0271" w:rsidR="000A2331">
        <w:rPr>
          <w:rFonts w:ascii="Arial" w:hAnsi="Arial" w:cs="Arial"/>
          <w:sz w:val="22"/>
          <w:szCs w:val="22"/>
        </w:rPr>
        <w:t xml:space="preserve"> </w:t>
      </w:r>
      <w:r w:rsidRPr="00BA0271">
        <w:rPr>
          <w:rFonts w:ascii="Arial" w:hAnsi="Arial" w:cs="Arial"/>
          <w:sz w:val="22"/>
          <w:szCs w:val="22"/>
        </w:rPr>
        <w:t>mitigation facilities, which would be staffed by SROs and ROs. The commenter wrote that the proposed rule does not prescribe a location where SROs and ROs must be located, and, therefore, they could potentially be located offsite. The commenter added that since HFE requirements in 10 CFR 53.730(a) focus on the fulfilment of safety functions, it is possible that, if the reactivity/heat production safety function were adequately addressed without need for human action, it may be possible to exclude the ability to immediately initiate a plant shutdown from the scope of HFE design work. The commenter wrote that, as a result, a similar requirement should be added to 10 CFR 53.730(b) to ensure the ability for a licensed operator to immediately initiate a reactor shutdown (</w:t>
      </w:r>
      <w:r w:rsidR="007A704D">
        <w:rPr>
          <w:rFonts w:ascii="Arial" w:hAnsi="Arial" w:cs="Arial"/>
          <w:sz w:val="22"/>
          <w:szCs w:val="22"/>
        </w:rPr>
        <w:t>JSE</w:t>
      </w:r>
      <w:r w:rsidRPr="00BA0271">
        <w:rPr>
          <w:rFonts w:ascii="Arial" w:hAnsi="Arial" w:cs="Arial"/>
          <w:sz w:val="22"/>
          <w:szCs w:val="22"/>
        </w:rPr>
        <w:t>-0002).</w:t>
      </w:r>
    </w:p>
    <w:p w:rsidR="00FC3CD3" w:rsidP="00BA0271" w14:paraId="3608E5DE" w14:textId="77777777">
      <w:pPr>
        <w:spacing w:after="220"/>
        <w:rPr>
          <w:rFonts w:ascii="Arial"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w:t>
      </w:r>
      <w:r w:rsidRPr="00BA0271">
        <w:rPr>
          <w:rFonts w:ascii="Arial" w:hAnsi="Arial" w:cs="Arial"/>
          <w:sz w:val="22"/>
          <w:szCs w:val="22"/>
        </w:rPr>
        <w:t>The NRC agrees with th</w:t>
      </w:r>
      <w:r w:rsidR="00C02D01">
        <w:rPr>
          <w:rFonts w:ascii="Arial" w:hAnsi="Arial" w:cs="Arial"/>
          <w:sz w:val="22"/>
          <w:szCs w:val="22"/>
        </w:rPr>
        <w:t>e</w:t>
      </w:r>
      <w:r w:rsidRPr="00BA0271">
        <w:rPr>
          <w:rFonts w:ascii="Arial" w:hAnsi="Arial" w:cs="Arial"/>
          <w:sz w:val="22"/>
          <w:szCs w:val="22"/>
        </w:rPr>
        <w:t xml:space="preserve"> comment.</w:t>
      </w:r>
    </w:p>
    <w:p w:rsidR="00BA0271" w:rsidP="00BA0271" w14:paraId="0E674035" w14:textId="77777777">
      <w:pPr>
        <w:spacing w:after="220"/>
        <w:rPr>
          <w:rFonts w:ascii="Arial" w:hAnsi="Arial" w:cs="Arial"/>
          <w:sz w:val="22"/>
          <w:szCs w:val="22"/>
        </w:rPr>
      </w:pPr>
      <w:r>
        <w:rPr>
          <w:rFonts w:ascii="Arial" w:hAnsi="Arial" w:cs="Arial"/>
          <w:sz w:val="22"/>
          <w:szCs w:val="22"/>
        </w:rPr>
        <w:t>Accordingly, t</w:t>
      </w:r>
      <w:r w:rsidRPr="00BA0271" w:rsidR="007F112A">
        <w:rPr>
          <w:rFonts w:ascii="Arial" w:hAnsi="Arial" w:cs="Arial"/>
          <w:sz w:val="22"/>
          <w:szCs w:val="22"/>
        </w:rPr>
        <w:t xml:space="preserve">he NRC </w:t>
      </w:r>
      <w:r w:rsidR="00AA7C22">
        <w:rPr>
          <w:rFonts w:ascii="Arial" w:hAnsi="Arial" w:cs="Arial"/>
          <w:sz w:val="22"/>
          <w:szCs w:val="22"/>
        </w:rPr>
        <w:t>has</w:t>
      </w:r>
      <w:r w:rsidR="00F24B99">
        <w:rPr>
          <w:rFonts w:ascii="Arial" w:hAnsi="Arial" w:cs="Arial"/>
          <w:sz w:val="22"/>
          <w:szCs w:val="22"/>
        </w:rPr>
        <w:t xml:space="preserve"> revis</w:t>
      </w:r>
      <w:r w:rsidR="00AA7C22">
        <w:rPr>
          <w:rFonts w:ascii="Arial" w:hAnsi="Arial" w:cs="Arial"/>
          <w:sz w:val="22"/>
          <w:szCs w:val="22"/>
        </w:rPr>
        <w:t>ed</w:t>
      </w:r>
      <w:r w:rsidRPr="00BA0271" w:rsidR="007F112A">
        <w:rPr>
          <w:rFonts w:ascii="Arial" w:hAnsi="Arial" w:cs="Arial"/>
          <w:sz w:val="22"/>
          <w:szCs w:val="22"/>
        </w:rPr>
        <w:t xml:space="preserve"> the rule language in 10 CFR 53.730(b) to require that licensed operators have the capability of initiating an immediate reactor shutdown at their location for both interaction</w:t>
      </w:r>
      <w:r w:rsidRPr="00BA0271" w:rsidR="007F112A">
        <w:rPr>
          <w:rFonts w:ascii="Arial" w:hAnsi="Arial" w:cs="Arial"/>
          <w:sz w:val="22"/>
          <w:szCs w:val="22"/>
        </w:rPr>
        <w:noBreakHyphen/>
        <w:t>dependent and self-reliant mitigation facilities.</w:t>
      </w:r>
    </w:p>
    <w:p w:rsidR="007F112A" w:rsidRPr="00BA0271" w:rsidP="00BA0271" w14:paraId="2A16DA7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197" style="width:0;height:1.5pt" o:hralign="center" o:hrstd="t" o:hrnoshade="t" o:hr="t" fillcolor="black" stroked="f"/>
        </w:pict>
      </w:r>
    </w:p>
    <w:p w:rsidR="007F112A" w:rsidRPr="00BA0271" w:rsidP="00BA0271" w14:paraId="49C7DD53" w14:textId="77777777">
      <w:pPr>
        <w:spacing w:after="220"/>
        <w:rPr>
          <w:rFonts w:ascii="Arial" w:eastAsia="Times New Roman" w:hAnsi="Arial" w:cs="Arial"/>
          <w:color w:val="000000"/>
          <w:sz w:val="22"/>
          <w:szCs w:val="22"/>
          <w:lang w:eastAsia="zh-CN"/>
        </w:rPr>
      </w:pPr>
      <w:r w:rsidRPr="00BA0271">
        <w:rPr>
          <w:rFonts w:ascii="Arial" w:eastAsia="DengXian" w:hAnsi="Arial" w:cs="Arial"/>
          <w:b/>
          <w:sz w:val="22"/>
          <w:szCs w:val="22"/>
        </w:rPr>
        <w:t>Comment Bin 3.6.2.3.B:</w:t>
      </w:r>
      <w:r w:rsidRPr="00BA0271">
        <w:rPr>
          <w:rFonts w:ascii="Arial" w:eastAsia="DengXian" w:hAnsi="Arial" w:cs="Arial"/>
          <w:sz w:val="22"/>
          <w:szCs w:val="22"/>
        </w:rPr>
        <w:t xml:space="preserve"> </w:t>
      </w:r>
      <w:r w:rsidRPr="00BA0271">
        <w:rPr>
          <w:rFonts w:ascii="Arial" w:hAnsi="Arial" w:cs="Arial"/>
          <w:sz w:val="22"/>
          <w:szCs w:val="22"/>
        </w:rPr>
        <w:t xml:space="preserve">With regard to 10 CFR 53.800, a commenter asked if the rule language implies that all events require some kind of human action unless the system is fully automated and asked what </w:t>
      </w:r>
      <w:r w:rsidRPr="00BA0271" w:rsidR="000E4C39">
        <w:rPr>
          <w:rFonts w:ascii="Arial" w:hAnsi="Arial" w:cs="Arial"/>
          <w:sz w:val="22"/>
          <w:szCs w:val="22"/>
        </w:rPr>
        <w:t xml:space="preserve">is considered </w:t>
      </w:r>
      <w:r w:rsidRPr="00BA0271">
        <w:rPr>
          <w:rFonts w:ascii="Arial" w:hAnsi="Arial" w:cs="Arial"/>
          <w:sz w:val="22"/>
          <w:szCs w:val="22"/>
        </w:rPr>
        <w:t>“acceptable event mitigation” (</w:t>
      </w:r>
      <w:r w:rsidR="00A02F0C">
        <w:rPr>
          <w:rFonts w:ascii="Arial" w:hAnsi="Arial" w:cs="Arial"/>
          <w:sz w:val="22"/>
          <w:szCs w:val="22"/>
        </w:rPr>
        <w:t>RD</w:t>
      </w:r>
      <w:r w:rsidRPr="00BA0271">
        <w:rPr>
          <w:rFonts w:ascii="Arial" w:hAnsi="Arial" w:cs="Arial"/>
          <w:sz w:val="22"/>
          <w:szCs w:val="22"/>
        </w:rPr>
        <w:t>-0025).</w:t>
      </w:r>
    </w:p>
    <w:p w:rsidR="00471D40" w:rsidRPr="00BA0271" w:rsidP="00BA0271" w14:paraId="138287AE" w14:textId="77777777">
      <w:pPr>
        <w:spacing w:after="220"/>
        <w:rPr>
          <w:rFonts w:ascii="Arial" w:eastAsia="DengXian"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The NRC </w:t>
      </w:r>
      <w:r w:rsidRPr="00BA0271" w:rsidR="00E53A4C">
        <w:rPr>
          <w:rFonts w:ascii="Arial" w:eastAsia="DengXian" w:hAnsi="Arial" w:cs="Arial"/>
          <w:sz w:val="22"/>
          <w:szCs w:val="22"/>
        </w:rPr>
        <w:t>acknowledges</w:t>
      </w:r>
      <w:r w:rsidRPr="00BA0271">
        <w:rPr>
          <w:rFonts w:ascii="Arial" w:eastAsia="DengXian" w:hAnsi="Arial" w:cs="Arial"/>
          <w:sz w:val="22"/>
          <w:szCs w:val="22"/>
        </w:rPr>
        <w:t xml:space="preserve"> th</w:t>
      </w:r>
      <w:r w:rsidR="00C02D01">
        <w:rPr>
          <w:rFonts w:ascii="Arial" w:eastAsia="DengXian" w:hAnsi="Arial" w:cs="Arial"/>
          <w:sz w:val="22"/>
          <w:szCs w:val="22"/>
        </w:rPr>
        <w:t>e</w:t>
      </w:r>
      <w:r w:rsidRPr="00BA0271">
        <w:rPr>
          <w:rFonts w:ascii="Arial" w:eastAsia="DengXian" w:hAnsi="Arial" w:cs="Arial"/>
          <w:sz w:val="22"/>
          <w:szCs w:val="22"/>
        </w:rPr>
        <w:t xml:space="preserve"> comment.</w:t>
      </w:r>
    </w:p>
    <w:p w:rsidR="00F05535" w:rsidRPr="00BA0271" w:rsidP="00BA0271" w14:paraId="119BDF7A" w14:textId="77777777">
      <w:pPr>
        <w:spacing w:after="220"/>
        <w:rPr>
          <w:rFonts w:ascii="Arial" w:hAnsi="Arial" w:cs="Arial"/>
          <w:sz w:val="22"/>
          <w:szCs w:val="22"/>
        </w:rPr>
      </w:pPr>
      <w:r w:rsidRPr="00BA0271">
        <w:rPr>
          <w:rFonts w:ascii="Arial" w:hAnsi="Arial" w:cs="Arial"/>
          <w:sz w:val="22"/>
          <w:szCs w:val="22"/>
        </w:rPr>
        <w:t>T</w:t>
      </w:r>
      <w:r w:rsidRPr="00BA0271" w:rsidR="003924EB">
        <w:rPr>
          <w:rFonts w:ascii="Arial" w:hAnsi="Arial" w:cs="Arial"/>
          <w:sz w:val="22"/>
          <w:szCs w:val="22"/>
        </w:rPr>
        <w:t xml:space="preserve">he rule language </w:t>
      </w:r>
      <w:r w:rsidRPr="00BA0271" w:rsidR="00B00527">
        <w:rPr>
          <w:rFonts w:ascii="Arial" w:hAnsi="Arial" w:cs="Arial"/>
          <w:sz w:val="22"/>
          <w:szCs w:val="22"/>
        </w:rPr>
        <w:t xml:space="preserve">does not </w:t>
      </w:r>
      <w:r w:rsidRPr="00BA0271" w:rsidR="003924EB">
        <w:rPr>
          <w:rFonts w:ascii="Arial" w:hAnsi="Arial" w:cs="Arial"/>
          <w:sz w:val="22"/>
          <w:szCs w:val="22"/>
        </w:rPr>
        <w:t>impl</w:t>
      </w:r>
      <w:r w:rsidRPr="00BA0271" w:rsidR="00B00527">
        <w:rPr>
          <w:rFonts w:ascii="Arial" w:hAnsi="Arial" w:cs="Arial"/>
          <w:sz w:val="22"/>
          <w:szCs w:val="22"/>
        </w:rPr>
        <w:t>y</w:t>
      </w:r>
      <w:r w:rsidRPr="00BA0271" w:rsidR="003924EB">
        <w:rPr>
          <w:rFonts w:ascii="Arial" w:hAnsi="Arial" w:cs="Arial"/>
          <w:sz w:val="22"/>
          <w:szCs w:val="22"/>
        </w:rPr>
        <w:t xml:space="preserve"> </w:t>
      </w:r>
      <w:r w:rsidRPr="00BA0271" w:rsidR="00B00527">
        <w:rPr>
          <w:rFonts w:ascii="Arial" w:hAnsi="Arial" w:cs="Arial"/>
          <w:sz w:val="22"/>
          <w:szCs w:val="22"/>
        </w:rPr>
        <w:t xml:space="preserve">that </w:t>
      </w:r>
      <w:r w:rsidRPr="00BA0271" w:rsidR="00E73029">
        <w:rPr>
          <w:rFonts w:ascii="Arial" w:hAnsi="Arial" w:cs="Arial"/>
          <w:sz w:val="22"/>
          <w:szCs w:val="22"/>
        </w:rPr>
        <w:t xml:space="preserve">all events </w:t>
      </w:r>
      <w:r w:rsidRPr="00BA0271" w:rsidR="00495959">
        <w:rPr>
          <w:rFonts w:ascii="Arial" w:hAnsi="Arial" w:cs="Arial"/>
          <w:sz w:val="22"/>
          <w:szCs w:val="22"/>
        </w:rPr>
        <w:t>for</w:t>
      </w:r>
      <w:r w:rsidRPr="00BA0271" w:rsidR="00E73029">
        <w:rPr>
          <w:rFonts w:ascii="Arial" w:hAnsi="Arial" w:cs="Arial"/>
          <w:sz w:val="22"/>
          <w:szCs w:val="22"/>
        </w:rPr>
        <w:t xml:space="preserve"> </w:t>
      </w:r>
      <w:r w:rsidRPr="00BA0271" w:rsidR="00DF7692">
        <w:rPr>
          <w:rFonts w:ascii="Arial" w:hAnsi="Arial" w:cs="Arial"/>
          <w:sz w:val="22"/>
          <w:szCs w:val="22"/>
        </w:rPr>
        <w:t>a</w:t>
      </w:r>
      <w:r w:rsidRPr="00BA0271" w:rsidR="00495959">
        <w:rPr>
          <w:rFonts w:ascii="Arial" w:hAnsi="Arial" w:cs="Arial"/>
          <w:sz w:val="22"/>
          <w:szCs w:val="22"/>
        </w:rPr>
        <w:t xml:space="preserve"> facility </w:t>
      </w:r>
      <w:r w:rsidRPr="00BA0271" w:rsidR="00E73029">
        <w:rPr>
          <w:rFonts w:ascii="Arial" w:hAnsi="Arial" w:cs="Arial"/>
          <w:sz w:val="22"/>
          <w:szCs w:val="22"/>
        </w:rPr>
        <w:t xml:space="preserve">require </w:t>
      </w:r>
      <w:r w:rsidRPr="00BA0271" w:rsidR="002013E3">
        <w:rPr>
          <w:rFonts w:ascii="Arial" w:hAnsi="Arial" w:cs="Arial"/>
          <w:sz w:val="22"/>
          <w:szCs w:val="22"/>
        </w:rPr>
        <w:t>some kind of human action</w:t>
      </w:r>
      <w:r w:rsidRPr="00BA0271" w:rsidR="008B491E">
        <w:rPr>
          <w:rFonts w:ascii="Arial" w:hAnsi="Arial" w:cs="Arial"/>
          <w:sz w:val="22"/>
          <w:szCs w:val="22"/>
        </w:rPr>
        <w:t xml:space="preserve"> unless that facility is fully automated</w:t>
      </w:r>
      <w:r w:rsidRPr="00BA0271" w:rsidR="007F112A">
        <w:rPr>
          <w:rFonts w:ascii="Arial" w:hAnsi="Arial" w:cs="Arial"/>
          <w:sz w:val="22"/>
          <w:szCs w:val="22"/>
        </w:rPr>
        <w:t xml:space="preserve">. </w:t>
      </w:r>
      <w:r w:rsidRPr="00BA0271" w:rsidR="0097443E">
        <w:rPr>
          <w:rFonts w:ascii="Arial" w:hAnsi="Arial" w:cs="Arial"/>
          <w:sz w:val="22"/>
          <w:szCs w:val="22"/>
        </w:rPr>
        <w:t>A facility</w:t>
      </w:r>
      <w:r w:rsidRPr="00BA0271" w:rsidR="007F112A">
        <w:rPr>
          <w:rFonts w:ascii="Arial" w:hAnsi="Arial" w:cs="Arial"/>
          <w:sz w:val="22"/>
          <w:szCs w:val="22"/>
        </w:rPr>
        <w:t xml:space="preserve"> </w:t>
      </w:r>
      <w:r w:rsidRPr="00BA0271" w:rsidR="00D81F37">
        <w:rPr>
          <w:rFonts w:ascii="Arial" w:hAnsi="Arial" w:cs="Arial"/>
          <w:sz w:val="22"/>
          <w:szCs w:val="22"/>
        </w:rPr>
        <w:t xml:space="preserve">may be </w:t>
      </w:r>
      <w:r w:rsidRPr="00BA0271" w:rsidR="007F112A">
        <w:rPr>
          <w:rFonts w:ascii="Arial" w:hAnsi="Arial" w:cs="Arial"/>
          <w:sz w:val="22"/>
          <w:szCs w:val="22"/>
        </w:rPr>
        <w:t>design</w:t>
      </w:r>
      <w:r w:rsidRPr="00BA0271" w:rsidR="00D81F37">
        <w:rPr>
          <w:rFonts w:ascii="Arial" w:hAnsi="Arial" w:cs="Arial"/>
          <w:sz w:val="22"/>
          <w:szCs w:val="22"/>
        </w:rPr>
        <w:t>ed</w:t>
      </w:r>
      <w:r w:rsidRPr="00BA0271" w:rsidR="007F112A">
        <w:rPr>
          <w:rFonts w:ascii="Arial" w:hAnsi="Arial" w:cs="Arial"/>
          <w:sz w:val="22"/>
          <w:szCs w:val="22"/>
        </w:rPr>
        <w:t xml:space="preserve"> </w:t>
      </w:r>
      <w:r w:rsidRPr="00BA0271" w:rsidR="00FE5DE1">
        <w:rPr>
          <w:rFonts w:ascii="Arial" w:hAnsi="Arial" w:cs="Arial"/>
          <w:sz w:val="22"/>
          <w:szCs w:val="22"/>
        </w:rPr>
        <w:t xml:space="preserve">to </w:t>
      </w:r>
      <w:r w:rsidRPr="00BA0271" w:rsidR="007F112A">
        <w:rPr>
          <w:rFonts w:ascii="Arial" w:hAnsi="Arial" w:cs="Arial"/>
          <w:sz w:val="22"/>
          <w:szCs w:val="22"/>
        </w:rPr>
        <w:t>rel</w:t>
      </w:r>
      <w:r w:rsidRPr="00BA0271" w:rsidR="00FE5DE1">
        <w:rPr>
          <w:rFonts w:ascii="Arial" w:hAnsi="Arial" w:cs="Arial"/>
          <w:sz w:val="22"/>
          <w:szCs w:val="22"/>
        </w:rPr>
        <w:t>y</w:t>
      </w:r>
      <w:r w:rsidRPr="00BA0271" w:rsidR="007F112A">
        <w:rPr>
          <w:rFonts w:ascii="Arial" w:hAnsi="Arial" w:cs="Arial"/>
          <w:sz w:val="22"/>
          <w:szCs w:val="22"/>
        </w:rPr>
        <w:t xml:space="preserve"> upon </w:t>
      </w:r>
      <w:r w:rsidRPr="00BA0271" w:rsidR="003A0BCE">
        <w:rPr>
          <w:rFonts w:ascii="Arial" w:hAnsi="Arial" w:cs="Arial"/>
          <w:sz w:val="22"/>
          <w:szCs w:val="22"/>
        </w:rPr>
        <w:t xml:space="preserve">features such as </w:t>
      </w:r>
      <w:r w:rsidRPr="00BA0271" w:rsidR="007F112A">
        <w:rPr>
          <w:rFonts w:ascii="Arial" w:hAnsi="Arial" w:cs="Arial"/>
          <w:sz w:val="22"/>
          <w:szCs w:val="22"/>
        </w:rPr>
        <w:t xml:space="preserve">inherent characteristics </w:t>
      </w:r>
      <w:r w:rsidRPr="00BA0271" w:rsidR="00FE6FA5">
        <w:rPr>
          <w:rFonts w:ascii="Arial" w:hAnsi="Arial" w:cs="Arial"/>
          <w:sz w:val="22"/>
          <w:szCs w:val="22"/>
        </w:rPr>
        <w:t xml:space="preserve">like </w:t>
      </w:r>
      <w:r w:rsidRPr="00BA0271" w:rsidR="007F112A">
        <w:rPr>
          <w:rFonts w:ascii="Arial" w:hAnsi="Arial" w:cs="Arial"/>
          <w:sz w:val="22"/>
          <w:szCs w:val="22"/>
        </w:rPr>
        <w:t>heat transfer through a medium</w:t>
      </w:r>
      <w:r w:rsidRPr="00BA0271" w:rsidR="003A0BCE">
        <w:rPr>
          <w:rFonts w:ascii="Arial" w:hAnsi="Arial" w:cs="Arial"/>
          <w:sz w:val="22"/>
          <w:szCs w:val="22"/>
        </w:rPr>
        <w:t xml:space="preserve"> or</w:t>
      </w:r>
      <w:r w:rsidRPr="00BA0271" w:rsidR="007F112A">
        <w:rPr>
          <w:rFonts w:ascii="Arial" w:hAnsi="Arial" w:cs="Arial"/>
          <w:sz w:val="22"/>
          <w:szCs w:val="22"/>
        </w:rPr>
        <w:t xml:space="preserve"> </w:t>
      </w:r>
      <w:r w:rsidRPr="00BA0271" w:rsidR="008C58FA">
        <w:rPr>
          <w:rFonts w:ascii="Arial" w:hAnsi="Arial" w:cs="Arial"/>
          <w:sz w:val="22"/>
          <w:szCs w:val="22"/>
        </w:rPr>
        <w:t>automated</w:t>
      </w:r>
      <w:r w:rsidRPr="00BA0271" w:rsidR="0060046F">
        <w:rPr>
          <w:rFonts w:ascii="Arial" w:hAnsi="Arial" w:cs="Arial"/>
          <w:sz w:val="22"/>
          <w:szCs w:val="22"/>
        </w:rPr>
        <w:t xml:space="preserve"> systems </w:t>
      </w:r>
      <w:r w:rsidRPr="00BA0271" w:rsidR="007F112A">
        <w:rPr>
          <w:rFonts w:ascii="Arial" w:hAnsi="Arial" w:cs="Arial"/>
          <w:sz w:val="22"/>
          <w:szCs w:val="22"/>
        </w:rPr>
        <w:t>to achieve the desired safety outcomes</w:t>
      </w:r>
      <w:r w:rsidRPr="00BA0271" w:rsidR="00536624">
        <w:rPr>
          <w:rFonts w:ascii="Arial" w:hAnsi="Arial" w:cs="Arial"/>
          <w:sz w:val="22"/>
          <w:szCs w:val="22"/>
        </w:rPr>
        <w:t xml:space="preserve"> without reliance on human action</w:t>
      </w:r>
      <w:r w:rsidRPr="00BA0271" w:rsidR="007F112A">
        <w:rPr>
          <w:rFonts w:ascii="Arial" w:hAnsi="Arial" w:cs="Arial"/>
          <w:sz w:val="22"/>
          <w:szCs w:val="22"/>
        </w:rPr>
        <w:t xml:space="preserve">. </w:t>
      </w:r>
      <w:r w:rsidRPr="00BA0271" w:rsidR="00536624">
        <w:rPr>
          <w:rFonts w:ascii="Arial" w:hAnsi="Arial" w:cs="Arial"/>
          <w:sz w:val="22"/>
          <w:szCs w:val="22"/>
        </w:rPr>
        <w:t>While o</w:t>
      </w:r>
      <w:r w:rsidRPr="00BA0271" w:rsidR="007F112A">
        <w:rPr>
          <w:rFonts w:ascii="Arial" w:hAnsi="Arial" w:cs="Arial"/>
          <w:sz w:val="22"/>
          <w:szCs w:val="22"/>
        </w:rPr>
        <w:t xml:space="preserve">peration of </w:t>
      </w:r>
      <w:r w:rsidRPr="00BA0271" w:rsidR="00DE0B49">
        <w:rPr>
          <w:rFonts w:ascii="Arial" w:hAnsi="Arial" w:cs="Arial"/>
          <w:sz w:val="22"/>
          <w:szCs w:val="22"/>
        </w:rPr>
        <w:t>a</w:t>
      </w:r>
      <w:r w:rsidRPr="00BA0271" w:rsidR="007F112A">
        <w:rPr>
          <w:rFonts w:ascii="Arial" w:hAnsi="Arial" w:cs="Arial"/>
          <w:sz w:val="22"/>
          <w:szCs w:val="22"/>
        </w:rPr>
        <w:t xml:space="preserve"> </w:t>
      </w:r>
      <w:r w:rsidRPr="00BA0271" w:rsidR="002A7D71">
        <w:rPr>
          <w:rFonts w:ascii="Arial" w:hAnsi="Arial" w:cs="Arial"/>
          <w:sz w:val="22"/>
          <w:szCs w:val="22"/>
        </w:rPr>
        <w:t>facility</w:t>
      </w:r>
      <w:r w:rsidRPr="00BA0271" w:rsidR="007F112A">
        <w:rPr>
          <w:rFonts w:ascii="Arial" w:hAnsi="Arial" w:cs="Arial"/>
          <w:sz w:val="22"/>
          <w:szCs w:val="22"/>
        </w:rPr>
        <w:t xml:space="preserve"> may require human actions, </w:t>
      </w:r>
      <w:r w:rsidRPr="00BA0271" w:rsidR="00AC7907">
        <w:rPr>
          <w:rFonts w:ascii="Arial" w:hAnsi="Arial" w:cs="Arial"/>
          <w:sz w:val="22"/>
          <w:szCs w:val="22"/>
        </w:rPr>
        <w:t xml:space="preserve">a self-reliant mitigation facility cannot </w:t>
      </w:r>
      <w:r w:rsidRPr="00BA0271" w:rsidR="00E14771">
        <w:rPr>
          <w:rFonts w:ascii="Arial" w:hAnsi="Arial" w:cs="Arial"/>
          <w:sz w:val="22"/>
          <w:szCs w:val="22"/>
        </w:rPr>
        <w:t>rely on</w:t>
      </w:r>
      <w:r w:rsidRPr="00BA0271" w:rsidR="007F112A">
        <w:rPr>
          <w:rFonts w:ascii="Arial" w:hAnsi="Arial" w:cs="Arial"/>
          <w:sz w:val="22"/>
          <w:szCs w:val="22"/>
        </w:rPr>
        <w:t xml:space="preserve"> those human actions to mitigate events or meet safety functions and</w:t>
      </w:r>
      <w:r w:rsidRPr="00BA0271" w:rsidR="0036334A">
        <w:rPr>
          <w:rFonts w:ascii="Arial" w:hAnsi="Arial" w:cs="Arial"/>
          <w:sz w:val="22"/>
          <w:szCs w:val="22"/>
        </w:rPr>
        <w:t xml:space="preserve"> </w:t>
      </w:r>
      <w:r w:rsidRPr="00BA0271" w:rsidR="00950FE5">
        <w:rPr>
          <w:rFonts w:ascii="Arial" w:hAnsi="Arial" w:cs="Arial"/>
          <w:sz w:val="22"/>
          <w:szCs w:val="22"/>
        </w:rPr>
        <w:t xml:space="preserve">must meet the requirements of </w:t>
      </w:r>
      <w:r w:rsidRPr="00BA0271" w:rsidR="001C60FD">
        <w:rPr>
          <w:rFonts w:ascii="Arial" w:hAnsi="Arial" w:cs="Arial"/>
          <w:sz w:val="22"/>
          <w:szCs w:val="22"/>
        </w:rPr>
        <w:t>10</w:t>
      </w:r>
      <w:r w:rsidR="008D17A1">
        <w:rPr>
          <w:rFonts w:ascii="Arial" w:hAnsi="Arial" w:cs="Arial"/>
          <w:sz w:val="22"/>
          <w:szCs w:val="22"/>
        </w:rPr>
        <w:t> </w:t>
      </w:r>
      <w:r w:rsidRPr="00BA0271" w:rsidR="001C60FD">
        <w:rPr>
          <w:rFonts w:ascii="Arial" w:hAnsi="Arial" w:cs="Arial"/>
          <w:sz w:val="22"/>
          <w:szCs w:val="22"/>
        </w:rPr>
        <w:t>CFR</w:t>
      </w:r>
      <w:r w:rsidR="008D17A1">
        <w:rPr>
          <w:rFonts w:ascii="Arial" w:hAnsi="Arial" w:cs="Arial"/>
          <w:sz w:val="22"/>
          <w:szCs w:val="22"/>
        </w:rPr>
        <w:t> </w:t>
      </w:r>
      <w:r w:rsidRPr="00BA0271" w:rsidR="001C60FD">
        <w:rPr>
          <w:rFonts w:ascii="Arial" w:hAnsi="Arial" w:cs="Arial"/>
          <w:sz w:val="22"/>
          <w:szCs w:val="22"/>
        </w:rPr>
        <w:t>53.800(a)(5)</w:t>
      </w:r>
      <w:r w:rsidRPr="00BA0271" w:rsidR="007F112A">
        <w:rPr>
          <w:rFonts w:ascii="Arial" w:hAnsi="Arial" w:cs="Arial"/>
          <w:sz w:val="22"/>
          <w:szCs w:val="22"/>
        </w:rPr>
        <w:t xml:space="preserve">. Whether these criteria are met through automation, inherent design characteristics, or another method is left to </w:t>
      </w:r>
      <w:r w:rsidRPr="00BA0271" w:rsidR="002B67A8">
        <w:rPr>
          <w:rFonts w:ascii="Arial" w:hAnsi="Arial" w:cs="Arial"/>
          <w:sz w:val="22"/>
          <w:szCs w:val="22"/>
        </w:rPr>
        <w:t>an applicant</w:t>
      </w:r>
      <w:r w:rsidRPr="00BA0271" w:rsidR="007F112A">
        <w:rPr>
          <w:rFonts w:ascii="Arial" w:hAnsi="Arial" w:cs="Arial"/>
          <w:sz w:val="22"/>
          <w:szCs w:val="22"/>
        </w:rPr>
        <w:t xml:space="preserve"> to determine. </w:t>
      </w:r>
    </w:p>
    <w:p w:rsidR="007330D4" w:rsidP="00BA0271" w14:paraId="23D906D1" w14:textId="77777777">
      <w:pPr>
        <w:spacing w:after="220"/>
        <w:rPr>
          <w:rFonts w:ascii="Arial" w:hAnsi="Arial" w:cs="Arial"/>
          <w:sz w:val="22"/>
          <w:szCs w:val="22"/>
        </w:rPr>
        <w:sectPr>
          <w:pgSz w:w="12240" w:h="15840"/>
          <w:pgMar w:top="1440" w:right="1440" w:bottom="1440" w:left="1440" w:header="720" w:footer="720" w:gutter="0"/>
          <w:cols w:space="720"/>
          <w:docGrid w:linePitch="360"/>
        </w:sectPr>
      </w:pPr>
      <w:r w:rsidRPr="00BA0271">
        <w:rPr>
          <w:rFonts w:ascii="Arial" w:hAnsi="Arial" w:cs="Arial"/>
          <w:sz w:val="22"/>
          <w:szCs w:val="22"/>
        </w:rPr>
        <w:t>Regarding what is considered “acceptable event mitigation”</w:t>
      </w:r>
      <w:r w:rsidRPr="00BA0271" w:rsidR="009E5DC1">
        <w:rPr>
          <w:rFonts w:ascii="Arial" w:hAnsi="Arial" w:cs="Arial"/>
          <w:sz w:val="22"/>
          <w:szCs w:val="22"/>
        </w:rPr>
        <w:t xml:space="preserve"> for a self-reliant mitigation facility,</w:t>
      </w:r>
      <w:r w:rsidRPr="00BA0271" w:rsidR="00001354">
        <w:rPr>
          <w:rFonts w:ascii="Arial" w:hAnsi="Arial" w:cs="Arial"/>
          <w:sz w:val="22"/>
          <w:szCs w:val="22"/>
        </w:rPr>
        <w:t xml:space="preserve"> </w:t>
      </w:r>
      <w:r w:rsidRPr="00BA0271" w:rsidR="00B41A3A">
        <w:rPr>
          <w:rFonts w:ascii="Arial" w:hAnsi="Arial" w:cs="Arial"/>
          <w:sz w:val="22"/>
          <w:szCs w:val="22"/>
        </w:rPr>
        <w:t xml:space="preserve">this is achieved in part </w:t>
      </w:r>
      <w:r w:rsidRPr="00BA0271" w:rsidR="00D959F0">
        <w:rPr>
          <w:rFonts w:ascii="Arial" w:hAnsi="Arial" w:cs="Arial"/>
          <w:sz w:val="22"/>
          <w:szCs w:val="22"/>
        </w:rPr>
        <w:t xml:space="preserve">when </w:t>
      </w:r>
      <w:r w:rsidRPr="00BA0271" w:rsidR="0058351C">
        <w:rPr>
          <w:rFonts w:ascii="Arial" w:hAnsi="Arial" w:cs="Arial"/>
          <w:sz w:val="22"/>
          <w:szCs w:val="22"/>
        </w:rPr>
        <w:t xml:space="preserve">analysis of </w:t>
      </w:r>
      <w:r w:rsidRPr="00BA0271" w:rsidR="00D959F0">
        <w:rPr>
          <w:rFonts w:ascii="Arial" w:hAnsi="Arial" w:cs="Arial"/>
          <w:sz w:val="22"/>
          <w:szCs w:val="22"/>
        </w:rPr>
        <w:t>the facility’s</w:t>
      </w:r>
      <w:r w:rsidRPr="00BA0271" w:rsidR="00964F1F">
        <w:rPr>
          <w:rFonts w:ascii="Arial" w:hAnsi="Arial" w:cs="Arial"/>
          <w:sz w:val="22"/>
          <w:szCs w:val="22"/>
        </w:rPr>
        <w:t xml:space="preserve"> design-basis accidents</w:t>
      </w:r>
      <w:r w:rsidRPr="00BA0271" w:rsidR="003C5103">
        <w:rPr>
          <w:rFonts w:ascii="Arial" w:hAnsi="Arial" w:cs="Arial"/>
          <w:sz w:val="22"/>
          <w:szCs w:val="22"/>
        </w:rPr>
        <w:t xml:space="preserve"> demonstrat</w:t>
      </w:r>
      <w:r w:rsidRPr="00BA0271" w:rsidR="00D959F0">
        <w:rPr>
          <w:rFonts w:ascii="Arial" w:hAnsi="Arial" w:cs="Arial"/>
          <w:sz w:val="22"/>
          <w:szCs w:val="22"/>
        </w:rPr>
        <w:t>e</w:t>
      </w:r>
      <w:r w:rsidRPr="00BA0271" w:rsidR="0058351C">
        <w:rPr>
          <w:rFonts w:ascii="Arial" w:hAnsi="Arial" w:cs="Arial"/>
          <w:sz w:val="22"/>
          <w:szCs w:val="22"/>
        </w:rPr>
        <w:t>s</w:t>
      </w:r>
      <w:r w:rsidRPr="00BA0271" w:rsidR="003C5103">
        <w:rPr>
          <w:rFonts w:ascii="Arial" w:hAnsi="Arial" w:cs="Arial"/>
          <w:sz w:val="22"/>
          <w:szCs w:val="22"/>
        </w:rPr>
        <w:t xml:space="preserve"> </w:t>
      </w:r>
      <w:r w:rsidRPr="00BA0271" w:rsidR="00D9035F">
        <w:rPr>
          <w:rFonts w:ascii="Arial" w:hAnsi="Arial" w:cs="Arial"/>
          <w:sz w:val="22"/>
          <w:szCs w:val="22"/>
        </w:rPr>
        <w:t xml:space="preserve">that </w:t>
      </w:r>
      <w:r w:rsidRPr="00BA0271" w:rsidR="003C5103">
        <w:rPr>
          <w:rFonts w:ascii="Arial" w:hAnsi="Arial" w:cs="Arial"/>
          <w:sz w:val="22"/>
          <w:szCs w:val="22"/>
        </w:rPr>
        <w:t xml:space="preserve">the </w:t>
      </w:r>
      <w:r w:rsidRPr="00BA0271" w:rsidR="00485101">
        <w:rPr>
          <w:rFonts w:ascii="Arial" w:hAnsi="Arial" w:cs="Arial"/>
          <w:sz w:val="22"/>
          <w:szCs w:val="22"/>
        </w:rPr>
        <w:t xml:space="preserve">dose limits </w:t>
      </w:r>
      <w:r w:rsidRPr="00BA0271" w:rsidR="00EF11F4">
        <w:rPr>
          <w:rFonts w:ascii="Arial" w:hAnsi="Arial" w:cs="Arial"/>
          <w:sz w:val="22"/>
          <w:szCs w:val="22"/>
        </w:rPr>
        <w:t xml:space="preserve">of 10 CFR 53.210 </w:t>
      </w:r>
      <w:r w:rsidRPr="00BA0271" w:rsidR="008C500D">
        <w:rPr>
          <w:rFonts w:ascii="Arial" w:hAnsi="Arial" w:cs="Arial"/>
          <w:sz w:val="22"/>
          <w:szCs w:val="22"/>
        </w:rPr>
        <w:t>would not be</w:t>
      </w:r>
      <w:r w:rsidRPr="00BA0271" w:rsidR="00485101">
        <w:rPr>
          <w:rFonts w:ascii="Arial" w:hAnsi="Arial" w:cs="Arial"/>
          <w:sz w:val="22"/>
          <w:szCs w:val="22"/>
        </w:rPr>
        <w:t xml:space="preserve"> </w:t>
      </w:r>
      <w:r w:rsidRPr="00BA0271" w:rsidR="00964F1F">
        <w:rPr>
          <w:rFonts w:ascii="Arial" w:hAnsi="Arial" w:cs="Arial"/>
          <w:sz w:val="22"/>
          <w:szCs w:val="22"/>
        </w:rPr>
        <w:t>exceeded</w:t>
      </w:r>
      <w:r w:rsidRPr="00BA0271" w:rsidR="00B1705F">
        <w:rPr>
          <w:rFonts w:ascii="Arial" w:hAnsi="Arial" w:cs="Arial"/>
          <w:sz w:val="22"/>
          <w:szCs w:val="22"/>
        </w:rPr>
        <w:t xml:space="preserve"> without reliance on human action</w:t>
      </w:r>
      <w:r w:rsidRPr="00BA0271" w:rsidR="00D62AA2">
        <w:rPr>
          <w:rFonts w:ascii="Arial" w:hAnsi="Arial" w:cs="Arial"/>
          <w:sz w:val="22"/>
          <w:szCs w:val="22"/>
        </w:rPr>
        <w:t xml:space="preserve">. </w:t>
      </w:r>
      <w:r w:rsidRPr="00BA0271" w:rsidR="00327142">
        <w:rPr>
          <w:rFonts w:ascii="Arial" w:hAnsi="Arial" w:cs="Arial"/>
          <w:sz w:val="22"/>
          <w:szCs w:val="22"/>
        </w:rPr>
        <w:t>Additionally</w:t>
      </w:r>
      <w:r w:rsidRPr="00BA0271" w:rsidR="00D62AA2">
        <w:rPr>
          <w:rFonts w:ascii="Arial" w:hAnsi="Arial" w:cs="Arial"/>
          <w:sz w:val="22"/>
          <w:szCs w:val="22"/>
        </w:rPr>
        <w:t xml:space="preserve">, acceptable event mitigation </w:t>
      </w:r>
      <w:r w:rsidRPr="00BA0271" w:rsidR="00C52994">
        <w:rPr>
          <w:rFonts w:ascii="Arial" w:hAnsi="Arial" w:cs="Arial"/>
          <w:sz w:val="22"/>
          <w:szCs w:val="22"/>
        </w:rPr>
        <w:t>is described by the requirements of 10</w:t>
      </w:r>
      <w:r w:rsidRPr="00BA0271" w:rsidR="006561AB">
        <w:rPr>
          <w:rFonts w:ascii="Arial" w:hAnsi="Arial" w:cs="Arial"/>
          <w:sz w:val="22"/>
          <w:szCs w:val="22"/>
        </w:rPr>
        <w:t> </w:t>
      </w:r>
      <w:r w:rsidRPr="00BA0271" w:rsidR="00C52994">
        <w:rPr>
          <w:rFonts w:ascii="Arial" w:hAnsi="Arial" w:cs="Arial"/>
          <w:sz w:val="22"/>
          <w:szCs w:val="22"/>
        </w:rPr>
        <w:t>CFR</w:t>
      </w:r>
      <w:r w:rsidR="005D42F0">
        <w:rPr>
          <w:rFonts w:ascii="Arial" w:hAnsi="Arial" w:cs="Arial"/>
          <w:sz w:val="22"/>
          <w:szCs w:val="22"/>
        </w:rPr>
        <w:t> </w:t>
      </w:r>
      <w:r w:rsidRPr="00BA0271" w:rsidR="00C52994">
        <w:rPr>
          <w:rFonts w:ascii="Arial" w:hAnsi="Arial" w:cs="Arial"/>
          <w:sz w:val="22"/>
          <w:szCs w:val="22"/>
        </w:rPr>
        <w:t>53.800(a)(1), (2), and (4)</w:t>
      </w:r>
      <w:r w:rsidRPr="00BA0271" w:rsidR="006561AB">
        <w:rPr>
          <w:rFonts w:ascii="Arial" w:hAnsi="Arial" w:cs="Arial"/>
          <w:sz w:val="22"/>
          <w:szCs w:val="22"/>
        </w:rPr>
        <w:t xml:space="preserve"> </w:t>
      </w:r>
      <w:r w:rsidRPr="00BA0271" w:rsidR="00AA1997">
        <w:rPr>
          <w:rFonts w:ascii="Arial" w:hAnsi="Arial" w:cs="Arial"/>
          <w:sz w:val="22"/>
          <w:szCs w:val="22"/>
        </w:rPr>
        <w:t>as it relates to</w:t>
      </w:r>
      <w:r w:rsidRPr="00BA0271" w:rsidR="006561AB">
        <w:rPr>
          <w:rFonts w:ascii="Arial" w:hAnsi="Arial" w:cs="Arial"/>
          <w:sz w:val="22"/>
          <w:szCs w:val="22"/>
        </w:rPr>
        <w:t xml:space="preserve"> </w:t>
      </w:r>
      <w:r w:rsidR="005D42F0">
        <w:rPr>
          <w:rFonts w:ascii="Arial" w:hAnsi="Arial" w:cs="Arial"/>
          <w:sz w:val="22"/>
          <w:szCs w:val="22"/>
        </w:rPr>
        <w:t>LBEs</w:t>
      </w:r>
      <w:r w:rsidRPr="00BA0271" w:rsidR="006561AB">
        <w:rPr>
          <w:rFonts w:ascii="Arial" w:hAnsi="Arial" w:cs="Arial"/>
          <w:sz w:val="22"/>
          <w:szCs w:val="22"/>
        </w:rPr>
        <w:t xml:space="preserve"> other than </w:t>
      </w:r>
      <w:r w:rsidR="005D42F0">
        <w:rPr>
          <w:rFonts w:ascii="Arial" w:hAnsi="Arial" w:cs="Arial"/>
          <w:sz w:val="22"/>
          <w:szCs w:val="22"/>
        </w:rPr>
        <w:t>DBAs</w:t>
      </w:r>
      <w:r w:rsidRPr="00BA0271" w:rsidR="00534608">
        <w:rPr>
          <w:rFonts w:ascii="Arial" w:hAnsi="Arial" w:cs="Arial"/>
          <w:sz w:val="22"/>
          <w:szCs w:val="22"/>
        </w:rPr>
        <w:t>.</w:t>
      </w:r>
    </w:p>
    <w:p w:rsidR="007F112A" w:rsidP="00BA0271" w14:paraId="57E73BF1" w14:textId="77777777">
      <w:pPr>
        <w:spacing w:after="220"/>
        <w:rPr>
          <w:rFonts w:ascii="Arial" w:hAnsi="Arial" w:cs="Arial"/>
          <w:sz w:val="22"/>
          <w:szCs w:val="22"/>
        </w:rPr>
      </w:pPr>
      <w:r w:rsidRPr="00BA0271">
        <w:rPr>
          <w:rFonts w:ascii="Arial" w:hAnsi="Arial" w:cs="Arial"/>
          <w:sz w:val="22"/>
          <w:szCs w:val="22"/>
        </w:rPr>
        <w:t xml:space="preserve">Accordingly, the NRC did not change the rule language in response to this </w:t>
      </w:r>
      <w:r w:rsidRPr="00BA0271" w:rsidR="00471D40">
        <w:rPr>
          <w:rFonts w:ascii="Arial" w:hAnsi="Arial" w:cs="Arial"/>
          <w:sz w:val="22"/>
          <w:szCs w:val="22"/>
        </w:rPr>
        <w:t>comment</w:t>
      </w:r>
      <w:r w:rsidRPr="00BA0271">
        <w:rPr>
          <w:rFonts w:ascii="Arial" w:hAnsi="Arial" w:cs="Arial"/>
          <w:sz w:val="22"/>
          <w:szCs w:val="22"/>
        </w:rPr>
        <w:t>.</w:t>
      </w:r>
    </w:p>
    <w:p w:rsidR="007F112A" w:rsidRPr="00BA0271" w:rsidP="00BA0271" w14:paraId="5CF37958" w14:textId="77777777">
      <w:pPr>
        <w:spacing w:after="220"/>
        <w:rPr>
          <w:rFonts w:ascii="Arial" w:hAnsi="Arial" w:cs="Arial"/>
          <w:sz w:val="22"/>
          <w:szCs w:val="22"/>
        </w:rPr>
      </w:pPr>
      <w:r>
        <w:rPr>
          <w:rFonts w:ascii="Arial" w:hAnsi="Arial" w:cs="Arial"/>
          <w:sz w:val="22"/>
          <w:szCs w:val="22"/>
        </w:rPr>
        <w:pict>
          <v:rect id="_x0000_i1198" style="width:0;height:1.5pt" o:hralign="center" o:hrstd="t" o:hrnoshade="t" o:hr="t" fillcolor="black" stroked="f"/>
        </w:pict>
      </w:r>
    </w:p>
    <w:p w:rsidR="007F112A" w:rsidRPr="00BA0271" w:rsidP="00BA0271" w14:paraId="03831B49" w14:textId="77777777">
      <w:pPr>
        <w:spacing w:after="220"/>
        <w:rPr>
          <w:rFonts w:ascii="Arial" w:hAnsi="Arial" w:cs="Arial"/>
          <w:sz w:val="22"/>
          <w:szCs w:val="22"/>
        </w:rPr>
      </w:pPr>
      <w:r w:rsidRPr="00BA0271">
        <w:rPr>
          <w:rFonts w:ascii="Arial" w:eastAsia="DengXian" w:hAnsi="Arial" w:cs="Arial"/>
          <w:b/>
          <w:sz w:val="22"/>
          <w:szCs w:val="22"/>
        </w:rPr>
        <w:t>Comment Bin 3.6.2.3.C:</w:t>
      </w:r>
      <w:r w:rsidRPr="00BA0271">
        <w:rPr>
          <w:rFonts w:ascii="Arial" w:eastAsia="DengXian" w:hAnsi="Arial" w:cs="Arial"/>
          <w:sz w:val="22"/>
          <w:szCs w:val="22"/>
        </w:rPr>
        <w:t xml:space="preserve"> </w:t>
      </w:r>
      <w:r w:rsidRPr="00BA0271">
        <w:rPr>
          <w:rFonts w:ascii="Arial" w:hAnsi="Arial" w:cs="Arial"/>
          <w:sz w:val="22"/>
          <w:szCs w:val="22"/>
        </w:rPr>
        <w:t>A commenter said that 10 CFR 53.800(a) appears to have a lot of “give and take” to show all requirements will be met. The commenter said that paragraph (a)(4) is the only paragraph that describes how compliance may be achieved and suggested this paragraph should be moved to guidance (</w:t>
      </w:r>
      <w:r w:rsidR="009D6BB9">
        <w:rPr>
          <w:rFonts w:ascii="Arial" w:hAnsi="Arial" w:cs="Arial"/>
          <w:sz w:val="22"/>
          <w:szCs w:val="22"/>
        </w:rPr>
        <w:t>NEI2</w:t>
      </w:r>
      <w:r w:rsidRPr="00BA0271">
        <w:rPr>
          <w:rFonts w:ascii="Arial" w:hAnsi="Arial" w:cs="Arial"/>
          <w:sz w:val="22"/>
          <w:szCs w:val="22"/>
        </w:rPr>
        <w:t xml:space="preserve">-0094). </w:t>
      </w:r>
    </w:p>
    <w:p w:rsidR="007F112A" w:rsidRPr="00BA0271" w:rsidP="00BA0271" w14:paraId="57BA6BBA" w14:textId="77777777">
      <w:pPr>
        <w:spacing w:after="220"/>
        <w:rPr>
          <w:rFonts w:ascii="Arial" w:eastAsia="Times New Roman" w:hAnsi="Arial" w:cs="Arial"/>
          <w:color w:val="000000"/>
          <w:sz w:val="22"/>
          <w:szCs w:val="22"/>
          <w:lang w:eastAsia="zh-CN"/>
        </w:rPr>
      </w:pPr>
      <w:r w:rsidRPr="00BA0271">
        <w:rPr>
          <w:rFonts w:ascii="Arial" w:hAnsi="Arial" w:cs="Arial"/>
          <w:sz w:val="22"/>
          <w:szCs w:val="22"/>
        </w:rPr>
        <w:t>Regarding 10 CFR 53.800(a), a commenter asked what is the acceptable level of diversity and redundancy in any and all safety systems, emergency actions, and on-site and off-site resources, and how it is determined given that PRA has limited capabilities and scenarios are incomplete (</w:t>
      </w:r>
      <w:r w:rsidR="00A02F0C">
        <w:rPr>
          <w:rFonts w:ascii="Arial" w:hAnsi="Arial" w:cs="Arial"/>
          <w:sz w:val="22"/>
          <w:szCs w:val="22"/>
        </w:rPr>
        <w:t>RD</w:t>
      </w:r>
      <w:r w:rsidRPr="00BA0271">
        <w:rPr>
          <w:rFonts w:ascii="Arial" w:hAnsi="Arial" w:cs="Arial"/>
          <w:sz w:val="22"/>
          <w:szCs w:val="22"/>
        </w:rPr>
        <w:t>-0027). </w:t>
      </w:r>
    </w:p>
    <w:p w:rsidR="007F112A" w:rsidRPr="00BA0271" w:rsidP="00BA0271" w14:paraId="25C39EDB" w14:textId="77777777">
      <w:pPr>
        <w:spacing w:after="220"/>
        <w:rPr>
          <w:rFonts w:ascii="Arial"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w:t>
      </w:r>
      <w:r w:rsidRPr="00BA0271">
        <w:rPr>
          <w:rFonts w:ascii="Arial" w:hAnsi="Arial" w:cs="Arial"/>
          <w:sz w:val="22"/>
          <w:szCs w:val="22"/>
        </w:rPr>
        <w:t>The NRC agrees, in part, with the comments.</w:t>
      </w:r>
    </w:p>
    <w:p w:rsidR="007F112A" w:rsidRPr="00BA0271" w:rsidP="00BA0271" w14:paraId="5CB1FAB1" w14:textId="77777777">
      <w:pPr>
        <w:spacing w:after="220"/>
        <w:rPr>
          <w:rFonts w:ascii="Arial" w:hAnsi="Arial" w:cs="Arial"/>
          <w:sz w:val="22"/>
          <w:szCs w:val="22"/>
        </w:rPr>
      </w:pPr>
      <w:r w:rsidRPr="00BA0271">
        <w:rPr>
          <w:rFonts w:ascii="Arial" w:hAnsi="Arial" w:cs="Arial"/>
          <w:sz w:val="22"/>
          <w:szCs w:val="22"/>
        </w:rPr>
        <w:t xml:space="preserve">The NRC agrees </w:t>
      </w:r>
      <w:r w:rsidRPr="00BA0271" w:rsidR="00E53A4C">
        <w:rPr>
          <w:rFonts w:ascii="Arial" w:hAnsi="Arial" w:cs="Arial"/>
          <w:sz w:val="22"/>
          <w:szCs w:val="22"/>
        </w:rPr>
        <w:t>that</w:t>
      </w:r>
      <w:r w:rsidRPr="00BA0271">
        <w:rPr>
          <w:rFonts w:ascii="Arial" w:hAnsi="Arial" w:cs="Arial"/>
          <w:sz w:val="22"/>
          <w:szCs w:val="22"/>
        </w:rPr>
        <w:t xml:space="preserve"> the 10 CFR Part 53 regulatory framework allows applicants flexibility in determining how to meet various requirements. However, the NRC disagrees that 10 CFR 53.800(a)(4) should be moved to guidance because it is used as a criterion for defining a new class of facility. Because 10 CFR Part 53 was developed to be technology-inclusive and is expected to be used for a wide variety of designs, an applicant’s evaluation of the adequacy of their design’s defense in depth, including whether a PRA or other systematic risk evaluation may have been used to inform that evaluation may differ significantly from one application to another. As such, NRC determinations of the acceptability of an applicant’s defense-in-depth evaluation will likewise need to be made on an application-specific basis. </w:t>
      </w:r>
    </w:p>
    <w:p w:rsidR="007F112A" w:rsidP="00BA0271" w14:paraId="32EB4EEA" w14:textId="77777777">
      <w:pPr>
        <w:spacing w:after="220"/>
        <w:rPr>
          <w:rFonts w:ascii="Arial" w:hAnsi="Arial" w:cs="Arial"/>
          <w:sz w:val="22"/>
          <w:szCs w:val="22"/>
        </w:rPr>
      </w:pPr>
      <w:r w:rsidRPr="00BA0271">
        <w:rPr>
          <w:rFonts w:ascii="Arial" w:hAnsi="Arial" w:cs="Arial"/>
          <w:sz w:val="22"/>
          <w:szCs w:val="22"/>
        </w:rPr>
        <w:t>Accordingly, the NRC did not change the rule language in response to these comments</w:t>
      </w:r>
      <w:r w:rsidR="003047CF">
        <w:rPr>
          <w:rFonts w:ascii="Arial" w:hAnsi="Arial" w:cs="Arial"/>
          <w:sz w:val="22"/>
          <w:szCs w:val="22"/>
        </w:rPr>
        <w:t>.</w:t>
      </w:r>
    </w:p>
    <w:p w:rsidR="003047CF" w:rsidRPr="00BA0271" w:rsidP="00BA0271" w14:paraId="083F2F18" w14:textId="77777777">
      <w:pPr>
        <w:spacing w:after="220"/>
        <w:rPr>
          <w:rFonts w:ascii="Arial" w:hAnsi="Arial" w:cs="Arial"/>
          <w:sz w:val="22"/>
          <w:szCs w:val="22"/>
        </w:rPr>
      </w:pPr>
      <w:r>
        <w:rPr>
          <w:rFonts w:ascii="Arial" w:eastAsia="Times New Roman" w:hAnsi="Arial" w:cs="Arial"/>
          <w:sz w:val="22"/>
          <w:szCs w:val="22"/>
          <w:lang w:eastAsia="zh-CN"/>
        </w:rPr>
        <w:pict>
          <v:rect id="_x0000_i1199" style="width:0;height:1.5pt" o:hralign="center" o:hrstd="t" o:hrnoshade="t" o:hr="t" fillcolor="black" stroked="f"/>
        </w:pict>
      </w:r>
    </w:p>
    <w:p w:rsidR="007F112A" w:rsidRPr="00BA0271" w:rsidP="00BA0271" w14:paraId="7AFE5527" w14:textId="77777777">
      <w:pPr>
        <w:spacing w:after="220"/>
        <w:rPr>
          <w:rFonts w:ascii="Arial" w:eastAsia="Times New Roman" w:hAnsi="Arial" w:cs="Arial"/>
          <w:color w:val="000000"/>
          <w:sz w:val="22"/>
          <w:szCs w:val="22"/>
          <w:lang w:eastAsia="zh-CN"/>
        </w:rPr>
      </w:pPr>
      <w:r w:rsidRPr="00BA0271">
        <w:rPr>
          <w:rFonts w:ascii="Arial" w:eastAsia="DengXian" w:hAnsi="Arial" w:cs="Arial"/>
          <w:b/>
          <w:sz w:val="22"/>
          <w:szCs w:val="22"/>
        </w:rPr>
        <w:t>Comment Bin 3.6.2.3.D:</w:t>
      </w:r>
      <w:r w:rsidRPr="00BA0271">
        <w:rPr>
          <w:rFonts w:ascii="Arial" w:eastAsia="DengXian" w:hAnsi="Arial" w:cs="Arial"/>
          <w:sz w:val="22"/>
          <w:szCs w:val="22"/>
        </w:rPr>
        <w:t xml:space="preserve"> </w:t>
      </w:r>
      <w:r w:rsidRPr="00BA0271">
        <w:rPr>
          <w:rFonts w:ascii="Arial" w:hAnsi="Arial" w:cs="Arial"/>
          <w:sz w:val="22"/>
          <w:szCs w:val="22"/>
        </w:rPr>
        <w:t>A commenter said that 10 CFR 53.815(e) appears to be a copy and paste of 10 CFR 53.780(e) and suggested that the NRC consolidate requirements applicable to both interaction dependent and self-reliant facilities into a separate section (</w:t>
      </w:r>
      <w:r w:rsidR="009D6BB9">
        <w:rPr>
          <w:rFonts w:ascii="Arial" w:hAnsi="Arial" w:cs="Arial"/>
          <w:sz w:val="22"/>
          <w:szCs w:val="22"/>
        </w:rPr>
        <w:t>NEI2</w:t>
      </w:r>
      <w:r w:rsidRPr="00BA0271">
        <w:rPr>
          <w:rFonts w:ascii="Arial" w:hAnsi="Arial" w:cs="Arial"/>
          <w:sz w:val="22"/>
          <w:szCs w:val="22"/>
        </w:rPr>
        <w:t>-0104). </w:t>
      </w:r>
    </w:p>
    <w:p w:rsidR="007F112A" w:rsidRPr="00BA0271" w:rsidP="00BA0271" w14:paraId="0A15A42B" w14:textId="77777777">
      <w:pPr>
        <w:spacing w:after="220"/>
        <w:rPr>
          <w:rFonts w:ascii="Arial" w:hAnsi="Arial" w:cs="Arial"/>
          <w:sz w:val="22"/>
          <w:szCs w:val="22"/>
        </w:rPr>
      </w:pPr>
      <w:r w:rsidRPr="00BA0271">
        <w:rPr>
          <w:rFonts w:ascii="Arial" w:eastAsia="DengXian" w:hAnsi="Arial" w:cs="Arial"/>
          <w:b/>
          <w:sz w:val="22"/>
          <w:szCs w:val="22"/>
        </w:rPr>
        <w:t>NRC Response:</w:t>
      </w:r>
      <w:r w:rsidRPr="00BA0271">
        <w:rPr>
          <w:rFonts w:ascii="Arial" w:eastAsia="DengXian" w:hAnsi="Arial" w:cs="Arial"/>
          <w:sz w:val="22"/>
          <w:szCs w:val="22"/>
        </w:rPr>
        <w:t xml:space="preserve"> </w:t>
      </w:r>
      <w:r w:rsidRPr="00BA0271">
        <w:rPr>
          <w:rFonts w:ascii="Arial" w:hAnsi="Arial" w:cs="Arial"/>
          <w:sz w:val="22"/>
          <w:szCs w:val="22"/>
        </w:rPr>
        <w:t xml:space="preserve">The NRC disagrees with </w:t>
      </w:r>
      <w:r w:rsidR="00C02D01">
        <w:rPr>
          <w:rFonts w:ascii="Arial" w:hAnsi="Arial" w:cs="Arial"/>
          <w:sz w:val="22"/>
          <w:szCs w:val="22"/>
        </w:rPr>
        <w:t>the</w:t>
      </w:r>
      <w:r w:rsidRPr="00BA0271">
        <w:rPr>
          <w:rFonts w:ascii="Arial" w:hAnsi="Arial" w:cs="Arial"/>
          <w:sz w:val="22"/>
          <w:szCs w:val="22"/>
        </w:rPr>
        <w:t xml:space="preserve"> comment.</w:t>
      </w:r>
    </w:p>
    <w:p w:rsidR="007F112A" w:rsidRPr="00BA0271" w:rsidP="00BA0271" w14:paraId="7B47C7C8" w14:textId="77777777">
      <w:pPr>
        <w:spacing w:after="220"/>
        <w:rPr>
          <w:rFonts w:ascii="Arial" w:hAnsi="Arial" w:cs="Arial"/>
          <w:sz w:val="22"/>
          <w:szCs w:val="22"/>
        </w:rPr>
      </w:pPr>
      <w:r w:rsidRPr="00BA0271">
        <w:rPr>
          <w:rFonts w:ascii="Arial" w:hAnsi="Arial" w:cs="Arial"/>
          <w:sz w:val="22"/>
          <w:szCs w:val="22"/>
        </w:rPr>
        <w:t xml:space="preserve">There are subtle differences between the two sections to account for the differences between simulator usage for specifically licensed operators under 10 CFR 53.780(e) and </w:t>
      </w:r>
      <w:r w:rsidRPr="00BA0271" w:rsidR="0073558D">
        <w:rPr>
          <w:rFonts w:ascii="Arial" w:hAnsi="Arial" w:cs="Arial"/>
          <w:sz w:val="22"/>
          <w:szCs w:val="22"/>
        </w:rPr>
        <w:t>GLROs</w:t>
      </w:r>
      <w:r w:rsidRPr="00BA0271">
        <w:rPr>
          <w:rFonts w:ascii="Arial" w:hAnsi="Arial" w:cs="Arial"/>
          <w:sz w:val="22"/>
          <w:szCs w:val="22"/>
        </w:rPr>
        <w:t xml:space="preserve"> under 10 CFR 53.815(e). For example, 10 CFR 53.780(e) addresses simulators that will be used to administer exam</w:t>
      </w:r>
      <w:r w:rsidRPr="00BA0271" w:rsidR="00B9077D">
        <w:rPr>
          <w:rFonts w:ascii="Arial" w:hAnsi="Arial" w:cs="Arial"/>
          <w:sz w:val="22"/>
          <w:szCs w:val="22"/>
        </w:rPr>
        <w:t>ination</w:t>
      </w:r>
      <w:r w:rsidRPr="00BA0271">
        <w:rPr>
          <w:rFonts w:ascii="Arial" w:hAnsi="Arial" w:cs="Arial"/>
          <w:sz w:val="22"/>
          <w:szCs w:val="22"/>
        </w:rPr>
        <w:t>s, train operators, and comply with experience requirements. Although 10 CFR 53.815(e) also addresses simulators used for training and exam</w:t>
      </w:r>
      <w:r w:rsidRPr="00BA0271" w:rsidR="00887CB2">
        <w:rPr>
          <w:rFonts w:ascii="Arial" w:hAnsi="Arial" w:cs="Arial"/>
          <w:sz w:val="22"/>
          <w:szCs w:val="22"/>
        </w:rPr>
        <w:t>ination</w:t>
      </w:r>
      <w:r w:rsidRPr="00BA0271">
        <w:rPr>
          <w:rFonts w:ascii="Arial" w:hAnsi="Arial" w:cs="Arial"/>
          <w:sz w:val="22"/>
          <w:szCs w:val="22"/>
        </w:rPr>
        <w:t xml:space="preserve">s, it addresses maintaining proficiency, as well. Specifically licensed operators cannot use the simulator to maintain proficiency whereas generally licensed reactor operators can. Another difference is when results of uncorrected performance test failures are made available for NRC review. In </w:t>
      </w:r>
      <w:r w:rsidR="002E4335">
        <w:rPr>
          <w:rFonts w:ascii="Arial" w:hAnsi="Arial" w:cs="Arial"/>
          <w:sz w:val="22"/>
          <w:szCs w:val="22"/>
        </w:rPr>
        <w:br/>
      </w:r>
      <w:r w:rsidRPr="00BA0271">
        <w:rPr>
          <w:rFonts w:ascii="Arial" w:hAnsi="Arial" w:cs="Arial"/>
          <w:sz w:val="22"/>
          <w:szCs w:val="22"/>
        </w:rPr>
        <w:t>10 CFR 53.780(e), the results are made available to the NRC for review prior to or concurrent with each initial exam</w:t>
      </w:r>
      <w:r w:rsidRPr="00BA0271" w:rsidR="00FA53DB">
        <w:rPr>
          <w:rFonts w:ascii="Arial" w:hAnsi="Arial" w:cs="Arial"/>
          <w:sz w:val="22"/>
          <w:szCs w:val="22"/>
        </w:rPr>
        <w:t>ination</w:t>
      </w:r>
      <w:r w:rsidRPr="00BA0271">
        <w:rPr>
          <w:rFonts w:ascii="Arial" w:hAnsi="Arial" w:cs="Arial"/>
          <w:sz w:val="22"/>
          <w:szCs w:val="22"/>
        </w:rPr>
        <w:t xml:space="preserve"> or requalification exam</w:t>
      </w:r>
      <w:r w:rsidRPr="00BA0271" w:rsidR="00FA53DB">
        <w:rPr>
          <w:rFonts w:ascii="Arial" w:hAnsi="Arial" w:cs="Arial"/>
          <w:sz w:val="22"/>
          <w:szCs w:val="22"/>
        </w:rPr>
        <w:t>ination</w:t>
      </w:r>
      <w:r w:rsidRPr="00BA0271">
        <w:rPr>
          <w:rFonts w:ascii="Arial" w:hAnsi="Arial" w:cs="Arial"/>
          <w:sz w:val="22"/>
          <w:szCs w:val="22"/>
        </w:rPr>
        <w:t>. In contrast, in 10 CFR 53.815(e)(2)(iv), the results are made available to the NRC for review at the time of an NRC inspection. Finally, 10 CFR 53.780(e)(4) requires compliance with paragraphs (e)(2) and (e)(3) of the same section in order for the NRC to accept the facility for initial exam</w:t>
      </w:r>
      <w:r w:rsidRPr="00BA0271" w:rsidR="00527354">
        <w:rPr>
          <w:rFonts w:ascii="Arial" w:hAnsi="Arial" w:cs="Arial"/>
          <w:sz w:val="22"/>
          <w:szCs w:val="22"/>
        </w:rPr>
        <w:t>ination</w:t>
      </w:r>
      <w:r w:rsidRPr="00BA0271">
        <w:rPr>
          <w:rFonts w:ascii="Arial" w:hAnsi="Arial" w:cs="Arial"/>
          <w:sz w:val="22"/>
          <w:szCs w:val="22"/>
        </w:rPr>
        <w:t>s, requalification exam</w:t>
      </w:r>
      <w:r w:rsidRPr="00BA0271" w:rsidR="00527354">
        <w:rPr>
          <w:rFonts w:ascii="Arial" w:hAnsi="Arial" w:cs="Arial"/>
          <w:sz w:val="22"/>
          <w:szCs w:val="22"/>
        </w:rPr>
        <w:t>ination</w:t>
      </w:r>
      <w:r w:rsidRPr="00BA0271">
        <w:rPr>
          <w:rFonts w:ascii="Arial" w:hAnsi="Arial" w:cs="Arial"/>
          <w:sz w:val="22"/>
          <w:szCs w:val="22"/>
        </w:rPr>
        <w:t>s, and performing control manipulations. This same requirement does not exist under 10 CFR 53.815(e).</w:t>
      </w:r>
    </w:p>
    <w:p w:rsidR="007F112A" w:rsidRPr="00BA0271" w:rsidP="00BA0271" w14:paraId="0BC82C69" w14:textId="77777777">
      <w:pPr>
        <w:spacing w:after="220"/>
        <w:rPr>
          <w:rFonts w:ascii="Arial" w:hAnsi="Arial" w:cs="Arial"/>
          <w:sz w:val="22"/>
          <w:szCs w:val="22"/>
        </w:rPr>
      </w:pPr>
      <w:r w:rsidRPr="00BA0271">
        <w:rPr>
          <w:rFonts w:ascii="Arial" w:hAnsi="Arial" w:cs="Arial"/>
          <w:sz w:val="22"/>
          <w:szCs w:val="22"/>
        </w:rPr>
        <w:t>Accordingly, the NRC did not change the rule language in response to this comment</w:t>
      </w:r>
      <w:r w:rsidR="003047CF">
        <w:rPr>
          <w:rFonts w:ascii="Arial" w:hAnsi="Arial" w:cs="Arial"/>
          <w:sz w:val="22"/>
          <w:szCs w:val="22"/>
        </w:rPr>
        <w:t>.</w:t>
      </w:r>
    </w:p>
    <w:p w:rsidR="003047CF" w:rsidRPr="00BA0271" w:rsidP="00BA0271" w14:paraId="195C693A" w14:textId="77777777">
      <w:pPr>
        <w:spacing w:after="220"/>
        <w:rPr>
          <w:rFonts w:ascii="Arial" w:hAnsi="Arial" w:cs="Arial"/>
          <w:sz w:val="22"/>
          <w:szCs w:val="22"/>
        </w:rPr>
      </w:pPr>
      <w:r>
        <w:rPr>
          <w:rFonts w:ascii="Arial" w:eastAsia="Times New Roman" w:hAnsi="Arial" w:cs="Arial"/>
          <w:sz w:val="22"/>
          <w:szCs w:val="22"/>
          <w:lang w:eastAsia="zh-CN"/>
        </w:rPr>
        <w:pict>
          <v:rect id="_x0000_i1200" style="width:0;height:1.5pt" o:hralign="center" o:hrstd="t" o:hrnoshade="t" o:hr="t" fillcolor="black" stroked="f"/>
        </w:pict>
      </w:r>
    </w:p>
    <w:p w:rsidR="007F112A" w:rsidRPr="00BA0271" w:rsidP="00BA0271" w14:paraId="093D8893" w14:textId="77777777">
      <w:pPr>
        <w:spacing w:after="220"/>
        <w:rPr>
          <w:rFonts w:ascii="Arial" w:eastAsia="Times New Roman" w:hAnsi="Arial" w:cs="Arial"/>
          <w:color w:val="000000"/>
          <w:sz w:val="22"/>
          <w:szCs w:val="22"/>
          <w:lang w:eastAsia="zh-CN"/>
        </w:rPr>
      </w:pPr>
      <w:r w:rsidRPr="00BA0271">
        <w:rPr>
          <w:rFonts w:ascii="Arial" w:eastAsia="DengXian" w:hAnsi="Arial" w:cs="Arial"/>
          <w:b/>
          <w:sz w:val="22"/>
          <w:szCs w:val="22"/>
        </w:rPr>
        <w:t>Comment Bin 3.6.2.3.E:</w:t>
      </w:r>
      <w:r w:rsidRPr="00BA0271">
        <w:rPr>
          <w:rFonts w:ascii="Arial" w:eastAsia="DengXian" w:hAnsi="Arial" w:cs="Arial"/>
          <w:sz w:val="22"/>
          <w:szCs w:val="22"/>
        </w:rPr>
        <w:t xml:space="preserve"> </w:t>
      </w:r>
      <w:r w:rsidRPr="00BA0271">
        <w:rPr>
          <w:rFonts w:ascii="Arial" w:hAnsi="Arial" w:cs="Arial"/>
          <w:sz w:val="22"/>
          <w:szCs w:val="22"/>
        </w:rPr>
        <w:t>A commenter wrote that there does not appear to be significant reduction in the administrative burden for GLROs compared to SROs and ROs, and unless there is more clarity it is unclear why additional effort would be expended to make a change (</w:t>
      </w:r>
      <w:r w:rsidR="009D6BB9">
        <w:rPr>
          <w:rFonts w:ascii="Arial" w:hAnsi="Arial" w:cs="Arial"/>
          <w:sz w:val="22"/>
          <w:szCs w:val="22"/>
        </w:rPr>
        <w:t>NEI2</w:t>
      </w:r>
      <w:r w:rsidRPr="00BA0271">
        <w:rPr>
          <w:rFonts w:ascii="Arial" w:hAnsi="Arial" w:cs="Arial"/>
          <w:sz w:val="22"/>
          <w:szCs w:val="22"/>
        </w:rPr>
        <w:t>-0244). </w:t>
      </w:r>
    </w:p>
    <w:p w:rsidR="007F112A" w:rsidRPr="00BA0271" w:rsidP="00BA0271" w14:paraId="18AD3337" w14:textId="77777777">
      <w:pPr>
        <w:spacing w:after="220"/>
        <w:rPr>
          <w:rFonts w:ascii="Arial" w:hAnsi="Arial" w:cs="Arial"/>
          <w:sz w:val="22"/>
          <w:szCs w:val="22"/>
        </w:rPr>
      </w:pPr>
      <w:r w:rsidRPr="00BA0271">
        <w:rPr>
          <w:rFonts w:ascii="Arial" w:eastAsia="DengXian" w:hAnsi="Arial" w:cs="Arial"/>
          <w:b/>
          <w:sz w:val="22"/>
          <w:szCs w:val="22"/>
        </w:rPr>
        <w:t xml:space="preserve">NRC Response: </w:t>
      </w:r>
      <w:r w:rsidRPr="00BA0271">
        <w:rPr>
          <w:rFonts w:ascii="Arial" w:hAnsi="Arial" w:cs="Arial"/>
          <w:sz w:val="22"/>
          <w:szCs w:val="22"/>
        </w:rPr>
        <w:t xml:space="preserve">The NRC disagrees with </w:t>
      </w:r>
      <w:r w:rsidR="00C02D01">
        <w:rPr>
          <w:rFonts w:ascii="Arial" w:hAnsi="Arial" w:cs="Arial"/>
          <w:sz w:val="22"/>
          <w:szCs w:val="22"/>
        </w:rPr>
        <w:t>the</w:t>
      </w:r>
      <w:r w:rsidRPr="00BA0271">
        <w:rPr>
          <w:rFonts w:ascii="Arial" w:hAnsi="Arial" w:cs="Arial"/>
          <w:sz w:val="22"/>
          <w:szCs w:val="22"/>
        </w:rPr>
        <w:t xml:space="preserve"> comment.</w:t>
      </w:r>
    </w:p>
    <w:p w:rsidR="007F112A" w:rsidRPr="00BA0271" w:rsidP="00BA0271" w14:paraId="47928738" w14:textId="77777777">
      <w:pPr>
        <w:spacing w:after="220"/>
        <w:rPr>
          <w:rFonts w:ascii="Arial" w:hAnsi="Arial" w:cs="Arial"/>
          <w:sz w:val="22"/>
          <w:szCs w:val="22"/>
        </w:rPr>
      </w:pPr>
      <w:r w:rsidRPr="00BA0271">
        <w:rPr>
          <w:rFonts w:ascii="Arial" w:hAnsi="Arial" w:cs="Arial"/>
          <w:sz w:val="22"/>
          <w:szCs w:val="22"/>
        </w:rPr>
        <w:t xml:space="preserve">There are multiple reductions in burden, both administrative and otherwise, for GLROs as compared to specifically licensed SROs and ROs. For example, there is no explicit medical requirement for GLROs as there is for SROs and ROs, thus saving the burden of having a medical review officer, getting physicals, tracking compliance, and completing and submitting the associated forms. Another example is that GLROs do not need to fill out an initial application or renewals. Relatedly, there is no need for the facility to have a tracking mechanism for when the licenses expire to ensure that renewal is timely </w:t>
      </w:r>
      <w:r w:rsidRPr="00BA0271" w:rsidR="00233C78">
        <w:rPr>
          <w:rFonts w:ascii="Arial" w:hAnsi="Arial" w:cs="Arial"/>
          <w:sz w:val="22"/>
          <w:szCs w:val="22"/>
        </w:rPr>
        <w:t>pursued</w:t>
      </w:r>
      <w:r w:rsidRPr="00BA0271">
        <w:rPr>
          <w:rFonts w:ascii="Arial" w:hAnsi="Arial" w:cs="Arial"/>
          <w:sz w:val="22"/>
          <w:szCs w:val="22"/>
        </w:rPr>
        <w:t xml:space="preserve">. Although the facility does need to provide a list of GLROs to the NRC each year, </w:t>
      </w:r>
      <w:r w:rsidRPr="00BA0271" w:rsidR="002901DB">
        <w:rPr>
          <w:rFonts w:ascii="Arial" w:hAnsi="Arial" w:cs="Arial"/>
          <w:sz w:val="22"/>
          <w:szCs w:val="22"/>
        </w:rPr>
        <w:t>it is</w:t>
      </w:r>
      <w:r w:rsidRPr="00BA0271">
        <w:rPr>
          <w:rFonts w:ascii="Arial" w:hAnsi="Arial" w:cs="Arial"/>
          <w:sz w:val="22"/>
          <w:szCs w:val="22"/>
        </w:rPr>
        <w:t xml:space="preserve"> not required to notify the NRC when a </w:t>
      </w:r>
      <w:r w:rsidR="007657DB">
        <w:rPr>
          <w:rFonts w:ascii="Arial" w:hAnsi="Arial" w:cs="Arial"/>
          <w:sz w:val="22"/>
          <w:szCs w:val="22"/>
        </w:rPr>
        <w:t>GLRO</w:t>
      </w:r>
      <w:r w:rsidRPr="00BA0271">
        <w:rPr>
          <w:rFonts w:ascii="Arial" w:hAnsi="Arial" w:cs="Arial"/>
          <w:sz w:val="22"/>
          <w:szCs w:val="22"/>
        </w:rPr>
        <w:t xml:space="preserve"> no longer requires a license due to taking another position or leaving the facility. In addition, examinations for GLROs do not require prior NRC review and approval for administration as </w:t>
      </w:r>
      <w:r w:rsidRPr="00BA0271" w:rsidR="00DD695D">
        <w:rPr>
          <w:rFonts w:ascii="Arial" w:hAnsi="Arial" w:cs="Arial"/>
          <w:sz w:val="22"/>
          <w:szCs w:val="22"/>
        </w:rPr>
        <w:t xml:space="preserve">examinations for </w:t>
      </w:r>
      <w:r w:rsidRPr="00BA0271">
        <w:rPr>
          <w:rFonts w:ascii="Arial" w:hAnsi="Arial" w:cs="Arial"/>
          <w:sz w:val="22"/>
          <w:szCs w:val="22"/>
        </w:rPr>
        <w:t>SROs and ROs do. This decreases the burden on the facility and provides greater flexibility in the scheduling of exam</w:t>
      </w:r>
      <w:r w:rsidRPr="00BA0271" w:rsidR="00DD695D">
        <w:rPr>
          <w:rFonts w:ascii="Arial" w:hAnsi="Arial" w:cs="Arial"/>
          <w:sz w:val="22"/>
          <w:szCs w:val="22"/>
        </w:rPr>
        <w:t>ination</w:t>
      </w:r>
      <w:r w:rsidRPr="00BA0271">
        <w:rPr>
          <w:rFonts w:ascii="Arial" w:hAnsi="Arial" w:cs="Arial"/>
          <w:sz w:val="22"/>
          <w:szCs w:val="22"/>
        </w:rPr>
        <w:t xml:space="preserve">s. Potential reductions and their associated cost benefits were quantified as part of the regulatory analysis for this rule. The regulatory analysis for the proposed rule quantified approximately </w:t>
      </w:r>
      <w:r w:rsidRPr="00BA0271" w:rsidR="001D6669">
        <w:rPr>
          <w:rFonts w:ascii="Arial" w:hAnsi="Arial" w:cs="Arial"/>
          <w:sz w:val="22"/>
          <w:szCs w:val="22"/>
        </w:rPr>
        <w:t>two</w:t>
      </w:r>
      <w:r w:rsidRPr="00BA0271">
        <w:rPr>
          <w:rFonts w:ascii="Arial" w:hAnsi="Arial" w:cs="Arial"/>
          <w:sz w:val="22"/>
          <w:szCs w:val="22"/>
        </w:rPr>
        <w:t xml:space="preserve"> million dollars in savings for </w:t>
      </w:r>
      <w:r w:rsidR="00255B2F">
        <w:rPr>
          <w:rFonts w:ascii="Arial" w:hAnsi="Arial" w:cs="Arial"/>
          <w:sz w:val="22"/>
          <w:szCs w:val="22"/>
        </w:rPr>
        <w:t xml:space="preserve">a </w:t>
      </w:r>
      <w:r w:rsidRPr="00BA0271">
        <w:rPr>
          <w:rFonts w:ascii="Arial" w:hAnsi="Arial" w:cs="Arial"/>
          <w:sz w:val="22"/>
          <w:szCs w:val="22"/>
        </w:rPr>
        <w:t>facilit</w:t>
      </w:r>
      <w:r w:rsidR="00255B2F">
        <w:rPr>
          <w:rFonts w:ascii="Arial" w:hAnsi="Arial" w:cs="Arial"/>
          <w:sz w:val="22"/>
          <w:szCs w:val="22"/>
        </w:rPr>
        <w:t>y</w:t>
      </w:r>
      <w:r w:rsidRPr="00BA0271">
        <w:rPr>
          <w:rFonts w:ascii="Arial" w:hAnsi="Arial" w:cs="Arial"/>
          <w:sz w:val="22"/>
          <w:szCs w:val="22"/>
        </w:rPr>
        <w:t xml:space="preserve"> with GLRO</w:t>
      </w:r>
      <w:r w:rsidR="00BF211B">
        <w:rPr>
          <w:rFonts w:ascii="Arial" w:hAnsi="Arial" w:cs="Arial"/>
          <w:sz w:val="22"/>
          <w:szCs w:val="22"/>
        </w:rPr>
        <w:t>s</w:t>
      </w:r>
      <w:r w:rsidRPr="00BA0271">
        <w:rPr>
          <w:rFonts w:ascii="Arial" w:hAnsi="Arial" w:cs="Arial"/>
          <w:sz w:val="22"/>
          <w:szCs w:val="22"/>
        </w:rPr>
        <w:t xml:space="preserve"> as opposed to SRO</w:t>
      </w:r>
      <w:r w:rsidR="00BF211B">
        <w:rPr>
          <w:rFonts w:ascii="Arial" w:hAnsi="Arial" w:cs="Arial"/>
          <w:sz w:val="22"/>
          <w:szCs w:val="22"/>
        </w:rPr>
        <w:t>s</w:t>
      </w:r>
      <w:r w:rsidRPr="00BA0271">
        <w:rPr>
          <w:rFonts w:ascii="Arial" w:hAnsi="Arial" w:cs="Arial"/>
          <w:sz w:val="22"/>
          <w:szCs w:val="22"/>
        </w:rPr>
        <w:t>/RO</w:t>
      </w:r>
      <w:r w:rsidR="00BF211B">
        <w:rPr>
          <w:rFonts w:ascii="Arial" w:hAnsi="Arial" w:cs="Arial"/>
          <w:sz w:val="22"/>
          <w:szCs w:val="22"/>
        </w:rPr>
        <w:t>s</w:t>
      </w:r>
      <w:r w:rsidRPr="00BA0271">
        <w:rPr>
          <w:rFonts w:ascii="Arial" w:hAnsi="Arial" w:cs="Arial"/>
          <w:sz w:val="22"/>
          <w:szCs w:val="22"/>
        </w:rPr>
        <w:t>.</w:t>
      </w:r>
    </w:p>
    <w:p w:rsidR="00487AFB" w:rsidP="00BA0271" w14:paraId="5B5A38B2" w14:textId="77777777">
      <w:pPr>
        <w:spacing w:after="220"/>
        <w:rPr>
          <w:rFonts w:ascii="Arial" w:eastAsia="DengXian" w:hAnsi="Arial" w:cs="Arial"/>
          <w:sz w:val="22"/>
          <w:szCs w:val="22"/>
        </w:rPr>
      </w:pPr>
      <w:r w:rsidRPr="00BA0271">
        <w:rPr>
          <w:rFonts w:ascii="Arial" w:hAnsi="Arial" w:cs="Arial"/>
          <w:sz w:val="22"/>
          <w:szCs w:val="22"/>
        </w:rPr>
        <w:t>Accordingly, the NRC did not change the rule language in response to this comment.</w:t>
      </w:r>
    </w:p>
    <w:p w:rsidR="007F112A" w:rsidP="00BA0271" w14:paraId="2F3DFE33" w14:textId="77777777">
      <w:pPr>
        <w:spacing w:after="220"/>
        <w:rPr>
          <w:rFonts w:ascii="Arial" w:hAnsi="Arial" w:cs="Arial"/>
          <w:sz w:val="22"/>
          <w:szCs w:val="22"/>
        </w:rPr>
      </w:pPr>
      <w:r>
        <w:rPr>
          <w:rFonts w:ascii="Arial" w:eastAsia="Times New Roman" w:hAnsi="Arial" w:cs="Arial"/>
          <w:sz w:val="22"/>
          <w:szCs w:val="22"/>
          <w:lang w:eastAsia="zh-CN"/>
        </w:rPr>
        <w:pict>
          <v:rect id="_x0000_i1201" style="width:0;height:1.5pt" o:hralign="center" o:hrstd="t" o:hrnoshade="t" o:hr="t" fillcolor="black" stroked="f"/>
        </w:pict>
      </w:r>
    </w:p>
    <w:p w:rsidR="007F112A" w:rsidRPr="003047CF" w:rsidP="008352AF" w14:paraId="784DB5D4" w14:textId="77777777">
      <w:pPr>
        <w:pStyle w:val="Heading4"/>
        <w:keepNext/>
        <w:keepLines/>
        <w:ind w:left="907" w:hanging="907"/>
        <w:rPr>
          <w:rFonts w:eastAsia="Times New Roman"/>
        </w:rPr>
      </w:pPr>
      <w:r w:rsidRPr="00F37C1E">
        <w:rPr>
          <w:u w:val="none"/>
        </w:rPr>
        <w:t>3.6.2.4.</w:t>
      </w:r>
      <w:r w:rsidRPr="00F37C1E">
        <w:rPr>
          <w:u w:val="none"/>
        </w:rPr>
        <w:tab/>
      </w:r>
      <w:r w:rsidRPr="00DA0A3C">
        <w:t>RFC: Medical requirements for GLROs</w:t>
      </w:r>
    </w:p>
    <w:p w:rsidR="007F112A" w:rsidRPr="003047CF" w:rsidP="003047CF" w14:paraId="584574E9" w14:textId="77777777">
      <w:pPr>
        <w:spacing w:after="220"/>
        <w:rPr>
          <w:rFonts w:ascii="Arial" w:eastAsia="Times New Roman" w:hAnsi="Arial" w:cs="Arial"/>
          <w:color w:val="000000"/>
          <w:sz w:val="22"/>
          <w:szCs w:val="22"/>
          <w:lang w:eastAsia="zh-CN"/>
        </w:rPr>
      </w:pPr>
      <w:r w:rsidRPr="003047CF">
        <w:rPr>
          <w:rFonts w:ascii="Arial" w:eastAsia="DengXian" w:hAnsi="Arial" w:cs="Arial"/>
          <w:b/>
          <w:sz w:val="22"/>
          <w:szCs w:val="22"/>
        </w:rPr>
        <w:t>Comment Bin 3.6.2.4.A:</w:t>
      </w:r>
      <w:r w:rsidRPr="003047CF">
        <w:rPr>
          <w:rFonts w:ascii="Arial" w:eastAsia="DengXian" w:hAnsi="Arial" w:cs="Arial"/>
          <w:sz w:val="22"/>
          <w:szCs w:val="22"/>
        </w:rPr>
        <w:t xml:space="preserve"> </w:t>
      </w:r>
      <w:r w:rsidRPr="003047CF">
        <w:rPr>
          <w:rFonts w:ascii="Arial" w:hAnsi="Arial" w:cs="Arial"/>
          <w:sz w:val="22"/>
          <w:szCs w:val="22"/>
        </w:rPr>
        <w:t xml:space="preserve">A commenter said that it is reasonable to not require medical requirements through regulation. The commenter also said that the GLROs should be subject to the same requirements as the remaining plant personnel, who are not subject to the additional medical requirements, and the general </w:t>
      </w:r>
      <w:r w:rsidR="00203D29">
        <w:rPr>
          <w:rFonts w:ascii="Arial" w:hAnsi="Arial" w:cs="Arial"/>
          <w:sz w:val="22"/>
          <w:szCs w:val="22"/>
        </w:rPr>
        <w:t>fitness</w:t>
      </w:r>
      <w:r w:rsidR="001822A3">
        <w:rPr>
          <w:rFonts w:ascii="Arial" w:hAnsi="Arial" w:cs="Arial"/>
          <w:sz w:val="22"/>
          <w:szCs w:val="22"/>
        </w:rPr>
        <w:t>-for-duty (</w:t>
      </w:r>
      <w:r w:rsidRPr="003047CF">
        <w:rPr>
          <w:rFonts w:ascii="Arial" w:hAnsi="Arial" w:cs="Arial"/>
          <w:sz w:val="22"/>
          <w:szCs w:val="22"/>
        </w:rPr>
        <w:t>FFD</w:t>
      </w:r>
      <w:r w:rsidR="001822A3">
        <w:rPr>
          <w:rFonts w:ascii="Arial" w:hAnsi="Arial" w:cs="Arial"/>
          <w:sz w:val="22"/>
          <w:szCs w:val="22"/>
        </w:rPr>
        <w:t>)</w:t>
      </w:r>
      <w:r w:rsidRPr="003047CF">
        <w:rPr>
          <w:rFonts w:ascii="Arial" w:hAnsi="Arial" w:cs="Arial"/>
          <w:sz w:val="22"/>
          <w:szCs w:val="22"/>
        </w:rPr>
        <w:t xml:space="preserve"> requirements should be sufficient to address the FFD of a GLRO (</w:t>
      </w:r>
      <w:r w:rsidR="009D6BB9">
        <w:rPr>
          <w:rFonts w:ascii="Arial" w:hAnsi="Arial" w:cs="Arial"/>
          <w:sz w:val="22"/>
          <w:szCs w:val="22"/>
        </w:rPr>
        <w:t>NEI2</w:t>
      </w:r>
      <w:r w:rsidRPr="003047CF">
        <w:rPr>
          <w:rFonts w:ascii="Arial" w:hAnsi="Arial" w:cs="Arial"/>
          <w:sz w:val="22"/>
          <w:szCs w:val="22"/>
        </w:rPr>
        <w:t>-0199).</w:t>
      </w:r>
    </w:p>
    <w:p w:rsidR="007F112A" w:rsidRPr="003047CF" w:rsidP="003047CF" w14:paraId="7BA2E1E3" w14:textId="77777777">
      <w:pPr>
        <w:spacing w:after="220"/>
        <w:rPr>
          <w:rFonts w:ascii="Arial" w:hAnsi="Arial" w:cs="Arial"/>
          <w:sz w:val="22"/>
          <w:szCs w:val="22"/>
        </w:rPr>
      </w:pPr>
      <w:r w:rsidRPr="003047CF">
        <w:rPr>
          <w:rFonts w:ascii="Arial" w:eastAsia="DengXian" w:hAnsi="Arial" w:cs="Arial"/>
          <w:b/>
          <w:sz w:val="22"/>
          <w:szCs w:val="22"/>
        </w:rPr>
        <w:t>NRC Response:</w:t>
      </w:r>
      <w:r w:rsidRPr="003047CF">
        <w:rPr>
          <w:rFonts w:ascii="Arial" w:eastAsia="DengXian" w:hAnsi="Arial" w:cs="Arial"/>
          <w:sz w:val="22"/>
          <w:szCs w:val="22"/>
        </w:rPr>
        <w:t xml:space="preserve"> </w:t>
      </w:r>
      <w:r w:rsidRPr="003047CF">
        <w:rPr>
          <w:rFonts w:ascii="Arial" w:hAnsi="Arial" w:cs="Arial"/>
          <w:sz w:val="22"/>
          <w:szCs w:val="22"/>
        </w:rPr>
        <w:t xml:space="preserve">The NRC agrees, in part, with </w:t>
      </w:r>
      <w:r w:rsidR="00C02D01">
        <w:rPr>
          <w:rFonts w:ascii="Arial" w:hAnsi="Arial" w:cs="Arial"/>
          <w:sz w:val="22"/>
          <w:szCs w:val="22"/>
        </w:rPr>
        <w:t>the</w:t>
      </w:r>
      <w:r w:rsidRPr="003047CF">
        <w:rPr>
          <w:rFonts w:ascii="Arial" w:hAnsi="Arial" w:cs="Arial"/>
          <w:sz w:val="22"/>
          <w:szCs w:val="22"/>
        </w:rPr>
        <w:t xml:space="preserve"> comment.</w:t>
      </w:r>
    </w:p>
    <w:p w:rsidR="007F112A" w:rsidRPr="003047CF" w:rsidP="003047CF" w14:paraId="32C0BA1A" w14:textId="77777777">
      <w:pPr>
        <w:spacing w:after="220"/>
        <w:rPr>
          <w:rFonts w:ascii="Arial" w:hAnsi="Arial" w:cs="Arial"/>
          <w:sz w:val="22"/>
          <w:szCs w:val="22"/>
        </w:rPr>
      </w:pPr>
      <w:r w:rsidRPr="003047CF">
        <w:rPr>
          <w:rFonts w:ascii="Arial" w:hAnsi="Arial" w:cs="Arial"/>
          <w:sz w:val="22"/>
          <w:szCs w:val="22"/>
        </w:rPr>
        <w:t>The NRC agrees that GLROs should not be subjected to additional medical requirements, and 10 CFR Part 53 does not impose medical requirements on GLROs. However, the NRC disagrees that 10 CFR Part 26 requirements alone are sufficient for GLROs, especially since there are no additional medical requirements imposed on GLROs in 10 CFR Part 53.</w:t>
      </w:r>
    </w:p>
    <w:p w:rsidR="007F112A" w:rsidRPr="003047CF" w:rsidP="003047CF" w14:paraId="26B03C02" w14:textId="77777777">
      <w:pPr>
        <w:spacing w:after="220"/>
        <w:rPr>
          <w:rFonts w:ascii="Arial" w:hAnsi="Arial" w:cs="Arial"/>
          <w:sz w:val="22"/>
          <w:szCs w:val="22"/>
        </w:rPr>
      </w:pPr>
      <w:r w:rsidRPr="003047CF">
        <w:rPr>
          <w:rFonts w:ascii="Arial" w:hAnsi="Arial" w:cs="Arial"/>
          <w:sz w:val="22"/>
          <w:szCs w:val="22"/>
        </w:rPr>
        <w:t>Even though GLROs do not have a role in the fulfillment of safety functions at SRMFs, GLROs manipulate the controls at SRMFs. Therefore, GLROs must not only meet the same FFD requirements that other plant personnel are required to meet under 10 CFR Part 26, but they must also meet additional FFD requirements as outlined in 10 CFR 53.810(d) and (f) to ensure that they are able to safely and competently perform licensed duties.</w:t>
      </w:r>
    </w:p>
    <w:p w:rsidR="007F112A" w:rsidP="003047CF" w14:paraId="51FAD3EB" w14:textId="77777777">
      <w:pPr>
        <w:spacing w:after="220"/>
        <w:rPr>
          <w:rFonts w:ascii="Arial" w:hAnsi="Arial" w:cs="Arial"/>
          <w:sz w:val="22"/>
          <w:szCs w:val="22"/>
        </w:rPr>
      </w:pPr>
      <w:r w:rsidRPr="003047CF">
        <w:rPr>
          <w:rFonts w:ascii="Arial" w:hAnsi="Arial" w:cs="Arial"/>
          <w:sz w:val="22"/>
          <w:szCs w:val="22"/>
        </w:rPr>
        <w:t>Accordingly, the NRC did not change the rule language in response to this comment.</w:t>
      </w:r>
    </w:p>
    <w:p w:rsidR="003047CF" w:rsidP="003047CF" w14:paraId="1EA0CB3F" w14:textId="77777777">
      <w:pPr>
        <w:spacing w:after="220"/>
        <w:rPr>
          <w:rFonts w:ascii="Arial" w:hAnsi="Arial" w:cs="Arial"/>
          <w:sz w:val="22"/>
          <w:szCs w:val="22"/>
        </w:rPr>
      </w:pPr>
      <w:r>
        <w:rPr>
          <w:rFonts w:ascii="Arial" w:eastAsia="Times New Roman" w:hAnsi="Arial" w:cs="Arial"/>
          <w:sz w:val="22"/>
          <w:szCs w:val="22"/>
          <w:lang w:eastAsia="zh-CN"/>
        </w:rPr>
        <w:pict>
          <v:rect id="_x0000_i1202" style="width:0;height:1.5pt" o:hralign="center" o:hrstd="t" o:hrnoshade="t" o:hr="t" fillcolor="black" stroked="f"/>
        </w:pict>
      </w:r>
    </w:p>
    <w:p w:rsidR="007F112A" w:rsidRPr="00F37C1E" w:rsidP="000A1E0A" w14:paraId="19A1E071" w14:textId="77777777">
      <w:pPr>
        <w:pStyle w:val="Heading4"/>
        <w:keepNext/>
        <w:keepLines/>
        <w:ind w:left="907" w:hanging="907"/>
      </w:pPr>
      <w:r w:rsidRPr="00F37C1E">
        <w:rPr>
          <w:u w:val="none"/>
        </w:rPr>
        <w:t>3.6.2.5.</w:t>
      </w:r>
      <w:r w:rsidRPr="00F37C1E">
        <w:rPr>
          <w:u w:val="none"/>
        </w:rPr>
        <w:tab/>
      </w:r>
      <w:r w:rsidRPr="00F37C1E">
        <w:t xml:space="preserve">RFC: </w:t>
      </w:r>
      <w:r w:rsidRPr="00F37C1E">
        <w:t>Onshift</w:t>
      </w:r>
      <w:r w:rsidRPr="00F37C1E">
        <w:t xml:space="preserve"> engineering experience</w:t>
      </w:r>
    </w:p>
    <w:p w:rsidR="00856C69" w:rsidRPr="003047CF" w:rsidP="003047CF" w14:paraId="722C1D7F" w14:textId="77777777">
      <w:pPr>
        <w:spacing w:after="220"/>
        <w:rPr>
          <w:rFonts w:ascii="Arial" w:hAnsi="Arial" w:cs="Arial"/>
          <w:sz w:val="22"/>
          <w:szCs w:val="22"/>
        </w:rPr>
      </w:pPr>
      <w:r w:rsidRPr="003047CF">
        <w:rPr>
          <w:rFonts w:ascii="Arial" w:eastAsia="DengXian" w:hAnsi="Arial" w:cs="Arial"/>
          <w:b/>
          <w:sz w:val="22"/>
          <w:szCs w:val="22"/>
        </w:rPr>
        <w:t>Comment Bin 3.6.2.5.A:</w:t>
      </w:r>
      <w:r w:rsidRPr="003047CF">
        <w:rPr>
          <w:rFonts w:ascii="Arial" w:eastAsia="DengXian" w:hAnsi="Arial" w:cs="Arial"/>
          <w:sz w:val="22"/>
          <w:szCs w:val="22"/>
        </w:rPr>
        <w:t xml:space="preserve"> </w:t>
      </w:r>
      <w:r w:rsidRPr="003047CF">
        <w:rPr>
          <w:rFonts w:ascii="Arial" w:hAnsi="Arial" w:cs="Arial"/>
          <w:sz w:val="22"/>
          <w:szCs w:val="22"/>
        </w:rPr>
        <w:t xml:space="preserve">A commenter wrote that the nuclear industry and new designs have progressed to the point that the </w:t>
      </w:r>
      <w:r w:rsidRPr="003047CF" w:rsidR="00D807A4">
        <w:rPr>
          <w:rFonts w:ascii="Arial" w:hAnsi="Arial" w:cs="Arial"/>
          <w:sz w:val="22"/>
          <w:szCs w:val="22"/>
        </w:rPr>
        <w:t>Shift Technical Advisor</w:t>
      </w:r>
      <w:r w:rsidRPr="003047CF">
        <w:rPr>
          <w:rFonts w:ascii="Arial" w:hAnsi="Arial" w:cs="Arial"/>
          <w:sz w:val="22"/>
          <w:szCs w:val="22"/>
        </w:rPr>
        <w:t xml:space="preserve"> position could be eliminated, and the rule should offer a path to do so through training programs and human system interface design. </w:t>
      </w:r>
    </w:p>
    <w:p w:rsidR="007F112A" w:rsidRPr="003047CF" w:rsidP="003047CF" w14:paraId="21749829" w14:textId="77777777">
      <w:pPr>
        <w:spacing w:after="220"/>
        <w:rPr>
          <w:rFonts w:ascii="Arial" w:hAnsi="Arial" w:cs="Arial"/>
          <w:sz w:val="22"/>
          <w:szCs w:val="22"/>
        </w:rPr>
      </w:pPr>
      <w:r w:rsidRPr="003047CF">
        <w:rPr>
          <w:rFonts w:ascii="Arial" w:hAnsi="Arial" w:cs="Arial"/>
          <w:sz w:val="22"/>
          <w:szCs w:val="22"/>
        </w:rPr>
        <w:t>The commenter expressed agreement with broadening engineering expertise but disagreed with the phrasing that suggests or requires that expertise be continuously on-shift. The commenter said that recent light</w:t>
      </w:r>
      <w:r w:rsidR="00B12E4A">
        <w:rPr>
          <w:rFonts w:ascii="Arial" w:hAnsi="Arial" w:cs="Arial"/>
          <w:sz w:val="22"/>
          <w:szCs w:val="22"/>
        </w:rPr>
        <w:t>-</w:t>
      </w:r>
      <w:r w:rsidRPr="003047CF">
        <w:rPr>
          <w:rFonts w:ascii="Arial" w:hAnsi="Arial" w:cs="Arial"/>
          <w:sz w:val="22"/>
          <w:szCs w:val="22"/>
        </w:rPr>
        <w:t>water reactor precedent suggests that it is not required due to reduced reliance on operator actions, results of task analysis and validation activities, and industry upgrades to qualifications of operators. The commenter suggested that engineering expertise as a support function be available to assist operations remotely.</w:t>
      </w:r>
    </w:p>
    <w:p w:rsidR="007F112A" w:rsidRPr="003047CF" w:rsidP="003047CF" w14:paraId="10FE1CA9" w14:textId="77777777">
      <w:pPr>
        <w:spacing w:after="220"/>
        <w:rPr>
          <w:rFonts w:ascii="Arial" w:eastAsia="Times New Roman" w:hAnsi="Arial" w:cs="Arial"/>
          <w:color w:val="000000"/>
          <w:sz w:val="22"/>
          <w:szCs w:val="22"/>
          <w:lang w:eastAsia="zh-CN"/>
        </w:rPr>
      </w:pPr>
      <w:r w:rsidRPr="003047CF">
        <w:rPr>
          <w:rFonts w:ascii="Arial" w:hAnsi="Arial" w:cs="Arial"/>
          <w:sz w:val="22"/>
          <w:szCs w:val="22"/>
        </w:rPr>
        <w:t>The commenter also disagreed with the proposed requirement that engineering expertise can only be acquired by a qualifying four-year degree. The commenter said that many components of the training upgrades that were implemented due to the Three Mile Island action plan provide a better foundation for critical thinking in a nuclear power plant and added that the NRC should not require a four-year degree (</w:t>
      </w:r>
      <w:r w:rsidR="009D6BB9">
        <w:rPr>
          <w:rFonts w:ascii="Arial" w:hAnsi="Arial" w:cs="Arial"/>
          <w:sz w:val="22"/>
          <w:szCs w:val="22"/>
        </w:rPr>
        <w:t>NEI2</w:t>
      </w:r>
      <w:r w:rsidRPr="003047CF">
        <w:rPr>
          <w:rFonts w:ascii="Arial" w:hAnsi="Arial" w:cs="Arial"/>
          <w:sz w:val="22"/>
          <w:szCs w:val="22"/>
        </w:rPr>
        <w:t>-0200).</w:t>
      </w:r>
    </w:p>
    <w:p w:rsidR="007F112A" w:rsidRPr="003047CF" w:rsidP="003047CF" w14:paraId="7F9E48F8" w14:textId="77777777">
      <w:pPr>
        <w:spacing w:after="220"/>
        <w:rPr>
          <w:rFonts w:ascii="Arial" w:hAnsi="Arial" w:cs="Arial"/>
          <w:sz w:val="22"/>
          <w:szCs w:val="22"/>
        </w:rPr>
      </w:pPr>
      <w:r w:rsidRPr="003047CF">
        <w:rPr>
          <w:rFonts w:ascii="Arial" w:eastAsia="DengXian" w:hAnsi="Arial" w:cs="Arial"/>
          <w:b/>
          <w:sz w:val="22"/>
          <w:szCs w:val="22"/>
        </w:rPr>
        <w:t>NRC Response:</w:t>
      </w:r>
      <w:r w:rsidRPr="003047CF">
        <w:rPr>
          <w:rFonts w:ascii="Arial" w:eastAsia="DengXian" w:hAnsi="Arial" w:cs="Arial"/>
          <w:sz w:val="22"/>
          <w:szCs w:val="22"/>
        </w:rPr>
        <w:t xml:space="preserve"> </w:t>
      </w:r>
      <w:r w:rsidRPr="003047CF">
        <w:rPr>
          <w:rFonts w:ascii="Arial" w:hAnsi="Arial" w:cs="Arial"/>
          <w:sz w:val="22"/>
          <w:szCs w:val="22"/>
        </w:rPr>
        <w:t xml:space="preserve">The NRC disagrees with </w:t>
      </w:r>
      <w:r w:rsidR="00C02D01">
        <w:rPr>
          <w:rFonts w:ascii="Arial" w:hAnsi="Arial" w:cs="Arial"/>
          <w:sz w:val="22"/>
          <w:szCs w:val="22"/>
        </w:rPr>
        <w:t>the</w:t>
      </w:r>
      <w:r w:rsidRPr="003047CF">
        <w:rPr>
          <w:rFonts w:ascii="Arial" w:hAnsi="Arial" w:cs="Arial"/>
          <w:sz w:val="22"/>
          <w:szCs w:val="22"/>
        </w:rPr>
        <w:t xml:space="preserve"> comment.</w:t>
      </w:r>
    </w:p>
    <w:p w:rsidR="007F112A" w:rsidRPr="003047CF" w:rsidP="003047CF" w14:paraId="76626088" w14:textId="77777777">
      <w:pPr>
        <w:spacing w:after="220"/>
        <w:rPr>
          <w:rFonts w:ascii="Arial" w:hAnsi="Arial" w:cs="Arial"/>
          <w:sz w:val="22"/>
          <w:szCs w:val="22"/>
        </w:rPr>
      </w:pPr>
      <w:r w:rsidRPr="003047CF">
        <w:rPr>
          <w:rFonts w:ascii="Arial" w:hAnsi="Arial" w:cs="Arial"/>
          <w:sz w:val="22"/>
          <w:szCs w:val="22"/>
        </w:rPr>
        <w:t xml:space="preserve">The NRC disagrees that 10 CFR 53.730(f)(1) requires engineering expertise to be continuously on-shift. The requirement is that engineering expertise must be available to the on-shift operators. </w:t>
      </w:r>
    </w:p>
    <w:p w:rsidR="007F112A" w:rsidRPr="003047CF" w:rsidP="003047CF" w14:paraId="371E26C9" w14:textId="77777777">
      <w:pPr>
        <w:spacing w:after="220"/>
        <w:rPr>
          <w:rFonts w:ascii="Arial" w:hAnsi="Arial" w:cs="Arial"/>
          <w:sz w:val="22"/>
          <w:szCs w:val="22"/>
        </w:rPr>
      </w:pPr>
      <w:r w:rsidRPr="003047CF">
        <w:rPr>
          <w:rFonts w:ascii="Arial" w:hAnsi="Arial" w:cs="Arial"/>
          <w:sz w:val="22"/>
          <w:szCs w:val="22"/>
        </w:rPr>
        <w:t>The staffing plan requirement in 10 CFR 53.730(f) is a performance</w:t>
      </w:r>
      <w:r w:rsidRPr="003047CF">
        <w:rPr>
          <w:rFonts w:ascii="Arial" w:hAnsi="Arial" w:cs="Arial"/>
          <w:sz w:val="22"/>
          <w:szCs w:val="22"/>
        </w:rPr>
        <w:noBreakHyphen/>
        <w:t xml:space="preserve">based staffing requirement which allows, in part, an applicant to propose how </w:t>
      </w:r>
      <w:r w:rsidRPr="003047CF" w:rsidR="003770E9">
        <w:rPr>
          <w:rFonts w:ascii="Arial" w:hAnsi="Arial" w:cs="Arial"/>
          <w:sz w:val="22"/>
          <w:szCs w:val="22"/>
        </w:rPr>
        <w:t xml:space="preserve">it </w:t>
      </w:r>
      <w:r w:rsidRPr="003047CF">
        <w:rPr>
          <w:rFonts w:ascii="Arial" w:hAnsi="Arial" w:cs="Arial"/>
          <w:sz w:val="22"/>
          <w:szCs w:val="22"/>
        </w:rPr>
        <w:t xml:space="preserve">will meet the requirement for engineering expertise to be available to the on-shift personnel. The approach results in a staffing plan that is appropriate for the facility’s design, concept of operations, and workload levels for licensed operators. DRO-ISG-2023-02 contains guidance for the staff to use in the review of how an application satisfies the requirement for engineering expertise. This includes information about reviewing the location of and the response time for a person fulfilling this position. The NRC does not intend this requirement </w:t>
      </w:r>
      <w:r w:rsidR="004B4E7A">
        <w:rPr>
          <w:rFonts w:ascii="Arial" w:hAnsi="Arial" w:cs="Arial"/>
          <w:sz w:val="22"/>
          <w:szCs w:val="22"/>
        </w:rPr>
        <w:t>to</w:t>
      </w:r>
      <w:r w:rsidRPr="003047CF">
        <w:rPr>
          <w:rFonts w:ascii="Arial" w:hAnsi="Arial" w:cs="Arial"/>
          <w:sz w:val="22"/>
          <w:szCs w:val="22"/>
        </w:rPr>
        <w:t xml:space="preserve"> mean </w:t>
      </w:r>
      <w:r w:rsidRPr="003047CF" w:rsidR="00CA0F8E">
        <w:rPr>
          <w:rFonts w:ascii="Arial" w:hAnsi="Arial" w:cs="Arial"/>
          <w:sz w:val="22"/>
          <w:szCs w:val="22"/>
        </w:rPr>
        <w:t xml:space="preserve">that </w:t>
      </w:r>
      <w:r w:rsidRPr="003047CF">
        <w:rPr>
          <w:rFonts w:ascii="Arial" w:hAnsi="Arial" w:cs="Arial"/>
          <w:sz w:val="22"/>
          <w:szCs w:val="22"/>
        </w:rPr>
        <w:t xml:space="preserve">the engineering expertise </w:t>
      </w:r>
      <w:r w:rsidR="00082DA2">
        <w:rPr>
          <w:rFonts w:ascii="Arial" w:hAnsi="Arial" w:cs="Arial"/>
          <w:sz w:val="22"/>
          <w:szCs w:val="22"/>
        </w:rPr>
        <w:t>must</w:t>
      </w:r>
      <w:r w:rsidRPr="003047CF">
        <w:rPr>
          <w:rFonts w:ascii="Arial" w:hAnsi="Arial" w:cs="Arial"/>
          <w:sz w:val="22"/>
          <w:szCs w:val="22"/>
        </w:rPr>
        <w:t xml:space="preserve"> be </w:t>
      </w:r>
      <w:r w:rsidR="004B4E7A">
        <w:rPr>
          <w:rFonts w:ascii="Arial" w:hAnsi="Arial" w:cs="Arial"/>
          <w:sz w:val="22"/>
          <w:szCs w:val="22"/>
        </w:rPr>
        <w:t>fulfilled by</w:t>
      </w:r>
      <w:r w:rsidRPr="003047CF">
        <w:rPr>
          <w:rFonts w:ascii="Arial" w:hAnsi="Arial" w:cs="Arial"/>
          <w:sz w:val="22"/>
          <w:szCs w:val="22"/>
        </w:rPr>
        <w:t xml:space="preserve"> a dedicated member of the on-shift crew like that of the Shift Technical Advisor for 10 CFR</w:t>
      </w:r>
      <w:r w:rsidR="00B32E73">
        <w:rPr>
          <w:rFonts w:ascii="Arial" w:hAnsi="Arial" w:cs="Arial"/>
          <w:sz w:val="22"/>
          <w:szCs w:val="22"/>
        </w:rPr>
        <w:t> </w:t>
      </w:r>
      <w:r w:rsidRPr="003047CF">
        <w:rPr>
          <w:rFonts w:ascii="Arial" w:hAnsi="Arial" w:cs="Arial"/>
          <w:sz w:val="22"/>
          <w:szCs w:val="22"/>
        </w:rPr>
        <w:t>Part</w:t>
      </w:r>
      <w:r w:rsidR="00B32E73">
        <w:rPr>
          <w:rFonts w:ascii="Arial" w:hAnsi="Arial" w:cs="Arial"/>
          <w:sz w:val="22"/>
          <w:szCs w:val="22"/>
        </w:rPr>
        <w:t> </w:t>
      </w:r>
      <w:r w:rsidRPr="003047CF">
        <w:rPr>
          <w:rFonts w:ascii="Arial" w:hAnsi="Arial" w:cs="Arial"/>
          <w:sz w:val="22"/>
          <w:szCs w:val="22"/>
        </w:rPr>
        <w:t xml:space="preserve">50 </w:t>
      </w:r>
      <w:r w:rsidR="001520D8">
        <w:rPr>
          <w:rFonts w:ascii="Arial" w:hAnsi="Arial" w:cs="Arial"/>
          <w:sz w:val="22"/>
          <w:szCs w:val="22"/>
        </w:rPr>
        <w:t>or</w:t>
      </w:r>
      <w:r w:rsidRPr="003047CF">
        <w:rPr>
          <w:rFonts w:ascii="Arial" w:hAnsi="Arial" w:cs="Arial"/>
          <w:sz w:val="22"/>
          <w:szCs w:val="22"/>
        </w:rPr>
        <w:t xml:space="preserve"> 52 facilities. Accordingly, the NRC did not change the rule language in response to this comment.</w:t>
      </w:r>
    </w:p>
    <w:p w:rsidR="007F112A" w:rsidRPr="003047CF" w:rsidP="003047CF" w14:paraId="1AC2BDB8" w14:textId="77777777">
      <w:pPr>
        <w:pStyle w:val="CommentText"/>
        <w:spacing w:after="220"/>
        <w:rPr>
          <w:rFonts w:ascii="Arial" w:hAnsi="Arial" w:cs="Arial"/>
          <w:sz w:val="22"/>
          <w:szCs w:val="22"/>
        </w:rPr>
      </w:pPr>
      <w:r w:rsidRPr="003047CF">
        <w:rPr>
          <w:rFonts w:ascii="Arial" w:hAnsi="Arial" w:cs="Arial"/>
          <w:sz w:val="22"/>
          <w:szCs w:val="22"/>
        </w:rPr>
        <w:t>The NRC acknowledges that there is preceden</w:t>
      </w:r>
      <w:r w:rsidRPr="003047CF" w:rsidR="00CA0F8E">
        <w:rPr>
          <w:rFonts w:ascii="Arial" w:hAnsi="Arial" w:cs="Arial"/>
          <w:sz w:val="22"/>
          <w:szCs w:val="22"/>
        </w:rPr>
        <w:t>t</w:t>
      </w:r>
      <w:r w:rsidRPr="003047CF">
        <w:rPr>
          <w:rFonts w:ascii="Arial" w:hAnsi="Arial" w:cs="Arial"/>
          <w:sz w:val="22"/>
          <w:szCs w:val="22"/>
        </w:rPr>
        <w:t xml:space="preserve"> for </w:t>
      </w:r>
      <w:r w:rsidR="00F45356">
        <w:rPr>
          <w:rFonts w:ascii="Arial" w:hAnsi="Arial" w:cs="Arial"/>
          <w:sz w:val="22"/>
          <w:szCs w:val="22"/>
        </w:rPr>
        <w:t>the</w:t>
      </w:r>
      <w:r w:rsidRPr="003047CF">
        <w:rPr>
          <w:rFonts w:ascii="Arial" w:hAnsi="Arial" w:cs="Arial"/>
          <w:sz w:val="22"/>
          <w:szCs w:val="22"/>
        </w:rPr>
        <w:t xml:space="preserve"> elimination of the Shift Technical Advisor position as explained </w:t>
      </w:r>
      <w:r w:rsidRPr="003047CF" w:rsidR="00BC4190">
        <w:rPr>
          <w:rFonts w:ascii="Arial" w:hAnsi="Arial" w:cs="Arial"/>
          <w:sz w:val="22"/>
          <w:szCs w:val="22"/>
        </w:rPr>
        <w:t xml:space="preserve">in </w:t>
      </w:r>
      <w:r w:rsidRPr="003047CF">
        <w:rPr>
          <w:rFonts w:ascii="Arial" w:hAnsi="Arial" w:cs="Arial"/>
          <w:sz w:val="22"/>
          <w:szCs w:val="22"/>
        </w:rPr>
        <w:t xml:space="preserve">SECY 21-0039, “Elimination of the STA for the </w:t>
      </w:r>
      <w:r w:rsidRPr="003047CF">
        <w:rPr>
          <w:rFonts w:ascii="Arial" w:hAnsi="Arial" w:cs="Arial"/>
          <w:sz w:val="22"/>
          <w:szCs w:val="22"/>
        </w:rPr>
        <w:t>NuScale</w:t>
      </w:r>
      <w:r w:rsidRPr="003047CF">
        <w:rPr>
          <w:rFonts w:ascii="Arial" w:hAnsi="Arial" w:cs="Arial"/>
          <w:sz w:val="22"/>
          <w:szCs w:val="22"/>
        </w:rPr>
        <w:t xml:space="preserve"> Design.” However, the requirement for engineering expertise in 10 CFR 53.730(f)(1) is not equivalent to the Shift Technical Advisor position at large</w:t>
      </w:r>
      <w:r w:rsidR="00BE43E7">
        <w:rPr>
          <w:rFonts w:ascii="Arial" w:hAnsi="Arial" w:cs="Arial"/>
          <w:sz w:val="22"/>
          <w:szCs w:val="22"/>
        </w:rPr>
        <w:t>-</w:t>
      </w:r>
      <w:r w:rsidRPr="003047CF">
        <w:rPr>
          <w:rFonts w:ascii="Arial" w:hAnsi="Arial" w:cs="Arial"/>
          <w:sz w:val="22"/>
          <w:szCs w:val="22"/>
        </w:rPr>
        <w:t>light</w:t>
      </w:r>
      <w:r w:rsidR="00BE43E7">
        <w:rPr>
          <w:rFonts w:ascii="Arial" w:hAnsi="Arial" w:cs="Arial"/>
          <w:sz w:val="22"/>
          <w:szCs w:val="22"/>
        </w:rPr>
        <w:t>-</w:t>
      </w:r>
      <w:r w:rsidRPr="003047CF">
        <w:rPr>
          <w:rFonts w:ascii="Arial" w:hAnsi="Arial" w:cs="Arial"/>
          <w:sz w:val="22"/>
          <w:szCs w:val="22"/>
        </w:rPr>
        <w:t>water reactors. As explained in NUREG-0737, the original purpose of the Shift Technical Advisor, in the aftermath of the accident at Three Mile Island Unit 2, was to improve the ability of the on</w:t>
      </w:r>
      <w:r w:rsidRPr="003047CF">
        <w:rPr>
          <w:rFonts w:ascii="Arial" w:eastAsia="Times New Roman" w:hAnsi="Arial" w:cs="Arial"/>
          <w:sz w:val="22"/>
          <w:szCs w:val="22"/>
        </w:rPr>
        <w:noBreakHyphen/>
      </w:r>
      <w:r w:rsidRPr="003047CF">
        <w:rPr>
          <w:rFonts w:ascii="Arial" w:hAnsi="Arial" w:cs="Arial"/>
          <w:sz w:val="22"/>
          <w:szCs w:val="22"/>
        </w:rPr>
        <w:t>shift operating crew to recognize, diagnose, and effectively respond to plant transients and abnormal conditions. With an increased reliance on automation and passive safety features, the staff expects that reactors licensed under 10 CFR Part 53 will have very few (if any) risk</w:t>
      </w:r>
      <w:r w:rsidRPr="003047CF">
        <w:rPr>
          <w:rFonts w:ascii="Arial" w:eastAsia="Times New Roman" w:hAnsi="Arial" w:cs="Arial"/>
          <w:sz w:val="22"/>
          <w:szCs w:val="22"/>
        </w:rPr>
        <w:noBreakHyphen/>
      </w:r>
      <w:r w:rsidRPr="003047CF">
        <w:rPr>
          <w:rFonts w:ascii="Arial" w:hAnsi="Arial" w:cs="Arial"/>
          <w:sz w:val="22"/>
          <w:szCs w:val="22"/>
        </w:rPr>
        <w:t>significant operator actions during plant transients and abnormal events. The purpose of the engineering expertise requirement is for a qualified person to provide on</w:t>
      </w:r>
      <w:r w:rsidRPr="003047CF">
        <w:rPr>
          <w:rFonts w:ascii="Arial" w:eastAsia="Times New Roman" w:hAnsi="Arial" w:cs="Arial"/>
          <w:sz w:val="22"/>
          <w:szCs w:val="22"/>
        </w:rPr>
        <w:noBreakHyphen/>
      </w:r>
      <w:r w:rsidRPr="003047CF">
        <w:rPr>
          <w:rFonts w:ascii="Arial" w:hAnsi="Arial" w:cs="Arial"/>
          <w:sz w:val="22"/>
          <w:szCs w:val="22"/>
        </w:rPr>
        <w:t xml:space="preserve">shift operators technical support if a situation arises that is not </w:t>
      </w:r>
      <w:r w:rsidRPr="003047CF">
        <w:rPr>
          <w:rFonts w:ascii="Arial" w:hAnsi="Arial" w:cs="Arial"/>
          <w:sz w:val="22"/>
          <w:szCs w:val="22"/>
        </w:rPr>
        <w:t>covered by operator training or operating procedures. Accordingly, the NRC added clarifying information to section 1.4 of DRO</w:t>
      </w:r>
      <w:r w:rsidRPr="003047CF">
        <w:rPr>
          <w:rFonts w:ascii="Arial" w:hAnsi="Arial" w:cs="Arial"/>
          <w:sz w:val="22"/>
          <w:szCs w:val="22"/>
        </w:rPr>
        <w:noBreakHyphen/>
        <w:t>ISG-2023-02 in response to this comment.</w:t>
      </w:r>
    </w:p>
    <w:p w:rsidR="007F112A" w:rsidP="003047CF" w14:paraId="3BF5075F" w14:textId="77777777">
      <w:pPr>
        <w:spacing w:after="220"/>
        <w:rPr>
          <w:rFonts w:ascii="Arial" w:hAnsi="Arial" w:cs="Arial"/>
          <w:sz w:val="22"/>
          <w:szCs w:val="22"/>
        </w:rPr>
      </w:pPr>
      <w:r w:rsidRPr="003047CF">
        <w:rPr>
          <w:rFonts w:ascii="Arial" w:hAnsi="Arial" w:cs="Arial"/>
          <w:sz w:val="22"/>
          <w:szCs w:val="22"/>
        </w:rPr>
        <w:t xml:space="preserve">The NRC disagrees with the commenter’s recommendation to remove the four-year degree requirement for the engineering expertise role. The engineering expertise requirement is based on Commission policy located in “Education for Senior Reactor Operators and Shift Supervisors at Nuclear Power Plants” (published in the </w:t>
      </w:r>
      <w:r w:rsidRPr="000B3DEC">
        <w:rPr>
          <w:rFonts w:ascii="Arial" w:hAnsi="Arial" w:cs="Arial"/>
          <w:i/>
          <w:sz w:val="22"/>
          <w:szCs w:val="22"/>
        </w:rPr>
        <w:t>Federal Register</w:t>
      </w:r>
      <w:r w:rsidRPr="003047CF">
        <w:rPr>
          <w:rFonts w:ascii="Arial" w:hAnsi="Arial" w:cs="Arial"/>
          <w:sz w:val="22"/>
          <w:szCs w:val="22"/>
        </w:rPr>
        <w:t xml:space="preserve"> (54 FR 33639) on August</w:t>
      </w:r>
      <w:r w:rsidR="002D23A2">
        <w:rPr>
          <w:rFonts w:ascii="Arial" w:hAnsi="Arial" w:cs="Arial"/>
          <w:sz w:val="22"/>
          <w:szCs w:val="22"/>
        </w:rPr>
        <w:t> </w:t>
      </w:r>
      <w:r w:rsidRPr="003047CF">
        <w:rPr>
          <w:rFonts w:ascii="Arial" w:hAnsi="Arial" w:cs="Arial"/>
          <w:sz w:val="22"/>
          <w:szCs w:val="22"/>
        </w:rPr>
        <w:t>15,</w:t>
      </w:r>
      <w:r w:rsidR="002D23A2">
        <w:rPr>
          <w:rFonts w:ascii="Arial" w:hAnsi="Arial" w:cs="Arial"/>
          <w:sz w:val="22"/>
          <w:szCs w:val="22"/>
        </w:rPr>
        <w:t> </w:t>
      </w:r>
      <w:r w:rsidRPr="003047CF">
        <w:rPr>
          <w:rFonts w:ascii="Arial" w:hAnsi="Arial" w:cs="Arial"/>
          <w:sz w:val="22"/>
          <w:szCs w:val="22"/>
        </w:rPr>
        <w:t>1989)</w:t>
      </w:r>
      <w:r w:rsidRPr="003047CF" w:rsidR="00070454">
        <w:rPr>
          <w:rFonts w:ascii="Arial" w:hAnsi="Arial" w:cs="Arial"/>
          <w:sz w:val="22"/>
          <w:szCs w:val="22"/>
        </w:rPr>
        <w:t>,</w:t>
      </w:r>
      <w:r w:rsidRPr="003047CF">
        <w:rPr>
          <w:rFonts w:ascii="Arial" w:hAnsi="Arial" w:cs="Arial"/>
          <w:sz w:val="22"/>
          <w:szCs w:val="22"/>
        </w:rPr>
        <w:t xml:space="preserve"> in which the Commission acknowledged the potential for situations to arise </w:t>
      </w:r>
      <w:r w:rsidR="00684916">
        <w:rPr>
          <w:rFonts w:ascii="Arial" w:hAnsi="Arial" w:cs="Arial"/>
          <w:sz w:val="22"/>
          <w:szCs w:val="22"/>
        </w:rPr>
        <w:t>that</w:t>
      </w:r>
      <w:r w:rsidRPr="003047CF" w:rsidR="00684916">
        <w:rPr>
          <w:rFonts w:ascii="Arial" w:hAnsi="Arial" w:cs="Arial"/>
          <w:sz w:val="22"/>
          <w:szCs w:val="22"/>
        </w:rPr>
        <w:t xml:space="preserve"> </w:t>
      </w:r>
      <w:r w:rsidRPr="003047CF">
        <w:rPr>
          <w:rFonts w:ascii="Arial" w:hAnsi="Arial" w:cs="Arial"/>
          <w:sz w:val="22"/>
          <w:szCs w:val="22"/>
        </w:rPr>
        <w:t>are not covered through training or operating procedures and stated that there is “a need for some individuals on each nuclear power plant operating shift who have an innate understanding of the systems-level performance of a nuclear power plant” and “knowledge of scientific and engineering fundamentals and the basic scientific principles that govern the behavior of electrical, mechanical and other engineering systems.” The policy statement explains that this kind of knowledge is acquired from an academic degree program in a technical discipline and that individuals with technical degrees can utilize their in</w:t>
      </w:r>
      <w:r w:rsidRPr="003047CF">
        <w:rPr>
          <w:rFonts w:ascii="Arial" w:hAnsi="Arial" w:cs="Arial"/>
          <w:sz w:val="22"/>
          <w:szCs w:val="22"/>
        </w:rPr>
        <w:noBreakHyphen/>
        <w:t>depth knowledge when called upon to assess the causes of a novel incident and determine the appropriate response. Accordingly</w:t>
      </w:r>
      <w:r w:rsidRPr="003047CF" w:rsidR="0098606D">
        <w:rPr>
          <w:rFonts w:ascii="Arial" w:hAnsi="Arial" w:cs="Arial"/>
          <w:sz w:val="22"/>
          <w:szCs w:val="22"/>
        </w:rPr>
        <w:t>,</w:t>
      </w:r>
      <w:r w:rsidRPr="003047CF" w:rsidR="00B32CA1">
        <w:rPr>
          <w:rFonts w:ascii="Arial" w:hAnsi="Arial" w:cs="Arial"/>
          <w:sz w:val="22"/>
          <w:szCs w:val="22"/>
        </w:rPr>
        <w:t xml:space="preserve"> the NRC did not change the rule language in response to this comment.</w:t>
      </w:r>
    </w:p>
    <w:p w:rsidR="007F112A" w:rsidRPr="003047CF" w:rsidP="003047CF" w14:paraId="4228A4F3"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03" style="width:0;height:1.5pt" o:hralign="center" o:hrstd="t" o:hrnoshade="t" o:hr="t" fillcolor="black" stroked="f"/>
        </w:pict>
      </w:r>
    </w:p>
    <w:p w:rsidR="007F112A" w:rsidRPr="003047CF" w:rsidP="003047CF" w14:paraId="2C4CC529" w14:textId="77777777">
      <w:pPr>
        <w:spacing w:after="220"/>
        <w:rPr>
          <w:rFonts w:ascii="Arial" w:eastAsia="Times New Roman" w:hAnsi="Arial" w:cs="Arial"/>
          <w:color w:val="000000"/>
          <w:sz w:val="22"/>
          <w:szCs w:val="22"/>
          <w:lang w:eastAsia="zh-CN"/>
        </w:rPr>
      </w:pPr>
      <w:r w:rsidRPr="003047CF">
        <w:rPr>
          <w:rFonts w:ascii="Arial" w:eastAsia="DengXian" w:hAnsi="Arial" w:cs="Arial"/>
          <w:b/>
          <w:sz w:val="22"/>
          <w:szCs w:val="22"/>
        </w:rPr>
        <w:t>Comment Bin 3.6.2.5.B:</w:t>
      </w:r>
      <w:r w:rsidRPr="003047CF">
        <w:rPr>
          <w:rFonts w:ascii="Arial" w:eastAsia="DengXian" w:hAnsi="Arial" w:cs="Arial"/>
          <w:sz w:val="22"/>
          <w:szCs w:val="22"/>
        </w:rPr>
        <w:t xml:space="preserve"> </w:t>
      </w:r>
      <w:r w:rsidRPr="003047CF">
        <w:rPr>
          <w:rFonts w:ascii="Arial" w:hAnsi="Arial" w:cs="Arial"/>
          <w:sz w:val="22"/>
          <w:szCs w:val="22"/>
        </w:rPr>
        <w:t>A commenter said that guidance should provide clarity on the meaning of “be available to the on-shift personnel” in 10 CFR 53.730(f)(1). The commenter also suggested that NRC provide a clarifying statement that allows or requires flexibility for what time frame “engineering expertise” is required, and whether that time frame is based on accident progression timelines specific to the design (</w:t>
      </w:r>
      <w:r w:rsidR="009D6BB9">
        <w:rPr>
          <w:rFonts w:ascii="Arial" w:hAnsi="Arial" w:cs="Arial"/>
          <w:sz w:val="22"/>
          <w:szCs w:val="22"/>
        </w:rPr>
        <w:t>NEI2</w:t>
      </w:r>
      <w:r w:rsidRPr="003047CF">
        <w:rPr>
          <w:rFonts w:ascii="Arial" w:hAnsi="Arial" w:cs="Arial"/>
          <w:sz w:val="22"/>
          <w:szCs w:val="22"/>
        </w:rPr>
        <w:t>-0075). Another commenter expressed support for this comment (</w:t>
      </w:r>
      <w:r w:rsidR="006912EB">
        <w:rPr>
          <w:rFonts w:ascii="Arial" w:hAnsi="Arial" w:cs="Arial"/>
          <w:sz w:val="22"/>
          <w:szCs w:val="22"/>
        </w:rPr>
        <w:t>NEX</w:t>
      </w:r>
      <w:r w:rsidRPr="003047CF">
        <w:rPr>
          <w:rFonts w:ascii="Arial" w:hAnsi="Arial" w:cs="Arial"/>
          <w:sz w:val="22"/>
          <w:szCs w:val="22"/>
        </w:rPr>
        <w:t>-0028). </w:t>
      </w:r>
    </w:p>
    <w:p w:rsidR="007F112A" w:rsidRPr="003047CF" w:rsidP="003047CF" w14:paraId="1834894B" w14:textId="77777777">
      <w:pPr>
        <w:spacing w:after="220"/>
        <w:rPr>
          <w:rFonts w:ascii="Arial" w:hAnsi="Arial" w:cs="Arial"/>
          <w:sz w:val="22"/>
          <w:szCs w:val="22"/>
        </w:rPr>
      </w:pPr>
      <w:r w:rsidRPr="003047CF">
        <w:rPr>
          <w:rFonts w:ascii="Arial" w:eastAsia="DengXian" w:hAnsi="Arial" w:cs="Arial"/>
          <w:b/>
          <w:sz w:val="22"/>
          <w:szCs w:val="22"/>
        </w:rPr>
        <w:t>NRC Response:</w:t>
      </w:r>
      <w:r w:rsidRPr="003047CF">
        <w:rPr>
          <w:rFonts w:ascii="Arial" w:eastAsia="DengXian" w:hAnsi="Arial" w:cs="Arial"/>
          <w:sz w:val="22"/>
          <w:szCs w:val="22"/>
        </w:rPr>
        <w:t xml:space="preserve"> </w:t>
      </w:r>
      <w:r w:rsidRPr="003047CF" w:rsidR="00323C53">
        <w:rPr>
          <w:rFonts w:ascii="Arial" w:eastAsia="DengXian" w:hAnsi="Arial" w:cs="Arial"/>
          <w:sz w:val="22"/>
          <w:szCs w:val="22"/>
        </w:rPr>
        <w:t>T</w:t>
      </w:r>
      <w:r w:rsidRPr="003047CF">
        <w:rPr>
          <w:rFonts w:ascii="Arial" w:hAnsi="Arial" w:cs="Arial"/>
          <w:sz w:val="22"/>
          <w:szCs w:val="22"/>
        </w:rPr>
        <w:t xml:space="preserve">he NRC agrees with </w:t>
      </w:r>
      <w:r w:rsidR="00C02D01">
        <w:rPr>
          <w:rFonts w:ascii="Arial" w:hAnsi="Arial" w:cs="Arial"/>
          <w:sz w:val="22"/>
          <w:szCs w:val="22"/>
        </w:rPr>
        <w:t>the</w:t>
      </w:r>
      <w:r w:rsidRPr="003047CF">
        <w:rPr>
          <w:rFonts w:ascii="Arial" w:hAnsi="Arial" w:cs="Arial"/>
          <w:sz w:val="22"/>
          <w:szCs w:val="22"/>
        </w:rPr>
        <w:t xml:space="preserve"> comments.</w:t>
      </w:r>
    </w:p>
    <w:p w:rsidR="007F112A" w:rsidRPr="003047CF" w:rsidP="003047CF" w14:paraId="3283BC18" w14:textId="77777777">
      <w:pPr>
        <w:spacing w:after="220"/>
        <w:rPr>
          <w:rFonts w:ascii="Arial" w:hAnsi="Arial" w:cs="Arial"/>
          <w:sz w:val="22"/>
          <w:szCs w:val="22"/>
        </w:rPr>
      </w:pPr>
      <w:r w:rsidRPr="003047CF">
        <w:rPr>
          <w:rFonts w:ascii="Arial" w:hAnsi="Arial" w:cs="Arial"/>
          <w:sz w:val="22"/>
          <w:szCs w:val="22"/>
        </w:rPr>
        <w:t>As stated in the proposed and final rule</w:t>
      </w:r>
      <w:r w:rsidRPr="003047CF" w:rsidR="0098606D">
        <w:rPr>
          <w:rFonts w:ascii="Arial" w:hAnsi="Arial" w:cs="Arial"/>
          <w:sz w:val="22"/>
          <w:szCs w:val="22"/>
        </w:rPr>
        <w:t>s</w:t>
      </w:r>
      <w:r w:rsidRPr="003047CF">
        <w:rPr>
          <w:rFonts w:ascii="Arial" w:hAnsi="Arial" w:cs="Arial"/>
          <w:sz w:val="22"/>
          <w:szCs w:val="22"/>
        </w:rPr>
        <w:t>, 10 CFR Part 53 includes provisions to address staffing, training, personnel qualifications, and HFE in a manner that is risk</w:t>
      </w:r>
      <w:r w:rsidRPr="003047CF">
        <w:rPr>
          <w:rFonts w:ascii="Arial" w:hAnsi="Arial" w:cs="Arial"/>
          <w:sz w:val="22"/>
          <w:szCs w:val="22"/>
        </w:rPr>
        <w:noBreakHyphen/>
        <w:t>informed, technology</w:t>
      </w:r>
      <w:r w:rsidR="002A03AB">
        <w:rPr>
          <w:rFonts w:ascii="Arial" w:hAnsi="Arial" w:cs="Arial"/>
          <w:sz w:val="22"/>
          <w:szCs w:val="22"/>
        </w:rPr>
        <w:t>-</w:t>
      </w:r>
      <w:r w:rsidRPr="003047CF">
        <w:rPr>
          <w:rFonts w:ascii="Arial" w:hAnsi="Arial" w:cs="Arial"/>
          <w:sz w:val="22"/>
          <w:szCs w:val="22"/>
        </w:rPr>
        <w:t>inclusive, performance</w:t>
      </w:r>
      <w:r w:rsidRPr="003047CF">
        <w:rPr>
          <w:rFonts w:ascii="Arial" w:hAnsi="Arial" w:cs="Arial"/>
          <w:sz w:val="22"/>
          <w:szCs w:val="22"/>
        </w:rPr>
        <w:noBreakHyphen/>
        <w:t>based, and flexible in nature. The staffing plan requirement in 10 CFR 53.730(f) is a performance</w:t>
      </w:r>
      <w:r w:rsidRPr="003047CF">
        <w:rPr>
          <w:rFonts w:ascii="Arial" w:hAnsi="Arial" w:cs="Arial"/>
          <w:sz w:val="22"/>
          <w:szCs w:val="22"/>
        </w:rPr>
        <w:noBreakHyphen/>
        <w:t xml:space="preserve">based staffing requirement which, in part, allows an applicant to propose how </w:t>
      </w:r>
      <w:r w:rsidRPr="003047CF" w:rsidR="00AC32E2">
        <w:rPr>
          <w:rFonts w:ascii="Arial" w:hAnsi="Arial" w:cs="Arial"/>
          <w:sz w:val="22"/>
          <w:szCs w:val="22"/>
        </w:rPr>
        <w:t xml:space="preserve">it </w:t>
      </w:r>
      <w:r w:rsidRPr="003047CF">
        <w:rPr>
          <w:rFonts w:ascii="Arial" w:hAnsi="Arial" w:cs="Arial"/>
          <w:sz w:val="22"/>
          <w:szCs w:val="22"/>
        </w:rPr>
        <w:t>will meet the requirement for engineering expertise to be available to the on-shift personnel. The approach results in a staffing plan that is appropriate for the facility’s design, concept of operations, and workload levels for licensed operators.</w:t>
      </w:r>
    </w:p>
    <w:p w:rsidR="007F112A" w:rsidRPr="003047CF" w:rsidP="003047CF" w14:paraId="02D3A0E4" w14:textId="77777777">
      <w:pPr>
        <w:spacing w:after="220"/>
        <w:rPr>
          <w:rFonts w:ascii="Arial" w:hAnsi="Arial" w:cs="Arial"/>
          <w:sz w:val="22"/>
          <w:szCs w:val="22"/>
        </w:rPr>
      </w:pPr>
      <w:r w:rsidRPr="003047CF">
        <w:rPr>
          <w:rFonts w:ascii="Arial" w:hAnsi="Arial" w:cs="Arial"/>
          <w:sz w:val="22"/>
          <w:szCs w:val="22"/>
        </w:rPr>
        <w:t>The NRC will review staffing plan submittals using the guidance in DRO</w:t>
      </w:r>
      <w:r w:rsidRPr="003047CF">
        <w:rPr>
          <w:rFonts w:ascii="Arial" w:hAnsi="Arial" w:cs="Arial"/>
          <w:sz w:val="22"/>
          <w:szCs w:val="22"/>
        </w:rPr>
        <w:noBreakHyphen/>
        <w:t>ISG</w:t>
      </w:r>
      <w:r w:rsidRPr="003047CF">
        <w:rPr>
          <w:rFonts w:ascii="Arial" w:hAnsi="Arial" w:cs="Arial"/>
          <w:sz w:val="22"/>
          <w:szCs w:val="22"/>
        </w:rPr>
        <w:noBreakHyphen/>
        <w:t>2023</w:t>
      </w:r>
      <w:r w:rsidRPr="003047CF">
        <w:rPr>
          <w:rFonts w:ascii="Arial" w:hAnsi="Arial" w:cs="Arial"/>
          <w:sz w:val="22"/>
          <w:szCs w:val="22"/>
        </w:rPr>
        <w:noBreakHyphen/>
        <w:t>02, which contains a performance-based process for determining an adequate number of control operators.</w:t>
      </w:r>
      <w:r w:rsidRPr="003047CF" w:rsidR="0036572F">
        <w:rPr>
          <w:rFonts w:ascii="Arial" w:hAnsi="Arial" w:cs="Arial"/>
          <w:sz w:val="22"/>
          <w:szCs w:val="22"/>
        </w:rPr>
        <w:t xml:space="preserve"> </w:t>
      </w:r>
      <w:r w:rsidRPr="003047CF" w:rsidR="00C371A0">
        <w:rPr>
          <w:rFonts w:ascii="Arial" w:hAnsi="Arial" w:cs="Arial"/>
          <w:sz w:val="22"/>
          <w:szCs w:val="22"/>
        </w:rPr>
        <w:t>In reviewing DRO-ISG-2023-02, t</w:t>
      </w:r>
      <w:r w:rsidRPr="003047CF" w:rsidR="0036572F">
        <w:rPr>
          <w:rFonts w:ascii="Arial" w:hAnsi="Arial" w:cs="Arial"/>
          <w:sz w:val="22"/>
          <w:szCs w:val="22"/>
        </w:rPr>
        <w:t xml:space="preserve">he NRC </w:t>
      </w:r>
      <w:r w:rsidR="007563BA">
        <w:rPr>
          <w:rFonts w:ascii="Arial" w:hAnsi="Arial" w:cs="Arial"/>
          <w:sz w:val="22"/>
          <w:szCs w:val="22"/>
        </w:rPr>
        <w:t xml:space="preserve">also </w:t>
      </w:r>
      <w:r w:rsidRPr="003047CF" w:rsidR="0036572F">
        <w:rPr>
          <w:rFonts w:ascii="Arial" w:hAnsi="Arial" w:cs="Arial"/>
          <w:sz w:val="22"/>
          <w:szCs w:val="22"/>
        </w:rPr>
        <w:t xml:space="preserve">agrees that additional clarity is needed </w:t>
      </w:r>
      <w:r w:rsidRPr="003047CF" w:rsidR="004757BD">
        <w:rPr>
          <w:rFonts w:ascii="Arial" w:hAnsi="Arial" w:cs="Arial"/>
          <w:sz w:val="22"/>
          <w:szCs w:val="22"/>
        </w:rPr>
        <w:t xml:space="preserve">in this guidance </w:t>
      </w:r>
      <w:r w:rsidRPr="003047CF" w:rsidR="0036572F">
        <w:rPr>
          <w:rFonts w:ascii="Arial" w:hAnsi="Arial" w:cs="Arial"/>
          <w:sz w:val="22"/>
          <w:szCs w:val="22"/>
        </w:rPr>
        <w:t xml:space="preserve">regarding the </w:t>
      </w:r>
      <w:r w:rsidRPr="003047CF" w:rsidR="00902DD7">
        <w:rPr>
          <w:rFonts w:ascii="Arial" w:hAnsi="Arial" w:cs="Arial"/>
          <w:sz w:val="22"/>
          <w:szCs w:val="22"/>
        </w:rPr>
        <w:t>response time.</w:t>
      </w:r>
    </w:p>
    <w:p w:rsidR="007F112A" w:rsidRPr="003047CF" w:rsidP="003047CF" w14:paraId="0BCFF8D6" w14:textId="77777777">
      <w:pPr>
        <w:spacing w:after="220"/>
        <w:rPr>
          <w:rFonts w:ascii="Arial" w:hAnsi="Arial" w:cs="Arial"/>
          <w:sz w:val="22"/>
          <w:szCs w:val="22"/>
        </w:rPr>
      </w:pPr>
      <w:r w:rsidRPr="003047CF">
        <w:rPr>
          <w:rFonts w:ascii="Arial" w:hAnsi="Arial" w:cs="Arial"/>
          <w:sz w:val="22"/>
          <w:szCs w:val="22"/>
        </w:rPr>
        <w:t xml:space="preserve">Accordingly, the NRC </w:t>
      </w:r>
      <w:r w:rsidR="00334AD0">
        <w:rPr>
          <w:rFonts w:ascii="Arial" w:hAnsi="Arial" w:cs="Arial"/>
          <w:sz w:val="22"/>
          <w:szCs w:val="22"/>
        </w:rPr>
        <w:t>revised</w:t>
      </w:r>
      <w:r w:rsidRPr="003047CF">
        <w:rPr>
          <w:rFonts w:ascii="Arial" w:hAnsi="Arial" w:cs="Arial"/>
          <w:sz w:val="22"/>
          <w:szCs w:val="22"/>
        </w:rPr>
        <w:t xml:space="preserve"> the review criteria for staffing plan submittals in section 1.3 of DRO-ISG-2023-02 </w:t>
      </w:r>
      <w:r w:rsidR="00C431D0">
        <w:rPr>
          <w:rFonts w:ascii="Arial" w:hAnsi="Arial" w:cs="Arial"/>
          <w:sz w:val="22"/>
          <w:szCs w:val="22"/>
        </w:rPr>
        <w:t xml:space="preserve">in response to these comments </w:t>
      </w:r>
      <w:r w:rsidRPr="003047CF">
        <w:rPr>
          <w:rFonts w:ascii="Arial" w:hAnsi="Arial" w:cs="Arial"/>
          <w:sz w:val="22"/>
          <w:szCs w:val="22"/>
        </w:rPr>
        <w:t>to explain that, for the engineering expertise role, response time means:</w:t>
      </w:r>
    </w:p>
    <w:p w:rsidR="007F112A" w:rsidRPr="003047CF" w:rsidP="00455E55" w14:paraId="4489F173" w14:textId="77777777">
      <w:pPr>
        <w:pStyle w:val="ListParagraph"/>
        <w:numPr>
          <w:ilvl w:val="0"/>
          <w:numId w:val="29"/>
        </w:numPr>
        <w:spacing w:after="220"/>
        <w:contextualSpacing w:val="0"/>
        <w:rPr>
          <w:rFonts w:ascii="Arial" w:hAnsi="Arial" w:cs="Arial"/>
          <w:sz w:val="22"/>
          <w:szCs w:val="22"/>
        </w:rPr>
      </w:pPr>
      <w:r w:rsidRPr="003047CF">
        <w:rPr>
          <w:rFonts w:ascii="Arial" w:hAnsi="Arial" w:cs="Arial"/>
          <w:sz w:val="22"/>
          <w:szCs w:val="22"/>
        </w:rPr>
        <w:t xml:space="preserve">If located off-site, this is the time it takes personnel fulfilling the engineering expertise requirement to answer a request for technical assistance; or </w:t>
      </w:r>
    </w:p>
    <w:p w:rsidR="007F112A" w:rsidP="00455E55" w14:paraId="7B00B317" w14:textId="77777777">
      <w:pPr>
        <w:pStyle w:val="ListParagraph"/>
        <w:numPr>
          <w:ilvl w:val="0"/>
          <w:numId w:val="29"/>
        </w:numPr>
        <w:spacing w:after="220"/>
        <w:contextualSpacing w:val="0"/>
        <w:rPr>
          <w:rFonts w:ascii="Arial" w:hAnsi="Arial" w:cs="Arial"/>
          <w:sz w:val="22"/>
          <w:szCs w:val="22"/>
        </w:rPr>
      </w:pPr>
      <w:r w:rsidRPr="003047CF">
        <w:rPr>
          <w:rFonts w:ascii="Arial" w:hAnsi="Arial" w:cs="Arial"/>
          <w:sz w:val="22"/>
          <w:szCs w:val="22"/>
        </w:rPr>
        <w:t>If located on site, this is the time it takes personnel fulfilling the engineering expertise requirement to arrive at the location of the on-shift operating personnel to provide technical assistance.</w:t>
      </w:r>
    </w:p>
    <w:p w:rsidR="004045D1" w:rsidRPr="004045D1" w:rsidP="00883AFC" w14:paraId="64E3609B" w14:textId="77777777">
      <w:pPr>
        <w:pStyle w:val="ListParagraph"/>
        <w:spacing w:after="220"/>
        <w:ind w:left="0"/>
        <w:contextualSpacing w:val="0"/>
        <w:rPr>
          <w:rFonts w:ascii="Arial" w:hAnsi="Arial" w:cs="Arial"/>
          <w:sz w:val="22"/>
          <w:szCs w:val="22"/>
        </w:rPr>
      </w:pPr>
      <w:r>
        <w:rPr>
          <w:rFonts w:ascii="Arial" w:eastAsia="Times New Roman" w:hAnsi="Arial" w:cs="Arial"/>
          <w:sz w:val="22"/>
          <w:szCs w:val="22"/>
          <w:lang w:eastAsia="zh-CN"/>
        </w:rPr>
        <w:pict>
          <v:rect id="_x0000_i1204" style="width:0;height:1.5pt" o:hralign="center" o:hrstd="t" o:hrnoshade="t" o:hr="t" fillcolor="black" stroked="f"/>
        </w:pict>
      </w:r>
    </w:p>
    <w:p w:rsidR="007F112A" w:rsidRPr="004045D1" w:rsidP="00D720D7" w14:paraId="01FDFFD7" w14:textId="77777777">
      <w:pPr>
        <w:pStyle w:val="Heading4"/>
        <w:keepNext/>
        <w:keepLines/>
        <w:ind w:left="907" w:hanging="907"/>
        <w:rPr>
          <w:rFonts w:eastAsia="Times New Roman"/>
        </w:rPr>
      </w:pPr>
      <w:r w:rsidRPr="00CA7F85">
        <w:rPr>
          <w:u w:val="none"/>
        </w:rPr>
        <w:t>3.6.2.6.</w:t>
      </w:r>
      <w:r w:rsidRPr="00CA7F85">
        <w:rPr>
          <w:u w:val="none"/>
        </w:rPr>
        <w:tab/>
      </w:r>
      <w:r w:rsidRPr="00DA0A3C">
        <w:t>RFC: Use of simulation facilities as HFE testbeds</w:t>
      </w:r>
    </w:p>
    <w:p w:rsidR="007F112A" w:rsidRPr="004045D1" w:rsidP="004045D1" w14:paraId="084C934E" w14:textId="77777777">
      <w:pPr>
        <w:spacing w:after="220"/>
        <w:rPr>
          <w:rFonts w:ascii="Arial" w:eastAsia="Times New Roman" w:hAnsi="Arial" w:cs="Arial"/>
          <w:color w:val="000000"/>
          <w:sz w:val="22"/>
          <w:szCs w:val="22"/>
          <w:lang w:eastAsia="zh-CN"/>
        </w:rPr>
      </w:pPr>
      <w:r w:rsidRPr="004045D1">
        <w:rPr>
          <w:rFonts w:ascii="Arial" w:eastAsia="DengXian" w:hAnsi="Arial" w:cs="Arial"/>
          <w:b/>
          <w:sz w:val="22"/>
          <w:szCs w:val="22"/>
        </w:rPr>
        <w:t>Comment Bin 3.6.2.6.A:</w:t>
      </w:r>
      <w:r w:rsidRPr="004045D1">
        <w:rPr>
          <w:rFonts w:ascii="Arial" w:eastAsia="DengXian" w:hAnsi="Arial" w:cs="Arial"/>
          <w:sz w:val="22"/>
          <w:szCs w:val="22"/>
        </w:rPr>
        <w:t xml:space="preserve"> </w:t>
      </w:r>
      <w:r w:rsidRPr="004045D1">
        <w:rPr>
          <w:rFonts w:ascii="Arial" w:hAnsi="Arial" w:cs="Arial"/>
          <w:sz w:val="22"/>
          <w:szCs w:val="22"/>
        </w:rPr>
        <w:t>The proposed 10 CFR Part 53 rulemaking solicited feedback on how to address the use of simulation facilities as HFE testbeds and whether this should be established in regulations or addressed in guidance. In response to this request for comment, a commenter stated that the use of simulation facilities as HFE testbeds should be addressed in guidance instead of regulation as methods change and improve over time (</w:t>
      </w:r>
      <w:r w:rsidR="009D6BB9">
        <w:rPr>
          <w:rFonts w:ascii="Arial" w:hAnsi="Arial" w:cs="Arial"/>
          <w:sz w:val="22"/>
          <w:szCs w:val="22"/>
        </w:rPr>
        <w:t>NEI2</w:t>
      </w:r>
      <w:r w:rsidRPr="004045D1">
        <w:rPr>
          <w:rFonts w:ascii="Arial" w:hAnsi="Arial" w:cs="Arial"/>
          <w:sz w:val="22"/>
          <w:szCs w:val="22"/>
        </w:rPr>
        <w:t>-0201).</w:t>
      </w:r>
    </w:p>
    <w:p w:rsidR="007F112A" w:rsidRPr="004045D1" w:rsidP="004045D1" w14:paraId="7CBBD3A7" w14:textId="77777777">
      <w:pPr>
        <w:spacing w:after="220"/>
        <w:rPr>
          <w:rFonts w:ascii="Arial" w:hAnsi="Arial" w:cs="Arial"/>
          <w:sz w:val="22"/>
          <w:szCs w:val="22"/>
        </w:rPr>
      </w:pPr>
      <w:r w:rsidRPr="004045D1">
        <w:rPr>
          <w:rFonts w:ascii="Arial" w:eastAsia="DengXian" w:hAnsi="Arial" w:cs="Arial"/>
          <w:b/>
          <w:sz w:val="22"/>
          <w:szCs w:val="22"/>
        </w:rPr>
        <w:t>NRC Response:</w:t>
      </w:r>
      <w:r w:rsidRPr="004045D1">
        <w:rPr>
          <w:rFonts w:ascii="Arial" w:eastAsia="DengXian" w:hAnsi="Arial" w:cs="Arial"/>
          <w:sz w:val="22"/>
          <w:szCs w:val="22"/>
        </w:rPr>
        <w:t xml:space="preserve"> </w:t>
      </w:r>
      <w:r w:rsidRPr="004045D1">
        <w:rPr>
          <w:rFonts w:ascii="Arial" w:hAnsi="Arial" w:cs="Arial"/>
          <w:sz w:val="22"/>
          <w:szCs w:val="22"/>
        </w:rPr>
        <w:t>The NRC agrees with the comment.</w:t>
      </w:r>
    </w:p>
    <w:p w:rsidR="007F112A" w:rsidRPr="004045D1" w:rsidP="004045D1" w14:paraId="4CB3A6F8" w14:textId="77777777">
      <w:pPr>
        <w:spacing w:after="220"/>
        <w:rPr>
          <w:rFonts w:ascii="Arial" w:hAnsi="Arial" w:cs="Arial"/>
          <w:sz w:val="22"/>
          <w:szCs w:val="22"/>
        </w:rPr>
      </w:pPr>
      <w:r w:rsidRPr="004045D1">
        <w:rPr>
          <w:rFonts w:ascii="Arial" w:hAnsi="Arial" w:cs="Arial"/>
          <w:sz w:val="22"/>
          <w:szCs w:val="22"/>
        </w:rPr>
        <w:t>The NRC had envisioned that the use of simulation facilities as HFE testbeds should be addressed in guidance. The NRC plans to develop future guidance regarding the use of simulation facilities as HFE testbeds.</w:t>
      </w:r>
    </w:p>
    <w:p w:rsidR="007F112A" w:rsidP="004045D1" w14:paraId="231945A6" w14:textId="77777777">
      <w:pPr>
        <w:spacing w:after="220"/>
        <w:rPr>
          <w:rFonts w:ascii="Arial" w:hAnsi="Arial" w:cs="Arial"/>
          <w:sz w:val="22"/>
          <w:szCs w:val="22"/>
        </w:rPr>
      </w:pPr>
      <w:r w:rsidRPr="004045D1">
        <w:rPr>
          <w:rFonts w:ascii="Arial" w:hAnsi="Arial" w:cs="Arial"/>
          <w:sz w:val="22"/>
          <w:szCs w:val="22"/>
        </w:rPr>
        <w:t>Accordingly, the NRC did not change the rule language in response to this comment.</w:t>
      </w:r>
    </w:p>
    <w:p w:rsidR="004045D1" w:rsidP="004045D1" w14:paraId="1B91A4B5" w14:textId="77777777">
      <w:pPr>
        <w:spacing w:after="220"/>
        <w:rPr>
          <w:rFonts w:ascii="Arial" w:hAnsi="Arial" w:cs="Arial"/>
          <w:sz w:val="22"/>
          <w:szCs w:val="22"/>
        </w:rPr>
      </w:pPr>
      <w:r>
        <w:rPr>
          <w:rFonts w:ascii="Arial" w:eastAsia="Times New Roman" w:hAnsi="Arial" w:cs="Arial"/>
          <w:sz w:val="22"/>
          <w:szCs w:val="22"/>
          <w:lang w:eastAsia="zh-CN"/>
        </w:rPr>
        <w:pict>
          <v:rect id="_x0000_i1205" style="width:0;height:1.5pt" o:hralign="center" o:hrstd="t" o:hrnoshade="t" o:hr="t" fillcolor="black" stroked="f"/>
        </w:pict>
      </w:r>
    </w:p>
    <w:p w:rsidR="00AA2FA9" w:rsidRPr="00B236AF" w:rsidP="00790A87" w14:paraId="3D687E75" w14:textId="77777777">
      <w:pPr>
        <w:pStyle w:val="Heading3"/>
        <w:keepNext/>
        <w:keepLines/>
        <w:numPr>
          <w:ilvl w:val="0"/>
          <w:numId w:val="0"/>
        </w:numPr>
        <w:ind w:left="720" w:hanging="720"/>
        <w:rPr>
          <w:b/>
        </w:rPr>
      </w:pPr>
      <w:bookmarkStart w:id="62" w:name="_Toc207222823"/>
      <w:r>
        <w:rPr>
          <w:u w:val="none"/>
        </w:rPr>
        <w:t>3.6.3.</w:t>
      </w:r>
      <w:r>
        <w:rPr>
          <w:u w:val="none"/>
        </w:rPr>
        <w:tab/>
      </w:r>
      <w:r w:rsidRPr="00AA2FA9">
        <w:t>Programmatic requirements (§§ 53.845-53.910)</w:t>
      </w:r>
      <w:bookmarkEnd w:id="62"/>
    </w:p>
    <w:p w:rsidR="007F112A" w:rsidRPr="00963740" w:rsidP="00CA7F85" w14:paraId="6CC82C03" w14:textId="77777777">
      <w:pPr>
        <w:pStyle w:val="Heading4"/>
      </w:pPr>
      <w:r w:rsidRPr="00CA7F85">
        <w:rPr>
          <w:u w:val="none"/>
        </w:rPr>
        <w:t>3.6.3.1.</w:t>
      </w:r>
      <w:r w:rsidRPr="00CA7F85">
        <w:rPr>
          <w:u w:val="none"/>
        </w:rPr>
        <w:tab/>
      </w:r>
      <w:r w:rsidRPr="00DA0A3C">
        <w:t>Graded approach to emergency preparedness (§§ 53.855) and security programs (§§</w:t>
      </w:r>
      <w:r w:rsidR="006E5B1D">
        <w:t> </w:t>
      </w:r>
      <w:r w:rsidRPr="00DA0A3C">
        <w:t>53.860(a)) and protection against DBT of radiological sabotage, including RFCs on scenarios that might arise, need for additional rule language or guidance, and EPZ sizing</w:t>
      </w:r>
    </w:p>
    <w:p w:rsidR="007F112A" w:rsidRPr="004045D1" w:rsidP="004045D1" w14:paraId="564D634D" w14:textId="77777777">
      <w:pPr>
        <w:spacing w:after="220"/>
        <w:rPr>
          <w:rFonts w:ascii="Arial" w:eastAsia="Times New Roman" w:hAnsi="Arial" w:cs="Arial"/>
          <w:color w:val="000000"/>
          <w:sz w:val="22"/>
          <w:szCs w:val="22"/>
          <w:lang w:eastAsia="zh-CN"/>
        </w:rPr>
      </w:pPr>
      <w:r w:rsidRPr="004045D1">
        <w:rPr>
          <w:rFonts w:ascii="Arial" w:eastAsia="DengXian" w:hAnsi="Arial" w:cs="Arial"/>
          <w:b/>
          <w:sz w:val="22"/>
          <w:szCs w:val="22"/>
        </w:rPr>
        <w:t>Comment Bin 3.6.3.1.A:</w:t>
      </w:r>
      <w:r w:rsidRPr="004045D1">
        <w:rPr>
          <w:rFonts w:ascii="Arial" w:eastAsia="DengXian" w:hAnsi="Arial" w:cs="Arial"/>
          <w:sz w:val="22"/>
          <w:szCs w:val="22"/>
        </w:rPr>
        <w:t xml:space="preserve"> </w:t>
      </w:r>
      <w:r w:rsidRPr="004045D1">
        <w:rPr>
          <w:rFonts w:ascii="Arial" w:hAnsi="Arial" w:cs="Arial"/>
          <w:sz w:val="22"/>
          <w:szCs w:val="22"/>
        </w:rPr>
        <w:t>A commenter wrote that 10 CFR 53.855 does not appear to require any actual funded emergency response organization. In 10 CFR 53.860(a)(2)(ii), the commenter recommended changing “permanent removal of fuel from the reactor vessel” to “permanent removal of fuel from the reactor vessel site” (</w:t>
      </w:r>
      <w:r w:rsidRPr="002F66D1" w:rsidR="002F66D1">
        <w:rPr>
          <w:rFonts w:ascii="Arial" w:eastAsia="Times New Roman" w:hAnsi="Arial" w:cs="Arial"/>
          <w:color w:val="000000"/>
          <w:sz w:val="22"/>
          <w:szCs w:val="22"/>
        </w:rPr>
        <w:t>TG11</w:t>
      </w:r>
      <w:r w:rsidRPr="004045D1">
        <w:rPr>
          <w:rFonts w:ascii="Arial" w:hAnsi="Arial" w:cs="Arial"/>
          <w:sz w:val="22"/>
          <w:szCs w:val="22"/>
        </w:rPr>
        <w:t>-0001). </w:t>
      </w:r>
    </w:p>
    <w:p w:rsidR="007F112A" w:rsidRPr="004045D1" w:rsidP="004045D1" w14:paraId="71E776AF" w14:textId="77777777">
      <w:pPr>
        <w:tabs>
          <w:tab w:val="left" w:pos="2550"/>
        </w:tabs>
        <w:spacing w:after="220"/>
        <w:rPr>
          <w:rFonts w:ascii="Arial" w:hAnsi="Arial" w:cs="Arial"/>
          <w:sz w:val="22"/>
          <w:szCs w:val="22"/>
        </w:rPr>
      </w:pPr>
      <w:r w:rsidRPr="004045D1">
        <w:rPr>
          <w:rFonts w:ascii="Arial" w:eastAsia="DengXian" w:hAnsi="Arial" w:cs="Arial"/>
          <w:b/>
          <w:sz w:val="22"/>
          <w:szCs w:val="22"/>
        </w:rPr>
        <w:t>NRC Response:</w:t>
      </w:r>
      <w:r w:rsidRPr="004045D1">
        <w:rPr>
          <w:rFonts w:ascii="Arial" w:eastAsia="DengXian" w:hAnsi="Arial" w:cs="Arial"/>
          <w:sz w:val="22"/>
          <w:szCs w:val="22"/>
        </w:rPr>
        <w:t xml:space="preserve"> </w:t>
      </w:r>
      <w:r w:rsidRPr="004045D1">
        <w:rPr>
          <w:rFonts w:ascii="Arial" w:hAnsi="Arial" w:cs="Arial"/>
          <w:sz w:val="22"/>
          <w:szCs w:val="22"/>
        </w:rPr>
        <w:t xml:space="preserve">The NRC believes the comment intended to reference offsite emergency response organizations when referring to emergency response organizations. The NRC agrees that 10 CFR 53.855 does not require </w:t>
      </w:r>
      <w:r w:rsidRPr="004045D1" w:rsidR="0C209322">
        <w:rPr>
          <w:rFonts w:ascii="Arial" w:hAnsi="Arial" w:cs="Arial"/>
          <w:sz w:val="22"/>
          <w:szCs w:val="22"/>
        </w:rPr>
        <w:t>NRC</w:t>
      </w:r>
      <w:r w:rsidRPr="004045D1" w:rsidR="5FD31E17">
        <w:rPr>
          <w:rFonts w:ascii="Arial" w:hAnsi="Arial" w:cs="Arial"/>
          <w:sz w:val="22"/>
          <w:szCs w:val="22"/>
        </w:rPr>
        <w:t xml:space="preserve"> licensees to </w:t>
      </w:r>
      <w:r w:rsidRPr="004045D1">
        <w:rPr>
          <w:rFonts w:ascii="Arial" w:hAnsi="Arial" w:cs="Arial"/>
          <w:sz w:val="22"/>
          <w:szCs w:val="22"/>
        </w:rPr>
        <w:t xml:space="preserve">fund offsite emergency response organizations. Funding of offsite emergency preparedness is outside the NRC’s regulatory purview. Any such activities would result from an arrangement between the licensee and </w:t>
      </w:r>
      <w:r w:rsidRPr="004045D1" w:rsidR="02C37CC2">
        <w:rPr>
          <w:rFonts w:ascii="Arial" w:hAnsi="Arial" w:cs="Arial"/>
          <w:sz w:val="22"/>
          <w:szCs w:val="22"/>
        </w:rPr>
        <w:t>S</w:t>
      </w:r>
      <w:r w:rsidRPr="004045D1" w:rsidR="6AB8BABB">
        <w:rPr>
          <w:rFonts w:ascii="Arial" w:hAnsi="Arial" w:cs="Arial"/>
          <w:sz w:val="22"/>
          <w:szCs w:val="22"/>
        </w:rPr>
        <w:t>tate</w:t>
      </w:r>
      <w:r w:rsidRPr="004045D1" w:rsidR="2E76842E">
        <w:rPr>
          <w:rFonts w:ascii="Arial" w:hAnsi="Arial" w:cs="Arial"/>
          <w:sz w:val="22"/>
          <w:szCs w:val="22"/>
        </w:rPr>
        <w:t xml:space="preserve"> and</w:t>
      </w:r>
      <w:r w:rsidRPr="004045D1">
        <w:rPr>
          <w:rFonts w:ascii="Arial" w:hAnsi="Arial" w:cs="Arial"/>
          <w:sz w:val="22"/>
          <w:szCs w:val="22"/>
        </w:rPr>
        <w:t xml:space="preserve"> local authorities.</w:t>
      </w:r>
      <w:r w:rsidRPr="004045D1">
        <w:rPr>
          <w:rFonts w:ascii="Arial" w:eastAsia="Arial" w:hAnsi="Arial" w:cs="Arial"/>
          <w:color w:val="000000" w:themeColor="text1"/>
          <w:sz w:val="22"/>
          <w:szCs w:val="22"/>
        </w:rPr>
        <w:t xml:space="preserve"> Communities that have one or more commercial interests that pose risk to the public (e.g., fires, gas leaks) have developed emergency plans to maintain the safety of the public. Comprehensive Preparedness Guide 101, “Developing and Maintaining Emergency Operations Plans,” </w:t>
      </w:r>
      <w:r w:rsidRPr="004045D1" w:rsidR="00B31CDF">
        <w:rPr>
          <w:rFonts w:ascii="Arial" w:eastAsia="Arial" w:hAnsi="Arial" w:cs="Arial"/>
          <w:color w:val="000000" w:themeColor="text1"/>
          <w:sz w:val="22"/>
          <w:szCs w:val="22"/>
        </w:rPr>
        <w:t xml:space="preserve">issued November 2010, </w:t>
      </w:r>
      <w:r w:rsidRPr="004045D1">
        <w:rPr>
          <w:rFonts w:ascii="Arial" w:eastAsia="Arial" w:hAnsi="Arial" w:cs="Arial"/>
          <w:color w:val="000000" w:themeColor="text1"/>
          <w:sz w:val="22"/>
          <w:szCs w:val="22"/>
        </w:rPr>
        <w:t>provides the tools and guidance to develop all-hazards emergency response plans with funding typically provided from Federal Emergency Management Agency (FEMA) Stafford Act funding, local taxes, or both.</w:t>
      </w:r>
    </w:p>
    <w:p w:rsidR="008A1939" w:rsidRPr="004045D1" w:rsidP="004045D1" w14:paraId="57C0FF20" w14:textId="77777777">
      <w:pPr>
        <w:spacing w:after="220"/>
        <w:rPr>
          <w:rFonts w:ascii="Arial" w:hAnsi="Arial" w:cs="Arial"/>
          <w:sz w:val="22"/>
          <w:szCs w:val="22"/>
        </w:rPr>
      </w:pPr>
      <w:r w:rsidRPr="004045D1">
        <w:rPr>
          <w:rFonts w:ascii="Arial" w:hAnsi="Arial" w:cs="Arial"/>
          <w:sz w:val="22"/>
          <w:szCs w:val="22"/>
        </w:rPr>
        <w:t xml:space="preserve">Regarding the suggested change to </w:t>
      </w:r>
      <w:r w:rsidRPr="004045D1" w:rsidR="00AB30B3">
        <w:rPr>
          <w:rFonts w:ascii="Arial" w:hAnsi="Arial" w:cs="Arial"/>
          <w:sz w:val="22"/>
          <w:szCs w:val="22"/>
        </w:rPr>
        <w:t xml:space="preserve">proposed </w:t>
      </w:r>
      <w:r w:rsidRPr="004045D1" w:rsidR="00026760">
        <w:rPr>
          <w:rFonts w:ascii="Arial" w:hAnsi="Arial" w:cs="Arial"/>
          <w:sz w:val="22"/>
          <w:szCs w:val="22"/>
        </w:rPr>
        <w:t>10 CFR</w:t>
      </w:r>
      <w:r w:rsidRPr="004045D1" w:rsidR="007F112A">
        <w:rPr>
          <w:rFonts w:ascii="Arial" w:hAnsi="Arial" w:cs="Arial"/>
          <w:sz w:val="22"/>
          <w:szCs w:val="22"/>
        </w:rPr>
        <w:t xml:space="preserve"> 53.860(a)(2)(ii)</w:t>
      </w:r>
      <w:r w:rsidRPr="004045D1" w:rsidR="00026760">
        <w:rPr>
          <w:rFonts w:ascii="Arial" w:hAnsi="Arial" w:cs="Arial"/>
          <w:sz w:val="22"/>
          <w:szCs w:val="22"/>
        </w:rPr>
        <w:t>,</w:t>
      </w:r>
      <w:r w:rsidRPr="004045D1" w:rsidR="007F112A">
        <w:rPr>
          <w:rFonts w:ascii="Arial" w:hAnsi="Arial" w:cs="Arial"/>
          <w:sz w:val="22"/>
          <w:szCs w:val="22"/>
        </w:rPr>
        <w:t xml:space="preserve"> </w:t>
      </w:r>
      <w:r w:rsidRPr="004045D1" w:rsidR="00026760">
        <w:rPr>
          <w:rFonts w:ascii="Arial" w:hAnsi="Arial" w:cs="Arial"/>
          <w:sz w:val="22"/>
          <w:szCs w:val="22"/>
        </w:rPr>
        <w:t>the NRC</w:t>
      </w:r>
      <w:r w:rsidRPr="004045D1" w:rsidR="00AB30B3">
        <w:rPr>
          <w:rFonts w:ascii="Arial" w:hAnsi="Arial" w:cs="Arial"/>
          <w:sz w:val="22"/>
          <w:szCs w:val="22"/>
        </w:rPr>
        <w:t xml:space="preserve"> has removed </w:t>
      </w:r>
      <w:r w:rsidRPr="004045D1" w:rsidR="007D783E">
        <w:rPr>
          <w:rFonts w:ascii="Arial" w:hAnsi="Arial" w:cs="Arial"/>
          <w:sz w:val="22"/>
          <w:szCs w:val="22"/>
        </w:rPr>
        <w:t xml:space="preserve">proposed 10 CFR 53.860(a)(2)(i) and (ii) </w:t>
      </w:r>
      <w:r w:rsidRPr="004045D1" w:rsidR="00F94BF3">
        <w:rPr>
          <w:rFonts w:ascii="Arial" w:hAnsi="Arial" w:cs="Arial"/>
          <w:sz w:val="22"/>
          <w:szCs w:val="22"/>
        </w:rPr>
        <w:t>from the final rule</w:t>
      </w:r>
      <w:r w:rsidRPr="004045D1" w:rsidR="00180987">
        <w:rPr>
          <w:rFonts w:ascii="Arial" w:hAnsi="Arial" w:cs="Arial"/>
          <w:sz w:val="22"/>
          <w:szCs w:val="22"/>
        </w:rPr>
        <w:t xml:space="preserve">. See the </w:t>
      </w:r>
      <w:r w:rsidR="00FE2B0B">
        <w:rPr>
          <w:rFonts w:ascii="Arial" w:hAnsi="Arial" w:cs="Arial"/>
          <w:sz w:val="22"/>
          <w:szCs w:val="22"/>
        </w:rPr>
        <w:t xml:space="preserve">NRC’s </w:t>
      </w:r>
      <w:r w:rsidRPr="004045D1" w:rsidR="00180987">
        <w:rPr>
          <w:rFonts w:ascii="Arial" w:hAnsi="Arial" w:cs="Arial"/>
          <w:sz w:val="22"/>
          <w:szCs w:val="22"/>
        </w:rPr>
        <w:t xml:space="preserve">response to </w:t>
      </w:r>
      <w:r w:rsidRPr="004045D1" w:rsidR="00350172">
        <w:rPr>
          <w:rFonts w:ascii="Arial" w:hAnsi="Arial" w:cs="Arial"/>
          <w:sz w:val="22"/>
          <w:szCs w:val="22"/>
        </w:rPr>
        <w:t>C</w:t>
      </w:r>
      <w:r w:rsidRPr="004045D1" w:rsidR="00180987">
        <w:rPr>
          <w:rFonts w:ascii="Arial" w:hAnsi="Arial" w:cs="Arial"/>
          <w:sz w:val="22"/>
          <w:szCs w:val="22"/>
        </w:rPr>
        <w:t>omment</w:t>
      </w:r>
      <w:r w:rsidRPr="004045D1" w:rsidR="00350172">
        <w:rPr>
          <w:rFonts w:ascii="Arial" w:hAnsi="Arial" w:cs="Arial"/>
          <w:sz w:val="22"/>
          <w:szCs w:val="22"/>
        </w:rPr>
        <w:t xml:space="preserve"> Bin</w:t>
      </w:r>
      <w:r w:rsidRPr="004045D1" w:rsidR="00E21309">
        <w:rPr>
          <w:rFonts w:ascii="Arial" w:hAnsi="Arial" w:cs="Arial"/>
          <w:sz w:val="22"/>
          <w:szCs w:val="22"/>
        </w:rPr>
        <w:t xml:space="preserve"> 3.6.3.3</w:t>
      </w:r>
      <w:r w:rsidRPr="004045D1" w:rsidR="00350172">
        <w:rPr>
          <w:rFonts w:ascii="Arial" w:hAnsi="Arial" w:cs="Arial"/>
          <w:sz w:val="22"/>
          <w:szCs w:val="22"/>
        </w:rPr>
        <w:t>.C</w:t>
      </w:r>
      <w:r w:rsidRPr="004045D1" w:rsidR="00E21309">
        <w:rPr>
          <w:rFonts w:ascii="Arial" w:hAnsi="Arial" w:cs="Arial"/>
          <w:sz w:val="22"/>
          <w:szCs w:val="22"/>
        </w:rPr>
        <w:t>.</w:t>
      </w:r>
    </w:p>
    <w:p w:rsidR="007F112A" w:rsidRPr="00790A87" w:rsidP="004045D1" w14:paraId="220849AA" w14:textId="77777777">
      <w:pPr>
        <w:spacing w:after="220"/>
        <w:rPr>
          <w:rFonts w:ascii="Arial" w:hAnsi="Arial" w:cs="Arial"/>
          <w:sz w:val="22"/>
          <w:szCs w:val="22"/>
        </w:rPr>
      </w:pPr>
      <w:r w:rsidRPr="004045D1">
        <w:rPr>
          <w:rFonts w:ascii="Arial" w:hAnsi="Arial" w:cs="Arial"/>
          <w:sz w:val="22"/>
          <w:szCs w:val="22"/>
        </w:rPr>
        <w:t>Accordingly, the NRC did not change the rule language in response to this comment.</w:t>
      </w:r>
    </w:p>
    <w:p w:rsidR="004045D1" w:rsidRPr="00790A87" w:rsidP="004045D1" w14:paraId="32FECCD6" w14:textId="77777777">
      <w:pPr>
        <w:spacing w:after="220"/>
        <w:rPr>
          <w:rFonts w:ascii="Arial" w:hAnsi="Arial" w:cs="Arial"/>
          <w:sz w:val="22"/>
          <w:szCs w:val="22"/>
        </w:rPr>
      </w:pPr>
      <w:r>
        <w:rPr>
          <w:rFonts w:ascii="Arial" w:eastAsia="Times New Roman" w:hAnsi="Arial" w:cs="Arial"/>
          <w:sz w:val="22"/>
          <w:szCs w:val="22"/>
          <w:lang w:eastAsia="zh-CN"/>
        </w:rPr>
        <w:pict>
          <v:rect id="_x0000_i1206" style="width:0;height:1.5pt" o:hralign="center" o:hrstd="t" o:hrnoshade="t" o:hr="t" fillcolor="black" stroked="f"/>
        </w:pict>
      </w:r>
    </w:p>
    <w:p w:rsidR="007F112A" w:rsidRPr="004045D1" w:rsidP="004045D1" w14:paraId="7404EB8E" w14:textId="77777777">
      <w:pPr>
        <w:spacing w:after="220"/>
        <w:rPr>
          <w:rFonts w:ascii="Arial" w:eastAsia="Times New Roman" w:hAnsi="Arial" w:cs="Arial"/>
          <w:color w:val="000000"/>
          <w:sz w:val="22"/>
          <w:szCs w:val="22"/>
          <w:lang w:eastAsia="zh-CN"/>
        </w:rPr>
      </w:pPr>
      <w:r w:rsidRPr="004045D1">
        <w:rPr>
          <w:rFonts w:ascii="Arial" w:eastAsia="DengXian" w:hAnsi="Arial" w:cs="Arial"/>
          <w:b/>
          <w:sz w:val="22"/>
          <w:szCs w:val="22"/>
        </w:rPr>
        <w:t>Comment Bin 3.6.3.1.B:</w:t>
      </w:r>
      <w:r w:rsidRPr="004045D1">
        <w:rPr>
          <w:rFonts w:ascii="Arial" w:eastAsia="DengXian" w:hAnsi="Arial" w:cs="Arial"/>
          <w:sz w:val="22"/>
          <w:szCs w:val="22"/>
        </w:rPr>
        <w:t xml:space="preserve"> </w:t>
      </w:r>
      <w:r w:rsidRPr="004045D1">
        <w:rPr>
          <w:rFonts w:ascii="Arial" w:hAnsi="Arial" w:cs="Arial"/>
          <w:sz w:val="22"/>
          <w:szCs w:val="22"/>
        </w:rPr>
        <w:t>A commenter stated that emergency response to significant catastrophic events is far beyond the capabilities, procedures, understanding, and abilities of any one owner</w:t>
      </w:r>
      <w:r w:rsidRPr="004045D1" w:rsidR="005721A0">
        <w:rPr>
          <w:rFonts w:ascii="Arial" w:hAnsi="Arial" w:cs="Arial"/>
          <w:sz w:val="22"/>
          <w:szCs w:val="22"/>
        </w:rPr>
        <w:t xml:space="preserve">, </w:t>
      </w:r>
      <w:r w:rsidRPr="004045D1">
        <w:rPr>
          <w:rFonts w:ascii="Arial" w:hAnsi="Arial" w:cs="Arial"/>
          <w:sz w:val="22"/>
          <w:szCs w:val="22"/>
        </w:rPr>
        <w:t>operator</w:t>
      </w:r>
      <w:r w:rsidRPr="004045D1" w:rsidR="005721A0">
        <w:rPr>
          <w:rFonts w:ascii="Arial" w:hAnsi="Arial" w:cs="Arial"/>
          <w:sz w:val="22"/>
          <w:szCs w:val="22"/>
        </w:rPr>
        <w:t xml:space="preserve">, or </w:t>
      </w:r>
      <w:r w:rsidRPr="004045D1">
        <w:rPr>
          <w:rFonts w:ascii="Arial" w:hAnsi="Arial" w:cs="Arial"/>
          <w:sz w:val="22"/>
          <w:szCs w:val="22"/>
        </w:rPr>
        <w:t xml:space="preserve">State and should recognize the need for coordinated and comprehensive action at the national level. The commenter wrote that proposed emergency response regulations are not sufficient because “defenses, barriers, protocols” can become overwhelmed. The commenter argued that in an emergency, the real issue is to define who holds decision-making power and what resources can be brought to control the situation. The commenter wrote that this calls for integrated technical responses with transparent decision-making, communication, and command structure. The commenter </w:t>
      </w:r>
      <w:r w:rsidRPr="004045D1" w:rsidR="00355109">
        <w:rPr>
          <w:rFonts w:ascii="Arial" w:hAnsi="Arial" w:cs="Arial"/>
          <w:sz w:val="22"/>
          <w:szCs w:val="22"/>
        </w:rPr>
        <w:t>said</w:t>
      </w:r>
      <w:r w:rsidRPr="004045D1">
        <w:rPr>
          <w:rFonts w:ascii="Arial" w:hAnsi="Arial" w:cs="Arial"/>
          <w:sz w:val="22"/>
          <w:szCs w:val="22"/>
        </w:rPr>
        <w:t xml:space="preserve"> that risk-informed decision</w:t>
      </w:r>
      <w:r w:rsidR="00923E71">
        <w:rPr>
          <w:rFonts w:ascii="Arial" w:hAnsi="Arial" w:cs="Arial"/>
          <w:sz w:val="22"/>
          <w:szCs w:val="22"/>
        </w:rPr>
        <w:t>-</w:t>
      </w:r>
      <w:r w:rsidRPr="004045D1">
        <w:rPr>
          <w:rFonts w:ascii="Arial" w:hAnsi="Arial" w:cs="Arial"/>
          <w:sz w:val="22"/>
          <w:szCs w:val="22"/>
        </w:rPr>
        <w:t>making can help in defining and analyzing relative risk and promoting effective actions. The commenter recommended revising emergency planning requirements so that there is a coherent national response plan that involves all government bodies and national resources. The commenter referenced several emergency planning requirements in the proposed rule without proposing specific changes to the requirements. The commenter recommended that the response plan should have a situation room and central national emergency facility staffed by the NRC and other key governmental bodies like the Department of Defense, Department of Homeland Security, and FEMA (</w:t>
      </w:r>
      <w:r w:rsidR="00A02F0C">
        <w:rPr>
          <w:rFonts w:ascii="Arial" w:hAnsi="Arial" w:cs="Arial"/>
          <w:sz w:val="22"/>
          <w:szCs w:val="22"/>
        </w:rPr>
        <w:t>RD</w:t>
      </w:r>
      <w:r w:rsidRPr="004045D1">
        <w:rPr>
          <w:rFonts w:ascii="Arial" w:hAnsi="Arial" w:cs="Arial"/>
          <w:sz w:val="22"/>
          <w:szCs w:val="22"/>
        </w:rPr>
        <w:t>-0015).</w:t>
      </w:r>
    </w:p>
    <w:p w:rsidR="007F112A" w:rsidRPr="004045D1" w:rsidP="004045D1" w14:paraId="7BCDA12A" w14:textId="77777777">
      <w:pPr>
        <w:spacing w:after="220"/>
        <w:rPr>
          <w:rFonts w:ascii="Arial" w:hAnsi="Arial" w:cs="Arial"/>
          <w:sz w:val="22"/>
          <w:szCs w:val="22"/>
        </w:rPr>
      </w:pPr>
      <w:r w:rsidRPr="004045D1">
        <w:rPr>
          <w:rFonts w:ascii="Arial" w:eastAsia="DengXian" w:hAnsi="Arial" w:cs="Arial"/>
          <w:b/>
          <w:sz w:val="22"/>
          <w:szCs w:val="22"/>
        </w:rPr>
        <w:t>NRC Response:</w:t>
      </w:r>
      <w:r w:rsidRPr="004045D1">
        <w:rPr>
          <w:rFonts w:ascii="Arial" w:eastAsia="DengXian" w:hAnsi="Arial" w:cs="Arial"/>
          <w:sz w:val="22"/>
          <w:szCs w:val="22"/>
        </w:rPr>
        <w:t xml:space="preserve"> </w:t>
      </w:r>
      <w:r w:rsidRPr="004045D1">
        <w:rPr>
          <w:rFonts w:ascii="Arial" w:hAnsi="Arial" w:cs="Arial"/>
          <w:sz w:val="22"/>
          <w:szCs w:val="22"/>
        </w:rPr>
        <w:t xml:space="preserve">The NRC agrees, in part, with </w:t>
      </w:r>
      <w:r w:rsidR="00C02D01">
        <w:rPr>
          <w:rFonts w:ascii="Arial" w:hAnsi="Arial" w:cs="Arial"/>
          <w:sz w:val="22"/>
          <w:szCs w:val="22"/>
        </w:rPr>
        <w:t>the</w:t>
      </w:r>
      <w:r w:rsidRPr="004045D1">
        <w:rPr>
          <w:rFonts w:ascii="Arial" w:hAnsi="Arial" w:cs="Arial"/>
          <w:sz w:val="22"/>
          <w:szCs w:val="22"/>
        </w:rPr>
        <w:t xml:space="preserve"> comment.</w:t>
      </w:r>
    </w:p>
    <w:p w:rsidR="007F112A" w:rsidRPr="004045D1" w:rsidP="004045D1" w14:paraId="1AACCEC2" w14:textId="77777777">
      <w:pPr>
        <w:spacing w:after="220"/>
        <w:rPr>
          <w:rFonts w:ascii="Arial" w:hAnsi="Arial" w:cs="Arial"/>
          <w:sz w:val="22"/>
          <w:szCs w:val="22"/>
        </w:rPr>
      </w:pPr>
      <w:r w:rsidRPr="004045D1">
        <w:rPr>
          <w:rFonts w:ascii="Arial" w:hAnsi="Arial" w:cs="Arial"/>
          <w:sz w:val="22"/>
          <w:szCs w:val="22"/>
        </w:rPr>
        <w:t xml:space="preserve">The NRC agrees that a significant nuclear reactor event could quickly become a national event exceeding the capabilities of a licensee. However, the NRC disagrees that emergency planning requirements should be revised to include a coherent national response plan involving government bodies, national resources, </w:t>
      </w:r>
      <w:r w:rsidR="001F0F55">
        <w:rPr>
          <w:rFonts w:ascii="Arial" w:hAnsi="Arial" w:cs="Arial"/>
          <w:sz w:val="22"/>
          <w:szCs w:val="22"/>
        </w:rPr>
        <w:t xml:space="preserve">a </w:t>
      </w:r>
      <w:r w:rsidRPr="004045D1">
        <w:rPr>
          <w:rFonts w:ascii="Arial" w:hAnsi="Arial" w:cs="Arial"/>
          <w:sz w:val="22"/>
          <w:szCs w:val="22"/>
        </w:rPr>
        <w:t>situation room</w:t>
      </w:r>
      <w:r w:rsidRPr="004045D1" w:rsidR="00052F3C">
        <w:rPr>
          <w:rFonts w:ascii="Arial" w:hAnsi="Arial" w:cs="Arial"/>
          <w:sz w:val="22"/>
          <w:szCs w:val="22"/>
        </w:rPr>
        <w:t>,</w:t>
      </w:r>
      <w:r w:rsidRPr="004045D1">
        <w:rPr>
          <w:rFonts w:ascii="Arial" w:hAnsi="Arial" w:cs="Arial"/>
          <w:sz w:val="22"/>
          <w:szCs w:val="22"/>
        </w:rPr>
        <w:t xml:space="preserve"> and </w:t>
      </w:r>
      <w:r w:rsidR="001F0F55">
        <w:rPr>
          <w:rFonts w:ascii="Arial" w:hAnsi="Arial" w:cs="Arial"/>
          <w:sz w:val="22"/>
          <w:szCs w:val="22"/>
        </w:rPr>
        <w:t xml:space="preserve">a </w:t>
      </w:r>
      <w:r w:rsidRPr="004045D1">
        <w:rPr>
          <w:rFonts w:ascii="Arial" w:hAnsi="Arial" w:cs="Arial"/>
          <w:sz w:val="22"/>
          <w:szCs w:val="22"/>
        </w:rPr>
        <w:t>central national emergency facility staffed by the NRC and other key governmental bodies like the Department of Defense, Department of Homeland Security, and FEMA.</w:t>
      </w:r>
    </w:p>
    <w:p w:rsidR="007F112A" w:rsidRPr="004045D1" w:rsidP="004045D1" w14:paraId="72849DBF" w14:textId="77777777">
      <w:pPr>
        <w:spacing w:after="220"/>
        <w:rPr>
          <w:rFonts w:ascii="Arial" w:hAnsi="Arial" w:cs="Arial"/>
          <w:sz w:val="22"/>
          <w:szCs w:val="22"/>
        </w:rPr>
      </w:pPr>
      <w:r w:rsidRPr="004045D1">
        <w:rPr>
          <w:rFonts w:ascii="Arial" w:hAnsi="Arial" w:cs="Arial"/>
          <w:sz w:val="22"/>
          <w:szCs w:val="22"/>
        </w:rPr>
        <w:t xml:space="preserve">The commenter’s concerns are addressed in the Federal Government’s National Preparedness System (NPS). The NPS was created to develop a scalable </w:t>
      </w:r>
      <w:r w:rsidRPr="004045D1" w:rsidR="007A543D">
        <w:rPr>
          <w:rFonts w:ascii="Arial" w:hAnsi="Arial" w:cs="Arial"/>
          <w:sz w:val="22"/>
          <w:szCs w:val="22"/>
        </w:rPr>
        <w:t>F</w:t>
      </w:r>
      <w:r w:rsidRPr="004045D1">
        <w:rPr>
          <w:rFonts w:ascii="Arial" w:hAnsi="Arial" w:cs="Arial"/>
          <w:sz w:val="22"/>
          <w:szCs w:val="22"/>
        </w:rPr>
        <w:t xml:space="preserve">ederal </w:t>
      </w:r>
      <w:r w:rsidR="002D2C0C">
        <w:rPr>
          <w:rFonts w:ascii="Arial" w:hAnsi="Arial" w:cs="Arial"/>
          <w:sz w:val="22"/>
          <w:szCs w:val="22"/>
        </w:rPr>
        <w:t>emergency</w:t>
      </w:r>
      <w:r w:rsidRPr="004045D1">
        <w:rPr>
          <w:rFonts w:ascii="Arial" w:hAnsi="Arial" w:cs="Arial"/>
          <w:sz w:val="22"/>
          <w:szCs w:val="22"/>
        </w:rPr>
        <w:t xml:space="preserve"> response that provides a means to make available additional resources in support of </w:t>
      </w:r>
      <w:r w:rsidRPr="004045D1" w:rsidR="006C2A91">
        <w:rPr>
          <w:rFonts w:ascii="Arial" w:hAnsi="Arial" w:cs="Arial"/>
          <w:sz w:val="22"/>
          <w:szCs w:val="22"/>
        </w:rPr>
        <w:t>S</w:t>
      </w:r>
      <w:r w:rsidRPr="004045D1">
        <w:rPr>
          <w:rFonts w:ascii="Arial" w:hAnsi="Arial" w:cs="Arial"/>
          <w:sz w:val="22"/>
          <w:szCs w:val="22"/>
        </w:rPr>
        <w:t xml:space="preserve">tate and local emergency response if they become overwhelmed. The NPS is supported by the national response framework (NRF) established by Presidential Policy Directive 8, “National Preparedness,” dated March 30, 2011. The NRF is designed to be scalable and manage the consequences of incidents at the lowest possible, </w:t>
      </w:r>
      <w:r w:rsidRPr="004045D1" w:rsidR="007D7E55">
        <w:rPr>
          <w:rFonts w:ascii="Arial" w:hAnsi="Arial" w:cs="Arial"/>
          <w:sz w:val="22"/>
          <w:szCs w:val="22"/>
        </w:rPr>
        <w:t>S</w:t>
      </w:r>
      <w:r w:rsidRPr="004045D1">
        <w:rPr>
          <w:rFonts w:ascii="Arial" w:hAnsi="Arial" w:cs="Arial"/>
          <w:sz w:val="22"/>
          <w:szCs w:val="22"/>
        </w:rPr>
        <w:t xml:space="preserve">tate, </w:t>
      </w:r>
      <w:r w:rsidRPr="004045D1" w:rsidR="007D7E55">
        <w:rPr>
          <w:rFonts w:ascii="Arial" w:hAnsi="Arial" w:cs="Arial"/>
          <w:sz w:val="22"/>
          <w:szCs w:val="22"/>
        </w:rPr>
        <w:t>T</w:t>
      </w:r>
      <w:r w:rsidRPr="004045D1">
        <w:rPr>
          <w:rFonts w:ascii="Arial" w:hAnsi="Arial" w:cs="Arial"/>
          <w:sz w:val="22"/>
          <w:szCs w:val="22"/>
        </w:rPr>
        <w:t>ribal</w:t>
      </w:r>
      <w:r w:rsidRPr="004045D1" w:rsidR="00EA688C">
        <w:rPr>
          <w:rFonts w:ascii="Arial" w:hAnsi="Arial" w:cs="Arial"/>
          <w:sz w:val="22"/>
          <w:szCs w:val="22"/>
        </w:rPr>
        <w:t>,</w:t>
      </w:r>
      <w:r w:rsidRPr="004045D1">
        <w:rPr>
          <w:rFonts w:ascii="Arial" w:hAnsi="Arial" w:cs="Arial"/>
          <w:sz w:val="22"/>
          <w:szCs w:val="22"/>
        </w:rPr>
        <w:t xml:space="preserve"> or local level response. The NRF is supported by Federal Interagency Operational Plans (FIOPs). FIOPs describe how the Federal Government aligns resources and delivers core capabilities. FIOPs are supported by incident annexes, one of which is the nuclear/radiological incidents annex (NRIA). The </w:t>
      </w:r>
      <w:r w:rsidR="00B15231">
        <w:rPr>
          <w:rFonts w:ascii="Arial" w:hAnsi="Arial" w:cs="Arial"/>
          <w:sz w:val="22"/>
          <w:szCs w:val="22"/>
        </w:rPr>
        <w:t>“Nuclear Radiological Inc</w:t>
      </w:r>
      <w:r w:rsidR="00BD5212">
        <w:rPr>
          <w:rFonts w:ascii="Arial" w:hAnsi="Arial" w:cs="Arial"/>
          <w:sz w:val="22"/>
          <w:szCs w:val="22"/>
        </w:rPr>
        <w:t>i</w:t>
      </w:r>
      <w:r w:rsidR="00B15231">
        <w:rPr>
          <w:rFonts w:ascii="Arial" w:hAnsi="Arial" w:cs="Arial"/>
          <w:sz w:val="22"/>
          <w:szCs w:val="22"/>
        </w:rPr>
        <w:t>dent Annex to the Response and Recovery Federal Interagency Operational Plan,” issued May 2023,</w:t>
      </w:r>
      <w:r w:rsidRPr="004045D1">
        <w:rPr>
          <w:rFonts w:ascii="Arial" w:hAnsi="Arial" w:cs="Arial"/>
          <w:sz w:val="22"/>
          <w:szCs w:val="22"/>
        </w:rPr>
        <w:t xml:space="preserve"> describes the policies, situations, concepts of operations, and responsibilities of key </w:t>
      </w:r>
      <w:r w:rsidRPr="004045D1" w:rsidR="00CE24E4">
        <w:rPr>
          <w:rFonts w:ascii="Arial" w:hAnsi="Arial" w:cs="Arial"/>
          <w:sz w:val="22"/>
          <w:szCs w:val="22"/>
        </w:rPr>
        <w:t>F</w:t>
      </w:r>
      <w:r w:rsidRPr="004045D1">
        <w:rPr>
          <w:rFonts w:ascii="Arial" w:hAnsi="Arial" w:cs="Arial"/>
          <w:sz w:val="22"/>
          <w:szCs w:val="22"/>
        </w:rPr>
        <w:t xml:space="preserve">ederal radiological resources and assets governing the early, immediate, and late phases of response for incidents involving the release of radioactive materials. FIOPs describe the </w:t>
      </w:r>
      <w:r w:rsidRPr="004045D1" w:rsidR="00CE24E4">
        <w:rPr>
          <w:rFonts w:ascii="Arial" w:hAnsi="Arial" w:cs="Arial"/>
          <w:sz w:val="22"/>
          <w:szCs w:val="22"/>
        </w:rPr>
        <w:t>F</w:t>
      </w:r>
      <w:r w:rsidRPr="004045D1">
        <w:rPr>
          <w:rFonts w:ascii="Arial" w:hAnsi="Arial" w:cs="Arial"/>
          <w:sz w:val="22"/>
          <w:szCs w:val="22"/>
        </w:rPr>
        <w:t>ederal response and support as incidents change in size, scope, and complexity.</w:t>
      </w:r>
    </w:p>
    <w:p w:rsidR="007F112A" w:rsidRPr="004045D1" w:rsidP="004045D1" w14:paraId="64A4AE35" w14:textId="77777777">
      <w:pPr>
        <w:spacing w:after="220"/>
        <w:rPr>
          <w:rFonts w:ascii="Arial" w:hAnsi="Arial" w:cs="Arial"/>
          <w:sz w:val="22"/>
          <w:szCs w:val="22"/>
        </w:rPr>
      </w:pPr>
      <w:r w:rsidRPr="004045D1">
        <w:rPr>
          <w:rFonts w:ascii="Arial" w:hAnsi="Arial" w:cs="Arial"/>
          <w:sz w:val="22"/>
          <w:szCs w:val="22"/>
        </w:rPr>
        <w:t>For incidents involving fixed nuclear/radiological facilities</w:t>
      </w:r>
      <w:r w:rsidR="00F85A46">
        <w:rPr>
          <w:rFonts w:ascii="Arial" w:hAnsi="Arial" w:cs="Arial"/>
          <w:sz w:val="22"/>
          <w:szCs w:val="22"/>
        </w:rPr>
        <w:t>,</w:t>
      </w:r>
      <w:r w:rsidRPr="004045D1">
        <w:rPr>
          <w:rFonts w:ascii="Arial" w:hAnsi="Arial" w:cs="Arial"/>
          <w:sz w:val="22"/>
          <w:szCs w:val="22"/>
        </w:rPr>
        <w:t xml:space="preserve"> the NR</w:t>
      </w:r>
      <w:r w:rsidRPr="004045D1" w:rsidR="007A543D">
        <w:rPr>
          <w:rFonts w:ascii="Arial" w:hAnsi="Arial" w:cs="Arial"/>
          <w:sz w:val="22"/>
          <w:szCs w:val="22"/>
        </w:rPr>
        <w:t>I</w:t>
      </w:r>
      <w:r w:rsidRPr="004045D1">
        <w:rPr>
          <w:rFonts w:ascii="Arial" w:hAnsi="Arial" w:cs="Arial"/>
          <w:sz w:val="22"/>
          <w:szCs w:val="22"/>
        </w:rPr>
        <w:t xml:space="preserve">A describes </w:t>
      </w:r>
      <w:r w:rsidRPr="004045D1" w:rsidR="007975DF">
        <w:rPr>
          <w:rFonts w:ascii="Arial" w:hAnsi="Arial" w:cs="Arial"/>
          <w:sz w:val="22"/>
          <w:szCs w:val="22"/>
        </w:rPr>
        <w:t>S</w:t>
      </w:r>
      <w:r w:rsidRPr="004045D1">
        <w:rPr>
          <w:rFonts w:ascii="Arial" w:hAnsi="Arial" w:cs="Arial"/>
          <w:sz w:val="22"/>
          <w:szCs w:val="22"/>
        </w:rPr>
        <w:t xml:space="preserve">tate and local governments as having primary responsibility for protecting life, property, and the environment for the areas surrounding the nuclear/radiological incident site. State, </w:t>
      </w:r>
      <w:r w:rsidRPr="004045D1" w:rsidR="002E1C8D">
        <w:rPr>
          <w:rFonts w:ascii="Arial" w:hAnsi="Arial" w:cs="Arial"/>
          <w:sz w:val="22"/>
          <w:szCs w:val="22"/>
        </w:rPr>
        <w:t>T</w:t>
      </w:r>
      <w:r w:rsidRPr="004045D1">
        <w:rPr>
          <w:rFonts w:ascii="Arial" w:hAnsi="Arial" w:cs="Arial"/>
          <w:sz w:val="22"/>
          <w:szCs w:val="22"/>
        </w:rPr>
        <w:t>ribal</w:t>
      </w:r>
      <w:r w:rsidRPr="004045D1" w:rsidR="00F90580">
        <w:rPr>
          <w:rFonts w:ascii="Arial" w:hAnsi="Arial" w:cs="Arial"/>
          <w:sz w:val="22"/>
          <w:szCs w:val="22"/>
        </w:rPr>
        <w:t>,</w:t>
      </w:r>
      <w:r w:rsidRPr="004045D1">
        <w:rPr>
          <w:rFonts w:ascii="Arial" w:hAnsi="Arial" w:cs="Arial"/>
          <w:sz w:val="22"/>
          <w:szCs w:val="22"/>
        </w:rPr>
        <w:t xml:space="preserve"> and local governments may then request assistance from FEMA, other </w:t>
      </w:r>
      <w:r w:rsidRPr="004045D1" w:rsidR="007975DF">
        <w:rPr>
          <w:rFonts w:ascii="Arial" w:hAnsi="Arial" w:cs="Arial"/>
          <w:sz w:val="22"/>
          <w:szCs w:val="22"/>
        </w:rPr>
        <w:t>F</w:t>
      </w:r>
      <w:r w:rsidRPr="004045D1">
        <w:rPr>
          <w:rFonts w:ascii="Arial" w:hAnsi="Arial" w:cs="Arial"/>
          <w:sz w:val="22"/>
          <w:szCs w:val="22"/>
        </w:rPr>
        <w:t xml:space="preserve">ederal agencies, and/or </w:t>
      </w:r>
      <w:r w:rsidRPr="004045D1" w:rsidR="007975DF">
        <w:rPr>
          <w:rFonts w:ascii="Arial" w:hAnsi="Arial" w:cs="Arial"/>
          <w:sz w:val="22"/>
          <w:szCs w:val="22"/>
        </w:rPr>
        <w:t>S</w:t>
      </w:r>
      <w:r w:rsidRPr="004045D1">
        <w:rPr>
          <w:rFonts w:ascii="Arial" w:hAnsi="Arial" w:cs="Arial"/>
          <w:sz w:val="22"/>
          <w:szCs w:val="22"/>
        </w:rPr>
        <w:t xml:space="preserve">tate governments with which they have existing arrangements or relationships. </w:t>
      </w:r>
    </w:p>
    <w:p w:rsidR="007F112A" w:rsidP="004045D1" w14:paraId="1CBC10FB" w14:textId="77777777">
      <w:pPr>
        <w:spacing w:after="220"/>
        <w:rPr>
          <w:rFonts w:ascii="Arial" w:hAnsi="Arial" w:cs="Arial"/>
          <w:sz w:val="22"/>
          <w:szCs w:val="22"/>
        </w:rPr>
      </w:pPr>
      <w:r w:rsidRPr="004045D1">
        <w:rPr>
          <w:rFonts w:ascii="Arial" w:hAnsi="Arial" w:cs="Arial"/>
          <w:sz w:val="22"/>
          <w:szCs w:val="22"/>
        </w:rPr>
        <w:t>Accordingly, the NRC did not change the rule language in response to this comment</w:t>
      </w:r>
      <w:r w:rsidRPr="004045D1" w:rsidR="00C81D4D">
        <w:rPr>
          <w:rFonts w:ascii="Arial" w:hAnsi="Arial" w:cs="Arial"/>
          <w:sz w:val="22"/>
          <w:szCs w:val="22"/>
        </w:rPr>
        <w:t>.</w:t>
      </w:r>
      <w:r w:rsidRPr="004045D1" w:rsidR="00BD434A">
        <w:rPr>
          <w:rFonts w:ascii="Arial" w:hAnsi="Arial" w:cs="Arial"/>
          <w:sz w:val="22"/>
          <w:szCs w:val="22"/>
        </w:rPr>
        <w:t xml:space="preserve"> </w:t>
      </w:r>
    </w:p>
    <w:p w:rsidR="007F112A" w:rsidRPr="00DA0A3C" w:rsidP="004045D1" w14:paraId="75E42BF8" w14:textId="77777777">
      <w:pPr>
        <w:spacing w:after="220"/>
        <w:rPr>
          <w:rFonts w:ascii="Arial" w:hAnsi="Arial" w:cs="Arial"/>
          <w:b/>
        </w:rPr>
      </w:pPr>
      <w:r>
        <w:rPr>
          <w:rFonts w:ascii="Arial" w:hAnsi="Arial" w:cs="Arial"/>
          <w:sz w:val="22"/>
          <w:szCs w:val="22"/>
        </w:rPr>
        <w:pict>
          <v:rect id="_x0000_i1207" style="width:0;height:1.5pt" o:hralign="center" o:hrstd="t" o:hrnoshade="t" o:hr="t" fillcolor="black" stroked="f"/>
        </w:pict>
      </w:r>
    </w:p>
    <w:p w:rsidR="007F112A" w:rsidRPr="004045D1" w:rsidP="004045D1" w14:paraId="4D77D18A" w14:textId="77777777">
      <w:pPr>
        <w:spacing w:after="220"/>
        <w:rPr>
          <w:rFonts w:ascii="Arial" w:hAnsi="Arial" w:cs="Arial"/>
          <w:sz w:val="22"/>
          <w:szCs w:val="22"/>
        </w:rPr>
      </w:pPr>
      <w:r w:rsidRPr="004045D1">
        <w:rPr>
          <w:rFonts w:ascii="Arial" w:eastAsia="DengXian" w:hAnsi="Arial" w:cs="Arial"/>
          <w:b/>
          <w:sz w:val="22"/>
          <w:szCs w:val="22"/>
        </w:rPr>
        <w:t>Comment Bin 3.6.3.1.C:</w:t>
      </w:r>
      <w:r w:rsidRPr="004045D1">
        <w:rPr>
          <w:rFonts w:ascii="Arial" w:eastAsia="DengXian" w:hAnsi="Arial" w:cs="Arial"/>
          <w:sz w:val="22"/>
          <w:szCs w:val="22"/>
        </w:rPr>
        <w:t xml:space="preserve"> </w:t>
      </w:r>
      <w:r w:rsidRPr="004045D1">
        <w:rPr>
          <w:rFonts w:ascii="Arial" w:hAnsi="Arial" w:cs="Arial"/>
          <w:sz w:val="22"/>
          <w:szCs w:val="22"/>
        </w:rPr>
        <w:t>Two commenters wrote that the NRC should provide additional guidance as needed on applying graded emergency planning and security approaches, and that this would balance regulatory flexibility in the rule language while providing applicants clarity. The commenters added that new or updated guidance should account for varying reactor technologies, deployment models, and security risks while maintaining a predictable and transparent regulatory framework. Additionally, security events, up to the DBT, should be considered relative to protective actions for risk insights and defense in depth (</w:t>
      </w:r>
      <w:r w:rsidR="00D87876">
        <w:rPr>
          <w:rFonts w:ascii="Arial" w:hAnsi="Arial" w:cs="Arial"/>
          <w:sz w:val="22"/>
          <w:szCs w:val="22"/>
        </w:rPr>
        <w:t>SCWG</w:t>
      </w:r>
      <w:r w:rsidRPr="004045D1">
        <w:rPr>
          <w:rFonts w:ascii="Arial" w:hAnsi="Arial" w:cs="Arial"/>
          <w:sz w:val="22"/>
          <w:szCs w:val="22"/>
        </w:rPr>
        <w:t xml:space="preserve">-0004, </w:t>
      </w:r>
      <w:r w:rsidR="004C1A5D">
        <w:rPr>
          <w:rFonts w:ascii="Arial" w:hAnsi="Arial" w:cs="Arial"/>
          <w:sz w:val="22"/>
          <w:szCs w:val="22"/>
        </w:rPr>
        <w:t>BI1</w:t>
      </w:r>
      <w:r w:rsidRPr="004045D1">
        <w:rPr>
          <w:rFonts w:ascii="Arial" w:hAnsi="Arial" w:cs="Arial"/>
          <w:sz w:val="22"/>
          <w:szCs w:val="22"/>
        </w:rPr>
        <w:t>-0023). Another commenter echoed these concerns, writing that the NRC should establish clear rule language and guidance on addressing interactions between the graded approaches for emergency planning and security programs (</w:t>
      </w:r>
      <w:r w:rsidR="00AE0B17">
        <w:rPr>
          <w:rFonts w:ascii="Arial" w:hAnsi="Arial" w:cs="Arial"/>
          <w:sz w:val="22"/>
          <w:szCs w:val="22"/>
        </w:rPr>
        <w:t>USNIC2</w:t>
      </w:r>
      <w:r w:rsidRPr="004045D1">
        <w:rPr>
          <w:rFonts w:ascii="Arial" w:hAnsi="Arial" w:cs="Arial"/>
          <w:sz w:val="22"/>
          <w:szCs w:val="22"/>
        </w:rPr>
        <w:t>-0032).</w:t>
      </w:r>
    </w:p>
    <w:p w:rsidR="007F112A" w:rsidRPr="004045D1" w:rsidP="004045D1" w14:paraId="08AE6C22" w14:textId="77777777">
      <w:pPr>
        <w:spacing w:after="220"/>
        <w:rPr>
          <w:rFonts w:ascii="Arial" w:hAnsi="Arial" w:cs="Arial"/>
          <w:sz w:val="22"/>
          <w:szCs w:val="22"/>
        </w:rPr>
      </w:pPr>
      <w:r w:rsidRPr="004045D1">
        <w:rPr>
          <w:rFonts w:ascii="Arial" w:hAnsi="Arial" w:cs="Arial"/>
          <w:sz w:val="22"/>
          <w:szCs w:val="22"/>
        </w:rPr>
        <w:t>One of the commenters added that revisions should be made to guidance to clarify that the spectrum of events should be categorized to potential offsite impacts and evaluated against protective actions as appropriate. Additionally, the commenter wrote that the NRC should clarify that the existence of sequences that have the potential for offsite consequences is not a direct indicator that a reduced-size EPZ is not appropriate (</w:t>
      </w:r>
      <w:r w:rsidR="00D87876">
        <w:rPr>
          <w:rFonts w:ascii="Arial" w:hAnsi="Arial" w:cs="Arial"/>
          <w:sz w:val="22"/>
          <w:szCs w:val="22"/>
        </w:rPr>
        <w:t>SCWG</w:t>
      </w:r>
      <w:r w:rsidRPr="004045D1">
        <w:rPr>
          <w:rFonts w:ascii="Arial" w:hAnsi="Arial" w:cs="Arial"/>
          <w:sz w:val="22"/>
          <w:szCs w:val="22"/>
        </w:rPr>
        <w:t>-0004).</w:t>
      </w:r>
    </w:p>
    <w:p w:rsidR="007F112A" w:rsidRPr="004045D1" w:rsidP="004045D1" w14:paraId="26771564" w14:textId="77777777">
      <w:pPr>
        <w:spacing w:after="220"/>
        <w:rPr>
          <w:rFonts w:ascii="Arial" w:hAnsi="Arial" w:cs="Arial"/>
          <w:sz w:val="22"/>
          <w:szCs w:val="22"/>
        </w:rPr>
      </w:pPr>
      <w:r w:rsidRPr="004045D1">
        <w:rPr>
          <w:rFonts w:ascii="Arial" w:hAnsi="Arial" w:cs="Arial"/>
          <w:sz w:val="22"/>
          <w:szCs w:val="22"/>
        </w:rPr>
        <w:t>One of the commenters recommended rule language and guidance revisions with the following approach: 1) for an EPZ sizing analysis, the potential consequences from security events, including those involving the DBT, are adequately bounded if the licensee meets the regulatory requirements to protect against the DBT found in 10 CFR Part 73; and 2) when a licensee does not need to protect against the DBT of radiological sabotage, then the potential consequences from security events up to and including the DBT should be assessed as part of the EPZ sizing analysis. The commenter said that the determination of the EPZ boundary location would consider the offsite doses resulting from analyzed security events and whether predetermined, prompt protective measures are necessary (</w:t>
      </w:r>
      <w:r w:rsidR="009D6BB9">
        <w:rPr>
          <w:rFonts w:ascii="Arial" w:hAnsi="Arial" w:cs="Arial"/>
          <w:sz w:val="22"/>
          <w:szCs w:val="22"/>
        </w:rPr>
        <w:t>NEI2</w:t>
      </w:r>
      <w:r w:rsidRPr="004045D1">
        <w:rPr>
          <w:rFonts w:ascii="Arial" w:hAnsi="Arial" w:cs="Arial"/>
          <w:sz w:val="22"/>
          <w:szCs w:val="22"/>
        </w:rPr>
        <w:t xml:space="preserve">-0202, </w:t>
      </w:r>
      <w:r w:rsidR="009D6BB9">
        <w:rPr>
          <w:rFonts w:ascii="Arial" w:hAnsi="Arial" w:cs="Arial"/>
          <w:sz w:val="22"/>
          <w:szCs w:val="22"/>
        </w:rPr>
        <w:t>NEI2</w:t>
      </w:r>
      <w:r w:rsidRPr="004045D1">
        <w:rPr>
          <w:rFonts w:ascii="Arial" w:hAnsi="Arial" w:cs="Arial"/>
          <w:sz w:val="22"/>
          <w:szCs w:val="22"/>
        </w:rPr>
        <w:t>-0203).</w:t>
      </w:r>
      <w:r w:rsidRPr="004045D1" w:rsidR="003C1327">
        <w:rPr>
          <w:rFonts w:ascii="Arial" w:hAnsi="Arial" w:cs="Arial"/>
          <w:sz w:val="22"/>
          <w:szCs w:val="22"/>
        </w:rPr>
        <w:t xml:space="preserve"> </w:t>
      </w:r>
      <w:r w:rsidRPr="004045D1">
        <w:rPr>
          <w:rFonts w:ascii="Arial" w:hAnsi="Arial" w:cs="Arial"/>
          <w:sz w:val="22"/>
          <w:szCs w:val="22"/>
        </w:rPr>
        <w:t>Another commenter expressed support for this comment (</w:t>
      </w:r>
      <w:r w:rsidR="006912EB">
        <w:rPr>
          <w:rFonts w:ascii="Arial" w:hAnsi="Arial" w:cs="Arial"/>
          <w:sz w:val="22"/>
          <w:szCs w:val="22"/>
        </w:rPr>
        <w:t>NEX</w:t>
      </w:r>
      <w:r w:rsidRPr="004045D1">
        <w:rPr>
          <w:rFonts w:ascii="Arial" w:hAnsi="Arial" w:cs="Arial"/>
          <w:sz w:val="22"/>
          <w:szCs w:val="22"/>
        </w:rPr>
        <w:t>-0016).</w:t>
      </w:r>
    </w:p>
    <w:p w:rsidR="007F112A" w:rsidRPr="004045D1" w:rsidP="004045D1" w14:paraId="417C6A48" w14:textId="77777777">
      <w:pPr>
        <w:spacing w:after="220"/>
        <w:rPr>
          <w:rFonts w:ascii="Arial" w:hAnsi="Arial" w:cs="Arial"/>
          <w:sz w:val="22"/>
          <w:szCs w:val="22"/>
        </w:rPr>
      </w:pPr>
      <w:r w:rsidRPr="004045D1">
        <w:rPr>
          <w:rFonts w:ascii="Arial" w:hAnsi="Arial" w:cs="Arial"/>
          <w:sz w:val="22"/>
          <w:szCs w:val="22"/>
        </w:rPr>
        <w:t xml:space="preserve">In response to the NRC’s request for comment on the treatment of security-related events in emergency planning, a commenter wrote that they supported a version of the second scenario that reflects a risk-informed and performance-based EPZ size determination. The commenter added that security events will need a consequence analysis consistent with the target set determination guidance given in the </w:t>
      </w:r>
      <w:r w:rsidR="000763C9">
        <w:rPr>
          <w:rFonts w:ascii="Arial" w:hAnsi="Arial" w:cs="Arial"/>
          <w:sz w:val="22"/>
          <w:szCs w:val="22"/>
        </w:rPr>
        <w:t>draft</w:t>
      </w:r>
      <w:r w:rsidR="003F30B6">
        <w:rPr>
          <w:rFonts w:ascii="Arial" w:hAnsi="Arial" w:cs="Arial"/>
          <w:sz w:val="22"/>
          <w:szCs w:val="22"/>
        </w:rPr>
        <w:t xml:space="preserve"> </w:t>
      </w:r>
      <w:r w:rsidRPr="004045D1">
        <w:rPr>
          <w:rFonts w:ascii="Arial" w:hAnsi="Arial" w:cs="Arial"/>
          <w:sz w:val="22"/>
          <w:szCs w:val="22"/>
        </w:rPr>
        <w:t>RG 5.81</w:t>
      </w:r>
      <w:r w:rsidR="00481D81">
        <w:rPr>
          <w:rFonts w:ascii="Arial" w:hAnsi="Arial" w:cs="Arial"/>
          <w:sz w:val="22"/>
          <w:szCs w:val="22"/>
        </w:rPr>
        <w:t>,</w:t>
      </w:r>
      <w:r w:rsidRPr="004045D1">
        <w:rPr>
          <w:rFonts w:ascii="Arial" w:hAnsi="Arial" w:cs="Arial"/>
          <w:sz w:val="22"/>
          <w:szCs w:val="22"/>
        </w:rPr>
        <w:t xml:space="preserve"> </w:t>
      </w:r>
      <w:r w:rsidR="00344883">
        <w:rPr>
          <w:rFonts w:ascii="Arial" w:hAnsi="Arial" w:cs="Arial"/>
          <w:sz w:val="22"/>
          <w:szCs w:val="22"/>
        </w:rPr>
        <w:t>“Target Set Identification and</w:t>
      </w:r>
      <w:r w:rsidR="00812D9C">
        <w:rPr>
          <w:rFonts w:ascii="Arial" w:hAnsi="Arial" w:cs="Arial"/>
          <w:sz w:val="22"/>
          <w:szCs w:val="22"/>
        </w:rPr>
        <w:t xml:space="preserve"> Development for Nuclear Power Reactors,”</w:t>
      </w:r>
      <w:r w:rsidRPr="004045D1">
        <w:rPr>
          <w:rFonts w:ascii="Arial" w:hAnsi="Arial" w:cs="Arial"/>
          <w:sz w:val="22"/>
          <w:szCs w:val="22"/>
        </w:rPr>
        <w:t xml:space="preserve"> Rev</w:t>
      </w:r>
      <w:r w:rsidR="00481D81">
        <w:rPr>
          <w:rFonts w:ascii="Arial" w:hAnsi="Arial" w:cs="Arial"/>
          <w:sz w:val="22"/>
          <w:szCs w:val="22"/>
        </w:rPr>
        <w:t>ision</w:t>
      </w:r>
      <w:r w:rsidRPr="004045D1">
        <w:rPr>
          <w:rFonts w:ascii="Arial" w:hAnsi="Arial" w:cs="Arial"/>
          <w:sz w:val="22"/>
          <w:szCs w:val="22"/>
        </w:rPr>
        <w:t xml:space="preserve"> 2, and the values for offsite doses can be compared to values used for the EPZ size determination to determine if they are bounded by that analysis. Finally, the commenter said that if values are not bounded by the EPZ determination, then considerations for the DBT-initiated events should be considered in emergency planning </w:t>
      </w:r>
      <w:r w:rsidR="00A20C47">
        <w:rPr>
          <w:rFonts w:ascii="Arial" w:hAnsi="Arial" w:cs="Arial"/>
          <w:sz w:val="22"/>
          <w:szCs w:val="22"/>
        </w:rPr>
        <w:br/>
      </w:r>
      <w:r w:rsidRPr="004045D1">
        <w:rPr>
          <w:rFonts w:ascii="Arial" w:hAnsi="Arial" w:cs="Arial"/>
          <w:sz w:val="22"/>
          <w:szCs w:val="22"/>
        </w:rPr>
        <w:t>(</w:t>
      </w:r>
      <w:r w:rsidR="0072098F">
        <w:rPr>
          <w:rFonts w:ascii="Arial" w:hAnsi="Arial" w:cs="Arial"/>
          <w:sz w:val="22"/>
          <w:szCs w:val="22"/>
        </w:rPr>
        <w:t>IDNL</w:t>
      </w:r>
      <w:r w:rsidRPr="004045D1">
        <w:rPr>
          <w:rFonts w:ascii="Arial" w:hAnsi="Arial" w:cs="Arial"/>
          <w:sz w:val="22"/>
          <w:szCs w:val="22"/>
        </w:rPr>
        <w:t>-0008).</w:t>
      </w:r>
    </w:p>
    <w:p w:rsidR="007F112A" w:rsidRPr="004045D1" w:rsidP="004045D1" w14:paraId="5D061489" w14:textId="77777777">
      <w:pPr>
        <w:spacing w:after="220"/>
        <w:rPr>
          <w:rFonts w:ascii="Arial" w:eastAsia="Times New Roman" w:hAnsi="Arial" w:cs="Arial"/>
          <w:color w:val="000000"/>
          <w:sz w:val="22"/>
          <w:szCs w:val="22"/>
          <w:lang w:eastAsia="zh-CN"/>
        </w:rPr>
      </w:pPr>
      <w:r w:rsidRPr="004045D1">
        <w:rPr>
          <w:rFonts w:ascii="Arial" w:hAnsi="Arial" w:cs="Arial"/>
          <w:sz w:val="22"/>
          <w:szCs w:val="22"/>
        </w:rPr>
        <w:t>Another commenter wrote that they oppose any provision that would allow nuclear power plants to be exempt from the requirement to protect against the DBT of radiological sabotage. The commenter wrote that it is unlikely that any reactor will meet the requirements in 10</w:t>
      </w:r>
      <w:r w:rsidR="00C35C88">
        <w:rPr>
          <w:rFonts w:ascii="Arial" w:hAnsi="Arial" w:cs="Arial"/>
          <w:sz w:val="22"/>
          <w:szCs w:val="22"/>
        </w:rPr>
        <w:t> </w:t>
      </w:r>
      <w:r w:rsidRPr="004045D1">
        <w:rPr>
          <w:rFonts w:ascii="Arial" w:hAnsi="Arial" w:cs="Arial"/>
          <w:sz w:val="22"/>
          <w:szCs w:val="22"/>
        </w:rPr>
        <w:t>CFR</w:t>
      </w:r>
      <w:r w:rsidR="00C35C88">
        <w:rPr>
          <w:rFonts w:ascii="Arial" w:hAnsi="Arial" w:cs="Arial"/>
          <w:sz w:val="22"/>
          <w:szCs w:val="22"/>
        </w:rPr>
        <w:t> </w:t>
      </w:r>
      <w:r w:rsidRPr="004045D1">
        <w:rPr>
          <w:rFonts w:ascii="Arial" w:hAnsi="Arial" w:cs="Arial"/>
          <w:sz w:val="22"/>
          <w:szCs w:val="22"/>
        </w:rPr>
        <w:t>53.860(a)(2)(i), but the commenter expressed concern that the NRC will “succumb to political pressure” and accept non-credible analyses. The commenter added that it is also critical that radiological sabotage scenarios be considered in the EPZ size determination, as radiological release scenarios that would warrant maintaining or expanding the current 10-mile EPZ may be possible as the result of sabotage events even though they may be screened out of the accident spectrum used for the EPZ determination (</w:t>
      </w:r>
      <w:r w:rsidR="00815989">
        <w:rPr>
          <w:rFonts w:ascii="Arial" w:hAnsi="Arial" w:cs="Arial"/>
          <w:sz w:val="22"/>
          <w:szCs w:val="22"/>
        </w:rPr>
        <w:t>UCS</w:t>
      </w:r>
      <w:r w:rsidRPr="004045D1">
        <w:rPr>
          <w:rFonts w:ascii="Arial" w:hAnsi="Arial" w:cs="Arial"/>
          <w:sz w:val="22"/>
          <w:szCs w:val="22"/>
        </w:rPr>
        <w:t>-0012).</w:t>
      </w:r>
    </w:p>
    <w:p w:rsidR="007F112A" w:rsidRPr="004045D1" w:rsidP="00FF680E" w14:paraId="4D4EB771" w14:textId="77777777">
      <w:pPr>
        <w:rPr>
          <w:rFonts w:ascii="Arial" w:hAnsi="Arial" w:cs="Arial"/>
          <w:sz w:val="22"/>
          <w:szCs w:val="22"/>
        </w:rPr>
      </w:pPr>
      <w:r w:rsidRPr="004045D1">
        <w:rPr>
          <w:rFonts w:ascii="Arial" w:eastAsia="DengXian" w:hAnsi="Arial" w:cs="Arial"/>
          <w:b/>
          <w:sz w:val="22"/>
          <w:szCs w:val="22"/>
        </w:rPr>
        <w:t>NRC Response:</w:t>
      </w:r>
      <w:r w:rsidRPr="004045D1">
        <w:rPr>
          <w:rFonts w:ascii="Arial" w:eastAsia="DengXian" w:hAnsi="Arial" w:cs="Arial"/>
          <w:sz w:val="22"/>
          <w:szCs w:val="22"/>
        </w:rPr>
        <w:t xml:space="preserve"> </w:t>
      </w:r>
      <w:r w:rsidRPr="004045D1">
        <w:rPr>
          <w:rFonts w:ascii="Arial" w:hAnsi="Arial" w:cs="Arial"/>
          <w:sz w:val="22"/>
          <w:szCs w:val="22"/>
        </w:rPr>
        <w:t xml:space="preserve">The NRC agrees, in part, with </w:t>
      </w:r>
      <w:r w:rsidR="00C02D01">
        <w:rPr>
          <w:rFonts w:ascii="Arial" w:hAnsi="Arial" w:cs="Arial"/>
          <w:sz w:val="22"/>
          <w:szCs w:val="22"/>
        </w:rPr>
        <w:t>the</w:t>
      </w:r>
      <w:r w:rsidRPr="004045D1">
        <w:rPr>
          <w:rFonts w:ascii="Arial" w:hAnsi="Arial" w:cs="Arial"/>
          <w:sz w:val="22"/>
          <w:szCs w:val="22"/>
        </w:rPr>
        <w:t xml:space="preserve"> comments.</w:t>
      </w:r>
    </w:p>
    <w:p w:rsidR="007F112A" w:rsidRPr="004045D1" w:rsidP="00FF680E" w14:paraId="5FE04490" w14:textId="77777777">
      <w:pPr>
        <w:rPr>
          <w:rFonts w:ascii="Arial" w:hAnsi="Arial" w:cs="Arial"/>
          <w:sz w:val="22"/>
          <w:szCs w:val="22"/>
        </w:rPr>
      </w:pPr>
    </w:p>
    <w:p w:rsidR="007F112A" w:rsidRPr="004045D1" w:rsidP="00B16BFF" w14:paraId="39B33256" w14:textId="77777777">
      <w:pPr>
        <w:spacing w:after="220"/>
        <w:rPr>
          <w:rFonts w:ascii="Arial" w:hAnsi="Arial" w:cs="Arial"/>
          <w:sz w:val="22"/>
          <w:szCs w:val="22"/>
        </w:rPr>
      </w:pPr>
      <w:r w:rsidRPr="004045D1">
        <w:rPr>
          <w:rFonts w:ascii="Arial" w:hAnsi="Arial" w:cs="Arial"/>
          <w:sz w:val="22"/>
          <w:szCs w:val="22"/>
        </w:rPr>
        <w:t xml:space="preserve">The NRC agrees with the comment concerning establishing clear rule language and guidance on addressing interactions between the graded approaches for emergency planning and security programs. As described in </w:t>
      </w:r>
      <w:r w:rsidRPr="004045D1" w:rsidR="00BF4A0E">
        <w:rPr>
          <w:rFonts w:ascii="Arial" w:hAnsi="Arial" w:cs="Arial"/>
          <w:sz w:val="22"/>
          <w:szCs w:val="22"/>
        </w:rPr>
        <w:t>the</w:t>
      </w:r>
      <w:r w:rsidRPr="004045D1">
        <w:rPr>
          <w:rFonts w:ascii="Arial" w:hAnsi="Arial" w:cs="Arial"/>
          <w:sz w:val="22"/>
          <w:szCs w:val="22"/>
        </w:rPr>
        <w:t xml:space="preserve"> proposed rule section VI</w:t>
      </w:r>
      <w:r w:rsidRPr="004045D1" w:rsidR="00F07856">
        <w:rPr>
          <w:rFonts w:ascii="Arial" w:hAnsi="Arial" w:cs="Arial"/>
          <w:sz w:val="22"/>
          <w:szCs w:val="22"/>
        </w:rPr>
        <w:t>,</w:t>
      </w:r>
      <w:r w:rsidRPr="004045D1">
        <w:rPr>
          <w:rFonts w:ascii="Arial" w:hAnsi="Arial" w:cs="Arial"/>
          <w:sz w:val="22"/>
          <w:szCs w:val="22"/>
        </w:rPr>
        <w:t xml:space="preserve"> “Specific Requests for Comments” (</w:t>
      </w:r>
      <w:r w:rsidRPr="004045D1" w:rsidR="00CE05DC">
        <w:rPr>
          <w:rFonts w:ascii="Arial" w:hAnsi="Arial" w:cs="Arial"/>
          <w:sz w:val="22"/>
          <w:szCs w:val="22"/>
        </w:rPr>
        <w:t xml:space="preserve">10 CFR </w:t>
      </w:r>
      <w:r w:rsidRPr="004045D1">
        <w:rPr>
          <w:rFonts w:ascii="Arial" w:hAnsi="Arial" w:cs="Arial"/>
          <w:sz w:val="22"/>
          <w:szCs w:val="22"/>
        </w:rPr>
        <w:t>Part 53, Subpart F—Emergency Preparedness and Security Programs</w:t>
      </w:r>
      <w:r w:rsidR="00AA375E">
        <w:rPr>
          <w:rFonts w:ascii="Arial" w:hAnsi="Arial" w:cs="Arial"/>
          <w:sz w:val="22"/>
          <w:szCs w:val="22"/>
        </w:rPr>
        <w:t>,</w:t>
      </w:r>
      <w:r w:rsidRPr="004045D1">
        <w:rPr>
          <w:rFonts w:ascii="Arial" w:hAnsi="Arial" w:cs="Arial"/>
          <w:sz w:val="22"/>
          <w:szCs w:val="22"/>
        </w:rPr>
        <w:t xml:space="preserve"> 89</w:t>
      </w:r>
      <w:r w:rsidR="00AA375E">
        <w:rPr>
          <w:rFonts w:ascii="Arial" w:hAnsi="Arial" w:cs="Arial"/>
          <w:sz w:val="22"/>
          <w:szCs w:val="22"/>
        </w:rPr>
        <w:t> </w:t>
      </w:r>
      <w:r w:rsidRPr="004045D1">
        <w:rPr>
          <w:rFonts w:ascii="Arial" w:hAnsi="Arial" w:cs="Arial"/>
          <w:sz w:val="22"/>
          <w:szCs w:val="22"/>
        </w:rPr>
        <w:t>FR 86985)</w:t>
      </w:r>
      <w:r w:rsidRPr="004045D1" w:rsidR="00437DE8">
        <w:rPr>
          <w:rFonts w:ascii="Arial" w:hAnsi="Arial" w:cs="Arial"/>
          <w:sz w:val="22"/>
          <w:szCs w:val="22"/>
        </w:rPr>
        <w:t>,</w:t>
      </w:r>
      <w:r w:rsidRPr="004045D1">
        <w:rPr>
          <w:rFonts w:ascii="Arial" w:hAnsi="Arial" w:cs="Arial"/>
          <w:sz w:val="22"/>
          <w:szCs w:val="22"/>
        </w:rPr>
        <w:t xml:space="preserve"> the NRC is planning to issue a draft revision of RG 1.242, </w:t>
      </w:r>
      <w:r w:rsidRPr="004045D1" w:rsidR="00C1361C">
        <w:rPr>
          <w:rFonts w:ascii="Arial" w:hAnsi="Arial" w:cs="Arial"/>
          <w:sz w:val="22"/>
          <w:szCs w:val="22"/>
        </w:rPr>
        <w:t>“</w:t>
      </w:r>
      <w:r w:rsidRPr="004045D1">
        <w:rPr>
          <w:rFonts w:ascii="Arial" w:hAnsi="Arial" w:cs="Arial"/>
          <w:sz w:val="22"/>
          <w:szCs w:val="22"/>
        </w:rPr>
        <w:t>Performance-Based Emergency Preparedness for Small Modular Reactors, Non</w:t>
      </w:r>
      <w:r w:rsidRPr="004045D1" w:rsidR="00C1361C">
        <w:rPr>
          <w:rFonts w:ascii="Arial" w:hAnsi="Arial" w:cs="Arial"/>
          <w:sz w:val="22"/>
          <w:szCs w:val="22"/>
        </w:rPr>
        <w:t>-</w:t>
      </w:r>
      <w:r w:rsidRPr="004045D1">
        <w:rPr>
          <w:rFonts w:ascii="Arial" w:hAnsi="Arial" w:cs="Arial"/>
          <w:sz w:val="22"/>
          <w:szCs w:val="22"/>
        </w:rPr>
        <w:t>Light-Water Reactors, and Non-Power Production or Utilization Facilities,</w:t>
      </w:r>
      <w:r w:rsidRPr="004045D1" w:rsidR="00C1361C">
        <w:rPr>
          <w:rFonts w:ascii="Arial" w:hAnsi="Arial" w:cs="Arial"/>
          <w:sz w:val="22"/>
          <w:szCs w:val="22"/>
        </w:rPr>
        <w:t>”</w:t>
      </w:r>
      <w:r w:rsidRPr="004045D1">
        <w:rPr>
          <w:rFonts w:ascii="Arial" w:hAnsi="Arial" w:cs="Arial"/>
          <w:sz w:val="22"/>
          <w:szCs w:val="22"/>
        </w:rPr>
        <w:t xml:space="preserve"> </w:t>
      </w:r>
      <w:r w:rsidRPr="004045D1" w:rsidR="00C83A64">
        <w:rPr>
          <w:rFonts w:ascii="Arial" w:hAnsi="Arial" w:cs="Arial"/>
          <w:sz w:val="22"/>
          <w:szCs w:val="22"/>
        </w:rPr>
        <w:t>issued November 2023 (ML23226A036)</w:t>
      </w:r>
      <w:r w:rsidRPr="004045D1">
        <w:rPr>
          <w:rFonts w:ascii="Arial" w:hAnsi="Arial" w:cs="Arial"/>
          <w:sz w:val="22"/>
          <w:szCs w:val="22"/>
        </w:rPr>
        <w:t xml:space="preserve"> for public comment. </w:t>
      </w:r>
      <w:r w:rsidR="0082088F">
        <w:rPr>
          <w:rFonts w:ascii="Arial" w:hAnsi="Arial" w:cs="Arial"/>
          <w:sz w:val="22"/>
          <w:szCs w:val="22"/>
        </w:rPr>
        <w:t xml:space="preserve">The NRC plans to issue this draft revision after the publication of the 10 CFR Part 53 final rule. </w:t>
      </w:r>
      <w:r w:rsidRPr="004045D1">
        <w:rPr>
          <w:rFonts w:ascii="Arial" w:hAnsi="Arial" w:cs="Arial"/>
          <w:sz w:val="22"/>
          <w:szCs w:val="22"/>
        </w:rPr>
        <w:t xml:space="preserve">The planned revision to RG 1.242 will add guidance for </w:t>
      </w:r>
      <w:r w:rsidRPr="004045D1" w:rsidR="009139B7">
        <w:rPr>
          <w:rFonts w:ascii="Arial" w:hAnsi="Arial" w:cs="Arial"/>
          <w:sz w:val="22"/>
          <w:szCs w:val="22"/>
        </w:rPr>
        <w:t>10</w:t>
      </w:r>
      <w:r w:rsidR="00CD24C8">
        <w:rPr>
          <w:rFonts w:ascii="Arial" w:hAnsi="Arial" w:cs="Arial"/>
          <w:sz w:val="22"/>
          <w:szCs w:val="22"/>
        </w:rPr>
        <w:t> </w:t>
      </w:r>
      <w:r w:rsidRPr="004045D1" w:rsidR="009139B7">
        <w:rPr>
          <w:rFonts w:ascii="Arial" w:hAnsi="Arial" w:cs="Arial"/>
          <w:sz w:val="22"/>
          <w:szCs w:val="22"/>
        </w:rPr>
        <w:t xml:space="preserve">CFR </w:t>
      </w:r>
      <w:r w:rsidRPr="004045D1" w:rsidR="00AC1E36">
        <w:rPr>
          <w:rFonts w:ascii="Arial" w:hAnsi="Arial" w:cs="Arial"/>
          <w:sz w:val="22"/>
          <w:szCs w:val="22"/>
        </w:rPr>
        <w:t>P</w:t>
      </w:r>
      <w:r w:rsidRPr="004045D1">
        <w:rPr>
          <w:rFonts w:ascii="Arial" w:hAnsi="Arial" w:cs="Arial"/>
          <w:sz w:val="22"/>
          <w:szCs w:val="22"/>
        </w:rPr>
        <w:t xml:space="preserve">art 53 applicants and licensees to address interactions between graded approaches for emergency planning and security programs. </w:t>
      </w:r>
      <w:r w:rsidRPr="004045D1" w:rsidR="0026177A">
        <w:rPr>
          <w:rFonts w:ascii="Arial" w:hAnsi="Arial" w:cs="Arial"/>
          <w:sz w:val="22"/>
          <w:szCs w:val="22"/>
        </w:rPr>
        <w:t xml:space="preserve">The </w:t>
      </w:r>
      <w:r w:rsidRPr="004045D1">
        <w:rPr>
          <w:rFonts w:ascii="Arial" w:hAnsi="Arial" w:cs="Arial"/>
          <w:sz w:val="22"/>
          <w:szCs w:val="22"/>
        </w:rPr>
        <w:t>NRC</w:t>
      </w:r>
      <w:r w:rsidR="00610137">
        <w:rPr>
          <w:rFonts w:ascii="Arial" w:hAnsi="Arial" w:cs="Arial"/>
          <w:sz w:val="22"/>
          <w:szCs w:val="22"/>
        </w:rPr>
        <w:t xml:space="preserve">’s guidance </w:t>
      </w:r>
      <w:r w:rsidR="00BB6E35">
        <w:rPr>
          <w:rFonts w:ascii="Arial" w:hAnsi="Arial" w:cs="Arial"/>
          <w:sz w:val="22"/>
          <w:szCs w:val="22"/>
        </w:rPr>
        <w:t xml:space="preserve">already </w:t>
      </w:r>
      <w:r w:rsidR="00211E99">
        <w:rPr>
          <w:rFonts w:ascii="Arial" w:hAnsi="Arial" w:cs="Arial"/>
          <w:sz w:val="22"/>
          <w:szCs w:val="22"/>
        </w:rPr>
        <w:t xml:space="preserve">suggests that </w:t>
      </w:r>
      <w:r w:rsidR="00BB6E35">
        <w:rPr>
          <w:rFonts w:ascii="Arial" w:hAnsi="Arial" w:cs="Arial"/>
          <w:sz w:val="22"/>
          <w:szCs w:val="22"/>
        </w:rPr>
        <w:t xml:space="preserve">licensees categorize </w:t>
      </w:r>
      <w:r w:rsidRPr="004045D1">
        <w:rPr>
          <w:rFonts w:ascii="Arial" w:hAnsi="Arial" w:cs="Arial"/>
          <w:sz w:val="22"/>
          <w:szCs w:val="22"/>
        </w:rPr>
        <w:t>the spectrum of events to potential offsite impacts and evaluat</w:t>
      </w:r>
      <w:r w:rsidR="00345698">
        <w:rPr>
          <w:rFonts w:ascii="Arial" w:hAnsi="Arial" w:cs="Arial"/>
          <w:sz w:val="22"/>
          <w:szCs w:val="22"/>
        </w:rPr>
        <w:t>e</w:t>
      </w:r>
      <w:r w:rsidR="007D04F6">
        <w:rPr>
          <w:rFonts w:ascii="Arial" w:hAnsi="Arial" w:cs="Arial"/>
          <w:sz w:val="22"/>
          <w:szCs w:val="22"/>
        </w:rPr>
        <w:t xml:space="preserve"> the events</w:t>
      </w:r>
      <w:r w:rsidRPr="004045D1">
        <w:rPr>
          <w:rFonts w:ascii="Arial" w:hAnsi="Arial" w:cs="Arial"/>
          <w:sz w:val="22"/>
          <w:szCs w:val="22"/>
        </w:rPr>
        <w:t xml:space="preserve"> against protective actions as appropriate</w:t>
      </w:r>
      <w:r w:rsidR="00D9151A">
        <w:rPr>
          <w:rFonts w:ascii="Arial" w:hAnsi="Arial" w:cs="Arial"/>
          <w:sz w:val="22"/>
          <w:szCs w:val="22"/>
        </w:rPr>
        <w:t>.</w:t>
      </w:r>
      <w:r w:rsidR="009822C2">
        <w:rPr>
          <w:rFonts w:ascii="Arial" w:hAnsi="Arial" w:cs="Arial"/>
          <w:sz w:val="22"/>
          <w:szCs w:val="22"/>
        </w:rPr>
        <w:t xml:space="preserve"> The NRC will consider if additional guidance is necessary.</w:t>
      </w:r>
    </w:p>
    <w:p w:rsidR="007F112A" w:rsidRPr="004045D1" w:rsidP="00790A87" w14:paraId="2A9EE7E8" w14:textId="77777777">
      <w:pPr>
        <w:spacing w:after="220"/>
        <w:rPr>
          <w:rFonts w:ascii="Arial" w:hAnsi="Arial" w:cs="Arial"/>
          <w:sz w:val="22"/>
          <w:szCs w:val="22"/>
        </w:rPr>
      </w:pPr>
      <w:r w:rsidRPr="009C61A3">
        <w:rPr>
          <w:rFonts w:ascii="Arial" w:hAnsi="Arial" w:cs="Arial"/>
          <w:sz w:val="22"/>
          <w:szCs w:val="22"/>
        </w:rPr>
        <w:t xml:space="preserve">The NRC disagrees with the comment concerning EPZ sizing analysis. The NRC disagrees </w:t>
      </w:r>
      <w:r w:rsidRPr="009C61A3" w:rsidR="002E7FEA">
        <w:rPr>
          <w:rFonts w:ascii="Arial" w:hAnsi="Arial" w:cs="Arial"/>
          <w:sz w:val="22"/>
          <w:szCs w:val="22"/>
        </w:rPr>
        <w:t>with</w:t>
      </w:r>
      <w:r w:rsidRPr="009C61A3">
        <w:rPr>
          <w:rFonts w:ascii="Arial" w:hAnsi="Arial" w:cs="Arial"/>
          <w:sz w:val="22"/>
          <w:szCs w:val="22"/>
        </w:rPr>
        <w:t xml:space="preserve"> the strict statement that the potential consequences from security events, including those involving the DBT, are adequately bounded if the licensee meets the regulatory requirements to protect against the DBT found in 10 CFR Part 73. An applicant will need to document an evaluation demonstrating that the security events are bounded. The NRC agrees that meeting the DBT requirements found in 10 CFR </w:t>
      </w:r>
      <w:r w:rsidRPr="009C61A3" w:rsidR="00A944E8">
        <w:rPr>
          <w:rFonts w:ascii="Arial" w:hAnsi="Arial" w:cs="Arial"/>
          <w:sz w:val="22"/>
          <w:szCs w:val="22"/>
        </w:rPr>
        <w:t xml:space="preserve">Part </w:t>
      </w:r>
      <w:r w:rsidRPr="009C61A3">
        <w:rPr>
          <w:rFonts w:ascii="Arial" w:hAnsi="Arial" w:cs="Arial"/>
          <w:sz w:val="22"/>
          <w:szCs w:val="22"/>
        </w:rPr>
        <w:t>73 can inform</w:t>
      </w:r>
      <w:r w:rsidRPr="009C61A3" w:rsidR="002F4413">
        <w:rPr>
          <w:rFonts w:ascii="Arial" w:hAnsi="Arial" w:cs="Arial"/>
          <w:sz w:val="22"/>
          <w:szCs w:val="22"/>
        </w:rPr>
        <w:t xml:space="preserve"> and </w:t>
      </w:r>
      <w:r w:rsidRPr="009C61A3">
        <w:rPr>
          <w:rFonts w:ascii="Arial" w:hAnsi="Arial" w:cs="Arial"/>
          <w:sz w:val="22"/>
          <w:szCs w:val="22"/>
        </w:rPr>
        <w:t>support an evaluation.</w:t>
      </w:r>
      <w:r w:rsidRPr="004045D1" w:rsidR="00EF00AE">
        <w:rPr>
          <w:rFonts w:ascii="Arial" w:hAnsi="Arial" w:cs="Arial"/>
          <w:sz w:val="22"/>
          <w:szCs w:val="22"/>
        </w:rPr>
        <w:t xml:space="preserve"> </w:t>
      </w:r>
      <w:r w:rsidRPr="004045D1">
        <w:rPr>
          <w:rFonts w:ascii="Arial" w:hAnsi="Arial" w:cs="Arial"/>
          <w:sz w:val="22"/>
          <w:szCs w:val="22"/>
        </w:rPr>
        <w:t xml:space="preserve">The NRC agrees with the </w:t>
      </w:r>
      <w:r w:rsidRPr="004045D1" w:rsidR="00A944E8">
        <w:rPr>
          <w:rFonts w:ascii="Arial" w:hAnsi="Arial" w:cs="Arial"/>
          <w:sz w:val="22"/>
          <w:szCs w:val="22"/>
        </w:rPr>
        <w:t>comment</w:t>
      </w:r>
      <w:r w:rsidRPr="004045D1">
        <w:rPr>
          <w:rFonts w:ascii="Arial" w:hAnsi="Arial" w:cs="Arial"/>
          <w:sz w:val="22"/>
          <w:szCs w:val="22"/>
        </w:rPr>
        <w:t xml:space="preserve"> that the determination of the EPZ boundary location would consider the offsite doses resulting from analyzed security events and whether predetermined, prompt protective measures are necessary.</w:t>
      </w:r>
    </w:p>
    <w:p w:rsidR="007F112A" w:rsidRPr="004045D1" w:rsidP="007E5855" w14:paraId="2D3380E1" w14:textId="77777777">
      <w:pPr>
        <w:spacing w:after="220"/>
        <w:rPr>
          <w:rFonts w:ascii="Arial" w:hAnsi="Arial" w:cs="Arial"/>
          <w:sz w:val="22"/>
          <w:szCs w:val="22"/>
        </w:rPr>
      </w:pPr>
      <w:r w:rsidRPr="004045D1">
        <w:rPr>
          <w:rFonts w:ascii="Arial" w:hAnsi="Arial" w:cs="Arial"/>
          <w:sz w:val="22"/>
          <w:szCs w:val="22"/>
        </w:rPr>
        <w:t xml:space="preserve">The NRC agrees </w:t>
      </w:r>
      <w:r w:rsidRPr="004045D1" w:rsidR="004C5FDB">
        <w:rPr>
          <w:rFonts w:ascii="Arial" w:hAnsi="Arial" w:cs="Arial"/>
          <w:sz w:val="22"/>
          <w:szCs w:val="22"/>
        </w:rPr>
        <w:t>that</w:t>
      </w:r>
      <w:r w:rsidRPr="004045D1">
        <w:rPr>
          <w:rFonts w:ascii="Arial" w:hAnsi="Arial" w:cs="Arial"/>
          <w:sz w:val="22"/>
          <w:szCs w:val="22"/>
        </w:rPr>
        <w:t xml:space="preserve"> the existence of sequences with the potential for offsite consequences is not a direct indicator that a reduced-size EPZ is not appropriate. The requirements described in </w:t>
      </w:r>
      <w:r w:rsidR="00873986">
        <w:rPr>
          <w:rFonts w:ascii="Arial" w:hAnsi="Arial" w:cs="Arial"/>
          <w:sz w:val="22"/>
          <w:szCs w:val="22"/>
        </w:rPr>
        <w:t>10 CFR </w:t>
      </w:r>
      <w:r w:rsidRPr="004045D1">
        <w:rPr>
          <w:rFonts w:ascii="Arial" w:hAnsi="Arial" w:cs="Arial"/>
          <w:sz w:val="22"/>
          <w:szCs w:val="22"/>
        </w:rPr>
        <w:t xml:space="preserve">50.33(g)(2) require applicants complying with </w:t>
      </w:r>
      <w:r w:rsidR="00873986">
        <w:rPr>
          <w:rFonts w:ascii="Arial" w:hAnsi="Arial" w:cs="Arial"/>
          <w:sz w:val="22"/>
          <w:szCs w:val="22"/>
        </w:rPr>
        <w:t>10 CFR</w:t>
      </w:r>
      <w:r w:rsidR="00873986">
        <w:t> </w:t>
      </w:r>
      <w:r w:rsidRPr="004045D1">
        <w:rPr>
          <w:rFonts w:ascii="Arial" w:hAnsi="Arial" w:cs="Arial"/>
          <w:sz w:val="22"/>
          <w:szCs w:val="22"/>
        </w:rPr>
        <w:t xml:space="preserve">50.160 to submit as part of the application the analysis used to determine whether the criteria in </w:t>
      </w:r>
      <w:r w:rsidR="0050255F">
        <w:rPr>
          <w:rFonts w:ascii="Arial" w:hAnsi="Arial" w:cs="Arial"/>
          <w:sz w:val="22"/>
          <w:szCs w:val="22"/>
        </w:rPr>
        <w:t>10 CFR </w:t>
      </w:r>
      <w:r w:rsidRPr="004045D1">
        <w:rPr>
          <w:rFonts w:ascii="Arial" w:hAnsi="Arial" w:cs="Arial"/>
          <w:sz w:val="22"/>
          <w:szCs w:val="22"/>
        </w:rPr>
        <w:t>50.33(g)(2)(i)(A) and (B) are met and</w:t>
      </w:r>
      <w:r w:rsidRPr="004045D1" w:rsidR="003F00A9">
        <w:rPr>
          <w:rFonts w:ascii="Arial" w:hAnsi="Arial" w:cs="Arial"/>
          <w:sz w:val="22"/>
          <w:szCs w:val="22"/>
        </w:rPr>
        <w:t>,</w:t>
      </w:r>
      <w:r w:rsidRPr="004045D1">
        <w:rPr>
          <w:rFonts w:ascii="Arial" w:hAnsi="Arial" w:cs="Arial"/>
          <w:sz w:val="22"/>
          <w:szCs w:val="22"/>
        </w:rPr>
        <w:t xml:space="preserve"> if met</w:t>
      </w:r>
      <w:r w:rsidRPr="004045D1" w:rsidR="003F00A9">
        <w:rPr>
          <w:rFonts w:ascii="Arial" w:hAnsi="Arial" w:cs="Arial"/>
          <w:sz w:val="22"/>
          <w:szCs w:val="22"/>
        </w:rPr>
        <w:t>,</w:t>
      </w:r>
      <w:r w:rsidRPr="004045D1">
        <w:rPr>
          <w:rFonts w:ascii="Arial" w:hAnsi="Arial" w:cs="Arial"/>
          <w:sz w:val="22"/>
          <w:szCs w:val="22"/>
        </w:rPr>
        <w:t xml:space="preserve"> the size of the plume exposure pathway EPZ. The criteria in </w:t>
      </w:r>
      <w:r w:rsidRPr="004045D1" w:rsidR="002E2913">
        <w:rPr>
          <w:rFonts w:ascii="Arial" w:hAnsi="Arial" w:cs="Arial"/>
          <w:sz w:val="22"/>
          <w:szCs w:val="22"/>
        </w:rPr>
        <w:t>10</w:t>
      </w:r>
      <w:r w:rsidR="00572FD1">
        <w:rPr>
          <w:rFonts w:ascii="Arial" w:hAnsi="Arial" w:cs="Arial"/>
          <w:sz w:val="22"/>
          <w:szCs w:val="22"/>
        </w:rPr>
        <w:t> </w:t>
      </w:r>
      <w:r w:rsidRPr="004045D1" w:rsidR="002E2913">
        <w:rPr>
          <w:rFonts w:ascii="Arial" w:hAnsi="Arial" w:cs="Arial"/>
          <w:sz w:val="22"/>
          <w:szCs w:val="22"/>
        </w:rPr>
        <w:t>CFR</w:t>
      </w:r>
      <w:r w:rsidR="00572FD1">
        <w:rPr>
          <w:rFonts w:ascii="Arial" w:hAnsi="Arial" w:cs="Arial"/>
          <w:sz w:val="22"/>
          <w:szCs w:val="22"/>
        </w:rPr>
        <w:t> </w:t>
      </w:r>
      <w:r w:rsidRPr="004045D1">
        <w:rPr>
          <w:rFonts w:ascii="Arial" w:hAnsi="Arial" w:cs="Arial"/>
          <w:sz w:val="22"/>
          <w:szCs w:val="22"/>
        </w:rPr>
        <w:t xml:space="preserve">50.33(g)(2)(i)(A) and (B) </w:t>
      </w:r>
      <w:r w:rsidRPr="004045D1" w:rsidR="00693E29">
        <w:rPr>
          <w:rFonts w:ascii="Arial" w:hAnsi="Arial" w:cs="Arial"/>
          <w:sz w:val="22"/>
          <w:szCs w:val="22"/>
        </w:rPr>
        <w:t>are that the plume exposure</w:t>
      </w:r>
      <w:r w:rsidRPr="004045D1">
        <w:rPr>
          <w:rFonts w:ascii="Arial" w:hAnsi="Arial" w:cs="Arial"/>
          <w:sz w:val="22"/>
          <w:szCs w:val="22"/>
        </w:rPr>
        <w:t xml:space="preserve"> </w:t>
      </w:r>
      <w:r w:rsidRPr="004045D1" w:rsidR="006F503B">
        <w:rPr>
          <w:rFonts w:ascii="Arial" w:hAnsi="Arial" w:cs="Arial"/>
          <w:sz w:val="22"/>
          <w:szCs w:val="22"/>
        </w:rPr>
        <w:t>pathway EPZ</w:t>
      </w:r>
      <w:r w:rsidRPr="004045D1" w:rsidR="0073463F">
        <w:rPr>
          <w:rFonts w:ascii="Arial" w:hAnsi="Arial" w:cs="Arial"/>
          <w:sz w:val="22"/>
          <w:szCs w:val="22"/>
        </w:rPr>
        <w:t xml:space="preserve"> </w:t>
      </w:r>
      <w:r w:rsidRPr="004045D1" w:rsidR="006F503B">
        <w:rPr>
          <w:rFonts w:ascii="Arial" w:hAnsi="Arial" w:cs="Arial"/>
          <w:sz w:val="22"/>
          <w:szCs w:val="22"/>
        </w:rPr>
        <w:t>is the area within which</w:t>
      </w:r>
      <w:r w:rsidRPr="004045D1">
        <w:rPr>
          <w:rFonts w:ascii="Arial" w:hAnsi="Arial" w:cs="Arial"/>
          <w:sz w:val="22"/>
          <w:szCs w:val="22"/>
        </w:rPr>
        <w:t xml:space="preserve"> public dose </w:t>
      </w:r>
      <w:r w:rsidRPr="004045D1" w:rsidR="00710370">
        <w:rPr>
          <w:rFonts w:ascii="Arial" w:hAnsi="Arial" w:cs="Arial"/>
          <w:sz w:val="22"/>
          <w:szCs w:val="22"/>
        </w:rPr>
        <w:t xml:space="preserve">is projected </w:t>
      </w:r>
      <w:r w:rsidRPr="004045D1">
        <w:rPr>
          <w:rFonts w:ascii="Arial" w:hAnsi="Arial" w:cs="Arial"/>
          <w:sz w:val="22"/>
          <w:szCs w:val="22"/>
        </w:rPr>
        <w:t xml:space="preserve">to exceed 10 </w:t>
      </w:r>
      <w:r w:rsidR="00121B0A">
        <w:rPr>
          <w:rFonts w:ascii="Arial" w:hAnsi="Arial" w:cs="Arial"/>
          <w:sz w:val="22"/>
          <w:szCs w:val="22"/>
        </w:rPr>
        <w:t>millisieverts</w:t>
      </w:r>
      <w:r w:rsidR="001C1A6A">
        <w:rPr>
          <w:rFonts w:ascii="Arial" w:hAnsi="Arial" w:cs="Arial"/>
          <w:sz w:val="22"/>
          <w:szCs w:val="22"/>
        </w:rPr>
        <w:t xml:space="preserve"> (</w:t>
      </w:r>
      <w:r w:rsidRPr="004045D1">
        <w:rPr>
          <w:rFonts w:ascii="Arial" w:hAnsi="Arial" w:cs="Arial"/>
          <w:sz w:val="22"/>
          <w:szCs w:val="22"/>
        </w:rPr>
        <w:t>mSv</w:t>
      </w:r>
      <w:r w:rsidR="001C1A6A">
        <w:rPr>
          <w:rFonts w:ascii="Arial" w:hAnsi="Arial" w:cs="Arial"/>
          <w:sz w:val="22"/>
          <w:szCs w:val="22"/>
        </w:rPr>
        <w:t>)</w:t>
      </w:r>
      <w:r w:rsidRPr="004045D1">
        <w:rPr>
          <w:rFonts w:ascii="Arial" w:hAnsi="Arial" w:cs="Arial"/>
          <w:sz w:val="22"/>
          <w:szCs w:val="22"/>
        </w:rPr>
        <w:t xml:space="preserve"> (1 rem) </w:t>
      </w:r>
      <w:r w:rsidR="00D57B65">
        <w:rPr>
          <w:rFonts w:ascii="Arial" w:hAnsi="Arial" w:cs="Arial"/>
          <w:sz w:val="22"/>
          <w:szCs w:val="22"/>
        </w:rPr>
        <w:t>TEDE</w:t>
      </w:r>
      <w:r w:rsidRPr="004045D1">
        <w:rPr>
          <w:rFonts w:ascii="Arial" w:hAnsi="Arial" w:cs="Arial"/>
          <w:sz w:val="22"/>
          <w:szCs w:val="22"/>
        </w:rPr>
        <w:t xml:space="preserve"> over 96 hours from the release of radioactive materials from the facility considering accident likelihood and source term, timing of the accident sequence, and meteorology; and predetermined, prompt protective measures are necessary.</w:t>
      </w:r>
    </w:p>
    <w:p w:rsidR="007F112A" w:rsidRPr="004045D1" w:rsidP="007E5855" w14:paraId="2BE40A29" w14:textId="77777777">
      <w:pPr>
        <w:spacing w:after="220"/>
        <w:rPr>
          <w:rFonts w:ascii="Arial" w:hAnsi="Arial" w:cs="Arial"/>
          <w:sz w:val="22"/>
          <w:szCs w:val="22"/>
        </w:rPr>
      </w:pPr>
      <w:r w:rsidRPr="00300CBB">
        <w:rPr>
          <w:rFonts w:ascii="Arial" w:hAnsi="Arial" w:cs="Arial"/>
          <w:sz w:val="22"/>
          <w:szCs w:val="22"/>
        </w:rPr>
        <w:t xml:space="preserve">The NRC </w:t>
      </w:r>
      <w:r w:rsidR="005B127D">
        <w:rPr>
          <w:rFonts w:ascii="Arial" w:hAnsi="Arial" w:cs="Arial"/>
          <w:sz w:val="22"/>
          <w:szCs w:val="22"/>
        </w:rPr>
        <w:t>dis</w:t>
      </w:r>
      <w:r w:rsidRPr="00300CBB" w:rsidR="00CA5982">
        <w:rPr>
          <w:rFonts w:ascii="Arial" w:hAnsi="Arial" w:cs="Arial"/>
          <w:sz w:val="22"/>
          <w:szCs w:val="22"/>
        </w:rPr>
        <w:t>agrees</w:t>
      </w:r>
      <w:r w:rsidR="00953ABF">
        <w:rPr>
          <w:rFonts w:ascii="Arial" w:hAnsi="Arial" w:cs="Arial"/>
          <w:sz w:val="22"/>
          <w:szCs w:val="22"/>
        </w:rPr>
        <w:t xml:space="preserve"> </w:t>
      </w:r>
      <w:r w:rsidRPr="00300CBB">
        <w:rPr>
          <w:rFonts w:ascii="Arial" w:hAnsi="Arial" w:cs="Arial"/>
          <w:sz w:val="22"/>
          <w:szCs w:val="22"/>
        </w:rPr>
        <w:t>with the opposition to any provision that would allow nuclear power plants to be exempt from the requirement to protect against the DBT of radiological sabotage</w:t>
      </w:r>
      <w:r w:rsidRPr="00300CBB" w:rsidR="003C3643">
        <w:rPr>
          <w:rFonts w:ascii="Arial" w:hAnsi="Arial" w:cs="Arial"/>
          <w:sz w:val="22"/>
          <w:szCs w:val="22"/>
        </w:rPr>
        <w:t>.</w:t>
      </w:r>
      <w:r w:rsidRPr="00300CBB" w:rsidR="00CA5982">
        <w:rPr>
          <w:rFonts w:ascii="Arial" w:hAnsi="Arial" w:cs="Arial"/>
          <w:sz w:val="22"/>
          <w:szCs w:val="22"/>
        </w:rPr>
        <w:t xml:space="preserve"> </w:t>
      </w:r>
      <w:r w:rsidR="0057031A">
        <w:rPr>
          <w:rFonts w:ascii="Arial" w:hAnsi="Arial" w:cs="Arial"/>
          <w:sz w:val="22"/>
          <w:szCs w:val="22"/>
        </w:rPr>
        <w:t>The NRC has deleted</w:t>
      </w:r>
      <w:r w:rsidRPr="00300CBB" w:rsidR="00CA5982">
        <w:rPr>
          <w:rFonts w:ascii="Arial" w:hAnsi="Arial" w:cs="Arial"/>
          <w:sz w:val="22"/>
          <w:szCs w:val="22"/>
        </w:rPr>
        <w:t xml:space="preserve"> </w:t>
      </w:r>
      <w:r w:rsidRPr="004045D1">
        <w:rPr>
          <w:rFonts w:ascii="Arial" w:hAnsi="Arial" w:cs="Arial"/>
          <w:sz w:val="22"/>
          <w:szCs w:val="22"/>
        </w:rPr>
        <w:t>10 CFR 53.860(a)(2)(i) from the rule language</w:t>
      </w:r>
      <w:r w:rsidR="00A206B3">
        <w:rPr>
          <w:rFonts w:ascii="Arial" w:hAnsi="Arial" w:cs="Arial"/>
          <w:sz w:val="22"/>
          <w:szCs w:val="22"/>
        </w:rPr>
        <w:t xml:space="preserve"> (see</w:t>
      </w:r>
      <w:r w:rsidR="00255261">
        <w:rPr>
          <w:rFonts w:ascii="Arial" w:hAnsi="Arial" w:cs="Arial"/>
          <w:sz w:val="22"/>
          <w:szCs w:val="22"/>
        </w:rPr>
        <w:t xml:space="preserve"> </w:t>
      </w:r>
      <w:r w:rsidR="00D57C9F">
        <w:rPr>
          <w:rFonts w:ascii="Arial" w:hAnsi="Arial" w:cs="Arial"/>
          <w:sz w:val="22"/>
          <w:szCs w:val="22"/>
        </w:rPr>
        <w:t xml:space="preserve">the NRC’s response </w:t>
      </w:r>
      <w:r w:rsidR="0095432C">
        <w:rPr>
          <w:rFonts w:ascii="Arial" w:hAnsi="Arial" w:cs="Arial"/>
          <w:sz w:val="22"/>
          <w:szCs w:val="22"/>
        </w:rPr>
        <w:t>and</w:t>
      </w:r>
      <w:r w:rsidR="0086330E">
        <w:rPr>
          <w:rFonts w:ascii="Arial" w:hAnsi="Arial" w:cs="Arial"/>
          <w:sz w:val="22"/>
          <w:szCs w:val="22"/>
        </w:rPr>
        <w:t xml:space="preserve"> rule language revisions </w:t>
      </w:r>
      <w:r w:rsidR="005323F0">
        <w:rPr>
          <w:rFonts w:ascii="Arial" w:hAnsi="Arial" w:cs="Arial"/>
          <w:sz w:val="22"/>
          <w:szCs w:val="22"/>
        </w:rPr>
        <w:t xml:space="preserve">in response </w:t>
      </w:r>
      <w:r w:rsidR="00D57C9F">
        <w:rPr>
          <w:rFonts w:ascii="Arial" w:hAnsi="Arial" w:cs="Arial"/>
          <w:sz w:val="22"/>
          <w:szCs w:val="22"/>
        </w:rPr>
        <w:t xml:space="preserve">to </w:t>
      </w:r>
      <w:r w:rsidR="00255261">
        <w:rPr>
          <w:rFonts w:ascii="Arial" w:hAnsi="Arial" w:cs="Arial"/>
          <w:sz w:val="22"/>
          <w:szCs w:val="22"/>
        </w:rPr>
        <w:t>Comment Bin</w:t>
      </w:r>
      <w:r w:rsidR="00D57C9F">
        <w:rPr>
          <w:rFonts w:ascii="Arial" w:hAnsi="Arial" w:cs="Arial"/>
          <w:sz w:val="22"/>
          <w:szCs w:val="22"/>
        </w:rPr>
        <w:t> </w:t>
      </w:r>
      <w:r w:rsidRPr="00255261" w:rsidR="00255261">
        <w:rPr>
          <w:rFonts w:ascii="Arial" w:hAnsi="Arial" w:cs="Arial"/>
          <w:sz w:val="22"/>
          <w:szCs w:val="22"/>
        </w:rPr>
        <w:t>3.6.3.3.C</w:t>
      </w:r>
      <w:r w:rsidR="00255261">
        <w:rPr>
          <w:rFonts w:ascii="Arial" w:hAnsi="Arial" w:cs="Arial"/>
          <w:sz w:val="22"/>
          <w:szCs w:val="22"/>
        </w:rPr>
        <w:t>)</w:t>
      </w:r>
      <w:r w:rsidRPr="004045D1">
        <w:rPr>
          <w:rFonts w:ascii="Arial" w:hAnsi="Arial" w:cs="Arial"/>
          <w:sz w:val="22"/>
          <w:szCs w:val="22"/>
        </w:rPr>
        <w:t xml:space="preserve">. </w:t>
      </w:r>
      <w:r w:rsidR="009961B4">
        <w:rPr>
          <w:rFonts w:ascii="Arial" w:hAnsi="Arial" w:cs="Arial"/>
          <w:sz w:val="22"/>
          <w:szCs w:val="22"/>
        </w:rPr>
        <w:t>I</w:t>
      </w:r>
      <w:r w:rsidRPr="00300CBB" w:rsidR="00CD331A">
        <w:rPr>
          <w:rFonts w:ascii="Arial" w:hAnsi="Arial" w:cs="Arial"/>
          <w:sz w:val="22"/>
          <w:szCs w:val="22"/>
        </w:rPr>
        <w:t xml:space="preserve">nstead, </w:t>
      </w:r>
      <w:r w:rsidR="0023407B">
        <w:rPr>
          <w:rFonts w:ascii="Arial" w:hAnsi="Arial" w:cs="Arial"/>
          <w:sz w:val="22"/>
          <w:szCs w:val="22"/>
        </w:rPr>
        <w:t>in this final rule</w:t>
      </w:r>
      <w:r w:rsidRPr="00300CBB" w:rsidR="00CD331A">
        <w:rPr>
          <w:rFonts w:ascii="Arial" w:hAnsi="Arial" w:cs="Arial"/>
          <w:sz w:val="22"/>
          <w:szCs w:val="22"/>
        </w:rPr>
        <w:t xml:space="preserve"> </w:t>
      </w:r>
      <w:r w:rsidR="009961B4">
        <w:rPr>
          <w:rFonts w:ascii="Arial" w:hAnsi="Arial" w:cs="Arial"/>
          <w:sz w:val="22"/>
          <w:szCs w:val="22"/>
        </w:rPr>
        <w:t xml:space="preserve">the </w:t>
      </w:r>
      <w:r w:rsidRPr="00300CBB" w:rsidR="00CD331A">
        <w:rPr>
          <w:rFonts w:ascii="Arial" w:hAnsi="Arial" w:cs="Arial"/>
          <w:sz w:val="22"/>
          <w:szCs w:val="22"/>
        </w:rPr>
        <w:t xml:space="preserve">NRC </w:t>
      </w:r>
      <w:r w:rsidR="009961B4">
        <w:rPr>
          <w:rFonts w:ascii="Arial" w:hAnsi="Arial" w:cs="Arial"/>
          <w:sz w:val="22"/>
          <w:szCs w:val="22"/>
        </w:rPr>
        <w:t>has</w:t>
      </w:r>
      <w:r w:rsidR="00CD331A">
        <w:rPr>
          <w:rFonts w:ascii="Arial" w:hAnsi="Arial" w:cs="Arial"/>
          <w:sz w:val="22"/>
          <w:szCs w:val="22"/>
        </w:rPr>
        <w:t xml:space="preserve"> </w:t>
      </w:r>
      <w:r w:rsidRPr="00300CBB" w:rsidR="00CD331A">
        <w:rPr>
          <w:rFonts w:ascii="Arial" w:hAnsi="Arial" w:cs="Arial"/>
          <w:sz w:val="22"/>
          <w:szCs w:val="22"/>
        </w:rPr>
        <w:t>provided a graded approach that allows licensees to be exempt from certain physical security requirement</w:t>
      </w:r>
      <w:r w:rsidRPr="00300CBB" w:rsidR="00C013B1">
        <w:rPr>
          <w:rFonts w:ascii="Arial" w:hAnsi="Arial" w:cs="Arial"/>
          <w:sz w:val="22"/>
          <w:szCs w:val="22"/>
        </w:rPr>
        <w:t>s</w:t>
      </w:r>
      <w:r w:rsidRPr="00300CBB" w:rsidR="002B007D">
        <w:rPr>
          <w:rFonts w:ascii="Arial" w:hAnsi="Arial" w:cs="Arial"/>
          <w:sz w:val="22"/>
          <w:szCs w:val="22"/>
        </w:rPr>
        <w:t xml:space="preserve"> in 10</w:t>
      </w:r>
      <w:r w:rsidR="00A44EAC">
        <w:rPr>
          <w:rFonts w:ascii="Arial" w:hAnsi="Arial" w:cs="Arial"/>
          <w:sz w:val="22"/>
          <w:szCs w:val="22"/>
        </w:rPr>
        <w:t> </w:t>
      </w:r>
      <w:r w:rsidRPr="00300CBB" w:rsidR="002B007D">
        <w:rPr>
          <w:rFonts w:ascii="Arial" w:hAnsi="Arial" w:cs="Arial"/>
          <w:sz w:val="22"/>
          <w:szCs w:val="22"/>
        </w:rPr>
        <w:t>CFR</w:t>
      </w:r>
      <w:r w:rsidR="00A44EAC">
        <w:rPr>
          <w:rFonts w:ascii="Arial" w:hAnsi="Arial" w:cs="Arial"/>
          <w:sz w:val="22"/>
          <w:szCs w:val="22"/>
        </w:rPr>
        <w:t> </w:t>
      </w:r>
      <w:r w:rsidRPr="00300CBB" w:rsidR="002B007D">
        <w:rPr>
          <w:rFonts w:ascii="Arial" w:hAnsi="Arial" w:cs="Arial"/>
          <w:sz w:val="22"/>
          <w:szCs w:val="22"/>
        </w:rPr>
        <w:t>73.100</w:t>
      </w:r>
      <w:r w:rsidRPr="00300CBB" w:rsidR="00075303">
        <w:rPr>
          <w:rFonts w:ascii="Arial" w:hAnsi="Arial" w:cs="Arial"/>
          <w:sz w:val="22"/>
          <w:szCs w:val="22"/>
        </w:rPr>
        <w:t xml:space="preserve"> </w:t>
      </w:r>
      <w:r w:rsidRPr="00300CBB" w:rsidR="002B007D">
        <w:rPr>
          <w:rFonts w:ascii="Arial" w:hAnsi="Arial" w:cs="Arial"/>
          <w:sz w:val="22"/>
          <w:szCs w:val="22"/>
        </w:rPr>
        <w:t>(</w:t>
      </w:r>
      <w:r w:rsidRPr="00300CBB" w:rsidR="00C57D1F">
        <w:rPr>
          <w:rFonts w:ascii="Arial" w:hAnsi="Arial" w:cs="Arial"/>
          <w:sz w:val="22"/>
          <w:szCs w:val="22"/>
        </w:rPr>
        <w:t>see the NRC’s response and rule language revisions in response to Comment Bin </w:t>
      </w:r>
      <w:r w:rsidRPr="00300CBB" w:rsidR="00A24BED">
        <w:rPr>
          <w:rFonts w:ascii="Arial" w:hAnsi="Arial" w:cs="Arial"/>
          <w:sz w:val="22"/>
          <w:szCs w:val="22"/>
        </w:rPr>
        <w:t>5.1.</w:t>
      </w:r>
      <w:r w:rsidRPr="00300CBB" w:rsidR="00075303">
        <w:rPr>
          <w:rFonts w:ascii="Arial" w:hAnsi="Arial" w:cs="Arial"/>
          <w:sz w:val="22"/>
          <w:szCs w:val="22"/>
        </w:rPr>
        <w:t>B</w:t>
      </w:r>
      <w:r w:rsidRPr="00300CBB" w:rsidR="00A24BED">
        <w:rPr>
          <w:rFonts w:ascii="Arial" w:hAnsi="Arial" w:cs="Arial"/>
          <w:sz w:val="22"/>
          <w:szCs w:val="22"/>
        </w:rPr>
        <w:t>)</w:t>
      </w:r>
      <w:r w:rsidRPr="00300CBB" w:rsidR="00D32DF1">
        <w:rPr>
          <w:rFonts w:ascii="Arial" w:hAnsi="Arial" w:cs="Arial"/>
          <w:sz w:val="22"/>
          <w:szCs w:val="22"/>
        </w:rPr>
        <w:t>.</w:t>
      </w:r>
      <w:r w:rsidR="00E07F12">
        <w:rPr>
          <w:rFonts w:ascii="Arial" w:hAnsi="Arial" w:cs="Arial"/>
          <w:sz w:val="22"/>
          <w:szCs w:val="22"/>
        </w:rPr>
        <w:t xml:space="preserve"> </w:t>
      </w:r>
      <w:r w:rsidR="007D6B5D">
        <w:rPr>
          <w:rFonts w:ascii="Arial" w:hAnsi="Arial" w:cs="Arial"/>
          <w:sz w:val="22"/>
          <w:szCs w:val="22"/>
        </w:rPr>
        <w:t xml:space="preserve">Under </w:t>
      </w:r>
      <w:r w:rsidR="00C018A2">
        <w:rPr>
          <w:rFonts w:ascii="Arial" w:hAnsi="Arial" w:cs="Arial"/>
          <w:sz w:val="22"/>
          <w:szCs w:val="22"/>
        </w:rPr>
        <w:t>10</w:t>
      </w:r>
      <w:r w:rsidR="009B2FBF">
        <w:rPr>
          <w:rFonts w:ascii="Arial" w:hAnsi="Arial" w:cs="Arial"/>
          <w:sz w:val="22"/>
          <w:szCs w:val="22"/>
        </w:rPr>
        <w:t> </w:t>
      </w:r>
      <w:r w:rsidR="00C018A2">
        <w:rPr>
          <w:rFonts w:ascii="Arial" w:hAnsi="Arial" w:cs="Arial"/>
          <w:sz w:val="22"/>
          <w:szCs w:val="22"/>
        </w:rPr>
        <w:t>CFR</w:t>
      </w:r>
      <w:r w:rsidR="009B2FBF">
        <w:rPr>
          <w:rFonts w:ascii="Arial" w:hAnsi="Arial" w:cs="Arial"/>
          <w:sz w:val="22"/>
          <w:szCs w:val="22"/>
        </w:rPr>
        <w:t> </w:t>
      </w:r>
      <w:r w:rsidR="00C018A2">
        <w:rPr>
          <w:rFonts w:ascii="Arial" w:hAnsi="Arial" w:cs="Arial"/>
          <w:sz w:val="22"/>
          <w:szCs w:val="22"/>
        </w:rPr>
        <w:t>73.100(a)(</w:t>
      </w:r>
      <w:r w:rsidR="00283D6A">
        <w:rPr>
          <w:rFonts w:ascii="Arial" w:hAnsi="Arial" w:cs="Arial"/>
          <w:sz w:val="22"/>
          <w:szCs w:val="22"/>
        </w:rPr>
        <w:t xml:space="preserve">1)(i), </w:t>
      </w:r>
      <w:r w:rsidR="00545F75">
        <w:rPr>
          <w:rFonts w:ascii="Arial" w:hAnsi="Arial" w:cs="Arial"/>
          <w:sz w:val="22"/>
          <w:szCs w:val="22"/>
        </w:rPr>
        <w:t xml:space="preserve">a </w:t>
      </w:r>
      <w:r w:rsidR="00283D6A">
        <w:rPr>
          <w:rFonts w:ascii="Arial" w:hAnsi="Arial" w:cs="Arial"/>
          <w:sz w:val="22"/>
          <w:szCs w:val="22"/>
        </w:rPr>
        <w:t>l</w:t>
      </w:r>
      <w:r w:rsidR="00E07F12">
        <w:rPr>
          <w:rFonts w:ascii="Arial" w:hAnsi="Arial" w:cs="Arial"/>
          <w:sz w:val="22"/>
          <w:szCs w:val="22"/>
        </w:rPr>
        <w:t>icensee</w:t>
      </w:r>
      <w:r w:rsidR="00545F75">
        <w:rPr>
          <w:rFonts w:ascii="Arial" w:hAnsi="Arial" w:cs="Arial"/>
          <w:sz w:val="22"/>
          <w:szCs w:val="22"/>
        </w:rPr>
        <w:t xml:space="preserve"> is exempt from </w:t>
      </w:r>
      <w:r w:rsidR="00847023">
        <w:rPr>
          <w:rFonts w:ascii="Arial" w:hAnsi="Arial" w:cs="Arial"/>
          <w:sz w:val="22"/>
          <w:szCs w:val="22"/>
        </w:rPr>
        <w:t xml:space="preserve">requirements for defense against the DBT </w:t>
      </w:r>
      <w:r w:rsidR="00971528">
        <w:rPr>
          <w:rFonts w:ascii="Arial" w:hAnsi="Arial" w:cs="Arial"/>
          <w:sz w:val="22"/>
          <w:szCs w:val="22"/>
        </w:rPr>
        <w:t xml:space="preserve">only </w:t>
      </w:r>
      <w:r w:rsidR="00847023">
        <w:rPr>
          <w:rFonts w:ascii="Arial" w:hAnsi="Arial" w:cs="Arial"/>
          <w:sz w:val="22"/>
          <w:szCs w:val="22"/>
        </w:rPr>
        <w:t>if it</w:t>
      </w:r>
      <w:r w:rsidR="00FF08B6">
        <w:rPr>
          <w:rFonts w:ascii="Arial" w:hAnsi="Arial" w:cs="Arial"/>
          <w:sz w:val="22"/>
          <w:szCs w:val="22"/>
        </w:rPr>
        <w:t xml:space="preserve"> demonstrate</w:t>
      </w:r>
      <w:r w:rsidR="00847023">
        <w:rPr>
          <w:rFonts w:ascii="Arial" w:hAnsi="Arial" w:cs="Arial"/>
          <w:sz w:val="22"/>
          <w:szCs w:val="22"/>
        </w:rPr>
        <w:t>s</w:t>
      </w:r>
      <w:r w:rsidR="00FF08B6">
        <w:rPr>
          <w:rFonts w:ascii="Arial" w:hAnsi="Arial" w:cs="Arial"/>
          <w:sz w:val="22"/>
          <w:szCs w:val="22"/>
        </w:rPr>
        <w:t xml:space="preserve"> that </w:t>
      </w:r>
      <w:r w:rsidR="003F4FA6">
        <w:rPr>
          <w:rFonts w:ascii="Arial" w:hAnsi="Arial" w:cs="Arial"/>
          <w:sz w:val="22"/>
          <w:szCs w:val="22"/>
        </w:rPr>
        <w:t>it has</w:t>
      </w:r>
      <w:r w:rsidR="00FF08B6">
        <w:rPr>
          <w:rFonts w:ascii="Arial" w:hAnsi="Arial" w:cs="Arial"/>
          <w:sz w:val="22"/>
          <w:szCs w:val="22"/>
        </w:rPr>
        <w:t xml:space="preserve"> no achievable target sets and </w:t>
      </w:r>
      <w:r w:rsidR="00CD51D1">
        <w:rPr>
          <w:rFonts w:ascii="Arial" w:hAnsi="Arial" w:cs="Arial"/>
          <w:sz w:val="22"/>
          <w:szCs w:val="22"/>
        </w:rPr>
        <w:t>do</w:t>
      </w:r>
      <w:r w:rsidR="003F4FA6">
        <w:rPr>
          <w:rFonts w:ascii="Arial" w:hAnsi="Arial" w:cs="Arial"/>
          <w:sz w:val="22"/>
          <w:szCs w:val="22"/>
        </w:rPr>
        <w:t>es</w:t>
      </w:r>
      <w:r w:rsidR="00CD51D1">
        <w:rPr>
          <w:rFonts w:ascii="Arial" w:hAnsi="Arial" w:cs="Arial"/>
          <w:sz w:val="22"/>
          <w:szCs w:val="22"/>
        </w:rPr>
        <w:t xml:space="preserve"> not rely on any active measures </w:t>
      </w:r>
      <w:r w:rsidRPr="000E5627" w:rsidR="000E5627">
        <w:rPr>
          <w:rFonts w:ascii="Arial" w:hAnsi="Arial" w:cs="Arial"/>
          <w:sz w:val="22"/>
          <w:szCs w:val="22"/>
        </w:rPr>
        <w:t>(e.g., operator action, mitigative action, detection, assessment, armed response)</w:t>
      </w:r>
      <w:r w:rsidR="00CD51D1">
        <w:rPr>
          <w:rFonts w:ascii="Arial" w:hAnsi="Arial" w:cs="Arial"/>
          <w:sz w:val="22"/>
          <w:szCs w:val="22"/>
        </w:rPr>
        <w:t xml:space="preserve"> to prevent a significant release of radionuclides</w:t>
      </w:r>
      <w:r w:rsidR="003F4FA6">
        <w:rPr>
          <w:rFonts w:ascii="Arial" w:hAnsi="Arial" w:cs="Arial"/>
          <w:sz w:val="22"/>
          <w:szCs w:val="22"/>
        </w:rPr>
        <w:t>.</w:t>
      </w:r>
      <w:r w:rsidR="00CD51D1">
        <w:rPr>
          <w:rFonts w:ascii="Arial" w:hAnsi="Arial" w:cs="Arial"/>
          <w:sz w:val="22"/>
          <w:szCs w:val="22"/>
        </w:rPr>
        <w:t xml:space="preserve"> </w:t>
      </w:r>
    </w:p>
    <w:p w:rsidR="004220D7" w:rsidRPr="004045D1" w:rsidP="007E5855" w14:paraId="6666993D" w14:textId="77777777">
      <w:pPr>
        <w:spacing w:after="220"/>
        <w:rPr>
          <w:rFonts w:ascii="Arial" w:hAnsi="Arial" w:cs="Arial"/>
          <w:sz w:val="22"/>
          <w:szCs w:val="22"/>
        </w:rPr>
      </w:pPr>
      <w:r w:rsidRPr="004045D1">
        <w:rPr>
          <w:rFonts w:ascii="Arial" w:hAnsi="Arial" w:cs="Arial"/>
          <w:sz w:val="22"/>
          <w:szCs w:val="22"/>
        </w:rPr>
        <w:t>Accordingly, the NRC did not change the rule language in response to these comments.</w:t>
      </w:r>
    </w:p>
    <w:p w:rsidR="007F112A" w:rsidRPr="004045D1" w:rsidP="004045D1" w14:paraId="0911AAE8" w14:textId="77777777">
      <w:pPr>
        <w:spacing w:after="220"/>
        <w:rPr>
          <w:rFonts w:ascii="Arial" w:hAnsi="Arial" w:cs="Arial"/>
          <w:sz w:val="22"/>
          <w:szCs w:val="22"/>
        </w:rPr>
      </w:pPr>
      <w:r>
        <w:rPr>
          <w:rFonts w:ascii="Arial" w:eastAsia="Times New Roman" w:hAnsi="Arial" w:cs="Arial"/>
          <w:sz w:val="22"/>
          <w:szCs w:val="22"/>
          <w:lang w:eastAsia="zh-CN"/>
        </w:rPr>
        <w:pict>
          <v:rect id="_x0000_i1208" style="width:0;height:1.5pt" o:hralign="center" o:hrstd="t" o:hrnoshade="t" o:hr="t" fillcolor="black" stroked="f"/>
        </w:pict>
      </w:r>
    </w:p>
    <w:p w:rsidR="007F112A" w:rsidP="003B4D45" w14:paraId="05D62F6C" w14:textId="77777777">
      <w:pPr>
        <w:rPr>
          <w:rFonts w:ascii="Arial" w:hAnsi="Arial" w:cs="Arial"/>
          <w:sz w:val="22"/>
          <w:szCs w:val="22"/>
        </w:rPr>
      </w:pPr>
      <w:r w:rsidRPr="004045D1">
        <w:rPr>
          <w:rFonts w:ascii="Arial" w:eastAsia="DengXian" w:hAnsi="Arial" w:cs="Arial"/>
          <w:b/>
          <w:sz w:val="22"/>
          <w:szCs w:val="22"/>
        </w:rPr>
        <w:t>Comment Bin 3.6.3.1.D:</w:t>
      </w:r>
      <w:r w:rsidRPr="004045D1">
        <w:rPr>
          <w:rFonts w:ascii="Arial" w:eastAsia="DengXian" w:hAnsi="Arial" w:cs="Arial"/>
          <w:sz w:val="22"/>
          <w:szCs w:val="22"/>
        </w:rPr>
        <w:t xml:space="preserve"> </w:t>
      </w:r>
      <w:r w:rsidRPr="004045D1">
        <w:rPr>
          <w:rFonts w:ascii="Arial" w:hAnsi="Arial" w:cs="Arial"/>
          <w:sz w:val="22"/>
          <w:szCs w:val="22"/>
        </w:rPr>
        <w:t>A commenter wrote that the NRC needs to provide further guidance on what the site-specific analysis identified in 10 CFR 53.4330(a)(2)(i) and (ii) would entail and how an applicant would fulfill this requirement. The commenter asked the following questions (</w:t>
      </w:r>
      <w:r w:rsidRPr="00BD44CA" w:rsidR="00BD44CA">
        <w:rPr>
          <w:rFonts w:ascii="Arial" w:eastAsia="Times New Roman" w:hAnsi="Arial" w:cs="Arial"/>
          <w:color w:val="000000"/>
          <w:sz w:val="22"/>
          <w:szCs w:val="22"/>
        </w:rPr>
        <w:t>AN5</w:t>
      </w:r>
      <w:r w:rsidRPr="00BD44CA">
        <w:rPr>
          <w:rFonts w:ascii="Arial" w:hAnsi="Arial" w:cs="Arial"/>
          <w:sz w:val="22"/>
          <w:szCs w:val="22"/>
        </w:rPr>
        <w:t>-00</w:t>
      </w:r>
      <w:r w:rsidRPr="004045D1">
        <w:rPr>
          <w:rFonts w:ascii="Arial" w:hAnsi="Arial" w:cs="Arial"/>
          <w:sz w:val="22"/>
          <w:szCs w:val="22"/>
        </w:rPr>
        <w:t xml:space="preserve">05): </w:t>
      </w:r>
    </w:p>
    <w:p w:rsidR="00CC092E" w:rsidRPr="004045D1" w:rsidP="003B4D45" w14:paraId="04E5EB00" w14:textId="77777777">
      <w:pPr>
        <w:rPr>
          <w:rFonts w:ascii="Arial" w:hAnsi="Arial" w:cs="Arial"/>
          <w:sz w:val="22"/>
          <w:szCs w:val="22"/>
        </w:rPr>
      </w:pPr>
    </w:p>
    <w:p w:rsidR="007F112A" w:rsidRPr="004045D1" w:rsidP="003B4D45" w14:paraId="03750B49" w14:textId="77777777">
      <w:pPr>
        <w:numPr>
          <w:ilvl w:val="0"/>
          <w:numId w:val="22"/>
        </w:numPr>
        <w:rPr>
          <w:rFonts w:ascii="Arial" w:hAnsi="Arial" w:cs="Arial"/>
          <w:sz w:val="22"/>
          <w:szCs w:val="22"/>
        </w:rPr>
      </w:pPr>
      <w:r w:rsidRPr="004045D1">
        <w:rPr>
          <w:rFonts w:ascii="Arial" w:hAnsi="Arial" w:cs="Arial"/>
          <w:sz w:val="22"/>
          <w:szCs w:val="22"/>
        </w:rPr>
        <w:t>Can a current licensee of a large-LWR meet this requirement?</w:t>
      </w:r>
    </w:p>
    <w:p w:rsidR="007F112A" w:rsidRPr="004045D1" w:rsidP="003B4D45" w14:paraId="3C3EB068" w14:textId="77777777">
      <w:pPr>
        <w:numPr>
          <w:ilvl w:val="0"/>
          <w:numId w:val="22"/>
        </w:numPr>
        <w:rPr>
          <w:rFonts w:ascii="Arial" w:hAnsi="Arial" w:cs="Arial"/>
          <w:sz w:val="22"/>
          <w:szCs w:val="22"/>
        </w:rPr>
      </w:pPr>
      <w:r w:rsidRPr="004045D1">
        <w:rPr>
          <w:rFonts w:ascii="Arial" w:hAnsi="Arial" w:cs="Arial"/>
          <w:sz w:val="22"/>
          <w:szCs w:val="22"/>
        </w:rPr>
        <w:t xml:space="preserve">Has that analysis been done to ensure regulations are equivalent across the fleet, no matter the licensing vehicle that is chosen? </w:t>
      </w:r>
    </w:p>
    <w:p w:rsidR="007F112A" w:rsidRPr="004045D1" w:rsidP="003B4D45" w14:paraId="4C026B29" w14:textId="77777777">
      <w:pPr>
        <w:numPr>
          <w:ilvl w:val="0"/>
          <w:numId w:val="22"/>
        </w:numPr>
        <w:rPr>
          <w:rFonts w:ascii="Arial" w:hAnsi="Arial" w:cs="Arial"/>
          <w:sz w:val="22"/>
          <w:szCs w:val="22"/>
        </w:rPr>
      </w:pPr>
      <w:r w:rsidRPr="004045D1">
        <w:rPr>
          <w:rFonts w:ascii="Arial" w:hAnsi="Arial" w:cs="Arial"/>
          <w:sz w:val="22"/>
          <w:szCs w:val="22"/>
        </w:rPr>
        <w:t xml:space="preserve">Why not apply the same requirements as the current </w:t>
      </w:r>
      <w:r w:rsidR="00F4206B">
        <w:rPr>
          <w:rFonts w:ascii="Arial" w:hAnsi="Arial" w:cs="Arial"/>
          <w:sz w:val="22"/>
          <w:szCs w:val="22"/>
        </w:rPr>
        <w:t xml:space="preserve">research and test reactor </w:t>
      </w:r>
      <w:r w:rsidRPr="004045D1">
        <w:rPr>
          <w:rFonts w:ascii="Arial" w:hAnsi="Arial" w:cs="Arial"/>
          <w:sz w:val="22"/>
          <w:szCs w:val="22"/>
        </w:rPr>
        <w:t>fleet (i.e., 10 CFR 73.60(f))?</w:t>
      </w:r>
    </w:p>
    <w:p w:rsidR="007F112A" w:rsidRPr="004045D1" w:rsidP="003B4D45" w14:paraId="13D5D485" w14:textId="77777777">
      <w:pPr>
        <w:numPr>
          <w:ilvl w:val="0"/>
          <w:numId w:val="22"/>
        </w:numPr>
        <w:rPr>
          <w:rFonts w:ascii="Arial" w:hAnsi="Arial" w:cs="Arial"/>
          <w:sz w:val="22"/>
          <w:szCs w:val="22"/>
        </w:rPr>
      </w:pPr>
      <w:r w:rsidRPr="004045D1">
        <w:rPr>
          <w:rFonts w:ascii="Arial" w:hAnsi="Arial" w:cs="Arial"/>
          <w:sz w:val="22"/>
          <w:szCs w:val="22"/>
        </w:rPr>
        <w:t xml:space="preserve">What is the correlation between 2 </w:t>
      </w:r>
      <w:r w:rsidR="00874014">
        <w:rPr>
          <w:rFonts w:ascii="Arial" w:hAnsi="Arial" w:cs="Arial"/>
          <w:sz w:val="22"/>
          <w:szCs w:val="22"/>
        </w:rPr>
        <w:t>mega</w:t>
      </w:r>
      <w:r w:rsidR="0072529F">
        <w:rPr>
          <w:rFonts w:ascii="Arial" w:hAnsi="Arial" w:cs="Arial"/>
          <w:sz w:val="22"/>
          <w:szCs w:val="22"/>
        </w:rPr>
        <w:t>watt</w:t>
      </w:r>
      <w:r w:rsidRPr="004045D1">
        <w:rPr>
          <w:rFonts w:ascii="Arial" w:hAnsi="Arial" w:cs="Arial"/>
          <w:sz w:val="22"/>
          <w:szCs w:val="22"/>
        </w:rPr>
        <w:t xml:space="preserve"> thermal and the 25 rem dose limit? </w:t>
      </w:r>
    </w:p>
    <w:p w:rsidR="007F112A" w:rsidRPr="004045D1" w:rsidP="003B4D45" w14:paraId="0D46B6E1" w14:textId="77777777">
      <w:pPr>
        <w:numPr>
          <w:ilvl w:val="0"/>
          <w:numId w:val="22"/>
        </w:numPr>
        <w:rPr>
          <w:rFonts w:ascii="Arial" w:hAnsi="Arial" w:cs="Arial"/>
          <w:sz w:val="22"/>
          <w:szCs w:val="22"/>
        </w:rPr>
      </w:pPr>
      <w:r w:rsidRPr="004045D1">
        <w:rPr>
          <w:rFonts w:ascii="Arial" w:hAnsi="Arial" w:cs="Arial"/>
          <w:sz w:val="22"/>
          <w:szCs w:val="22"/>
        </w:rPr>
        <w:t>What is the defense in depth applied to those types of reactors?</w:t>
      </w:r>
    </w:p>
    <w:p w:rsidR="007F112A" w:rsidRPr="004045D1" w:rsidP="003B4D45" w14:paraId="6CE290EE" w14:textId="77777777">
      <w:pPr>
        <w:numPr>
          <w:ilvl w:val="0"/>
          <w:numId w:val="22"/>
        </w:numPr>
        <w:rPr>
          <w:rFonts w:ascii="Arial" w:hAnsi="Arial" w:cs="Arial"/>
          <w:sz w:val="22"/>
          <w:szCs w:val="22"/>
        </w:rPr>
      </w:pPr>
      <w:r w:rsidRPr="004045D1">
        <w:rPr>
          <w:rFonts w:ascii="Arial" w:hAnsi="Arial" w:cs="Arial"/>
          <w:sz w:val="22"/>
          <w:szCs w:val="22"/>
        </w:rPr>
        <w:t xml:space="preserve">Can a lower dose rate be applied to allow for reduced security requirements that would be more in line with current </w:t>
      </w:r>
      <w:r w:rsidR="00E172C6">
        <w:rPr>
          <w:rFonts w:ascii="Arial" w:hAnsi="Arial" w:cs="Arial"/>
          <w:sz w:val="22"/>
          <w:szCs w:val="22"/>
        </w:rPr>
        <w:t>research and test reactor</w:t>
      </w:r>
      <w:r w:rsidRPr="004045D1">
        <w:rPr>
          <w:rFonts w:ascii="Arial" w:hAnsi="Arial" w:cs="Arial"/>
          <w:sz w:val="22"/>
          <w:szCs w:val="22"/>
        </w:rPr>
        <w:t xml:space="preserve"> security requirements (i.e., 5</w:t>
      </w:r>
      <w:r w:rsidR="00ED7D61">
        <w:rPr>
          <w:rFonts w:ascii="Arial" w:hAnsi="Arial" w:cs="Arial"/>
          <w:sz w:val="22"/>
          <w:szCs w:val="22"/>
        </w:rPr>
        <w:t> </w:t>
      </w:r>
      <w:r w:rsidRPr="004045D1">
        <w:rPr>
          <w:rFonts w:ascii="Arial" w:hAnsi="Arial" w:cs="Arial"/>
          <w:sz w:val="22"/>
          <w:szCs w:val="22"/>
        </w:rPr>
        <w:t>rem vs 10</w:t>
      </w:r>
      <w:r w:rsidRPr="004045D1" w:rsidR="00F636D3">
        <w:rPr>
          <w:rFonts w:ascii="Arial" w:hAnsi="Arial" w:cs="Arial"/>
          <w:sz w:val="22"/>
          <w:szCs w:val="22"/>
        </w:rPr>
        <w:t> </w:t>
      </w:r>
      <w:r w:rsidRPr="004045D1">
        <w:rPr>
          <w:rFonts w:ascii="Arial" w:hAnsi="Arial" w:cs="Arial"/>
          <w:sz w:val="22"/>
          <w:szCs w:val="22"/>
        </w:rPr>
        <w:t xml:space="preserve">rem vs 15 rem vs 20 rem)? </w:t>
      </w:r>
    </w:p>
    <w:p w:rsidR="007F112A" w:rsidRPr="00635F62" w:rsidP="003B4D45" w14:paraId="4ADEE755" w14:textId="77777777">
      <w:pPr>
        <w:numPr>
          <w:ilvl w:val="0"/>
          <w:numId w:val="22"/>
        </w:numPr>
        <w:rPr>
          <w:rFonts w:ascii="Arial" w:hAnsi="Arial" w:cs="Arial"/>
          <w:sz w:val="22"/>
          <w:szCs w:val="22"/>
        </w:rPr>
      </w:pPr>
      <w:r w:rsidRPr="004045D1">
        <w:rPr>
          <w:rFonts w:ascii="Arial" w:hAnsi="Arial" w:cs="Arial"/>
          <w:sz w:val="22"/>
          <w:szCs w:val="22"/>
        </w:rPr>
        <w:t>What is the basis for using 25 rem to allow alternative security requirements?</w:t>
      </w:r>
    </w:p>
    <w:p w:rsidR="003B4D45" w:rsidRPr="00635F62" w:rsidP="003B4D45" w14:paraId="645D7EDE" w14:textId="77777777">
      <w:pPr>
        <w:ind w:left="360"/>
        <w:rPr>
          <w:rFonts w:ascii="Arial" w:hAnsi="Arial" w:cs="Arial"/>
          <w:sz w:val="22"/>
          <w:szCs w:val="22"/>
        </w:rPr>
      </w:pPr>
    </w:p>
    <w:p w:rsidR="00FC4C9A" w:rsidRPr="004045D1" w:rsidP="004045D1" w14:paraId="71D9066D" w14:textId="77777777">
      <w:pPr>
        <w:spacing w:after="220"/>
        <w:rPr>
          <w:rFonts w:ascii="Arial" w:eastAsia="DengXian" w:hAnsi="Arial" w:cs="Arial"/>
          <w:sz w:val="22"/>
          <w:szCs w:val="22"/>
        </w:rPr>
      </w:pPr>
      <w:r w:rsidRPr="004045D1">
        <w:rPr>
          <w:rFonts w:ascii="Arial" w:eastAsia="DengXian" w:hAnsi="Arial" w:cs="Arial"/>
          <w:b/>
          <w:sz w:val="22"/>
          <w:szCs w:val="22"/>
        </w:rPr>
        <w:t>NRC Response:</w:t>
      </w:r>
      <w:r w:rsidRPr="004045D1">
        <w:rPr>
          <w:rFonts w:ascii="Arial" w:eastAsia="DengXian" w:hAnsi="Arial" w:cs="Arial"/>
          <w:sz w:val="22"/>
          <w:szCs w:val="22"/>
        </w:rPr>
        <w:t xml:space="preserve"> </w:t>
      </w:r>
      <w:r w:rsidRPr="004045D1" w:rsidR="003B30CB">
        <w:rPr>
          <w:rFonts w:ascii="Arial" w:eastAsia="DengXian" w:hAnsi="Arial" w:cs="Arial"/>
          <w:sz w:val="22"/>
          <w:szCs w:val="22"/>
        </w:rPr>
        <w:t>The NRC disagrees with this comment.</w:t>
      </w:r>
    </w:p>
    <w:p w:rsidR="00FC4C9A" w:rsidRPr="004045D1" w:rsidP="004045D1" w14:paraId="2DD88680" w14:textId="77777777">
      <w:pPr>
        <w:spacing w:after="220"/>
        <w:rPr>
          <w:rFonts w:ascii="Arial" w:eastAsia="DengXian" w:hAnsi="Arial" w:cs="Arial"/>
          <w:sz w:val="22"/>
          <w:szCs w:val="22"/>
        </w:rPr>
      </w:pPr>
      <w:r w:rsidRPr="004045D1">
        <w:rPr>
          <w:rFonts w:ascii="Arial" w:eastAsia="DengXian" w:hAnsi="Arial" w:cs="Arial"/>
          <w:sz w:val="22"/>
          <w:szCs w:val="22"/>
        </w:rPr>
        <w:t xml:space="preserve">While 10 CFR 53.4330 </w:t>
      </w:r>
      <w:r w:rsidRPr="004045D1" w:rsidR="00593AF7">
        <w:rPr>
          <w:rFonts w:ascii="Arial" w:eastAsia="DengXian" w:hAnsi="Arial" w:cs="Arial"/>
          <w:sz w:val="22"/>
          <w:szCs w:val="22"/>
        </w:rPr>
        <w:t>wa</w:t>
      </w:r>
      <w:r w:rsidRPr="004045D1">
        <w:rPr>
          <w:rFonts w:ascii="Arial" w:eastAsia="DengXian" w:hAnsi="Arial" w:cs="Arial"/>
          <w:sz w:val="22"/>
          <w:szCs w:val="22"/>
        </w:rPr>
        <w:t>s not part of the 10 CFR Part 53 proposed rule</w:t>
      </w:r>
      <w:r w:rsidRPr="004045D1" w:rsidR="00593AF7">
        <w:rPr>
          <w:rFonts w:ascii="Arial" w:eastAsia="DengXian" w:hAnsi="Arial" w:cs="Arial"/>
          <w:sz w:val="22"/>
          <w:szCs w:val="22"/>
        </w:rPr>
        <w:t xml:space="preserve"> as published (</w:t>
      </w:r>
      <w:r w:rsidRPr="004045D1" w:rsidR="008E2B3E">
        <w:rPr>
          <w:rFonts w:ascii="Arial" w:eastAsia="DengXian" w:hAnsi="Arial" w:cs="Arial"/>
          <w:sz w:val="22"/>
          <w:szCs w:val="22"/>
        </w:rPr>
        <w:t>89 FR 86918</w:t>
      </w:r>
      <w:r w:rsidRPr="004045D1" w:rsidR="00593AF7">
        <w:rPr>
          <w:rFonts w:ascii="Arial" w:eastAsia="DengXian" w:hAnsi="Arial" w:cs="Arial"/>
          <w:sz w:val="22"/>
          <w:szCs w:val="22"/>
        </w:rPr>
        <w:t>)</w:t>
      </w:r>
      <w:r w:rsidRPr="004045D1">
        <w:rPr>
          <w:rFonts w:ascii="Arial" w:eastAsia="DengXian" w:hAnsi="Arial" w:cs="Arial"/>
          <w:sz w:val="22"/>
          <w:szCs w:val="22"/>
        </w:rPr>
        <w:t xml:space="preserve">, it was included </w:t>
      </w:r>
      <w:r w:rsidRPr="004045D1" w:rsidR="008E2B3E">
        <w:rPr>
          <w:rFonts w:ascii="Arial" w:eastAsia="DengXian" w:hAnsi="Arial" w:cs="Arial"/>
          <w:sz w:val="22"/>
          <w:szCs w:val="22"/>
        </w:rPr>
        <w:t>as part of</w:t>
      </w:r>
      <w:r w:rsidRPr="004045D1">
        <w:rPr>
          <w:rFonts w:ascii="Arial" w:eastAsia="DengXian" w:hAnsi="Arial" w:cs="Arial"/>
          <w:sz w:val="22"/>
          <w:szCs w:val="22"/>
        </w:rPr>
        <w:t xml:space="preserve"> the Part 53 draft proposed rule</w:t>
      </w:r>
      <w:r w:rsidRPr="004045D1" w:rsidR="003D2F91">
        <w:rPr>
          <w:rFonts w:ascii="Arial" w:eastAsia="DengXian" w:hAnsi="Arial" w:cs="Arial"/>
          <w:sz w:val="22"/>
          <w:szCs w:val="22"/>
        </w:rPr>
        <w:t xml:space="preserve"> in SECY</w:t>
      </w:r>
      <w:r w:rsidRPr="004045D1" w:rsidR="003D2F91">
        <w:rPr>
          <w:rFonts w:ascii="Arial" w:eastAsia="DengXian" w:hAnsi="Arial" w:cs="Arial"/>
          <w:sz w:val="22"/>
          <w:szCs w:val="22"/>
        </w:rPr>
        <w:noBreakHyphen/>
        <w:t>23</w:t>
      </w:r>
      <w:r w:rsidRPr="004045D1" w:rsidR="003D2F91">
        <w:rPr>
          <w:rFonts w:ascii="Arial" w:eastAsia="DengXian" w:hAnsi="Arial" w:cs="Arial"/>
          <w:sz w:val="22"/>
          <w:szCs w:val="22"/>
        </w:rPr>
        <w:noBreakHyphen/>
        <w:t>0021</w:t>
      </w:r>
      <w:r w:rsidRPr="004045D1" w:rsidR="006F2D87">
        <w:rPr>
          <w:rFonts w:ascii="Arial" w:eastAsia="DengXian" w:hAnsi="Arial" w:cs="Arial"/>
          <w:sz w:val="22"/>
          <w:szCs w:val="22"/>
        </w:rPr>
        <w:t xml:space="preserve">, Enclosure 1, and was the Framework B equivalent to </w:t>
      </w:r>
      <w:r w:rsidRPr="004045D1" w:rsidR="001D42A0">
        <w:rPr>
          <w:rFonts w:ascii="Arial" w:eastAsia="DengXian" w:hAnsi="Arial" w:cs="Arial"/>
          <w:sz w:val="22"/>
          <w:szCs w:val="22"/>
        </w:rPr>
        <w:t>10 CFR 53.860 in the proposed rule as published.</w:t>
      </w:r>
    </w:p>
    <w:p w:rsidR="00936A09" w:rsidRPr="004045D1" w:rsidP="004045D1" w14:paraId="66AC9C90" w14:textId="77777777">
      <w:pPr>
        <w:spacing w:after="220"/>
        <w:rPr>
          <w:rFonts w:ascii="Arial" w:hAnsi="Arial" w:cs="Arial"/>
          <w:sz w:val="22"/>
          <w:szCs w:val="22"/>
        </w:rPr>
      </w:pPr>
      <w:r w:rsidRPr="004045D1">
        <w:rPr>
          <w:rFonts w:ascii="Arial" w:hAnsi="Arial" w:cs="Arial"/>
          <w:sz w:val="22"/>
          <w:szCs w:val="22"/>
        </w:rPr>
        <w:t xml:space="preserve">Regarding the </w:t>
      </w:r>
      <w:r w:rsidRPr="004045D1" w:rsidR="00AF4D1E">
        <w:rPr>
          <w:rFonts w:ascii="Arial" w:hAnsi="Arial" w:cs="Arial"/>
          <w:sz w:val="22"/>
          <w:szCs w:val="22"/>
        </w:rPr>
        <w:t>questions</w:t>
      </w:r>
      <w:r w:rsidRPr="004045D1" w:rsidR="008E1212">
        <w:rPr>
          <w:rFonts w:ascii="Arial" w:hAnsi="Arial" w:cs="Arial"/>
          <w:sz w:val="22"/>
          <w:szCs w:val="22"/>
        </w:rPr>
        <w:t>,</w:t>
      </w:r>
      <w:r w:rsidRPr="004045D1" w:rsidR="00AF4D1E">
        <w:rPr>
          <w:rFonts w:ascii="Arial" w:hAnsi="Arial" w:cs="Arial"/>
          <w:sz w:val="22"/>
          <w:szCs w:val="22"/>
        </w:rPr>
        <w:t xml:space="preserve"> </w:t>
      </w:r>
      <w:r w:rsidRPr="004045D1" w:rsidR="002B2C0C">
        <w:rPr>
          <w:rFonts w:ascii="Arial" w:hAnsi="Arial" w:cs="Arial"/>
          <w:sz w:val="22"/>
          <w:szCs w:val="22"/>
        </w:rPr>
        <w:t xml:space="preserve">which the NRC understands to </w:t>
      </w:r>
      <w:r w:rsidRPr="004045D1" w:rsidR="008E1212">
        <w:rPr>
          <w:rFonts w:ascii="Arial" w:hAnsi="Arial" w:cs="Arial"/>
          <w:sz w:val="22"/>
          <w:szCs w:val="22"/>
        </w:rPr>
        <w:t>apply to</w:t>
      </w:r>
      <w:r w:rsidRPr="004045D1">
        <w:rPr>
          <w:rFonts w:ascii="Arial" w:hAnsi="Arial" w:cs="Arial"/>
          <w:sz w:val="22"/>
          <w:szCs w:val="22"/>
        </w:rPr>
        <w:t xml:space="preserve"> 10</w:t>
      </w:r>
      <w:r w:rsidRPr="004045D1" w:rsidR="001F7C92">
        <w:rPr>
          <w:rFonts w:ascii="Arial" w:hAnsi="Arial" w:cs="Arial"/>
          <w:sz w:val="22"/>
          <w:szCs w:val="22"/>
        </w:rPr>
        <w:t> </w:t>
      </w:r>
      <w:r w:rsidRPr="004045D1">
        <w:rPr>
          <w:rFonts w:ascii="Arial" w:hAnsi="Arial" w:cs="Arial"/>
          <w:sz w:val="22"/>
          <w:szCs w:val="22"/>
        </w:rPr>
        <w:t>CFR</w:t>
      </w:r>
      <w:r w:rsidR="002810D1">
        <w:rPr>
          <w:rFonts w:ascii="Arial" w:hAnsi="Arial" w:cs="Arial"/>
          <w:sz w:val="22"/>
          <w:szCs w:val="22"/>
        </w:rPr>
        <w:t> </w:t>
      </w:r>
      <w:r w:rsidRPr="004045D1">
        <w:rPr>
          <w:rFonts w:ascii="Arial" w:hAnsi="Arial" w:cs="Arial"/>
          <w:sz w:val="22"/>
          <w:szCs w:val="22"/>
        </w:rPr>
        <w:t>53.860(a)(2)(i)</w:t>
      </w:r>
      <w:r w:rsidRPr="004045D1" w:rsidR="00AF4D1E">
        <w:rPr>
          <w:rFonts w:ascii="Arial" w:hAnsi="Arial" w:cs="Arial"/>
          <w:sz w:val="22"/>
          <w:szCs w:val="22"/>
        </w:rPr>
        <w:t xml:space="preserve"> and (ii)</w:t>
      </w:r>
      <w:r w:rsidRPr="004045D1">
        <w:rPr>
          <w:rFonts w:ascii="Arial" w:hAnsi="Arial" w:cs="Arial"/>
          <w:sz w:val="22"/>
          <w:szCs w:val="22"/>
        </w:rPr>
        <w:t xml:space="preserve">, the NRC has removed </w:t>
      </w:r>
      <w:r w:rsidRPr="004045D1" w:rsidR="00D72D33">
        <w:rPr>
          <w:rFonts w:ascii="Arial" w:hAnsi="Arial" w:cs="Arial"/>
          <w:sz w:val="22"/>
          <w:szCs w:val="22"/>
        </w:rPr>
        <w:t>these requirements from the final rule i</w:t>
      </w:r>
      <w:r w:rsidRPr="004045D1" w:rsidR="00B92582">
        <w:rPr>
          <w:rFonts w:ascii="Arial" w:hAnsi="Arial" w:cs="Arial"/>
          <w:sz w:val="22"/>
          <w:szCs w:val="22"/>
        </w:rPr>
        <w:t>n response to Comment Bin 3.6.3.3.C</w:t>
      </w:r>
      <w:r w:rsidRPr="004045D1" w:rsidR="008575F8">
        <w:rPr>
          <w:rFonts w:ascii="Arial" w:hAnsi="Arial" w:cs="Arial"/>
          <w:sz w:val="22"/>
          <w:szCs w:val="22"/>
        </w:rPr>
        <w:t xml:space="preserve"> and therefore will not be providing additional </w:t>
      </w:r>
      <w:r w:rsidRPr="004045D1" w:rsidR="008C36EC">
        <w:rPr>
          <w:rFonts w:ascii="Arial" w:hAnsi="Arial" w:cs="Arial"/>
          <w:sz w:val="22"/>
          <w:szCs w:val="22"/>
        </w:rPr>
        <w:t>guidance on these requirements</w:t>
      </w:r>
      <w:r w:rsidRPr="004045D1" w:rsidR="00D72D33">
        <w:rPr>
          <w:rFonts w:ascii="Arial" w:hAnsi="Arial" w:cs="Arial"/>
          <w:sz w:val="22"/>
          <w:szCs w:val="22"/>
        </w:rPr>
        <w:t>.</w:t>
      </w:r>
    </w:p>
    <w:p w:rsidR="00936A09" w:rsidRPr="004045D1" w:rsidP="004045D1" w14:paraId="06FF25C5" w14:textId="77777777">
      <w:pPr>
        <w:spacing w:after="220"/>
        <w:rPr>
          <w:rFonts w:ascii="Arial" w:hAnsi="Arial" w:cs="Arial"/>
          <w:sz w:val="22"/>
          <w:szCs w:val="22"/>
        </w:rPr>
      </w:pPr>
      <w:r w:rsidRPr="004045D1">
        <w:rPr>
          <w:rFonts w:ascii="Arial" w:hAnsi="Arial" w:cs="Arial"/>
          <w:sz w:val="22"/>
          <w:szCs w:val="22"/>
        </w:rPr>
        <w:t>Accordingly, the NRC did not change the rule language in response to this comment.</w:t>
      </w:r>
    </w:p>
    <w:p w:rsidR="007F112A" w:rsidRPr="004045D1" w:rsidP="004045D1" w14:paraId="0558A7CC" w14:textId="77777777">
      <w:pPr>
        <w:spacing w:after="220"/>
        <w:rPr>
          <w:rFonts w:ascii="Arial" w:hAnsi="Arial" w:cs="Arial"/>
          <w:sz w:val="22"/>
          <w:szCs w:val="22"/>
        </w:rPr>
      </w:pPr>
      <w:r>
        <w:rPr>
          <w:rFonts w:ascii="Arial" w:eastAsia="Times New Roman" w:hAnsi="Arial" w:cs="Arial"/>
          <w:sz w:val="22"/>
          <w:szCs w:val="22"/>
          <w:lang w:eastAsia="zh-CN"/>
        </w:rPr>
        <w:pict>
          <v:rect id="_x0000_i1209" style="width:0;height:1.5pt" o:hralign="center" o:hrstd="t" o:hrnoshade="t" o:hr="t" fillcolor="black" stroked="f"/>
        </w:pict>
      </w:r>
    </w:p>
    <w:p w:rsidR="007F112A" w:rsidRPr="00635F62" w:rsidP="00635F62" w14:paraId="3529FD8C" w14:textId="77777777">
      <w:pPr>
        <w:spacing w:after="220"/>
        <w:rPr>
          <w:rFonts w:ascii="Arial" w:hAnsi="Arial" w:cs="Arial"/>
          <w:sz w:val="22"/>
          <w:szCs w:val="22"/>
        </w:rPr>
      </w:pPr>
      <w:r w:rsidRPr="00635F62">
        <w:rPr>
          <w:rFonts w:ascii="Arial" w:eastAsia="DengXian" w:hAnsi="Arial" w:cs="Arial"/>
          <w:b/>
          <w:sz w:val="22"/>
          <w:szCs w:val="22"/>
        </w:rPr>
        <w:t>Comment Bin 3.6.3.1.E:</w:t>
      </w:r>
      <w:r w:rsidRPr="00635F62">
        <w:rPr>
          <w:rFonts w:ascii="Arial" w:eastAsia="DengXian" w:hAnsi="Arial" w:cs="Arial"/>
          <w:sz w:val="22"/>
          <w:szCs w:val="22"/>
        </w:rPr>
        <w:t xml:space="preserve"> </w:t>
      </w:r>
      <w:r w:rsidRPr="00635F62">
        <w:rPr>
          <w:rFonts w:ascii="Arial" w:hAnsi="Arial" w:cs="Arial"/>
          <w:sz w:val="22"/>
          <w:szCs w:val="22"/>
        </w:rPr>
        <w:t xml:space="preserve">In response to the </w:t>
      </w:r>
      <w:r w:rsidRPr="00635F62" w:rsidR="00791B50">
        <w:rPr>
          <w:rFonts w:ascii="Arial" w:hAnsi="Arial" w:cs="Arial"/>
          <w:sz w:val="22"/>
          <w:szCs w:val="22"/>
        </w:rPr>
        <w:t>a</w:t>
      </w:r>
      <w:r w:rsidRPr="00635F62">
        <w:rPr>
          <w:rFonts w:ascii="Arial" w:hAnsi="Arial" w:cs="Arial"/>
          <w:sz w:val="22"/>
          <w:szCs w:val="22"/>
        </w:rPr>
        <w:t>gency’s request for comment on a graded approach to emergency preparedness and security programs, two commenters provided several pieces of feedback and recommendations</w:t>
      </w:r>
      <w:r w:rsidRPr="009F7B1F">
        <w:rPr>
          <w:rFonts w:ascii="Arial" w:hAnsi="Arial" w:cs="Arial"/>
          <w:sz w:val="22"/>
          <w:szCs w:val="22"/>
        </w:rPr>
        <w:t>.</w:t>
      </w:r>
      <w:r w:rsidRPr="00635F62">
        <w:rPr>
          <w:rFonts w:ascii="Arial" w:hAnsi="Arial" w:cs="Arial"/>
          <w:sz w:val="22"/>
          <w:szCs w:val="22"/>
        </w:rPr>
        <w:t xml:space="preserve"> The commenters wrote that the requirements in 10</w:t>
      </w:r>
      <w:r w:rsidRPr="00635F62" w:rsidR="00945CD3">
        <w:rPr>
          <w:rFonts w:ascii="Arial" w:hAnsi="Arial" w:cs="Arial"/>
          <w:sz w:val="22"/>
          <w:szCs w:val="22"/>
        </w:rPr>
        <w:t> </w:t>
      </w:r>
      <w:r w:rsidRPr="00635F62">
        <w:rPr>
          <w:rFonts w:ascii="Arial" w:hAnsi="Arial" w:cs="Arial"/>
          <w:sz w:val="22"/>
          <w:szCs w:val="22"/>
        </w:rPr>
        <w:t xml:space="preserve">CFR 50.160(c)(2) are not sufficiently technology-inclusive to meet the mandate of NEIMA as it does not provide sufficient flexibility for reactors that may be mobile or </w:t>
      </w:r>
      <w:r w:rsidRPr="00635F62">
        <w:rPr>
          <w:rFonts w:ascii="Arial" w:hAnsi="Arial" w:cs="Arial"/>
          <w:sz w:val="22"/>
          <w:szCs w:val="22"/>
        </w:rPr>
        <w:t>redeployable</w:t>
      </w:r>
      <w:r w:rsidRPr="00635F62">
        <w:rPr>
          <w:rFonts w:ascii="Arial" w:hAnsi="Arial" w:cs="Arial"/>
          <w:sz w:val="22"/>
          <w:szCs w:val="22"/>
        </w:rPr>
        <w:t xml:space="preserve">. The commenters wrote that the use of “initial” in 10 CFR 50.160 may be overly limiting for reactors that could operate in more than one location. The commenters wrote that the NRC has historically considered fuel loading as the point of commercial operation, which does not align with advanced reactor deployment models. The commenters argued that for transportable microreactors, commercial operation should be defined as the generation of electricity, process heat, or other usable energy at the intended deployment site, not at the point of initial fueling. </w:t>
      </w:r>
    </w:p>
    <w:p w:rsidR="007F112A" w:rsidRPr="00635F62" w:rsidP="00635F62" w14:paraId="26F0C5CB" w14:textId="77777777">
      <w:pPr>
        <w:spacing w:after="220"/>
        <w:rPr>
          <w:rFonts w:ascii="Arial" w:hAnsi="Arial" w:cs="Arial"/>
          <w:sz w:val="22"/>
          <w:szCs w:val="22"/>
        </w:rPr>
      </w:pPr>
      <w:r w:rsidRPr="00635F62">
        <w:rPr>
          <w:rFonts w:ascii="Arial" w:hAnsi="Arial" w:cs="Arial"/>
          <w:sz w:val="22"/>
          <w:szCs w:val="22"/>
        </w:rPr>
        <w:t xml:space="preserve">The commenters continued that security events are not part of the design basis licensing, and significant security events should be considered relative to protective actions for risk insights and defense in depth. The commenters added that the NRC already approved bounding events in the </w:t>
      </w:r>
      <w:r w:rsidR="000A4934">
        <w:rPr>
          <w:rFonts w:ascii="Arial" w:hAnsi="Arial" w:cs="Arial"/>
          <w:sz w:val="22"/>
          <w:szCs w:val="22"/>
        </w:rPr>
        <w:t>“</w:t>
      </w:r>
      <w:r w:rsidRPr="00635F62">
        <w:rPr>
          <w:rFonts w:ascii="Arial" w:hAnsi="Arial" w:cs="Arial"/>
          <w:sz w:val="22"/>
          <w:szCs w:val="22"/>
        </w:rPr>
        <w:t>Regulatory Improvements for Production and Utilization Facilities Transitioning to Decommissioning</w:t>
      </w:r>
      <w:r w:rsidR="006D2FA3">
        <w:rPr>
          <w:rFonts w:ascii="Arial" w:hAnsi="Arial" w:cs="Arial"/>
          <w:sz w:val="22"/>
          <w:szCs w:val="22"/>
        </w:rPr>
        <w:t>; Proposed Rule</w:t>
      </w:r>
      <w:r w:rsidR="000A4934">
        <w:rPr>
          <w:rFonts w:ascii="Arial" w:hAnsi="Arial" w:cs="Arial"/>
          <w:sz w:val="22"/>
          <w:szCs w:val="22"/>
        </w:rPr>
        <w:t>”</w:t>
      </w:r>
      <w:r w:rsidRPr="00635F62">
        <w:rPr>
          <w:rFonts w:ascii="Arial" w:hAnsi="Arial" w:cs="Arial"/>
          <w:sz w:val="22"/>
          <w:szCs w:val="22"/>
        </w:rPr>
        <w:t xml:space="preserve"> </w:t>
      </w:r>
      <w:r w:rsidR="006D2FA3">
        <w:rPr>
          <w:rFonts w:ascii="Arial" w:hAnsi="Arial" w:cs="Arial"/>
          <w:sz w:val="22"/>
          <w:szCs w:val="22"/>
        </w:rPr>
        <w:t>(</w:t>
      </w:r>
      <w:r w:rsidR="00AC38AC">
        <w:rPr>
          <w:rFonts w:ascii="Arial" w:hAnsi="Arial" w:cs="Arial"/>
          <w:sz w:val="22"/>
          <w:szCs w:val="22"/>
        </w:rPr>
        <w:t>87 FR 12254</w:t>
      </w:r>
      <w:r w:rsidR="00F51184">
        <w:rPr>
          <w:rFonts w:ascii="Arial" w:hAnsi="Arial" w:cs="Arial"/>
          <w:sz w:val="22"/>
          <w:szCs w:val="22"/>
        </w:rPr>
        <w:t>;</w:t>
      </w:r>
      <w:r w:rsidR="00AC38AC">
        <w:rPr>
          <w:rFonts w:ascii="Arial" w:hAnsi="Arial" w:cs="Arial"/>
          <w:sz w:val="22"/>
          <w:szCs w:val="22"/>
        </w:rPr>
        <w:t xml:space="preserve"> </w:t>
      </w:r>
      <w:r w:rsidR="00F51184">
        <w:rPr>
          <w:rFonts w:ascii="Arial" w:hAnsi="Arial" w:cs="Arial"/>
          <w:sz w:val="22"/>
          <w:szCs w:val="22"/>
        </w:rPr>
        <w:t>March 3, 2022</w:t>
      </w:r>
      <w:r w:rsidR="006D2FA3">
        <w:rPr>
          <w:rFonts w:ascii="Arial" w:hAnsi="Arial" w:cs="Arial"/>
          <w:sz w:val="22"/>
          <w:szCs w:val="22"/>
        </w:rPr>
        <w:t>)</w:t>
      </w:r>
      <w:r w:rsidRPr="00635F62">
        <w:rPr>
          <w:rFonts w:ascii="Arial" w:hAnsi="Arial" w:cs="Arial"/>
          <w:sz w:val="22"/>
          <w:szCs w:val="22"/>
        </w:rPr>
        <w:t xml:space="preserve"> that exceed a 1 rem threshold with a site boundary emergency planning zone.</w:t>
      </w:r>
    </w:p>
    <w:p w:rsidR="007F112A" w:rsidRPr="00635F62" w:rsidP="00635F62" w14:paraId="7DE0BFBB" w14:textId="77777777">
      <w:pPr>
        <w:spacing w:after="220"/>
        <w:rPr>
          <w:rFonts w:ascii="Arial" w:hAnsi="Arial" w:cs="Arial"/>
          <w:sz w:val="22"/>
          <w:szCs w:val="22"/>
        </w:rPr>
      </w:pPr>
      <w:r w:rsidRPr="00635F62">
        <w:rPr>
          <w:rFonts w:ascii="Arial" w:hAnsi="Arial" w:cs="Arial"/>
          <w:sz w:val="22"/>
          <w:szCs w:val="22"/>
        </w:rPr>
        <w:t>The commenters recommended the following changes</w:t>
      </w:r>
      <w:r w:rsidRPr="009F7B1F" w:rsidR="009828E8">
        <w:rPr>
          <w:rFonts w:ascii="Arial" w:hAnsi="Arial" w:cs="Arial"/>
          <w:sz w:val="22"/>
          <w:szCs w:val="22"/>
        </w:rPr>
        <w:t xml:space="preserve"> (</w:t>
      </w:r>
      <w:r w:rsidR="004C1A5D">
        <w:rPr>
          <w:rFonts w:ascii="Arial" w:hAnsi="Arial" w:cs="Arial"/>
          <w:sz w:val="22"/>
          <w:szCs w:val="22"/>
        </w:rPr>
        <w:t>BI1</w:t>
      </w:r>
      <w:r w:rsidRPr="009F7B1F" w:rsidR="009828E8">
        <w:rPr>
          <w:rFonts w:ascii="Arial" w:hAnsi="Arial" w:cs="Arial"/>
          <w:sz w:val="22"/>
          <w:szCs w:val="22"/>
        </w:rPr>
        <w:t xml:space="preserve">-0008, </w:t>
      </w:r>
      <w:r w:rsidR="00D87876">
        <w:rPr>
          <w:rFonts w:ascii="Arial" w:hAnsi="Arial" w:cs="Arial"/>
          <w:sz w:val="22"/>
          <w:szCs w:val="22"/>
        </w:rPr>
        <w:t>SCWG</w:t>
      </w:r>
      <w:r w:rsidRPr="009F7B1F" w:rsidR="009828E8">
        <w:rPr>
          <w:rFonts w:ascii="Arial" w:hAnsi="Arial" w:cs="Arial"/>
          <w:sz w:val="22"/>
          <w:szCs w:val="22"/>
        </w:rPr>
        <w:t>-0003)</w:t>
      </w:r>
      <w:r w:rsidRPr="009F7B1F">
        <w:rPr>
          <w:rFonts w:ascii="Arial" w:hAnsi="Arial" w:cs="Arial"/>
          <w:sz w:val="22"/>
          <w:szCs w:val="22"/>
        </w:rPr>
        <w:t>:</w:t>
      </w:r>
      <w:r w:rsidRPr="00635F62">
        <w:rPr>
          <w:rFonts w:ascii="Arial" w:hAnsi="Arial" w:cs="Arial"/>
          <w:sz w:val="22"/>
          <w:szCs w:val="22"/>
        </w:rPr>
        <w:t xml:space="preserve"> </w:t>
      </w:r>
    </w:p>
    <w:p w:rsidR="007F112A" w:rsidRPr="00635F62" w:rsidP="003B4D45" w14:paraId="3228519C" w14:textId="77777777">
      <w:pPr>
        <w:numPr>
          <w:ilvl w:val="0"/>
          <w:numId w:val="23"/>
        </w:numPr>
        <w:rPr>
          <w:rFonts w:ascii="Arial" w:hAnsi="Arial" w:cs="Arial"/>
          <w:sz w:val="22"/>
          <w:szCs w:val="22"/>
        </w:rPr>
      </w:pPr>
      <w:r w:rsidRPr="00635F62">
        <w:rPr>
          <w:rFonts w:ascii="Arial" w:hAnsi="Arial" w:cs="Arial"/>
          <w:sz w:val="22"/>
          <w:szCs w:val="22"/>
        </w:rPr>
        <w:t>Modify 10 CFR 50.160 and 10 CFR 53.855 to be technology-inclusive and enable mobile reactors.</w:t>
      </w:r>
    </w:p>
    <w:p w:rsidR="007F112A" w:rsidRPr="00635F62" w:rsidP="003B4D45" w14:paraId="4FCF9E12" w14:textId="77777777">
      <w:pPr>
        <w:numPr>
          <w:ilvl w:val="0"/>
          <w:numId w:val="23"/>
        </w:numPr>
        <w:rPr>
          <w:rFonts w:ascii="Arial" w:hAnsi="Arial" w:cs="Arial"/>
          <w:sz w:val="22"/>
          <w:szCs w:val="22"/>
        </w:rPr>
      </w:pPr>
      <w:r w:rsidRPr="00635F62">
        <w:rPr>
          <w:rFonts w:ascii="Arial" w:hAnsi="Arial" w:cs="Arial"/>
          <w:sz w:val="22"/>
          <w:szCs w:val="22"/>
        </w:rPr>
        <w:t>Revise existing guidance to clarify how uncertainty should be considered for risk-informed decision-making.</w:t>
      </w:r>
    </w:p>
    <w:p w:rsidR="007F112A" w:rsidRPr="00635F62" w:rsidP="003B4D45" w14:paraId="6AEFEE8E" w14:textId="77777777">
      <w:pPr>
        <w:pStyle w:val="ListParagraph"/>
        <w:numPr>
          <w:ilvl w:val="0"/>
          <w:numId w:val="23"/>
        </w:numPr>
        <w:contextualSpacing w:val="0"/>
        <w:rPr>
          <w:rFonts w:ascii="Arial" w:eastAsia="Times New Roman" w:hAnsi="Arial" w:cs="Arial"/>
          <w:color w:val="000000"/>
          <w:sz w:val="22"/>
          <w:szCs w:val="22"/>
          <w:lang w:eastAsia="zh-CN"/>
        </w:rPr>
      </w:pPr>
      <w:r w:rsidRPr="00635F62">
        <w:rPr>
          <w:rFonts w:ascii="Arial" w:hAnsi="Arial" w:cs="Arial"/>
          <w:sz w:val="22"/>
          <w:szCs w:val="22"/>
        </w:rPr>
        <w:t>Provide further clarity that 1 rem is not a strict threshold, and the spectrum of events, along with protective actions, should be considered to determine appropriate emergency preparedness.</w:t>
      </w:r>
    </w:p>
    <w:p w:rsidR="003B4D45" w:rsidRPr="00635F62" w:rsidP="003B4D45" w14:paraId="119FAB82" w14:textId="77777777">
      <w:pPr>
        <w:pStyle w:val="ListParagraph"/>
        <w:contextualSpacing w:val="0"/>
        <w:rPr>
          <w:rFonts w:ascii="Arial" w:eastAsia="Times New Roman" w:hAnsi="Arial" w:cs="Arial"/>
          <w:color w:val="000000"/>
          <w:sz w:val="22"/>
          <w:szCs w:val="22"/>
          <w:lang w:eastAsia="zh-CN"/>
        </w:rPr>
      </w:pPr>
    </w:p>
    <w:p w:rsidR="007F112A" w:rsidRPr="009F7B1F" w:rsidP="009F7B1F" w14:paraId="35835FB0" w14:textId="77777777">
      <w:pPr>
        <w:spacing w:after="220"/>
        <w:rPr>
          <w:rFonts w:ascii="Arial" w:hAnsi="Arial" w:cs="Arial"/>
          <w:sz w:val="22"/>
          <w:szCs w:val="22"/>
        </w:rPr>
      </w:pPr>
      <w:r w:rsidRPr="009F7B1F">
        <w:rPr>
          <w:rFonts w:ascii="Arial" w:eastAsia="DengXian" w:hAnsi="Arial" w:cs="Arial"/>
          <w:b/>
          <w:sz w:val="22"/>
          <w:szCs w:val="22"/>
        </w:rPr>
        <w:t>NRC Response:</w:t>
      </w:r>
      <w:r w:rsidRPr="009F7B1F">
        <w:rPr>
          <w:rFonts w:ascii="Arial" w:eastAsia="DengXian" w:hAnsi="Arial" w:cs="Arial"/>
          <w:sz w:val="22"/>
          <w:szCs w:val="22"/>
        </w:rPr>
        <w:t xml:space="preserve"> </w:t>
      </w:r>
      <w:r w:rsidRPr="009F7B1F">
        <w:rPr>
          <w:rFonts w:ascii="Arial" w:hAnsi="Arial" w:cs="Arial"/>
          <w:sz w:val="22"/>
          <w:szCs w:val="22"/>
        </w:rPr>
        <w:t xml:space="preserve">The NRC agrees, in part, with </w:t>
      </w:r>
      <w:r w:rsidR="00834CD5">
        <w:rPr>
          <w:rFonts w:ascii="Arial" w:hAnsi="Arial" w:cs="Arial"/>
          <w:sz w:val="22"/>
          <w:szCs w:val="22"/>
        </w:rPr>
        <w:t>the</w:t>
      </w:r>
      <w:r w:rsidRPr="009F7B1F">
        <w:rPr>
          <w:rFonts w:ascii="Arial" w:hAnsi="Arial" w:cs="Arial"/>
          <w:sz w:val="22"/>
          <w:szCs w:val="22"/>
        </w:rPr>
        <w:t xml:space="preserve"> comment</w:t>
      </w:r>
      <w:r w:rsidRPr="009F7B1F" w:rsidR="002F47D3">
        <w:rPr>
          <w:rFonts w:ascii="Arial" w:hAnsi="Arial" w:cs="Arial"/>
          <w:sz w:val="22"/>
          <w:szCs w:val="22"/>
        </w:rPr>
        <w:t>s</w:t>
      </w:r>
      <w:r w:rsidRPr="009F7B1F">
        <w:rPr>
          <w:rFonts w:ascii="Arial" w:hAnsi="Arial" w:cs="Arial"/>
          <w:sz w:val="22"/>
          <w:szCs w:val="22"/>
        </w:rPr>
        <w:t>.</w:t>
      </w:r>
    </w:p>
    <w:p w:rsidR="007F112A" w:rsidRPr="00635F62" w:rsidP="00635F62" w14:paraId="0BFAA507" w14:textId="32C70B5A">
      <w:pPr>
        <w:spacing w:after="220"/>
        <w:rPr>
          <w:rFonts w:ascii="Arial" w:hAnsi="Arial" w:cs="Arial"/>
          <w:sz w:val="22"/>
          <w:szCs w:val="22"/>
        </w:rPr>
      </w:pPr>
      <w:r w:rsidRPr="00635F62">
        <w:rPr>
          <w:rFonts w:ascii="Arial" w:hAnsi="Arial" w:cs="Arial"/>
          <w:sz w:val="22"/>
          <w:szCs w:val="22"/>
        </w:rPr>
        <w:t xml:space="preserve">The NRC disagrees with modifying 10 CFR 50.160 and 10 CFR 53.855 to enable mobile reactors. </w:t>
      </w:r>
      <w:r w:rsidR="00676031">
        <w:rPr>
          <w:rFonts w:ascii="Arial" w:hAnsi="Arial" w:cs="Arial"/>
          <w:sz w:val="22"/>
          <w:szCs w:val="22"/>
        </w:rPr>
        <w:t xml:space="preserve">The requirements in </w:t>
      </w:r>
      <w:r w:rsidRPr="00635F62">
        <w:rPr>
          <w:rFonts w:ascii="Arial" w:hAnsi="Arial" w:cs="Arial"/>
          <w:sz w:val="22"/>
          <w:szCs w:val="22"/>
        </w:rPr>
        <w:t xml:space="preserve">10 CFR 50.160 and 10 CFR 53.855 are </w:t>
      </w:r>
      <w:r w:rsidR="00E33E65">
        <w:rPr>
          <w:rFonts w:ascii="Arial" w:hAnsi="Arial" w:cs="Arial"/>
          <w:sz w:val="22"/>
          <w:szCs w:val="22"/>
        </w:rPr>
        <w:t xml:space="preserve">already </w:t>
      </w:r>
      <w:r w:rsidRPr="00635F62">
        <w:rPr>
          <w:rFonts w:ascii="Arial" w:hAnsi="Arial" w:cs="Arial"/>
          <w:sz w:val="22"/>
          <w:szCs w:val="22"/>
        </w:rPr>
        <w:t>technology</w:t>
      </w:r>
      <w:r w:rsidR="00126D8C">
        <w:rPr>
          <w:rFonts w:ascii="Arial" w:hAnsi="Arial" w:cs="Arial"/>
          <w:sz w:val="22"/>
          <w:szCs w:val="22"/>
        </w:rPr>
        <w:noBreakHyphen/>
      </w:r>
      <w:r w:rsidRPr="00635F62">
        <w:rPr>
          <w:rFonts w:ascii="Arial" w:hAnsi="Arial" w:cs="Arial"/>
          <w:sz w:val="22"/>
          <w:szCs w:val="22"/>
        </w:rPr>
        <w:t>inclusive</w:t>
      </w:r>
      <w:r w:rsidRPr="00522125">
        <w:rPr>
          <w:rFonts w:ascii="Arial" w:hAnsi="Arial" w:cs="Arial"/>
          <w:sz w:val="22"/>
          <w:szCs w:val="22"/>
        </w:rPr>
        <w:t xml:space="preserve">. </w:t>
      </w:r>
      <w:r w:rsidRPr="00637D5E" w:rsidR="001201EA">
        <w:rPr>
          <w:rFonts w:ascii="Arial" w:hAnsi="Arial" w:cs="Arial"/>
          <w:sz w:val="22"/>
          <w:szCs w:val="22"/>
        </w:rPr>
        <w:t>In addition, consistent with the ADVANCE Act and EOs issued in 2025, the NRC has initiated development of an additional rulemaking to expedite licensing of qualified microreactors and other potentially low</w:t>
      </w:r>
      <w:r w:rsidR="00214824">
        <w:rPr>
          <w:rFonts w:ascii="Arial" w:hAnsi="Arial" w:cs="Arial"/>
          <w:sz w:val="22"/>
          <w:szCs w:val="22"/>
        </w:rPr>
        <w:noBreakHyphen/>
      </w:r>
      <w:r w:rsidRPr="00637D5E" w:rsidR="001201EA">
        <w:rPr>
          <w:rFonts w:ascii="Arial" w:hAnsi="Arial" w:cs="Arial"/>
          <w:sz w:val="22"/>
          <w:szCs w:val="22"/>
        </w:rPr>
        <w:t>risk, low</w:t>
      </w:r>
      <w:r w:rsidR="00214824">
        <w:rPr>
          <w:rFonts w:ascii="Arial" w:hAnsi="Arial" w:cs="Arial"/>
          <w:sz w:val="22"/>
          <w:szCs w:val="22"/>
        </w:rPr>
        <w:noBreakHyphen/>
      </w:r>
      <w:r w:rsidRPr="00637D5E" w:rsidR="001201EA">
        <w:rPr>
          <w:rFonts w:ascii="Arial" w:hAnsi="Arial" w:cs="Arial"/>
          <w:sz w:val="22"/>
          <w:szCs w:val="22"/>
        </w:rPr>
        <w:t>consequence reactors</w:t>
      </w:r>
      <w:r w:rsidR="00572F33">
        <w:rPr>
          <w:rFonts w:ascii="Arial" w:hAnsi="Arial" w:cs="Arial"/>
          <w:sz w:val="22"/>
          <w:szCs w:val="22"/>
        </w:rPr>
        <w:t>.</w:t>
      </w:r>
    </w:p>
    <w:p w:rsidR="007F112A" w:rsidRPr="00635F62" w:rsidP="00635F62" w14:paraId="2999B8F6" w14:textId="77777777">
      <w:pPr>
        <w:spacing w:after="220"/>
        <w:rPr>
          <w:rFonts w:ascii="Arial" w:hAnsi="Arial" w:cs="Arial"/>
          <w:sz w:val="22"/>
          <w:szCs w:val="22"/>
        </w:rPr>
      </w:pPr>
      <w:r w:rsidRPr="00635F62">
        <w:rPr>
          <w:rFonts w:ascii="Arial" w:hAnsi="Arial" w:cs="Arial"/>
          <w:sz w:val="22"/>
          <w:szCs w:val="22"/>
        </w:rPr>
        <w:t>The NRC disagrees with revising existing guidance related to risk</w:t>
      </w:r>
      <w:r w:rsidRPr="00635F62" w:rsidR="0033318D">
        <w:rPr>
          <w:rFonts w:ascii="Arial" w:hAnsi="Arial" w:cs="Arial"/>
          <w:sz w:val="22"/>
          <w:szCs w:val="22"/>
        </w:rPr>
        <w:noBreakHyphen/>
      </w:r>
      <w:r w:rsidRPr="00635F62">
        <w:rPr>
          <w:rFonts w:ascii="Arial" w:hAnsi="Arial" w:cs="Arial"/>
          <w:sz w:val="22"/>
          <w:szCs w:val="22"/>
        </w:rPr>
        <w:t>informed decision</w:t>
      </w:r>
      <w:r w:rsidRPr="00635F62" w:rsidR="0033318D">
        <w:rPr>
          <w:rFonts w:ascii="Arial" w:hAnsi="Arial" w:cs="Arial"/>
          <w:sz w:val="22"/>
          <w:szCs w:val="22"/>
        </w:rPr>
        <w:noBreakHyphen/>
      </w:r>
      <w:r w:rsidRPr="00635F62">
        <w:rPr>
          <w:rFonts w:ascii="Arial" w:hAnsi="Arial" w:cs="Arial"/>
          <w:sz w:val="22"/>
          <w:szCs w:val="22"/>
        </w:rPr>
        <w:t>making. The NRC has a long-standing history of using risk-informed decision</w:t>
      </w:r>
      <w:r w:rsidRPr="00635F62" w:rsidR="0033318D">
        <w:rPr>
          <w:rFonts w:ascii="Arial" w:hAnsi="Arial" w:cs="Arial"/>
          <w:sz w:val="22"/>
          <w:szCs w:val="22"/>
        </w:rPr>
        <w:noBreakHyphen/>
      </w:r>
      <w:r w:rsidRPr="00635F62">
        <w:rPr>
          <w:rFonts w:ascii="Arial" w:hAnsi="Arial" w:cs="Arial"/>
          <w:sz w:val="22"/>
          <w:szCs w:val="22"/>
        </w:rPr>
        <w:t xml:space="preserve">making as demonstrated in </w:t>
      </w:r>
      <w:r w:rsidRPr="00635F62" w:rsidR="2D3545CE">
        <w:rPr>
          <w:rFonts w:ascii="Arial" w:hAnsi="Arial" w:cs="Arial"/>
          <w:sz w:val="22"/>
          <w:szCs w:val="22"/>
        </w:rPr>
        <w:t>NUREG</w:t>
      </w:r>
      <w:r w:rsidRPr="00635F62" w:rsidR="000B2D2A">
        <w:rPr>
          <w:rFonts w:ascii="Arial" w:hAnsi="Arial" w:cs="Arial"/>
          <w:sz w:val="22"/>
          <w:szCs w:val="22"/>
        </w:rPr>
        <w:t>-</w:t>
      </w:r>
      <w:r w:rsidRPr="00635F62" w:rsidR="2D3545CE">
        <w:rPr>
          <w:rFonts w:ascii="Arial" w:hAnsi="Arial" w:cs="Arial"/>
          <w:sz w:val="22"/>
          <w:szCs w:val="22"/>
        </w:rPr>
        <w:t>0396</w:t>
      </w:r>
      <w:r w:rsidRPr="00635F62">
        <w:rPr>
          <w:rFonts w:ascii="Arial" w:hAnsi="Arial" w:cs="Arial"/>
          <w:sz w:val="22"/>
          <w:szCs w:val="22"/>
        </w:rPr>
        <w:t>, “Planning Basis for the Development of State and Local Government Radiological Emergency Response Plans in Support of Light Water Nuclear Power Plants</w:t>
      </w:r>
      <w:r w:rsidR="00493187">
        <w:rPr>
          <w:rFonts w:ascii="Arial" w:hAnsi="Arial" w:cs="Arial"/>
          <w:sz w:val="22"/>
          <w:szCs w:val="22"/>
        </w:rPr>
        <w:t>,</w:t>
      </w:r>
      <w:r w:rsidRPr="00635F62">
        <w:rPr>
          <w:rFonts w:ascii="Arial" w:hAnsi="Arial" w:cs="Arial"/>
          <w:sz w:val="22"/>
          <w:szCs w:val="22"/>
        </w:rPr>
        <w:t>”</w:t>
      </w:r>
      <w:r w:rsidR="00493187">
        <w:rPr>
          <w:rFonts w:ascii="Arial" w:hAnsi="Arial" w:cs="Arial"/>
          <w:sz w:val="22"/>
          <w:szCs w:val="22"/>
        </w:rPr>
        <w:t xml:space="preserve"> </w:t>
      </w:r>
      <w:r w:rsidR="008D6BAD">
        <w:rPr>
          <w:rFonts w:ascii="Arial" w:hAnsi="Arial" w:cs="Arial"/>
          <w:sz w:val="22"/>
          <w:szCs w:val="22"/>
        </w:rPr>
        <w:t>issued December 1978 (</w:t>
      </w:r>
      <w:r w:rsidRPr="008D6BAD" w:rsidR="008D6BAD">
        <w:rPr>
          <w:rFonts w:ascii="Arial" w:hAnsi="Arial" w:cs="Arial"/>
          <w:sz w:val="22"/>
          <w:szCs w:val="22"/>
        </w:rPr>
        <w:t>ML051390356</w:t>
      </w:r>
      <w:r w:rsidR="008D6BAD">
        <w:rPr>
          <w:rFonts w:ascii="Arial" w:hAnsi="Arial" w:cs="Arial"/>
          <w:sz w:val="22"/>
          <w:szCs w:val="22"/>
        </w:rPr>
        <w:t>).</w:t>
      </w:r>
      <w:r w:rsidRPr="00635F62">
        <w:rPr>
          <w:rFonts w:ascii="Arial" w:hAnsi="Arial" w:cs="Arial"/>
          <w:sz w:val="22"/>
          <w:szCs w:val="22"/>
        </w:rPr>
        <w:t xml:space="preserve"> </w:t>
      </w:r>
      <w:r w:rsidRPr="00635F62" w:rsidR="2D3545CE">
        <w:rPr>
          <w:rFonts w:ascii="Arial" w:hAnsi="Arial" w:cs="Arial"/>
          <w:sz w:val="22"/>
          <w:szCs w:val="22"/>
        </w:rPr>
        <w:t>NUREG</w:t>
      </w:r>
      <w:r w:rsidRPr="00635F62" w:rsidR="000B2D2A">
        <w:rPr>
          <w:rFonts w:ascii="Arial" w:hAnsi="Arial" w:cs="Arial"/>
          <w:sz w:val="22"/>
          <w:szCs w:val="22"/>
        </w:rPr>
        <w:t>-</w:t>
      </w:r>
      <w:r w:rsidRPr="00635F62" w:rsidR="2D3545CE">
        <w:rPr>
          <w:rFonts w:ascii="Arial" w:hAnsi="Arial" w:cs="Arial"/>
          <w:sz w:val="22"/>
          <w:szCs w:val="22"/>
        </w:rPr>
        <w:t>0396</w:t>
      </w:r>
      <w:r w:rsidRPr="00635F62">
        <w:rPr>
          <w:rFonts w:ascii="Arial" w:hAnsi="Arial" w:cs="Arial"/>
          <w:sz w:val="22"/>
          <w:szCs w:val="22"/>
        </w:rPr>
        <w:t xml:space="preserve"> describes a planning basis as a very large range of possible accidents starting with a zero point of requiring no planning at all because significant offsite radiological accident consequences are unlikely to occur, to planning for the worst physically possible accident regardless of its extremely low likelihood. As an alternative to attempting to define a specific accident sequence (i.e., a risk-based approach), the NRC decided to identify the bounds of the parameters for which planning is recommended (i.e., a risk</w:t>
      </w:r>
      <w:r w:rsidRPr="00635F62" w:rsidR="00330EC4">
        <w:rPr>
          <w:rFonts w:ascii="Arial" w:hAnsi="Arial" w:cs="Arial"/>
          <w:sz w:val="22"/>
          <w:szCs w:val="22"/>
        </w:rPr>
        <w:t>-</w:t>
      </w:r>
      <w:r w:rsidRPr="00635F62">
        <w:rPr>
          <w:rFonts w:ascii="Arial" w:hAnsi="Arial" w:cs="Arial"/>
          <w:sz w:val="22"/>
          <w:szCs w:val="22"/>
        </w:rPr>
        <w:t>informed approach) based upon a knowledge of the potential consequences, timing, and release characteristics of a spectrum of accidents.</w:t>
      </w:r>
    </w:p>
    <w:p w:rsidR="007F112A" w:rsidRPr="00635F62" w:rsidP="00635F62" w14:paraId="095990C9" w14:textId="77777777">
      <w:pPr>
        <w:spacing w:after="220"/>
        <w:rPr>
          <w:rFonts w:ascii="Arial" w:hAnsi="Arial" w:cs="Arial"/>
          <w:sz w:val="22"/>
          <w:szCs w:val="22"/>
        </w:rPr>
      </w:pPr>
      <w:r w:rsidRPr="00635F62">
        <w:rPr>
          <w:rFonts w:ascii="Arial" w:hAnsi="Arial" w:cs="Arial"/>
          <w:sz w:val="22"/>
          <w:szCs w:val="22"/>
        </w:rPr>
        <w:t xml:space="preserve">The NRC agrees that the existence of sequences that have the potential for offsite consequences is not a direct indicator that a reduced-size EPZ is not appropriate and a reduced-size EPZ is based on risk insights and the potential for protective actions to mitigate consequences, not based on a strict dose threshold. However, the NRC disagrees with the need to add additional clarity. The requirements described in 10 CFR 50.33(g)(2) require applicants complying with 10 CFR 50.160 to submit as part of the application the analysis used to determine whether the criteria in 10 CFR 50.33(g)(2)(i)(A) and (B) are met and, if met, the size of the plume exposure pathway EPZ. The criteria in 10 CFR 50.33(g)(2)(i)(A) and (B) include: whether projected public dose would exceed 10 mSv (1 rem) </w:t>
      </w:r>
      <w:r w:rsidR="00D57B65">
        <w:rPr>
          <w:rFonts w:ascii="Arial" w:hAnsi="Arial" w:cs="Arial"/>
          <w:sz w:val="22"/>
          <w:szCs w:val="22"/>
        </w:rPr>
        <w:t>TEDE</w:t>
      </w:r>
      <w:r w:rsidRPr="00635F62">
        <w:rPr>
          <w:rFonts w:ascii="Arial" w:hAnsi="Arial" w:cs="Arial"/>
          <w:sz w:val="22"/>
          <w:szCs w:val="22"/>
        </w:rPr>
        <w:t xml:space="preserve"> over 96 hours from the release of radioactive materials from the facility considering accident likelihood and source term, timing of the accident sequence, and meteorology; and whether predetermined, prompt protective measures would be necessary. Each of these criteria is considered holistically; none of them would be a “strict limit.”</w:t>
      </w:r>
    </w:p>
    <w:p w:rsidR="000D0634" w:rsidRPr="00635F62" w:rsidP="00635F62" w14:paraId="4C141336" w14:textId="77777777">
      <w:pPr>
        <w:spacing w:after="220"/>
        <w:rPr>
          <w:rFonts w:ascii="Arial" w:hAnsi="Arial" w:cs="Arial"/>
          <w:sz w:val="22"/>
          <w:szCs w:val="22"/>
        </w:rPr>
      </w:pPr>
      <w:r>
        <w:rPr>
          <w:rFonts w:ascii="Arial" w:hAnsi="Arial" w:cs="Arial"/>
          <w:sz w:val="22"/>
          <w:szCs w:val="22"/>
        </w:rPr>
        <w:t xml:space="preserve">The NRC disagrees that </w:t>
      </w:r>
      <w:r w:rsidRPr="00635F62">
        <w:rPr>
          <w:rFonts w:ascii="Arial" w:hAnsi="Arial" w:cs="Arial"/>
          <w:sz w:val="22"/>
          <w:szCs w:val="22"/>
        </w:rPr>
        <w:t xml:space="preserve">the NRC </w:t>
      </w:r>
      <w:r>
        <w:rPr>
          <w:rFonts w:ascii="Arial" w:hAnsi="Arial" w:cs="Arial"/>
          <w:sz w:val="22"/>
          <w:szCs w:val="22"/>
        </w:rPr>
        <w:t xml:space="preserve">has </w:t>
      </w:r>
      <w:r w:rsidRPr="00635F62">
        <w:rPr>
          <w:rFonts w:ascii="Arial" w:hAnsi="Arial" w:cs="Arial"/>
          <w:sz w:val="22"/>
          <w:szCs w:val="22"/>
        </w:rPr>
        <w:t xml:space="preserve">approved bounding events in the </w:t>
      </w:r>
      <w:r>
        <w:rPr>
          <w:rFonts w:ascii="Arial" w:hAnsi="Arial" w:cs="Arial"/>
          <w:sz w:val="22"/>
          <w:szCs w:val="22"/>
        </w:rPr>
        <w:t>“</w:t>
      </w:r>
      <w:r w:rsidRPr="00635F62">
        <w:rPr>
          <w:rFonts w:ascii="Arial" w:hAnsi="Arial" w:cs="Arial"/>
          <w:sz w:val="22"/>
          <w:szCs w:val="22"/>
        </w:rPr>
        <w:t>Regulatory Improvements for Production and Utilization Facilities Transitioning to Decommissioning</w:t>
      </w:r>
      <w:r w:rsidR="00B323D8">
        <w:rPr>
          <w:rFonts w:ascii="Arial" w:hAnsi="Arial" w:cs="Arial"/>
          <w:sz w:val="22"/>
          <w:szCs w:val="22"/>
        </w:rPr>
        <w:t>” proposed rule. Th</w:t>
      </w:r>
      <w:r w:rsidR="002F2011">
        <w:rPr>
          <w:rFonts w:ascii="Arial" w:hAnsi="Arial" w:cs="Arial"/>
          <w:sz w:val="22"/>
          <w:szCs w:val="22"/>
        </w:rPr>
        <w:t xml:space="preserve">at proposed rule was </w:t>
      </w:r>
      <w:r w:rsidR="00BA166A">
        <w:rPr>
          <w:rFonts w:ascii="Arial" w:hAnsi="Arial" w:cs="Arial"/>
          <w:sz w:val="22"/>
          <w:szCs w:val="22"/>
        </w:rPr>
        <w:t xml:space="preserve">only </w:t>
      </w:r>
      <w:r w:rsidR="002F2011">
        <w:rPr>
          <w:rFonts w:ascii="Arial" w:hAnsi="Arial" w:cs="Arial"/>
          <w:sz w:val="22"/>
          <w:szCs w:val="22"/>
        </w:rPr>
        <w:t>a proposal</w:t>
      </w:r>
      <w:r w:rsidR="008A0B93">
        <w:rPr>
          <w:rFonts w:ascii="Arial" w:hAnsi="Arial" w:cs="Arial"/>
          <w:sz w:val="22"/>
          <w:szCs w:val="22"/>
        </w:rPr>
        <w:t xml:space="preserve"> </w:t>
      </w:r>
      <w:r w:rsidR="00361E80">
        <w:rPr>
          <w:rFonts w:ascii="Arial" w:hAnsi="Arial" w:cs="Arial"/>
          <w:sz w:val="22"/>
          <w:szCs w:val="22"/>
        </w:rPr>
        <w:t>on which</w:t>
      </w:r>
      <w:r w:rsidR="008A0B93">
        <w:rPr>
          <w:rFonts w:ascii="Arial" w:hAnsi="Arial" w:cs="Arial"/>
          <w:sz w:val="22"/>
          <w:szCs w:val="22"/>
        </w:rPr>
        <w:t xml:space="preserve"> the public </w:t>
      </w:r>
      <w:r w:rsidR="00361E80">
        <w:rPr>
          <w:rFonts w:ascii="Arial" w:hAnsi="Arial" w:cs="Arial"/>
          <w:sz w:val="22"/>
          <w:szCs w:val="22"/>
        </w:rPr>
        <w:t xml:space="preserve">was asked </w:t>
      </w:r>
      <w:r w:rsidR="008A0B93">
        <w:rPr>
          <w:rFonts w:ascii="Arial" w:hAnsi="Arial" w:cs="Arial"/>
          <w:sz w:val="22"/>
          <w:szCs w:val="22"/>
        </w:rPr>
        <w:t>to comment</w:t>
      </w:r>
      <w:r w:rsidR="002F2011">
        <w:rPr>
          <w:rFonts w:ascii="Arial" w:hAnsi="Arial" w:cs="Arial"/>
          <w:sz w:val="22"/>
          <w:szCs w:val="22"/>
        </w:rPr>
        <w:t xml:space="preserve">. </w:t>
      </w:r>
      <w:r w:rsidR="00450FCA">
        <w:rPr>
          <w:rFonts w:ascii="Arial" w:hAnsi="Arial" w:cs="Arial"/>
          <w:sz w:val="22"/>
          <w:szCs w:val="22"/>
        </w:rPr>
        <w:t>Th</w:t>
      </w:r>
      <w:r w:rsidR="00B323D8">
        <w:rPr>
          <w:rFonts w:ascii="Arial" w:hAnsi="Arial" w:cs="Arial"/>
          <w:sz w:val="22"/>
          <w:szCs w:val="22"/>
        </w:rPr>
        <w:t xml:space="preserve">e NRC has not issued a final rule in that </w:t>
      </w:r>
      <w:r w:rsidR="00CA72EF">
        <w:rPr>
          <w:rFonts w:ascii="Arial" w:hAnsi="Arial" w:cs="Arial"/>
          <w:sz w:val="22"/>
          <w:szCs w:val="22"/>
        </w:rPr>
        <w:t xml:space="preserve">proceeding, so </w:t>
      </w:r>
      <w:r w:rsidR="00450FCA">
        <w:rPr>
          <w:rFonts w:ascii="Arial" w:hAnsi="Arial" w:cs="Arial"/>
          <w:sz w:val="22"/>
          <w:szCs w:val="22"/>
        </w:rPr>
        <w:t>the proposal</w:t>
      </w:r>
      <w:r w:rsidR="00F44CCA">
        <w:rPr>
          <w:rFonts w:ascii="Arial" w:hAnsi="Arial" w:cs="Arial"/>
          <w:sz w:val="22"/>
          <w:szCs w:val="22"/>
        </w:rPr>
        <w:t xml:space="preserve"> is</w:t>
      </w:r>
      <w:r w:rsidR="00EF628D">
        <w:rPr>
          <w:rFonts w:ascii="Arial" w:hAnsi="Arial" w:cs="Arial"/>
          <w:sz w:val="22"/>
          <w:szCs w:val="22"/>
        </w:rPr>
        <w:t xml:space="preserve"> </w:t>
      </w:r>
      <w:r w:rsidR="00450FCA">
        <w:rPr>
          <w:rFonts w:ascii="Arial" w:hAnsi="Arial" w:cs="Arial"/>
          <w:sz w:val="22"/>
          <w:szCs w:val="22"/>
        </w:rPr>
        <w:t xml:space="preserve">still </w:t>
      </w:r>
      <w:r w:rsidR="00A80D4B">
        <w:rPr>
          <w:rFonts w:ascii="Arial" w:hAnsi="Arial" w:cs="Arial"/>
          <w:sz w:val="22"/>
          <w:szCs w:val="22"/>
        </w:rPr>
        <w:t>pending</w:t>
      </w:r>
      <w:r w:rsidR="00450FCA">
        <w:rPr>
          <w:rFonts w:ascii="Arial" w:hAnsi="Arial" w:cs="Arial"/>
          <w:sz w:val="22"/>
          <w:szCs w:val="22"/>
        </w:rPr>
        <w:t>.</w:t>
      </w:r>
    </w:p>
    <w:p w:rsidR="007F112A" w:rsidP="00635F62" w14:paraId="3931CE31" w14:textId="77777777">
      <w:pPr>
        <w:spacing w:after="220"/>
        <w:rPr>
          <w:rFonts w:ascii="Arial" w:hAnsi="Arial" w:cs="Arial"/>
          <w:sz w:val="22"/>
          <w:szCs w:val="22"/>
        </w:rPr>
      </w:pPr>
      <w:r w:rsidRPr="00635F62">
        <w:rPr>
          <w:rFonts w:ascii="Arial" w:hAnsi="Arial" w:cs="Arial"/>
          <w:sz w:val="22"/>
          <w:szCs w:val="22"/>
        </w:rPr>
        <w:t>Accordingly, the NRC did not change the rule language in response to th</w:t>
      </w:r>
      <w:r w:rsidRPr="00635F62" w:rsidR="00424F13">
        <w:rPr>
          <w:rFonts w:ascii="Arial" w:hAnsi="Arial" w:cs="Arial"/>
          <w:sz w:val="22"/>
          <w:szCs w:val="22"/>
        </w:rPr>
        <w:t>e</w:t>
      </w:r>
      <w:r w:rsidRPr="00635F62">
        <w:rPr>
          <w:rFonts w:ascii="Arial" w:hAnsi="Arial" w:cs="Arial"/>
          <w:sz w:val="22"/>
          <w:szCs w:val="22"/>
        </w:rPr>
        <w:t>s</w:t>
      </w:r>
      <w:r w:rsidRPr="00635F62" w:rsidR="00424F13">
        <w:rPr>
          <w:rFonts w:ascii="Arial" w:hAnsi="Arial" w:cs="Arial"/>
          <w:sz w:val="22"/>
          <w:szCs w:val="22"/>
        </w:rPr>
        <w:t>e</w:t>
      </w:r>
      <w:r w:rsidRPr="00635F62">
        <w:rPr>
          <w:rFonts w:ascii="Arial" w:hAnsi="Arial" w:cs="Arial"/>
          <w:sz w:val="22"/>
          <w:szCs w:val="22"/>
        </w:rPr>
        <w:t xml:space="preserve"> comment</w:t>
      </w:r>
      <w:r w:rsidRPr="00635F62" w:rsidR="00424F13">
        <w:rPr>
          <w:rFonts w:ascii="Arial" w:hAnsi="Arial" w:cs="Arial"/>
          <w:sz w:val="22"/>
          <w:szCs w:val="22"/>
        </w:rPr>
        <w:t>s</w:t>
      </w:r>
      <w:r w:rsidRPr="00635F62">
        <w:rPr>
          <w:rFonts w:ascii="Arial" w:hAnsi="Arial" w:cs="Arial"/>
          <w:sz w:val="22"/>
          <w:szCs w:val="22"/>
        </w:rPr>
        <w:t>.</w:t>
      </w:r>
    </w:p>
    <w:p w:rsidR="009F7B1F" w:rsidP="009F7B1F" w14:paraId="46C003E5" w14:textId="77777777">
      <w:pPr>
        <w:spacing w:after="220"/>
        <w:rPr>
          <w:rFonts w:ascii="Arial" w:hAnsi="Arial" w:cs="Arial"/>
          <w:sz w:val="22"/>
          <w:szCs w:val="22"/>
        </w:rPr>
      </w:pPr>
      <w:r>
        <w:rPr>
          <w:rFonts w:ascii="Arial" w:eastAsia="Times New Roman" w:hAnsi="Arial" w:cs="Arial"/>
          <w:sz w:val="22"/>
          <w:szCs w:val="22"/>
          <w:lang w:eastAsia="zh-CN"/>
        </w:rPr>
        <w:pict>
          <v:rect id="_x0000_i1210" style="width:0;height:1.5pt" o:hralign="center" o:hrstd="t" o:hrnoshade="t" o:hr="t" fillcolor="black" stroked="f"/>
        </w:pict>
      </w:r>
    </w:p>
    <w:p w:rsidR="007F112A" w:rsidRPr="009F7B1F" w:rsidP="009F7B1F" w14:paraId="4F6236B7" w14:textId="77777777">
      <w:pPr>
        <w:spacing w:after="220"/>
        <w:rPr>
          <w:rFonts w:ascii="Arial" w:hAnsi="Arial" w:cs="Arial"/>
          <w:sz w:val="22"/>
          <w:szCs w:val="22"/>
        </w:rPr>
      </w:pPr>
      <w:r w:rsidRPr="009F7B1F">
        <w:rPr>
          <w:rFonts w:ascii="Arial" w:eastAsia="DengXian" w:hAnsi="Arial" w:cs="Arial"/>
          <w:b/>
          <w:sz w:val="22"/>
          <w:szCs w:val="22"/>
        </w:rPr>
        <w:t>Comment Bin 3.6.3.1.F:</w:t>
      </w:r>
      <w:r w:rsidRPr="009F7B1F">
        <w:rPr>
          <w:rFonts w:ascii="Arial" w:eastAsia="DengXian" w:hAnsi="Arial" w:cs="Arial"/>
          <w:sz w:val="22"/>
          <w:szCs w:val="22"/>
        </w:rPr>
        <w:t xml:space="preserve"> </w:t>
      </w:r>
      <w:r w:rsidRPr="009F7B1F">
        <w:rPr>
          <w:rFonts w:ascii="Arial" w:hAnsi="Arial" w:cs="Arial"/>
          <w:sz w:val="22"/>
          <w:szCs w:val="22"/>
        </w:rPr>
        <w:t>A commenter wrote that scalable EPZs included in the proposed rule will lead to reduced offsite emergency planning requirements for certain advanced reactors, based on their risk profile and safety features. Specifically, the commenter argued this will result in no mechanisms to ensure that off-site personnel will have sufficient knowledge and training to support activities on site when needed. The commenter added that the NRC has indicated that typical emergency response functions from offsite response organizations will fulfill many of the licensing requirements for new types of reactors, but there can be issues using historical, non-radiological emergency protective actions as precursors to predict response readiness. Given a response agency's responsibilities and authority changes depending on the location and scenario, there remains a need to maintain working relationships between licensees and off-site response organizations. The commenter added that the NRC should not assume that responders and decision makers will be prepared to enact protective actions without significant prior coordination and training of staff.</w:t>
      </w:r>
    </w:p>
    <w:p w:rsidR="007F112A" w:rsidRPr="009F7B1F" w:rsidP="009F7B1F" w14:paraId="05D9F21C" w14:textId="77777777">
      <w:pPr>
        <w:spacing w:after="220"/>
        <w:rPr>
          <w:rFonts w:ascii="Arial" w:hAnsi="Arial" w:cs="Arial"/>
          <w:sz w:val="22"/>
          <w:szCs w:val="22"/>
        </w:rPr>
      </w:pPr>
      <w:r w:rsidRPr="009F7B1F">
        <w:rPr>
          <w:rFonts w:ascii="Arial" w:hAnsi="Arial" w:cs="Arial"/>
          <w:sz w:val="22"/>
          <w:szCs w:val="22"/>
        </w:rPr>
        <w:t>The commenter added that it is unclear how the proposed approach would maintain adequate protection for health and safety if an EPZ does not extend beyond the site boundary and questioned whether FEMA could provide adequate protection</w:t>
      </w:r>
      <w:r w:rsidR="000578A9">
        <w:rPr>
          <w:rFonts w:ascii="Arial" w:hAnsi="Arial" w:cs="Arial"/>
          <w:sz w:val="22"/>
          <w:szCs w:val="22"/>
        </w:rPr>
        <w:t>,</w:t>
      </w:r>
      <w:r w:rsidRPr="009F7B1F">
        <w:rPr>
          <w:rFonts w:ascii="Arial" w:hAnsi="Arial" w:cs="Arial"/>
          <w:sz w:val="22"/>
          <w:szCs w:val="22"/>
        </w:rPr>
        <w:t xml:space="preserve"> writing that the FEMA R</w:t>
      </w:r>
      <w:r w:rsidR="00B66E1F">
        <w:rPr>
          <w:rFonts w:ascii="Arial" w:hAnsi="Arial" w:cs="Arial"/>
          <w:sz w:val="22"/>
          <w:szCs w:val="22"/>
        </w:rPr>
        <w:t>adiological Emergency Preparedness Program</w:t>
      </w:r>
      <w:r w:rsidRPr="009F7B1F">
        <w:rPr>
          <w:rFonts w:ascii="Arial" w:hAnsi="Arial" w:cs="Arial"/>
          <w:sz w:val="22"/>
          <w:szCs w:val="22"/>
        </w:rPr>
        <w:t xml:space="preserve"> Manual does not address program requirements for advanced reactors. </w:t>
      </w:r>
    </w:p>
    <w:p w:rsidR="007F112A" w:rsidRPr="009F7B1F" w:rsidP="009F7B1F" w14:paraId="1529D7AB" w14:textId="77777777">
      <w:pPr>
        <w:spacing w:after="220"/>
        <w:rPr>
          <w:rFonts w:ascii="Arial" w:hAnsi="Arial" w:cs="Arial"/>
          <w:sz w:val="22"/>
          <w:szCs w:val="22"/>
        </w:rPr>
      </w:pPr>
      <w:r w:rsidRPr="009F7B1F">
        <w:rPr>
          <w:rFonts w:ascii="Arial" w:hAnsi="Arial" w:cs="Arial"/>
          <w:sz w:val="22"/>
          <w:szCs w:val="22"/>
        </w:rPr>
        <w:t>The commenter stated that the NRC needs to provide clear guidance on coordination between police, fire, state public health and environmental response agencies, and FEMA with regard to EPZ boundaries that do not extend beyond the site boundary. The commenter added that the NRC should ensure that local authorities are provided with sufficient site information to be able to effectively perform their required duties (</w:t>
      </w:r>
      <w:r w:rsidR="00E36F7E">
        <w:rPr>
          <w:rFonts w:ascii="Arial" w:hAnsi="Arial" w:cs="Arial"/>
          <w:sz w:val="22"/>
          <w:szCs w:val="22"/>
        </w:rPr>
        <w:t>NYS2</w:t>
      </w:r>
      <w:r w:rsidRPr="009F7B1F">
        <w:rPr>
          <w:rFonts w:ascii="Arial" w:hAnsi="Arial" w:cs="Arial"/>
          <w:sz w:val="22"/>
          <w:szCs w:val="22"/>
        </w:rPr>
        <w:t>-0021). </w:t>
      </w:r>
    </w:p>
    <w:p w:rsidR="007F112A" w:rsidRPr="009F7B1F" w:rsidP="009F7B1F" w14:paraId="01437725" w14:textId="77777777">
      <w:pPr>
        <w:spacing w:after="220"/>
        <w:rPr>
          <w:rFonts w:ascii="Arial" w:eastAsia="Times New Roman" w:hAnsi="Arial" w:cs="Arial"/>
          <w:color w:val="000000"/>
          <w:sz w:val="22"/>
          <w:szCs w:val="22"/>
          <w:lang w:eastAsia="zh-CN"/>
        </w:rPr>
      </w:pPr>
      <w:r w:rsidRPr="009F7B1F">
        <w:rPr>
          <w:rFonts w:ascii="Arial" w:hAnsi="Arial" w:cs="Arial"/>
          <w:sz w:val="22"/>
          <w:szCs w:val="22"/>
        </w:rPr>
        <w:t xml:space="preserve">Another commenter wrote that the “need for emergency planning and a trained, exercised emergency response organization is being quietly ignored” and that there is no mention of training for responders or how to pay for such training. The commenter added that mobile response equipment might be needed and this is not discussed. Finally, the commenter added that it appears very high doses are required before “anyone is obligated to take action” </w:t>
      </w:r>
      <w:r w:rsidR="00180AF8">
        <w:rPr>
          <w:rFonts w:ascii="Arial" w:hAnsi="Arial" w:cs="Arial"/>
          <w:sz w:val="22"/>
          <w:szCs w:val="22"/>
        </w:rPr>
        <w:br/>
      </w:r>
      <w:r w:rsidRPr="009F7B1F">
        <w:rPr>
          <w:rFonts w:ascii="Arial" w:hAnsi="Arial" w:cs="Arial"/>
          <w:sz w:val="22"/>
          <w:szCs w:val="22"/>
        </w:rPr>
        <w:t>(</w:t>
      </w:r>
      <w:r w:rsidR="000179BD">
        <w:rPr>
          <w:rFonts w:ascii="Arial" w:hAnsi="Arial" w:cs="Arial"/>
          <w:sz w:val="22"/>
          <w:szCs w:val="22"/>
        </w:rPr>
        <w:t>TG17</w:t>
      </w:r>
      <w:r w:rsidRPr="009F7B1F">
        <w:rPr>
          <w:rFonts w:ascii="Arial" w:hAnsi="Arial" w:cs="Arial"/>
          <w:sz w:val="22"/>
          <w:szCs w:val="22"/>
        </w:rPr>
        <w:t>-0003).</w:t>
      </w:r>
    </w:p>
    <w:p w:rsidR="007F112A" w:rsidRPr="009F7B1F" w:rsidP="009F7B1F" w14:paraId="143E6684" w14:textId="77777777">
      <w:pPr>
        <w:spacing w:after="220"/>
        <w:rPr>
          <w:rFonts w:ascii="Arial" w:hAnsi="Arial" w:cs="Arial"/>
          <w:sz w:val="22"/>
          <w:szCs w:val="22"/>
        </w:rPr>
      </w:pPr>
      <w:r w:rsidRPr="009F7B1F">
        <w:rPr>
          <w:rFonts w:ascii="Arial" w:eastAsia="DengXian" w:hAnsi="Arial" w:cs="Arial"/>
          <w:b/>
          <w:sz w:val="22"/>
          <w:szCs w:val="22"/>
        </w:rPr>
        <w:t>NRC Response:</w:t>
      </w:r>
      <w:r w:rsidRPr="009F7B1F">
        <w:rPr>
          <w:rFonts w:ascii="Arial" w:eastAsia="DengXian" w:hAnsi="Arial" w:cs="Arial"/>
          <w:sz w:val="22"/>
          <w:szCs w:val="22"/>
        </w:rPr>
        <w:t xml:space="preserve"> </w:t>
      </w:r>
      <w:r w:rsidRPr="009F7B1F">
        <w:rPr>
          <w:rFonts w:ascii="Arial" w:hAnsi="Arial" w:cs="Arial"/>
          <w:sz w:val="22"/>
          <w:szCs w:val="22"/>
        </w:rPr>
        <w:t xml:space="preserve">The NRC agrees, in part, with </w:t>
      </w:r>
      <w:r w:rsidR="00834CD5">
        <w:rPr>
          <w:rFonts w:ascii="Arial" w:hAnsi="Arial" w:cs="Arial"/>
          <w:sz w:val="22"/>
          <w:szCs w:val="22"/>
        </w:rPr>
        <w:t>the</w:t>
      </w:r>
      <w:r w:rsidRPr="009F7B1F">
        <w:rPr>
          <w:rFonts w:ascii="Arial" w:hAnsi="Arial" w:cs="Arial"/>
          <w:sz w:val="22"/>
          <w:szCs w:val="22"/>
        </w:rPr>
        <w:t xml:space="preserve"> comments.</w:t>
      </w:r>
    </w:p>
    <w:p w:rsidR="007F112A" w:rsidRPr="009F7B1F" w:rsidP="009F7B1F" w14:paraId="38EF7F8A" w14:textId="77777777">
      <w:pPr>
        <w:spacing w:after="220"/>
        <w:rPr>
          <w:rFonts w:ascii="Arial" w:hAnsi="Arial" w:cs="Arial"/>
          <w:sz w:val="22"/>
          <w:szCs w:val="22"/>
        </w:rPr>
      </w:pPr>
      <w:r w:rsidRPr="009F7B1F">
        <w:rPr>
          <w:rFonts w:ascii="Arial" w:hAnsi="Arial" w:cs="Arial"/>
          <w:sz w:val="22"/>
          <w:szCs w:val="22"/>
        </w:rPr>
        <w:t xml:space="preserve">The NRC agrees that scalable EPZs </w:t>
      </w:r>
      <w:r w:rsidR="00171569">
        <w:rPr>
          <w:rFonts w:ascii="Arial" w:hAnsi="Arial" w:cs="Arial"/>
          <w:sz w:val="22"/>
          <w:szCs w:val="22"/>
        </w:rPr>
        <w:t>allowed in 10 CFR 50.33(g)(2)</w:t>
      </w:r>
      <w:r w:rsidR="001058FC">
        <w:rPr>
          <w:rFonts w:ascii="Arial" w:hAnsi="Arial" w:cs="Arial"/>
          <w:sz w:val="22"/>
          <w:szCs w:val="22"/>
        </w:rPr>
        <w:t xml:space="preserve"> </w:t>
      </w:r>
      <w:r w:rsidRPr="009F7B1F">
        <w:rPr>
          <w:rFonts w:ascii="Arial" w:hAnsi="Arial" w:cs="Arial"/>
          <w:sz w:val="22"/>
          <w:szCs w:val="22"/>
        </w:rPr>
        <w:t xml:space="preserve">will lead to </w:t>
      </w:r>
      <w:r w:rsidRPr="009F7B1F" w:rsidR="00654FE5">
        <w:rPr>
          <w:rFonts w:ascii="Arial" w:hAnsi="Arial" w:cs="Arial"/>
          <w:sz w:val="22"/>
          <w:szCs w:val="22"/>
        </w:rPr>
        <w:t>appropriately</w:t>
      </w:r>
      <w:r w:rsidRPr="009F7B1F">
        <w:rPr>
          <w:rFonts w:ascii="Arial" w:hAnsi="Arial" w:cs="Arial"/>
          <w:sz w:val="22"/>
          <w:szCs w:val="22"/>
        </w:rPr>
        <w:t xml:space="preserve"> reduced offsite emergency planning requirements for certain advanced reactors, based on their risk profile and safety features. The NRC disagrees this will result in no mechanisms to ensure that off-site personnel will have sufficient knowledge and training to support activities on site when needed. The NRC disagrees that neither FEMA nor local responders are prepared to handle radiological emergencies.</w:t>
      </w:r>
    </w:p>
    <w:p w:rsidR="00CF7BAC" w:rsidRPr="009F7B1F" w:rsidP="009F7B1F" w14:paraId="56FCAF34" w14:textId="77777777">
      <w:pPr>
        <w:spacing w:after="220"/>
        <w:rPr>
          <w:rFonts w:ascii="Arial" w:hAnsi="Arial" w:cs="Arial"/>
          <w:sz w:val="22"/>
          <w:szCs w:val="22"/>
        </w:rPr>
      </w:pPr>
      <w:r w:rsidRPr="009F7B1F">
        <w:rPr>
          <w:rFonts w:ascii="Arial" w:hAnsi="Arial" w:cs="Arial"/>
          <w:sz w:val="22"/>
          <w:szCs w:val="22"/>
        </w:rPr>
        <w:t xml:space="preserve">The Federal Government’s responses to various emergencies, including radiological emergencies, are described in the NRF (one of the five National Planning Frameworks constituting the </w:t>
      </w:r>
      <w:r w:rsidR="00844986">
        <w:rPr>
          <w:rFonts w:ascii="Arial" w:hAnsi="Arial" w:cs="Arial"/>
          <w:sz w:val="22"/>
          <w:szCs w:val="22"/>
        </w:rPr>
        <w:t xml:space="preserve">NPS </w:t>
      </w:r>
      <w:r w:rsidRPr="009F7B1F">
        <w:rPr>
          <w:rFonts w:ascii="Arial" w:hAnsi="Arial" w:cs="Arial"/>
          <w:sz w:val="22"/>
          <w:szCs w:val="22"/>
        </w:rPr>
        <w:t>required by Presidential Policy Directive 8, “National Preparedness,” dated March 30, 2011</w:t>
      </w:r>
      <w:r w:rsidRPr="7BD87C88">
        <w:rPr>
          <w:rFonts w:ascii="Arial" w:hAnsi="Arial" w:cs="Arial"/>
          <w:sz w:val="22"/>
          <w:szCs w:val="22"/>
        </w:rPr>
        <w:t>)</w:t>
      </w:r>
      <w:r w:rsidRPr="7BD87C88" w:rsidR="089947F9">
        <w:rPr>
          <w:rFonts w:ascii="Arial" w:hAnsi="Arial" w:cs="Arial"/>
          <w:sz w:val="22"/>
          <w:szCs w:val="22"/>
        </w:rPr>
        <w:t xml:space="preserve"> </w:t>
      </w:r>
      <w:r w:rsidRPr="2E8B78D3" w:rsidR="089947F9">
        <w:rPr>
          <w:rFonts w:ascii="Arial" w:hAnsi="Arial" w:cs="Arial"/>
          <w:sz w:val="22"/>
          <w:szCs w:val="22"/>
        </w:rPr>
        <w:t xml:space="preserve">(see </w:t>
      </w:r>
      <w:r w:rsidR="009E1186">
        <w:rPr>
          <w:rFonts w:ascii="Arial" w:hAnsi="Arial" w:cs="Arial"/>
          <w:sz w:val="22"/>
          <w:szCs w:val="22"/>
        </w:rPr>
        <w:t xml:space="preserve">the NRC’s response to </w:t>
      </w:r>
      <w:r w:rsidRPr="11D8CDCA" w:rsidR="089947F9">
        <w:rPr>
          <w:rFonts w:ascii="Arial" w:hAnsi="Arial" w:cs="Arial"/>
          <w:sz w:val="22"/>
          <w:szCs w:val="22"/>
        </w:rPr>
        <w:t>Comment Bin</w:t>
      </w:r>
      <w:r w:rsidRPr="2E8B78D3" w:rsidR="089947F9">
        <w:rPr>
          <w:rFonts w:ascii="Arial" w:hAnsi="Arial" w:cs="Arial"/>
          <w:sz w:val="22"/>
          <w:szCs w:val="22"/>
        </w:rPr>
        <w:t xml:space="preserve"> 3.</w:t>
      </w:r>
      <w:r w:rsidR="00391013">
        <w:rPr>
          <w:rFonts w:ascii="Arial" w:hAnsi="Arial" w:cs="Arial"/>
          <w:sz w:val="22"/>
          <w:szCs w:val="22"/>
        </w:rPr>
        <w:t>6.</w:t>
      </w:r>
      <w:r w:rsidRPr="2E8B78D3" w:rsidR="089947F9">
        <w:rPr>
          <w:rFonts w:ascii="Arial" w:hAnsi="Arial" w:cs="Arial"/>
          <w:sz w:val="22"/>
          <w:szCs w:val="22"/>
        </w:rPr>
        <w:t>3.1</w:t>
      </w:r>
      <w:r w:rsidR="00391013">
        <w:rPr>
          <w:rFonts w:ascii="Arial" w:hAnsi="Arial" w:cs="Arial"/>
          <w:sz w:val="22"/>
          <w:szCs w:val="22"/>
        </w:rPr>
        <w:t>.</w:t>
      </w:r>
      <w:r w:rsidRPr="2E8B78D3" w:rsidR="089947F9">
        <w:rPr>
          <w:rFonts w:ascii="Arial" w:hAnsi="Arial" w:cs="Arial"/>
          <w:sz w:val="22"/>
          <w:szCs w:val="22"/>
        </w:rPr>
        <w:t>B)</w:t>
      </w:r>
      <w:r w:rsidRPr="2E8B78D3">
        <w:rPr>
          <w:rFonts w:ascii="Arial" w:hAnsi="Arial" w:cs="Arial"/>
          <w:sz w:val="22"/>
          <w:szCs w:val="22"/>
        </w:rPr>
        <w:t>.</w:t>
      </w:r>
      <w:r w:rsidRPr="009F7B1F">
        <w:rPr>
          <w:rFonts w:ascii="Arial" w:hAnsi="Arial" w:cs="Arial"/>
          <w:sz w:val="22"/>
          <w:szCs w:val="22"/>
        </w:rPr>
        <w:t xml:space="preserve"> FEMA’s website at https://www.fema.gov/emergency-managers/</w:t>
      </w:r>
      <w:r w:rsidRPr="331D9875" w:rsidR="550BD687">
        <w:rPr>
          <w:rFonts w:ascii="Arial" w:eastAsia="Arial" w:hAnsi="Arial" w:cs="Arial"/>
          <w:sz w:val="22"/>
          <w:szCs w:val="22"/>
        </w:rPr>
        <w:t>national-preparedness</w:t>
      </w:r>
      <w:r w:rsidRPr="009F7B1F">
        <w:rPr>
          <w:rFonts w:ascii="Arial" w:hAnsi="Arial" w:cs="Arial"/>
          <w:sz w:val="22"/>
          <w:szCs w:val="22"/>
        </w:rPr>
        <w:t xml:space="preserve"> contains more information on these topics. Additionally, applicants and licensees are subject to training and coordination </w:t>
      </w:r>
      <w:r w:rsidRPr="009F7B1F">
        <w:rPr>
          <w:rFonts w:ascii="Arial" w:hAnsi="Arial" w:cs="Arial"/>
          <w:sz w:val="22"/>
          <w:szCs w:val="22"/>
        </w:rPr>
        <w:t>requirements of either 10 CFR 50.47(b)(2), (14), (15) and Appendix E</w:t>
      </w:r>
      <w:r w:rsidR="000F7814">
        <w:rPr>
          <w:rFonts w:ascii="Arial" w:hAnsi="Arial" w:cs="Arial"/>
          <w:sz w:val="22"/>
          <w:szCs w:val="22"/>
        </w:rPr>
        <w:t xml:space="preserve"> to Part 50</w:t>
      </w:r>
      <w:r w:rsidRPr="009F7B1F" w:rsidR="00371FA1">
        <w:rPr>
          <w:rFonts w:ascii="Arial" w:hAnsi="Arial" w:cs="Arial"/>
          <w:sz w:val="22"/>
          <w:szCs w:val="22"/>
        </w:rPr>
        <w:t>,</w:t>
      </w:r>
      <w:r w:rsidR="00DF1234">
        <w:rPr>
          <w:rFonts w:ascii="Arial" w:hAnsi="Arial" w:cs="Arial"/>
          <w:sz w:val="22"/>
          <w:szCs w:val="22"/>
        </w:rPr>
        <w:t xml:space="preserve"> or </w:t>
      </w:r>
      <w:r w:rsidRPr="009F7B1F" w:rsidR="00DF1234">
        <w:rPr>
          <w:rFonts w:ascii="Arial" w:hAnsi="Arial" w:cs="Arial"/>
          <w:sz w:val="22"/>
          <w:szCs w:val="22"/>
        </w:rPr>
        <w:t>10</w:t>
      </w:r>
      <w:r w:rsidR="00264DEF">
        <w:rPr>
          <w:rFonts w:ascii="Arial" w:hAnsi="Arial" w:cs="Arial"/>
          <w:sz w:val="22"/>
          <w:szCs w:val="22"/>
        </w:rPr>
        <w:t> </w:t>
      </w:r>
      <w:r w:rsidRPr="009F7B1F" w:rsidR="00DF1234">
        <w:rPr>
          <w:rFonts w:ascii="Arial" w:hAnsi="Arial" w:cs="Arial"/>
          <w:sz w:val="22"/>
          <w:szCs w:val="22"/>
        </w:rPr>
        <w:t>CFR</w:t>
      </w:r>
      <w:r w:rsidR="00264DEF">
        <w:rPr>
          <w:rFonts w:ascii="Arial" w:hAnsi="Arial" w:cs="Arial"/>
          <w:sz w:val="22"/>
          <w:szCs w:val="22"/>
        </w:rPr>
        <w:t> </w:t>
      </w:r>
      <w:r w:rsidRPr="009F7B1F" w:rsidR="00DF1234">
        <w:rPr>
          <w:rFonts w:ascii="Arial" w:hAnsi="Arial" w:cs="Arial"/>
          <w:sz w:val="22"/>
          <w:szCs w:val="22"/>
        </w:rPr>
        <w:t>50.160(b)(1)(iii)(B)-(C) and 10 CFR 50.160(b)(1)(iv)(A)(</w:t>
      </w:r>
      <w:r w:rsidRPr="009F7B1F" w:rsidR="00DF1234">
        <w:rPr>
          <w:rFonts w:ascii="Arial" w:hAnsi="Arial" w:cs="Arial"/>
          <w:i/>
          <w:sz w:val="22"/>
          <w:szCs w:val="22"/>
        </w:rPr>
        <w:t>5</w:t>
      </w:r>
      <w:r w:rsidRPr="009F7B1F" w:rsidR="00DF1234">
        <w:rPr>
          <w:rFonts w:ascii="Arial" w:hAnsi="Arial" w:cs="Arial"/>
          <w:sz w:val="22"/>
          <w:szCs w:val="22"/>
        </w:rPr>
        <w:t>)</w:t>
      </w:r>
      <w:r w:rsidR="007D0CA1">
        <w:rPr>
          <w:rFonts w:ascii="Arial" w:hAnsi="Arial" w:cs="Arial"/>
          <w:sz w:val="22"/>
          <w:szCs w:val="22"/>
        </w:rPr>
        <w:t>.</w:t>
      </w:r>
      <w:r w:rsidRPr="009F7B1F">
        <w:rPr>
          <w:rFonts w:ascii="Arial" w:hAnsi="Arial" w:cs="Arial"/>
          <w:sz w:val="22"/>
          <w:szCs w:val="22"/>
        </w:rPr>
        <w:t xml:space="preserve"> </w:t>
      </w:r>
      <w:r w:rsidR="0081705B">
        <w:rPr>
          <w:rFonts w:ascii="Arial" w:hAnsi="Arial" w:cs="Arial"/>
          <w:sz w:val="22"/>
          <w:szCs w:val="22"/>
        </w:rPr>
        <w:t xml:space="preserve">The former </w:t>
      </w:r>
      <w:r w:rsidR="00174A8F">
        <w:rPr>
          <w:rFonts w:ascii="Arial" w:hAnsi="Arial" w:cs="Arial"/>
          <w:sz w:val="22"/>
          <w:szCs w:val="22"/>
        </w:rPr>
        <w:t xml:space="preserve">set of regulations </w:t>
      </w:r>
      <w:r w:rsidRPr="009F7B1F">
        <w:rPr>
          <w:rFonts w:ascii="Arial" w:hAnsi="Arial" w:cs="Arial"/>
          <w:sz w:val="22"/>
          <w:szCs w:val="22"/>
        </w:rPr>
        <w:t>require</w:t>
      </w:r>
      <w:r w:rsidR="00DF4D78">
        <w:rPr>
          <w:rFonts w:ascii="Arial" w:hAnsi="Arial" w:cs="Arial"/>
          <w:sz w:val="22"/>
          <w:szCs w:val="22"/>
        </w:rPr>
        <w:t>s</w:t>
      </w:r>
      <w:r w:rsidRPr="009F7B1F">
        <w:rPr>
          <w:rFonts w:ascii="Arial" w:hAnsi="Arial" w:cs="Arial"/>
          <w:sz w:val="22"/>
          <w:szCs w:val="22"/>
        </w:rPr>
        <w:t xml:space="preserve"> emergency declaration and notification</w:t>
      </w:r>
      <w:r w:rsidR="00487DCC">
        <w:rPr>
          <w:rFonts w:ascii="Arial" w:hAnsi="Arial" w:cs="Arial"/>
          <w:sz w:val="22"/>
          <w:szCs w:val="22"/>
        </w:rPr>
        <w:t xml:space="preserve"> capabi</w:t>
      </w:r>
      <w:r w:rsidR="00C56947">
        <w:rPr>
          <w:rFonts w:ascii="Arial" w:hAnsi="Arial" w:cs="Arial"/>
          <w:sz w:val="22"/>
          <w:szCs w:val="22"/>
        </w:rPr>
        <w:t>l</w:t>
      </w:r>
      <w:r w:rsidR="00487DCC">
        <w:rPr>
          <w:rFonts w:ascii="Arial" w:hAnsi="Arial" w:cs="Arial"/>
          <w:sz w:val="22"/>
          <w:szCs w:val="22"/>
        </w:rPr>
        <w:t>ities</w:t>
      </w:r>
      <w:r w:rsidRPr="009F7B1F">
        <w:rPr>
          <w:rFonts w:ascii="Arial" w:hAnsi="Arial" w:cs="Arial"/>
          <w:sz w:val="22"/>
          <w:szCs w:val="22"/>
        </w:rPr>
        <w:t xml:space="preserve">, </w:t>
      </w:r>
      <w:r w:rsidR="00C56947">
        <w:rPr>
          <w:rFonts w:ascii="Arial" w:hAnsi="Arial" w:cs="Arial"/>
          <w:sz w:val="22"/>
          <w:szCs w:val="22"/>
        </w:rPr>
        <w:t>the</w:t>
      </w:r>
      <w:r w:rsidRPr="009F7B1F">
        <w:rPr>
          <w:rFonts w:ascii="Arial" w:hAnsi="Arial" w:cs="Arial"/>
          <w:sz w:val="22"/>
          <w:szCs w:val="22"/>
        </w:rPr>
        <w:t xml:space="preserve"> conduct of periodic exercises and drills</w:t>
      </w:r>
      <w:r w:rsidR="00BD1BB3">
        <w:rPr>
          <w:rFonts w:ascii="Arial" w:hAnsi="Arial" w:cs="Arial"/>
          <w:sz w:val="22"/>
          <w:szCs w:val="22"/>
        </w:rPr>
        <w:t>,</w:t>
      </w:r>
      <w:r w:rsidRPr="009F7B1F">
        <w:rPr>
          <w:rFonts w:ascii="Arial" w:hAnsi="Arial" w:cs="Arial"/>
          <w:sz w:val="22"/>
          <w:szCs w:val="22"/>
        </w:rPr>
        <w:t xml:space="preserve"> evaluat</w:t>
      </w:r>
      <w:r w:rsidR="00B77CE8">
        <w:rPr>
          <w:rFonts w:ascii="Arial" w:hAnsi="Arial" w:cs="Arial"/>
          <w:sz w:val="22"/>
          <w:szCs w:val="22"/>
        </w:rPr>
        <w:t>ion of</w:t>
      </w:r>
      <w:r w:rsidRPr="009F7B1F">
        <w:rPr>
          <w:rFonts w:ascii="Arial" w:hAnsi="Arial" w:cs="Arial"/>
          <w:sz w:val="22"/>
          <w:szCs w:val="22"/>
        </w:rPr>
        <w:t xml:space="preserve"> major portions of emergency response capabilities, develop</w:t>
      </w:r>
      <w:r w:rsidR="00082B85">
        <w:rPr>
          <w:rFonts w:ascii="Arial" w:hAnsi="Arial" w:cs="Arial"/>
          <w:sz w:val="22"/>
          <w:szCs w:val="22"/>
        </w:rPr>
        <w:t>ment</w:t>
      </w:r>
      <w:r w:rsidRPr="009F7B1F">
        <w:rPr>
          <w:rFonts w:ascii="Arial" w:hAnsi="Arial" w:cs="Arial"/>
          <w:sz w:val="22"/>
          <w:szCs w:val="22"/>
        </w:rPr>
        <w:t xml:space="preserve"> and </w:t>
      </w:r>
      <w:r w:rsidR="00082B85">
        <w:rPr>
          <w:rFonts w:ascii="Arial" w:hAnsi="Arial" w:cs="Arial"/>
          <w:sz w:val="22"/>
          <w:szCs w:val="22"/>
        </w:rPr>
        <w:t>maintenance of</w:t>
      </w:r>
      <w:r w:rsidRPr="009F7B1F">
        <w:rPr>
          <w:rFonts w:ascii="Arial" w:hAnsi="Arial" w:cs="Arial"/>
          <w:sz w:val="22"/>
          <w:szCs w:val="22"/>
        </w:rPr>
        <w:t xml:space="preserve"> key skills, and </w:t>
      </w:r>
      <w:r w:rsidR="008B11CD">
        <w:rPr>
          <w:rFonts w:ascii="Arial" w:hAnsi="Arial" w:cs="Arial"/>
          <w:sz w:val="22"/>
          <w:szCs w:val="22"/>
        </w:rPr>
        <w:t xml:space="preserve">the </w:t>
      </w:r>
      <w:r w:rsidR="006511CD">
        <w:rPr>
          <w:rFonts w:ascii="Arial" w:hAnsi="Arial" w:cs="Arial"/>
          <w:sz w:val="22"/>
          <w:szCs w:val="22"/>
        </w:rPr>
        <w:t xml:space="preserve">capability to </w:t>
      </w:r>
      <w:r w:rsidRPr="009F7B1F">
        <w:rPr>
          <w:rFonts w:ascii="Arial" w:hAnsi="Arial" w:cs="Arial"/>
          <w:sz w:val="22"/>
          <w:szCs w:val="22"/>
        </w:rPr>
        <w:t>identify and correct deficiencies</w:t>
      </w:r>
      <w:r w:rsidR="00693A53">
        <w:rPr>
          <w:rFonts w:ascii="Arial" w:hAnsi="Arial" w:cs="Arial"/>
          <w:sz w:val="22"/>
          <w:szCs w:val="22"/>
        </w:rPr>
        <w:t xml:space="preserve"> </w:t>
      </w:r>
      <w:r w:rsidR="00653FD8">
        <w:rPr>
          <w:rFonts w:ascii="Arial" w:hAnsi="Arial" w:cs="Arial"/>
          <w:sz w:val="22"/>
          <w:szCs w:val="22"/>
        </w:rPr>
        <w:t xml:space="preserve">in implementing the </w:t>
      </w:r>
      <w:r w:rsidR="00981617">
        <w:rPr>
          <w:rFonts w:ascii="Arial" w:hAnsi="Arial" w:cs="Arial"/>
          <w:sz w:val="22"/>
          <w:szCs w:val="22"/>
        </w:rPr>
        <w:t xml:space="preserve">licensee’s </w:t>
      </w:r>
      <w:r w:rsidR="00653FD8">
        <w:rPr>
          <w:rFonts w:ascii="Arial" w:hAnsi="Arial" w:cs="Arial"/>
          <w:sz w:val="22"/>
          <w:szCs w:val="22"/>
        </w:rPr>
        <w:t>emergency plan</w:t>
      </w:r>
      <w:r w:rsidR="00DF1234">
        <w:rPr>
          <w:rFonts w:ascii="Arial" w:hAnsi="Arial" w:cs="Arial"/>
          <w:sz w:val="22"/>
          <w:szCs w:val="22"/>
        </w:rPr>
        <w:t>.</w:t>
      </w:r>
      <w:r w:rsidRPr="009F7B1F">
        <w:rPr>
          <w:rFonts w:ascii="Arial" w:hAnsi="Arial" w:cs="Arial"/>
          <w:sz w:val="22"/>
          <w:szCs w:val="22"/>
        </w:rPr>
        <w:t xml:space="preserve"> </w:t>
      </w:r>
      <w:r w:rsidR="00DF1234">
        <w:rPr>
          <w:rFonts w:ascii="Arial" w:hAnsi="Arial" w:cs="Arial"/>
          <w:sz w:val="22"/>
          <w:szCs w:val="22"/>
        </w:rPr>
        <w:t xml:space="preserve">The latter set of regulations </w:t>
      </w:r>
      <w:r w:rsidRPr="009F7B1F">
        <w:rPr>
          <w:rFonts w:ascii="Arial" w:hAnsi="Arial" w:cs="Arial"/>
          <w:sz w:val="22"/>
          <w:szCs w:val="22"/>
        </w:rPr>
        <w:t>require</w:t>
      </w:r>
      <w:r w:rsidR="009F49F9">
        <w:rPr>
          <w:rFonts w:ascii="Arial" w:hAnsi="Arial" w:cs="Arial"/>
          <w:sz w:val="22"/>
          <w:szCs w:val="22"/>
        </w:rPr>
        <w:t>s</w:t>
      </w:r>
      <w:r w:rsidRPr="009F7B1F">
        <w:rPr>
          <w:rFonts w:ascii="Arial" w:hAnsi="Arial" w:cs="Arial"/>
          <w:sz w:val="22"/>
          <w:szCs w:val="22"/>
        </w:rPr>
        <w:t xml:space="preserve"> </w:t>
      </w:r>
      <w:r w:rsidR="00270DCE">
        <w:rPr>
          <w:rFonts w:ascii="Arial" w:hAnsi="Arial" w:cs="Arial"/>
          <w:sz w:val="22"/>
          <w:szCs w:val="22"/>
        </w:rPr>
        <w:t>the capability to make</w:t>
      </w:r>
      <w:r w:rsidRPr="009F7B1F">
        <w:rPr>
          <w:rFonts w:ascii="Arial" w:hAnsi="Arial" w:cs="Arial"/>
          <w:sz w:val="22"/>
          <w:szCs w:val="22"/>
        </w:rPr>
        <w:t xml:space="preserve"> protective action recommendation</w:t>
      </w:r>
      <w:r w:rsidR="00270DCE">
        <w:rPr>
          <w:rFonts w:ascii="Arial" w:hAnsi="Arial" w:cs="Arial"/>
          <w:sz w:val="22"/>
          <w:szCs w:val="22"/>
        </w:rPr>
        <w:t>s</w:t>
      </w:r>
      <w:r w:rsidRPr="009F7B1F">
        <w:rPr>
          <w:rFonts w:ascii="Arial" w:hAnsi="Arial" w:cs="Arial"/>
          <w:sz w:val="22"/>
          <w:szCs w:val="22"/>
        </w:rPr>
        <w:t xml:space="preserve"> for </w:t>
      </w:r>
      <w:r w:rsidRPr="009F7B1F" w:rsidR="009E3105">
        <w:rPr>
          <w:rFonts w:ascii="Arial" w:hAnsi="Arial" w:cs="Arial"/>
          <w:sz w:val="22"/>
          <w:szCs w:val="22"/>
        </w:rPr>
        <w:t>offsite response organizations</w:t>
      </w:r>
      <w:r w:rsidRPr="009F7B1F">
        <w:rPr>
          <w:rFonts w:ascii="Arial" w:hAnsi="Arial" w:cs="Arial"/>
          <w:sz w:val="22"/>
          <w:szCs w:val="22"/>
        </w:rPr>
        <w:t xml:space="preserve"> </w:t>
      </w:r>
      <w:r w:rsidR="00545F47">
        <w:rPr>
          <w:rFonts w:ascii="Arial" w:hAnsi="Arial" w:cs="Arial"/>
          <w:sz w:val="22"/>
          <w:szCs w:val="22"/>
        </w:rPr>
        <w:t>and</w:t>
      </w:r>
      <w:r w:rsidRPr="009F7B1F">
        <w:rPr>
          <w:rFonts w:ascii="Arial" w:hAnsi="Arial" w:cs="Arial"/>
          <w:sz w:val="22"/>
          <w:szCs w:val="22"/>
        </w:rPr>
        <w:t xml:space="preserve"> communicat</w:t>
      </w:r>
      <w:r w:rsidR="009939F5">
        <w:rPr>
          <w:rFonts w:ascii="Arial" w:hAnsi="Arial" w:cs="Arial"/>
          <w:sz w:val="22"/>
          <w:szCs w:val="22"/>
        </w:rPr>
        <w:t>e</w:t>
      </w:r>
      <w:r w:rsidRPr="009F7B1F">
        <w:rPr>
          <w:rFonts w:ascii="Arial" w:hAnsi="Arial" w:cs="Arial"/>
          <w:sz w:val="22"/>
          <w:szCs w:val="22"/>
        </w:rPr>
        <w:t xml:space="preserve"> with response organization</w:t>
      </w:r>
      <w:r w:rsidR="00DA3A16">
        <w:rPr>
          <w:rFonts w:ascii="Arial" w:hAnsi="Arial" w:cs="Arial"/>
          <w:sz w:val="22"/>
          <w:szCs w:val="22"/>
        </w:rPr>
        <w:t>s</w:t>
      </w:r>
      <w:r w:rsidRPr="009F7B1F">
        <w:rPr>
          <w:rFonts w:ascii="Arial" w:hAnsi="Arial" w:cs="Arial"/>
          <w:sz w:val="22"/>
          <w:szCs w:val="22"/>
        </w:rPr>
        <w:t xml:space="preserve"> that have emergency response responsibilities identified in the emergency plan, and </w:t>
      </w:r>
      <w:r w:rsidR="001B2785">
        <w:rPr>
          <w:rFonts w:ascii="Arial" w:hAnsi="Arial" w:cs="Arial"/>
          <w:sz w:val="22"/>
          <w:szCs w:val="22"/>
        </w:rPr>
        <w:t xml:space="preserve">the </w:t>
      </w:r>
      <w:r w:rsidR="00877BE8">
        <w:rPr>
          <w:rFonts w:ascii="Arial" w:hAnsi="Arial" w:cs="Arial"/>
          <w:sz w:val="22"/>
          <w:szCs w:val="22"/>
        </w:rPr>
        <w:t>provi</w:t>
      </w:r>
      <w:r w:rsidR="001B2785">
        <w:rPr>
          <w:rFonts w:ascii="Arial" w:hAnsi="Arial" w:cs="Arial"/>
          <w:sz w:val="22"/>
          <w:szCs w:val="22"/>
        </w:rPr>
        <w:t>sion of</w:t>
      </w:r>
      <w:r w:rsidR="00877BE8">
        <w:rPr>
          <w:rFonts w:ascii="Arial" w:hAnsi="Arial" w:cs="Arial"/>
          <w:sz w:val="22"/>
          <w:szCs w:val="22"/>
        </w:rPr>
        <w:t xml:space="preserve"> </w:t>
      </w:r>
      <w:r w:rsidRPr="009F7B1F">
        <w:rPr>
          <w:rFonts w:ascii="Arial" w:hAnsi="Arial" w:cs="Arial"/>
          <w:sz w:val="22"/>
          <w:szCs w:val="22"/>
        </w:rPr>
        <w:t xml:space="preserve">site familiarization training for </w:t>
      </w:r>
      <w:r w:rsidRPr="009F7B1F" w:rsidR="00724F5B">
        <w:rPr>
          <w:rFonts w:ascii="Arial" w:hAnsi="Arial" w:cs="Arial"/>
          <w:sz w:val="22"/>
          <w:szCs w:val="22"/>
        </w:rPr>
        <w:t>response organizations</w:t>
      </w:r>
      <w:r w:rsidRPr="009F7B1F">
        <w:rPr>
          <w:rFonts w:ascii="Arial" w:hAnsi="Arial" w:cs="Arial"/>
          <w:sz w:val="22"/>
          <w:szCs w:val="22"/>
        </w:rPr>
        <w:t xml:space="preserve"> expected to respond to the site during an emergency.</w:t>
      </w:r>
    </w:p>
    <w:p w:rsidR="007F112A" w:rsidRPr="009F7B1F" w:rsidP="009F7B1F" w14:paraId="36DA4CC9" w14:textId="77777777">
      <w:pPr>
        <w:spacing w:after="220"/>
        <w:rPr>
          <w:rFonts w:ascii="Arial" w:hAnsi="Arial" w:cs="Arial"/>
          <w:sz w:val="22"/>
          <w:szCs w:val="22"/>
        </w:rPr>
      </w:pPr>
      <w:r w:rsidRPr="009F7B1F">
        <w:rPr>
          <w:rFonts w:ascii="Arial" w:hAnsi="Arial" w:cs="Arial"/>
          <w:sz w:val="22"/>
          <w:szCs w:val="22"/>
        </w:rPr>
        <w:t xml:space="preserve">The NRC disagrees that the NRC needs to provide clear guidance on coordination between police, fire, </w:t>
      </w:r>
      <w:r w:rsidR="00D25663">
        <w:rPr>
          <w:rFonts w:ascii="Arial" w:hAnsi="Arial" w:cs="Arial"/>
          <w:sz w:val="22"/>
          <w:szCs w:val="22"/>
        </w:rPr>
        <w:t>S</w:t>
      </w:r>
      <w:r w:rsidRPr="009F7B1F">
        <w:rPr>
          <w:rFonts w:ascii="Arial" w:hAnsi="Arial" w:cs="Arial"/>
          <w:sz w:val="22"/>
          <w:szCs w:val="22"/>
        </w:rPr>
        <w:t xml:space="preserve">tate public health and environmental response agencies, and FEMA with regard to EPZ boundaries that do not extend beyond the site boundary. The NRC does not have the authority to direct </w:t>
      </w:r>
      <w:r w:rsidRPr="009F7B1F" w:rsidR="00DC523B">
        <w:rPr>
          <w:rFonts w:ascii="Arial" w:hAnsi="Arial" w:cs="Arial"/>
          <w:sz w:val="22"/>
          <w:szCs w:val="22"/>
        </w:rPr>
        <w:t>offsite response organization</w:t>
      </w:r>
      <w:r w:rsidRPr="009F7B1F">
        <w:rPr>
          <w:rFonts w:ascii="Arial" w:hAnsi="Arial" w:cs="Arial"/>
          <w:sz w:val="22"/>
          <w:szCs w:val="22"/>
        </w:rPr>
        <w:t xml:space="preserve"> actions. </w:t>
      </w:r>
      <w:r w:rsidRPr="009F7B1F" w:rsidR="003A526A">
        <w:rPr>
          <w:rFonts w:ascii="Arial" w:hAnsi="Arial" w:cs="Arial"/>
          <w:sz w:val="22"/>
          <w:szCs w:val="22"/>
        </w:rPr>
        <w:t xml:space="preserve">Furthermore, NRC regulations do not impact FEMA responsibilities and authorities with regard to assisting </w:t>
      </w:r>
      <w:r w:rsidR="00B10E11">
        <w:rPr>
          <w:rFonts w:ascii="Arial" w:hAnsi="Arial" w:cs="Arial"/>
          <w:sz w:val="22"/>
          <w:szCs w:val="22"/>
        </w:rPr>
        <w:t>S</w:t>
      </w:r>
      <w:r w:rsidRPr="009F7B1F" w:rsidR="003A526A">
        <w:rPr>
          <w:rFonts w:ascii="Arial" w:hAnsi="Arial" w:cs="Arial"/>
          <w:sz w:val="22"/>
          <w:szCs w:val="22"/>
        </w:rPr>
        <w:t>tate and local emergency planning</w:t>
      </w:r>
      <w:r w:rsidRPr="009F7B1F" w:rsidR="00B35184">
        <w:rPr>
          <w:rFonts w:ascii="Arial" w:hAnsi="Arial" w:cs="Arial"/>
          <w:sz w:val="22"/>
          <w:szCs w:val="22"/>
        </w:rPr>
        <w:t>.</w:t>
      </w:r>
    </w:p>
    <w:p w:rsidR="007F112A" w:rsidRPr="009F7B1F" w:rsidP="009F7B1F" w14:paraId="6FC08E43" w14:textId="77777777">
      <w:pPr>
        <w:spacing w:after="220"/>
        <w:rPr>
          <w:rFonts w:ascii="Arial" w:hAnsi="Arial" w:cs="Arial"/>
          <w:sz w:val="22"/>
          <w:szCs w:val="22"/>
        </w:rPr>
      </w:pPr>
      <w:r w:rsidRPr="009F7B1F">
        <w:rPr>
          <w:rFonts w:ascii="Arial" w:hAnsi="Arial" w:cs="Arial"/>
          <w:sz w:val="22"/>
          <w:szCs w:val="22"/>
        </w:rPr>
        <w:t>The NRC agrees that local authorities should be provided with sufficient site information to be able to effectively perform their required duties</w:t>
      </w:r>
      <w:r w:rsidRPr="009F7B1F" w:rsidR="001066F9">
        <w:rPr>
          <w:rFonts w:ascii="Arial" w:hAnsi="Arial" w:cs="Arial"/>
          <w:sz w:val="22"/>
          <w:szCs w:val="22"/>
        </w:rPr>
        <w:t>. This</w:t>
      </w:r>
      <w:r w:rsidRPr="009F7B1F">
        <w:rPr>
          <w:rFonts w:ascii="Arial" w:hAnsi="Arial" w:cs="Arial"/>
          <w:sz w:val="22"/>
          <w:szCs w:val="22"/>
        </w:rPr>
        <w:t xml:space="preserve"> is covered in the training and coordination requirement</w:t>
      </w:r>
      <w:r w:rsidR="003D40EC">
        <w:rPr>
          <w:rFonts w:ascii="Arial" w:hAnsi="Arial" w:cs="Arial"/>
          <w:sz w:val="22"/>
          <w:szCs w:val="22"/>
        </w:rPr>
        <w:t>s</w:t>
      </w:r>
      <w:r w:rsidRPr="009F7B1F">
        <w:rPr>
          <w:rFonts w:ascii="Arial" w:hAnsi="Arial" w:cs="Arial"/>
          <w:sz w:val="22"/>
          <w:szCs w:val="22"/>
        </w:rPr>
        <w:t xml:space="preserve"> cited above.</w:t>
      </w:r>
    </w:p>
    <w:p w:rsidR="007F112A" w:rsidRPr="009F7B1F" w:rsidP="009F7B1F" w14:paraId="491E98F9" w14:textId="77777777">
      <w:pPr>
        <w:spacing w:after="220"/>
        <w:rPr>
          <w:rFonts w:ascii="Arial" w:hAnsi="Arial" w:cs="Arial"/>
          <w:sz w:val="22"/>
          <w:szCs w:val="22"/>
        </w:rPr>
      </w:pPr>
      <w:r w:rsidRPr="009F7B1F">
        <w:rPr>
          <w:rFonts w:ascii="Arial" w:hAnsi="Arial" w:cs="Arial"/>
          <w:sz w:val="22"/>
          <w:szCs w:val="22"/>
        </w:rPr>
        <w:t>The NRC understands that the comment concerning the need for emergency planning and a trained, exercised emergency response organization is in reference to offsite emergency responders. The NRC agrees that 10 CFR 53.855 does not require funding of offsite emergency response organizations</w:t>
      </w:r>
      <w:r w:rsidR="00D053DA">
        <w:rPr>
          <w:rFonts w:ascii="Arial" w:hAnsi="Arial" w:cs="Arial"/>
          <w:sz w:val="22"/>
          <w:szCs w:val="22"/>
        </w:rPr>
        <w:t xml:space="preserve"> </w:t>
      </w:r>
      <w:r w:rsidRPr="00D053DA" w:rsidR="00D053DA">
        <w:rPr>
          <w:rFonts w:ascii="Arial" w:hAnsi="Arial" w:cs="Arial"/>
          <w:sz w:val="22"/>
          <w:szCs w:val="22"/>
        </w:rPr>
        <w:t xml:space="preserve">(see </w:t>
      </w:r>
      <w:r w:rsidR="009F40C7">
        <w:rPr>
          <w:rFonts w:ascii="Arial" w:hAnsi="Arial" w:cs="Arial"/>
          <w:sz w:val="22"/>
          <w:szCs w:val="22"/>
        </w:rPr>
        <w:t xml:space="preserve">the </w:t>
      </w:r>
      <w:r w:rsidR="004C040E">
        <w:rPr>
          <w:rFonts w:ascii="Arial" w:hAnsi="Arial" w:cs="Arial"/>
          <w:sz w:val="22"/>
          <w:szCs w:val="22"/>
        </w:rPr>
        <w:t xml:space="preserve">NRC’s response to </w:t>
      </w:r>
      <w:r w:rsidRPr="00D053DA" w:rsidR="00D053DA">
        <w:rPr>
          <w:rFonts w:ascii="Arial" w:hAnsi="Arial" w:cs="Arial"/>
          <w:sz w:val="22"/>
          <w:szCs w:val="22"/>
        </w:rPr>
        <w:t xml:space="preserve">Comment Bin </w:t>
      </w:r>
      <w:r w:rsidRPr="00AF4793" w:rsidR="00AF4793">
        <w:rPr>
          <w:rFonts w:ascii="Arial" w:hAnsi="Arial" w:cs="Arial"/>
          <w:sz w:val="22"/>
          <w:szCs w:val="22"/>
        </w:rPr>
        <w:t>3.6.3.1.A</w:t>
      </w:r>
      <w:r w:rsidRPr="00D053DA" w:rsidR="00AF4793">
        <w:rPr>
          <w:rFonts w:ascii="Arial" w:hAnsi="Arial" w:cs="Arial"/>
          <w:sz w:val="22"/>
          <w:szCs w:val="22"/>
        </w:rPr>
        <w:t>).</w:t>
      </w:r>
    </w:p>
    <w:p w:rsidR="007F112A" w:rsidRPr="009F7B1F" w:rsidP="009F7B1F" w14:paraId="35DF7361" w14:textId="77777777">
      <w:pPr>
        <w:spacing w:after="220"/>
        <w:rPr>
          <w:rFonts w:ascii="Arial" w:hAnsi="Arial" w:cs="Arial"/>
          <w:sz w:val="22"/>
          <w:szCs w:val="22"/>
        </w:rPr>
      </w:pPr>
      <w:r w:rsidRPr="009F7B1F">
        <w:rPr>
          <w:rFonts w:ascii="Arial" w:hAnsi="Arial" w:cs="Arial"/>
          <w:sz w:val="22"/>
          <w:szCs w:val="22"/>
        </w:rPr>
        <w:t>The NRC agrees that mobile response equipment might be needed. However, the NRC does not have the authority to determine what actions offsite response organization</w:t>
      </w:r>
      <w:r w:rsidR="007366CE">
        <w:rPr>
          <w:rFonts w:ascii="Arial" w:hAnsi="Arial" w:cs="Arial"/>
          <w:sz w:val="22"/>
          <w:szCs w:val="22"/>
        </w:rPr>
        <w:t>s</w:t>
      </w:r>
      <w:r w:rsidRPr="009F7B1F">
        <w:rPr>
          <w:rFonts w:ascii="Arial" w:hAnsi="Arial" w:cs="Arial"/>
          <w:sz w:val="22"/>
          <w:szCs w:val="22"/>
        </w:rPr>
        <w:t xml:space="preserve"> should take or what equipment they should use or need.</w:t>
      </w:r>
    </w:p>
    <w:p w:rsidR="007F112A" w:rsidRPr="009F7B1F" w:rsidP="009F7B1F" w14:paraId="585A31CB" w14:textId="77777777">
      <w:pPr>
        <w:spacing w:after="220"/>
        <w:rPr>
          <w:rFonts w:ascii="Arial" w:hAnsi="Arial" w:cs="Arial"/>
          <w:sz w:val="22"/>
          <w:szCs w:val="22"/>
        </w:rPr>
      </w:pPr>
      <w:r w:rsidRPr="009F7B1F">
        <w:rPr>
          <w:rFonts w:ascii="Arial" w:hAnsi="Arial" w:cs="Arial"/>
          <w:sz w:val="22"/>
          <w:szCs w:val="22"/>
        </w:rPr>
        <w:t>The NRC disagrees that very high doses are required before “anyone is obligated to take action.” Actions taken in response to radiological doses are based on the EPA</w:t>
      </w:r>
      <w:r w:rsidR="00407678">
        <w:rPr>
          <w:rFonts w:ascii="Arial" w:hAnsi="Arial" w:cs="Arial"/>
          <w:sz w:val="22"/>
          <w:szCs w:val="22"/>
        </w:rPr>
        <w:t xml:space="preserve"> </w:t>
      </w:r>
      <w:r w:rsidRPr="009F7B1F">
        <w:rPr>
          <w:rFonts w:ascii="Arial" w:hAnsi="Arial" w:cs="Arial"/>
          <w:sz w:val="22"/>
          <w:szCs w:val="22"/>
        </w:rPr>
        <w:t>PAG</w:t>
      </w:r>
      <w:r w:rsidR="00407678">
        <w:rPr>
          <w:rFonts w:ascii="Arial" w:hAnsi="Arial" w:cs="Arial"/>
          <w:sz w:val="22"/>
          <w:szCs w:val="22"/>
        </w:rPr>
        <w:t xml:space="preserve"> values</w:t>
      </w:r>
      <w:r w:rsidRPr="009F7B1F">
        <w:rPr>
          <w:rFonts w:ascii="Arial" w:hAnsi="Arial" w:cs="Arial"/>
          <w:sz w:val="22"/>
          <w:szCs w:val="22"/>
        </w:rPr>
        <w:t xml:space="preserve">. The EPA PAG values are guidance </w:t>
      </w:r>
      <w:r w:rsidRPr="009F7B1F" w:rsidR="00382FBA">
        <w:rPr>
          <w:rFonts w:ascii="Arial" w:hAnsi="Arial" w:cs="Arial"/>
          <w:sz w:val="22"/>
          <w:szCs w:val="22"/>
        </w:rPr>
        <w:t xml:space="preserve">and </w:t>
      </w:r>
      <w:r w:rsidRPr="009F7B1F">
        <w:rPr>
          <w:rFonts w:ascii="Arial" w:hAnsi="Arial" w:cs="Arial"/>
          <w:sz w:val="22"/>
          <w:szCs w:val="22"/>
        </w:rPr>
        <w:t xml:space="preserve">only intended to assist public officials with their radiological emergency response planning activities. The EPA PAG values are established to ensure the risk of the amount of radiological exposure avoided is equal </w:t>
      </w:r>
      <w:r w:rsidRPr="009F7B1F" w:rsidR="00464A9C">
        <w:rPr>
          <w:rFonts w:ascii="Arial" w:hAnsi="Arial" w:cs="Arial"/>
          <w:sz w:val="22"/>
          <w:szCs w:val="22"/>
        </w:rPr>
        <w:t xml:space="preserve">to </w:t>
      </w:r>
      <w:r w:rsidRPr="009F7B1F">
        <w:rPr>
          <w:rFonts w:ascii="Arial" w:hAnsi="Arial" w:cs="Arial"/>
          <w:sz w:val="22"/>
          <w:szCs w:val="22"/>
        </w:rPr>
        <w:t>or greater than the risk of the protective action taken.</w:t>
      </w:r>
    </w:p>
    <w:p w:rsidR="007F112A" w:rsidRPr="009F7B1F" w:rsidP="00407678" w14:paraId="1735259F" w14:textId="77777777">
      <w:pPr>
        <w:spacing w:after="220"/>
        <w:rPr>
          <w:rFonts w:ascii="Arial" w:hAnsi="Arial" w:cs="Arial"/>
          <w:sz w:val="22"/>
          <w:szCs w:val="22"/>
        </w:rPr>
      </w:pPr>
      <w:r w:rsidRPr="009F7B1F">
        <w:rPr>
          <w:rFonts w:ascii="Arial" w:hAnsi="Arial" w:cs="Arial"/>
          <w:sz w:val="22"/>
          <w:szCs w:val="22"/>
        </w:rPr>
        <w:t>Accordingly, the NRC did not revise the rule language in response to these comments.</w:t>
      </w:r>
    </w:p>
    <w:p w:rsidR="007F112A" w:rsidRPr="009F7B1F" w:rsidP="009F7B1F" w14:paraId="6CF0F550" w14:textId="77777777">
      <w:pPr>
        <w:spacing w:after="220"/>
        <w:rPr>
          <w:rFonts w:ascii="Arial" w:hAnsi="Arial" w:cs="Arial"/>
          <w:sz w:val="22"/>
          <w:szCs w:val="22"/>
        </w:rPr>
      </w:pPr>
      <w:r>
        <w:rPr>
          <w:rFonts w:ascii="Arial" w:eastAsia="Times New Roman" w:hAnsi="Arial" w:cs="Arial"/>
          <w:sz w:val="22"/>
          <w:szCs w:val="22"/>
          <w:lang w:eastAsia="zh-CN"/>
        </w:rPr>
        <w:pict>
          <v:rect id="_x0000_i1211" style="width:0;height:1.5pt" o:hralign="center" o:hrstd="t" o:hrnoshade="t" o:hr="t" fillcolor="black" stroked="f"/>
        </w:pict>
      </w:r>
    </w:p>
    <w:p w:rsidR="007F112A" w:rsidRPr="009F7B1F" w:rsidP="009F7B1F" w14:paraId="72FFF2DF" w14:textId="77777777">
      <w:pPr>
        <w:spacing w:after="220"/>
        <w:rPr>
          <w:rFonts w:ascii="Arial" w:eastAsia="Times New Roman" w:hAnsi="Arial" w:cs="Arial"/>
          <w:color w:val="000000"/>
          <w:sz w:val="22"/>
          <w:szCs w:val="22"/>
          <w:lang w:eastAsia="zh-CN"/>
        </w:rPr>
      </w:pPr>
      <w:r w:rsidRPr="009F7B1F">
        <w:rPr>
          <w:rFonts w:ascii="Arial" w:eastAsia="DengXian" w:hAnsi="Arial" w:cs="Arial"/>
          <w:b/>
          <w:sz w:val="22"/>
          <w:szCs w:val="22"/>
        </w:rPr>
        <w:t>Comment Bin 3.6.3.1.G:</w:t>
      </w:r>
      <w:r w:rsidRPr="009F7B1F">
        <w:rPr>
          <w:rFonts w:ascii="Arial" w:eastAsia="DengXian" w:hAnsi="Arial" w:cs="Arial"/>
          <w:sz w:val="22"/>
          <w:szCs w:val="22"/>
        </w:rPr>
        <w:t xml:space="preserve"> </w:t>
      </w:r>
      <w:r w:rsidRPr="009F7B1F">
        <w:rPr>
          <w:rFonts w:ascii="Arial" w:hAnsi="Arial" w:cs="Arial"/>
          <w:sz w:val="22"/>
          <w:szCs w:val="22"/>
        </w:rPr>
        <w:t xml:space="preserve">A commenter wrote that the proposed rule would benefit from a more performance-based focus with clear performance metrics beyond public dose consequence. The commenter said that this would be similar to the recently promulgated </w:t>
      </w:r>
      <w:r w:rsidR="00F271DE">
        <w:rPr>
          <w:rFonts w:ascii="Arial" w:hAnsi="Arial" w:cs="Arial"/>
          <w:sz w:val="22"/>
          <w:szCs w:val="22"/>
        </w:rPr>
        <w:t>“</w:t>
      </w:r>
      <w:r w:rsidRPr="009F7B1F">
        <w:rPr>
          <w:rFonts w:ascii="Arial" w:hAnsi="Arial" w:cs="Arial"/>
          <w:sz w:val="22"/>
          <w:szCs w:val="22"/>
        </w:rPr>
        <w:t xml:space="preserve">Non-Power Production or Utilization Facility </w:t>
      </w:r>
      <w:r w:rsidR="00F271DE">
        <w:rPr>
          <w:rFonts w:ascii="Arial" w:hAnsi="Arial" w:cs="Arial"/>
          <w:sz w:val="22"/>
          <w:szCs w:val="22"/>
        </w:rPr>
        <w:t>License Renewal; Final R</w:t>
      </w:r>
      <w:r w:rsidRPr="009F7B1F">
        <w:rPr>
          <w:rFonts w:ascii="Arial" w:hAnsi="Arial" w:cs="Arial"/>
          <w:sz w:val="22"/>
          <w:szCs w:val="22"/>
        </w:rPr>
        <w:t>ule</w:t>
      </w:r>
      <w:r w:rsidR="00F271DE">
        <w:rPr>
          <w:rFonts w:ascii="Arial" w:hAnsi="Arial" w:cs="Arial"/>
          <w:sz w:val="22"/>
          <w:szCs w:val="22"/>
        </w:rPr>
        <w:t>” (</w:t>
      </w:r>
      <w:r w:rsidR="00292478">
        <w:rPr>
          <w:rFonts w:ascii="Arial" w:hAnsi="Arial" w:cs="Arial"/>
          <w:sz w:val="22"/>
          <w:szCs w:val="22"/>
        </w:rPr>
        <w:t>89 FR 106234; December 30, 2024)</w:t>
      </w:r>
      <w:r w:rsidRPr="009F7B1F">
        <w:rPr>
          <w:rFonts w:ascii="Arial" w:hAnsi="Arial" w:cs="Arial"/>
          <w:sz w:val="22"/>
          <w:szCs w:val="22"/>
        </w:rPr>
        <w:t xml:space="preserve"> (</w:t>
      </w:r>
      <w:r w:rsidR="00AE0B17">
        <w:rPr>
          <w:rFonts w:ascii="Arial" w:hAnsi="Arial" w:cs="Arial"/>
          <w:sz w:val="22"/>
          <w:szCs w:val="22"/>
        </w:rPr>
        <w:t>USNIC2</w:t>
      </w:r>
      <w:r w:rsidRPr="009F7B1F">
        <w:rPr>
          <w:rFonts w:ascii="Arial" w:hAnsi="Arial" w:cs="Arial"/>
          <w:sz w:val="22"/>
          <w:szCs w:val="22"/>
        </w:rPr>
        <w:t>-0009).</w:t>
      </w:r>
    </w:p>
    <w:p w:rsidR="007F112A" w:rsidRPr="009F7B1F" w:rsidP="009F7B1F" w14:paraId="60155C1B" w14:textId="77777777">
      <w:pPr>
        <w:spacing w:after="220"/>
        <w:rPr>
          <w:rFonts w:ascii="Arial" w:hAnsi="Arial" w:cs="Arial"/>
          <w:sz w:val="22"/>
          <w:szCs w:val="22"/>
        </w:rPr>
      </w:pPr>
      <w:r w:rsidRPr="009F7B1F">
        <w:rPr>
          <w:rFonts w:ascii="Arial" w:eastAsia="DengXian" w:hAnsi="Arial" w:cs="Arial"/>
          <w:b/>
          <w:sz w:val="22"/>
          <w:szCs w:val="22"/>
        </w:rPr>
        <w:t>NRC Response:</w:t>
      </w:r>
      <w:r w:rsidRPr="009F7B1F">
        <w:rPr>
          <w:rFonts w:ascii="Arial" w:eastAsia="DengXian" w:hAnsi="Arial" w:cs="Arial"/>
          <w:sz w:val="22"/>
          <w:szCs w:val="22"/>
        </w:rPr>
        <w:t xml:space="preserve"> </w:t>
      </w:r>
      <w:r w:rsidRPr="009F7B1F">
        <w:rPr>
          <w:rFonts w:ascii="Arial" w:hAnsi="Arial" w:cs="Arial"/>
          <w:sz w:val="22"/>
          <w:szCs w:val="22"/>
        </w:rPr>
        <w:t>The NRC disagrees with the comment.</w:t>
      </w:r>
    </w:p>
    <w:p w:rsidR="007F112A" w:rsidRPr="009F7B1F" w:rsidP="009F7B1F" w14:paraId="2E7B64D5" w14:textId="77777777">
      <w:pPr>
        <w:spacing w:after="220"/>
        <w:rPr>
          <w:rFonts w:ascii="Arial" w:hAnsi="Arial" w:cs="Arial"/>
          <w:sz w:val="22"/>
          <w:szCs w:val="22"/>
        </w:rPr>
      </w:pPr>
      <w:r w:rsidRPr="009F7B1F">
        <w:rPr>
          <w:rFonts w:ascii="Arial" w:hAnsi="Arial" w:cs="Arial"/>
          <w:sz w:val="22"/>
          <w:szCs w:val="22"/>
        </w:rPr>
        <w:t>The overall construct of 10 CFR Part 53 is already performance</w:t>
      </w:r>
      <w:r w:rsidRPr="009F7B1F" w:rsidR="00CD62C0">
        <w:rPr>
          <w:rFonts w:ascii="Arial" w:hAnsi="Arial" w:cs="Arial"/>
          <w:sz w:val="22"/>
          <w:szCs w:val="22"/>
        </w:rPr>
        <w:noBreakHyphen/>
      </w:r>
      <w:r w:rsidRPr="009F7B1F">
        <w:rPr>
          <w:rFonts w:ascii="Arial" w:hAnsi="Arial" w:cs="Arial"/>
          <w:sz w:val="22"/>
          <w:szCs w:val="22"/>
        </w:rPr>
        <w:t>based with performance metrics generally either defined in Subpart B (e.g., the safety criteria in 10</w:t>
      </w:r>
      <w:r w:rsidRPr="009F7B1F" w:rsidR="004E2C98">
        <w:rPr>
          <w:rFonts w:ascii="Arial" w:hAnsi="Arial" w:cs="Arial"/>
          <w:sz w:val="22"/>
          <w:szCs w:val="22"/>
        </w:rPr>
        <w:t> </w:t>
      </w:r>
      <w:r w:rsidRPr="009F7B1F">
        <w:rPr>
          <w:rFonts w:ascii="Arial" w:hAnsi="Arial" w:cs="Arial"/>
          <w:sz w:val="22"/>
          <w:szCs w:val="22"/>
        </w:rPr>
        <w:t xml:space="preserve">CFR 53.210) or </w:t>
      </w:r>
      <w:r w:rsidRPr="009F7B1F">
        <w:rPr>
          <w:rFonts w:ascii="Arial" w:hAnsi="Arial" w:cs="Arial"/>
          <w:sz w:val="22"/>
          <w:szCs w:val="22"/>
        </w:rPr>
        <w:t>required to be proposed by applicants for NRC review and approval (e.g., the safety criteria in 10 CFR 53.220(b)). The other subparts in 10 CFR Part 53 refer to the performance metrics and provide a great deal of flexibility on how combinations of design features, human actions, and programmatic controls are used to satisfy the criteria. Other elements of performance-based approaches such as performance monitoring are specifically addressed for the operations phase of the plant life cycle in Subpart F to 10 CFR Part 53.</w:t>
      </w:r>
    </w:p>
    <w:p w:rsidR="007F112A" w:rsidRPr="009F7B1F" w:rsidP="009F7B1F" w14:paraId="4ED7FDDE" w14:textId="77777777">
      <w:pPr>
        <w:spacing w:after="220"/>
        <w:rPr>
          <w:rFonts w:ascii="Arial" w:hAnsi="Arial" w:cs="Arial"/>
          <w:sz w:val="22"/>
          <w:szCs w:val="22"/>
        </w:rPr>
      </w:pPr>
      <w:r w:rsidRPr="009F7B1F">
        <w:rPr>
          <w:rFonts w:ascii="Arial" w:hAnsi="Arial" w:cs="Arial"/>
          <w:sz w:val="22"/>
          <w:szCs w:val="22"/>
        </w:rPr>
        <w:t>Accordingly, the NRC did not revise the rule language in response to this comment</w:t>
      </w:r>
      <w:r w:rsidR="00CC6385">
        <w:rPr>
          <w:rFonts w:ascii="Arial" w:hAnsi="Arial" w:cs="Arial"/>
          <w:sz w:val="22"/>
          <w:szCs w:val="22"/>
        </w:rPr>
        <w:t>.</w:t>
      </w:r>
    </w:p>
    <w:p w:rsidR="007F112A" w:rsidRPr="009F7B1F" w:rsidP="009F7B1F" w14:paraId="4F331A38" w14:textId="77777777">
      <w:pPr>
        <w:spacing w:after="220"/>
        <w:rPr>
          <w:rFonts w:ascii="Arial" w:hAnsi="Arial" w:cs="Arial"/>
          <w:sz w:val="22"/>
          <w:szCs w:val="22"/>
        </w:rPr>
      </w:pPr>
      <w:r>
        <w:rPr>
          <w:rFonts w:ascii="Arial" w:eastAsia="Times New Roman" w:hAnsi="Arial" w:cs="Arial"/>
          <w:sz w:val="22"/>
          <w:szCs w:val="22"/>
          <w:lang w:eastAsia="zh-CN"/>
        </w:rPr>
        <w:pict>
          <v:rect id="_x0000_i1212" style="width:0;height:1.5pt" o:hralign="center" o:hrstd="t" o:hrnoshade="t" o:hr="t" fillcolor="black" stroked="f"/>
        </w:pict>
      </w:r>
    </w:p>
    <w:p w:rsidR="007F112A" w:rsidRPr="009F7B1F" w:rsidP="009F7B1F" w14:paraId="7681B7BF" w14:textId="77777777">
      <w:pPr>
        <w:spacing w:after="220"/>
        <w:rPr>
          <w:rFonts w:ascii="Arial" w:eastAsia="Times New Roman" w:hAnsi="Arial" w:cs="Arial"/>
          <w:color w:val="000000"/>
          <w:sz w:val="22"/>
          <w:szCs w:val="22"/>
          <w:lang w:eastAsia="zh-CN"/>
        </w:rPr>
      </w:pPr>
      <w:r w:rsidRPr="009F7B1F">
        <w:rPr>
          <w:rFonts w:ascii="Arial" w:eastAsia="DengXian" w:hAnsi="Arial" w:cs="Arial"/>
          <w:b/>
          <w:sz w:val="22"/>
          <w:szCs w:val="22"/>
        </w:rPr>
        <w:t>Comment Bin 3.6.3.1.H:</w:t>
      </w:r>
      <w:r w:rsidRPr="009F7B1F">
        <w:rPr>
          <w:rFonts w:ascii="Arial" w:eastAsia="DengXian" w:hAnsi="Arial" w:cs="Arial"/>
          <w:sz w:val="22"/>
          <w:szCs w:val="22"/>
        </w:rPr>
        <w:t xml:space="preserve"> </w:t>
      </w:r>
      <w:r w:rsidRPr="009F7B1F">
        <w:rPr>
          <w:rFonts w:ascii="Arial" w:hAnsi="Arial" w:cs="Arial"/>
          <w:sz w:val="22"/>
          <w:szCs w:val="22"/>
        </w:rPr>
        <w:t xml:space="preserve">A commenter wrote that referencing </w:t>
      </w:r>
      <w:r w:rsidR="00C333D0">
        <w:rPr>
          <w:rFonts w:ascii="Arial" w:hAnsi="Arial" w:cs="Arial"/>
          <w:sz w:val="22"/>
          <w:szCs w:val="22"/>
        </w:rPr>
        <w:t>emergency prep</w:t>
      </w:r>
      <w:r w:rsidR="0004513E">
        <w:rPr>
          <w:rFonts w:ascii="Arial" w:hAnsi="Arial" w:cs="Arial"/>
          <w:sz w:val="22"/>
          <w:szCs w:val="22"/>
        </w:rPr>
        <w:t>aredness</w:t>
      </w:r>
      <w:r w:rsidRPr="009F7B1F">
        <w:rPr>
          <w:rFonts w:ascii="Arial" w:hAnsi="Arial" w:cs="Arial"/>
          <w:sz w:val="22"/>
          <w:szCs w:val="22"/>
        </w:rPr>
        <w:t xml:space="preserve"> requirements in 10</w:t>
      </w:r>
      <w:r w:rsidRPr="009F7B1F" w:rsidR="009F1BC0">
        <w:rPr>
          <w:rFonts w:ascii="Arial" w:hAnsi="Arial" w:cs="Arial"/>
          <w:sz w:val="22"/>
          <w:szCs w:val="22"/>
        </w:rPr>
        <w:t> </w:t>
      </w:r>
      <w:r w:rsidRPr="009F7B1F">
        <w:rPr>
          <w:rFonts w:ascii="Arial" w:hAnsi="Arial" w:cs="Arial"/>
          <w:sz w:val="22"/>
          <w:szCs w:val="22"/>
        </w:rPr>
        <w:t xml:space="preserve">CFR Part 50 is intended to provide clarity, but there are multiple available EP approaches in 10 CFR Part 50. In addition, the </w:t>
      </w:r>
      <w:r w:rsidR="0004513E">
        <w:rPr>
          <w:rFonts w:ascii="Arial" w:hAnsi="Arial" w:cs="Arial"/>
          <w:sz w:val="22"/>
          <w:szCs w:val="22"/>
        </w:rPr>
        <w:t>emergency preparedness</w:t>
      </w:r>
      <w:r w:rsidRPr="009F7B1F">
        <w:rPr>
          <w:rFonts w:ascii="Arial" w:hAnsi="Arial" w:cs="Arial"/>
          <w:sz w:val="22"/>
          <w:szCs w:val="22"/>
        </w:rPr>
        <w:t xml:space="preserve"> requirements in </w:t>
      </w:r>
      <w:r w:rsidR="00285D6E">
        <w:rPr>
          <w:rFonts w:ascii="Arial" w:hAnsi="Arial" w:cs="Arial"/>
          <w:sz w:val="22"/>
          <w:szCs w:val="22"/>
        </w:rPr>
        <w:br/>
      </w:r>
      <w:r w:rsidRPr="009F7B1F">
        <w:rPr>
          <w:rFonts w:ascii="Arial" w:hAnsi="Arial" w:cs="Arial"/>
          <w:sz w:val="22"/>
          <w:szCs w:val="22"/>
        </w:rPr>
        <w:t xml:space="preserve">10 CFR Part 50 and 10 CFR Part 52 are deterministic and applied as the last layer of defense in depth which may not be appropriate for a performance-based framework. The commenter wrote that an integrated performance-based and risk-informed approach should consider </w:t>
      </w:r>
      <w:r w:rsidR="0004513E">
        <w:rPr>
          <w:rFonts w:ascii="Arial" w:hAnsi="Arial" w:cs="Arial"/>
          <w:sz w:val="22"/>
          <w:szCs w:val="22"/>
        </w:rPr>
        <w:t>emergency preparedness</w:t>
      </w:r>
      <w:r w:rsidRPr="009F7B1F">
        <w:rPr>
          <w:rFonts w:ascii="Arial" w:hAnsi="Arial" w:cs="Arial"/>
          <w:sz w:val="22"/>
          <w:szCs w:val="22"/>
        </w:rPr>
        <w:t xml:space="preserve"> protective actions relative to the spectrum of events to determine whether safety requirements are met (</w:t>
      </w:r>
      <w:r w:rsidR="004C1A5D">
        <w:rPr>
          <w:rFonts w:ascii="Arial" w:hAnsi="Arial" w:cs="Arial"/>
          <w:sz w:val="22"/>
          <w:szCs w:val="22"/>
        </w:rPr>
        <w:t>BI1</w:t>
      </w:r>
      <w:r w:rsidRPr="009F7B1F">
        <w:rPr>
          <w:rFonts w:ascii="Arial" w:hAnsi="Arial" w:cs="Arial"/>
          <w:sz w:val="22"/>
          <w:szCs w:val="22"/>
        </w:rPr>
        <w:t>-0032).</w:t>
      </w:r>
    </w:p>
    <w:p w:rsidR="007F112A" w:rsidRPr="009F7B1F" w:rsidP="009F7B1F" w14:paraId="69731FAF" w14:textId="77777777">
      <w:pPr>
        <w:spacing w:after="220"/>
        <w:rPr>
          <w:rFonts w:ascii="Arial" w:hAnsi="Arial" w:cs="Arial"/>
          <w:b/>
          <w:sz w:val="22"/>
          <w:szCs w:val="22"/>
        </w:rPr>
      </w:pPr>
      <w:r w:rsidRPr="009F7B1F">
        <w:rPr>
          <w:rFonts w:ascii="Arial" w:eastAsia="DengXian" w:hAnsi="Arial" w:cs="Arial"/>
          <w:b/>
          <w:sz w:val="22"/>
          <w:szCs w:val="22"/>
        </w:rPr>
        <w:t>NRC Response:</w:t>
      </w:r>
      <w:r w:rsidRPr="009F7B1F">
        <w:rPr>
          <w:rFonts w:ascii="Arial" w:eastAsia="DengXian" w:hAnsi="Arial" w:cs="Arial"/>
          <w:sz w:val="22"/>
          <w:szCs w:val="22"/>
        </w:rPr>
        <w:t xml:space="preserve"> </w:t>
      </w:r>
      <w:r w:rsidRPr="009F7B1F">
        <w:rPr>
          <w:rFonts w:ascii="Arial" w:hAnsi="Arial" w:cs="Arial"/>
          <w:sz w:val="22"/>
          <w:szCs w:val="22"/>
        </w:rPr>
        <w:t xml:space="preserve">The NRC agrees, in part, with </w:t>
      </w:r>
      <w:r w:rsidR="00834CD5">
        <w:rPr>
          <w:rFonts w:ascii="Arial" w:hAnsi="Arial" w:cs="Arial"/>
          <w:sz w:val="22"/>
          <w:szCs w:val="22"/>
        </w:rPr>
        <w:t>the</w:t>
      </w:r>
      <w:r w:rsidRPr="009F7B1F">
        <w:rPr>
          <w:rFonts w:ascii="Arial" w:hAnsi="Arial" w:cs="Arial"/>
          <w:sz w:val="22"/>
          <w:szCs w:val="22"/>
        </w:rPr>
        <w:t xml:space="preserve"> comment.</w:t>
      </w:r>
    </w:p>
    <w:p w:rsidR="007F112A" w:rsidRPr="009F7B1F" w:rsidP="009F7B1F" w14:paraId="00935BD0" w14:textId="77777777">
      <w:pPr>
        <w:spacing w:after="220"/>
        <w:rPr>
          <w:rFonts w:ascii="Arial" w:hAnsi="Arial" w:cs="Arial"/>
          <w:sz w:val="22"/>
          <w:szCs w:val="22"/>
        </w:rPr>
      </w:pPr>
      <w:r w:rsidRPr="009F7B1F">
        <w:rPr>
          <w:rFonts w:ascii="Arial" w:hAnsi="Arial" w:cs="Arial"/>
          <w:sz w:val="22"/>
          <w:szCs w:val="22"/>
        </w:rPr>
        <w:t xml:space="preserve">The NRC agrees that the </w:t>
      </w:r>
      <w:r w:rsidR="0004513E">
        <w:rPr>
          <w:rFonts w:ascii="Arial" w:hAnsi="Arial" w:cs="Arial"/>
          <w:sz w:val="22"/>
          <w:szCs w:val="22"/>
        </w:rPr>
        <w:t>emergency preparedness</w:t>
      </w:r>
      <w:r w:rsidRPr="009F7B1F">
        <w:rPr>
          <w:rFonts w:ascii="Arial" w:hAnsi="Arial" w:cs="Arial"/>
          <w:sz w:val="22"/>
          <w:szCs w:val="22"/>
        </w:rPr>
        <w:t xml:space="preserve"> requirements in 10 CFR Part 50 provide clarity on regulatory requirements. </w:t>
      </w:r>
      <w:r w:rsidRPr="009F7B1F" w:rsidR="00674DE7">
        <w:rPr>
          <w:rFonts w:ascii="Arial" w:hAnsi="Arial" w:cs="Arial"/>
          <w:sz w:val="22"/>
          <w:szCs w:val="22"/>
        </w:rPr>
        <w:t xml:space="preserve">The </w:t>
      </w:r>
      <w:r w:rsidRPr="009F7B1F">
        <w:rPr>
          <w:rFonts w:ascii="Arial" w:hAnsi="Arial" w:cs="Arial"/>
          <w:sz w:val="22"/>
          <w:szCs w:val="22"/>
        </w:rPr>
        <w:t xml:space="preserve">NRC agrees that multiple approaches are identified in 10 CFR Parts 50 and 52. The NRC agrees that </w:t>
      </w:r>
      <w:r w:rsidR="0004513E">
        <w:rPr>
          <w:rFonts w:ascii="Arial" w:hAnsi="Arial" w:cs="Arial"/>
          <w:sz w:val="22"/>
          <w:szCs w:val="22"/>
        </w:rPr>
        <w:t>emergency preparedness</w:t>
      </w:r>
      <w:r w:rsidRPr="009F7B1F">
        <w:rPr>
          <w:rFonts w:ascii="Arial" w:hAnsi="Arial" w:cs="Arial"/>
          <w:sz w:val="22"/>
          <w:szCs w:val="22"/>
        </w:rPr>
        <w:t xml:space="preserve"> is the last layer of defense</w:t>
      </w:r>
      <w:r w:rsidRPr="009F7B1F">
        <w:rPr>
          <w:rFonts w:ascii="Arial" w:hAnsi="Arial" w:cs="Arial"/>
          <w:sz w:val="22"/>
          <w:szCs w:val="22"/>
        </w:rPr>
        <w:noBreakHyphen/>
        <w:t>in</w:t>
      </w:r>
      <w:r w:rsidRPr="009F7B1F">
        <w:rPr>
          <w:rFonts w:ascii="Arial" w:hAnsi="Arial" w:cs="Arial"/>
          <w:sz w:val="22"/>
          <w:szCs w:val="22"/>
        </w:rPr>
        <w:noBreakHyphen/>
        <w:t>depth.</w:t>
      </w:r>
    </w:p>
    <w:p w:rsidR="007F112A" w:rsidRPr="009F7B1F" w:rsidP="009F7B1F" w14:paraId="3035E8DF" w14:textId="77777777">
      <w:pPr>
        <w:spacing w:after="220"/>
        <w:rPr>
          <w:rFonts w:ascii="Arial" w:hAnsi="Arial" w:cs="Arial"/>
          <w:sz w:val="22"/>
          <w:szCs w:val="22"/>
        </w:rPr>
      </w:pPr>
      <w:r w:rsidRPr="009F7B1F">
        <w:rPr>
          <w:rFonts w:ascii="Arial" w:hAnsi="Arial" w:cs="Arial"/>
          <w:sz w:val="22"/>
          <w:szCs w:val="22"/>
        </w:rPr>
        <w:t xml:space="preserve">However, the NRC disagrees that </w:t>
      </w:r>
      <w:r w:rsidR="0004513E">
        <w:rPr>
          <w:rFonts w:ascii="Arial" w:hAnsi="Arial" w:cs="Arial"/>
          <w:sz w:val="22"/>
          <w:szCs w:val="22"/>
        </w:rPr>
        <w:t>emergency preparedness</w:t>
      </w:r>
      <w:r w:rsidRPr="009F7B1F">
        <w:rPr>
          <w:rFonts w:ascii="Arial" w:hAnsi="Arial" w:cs="Arial"/>
          <w:sz w:val="22"/>
          <w:szCs w:val="22"/>
        </w:rPr>
        <w:t xml:space="preserve"> protective actions related to the spectrum of events should be considered in </w:t>
      </w:r>
      <w:r w:rsidRPr="009F7B1F" w:rsidR="004A46ED">
        <w:rPr>
          <w:rFonts w:ascii="Arial" w:hAnsi="Arial" w:cs="Arial"/>
          <w:sz w:val="22"/>
          <w:szCs w:val="22"/>
        </w:rPr>
        <w:t xml:space="preserve">the </w:t>
      </w:r>
      <w:r w:rsidRPr="009F7B1F">
        <w:rPr>
          <w:rFonts w:ascii="Arial" w:hAnsi="Arial" w:cs="Arial"/>
          <w:sz w:val="22"/>
          <w:szCs w:val="22"/>
        </w:rPr>
        <w:t xml:space="preserve">determination of whether safety requirements are met. Only the </w:t>
      </w:r>
      <w:r w:rsidRPr="009F7B1F" w:rsidR="00E13421">
        <w:rPr>
          <w:rFonts w:ascii="Arial" w:hAnsi="Arial" w:cs="Arial"/>
          <w:sz w:val="22"/>
          <w:szCs w:val="22"/>
        </w:rPr>
        <w:t>S</w:t>
      </w:r>
      <w:r w:rsidRPr="009F7B1F">
        <w:rPr>
          <w:rFonts w:ascii="Arial" w:hAnsi="Arial" w:cs="Arial"/>
          <w:sz w:val="22"/>
          <w:szCs w:val="22"/>
        </w:rPr>
        <w:t>tate or local decisionmaker has the authority to determine and implement protective actions to protect the health and safety of the public. Without knowing whether a specific protective action would be implemented, it is not possible to know the protective action’s effect on meeting a specific design requirement.</w:t>
      </w:r>
    </w:p>
    <w:p w:rsidR="007F112A" w:rsidP="009F7B1F" w14:paraId="1F33703B" w14:textId="77777777">
      <w:pPr>
        <w:spacing w:after="220"/>
        <w:rPr>
          <w:rFonts w:ascii="Arial" w:hAnsi="Arial" w:cs="Arial"/>
          <w:sz w:val="22"/>
          <w:szCs w:val="22"/>
        </w:rPr>
      </w:pPr>
      <w:r w:rsidRPr="009F7B1F">
        <w:rPr>
          <w:rFonts w:ascii="Arial" w:hAnsi="Arial" w:cs="Arial"/>
          <w:sz w:val="22"/>
          <w:szCs w:val="22"/>
        </w:rPr>
        <w:t>Accordingly, the NRC did not change the rule language in response to this comment</w:t>
      </w:r>
      <w:r w:rsidRPr="009F7B1F" w:rsidR="000F3177">
        <w:rPr>
          <w:rFonts w:ascii="Arial" w:hAnsi="Arial" w:cs="Arial"/>
          <w:sz w:val="22"/>
          <w:szCs w:val="22"/>
        </w:rPr>
        <w:t>.</w:t>
      </w:r>
    </w:p>
    <w:p w:rsidR="009F7B1F" w:rsidP="009F7B1F" w14:paraId="136555C6" w14:textId="77777777">
      <w:pPr>
        <w:spacing w:after="220"/>
        <w:rPr>
          <w:rFonts w:ascii="Arial" w:hAnsi="Arial" w:cs="Arial"/>
          <w:sz w:val="22"/>
          <w:szCs w:val="22"/>
        </w:rPr>
      </w:pPr>
      <w:r>
        <w:rPr>
          <w:rFonts w:ascii="Arial" w:eastAsia="Times New Roman" w:hAnsi="Arial" w:cs="Arial"/>
          <w:sz w:val="22"/>
          <w:szCs w:val="22"/>
          <w:lang w:eastAsia="zh-CN"/>
        </w:rPr>
        <w:pict>
          <v:rect id="_x0000_i1213" style="width:0;height:1.5pt" o:hralign="center" o:hrstd="t" o:hrnoshade="t" o:hr="t" fillcolor="black" stroked="f"/>
        </w:pict>
      </w:r>
    </w:p>
    <w:p w:rsidR="007F112A" w:rsidRPr="00637D5E" w:rsidP="00CA7F85" w14:paraId="31984FF4" w14:textId="77777777">
      <w:pPr>
        <w:pStyle w:val="Heading4"/>
      </w:pPr>
      <w:r w:rsidRPr="00CA7F85">
        <w:rPr>
          <w:u w:val="none"/>
        </w:rPr>
        <w:t>3.6.3.2.</w:t>
      </w:r>
      <w:r w:rsidRPr="00CA7F85">
        <w:rPr>
          <w:u w:val="none"/>
        </w:rPr>
        <w:tab/>
      </w:r>
      <w:r w:rsidRPr="00DA0A3C">
        <w:t>Other comments on emergency preparedness programs (§</w:t>
      </w:r>
      <w:r w:rsidR="00BD5B4F">
        <w:t> </w:t>
      </w:r>
      <w:r w:rsidRPr="00DA0A3C">
        <w:t>53.855)</w:t>
      </w:r>
    </w:p>
    <w:p w:rsidR="007F112A" w:rsidP="009F7B1F" w14:paraId="3B401C9E" w14:textId="77777777">
      <w:pPr>
        <w:spacing w:after="220"/>
        <w:rPr>
          <w:rFonts w:ascii="Arial" w:hAnsi="Arial" w:cs="Arial"/>
          <w:sz w:val="22"/>
          <w:szCs w:val="22"/>
        </w:rPr>
      </w:pPr>
      <w:r w:rsidRPr="009F7B1F">
        <w:rPr>
          <w:rFonts w:ascii="Arial" w:hAnsi="Arial" w:cs="Arial"/>
          <w:sz w:val="22"/>
          <w:szCs w:val="22"/>
        </w:rPr>
        <w:t>No comments are associated with this issue.</w:t>
      </w:r>
    </w:p>
    <w:p w:rsidR="00637D5E" w:rsidRPr="00DA0A3C" w:rsidP="009F7B1F" w14:paraId="2596BAD8" w14:textId="77777777">
      <w:pPr>
        <w:spacing w:after="220"/>
        <w:rPr>
          <w:rFonts w:ascii="Arial" w:hAnsi="Arial" w:cs="Arial"/>
        </w:rPr>
      </w:pPr>
      <w:r>
        <w:rPr>
          <w:rFonts w:ascii="Arial" w:eastAsia="Times New Roman" w:hAnsi="Arial" w:cs="Arial"/>
          <w:sz w:val="22"/>
          <w:szCs w:val="22"/>
          <w:lang w:eastAsia="zh-CN"/>
        </w:rPr>
        <w:pict>
          <v:rect id="_x0000_i1214" style="width:0;height:1.5pt" o:hralign="center" o:hrstd="t" o:hrnoshade="t" o:hr="t" fillcolor="black" stroked="f"/>
        </w:pict>
      </w:r>
    </w:p>
    <w:p w:rsidR="007F112A" w:rsidRPr="00637D5E" w:rsidP="00CA7F85" w14:paraId="228ABFBF" w14:textId="77777777">
      <w:pPr>
        <w:pStyle w:val="Heading4"/>
      </w:pPr>
      <w:r w:rsidRPr="00CA7F85">
        <w:rPr>
          <w:u w:val="none"/>
        </w:rPr>
        <w:t>3.6.3.3.</w:t>
      </w:r>
      <w:r w:rsidRPr="00CA7F85">
        <w:rPr>
          <w:u w:val="none"/>
        </w:rPr>
        <w:tab/>
      </w:r>
      <w:r w:rsidRPr="00DA0A3C">
        <w:t>Other comments on security programs (§ 53.860(b))</w:t>
      </w:r>
    </w:p>
    <w:p w:rsidR="007F112A" w:rsidRPr="00637D5E" w:rsidP="00637D5E" w14:paraId="3FEABC9B" w14:textId="77777777">
      <w:pPr>
        <w:spacing w:after="220"/>
        <w:rPr>
          <w:rFonts w:ascii="Arial" w:eastAsia="Times New Roman" w:hAnsi="Arial" w:cs="Arial"/>
          <w:color w:val="000000"/>
          <w:sz w:val="22"/>
          <w:szCs w:val="22"/>
          <w:lang w:eastAsia="zh-CN"/>
        </w:rPr>
      </w:pPr>
      <w:r w:rsidRPr="00637D5E">
        <w:rPr>
          <w:rFonts w:ascii="Arial" w:eastAsia="DengXian" w:hAnsi="Arial" w:cs="Arial"/>
          <w:b/>
          <w:sz w:val="22"/>
          <w:szCs w:val="22"/>
        </w:rPr>
        <w:t>Comment Bin 3.6.3.3.A:</w:t>
      </w:r>
      <w:r w:rsidRPr="00637D5E">
        <w:rPr>
          <w:rFonts w:ascii="Arial" w:eastAsia="DengXian" w:hAnsi="Arial" w:cs="Arial"/>
          <w:sz w:val="22"/>
          <w:szCs w:val="22"/>
        </w:rPr>
        <w:t xml:space="preserve"> </w:t>
      </w:r>
      <w:r w:rsidRPr="00637D5E">
        <w:rPr>
          <w:rFonts w:ascii="Arial" w:hAnsi="Arial" w:cs="Arial"/>
          <w:sz w:val="22"/>
          <w:szCs w:val="22"/>
        </w:rPr>
        <w:t xml:space="preserve">A commenter recommended that, when finalizing the security requirements in 10 CFR 53.860, </w:t>
      </w:r>
      <w:r w:rsidRPr="00637D5E" w:rsidR="00D7059B">
        <w:rPr>
          <w:rFonts w:ascii="Arial" w:hAnsi="Arial" w:cs="Arial"/>
          <w:sz w:val="22"/>
          <w:szCs w:val="22"/>
        </w:rPr>
        <w:t xml:space="preserve">10 CFR Part 73, and </w:t>
      </w:r>
      <w:r w:rsidRPr="00637D5E" w:rsidR="00CE61EC">
        <w:rPr>
          <w:rFonts w:ascii="Arial" w:hAnsi="Arial" w:cs="Arial"/>
          <w:sz w:val="22"/>
          <w:szCs w:val="22"/>
        </w:rPr>
        <w:t xml:space="preserve">associated guidance, </w:t>
      </w:r>
      <w:r w:rsidRPr="00637D5E">
        <w:rPr>
          <w:rFonts w:ascii="Arial" w:hAnsi="Arial" w:cs="Arial"/>
          <w:sz w:val="22"/>
          <w:szCs w:val="22"/>
        </w:rPr>
        <w:t>the NRC should consider the topics and recommendations contained in NEI Proposal Paper</w:t>
      </w:r>
      <w:r w:rsidR="0004513E">
        <w:rPr>
          <w:rFonts w:ascii="Arial" w:hAnsi="Arial" w:cs="Arial"/>
          <w:sz w:val="22"/>
          <w:szCs w:val="22"/>
        </w:rPr>
        <w:t>,</w:t>
      </w:r>
      <w:r w:rsidRPr="00637D5E">
        <w:rPr>
          <w:rFonts w:ascii="Arial" w:hAnsi="Arial" w:cs="Arial"/>
          <w:sz w:val="22"/>
          <w:szCs w:val="22"/>
        </w:rPr>
        <w:t xml:space="preserve"> “Regulation of Rapid High-Volume Deployable Reactors in Remote Applications (RHDRA) and Other Advanced Reactors,” dated July 2024, and NRC Staff White Paper, “Nth-of-a-Kind </w:t>
      </w:r>
      <w:r w:rsidRPr="00637D5E">
        <w:rPr>
          <w:rFonts w:ascii="Arial" w:hAnsi="Arial" w:cs="Arial"/>
          <w:sz w:val="22"/>
          <w:szCs w:val="22"/>
        </w:rPr>
        <w:t>Micro</w:t>
      </w:r>
      <w:r w:rsidR="00D5095A">
        <w:rPr>
          <w:rFonts w:ascii="Arial" w:hAnsi="Arial" w:cs="Arial"/>
          <w:sz w:val="22"/>
          <w:szCs w:val="22"/>
        </w:rPr>
        <w:noBreakHyphen/>
      </w:r>
      <w:r w:rsidRPr="00637D5E">
        <w:rPr>
          <w:rFonts w:ascii="Arial" w:hAnsi="Arial" w:cs="Arial"/>
          <w:sz w:val="22"/>
          <w:szCs w:val="22"/>
        </w:rPr>
        <w:t>Reactor Licensing and Deployment Considerations</w:t>
      </w:r>
      <w:r w:rsidR="00392E18">
        <w:rPr>
          <w:rFonts w:ascii="Arial" w:hAnsi="Arial" w:cs="Arial"/>
          <w:sz w:val="22"/>
          <w:szCs w:val="22"/>
        </w:rPr>
        <w:t>,</w:t>
      </w:r>
      <w:r w:rsidRPr="00637D5E">
        <w:rPr>
          <w:rFonts w:ascii="Arial" w:hAnsi="Arial" w:cs="Arial"/>
          <w:sz w:val="22"/>
          <w:szCs w:val="22"/>
        </w:rPr>
        <w:t>”</w:t>
      </w:r>
      <w:r w:rsidR="00392E18">
        <w:rPr>
          <w:rFonts w:ascii="Arial" w:hAnsi="Arial" w:cs="Arial"/>
          <w:sz w:val="22"/>
          <w:szCs w:val="22"/>
        </w:rPr>
        <w:t xml:space="preserve"> issued September 2024 (</w:t>
      </w:r>
      <w:r w:rsidRPr="00392E18" w:rsidR="00392E18">
        <w:rPr>
          <w:rFonts w:ascii="Arial" w:hAnsi="Arial" w:cs="Arial"/>
          <w:sz w:val="22"/>
          <w:szCs w:val="22"/>
        </w:rPr>
        <w:t>ML24268A310</w:t>
      </w:r>
      <w:r w:rsidR="00392E18">
        <w:rPr>
          <w:rFonts w:ascii="Arial" w:hAnsi="Arial" w:cs="Arial"/>
          <w:sz w:val="22"/>
          <w:szCs w:val="22"/>
        </w:rPr>
        <w:t>)</w:t>
      </w:r>
      <w:r w:rsidRPr="00637D5E">
        <w:rPr>
          <w:rFonts w:ascii="Arial" w:hAnsi="Arial" w:cs="Arial"/>
          <w:sz w:val="22"/>
          <w:szCs w:val="22"/>
        </w:rPr>
        <w:t xml:space="preserve"> (</w:t>
      </w:r>
      <w:r w:rsidR="009D6BB9">
        <w:rPr>
          <w:rFonts w:ascii="Arial" w:hAnsi="Arial" w:cs="Arial"/>
          <w:sz w:val="22"/>
          <w:szCs w:val="22"/>
        </w:rPr>
        <w:t>NEI2</w:t>
      </w:r>
      <w:r w:rsidRPr="00637D5E">
        <w:rPr>
          <w:rFonts w:ascii="Arial" w:hAnsi="Arial" w:cs="Arial"/>
          <w:sz w:val="22"/>
          <w:szCs w:val="22"/>
        </w:rPr>
        <w:t>-0110). </w:t>
      </w:r>
    </w:p>
    <w:p w:rsidR="00F929D6" w:rsidRPr="00637D5E" w:rsidP="00637D5E" w14:paraId="2B526552" w14:textId="77777777">
      <w:pPr>
        <w:spacing w:after="220"/>
        <w:rPr>
          <w:rFonts w:ascii="Arial" w:eastAsia="DengXian" w:hAnsi="Arial" w:cs="Arial"/>
          <w:sz w:val="22"/>
          <w:szCs w:val="22"/>
        </w:rPr>
      </w:pPr>
      <w:r w:rsidRPr="00637D5E">
        <w:rPr>
          <w:rFonts w:ascii="Arial" w:eastAsia="DengXian" w:hAnsi="Arial" w:cs="Arial"/>
          <w:b/>
          <w:sz w:val="22"/>
          <w:szCs w:val="22"/>
        </w:rPr>
        <w:t>NRC Response:</w:t>
      </w:r>
      <w:r w:rsidRPr="00637D5E">
        <w:rPr>
          <w:rFonts w:ascii="Arial" w:eastAsia="DengXian" w:hAnsi="Arial" w:cs="Arial"/>
          <w:sz w:val="22"/>
          <w:szCs w:val="22"/>
        </w:rPr>
        <w:t xml:space="preserve"> The NRC agrees, in part, with this comment.</w:t>
      </w:r>
    </w:p>
    <w:p w:rsidR="00512BA2" w:rsidRPr="00637D5E" w:rsidP="00637D5E" w14:paraId="1305BA8E" w14:textId="77777777">
      <w:pPr>
        <w:spacing w:after="220"/>
        <w:rPr>
          <w:rFonts w:ascii="Arial" w:hAnsi="Arial" w:cs="Arial"/>
          <w:sz w:val="22"/>
          <w:szCs w:val="22"/>
        </w:rPr>
      </w:pPr>
      <w:r w:rsidRPr="00637D5E">
        <w:rPr>
          <w:rFonts w:ascii="Arial" w:hAnsi="Arial" w:cs="Arial"/>
          <w:sz w:val="22"/>
          <w:szCs w:val="22"/>
        </w:rPr>
        <w:t xml:space="preserve">The NRC </w:t>
      </w:r>
      <w:r w:rsidR="0003694C">
        <w:rPr>
          <w:rFonts w:ascii="Arial" w:hAnsi="Arial" w:cs="Arial"/>
          <w:sz w:val="22"/>
          <w:szCs w:val="22"/>
        </w:rPr>
        <w:t>has revised</w:t>
      </w:r>
      <w:r w:rsidRPr="00637D5E">
        <w:rPr>
          <w:rFonts w:ascii="Arial" w:hAnsi="Arial" w:cs="Arial"/>
          <w:sz w:val="22"/>
          <w:szCs w:val="22"/>
        </w:rPr>
        <w:t xml:space="preserve"> 10 CFR 53.860</w:t>
      </w:r>
      <w:r w:rsidRPr="00637D5E" w:rsidR="009D5CA6">
        <w:rPr>
          <w:rFonts w:ascii="Arial" w:hAnsi="Arial" w:cs="Arial"/>
          <w:sz w:val="22"/>
          <w:szCs w:val="22"/>
        </w:rPr>
        <w:t xml:space="preserve"> </w:t>
      </w:r>
      <w:r w:rsidRPr="00637D5E" w:rsidR="00F76078">
        <w:rPr>
          <w:rFonts w:ascii="Arial" w:hAnsi="Arial" w:cs="Arial"/>
          <w:sz w:val="22"/>
          <w:szCs w:val="22"/>
        </w:rPr>
        <w:t xml:space="preserve">in </w:t>
      </w:r>
      <w:r w:rsidRPr="00637D5E" w:rsidR="009D5CA6">
        <w:rPr>
          <w:rFonts w:ascii="Arial" w:hAnsi="Arial" w:cs="Arial"/>
          <w:sz w:val="22"/>
          <w:szCs w:val="22"/>
        </w:rPr>
        <w:t xml:space="preserve">response to </w:t>
      </w:r>
      <w:r w:rsidRPr="00637D5E" w:rsidR="002806B7">
        <w:rPr>
          <w:rFonts w:ascii="Arial" w:hAnsi="Arial" w:cs="Arial"/>
          <w:sz w:val="22"/>
          <w:szCs w:val="22"/>
        </w:rPr>
        <w:t>Comment Bin 3.6.3.3</w:t>
      </w:r>
      <w:r w:rsidRPr="00637D5E" w:rsidR="00AE6EC7">
        <w:rPr>
          <w:rFonts w:ascii="Arial" w:hAnsi="Arial" w:cs="Arial"/>
          <w:sz w:val="22"/>
          <w:szCs w:val="22"/>
        </w:rPr>
        <w:t>.C</w:t>
      </w:r>
      <w:r w:rsidRPr="00637D5E" w:rsidR="009D5CA6">
        <w:rPr>
          <w:rFonts w:ascii="Arial" w:hAnsi="Arial" w:cs="Arial"/>
          <w:sz w:val="22"/>
          <w:szCs w:val="22"/>
        </w:rPr>
        <w:t xml:space="preserve">. </w:t>
      </w:r>
      <w:r w:rsidRPr="00637D5E" w:rsidR="00F76078">
        <w:rPr>
          <w:rFonts w:ascii="Arial" w:hAnsi="Arial" w:cs="Arial"/>
          <w:sz w:val="22"/>
          <w:szCs w:val="22"/>
        </w:rPr>
        <w:t xml:space="preserve">In addition, </w:t>
      </w:r>
      <w:r w:rsidRPr="00637D5E" w:rsidR="00254A20">
        <w:rPr>
          <w:rFonts w:ascii="Arial" w:hAnsi="Arial" w:cs="Arial"/>
          <w:sz w:val="22"/>
          <w:szCs w:val="22"/>
        </w:rPr>
        <w:t xml:space="preserve">consistent with the ADVANCE Act and EOs issued in 2025, </w:t>
      </w:r>
      <w:r w:rsidRPr="00637D5E" w:rsidR="00CA2FD2">
        <w:rPr>
          <w:rFonts w:ascii="Arial" w:hAnsi="Arial" w:cs="Arial"/>
          <w:sz w:val="22"/>
          <w:szCs w:val="22"/>
        </w:rPr>
        <w:t xml:space="preserve">the </w:t>
      </w:r>
      <w:r w:rsidRPr="00637D5E" w:rsidR="00254A20">
        <w:rPr>
          <w:rFonts w:ascii="Arial" w:hAnsi="Arial" w:cs="Arial"/>
          <w:sz w:val="22"/>
          <w:szCs w:val="22"/>
        </w:rPr>
        <w:t xml:space="preserve">NRC has initiated development of an additional rulemaking to expedite licensing of qualified microreactors and other potentially low risk, low consequence reactors. This activity, along with other NRC guidance development activities, </w:t>
      </w:r>
      <w:r w:rsidRPr="00637D5E" w:rsidR="002A1C13">
        <w:rPr>
          <w:rFonts w:ascii="Arial" w:hAnsi="Arial" w:cs="Arial"/>
          <w:sz w:val="22"/>
          <w:szCs w:val="22"/>
        </w:rPr>
        <w:t>is</w:t>
      </w:r>
      <w:r w:rsidRPr="00637D5E" w:rsidR="00254A20">
        <w:rPr>
          <w:rFonts w:ascii="Arial" w:hAnsi="Arial" w:cs="Arial"/>
          <w:sz w:val="22"/>
          <w:szCs w:val="22"/>
        </w:rPr>
        <w:t xml:space="preserve"> intended to address </w:t>
      </w:r>
      <w:r w:rsidRPr="00637D5E" w:rsidR="00172054">
        <w:rPr>
          <w:rFonts w:ascii="Arial" w:hAnsi="Arial" w:cs="Arial"/>
          <w:sz w:val="22"/>
          <w:szCs w:val="22"/>
        </w:rPr>
        <w:t>topics</w:t>
      </w:r>
      <w:r w:rsidRPr="00637D5E" w:rsidR="00254A20">
        <w:rPr>
          <w:rFonts w:ascii="Arial" w:hAnsi="Arial" w:cs="Arial"/>
          <w:sz w:val="22"/>
          <w:szCs w:val="22"/>
        </w:rPr>
        <w:t xml:space="preserve"> such as those </w:t>
      </w:r>
      <w:r w:rsidRPr="00637D5E" w:rsidR="00172054">
        <w:rPr>
          <w:rFonts w:ascii="Arial" w:hAnsi="Arial" w:cs="Arial"/>
          <w:sz w:val="22"/>
          <w:szCs w:val="22"/>
        </w:rPr>
        <w:t>discussed in the documents referenced in</w:t>
      </w:r>
      <w:r w:rsidRPr="00637D5E" w:rsidR="00254A20">
        <w:rPr>
          <w:rFonts w:ascii="Arial" w:hAnsi="Arial" w:cs="Arial"/>
          <w:sz w:val="22"/>
          <w:szCs w:val="22"/>
        </w:rPr>
        <w:t xml:space="preserve"> the comment</w:t>
      </w:r>
      <w:r w:rsidRPr="00637D5E" w:rsidR="00172054">
        <w:rPr>
          <w:rFonts w:ascii="Arial" w:hAnsi="Arial" w:cs="Arial"/>
          <w:sz w:val="22"/>
          <w:szCs w:val="22"/>
        </w:rPr>
        <w:t>.</w:t>
      </w:r>
    </w:p>
    <w:p w:rsidR="00512BA2" w:rsidRPr="00637D5E" w:rsidP="00637D5E" w14:paraId="5DD2A32A" w14:textId="77777777">
      <w:pPr>
        <w:spacing w:after="220"/>
        <w:rPr>
          <w:rFonts w:ascii="Arial" w:hAnsi="Arial" w:cs="Arial"/>
          <w:sz w:val="22"/>
          <w:szCs w:val="22"/>
        </w:rPr>
      </w:pPr>
      <w:r w:rsidRPr="00637D5E">
        <w:rPr>
          <w:rFonts w:ascii="Arial" w:hAnsi="Arial" w:cs="Arial"/>
          <w:sz w:val="22"/>
          <w:szCs w:val="22"/>
        </w:rPr>
        <w:t>Accordingly, the NRC did not change the rule language</w:t>
      </w:r>
      <w:r w:rsidRPr="00637D5E" w:rsidR="00011BE0">
        <w:rPr>
          <w:rFonts w:ascii="Arial" w:hAnsi="Arial" w:cs="Arial"/>
          <w:sz w:val="22"/>
          <w:szCs w:val="22"/>
        </w:rPr>
        <w:t xml:space="preserve"> in response to this comment</w:t>
      </w:r>
      <w:r w:rsidRPr="00637D5E" w:rsidR="00B24398">
        <w:rPr>
          <w:rFonts w:ascii="Arial" w:hAnsi="Arial" w:cs="Arial"/>
          <w:sz w:val="22"/>
          <w:szCs w:val="22"/>
        </w:rPr>
        <w:t xml:space="preserve"> beyond those changes described in response to Comment Bin 3.6.3.3.C.</w:t>
      </w:r>
    </w:p>
    <w:p w:rsidR="007F112A" w:rsidRPr="00637D5E" w:rsidP="00637D5E" w14:paraId="74CA6A55" w14:textId="77777777">
      <w:pPr>
        <w:spacing w:after="220"/>
        <w:rPr>
          <w:rFonts w:ascii="Arial" w:hAnsi="Arial" w:cs="Arial"/>
          <w:sz w:val="22"/>
          <w:szCs w:val="22"/>
        </w:rPr>
      </w:pPr>
      <w:r>
        <w:rPr>
          <w:rFonts w:ascii="Arial" w:eastAsia="Times New Roman" w:hAnsi="Arial" w:cs="Arial"/>
          <w:sz w:val="22"/>
          <w:szCs w:val="22"/>
          <w:lang w:eastAsia="zh-CN"/>
        </w:rPr>
        <w:pict>
          <v:rect id="_x0000_i1215" style="width:0;height:1.5pt" o:hralign="center" o:hrstd="t" o:hrnoshade="t" o:hr="t" fillcolor="black" stroked="f"/>
        </w:pict>
      </w:r>
    </w:p>
    <w:p w:rsidR="007F112A" w:rsidRPr="00637D5E" w:rsidP="00637D5E" w14:paraId="145E242F" w14:textId="77777777">
      <w:pPr>
        <w:spacing w:after="220"/>
        <w:rPr>
          <w:rFonts w:ascii="Arial" w:eastAsia="Times New Roman" w:hAnsi="Arial" w:cs="Arial"/>
          <w:color w:val="000000"/>
          <w:sz w:val="22"/>
          <w:szCs w:val="22"/>
          <w:lang w:eastAsia="zh-CN"/>
        </w:rPr>
      </w:pPr>
      <w:r w:rsidRPr="00637D5E">
        <w:rPr>
          <w:rFonts w:ascii="Arial" w:eastAsia="DengXian" w:hAnsi="Arial" w:cs="Arial"/>
          <w:b/>
          <w:sz w:val="22"/>
          <w:szCs w:val="22"/>
        </w:rPr>
        <w:t>Comment Bin 3.6.3.3.B:</w:t>
      </w:r>
      <w:r w:rsidRPr="00637D5E">
        <w:rPr>
          <w:rFonts w:ascii="Arial" w:eastAsia="DengXian" w:hAnsi="Arial" w:cs="Arial"/>
          <w:sz w:val="22"/>
          <w:szCs w:val="22"/>
        </w:rPr>
        <w:t xml:space="preserve"> </w:t>
      </w:r>
      <w:r w:rsidRPr="00637D5E">
        <w:rPr>
          <w:rFonts w:ascii="Arial" w:hAnsi="Arial" w:cs="Arial"/>
          <w:sz w:val="22"/>
          <w:szCs w:val="22"/>
        </w:rPr>
        <w:t>A commenter wrote that they are unsure how outside law enforcement would be able to promptly respond to an incident at an isolated SMR, and that these types of responses would be done on a “gratis basis” (</w:t>
      </w:r>
      <w:r w:rsidR="000179BD">
        <w:rPr>
          <w:rFonts w:ascii="Arial" w:hAnsi="Arial" w:cs="Arial"/>
          <w:sz w:val="22"/>
          <w:szCs w:val="22"/>
        </w:rPr>
        <w:t>TG17</w:t>
      </w:r>
      <w:r w:rsidRPr="00637D5E">
        <w:rPr>
          <w:rFonts w:ascii="Arial" w:hAnsi="Arial" w:cs="Arial"/>
          <w:sz w:val="22"/>
          <w:szCs w:val="22"/>
        </w:rPr>
        <w:t>-0005).</w:t>
      </w:r>
    </w:p>
    <w:p w:rsidR="00063930" w:rsidP="00637D5E" w14:paraId="7A9EE8BA" w14:textId="77777777">
      <w:pPr>
        <w:spacing w:after="220"/>
        <w:rPr>
          <w:rFonts w:ascii="Arial" w:eastAsia="DengXian" w:hAnsi="Arial" w:cs="Arial"/>
          <w:sz w:val="22"/>
          <w:szCs w:val="22"/>
        </w:rPr>
      </w:pPr>
      <w:r w:rsidRPr="00637D5E">
        <w:rPr>
          <w:rFonts w:ascii="Arial" w:eastAsia="DengXian" w:hAnsi="Arial" w:cs="Arial"/>
          <w:b/>
          <w:sz w:val="22"/>
          <w:szCs w:val="22"/>
        </w:rPr>
        <w:t>NRC Response:</w:t>
      </w:r>
      <w:r w:rsidRPr="00637D5E">
        <w:rPr>
          <w:rFonts w:ascii="Arial" w:eastAsia="DengXian" w:hAnsi="Arial" w:cs="Arial"/>
          <w:sz w:val="22"/>
          <w:szCs w:val="22"/>
        </w:rPr>
        <w:t xml:space="preserve"> </w:t>
      </w:r>
      <w:r w:rsidRPr="00637D5E" w:rsidR="004B3D6D">
        <w:rPr>
          <w:rFonts w:ascii="Arial" w:eastAsia="DengXian" w:hAnsi="Arial" w:cs="Arial"/>
          <w:sz w:val="22"/>
          <w:szCs w:val="22"/>
        </w:rPr>
        <w:t xml:space="preserve">The NRC </w:t>
      </w:r>
      <w:r w:rsidR="00580FE3">
        <w:rPr>
          <w:rFonts w:ascii="Arial" w:eastAsia="DengXian" w:hAnsi="Arial" w:cs="Arial"/>
          <w:sz w:val="22"/>
          <w:szCs w:val="22"/>
        </w:rPr>
        <w:t>acknowledges</w:t>
      </w:r>
      <w:r w:rsidRPr="00637D5E" w:rsidR="004B3D6D">
        <w:rPr>
          <w:rFonts w:ascii="Arial" w:eastAsia="DengXian" w:hAnsi="Arial" w:cs="Arial"/>
          <w:sz w:val="22"/>
          <w:szCs w:val="22"/>
        </w:rPr>
        <w:t xml:space="preserve"> the comme</w:t>
      </w:r>
      <w:r w:rsidRPr="00637D5E" w:rsidR="2995B6D6">
        <w:rPr>
          <w:rFonts w:ascii="Arial" w:eastAsia="DengXian" w:hAnsi="Arial" w:cs="Arial"/>
          <w:sz w:val="22"/>
          <w:szCs w:val="22"/>
        </w:rPr>
        <w:t>nt.</w:t>
      </w:r>
    </w:p>
    <w:p w:rsidR="007F112A" w:rsidRPr="00637D5E" w:rsidP="00637D5E" w14:paraId="3D53169D" w14:textId="77777777">
      <w:pPr>
        <w:spacing w:after="220"/>
        <w:rPr>
          <w:rFonts w:ascii="Arial" w:eastAsia="DengXian" w:hAnsi="Arial" w:cs="Arial"/>
          <w:sz w:val="22"/>
          <w:szCs w:val="22"/>
        </w:rPr>
      </w:pPr>
      <w:r w:rsidRPr="00637D5E">
        <w:rPr>
          <w:rFonts w:ascii="Arial" w:eastAsia="DengXian" w:hAnsi="Arial" w:cs="Arial"/>
          <w:sz w:val="22"/>
          <w:szCs w:val="22"/>
        </w:rPr>
        <w:t xml:space="preserve">As required by </w:t>
      </w:r>
      <w:r w:rsidRPr="00637D5E">
        <w:rPr>
          <w:rFonts w:ascii="Arial" w:hAnsi="Arial" w:cs="Arial"/>
          <w:sz w:val="22"/>
          <w:szCs w:val="22"/>
        </w:rPr>
        <w:t>10 CFR 73.100(b)(</w:t>
      </w:r>
      <w:r w:rsidRPr="00637D5E" w:rsidR="27F5BA28">
        <w:rPr>
          <w:rFonts w:ascii="Arial" w:eastAsia="DengXian" w:hAnsi="Arial" w:cs="Arial"/>
          <w:sz w:val="22"/>
          <w:szCs w:val="22"/>
        </w:rPr>
        <w:t>4)(iv)</w:t>
      </w:r>
      <w:r w:rsidRPr="00637D5E" w:rsidR="41DE41CA">
        <w:rPr>
          <w:rFonts w:ascii="Arial" w:eastAsia="DengXian" w:hAnsi="Arial" w:cs="Arial"/>
          <w:sz w:val="22"/>
          <w:szCs w:val="22"/>
        </w:rPr>
        <w:t>(A)(</w:t>
      </w:r>
      <w:r w:rsidRPr="00980758" w:rsidR="41DE41CA">
        <w:rPr>
          <w:rFonts w:ascii="Arial" w:eastAsia="DengXian" w:hAnsi="Arial" w:cs="Arial"/>
          <w:i/>
          <w:sz w:val="22"/>
          <w:szCs w:val="22"/>
        </w:rPr>
        <w:t>1-5</w:t>
      </w:r>
      <w:r w:rsidRPr="00637D5E" w:rsidR="41DE41CA">
        <w:rPr>
          <w:rFonts w:ascii="Arial" w:eastAsia="DengXian" w:hAnsi="Arial" w:cs="Arial"/>
          <w:sz w:val="22"/>
          <w:szCs w:val="22"/>
        </w:rPr>
        <w:t>), a lic</w:t>
      </w:r>
      <w:r w:rsidRPr="00637D5E" w:rsidR="6BBEBEF3">
        <w:rPr>
          <w:rFonts w:ascii="Arial" w:eastAsia="DengXian" w:hAnsi="Arial" w:cs="Arial"/>
          <w:sz w:val="22"/>
          <w:szCs w:val="22"/>
        </w:rPr>
        <w:t>ensee</w:t>
      </w:r>
      <w:r w:rsidRPr="00637D5E" w:rsidR="41DE41CA">
        <w:rPr>
          <w:rFonts w:ascii="Arial" w:eastAsia="DengXian" w:hAnsi="Arial" w:cs="Arial"/>
          <w:sz w:val="22"/>
          <w:szCs w:val="22"/>
        </w:rPr>
        <w:t xml:space="preserve"> must meet specific requirements in order to</w:t>
      </w:r>
      <w:r w:rsidRPr="00637D5E" w:rsidR="3BD50C81">
        <w:rPr>
          <w:rFonts w:ascii="Arial" w:eastAsia="DengXian" w:hAnsi="Arial" w:cs="Arial"/>
          <w:sz w:val="22"/>
          <w:szCs w:val="22"/>
        </w:rPr>
        <w:t xml:space="preserve"> rely entirely or partially on law enforcement or other offsite armed response.</w:t>
      </w:r>
      <w:r w:rsidR="00CC2F63">
        <w:rPr>
          <w:rFonts w:ascii="Arial" w:eastAsia="DengXian" w:hAnsi="Arial" w:cs="Arial"/>
          <w:sz w:val="22"/>
          <w:szCs w:val="22"/>
        </w:rPr>
        <w:t xml:space="preserve"> </w:t>
      </w:r>
      <w:r w:rsidR="0042615C">
        <w:rPr>
          <w:rFonts w:ascii="Arial" w:eastAsia="DengXian" w:hAnsi="Arial" w:cs="Arial"/>
          <w:sz w:val="22"/>
          <w:szCs w:val="22"/>
        </w:rPr>
        <w:t xml:space="preserve">These requirements provide reasonable assurance that </w:t>
      </w:r>
      <w:r w:rsidR="009833FD">
        <w:rPr>
          <w:rFonts w:ascii="Arial" w:eastAsia="DengXian" w:hAnsi="Arial" w:cs="Arial"/>
          <w:sz w:val="22"/>
          <w:szCs w:val="22"/>
        </w:rPr>
        <w:t xml:space="preserve">commercial power reactors, including SMRs, </w:t>
      </w:r>
      <w:r w:rsidR="00182503">
        <w:rPr>
          <w:rFonts w:ascii="Arial" w:eastAsia="DengXian" w:hAnsi="Arial" w:cs="Arial"/>
          <w:sz w:val="22"/>
          <w:szCs w:val="22"/>
        </w:rPr>
        <w:t xml:space="preserve">will have an adequate response </w:t>
      </w:r>
      <w:r w:rsidR="00F05E47">
        <w:rPr>
          <w:rFonts w:ascii="Arial" w:eastAsia="DengXian" w:hAnsi="Arial" w:cs="Arial"/>
          <w:sz w:val="22"/>
          <w:szCs w:val="22"/>
        </w:rPr>
        <w:t>available</w:t>
      </w:r>
      <w:r w:rsidR="00182503">
        <w:rPr>
          <w:rFonts w:ascii="Arial" w:eastAsia="DengXian" w:hAnsi="Arial" w:cs="Arial"/>
          <w:sz w:val="22"/>
          <w:szCs w:val="22"/>
        </w:rPr>
        <w:t>.</w:t>
      </w:r>
    </w:p>
    <w:p w:rsidR="007F112A" w:rsidP="00637D5E" w14:paraId="3797665E" w14:textId="77777777">
      <w:pPr>
        <w:spacing w:after="220"/>
        <w:rPr>
          <w:rFonts w:ascii="Arial" w:hAnsi="Arial" w:cs="Arial"/>
          <w:sz w:val="22"/>
          <w:szCs w:val="22"/>
        </w:rPr>
      </w:pPr>
      <w:r w:rsidRPr="00637D5E">
        <w:rPr>
          <w:rFonts w:ascii="Arial" w:hAnsi="Arial" w:cs="Arial"/>
          <w:sz w:val="22"/>
          <w:szCs w:val="22"/>
        </w:rPr>
        <w:t>Accordingly, the NRC did not change the rule language</w:t>
      </w:r>
      <w:r w:rsidRPr="00637D5E" w:rsidR="000212E3">
        <w:rPr>
          <w:rFonts w:ascii="Arial" w:hAnsi="Arial" w:cs="Arial"/>
          <w:sz w:val="22"/>
          <w:szCs w:val="22"/>
        </w:rPr>
        <w:t xml:space="preserve"> in response to this comment</w:t>
      </w:r>
      <w:r w:rsidRPr="00637D5E">
        <w:rPr>
          <w:rFonts w:ascii="Arial" w:hAnsi="Arial" w:cs="Arial"/>
          <w:sz w:val="22"/>
          <w:szCs w:val="22"/>
        </w:rPr>
        <w:t>.</w:t>
      </w:r>
    </w:p>
    <w:p w:rsidR="007F112A" w:rsidRPr="00637D5E" w:rsidP="00637D5E" w14:paraId="463EFC1D"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216" style="width:0;height:1.5pt" o:hralign="center" o:hrstd="t" o:hrnoshade="t" o:hr="t" fillcolor="black" stroked="f"/>
        </w:pict>
      </w:r>
    </w:p>
    <w:p w:rsidR="007F112A" w:rsidRPr="00637D5E" w:rsidP="00637D5E" w14:paraId="795AC7D0" w14:textId="77777777">
      <w:pPr>
        <w:spacing w:after="220"/>
        <w:rPr>
          <w:rFonts w:ascii="Arial" w:hAnsi="Arial" w:cs="Arial"/>
          <w:sz w:val="22"/>
          <w:szCs w:val="22"/>
        </w:rPr>
      </w:pPr>
      <w:r w:rsidRPr="00637D5E">
        <w:rPr>
          <w:rFonts w:ascii="Arial" w:eastAsia="DengXian" w:hAnsi="Arial" w:cs="Arial"/>
          <w:b/>
          <w:sz w:val="22"/>
          <w:szCs w:val="22"/>
        </w:rPr>
        <w:t>Comment Bin 3.6.3.3.C:</w:t>
      </w:r>
      <w:r w:rsidRPr="00637D5E">
        <w:rPr>
          <w:rFonts w:ascii="Arial" w:eastAsia="DengXian" w:hAnsi="Arial" w:cs="Arial"/>
          <w:sz w:val="22"/>
          <w:szCs w:val="22"/>
        </w:rPr>
        <w:t xml:space="preserve"> </w:t>
      </w:r>
      <w:r w:rsidRPr="00637D5E">
        <w:rPr>
          <w:rFonts w:ascii="Arial" w:hAnsi="Arial" w:cs="Arial"/>
          <w:sz w:val="22"/>
          <w:szCs w:val="22"/>
        </w:rPr>
        <w:t xml:space="preserve">A commenter said, with respect to the consequence analysis, the NRC should modify the requirements and guidance to allow an applicant or licensee to consider security-related design features in the consequence analysis required by 10 CFR 53.860(a)(2) when a sufficient technical basis for such consideration can be provided. As an example, the commenter said that an applicant or licensee could install features providing reasonable assurance of a reactor shutdown if a given event is detected, thus lowering the potential consequences from a security event to levels below that specified in 10 CFR 53.210(b). The commenter </w:t>
      </w:r>
      <w:r w:rsidR="00616EA3">
        <w:rPr>
          <w:rFonts w:ascii="Arial" w:hAnsi="Arial" w:cs="Arial"/>
          <w:sz w:val="22"/>
          <w:szCs w:val="22"/>
        </w:rPr>
        <w:t>stated</w:t>
      </w:r>
      <w:r w:rsidRPr="00637D5E">
        <w:rPr>
          <w:rFonts w:ascii="Arial" w:hAnsi="Arial" w:cs="Arial"/>
          <w:sz w:val="22"/>
          <w:szCs w:val="22"/>
        </w:rPr>
        <w:t xml:space="preserve"> that for some security designs, the requirements and guidance for conducting the consequence analysis are too conservative and restrictive (</w:t>
      </w:r>
      <w:r w:rsidR="009D6BB9">
        <w:rPr>
          <w:rFonts w:ascii="Arial" w:hAnsi="Arial" w:cs="Arial"/>
          <w:sz w:val="22"/>
          <w:szCs w:val="22"/>
        </w:rPr>
        <w:t>NEI2</w:t>
      </w:r>
      <w:r w:rsidRPr="00637D5E">
        <w:rPr>
          <w:rFonts w:ascii="Arial" w:hAnsi="Arial" w:cs="Arial"/>
          <w:sz w:val="22"/>
          <w:szCs w:val="22"/>
        </w:rPr>
        <w:t>-0109).</w:t>
      </w:r>
    </w:p>
    <w:p w:rsidR="007E3D08" w:rsidRPr="00637D5E" w:rsidP="00637D5E" w14:paraId="2AB06A41" w14:textId="77777777">
      <w:pPr>
        <w:spacing w:after="220"/>
        <w:rPr>
          <w:rFonts w:ascii="Arial" w:hAnsi="Arial" w:cs="Arial"/>
          <w:sz w:val="22"/>
          <w:szCs w:val="22"/>
        </w:rPr>
      </w:pPr>
      <w:r w:rsidRPr="00637D5E">
        <w:rPr>
          <w:rFonts w:ascii="Arial" w:hAnsi="Arial" w:cs="Arial"/>
          <w:sz w:val="22"/>
          <w:szCs w:val="22"/>
        </w:rPr>
        <w:t xml:space="preserve">Another commenter wrote that the intention of the requirement in 10 CFR 53.860(a)(2) is unclear as it appears to require a bounding analysis representing a specific result of a design-basis threat attack but also requires the identification of target sets. The commenter </w:t>
      </w:r>
      <w:r w:rsidR="00616EA3">
        <w:rPr>
          <w:rFonts w:ascii="Arial" w:hAnsi="Arial" w:cs="Arial"/>
          <w:sz w:val="22"/>
          <w:szCs w:val="22"/>
        </w:rPr>
        <w:t>said</w:t>
      </w:r>
      <w:r w:rsidRPr="00637D5E">
        <w:rPr>
          <w:rFonts w:ascii="Arial" w:hAnsi="Arial" w:cs="Arial"/>
          <w:sz w:val="22"/>
          <w:szCs w:val="22"/>
        </w:rPr>
        <w:t xml:space="preserve"> that the language does not allow for the full crediting of a reactor design and assumes the loss of design features that may be beyond adversary capabilities. The commenter added that 10 CFR 53.</w:t>
      </w:r>
      <w:r w:rsidRPr="00637D5E" w:rsidR="00D71DEE">
        <w:rPr>
          <w:rFonts w:ascii="Arial" w:hAnsi="Arial" w:cs="Arial"/>
          <w:sz w:val="22"/>
          <w:szCs w:val="22"/>
        </w:rPr>
        <w:t>8</w:t>
      </w:r>
      <w:r w:rsidRPr="00637D5E">
        <w:rPr>
          <w:rFonts w:ascii="Arial" w:hAnsi="Arial" w:cs="Arial"/>
          <w:sz w:val="22"/>
          <w:szCs w:val="22"/>
        </w:rPr>
        <w:t xml:space="preserve">60(a)(2)(ii) specifically excludes mitigative and recovery actions by operators, but RG 5.81 has specific requirements for the crediting of operator actions in target sets. The commenter argued RG 5.81 would better inform the crediting of operator actions than the statement provided within the rule language and suggested that the </w:t>
      </w:r>
      <w:r w:rsidR="00616EA3">
        <w:rPr>
          <w:rFonts w:ascii="Arial" w:hAnsi="Arial" w:cs="Arial"/>
          <w:sz w:val="22"/>
          <w:szCs w:val="22"/>
        </w:rPr>
        <w:t>NRC</w:t>
      </w:r>
      <w:r w:rsidRPr="00637D5E">
        <w:rPr>
          <w:rFonts w:ascii="Arial" w:hAnsi="Arial" w:cs="Arial"/>
          <w:sz w:val="22"/>
          <w:szCs w:val="22"/>
        </w:rPr>
        <w:t xml:space="preserve"> remove the language </w:t>
      </w:r>
      <w:r w:rsidRPr="00637D5E">
        <w:rPr>
          <w:rFonts w:ascii="Arial" w:hAnsi="Arial" w:cs="Arial"/>
          <w:sz w:val="22"/>
          <w:szCs w:val="22"/>
        </w:rPr>
        <w:t>and address the crediting of operator and recovery actions through guidance. The commenter recommended revising 10 CFR 53.</w:t>
      </w:r>
      <w:r w:rsidRPr="00637D5E" w:rsidR="00D71DEE">
        <w:rPr>
          <w:rFonts w:ascii="Arial" w:hAnsi="Arial" w:cs="Arial"/>
          <w:sz w:val="22"/>
          <w:szCs w:val="22"/>
        </w:rPr>
        <w:t>8</w:t>
      </w:r>
      <w:r w:rsidRPr="00637D5E">
        <w:rPr>
          <w:rFonts w:ascii="Arial" w:hAnsi="Arial" w:cs="Arial"/>
          <w:sz w:val="22"/>
          <w:szCs w:val="22"/>
        </w:rPr>
        <w:t>60(a)(2)(ii) to read as follows (</w:t>
      </w:r>
      <w:r w:rsidR="0072098F">
        <w:rPr>
          <w:rFonts w:ascii="Arial" w:hAnsi="Arial" w:cs="Arial"/>
          <w:sz w:val="22"/>
          <w:szCs w:val="22"/>
        </w:rPr>
        <w:t>IDNL</w:t>
      </w:r>
      <w:r w:rsidRPr="00637D5E">
        <w:rPr>
          <w:rFonts w:ascii="Arial" w:hAnsi="Arial" w:cs="Arial"/>
          <w:sz w:val="22"/>
          <w:szCs w:val="22"/>
        </w:rPr>
        <w:t xml:space="preserve">-0007): </w:t>
      </w:r>
    </w:p>
    <w:p w:rsidR="007E3D08" w:rsidRPr="00637D5E" w:rsidP="00637D5E" w14:paraId="4CE90479" w14:textId="77777777">
      <w:pPr>
        <w:spacing w:after="220"/>
        <w:ind w:left="720" w:right="720"/>
        <w:rPr>
          <w:rFonts w:ascii="Arial" w:hAnsi="Arial" w:cs="Arial"/>
          <w:sz w:val="22"/>
          <w:szCs w:val="22"/>
        </w:rPr>
      </w:pPr>
      <w:r w:rsidRPr="00637D5E">
        <w:rPr>
          <w:rFonts w:ascii="Arial" w:hAnsi="Arial" w:cs="Arial"/>
          <w:sz w:val="22"/>
          <w:szCs w:val="22"/>
        </w:rPr>
        <w:t xml:space="preserve">The licensee must demonstrate compliance with the provisions set forth in either </w:t>
      </w:r>
      <w:r w:rsidRPr="00637D5E" w:rsidR="00500548">
        <w:rPr>
          <w:rFonts w:ascii="Arial" w:hAnsi="Arial" w:cs="Arial"/>
          <w:sz w:val="22"/>
          <w:szCs w:val="22"/>
        </w:rPr>
        <w:t>§§ </w:t>
      </w:r>
      <w:r w:rsidRPr="00637D5E">
        <w:rPr>
          <w:rFonts w:ascii="Arial" w:hAnsi="Arial" w:cs="Arial"/>
          <w:sz w:val="22"/>
          <w:szCs w:val="22"/>
        </w:rPr>
        <w:t>73.55 or 73.100 of this chapter, unless the licensee demonstrates compliance with the following criterion:</w:t>
      </w:r>
    </w:p>
    <w:p w:rsidR="007E3D08" w:rsidRPr="00637D5E" w:rsidP="00637D5E" w14:paraId="225D6D07" w14:textId="77777777">
      <w:pPr>
        <w:spacing w:after="220"/>
        <w:ind w:left="720" w:right="720"/>
        <w:rPr>
          <w:rFonts w:ascii="Arial" w:hAnsi="Arial" w:cs="Arial"/>
          <w:sz w:val="22"/>
          <w:szCs w:val="22"/>
        </w:rPr>
      </w:pPr>
      <w:r w:rsidRPr="00637D5E">
        <w:rPr>
          <w:rFonts w:ascii="Arial" w:hAnsi="Arial" w:cs="Arial"/>
          <w:sz w:val="22"/>
          <w:szCs w:val="22"/>
        </w:rPr>
        <w:t>(i) The radiological consequences from any design-basis threat-initiated event [</w:t>
      </w:r>
      <w:r w:rsidRPr="00637D5E" w:rsidR="00300050">
        <w:rPr>
          <w:rFonts w:ascii="Arial" w:hAnsi="Arial" w:cs="Arial"/>
          <w:sz w:val="22"/>
          <w:szCs w:val="22"/>
        </w:rPr>
        <w:t>S</w:t>
      </w:r>
      <w:r w:rsidRPr="00637D5E">
        <w:rPr>
          <w:rFonts w:ascii="Arial" w:hAnsi="Arial" w:cs="Arial"/>
          <w:sz w:val="22"/>
          <w:szCs w:val="22"/>
        </w:rPr>
        <w:t xml:space="preserve">trikethrough: involving the loss of engineered systems for decay heat removal and possible breaches in physical structures surrounding the reactor, spent fuel, and other inventories of radioactive materials] result in offsite doses below the values in </w:t>
      </w:r>
      <w:r w:rsidRPr="00616EA3" w:rsidR="003A2AD7">
        <w:rPr>
          <w:rFonts w:ascii="Arial" w:hAnsi="Arial" w:cs="Arial"/>
          <w:sz w:val="22"/>
          <w:szCs w:val="22"/>
        </w:rPr>
        <w:t xml:space="preserve">§ </w:t>
      </w:r>
      <w:r w:rsidRPr="00637D5E">
        <w:rPr>
          <w:rFonts w:ascii="Arial" w:hAnsi="Arial" w:cs="Arial"/>
          <w:sz w:val="22"/>
          <w:szCs w:val="22"/>
        </w:rPr>
        <w:t>53.210.</w:t>
      </w:r>
    </w:p>
    <w:p w:rsidR="007E3D08" w:rsidRPr="00637D5E" w:rsidP="00637D5E" w14:paraId="752C5B90" w14:textId="77777777">
      <w:pPr>
        <w:spacing w:after="220"/>
        <w:ind w:left="720" w:right="720"/>
        <w:rPr>
          <w:rFonts w:ascii="Arial" w:hAnsi="Arial" w:cs="Arial"/>
          <w:sz w:val="22"/>
          <w:szCs w:val="22"/>
        </w:rPr>
      </w:pPr>
      <w:r w:rsidRPr="00637D5E">
        <w:rPr>
          <w:rFonts w:ascii="Arial" w:hAnsi="Arial" w:cs="Arial"/>
          <w:sz w:val="22"/>
          <w:szCs w:val="22"/>
        </w:rPr>
        <w:t xml:space="preserve">(ii) The applicant must perform a site specific analysis, including identification of target sets, to demonstrate that the criterion in </w:t>
      </w:r>
      <w:r w:rsidRPr="00637D5E" w:rsidR="003A2AD7">
        <w:rPr>
          <w:rFonts w:ascii="Arial" w:hAnsi="Arial" w:cs="Arial"/>
          <w:sz w:val="22"/>
          <w:szCs w:val="22"/>
        </w:rPr>
        <w:t>§ </w:t>
      </w:r>
      <w:r w:rsidRPr="00637D5E">
        <w:rPr>
          <w:rFonts w:ascii="Arial" w:hAnsi="Arial" w:cs="Arial"/>
          <w:sz w:val="22"/>
          <w:szCs w:val="22"/>
        </w:rPr>
        <w:t xml:space="preserve">53.860(a)(2)(i) is satisfied. [Strikethrough: The analysis must assume that licensee mitigation and recovery actions, including any operator actions, are unavailable or ineffective.] The licensee must maintain the analysis until the permanent cessation of operations and permanent removal of fuel from the reactor vessel as described under </w:t>
      </w:r>
      <w:r w:rsidRPr="00637D5E" w:rsidR="003A2AD7">
        <w:rPr>
          <w:rFonts w:ascii="Arial" w:hAnsi="Arial" w:cs="Arial"/>
          <w:sz w:val="22"/>
          <w:szCs w:val="22"/>
        </w:rPr>
        <w:t>§ </w:t>
      </w:r>
      <w:r w:rsidRPr="00637D5E">
        <w:rPr>
          <w:rFonts w:ascii="Arial" w:hAnsi="Arial" w:cs="Arial"/>
          <w:sz w:val="22"/>
          <w:szCs w:val="22"/>
        </w:rPr>
        <w:t>53.1070.</w:t>
      </w:r>
    </w:p>
    <w:p w:rsidR="007E3D08" w:rsidRPr="00637D5E" w:rsidP="00637D5E" w14:paraId="41C1A217" w14:textId="77777777">
      <w:pPr>
        <w:spacing w:after="220"/>
        <w:rPr>
          <w:rFonts w:ascii="Arial" w:eastAsia="Times New Roman" w:hAnsi="Arial" w:cs="Arial"/>
          <w:color w:val="000000"/>
          <w:sz w:val="22"/>
          <w:szCs w:val="22"/>
          <w:lang w:eastAsia="zh-CN"/>
        </w:rPr>
      </w:pPr>
      <w:r w:rsidRPr="00637D5E">
        <w:rPr>
          <w:rFonts w:ascii="Arial" w:hAnsi="Arial" w:cs="Arial"/>
          <w:sz w:val="22"/>
          <w:szCs w:val="22"/>
        </w:rPr>
        <w:t>Regarding 10 CFR 53.8</w:t>
      </w:r>
      <w:r w:rsidRPr="00637D5E" w:rsidR="00283610">
        <w:rPr>
          <w:rFonts w:ascii="Arial" w:hAnsi="Arial" w:cs="Arial"/>
          <w:sz w:val="22"/>
          <w:szCs w:val="22"/>
        </w:rPr>
        <w:t>6</w:t>
      </w:r>
      <w:r w:rsidRPr="00637D5E">
        <w:rPr>
          <w:rFonts w:ascii="Arial" w:hAnsi="Arial" w:cs="Arial"/>
          <w:sz w:val="22"/>
          <w:szCs w:val="22"/>
        </w:rPr>
        <w:t>0, a commenter asked what analysis had been done to provide reasonable assurance that “this event” would not occur. The commenter wrote that if you do not protect against an event, then the assumed outcome is that it will happen. The commenter wrote that further guidance is needed on the regulations that would be applicable to a license that satisfies the criterion in 10 CFR 53.860(a)(2)</w:t>
      </w:r>
      <w:r w:rsidRPr="00BD44CA">
        <w:rPr>
          <w:rFonts w:ascii="Arial" w:hAnsi="Arial" w:cs="Arial"/>
          <w:sz w:val="22"/>
          <w:szCs w:val="22"/>
        </w:rPr>
        <w:t>(i) (</w:t>
      </w:r>
      <w:r w:rsidRPr="00BD44CA" w:rsidR="00BD44CA">
        <w:rPr>
          <w:rFonts w:ascii="Arial" w:eastAsia="Times New Roman" w:hAnsi="Arial" w:cs="Arial"/>
          <w:color w:val="000000"/>
          <w:sz w:val="22"/>
          <w:szCs w:val="22"/>
        </w:rPr>
        <w:t>AN5</w:t>
      </w:r>
      <w:r w:rsidRPr="00BD44CA">
        <w:rPr>
          <w:rFonts w:ascii="Arial" w:hAnsi="Arial" w:cs="Arial"/>
          <w:sz w:val="22"/>
          <w:szCs w:val="22"/>
        </w:rPr>
        <w:t>-0004</w:t>
      </w:r>
      <w:r w:rsidRPr="00637D5E">
        <w:rPr>
          <w:rFonts w:ascii="Arial" w:hAnsi="Arial" w:cs="Arial"/>
          <w:sz w:val="22"/>
          <w:szCs w:val="22"/>
        </w:rPr>
        <w:t>).</w:t>
      </w:r>
    </w:p>
    <w:p w:rsidR="00856DAD" w:rsidRPr="00637D5E" w:rsidP="00637D5E" w14:paraId="3C743315" w14:textId="77777777">
      <w:pPr>
        <w:spacing w:after="220"/>
        <w:rPr>
          <w:rFonts w:ascii="Arial" w:hAnsi="Arial" w:cs="Arial"/>
          <w:sz w:val="22"/>
          <w:szCs w:val="22"/>
        </w:rPr>
      </w:pPr>
      <w:r w:rsidRPr="00637D5E">
        <w:rPr>
          <w:rFonts w:ascii="Arial" w:eastAsia="DengXian" w:hAnsi="Arial" w:cs="Arial"/>
          <w:b/>
          <w:sz w:val="22"/>
          <w:szCs w:val="22"/>
        </w:rPr>
        <w:t>NRC Response:</w:t>
      </w:r>
      <w:r w:rsidRPr="00637D5E">
        <w:rPr>
          <w:rFonts w:ascii="Arial" w:eastAsia="DengXian" w:hAnsi="Arial" w:cs="Arial"/>
          <w:sz w:val="22"/>
          <w:szCs w:val="22"/>
        </w:rPr>
        <w:t xml:space="preserve"> </w:t>
      </w:r>
      <w:r w:rsidRPr="00637D5E">
        <w:rPr>
          <w:rFonts w:ascii="Arial" w:hAnsi="Arial" w:cs="Arial"/>
          <w:sz w:val="22"/>
          <w:szCs w:val="22"/>
        </w:rPr>
        <w:t>The NRC agrees</w:t>
      </w:r>
      <w:r w:rsidRPr="00637D5E" w:rsidR="001024B1">
        <w:rPr>
          <w:rFonts w:ascii="Arial" w:hAnsi="Arial" w:cs="Arial"/>
          <w:sz w:val="22"/>
          <w:szCs w:val="22"/>
        </w:rPr>
        <w:t>, in part,</w:t>
      </w:r>
      <w:r w:rsidRPr="00637D5E" w:rsidR="00235E6F">
        <w:rPr>
          <w:rFonts w:ascii="Arial" w:hAnsi="Arial" w:cs="Arial"/>
          <w:sz w:val="22"/>
          <w:szCs w:val="22"/>
        </w:rPr>
        <w:t xml:space="preserve"> with </w:t>
      </w:r>
      <w:r w:rsidR="00834CD5">
        <w:rPr>
          <w:rFonts w:ascii="Arial" w:hAnsi="Arial" w:cs="Arial"/>
          <w:sz w:val="22"/>
          <w:szCs w:val="22"/>
        </w:rPr>
        <w:t>the</w:t>
      </w:r>
      <w:r w:rsidRPr="00637D5E" w:rsidR="00235E6F">
        <w:rPr>
          <w:rFonts w:ascii="Arial" w:hAnsi="Arial" w:cs="Arial"/>
          <w:sz w:val="22"/>
          <w:szCs w:val="22"/>
        </w:rPr>
        <w:t xml:space="preserve"> comment</w:t>
      </w:r>
      <w:r w:rsidRPr="00637D5E" w:rsidR="00B30D6A">
        <w:rPr>
          <w:rFonts w:ascii="Arial" w:hAnsi="Arial" w:cs="Arial"/>
          <w:sz w:val="22"/>
          <w:szCs w:val="22"/>
        </w:rPr>
        <w:t>s</w:t>
      </w:r>
      <w:r w:rsidRPr="00637D5E">
        <w:rPr>
          <w:rFonts w:ascii="Arial" w:hAnsi="Arial" w:cs="Arial"/>
          <w:sz w:val="22"/>
          <w:szCs w:val="22"/>
        </w:rPr>
        <w:t>.</w:t>
      </w:r>
    </w:p>
    <w:p w:rsidR="00B47AFE" w:rsidP="00637D5E" w14:paraId="50D88797" w14:textId="77777777">
      <w:pPr>
        <w:spacing w:after="220"/>
        <w:rPr>
          <w:rFonts w:ascii="Arial" w:hAnsi="Arial" w:cs="Arial"/>
          <w:sz w:val="22"/>
          <w:szCs w:val="22"/>
        </w:rPr>
      </w:pPr>
      <w:r w:rsidRPr="00CB21D4">
        <w:rPr>
          <w:rFonts w:ascii="Arial" w:hAnsi="Arial" w:cs="Arial"/>
          <w:sz w:val="22"/>
          <w:szCs w:val="22"/>
        </w:rPr>
        <w:t xml:space="preserve">The NRC has removed the proposed requirements in 10 CFR 53.860(a)(2)(i) and (ii), which would have </w:t>
      </w:r>
      <w:r w:rsidR="00CD6374">
        <w:rPr>
          <w:rFonts w:ascii="Arial" w:hAnsi="Arial" w:cs="Arial"/>
          <w:sz w:val="22"/>
          <w:szCs w:val="22"/>
        </w:rPr>
        <w:t>required</w:t>
      </w:r>
      <w:r w:rsidRPr="00CB21D4">
        <w:rPr>
          <w:rFonts w:ascii="Arial" w:hAnsi="Arial" w:cs="Arial"/>
          <w:sz w:val="22"/>
          <w:szCs w:val="22"/>
        </w:rPr>
        <w:t xml:space="preserve"> an unmitigated consequence analysis using the offsite dose reference values from 10 CFR 53.210 to demonstrate that the radiological sabotage </w:t>
      </w:r>
      <w:r w:rsidR="00901477">
        <w:rPr>
          <w:rFonts w:ascii="Arial" w:hAnsi="Arial" w:cs="Arial"/>
          <w:sz w:val="22"/>
          <w:szCs w:val="22"/>
        </w:rPr>
        <w:t>DBT</w:t>
      </w:r>
      <w:r w:rsidRPr="00CB21D4">
        <w:rPr>
          <w:rFonts w:ascii="Arial" w:hAnsi="Arial" w:cs="Arial"/>
          <w:sz w:val="22"/>
          <w:szCs w:val="22"/>
        </w:rPr>
        <w:t xml:space="preserve"> does not apply. Instead, the NRC relocated this analysis requirement to 10 CFR 73.100 and introduced a graded approach</w:t>
      </w:r>
      <w:r w:rsidR="00491FD8">
        <w:rPr>
          <w:rFonts w:ascii="Arial" w:hAnsi="Arial" w:cs="Arial"/>
          <w:sz w:val="22"/>
          <w:szCs w:val="22"/>
        </w:rPr>
        <w:t xml:space="preserve"> based on a general performance objective and the achievability of target sets</w:t>
      </w:r>
      <w:r w:rsidRPr="00CB21D4">
        <w:rPr>
          <w:rFonts w:ascii="Arial" w:hAnsi="Arial" w:cs="Arial"/>
          <w:sz w:val="22"/>
          <w:szCs w:val="22"/>
        </w:rPr>
        <w:t xml:space="preserve">. This approach allows licensees to implement </w:t>
      </w:r>
      <w:r w:rsidR="00DD0036">
        <w:rPr>
          <w:rFonts w:ascii="Arial" w:hAnsi="Arial" w:cs="Arial"/>
          <w:sz w:val="22"/>
          <w:szCs w:val="22"/>
        </w:rPr>
        <w:t>a physical security program</w:t>
      </w:r>
      <w:r w:rsidRPr="00CB21D4">
        <w:rPr>
          <w:rFonts w:ascii="Arial" w:hAnsi="Arial" w:cs="Arial"/>
          <w:sz w:val="22"/>
          <w:szCs w:val="22"/>
        </w:rPr>
        <w:t xml:space="preserve"> </w:t>
      </w:r>
      <w:r w:rsidR="00E84717">
        <w:rPr>
          <w:rFonts w:ascii="Arial" w:hAnsi="Arial" w:cs="Arial"/>
          <w:sz w:val="22"/>
          <w:szCs w:val="22"/>
        </w:rPr>
        <w:t>appropriate and sufficient to prevent a</w:t>
      </w:r>
      <w:r w:rsidR="00672DF8">
        <w:rPr>
          <w:rFonts w:ascii="Arial" w:hAnsi="Arial" w:cs="Arial"/>
          <w:sz w:val="22"/>
          <w:szCs w:val="22"/>
        </w:rPr>
        <w:t xml:space="preserve"> release of radionuclides </w:t>
      </w:r>
      <w:r w:rsidR="006573E2">
        <w:rPr>
          <w:rFonts w:ascii="Arial" w:hAnsi="Arial" w:cs="Arial"/>
          <w:sz w:val="22"/>
          <w:szCs w:val="22"/>
        </w:rPr>
        <w:t xml:space="preserve">from a security event </w:t>
      </w:r>
      <w:r w:rsidRPr="00CB21D4">
        <w:rPr>
          <w:rFonts w:ascii="Arial" w:hAnsi="Arial" w:cs="Arial"/>
          <w:sz w:val="22"/>
          <w:szCs w:val="22"/>
        </w:rPr>
        <w:t>based on the dose reference values in 10 CFR 53.210, with the option to credit active measures</w:t>
      </w:r>
      <w:r w:rsidR="00EB3B97">
        <w:rPr>
          <w:rFonts w:ascii="Arial" w:hAnsi="Arial" w:cs="Arial"/>
          <w:sz w:val="22"/>
          <w:szCs w:val="22"/>
        </w:rPr>
        <w:t xml:space="preserve">, </w:t>
      </w:r>
      <w:r w:rsidRPr="00CB21D4">
        <w:rPr>
          <w:rFonts w:ascii="Arial" w:hAnsi="Arial" w:cs="Arial"/>
          <w:sz w:val="22"/>
          <w:szCs w:val="22"/>
        </w:rPr>
        <w:t>such as reactor shutdown. In response to Comment Bin 5.1.B, the NRC added a performance objective to 10</w:t>
      </w:r>
      <w:r w:rsidR="00245018">
        <w:rPr>
          <w:rFonts w:ascii="Arial" w:hAnsi="Arial" w:cs="Arial"/>
          <w:sz w:val="22"/>
          <w:szCs w:val="22"/>
        </w:rPr>
        <w:t> </w:t>
      </w:r>
      <w:r w:rsidRPr="00CB21D4">
        <w:rPr>
          <w:rFonts w:ascii="Arial" w:hAnsi="Arial" w:cs="Arial"/>
          <w:sz w:val="22"/>
          <w:szCs w:val="22"/>
        </w:rPr>
        <w:t>CFR 73.100 aligned with the dose reference values in 10</w:t>
      </w:r>
      <w:r w:rsidR="00C5617E">
        <w:rPr>
          <w:rFonts w:ascii="Arial" w:hAnsi="Arial" w:cs="Arial"/>
          <w:sz w:val="22"/>
          <w:szCs w:val="22"/>
        </w:rPr>
        <w:t> </w:t>
      </w:r>
      <w:r w:rsidRPr="00CB21D4">
        <w:rPr>
          <w:rFonts w:ascii="Arial" w:hAnsi="Arial" w:cs="Arial"/>
          <w:sz w:val="22"/>
          <w:szCs w:val="22"/>
        </w:rPr>
        <w:t>CFR</w:t>
      </w:r>
      <w:r w:rsidR="00C5617E">
        <w:rPr>
          <w:rFonts w:ascii="Arial" w:hAnsi="Arial" w:cs="Arial"/>
          <w:sz w:val="22"/>
          <w:szCs w:val="22"/>
        </w:rPr>
        <w:t> </w:t>
      </w:r>
      <w:r w:rsidRPr="00CB21D4">
        <w:rPr>
          <w:rFonts w:ascii="Arial" w:hAnsi="Arial" w:cs="Arial"/>
          <w:sz w:val="22"/>
          <w:szCs w:val="22"/>
        </w:rPr>
        <w:t>53.210. Additionally, RG 5.81</w:t>
      </w:r>
      <w:r w:rsidRPr="00E95DD5" w:rsidR="00E95DD5">
        <w:rPr>
          <w:rFonts w:ascii="Arial" w:hAnsi="Arial" w:cs="Arial"/>
          <w:sz w:val="22"/>
          <w:szCs w:val="22"/>
        </w:rPr>
        <w:t xml:space="preserve"> </w:t>
      </w:r>
      <w:r w:rsidR="00E95DD5">
        <w:rPr>
          <w:rFonts w:ascii="Arial" w:hAnsi="Arial" w:cs="Arial"/>
          <w:sz w:val="22"/>
          <w:szCs w:val="22"/>
        </w:rPr>
        <w:t>(</w:t>
      </w:r>
      <w:r w:rsidR="00A82E07">
        <w:rPr>
          <w:rFonts w:ascii="Arial" w:hAnsi="Arial" w:cs="Arial"/>
          <w:sz w:val="22"/>
          <w:szCs w:val="22"/>
        </w:rPr>
        <w:t>f</w:t>
      </w:r>
      <w:r w:rsidR="00E95DD5">
        <w:rPr>
          <w:rFonts w:ascii="Arial" w:hAnsi="Arial" w:cs="Arial"/>
          <w:sz w:val="22"/>
          <w:szCs w:val="22"/>
        </w:rPr>
        <w:t xml:space="preserve">ormerly </w:t>
      </w:r>
      <w:r w:rsidRPr="00CB21D4" w:rsidR="00E95DD5">
        <w:rPr>
          <w:rFonts w:ascii="Arial" w:hAnsi="Arial" w:cs="Arial"/>
          <w:sz w:val="22"/>
          <w:szCs w:val="22"/>
        </w:rPr>
        <w:t>DG-5071</w:t>
      </w:r>
      <w:r w:rsidRPr="00CB21D4">
        <w:rPr>
          <w:rFonts w:ascii="Arial" w:hAnsi="Arial" w:cs="Arial"/>
          <w:sz w:val="22"/>
          <w:szCs w:val="22"/>
        </w:rPr>
        <w:t>) and RG 5.97</w:t>
      </w:r>
      <w:r w:rsidR="00A82E07">
        <w:rPr>
          <w:rFonts w:ascii="Arial" w:hAnsi="Arial" w:cs="Arial"/>
          <w:sz w:val="22"/>
          <w:szCs w:val="22"/>
        </w:rPr>
        <w:t xml:space="preserve"> (formerly</w:t>
      </w:r>
      <w:r w:rsidRPr="00E95DD5" w:rsidR="00E95DD5">
        <w:rPr>
          <w:rFonts w:ascii="Arial" w:hAnsi="Arial" w:cs="Arial"/>
          <w:sz w:val="22"/>
          <w:szCs w:val="22"/>
        </w:rPr>
        <w:t xml:space="preserve"> </w:t>
      </w:r>
      <w:r w:rsidRPr="00CB21D4" w:rsidR="00E95DD5">
        <w:rPr>
          <w:rFonts w:ascii="Arial" w:hAnsi="Arial" w:cs="Arial"/>
          <w:sz w:val="22"/>
          <w:szCs w:val="22"/>
        </w:rPr>
        <w:t>DG-5076</w:t>
      </w:r>
      <w:r w:rsidRPr="00CB21D4">
        <w:rPr>
          <w:rFonts w:ascii="Arial" w:hAnsi="Arial" w:cs="Arial"/>
          <w:sz w:val="22"/>
          <w:szCs w:val="22"/>
        </w:rPr>
        <w:t>) have been revised to reflect and provide guidance on these regulatory changes.</w:t>
      </w:r>
      <w:r w:rsidR="00D102B5">
        <w:rPr>
          <w:rFonts w:ascii="Arial" w:hAnsi="Arial" w:cs="Arial"/>
          <w:sz w:val="22"/>
          <w:szCs w:val="22"/>
        </w:rPr>
        <w:t xml:space="preserve"> </w:t>
      </w:r>
    </w:p>
    <w:p w:rsidR="00646BD3" w:rsidRPr="002B63AA" w:rsidP="00637D5E" w14:paraId="1DD69954" w14:textId="77777777">
      <w:pPr>
        <w:spacing w:after="220"/>
        <w:rPr>
          <w:rFonts w:ascii="Arial" w:hAnsi="Arial" w:cs="Arial"/>
          <w:sz w:val="22"/>
          <w:szCs w:val="22"/>
        </w:rPr>
      </w:pPr>
      <w:r w:rsidRPr="00637D5E">
        <w:rPr>
          <w:rFonts w:ascii="Arial" w:hAnsi="Arial" w:cs="Arial"/>
          <w:sz w:val="22"/>
          <w:szCs w:val="22"/>
        </w:rPr>
        <w:t>A</w:t>
      </w:r>
      <w:r>
        <w:rPr>
          <w:rFonts w:ascii="Arial" w:hAnsi="Arial" w:cs="Arial"/>
          <w:sz w:val="22"/>
          <w:szCs w:val="22"/>
        </w:rPr>
        <w:t>ccordingly</w:t>
      </w:r>
      <w:r w:rsidRPr="00637D5E">
        <w:rPr>
          <w:rFonts w:ascii="Arial" w:hAnsi="Arial" w:cs="Arial"/>
          <w:sz w:val="22"/>
          <w:szCs w:val="22"/>
        </w:rPr>
        <w:t>, the NRC change</w:t>
      </w:r>
      <w:r>
        <w:rPr>
          <w:rFonts w:ascii="Arial" w:hAnsi="Arial" w:cs="Arial"/>
          <w:sz w:val="22"/>
          <w:szCs w:val="22"/>
        </w:rPr>
        <w:t>d</w:t>
      </w:r>
      <w:r w:rsidRPr="00637D5E">
        <w:rPr>
          <w:rFonts w:ascii="Arial" w:hAnsi="Arial" w:cs="Arial"/>
          <w:sz w:val="22"/>
          <w:szCs w:val="22"/>
        </w:rPr>
        <w:t xml:space="preserve"> the rule language </w:t>
      </w:r>
      <w:r w:rsidR="00015626">
        <w:rPr>
          <w:rFonts w:ascii="Arial" w:hAnsi="Arial" w:cs="Arial"/>
          <w:sz w:val="22"/>
          <w:szCs w:val="22"/>
        </w:rPr>
        <w:t xml:space="preserve">and guidance </w:t>
      </w:r>
      <w:r>
        <w:rPr>
          <w:rFonts w:ascii="Arial" w:hAnsi="Arial" w:cs="Arial"/>
          <w:sz w:val="22"/>
          <w:szCs w:val="22"/>
        </w:rPr>
        <w:t xml:space="preserve">as stated above </w:t>
      </w:r>
      <w:r w:rsidRPr="00637D5E">
        <w:rPr>
          <w:rFonts w:ascii="Arial" w:hAnsi="Arial" w:cs="Arial"/>
          <w:sz w:val="22"/>
          <w:szCs w:val="22"/>
        </w:rPr>
        <w:t>in response to th</w:t>
      </w:r>
      <w:r w:rsidR="008A1E56">
        <w:rPr>
          <w:rFonts w:ascii="Arial" w:hAnsi="Arial" w:cs="Arial"/>
          <w:sz w:val="22"/>
          <w:szCs w:val="22"/>
        </w:rPr>
        <w:t>e</w:t>
      </w:r>
      <w:r w:rsidRPr="00637D5E">
        <w:rPr>
          <w:rFonts w:ascii="Arial" w:hAnsi="Arial" w:cs="Arial"/>
          <w:sz w:val="22"/>
          <w:szCs w:val="22"/>
        </w:rPr>
        <w:t>s</w:t>
      </w:r>
      <w:r w:rsidR="008A1E56">
        <w:rPr>
          <w:rFonts w:ascii="Arial" w:hAnsi="Arial" w:cs="Arial"/>
          <w:sz w:val="22"/>
          <w:szCs w:val="22"/>
        </w:rPr>
        <w:t>e</w:t>
      </w:r>
      <w:r w:rsidRPr="00637D5E">
        <w:rPr>
          <w:rFonts w:ascii="Arial" w:hAnsi="Arial" w:cs="Arial"/>
          <w:sz w:val="22"/>
          <w:szCs w:val="22"/>
        </w:rPr>
        <w:t xml:space="preserve"> comment</w:t>
      </w:r>
      <w:r w:rsidR="008A1E56">
        <w:rPr>
          <w:rFonts w:ascii="Arial" w:hAnsi="Arial" w:cs="Arial"/>
          <w:sz w:val="22"/>
          <w:szCs w:val="22"/>
        </w:rPr>
        <w:t>s</w:t>
      </w:r>
      <w:r w:rsidRPr="00637D5E">
        <w:rPr>
          <w:rFonts w:ascii="Arial" w:hAnsi="Arial" w:cs="Arial"/>
          <w:sz w:val="22"/>
          <w:szCs w:val="22"/>
        </w:rPr>
        <w:t>.</w:t>
      </w:r>
    </w:p>
    <w:p w:rsidR="007F112A" w:rsidRPr="002B63AA" w:rsidP="00637D5E" w14:paraId="4CC4ED74" w14:textId="77777777">
      <w:pPr>
        <w:spacing w:after="220"/>
        <w:rPr>
          <w:rFonts w:ascii="Arial" w:hAnsi="Arial" w:cs="Arial"/>
          <w:sz w:val="22"/>
          <w:szCs w:val="22"/>
        </w:rPr>
      </w:pPr>
      <w:r>
        <w:rPr>
          <w:rFonts w:ascii="Arial" w:eastAsia="Times New Roman" w:hAnsi="Arial" w:cs="Arial"/>
          <w:sz w:val="22"/>
          <w:szCs w:val="22"/>
          <w:lang w:eastAsia="zh-CN"/>
        </w:rPr>
        <w:pict>
          <v:rect id="_x0000_i1217" style="width:0;height:1.5pt" o:hralign="center" o:hrstd="t" o:hrnoshade="t" o:hr="t" fillcolor="black" stroked="f"/>
        </w:pict>
      </w:r>
    </w:p>
    <w:p w:rsidR="007F112A" w:rsidRPr="00DA0A3C" w:rsidP="00A27ADE" w14:paraId="39D64EFC" w14:textId="77777777">
      <w:pPr>
        <w:pStyle w:val="Heading4"/>
        <w:spacing w:before="240"/>
      </w:pPr>
      <w:r w:rsidRPr="00CA7F85">
        <w:rPr>
          <w:u w:val="none"/>
        </w:rPr>
        <w:t>3.6.3.4.</w:t>
      </w:r>
      <w:r w:rsidRPr="00CA7F85">
        <w:rPr>
          <w:u w:val="none"/>
        </w:rPr>
        <w:tab/>
      </w:r>
      <w:r w:rsidRPr="00DA0A3C">
        <w:t>Integrity assessment programs (§ 53.870), including RFC</w:t>
      </w:r>
    </w:p>
    <w:p w:rsidR="007F112A" w:rsidRPr="00220690" w:rsidP="00220690" w14:paraId="6DA0FD33" w14:textId="77777777">
      <w:pPr>
        <w:spacing w:after="220"/>
        <w:rPr>
          <w:rFonts w:ascii="Arial" w:hAnsi="Arial" w:cs="Arial"/>
          <w:sz w:val="22"/>
          <w:szCs w:val="22"/>
        </w:rPr>
      </w:pPr>
      <w:r w:rsidRPr="00220690">
        <w:rPr>
          <w:rFonts w:ascii="Arial" w:eastAsia="DengXian" w:hAnsi="Arial" w:cs="Arial"/>
          <w:b/>
          <w:sz w:val="22"/>
          <w:szCs w:val="22"/>
        </w:rPr>
        <w:t>Comment Bin 3.6.3.4.A:</w:t>
      </w:r>
      <w:r w:rsidRPr="00220690">
        <w:rPr>
          <w:rFonts w:ascii="Arial" w:eastAsia="DengXian" w:hAnsi="Arial" w:cs="Arial"/>
          <w:sz w:val="22"/>
          <w:szCs w:val="22"/>
        </w:rPr>
        <w:t xml:space="preserve"> </w:t>
      </w:r>
      <w:r w:rsidRPr="00220690">
        <w:rPr>
          <w:rFonts w:ascii="Arial" w:hAnsi="Arial" w:cs="Arial"/>
          <w:sz w:val="22"/>
          <w:szCs w:val="22"/>
        </w:rPr>
        <w:t xml:space="preserve">A commenter said that the overall requirements in 10 CFR Part 53 addressing design and inspection provide a sound basis for seeking to identify potential degradation phenomena, ensure that materials used in the SSCs are qualified for use in the </w:t>
      </w:r>
      <w:r w:rsidRPr="00220690">
        <w:rPr>
          <w:rFonts w:ascii="Arial" w:hAnsi="Arial" w:cs="Arial"/>
          <w:sz w:val="22"/>
          <w:szCs w:val="22"/>
        </w:rPr>
        <w:t>operating environments, provide margins against failure, and require assessments of operating experience. The commenter listed the relevant requirements, including 10 CFR 53.220, 53.250, 53.440, 53.450, 53.710, 53.715, 53.865, and 53.880, and said that these requirements provide for a robust approach to ensuring integrity of SSCs (</w:t>
      </w:r>
      <w:r w:rsidR="009D6BB9">
        <w:rPr>
          <w:rFonts w:ascii="Arial" w:hAnsi="Arial" w:cs="Arial"/>
          <w:sz w:val="22"/>
          <w:szCs w:val="22"/>
        </w:rPr>
        <w:t>NEI2</w:t>
      </w:r>
      <w:r w:rsidRPr="00220690">
        <w:rPr>
          <w:rFonts w:ascii="Arial" w:hAnsi="Arial" w:cs="Arial"/>
          <w:sz w:val="22"/>
          <w:szCs w:val="22"/>
        </w:rPr>
        <w:t>-0204).</w:t>
      </w:r>
    </w:p>
    <w:p w:rsidR="007F112A" w:rsidRPr="00220690" w:rsidP="00220690" w14:paraId="541E7DB2" w14:textId="77777777">
      <w:pPr>
        <w:spacing w:after="220"/>
        <w:rPr>
          <w:rFonts w:ascii="Arial" w:hAnsi="Arial" w:cs="Arial"/>
          <w:sz w:val="22"/>
          <w:szCs w:val="22"/>
        </w:rPr>
      </w:pPr>
      <w:r w:rsidRPr="00220690">
        <w:rPr>
          <w:rFonts w:ascii="Arial" w:hAnsi="Arial" w:cs="Arial"/>
          <w:sz w:val="22"/>
          <w:szCs w:val="22"/>
        </w:rPr>
        <w:t>The commenter said that the Integrity Assessment Program under 10 CFR 53.870 remains duplicative of these other 10 CFR Part 53 requirements (</w:t>
      </w:r>
      <w:r w:rsidR="009D6BB9">
        <w:rPr>
          <w:rFonts w:ascii="Arial" w:hAnsi="Arial" w:cs="Arial"/>
          <w:sz w:val="22"/>
          <w:szCs w:val="22"/>
        </w:rPr>
        <w:t>NEI2</w:t>
      </w:r>
      <w:r w:rsidRPr="00220690">
        <w:rPr>
          <w:rFonts w:ascii="Arial" w:hAnsi="Arial" w:cs="Arial"/>
          <w:sz w:val="22"/>
          <w:szCs w:val="22"/>
        </w:rPr>
        <w:t xml:space="preserve">-0006, </w:t>
      </w:r>
      <w:r w:rsidR="009D6BB9">
        <w:rPr>
          <w:rFonts w:ascii="Arial" w:hAnsi="Arial" w:cs="Arial"/>
          <w:sz w:val="22"/>
          <w:szCs w:val="22"/>
        </w:rPr>
        <w:t>NEI2</w:t>
      </w:r>
      <w:r w:rsidRPr="00220690">
        <w:rPr>
          <w:rFonts w:ascii="Arial" w:hAnsi="Arial" w:cs="Arial"/>
          <w:sz w:val="22"/>
          <w:szCs w:val="22"/>
        </w:rPr>
        <w:t xml:space="preserve">-0020, </w:t>
      </w:r>
      <w:r w:rsidR="009D6BB9">
        <w:rPr>
          <w:rFonts w:ascii="Arial" w:hAnsi="Arial" w:cs="Arial"/>
          <w:sz w:val="22"/>
          <w:szCs w:val="22"/>
        </w:rPr>
        <w:t>NEI2</w:t>
      </w:r>
      <w:r w:rsidRPr="00220690">
        <w:rPr>
          <w:rFonts w:ascii="Arial" w:hAnsi="Arial" w:cs="Arial"/>
          <w:sz w:val="22"/>
          <w:szCs w:val="22"/>
        </w:rPr>
        <w:t xml:space="preserve">-0112, </w:t>
      </w:r>
      <w:r w:rsidR="009D6BB9">
        <w:rPr>
          <w:rFonts w:ascii="Arial" w:hAnsi="Arial" w:cs="Arial"/>
          <w:sz w:val="22"/>
          <w:szCs w:val="22"/>
        </w:rPr>
        <w:t>NEI2</w:t>
      </w:r>
      <w:r w:rsidRPr="00220690">
        <w:rPr>
          <w:rFonts w:ascii="Arial" w:hAnsi="Arial" w:cs="Arial"/>
          <w:sz w:val="22"/>
          <w:szCs w:val="22"/>
        </w:rPr>
        <w:t>-0204) and suggested that the NRC remove 10 CFR 53.870 (</w:t>
      </w:r>
      <w:r w:rsidR="009D6BB9">
        <w:rPr>
          <w:rFonts w:ascii="Arial" w:hAnsi="Arial" w:cs="Arial"/>
          <w:sz w:val="22"/>
          <w:szCs w:val="22"/>
        </w:rPr>
        <w:t>NEI2</w:t>
      </w:r>
      <w:r w:rsidRPr="00220690">
        <w:rPr>
          <w:rFonts w:ascii="Arial" w:hAnsi="Arial" w:cs="Arial"/>
          <w:sz w:val="22"/>
          <w:szCs w:val="22"/>
        </w:rPr>
        <w:t xml:space="preserve">-0006, </w:t>
      </w:r>
      <w:r w:rsidR="009D6BB9">
        <w:rPr>
          <w:rFonts w:ascii="Arial" w:hAnsi="Arial" w:cs="Arial"/>
          <w:sz w:val="22"/>
          <w:szCs w:val="22"/>
        </w:rPr>
        <w:t>NEI2</w:t>
      </w:r>
      <w:r w:rsidRPr="00220690">
        <w:rPr>
          <w:rFonts w:ascii="Arial" w:hAnsi="Arial" w:cs="Arial"/>
          <w:sz w:val="22"/>
          <w:szCs w:val="22"/>
        </w:rPr>
        <w:t xml:space="preserve">-0112, </w:t>
      </w:r>
      <w:r w:rsidR="009D6BB9">
        <w:rPr>
          <w:rFonts w:ascii="Arial" w:hAnsi="Arial" w:cs="Arial"/>
          <w:sz w:val="22"/>
          <w:szCs w:val="22"/>
        </w:rPr>
        <w:t>NEI2</w:t>
      </w:r>
      <w:r w:rsidRPr="00220690">
        <w:rPr>
          <w:rFonts w:ascii="Arial" w:hAnsi="Arial" w:cs="Arial"/>
          <w:sz w:val="22"/>
          <w:szCs w:val="22"/>
        </w:rPr>
        <w:t>-0204). Another commenter expressed support for this comment (</w:t>
      </w:r>
      <w:r w:rsidR="006912EB">
        <w:rPr>
          <w:rFonts w:ascii="Arial" w:hAnsi="Arial" w:cs="Arial"/>
          <w:sz w:val="22"/>
          <w:szCs w:val="22"/>
        </w:rPr>
        <w:t>NEX</w:t>
      </w:r>
      <w:r w:rsidRPr="00220690">
        <w:rPr>
          <w:rFonts w:ascii="Arial" w:hAnsi="Arial" w:cs="Arial"/>
          <w:sz w:val="22"/>
          <w:szCs w:val="22"/>
        </w:rPr>
        <w:t>-0023).</w:t>
      </w:r>
    </w:p>
    <w:p w:rsidR="007F112A" w:rsidRPr="00220690" w:rsidP="00220690" w14:paraId="30C8EC5B" w14:textId="77777777">
      <w:pPr>
        <w:spacing w:after="220"/>
        <w:rPr>
          <w:rFonts w:ascii="Arial" w:hAnsi="Arial" w:cs="Arial"/>
          <w:sz w:val="22"/>
          <w:szCs w:val="22"/>
        </w:rPr>
      </w:pPr>
      <w:r w:rsidRPr="00220690">
        <w:rPr>
          <w:rFonts w:ascii="Arial" w:hAnsi="Arial" w:cs="Arial"/>
          <w:sz w:val="22"/>
          <w:szCs w:val="22"/>
        </w:rPr>
        <w:t xml:space="preserve">A commenter wrote that the proposed integrity assessment program risks duplicating other programs such as the </w:t>
      </w:r>
      <w:r w:rsidR="009727A2">
        <w:rPr>
          <w:rFonts w:ascii="Arial" w:hAnsi="Arial" w:cs="Arial"/>
          <w:sz w:val="22"/>
          <w:szCs w:val="22"/>
        </w:rPr>
        <w:t>Reliability and Integrity Management (RIM) Expert Panel (</w:t>
      </w:r>
      <w:r w:rsidRPr="00220690">
        <w:rPr>
          <w:rFonts w:ascii="Arial" w:hAnsi="Arial" w:cs="Arial"/>
          <w:sz w:val="22"/>
          <w:szCs w:val="22"/>
        </w:rPr>
        <w:t>RIMEP</w:t>
      </w:r>
      <w:r w:rsidR="009727A2">
        <w:rPr>
          <w:rFonts w:ascii="Arial" w:hAnsi="Arial" w:cs="Arial"/>
          <w:sz w:val="22"/>
          <w:szCs w:val="22"/>
        </w:rPr>
        <w:t>)</w:t>
      </w:r>
      <w:r w:rsidRPr="00220690">
        <w:rPr>
          <w:rFonts w:ascii="Arial" w:hAnsi="Arial" w:cs="Arial"/>
          <w:sz w:val="22"/>
          <w:szCs w:val="22"/>
        </w:rPr>
        <w:t xml:space="preserve">, </w:t>
      </w:r>
      <w:r w:rsidR="004D4ADF">
        <w:rPr>
          <w:rFonts w:ascii="Arial" w:hAnsi="Arial" w:cs="Arial"/>
          <w:sz w:val="22"/>
          <w:szCs w:val="22"/>
        </w:rPr>
        <w:t>LMP Integrated Decision Panel</w:t>
      </w:r>
      <w:r w:rsidRPr="00220690">
        <w:rPr>
          <w:rFonts w:ascii="Arial" w:hAnsi="Arial" w:cs="Arial"/>
          <w:sz w:val="22"/>
          <w:szCs w:val="22"/>
        </w:rPr>
        <w:t xml:space="preserve">, and the </w:t>
      </w:r>
      <w:r w:rsidRPr="00363A72" w:rsidR="00363A72">
        <w:rPr>
          <w:rFonts w:ascii="Arial" w:hAnsi="Arial" w:cs="Arial"/>
          <w:sz w:val="22"/>
          <w:szCs w:val="22"/>
        </w:rPr>
        <w:t xml:space="preserve">Surveillance Frequency Control Program </w:t>
      </w:r>
      <w:r w:rsidRPr="00220690">
        <w:rPr>
          <w:rFonts w:ascii="Arial" w:hAnsi="Arial" w:cs="Arial"/>
          <w:sz w:val="22"/>
          <w:szCs w:val="22"/>
        </w:rPr>
        <w:t>I</w:t>
      </w:r>
      <w:r w:rsidR="00D945AC">
        <w:rPr>
          <w:rFonts w:ascii="Arial" w:hAnsi="Arial" w:cs="Arial"/>
          <w:sz w:val="22"/>
          <w:szCs w:val="22"/>
        </w:rPr>
        <w:t>nte</w:t>
      </w:r>
      <w:r w:rsidR="00E72492">
        <w:rPr>
          <w:rFonts w:ascii="Arial" w:hAnsi="Arial" w:cs="Arial"/>
          <w:sz w:val="22"/>
          <w:szCs w:val="22"/>
        </w:rPr>
        <w:t xml:space="preserve">grated </w:t>
      </w:r>
      <w:r w:rsidRPr="00220690">
        <w:rPr>
          <w:rFonts w:ascii="Arial" w:hAnsi="Arial" w:cs="Arial"/>
          <w:sz w:val="22"/>
          <w:szCs w:val="22"/>
        </w:rPr>
        <w:t>D</w:t>
      </w:r>
      <w:r w:rsidR="00E72492">
        <w:rPr>
          <w:rFonts w:ascii="Arial" w:hAnsi="Arial" w:cs="Arial"/>
          <w:sz w:val="22"/>
          <w:szCs w:val="22"/>
        </w:rPr>
        <w:t xml:space="preserve">ecision </w:t>
      </w:r>
      <w:r w:rsidRPr="00220690">
        <w:rPr>
          <w:rFonts w:ascii="Arial" w:hAnsi="Arial" w:cs="Arial"/>
          <w:sz w:val="22"/>
          <w:szCs w:val="22"/>
        </w:rPr>
        <w:t>P</w:t>
      </w:r>
      <w:r w:rsidR="00E72492">
        <w:rPr>
          <w:rFonts w:ascii="Arial" w:hAnsi="Arial" w:cs="Arial"/>
          <w:sz w:val="22"/>
          <w:szCs w:val="22"/>
        </w:rPr>
        <w:t>anel</w:t>
      </w:r>
      <w:r w:rsidRPr="00220690">
        <w:rPr>
          <w:rFonts w:ascii="Arial" w:hAnsi="Arial" w:cs="Arial"/>
          <w:sz w:val="22"/>
          <w:szCs w:val="22"/>
        </w:rPr>
        <w:t>, and suggested removing the proposed integrity assessment program (</w:t>
      </w:r>
      <w:r w:rsidR="00D87876">
        <w:rPr>
          <w:rFonts w:ascii="Arial" w:hAnsi="Arial" w:cs="Arial"/>
          <w:sz w:val="22"/>
          <w:szCs w:val="22"/>
        </w:rPr>
        <w:t>SCWG</w:t>
      </w:r>
      <w:r w:rsidR="00C76C8B">
        <w:rPr>
          <w:rFonts w:ascii="Arial" w:hAnsi="Arial" w:cs="Arial"/>
          <w:sz w:val="22"/>
          <w:szCs w:val="22"/>
        </w:rPr>
        <w:noBreakHyphen/>
      </w:r>
      <w:r w:rsidRPr="00220690">
        <w:rPr>
          <w:rFonts w:ascii="Arial" w:hAnsi="Arial" w:cs="Arial"/>
          <w:sz w:val="22"/>
          <w:szCs w:val="22"/>
        </w:rPr>
        <w:t>0005).</w:t>
      </w:r>
    </w:p>
    <w:p w:rsidR="007F112A" w:rsidRPr="00220690" w:rsidP="00220690" w14:paraId="27203EF8" w14:textId="77777777">
      <w:pPr>
        <w:spacing w:after="220"/>
        <w:rPr>
          <w:rFonts w:ascii="Arial" w:hAnsi="Arial" w:cs="Arial"/>
          <w:sz w:val="22"/>
          <w:szCs w:val="22"/>
        </w:rPr>
      </w:pPr>
      <w:r w:rsidRPr="00220690">
        <w:rPr>
          <w:rFonts w:ascii="Arial" w:hAnsi="Arial" w:cs="Arial"/>
          <w:sz w:val="22"/>
          <w:szCs w:val="22"/>
        </w:rPr>
        <w:t>Another commenter wrote that existing regulations in 10 CFR Part 50 do not include any integrity assessment program, and that the ASME Boiler and Pressure Vessel Code already provides for acceptable comprehensive approaches for reducing risks associated with ongoing degradation issues involving operational reactors, and the proposed rule overrides this program while providing no discernable acceptance criteria. The commenter added that the requirements are decoupled from risk because the “assumption is made that significant danger to the public must flow from the specific mechanisms identified” and “no existing measures exist to alleviate the claimed problem.” The commenter argued that this contradicts the requirements of NEIMA.</w:t>
      </w:r>
    </w:p>
    <w:p w:rsidR="007F112A" w:rsidRPr="00220690" w:rsidP="00220690" w14:paraId="1B1C76C1" w14:textId="77777777">
      <w:pPr>
        <w:spacing w:after="220"/>
        <w:rPr>
          <w:rFonts w:ascii="Arial" w:hAnsi="Arial" w:cs="Arial"/>
          <w:sz w:val="22"/>
          <w:szCs w:val="22"/>
        </w:rPr>
      </w:pPr>
      <w:r w:rsidRPr="00220690">
        <w:rPr>
          <w:rFonts w:ascii="Arial" w:hAnsi="Arial" w:cs="Arial"/>
          <w:sz w:val="22"/>
          <w:szCs w:val="22"/>
        </w:rPr>
        <w:t xml:space="preserve">The commenter wrote that the NRC should remove the integrity assessment program requirements in 10 CFR 53.870, and instead the rule should state that an </w:t>
      </w:r>
      <w:r w:rsidRPr="00220690">
        <w:rPr>
          <w:rFonts w:ascii="Arial" w:hAnsi="Arial" w:cs="Arial"/>
          <w:sz w:val="22"/>
          <w:szCs w:val="22"/>
        </w:rPr>
        <w:t>inservice</w:t>
      </w:r>
      <w:r w:rsidRPr="00220690">
        <w:rPr>
          <w:rFonts w:ascii="Arial" w:hAnsi="Arial" w:cs="Arial"/>
          <w:sz w:val="22"/>
          <w:szCs w:val="22"/>
        </w:rPr>
        <w:t xml:space="preserve"> inspection effort in accordance with ASME code is required for SR components, and the use of ASME code is required for all reactors. The commenter suggested the following revised rule language for 10 CFR 53.870 (</w:t>
      </w:r>
      <w:r w:rsidR="00F66F54">
        <w:rPr>
          <w:rFonts w:ascii="Arial" w:hAnsi="Arial" w:cs="Arial"/>
          <w:sz w:val="22"/>
          <w:szCs w:val="22"/>
        </w:rPr>
        <w:t>HPT4</w:t>
      </w:r>
      <w:r w:rsidRPr="00220690">
        <w:rPr>
          <w:rFonts w:ascii="Arial" w:hAnsi="Arial" w:cs="Arial"/>
          <w:sz w:val="22"/>
          <w:szCs w:val="22"/>
        </w:rPr>
        <w:t xml:space="preserve">-0001, </w:t>
      </w:r>
      <w:r w:rsidR="00F66F54">
        <w:rPr>
          <w:rFonts w:ascii="Arial" w:hAnsi="Arial" w:cs="Arial"/>
          <w:sz w:val="22"/>
          <w:szCs w:val="22"/>
        </w:rPr>
        <w:t>HPT4</w:t>
      </w:r>
      <w:r w:rsidRPr="00220690">
        <w:rPr>
          <w:rFonts w:ascii="Arial" w:hAnsi="Arial" w:cs="Arial"/>
          <w:sz w:val="22"/>
          <w:szCs w:val="22"/>
        </w:rPr>
        <w:t>-0002):</w:t>
      </w:r>
    </w:p>
    <w:p w:rsidR="007F112A" w:rsidRPr="00220690" w:rsidP="00220690" w14:paraId="2E04889B" w14:textId="77777777">
      <w:pPr>
        <w:spacing w:after="220"/>
        <w:ind w:left="720" w:right="720"/>
        <w:rPr>
          <w:rFonts w:ascii="Arial" w:hAnsi="Arial" w:cs="Arial"/>
          <w:sz w:val="22"/>
          <w:szCs w:val="22"/>
        </w:rPr>
      </w:pPr>
      <w:r w:rsidRPr="00220690">
        <w:rPr>
          <w:rFonts w:ascii="Arial" w:hAnsi="Arial" w:cs="Arial"/>
          <w:sz w:val="22"/>
          <w:szCs w:val="22"/>
        </w:rPr>
        <w:t>In-service Inspection Programs.</w:t>
      </w:r>
    </w:p>
    <w:p w:rsidR="007F112A" w:rsidRPr="00220690" w:rsidP="00220690" w14:paraId="7EF96883" w14:textId="77777777">
      <w:pPr>
        <w:spacing w:after="220"/>
        <w:ind w:left="720" w:right="720"/>
        <w:rPr>
          <w:rFonts w:ascii="Arial" w:hAnsi="Arial" w:cs="Arial"/>
          <w:sz w:val="22"/>
          <w:szCs w:val="22"/>
        </w:rPr>
      </w:pPr>
      <w:r w:rsidRPr="00220690">
        <w:rPr>
          <w:rFonts w:ascii="Arial" w:hAnsi="Arial" w:cs="Arial"/>
          <w:sz w:val="22"/>
          <w:szCs w:val="22"/>
        </w:rPr>
        <w:t>Each holder of an OL or COL under this part must develop, implement, and maintain an program to monitor, evaluate, and manage the ongoing fitness for operation of key components—</w:t>
      </w:r>
    </w:p>
    <w:p w:rsidR="007F112A" w:rsidRPr="00220690" w:rsidP="00220690" w14:paraId="412B715C" w14:textId="77777777">
      <w:pPr>
        <w:spacing w:after="220"/>
        <w:ind w:left="720"/>
        <w:rPr>
          <w:rFonts w:ascii="Arial" w:hAnsi="Arial" w:cs="Arial"/>
          <w:sz w:val="22"/>
          <w:szCs w:val="22"/>
        </w:rPr>
      </w:pPr>
      <w:r w:rsidRPr="00220690">
        <w:rPr>
          <w:rFonts w:ascii="Arial" w:hAnsi="Arial" w:cs="Arial"/>
          <w:sz w:val="22"/>
          <w:szCs w:val="22"/>
        </w:rPr>
        <w:t>(a) The program involves surveillances, tests, and inspections conducted, for specific safety-related SSCs employed in conjunction with protecting the public from hazardous radiation (section 210) with the program in accordance with the ASME boiler and pressure vessel code the use of other consensus codes and standards require specific approval by the NRC.</w:t>
      </w:r>
    </w:p>
    <w:p w:rsidR="007F112A" w:rsidRPr="00220690" w:rsidP="00220690" w14:paraId="3AA8B55B" w14:textId="77777777">
      <w:pPr>
        <w:spacing w:after="220"/>
        <w:rPr>
          <w:rFonts w:ascii="Arial" w:eastAsia="Times New Roman" w:hAnsi="Arial" w:cs="Arial"/>
          <w:color w:val="000000"/>
          <w:sz w:val="22"/>
          <w:szCs w:val="22"/>
          <w:lang w:eastAsia="zh-CN"/>
        </w:rPr>
      </w:pPr>
      <w:r w:rsidRPr="00220690">
        <w:rPr>
          <w:rFonts w:ascii="Arial" w:hAnsi="Arial" w:cs="Arial"/>
          <w:sz w:val="22"/>
          <w:szCs w:val="22"/>
        </w:rPr>
        <w:t xml:space="preserve">The commenter wrote that there is nothing in existing requirements under 10 CFR 50.34 analogous to integrity programs, and the NRC is attempting to impose burdensome new requirements that contradict NEIMA. The commenter recommended replacing the integrity assessment program requirement in 10 CFR 53.1239 with </w:t>
      </w:r>
      <w:r w:rsidRPr="00220690">
        <w:rPr>
          <w:rFonts w:ascii="Arial" w:hAnsi="Arial" w:cs="Arial"/>
          <w:sz w:val="22"/>
          <w:szCs w:val="22"/>
        </w:rPr>
        <w:t>inservice</w:t>
      </w:r>
      <w:r w:rsidRPr="00220690">
        <w:rPr>
          <w:rFonts w:ascii="Arial" w:hAnsi="Arial" w:cs="Arial"/>
          <w:sz w:val="22"/>
          <w:szCs w:val="22"/>
        </w:rPr>
        <w:t xml:space="preserve"> inspections and recommended revised rule language (</w:t>
      </w:r>
      <w:r w:rsidR="00F66F54">
        <w:rPr>
          <w:rFonts w:ascii="Arial" w:hAnsi="Arial" w:cs="Arial"/>
          <w:sz w:val="22"/>
          <w:szCs w:val="22"/>
        </w:rPr>
        <w:t>HPT4</w:t>
      </w:r>
      <w:r w:rsidRPr="00220690">
        <w:rPr>
          <w:rFonts w:ascii="Arial" w:hAnsi="Arial" w:cs="Arial"/>
          <w:sz w:val="22"/>
          <w:szCs w:val="22"/>
        </w:rPr>
        <w:t>-0004). The commenter further recommended revising 10 CFR 53.1369 to remove the integrity assessment program (</w:t>
      </w:r>
      <w:r w:rsidR="00F66F54">
        <w:rPr>
          <w:rFonts w:ascii="Arial" w:hAnsi="Arial" w:cs="Arial"/>
          <w:sz w:val="22"/>
          <w:szCs w:val="22"/>
        </w:rPr>
        <w:t>HPT4</w:t>
      </w:r>
      <w:r w:rsidRPr="00220690">
        <w:rPr>
          <w:rFonts w:ascii="Arial" w:hAnsi="Arial" w:cs="Arial"/>
          <w:sz w:val="22"/>
          <w:szCs w:val="22"/>
        </w:rPr>
        <w:t>-0005).</w:t>
      </w:r>
    </w:p>
    <w:p w:rsidR="007F112A" w:rsidRPr="00220690" w:rsidP="00220690" w14:paraId="75424337"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disagrees with the comments.</w:t>
      </w:r>
    </w:p>
    <w:p w:rsidR="007F112A" w:rsidRPr="00220690" w:rsidP="00220690" w14:paraId="0A19890C" w14:textId="77777777">
      <w:pPr>
        <w:spacing w:after="220"/>
        <w:rPr>
          <w:rFonts w:ascii="Arial" w:hAnsi="Arial" w:cs="Arial"/>
          <w:sz w:val="22"/>
          <w:szCs w:val="22"/>
        </w:rPr>
      </w:pPr>
      <w:r w:rsidRPr="00220690">
        <w:rPr>
          <w:rFonts w:ascii="Arial" w:hAnsi="Arial" w:cs="Arial"/>
          <w:sz w:val="22"/>
          <w:szCs w:val="22"/>
        </w:rPr>
        <w:t>As explained in the proposed and final rules, including requirements in 10 CFR Part 53 related to designing and monitoring for possible degradation mechanisms reflects important lessons learned from the history of LWRs and the likely introduction of new design features and materials in future commercial nuclear plants. The NRC recognizes that some consensus codes and standards such as ASME Section XI, Division 2, “Reliability and Integrity Management (RIM)” could be useful in fulfilling the requirements for integrity assessment programs in 10 CFR 53.870. The NRC disagrees that use of the ASME code should be required for all reactors in lieu of an integrity assessment program. The NRC seeks to provide greater flexibility in 10</w:t>
      </w:r>
      <w:r w:rsidRPr="00220690" w:rsidR="00702750">
        <w:rPr>
          <w:rFonts w:ascii="Arial" w:hAnsi="Arial" w:cs="Arial"/>
          <w:sz w:val="22"/>
          <w:szCs w:val="22"/>
        </w:rPr>
        <w:t> </w:t>
      </w:r>
      <w:r w:rsidRPr="00220690">
        <w:rPr>
          <w:rFonts w:ascii="Arial" w:hAnsi="Arial" w:cs="Arial"/>
          <w:sz w:val="22"/>
          <w:szCs w:val="22"/>
        </w:rPr>
        <w:t xml:space="preserve">CFR Part 53 by not requiring the use of certain portions of the ASME </w:t>
      </w:r>
      <w:r w:rsidR="003100B6">
        <w:rPr>
          <w:rFonts w:ascii="Arial" w:hAnsi="Arial" w:cs="Arial"/>
          <w:sz w:val="22"/>
          <w:szCs w:val="22"/>
        </w:rPr>
        <w:t>c</w:t>
      </w:r>
      <w:r w:rsidRPr="00220690">
        <w:rPr>
          <w:rFonts w:ascii="Arial" w:hAnsi="Arial" w:cs="Arial"/>
          <w:sz w:val="22"/>
          <w:szCs w:val="22"/>
        </w:rPr>
        <w:t xml:space="preserve">ode, as is currently done in </w:t>
      </w:r>
      <w:r w:rsidR="008E6DBA">
        <w:rPr>
          <w:rFonts w:ascii="Arial" w:hAnsi="Arial" w:cs="Arial"/>
          <w:sz w:val="22"/>
          <w:szCs w:val="22"/>
        </w:rPr>
        <w:br/>
      </w:r>
      <w:r w:rsidRPr="00220690">
        <w:rPr>
          <w:rFonts w:ascii="Arial" w:hAnsi="Arial" w:cs="Arial"/>
          <w:sz w:val="22"/>
          <w:szCs w:val="22"/>
        </w:rPr>
        <w:t>10 CFR Part 50, and instead allowing the applicant or licensee to define what is necessary to maintain the integrity of facility SSCs.</w:t>
      </w:r>
    </w:p>
    <w:p w:rsidR="007F112A" w:rsidRPr="00220690" w:rsidP="00220690" w14:paraId="10AB52C6" w14:textId="77777777">
      <w:pPr>
        <w:spacing w:after="220"/>
        <w:rPr>
          <w:rFonts w:ascii="Arial" w:hAnsi="Arial" w:cs="Arial"/>
          <w:sz w:val="22"/>
          <w:szCs w:val="22"/>
        </w:rPr>
      </w:pPr>
      <w:r w:rsidRPr="00220690">
        <w:rPr>
          <w:rFonts w:ascii="Arial" w:hAnsi="Arial" w:cs="Arial"/>
          <w:sz w:val="22"/>
          <w:szCs w:val="22"/>
        </w:rPr>
        <w:t xml:space="preserve">In addition, consensus codes and standards other </w:t>
      </w:r>
      <w:r w:rsidRPr="00220690" w:rsidR="00F85BED">
        <w:rPr>
          <w:rFonts w:ascii="Arial" w:hAnsi="Arial" w:cs="Arial"/>
          <w:sz w:val="22"/>
          <w:szCs w:val="22"/>
        </w:rPr>
        <w:t xml:space="preserve">than </w:t>
      </w:r>
      <w:r w:rsidRPr="00220690">
        <w:rPr>
          <w:rFonts w:ascii="Arial" w:hAnsi="Arial" w:cs="Arial"/>
          <w:sz w:val="22"/>
          <w:szCs w:val="22"/>
        </w:rPr>
        <w:t>ASME Section XI, Division 2</w:t>
      </w:r>
      <w:r w:rsidR="00033DB8">
        <w:rPr>
          <w:rFonts w:ascii="Arial" w:hAnsi="Arial" w:cs="Arial"/>
          <w:sz w:val="22"/>
          <w:szCs w:val="22"/>
        </w:rPr>
        <w:t>,</w:t>
      </w:r>
      <w:r w:rsidRPr="00220690" w:rsidR="00F85BED">
        <w:rPr>
          <w:rFonts w:ascii="Arial" w:hAnsi="Arial" w:cs="Arial"/>
          <w:sz w:val="22"/>
          <w:szCs w:val="22"/>
        </w:rPr>
        <w:t xml:space="preserve"> </w:t>
      </w:r>
      <w:r w:rsidRPr="00220690">
        <w:rPr>
          <w:rFonts w:ascii="Arial" w:hAnsi="Arial" w:cs="Arial"/>
          <w:sz w:val="22"/>
          <w:szCs w:val="22"/>
        </w:rPr>
        <w:t xml:space="preserve">covering </w:t>
      </w:r>
      <w:r w:rsidRPr="00220690">
        <w:rPr>
          <w:rFonts w:ascii="Arial" w:hAnsi="Arial" w:cs="Arial"/>
          <w:sz w:val="22"/>
          <w:szCs w:val="22"/>
        </w:rPr>
        <w:t>inservice</w:t>
      </w:r>
      <w:r w:rsidRPr="00220690">
        <w:rPr>
          <w:rFonts w:ascii="Arial" w:hAnsi="Arial" w:cs="Arial"/>
          <w:sz w:val="22"/>
          <w:szCs w:val="22"/>
        </w:rPr>
        <w:t xml:space="preserve"> inspections do not directly address the identification and monitoring of all degradation mechanisms and so gaps could be introduced. </w:t>
      </w:r>
      <w:r w:rsidRPr="00220690" w:rsidR="176D52AD">
        <w:rPr>
          <w:rFonts w:ascii="Arial" w:hAnsi="Arial" w:cs="Arial"/>
          <w:sz w:val="22"/>
          <w:szCs w:val="22"/>
        </w:rPr>
        <w:t xml:space="preserve">One </w:t>
      </w:r>
      <w:r w:rsidRPr="00220690" w:rsidR="3E43BF4C">
        <w:rPr>
          <w:rFonts w:ascii="Arial" w:hAnsi="Arial" w:cs="Arial"/>
          <w:sz w:val="22"/>
          <w:szCs w:val="22"/>
        </w:rPr>
        <w:t>e</w:t>
      </w:r>
      <w:r w:rsidRPr="00220690" w:rsidR="5F5A1FFE">
        <w:rPr>
          <w:rFonts w:ascii="Arial" w:hAnsi="Arial" w:cs="Arial"/>
          <w:sz w:val="22"/>
          <w:szCs w:val="22"/>
        </w:rPr>
        <w:t>xample</w:t>
      </w:r>
      <w:r w:rsidRPr="00220690">
        <w:rPr>
          <w:rFonts w:ascii="Arial" w:hAnsi="Arial" w:cs="Arial"/>
          <w:sz w:val="22"/>
          <w:szCs w:val="22"/>
        </w:rPr>
        <w:t xml:space="preserve"> of such a gap </w:t>
      </w:r>
      <w:r w:rsidRPr="00220690" w:rsidR="36452D26">
        <w:rPr>
          <w:rFonts w:ascii="Arial" w:hAnsi="Arial" w:cs="Arial"/>
          <w:sz w:val="22"/>
          <w:szCs w:val="22"/>
        </w:rPr>
        <w:t xml:space="preserve">that </w:t>
      </w:r>
      <w:r w:rsidRPr="00220690">
        <w:rPr>
          <w:rFonts w:ascii="Arial" w:hAnsi="Arial" w:cs="Arial"/>
          <w:sz w:val="22"/>
          <w:szCs w:val="22"/>
        </w:rPr>
        <w:t xml:space="preserve">resulted in the need for supplemental programs for operating LWRs </w:t>
      </w:r>
      <w:r w:rsidRPr="00220690" w:rsidR="4FCFF10A">
        <w:rPr>
          <w:rFonts w:ascii="Arial" w:hAnsi="Arial" w:cs="Arial"/>
          <w:sz w:val="22"/>
          <w:szCs w:val="22"/>
        </w:rPr>
        <w:t xml:space="preserve">was the </w:t>
      </w:r>
      <w:r w:rsidRPr="00220690">
        <w:rPr>
          <w:rFonts w:ascii="Arial" w:hAnsi="Arial" w:cs="Arial"/>
          <w:sz w:val="22"/>
          <w:szCs w:val="22"/>
        </w:rPr>
        <w:t>issue</w:t>
      </w:r>
      <w:r w:rsidR="00B354D1">
        <w:rPr>
          <w:rFonts w:ascii="Arial" w:hAnsi="Arial" w:cs="Arial"/>
          <w:sz w:val="22"/>
          <w:szCs w:val="22"/>
        </w:rPr>
        <w:t xml:space="preserve"> </w:t>
      </w:r>
      <w:r w:rsidRPr="00220690" w:rsidR="292E8E9A">
        <w:rPr>
          <w:rFonts w:ascii="Arial" w:hAnsi="Arial" w:cs="Arial"/>
          <w:sz w:val="22"/>
          <w:szCs w:val="22"/>
        </w:rPr>
        <w:t>of</w:t>
      </w:r>
      <w:r w:rsidRPr="00220690">
        <w:rPr>
          <w:rFonts w:ascii="Arial" w:hAnsi="Arial" w:cs="Arial"/>
          <w:sz w:val="22"/>
          <w:szCs w:val="22"/>
        </w:rPr>
        <w:t xml:space="preserve"> intergranular stress corrosion cracking of materials used in the primary coolant systems. To the degree that an applicant or licensee identifies efficiencies in combining programs or to satisfy 10 CFR 53.870 (integrity assessment) and 10 CFR 53.880 (</w:t>
      </w:r>
      <w:r w:rsidRPr="00220690">
        <w:rPr>
          <w:rFonts w:ascii="Arial" w:hAnsi="Arial" w:cs="Arial"/>
          <w:sz w:val="22"/>
          <w:szCs w:val="22"/>
        </w:rPr>
        <w:t>inservice</w:t>
      </w:r>
      <w:r w:rsidRPr="00220690">
        <w:rPr>
          <w:rFonts w:ascii="Arial" w:hAnsi="Arial" w:cs="Arial"/>
          <w:sz w:val="22"/>
          <w:szCs w:val="22"/>
        </w:rPr>
        <w:t xml:space="preserve"> inspection and </w:t>
      </w:r>
      <w:r w:rsidRPr="00220690">
        <w:rPr>
          <w:rFonts w:ascii="Arial" w:hAnsi="Arial" w:cs="Arial"/>
          <w:sz w:val="22"/>
          <w:szCs w:val="22"/>
        </w:rPr>
        <w:t>inservice</w:t>
      </w:r>
      <w:r w:rsidRPr="00220690">
        <w:rPr>
          <w:rFonts w:ascii="Arial" w:hAnsi="Arial" w:cs="Arial"/>
          <w:sz w:val="22"/>
          <w:szCs w:val="22"/>
        </w:rPr>
        <w:t xml:space="preserve"> testing), 10</w:t>
      </w:r>
      <w:r w:rsidR="00FC3CD2">
        <w:rPr>
          <w:rFonts w:ascii="Arial" w:hAnsi="Arial" w:cs="Arial"/>
          <w:sz w:val="22"/>
          <w:szCs w:val="22"/>
        </w:rPr>
        <w:t> </w:t>
      </w:r>
      <w:r w:rsidRPr="00220690">
        <w:rPr>
          <w:rFonts w:ascii="Arial" w:hAnsi="Arial" w:cs="Arial"/>
          <w:sz w:val="22"/>
          <w:szCs w:val="22"/>
        </w:rPr>
        <w:t>CFR</w:t>
      </w:r>
      <w:r w:rsidR="00FC3CD2">
        <w:rPr>
          <w:rFonts w:ascii="Arial" w:hAnsi="Arial" w:cs="Arial"/>
          <w:sz w:val="22"/>
          <w:szCs w:val="22"/>
        </w:rPr>
        <w:t> </w:t>
      </w:r>
      <w:r w:rsidRPr="00220690">
        <w:rPr>
          <w:rFonts w:ascii="Arial" w:hAnsi="Arial" w:cs="Arial"/>
          <w:sz w:val="22"/>
          <w:szCs w:val="22"/>
        </w:rPr>
        <w:t xml:space="preserve">53.845 allows licensees to combine, separate, and otherwise organize programs and related documents as appropriate for the technologies and organizations associated with the commercial nuclear plant. As noted in the response to </w:t>
      </w:r>
      <w:r w:rsidRPr="009D2576" w:rsidR="009D2576">
        <w:rPr>
          <w:rFonts w:ascii="Arial" w:hAnsi="Arial" w:cs="Arial"/>
          <w:sz w:val="22"/>
          <w:szCs w:val="22"/>
        </w:rPr>
        <w:t>Comment Bin 3.6.1.G</w:t>
      </w:r>
      <w:r w:rsidRPr="00220690">
        <w:rPr>
          <w:rFonts w:ascii="Arial" w:hAnsi="Arial" w:cs="Arial"/>
          <w:sz w:val="22"/>
          <w:szCs w:val="22"/>
        </w:rPr>
        <w:t>, applicants and licensees are likewise able to organize the associated expert panels to minimize duplication of efforts and improve efficiencies.</w:t>
      </w:r>
    </w:p>
    <w:p w:rsidR="007F112A" w:rsidRPr="00220690" w:rsidP="00220690" w14:paraId="17933F5D"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the</w:t>
      </w:r>
      <w:r w:rsidRPr="00220690" w:rsidR="00A61F08">
        <w:rPr>
          <w:rFonts w:ascii="Arial" w:hAnsi="Arial" w:cs="Arial"/>
          <w:sz w:val="22"/>
          <w:szCs w:val="22"/>
        </w:rPr>
        <w:t>se</w:t>
      </w:r>
      <w:r w:rsidRPr="00220690">
        <w:rPr>
          <w:rFonts w:ascii="Arial" w:hAnsi="Arial" w:cs="Arial"/>
          <w:sz w:val="22"/>
          <w:szCs w:val="22"/>
        </w:rPr>
        <w:t xml:space="preserve"> comment</w:t>
      </w:r>
      <w:r w:rsidRPr="00220690" w:rsidR="00A61F08">
        <w:rPr>
          <w:rFonts w:ascii="Arial" w:hAnsi="Arial" w:cs="Arial"/>
          <w:sz w:val="22"/>
          <w:szCs w:val="22"/>
        </w:rPr>
        <w:t>s</w:t>
      </w:r>
      <w:r w:rsidRPr="00220690">
        <w:rPr>
          <w:rFonts w:ascii="Arial" w:hAnsi="Arial" w:cs="Arial"/>
          <w:sz w:val="22"/>
          <w:szCs w:val="22"/>
        </w:rPr>
        <w:t>.</w:t>
      </w:r>
    </w:p>
    <w:p w:rsidR="007F112A" w:rsidRPr="00220690" w:rsidP="00220690" w14:paraId="06F28690" w14:textId="77777777">
      <w:pPr>
        <w:spacing w:after="220"/>
        <w:rPr>
          <w:rFonts w:ascii="Arial" w:hAnsi="Arial" w:cs="Arial"/>
          <w:sz w:val="22"/>
          <w:szCs w:val="22"/>
        </w:rPr>
      </w:pPr>
      <w:r>
        <w:rPr>
          <w:rFonts w:ascii="Arial" w:eastAsia="Times New Roman" w:hAnsi="Arial" w:cs="Arial"/>
          <w:sz w:val="22"/>
          <w:szCs w:val="22"/>
          <w:lang w:eastAsia="zh-CN"/>
        </w:rPr>
        <w:pict>
          <v:rect id="_x0000_i1218" style="width:0;height:1.5pt" o:hralign="center" o:hrstd="t" o:hrnoshade="t" o:hr="t" fillcolor="black" stroked="f"/>
        </w:pict>
      </w:r>
    </w:p>
    <w:p w:rsidR="007F112A" w:rsidRPr="00220690" w:rsidP="00220690" w14:paraId="2121097F" w14:textId="77777777">
      <w:pPr>
        <w:spacing w:after="220"/>
        <w:rPr>
          <w:rFonts w:ascii="Arial" w:eastAsia="Times New Roman" w:hAnsi="Arial" w:cs="Arial"/>
          <w:color w:val="000000"/>
          <w:sz w:val="22"/>
          <w:szCs w:val="22"/>
          <w:lang w:eastAsia="zh-CN"/>
        </w:rPr>
      </w:pPr>
      <w:r w:rsidRPr="00220690">
        <w:rPr>
          <w:rFonts w:ascii="Arial" w:eastAsia="DengXian" w:hAnsi="Arial" w:cs="Arial"/>
          <w:b/>
          <w:sz w:val="22"/>
          <w:szCs w:val="22"/>
        </w:rPr>
        <w:t>Comment Bin 3.6.3.4.</w:t>
      </w:r>
      <w:r w:rsidRPr="00220690" w:rsidR="0079293D">
        <w:rPr>
          <w:rFonts w:ascii="Arial" w:eastAsia="DengXian" w:hAnsi="Arial" w:cs="Arial"/>
          <w:b/>
          <w:sz w:val="22"/>
          <w:szCs w:val="22"/>
        </w:rPr>
        <w:t>B</w:t>
      </w:r>
      <w:r w:rsidRPr="00220690">
        <w:rPr>
          <w:rFonts w:ascii="Arial" w:eastAsia="DengXian" w:hAnsi="Arial" w:cs="Arial"/>
          <w:b/>
          <w:sz w:val="22"/>
          <w:szCs w:val="22"/>
        </w:rPr>
        <w:t>:</w:t>
      </w:r>
      <w:r w:rsidRPr="00220690">
        <w:rPr>
          <w:rFonts w:ascii="Arial" w:eastAsia="DengXian" w:hAnsi="Arial" w:cs="Arial"/>
          <w:sz w:val="22"/>
          <w:szCs w:val="22"/>
        </w:rPr>
        <w:t xml:space="preserve"> </w:t>
      </w:r>
      <w:r w:rsidRPr="00220690">
        <w:rPr>
          <w:rFonts w:ascii="Arial" w:hAnsi="Arial" w:cs="Arial"/>
          <w:sz w:val="22"/>
          <w:szCs w:val="22"/>
        </w:rPr>
        <w:t>A commenter wrote that they supported the inclusion of language regarding degradation mechanisms, but added that the “degradation mechanisms of aging, fatigue, embrittlement, chemical interactions, operating temperatures, effects of irradiation, corrosion, and other environmental factors, and the collective and cumulative synergistic effects of such factors that may affect the performance of SR and NSRSS SSCs” should also be included in the final rule. The commenter also requested that the NRC continue to identify and incorporate lessons learned from the commercial industry to better equip the safe operation of advanced reactors (</w:t>
      </w:r>
      <w:r w:rsidR="00E36F7E">
        <w:rPr>
          <w:rFonts w:ascii="Arial" w:hAnsi="Arial" w:cs="Arial"/>
          <w:sz w:val="22"/>
          <w:szCs w:val="22"/>
        </w:rPr>
        <w:t>NYS2</w:t>
      </w:r>
      <w:r w:rsidRPr="00220690">
        <w:rPr>
          <w:rFonts w:ascii="Arial" w:hAnsi="Arial" w:cs="Arial"/>
          <w:sz w:val="22"/>
          <w:szCs w:val="22"/>
        </w:rPr>
        <w:t>-0016). </w:t>
      </w:r>
    </w:p>
    <w:p w:rsidR="007F112A" w:rsidRPr="00220690" w:rsidP="00220690" w14:paraId="0B76160C"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agrees, in part, with the comment.</w:t>
      </w:r>
    </w:p>
    <w:p w:rsidR="00D538B7" w:rsidP="00220690" w14:paraId="4C3873B8" w14:textId="77777777">
      <w:pPr>
        <w:spacing w:after="220"/>
        <w:rPr>
          <w:rFonts w:ascii="Arial" w:hAnsi="Arial" w:cs="Arial"/>
          <w:sz w:val="22"/>
          <w:szCs w:val="22"/>
        </w:rPr>
        <w:sectPr>
          <w:pgSz w:w="12240" w:h="15840"/>
          <w:pgMar w:top="1440" w:right="1440" w:bottom="1440" w:left="1440" w:header="720" w:footer="720" w:gutter="0"/>
          <w:cols w:space="720"/>
          <w:docGrid w:linePitch="360"/>
        </w:sectPr>
      </w:pPr>
      <w:r w:rsidRPr="00220690">
        <w:rPr>
          <w:rFonts w:ascii="Arial" w:hAnsi="Arial" w:cs="Arial"/>
          <w:sz w:val="22"/>
          <w:szCs w:val="22"/>
        </w:rPr>
        <w:t xml:space="preserve">The comment largely favors the inclusion of an integrity assessment program as included in the proposed and final rules. The NRC does not take issue with the expanded list of possible degradation mechanisms or the need to consider combined or synergistic effects of the various degradation mechanisms. However, the NRC believes that the </w:t>
      </w:r>
      <w:r w:rsidR="008825D7">
        <w:rPr>
          <w:rFonts w:ascii="Arial" w:hAnsi="Arial" w:cs="Arial"/>
          <w:sz w:val="22"/>
          <w:szCs w:val="22"/>
        </w:rPr>
        <w:t>description</w:t>
      </w:r>
      <w:r w:rsidRPr="00220690">
        <w:rPr>
          <w:rFonts w:ascii="Arial" w:hAnsi="Arial" w:cs="Arial"/>
          <w:sz w:val="22"/>
          <w:szCs w:val="22"/>
        </w:rPr>
        <w:t xml:space="preserve"> </w:t>
      </w:r>
      <w:r w:rsidR="0007631C">
        <w:rPr>
          <w:rFonts w:ascii="Arial" w:hAnsi="Arial" w:cs="Arial"/>
          <w:sz w:val="22"/>
          <w:szCs w:val="22"/>
        </w:rPr>
        <w:t xml:space="preserve">of degradation mechanisms </w:t>
      </w:r>
      <w:r w:rsidRPr="00220690">
        <w:rPr>
          <w:rFonts w:ascii="Arial" w:hAnsi="Arial" w:cs="Arial"/>
          <w:sz w:val="22"/>
          <w:szCs w:val="22"/>
        </w:rPr>
        <w:t>included in the rule</w:t>
      </w:r>
      <w:r w:rsidR="00877A1B">
        <w:rPr>
          <w:rFonts w:ascii="Arial" w:hAnsi="Arial" w:cs="Arial"/>
          <w:sz w:val="22"/>
          <w:szCs w:val="22"/>
        </w:rPr>
        <w:t xml:space="preserve"> in 10 CFR 53.870</w:t>
      </w:r>
      <w:r w:rsidR="00ED732D">
        <w:rPr>
          <w:rFonts w:ascii="Arial" w:hAnsi="Arial" w:cs="Arial"/>
          <w:sz w:val="22"/>
          <w:szCs w:val="22"/>
        </w:rPr>
        <w:t>(c)</w:t>
      </w:r>
      <w:r w:rsidRPr="00220690">
        <w:rPr>
          <w:rFonts w:ascii="Arial" w:hAnsi="Arial" w:cs="Arial"/>
          <w:sz w:val="22"/>
          <w:szCs w:val="22"/>
        </w:rPr>
        <w:t>, including the broad “other environmental factors,” provides adequate requirements for integrity assessments under the design and program sections in 10</w:t>
      </w:r>
      <w:r w:rsidR="008A66C7">
        <w:rPr>
          <w:rFonts w:ascii="Arial" w:hAnsi="Arial" w:cs="Arial"/>
          <w:sz w:val="22"/>
          <w:szCs w:val="22"/>
        </w:rPr>
        <w:t> </w:t>
      </w:r>
      <w:r w:rsidRPr="00220690">
        <w:rPr>
          <w:rFonts w:ascii="Arial" w:hAnsi="Arial" w:cs="Arial"/>
          <w:sz w:val="22"/>
          <w:szCs w:val="22"/>
        </w:rPr>
        <w:t>CFR</w:t>
      </w:r>
      <w:r w:rsidR="008A66C7">
        <w:rPr>
          <w:rFonts w:ascii="Arial" w:hAnsi="Arial" w:cs="Arial"/>
          <w:sz w:val="22"/>
          <w:szCs w:val="22"/>
        </w:rPr>
        <w:t> </w:t>
      </w:r>
      <w:r w:rsidRPr="00220690">
        <w:rPr>
          <w:rFonts w:ascii="Arial" w:hAnsi="Arial" w:cs="Arial"/>
          <w:sz w:val="22"/>
          <w:szCs w:val="22"/>
        </w:rPr>
        <w:t>Part</w:t>
      </w:r>
      <w:r w:rsidR="008A66C7">
        <w:rPr>
          <w:rFonts w:ascii="Arial" w:hAnsi="Arial" w:cs="Arial"/>
          <w:sz w:val="22"/>
          <w:szCs w:val="22"/>
        </w:rPr>
        <w:t> </w:t>
      </w:r>
      <w:r w:rsidRPr="00220690">
        <w:rPr>
          <w:rFonts w:ascii="Arial" w:hAnsi="Arial" w:cs="Arial"/>
          <w:sz w:val="22"/>
          <w:szCs w:val="22"/>
        </w:rPr>
        <w:t xml:space="preserve">53. As explained in the </w:t>
      </w:r>
      <w:r w:rsidR="00AC2C51">
        <w:rPr>
          <w:rFonts w:ascii="Arial" w:hAnsi="Arial" w:cs="Arial"/>
          <w:sz w:val="22"/>
          <w:szCs w:val="22"/>
        </w:rPr>
        <w:t xml:space="preserve">NRC’s </w:t>
      </w:r>
      <w:r w:rsidRPr="00220690">
        <w:rPr>
          <w:rFonts w:ascii="Arial" w:hAnsi="Arial" w:cs="Arial"/>
          <w:sz w:val="22"/>
          <w:szCs w:val="22"/>
        </w:rPr>
        <w:t xml:space="preserve">response to </w:t>
      </w:r>
      <w:r w:rsidRPr="00AC2C51" w:rsidR="00AC2C51">
        <w:rPr>
          <w:rFonts w:ascii="Arial" w:hAnsi="Arial" w:cs="Arial"/>
          <w:sz w:val="22"/>
          <w:szCs w:val="22"/>
        </w:rPr>
        <w:t>Comment Bin 3.6.3.4.C</w:t>
      </w:r>
      <w:r w:rsidRPr="00220690">
        <w:rPr>
          <w:rFonts w:ascii="Arial" w:hAnsi="Arial" w:cs="Arial"/>
          <w:sz w:val="22"/>
          <w:szCs w:val="22"/>
        </w:rPr>
        <w:t xml:space="preserve">, the development of additional guidance related to 10 CFR 53.870 will provide an </w:t>
      </w:r>
      <w:r w:rsidR="00682EAB">
        <w:rPr>
          <w:rFonts w:ascii="Arial" w:hAnsi="Arial" w:cs="Arial"/>
          <w:sz w:val="22"/>
          <w:szCs w:val="22"/>
        </w:rPr>
        <w:t xml:space="preserve">additional </w:t>
      </w:r>
      <w:r w:rsidRPr="00220690">
        <w:rPr>
          <w:rFonts w:ascii="Arial" w:hAnsi="Arial" w:cs="Arial"/>
          <w:sz w:val="22"/>
          <w:szCs w:val="22"/>
        </w:rPr>
        <w:t>opportunity to emphasize a systematic approach to the identification of and monitoring for degradation mechanisms and the need to consider synergistic effects.</w:t>
      </w:r>
    </w:p>
    <w:p w:rsidR="007F112A" w:rsidP="00220690" w14:paraId="2CBC3DE0"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the comment.</w:t>
      </w:r>
    </w:p>
    <w:p w:rsidR="007F112A" w:rsidP="00220690" w14:paraId="4C9E80A8" w14:textId="77777777">
      <w:pPr>
        <w:spacing w:after="220"/>
        <w:rPr>
          <w:rFonts w:ascii="Arial" w:hAnsi="Arial" w:cs="Arial"/>
          <w:sz w:val="22"/>
          <w:szCs w:val="22"/>
        </w:rPr>
      </w:pPr>
      <w:r>
        <w:rPr>
          <w:rFonts w:ascii="Arial" w:eastAsia="Times New Roman" w:hAnsi="Arial" w:cs="Arial"/>
          <w:sz w:val="22"/>
          <w:szCs w:val="22"/>
          <w:lang w:eastAsia="zh-CN"/>
        </w:rPr>
        <w:pict>
          <v:rect id="_x0000_i1219" style="width:0;height:1.5pt" o:hralign="center" o:hrstd="t" o:hrnoshade="t" o:hr="t" fillcolor="black" stroked="f"/>
        </w:pict>
      </w:r>
    </w:p>
    <w:p w:rsidR="007F112A" w:rsidRPr="00220690" w:rsidP="00220690" w14:paraId="77BA9567" w14:textId="77777777">
      <w:pPr>
        <w:spacing w:after="220"/>
        <w:rPr>
          <w:rFonts w:ascii="Arial" w:eastAsia="Times New Roman" w:hAnsi="Arial" w:cs="Arial"/>
          <w:color w:val="000000"/>
          <w:sz w:val="22"/>
          <w:szCs w:val="22"/>
          <w:lang w:eastAsia="zh-CN"/>
        </w:rPr>
      </w:pPr>
      <w:r w:rsidRPr="00220690">
        <w:rPr>
          <w:rFonts w:ascii="Arial" w:eastAsia="DengXian" w:hAnsi="Arial" w:cs="Arial"/>
          <w:b/>
          <w:sz w:val="22"/>
          <w:szCs w:val="22"/>
        </w:rPr>
        <w:t>Comment Bin 3.6.3.4.C:</w:t>
      </w:r>
      <w:r w:rsidRPr="00220690">
        <w:rPr>
          <w:rFonts w:ascii="Arial" w:eastAsia="DengXian" w:hAnsi="Arial" w:cs="Arial"/>
          <w:sz w:val="22"/>
          <w:szCs w:val="22"/>
        </w:rPr>
        <w:t xml:space="preserve"> </w:t>
      </w:r>
      <w:r w:rsidRPr="00220690">
        <w:rPr>
          <w:rFonts w:ascii="Arial" w:hAnsi="Arial" w:cs="Arial"/>
          <w:sz w:val="22"/>
          <w:szCs w:val="22"/>
        </w:rPr>
        <w:t>A commenter wrote that 10 CFR 53.870 is not needed given the Reliability and Integrity Management (RIM) provisions of ASME Section XI</w:t>
      </w:r>
      <w:r w:rsidRPr="00220690" w:rsidR="00237DD9">
        <w:rPr>
          <w:rFonts w:ascii="Arial" w:hAnsi="Arial" w:cs="Arial"/>
          <w:sz w:val="22"/>
          <w:szCs w:val="22"/>
        </w:rPr>
        <w:t>,</w:t>
      </w:r>
      <w:r w:rsidRPr="00220690">
        <w:rPr>
          <w:rFonts w:ascii="Arial" w:hAnsi="Arial" w:cs="Arial"/>
          <w:sz w:val="22"/>
          <w:szCs w:val="22"/>
        </w:rPr>
        <w:t xml:space="preserve"> Division</w:t>
      </w:r>
      <w:r w:rsidRPr="00220690" w:rsidR="00CB50A5">
        <w:rPr>
          <w:rFonts w:ascii="Arial" w:hAnsi="Arial" w:cs="Arial"/>
          <w:sz w:val="22"/>
          <w:szCs w:val="22"/>
        </w:rPr>
        <w:t> </w:t>
      </w:r>
      <w:r w:rsidRPr="00220690">
        <w:rPr>
          <w:rFonts w:ascii="Arial" w:hAnsi="Arial" w:cs="Arial"/>
          <w:sz w:val="22"/>
          <w:szCs w:val="22"/>
        </w:rPr>
        <w:t>2</w:t>
      </w:r>
      <w:r w:rsidR="00033DB8">
        <w:rPr>
          <w:rFonts w:ascii="Arial" w:hAnsi="Arial" w:cs="Arial"/>
          <w:sz w:val="22"/>
          <w:szCs w:val="22"/>
        </w:rPr>
        <w:t>,</w:t>
      </w:r>
      <w:r w:rsidRPr="00220690">
        <w:rPr>
          <w:rFonts w:ascii="Arial" w:hAnsi="Arial" w:cs="Arial"/>
          <w:sz w:val="22"/>
          <w:szCs w:val="22"/>
        </w:rPr>
        <w:t xml:space="preserve"> as endorsed in RG 1.246 along with the Maintenance Rule requirements in 10 CFR 53.715. The commenter wrote that if 10 CFR 53.870 remains as is, then guidance will need to be developed to support implementation of the required program (</w:t>
      </w:r>
      <w:r w:rsidR="00DF6CD2">
        <w:rPr>
          <w:rFonts w:ascii="Arial" w:hAnsi="Arial" w:cs="Arial"/>
          <w:sz w:val="22"/>
          <w:szCs w:val="22"/>
        </w:rPr>
        <w:t>NEI3</w:t>
      </w:r>
      <w:r w:rsidRPr="00220690">
        <w:rPr>
          <w:rFonts w:ascii="Arial" w:hAnsi="Arial" w:cs="Arial"/>
          <w:sz w:val="22"/>
          <w:szCs w:val="22"/>
        </w:rPr>
        <w:t>-0021). </w:t>
      </w:r>
    </w:p>
    <w:p w:rsidR="00237DD9" w:rsidRPr="00220690" w:rsidP="00220690" w14:paraId="4C029198"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sidR="00F64A03">
        <w:rPr>
          <w:rFonts w:ascii="Arial" w:eastAsia="DengXian" w:hAnsi="Arial" w:cs="Arial"/>
          <w:sz w:val="22"/>
          <w:szCs w:val="22"/>
        </w:rPr>
        <w:t>T</w:t>
      </w:r>
      <w:r w:rsidRPr="00220690">
        <w:rPr>
          <w:rFonts w:ascii="Arial" w:hAnsi="Arial" w:cs="Arial"/>
          <w:sz w:val="22"/>
          <w:szCs w:val="22"/>
        </w:rPr>
        <w:t>he NRC agrees, in part, with the comment.</w:t>
      </w:r>
    </w:p>
    <w:p w:rsidR="007F112A" w:rsidRPr="00220690" w:rsidP="00220690" w14:paraId="199853C1" w14:textId="77777777">
      <w:pPr>
        <w:spacing w:after="220"/>
        <w:rPr>
          <w:rFonts w:ascii="Arial" w:hAnsi="Arial" w:cs="Arial"/>
          <w:sz w:val="22"/>
          <w:szCs w:val="22"/>
        </w:rPr>
      </w:pPr>
      <w:r w:rsidRPr="00220690">
        <w:rPr>
          <w:rFonts w:ascii="Arial" w:hAnsi="Arial" w:cs="Arial"/>
          <w:sz w:val="22"/>
          <w:szCs w:val="22"/>
        </w:rPr>
        <w:t xml:space="preserve">The NRC will work with standards development organizations, industry organizations, and other stakeholders to endorse consensus codes or standards or other documents and will, as necessary, independently develop guidance to address this and other requirements in 10 CFR Part 53. </w:t>
      </w:r>
      <w:r w:rsidR="00AB5589">
        <w:rPr>
          <w:rFonts w:ascii="Arial" w:hAnsi="Arial" w:cs="Arial"/>
          <w:sz w:val="22"/>
          <w:szCs w:val="22"/>
        </w:rPr>
        <w:t>T</w:t>
      </w:r>
      <w:r w:rsidRPr="00AB5589" w:rsidR="00AB5589">
        <w:rPr>
          <w:rFonts w:ascii="Arial" w:hAnsi="Arial" w:cs="Arial"/>
          <w:sz w:val="22"/>
          <w:szCs w:val="22"/>
        </w:rPr>
        <w:t>he NRC acknowledges in the response to Comment Bin 8.10.</w:t>
      </w:r>
      <w:r w:rsidR="00E17670">
        <w:rPr>
          <w:rFonts w:ascii="Arial" w:hAnsi="Arial" w:cs="Arial"/>
          <w:sz w:val="22"/>
          <w:szCs w:val="22"/>
        </w:rPr>
        <w:t>B</w:t>
      </w:r>
      <w:r w:rsidRPr="00AB5589" w:rsidR="00AB5589">
        <w:rPr>
          <w:rFonts w:ascii="Arial" w:hAnsi="Arial" w:cs="Arial"/>
          <w:sz w:val="22"/>
          <w:szCs w:val="22"/>
        </w:rPr>
        <w:t xml:space="preserve"> that updates to various </w:t>
      </w:r>
      <w:r w:rsidR="00BC2CEB">
        <w:rPr>
          <w:rFonts w:ascii="Arial" w:hAnsi="Arial" w:cs="Arial"/>
          <w:sz w:val="22"/>
          <w:szCs w:val="22"/>
        </w:rPr>
        <w:t>RG</w:t>
      </w:r>
      <w:r w:rsidRPr="00AB5589" w:rsidR="00AB5589">
        <w:rPr>
          <w:rFonts w:ascii="Arial" w:hAnsi="Arial" w:cs="Arial"/>
          <w:sz w:val="22"/>
          <w:szCs w:val="22"/>
        </w:rPr>
        <w:t xml:space="preserve">s or development of companion guidance will be needed to help in the </w:t>
      </w:r>
      <w:r w:rsidR="00F24EA1">
        <w:rPr>
          <w:rFonts w:ascii="Arial" w:hAnsi="Arial" w:cs="Arial"/>
          <w:sz w:val="22"/>
          <w:szCs w:val="22"/>
        </w:rPr>
        <w:t>use of numerous codes and standards under</w:t>
      </w:r>
      <w:r w:rsidRPr="00AB5589" w:rsidR="00AB5589">
        <w:rPr>
          <w:rFonts w:ascii="Arial" w:hAnsi="Arial" w:cs="Arial"/>
          <w:sz w:val="22"/>
          <w:szCs w:val="22"/>
        </w:rPr>
        <w:t xml:space="preserve"> 10 CFR Part 53. The NRC will issue revisions or 10</w:t>
      </w:r>
      <w:r w:rsidR="00BC2CEB">
        <w:rPr>
          <w:rFonts w:ascii="Arial" w:hAnsi="Arial" w:cs="Arial"/>
          <w:sz w:val="22"/>
          <w:szCs w:val="22"/>
        </w:rPr>
        <w:t> </w:t>
      </w:r>
      <w:r w:rsidRPr="00AB5589" w:rsidR="00AB5589">
        <w:rPr>
          <w:rFonts w:ascii="Arial" w:hAnsi="Arial" w:cs="Arial"/>
          <w:sz w:val="22"/>
          <w:szCs w:val="22"/>
        </w:rPr>
        <w:t>CFR</w:t>
      </w:r>
      <w:r w:rsidR="00BC2CEB">
        <w:rPr>
          <w:rFonts w:ascii="Arial" w:hAnsi="Arial" w:cs="Arial"/>
          <w:sz w:val="22"/>
          <w:szCs w:val="22"/>
        </w:rPr>
        <w:t> </w:t>
      </w:r>
      <w:r w:rsidRPr="00AB5589" w:rsidR="00AB5589">
        <w:rPr>
          <w:rFonts w:ascii="Arial" w:hAnsi="Arial" w:cs="Arial"/>
          <w:sz w:val="22"/>
          <w:szCs w:val="22"/>
        </w:rPr>
        <w:t>Part 53-related companions to these guidance documents for public comment and finalize and issue the guidance documents following publication of the final 10 CFR Part 53 rule. The NRC appreciates commenters’ suggestions for prioritization of such guidance.</w:t>
      </w:r>
    </w:p>
    <w:p w:rsidR="007F112A" w:rsidRPr="00220690" w:rsidP="00220690" w14:paraId="03D1DD4C" w14:textId="77777777">
      <w:pPr>
        <w:spacing w:after="220"/>
        <w:rPr>
          <w:rFonts w:ascii="Arial" w:hAnsi="Arial" w:cs="Arial"/>
          <w:sz w:val="22"/>
          <w:szCs w:val="22"/>
        </w:rPr>
      </w:pPr>
      <w:r w:rsidRPr="00220690">
        <w:rPr>
          <w:rFonts w:ascii="Arial" w:hAnsi="Arial" w:cs="Arial"/>
          <w:sz w:val="22"/>
          <w:szCs w:val="22"/>
        </w:rPr>
        <w:t>The NRC d</w:t>
      </w:r>
      <w:r w:rsidR="002168D3">
        <w:rPr>
          <w:rFonts w:ascii="Arial" w:hAnsi="Arial" w:cs="Arial"/>
          <w:sz w:val="22"/>
          <w:szCs w:val="22"/>
        </w:rPr>
        <w:t>is</w:t>
      </w:r>
      <w:r w:rsidRPr="00220690">
        <w:rPr>
          <w:rFonts w:ascii="Arial" w:hAnsi="Arial" w:cs="Arial"/>
          <w:sz w:val="22"/>
          <w:szCs w:val="22"/>
        </w:rPr>
        <w:t>agree</w:t>
      </w:r>
      <w:r w:rsidR="002168D3">
        <w:rPr>
          <w:rFonts w:ascii="Arial" w:hAnsi="Arial" w:cs="Arial"/>
          <w:sz w:val="22"/>
          <w:szCs w:val="22"/>
        </w:rPr>
        <w:t>s</w:t>
      </w:r>
      <w:r w:rsidRPr="00220690">
        <w:rPr>
          <w:rFonts w:ascii="Arial" w:hAnsi="Arial" w:cs="Arial"/>
          <w:sz w:val="22"/>
          <w:szCs w:val="22"/>
        </w:rPr>
        <w:t xml:space="preserve"> with the suggesti</w:t>
      </w:r>
      <w:r w:rsidR="002168D3">
        <w:rPr>
          <w:rFonts w:ascii="Arial" w:hAnsi="Arial" w:cs="Arial"/>
          <w:sz w:val="22"/>
          <w:szCs w:val="22"/>
        </w:rPr>
        <w:t>on</w:t>
      </w:r>
      <w:r w:rsidRPr="00220690">
        <w:rPr>
          <w:rFonts w:ascii="Arial" w:hAnsi="Arial" w:cs="Arial"/>
          <w:sz w:val="22"/>
          <w:szCs w:val="22"/>
        </w:rPr>
        <w:t xml:space="preserve"> that the NRC’s endorsement of ASME Section XI</w:t>
      </w:r>
      <w:r w:rsidR="0061107F">
        <w:rPr>
          <w:rFonts w:ascii="Arial" w:hAnsi="Arial" w:cs="Arial"/>
          <w:sz w:val="22"/>
          <w:szCs w:val="22"/>
        </w:rPr>
        <w:t>,</w:t>
      </w:r>
      <w:r w:rsidRPr="00220690">
        <w:rPr>
          <w:rFonts w:ascii="Arial" w:hAnsi="Arial" w:cs="Arial"/>
          <w:sz w:val="22"/>
          <w:szCs w:val="22"/>
        </w:rPr>
        <w:t xml:space="preserve"> Division 2</w:t>
      </w:r>
      <w:r w:rsidR="00033DB8">
        <w:rPr>
          <w:rFonts w:ascii="Arial" w:hAnsi="Arial" w:cs="Arial"/>
          <w:sz w:val="22"/>
          <w:szCs w:val="22"/>
        </w:rPr>
        <w:t>,</w:t>
      </w:r>
      <w:r w:rsidRPr="00220690">
        <w:rPr>
          <w:rFonts w:ascii="Arial" w:hAnsi="Arial" w:cs="Arial"/>
          <w:sz w:val="22"/>
          <w:szCs w:val="22"/>
        </w:rPr>
        <w:t xml:space="preserve"> through RG 1.246 obviates the need for an integrity assessment program. Whereas ASME Section XI, Division 2, could be useful in fulfilling the requirements for integrity assessment programs in 10 CFR 53.870, the NRC does not require its use or the use of any specific consensus code or standard in 10</w:t>
      </w:r>
      <w:r w:rsidRPr="00220690" w:rsidR="00BD2C7B">
        <w:rPr>
          <w:rFonts w:ascii="Arial" w:hAnsi="Arial" w:cs="Arial"/>
          <w:sz w:val="22"/>
          <w:szCs w:val="22"/>
        </w:rPr>
        <w:t> </w:t>
      </w:r>
      <w:r w:rsidRPr="00220690">
        <w:rPr>
          <w:rFonts w:ascii="Arial" w:hAnsi="Arial" w:cs="Arial"/>
          <w:sz w:val="22"/>
          <w:szCs w:val="22"/>
        </w:rPr>
        <w:t xml:space="preserve">CFR Part 53. Other consensus codes and standards covering </w:t>
      </w:r>
      <w:r w:rsidRPr="00220690">
        <w:rPr>
          <w:rFonts w:ascii="Arial" w:hAnsi="Arial" w:cs="Arial"/>
          <w:sz w:val="22"/>
          <w:szCs w:val="22"/>
        </w:rPr>
        <w:t>inservice</w:t>
      </w:r>
      <w:r w:rsidRPr="00220690">
        <w:rPr>
          <w:rFonts w:ascii="Arial" w:hAnsi="Arial" w:cs="Arial"/>
          <w:sz w:val="22"/>
          <w:szCs w:val="22"/>
        </w:rPr>
        <w:t xml:space="preserve"> inspections do not directly address the identification and monitoring of all degradation mechanisms and so gaps could be introduced if a requirement such as 10</w:t>
      </w:r>
      <w:r w:rsidR="00DD294F">
        <w:rPr>
          <w:rFonts w:ascii="Arial" w:hAnsi="Arial" w:cs="Arial"/>
          <w:sz w:val="22"/>
          <w:szCs w:val="22"/>
        </w:rPr>
        <w:t> </w:t>
      </w:r>
      <w:r w:rsidRPr="00220690">
        <w:rPr>
          <w:rFonts w:ascii="Arial" w:hAnsi="Arial" w:cs="Arial"/>
          <w:sz w:val="22"/>
          <w:szCs w:val="22"/>
        </w:rPr>
        <w:t>CFR</w:t>
      </w:r>
      <w:r w:rsidR="00DD294F">
        <w:rPr>
          <w:rFonts w:ascii="Arial" w:hAnsi="Arial" w:cs="Arial"/>
          <w:sz w:val="22"/>
          <w:szCs w:val="22"/>
        </w:rPr>
        <w:t> </w:t>
      </w:r>
      <w:r w:rsidRPr="00220690">
        <w:rPr>
          <w:rFonts w:ascii="Arial" w:hAnsi="Arial" w:cs="Arial"/>
          <w:sz w:val="22"/>
          <w:szCs w:val="22"/>
        </w:rPr>
        <w:t>53.870 was not included in the framework.</w:t>
      </w:r>
    </w:p>
    <w:p w:rsidR="007F112A" w:rsidP="00220690" w14:paraId="25235958"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this comment.</w:t>
      </w:r>
    </w:p>
    <w:p w:rsidR="00220690" w:rsidP="00220690" w14:paraId="5827494D" w14:textId="77777777">
      <w:pPr>
        <w:spacing w:after="220"/>
        <w:rPr>
          <w:rFonts w:ascii="Arial" w:eastAsia="Times New Roman" w:hAnsi="Arial" w:cs="Arial"/>
          <w:b/>
          <w:sz w:val="22"/>
          <w:szCs w:val="22"/>
          <w:lang w:eastAsia="zh-CN"/>
        </w:rPr>
      </w:pPr>
      <w:r>
        <w:rPr>
          <w:rFonts w:ascii="Arial" w:eastAsia="Times New Roman" w:hAnsi="Arial" w:cs="Arial"/>
          <w:sz w:val="22"/>
          <w:szCs w:val="22"/>
          <w:lang w:eastAsia="zh-CN"/>
        </w:rPr>
        <w:pict>
          <v:rect id="_x0000_i1220" style="width:0;height:1.5pt" o:hralign="center" o:hrstd="t" o:hrnoshade="t" o:hr="t" fillcolor="black" stroked="f"/>
        </w:pict>
      </w:r>
    </w:p>
    <w:p w:rsidR="007F112A" w:rsidRPr="00220690" w:rsidP="00CA7F85" w14:paraId="763401FC" w14:textId="77777777">
      <w:pPr>
        <w:pStyle w:val="Heading4"/>
      </w:pPr>
      <w:r w:rsidRPr="00CA7F85">
        <w:rPr>
          <w:u w:val="none"/>
        </w:rPr>
        <w:t>3.6.3.5.</w:t>
      </w:r>
      <w:r w:rsidRPr="00CA7F85">
        <w:rPr>
          <w:u w:val="none"/>
        </w:rPr>
        <w:tab/>
      </w:r>
      <w:r w:rsidRPr="00DA0A3C">
        <w:t xml:space="preserve">Other comments on programmatic requirements (e.g., fire protection, </w:t>
      </w:r>
      <w:r w:rsidRPr="00DA0A3C">
        <w:t>inservice</w:t>
      </w:r>
      <w:r w:rsidRPr="00DA0A3C">
        <w:t xml:space="preserve"> inspection, quality assurance)</w:t>
      </w:r>
    </w:p>
    <w:p w:rsidR="007F112A" w:rsidRPr="00220690" w:rsidP="00220690" w14:paraId="443D19C8" w14:textId="77777777">
      <w:pPr>
        <w:spacing w:after="220"/>
        <w:rPr>
          <w:rFonts w:ascii="Arial" w:hAnsi="Arial" w:cs="Arial"/>
          <w:sz w:val="22"/>
          <w:szCs w:val="22"/>
        </w:rPr>
      </w:pPr>
      <w:r w:rsidRPr="00220690">
        <w:rPr>
          <w:rFonts w:ascii="Arial" w:eastAsia="DengXian" w:hAnsi="Arial" w:cs="Arial"/>
          <w:b/>
          <w:sz w:val="22"/>
          <w:szCs w:val="22"/>
        </w:rPr>
        <w:t>Comment Bin 3.6.3.5.A:</w:t>
      </w:r>
      <w:r w:rsidRPr="00220690">
        <w:rPr>
          <w:rFonts w:ascii="Arial" w:eastAsia="DengXian" w:hAnsi="Arial" w:cs="Arial"/>
          <w:sz w:val="22"/>
          <w:szCs w:val="22"/>
        </w:rPr>
        <w:t xml:space="preserve"> </w:t>
      </w:r>
      <w:r w:rsidRPr="00220690">
        <w:rPr>
          <w:rFonts w:ascii="Arial" w:hAnsi="Arial" w:cs="Arial"/>
          <w:sz w:val="22"/>
          <w:szCs w:val="22"/>
        </w:rPr>
        <w:t>A commenter wrote that guidance for the radiation protection requirements in 10 CFR 53.850 should be updated to note the applicability of appropriate Division 8 RGs (</w:t>
      </w:r>
      <w:r w:rsidR="009D6BB9">
        <w:rPr>
          <w:rFonts w:ascii="Arial" w:hAnsi="Arial" w:cs="Arial"/>
          <w:sz w:val="22"/>
          <w:szCs w:val="22"/>
        </w:rPr>
        <w:t>NEI2</w:t>
      </w:r>
      <w:r w:rsidRPr="00220690">
        <w:rPr>
          <w:rFonts w:ascii="Arial" w:hAnsi="Arial" w:cs="Arial"/>
          <w:sz w:val="22"/>
          <w:szCs w:val="22"/>
        </w:rPr>
        <w:t xml:space="preserve">-0108). Another commenter expressed support for this comment </w:t>
      </w:r>
      <w:r w:rsidR="007000DB">
        <w:rPr>
          <w:rFonts w:ascii="Arial" w:hAnsi="Arial" w:cs="Arial"/>
          <w:sz w:val="22"/>
          <w:szCs w:val="22"/>
        </w:rPr>
        <w:br/>
      </w:r>
      <w:r w:rsidRPr="00220690">
        <w:rPr>
          <w:rFonts w:ascii="Arial" w:hAnsi="Arial" w:cs="Arial"/>
          <w:sz w:val="22"/>
          <w:szCs w:val="22"/>
        </w:rPr>
        <w:t>(</w:t>
      </w:r>
      <w:r w:rsidR="006912EB">
        <w:rPr>
          <w:rFonts w:ascii="Arial" w:hAnsi="Arial" w:cs="Arial"/>
          <w:sz w:val="22"/>
          <w:szCs w:val="22"/>
        </w:rPr>
        <w:t>NEX</w:t>
      </w:r>
      <w:r w:rsidRPr="00220690">
        <w:rPr>
          <w:rFonts w:ascii="Arial" w:hAnsi="Arial" w:cs="Arial"/>
          <w:sz w:val="22"/>
          <w:szCs w:val="22"/>
        </w:rPr>
        <w:t>-0021).</w:t>
      </w:r>
    </w:p>
    <w:p w:rsidR="007F112A" w:rsidRPr="00220690" w:rsidP="00220690" w14:paraId="7712E399" w14:textId="77777777">
      <w:pPr>
        <w:spacing w:after="220"/>
        <w:rPr>
          <w:rFonts w:ascii="Arial" w:eastAsia="Times New Roman" w:hAnsi="Arial" w:cs="Arial"/>
          <w:color w:val="000000"/>
          <w:sz w:val="22"/>
          <w:szCs w:val="22"/>
          <w:lang w:eastAsia="zh-CN"/>
        </w:rPr>
      </w:pPr>
      <w:r w:rsidRPr="00220690">
        <w:rPr>
          <w:rFonts w:ascii="Arial" w:hAnsi="Arial" w:cs="Arial"/>
          <w:sz w:val="22"/>
          <w:szCs w:val="22"/>
        </w:rPr>
        <w:t>Another commenter recommended revising the language in 10 CFR 53.850(c) from “operational controls for solid radioactive waste processing,” to “operational controls for solid, liquid, and gaseous waste processing”</w:t>
      </w:r>
      <w:r w:rsidRPr="002F66D1">
        <w:rPr>
          <w:rFonts w:ascii="Arial" w:hAnsi="Arial" w:cs="Arial"/>
          <w:sz w:val="22"/>
          <w:szCs w:val="22"/>
        </w:rPr>
        <w:t xml:space="preserve"> (</w:t>
      </w:r>
      <w:r w:rsidRPr="002F66D1" w:rsidR="002F66D1">
        <w:rPr>
          <w:rFonts w:ascii="Arial" w:eastAsia="Times New Roman" w:hAnsi="Arial" w:cs="Arial"/>
          <w:color w:val="000000"/>
          <w:sz w:val="22"/>
          <w:szCs w:val="22"/>
        </w:rPr>
        <w:t>TG10</w:t>
      </w:r>
      <w:r w:rsidRPr="002F66D1">
        <w:rPr>
          <w:rFonts w:ascii="Arial" w:hAnsi="Arial" w:cs="Arial"/>
          <w:sz w:val="22"/>
          <w:szCs w:val="22"/>
        </w:rPr>
        <w:t>-0002</w:t>
      </w:r>
      <w:r w:rsidRPr="00220690">
        <w:rPr>
          <w:rFonts w:ascii="Arial" w:hAnsi="Arial" w:cs="Arial"/>
          <w:sz w:val="22"/>
          <w:szCs w:val="22"/>
        </w:rPr>
        <w:t>).</w:t>
      </w:r>
    </w:p>
    <w:p w:rsidR="007F112A" w:rsidRPr="00220690" w:rsidP="00220690" w14:paraId="2AB24B89"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agrees, in part, with the comment</w:t>
      </w:r>
      <w:r w:rsidRPr="00220690" w:rsidR="00756249">
        <w:rPr>
          <w:rFonts w:ascii="Arial" w:hAnsi="Arial" w:cs="Arial"/>
          <w:sz w:val="22"/>
          <w:szCs w:val="22"/>
        </w:rPr>
        <w:t>s</w:t>
      </w:r>
      <w:r w:rsidRPr="00220690">
        <w:rPr>
          <w:rFonts w:ascii="Arial" w:hAnsi="Arial" w:cs="Arial"/>
          <w:sz w:val="22"/>
          <w:szCs w:val="22"/>
        </w:rPr>
        <w:t>.</w:t>
      </w:r>
    </w:p>
    <w:p w:rsidR="007F112A" w:rsidRPr="00220690" w:rsidP="00220690" w14:paraId="1508906D" w14:textId="77777777">
      <w:pPr>
        <w:spacing w:after="220"/>
        <w:rPr>
          <w:rFonts w:ascii="Arial" w:hAnsi="Arial" w:cs="Arial"/>
          <w:sz w:val="22"/>
          <w:szCs w:val="22"/>
        </w:rPr>
      </w:pPr>
      <w:r w:rsidRPr="00220690">
        <w:rPr>
          <w:rFonts w:ascii="Arial" w:hAnsi="Arial" w:cs="Arial"/>
          <w:sz w:val="22"/>
          <w:szCs w:val="22"/>
        </w:rPr>
        <w:t>Regarding the updating of guidance related to 10 CFR 5</w:t>
      </w:r>
      <w:r w:rsidR="00E253CD">
        <w:rPr>
          <w:rFonts w:ascii="Arial" w:hAnsi="Arial" w:cs="Arial"/>
          <w:sz w:val="22"/>
          <w:szCs w:val="22"/>
        </w:rPr>
        <w:t>3</w:t>
      </w:r>
      <w:r w:rsidRPr="00220690">
        <w:rPr>
          <w:rFonts w:ascii="Arial" w:hAnsi="Arial" w:cs="Arial"/>
          <w:sz w:val="22"/>
          <w:szCs w:val="22"/>
        </w:rPr>
        <w:t xml:space="preserve">.850, the NRC </w:t>
      </w:r>
      <w:r w:rsidRPr="00FF3A0A" w:rsidR="00FF3A0A">
        <w:rPr>
          <w:rFonts w:ascii="Arial" w:hAnsi="Arial" w:cs="Arial"/>
          <w:sz w:val="22"/>
          <w:szCs w:val="22"/>
        </w:rPr>
        <w:t xml:space="preserve">acknowledges </w:t>
      </w:r>
      <w:r w:rsidR="00FF3A0A">
        <w:rPr>
          <w:rFonts w:ascii="Arial" w:hAnsi="Arial" w:cs="Arial"/>
          <w:sz w:val="22"/>
          <w:szCs w:val="22"/>
        </w:rPr>
        <w:t xml:space="preserve">in the </w:t>
      </w:r>
      <w:r w:rsidR="009F1BE8">
        <w:rPr>
          <w:rFonts w:ascii="Arial" w:hAnsi="Arial" w:cs="Arial"/>
          <w:sz w:val="22"/>
          <w:szCs w:val="22"/>
        </w:rPr>
        <w:t>response to Comment Bin 8.</w:t>
      </w:r>
      <w:r w:rsidRPr="00120EB6" w:rsidR="00120EB6">
        <w:rPr>
          <w:rFonts w:ascii="Arial" w:hAnsi="Arial" w:cs="Arial"/>
          <w:sz w:val="22"/>
          <w:szCs w:val="22"/>
        </w:rPr>
        <w:t>10</w:t>
      </w:r>
      <w:r w:rsidR="009F1BE8">
        <w:rPr>
          <w:rFonts w:ascii="Arial" w:hAnsi="Arial" w:cs="Arial"/>
          <w:sz w:val="22"/>
          <w:szCs w:val="22"/>
        </w:rPr>
        <w:t>.C</w:t>
      </w:r>
      <w:r w:rsidRPr="00120EB6" w:rsidR="00120EB6">
        <w:rPr>
          <w:rFonts w:ascii="Arial" w:hAnsi="Arial" w:cs="Arial"/>
          <w:sz w:val="22"/>
          <w:szCs w:val="22"/>
        </w:rPr>
        <w:t xml:space="preserve"> that updates to </w:t>
      </w:r>
      <w:r w:rsidR="003130AC">
        <w:rPr>
          <w:rFonts w:ascii="Arial" w:hAnsi="Arial" w:cs="Arial"/>
          <w:sz w:val="22"/>
          <w:szCs w:val="22"/>
        </w:rPr>
        <w:t xml:space="preserve">various </w:t>
      </w:r>
      <w:r w:rsidR="00BC2CEB">
        <w:rPr>
          <w:rFonts w:ascii="Arial" w:hAnsi="Arial" w:cs="Arial"/>
          <w:sz w:val="22"/>
          <w:szCs w:val="22"/>
        </w:rPr>
        <w:t>RG</w:t>
      </w:r>
      <w:r w:rsidR="003130AC">
        <w:rPr>
          <w:rFonts w:ascii="Arial" w:hAnsi="Arial" w:cs="Arial"/>
          <w:sz w:val="22"/>
          <w:szCs w:val="22"/>
        </w:rPr>
        <w:t>s</w:t>
      </w:r>
      <w:r w:rsidRPr="00120EB6" w:rsidR="00120EB6">
        <w:rPr>
          <w:rFonts w:ascii="Arial" w:hAnsi="Arial" w:cs="Arial"/>
          <w:sz w:val="22"/>
          <w:szCs w:val="22"/>
        </w:rPr>
        <w:t xml:space="preserve"> or development of companion guidance w</w:t>
      </w:r>
      <w:r w:rsidR="00813739">
        <w:rPr>
          <w:rFonts w:ascii="Arial" w:hAnsi="Arial" w:cs="Arial"/>
          <w:sz w:val="22"/>
          <w:szCs w:val="22"/>
        </w:rPr>
        <w:t>ill</w:t>
      </w:r>
      <w:r w:rsidRPr="00120EB6" w:rsidR="00120EB6">
        <w:rPr>
          <w:rFonts w:ascii="Arial" w:hAnsi="Arial" w:cs="Arial"/>
          <w:sz w:val="22"/>
          <w:szCs w:val="22"/>
        </w:rPr>
        <w:t xml:space="preserve"> be needed to </w:t>
      </w:r>
      <w:r w:rsidR="00D47025">
        <w:rPr>
          <w:rFonts w:ascii="Arial" w:hAnsi="Arial" w:cs="Arial"/>
          <w:sz w:val="22"/>
          <w:szCs w:val="22"/>
        </w:rPr>
        <w:t xml:space="preserve">help in the implementation of </w:t>
      </w:r>
      <w:r w:rsidR="0018709A">
        <w:rPr>
          <w:rFonts w:ascii="Arial" w:hAnsi="Arial" w:cs="Arial"/>
          <w:sz w:val="22"/>
          <w:szCs w:val="22"/>
        </w:rPr>
        <w:t xml:space="preserve">radiation protection programs under </w:t>
      </w:r>
      <w:r w:rsidRPr="00120EB6" w:rsidR="00120EB6">
        <w:rPr>
          <w:rFonts w:ascii="Arial" w:hAnsi="Arial" w:cs="Arial"/>
          <w:sz w:val="22"/>
          <w:szCs w:val="22"/>
        </w:rPr>
        <w:t>10</w:t>
      </w:r>
      <w:r w:rsidR="006E1BF5">
        <w:rPr>
          <w:rFonts w:ascii="Arial" w:hAnsi="Arial" w:cs="Arial"/>
          <w:sz w:val="22"/>
          <w:szCs w:val="22"/>
        </w:rPr>
        <w:t> </w:t>
      </w:r>
      <w:r w:rsidRPr="00120EB6" w:rsidR="00120EB6">
        <w:rPr>
          <w:rFonts w:ascii="Arial" w:hAnsi="Arial" w:cs="Arial"/>
          <w:sz w:val="22"/>
          <w:szCs w:val="22"/>
        </w:rPr>
        <w:t>CFR Part 53. The NRC will issue revisions or 10 CFR Part 53-related companions to these guidance documents for public comment and finalize and issue the guidance documents following publication of the final 10 CFR Part 53 rule. The NRC appreciates commenters’ suggestions for prioritization of such guidance.</w:t>
      </w:r>
    </w:p>
    <w:p w:rsidR="007F112A" w:rsidRPr="00220690" w:rsidP="00220690" w14:paraId="04996E48" w14:textId="77777777">
      <w:pPr>
        <w:spacing w:after="220"/>
        <w:rPr>
          <w:rFonts w:ascii="Arial" w:hAnsi="Arial" w:cs="Arial"/>
          <w:sz w:val="22"/>
          <w:szCs w:val="22"/>
        </w:rPr>
      </w:pPr>
      <w:r w:rsidRPr="00220690">
        <w:rPr>
          <w:rFonts w:ascii="Arial" w:hAnsi="Arial" w:cs="Arial"/>
          <w:sz w:val="22"/>
          <w:szCs w:val="22"/>
        </w:rPr>
        <w:t>The NRC disagrees with the suggesti</w:t>
      </w:r>
      <w:r w:rsidRPr="00220690" w:rsidR="002E1D03">
        <w:rPr>
          <w:rFonts w:ascii="Arial" w:hAnsi="Arial" w:cs="Arial"/>
          <w:sz w:val="22"/>
          <w:szCs w:val="22"/>
        </w:rPr>
        <w:t>on of</w:t>
      </w:r>
      <w:r w:rsidRPr="00220690">
        <w:rPr>
          <w:rFonts w:ascii="Arial" w:hAnsi="Arial" w:cs="Arial"/>
          <w:sz w:val="22"/>
          <w:szCs w:val="22"/>
        </w:rPr>
        <w:t xml:space="preserve"> changing 10 CFR</w:t>
      </w:r>
      <w:r w:rsidRPr="00220690" w:rsidR="002E1D03">
        <w:rPr>
          <w:rFonts w:ascii="Arial" w:hAnsi="Arial" w:cs="Arial"/>
          <w:sz w:val="22"/>
          <w:szCs w:val="22"/>
        </w:rPr>
        <w:t> </w:t>
      </w:r>
      <w:r w:rsidRPr="00220690">
        <w:rPr>
          <w:rFonts w:ascii="Arial" w:hAnsi="Arial" w:cs="Arial"/>
          <w:sz w:val="22"/>
          <w:szCs w:val="22"/>
        </w:rPr>
        <w:t>53.850(c) (</w:t>
      </w:r>
      <w:r w:rsidR="00CC78B2">
        <w:rPr>
          <w:rFonts w:ascii="Arial" w:hAnsi="Arial" w:cs="Arial"/>
          <w:sz w:val="22"/>
          <w:szCs w:val="22"/>
        </w:rPr>
        <w:t>P</w:t>
      </w:r>
      <w:r w:rsidRPr="00220690">
        <w:rPr>
          <w:rFonts w:ascii="Arial" w:hAnsi="Arial" w:cs="Arial"/>
          <w:sz w:val="22"/>
          <w:szCs w:val="22"/>
        </w:rPr>
        <w:t xml:space="preserve">rocess </w:t>
      </w:r>
      <w:r w:rsidR="00CC78B2">
        <w:rPr>
          <w:rFonts w:ascii="Arial" w:hAnsi="Arial" w:cs="Arial"/>
          <w:sz w:val="22"/>
          <w:szCs w:val="22"/>
        </w:rPr>
        <w:t>C</w:t>
      </w:r>
      <w:r w:rsidRPr="00220690">
        <w:rPr>
          <w:rFonts w:ascii="Arial" w:hAnsi="Arial" w:cs="Arial"/>
          <w:sz w:val="22"/>
          <w:szCs w:val="22"/>
        </w:rPr>
        <w:t xml:space="preserve">ontrol </w:t>
      </w:r>
      <w:r w:rsidR="00CC78B2">
        <w:rPr>
          <w:rFonts w:ascii="Arial" w:hAnsi="Arial" w:cs="Arial"/>
          <w:sz w:val="22"/>
          <w:szCs w:val="22"/>
        </w:rPr>
        <w:t>P</w:t>
      </w:r>
      <w:r w:rsidRPr="00220690">
        <w:rPr>
          <w:rFonts w:ascii="Arial" w:hAnsi="Arial" w:cs="Arial"/>
          <w:sz w:val="22"/>
          <w:szCs w:val="22"/>
        </w:rPr>
        <w:t>rogram for solid radioactive waste) to address solid, liquid, and gaseous waste because liquid and gaseous waste processing is addressed under 10 CFR 53.850(b).</w:t>
      </w:r>
    </w:p>
    <w:p w:rsidR="00E11D29" w:rsidP="00220690" w14:paraId="0D287AFA"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the comment</w:t>
      </w:r>
      <w:r w:rsidR="00747402">
        <w:rPr>
          <w:rFonts w:ascii="Arial" w:hAnsi="Arial" w:cs="Arial"/>
          <w:sz w:val="22"/>
          <w:szCs w:val="22"/>
        </w:rPr>
        <w:t>.</w:t>
      </w:r>
    </w:p>
    <w:p w:rsidR="007F112A" w:rsidRPr="00220690" w:rsidP="00220690" w14:paraId="650292D9" w14:textId="77777777">
      <w:pPr>
        <w:spacing w:after="220"/>
        <w:rPr>
          <w:rFonts w:ascii="Arial" w:hAnsi="Arial" w:cs="Arial"/>
          <w:sz w:val="22"/>
          <w:szCs w:val="22"/>
        </w:rPr>
      </w:pPr>
      <w:r>
        <w:rPr>
          <w:rFonts w:ascii="Arial" w:eastAsia="Times New Roman" w:hAnsi="Arial" w:cs="Arial"/>
          <w:sz w:val="22"/>
          <w:szCs w:val="22"/>
          <w:lang w:eastAsia="zh-CN"/>
        </w:rPr>
        <w:pict>
          <v:rect id="_x0000_i1221" style="width:0;height:1.5pt" o:hralign="center" o:hrstd="t" o:hrnoshade="t" o:hr="t" fillcolor="black" stroked="f"/>
        </w:pict>
      </w:r>
    </w:p>
    <w:p w:rsidR="007F112A" w:rsidRPr="00220690" w:rsidP="00220690" w14:paraId="2EC87A5B" w14:textId="77777777">
      <w:pPr>
        <w:spacing w:after="220"/>
        <w:rPr>
          <w:rFonts w:ascii="Arial" w:hAnsi="Arial" w:cs="Arial"/>
          <w:sz w:val="22"/>
          <w:szCs w:val="22"/>
        </w:rPr>
      </w:pPr>
      <w:r w:rsidRPr="00220690">
        <w:rPr>
          <w:rFonts w:ascii="Arial" w:eastAsia="DengXian" w:hAnsi="Arial" w:cs="Arial"/>
          <w:b/>
          <w:sz w:val="22"/>
          <w:szCs w:val="22"/>
        </w:rPr>
        <w:t>Comment Bin 3.6.3.5.B:</w:t>
      </w:r>
      <w:r w:rsidRPr="00220690">
        <w:rPr>
          <w:rFonts w:ascii="Arial" w:eastAsia="DengXian" w:hAnsi="Arial" w:cs="Arial"/>
          <w:sz w:val="22"/>
          <w:szCs w:val="22"/>
        </w:rPr>
        <w:t xml:space="preserve"> </w:t>
      </w:r>
      <w:r w:rsidRPr="00220690">
        <w:rPr>
          <w:rFonts w:ascii="Arial" w:hAnsi="Arial" w:cs="Arial"/>
          <w:sz w:val="22"/>
          <w:szCs w:val="22"/>
        </w:rPr>
        <w:t>A commenter said that 10 CFR 53.880 is too detailed and descriptive and could be moved to guidance and deleted from the rule language. If the NRC decides to keep the requirements, the commenter suggested that it be revised to read, “(a) Each holder of an OL or COL under this part must develop, implement, and maintain a program for in-service inspection (ISI) and in-service testing (IST) prior to receiving an OL or COL. The ISI/IST program must be documented in a written manual and managed by qualified personnel.” (</w:t>
      </w:r>
      <w:r w:rsidR="009D6BB9">
        <w:rPr>
          <w:rFonts w:ascii="Arial" w:hAnsi="Arial" w:cs="Arial"/>
          <w:sz w:val="22"/>
          <w:szCs w:val="22"/>
        </w:rPr>
        <w:t>NEI2</w:t>
      </w:r>
      <w:r w:rsidRPr="00220690">
        <w:rPr>
          <w:rFonts w:ascii="Arial" w:hAnsi="Arial" w:cs="Arial"/>
          <w:sz w:val="22"/>
          <w:szCs w:val="22"/>
        </w:rPr>
        <w:t xml:space="preserve">-0116, </w:t>
      </w:r>
      <w:r w:rsidR="009D6BB9">
        <w:rPr>
          <w:rFonts w:ascii="Arial" w:hAnsi="Arial" w:cs="Arial"/>
          <w:sz w:val="22"/>
          <w:szCs w:val="22"/>
        </w:rPr>
        <w:t>NEI2</w:t>
      </w:r>
      <w:r w:rsidRPr="00220690">
        <w:rPr>
          <w:rFonts w:ascii="Arial" w:hAnsi="Arial" w:cs="Arial"/>
          <w:sz w:val="22"/>
          <w:szCs w:val="22"/>
        </w:rPr>
        <w:t>-0118). The commenter alternatively suggested that if NRC does not remove “plant manager” from 10 CFR 53.880(a) and (b), it should be replaced with more generic language such as “director, responsible officer, or designated person” (</w:t>
      </w:r>
      <w:r w:rsidR="009D6BB9">
        <w:rPr>
          <w:rFonts w:ascii="Arial" w:hAnsi="Arial" w:cs="Arial"/>
          <w:sz w:val="22"/>
          <w:szCs w:val="22"/>
        </w:rPr>
        <w:t>NEI2</w:t>
      </w:r>
      <w:r w:rsidRPr="00220690">
        <w:rPr>
          <w:rFonts w:ascii="Arial" w:hAnsi="Arial" w:cs="Arial"/>
          <w:sz w:val="22"/>
          <w:szCs w:val="22"/>
        </w:rPr>
        <w:t xml:space="preserve">-0117). </w:t>
      </w:r>
    </w:p>
    <w:p w:rsidR="007F112A" w:rsidRPr="00220690" w:rsidP="00220690" w14:paraId="5C0AC1A2" w14:textId="77777777">
      <w:pPr>
        <w:spacing w:after="220"/>
        <w:rPr>
          <w:rFonts w:ascii="Arial" w:hAnsi="Arial" w:cs="Arial"/>
          <w:sz w:val="22"/>
          <w:szCs w:val="22"/>
        </w:rPr>
      </w:pPr>
      <w:r w:rsidRPr="00220690">
        <w:rPr>
          <w:rFonts w:ascii="Arial" w:hAnsi="Arial" w:cs="Arial"/>
          <w:sz w:val="22"/>
          <w:szCs w:val="22"/>
        </w:rPr>
        <w:t xml:space="preserve">The commenter also said that the language “minimize risk” in 10 CFR 53.880(a) is ambiguous and impossible to implement. The commenter said that minimal risk to the public may require inspection of equipment in a high </w:t>
      </w:r>
      <w:r w:rsidR="008936B3">
        <w:rPr>
          <w:rFonts w:ascii="Arial" w:hAnsi="Arial" w:cs="Arial"/>
          <w:sz w:val="22"/>
          <w:szCs w:val="22"/>
        </w:rPr>
        <w:t>radiation</w:t>
      </w:r>
      <w:r w:rsidRPr="00220690">
        <w:rPr>
          <w:rFonts w:ascii="Arial" w:hAnsi="Arial" w:cs="Arial"/>
          <w:sz w:val="22"/>
          <w:szCs w:val="22"/>
        </w:rPr>
        <w:t xml:space="preserve"> area immediately, but minimal risk to plant workers would require all work to be completed with the plant shut down with sufficient time for radionuclide decay. The commenter recommended NRC remove from 10 CFR 53.880(a) “Risk insights must also be used to determine when to conduct the inspections and tests (e.g., full power, shutdown, refueling) to minimize risk to the plant workers and the public” and only rely on the requirements of 10 CFR 53.715 (</w:t>
      </w:r>
      <w:r w:rsidR="009D6BB9">
        <w:rPr>
          <w:rFonts w:ascii="Arial" w:hAnsi="Arial" w:cs="Arial"/>
          <w:sz w:val="22"/>
          <w:szCs w:val="22"/>
        </w:rPr>
        <w:t>NEI2</w:t>
      </w:r>
      <w:r w:rsidRPr="00220690">
        <w:rPr>
          <w:rFonts w:ascii="Arial" w:hAnsi="Arial" w:cs="Arial"/>
          <w:sz w:val="22"/>
          <w:szCs w:val="22"/>
        </w:rPr>
        <w:t>-0119). Additionally, the commenter suggested that NRC revise the requirement for baseline inspections in 10 CFR 53.880(b) to be less prescriptive and more performance</w:t>
      </w:r>
      <w:r w:rsidR="008936B3">
        <w:rPr>
          <w:rFonts w:ascii="Arial" w:hAnsi="Arial" w:cs="Arial"/>
          <w:sz w:val="22"/>
          <w:szCs w:val="22"/>
        </w:rPr>
        <w:t xml:space="preserve"> </w:t>
      </w:r>
      <w:r w:rsidRPr="00220690">
        <w:rPr>
          <w:rFonts w:ascii="Arial" w:hAnsi="Arial" w:cs="Arial"/>
          <w:sz w:val="22"/>
          <w:szCs w:val="22"/>
        </w:rPr>
        <w:t>based (</w:t>
      </w:r>
      <w:r w:rsidR="009D6BB9">
        <w:rPr>
          <w:rFonts w:ascii="Arial" w:hAnsi="Arial" w:cs="Arial"/>
          <w:sz w:val="22"/>
          <w:szCs w:val="22"/>
        </w:rPr>
        <w:t>NEI2</w:t>
      </w:r>
      <w:r w:rsidRPr="00220690">
        <w:rPr>
          <w:rFonts w:ascii="Arial" w:hAnsi="Arial" w:cs="Arial"/>
          <w:sz w:val="22"/>
          <w:szCs w:val="22"/>
        </w:rPr>
        <w:t>-0120).</w:t>
      </w:r>
    </w:p>
    <w:p w:rsidR="00024EA5" w:rsidP="00220690" w14:paraId="23B3561F" w14:textId="77777777">
      <w:pPr>
        <w:spacing w:after="220"/>
        <w:rPr>
          <w:rFonts w:ascii="Arial" w:hAnsi="Arial" w:cs="Arial"/>
          <w:sz w:val="22"/>
          <w:szCs w:val="22"/>
        </w:rPr>
      </w:pPr>
      <w:r w:rsidRPr="00220690">
        <w:rPr>
          <w:rFonts w:ascii="Arial" w:hAnsi="Arial" w:cs="Arial"/>
          <w:sz w:val="22"/>
          <w:szCs w:val="22"/>
        </w:rPr>
        <w:t xml:space="preserve">Another commenter wrote that an ISI/IST requiring use of consensus industry codes and standards should not be optional, and there is no legal basis for the language “otherwise found to be acceptable.” The commenter </w:t>
      </w:r>
      <w:r>
        <w:rPr>
          <w:rFonts w:ascii="Arial" w:hAnsi="Arial" w:cs="Arial"/>
          <w:sz w:val="22"/>
          <w:szCs w:val="22"/>
        </w:rPr>
        <w:t>stated</w:t>
      </w:r>
      <w:r w:rsidRPr="00220690">
        <w:rPr>
          <w:rFonts w:ascii="Arial" w:hAnsi="Arial" w:cs="Arial"/>
          <w:sz w:val="22"/>
          <w:szCs w:val="22"/>
        </w:rPr>
        <w:t xml:space="preserve"> that this is because if an identified code or standard did not include NRC staff involvement, then the code and standard is not a consensus code and standard and the NRC has the right to reject it. The commenter wrote that their focus on SR SSCs is because the bulk of the risk lies with these items as opposed to other general plant safety systems that may involve ISI/IST activities. The commenter added that, as currently configured, the ISI/IST requirements conflict with the risk-informed aspects of NEIMA. In particular, the language “all inspections and tests required by of the codes and standards used in the design” is open-ended and ill-defined and should be deleted.</w:t>
      </w:r>
    </w:p>
    <w:p w:rsidR="007F112A" w:rsidRPr="00220690" w:rsidP="00220690" w14:paraId="31FB96D0" w14:textId="77777777">
      <w:pPr>
        <w:spacing w:after="220"/>
        <w:rPr>
          <w:rFonts w:ascii="Arial" w:hAnsi="Arial" w:cs="Arial"/>
          <w:sz w:val="22"/>
          <w:szCs w:val="22"/>
        </w:rPr>
      </w:pPr>
      <w:r w:rsidRPr="00220690">
        <w:rPr>
          <w:rFonts w:ascii="Arial" w:hAnsi="Arial" w:cs="Arial"/>
          <w:sz w:val="22"/>
          <w:szCs w:val="22"/>
        </w:rPr>
        <w:t>The commenter continued that future ISI/IST efforts may evolve over time as technology advances, and a “no objection” approach should be sufficient considering that the ISI/IST forms one leg of the defense-in-depth philosophy. The commenter added that the reference for designing ISI/IST is better suited for 10 CFR 53.440. Finally, the commenter wrote that the ISI/IST effort is highly technical and more appropriate for a technical manager instead of a plant manager. The commenter proposed the following revised rule language for 10 CFR 53.880 (</w:t>
      </w:r>
      <w:r w:rsidRPr="00D64999" w:rsidR="00D64999">
        <w:rPr>
          <w:rFonts w:ascii="Arial" w:eastAsia="Times New Roman" w:hAnsi="Arial" w:cs="Arial"/>
          <w:color w:val="000000"/>
          <w:sz w:val="22"/>
          <w:szCs w:val="22"/>
        </w:rPr>
        <w:t>HPT18</w:t>
      </w:r>
      <w:r w:rsidRPr="00D64999">
        <w:rPr>
          <w:rFonts w:ascii="Arial" w:hAnsi="Arial" w:cs="Arial"/>
          <w:sz w:val="22"/>
          <w:szCs w:val="22"/>
        </w:rPr>
        <w:t>-00</w:t>
      </w:r>
      <w:r w:rsidRPr="00220690">
        <w:rPr>
          <w:rFonts w:ascii="Arial" w:hAnsi="Arial" w:cs="Arial"/>
          <w:sz w:val="22"/>
          <w:szCs w:val="22"/>
        </w:rPr>
        <w:t>01,</w:t>
      </w:r>
      <w:r w:rsidRPr="00D64999">
        <w:rPr>
          <w:rFonts w:ascii="Arial" w:hAnsi="Arial" w:cs="Arial"/>
          <w:sz w:val="22"/>
          <w:szCs w:val="22"/>
        </w:rPr>
        <w:t xml:space="preserve"> </w:t>
      </w:r>
      <w:r w:rsidRPr="00D64999" w:rsidR="00D64999">
        <w:rPr>
          <w:rFonts w:ascii="Arial" w:eastAsia="Times New Roman" w:hAnsi="Arial" w:cs="Arial"/>
          <w:color w:val="000000"/>
          <w:sz w:val="22"/>
          <w:szCs w:val="22"/>
        </w:rPr>
        <w:t>HPT18</w:t>
      </w:r>
      <w:r w:rsidRPr="00D64999">
        <w:rPr>
          <w:rFonts w:ascii="Arial" w:hAnsi="Arial" w:cs="Arial"/>
          <w:sz w:val="22"/>
          <w:szCs w:val="22"/>
        </w:rPr>
        <w:t>-00</w:t>
      </w:r>
      <w:r w:rsidRPr="00220690">
        <w:rPr>
          <w:rFonts w:ascii="Arial" w:hAnsi="Arial" w:cs="Arial"/>
          <w:sz w:val="22"/>
          <w:szCs w:val="22"/>
        </w:rPr>
        <w:t>02):</w:t>
      </w:r>
    </w:p>
    <w:p w:rsidR="007F112A" w:rsidRPr="00220690" w:rsidP="00220690" w14:paraId="1BD58235" w14:textId="77777777">
      <w:pPr>
        <w:spacing w:after="220"/>
        <w:ind w:left="720" w:right="720"/>
        <w:rPr>
          <w:rFonts w:ascii="Arial" w:hAnsi="Arial" w:cs="Arial"/>
          <w:sz w:val="22"/>
          <w:szCs w:val="22"/>
        </w:rPr>
      </w:pPr>
      <w:r w:rsidRPr="00220690">
        <w:rPr>
          <w:rFonts w:ascii="Arial" w:hAnsi="Arial" w:cs="Arial"/>
          <w:sz w:val="22"/>
          <w:szCs w:val="22"/>
        </w:rPr>
        <w:t>53.880 In-service inspection and in-service testing.</w:t>
      </w:r>
    </w:p>
    <w:p w:rsidR="007F112A" w:rsidRPr="00220690" w:rsidP="00220690" w14:paraId="68F0DA28" w14:textId="77777777">
      <w:pPr>
        <w:spacing w:after="220"/>
        <w:ind w:left="720" w:right="720"/>
        <w:rPr>
          <w:rFonts w:ascii="Arial" w:hAnsi="Arial" w:cs="Arial"/>
          <w:sz w:val="22"/>
          <w:szCs w:val="22"/>
        </w:rPr>
      </w:pPr>
      <w:r w:rsidRPr="00220690">
        <w:rPr>
          <w:rFonts w:ascii="Arial" w:hAnsi="Arial" w:cs="Arial"/>
          <w:sz w:val="22"/>
          <w:szCs w:val="22"/>
        </w:rPr>
        <w:t xml:space="preserve">(a) Each holder of an OL or COL under this part must develop, implement, and maintain a program for in-service inspection (ISI) and in-service testing (IST) of safety-related and allied SSC's prior to receiving an OL or COL. The ISI/IST programs must employ generally accepted key consensus industry codes and standards. These standards as well as the general scope and key items subject to inspections and tests must be identified in the safety analysis report, with specifics contained in a program manual. </w:t>
      </w:r>
      <w:r w:rsidR="007000DB">
        <w:rPr>
          <w:rFonts w:ascii="Arial" w:hAnsi="Arial" w:cs="Arial"/>
          <w:sz w:val="22"/>
          <w:szCs w:val="22"/>
        </w:rPr>
        <w:t>T</w:t>
      </w:r>
      <w:r w:rsidRPr="00220690">
        <w:rPr>
          <w:rFonts w:ascii="Arial" w:hAnsi="Arial" w:cs="Arial"/>
          <w:sz w:val="22"/>
          <w:szCs w:val="22"/>
        </w:rPr>
        <w:t>he ISI/IST program must be documented in a controlled manual and managed by technically qualified personnel, with ultimate program approval resting with the facility's executive manager</w:t>
      </w:r>
      <w:r w:rsidR="007000DB">
        <w:rPr>
          <w:rFonts w:ascii="Arial" w:hAnsi="Arial" w:cs="Arial"/>
          <w:sz w:val="22"/>
          <w:szCs w:val="22"/>
        </w:rPr>
        <w:t>,</w:t>
      </w:r>
      <w:r w:rsidRPr="00220690">
        <w:rPr>
          <w:rFonts w:ascii="Arial" w:hAnsi="Arial" w:cs="Arial"/>
          <w:sz w:val="22"/>
          <w:szCs w:val="22"/>
        </w:rPr>
        <w:t xml:space="preserve"> the program is subject to Appendix B quality assurance measures.</w:t>
      </w:r>
    </w:p>
    <w:p w:rsidR="007F112A" w:rsidRPr="00220690" w:rsidP="00220690" w14:paraId="7AEE257E" w14:textId="77777777">
      <w:pPr>
        <w:spacing w:after="220"/>
        <w:ind w:left="720" w:right="720"/>
        <w:rPr>
          <w:rFonts w:ascii="Arial" w:hAnsi="Arial" w:cs="Arial"/>
          <w:sz w:val="22"/>
          <w:szCs w:val="22"/>
        </w:rPr>
      </w:pPr>
      <w:r w:rsidRPr="00220690">
        <w:rPr>
          <w:rFonts w:ascii="Arial" w:hAnsi="Arial" w:cs="Arial"/>
          <w:sz w:val="22"/>
          <w:szCs w:val="22"/>
        </w:rPr>
        <w:t>(b) In conjunction with construction and initial reactor start-up efforts, baseline inspections and testing must be performed using the techniques intended for future inspections and testing. The results of these inspections and testing must be used in support of establishing as benchmarks for evaluating the results of future inspections and testing.</w:t>
      </w:r>
    </w:p>
    <w:p w:rsidR="007F112A" w:rsidRPr="00220690" w:rsidP="00220690" w14:paraId="1D21415F" w14:textId="77777777">
      <w:pPr>
        <w:spacing w:after="220"/>
        <w:ind w:left="720" w:right="720"/>
        <w:rPr>
          <w:rFonts w:ascii="Arial" w:hAnsi="Arial" w:cs="Arial"/>
          <w:sz w:val="22"/>
          <w:szCs w:val="22"/>
        </w:rPr>
      </w:pPr>
      <w:r w:rsidRPr="00220690">
        <w:rPr>
          <w:rFonts w:ascii="Arial" w:hAnsi="Arial" w:cs="Arial"/>
          <w:sz w:val="22"/>
          <w:szCs w:val="22"/>
        </w:rPr>
        <w:t>The design efforts should include providing for sufficient room to accommodate the personnel, ISI/IST equipment, and shielding necessary to perform the inspections and testing thereby aiding efforts to achieve acceptably low personnel radiation exposure.</w:t>
      </w:r>
    </w:p>
    <w:p w:rsidR="007F112A" w:rsidRPr="00220690" w:rsidP="00220690" w14:paraId="1FD590E3" w14:textId="77777777">
      <w:pPr>
        <w:spacing w:after="220"/>
        <w:ind w:left="720" w:right="720"/>
        <w:rPr>
          <w:rFonts w:ascii="Arial" w:hAnsi="Arial" w:cs="Arial"/>
          <w:sz w:val="22"/>
          <w:szCs w:val="22"/>
        </w:rPr>
      </w:pPr>
      <w:r w:rsidRPr="00220690">
        <w:rPr>
          <w:rFonts w:ascii="Arial" w:hAnsi="Arial" w:cs="Arial"/>
          <w:sz w:val="22"/>
          <w:szCs w:val="22"/>
        </w:rPr>
        <w:t>ISI/IST acceptance criteria for determining whether corrective action is needed must be derived from the original codes/standards, engineering specifications, and design documents cited in the design of the item in question. The results of the inspections and testing must be provided to the Technical Manager who is responsible for determining and justifying what, if any, corrective action is needed and when the actions should be taken. The ISI/IST results and corrective actions must be documented and retained for the life of the plant.</w:t>
      </w:r>
    </w:p>
    <w:p w:rsidR="007F112A" w:rsidRPr="00220690" w:rsidP="00220690" w14:paraId="5F2410DB" w14:textId="77777777">
      <w:pPr>
        <w:spacing w:after="220"/>
        <w:ind w:left="720" w:right="720"/>
        <w:rPr>
          <w:rFonts w:ascii="Arial" w:hAnsi="Arial" w:cs="Arial"/>
          <w:sz w:val="22"/>
          <w:szCs w:val="22"/>
        </w:rPr>
      </w:pPr>
      <w:r w:rsidRPr="00220690">
        <w:rPr>
          <w:rFonts w:ascii="Arial" w:hAnsi="Arial" w:cs="Arial"/>
          <w:sz w:val="22"/>
          <w:szCs w:val="22"/>
        </w:rPr>
        <w:t>Material changes to the ISI/IST program to accommodate on-going technology advancements must be identified, in a timely fashion, to the NRC prior to implementation in order to obtain a "no objection" letter from the NRC.</w:t>
      </w:r>
    </w:p>
    <w:p w:rsidR="007F112A" w:rsidRPr="00220690" w:rsidP="00220690" w14:paraId="05A78AD6" w14:textId="77777777">
      <w:pPr>
        <w:spacing w:after="220"/>
        <w:rPr>
          <w:rFonts w:ascii="Arial" w:eastAsia="Times New Roman" w:hAnsi="Arial" w:cs="Arial"/>
          <w:color w:val="000000"/>
          <w:sz w:val="22"/>
          <w:szCs w:val="22"/>
          <w:lang w:eastAsia="zh-CN"/>
        </w:rPr>
      </w:pPr>
      <w:r w:rsidRPr="00220690">
        <w:rPr>
          <w:rFonts w:ascii="Arial" w:hAnsi="Arial" w:cs="Arial"/>
          <w:sz w:val="22"/>
          <w:szCs w:val="22"/>
        </w:rPr>
        <w:t xml:space="preserve">Another commenter wrote that a major shortcoming in the NRC’s policies is that the Commission has not told the </w:t>
      </w:r>
      <w:r w:rsidR="00DE4697">
        <w:rPr>
          <w:rFonts w:ascii="Arial" w:hAnsi="Arial" w:cs="Arial"/>
          <w:sz w:val="22"/>
          <w:szCs w:val="22"/>
        </w:rPr>
        <w:t>agency</w:t>
      </w:r>
      <w:r w:rsidRPr="00220690">
        <w:rPr>
          <w:rFonts w:ascii="Arial" w:hAnsi="Arial" w:cs="Arial"/>
          <w:sz w:val="22"/>
          <w:szCs w:val="22"/>
        </w:rPr>
        <w:t xml:space="preserve"> what amount of risk is acceptable, and this is important as it “would not prevent the kind of insight that would identify one type of risk as greater, (or less than), another” and “it also does not allow a risk analyst to ignore any risk (at or less than that specified).” The commenter wrote that this is not an untested idea and </w:t>
      </w:r>
      <w:r w:rsidR="005074BF">
        <w:rPr>
          <w:rFonts w:ascii="Arial" w:hAnsi="Arial" w:cs="Arial"/>
          <w:sz w:val="22"/>
          <w:szCs w:val="22"/>
        </w:rPr>
        <w:t xml:space="preserve">rather </w:t>
      </w:r>
      <w:r w:rsidRPr="00220690">
        <w:rPr>
          <w:rFonts w:ascii="Arial" w:hAnsi="Arial" w:cs="Arial"/>
          <w:sz w:val="22"/>
          <w:szCs w:val="22"/>
        </w:rPr>
        <w:t>was encouraged by the NRC 30 years ago. The commenter added it is important to have acceptance criteria, which is pointed out in 10 CFR 53.880(b)</w:t>
      </w:r>
      <w:r w:rsidRPr="00563CF0">
        <w:rPr>
          <w:rFonts w:ascii="Arial" w:hAnsi="Arial" w:cs="Arial"/>
          <w:sz w:val="22"/>
          <w:szCs w:val="22"/>
        </w:rPr>
        <w:t xml:space="preserve"> (</w:t>
      </w:r>
      <w:r w:rsidRPr="00563CF0" w:rsidR="00563CF0">
        <w:rPr>
          <w:rFonts w:ascii="Arial" w:eastAsia="Times New Roman" w:hAnsi="Arial" w:cs="Arial"/>
          <w:color w:val="000000"/>
          <w:sz w:val="22"/>
          <w:szCs w:val="22"/>
        </w:rPr>
        <w:t>TG11</w:t>
      </w:r>
      <w:r w:rsidRPr="00563CF0">
        <w:rPr>
          <w:rFonts w:ascii="Arial" w:hAnsi="Arial" w:cs="Arial"/>
          <w:sz w:val="22"/>
          <w:szCs w:val="22"/>
        </w:rPr>
        <w:t>-0</w:t>
      </w:r>
      <w:r w:rsidRPr="00220690">
        <w:rPr>
          <w:rFonts w:ascii="Arial" w:hAnsi="Arial" w:cs="Arial"/>
          <w:sz w:val="22"/>
          <w:szCs w:val="22"/>
        </w:rPr>
        <w:t>002).</w:t>
      </w:r>
    </w:p>
    <w:p w:rsidR="007F112A" w:rsidRPr="00220690" w:rsidP="00220690" w14:paraId="0785EF17"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agrees, in part, with the comments.</w:t>
      </w:r>
    </w:p>
    <w:p w:rsidR="004A1F86" w:rsidRPr="00220690" w:rsidP="00220690" w14:paraId="3831F370" w14:textId="77777777">
      <w:pPr>
        <w:spacing w:after="220"/>
        <w:rPr>
          <w:rFonts w:ascii="Arial" w:hAnsi="Arial" w:cs="Arial"/>
          <w:sz w:val="22"/>
          <w:szCs w:val="22"/>
        </w:rPr>
      </w:pPr>
      <w:r w:rsidRPr="00220690">
        <w:rPr>
          <w:rFonts w:ascii="Arial" w:hAnsi="Arial" w:cs="Arial"/>
          <w:sz w:val="22"/>
          <w:szCs w:val="22"/>
        </w:rPr>
        <w:t xml:space="preserve">The NRC </w:t>
      </w:r>
      <w:r w:rsidRPr="00220690" w:rsidR="007212B5">
        <w:rPr>
          <w:rFonts w:ascii="Arial" w:hAnsi="Arial" w:cs="Arial"/>
          <w:sz w:val="22"/>
          <w:szCs w:val="22"/>
        </w:rPr>
        <w:t xml:space="preserve">agrees that the term “plant manager” in 10 CFR 53.880 is too specific for the requirement because it may have different meanings depending on the specific application. Accordingly, the NRC </w:t>
      </w:r>
      <w:r w:rsidR="0003694C">
        <w:rPr>
          <w:rFonts w:ascii="Arial" w:hAnsi="Arial" w:cs="Arial"/>
          <w:sz w:val="22"/>
          <w:szCs w:val="22"/>
        </w:rPr>
        <w:t>has revised</w:t>
      </w:r>
      <w:r w:rsidRPr="00220690" w:rsidR="007212B5">
        <w:rPr>
          <w:rFonts w:ascii="Arial" w:hAnsi="Arial" w:cs="Arial"/>
          <w:sz w:val="22"/>
          <w:szCs w:val="22"/>
        </w:rPr>
        <w:t xml:space="preserve"> the final rule language to replace that term with more generalized phrasing.</w:t>
      </w:r>
    </w:p>
    <w:p w:rsidR="0011131E" w:rsidP="00220690" w14:paraId="6F54DE5C" w14:textId="77777777">
      <w:pPr>
        <w:spacing w:after="220"/>
        <w:rPr>
          <w:rFonts w:ascii="Arial" w:hAnsi="Arial" w:cs="Arial"/>
          <w:sz w:val="22"/>
          <w:szCs w:val="22"/>
        </w:rPr>
      </w:pPr>
      <w:r w:rsidRPr="00220690">
        <w:rPr>
          <w:rFonts w:ascii="Arial" w:hAnsi="Arial" w:cs="Arial"/>
          <w:sz w:val="22"/>
          <w:szCs w:val="22"/>
        </w:rPr>
        <w:t xml:space="preserve">The NRC </w:t>
      </w:r>
      <w:r w:rsidRPr="00220690" w:rsidR="004A1F86">
        <w:rPr>
          <w:rFonts w:ascii="Arial" w:hAnsi="Arial" w:cs="Arial"/>
          <w:sz w:val="22"/>
          <w:szCs w:val="22"/>
        </w:rPr>
        <w:t>otherwise</w:t>
      </w:r>
      <w:r w:rsidRPr="00220690">
        <w:rPr>
          <w:rFonts w:ascii="Arial" w:hAnsi="Arial" w:cs="Arial"/>
          <w:sz w:val="22"/>
          <w:szCs w:val="22"/>
        </w:rPr>
        <w:t xml:space="preserve"> disagrees that all the requirements in 10 CFR 53.880 are too detailed and descriptive and should be moved to guidance and that the requirement in 10 CFR 53.880(a) to use risk insights should be removed. As discussed in the proposed and final rules, 10</w:t>
      </w:r>
      <w:r w:rsidR="0003694C">
        <w:rPr>
          <w:rFonts w:ascii="Arial" w:hAnsi="Arial" w:cs="Arial"/>
          <w:sz w:val="22"/>
          <w:szCs w:val="22"/>
        </w:rPr>
        <w:t> </w:t>
      </w:r>
      <w:r w:rsidRPr="00220690">
        <w:rPr>
          <w:rFonts w:ascii="Arial" w:hAnsi="Arial" w:cs="Arial"/>
          <w:sz w:val="22"/>
          <w:szCs w:val="22"/>
        </w:rPr>
        <w:t>CFR</w:t>
      </w:r>
      <w:r w:rsidR="0003694C">
        <w:rPr>
          <w:rFonts w:ascii="Arial" w:hAnsi="Arial" w:cs="Arial"/>
          <w:sz w:val="22"/>
          <w:szCs w:val="22"/>
        </w:rPr>
        <w:t> </w:t>
      </w:r>
      <w:r w:rsidRPr="00220690">
        <w:rPr>
          <w:rFonts w:ascii="Arial" w:hAnsi="Arial" w:cs="Arial"/>
          <w:sz w:val="22"/>
          <w:szCs w:val="22"/>
        </w:rPr>
        <w:t>53.880 establishes requirements for ISI and IST, which are historically important activities conducted in accordance with ASME codes and regulations in 10 CFR 50.55a. The additional use of risk insights in 10 CFR 53.880(a) for minimizing risk to plant workers and the public is consistent with the risk-informed and performance-based nature of the design process under 10</w:t>
      </w:r>
      <w:r w:rsidR="00754BF1">
        <w:rPr>
          <w:rFonts w:ascii="Arial" w:hAnsi="Arial" w:cs="Arial"/>
          <w:sz w:val="22"/>
          <w:szCs w:val="22"/>
        </w:rPr>
        <w:t> </w:t>
      </w:r>
      <w:r w:rsidRPr="00220690">
        <w:rPr>
          <w:rFonts w:ascii="Arial" w:hAnsi="Arial" w:cs="Arial"/>
          <w:sz w:val="22"/>
          <w:szCs w:val="22"/>
        </w:rPr>
        <w:t xml:space="preserve">CFR Part 53. </w:t>
      </w:r>
    </w:p>
    <w:p w:rsidR="007F112A" w:rsidRPr="00220690" w:rsidP="00220690" w14:paraId="25E364FC" w14:textId="77777777">
      <w:pPr>
        <w:spacing w:after="220"/>
        <w:rPr>
          <w:rFonts w:ascii="Arial" w:hAnsi="Arial" w:cs="Arial"/>
          <w:sz w:val="22"/>
          <w:szCs w:val="22"/>
        </w:rPr>
      </w:pPr>
      <w:r w:rsidRPr="00220690">
        <w:rPr>
          <w:rFonts w:ascii="Arial" w:hAnsi="Arial" w:cs="Arial"/>
          <w:sz w:val="22"/>
          <w:szCs w:val="22"/>
        </w:rPr>
        <w:t>The NRC disagrees</w:t>
      </w:r>
      <w:r w:rsidRPr="00220690" w:rsidR="00EB7DE1">
        <w:rPr>
          <w:rFonts w:ascii="Arial" w:hAnsi="Arial" w:cs="Arial"/>
          <w:sz w:val="22"/>
          <w:szCs w:val="22"/>
        </w:rPr>
        <w:t xml:space="preserve"> with</w:t>
      </w:r>
      <w:r w:rsidRPr="00220690" w:rsidR="002A2C62">
        <w:rPr>
          <w:rFonts w:ascii="Arial" w:hAnsi="Arial" w:cs="Arial"/>
          <w:sz w:val="22"/>
          <w:szCs w:val="22"/>
        </w:rPr>
        <w:t xml:space="preserve"> the comment r</w:t>
      </w:r>
      <w:r w:rsidRPr="00220690">
        <w:rPr>
          <w:rFonts w:ascii="Arial" w:hAnsi="Arial" w:cs="Arial"/>
          <w:sz w:val="22"/>
          <w:szCs w:val="22"/>
        </w:rPr>
        <w:t>egarding consensus codes and standards</w:t>
      </w:r>
      <w:r w:rsidRPr="00220690" w:rsidR="003461B6">
        <w:rPr>
          <w:rFonts w:ascii="Arial" w:hAnsi="Arial" w:cs="Arial"/>
          <w:sz w:val="22"/>
          <w:szCs w:val="22"/>
        </w:rPr>
        <w:t xml:space="preserve">. </w:t>
      </w:r>
      <w:r w:rsidRPr="00220690" w:rsidR="00AE4111">
        <w:rPr>
          <w:rFonts w:ascii="Arial" w:hAnsi="Arial" w:cs="Arial"/>
          <w:sz w:val="22"/>
          <w:szCs w:val="22"/>
        </w:rPr>
        <w:t>The NTTAA directs all Federal agencies and departments to use technical standards that are adopted or developed by voluntary consensus standards bodies and also addresses consultation and participation with such bodies. OMB Circular A-119 establishes policies on the Federal use and development of voluntary consensus standards as it relates to the NTTAA and does not require United States Government involvement in the development of a voluntary consensus standard for such a standard to be considered as such. Further, the NTTAA also includes an exception to allow the adoption of technical standards that are not developed or adopted by voluntary consensus standards bodies.</w:t>
      </w:r>
    </w:p>
    <w:p w:rsidR="007F112A" w:rsidRPr="00220690" w:rsidP="00220690" w14:paraId="1FA5F13D" w14:textId="77777777">
      <w:pPr>
        <w:spacing w:after="220"/>
        <w:rPr>
          <w:rFonts w:ascii="Arial" w:hAnsi="Arial" w:cs="Arial"/>
          <w:sz w:val="22"/>
          <w:szCs w:val="22"/>
        </w:rPr>
      </w:pPr>
      <w:r w:rsidRPr="00220690">
        <w:rPr>
          <w:rFonts w:ascii="Arial" w:hAnsi="Arial" w:cs="Arial"/>
          <w:sz w:val="22"/>
          <w:szCs w:val="22"/>
        </w:rPr>
        <w:t xml:space="preserve">The NRC disagrees </w:t>
      </w:r>
      <w:r w:rsidRPr="00220690" w:rsidR="002A2C62">
        <w:rPr>
          <w:rFonts w:ascii="Arial" w:hAnsi="Arial" w:cs="Arial"/>
          <w:sz w:val="22"/>
          <w:szCs w:val="22"/>
        </w:rPr>
        <w:t xml:space="preserve">that </w:t>
      </w:r>
      <w:r w:rsidRPr="00220690">
        <w:rPr>
          <w:rFonts w:ascii="Arial" w:hAnsi="Arial" w:cs="Arial"/>
          <w:sz w:val="22"/>
          <w:szCs w:val="22"/>
        </w:rPr>
        <w:t>the requirements in 10 CFR 53.880 conflict with the risk</w:t>
      </w:r>
      <w:r w:rsidRPr="00220690" w:rsidR="00FB5FB5">
        <w:rPr>
          <w:rFonts w:ascii="Arial" w:hAnsi="Arial" w:cs="Arial"/>
          <w:sz w:val="22"/>
          <w:szCs w:val="22"/>
        </w:rPr>
        <w:noBreakHyphen/>
      </w:r>
      <w:r w:rsidRPr="00220690">
        <w:rPr>
          <w:rFonts w:ascii="Arial" w:hAnsi="Arial" w:cs="Arial"/>
          <w:sz w:val="22"/>
          <w:szCs w:val="22"/>
        </w:rPr>
        <w:t xml:space="preserve">informed aspects of the Nuclear Energy Innovation and Modernization Act because the requirements in 10 CFR 53.880 allow for flexibility in determining how a technology-inclusive, risk-informed, and performance-based ISI and IST program could be established. The </w:t>
      </w:r>
      <w:r w:rsidRPr="00220690" w:rsidR="00FB5FB5">
        <w:rPr>
          <w:rFonts w:ascii="Arial" w:hAnsi="Arial" w:cs="Arial"/>
          <w:sz w:val="22"/>
          <w:szCs w:val="22"/>
        </w:rPr>
        <w:t>NRC</w:t>
      </w:r>
      <w:r w:rsidRPr="00220690">
        <w:rPr>
          <w:rFonts w:ascii="Arial" w:hAnsi="Arial" w:cs="Arial"/>
          <w:sz w:val="22"/>
          <w:szCs w:val="22"/>
        </w:rPr>
        <w:t xml:space="preserve"> disagrees with moving the requirements for an ISI/IST program to 10 CFR 53.440 because 10 CFR 53.440 primarily focuses on requirements for the design of commercial nuclear plant.</w:t>
      </w:r>
    </w:p>
    <w:p w:rsidR="007F112A" w:rsidRPr="00220690" w:rsidP="00220690" w14:paraId="3C2474E5" w14:textId="77777777">
      <w:pPr>
        <w:spacing w:after="220"/>
        <w:rPr>
          <w:rFonts w:ascii="Arial" w:hAnsi="Arial" w:cs="Arial"/>
          <w:sz w:val="22"/>
          <w:szCs w:val="22"/>
        </w:rPr>
      </w:pPr>
      <w:r w:rsidRPr="00220690">
        <w:rPr>
          <w:rFonts w:ascii="Arial" w:hAnsi="Arial" w:cs="Arial"/>
          <w:sz w:val="22"/>
          <w:szCs w:val="22"/>
        </w:rPr>
        <w:t>The NRC disagrees that the Commission has not provided guidance and perspectives on acceptable levels of risk. The stated objective of the Commission’s policy statement, titled, “Safety Goals for the Operations of Nuclear Power Plants,” is to establish goals that broadly define an acceptable level of radiological risk that might be imposed on the public as a result of nuclear power plant operation.</w:t>
      </w:r>
    </w:p>
    <w:p w:rsidR="007F112A" w:rsidP="00220690" w14:paraId="5DA556D2"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w:t>
      </w:r>
      <w:r w:rsidRPr="00220690" w:rsidR="004D22AE">
        <w:rPr>
          <w:rFonts w:ascii="Arial" w:hAnsi="Arial" w:cs="Arial"/>
          <w:sz w:val="22"/>
          <w:szCs w:val="22"/>
        </w:rPr>
        <w:t>ese</w:t>
      </w:r>
      <w:r w:rsidRPr="00220690">
        <w:rPr>
          <w:rFonts w:ascii="Arial" w:hAnsi="Arial" w:cs="Arial"/>
          <w:sz w:val="22"/>
          <w:szCs w:val="22"/>
        </w:rPr>
        <w:t xml:space="preserve"> comment</w:t>
      </w:r>
      <w:r w:rsidRPr="00220690" w:rsidR="004D22AE">
        <w:rPr>
          <w:rFonts w:ascii="Arial" w:hAnsi="Arial" w:cs="Arial"/>
          <w:sz w:val="22"/>
          <w:szCs w:val="22"/>
        </w:rPr>
        <w:t>s</w:t>
      </w:r>
      <w:r w:rsidRPr="00220690" w:rsidR="00A3328A">
        <w:rPr>
          <w:rFonts w:ascii="Arial" w:hAnsi="Arial" w:cs="Arial"/>
          <w:sz w:val="22"/>
          <w:szCs w:val="22"/>
        </w:rPr>
        <w:t xml:space="preserve"> other than the revision related to the term “plant manager.”</w:t>
      </w:r>
    </w:p>
    <w:p w:rsidR="00220690" w:rsidP="00220690" w14:paraId="2B00AA21"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2" style="width:0;height:1.5pt" o:hralign="center" o:hrstd="t" o:hrnoshade="t" o:hr="t" fillcolor="black" stroked="f"/>
        </w:pict>
      </w:r>
    </w:p>
    <w:p w:rsidR="007F112A" w:rsidRPr="00220690" w:rsidP="00220690" w14:paraId="538B86C8" w14:textId="77777777">
      <w:pPr>
        <w:spacing w:after="220"/>
        <w:rPr>
          <w:rFonts w:ascii="Arial" w:eastAsia="Times New Roman" w:hAnsi="Arial" w:cs="Arial"/>
          <w:color w:val="000000"/>
          <w:sz w:val="22"/>
          <w:szCs w:val="22"/>
          <w:lang w:eastAsia="zh-CN"/>
        </w:rPr>
      </w:pPr>
      <w:r w:rsidRPr="00220690">
        <w:rPr>
          <w:rFonts w:ascii="Arial" w:eastAsia="DengXian" w:hAnsi="Arial" w:cs="Arial"/>
          <w:b/>
          <w:sz w:val="22"/>
          <w:szCs w:val="22"/>
        </w:rPr>
        <w:t>Comment Bin 3.6.3.5.C:</w:t>
      </w:r>
      <w:r w:rsidRPr="00220690">
        <w:rPr>
          <w:rFonts w:ascii="Arial" w:eastAsia="DengXian" w:hAnsi="Arial" w:cs="Arial"/>
          <w:sz w:val="22"/>
          <w:szCs w:val="22"/>
        </w:rPr>
        <w:t xml:space="preserve"> </w:t>
      </w:r>
      <w:r w:rsidRPr="00220690">
        <w:rPr>
          <w:rFonts w:ascii="Arial" w:hAnsi="Arial" w:cs="Arial"/>
          <w:sz w:val="22"/>
          <w:szCs w:val="22"/>
        </w:rPr>
        <w:t>A commenter wrote that the goal for quality assurance should be to reduce costs while maintaining safety, and one way to do this is a performance</w:t>
      </w:r>
      <w:r w:rsidRPr="00220690">
        <w:rPr>
          <w:rFonts w:ascii="Arial" w:hAnsi="Arial" w:cs="Arial"/>
          <w:sz w:val="22"/>
          <w:szCs w:val="22"/>
        </w:rPr>
        <w:noBreakHyphen/>
        <w:t xml:space="preserve">based approach. The commenter referenced a program by </w:t>
      </w:r>
      <w:r w:rsidR="003D43C2">
        <w:rPr>
          <w:rFonts w:ascii="Arial" w:hAnsi="Arial" w:cs="Arial"/>
          <w:sz w:val="22"/>
          <w:szCs w:val="22"/>
        </w:rPr>
        <w:t>the Electric Power Research Institute</w:t>
      </w:r>
      <w:r w:rsidRPr="00220690">
        <w:rPr>
          <w:rFonts w:ascii="Arial" w:hAnsi="Arial" w:cs="Arial"/>
          <w:sz w:val="22"/>
          <w:szCs w:val="22"/>
        </w:rPr>
        <w:t xml:space="preserve"> as a way to do this, but on a larger scale. The commenter also said additional redundancy is a way to deal with QA costs while maintaining safety. The commenter wrote that areas like QA need to be updated using performance data as part of the NRC’s modernization process (</w:t>
      </w:r>
      <w:r w:rsidR="00B9339E">
        <w:rPr>
          <w:rFonts w:ascii="Arial" w:hAnsi="Arial" w:cs="Arial"/>
          <w:sz w:val="22"/>
          <w:szCs w:val="22"/>
        </w:rPr>
        <w:t>MU1</w:t>
      </w:r>
      <w:r w:rsidRPr="00220690">
        <w:rPr>
          <w:rFonts w:ascii="Arial" w:hAnsi="Arial" w:cs="Arial"/>
          <w:sz w:val="22"/>
          <w:szCs w:val="22"/>
        </w:rPr>
        <w:t>-0007).</w:t>
      </w:r>
    </w:p>
    <w:p w:rsidR="003E7F4B" w:rsidP="00220690" w14:paraId="2ABE9BD9"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 xml:space="preserve">The NRC agrees, in part, with the comment. The NRC believes the sentiments expressed in the comment are already accommodated by the 10 CFR Part 53 regulatory framework, including updates thereof based on performance data accrued through operational experience. </w:t>
      </w:r>
    </w:p>
    <w:p w:rsidR="007F112A" w:rsidP="00220690" w14:paraId="6D6D8A9A"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this comment.</w:t>
      </w:r>
    </w:p>
    <w:p w:rsidR="00220690" w:rsidRPr="00220690" w:rsidP="00220690" w14:paraId="1E6B2DAF"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3" style="width:0;height:1.5pt" o:hralign="center" o:hrstd="t" o:hrnoshade="t" o:hr="t" fillcolor="black" stroked="f"/>
        </w:pict>
      </w:r>
    </w:p>
    <w:p w:rsidR="007F112A" w:rsidRPr="00220690" w:rsidP="00220690" w14:paraId="10C4503E" w14:textId="77777777">
      <w:pPr>
        <w:spacing w:after="220"/>
        <w:rPr>
          <w:rFonts w:ascii="Arial" w:eastAsia="Times New Roman" w:hAnsi="Arial" w:cs="Arial"/>
          <w:color w:val="000000"/>
          <w:sz w:val="22"/>
          <w:szCs w:val="22"/>
          <w:lang w:eastAsia="zh-CN"/>
        </w:rPr>
      </w:pPr>
      <w:r w:rsidRPr="00220690">
        <w:rPr>
          <w:rFonts w:ascii="Arial" w:eastAsia="DengXian" w:hAnsi="Arial" w:cs="Arial"/>
          <w:b/>
          <w:sz w:val="22"/>
          <w:szCs w:val="22"/>
        </w:rPr>
        <w:t>Comment Bin 3.6.3.5.D:</w:t>
      </w:r>
      <w:r w:rsidRPr="00220690">
        <w:rPr>
          <w:rFonts w:ascii="Arial" w:eastAsia="DengXian" w:hAnsi="Arial" w:cs="Arial"/>
          <w:sz w:val="22"/>
          <w:szCs w:val="22"/>
        </w:rPr>
        <w:t xml:space="preserve"> </w:t>
      </w:r>
      <w:r w:rsidRPr="00220690">
        <w:rPr>
          <w:rFonts w:ascii="Arial" w:hAnsi="Arial" w:cs="Arial"/>
          <w:sz w:val="22"/>
          <w:szCs w:val="22"/>
        </w:rPr>
        <w:t xml:space="preserve">A commenter wrote that the requirements in 10 CFR 53.865 should be deleted. The commenter wrote that including Appendix B to 10 CFR Part 50 in the rule already requires a </w:t>
      </w:r>
      <w:r w:rsidR="00755015">
        <w:rPr>
          <w:rFonts w:ascii="Arial" w:hAnsi="Arial" w:cs="Arial"/>
          <w:sz w:val="22"/>
          <w:szCs w:val="22"/>
        </w:rPr>
        <w:t>QA</w:t>
      </w:r>
      <w:r w:rsidRPr="00220690">
        <w:rPr>
          <w:rFonts w:ascii="Arial" w:hAnsi="Arial" w:cs="Arial"/>
          <w:sz w:val="22"/>
          <w:szCs w:val="22"/>
        </w:rPr>
        <w:t xml:space="preserve"> program, and there is no legal basis for requiring that the NRC must endorse consensus codes and standards or that consensus codes and standards must be used to develop the </w:t>
      </w:r>
      <w:r w:rsidR="00755015">
        <w:rPr>
          <w:rFonts w:ascii="Arial" w:hAnsi="Arial" w:cs="Arial"/>
          <w:sz w:val="22"/>
          <w:szCs w:val="22"/>
        </w:rPr>
        <w:t>QA</w:t>
      </w:r>
      <w:r w:rsidRPr="00220690">
        <w:rPr>
          <w:rFonts w:ascii="Arial" w:hAnsi="Arial" w:cs="Arial"/>
          <w:sz w:val="22"/>
          <w:szCs w:val="22"/>
        </w:rPr>
        <w:t xml:space="preserve"> program. The commenter added that there are no discernable acceptance standards for guiding the conduct of the quality assurance program, and as such applicants would be “subject to the whims of the NRC staff.” The commenter wrote that NEIMA requires the NRC staff to cooperate with the nuclear industry in developing consensus codes and standards, and that subsequently requiring of codes and standards is “double jeopardy” as the NRC has previously approved the document by virtue of being part of the consensus</w:t>
      </w:r>
      <w:r w:rsidRPr="00A02F0C">
        <w:rPr>
          <w:rFonts w:ascii="Arial" w:hAnsi="Arial" w:cs="Arial"/>
          <w:sz w:val="22"/>
          <w:szCs w:val="22"/>
        </w:rPr>
        <w:t xml:space="preserve"> </w:t>
      </w:r>
      <w:r w:rsidR="003F165D">
        <w:rPr>
          <w:rFonts w:ascii="Arial" w:hAnsi="Arial" w:cs="Arial"/>
          <w:sz w:val="22"/>
          <w:szCs w:val="22"/>
        </w:rPr>
        <w:br/>
      </w:r>
      <w:r w:rsidRPr="00A02F0C">
        <w:rPr>
          <w:rFonts w:ascii="Arial" w:hAnsi="Arial" w:cs="Arial"/>
          <w:sz w:val="22"/>
          <w:szCs w:val="22"/>
        </w:rPr>
        <w:t>(</w:t>
      </w:r>
      <w:r w:rsidRPr="00A02F0C" w:rsidR="00A02F0C">
        <w:rPr>
          <w:rFonts w:ascii="Arial" w:eastAsia="Times New Roman" w:hAnsi="Arial" w:cs="Arial"/>
          <w:color w:val="000000"/>
          <w:sz w:val="22"/>
          <w:szCs w:val="22"/>
        </w:rPr>
        <w:t>HPT21</w:t>
      </w:r>
      <w:r w:rsidRPr="00A02F0C">
        <w:rPr>
          <w:rFonts w:ascii="Arial" w:hAnsi="Arial" w:cs="Arial"/>
          <w:sz w:val="22"/>
          <w:szCs w:val="22"/>
        </w:rPr>
        <w:t>-</w:t>
      </w:r>
      <w:r w:rsidRPr="00220690">
        <w:rPr>
          <w:rFonts w:ascii="Arial" w:hAnsi="Arial" w:cs="Arial"/>
          <w:sz w:val="22"/>
          <w:szCs w:val="22"/>
        </w:rPr>
        <w:t>0001).</w:t>
      </w:r>
    </w:p>
    <w:p w:rsidR="0066494E" w:rsidRPr="00220690" w:rsidP="00220690" w14:paraId="564720CE"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agrees, in part, with the comment.</w:t>
      </w:r>
    </w:p>
    <w:p w:rsidR="007F112A" w:rsidRPr="00220690" w:rsidP="00220690" w14:paraId="01C26737" w14:textId="77777777">
      <w:pPr>
        <w:spacing w:after="220"/>
        <w:rPr>
          <w:rFonts w:ascii="Arial" w:hAnsi="Arial" w:cs="Arial"/>
          <w:sz w:val="22"/>
          <w:szCs w:val="22"/>
        </w:rPr>
      </w:pPr>
      <w:r w:rsidRPr="00220690">
        <w:rPr>
          <w:rFonts w:ascii="Arial" w:hAnsi="Arial" w:cs="Arial"/>
          <w:sz w:val="22"/>
          <w:szCs w:val="22"/>
        </w:rPr>
        <w:t>The NRC disagrees with the suggestion that 10 CFR 53.865 be deleted, and the section is maintained in the final rule. Experience with the construction and operation of plants licensed under 10 CFR Parts 50 and 52 demonstrated the importance of quality assurance programs and associated regulations that provided the basis for the requirements in 10 CFR Part 53.</w:t>
      </w:r>
    </w:p>
    <w:p w:rsidR="00C83855" w:rsidRPr="00220690" w:rsidP="00220690" w14:paraId="19FE5D6F" w14:textId="77777777">
      <w:pPr>
        <w:spacing w:after="220"/>
        <w:rPr>
          <w:rFonts w:ascii="Arial" w:hAnsi="Arial" w:cs="Arial"/>
          <w:sz w:val="22"/>
          <w:szCs w:val="22"/>
        </w:rPr>
      </w:pPr>
      <w:r w:rsidRPr="00220690">
        <w:rPr>
          <w:rFonts w:ascii="Arial" w:hAnsi="Arial" w:cs="Arial"/>
          <w:sz w:val="22"/>
          <w:szCs w:val="22"/>
        </w:rPr>
        <w:t>The NRC agrees that there is no current requirement that the NRC must endorse consensus codes and standards or that consensus codes and standards must be used to develop the quality assurance program. An applicant or licensee could choose to develop a quality assurance program manual that does refer to all or parts of generally accepted consensus codes and standards.</w:t>
      </w:r>
    </w:p>
    <w:p w:rsidR="00220690" w:rsidP="00220690" w14:paraId="4E53247F" w14:textId="77777777">
      <w:pPr>
        <w:spacing w:after="220"/>
        <w:rPr>
          <w:rFonts w:ascii="Arial" w:hAnsi="Arial" w:cs="Arial"/>
          <w:sz w:val="22"/>
          <w:szCs w:val="22"/>
        </w:rPr>
      </w:pPr>
      <w:r w:rsidRPr="00220690">
        <w:rPr>
          <w:rFonts w:ascii="Arial" w:hAnsi="Arial" w:cs="Arial"/>
          <w:sz w:val="22"/>
          <w:szCs w:val="22"/>
        </w:rPr>
        <w:t xml:space="preserve">Accordingly, the NRC </w:t>
      </w:r>
      <w:r w:rsidR="0003694C">
        <w:rPr>
          <w:rFonts w:ascii="Arial" w:hAnsi="Arial" w:cs="Arial"/>
          <w:sz w:val="22"/>
          <w:szCs w:val="22"/>
        </w:rPr>
        <w:t>has revised</w:t>
      </w:r>
      <w:r w:rsidR="00F24B99">
        <w:rPr>
          <w:rFonts w:ascii="Arial" w:hAnsi="Arial" w:cs="Arial"/>
          <w:sz w:val="22"/>
          <w:szCs w:val="22"/>
        </w:rPr>
        <w:t xml:space="preserve"> the</w:t>
      </w:r>
      <w:r w:rsidRPr="00220690">
        <w:rPr>
          <w:rFonts w:ascii="Arial" w:hAnsi="Arial" w:cs="Arial"/>
          <w:sz w:val="22"/>
          <w:szCs w:val="22"/>
        </w:rPr>
        <w:t xml:space="preserve"> rule language to delete the requirement to develop QA program manuals and guide the QA program in accordance with generally accepted consensus codes and standards that have been endorsed or otherwise found acceptable by the NRC.</w:t>
      </w:r>
    </w:p>
    <w:p w:rsidR="00220690" w:rsidP="00220690" w14:paraId="66ABFD51" w14:textId="77777777">
      <w:pPr>
        <w:spacing w:after="220"/>
        <w:rPr>
          <w:rFonts w:ascii="Arial" w:hAnsi="Arial" w:cs="Arial"/>
          <w:sz w:val="22"/>
          <w:szCs w:val="22"/>
        </w:rPr>
      </w:pPr>
      <w:r>
        <w:rPr>
          <w:rFonts w:ascii="Arial" w:eastAsia="Times New Roman" w:hAnsi="Arial" w:cs="Arial"/>
          <w:sz w:val="22"/>
          <w:szCs w:val="22"/>
          <w:lang w:eastAsia="zh-CN"/>
        </w:rPr>
        <w:pict>
          <v:rect id="_x0000_i1224" style="width:0;height:1.5pt" o:hralign="center" o:hrstd="t" o:hrnoshade="t" o:hr="t" fillcolor="black" stroked="f"/>
        </w:pict>
      </w:r>
    </w:p>
    <w:p w:rsidR="00851895" w:rsidRPr="00220690" w:rsidP="00220690" w14:paraId="6F21FCD1" w14:textId="77777777">
      <w:pPr>
        <w:spacing w:after="220"/>
        <w:rPr>
          <w:rFonts w:ascii="Arial" w:hAnsi="Arial" w:cs="Arial"/>
          <w:sz w:val="22"/>
          <w:szCs w:val="22"/>
        </w:rPr>
      </w:pPr>
      <w:r w:rsidRPr="00220690">
        <w:rPr>
          <w:rFonts w:ascii="Arial" w:eastAsia="DengXian" w:hAnsi="Arial" w:cs="Arial"/>
          <w:b/>
          <w:sz w:val="22"/>
          <w:szCs w:val="22"/>
        </w:rPr>
        <w:t>Comment Bin 3.6.3.5.E:</w:t>
      </w:r>
      <w:r w:rsidRPr="00220690">
        <w:rPr>
          <w:rFonts w:ascii="Arial" w:eastAsia="DengXian" w:hAnsi="Arial" w:cs="Arial"/>
          <w:sz w:val="22"/>
          <w:szCs w:val="22"/>
        </w:rPr>
        <w:t xml:space="preserve"> </w:t>
      </w:r>
      <w:r w:rsidRPr="00220690">
        <w:rPr>
          <w:rFonts w:ascii="Arial" w:hAnsi="Arial" w:cs="Arial"/>
          <w:sz w:val="22"/>
          <w:szCs w:val="22"/>
        </w:rPr>
        <w:t>One commenter said that 10 CFR 53.875(a)(2) provides examples of specific features to be included within a fire protection plan, which implies minimum criteria. The commenter recommended that NRC remove all examples of specific features to be included within a fire protection plan (</w:t>
      </w:r>
      <w:r w:rsidR="009D6BB9">
        <w:rPr>
          <w:rFonts w:ascii="Arial" w:hAnsi="Arial" w:cs="Arial"/>
          <w:sz w:val="22"/>
          <w:szCs w:val="22"/>
        </w:rPr>
        <w:t>NEI2</w:t>
      </w:r>
      <w:r w:rsidRPr="00220690">
        <w:rPr>
          <w:rFonts w:ascii="Arial" w:hAnsi="Arial" w:cs="Arial"/>
          <w:sz w:val="22"/>
          <w:szCs w:val="22"/>
        </w:rPr>
        <w:t>-0114).</w:t>
      </w:r>
    </w:p>
    <w:p w:rsidR="00851895" w:rsidRPr="00220690" w:rsidP="00220690" w14:paraId="05ECC974" w14:textId="77777777">
      <w:pPr>
        <w:spacing w:after="220"/>
        <w:rPr>
          <w:rFonts w:ascii="Arial" w:hAnsi="Arial" w:cs="Arial"/>
          <w:sz w:val="22"/>
          <w:szCs w:val="22"/>
        </w:rPr>
      </w:pPr>
      <w:r w:rsidRPr="00220690">
        <w:rPr>
          <w:rFonts w:ascii="Arial" w:hAnsi="Arial" w:cs="Arial"/>
          <w:sz w:val="22"/>
          <w:szCs w:val="22"/>
        </w:rPr>
        <w:t>The commenter also expressed appreciation for the language in 10</w:t>
      </w:r>
      <w:r w:rsidRPr="00220690" w:rsidR="00CB484A">
        <w:rPr>
          <w:rFonts w:ascii="Arial" w:hAnsi="Arial" w:cs="Arial"/>
          <w:sz w:val="22"/>
          <w:szCs w:val="22"/>
        </w:rPr>
        <w:t> </w:t>
      </w:r>
      <w:r w:rsidRPr="00220690">
        <w:rPr>
          <w:rFonts w:ascii="Arial" w:hAnsi="Arial" w:cs="Arial"/>
          <w:sz w:val="22"/>
          <w:szCs w:val="22"/>
        </w:rPr>
        <w:t>CFR</w:t>
      </w:r>
      <w:r w:rsidRPr="00220690" w:rsidR="00CB484A">
        <w:rPr>
          <w:rFonts w:ascii="Arial" w:hAnsi="Arial" w:cs="Arial"/>
          <w:sz w:val="22"/>
          <w:szCs w:val="22"/>
        </w:rPr>
        <w:t> </w:t>
      </w:r>
      <w:r w:rsidRPr="00220690">
        <w:rPr>
          <w:rFonts w:ascii="Arial" w:hAnsi="Arial" w:cs="Arial"/>
          <w:sz w:val="22"/>
          <w:szCs w:val="22"/>
        </w:rPr>
        <w:t>53.875(b) that states, “Each holder of an OL or COL under this part must develop a performance</w:t>
      </w:r>
      <w:r w:rsidRPr="00220690" w:rsidR="00766B07">
        <w:rPr>
          <w:rFonts w:ascii="Arial" w:hAnsi="Arial" w:cs="Arial"/>
          <w:sz w:val="22"/>
          <w:szCs w:val="22"/>
        </w:rPr>
        <w:noBreakHyphen/>
      </w:r>
      <w:r w:rsidRPr="00220690">
        <w:rPr>
          <w:rFonts w:ascii="Arial" w:hAnsi="Arial" w:cs="Arial"/>
          <w:sz w:val="22"/>
          <w:szCs w:val="22"/>
        </w:rPr>
        <w:t>based or deterministic fire protection program,” but wrote that RG 1.189 and RG 1.205</w:t>
      </w:r>
      <w:r w:rsidR="00790C46">
        <w:rPr>
          <w:rFonts w:ascii="Arial" w:hAnsi="Arial" w:cs="Arial"/>
          <w:sz w:val="22"/>
          <w:szCs w:val="22"/>
        </w:rPr>
        <w:t xml:space="preserve">, “ </w:t>
      </w:r>
      <w:r w:rsidR="00E5689C">
        <w:rPr>
          <w:rFonts w:ascii="Arial" w:hAnsi="Arial" w:cs="Arial"/>
          <w:sz w:val="22"/>
          <w:szCs w:val="22"/>
        </w:rPr>
        <w:t>Risk-Informed, Performance-</w:t>
      </w:r>
      <w:r w:rsidR="009D76AC">
        <w:rPr>
          <w:rFonts w:ascii="Arial" w:hAnsi="Arial" w:cs="Arial"/>
          <w:sz w:val="22"/>
          <w:szCs w:val="22"/>
        </w:rPr>
        <w:t>B</w:t>
      </w:r>
      <w:r w:rsidR="00E5689C">
        <w:rPr>
          <w:rFonts w:ascii="Arial" w:hAnsi="Arial" w:cs="Arial"/>
          <w:sz w:val="22"/>
          <w:szCs w:val="22"/>
        </w:rPr>
        <w:t>ased</w:t>
      </w:r>
      <w:r w:rsidR="009D76AC">
        <w:rPr>
          <w:rFonts w:ascii="Arial" w:hAnsi="Arial" w:cs="Arial"/>
          <w:sz w:val="22"/>
          <w:szCs w:val="22"/>
        </w:rPr>
        <w:t xml:space="preserve"> Fire Protection for Existing Light-Water Nuclear Power Plants</w:t>
      </w:r>
      <w:r w:rsidR="00790C46">
        <w:rPr>
          <w:rFonts w:ascii="Arial" w:hAnsi="Arial" w:cs="Arial"/>
          <w:sz w:val="22"/>
          <w:szCs w:val="22"/>
        </w:rPr>
        <w:t xml:space="preserve">,” issued </w:t>
      </w:r>
      <w:r w:rsidR="00C24257">
        <w:rPr>
          <w:rFonts w:ascii="Arial" w:hAnsi="Arial" w:cs="Arial"/>
          <w:sz w:val="22"/>
          <w:szCs w:val="22"/>
        </w:rPr>
        <w:br/>
      </w:r>
      <w:r w:rsidR="00E72FD7">
        <w:rPr>
          <w:rFonts w:ascii="Arial" w:hAnsi="Arial" w:cs="Arial"/>
          <w:sz w:val="22"/>
          <w:szCs w:val="22"/>
        </w:rPr>
        <w:t xml:space="preserve">May 2021 </w:t>
      </w:r>
      <w:r w:rsidR="00790C46">
        <w:rPr>
          <w:rFonts w:ascii="Arial" w:hAnsi="Arial" w:cs="Arial"/>
          <w:sz w:val="22"/>
          <w:szCs w:val="22"/>
        </w:rPr>
        <w:t>(</w:t>
      </w:r>
      <w:r w:rsidRPr="007819DE" w:rsidR="007819DE">
        <w:rPr>
          <w:rFonts w:ascii="Arial" w:hAnsi="Arial" w:cs="Arial"/>
          <w:sz w:val="22"/>
          <w:szCs w:val="22"/>
        </w:rPr>
        <w:t>ML21048A448</w:t>
      </w:r>
      <w:r w:rsidR="00790C46">
        <w:rPr>
          <w:rFonts w:ascii="Arial" w:hAnsi="Arial" w:cs="Arial"/>
          <w:sz w:val="22"/>
          <w:szCs w:val="22"/>
        </w:rPr>
        <w:t>)</w:t>
      </w:r>
      <w:r w:rsidRPr="00220690">
        <w:rPr>
          <w:rFonts w:ascii="Arial" w:hAnsi="Arial" w:cs="Arial"/>
          <w:sz w:val="22"/>
          <w:szCs w:val="22"/>
        </w:rPr>
        <w:t xml:space="preserve"> should be updated to facilitate implementation of this regulation (</w:t>
      </w:r>
      <w:r w:rsidR="009D6BB9">
        <w:rPr>
          <w:rFonts w:ascii="Arial" w:hAnsi="Arial" w:cs="Arial"/>
          <w:sz w:val="22"/>
          <w:szCs w:val="22"/>
        </w:rPr>
        <w:t>NEI2</w:t>
      </w:r>
      <w:r w:rsidR="005520AF">
        <w:rPr>
          <w:rFonts w:ascii="Arial" w:hAnsi="Arial" w:cs="Arial"/>
          <w:sz w:val="22"/>
          <w:szCs w:val="22"/>
        </w:rPr>
        <w:noBreakHyphen/>
      </w:r>
      <w:r w:rsidRPr="00220690">
        <w:rPr>
          <w:rFonts w:ascii="Arial" w:hAnsi="Arial" w:cs="Arial"/>
          <w:sz w:val="22"/>
          <w:szCs w:val="22"/>
        </w:rPr>
        <w:t>0113).</w:t>
      </w:r>
    </w:p>
    <w:p w:rsidR="007F112A" w:rsidRPr="00220690" w:rsidP="00220690" w14:paraId="67F90D6D" w14:textId="77777777">
      <w:pPr>
        <w:spacing w:after="220"/>
        <w:rPr>
          <w:rFonts w:ascii="Arial" w:hAnsi="Arial" w:cs="Arial"/>
          <w:sz w:val="22"/>
          <w:szCs w:val="22"/>
        </w:rPr>
      </w:pPr>
      <w:r w:rsidRPr="00220690">
        <w:rPr>
          <w:rFonts w:ascii="Arial" w:hAnsi="Arial" w:cs="Arial"/>
          <w:sz w:val="22"/>
          <w:szCs w:val="22"/>
        </w:rPr>
        <w:t>Finally, the commenter said that 10</w:t>
      </w:r>
      <w:r w:rsidRPr="00220690" w:rsidR="00CB484A">
        <w:rPr>
          <w:rFonts w:ascii="Arial" w:hAnsi="Arial" w:cs="Arial"/>
          <w:sz w:val="22"/>
          <w:szCs w:val="22"/>
        </w:rPr>
        <w:t> </w:t>
      </w:r>
      <w:r w:rsidRPr="00220690">
        <w:rPr>
          <w:rFonts w:ascii="Arial" w:hAnsi="Arial" w:cs="Arial"/>
          <w:sz w:val="22"/>
          <w:szCs w:val="22"/>
        </w:rPr>
        <w:t>CFR</w:t>
      </w:r>
      <w:r w:rsidRPr="00220690" w:rsidR="00CB484A">
        <w:rPr>
          <w:rFonts w:ascii="Arial" w:hAnsi="Arial" w:cs="Arial"/>
          <w:sz w:val="22"/>
          <w:szCs w:val="22"/>
        </w:rPr>
        <w:t> </w:t>
      </w:r>
      <w:r w:rsidRPr="00220690">
        <w:rPr>
          <w:rFonts w:ascii="Arial" w:hAnsi="Arial" w:cs="Arial"/>
          <w:sz w:val="22"/>
          <w:szCs w:val="22"/>
        </w:rPr>
        <w:t>53.875(b)(2) replicates the Appendix A to 10</w:t>
      </w:r>
      <w:r w:rsidRPr="00220690" w:rsidR="00851895">
        <w:rPr>
          <w:rFonts w:ascii="Arial" w:hAnsi="Arial" w:cs="Arial"/>
          <w:sz w:val="22"/>
          <w:szCs w:val="22"/>
        </w:rPr>
        <w:t> </w:t>
      </w:r>
      <w:r w:rsidRPr="00220690">
        <w:rPr>
          <w:rFonts w:ascii="Arial" w:hAnsi="Arial" w:cs="Arial"/>
          <w:sz w:val="22"/>
          <w:szCs w:val="22"/>
        </w:rPr>
        <w:t>CFR</w:t>
      </w:r>
      <w:r w:rsidR="0093449F">
        <w:rPr>
          <w:rFonts w:ascii="Arial" w:hAnsi="Arial" w:cs="Arial"/>
          <w:sz w:val="22"/>
          <w:szCs w:val="22"/>
        </w:rPr>
        <w:t> </w:t>
      </w:r>
      <w:r w:rsidRPr="00220690">
        <w:rPr>
          <w:rFonts w:ascii="Arial" w:hAnsi="Arial" w:cs="Arial"/>
          <w:sz w:val="22"/>
          <w:szCs w:val="22"/>
        </w:rPr>
        <w:t>Part</w:t>
      </w:r>
      <w:r w:rsidR="0093449F">
        <w:rPr>
          <w:rFonts w:ascii="Arial" w:hAnsi="Arial" w:cs="Arial"/>
          <w:sz w:val="22"/>
          <w:szCs w:val="22"/>
        </w:rPr>
        <w:t> </w:t>
      </w:r>
      <w:r w:rsidRPr="00220690">
        <w:rPr>
          <w:rFonts w:ascii="Arial" w:hAnsi="Arial" w:cs="Arial"/>
          <w:sz w:val="22"/>
          <w:szCs w:val="22"/>
        </w:rPr>
        <w:t>50 General Design Criteria 3 for Fire Protection. The commenter state</w:t>
      </w:r>
      <w:r w:rsidR="00855911">
        <w:rPr>
          <w:rFonts w:ascii="Arial" w:hAnsi="Arial" w:cs="Arial"/>
          <w:sz w:val="22"/>
          <w:szCs w:val="22"/>
        </w:rPr>
        <w:t>d</w:t>
      </w:r>
      <w:r w:rsidRPr="00220690">
        <w:rPr>
          <w:rFonts w:ascii="Arial" w:hAnsi="Arial" w:cs="Arial"/>
          <w:sz w:val="22"/>
          <w:szCs w:val="22"/>
        </w:rPr>
        <w:t xml:space="preserve"> that the scope of 10</w:t>
      </w:r>
      <w:r w:rsidRPr="00220690" w:rsidR="00CB484A">
        <w:rPr>
          <w:rFonts w:ascii="Arial" w:hAnsi="Arial" w:cs="Arial"/>
          <w:sz w:val="22"/>
          <w:szCs w:val="22"/>
        </w:rPr>
        <w:t> </w:t>
      </w:r>
      <w:r w:rsidRPr="00220690">
        <w:rPr>
          <w:rFonts w:ascii="Arial" w:hAnsi="Arial" w:cs="Arial"/>
          <w:sz w:val="22"/>
          <w:szCs w:val="22"/>
        </w:rPr>
        <w:t>CFR</w:t>
      </w:r>
      <w:r w:rsidRPr="00220690" w:rsidR="00CB484A">
        <w:rPr>
          <w:rFonts w:ascii="Arial" w:hAnsi="Arial" w:cs="Arial"/>
          <w:sz w:val="22"/>
          <w:szCs w:val="22"/>
        </w:rPr>
        <w:t> </w:t>
      </w:r>
      <w:r w:rsidRPr="00220690">
        <w:rPr>
          <w:rFonts w:ascii="Arial" w:hAnsi="Arial" w:cs="Arial"/>
          <w:sz w:val="22"/>
          <w:szCs w:val="22"/>
        </w:rPr>
        <w:t>53.875(b)(2) implies all SR and NSRSS SSCs must meet the requirements, which is inconsistent with RG 1.189. The commenter recommended that NRC remove 10</w:t>
      </w:r>
      <w:r w:rsidR="0093449F">
        <w:rPr>
          <w:rFonts w:ascii="Arial" w:hAnsi="Arial" w:cs="Arial"/>
          <w:sz w:val="22"/>
          <w:szCs w:val="22"/>
        </w:rPr>
        <w:t> </w:t>
      </w:r>
      <w:r w:rsidRPr="00220690">
        <w:rPr>
          <w:rFonts w:ascii="Arial" w:hAnsi="Arial" w:cs="Arial"/>
          <w:sz w:val="22"/>
          <w:szCs w:val="22"/>
        </w:rPr>
        <w:t>CFR</w:t>
      </w:r>
      <w:r w:rsidR="0093449F">
        <w:rPr>
          <w:rFonts w:ascii="Arial" w:hAnsi="Arial" w:cs="Arial"/>
          <w:sz w:val="22"/>
          <w:szCs w:val="22"/>
        </w:rPr>
        <w:t> </w:t>
      </w:r>
      <w:r w:rsidRPr="00220690">
        <w:rPr>
          <w:rFonts w:ascii="Arial" w:hAnsi="Arial" w:cs="Arial"/>
          <w:sz w:val="22"/>
          <w:szCs w:val="22"/>
        </w:rPr>
        <w:t>53.875(b)(2) or delete “and NSRSS” from the rule language (</w:t>
      </w:r>
      <w:r w:rsidR="009D6BB9">
        <w:rPr>
          <w:rFonts w:ascii="Arial" w:hAnsi="Arial" w:cs="Arial"/>
          <w:sz w:val="22"/>
          <w:szCs w:val="22"/>
        </w:rPr>
        <w:t>NEI2</w:t>
      </w:r>
      <w:r w:rsidRPr="00220690">
        <w:rPr>
          <w:rFonts w:ascii="Arial" w:hAnsi="Arial" w:cs="Arial"/>
          <w:sz w:val="22"/>
          <w:szCs w:val="22"/>
        </w:rPr>
        <w:t>-0115).</w:t>
      </w:r>
    </w:p>
    <w:p w:rsidR="007F112A" w:rsidRPr="00220690" w:rsidP="00220690" w14:paraId="588507D5" w14:textId="77777777">
      <w:pPr>
        <w:spacing w:after="220"/>
        <w:rPr>
          <w:rFonts w:ascii="Arial" w:hAnsi="Arial" w:cs="Arial"/>
          <w:sz w:val="22"/>
          <w:szCs w:val="22"/>
        </w:rPr>
      </w:pPr>
      <w:r w:rsidRPr="00220690">
        <w:rPr>
          <w:rFonts w:ascii="Arial" w:hAnsi="Arial" w:cs="Arial"/>
          <w:sz w:val="22"/>
          <w:szCs w:val="22"/>
        </w:rPr>
        <w:t>A commenter wrote that the proposed rule language maintains the core principles for fire protection found in 10 CFR Part 50 and 10 CFR Part 52 but provides additional risk-informed options. However, the commenter said that the “Fire PRA” approach raises issues</w:t>
      </w:r>
      <w:r w:rsidR="00420CFB">
        <w:rPr>
          <w:rFonts w:ascii="Arial" w:hAnsi="Arial" w:cs="Arial"/>
          <w:sz w:val="22"/>
          <w:szCs w:val="22"/>
        </w:rPr>
        <w:t>,</w:t>
      </w:r>
      <w:r w:rsidRPr="00220690">
        <w:rPr>
          <w:rFonts w:ascii="Arial" w:hAnsi="Arial" w:cs="Arial"/>
          <w:sz w:val="22"/>
          <w:szCs w:val="22"/>
        </w:rPr>
        <w:t xml:space="preserve"> similar to </w:t>
      </w:r>
      <w:r w:rsidRPr="00220690">
        <w:rPr>
          <w:rFonts w:ascii="Arial" w:hAnsi="Arial" w:cs="Arial"/>
          <w:sz w:val="22"/>
          <w:szCs w:val="22"/>
        </w:rPr>
        <w:t>broader concerns over the PRA requirements regarding transparency, quality control, and regulatory predictability (</w:t>
      </w:r>
      <w:r w:rsidR="00E36F7E">
        <w:rPr>
          <w:rFonts w:ascii="Arial" w:hAnsi="Arial" w:cs="Arial"/>
          <w:sz w:val="22"/>
          <w:szCs w:val="22"/>
        </w:rPr>
        <w:t>NYS2</w:t>
      </w:r>
      <w:r w:rsidRPr="00220690">
        <w:rPr>
          <w:rFonts w:ascii="Arial" w:hAnsi="Arial" w:cs="Arial"/>
          <w:sz w:val="22"/>
          <w:szCs w:val="22"/>
        </w:rPr>
        <w:t>-0019).</w:t>
      </w:r>
    </w:p>
    <w:p w:rsidR="007F112A" w:rsidRPr="00220690" w:rsidP="00220690" w14:paraId="028A4C2D" w14:textId="77777777">
      <w:pPr>
        <w:spacing w:after="220"/>
        <w:rPr>
          <w:rFonts w:ascii="Arial" w:hAnsi="Arial" w:cs="Arial"/>
          <w:sz w:val="22"/>
          <w:szCs w:val="22"/>
        </w:rPr>
      </w:pPr>
      <w:r w:rsidRPr="00220690">
        <w:rPr>
          <w:rFonts w:ascii="Arial" w:hAnsi="Arial" w:cs="Arial"/>
          <w:sz w:val="22"/>
          <w:szCs w:val="22"/>
        </w:rPr>
        <w:t xml:space="preserve">A commenter </w:t>
      </w:r>
      <w:r w:rsidR="00420CFB">
        <w:rPr>
          <w:rFonts w:ascii="Arial" w:hAnsi="Arial" w:cs="Arial"/>
          <w:sz w:val="22"/>
          <w:szCs w:val="22"/>
        </w:rPr>
        <w:t>stated</w:t>
      </w:r>
      <w:r w:rsidRPr="00220690">
        <w:rPr>
          <w:rFonts w:ascii="Arial" w:hAnsi="Arial" w:cs="Arial"/>
          <w:sz w:val="22"/>
          <w:szCs w:val="22"/>
        </w:rPr>
        <w:t xml:space="preserve"> that the fire protection requirements in 10 CFR 53.875 involve design elements and belong in 10 CFR 53.440. The commenter wrote that fire protection design elements should include requiring the applicant identify the consensus industry codes and standards used in conjunction with design of the fire detection, suppression, and mitigation features. The commenter </w:t>
      </w:r>
      <w:r w:rsidR="00B70A55">
        <w:rPr>
          <w:rFonts w:ascii="Arial" w:hAnsi="Arial" w:cs="Arial"/>
          <w:sz w:val="22"/>
          <w:szCs w:val="22"/>
        </w:rPr>
        <w:t>said</w:t>
      </w:r>
      <w:r w:rsidRPr="00220690">
        <w:rPr>
          <w:rFonts w:ascii="Arial" w:hAnsi="Arial" w:cs="Arial"/>
          <w:sz w:val="22"/>
          <w:szCs w:val="22"/>
        </w:rPr>
        <w:t xml:space="preserve"> that modern power plants rely on automatic fire detection and suppression measures, and requiring plant personnel to manually suppress anything but a small fire would put them at risk. The commenter added that if a local fire department is not available to support timely arrival, then the facility should supply a professional and trained full-time firefighting brigade. The commenter wrote that 10 CFR 53.875 should be revised as follows (</w:t>
      </w:r>
      <w:r w:rsidRPr="00903A73" w:rsidR="00903A73">
        <w:rPr>
          <w:rFonts w:ascii="Arial" w:eastAsia="Times New Roman" w:hAnsi="Arial" w:cs="Arial"/>
          <w:color w:val="000000"/>
          <w:sz w:val="22"/>
          <w:szCs w:val="22"/>
        </w:rPr>
        <w:t>HPT17</w:t>
      </w:r>
      <w:r w:rsidRPr="00903A73">
        <w:rPr>
          <w:rFonts w:ascii="Arial" w:hAnsi="Arial" w:cs="Arial"/>
          <w:sz w:val="22"/>
          <w:szCs w:val="22"/>
        </w:rPr>
        <w:t>-0</w:t>
      </w:r>
      <w:r w:rsidRPr="00220690">
        <w:rPr>
          <w:rFonts w:ascii="Arial" w:hAnsi="Arial" w:cs="Arial"/>
          <w:sz w:val="22"/>
          <w:szCs w:val="22"/>
        </w:rPr>
        <w:t xml:space="preserve">001, </w:t>
      </w:r>
      <w:r w:rsidRPr="00903A73" w:rsidR="00903A73">
        <w:rPr>
          <w:rFonts w:ascii="Arial" w:eastAsia="Times New Roman" w:hAnsi="Arial" w:cs="Arial"/>
          <w:color w:val="000000"/>
          <w:sz w:val="22"/>
          <w:szCs w:val="22"/>
        </w:rPr>
        <w:t>HPT17</w:t>
      </w:r>
      <w:r w:rsidRPr="00903A73">
        <w:rPr>
          <w:rFonts w:ascii="Arial" w:hAnsi="Arial" w:cs="Arial"/>
          <w:sz w:val="22"/>
          <w:szCs w:val="22"/>
        </w:rPr>
        <w:t>-</w:t>
      </w:r>
      <w:r w:rsidRPr="00220690">
        <w:rPr>
          <w:rFonts w:ascii="Arial" w:hAnsi="Arial" w:cs="Arial"/>
          <w:sz w:val="22"/>
          <w:szCs w:val="22"/>
        </w:rPr>
        <w:t>0002):</w:t>
      </w:r>
    </w:p>
    <w:p w:rsidR="007F112A" w:rsidRPr="00220690" w:rsidP="00220690" w14:paraId="0E990D01" w14:textId="77777777">
      <w:pPr>
        <w:spacing w:after="220"/>
        <w:ind w:left="720" w:right="720"/>
        <w:rPr>
          <w:rFonts w:ascii="Arial" w:hAnsi="Arial" w:cs="Arial"/>
          <w:sz w:val="22"/>
          <w:szCs w:val="22"/>
        </w:rPr>
      </w:pPr>
      <w:r w:rsidRPr="00220690">
        <w:rPr>
          <w:rFonts w:ascii="Arial" w:hAnsi="Arial" w:cs="Arial"/>
          <w:sz w:val="22"/>
          <w:szCs w:val="22"/>
        </w:rPr>
        <w:t>Fire Response Plan.</w:t>
      </w:r>
    </w:p>
    <w:p w:rsidR="007F112A" w:rsidRPr="00220690" w:rsidP="00220690" w14:paraId="20948AC0" w14:textId="77777777">
      <w:pPr>
        <w:spacing w:after="220"/>
        <w:ind w:left="720" w:right="720"/>
        <w:rPr>
          <w:rFonts w:ascii="Arial" w:hAnsi="Arial" w:cs="Arial"/>
          <w:sz w:val="22"/>
          <w:szCs w:val="22"/>
        </w:rPr>
      </w:pPr>
      <w:r w:rsidRPr="00220690">
        <w:rPr>
          <w:rFonts w:ascii="Arial" w:hAnsi="Arial" w:cs="Arial"/>
          <w:sz w:val="22"/>
          <w:szCs w:val="22"/>
        </w:rPr>
        <w:t>(a)(1) Each holder of an OL or COL under this part must have a program document to identify how the facility is to respond to a fire, including: (</w:t>
      </w:r>
      <w:r w:rsidR="008530CB">
        <w:rPr>
          <w:rFonts w:ascii="Arial" w:hAnsi="Arial" w:cs="Arial"/>
          <w:sz w:val="22"/>
          <w:szCs w:val="22"/>
        </w:rPr>
        <w:t>2</w:t>
      </w:r>
      <w:r w:rsidRPr="00220690">
        <w:rPr>
          <w:rFonts w:ascii="Arial" w:hAnsi="Arial" w:cs="Arial"/>
          <w:sz w:val="22"/>
          <w:szCs w:val="22"/>
        </w:rPr>
        <w:t>)</w:t>
      </w:r>
      <w:r w:rsidRPr="00220690" w:rsidR="00D304A2">
        <w:rPr>
          <w:rFonts w:ascii="Arial" w:hAnsi="Arial" w:cs="Arial"/>
          <w:sz w:val="22"/>
          <w:szCs w:val="22"/>
        </w:rPr>
        <w:t> </w:t>
      </w:r>
      <w:r w:rsidRPr="00220690">
        <w:rPr>
          <w:rFonts w:ascii="Arial" w:hAnsi="Arial" w:cs="Arial"/>
          <w:sz w:val="22"/>
          <w:szCs w:val="22"/>
        </w:rPr>
        <w:t>identification of evacuation routes; (</w:t>
      </w:r>
      <w:r w:rsidR="008530CB">
        <w:rPr>
          <w:rFonts w:ascii="Arial" w:hAnsi="Arial" w:cs="Arial"/>
          <w:sz w:val="22"/>
          <w:szCs w:val="22"/>
        </w:rPr>
        <w:t>3</w:t>
      </w:r>
      <w:r w:rsidRPr="00220690">
        <w:rPr>
          <w:rFonts w:ascii="Arial" w:hAnsi="Arial" w:cs="Arial"/>
          <w:sz w:val="22"/>
          <w:szCs w:val="22"/>
        </w:rPr>
        <w:t>) identification of personnel alarm notification methods; (</w:t>
      </w:r>
      <w:r w:rsidR="008530CB">
        <w:rPr>
          <w:rFonts w:ascii="Arial" w:hAnsi="Arial" w:cs="Arial"/>
          <w:sz w:val="22"/>
          <w:szCs w:val="22"/>
        </w:rPr>
        <w:t>4</w:t>
      </w:r>
      <w:r w:rsidRPr="00220690">
        <w:rPr>
          <w:rFonts w:ascii="Arial" w:hAnsi="Arial" w:cs="Arial"/>
          <w:sz w:val="22"/>
          <w:szCs w:val="22"/>
        </w:rPr>
        <w:t>) identification of responsible party for alerting the fire department; (</w:t>
      </w:r>
      <w:r w:rsidR="008530CB">
        <w:rPr>
          <w:rFonts w:ascii="Arial" w:hAnsi="Arial" w:cs="Arial"/>
          <w:sz w:val="22"/>
          <w:szCs w:val="22"/>
        </w:rPr>
        <w:t>5</w:t>
      </w:r>
      <w:r w:rsidRPr="00220690">
        <w:rPr>
          <w:rFonts w:ascii="Arial" w:hAnsi="Arial" w:cs="Arial"/>
          <w:sz w:val="22"/>
          <w:szCs w:val="22"/>
        </w:rPr>
        <w:t>) responsibility to declare the event is over; (</w:t>
      </w:r>
      <w:r w:rsidR="008530CB">
        <w:rPr>
          <w:rFonts w:ascii="Arial" w:hAnsi="Arial" w:cs="Arial"/>
          <w:sz w:val="22"/>
          <w:szCs w:val="22"/>
        </w:rPr>
        <w:t>6</w:t>
      </w:r>
      <w:r w:rsidRPr="00220690">
        <w:rPr>
          <w:rFonts w:ascii="Arial" w:hAnsi="Arial" w:cs="Arial"/>
          <w:sz w:val="22"/>
          <w:szCs w:val="22"/>
        </w:rPr>
        <w:t>)</w:t>
      </w:r>
      <w:r w:rsidRPr="00220690" w:rsidR="00D304A2">
        <w:rPr>
          <w:rFonts w:ascii="Arial" w:hAnsi="Arial" w:cs="Arial"/>
          <w:sz w:val="22"/>
          <w:szCs w:val="22"/>
        </w:rPr>
        <w:t> </w:t>
      </w:r>
      <w:r w:rsidRPr="00220690">
        <w:rPr>
          <w:rFonts w:ascii="Arial" w:hAnsi="Arial" w:cs="Arial"/>
          <w:sz w:val="22"/>
          <w:szCs w:val="22"/>
        </w:rPr>
        <w:t>responsibility for insuring the operability of fire alarm, detection, suppression, and mitigation equipment; (</w:t>
      </w:r>
      <w:r w:rsidR="008530CB">
        <w:rPr>
          <w:rFonts w:ascii="Arial" w:hAnsi="Arial" w:cs="Arial"/>
          <w:sz w:val="22"/>
          <w:szCs w:val="22"/>
        </w:rPr>
        <w:t>7</w:t>
      </w:r>
      <w:r w:rsidRPr="00220690">
        <w:rPr>
          <w:rFonts w:ascii="Arial" w:hAnsi="Arial" w:cs="Arial"/>
          <w:sz w:val="22"/>
          <w:szCs w:val="22"/>
        </w:rPr>
        <w:t>) responsibility for periodically testing the fire protection equipment; (</w:t>
      </w:r>
      <w:r w:rsidR="008530CB">
        <w:rPr>
          <w:rFonts w:ascii="Arial" w:hAnsi="Arial" w:cs="Arial"/>
          <w:sz w:val="22"/>
          <w:szCs w:val="22"/>
        </w:rPr>
        <w:t>8</w:t>
      </w:r>
      <w:r w:rsidRPr="00220690">
        <w:rPr>
          <w:rFonts w:ascii="Arial" w:hAnsi="Arial" w:cs="Arial"/>
          <w:sz w:val="22"/>
          <w:szCs w:val="22"/>
        </w:rPr>
        <w:t>) responsibility for maintaining display of evacuation routes within the plant; (</w:t>
      </w:r>
      <w:r w:rsidR="008530CB">
        <w:rPr>
          <w:rFonts w:ascii="Arial" w:hAnsi="Arial" w:cs="Arial"/>
          <w:sz w:val="22"/>
          <w:szCs w:val="22"/>
        </w:rPr>
        <w:t>9</w:t>
      </w:r>
      <w:r w:rsidRPr="00220690">
        <w:rPr>
          <w:rFonts w:ascii="Arial" w:hAnsi="Arial" w:cs="Arial"/>
          <w:sz w:val="22"/>
          <w:szCs w:val="22"/>
        </w:rPr>
        <w:t>) responsibility for conducting periodic drills, including those involving the local fire department; (</w:t>
      </w:r>
      <w:r w:rsidR="008530CB">
        <w:rPr>
          <w:rFonts w:ascii="Arial" w:hAnsi="Arial" w:cs="Arial"/>
          <w:sz w:val="22"/>
          <w:szCs w:val="22"/>
        </w:rPr>
        <w:t>10</w:t>
      </w:r>
      <w:r w:rsidRPr="00220690">
        <w:rPr>
          <w:rFonts w:ascii="Arial" w:hAnsi="Arial" w:cs="Arial"/>
          <w:sz w:val="22"/>
          <w:szCs w:val="22"/>
        </w:rPr>
        <w:t>) responsibility for maintaining the response plan manual; (</w:t>
      </w:r>
      <w:r w:rsidR="008530CB">
        <w:rPr>
          <w:rFonts w:ascii="Arial" w:hAnsi="Arial" w:cs="Arial"/>
          <w:sz w:val="22"/>
          <w:szCs w:val="22"/>
        </w:rPr>
        <w:t>11</w:t>
      </w:r>
      <w:r w:rsidRPr="00220690">
        <w:rPr>
          <w:rFonts w:ascii="Arial" w:hAnsi="Arial" w:cs="Arial"/>
          <w:sz w:val="22"/>
          <w:szCs w:val="22"/>
        </w:rPr>
        <w:t>) responsibility for maintaining prominent identification of the location of fire mains, hydrants, hose stations, and allied equipment to support the fire department; (1</w:t>
      </w:r>
      <w:r w:rsidR="008530CB">
        <w:rPr>
          <w:rFonts w:ascii="Arial" w:hAnsi="Arial" w:cs="Arial"/>
          <w:sz w:val="22"/>
          <w:szCs w:val="22"/>
        </w:rPr>
        <w:t>2</w:t>
      </w:r>
      <w:r w:rsidRPr="00220690">
        <w:rPr>
          <w:rFonts w:ascii="Arial" w:hAnsi="Arial" w:cs="Arial"/>
          <w:sz w:val="22"/>
          <w:szCs w:val="22"/>
        </w:rPr>
        <w:t>) responsibility to maintain liaison with the local fire department; (1</w:t>
      </w:r>
      <w:r w:rsidR="008530CB">
        <w:rPr>
          <w:rFonts w:ascii="Arial" w:hAnsi="Arial" w:cs="Arial"/>
          <w:sz w:val="22"/>
          <w:szCs w:val="22"/>
        </w:rPr>
        <w:t>3</w:t>
      </w:r>
      <w:r w:rsidRPr="00220690">
        <w:rPr>
          <w:rFonts w:ascii="Arial" w:hAnsi="Arial" w:cs="Arial"/>
          <w:sz w:val="22"/>
          <w:szCs w:val="22"/>
        </w:rPr>
        <w:t>) general fire detection and mitigation measures and locations. Specifics of the fire protection equipment should be on a need-to-know basis from a security standpoint, but available within the control room.</w:t>
      </w:r>
    </w:p>
    <w:p w:rsidR="00291A92" w:rsidRPr="00220690" w:rsidP="00220690" w14:paraId="7D9BB8BE" w14:textId="77777777">
      <w:pPr>
        <w:spacing w:after="220"/>
        <w:ind w:left="720" w:right="720"/>
        <w:rPr>
          <w:rFonts w:ascii="Arial" w:hAnsi="Arial" w:cs="Arial"/>
          <w:sz w:val="22"/>
          <w:szCs w:val="22"/>
        </w:rPr>
      </w:pPr>
      <w:r w:rsidRPr="00220690">
        <w:rPr>
          <w:rFonts w:ascii="Arial" w:hAnsi="Arial" w:cs="Arial"/>
          <w:sz w:val="22"/>
          <w:szCs w:val="22"/>
        </w:rPr>
        <w:t>(b) The plan must include performance measures to periodically demonstrate the effectiveness of the plan, including proving the availability and operability of fire detection, suppression, and mitigation equipment. The plan is subject to quality control measures under Appendix B. </w:t>
      </w:r>
    </w:p>
    <w:p w:rsidR="007F112A" w:rsidRPr="00220690" w:rsidP="00220690" w14:paraId="5A0B5EC9"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agrees</w:t>
      </w:r>
      <w:r w:rsidRPr="00220690" w:rsidR="002276F8">
        <w:rPr>
          <w:rFonts w:ascii="Arial" w:hAnsi="Arial" w:cs="Arial"/>
          <w:sz w:val="22"/>
          <w:szCs w:val="22"/>
        </w:rPr>
        <w:t>, in part,</w:t>
      </w:r>
      <w:r w:rsidRPr="00220690">
        <w:rPr>
          <w:rFonts w:ascii="Arial" w:hAnsi="Arial" w:cs="Arial"/>
          <w:sz w:val="22"/>
          <w:szCs w:val="22"/>
        </w:rPr>
        <w:t xml:space="preserve"> with </w:t>
      </w:r>
      <w:r w:rsidR="00834CD5">
        <w:rPr>
          <w:rFonts w:ascii="Arial" w:hAnsi="Arial" w:cs="Arial"/>
          <w:sz w:val="22"/>
          <w:szCs w:val="22"/>
        </w:rPr>
        <w:t>the</w:t>
      </w:r>
      <w:r w:rsidRPr="00220690">
        <w:rPr>
          <w:rFonts w:ascii="Arial" w:hAnsi="Arial" w:cs="Arial"/>
          <w:sz w:val="22"/>
          <w:szCs w:val="22"/>
        </w:rPr>
        <w:t xml:space="preserve"> comments.</w:t>
      </w:r>
    </w:p>
    <w:p w:rsidR="00464DCE" w:rsidP="00464DCE" w14:paraId="01403857" w14:textId="77777777">
      <w:pPr>
        <w:spacing w:after="220"/>
        <w:rPr>
          <w:rFonts w:ascii="Arial" w:hAnsi="Arial" w:cs="Arial"/>
          <w:sz w:val="22"/>
          <w:szCs w:val="22"/>
        </w:rPr>
      </w:pPr>
      <w:r w:rsidRPr="00220690">
        <w:rPr>
          <w:rFonts w:ascii="Arial" w:hAnsi="Arial" w:cs="Arial"/>
          <w:sz w:val="22"/>
          <w:szCs w:val="22"/>
        </w:rPr>
        <w:t>The NRC disagrees with remov</w:t>
      </w:r>
      <w:r w:rsidRPr="00220690" w:rsidR="008A73F7">
        <w:rPr>
          <w:rFonts w:ascii="Arial" w:hAnsi="Arial" w:cs="Arial"/>
          <w:sz w:val="22"/>
          <w:szCs w:val="22"/>
        </w:rPr>
        <w:t>ing</w:t>
      </w:r>
      <w:r w:rsidRPr="00220690">
        <w:rPr>
          <w:rFonts w:ascii="Arial" w:hAnsi="Arial" w:cs="Arial"/>
          <w:sz w:val="22"/>
          <w:szCs w:val="22"/>
        </w:rPr>
        <w:t xml:space="preserve"> all examples of specific features to be included within a fire protection plan. As explained in the proposed and final rules, the rule language in 10 CFR 5</w:t>
      </w:r>
      <w:r w:rsidR="00C74D34">
        <w:rPr>
          <w:rFonts w:ascii="Arial" w:hAnsi="Arial" w:cs="Arial"/>
          <w:sz w:val="22"/>
          <w:szCs w:val="22"/>
        </w:rPr>
        <w:t>3</w:t>
      </w:r>
      <w:r w:rsidRPr="00220690">
        <w:rPr>
          <w:rFonts w:ascii="Arial" w:hAnsi="Arial" w:cs="Arial"/>
          <w:sz w:val="22"/>
          <w:szCs w:val="22"/>
        </w:rPr>
        <w:t>.875(a) supporting operations is similar to 10</w:t>
      </w:r>
      <w:r w:rsidRPr="00220690" w:rsidR="00DD06E1">
        <w:rPr>
          <w:rFonts w:ascii="Arial" w:hAnsi="Arial" w:cs="Arial"/>
          <w:sz w:val="22"/>
          <w:szCs w:val="22"/>
        </w:rPr>
        <w:t> </w:t>
      </w:r>
      <w:r w:rsidRPr="00220690">
        <w:rPr>
          <w:rFonts w:ascii="Arial" w:hAnsi="Arial" w:cs="Arial"/>
          <w:sz w:val="22"/>
          <w:szCs w:val="22"/>
        </w:rPr>
        <w:t>CFR</w:t>
      </w:r>
      <w:r w:rsidRPr="00220690" w:rsidR="00DD06E1">
        <w:rPr>
          <w:rFonts w:ascii="Arial" w:hAnsi="Arial" w:cs="Arial"/>
          <w:sz w:val="22"/>
          <w:szCs w:val="22"/>
        </w:rPr>
        <w:t> </w:t>
      </w:r>
      <w:r w:rsidRPr="00220690">
        <w:rPr>
          <w:rFonts w:ascii="Arial" w:hAnsi="Arial" w:cs="Arial"/>
          <w:sz w:val="22"/>
          <w:szCs w:val="22"/>
        </w:rPr>
        <w:t>50.48. The use of consistent rule language is intentional and will facilitate guidance development and application of lessons learned from many years of developing and improving fire protection programs for plants licensed under 10</w:t>
      </w:r>
      <w:r w:rsidRPr="00220690" w:rsidR="00DD06E1">
        <w:rPr>
          <w:rFonts w:ascii="Arial" w:hAnsi="Arial" w:cs="Arial"/>
          <w:sz w:val="22"/>
          <w:szCs w:val="22"/>
        </w:rPr>
        <w:t> </w:t>
      </w:r>
      <w:r w:rsidRPr="00220690">
        <w:rPr>
          <w:rFonts w:ascii="Arial" w:hAnsi="Arial" w:cs="Arial"/>
          <w:sz w:val="22"/>
          <w:szCs w:val="22"/>
        </w:rPr>
        <w:t>CFR</w:t>
      </w:r>
      <w:r w:rsidRPr="00220690" w:rsidR="00DD06E1">
        <w:rPr>
          <w:rFonts w:ascii="Arial" w:hAnsi="Arial" w:cs="Arial"/>
          <w:sz w:val="22"/>
          <w:szCs w:val="22"/>
        </w:rPr>
        <w:t> </w:t>
      </w:r>
      <w:r w:rsidRPr="00220690">
        <w:rPr>
          <w:rFonts w:ascii="Arial" w:hAnsi="Arial" w:cs="Arial"/>
          <w:sz w:val="22"/>
          <w:szCs w:val="22"/>
        </w:rPr>
        <w:t>Parts 50 and 52.</w:t>
      </w:r>
    </w:p>
    <w:p w:rsidR="00464DCE" w:rsidRPr="00220690" w:rsidP="00464DCE" w14:paraId="17BE03A0" w14:textId="77777777">
      <w:pPr>
        <w:spacing w:after="220"/>
        <w:rPr>
          <w:rFonts w:ascii="Arial" w:hAnsi="Arial" w:cs="Arial"/>
          <w:sz w:val="22"/>
          <w:szCs w:val="22"/>
        </w:rPr>
      </w:pPr>
      <w:r w:rsidRPr="00220690">
        <w:rPr>
          <w:rFonts w:ascii="Arial" w:hAnsi="Arial" w:cs="Arial"/>
          <w:sz w:val="22"/>
          <w:szCs w:val="22"/>
        </w:rPr>
        <w:t xml:space="preserve">Regarding the statement that RG 1.189 and RG 1.205 should be updated to facilitate implementation of 10 CFR 53.875, the NRC agrees that updates to existing RGs to reflect methodologies acceptable under 10 CFR Part 53 </w:t>
      </w:r>
      <w:r w:rsidR="00B8668A">
        <w:rPr>
          <w:rFonts w:ascii="Arial" w:hAnsi="Arial" w:cs="Arial"/>
          <w:sz w:val="22"/>
          <w:szCs w:val="22"/>
        </w:rPr>
        <w:t>facilitate implementation of the rule</w:t>
      </w:r>
      <w:r w:rsidRPr="00220690">
        <w:rPr>
          <w:rFonts w:ascii="Arial" w:hAnsi="Arial" w:cs="Arial"/>
          <w:sz w:val="22"/>
          <w:szCs w:val="22"/>
        </w:rPr>
        <w:t xml:space="preserve">. The NRC continues to identify and develop additional guidance needed to support 10 CFR Part 53 and </w:t>
      </w:r>
      <w:r w:rsidRPr="00220690">
        <w:rPr>
          <w:rFonts w:ascii="Arial" w:hAnsi="Arial" w:cs="Arial"/>
          <w:sz w:val="22"/>
          <w:szCs w:val="22"/>
        </w:rPr>
        <w:t>appreciates commenters’ suggestions for inclusion of the specific guidance documents mentioned.</w:t>
      </w:r>
    </w:p>
    <w:p w:rsidR="006B04EA" w:rsidP="006B04EA" w14:paraId="6F9DD66F" w14:textId="77777777">
      <w:pPr>
        <w:spacing w:after="220"/>
        <w:rPr>
          <w:rFonts w:ascii="Arial" w:hAnsi="Arial" w:cs="Arial"/>
          <w:sz w:val="22"/>
          <w:szCs w:val="22"/>
        </w:rPr>
      </w:pPr>
      <w:r w:rsidRPr="00220690">
        <w:rPr>
          <w:rFonts w:ascii="Arial" w:hAnsi="Arial" w:cs="Arial"/>
          <w:sz w:val="22"/>
          <w:szCs w:val="22"/>
        </w:rPr>
        <w:t>Regarding the scope of the fire protection program in 10 CFR 53.875 (and related design requirements in 10 CFR 53.440(e)), the NRC made a conforming change to 10</w:t>
      </w:r>
      <w:r w:rsidRPr="00220690" w:rsidR="00A81FD6">
        <w:rPr>
          <w:rFonts w:ascii="Arial" w:hAnsi="Arial" w:cs="Arial"/>
          <w:sz w:val="22"/>
          <w:szCs w:val="22"/>
        </w:rPr>
        <w:t> </w:t>
      </w:r>
      <w:r w:rsidRPr="00220690">
        <w:rPr>
          <w:rFonts w:ascii="Arial" w:hAnsi="Arial" w:cs="Arial"/>
          <w:sz w:val="22"/>
          <w:szCs w:val="22"/>
        </w:rPr>
        <w:t xml:space="preserve">CFR 53.875 in response to Comment </w:t>
      </w:r>
      <w:r w:rsidRPr="00220690" w:rsidR="00FF5499">
        <w:rPr>
          <w:rFonts w:ascii="Arial" w:hAnsi="Arial" w:cs="Arial"/>
          <w:sz w:val="22"/>
          <w:szCs w:val="22"/>
        </w:rPr>
        <w:t>Bin 3.3.</w:t>
      </w:r>
      <w:r w:rsidRPr="00220690" w:rsidR="00E91E69">
        <w:rPr>
          <w:rFonts w:ascii="Arial" w:hAnsi="Arial" w:cs="Arial"/>
          <w:sz w:val="22"/>
          <w:szCs w:val="22"/>
        </w:rPr>
        <w:t>2.1.B</w:t>
      </w:r>
      <w:r w:rsidR="00E47E2D">
        <w:rPr>
          <w:rFonts w:ascii="Arial" w:hAnsi="Arial" w:cs="Arial"/>
          <w:sz w:val="22"/>
          <w:szCs w:val="22"/>
        </w:rPr>
        <w:t xml:space="preserve"> regarding </w:t>
      </w:r>
      <w:r w:rsidR="00753A7D">
        <w:rPr>
          <w:rFonts w:ascii="Arial" w:hAnsi="Arial" w:cs="Arial"/>
          <w:sz w:val="22"/>
          <w:szCs w:val="22"/>
        </w:rPr>
        <w:t>the treatment of</w:t>
      </w:r>
      <w:r w:rsidR="00E47E2D">
        <w:rPr>
          <w:rFonts w:ascii="Arial" w:hAnsi="Arial" w:cs="Arial"/>
          <w:sz w:val="22"/>
          <w:szCs w:val="22"/>
        </w:rPr>
        <w:t xml:space="preserve"> NSRSS SSCs</w:t>
      </w:r>
      <w:r w:rsidR="00753A7D">
        <w:rPr>
          <w:rFonts w:ascii="Arial" w:hAnsi="Arial" w:cs="Arial"/>
          <w:sz w:val="22"/>
          <w:szCs w:val="22"/>
        </w:rPr>
        <w:t xml:space="preserve"> in the fire protection program</w:t>
      </w:r>
      <w:r w:rsidRPr="00220690">
        <w:rPr>
          <w:rFonts w:ascii="Arial" w:hAnsi="Arial" w:cs="Arial"/>
          <w:sz w:val="22"/>
          <w:szCs w:val="22"/>
        </w:rPr>
        <w:t>. However, no additional changes to the rule language were made in response to this comment.</w:t>
      </w:r>
    </w:p>
    <w:p w:rsidR="006B04EA" w:rsidRPr="00220690" w:rsidP="006B04EA" w14:paraId="15384658" w14:textId="77777777">
      <w:pPr>
        <w:spacing w:after="220"/>
        <w:rPr>
          <w:rFonts w:ascii="Arial" w:hAnsi="Arial" w:cs="Arial"/>
          <w:sz w:val="22"/>
          <w:szCs w:val="22"/>
        </w:rPr>
      </w:pPr>
      <w:r>
        <w:rPr>
          <w:rFonts w:ascii="Arial" w:hAnsi="Arial" w:cs="Arial"/>
          <w:sz w:val="22"/>
          <w:szCs w:val="22"/>
        </w:rPr>
        <w:t>With regard to generalized concerns about the use of PRA methodologies, as noted elsewhere in this document, PRA offers licensing flexibilities that can accommodate a variety of reactor designs; however, while the regulations are flexible, the NRC approval will be reflected in the plant’s specific and detailed licensing basis, which will provide adequate transparency, predictability, and quality control.</w:t>
      </w:r>
    </w:p>
    <w:p w:rsidR="00E247C1" w:rsidRPr="00220690" w:rsidP="00220690" w14:paraId="2AEF49F4" w14:textId="77777777">
      <w:pPr>
        <w:spacing w:after="220"/>
        <w:rPr>
          <w:rFonts w:ascii="Arial" w:hAnsi="Arial" w:cs="Arial"/>
          <w:sz w:val="22"/>
          <w:szCs w:val="22"/>
        </w:rPr>
      </w:pPr>
      <w:r w:rsidRPr="00220690">
        <w:rPr>
          <w:rFonts w:ascii="Arial" w:hAnsi="Arial" w:cs="Arial"/>
          <w:sz w:val="22"/>
          <w:szCs w:val="22"/>
        </w:rPr>
        <w:t xml:space="preserve">Regarding the </w:t>
      </w:r>
      <w:r w:rsidRPr="00220690" w:rsidR="00636594">
        <w:rPr>
          <w:rFonts w:ascii="Arial" w:hAnsi="Arial" w:cs="Arial"/>
          <w:sz w:val="22"/>
          <w:szCs w:val="22"/>
        </w:rPr>
        <w:t>statement</w:t>
      </w:r>
      <w:r w:rsidRPr="00220690">
        <w:rPr>
          <w:rFonts w:ascii="Arial" w:hAnsi="Arial" w:cs="Arial"/>
          <w:sz w:val="22"/>
          <w:szCs w:val="22"/>
        </w:rPr>
        <w:t xml:space="preserve"> that a more prescriptive list of items should be included in the fire protection program, the NRC believes many of the items are more appropriate for implementing procedures and would logically result from the requirements as written in the proposed and final rule language.</w:t>
      </w:r>
    </w:p>
    <w:p w:rsidR="007F112A" w:rsidP="00220690" w14:paraId="38F4E105"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w:t>
      </w:r>
      <w:r w:rsidRPr="00220690" w:rsidR="00E247C1">
        <w:rPr>
          <w:rFonts w:ascii="Arial" w:hAnsi="Arial" w:cs="Arial"/>
          <w:sz w:val="22"/>
          <w:szCs w:val="22"/>
        </w:rPr>
        <w:t>e</w:t>
      </w:r>
      <w:r w:rsidRPr="00220690">
        <w:rPr>
          <w:rFonts w:ascii="Arial" w:hAnsi="Arial" w:cs="Arial"/>
          <w:sz w:val="22"/>
          <w:szCs w:val="22"/>
        </w:rPr>
        <w:t>s</w:t>
      </w:r>
      <w:r w:rsidRPr="00220690" w:rsidR="00E247C1">
        <w:rPr>
          <w:rFonts w:ascii="Arial" w:hAnsi="Arial" w:cs="Arial"/>
          <w:sz w:val="22"/>
          <w:szCs w:val="22"/>
        </w:rPr>
        <w:t>e</w:t>
      </w:r>
      <w:r w:rsidRPr="00220690">
        <w:rPr>
          <w:rFonts w:ascii="Arial" w:hAnsi="Arial" w:cs="Arial"/>
          <w:sz w:val="22"/>
          <w:szCs w:val="22"/>
        </w:rPr>
        <w:t xml:space="preserve"> comment</w:t>
      </w:r>
      <w:r w:rsidRPr="00220690" w:rsidR="00E247C1">
        <w:rPr>
          <w:rFonts w:ascii="Arial" w:hAnsi="Arial" w:cs="Arial"/>
          <w:sz w:val="22"/>
          <w:szCs w:val="22"/>
        </w:rPr>
        <w:t>s</w:t>
      </w:r>
      <w:r w:rsidRPr="00220690">
        <w:rPr>
          <w:rFonts w:ascii="Arial" w:hAnsi="Arial" w:cs="Arial"/>
          <w:sz w:val="22"/>
          <w:szCs w:val="22"/>
        </w:rPr>
        <w:t>.</w:t>
      </w:r>
    </w:p>
    <w:p w:rsidR="00220690" w:rsidP="00220690" w14:paraId="25694C51"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5" style="width:0;height:1.5pt" o:hralign="center" o:hrstd="t" o:hrnoshade="t" o:hr="t" fillcolor="black" stroked="f"/>
        </w:pict>
      </w:r>
    </w:p>
    <w:p w:rsidR="007F112A" w:rsidRPr="00220690" w:rsidP="00220690" w14:paraId="53A18E8D" w14:textId="77777777">
      <w:pPr>
        <w:spacing w:after="220"/>
        <w:rPr>
          <w:rFonts w:ascii="Arial" w:eastAsia="Times New Roman" w:hAnsi="Arial" w:cs="Arial"/>
          <w:color w:val="000000"/>
          <w:sz w:val="22"/>
          <w:szCs w:val="22"/>
          <w:lang w:eastAsia="zh-CN"/>
        </w:rPr>
      </w:pPr>
      <w:r w:rsidRPr="00220690">
        <w:rPr>
          <w:rFonts w:ascii="Arial" w:eastAsia="DengXian" w:hAnsi="Arial" w:cs="Arial"/>
          <w:b/>
          <w:sz w:val="22"/>
          <w:szCs w:val="22"/>
        </w:rPr>
        <w:t>Comment Bin 3.6.3.5.F:</w:t>
      </w:r>
      <w:r w:rsidRPr="00220690">
        <w:rPr>
          <w:rFonts w:ascii="Arial" w:eastAsia="DengXian" w:hAnsi="Arial" w:cs="Arial"/>
          <w:sz w:val="22"/>
          <w:szCs w:val="22"/>
        </w:rPr>
        <w:t xml:space="preserve"> </w:t>
      </w:r>
      <w:r w:rsidRPr="00220690">
        <w:rPr>
          <w:rFonts w:ascii="Arial" w:hAnsi="Arial" w:cs="Arial"/>
          <w:sz w:val="22"/>
          <w:szCs w:val="22"/>
        </w:rPr>
        <w:t>A commenter wrote that they supported the inclusion of the requirements for a facility safety program in the rule and added that the NRC should retain the requirement as it is an important tool to provide States and the public information on safety oversight (</w:t>
      </w:r>
      <w:r w:rsidR="00E36F7E">
        <w:rPr>
          <w:rFonts w:ascii="Arial" w:hAnsi="Arial" w:cs="Arial"/>
          <w:sz w:val="22"/>
          <w:szCs w:val="22"/>
        </w:rPr>
        <w:t>NYS2</w:t>
      </w:r>
      <w:r w:rsidRPr="00220690">
        <w:rPr>
          <w:rFonts w:ascii="Arial" w:hAnsi="Arial" w:cs="Arial"/>
          <w:sz w:val="22"/>
          <w:szCs w:val="22"/>
        </w:rPr>
        <w:t>-0018). </w:t>
      </w:r>
    </w:p>
    <w:p w:rsidR="00DA0115" w:rsidP="00220690" w14:paraId="77E689DE"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The NRC disagrees with th</w:t>
      </w:r>
      <w:r w:rsidR="00834CD5">
        <w:rPr>
          <w:rFonts w:ascii="Arial" w:hAnsi="Arial" w:cs="Arial"/>
          <w:sz w:val="22"/>
          <w:szCs w:val="22"/>
        </w:rPr>
        <w:t>e</w:t>
      </w:r>
      <w:r w:rsidRPr="00220690">
        <w:rPr>
          <w:rFonts w:ascii="Arial" w:hAnsi="Arial" w:cs="Arial"/>
          <w:sz w:val="22"/>
          <w:szCs w:val="22"/>
        </w:rPr>
        <w:t xml:space="preserve"> comment.</w:t>
      </w:r>
    </w:p>
    <w:p w:rsidR="00203534" w:rsidRPr="00220690" w:rsidP="00220690" w14:paraId="6243F0E6" w14:textId="77777777">
      <w:pPr>
        <w:spacing w:after="220"/>
        <w:rPr>
          <w:rFonts w:ascii="Arial" w:hAnsi="Arial" w:cs="Arial"/>
          <w:sz w:val="22"/>
          <w:szCs w:val="22"/>
        </w:rPr>
      </w:pPr>
      <w:r>
        <w:rPr>
          <w:rFonts w:ascii="Arial" w:hAnsi="Arial" w:cs="Arial"/>
          <w:sz w:val="22"/>
          <w:szCs w:val="22"/>
        </w:rPr>
        <w:t>For the reasons expressed i</w:t>
      </w:r>
      <w:r w:rsidRPr="00220690" w:rsidR="007F112A">
        <w:rPr>
          <w:rFonts w:ascii="Arial" w:hAnsi="Arial" w:cs="Arial"/>
          <w:sz w:val="22"/>
          <w:szCs w:val="22"/>
        </w:rPr>
        <w:t>n SRM</w:t>
      </w:r>
      <w:r w:rsidRPr="00220690" w:rsidR="007F112A">
        <w:rPr>
          <w:rFonts w:ascii="Arial" w:hAnsi="Arial" w:cs="Arial"/>
          <w:sz w:val="22"/>
          <w:szCs w:val="22"/>
        </w:rPr>
        <w:noBreakHyphen/>
        <w:t>SECY</w:t>
      </w:r>
      <w:r w:rsidRPr="00220690" w:rsidR="007F112A">
        <w:rPr>
          <w:rFonts w:ascii="Arial" w:hAnsi="Arial" w:cs="Arial"/>
          <w:sz w:val="22"/>
          <w:szCs w:val="22"/>
        </w:rPr>
        <w:noBreakHyphen/>
        <w:t>23</w:t>
      </w:r>
      <w:r w:rsidRPr="00220690" w:rsidR="007F112A">
        <w:rPr>
          <w:rFonts w:ascii="Arial" w:hAnsi="Arial" w:cs="Arial"/>
          <w:sz w:val="22"/>
          <w:szCs w:val="22"/>
        </w:rPr>
        <w:noBreakHyphen/>
        <w:t>0021, the Commission specifically disapproved including the proposed requirements for the facility safety program in 10 CFR Part 53.</w:t>
      </w:r>
      <w:r>
        <w:rPr>
          <w:rFonts w:ascii="Arial" w:hAnsi="Arial" w:cs="Arial"/>
          <w:sz w:val="22"/>
          <w:szCs w:val="22"/>
        </w:rPr>
        <w:t xml:space="preserve"> </w:t>
      </w:r>
      <w:r w:rsidR="007A7AC0">
        <w:rPr>
          <w:rFonts w:ascii="Arial" w:hAnsi="Arial" w:cs="Arial"/>
          <w:sz w:val="22"/>
          <w:szCs w:val="22"/>
        </w:rPr>
        <w:t>T</w:t>
      </w:r>
      <w:r w:rsidR="00B65652">
        <w:rPr>
          <w:rFonts w:ascii="Arial" w:hAnsi="Arial" w:cs="Arial"/>
          <w:sz w:val="22"/>
          <w:szCs w:val="22"/>
        </w:rPr>
        <w:t xml:space="preserve">he </w:t>
      </w:r>
      <w:r w:rsidR="009A262A">
        <w:rPr>
          <w:rFonts w:ascii="Arial" w:hAnsi="Arial" w:cs="Arial"/>
          <w:sz w:val="22"/>
          <w:szCs w:val="22"/>
        </w:rPr>
        <w:t xml:space="preserve">concept of a </w:t>
      </w:r>
      <w:r w:rsidR="00CD63EE">
        <w:rPr>
          <w:rFonts w:ascii="Arial" w:hAnsi="Arial" w:cs="Arial"/>
          <w:sz w:val="22"/>
          <w:szCs w:val="22"/>
        </w:rPr>
        <w:t xml:space="preserve">facility safety program </w:t>
      </w:r>
      <w:r w:rsidR="009A262A">
        <w:rPr>
          <w:rFonts w:ascii="Arial" w:hAnsi="Arial" w:cs="Arial"/>
          <w:sz w:val="22"/>
          <w:szCs w:val="22"/>
        </w:rPr>
        <w:t>that was included in the</w:t>
      </w:r>
      <w:r w:rsidR="00CD63EE">
        <w:rPr>
          <w:rFonts w:ascii="Arial" w:hAnsi="Arial" w:cs="Arial"/>
          <w:sz w:val="22"/>
          <w:szCs w:val="22"/>
        </w:rPr>
        <w:t xml:space="preserve"> </w:t>
      </w:r>
      <w:r w:rsidR="0057641E">
        <w:rPr>
          <w:rFonts w:ascii="Arial" w:hAnsi="Arial" w:cs="Arial"/>
          <w:sz w:val="22"/>
          <w:szCs w:val="22"/>
        </w:rPr>
        <w:t xml:space="preserve">draft proposed rule (SECY-23-0021) </w:t>
      </w:r>
      <w:r w:rsidR="00CD63EE">
        <w:rPr>
          <w:rFonts w:ascii="Arial" w:hAnsi="Arial" w:cs="Arial"/>
          <w:sz w:val="22"/>
          <w:szCs w:val="22"/>
        </w:rPr>
        <w:t xml:space="preserve">was intended to </w:t>
      </w:r>
      <w:r w:rsidR="00B65652">
        <w:rPr>
          <w:rFonts w:ascii="Arial" w:hAnsi="Arial" w:cs="Arial"/>
          <w:sz w:val="22"/>
          <w:szCs w:val="22"/>
        </w:rPr>
        <w:t>provide a new, risk</w:t>
      </w:r>
      <w:r w:rsidR="0005110F">
        <w:rPr>
          <w:rFonts w:ascii="Arial" w:hAnsi="Arial" w:cs="Arial"/>
          <w:sz w:val="22"/>
          <w:szCs w:val="22"/>
        </w:rPr>
        <w:noBreakHyphen/>
      </w:r>
      <w:r w:rsidR="00B65652">
        <w:rPr>
          <w:rFonts w:ascii="Arial" w:hAnsi="Arial" w:cs="Arial"/>
          <w:sz w:val="22"/>
          <w:szCs w:val="22"/>
        </w:rPr>
        <w:t>informed approach to</w:t>
      </w:r>
      <w:r w:rsidR="00CD63EE">
        <w:rPr>
          <w:rFonts w:ascii="Arial" w:hAnsi="Arial" w:cs="Arial"/>
          <w:sz w:val="22"/>
          <w:szCs w:val="22"/>
        </w:rPr>
        <w:t xml:space="preserve"> address</w:t>
      </w:r>
      <w:r w:rsidR="00B65652">
        <w:rPr>
          <w:rFonts w:ascii="Arial" w:hAnsi="Arial" w:cs="Arial"/>
          <w:sz w:val="22"/>
          <w:szCs w:val="22"/>
        </w:rPr>
        <w:t>ing</w:t>
      </w:r>
      <w:r w:rsidR="00CD63EE">
        <w:rPr>
          <w:rFonts w:ascii="Arial" w:hAnsi="Arial" w:cs="Arial"/>
          <w:sz w:val="22"/>
          <w:szCs w:val="22"/>
        </w:rPr>
        <w:t xml:space="preserve"> </w:t>
      </w:r>
      <w:r w:rsidR="003913E5">
        <w:rPr>
          <w:rFonts w:ascii="Arial" w:hAnsi="Arial" w:cs="Arial"/>
          <w:sz w:val="22"/>
          <w:szCs w:val="22"/>
        </w:rPr>
        <w:t>changes to plant risk driven by new information regarding external hazards</w:t>
      </w:r>
      <w:r w:rsidR="00E600D3">
        <w:rPr>
          <w:rFonts w:ascii="Arial" w:hAnsi="Arial" w:cs="Arial"/>
          <w:sz w:val="22"/>
          <w:szCs w:val="22"/>
        </w:rPr>
        <w:t>.</w:t>
      </w:r>
      <w:r w:rsidRPr="00E600D3" w:rsidR="00E600D3">
        <w:rPr>
          <w:rFonts w:ascii="Segoe UI" w:hAnsi="Segoe UI" w:cs="Segoe UI"/>
          <w:sz w:val="18"/>
          <w:szCs w:val="18"/>
        </w:rPr>
        <w:t xml:space="preserve"> </w:t>
      </w:r>
      <w:r w:rsidRPr="00E600D3" w:rsidR="00E600D3">
        <w:rPr>
          <w:rFonts w:ascii="Arial" w:hAnsi="Arial" w:cs="Arial"/>
          <w:sz w:val="22"/>
          <w:szCs w:val="22"/>
        </w:rPr>
        <w:t xml:space="preserve">The </w:t>
      </w:r>
      <w:r w:rsidR="00E600D3">
        <w:rPr>
          <w:rFonts w:ascii="Arial" w:hAnsi="Arial" w:cs="Arial"/>
          <w:sz w:val="22"/>
          <w:szCs w:val="22"/>
        </w:rPr>
        <w:t>C</w:t>
      </w:r>
      <w:r w:rsidRPr="00E600D3" w:rsidR="00E600D3">
        <w:rPr>
          <w:rFonts w:ascii="Arial" w:hAnsi="Arial" w:cs="Arial"/>
          <w:sz w:val="22"/>
          <w:szCs w:val="22"/>
        </w:rPr>
        <w:t>ommission determined this was not needed because</w:t>
      </w:r>
      <w:r w:rsidR="00422DD9">
        <w:rPr>
          <w:rFonts w:ascii="Arial" w:hAnsi="Arial" w:cs="Arial"/>
          <w:sz w:val="22"/>
          <w:szCs w:val="22"/>
        </w:rPr>
        <w:t xml:space="preserve"> the </w:t>
      </w:r>
      <w:r w:rsidR="005F568C">
        <w:rPr>
          <w:rFonts w:ascii="Arial" w:hAnsi="Arial" w:cs="Arial"/>
          <w:sz w:val="22"/>
          <w:szCs w:val="22"/>
        </w:rPr>
        <w:t xml:space="preserve">NRC </w:t>
      </w:r>
      <w:r w:rsidR="00422DD9">
        <w:rPr>
          <w:rFonts w:ascii="Arial" w:hAnsi="Arial" w:cs="Arial"/>
          <w:sz w:val="22"/>
          <w:szCs w:val="22"/>
        </w:rPr>
        <w:t xml:space="preserve">will continue to address </w:t>
      </w:r>
      <w:r w:rsidR="00AD38EF">
        <w:rPr>
          <w:rFonts w:ascii="Arial" w:hAnsi="Arial" w:cs="Arial"/>
          <w:sz w:val="22"/>
          <w:szCs w:val="22"/>
        </w:rPr>
        <w:t xml:space="preserve">new information </w:t>
      </w:r>
      <w:r w:rsidR="00D27E69">
        <w:rPr>
          <w:rFonts w:ascii="Arial" w:hAnsi="Arial" w:cs="Arial"/>
          <w:sz w:val="22"/>
          <w:szCs w:val="22"/>
        </w:rPr>
        <w:t>on</w:t>
      </w:r>
      <w:r w:rsidR="00EB57C0">
        <w:rPr>
          <w:rFonts w:ascii="Arial" w:hAnsi="Arial" w:cs="Arial"/>
          <w:sz w:val="22"/>
          <w:szCs w:val="22"/>
        </w:rPr>
        <w:t xml:space="preserve"> external</w:t>
      </w:r>
      <w:r w:rsidR="00422DD9">
        <w:rPr>
          <w:rFonts w:ascii="Arial" w:hAnsi="Arial" w:cs="Arial"/>
          <w:sz w:val="22"/>
          <w:szCs w:val="22"/>
        </w:rPr>
        <w:t xml:space="preserve"> ha</w:t>
      </w:r>
      <w:r w:rsidR="00A65CA9">
        <w:rPr>
          <w:rFonts w:ascii="Arial" w:hAnsi="Arial" w:cs="Arial"/>
          <w:sz w:val="22"/>
          <w:szCs w:val="22"/>
        </w:rPr>
        <w:t>zards through its ongoing oversight</w:t>
      </w:r>
      <w:r w:rsidR="00CE0746">
        <w:rPr>
          <w:rFonts w:ascii="Arial" w:hAnsi="Arial" w:cs="Arial"/>
          <w:sz w:val="22"/>
          <w:szCs w:val="22"/>
        </w:rPr>
        <w:t xml:space="preserve"> and other provisions in </w:t>
      </w:r>
      <w:r w:rsidR="00A55389">
        <w:rPr>
          <w:rFonts w:ascii="Arial" w:hAnsi="Arial" w:cs="Arial"/>
          <w:sz w:val="22"/>
          <w:szCs w:val="22"/>
        </w:rPr>
        <w:t>10 CFR P</w:t>
      </w:r>
      <w:r w:rsidR="00CE0746">
        <w:rPr>
          <w:rFonts w:ascii="Arial" w:hAnsi="Arial" w:cs="Arial"/>
          <w:sz w:val="22"/>
          <w:szCs w:val="22"/>
        </w:rPr>
        <w:t>art 53</w:t>
      </w:r>
      <w:r w:rsidR="00A65CA9">
        <w:rPr>
          <w:rFonts w:ascii="Arial" w:hAnsi="Arial" w:cs="Arial"/>
          <w:sz w:val="22"/>
          <w:szCs w:val="22"/>
        </w:rPr>
        <w:t>.</w:t>
      </w:r>
    </w:p>
    <w:p w:rsidR="007F112A" w:rsidP="00220690" w14:paraId="637D8D15" w14:textId="77777777">
      <w:pPr>
        <w:spacing w:after="220"/>
        <w:rPr>
          <w:rFonts w:ascii="Arial" w:hAnsi="Arial" w:cs="Arial"/>
          <w:sz w:val="22"/>
          <w:szCs w:val="22"/>
        </w:rPr>
      </w:pPr>
      <w:r w:rsidRPr="00220690">
        <w:rPr>
          <w:rFonts w:ascii="Arial" w:hAnsi="Arial" w:cs="Arial"/>
          <w:sz w:val="22"/>
          <w:szCs w:val="22"/>
        </w:rPr>
        <w:t>Accordingly, the NRC did not change the rule language in response to this comment.</w:t>
      </w:r>
    </w:p>
    <w:p w:rsidR="00220690" w:rsidP="00220690" w14:paraId="629A3D30"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6" style="width:0;height:1.5pt" o:hralign="center" o:hrstd="t" o:hrnoshade="t" o:hr="t" fillcolor="black" stroked="f"/>
        </w:pict>
      </w:r>
    </w:p>
    <w:p w:rsidR="007F112A" w:rsidRPr="00220690" w:rsidP="00220690" w14:paraId="522A3D1E" w14:textId="77777777">
      <w:pPr>
        <w:spacing w:after="220"/>
        <w:rPr>
          <w:rFonts w:ascii="Arial" w:hAnsi="Arial" w:cs="Arial"/>
          <w:sz w:val="22"/>
          <w:szCs w:val="22"/>
        </w:rPr>
      </w:pPr>
      <w:r w:rsidRPr="00220690">
        <w:rPr>
          <w:rFonts w:ascii="Arial" w:eastAsia="DengXian" w:hAnsi="Arial" w:cs="Arial"/>
          <w:b/>
          <w:sz w:val="22"/>
          <w:szCs w:val="22"/>
        </w:rPr>
        <w:t>Comment Bin 3.6.3.5.G:</w:t>
      </w:r>
      <w:r w:rsidRPr="00220690">
        <w:rPr>
          <w:rFonts w:ascii="Arial" w:eastAsia="DengXian" w:hAnsi="Arial" w:cs="Arial"/>
          <w:sz w:val="22"/>
          <w:szCs w:val="22"/>
        </w:rPr>
        <w:t xml:space="preserve"> </w:t>
      </w:r>
      <w:r w:rsidRPr="00220690">
        <w:rPr>
          <w:rFonts w:ascii="Arial" w:hAnsi="Arial" w:cs="Arial"/>
          <w:sz w:val="22"/>
          <w:szCs w:val="22"/>
        </w:rPr>
        <w:t>A commenter wrote that the rule should require a quality control program with the support of specific but flexible guidance. The commenter wrote that the NRC should include guidance in accordance with the ISO Standard 9000 series, specifically ISO 19433, because it is widely accepted internationally and informed by industry stakeholders. The commenter added that the standard is flexible, providing some requirements, recommendations, and possibilities and considerations (</w:t>
      </w:r>
      <w:r w:rsidR="007131C1">
        <w:rPr>
          <w:rFonts w:ascii="Arial" w:hAnsi="Arial" w:cs="Arial"/>
          <w:sz w:val="22"/>
          <w:szCs w:val="22"/>
        </w:rPr>
        <w:t>RH</w:t>
      </w:r>
      <w:r w:rsidRPr="00220690">
        <w:rPr>
          <w:rFonts w:ascii="Arial" w:hAnsi="Arial" w:cs="Arial"/>
          <w:sz w:val="22"/>
          <w:szCs w:val="22"/>
        </w:rPr>
        <w:t xml:space="preserve">-0001, </w:t>
      </w:r>
      <w:r w:rsidR="007131C1">
        <w:rPr>
          <w:rFonts w:ascii="Arial" w:hAnsi="Arial" w:cs="Arial"/>
          <w:sz w:val="22"/>
          <w:szCs w:val="22"/>
        </w:rPr>
        <w:t>RH</w:t>
      </w:r>
      <w:r w:rsidRPr="00220690">
        <w:rPr>
          <w:rFonts w:ascii="Arial" w:hAnsi="Arial" w:cs="Arial"/>
          <w:sz w:val="22"/>
          <w:szCs w:val="22"/>
        </w:rPr>
        <w:t>-0002).</w:t>
      </w:r>
    </w:p>
    <w:p w:rsidR="007F112A" w:rsidRPr="00220690" w:rsidP="00220690" w14:paraId="39778A35" w14:textId="77777777">
      <w:pPr>
        <w:spacing w:after="220"/>
        <w:rPr>
          <w:rFonts w:ascii="Arial" w:eastAsia="Times New Roman" w:hAnsi="Arial" w:cs="Arial"/>
          <w:color w:val="000000"/>
          <w:sz w:val="22"/>
          <w:szCs w:val="22"/>
          <w:lang w:eastAsia="zh-CN"/>
        </w:rPr>
      </w:pPr>
      <w:r w:rsidRPr="00220690">
        <w:rPr>
          <w:rFonts w:ascii="Arial" w:hAnsi="Arial" w:cs="Arial"/>
          <w:sz w:val="22"/>
          <w:szCs w:val="22"/>
        </w:rPr>
        <w:t>Another commenter wrote that they supported direction from the Commission in using Appendix</w:t>
      </w:r>
      <w:r w:rsidRPr="00220690" w:rsidR="00026814">
        <w:rPr>
          <w:rFonts w:ascii="Arial" w:hAnsi="Arial" w:cs="Arial"/>
          <w:sz w:val="22"/>
          <w:szCs w:val="22"/>
        </w:rPr>
        <w:t> </w:t>
      </w:r>
      <w:r w:rsidRPr="00220690">
        <w:rPr>
          <w:rFonts w:ascii="Arial" w:hAnsi="Arial" w:cs="Arial"/>
          <w:sz w:val="22"/>
          <w:szCs w:val="22"/>
        </w:rPr>
        <w:t xml:space="preserve">B to 10 CFR Part 50 with the rule. The commenter added that a broader set of </w:t>
      </w:r>
      <w:r w:rsidRPr="00220690">
        <w:rPr>
          <w:rFonts w:ascii="Arial" w:hAnsi="Arial" w:cs="Arial"/>
          <w:sz w:val="22"/>
          <w:szCs w:val="22"/>
        </w:rPr>
        <w:t xml:space="preserve">standards should be evaluated for adequacy of meeting Appendix B to 10 CFR Part 50 requirements to ensure new reactor equipment and components can meet demand </w:t>
      </w:r>
      <w:r w:rsidR="006509BD">
        <w:rPr>
          <w:rFonts w:ascii="Arial" w:hAnsi="Arial" w:cs="Arial"/>
          <w:sz w:val="22"/>
          <w:szCs w:val="22"/>
        </w:rPr>
        <w:br/>
      </w:r>
      <w:r w:rsidRPr="00220690">
        <w:rPr>
          <w:rFonts w:ascii="Arial" w:hAnsi="Arial" w:cs="Arial"/>
          <w:sz w:val="22"/>
          <w:szCs w:val="22"/>
        </w:rPr>
        <w:t>(</w:t>
      </w:r>
      <w:r w:rsidR="00AE0B17">
        <w:rPr>
          <w:rFonts w:ascii="Arial" w:hAnsi="Arial" w:cs="Arial"/>
          <w:sz w:val="22"/>
          <w:szCs w:val="22"/>
        </w:rPr>
        <w:t>USNIC2</w:t>
      </w:r>
      <w:r w:rsidRPr="00220690">
        <w:rPr>
          <w:rFonts w:ascii="Arial" w:hAnsi="Arial" w:cs="Arial"/>
          <w:sz w:val="22"/>
          <w:szCs w:val="22"/>
        </w:rPr>
        <w:t>-0010). </w:t>
      </w:r>
    </w:p>
    <w:p w:rsidR="007F112A" w:rsidRPr="00220690" w:rsidP="00220690" w14:paraId="39FDD2B8" w14:textId="77777777">
      <w:pPr>
        <w:spacing w:after="220"/>
        <w:rPr>
          <w:rFonts w:ascii="Arial" w:hAnsi="Arial" w:cs="Arial"/>
          <w:sz w:val="22"/>
          <w:szCs w:val="22"/>
        </w:rPr>
      </w:pPr>
      <w:r w:rsidRPr="00220690">
        <w:rPr>
          <w:rFonts w:ascii="Arial" w:eastAsia="DengXian" w:hAnsi="Arial" w:cs="Arial"/>
          <w:b/>
          <w:sz w:val="22"/>
          <w:szCs w:val="22"/>
        </w:rPr>
        <w:t>NRC Response:</w:t>
      </w:r>
      <w:r w:rsidRPr="00220690">
        <w:rPr>
          <w:rFonts w:ascii="Arial" w:eastAsia="DengXian" w:hAnsi="Arial" w:cs="Arial"/>
          <w:sz w:val="22"/>
          <w:szCs w:val="22"/>
        </w:rPr>
        <w:t xml:space="preserve"> </w:t>
      </w:r>
      <w:r w:rsidRPr="00220690">
        <w:rPr>
          <w:rFonts w:ascii="Arial" w:hAnsi="Arial" w:cs="Arial"/>
          <w:sz w:val="22"/>
          <w:szCs w:val="22"/>
        </w:rPr>
        <w:t xml:space="preserve">The NRC agrees with </w:t>
      </w:r>
      <w:r w:rsidR="00834CD5">
        <w:rPr>
          <w:rFonts w:ascii="Arial" w:hAnsi="Arial" w:cs="Arial"/>
          <w:sz w:val="22"/>
          <w:szCs w:val="22"/>
        </w:rPr>
        <w:t>the</w:t>
      </w:r>
      <w:r w:rsidRPr="00220690">
        <w:rPr>
          <w:rFonts w:ascii="Arial" w:hAnsi="Arial" w:cs="Arial"/>
          <w:sz w:val="22"/>
          <w:szCs w:val="22"/>
        </w:rPr>
        <w:t xml:space="preserve"> comments.</w:t>
      </w:r>
    </w:p>
    <w:p w:rsidR="00CD3527" w:rsidRPr="00220690" w:rsidP="00220690" w14:paraId="5989B0E9" w14:textId="77777777">
      <w:pPr>
        <w:spacing w:after="220"/>
        <w:rPr>
          <w:rFonts w:ascii="Arial" w:hAnsi="Arial" w:cs="Arial"/>
          <w:sz w:val="22"/>
          <w:szCs w:val="22"/>
        </w:rPr>
      </w:pPr>
      <w:r w:rsidRPr="00220690">
        <w:rPr>
          <w:rFonts w:ascii="Arial" w:hAnsi="Arial" w:cs="Arial"/>
          <w:sz w:val="22"/>
          <w:szCs w:val="22"/>
        </w:rPr>
        <w:t>The proposed and final rule language reference Appendix B to 10 CFR Part 50. As explained in the proposed rule, references to generally accepted consensus codes and standards endorsed or otherwise found acceptable by the NRC in 10 CFR 53.865 would have allowed for the use of international codes and standards not previously used in NRC licensing but recognized that the use of any consensus code or standard would ultimately need to be found acceptable by the NRC, either through generic efforts to endorse a code or standard or on an application-specific basis during an individual licensing review.</w:t>
      </w:r>
    </w:p>
    <w:p w:rsidR="007F112A" w:rsidRPr="00220690" w:rsidP="00220690" w14:paraId="1254D335" w14:textId="77777777">
      <w:pPr>
        <w:spacing w:after="220"/>
        <w:rPr>
          <w:rFonts w:ascii="Arial" w:hAnsi="Arial" w:cs="Arial"/>
          <w:sz w:val="22"/>
          <w:szCs w:val="22"/>
        </w:rPr>
      </w:pPr>
      <w:r w:rsidRPr="00220690">
        <w:rPr>
          <w:rFonts w:ascii="Arial" w:hAnsi="Arial" w:cs="Arial"/>
          <w:sz w:val="22"/>
          <w:szCs w:val="22"/>
        </w:rPr>
        <w:t xml:space="preserve">However, </w:t>
      </w:r>
      <w:r w:rsidRPr="00220690" w:rsidR="00CF3635">
        <w:rPr>
          <w:rFonts w:ascii="Arial" w:hAnsi="Arial" w:cs="Arial"/>
          <w:sz w:val="22"/>
          <w:szCs w:val="22"/>
        </w:rPr>
        <w:t>in response to Comment Bin</w:t>
      </w:r>
      <w:r w:rsidRPr="00220690" w:rsidR="00DF6A21">
        <w:rPr>
          <w:rFonts w:ascii="Arial" w:hAnsi="Arial" w:cs="Arial"/>
          <w:sz w:val="22"/>
          <w:szCs w:val="22"/>
        </w:rPr>
        <w:t xml:space="preserve"> 3.6.3.5.D, </w:t>
      </w:r>
      <w:r w:rsidRPr="00220690">
        <w:rPr>
          <w:rFonts w:ascii="Arial" w:hAnsi="Arial" w:cs="Arial"/>
          <w:sz w:val="22"/>
          <w:szCs w:val="22"/>
        </w:rPr>
        <w:t>the NRC agree</w:t>
      </w:r>
      <w:r w:rsidRPr="00220690" w:rsidR="00C70B9C">
        <w:rPr>
          <w:rFonts w:ascii="Arial" w:hAnsi="Arial" w:cs="Arial"/>
          <w:sz w:val="22"/>
          <w:szCs w:val="22"/>
        </w:rPr>
        <w:t>d</w:t>
      </w:r>
      <w:r w:rsidRPr="00220690" w:rsidR="00481BB5">
        <w:rPr>
          <w:rFonts w:ascii="Arial" w:hAnsi="Arial" w:cs="Arial"/>
          <w:sz w:val="22"/>
          <w:szCs w:val="22"/>
        </w:rPr>
        <w:t>, in part,</w:t>
      </w:r>
      <w:r w:rsidRPr="00220690">
        <w:rPr>
          <w:rFonts w:ascii="Arial" w:hAnsi="Arial" w:cs="Arial"/>
          <w:sz w:val="22"/>
          <w:szCs w:val="22"/>
        </w:rPr>
        <w:t xml:space="preserve"> with another comment </w:t>
      </w:r>
      <w:r w:rsidRPr="00220690" w:rsidR="00481BB5">
        <w:rPr>
          <w:rFonts w:ascii="Arial" w:hAnsi="Arial" w:cs="Arial"/>
          <w:sz w:val="22"/>
          <w:szCs w:val="22"/>
        </w:rPr>
        <w:t>that</w:t>
      </w:r>
      <w:r w:rsidRPr="00220690">
        <w:rPr>
          <w:rFonts w:ascii="Arial" w:hAnsi="Arial" w:cs="Arial"/>
          <w:sz w:val="22"/>
          <w:szCs w:val="22"/>
        </w:rPr>
        <w:t xml:space="preserve"> noted that there is no current requirement that the NRC must endorse consensus codes and standards or that consensus codes and standards must be used to develop the quality assurance program. In response to that comment, the NRC </w:t>
      </w:r>
      <w:r w:rsidR="0003694C">
        <w:rPr>
          <w:rFonts w:ascii="Arial" w:hAnsi="Arial" w:cs="Arial"/>
          <w:sz w:val="22"/>
          <w:szCs w:val="22"/>
        </w:rPr>
        <w:t>has revised</w:t>
      </w:r>
      <w:r w:rsidRPr="00220690">
        <w:rPr>
          <w:rFonts w:ascii="Arial" w:hAnsi="Arial" w:cs="Arial"/>
          <w:sz w:val="22"/>
          <w:szCs w:val="22"/>
        </w:rPr>
        <w:t xml:space="preserve"> the final rule language to delete the requirement to develop QA program manuals and guide the QA program in accordance with generally accepted consensus codes and standards that have been endorsed or otherwise found acceptable by the NRC.</w:t>
      </w:r>
    </w:p>
    <w:p w:rsidR="007F112A" w:rsidP="00220690" w14:paraId="5B3755B2" w14:textId="77777777">
      <w:pPr>
        <w:spacing w:after="220"/>
        <w:rPr>
          <w:rFonts w:ascii="Arial" w:hAnsi="Arial" w:cs="Arial"/>
          <w:sz w:val="22"/>
          <w:szCs w:val="22"/>
        </w:rPr>
      </w:pPr>
      <w:r w:rsidRPr="00220690">
        <w:rPr>
          <w:rFonts w:ascii="Arial" w:hAnsi="Arial" w:cs="Arial"/>
          <w:sz w:val="22"/>
          <w:szCs w:val="22"/>
        </w:rPr>
        <w:t>Accordingly, the NRC did not make further changes to the rule language in response to these comments.</w:t>
      </w:r>
    </w:p>
    <w:p w:rsidR="00220690" w:rsidP="00220690" w14:paraId="74DF656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7" style="width:0;height:1.5pt" o:hralign="center" o:hrstd="t" o:hrnoshade="t" o:hr="t" fillcolor="black" stroked="f"/>
        </w:pict>
      </w:r>
    </w:p>
    <w:p w:rsidR="00063F0C" w:rsidRPr="008D10E8" w:rsidP="00A27ADE" w14:paraId="39421528" w14:textId="77777777">
      <w:pPr>
        <w:pStyle w:val="Heading2"/>
        <w:keepNext/>
        <w:keepLines/>
        <w:numPr>
          <w:ilvl w:val="0"/>
          <w:numId w:val="0"/>
        </w:numPr>
        <w:ind w:left="720" w:hanging="720"/>
      </w:pPr>
      <w:bookmarkStart w:id="63" w:name="_Toc194678417"/>
      <w:bookmarkStart w:id="64" w:name="_Toc207222824"/>
      <w:r w:rsidRPr="00051A4B">
        <w:rPr>
          <w:u w:val="none"/>
        </w:rPr>
        <w:t>3.7.</w:t>
      </w:r>
      <w:r w:rsidRPr="00051A4B">
        <w:rPr>
          <w:u w:val="none"/>
        </w:rPr>
        <w:tab/>
      </w:r>
      <w:r w:rsidRPr="008D10E8" w:rsidR="007F112A">
        <w:t>Subpart G: Decommissioning Requirements (§§ 53.1000-53.1080)</w:t>
      </w:r>
      <w:bookmarkStart w:id="65" w:name="_Toc205380023"/>
      <w:bookmarkStart w:id="66" w:name="_Toc205457651"/>
      <w:bookmarkStart w:id="67" w:name="_Toc205380024"/>
      <w:bookmarkStart w:id="68" w:name="_Toc205457652"/>
      <w:bookmarkStart w:id="69" w:name="_Toc194466468"/>
      <w:bookmarkStart w:id="70" w:name="_Toc194678418"/>
      <w:bookmarkEnd w:id="55"/>
      <w:bookmarkEnd w:id="63"/>
      <w:bookmarkEnd w:id="64"/>
      <w:bookmarkEnd w:id="65"/>
      <w:bookmarkEnd w:id="66"/>
      <w:bookmarkEnd w:id="67"/>
      <w:bookmarkEnd w:id="68"/>
    </w:p>
    <w:p w:rsidR="007F112A" w:rsidRPr="005E489E" w:rsidP="00A27ADE" w14:paraId="3732795F" w14:textId="77777777">
      <w:pPr>
        <w:pStyle w:val="Heading3"/>
        <w:keepNext/>
        <w:keepLines/>
        <w:numPr>
          <w:ilvl w:val="0"/>
          <w:numId w:val="0"/>
        </w:numPr>
        <w:ind w:left="720" w:hanging="720"/>
        <w:rPr>
          <w:rFonts w:eastAsia="Times New Roman"/>
          <w:b/>
        </w:rPr>
      </w:pPr>
      <w:bookmarkStart w:id="71" w:name="_Toc207222825"/>
      <w:r w:rsidRPr="00051A4B">
        <w:rPr>
          <w:u w:val="none"/>
        </w:rPr>
        <w:t>3.7.1.</w:t>
      </w:r>
      <w:r w:rsidRPr="00051A4B">
        <w:rPr>
          <w:u w:val="none"/>
        </w:rPr>
        <w:tab/>
      </w:r>
      <w:r w:rsidRPr="00DA0A3C">
        <w:t>Comments on Subpart G requirements not related to RFC</w:t>
      </w:r>
      <w:bookmarkEnd w:id="69"/>
      <w:bookmarkEnd w:id="70"/>
      <w:bookmarkEnd w:id="71"/>
    </w:p>
    <w:p w:rsidR="007F112A" w:rsidRPr="00220690" w:rsidP="00A27ADE" w14:paraId="2667032F" w14:textId="77777777">
      <w:pPr>
        <w:keepNext/>
        <w:keepLines/>
        <w:spacing w:after="220"/>
        <w:rPr>
          <w:rFonts w:ascii="Arial" w:eastAsia="DengXian" w:hAnsi="Arial" w:cs="Arial"/>
          <w:sz w:val="22"/>
          <w:szCs w:val="22"/>
          <w:lang w:eastAsia="ja-JP"/>
        </w:rPr>
      </w:pPr>
      <w:r w:rsidRPr="00220690">
        <w:rPr>
          <w:rFonts w:ascii="Arial" w:eastAsia="Times New Roman" w:hAnsi="Arial" w:cs="Arial"/>
          <w:b/>
          <w:color w:val="000000"/>
          <w:sz w:val="22"/>
          <w:szCs w:val="22"/>
          <w:lang w:eastAsia="zh-CN"/>
        </w:rPr>
        <w:t>Comment Bin 3.7.1.A:</w:t>
      </w:r>
      <w:r w:rsidRPr="00220690">
        <w:rPr>
          <w:rFonts w:ascii="Arial" w:eastAsia="DengXian" w:hAnsi="Arial" w:cs="Arial"/>
          <w:sz w:val="22"/>
          <w:szCs w:val="22"/>
          <w:lang w:eastAsia="ja-JP"/>
        </w:rPr>
        <w:t xml:space="preserve"> A commenter stated that the NRC report, </w:t>
      </w:r>
      <w:r w:rsidR="008216BC">
        <w:rPr>
          <w:rFonts w:ascii="Arial" w:eastAsia="DengXian" w:hAnsi="Arial" w:cs="Arial"/>
          <w:sz w:val="22"/>
          <w:szCs w:val="22"/>
          <w:lang w:eastAsia="ja-JP"/>
        </w:rPr>
        <w:t>“</w:t>
      </w:r>
      <w:r w:rsidRPr="008216BC" w:rsidR="008216BC">
        <w:rPr>
          <w:rFonts w:ascii="Arial" w:eastAsia="DengXian" w:hAnsi="Arial" w:cs="Arial"/>
          <w:sz w:val="22"/>
          <w:szCs w:val="22"/>
          <w:lang w:eastAsia="ja-JP"/>
        </w:rPr>
        <w:t>Best Practices for Establishment and Operation of Local Community Advisory Boards Associated with Decommissioning Activities at Nuclear Power Plants</w:t>
      </w:r>
      <w:r w:rsidR="008216BC">
        <w:rPr>
          <w:rFonts w:ascii="Arial" w:eastAsia="DengXian" w:hAnsi="Arial" w:cs="Arial"/>
          <w:sz w:val="22"/>
          <w:szCs w:val="22"/>
          <w:lang w:eastAsia="ja-JP"/>
        </w:rPr>
        <w:t>,</w:t>
      </w:r>
      <w:r w:rsidR="00FF70A1">
        <w:rPr>
          <w:rFonts w:ascii="Arial" w:eastAsia="DengXian" w:hAnsi="Arial" w:cs="Arial"/>
          <w:sz w:val="22"/>
          <w:szCs w:val="22"/>
          <w:lang w:eastAsia="ja-JP"/>
        </w:rPr>
        <w:t xml:space="preserve">” </w:t>
      </w:r>
      <w:r w:rsidRPr="00220690">
        <w:rPr>
          <w:rFonts w:ascii="Arial" w:eastAsia="DengXian" w:hAnsi="Arial" w:cs="Arial"/>
          <w:sz w:val="22"/>
          <w:szCs w:val="22"/>
          <w:lang w:eastAsia="ja-JP"/>
        </w:rPr>
        <w:t xml:space="preserve">required by </w:t>
      </w:r>
      <w:r w:rsidR="00FB705F">
        <w:rPr>
          <w:rFonts w:ascii="Arial" w:eastAsia="DengXian" w:hAnsi="Arial" w:cs="Arial"/>
          <w:sz w:val="22"/>
          <w:szCs w:val="22"/>
          <w:lang w:eastAsia="ja-JP"/>
        </w:rPr>
        <w:t>s</w:t>
      </w:r>
      <w:r w:rsidRPr="00220690">
        <w:rPr>
          <w:rFonts w:ascii="Arial" w:eastAsia="DengXian" w:hAnsi="Arial" w:cs="Arial"/>
          <w:sz w:val="22"/>
          <w:szCs w:val="22"/>
          <w:lang w:eastAsia="ja-JP"/>
        </w:rPr>
        <w:t xml:space="preserve">ection 108 of NEIMA and delivered to Congress on July 1, 2020 (ML20113E857) demonstrated that the </w:t>
      </w:r>
      <w:r w:rsidR="00FF70A1">
        <w:rPr>
          <w:rFonts w:ascii="Arial" w:eastAsia="DengXian" w:hAnsi="Arial" w:cs="Arial"/>
          <w:sz w:val="22"/>
          <w:szCs w:val="22"/>
          <w:lang w:eastAsia="ja-JP"/>
        </w:rPr>
        <w:t>community advisory board</w:t>
      </w:r>
      <w:r w:rsidRPr="00220690">
        <w:rPr>
          <w:rFonts w:ascii="Arial" w:eastAsia="DengXian" w:hAnsi="Arial" w:cs="Arial"/>
          <w:sz w:val="22"/>
          <w:szCs w:val="22"/>
          <w:lang w:eastAsia="ja-JP"/>
        </w:rPr>
        <w:t xml:space="preserve"> </w:t>
      </w:r>
      <w:r w:rsidR="00FF70A1">
        <w:rPr>
          <w:rFonts w:ascii="Arial" w:eastAsia="DengXian" w:hAnsi="Arial" w:cs="Arial"/>
          <w:sz w:val="22"/>
          <w:szCs w:val="22"/>
          <w:lang w:eastAsia="ja-JP"/>
        </w:rPr>
        <w:t>(</w:t>
      </w:r>
      <w:r w:rsidRPr="00220690">
        <w:rPr>
          <w:rFonts w:ascii="Arial" w:eastAsia="DengXian" w:hAnsi="Arial" w:cs="Arial"/>
          <w:sz w:val="22"/>
          <w:szCs w:val="22"/>
          <w:lang w:eastAsia="ja-JP"/>
        </w:rPr>
        <w:t>CAB</w:t>
      </w:r>
      <w:r w:rsidR="00FF70A1">
        <w:rPr>
          <w:rFonts w:ascii="Arial" w:eastAsia="DengXian" w:hAnsi="Arial" w:cs="Arial"/>
          <w:sz w:val="22"/>
          <w:szCs w:val="22"/>
          <w:lang w:eastAsia="ja-JP"/>
        </w:rPr>
        <w:t>)</w:t>
      </w:r>
      <w:r w:rsidRPr="00220690">
        <w:rPr>
          <w:rFonts w:ascii="Arial" w:eastAsia="DengXian" w:hAnsi="Arial" w:cs="Arial"/>
          <w:sz w:val="22"/>
          <w:szCs w:val="22"/>
          <w:lang w:eastAsia="ja-JP"/>
        </w:rPr>
        <w:t xml:space="preserve"> is a useful tool which can support all nuclear power and fuel cycle facilities through decommissioning. </w:t>
      </w:r>
      <w:r w:rsidRPr="00220690">
        <w:rPr>
          <w:rFonts w:ascii="Arial" w:eastAsia="Times New Roman" w:hAnsi="Arial" w:cs="Arial"/>
          <w:color w:val="000000"/>
          <w:sz w:val="22"/>
          <w:szCs w:val="22"/>
          <w:lang w:eastAsia="zh-CN"/>
        </w:rPr>
        <w:t>The commenter advocate</w:t>
      </w:r>
      <w:r w:rsidR="00C21CA3">
        <w:rPr>
          <w:rFonts w:ascii="Arial" w:eastAsia="Times New Roman" w:hAnsi="Arial" w:cs="Arial"/>
          <w:color w:val="000000"/>
          <w:sz w:val="22"/>
          <w:szCs w:val="22"/>
          <w:lang w:eastAsia="zh-CN"/>
        </w:rPr>
        <w:t>d</w:t>
      </w:r>
      <w:r w:rsidRPr="00220690">
        <w:rPr>
          <w:rFonts w:ascii="Arial" w:eastAsia="Times New Roman" w:hAnsi="Arial" w:cs="Arial"/>
          <w:color w:val="000000"/>
          <w:sz w:val="22"/>
          <w:szCs w:val="22"/>
          <w:lang w:eastAsia="zh-CN"/>
        </w:rPr>
        <w:t xml:space="preserve"> for the use of CABs to support all aspects of nuclear power and fuel cycle facilities, from initial planning and siting through decommissioning. </w:t>
      </w:r>
      <w:r w:rsidRPr="00220690">
        <w:rPr>
          <w:rFonts w:ascii="Arial" w:eastAsia="DengXian" w:hAnsi="Arial" w:cs="Arial"/>
          <w:sz w:val="22"/>
          <w:szCs w:val="22"/>
          <w:lang w:eastAsia="ja-JP"/>
        </w:rPr>
        <w:t xml:space="preserve">The commenter discussed that the </w:t>
      </w:r>
      <w:r w:rsidR="004A4C01">
        <w:rPr>
          <w:rFonts w:ascii="Arial" w:eastAsia="DengXian" w:hAnsi="Arial" w:cs="Arial"/>
          <w:sz w:val="22"/>
          <w:szCs w:val="22"/>
          <w:lang w:eastAsia="ja-JP"/>
        </w:rPr>
        <w:t xml:space="preserve">2020 </w:t>
      </w:r>
      <w:r w:rsidRPr="00220690">
        <w:rPr>
          <w:rFonts w:ascii="Arial" w:eastAsia="DengXian" w:hAnsi="Arial" w:cs="Arial"/>
          <w:sz w:val="22"/>
          <w:szCs w:val="22"/>
          <w:lang w:eastAsia="ja-JP"/>
        </w:rPr>
        <w:t xml:space="preserve">CAB </w:t>
      </w:r>
      <w:r w:rsidR="00C21CA3">
        <w:rPr>
          <w:rFonts w:ascii="Arial" w:eastAsia="DengXian" w:hAnsi="Arial" w:cs="Arial"/>
          <w:sz w:val="22"/>
          <w:szCs w:val="22"/>
          <w:lang w:eastAsia="ja-JP"/>
        </w:rPr>
        <w:t>r</w:t>
      </w:r>
      <w:r w:rsidRPr="00220690">
        <w:rPr>
          <w:rFonts w:ascii="Arial" w:eastAsia="DengXian" w:hAnsi="Arial" w:cs="Arial"/>
          <w:sz w:val="22"/>
          <w:szCs w:val="22"/>
          <w:lang w:eastAsia="ja-JP"/>
        </w:rPr>
        <w:t xml:space="preserve">eport is limited in scope in context of decommissioning, but that NEIMA </w:t>
      </w:r>
      <w:r w:rsidR="00365C05">
        <w:rPr>
          <w:rFonts w:ascii="Arial" w:eastAsia="DengXian" w:hAnsi="Arial" w:cs="Arial"/>
          <w:sz w:val="22"/>
          <w:szCs w:val="22"/>
          <w:lang w:eastAsia="ja-JP"/>
        </w:rPr>
        <w:t>s</w:t>
      </w:r>
      <w:r w:rsidRPr="00220690">
        <w:rPr>
          <w:rFonts w:ascii="Arial" w:eastAsia="DengXian" w:hAnsi="Arial" w:cs="Arial"/>
          <w:sz w:val="22"/>
          <w:szCs w:val="22"/>
          <w:lang w:eastAsia="ja-JP"/>
        </w:rPr>
        <w:t>ections 103(a)(1), (a)(3), (b)(4)(A)(iii), (b)(4)(B)(iii), and (b)(4)(B)(iv) include high-level policy goals for the NRC to find and implement program changes resulting in “predictable, efficient, and timely” licensing processes.</w:t>
      </w:r>
    </w:p>
    <w:p w:rsidR="007F112A" w:rsidRPr="00220690" w:rsidP="00220690" w14:paraId="58F1FB76"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The commenter added that CAB formation prior to decommissioning is likely to improve its overall effectiveness in working with the community and licensee, including to develop a charter, consider membership, develop a selection process for CAB members, provide training or other background information, and identify and address community needs during decommissioning. The commenter further lists </w:t>
      </w:r>
      <w:r w:rsidRPr="00220690">
        <w:rPr>
          <w:rFonts w:ascii="Arial" w:eastAsia="Times New Roman" w:hAnsi="Arial" w:cs="Arial"/>
          <w:color w:val="000000"/>
          <w:sz w:val="22"/>
          <w:szCs w:val="22"/>
          <w:lang w:eastAsia="zh-CN"/>
        </w:rPr>
        <w:t xml:space="preserve">seven processes related to licensing within 10 CFR Part 53: ESP, LWA, </w:t>
      </w:r>
      <w:r w:rsidR="00B364AD">
        <w:rPr>
          <w:rFonts w:ascii="Arial" w:eastAsia="Times New Roman" w:hAnsi="Arial" w:cs="Arial"/>
          <w:color w:val="000000"/>
          <w:sz w:val="22"/>
          <w:szCs w:val="22"/>
          <w:lang w:eastAsia="zh-CN"/>
        </w:rPr>
        <w:t>standard design approval (</w:t>
      </w:r>
      <w:r w:rsidRPr="00220690">
        <w:rPr>
          <w:rFonts w:ascii="Arial" w:eastAsia="Times New Roman" w:hAnsi="Arial" w:cs="Arial"/>
          <w:color w:val="000000"/>
          <w:sz w:val="22"/>
          <w:szCs w:val="22"/>
          <w:lang w:eastAsia="zh-CN"/>
        </w:rPr>
        <w:t>SDA</w:t>
      </w:r>
      <w:r w:rsidR="00B364AD">
        <w:rPr>
          <w:rFonts w:ascii="Arial" w:eastAsia="Times New Roman" w:hAnsi="Arial" w:cs="Arial"/>
          <w:color w:val="000000"/>
          <w:sz w:val="22"/>
          <w:szCs w:val="22"/>
          <w:lang w:eastAsia="zh-CN"/>
        </w:rPr>
        <w:t>)</w:t>
      </w:r>
      <w:r w:rsidRPr="00220690">
        <w:rPr>
          <w:rFonts w:ascii="Arial" w:eastAsia="Times New Roman" w:hAnsi="Arial" w:cs="Arial"/>
          <w:color w:val="000000"/>
          <w:sz w:val="22"/>
          <w:szCs w:val="22"/>
          <w:lang w:eastAsia="zh-CN"/>
        </w:rPr>
        <w:t xml:space="preserve">, </w:t>
      </w:r>
      <w:r w:rsidR="00573CF3">
        <w:rPr>
          <w:rFonts w:ascii="Arial" w:eastAsia="Times New Roman" w:hAnsi="Arial" w:cs="Arial"/>
          <w:color w:val="000000"/>
          <w:sz w:val="22"/>
          <w:szCs w:val="22"/>
          <w:lang w:eastAsia="zh-CN"/>
        </w:rPr>
        <w:t>st</w:t>
      </w:r>
      <w:r w:rsidR="00C33CDC">
        <w:rPr>
          <w:rFonts w:ascii="Arial" w:eastAsia="Times New Roman" w:hAnsi="Arial" w:cs="Arial"/>
          <w:color w:val="000000"/>
          <w:sz w:val="22"/>
          <w:szCs w:val="22"/>
          <w:lang w:eastAsia="zh-CN"/>
        </w:rPr>
        <w:t>andard design certification (</w:t>
      </w:r>
      <w:r w:rsidRPr="00220690">
        <w:rPr>
          <w:rFonts w:ascii="Arial" w:eastAsia="Times New Roman" w:hAnsi="Arial" w:cs="Arial"/>
          <w:color w:val="000000"/>
          <w:sz w:val="22"/>
          <w:szCs w:val="22"/>
          <w:lang w:eastAsia="zh-CN"/>
        </w:rPr>
        <w:t>SDC</w:t>
      </w:r>
      <w:r w:rsidR="00C33CDC">
        <w:rPr>
          <w:rFonts w:ascii="Arial" w:eastAsia="Times New Roman" w:hAnsi="Arial" w:cs="Arial"/>
          <w:color w:val="000000"/>
          <w:sz w:val="22"/>
          <w:szCs w:val="22"/>
          <w:lang w:eastAsia="zh-CN"/>
        </w:rPr>
        <w:t>)</w:t>
      </w:r>
      <w:r w:rsidRPr="00220690">
        <w:rPr>
          <w:rFonts w:ascii="Arial" w:eastAsia="Times New Roman" w:hAnsi="Arial" w:cs="Arial"/>
          <w:color w:val="000000"/>
          <w:sz w:val="22"/>
          <w:szCs w:val="22"/>
          <w:lang w:eastAsia="zh-CN"/>
        </w:rPr>
        <w:t xml:space="preserve">, CP, OL, and ML, that the commenter believes could involve a CAB </w:t>
      </w:r>
      <w:r w:rsidRPr="00220690">
        <w:rPr>
          <w:rFonts w:ascii="Arial" w:eastAsia="DengXian" w:hAnsi="Arial" w:cs="Arial"/>
          <w:sz w:val="22"/>
          <w:szCs w:val="22"/>
          <w:lang w:eastAsia="ja-JP"/>
        </w:rPr>
        <w:t>(</w:t>
      </w:r>
      <w:r w:rsidR="000A1B88">
        <w:rPr>
          <w:rFonts w:ascii="Arial" w:eastAsia="DengXian" w:hAnsi="Arial" w:cs="Arial"/>
          <w:sz w:val="22"/>
          <w:szCs w:val="22"/>
          <w:lang w:eastAsia="ja-JP"/>
        </w:rPr>
        <w:t>UT1</w:t>
      </w:r>
      <w:r w:rsidRPr="00220690">
        <w:rPr>
          <w:rFonts w:ascii="Arial" w:eastAsia="DengXian" w:hAnsi="Arial" w:cs="Arial"/>
          <w:sz w:val="22"/>
          <w:szCs w:val="22"/>
          <w:lang w:eastAsia="ja-JP"/>
        </w:rPr>
        <w:t>-0002).</w:t>
      </w:r>
    </w:p>
    <w:p w:rsidR="00BA57DC" w:rsidP="00220690" w14:paraId="5648D274" w14:textId="77777777">
      <w:pPr>
        <w:spacing w:after="220"/>
        <w:rPr>
          <w:rFonts w:ascii="Arial" w:eastAsia="DengXian" w:hAnsi="Arial" w:cs="Arial"/>
          <w:sz w:val="22"/>
          <w:szCs w:val="22"/>
          <w:lang w:eastAsia="ja-JP"/>
        </w:rPr>
      </w:pPr>
      <w:r w:rsidRPr="00220690">
        <w:rPr>
          <w:rFonts w:ascii="Arial" w:eastAsia="DengXian" w:hAnsi="Arial" w:cs="Arial"/>
          <w:b/>
          <w:sz w:val="22"/>
          <w:szCs w:val="22"/>
          <w:lang w:eastAsia="ja-JP"/>
        </w:rPr>
        <w:t>NRC Response:</w:t>
      </w:r>
      <w:r w:rsidRPr="00220690">
        <w:rPr>
          <w:rFonts w:ascii="Arial" w:eastAsia="DengXian" w:hAnsi="Arial" w:cs="Arial"/>
          <w:sz w:val="22"/>
          <w:szCs w:val="22"/>
          <w:lang w:eastAsia="ja-JP"/>
        </w:rPr>
        <w:t xml:space="preserve"> The NRC agrees with </w:t>
      </w:r>
      <w:r w:rsidR="00834CD5">
        <w:rPr>
          <w:rFonts w:ascii="Arial" w:hAnsi="Arial" w:cs="Arial"/>
          <w:sz w:val="22"/>
          <w:szCs w:val="22"/>
        </w:rPr>
        <w:t>the</w:t>
      </w:r>
      <w:r w:rsidRPr="00220690">
        <w:rPr>
          <w:rFonts w:ascii="Arial" w:eastAsia="DengXian" w:hAnsi="Arial" w:cs="Arial"/>
          <w:sz w:val="22"/>
          <w:szCs w:val="22"/>
          <w:lang w:eastAsia="ja-JP"/>
        </w:rPr>
        <w:t xml:space="preserve"> comment.</w:t>
      </w:r>
    </w:p>
    <w:p w:rsidR="00EF2E93" w:rsidRPr="00220690" w:rsidP="00220690" w14:paraId="42BE9E42" w14:textId="77777777">
      <w:pPr>
        <w:spacing w:after="220"/>
        <w:rPr>
          <w:rFonts w:ascii="Arial" w:eastAsia="DengXian" w:hAnsi="Arial" w:cs="Arial"/>
          <w:sz w:val="22"/>
          <w:szCs w:val="22"/>
          <w:lang w:eastAsia="ja-JP"/>
        </w:rPr>
      </w:pPr>
      <w:r>
        <w:rPr>
          <w:rFonts w:ascii="Arial" w:eastAsia="DengXian" w:hAnsi="Arial" w:cs="Arial"/>
          <w:sz w:val="22"/>
          <w:szCs w:val="22"/>
          <w:lang w:eastAsia="ja-JP"/>
        </w:rPr>
        <w:t>Insofar a</w:t>
      </w:r>
      <w:r w:rsidRPr="00220690" w:rsidR="007F112A">
        <w:rPr>
          <w:rFonts w:ascii="Arial" w:eastAsia="DengXian" w:hAnsi="Arial" w:cs="Arial"/>
          <w:sz w:val="22"/>
          <w:szCs w:val="22"/>
          <w:lang w:eastAsia="ja-JP"/>
        </w:rPr>
        <w:t xml:space="preserve">s </w:t>
      </w:r>
      <w:r>
        <w:rPr>
          <w:rFonts w:ascii="Arial" w:eastAsia="DengXian" w:hAnsi="Arial" w:cs="Arial"/>
          <w:sz w:val="22"/>
          <w:szCs w:val="22"/>
          <w:lang w:eastAsia="ja-JP"/>
        </w:rPr>
        <w:t>it is</w:t>
      </w:r>
      <w:r w:rsidRPr="00220690" w:rsidR="007F112A">
        <w:rPr>
          <w:rFonts w:ascii="Arial" w:eastAsia="DengXian" w:hAnsi="Arial" w:cs="Arial"/>
          <w:sz w:val="22"/>
          <w:szCs w:val="22"/>
          <w:lang w:eastAsia="ja-JP"/>
        </w:rPr>
        <w:t xml:space="preserve"> noted in the 2020 </w:t>
      </w:r>
      <w:r w:rsidR="00C44DEA">
        <w:rPr>
          <w:rFonts w:ascii="Arial" w:eastAsia="DengXian" w:hAnsi="Arial" w:cs="Arial"/>
          <w:sz w:val="22"/>
          <w:szCs w:val="22"/>
          <w:lang w:eastAsia="ja-JP"/>
        </w:rPr>
        <w:t>CAB</w:t>
      </w:r>
      <w:r w:rsidRPr="00220690" w:rsidR="007F112A">
        <w:rPr>
          <w:rFonts w:ascii="Arial" w:eastAsia="DengXian" w:hAnsi="Arial" w:cs="Arial"/>
          <w:sz w:val="22"/>
          <w:szCs w:val="22"/>
          <w:lang w:eastAsia="ja-JP"/>
        </w:rPr>
        <w:t xml:space="preserve"> report referenced in the comment, the NRC encourages the formation of CABs to foster communication and information exchange between the licensee and the members of the community. The comment suggests no changes to the proposed rule.</w:t>
      </w:r>
    </w:p>
    <w:p w:rsidR="007F112A" w:rsidRPr="00220690" w:rsidP="00220690" w14:paraId="25CA15F5" w14:textId="77777777">
      <w:pPr>
        <w:spacing w:after="220"/>
        <w:rPr>
          <w:rFonts w:ascii="Arial" w:eastAsia="Times New Roman" w:hAnsi="Arial" w:cs="Arial"/>
          <w:color w:val="000000"/>
          <w:sz w:val="22"/>
          <w:szCs w:val="22"/>
          <w:lang w:eastAsia="zh-CN"/>
        </w:rPr>
      </w:pPr>
      <w:r w:rsidRPr="00220690">
        <w:rPr>
          <w:rFonts w:ascii="Arial" w:eastAsia="DengXian" w:hAnsi="Arial" w:cs="Arial"/>
          <w:sz w:val="22"/>
          <w:szCs w:val="22"/>
          <w:lang w:eastAsia="ja-JP"/>
        </w:rPr>
        <w:t>Accordingly, the NRC did not change the rule language in response to the comment.</w:t>
      </w:r>
    </w:p>
    <w:p w:rsidR="007F112A" w:rsidRPr="00220690" w:rsidP="00220690" w14:paraId="54B91286"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8" style="width:0;height:1.5pt" o:hralign="center" o:hrstd="t" o:hrnoshade="t" o:hr="t" fillcolor="black" stroked="f"/>
        </w:pict>
      </w:r>
    </w:p>
    <w:p w:rsidR="007F112A" w:rsidRPr="00220690" w:rsidP="00220690" w14:paraId="5B087333" w14:textId="77777777">
      <w:pPr>
        <w:spacing w:after="220"/>
        <w:rPr>
          <w:rFonts w:ascii="Arial" w:eastAsia="DengXian" w:hAnsi="Arial" w:cs="Arial"/>
          <w:sz w:val="22"/>
          <w:szCs w:val="22"/>
          <w:lang w:eastAsia="ja-JP"/>
        </w:rPr>
      </w:pPr>
      <w:r w:rsidRPr="00220690">
        <w:rPr>
          <w:rFonts w:ascii="Arial" w:eastAsia="Times New Roman" w:hAnsi="Arial" w:cs="Arial"/>
          <w:b/>
          <w:color w:val="000000"/>
          <w:sz w:val="22"/>
          <w:szCs w:val="22"/>
          <w:lang w:eastAsia="zh-CN"/>
        </w:rPr>
        <w:t>Comment Bin 3.7.1.B:</w:t>
      </w:r>
      <w:r w:rsidRPr="00220690">
        <w:rPr>
          <w:rFonts w:ascii="Arial" w:eastAsia="DengXian" w:hAnsi="Arial" w:cs="Arial"/>
          <w:sz w:val="22"/>
          <w:szCs w:val="22"/>
          <w:lang w:eastAsia="ja-JP"/>
        </w:rPr>
        <w:t xml:space="preserve"> A commenter stated that the NRC conducts monitoring to ensure sufficient decommissioning trust funds at nuclear power plants, and that SECY</w:t>
      </w:r>
      <w:r w:rsidRPr="00220690">
        <w:rPr>
          <w:rFonts w:ascii="Arial" w:eastAsia="DengXian" w:hAnsi="Arial" w:cs="Arial"/>
          <w:sz w:val="22"/>
          <w:szCs w:val="22"/>
          <w:lang w:eastAsia="ja-JP"/>
        </w:rPr>
        <w:noBreakHyphen/>
        <w:t>18</w:t>
      </w:r>
      <w:r w:rsidRPr="00220690">
        <w:rPr>
          <w:rFonts w:ascii="Arial" w:eastAsia="DengXian" w:hAnsi="Arial" w:cs="Arial"/>
          <w:sz w:val="22"/>
          <w:szCs w:val="22"/>
          <w:lang w:eastAsia="ja-JP"/>
        </w:rPr>
        <w:noBreakHyphen/>
        <w:t xml:space="preserve">0078, “Summary of Staff Review and Findings of the 2017 Decommissioning Fund Status Reports From Operating Power Reactor Licensees and Power Reactor Licensees in Decommissioning,” </w:t>
      </w:r>
      <w:r w:rsidR="00834CB1">
        <w:rPr>
          <w:rFonts w:ascii="Arial" w:eastAsia="DengXian" w:hAnsi="Arial" w:cs="Arial"/>
          <w:sz w:val="22"/>
          <w:szCs w:val="22"/>
          <w:lang w:eastAsia="ja-JP"/>
        </w:rPr>
        <w:t>issued August 2018 (</w:t>
      </w:r>
      <w:r w:rsidRPr="00834CB1" w:rsidR="00834CB1">
        <w:rPr>
          <w:rFonts w:ascii="Arial" w:eastAsia="DengXian" w:hAnsi="Arial" w:cs="Arial"/>
          <w:sz w:val="22"/>
          <w:szCs w:val="22"/>
          <w:lang w:eastAsia="ja-JP"/>
        </w:rPr>
        <w:t>ML18096B523</w:t>
      </w:r>
      <w:r w:rsidR="00834CB1">
        <w:rPr>
          <w:rFonts w:ascii="Arial" w:eastAsia="DengXian" w:hAnsi="Arial" w:cs="Arial"/>
          <w:sz w:val="22"/>
          <w:szCs w:val="22"/>
          <w:lang w:eastAsia="ja-JP"/>
        </w:rPr>
        <w:t xml:space="preserve">) </w:t>
      </w:r>
      <w:r w:rsidRPr="00220690">
        <w:rPr>
          <w:rFonts w:ascii="Arial" w:eastAsia="DengXian" w:hAnsi="Arial" w:cs="Arial"/>
          <w:sz w:val="22"/>
          <w:szCs w:val="22"/>
          <w:lang w:eastAsia="ja-JP"/>
        </w:rPr>
        <w:t>provides periodic cost estimate data describing the present amount of money in the trust fund and an estimate to complete radiological decommissioning for each nuclear plant. The commenter discussed that the cost estimates presented in SECY</w:t>
      </w:r>
      <w:r w:rsidR="0088522D">
        <w:rPr>
          <w:rFonts w:ascii="Arial" w:eastAsia="DengXian" w:hAnsi="Arial" w:cs="Arial"/>
          <w:sz w:val="22"/>
          <w:szCs w:val="22"/>
          <w:lang w:eastAsia="ja-JP"/>
        </w:rPr>
        <w:t>-</w:t>
      </w:r>
      <w:r w:rsidRPr="0088522D" w:rsidR="0088522D">
        <w:rPr>
          <w:rFonts w:ascii="Arial" w:eastAsia="DengXian" w:hAnsi="Arial" w:cs="Arial"/>
          <w:sz w:val="22"/>
          <w:szCs w:val="22"/>
          <w:lang w:eastAsia="ja-JP"/>
        </w:rPr>
        <w:t>18</w:t>
      </w:r>
      <w:r w:rsidR="0088522D">
        <w:rPr>
          <w:rFonts w:ascii="Arial" w:eastAsia="DengXian" w:hAnsi="Arial" w:cs="Arial"/>
          <w:sz w:val="22"/>
          <w:szCs w:val="22"/>
          <w:lang w:eastAsia="ja-JP"/>
        </w:rPr>
        <w:t>-</w:t>
      </w:r>
      <w:r w:rsidRPr="0088522D" w:rsidR="0088522D">
        <w:rPr>
          <w:rFonts w:ascii="Arial" w:eastAsia="DengXian" w:hAnsi="Arial" w:cs="Arial"/>
          <w:sz w:val="22"/>
          <w:szCs w:val="22"/>
          <w:lang w:eastAsia="ja-JP"/>
        </w:rPr>
        <w:t>0078</w:t>
      </w:r>
      <w:r w:rsidRPr="00220690">
        <w:rPr>
          <w:rFonts w:ascii="Arial" w:eastAsia="DengXian" w:hAnsi="Arial" w:cs="Arial"/>
          <w:sz w:val="22"/>
          <w:szCs w:val="22"/>
          <w:lang w:eastAsia="ja-JP"/>
        </w:rPr>
        <w:t xml:space="preserve"> only cover costs for decommissioning radioactive portions of the plant, but that the cost to decommission a nuclear plant includes costs for both radiologically and non-radiologically affected items. The commenter expressed concern that NRC estimates based only on radiological costs may underestimate the total decommissioning funding required.</w:t>
      </w:r>
    </w:p>
    <w:p w:rsidR="007F112A" w:rsidRPr="00220690" w:rsidP="00220690" w14:paraId="6E38412B"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The commenter presented the case studies of the Shoreham nuclear plant on Long Island, New York, and Indian Point to discuss the consequences of insufficient decommissioning funding. The commenter stated that empty buildings exist at the Shoreham site to this day and that Long Island residents are subject to a multi</w:t>
      </w:r>
      <w:r w:rsidRPr="00220690">
        <w:rPr>
          <w:rFonts w:ascii="Arial" w:eastAsia="DengXian" w:hAnsi="Arial" w:cs="Arial"/>
          <w:sz w:val="22"/>
          <w:szCs w:val="22"/>
          <w:lang w:eastAsia="ja-JP"/>
        </w:rPr>
        <w:noBreakHyphen/>
        <w:t>billion</w:t>
      </w:r>
      <w:r w:rsidRPr="00220690" w:rsidR="00E87AF7">
        <w:rPr>
          <w:rFonts w:ascii="Arial" w:eastAsia="DengXian" w:hAnsi="Arial" w:cs="Arial"/>
          <w:sz w:val="22"/>
          <w:szCs w:val="22"/>
          <w:lang w:eastAsia="ja-JP"/>
        </w:rPr>
        <w:t>-</w:t>
      </w:r>
      <w:r w:rsidRPr="00220690">
        <w:rPr>
          <w:rFonts w:ascii="Arial" w:eastAsia="DengXian" w:hAnsi="Arial" w:cs="Arial"/>
          <w:sz w:val="22"/>
          <w:szCs w:val="22"/>
          <w:lang w:eastAsia="ja-JP"/>
        </w:rPr>
        <w:t xml:space="preserve">dollar debt because of insufficient decommissioning funds. For Unit One at Indian Point, the commenter stated that no new money from ratepayers entered the decommissioning fund once the unit went into SAFSTOR decommissioning mode and that the net income from earnings on the fund was limited to a </w:t>
      </w:r>
      <w:r w:rsidR="00990C8A">
        <w:rPr>
          <w:rFonts w:ascii="Arial" w:eastAsia="DengXian" w:hAnsi="Arial" w:cs="Arial"/>
          <w:sz w:val="22"/>
          <w:szCs w:val="22"/>
          <w:lang w:eastAsia="ja-JP"/>
        </w:rPr>
        <w:br/>
      </w:r>
      <w:r w:rsidRPr="00220690">
        <w:rPr>
          <w:rFonts w:ascii="Arial" w:eastAsia="DengXian" w:hAnsi="Arial" w:cs="Arial"/>
          <w:sz w:val="22"/>
          <w:szCs w:val="22"/>
          <w:lang w:eastAsia="ja-JP"/>
        </w:rPr>
        <w:t>2</w:t>
      </w:r>
      <w:r w:rsidR="00990C8A">
        <w:rPr>
          <w:rFonts w:ascii="Arial" w:eastAsia="DengXian" w:hAnsi="Arial" w:cs="Arial"/>
          <w:sz w:val="22"/>
          <w:szCs w:val="22"/>
          <w:lang w:eastAsia="ja-JP"/>
        </w:rPr>
        <w:t xml:space="preserve"> percent</w:t>
      </w:r>
      <w:r w:rsidRPr="00220690">
        <w:rPr>
          <w:rFonts w:ascii="Arial" w:eastAsia="DengXian" w:hAnsi="Arial" w:cs="Arial"/>
          <w:sz w:val="22"/>
          <w:szCs w:val="22"/>
          <w:lang w:eastAsia="ja-JP"/>
        </w:rPr>
        <w:t xml:space="preserve"> rate of return. The commenter added that it would take many years to accrue sufficient decommissioning funds, despite a transfer of ownership from Consolidated Edison to Entergy.</w:t>
      </w:r>
    </w:p>
    <w:p w:rsidR="007F112A" w:rsidRPr="00220690" w:rsidP="00220690" w14:paraId="7F29000F"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The commenter further discussed that the three units at Indian Point were later transferred to Holtec Decommissioning International, who placed all units into DECON decommissioning mode and submitted a </w:t>
      </w:r>
      <w:r w:rsidRPr="00D1056D" w:rsidR="00D1056D">
        <w:rPr>
          <w:rFonts w:ascii="Arial" w:eastAsia="DengXian" w:hAnsi="Arial" w:cs="Arial"/>
          <w:sz w:val="22"/>
          <w:szCs w:val="22"/>
          <w:lang w:eastAsia="ja-JP"/>
        </w:rPr>
        <w:t xml:space="preserve">post-shutdown decommissioning activities report </w:t>
      </w:r>
      <w:r w:rsidR="00D1056D">
        <w:rPr>
          <w:rFonts w:ascii="Arial" w:eastAsia="DengXian" w:hAnsi="Arial" w:cs="Arial"/>
          <w:sz w:val="22"/>
          <w:szCs w:val="22"/>
          <w:lang w:eastAsia="ja-JP"/>
        </w:rPr>
        <w:t>(</w:t>
      </w:r>
      <w:r w:rsidRPr="00220690">
        <w:rPr>
          <w:rFonts w:ascii="Arial" w:eastAsia="DengXian" w:hAnsi="Arial" w:cs="Arial"/>
          <w:sz w:val="22"/>
          <w:szCs w:val="22"/>
          <w:lang w:eastAsia="ja-JP"/>
        </w:rPr>
        <w:t>PSDAR</w:t>
      </w:r>
      <w:r w:rsidR="00D1056D">
        <w:rPr>
          <w:rFonts w:ascii="Arial" w:eastAsia="DengXian" w:hAnsi="Arial" w:cs="Arial"/>
          <w:sz w:val="22"/>
          <w:szCs w:val="22"/>
          <w:lang w:eastAsia="ja-JP"/>
        </w:rPr>
        <w:t>)</w:t>
      </w:r>
      <w:r w:rsidRPr="00220690">
        <w:rPr>
          <w:rFonts w:ascii="Arial" w:eastAsia="DengXian" w:hAnsi="Arial" w:cs="Arial"/>
          <w:sz w:val="22"/>
          <w:szCs w:val="22"/>
          <w:lang w:eastAsia="ja-JP"/>
        </w:rPr>
        <w:t xml:space="preserve"> with multiple cost estimates to the NRC. The commenter stated that the NRC did not review the PSDAR cost estimates in detail and instead relied on summary tables that could potentially be invalid due to incorrect, incomplete, or faulty analysis, putting the local community at financial risk. The commenter suggested that a different approach to decommissioning funding is needed and that financial assurance methods including surety bonds be part of the licensing process prior to approving any transfer of licenses. The commenter recommended that all utilities, including merchant and long-term local utilities, make lasting commitments to their service areas to protect the public from financial risk and that the NRC reconsider the need to submit PSDARs if the NRC does not plan to conduct detailed reviews or address public questions (</w:t>
      </w:r>
      <w:r w:rsidR="00B9339E">
        <w:rPr>
          <w:rFonts w:ascii="Arial" w:eastAsia="DengXian" w:hAnsi="Arial" w:cs="Arial"/>
          <w:sz w:val="22"/>
          <w:szCs w:val="22"/>
          <w:lang w:eastAsia="ja-JP"/>
        </w:rPr>
        <w:t>MU1</w:t>
      </w:r>
      <w:r w:rsidRPr="00220690">
        <w:rPr>
          <w:rFonts w:ascii="Arial" w:eastAsia="DengXian" w:hAnsi="Arial" w:cs="Arial"/>
          <w:sz w:val="22"/>
          <w:szCs w:val="22"/>
          <w:lang w:eastAsia="ja-JP"/>
        </w:rPr>
        <w:t>-0006).</w:t>
      </w:r>
    </w:p>
    <w:p w:rsidR="007F112A" w:rsidRPr="00220690" w:rsidP="00220690" w14:paraId="62F43FF3"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Relatedly, another commenter discussed that the U.S. energy portfolio must adequately prepare for the time when advanced nuclear reactors must be decommissioned. The commenter expressed agreement with the NRC’s proposed approach to integrate 10 CFR Part 50 decommissioning standards into 10 CFR Part 53, including license termination plans specific to reactor types and site environments. The commenter added that it would be important for each site to develop cost estimates and justify sufficient decommissioning funding and requested that </w:t>
      </w:r>
      <w:r w:rsidRPr="00220690">
        <w:rPr>
          <w:rFonts w:ascii="Arial" w:eastAsia="DengXian" w:hAnsi="Arial" w:cs="Arial"/>
          <w:sz w:val="22"/>
          <w:szCs w:val="22"/>
          <w:lang w:eastAsia="ja-JP"/>
        </w:rPr>
        <w:t>the NRC consider developing guidance on the cost of decommissioning for a variety of reactor technologies (</w:t>
      </w:r>
      <w:r w:rsidR="007131C1">
        <w:rPr>
          <w:rFonts w:ascii="Arial" w:eastAsia="DengXian" w:hAnsi="Arial" w:cs="Arial"/>
          <w:sz w:val="22"/>
          <w:szCs w:val="22"/>
          <w:lang w:eastAsia="ja-JP"/>
        </w:rPr>
        <w:t>RH</w:t>
      </w:r>
      <w:r w:rsidRPr="00220690">
        <w:rPr>
          <w:rFonts w:ascii="Arial" w:eastAsia="DengXian" w:hAnsi="Arial" w:cs="Arial"/>
          <w:sz w:val="22"/>
          <w:szCs w:val="22"/>
          <w:lang w:eastAsia="ja-JP"/>
        </w:rPr>
        <w:t>-0003).</w:t>
      </w:r>
    </w:p>
    <w:p w:rsidR="00B00100" w:rsidRPr="00220690" w:rsidP="00220690" w14:paraId="4F463AE6" w14:textId="77777777">
      <w:pPr>
        <w:spacing w:after="220"/>
        <w:rPr>
          <w:rFonts w:ascii="Arial" w:eastAsia="DengXian" w:hAnsi="Arial" w:cs="Arial"/>
          <w:sz w:val="22"/>
          <w:szCs w:val="22"/>
          <w:lang w:eastAsia="ja-JP"/>
        </w:rPr>
      </w:pPr>
      <w:r w:rsidRPr="00220690">
        <w:rPr>
          <w:rFonts w:ascii="Arial" w:eastAsia="DengXian" w:hAnsi="Arial" w:cs="Arial"/>
          <w:b/>
          <w:sz w:val="22"/>
          <w:szCs w:val="22"/>
          <w:lang w:eastAsia="ja-JP"/>
        </w:rPr>
        <w:t>NRC Response:</w:t>
      </w:r>
      <w:r w:rsidRPr="00220690">
        <w:rPr>
          <w:rFonts w:ascii="Arial" w:eastAsia="DengXian" w:hAnsi="Arial" w:cs="Arial"/>
          <w:sz w:val="22"/>
          <w:szCs w:val="22"/>
          <w:lang w:eastAsia="ja-JP"/>
        </w:rPr>
        <w:t xml:space="preserve"> The NRC agrees, in part, with </w:t>
      </w:r>
      <w:r w:rsidR="00834CD5">
        <w:rPr>
          <w:rFonts w:ascii="Arial" w:hAnsi="Arial" w:cs="Arial"/>
          <w:sz w:val="22"/>
          <w:szCs w:val="22"/>
        </w:rPr>
        <w:t>the</w:t>
      </w:r>
      <w:r w:rsidRPr="00220690">
        <w:rPr>
          <w:rFonts w:ascii="Arial" w:eastAsia="DengXian" w:hAnsi="Arial" w:cs="Arial"/>
          <w:sz w:val="22"/>
          <w:szCs w:val="22"/>
          <w:lang w:eastAsia="ja-JP"/>
        </w:rPr>
        <w:t xml:space="preserve"> comments.</w:t>
      </w:r>
    </w:p>
    <w:p w:rsidR="007F112A" w:rsidRPr="00220690" w:rsidP="00220690" w14:paraId="544E596D"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The NRC acknowledges the comment’s concern that NRC estimates based only on radiological costs may underestimate the total </w:t>
      </w:r>
      <w:r w:rsidR="002932D0">
        <w:rPr>
          <w:rFonts w:ascii="Arial" w:eastAsia="DengXian" w:hAnsi="Arial" w:cs="Arial"/>
          <w:sz w:val="22"/>
          <w:szCs w:val="22"/>
          <w:lang w:eastAsia="ja-JP"/>
        </w:rPr>
        <w:t>amount of</w:t>
      </w:r>
      <w:r w:rsidRPr="00220690">
        <w:rPr>
          <w:rFonts w:ascii="Arial" w:eastAsia="DengXian" w:hAnsi="Arial" w:cs="Arial"/>
          <w:sz w:val="22"/>
          <w:szCs w:val="22"/>
          <w:lang w:eastAsia="ja-JP"/>
        </w:rPr>
        <w:t xml:space="preserve"> funding required</w:t>
      </w:r>
      <w:r w:rsidR="002932D0">
        <w:rPr>
          <w:rFonts w:ascii="Arial" w:eastAsia="DengXian" w:hAnsi="Arial" w:cs="Arial"/>
          <w:sz w:val="22"/>
          <w:szCs w:val="22"/>
          <w:lang w:eastAsia="ja-JP"/>
        </w:rPr>
        <w:t xml:space="preserve"> to radiologically and non</w:t>
      </w:r>
      <w:r w:rsidR="002932D0">
        <w:rPr>
          <w:rFonts w:ascii="Arial" w:eastAsia="DengXian" w:hAnsi="Arial" w:cs="Arial"/>
          <w:sz w:val="22"/>
          <w:szCs w:val="22"/>
          <w:lang w:eastAsia="ja-JP"/>
        </w:rPr>
        <w:noBreakHyphen/>
        <w:t>radiologically decommission a site</w:t>
      </w:r>
      <w:r w:rsidRPr="00220690">
        <w:rPr>
          <w:rFonts w:ascii="Arial" w:eastAsia="DengXian" w:hAnsi="Arial" w:cs="Arial"/>
          <w:sz w:val="22"/>
          <w:szCs w:val="22"/>
          <w:lang w:eastAsia="ja-JP"/>
        </w:rPr>
        <w:t xml:space="preserve">. </w:t>
      </w:r>
      <w:r w:rsidR="00F368EB">
        <w:rPr>
          <w:rFonts w:ascii="Arial" w:eastAsia="DengXian" w:hAnsi="Arial" w:cs="Arial"/>
          <w:sz w:val="22"/>
          <w:szCs w:val="22"/>
          <w:lang w:eastAsia="ja-JP"/>
        </w:rPr>
        <w:t>10 CFR 53.020</w:t>
      </w:r>
      <w:r w:rsidR="00584763">
        <w:rPr>
          <w:rFonts w:ascii="Arial" w:eastAsia="DengXian" w:hAnsi="Arial" w:cs="Arial"/>
          <w:sz w:val="22"/>
          <w:szCs w:val="22"/>
          <w:lang w:eastAsia="ja-JP"/>
        </w:rPr>
        <w:t xml:space="preserve">, like 10 CFR 50.2, </w:t>
      </w:r>
      <w:r w:rsidR="00115132">
        <w:rPr>
          <w:rFonts w:ascii="Arial" w:eastAsia="DengXian" w:hAnsi="Arial" w:cs="Arial"/>
          <w:sz w:val="22"/>
          <w:szCs w:val="22"/>
          <w:lang w:eastAsia="ja-JP"/>
        </w:rPr>
        <w:t xml:space="preserve">specifically </w:t>
      </w:r>
      <w:r w:rsidR="00683A5B">
        <w:rPr>
          <w:rFonts w:ascii="Arial" w:eastAsia="DengXian" w:hAnsi="Arial" w:cs="Arial"/>
          <w:sz w:val="22"/>
          <w:szCs w:val="22"/>
          <w:lang w:eastAsia="ja-JP"/>
        </w:rPr>
        <w:t xml:space="preserve">defines </w:t>
      </w:r>
      <w:r w:rsidR="00584763">
        <w:rPr>
          <w:rFonts w:ascii="Arial" w:eastAsia="DengXian" w:hAnsi="Arial" w:cs="Arial"/>
          <w:sz w:val="22"/>
          <w:szCs w:val="22"/>
          <w:lang w:eastAsia="ja-JP"/>
        </w:rPr>
        <w:t>“</w:t>
      </w:r>
      <w:r w:rsidRPr="00CF016E" w:rsidR="00683A5B">
        <w:rPr>
          <w:rFonts w:ascii="Arial" w:eastAsia="DengXian" w:hAnsi="Arial" w:cs="Arial"/>
          <w:i/>
          <w:sz w:val="22"/>
          <w:szCs w:val="22"/>
          <w:lang w:eastAsia="ja-JP"/>
        </w:rPr>
        <w:t>D</w:t>
      </w:r>
      <w:r w:rsidRPr="00CF016E" w:rsidR="00584763">
        <w:rPr>
          <w:rFonts w:ascii="Arial" w:eastAsia="DengXian" w:hAnsi="Arial" w:cs="Arial"/>
          <w:i/>
          <w:sz w:val="22"/>
          <w:szCs w:val="22"/>
          <w:lang w:eastAsia="ja-JP"/>
        </w:rPr>
        <w:t>ecommission or decommissioning</w:t>
      </w:r>
      <w:r w:rsidR="00584763">
        <w:rPr>
          <w:rFonts w:ascii="Arial" w:eastAsia="DengXian" w:hAnsi="Arial" w:cs="Arial"/>
          <w:sz w:val="22"/>
          <w:szCs w:val="22"/>
          <w:lang w:eastAsia="ja-JP"/>
        </w:rPr>
        <w:t>”</w:t>
      </w:r>
      <w:r w:rsidR="00F723D1">
        <w:rPr>
          <w:rFonts w:ascii="Arial" w:eastAsia="DengXian" w:hAnsi="Arial" w:cs="Arial"/>
          <w:sz w:val="22"/>
          <w:szCs w:val="22"/>
          <w:lang w:eastAsia="ja-JP"/>
        </w:rPr>
        <w:t>;</w:t>
      </w:r>
      <w:r w:rsidR="00584763">
        <w:rPr>
          <w:rFonts w:ascii="Arial" w:eastAsia="DengXian" w:hAnsi="Arial" w:cs="Arial"/>
          <w:sz w:val="22"/>
          <w:szCs w:val="22"/>
          <w:lang w:eastAsia="ja-JP"/>
        </w:rPr>
        <w:t xml:space="preserve"> </w:t>
      </w:r>
      <w:r w:rsidR="00F723D1">
        <w:rPr>
          <w:rFonts w:ascii="Arial" w:eastAsia="DengXian" w:hAnsi="Arial" w:cs="Arial"/>
          <w:sz w:val="22"/>
          <w:szCs w:val="22"/>
          <w:lang w:eastAsia="ja-JP"/>
        </w:rPr>
        <w:t>this definition is</w:t>
      </w:r>
      <w:r w:rsidR="00BF484C">
        <w:rPr>
          <w:rFonts w:ascii="Arial" w:eastAsia="DengXian" w:hAnsi="Arial" w:cs="Arial"/>
          <w:sz w:val="22"/>
          <w:szCs w:val="22"/>
          <w:lang w:eastAsia="ja-JP"/>
        </w:rPr>
        <w:t xml:space="preserve"> focuse</w:t>
      </w:r>
      <w:r w:rsidR="00F723D1">
        <w:rPr>
          <w:rFonts w:ascii="Arial" w:eastAsia="DengXian" w:hAnsi="Arial" w:cs="Arial"/>
          <w:sz w:val="22"/>
          <w:szCs w:val="22"/>
          <w:lang w:eastAsia="ja-JP"/>
        </w:rPr>
        <w:t>d</w:t>
      </w:r>
      <w:r w:rsidR="00BF484C">
        <w:rPr>
          <w:rFonts w:ascii="Arial" w:eastAsia="DengXian" w:hAnsi="Arial" w:cs="Arial"/>
          <w:sz w:val="22"/>
          <w:szCs w:val="22"/>
          <w:lang w:eastAsia="ja-JP"/>
        </w:rPr>
        <w:t xml:space="preserve"> on </w:t>
      </w:r>
      <w:r w:rsidR="00F723D1">
        <w:rPr>
          <w:rFonts w:ascii="Arial" w:eastAsia="DengXian" w:hAnsi="Arial" w:cs="Arial"/>
          <w:sz w:val="22"/>
          <w:szCs w:val="22"/>
          <w:lang w:eastAsia="ja-JP"/>
        </w:rPr>
        <w:t xml:space="preserve">the </w:t>
      </w:r>
      <w:r w:rsidR="003E31BF">
        <w:rPr>
          <w:rFonts w:ascii="Arial" w:eastAsia="DengXian" w:hAnsi="Arial" w:cs="Arial"/>
          <w:sz w:val="22"/>
          <w:szCs w:val="22"/>
          <w:lang w:eastAsia="ja-JP"/>
        </w:rPr>
        <w:t>redu</w:t>
      </w:r>
      <w:r w:rsidR="006B3554">
        <w:rPr>
          <w:rFonts w:ascii="Arial" w:eastAsia="DengXian" w:hAnsi="Arial" w:cs="Arial"/>
          <w:sz w:val="22"/>
          <w:szCs w:val="22"/>
          <w:lang w:eastAsia="ja-JP"/>
        </w:rPr>
        <w:t>c</w:t>
      </w:r>
      <w:r w:rsidR="00F723D1">
        <w:rPr>
          <w:rFonts w:ascii="Arial" w:eastAsia="DengXian" w:hAnsi="Arial" w:cs="Arial"/>
          <w:sz w:val="22"/>
          <w:szCs w:val="22"/>
          <w:lang w:eastAsia="ja-JP"/>
        </w:rPr>
        <w:t>tion of</w:t>
      </w:r>
      <w:r w:rsidR="006B3554">
        <w:rPr>
          <w:rFonts w:ascii="Arial" w:eastAsia="DengXian" w:hAnsi="Arial" w:cs="Arial"/>
          <w:sz w:val="22"/>
          <w:szCs w:val="22"/>
          <w:lang w:eastAsia="ja-JP"/>
        </w:rPr>
        <w:t xml:space="preserve"> </w:t>
      </w:r>
      <w:r w:rsidR="00185996">
        <w:rPr>
          <w:rFonts w:ascii="Arial" w:eastAsia="DengXian" w:hAnsi="Arial" w:cs="Arial"/>
          <w:sz w:val="22"/>
          <w:szCs w:val="22"/>
          <w:lang w:eastAsia="ja-JP"/>
        </w:rPr>
        <w:t xml:space="preserve">the </w:t>
      </w:r>
      <w:r w:rsidR="006B3554">
        <w:rPr>
          <w:rFonts w:ascii="Arial" w:eastAsia="DengXian" w:hAnsi="Arial" w:cs="Arial"/>
          <w:sz w:val="22"/>
          <w:szCs w:val="22"/>
          <w:lang w:eastAsia="ja-JP"/>
        </w:rPr>
        <w:t>residual radioactiv</w:t>
      </w:r>
      <w:r w:rsidR="00185996">
        <w:rPr>
          <w:rFonts w:ascii="Arial" w:eastAsia="DengXian" w:hAnsi="Arial" w:cs="Arial"/>
          <w:sz w:val="22"/>
          <w:szCs w:val="22"/>
          <w:lang w:eastAsia="ja-JP"/>
        </w:rPr>
        <w:t xml:space="preserve">ity </w:t>
      </w:r>
      <w:r w:rsidR="00F723D1">
        <w:rPr>
          <w:rFonts w:ascii="Arial" w:eastAsia="DengXian" w:hAnsi="Arial" w:cs="Arial"/>
          <w:sz w:val="22"/>
          <w:szCs w:val="22"/>
          <w:lang w:eastAsia="ja-JP"/>
        </w:rPr>
        <w:t>at</w:t>
      </w:r>
      <w:r w:rsidR="00185996">
        <w:rPr>
          <w:rFonts w:ascii="Arial" w:eastAsia="DengXian" w:hAnsi="Arial" w:cs="Arial"/>
          <w:sz w:val="22"/>
          <w:szCs w:val="22"/>
          <w:lang w:eastAsia="ja-JP"/>
        </w:rPr>
        <w:t xml:space="preserve"> a site. </w:t>
      </w:r>
      <w:r w:rsidRPr="00220690">
        <w:rPr>
          <w:rFonts w:ascii="Arial" w:eastAsia="DengXian" w:hAnsi="Arial" w:cs="Arial"/>
          <w:sz w:val="22"/>
          <w:szCs w:val="22"/>
          <w:lang w:eastAsia="ja-JP"/>
        </w:rPr>
        <w:t>The provisions in 10</w:t>
      </w:r>
      <w:r w:rsidR="00B530A9">
        <w:rPr>
          <w:rFonts w:ascii="Arial" w:eastAsia="DengXian" w:hAnsi="Arial" w:cs="Arial"/>
          <w:sz w:val="22"/>
          <w:szCs w:val="22"/>
          <w:lang w:eastAsia="ja-JP"/>
        </w:rPr>
        <w:t> </w:t>
      </w:r>
      <w:r w:rsidRPr="00220690">
        <w:rPr>
          <w:rFonts w:ascii="Arial" w:eastAsia="DengXian" w:hAnsi="Arial" w:cs="Arial"/>
          <w:sz w:val="22"/>
          <w:szCs w:val="22"/>
          <w:lang w:eastAsia="ja-JP"/>
        </w:rPr>
        <w:t>CFR</w:t>
      </w:r>
      <w:r w:rsidR="00B530A9">
        <w:rPr>
          <w:rFonts w:ascii="Arial" w:eastAsia="DengXian" w:hAnsi="Arial" w:cs="Arial"/>
          <w:sz w:val="22"/>
          <w:szCs w:val="22"/>
          <w:lang w:eastAsia="ja-JP"/>
        </w:rPr>
        <w:t> </w:t>
      </w:r>
      <w:r w:rsidRPr="00220690">
        <w:rPr>
          <w:rFonts w:ascii="Arial" w:eastAsia="DengXian" w:hAnsi="Arial" w:cs="Arial"/>
          <w:sz w:val="22"/>
          <w:szCs w:val="22"/>
          <w:lang w:eastAsia="ja-JP"/>
        </w:rPr>
        <w:t xml:space="preserve">Part 53 related to the scope of decommissioning cost estimates </w:t>
      </w:r>
      <w:r w:rsidR="00DC1842">
        <w:rPr>
          <w:rFonts w:ascii="Arial" w:eastAsia="DengXian" w:hAnsi="Arial" w:cs="Arial"/>
          <w:sz w:val="22"/>
          <w:szCs w:val="22"/>
          <w:lang w:eastAsia="ja-JP"/>
        </w:rPr>
        <w:t>in Subpart G</w:t>
      </w:r>
      <w:r w:rsidRPr="00220690">
        <w:rPr>
          <w:rFonts w:ascii="Arial" w:eastAsia="DengXian" w:hAnsi="Arial" w:cs="Arial"/>
          <w:sz w:val="22"/>
          <w:szCs w:val="22"/>
          <w:lang w:eastAsia="ja-JP"/>
        </w:rPr>
        <w:t xml:space="preserve"> are equivalent to those found in 10 CFR Part 50 and are appropriate given the NRC’s mission.</w:t>
      </w:r>
    </w:p>
    <w:p w:rsidR="004D742F" w:rsidRPr="00220690" w:rsidP="00220690" w14:paraId="5CC99C90" w14:textId="77777777">
      <w:pPr>
        <w:spacing w:after="220"/>
        <w:rPr>
          <w:rFonts w:ascii="Arial" w:eastAsia="DengXian" w:hAnsi="Arial" w:cs="Arial"/>
          <w:sz w:val="22"/>
          <w:szCs w:val="22"/>
          <w:lang w:eastAsia="ja-JP"/>
        </w:rPr>
      </w:pPr>
      <w:r>
        <w:rPr>
          <w:rFonts w:ascii="Arial" w:eastAsia="DengXian" w:hAnsi="Arial" w:cs="Arial"/>
          <w:sz w:val="22"/>
          <w:szCs w:val="22"/>
          <w:lang w:eastAsia="ja-JP"/>
        </w:rPr>
        <w:t xml:space="preserve">The </w:t>
      </w:r>
      <w:r w:rsidR="003F271C">
        <w:rPr>
          <w:rFonts w:ascii="Arial" w:eastAsia="DengXian" w:hAnsi="Arial" w:cs="Arial"/>
          <w:sz w:val="22"/>
          <w:szCs w:val="22"/>
          <w:lang w:eastAsia="ja-JP"/>
        </w:rPr>
        <w:t xml:space="preserve">NRC acknowledges the </w:t>
      </w:r>
      <w:r>
        <w:rPr>
          <w:rFonts w:ascii="Arial" w:eastAsia="DengXian" w:hAnsi="Arial" w:cs="Arial"/>
          <w:sz w:val="22"/>
          <w:szCs w:val="22"/>
          <w:lang w:eastAsia="ja-JP"/>
        </w:rPr>
        <w:t>specific comments regarding decommissioning funding for Shoreham and Indian Point</w:t>
      </w:r>
      <w:r w:rsidR="00CF016E">
        <w:rPr>
          <w:rFonts w:ascii="Arial" w:eastAsia="DengXian" w:hAnsi="Arial" w:cs="Arial"/>
          <w:sz w:val="22"/>
          <w:szCs w:val="22"/>
          <w:lang w:eastAsia="ja-JP"/>
        </w:rPr>
        <w:t>;</w:t>
      </w:r>
      <w:r w:rsidR="00300CDF">
        <w:rPr>
          <w:rFonts w:ascii="Arial" w:eastAsia="DengXian" w:hAnsi="Arial" w:cs="Arial"/>
          <w:sz w:val="22"/>
          <w:szCs w:val="22"/>
          <w:lang w:eastAsia="ja-JP"/>
        </w:rPr>
        <w:t xml:space="preserve"> however, these comments</w:t>
      </w:r>
      <w:r w:rsidR="003F271C">
        <w:rPr>
          <w:rFonts w:ascii="Arial" w:eastAsia="DengXian" w:hAnsi="Arial" w:cs="Arial"/>
          <w:sz w:val="22"/>
          <w:szCs w:val="22"/>
          <w:lang w:eastAsia="ja-JP"/>
        </w:rPr>
        <w:t xml:space="preserve"> are outside of the scope of this rulemaking.</w:t>
      </w:r>
      <w:r w:rsidR="00A20EF7">
        <w:rPr>
          <w:rFonts w:ascii="Arial" w:eastAsia="DengXian" w:hAnsi="Arial" w:cs="Arial"/>
          <w:sz w:val="22"/>
          <w:szCs w:val="22"/>
          <w:lang w:eastAsia="ja-JP"/>
        </w:rPr>
        <w:t xml:space="preserve"> The NRC staff review decommissioning funding </w:t>
      </w:r>
      <w:r w:rsidR="0044565E">
        <w:rPr>
          <w:rFonts w:ascii="Arial" w:eastAsia="DengXian" w:hAnsi="Arial" w:cs="Arial"/>
          <w:sz w:val="22"/>
          <w:szCs w:val="22"/>
          <w:lang w:eastAsia="ja-JP"/>
        </w:rPr>
        <w:t>estimates and monitor the amount of decommissioning funds for plants in decommissioning to ensure that sufficient funds</w:t>
      </w:r>
      <w:r w:rsidR="00402DCA">
        <w:rPr>
          <w:rFonts w:ascii="Arial" w:eastAsia="DengXian" w:hAnsi="Arial" w:cs="Arial"/>
          <w:sz w:val="22"/>
          <w:szCs w:val="22"/>
          <w:lang w:eastAsia="ja-JP"/>
        </w:rPr>
        <w:t>, consistent with NRC regulations,</w:t>
      </w:r>
      <w:r w:rsidR="0044565E">
        <w:rPr>
          <w:rFonts w:ascii="Arial" w:eastAsia="DengXian" w:hAnsi="Arial" w:cs="Arial"/>
          <w:sz w:val="22"/>
          <w:szCs w:val="22"/>
          <w:lang w:eastAsia="ja-JP"/>
        </w:rPr>
        <w:t xml:space="preserve"> are available for decommissioning.</w:t>
      </w:r>
    </w:p>
    <w:p w:rsidR="007F112A" w:rsidRPr="00220690" w:rsidP="00220690" w14:paraId="3D8824B8"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The comment recommending that all utilities, including merchant and long-term local utilities, make lasting commitments to their service areas to protect the public from financial risk is outside the scope of this rulemaking, as it is a comment directed at actions that NRC licensees should undertake.</w:t>
      </w:r>
    </w:p>
    <w:p w:rsidR="007F112A" w:rsidRPr="00220690" w:rsidP="00220690" w14:paraId="2AF5699B"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Regarding the comment that the NRC reconsider the need to submit PSDARs if the NRC does not plan to conduct detailed reviews, formal approval of the PSDAR is not necessary to provide adequate protection of the public health and safety during the decommissioning process. Requiring approval of the PSDAR would effectively reinstate the Decommissioning Plan review requirements removed from the regulations by the </w:t>
      </w:r>
      <w:r w:rsidR="0029717D">
        <w:rPr>
          <w:rFonts w:ascii="Arial" w:eastAsia="DengXian" w:hAnsi="Arial" w:cs="Arial"/>
          <w:sz w:val="22"/>
          <w:szCs w:val="22"/>
          <w:lang w:eastAsia="ja-JP"/>
        </w:rPr>
        <w:t>“</w:t>
      </w:r>
      <w:r w:rsidRPr="0029717D" w:rsidR="0029717D">
        <w:rPr>
          <w:rFonts w:ascii="Arial" w:eastAsia="DengXian" w:hAnsi="Arial" w:cs="Arial"/>
          <w:sz w:val="22"/>
          <w:szCs w:val="22"/>
          <w:lang w:eastAsia="ja-JP"/>
        </w:rPr>
        <w:t>Decommissioning of Nuclear Power Reactors</w:t>
      </w:r>
      <w:r w:rsidR="0029717D">
        <w:rPr>
          <w:rFonts w:ascii="Arial" w:eastAsia="DengXian" w:hAnsi="Arial" w:cs="Arial"/>
          <w:sz w:val="22"/>
          <w:szCs w:val="22"/>
          <w:lang w:eastAsia="ja-JP"/>
        </w:rPr>
        <w:t>;</w:t>
      </w:r>
      <w:r w:rsidRPr="00220690">
        <w:rPr>
          <w:rFonts w:ascii="Arial" w:eastAsia="DengXian" w:hAnsi="Arial" w:cs="Arial"/>
          <w:sz w:val="22"/>
          <w:szCs w:val="22"/>
          <w:lang w:eastAsia="ja-JP"/>
        </w:rPr>
        <w:t xml:space="preserve"> Final Rule</w:t>
      </w:r>
      <w:r w:rsidRPr="0029717D" w:rsidR="0029717D">
        <w:rPr>
          <w:rFonts w:ascii="Arial" w:eastAsia="DengXian" w:hAnsi="Arial" w:cs="Arial"/>
          <w:sz w:val="22"/>
          <w:szCs w:val="22"/>
          <w:lang w:eastAsia="ja-JP"/>
        </w:rPr>
        <w:t>” (61 FR 39278; July 29, 1996)</w:t>
      </w:r>
      <w:r w:rsidRPr="00220690">
        <w:rPr>
          <w:rFonts w:ascii="Arial" w:eastAsia="DengXian" w:hAnsi="Arial" w:cs="Arial"/>
          <w:sz w:val="22"/>
          <w:szCs w:val="22"/>
          <w:lang w:eastAsia="ja-JP"/>
        </w:rPr>
        <w:t>, which established the current PSDAR process.</w:t>
      </w:r>
    </w:p>
    <w:p w:rsidR="007F112A" w:rsidRPr="00220690" w:rsidP="00220690" w14:paraId="23E13315"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One of the main drivers for the 1996 decommissioning final rule, beyond the recognition that  decommissioning power reactors inherently pose less risk to public health and safety than operating reactors, was to provide more flexibility in dealing with premature closures and the decommissioning process in general while establishing “a level of NRC oversight commensurate with the level of safety concerns expected during decommissioning activities” (61 FR 39279). One of the primary methods for increasing this flexibility was removal of the NRC’s approval of a Decommissioning Plan in favor of a licensee’s submittal of the PSDAR to streamline the decommissioning process.</w:t>
      </w:r>
    </w:p>
    <w:p w:rsidR="007F112A" w:rsidP="00220690" w14:paraId="117162F5"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The NRC acknowledges the comment that it consider developing guidance on the cost of decommissioning for a variety of reactor technologies</w:t>
      </w:r>
      <w:r w:rsidRPr="00220690" w:rsidR="003B0AFE">
        <w:rPr>
          <w:rFonts w:ascii="Arial" w:eastAsia="DengXian" w:hAnsi="Arial" w:cs="Arial"/>
          <w:sz w:val="22"/>
          <w:szCs w:val="22"/>
          <w:lang w:eastAsia="ja-JP"/>
        </w:rPr>
        <w:t>. T</w:t>
      </w:r>
      <w:r w:rsidRPr="00220690">
        <w:rPr>
          <w:rFonts w:ascii="Arial" w:eastAsia="DengXian" w:hAnsi="Arial" w:cs="Arial"/>
          <w:sz w:val="22"/>
          <w:szCs w:val="22"/>
          <w:lang w:eastAsia="ja-JP"/>
        </w:rPr>
        <w:t>he NRC intends to develop guidance on this topic in the future.</w:t>
      </w:r>
    </w:p>
    <w:p w:rsidR="00014FCF" w:rsidRPr="00220690" w:rsidP="00220690" w14:paraId="45EDF891" w14:textId="77777777">
      <w:pPr>
        <w:spacing w:after="220"/>
        <w:rPr>
          <w:rFonts w:ascii="Arial" w:eastAsia="DengXian" w:hAnsi="Arial" w:cs="Arial"/>
          <w:sz w:val="22"/>
          <w:szCs w:val="22"/>
          <w:lang w:eastAsia="ja-JP"/>
        </w:rPr>
      </w:pPr>
      <w:r>
        <w:rPr>
          <w:rFonts w:ascii="Arial" w:eastAsia="DengXian" w:hAnsi="Arial" w:cs="Arial"/>
          <w:sz w:val="22"/>
          <w:szCs w:val="22"/>
          <w:lang w:eastAsia="ja-JP"/>
        </w:rPr>
        <w:t>The NRC is conducting a wholesale review of its regulations, including those related to decommissioning, in response to EO 14300, “</w:t>
      </w:r>
      <w:r w:rsidR="001668F3">
        <w:rPr>
          <w:rFonts w:ascii="Arial" w:eastAsia="DengXian" w:hAnsi="Arial" w:cs="Arial"/>
          <w:sz w:val="22"/>
          <w:szCs w:val="22"/>
          <w:lang w:eastAsia="ja-JP"/>
        </w:rPr>
        <w:t>Ordering the Reform of the Nuclear Regulatory Commission</w:t>
      </w:r>
      <w:r w:rsidR="00DA5970">
        <w:rPr>
          <w:rFonts w:ascii="Arial" w:eastAsia="DengXian" w:hAnsi="Arial" w:cs="Arial"/>
          <w:sz w:val="22"/>
          <w:szCs w:val="22"/>
          <w:lang w:eastAsia="ja-JP"/>
        </w:rPr>
        <w:t>,</w:t>
      </w:r>
      <w:r>
        <w:rPr>
          <w:rFonts w:ascii="Arial" w:eastAsia="DengXian" w:hAnsi="Arial" w:cs="Arial"/>
          <w:sz w:val="22"/>
          <w:szCs w:val="22"/>
          <w:lang w:eastAsia="ja-JP"/>
        </w:rPr>
        <w:t>”</w:t>
      </w:r>
      <w:r w:rsidR="00DA5970">
        <w:rPr>
          <w:rFonts w:ascii="Arial" w:eastAsia="DengXian" w:hAnsi="Arial" w:cs="Arial"/>
          <w:sz w:val="22"/>
          <w:szCs w:val="22"/>
          <w:lang w:eastAsia="ja-JP"/>
        </w:rPr>
        <w:t xml:space="preserve"> dated May 23, 2025</w:t>
      </w:r>
      <w:r>
        <w:rPr>
          <w:rFonts w:ascii="Arial" w:eastAsia="DengXian" w:hAnsi="Arial" w:cs="Arial"/>
          <w:sz w:val="22"/>
          <w:szCs w:val="22"/>
          <w:lang w:eastAsia="ja-JP"/>
        </w:rPr>
        <w:t>.</w:t>
      </w:r>
    </w:p>
    <w:p w:rsidR="007F112A" w:rsidRPr="00220690" w:rsidP="00220690" w14:paraId="5565A8EB" w14:textId="77777777">
      <w:pPr>
        <w:spacing w:after="220"/>
        <w:rPr>
          <w:rFonts w:ascii="Arial" w:eastAsia="Times New Roman" w:hAnsi="Arial" w:cs="Arial"/>
          <w:sz w:val="22"/>
          <w:szCs w:val="22"/>
          <w:lang w:eastAsia="zh-CN"/>
        </w:rPr>
      </w:pPr>
      <w:r w:rsidRPr="00220690">
        <w:rPr>
          <w:rFonts w:ascii="Arial" w:eastAsia="DengXian" w:hAnsi="Arial" w:cs="Arial"/>
          <w:sz w:val="22"/>
          <w:szCs w:val="22"/>
          <w:lang w:eastAsia="ja-JP"/>
        </w:rPr>
        <w:t>Accordingly, the NRC did not change the rule language in response to these comments.</w:t>
      </w:r>
    </w:p>
    <w:p w:rsidR="007F112A" w:rsidRPr="00220690" w:rsidP="00220690" w14:paraId="380E1BD5"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29" style="width:0;height:1.5pt" o:hralign="center" o:hrstd="t" o:hrnoshade="t" o:hr="t" fillcolor="black" stroked="f"/>
        </w:pict>
      </w:r>
    </w:p>
    <w:p w:rsidR="007F112A" w:rsidRPr="00220690" w:rsidP="00220690" w14:paraId="104E99C4" w14:textId="77777777">
      <w:pPr>
        <w:spacing w:after="220"/>
        <w:rPr>
          <w:rFonts w:ascii="Arial" w:eastAsia="DengXian" w:hAnsi="Arial" w:cs="Arial"/>
          <w:sz w:val="22"/>
          <w:szCs w:val="22"/>
          <w:lang w:eastAsia="ja-JP"/>
        </w:rPr>
      </w:pPr>
      <w:r w:rsidRPr="00220690">
        <w:rPr>
          <w:rFonts w:ascii="Arial" w:eastAsia="DengXian" w:hAnsi="Arial" w:cs="Arial"/>
          <w:b/>
          <w:sz w:val="22"/>
          <w:szCs w:val="22"/>
          <w:lang w:eastAsia="ja-JP"/>
        </w:rPr>
        <w:t>Comment Bin 3.7.1.C:</w:t>
      </w:r>
      <w:r w:rsidRPr="00220690">
        <w:rPr>
          <w:rFonts w:ascii="Arial" w:eastAsia="DengXian" w:hAnsi="Arial" w:cs="Arial"/>
          <w:sz w:val="22"/>
          <w:szCs w:val="22"/>
          <w:lang w:eastAsia="ja-JP"/>
        </w:rPr>
        <w:t xml:space="preserve"> A commenter expressed concern that the proposed rule is not inclusive of “small advanced” reactors. The commenter discussed an example scenario in which a staff of three employees remotely operate a “small advanced” reactor plant at 100% power without NRC regulatory control over operator licensing or the communication pathways between the reactor and the supporting office. The commenter questioned whether the NRC would plan to inspect any part of such an operation or whether the NRC has considered: the amounts and types of insurance need to protect the local public, and requirements for appropriately ending reactor operations and for handling remaining fuel (</w:t>
      </w:r>
      <w:r w:rsidRPr="00142AD5" w:rsidR="00142AD5">
        <w:rPr>
          <w:rFonts w:ascii="Arial" w:eastAsia="Times New Roman" w:hAnsi="Arial" w:cs="Arial"/>
          <w:color w:val="000000"/>
          <w:sz w:val="22"/>
          <w:szCs w:val="22"/>
        </w:rPr>
        <w:t>TG20</w:t>
      </w:r>
      <w:r w:rsidRPr="00142AD5">
        <w:rPr>
          <w:rFonts w:ascii="Arial" w:eastAsia="DengXian" w:hAnsi="Arial" w:cs="Arial"/>
          <w:sz w:val="22"/>
          <w:szCs w:val="22"/>
          <w:lang w:eastAsia="ja-JP"/>
        </w:rPr>
        <w:t>-00</w:t>
      </w:r>
      <w:r w:rsidRPr="00220690">
        <w:rPr>
          <w:rFonts w:ascii="Arial" w:eastAsia="DengXian" w:hAnsi="Arial" w:cs="Arial"/>
          <w:sz w:val="22"/>
          <w:szCs w:val="22"/>
          <w:lang w:eastAsia="ja-JP"/>
        </w:rPr>
        <w:t>01).</w:t>
      </w:r>
    </w:p>
    <w:p w:rsidR="0012709A" w:rsidRPr="00220690" w:rsidP="0012709A" w14:paraId="326DB072"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Two commenters discussed that the proposed rule maintains the same decommissioning regulations for microreactors as for large</w:t>
      </w:r>
      <w:r>
        <w:rPr>
          <w:rFonts w:ascii="Arial" w:eastAsia="DengXian" w:hAnsi="Arial" w:cs="Arial"/>
          <w:sz w:val="22"/>
          <w:szCs w:val="22"/>
          <w:lang w:eastAsia="ja-JP"/>
        </w:rPr>
        <w:t>-</w:t>
      </w:r>
      <w:r w:rsidRPr="00220690">
        <w:rPr>
          <w:rFonts w:ascii="Arial" w:eastAsia="DengXian" w:hAnsi="Arial" w:cs="Arial"/>
          <w:sz w:val="22"/>
          <w:szCs w:val="22"/>
          <w:lang w:eastAsia="ja-JP"/>
        </w:rPr>
        <w:t>LWRs and does not adequately address transportation of microreactors to the manufacturer for decommissioning or refurbishment. The commenters stated that Subpart G should consider two decommissioning funding plans for a reactor site; one plan by the microreactor manufacturer for reactor removal and eventual decommissioning, and a second plan by the OL or COL holder for removal of radioactive material left onsite after removal of the microreactor. The commenters added that decommissioning regulations should allow for a microreactor to be transported to a facility for decommissioning (</w:t>
      </w:r>
      <w:r w:rsidR="00333B47">
        <w:rPr>
          <w:rFonts w:ascii="Arial" w:eastAsia="DengXian" w:hAnsi="Arial" w:cs="Arial"/>
          <w:sz w:val="22"/>
          <w:szCs w:val="22"/>
          <w:lang w:eastAsia="ja-JP"/>
        </w:rPr>
        <w:t>WEST1</w:t>
      </w:r>
      <w:r w:rsidRPr="00220690">
        <w:rPr>
          <w:rFonts w:ascii="Arial" w:eastAsia="DengXian" w:hAnsi="Arial" w:cs="Arial"/>
          <w:sz w:val="22"/>
          <w:szCs w:val="22"/>
          <w:lang w:eastAsia="ja-JP"/>
        </w:rPr>
        <w:t>-0011,</w:t>
      </w:r>
      <w:r w:rsidRPr="00220690">
        <w:rPr>
          <w:rFonts w:ascii="Arial" w:eastAsia="Times New Roman" w:hAnsi="Arial" w:cs="Arial"/>
          <w:color w:val="000000"/>
          <w:sz w:val="22"/>
          <w:szCs w:val="22"/>
          <w:lang w:eastAsia="zh-CN"/>
        </w:rPr>
        <w:t xml:space="preserve"> </w:t>
      </w:r>
      <w:r w:rsidR="009730D4">
        <w:rPr>
          <w:rFonts w:ascii="Arial" w:eastAsia="Times New Roman" w:hAnsi="Arial" w:cs="Arial"/>
          <w:color w:val="000000"/>
          <w:sz w:val="22"/>
          <w:szCs w:val="22"/>
          <w:lang w:eastAsia="zh-CN"/>
        </w:rPr>
        <w:br/>
      </w:r>
      <w:r w:rsidR="009D6BB9">
        <w:rPr>
          <w:rFonts w:ascii="Arial" w:eastAsia="Times New Roman" w:hAnsi="Arial" w:cs="Arial"/>
          <w:color w:val="000000"/>
          <w:sz w:val="22"/>
          <w:szCs w:val="22"/>
          <w:lang w:eastAsia="zh-CN"/>
        </w:rPr>
        <w:t>NEI2</w:t>
      </w:r>
      <w:r w:rsidRPr="00220690">
        <w:rPr>
          <w:rFonts w:ascii="Arial" w:eastAsia="Times New Roman" w:hAnsi="Arial" w:cs="Arial"/>
          <w:color w:val="000000"/>
          <w:sz w:val="22"/>
          <w:szCs w:val="22"/>
          <w:lang w:eastAsia="zh-CN"/>
        </w:rPr>
        <w:t>-0255</w:t>
      </w:r>
      <w:r w:rsidRPr="00220690">
        <w:rPr>
          <w:rFonts w:ascii="Arial" w:eastAsia="DengXian" w:hAnsi="Arial" w:cs="Arial"/>
          <w:sz w:val="22"/>
          <w:szCs w:val="22"/>
          <w:lang w:eastAsia="ja-JP"/>
        </w:rPr>
        <w:t>).</w:t>
      </w:r>
    </w:p>
    <w:p w:rsidR="007F112A" w:rsidRPr="00220690" w:rsidP="00220690" w14:paraId="3516E0C1"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A commenter asked how a “trailer truck sized” SMR holding </w:t>
      </w:r>
      <w:r w:rsidR="00E15260">
        <w:rPr>
          <w:rFonts w:ascii="Arial" w:eastAsia="DengXian" w:hAnsi="Arial" w:cs="Arial"/>
          <w:sz w:val="22"/>
          <w:szCs w:val="22"/>
          <w:lang w:eastAsia="ja-JP"/>
        </w:rPr>
        <w:t>[</w:t>
      </w:r>
      <w:r w:rsidR="00E15260">
        <w:rPr>
          <w:rFonts w:ascii="Arial" w:eastAsia="DengXian" w:hAnsi="Arial" w:cs="Arial"/>
          <w:sz w:val="22"/>
          <w:szCs w:val="22"/>
          <w:lang w:eastAsia="ja-JP"/>
        </w:rPr>
        <w:t>ir</w:t>
      </w:r>
      <w:r w:rsidR="00E15260">
        <w:rPr>
          <w:rFonts w:ascii="Arial" w:eastAsia="DengXian" w:hAnsi="Arial" w:cs="Arial"/>
          <w:sz w:val="22"/>
          <w:szCs w:val="22"/>
          <w:lang w:eastAsia="ja-JP"/>
        </w:rPr>
        <w:t>]</w:t>
      </w:r>
      <w:r w:rsidRPr="00220690">
        <w:rPr>
          <w:rFonts w:ascii="Arial" w:eastAsia="DengXian" w:hAnsi="Arial" w:cs="Arial"/>
          <w:sz w:val="22"/>
          <w:szCs w:val="22"/>
          <w:lang w:eastAsia="ja-JP"/>
        </w:rPr>
        <w:t>radiated fuel could be removed from the site at the end of its life cycle (</w:t>
      </w:r>
      <w:r w:rsidR="000179BD">
        <w:rPr>
          <w:rFonts w:ascii="Arial" w:eastAsia="Times New Roman" w:hAnsi="Arial" w:cs="Arial"/>
          <w:sz w:val="22"/>
          <w:szCs w:val="22"/>
          <w:lang w:eastAsia="zh-CN"/>
        </w:rPr>
        <w:t>TG17</w:t>
      </w:r>
      <w:r w:rsidRPr="00220690">
        <w:rPr>
          <w:rFonts w:ascii="Arial" w:eastAsia="Times New Roman" w:hAnsi="Arial" w:cs="Arial"/>
          <w:sz w:val="22"/>
          <w:szCs w:val="22"/>
          <w:lang w:eastAsia="zh-CN"/>
        </w:rPr>
        <w:t>-0006)</w:t>
      </w:r>
      <w:r w:rsidRPr="00220690">
        <w:rPr>
          <w:rFonts w:ascii="Arial" w:eastAsia="DengXian" w:hAnsi="Arial" w:cs="Arial"/>
          <w:sz w:val="22"/>
          <w:szCs w:val="22"/>
          <w:lang w:eastAsia="ja-JP"/>
        </w:rPr>
        <w:t>.</w:t>
      </w:r>
    </w:p>
    <w:p w:rsidR="00100AB0" w:rsidRPr="00220690" w:rsidP="00220690" w14:paraId="49B90FB3" w14:textId="77777777">
      <w:pPr>
        <w:spacing w:after="220"/>
        <w:rPr>
          <w:rFonts w:ascii="Arial" w:eastAsia="DengXian" w:hAnsi="Arial" w:cs="Arial"/>
          <w:sz w:val="22"/>
          <w:szCs w:val="22"/>
          <w:lang w:eastAsia="ja-JP"/>
        </w:rPr>
      </w:pPr>
      <w:r w:rsidRPr="00220690">
        <w:rPr>
          <w:rFonts w:ascii="Arial" w:eastAsia="DengXian" w:hAnsi="Arial" w:cs="Arial"/>
          <w:b/>
          <w:sz w:val="22"/>
          <w:szCs w:val="22"/>
          <w:lang w:eastAsia="ja-JP"/>
        </w:rPr>
        <w:t>NRC Response:</w:t>
      </w:r>
      <w:r w:rsidRPr="00220690">
        <w:rPr>
          <w:rFonts w:ascii="Arial" w:eastAsia="DengXian" w:hAnsi="Arial" w:cs="Arial"/>
          <w:sz w:val="22"/>
          <w:szCs w:val="22"/>
          <w:lang w:eastAsia="ja-JP"/>
        </w:rPr>
        <w:t xml:space="preserve"> The NRC agrees, in part, with </w:t>
      </w:r>
      <w:r w:rsidR="00834CD5">
        <w:rPr>
          <w:rFonts w:ascii="Arial" w:hAnsi="Arial" w:cs="Arial"/>
          <w:sz w:val="22"/>
          <w:szCs w:val="22"/>
        </w:rPr>
        <w:t>the</w:t>
      </w:r>
      <w:r w:rsidRPr="00220690">
        <w:rPr>
          <w:rFonts w:ascii="Arial" w:eastAsia="DengXian" w:hAnsi="Arial" w:cs="Arial"/>
          <w:sz w:val="22"/>
          <w:szCs w:val="22"/>
          <w:lang w:eastAsia="ja-JP"/>
        </w:rPr>
        <w:t xml:space="preserve"> comments.</w:t>
      </w:r>
    </w:p>
    <w:p w:rsidR="007F112A" w:rsidRPr="00220690" w:rsidP="00220690" w14:paraId="5B9C19B9"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The NRC acknowledges the comments’ concern that the proposed rule was not inclusive of “small advanced” reactors or microreactors and that the proposed rule maintained the same decommissioning regulations as large</w:t>
      </w:r>
      <w:r w:rsidR="00D75AFE">
        <w:rPr>
          <w:rFonts w:ascii="Arial" w:eastAsia="DengXian" w:hAnsi="Arial" w:cs="Arial"/>
          <w:sz w:val="22"/>
          <w:szCs w:val="22"/>
          <w:lang w:eastAsia="ja-JP"/>
        </w:rPr>
        <w:t>-</w:t>
      </w:r>
      <w:r w:rsidRPr="00220690">
        <w:rPr>
          <w:rFonts w:ascii="Arial" w:eastAsia="DengXian" w:hAnsi="Arial" w:cs="Arial"/>
          <w:sz w:val="22"/>
          <w:szCs w:val="22"/>
          <w:lang w:eastAsia="ja-JP"/>
        </w:rPr>
        <w:t>LWRs and was inadequate to address microreactors. A key objective of the 10 CFR Part 53 rulemaking was to develop a technology-inclusive alternative to the existing licensing processes in 10</w:t>
      </w:r>
      <w:r w:rsidRPr="00220690" w:rsidR="001D7098">
        <w:rPr>
          <w:rFonts w:ascii="Arial" w:eastAsia="DengXian" w:hAnsi="Arial" w:cs="Arial"/>
          <w:sz w:val="22"/>
          <w:szCs w:val="22"/>
          <w:lang w:eastAsia="ja-JP"/>
        </w:rPr>
        <w:t> </w:t>
      </w:r>
      <w:r w:rsidRPr="00220690">
        <w:rPr>
          <w:rFonts w:ascii="Arial" w:eastAsia="DengXian" w:hAnsi="Arial" w:cs="Arial"/>
          <w:sz w:val="22"/>
          <w:szCs w:val="22"/>
          <w:lang w:eastAsia="ja-JP"/>
        </w:rPr>
        <w:t>CFR Parts 50 and 52. However, the NRC acknowledges that the final rule may not completely address every regulatory issue for every potential future advanced reactor</w:t>
      </w:r>
      <w:r w:rsidR="006C2FD2">
        <w:rPr>
          <w:rFonts w:ascii="Arial" w:eastAsia="DengXian" w:hAnsi="Arial" w:cs="Arial"/>
          <w:sz w:val="22"/>
          <w:szCs w:val="22"/>
          <w:lang w:eastAsia="ja-JP"/>
        </w:rPr>
        <w:t xml:space="preserve"> but is considering some of the decommission</w:t>
      </w:r>
      <w:r w:rsidR="00311E06">
        <w:rPr>
          <w:rFonts w:ascii="Arial" w:eastAsia="DengXian" w:hAnsi="Arial" w:cs="Arial"/>
          <w:sz w:val="22"/>
          <w:szCs w:val="22"/>
          <w:lang w:eastAsia="ja-JP"/>
        </w:rPr>
        <w:t>ing</w:t>
      </w:r>
      <w:r w:rsidR="006C2FD2">
        <w:rPr>
          <w:rFonts w:ascii="Arial" w:eastAsia="DengXian" w:hAnsi="Arial" w:cs="Arial"/>
          <w:sz w:val="22"/>
          <w:szCs w:val="22"/>
          <w:lang w:eastAsia="ja-JP"/>
        </w:rPr>
        <w:t xml:space="preserve"> funding issues for SMRs under the EO 14300, </w:t>
      </w:r>
      <w:r w:rsidRPr="00200C35" w:rsidR="006C2FD2">
        <w:rPr>
          <w:rFonts w:ascii="Arial" w:hAnsi="Arial" w:cs="Arial"/>
          <w:sz w:val="22"/>
          <w:szCs w:val="22"/>
        </w:rPr>
        <w:t>“Ordering the Reform of the Nuclear Regulatory Commission</w:t>
      </w:r>
      <w:r w:rsidR="006C2FD2">
        <w:rPr>
          <w:rFonts w:ascii="Arial" w:hAnsi="Arial" w:cs="Arial"/>
          <w:sz w:val="22"/>
          <w:szCs w:val="22"/>
        </w:rPr>
        <w:t>,</w:t>
      </w:r>
      <w:r w:rsidRPr="00200C35" w:rsidR="006C2FD2">
        <w:rPr>
          <w:rFonts w:ascii="Arial" w:hAnsi="Arial" w:cs="Arial"/>
          <w:sz w:val="22"/>
          <w:szCs w:val="22"/>
        </w:rPr>
        <w:t>” dated May 23, 2025</w:t>
      </w:r>
      <w:r w:rsidR="006C2FD2">
        <w:rPr>
          <w:rFonts w:ascii="Arial" w:hAnsi="Arial" w:cs="Arial"/>
          <w:sz w:val="22"/>
          <w:szCs w:val="22"/>
        </w:rPr>
        <w:t xml:space="preserve">, </w:t>
      </w:r>
      <w:r w:rsidR="006C2FD2">
        <w:rPr>
          <w:rFonts w:ascii="Arial" w:eastAsia="DengXian" w:hAnsi="Arial" w:cs="Arial"/>
          <w:sz w:val="22"/>
          <w:szCs w:val="22"/>
          <w:lang w:eastAsia="ja-JP"/>
        </w:rPr>
        <w:t>activities</w:t>
      </w:r>
      <w:r w:rsidRPr="00220690">
        <w:rPr>
          <w:rFonts w:ascii="Arial" w:eastAsia="DengXian" w:hAnsi="Arial" w:cs="Arial"/>
          <w:sz w:val="22"/>
          <w:szCs w:val="22"/>
          <w:lang w:eastAsia="ja-JP"/>
        </w:rPr>
        <w:t>.</w:t>
      </w:r>
    </w:p>
    <w:p w:rsidR="007F112A" w:rsidRPr="00220690" w:rsidP="00220690" w14:paraId="0E93A3EE"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 xml:space="preserve">Consistent with the ADVANCE Act and EOs issued in 2025, </w:t>
      </w:r>
      <w:r w:rsidRPr="00220690" w:rsidR="00980E7D">
        <w:rPr>
          <w:rFonts w:ascii="Arial" w:eastAsia="DengXian" w:hAnsi="Arial" w:cs="Arial"/>
          <w:sz w:val="22"/>
          <w:szCs w:val="22"/>
          <w:lang w:eastAsia="ja-JP"/>
        </w:rPr>
        <w:t xml:space="preserve">the </w:t>
      </w:r>
      <w:r w:rsidRPr="00220690">
        <w:rPr>
          <w:rFonts w:ascii="Arial" w:eastAsia="DengXian" w:hAnsi="Arial" w:cs="Arial"/>
          <w:sz w:val="22"/>
          <w:szCs w:val="22"/>
          <w:lang w:eastAsia="ja-JP"/>
        </w:rPr>
        <w:t>NRC has initiated development of an additional rulemaking to expedite licensing of qualified microreactors and other potentially low risk, low consequence reactors. This activity, along with other NRC guidance development activities, are intended to address questions such as those raised by the comments (the amounts and types of insurance need to protect the local public, and requirements for appropriately ending reactor operations and for handling remaining fuel).</w:t>
      </w:r>
    </w:p>
    <w:p w:rsidR="007F112A" w:rsidRPr="00220690" w:rsidP="00220690" w14:paraId="51048D25" w14:textId="77777777">
      <w:pPr>
        <w:spacing w:after="220"/>
        <w:rPr>
          <w:rFonts w:ascii="Arial" w:eastAsia="Times New Roman" w:hAnsi="Arial" w:cs="Arial"/>
          <w:color w:val="000000"/>
          <w:sz w:val="22"/>
          <w:szCs w:val="22"/>
          <w:lang w:eastAsia="zh-CN"/>
        </w:rPr>
      </w:pPr>
      <w:r w:rsidRPr="00220690">
        <w:rPr>
          <w:rFonts w:ascii="Arial" w:eastAsia="DengXian" w:hAnsi="Arial" w:cs="Arial"/>
          <w:sz w:val="22"/>
          <w:szCs w:val="22"/>
          <w:lang w:eastAsia="ja-JP"/>
        </w:rPr>
        <w:t>Accordingly, the NRC did not change the rule language in response to these comments.</w:t>
      </w:r>
    </w:p>
    <w:p w:rsidR="007F112A" w:rsidRPr="00220690" w:rsidP="00220690" w14:paraId="36A79A4F"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30" style="width:0;height:1.5pt" o:hralign="center" o:hrstd="t" o:hrnoshade="t" o:hr="t" fillcolor="black" stroked="f"/>
        </w:pict>
      </w:r>
    </w:p>
    <w:p w:rsidR="007F112A" w:rsidRPr="00220690" w:rsidP="00220690" w14:paraId="56D7A8AE" w14:textId="77777777">
      <w:pPr>
        <w:spacing w:after="220"/>
        <w:rPr>
          <w:rFonts w:ascii="Arial" w:eastAsia="DengXian" w:hAnsi="Arial" w:cs="Arial"/>
          <w:sz w:val="22"/>
          <w:szCs w:val="22"/>
          <w:lang w:eastAsia="ja-JP"/>
        </w:rPr>
      </w:pPr>
      <w:r w:rsidRPr="00220690">
        <w:rPr>
          <w:rFonts w:ascii="Arial" w:eastAsia="Times New Roman" w:hAnsi="Arial" w:cs="Arial"/>
          <w:b/>
          <w:color w:val="000000"/>
          <w:sz w:val="22"/>
          <w:szCs w:val="22"/>
          <w:lang w:eastAsia="zh-CN"/>
        </w:rPr>
        <w:t>Comment Bin 3.7.1.D:</w:t>
      </w:r>
      <w:r w:rsidRPr="00220690">
        <w:rPr>
          <w:rFonts w:ascii="Arial" w:eastAsia="Times New Roman" w:hAnsi="Arial" w:cs="Arial"/>
          <w:color w:val="000000"/>
          <w:sz w:val="22"/>
          <w:szCs w:val="22"/>
          <w:lang w:eastAsia="zh-CN"/>
        </w:rPr>
        <w:t xml:space="preserve"> </w:t>
      </w:r>
      <w:r w:rsidRPr="00220690">
        <w:rPr>
          <w:rFonts w:ascii="Arial" w:eastAsia="DengXian" w:hAnsi="Arial" w:cs="Arial"/>
          <w:sz w:val="22"/>
          <w:szCs w:val="22"/>
          <w:lang w:eastAsia="ja-JP"/>
        </w:rPr>
        <w:t>A commenter requested that NRC consider the benefits of the ISO quality management system as an alternative to a more deterministic risk management approach and the importance of creating a flexible yet robust decommissioning provision in proposed Subpart G to 10</w:t>
      </w:r>
      <w:r w:rsidRPr="00220690" w:rsidR="004F6EE5">
        <w:rPr>
          <w:rFonts w:ascii="Arial" w:eastAsia="DengXian" w:hAnsi="Arial" w:cs="Arial"/>
          <w:sz w:val="22"/>
          <w:szCs w:val="22"/>
          <w:lang w:eastAsia="ja-JP"/>
        </w:rPr>
        <w:t> </w:t>
      </w:r>
      <w:r w:rsidRPr="00220690">
        <w:rPr>
          <w:rFonts w:ascii="Arial" w:eastAsia="DengXian" w:hAnsi="Arial" w:cs="Arial"/>
          <w:sz w:val="22"/>
          <w:szCs w:val="22"/>
          <w:lang w:eastAsia="ja-JP"/>
        </w:rPr>
        <w:t>CFR Part 53 (</w:t>
      </w:r>
      <w:r w:rsidR="007131C1">
        <w:rPr>
          <w:rFonts w:ascii="Arial" w:eastAsia="DengXian" w:hAnsi="Arial" w:cs="Arial"/>
          <w:sz w:val="22"/>
          <w:szCs w:val="22"/>
          <w:lang w:eastAsia="ja-JP"/>
        </w:rPr>
        <w:t>RH</w:t>
      </w:r>
      <w:r w:rsidRPr="00220690">
        <w:rPr>
          <w:rFonts w:ascii="Arial" w:eastAsia="DengXian" w:hAnsi="Arial" w:cs="Arial"/>
          <w:sz w:val="22"/>
          <w:szCs w:val="22"/>
          <w:lang w:eastAsia="ja-JP"/>
        </w:rPr>
        <w:t>-0001).</w:t>
      </w:r>
    </w:p>
    <w:p w:rsidR="00BB105A" w:rsidP="00220690" w14:paraId="2A6F0F34" w14:textId="77777777">
      <w:pPr>
        <w:spacing w:after="220"/>
        <w:rPr>
          <w:rFonts w:ascii="Arial" w:eastAsia="DengXian" w:hAnsi="Arial" w:cs="Arial"/>
          <w:sz w:val="22"/>
          <w:szCs w:val="22"/>
          <w:lang w:eastAsia="ja-JP"/>
        </w:rPr>
      </w:pPr>
      <w:r w:rsidRPr="00220690">
        <w:rPr>
          <w:rFonts w:ascii="Arial" w:eastAsia="DengXian" w:hAnsi="Arial" w:cs="Arial"/>
          <w:b/>
          <w:sz w:val="22"/>
          <w:szCs w:val="22"/>
          <w:lang w:eastAsia="ja-JP"/>
        </w:rPr>
        <w:t>NRC Response:</w:t>
      </w:r>
      <w:r w:rsidRPr="00220690">
        <w:rPr>
          <w:rFonts w:ascii="Arial" w:eastAsia="DengXian" w:hAnsi="Arial" w:cs="Arial"/>
          <w:sz w:val="22"/>
          <w:szCs w:val="22"/>
          <w:lang w:eastAsia="ja-JP"/>
        </w:rPr>
        <w:t xml:space="preserve"> The NRC acknowledges th</w:t>
      </w:r>
      <w:r>
        <w:rPr>
          <w:rFonts w:ascii="Arial" w:eastAsia="DengXian" w:hAnsi="Arial" w:cs="Arial"/>
          <w:sz w:val="22"/>
          <w:szCs w:val="22"/>
          <w:lang w:eastAsia="ja-JP"/>
        </w:rPr>
        <w:t>is comment.</w:t>
      </w:r>
    </w:p>
    <w:p w:rsidR="004F6EE5" w:rsidRPr="00220690" w:rsidP="00220690" w14:paraId="01A6F844" w14:textId="77777777">
      <w:pPr>
        <w:spacing w:after="220"/>
        <w:rPr>
          <w:rFonts w:ascii="Arial" w:eastAsia="DengXian" w:hAnsi="Arial" w:cs="Arial"/>
          <w:sz w:val="22"/>
          <w:szCs w:val="22"/>
          <w:lang w:eastAsia="ja-JP"/>
        </w:rPr>
      </w:pPr>
      <w:r>
        <w:rPr>
          <w:rFonts w:ascii="Arial" w:eastAsia="DengXian" w:hAnsi="Arial" w:cs="Arial"/>
          <w:sz w:val="22"/>
          <w:szCs w:val="22"/>
          <w:lang w:eastAsia="ja-JP"/>
        </w:rPr>
        <w:t>The NRC acknowledge</w:t>
      </w:r>
      <w:r w:rsidR="00BC081C">
        <w:rPr>
          <w:rFonts w:ascii="Arial" w:eastAsia="DengXian" w:hAnsi="Arial" w:cs="Arial"/>
          <w:sz w:val="22"/>
          <w:szCs w:val="22"/>
          <w:lang w:eastAsia="ja-JP"/>
        </w:rPr>
        <w:t>s the</w:t>
      </w:r>
      <w:r w:rsidRPr="00220690" w:rsidR="007F112A">
        <w:rPr>
          <w:rFonts w:ascii="Arial" w:eastAsia="DengXian" w:hAnsi="Arial" w:cs="Arial"/>
          <w:sz w:val="22"/>
          <w:szCs w:val="22"/>
          <w:lang w:eastAsia="ja-JP"/>
        </w:rPr>
        <w:t xml:space="preserve"> request that the NRC consider the benefits of the ISO quality management system as an alternative to a more deterministic risk management approach as well as the importance of creating a flexible yet robust decommissioning provision in proposed Subpart G to 10 CFR Part 53. The NRC maintains awareness of all international decommissioning standards and incorporates that information into the NRC’s regulations and guidance documents, as applicable.</w:t>
      </w:r>
    </w:p>
    <w:p w:rsidR="007F112A" w:rsidRPr="00220690" w:rsidP="00220690" w14:paraId="7D8EE8EB" w14:textId="77777777">
      <w:pPr>
        <w:spacing w:after="220"/>
        <w:rPr>
          <w:rFonts w:ascii="Arial" w:eastAsia="DengXian" w:hAnsi="Arial" w:cs="Arial"/>
          <w:sz w:val="22"/>
          <w:szCs w:val="22"/>
          <w:lang w:eastAsia="ja-JP"/>
        </w:rPr>
      </w:pPr>
      <w:r w:rsidRPr="00220690">
        <w:rPr>
          <w:rFonts w:ascii="Arial" w:eastAsia="DengXian" w:hAnsi="Arial" w:cs="Arial"/>
          <w:sz w:val="22"/>
          <w:szCs w:val="22"/>
          <w:lang w:eastAsia="ja-JP"/>
        </w:rPr>
        <w:t>Accordingly, the NRC did not change the rule language in response to this comment.</w:t>
      </w:r>
    </w:p>
    <w:p w:rsidR="007F112A" w:rsidRPr="00220690" w:rsidP="00220690" w14:paraId="6E8A839E" w14:textId="77777777">
      <w:pPr>
        <w:spacing w:after="220"/>
        <w:rPr>
          <w:rFonts w:ascii="Arial" w:eastAsia="DengXian" w:hAnsi="Arial" w:cs="Arial"/>
          <w:sz w:val="22"/>
          <w:szCs w:val="22"/>
          <w:lang w:eastAsia="ja-JP"/>
        </w:rPr>
      </w:pPr>
      <w:r>
        <w:rPr>
          <w:rFonts w:ascii="Arial" w:eastAsia="Times New Roman" w:hAnsi="Arial" w:cs="Arial"/>
          <w:sz w:val="22"/>
          <w:szCs w:val="22"/>
          <w:lang w:eastAsia="zh-CN"/>
        </w:rPr>
        <w:pict>
          <v:rect id="_x0000_i1231" style="width:0;height:1.5pt" o:hralign="center" o:hrstd="t" o:hrnoshade="t" o:hr="t" fillcolor="black" stroked="f"/>
        </w:pict>
      </w:r>
    </w:p>
    <w:p w:rsidR="007F112A" w:rsidRPr="00DA0A3C" w:rsidP="00342294" w14:paraId="52E840B4" w14:textId="77777777">
      <w:pPr>
        <w:pStyle w:val="Heading3"/>
        <w:keepNext/>
        <w:keepLines/>
        <w:numPr>
          <w:ilvl w:val="0"/>
          <w:numId w:val="0"/>
        </w:numPr>
        <w:ind w:left="720" w:hanging="720"/>
      </w:pPr>
      <w:bookmarkStart w:id="72" w:name="_Toc194466469"/>
      <w:bookmarkStart w:id="73" w:name="_Toc194678419"/>
      <w:bookmarkStart w:id="74" w:name="_Toc207222826"/>
      <w:r w:rsidRPr="00051A4B">
        <w:rPr>
          <w:u w:val="none"/>
        </w:rPr>
        <w:t>3.7.2.</w:t>
      </w:r>
      <w:r w:rsidRPr="00051A4B">
        <w:rPr>
          <w:u w:val="none"/>
        </w:rPr>
        <w:tab/>
      </w:r>
      <w:r w:rsidRPr="00DA0A3C">
        <w:t>RFC: Decommissioning draft final rule</w:t>
      </w:r>
      <w:bookmarkEnd w:id="72"/>
      <w:bookmarkEnd w:id="73"/>
      <w:bookmarkEnd w:id="74"/>
    </w:p>
    <w:p w:rsidR="007F112A" w:rsidRPr="002221B5" w:rsidP="002221B5" w14:paraId="3307206B" w14:textId="77777777">
      <w:pPr>
        <w:spacing w:after="220"/>
        <w:rPr>
          <w:rFonts w:ascii="Arial" w:eastAsia="DengXian" w:hAnsi="Arial" w:cs="Arial"/>
          <w:sz w:val="22"/>
          <w:szCs w:val="22"/>
          <w:lang w:eastAsia="ja-JP"/>
        </w:rPr>
      </w:pPr>
      <w:r w:rsidRPr="002221B5">
        <w:rPr>
          <w:rFonts w:ascii="Arial" w:eastAsia="Times New Roman" w:hAnsi="Arial" w:cs="Arial"/>
          <w:b/>
          <w:color w:val="000000"/>
          <w:sz w:val="22"/>
          <w:szCs w:val="22"/>
          <w:lang w:eastAsia="zh-CN"/>
        </w:rPr>
        <w:t>Comment Bin 3.7.2.A:</w:t>
      </w:r>
      <w:r w:rsidRPr="002221B5">
        <w:rPr>
          <w:rFonts w:ascii="Arial" w:eastAsia="Times New Roman" w:hAnsi="Arial" w:cs="Arial"/>
          <w:color w:val="000000"/>
          <w:sz w:val="22"/>
          <w:szCs w:val="22"/>
          <w:lang w:eastAsia="zh-CN"/>
        </w:rPr>
        <w:t xml:space="preserve"> </w:t>
      </w:r>
      <w:r w:rsidR="00675EEC">
        <w:rPr>
          <w:rFonts w:ascii="Arial" w:eastAsia="Times New Roman" w:hAnsi="Arial" w:cs="Arial"/>
          <w:color w:val="000000"/>
          <w:sz w:val="22"/>
          <w:szCs w:val="22"/>
          <w:lang w:eastAsia="zh-CN"/>
        </w:rPr>
        <w:t>Two</w:t>
      </w:r>
      <w:r w:rsidRPr="002221B5">
        <w:rPr>
          <w:rFonts w:ascii="Arial" w:eastAsia="DengXian" w:hAnsi="Arial" w:cs="Arial"/>
          <w:sz w:val="22"/>
          <w:szCs w:val="22"/>
          <w:lang w:eastAsia="ja-JP"/>
        </w:rPr>
        <w:t xml:space="preserve"> commenters said that the regulations for transitioning to decommissioning set forth in SECY-24-0011</w:t>
      </w:r>
      <w:r w:rsidR="000476A2">
        <w:rPr>
          <w:rFonts w:ascii="Arial" w:eastAsia="DengXian" w:hAnsi="Arial" w:cs="Arial"/>
          <w:sz w:val="22"/>
          <w:szCs w:val="22"/>
          <w:lang w:eastAsia="ja-JP"/>
        </w:rPr>
        <w:t>, “</w:t>
      </w:r>
      <w:r w:rsidRPr="00CB5D82" w:rsidR="00CB5D82">
        <w:rPr>
          <w:rFonts w:ascii="Arial" w:eastAsia="DengXian" w:hAnsi="Arial" w:cs="Arial"/>
          <w:sz w:val="22"/>
          <w:szCs w:val="22"/>
          <w:lang w:eastAsia="ja-JP"/>
        </w:rPr>
        <w:t>Final Rule: Regulatory Improvements for Production and Utilization Facilities Transitioning to</w:t>
      </w:r>
      <w:r w:rsidR="000476A2">
        <w:rPr>
          <w:rFonts w:ascii="Arial" w:eastAsia="DengXian" w:hAnsi="Arial" w:cs="Arial"/>
          <w:sz w:val="22"/>
          <w:szCs w:val="22"/>
          <w:lang w:eastAsia="ja-JP"/>
        </w:rPr>
        <w:t xml:space="preserve"> </w:t>
      </w:r>
      <w:r w:rsidR="00CB5D82">
        <w:rPr>
          <w:rFonts w:ascii="Arial" w:eastAsia="DengXian" w:hAnsi="Arial" w:cs="Arial"/>
          <w:sz w:val="22"/>
          <w:szCs w:val="22"/>
          <w:lang w:eastAsia="ja-JP"/>
        </w:rPr>
        <w:t>Decommissioning</w:t>
      </w:r>
      <w:r w:rsidR="000476A2">
        <w:rPr>
          <w:rFonts w:ascii="Arial" w:eastAsia="DengXian" w:hAnsi="Arial" w:cs="Arial"/>
          <w:sz w:val="22"/>
          <w:szCs w:val="22"/>
          <w:lang w:eastAsia="ja-JP"/>
        </w:rPr>
        <w:t xml:space="preserve">,” issued </w:t>
      </w:r>
      <w:r w:rsidR="00A25755">
        <w:rPr>
          <w:rFonts w:ascii="Arial" w:eastAsia="DengXian" w:hAnsi="Arial" w:cs="Arial"/>
          <w:sz w:val="22"/>
          <w:szCs w:val="22"/>
          <w:lang w:eastAsia="ja-JP"/>
        </w:rPr>
        <w:t xml:space="preserve">January 2024 </w:t>
      </w:r>
      <w:r w:rsidR="000476A2">
        <w:rPr>
          <w:rFonts w:ascii="Arial" w:eastAsia="DengXian" w:hAnsi="Arial" w:cs="Arial"/>
          <w:sz w:val="22"/>
          <w:szCs w:val="22"/>
          <w:lang w:eastAsia="ja-JP"/>
        </w:rPr>
        <w:t>(</w:t>
      </w:r>
      <w:r w:rsidRPr="000476A2" w:rsidR="000476A2">
        <w:rPr>
          <w:rFonts w:ascii="Arial" w:eastAsia="DengXian" w:hAnsi="Arial" w:cs="Arial"/>
          <w:sz w:val="22"/>
          <w:szCs w:val="22"/>
          <w:lang w:eastAsia="ja-JP"/>
        </w:rPr>
        <w:t>ML23258A205</w:t>
      </w:r>
      <w:r w:rsidR="000476A2">
        <w:rPr>
          <w:rFonts w:ascii="Arial" w:eastAsia="DengXian" w:hAnsi="Arial" w:cs="Arial"/>
          <w:sz w:val="22"/>
          <w:szCs w:val="22"/>
          <w:lang w:eastAsia="ja-JP"/>
        </w:rPr>
        <w:t>)</w:t>
      </w:r>
      <w:r w:rsidRPr="002221B5">
        <w:rPr>
          <w:rFonts w:ascii="Arial" w:eastAsia="DengXian" w:hAnsi="Arial" w:cs="Arial"/>
          <w:sz w:val="22"/>
          <w:szCs w:val="22"/>
          <w:lang w:eastAsia="ja-JP"/>
        </w:rPr>
        <w:t xml:space="preserve"> should be incorporated into the 10 CFR Part 53 rulemaking, taking into account the differences in reactor and fuel designs (</w:t>
      </w:r>
      <w:r w:rsidR="009D6BB9">
        <w:rPr>
          <w:rFonts w:ascii="Arial" w:eastAsia="DengXian" w:hAnsi="Arial" w:cs="Arial"/>
          <w:sz w:val="22"/>
          <w:szCs w:val="22"/>
          <w:lang w:eastAsia="ja-JP"/>
        </w:rPr>
        <w:t>NEI2</w:t>
      </w:r>
      <w:r w:rsidRPr="002221B5">
        <w:rPr>
          <w:rFonts w:ascii="Arial" w:eastAsia="DengXian" w:hAnsi="Arial" w:cs="Arial"/>
          <w:sz w:val="22"/>
          <w:szCs w:val="22"/>
          <w:lang w:eastAsia="ja-JP"/>
        </w:rPr>
        <w:t>-0205</w:t>
      </w:r>
      <w:r w:rsidR="00A25755">
        <w:rPr>
          <w:rFonts w:ascii="Arial" w:eastAsia="DengXian" w:hAnsi="Arial" w:cs="Arial"/>
          <w:sz w:val="22"/>
          <w:szCs w:val="22"/>
          <w:lang w:eastAsia="ja-JP"/>
        </w:rPr>
        <w:t>,</w:t>
      </w:r>
      <w:r w:rsidRPr="002221B5">
        <w:rPr>
          <w:rFonts w:ascii="Arial" w:eastAsia="DengXian" w:hAnsi="Arial" w:cs="Arial"/>
          <w:sz w:val="22"/>
          <w:szCs w:val="22"/>
          <w:lang w:eastAsia="ja-JP"/>
        </w:rPr>
        <w:t xml:space="preserve"> </w:t>
      </w:r>
      <w:r w:rsidR="00AE0B17">
        <w:rPr>
          <w:rFonts w:ascii="Arial" w:eastAsia="DengXian" w:hAnsi="Arial" w:cs="Arial"/>
          <w:sz w:val="22"/>
          <w:szCs w:val="22"/>
          <w:lang w:eastAsia="ja-JP"/>
        </w:rPr>
        <w:t>USNIC2</w:t>
      </w:r>
      <w:r w:rsidRPr="002221B5">
        <w:rPr>
          <w:rFonts w:ascii="Arial" w:eastAsia="DengXian" w:hAnsi="Arial" w:cs="Arial"/>
          <w:sz w:val="22"/>
          <w:szCs w:val="22"/>
          <w:lang w:eastAsia="ja-JP"/>
        </w:rPr>
        <w:t>-0033). One commenter suggested that the primary objective of a 10 CFR Part 53 rule should be to eliminate the need for licensees to request license amendments and exemptions from regulations (</w:t>
      </w:r>
      <w:r w:rsidR="009D6BB9">
        <w:rPr>
          <w:rFonts w:ascii="Arial" w:eastAsia="DengXian" w:hAnsi="Arial" w:cs="Arial"/>
          <w:sz w:val="22"/>
          <w:szCs w:val="22"/>
          <w:lang w:eastAsia="ja-JP"/>
        </w:rPr>
        <w:t>NEI2</w:t>
      </w:r>
      <w:r w:rsidRPr="002221B5">
        <w:rPr>
          <w:rFonts w:ascii="Arial" w:eastAsia="DengXian" w:hAnsi="Arial" w:cs="Arial"/>
          <w:sz w:val="22"/>
          <w:szCs w:val="22"/>
          <w:lang w:eastAsia="ja-JP"/>
        </w:rPr>
        <w:t>-0205).</w:t>
      </w:r>
    </w:p>
    <w:p w:rsidR="007F112A" w:rsidRPr="002221B5" w:rsidP="002221B5" w14:paraId="33737958"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Relatedly, another commenter stated that the NRC should incorporate the entirety of the draft final decommissioning rulemaking into 10 CFR Part 53. The commenter discussed that the decommissioning rulemaking was under development from 2014 to 2022 but added that the Commission has taken no action on the proposed final rule provided in January 2024 via SECY</w:t>
      </w:r>
      <w:r w:rsidR="00000F53">
        <w:rPr>
          <w:rFonts w:ascii="Arial" w:eastAsia="DengXian" w:hAnsi="Arial" w:cs="Arial"/>
          <w:sz w:val="22"/>
          <w:szCs w:val="22"/>
          <w:lang w:eastAsia="ja-JP"/>
        </w:rPr>
        <w:noBreakHyphen/>
      </w:r>
      <w:r w:rsidRPr="002221B5">
        <w:rPr>
          <w:rFonts w:ascii="Arial" w:eastAsia="DengXian" w:hAnsi="Arial" w:cs="Arial"/>
          <w:sz w:val="22"/>
          <w:szCs w:val="22"/>
          <w:lang w:eastAsia="ja-JP"/>
        </w:rPr>
        <w:t>24-0011. The commenter expressed that the decommissioning rulemaking should be complete before 10 CFR Part 53 is promulgated and recommended that the NRC incorporate the decommissioning provisions into the current proposed rulemaking to accomplish this. The commenter added that any substantive changes to a final decommissioning rule can be addressed as the 10</w:t>
      </w:r>
      <w:r w:rsidRPr="002221B5" w:rsidR="00CD19A3">
        <w:rPr>
          <w:rFonts w:ascii="Arial" w:eastAsia="DengXian" w:hAnsi="Arial" w:cs="Arial"/>
          <w:sz w:val="22"/>
          <w:szCs w:val="22"/>
          <w:lang w:eastAsia="ja-JP"/>
        </w:rPr>
        <w:t> </w:t>
      </w:r>
      <w:r w:rsidRPr="002221B5">
        <w:rPr>
          <w:rFonts w:ascii="Arial" w:eastAsia="DengXian" w:hAnsi="Arial" w:cs="Arial"/>
          <w:sz w:val="22"/>
          <w:szCs w:val="22"/>
          <w:lang w:eastAsia="ja-JP"/>
        </w:rPr>
        <w:t>CFR</w:t>
      </w:r>
      <w:r w:rsidRPr="002221B5" w:rsidR="00CD19A3">
        <w:rPr>
          <w:rFonts w:ascii="Arial" w:eastAsia="DengXian" w:hAnsi="Arial" w:cs="Arial"/>
          <w:sz w:val="22"/>
          <w:szCs w:val="22"/>
          <w:lang w:eastAsia="ja-JP"/>
        </w:rPr>
        <w:t> </w:t>
      </w:r>
      <w:r w:rsidRPr="002221B5">
        <w:rPr>
          <w:rFonts w:ascii="Arial" w:eastAsia="DengXian" w:hAnsi="Arial" w:cs="Arial"/>
          <w:sz w:val="22"/>
          <w:szCs w:val="22"/>
          <w:lang w:eastAsia="ja-JP"/>
        </w:rPr>
        <w:t>Part 53 rulemaking is finalized or in a subsequent rulemaking to ensure consistency across NRC regulations (</w:t>
      </w:r>
      <w:r w:rsidR="00A923D7">
        <w:rPr>
          <w:rFonts w:ascii="Arial" w:eastAsia="DengXian" w:hAnsi="Arial" w:cs="Arial"/>
          <w:sz w:val="22"/>
          <w:szCs w:val="22"/>
          <w:lang w:eastAsia="ja-JP"/>
        </w:rPr>
        <w:t>LMNT</w:t>
      </w:r>
      <w:r w:rsidRPr="002221B5">
        <w:rPr>
          <w:rFonts w:ascii="Arial" w:eastAsia="DengXian" w:hAnsi="Arial" w:cs="Arial"/>
          <w:sz w:val="22"/>
          <w:szCs w:val="22"/>
          <w:lang w:eastAsia="ja-JP"/>
        </w:rPr>
        <w:t>-0003).</w:t>
      </w:r>
    </w:p>
    <w:p w:rsidR="007F112A" w:rsidRPr="002221B5" w:rsidP="002221B5" w14:paraId="700301F4"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A commenter discussed that the decommissioning rulemaking includes much needed changes to current regulations and should be incorporated into the 10 CFR Part 53 rule to reflect the latest regulatory thinking without unnecessary delays or regulatory uncertainty for advanced reactor developers. The commenter expressed agreement with the NRC’s approach to make current decommissioning requirements more technology</w:t>
      </w:r>
      <w:r w:rsidR="002A03AB">
        <w:rPr>
          <w:rFonts w:ascii="Arial" w:eastAsia="DengXian" w:hAnsi="Arial" w:cs="Arial"/>
          <w:sz w:val="22"/>
          <w:szCs w:val="22"/>
          <w:lang w:eastAsia="ja-JP"/>
        </w:rPr>
        <w:t>-</w:t>
      </w:r>
      <w:r w:rsidRPr="002221B5">
        <w:rPr>
          <w:rFonts w:ascii="Arial" w:eastAsia="DengXian" w:hAnsi="Arial" w:cs="Arial"/>
          <w:sz w:val="22"/>
          <w:szCs w:val="22"/>
          <w:lang w:eastAsia="ja-JP"/>
        </w:rPr>
        <w:t>inclusive and to develop site-specific decommissioning cost estimates (</w:t>
      </w:r>
      <w:r w:rsidR="00D87876">
        <w:rPr>
          <w:rFonts w:ascii="Arial" w:eastAsia="DengXian" w:hAnsi="Arial" w:cs="Arial"/>
          <w:sz w:val="22"/>
          <w:szCs w:val="22"/>
          <w:lang w:eastAsia="ja-JP"/>
        </w:rPr>
        <w:t>SCWG</w:t>
      </w:r>
      <w:r w:rsidRPr="002221B5">
        <w:rPr>
          <w:rFonts w:ascii="Arial" w:eastAsia="DengXian" w:hAnsi="Arial" w:cs="Arial"/>
          <w:sz w:val="22"/>
          <w:szCs w:val="22"/>
          <w:lang w:eastAsia="ja-JP"/>
        </w:rPr>
        <w:t>-0006).</w:t>
      </w:r>
    </w:p>
    <w:p w:rsidR="0089449E" w:rsidP="002221B5" w14:paraId="3E6ED771" w14:textId="77777777">
      <w:pPr>
        <w:spacing w:after="220"/>
        <w:rPr>
          <w:rFonts w:ascii="Arial" w:eastAsia="DengXian" w:hAnsi="Arial" w:cs="Arial"/>
          <w:sz w:val="22"/>
          <w:szCs w:val="22"/>
          <w:lang w:eastAsia="ja-JP"/>
        </w:rPr>
      </w:pPr>
      <w:r w:rsidRPr="002221B5">
        <w:rPr>
          <w:rFonts w:ascii="Arial" w:eastAsia="DengXian" w:hAnsi="Arial" w:cs="Arial"/>
          <w:b/>
          <w:sz w:val="22"/>
          <w:szCs w:val="22"/>
          <w:lang w:eastAsia="ja-JP"/>
        </w:rPr>
        <w:t>NRC Response:</w:t>
      </w:r>
      <w:r w:rsidRPr="002221B5">
        <w:rPr>
          <w:rFonts w:ascii="Arial" w:eastAsia="DengXian" w:hAnsi="Arial" w:cs="Arial"/>
          <w:sz w:val="22"/>
          <w:szCs w:val="22"/>
          <w:lang w:eastAsia="ja-JP"/>
        </w:rPr>
        <w:t xml:space="preserve"> The NRC agrees with the comments.</w:t>
      </w:r>
    </w:p>
    <w:p w:rsidR="0094000A" w:rsidP="002221B5" w14:paraId="3D4BCFCF" w14:textId="77777777">
      <w:pPr>
        <w:spacing w:after="220"/>
        <w:rPr>
          <w:rFonts w:ascii="Arial" w:eastAsia="DengXian" w:hAnsi="Arial" w:cs="Arial"/>
          <w:sz w:val="22"/>
          <w:szCs w:val="22"/>
          <w:lang w:eastAsia="ja-JP"/>
        </w:rPr>
      </w:pPr>
      <w:r w:rsidRPr="001A2630">
        <w:rPr>
          <w:rFonts w:ascii="Arial" w:eastAsia="DengXian" w:hAnsi="Arial" w:cs="Arial"/>
          <w:sz w:val="22"/>
          <w:szCs w:val="22"/>
          <w:lang w:eastAsia="ja-JP"/>
        </w:rPr>
        <w:t>In the future, t</w:t>
      </w:r>
      <w:r w:rsidRPr="001A2630" w:rsidR="0089449E">
        <w:rPr>
          <w:rFonts w:ascii="Arial" w:eastAsia="DengXian" w:hAnsi="Arial" w:cs="Arial"/>
          <w:sz w:val="22"/>
          <w:szCs w:val="22"/>
          <w:lang w:eastAsia="ja-JP"/>
        </w:rPr>
        <w:t xml:space="preserve">he NRC </w:t>
      </w:r>
      <w:r w:rsidRPr="001A2630">
        <w:rPr>
          <w:rFonts w:ascii="Arial" w:eastAsia="DengXian" w:hAnsi="Arial" w:cs="Arial"/>
          <w:sz w:val="22"/>
          <w:szCs w:val="22"/>
          <w:lang w:eastAsia="ja-JP"/>
        </w:rPr>
        <w:t>plan</w:t>
      </w:r>
      <w:r w:rsidR="008E1964">
        <w:rPr>
          <w:rFonts w:ascii="Arial" w:eastAsia="DengXian" w:hAnsi="Arial" w:cs="Arial"/>
          <w:sz w:val="22"/>
          <w:szCs w:val="22"/>
          <w:lang w:eastAsia="ja-JP"/>
        </w:rPr>
        <w:t>s</w:t>
      </w:r>
      <w:r w:rsidRPr="001A2630">
        <w:rPr>
          <w:rFonts w:ascii="Arial" w:eastAsia="DengXian" w:hAnsi="Arial" w:cs="Arial"/>
          <w:sz w:val="22"/>
          <w:szCs w:val="22"/>
          <w:lang w:eastAsia="ja-JP"/>
        </w:rPr>
        <w:t xml:space="preserve"> to </w:t>
      </w:r>
      <w:r w:rsidRPr="001A2630" w:rsidR="0089449E">
        <w:rPr>
          <w:rFonts w:ascii="Arial" w:eastAsia="DengXian" w:hAnsi="Arial" w:cs="Arial"/>
          <w:sz w:val="22"/>
          <w:szCs w:val="22"/>
          <w:lang w:eastAsia="ja-JP"/>
        </w:rPr>
        <w:t>make</w:t>
      </w:r>
      <w:r w:rsidRPr="001A2630" w:rsidR="00093720">
        <w:rPr>
          <w:rFonts w:ascii="Arial" w:eastAsia="DengXian" w:hAnsi="Arial" w:cs="Arial"/>
          <w:sz w:val="22"/>
          <w:szCs w:val="22"/>
          <w:lang w:eastAsia="ja-JP"/>
        </w:rPr>
        <w:t xml:space="preserve"> conforming c</w:t>
      </w:r>
      <w:r w:rsidRPr="002221B5" w:rsidR="007F112A">
        <w:rPr>
          <w:rFonts w:ascii="Arial" w:eastAsia="DengXian" w:hAnsi="Arial" w:cs="Arial"/>
          <w:sz w:val="22"/>
          <w:szCs w:val="22"/>
          <w:lang w:eastAsia="ja-JP"/>
        </w:rPr>
        <w:t xml:space="preserve">hanges to 10 CFR Part 53, Subpart G, consistent with </w:t>
      </w:r>
      <w:r w:rsidRPr="001A2630" w:rsidR="00747697">
        <w:rPr>
          <w:rFonts w:ascii="Arial" w:eastAsia="DengXian" w:hAnsi="Arial" w:cs="Arial"/>
          <w:sz w:val="22"/>
          <w:szCs w:val="22"/>
          <w:lang w:eastAsia="ja-JP"/>
        </w:rPr>
        <w:t xml:space="preserve">the </w:t>
      </w:r>
      <w:r w:rsidRPr="002221B5" w:rsidR="007F112A">
        <w:rPr>
          <w:rFonts w:ascii="Arial" w:eastAsia="DengXian" w:hAnsi="Arial" w:cs="Arial"/>
          <w:sz w:val="22"/>
          <w:szCs w:val="22"/>
          <w:lang w:eastAsia="ja-JP"/>
        </w:rPr>
        <w:t>Commission’s direction on the draft final decommissioning rule contained in SECY-24-0011</w:t>
      </w:r>
      <w:r w:rsidRPr="001A2630" w:rsidR="000A1C41">
        <w:rPr>
          <w:rFonts w:ascii="Arial" w:eastAsia="DengXian" w:hAnsi="Arial" w:cs="Arial"/>
          <w:sz w:val="22"/>
          <w:szCs w:val="22"/>
          <w:lang w:eastAsia="ja-JP"/>
        </w:rPr>
        <w:t xml:space="preserve"> once the Commission has issued </w:t>
      </w:r>
      <w:r w:rsidRPr="001A2630" w:rsidR="001A2630">
        <w:rPr>
          <w:rFonts w:ascii="Arial" w:eastAsia="DengXian" w:hAnsi="Arial" w:cs="Arial"/>
          <w:sz w:val="22"/>
          <w:szCs w:val="22"/>
          <w:lang w:eastAsia="ja-JP"/>
        </w:rPr>
        <w:t xml:space="preserve">that </w:t>
      </w:r>
      <w:r w:rsidRPr="001A2630" w:rsidR="000A1C41">
        <w:rPr>
          <w:rFonts w:ascii="Arial" w:eastAsia="DengXian" w:hAnsi="Arial" w:cs="Arial"/>
          <w:sz w:val="22"/>
          <w:szCs w:val="22"/>
          <w:lang w:eastAsia="ja-JP"/>
        </w:rPr>
        <w:t>direction</w:t>
      </w:r>
      <w:r w:rsidRPr="00B1262B" w:rsidR="007F112A">
        <w:rPr>
          <w:rFonts w:ascii="Arial" w:eastAsia="DengXian" w:hAnsi="Arial" w:cs="Arial"/>
          <w:sz w:val="22"/>
          <w:szCs w:val="22"/>
          <w:lang w:eastAsia="ja-JP"/>
        </w:rPr>
        <w:t>.</w:t>
      </w:r>
    </w:p>
    <w:p w:rsidR="007F112A" w:rsidRPr="002221B5" w:rsidP="002221B5" w14:paraId="20701629" w14:textId="77777777">
      <w:pPr>
        <w:spacing w:after="220"/>
        <w:rPr>
          <w:rFonts w:ascii="Arial" w:eastAsia="Times New Roman" w:hAnsi="Arial" w:cs="Arial"/>
          <w:color w:val="000000"/>
          <w:sz w:val="22"/>
          <w:szCs w:val="22"/>
          <w:lang w:eastAsia="zh-CN"/>
        </w:rPr>
      </w:pPr>
      <w:r w:rsidRPr="00B1262B">
        <w:rPr>
          <w:rFonts w:ascii="Arial" w:eastAsia="DengXian" w:hAnsi="Arial" w:cs="Arial"/>
          <w:sz w:val="22"/>
          <w:szCs w:val="22"/>
          <w:lang w:eastAsia="ja-JP"/>
        </w:rPr>
        <w:t>Accordingly, t</w:t>
      </w:r>
      <w:r w:rsidRPr="00B1262B" w:rsidR="00FC2448">
        <w:rPr>
          <w:rFonts w:ascii="Arial" w:eastAsia="DengXian" w:hAnsi="Arial" w:cs="Arial"/>
          <w:sz w:val="22"/>
          <w:szCs w:val="22"/>
          <w:lang w:eastAsia="ja-JP"/>
        </w:rPr>
        <w:t xml:space="preserve">he NRC did not change the </w:t>
      </w:r>
      <w:r w:rsidRPr="00B1262B">
        <w:rPr>
          <w:rFonts w:ascii="Arial" w:eastAsia="DengXian" w:hAnsi="Arial" w:cs="Arial"/>
          <w:sz w:val="22"/>
          <w:szCs w:val="22"/>
          <w:lang w:eastAsia="ja-JP"/>
        </w:rPr>
        <w:t>rule language in response to these comments.</w:t>
      </w:r>
    </w:p>
    <w:p w:rsidR="007F112A" w:rsidRPr="002221B5" w:rsidP="002221B5" w14:paraId="070EF432"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32" style="width:0;height:1.5pt" o:hralign="center" o:hrstd="t" o:hrnoshade="t" o:hr="t" fillcolor="black" stroked="f"/>
        </w:pict>
      </w:r>
    </w:p>
    <w:p w:rsidR="007F112A" w:rsidRPr="005E489E" w:rsidP="00051A4B" w14:paraId="63BAD8B6" w14:textId="77777777">
      <w:pPr>
        <w:pStyle w:val="Heading3"/>
        <w:numPr>
          <w:ilvl w:val="0"/>
          <w:numId w:val="0"/>
        </w:numPr>
        <w:ind w:left="720" w:hanging="720"/>
        <w:rPr>
          <w:rFonts w:eastAsia="Times New Roman"/>
          <w:b/>
        </w:rPr>
      </w:pPr>
      <w:bookmarkStart w:id="75" w:name="_Toc194466470"/>
      <w:bookmarkStart w:id="76" w:name="_Toc194678420"/>
      <w:bookmarkStart w:id="77" w:name="_Toc207222827"/>
      <w:r w:rsidRPr="00051A4B">
        <w:rPr>
          <w:u w:val="none"/>
        </w:rPr>
        <w:t>3.7.3.</w:t>
      </w:r>
      <w:r w:rsidRPr="00051A4B">
        <w:rPr>
          <w:u w:val="none"/>
        </w:rPr>
        <w:tab/>
      </w:r>
      <w:r w:rsidRPr="00DA0A3C">
        <w:t>RFC: Financial assurance requirements (§ 53.1060(b))</w:t>
      </w:r>
      <w:bookmarkEnd w:id="75"/>
      <w:bookmarkEnd w:id="76"/>
      <w:bookmarkEnd w:id="77"/>
    </w:p>
    <w:p w:rsidR="007F112A" w:rsidRPr="002221B5" w:rsidP="002221B5" w14:paraId="1218A0F3" w14:textId="77777777">
      <w:pPr>
        <w:spacing w:after="220"/>
        <w:rPr>
          <w:rFonts w:ascii="Arial" w:eastAsia="DengXian" w:hAnsi="Arial" w:cs="Arial"/>
          <w:sz w:val="22"/>
          <w:szCs w:val="22"/>
          <w:lang w:eastAsia="ja-JP"/>
        </w:rPr>
      </w:pPr>
      <w:r w:rsidRPr="002221B5">
        <w:rPr>
          <w:rFonts w:ascii="Arial" w:eastAsia="Times New Roman" w:hAnsi="Arial" w:cs="Arial"/>
          <w:b/>
          <w:color w:val="000000"/>
          <w:sz w:val="22"/>
          <w:szCs w:val="22"/>
          <w:lang w:eastAsia="zh-CN"/>
        </w:rPr>
        <w:t>Comment Bin 3.7.3.A:</w:t>
      </w:r>
      <w:r w:rsidRPr="002221B5">
        <w:rPr>
          <w:rFonts w:ascii="Arial" w:eastAsia="Times New Roman" w:hAnsi="Arial" w:cs="Arial"/>
          <w:color w:val="000000"/>
          <w:sz w:val="22"/>
          <w:szCs w:val="22"/>
          <w:lang w:eastAsia="zh-CN"/>
        </w:rPr>
        <w:t xml:space="preserve"> </w:t>
      </w:r>
      <w:r w:rsidRPr="002221B5">
        <w:rPr>
          <w:rFonts w:ascii="Arial" w:eastAsia="DengXian" w:hAnsi="Arial" w:cs="Arial"/>
          <w:sz w:val="22"/>
          <w:szCs w:val="22"/>
          <w:lang w:eastAsia="ja-JP"/>
        </w:rPr>
        <w:t xml:space="preserve">In response to the NRC’s request for comment related to proposed 10 CFR 53.1060(b), a few commenters supported the NRC’s proposed approach but suggested that </w:t>
      </w:r>
      <w:r w:rsidRPr="00734216">
        <w:rPr>
          <w:rFonts w:ascii="Arial" w:eastAsia="DengXian" w:hAnsi="Arial" w:cs="Arial"/>
          <w:sz w:val="22"/>
          <w:szCs w:val="22"/>
          <w:lang w:eastAsia="ja-JP"/>
        </w:rPr>
        <w:t>it may be more appropriate to require financial assurance within 30 days of initial fuel loading rather than within 30 days of issuance of the notice of intended operation.</w:t>
      </w:r>
      <w:r w:rsidRPr="002221B5">
        <w:rPr>
          <w:rFonts w:ascii="Arial" w:eastAsia="DengXian" w:hAnsi="Arial" w:cs="Arial"/>
          <w:sz w:val="22"/>
          <w:szCs w:val="22"/>
          <w:lang w:eastAsia="ja-JP"/>
        </w:rPr>
        <w:t xml:space="preserve"> One of the commenters noted that </w:t>
      </w:r>
      <w:r w:rsidRPr="00734216">
        <w:rPr>
          <w:rFonts w:ascii="Arial" w:eastAsia="DengXian" w:hAnsi="Arial" w:cs="Arial"/>
          <w:sz w:val="22"/>
          <w:szCs w:val="22"/>
          <w:lang w:eastAsia="ja-JP"/>
        </w:rPr>
        <w:t>a conforming change to 10 CFR Part 52 would achieve the desired consistency, and another commenter noted that these requirements are an example of how allowing transferability between 10</w:t>
      </w:r>
      <w:r w:rsidRPr="00734216" w:rsidR="00C97C0A">
        <w:rPr>
          <w:rFonts w:ascii="Arial" w:eastAsia="DengXian" w:hAnsi="Arial" w:cs="Arial"/>
          <w:sz w:val="22"/>
          <w:szCs w:val="22"/>
          <w:lang w:eastAsia="ja-JP"/>
        </w:rPr>
        <w:t> </w:t>
      </w:r>
      <w:r w:rsidRPr="00734216">
        <w:rPr>
          <w:rFonts w:ascii="Arial" w:eastAsia="DengXian" w:hAnsi="Arial" w:cs="Arial"/>
          <w:sz w:val="22"/>
          <w:szCs w:val="22"/>
          <w:lang w:eastAsia="ja-JP"/>
        </w:rPr>
        <w:t>CFR Part 50 or 10 CFR Part 52 and 10 CFR Part 53 licenses would streamline regulatory processes</w:t>
      </w:r>
      <w:r w:rsidRPr="002221B5">
        <w:rPr>
          <w:rFonts w:ascii="Arial" w:eastAsia="DengXian" w:hAnsi="Arial" w:cs="Arial"/>
          <w:sz w:val="22"/>
          <w:szCs w:val="22"/>
          <w:lang w:eastAsia="ja-JP"/>
        </w:rPr>
        <w:t xml:space="preserve"> (</w:t>
      </w:r>
      <w:r w:rsidR="009D6BB9">
        <w:rPr>
          <w:rFonts w:ascii="Arial" w:eastAsia="DengXian" w:hAnsi="Arial" w:cs="Arial"/>
          <w:sz w:val="22"/>
          <w:szCs w:val="22"/>
          <w:lang w:eastAsia="ja-JP"/>
        </w:rPr>
        <w:t>NEI2</w:t>
      </w:r>
      <w:r w:rsidRPr="002221B5">
        <w:rPr>
          <w:rFonts w:ascii="Arial" w:eastAsia="DengXian" w:hAnsi="Arial" w:cs="Arial"/>
          <w:sz w:val="22"/>
          <w:szCs w:val="22"/>
          <w:lang w:eastAsia="ja-JP"/>
        </w:rPr>
        <w:t xml:space="preserve">-0206, </w:t>
      </w:r>
      <w:r w:rsidR="00D87876">
        <w:rPr>
          <w:rFonts w:ascii="Arial" w:eastAsia="DengXian" w:hAnsi="Arial" w:cs="Arial"/>
          <w:sz w:val="22"/>
          <w:szCs w:val="22"/>
          <w:lang w:eastAsia="ja-JP"/>
        </w:rPr>
        <w:t>SCWG</w:t>
      </w:r>
      <w:r w:rsidRPr="002221B5">
        <w:rPr>
          <w:rFonts w:ascii="Arial" w:eastAsia="DengXian" w:hAnsi="Arial" w:cs="Arial"/>
          <w:sz w:val="22"/>
          <w:szCs w:val="22"/>
          <w:lang w:eastAsia="ja-JP"/>
        </w:rPr>
        <w:t>-0007).</w:t>
      </w:r>
    </w:p>
    <w:p w:rsidR="007F112A" w:rsidRPr="002221B5" w:rsidP="002221B5" w14:paraId="55E35428"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 xml:space="preserve">Additionally, a commenter said that </w:t>
      </w:r>
      <w:r w:rsidRPr="002221B5" w:rsidR="00FB5282">
        <w:rPr>
          <w:rFonts w:ascii="Arial" w:eastAsia="DengXian" w:hAnsi="Arial" w:cs="Arial"/>
          <w:sz w:val="22"/>
          <w:szCs w:val="22"/>
          <w:lang w:eastAsia="ja-JP"/>
        </w:rPr>
        <w:t xml:space="preserve">10 CFR 53.1060 would </w:t>
      </w:r>
      <w:r w:rsidRPr="002221B5">
        <w:rPr>
          <w:rFonts w:ascii="Arial" w:eastAsia="DengXian" w:hAnsi="Arial" w:cs="Arial"/>
          <w:sz w:val="22"/>
          <w:szCs w:val="22"/>
          <w:lang w:eastAsia="ja-JP"/>
        </w:rPr>
        <w:t>requir</w:t>
      </w:r>
      <w:r w:rsidRPr="002221B5" w:rsidR="00FB5282">
        <w:rPr>
          <w:rFonts w:ascii="Arial" w:eastAsia="DengXian" w:hAnsi="Arial" w:cs="Arial"/>
          <w:sz w:val="22"/>
          <w:szCs w:val="22"/>
          <w:lang w:eastAsia="ja-JP"/>
        </w:rPr>
        <w:t>e</w:t>
      </w:r>
      <w:r w:rsidRPr="002221B5">
        <w:rPr>
          <w:rFonts w:ascii="Arial" w:eastAsia="DengXian" w:hAnsi="Arial" w:cs="Arial"/>
          <w:sz w:val="22"/>
          <w:szCs w:val="22"/>
          <w:lang w:eastAsia="ja-JP"/>
        </w:rPr>
        <w:t xml:space="preserve"> COL holders to submit a decommissioning report updating the </w:t>
      </w:r>
      <w:r w:rsidRPr="002221B5" w:rsidR="00C97C0A">
        <w:rPr>
          <w:rFonts w:ascii="Arial" w:eastAsia="DengXian" w:hAnsi="Arial" w:cs="Arial"/>
          <w:sz w:val="22"/>
          <w:szCs w:val="22"/>
          <w:lang w:eastAsia="ja-JP"/>
        </w:rPr>
        <w:t>d</w:t>
      </w:r>
      <w:r w:rsidRPr="002221B5" w:rsidR="00C5012A">
        <w:rPr>
          <w:rFonts w:ascii="Arial" w:eastAsia="DengXian" w:hAnsi="Arial" w:cs="Arial"/>
          <w:sz w:val="22"/>
          <w:szCs w:val="22"/>
          <w:lang w:eastAsia="ja-JP"/>
        </w:rPr>
        <w:t xml:space="preserve">ecommissioning </w:t>
      </w:r>
      <w:r w:rsidRPr="002221B5" w:rsidR="00C97C0A">
        <w:rPr>
          <w:rFonts w:ascii="Arial" w:eastAsia="DengXian" w:hAnsi="Arial" w:cs="Arial"/>
          <w:sz w:val="22"/>
          <w:szCs w:val="22"/>
          <w:lang w:eastAsia="ja-JP"/>
        </w:rPr>
        <w:t>c</w:t>
      </w:r>
      <w:r w:rsidRPr="002221B5" w:rsidR="00C5012A">
        <w:rPr>
          <w:rFonts w:ascii="Arial" w:eastAsia="DengXian" w:hAnsi="Arial" w:cs="Arial"/>
          <w:sz w:val="22"/>
          <w:szCs w:val="22"/>
          <w:lang w:eastAsia="ja-JP"/>
        </w:rPr>
        <w:t xml:space="preserve">ost </w:t>
      </w:r>
      <w:r w:rsidRPr="002221B5" w:rsidR="00C97C0A">
        <w:rPr>
          <w:rFonts w:ascii="Arial" w:eastAsia="DengXian" w:hAnsi="Arial" w:cs="Arial"/>
          <w:sz w:val="22"/>
          <w:szCs w:val="22"/>
          <w:lang w:eastAsia="ja-JP"/>
        </w:rPr>
        <w:t>e</w:t>
      </w:r>
      <w:r w:rsidRPr="002221B5" w:rsidR="00C5012A">
        <w:rPr>
          <w:rFonts w:ascii="Arial" w:eastAsia="DengXian" w:hAnsi="Arial" w:cs="Arial"/>
          <w:sz w:val="22"/>
          <w:szCs w:val="22"/>
          <w:lang w:eastAsia="ja-JP"/>
        </w:rPr>
        <w:t>stimate</w:t>
      </w:r>
      <w:r w:rsidRPr="002221B5">
        <w:rPr>
          <w:rFonts w:ascii="Arial" w:eastAsia="DengXian" w:hAnsi="Arial" w:cs="Arial"/>
          <w:sz w:val="22"/>
          <w:szCs w:val="22"/>
          <w:lang w:eastAsia="ja-JP"/>
        </w:rPr>
        <w:t xml:space="preserve"> and providing a copy of its financial assurance instrument </w:t>
      </w:r>
      <w:r w:rsidR="003440B7">
        <w:rPr>
          <w:rFonts w:ascii="Arial" w:eastAsia="DengXian" w:hAnsi="Arial" w:cs="Arial"/>
          <w:sz w:val="22"/>
          <w:szCs w:val="22"/>
          <w:lang w:eastAsia="ja-JP"/>
        </w:rPr>
        <w:t>two</w:t>
      </w:r>
      <w:r w:rsidRPr="002221B5">
        <w:rPr>
          <w:rFonts w:ascii="Arial" w:eastAsia="DengXian" w:hAnsi="Arial" w:cs="Arial"/>
          <w:sz w:val="22"/>
          <w:szCs w:val="22"/>
          <w:lang w:eastAsia="ja-JP"/>
        </w:rPr>
        <w:t xml:space="preserve"> years and </w:t>
      </w:r>
      <w:r w:rsidR="003440B7">
        <w:rPr>
          <w:rFonts w:ascii="Arial" w:eastAsia="DengXian" w:hAnsi="Arial" w:cs="Arial"/>
          <w:sz w:val="22"/>
          <w:szCs w:val="22"/>
          <w:lang w:eastAsia="ja-JP"/>
        </w:rPr>
        <w:t>one</w:t>
      </w:r>
      <w:r w:rsidRPr="002221B5">
        <w:rPr>
          <w:rFonts w:ascii="Arial" w:eastAsia="DengXian" w:hAnsi="Arial" w:cs="Arial"/>
          <w:sz w:val="22"/>
          <w:szCs w:val="22"/>
          <w:lang w:eastAsia="ja-JP"/>
        </w:rPr>
        <w:t xml:space="preserve"> year before the date for initiating physical removal of the physical mechanisms to prevent criticality</w:t>
      </w:r>
      <w:r w:rsidRPr="002221B5" w:rsidR="00787061">
        <w:rPr>
          <w:rFonts w:ascii="Arial" w:eastAsia="DengXian" w:hAnsi="Arial" w:cs="Arial"/>
          <w:sz w:val="22"/>
          <w:szCs w:val="22"/>
          <w:lang w:eastAsia="ja-JP"/>
        </w:rPr>
        <w:t xml:space="preserve">. </w:t>
      </w:r>
      <w:r w:rsidRPr="002221B5" w:rsidR="00AB3AC6">
        <w:rPr>
          <w:rFonts w:ascii="Arial" w:eastAsia="DengXian" w:hAnsi="Arial" w:cs="Arial"/>
          <w:sz w:val="22"/>
          <w:szCs w:val="22"/>
          <w:lang w:eastAsia="ja-JP"/>
        </w:rPr>
        <w:t>T</w:t>
      </w:r>
      <w:r w:rsidRPr="002221B5" w:rsidR="00787061">
        <w:rPr>
          <w:rFonts w:ascii="Arial" w:eastAsia="DengXian" w:hAnsi="Arial" w:cs="Arial"/>
          <w:sz w:val="22"/>
          <w:szCs w:val="22"/>
          <w:lang w:eastAsia="ja-JP"/>
        </w:rPr>
        <w:t xml:space="preserve">he commenter stated </w:t>
      </w:r>
      <w:r w:rsidRPr="002221B5" w:rsidR="00836E59">
        <w:rPr>
          <w:rFonts w:ascii="Arial" w:eastAsia="DengXian" w:hAnsi="Arial" w:cs="Arial"/>
          <w:sz w:val="22"/>
          <w:szCs w:val="22"/>
          <w:lang w:eastAsia="ja-JP"/>
        </w:rPr>
        <w:t>that this</w:t>
      </w:r>
      <w:r w:rsidRPr="002221B5">
        <w:rPr>
          <w:rFonts w:ascii="Arial" w:eastAsia="DengXian" w:hAnsi="Arial" w:cs="Arial"/>
          <w:sz w:val="22"/>
          <w:szCs w:val="22"/>
          <w:lang w:eastAsia="ja-JP"/>
        </w:rPr>
        <w:t xml:space="preserve"> may not be practical considering the sequence in which manufactured reactors will be produced by manufacturers, purchased by a COL holder, and then deployed to a site, potentially in a brief time from the date of purchase (</w:t>
      </w:r>
      <w:r w:rsidR="009D6BB9">
        <w:rPr>
          <w:rFonts w:ascii="Arial" w:eastAsia="DengXian" w:hAnsi="Arial" w:cs="Arial"/>
          <w:sz w:val="22"/>
          <w:szCs w:val="22"/>
          <w:lang w:eastAsia="ja-JP"/>
        </w:rPr>
        <w:t>NEI2</w:t>
      </w:r>
      <w:r w:rsidRPr="002221B5">
        <w:rPr>
          <w:rFonts w:ascii="Arial" w:eastAsia="DengXian" w:hAnsi="Arial" w:cs="Arial"/>
          <w:sz w:val="22"/>
          <w:szCs w:val="22"/>
          <w:lang w:eastAsia="ja-JP"/>
        </w:rPr>
        <w:t>-0206).</w:t>
      </w:r>
    </w:p>
    <w:p w:rsidR="007567D6" w:rsidRPr="002221B5" w:rsidP="002221B5" w14:paraId="0D20601F" w14:textId="77777777">
      <w:pPr>
        <w:spacing w:after="220"/>
        <w:rPr>
          <w:rFonts w:ascii="Arial" w:eastAsia="DengXian" w:hAnsi="Arial" w:cs="Arial"/>
          <w:sz w:val="22"/>
          <w:szCs w:val="22"/>
          <w:lang w:eastAsia="ja-JP"/>
        </w:rPr>
      </w:pPr>
      <w:r w:rsidRPr="002221B5">
        <w:rPr>
          <w:rFonts w:ascii="Arial" w:eastAsia="DengXian" w:hAnsi="Arial" w:cs="Arial"/>
          <w:b/>
          <w:sz w:val="22"/>
          <w:szCs w:val="22"/>
          <w:lang w:eastAsia="ja-JP"/>
        </w:rPr>
        <w:t>NRC Response:</w:t>
      </w:r>
      <w:r w:rsidRPr="002221B5">
        <w:rPr>
          <w:rFonts w:ascii="Arial" w:eastAsia="DengXian" w:hAnsi="Arial" w:cs="Arial"/>
          <w:sz w:val="22"/>
          <w:szCs w:val="22"/>
          <w:lang w:eastAsia="ja-JP"/>
        </w:rPr>
        <w:t xml:space="preserve"> The NRC agrees</w:t>
      </w:r>
      <w:r w:rsidRPr="002221B5" w:rsidR="00795D6C">
        <w:rPr>
          <w:rFonts w:ascii="Arial" w:eastAsia="DengXian" w:hAnsi="Arial" w:cs="Arial"/>
          <w:sz w:val="22"/>
          <w:szCs w:val="22"/>
          <w:lang w:eastAsia="ja-JP"/>
        </w:rPr>
        <w:t>,</w:t>
      </w:r>
      <w:r w:rsidRPr="002221B5">
        <w:rPr>
          <w:rFonts w:ascii="Arial" w:eastAsia="DengXian" w:hAnsi="Arial" w:cs="Arial"/>
          <w:sz w:val="22"/>
          <w:szCs w:val="22"/>
          <w:lang w:eastAsia="ja-JP"/>
        </w:rPr>
        <w:t xml:space="preserve"> in part</w:t>
      </w:r>
      <w:r w:rsidRPr="002221B5" w:rsidR="00795D6C">
        <w:rPr>
          <w:rFonts w:ascii="Arial" w:eastAsia="DengXian" w:hAnsi="Arial" w:cs="Arial"/>
          <w:sz w:val="22"/>
          <w:szCs w:val="22"/>
          <w:lang w:eastAsia="ja-JP"/>
        </w:rPr>
        <w:t>,</w:t>
      </w:r>
      <w:r w:rsidRPr="002221B5">
        <w:rPr>
          <w:rFonts w:ascii="Arial" w:eastAsia="DengXian" w:hAnsi="Arial" w:cs="Arial"/>
          <w:sz w:val="22"/>
          <w:szCs w:val="22"/>
          <w:lang w:eastAsia="ja-JP"/>
        </w:rPr>
        <w:t xml:space="preserve"> with the comments.</w:t>
      </w:r>
    </w:p>
    <w:p w:rsidR="007F112A" w:rsidRPr="002221B5" w:rsidP="002221B5" w14:paraId="2E1433B8"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The NRC acknowledges the commenters’ concerns that some of the timelines in the proposed rule may not be practical for certain business models for manufactured reactors</w:t>
      </w:r>
      <w:r w:rsidRPr="002221B5" w:rsidR="006308BA">
        <w:rPr>
          <w:rFonts w:ascii="Arial" w:eastAsia="DengXian" w:hAnsi="Arial" w:cs="Arial"/>
          <w:sz w:val="22"/>
          <w:szCs w:val="22"/>
          <w:lang w:eastAsia="ja-JP"/>
        </w:rPr>
        <w:t xml:space="preserve">, </w:t>
      </w:r>
      <w:r w:rsidRPr="002221B5" w:rsidR="00DF5364">
        <w:rPr>
          <w:rFonts w:ascii="Arial" w:eastAsia="DengXian" w:hAnsi="Arial" w:cs="Arial"/>
          <w:sz w:val="22"/>
          <w:szCs w:val="22"/>
          <w:lang w:eastAsia="ja-JP"/>
        </w:rPr>
        <w:t xml:space="preserve">which the NRC interprets to include </w:t>
      </w:r>
      <w:r w:rsidRPr="002221B5" w:rsidR="00186392">
        <w:rPr>
          <w:rFonts w:ascii="Arial" w:eastAsia="DengXian" w:hAnsi="Arial" w:cs="Arial"/>
          <w:sz w:val="22"/>
          <w:szCs w:val="22"/>
          <w:lang w:eastAsia="ja-JP"/>
        </w:rPr>
        <w:t>microreactors</w:t>
      </w:r>
      <w:r w:rsidRPr="002221B5">
        <w:rPr>
          <w:rFonts w:ascii="Arial" w:eastAsia="DengXian" w:hAnsi="Arial" w:cs="Arial"/>
          <w:sz w:val="22"/>
          <w:szCs w:val="22"/>
          <w:lang w:eastAsia="ja-JP"/>
        </w:rPr>
        <w:t>. A key objective of the 10 CFR Part 53 rulemaking was to develop a technology-inclusive alternative to the existing licensing processes in 10</w:t>
      </w:r>
      <w:r w:rsidRPr="002221B5" w:rsidR="00186392">
        <w:rPr>
          <w:rFonts w:ascii="Arial" w:eastAsia="DengXian" w:hAnsi="Arial" w:cs="Arial"/>
          <w:sz w:val="22"/>
          <w:szCs w:val="22"/>
          <w:lang w:eastAsia="ja-JP"/>
        </w:rPr>
        <w:t> </w:t>
      </w:r>
      <w:r w:rsidRPr="002221B5">
        <w:rPr>
          <w:rFonts w:ascii="Arial" w:eastAsia="DengXian" w:hAnsi="Arial" w:cs="Arial"/>
          <w:sz w:val="22"/>
          <w:szCs w:val="22"/>
          <w:lang w:eastAsia="ja-JP"/>
        </w:rPr>
        <w:t>CFR</w:t>
      </w:r>
      <w:r w:rsidR="00000F53">
        <w:rPr>
          <w:rFonts w:ascii="Arial" w:eastAsia="DengXian" w:hAnsi="Arial" w:cs="Arial"/>
          <w:sz w:val="22"/>
          <w:szCs w:val="22"/>
          <w:lang w:eastAsia="ja-JP"/>
        </w:rPr>
        <w:t> </w:t>
      </w:r>
      <w:r w:rsidRPr="002221B5">
        <w:rPr>
          <w:rFonts w:ascii="Arial" w:eastAsia="DengXian" w:hAnsi="Arial" w:cs="Arial"/>
          <w:sz w:val="22"/>
          <w:szCs w:val="22"/>
          <w:lang w:eastAsia="ja-JP"/>
        </w:rPr>
        <w:t>Parts</w:t>
      </w:r>
      <w:r w:rsidR="00000F53">
        <w:rPr>
          <w:rFonts w:ascii="Arial" w:eastAsia="DengXian" w:hAnsi="Arial" w:cs="Arial"/>
          <w:sz w:val="22"/>
          <w:szCs w:val="22"/>
          <w:lang w:eastAsia="ja-JP"/>
        </w:rPr>
        <w:t> </w:t>
      </w:r>
      <w:r w:rsidRPr="002221B5">
        <w:rPr>
          <w:rFonts w:ascii="Arial" w:eastAsia="DengXian" w:hAnsi="Arial" w:cs="Arial"/>
          <w:sz w:val="22"/>
          <w:szCs w:val="22"/>
          <w:lang w:eastAsia="ja-JP"/>
        </w:rPr>
        <w:t xml:space="preserve">50 and 52. However, the NRC acknowledges that the final rule may not completely address every regulatory issue for every potential future advanced reactor. To address issues such as those raised in the comments, the NRC has initiated development of an additional rulemaking to expedite licensing of qualified microreactors and other potentially low risk, low consequence reactors, consistent with the ADVANCE Act and EOs issued in 2025. This activity, along with other NRC guidance development activities, </w:t>
      </w:r>
      <w:r w:rsidR="00B70731">
        <w:rPr>
          <w:rFonts w:ascii="Arial" w:eastAsia="DengXian" w:hAnsi="Arial" w:cs="Arial"/>
          <w:sz w:val="22"/>
          <w:szCs w:val="22"/>
          <w:lang w:eastAsia="ja-JP"/>
        </w:rPr>
        <w:t>is</w:t>
      </w:r>
      <w:r w:rsidRPr="002221B5">
        <w:rPr>
          <w:rFonts w:ascii="Arial" w:eastAsia="DengXian" w:hAnsi="Arial" w:cs="Arial"/>
          <w:sz w:val="22"/>
          <w:szCs w:val="22"/>
          <w:lang w:eastAsia="ja-JP"/>
        </w:rPr>
        <w:t xml:space="preserve"> intended to address questions such as those raised by the comments.</w:t>
      </w:r>
    </w:p>
    <w:p w:rsidR="00AB3AC6" w:rsidRPr="002221B5" w:rsidP="002221B5" w14:paraId="5810E4FF"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 xml:space="preserve">The NRC agrees in part that allowing transferability between 10 CFR Part 50 or 10 CFR Part 52 and 10 CFR Part 53 licenses would streamline regulatory processes. The NRC agrees that licensing basis information should be transferable when appropriate, </w:t>
      </w:r>
      <w:r w:rsidRPr="002221B5" w:rsidR="00A2775C">
        <w:rPr>
          <w:rFonts w:ascii="Arial" w:eastAsia="DengXian" w:hAnsi="Arial" w:cs="Arial"/>
          <w:sz w:val="22"/>
          <w:szCs w:val="22"/>
          <w:lang w:eastAsia="ja-JP"/>
        </w:rPr>
        <w:t xml:space="preserve">however, </w:t>
      </w:r>
      <w:r w:rsidRPr="002221B5">
        <w:rPr>
          <w:rFonts w:ascii="Arial" w:eastAsia="DengXian" w:hAnsi="Arial" w:cs="Arial"/>
          <w:sz w:val="22"/>
          <w:szCs w:val="22"/>
          <w:lang w:eastAsia="ja-JP"/>
        </w:rPr>
        <w:t>the NRC disagrees that it should codify a process for “cross-part” licensing between 10 CFR Parts 50, 52, and 53. See the response to Comment</w:t>
      </w:r>
      <w:r w:rsidRPr="002221B5" w:rsidR="00814BAA">
        <w:rPr>
          <w:rFonts w:ascii="Arial" w:eastAsia="DengXian" w:hAnsi="Arial" w:cs="Arial"/>
          <w:sz w:val="22"/>
          <w:szCs w:val="22"/>
          <w:lang w:eastAsia="ja-JP"/>
        </w:rPr>
        <w:t xml:space="preserve"> Bin</w:t>
      </w:r>
      <w:r w:rsidRPr="002221B5">
        <w:rPr>
          <w:rFonts w:ascii="Arial" w:eastAsia="DengXian" w:hAnsi="Arial" w:cs="Arial"/>
          <w:sz w:val="22"/>
          <w:szCs w:val="22"/>
          <w:lang w:eastAsia="ja-JP"/>
        </w:rPr>
        <w:t xml:space="preserve"> 3.8.1</w:t>
      </w:r>
      <w:r w:rsidRPr="002221B5" w:rsidR="00814BAA">
        <w:rPr>
          <w:rFonts w:ascii="Arial" w:eastAsia="DengXian" w:hAnsi="Arial" w:cs="Arial"/>
          <w:sz w:val="22"/>
          <w:szCs w:val="22"/>
          <w:lang w:eastAsia="ja-JP"/>
        </w:rPr>
        <w:t>.A</w:t>
      </w:r>
      <w:r w:rsidRPr="002221B5">
        <w:rPr>
          <w:rFonts w:ascii="Arial" w:eastAsia="DengXian" w:hAnsi="Arial" w:cs="Arial"/>
          <w:sz w:val="22"/>
          <w:szCs w:val="22"/>
          <w:lang w:eastAsia="ja-JP"/>
        </w:rPr>
        <w:t xml:space="preserve"> on cross-part licensing.</w:t>
      </w:r>
    </w:p>
    <w:p w:rsidR="007F112A" w:rsidRPr="002221B5" w:rsidP="002221B5" w14:paraId="1B2DEB99"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 xml:space="preserve">Accordingly, </w:t>
      </w:r>
      <w:r w:rsidRPr="002221B5" w:rsidR="00AB3AC6">
        <w:rPr>
          <w:rFonts w:ascii="Arial" w:eastAsia="DengXian" w:hAnsi="Arial" w:cs="Arial"/>
          <w:sz w:val="22"/>
          <w:szCs w:val="22"/>
          <w:lang w:eastAsia="ja-JP"/>
        </w:rPr>
        <w:t xml:space="preserve">the NRC did </w:t>
      </w:r>
      <w:r w:rsidRPr="002221B5">
        <w:rPr>
          <w:rFonts w:ascii="Arial" w:eastAsia="DengXian" w:hAnsi="Arial" w:cs="Arial"/>
          <w:sz w:val="22"/>
          <w:szCs w:val="22"/>
          <w:lang w:eastAsia="ja-JP"/>
        </w:rPr>
        <w:t>no</w:t>
      </w:r>
      <w:r w:rsidRPr="002221B5" w:rsidR="00AB3AC6">
        <w:rPr>
          <w:rFonts w:ascii="Arial" w:eastAsia="DengXian" w:hAnsi="Arial" w:cs="Arial"/>
          <w:sz w:val="22"/>
          <w:szCs w:val="22"/>
          <w:lang w:eastAsia="ja-JP"/>
        </w:rPr>
        <w:t>t</w:t>
      </w:r>
      <w:r w:rsidRPr="002221B5">
        <w:rPr>
          <w:rFonts w:ascii="Arial" w:eastAsia="DengXian" w:hAnsi="Arial" w:cs="Arial"/>
          <w:sz w:val="22"/>
          <w:szCs w:val="22"/>
          <w:lang w:eastAsia="ja-JP"/>
        </w:rPr>
        <w:t xml:space="preserve"> change the rule </w:t>
      </w:r>
      <w:r w:rsidRPr="002221B5" w:rsidR="00AB3AC6">
        <w:rPr>
          <w:rFonts w:ascii="Arial" w:eastAsia="DengXian" w:hAnsi="Arial" w:cs="Arial"/>
          <w:sz w:val="22"/>
          <w:szCs w:val="22"/>
          <w:lang w:eastAsia="ja-JP"/>
        </w:rPr>
        <w:t>language in response to</w:t>
      </w:r>
      <w:r w:rsidRPr="002221B5">
        <w:rPr>
          <w:rFonts w:ascii="Arial" w:eastAsia="DengXian" w:hAnsi="Arial" w:cs="Arial"/>
          <w:sz w:val="22"/>
          <w:szCs w:val="22"/>
          <w:lang w:eastAsia="ja-JP"/>
        </w:rPr>
        <w:t xml:space="preserve"> these comments.</w:t>
      </w:r>
    </w:p>
    <w:p w:rsidR="007F112A" w:rsidRPr="002221B5" w:rsidP="002221B5" w14:paraId="4BB401B5"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33" style="width:0;height:1.5pt" o:hralign="center" o:hrstd="t" o:hrnoshade="t" o:hr="t" fillcolor="black" stroked="f"/>
        </w:pict>
      </w:r>
    </w:p>
    <w:p w:rsidR="007F112A" w:rsidRPr="002221B5" w:rsidP="002221B5" w14:paraId="53B24E46" w14:textId="77777777">
      <w:pPr>
        <w:spacing w:after="220"/>
        <w:rPr>
          <w:rFonts w:ascii="Arial" w:eastAsia="DengXian" w:hAnsi="Arial" w:cs="Arial"/>
          <w:sz w:val="22"/>
          <w:szCs w:val="22"/>
          <w:lang w:eastAsia="ja-JP"/>
        </w:rPr>
      </w:pPr>
      <w:r w:rsidRPr="002221B5">
        <w:rPr>
          <w:rFonts w:ascii="Arial" w:eastAsia="Times New Roman" w:hAnsi="Arial" w:cs="Arial"/>
          <w:b/>
          <w:color w:val="000000"/>
          <w:sz w:val="22"/>
          <w:szCs w:val="22"/>
          <w:lang w:eastAsia="zh-CN"/>
        </w:rPr>
        <w:t>Comment Bin 3.7.3.B:</w:t>
      </w:r>
      <w:r w:rsidRPr="002221B5">
        <w:rPr>
          <w:rFonts w:ascii="Arial" w:eastAsia="Times New Roman" w:hAnsi="Arial" w:cs="Arial"/>
          <w:color w:val="000000"/>
          <w:sz w:val="22"/>
          <w:szCs w:val="22"/>
          <w:lang w:eastAsia="zh-CN"/>
        </w:rPr>
        <w:t xml:space="preserve"> </w:t>
      </w:r>
      <w:r w:rsidRPr="002221B5">
        <w:rPr>
          <w:rFonts w:ascii="Arial" w:eastAsia="DengXian" w:hAnsi="Arial" w:cs="Arial"/>
          <w:sz w:val="22"/>
          <w:szCs w:val="22"/>
          <w:lang w:eastAsia="ja-JP"/>
        </w:rPr>
        <w:t xml:space="preserve">A commenter discussed that proposed 10 CFR Part 53 provides an adaptable framework for financial assurance, including decommissioning funds and liability insurance, which could allow for tailored financial assurance approaches for advanced reactor designs while ensuring adequate decommissioning funds. However, in consideration of the enhanced safety margins provided by advanced reactors, the commenter requested that the NRC revisit the liability limits established under the Price-Anderson Act and the NRC’s implementing regulations at 10 CFR Part 140. The commenter discussed that overall liability protection provided by the Price-Anderson framework may not be necessary for advanced reactor facilities, as enhanced safety margins could translate into lower insurance premiums for owner-licensees, increased private insurance coverage for owner-licensees, and decreased costs to taxpayers for insurance support while incentivizing increased safety. The commenter </w:t>
      </w:r>
      <w:r w:rsidRPr="002221B5">
        <w:rPr>
          <w:rFonts w:ascii="Arial" w:eastAsia="DengXian" w:hAnsi="Arial" w:cs="Arial"/>
          <w:sz w:val="22"/>
          <w:szCs w:val="22"/>
          <w:lang w:eastAsia="ja-JP"/>
        </w:rPr>
        <w:t>additionally recommended that the NRC ensure owners establish sufficient funds for spent fuel management and storage, as well as adequate resources for decommissioning to avoid adverse consequences to vulnerable host communities (</w:t>
      </w:r>
      <w:r w:rsidR="00E36F7E">
        <w:rPr>
          <w:rFonts w:ascii="Arial" w:eastAsia="DengXian" w:hAnsi="Arial" w:cs="Arial"/>
          <w:sz w:val="22"/>
          <w:szCs w:val="22"/>
          <w:lang w:eastAsia="ja-JP"/>
        </w:rPr>
        <w:t>NYS2</w:t>
      </w:r>
      <w:r w:rsidRPr="002221B5">
        <w:rPr>
          <w:rFonts w:ascii="Arial" w:eastAsia="DengXian" w:hAnsi="Arial" w:cs="Arial"/>
          <w:sz w:val="22"/>
          <w:szCs w:val="22"/>
          <w:lang w:eastAsia="ja-JP"/>
        </w:rPr>
        <w:t>-0011).</w:t>
      </w:r>
    </w:p>
    <w:p w:rsidR="00834316" w:rsidRPr="002221B5" w:rsidP="002221B5" w14:paraId="7A71C53E" w14:textId="77777777">
      <w:pPr>
        <w:spacing w:after="220"/>
        <w:rPr>
          <w:rFonts w:ascii="Arial" w:eastAsia="DengXian" w:hAnsi="Arial" w:cs="Arial"/>
          <w:sz w:val="22"/>
          <w:szCs w:val="22"/>
          <w:lang w:eastAsia="ja-JP"/>
        </w:rPr>
      </w:pPr>
      <w:r w:rsidRPr="002221B5">
        <w:rPr>
          <w:rFonts w:ascii="Arial" w:eastAsia="DengXian" w:hAnsi="Arial" w:cs="Arial"/>
          <w:b/>
          <w:sz w:val="22"/>
          <w:szCs w:val="22"/>
          <w:lang w:eastAsia="ja-JP"/>
        </w:rPr>
        <w:t>NRC Response:</w:t>
      </w:r>
      <w:r w:rsidRPr="002221B5">
        <w:rPr>
          <w:rFonts w:ascii="Arial" w:eastAsia="DengXian" w:hAnsi="Arial" w:cs="Arial"/>
          <w:sz w:val="22"/>
          <w:szCs w:val="22"/>
          <w:lang w:eastAsia="ja-JP"/>
        </w:rPr>
        <w:t xml:space="preserve"> The NRC agrees, in part, with the comment.</w:t>
      </w:r>
    </w:p>
    <w:p w:rsidR="00A83849" w:rsidRPr="002221B5" w:rsidP="002221B5" w14:paraId="79A8D85A"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The NRC agrees that</w:t>
      </w:r>
      <w:r w:rsidRPr="002221B5" w:rsidR="004166A7">
        <w:rPr>
          <w:rFonts w:ascii="Arial" w:eastAsia="DengXian" w:hAnsi="Arial" w:cs="Arial"/>
          <w:sz w:val="22"/>
          <w:szCs w:val="22"/>
          <w:lang w:eastAsia="ja-JP"/>
        </w:rPr>
        <w:t xml:space="preserve"> 10 CFR Part 53 provides an adaptable framework for financial assurance</w:t>
      </w:r>
      <w:r w:rsidRPr="002221B5" w:rsidR="001051C1">
        <w:rPr>
          <w:rFonts w:ascii="Arial" w:eastAsia="DengXian" w:hAnsi="Arial" w:cs="Arial"/>
          <w:sz w:val="22"/>
          <w:szCs w:val="22"/>
          <w:lang w:eastAsia="ja-JP"/>
        </w:rPr>
        <w:t>.</w:t>
      </w:r>
      <w:r w:rsidRPr="002221B5" w:rsidR="007F112A">
        <w:rPr>
          <w:rFonts w:ascii="Arial" w:eastAsia="DengXian" w:hAnsi="Arial" w:cs="Arial"/>
          <w:sz w:val="22"/>
          <w:szCs w:val="22"/>
          <w:lang w:eastAsia="ja-JP"/>
        </w:rPr>
        <w:t xml:space="preserve"> Regarding requirements for financial protection under the Price-Anderson Act and NRC regulations in 10 CFR Part 140, the NRC considers such suggestions to be beyond the scope of this rulemaking. Regarding ensuring </w:t>
      </w:r>
      <w:r w:rsidRPr="002221B5" w:rsidR="00714B7C">
        <w:rPr>
          <w:rFonts w:ascii="Arial" w:eastAsia="DengXian" w:hAnsi="Arial" w:cs="Arial"/>
          <w:sz w:val="22"/>
          <w:szCs w:val="22"/>
          <w:lang w:eastAsia="ja-JP"/>
        </w:rPr>
        <w:t xml:space="preserve">that </w:t>
      </w:r>
      <w:r w:rsidRPr="002221B5" w:rsidR="007F112A">
        <w:rPr>
          <w:rFonts w:ascii="Arial" w:eastAsia="DengXian" w:hAnsi="Arial" w:cs="Arial"/>
          <w:sz w:val="22"/>
          <w:szCs w:val="22"/>
          <w:lang w:eastAsia="ja-JP"/>
        </w:rPr>
        <w:t>sufficient funds are available for spent fuel management and storage, such requirements exist in 10 CFR Part 53 (see</w:t>
      </w:r>
      <w:r w:rsidRPr="002221B5" w:rsidR="000D1811">
        <w:rPr>
          <w:rFonts w:ascii="Arial" w:eastAsia="DengXian" w:hAnsi="Arial" w:cs="Arial"/>
          <w:sz w:val="22"/>
          <w:szCs w:val="22"/>
          <w:lang w:eastAsia="ja-JP"/>
        </w:rPr>
        <w:t>,</w:t>
      </w:r>
      <w:r w:rsidRPr="002221B5" w:rsidR="007F112A">
        <w:rPr>
          <w:rFonts w:ascii="Arial" w:eastAsia="DengXian" w:hAnsi="Arial" w:cs="Arial"/>
          <w:sz w:val="22"/>
          <w:szCs w:val="22"/>
          <w:lang w:eastAsia="ja-JP"/>
        </w:rPr>
        <w:t xml:space="preserve"> for example</w:t>
      </w:r>
      <w:r w:rsidRPr="002221B5" w:rsidR="000D1811">
        <w:rPr>
          <w:rFonts w:ascii="Arial" w:eastAsia="DengXian" w:hAnsi="Arial" w:cs="Arial"/>
          <w:sz w:val="22"/>
          <w:szCs w:val="22"/>
          <w:lang w:eastAsia="ja-JP"/>
        </w:rPr>
        <w:t>,</w:t>
      </w:r>
      <w:r w:rsidRPr="002221B5" w:rsidR="007F112A">
        <w:rPr>
          <w:rFonts w:ascii="Arial" w:eastAsia="DengXian" w:hAnsi="Arial" w:cs="Arial"/>
          <w:sz w:val="22"/>
          <w:szCs w:val="22"/>
          <w:lang w:eastAsia="ja-JP"/>
        </w:rPr>
        <w:t xml:space="preserve"> 10</w:t>
      </w:r>
      <w:r w:rsidRPr="002221B5" w:rsidR="00FD716D">
        <w:rPr>
          <w:rFonts w:ascii="Arial" w:eastAsia="DengXian" w:hAnsi="Arial" w:cs="Arial"/>
          <w:sz w:val="22"/>
          <w:szCs w:val="22"/>
          <w:lang w:eastAsia="ja-JP"/>
        </w:rPr>
        <w:t> </w:t>
      </w:r>
      <w:r w:rsidRPr="002221B5" w:rsidR="007F112A">
        <w:rPr>
          <w:rFonts w:ascii="Arial" w:eastAsia="DengXian" w:hAnsi="Arial" w:cs="Arial"/>
          <w:sz w:val="22"/>
          <w:szCs w:val="22"/>
          <w:lang w:eastAsia="ja-JP"/>
        </w:rPr>
        <w:t>CFR 53.1405 on continuation of requirements for an operating license).</w:t>
      </w:r>
    </w:p>
    <w:p w:rsidR="007F112A" w:rsidP="002221B5" w14:paraId="5D80E636" w14:textId="77777777">
      <w:pPr>
        <w:spacing w:after="220"/>
        <w:rPr>
          <w:rFonts w:ascii="Arial" w:eastAsia="DengXian" w:hAnsi="Arial" w:cs="Arial"/>
          <w:sz w:val="22"/>
          <w:szCs w:val="22"/>
          <w:lang w:eastAsia="ja-JP"/>
        </w:rPr>
      </w:pPr>
      <w:r w:rsidRPr="002221B5">
        <w:rPr>
          <w:rFonts w:ascii="Arial" w:eastAsia="DengXian" w:hAnsi="Arial" w:cs="Arial"/>
          <w:sz w:val="22"/>
          <w:szCs w:val="22"/>
          <w:lang w:eastAsia="ja-JP"/>
        </w:rPr>
        <w:t xml:space="preserve">Accordingly, the NRC did not </w:t>
      </w:r>
      <w:r w:rsidRPr="002221B5" w:rsidR="00A83849">
        <w:rPr>
          <w:rFonts w:ascii="Arial" w:eastAsia="DengXian" w:hAnsi="Arial" w:cs="Arial"/>
          <w:sz w:val="22"/>
          <w:szCs w:val="22"/>
          <w:lang w:eastAsia="ja-JP"/>
        </w:rPr>
        <w:t>change</w:t>
      </w:r>
      <w:r w:rsidRPr="002221B5">
        <w:rPr>
          <w:rFonts w:ascii="Arial" w:eastAsia="DengXian" w:hAnsi="Arial" w:cs="Arial"/>
          <w:sz w:val="22"/>
          <w:szCs w:val="22"/>
          <w:lang w:eastAsia="ja-JP"/>
        </w:rPr>
        <w:t xml:space="preserve"> the rule language in response to th</w:t>
      </w:r>
      <w:r w:rsidRPr="002221B5" w:rsidR="00857451">
        <w:rPr>
          <w:rFonts w:ascii="Arial" w:eastAsia="DengXian" w:hAnsi="Arial" w:cs="Arial"/>
          <w:sz w:val="22"/>
          <w:szCs w:val="22"/>
          <w:lang w:eastAsia="ja-JP"/>
        </w:rPr>
        <w:t>is</w:t>
      </w:r>
      <w:r w:rsidRPr="002221B5">
        <w:rPr>
          <w:rFonts w:ascii="Arial" w:eastAsia="DengXian" w:hAnsi="Arial" w:cs="Arial"/>
          <w:sz w:val="22"/>
          <w:szCs w:val="22"/>
          <w:lang w:eastAsia="ja-JP"/>
        </w:rPr>
        <w:t xml:space="preserve"> comment.</w:t>
      </w:r>
    </w:p>
    <w:p w:rsidR="007F112A" w:rsidRPr="002221B5" w:rsidP="002221B5" w14:paraId="350C86A6"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234" style="width:0;height:1.5pt" o:hralign="center" o:hrstd="t" o:hrnoshade="t" o:hr="t" fillcolor="black" stroked="f"/>
        </w:pict>
      </w:r>
    </w:p>
    <w:p w:rsidR="00831C05" w:rsidRPr="00000F53" w:rsidP="00CF016E" w14:paraId="3C9670C3" w14:textId="77777777">
      <w:pPr>
        <w:pStyle w:val="Heading2"/>
        <w:keepNext/>
        <w:keepLines/>
        <w:numPr>
          <w:ilvl w:val="0"/>
          <w:numId w:val="0"/>
        </w:numPr>
        <w:ind w:left="720" w:hanging="720"/>
      </w:pPr>
      <w:bookmarkStart w:id="78" w:name="_Toc194467905"/>
      <w:bookmarkStart w:id="79" w:name="_Toc194678421"/>
      <w:bookmarkStart w:id="80" w:name="_Toc207222828"/>
      <w:r w:rsidRPr="00051A4B">
        <w:rPr>
          <w:u w:val="none"/>
        </w:rPr>
        <w:t>3.8.</w:t>
      </w:r>
      <w:r w:rsidRPr="00051A4B">
        <w:rPr>
          <w:u w:val="none"/>
        </w:rPr>
        <w:tab/>
      </w:r>
      <w:r w:rsidRPr="00DA0A3C" w:rsidR="007F112A">
        <w:t>Subpart H: Licenses, Certifications, and Approvals (§§ 53.1100-53.1470)</w:t>
      </w:r>
      <w:bookmarkStart w:id="81" w:name="_Toc205380029"/>
      <w:bookmarkStart w:id="82" w:name="_Toc205457657"/>
      <w:bookmarkStart w:id="83" w:name="_Toc194678422"/>
      <w:bookmarkEnd w:id="78"/>
      <w:bookmarkEnd w:id="79"/>
      <w:bookmarkEnd w:id="80"/>
      <w:bookmarkEnd w:id="81"/>
      <w:bookmarkEnd w:id="82"/>
    </w:p>
    <w:p w:rsidR="007F112A" w:rsidRPr="005E489E" w:rsidP="00051A4B" w14:paraId="7270B63D" w14:textId="77777777">
      <w:pPr>
        <w:pStyle w:val="Heading3"/>
        <w:numPr>
          <w:ilvl w:val="0"/>
          <w:numId w:val="0"/>
        </w:numPr>
        <w:ind w:left="720" w:hanging="720"/>
        <w:rPr>
          <w:rFonts w:eastAsia="Times New Roman"/>
          <w:b/>
        </w:rPr>
      </w:pPr>
      <w:bookmarkStart w:id="84" w:name="_Toc207222829"/>
      <w:r w:rsidRPr="00051A4B">
        <w:rPr>
          <w:u w:val="none"/>
        </w:rPr>
        <w:t>3.8.1.</w:t>
      </w:r>
      <w:r w:rsidRPr="00051A4B">
        <w:rPr>
          <w:u w:val="none"/>
        </w:rPr>
        <w:tab/>
      </w:r>
      <w:r w:rsidRPr="00DA0A3C">
        <w:t>Comments on licenses, certifications, and approvals under Subpart H (e.g., contents of applications for ESP, SDA, SDC, ML, CP, OL, and COL; limited work authorizations)</w:t>
      </w:r>
      <w:bookmarkEnd w:id="83"/>
      <w:bookmarkEnd w:id="84"/>
    </w:p>
    <w:p w:rsidR="007F112A" w:rsidRPr="002221B5" w:rsidP="002221B5" w14:paraId="690C3459" w14:textId="77777777">
      <w:pPr>
        <w:spacing w:after="220"/>
        <w:rPr>
          <w:rFonts w:ascii="Arial" w:hAnsi="Arial" w:cs="Arial"/>
          <w:sz w:val="22"/>
          <w:szCs w:val="22"/>
        </w:rPr>
      </w:pPr>
      <w:r w:rsidRPr="002221B5">
        <w:rPr>
          <w:rFonts w:ascii="Arial" w:hAnsi="Arial" w:cs="Arial"/>
          <w:b/>
          <w:sz w:val="22"/>
          <w:szCs w:val="22"/>
        </w:rPr>
        <w:t>Comment Bin 3.8.1.A:</w:t>
      </w:r>
      <w:r w:rsidRPr="002221B5">
        <w:rPr>
          <w:rFonts w:ascii="Arial" w:hAnsi="Arial" w:cs="Arial"/>
          <w:sz w:val="22"/>
          <w:szCs w:val="22"/>
        </w:rPr>
        <w:t xml:space="preserve"> Many commenters wrote that they supported the transferability of 10 CFR Part 50 licenses and 10 CFR Part 52 licenses to 10 CFR Part 53 as this would improve efficiency (</w:t>
      </w:r>
      <w:r w:rsidR="004C1A5D">
        <w:rPr>
          <w:rFonts w:ascii="Arial" w:hAnsi="Arial" w:cs="Arial"/>
          <w:sz w:val="22"/>
          <w:szCs w:val="22"/>
        </w:rPr>
        <w:t>BI1</w:t>
      </w:r>
      <w:r w:rsidRPr="002221B5">
        <w:rPr>
          <w:rFonts w:ascii="Arial" w:hAnsi="Arial" w:cs="Arial"/>
          <w:sz w:val="22"/>
          <w:szCs w:val="22"/>
        </w:rPr>
        <w:t xml:space="preserve">-0029, </w:t>
      </w:r>
      <w:r w:rsidR="004C1A5D">
        <w:rPr>
          <w:rFonts w:ascii="Arial" w:hAnsi="Arial" w:cs="Arial"/>
          <w:sz w:val="22"/>
          <w:szCs w:val="22"/>
        </w:rPr>
        <w:t>BI1</w:t>
      </w:r>
      <w:r w:rsidRPr="002221B5">
        <w:rPr>
          <w:rFonts w:ascii="Arial" w:hAnsi="Arial" w:cs="Arial"/>
          <w:sz w:val="22"/>
          <w:szCs w:val="22"/>
        </w:rPr>
        <w:t xml:space="preserve">-0013, </w:t>
      </w:r>
      <w:r w:rsidR="002C08EF">
        <w:rPr>
          <w:rFonts w:ascii="Arial" w:hAnsi="Arial" w:cs="Arial"/>
          <w:sz w:val="22"/>
          <w:szCs w:val="22"/>
        </w:rPr>
        <w:t>ENT</w:t>
      </w:r>
      <w:r w:rsidRPr="002221B5">
        <w:rPr>
          <w:rFonts w:ascii="Arial" w:hAnsi="Arial" w:cs="Arial"/>
          <w:sz w:val="22"/>
          <w:szCs w:val="22"/>
        </w:rPr>
        <w:t xml:space="preserve">-0003, </w:t>
      </w:r>
      <w:r w:rsidR="00B051F3">
        <w:rPr>
          <w:rFonts w:ascii="Arial" w:hAnsi="Arial" w:cs="Arial"/>
          <w:sz w:val="22"/>
          <w:szCs w:val="22"/>
        </w:rPr>
        <w:t>SHP</w:t>
      </w:r>
      <w:r w:rsidRPr="002221B5">
        <w:rPr>
          <w:rFonts w:ascii="Arial" w:hAnsi="Arial" w:cs="Arial"/>
          <w:sz w:val="22"/>
          <w:szCs w:val="22"/>
        </w:rPr>
        <w:t xml:space="preserve">-0003, </w:t>
      </w:r>
      <w:r w:rsidR="000341A7">
        <w:rPr>
          <w:rFonts w:ascii="Arial" w:hAnsi="Arial" w:cs="Arial"/>
          <w:sz w:val="22"/>
          <w:szCs w:val="22"/>
        </w:rPr>
        <w:t>NIA2</w:t>
      </w:r>
      <w:r w:rsidRPr="002221B5">
        <w:rPr>
          <w:rFonts w:ascii="Arial" w:hAnsi="Arial" w:cs="Arial"/>
          <w:sz w:val="22"/>
          <w:szCs w:val="22"/>
        </w:rPr>
        <w:t xml:space="preserve">-0005, </w:t>
      </w:r>
      <w:r w:rsidR="00343546">
        <w:rPr>
          <w:rFonts w:ascii="Arial" w:hAnsi="Arial" w:cs="Arial"/>
          <w:sz w:val="22"/>
          <w:szCs w:val="22"/>
        </w:rPr>
        <w:t>NGO</w:t>
      </w:r>
      <w:r w:rsidRPr="002221B5">
        <w:rPr>
          <w:rFonts w:ascii="Arial" w:hAnsi="Arial" w:cs="Arial"/>
          <w:sz w:val="22"/>
          <w:szCs w:val="22"/>
        </w:rPr>
        <w:t xml:space="preserve">-0004, </w:t>
      </w:r>
      <w:r w:rsidR="004427C3">
        <w:rPr>
          <w:rFonts w:ascii="Arial" w:hAnsi="Arial" w:cs="Arial"/>
          <w:sz w:val="22"/>
          <w:szCs w:val="22"/>
        </w:rPr>
        <w:t>DOM</w:t>
      </w:r>
      <w:r w:rsidRPr="002221B5">
        <w:rPr>
          <w:rFonts w:ascii="Arial" w:hAnsi="Arial" w:cs="Arial"/>
          <w:sz w:val="22"/>
          <w:szCs w:val="22"/>
        </w:rPr>
        <w:t xml:space="preserve">-0005, </w:t>
      </w:r>
      <w:r w:rsidR="006912EB">
        <w:rPr>
          <w:rFonts w:ascii="Arial" w:hAnsi="Arial" w:cs="Arial"/>
          <w:sz w:val="22"/>
          <w:szCs w:val="22"/>
        </w:rPr>
        <w:t>NEX</w:t>
      </w:r>
      <w:r w:rsidRPr="002221B5">
        <w:rPr>
          <w:rFonts w:ascii="Arial" w:hAnsi="Arial" w:cs="Arial"/>
          <w:sz w:val="22"/>
          <w:szCs w:val="22"/>
        </w:rPr>
        <w:t xml:space="preserve">-0011, </w:t>
      </w:r>
      <w:r w:rsidR="004427C3">
        <w:rPr>
          <w:rFonts w:ascii="Arial" w:hAnsi="Arial" w:cs="Arial"/>
          <w:sz w:val="22"/>
          <w:szCs w:val="22"/>
        </w:rPr>
        <w:t>DOM</w:t>
      </w:r>
      <w:r w:rsidRPr="002221B5">
        <w:rPr>
          <w:rFonts w:ascii="Arial" w:hAnsi="Arial" w:cs="Arial"/>
          <w:sz w:val="22"/>
          <w:szCs w:val="22"/>
        </w:rPr>
        <w:t xml:space="preserve">-0001, </w:t>
      </w:r>
      <w:r w:rsidR="00AE0B17">
        <w:rPr>
          <w:rFonts w:ascii="Arial" w:hAnsi="Arial" w:cs="Arial"/>
          <w:sz w:val="22"/>
          <w:szCs w:val="22"/>
        </w:rPr>
        <w:t>USNIC2</w:t>
      </w:r>
      <w:r w:rsidRPr="002221B5">
        <w:rPr>
          <w:rFonts w:ascii="Arial" w:hAnsi="Arial" w:cs="Arial"/>
          <w:sz w:val="22"/>
          <w:szCs w:val="22"/>
        </w:rPr>
        <w:t xml:space="preserve">-0015, </w:t>
      </w:r>
      <w:r w:rsidR="00E36F7E">
        <w:rPr>
          <w:rFonts w:ascii="Arial" w:hAnsi="Arial" w:cs="Arial"/>
          <w:sz w:val="22"/>
          <w:szCs w:val="22"/>
        </w:rPr>
        <w:t>ENW</w:t>
      </w:r>
      <w:r w:rsidRPr="002221B5">
        <w:rPr>
          <w:rFonts w:ascii="Arial" w:hAnsi="Arial" w:cs="Arial"/>
          <w:sz w:val="22"/>
          <w:szCs w:val="22"/>
        </w:rPr>
        <w:t xml:space="preserve">-0002, </w:t>
      </w:r>
      <w:r w:rsidR="003C29B7">
        <w:rPr>
          <w:rFonts w:ascii="Arial" w:hAnsi="Arial" w:cs="Arial"/>
          <w:sz w:val="22"/>
          <w:szCs w:val="22"/>
        </w:rPr>
        <w:t>CP</w:t>
      </w:r>
      <w:r w:rsidRPr="002221B5">
        <w:rPr>
          <w:rFonts w:ascii="Arial" w:hAnsi="Arial" w:cs="Arial"/>
          <w:sz w:val="22"/>
          <w:szCs w:val="22"/>
        </w:rPr>
        <w:t xml:space="preserve">-0009, </w:t>
      </w:r>
      <w:r w:rsidR="00D87876">
        <w:rPr>
          <w:rFonts w:ascii="Arial" w:hAnsi="Arial" w:cs="Arial"/>
          <w:sz w:val="22"/>
          <w:szCs w:val="22"/>
        </w:rPr>
        <w:t>SCWG</w:t>
      </w:r>
      <w:r w:rsidRPr="002221B5">
        <w:rPr>
          <w:rFonts w:ascii="Arial" w:hAnsi="Arial" w:cs="Arial"/>
          <w:sz w:val="22"/>
          <w:szCs w:val="22"/>
        </w:rPr>
        <w:t xml:space="preserve">-0007, </w:t>
      </w:r>
      <w:r w:rsidR="003C29B7">
        <w:rPr>
          <w:rFonts w:ascii="Arial" w:eastAsia="Times New Roman" w:hAnsi="Arial" w:cs="Arial"/>
          <w:color w:val="000000"/>
          <w:sz w:val="22"/>
          <w:szCs w:val="22"/>
          <w:lang w:eastAsia="zh-CN"/>
        </w:rPr>
        <w:t>CP</w:t>
      </w:r>
      <w:r w:rsidRPr="002221B5">
        <w:rPr>
          <w:rFonts w:ascii="Arial" w:eastAsia="Times New Roman" w:hAnsi="Arial" w:cs="Arial"/>
          <w:color w:val="000000"/>
          <w:sz w:val="22"/>
          <w:szCs w:val="22"/>
          <w:lang w:eastAsia="zh-CN"/>
        </w:rPr>
        <w:t>-0002</w:t>
      </w:r>
      <w:r w:rsidRPr="002221B5">
        <w:rPr>
          <w:rFonts w:ascii="Arial" w:hAnsi="Arial" w:cs="Arial"/>
          <w:sz w:val="22"/>
          <w:szCs w:val="22"/>
        </w:rPr>
        <w:t>). Several commenters emphasized that transferability is critical as many applicants have already begun engaging the NRC under existing frameworks (</w:t>
      </w:r>
      <w:r w:rsidR="00B051F3">
        <w:rPr>
          <w:rFonts w:ascii="Arial" w:hAnsi="Arial" w:cs="Arial"/>
          <w:sz w:val="22"/>
          <w:szCs w:val="22"/>
        </w:rPr>
        <w:t>SHP</w:t>
      </w:r>
      <w:r w:rsidRPr="002221B5">
        <w:rPr>
          <w:rFonts w:ascii="Arial" w:hAnsi="Arial" w:cs="Arial"/>
          <w:sz w:val="22"/>
          <w:szCs w:val="22"/>
        </w:rPr>
        <w:t xml:space="preserve">-0003, </w:t>
      </w:r>
      <w:r w:rsidR="000341A7">
        <w:rPr>
          <w:rFonts w:ascii="Arial" w:hAnsi="Arial" w:cs="Arial"/>
          <w:sz w:val="22"/>
          <w:szCs w:val="22"/>
        </w:rPr>
        <w:t>NIA2</w:t>
      </w:r>
      <w:r w:rsidRPr="002221B5">
        <w:rPr>
          <w:rFonts w:ascii="Arial" w:hAnsi="Arial" w:cs="Arial"/>
          <w:sz w:val="22"/>
          <w:szCs w:val="22"/>
        </w:rPr>
        <w:t xml:space="preserve">-0011, </w:t>
      </w:r>
      <w:r w:rsidR="000341A7">
        <w:rPr>
          <w:rFonts w:ascii="Arial" w:hAnsi="Arial" w:cs="Arial"/>
          <w:sz w:val="22"/>
          <w:szCs w:val="22"/>
        </w:rPr>
        <w:t>NIA2</w:t>
      </w:r>
      <w:r w:rsidRPr="002221B5">
        <w:rPr>
          <w:rFonts w:ascii="Arial" w:hAnsi="Arial" w:cs="Arial"/>
          <w:sz w:val="22"/>
          <w:szCs w:val="22"/>
        </w:rPr>
        <w:t xml:space="preserve">-0005, </w:t>
      </w:r>
      <w:r w:rsidR="00343546">
        <w:rPr>
          <w:rFonts w:ascii="Arial" w:hAnsi="Arial" w:cs="Arial"/>
          <w:sz w:val="22"/>
          <w:szCs w:val="22"/>
        </w:rPr>
        <w:t>NGO</w:t>
      </w:r>
      <w:r w:rsidRPr="002221B5">
        <w:rPr>
          <w:rFonts w:ascii="Arial" w:hAnsi="Arial" w:cs="Arial"/>
          <w:sz w:val="22"/>
          <w:szCs w:val="22"/>
        </w:rPr>
        <w:t xml:space="preserve">-0004, </w:t>
      </w:r>
      <w:r w:rsidR="004427C3">
        <w:rPr>
          <w:rFonts w:ascii="Arial" w:hAnsi="Arial" w:cs="Arial"/>
          <w:sz w:val="22"/>
          <w:szCs w:val="22"/>
        </w:rPr>
        <w:t>DOM</w:t>
      </w:r>
      <w:r w:rsidRPr="002221B5">
        <w:rPr>
          <w:rFonts w:ascii="Arial" w:hAnsi="Arial" w:cs="Arial"/>
          <w:sz w:val="22"/>
          <w:szCs w:val="22"/>
        </w:rPr>
        <w:t xml:space="preserve">-0005, </w:t>
      </w:r>
      <w:r w:rsidR="00AE0B17">
        <w:rPr>
          <w:rFonts w:ascii="Arial" w:hAnsi="Arial" w:cs="Arial"/>
          <w:sz w:val="22"/>
          <w:szCs w:val="22"/>
        </w:rPr>
        <w:t>USNIC2</w:t>
      </w:r>
      <w:r w:rsidRPr="002221B5">
        <w:rPr>
          <w:rFonts w:ascii="Arial" w:hAnsi="Arial" w:cs="Arial"/>
          <w:sz w:val="22"/>
          <w:szCs w:val="22"/>
        </w:rPr>
        <w:t xml:space="preserve">-0015, </w:t>
      </w:r>
      <w:r w:rsidR="003C29B7">
        <w:rPr>
          <w:rFonts w:ascii="Arial" w:hAnsi="Arial" w:cs="Arial"/>
          <w:sz w:val="22"/>
          <w:szCs w:val="22"/>
        </w:rPr>
        <w:t>CP</w:t>
      </w:r>
      <w:r w:rsidRPr="002221B5">
        <w:rPr>
          <w:rFonts w:ascii="Arial" w:hAnsi="Arial" w:cs="Arial"/>
          <w:sz w:val="22"/>
          <w:szCs w:val="22"/>
        </w:rPr>
        <w:t>-0005</w:t>
      </w:r>
      <w:r w:rsidR="00E005BC">
        <w:rPr>
          <w:rFonts w:ascii="Arial" w:hAnsi="Arial" w:cs="Arial"/>
          <w:sz w:val="22"/>
          <w:szCs w:val="22"/>
        </w:rPr>
        <w:t>,</w:t>
      </w:r>
      <w:r w:rsidRPr="002221B5">
        <w:rPr>
          <w:rFonts w:ascii="Arial" w:hAnsi="Arial" w:cs="Arial"/>
          <w:sz w:val="22"/>
          <w:szCs w:val="22"/>
        </w:rPr>
        <w:t xml:space="preserve"> </w:t>
      </w:r>
      <w:r w:rsidR="004C1A5D">
        <w:rPr>
          <w:rFonts w:ascii="Arial" w:hAnsi="Arial" w:cs="Arial"/>
          <w:sz w:val="22"/>
          <w:szCs w:val="22"/>
        </w:rPr>
        <w:t>BI1</w:t>
      </w:r>
      <w:r w:rsidRPr="002221B5">
        <w:rPr>
          <w:rFonts w:ascii="Arial" w:hAnsi="Arial" w:cs="Arial"/>
          <w:sz w:val="22"/>
          <w:szCs w:val="22"/>
        </w:rPr>
        <w:t xml:space="preserve">-0029). </w:t>
      </w:r>
    </w:p>
    <w:p w:rsidR="007F112A" w:rsidRPr="002221B5" w:rsidP="002221B5" w14:paraId="144133A5" w14:textId="77777777">
      <w:pPr>
        <w:spacing w:after="220"/>
        <w:rPr>
          <w:rFonts w:ascii="Arial" w:eastAsia="Times New Roman" w:hAnsi="Arial" w:cs="Arial"/>
          <w:color w:val="000000"/>
          <w:sz w:val="22"/>
          <w:szCs w:val="22"/>
          <w:lang w:eastAsia="zh-CN"/>
        </w:rPr>
      </w:pPr>
      <w:r w:rsidRPr="002221B5">
        <w:rPr>
          <w:rFonts w:ascii="Arial" w:hAnsi="Arial" w:cs="Arial"/>
          <w:sz w:val="22"/>
          <w:szCs w:val="22"/>
        </w:rPr>
        <w:t>Two commenters recommended removing “under this part”, or adding “or Parts 50 or 52” in 10</w:t>
      </w:r>
      <w:r w:rsidR="00000F53">
        <w:rPr>
          <w:rFonts w:ascii="Arial" w:hAnsi="Arial" w:cs="Arial"/>
          <w:sz w:val="22"/>
          <w:szCs w:val="22"/>
        </w:rPr>
        <w:t> </w:t>
      </w:r>
      <w:r w:rsidRPr="002221B5">
        <w:rPr>
          <w:rFonts w:ascii="Arial" w:hAnsi="Arial" w:cs="Arial"/>
          <w:sz w:val="22"/>
          <w:szCs w:val="22"/>
        </w:rPr>
        <w:t>CFR 53.1124(a)</w:t>
      </w:r>
      <w:r w:rsidR="00E1397A">
        <w:rPr>
          <w:rFonts w:ascii="Arial" w:hAnsi="Arial" w:cs="Arial"/>
          <w:sz w:val="22"/>
          <w:szCs w:val="22"/>
        </w:rPr>
        <w:t>-</w:t>
      </w:r>
      <w:r w:rsidRPr="002221B5">
        <w:rPr>
          <w:rFonts w:ascii="Arial" w:hAnsi="Arial" w:cs="Arial"/>
          <w:sz w:val="22"/>
          <w:szCs w:val="22"/>
        </w:rPr>
        <w:t>(h), 53.1221, 53.1312, 53.1330(b), 53.1384(b), 53.1425, 53.1443(d), 53.1470, 53.1525, and 53.1530 in order to ensure transferability from 10 CFR Part</w:t>
      </w:r>
      <w:r w:rsidR="00E1397A">
        <w:rPr>
          <w:rFonts w:ascii="Arial" w:hAnsi="Arial" w:cs="Arial"/>
          <w:sz w:val="22"/>
          <w:szCs w:val="22"/>
        </w:rPr>
        <w:t>s</w:t>
      </w:r>
      <w:r w:rsidRPr="002221B5">
        <w:rPr>
          <w:rFonts w:ascii="Arial" w:hAnsi="Arial" w:cs="Arial"/>
          <w:sz w:val="22"/>
          <w:szCs w:val="22"/>
        </w:rPr>
        <w:t xml:space="preserve"> 50 and 52 to 10 CFR </w:t>
      </w:r>
      <w:r w:rsidR="00E1397A">
        <w:rPr>
          <w:rFonts w:ascii="Arial" w:hAnsi="Arial" w:cs="Arial"/>
          <w:sz w:val="22"/>
          <w:szCs w:val="22"/>
        </w:rPr>
        <w:t>P</w:t>
      </w:r>
      <w:r w:rsidRPr="002221B5">
        <w:rPr>
          <w:rFonts w:ascii="Arial" w:hAnsi="Arial" w:cs="Arial"/>
          <w:sz w:val="22"/>
          <w:szCs w:val="22"/>
        </w:rPr>
        <w:t>art 53</w:t>
      </w:r>
      <w:r w:rsidR="00E1397A">
        <w:rPr>
          <w:rFonts w:ascii="Arial" w:hAnsi="Arial" w:cs="Arial"/>
          <w:sz w:val="22"/>
          <w:szCs w:val="22"/>
        </w:rPr>
        <w:t>,</w:t>
      </w:r>
      <w:r w:rsidRPr="002221B5">
        <w:rPr>
          <w:rFonts w:ascii="Arial" w:hAnsi="Arial" w:cs="Arial"/>
          <w:sz w:val="22"/>
          <w:szCs w:val="22"/>
        </w:rPr>
        <w:t xml:space="preserve"> as well as from 10 CFR Part 53 to 10 CFR Part</w:t>
      </w:r>
      <w:r w:rsidR="00E1397A">
        <w:rPr>
          <w:rFonts w:ascii="Arial" w:hAnsi="Arial" w:cs="Arial"/>
          <w:sz w:val="22"/>
          <w:szCs w:val="22"/>
        </w:rPr>
        <w:t>s</w:t>
      </w:r>
      <w:r w:rsidRPr="002221B5">
        <w:rPr>
          <w:rFonts w:ascii="Arial" w:hAnsi="Arial" w:cs="Arial"/>
          <w:sz w:val="22"/>
          <w:szCs w:val="22"/>
        </w:rPr>
        <w:t xml:space="preserve"> 50 Part 52 (</w:t>
      </w:r>
      <w:r w:rsidR="009D6BB9">
        <w:rPr>
          <w:rFonts w:ascii="Arial" w:hAnsi="Arial" w:cs="Arial"/>
          <w:sz w:val="22"/>
          <w:szCs w:val="22"/>
        </w:rPr>
        <w:t>NEI2</w:t>
      </w:r>
      <w:r w:rsidRPr="002221B5">
        <w:rPr>
          <w:rFonts w:ascii="Arial" w:hAnsi="Arial" w:cs="Arial"/>
          <w:sz w:val="22"/>
          <w:szCs w:val="22"/>
        </w:rPr>
        <w:t xml:space="preserve">-0004, </w:t>
      </w:r>
      <w:r w:rsidR="009D6BB9">
        <w:rPr>
          <w:rFonts w:ascii="Arial" w:hAnsi="Arial" w:cs="Arial"/>
          <w:sz w:val="22"/>
          <w:szCs w:val="22"/>
        </w:rPr>
        <w:t>NEI2</w:t>
      </w:r>
      <w:r w:rsidRPr="002221B5">
        <w:rPr>
          <w:rFonts w:ascii="Arial" w:hAnsi="Arial" w:cs="Arial"/>
          <w:sz w:val="22"/>
          <w:szCs w:val="22"/>
        </w:rPr>
        <w:t xml:space="preserve">-0137, </w:t>
      </w:r>
      <w:r w:rsidR="009D6BB9">
        <w:rPr>
          <w:rFonts w:ascii="Arial" w:hAnsi="Arial" w:cs="Arial"/>
          <w:sz w:val="22"/>
          <w:szCs w:val="22"/>
        </w:rPr>
        <w:t>NEI2</w:t>
      </w:r>
      <w:r w:rsidRPr="002221B5">
        <w:rPr>
          <w:rFonts w:ascii="Arial" w:hAnsi="Arial" w:cs="Arial"/>
          <w:sz w:val="22"/>
          <w:szCs w:val="22"/>
        </w:rPr>
        <w:t xml:space="preserve">-0122, </w:t>
      </w:r>
      <w:r w:rsidR="004C1A5D">
        <w:rPr>
          <w:rFonts w:ascii="Arial" w:hAnsi="Arial" w:cs="Arial"/>
          <w:sz w:val="22"/>
          <w:szCs w:val="22"/>
        </w:rPr>
        <w:t>BI1</w:t>
      </w:r>
      <w:r w:rsidRPr="002221B5">
        <w:rPr>
          <w:rFonts w:ascii="Arial" w:hAnsi="Arial" w:cs="Arial"/>
          <w:sz w:val="22"/>
          <w:szCs w:val="22"/>
        </w:rPr>
        <w:t>-0033). One of the commenters echoed these concerns, and wrote that early</w:t>
      </w:r>
      <w:r w:rsidRPr="002221B5">
        <w:rPr>
          <w:rFonts w:ascii="Arial" w:hAnsi="Arial" w:cs="Arial"/>
          <w:sz w:val="22"/>
          <w:szCs w:val="22"/>
        </w:rPr>
        <w:noBreakHyphen/>
        <w:t xml:space="preserve">stage approvals such as ESPs, CPs, SDAs, and </w:t>
      </w:r>
      <w:r w:rsidR="000E7E26">
        <w:rPr>
          <w:rFonts w:ascii="Arial" w:hAnsi="Arial" w:cs="Arial"/>
          <w:sz w:val="22"/>
          <w:szCs w:val="22"/>
        </w:rPr>
        <w:t>desi</w:t>
      </w:r>
      <w:r w:rsidR="00A30C3A">
        <w:rPr>
          <w:rFonts w:ascii="Arial" w:hAnsi="Arial" w:cs="Arial"/>
          <w:sz w:val="22"/>
          <w:szCs w:val="22"/>
        </w:rPr>
        <w:t>gn certification (</w:t>
      </w:r>
      <w:r w:rsidRPr="002221B5">
        <w:rPr>
          <w:rFonts w:ascii="Arial" w:hAnsi="Arial" w:cs="Arial"/>
          <w:sz w:val="22"/>
          <w:szCs w:val="22"/>
        </w:rPr>
        <w:t>DCs</w:t>
      </w:r>
      <w:r w:rsidR="00A30C3A">
        <w:rPr>
          <w:rFonts w:ascii="Arial" w:hAnsi="Arial" w:cs="Arial"/>
          <w:sz w:val="22"/>
          <w:szCs w:val="22"/>
        </w:rPr>
        <w:t>)</w:t>
      </w:r>
      <w:r w:rsidRPr="002221B5">
        <w:rPr>
          <w:rFonts w:ascii="Arial" w:hAnsi="Arial" w:cs="Arial"/>
          <w:sz w:val="22"/>
          <w:szCs w:val="22"/>
        </w:rPr>
        <w:t xml:space="preserve"> received under 10 CFR Part</w:t>
      </w:r>
      <w:r w:rsidR="00E1397A">
        <w:rPr>
          <w:rFonts w:ascii="Arial" w:hAnsi="Arial" w:cs="Arial"/>
          <w:sz w:val="22"/>
          <w:szCs w:val="22"/>
        </w:rPr>
        <w:t>s</w:t>
      </w:r>
      <w:r w:rsidRPr="002221B5">
        <w:rPr>
          <w:rFonts w:ascii="Arial" w:hAnsi="Arial" w:cs="Arial"/>
          <w:sz w:val="22"/>
          <w:szCs w:val="22"/>
        </w:rPr>
        <w:t xml:space="preserve"> 50 and 52 should be allowed to seek late-stage approvals under 10 CFR Part 53. The commenter noted that ESPs would rely on the same licensing and technical basis. The commenter suggested that guidance could be provided to clarify limitations and any additional requirements to support license transfers or licenses for identical designs at multiple sites for LMP applications under 10</w:t>
      </w:r>
      <w:r w:rsidR="00000F53">
        <w:rPr>
          <w:rFonts w:ascii="Arial" w:hAnsi="Arial" w:cs="Arial"/>
          <w:sz w:val="22"/>
          <w:szCs w:val="22"/>
        </w:rPr>
        <w:t> </w:t>
      </w:r>
      <w:r w:rsidRPr="002221B5">
        <w:rPr>
          <w:rFonts w:ascii="Arial" w:hAnsi="Arial" w:cs="Arial"/>
          <w:sz w:val="22"/>
          <w:szCs w:val="22"/>
        </w:rPr>
        <w:t>CFR Part 50 or 52 using principal design criteria equivalent to the functional design criteria in 10 CFR Part 53 (</w:t>
      </w:r>
      <w:r w:rsidR="009D6BB9">
        <w:rPr>
          <w:rFonts w:ascii="Arial" w:hAnsi="Arial" w:cs="Arial"/>
          <w:sz w:val="22"/>
          <w:szCs w:val="22"/>
        </w:rPr>
        <w:t>NEI2</w:t>
      </w:r>
      <w:r w:rsidRPr="002221B5">
        <w:rPr>
          <w:rFonts w:ascii="Arial" w:hAnsi="Arial" w:cs="Arial"/>
          <w:sz w:val="22"/>
          <w:szCs w:val="22"/>
        </w:rPr>
        <w:t xml:space="preserve">-0004, </w:t>
      </w:r>
      <w:r w:rsidR="009D6BB9">
        <w:rPr>
          <w:rFonts w:ascii="Arial" w:hAnsi="Arial" w:cs="Arial"/>
          <w:sz w:val="22"/>
          <w:szCs w:val="22"/>
        </w:rPr>
        <w:t>NEI2</w:t>
      </w:r>
      <w:r w:rsidRPr="002221B5">
        <w:rPr>
          <w:rFonts w:ascii="Arial" w:hAnsi="Arial" w:cs="Arial"/>
          <w:sz w:val="22"/>
          <w:szCs w:val="22"/>
        </w:rPr>
        <w:t xml:space="preserve">-0137, </w:t>
      </w:r>
      <w:r w:rsidR="009D6BB9">
        <w:rPr>
          <w:rFonts w:ascii="Arial" w:hAnsi="Arial" w:cs="Arial"/>
          <w:sz w:val="22"/>
          <w:szCs w:val="22"/>
        </w:rPr>
        <w:t>NEI2</w:t>
      </w:r>
      <w:r w:rsidRPr="002221B5">
        <w:rPr>
          <w:rFonts w:ascii="Arial" w:hAnsi="Arial" w:cs="Arial"/>
          <w:sz w:val="22"/>
          <w:szCs w:val="22"/>
        </w:rPr>
        <w:t xml:space="preserve">-0122). The other commenter suggested that evaluations such as SARs, </w:t>
      </w:r>
      <w:r w:rsidR="00A409F9">
        <w:rPr>
          <w:rFonts w:ascii="Arial" w:hAnsi="Arial" w:cs="Arial"/>
          <w:sz w:val="22"/>
          <w:szCs w:val="22"/>
        </w:rPr>
        <w:t>environment</w:t>
      </w:r>
      <w:r w:rsidR="008C2E08">
        <w:rPr>
          <w:rFonts w:ascii="Arial" w:hAnsi="Arial" w:cs="Arial"/>
          <w:sz w:val="22"/>
          <w:szCs w:val="22"/>
        </w:rPr>
        <w:t>al impact statements (</w:t>
      </w:r>
      <w:r w:rsidRPr="002221B5">
        <w:rPr>
          <w:rFonts w:ascii="Arial" w:hAnsi="Arial" w:cs="Arial"/>
          <w:sz w:val="22"/>
          <w:szCs w:val="22"/>
        </w:rPr>
        <w:t>EISs</w:t>
      </w:r>
      <w:r w:rsidR="008C2E08">
        <w:rPr>
          <w:rFonts w:ascii="Arial" w:hAnsi="Arial" w:cs="Arial"/>
          <w:sz w:val="22"/>
          <w:szCs w:val="22"/>
        </w:rPr>
        <w:t>)</w:t>
      </w:r>
      <w:r w:rsidR="0031696C">
        <w:rPr>
          <w:rFonts w:ascii="Arial" w:hAnsi="Arial" w:cs="Arial"/>
          <w:sz w:val="22"/>
          <w:szCs w:val="22"/>
        </w:rPr>
        <w:t>,</w:t>
      </w:r>
      <w:r w:rsidRPr="002221B5">
        <w:rPr>
          <w:rFonts w:ascii="Arial" w:hAnsi="Arial" w:cs="Arial"/>
          <w:sz w:val="22"/>
          <w:szCs w:val="22"/>
        </w:rPr>
        <w:t xml:space="preserve"> or </w:t>
      </w:r>
      <w:r w:rsidR="008C2E08">
        <w:rPr>
          <w:rFonts w:ascii="Arial" w:hAnsi="Arial" w:cs="Arial"/>
          <w:sz w:val="22"/>
          <w:szCs w:val="22"/>
        </w:rPr>
        <w:t>envir</w:t>
      </w:r>
      <w:r w:rsidR="005150A7">
        <w:rPr>
          <w:rFonts w:ascii="Arial" w:hAnsi="Arial" w:cs="Arial"/>
          <w:sz w:val="22"/>
          <w:szCs w:val="22"/>
        </w:rPr>
        <w:t>onmental assessments</w:t>
      </w:r>
      <w:r w:rsidRPr="002221B5">
        <w:rPr>
          <w:rFonts w:ascii="Arial" w:hAnsi="Arial" w:cs="Arial"/>
          <w:sz w:val="22"/>
          <w:szCs w:val="22"/>
        </w:rPr>
        <w:t xml:space="preserve"> </w:t>
      </w:r>
      <w:r w:rsidR="005150A7">
        <w:rPr>
          <w:rFonts w:ascii="Arial" w:hAnsi="Arial" w:cs="Arial"/>
          <w:sz w:val="22"/>
          <w:szCs w:val="22"/>
        </w:rPr>
        <w:t>(</w:t>
      </w:r>
      <w:r w:rsidRPr="002221B5">
        <w:rPr>
          <w:rFonts w:ascii="Arial" w:hAnsi="Arial" w:cs="Arial"/>
          <w:sz w:val="22"/>
          <w:szCs w:val="22"/>
        </w:rPr>
        <w:t>EAs</w:t>
      </w:r>
      <w:r w:rsidR="005150A7">
        <w:rPr>
          <w:rFonts w:ascii="Arial" w:hAnsi="Arial" w:cs="Arial"/>
          <w:sz w:val="22"/>
          <w:szCs w:val="22"/>
        </w:rPr>
        <w:t>)</w:t>
      </w:r>
      <w:r w:rsidRPr="002221B5">
        <w:rPr>
          <w:rFonts w:ascii="Arial" w:hAnsi="Arial" w:cs="Arial"/>
          <w:sz w:val="22"/>
          <w:szCs w:val="22"/>
        </w:rPr>
        <w:t xml:space="preserve"> conducted under another part should be referenceable under 10 CFR Part 53 (</w:t>
      </w:r>
      <w:r w:rsidR="004C1A5D">
        <w:rPr>
          <w:rFonts w:ascii="Arial" w:hAnsi="Arial" w:cs="Arial"/>
          <w:sz w:val="22"/>
          <w:szCs w:val="22"/>
        </w:rPr>
        <w:t>BI1</w:t>
      </w:r>
      <w:r w:rsidRPr="002221B5">
        <w:rPr>
          <w:rFonts w:ascii="Arial" w:hAnsi="Arial" w:cs="Arial"/>
          <w:sz w:val="22"/>
          <w:szCs w:val="22"/>
        </w:rPr>
        <w:t>-00</w:t>
      </w:r>
      <w:r w:rsidRPr="002221B5">
        <w:rPr>
          <w:rFonts w:ascii="Arial" w:eastAsia="Times New Roman" w:hAnsi="Arial" w:cs="Arial"/>
          <w:color w:val="000000"/>
          <w:sz w:val="22"/>
          <w:szCs w:val="22"/>
          <w:lang w:eastAsia="zh-CN"/>
        </w:rPr>
        <w:t xml:space="preserve">33). </w:t>
      </w:r>
    </w:p>
    <w:p w:rsidR="007F112A" w:rsidRPr="002221B5" w:rsidP="002221B5" w14:paraId="2466F757" w14:textId="77777777">
      <w:pPr>
        <w:spacing w:after="220"/>
        <w:rPr>
          <w:rFonts w:ascii="Arial" w:eastAsia="Times New Roman" w:hAnsi="Arial" w:cs="Arial"/>
          <w:color w:val="000000"/>
          <w:sz w:val="22"/>
          <w:szCs w:val="22"/>
          <w:lang w:eastAsia="zh-CN"/>
        </w:rPr>
      </w:pPr>
      <w:r w:rsidRPr="002221B5">
        <w:rPr>
          <w:rFonts w:ascii="Arial" w:eastAsia="Times New Roman" w:hAnsi="Arial" w:cs="Arial"/>
          <w:color w:val="000000"/>
          <w:sz w:val="22"/>
          <w:szCs w:val="22"/>
          <w:lang w:eastAsia="zh-CN"/>
        </w:rPr>
        <w:t>The commenter added that they appreciated the ability to reference existing OLs or COLs to support a standard design certification or approval, and the ability for CPs, OLs and COLs to support licenses for identical designs at multiple sites and wrote that similar references would be appropriate for 10 CFR Part 50 or 52 licensees using LMP (</w:t>
      </w:r>
      <w:r w:rsidR="009D6BB9">
        <w:rPr>
          <w:rFonts w:ascii="Arial" w:eastAsia="Times New Roman" w:hAnsi="Arial" w:cs="Arial"/>
          <w:color w:val="000000"/>
          <w:sz w:val="22"/>
          <w:szCs w:val="22"/>
          <w:lang w:eastAsia="zh-CN"/>
        </w:rPr>
        <w:t>NEI2</w:t>
      </w:r>
      <w:r w:rsidRPr="002221B5">
        <w:rPr>
          <w:rFonts w:ascii="Arial" w:eastAsia="Times New Roman" w:hAnsi="Arial" w:cs="Arial"/>
          <w:color w:val="000000"/>
          <w:sz w:val="22"/>
          <w:szCs w:val="22"/>
          <w:lang w:eastAsia="zh-CN"/>
        </w:rPr>
        <w:t xml:space="preserve">-0122, </w:t>
      </w:r>
      <w:r w:rsidR="009D6BB9">
        <w:rPr>
          <w:rFonts w:ascii="Arial" w:eastAsia="Times New Roman" w:hAnsi="Arial" w:cs="Arial"/>
          <w:color w:val="000000"/>
          <w:sz w:val="22"/>
          <w:szCs w:val="22"/>
          <w:lang w:eastAsia="zh-CN"/>
        </w:rPr>
        <w:t>NEI2</w:t>
      </w:r>
      <w:r w:rsidRPr="002221B5">
        <w:rPr>
          <w:rFonts w:ascii="Arial" w:eastAsia="Times New Roman" w:hAnsi="Arial" w:cs="Arial"/>
          <w:color w:val="000000"/>
          <w:sz w:val="22"/>
          <w:szCs w:val="22"/>
          <w:lang w:eastAsia="zh-CN"/>
        </w:rPr>
        <w:t xml:space="preserve">-0137). The commenter wrote that, while it would be unlikely to happen, the NRC should modify rule language to allow an applicant to transfer from 10 CFR Part 53 to 10 CFR Part 50 or 52. To </w:t>
      </w:r>
      <w:r w:rsidRPr="002221B5">
        <w:rPr>
          <w:rFonts w:ascii="Arial" w:eastAsia="Times New Roman" w:hAnsi="Arial" w:cs="Arial"/>
          <w:color w:val="000000"/>
          <w:sz w:val="22"/>
          <w:szCs w:val="22"/>
          <w:lang w:eastAsia="zh-CN"/>
        </w:rPr>
        <w:t>support this, the commenter recommended removing “under this part” from 10 CFR 53.1161, 53.1218, 53.1221, 53.1251, 5</w:t>
      </w:r>
      <w:r w:rsidR="006A77A5">
        <w:rPr>
          <w:rFonts w:ascii="Arial" w:eastAsia="Times New Roman" w:hAnsi="Arial" w:cs="Arial"/>
          <w:color w:val="000000"/>
          <w:sz w:val="22"/>
          <w:szCs w:val="22"/>
          <w:lang w:eastAsia="zh-CN"/>
        </w:rPr>
        <w:t>3</w:t>
      </w:r>
      <w:r w:rsidRPr="002221B5">
        <w:rPr>
          <w:rFonts w:ascii="Arial" w:eastAsia="Times New Roman" w:hAnsi="Arial" w:cs="Arial"/>
          <w:color w:val="000000"/>
          <w:sz w:val="22"/>
          <w:szCs w:val="22"/>
          <w:lang w:eastAsia="zh-CN"/>
        </w:rPr>
        <w:t>.1279, and 53.1288(a)(3) (</w:t>
      </w:r>
      <w:r w:rsidR="009D6BB9">
        <w:rPr>
          <w:rFonts w:ascii="Arial" w:eastAsia="Times New Roman" w:hAnsi="Arial" w:cs="Arial"/>
          <w:color w:val="000000"/>
          <w:sz w:val="22"/>
          <w:szCs w:val="22"/>
          <w:lang w:eastAsia="zh-CN"/>
        </w:rPr>
        <w:t>NEI2</w:t>
      </w:r>
      <w:r w:rsidRPr="002221B5">
        <w:rPr>
          <w:rFonts w:ascii="Arial" w:eastAsia="Times New Roman" w:hAnsi="Arial" w:cs="Arial"/>
          <w:color w:val="000000"/>
          <w:sz w:val="22"/>
          <w:szCs w:val="22"/>
          <w:lang w:eastAsia="zh-CN"/>
        </w:rPr>
        <w:t>-0122).</w:t>
      </w:r>
    </w:p>
    <w:p w:rsidR="007F112A" w:rsidRPr="002221B5" w:rsidP="002221B5" w14:paraId="1D2B9980" w14:textId="77777777">
      <w:pPr>
        <w:spacing w:after="220"/>
        <w:rPr>
          <w:rFonts w:ascii="Arial" w:eastAsia="Times New Roman" w:hAnsi="Arial" w:cs="Arial"/>
          <w:color w:val="000000"/>
          <w:sz w:val="22"/>
          <w:szCs w:val="22"/>
          <w:lang w:eastAsia="zh-CN"/>
        </w:rPr>
      </w:pPr>
      <w:r w:rsidRPr="002221B5">
        <w:rPr>
          <w:rFonts w:ascii="Arial" w:eastAsia="Times New Roman" w:hAnsi="Arial" w:cs="Arial"/>
          <w:color w:val="000000"/>
          <w:sz w:val="22"/>
          <w:szCs w:val="22"/>
          <w:lang w:eastAsia="zh-CN"/>
        </w:rPr>
        <w:t>Given “nearly all” existing applicants are engaging with the NRC on 10 CFR Part</w:t>
      </w:r>
      <w:r w:rsidR="006A77A5">
        <w:rPr>
          <w:rFonts w:ascii="Arial" w:eastAsia="Times New Roman" w:hAnsi="Arial" w:cs="Arial"/>
          <w:color w:val="000000"/>
          <w:sz w:val="22"/>
          <w:szCs w:val="22"/>
          <w:lang w:eastAsia="zh-CN"/>
        </w:rPr>
        <w:t>s</w:t>
      </w:r>
      <w:r w:rsidRPr="002221B5">
        <w:rPr>
          <w:rFonts w:ascii="Arial" w:eastAsia="Times New Roman" w:hAnsi="Arial" w:cs="Arial"/>
          <w:color w:val="000000"/>
          <w:sz w:val="22"/>
          <w:szCs w:val="22"/>
          <w:lang w:eastAsia="zh-CN"/>
        </w:rPr>
        <w:t xml:space="preserve"> 50 and 52, two commenters wrote that applicants may not use 10 CFR Part 53 without a clear pathway to move from existing frameworks (</w:t>
      </w:r>
      <w:r w:rsidR="00343546">
        <w:rPr>
          <w:rFonts w:ascii="Arial" w:eastAsia="Times New Roman" w:hAnsi="Arial" w:cs="Arial"/>
          <w:color w:val="000000"/>
          <w:sz w:val="22"/>
          <w:szCs w:val="22"/>
          <w:lang w:eastAsia="zh-CN"/>
        </w:rPr>
        <w:t>NGO</w:t>
      </w:r>
      <w:r w:rsidRPr="002221B5">
        <w:rPr>
          <w:rFonts w:ascii="Arial" w:eastAsia="Times New Roman" w:hAnsi="Arial" w:cs="Arial"/>
          <w:color w:val="000000"/>
          <w:sz w:val="22"/>
          <w:szCs w:val="22"/>
          <w:lang w:eastAsia="zh-CN"/>
        </w:rPr>
        <w:t xml:space="preserve">-0004, </w:t>
      </w:r>
      <w:r w:rsidR="000341A7">
        <w:rPr>
          <w:rFonts w:ascii="Arial" w:eastAsia="Times New Roman" w:hAnsi="Arial" w:cs="Arial"/>
          <w:color w:val="000000"/>
          <w:sz w:val="22"/>
          <w:szCs w:val="22"/>
          <w:lang w:eastAsia="zh-CN"/>
        </w:rPr>
        <w:t>NIA2</w:t>
      </w:r>
      <w:r w:rsidRPr="002221B5">
        <w:rPr>
          <w:rFonts w:ascii="Arial" w:eastAsia="Times New Roman" w:hAnsi="Arial" w:cs="Arial"/>
          <w:color w:val="000000"/>
          <w:sz w:val="22"/>
          <w:szCs w:val="22"/>
          <w:lang w:eastAsia="zh-CN"/>
        </w:rPr>
        <w:t xml:space="preserve">-0005). One commenter wrote that applicants may continue to use existing frameworks given they are established and predictable and enabling pathways </w:t>
      </w:r>
      <w:r w:rsidRPr="002221B5" w:rsidR="001A29CB">
        <w:rPr>
          <w:rFonts w:ascii="Arial" w:eastAsia="Times New Roman" w:hAnsi="Arial" w:cs="Arial"/>
          <w:color w:val="000000"/>
          <w:sz w:val="22"/>
          <w:szCs w:val="22"/>
          <w:lang w:eastAsia="zh-CN"/>
        </w:rPr>
        <w:t xml:space="preserve">to use </w:t>
      </w:r>
      <w:r w:rsidRPr="002221B5">
        <w:rPr>
          <w:rFonts w:ascii="Arial" w:eastAsia="Times New Roman" w:hAnsi="Arial" w:cs="Arial"/>
          <w:color w:val="000000"/>
          <w:sz w:val="22"/>
          <w:szCs w:val="22"/>
          <w:lang w:eastAsia="zh-CN"/>
        </w:rPr>
        <w:t>10 CFR Part 53 would allow applicants to gain experience with the framework while reducing regulatory risk (</w:t>
      </w:r>
      <w:r w:rsidR="000341A7">
        <w:rPr>
          <w:rFonts w:ascii="Arial" w:eastAsia="Times New Roman" w:hAnsi="Arial" w:cs="Arial"/>
          <w:color w:val="000000"/>
          <w:sz w:val="22"/>
          <w:szCs w:val="22"/>
          <w:lang w:eastAsia="zh-CN"/>
        </w:rPr>
        <w:t>NIA2</w:t>
      </w:r>
      <w:r w:rsidRPr="002221B5">
        <w:rPr>
          <w:rFonts w:ascii="Arial" w:eastAsia="Times New Roman" w:hAnsi="Arial" w:cs="Arial"/>
          <w:color w:val="000000"/>
          <w:sz w:val="22"/>
          <w:szCs w:val="22"/>
          <w:lang w:eastAsia="zh-CN"/>
        </w:rPr>
        <w:t>-0011).</w:t>
      </w:r>
    </w:p>
    <w:p w:rsidR="007F112A" w:rsidRPr="002221B5" w:rsidP="002221B5" w14:paraId="2CAC959F" w14:textId="77777777">
      <w:pPr>
        <w:spacing w:after="220"/>
        <w:rPr>
          <w:rFonts w:ascii="Arial" w:eastAsia="Times New Roman" w:hAnsi="Arial" w:cs="Arial"/>
          <w:color w:val="000000"/>
          <w:sz w:val="22"/>
          <w:szCs w:val="22"/>
          <w:lang w:eastAsia="zh-CN"/>
        </w:rPr>
      </w:pPr>
      <w:r w:rsidRPr="002221B5">
        <w:rPr>
          <w:rFonts w:ascii="Arial" w:eastAsia="Times New Roman" w:hAnsi="Arial" w:cs="Arial"/>
          <w:color w:val="000000"/>
          <w:sz w:val="22"/>
          <w:szCs w:val="22"/>
          <w:lang w:eastAsia="zh-CN"/>
        </w:rPr>
        <w:t>A c</w:t>
      </w:r>
      <w:r w:rsidRPr="002221B5">
        <w:rPr>
          <w:rFonts w:ascii="Arial" w:hAnsi="Arial" w:cs="Arial"/>
          <w:sz w:val="22"/>
          <w:szCs w:val="22"/>
        </w:rPr>
        <w:t>ommenter wrote that applicants should be permitted to use preliminary regulatory approvals under 10 CFR Part</w:t>
      </w:r>
      <w:r w:rsidR="00C9025A">
        <w:rPr>
          <w:rFonts w:ascii="Arial" w:hAnsi="Arial" w:cs="Arial"/>
          <w:sz w:val="22"/>
          <w:szCs w:val="22"/>
        </w:rPr>
        <w:t>s</w:t>
      </w:r>
      <w:r w:rsidRPr="002221B5">
        <w:rPr>
          <w:rFonts w:ascii="Arial" w:hAnsi="Arial" w:cs="Arial"/>
          <w:sz w:val="22"/>
          <w:szCs w:val="22"/>
        </w:rPr>
        <w:t xml:space="preserve"> 50 and Part 52 to support licensing decisions under 10 CFR Part 53. The commenter wrote that this transferability should be based on applicant compliance with any additional requirements in 10 CFR Part 53 that were not present in 10 CFR Part</w:t>
      </w:r>
      <w:r w:rsidR="00C9025A">
        <w:rPr>
          <w:rFonts w:ascii="Arial" w:hAnsi="Arial" w:cs="Arial"/>
          <w:sz w:val="22"/>
          <w:szCs w:val="22"/>
        </w:rPr>
        <w:t>s</w:t>
      </w:r>
      <w:r w:rsidRPr="002221B5">
        <w:rPr>
          <w:rFonts w:ascii="Arial" w:hAnsi="Arial" w:cs="Arial"/>
          <w:sz w:val="22"/>
          <w:szCs w:val="22"/>
        </w:rPr>
        <w:t xml:space="preserve"> 50 and 52 but should maintain the regulatory finality of what was approved under 10 CFR Part 50 and 10</w:t>
      </w:r>
      <w:r w:rsidR="00BB2AE1">
        <w:rPr>
          <w:rFonts w:ascii="Arial" w:hAnsi="Arial" w:cs="Arial"/>
          <w:sz w:val="22"/>
          <w:szCs w:val="22"/>
        </w:rPr>
        <w:t> </w:t>
      </w:r>
      <w:r w:rsidRPr="002221B5">
        <w:rPr>
          <w:rFonts w:ascii="Arial" w:hAnsi="Arial" w:cs="Arial"/>
          <w:sz w:val="22"/>
          <w:szCs w:val="22"/>
        </w:rPr>
        <w:t>CFR</w:t>
      </w:r>
      <w:r w:rsidR="00BB2AE1">
        <w:rPr>
          <w:rFonts w:ascii="Arial" w:hAnsi="Arial" w:cs="Arial"/>
          <w:sz w:val="22"/>
          <w:szCs w:val="22"/>
        </w:rPr>
        <w:t> </w:t>
      </w:r>
      <w:r w:rsidRPr="002221B5">
        <w:rPr>
          <w:rFonts w:ascii="Arial" w:hAnsi="Arial" w:cs="Arial"/>
          <w:sz w:val="22"/>
          <w:szCs w:val="22"/>
        </w:rPr>
        <w:t xml:space="preserve">Part 52. The commenter wrote that this transferability is precluded due to the rule language in 10 CFR 53.1124. The commenter added that they envisioned applicants under existing frameworks using features of 10 CFR Part 53 such as GLROs, security requirements, </w:t>
      </w:r>
      <w:r w:rsidR="000E3603">
        <w:rPr>
          <w:rFonts w:ascii="Arial" w:eastAsia="Times New Roman" w:hAnsi="Arial" w:cs="Arial"/>
          <w:color w:val="000000"/>
          <w:sz w:val="22"/>
          <w:szCs w:val="22"/>
          <w:lang w:eastAsia="zh-CN"/>
        </w:rPr>
        <w:t>f</w:t>
      </w:r>
      <w:r w:rsidRPr="002221B5">
        <w:rPr>
          <w:rFonts w:ascii="Arial" w:eastAsia="Times New Roman" w:hAnsi="Arial" w:cs="Arial"/>
          <w:color w:val="000000"/>
          <w:sz w:val="22"/>
          <w:szCs w:val="22"/>
          <w:lang w:eastAsia="zh-CN"/>
        </w:rPr>
        <w:t xml:space="preserve">itness for </w:t>
      </w:r>
      <w:r w:rsidR="000E3603">
        <w:rPr>
          <w:rFonts w:ascii="Arial" w:eastAsia="Times New Roman" w:hAnsi="Arial" w:cs="Arial"/>
          <w:color w:val="000000"/>
          <w:sz w:val="22"/>
          <w:szCs w:val="22"/>
          <w:lang w:eastAsia="zh-CN"/>
        </w:rPr>
        <w:t>d</w:t>
      </w:r>
      <w:r w:rsidRPr="002221B5">
        <w:rPr>
          <w:rFonts w:ascii="Arial" w:eastAsia="Times New Roman" w:hAnsi="Arial" w:cs="Arial"/>
          <w:color w:val="000000"/>
          <w:sz w:val="22"/>
          <w:szCs w:val="22"/>
          <w:lang w:eastAsia="zh-CN"/>
        </w:rPr>
        <w:t>uty, Access Authorization and more (</w:t>
      </w:r>
      <w:r w:rsidR="009D6BB9">
        <w:rPr>
          <w:rFonts w:ascii="Arial" w:eastAsia="Times New Roman" w:hAnsi="Arial" w:cs="Arial"/>
          <w:color w:val="000000"/>
          <w:sz w:val="22"/>
          <w:szCs w:val="22"/>
          <w:lang w:eastAsia="zh-CN"/>
        </w:rPr>
        <w:t>NEI2</w:t>
      </w:r>
      <w:r w:rsidRPr="002221B5">
        <w:rPr>
          <w:rFonts w:ascii="Arial" w:eastAsia="Times New Roman" w:hAnsi="Arial" w:cs="Arial"/>
          <w:color w:val="000000"/>
          <w:sz w:val="22"/>
          <w:szCs w:val="22"/>
          <w:lang w:eastAsia="zh-CN"/>
        </w:rPr>
        <w:t>-0004).</w:t>
      </w:r>
    </w:p>
    <w:p w:rsidR="007F112A" w:rsidRPr="002221B5" w:rsidP="002221B5" w14:paraId="73F4D198" w14:textId="77777777">
      <w:pPr>
        <w:spacing w:after="220"/>
        <w:rPr>
          <w:rFonts w:ascii="Arial" w:eastAsia="DengXian" w:hAnsi="Arial" w:cs="Arial"/>
          <w:sz w:val="22"/>
          <w:szCs w:val="22"/>
        </w:rPr>
      </w:pPr>
      <w:r w:rsidRPr="002221B5">
        <w:rPr>
          <w:rFonts w:ascii="Arial" w:hAnsi="Arial" w:cs="Arial"/>
          <w:sz w:val="22"/>
          <w:szCs w:val="22"/>
        </w:rPr>
        <w:t>A commenter expressed concern that the words “under this part” in 10 CFR 53.610(b) preclude a 10 CFR Part 50 CP holder or a 10 CFR Part 52 ESP holder from transitioning to a 10 CFR Part 53 OL or COL, which the commenter said is unnecessary and precludes legitimate licensing pathways with no technical basis. The commenter suggested deleting those words from paragraph 10 CFR 53.610(b) (</w:t>
      </w:r>
      <w:r w:rsidR="009D6BB9">
        <w:rPr>
          <w:rFonts w:ascii="Arial" w:hAnsi="Arial" w:cs="Arial"/>
          <w:sz w:val="22"/>
          <w:szCs w:val="22"/>
        </w:rPr>
        <w:t>NEI2</w:t>
      </w:r>
      <w:r w:rsidRPr="002221B5">
        <w:rPr>
          <w:rFonts w:ascii="Arial" w:hAnsi="Arial" w:cs="Arial"/>
          <w:sz w:val="22"/>
          <w:szCs w:val="22"/>
        </w:rPr>
        <w:t xml:space="preserve">-0065). </w:t>
      </w:r>
      <w:r w:rsidRPr="002221B5">
        <w:rPr>
          <w:rFonts w:ascii="Arial" w:eastAsia="Times New Roman" w:hAnsi="Arial" w:cs="Arial"/>
          <w:color w:val="000000"/>
          <w:sz w:val="22"/>
          <w:szCs w:val="22"/>
          <w:lang w:eastAsia="zh-CN"/>
        </w:rPr>
        <w:t>A commenter wrote that flexibility between frameworks was important to them as the holder of an ESP and emphasized the ability to maintain finality approved under existing frameworks (</w:t>
      </w:r>
      <w:r w:rsidR="002C08EF">
        <w:rPr>
          <w:rFonts w:ascii="Arial" w:eastAsia="Times New Roman" w:hAnsi="Arial" w:cs="Arial"/>
          <w:color w:val="000000"/>
          <w:sz w:val="22"/>
          <w:szCs w:val="22"/>
          <w:lang w:eastAsia="zh-CN"/>
        </w:rPr>
        <w:t>ENT</w:t>
      </w:r>
      <w:r w:rsidRPr="002221B5">
        <w:rPr>
          <w:rFonts w:ascii="Arial" w:eastAsia="Times New Roman" w:hAnsi="Arial" w:cs="Arial"/>
          <w:color w:val="000000"/>
          <w:sz w:val="22"/>
          <w:szCs w:val="22"/>
          <w:lang w:eastAsia="zh-CN"/>
        </w:rPr>
        <w:t xml:space="preserve">-0003). </w:t>
      </w:r>
      <w:r w:rsidRPr="002221B5" w:rsidR="00B02228">
        <w:rPr>
          <w:rFonts w:ascii="Arial" w:eastAsia="Times New Roman" w:hAnsi="Arial" w:cs="Arial"/>
          <w:color w:val="000000"/>
          <w:sz w:val="22"/>
          <w:szCs w:val="22"/>
          <w:lang w:eastAsia="zh-CN"/>
        </w:rPr>
        <w:t>Another commenter argued that</w:t>
      </w:r>
      <w:r w:rsidRPr="002221B5" w:rsidR="00E45554">
        <w:rPr>
          <w:rFonts w:ascii="Arial" w:eastAsia="Times New Roman" w:hAnsi="Arial" w:cs="Arial"/>
          <w:color w:val="000000"/>
          <w:sz w:val="22"/>
          <w:szCs w:val="22"/>
          <w:lang w:eastAsia="zh-CN"/>
        </w:rPr>
        <w:t xml:space="preserve"> ESPs issued under 10 CFR Part 52</w:t>
      </w:r>
      <w:r w:rsidRPr="002221B5" w:rsidR="00D361F8">
        <w:rPr>
          <w:rFonts w:ascii="Arial" w:eastAsia="Times New Roman" w:hAnsi="Arial" w:cs="Arial"/>
          <w:color w:val="000000"/>
          <w:sz w:val="22"/>
          <w:szCs w:val="22"/>
          <w:lang w:eastAsia="zh-CN"/>
        </w:rPr>
        <w:t xml:space="preserve"> or 10 CFR Part 53</w:t>
      </w:r>
      <w:r w:rsidRPr="002221B5" w:rsidR="000A0649">
        <w:rPr>
          <w:rFonts w:ascii="Arial" w:eastAsia="Times New Roman" w:hAnsi="Arial" w:cs="Arial"/>
          <w:color w:val="000000"/>
          <w:sz w:val="22"/>
          <w:szCs w:val="22"/>
          <w:lang w:eastAsia="zh-CN"/>
        </w:rPr>
        <w:t xml:space="preserve"> should be valid for any other licensing pathway (</w:t>
      </w:r>
      <w:r w:rsidR="004C1A5D">
        <w:rPr>
          <w:rFonts w:ascii="Arial" w:eastAsia="DengXian" w:hAnsi="Arial" w:cs="Arial"/>
          <w:sz w:val="22"/>
          <w:szCs w:val="22"/>
        </w:rPr>
        <w:t>BI1</w:t>
      </w:r>
      <w:r w:rsidRPr="002221B5" w:rsidR="000A0649">
        <w:rPr>
          <w:rFonts w:ascii="Arial" w:eastAsia="DengXian" w:hAnsi="Arial" w:cs="Arial"/>
          <w:sz w:val="22"/>
          <w:szCs w:val="22"/>
        </w:rPr>
        <w:t>-0019).</w:t>
      </w:r>
    </w:p>
    <w:p w:rsidR="00F558BE" w:rsidRPr="002221B5" w:rsidP="002221B5" w14:paraId="1219B672" w14:textId="77777777">
      <w:pPr>
        <w:spacing w:after="220"/>
        <w:rPr>
          <w:rFonts w:ascii="Arial" w:eastAsia="Times New Roman" w:hAnsi="Arial" w:cs="Arial"/>
          <w:color w:val="000000"/>
          <w:sz w:val="22"/>
          <w:szCs w:val="22"/>
          <w:lang w:eastAsia="zh-CN"/>
        </w:rPr>
      </w:pPr>
      <w:r w:rsidRPr="002221B5">
        <w:rPr>
          <w:rFonts w:ascii="Arial" w:eastAsia="Times New Roman" w:hAnsi="Arial" w:cs="Arial"/>
          <w:color w:val="000000"/>
          <w:sz w:val="22"/>
          <w:szCs w:val="22"/>
          <w:lang w:eastAsia="zh-CN"/>
        </w:rPr>
        <w:t>The commenter also wrote that licensees should be able to convert final regulatory approvals under 10 CFR Part 50 and 10 CFR Part 52 to an equivalent decision under 10 CFR Part 53. The commenter added that this would be more difficult but should be possible if applicants can “demonstrate that the prescriptive safety case developed to meet the regulatory requirements” in 10 CFR Part 50 and 10 CFR Part 52 would also meet the performance-based safety requirements in 10 CFR Part 53 (</w:t>
      </w:r>
      <w:r w:rsidR="000341A7">
        <w:rPr>
          <w:rFonts w:ascii="Arial" w:eastAsia="Times New Roman" w:hAnsi="Arial" w:cs="Arial"/>
          <w:color w:val="000000"/>
          <w:sz w:val="22"/>
          <w:szCs w:val="22"/>
          <w:lang w:eastAsia="zh-CN"/>
        </w:rPr>
        <w:t>NIA2</w:t>
      </w:r>
      <w:r w:rsidRPr="002221B5">
        <w:rPr>
          <w:rFonts w:ascii="Arial" w:eastAsia="Times New Roman" w:hAnsi="Arial" w:cs="Arial"/>
          <w:color w:val="000000"/>
          <w:sz w:val="22"/>
          <w:szCs w:val="22"/>
          <w:lang w:eastAsia="zh-CN"/>
        </w:rPr>
        <w:t>-0011).</w:t>
      </w:r>
    </w:p>
    <w:p w:rsidR="00F558BE" w:rsidRPr="002221B5" w:rsidP="002221B5" w14:paraId="7F790190" w14:textId="77777777">
      <w:pPr>
        <w:spacing w:after="220"/>
        <w:rPr>
          <w:rFonts w:ascii="Arial" w:eastAsia="Times New Roman" w:hAnsi="Arial" w:cs="Arial"/>
          <w:color w:val="000000"/>
          <w:sz w:val="22"/>
          <w:szCs w:val="22"/>
          <w:lang w:eastAsia="zh-CN"/>
        </w:rPr>
      </w:pPr>
      <w:r w:rsidRPr="002221B5">
        <w:rPr>
          <w:rFonts w:ascii="Arial" w:eastAsia="Times New Roman" w:hAnsi="Arial" w:cs="Arial"/>
          <w:color w:val="000000"/>
          <w:sz w:val="22"/>
          <w:szCs w:val="22"/>
          <w:lang w:eastAsia="zh-CN"/>
        </w:rPr>
        <w:t>A commenter suggested that the NRC update the preamble for the final rule indicating that transitioning from 10 CFR Part 50 and 10 CFR Part 52 to 10 CFR Part 53 would not reopen settled safety issues (</w:t>
      </w:r>
      <w:r w:rsidR="009D6BB9">
        <w:rPr>
          <w:rFonts w:ascii="Arial" w:eastAsia="Times New Roman" w:hAnsi="Arial" w:cs="Arial"/>
          <w:color w:val="000000"/>
          <w:sz w:val="22"/>
          <w:szCs w:val="22"/>
          <w:lang w:eastAsia="zh-CN"/>
        </w:rPr>
        <w:t>NEI2</w:t>
      </w:r>
      <w:r w:rsidRPr="002221B5">
        <w:rPr>
          <w:rFonts w:ascii="Arial" w:eastAsia="Times New Roman" w:hAnsi="Arial" w:cs="Arial"/>
          <w:color w:val="000000"/>
          <w:sz w:val="22"/>
          <w:szCs w:val="22"/>
          <w:lang w:eastAsia="zh-CN"/>
        </w:rPr>
        <w:t xml:space="preserve">-0004). </w:t>
      </w:r>
    </w:p>
    <w:p w:rsidR="007F112A" w:rsidRPr="002221B5" w:rsidP="002221B5" w14:paraId="603DDC75" w14:textId="77777777">
      <w:pPr>
        <w:spacing w:after="220"/>
        <w:rPr>
          <w:rFonts w:ascii="Arial" w:hAnsi="Arial" w:cs="Arial"/>
          <w:sz w:val="22"/>
          <w:szCs w:val="22"/>
        </w:rPr>
      </w:pPr>
      <w:r w:rsidRPr="002221B5">
        <w:rPr>
          <w:rFonts w:ascii="Arial" w:eastAsia="Times New Roman" w:hAnsi="Arial" w:cs="Arial"/>
          <w:color w:val="000000"/>
          <w:sz w:val="22"/>
          <w:szCs w:val="22"/>
          <w:lang w:eastAsia="zh-CN"/>
        </w:rPr>
        <w:t>A commenter added that the NRC should remove 10 CFR 53.610 as this would improve sup</w:t>
      </w:r>
      <w:r w:rsidRPr="002221B5">
        <w:rPr>
          <w:rFonts w:ascii="Arial" w:hAnsi="Arial" w:cs="Arial"/>
          <w:sz w:val="22"/>
          <w:szCs w:val="22"/>
        </w:rPr>
        <w:t>ply chain efficiency and allow for alternative quality assurance programs that would ensure that quality assurance requirements are transferable between 10 CFR Part 50 and 10 CFR Part 52 and 10 CFR Part 53 (</w:t>
      </w:r>
      <w:r w:rsidR="004C1A5D">
        <w:rPr>
          <w:rFonts w:ascii="Arial" w:hAnsi="Arial" w:cs="Arial"/>
          <w:sz w:val="22"/>
          <w:szCs w:val="22"/>
        </w:rPr>
        <w:t>BI1</w:t>
      </w:r>
      <w:r w:rsidRPr="002221B5">
        <w:rPr>
          <w:rFonts w:ascii="Arial" w:hAnsi="Arial" w:cs="Arial"/>
          <w:sz w:val="22"/>
          <w:szCs w:val="22"/>
        </w:rPr>
        <w:t>-0013). </w:t>
      </w:r>
    </w:p>
    <w:p w:rsidR="00F95539" w:rsidP="002221B5" w14:paraId="403F6B1E" w14:textId="77777777">
      <w:pPr>
        <w:spacing w:after="220"/>
        <w:rPr>
          <w:rFonts w:ascii="Arial" w:hAnsi="Arial" w:cs="Arial"/>
          <w:bCs/>
          <w:sz w:val="22"/>
          <w:szCs w:val="22"/>
        </w:rPr>
      </w:pPr>
      <w:r w:rsidRPr="002221B5">
        <w:rPr>
          <w:rFonts w:ascii="Arial" w:hAnsi="Arial" w:cs="Arial"/>
          <w:b/>
          <w:sz w:val="22"/>
          <w:szCs w:val="22"/>
        </w:rPr>
        <w:t>NRC Response: </w:t>
      </w:r>
      <w:r w:rsidR="00FF4A2A">
        <w:rPr>
          <w:rFonts w:ascii="Arial" w:hAnsi="Arial" w:cs="Arial"/>
          <w:bCs/>
          <w:sz w:val="22"/>
          <w:szCs w:val="22"/>
        </w:rPr>
        <w:t>The NRC agrees, in part, with these comments.</w:t>
      </w:r>
    </w:p>
    <w:p w:rsidR="007F112A" w:rsidRPr="002221B5" w:rsidP="002221B5" w14:paraId="5BFD25FA" w14:textId="77777777">
      <w:pPr>
        <w:spacing w:after="220"/>
        <w:rPr>
          <w:rFonts w:ascii="Arial" w:hAnsi="Arial" w:cs="Arial"/>
          <w:sz w:val="22"/>
          <w:szCs w:val="22"/>
        </w:rPr>
      </w:pPr>
      <w:r w:rsidRPr="002221B5">
        <w:rPr>
          <w:rFonts w:ascii="Arial" w:hAnsi="Arial" w:cs="Arial"/>
          <w:sz w:val="22"/>
          <w:szCs w:val="22"/>
        </w:rPr>
        <w:t>The NRC disagrees with the comments to codify a process for “cross-part” licensing between 10 CFR Parts 50, 52, and 53</w:t>
      </w:r>
      <w:r w:rsidR="00C62395">
        <w:rPr>
          <w:rFonts w:ascii="Arial" w:hAnsi="Arial" w:cs="Arial"/>
          <w:sz w:val="22"/>
          <w:szCs w:val="22"/>
        </w:rPr>
        <w:t>, but notes that o</w:t>
      </w:r>
      <w:r w:rsidRPr="00C62395" w:rsidR="00C62395">
        <w:rPr>
          <w:rFonts w:ascii="Arial" w:hAnsi="Arial" w:cs="Arial"/>
          <w:sz w:val="22"/>
          <w:szCs w:val="22"/>
        </w:rPr>
        <w:t xml:space="preserve">ther, less complex pathways exist for applicants and licensees under 10 CFR Parts 50 and 52 to seek flexibilities similar to those allowed under 10 CFR Part 53 for the various regulatory areas mentioned in the comments without the need </w:t>
      </w:r>
      <w:r w:rsidRPr="00C62395" w:rsidR="00C62395">
        <w:rPr>
          <w:rFonts w:ascii="Arial" w:hAnsi="Arial" w:cs="Arial"/>
          <w:sz w:val="22"/>
          <w:szCs w:val="22"/>
        </w:rPr>
        <w:t>for rulemaking. Some of these alternative pathways were outlined in SECY</w:t>
      </w:r>
      <w:r w:rsidRPr="00C62395" w:rsidR="00C62395">
        <w:rPr>
          <w:rFonts w:ascii="Arial" w:hAnsi="Arial" w:cs="Arial"/>
          <w:sz w:val="22"/>
          <w:szCs w:val="22"/>
        </w:rPr>
        <w:noBreakHyphen/>
        <w:t>23</w:t>
      </w:r>
      <w:r w:rsidRPr="00C62395" w:rsidR="00C62395">
        <w:rPr>
          <w:rFonts w:ascii="Arial" w:hAnsi="Arial" w:cs="Arial"/>
          <w:sz w:val="22"/>
          <w:szCs w:val="22"/>
        </w:rPr>
        <w:noBreakHyphen/>
        <w:t>0021 in relation to the staff’s draft proposed 10 CFR Part 53, Framework B</w:t>
      </w:r>
      <w:r w:rsidRPr="002221B5">
        <w:rPr>
          <w:rFonts w:ascii="Arial" w:hAnsi="Arial" w:cs="Arial"/>
          <w:sz w:val="22"/>
          <w:szCs w:val="22"/>
        </w:rPr>
        <w:t>.</w:t>
      </w:r>
    </w:p>
    <w:p w:rsidR="004B3FB4" w:rsidP="002221B5" w14:paraId="19A6DDFC" w14:textId="77777777">
      <w:pPr>
        <w:spacing w:after="220"/>
        <w:rPr>
          <w:rFonts w:ascii="Arial" w:hAnsi="Arial" w:cs="Arial"/>
          <w:sz w:val="22"/>
          <w:szCs w:val="22"/>
        </w:rPr>
      </w:pPr>
      <w:r w:rsidRPr="002221B5">
        <w:rPr>
          <w:rFonts w:ascii="Arial" w:hAnsi="Arial" w:cs="Arial"/>
          <w:sz w:val="22"/>
          <w:szCs w:val="22"/>
        </w:rPr>
        <w:t>From a legal and regulatory perspective, i</w:t>
      </w:r>
      <w:r w:rsidRPr="002221B5" w:rsidR="007F112A">
        <w:rPr>
          <w:rFonts w:ascii="Arial" w:hAnsi="Arial" w:cs="Arial"/>
          <w:sz w:val="22"/>
          <w:szCs w:val="22"/>
        </w:rPr>
        <w:t xml:space="preserve">t would be </w:t>
      </w:r>
      <w:r w:rsidR="00C677C6">
        <w:rPr>
          <w:rFonts w:ascii="Arial" w:hAnsi="Arial" w:cs="Arial"/>
          <w:sz w:val="22"/>
          <w:szCs w:val="22"/>
        </w:rPr>
        <w:t>almost impossible</w:t>
      </w:r>
      <w:r w:rsidRPr="002221B5" w:rsidR="007F112A">
        <w:rPr>
          <w:rFonts w:ascii="Arial" w:hAnsi="Arial" w:cs="Arial"/>
          <w:sz w:val="22"/>
          <w:szCs w:val="22"/>
        </w:rPr>
        <w:t xml:space="preserve"> to codify such a framework in a clear and coherent manner given the fundamentally different safety constructs of 10 CFR Parts 50 and 52 as compared to 10 CFR Part 53. It would require not only revisions to 10 CFR Part 53, but also revisions to other parts of </w:t>
      </w:r>
      <w:r w:rsidRPr="002221B5" w:rsidR="003C12AF">
        <w:rPr>
          <w:rFonts w:ascii="Arial" w:hAnsi="Arial" w:cs="Arial"/>
          <w:sz w:val="22"/>
          <w:szCs w:val="22"/>
        </w:rPr>
        <w:t xml:space="preserve">the </w:t>
      </w:r>
      <w:r w:rsidRPr="002221B5" w:rsidR="007F112A">
        <w:rPr>
          <w:rFonts w:ascii="Arial" w:hAnsi="Arial" w:cs="Arial"/>
          <w:sz w:val="22"/>
          <w:szCs w:val="22"/>
        </w:rPr>
        <w:t xml:space="preserve">NRC’s regulations (e.g., 10 CFR Parts 2, 51, and 52). Such a licensing construct would likely benefit only a small number of applicants that would be in a position to take advantage of such a framework. The benefits of developing such a regulatory construct </w:t>
      </w:r>
      <w:r w:rsidRPr="002221B5" w:rsidR="00016EA3">
        <w:rPr>
          <w:rFonts w:ascii="Arial" w:hAnsi="Arial" w:cs="Arial"/>
          <w:sz w:val="22"/>
          <w:szCs w:val="22"/>
        </w:rPr>
        <w:t>would be</w:t>
      </w:r>
      <w:r w:rsidRPr="002221B5" w:rsidR="007F112A">
        <w:rPr>
          <w:rFonts w:ascii="Arial" w:hAnsi="Arial" w:cs="Arial"/>
          <w:sz w:val="22"/>
          <w:szCs w:val="22"/>
        </w:rPr>
        <w:t xml:space="preserve"> unlikely to outweigh the costs </w:t>
      </w:r>
      <w:r w:rsidRPr="002221B5" w:rsidR="00016EA3">
        <w:rPr>
          <w:rFonts w:ascii="Arial" w:hAnsi="Arial" w:cs="Arial"/>
          <w:sz w:val="22"/>
          <w:szCs w:val="22"/>
        </w:rPr>
        <w:t>(</w:t>
      </w:r>
      <w:r w:rsidRPr="002221B5" w:rsidR="007F112A">
        <w:rPr>
          <w:rFonts w:ascii="Arial" w:hAnsi="Arial" w:cs="Arial"/>
          <w:sz w:val="22"/>
          <w:szCs w:val="22"/>
        </w:rPr>
        <w:t>in terms of dollars, time, and clarity in the regulations</w:t>
      </w:r>
      <w:r w:rsidRPr="002221B5" w:rsidR="00016EA3">
        <w:rPr>
          <w:rFonts w:ascii="Arial" w:hAnsi="Arial" w:cs="Arial"/>
          <w:sz w:val="22"/>
          <w:szCs w:val="22"/>
        </w:rPr>
        <w:t>)</w:t>
      </w:r>
      <w:r w:rsidRPr="002221B5" w:rsidR="007F112A">
        <w:rPr>
          <w:rFonts w:ascii="Arial" w:hAnsi="Arial" w:cs="Arial"/>
          <w:sz w:val="22"/>
          <w:szCs w:val="22"/>
        </w:rPr>
        <w:t>.</w:t>
      </w:r>
    </w:p>
    <w:p w:rsidR="007F112A" w:rsidRPr="002221B5" w:rsidP="002221B5" w14:paraId="319ED12F" w14:textId="77777777">
      <w:pPr>
        <w:spacing w:after="220"/>
        <w:rPr>
          <w:rFonts w:ascii="Arial" w:hAnsi="Arial" w:cs="Arial"/>
          <w:sz w:val="22"/>
          <w:szCs w:val="22"/>
        </w:rPr>
      </w:pPr>
      <w:r w:rsidRPr="002221B5">
        <w:rPr>
          <w:rFonts w:ascii="Arial" w:hAnsi="Arial" w:cs="Arial"/>
          <w:sz w:val="22"/>
          <w:szCs w:val="22"/>
        </w:rPr>
        <w:t xml:space="preserve">However, </w:t>
      </w:r>
      <w:r w:rsidR="00FF1467">
        <w:rPr>
          <w:rFonts w:ascii="Arial" w:hAnsi="Arial" w:cs="Arial"/>
          <w:sz w:val="22"/>
          <w:szCs w:val="22"/>
        </w:rPr>
        <w:t xml:space="preserve">the NRC agrees </w:t>
      </w:r>
      <w:r w:rsidRPr="00E31759" w:rsidR="00E31759">
        <w:rPr>
          <w:rFonts w:ascii="Arial" w:hAnsi="Arial" w:cs="Arial"/>
          <w:sz w:val="22"/>
          <w:szCs w:val="22"/>
        </w:rPr>
        <w:t xml:space="preserve">that guidance could </w:t>
      </w:r>
      <w:r w:rsidR="00736E2E">
        <w:rPr>
          <w:rFonts w:ascii="Arial" w:hAnsi="Arial" w:cs="Arial"/>
          <w:sz w:val="22"/>
          <w:szCs w:val="22"/>
        </w:rPr>
        <w:t>help</w:t>
      </w:r>
      <w:r w:rsidRPr="00E31759" w:rsidR="00E31759">
        <w:rPr>
          <w:rFonts w:ascii="Arial" w:hAnsi="Arial" w:cs="Arial"/>
          <w:sz w:val="22"/>
          <w:szCs w:val="22"/>
        </w:rPr>
        <w:t xml:space="preserve"> to clarify limitations and </w:t>
      </w:r>
      <w:r w:rsidR="00F16257">
        <w:rPr>
          <w:rFonts w:ascii="Arial" w:hAnsi="Arial" w:cs="Arial"/>
          <w:sz w:val="22"/>
          <w:szCs w:val="22"/>
        </w:rPr>
        <w:t>pro</w:t>
      </w:r>
      <w:r w:rsidR="00235F67">
        <w:rPr>
          <w:rFonts w:ascii="Arial" w:hAnsi="Arial" w:cs="Arial"/>
          <w:sz w:val="22"/>
          <w:szCs w:val="22"/>
        </w:rPr>
        <w:t>v</w:t>
      </w:r>
      <w:r w:rsidR="00F16257">
        <w:rPr>
          <w:rFonts w:ascii="Arial" w:hAnsi="Arial" w:cs="Arial"/>
          <w:sz w:val="22"/>
          <w:szCs w:val="22"/>
        </w:rPr>
        <w:t>ide</w:t>
      </w:r>
      <w:r w:rsidRPr="00E31759" w:rsidR="00E31759">
        <w:rPr>
          <w:rFonts w:ascii="Arial" w:hAnsi="Arial" w:cs="Arial"/>
          <w:sz w:val="22"/>
          <w:szCs w:val="22"/>
        </w:rPr>
        <w:t xml:space="preserve"> additional </w:t>
      </w:r>
      <w:r w:rsidR="0031622F">
        <w:rPr>
          <w:rFonts w:ascii="Arial" w:hAnsi="Arial" w:cs="Arial"/>
          <w:sz w:val="22"/>
          <w:szCs w:val="22"/>
        </w:rPr>
        <w:t>guidelines</w:t>
      </w:r>
      <w:r w:rsidRPr="00E31759" w:rsidR="00E31759">
        <w:rPr>
          <w:rFonts w:ascii="Arial" w:hAnsi="Arial" w:cs="Arial"/>
          <w:sz w:val="22"/>
          <w:szCs w:val="22"/>
        </w:rPr>
        <w:t xml:space="preserve"> to support license transfers for LMP applications under 10 CFR Part 50 or 52 to 10</w:t>
      </w:r>
      <w:r w:rsidR="005473CD">
        <w:rPr>
          <w:rFonts w:ascii="Arial" w:hAnsi="Arial" w:cs="Arial"/>
          <w:sz w:val="22"/>
          <w:szCs w:val="22"/>
        </w:rPr>
        <w:t> </w:t>
      </w:r>
      <w:r w:rsidRPr="00E31759" w:rsidR="00E31759">
        <w:rPr>
          <w:rFonts w:ascii="Arial" w:hAnsi="Arial" w:cs="Arial"/>
          <w:sz w:val="22"/>
          <w:szCs w:val="22"/>
        </w:rPr>
        <w:t>CFR Part 53</w:t>
      </w:r>
      <w:r w:rsidR="004D25A8">
        <w:rPr>
          <w:rFonts w:ascii="Arial" w:hAnsi="Arial" w:cs="Arial"/>
          <w:sz w:val="22"/>
          <w:szCs w:val="22"/>
        </w:rPr>
        <w:t>.</w:t>
      </w:r>
      <w:r w:rsidR="007E149E">
        <w:rPr>
          <w:rFonts w:ascii="Arial" w:hAnsi="Arial" w:cs="Arial"/>
          <w:sz w:val="22"/>
          <w:szCs w:val="22"/>
        </w:rPr>
        <w:t xml:space="preserve"> </w:t>
      </w:r>
      <w:r w:rsidR="004D25A8">
        <w:rPr>
          <w:rFonts w:ascii="Arial" w:hAnsi="Arial" w:cs="Arial"/>
          <w:sz w:val="22"/>
          <w:szCs w:val="22"/>
        </w:rPr>
        <w:t>T</w:t>
      </w:r>
      <w:r w:rsidRPr="002221B5">
        <w:rPr>
          <w:rFonts w:ascii="Arial" w:hAnsi="Arial" w:cs="Arial"/>
          <w:sz w:val="22"/>
          <w:szCs w:val="22"/>
        </w:rPr>
        <w:t xml:space="preserve">he NRC notes that a subset of </w:t>
      </w:r>
      <w:r w:rsidRPr="002221B5" w:rsidR="006310D0">
        <w:rPr>
          <w:rFonts w:ascii="Arial" w:hAnsi="Arial" w:cs="Arial"/>
          <w:sz w:val="22"/>
          <w:szCs w:val="22"/>
        </w:rPr>
        <w:t>current</w:t>
      </w:r>
      <w:r w:rsidRPr="002221B5">
        <w:rPr>
          <w:rFonts w:ascii="Arial" w:hAnsi="Arial" w:cs="Arial"/>
          <w:sz w:val="22"/>
          <w:szCs w:val="22"/>
        </w:rPr>
        <w:t xml:space="preserve"> </w:t>
      </w:r>
      <w:r w:rsidR="00BF538B">
        <w:rPr>
          <w:rFonts w:ascii="Arial" w:hAnsi="Arial" w:cs="Arial"/>
          <w:sz w:val="22"/>
          <w:szCs w:val="22"/>
        </w:rPr>
        <w:t>10 CFR </w:t>
      </w:r>
      <w:r w:rsidRPr="002221B5">
        <w:rPr>
          <w:rFonts w:ascii="Arial" w:hAnsi="Arial" w:cs="Arial"/>
          <w:sz w:val="22"/>
          <w:szCs w:val="22"/>
        </w:rPr>
        <w:t xml:space="preserve">Part 50 or 52 applicants </w:t>
      </w:r>
      <w:r w:rsidRPr="002221B5" w:rsidR="00051949">
        <w:rPr>
          <w:rFonts w:ascii="Arial" w:hAnsi="Arial" w:cs="Arial"/>
          <w:sz w:val="22"/>
          <w:szCs w:val="22"/>
        </w:rPr>
        <w:t xml:space="preserve">may utilize the </w:t>
      </w:r>
      <w:r w:rsidRPr="002221B5" w:rsidR="00C418B1">
        <w:rPr>
          <w:rFonts w:ascii="Arial" w:hAnsi="Arial" w:cs="Arial"/>
          <w:sz w:val="22"/>
          <w:szCs w:val="22"/>
        </w:rPr>
        <w:t xml:space="preserve">NRC’s Advanced Reactor Content of Application and Technology-Inclusive Content of Application guidance documents. Those guidance documents, like </w:t>
      </w:r>
      <w:r w:rsidR="00AE1B16">
        <w:rPr>
          <w:rFonts w:ascii="Arial" w:hAnsi="Arial" w:cs="Arial"/>
          <w:sz w:val="22"/>
          <w:szCs w:val="22"/>
        </w:rPr>
        <w:t>10 CFR </w:t>
      </w:r>
      <w:r w:rsidRPr="002221B5" w:rsidR="00C418B1">
        <w:rPr>
          <w:rFonts w:ascii="Arial" w:hAnsi="Arial" w:cs="Arial"/>
          <w:sz w:val="22"/>
          <w:szCs w:val="22"/>
        </w:rPr>
        <w:t xml:space="preserve">Part 53, </w:t>
      </w:r>
      <w:r w:rsidRPr="002221B5" w:rsidR="00112F3A">
        <w:rPr>
          <w:rFonts w:ascii="Arial" w:hAnsi="Arial" w:cs="Arial"/>
          <w:sz w:val="22"/>
          <w:szCs w:val="22"/>
        </w:rPr>
        <w:t xml:space="preserve">were designed to accommodate </w:t>
      </w:r>
      <w:r w:rsidRPr="002221B5" w:rsidR="00F333C3">
        <w:rPr>
          <w:rFonts w:ascii="Arial" w:hAnsi="Arial" w:cs="Arial"/>
          <w:sz w:val="22"/>
          <w:szCs w:val="22"/>
        </w:rPr>
        <w:t xml:space="preserve">applications based on </w:t>
      </w:r>
      <w:r w:rsidR="006F6192">
        <w:rPr>
          <w:rFonts w:ascii="Arial" w:hAnsi="Arial" w:cs="Arial"/>
          <w:sz w:val="22"/>
          <w:szCs w:val="22"/>
        </w:rPr>
        <w:t>LMP</w:t>
      </w:r>
      <w:r w:rsidRPr="002221B5" w:rsidR="00F333C3">
        <w:rPr>
          <w:rFonts w:ascii="Arial" w:hAnsi="Arial" w:cs="Arial"/>
          <w:sz w:val="22"/>
          <w:szCs w:val="22"/>
        </w:rPr>
        <w:t>. For those a</w:t>
      </w:r>
      <w:r w:rsidRPr="002221B5" w:rsidR="005D7444">
        <w:rPr>
          <w:rFonts w:ascii="Arial" w:hAnsi="Arial" w:cs="Arial"/>
          <w:sz w:val="22"/>
          <w:szCs w:val="22"/>
        </w:rPr>
        <w:t xml:space="preserve">pplicants, the NRC recognizes the possibility that a simpler approach to moving from </w:t>
      </w:r>
      <w:r w:rsidR="00AE1B16">
        <w:rPr>
          <w:rFonts w:ascii="Arial" w:hAnsi="Arial" w:cs="Arial"/>
          <w:sz w:val="22"/>
          <w:szCs w:val="22"/>
        </w:rPr>
        <w:t>10 CFR </w:t>
      </w:r>
      <w:r w:rsidRPr="002221B5" w:rsidR="005D7444">
        <w:rPr>
          <w:rFonts w:ascii="Arial" w:hAnsi="Arial" w:cs="Arial"/>
          <w:sz w:val="22"/>
          <w:szCs w:val="22"/>
        </w:rPr>
        <w:t xml:space="preserve">Part 50 or 52 into </w:t>
      </w:r>
      <w:r w:rsidR="00AE1B16">
        <w:rPr>
          <w:rFonts w:ascii="Arial" w:hAnsi="Arial" w:cs="Arial"/>
          <w:sz w:val="22"/>
          <w:szCs w:val="22"/>
        </w:rPr>
        <w:t>10 CFR </w:t>
      </w:r>
      <w:r w:rsidRPr="002221B5" w:rsidR="005D7444">
        <w:rPr>
          <w:rFonts w:ascii="Arial" w:hAnsi="Arial" w:cs="Arial"/>
          <w:sz w:val="22"/>
          <w:szCs w:val="22"/>
        </w:rPr>
        <w:t xml:space="preserve">Part 53 may exist, based on the common licensing methodology underlying both approaches. </w:t>
      </w:r>
      <w:r w:rsidRPr="00AD7AC9" w:rsidR="00AD7AC9">
        <w:rPr>
          <w:rFonts w:ascii="Arial" w:hAnsi="Arial" w:cs="Arial"/>
          <w:sz w:val="22"/>
          <w:szCs w:val="22"/>
        </w:rPr>
        <w:t>Technical information from either a 10 CFR Part 50 or Part 52 application can be reused by an applicant for a 10 CFR Part 53 application, and the transition would be especially straightforward for an applicant using the LMP methodology.</w:t>
      </w:r>
      <w:r w:rsidR="00AD7AC9">
        <w:rPr>
          <w:rFonts w:ascii="Arial" w:hAnsi="Arial" w:cs="Arial"/>
          <w:sz w:val="22"/>
          <w:szCs w:val="22"/>
        </w:rPr>
        <w:t xml:space="preserve"> </w:t>
      </w:r>
      <w:r w:rsidRPr="002221B5" w:rsidR="005D7444">
        <w:rPr>
          <w:rFonts w:ascii="Arial" w:hAnsi="Arial" w:cs="Arial"/>
          <w:sz w:val="22"/>
          <w:szCs w:val="22"/>
        </w:rPr>
        <w:t xml:space="preserve">The NRC will consider providing guidance on this topic </w:t>
      </w:r>
      <w:r w:rsidRPr="002221B5" w:rsidR="00E41E3D">
        <w:rPr>
          <w:rFonts w:ascii="Arial" w:hAnsi="Arial" w:cs="Arial"/>
          <w:sz w:val="22"/>
          <w:szCs w:val="22"/>
        </w:rPr>
        <w:t xml:space="preserve">as part of its efforts to develop additional guidance on </w:t>
      </w:r>
      <w:r w:rsidR="00E41561">
        <w:rPr>
          <w:rFonts w:ascii="Arial" w:hAnsi="Arial" w:cs="Arial"/>
          <w:sz w:val="22"/>
          <w:szCs w:val="22"/>
        </w:rPr>
        <w:t>10 CFR </w:t>
      </w:r>
      <w:r w:rsidRPr="002221B5" w:rsidR="00E41E3D">
        <w:rPr>
          <w:rFonts w:ascii="Arial" w:hAnsi="Arial" w:cs="Arial"/>
          <w:sz w:val="22"/>
          <w:szCs w:val="22"/>
        </w:rPr>
        <w:t xml:space="preserve">Part 53 </w:t>
      </w:r>
      <w:r w:rsidRPr="002221B5" w:rsidR="006310D0">
        <w:rPr>
          <w:rFonts w:ascii="Arial" w:hAnsi="Arial" w:cs="Arial"/>
          <w:sz w:val="22"/>
          <w:szCs w:val="22"/>
        </w:rPr>
        <w:t xml:space="preserve">following </w:t>
      </w:r>
      <w:r w:rsidRPr="002221B5" w:rsidR="00E41E3D">
        <w:rPr>
          <w:rFonts w:ascii="Arial" w:hAnsi="Arial" w:cs="Arial"/>
          <w:sz w:val="22"/>
          <w:szCs w:val="22"/>
        </w:rPr>
        <w:t>completion of this rulemaking.</w:t>
      </w:r>
      <w:r w:rsidRPr="002221B5" w:rsidR="006310D0">
        <w:rPr>
          <w:rFonts w:ascii="Arial" w:hAnsi="Arial" w:cs="Arial"/>
          <w:sz w:val="22"/>
          <w:szCs w:val="22"/>
        </w:rPr>
        <w:t xml:space="preserve"> </w:t>
      </w:r>
    </w:p>
    <w:p w:rsidR="007F112A" w:rsidRPr="002221B5" w:rsidP="002221B5" w14:paraId="34CBBA3D" w14:textId="77777777">
      <w:pPr>
        <w:spacing w:after="220"/>
        <w:rPr>
          <w:rFonts w:ascii="Arial" w:hAnsi="Arial" w:cs="Arial"/>
          <w:sz w:val="22"/>
          <w:szCs w:val="22"/>
        </w:rPr>
      </w:pPr>
      <w:r w:rsidRPr="002221B5">
        <w:rPr>
          <w:rFonts w:ascii="Arial" w:hAnsi="Arial" w:cs="Arial"/>
          <w:sz w:val="22"/>
          <w:szCs w:val="22"/>
        </w:rPr>
        <w:t>The NRC disagrees with the comment that the NRC should remove 10 CFR 53.610 to ensure that quality assurance requirements are transferable between 10 CFR Part 50 and 10</w:t>
      </w:r>
      <w:r w:rsidRPr="002221B5" w:rsidR="006E58BE">
        <w:rPr>
          <w:rFonts w:ascii="Arial" w:hAnsi="Arial" w:cs="Arial"/>
          <w:sz w:val="22"/>
          <w:szCs w:val="22"/>
        </w:rPr>
        <w:t> </w:t>
      </w:r>
      <w:r w:rsidRPr="002221B5">
        <w:rPr>
          <w:rFonts w:ascii="Arial" w:hAnsi="Arial" w:cs="Arial"/>
          <w:sz w:val="22"/>
          <w:szCs w:val="22"/>
        </w:rPr>
        <w:t>CFR Part 52 and 10 CFR Part 53. The NRC regulatory frameworks in 10</w:t>
      </w:r>
      <w:r w:rsidRPr="002221B5" w:rsidR="00190A2A">
        <w:rPr>
          <w:rFonts w:ascii="Arial" w:hAnsi="Arial" w:cs="Arial"/>
          <w:sz w:val="22"/>
          <w:szCs w:val="22"/>
        </w:rPr>
        <w:t> </w:t>
      </w:r>
      <w:r w:rsidRPr="002221B5">
        <w:rPr>
          <w:rFonts w:ascii="Arial" w:hAnsi="Arial" w:cs="Arial"/>
          <w:sz w:val="22"/>
          <w:szCs w:val="22"/>
        </w:rPr>
        <w:t>CFR</w:t>
      </w:r>
      <w:r w:rsidRPr="002221B5" w:rsidR="00190A2A">
        <w:rPr>
          <w:rFonts w:ascii="Arial" w:hAnsi="Arial" w:cs="Arial"/>
          <w:sz w:val="22"/>
          <w:szCs w:val="22"/>
        </w:rPr>
        <w:t> </w:t>
      </w:r>
      <w:r w:rsidRPr="002221B5">
        <w:rPr>
          <w:rFonts w:ascii="Arial" w:hAnsi="Arial" w:cs="Arial"/>
          <w:sz w:val="22"/>
          <w:szCs w:val="22"/>
        </w:rPr>
        <w:t>Parts 50, 52, and 53 all rely on the same quality assurance requirements, namely, those in 10 CFR Part 50, Appendix B.</w:t>
      </w:r>
    </w:p>
    <w:p w:rsidR="007F112A" w:rsidRPr="002221B5" w:rsidP="002221B5" w14:paraId="06B4788D" w14:textId="77777777">
      <w:pPr>
        <w:spacing w:after="220"/>
        <w:rPr>
          <w:rFonts w:ascii="Arial" w:hAnsi="Arial" w:cs="Arial"/>
          <w:sz w:val="22"/>
          <w:szCs w:val="22"/>
        </w:rPr>
      </w:pPr>
      <w:r w:rsidRPr="002221B5">
        <w:rPr>
          <w:rFonts w:ascii="Arial" w:hAnsi="Arial" w:cs="Arial"/>
          <w:sz w:val="22"/>
          <w:szCs w:val="22"/>
        </w:rPr>
        <w:t>A</w:t>
      </w:r>
      <w:r w:rsidRPr="002221B5">
        <w:rPr>
          <w:rFonts w:ascii="Arial" w:eastAsia="DengXian" w:hAnsi="Arial" w:cs="Arial"/>
          <w:sz w:val="22"/>
          <w:szCs w:val="22"/>
          <w:lang w:eastAsia="ja-JP"/>
        </w:rPr>
        <w:t>ccordingly, the NRC did not revise the rule language in response to these comments.</w:t>
      </w:r>
    </w:p>
    <w:p w:rsidR="007F112A" w:rsidRPr="002221B5" w:rsidP="002221B5" w14:paraId="54816A26" w14:textId="77777777">
      <w:pPr>
        <w:spacing w:after="220"/>
        <w:rPr>
          <w:rFonts w:ascii="Arial" w:hAnsi="Arial" w:cs="Arial"/>
          <w:sz w:val="22"/>
          <w:szCs w:val="22"/>
        </w:rPr>
      </w:pPr>
      <w:r>
        <w:rPr>
          <w:rFonts w:ascii="Arial" w:hAnsi="Arial" w:cs="Arial"/>
          <w:sz w:val="22"/>
          <w:szCs w:val="22"/>
        </w:rPr>
        <w:pict>
          <v:rect id="_x0000_i1235" style="width:0;height:1.5pt" o:hralign="center" o:hrstd="t" o:hrnoshade="t" o:hr="t" fillcolor="black" stroked="f"/>
        </w:pict>
      </w:r>
    </w:p>
    <w:p w:rsidR="007F112A" w:rsidRPr="00C70A45" w:rsidP="00C70A45" w14:paraId="03D2251A" w14:textId="77777777">
      <w:pPr>
        <w:spacing w:after="220"/>
        <w:rPr>
          <w:rFonts w:ascii="Arial" w:hAnsi="Arial" w:cs="Arial"/>
          <w:sz w:val="22"/>
          <w:szCs w:val="22"/>
        </w:rPr>
      </w:pPr>
      <w:r w:rsidRPr="00C70A45">
        <w:rPr>
          <w:rFonts w:ascii="Arial" w:hAnsi="Arial" w:cs="Arial"/>
          <w:b/>
          <w:sz w:val="22"/>
          <w:szCs w:val="22"/>
        </w:rPr>
        <w:t>Comment Bin 3.8.1.B:</w:t>
      </w:r>
      <w:r w:rsidRPr="00C70A45">
        <w:rPr>
          <w:rFonts w:ascii="Arial" w:hAnsi="Arial" w:cs="Arial"/>
          <w:sz w:val="22"/>
          <w:szCs w:val="22"/>
        </w:rPr>
        <w:t xml:space="preserve"> Two commenters wrote that 10 CFR 53.1449(c)(3) requires 225-day notification</w:t>
      </w:r>
      <w:r w:rsidR="006B34F8">
        <w:rPr>
          <w:rFonts w:ascii="Arial" w:hAnsi="Arial" w:cs="Arial"/>
          <w:sz w:val="22"/>
          <w:szCs w:val="22"/>
        </w:rPr>
        <w:t>,</w:t>
      </w:r>
      <w:r w:rsidRPr="00C70A45">
        <w:rPr>
          <w:rFonts w:ascii="Arial" w:hAnsi="Arial" w:cs="Arial"/>
          <w:sz w:val="22"/>
          <w:szCs w:val="22"/>
        </w:rPr>
        <w:t xml:space="preserve"> if ITAAC have not been closed for a COL, and 10 CFR 53.1452(a) requires both notification of plans to operate 270 days prior to initial fuel load and for the NRC to publish notification in the </w:t>
      </w:r>
      <w:r w:rsidRPr="00C70A45">
        <w:rPr>
          <w:rFonts w:ascii="Arial" w:hAnsi="Arial" w:cs="Arial"/>
          <w:i/>
          <w:sz w:val="22"/>
          <w:szCs w:val="22"/>
        </w:rPr>
        <w:t>Federal Register</w:t>
      </w:r>
      <w:r w:rsidRPr="00C70A45">
        <w:rPr>
          <w:rFonts w:ascii="Arial" w:hAnsi="Arial" w:cs="Arial"/>
          <w:sz w:val="22"/>
          <w:szCs w:val="22"/>
        </w:rPr>
        <w:t xml:space="preserve"> 180 days prior to initial fuel load. The commenters wrote that these timelines are not fit for microreactors who will be looking to operate within 180 days of identification of a need for power. </w:t>
      </w:r>
      <w:r w:rsidRPr="00C70A45">
        <w:rPr>
          <w:rFonts w:ascii="Arial" w:eastAsia="DengXian" w:hAnsi="Arial" w:cs="Arial"/>
          <w:sz w:val="22"/>
          <w:szCs w:val="22"/>
        </w:rPr>
        <w:t>The commenters requested that the NRC consider whether the proposed timelines should be graded based on the reactor being licensed</w:t>
      </w:r>
      <w:r w:rsidRPr="00C70A45">
        <w:rPr>
          <w:rFonts w:ascii="Arial" w:hAnsi="Arial" w:cs="Arial"/>
          <w:sz w:val="22"/>
          <w:szCs w:val="22"/>
        </w:rPr>
        <w:t xml:space="preserve"> (</w:t>
      </w:r>
      <w:r w:rsidR="00333B47">
        <w:rPr>
          <w:rFonts w:ascii="Arial" w:hAnsi="Arial" w:cs="Arial"/>
          <w:sz w:val="22"/>
          <w:szCs w:val="22"/>
        </w:rPr>
        <w:t>WEST1</w:t>
      </w:r>
      <w:r w:rsidRPr="00C70A45">
        <w:rPr>
          <w:rFonts w:ascii="Arial" w:hAnsi="Arial" w:cs="Arial"/>
          <w:sz w:val="22"/>
          <w:szCs w:val="22"/>
        </w:rPr>
        <w:t xml:space="preserve">-0013, </w:t>
      </w:r>
      <w:r w:rsidR="00333B47">
        <w:rPr>
          <w:rFonts w:ascii="Arial" w:hAnsi="Arial" w:cs="Arial"/>
          <w:sz w:val="22"/>
          <w:szCs w:val="22"/>
        </w:rPr>
        <w:t>WEST1</w:t>
      </w:r>
      <w:r w:rsidRPr="00C70A45">
        <w:rPr>
          <w:rFonts w:ascii="Arial" w:hAnsi="Arial" w:cs="Arial"/>
          <w:sz w:val="22"/>
          <w:szCs w:val="22"/>
        </w:rPr>
        <w:t xml:space="preserve">-0014, </w:t>
      </w:r>
      <w:r w:rsidR="009D6BB9">
        <w:rPr>
          <w:rFonts w:ascii="Arial" w:hAnsi="Arial" w:cs="Arial"/>
          <w:sz w:val="22"/>
          <w:szCs w:val="22"/>
        </w:rPr>
        <w:t>NEI2</w:t>
      </w:r>
      <w:r w:rsidRPr="00C70A45">
        <w:rPr>
          <w:rFonts w:ascii="Arial" w:hAnsi="Arial" w:cs="Arial"/>
          <w:sz w:val="22"/>
          <w:szCs w:val="22"/>
        </w:rPr>
        <w:t xml:space="preserve">-0136, </w:t>
      </w:r>
      <w:r w:rsidR="009D6BB9">
        <w:rPr>
          <w:rFonts w:ascii="Arial" w:hAnsi="Arial" w:cs="Arial"/>
          <w:sz w:val="22"/>
          <w:szCs w:val="22"/>
        </w:rPr>
        <w:t>NEI2</w:t>
      </w:r>
      <w:r w:rsidRPr="00C70A45">
        <w:rPr>
          <w:rFonts w:ascii="Arial" w:hAnsi="Arial" w:cs="Arial"/>
          <w:sz w:val="22"/>
          <w:szCs w:val="22"/>
        </w:rPr>
        <w:t>-0257). </w:t>
      </w:r>
    </w:p>
    <w:p w:rsidR="007F112A" w:rsidRPr="00C70A45" w:rsidP="00C70A45" w14:paraId="2FE5FC23" w14:textId="77777777">
      <w:pPr>
        <w:spacing w:after="220"/>
        <w:rPr>
          <w:rFonts w:ascii="Arial" w:hAnsi="Arial" w:cs="Arial"/>
          <w:sz w:val="22"/>
          <w:szCs w:val="22"/>
        </w:rPr>
      </w:pPr>
      <w:r w:rsidRPr="00C70A45">
        <w:rPr>
          <w:rFonts w:ascii="Arial" w:hAnsi="Arial" w:cs="Arial"/>
          <w:sz w:val="22"/>
          <w:szCs w:val="22"/>
        </w:rPr>
        <w:t>One of the commenters said that the timelines for specific actions provided in 10 CFR 53.1449(a) and (c)(3) and in 10 CFR 53.1452(a) are not reasonable for small plants whose construction schedules may be shorter than large plants. The commenter said that some of the timelines could create administrative burdens if the pace of construction compresses the time between specific actions and the scheduled initial fuel load date. The commenter recommended that NRC consider revisions to report timelines that would be linked to the licensee’s construction and ITAAC completion schedules which would be informed by SECY-24-</w:t>
      </w:r>
      <w:r w:rsidRPr="00C70A45">
        <w:rPr>
          <w:rFonts w:ascii="Arial" w:hAnsi="Arial" w:cs="Arial"/>
          <w:sz w:val="22"/>
          <w:szCs w:val="22"/>
        </w:rPr>
        <w:t xml:space="preserve">0008 and the commenter’s proposal paper on Rapid, High-Volume Deployment of </w:t>
      </w:r>
      <w:r w:rsidR="00296450">
        <w:rPr>
          <w:rFonts w:ascii="Arial" w:hAnsi="Arial" w:cs="Arial"/>
          <w:sz w:val="22"/>
          <w:szCs w:val="22"/>
        </w:rPr>
        <w:t>M</w:t>
      </w:r>
      <w:r w:rsidRPr="00C70A45">
        <w:rPr>
          <w:rFonts w:ascii="Arial" w:hAnsi="Arial" w:cs="Arial"/>
          <w:sz w:val="22"/>
          <w:szCs w:val="22"/>
        </w:rPr>
        <w:t>icroreactors (</w:t>
      </w:r>
      <w:r w:rsidR="009D6BB9">
        <w:rPr>
          <w:rFonts w:ascii="Arial" w:hAnsi="Arial" w:cs="Arial"/>
          <w:sz w:val="22"/>
          <w:szCs w:val="22"/>
        </w:rPr>
        <w:t>NEI2</w:t>
      </w:r>
      <w:r w:rsidRPr="00C70A45">
        <w:rPr>
          <w:rFonts w:ascii="Arial" w:hAnsi="Arial" w:cs="Arial"/>
          <w:sz w:val="22"/>
          <w:szCs w:val="22"/>
        </w:rPr>
        <w:t>-0136).</w:t>
      </w:r>
    </w:p>
    <w:p w:rsidR="002E1B2B" w:rsidP="00C70A45" w14:paraId="25068C34" w14:textId="77777777">
      <w:pPr>
        <w:spacing w:after="220"/>
        <w:rPr>
          <w:rFonts w:ascii="Arial" w:hAnsi="Arial" w:cs="Arial"/>
          <w:sz w:val="22"/>
          <w:szCs w:val="22"/>
        </w:rPr>
      </w:pPr>
      <w:r w:rsidRPr="00C70A45">
        <w:rPr>
          <w:rFonts w:ascii="Arial" w:hAnsi="Arial" w:cs="Arial"/>
          <w:b/>
          <w:sz w:val="22"/>
          <w:szCs w:val="22"/>
        </w:rPr>
        <w:t>NRC Response:</w:t>
      </w:r>
      <w:r w:rsidRPr="00C70A45">
        <w:rPr>
          <w:rFonts w:ascii="Arial" w:hAnsi="Arial" w:cs="Arial"/>
          <w:sz w:val="22"/>
          <w:szCs w:val="22"/>
        </w:rPr>
        <w:t> </w:t>
      </w:r>
      <w:r w:rsidR="007E6F15">
        <w:rPr>
          <w:rFonts w:ascii="Arial" w:hAnsi="Arial" w:cs="Arial"/>
          <w:sz w:val="22"/>
          <w:szCs w:val="22"/>
        </w:rPr>
        <w:t xml:space="preserve">The NRC </w:t>
      </w:r>
      <w:r w:rsidR="00472930">
        <w:rPr>
          <w:rFonts w:ascii="Arial" w:hAnsi="Arial" w:cs="Arial"/>
          <w:sz w:val="22"/>
          <w:szCs w:val="22"/>
        </w:rPr>
        <w:t>agrees, in part, with</w:t>
      </w:r>
      <w:r w:rsidR="007E6F15">
        <w:rPr>
          <w:rFonts w:ascii="Arial" w:hAnsi="Arial" w:cs="Arial"/>
          <w:sz w:val="22"/>
          <w:szCs w:val="22"/>
        </w:rPr>
        <w:t xml:space="preserve"> the comments.</w:t>
      </w:r>
    </w:p>
    <w:p w:rsidR="007F112A" w:rsidRPr="00C70A45" w:rsidP="00C70A45" w14:paraId="073D774B" w14:textId="77777777">
      <w:pPr>
        <w:spacing w:after="220"/>
        <w:rPr>
          <w:rFonts w:ascii="Arial" w:hAnsi="Arial" w:cs="Arial"/>
          <w:sz w:val="22"/>
          <w:szCs w:val="22"/>
        </w:rPr>
      </w:pPr>
      <w:r w:rsidRPr="00C70A45">
        <w:rPr>
          <w:rFonts w:ascii="Arial" w:hAnsi="Arial" w:cs="Arial"/>
          <w:sz w:val="22"/>
          <w:szCs w:val="22"/>
        </w:rPr>
        <w:t xml:space="preserve">The NRC agrees that the current ITAAC timelines may not be a good fit for </w:t>
      </w:r>
      <w:r w:rsidR="003B348B">
        <w:rPr>
          <w:rFonts w:ascii="Arial" w:hAnsi="Arial" w:cs="Arial"/>
          <w:sz w:val="22"/>
          <w:szCs w:val="22"/>
        </w:rPr>
        <w:t xml:space="preserve">applicants </w:t>
      </w:r>
      <w:r w:rsidRPr="00C70A45">
        <w:rPr>
          <w:rFonts w:ascii="Arial" w:hAnsi="Arial" w:cs="Arial"/>
          <w:sz w:val="22"/>
          <w:szCs w:val="22"/>
        </w:rPr>
        <w:t>looking to operate</w:t>
      </w:r>
      <w:r w:rsidR="003B348B">
        <w:rPr>
          <w:rFonts w:ascii="Arial" w:hAnsi="Arial" w:cs="Arial"/>
          <w:sz w:val="22"/>
          <w:szCs w:val="22"/>
        </w:rPr>
        <w:t xml:space="preserve"> </w:t>
      </w:r>
      <w:r w:rsidRPr="00C70A45" w:rsidR="003B348B">
        <w:rPr>
          <w:rFonts w:ascii="Arial" w:hAnsi="Arial" w:cs="Arial"/>
          <w:sz w:val="22"/>
          <w:szCs w:val="22"/>
        </w:rPr>
        <w:t>microreactors</w:t>
      </w:r>
      <w:r w:rsidRPr="00C70A45">
        <w:rPr>
          <w:rFonts w:ascii="Arial" w:hAnsi="Arial" w:cs="Arial"/>
          <w:sz w:val="22"/>
          <w:szCs w:val="22"/>
        </w:rPr>
        <w:t xml:space="preserve"> within 180 days of identification of a need for power. However, the current timelines were established in accordance with the AEA </w:t>
      </w:r>
      <w:r w:rsidR="0018746D">
        <w:rPr>
          <w:rFonts w:ascii="Arial" w:hAnsi="Arial" w:cs="Arial"/>
          <w:sz w:val="22"/>
          <w:szCs w:val="22"/>
        </w:rPr>
        <w:t>s</w:t>
      </w:r>
      <w:r w:rsidRPr="00C70A45">
        <w:rPr>
          <w:rFonts w:ascii="Arial" w:hAnsi="Arial" w:cs="Arial"/>
          <w:sz w:val="22"/>
          <w:szCs w:val="22"/>
        </w:rPr>
        <w:t xml:space="preserve">ection 185.b requirement that the Commission, </w:t>
      </w:r>
      <w:r w:rsidR="00D00F42">
        <w:rPr>
          <w:rFonts w:ascii="Arial" w:hAnsi="Arial" w:cs="Arial"/>
          <w:sz w:val="22"/>
          <w:szCs w:val="22"/>
        </w:rPr>
        <w:t>“</w:t>
      </w:r>
      <w:r w:rsidRPr="00C70A45">
        <w:rPr>
          <w:rFonts w:ascii="Arial" w:hAnsi="Arial" w:cs="Arial"/>
          <w:sz w:val="22"/>
          <w:szCs w:val="22"/>
        </w:rPr>
        <w:t>prior to operation</w:t>
      </w:r>
      <w:r w:rsidR="00D00F42">
        <w:rPr>
          <w:rFonts w:ascii="Arial" w:hAnsi="Arial" w:cs="Arial"/>
          <w:sz w:val="22"/>
          <w:szCs w:val="22"/>
        </w:rPr>
        <w:t>”</w:t>
      </w:r>
      <w:r w:rsidRPr="00C70A45">
        <w:rPr>
          <w:rFonts w:ascii="Arial" w:hAnsi="Arial" w:cs="Arial"/>
          <w:sz w:val="22"/>
          <w:szCs w:val="22"/>
        </w:rPr>
        <w:t xml:space="preserve"> find that the acceptance criteria in the </w:t>
      </w:r>
      <w:r w:rsidR="00D00F42">
        <w:rPr>
          <w:rFonts w:ascii="Arial" w:hAnsi="Arial" w:cs="Arial"/>
          <w:sz w:val="22"/>
          <w:szCs w:val="22"/>
        </w:rPr>
        <w:t>COL</w:t>
      </w:r>
      <w:r w:rsidRPr="00C70A45">
        <w:rPr>
          <w:rFonts w:ascii="Arial" w:hAnsi="Arial" w:cs="Arial"/>
          <w:sz w:val="22"/>
          <w:szCs w:val="22"/>
        </w:rPr>
        <w:t xml:space="preserve"> are met</w:t>
      </w:r>
      <w:r w:rsidR="00020C79">
        <w:rPr>
          <w:rFonts w:ascii="Arial" w:hAnsi="Arial" w:cs="Arial"/>
          <w:sz w:val="22"/>
          <w:szCs w:val="22"/>
        </w:rPr>
        <w:t xml:space="preserve"> and</w:t>
      </w:r>
      <w:r w:rsidR="00FC6A3C">
        <w:rPr>
          <w:rFonts w:ascii="Arial" w:hAnsi="Arial" w:cs="Arial"/>
          <w:sz w:val="22"/>
          <w:szCs w:val="22"/>
        </w:rPr>
        <w:t xml:space="preserve"> the AEA section 189.a(1)(B) requirement to publish a notice of intended operation </w:t>
      </w:r>
      <w:r w:rsidRPr="00C70A45" w:rsidR="00117F80">
        <w:rPr>
          <w:rFonts w:ascii="Arial" w:hAnsi="Arial" w:cs="Arial"/>
          <w:sz w:val="22"/>
          <w:szCs w:val="22"/>
        </w:rPr>
        <w:t>and opportunity for hearing on ITAAC</w:t>
      </w:r>
      <w:r w:rsidR="009733C9">
        <w:rPr>
          <w:rFonts w:ascii="Arial" w:hAnsi="Arial" w:cs="Arial"/>
          <w:sz w:val="22"/>
          <w:szCs w:val="22"/>
        </w:rPr>
        <w:t xml:space="preserve"> in the </w:t>
      </w:r>
      <w:r w:rsidR="00D00F42">
        <w:rPr>
          <w:rFonts w:ascii="Arial" w:hAnsi="Arial" w:cs="Arial"/>
          <w:sz w:val="22"/>
          <w:szCs w:val="22"/>
        </w:rPr>
        <w:t>COL</w:t>
      </w:r>
      <w:r w:rsidR="00117F80">
        <w:rPr>
          <w:rFonts w:ascii="Arial" w:hAnsi="Arial" w:cs="Arial"/>
          <w:sz w:val="22"/>
          <w:szCs w:val="22"/>
        </w:rPr>
        <w:t xml:space="preserve"> </w:t>
      </w:r>
      <w:r w:rsidR="00020C79">
        <w:rPr>
          <w:rFonts w:ascii="Arial" w:hAnsi="Arial" w:cs="Arial"/>
          <w:sz w:val="22"/>
          <w:szCs w:val="22"/>
        </w:rPr>
        <w:t xml:space="preserve">at least 180 days before </w:t>
      </w:r>
      <w:r w:rsidR="00064974">
        <w:rPr>
          <w:rFonts w:ascii="Arial" w:hAnsi="Arial" w:cs="Arial"/>
          <w:sz w:val="22"/>
          <w:szCs w:val="22"/>
        </w:rPr>
        <w:t xml:space="preserve">the </w:t>
      </w:r>
      <w:r w:rsidR="00020C79">
        <w:rPr>
          <w:rFonts w:ascii="Arial" w:hAnsi="Arial" w:cs="Arial"/>
          <w:sz w:val="22"/>
          <w:szCs w:val="22"/>
        </w:rPr>
        <w:t xml:space="preserve">scheduled </w:t>
      </w:r>
      <w:r w:rsidR="00215C00">
        <w:rPr>
          <w:rFonts w:ascii="Arial" w:hAnsi="Arial" w:cs="Arial"/>
          <w:sz w:val="22"/>
          <w:szCs w:val="22"/>
        </w:rPr>
        <w:t xml:space="preserve">date </w:t>
      </w:r>
      <w:r w:rsidR="00064974">
        <w:rPr>
          <w:rFonts w:ascii="Arial" w:hAnsi="Arial" w:cs="Arial"/>
          <w:sz w:val="22"/>
          <w:szCs w:val="22"/>
        </w:rPr>
        <w:t xml:space="preserve">for </w:t>
      </w:r>
      <w:r w:rsidR="00020C79">
        <w:rPr>
          <w:rFonts w:ascii="Arial" w:hAnsi="Arial" w:cs="Arial"/>
          <w:sz w:val="22"/>
          <w:szCs w:val="22"/>
        </w:rPr>
        <w:t>initial fuel load</w:t>
      </w:r>
      <w:r w:rsidR="00064974">
        <w:rPr>
          <w:rFonts w:ascii="Arial" w:hAnsi="Arial" w:cs="Arial"/>
          <w:sz w:val="22"/>
          <w:szCs w:val="22"/>
        </w:rPr>
        <w:t xml:space="preserve"> by the </w:t>
      </w:r>
      <w:r w:rsidR="00D00F42">
        <w:rPr>
          <w:rFonts w:ascii="Arial" w:hAnsi="Arial" w:cs="Arial"/>
          <w:sz w:val="22"/>
          <w:szCs w:val="22"/>
        </w:rPr>
        <w:t>COL</w:t>
      </w:r>
      <w:r w:rsidR="008D3A39">
        <w:rPr>
          <w:rFonts w:ascii="Arial" w:hAnsi="Arial" w:cs="Arial"/>
          <w:sz w:val="22"/>
          <w:szCs w:val="22"/>
        </w:rPr>
        <w:t xml:space="preserve"> holder</w:t>
      </w:r>
      <w:r w:rsidR="00215C00">
        <w:rPr>
          <w:rFonts w:ascii="Arial" w:hAnsi="Arial" w:cs="Arial"/>
          <w:sz w:val="22"/>
          <w:szCs w:val="22"/>
        </w:rPr>
        <w:t xml:space="preserve"> (hereafter “notice of intended operation”)</w:t>
      </w:r>
      <w:r w:rsidRPr="00C70A45">
        <w:rPr>
          <w:rFonts w:ascii="Arial" w:hAnsi="Arial" w:cs="Arial"/>
          <w:sz w:val="22"/>
          <w:szCs w:val="22"/>
        </w:rPr>
        <w:t xml:space="preserve">. </w:t>
      </w:r>
      <w:r w:rsidRPr="00C70A45" w:rsidR="005D3090">
        <w:rPr>
          <w:rFonts w:ascii="Arial" w:hAnsi="Arial" w:cs="Arial"/>
          <w:sz w:val="22"/>
          <w:szCs w:val="22"/>
        </w:rPr>
        <w:t xml:space="preserve">Absent changes to the AEA, the NRC is not in a position to shorten the </w:t>
      </w:r>
      <w:r w:rsidR="005D3090">
        <w:rPr>
          <w:rFonts w:ascii="Arial" w:hAnsi="Arial" w:cs="Arial"/>
          <w:sz w:val="22"/>
          <w:szCs w:val="22"/>
        </w:rPr>
        <w:t xml:space="preserve">requirement to publish a notice of intended operation at least 180 days before the scheduled date for initial fuel load by the </w:t>
      </w:r>
      <w:r w:rsidR="00D00F42">
        <w:rPr>
          <w:rFonts w:ascii="Arial" w:hAnsi="Arial" w:cs="Arial"/>
          <w:sz w:val="22"/>
          <w:szCs w:val="22"/>
        </w:rPr>
        <w:t>COL</w:t>
      </w:r>
      <w:r w:rsidR="005D3090">
        <w:rPr>
          <w:rFonts w:ascii="Arial" w:hAnsi="Arial" w:cs="Arial"/>
          <w:sz w:val="22"/>
          <w:szCs w:val="22"/>
        </w:rPr>
        <w:t xml:space="preserve"> holder. </w:t>
      </w:r>
      <w:r w:rsidR="00366312">
        <w:rPr>
          <w:rFonts w:ascii="Arial" w:hAnsi="Arial" w:cs="Arial"/>
          <w:sz w:val="22"/>
          <w:szCs w:val="22"/>
        </w:rPr>
        <w:t>Also, t</w:t>
      </w:r>
      <w:r w:rsidRPr="00C70A45">
        <w:rPr>
          <w:rFonts w:ascii="Arial" w:hAnsi="Arial" w:cs="Arial"/>
          <w:sz w:val="22"/>
          <w:szCs w:val="22"/>
        </w:rPr>
        <w:t xml:space="preserve">he NRC is required to make available to the public the notifications to be submitted under 10 CFR 53.1449(c)(1) and (c)(2), no later than the </w:t>
      </w:r>
      <w:r w:rsidR="00730223">
        <w:rPr>
          <w:rFonts w:ascii="Arial" w:hAnsi="Arial" w:cs="Arial"/>
          <w:sz w:val="22"/>
          <w:szCs w:val="22"/>
        </w:rPr>
        <w:t>FRN</w:t>
      </w:r>
      <w:r w:rsidRPr="00C70A45">
        <w:rPr>
          <w:rFonts w:ascii="Arial" w:hAnsi="Arial" w:cs="Arial"/>
          <w:sz w:val="22"/>
          <w:szCs w:val="22"/>
        </w:rPr>
        <w:t xml:space="preserve"> of intended operation under 10 CFR 53.1452(a).</w:t>
      </w:r>
      <w:r w:rsidR="004773AE">
        <w:rPr>
          <w:rFonts w:ascii="Arial" w:hAnsi="Arial" w:cs="Arial"/>
          <w:sz w:val="22"/>
          <w:szCs w:val="22"/>
        </w:rPr>
        <w:t xml:space="preserve"> Th</w:t>
      </w:r>
      <w:r w:rsidR="00F25915">
        <w:rPr>
          <w:rFonts w:ascii="Arial" w:hAnsi="Arial" w:cs="Arial"/>
          <w:sz w:val="22"/>
          <w:szCs w:val="22"/>
        </w:rPr>
        <w:t xml:space="preserve">ese notifications </w:t>
      </w:r>
      <w:r w:rsidR="0073272E">
        <w:rPr>
          <w:rFonts w:ascii="Arial" w:hAnsi="Arial" w:cs="Arial"/>
          <w:sz w:val="22"/>
          <w:szCs w:val="22"/>
        </w:rPr>
        <w:t>need to be available</w:t>
      </w:r>
      <w:r w:rsidR="004773AE">
        <w:rPr>
          <w:rFonts w:ascii="Arial" w:hAnsi="Arial" w:cs="Arial"/>
          <w:sz w:val="22"/>
          <w:szCs w:val="22"/>
        </w:rPr>
        <w:t xml:space="preserve"> to provide information to </w:t>
      </w:r>
      <w:r w:rsidR="00410362">
        <w:rPr>
          <w:rFonts w:ascii="Arial" w:hAnsi="Arial" w:cs="Arial"/>
          <w:sz w:val="22"/>
          <w:szCs w:val="22"/>
        </w:rPr>
        <w:t>interested persons to</w:t>
      </w:r>
      <w:r w:rsidR="004773AE">
        <w:rPr>
          <w:rFonts w:ascii="Arial" w:hAnsi="Arial" w:cs="Arial"/>
          <w:sz w:val="22"/>
          <w:szCs w:val="22"/>
        </w:rPr>
        <w:t xml:space="preserve"> support the</w:t>
      </w:r>
      <w:r w:rsidR="00410362">
        <w:rPr>
          <w:rFonts w:ascii="Arial" w:hAnsi="Arial" w:cs="Arial"/>
          <w:sz w:val="22"/>
          <w:szCs w:val="22"/>
        </w:rPr>
        <w:t>ir</w:t>
      </w:r>
      <w:r w:rsidR="004773AE">
        <w:rPr>
          <w:rFonts w:ascii="Arial" w:hAnsi="Arial" w:cs="Arial"/>
          <w:sz w:val="22"/>
          <w:szCs w:val="22"/>
        </w:rPr>
        <w:t xml:space="preserve"> ability to </w:t>
      </w:r>
      <w:r w:rsidRPr="00C70A45" w:rsidR="00BC20DF">
        <w:rPr>
          <w:rFonts w:ascii="Arial" w:hAnsi="Arial" w:cs="Arial"/>
          <w:sz w:val="22"/>
          <w:szCs w:val="22"/>
        </w:rPr>
        <w:t xml:space="preserve">address the AEA </w:t>
      </w:r>
      <w:r w:rsidR="00BC20DF">
        <w:rPr>
          <w:rFonts w:ascii="Arial" w:hAnsi="Arial" w:cs="Arial"/>
          <w:sz w:val="22"/>
          <w:szCs w:val="22"/>
        </w:rPr>
        <w:t>s</w:t>
      </w:r>
      <w:r w:rsidRPr="00C70A45" w:rsidR="00BC20DF">
        <w:rPr>
          <w:rFonts w:ascii="Arial" w:hAnsi="Arial" w:cs="Arial"/>
          <w:sz w:val="22"/>
          <w:szCs w:val="22"/>
        </w:rPr>
        <w:t>ection</w:t>
      </w:r>
      <w:r w:rsidR="00D36347">
        <w:rPr>
          <w:rFonts w:ascii="Arial" w:hAnsi="Arial" w:cs="Arial"/>
          <w:sz w:val="22"/>
          <w:szCs w:val="22"/>
        </w:rPr>
        <w:t> </w:t>
      </w:r>
      <w:r w:rsidRPr="00C70A45" w:rsidR="00BC20DF">
        <w:rPr>
          <w:rFonts w:ascii="Arial" w:hAnsi="Arial" w:cs="Arial"/>
          <w:sz w:val="22"/>
          <w:szCs w:val="22"/>
        </w:rPr>
        <w:t>189.a(1)</w:t>
      </w:r>
      <w:r w:rsidR="00BC20DF">
        <w:rPr>
          <w:rFonts w:ascii="Arial" w:hAnsi="Arial" w:cs="Arial"/>
          <w:sz w:val="22"/>
          <w:szCs w:val="22"/>
        </w:rPr>
        <w:t>(B)</w:t>
      </w:r>
      <w:r w:rsidRPr="00C70A45" w:rsidR="00BC20DF">
        <w:rPr>
          <w:rFonts w:ascii="Arial" w:hAnsi="Arial" w:cs="Arial"/>
          <w:sz w:val="22"/>
          <w:szCs w:val="22"/>
        </w:rPr>
        <w:t xml:space="preserve"> threshold for requesting a hearing with respect to both completed and as</w:t>
      </w:r>
      <w:r w:rsidR="00D36347">
        <w:rPr>
          <w:rFonts w:ascii="Arial" w:hAnsi="Arial" w:cs="Arial"/>
          <w:sz w:val="22"/>
          <w:szCs w:val="22"/>
        </w:rPr>
        <w:noBreakHyphen/>
      </w:r>
      <w:r w:rsidRPr="00C70A45" w:rsidR="00BC20DF">
        <w:rPr>
          <w:rFonts w:ascii="Arial" w:hAnsi="Arial" w:cs="Arial"/>
          <w:sz w:val="22"/>
          <w:szCs w:val="22"/>
        </w:rPr>
        <w:t>yet uncompleted ITAAC</w:t>
      </w:r>
      <w:r w:rsidR="004773AE">
        <w:rPr>
          <w:rFonts w:ascii="Arial" w:hAnsi="Arial" w:cs="Arial"/>
          <w:sz w:val="22"/>
          <w:szCs w:val="22"/>
        </w:rPr>
        <w:t>.</w:t>
      </w:r>
    </w:p>
    <w:p w:rsidR="007F112A" w:rsidRPr="00C70A45" w:rsidP="00C70A45" w14:paraId="5C1627E6" w14:textId="77777777">
      <w:pPr>
        <w:spacing w:after="220"/>
        <w:rPr>
          <w:rFonts w:ascii="Arial" w:hAnsi="Arial" w:cs="Arial"/>
          <w:sz w:val="22"/>
          <w:szCs w:val="22"/>
        </w:rPr>
      </w:pPr>
      <w:r w:rsidRPr="00C70A45">
        <w:rPr>
          <w:rFonts w:ascii="Arial" w:hAnsi="Arial" w:cs="Arial"/>
          <w:sz w:val="22"/>
          <w:szCs w:val="22"/>
        </w:rPr>
        <w:t xml:space="preserve">The NRC is requiring that the 10 CFR 53.1449(c)(2) notification be made 225 days before the date scheduled for initial loading of fuel to ensure that the </w:t>
      </w:r>
      <w:r w:rsidR="00AB65BA">
        <w:rPr>
          <w:rFonts w:ascii="Arial" w:hAnsi="Arial" w:cs="Arial"/>
          <w:sz w:val="22"/>
          <w:szCs w:val="22"/>
        </w:rPr>
        <w:t xml:space="preserve">NRC has sufficient time to process the </w:t>
      </w:r>
      <w:r w:rsidRPr="00C70A45">
        <w:rPr>
          <w:rFonts w:ascii="Arial" w:hAnsi="Arial" w:cs="Arial"/>
          <w:sz w:val="22"/>
          <w:szCs w:val="22"/>
        </w:rPr>
        <w:t xml:space="preserve">licensee notifications </w:t>
      </w:r>
      <w:r w:rsidR="00AB65BA">
        <w:rPr>
          <w:rFonts w:ascii="Arial" w:hAnsi="Arial" w:cs="Arial"/>
          <w:sz w:val="22"/>
          <w:szCs w:val="22"/>
        </w:rPr>
        <w:t>and make them</w:t>
      </w:r>
      <w:r w:rsidRPr="00C70A45" w:rsidR="00AB65BA">
        <w:rPr>
          <w:rFonts w:ascii="Arial" w:hAnsi="Arial" w:cs="Arial"/>
          <w:sz w:val="22"/>
          <w:szCs w:val="22"/>
        </w:rPr>
        <w:t xml:space="preserve"> </w:t>
      </w:r>
      <w:r w:rsidRPr="00C70A45">
        <w:rPr>
          <w:rFonts w:ascii="Arial" w:hAnsi="Arial" w:cs="Arial"/>
          <w:sz w:val="22"/>
          <w:szCs w:val="22"/>
        </w:rPr>
        <w:t xml:space="preserve">publicly available </w:t>
      </w:r>
      <w:r w:rsidR="00AB65BA">
        <w:rPr>
          <w:rFonts w:ascii="Arial" w:hAnsi="Arial" w:cs="Arial"/>
          <w:sz w:val="22"/>
          <w:szCs w:val="22"/>
        </w:rPr>
        <w:t>before</w:t>
      </w:r>
      <w:r w:rsidRPr="00C70A45">
        <w:rPr>
          <w:rFonts w:ascii="Arial" w:hAnsi="Arial" w:cs="Arial"/>
          <w:sz w:val="22"/>
          <w:szCs w:val="22"/>
        </w:rPr>
        <w:t xml:space="preserve"> the 10 CFR 53.1452(a) notice </w:t>
      </w:r>
      <w:r w:rsidR="00AB65BA">
        <w:rPr>
          <w:rFonts w:ascii="Arial" w:hAnsi="Arial" w:cs="Arial"/>
          <w:sz w:val="22"/>
          <w:szCs w:val="22"/>
        </w:rPr>
        <w:t xml:space="preserve">of intended operation </w:t>
      </w:r>
      <w:r w:rsidRPr="00C70A45">
        <w:rPr>
          <w:rFonts w:ascii="Arial" w:hAnsi="Arial" w:cs="Arial"/>
          <w:sz w:val="22"/>
          <w:szCs w:val="22"/>
        </w:rPr>
        <w:t>is published in the Federal Register. The NRC’s goal is to publish that notice 210 days before the date scheduled for fuel loading, but in all cases the 10 CFR 53.1452(a) notice would be published no later than 180</w:t>
      </w:r>
      <w:r w:rsidR="004F6B63">
        <w:rPr>
          <w:rFonts w:ascii="Arial" w:hAnsi="Arial" w:cs="Arial"/>
          <w:sz w:val="22"/>
          <w:szCs w:val="22"/>
        </w:rPr>
        <w:t> </w:t>
      </w:r>
      <w:r w:rsidRPr="00C70A45">
        <w:rPr>
          <w:rFonts w:ascii="Arial" w:hAnsi="Arial" w:cs="Arial"/>
          <w:sz w:val="22"/>
          <w:szCs w:val="22"/>
        </w:rPr>
        <w:t xml:space="preserve">days before the scheduled fuel load, as required by </w:t>
      </w:r>
      <w:r w:rsidR="007E6F15">
        <w:rPr>
          <w:rFonts w:ascii="Arial" w:hAnsi="Arial" w:cs="Arial"/>
          <w:sz w:val="22"/>
          <w:szCs w:val="22"/>
        </w:rPr>
        <w:t>s</w:t>
      </w:r>
      <w:r w:rsidRPr="00C70A45">
        <w:rPr>
          <w:rFonts w:ascii="Arial" w:hAnsi="Arial" w:cs="Arial"/>
          <w:sz w:val="22"/>
          <w:szCs w:val="22"/>
        </w:rPr>
        <w:t>ection 189.a(1)(B) of the AEA.</w:t>
      </w:r>
      <w:r w:rsidR="00F36B34">
        <w:rPr>
          <w:rFonts w:ascii="Arial" w:hAnsi="Arial" w:cs="Arial"/>
          <w:sz w:val="22"/>
          <w:szCs w:val="22"/>
        </w:rPr>
        <w:t xml:space="preserve"> Also, the NRC is requiring </w:t>
      </w:r>
      <w:r w:rsidR="009A54F2">
        <w:rPr>
          <w:rFonts w:ascii="Arial" w:hAnsi="Arial" w:cs="Arial"/>
          <w:sz w:val="22"/>
          <w:szCs w:val="22"/>
        </w:rPr>
        <w:t xml:space="preserve">the </w:t>
      </w:r>
      <w:r w:rsidRPr="00C70A45" w:rsidR="009A54F2">
        <w:rPr>
          <w:rFonts w:ascii="Arial" w:hAnsi="Arial" w:cs="Arial"/>
          <w:sz w:val="22"/>
          <w:szCs w:val="22"/>
        </w:rPr>
        <w:t xml:space="preserve">10 CFR 53.1452(a) </w:t>
      </w:r>
      <w:r w:rsidR="009A54F2">
        <w:rPr>
          <w:rFonts w:ascii="Arial" w:hAnsi="Arial" w:cs="Arial"/>
          <w:sz w:val="22"/>
          <w:szCs w:val="22"/>
        </w:rPr>
        <w:t>notification of schedule</w:t>
      </w:r>
      <w:r w:rsidR="00484E5F">
        <w:rPr>
          <w:rFonts w:ascii="Arial" w:hAnsi="Arial" w:cs="Arial"/>
          <w:sz w:val="22"/>
          <w:szCs w:val="22"/>
        </w:rPr>
        <w:t>d initial</w:t>
      </w:r>
      <w:r w:rsidR="009A54F2">
        <w:rPr>
          <w:rFonts w:ascii="Arial" w:hAnsi="Arial" w:cs="Arial"/>
          <w:sz w:val="22"/>
          <w:szCs w:val="22"/>
        </w:rPr>
        <w:t xml:space="preserve"> fuel load be submitted at least 270 days before the scheduled date to </w:t>
      </w:r>
      <w:r w:rsidR="003F220C">
        <w:rPr>
          <w:rFonts w:ascii="Arial" w:hAnsi="Arial" w:cs="Arial"/>
          <w:sz w:val="22"/>
          <w:szCs w:val="22"/>
        </w:rPr>
        <w:t xml:space="preserve">ensure the NRC is adequately prepared to </w:t>
      </w:r>
      <w:r w:rsidR="003F74A5">
        <w:rPr>
          <w:rFonts w:ascii="Arial" w:hAnsi="Arial" w:cs="Arial"/>
          <w:sz w:val="22"/>
          <w:szCs w:val="22"/>
        </w:rPr>
        <w:t xml:space="preserve">timely </w:t>
      </w:r>
      <w:r w:rsidR="003F220C">
        <w:rPr>
          <w:rFonts w:ascii="Arial" w:hAnsi="Arial" w:cs="Arial"/>
          <w:sz w:val="22"/>
          <w:szCs w:val="22"/>
        </w:rPr>
        <w:t xml:space="preserve">process ITAAC notifications and </w:t>
      </w:r>
      <w:r w:rsidR="003F74A5">
        <w:rPr>
          <w:rFonts w:ascii="Arial" w:hAnsi="Arial" w:cs="Arial"/>
          <w:sz w:val="22"/>
          <w:szCs w:val="22"/>
        </w:rPr>
        <w:t>publi</w:t>
      </w:r>
      <w:r w:rsidR="003F220C">
        <w:rPr>
          <w:rFonts w:ascii="Arial" w:hAnsi="Arial" w:cs="Arial"/>
          <w:sz w:val="22"/>
          <w:szCs w:val="22"/>
        </w:rPr>
        <w:t xml:space="preserve">sh </w:t>
      </w:r>
      <w:r w:rsidR="003F74A5">
        <w:rPr>
          <w:rFonts w:ascii="Arial" w:hAnsi="Arial" w:cs="Arial"/>
          <w:sz w:val="22"/>
          <w:szCs w:val="22"/>
        </w:rPr>
        <w:t>the notice of intended operation</w:t>
      </w:r>
      <w:r w:rsidR="00016EAE">
        <w:rPr>
          <w:rFonts w:ascii="Arial" w:hAnsi="Arial" w:cs="Arial"/>
          <w:sz w:val="22"/>
          <w:szCs w:val="22"/>
        </w:rPr>
        <w:t>.</w:t>
      </w:r>
    </w:p>
    <w:p w:rsidR="00260284" w:rsidP="00C70A45" w14:paraId="59059079" w14:textId="77777777">
      <w:pPr>
        <w:spacing w:after="220"/>
        <w:rPr>
          <w:rFonts w:ascii="Arial" w:hAnsi="Arial" w:cs="Arial"/>
          <w:sz w:val="22"/>
          <w:szCs w:val="22"/>
        </w:rPr>
      </w:pPr>
      <w:r>
        <w:rPr>
          <w:rFonts w:ascii="Arial" w:hAnsi="Arial" w:cs="Arial"/>
          <w:sz w:val="22"/>
          <w:szCs w:val="22"/>
        </w:rPr>
        <w:t>W</w:t>
      </w:r>
      <w:r w:rsidRPr="0040569A" w:rsidR="0040569A">
        <w:rPr>
          <w:rFonts w:ascii="Arial" w:hAnsi="Arial" w:cs="Arial"/>
          <w:sz w:val="22"/>
          <w:szCs w:val="22"/>
        </w:rPr>
        <w:t>hile a key objective of the 10 CFR Part 53 rulemaking was to develop a technology-inclusive alternative to the existing licensing processes in 10 CFR Parts 50 and 52, the NRC acknowledges that the final rule may not completely address every regulatory issue for every potential future advanced reactor.</w:t>
      </w:r>
      <w:r w:rsidR="00F372BE">
        <w:rPr>
          <w:rFonts w:ascii="Arial" w:hAnsi="Arial" w:cs="Arial"/>
          <w:sz w:val="22"/>
          <w:szCs w:val="22"/>
        </w:rPr>
        <w:t xml:space="preserve"> </w:t>
      </w:r>
      <w:r w:rsidRPr="00A6489D" w:rsidR="00A6489D">
        <w:rPr>
          <w:rFonts w:ascii="Arial" w:hAnsi="Arial" w:cs="Arial"/>
          <w:sz w:val="22"/>
          <w:szCs w:val="22"/>
        </w:rPr>
        <w:t>Nevertheless, consistent with the ADVANCE Act</w:t>
      </w:r>
      <w:r w:rsidR="000D7811">
        <w:rPr>
          <w:rFonts w:ascii="Arial" w:hAnsi="Arial" w:cs="Arial"/>
          <w:sz w:val="22"/>
          <w:szCs w:val="22"/>
        </w:rPr>
        <w:t xml:space="preserve"> </w:t>
      </w:r>
      <w:r w:rsidRPr="00A6489D" w:rsidR="00A6489D">
        <w:rPr>
          <w:rFonts w:ascii="Arial" w:hAnsi="Arial" w:cs="Arial"/>
          <w:sz w:val="22"/>
          <w:szCs w:val="22"/>
        </w:rPr>
        <w:t xml:space="preserve">and EOs issued in 2025, the NRC has initiated development of an additional rulemaking to expedite licensing of qualified microreactors and other potentially low risk, low consequence reactors </w:t>
      </w:r>
      <w:r w:rsidR="001F1ACF">
        <w:rPr>
          <w:rFonts w:ascii="Arial" w:hAnsi="Arial" w:cs="Arial"/>
          <w:sz w:val="22"/>
          <w:szCs w:val="22"/>
        </w:rPr>
        <w:t>that could address the concern raised in the comment.</w:t>
      </w:r>
    </w:p>
    <w:p w:rsidR="007F112A" w:rsidRPr="00C70A45" w:rsidP="00C70A45" w14:paraId="45845DB4" w14:textId="77777777">
      <w:pPr>
        <w:spacing w:after="220"/>
        <w:rPr>
          <w:rFonts w:ascii="Arial" w:hAnsi="Arial" w:cs="Arial"/>
          <w:sz w:val="22"/>
          <w:szCs w:val="22"/>
        </w:rPr>
      </w:pPr>
      <w:r w:rsidRPr="00C70A45">
        <w:rPr>
          <w:rFonts w:ascii="Arial" w:hAnsi="Arial" w:cs="Arial"/>
          <w:sz w:val="22"/>
          <w:szCs w:val="22"/>
        </w:rPr>
        <w:t>Accordingly, the NRC did not change the rule language in response to these comments.</w:t>
      </w:r>
    </w:p>
    <w:p w:rsidR="007F112A" w:rsidRPr="00C70A45" w:rsidP="00C70A45" w14:paraId="020BA3E0" w14:textId="77777777">
      <w:pPr>
        <w:spacing w:after="220"/>
        <w:rPr>
          <w:rFonts w:ascii="Arial" w:hAnsi="Arial" w:cs="Arial"/>
          <w:sz w:val="22"/>
          <w:szCs w:val="22"/>
        </w:rPr>
      </w:pPr>
      <w:r>
        <w:rPr>
          <w:rFonts w:ascii="Arial" w:hAnsi="Arial" w:cs="Arial"/>
          <w:sz w:val="22"/>
          <w:szCs w:val="22"/>
        </w:rPr>
        <w:pict>
          <v:rect id="_x0000_i1236" style="width:0;height:1.5pt" o:hralign="center" o:hrstd="t" o:hrnoshade="t" o:hr="t" fillcolor="black" stroked="f"/>
        </w:pict>
      </w:r>
    </w:p>
    <w:p w:rsidR="007F112A" w:rsidRPr="00C70A45" w:rsidP="00C70A45" w14:paraId="139A87EB" w14:textId="77777777">
      <w:pPr>
        <w:spacing w:after="220"/>
        <w:rPr>
          <w:rFonts w:ascii="Arial" w:hAnsi="Arial" w:cs="Arial"/>
          <w:sz w:val="22"/>
          <w:szCs w:val="22"/>
        </w:rPr>
      </w:pPr>
      <w:r w:rsidRPr="00C70A45">
        <w:rPr>
          <w:rFonts w:ascii="Arial" w:hAnsi="Arial" w:cs="Arial"/>
          <w:b/>
          <w:sz w:val="22"/>
          <w:szCs w:val="22"/>
        </w:rPr>
        <w:t>Comment Bin 3.8.1.C:</w:t>
      </w:r>
      <w:r w:rsidRPr="00C70A45">
        <w:rPr>
          <w:rFonts w:ascii="Arial" w:hAnsi="Arial" w:cs="Arial"/>
          <w:sz w:val="22"/>
          <w:szCs w:val="22"/>
        </w:rPr>
        <w:t xml:space="preserve"> Two commenters said that </w:t>
      </w:r>
      <w:r w:rsidRPr="00C70A45" w:rsidR="009018AE">
        <w:rPr>
          <w:rFonts w:ascii="Arial" w:hAnsi="Arial" w:cs="Arial"/>
          <w:sz w:val="22"/>
          <w:szCs w:val="22"/>
        </w:rPr>
        <w:t>s</w:t>
      </w:r>
      <w:r w:rsidRPr="00C70A45">
        <w:rPr>
          <w:rFonts w:ascii="Arial" w:hAnsi="Arial" w:cs="Arial"/>
          <w:sz w:val="22"/>
          <w:szCs w:val="22"/>
        </w:rPr>
        <w:t xml:space="preserve">ection 301 of the ADVANCE Act directs changes removing certain limitations on foreign ownership of some types of licensed facilities and recommended that </w:t>
      </w:r>
      <w:r w:rsidR="007E6F15">
        <w:rPr>
          <w:rFonts w:ascii="Arial" w:hAnsi="Arial" w:cs="Arial"/>
          <w:sz w:val="22"/>
          <w:szCs w:val="22"/>
        </w:rPr>
        <w:t xml:space="preserve">the </w:t>
      </w:r>
      <w:r w:rsidRPr="00C70A45">
        <w:rPr>
          <w:rFonts w:ascii="Arial" w:hAnsi="Arial" w:cs="Arial"/>
          <w:sz w:val="22"/>
          <w:szCs w:val="22"/>
        </w:rPr>
        <w:t>NRC update 10 CFR 53.1118 to be consistent with this (</w:t>
      </w:r>
      <w:r w:rsidR="009D6BB9">
        <w:rPr>
          <w:rFonts w:ascii="Arial" w:hAnsi="Arial" w:cs="Arial"/>
          <w:sz w:val="22"/>
          <w:szCs w:val="22"/>
        </w:rPr>
        <w:t>NEI2</w:t>
      </w:r>
      <w:r w:rsidRPr="00C70A45">
        <w:rPr>
          <w:rFonts w:ascii="Arial" w:hAnsi="Arial" w:cs="Arial"/>
          <w:sz w:val="22"/>
          <w:szCs w:val="22"/>
        </w:rPr>
        <w:t xml:space="preserve">-0138, </w:t>
      </w:r>
      <w:r w:rsidR="00333B47">
        <w:rPr>
          <w:rFonts w:ascii="Arial" w:hAnsi="Arial" w:cs="Arial"/>
          <w:sz w:val="22"/>
          <w:szCs w:val="22"/>
        </w:rPr>
        <w:t>WEST1</w:t>
      </w:r>
      <w:r w:rsidRPr="00C70A45">
        <w:rPr>
          <w:rFonts w:ascii="Arial" w:hAnsi="Arial" w:cs="Arial"/>
          <w:sz w:val="22"/>
          <w:szCs w:val="22"/>
        </w:rPr>
        <w:t xml:space="preserve">-0015, </w:t>
      </w:r>
      <w:r w:rsidR="009D6BB9">
        <w:rPr>
          <w:rFonts w:ascii="Arial" w:hAnsi="Arial" w:cs="Arial"/>
          <w:sz w:val="22"/>
          <w:szCs w:val="22"/>
        </w:rPr>
        <w:t>NEI2</w:t>
      </w:r>
      <w:r w:rsidRPr="00C70A45">
        <w:rPr>
          <w:rFonts w:ascii="Arial" w:hAnsi="Arial" w:cs="Arial"/>
          <w:sz w:val="22"/>
          <w:szCs w:val="22"/>
        </w:rPr>
        <w:t>-0258).</w:t>
      </w:r>
    </w:p>
    <w:p w:rsidR="00CA5393" w:rsidP="00C70A45" w14:paraId="2A5CF70D" w14:textId="77777777">
      <w:pPr>
        <w:spacing w:after="220"/>
        <w:rPr>
          <w:rFonts w:ascii="Arial" w:hAnsi="Arial" w:cs="Arial"/>
          <w:sz w:val="22"/>
          <w:szCs w:val="22"/>
        </w:rPr>
      </w:pPr>
      <w:r w:rsidRPr="00C70A45">
        <w:rPr>
          <w:rFonts w:ascii="Arial" w:hAnsi="Arial" w:cs="Arial"/>
          <w:b/>
          <w:sz w:val="22"/>
          <w:szCs w:val="22"/>
        </w:rPr>
        <w:t>NRC Response:</w:t>
      </w:r>
      <w:r w:rsidRPr="00C70A45">
        <w:rPr>
          <w:rFonts w:ascii="Arial" w:hAnsi="Arial" w:cs="Arial"/>
          <w:sz w:val="22"/>
          <w:szCs w:val="22"/>
        </w:rPr>
        <w:t> The NRC agrees with the comments.</w:t>
      </w:r>
    </w:p>
    <w:p w:rsidR="007F112A" w:rsidRPr="00C70A45" w:rsidP="00C70A45" w14:paraId="4B7E6C70" w14:textId="77777777">
      <w:pPr>
        <w:spacing w:after="220"/>
        <w:rPr>
          <w:rFonts w:ascii="Arial" w:hAnsi="Arial" w:cs="Arial"/>
          <w:sz w:val="22"/>
          <w:szCs w:val="22"/>
        </w:rPr>
      </w:pPr>
      <w:r w:rsidRPr="00C70A45">
        <w:rPr>
          <w:rFonts w:ascii="Arial" w:hAnsi="Arial" w:cs="Arial"/>
          <w:sz w:val="22"/>
          <w:szCs w:val="22"/>
        </w:rPr>
        <w:t xml:space="preserve">In response to the ADVANCE Act, </w:t>
      </w:r>
      <w:r w:rsidRPr="00C70A45" w:rsidR="005C3B75">
        <w:rPr>
          <w:rFonts w:ascii="Arial" w:hAnsi="Arial" w:cs="Arial"/>
          <w:sz w:val="22"/>
          <w:szCs w:val="22"/>
        </w:rPr>
        <w:t>s</w:t>
      </w:r>
      <w:r w:rsidRPr="00C70A45">
        <w:rPr>
          <w:rFonts w:ascii="Arial" w:hAnsi="Arial" w:cs="Arial"/>
          <w:sz w:val="22"/>
          <w:szCs w:val="22"/>
        </w:rPr>
        <w:t xml:space="preserve">ection 301, and these public comments, the NRC </w:t>
      </w:r>
      <w:r w:rsidR="0003694C">
        <w:rPr>
          <w:rFonts w:ascii="Arial" w:hAnsi="Arial" w:cs="Arial"/>
          <w:sz w:val="22"/>
          <w:szCs w:val="22"/>
        </w:rPr>
        <w:t>has revised</w:t>
      </w:r>
      <w:r w:rsidRPr="00C70A45">
        <w:rPr>
          <w:rFonts w:ascii="Arial" w:hAnsi="Arial" w:cs="Arial"/>
          <w:sz w:val="22"/>
          <w:szCs w:val="22"/>
        </w:rPr>
        <w:t xml:space="preserve"> the rule language in 10 CFR 53.</w:t>
      </w:r>
      <w:r w:rsidR="007E6F15">
        <w:rPr>
          <w:rFonts w:ascii="Arial" w:hAnsi="Arial" w:cs="Arial"/>
          <w:sz w:val="22"/>
          <w:szCs w:val="22"/>
        </w:rPr>
        <w:t>1118.</w:t>
      </w:r>
      <w:r w:rsidRPr="00C70A45">
        <w:rPr>
          <w:rFonts w:ascii="Arial" w:hAnsi="Arial" w:cs="Arial"/>
          <w:sz w:val="22"/>
          <w:szCs w:val="22"/>
        </w:rPr>
        <w:t xml:space="preserve"> </w:t>
      </w:r>
    </w:p>
    <w:p w:rsidR="007F112A" w:rsidRPr="00C70A45" w:rsidP="00C70A45" w14:paraId="4C12DFCD" w14:textId="77777777">
      <w:pPr>
        <w:spacing w:after="220"/>
        <w:rPr>
          <w:rFonts w:ascii="Arial" w:hAnsi="Arial" w:cs="Arial"/>
          <w:sz w:val="22"/>
          <w:szCs w:val="22"/>
        </w:rPr>
      </w:pPr>
      <w:r w:rsidRPr="00C70A45">
        <w:rPr>
          <w:rFonts w:ascii="Arial" w:hAnsi="Arial" w:cs="Arial"/>
          <w:sz w:val="22"/>
          <w:szCs w:val="22"/>
        </w:rPr>
        <w:t xml:space="preserve">Accordingly, the NRC </w:t>
      </w:r>
      <w:r w:rsidR="000F36E6">
        <w:rPr>
          <w:rFonts w:ascii="Arial" w:hAnsi="Arial" w:cs="Arial"/>
          <w:sz w:val="22"/>
          <w:szCs w:val="22"/>
        </w:rPr>
        <w:t>changed the rule language</w:t>
      </w:r>
      <w:r w:rsidRPr="00C70A45">
        <w:rPr>
          <w:rFonts w:ascii="Arial" w:hAnsi="Arial" w:cs="Arial"/>
          <w:sz w:val="22"/>
          <w:szCs w:val="22"/>
        </w:rPr>
        <w:t xml:space="preserve"> in response to th</w:t>
      </w:r>
      <w:r w:rsidRPr="00C70A45" w:rsidR="00B4712D">
        <w:rPr>
          <w:rFonts w:ascii="Arial" w:hAnsi="Arial" w:cs="Arial"/>
          <w:sz w:val="22"/>
          <w:szCs w:val="22"/>
        </w:rPr>
        <w:t>ese</w:t>
      </w:r>
      <w:r w:rsidRPr="00C70A45">
        <w:rPr>
          <w:rFonts w:ascii="Arial" w:hAnsi="Arial" w:cs="Arial"/>
          <w:sz w:val="22"/>
          <w:szCs w:val="22"/>
        </w:rPr>
        <w:t xml:space="preserve"> comment</w:t>
      </w:r>
      <w:r w:rsidRPr="00C70A45" w:rsidR="00B4712D">
        <w:rPr>
          <w:rFonts w:ascii="Arial" w:hAnsi="Arial" w:cs="Arial"/>
          <w:sz w:val="22"/>
          <w:szCs w:val="22"/>
        </w:rPr>
        <w:t>s</w:t>
      </w:r>
      <w:r w:rsidRPr="00C70A45">
        <w:rPr>
          <w:rFonts w:ascii="Arial" w:hAnsi="Arial" w:cs="Arial"/>
          <w:sz w:val="22"/>
          <w:szCs w:val="22"/>
        </w:rPr>
        <w:t>.</w:t>
      </w:r>
    </w:p>
    <w:p w:rsidR="007F112A" w:rsidRPr="00C70A45" w:rsidP="00C70A45" w14:paraId="0B209085" w14:textId="77777777">
      <w:pPr>
        <w:spacing w:after="220"/>
        <w:rPr>
          <w:rFonts w:ascii="Arial" w:hAnsi="Arial" w:cs="Arial"/>
          <w:sz w:val="22"/>
          <w:szCs w:val="22"/>
        </w:rPr>
      </w:pPr>
      <w:r>
        <w:rPr>
          <w:rFonts w:ascii="Arial" w:hAnsi="Arial" w:cs="Arial"/>
          <w:sz w:val="22"/>
          <w:szCs w:val="22"/>
        </w:rPr>
        <w:pict>
          <v:rect id="_x0000_i1237" style="width:0;height:1.5pt" o:hralign="center" o:hrstd="t" o:hrnoshade="t" o:hr="t" fillcolor="black" stroked="f"/>
        </w:pict>
      </w:r>
    </w:p>
    <w:p w:rsidR="007F112A" w:rsidRPr="00C70A45" w:rsidP="00C70A45" w14:paraId="7B54F802" w14:textId="77777777">
      <w:pPr>
        <w:spacing w:after="220"/>
        <w:rPr>
          <w:rFonts w:ascii="Arial" w:hAnsi="Arial" w:cs="Arial"/>
          <w:sz w:val="22"/>
          <w:szCs w:val="22"/>
        </w:rPr>
      </w:pPr>
      <w:r w:rsidRPr="00C70A45">
        <w:rPr>
          <w:rFonts w:ascii="Arial" w:hAnsi="Arial" w:cs="Arial"/>
          <w:b/>
          <w:sz w:val="22"/>
          <w:szCs w:val="22"/>
        </w:rPr>
        <w:t>Comment Bin 3.8.1.D:</w:t>
      </w:r>
      <w:r w:rsidRPr="00C70A45">
        <w:rPr>
          <w:rFonts w:ascii="Arial" w:hAnsi="Arial" w:cs="Arial"/>
          <w:sz w:val="22"/>
          <w:szCs w:val="22"/>
        </w:rPr>
        <w:t xml:space="preserve"> A commenter wrote that 10 CFR 53.1124 should be revised to emphasize that an LWA can be submitted concurrently with applications for ESPs, CPs, and COLs as this helps streamline the process and reduces redundancy. The commenter proposed the following text (</w:t>
      </w:r>
      <w:r w:rsidRPr="0094577D" w:rsidR="0094577D">
        <w:rPr>
          <w:rFonts w:ascii="Arial" w:eastAsia="Times New Roman" w:hAnsi="Arial" w:cs="Arial"/>
          <w:color w:val="000000"/>
          <w:sz w:val="22"/>
          <w:szCs w:val="22"/>
        </w:rPr>
        <w:t>MR</w:t>
      </w:r>
      <w:r w:rsidRPr="00C70A45">
        <w:rPr>
          <w:rFonts w:ascii="Arial" w:hAnsi="Arial" w:cs="Arial"/>
          <w:sz w:val="22"/>
          <w:szCs w:val="22"/>
        </w:rPr>
        <w:t xml:space="preserve">-0003): </w:t>
      </w:r>
    </w:p>
    <w:p w:rsidR="007F112A" w:rsidRPr="00C70A45" w:rsidP="00C70A45" w14:paraId="05BB5FB0" w14:textId="77777777">
      <w:pPr>
        <w:spacing w:after="220"/>
        <w:ind w:firstLine="720"/>
        <w:rPr>
          <w:rFonts w:ascii="Arial" w:hAnsi="Arial" w:cs="Arial"/>
          <w:sz w:val="22"/>
          <w:szCs w:val="22"/>
        </w:rPr>
      </w:pPr>
      <w:r w:rsidRPr="00C70A45">
        <w:rPr>
          <w:rFonts w:ascii="Arial" w:hAnsi="Arial" w:cs="Arial"/>
          <w:sz w:val="22"/>
          <w:szCs w:val="22"/>
        </w:rPr>
        <w:t xml:space="preserve">Relationship between sections. </w:t>
      </w:r>
    </w:p>
    <w:p w:rsidR="007F112A" w:rsidRPr="00C70A45" w:rsidP="00C70A45" w14:paraId="00529944" w14:textId="77777777">
      <w:pPr>
        <w:spacing w:after="220"/>
        <w:ind w:left="720"/>
        <w:rPr>
          <w:rFonts w:ascii="Arial" w:hAnsi="Arial" w:cs="Arial"/>
          <w:sz w:val="22"/>
          <w:szCs w:val="22"/>
        </w:rPr>
      </w:pPr>
      <w:r w:rsidRPr="00C70A45">
        <w:rPr>
          <w:rFonts w:ascii="Arial" w:hAnsi="Arial" w:cs="Arial"/>
          <w:sz w:val="22"/>
          <w:szCs w:val="22"/>
        </w:rPr>
        <w:t>(a) Limited work authorization. An application for a limited work authorization (LWA) under this part may be submitted as part of an application for an early site permit, construction permit (CP), or combined license (COL) under this part as required in 53.1130(a)(2).</w:t>
      </w:r>
    </w:p>
    <w:p w:rsidR="00B36877" w:rsidP="00C70A45" w14:paraId="7BCE6D43" w14:textId="77777777">
      <w:pPr>
        <w:spacing w:after="220"/>
        <w:rPr>
          <w:rFonts w:ascii="Arial" w:hAnsi="Arial" w:cs="Arial"/>
          <w:sz w:val="22"/>
          <w:szCs w:val="22"/>
        </w:rPr>
      </w:pPr>
      <w:r w:rsidRPr="00C70A45">
        <w:rPr>
          <w:rFonts w:ascii="Arial" w:hAnsi="Arial" w:cs="Arial"/>
          <w:b/>
          <w:sz w:val="22"/>
          <w:szCs w:val="22"/>
        </w:rPr>
        <w:t>NRC Response:</w:t>
      </w:r>
      <w:r w:rsidRPr="00C70A45">
        <w:rPr>
          <w:rFonts w:ascii="Arial" w:hAnsi="Arial" w:cs="Arial"/>
          <w:sz w:val="22"/>
          <w:szCs w:val="22"/>
        </w:rPr>
        <w:t xml:space="preserve"> The NRC agrees with </w:t>
      </w:r>
      <w:r w:rsidR="00537506">
        <w:rPr>
          <w:rFonts w:ascii="Arial" w:hAnsi="Arial" w:cs="Arial"/>
          <w:sz w:val="22"/>
          <w:szCs w:val="22"/>
        </w:rPr>
        <w:t>th</w:t>
      </w:r>
      <w:r w:rsidR="004F6B63">
        <w:rPr>
          <w:rFonts w:ascii="Arial" w:hAnsi="Arial" w:cs="Arial"/>
          <w:sz w:val="22"/>
          <w:szCs w:val="22"/>
        </w:rPr>
        <w:t>e</w:t>
      </w:r>
      <w:r w:rsidRPr="00C70A45">
        <w:rPr>
          <w:rFonts w:ascii="Arial" w:hAnsi="Arial" w:cs="Arial"/>
          <w:sz w:val="22"/>
          <w:szCs w:val="22"/>
        </w:rPr>
        <w:t xml:space="preserve"> comment but notes that the suggested rule text already exists in 10 CFR 53.1124(a). </w:t>
      </w:r>
    </w:p>
    <w:p w:rsidR="007F112A" w:rsidRPr="00C70A45" w:rsidP="00C70A45" w14:paraId="39429FF3" w14:textId="77777777">
      <w:pPr>
        <w:spacing w:after="220"/>
        <w:rPr>
          <w:rFonts w:ascii="Arial" w:hAnsi="Arial" w:cs="Arial"/>
          <w:sz w:val="22"/>
          <w:szCs w:val="22"/>
        </w:rPr>
      </w:pPr>
      <w:r w:rsidRPr="00C70A45">
        <w:rPr>
          <w:rFonts w:ascii="Arial" w:hAnsi="Arial" w:cs="Arial"/>
          <w:sz w:val="22"/>
          <w:szCs w:val="22"/>
        </w:rPr>
        <w:t>Accordingly, the NRC did not change the rule language in response to this comment.</w:t>
      </w:r>
    </w:p>
    <w:p w:rsidR="007F112A" w:rsidRPr="00C70A45" w:rsidP="00C70A45" w14:paraId="4BFEF1D6" w14:textId="77777777">
      <w:pPr>
        <w:spacing w:after="220"/>
        <w:rPr>
          <w:rFonts w:ascii="Arial" w:hAnsi="Arial" w:cs="Arial"/>
          <w:sz w:val="22"/>
          <w:szCs w:val="22"/>
        </w:rPr>
      </w:pPr>
      <w:r>
        <w:rPr>
          <w:rFonts w:ascii="Arial" w:hAnsi="Arial" w:cs="Arial"/>
          <w:sz w:val="22"/>
          <w:szCs w:val="22"/>
        </w:rPr>
        <w:pict>
          <v:rect id="_x0000_i1238" style="width:0;height:1.5pt" o:hralign="center" o:hrstd="t" o:hrnoshade="t" o:hr="t" fillcolor="black" stroked="f"/>
        </w:pict>
      </w:r>
    </w:p>
    <w:p w:rsidR="007F112A" w:rsidRPr="00C70A45" w:rsidP="00C70A45" w14:paraId="0E90804D" w14:textId="77777777">
      <w:pPr>
        <w:spacing w:after="220"/>
        <w:rPr>
          <w:rFonts w:ascii="Arial" w:hAnsi="Arial" w:cs="Arial"/>
          <w:sz w:val="22"/>
          <w:szCs w:val="22"/>
        </w:rPr>
      </w:pPr>
      <w:r w:rsidRPr="00C70A45">
        <w:rPr>
          <w:rFonts w:ascii="Arial" w:hAnsi="Arial" w:cs="Arial"/>
          <w:b/>
          <w:sz w:val="22"/>
          <w:szCs w:val="22"/>
        </w:rPr>
        <w:t>Comment Bin 3.8.1.E:</w:t>
      </w:r>
      <w:r w:rsidRPr="00C70A45">
        <w:rPr>
          <w:rFonts w:ascii="Arial" w:hAnsi="Arial" w:cs="Arial"/>
          <w:sz w:val="22"/>
          <w:szCs w:val="22"/>
        </w:rPr>
        <w:t xml:space="preserve"> A commenter recommended clarifying 10 CFR 53.1124(b) so that CP or COL applicants may reference an ESP, and proposed the following rule text (</w:t>
      </w:r>
      <w:r w:rsidRPr="0094577D" w:rsidR="0094577D">
        <w:rPr>
          <w:rFonts w:ascii="Arial" w:eastAsia="Times New Roman" w:hAnsi="Arial" w:cs="Arial"/>
          <w:color w:val="000000"/>
          <w:sz w:val="22"/>
          <w:szCs w:val="22"/>
        </w:rPr>
        <w:t>MR</w:t>
      </w:r>
      <w:r w:rsidRPr="00C70A45">
        <w:rPr>
          <w:rFonts w:ascii="Arial" w:hAnsi="Arial" w:cs="Arial"/>
          <w:sz w:val="22"/>
          <w:szCs w:val="22"/>
        </w:rPr>
        <w:t>-0004):</w:t>
      </w:r>
    </w:p>
    <w:p w:rsidR="007F112A" w:rsidRPr="00C70A45" w:rsidP="00C70A45" w14:paraId="5896D07B" w14:textId="77777777">
      <w:pPr>
        <w:spacing w:after="220"/>
        <w:ind w:left="720"/>
        <w:rPr>
          <w:rFonts w:ascii="Arial" w:hAnsi="Arial" w:cs="Arial"/>
          <w:sz w:val="22"/>
          <w:szCs w:val="22"/>
        </w:rPr>
      </w:pPr>
      <w:r w:rsidRPr="00C70A45">
        <w:rPr>
          <w:rFonts w:ascii="Arial" w:hAnsi="Arial" w:cs="Arial"/>
          <w:sz w:val="22"/>
          <w:szCs w:val="22"/>
        </w:rPr>
        <w:t>Early site permit.</w:t>
      </w:r>
    </w:p>
    <w:p w:rsidR="007F112A" w:rsidRPr="00C70A45" w:rsidP="00C70A45" w14:paraId="2CC8D59A" w14:textId="77777777">
      <w:pPr>
        <w:spacing w:after="220"/>
        <w:ind w:left="720"/>
        <w:rPr>
          <w:rFonts w:ascii="Arial" w:hAnsi="Arial" w:cs="Arial"/>
          <w:sz w:val="22"/>
          <w:szCs w:val="22"/>
        </w:rPr>
      </w:pPr>
      <w:r w:rsidRPr="00C70A45">
        <w:rPr>
          <w:rFonts w:ascii="Arial" w:hAnsi="Arial" w:cs="Arial"/>
          <w:sz w:val="22"/>
          <w:szCs w:val="22"/>
        </w:rPr>
        <w:t xml:space="preserve">(1) A holder of an early site permit may request an LWA. </w:t>
      </w:r>
    </w:p>
    <w:p w:rsidR="007F112A" w:rsidRPr="00C70A45" w:rsidP="00C70A45" w14:paraId="2FB74366" w14:textId="77777777">
      <w:pPr>
        <w:spacing w:after="220"/>
        <w:ind w:left="720"/>
        <w:rPr>
          <w:rFonts w:ascii="Arial" w:hAnsi="Arial" w:cs="Arial"/>
          <w:sz w:val="22"/>
          <w:szCs w:val="22"/>
        </w:rPr>
      </w:pPr>
      <w:r w:rsidRPr="00C70A45">
        <w:rPr>
          <w:rFonts w:ascii="Arial" w:hAnsi="Arial" w:cs="Arial"/>
          <w:sz w:val="22"/>
          <w:szCs w:val="22"/>
        </w:rPr>
        <w:t>(2) An application for a CP or COL under this part may, but need not, reference an early site permit. </w:t>
      </w:r>
    </w:p>
    <w:p w:rsidR="00433E27" w:rsidP="00C70A45" w14:paraId="24A15A5A" w14:textId="77777777">
      <w:pPr>
        <w:spacing w:after="220"/>
        <w:rPr>
          <w:rFonts w:ascii="Arial" w:hAnsi="Arial" w:cs="Arial"/>
          <w:sz w:val="22"/>
          <w:szCs w:val="22"/>
        </w:rPr>
      </w:pPr>
      <w:r w:rsidRPr="00C70A45">
        <w:rPr>
          <w:rFonts w:ascii="Arial" w:hAnsi="Arial" w:cs="Arial"/>
          <w:b/>
          <w:sz w:val="22"/>
          <w:szCs w:val="22"/>
        </w:rPr>
        <w:t>NRC Response:</w:t>
      </w:r>
      <w:r w:rsidRPr="00C70A45">
        <w:rPr>
          <w:rFonts w:ascii="Arial" w:hAnsi="Arial" w:cs="Arial"/>
          <w:sz w:val="22"/>
          <w:szCs w:val="22"/>
        </w:rPr>
        <w:t> The NRC agrees with the comment</w:t>
      </w:r>
      <w:r>
        <w:rPr>
          <w:rFonts w:ascii="Arial" w:hAnsi="Arial" w:cs="Arial"/>
          <w:sz w:val="22"/>
          <w:szCs w:val="22"/>
        </w:rPr>
        <w:t>.</w:t>
      </w:r>
    </w:p>
    <w:p w:rsidR="000F42C2" w:rsidP="00C70A45" w14:paraId="5D13EE4F" w14:textId="77777777">
      <w:pPr>
        <w:spacing w:after="220"/>
        <w:rPr>
          <w:rFonts w:ascii="Arial" w:hAnsi="Arial" w:cs="Arial"/>
          <w:sz w:val="22"/>
          <w:szCs w:val="22"/>
        </w:rPr>
      </w:pPr>
      <w:r>
        <w:rPr>
          <w:rFonts w:ascii="Arial" w:hAnsi="Arial" w:cs="Arial"/>
          <w:sz w:val="22"/>
          <w:szCs w:val="22"/>
        </w:rPr>
        <w:t>The NRC</w:t>
      </w:r>
      <w:r w:rsidRPr="00C70A45" w:rsidR="007F112A">
        <w:rPr>
          <w:rFonts w:ascii="Arial" w:hAnsi="Arial" w:cs="Arial"/>
          <w:sz w:val="22"/>
          <w:szCs w:val="22"/>
        </w:rPr>
        <w:t xml:space="preserve"> notes that the suggested rule text already exists in 10 CFR 53.1124(b). </w:t>
      </w:r>
    </w:p>
    <w:p w:rsidR="007F112A" w:rsidRPr="00C70A45" w:rsidP="00C70A45" w14:paraId="60AA2EB4" w14:textId="77777777">
      <w:pPr>
        <w:spacing w:after="220"/>
        <w:rPr>
          <w:rFonts w:ascii="Arial" w:hAnsi="Arial" w:cs="Arial"/>
          <w:sz w:val="22"/>
          <w:szCs w:val="22"/>
        </w:rPr>
      </w:pPr>
      <w:r w:rsidRPr="00C70A45">
        <w:rPr>
          <w:rFonts w:ascii="Arial" w:hAnsi="Arial" w:cs="Arial"/>
          <w:sz w:val="22"/>
          <w:szCs w:val="22"/>
        </w:rPr>
        <w:t>Accordingly, the NRC did not change the rule language in response to this comment.</w:t>
      </w:r>
    </w:p>
    <w:p w:rsidR="007F112A" w:rsidRPr="00C70A45" w:rsidP="00C70A45" w14:paraId="7BCE9FB4" w14:textId="77777777">
      <w:pPr>
        <w:spacing w:after="220"/>
        <w:rPr>
          <w:rFonts w:ascii="Arial" w:hAnsi="Arial" w:cs="Arial"/>
          <w:sz w:val="22"/>
          <w:szCs w:val="22"/>
        </w:rPr>
      </w:pPr>
      <w:r>
        <w:rPr>
          <w:rFonts w:ascii="Arial" w:hAnsi="Arial" w:cs="Arial"/>
          <w:sz w:val="22"/>
          <w:szCs w:val="22"/>
        </w:rPr>
        <w:pict>
          <v:rect id="_x0000_i1239" style="width:0;height:1.5pt" o:hralign="center" o:hrstd="t" o:hrnoshade="t" o:hr="t" fillcolor="black" stroked="f"/>
        </w:pict>
      </w:r>
    </w:p>
    <w:p w:rsidR="007F112A" w:rsidRPr="00C70A45" w:rsidP="00C70A45" w14:paraId="40D1C74F" w14:textId="77777777">
      <w:pPr>
        <w:spacing w:after="220"/>
        <w:rPr>
          <w:rFonts w:ascii="Arial" w:hAnsi="Arial" w:cs="Arial"/>
          <w:sz w:val="22"/>
          <w:szCs w:val="22"/>
        </w:rPr>
      </w:pPr>
      <w:r w:rsidRPr="00C70A45">
        <w:rPr>
          <w:rFonts w:ascii="Arial" w:hAnsi="Arial" w:cs="Arial"/>
          <w:b/>
          <w:sz w:val="22"/>
          <w:szCs w:val="22"/>
        </w:rPr>
        <w:t>Comment Bin 3.8.1.F:</w:t>
      </w:r>
      <w:r w:rsidRPr="00C70A45">
        <w:rPr>
          <w:rFonts w:ascii="Arial" w:hAnsi="Arial" w:cs="Arial"/>
          <w:sz w:val="22"/>
          <w:szCs w:val="22"/>
        </w:rPr>
        <w:t xml:space="preserve"> A commenter wrote that 10 CFR 53.1120 does not make sense and asked if it was necessary. In 10 CFR 53.1124(e)(1), the commenter asked what would occur if a manufacture</w:t>
      </w:r>
      <w:r w:rsidR="000F42C2">
        <w:rPr>
          <w:rFonts w:ascii="Arial" w:hAnsi="Arial" w:cs="Arial"/>
          <w:sz w:val="22"/>
          <w:szCs w:val="22"/>
        </w:rPr>
        <w:t>d</w:t>
      </w:r>
      <w:r w:rsidRPr="00C70A45">
        <w:rPr>
          <w:rFonts w:ascii="Arial" w:hAnsi="Arial" w:cs="Arial"/>
          <w:sz w:val="22"/>
          <w:szCs w:val="22"/>
        </w:rPr>
        <w:t xml:space="preserve"> reactor needed to be returned after it arrive</w:t>
      </w:r>
      <w:r w:rsidR="00CF1140">
        <w:rPr>
          <w:rFonts w:ascii="Arial" w:hAnsi="Arial" w:cs="Arial"/>
          <w:sz w:val="22"/>
          <w:szCs w:val="22"/>
        </w:rPr>
        <w:t>d</w:t>
      </w:r>
      <w:r w:rsidRPr="00C70A45">
        <w:rPr>
          <w:rFonts w:ascii="Arial" w:hAnsi="Arial" w:cs="Arial"/>
          <w:sz w:val="22"/>
          <w:szCs w:val="22"/>
        </w:rPr>
        <w:t xml:space="preserve"> at a site as a result of damage in transit. Finally, the commenter wrote that they did not understand the text in 10 CFR 53.1124(f) </w:t>
      </w:r>
      <w:r w:rsidRPr="00563CF0">
        <w:rPr>
          <w:rFonts w:ascii="Arial" w:hAnsi="Arial" w:cs="Arial"/>
          <w:sz w:val="22"/>
          <w:szCs w:val="22"/>
        </w:rPr>
        <w:t>(</w:t>
      </w:r>
      <w:r w:rsidRPr="00563CF0" w:rsidR="00563CF0">
        <w:rPr>
          <w:rFonts w:ascii="Arial" w:eastAsia="Times New Roman" w:hAnsi="Arial" w:cs="Arial"/>
          <w:color w:val="000000"/>
          <w:sz w:val="22"/>
          <w:szCs w:val="22"/>
        </w:rPr>
        <w:t>TG12</w:t>
      </w:r>
      <w:r w:rsidRPr="00563CF0">
        <w:rPr>
          <w:rFonts w:ascii="Arial" w:hAnsi="Arial" w:cs="Arial"/>
          <w:sz w:val="22"/>
          <w:szCs w:val="22"/>
        </w:rPr>
        <w:t>-000</w:t>
      </w:r>
      <w:r w:rsidRPr="00C70A45">
        <w:rPr>
          <w:rFonts w:ascii="Arial" w:hAnsi="Arial" w:cs="Arial"/>
          <w:sz w:val="22"/>
          <w:szCs w:val="22"/>
        </w:rPr>
        <w:t>2).</w:t>
      </w:r>
    </w:p>
    <w:p w:rsidR="00CF1140" w:rsidP="00C70A45" w14:paraId="4AD7F28C" w14:textId="77777777">
      <w:pPr>
        <w:spacing w:after="220"/>
        <w:rPr>
          <w:rFonts w:ascii="Arial" w:hAnsi="Arial" w:cs="Arial"/>
          <w:sz w:val="22"/>
          <w:szCs w:val="22"/>
        </w:rPr>
      </w:pPr>
      <w:r w:rsidRPr="00C70A45">
        <w:rPr>
          <w:rFonts w:ascii="Arial" w:hAnsi="Arial" w:cs="Arial"/>
          <w:b/>
          <w:sz w:val="22"/>
          <w:szCs w:val="22"/>
        </w:rPr>
        <w:t>NRC Response:</w:t>
      </w:r>
      <w:r w:rsidRPr="00C70A45">
        <w:rPr>
          <w:rFonts w:ascii="Arial" w:hAnsi="Arial" w:cs="Arial"/>
          <w:sz w:val="22"/>
          <w:szCs w:val="22"/>
        </w:rPr>
        <w:t> </w:t>
      </w:r>
      <w:r>
        <w:rPr>
          <w:rFonts w:ascii="Arial" w:hAnsi="Arial" w:cs="Arial"/>
          <w:sz w:val="22"/>
          <w:szCs w:val="22"/>
        </w:rPr>
        <w:t>The NRC acknowledges th</w:t>
      </w:r>
      <w:r w:rsidR="004F6B63">
        <w:rPr>
          <w:rFonts w:ascii="Arial" w:hAnsi="Arial" w:cs="Arial"/>
          <w:sz w:val="22"/>
          <w:szCs w:val="22"/>
        </w:rPr>
        <w:t>e</w:t>
      </w:r>
      <w:r>
        <w:rPr>
          <w:rFonts w:ascii="Arial" w:hAnsi="Arial" w:cs="Arial"/>
          <w:sz w:val="22"/>
          <w:szCs w:val="22"/>
        </w:rPr>
        <w:t xml:space="preserve"> comment.</w:t>
      </w:r>
    </w:p>
    <w:p w:rsidR="007F112A" w:rsidRPr="00C70A45" w:rsidP="00C70A45" w14:paraId="5980BE53" w14:textId="77777777">
      <w:pPr>
        <w:spacing w:after="220"/>
        <w:rPr>
          <w:rFonts w:ascii="Arial" w:hAnsi="Arial" w:cs="Arial"/>
          <w:sz w:val="22"/>
          <w:szCs w:val="22"/>
        </w:rPr>
      </w:pPr>
      <w:r w:rsidRPr="00C70A45">
        <w:rPr>
          <w:rFonts w:ascii="Arial" w:hAnsi="Arial" w:cs="Arial"/>
          <w:sz w:val="22"/>
          <w:szCs w:val="22"/>
        </w:rPr>
        <w:t xml:space="preserve">The NRC considered the questions contained in the comment. Regarding the first question, the requirements in 10 CFR 53.1120 are necessary. They are equivalent to the requirements found in current NRC regulations in 10 CFR 50.11 and are necessary to characterize the licensing authority of the NRC as being limited to regulation of civilian uses of radioactive materials. </w:t>
      </w:r>
      <w:r w:rsidRPr="00C70A45">
        <w:rPr>
          <w:rFonts w:ascii="Arial" w:hAnsi="Arial" w:cs="Arial"/>
          <w:sz w:val="22"/>
          <w:szCs w:val="22"/>
        </w:rPr>
        <w:t xml:space="preserve">Regarding the commenter’s second question, if a manufacturer reactor needed to be returned after it arrives at a site as a result of damage in transit, the holder of the manufacturing license for that reactor would need to maintain possession of it and work with the entity that transported the manufactured reactor from the factory to the site to have it returned to the factory for repairs. With regard to the commenter’s statement that they did not understand 10 CFR 53.1124(f), that provision is noting that the original applicant for the referenced design certification must provide the CP applicant with the details of the design for use in the CP application, otherwise, the NRC would not accept the CP application referencing that design. </w:t>
      </w:r>
    </w:p>
    <w:p w:rsidR="007F112A" w:rsidRPr="00C70A45" w:rsidP="00C70A45" w14:paraId="3B124B59" w14:textId="77777777">
      <w:pPr>
        <w:spacing w:after="220"/>
        <w:rPr>
          <w:rFonts w:ascii="Arial" w:hAnsi="Arial" w:cs="Arial"/>
          <w:sz w:val="22"/>
          <w:szCs w:val="22"/>
        </w:rPr>
      </w:pPr>
      <w:r>
        <w:rPr>
          <w:rFonts w:ascii="Arial" w:hAnsi="Arial" w:cs="Arial"/>
          <w:sz w:val="22"/>
          <w:szCs w:val="22"/>
        </w:rPr>
        <w:t>Accordingly, t</w:t>
      </w:r>
      <w:r w:rsidRPr="00C70A45">
        <w:rPr>
          <w:rFonts w:ascii="Arial" w:hAnsi="Arial" w:cs="Arial"/>
          <w:sz w:val="22"/>
          <w:szCs w:val="22"/>
        </w:rPr>
        <w:t>he NRC did not change the rule language in response to this comment.</w:t>
      </w:r>
    </w:p>
    <w:p w:rsidR="007F112A" w:rsidRPr="00772269" w:rsidP="00C70A45" w14:paraId="47E15CF7" w14:textId="77777777">
      <w:pPr>
        <w:spacing w:after="220"/>
        <w:rPr>
          <w:rFonts w:ascii="Arial" w:hAnsi="Arial" w:cs="Arial"/>
          <w:sz w:val="22"/>
          <w:szCs w:val="22"/>
        </w:rPr>
      </w:pPr>
      <w:r>
        <w:rPr>
          <w:rFonts w:ascii="Arial" w:hAnsi="Arial" w:cs="Arial"/>
          <w:sz w:val="22"/>
          <w:szCs w:val="22"/>
        </w:rPr>
        <w:pict>
          <v:rect id="_x0000_i1240" style="width:0;height:1.5pt" o:hralign="center" o:hrstd="t" o:hrnoshade="t" o:hr="t" fillcolor="black" stroked="f"/>
        </w:pict>
      </w:r>
    </w:p>
    <w:p w:rsidR="007F112A" w:rsidRPr="00772269" w:rsidP="00772269" w14:paraId="2BB83C15" w14:textId="77777777">
      <w:pPr>
        <w:spacing w:after="220"/>
        <w:rPr>
          <w:rFonts w:ascii="Arial" w:hAnsi="Arial" w:cs="Arial"/>
          <w:sz w:val="22"/>
          <w:szCs w:val="22"/>
        </w:rPr>
      </w:pPr>
      <w:r w:rsidRPr="00772269">
        <w:rPr>
          <w:rFonts w:ascii="Arial" w:hAnsi="Arial" w:cs="Arial"/>
          <w:b/>
          <w:sz w:val="22"/>
          <w:szCs w:val="22"/>
        </w:rPr>
        <w:t>Comment Bin 3.8.1.G:</w:t>
      </w:r>
      <w:r w:rsidRPr="00772269">
        <w:rPr>
          <w:rFonts w:ascii="Arial" w:hAnsi="Arial" w:cs="Arial"/>
          <w:sz w:val="22"/>
          <w:szCs w:val="22"/>
        </w:rPr>
        <w:t xml:space="preserve"> A commenter asked about the requirements in 10</w:t>
      </w:r>
      <w:r w:rsidRPr="00772269" w:rsidR="00E34A20">
        <w:rPr>
          <w:rFonts w:ascii="Arial" w:hAnsi="Arial" w:cs="Arial"/>
          <w:sz w:val="22"/>
          <w:szCs w:val="22"/>
        </w:rPr>
        <w:t> </w:t>
      </w:r>
      <w:r w:rsidRPr="00772269">
        <w:rPr>
          <w:rFonts w:ascii="Arial" w:hAnsi="Arial" w:cs="Arial"/>
          <w:sz w:val="22"/>
          <w:szCs w:val="22"/>
        </w:rPr>
        <w:t>CFR</w:t>
      </w:r>
      <w:r w:rsidRPr="00772269" w:rsidR="00E34A20">
        <w:rPr>
          <w:rFonts w:ascii="Arial" w:hAnsi="Arial" w:cs="Arial"/>
          <w:sz w:val="22"/>
          <w:szCs w:val="22"/>
        </w:rPr>
        <w:t> </w:t>
      </w:r>
      <w:r w:rsidRPr="00772269">
        <w:rPr>
          <w:rFonts w:ascii="Arial" w:hAnsi="Arial" w:cs="Arial"/>
          <w:sz w:val="22"/>
          <w:szCs w:val="22"/>
        </w:rPr>
        <w:t>53.1241 and the uncertainties associated with analyses, methods, and equipment discussed in this requirement and how such uncertainties could be derived without any data</w:t>
      </w:r>
      <w:r w:rsidRPr="00772269" w:rsidR="004824E0">
        <w:rPr>
          <w:rFonts w:ascii="Arial" w:hAnsi="Arial" w:cs="Arial"/>
          <w:sz w:val="22"/>
          <w:szCs w:val="22"/>
        </w:rPr>
        <w:t>.</w:t>
      </w:r>
      <w:r w:rsidRPr="00772269">
        <w:rPr>
          <w:rFonts w:ascii="Arial" w:hAnsi="Arial" w:cs="Arial"/>
          <w:sz w:val="22"/>
          <w:szCs w:val="22"/>
        </w:rPr>
        <w:t xml:space="preserve"> The commenter asked what is being done about scaling and uncertainties of analyses in the absence of prototype testing (</w:t>
      </w:r>
      <w:r w:rsidR="00A02F0C">
        <w:rPr>
          <w:rFonts w:ascii="Arial" w:hAnsi="Arial" w:cs="Arial"/>
          <w:sz w:val="22"/>
          <w:szCs w:val="22"/>
        </w:rPr>
        <w:t>RD</w:t>
      </w:r>
      <w:r w:rsidRPr="00772269">
        <w:rPr>
          <w:rFonts w:ascii="Arial" w:hAnsi="Arial" w:cs="Arial"/>
          <w:sz w:val="22"/>
          <w:szCs w:val="22"/>
        </w:rPr>
        <w:t>-0026).</w:t>
      </w:r>
    </w:p>
    <w:p w:rsidR="00A9748C" w:rsidP="00772269" w14:paraId="55E5CEFD"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w:t>
      </w:r>
      <w:r>
        <w:rPr>
          <w:rFonts w:ascii="Arial" w:hAnsi="Arial" w:cs="Arial"/>
          <w:sz w:val="22"/>
          <w:szCs w:val="22"/>
        </w:rPr>
        <w:t>The NRC acknowledges th</w:t>
      </w:r>
      <w:r w:rsidR="004F6B63">
        <w:rPr>
          <w:rFonts w:ascii="Arial" w:hAnsi="Arial" w:cs="Arial"/>
          <w:sz w:val="22"/>
          <w:szCs w:val="22"/>
        </w:rPr>
        <w:t>e</w:t>
      </w:r>
      <w:r>
        <w:rPr>
          <w:rFonts w:ascii="Arial" w:hAnsi="Arial" w:cs="Arial"/>
          <w:sz w:val="22"/>
          <w:szCs w:val="22"/>
        </w:rPr>
        <w:t xml:space="preserve"> comment.</w:t>
      </w:r>
    </w:p>
    <w:p w:rsidR="008B5BDE" w:rsidRPr="00772269" w:rsidP="00772269" w14:paraId="6C42A62F" w14:textId="77777777">
      <w:pPr>
        <w:spacing w:after="220"/>
        <w:rPr>
          <w:rFonts w:ascii="Arial" w:hAnsi="Arial" w:cs="Arial"/>
          <w:sz w:val="22"/>
          <w:szCs w:val="22"/>
        </w:rPr>
      </w:pPr>
      <w:r w:rsidRPr="00772269">
        <w:rPr>
          <w:rFonts w:ascii="Arial" w:hAnsi="Arial" w:cs="Arial"/>
          <w:sz w:val="22"/>
          <w:szCs w:val="22"/>
        </w:rPr>
        <w:t>The NRC understands the comment to be asking how uncertainties are to be addressed in analyses and methods used in the design of plant equipment in the absence of prototype testing. The requirement in 10 CFR 53.1241 for an applicant to describe how the performance of each design feature has been demonstrated stems from 10 CFR 53.440(a)(1), which requires that analysis, appropriate test programs, prototype testing, operating experience, or a combination thereof must demonstrate that each design feature required by 10 CFR 53.400 meets the defined functional design criteria required by 10 CFR 53.410 and 53.420. This requirement closely aligns with the language in existing NRC requirements in 10 CFR 50.43(e) which the NRC has relied on for its review of many past nuclear power reactor applications. It is the responsibility of the applicant to justify the method(s) they are using to demonstrate the performance of their design features, including the need to address uncertainties in areas where they are relying on analyses. The NRC will review those justifications for acceptability during review of the subject application for a commercial nuclear reactor. The comment did not suggest changes to the rule language.</w:t>
      </w:r>
    </w:p>
    <w:p w:rsidR="007F112A" w:rsidRPr="00772269" w:rsidP="00772269" w14:paraId="53EE56F4"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798AAE79" w14:textId="77777777">
      <w:pPr>
        <w:spacing w:after="220"/>
        <w:rPr>
          <w:rFonts w:ascii="Arial" w:hAnsi="Arial" w:cs="Arial"/>
          <w:sz w:val="22"/>
          <w:szCs w:val="22"/>
        </w:rPr>
      </w:pPr>
      <w:r>
        <w:rPr>
          <w:rFonts w:ascii="Arial" w:hAnsi="Arial" w:cs="Arial"/>
          <w:sz w:val="22"/>
          <w:szCs w:val="22"/>
        </w:rPr>
        <w:pict>
          <v:rect id="_x0000_i1241" style="width:0;height:1.5pt" o:hralign="center" o:hrstd="t" o:hrnoshade="t" o:hr="t" fillcolor="black" stroked="f"/>
        </w:pict>
      </w:r>
    </w:p>
    <w:p w:rsidR="007F112A" w:rsidRPr="00772269" w:rsidP="00772269" w14:paraId="58543E02" w14:textId="77777777">
      <w:pPr>
        <w:spacing w:after="220"/>
        <w:rPr>
          <w:rFonts w:ascii="Arial" w:hAnsi="Arial" w:cs="Arial"/>
          <w:sz w:val="22"/>
          <w:szCs w:val="22"/>
        </w:rPr>
      </w:pPr>
      <w:r w:rsidRPr="00772269">
        <w:rPr>
          <w:rFonts w:ascii="Arial" w:hAnsi="Arial" w:cs="Arial"/>
          <w:b/>
          <w:sz w:val="22"/>
          <w:szCs w:val="22"/>
        </w:rPr>
        <w:t>Comment Bin 3.8.1.H:</w:t>
      </w:r>
      <w:r w:rsidRPr="00772269">
        <w:rPr>
          <w:rFonts w:ascii="Arial" w:hAnsi="Arial" w:cs="Arial"/>
          <w:sz w:val="22"/>
          <w:szCs w:val="22"/>
        </w:rPr>
        <w:t xml:space="preserve"> A commenter wrote that the proposed rule lacks explicit requirements for a comprehensive environmental impact assessment and recommended adding the following text to 10 CFR 52.1239 (</w:t>
      </w:r>
      <w:r w:rsidRPr="0094577D" w:rsidR="009A686C">
        <w:rPr>
          <w:rFonts w:ascii="Arial" w:eastAsia="Times New Roman" w:hAnsi="Arial" w:cs="Arial"/>
          <w:color w:val="000000"/>
          <w:sz w:val="22"/>
          <w:szCs w:val="22"/>
        </w:rPr>
        <w:t>MR</w:t>
      </w:r>
      <w:r w:rsidRPr="00772269">
        <w:rPr>
          <w:rFonts w:ascii="Arial" w:hAnsi="Arial" w:cs="Arial"/>
          <w:sz w:val="22"/>
          <w:szCs w:val="22"/>
        </w:rPr>
        <w:t>-0005):</w:t>
      </w:r>
    </w:p>
    <w:p w:rsidR="007F112A" w:rsidRPr="00772269" w:rsidP="00772269" w14:paraId="32DBBBDA" w14:textId="77777777">
      <w:pPr>
        <w:spacing w:after="220"/>
        <w:ind w:left="720"/>
        <w:rPr>
          <w:rFonts w:ascii="Arial" w:hAnsi="Arial" w:cs="Arial"/>
          <w:sz w:val="22"/>
          <w:szCs w:val="22"/>
        </w:rPr>
      </w:pPr>
      <w:r w:rsidRPr="00772269">
        <w:rPr>
          <w:rFonts w:ascii="Arial" w:hAnsi="Arial" w:cs="Arial"/>
          <w:sz w:val="22"/>
          <w:szCs w:val="22"/>
        </w:rPr>
        <w:t>Environmental Impact. The FSAR must include a comprehensive environmental impact assessment detailing the potential effects on local ecosystems, water sources, and the surrounding environment.</w:t>
      </w:r>
    </w:p>
    <w:p w:rsidR="00ED0BD3" w:rsidRPr="00772269" w:rsidP="00772269" w14:paraId="32C26DF7"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xml:space="preserve"> The NRC disagrees with </w:t>
      </w:r>
      <w:r w:rsidR="004F6B63">
        <w:rPr>
          <w:rFonts w:ascii="Arial" w:hAnsi="Arial" w:cs="Arial"/>
          <w:sz w:val="22"/>
          <w:szCs w:val="22"/>
        </w:rPr>
        <w:t>the</w:t>
      </w:r>
      <w:r w:rsidRPr="00772269">
        <w:rPr>
          <w:rFonts w:ascii="Arial" w:hAnsi="Arial" w:cs="Arial"/>
          <w:sz w:val="22"/>
          <w:szCs w:val="22"/>
        </w:rPr>
        <w:t xml:space="preserve"> comment.</w:t>
      </w:r>
    </w:p>
    <w:p w:rsidR="007F112A" w:rsidRPr="00772269" w:rsidP="00772269" w14:paraId="6801796A" w14:textId="77777777">
      <w:pPr>
        <w:spacing w:after="220"/>
        <w:rPr>
          <w:rFonts w:ascii="Arial" w:hAnsi="Arial" w:cs="Arial"/>
          <w:sz w:val="22"/>
          <w:szCs w:val="22"/>
        </w:rPr>
      </w:pPr>
      <w:r w:rsidRPr="00772269">
        <w:rPr>
          <w:rFonts w:ascii="Arial" w:hAnsi="Arial" w:cs="Arial"/>
          <w:sz w:val="22"/>
          <w:szCs w:val="22"/>
        </w:rPr>
        <w:t xml:space="preserve">10 CFR 51.20 specifies those licensing and regulatory actions requiring the NRC to produce an </w:t>
      </w:r>
      <w:r w:rsidR="00671E37">
        <w:rPr>
          <w:rFonts w:ascii="Arial" w:hAnsi="Arial" w:cs="Arial"/>
          <w:sz w:val="22"/>
          <w:szCs w:val="22"/>
        </w:rPr>
        <w:t>EIS</w:t>
      </w:r>
      <w:r w:rsidRPr="00772269">
        <w:rPr>
          <w:rFonts w:ascii="Arial" w:hAnsi="Arial" w:cs="Arial"/>
          <w:sz w:val="22"/>
          <w:szCs w:val="22"/>
        </w:rPr>
        <w:t xml:space="preserve">. Specific types of licensing action that require an </w:t>
      </w:r>
      <w:r w:rsidR="00671E37">
        <w:rPr>
          <w:rFonts w:ascii="Arial" w:hAnsi="Arial" w:cs="Arial"/>
          <w:sz w:val="22"/>
          <w:szCs w:val="22"/>
        </w:rPr>
        <w:t>EIS</w:t>
      </w:r>
      <w:r w:rsidRPr="00772269">
        <w:rPr>
          <w:rFonts w:ascii="Arial" w:hAnsi="Arial" w:cs="Arial"/>
          <w:sz w:val="22"/>
          <w:szCs w:val="22"/>
        </w:rPr>
        <w:t xml:space="preserve"> are listed under 10 CFR 51.20(b). A </w:t>
      </w:r>
      <w:r w:rsidRPr="00772269">
        <w:rPr>
          <w:rFonts w:ascii="Arial" w:hAnsi="Arial" w:cs="Arial"/>
          <w:sz w:val="22"/>
          <w:szCs w:val="22"/>
        </w:rPr>
        <w:t xml:space="preserve">comprehensive environmental evaluation is conducted by the NRC, under the NRC’s </w:t>
      </w:r>
      <w:r w:rsidR="00FB4D96">
        <w:rPr>
          <w:rFonts w:ascii="Arial" w:hAnsi="Arial" w:cs="Arial"/>
          <w:sz w:val="22"/>
          <w:szCs w:val="22"/>
        </w:rPr>
        <w:t>NEPA</w:t>
      </w:r>
      <w:r w:rsidRPr="00772269">
        <w:rPr>
          <w:rFonts w:ascii="Arial" w:hAnsi="Arial" w:cs="Arial"/>
          <w:sz w:val="22"/>
          <w:szCs w:val="22"/>
        </w:rPr>
        <w:t xml:space="preserve"> implementing regulations and not by an applicant as part of the FSAR. The applicant must provide an environmental report that is a separate document from the FSAR as stated in 10</w:t>
      </w:r>
      <w:r w:rsidR="00FB4D96">
        <w:rPr>
          <w:rFonts w:ascii="Arial" w:hAnsi="Arial" w:cs="Arial"/>
          <w:sz w:val="22"/>
          <w:szCs w:val="22"/>
        </w:rPr>
        <w:t> </w:t>
      </w:r>
      <w:r w:rsidRPr="00772269">
        <w:rPr>
          <w:rFonts w:ascii="Arial" w:hAnsi="Arial" w:cs="Arial"/>
          <w:sz w:val="22"/>
          <w:szCs w:val="22"/>
        </w:rPr>
        <w:t>CFR 51.45(a) or as required by another 10</w:t>
      </w:r>
      <w:r w:rsidR="00592290">
        <w:rPr>
          <w:rFonts w:ascii="Arial" w:hAnsi="Arial" w:cs="Arial"/>
          <w:sz w:val="22"/>
          <w:szCs w:val="22"/>
        </w:rPr>
        <w:t> </w:t>
      </w:r>
      <w:r w:rsidRPr="00772269">
        <w:rPr>
          <w:rFonts w:ascii="Arial" w:hAnsi="Arial" w:cs="Arial"/>
          <w:sz w:val="22"/>
          <w:szCs w:val="22"/>
        </w:rPr>
        <w:t>CFR Part 51 regulation (e.g.</w:t>
      </w:r>
      <w:r w:rsidRPr="00772269" w:rsidR="00BC15B6">
        <w:rPr>
          <w:rFonts w:ascii="Arial" w:hAnsi="Arial" w:cs="Arial"/>
          <w:sz w:val="22"/>
          <w:szCs w:val="22"/>
        </w:rPr>
        <w:t>, </w:t>
      </w:r>
      <w:r w:rsidRPr="00772269">
        <w:rPr>
          <w:rFonts w:ascii="Arial" w:hAnsi="Arial" w:cs="Arial"/>
          <w:sz w:val="22"/>
          <w:szCs w:val="22"/>
        </w:rPr>
        <w:t>10 CFR 51.54 and 51.55). An appropriate environmental evaluation will occur once a license application is submitted to actually construct, operate, and eventually decommission a nuclear power plant under 10 CFR Part 53. That is when the issues mentioned in the comment (e.g.,</w:t>
      </w:r>
      <w:r w:rsidRPr="00772269" w:rsidR="00BC15B6">
        <w:rPr>
          <w:sz w:val="22"/>
          <w:szCs w:val="22"/>
        </w:rPr>
        <w:t> </w:t>
      </w:r>
      <w:r w:rsidRPr="00772269">
        <w:rPr>
          <w:rFonts w:ascii="Arial" w:hAnsi="Arial" w:cs="Arial"/>
          <w:sz w:val="22"/>
          <w:szCs w:val="22"/>
        </w:rPr>
        <w:t>potential impacts on local ecosystems, water sources, and the surrounding environment, if appropriate for the site being considered) would be assessed by the applicant and the NRC. As stated in several locations in Subpart H of 10</w:t>
      </w:r>
      <w:r w:rsidRPr="00772269" w:rsidR="00BC15B6">
        <w:rPr>
          <w:rFonts w:ascii="Arial" w:hAnsi="Arial" w:cs="Arial"/>
          <w:sz w:val="22"/>
          <w:szCs w:val="22"/>
        </w:rPr>
        <w:t> </w:t>
      </w:r>
      <w:r w:rsidRPr="00772269">
        <w:rPr>
          <w:rFonts w:ascii="Arial" w:hAnsi="Arial" w:cs="Arial"/>
          <w:sz w:val="22"/>
          <w:szCs w:val="22"/>
        </w:rPr>
        <w:t>CFR</w:t>
      </w:r>
      <w:r w:rsidRPr="00772269" w:rsidR="00BC15B6">
        <w:rPr>
          <w:rFonts w:ascii="Arial" w:hAnsi="Arial" w:cs="Arial"/>
          <w:sz w:val="22"/>
          <w:szCs w:val="22"/>
        </w:rPr>
        <w:t> </w:t>
      </w:r>
      <w:r w:rsidRPr="00772269">
        <w:rPr>
          <w:rFonts w:ascii="Arial" w:hAnsi="Arial" w:cs="Arial"/>
          <w:sz w:val="22"/>
          <w:szCs w:val="22"/>
        </w:rPr>
        <w:t>Part</w:t>
      </w:r>
      <w:r w:rsidRPr="00772269" w:rsidR="00BC15B6">
        <w:rPr>
          <w:rFonts w:ascii="Arial" w:hAnsi="Arial" w:cs="Arial"/>
          <w:sz w:val="22"/>
          <w:szCs w:val="22"/>
        </w:rPr>
        <w:t> </w:t>
      </w:r>
      <w:r w:rsidRPr="00772269">
        <w:rPr>
          <w:rFonts w:ascii="Arial" w:hAnsi="Arial" w:cs="Arial"/>
          <w:sz w:val="22"/>
          <w:szCs w:val="22"/>
        </w:rPr>
        <w:t>53 (e.g., within 10 CFR 53.1100, 53.1112, 53.1130, 53.1146, 53.1241, 53.1282, 53.1312, 53.1372, 53.1419, and 53.1470), the applicant must provide an environmental report in accordance with 10 CFR Part 51 (e.g., 10 CFR 51.49, 51.50, 51.53, 51.54, and 51.55).</w:t>
      </w:r>
    </w:p>
    <w:p w:rsidR="007F112A" w:rsidRPr="00772269" w:rsidP="00772269" w14:paraId="1B9BCBCD" w14:textId="77777777">
      <w:pPr>
        <w:spacing w:after="220"/>
        <w:rPr>
          <w:rFonts w:ascii="Arial" w:hAnsi="Arial" w:cs="Arial"/>
          <w:sz w:val="22"/>
          <w:szCs w:val="22"/>
        </w:rPr>
      </w:pPr>
      <w:r w:rsidRPr="00772269">
        <w:rPr>
          <w:rFonts w:ascii="Arial" w:hAnsi="Arial" w:cs="Arial"/>
          <w:sz w:val="22"/>
          <w:szCs w:val="22"/>
        </w:rPr>
        <w:t>Acc</w:t>
      </w:r>
      <w:r w:rsidRPr="00772269">
        <w:rPr>
          <w:rFonts w:ascii="Arial" w:eastAsia="DengXian" w:hAnsi="Arial" w:cs="Arial"/>
          <w:sz w:val="22"/>
          <w:szCs w:val="22"/>
          <w:lang w:eastAsia="ja-JP"/>
        </w:rPr>
        <w:t>ordingly, the NRC did not change the rule language in response to this comment.</w:t>
      </w:r>
    </w:p>
    <w:p w:rsidR="007F112A" w:rsidRPr="00772269" w:rsidP="00772269" w14:paraId="42E6275A" w14:textId="77777777">
      <w:pPr>
        <w:spacing w:after="220"/>
        <w:rPr>
          <w:rFonts w:ascii="Arial" w:hAnsi="Arial" w:cs="Arial"/>
          <w:sz w:val="22"/>
          <w:szCs w:val="22"/>
        </w:rPr>
      </w:pPr>
      <w:r>
        <w:rPr>
          <w:rFonts w:ascii="Arial" w:hAnsi="Arial" w:cs="Arial"/>
          <w:sz w:val="22"/>
          <w:szCs w:val="22"/>
        </w:rPr>
        <w:pict>
          <v:rect id="_x0000_i1242" style="width:0;height:1.5pt" o:hralign="center" o:hrstd="t" o:hrnoshade="t" o:hr="t" fillcolor="black" stroked="f"/>
        </w:pict>
      </w:r>
    </w:p>
    <w:p w:rsidR="007F112A" w:rsidRPr="00772269" w:rsidP="00772269" w14:paraId="12808429" w14:textId="77777777">
      <w:pPr>
        <w:spacing w:after="220"/>
        <w:rPr>
          <w:rFonts w:ascii="Arial" w:hAnsi="Arial" w:cs="Arial"/>
          <w:sz w:val="22"/>
          <w:szCs w:val="22"/>
        </w:rPr>
      </w:pPr>
      <w:r w:rsidRPr="00772269">
        <w:rPr>
          <w:rFonts w:ascii="Arial" w:hAnsi="Arial" w:cs="Arial"/>
          <w:b/>
          <w:sz w:val="22"/>
          <w:szCs w:val="22"/>
        </w:rPr>
        <w:t xml:space="preserve">Comment Bin 3.8.1.I: </w:t>
      </w:r>
      <w:r w:rsidRPr="00772269">
        <w:rPr>
          <w:rFonts w:ascii="Arial" w:hAnsi="Arial" w:cs="Arial"/>
          <w:sz w:val="22"/>
          <w:szCs w:val="22"/>
        </w:rPr>
        <w:t xml:space="preserve">A commenter wrote that 10 CFR 53.1239(a)(16) and 10 CFR 53.1279(a)(5) were </w:t>
      </w:r>
      <w:r w:rsidR="00F53FB5">
        <w:rPr>
          <w:rFonts w:ascii="Arial" w:hAnsi="Arial" w:cs="Arial"/>
          <w:sz w:val="22"/>
          <w:szCs w:val="22"/>
        </w:rPr>
        <w:t>“</w:t>
      </w:r>
      <w:r w:rsidRPr="00772269">
        <w:rPr>
          <w:rFonts w:ascii="Arial" w:hAnsi="Arial" w:cs="Arial"/>
          <w:sz w:val="22"/>
          <w:szCs w:val="22"/>
        </w:rPr>
        <w:t>very good</w:t>
      </w:r>
      <w:r w:rsidR="00F53FB5">
        <w:rPr>
          <w:rFonts w:ascii="Arial" w:hAnsi="Arial" w:cs="Arial"/>
          <w:sz w:val="22"/>
          <w:szCs w:val="22"/>
        </w:rPr>
        <w:t>”</w:t>
      </w:r>
      <w:r w:rsidRPr="00772269">
        <w:rPr>
          <w:rFonts w:ascii="Arial" w:hAnsi="Arial" w:cs="Arial"/>
          <w:sz w:val="22"/>
          <w:szCs w:val="22"/>
        </w:rPr>
        <w:t xml:space="preserve"> (</w:t>
      </w:r>
      <w:r w:rsidRPr="00563CF0" w:rsidR="00563CF0">
        <w:rPr>
          <w:rFonts w:ascii="Arial" w:eastAsia="Times New Roman" w:hAnsi="Arial" w:cs="Arial"/>
          <w:color w:val="000000"/>
        </w:rPr>
        <w:t>TG13</w:t>
      </w:r>
      <w:r w:rsidRPr="00563CF0">
        <w:rPr>
          <w:rFonts w:ascii="Arial" w:hAnsi="Arial" w:cs="Arial"/>
        </w:rPr>
        <w:t>-0</w:t>
      </w:r>
      <w:r w:rsidRPr="00772269">
        <w:rPr>
          <w:rFonts w:ascii="Arial" w:hAnsi="Arial" w:cs="Arial"/>
          <w:sz w:val="22"/>
          <w:szCs w:val="22"/>
        </w:rPr>
        <w:t>003).</w:t>
      </w:r>
    </w:p>
    <w:p w:rsidR="00410DB2" w:rsidP="00772269" w14:paraId="675AD1EA"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 with this comment.</w:t>
      </w:r>
    </w:p>
    <w:p w:rsidR="00D840EE" w:rsidRPr="00772269" w:rsidP="00772269" w14:paraId="2233E09E" w14:textId="77777777">
      <w:pPr>
        <w:spacing w:after="220"/>
        <w:rPr>
          <w:rFonts w:ascii="Arial" w:hAnsi="Arial" w:cs="Arial"/>
          <w:sz w:val="22"/>
          <w:szCs w:val="22"/>
        </w:rPr>
      </w:pPr>
      <w:r w:rsidRPr="00772269">
        <w:rPr>
          <w:rFonts w:ascii="Arial" w:hAnsi="Arial" w:cs="Arial"/>
          <w:sz w:val="22"/>
          <w:szCs w:val="22"/>
        </w:rPr>
        <w:t>The comment supports the proposed rule and suggests no changes to the proposed rule.</w:t>
      </w:r>
    </w:p>
    <w:p w:rsidR="007F112A" w:rsidRPr="00772269" w:rsidP="00772269" w14:paraId="3B3CC260" w14:textId="77777777">
      <w:pPr>
        <w:spacing w:after="220"/>
        <w:rPr>
          <w:rFonts w:ascii="Arial" w:hAnsi="Arial" w:cs="Arial"/>
          <w:sz w:val="22"/>
          <w:szCs w:val="22"/>
        </w:rPr>
      </w:pPr>
      <w:r w:rsidRPr="00772269">
        <w:rPr>
          <w:rFonts w:ascii="Arial" w:hAnsi="Arial" w:cs="Arial"/>
          <w:sz w:val="22"/>
          <w:szCs w:val="22"/>
        </w:rPr>
        <w:t>Accordingly, the NRC did not</w:t>
      </w:r>
      <w:r w:rsidRPr="00772269">
        <w:rPr>
          <w:rFonts w:ascii="Arial" w:eastAsia="DengXian" w:hAnsi="Arial" w:cs="Arial"/>
          <w:sz w:val="22"/>
          <w:szCs w:val="22"/>
          <w:lang w:eastAsia="ja-JP"/>
        </w:rPr>
        <w:t xml:space="preserve"> change the rule language in response to this comment.</w:t>
      </w:r>
    </w:p>
    <w:p w:rsidR="007F112A" w:rsidRPr="00772269" w:rsidP="00772269" w14:paraId="24F9A076" w14:textId="77777777">
      <w:pPr>
        <w:spacing w:after="220"/>
        <w:rPr>
          <w:rFonts w:ascii="Arial" w:hAnsi="Arial" w:cs="Arial"/>
          <w:sz w:val="22"/>
          <w:szCs w:val="22"/>
        </w:rPr>
      </w:pPr>
      <w:r>
        <w:rPr>
          <w:rFonts w:ascii="Arial" w:hAnsi="Arial" w:cs="Arial"/>
          <w:sz w:val="22"/>
          <w:szCs w:val="22"/>
        </w:rPr>
        <w:pict>
          <v:rect id="_x0000_i1243" style="width:0;height:1.5pt" o:hralign="center" o:hrstd="t" o:hrnoshade="t" o:hr="t" fillcolor="black" stroked="f"/>
        </w:pict>
      </w:r>
    </w:p>
    <w:p w:rsidR="007F112A" w:rsidRPr="00772269" w:rsidP="00772269" w14:paraId="178DA291" w14:textId="77777777">
      <w:pPr>
        <w:spacing w:after="220"/>
        <w:rPr>
          <w:rFonts w:ascii="Arial" w:hAnsi="Arial" w:cs="Arial"/>
          <w:sz w:val="22"/>
          <w:szCs w:val="22"/>
        </w:rPr>
      </w:pPr>
      <w:r w:rsidRPr="00772269">
        <w:rPr>
          <w:rFonts w:ascii="Arial" w:hAnsi="Arial" w:cs="Arial"/>
          <w:b/>
          <w:sz w:val="22"/>
          <w:szCs w:val="22"/>
        </w:rPr>
        <w:t xml:space="preserve">Comment Bin 3.8.1.J: </w:t>
      </w:r>
      <w:r w:rsidR="00F53FB5">
        <w:rPr>
          <w:rFonts w:ascii="Arial" w:hAnsi="Arial" w:cs="Arial"/>
          <w:sz w:val="22"/>
          <w:szCs w:val="22"/>
        </w:rPr>
        <w:t>A</w:t>
      </w:r>
      <w:r w:rsidRPr="00772269">
        <w:rPr>
          <w:rFonts w:ascii="Arial" w:hAnsi="Arial" w:cs="Arial"/>
          <w:sz w:val="22"/>
          <w:szCs w:val="22"/>
        </w:rPr>
        <w:t xml:space="preserve"> commenter wrote that the NRC should add requirements for managing waste to 10 CFR 53.1239, and proposed the following language (</w:t>
      </w:r>
      <w:r w:rsidRPr="0094577D" w:rsidR="009A686C">
        <w:rPr>
          <w:rFonts w:ascii="Arial" w:eastAsia="Times New Roman" w:hAnsi="Arial" w:cs="Arial"/>
          <w:color w:val="000000"/>
          <w:sz w:val="22"/>
          <w:szCs w:val="22"/>
        </w:rPr>
        <w:t>MR</w:t>
      </w:r>
      <w:r w:rsidRPr="00772269">
        <w:rPr>
          <w:rFonts w:ascii="Arial" w:hAnsi="Arial" w:cs="Arial"/>
          <w:sz w:val="22"/>
          <w:szCs w:val="22"/>
        </w:rPr>
        <w:noBreakHyphen/>
        <w:t>0007):</w:t>
      </w:r>
    </w:p>
    <w:p w:rsidR="007F112A" w:rsidRPr="00772269" w:rsidP="00F53FB5" w14:paraId="2FA24408" w14:textId="77777777">
      <w:pPr>
        <w:spacing w:after="220"/>
        <w:ind w:left="720"/>
        <w:rPr>
          <w:rFonts w:ascii="Arial" w:hAnsi="Arial" w:cs="Arial"/>
          <w:sz w:val="22"/>
          <w:szCs w:val="22"/>
        </w:rPr>
      </w:pPr>
      <w:r w:rsidRPr="00772269">
        <w:rPr>
          <w:rFonts w:ascii="Arial" w:hAnsi="Arial" w:cs="Arial"/>
          <w:sz w:val="22"/>
          <w:szCs w:val="22"/>
        </w:rPr>
        <w:t>(27) Waste Management. The application must include a detailed waste management plan describing how radioactive waste will be managed, stored, and disposed of throughout the reactor's lifecycle.</w:t>
      </w:r>
    </w:p>
    <w:p w:rsidR="00B03471" w:rsidP="00772269" w14:paraId="7F18B8F3"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disagrees with the comment.</w:t>
      </w:r>
    </w:p>
    <w:p w:rsidR="00F53FB5" w:rsidP="00772269" w14:paraId="727C3E81" w14:textId="77777777">
      <w:pPr>
        <w:spacing w:after="220"/>
        <w:rPr>
          <w:rFonts w:ascii="Arial" w:hAnsi="Arial" w:cs="Arial"/>
          <w:sz w:val="22"/>
          <w:szCs w:val="22"/>
        </w:rPr>
      </w:pPr>
      <w:r w:rsidRPr="00772269">
        <w:rPr>
          <w:rFonts w:ascii="Arial" w:hAnsi="Arial" w:cs="Arial"/>
          <w:sz w:val="22"/>
          <w:szCs w:val="22"/>
        </w:rPr>
        <w:t xml:space="preserve">Other parts of the NRC’s regulations govern radioactive waste, such as 10 CFR Part 72, “Licensing requirements for the independent storage of spent nuclear fuel and high-level radioactive waste, and reactor-related greater than Class C waste.” </w:t>
      </w:r>
    </w:p>
    <w:p w:rsidR="007F112A" w:rsidRPr="00772269" w:rsidP="00772269" w14:paraId="2376E15D"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22B06210" w14:textId="77777777">
      <w:pPr>
        <w:spacing w:after="220"/>
        <w:rPr>
          <w:rFonts w:ascii="Arial" w:hAnsi="Arial" w:cs="Arial"/>
          <w:sz w:val="22"/>
          <w:szCs w:val="22"/>
        </w:rPr>
      </w:pPr>
      <w:r>
        <w:rPr>
          <w:rFonts w:ascii="Arial" w:hAnsi="Arial" w:cs="Arial"/>
          <w:sz w:val="22"/>
          <w:szCs w:val="22"/>
        </w:rPr>
        <w:pict>
          <v:rect id="_x0000_i1244" style="width:0;height:1.5pt" o:hralign="center" o:hrstd="t" o:hrnoshade="t" o:hr="t" fillcolor="black" stroked="f"/>
        </w:pict>
      </w:r>
    </w:p>
    <w:p w:rsidR="007F112A" w:rsidRPr="00772269" w:rsidP="00772269" w14:paraId="63AEB8E8" w14:textId="77777777">
      <w:pPr>
        <w:spacing w:after="220"/>
        <w:rPr>
          <w:rFonts w:ascii="Arial" w:hAnsi="Arial" w:cs="Arial"/>
          <w:sz w:val="22"/>
          <w:szCs w:val="22"/>
        </w:rPr>
      </w:pPr>
      <w:r w:rsidRPr="00772269">
        <w:rPr>
          <w:rFonts w:ascii="Arial" w:hAnsi="Arial" w:cs="Arial"/>
          <w:b/>
          <w:sz w:val="22"/>
          <w:szCs w:val="22"/>
        </w:rPr>
        <w:t xml:space="preserve">Comment Bin 3.8.1.K: </w:t>
      </w:r>
      <w:r w:rsidRPr="00772269">
        <w:rPr>
          <w:rFonts w:ascii="Arial" w:hAnsi="Arial" w:cs="Arial"/>
          <w:sz w:val="22"/>
          <w:szCs w:val="22"/>
        </w:rPr>
        <w:t>A commenter wrote that the NRC should revise 10 CFR 53.1109(g)(2)(i)(A)</w:t>
      </w:r>
      <w:r w:rsidR="00AC1CF9">
        <w:rPr>
          <w:rFonts w:ascii="Arial" w:hAnsi="Arial" w:cs="Arial"/>
          <w:sz w:val="22"/>
          <w:szCs w:val="22"/>
        </w:rPr>
        <w:t>,</w:t>
      </w:r>
      <w:r w:rsidRPr="00772269">
        <w:rPr>
          <w:rFonts w:ascii="Arial" w:hAnsi="Arial" w:cs="Arial"/>
          <w:sz w:val="22"/>
          <w:szCs w:val="22"/>
        </w:rPr>
        <w:t xml:space="preserve"> as accident likelihood should not be a part of the dose calculation</w:t>
      </w:r>
      <w:r w:rsidR="00AC1CF9">
        <w:rPr>
          <w:rFonts w:ascii="Arial" w:hAnsi="Arial" w:cs="Arial"/>
          <w:sz w:val="22"/>
          <w:szCs w:val="22"/>
        </w:rPr>
        <w:t>;</w:t>
      </w:r>
      <w:r w:rsidRPr="00772269">
        <w:rPr>
          <w:rFonts w:ascii="Arial" w:hAnsi="Arial" w:cs="Arial"/>
          <w:sz w:val="22"/>
          <w:szCs w:val="22"/>
        </w:rPr>
        <w:t xml:space="preserve"> rather</w:t>
      </w:r>
      <w:r w:rsidR="00AC1CF9">
        <w:rPr>
          <w:rFonts w:ascii="Arial" w:hAnsi="Arial" w:cs="Arial"/>
          <w:sz w:val="22"/>
          <w:szCs w:val="22"/>
        </w:rPr>
        <w:t>,</w:t>
      </w:r>
      <w:r w:rsidRPr="00772269">
        <w:rPr>
          <w:rFonts w:ascii="Arial" w:hAnsi="Arial" w:cs="Arial"/>
          <w:sz w:val="22"/>
          <w:szCs w:val="22"/>
        </w:rPr>
        <w:t xml:space="preserve"> the dose calculation would be a result of the accident</w:t>
      </w:r>
      <w:r w:rsidR="00AC1CF9">
        <w:rPr>
          <w:rFonts w:ascii="Arial" w:hAnsi="Arial" w:cs="Arial"/>
          <w:sz w:val="22"/>
          <w:szCs w:val="22"/>
        </w:rPr>
        <w:t xml:space="preserve"> </w:t>
      </w:r>
      <w:r w:rsidRPr="00772269">
        <w:rPr>
          <w:rFonts w:ascii="Arial" w:hAnsi="Arial" w:cs="Arial"/>
          <w:sz w:val="22"/>
          <w:szCs w:val="22"/>
        </w:rPr>
        <w:t>actually occurring</w:t>
      </w:r>
      <w:r w:rsidRPr="00BE1FE9">
        <w:rPr>
          <w:rFonts w:ascii="Arial" w:hAnsi="Arial" w:cs="Arial"/>
          <w:sz w:val="22"/>
          <w:szCs w:val="22"/>
        </w:rPr>
        <w:t xml:space="preserve"> (</w:t>
      </w:r>
      <w:r w:rsidRPr="00BE1FE9" w:rsidR="00BE1FE9">
        <w:rPr>
          <w:rFonts w:ascii="Arial" w:eastAsia="Times New Roman" w:hAnsi="Arial" w:cs="Arial"/>
          <w:color w:val="000000"/>
          <w:sz w:val="22"/>
          <w:szCs w:val="22"/>
        </w:rPr>
        <w:t>TG4</w:t>
      </w:r>
      <w:r w:rsidR="00A22D36">
        <w:rPr>
          <w:rFonts w:ascii="Arial" w:hAnsi="Arial" w:cs="Arial"/>
          <w:sz w:val="22"/>
          <w:szCs w:val="22"/>
        </w:rPr>
        <w:noBreakHyphen/>
      </w:r>
      <w:r w:rsidRPr="00BE1FE9">
        <w:rPr>
          <w:rFonts w:ascii="Arial" w:hAnsi="Arial" w:cs="Arial"/>
          <w:sz w:val="22"/>
          <w:szCs w:val="22"/>
        </w:rPr>
        <w:t>0</w:t>
      </w:r>
      <w:r w:rsidRPr="00772269">
        <w:rPr>
          <w:rFonts w:ascii="Arial" w:hAnsi="Arial" w:cs="Arial"/>
          <w:sz w:val="22"/>
          <w:szCs w:val="22"/>
        </w:rPr>
        <w:t>001).</w:t>
      </w:r>
      <w:r w:rsidR="00A22D36">
        <w:rPr>
          <w:rFonts w:ascii="Arial" w:hAnsi="Arial" w:cs="Arial"/>
          <w:sz w:val="22"/>
          <w:szCs w:val="22"/>
        </w:rPr>
        <w:t xml:space="preserve"> </w:t>
      </w:r>
      <w:r w:rsidRPr="00772269">
        <w:rPr>
          <w:rFonts w:ascii="Arial" w:hAnsi="Arial" w:cs="Arial"/>
          <w:sz w:val="22"/>
          <w:szCs w:val="22"/>
        </w:rPr>
        <w:t>The commenter also recommended changing the rule language from “from the facility considering accident likelihood and source term” to “from the facility considering source term” as the accident “is already occurring at this time.”</w:t>
      </w:r>
    </w:p>
    <w:p w:rsidR="007F112A" w:rsidRPr="00772269" w:rsidP="00772269" w14:paraId="40F885DB" w14:textId="77777777">
      <w:pPr>
        <w:spacing w:after="220"/>
        <w:rPr>
          <w:rFonts w:ascii="Arial" w:hAnsi="Arial" w:cs="Arial"/>
          <w:sz w:val="22"/>
          <w:szCs w:val="22"/>
        </w:rPr>
      </w:pPr>
      <w:r w:rsidRPr="00772269">
        <w:rPr>
          <w:rFonts w:ascii="Arial" w:hAnsi="Arial" w:cs="Arial"/>
          <w:sz w:val="22"/>
          <w:szCs w:val="22"/>
        </w:rPr>
        <w:t>Additionally, the commenter wrote that the text, “The exact configuration of the plume exposure pathway EPZ surrounding the facility shall be determined in relation to the local emergency response needs,” in 10 CFR 53.1109 excuses licensees from providing an emergency response and should be rewritten so that the “response is provided to the plume” (</w:t>
      </w:r>
      <w:r w:rsidRPr="00563CF0" w:rsidR="00563CF0">
        <w:rPr>
          <w:rFonts w:ascii="Arial" w:eastAsia="Times New Roman" w:hAnsi="Arial" w:cs="Arial"/>
          <w:color w:val="000000"/>
          <w:sz w:val="22"/>
          <w:szCs w:val="22"/>
        </w:rPr>
        <w:t>TG12</w:t>
      </w:r>
      <w:r w:rsidRPr="00563CF0">
        <w:rPr>
          <w:rFonts w:ascii="Arial" w:hAnsi="Arial" w:cs="Arial"/>
          <w:sz w:val="22"/>
          <w:szCs w:val="22"/>
        </w:rPr>
        <w:t>-0</w:t>
      </w:r>
      <w:r w:rsidRPr="00772269">
        <w:rPr>
          <w:rFonts w:ascii="Arial" w:hAnsi="Arial" w:cs="Arial"/>
          <w:sz w:val="22"/>
          <w:szCs w:val="22"/>
        </w:rPr>
        <w:t>001).</w:t>
      </w:r>
    </w:p>
    <w:p w:rsidR="007F112A" w:rsidRPr="00772269" w:rsidP="00772269" w14:paraId="1933F9C7"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disagrees with th</w:t>
      </w:r>
      <w:r w:rsidR="007A122A">
        <w:rPr>
          <w:rFonts w:ascii="Arial" w:hAnsi="Arial" w:cs="Arial"/>
          <w:sz w:val="22"/>
          <w:szCs w:val="22"/>
        </w:rPr>
        <w:t>is</w:t>
      </w:r>
      <w:r w:rsidRPr="00772269">
        <w:rPr>
          <w:rFonts w:ascii="Arial" w:hAnsi="Arial" w:cs="Arial"/>
          <w:sz w:val="22"/>
          <w:szCs w:val="22"/>
        </w:rPr>
        <w:t xml:space="preserve"> comment.</w:t>
      </w:r>
    </w:p>
    <w:p w:rsidR="007F112A" w:rsidRPr="00772269" w:rsidP="00772269" w14:paraId="7A020B40" w14:textId="77777777">
      <w:pPr>
        <w:spacing w:after="220"/>
        <w:rPr>
          <w:rFonts w:ascii="Arial" w:hAnsi="Arial" w:cs="Arial"/>
          <w:sz w:val="22"/>
          <w:szCs w:val="22"/>
        </w:rPr>
      </w:pPr>
      <w:r w:rsidRPr="00772269">
        <w:rPr>
          <w:rFonts w:ascii="Arial" w:hAnsi="Arial" w:cs="Arial"/>
          <w:sz w:val="22"/>
          <w:szCs w:val="22"/>
        </w:rPr>
        <w:t xml:space="preserve">The rule language in 10 CFR 53.1109(g)(2)(i)(A) </w:t>
      </w:r>
      <w:r w:rsidR="00A438D8">
        <w:rPr>
          <w:rFonts w:ascii="Arial" w:hAnsi="Arial" w:cs="Arial"/>
          <w:sz w:val="22"/>
          <w:szCs w:val="22"/>
        </w:rPr>
        <w:t xml:space="preserve">defines a plume exposure pathway </w:t>
      </w:r>
      <w:r w:rsidR="009314DF">
        <w:rPr>
          <w:rFonts w:ascii="Arial" w:hAnsi="Arial" w:cs="Arial"/>
          <w:sz w:val="22"/>
          <w:szCs w:val="22"/>
        </w:rPr>
        <w:t>emergency planning zone (EPZ)</w:t>
      </w:r>
      <w:r w:rsidR="00314CA8">
        <w:rPr>
          <w:rFonts w:ascii="Arial" w:hAnsi="Arial" w:cs="Arial"/>
          <w:sz w:val="22"/>
          <w:szCs w:val="22"/>
        </w:rPr>
        <w:t>, in part, as the area within which</w:t>
      </w:r>
      <w:r w:rsidRPr="00772269">
        <w:rPr>
          <w:rFonts w:ascii="Arial" w:hAnsi="Arial" w:cs="Arial"/>
          <w:sz w:val="22"/>
          <w:szCs w:val="22"/>
        </w:rPr>
        <w:t xml:space="preserve"> </w:t>
      </w:r>
      <w:r w:rsidR="00314CA8">
        <w:rPr>
          <w:rFonts w:ascii="Arial" w:hAnsi="Arial" w:cs="Arial"/>
          <w:sz w:val="22"/>
          <w:szCs w:val="22"/>
        </w:rPr>
        <w:t>“</w:t>
      </w:r>
      <w:r w:rsidRPr="00772269">
        <w:rPr>
          <w:rFonts w:ascii="Arial" w:hAnsi="Arial" w:cs="Arial"/>
          <w:sz w:val="22"/>
          <w:szCs w:val="22"/>
        </w:rPr>
        <w:t>public dose, as defined in 10 CFR 20.1003, is projected to exceed 10 m</w:t>
      </w:r>
      <w:r w:rsidR="007261C4">
        <w:rPr>
          <w:rFonts w:ascii="Arial" w:hAnsi="Arial" w:cs="Arial"/>
          <w:sz w:val="22"/>
          <w:szCs w:val="22"/>
        </w:rPr>
        <w:t>Sv</w:t>
      </w:r>
      <w:r w:rsidRPr="00772269">
        <w:rPr>
          <w:rFonts w:ascii="Arial" w:hAnsi="Arial" w:cs="Arial"/>
          <w:sz w:val="22"/>
          <w:szCs w:val="22"/>
        </w:rPr>
        <w:t xml:space="preserve"> (1 rem) </w:t>
      </w:r>
      <w:r w:rsidR="007261C4">
        <w:rPr>
          <w:rFonts w:ascii="Arial" w:hAnsi="Arial" w:cs="Arial"/>
          <w:sz w:val="22"/>
          <w:szCs w:val="22"/>
        </w:rPr>
        <w:t>TEDE</w:t>
      </w:r>
      <w:r w:rsidRPr="00772269">
        <w:rPr>
          <w:rFonts w:ascii="Arial" w:hAnsi="Arial" w:cs="Arial"/>
          <w:sz w:val="22"/>
          <w:szCs w:val="22"/>
        </w:rPr>
        <w:t xml:space="preserve"> over 96 hours from the release of radioactive materials from the facility considering accident likelihood and source term, timing of the accident sequence, and meteorology.</w:t>
      </w:r>
      <w:r w:rsidR="00314CA8">
        <w:rPr>
          <w:rFonts w:ascii="Arial" w:hAnsi="Arial" w:cs="Arial"/>
          <w:sz w:val="22"/>
          <w:szCs w:val="22"/>
        </w:rPr>
        <w:t>”</w:t>
      </w:r>
      <w:r w:rsidRPr="00772269">
        <w:rPr>
          <w:rFonts w:ascii="Arial" w:hAnsi="Arial" w:cs="Arial"/>
          <w:sz w:val="22"/>
          <w:szCs w:val="22"/>
        </w:rPr>
        <w:t xml:space="preserve"> The </w:t>
      </w:r>
      <w:r w:rsidR="002C0AEA">
        <w:rPr>
          <w:rFonts w:ascii="Arial" w:hAnsi="Arial" w:cs="Arial"/>
          <w:sz w:val="22"/>
          <w:szCs w:val="22"/>
        </w:rPr>
        <w:t>term</w:t>
      </w:r>
      <w:r w:rsidRPr="00772269">
        <w:rPr>
          <w:rFonts w:ascii="Arial" w:hAnsi="Arial" w:cs="Arial"/>
          <w:sz w:val="22"/>
          <w:szCs w:val="22"/>
        </w:rPr>
        <w:t xml:space="preserve"> “accident likelihood” </w:t>
      </w:r>
      <w:r w:rsidR="002C0AEA">
        <w:rPr>
          <w:rFonts w:ascii="Arial" w:hAnsi="Arial" w:cs="Arial"/>
          <w:sz w:val="22"/>
          <w:szCs w:val="22"/>
        </w:rPr>
        <w:t>refers</w:t>
      </w:r>
      <w:r w:rsidRPr="00772269">
        <w:rPr>
          <w:rFonts w:ascii="Arial" w:hAnsi="Arial" w:cs="Arial"/>
          <w:sz w:val="22"/>
          <w:szCs w:val="22"/>
        </w:rPr>
        <w:t xml:space="preserve"> to the criteria use</w:t>
      </w:r>
      <w:r w:rsidR="00032E0C">
        <w:rPr>
          <w:rFonts w:ascii="Arial" w:hAnsi="Arial" w:cs="Arial"/>
          <w:sz w:val="22"/>
          <w:szCs w:val="22"/>
        </w:rPr>
        <w:t>d</w:t>
      </w:r>
      <w:r w:rsidRPr="00772269">
        <w:rPr>
          <w:rFonts w:ascii="Arial" w:hAnsi="Arial" w:cs="Arial"/>
          <w:sz w:val="22"/>
          <w:szCs w:val="22"/>
        </w:rPr>
        <w:t xml:space="preserve"> in the selection of the spectrum of accidents </w:t>
      </w:r>
      <w:r w:rsidR="002C0AEA">
        <w:rPr>
          <w:rFonts w:ascii="Arial" w:hAnsi="Arial" w:cs="Arial"/>
          <w:sz w:val="22"/>
          <w:szCs w:val="22"/>
        </w:rPr>
        <w:t>that</w:t>
      </w:r>
      <w:r w:rsidRPr="00772269">
        <w:rPr>
          <w:rFonts w:ascii="Arial" w:hAnsi="Arial" w:cs="Arial"/>
          <w:sz w:val="22"/>
          <w:szCs w:val="22"/>
        </w:rPr>
        <w:t xml:space="preserve"> inform the EPZ size determination. Accident likelihood is not used in the dose evaluation of the chosen spectrum of accidents.</w:t>
      </w:r>
    </w:p>
    <w:p w:rsidR="007F112A" w:rsidRPr="00772269" w:rsidP="00772269" w14:paraId="3B768CCA" w14:textId="77777777">
      <w:pPr>
        <w:spacing w:after="220"/>
        <w:rPr>
          <w:rFonts w:ascii="Arial" w:hAnsi="Arial" w:cs="Arial"/>
          <w:sz w:val="22"/>
          <w:szCs w:val="22"/>
        </w:rPr>
      </w:pPr>
      <w:r w:rsidRPr="00772269">
        <w:rPr>
          <w:rFonts w:ascii="Arial" w:hAnsi="Arial" w:cs="Arial"/>
          <w:sz w:val="22"/>
          <w:szCs w:val="22"/>
        </w:rPr>
        <w:t>The 10 CFR 53.1109(g)(2)(i)(A) rule language is consistent with the existing requirement in 10</w:t>
      </w:r>
      <w:r w:rsidR="00BD61FD">
        <w:rPr>
          <w:rFonts w:ascii="Arial" w:hAnsi="Arial" w:cs="Arial"/>
          <w:sz w:val="22"/>
          <w:szCs w:val="22"/>
        </w:rPr>
        <w:t> </w:t>
      </w:r>
      <w:r w:rsidRPr="00772269">
        <w:rPr>
          <w:rFonts w:ascii="Arial" w:hAnsi="Arial" w:cs="Arial"/>
          <w:sz w:val="22"/>
          <w:szCs w:val="22"/>
        </w:rPr>
        <w:t>CFR 50.33(g)(2)(i)(A), which was adopted as part of the final rule on “Emergency Preparedness for Small Modular Reactors and Other New Technologies” (88 FR 80050; November 16, 2023). That rulemaking involved extensive stakeholder interactions and an extended public comment period. Consideration of accident likelihood in combination with event sequences, source term, and timing is used to arrive at the spectrum of accidents to develop the basis for the applicant’s site-specific plume exposure pathway EPZ. Source terms are used to determine dose consequences. Timing of the accident sequence facilitates determining if prompt protective measures are warranted. Meteorology input is essential in determining the weather conditions that impact dose consequences due to atmospheric transport and dispersion of the radioactive plume.</w:t>
      </w:r>
      <w:r w:rsidR="00F34615">
        <w:rPr>
          <w:rFonts w:ascii="Arial" w:hAnsi="Arial" w:cs="Arial"/>
          <w:sz w:val="22"/>
          <w:szCs w:val="22"/>
        </w:rPr>
        <w:t xml:space="preserve"> </w:t>
      </w:r>
      <w:r w:rsidR="00325D4F">
        <w:rPr>
          <w:rFonts w:ascii="Arial" w:hAnsi="Arial" w:cs="Arial"/>
          <w:sz w:val="22"/>
          <w:szCs w:val="22"/>
        </w:rPr>
        <w:t>T</w:t>
      </w:r>
      <w:r w:rsidR="00F34615">
        <w:rPr>
          <w:rFonts w:ascii="Arial" w:hAnsi="Arial" w:cs="Arial"/>
          <w:sz w:val="22"/>
          <w:szCs w:val="22"/>
        </w:rPr>
        <w:t xml:space="preserve">he NRC has </w:t>
      </w:r>
      <w:r w:rsidR="008A3E1B">
        <w:rPr>
          <w:rFonts w:ascii="Arial" w:hAnsi="Arial" w:cs="Arial"/>
          <w:sz w:val="22"/>
          <w:szCs w:val="22"/>
        </w:rPr>
        <w:t xml:space="preserve">added additional discussion to the final rule FRN to </w:t>
      </w:r>
      <w:r w:rsidR="008C4492">
        <w:rPr>
          <w:rFonts w:ascii="Arial" w:hAnsi="Arial" w:cs="Arial"/>
          <w:sz w:val="22"/>
          <w:szCs w:val="22"/>
        </w:rPr>
        <w:t>provide further</w:t>
      </w:r>
      <w:r w:rsidR="00457CC7">
        <w:rPr>
          <w:rFonts w:ascii="Arial" w:hAnsi="Arial" w:cs="Arial"/>
          <w:sz w:val="22"/>
          <w:szCs w:val="22"/>
        </w:rPr>
        <w:t xml:space="preserve"> guidance on </w:t>
      </w:r>
      <w:r w:rsidR="00EE677C">
        <w:rPr>
          <w:rFonts w:ascii="Arial" w:hAnsi="Arial" w:cs="Arial"/>
          <w:sz w:val="22"/>
          <w:szCs w:val="22"/>
        </w:rPr>
        <w:t xml:space="preserve">the </w:t>
      </w:r>
      <w:r w:rsidR="00962A60">
        <w:rPr>
          <w:rFonts w:ascii="Arial" w:hAnsi="Arial" w:cs="Arial"/>
          <w:sz w:val="22"/>
          <w:szCs w:val="22"/>
        </w:rPr>
        <w:t xml:space="preserve">plume exposure pathway </w:t>
      </w:r>
      <w:r w:rsidRPr="00EE677C" w:rsidR="00EE677C">
        <w:rPr>
          <w:rFonts w:ascii="Arial" w:hAnsi="Arial" w:cs="Arial"/>
          <w:sz w:val="22"/>
          <w:szCs w:val="22"/>
        </w:rPr>
        <w:t>EPZ size determination</w:t>
      </w:r>
      <w:r w:rsidR="0079428C">
        <w:rPr>
          <w:rFonts w:ascii="Arial" w:hAnsi="Arial" w:cs="Arial"/>
          <w:sz w:val="22"/>
          <w:szCs w:val="22"/>
        </w:rPr>
        <w:t xml:space="preserve"> in response to th</w:t>
      </w:r>
      <w:r w:rsidR="00825ECD">
        <w:rPr>
          <w:rFonts w:ascii="Arial" w:hAnsi="Arial" w:cs="Arial"/>
          <w:sz w:val="22"/>
          <w:szCs w:val="22"/>
        </w:rPr>
        <w:t>e</w:t>
      </w:r>
      <w:r w:rsidR="0079428C">
        <w:rPr>
          <w:rFonts w:ascii="Arial" w:hAnsi="Arial" w:cs="Arial"/>
          <w:sz w:val="22"/>
          <w:szCs w:val="22"/>
        </w:rPr>
        <w:t>s</w:t>
      </w:r>
      <w:r w:rsidR="00825ECD">
        <w:rPr>
          <w:rFonts w:ascii="Arial" w:hAnsi="Arial" w:cs="Arial"/>
          <w:sz w:val="22"/>
          <w:szCs w:val="22"/>
        </w:rPr>
        <w:t>e</w:t>
      </w:r>
      <w:r w:rsidR="0079428C">
        <w:rPr>
          <w:rFonts w:ascii="Arial" w:hAnsi="Arial" w:cs="Arial"/>
          <w:sz w:val="22"/>
          <w:szCs w:val="22"/>
        </w:rPr>
        <w:t xml:space="preserve"> comment</w:t>
      </w:r>
      <w:r w:rsidR="00825ECD">
        <w:rPr>
          <w:rFonts w:ascii="Arial" w:hAnsi="Arial" w:cs="Arial"/>
          <w:sz w:val="22"/>
          <w:szCs w:val="22"/>
        </w:rPr>
        <w:t>s</w:t>
      </w:r>
      <w:r w:rsidR="0079428C">
        <w:rPr>
          <w:rFonts w:ascii="Arial" w:hAnsi="Arial" w:cs="Arial"/>
          <w:sz w:val="22"/>
          <w:szCs w:val="22"/>
        </w:rPr>
        <w:t>.</w:t>
      </w:r>
    </w:p>
    <w:p w:rsidR="007F112A" w:rsidRPr="00772269" w:rsidP="00772269" w14:paraId="4E03E2A5" w14:textId="77777777">
      <w:pPr>
        <w:spacing w:after="220"/>
        <w:rPr>
          <w:rFonts w:ascii="Arial" w:hAnsi="Arial" w:cs="Arial"/>
          <w:sz w:val="22"/>
          <w:szCs w:val="22"/>
        </w:rPr>
      </w:pPr>
      <w:r w:rsidRPr="00772269">
        <w:rPr>
          <w:rFonts w:ascii="Arial" w:hAnsi="Arial" w:cs="Arial"/>
          <w:sz w:val="22"/>
          <w:szCs w:val="22"/>
        </w:rPr>
        <w:t xml:space="preserve">The NRC disagrees with the comment that 10 CFR 53.1109 </w:t>
      </w:r>
      <w:r w:rsidR="0022469A">
        <w:rPr>
          <w:rFonts w:ascii="Arial" w:hAnsi="Arial" w:cs="Arial"/>
          <w:sz w:val="22"/>
          <w:szCs w:val="22"/>
        </w:rPr>
        <w:t>excuses licensees from</w:t>
      </w:r>
      <w:r w:rsidRPr="00772269">
        <w:rPr>
          <w:rFonts w:ascii="Arial" w:hAnsi="Arial" w:cs="Arial"/>
          <w:sz w:val="22"/>
          <w:szCs w:val="22"/>
        </w:rPr>
        <w:t xml:space="preserve"> providing an emergency response. </w:t>
      </w:r>
      <w:r w:rsidR="002C1301">
        <w:rPr>
          <w:rFonts w:ascii="Arial" w:hAnsi="Arial" w:cs="Arial"/>
          <w:sz w:val="22"/>
          <w:szCs w:val="22"/>
        </w:rPr>
        <w:t>10 CFR</w:t>
      </w:r>
      <w:r w:rsidR="00BC7E65">
        <w:rPr>
          <w:rFonts w:ascii="Arial" w:hAnsi="Arial" w:cs="Arial"/>
          <w:sz w:val="22"/>
          <w:szCs w:val="22"/>
        </w:rPr>
        <w:t xml:space="preserve"> </w:t>
      </w:r>
      <w:r w:rsidRPr="00772269">
        <w:rPr>
          <w:rFonts w:ascii="Arial" w:hAnsi="Arial" w:cs="Arial"/>
          <w:sz w:val="22"/>
          <w:szCs w:val="22"/>
        </w:rPr>
        <w:t>53.1109 describes the requirements for establishing the size of an EPZ inside of which predetermined prompt protective measures are warranted, not whether an emergency response is provided.</w:t>
      </w:r>
    </w:p>
    <w:p w:rsidR="007F112A" w:rsidRPr="00772269" w:rsidP="00772269" w14:paraId="061AB5CD"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r w:rsidR="00F42F84">
        <w:rPr>
          <w:rFonts w:ascii="Arial" w:hAnsi="Arial" w:cs="Arial"/>
          <w:sz w:val="22"/>
          <w:szCs w:val="22"/>
        </w:rPr>
        <w:t xml:space="preserve"> but did revis</w:t>
      </w:r>
      <w:r w:rsidR="00B46579">
        <w:rPr>
          <w:rFonts w:ascii="Arial" w:hAnsi="Arial" w:cs="Arial"/>
          <w:sz w:val="22"/>
          <w:szCs w:val="22"/>
        </w:rPr>
        <w:t>e the final rule FRN as described above</w:t>
      </w:r>
      <w:r w:rsidRPr="00772269">
        <w:rPr>
          <w:rFonts w:ascii="Arial" w:hAnsi="Arial" w:cs="Arial"/>
          <w:sz w:val="22"/>
          <w:szCs w:val="22"/>
        </w:rPr>
        <w:t>.</w:t>
      </w:r>
    </w:p>
    <w:p w:rsidR="007F112A" w:rsidRPr="00772269" w:rsidP="00772269" w14:paraId="49BD357D" w14:textId="77777777">
      <w:pPr>
        <w:spacing w:after="220"/>
        <w:rPr>
          <w:rFonts w:ascii="Arial" w:hAnsi="Arial" w:cs="Arial"/>
          <w:sz w:val="22"/>
          <w:szCs w:val="22"/>
        </w:rPr>
      </w:pPr>
      <w:r>
        <w:rPr>
          <w:rFonts w:ascii="Arial" w:hAnsi="Arial" w:cs="Arial"/>
          <w:sz w:val="22"/>
          <w:szCs w:val="22"/>
        </w:rPr>
        <w:pict>
          <v:rect id="_x0000_i1245" style="width:0;height:1.5pt" o:hralign="center" o:hrstd="t" o:hrnoshade="t" o:hr="t" fillcolor="black" stroked="f"/>
        </w:pict>
      </w:r>
    </w:p>
    <w:p w:rsidR="007F112A" w:rsidRPr="00772269" w:rsidP="00772269" w14:paraId="7AB9E934" w14:textId="77777777">
      <w:pPr>
        <w:spacing w:after="220"/>
        <w:rPr>
          <w:rFonts w:ascii="Arial" w:hAnsi="Arial" w:cs="Arial"/>
          <w:sz w:val="22"/>
          <w:szCs w:val="22"/>
        </w:rPr>
      </w:pPr>
      <w:r w:rsidRPr="00772269">
        <w:rPr>
          <w:rFonts w:ascii="Arial" w:hAnsi="Arial" w:cs="Arial"/>
          <w:b/>
          <w:sz w:val="22"/>
          <w:szCs w:val="22"/>
        </w:rPr>
        <w:t>Comment Bin 3.8.1.L:</w:t>
      </w:r>
      <w:r w:rsidRPr="00772269">
        <w:rPr>
          <w:rFonts w:ascii="Arial" w:hAnsi="Arial" w:cs="Arial"/>
          <w:sz w:val="22"/>
          <w:szCs w:val="22"/>
        </w:rPr>
        <w:t xml:space="preserve"> A commenter asked if </w:t>
      </w:r>
      <w:r w:rsidR="00887ABD">
        <w:rPr>
          <w:rFonts w:ascii="Arial" w:hAnsi="Arial" w:cs="Arial"/>
          <w:sz w:val="22"/>
          <w:szCs w:val="22"/>
        </w:rPr>
        <w:t>LWAs</w:t>
      </w:r>
      <w:r w:rsidRPr="00772269">
        <w:rPr>
          <w:rFonts w:ascii="Arial" w:hAnsi="Arial" w:cs="Arial"/>
          <w:sz w:val="22"/>
          <w:szCs w:val="22"/>
        </w:rPr>
        <w:t xml:space="preserve"> are necessary and whether they cause double work for the NRC </w:t>
      </w:r>
      <w:r w:rsidRPr="00563CF0">
        <w:rPr>
          <w:rFonts w:ascii="Arial" w:hAnsi="Arial" w:cs="Arial"/>
        </w:rPr>
        <w:t>(</w:t>
      </w:r>
      <w:r w:rsidRPr="00563CF0" w:rsidR="00563CF0">
        <w:rPr>
          <w:rFonts w:ascii="Arial" w:eastAsia="Times New Roman" w:hAnsi="Arial" w:cs="Arial"/>
          <w:color w:val="000000"/>
        </w:rPr>
        <w:t>TG13</w:t>
      </w:r>
      <w:r w:rsidRPr="00563CF0">
        <w:rPr>
          <w:rFonts w:ascii="Arial" w:hAnsi="Arial" w:cs="Arial"/>
        </w:rPr>
        <w:t>-00</w:t>
      </w:r>
      <w:r w:rsidRPr="00772269">
        <w:rPr>
          <w:rFonts w:ascii="Arial" w:hAnsi="Arial" w:cs="Arial"/>
          <w:sz w:val="22"/>
          <w:szCs w:val="22"/>
        </w:rPr>
        <w:t>01). </w:t>
      </w:r>
    </w:p>
    <w:p w:rsidR="00887ABD" w:rsidP="00772269" w14:paraId="49346634"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w:t>
      </w:r>
      <w:r>
        <w:rPr>
          <w:rFonts w:ascii="Arial" w:hAnsi="Arial" w:cs="Arial"/>
          <w:sz w:val="22"/>
          <w:szCs w:val="22"/>
        </w:rPr>
        <w:t xml:space="preserve">The NRC </w:t>
      </w:r>
      <w:r w:rsidR="00FE5641">
        <w:rPr>
          <w:rFonts w:ascii="Arial" w:hAnsi="Arial" w:cs="Arial"/>
          <w:sz w:val="22"/>
          <w:szCs w:val="22"/>
        </w:rPr>
        <w:t>disagrees with this</w:t>
      </w:r>
      <w:r>
        <w:rPr>
          <w:rFonts w:ascii="Arial" w:hAnsi="Arial" w:cs="Arial"/>
          <w:sz w:val="22"/>
          <w:szCs w:val="22"/>
        </w:rPr>
        <w:t xml:space="preserve"> comment.</w:t>
      </w:r>
    </w:p>
    <w:p w:rsidR="00060626" w:rsidP="00772269" w14:paraId="7A41AB89" w14:textId="77777777">
      <w:pPr>
        <w:spacing w:after="220"/>
        <w:rPr>
          <w:rFonts w:ascii="Arial" w:hAnsi="Arial" w:cs="Arial"/>
          <w:sz w:val="22"/>
          <w:szCs w:val="22"/>
        </w:rPr>
      </w:pPr>
      <w:r w:rsidRPr="00772269">
        <w:rPr>
          <w:rFonts w:ascii="Arial" w:hAnsi="Arial" w:cs="Arial"/>
          <w:sz w:val="22"/>
          <w:szCs w:val="22"/>
        </w:rPr>
        <w:t xml:space="preserve">The LWA process does not cause double work for the NRC because the issues that are reviewed in an LWA application do not need to be re-reviewed in a subsequent CP or COL application. </w:t>
      </w:r>
    </w:p>
    <w:p w:rsidR="006164B2" w:rsidRPr="00772269" w:rsidP="00772269" w14:paraId="445E8E05" w14:textId="77777777">
      <w:pPr>
        <w:spacing w:after="220"/>
        <w:rPr>
          <w:rFonts w:ascii="Arial" w:hAnsi="Arial" w:cs="Arial"/>
          <w:sz w:val="22"/>
          <w:szCs w:val="22"/>
        </w:rPr>
      </w:pPr>
      <w:r>
        <w:rPr>
          <w:rFonts w:ascii="Arial" w:hAnsi="Arial" w:cs="Arial"/>
          <w:sz w:val="22"/>
          <w:szCs w:val="22"/>
        </w:rPr>
        <w:t>LWAs</w:t>
      </w:r>
      <w:r w:rsidR="00224589">
        <w:rPr>
          <w:rFonts w:ascii="Arial" w:hAnsi="Arial" w:cs="Arial"/>
          <w:sz w:val="22"/>
          <w:szCs w:val="22"/>
        </w:rPr>
        <w:t xml:space="preserve"> </w:t>
      </w:r>
      <w:r w:rsidRPr="00772269" w:rsidR="007F112A">
        <w:rPr>
          <w:rFonts w:ascii="Arial" w:hAnsi="Arial" w:cs="Arial"/>
          <w:sz w:val="22"/>
          <w:szCs w:val="22"/>
        </w:rPr>
        <w:t>have been an option under NRC licensing regulations for many decades. A</w:t>
      </w:r>
      <w:r w:rsidR="0010190A">
        <w:rPr>
          <w:rFonts w:ascii="Arial" w:hAnsi="Arial" w:cs="Arial"/>
          <w:sz w:val="22"/>
          <w:szCs w:val="22"/>
        </w:rPr>
        <w:t>n</w:t>
      </w:r>
      <w:r w:rsidRPr="00772269" w:rsidR="007F112A">
        <w:rPr>
          <w:rFonts w:ascii="Arial" w:hAnsi="Arial" w:cs="Arial"/>
          <w:sz w:val="22"/>
          <w:szCs w:val="22"/>
        </w:rPr>
        <w:t xml:space="preserve"> </w:t>
      </w:r>
      <w:r w:rsidR="0010190A">
        <w:rPr>
          <w:rFonts w:ascii="Arial" w:hAnsi="Arial" w:cs="Arial"/>
          <w:sz w:val="22"/>
          <w:szCs w:val="22"/>
        </w:rPr>
        <w:t>LWA</w:t>
      </w:r>
      <w:r w:rsidRPr="00772269" w:rsidR="007F112A">
        <w:rPr>
          <w:rFonts w:ascii="Arial" w:hAnsi="Arial" w:cs="Arial"/>
          <w:sz w:val="22"/>
          <w:szCs w:val="22"/>
        </w:rPr>
        <w:t xml:space="preserve"> is a partial </w:t>
      </w:r>
      <w:r w:rsidR="00AA119A">
        <w:rPr>
          <w:rFonts w:ascii="Arial" w:hAnsi="Arial" w:cs="Arial"/>
          <w:sz w:val="22"/>
          <w:szCs w:val="22"/>
        </w:rPr>
        <w:t>CP</w:t>
      </w:r>
      <w:r w:rsidRPr="00772269" w:rsidR="007F112A">
        <w:rPr>
          <w:rFonts w:ascii="Arial" w:hAnsi="Arial" w:cs="Arial"/>
          <w:sz w:val="22"/>
          <w:szCs w:val="22"/>
        </w:rPr>
        <w:t xml:space="preserve"> that allows the applicant to perform the driving of piles, subsurface preparation, placement of backfill, concrete, or permanent retaining walls within an excavation, installation of the foundation, including placement of concrete, any of which are for a structure, system, or </w:t>
      </w:r>
      <w:r w:rsidRPr="00772269" w:rsidR="007F112A">
        <w:rPr>
          <w:rFonts w:ascii="Arial" w:hAnsi="Arial" w:cs="Arial"/>
          <w:sz w:val="22"/>
          <w:szCs w:val="22"/>
        </w:rPr>
        <w:t xml:space="preserve">component of the facility for which either a </w:t>
      </w:r>
      <w:r w:rsidR="00AA119A">
        <w:rPr>
          <w:rFonts w:ascii="Arial" w:hAnsi="Arial" w:cs="Arial"/>
          <w:sz w:val="22"/>
          <w:szCs w:val="22"/>
        </w:rPr>
        <w:t>CP</w:t>
      </w:r>
      <w:r w:rsidRPr="00772269" w:rsidR="007F112A">
        <w:rPr>
          <w:rFonts w:ascii="Arial" w:hAnsi="Arial" w:cs="Arial"/>
          <w:sz w:val="22"/>
          <w:szCs w:val="22"/>
        </w:rPr>
        <w:t xml:space="preserve"> or </w:t>
      </w:r>
      <w:r w:rsidR="00D00F42">
        <w:rPr>
          <w:rFonts w:ascii="Arial" w:hAnsi="Arial" w:cs="Arial"/>
          <w:sz w:val="22"/>
          <w:szCs w:val="22"/>
        </w:rPr>
        <w:t>COL</w:t>
      </w:r>
      <w:r w:rsidRPr="00772269" w:rsidR="007F112A">
        <w:rPr>
          <w:rFonts w:ascii="Arial" w:hAnsi="Arial" w:cs="Arial"/>
          <w:sz w:val="22"/>
          <w:szCs w:val="22"/>
        </w:rPr>
        <w:t xml:space="preserve"> is otherwise required. In addition, LWAs can support an earlier start to the construction process than would otherwise occur if the applicant had to wait until it was prepared to submit an entire </w:t>
      </w:r>
      <w:r w:rsidR="00AA119A">
        <w:rPr>
          <w:rFonts w:ascii="Arial" w:hAnsi="Arial" w:cs="Arial"/>
          <w:sz w:val="22"/>
          <w:szCs w:val="22"/>
        </w:rPr>
        <w:t>CP</w:t>
      </w:r>
      <w:r w:rsidRPr="00772269" w:rsidR="007F112A">
        <w:rPr>
          <w:rFonts w:ascii="Arial" w:hAnsi="Arial" w:cs="Arial"/>
          <w:sz w:val="22"/>
          <w:szCs w:val="22"/>
        </w:rPr>
        <w:t xml:space="preserve"> or </w:t>
      </w:r>
      <w:r w:rsidR="00D00F42">
        <w:rPr>
          <w:rFonts w:ascii="Arial" w:hAnsi="Arial" w:cs="Arial"/>
          <w:sz w:val="22"/>
          <w:szCs w:val="22"/>
        </w:rPr>
        <w:t>COL</w:t>
      </w:r>
      <w:r w:rsidRPr="00772269" w:rsidR="007F112A">
        <w:rPr>
          <w:rFonts w:ascii="Arial" w:hAnsi="Arial" w:cs="Arial"/>
          <w:sz w:val="22"/>
          <w:szCs w:val="22"/>
        </w:rPr>
        <w:t xml:space="preserve"> application. The LWA process has been used successfully by many applicants over the years</w:t>
      </w:r>
      <w:r w:rsidR="00BA5298">
        <w:rPr>
          <w:rFonts w:ascii="Arial" w:hAnsi="Arial" w:cs="Arial"/>
          <w:sz w:val="22"/>
          <w:szCs w:val="22"/>
        </w:rPr>
        <w:t>,</w:t>
      </w:r>
      <w:r w:rsidRPr="00772269" w:rsidR="007F112A">
        <w:rPr>
          <w:rFonts w:ascii="Arial" w:hAnsi="Arial" w:cs="Arial"/>
          <w:sz w:val="22"/>
          <w:szCs w:val="22"/>
        </w:rPr>
        <w:t xml:space="preserve"> and the NRC sees no reason to remove the flexibility it allows in the timing of construction activities.</w:t>
      </w:r>
    </w:p>
    <w:p w:rsidR="007F112A" w:rsidRPr="00772269" w:rsidP="00772269" w14:paraId="7A7B3B57"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64A07D87" w14:textId="77777777">
      <w:pPr>
        <w:spacing w:after="220"/>
        <w:rPr>
          <w:rFonts w:ascii="Arial" w:hAnsi="Arial" w:cs="Arial"/>
          <w:sz w:val="22"/>
          <w:szCs w:val="22"/>
        </w:rPr>
      </w:pPr>
      <w:r>
        <w:rPr>
          <w:rFonts w:ascii="Arial" w:hAnsi="Arial" w:cs="Arial"/>
          <w:sz w:val="22"/>
          <w:szCs w:val="22"/>
        </w:rPr>
        <w:pict>
          <v:rect id="_x0000_i1246" style="width:0;height:1.5pt" o:hralign="center" o:hrstd="t" o:hrnoshade="t" o:hr="t" fillcolor="black" stroked="f"/>
        </w:pict>
      </w:r>
    </w:p>
    <w:p w:rsidR="007F112A" w:rsidRPr="00772269" w:rsidP="00772269" w14:paraId="7BFC86DF" w14:textId="77777777">
      <w:pPr>
        <w:spacing w:after="220"/>
        <w:rPr>
          <w:rFonts w:ascii="Arial" w:hAnsi="Arial" w:cs="Arial"/>
          <w:sz w:val="22"/>
          <w:szCs w:val="22"/>
        </w:rPr>
      </w:pPr>
      <w:r w:rsidRPr="00772269">
        <w:rPr>
          <w:rFonts w:ascii="Arial" w:hAnsi="Arial" w:cs="Arial"/>
          <w:b/>
          <w:sz w:val="22"/>
          <w:szCs w:val="22"/>
        </w:rPr>
        <w:t xml:space="preserve">Comment Bin 3.8.1.M: </w:t>
      </w:r>
      <w:r w:rsidRPr="00772269">
        <w:rPr>
          <w:rFonts w:ascii="Arial" w:hAnsi="Arial" w:cs="Arial"/>
          <w:sz w:val="22"/>
          <w:szCs w:val="22"/>
        </w:rPr>
        <w:t>Regarding 10 CFR 53.1146, a commenter wrote that they do not understand why emergency plans include a requirement to describe the proposed inspections, tests, and analyses that a licensee must perform, given emergency plans are for when equipment “does not work properly” (</w:t>
      </w:r>
      <w:r w:rsidRPr="00563CF0" w:rsidR="00563CF0">
        <w:rPr>
          <w:rFonts w:ascii="Arial" w:eastAsia="Times New Roman" w:hAnsi="Arial" w:cs="Arial"/>
          <w:color w:val="000000"/>
          <w:sz w:val="22"/>
          <w:szCs w:val="22"/>
        </w:rPr>
        <w:t>TG13</w:t>
      </w:r>
      <w:r w:rsidRPr="00563CF0">
        <w:rPr>
          <w:rFonts w:ascii="Arial" w:hAnsi="Arial" w:cs="Arial"/>
          <w:sz w:val="22"/>
          <w:szCs w:val="22"/>
        </w:rPr>
        <w:t>-00</w:t>
      </w:r>
      <w:r w:rsidRPr="00772269">
        <w:rPr>
          <w:rFonts w:ascii="Arial" w:hAnsi="Arial" w:cs="Arial"/>
          <w:sz w:val="22"/>
          <w:szCs w:val="22"/>
        </w:rPr>
        <w:t>02).</w:t>
      </w:r>
    </w:p>
    <w:p w:rsidR="00DC7B43" w:rsidP="00772269" w14:paraId="21CF0942"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xml:space="preserve"> The NRC understands the commenter to be asking about how the reference to inspections, test, and analyses in 10 CFR 53.1146 relates to emergency planning requirements for an </w:t>
      </w:r>
      <w:r w:rsidR="008E1D55">
        <w:rPr>
          <w:rFonts w:ascii="Arial" w:hAnsi="Arial" w:cs="Arial"/>
          <w:sz w:val="22"/>
          <w:szCs w:val="22"/>
        </w:rPr>
        <w:t>ESP</w:t>
      </w:r>
      <w:r w:rsidRPr="00772269">
        <w:rPr>
          <w:rFonts w:ascii="Arial" w:hAnsi="Arial" w:cs="Arial"/>
          <w:sz w:val="22"/>
          <w:szCs w:val="22"/>
        </w:rPr>
        <w:t xml:space="preserve"> application. Inspections, tests, analyses, and acceptance criteria (ITAAC) are a key component of the current licensing processes under 10 CFR Part 52, many of which have been carried over into 10 CFR Part 53. The emergency preparedness ITAAC are used to identify those aspects of the emergency plan that cannot be completely addressed until the facility is constructed, such as emergency action level schemes and the overall demonstration of the licensee’s ability to implement their plan during a full</w:t>
      </w:r>
      <w:r w:rsidRPr="00772269">
        <w:rPr>
          <w:rFonts w:ascii="Arial" w:hAnsi="Arial" w:cs="Arial"/>
          <w:sz w:val="22"/>
          <w:szCs w:val="22"/>
        </w:rPr>
        <w:noBreakHyphen/>
        <w:t xml:space="preserve">scale exercise required to be performed prior to fuel load. ITAAC are used to ensure, through subsequent inspection, exercise, or both, the necessary reasonable assurance for emergency preparedness programs and facilities associated with the yet-unbuilt reactor. The NRC will not be able to make the required finding without the inclusion of proposed ITAAC in an </w:t>
      </w:r>
      <w:r w:rsidR="00F46ADA">
        <w:rPr>
          <w:rFonts w:ascii="Arial" w:hAnsi="Arial" w:cs="Arial"/>
          <w:sz w:val="22"/>
          <w:szCs w:val="22"/>
        </w:rPr>
        <w:t>ESP</w:t>
      </w:r>
      <w:r w:rsidRPr="00772269">
        <w:rPr>
          <w:rFonts w:ascii="Arial" w:hAnsi="Arial" w:cs="Arial"/>
          <w:sz w:val="22"/>
          <w:szCs w:val="22"/>
        </w:rPr>
        <w:t xml:space="preserve"> application that includes complete and integrated emergency plans. The commenter did not suggest any changes to the rule language.</w:t>
      </w:r>
    </w:p>
    <w:p w:rsidR="007F112A" w:rsidRPr="00772269" w:rsidP="00772269" w14:paraId="1EA2E05A"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69859916" w14:textId="77777777">
      <w:pPr>
        <w:spacing w:after="220"/>
        <w:rPr>
          <w:rFonts w:ascii="Arial" w:hAnsi="Arial" w:cs="Arial"/>
          <w:sz w:val="22"/>
          <w:szCs w:val="22"/>
        </w:rPr>
      </w:pPr>
      <w:r>
        <w:rPr>
          <w:rFonts w:ascii="Arial" w:hAnsi="Arial" w:cs="Arial"/>
          <w:sz w:val="22"/>
          <w:szCs w:val="22"/>
        </w:rPr>
        <w:pict>
          <v:rect id="_x0000_i1247" style="width:0;height:1.5pt" o:hralign="center" o:hrstd="t" o:hrnoshade="t" o:hr="t" fillcolor="black" stroked="f"/>
        </w:pict>
      </w:r>
    </w:p>
    <w:p w:rsidR="007F112A" w:rsidRPr="00772269" w:rsidP="00772269" w14:paraId="454ECA44" w14:textId="77777777">
      <w:pPr>
        <w:spacing w:after="220"/>
        <w:rPr>
          <w:rFonts w:ascii="Arial" w:hAnsi="Arial" w:cs="Arial"/>
          <w:sz w:val="22"/>
          <w:szCs w:val="22"/>
        </w:rPr>
      </w:pPr>
      <w:r w:rsidRPr="00772269">
        <w:rPr>
          <w:rFonts w:ascii="Arial" w:hAnsi="Arial" w:cs="Arial"/>
          <w:b/>
          <w:sz w:val="22"/>
          <w:szCs w:val="22"/>
        </w:rPr>
        <w:t>Comment Bin 3.8.1.N:</w:t>
      </w:r>
      <w:r w:rsidRPr="00772269">
        <w:rPr>
          <w:rFonts w:ascii="Arial" w:hAnsi="Arial" w:cs="Arial"/>
          <w:sz w:val="22"/>
          <w:szCs w:val="22"/>
        </w:rPr>
        <w:t xml:space="preserve"> In 10 CFR 53.1279(c)(1), a commenter recommended changing “shipping to the site” to “shipping to or from the site” in case a reactor damaged in transportation must be returned.</w:t>
      </w:r>
    </w:p>
    <w:p w:rsidR="007F112A" w:rsidRPr="00772269" w:rsidP="00772269" w14:paraId="7AB27468" w14:textId="77777777">
      <w:pPr>
        <w:spacing w:after="220"/>
        <w:rPr>
          <w:rFonts w:ascii="Arial" w:hAnsi="Arial" w:cs="Arial"/>
          <w:sz w:val="22"/>
          <w:szCs w:val="22"/>
        </w:rPr>
      </w:pPr>
      <w:r w:rsidRPr="00772269">
        <w:rPr>
          <w:rFonts w:ascii="Arial" w:hAnsi="Arial" w:cs="Arial"/>
          <w:sz w:val="22"/>
          <w:szCs w:val="22"/>
        </w:rPr>
        <w:t>In 10 CFR 53.1279(d)(1), the commenter wrote that “consistent with the design...at the place of operation” is “good.”</w:t>
      </w:r>
    </w:p>
    <w:p w:rsidR="007F112A" w:rsidRPr="00772269" w:rsidP="00772269" w14:paraId="2B28B497" w14:textId="77777777">
      <w:pPr>
        <w:spacing w:after="220"/>
        <w:rPr>
          <w:rFonts w:ascii="Arial" w:hAnsi="Arial" w:cs="Arial"/>
          <w:sz w:val="22"/>
          <w:szCs w:val="22"/>
        </w:rPr>
      </w:pPr>
      <w:r w:rsidRPr="00772269">
        <w:rPr>
          <w:rFonts w:ascii="Arial" w:hAnsi="Arial" w:cs="Arial"/>
          <w:sz w:val="22"/>
          <w:szCs w:val="22"/>
        </w:rPr>
        <w:t xml:space="preserve">In 10 CFR 53.1288(a)(2), the commenter asked if “including those that have already been transported” should </w:t>
      </w:r>
      <w:r w:rsidRPr="00772269" w:rsidR="008838E1">
        <w:rPr>
          <w:rFonts w:ascii="Arial" w:hAnsi="Arial" w:cs="Arial"/>
          <w:sz w:val="22"/>
          <w:szCs w:val="22"/>
        </w:rPr>
        <w:t xml:space="preserve">continue to </w:t>
      </w:r>
      <w:r w:rsidRPr="00772269">
        <w:rPr>
          <w:rFonts w:ascii="Arial" w:hAnsi="Arial" w:cs="Arial"/>
          <w:sz w:val="22"/>
          <w:szCs w:val="22"/>
        </w:rPr>
        <w:t>be included in the rule text since areas to be modified may no longer be accessible (</w:t>
      </w:r>
      <w:r w:rsidRPr="00563CF0" w:rsidR="00563CF0">
        <w:rPr>
          <w:rFonts w:ascii="Arial" w:eastAsia="Times New Roman" w:hAnsi="Arial" w:cs="Arial"/>
          <w:color w:val="000000"/>
          <w:sz w:val="22"/>
          <w:szCs w:val="22"/>
        </w:rPr>
        <w:t>TG13</w:t>
      </w:r>
      <w:r w:rsidRPr="00563CF0">
        <w:rPr>
          <w:rFonts w:ascii="Arial" w:hAnsi="Arial" w:cs="Arial"/>
          <w:sz w:val="22"/>
          <w:szCs w:val="22"/>
        </w:rPr>
        <w:t>-</w:t>
      </w:r>
      <w:r w:rsidRPr="00772269">
        <w:rPr>
          <w:rFonts w:ascii="Arial" w:hAnsi="Arial" w:cs="Arial"/>
          <w:sz w:val="22"/>
          <w:szCs w:val="22"/>
        </w:rPr>
        <w:t>0004).</w:t>
      </w:r>
    </w:p>
    <w:p w:rsidR="00E27D9C" w:rsidP="00772269" w14:paraId="53A4D39B"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w:t>
      </w:r>
      <w:r w:rsidRPr="00772269" w:rsidR="002358D2">
        <w:rPr>
          <w:rFonts w:ascii="Arial" w:hAnsi="Arial" w:cs="Arial"/>
          <w:sz w:val="22"/>
          <w:szCs w:val="22"/>
        </w:rPr>
        <w:t>,</w:t>
      </w:r>
      <w:r w:rsidRPr="00772269">
        <w:rPr>
          <w:rFonts w:ascii="Arial" w:hAnsi="Arial" w:cs="Arial"/>
          <w:sz w:val="22"/>
          <w:szCs w:val="22"/>
        </w:rPr>
        <w:t xml:space="preserve"> in part</w:t>
      </w:r>
      <w:r w:rsidRPr="00772269" w:rsidR="002358D2">
        <w:rPr>
          <w:rFonts w:ascii="Arial" w:hAnsi="Arial" w:cs="Arial"/>
          <w:sz w:val="22"/>
          <w:szCs w:val="22"/>
        </w:rPr>
        <w:t>,</w:t>
      </w:r>
      <w:r w:rsidRPr="00772269">
        <w:rPr>
          <w:rFonts w:ascii="Arial" w:hAnsi="Arial" w:cs="Arial"/>
          <w:sz w:val="22"/>
          <w:szCs w:val="22"/>
        </w:rPr>
        <w:t xml:space="preserve"> with the comment. </w:t>
      </w:r>
    </w:p>
    <w:p w:rsidR="007F112A" w:rsidRPr="00772269" w:rsidP="00772269" w14:paraId="7556B779" w14:textId="77777777">
      <w:pPr>
        <w:spacing w:after="220"/>
        <w:rPr>
          <w:rFonts w:ascii="Arial" w:hAnsi="Arial" w:cs="Arial"/>
          <w:sz w:val="22"/>
          <w:szCs w:val="22"/>
        </w:rPr>
      </w:pPr>
      <w:r w:rsidRPr="00772269">
        <w:rPr>
          <w:rFonts w:ascii="Arial" w:hAnsi="Arial" w:cs="Arial"/>
          <w:sz w:val="22"/>
          <w:szCs w:val="22"/>
        </w:rPr>
        <w:t>The NRC agrees that the wording in 10 CFR 53.1279(d)(1) is appropriate. The NRC disagrees that the rule language in 10 CFR 53.1279(c)(1) needs to be changed to cover “shipping to or from the site,” as this level of detail can be covered in associated guidance.</w:t>
      </w:r>
      <w:r w:rsidR="00AC1305">
        <w:rPr>
          <w:rFonts w:ascii="Arial" w:hAnsi="Arial" w:cs="Arial"/>
          <w:sz w:val="22"/>
          <w:szCs w:val="22"/>
        </w:rPr>
        <w:t xml:space="preserve"> M</w:t>
      </w:r>
      <w:r w:rsidR="007003E7">
        <w:rPr>
          <w:rFonts w:ascii="Arial" w:hAnsi="Arial" w:cs="Arial"/>
          <w:sz w:val="22"/>
          <w:szCs w:val="22"/>
        </w:rPr>
        <w:t>oreover,</w:t>
      </w:r>
      <w:r w:rsidR="00647EA8">
        <w:rPr>
          <w:rFonts w:ascii="Arial" w:hAnsi="Arial" w:cs="Arial"/>
          <w:sz w:val="22"/>
          <w:szCs w:val="22"/>
        </w:rPr>
        <w:t xml:space="preserve"> because</w:t>
      </w:r>
      <w:r w:rsidR="007003E7">
        <w:rPr>
          <w:rFonts w:ascii="Arial" w:hAnsi="Arial" w:cs="Arial"/>
          <w:sz w:val="22"/>
          <w:szCs w:val="22"/>
        </w:rPr>
        <w:t xml:space="preserve"> the</w:t>
      </w:r>
      <w:r w:rsidR="00105379">
        <w:rPr>
          <w:rFonts w:ascii="Arial" w:hAnsi="Arial" w:cs="Arial"/>
          <w:sz w:val="22"/>
          <w:szCs w:val="22"/>
        </w:rPr>
        <w:t xml:space="preserve"> requirements governing the shipment of a damaged reactor may depend on the condition of the reactor</w:t>
      </w:r>
      <w:r w:rsidR="00743B65">
        <w:rPr>
          <w:rFonts w:ascii="Arial" w:hAnsi="Arial" w:cs="Arial"/>
          <w:sz w:val="22"/>
          <w:szCs w:val="22"/>
        </w:rPr>
        <w:t xml:space="preserve"> and </w:t>
      </w:r>
      <w:r w:rsidR="00EE2E82">
        <w:rPr>
          <w:rFonts w:ascii="Arial" w:hAnsi="Arial" w:cs="Arial"/>
          <w:sz w:val="22"/>
          <w:szCs w:val="22"/>
        </w:rPr>
        <w:t>may involve requirements in other regulations</w:t>
      </w:r>
      <w:r w:rsidR="00647EA8">
        <w:rPr>
          <w:rFonts w:ascii="Arial" w:hAnsi="Arial" w:cs="Arial"/>
          <w:sz w:val="22"/>
          <w:szCs w:val="22"/>
        </w:rPr>
        <w:t xml:space="preserve">, expanding the rule </w:t>
      </w:r>
      <w:r w:rsidR="00C94468">
        <w:rPr>
          <w:rFonts w:ascii="Arial" w:hAnsi="Arial" w:cs="Arial"/>
          <w:sz w:val="22"/>
          <w:szCs w:val="22"/>
        </w:rPr>
        <w:t xml:space="preserve">at this time </w:t>
      </w:r>
      <w:r w:rsidR="00647EA8">
        <w:rPr>
          <w:rFonts w:ascii="Arial" w:hAnsi="Arial" w:cs="Arial"/>
          <w:sz w:val="22"/>
          <w:szCs w:val="22"/>
        </w:rPr>
        <w:t xml:space="preserve">to </w:t>
      </w:r>
      <w:r w:rsidR="00647EA8">
        <w:rPr>
          <w:rFonts w:ascii="Arial" w:hAnsi="Arial" w:cs="Arial"/>
          <w:sz w:val="22"/>
          <w:szCs w:val="22"/>
        </w:rPr>
        <w:t xml:space="preserve">include </w:t>
      </w:r>
      <w:r w:rsidR="00576A28">
        <w:rPr>
          <w:rFonts w:ascii="Arial" w:hAnsi="Arial" w:cs="Arial"/>
          <w:sz w:val="22"/>
          <w:szCs w:val="22"/>
        </w:rPr>
        <w:t>shipping from the site may not be appropriate.</w:t>
      </w:r>
      <w:r w:rsidR="003238BF">
        <w:rPr>
          <w:rFonts w:ascii="Arial" w:hAnsi="Arial" w:cs="Arial"/>
          <w:sz w:val="22"/>
          <w:szCs w:val="22"/>
        </w:rPr>
        <w:t xml:space="preserve"> </w:t>
      </w:r>
      <w:r w:rsidR="00C94468">
        <w:rPr>
          <w:rFonts w:ascii="Arial" w:hAnsi="Arial" w:cs="Arial"/>
          <w:sz w:val="22"/>
          <w:szCs w:val="22"/>
        </w:rPr>
        <w:t>T</w:t>
      </w:r>
      <w:r w:rsidRPr="00B1676D" w:rsidR="00B1676D">
        <w:rPr>
          <w:rFonts w:ascii="Arial" w:hAnsi="Arial" w:cs="Arial"/>
          <w:sz w:val="22"/>
          <w:szCs w:val="22"/>
        </w:rPr>
        <w:t xml:space="preserve">he NRC </w:t>
      </w:r>
      <w:r w:rsidR="00E16FF9">
        <w:rPr>
          <w:rFonts w:ascii="Arial" w:hAnsi="Arial" w:cs="Arial"/>
          <w:sz w:val="22"/>
          <w:szCs w:val="22"/>
        </w:rPr>
        <w:t xml:space="preserve">is responding to </w:t>
      </w:r>
      <w:r w:rsidRPr="00E16FF9" w:rsidR="00E16FF9">
        <w:rPr>
          <w:rFonts w:ascii="Arial" w:hAnsi="Arial" w:cs="Arial"/>
          <w:sz w:val="22"/>
          <w:szCs w:val="22"/>
        </w:rPr>
        <w:t>the ADVANCE Act and EOs issued in 2025</w:t>
      </w:r>
      <w:r w:rsidR="00E16FF9">
        <w:rPr>
          <w:rFonts w:ascii="Arial" w:hAnsi="Arial" w:cs="Arial"/>
          <w:sz w:val="22"/>
          <w:szCs w:val="22"/>
        </w:rPr>
        <w:t xml:space="preserve"> by </w:t>
      </w:r>
      <w:r w:rsidR="007F1581">
        <w:rPr>
          <w:rFonts w:ascii="Arial" w:hAnsi="Arial" w:cs="Arial"/>
          <w:sz w:val="22"/>
          <w:szCs w:val="22"/>
        </w:rPr>
        <w:t>developing</w:t>
      </w:r>
      <w:r w:rsidR="000F30B7">
        <w:rPr>
          <w:rFonts w:ascii="Arial" w:hAnsi="Arial" w:cs="Arial"/>
          <w:sz w:val="22"/>
          <w:szCs w:val="22"/>
        </w:rPr>
        <w:t xml:space="preserve"> </w:t>
      </w:r>
      <w:r w:rsidRPr="00B1676D" w:rsidR="00B1676D">
        <w:rPr>
          <w:rFonts w:ascii="Arial" w:hAnsi="Arial" w:cs="Arial"/>
          <w:sz w:val="22"/>
          <w:szCs w:val="22"/>
        </w:rPr>
        <w:t>an additional rulemaking to expedite licensing</w:t>
      </w:r>
      <w:r w:rsidR="002D5F1F">
        <w:rPr>
          <w:rFonts w:ascii="Arial" w:hAnsi="Arial" w:cs="Arial"/>
          <w:sz w:val="22"/>
          <w:szCs w:val="22"/>
        </w:rPr>
        <w:t xml:space="preserve"> </w:t>
      </w:r>
      <w:r w:rsidRPr="00B1676D" w:rsidR="00B1676D">
        <w:rPr>
          <w:rFonts w:ascii="Arial" w:hAnsi="Arial" w:cs="Arial"/>
          <w:sz w:val="22"/>
          <w:szCs w:val="22"/>
        </w:rPr>
        <w:t>qualified microreactors and other potentially low risk, low consequence reactors. This activity, along with other NRC guidance development activities, are intended to address questions such as those raised by the comments.</w:t>
      </w:r>
    </w:p>
    <w:p w:rsidR="007F112A" w:rsidRPr="00772269" w:rsidP="00772269" w14:paraId="1AC998D1" w14:textId="77777777">
      <w:pPr>
        <w:spacing w:after="220"/>
        <w:rPr>
          <w:rFonts w:ascii="Arial" w:hAnsi="Arial" w:cs="Arial"/>
          <w:sz w:val="22"/>
          <w:szCs w:val="22"/>
        </w:rPr>
      </w:pPr>
      <w:r w:rsidRPr="00772269">
        <w:rPr>
          <w:rFonts w:ascii="Arial" w:hAnsi="Arial" w:cs="Arial"/>
          <w:sz w:val="22"/>
          <w:szCs w:val="22"/>
        </w:rPr>
        <w:t xml:space="preserve">The comment </w:t>
      </w:r>
      <w:r w:rsidRPr="00772269" w:rsidR="005B3756">
        <w:rPr>
          <w:rFonts w:ascii="Arial" w:hAnsi="Arial" w:cs="Arial"/>
          <w:sz w:val="22"/>
          <w:szCs w:val="22"/>
        </w:rPr>
        <w:t xml:space="preserve">asked </w:t>
      </w:r>
      <w:r w:rsidRPr="00772269" w:rsidR="00D25C4F">
        <w:rPr>
          <w:rFonts w:ascii="Arial" w:hAnsi="Arial" w:cs="Arial"/>
          <w:sz w:val="22"/>
          <w:szCs w:val="22"/>
        </w:rPr>
        <w:t>whether revisions should be made to</w:t>
      </w:r>
      <w:r w:rsidRPr="00772269">
        <w:rPr>
          <w:rFonts w:ascii="Arial" w:hAnsi="Arial" w:cs="Arial"/>
          <w:sz w:val="22"/>
          <w:szCs w:val="22"/>
        </w:rPr>
        <w:t xml:space="preserve"> the language in 10</w:t>
      </w:r>
      <w:r w:rsidR="006005C1">
        <w:rPr>
          <w:rFonts w:ascii="Arial" w:hAnsi="Arial" w:cs="Arial"/>
          <w:sz w:val="22"/>
          <w:szCs w:val="22"/>
        </w:rPr>
        <w:t> </w:t>
      </w:r>
      <w:r w:rsidRPr="00772269">
        <w:rPr>
          <w:rFonts w:ascii="Arial" w:hAnsi="Arial" w:cs="Arial"/>
          <w:sz w:val="22"/>
          <w:szCs w:val="22"/>
        </w:rPr>
        <w:t>CFR</w:t>
      </w:r>
      <w:r w:rsidR="006005C1">
        <w:rPr>
          <w:rFonts w:ascii="Arial" w:hAnsi="Arial" w:cs="Arial"/>
          <w:sz w:val="22"/>
          <w:szCs w:val="22"/>
        </w:rPr>
        <w:t> </w:t>
      </w:r>
      <w:r w:rsidRPr="00772269">
        <w:rPr>
          <w:rFonts w:ascii="Arial" w:hAnsi="Arial" w:cs="Arial"/>
          <w:sz w:val="22"/>
          <w:szCs w:val="22"/>
        </w:rPr>
        <w:t>53.1288(a)(2) related to modifications to the design of a manufactured reactor imposed by the Commission under 10 CFR 53.1288(a)(1)</w:t>
      </w:r>
      <w:r w:rsidRPr="00772269" w:rsidR="00D25C4F">
        <w:rPr>
          <w:rFonts w:ascii="Arial" w:hAnsi="Arial" w:cs="Arial"/>
          <w:sz w:val="22"/>
          <w:szCs w:val="22"/>
        </w:rPr>
        <w:t>.</w:t>
      </w:r>
      <w:r w:rsidRPr="00772269">
        <w:rPr>
          <w:rFonts w:ascii="Arial" w:hAnsi="Arial" w:cs="Arial"/>
          <w:sz w:val="22"/>
          <w:szCs w:val="22"/>
        </w:rPr>
        <w:t xml:space="preserve"> </w:t>
      </w:r>
      <w:r w:rsidRPr="00772269" w:rsidR="00C12323">
        <w:rPr>
          <w:rFonts w:ascii="Arial" w:hAnsi="Arial" w:cs="Arial"/>
          <w:sz w:val="22"/>
          <w:szCs w:val="22"/>
        </w:rPr>
        <w:t>T</w:t>
      </w:r>
      <w:r w:rsidRPr="00772269" w:rsidR="00655D16">
        <w:rPr>
          <w:rFonts w:ascii="Arial" w:hAnsi="Arial" w:cs="Arial"/>
          <w:sz w:val="22"/>
          <w:szCs w:val="22"/>
        </w:rPr>
        <w:t xml:space="preserve">he Commission would only impose such modifications </w:t>
      </w:r>
      <w:r w:rsidRPr="00772269" w:rsidR="00C12323">
        <w:rPr>
          <w:rFonts w:ascii="Arial" w:hAnsi="Arial" w:cs="Arial"/>
          <w:sz w:val="22"/>
          <w:szCs w:val="22"/>
        </w:rPr>
        <w:t>for one of two reasons.</w:t>
      </w:r>
      <w:r w:rsidRPr="00772269" w:rsidR="003564B5">
        <w:rPr>
          <w:rFonts w:ascii="Arial" w:hAnsi="Arial" w:cs="Arial"/>
          <w:sz w:val="22"/>
          <w:szCs w:val="22"/>
        </w:rPr>
        <w:t xml:space="preserve"> The first reason would be </w:t>
      </w:r>
      <w:r w:rsidRPr="00772269" w:rsidR="00655D16">
        <w:rPr>
          <w:rFonts w:ascii="Arial" w:hAnsi="Arial" w:cs="Arial"/>
          <w:sz w:val="22"/>
          <w:szCs w:val="22"/>
        </w:rPr>
        <w:t>if the Commission determine</w:t>
      </w:r>
      <w:r w:rsidRPr="00772269" w:rsidR="005B3756">
        <w:rPr>
          <w:rFonts w:ascii="Arial" w:hAnsi="Arial" w:cs="Arial"/>
          <w:sz w:val="22"/>
          <w:szCs w:val="22"/>
        </w:rPr>
        <w:t>d</w:t>
      </w:r>
      <w:r w:rsidRPr="00772269" w:rsidR="00655D16">
        <w:rPr>
          <w:rFonts w:ascii="Arial" w:hAnsi="Arial" w:cs="Arial"/>
          <w:sz w:val="22"/>
          <w:szCs w:val="22"/>
        </w:rPr>
        <w:t xml:space="preserve"> that </w:t>
      </w:r>
      <w:r w:rsidRPr="00772269" w:rsidR="005B3756">
        <w:rPr>
          <w:rFonts w:ascii="Arial" w:hAnsi="Arial" w:cs="Arial"/>
          <w:sz w:val="22"/>
          <w:szCs w:val="22"/>
        </w:rPr>
        <w:t>the</w:t>
      </w:r>
      <w:r w:rsidRPr="00772269" w:rsidR="00655D16">
        <w:rPr>
          <w:rFonts w:ascii="Arial" w:hAnsi="Arial" w:cs="Arial"/>
          <w:sz w:val="22"/>
          <w:szCs w:val="22"/>
        </w:rPr>
        <w:t xml:space="preserve"> modification </w:t>
      </w:r>
      <w:r w:rsidRPr="00772269" w:rsidR="005B3756">
        <w:rPr>
          <w:rFonts w:ascii="Arial" w:hAnsi="Arial" w:cs="Arial"/>
          <w:sz w:val="22"/>
          <w:szCs w:val="22"/>
        </w:rPr>
        <w:t>wa</w:t>
      </w:r>
      <w:r w:rsidRPr="00772269" w:rsidR="00655D16">
        <w:rPr>
          <w:rFonts w:ascii="Arial" w:hAnsi="Arial" w:cs="Arial"/>
          <w:sz w:val="22"/>
          <w:szCs w:val="22"/>
        </w:rPr>
        <w:t xml:space="preserve">s necessary to bring the design </w:t>
      </w:r>
      <w:r w:rsidRPr="00772269" w:rsidR="00B65E04">
        <w:rPr>
          <w:rFonts w:ascii="Arial" w:hAnsi="Arial" w:cs="Arial"/>
          <w:sz w:val="22"/>
          <w:szCs w:val="22"/>
        </w:rPr>
        <w:t xml:space="preserve">or manufacture </w:t>
      </w:r>
      <w:r w:rsidRPr="00772269" w:rsidR="00655D16">
        <w:rPr>
          <w:rFonts w:ascii="Arial" w:hAnsi="Arial" w:cs="Arial"/>
          <w:sz w:val="22"/>
          <w:szCs w:val="22"/>
        </w:rPr>
        <w:t xml:space="preserve">of the reactor into compliance with </w:t>
      </w:r>
      <w:r w:rsidRPr="00772269" w:rsidR="00B65E04">
        <w:rPr>
          <w:rFonts w:ascii="Arial" w:hAnsi="Arial" w:cs="Arial"/>
          <w:sz w:val="22"/>
          <w:szCs w:val="22"/>
        </w:rPr>
        <w:t>NRC</w:t>
      </w:r>
      <w:r w:rsidRPr="00772269" w:rsidR="00655D16">
        <w:rPr>
          <w:rFonts w:ascii="Arial" w:hAnsi="Arial" w:cs="Arial"/>
          <w:sz w:val="22"/>
          <w:szCs w:val="22"/>
        </w:rPr>
        <w:t xml:space="preserve"> requirements </w:t>
      </w:r>
      <w:r w:rsidRPr="00772269" w:rsidR="00B65E04">
        <w:rPr>
          <w:rFonts w:ascii="Arial" w:hAnsi="Arial" w:cs="Arial"/>
          <w:sz w:val="22"/>
          <w:szCs w:val="22"/>
        </w:rPr>
        <w:t>that were</w:t>
      </w:r>
      <w:r w:rsidRPr="00772269" w:rsidR="00655D16">
        <w:rPr>
          <w:rFonts w:ascii="Arial" w:hAnsi="Arial" w:cs="Arial"/>
          <w:sz w:val="22"/>
          <w:szCs w:val="22"/>
        </w:rPr>
        <w:t xml:space="preserve"> in effect at the time the ML was issued</w:t>
      </w:r>
      <w:r w:rsidRPr="00772269" w:rsidR="003564B5">
        <w:rPr>
          <w:rFonts w:ascii="Arial" w:hAnsi="Arial" w:cs="Arial"/>
          <w:sz w:val="22"/>
          <w:szCs w:val="22"/>
        </w:rPr>
        <w:t>.</w:t>
      </w:r>
      <w:r w:rsidRPr="00772269" w:rsidR="00655D16">
        <w:rPr>
          <w:rFonts w:ascii="Arial" w:hAnsi="Arial" w:cs="Arial"/>
          <w:sz w:val="22"/>
          <w:szCs w:val="22"/>
        </w:rPr>
        <w:t xml:space="preserve"> </w:t>
      </w:r>
      <w:r w:rsidRPr="00772269" w:rsidR="003564B5">
        <w:rPr>
          <w:rFonts w:ascii="Arial" w:hAnsi="Arial" w:cs="Arial"/>
          <w:sz w:val="22"/>
          <w:szCs w:val="22"/>
        </w:rPr>
        <w:t>The second reason would be</w:t>
      </w:r>
      <w:r w:rsidRPr="00772269" w:rsidR="00655D16">
        <w:rPr>
          <w:rFonts w:ascii="Arial" w:hAnsi="Arial" w:cs="Arial"/>
          <w:sz w:val="22"/>
          <w:szCs w:val="22"/>
        </w:rPr>
        <w:t xml:space="preserve"> to provide reasonable assurance of adequate protection to public health and safety or common defense and security</w:t>
      </w:r>
      <w:r w:rsidRPr="00772269" w:rsidR="002A3EE8">
        <w:rPr>
          <w:rFonts w:ascii="Arial" w:hAnsi="Arial" w:cs="Arial"/>
          <w:sz w:val="22"/>
          <w:szCs w:val="22"/>
        </w:rPr>
        <w:t>. Therefore,</w:t>
      </w:r>
      <w:r w:rsidRPr="00772269">
        <w:rPr>
          <w:rFonts w:ascii="Arial" w:hAnsi="Arial" w:cs="Arial"/>
          <w:sz w:val="22"/>
          <w:szCs w:val="22"/>
        </w:rPr>
        <w:t xml:space="preserve"> it </w:t>
      </w:r>
      <w:r w:rsidRPr="00772269" w:rsidR="00CB0C8A">
        <w:rPr>
          <w:rFonts w:ascii="Arial" w:hAnsi="Arial" w:cs="Arial"/>
          <w:sz w:val="22"/>
          <w:szCs w:val="22"/>
        </w:rPr>
        <w:t>would be</w:t>
      </w:r>
      <w:r w:rsidRPr="00772269">
        <w:rPr>
          <w:rFonts w:ascii="Arial" w:hAnsi="Arial" w:cs="Arial"/>
          <w:sz w:val="22"/>
          <w:szCs w:val="22"/>
        </w:rPr>
        <w:t xml:space="preserve"> necessary to apply such modifications</w:t>
      </w:r>
      <w:r w:rsidRPr="00772269" w:rsidR="00234D8C">
        <w:rPr>
          <w:rFonts w:ascii="Arial" w:hAnsi="Arial" w:cs="Arial"/>
          <w:sz w:val="22"/>
          <w:szCs w:val="22"/>
        </w:rPr>
        <w:t>,</w:t>
      </w:r>
      <w:r w:rsidRPr="00772269" w:rsidR="00A41FED">
        <w:rPr>
          <w:rFonts w:ascii="Arial" w:hAnsi="Arial" w:cs="Arial"/>
          <w:sz w:val="22"/>
          <w:szCs w:val="22"/>
        </w:rPr>
        <w:t xml:space="preserve"> as described in 10 CFR 53.1288(a)(2)</w:t>
      </w:r>
      <w:r w:rsidRPr="00772269" w:rsidR="00234D8C">
        <w:rPr>
          <w:rFonts w:ascii="Arial" w:hAnsi="Arial" w:cs="Arial"/>
          <w:sz w:val="22"/>
          <w:szCs w:val="22"/>
        </w:rPr>
        <w:t>,</w:t>
      </w:r>
      <w:r w:rsidRPr="00772269">
        <w:rPr>
          <w:rFonts w:ascii="Arial" w:hAnsi="Arial" w:cs="Arial"/>
          <w:sz w:val="22"/>
          <w:szCs w:val="22"/>
        </w:rPr>
        <w:t xml:space="preserve"> to all the subject manufacture</w:t>
      </w:r>
      <w:r w:rsidRPr="00772269" w:rsidR="00741651">
        <w:rPr>
          <w:rFonts w:ascii="Arial" w:hAnsi="Arial" w:cs="Arial"/>
          <w:sz w:val="22"/>
          <w:szCs w:val="22"/>
        </w:rPr>
        <w:t>d</w:t>
      </w:r>
      <w:r w:rsidRPr="00772269">
        <w:rPr>
          <w:rFonts w:ascii="Arial" w:hAnsi="Arial" w:cs="Arial"/>
          <w:sz w:val="22"/>
          <w:szCs w:val="22"/>
        </w:rPr>
        <w:t xml:space="preserve"> reactors, including those that have already been transported</w:t>
      </w:r>
      <w:r w:rsidRPr="00772269" w:rsidR="00477346">
        <w:rPr>
          <w:rFonts w:ascii="Arial" w:hAnsi="Arial" w:cs="Arial"/>
          <w:sz w:val="22"/>
          <w:szCs w:val="22"/>
        </w:rPr>
        <w:t xml:space="preserve"> to the site where the</w:t>
      </w:r>
      <w:r w:rsidRPr="00772269" w:rsidR="00954BA3">
        <w:rPr>
          <w:rFonts w:ascii="Arial" w:hAnsi="Arial" w:cs="Arial"/>
          <w:sz w:val="22"/>
          <w:szCs w:val="22"/>
        </w:rPr>
        <w:t xml:space="preserve"> reactor was to be operated.</w:t>
      </w:r>
    </w:p>
    <w:p w:rsidR="007F112A" w:rsidRPr="00772269" w:rsidP="00772269" w14:paraId="42F84724"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49CE1947" w14:textId="77777777">
      <w:pPr>
        <w:spacing w:after="220"/>
        <w:rPr>
          <w:rFonts w:ascii="Arial" w:hAnsi="Arial" w:cs="Arial"/>
          <w:sz w:val="22"/>
          <w:szCs w:val="22"/>
        </w:rPr>
      </w:pPr>
      <w:r>
        <w:rPr>
          <w:rFonts w:ascii="Arial" w:hAnsi="Arial" w:cs="Arial"/>
          <w:sz w:val="22"/>
          <w:szCs w:val="22"/>
        </w:rPr>
        <w:pict>
          <v:rect id="_x0000_i1248" style="width:0;height:1.5pt" o:hralign="center" o:hrstd="t" o:hrnoshade="t" o:hr="t" fillcolor="black" stroked="f"/>
        </w:pict>
      </w:r>
    </w:p>
    <w:p w:rsidR="007F112A" w:rsidRPr="00772269" w:rsidP="00772269" w14:paraId="02AC9389" w14:textId="77777777">
      <w:pPr>
        <w:spacing w:after="220"/>
        <w:rPr>
          <w:rFonts w:ascii="Arial" w:hAnsi="Arial" w:cs="Arial"/>
          <w:sz w:val="22"/>
          <w:szCs w:val="22"/>
        </w:rPr>
      </w:pPr>
      <w:r w:rsidRPr="00772269">
        <w:rPr>
          <w:rFonts w:ascii="Arial" w:hAnsi="Arial" w:cs="Arial"/>
          <w:b/>
          <w:sz w:val="22"/>
          <w:szCs w:val="22"/>
        </w:rPr>
        <w:t>Comment Bin 3.8.1.O:</w:t>
      </w:r>
      <w:r w:rsidRPr="00772269">
        <w:rPr>
          <w:rFonts w:ascii="Arial" w:hAnsi="Arial" w:cs="Arial"/>
          <w:sz w:val="22"/>
          <w:szCs w:val="22"/>
        </w:rPr>
        <w:t xml:space="preserve"> Referencing 10 CFR 53.1372(b) and 10 CFR 53.1419(a)(2), a commenter asked what are “availability controls”</w:t>
      </w:r>
      <w:r w:rsidRPr="00563CF0">
        <w:rPr>
          <w:rFonts w:ascii="Arial" w:hAnsi="Arial" w:cs="Arial"/>
          <w:sz w:val="22"/>
          <w:szCs w:val="22"/>
        </w:rPr>
        <w:t xml:space="preserve"> (</w:t>
      </w:r>
      <w:r w:rsidRPr="00563CF0" w:rsidR="00563CF0">
        <w:rPr>
          <w:rFonts w:ascii="Arial" w:eastAsia="Times New Roman" w:hAnsi="Arial" w:cs="Arial"/>
          <w:color w:val="000000"/>
          <w:sz w:val="22"/>
          <w:szCs w:val="22"/>
        </w:rPr>
        <w:t>TG14</w:t>
      </w:r>
      <w:r w:rsidRPr="00563CF0">
        <w:rPr>
          <w:rFonts w:ascii="Arial" w:hAnsi="Arial" w:cs="Arial"/>
          <w:sz w:val="22"/>
          <w:szCs w:val="22"/>
        </w:rPr>
        <w:t>-00</w:t>
      </w:r>
      <w:r w:rsidRPr="00772269">
        <w:rPr>
          <w:rFonts w:ascii="Arial" w:hAnsi="Arial" w:cs="Arial"/>
          <w:sz w:val="22"/>
          <w:szCs w:val="22"/>
        </w:rPr>
        <w:t>01).</w:t>
      </w:r>
    </w:p>
    <w:p w:rsidR="009048D8" w:rsidP="00772269" w14:paraId="31A4A0F9"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w:t>
      </w:r>
      <w:r>
        <w:rPr>
          <w:rFonts w:ascii="Arial" w:hAnsi="Arial" w:cs="Arial"/>
          <w:sz w:val="22"/>
          <w:szCs w:val="22"/>
        </w:rPr>
        <w:t>The NRC acknowledges this comment.</w:t>
      </w:r>
    </w:p>
    <w:p w:rsidR="00F25AE9" w:rsidRPr="00772269" w:rsidP="00772269" w14:paraId="13C03EC3" w14:textId="77777777">
      <w:pPr>
        <w:spacing w:after="220"/>
        <w:rPr>
          <w:rFonts w:ascii="Arial" w:hAnsi="Arial" w:cs="Arial"/>
          <w:sz w:val="22"/>
          <w:szCs w:val="22"/>
        </w:rPr>
      </w:pPr>
      <w:r w:rsidRPr="00772269">
        <w:rPr>
          <w:rFonts w:ascii="Arial" w:hAnsi="Arial" w:cs="Arial"/>
          <w:sz w:val="22"/>
          <w:szCs w:val="22"/>
        </w:rPr>
        <w:t>Availability controls are controls on plant operations to ensure that the configurations and special treatments for SR SSCs and NSRSS SSCs provide the capabilities, availability, and reliability consistent with meeting the safety criteria under 10 CFR 53.220 and the analyses of LBEs other than DBAs under 10 CFR 53.450(e). The comment did not suggest any changes to the rule language.</w:t>
      </w:r>
    </w:p>
    <w:p w:rsidR="007F112A" w:rsidRPr="00772269" w:rsidP="00772269" w14:paraId="51348233"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6673C3AE" w14:textId="77777777">
      <w:pPr>
        <w:spacing w:after="220"/>
        <w:rPr>
          <w:rFonts w:ascii="Arial" w:hAnsi="Arial" w:cs="Arial"/>
          <w:sz w:val="22"/>
          <w:szCs w:val="22"/>
        </w:rPr>
      </w:pPr>
      <w:r>
        <w:rPr>
          <w:rFonts w:ascii="Arial" w:hAnsi="Arial" w:cs="Arial"/>
          <w:sz w:val="22"/>
          <w:szCs w:val="22"/>
        </w:rPr>
        <w:pict>
          <v:rect id="_x0000_i1249" style="width:0;height:1.5pt" o:hralign="center" o:hrstd="t" o:hrnoshade="t" o:hr="t" fillcolor="black" stroked="f"/>
        </w:pict>
      </w:r>
    </w:p>
    <w:p w:rsidR="007F112A" w:rsidRPr="00772269" w:rsidP="00772269" w14:paraId="0226CC4C" w14:textId="77777777">
      <w:pPr>
        <w:spacing w:after="220"/>
        <w:rPr>
          <w:rFonts w:ascii="Arial" w:hAnsi="Arial" w:cs="Arial"/>
          <w:sz w:val="22"/>
          <w:szCs w:val="22"/>
        </w:rPr>
      </w:pPr>
      <w:r w:rsidRPr="00772269">
        <w:rPr>
          <w:rFonts w:ascii="Arial" w:hAnsi="Arial" w:cs="Arial"/>
          <w:b/>
          <w:sz w:val="22"/>
          <w:szCs w:val="22"/>
        </w:rPr>
        <w:t xml:space="preserve">Comment Bin 3.8.1.P: </w:t>
      </w:r>
      <w:r w:rsidRPr="00772269">
        <w:rPr>
          <w:rFonts w:ascii="Arial" w:hAnsi="Arial" w:cs="Arial"/>
          <w:sz w:val="22"/>
          <w:szCs w:val="22"/>
        </w:rPr>
        <w:t>Referencing 10 CFR 53.1470, a commenter asked what the criteria is for determining “sufficiently detailed and complete” in order to qualify for “without reopening or repeating the review” given no design will ever be completely “identical”</w:t>
      </w:r>
      <w:r w:rsidR="003E631A">
        <w:rPr>
          <w:rFonts w:ascii="Arial" w:hAnsi="Arial" w:cs="Arial"/>
          <w:sz w:val="22"/>
          <w:szCs w:val="22"/>
        </w:rPr>
        <w:t xml:space="preserve"> </w:t>
      </w:r>
      <w:r w:rsidRPr="00772269">
        <w:rPr>
          <w:rFonts w:ascii="Arial" w:hAnsi="Arial" w:cs="Arial"/>
          <w:sz w:val="22"/>
          <w:szCs w:val="22"/>
        </w:rPr>
        <w:t>(</w:t>
      </w:r>
      <w:r w:rsidR="00A02F0C">
        <w:rPr>
          <w:rFonts w:ascii="Arial" w:hAnsi="Arial" w:cs="Arial"/>
          <w:sz w:val="22"/>
          <w:szCs w:val="22"/>
        </w:rPr>
        <w:t>RD</w:t>
      </w:r>
      <w:r w:rsidRPr="00772269">
        <w:rPr>
          <w:rFonts w:ascii="Arial" w:hAnsi="Arial" w:cs="Arial"/>
          <w:sz w:val="22"/>
          <w:szCs w:val="22"/>
        </w:rPr>
        <w:t>-0028).</w:t>
      </w:r>
    </w:p>
    <w:p w:rsidR="00833458" w:rsidRPr="00511A07" w:rsidP="00772269" w14:paraId="25782A2C" w14:textId="77777777">
      <w:pPr>
        <w:spacing w:after="220"/>
        <w:rPr>
          <w:rFonts w:ascii="Arial" w:hAnsi="Arial" w:cs="Arial"/>
          <w:bCs/>
          <w:sz w:val="22"/>
          <w:szCs w:val="22"/>
        </w:rPr>
      </w:pPr>
      <w:r w:rsidRPr="00772269">
        <w:rPr>
          <w:rFonts w:ascii="Arial" w:hAnsi="Arial" w:cs="Arial"/>
          <w:b/>
          <w:sz w:val="22"/>
          <w:szCs w:val="22"/>
        </w:rPr>
        <w:t>NRC Response: </w:t>
      </w:r>
      <w:r w:rsidR="00511A07">
        <w:rPr>
          <w:rFonts w:ascii="Arial" w:hAnsi="Arial" w:cs="Arial"/>
          <w:bCs/>
          <w:sz w:val="22"/>
          <w:szCs w:val="22"/>
        </w:rPr>
        <w:t>The NRC acknowledges this comment.</w:t>
      </w:r>
    </w:p>
    <w:p w:rsidR="007F112A" w:rsidRPr="00772269" w:rsidP="00772269" w14:paraId="0DF6940F" w14:textId="77777777">
      <w:pPr>
        <w:spacing w:after="220"/>
        <w:rPr>
          <w:rFonts w:ascii="Arial" w:hAnsi="Arial" w:cs="Arial"/>
          <w:sz w:val="22"/>
          <w:szCs w:val="22"/>
        </w:rPr>
      </w:pPr>
      <w:r w:rsidRPr="00772269">
        <w:rPr>
          <w:rFonts w:ascii="Arial" w:hAnsi="Arial" w:cs="Arial"/>
          <w:sz w:val="22"/>
          <w:szCs w:val="22"/>
        </w:rPr>
        <w:t>The NRC understands the commenter to be asking about phrases that come from the definition of standard design in 10 CFR 53.020, such as “sufficiently detailed and compete” and “without reopening or repeating the review,” in the context of 10 CFR 53.1470. However, in 10</w:t>
      </w:r>
      <w:r w:rsidR="00993F9A">
        <w:rPr>
          <w:rFonts w:ascii="Arial" w:hAnsi="Arial" w:cs="Arial"/>
          <w:sz w:val="22"/>
          <w:szCs w:val="22"/>
        </w:rPr>
        <w:t> </w:t>
      </w:r>
      <w:r w:rsidRPr="00772269">
        <w:rPr>
          <w:rFonts w:ascii="Arial" w:hAnsi="Arial" w:cs="Arial"/>
          <w:sz w:val="22"/>
          <w:szCs w:val="22"/>
        </w:rPr>
        <w:t>CFR</w:t>
      </w:r>
      <w:r w:rsidR="00993F9A">
        <w:rPr>
          <w:rFonts w:ascii="Arial" w:hAnsi="Arial" w:cs="Arial"/>
          <w:sz w:val="22"/>
          <w:szCs w:val="22"/>
        </w:rPr>
        <w:t> </w:t>
      </w:r>
      <w:r w:rsidRPr="00772269">
        <w:rPr>
          <w:rFonts w:ascii="Arial" w:hAnsi="Arial" w:cs="Arial"/>
          <w:sz w:val="22"/>
          <w:szCs w:val="22"/>
        </w:rPr>
        <w:t>Part</w:t>
      </w:r>
      <w:r w:rsidR="00993F9A">
        <w:rPr>
          <w:rFonts w:ascii="Arial" w:hAnsi="Arial" w:cs="Arial"/>
          <w:sz w:val="22"/>
          <w:szCs w:val="22"/>
        </w:rPr>
        <w:t> </w:t>
      </w:r>
      <w:r w:rsidRPr="00772269">
        <w:rPr>
          <w:rFonts w:ascii="Arial" w:hAnsi="Arial" w:cs="Arial"/>
          <w:sz w:val="22"/>
          <w:szCs w:val="22"/>
        </w:rPr>
        <w:t xml:space="preserve">53, the definition of </w:t>
      </w:r>
      <w:r w:rsidR="005B7D71">
        <w:rPr>
          <w:rFonts w:ascii="Arial" w:hAnsi="Arial" w:cs="Arial"/>
          <w:sz w:val="22"/>
          <w:szCs w:val="22"/>
        </w:rPr>
        <w:t>“</w:t>
      </w:r>
      <w:r w:rsidRPr="00772269">
        <w:rPr>
          <w:rFonts w:ascii="Arial" w:hAnsi="Arial" w:cs="Arial"/>
          <w:sz w:val="22"/>
          <w:szCs w:val="22"/>
        </w:rPr>
        <w:t>standard design</w:t>
      </w:r>
      <w:r w:rsidR="005B7D71">
        <w:rPr>
          <w:rFonts w:ascii="Arial" w:hAnsi="Arial" w:cs="Arial"/>
          <w:sz w:val="22"/>
          <w:szCs w:val="22"/>
        </w:rPr>
        <w:t>”</w:t>
      </w:r>
      <w:r w:rsidRPr="00772269">
        <w:rPr>
          <w:rFonts w:ascii="Arial" w:hAnsi="Arial" w:cs="Arial"/>
          <w:sz w:val="22"/>
          <w:szCs w:val="22"/>
        </w:rPr>
        <w:t xml:space="preserve"> supports the use of the term in provisions related to standard design approvals and standard design certifications. Whereas, in 10</w:t>
      </w:r>
      <w:r w:rsidR="00993F9A">
        <w:rPr>
          <w:rFonts w:ascii="Arial" w:hAnsi="Arial" w:cs="Arial"/>
          <w:sz w:val="22"/>
          <w:szCs w:val="22"/>
        </w:rPr>
        <w:t> </w:t>
      </w:r>
      <w:r w:rsidRPr="00772269">
        <w:rPr>
          <w:rFonts w:ascii="Arial" w:hAnsi="Arial" w:cs="Arial"/>
          <w:sz w:val="22"/>
          <w:szCs w:val="22"/>
        </w:rPr>
        <w:t>CFR</w:t>
      </w:r>
      <w:r w:rsidR="00993F9A">
        <w:rPr>
          <w:rFonts w:ascii="Arial" w:hAnsi="Arial" w:cs="Arial"/>
          <w:sz w:val="22"/>
          <w:szCs w:val="22"/>
        </w:rPr>
        <w:t> </w:t>
      </w:r>
      <w:r w:rsidRPr="00772269">
        <w:rPr>
          <w:rFonts w:ascii="Arial" w:hAnsi="Arial" w:cs="Arial"/>
          <w:sz w:val="22"/>
          <w:szCs w:val="22"/>
        </w:rPr>
        <w:t>53.1470, the NRC provides optional requirements related to the submittal and NRC review of CP, OL, and COL applications to construct and operate commercial nuclear plants of identical design at multiple sites, similar to requirements found in Appendix N in both 10 CFR Parts 50 and 52.</w:t>
      </w:r>
    </w:p>
    <w:p w:rsidR="007F112A" w:rsidRPr="00772269" w:rsidP="00772269" w14:paraId="479AC529" w14:textId="77777777">
      <w:pPr>
        <w:spacing w:after="220"/>
        <w:rPr>
          <w:rFonts w:ascii="Arial" w:hAnsi="Arial" w:cs="Arial"/>
          <w:sz w:val="22"/>
          <w:szCs w:val="22"/>
        </w:rPr>
      </w:pPr>
      <w:r w:rsidRPr="00772269">
        <w:rPr>
          <w:rFonts w:ascii="Arial" w:hAnsi="Arial" w:cs="Arial"/>
          <w:sz w:val="22"/>
          <w:szCs w:val="22"/>
        </w:rPr>
        <w:t xml:space="preserve">In 10 CFR 53.1470, the term </w:t>
      </w:r>
      <w:r w:rsidR="00EB562C">
        <w:rPr>
          <w:rFonts w:ascii="Arial" w:hAnsi="Arial" w:cs="Arial"/>
          <w:sz w:val="22"/>
          <w:szCs w:val="22"/>
        </w:rPr>
        <w:t>“</w:t>
      </w:r>
      <w:r w:rsidRPr="00772269">
        <w:rPr>
          <w:rFonts w:ascii="Arial" w:hAnsi="Arial" w:cs="Arial"/>
          <w:sz w:val="22"/>
          <w:szCs w:val="22"/>
        </w:rPr>
        <w:t>common design</w:t>
      </w:r>
      <w:r w:rsidR="00EB562C">
        <w:rPr>
          <w:rFonts w:ascii="Arial" w:hAnsi="Arial" w:cs="Arial"/>
          <w:sz w:val="22"/>
          <w:szCs w:val="22"/>
        </w:rPr>
        <w:t>”</w:t>
      </w:r>
      <w:r w:rsidRPr="00772269">
        <w:rPr>
          <w:rFonts w:ascii="Arial" w:hAnsi="Arial" w:cs="Arial"/>
          <w:sz w:val="22"/>
          <w:szCs w:val="22"/>
        </w:rPr>
        <w:t xml:space="preserve"> is used to describe that portion of the facility design that is common to all applications being submitted together under this provision. In Section VI, “Specific Requests for Comment,” of the 10 CFR Part 53 proposed rule, the NRC asked for comments on whether there are opportunities to allow added flexibility for applicants under the provisions in 10 CFR 53.1470, including consideration of whether applications for which the “common design” is not completely identical could be evaluated under this provision and, if so, what the process would be for determining the appropriateness of a common review. See Section 3.8.4 of this document for comments pertaining to this request and the NRC response to those comments.</w:t>
      </w:r>
    </w:p>
    <w:p w:rsidR="007F112A" w:rsidRPr="00772269" w:rsidP="00772269" w14:paraId="178A9B33"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question.</w:t>
      </w:r>
    </w:p>
    <w:p w:rsidR="007F112A" w:rsidRPr="00772269" w:rsidP="00772269" w14:paraId="3B70BD2F" w14:textId="77777777">
      <w:pPr>
        <w:spacing w:after="220"/>
        <w:rPr>
          <w:rFonts w:ascii="Arial" w:hAnsi="Arial" w:cs="Arial"/>
          <w:sz w:val="22"/>
          <w:szCs w:val="22"/>
        </w:rPr>
      </w:pPr>
      <w:r>
        <w:rPr>
          <w:rFonts w:ascii="Arial" w:hAnsi="Arial" w:cs="Arial"/>
          <w:sz w:val="22"/>
          <w:szCs w:val="22"/>
        </w:rPr>
        <w:pict>
          <v:rect id="_x0000_i1250" style="width:0;height:1.5pt" o:hralign="center" o:hrstd="t" o:hrnoshade="t" o:hr="t" fillcolor="black" stroked="f"/>
        </w:pict>
      </w:r>
    </w:p>
    <w:p w:rsidR="007F112A" w:rsidRPr="00772269" w:rsidP="00772269" w14:paraId="6F167CC1" w14:textId="77777777">
      <w:pPr>
        <w:spacing w:after="220"/>
        <w:rPr>
          <w:rFonts w:ascii="Arial" w:hAnsi="Arial" w:cs="Arial"/>
          <w:sz w:val="22"/>
          <w:szCs w:val="22"/>
        </w:rPr>
      </w:pPr>
      <w:r w:rsidRPr="00772269">
        <w:rPr>
          <w:rFonts w:ascii="Arial" w:hAnsi="Arial" w:cs="Arial"/>
          <w:b/>
          <w:sz w:val="22"/>
          <w:szCs w:val="22"/>
        </w:rPr>
        <w:t xml:space="preserve">Comment Bin 3.8.1.Q: </w:t>
      </w:r>
      <w:r w:rsidRPr="00772269">
        <w:rPr>
          <w:rFonts w:ascii="Arial" w:hAnsi="Arial" w:cs="Arial"/>
          <w:sz w:val="22"/>
          <w:szCs w:val="22"/>
        </w:rPr>
        <w:t>In 10 CFR 53.1416, a commenter asked what constitutes “identical” and how it is determined, and if there is any degree of variation possible (</w:t>
      </w:r>
      <w:r w:rsidR="00A02F0C">
        <w:rPr>
          <w:rFonts w:ascii="Arial" w:hAnsi="Arial" w:cs="Arial"/>
          <w:sz w:val="22"/>
          <w:szCs w:val="22"/>
        </w:rPr>
        <w:t>RD</w:t>
      </w:r>
      <w:r w:rsidRPr="00772269">
        <w:rPr>
          <w:rFonts w:ascii="Arial" w:hAnsi="Arial" w:cs="Arial"/>
          <w:sz w:val="22"/>
          <w:szCs w:val="22"/>
        </w:rPr>
        <w:t>-0029).</w:t>
      </w:r>
    </w:p>
    <w:p w:rsidR="00C2026C" w:rsidP="00772269" w14:paraId="4CBCD94B"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acknowledges th</w:t>
      </w:r>
      <w:r>
        <w:rPr>
          <w:rFonts w:ascii="Arial" w:hAnsi="Arial" w:cs="Arial"/>
          <w:sz w:val="22"/>
          <w:szCs w:val="22"/>
        </w:rPr>
        <w:t xml:space="preserve">is comment. </w:t>
      </w:r>
    </w:p>
    <w:p w:rsidR="009D3A00" w:rsidRPr="00772269" w:rsidP="00772269" w14:paraId="03E902B8" w14:textId="77777777">
      <w:pPr>
        <w:spacing w:after="220"/>
        <w:rPr>
          <w:rFonts w:ascii="Arial" w:hAnsi="Arial" w:cs="Arial"/>
          <w:sz w:val="22"/>
          <w:szCs w:val="22"/>
        </w:rPr>
      </w:pPr>
      <w:r w:rsidRPr="00772269">
        <w:rPr>
          <w:rFonts w:ascii="Arial" w:hAnsi="Arial" w:cs="Arial"/>
          <w:sz w:val="22"/>
          <w:szCs w:val="22"/>
        </w:rPr>
        <w:t xml:space="preserve">In 10 CFR 53.1470, the NRC provides optional requirements related to the submittal and NRC review of CP, OL, and COL applications to construct and operate commercial nuclear plants of identical design (the “common design”) at multiple sites, similar to requirements found in appendix N in both 10 CFR Parts 50 and 52. Paragraph (c) of 10 CFR 53.1470 requires that each application identify the common design, and that the FSAR either incorporate by reference or include the common design. This requirement ensures that there will be a single physical FSAR document that may be utilized by the NRC and viewed by members of the public. For this reason, whatever portions of the facility constitute the “common design” must be identical. </w:t>
      </w:r>
      <w:r w:rsidRPr="00772269" w:rsidR="00F631C2">
        <w:rPr>
          <w:rFonts w:ascii="Arial" w:hAnsi="Arial" w:cs="Arial"/>
          <w:sz w:val="22"/>
          <w:szCs w:val="22"/>
        </w:rPr>
        <w:t>The meaning of “identical” in this context is the plain language meaning of the term</w:t>
      </w:r>
      <w:r w:rsidRPr="00772269" w:rsidR="000C7CD8">
        <w:rPr>
          <w:rFonts w:ascii="Arial" w:hAnsi="Arial" w:cs="Arial"/>
          <w:sz w:val="22"/>
          <w:szCs w:val="22"/>
        </w:rPr>
        <w:t xml:space="preserve"> </w:t>
      </w:r>
      <w:r w:rsidRPr="00772269" w:rsidR="00E070CA">
        <w:rPr>
          <w:rFonts w:ascii="Arial" w:hAnsi="Arial" w:cs="Arial"/>
          <w:sz w:val="22"/>
          <w:szCs w:val="22"/>
        </w:rPr>
        <w:t>(</w:t>
      </w:r>
      <w:r w:rsidRPr="00772269" w:rsidR="000C7CD8">
        <w:rPr>
          <w:rFonts w:ascii="Arial" w:hAnsi="Arial" w:cs="Arial"/>
          <w:sz w:val="22"/>
          <w:szCs w:val="22"/>
        </w:rPr>
        <w:t>i.e.,</w:t>
      </w:r>
      <w:r w:rsidRPr="00772269" w:rsidR="00E070CA">
        <w:rPr>
          <w:rFonts w:ascii="Arial" w:hAnsi="Arial" w:cs="Arial"/>
          <w:sz w:val="22"/>
          <w:szCs w:val="22"/>
        </w:rPr>
        <w:t> </w:t>
      </w:r>
      <w:r w:rsidRPr="00772269" w:rsidR="00712A27">
        <w:rPr>
          <w:rFonts w:ascii="Arial" w:hAnsi="Arial" w:cs="Arial"/>
          <w:sz w:val="22"/>
          <w:szCs w:val="22"/>
        </w:rPr>
        <w:t xml:space="preserve">“the same” or </w:t>
      </w:r>
      <w:r w:rsidRPr="00772269" w:rsidR="000C7CD8">
        <w:rPr>
          <w:rFonts w:ascii="Arial" w:hAnsi="Arial" w:cs="Arial"/>
          <w:sz w:val="22"/>
          <w:szCs w:val="22"/>
        </w:rPr>
        <w:t>“similar in every detail”</w:t>
      </w:r>
      <w:r w:rsidRPr="00772269" w:rsidR="00E070CA">
        <w:rPr>
          <w:rFonts w:ascii="Arial" w:hAnsi="Arial" w:cs="Arial"/>
          <w:sz w:val="22"/>
          <w:szCs w:val="22"/>
        </w:rPr>
        <w:t>).</w:t>
      </w:r>
    </w:p>
    <w:p w:rsidR="007F112A" w:rsidRPr="00772269" w:rsidP="00772269" w14:paraId="1D19F29C" w14:textId="77777777">
      <w:pPr>
        <w:spacing w:after="220"/>
        <w:rPr>
          <w:rFonts w:ascii="Arial" w:hAnsi="Arial" w:cs="Arial"/>
          <w:sz w:val="22"/>
          <w:szCs w:val="22"/>
        </w:rPr>
      </w:pPr>
      <w:r w:rsidRPr="00772269">
        <w:rPr>
          <w:rFonts w:ascii="Arial" w:hAnsi="Arial" w:cs="Arial"/>
          <w:sz w:val="22"/>
          <w:szCs w:val="22"/>
        </w:rPr>
        <w:t>Relatedly, in Section VI, “Specific Requests for Comment,” of the 10</w:t>
      </w:r>
      <w:r w:rsidRPr="00772269" w:rsidR="009D3A00">
        <w:rPr>
          <w:rFonts w:ascii="Arial" w:hAnsi="Arial" w:cs="Arial"/>
          <w:sz w:val="22"/>
          <w:szCs w:val="22"/>
        </w:rPr>
        <w:t> </w:t>
      </w:r>
      <w:r w:rsidRPr="00772269">
        <w:rPr>
          <w:rFonts w:ascii="Arial" w:hAnsi="Arial" w:cs="Arial"/>
          <w:sz w:val="22"/>
          <w:szCs w:val="22"/>
        </w:rPr>
        <w:t>CFR</w:t>
      </w:r>
      <w:r w:rsidRPr="00772269" w:rsidR="009D3A00">
        <w:rPr>
          <w:rFonts w:ascii="Arial" w:hAnsi="Arial" w:cs="Arial"/>
          <w:sz w:val="22"/>
          <w:szCs w:val="22"/>
        </w:rPr>
        <w:t> </w:t>
      </w:r>
      <w:r w:rsidRPr="00772269">
        <w:rPr>
          <w:rFonts w:ascii="Arial" w:hAnsi="Arial" w:cs="Arial"/>
          <w:sz w:val="22"/>
          <w:szCs w:val="22"/>
        </w:rPr>
        <w:t>Part 53 proposed rule, the NRC asked for comments on whether there are opportunities to allow added flexibility for applicants under the provisions in 10 CFR</w:t>
      </w:r>
      <w:r w:rsidRPr="00772269" w:rsidR="009D3A00">
        <w:rPr>
          <w:rFonts w:ascii="Arial" w:hAnsi="Arial" w:cs="Arial"/>
          <w:sz w:val="22"/>
          <w:szCs w:val="22"/>
        </w:rPr>
        <w:t> </w:t>
      </w:r>
      <w:r w:rsidRPr="00772269">
        <w:rPr>
          <w:rFonts w:ascii="Arial" w:hAnsi="Arial" w:cs="Arial"/>
          <w:sz w:val="22"/>
          <w:szCs w:val="22"/>
        </w:rPr>
        <w:t xml:space="preserve">53.1470, including consideration of whether applications for which the “common design” is not completely identical could be evaluated under this provision and, if so, what the process would be for determining the appropriateness of a common review. See </w:t>
      </w:r>
      <w:r w:rsidRPr="00772269" w:rsidR="001B0B32">
        <w:rPr>
          <w:rFonts w:ascii="Arial" w:hAnsi="Arial" w:cs="Arial"/>
          <w:sz w:val="22"/>
          <w:szCs w:val="22"/>
        </w:rPr>
        <w:t>Comment Bin</w:t>
      </w:r>
      <w:r w:rsidRPr="00772269">
        <w:rPr>
          <w:rFonts w:ascii="Arial" w:hAnsi="Arial" w:cs="Arial"/>
          <w:sz w:val="22"/>
          <w:szCs w:val="22"/>
        </w:rPr>
        <w:t xml:space="preserve"> 3.8.4</w:t>
      </w:r>
      <w:r w:rsidRPr="00772269" w:rsidR="001B0B32">
        <w:rPr>
          <w:rFonts w:ascii="Arial" w:hAnsi="Arial" w:cs="Arial"/>
          <w:sz w:val="22"/>
          <w:szCs w:val="22"/>
        </w:rPr>
        <w:t>.A</w:t>
      </w:r>
      <w:r w:rsidRPr="00772269">
        <w:rPr>
          <w:rFonts w:ascii="Arial" w:hAnsi="Arial" w:cs="Arial"/>
          <w:sz w:val="22"/>
          <w:szCs w:val="22"/>
        </w:rPr>
        <w:t xml:space="preserve"> of this document for comments pertaining to this request and the NRC</w:t>
      </w:r>
      <w:r w:rsidR="00550CC4">
        <w:rPr>
          <w:rFonts w:ascii="Arial" w:hAnsi="Arial" w:cs="Arial"/>
          <w:sz w:val="22"/>
          <w:szCs w:val="22"/>
        </w:rPr>
        <w:t>’s</w:t>
      </w:r>
      <w:r w:rsidRPr="00772269">
        <w:rPr>
          <w:rFonts w:ascii="Arial" w:hAnsi="Arial" w:cs="Arial"/>
          <w:sz w:val="22"/>
          <w:szCs w:val="22"/>
        </w:rPr>
        <w:t xml:space="preserve"> response to those comments. This comment suggests no changes to the proposed rule.</w:t>
      </w:r>
    </w:p>
    <w:p w:rsidR="007F112A" w:rsidRPr="00772269" w:rsidP="00772269" w14:paraId="077D1322"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6453A543" w14:textId="77777777">
      <w:pPr>
        <w:spacing w:after="220"/>
        <w:rPr>
          <w:rFonts w:ascii="Arial" w:hAnsi="Arial" w:cs="Arial"/>
          <w:sz w:val="22"/>
          <w:szCs w:val="22"/>
        </w:rPr>
      </w:pPr>
      <w:r>
        <w:rPr>
          <w:rFonts w:ascii="Arial" w:hAnsi="Arial" w:cs="Arial"/>
          <w:sz w:val="22"/>
          <w:szCs w:val="22"/>
        </w:rPr>
        <w:pict>
          <v:rect id="_x0000_i1251" style="width:0;height:1.5pt" o:hralign="center" o:hrstd="t" o:hrnoshade="t" o:hr="t" fillcolor="black" stroked="f"/>
        </w:pict>
      </w:r>
    </w:p>
    <w:p w:rsidR="007F112A" w:rsidRPr="00772269" w:rsidP="00772269" w14:paraId="77F7F818" w14:textId="77777777">
      <w:pPr>
        <w:spacing w:after="220"/>
        <w:rPr>
          <w:rFonts w:ascii="Arial" w:hAnsi="Arial" w:cs="Arial"/>
          <w:sz w:val="22"/>
          <w:szCs w:val="22"/>
        </w:rPr>
      </w:pPr>
      <w:r w:rsidRPr="00772269">
        <w:rPr>
          <w:rFonts w:ascii="Arial" w:hAnsi="Arial" w:cs="Arial"/>
          <w:b/>
          <w:sz w:val="22"/>
          <w:szCs w:val="22"/>
        </w:rPr>
        <w:t xml:space="preserve">Comment Bin 3.8.1.R: </w:t>
      </w:r>
      <w:r w:rsidRPr="00772269">
        <w:rPr>
          <w:rFonts w:ascii="Arial" w:hAnsi="Arial" w:cs="Arial"/>
          <w:sz w:val="22"/>
          <w:szCs w:val="22"/>
        </w:rPr>
        <w:t>A commenter wrote that 10 CFR 53.1209, 53.1239, 53.1309(a)(2), 53.1369(b), and 53.1416(a)(2) are based on the PRA-based approach addressed in the LMP and do not permit use of other risk</w:t>
      </w:r>
      <w:r w:rsidRPr="00772269">
        <w:rPr>
          <w:rFonts w:ascii="Arial" w:hAnsi="Arial" w:cs="Arial"/>
          <w:sz w:val="22"/>
          <w:szCs w:val="22"/>
        </w:rPr>
        <w:noBreakHyphen/>
        <w:t>informed approaches or more traditional approaches that may be more appropriate for very simple designs (</w:t>
      </w:r>
      <w:r w:rsidR="009D6BB9">
        <w:rPr>
          <w:rFonts w:ascii="Arial" w:hAnsi="Arial" w:cs="Arial"/>
          <w:sz w:val="22"/>
          <w:szCs w:val="22"/>
        </w:rPr>
        <w:t>NEI2</w:t>
      </w:r>
      <w:r w:rsidRPr="00772269">
        <w:rPr>
          <w:rFonts w:ascii="Arial" w:hAnsi="Arial" w:cs="Arial"/>
          <w:sz w:val="22"/>
          <w:szCs w:val="22"/>
        </w:rPr>
        <w:t xml:space="preserve">-0126, </w:t>
      </w:r>
      <w:r w:rsidR="009D6BB9">
        <w:rPr>
          <w:rFonts w:ascii="Arial" w:hAnsi="Arial" w:cs="Arial"/>
          <w:sz w:val="22"/>
          <w:szCs w:val="22"/>
        </w:rPr>
        <w:t>NEI2</w:t>
      </w:r>
      <w:r w:rsidRPr="00772269">
        <w:rPr>
          <w:rFonts w:ascii="Arial" w:hAnsi="Arial" w:cs="Arial"/>
          <w:sz w:val="22"/>
          <w:szCs w:val="22"/>
        </w:rPr>
        <w:t xml:space="preserve">-0133, </w:t>
      </w:r>
      <w:r w:rsidR="009D6BB9">
        <w:rPr>
          <w:rFonts w:ascii="Arial" w:hAnsi="Arial" w:cs="Arial"/>
          <w:sz w:val="22"/>
          <w:szCs w:val="22"/>
        </w:rPr>
        <w:t>NEI2</w:t>
      </w:r>
      <w:r w:rsidRPr="00772269">
        <w:rPr>
          <w:rFonts w:ascii="Arial" w:hAnsi="Arial" w:cs="Arial"/>
          <w:sz w:val="22"/>
          <w:szCs w:val="22"/>
        </w:rPr>
        <w:t xml:space="preserve">-0134, </w:t>
      </w:r>
      <w:r w:rsidR="009D6BB9">
        <w:rPr>
          <w:rFonts w:ascii="Arial" w:hAnsi="Arial" w:cs="Arial"/>
          <w:sz w:val="22"/>
          <w:szCs w:val="22"/>
        </w:rPr>
        <w:t>NEI2</w:t>
      </w:r>
      <w:r w:rsidR="00033007">
        <w:rPr>
          <w:rFonts w:ascii="Arial" w:hAnsi="Arial" w:cs="Arial"/>
          <w:sz w:val="22"/>
          <w:szCs w:val="22"/>
        </w:rPr>
        <w:noBreakHyphen/>
      </w:r>
      <w:r w:rsidRPr="00772269">
        <w:rPr>
          <w:rFonts w:ascii="Arial" w:hAnsi="Arial" w:cs="Arial"/>
          <w:sz w:val="22"/>
          <w:szCs w:val="22"/>
        </w:rPr>
        <w:t>0135).</w:t>
      </w:r>
    </w:p>
    <w:p w:rsidR="007F112A" w:rsidRPr="00772269" w:rsidP="00772269" w14:paraId="7EF59B1D" w14:textId="77777777">
      <w:pPr>
        <w:spacing w:after="220"/>
        <w:rPr>
          <w:rFonts w:ascii="Arial" w:hAnsi="Arial" w:cs="Arial"/>
          <w:sz w:val="22"/>
          <w:szCs w:val="22"/>
        </w:rPr>
      </w:pPr>
      <w:r w:rsidRPr="00772269">
        <w:rPr>
          <w:rFonts w:ascii="Arial" w:hAnsi="Arial" w:cs="Arial"/>
          <w:sz w:val="22"/>
          <w:szCs w:val="22"/>
        </w:rPr>
        <w:t xml:space="preserve">For 10 CFR 53.1209, a commenter </w:t>
      </w:r>
      <w:r w:rsidR="00BC0E79">
        <w:rPr>
          <w:rFonts w:ascii="Arial" w:hAnsi="Arial" w:cs="Arial"/>
          <w:sz w:val="22"/>
          <w:szCs w:val="22"/>
        </w:rPr>
        <w:t>stated</w:t>
      </w:r>
      <w:r w:rsidRPr="00772269">
        <w:rPr>
          <w:rFonts w:ascii="Arial" w:hAnsi="Arial" w:cs="Arial"/>
          <w:sz w:val="22"/>
          <w:szCs w:val="22"/>
        </w:rPr>
        <w:t xml:space="preserve"> that design certifications have traditionally been for a single unit and suggested that multi-unit considerations be left to CPs, OLs, and </w:t>
      </w:r>
      <w:r w:rsidRPr="00772269">
        <w:rPr>
          <w:rFonts w:ascii="Arial" w:hAnsi="Arial" w:cs="Arial"/>
          <w:sz w:val="22"/>
          <w:szCs w:val="22"/>
        </w:rPr>
        <w:t>COLs.</w:t>
      </w:r>
      <w:r w:rsidRPr="00772269">
        <w:rPr>
          <w:rFonts w:ascii="Arial" w:hAnsi="Arial" w:cs="Arial"/>
          <w:sz w:val="22"/>
          <w:szCs w:val="22"/>
        </w:rPr>
        <w:t xml:space="preserve"> The commenter wrote that 10 CFR 53.1209 and 10 CFR 53.1239 should be revised to permit the </w:t>
      </w:r>
      <w:r w:rsidRPr="00772269">
        <w:rPr>
          <w:rFonts w:ascii="Arial" w:hAnsi="Arial" w:cs="Arial"/>
          <w:sz w:val="22"/>
          <w:szCs w:val="22"/>
        </w:rPr>
        <w:t>use of other risk-informed approaches, and that 10 CFR</w:t>
      </w:r>
      <w:r w:rsidRPr="00772269" w:rsidR="003E76BD">
        <w:rPr>
          <w:rFonts w:ascii="Arial" w:hAnsi="Arial" w:cs="Arial"/>
          <w:sz w:val="22"/>
          <w:szCs w:val="22"/>
        </w:rPr>
        <w:t> </w:t>
      </w:r>
      <w:r w:rsidRPr="00772269">
        <w:rPr>
          <w:rFonts w:ascii="Arial" w:hAnsi="Arial" w:cs="Arial"/>
          <w:sz w:val="22"/>
          <w:szCs w:val="22"/>
        </w:rPr>
        <w:t>53.1239</w:t>
      </w:r>
      <w:r w:rsidRPr="00772269" w:rsidR="00747B3A">
        <w:rPr>
          <w:rFonts w:ascii="Arial" w:hAnsi="Arial" w:cs="Arial"/>
          <w:sz w:val="22"/>
          <w:szCs w:val="22"/>
        </w:rPr>
        <w:t>[(a)]</w:t>
      </w:r>
      <w:r w:rsidRPr="00772269">
        <w:rPr>
          <w:rFonts w:ascii="Arial" w:hAnsi="Arial" w:cs="Arial"/>
          <w:sz w:val="22"/>
          <w:szCs w:val="22"/>
        </w:rPr>
        <w:t>(16) should be removed (</w:t>
      </w:r>
      <w:r w:rsidR="009D6BB9">
        <w:rPr>
          <w:rFonts w:ascii="Arial" w:hAnsi="Arial" w:cs="Arial"/>
          <w:sz w:val="22"/>
          <w:szCs w:val="22"/>
        </w:rPr>
        <w:t>NEI2</w:t>
      </w:r>
      <w:r w:rsidRPr="00772269">
        <w:rPr>
          <w:rFonts w:ascii="Arial" w:hAnsi="Arial" w:cs="Arial"/>
          <w:sz w:val="22"/>
          <w:szCs w:val="22"/>
        </w:rPr>
        <w:t>-0126).</w:t>
      </w:r>
    </w:p>
    <w:p w:rsidR="007F112A" w:rsidRPr="00772269" w:rsidP="00772269" w14:paraId="2F4CA50B" w14:textId="77777777">
      <w:pPr>
        <w:spacing w:after="220"/>
        <w:rPr>
          <w:rFonts w:ascii="Arial" w:hAnsi="Arial" w:cs="Arial"/>
          <w:sz w:val="22"/>
          <w:szCs w:val="22"/>
        </w:rPr>
      </w:pPr>
      <w:r w:rsidRPr="00772269">
        <w:rPr>
          <w:rFonts w:ascii="Arial" w:hAnsi="Arial" w:cs="Arial"/>
          <w:sz w:val="22"/>
          <w:szCs w:val="22"/>
        </w:rPr>
        <w:t xml:space="preserve">For 10 CFR 53.1309(a)(2), the commenter wrote that the level of detail required is not consistent with a </w:t>
      </w:r>
      <w:r w:rsidR="002E4B94">
        <w:rPr>
          <w:rFonts w:ascii="Arial" w:hAnsi="Arial" w:cs="Arial"/>
          <w:sz w:val="22"/>
          <w:szCs w:val="22"/>
        </w:rPr>
        <w:t>pr</w:t>
      </w:r>
      <w:r w:rsidR="00F65D60">
        <w:rPr>
          <w:rFonts w:ascii="Arial" w:hAnsi="Arial" w:cs="Arial"/>
          <w:sz w:val="22"/>
          <w:szCs w:val="22"/>
        </w:rPr>
        <w:t xml:space="preserve">eliminary </w:t>
      </w:r>
      <w:r w:rsidR="00F13348">
        <w:rPr>
          <w:rFonts w:ascii="Arial" w:hAnsi="Arial" w:cs="Arial"/>
          <w:sz w:val="22"/>
          <w:szCs w:val="22"/>
        </w:rPr>
        <w:t>SAR</w:t>
      </w:r>
      <w:r w:rsidRPr="00772269">
        <w:rPr>
          <w:rFonts w:ascii="Arial" w:hAnsi="Arial" w:cs="Arial"/>
          <w:sz w:val="22"/>
          <w:szCs w:val="22"/>
        </w:rPr>
        <w:t>, and in 10 CFR 53.1309(a)(2)(ii) it is not clear what aspects of the design staff would accept as preliminary. The commenter suggest</w:t>
      </w:r>
      <w:r w:rsidR="001B5EA4">
        <w:rPr>
          <w:rFonts w:ascii="Arial" w:hAnsi="Arial" w:cs="Arial"/>
          <w:sz w:val="22"/>
          <w:szCs w:val="22"/>
        </w:rPr>
        <w:t>ed</w:t>
      </w:r>
      <w:r w:rsidRPr="00772269">
        <w:rPr>
          <w:rFonts w:ascii="Arial" w:hAnsi="Arial" w:cs="Arial"/>
          <w:sz w:val="22"/>
          <w:szCs w:val="22"/>
        </w:rPr>
        <w:t xml:space="preserve"> that 10 CFR 53.1309 be revised to introduce the </w:t>
      </w:r>
      <w:r w:rsidR="00BC0E79">
        <w:rPr>
          <w:rFonts w:ascii="Arial" w:hAnsi="Arial" w:cs="Arial"/>
          <w:sz w:val="22"/>
          <w:szCs w:val="22"/>
        </w:rPr>
        <w:t>“</w:t>
      </w:r>
      <w:r w:rsidRPr="00772269">
        <w:rPr>
          <w:rFonts w:ascii="Arial" w:hAnsi="Arial" w:cs="Arial"/>
          <w:sz w:val="22"/>
          <w:szCs w:val="22"/>
        </w:rPr>
        <w:t>preliminary</w:t>
      </w:r>
      <w:r w:rsidR="00BC0E79">
        <w:rPr>
          <w:rFonts w:ascii="Arial" w:hAnsi="Arial" w:cs="Arial"/>
          <w:sz w:val="22"/>
          <w:szCs w:val="22"/>
        </w:rPr>
        <w:t>”</w:t>
      </w:r>
      <w:r w:rsidRPr="00772269">
        <w:rPr>
          <w:rFonts w:ascii="Arial" w:hAnsi="Arial" w:cs="Arial"/>
          <w:sz w:val="22"/>
          <w:szCs w:val="22"/>
        </w:rPr>
        <w:t xml:space="preserve"> nature of the design adequate for a CP review, consistent with 10 CFR 50.34.</w:t>
      </w:r>
    </w:p>
    <w:p w:rsidR="007F112A" w:rsidRPr="00772269" w:rsidP="00772269" w14:paraId="2A645410" w14:textId="77777777">
      <w:pPr>
        <w:spacing w:after="220"/>
        <w:rPr>
          <w:rFonts w:ascii="Arial" w:hAnsi="Arial" w:cs="Arial"/>
          <w:sz w:val="22"/>
          <w:szCs w:val="22"/>
        </w:rPr>
      </w:pPr>
      <w:r w:rsidRPr="00772269">
        <w:rPr>
          <w:rFonts w:ascii="Arial" w:hAnsi="Arial" w:cs="Arial"/>
          <w:sz w:val="22"/>
          <w:szCs w:val="22"/>
        </w:rPr>
        <w:t>The commenter also suggest</w:t>
      </w:r>
      <w:r w:rsidR="001B5EA4">
        <w:rPr>
          <w:rFonts w:ascii="Arial" w:hAnsi="Arial" w:cs="Arial"/>
          <w:sz w:val="22"/>
          <w:szCs w:val="22"/>
        </w:rPr>
        <w:t>ed</w:t>
      </w:r>
      <w:r w:rsidRPr="00772269">
        <w:rPr>
          <w:rFonts w:ascii="Arial" w:hAnsi="Arial" w:cs="Arial"/>
          <w:sz w:val="22"/>
          <w:szCs w:val="22"/>
        </w:rPr>
        <w:t xml:space="preserve"> that issuance of a CP as described in 10 CFR 53.1333 should be consistent with 10 CFR 50.35. The commenter said that 10 CFR 53.1309 should be revised to permit use of other risk-informed and more traditional approaches; revisions to 10 CFR</w:t>
      </w:r>
      <w:r w:rsidR="00B3025B">
        <w:rPr>
          <w:rFonts w:ascii="Arial" w:hAnsi="Arial" w:cs="Arial"/>
          <w:sz w:val="22"/>
          <w:szCs w:val="22"/>
        </w:rPr>
        <w:t> </w:t>
      </w:r>
      <w:r w:rsidRPr="00772269">
        <w:rPr>
          <w:rFonts w:ascii="Arial" w:hAnsi="Arial" w:cs="Arial"/>
          <w:sz w:val="22"/>
          <w:szCs w:val="22"/>
        </w:rPr>
        <w:t>53.1309 should also address conforming changes on planned research, and programmatic controls; and references to 10 CFR 53.1279</w:t>
      </w:r>
      <w:r w:rsidRPr="00772269" w:rsidR="00723803">
        <w:rPr>
          <w:rFonts w:ascii="Arial" w:hAnsi="Arial" w:cs="Arial"/>
          <w:sz w:val="22"/>
          <w:szCs w:val="22"/>
        </w:rPr>
        <w:t>[1239(a)]</w:t>
      </w:r>
      <w:r w:rsidRPr="00772269">
        <w:rPr>
          <w:rFonts w:ascii="Arial" w:hAnsi="Arial" w:cs="Arial"/>
          <w:sz w:val="22"/>
          <w:szCs w:val="22"/>
        </w:rPr>
        <w:t>(24) should be removed (</w:t>
      </w:r>
      <w:r w:rsidR="009D6BB9">
        <w:rPr>
          <w:rFonts w:ascii="Arial" w:hAnsi="Arial" w:cs="Arial"/>
          <w:sz w:val="22"/>
          <w:szCs w:val="22"/>
        </w:rPr>
        <w:t>NEI2</w:t>
      </w:r>
      <w:r w:rsidRPr="00772269">
        <w:rPr>
          <w:rFonts w:ascii="Arial" w:hAnsi="Arial" w:cs="Arial"/>
          <w:sz w:val="22"/>
          <w:szCs w:val="22"/>
        </w:rPr>
        <w:t>-0133).</w:t>
      </w:r>
    </w:p>
    <w:p w:rsidR="007F112A" w:rsidRPr="00772269" w:rsidP="00772269" w14:paraId="65F9C513" w14:textId="77777777">
      <w:pPr>
        <w:spacing w:after="220"/>
        <w:rPr>
          <w:rFonts w:ascii="Arial" w:hAnsi="Arial" w:cs="Arial"/>
          <w:sz w:val="22"/>
          <w:szCs w:val="22"/>
        </w:rPr>
      </w:pPr>
      <w:r w:rsidRPr="00772269">
        <w:rPr>
          <w:rFonts w:ascii="Arial" w:hAnsi="Arial" w:cs="Arial"/>
          <w:sz w:val="22"/>
          <w:szCs w:val="22"/>
        </w:rPr>
        <w:t>For 10 CFR 53.1369, the commenter wrote that requirements for integrity assessment programs under 10 CFR 53.1369(d) should be removed, 10 CFR 53.1369(g) is duplicative of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53.1239</w:t>
      </w:r>
      <w:r w:rsidR="00C167BC">
        <w:rPr>
          <w:rFonts w:ascii="Arial" w:hAnsi="Arial" w:cs="Arial"/>
          <w:sz w:val="22"/>
          <w:szCs w:val="22"/>
        </w:rPr>
        <w:t>[(a)]</w:t>
      </w:r>
      <w:r w:rsidRPr="00772269">
        <w:rPr>
          <w:rFonts w:ascii="Arial" w:hAnsi="Arial" w:cs="Arial"/>
          <w:sz w:val="22"/>
          <w:szCs w:val="22"/>
        </w:rPr>
        <w:t>(27), 10 CFR 53.1369(c) is duplicative of 10 CFR 53.1239</w:t>
      </w:r>
      <w:r w:rsidR="00C167BC">
        <w:rPr>
          <w:rFonts w:ascii="Arial" w:hAnsi="Arial" w:cs="Arial"/>
          <w:sz w:val="22"/>
          <w:szCs w:val="22"/>
        </w:rPr>
        <w:t>[(a)]</w:t>
      </w:r>
      <w:r w:rsidRPr="00772269">
        <w:rPr>
          <w:rFonts w:ascii="Arial" w:hAnsi="Arial" w:cs="Arial"/>
          <w:sz w:val="22"/>
          <w:szCs w:val="22"/>
        </w:rPr>
        <w:t>(25),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53.1369(d) is duplicative of 10 CFR 53.1239</w:t>
      </w:r>
      <w:r w:rsidR="00C167BC">
        <w:rPr>
          <w:rFonts w:ascii="Arial" w:hAnsi="Arial" w:cs="Arial"/>
          <w:sz w:val="22"/>
          <w:szCs w:val="22"/>
        </w:rPr>
        <w:t>[(a)]</w:t>
      </w:r>
      <w:r w:rsidRPr="00772269">
        <w:rPr>
          <w:rFonts w:ascii="Arial" w:hAnsi="Arial" w:cs="Arial"/>
          <w:sz w:val="22"/>
          <w:szCs w:val="22"/>
        </w:rPr>
        <w:t xml:space="preserve">(13), 10 CFR 53.1369(e) </w:t>
      </w:r>
      <w:r w:rsidR="00A553F9">
        <w:rPr>
          <w:rFonts w:ascii="Arial" w:hAnsi="Arial" w:cs="Arial"/>
          <w:sz w:val="22"/>
          <w:szCs w:val="22"/>
        </w:rPr>
        <w:t>and</w:t>
      </w:r>
      <w:r w:rsidRPr="00772269">
        <w:rPr>
          <w:rFonts w:ascii="Arial" w:hAnsi="Arial" w:cs="Arial"/>
          <w:sz w:val="22"/>
          <w:szCs w:val="22"/>
        </w:rPr>
        <w:t xml:space="preserve"> (n) is duplicative of 10 CFR 53.1239</w:t>
      </w:r>
      <w:r w:rsidR="00C167BC">
        <w:rPr>
          <w:rFonts w:ascii="Arial" w:hAnsi="Arial" w:cs="Arial"/>
          <w:sz w:val="22"/>
          <w:szCs w:val="22"/>
        </w:rPr>
        <w:t>[(a)]</w:t>
      </w:r>
      <w:r w:rsidRPr="00772269">
        <w:rPr>
          <w:rFonts w:ascii="Arial" w:hAnsi="Arial" w:cs="Arial"/>
          <w:sz w:val="22"/>
          <w:szCs w:val="22"/>
        </w:rPr>
        <w:t>(14), 10 CFR 53.1369(l) is duplicative of 10</w:t>
      </w:r>
      <w:r w:rsidR="00C167BC">
        <w:rPr>
          <w:rFonts w:ascii="Arial" w:hAnsi="Arial" w:cs="Arial"/>
          <w:sz w:val="22"/>
          <w:szCs w:val="22"/>
        </w:rPr>
        <w:t> </w:t>
      </w:r>
      <w:r w:rsidRPr="00772269">
        <w:rPr>
          <w:rFonts w:ascii="Arial" w:hAnsi="Arial" w:cs="Arial"/>
          <w:sz w:val="22"/>
          <w:szCs w:val="22"/>
        </w:rPr>
        <w:t>CFR</w:t>
      </w:r>
      <w:r w:rsidR="00C167BC">
        <w:rPr>
          <w:rFonts w:ascii="Arial" w:hAnsi="Arial" w:cs="Arial"/>
          <w:sz w:val="22"/>
          <w:szCs w:val="22"/>
        </w:rPr>
        <w:t> </w:t>
      </w:r>
      <w:r w:rsidRPr="00772269">
        <w:rPr>
          <w:rFonts w:ascii="Arial" w:hAnsi="Arial" w:cs="Arial"/>
          <w:sz w:val="22"/>
          <w:szCs w:val="22"/>
        </w:rPr>
        <w:t>53.1239</w:t>
      </w:r>
      <w:r w:rsidR="00C167BC">
        <w:rPr>
          <w:rFonts w:ascii="Arial" w:hAnsi="Arial" w:cs="Arial"/>
          <w:sz w:val="22"/>
          <w:szCs w:val="22"/>
        </w:rPr>
        <w:t>[(a)]</w:t>
      </w:r>
      <w:r w:rsidRPr="00772269">
        <w:rPr>
          <w:rFonts w:ascii="Arial" w:hAnsi="Arial" w:cs="Arial"/>
          <w:sz w:val="22"/>
          <w:szCs w:val="22"/>
        </w:rPr>
        <w:t>(22), and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53.1369(aa) is duplicative of 10 CFR 53.1239</w:t>
      </w:r>
      <w:r w:rsidR="00C167BC">
        <w:rPr>
          <w:rFonts w:ascii="Arial" w:hAnsi="Arial" w:cs="Arial"/>
          <w:sz w:val="22"/>
          <w:szCs w:val="22"/>
        </w:rPr>
        <w:t>[(a)]</w:t>
      </w:r>
      <w:r w:rsidRPr="00772269">
        <w:rPr>
          <w:rFonts w:ascii="Arial" w:hAnsi="Arial" w:cs="Arial"/>
          <w:sz w:val="22"/>
          <w:szCs w:val="22"/>
        </w:rPr>
        <w:t>(26). The commenter wrote that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 xml:space="preserve">53.1369(b) should be revised to permit use of other </w:t>
      </w:r>
      <w:r w:rsidR="007F6C60">
        <w:rPr>
          <w:rFonts w:ascii="Arial" w:hAnsi="Arial" w:cs="Arial"/>
          <w:sz w:val="22"/>
          <w:szCs w:val="22"/>
        </w:rPr>
        <w:br/>
      </w:r>
      <w:r w:rsidRPr="00772269">
        <w:rPr>
          <w:rFonts w:ascii="Arial" w:hAnsi="Arial" w:cs="Arial"/>
          <w:sz w:val="22"/>
          <w:szCs w:val="22"/>
        </w:rPr>
        <w:t>risk-informed and more traditional approaches (</w:t>
      </w:r>
      <w:r w:rsidR="009D6BB9">
        <w:rPr>
          <w:rFonts w:ascii="Arial" w:hAnsi="Arial" w:cs="Arial"/>
          <w:sz w:val="22"/>
          <w:szCs w:val="22"/>
        </w:rPr>
        <w:t>NEI2</w:t>
      </w:r>
      <w:r w:rsidRPr="00772269">
        <w:rPr>
          <w:rFonts w:ascii="Arial" w:hAnsi="Arial" w:cs="Arial"/>
          <w:sz w:val="22"/>
          <w:szCs w:val="22"/>
        </w:rPr>
        <w:t xml:space="preserve">-0134). </w:t>
      </w:r>
    </w:p>
    <w:p w:rsidR="007F112A" w:rsidRPr="00772269" w:rsidP="00772269" w14:paraId="3A0A4CE2" w14:textId="77777777">
      <w:pPr>
        <w:spacing w:after="220"/>
        <w:rPr>
          <w:rFonts w:ascii="Arial" w:hAnsi="Arial" w:cs="Arial"/>
          <w:sz w:val="22"/>
          <w:szCs w:val="22"/>
        </w:rPr>
      </w:pPr>
      <w:r w:rsidRPr="00772269">
        <w:rPr>
          <w:rFonts w:ascii="Arial" w:hAnsi="Arial" w:cs="Arial"/>
          <w:sz w:val="22"/>
          <w:szCs w:val="22"/>
        </w:rPr>
        <w:t>For 10 CFR 53.1416(a)(2), the commenter wrote that requirements for integrity assessment programs under 10 CFR 53.1416(a)(4) should be removed, 10 CFR 53.1416(a)(3) is duplicative of 10 CFR 53.1239</w:t>
      </w:r>
      <w:r w:rsidR="007A66E7">
        <w:rPr>
          <w:rFonts w:ascii="Arial" w:hAnsi="Arial" w:cs="Arial"/>
          <w:sz w:val="22"/>
          <w:szCs w:val="22"/>
        </w:rPr>
        <w:t>[(a)]</w:t>
      </w:r>
      <w:r w:rsidRPr="00772269">
        <w:rPr>
          <w:rFonts w:ascii="Arial" w:hAnsi="Arial" w:cs="Arial"/>
          <w:sz w:val="22"/>
          <w:szCs w:val="22"/>
        </w:rPr>
        <w:t>(25), 10 CFR 53.1416(a)(7) is duplicative of 10 CFR 53.1239</w:t>
      </w:r>
      <w:r w:rsidR="007A66E7">
        <w:rPr>
          <w:rFonts w:ascii="Arial" w:hAnsi="Arial" w:cs="Arial"/>
          <w:sz w:val="22"/>
          <w:szCs w:val="22"/>
        </w:rPr>
        <w:t>[(a)]</w:t>
      </w:r>
      <w:r w:rsidRPr="00772269">
        <w:rPr>
          <w:rFonts w:ascii="Arial" w:hAnsi="Arial" w:cs="Arial"/>
          <w:sz w:val="22"/>
          <w:szCs w:val="22"/>
        </w:rPr>
        <w:t>(27),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53.1416(a)(14) is duplicative of 10 CFR 53.1239</w:t>
      </w:r>
      <w:r w:rsidR="007A66E7">
        <w:rPr>
          <w:rFonts w:ascii="Arial" w:hAnsi="Arial" w:cs="Arial"/>
          <w:sz w:val="22"/>
          <w:szCs w:val="22"/>
        </w:rPr>
        <w:t>[(a)]</w:t>
      </w:r>
      <w:r w:rsidRPr="00772269">
        <w:rPr>
          <w:rFonts w:ascii="Arial" w:hAnsi="Arial" w:cs="Arial"/>
          <w:sz w:val="22"/>
          <w:szCs w:val="22"/>
        </w:rPr>
        <w:t>(14), 10 CFR 53.1416(a)(12) is duplicative of 10</w:t>
      </w:r>
      <w:r w:rsidR="0084337C">
        <w:rPr>
          <w:rFonts w:ascii="Arial" w:hAnsi="Arial" w:cs="Arial"/>
          <w:sz w:val="22"/>
          <w:szCs w:val="22"/>
        </w:rPr>
        <w:t> </w:t>
      </w:r>
      <w:r w:rsidRPr="00772269">
        <w:rPr>
          <w:rFonts w:ascii="Arial" w:hAnsi="Arial" w:cs="Arial"/>
          <w:sz w:val="22"/>
          <w:szCs w:val="22"/>
        </w:rPr>
        <w:t>CFR 53.1239</w:t>
      </w:r>
      <w:r w:rsidR="007A66E7">
        <w:rPr>
          <w:rFonts w:ascii="Arial" w:hAnsi="Arial" w:cs="Arial"/>
          <w:sz w:val="22"/>
          <w:szCs w:val="22"/>
        </w:rPr>
        <w:t>[(a)]</w:t>
      </w:r>
      <w:r w:rsidRPr="00772269">
        <w:rPr>
          <w:rFonts w:ascii="Arial" w:hAnsi="Arial" w:cs="Arial"/>
          <w:sz w:val="22"/>
          <w:szCs w:val="22"/>
        </w:rPr>
        <w:t>(22), and 10 CFR 53.1416(a)(25) is duplicative of 10</w:t>
      </w:r>
      <w:r w:rsidR="0084337C">
        <w:rPr>
          <w:rFonts w:ascii="Arial" w:hAnsi="Arial" w:cs="Arial"/>
          <w:sz w:val="22"/>
          <w:szCs w:val="22"/>
        </w:rPr>
        <w:t> </w:t>
      </w:r>
      <w:r w:rsidRPr="00772269">
        <w:rPr>
          <w:rFonts w:ascii="Arial" w:hAnsi="Arial" w:cs="Arial"/>
          <w:sz w:val="22"/>
          <w:szCs w:val="22"/>
        </w:rPr>
        <w:t>CFR</w:t>
      </w:r>
      <w:r w:rsidR="0084337C">
        <w:rPr>
          <w:rFonts w:ascii="Arial" w:hAnsi="Arial" w:cs="Arial"/>
          <w:sz w:val="22"/>
          <w:szCs w:val="22"/>
        </w:rPr>
        <w:t> </w:t>
      </w:r>
      <w:r w:rsidRPr="00772269">
        <w:rPr>
          <w:rFonts w:ascii="Arial" w:hAnsi="Arial" w:cs="Arial"/>
          <w:sz w:val="22"/>
          <w:szCs w:val="22"/>
        </w:rPr>
        <w:t>53.1239</w:t>
      </w:r>
      <w:r w:rsidR="007A66E7">
        <w:rPr>
          <w:rFonts w:ascii="Arial" w:hAnsi="Arial" w:cs="Arial"/>
          <w:sz w:val="22"/>
          <w:szCs w:val="22"/>
        </w:rPr>
        <w:t>[(a)]</w:t>
      </w:r>
      <w:r w:rsidRPr="00772269">
        <w:rPr>
          <w:rFonts w:ascii="Arial" w:hAnsi="Arial" w:cs="Arial"/>
          <w:sz w:val="22"/>
          <w:szCs w:val="22"/>
        </w:rPr>
        <w:t>(26). The commenter wrote that 10 CFR 53.1416(a)(2) should be revised to permit use of other risk</w:t>
      </w:r>
      <w:r w:rsidRPr="00772269">
        <w:rPr>
          <w:rFonts w:ascii="Arial" w:hAnsi="Arial" w:cs="Arial"/>
          <w:sz w:val="22"/>
          <w:szCs w:val="22"/>
        </w:rPr>
        <w:noBreakHyphen/>
        <w:t>informed and more traditional approaches (</w:t>
      </w:r>
      <w:r w:rsidR="009D6BB9">
        <w:rPr>
          <w:rFonts w:ascii="Arial" w:hAnsi="Arial" w:cs="Arial"/>
          <w:sz w:val="22"/>
          <w:szCs w:val="22"/>
        </w:rPr>
        <w:t>NEI2</w:t>
      </w:r>
      <w:r w:rsidRPr="00772269">
        <w:rPr>
          <w:rFonts w:ascii="Arial" w:hAnsi="Arial" w:cs="Arial"/>
          <w:sz w:val="22"/>
          <w:szCs w:val="22"/>
        </w:rPr>
        <w:t>-0135).</w:t>
      </w:r>
    </w:p>
    <w:p w:rsidR="007F112A" w:rsidRPr="00772269" w:rsidP="00772269" w14:paraId="383451EB"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 in part, with these comments.</w:t>
      </w:r>
    </w:p>
    <w:p w:rsidR="007F112A" w:rsidRPr="00772269" w:rsidP="00772269" w14:paraId="4A3779B7" w14:textId="77777777">
      <w:pPr>
        <w:spacing w:after="220"/>
        <w:rPr>
          <w:rFonts w:ascii="Arial" w:hAnsi="Arial" w:cs="Arial"/>
          <w:sz w:val="22"/>
          <w:szCs w:val="22"/>
        </w:rPr>
      </w:pPr>
      <w:r w:rsidRPr="00772269">
        <w:rPr>
          <w:rFonts w:ascii="Arial" w:hAnsi="Arial" w:cs="Arial"/>
          <w:sz w:val="22"/>
          <w:szCs w:val="22"/>
        </w:rPr>
        <w:t xml:space="preserve">Regarding the statement that certain provisions in Subpart H of 10 CFR Part 53 are based on the PRA-based approach addressed in the LMP and do not permit use of other risk-informed approaches or more traditional approaches that may be more appropriate for very simple designs, see the NRC’s response to </w:t>
      </w:r>
      <w:r w:rsidRPr="00772269" w:rsidR="00BB4239">
        <w:rPr>
          <w:rFonts w:ascii="Arial" w:hAnsi="Arial" w:cs="Arial"/>
          <w:sz w:val="22"/>
          <w:szCs w:val="22"/>
        </w:rPr>
        <w:t>C</w:t>
      </w:r>
      <w:r w:rsidRPr="00772269">
        <w:rPr>
          <w:rFonts w:ascii="Arial" w:hAnsi="Arial" w:cs="Arial"/>
          <w:sz w:val="22"/>
          <w:szCs w:val="22"/>
        </w:rPr>
        <w:t>omment</w:t>
      </w:r>
      <w:r w:rsidRPr="00772269" w:rsidR="00BB4239">
        <w:rPr>
          <w:rFonts w:ascii="Arial" w:hAnsi="Arial" w:cs="Arial"/>
          <w:sz w:val="22"/>
          <w:szCs w:val="22"/>
        </w:rPr>
        <w:t xml:space="preserve"> Bin</w:t>
      </w:r>
      <w:r w:rsidRPr="00772269">
        <w:rPr>
          <w:rFonts w:ascii="Arial" w:hAnsi="Arial" w:cs="Arial"/>
          <w:sz w:val="22"/>
          <w:szCs w:val="22"/>
        </w:rPr>
        <w:t xml:space="preserve"> 3.3.2</w:t>
      </w:r>
      <w:r w:rsidRPr="00772269" w:rsidR="00BB4239">
        <w:rPr>
          <w:rFonts w:ascii="Arial" w:hAnsi="Arial" w:cs="Arial"/>
          <w:sz w:val="22"/>
          <w:szCs w:val="22"/>
        </w:rPr>
        <w:t>.2.E</w:t>
      </w:r>
      <w:r w:rsidRPr="00772269">
        <w:rPr>
          <w:rFonts w:ascii="Arial" w:hAnsi="Arial" w:cs="Arial"/>
          <w:sz w:val="22"/>
          <w:szCs w:val="22"/>
        </w:rPr>
        <w:t>.</w:t>
      </w:r>
    </w:p>
    <w:p w:rsidR="007F112A" w:rsidRPr="00772269" w:rsidP="00772269" w14:paraId="4D45370C" w14:textId="77777777">
      <w:pPr>
        <w:spacing w:after="220"/>
        <w:rPr>
          <w:rFonts w:ascii="Arial" w:hAnsi="Arial" w:cs="Arial"/>
          <w:sz w:val="22"/>
          <w:szCs w:val="22"/>
        </w:rPr>
      </w:pPr>
      <w:r w:rsidRPr="00772269">
        <w:rPr>
          <w:rFonts w:ascii="Arial" w:hAnsi="Arial" w:cs="Arial"/>
          <w:sz w:val="22"/>
          <w:szCs w:val="22"/>
        </w:rPr>
        <w:t xml:space="preserve">The NRC disagrees that design certifications have traditionally been for a single unit and that multi-unit considerations be left to CPs, OLs, and </w:t>
      </w:r>
      <w:r w:rsidRPr="00772269">
        <w:rPr>
          <w:rFonts w:ascii="Arial" w:hAnsi="Arial" w:cs="Arial"/>
          <w:sz w:val="22"/>
          <w:szCs w:val="22"/>
        </w:rPr>
        <w:t>COLs.</w:t>
      </w:r>
      <w:r w:rsidRPr="00772269">
        <w:rPr>
          <w:rFonts w:ascii="Arial" w:hAnsi="Arial" w:cs="Arial"/>
          <w:sz w:val="22"/>
          <w:szCs w:val="22"/>
        </w:rPr>
        <w:t xml:space="preserve"> The most recent design certified by the NRC for the </w:t>
      </w:r>
      <w:r w:rsidRPr="00772269">
        <w:rPr>
          <w:rFonts w:ascii="Arial" w:hAnsi="Arial" w:cs="Arial"/>
          <w:sz w:val="22"/>
          <w:szCs w:val="22"/>
        </w:rPr>
        <w:t>NuScale</w:t>
      </w:r>
      <w:r w:rsidRPr="00772269">
        <w:rPr>
          <w:rFonts w:ascii="Arial" w:hAnsi="Arial" w:cs="Arial"/>
          <w:sz w:val="22"/>
          <w:szCs w:val="22"/>
        </w:rPr>
        <w:t xml:space="preserve"> design in Appendix G to 10 CFR Part 52 is a multi-unit design. Accordingly, the NRC did not change the rule language in response to this comment. </w:t>
      </w:r>
    </w:p>
    <w:p w:rsidR="007F112A" w:rsidRPr="00772269" w:rsidP="00772269" w14:paraId="735DB1D4" w14:textId="77777777">
      <w:pPr>
        <w:spacing w:after="220"/>
        <w:rPr>
          <w:rFonts w:ascii="Arial" w:hAnsi="Arial" w:cs="Arial"/>
          <w:sz w:val="22"/>
          <w:szCs w:val="22"/>
        </w:rPr>
      </w:pPr>
      <w:r w:rsidRPr="00772269">
        <w:rPr>
          <w:rFonts w:ascii="Arial" w:hAnsi="Arial" w:cs="Arial"/>
          <w:sz w:val="22"/>
          <w:szCs w:val="22"/>
        </w:rPr>
        <w:t>The NRC disagrees that additional rule text is needed in 10 CFR 53.1309 to further detail NRC expectations for the level of detail in CP applications. The NRC will provide regulatory guidance on the level of detail for CP applications under 10 CFR Part 53. The comment referred to 10 CFR 50.34 as a model for the level of detail desired. However, that regulation supports the prescriptive, deterministic nature of the regulatory framework under 10 CFR Part 50, and many of its provisions are not appropriate for the technology</w:t>
      </w:r>
      <w:r w:rsidRPr="00772269">
        <w:rPr>
          <w:rFonts w:ascii="Arial" w:hAnsi="Arial" w:cs="Arial"/>
          <w:sz w:val="22"/>
          <w:szCs w:val="22"/>
        </w:rPr>
        <w:noBreakHyphen/>
        <w:t>inclusive, risk</w:t>
      </w:r>
      <w:r w:rsidRPr="00772269">
        <w:rPr>
          <w:rFonts w:ascii="Arial" w:hAnsi="Arial" w:cs="Arial"/>
          <w:sz w:val="22"/>
          <w:szCs w:val="22"/>
        </w:rPr>
        <w:noBreakHyphen/>
        <w:t>informed, and performance-based regulatory framework under 10 CFR Part 53.</w:t>
      </w:r>
    </w:p>
    <w:p w:rsidR="007F112A" w:rsidRPr="00772269" w:rsidP="00772269" w14:paraId="6C7C167D" w14:textId="77777777">
      <w:pPr>
        <w:spacing w:after="220"/>
        <w:rPr>
          <w:rFonts w:ascii="Arial" w:hAnsi="Arial" w:cs="Arial"/>
          <w:sz w:val="22"/>
          <w:szCs w:val="22"/>
        </w:rPr>
      </w:pPr>
      <w:r w:rsidRPr="00772269">
        <w:rPr>
          <w:rFonts w:ascii="Arial" w:hAnsi="Arial" w:cs="Arial"/>
          <w:sz w:val="22"/>
          <w:szCs w:val="22"/>
        </w:rPr>
        <w:t>The NRC agrees that issuance of a CP as described in 10 CFR Part 53 should be consistent with 10 CFR 50.35 but disagrees that changes to the rule are needed to achieve this. The provisions in 10 CFR 53.1333(a) and (b) combined with those in 10 CFR 53.1336 form the equivalent of the technically relevant portions of 10 CFR 50.35 related to issuance of a CP.</w:t>
      </w:r>
    </w:p>
    <w:p w:rsidR="007F112A" w:rsidRPr="00772269" w:rsidP="00772269" w14:paraId="6F7798A4" w14:textId="77777777">
      <w:pPr>
        <w:spacing w:after="220"/>
        <w:rPr>
          <w:rFonts w:ascii="Arial" w:hAnsi="Arial" w:cs="Arial"/>
          <w:sz w:val="22"/>
          <w:szCs w:val="22"/>
        </w:rPr>
      </w:pPr>
      <w:r w:rsidRPr="00772269">
        <w:rPr>
          <w:rFonts w:ascii="Arial" w:hAnsi="Arial" w:cs="Arial"/>
          <w:sz w:val="22"/>
          <w:szCs w:val="22"/>
        </w:rPr>
        <w:t xml:space="preserve">The NRC agrees that the reference in 10 CFR 53.1309 to 10 CFR 53.1239(a)(24) for interface requirements should be removed in so far as it is not relevant for a CP application. Accordingly, the NRC </w:t>
      </w:r>
      <w:r w:rsidR="00E63C1C">
        <w:rPr>
          <w:rFonts w:ascii="Arial" w:hAnsi="Arial" w:cs="Arial"/>
          <w:sz w:val="22"/>
          <w:szCs w:val="22"/>
        </w:rPr>
        <w:t>has revised</w:t>
      </w:r>
      <w:r w:rsidRPr="00772269">
        <w:rPr>
          <w:rFonts w:ascii="Arial" w:hAnsi="Arial" w:cs="Arial"/>
          <w:sz w:val="22"/>
          <w:szCs w:val="22"/>
        </w:rPr>
        <w:t xml:space="preserve"> the rule language in response to this comment. Specifically, the NRC has deleted the reference to 10 CFR 53.1239(a)(24) in 10 CFR 53.1309(a)(2).</w:t>
      </w:r>
    </w:p>
    <w:p w:rsidR="007F112A" w:rsidRPr="00772269" w:rsidP="00772269" w14:paraId="5A27C6AF" w14:textId="77777777">
      <w:pPr>
        <w:spacing w:after="220"/>
        <w:rPr>
          <w:rFonts w:ascii="Arial" w:hAnsi="Arial" w:cs="Arial"/>
          <w:sz w:val="22"/>
          <w:szCs w:val="22"/>
        </w:rPr>
      </w:pPr>
      <w:r w:rsidRPr="00772269">
        <w:rPr>
          <w:rFonts w:ascii="Arial" w:hAnsi="Arial" w:cs="Arial"/>
          <w:sz w:val="22"/>
          <w:szCs w:val="22"/>
        </w:rPr>
        <w:t>The NRC disagrees that requirements for integrity assessment programs under 10 CFR</w:t>
      </w:r>
      <w:r w:rsidRPr="00772269" w:rsidR="00C32FC8">
        <w:rPr>
          <w:rFonts w:ascii="Arial" w:hAnsi="Arial" w:cs="Arial"/>
          <w:sz w:val="22"/>
          <w:szCs w:val="22"/>
        </w:rPr>
        <w:t> </w:t>
      </w:r>
      <w:r w:rsidRPr="00772269">
        <w:rPr>
          <w:rFonts w:ascii="Arial" w:hAnsi="Arial" w:cs="Arial"/>
          <w:sz w:val="22"/>
          <w:szCs w:val="22"/>
        </w:rPr>
        <w:t xml:space="preserve">53.1369(d) and 10 CFR 53.1416(a)(4) should be removed for the reasons stated in response to </w:t>
      </w:r>
      <w:r w:rsidRPr="00772269" w:rsidR="00A86917">
        <w:rPr>
          <w:rFonts w:ascii="Arial" w:hAnsi="Arial" w:cs="Arial"/>
          <w:sz w:val="22"/>
          <w:szCs w:val="22"/>
        </w:rPr>
        <w:t>C</w:t>
      </w:r>
      <w:r w:rsidRPr="00772269">
        <w:rPr>
          <w:rFonts w:ascii="Arial" w:hAnsi="Arial" w:cs="Arial"/>
          <w:sz w:val="22"/>
          <w:szCs w:val="22"/>
        </w:rPr>
        <w:t>omment</w:t>
      </w:r>
      <w:r w:rsidRPr="00772269" w:rsidR="00A86917">
        <w:rPr>
          <w:rFonts w:ascii="Arial" w:hAnsi="Arial" w:cs="Arial"/>
          <w:sz w:val="22"/>
          <w:szCs w:val="22"/>
        </w:rPr>
        <w:t xml:space="preserve"> Bin</w:t>
      </w:r>
      <w:r w:rsidRPr="00772269">
        <w:rPr>
          <w:rFonts w:ascii="Arial" w:hAnsi="Arial" w:cs="Arial"/>
          <w:sz w:val="22"/>
          <w:szCs w:val="22"/>
        </w:rPr>
        <w:t xml:space="preserve"> 3.6.3.4</w:t>
      </w:r>
      <w:r w:rsidRPr="00772269" w:rsidR="00A86917">
        <w:rPr>
          <w:rFonts w:ascii="Arial" w:hAnsi="Arial" w:cs="Arial"/>
          <w:sz w:val="22"/>
          <w:szCs w:val="22"/>
        </w:rPr>
        <w:t>.A</w:t>
      </w:r>
      <w:r w:rsidRPr="00772269">
        <w:rPr>
          <w:rFonts w:ascii="Arial" w:hAnsi="Arial" w:cs="Arial"/>
          <w:sz w:val="22"/>
          <w:szCs w:val="22"/>
        </w:rPr>
        <w:t>. Accordingly, the NRC did not change the rule language in response to this comment.</w:t>
      </w:r>
    </w:p>
    <w:p w:rsidR="008B51D9" w:rsidP="00772269" w14:paraId="42FE1233" w14:textId="77777777">
      <w:pPr>
        <w:spacing w:after="220"/>
        <w:rPr>
          <w:rFonts w:ascii="Arial" w:hAnsi="Arial" w:cs="Arial"/>
          <w:sz w:val="22"/>
          <w:szCs w:val="22"/>
        </w:rPr>
      </w:pPr>
      <w:r w:rsidRPr="00772269">
        <w:rPr>
          <w:rFonts w:ascii="Arial" w:hAnsi="Arial" w:cs="Arial"/>
          <w:sz w:val="22"/>
          <w:szCs w:val="22"/>
        </w:rPr>
        <w:t xml:space="preserve">The NRC agrees, in part, that certain provisions in 10 CFR 53.1369 and 10 CFR 53.1416 are duplicative. </w:t>
      </w:r>
      <w:r w:rsidR="0006309A">
        <w:rPr>
          <w:rFonts w:ascii="Arial" w:hAnsi="Arial" w:cs="Arial"/>
          <w:sz w:val="22"/>
          <w:szCs w:val="22"/>
        </w:rPr>
        <w:t xml:space="preserve">The NRC has also </w:t>
      </w:r>
      <w:r w:rsidR="006C7309">
        <w:rPr>
          <w:rFonts w:ascii="Arial" w:hAnsi="Arial" w:cs="Arial"/>
          <w:sz w:val="22"/>
          <w:szCs w:val="22"/>
        </w:rPr>
        <w:t>review</w:t>
      </w:r>
      <w:r w:rsidR="00554C80">
        <w:rPr>
          <w:rFonts w:ascii="Arial" w:hAnsi="Arial" w:cs="Arial"/>
          <w:sz w:val="22"/>
          <w:szCs w:val="22"/>
        </w:rPr>
        <w:t>ed</w:t>
      </w:r>
      <w:r w:rsidR="006C7309">
        <w:rPr>
          <w:rFonts w:ascii="Arial" w:hAnsi="Arial" w:cs="Arial"/>
          <w:sz w:val="22"/>
          <w:szCs w:val="22"/>
        </w:rPr>
        <w:t xml:space="preserve"> other sections in Subpart H for </w:t>
      </w:r>
      <w:r w:rsidR="002E016F">
        <w:rPr>
          <w:rFonts w:ascii="Arial" w:hAnsi="Arial" w:cs="Arial"/>
          <w:sz w:val="22"/>
          <w:szCs w:val="22"/>
        </w:rPr>
        <w:t xml:space="preserve">duplication of requirements. </w:t>
      </w:r>
    </w:p>
    <w:p w:rsidR="008B51D9" w:rsidP="00772269" w14:paraId="280CF436" w14:textId="77777777">
      <w:pPr>
        <w:spacing w:after="220"/>
        <w:rPr>
          <w:rFonts w:ascii="Arial" w:hAnsi="Arial" w:cs="Arial"/>
          <w:sz w:val="22"/>
          <w:szCs w:val="22"/>
        </w:rPr>
      </w:pPr>
      <w:r w:rsidRPr="00772269">
        <w:rPr>
          <w:rFonts w:ascii="Arial" w:hAnsi="Arial" w:cs="Arial"/>
          <w:sz w:val="22"/>
          <w:szCs w:val="22"/>
        </w:rPr>
        <w:t xml:space="preserve">Accordingly, the NRC </w:t>
      </w:r>
      <w:r w:rsidR="00E63C1C">
        <w:rPr>
          <w:rFonts w:ascii="Arial" w:hAnsi="Arial" w:cs="Arial"/>
          <w:sz w:val="22"/>
          <w:szCs w:val="22"/>
        </w:rPr>
        <w:t>has revised</w:t>
      </w:r>
      <w:r w:rsidRPr="00772269">
        <w:rPr>
          <w:rFonts w:ascii="Arial" w:hAnsi="Arial" w:cs="Arial"/>
          <w:sz w:val="22"/>
          <w:szCs w:val="22"/>
        </w:rPr>
        <w:t xml:space="preserve"> the rule language in response to this comment. Specifically, in 10 CFR 53.</w:t>
      </w:r>
      <w:r w:rsidR="00D80603">
        <w:rPr>
          <w:rFonts w:ascii="Arial" w:hAnsi="Arial" w:cs="Arial"/>
          <w:sz w:val="22"/>
          <w:szCs w:val="22"/>
        </w:rPr>
        <w:t>1279,</w:t>
      </w:r>
      <w:r w:rsidR="00F82E1B">
        <w:rPr>
          <w:rFonts w:ascii="Arial" w:hAnsi="Arial" w:cs="Arial"/>
          <w:sz w:val="22"/>
          <w:szCs w:val="22"/>
        </w:rPr>
        <w:t xml:space="preserve"> the NRC has deleted references to 10</w:t>
      </w:r>
      <w:r w:rsidR="007C7740">
        <w:rPr>
          <w:rFonts w:ascii="Arial" w:hAnsi="Arial" w:cs="Arial"/>
          <w:sz w:val="22"/>
          <w:szCs w:val="22"/>
        </w:rPr>
        <w:t> </w:t>
      </w:r>
      <w:r w:rsidR="00F82E1B">
        <w:rPr>
          <w:rFonts w:ascii="Arial" w:hAnsi="Arial" w:cs="Arial"/>
          <w:sz w:val="22"/>
          <w:szCs w:val="22"/>
        </w:rPr>
        <w:t>CFR</w:t>
      </w:r>
      <w:r w:rsidR="007C7740">
        <w:rPr>
          <w:rFonts w:ascii="Arial" w:hAnsi="Arial" w:cs="Arial"/>
          <w:sz w:val="22"/>
          <w:szCs w:val="22"/>
        </w:rPr>
        <w:t> </w:t>
      </w:r>
      <w:r w:rsidR="00F82E1B">
        <w:rPr>
          <w:rFonts w:ascii="Arial" w:hAnsi="Arial" w:cs="Arial"/>
          <w:sz w:val="22"/>
          <w:szCs w:val="22"/>
        </w:rPr>
        <w:t xml:space="preserve">53.1239(a)(22) </w:t>
      </w:r>
      <w:r w:rsidR="00B53CFB">
        <w:rPr>
          <w:rFonts w:ascii="Arial" w:hAnsi="Arial" w:cs="Arial"/>
          <w:sz w:val="22"/>
          <w:szCs w:val="22"/>
        </w:rPr>
        <w:t xml:space="preserve">(QA) </w:t>
      </w:r>
      <w:r w:rsidR="00F82E1B">
        <w:rPr>
          <w:rFonts w:ascii="Arial" w:hAnsi="Arial" w:cs="Arial"/>
          <w:sz w:val="22"/>
          <w:szCs w:val="22"/>
        </w:rPr>
        <w:t xml:space="preserve">and (a)(24) </w:t>
      </w:r>
      <w:r w:rsidR="00B53CFB">
        <w:rPr>
          <w:rFonts w:ascii="Arial" w:hAnsi="Arial" w:cs="Arial"/>
          <w:sz w:val="22"/>
          <w:szCs w:val="22"/>
        </w:rPr>
        <w:t xml:space="preserve">(interface requirements) </w:t>
      </w:r>
      <w:r w:rsidR="00F82E1B">
        <w:rPr>
          <w:rFonts w:ascii="Arial" w:hAnsi="Arial" w:cs="Arial"/>
          <w:sz w:val="22"/>
          <w:szCs w:val="22"/>
        </w:rPr>
        <w:t xml:space="preserve">because </w:t>
      </w:r>
      <w:r w:rsidR="00271BF7">
        <w:rPr>
          <w:rFonts w:ascii="Arial" w:hAnsi="Arial" w:cs="Arial"/>
          <w:sz w:val="22"/>
          <w:szCs w:val="22"/>
        </w:rPr>
        <w:t>other</w:t>
      </w:r>
      <w:r w:rsidR="00B53CFB">
        <w:rPr>
          <w:rFonts w:ascii="Arial" w:hAnsi="Arial" w:cs="Arial"/>
          <w:sz w:val="22"/>
          <w:szCs w:val="22"/>
        </w:rPr>
        <w:t xml:space="preserve"> paragraphs</w:t>
      </w:r>
      <w:r w:rsidR="00271BF7">
        <w:rPr>
          <w:rFonts w:ascii="Arial" w:hAnsi="Arial" w:cs="Arial"/>
          <w:sz w:val="22"/>
          <w:szCs w:val="22"/>
        </w:rPr>
        <w:t xml:space="preserve"> within </w:t>
      </w:r>
      <w:r>
        <w:rPr>
          <w:rFonts w:ascii="Arial" w:hAnsi="Arial" w:cs="Arial"/>
          <w:sz w:val="22"/>
          <w:szCs w:val="22"/>
        </w:rPr>
        <w:t xml:space="preserve">10 CFR </w:t>
      </w:r>
      <w:r w:rsidR="00271BF7">
        <w:rPr>
          <w:rFonts w:ascii="Arial" w:hAnsi="Arial" w:cs="Arial"/>
          <w:sz w:val="22"/>
          <w:szCs w:val="22"/>
        </w:rPr>
        <w:t>53.1279 cover these requirements. Also</w:t>
      </w:r>
      <w:r w:rsidR="00B53CFB">
        <w:rPr>
          <w:rFonts w:ascii="Arial" w:hAnsi="Arial" w:cs="Arial"/>
          <w:sz w:val="22"/>
          <w:szCs w:val="22"/>
        </w:rPr>
        <w:t xml:space="preserve">, </w:t>
      </w:r>
      <w:r w:rsidR="00C26BBC">
        <w:rPr>
          <w:rFonts w:ascii="Arial" w:hAnsi="Arial" w:cs="Arial"/>
          <w:sz w:val="22"/>
          <w:szCs w:val="22"/>
        </w:rPr>
        <w:t>in 10 CFR 53.1309, the NRC delete</w:t>
      </w:r>
      <w:r w:rsidR="00CC486D">
        <w:rPr>
          <w:rFonts w:ascii="Arial" w:hAnsi="Arial" w:cs="Arial"/>
          <w:sz w:val="22"/>
          <w:szCs w:val="22"/>
        </w:rPr>
        <w:t>d</w:t>
      </w:r>
      <w:r w:rsidR="00C26BBC">
        <w:rPr>
          <w:rFonts w:ascii="Arial" w:hAnsi="Arial" w:cs="Arial"/>
          <w:sz w:val="22"/>
          <w:szCs w:val="22"/>
        </w:rPr>
        <w:t xml:space="preserve"> </w:t>
      </w:r>
      <w:r w:rsidR="00CC486D">
        <w:rPr>
          <w:rFonts w:ascii="Arial" w:hAnsi="Arial" w:cs="Arial"/>
          <w:sz w:val="22"/>
          <w:szCs w:val="22"/>
        </w:rPr>
        <w:t xml:space="preserve">the </w:t>
      </w:r>
      <w:r w:rsidR="00C26BBC">
        <w:rPr>
          <w:rFonts w:ascii="Arial" w:hAnsi="Arial" w:cs="Arial"/>
          <w:sz w:val="22"/>
          <w:szCs w:val="22"/>
        </w:rPr>
        <w:t>reference to 10</w:t>
      </w:r>
      <w:r w:rsidR="00AC023C">
        <w:rPr>
          <w:rFonts w:ascii="Arial" w:hAnsi="Arial" w:cs="Arial"/>
          <w:sz w:val="22"/>
          <w:szCs w:val="22"/>
        </w:rPr>
        <w:t> </w:t>
      </w:r>
      <w:r w:rsidR="00C26BBC">
        <w:rPr>
          <w:rFonts w:ascii="Arial" w:hAnsi="Arial" w:cs="Arial"/>
          <w:sz w:val="22"/>
          <w:szCs w:val="22"/>
        </w:rPr>
        <w:t>CFR</w:t>
      </w:r>
      <w:r w:rsidR="00AC023C">
        <w:rPr>
          <w:rFonts w:ascii="Arial" w:hAnsi="Arial" w:cs="Arial"/>
          <w:sz w:val="22"/>
          <w:szCs w:val="22"/>
        </w:rPr>
        <w:t> </w:t>
      </w:r>
      <w:r w:rsidR="00C26BBC">
        <w:rPr>
          <w:rFonts w:ascii="Arial" w:hAnsi="Arial" w:cs="Arial"/>
          <w:sz w:val="22"/>
          <w:szCs w:val="22"/>
        </w:rPr>
        <w:t>53.1239(a)</w:t>
      </w:r>
      <w:r w:rsidR="00A72461">
        <w:rPr>
          <w:rFonts w:ascii="Arial" w:hAnsi="Arial" w:cs="Arial"/>
          <w:sz w:val="22"/>
          <w:szCs w:val="22"/>
        </w:rPr>
        <w:t xml:space="preserve">(22) </w:t>
      </w:r>
      <w:r w:rsidRPr="00A72461" w:rsidR="00A72461">
        <w:rPr>
          <w:rFonts w:ascii="Arial" w:hAnsi="Arial" w:cs="Arial"/>
          <w:sz w:val="22"/>
          <w:szCs w:val="22"/>
        </w:rPr>
        <w:t xml:space="preserve">(QA) </w:t>
      </w:r>
      <w:r w:rsidR="00127319">
        <w:rPr>
          <w:rFonts w:ascii="Arial" w:hAnsi="Arial" w:cs="Arial"/>
          <w:sz w:val="22"/>
          <w:szCs w:val="22"/>
        </w:rPr>
        <w:t>and 53.12</w:t>
      </w:r>
      <w:r w:rsidR="00B05216">
        <w:rPr>
          <w:rFonts w:ascii="Arial" w:hAnsi="Arial" w:cs="Arial"/>
          <w:sz w:val="22"/>
          <w:szCs w:val="22"/>
        </w:rPr>
        <w:t xml:space="preserve">39(a)(25) (technical qualifications) </w:t>
      </w:r>
      <w:r w:rsidRPr="00A72461" w:rsidR="00A72461">
        <w:rPr>
          <w:rFonts w:ascii="Arial" w:hAnsi="Arial" w:cs="Arial"/>
          <w:sz w:val="22"/>
          <w:szCs w:val="22"/>
        </w:rPr>
        <w:t>because other paragraph</w:t>
      </w:r>
      <w:r w:rsidR="009263CA">
        <w:rPr>
          <w:rFonts w:ascii="Arial" w:hAnsi="Arial" w:cs="Arial"/>
          <w:sz w:val="22"/>
          <w:szCs w:val="22"/>
        </w:rPr>
        <w:t>s</w:t>
      </w:r>
      <w:r w:rsidRPr="00A72461" w:rsidR="00A72461">
        <w:rPr>
          <w:rFonts w:ascii="Arial" w:hAnsi="Arial" w:cs="Arial"/>
          <w:sz w:val="22"/>
          <w:szCs w:val="22"/>
        </w:rPr>
        <w:t xml:space="preserve"> within 53.1</w:t>
      </w:r>
      <w:r w:rsidR="00CC486D">
        <w:rPr>
          <w:rFonts w:ascii="Arial" w:hAnsi="Arial" w:cs="Arial"/>
          <w:sz w:val="22"/>
          <w:szCs w:val="22"/>
        </w:rPr>
        <w:t>309</w:t>
      </w:r>
      <w:r w:rsidRPr="00A72461" w:rsidR="00A72461">
        <w:rPr>
          <w:rFonts w:ascii="Arial" w:hAnsi="Arial" w:cs="Arial"/>
          <w:sz w:val="22"/>
          <w:szCs w:val="22"/>
        </w:rPr>
        <w:t xml:space="preserve"> cover</w:t>
      </w:r>
      <w:r w:rsidR="00CC486D">
        <w:rPr>
          <w:rFonts w:ascii="Arial" w:hAnsi="Arial" w:cs="Arial"/>
          <w:sz w:val="22"/>
          <w:szCs w:val="22"/>
        </w:rPr>
        <w:t>s</w:t>
      </w:r>
      <w:r w:rsidRPr="00A72461" w:rsidR="00A72461">
        <w:rPr>
          <w:rFonts w:ascii="Arial" w:hAnsi="Arial" w:cs="Arial"/>
          <w:sz w:val="22"/>
          <w:szCs w:val="22"/>
        </w:rPr>
        <w:t xml:space="preserve"> th</w:t>
      </w:r>
      <w:r w:rsidR="00B05216">
        <w:rPr>
          <w:rFonts w:ascii="Arial" w:hAnsi="Arial" w:cs="Arial"/>
          <w:sz w:val="22"/>
          <w:szCs w:val="22"/>
        </w:rPr>
        <w:t>ese</w:t>
      </w:r>
      <w:r w:rsidRPr="00A72461" w:rsidR="00A72461">
        <w:rPr>
          <w:rFonts w:ascii="Arial" w:hAnsi="Arial" w:cs="Arial"/>
          <w:sz w:val="22"/>
          <w:szCs w:val="22"/>
        </w:rPr>
        <w:t xml:space="preserve"> requirement</w:t>
      </w:r>
      <w:r w:rsidR="00B05216">
        <w:rPr>
          <w:rFonts w:ascii="Arial" w:hAnsi="Arial" w:cs="Arial"/>
          <w:sz w:val="22"/>
          <w:szCs w:val="22"/>
        </w:rPr>
        <w:t>s</w:t>
      </w:r>
      <w:r w:rsidR="00E268E9">
        <w:rPr>
          <w:rFonts w:ascii="Arial" w:hAnsi="Arial" w:cs="Arial"/>
          <w:sz w:val="22"/>
          <w:szCs w:val="22"/>
        </w:rPr>
        <w:t>.</w:t>
      </w:r>
      <w:r w:rsidRPr="00A72461" w:rsidR="00A72461">
        <w:rPr>
          <w:rFonts w:ascii="Arial" w:hAnsi="Arial" w:cs="Arial"/>
          <w:sz w:val="22"/>
          <w:szCs w:val="22"/>
        </w:rPr>
        <w:t xml:space="preserve"> </w:t>
      </w:r>
    </w:p>
    <w:p w:rsidR="008B51D9" w:rsidP="00772269" w14:paraId="1401929D" w14:textId="77777777">
      <w:pPr>
        <w:spacing w:after="220"/>
        <w:rPr>
          <w:rFonts w:ascii="Arial" w:hAnsi="Arial" w:cs="Arial"/>
          <w:sz w:val="22"/>
          <w:szCs w:val="22"/>
        </w:rPr>
      </w:pPr>
      <w:r>
        <w:rPr>
          <w:rFonts w:ascii="Arial" w:hAnsi="Arial" w:cs="Arial"/>
          <w:sz w:val="22"/>
          <w:szCs w:val="22"/>
        </w:rPr>
        <w:t>The NRC also deleted the re</w:t>
      </w:r>
      <w:r w:rsidR="006E71DD">
        <w:rPr>
          <w:rFonts w:ascii="Arial" w:hAnsi="Arial" w:cs="Arial"/>
          <w:sz w:val="22"/>
          <w:szCs w:val="22"/>
        </w:rPr>
        <w:t xml:space="preserve">ference to 10 CFR 53.1239(a)(24) (interface requirements) because </w:t>
      </w:r>
      <w:r w:rsidR="001D5EC8">
        <w:rPr>
          <w:rFonts w:ascii="Arial" w:hAnsi="Arial" w:cs="Arial"/>
          <w:sz w:val="22"/>
          <w:szCs w:val="22"/>
        </w:rPr>
        <w:t xml:space="preserve">this requirement is not applicable to CP applicants, as the commenter pointed out. </w:t>
      </w:r>
      <w:r w:rsidR="00D11837">
        <w:rPr>
          <w:rFonts w:ascii="Arial" w:hAnsi="Arial" w:cs="Arial"/>
          <w:sz w:val="22"/>
          <w:szCs w:val="22"/>
        </w:rPr>
        <w:t>I</w:t>
      </w:r>
      <w:r w:rsidRPr="00772269" w:rsidR="007F112A">
        <w:rPr>
          <w:rFonts w:ascii="Arial" w:hAnsi="Arial" w:cs="Arial"/>
          <w:sz w:val="22"/>
          <w:szCs w:val="22"/>
        </w:rPr>
        <w:t>n 10 CFR 53.1369, the NRC has deleted references to 10 CFR 53.1239(a)(27) (10</w:t>
      </w:r>
      <w:r w:rsidR="00E11747">
        <w:rPr>
          <w:rFonts w:ascii="Arial" w:hAnsi="Arial" w:cs="Arial"/>
          <w:sz w:val="22"/>
          <w:szCs w:val="22"/>
        </w:rPr>
        <w:t> </w:t>
      </w:r>
      <w:r w:rsidRPr="00772269" w:rsidR="007F112A">
        <w:rPr>
          <w:rFonts w:ascii="Arial" w:hAnsi="Arial" w:cs="Arial"/>
          <w:sz w:val="22"/>
          <w:szCs w:val="22"/>
        </w:rPr>
        <w:t>CFR</w:t>
      </w:r>
      <w:r w:rsidR="00681E34">
        <w:rPr>
          <w:rFonts w:ascii="Arial" w:hAnsi="Arial" w:cs="Arial"/>
          <w:sz w:val="22"/>
          <w:szCs w:val="22"/>
        </w:rPr>
        <w:t> </w:t>
      </w:r>
      <w:r w:rsidRPr="00772269" w:rsidR="007F112A">
        <w:rPr>
          <w:rFonts w:ascii="Arial" w:hAnsi="Arial" w:cs="Arial"/>
          <w:sz w:val="22"/>
          <w:szCs w:val="22"/>
        </w:rPr>
        <w:t xml:space="preserve">53.1369(g) covers Role of </w:t>
      </w:r>
      <w:r w:rsidR="000D77AA">
        <w:rPr>
          <w:rFonts w:ascii="Arial" w:hAnsi="Arial" w:cs="Arial"/>
          <w:sz w:val="22"/>
          <w:szCs w:val="22"/>
        </w:rPr>
        <w:t>P</w:t>
      </w:r>
      <w:r w:rsidRPr="00772269" w:rsidR="007F112A">
        <w:rPr>
          <w:rFonts w:ascii="Arial" w:hAnsi="Arial" w:cs="Arial"/>
          <w:sz w:val="22"/>
          <w:szCs w:val="22"/>
        </w:rPr>
        <w:t>ersonnel), 10</w:t>
      </w:r>
      <w:r w:rsidRPr="00772269" w:rsidR="00C32FC8">
        <w:rPr>
          <w:rFonts w:ascii="Arial" w:hAnsi="Arial" w:cs="Arial"/>
          <w:sz w:val="22"/>
          <w:szCs w:val="22"/>
        </w:rPr>
        <w:t> </w:t>
      </w:r>
      <w:r w:rsidRPr="00772269" w:rsidR="007F112A">
        <w:rPr>
          <w:rFonts w:ascii="Arial" w:hAnsi="Arial" w:cs="Arial"/>
          <w:sz w:val="22"/>
          <w:szCs w:val="22"/>
        </w:rPr>
        <w:t xml:space="preserve">CFR 53.1239(a)(13) (10 CFR 53.1369(d) covers the Integrity Assessment Program), </w:t>
      </w:r>
      <w:r w:rsidR="000D43A9">
        <w:rPr>
          <w:rFonts w:ascii="Arial" w:hAnsi="Arial" w:cs="Arial"/>
          <w:sz w:val="22"/>
          <w:szCs w:val="22"/>
        </w:rPr>
        <w:t>10 CFR 53.1239(a)(24)</w:t>
      </w:r>
      <w:r w:rsidR="00DC1684">
        <w:rPr>
          <w:rFonts w:ascii="Arial" w:hAnsi="Arial" w:cs="Arial"/>
          <w:sz w:val="22"/>
          <w:szCs w:val="22"/>
        </w:rPr>
        <w:t xml:space="preserve"> </w:t>
      </w:r>
      <w:r w:rsidR="004E3857">
        <w:rPr>
          <w:rFonts w:ascii="Arial" w:hAnsi="Arial" w:cs="Arial"/>
          <w:sz w:val="22"/>
          <w:szCs w:val="22"/>
        </w:rPr>
        <w:t>(</w:t>
      </w:r>
      <w:r w:rsidR="00405138">
        <w:rPr>
          <w:rFonts w:ascii="Arial" w:hAnsi="Arial" w:cs="Arial"/>
          <w:sz w:val="22"/>
          <w:szCs w:val="22"/>
        </w:rPr>
        <w:t xml:space="preserve">not applicable to OLs), </w:t>
      </w:r>
      <w:r w:rsidRPr="00772269" w:rsidR="007F112A">
        <w:rPr>
          <w:rFonts w:ascii="Arial" w:hAnsi="Arial" w:cs="Arial"/>
          <w:sz w:val="22"/>
          <w:szCs w:val="22"/>
        </w:rPr>
        <w:t>and 10</w:t>
      </w:r>
      <w:r w:rsidR="0099205C">
        <w:rPr>
          <w:rFonts w:ascii="Arial" w:hAnsi="Arial" w:cs="Arial"/>
          <w:sz w:val="22"/>
          <w:szCs w:val="22"/>
        </w:rPr>
        <w:t> </w:t>
      </w:r>
      <w:r w:rsidRPr="00772269" w:rsidR="007F112A">
        <w:rPr>
          <w:rFonts w:ascii="Arial" w:hAnsi="Arial" w:cs="Arial"/>
          <w:sz w:val="22"/>
          <w:szCs w:val="22"/>
        </w:rPr>
        <w:t>CFR</w:t>
      </w:r>
      <w:r w:rsidR="0099205C">
        <w:rPr>
          <w:rFonts w:ascii="Arial" w:hAnsi="Arial" w:cs="Arial"/>
          <w:sz w:val="22"/>
          <w:szCs w:val="22"/>
        </w:rPr>
        <w:t> </w:t>
      </w:r>
      <w:r w:rsidRPr="00772269" w:rsidR="007F112A">
        <w:rPr>
          <w:rFonts w:ascii="Arial" w:hAnsi="Arial" w:cs="Arial"/>
          <w:sz w:val="22"/>
          <w:szCs w:val="22"/>
        </w:rPr>
        <w:t xml:space="preserve">53.1369(c) on Technical Qualifications (duplicative of 53.1239(a)(25)). </w:t>
      </w:r>
    </w:p>
    <w:p w:rsidR="007F112A" w:rsidRPr="00772269" w:rsidP="00772269" w14:paraId="1B624018" w14:textId="77777777">
      <w:pPr>
        <w:spacing w:after="220"/>
        <w:rPr>
          <w:rFonts w:ascii="Arial" w:hAnsi="Arial" w:cs="Arial"/>
          <w:sz w:val="22"/>
          <w:szCs w:val="22"/>
        </w:rPr>
      </w:pPr>
      <w:r w:rsidRPr="00772269">
        <w:rPr>
          <w:rFonts w:ascii="Arial" w:hAnsi="Arial" w:cs="Arial"/>
          <w:sz w:val="22"/>
          <w:szCs w:val="22"/>
        </w:rPr>
        <w:t>In addition, in 10</w:t>
      </w:r>
      <w:r w:rsidRPr="00772269" w:rsidR="001B5276">
        <w:rPr>
          <w:rFonts w:ascii="Arial" w:hAnsi="Arial" w:cs="Arial"/>
          <w:sz w:val="22"/>
          <w:szCs w:val="22"/>
        </w:rPr>
        <w:t> </w:t>
      </w:r>
      <w:r w:rsidRPr="00772269">
        <w:rPr>
          <w:rFonts w:ascii="Arial" w:hAnsi="Arial" w:cs="Arial"/>
          <w:sz w:val="22"/>
          <w:szCs w:val="22"/>
        </w:rPr>
        <w:t>CFR</w:t>
      </w:r>
      <w:r w:rsidRPr="00772269" w:rsidR="001B5276">
        <w:rPr>
          <w:rFonts w:ascii="Arial" w:hAnsi="Arial" w:cs="Arial"/>
          <w:sz w:val="22"/>
          <w:szCs w:val="22"/>
        </w:rPr>
        <w:t> </w:t>
      </w:r>
      <w:r w:rsidRPr="00772269">
        <w:rPr>
          <w:rFonts w:ascii="Arial" w:hAnsi="Arial" w:cs="Arial"/>
          <w:sz w:val="22"/>
          <w:szCs w:val="22"/>
        </w:rPr>
        <w:t>53.1416, the NRC has deleted reference to 10 CFR 53.1239(a)(</w:t>
      </w:r>
      <w:r w:rsidR="00D37B02">
        <w:rPr>
          <w:rFonts w:ascii="Arial" w:hAnsi="Arial" w:cs="Arial"/>
          <w:sz w:val="22"/>
          <w:szCs w:val="22"/>
        </w:rPr>
        <w:t xml:space="preserve">13), </w:t>
      </w:r>
      <w:r w:rsidRPr="00772269">
        <w:rPr>
          <w:rFonts w:ascii="Arial" w:hAnsi="Arial" w:cs="Arial"/>
          <w:sz w:val="22"/>
          <w:szCs w:val="22"/>
        </w:rPr>
        <w:t>(a)(22), (</w:t>
      </w:r>
      <w:r w:rsidRPr="00772269" w:rsidR="001B5276">
        <w:rPr>
          <w:rFonts w:ascii="Arial" w:hAnsi="Arial" w:cs="Arial"/>
          <w:sz w:val="22"/>
          <w:szCs w:val="22"/>
        </w:rPr>
        <w:t>a)</w:t>
      </w:r>
      <w:r w:rsidRPr="00772269">
        <w:rPr>
          <w:rFonts w:ascii="Arial" w:hAnsi="Arial" w:cs="Arial"/>
          <w:sz w:val="22"/>
          <w:szCs w:val="22"/>
        </w:rPr>
        <w:t>(25), (</w:t>
      </w:r>
      <w:r w:rsidRPr="00772269" w:rsidR="001B5276">
        <w:rPr>
          <w:rFonts w:ascii="Arial" w:hAnsi="Arial" w:cs="Arial"/>
          <w:sz w:val="22"/>
          <w:szCs w:val="22"/>
        </w:rPr>
        <w:t>a)</w:t>
      </w:r>
      <w:r w:rsidRPr="00772269">
        <w:rPr>
          <w:rFonts w:ascii="Arial" w:hAnsi="Arial" w:cs="Arial"/>
          <w:sz w:val="22"/>
          <w:szCs w:val="22"/>
        </w:rPr>
        <w:t xml:space="preserve">(26), and (a)(27) because they are duplicative of other requirements in </w:t>
      </w:r>
      <w:r w:rsidR="008C34CF">
        <w:rPr>
          <w:rFonts w:ascii="Arial" w:hAnsi="Arial" w:cs="Arial"/>
          <w:sz w:val="22"/>
          <w:szCs w:val="22"/>
        </w:rPr>
        <w:t>10</w:t>
      </w:r>
      <w:r w:rsidR="007C7740">
        <w:rPr>
          <w:rFonts w:ascii="Arial" w:hAnsi="Arial" w:cs="Arial"/>
          <w:sz w:val="22"/>
          <w:szCs w:val="22"/>
        </w:rPr>
        <w:t> </w:t>
      </w:r>
      <w:r w:rsidR="008C34CF">
        <w:rPr>
          <w:rFonts w:ascii="Arial" w:hAnsi="Arial" w:cs="Arial"/>
          <w:sz w:val="22"/>
          <w:szCs w:val="22"/>
        </w:rPr>
        <w:t>CFR</w:t>
      </w:r>
      <w:r w:rsidR="007C7740">
        <w:rPr>
          <w:rFonts w:ascii="Arial" w:hAnsi="Arial" w:cs="Arial"/>
          <w:sz w:val="22"/>
          <w:szCs w:val="22"/>
        </w:rPr>
        <w:t> </w:t>
      </w:r>
      <w:r w:rsidR="008C34CF">
        <w:rPr>
          <w:rFonts w:ascii="Arial" w:hAnsi="Arial" w:cs="Arial"/>
          <w:sz w:val="22"/>
          <w:szCs w:val="22"/>
        </w:rPr>
        <w:t>53.1416</w:t>
      </w:r>
      <w:r w:rsidR="00EA121A">
        <w:rPr>
          <w:rFonts w:ascii="Arial" w:hAnsi="Arial" w:cs="Arial"/>
          <w:sz w:val="22"/>
          <w:szCs w:val="22"/>
        </w:rPr>
        <w:t xml:space="preserve"> or are not applicable at the COL stage</w:t>
      </w:r>
      <w:r w:rsidRPr="00772269">
        <w:rPr>
          <w:rFonts w:ascii="Arial" w:hAnsi="Arial" w:cs="Arial"/>
          <w:sz w:val="22"/>
          <w:szCs w:val="22"/>
        </w:rPr>
        <w:t xml:space="preserve">. </w:t>
      </w:r>
      <w:r w:rsidR="008B51D9">
        <w:rPr>
          <w:rFonts w:ascii="Arial" w:hAnsi="Arial" w:cs="Arial"/>
          <w:sz w:val="22"/>
          <w:szCs w:val="22"/>
        </w:rPr>
        <w:t>T</w:t>
      </w:r>
      <w:r w:rsidRPr="00772269">
        <w:rPr>
          <w:rFonts w:ascii="Arial" w:hAnsi="Arial" w:cs="Arial"/>
          <w:sz w:val="22"/>
          <w:szCs w:val="22"/>
        </w:rPr>
        <w:t xml:space="preserve">he NRC has </w:t>
      </w:r>
      <w:r w:rsidR="008B51D9">
        <w:rPr>
          <w:rFonts w:ascii="Arial" w:hAnsi="Arial" w:cs="Arial"/>
          <w:sz w:val="22"/>
          <w:szCs w:val="22"/>
        </w:rPr>
        <w:t>also</w:t>
      </w:r>
      <w:r w:rsidRPr="00772269">
        <w:rPr>
          <w:rFonts w:ascii="Arial" w:hAnsi="Arial" w:cs="Arial"/>
          <w:sz w:val="22"/>
          <w:szCs w:val="22"/>
        </w:rPr>
        <w:t xml:space="preserve"> deleted the reference to 10 CFR</w:t>
      </w:r>
      <w:r w:rsidR="00E11747">
        <w:rPr>
          <w:rFonts w:ascii="Arial" w:hAnsi="Arial" w:cs="Arial"/>
          <w:sz w:val="22"/>
          <w:szCs w:val="22"/>
        </w:rPr>
        <w:t> </w:t>
      </w:r>
      <w:r w:rsidRPr="00772269">
        <w:rPr>
          <w:rFonts w:ascii="Arial" w:hAnsi="Arial" w:cs="Arial"/>
          <w:sz w:val="22"/>
          <w:szCs w:val="22"/>
        </w:rPr>
        <w:t xml:space="preserve">53.1239(a)(14) in partial agreement with </w:t>
      </w:r>
      <w:r w:rsidRPr="00CF4476" w:rsidR="00CF4476">
        <w:rPr>
          <w:rFonts w:ascii="Arial" w:hAnsi="Arial" w:cs="Arial"/>
          <w:bCs/>
          <w:sz w:val="22"/>
          <w:szCs w:val="22"/>
        </w:rPr>
        <w:t>Comment Bin</w:t>
      </w:r>
      <w:r w:rsidR="00887027">
        <w:rPr>
          <w:rFonts w:ascii="Arial" w:hAnsi="Arial" w:cs="Arial"/>
          <w:bCs/>
          <w:sz w:val="22"/>
          <w:szCs w:val="22"/>
        </w:rPr>
        <w:t> </w:t>
      </w:r>
      <w:r w:rsidRPr="00CF4476" w:rsidR="00CF4476">
        <w:rPr>
          <w:rFonts w:ascii="Arial" w:hAnsi="Arial" w:cs="Arial"/>
          <w:bCs/>
          <w:sz w:val="22"/>
          <w:szCs w:val="22"/>
        </w:rPr>
        <w:t>3.3.2.1.</w:t>
      </w:r>
      <w:r w:rsidR="00887027">
        <w:rPr>
          <w:rFonts w:ascii="Arial" w:hAnsi="Arial" w:cs="Arial"/>
          <w:bCs/>
          <w:sz w:val="22"/>
          <w:szCs w:val="22"/>
        </w:rPr>
        <w:t>E</w:t>
      </w:r>
      <w:r w:rsidRPr="00CF4476">
        <w:rPr>
          <w:rFonts w:ascii="Arial" w:hAnsi="Arial" w:cs="Arial"/>
          <w:sz w:val="22"/>
          <w:szCs w:val="22"/>
        </w:rPr>
        <w:t>.</w:t>
      </w:r>
    </w:p>
    <w:p w:rsidR="007F112A" w:rsidRPr="00772269" w:rsidP="00772269" w14:paraId="23418EE5" w14:textId="77777777">
      <w:pPr>
        <w:spacing w:after="220"/>
        <w:rPr>
          <w:rFonts w:ascii="Arial" w:hAnsi="Arial" w:cs="Arial"/>
          <w:sz w:val="22"/>
          <w:szCs w:val="22"/>
        </w:rPr>
      </w:pPr>
      <w:r>
        <w:rPr>
          <w:rFonts w:ascii="Arial" w:hAnsi="Arial" w:cs="Arial"/>
          <w:sz w:val="22"/>
          <w:szCs w:val="22"/>
        </w:rPr>
        <w:pict>
          <v:rect id="_x0000_i1252" style="width:0;height:1.5pt" o:hralign="center" o:hrstd="t" o:hrnoshade="t" o:hr="t" fillcolor="black" stroked="f"/>
        </w:pict>
      </w:r>
    </w:p>
    <w:p w:rsidR="007F112A" w:rsidRPr="00772269" w:rsidP="00772269" w14:paraId="2513A72F" w14:textId="77777777">
      <w:pPr>
        <w:spacing w:after="220"/>
        <w:rPr>
          <w:rFonts w:ascii="Arial" w:hAnsi="Arial" w:cs="Arial"/>
          <w:sz w:val="22"/>
          <w:szCs w:val="22"/>
        </w:rPr>
      </w:pPr>
      <w:r w:rsidRPr="00772269">
        <w:rPr>
          <w:rFonts w:ascii="Arial" w:hAnsi="Arial" w:cs="Arial"/>
          <w:b/>
          <w:sz w:val="22"/>
          <w:szCs w:val="22"/>
        </w:rPr>
        <w:t>Comment Bin 3.8.1.S:</w:t>
      </w:r>
      <w:r w:rsidRPr="00772269">
        <w:rPr>
          <w:rFonts w:ascii="Arial" w:hAnsi="Arial" w:cs="Arial"/>
          <w:sz w:val="22"/>
          <w:szCs w:val="22"/>
        </w:rPr>
        <w:t xml:space="preserve"> Regarding 10 CFR 53.1103, a commenter wrote that there is no guidance on how applications and licenses could be combined or how this could be achieved. The commenter asked what kinds of licenses and which elements are combinable. The commenter wrote that the aim should be for one license to cover the entire facility design, construction and operation, and by inclusion multiple units. The commenter wrote that design certification and issuance of construction and operating permits and licenses should “preferably be as practiced and enforced in the airline industry and internationally agreed as far as possible via </w:t>
      </w:r>
      <w:r w:rsidR="00833458">
        <w:rPr>
          <w:rFonts w:ascii="Arial" w:hAnsi="Arial" w:cs="Arial"/>
          <w:sz w:val="22"/>
          <w:szCs w:val="22"/>
        </w:rPr>
        <w:t>‘</w:t>
      </w:r>
      <w:r w:rsidRPr="00772269">
        <w:rPr>
          <w:rFonts w:ascii="Arial" w:hAnsi="Arial" w:cs="Arial"/>
          <w:sz w:val="22"/>
          <w:szCs w:val="22"/>
        </w:rPr>
        <w:t>type certification</w:t>
      </w:r>
      <w:r w:rsidR="00833458">
        <w:rPr>
          <w:rFonts w:ascii="Arial" w:hAnsi="Arial" w:cs="Arial"/>
          <w:sz w:val="22"/>
          <w:szCs w:val="22"/>
        </w:rPr>
        <w:t>’</w:t>
      </w:r>
      <w:r w:rsidRPr="00772269">
        <w:rPr>
          <w:rFonts w:ascii="Arial" w:hAnsi="Arial" w:cs="Arial"/>
          <w:sz w:val="22"/>
          <w:szCs w:val="22"/>
        </w:rPr>
        <w:t xml:space="preserve"> rather than using </w:t>
      </w:r>
      <w:r w:rsidR="00833458">
        <w:rPr>
          <w:rFonts w:ascii="Arial" w:hAnsi="Arial" w:cs="Arial"/>
          <w:sz w:val="22"/>
          <w:szCs w:val="22"/>
        </w:rPr>
        <w:t>‘</w:t>
      </w:r>
      <w:r w:rsidRPr="00772269">
        <w:rPr>
          <w:rFonts w:ascii="Arial" w:hAnsi="Arial" w:cs="Arial"/>
          <w:sz w:val="22"/>
          <w:szCs w:val="22"/>
        </w:rPr>
        <w:t>design authorization/licensing</w:t>
      </w:r>
      <w:r w:rsidR="00833458">
        <w:rPr>
          <w:rFonts w:ascii="Arial" w:hAnsi="Arial" w:cs="Arial"/>
          <w:sz w:val="22"/>
          <w:szCs w:val="22"/>
        </w:rPr>
        <w:t>’</w:t>
      </w:r>
      <w:r w:rsidRPr="00772269">
        <w:rPr>
          <w:rFonts w:ascii="Arial" w:hAnsi="Arial" w:cs="Arial"/>
          <w:sz w:val="22"/>
          <w:szCs w:val="22"/>
        </w:rPr>
        <w:t xml:space="preserve"> and Improvements” </w:t>
      </w:r>
      <w:r w:rsidR="00F05DC7">
        <w:rPr>
          <w:rFonts w:ascii="Arial" w:hAnsi="Arial" w:cs="Arial"/>
          <w:sz w:val="22"/>
          <w:szCs w:val="22"/>
        </w:rPr>
        <w:br/>
      </w:r>
      <w:r w:rsidRPr="00772269">
        <w:rPr>
          <w:rFonts w:ascii="Arial" w:hAnsi="Arial" w:cs="Arial"/>
          <w:sz w:val="22"/>
          <w:szCs w:val="22"/>
        </w:rPr>
        <w:t>(</w:t>
      </w:r>
      <w:r w:rsidR="00A02F0C">
        <w:rPr>
          <w:rFonts w:ascii="Arial" w:hAnsi="Arial" w:cs="Arial"/>
          <w:sz w:val="22"/>
          <w:szCs w:val="22"/>
        </w:rPr>
        <w:t>RD</w:t>
      </w:r>
      <w:r w:rsidRPr="00772269">
        <w:rPr>
          <w:rFonts w:ascii="Arial" w:hAnsi="Arial" w:cs="Arial"/>
          <w:sz w:val="22"/>
          <w:szCs w:val="22"/>
        </w:rPr>
        <w:t>-0006). </w:t>
      </w:r>
    </w:p>
    <w:p w:rsidR="007F112A" w:rsidRPr="00772269" w:rsidP="00772269" w14:paraId="7E016E31"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 in part, with th</w:t>
      </w:r>
      <w:r w:rsidR="00833458">
        <w:rPr>
          <w:rFonts w:ascii="Arial" w:hAnsi="Arial" w:cs="Arial"/>
          <w:sz w:val="22"/>
          <w:szCs w:val="22"/>
        </w:rPr>
        <w:t>is</w:t>
      </w:r>
      <w:r w:rsidRPr="00772269">
        <w:rPr>
          <w:rFonts w:ascii="Arial" w:hAnsi="Arial" w:cs="Arial"/>
          <w:sz w:val="22"/>
          <w:szCs w:val="22"/>
        </w:rPr>
        <w:t xml:space="preserve"> comment.</w:t>
      </w:r>
    </w:p>
    <w:p w:rsidR="007F112A" w:rsidRPr="00772269" w:rsidP="00772269" w14:paraId="17ED4FE1" w14:textId="77777777">
      <w:pPr>
        <w:spacing w:after="220"/>
        <w:rPr>
          <w:rFonts w:ascii="Arial" w:hAnsi="Arial" w:cs="Arial"/>
          <w:sz w:val="22"/>
          <w:szCs w:val="22"/>
        </w:rPr>
      </w:pPr>
      <w:r w:rsidRPr="00772269">
        <w:rPr>
          <w:rFonts w:ascii="Arial" w:hAnsi="Arial" w:cs="Arial"/>
          <w:sz w:val="22"/>
          <w:szCs w:val="22"/>
        </w:rPr>
        <w:t>The NRC understands the comment to be asking how applications and licenses can be combined under 10 CFR 53.1103. The provisions in 10 CFR 53.1103 address combining applications and are equivalent to existing requirements in 10 CFR 50.31, 50.52, and 52.8. The provisions in 10 CFR 53.1103(a) provide that an application may be combined with applications for different licenses in other parts of 10 CFR Chapter I and 10 CFR 53.1103(b) would continue the Commission’s practice of combining multiple authorizations for a facility under 10</w:t>
      </w:r>
      <w:r w:rsidR="00770AD1">
        <w:rPr>
          <w:rFonts w:ascii="Arial" w:hAnsi="Arial" w:cs="Arial"/>
          <w:sz w:val="22"/>
          <w:szCs w:val="22"/>
        </w:rPr>
        <w:t> </w:t>
      </w:r>
      <w:r w:rsidRPr="00772269">
        <w:rPr>
          <w:rFonts w:ascii="Arial" w:hAnsi="Arial" w:cs="Arial"/>
          <w:sz w:val="22"/>
          <w:szCs w:val="22"/>
        </w:rPr>
        <w:t>CFR</w:t>
      </w:r>
      <w:r w:rsidR="00770AD1">
        <w:rPr>
          <w:rFonts w:ascii="Arial" w:hAnsi="Arial" w:cs="Arial"/>
          <w:sz w:val="22"/>
          <w:szCs w:val="22"/>
        </w:rPr>
        <w:t> </w:t>
      </w:r>
      <w:r w:rsidRPr="00772269">
        <w:rPr>
          <w:rFonts w:ascii="Arial" w:hAnsi="Arial" w:cs="Arial"/>
          <w:sz w:val="22"/>
          <w:szCs w:val="22"/>
        </w:rPr>
        <w:t>Parts</w:t>
      </w:r>
      <w:r w:rsidR="00770AD1">
        <w:rPr>
          <w:rFonts w:ascii="Arial" w:hAnsi="Arial" w:cs="Arial"/>
          <w:sz w:val="22"/>
          <w:szCs w:val="22"/>
        </w:rPr>
        <w:t> </w:t>
      </w:r>
      <w:r w:rsidRPr="00772269">
        <w:rPr>
          <w:rFonts w:ascii="Arial" w:hAnsi="Arial" w:cs="Arial"/>
          <w:sz w:val="22"/>
          <w:szCs w:val="22"/>
        </w:rPr>
        <w:t xml:space="preserve">30, 40, 50, 53, and 70 into one license based on the Commission's authority under </w:t>
      </w:r>
      <w:r w:rsidR="004904EB">
        <w:rPr>
          <w:rFonts w:ascii="Arial" w:hAnsi="Arial" w:cs="Arial"/>
          <w:sz w:val="22"/>
          <w:szCs w:val="22"/>
        </w:rPr>
        <w:t>s</w:t>
      </w:r>
      <w:r w:rsidRPr="00772269">
        <w:rPr>
          <w:rFonts w:ascii="Arial" w:hAnsi="Arial" w:cs="Arial"/>
          <w:sz w:val="22"/>
          <w:szCs w:val="22"/>
        </w:rPr>
        <w:t xml:space="preserve">ection 161h of the </w:t>
      </w:r>
      <w:r w:rsidR="00593810">
        <w:rPr>
          <w:rFonts w:ascii="Arial" w:hAnsi="Arial" w:cs="Arial"/>
          <w:sz w:val="22"/>
          <w:szCs w:val="22"/>
        </w:rPr>
        <w:t>AEA</w:t>
      </w:r>
      <w:r w:rsidRPr="00772269">
        <w:rPr>
          <w:rFonts w:ascii="Arial" w:hAnsi="Arial" w:cs="Arial"/>
          <w:sz w:val="22"/>
          <w:szCs w:val="22"/>
        </w:rPr>
        <w:t xml:space="preserve"> to combine NRC licenses.</w:t>
      </w:r>
    </w:p>
    <w:p w:rsidR="007F112A" w:rsidRPr="00772269" w:rsidP="00772269" w14:paraId="061E2ACE" w14:textId="77777777">
      <w:pPr>
        <w:spacing w:after="220"/>
        <w:rPr>
          <w:rFonts w:ascii="Arial" w:hAnsi="Arial" w:cs="Arial"/>
          <w:sz w:val="22"/>
          <w:szCs w:val="22"/>
        </w:rPr>
      </w:pPr>
      <w:r w:rsidRPr="00772269">
        <w:rPr>
          <w:rFonts w:ascii="Arial" w:hAnsi="Arial" w:cs="Arial"/>
          <w:sz w:val="22"/>
          <w:szCs w:val="22"/>
        </w:rPr>
        <w:t xml:space="preserve">The NRC agrees that it is possible for one license to cover the facility design, construction, and operation, and, possibly, multiple units. The NRC disagrees that it should restructure the design certification and issuance of </w:t>
      </w:r>
      <w:r w:rsidR="00AA119A">
        <w:rPr>
          <w:rFonts w:ascii="Arial" w:hAnsi="Arial" w:cs="Arial"/>
          <w:sz w:val="22"/>
          <w:szCs w:val="22"/>
        </w:rPr>
        <w:t>CP</w:t>
      </w:r>
      <w:r w:rsidRPr="00772269">
        <w:rPr>
          <w:rFonts w:ascii="Arial" w:hAnsi="Arial" w:cs="Arial"/>
          <w:sz w:val="22"/>
          <w:szCs w:val="22"/>
        </w:rPr>
        <w:t xml:space="preserve">s and operating licenses (or </w:t>
      </w:r>
      <w:r w:rsidR="00D00F42">
        <w:rPr>
          <w:rFonts w:ascii="Arial" w:hAnsi="Arial" w:cs="Arial"/>
          <w:sz w:val="22"/>
          <w:szCs w:val="22"/>
        </w:rPr>
        <w:t>COL</w:t>
      </w:r>
      <w:r w:rsidRPr="00772269">
        <w:rPr>
          <w:rFonts w:ascii="Arial" w:hAnsi="Arial" w:cs="Arial"/>
          <w:sz w:val="22"/>
          <w:szCs w:val="22"/>
        </w:rPr>
        <w:t xml:space="preserve">s) to “preferably be as practiced and enforced in the airline industry and internationally agreed as far as possible via </w:t>
      </w:r>
      <w:r w:rsidR="000B502B">
        <w:rPr>
          <w:rFonts w:ascii="Arial" w:hAnsi="Arial" w:cs="Arial"/>
          <w:sz w:val="22"/>
          <w:szCs w:val="22"/>
        </w:rPr>
        <w:t>‘</w:t>
      </w:r>
      <w:r w:rsidRPr="00772269">
        <w:rPr>
          <w:rFonts w:ascii="Arial" w:hAnsi="Arial" w:cs="Arial"/>
          <w:sz w:val="22"/>
          <w:szCs w:val="22"/>
        </w:rPr>
        <w:t>type certification.</w:t>
      </w:r>
      <w:r w:rsidR="000B502B">
        <w:rPr>
          <w:rFonts w:ascii="Arial" w:hAnsi="Arial" w:cs="Arial"/>
          <w:sz w:val="22"/>
          <w:szCs w:val="22"/>
        </w:rPr>
        <w:t>’</w:t>
      </w:r>
      <w:r w:rsidRPr="00772269">
        <w:rPr>
          <w:rFonts w:ascii="Arial" w:hAnsi="Arial" w:cs="Arial"/>
          <w:sz w:val="22"/>
          <w:szCs w:val="22"/>
        </w:rPr>
        <w:t xml:space="preserve">” The licensing framework for U.S. commercial nuclear power reactors stems from the requirements of the </w:t>
      </w:r>
      <w:r w:rsidR="002C19AD">
        <w:rPr>
          <w:rFonts w:ascii="Arial" w:hAnsi="Arial" w:cs="Arial"/>
          <w:sz w:val="22"/>
          <w:szCs w:val="22"/>
        </w:rPr>
        <w:t>AEA</w:t>
      </w:r>
      <w:r w:rsidRPr="00772269">
        <w:rPr>
          <w:rFonts w:ascii="Arial" w:hAnsi="Arial" w:cs="Arial"/>
          <w:sz w:val="22"/>
          <w:szCs w:val="22"/>
        </w:rPr>
        <w:t xml:space="preserve"> and is reflected in NRC regulations. Those regulations, found in 10 CFR Parts 50 and 52, and now also in 10 CFR Part 53, provide tremendous flexibility for applicants to choose a licensing pathway that best fits their needs.</w:t>
      </w:r>
    </w:p>
    <w:p w:rsidR="007F112A" w:rsidRPr="00772269" w:rsidP="00772269" w14:paraId="4E5CDFED"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5C075EB0" w14:textId="77777777">
      <w:pPr>
        <w:spacing w:after="220"/>
        <w:rPr>
          <w:rFonts w:ascii="Arial" w:hAnsi="Arial" w:cs="Arial"/>
          <w:sz w:val="22"/>
          <w:szCs w:val="22"/>
        </w:rPr>
      </w:pPr>
      <w:r>
        <w:rPr>
          <w:rFonts w:ascii="Arial" w:hAnsi="Arial" w:cs="Arial"/>
          <w:sz w:val="22"/>
          <w:szCs w:val="22"/>
        </w:rPr>
        <w:pict>
          <v:rect id="_x0000_i1253" style="width:0;height:1.5pt" o:hralign="center" o:hrstd="t" o:hrnoshade="t" o:hr="t" fillcolor="black" stroked="f"/>
        </w:pict>
      </w:r>
    </w:p>
    <w:p w:rsidR="007F112A" w:rsidRPr="00772269" w:rsidP="00772269" w14:paraId="21C86CBE" w14:textId="77777777">
      <w:pPr>
        <w:spacing w:after="220"/>
        <w:rPr>
          <w:rFonts w:ascii="Arial" w:hAnsi="Arial" w:cs="Arial"/>
          <w:sz w:val="22"/>
          <w:szCs w:val="22"/>
        </w:rPr>
      </w:pPr>
      <w:r w:rsidRPr="00772269">
        <w:rPr>
          <w:rFonts w:ascii="Arial" w:hAnsi="Arial" w:cs="Arial"/>
          <w:b/>
          <w:sz w:val="22"/>
          <w:szCs w:val="22"/>
        </w:rPr>
        <w:t>Comment Bin 3.8.1.T:</w:t>
      </w:r>
      <w:r w:rsidRPr="00772269">
        <w:rPr>
          <w:rFonts w:ascii="Arial" w:hAnsi="Arial" w:cs="Arial"/>
          <w:sz w:val="22"/>
          <w:szCs w:val="22"/>
        </w:rPr>
        <w:t xml:space="preserve"> A commenter said that a limit on information requests similar to 10 CFR 52.39(f) should be included in 10 CFR 53.1188 to ensure similar rigor in evaluating information requests before they are issued (</w:t>
      </w:r>
      <w:r w:rsidR="009D6BB9">
        <w:rPr>
          <w:rFonts w:ascii="Arial" w:hAnsi="Arial" w:cs="Arial"/>
          <w:sz w:val="22"/>
          <w:szCs w:val="22"/>
        </w:rPr>
        <w:t>NEI2</w:t>
      </w:r>
      <w:r w:rsidRPr="00772269">
        <w:rPr>
          <w:rFonts w:ascii="Arial" w:hAnsi="Arial" w:cs="Arial"/>
          <w:sz w:val="22"/>
          <w:szCs w:val="22"/>
        </w:rPr>
        <w:t>-0123).</w:t>
      </w:r>
    </w:p>
    <w:p w:rsidR="00681409" w:rsidP="00772269" w14:paraId="21007098"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 in part, with this comment.</w:t>
      </w:r>
    </w:p>
    <w:p w:rsidR="00052EFC" w:rsidRPr="00772269" w:rsidP="00772269" w14:paraId="28EC3A35" w14:textId="77777777">
      <w:pPr>
        <w:spacing w:after="220"/>
        <w:rPr>
          <w:rFonts w:ascii="Arial" w:hAnsi="Arial" w:cs="Arial"/>
          <w:sz w:val="22"/>
          <w:szCs w:val="22"/>
        </w:rPr>
      </w:pPr>
      <w:r w:rsidRPr="00772269">
        <w:rPr>
          <w:rFonts w:ascii="Arial" w:hAnsi="Arial" w:cs="Arial"/>
          <w:sz w:val="22"/>
          <w:szCs w:val="22"/>
        </w:rPr>
        <w:t>The NRC agrees that a limit on information requests similar to 10 CFR 52.39(f) should be included in 10 CFR Part 53 to ensure rigor in evaluating information requests before they are issued. However, the NRC disagrees that 10 CFR 53.1188 should be modified to include such a provision because a provision covering this requirement</w:t>
      </w:r>
      <w:r w:rsidR="007571FC">
        <w:rPr>
          <w:rFonts w:ascii="Arial" w:hAnsi="Arial" w:cs="Arial"/>
          <w:sz w:val="22"/>
          <w:szCs w:val="22"/>
        </w:rPr>
        <w:t>, similar to 10 CFR 52.39(f)</w:t>
      </w:r>
      <w:r w:rsidR="005D0F83">
        <w:rPr>
          <w:rFonts w:ascii="Arial" w:hAnsi="Arial" w:cs="Arial"/>
          <w:sz w:val="22"/>
          <w:szCs w:val="22"/>
        </w:rPr>
        <w:t>,</w:t>
      </w:r>
      <w:r w:rsidRPr="00772269">
        <w:rPr>
          <w:rFonts w:ascii="Arial" w:hAnsi="Arial" w:cs="Arial"/>
          <w:sz w:val="22"/>
          <w:szCs w:val="22"/>
        </w:rPr>
        <w:t xml:space="preserve"> already exists in 10 CFR 53.1580. Note</w:t>
      </w:r>
      <w:r w:rsidR="005D0F83">
        <w:rPr>
          <w:rFonts w:ascii="Arial" w:hAnsi="Arial" w:cs="Arial"/>
          <w:sz w:val="22"/>
          <w:szCs w:val="22"/>
        </w:rPr>
        <w:t xml:space="preserve"> for clarity</w:t>
      </w:r>
      <w:r w:rsidRPr="00772269">
        <w:rPr>
          <w:rFonts w:ascii="Arial" w:hAnsi="Arial" w:cs="Arial"/>
          <w:sz w:val="22"/>
          <w:szCs w:val="22"/>
        </w:rPr>
        <w:t xml:space="preserve"> that the 10 CFR Part 53 definition of “license” in 10 CFR 53.020 already includes ESPs</w:t>
      </w:r>
      <w:r w:rsidR="005D0F83">
        <w:rPr>
          <w:rFonts w:ascii="Arial" w:hAnsi="Arial" w:cs="Arial"/>
          <w:sz w:val="22"/>
          <w:szCs w:val="22"/>
        </w:rPr>
        <w:t>, and thus ESPs are also included in 10 CFR 53.1580</w:t>
      </w:r>
      <w:r w:rsidRPr="00772269">
        <w:rPr>
          <w:rFonts w:ascii="Arial" w:hAnsi="Arial" w:cs="Arial"/>
          <w:sz w:val="22"/>
          <w:szCs w:val="22"/>
        </w:rPr>
        <w:t>.</w:t>
      </w:r>
    </w:p>
    <w:p w:rsidR="007F112A" w:rsidRPr="00772269" w:rsidP="00772269" w14:paraId="0981C592"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52851C00" w14:textId="77777777">
      <w:pPr>
        <w:spacing w:after="220"/>
        <w:rPr>
          <w:rFonts w:ascii="Arial" w:hAnsi="Arial" w:cs="Arial"/>
          <w:sz w:val="22"/>
          <w:szCs w:val="22"/>
        </w:rPr>
      </w:pPr>
      <w:r>
        <w:rPr>
          <w:rFonts w:ascii="Arial" w:hAnsi="Arial" w:cs="Arial"/>
          <w:sz w:val="22"/>
          <w:szCs w:val="22"/>
        </w:rPr>
        <w:pict>
          <v:rect id="_x0000_i1254" style="width:0;height:1.5pt" o:hralign="center" o:hrstd="t" o:hrnoshade="t" o:hr="t" fillcolor="black" stroked="f"/>
        </w:pict>
      </w:r>
    </w:p>
    <w:p w:rsidR="007A2BD7" w:rsidP="00772269" w14:paraId="578FFB0C" w14:textId="77777777">
      <w:pPr>
        <w:spacing w:after="220"/>
        <w:rPr>
          <w:rFonts w:ascii="Arial" w:hAnsi="Arial" w:cs="Arial"/>
          <w:sz w:val="22"/>
          <w:szCs w:val="22"/>
        </w:rPr>
        <w:sectPr>
          <w:pgSz w:w="12240" w:h="15840"/>
          <w:pgMar w:top="1440" w:right="1440" w:bottom="1440" w:left="1440" w:header="720" w:footer="720" w:gutter="0"/>
          <w:cols w:space="720"/>
          <w:docGrid w:linePitch="360"/>
        </w:sectPr>
      </w:pPr>
      <w:r w:rsidRPr="00772269">
        <w:rPr>
          <w:rFonts w:ascii="Arial" w:hAnsi="Arial" w:cs="Arial"/>
          <w:b/>
          <w:sz w:val="22"/>
          <w:szCs w:val="22"/>
        </w:rPr>
        <w:t>Comment Bin 3.8.1.U:</w:t>
      </w:r>
      <w:r w:rsidRPr="00772269">
        <w:rPr>
          <w:rFonts w:ascii="Arial" w:hAnsi="Arial" w:cs="Arial"/>
          <w:sz w:val="22"/>
          <w:szCs w:val="22"/>
        </w:rPr>
        <w:t xml:space="preserve"> A commenter discussed inconsistencies in application filing requirements</w:t>
      </w:r>
      <w:r w:rsidR="007A30E6">
        <w:rPr>
          <w:rFonts w:ascii="Arial" w:hAnsi="Arial" w:cs="Arial"/>
          <w:sz w:val="22"/>
          <w:szCs w:val="22"/>
        </w:rPr>
        <w:t xml:space="preserve"> </w:t>
      </w:r>
      <w:r w:rsidR="0046482F">
        <w:rPr>
          <w:rFonts w:ascii="Arial" w:hAnsi="Arial" w:cs="Arial"/>
          <w:sz w:val="22"/>
          <w:szCs w:val="22"/>
        </w:rPr>
        <w:t xml:space="preserve">both </w:t>
      </w:r>
      <w:r w:rsidR="00AC53DB">
        <w:rPr>
          <w:rFonts w:ascii="Arial" w:hAnsi="Arial" w:cs="Arial"/>
          <w:sz w:val="22"/>
          <w:szCs w:val="22"/>
        </w:rPr>
        <w:t>with</w:t>
      </w:r>
      <w:r w:rsidR="007A30E6">
        <w:rPr>
          <w:rFonts w:ascii="Arial" w:hAnsi="Arial" w:cs="Arial"/>
          <w:sz w:val="22"/>
          <w:szCs w:val="22"/>
        </w:rPr>
        <w:t xml:space="preserve">in </w:t>
      </w:r>
      <w:r w:rsidR="0046482F">
        <w:rPr>
          <w:rFonts w:ascii="Arial" w:hAnsi="Arial" w:cs="Arial"/>
          <w:sz w:val="22"/>
          <w:szCs w:val="22"/>
        </w:rPr>
        <w:t xml:space="preserve">10 CFR </w:t>
      </w:r>
      <w:r w:rsidR="007A30E6">
        <w:rPr>
          <w:rFonts w:ascii="Arial" w:hAnsi="Arial" w:cs="Arial"/>
          <w:sz w:val="22"/>
          <w:szCs w:val="22"/>
        </w:rPr>
        <w:t xml:space="preserve">Part 53 </w:t>
      </w:r>
      <w:r w:rsidR="0046482F">
        <w:rPr>
          <w:rFonts w:ascii="Arial" w:hAnsi="Arial" w:cs="Arial"/>
          <w:sz w:val="22"/>
          <w:szCs w:val="22"/>
        </w:rPr>
        <w:t>and between 10 CFR Parts 52 and 53</w:t>
      </w:r>
      <w:r w:rsidRPr="00772269">
        <w:rPr>
          <w:rFonts w:ascii="Arial" w:hAnsi="Arial" w:cs="Arial"/>
          <w:sz w:val="22"/>
          <w:szCs w:val="22"/>
        </w:rPr>
        <w:t>. First, the commenter said that 10 CFR 53.1203 is essentially identical to 10 CFR 52.135 except for paragraphs (b) and (c). Next, the commenter said that 10 CFR</w:t>
      </w:r>
      <w:r w:rsidR="00FC7919">
        <w:rPr>
          <w:rFonts w:ascii="Arial" w:hAnsi="Arial" w:cs="Arial"/>
          <w:sz w:val="22"/>
          <w:szCs w:val="22"/>
        </w:rPr>
        <w:t> </w:t>
      </w:r>
      <w:r w:rsidRPr="00772269">
        <w:rPr>
          <w:rFonts w:ascii="Arial" w:hAnsi="Arial" w:cs="Arial"/>
          <w:sz w:val="22"/>
          <w:szCs w:val="22"/>
        </w:rPr>
        <w:t xml:space="preserve">53.1100(a)(1) also contains </w:t>
      </w:r>
    </w:p>
    <w:p w:rsidR="007F112A" w:rsidRPr="00772269" w:rsidP="00772269" w14:paraId="499EED66" w14:textId="77777777">
      <w:pPr>
        <w:spacing w:after="220"/>
        <w:rPr>
          <w:rFonts w:ascii="Arial" w:hAnsi="Arial" w:cs="Arial"/>
          <w:sz w:val="22"/>
          <w:szCs w:val="22"/>
        </w:rPr>
      </w:pPr>
      <w:r w:rsidRPr="00772269">
        <w:rPr>
          <w:rFonts w:ascii="Arial" w:hAnsi="Arial" w:cs="Arial"/>
          <w:sz w:val="22"/>
          <w:szCs w:val="22"/>
        </w:rPr>
        <w:t xml:space="preserve">requirements that are similar to those in 10 CFR 52.135(b), and the fees requirements in </w:t>
      </w:r>
      <w:r w:rsidR="007A2BD7">
        <w:rPr>
          <w:rFonts w:ascii="Arial" w:hAnsi="Arial" w:cs="Arial"/>
          <w:sz w:val="22"/>
          <w:szCs w:val="22"/>
        </w:rPr>
        <w:br/>
      </w:r>
      <w:r w:rsidRPr="00772269">
        <w:rPr>
          <w:rFonts w:ascii="Arial" w:hAnsi="Arial" w:cs="Arial"/>
          <w:sz w:val="22"/>
          <w:szCs w:val="22"/>
        </w:rPr>
        <w:t>10 CFR 52.1100(e) are captured under 10</w:t>
      </w:r>
      <w:r w:rsidR="00FC7919">
        <w:rPr>
          <w:rFonts w:ascii="Arial" w:hAnsi="Arial" w:cs="Arial"/>
          <w:sz w:val="22"/>
          <w:szCs w:val="22"/>
        </w:rPr>
        <w:t> </w:t>
      </w:r>
      <w:r w:rsidRPr="00772269">
        <w:rPr>
          <w:rFonts w:ascii="Arial" w:hAnsi="Arial" w:cs="Arial"/>
          <w:sz w:val="22"/>
          <w:szCs w:val="22"/>
        </w:rPr>
        <w:t>CFR</w:t>
      </w:r>
      <w:r w:rsidR="00FC7919">
        <w:rPr>
          <w:rFonts w:ascii="Arial" w:hAnsi="Arial" w:cs="Arial"/>
          <w:sz w:val="22"/>
          <w:szCs w:val="22"/>
        </w:rPr>
        <w:t> </w:t>
      </w:r>
      <w:r w:rsidRPr="00772269">
        <w:rPr>
          <w:rFonts w:ascii="Arial" w:hAnsi="Arial" w:cs="Arial"/>
          <w:sz w:val="22"/>
          <w:szCs w:val="22"/>
        </w:rPr>
        <w:t>52.135(c). The commenter said that there is further inconsistency in Subpart H in that paragraphs addressing filing of applications appear in 10 CFR 53.1143 for ESPs, 10</w:t>
      </w:r>
      <w:r w:rsidR="00FC7919">
        <w:rPr>
          <w:rFonts w:ascii="Arial" w:hAnsi="Arial" w:cs="Arial"/>
          <w:sz w:val="22"/>
          <w:szCs w:val="22"/>
        </w:rPr>
        <w:t> </w:t>
      </w:r>
      <w:r w:rsidRPr="00772269">
        <w:rPr>
          <w:rFonts w:ascii="Arial" w:hAnsi="Arial" w:cs="Arial"/>
          <w:sz w:val="22"/>
          <w:szCs w:val="22"/>
        </w:rPr>
        <w:t>CFR</w:t>
      </w:r>
      <w:r w:rsidR="00FC7919">
        <w:rPr>
          <w:rFonts w:ascii="Arial" w:hAnsi="Arial" w:cs="Arial"/>
          <w:sz w:val="22"/>
          <w:szCs w:val="22"/>
        </w:rPr>
        <w:t> </w:t>
      </w:r>
      <w:r w:rsidRPr="00772269">
        <w:rPr>
          <w:rFonts w:ascii="Arial" w:hAnsi="Arial" w:cs="Arial"/>
          <w:sz w:val="22"/>
          <w:szCs w:val="22"/>
        </w:rPr>
        <w:t>53.1203 for SDAs, 10</w:t>
      </w:r>
      <w:r w:rsidR="00957319">
        <w:rPr>
          <w:rFonts w:ascii="Arial" w:hAnsi="Arial" w:cs="Arial"/>
          <w:sz w:val="22"/>
          <w:szCs w:val="22"/>
        </w:rPr>
        <w:t> </w:t>
      </w:r>
      <w:r w:rsidRPr="00772269">
        <w:rPr>
          <w:rFonts w:ascii="Arial" w:hAnsi="Arial" w:cs="Arial"/>
          <w:sz w:val="22"/>
          <w:szCs w:val="22"/>
        </w:rPr>
        <w:t>CFR</w:t>
      </w:r>
      <w:r w:rsidR="00957319">
        <w:rPr>
          <w:rFonts w:ascii="Arial" w:hAnsi="Arial" w:cs="Arial"/>
          <w:sz w:val="22"/>
          <w:szCs w:val="22"/>
        </w:rPr>
        <w:t> </w:t>
      </w:r>
      <w:r w:rsidRPr="00772269">
        <w:rPr>
          <w:rFonts w:ascii="Arial" w:hAnsi="Arial" w:cs="Arial"/>
          <w:sz w:val="22"/>
          <w:szCs w:val="22"/>
        </w:rPr>
        <w:t xml:space="preserve">53.1233 for DCs, and 10 CFR 53.1273 for MLs, but does not appear for CPs, OLs, or CLs. The commenter </w:t>
      </w:r>
      <w:r w:rsidR="00824BE7">
        <w:rPr>
          <w:rFonts w:ascii="Arial" w:hAnsi="Arial" w:cs="Arial"/>
          <w:sz w:val="22"/>
          <w:szCs w:val="22"/>
        </w:rPr>
        <w:t>stated</w:t>
      </w:r>
      <w:r w:rsidRPr="00772269">
        <w:rPr>
          <w:rFonts w:ascii="Arial" w:hAnsi="Arial" w:cs="Arial"/>
          <w:sz w:val="22"/>
          <w:szCs w:val="22"/>
        </w:rPr>
        <w:t xml:space="preserve"> that these inconsistencies contribute to a lack of clarity on filing requirements. To resolve these issues, the commenter said that the NRC should move all filing requirements into 10 CFR 53.1100, removing them from the other sections in Subpart H. The commenter also </w:t>
      </w:r>
      <w:r w:rsidR="00113823">
        <w:rPr>
          <w:rFonts w:ascii="Arial" w:hAnsi="Arial" w:cs="Arial"/>
          <w:sz w:val="22"/>
          <w:szCs w:val="22"/>
        </w:rPr>
        <w:t>stated</w:t>
      </w:r>
      <w:r w:rsidRPr="00772269">
        <w:rPr>
          <w:rFonts w:ascii="Arial" w:hAnsi="Arial" w:cs="Arial"/>
          <w:sz w:val="22"/>
          <w:szCs w:val="22"/>
        </w:rPr>
        <w:t xml:space="preserve"> that an alternative is to keep the current section structure but include the section on filing of applications for every application type and make the language consistent (</w:t>
      </w:r>
      <w:r w:rsidR="009D6BB9">
        <w:rPr>
          <w:rFonts w:ascii="Arial" w:hAnsi="Arial" w:cs="Arial"/>
          <w:sz w:val="22"/>
          <w:szCs w:val="22"/>
        </w:rPr>
        <w:t>NEI2</w:t>
      </w:r>
      <w:r w:rsidRPr="00772269">
        <w:rPr>
          <w:rFonts w:ascii="Arial" w:hAnsi="Arial" w:cs="Arial"/>
          <w:sz w:val="22"/>
          <w:szCs w:val="22"/>
        </w:rPr>
        <w:t>-0124).</w:t>
      </w:r>
    </w:p>
    <w:p w:rsidR="000A52FF" w:rsidP="00772269" w14:paraId="71064D6D"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 xml:space="preserve">The NRC agrees with this comment. </w:t>
      </w:r>
    </w:p>
    <w:p w:rsidR="007F112A" w:rsidRPr="00772269" w:rsidP="00772269" w14:paraId="19D5339B" w14:textId="77777777">
      <w:pPr>
        <w:spacing w:after="220"/>
        <w:rPr>
          <w:rFonts w:ascii="Arial" w:hAnsi="Arial" w:cs="Arial"/>
          <w:sz w:val="22"/>
          <w:szCs w:val="22"/>
        </w:rPr>
      </w:pPr>
      <w:r w:rsidRPr="00772269">
        <w:rPr>
          <w:rFonts w:ascii="Arial" w:hAnsi="Arial" w:cs="Arial"/>
          <w:sz w:val="22"/>
          <w:szCs w:val="22"/>
        </w:rPr>
        <w:t xml:space="preserve">Accordingly, the NRC </w:t>
      </w:r>
      <w:r w:rsidR="00E63C1C">
        <w:rPr>
          <w:rFonts w:ascii="Arial" w:hAnsi="Arial" w:cs="Arial"/>
          <w:sz w:val="22"/>
          <w:szCs w:val="22"/>
        </w:rPr>
        <w:t>has revised</w:t>
      </w:r>
      <w:r w:rsidRPr="00772269">
        <w:rPr>
          <w:rFonts w:ascii="Arial" w:hAnsi="Arial" w:cs="Arial"/>
          <w:sz w:val="22"/>
          <w:szCs w:val="22"/>
        </w:rPr>
        <w:t xml:space="preserve"> the rule language in response to this comment. Specifically, the NRC has moved the filing requirements from proposed 10 CFR 53.1143, 53.1203, 53.1233, and 53.1273 to 10 CFR 53.1100(a) and made the appropriate conforming changes where references to those proposed rule sections appeared.</w:t>
      </w:r>
    </w:p>
    <w:p w:rsidR="007F112A" w:rsidRPr="00772269" w:rsidP="00772269" w14:paraId="23296F18" w14:textId="77777777">
      <w:pPr>
        <w:spacing w:after="220"/>
        <w:rPr>
          <w:rFonts w:ascii="Arial" w:hAnsi="Arial" w:cs="Arial"/>
          <w:sz w:val="22"/>
          <w:szCs w:val="22"/>
        </w:rPr>
      </w:pPr>
      <w:r>
        <w:rPr>
          <w:rFonts w:ascii="Arial" w:hAnsi="Arial" w:cs="Arial"/>
          <w:sz w:val="22"/>
          <w:szCs w:val="22"/>
        </w:rPr>
        <w:pict>
          <v:rect id="_x0000_i1255" style="width:0;height:1.5pt" o:hralign="center" o:hrstd="t" o:hrnoshade="t" o:hr="t" fillcolor="black" stroked="f"/>
        </w:pict>
      </w:r>
    </w:p>
    <w:p w:rsidR="007F112A" w:rsidRPr="00772269" w:rsidP="00772269" w14:paraId="07979E86" w14:textId="77777777">
      <w:pPr>
        <w:spacing w:after="220"/>
        <w:rPr>
          <w:rFonts w:ascii="Arial" w:hAnsi="Arial" w:cs="Arial"/>
          <w:sz w:val="22"/>
          <w:szCs w:val="22"/>
        </w:rPr>
      </w:pPr>
      <w:r w:rsidRPr="00772269">
        <w:rPr>
          <w:rFonts w:ascii="Arial" w:hAnsi="Arial" w:cs="Arial"/>
          <w:b/>
          <w:sz w:val="22"/>
          <w:szCs w:val="22"/>
        </w:rPr>
        <w:t>Comment Bin 3.8.1.V:</w:t>
      </w:r>
      <w:r w:rsidRPr="00772269">
        <w:rPr>
          <w:rFonts w:ascii="Arial" w:hAnsi="Arial" w:cs="Arial"/>
          <w:sz w:val="22"/>
          <w:szCs w:val="22"/>
        </w:rPr>
        <w:t xml:space="preserve"> A commenter said that 10 CFR 53.1209(a) includes “general expectations” on submitting “major portions” of a design for an SDA. The commenter said that the implementation of the requirements in this section, given the PRA-based requirements in the balance of 10 CFR 53.1209, warrant further explanation and guidance. The commenter recommended limiting the requirement in 10 CFR 53.1209(a) to design criteria and removing requirements to the PRA. The commenter also suggested that NRC develop regulatory guidance and examples, potentially including tabletop exercises, to clarify implementation of the expectations for approving major portions of an SDA (</w:t>
      </w:r>
      <w:r w:rsidR="009D6BB9">
        <w:rPr>
          <w:rFonts w:ascii="Arial" w:hAnsi="Arial" w:cs="Arial"/>
          <w:sz w:val="22"/>
          <w:szCs w:val="22"/>
        </w:rPr>
        <w:t>NEI2</w:t>
      </w:r>
      <w:r w:rsidRPr="00772269">
        <w:rPr>
          <w:rFonts w:ascii="Arial" w:hAnsi="Arial" w:cs="Arial"/>
          <w:sz w:val="22"/>
          <w:szCs w:val="22"/>
        </w:rPr>
        <w:t>-0125).</w:t>
      </w:r>
    </w:p>
    <w:p w:rsidR="007F112A" w:rsidRPr="00772269" w:rsidP="00772269" w14:paraId="5EA93400"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 in part, with this comment.</w:t>
      </w:r>
    </w:p>
    <w:p w:rsidR="007F112A" w:rsidRPr="00772269" w:rsidP="00772269" w14:paraId="1C3CBC1E" w14:textId="77777777">
      <w:pPr>
        <w:spacing w:after="220"/>
        <w:rPr>
          <w:rFonts w:ascii="Arial" w:hAnsi="Arial" w:cs="Arial"/>
          <w:sz w:val="22"/>
          <w:szCs w:val="22"/>
        </w:rPr>
      </w:pPr>
      <w:r w:rsidRPr="00772269">
        <w:rPr>
          <w:rFonts w:ascii="Arial" w:hAnsi="Arial" w:cs="Arial"/>
          <w:sz w:val="22"/>
          <w:szCs w:val="22"/>
        </w:rPr>
        <w:t>The NRC disagrees with limiting the requirement in 10 CFR 53.1209(a) to design criteria and removing requirements related to the PRA. However, consistent with the NRC’s response to comments suggesting that 10 CFR Part 53 allow for risk evaluations other than PRA (</w:t>
      </w:r>
      <w:r w:rsidR="000A6683">
        <w:rPr>
          <w:rFonts w:ascii="Arial" w:hAnsi="Arial" w:cs="Arial"/>
          <w:sz w:val="22"/>
          <w:szCs w:val="22"/>
        </w:rPr>
        <w:t>see</w:t>
      </w:r>
      <w:r w:rsidRPr="00772269" w:rsidR="00282F4D">
        <w:rPr>
          <w:rFonts w:ascii="Arial" w:hAnsi="Arial" w:cs="Arial"/>
          <w:sz w:val="22"/>
          <w:szCs w:val="22"/>
        </w:rPr>
        <w:t xml:space="preserve"> Comment Bin 3.3.2.2.E</w:t>
      </w:r>
      <w:r w:rsidRPr="00772269">
        <w:rPr>
          <w:rFonts w:ascii="Arial" w:hAnsi="Arial" w:cs="Arial"/>
          <w:sz w:val="22"/>
          <w:szCs w:val="22"/>
        </w:rPr>
        <w:t xml:space="preserve">), the requirement in 10 CFR 53.1239(a)(18) that is applicable to SDAs </w:t>
      </w:r>
      <w:r w:rsidR="00F24B99">
        <w:rPr>
          <w:rFonts w:ascii="Arial" w:hAnsi="Arial" w:cs="Arial"/>
          <w:sz w:val="22"/>
          <w:szCs w:val="22"/>
        </w:rPr>
        <w:t>is being</w:t>
      </w:r>
      <w:r w:rsidRPr="00772269">
        <w:rPr>
          <w:rFonts w:ascii="Arial" w:hAnsi="Arial" w:cs="Arial"/>
          <w:sz w:val="22"/>
          <w:szCs w:val="22"/>
        </w:rPr>
        <w:t xml:space="preserve"> revised to require a description of the PRA, other SREs, or combination thereof required by 10 CFR 53.450(a) and associated results. The NRC agrees that developing additional regulatory guidance related to major portions of an SDA could be useful and is willing to work with stakeholders further to determine the need for and appropriate prioritization of such guidance.</w:t>
      </w:r>
    </w:p>
    <w:p w:rsidR="007F112A" w:rsidRPr="00772269" w:rsidP="00772269" w14:paraId="610995C0" w14:textId="77777777">
      <w:pPr>
        <w:spacing w:after="220"/>
        <w:rPr>
          <w:rFonts w:ascii="Arial" w:hAnsi="Arial" w:cs="Arial"/>
          <w:sz w:val="22"/>
          <w:szCs w:val="22"/>
        </w:rPr>
      </w:pPr>
      <w:r w:rsidRPr="00772269">
        <w:rPr>
          <w:rFonts w:ascii="Arial" w:hAnsi="Arial" w:cs="Arial"/>
          <w:sz w:val="22"/>
          <w:szCs w:val="22"/>
        </w:rPr>
        <w:t xml:space="preserve">Accordingly, the NRC </w:t>
      </w:r>
      <w:r w:rsidR="00E63C1C">
        <w:rPr>
          <w:rFonts w:ascii="Arial" w:hAnsi="Arial" w:cs="Arial"/>
          <w:sz w:val="22"/>
          <w:szCs w:val="22"/>
        </w:rPr>
        <w:t>has revised</w:t>
      </w:r>
      <w:r w:rsidR="00171065">
        <w:rPr>
          <w:rFonts w:ascii="Arial" w:hAnsi="Arial" w:cs="Arial"/>
          <w:sz w:val="22"/>
          <w:szCs w:val="22"/>
        </w:rPr>
        <w:t xml:space="preserve"> </w:t>
      </w:r>
      <w:r w:rsidRPr="00772269">
        <w:rPr>
          <w:rFonts w:ascii="Arial" w:hAnsi="Arial" w:cs="Arial"/>
          <w:sz w:val="22"/>
          <w:szCs w:val="22"/>
        </w:rPr>
        <w:t xml:space="preserve">the rule language in response to </w:t>
      </w:r>
      <w:r w:rsidR="00AB63B5">
        <w:rPr>
          <w:rFonts w:ascii="Arial" w:hAnsi="Arial" w:cs="Arial"/>
          <w:sz w:val="22"/>
          <w:szCs w:val="22"/>
        </w:rPr>
        <w:t xml:space="preserve">comments in </w:t>
      </w:r>
      <w:r w:rsidRPr="00772269" w:rsidR="00AB63B5">
        <w:rPr>
          <w:rFonts w:ascii="Arial" w:hAnsi="Arial" w:cs="Arial"/>
          <w:sz w:val="22"/>
          <w:szCs w:val="22"/>
        </w:rPr>
        <w:t>Comment Bin 3.3.2.2.E</w:t>
      </w:r>
      <w:r w:rsidR="008530AD">
        <w:rPr>
          <w:rFonts w:ascii="Arial" w:hAnsi="Arial" w:cs="Arial"/>
          <w:sz w:val="22"/>
          <w:szCs w:val="22"/>
        </w:rPr>
        <w:t xml:space="preserve"> but did not revise the rule further in response to </w:t>
      </w:r>
      <w:r w:rsidRPr="00772269">
        <w:rPr>
          <w:rFonts w:ascii="Arial" w:hAnsi="Arial" w:cs="Arial"/>
          <w:sz w:val="22"/>
          <w:szCs w:val="22"/>
        </w:rPr>
        <w:t>this comment.</w:t>
      </w:r>
    </w:p>
    <w:p w:rsidR="007F112A" w:rsidRPr="00772269" w:rsidP="00772269" w14:paraId="47C2D232" w14:textId="77777777">
      <w:pPr>
        <w:spacing w:after="220"/>
        <w:rPr>
          <w:rFonts w:ascii="Arial" w:hAnsi="Arial" w:cs="Arial"/>
          <w:sz w:val="22"/>
          <w:szCs w:val="22"/>
        </w:rPr>
      </w:pPr>
      <w:r>
        <w:rPr>
          <w:rFonts w:ascii="Arial" w:hAnsi="Arial" w:cs="Arial"/>
          <w:sz w:val="22"/>
          <w:szCs w:val="22"/>
        </w:rPr>
        <w:pict>
          <v:rect id="_x0000_i1256" style="width:0;height:1.5pt" o:hralign="center" o:hrstd="t" o:hrnoshade="t" o:hr="t" fillcolor="black" stroked="f"/>
        </w:pict>
      </w:r>
    </w:p>
    <w:p w:rsidR="007F112A" w:rsidRPr="00772269" w:rsidP="00772269" w14:paraId="1806B423" w14:textId="77777777">
      <w:pPr>
        <w:spacing w:after="220"/>
        <w:rPr>
          <w:rFonts w:ascii="Arial" w:hAnsi="Arial" w:cs="Arial"/>
          <w:sz w:val="22"/>
          <w:szCs w:val="22"/>
        </w:rPr>
      </w:pPr>
      <w:r w:rsidRPr="00772269">
        <w:rPr>
          <w:rFonts w:ascii="Arial" w:hAnsi="Arial" w:cs="Arial"/>
          <w:b/>
          <w:sz w:val="22"/>
          <w:szCs w:val="22"/>
        </w:rPr>
        <w:t>Comment Bin 3.8.1.W:</w:t>
      </w:r>
      <w:r w:rsidRPr="00285AF8">
        <w:rPr>
          <w:rFonts w:ascii="Arial" w:hAnsi="Arial" w:cs="Arial"/>
          <w:sz w:val="22"/>
          <w:szCs w:val="22"/>
        </w:rPr>
        <w:t xml:space="preserve"> </w:t>
      </w:r>
      <w:r w:rsidRPr="00772269">
        <w:rPr>
          <w:rFonts w:ascii="Arial" w:hAnsi="Arial" w:cs="Arial"/>
          <w:sz w:val="22"/>
          <w:szCs w:val="22"/>
        </w:rPr>
        <w:t xml:space="preserve">A commenter said that 10 CFR 53.1221 is essentially identical to 10 CFR 52.145. However, the commenter </w:t>
      </w:r>
      <w:r w:rsidR="00285AF8">
        <w:rPr>
          <w:rFonts w:ascii="Arial" w:hAnsi="Arial" w:cs="Arial"/>
          <w:sz w:val="22"/>
          <w:szCs w:val="22"/>
        </w:rPr>
        <w:t>stated</w:t>
      </w:r>
      <w:r w:rsidRPr="00772269">
        <w:rPr>
          <w:rFonts w:ascii="Arial" w:hAnsi="Arial" w:cs="Arial"/>
          <w:sz w:val="22"/>
          <w:szCs w:val="22"/>
        </w:rPr>
        <w:t xml:space="preserve"> that 10 CFR 52.145 does not include a provision akin to 10 CFR 53.1221(d)</w:t>
      </w:r>
      <w:r w:rsidR="00117DC3">
        <w:rPr>
          <w:rFonts w:ascii="Arial" w:hAnsi="Arial" w:cs="Arial"/>
          <w:sz w:val="22"/>
          <w:szCs w:val="22"/>
        </w:rPr>
        <w:t>,</w:t>
      </w:r>
      <w:r w:rsidRPr="00772269">
        <w:rPr>
          <w:rFonts w:ascii="Arial" w:hAnsi="Arial" w:cs="Arial"/>
          <w:sz w:val="22"/>
          <w:szCs w:val="22"/>
        </w:rPr>
        <w:t xml:space="preserve"> which states in part</w:t>
      </w:r>
      <w:r w:rsidR="00594AB7">
        <w:rPr>
          <w:rFonts w:ascii="Arial" w:hAnsi="Arial" w:cs="Arial"/>
          <w:sz w:val="22"/>
          <w:szCs w:val="22"/>
        </w:rPr>
        <w:t>,</w:t>
      </w:r>
      <w:r w:rsidRPr="00772269">
        <w:rPr>
          <w:rFonts w:ascii="Arial" w:hAnsi="Arial" w:cs="Arial"/>
          <w:sz w:val="22"/>
          <w:szCs w:val="22"/>
        </w:rPr>
        <w:t xml:space="preserve"> “The Commission will require, before granting a construction permit, combined license, operating license, or manufacturing license which references a standard design approval, that information supporting required design and analysis application content be completed and available for audit if the information is necessary </w:t>
      </w:r>
      <w:r w:rsidRPr="00772269">
        <w:rPr>
          <w:rFonts w:ascii="Arial" w:hAnsi="Arial" w:cs="Arial"/>
          <w:sz w:val="22"/>
          <w:szCs w:val="22"/>
        </w:rPr>
        <w:t>for the Commission to make its safety determination.” The commenter said that similar language also appears in other 10</w:t>
      </w:r>
      <w:r w:rsidRPr="00772269" w:rsidR="001E7A95">
        <w:rPr>
          <w:rFonts w:ascii="Arial" w:hAnsi="Arial" w:cs="Arial"/>
          <w:sz w:val="22"/>
          <w:szCs w:val="22"/>
        </w:rPr>
        <w:t> </w:t>
      </w:r>
      <w:r w:rsidRPr="00772269">
        <w:rPr>
          <w:rFonts w:ascii="Arial" w:hAnsi="Arial" w:cs="Arial"/>
          <w:sz w:val="22"/>
          <w:szCs w:val="22"/>
        </w:rPr>
        <w:t>CFR Part 53 paragraphs such as 10 CFR 53.1239, 10 CFR 53.1221, 10 CFR</w:t>
      </w:r>
      <w:r w:rsidRPr="00772269" w:rsidR="001E7A95">
        <w:rPr>
          <w:rFonts w:ascii="Arial" w:hAnsi="Arial" w:cs="Arial"/>
          <w:sz w:val="22"/>
          <w:szCs w:val="22"/>
        </w:rPr>
        <w:t> </w:t>
      </w:r>
      <w:r w:rsidRPr="00772269">
        <w:rPr>
          <w:rFonts w:ascii="Arial" w:hAnsi="Arial" w:cs="Arial"/>
          <w:sz w:val="22"/>
          <w:szCs w:val="22"/>
        </w:rPr>
        <w:t>53.1254(a), 10 CFR 53.1263(c), 10 CFR 53.1416(a), and 10 CFR 53.1263(c). Additionally, the commenter said that language in 10 CFR 53.1221(d) and 10</w:t>
      </w:r>
      <w:r w:rsidRPr="00772269" w:rsidR="001E7A95">
        <w:rPr>
          <w:rFonts w:ascii="Arial" w:hAnsi="Arial" w:cs="Arial"/>
          <w:sz w:val="22"/>
          <w:szCs w:val="22"/>
        </w:rPr>
        <w:t> </w:t>
      </w:r>
      <w:r w:rsidRPr="00772269">
        <w:rPr>
          <w:rFonts w:ascii="Arial" w:hAnsi="Arial" w:cs="Arial"/>
          <w:sz w:val="22"/>
          <w:szCs w:val="22"/>
        </w:rPr>
        <w:t>CFR</w:t>
      </w:r>
      <w:r w:rsidRPr="00772269" w:rsidR="001E7A95">
        <w:rPr>
          <w:rFonts w:ascii="Arial" w:hAnsi="Arial" w:cs="Arial"/>
          <w:sz w:val="22"/>
          <w:szCs w:val="22"/>
        </w:rPr>
        <w:t> </w:t>
      </w:r>
      <w:r w:rsidRPr="00772269">
        <w:rPr>
          <w:rFonts w:ascii="Arial" w:hAnsi="Arial" w:cs="Arial"/>
          <w:sz w:val="22"/>
          <w:szCs w:val="22"/>
        </w:rPr>
        <w:t>53.1263(c) makes clear that for CPs, OLs, COLs, or MLs referencing an SDA or DC, the Commission will require this information. The commenter said that this language is included for the other application types, whether or not they reference an SDA or DC. To resolve inconsistencies, the commenter recommended that the NRC revise Subpart H to include the noted language in a consistent manner. Additionally, the commenter said that the requirement is used inconsistently in Subpart H, and it should be resolved so that, if incorporated, the language appears in the same paragraph for each application type (</w:t>
      </w:r>
      <w:r w:rsidR="009D6BB9">
        <w:rPr>
          <w:rFonts w:ascii="Arial" w:hAnsi="Arial" w:cs="Arial"/>
          <w:sz w:val="22"/>
          <w:szCs w:val="22"/>
        </w:rPr>
        <w:t>NEI2</w:t>
      </w:r>
      <w:r w:rsidRPr="00772269">
        <w:rPr>
          <w:rFonts w:ascii="Arial" w:hAnsi="Arial" w:cs="Arial"/>
          <w:sz w:val="22"/>
          <w:szCs w:val="22"/>
        </w:rPr>
        <w:t>-0127).</w:t>
      </w:r>
    </w:p>
    <w:p w:rsidR="009A316C" w:rsidRPr="00772269" w:rsidP="00772269" w14:paraId="543972BD"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w:t>
      </w:r>
      <w:r w:rsidRPr="00772269" w:rsidR="00254D6B">
        <w:rPr>
          <w:rFonts w:ascii="Arial" w:hAnsi="Arial" w:cs="Arial"/>
          <w:sz w:val="22"/>
          <w:szCs w:val="22"/>
        </w:rPr>
        <w:t>,</w:t>
      </w:r>
      <w:r w:rsidRPr="00772269">
        <w:rPr>
          <w:rFonts w:ascii="Arial" w:hAnsi="Arial" w:cs="Arial"/>
          <w:sz w:val="22"/>
          <w:szCs w:val="22"/>
        </w:rPr>
        <w:t xml:space="preserve"> in part</w:t>
      </w:r>
      <w:r w:rsidRPr="00772269" w:rsidR="00254D6B">
        <w:rPr>
          <w:rFonts w:ascii="Arial" w:hAnsi="Arial" w:cs="Arial"/>
          <w:sz w:val="22"/>
          <w:szCs w:val="22"/>
        </w:rPr>
        <w:t>,</w:t>
      </w:r>
      <w:r w:rsidRPr="00772269">
        <w:rPr>
          <w:rFonts w:ascii="Arial" w:hAnsi="Arial" w:cs="Arial"/>
          <w:sz w:val="22"/>
          <w:szCs w:val="22"/>
        </w:rPr>
        <w:t xml:space="preserve"> with this comment.</w:t>
      </w:r>
    </w:p>
    <w:p w:rsidR="008639E1" w:rsidRPr="00772269" w:rsidP="00772269" w14:paraId="3AF39633" w14:textId="77777777">
      <w:pPr>
        <w:spacing w:after="220"/>
        <w:rPr>
          <w:rFonts w:ascii="Arial" w:hAnsi="Arial" w:cs="Arial"/>
          <w:sz w:val="22"/>
          <w:szCs w:val="22"/>
        </w:rPr>
      </w:pPr>
      <w:r w:rsidRPr="00772269">
        <w:rPr>
          <w:rFonts w:ascii="Arial" w:hAnsi="Arial" w:cs="Arial"/>
          <w:sz w:val="22"/>
          <w:szCs w:val="22"/>
        </w:rPr>
        <w:t>The NRC agrees with the suggestion to revise Subpart H to include the noted language in a more consistent manner. The NRC disagrees with the suggestion that the language appear in the same paragraph for each application type. The cited rule text appears in different locations within Subpart H of 10 CFR Part 53 because it serves different purposes depending on its location. In cases where the cited text appears within a paragraph related to the required content of an application (i.e.,</w:t>
      </w:r>
      <w:r w:rsidRPr="00772269" w:rsidR="00254D6B">
        <w:rPr>
          <w:rFonts w:ascii="Arial" w:hAnsi="Arial" w:cs="Arial"/>
          <w:sz w:val="22"/>
          <w:szCs w:val="22"/>
        </w:rPr>
        <w:t> </w:t>
      </w:r>
      <w:r w:rsidRPr="00772269">
        <w:rPr>
          <w:rFonts w:ascii="Arial" w:hAnsi="Arial" w:cs="Arial"/>
          <w:sz w:val="22"/>
          <w:szCs w:val="22"/>
        </w:rPr>
        <w:t xml:space="preserve">10 CFR 53.1239 and </w:t>
      </w:r>
      <w:r w:rsidRPr="00772269" w:rsidR="00B934EE">
        <w:rPr>
          <w:rFonts w:ascii="Arial" w:hAnsi="Arial" w:cs="Arial"/>
          <w:sz w:val="22"/>
          <w:szCs w:val="22"/>
        </w:rPr>
        <w:t>10 CFR </w:t>
      </w:r>
      <w:r w:rsidRPr="00772269">
        <w:rPr>
          <w:rFonts w:ascii="Arial" w:hAnsi="Arial" w:cs="Arial"/>
          <w:sz w:val="22"/>
          <w:szCs w:val="22"/>
        </w:rPr>
        <w:t>53.1416), including an application for renewal (i.e.,</w:t>
      </w:r>
      <w:r w:rsidRPr="00772269" w:rsidR="00254D6B">
        <w:rPr>
          <w:rFonts w:ascii="Arial" w:hAnsi="Arial" w:cs="Arial"/>
          <w:sz w:val="22"/>
          <w:szCs w:val="22"/>
        </w:rPr>
        <w:t> </w:t>
      </w:r>
      <w:r w:rsidRPr="00772269">
        <w:rPr>
          <w:rFonts w:ascii="Arial" w:hAnsi="Arial" w:cs="Arial"/>
          <w:sz w:val="22"/>
          <w:szCs w:val="22"/>
        </w:rPr>
        <w:t xml:space="preserve"> 10 CFR 53.1254(a)), the subject requirement indicates that the Commission will require certain information be complete and available for audit if such information is necessary for the NRC to make its safety determination on that application.</w:t>
      </w:r>
    </w:p>
    <w:p w:rsidR="008639E1" w:rsidRPr="00772269" w:rsidP="00772269" w14:paraId="2DD5FEB1" w14:textId="77777777">
      <w:pPr>
        <w:spacing w:after="220"/>
        <w:rPr>
          <w:rFonts w:ascii="Arial" w:hAnsi="Arial" w:cs="Arial"/>
          <w:sz w:val="22"/>
          <w:szCs w:val="22"/>
        </w:rPr>
      </w:pPr>
      <w:r w:rsidRPr="00772269">
        <w:rPr>
          <w:rFonts w:ascii="Arial" w:hAnsi="Arial" w:cs="Arial"/>
          <w:sz w:val="22"/>
          <w:szCs w:val="22"/>
        </w:rPr>
        <w:t>In other cases where the cited text appears with a paragraph related to the finality of a particular NRC certification or approval (i.e.,</w:t>
      </w:r>
      <w:r w:rsidRPr="00772269" w:rsidR="009A316C">
        <w:rPr>
          <w:rFonts w:ascii="Arial" w:hAnsi="Arial" w:cs="Arial"/>
          <w:sz w:val="22"/>
          <w:szCs w:val="22"/>
        </w:rPr>
        <w:t> </w:t>
      </w:r>
      <w:r w:rsidRPr="00772269">
        <w:rPr>
          <w:rFonts w:ascii="Arial" w:hAnsi="Arial" w:cs="Arial"/>
          <w:sz w:val="22"/>
          <w:szCs w:val="22"/>
        </w:rPr>
        <w:t>10</w:t>
      </w:r>
      <w:r w:rsidRPr="00772269" w:rsidR="009A316C">
        <w:rPr>
          <w:rFonts w:ascii="Arial" w:hAnsi="Arial" w:cs="Arial"/>
          <w:sz w:val="22"/>
          <w:szCs w:val="22"/>
        </w:rPr>
        <w:t> </w:t>
      </w:r>
      <w:r w:rsidRPr="00772269">
        <w:rPr>
          <w:rFonts w:ascii="Arial" w:hAnsi="Arial" w:cs="Arial"/>
          <w:sz w:val="22"/>
          <w:szCs w:val="22"/>
        </w:rPr>
        <w:t xml:space="preserve">CFR 53.1221(d) and </w:t>
      </w:r>
      <w:r w:rsidRPr="00772269" w:rsidR="00B934EE">
        <w:rPr>
          <w:rFonts w:ascii="Arial" w:hAnsi="Arial" w:cs="Arial"/>
          <w:sz w:val="22"/>
          <w:szCs w:val="22"/>
        </w:rPr>
        <w:t>10 CFR </w:t>
      </w:r>
      <w:r w:rsidRPr="00772269">
        <w:rPr>
          <w:rFonts w:ascii="Arial" w:hAnsi="Arial" w:cs="Arial"/>
          <w:sz w:val="22"/>
          <w:szCs w:val="22"/>
        </w:rPr>
        <w:t>53.1263(c)), the subject requirement indicates that the Commission will require certain information be complete and available for audit if such information is necessary for the NRC to verify the information in the application referencing the subject certification or approval and make its safety determination on that application, including the determination that the application is consistent with the certification or approval information being referenced.</w:t>
      </w:r>
    </w:p>
    <w:p w:rsidR="007F112A" w:rsidRPr="00772269" w:rsidP="00772269" w14:paraId="05988FD1" w14:textId="77777777">
      <w:pPr>
        <w:spacing w:after="220"/>
        <w:rPr>
          <w:rFonts w:ascii="Arial" w:hAnsi="Arial" w:cs="Arial"/>
          <w:sz w:val="22"/>
          <w:szCs w:val="22"/>
        </w:rPr>
      </w:pPr>
      <w:r w:rsidRPr="00772269">
        <w:rPr>
          <w:rFonts w:ascii="Arial" w:hAnsi="Arial" w:cs="Arial"/>
          <w:sz w:val="22"/>
          <w:szCs w:val="22"/>
        </w:rPr>
        <w:t xml:space="preserve">Accordingly, the NRC </w:t>
      </w:r>
      <w:r w:rsidR="00E63C1C">
        <w:rPr>
          <w:rFonts w:ascii="Arial" w:hAnsi="Arial" w:cs="Arial"/>
          <w:sz w:val="22"/>
          <w:szCs w:val="22"/>
        </w:rPr>
        <w:t>has revised</w:t>
      </w:r>
      <w:r w:rsidRPr="00772269">
        <w:rPr>
          <w:rFonts w:ascii="Arial" w:hAnsi="Arial" w:cs="Arial"/>
          <w:sz w:val="22"/>
          <w:szCs w:val="22"/>
        </w:rPr>
        <w:t xml:space="preserve"> the rule language in response to this comment. Specifically, the NRC is rewording 10 CFR 53.1221(d), 10 CFR 53.1254(a), and 10 CFR 53.1416(a) to be consistent with the wording of similar provisions in 10</w:t>
      </w:r>
      <w:r w:rsidRPr="00772269" w:rsidR="004C0925">
        <w:rPr>
          <w:rFonts w:ascii="Arial" w:hAnsi="Arial" w:cs="Arial"/>
          <w:sz w:val="22"/>
          <w:szCs w:val="22"/>
        </w:rPr>
        <w:t> </w:t>
      </w:r>
      <w:r w:rsidRPr="00772269">
        <w:rPr>
          <w:rFonts w:ascii="Arial" w:hAnsi="Arial" w:cs="Arial"/>
          <w:sz w:val="22"/>
          <w:szCs w:val="22"/>
        </w:rPr>
        <w:t xml:space="preserve">CFR 53.1239 and </w:t>
      </w:r>
      <w:r w:rsidRPr="00772269" w:rsidR="00F21F4B">
        <w:rPr>
          <w:rFonts w:ascii="Arial" w:hAnsi="Arial" w:cs="Arial"/>
          <w:sz w:val="22"/>
          <w:szCs w:val="22"/>
        </w:rPr>
        <w:t>10 CFR </w:t>
      </w:r>
      <w:r w:rsidRPr="00772269">
        <w:rPr>
          <w:rFonts w:ascii="Arial" w:hAnsi="Arial" w:cs="Arial"/>
          <w:sz w:val="22"/>
          <w:szCs w:val="22"/>
        </w:rPr>
        <w:t>53.1263(c).</w:t>
      </w:r>
    </w:p>
    <w:p w:rsidR="007F112A" w:rsidRPr="00772269" w:rsidP="00772269" w14:paraId="48D1EB4A" w14:textId="77777777">
      <w:pPr>
        <w:spacing w:after="220"/>
        <w:rPr>
          <w:rFonts w:ascii="Arial" w:hAnsi="Arial" w:cs="Arial"/>
          <w:sz w:val="22"/>
          <w:szCs w:val="22"/>
        </w:rPr>
      </w:pPr>
      <w:r>
        <w:rPr>
          <w:rFonts w:ascii="Arial" w:hAnsi="Arial" w:cs="Arial"/>
          <w:sz w:val="22"/>
          <w:szCs w:val="22"/>
        </w:rPr>
        <w:pict>
          <v:rect id="_x0000_i1257" style="width:0;height:1.5pt" o:hralign="center" o:hrstd="t" o:hrnoshade="t" o:hr="t" fillcolor="black" stroked="f"/>
        </w:pict>
      </w:r>
    </w:p>
    <w:p w:rsidR="007F112A" w:rsidRPr="00772269" w:rsidP="00772269" w14:paraId="383C4FB9" w14:textId="77777777">
      <w:pPr>
        <w:spacing w:after="220"/>
        <w:rPr>
          <w:rFonts w:ascii="Arial" w:hAnsi="Arial" w:cs="Arial"/>
          <w:sz w:val="22"/>
          <w:szCs w:val="22"/>
        </w:rPr>
      </w:pPr>
      <w:r w:rsidRPr="00772269">
        <w:rPr>
          <w:rFonts w:ascii="Arial" w:hAnsi="Arial" w:cs="Arial"/>
          <w:b/>
          <w:sz w:val="22"/>
          <w:szCs w:val="22"/>
        </w:rPr>
        <w:t>Comment Bin 3.8.1.X</w:t>
      </w:r>
      <w:r w:rsidRPr="00772269">
        <w:rPr>
          <w:rFonts w:ascii="Arial" w:hAnsi="Arial" w:cs="Arial"/>
          <w:sz w:val="22"/>
          <w:szCs w:val="22"/>
        </w:rPr>
        <w:t>: Two commenters said that 10 CFR 53.1251(a) and 10 CFR 53.1260 both state that a DC should be valid for no more than 15 years, but in SRM</w:t>
      </w:r>
      <w:r w:rsidRPr="00772269">
        <w:rPr>
          <w:rFonts w:ascii="Arial" w:hAnsi="Arial" w:cs="Arial"/>
          <w:sz w:val="22"/>
          <w:szCs w:val="22"/>
        </w:rPr>
        <w:noBreakHyphen/>
        <w:t>COMDAW</w:t>
      </w:r>
      <w:r w:rsidRPr="00772269">
        <w:rPr>
          <w:rFonts w:ascii="Arial" w:hAnsi="Arial" w:cs="Arial"/>
          <w:sz w:val="22"/>
          <w:szCs w:val="22"/>
        </w:rPr>
        <w:noBreakHyphen/>
        <w:t>24</w:t>
      </w:r>
      <w:r w:rsidRPr="00772269">
        <w:rPr>
          <w:rFonts w:ascii="Arial" w:hAnsi="Arial" w:cs="Arial"/>
          <w:sz w:val="22"/>
          <w:szCs w:val="22"/>
        </w:rPr>
        <w:noBreakHyphen/>
        <w:t>0001</w:t>
      </w:r>
      <w:r w:rsidR="0060031B">
        <w:rPr>
          <w:rFonts w:ascii="Arial" w:hAnsi="Arial" w:cs="Arial"/>
          <w:sz w:val="22"/>
          <w:szCs w:val="22"/>
        </w:rPr>
        <w:t>, “</w:t>
      </w:r>
      <w:r w:rsidRPr="0086444E" w:rsidR="0086444E">
        <w:rPr>
          <w:rFonts w:ascii="Arial" w:hAnsi="Arial" w:cs="Arial"/>
          <w:sz w:val="22"/>
          <w:szCs w:val="22"/>
        </w:rPr>
        <w:t>Revising the Duration of Design Certifications, Memorandum to Commissioner Wright</w:t>
      </w:r>
      <w:r w:rsidR="0060031B">
        <w:rPr>
          <w:rFonts w:ascii="Arial" w:hAnsi="Arial" w:cs="Arial"/>
          <w:sz w:val="22"/>
          <w:szCs w:val="22"/>
        </w:rPr>
        <w:t>,” issued November 2024 (</w:t>
      </w:r>
      <w:r w:rsidRPr="0060031B" w:rsidR="0060031B">
        <w:rPr>
          <w:rFonts w:ascii="Arial" w:hAnsi="Arial" w:cs="Arial"/>
          <w:sz w:val="22"/>
          <w:szCs w:val="22"/>
        </w:rPr>
        <w:t>ML24319A227</w:t>
      </w:r>
      <w:r w:rsidR="0060031B">
        <w:rPr>
          <w:rFonts w:ascii="Arial" w:hAnsi="Arial" w:cs="Arial"/>
          <w:sz w:val="22"/>
          <w:szCs w:val="22"/>
        </w:rPr>
        <w:t>)</w:t>
      </w:r>
      <w:r w:rsidR="0086444E">
        <w:rPr>
          <w:rFonts w:ascii="Arial" w:hAnsi="Arial" w:cs="Arial"/>
          <w:sz w:val="22"/>
          <w:szCs w:val="22"/>
        </w:rPr>
        <w:t>,</w:t>
      </w:r>
      <w:r w:rsidRPr="00772269">
        <w:rPr>
          <w:rFonts w:ascii="Arial" w:hAnsi="Arial" w:cs="Arial"/>
          <w:sz w:val="22"/>
          <w:szCs w:val="22"/>
        </w:rPr>
        <w:t xml:space="preserve"> the Commission approved extending the duration of a DC to 40 years. The commenters suggested that 10 CFR Part 53 be revised to be consistent with this direction, and DCs should be able to be issued to be valid for 40 years (</w:t>
      </w:r>
      <w:r w:rsidR="009D6BB9">
        <w:rPr>
          <w:rFonts w:ascii="Arial" w:hAnsi="Arial" w:cs="Arial"/>
          <w:sz w:val="22"/>
          <w:szCs w:val="22"/>
        </w:rPr>
        <w:t>NEI2</w:t>
      </w:r>
      <w:r w:rsidRPr="00772269">
        <w:rPr>
          <w:rFonts w:ascii="Arial" w:hAnsi="Arial" w:cs="Arial"/>
          <w:sz w:val="22"/>
          <w:szCs w:val="22"/>
        </w:rPr>
        <w:t xml:space="preserve">-0128, </w:t>
      </w:r>
      <w:r w:rsidR="00333B47">
        <w:rPr>
          <w:rFonts w:ascii="Arial" w:hAnsi="Arial" w:cs="Arial"/>
          <w:sz w:val="22"/>
          <w:szCs w:val="22"/>
        </w:rPr>
        <w:t>WEST1</w:t>
      </w:r>
      <w:r w:rsidRPr="00772269">
        <w:rPr>
          <w:rFonts w:ascii="Arial" w:hAnsi="Arial" w:cs="Arial"/>
          <w:sz w:val="22"/>
          <w:szCs w:val="22"/>
        </w:rPr>
        <w:t>-0016).</w:t>
      </w:r>
    </w:p>
    <w:p w:rsidR="007F112A" w:rsidRPr="00772269" w:rsidP="00772269" w14:paraId="7CCB3DE0" w14:textId="77777777">
      <w:pPr>
        <w:spacing w:after="220"/>
        <w:rPr>
          <w:rFonts w:ascii="Arial" w:hAnsi="Arial" w:cs="Arial"/>
          <w:sz w:val="22"/>
          <w:szCs w:val="22"/>
        </w:rPr>
      </w:pPr>
      <w:r w:rsidRPr="00772269">
        <w:rPr>
          <w:rFonts w:ascii="Arial" w:hAnsi="Arial" w:cs="Arial"/>
          <w:sz w:val="22"/>
          <w:szCs w:val="22"/>
        </w:rPr>
        <w:t>The commenters also said that 10 CFR 53.1291 states that an ML is valid for no more than 15</w:t>
      </w:r>
      <w:r w:rsidRPr="00772269" w:rsidR="00DA3B0B">
        <w:rPr>
          <w:rFonts w:ascii="Arial" w:hAnsi="Arial" w:cs="Arial"/>
          <w:sz w:val="22"/>
          <w:szCs w:val="22"/>
        </w:rPr>
        <w:t> </w:t>
      </w:r>
      <w:r w:rsidRPr="00772269">
        <w:rPr>
          <w:rFonts w:ascii="Arial" w:hAnsi="Arial" w:cs="Arial"/>
          <w:sz w:val="22"/>
          <w:szCs w:val="22"/>
        </w:rPr>
        <w:t>years, but in SRM-SECY-22-0052</w:t>
      </w:r>
      <w:r w:rsidR="0005283B">
        <w:rPr>
          <w:rFonts w:ascii="Arial" w:hAnsi="Arial" w:cs="Arial"/>
          <w:sz w:val="22"/>
          <w:szCs w:val="22"/>
        </w:rPr>
        <w:t>, “</w:t>
      </w:r>
      <w:r w:rsidR="0000169A">
        <w:rPr>
          <w:rFonts w:ascii="Arial" w:hAnsi="Arial" w:cs="Arial"/>
          <w:sz w:val="22"/>
          <w:szCs w:val="22"/>
        </w:rPr>
        <w:t xml:space="preserve">Proposed Rule: </w:t>
      </w:r>
      <w:r w:rsidRPr="00772269">
        <w:rPr>
          <w:rFonts w:ascii="Arial" w:hAnsi="Arial" w:cs="Arial"/>
          <w:sz w:val="22"/>
          <w:szCs w:val="22"/>
        </w:rPr>
        <w:t>Alignment of Licensing Processes and Lessons Learned From New Reactor Licensing</w:t>
      </w:r>
      <w:r w:rsidR="007050A5">
        <w:rPr>
          <w:rFonts w:ascii="Arial" w:hAnsi="Arial" w:cs="Arial"/>
          <w:sz w:val="22"/>
          <w:szCs w:val="22"/>
        </w:rPr>
        <w:t xml:space="preserve">,” </w:t>
      </w:r>
      <w:r w:rsidR="0000169A">
        <w:rPr>
          <w:rFonts w:ascii="Arial" w:hAnsi="Arial" w:cs="Arial"/>
          <w:sz w:val="22"/>
          <w:szCs w:val="22"/>
        </w:rPr>
        <w:t>issued November 2024 (</w:t>
      </w:r>
      <w:r w:rsidRPr="0000169A" w:rsidR="0000169A">
        <w:rPr>
          <w:rFonts w:ascii="Arial" w:hAnsi="Arial" w:cs="Arial"/>
          <w:sz w:val="22"/>
          <w:szCs w:val="22"/>
        </w:rPr>
        <w:t>ML24326A003</w:t>
      </w:r>
      <w:r w:rsidR="0000169A">
        <w:rPr>
          <w:rFonts w:ascii="Arial" w:hAnsi="Arial" w:cs="Arial"/>
          <w:sz w:val="22"/>
          <w:szCs w:val="22"/>
        </w:rPr>
        <w:t>),</w:t>
      </w:r>
      <w:r w:rsidRPr="00772269">
        <w:rPr>
          <w:rFonts w:ascii="Arial" w:hAnsi="Arial" w:cs="Arial"/>
          <w:sz w:val="22"/>
          <w:szCs w:val="22"/>
        </w:rPr>
        <w:t xml:space="preserve"> the Commission approved extending the duration of MLs to 40 years. The commenters suggested that 10 CFR Part 53 be consistent with the 40-year duration (</w:t>
      </w:r>
      <w:r w:rsidR="009D6BB9">
        <w:rPr>
          <w:rFonts w:ascii="Arial" w:hAnsi="Arial" w:cs="Arial"/>
          <w:sz w:val="22"/>
          <w:szCs w:val="22"/>
        </w:rPr>
        <w:t>NEI2</w:t>
      </w:r>
      <w:r w:rsidRPr="00772269">
        <w:rPr>
          <w:rFonts w:ascii="Arial" w:hAnsi="Arial" w:cs="Arial"/>
          <w:sz w:val="22"/>
          <w:szCs w:val="22"/>
        </w:rPr>
        <w:t xml:space="preserve">-0130, </w:t>
      </w:r>
      <w:r w:rsidR="00333B47">
        <w:rPr>
          <w:rFonts w:ascii="Arial" w:hAnsi="Arial" w:cs="Arial"/>
          <w:sz w:val="22"/>
          <w:szCs w:val="22"/>
        </w:rPr>
        <w:t>WEST1</w:t>
      </w:r>
      <w:r w:rsidRPr="00772269">
        <w:rPr>
          <w:rFonts w:ascii="Arial" w:hAnsi="Arial" w:cs="Arial"/>
          <w:sz w:val="22"/>
          <w:szCs w:val="22"/>
        </w:rPr>
        <w:t xml:space="preserve">-0016, </w:t>
      </w:r>
      <w:r w:rsidR="00B515B0">
        <w:rPr>
          <w:rFonts w:ascii="Arial" w:hAnsi="Arial" w:cs="Arial"/>
          <w:sz w:val="22"/>
          <w:szCs w:val="22"/>
        </w:rPr>
        <w:br/>
      </w:r>
      <w:r w:rsidR="009D6BB9">
        <w:rPr>
          <w:rFonts w:ascii="Arial" w:hAnsi="Arial" w:cs="Arial"/>
          <w:sz w:val="22"/>
          <w:szCs w:val="22"/>
        </w:rPr>
        <w:t>NEI2</w:t>
      </w:r>
      <w:r w:rsidRPr="00772269">
        <w:rPr>
          <w:rFonts w:ascii="Arial" w:hAnsi="Arial" w:cs="Arial"/>
          <w:sz w:val="22"/>
          <w:szCs w:val="22"/>
        </w:rPr>
        <w:t xml:space="preserve">-0184, </w:t>
      </w:r>
      <w:r w:rsidR="009D6BB9">
        <w:rPr>
          <w:rFonts w:ascii="Arial" w:hAnsi="Arial" w:cs="Arial"/>
          <w:sz w:val="22"/>
          <w:szCs w:val="22"/>
        </w:rPr>
        <w:t>NEI2</w:t>
      </w:r>
      <w:r w:rsidRPr="00772269">
        <w:rPr>
          <w:rFonts w:ascii="Arial" w:hAnsi="Arial" w:cs="Arial"/>
          <w:sz w:val="22"/>
          <w:szCs w:val="22"/>
        </w:rPr>
        <w:t>-0186).</w:t>
      </w:r>
    </w:p>
    <w:p w:rsidR="00CB2409" w:rsidP="00772269" w14:paraId="1C11BA21"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xml:space="preserve"> The NRC agrees with these comments. </w:t>
      </w:r>
    </w:p>
    <w:p w:rsidR="007F112A" w:rsidRPr="00772269" w:rsidP="00772269" w14:paraId="6F1E5249" w14:textId="77777777">
      <w:pPr>
        <w:spacing w:after="220"/>
        <w:rPr>
          <w:rFonts w:ascii="Arial" w:hAnsi="Arial" w:cs="Arial"/>
          <w:sz w:val="22"/>
          <w:szCs w:val="22"/>
        </w:rPr>
      </w:pPr>
      <w:r w:rsidRPr="00772269">
        <w:rPr>
          <w:rFonts w:ascii="Arial" w:hAnsi="Arial" w:cs="Arial"/>
          <w:sz w:val="22"/>
          <w:szCs w:val="22"/>
        </w:rPr>
        <w:t xml:space="preserve">Accordingly, the NRC </w:t>
      </w:r>
      <w:r w:rsidR="00E63C1C">
        <w:rPr>
          <w:rFonts w:ascii="Arial" w:hAnsi="Arial" w:cs="Arial"/>
          <w:sz w:val="22"/>
          <w:szCs w:val="22"/>
        </w:rPr>
        <w:t>has revised</w:t>
      </w:r>
      <w:r w:rsidRPr="00772269">
        <w:rPr>
          <w:rFonts w:ascii="Arial" w:hAnsi="Arial" w:cs="Arial"/>
          <w:sz w:val="22"/>
          <w:szCs w:val="22"/>
        </w:rPr>
        <w:t xml:space="preserve"> the rule language to extend the duration of design certifications and manufacturing licenses from 15 to 40 years in response to these comments. </w:t>
      </w:r>
    </w:p>
    <w:p w:rsidR="007F112A" w:rsidRPr="00772269" w:rsidP="00772269" w14:paraId="7947B39A" w14:textId="77777777">
      <w:pPr>
        <w:spacing w:after="220"/>
        <w:rPr>
          <w:rFonts w:ascii="Arial" w:hAnsi="Arial" w:cs="Arial"/>
          <w:sz w:val="22"/>
          <w:szCs w:val="22"/>
        </w:rPr>
      </w:pPr>
      <w:r>
        <w:rPr>
          <w:rFonts w:ascii="Arial" w:hAnsi="Arial" w:cs="Arial"/>
          <w:sz w:val="22"/>
          <w:szCs w:val="22"/>
        </w:rPr>
        <w:pict>
          <v:rect id="_x0000_i1258" style="width:0;height:1.5pt" o:hralign="center" o:hrstd="t" o:hrnoshade="t" o:hr="t" fillcolor="black" stroked="f"/>
        </w:pict>
      </w:r>
    </w:p>
    <w:p w:rsidR="007F112A" w:rsidRPr="00772269" w:rsidP="00772269" w14:paraId="4EC2092A" w14:textId="77777777">
      <w:pPr>
        <w:spacing w:after="220"/>
        <w:rPr>
          <w:rFonts w:ascii="Arial" w:hAnsi="Arial" w:cs="Arial"/>
          <w:sz w:val="22"/>
          <w:szCs w:val="22"/>
        </w:rPr>
      </w:pPr>
      <w:r w:rsidRPr="00772269">
        <w:rPr>
          <w:rFonts w:ascii="Arial" w:hAnsi="Arial" w:cs="Arial"/>
          <w:b/>
          <w:sz w:val="22"/>
          <w:szCs w:val="22"/>
        </w:rPr>
        <w:t>Comment Bin 3.8.1.Y:</w:t>
      </w:r>
      <w:r w:rsidRPr="00772269">
        <w:rPr>
          <w:rFonts w:ascii="Arial" w:hAnsi="Arial" w:cs="Arial"/>
          <w:sz w:val="22"/>
          <w:szCs w:val="22"/>
        </w:rPr>
        <w:t xml:space="preserve"> A commenter wrote that the requirements in 10 CFR 53.1279 are based on the PRA-based approach addressed in the LMP and do not permit use of other risk-informed approaches that may be more appropriate for very simple designs. The commenter said that </w:t>
      </w:r>
      <w:r w:rsidR="00B515B0">
        <w:rPr>
          <w:rFonts w:ascii="Arial" w:hAnsi="Arial" w:cs="Arial"/>
          <w:sz w:val="22"/>
          <w:szCs w:val="22"/>
        </w:rPr>
        <w:br/>
      </w:r>
      <w:r w:rsidRPr="00772269">
        <w:rPr>
          <w:rFonts w:ascii="Arial" w:hAnsi="Arial" w:cs="Arial"/>
          <w:sz w:val="22"/>
          <w:szCs w:val="22"/>
        </w:rPr>
        <w:t>10 CFR 53.1279 should be revised to permit use of other risk</w:t>
      </w:r>
      <w:r w:rsidRPr="00772269">
        <w:rPr>
          <w:rFonts w:ascii="Arial" w:hAnsi="Arial" w:cs="Arial"/>
          <w:sz w:val="22"/>
          <w:szCs w:val="22"/>
        </w:rPr>
        <w:noBreakHyphen/>
        <w:t>informed approaches, and that NRC should remove reference to 10 CFR 53.1239(16) (</w:t>
      </w:r>
      <w:r w:rsidR="009D6BB9">
        <w:rPr>
          <w:rFonts w:ascii="Arial" w:hAnsi="Arial" w:cs="Arial"/>
          <w:sz w:val="22"/>
          <w:szCs w:val="22"/>
        </w:rPr>
        <w:t>NEI2</w:t>
      </w:r>
      <w:r w:rsidRPr="00772269">
        <w:rPr>
          <w:rFonts w:ascii="Arial" w:hAnsi="Arial" w:cs="Arial"/>
          <w:sz w:val="22"/>
          <w:szCs w:val="22"/>
        </w:rPr>
        <w:t>-0129). </w:t>
      </w:r>
    </w:p>
    <w:p w:rsidR="00CB2409" w:rsidP="00772269" w14:paraId="04E67198"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 in part</w:t>
      </w:r>
      <w:r w:rsidR="0095341A">
        <w:rPr>
          <w:rFonts w:ascii="Arial" w:hAnsi="Arial" w:cs="Arial"/>
          <w:sz w:val="22"/>
          <w:szCs w:val="22"/>
        </w:rPr>
        <w:t>,</w:t>
      </w:r>
      <w:r w:rsidRPr="00772269">
        <w:rPr>
          <w:rFonts w:ascii="Arial" w:hAnsi="Arial" w:cs="Arial"/>
          <w:sz w:val="22"/>
          <w:szCs w:val="22"/>
        </w:rPr>
        <w:t xml:space="preserve"> with this comment. </w:t>
      </w:r>
    </w:p>
    <w:p w:rsidR="007F112A" w:rsidRPr="00772269" w:rsidP="00772269" w14:paraId="17A085D3" w14:textId="77777777">
      <w:pPr>
        <w:spacing w:after="220"/>
        <w:rPr>
          <w:rFonts w:ascii="Arial" w:hAnsi="Arial" w:cs="Arial"/>
          <w:sz w:val="22"/>
          <w:szCs w:val="22"/>
        </w:rPr>
      </w:pPr>
      <w:r w:rsidRPr="00772269">
        <w:rPr>
          <w:rFonts w:ascii="Arial" w:hAnsi="Arial" w:cs="Arial"/>
          <w:sz w:val="22"/>
          <w:szCs w:val="22"/>
        </w:rPr>
        <w:t xml:space="preserve">Regarding the </w:t>
      </w:r>
      <w:r w:rsidR="00326E9E">
        <w:rPr>
          <w:rFonts w:ascii="Arial" w:hAnsi="Arial" w:cs="Arial"/>
          <w:sz w:val="22"/>
          <w:szCs w:val="22"/>
        </w:rPr>
        <w:t>comment</w:t>
      </w:r>
      <w:r w:rsidRPr="00772269" w:rsidR="00326E9E">
        <w:rPr>
          <w:rFonts w:ascii="Arial" w:hAnsi="Arial" w:cs="Arial"/>
          <w:sz w:val="22"/>
          <w:szCs w:val="22"/>
        </w:rPr>
        <w:t xml:space="preserve"> </w:t>
      </w:r>
      <w:r w:rsidRPr="00772269">
        <w:rPr>
          <w:rFonts w:ascii="Arial" w:hAnsi="Arial" w:cs="Arial"/>
          <w:sz w:val="22"/>
          <w:szCs w:val="22"/>
        </w:rPr>
        <w:t xml:space="preserve">that 10 CFR 53.1279 should be updated to allow flexibility in the use of PRA, see the NRC’s </w:t>
      </w:r>
      <w:r w:rsidRPr="00772269" w:rsidR="0096646F">
        <w:rPr>
          <w:rFonts w:ascii="Arial" w:hAnsi="Arial" w:cs="Arial"/>
          <w:sz w:val="22"/>
          <w:szCs w:val="22"/>
        </w:rPr>
        <w:t>response to</w:t>
      </w:r>
      <w:r w:rsidRPr="00772269">
        <w:rPr>
          <w:rFonts w:ascii="Arial" w:hAnsi="Arial" w:cs="Arial"/>
          <w:sz w:val="22"/>
          <w:szCs w:val="22"/>
        </w:rPr>
        <w:t xml:space="preserve"> Comment </w:t>
      </w:r>
      <w:r w:rsidRPr="00772269" w:rsidR="0096646F">
        <w:rPr>
          <w:rFonts w:ascii="Arial" w:hAnsi="Arial" w:cs="Arial"/>
          <w:sz w:val="22"/>
          <w:szCs w:val="22"/>
        </w:rPr>
        <w:t>Bin</w:t>
      </w:r>
      <w:r w:rsidRPr="00772269">
        <w:rPr>
          <w:rFonts w:ascii="Arial" w:hAnsi="Arial" w:cs="Arial"/>
          <w:sz w:val="22"/>
          <w:szCs w:val="22"/>
        </w:rPr>
        <w:t xml:space="preserve"> 3.3.2</w:t>
      </w:r>
      <w:r w:rsidRPr="00772269" w:rsidR="0096646F">
        <w:rPr>
          <w:rFonts w:ascii="Arial" w:hAnsi="Arial" w:cs="Arial"/>
          <w:sz w:val="22"/>
          <w:szCs w:val="22"/>
        </w:rPr>
        <w:t>.2.E</w:t>
      </w:r>
      <w:r w:rsidRPr="00772269">
        <w:rPr>
          <w:rFonts w:ascii="Arial" w:hAnsi="Arial" w:cs="Arial"/>
          <w:sz w:val="22"/>
          <w:szCs w:val="22"/>
        </w:rPr>
        <w:t xml:space="preserve">. </w:t>
      </w:r>
      <w:r w:rsidR="00750DF7">
        <w:rPr>
          <w:rFonts w:ascii="Arial" w:hAnsi="Arial" w:cs="Arial"/>
          <w:sz w:val="22"/>
          <w:szCs w:val="22"/>
        </w:rPr>
        <w:t>In response to those comments</w:t>
      </w:r>
      <w:r w:rsidRPr="00772269">
        <w:rPr>
          <w:rFonts w:ascii="Arial" w:hAnsi="Arial" w:cs="Arial"/>
          <w:sz w:val="22"/>
          <w:szCs w:val="22"/>
        </w:rPr>
        <w:t xml:space="preserve">, the NRC </w:t>
      </w:r>
      <w:r w:rsidR="00E63C1C">
        <w:rPr>
          <w:rFonts w:ascii="Arial" w:hAnsi="Arial" w:cs="Arial"/>
          <w:sz w:val="22"/>
          <w:szCs w:val="22"/>
        </w:rPr>
        <w:t xml:space="preserve">has revised </w:t>
      </w:r>
      <w:r w:rsidRPr="00772269">
        <w:rPr>
          <w:rFonts w:ascii="Arial" w:hAnsi="Arial" w:cs="Arial"/>
          <w:sz w:val="22"/>
          <w:szCs w:val="22"/>
        </w:rPr>
        <w:t>10 CFR 53.1239(a)(18) (which is referenced in 10 CFR 53.1279) to be consistent with changes made to 10 CFR 53.450(a) allowing the use of a PRA, other SREs, or combination thereof.</w:t>
      </w:r>
    </w:p>
    <w:p w:rsidR="00D06E9E" w:rsidP="00772269" w14:paraId="043AAC93" w14:textId="77777777">
      <w:pPr>
        <w:spacing w:after="220"/>
        <w:rPr>
          <w:rFonts w:ascii="Arial" w:hAnsi="Arial" w:cs="Arial"/>
          <w:sz w:val="22"/>
          <w:szCs w:val="22"/>
        </w:rPr>
      </w:pPr>
      <w:r w:rsidRPr="00772269">
        <w:rPr>
          <w:rFonts w:ascii="Arial" w:hAnsi="Arial" w:cs="Arial"/>
          <w:sz w:val="22"/>
          <w:szCs w:val="22"/>
        </w:rPr>
        <w:t xml:space="preserve">The NRC interprets the comment that the NRC should remove the reference in 10 CFR 53.1279 to 10 CFR 53.1239(16) to be a suggestion to remove the reference to 10 CFR 53.1239(a)(16). The NRC disagrees with this portion of the comment. If the ML application is not for a design that is for a “multi-unit commercial nuclear plant,” then this requirement </w:t>
      </w:r>
      <w:r w:rsidR="00D35C5A">
        <w:rPr>
          <w:rFonts w:ascii="Arial" w:hAnsi="Arial" w:cs="Arial"/>
          <w:sz w:val="22"/>
          <w:szCs w:val="22"/>
        </w:rPr>
        <w:t>would not</w:t>
      </w:r>
      <w:r w:rsidRPr="00772269">
        <w:rPr>
          <w:rFonts w:ascii="Arial" w:hAnsi="Arial" w:cs="Arial"/>
          <w:sz w:val="22"/>
          <w:szCs w:val="22"/>
        </w:rPr>
        <w:t xml:space="preserve"> apply. If it is, then the requirement is just as applicable to an ML application as it is to a DC application, since both are an approval of the facility design. </w:t>
      </w:r>
    </w:p>
    <w:p w:rsidR="007F112A" w:rsidRPr="00772269" w:rsidP="00772269" w14:paraId="59FB2A5D"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13951D03" w14:textId="77777777">
      <w:pPr>
        <w:spacing w:after="220"/>
        <w:rPr>
          <w:rFonts w:ascii="Arial" w:hAnsi="Arial" w:cs="Arial"/>
          <w:sz w:val="22"/>
          <w:szCs w:val="22"/>
        </w:rPr>
      </w:pPr>
      <w:r>
        <w:rPr>
          <w:rFonts w:ascii="Arial" w:hAnsi="Arial" w:cs="Arial"/>
          <w:sz w:val="22"/>
          <w:szCs w:val="22"/>
        </w:rPr>
        <w:pict>
          <v:rect id="_x0000_i1259" style="width:0;height:1.5pt" o:hralign="center" o:hrstd="t" o:hrnoshade="t" o:hr="t" fillcolor="black" stroked="f"/>
        </w:pict>
      </w:r>
    </w:p>
    <w:p w:rsidR="007F112A" w:rsidRPr="00772269" w:rsidP="00772269" w14:paraId="5A86ACCB" w14:textId="77777777">
      <w:pPr>
        <w:spacing w:after="220"/>
        <w:rPr>
          <w:rFonts w:ascii="Arial" w:hAnsi="Arial" w:cs="Arial"/>
          <w:sz w:val="22"/>
          <w:szCs w:val="22"/>
        </w:rPr>
      </w:pPr>
      <w:r w:rsidRPr="00772269">
        <w:rPr>
          <w:rFonts w:ascii="Arial" w:hAnsi="Arial" w:cs="Arial"/>
          <w:b/>
          <w:sz w:val="22"/>
          <w:szCs w:val="22"/>
        </w:rPr>
        <w:t xml:space="preserve">Comment Bin 3.8.1.Z: </w:t>
      </w:r>
      <w:r w:rsidRPr="00772269">
        <w:rPr>
          <w:rFonts w:ascii="Arial" w:hAnsi="Arial" w:cs="Arial"/>
          <w:sz w:val="22"/>
          <w:szCs w:val="22"/>
        </w:rPr>
        <w:t>A commenter said that proposed 10 CFR Part 53 does not appear to give holders of an ML authority to make changes to the ML similar to the requirements in 10</w:t>
      </w:r>
      <w:r w:rsidR="00886EAE">
        <w:rPr>
          <w:rFonts w:ascii="Arial" w:hAnsi="Arial" w:cs="Arial"/>
          <w:sz w:val="22"/>
          <w:szCs w:val="22"/>
        </w:rPr>
        <w:t> </w:t>
      </w:r>
      <w:r w:rsidRPr="00772269">
        <w:rPr>
          <w:rFonts w:ascii="Arial" w:hAnsi="Arial" w:cs="Arial"/>
          <w:sz w:val="22"/>
          <w:szCs w:val="22"/>
        </w:rPr>
        <w:t>CFR 52.171(b)(1) and suggested that NRC add a provision to the rule language allowing this (</w:t>
      </w:r>
      <w:r w:rsidR="009D6BB9">
        <w:rPr>
          <w:rFonts w:ascii="Arial" w:hAnsi="Arial" w:cs="Arial"/>
          <w:sz w:val="22"/>
          <w:szCs w:val="22"/>
        </w:rPr>
        <w:t>NEI2</w:t>
      </w:r>
      <w:r w:rsidRPr="00772269">
        <w:rPr>
          <w:rFonts w:ascii="Arial" w:hAnsi="Arial" w:cs="Arial"/>
          <w:sz w:val="22"/>
          <w:szCs w:val="22"/>
        </w:rPr>
        <w:t>-0131).  </w:t>
      </w:r>
    </w:p>
    <w:p w:rsidR="00886EAE" w:rsidP="00772269" w14:paraId="7B9FC421"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 in part, with the comment.</w:t>
      </w:r>
    </w:p>
    <w:p w:rsidR="001B4593" w:rsidRPr="00772269" w:rsidP="00772269" w14:paraId="3B3424C4" w14:textId="77777777">
      <w:pPr>
        <w:spacing w:after="220"/>
        <w:rPr>
          <w:rFonts w:ascii="Arial" w:hAnsi="Arial" w:cs="Arial"/>
          <w:sz w:val="22"/>
          <w:szCs w:val="22"/>
        </w:rPr>
      </w:pPr>
      <w:r w:rsidRPr="00772269">
        <w:rPr>
          <w:rFonts w:ascii="Arial" w:hAnsi="Arial" w:cs="Arial"/>
          <w:sz w:val="22"/>
          <w:szCs w:val="22"/>
        </w:rPr>
        <w:t>The NRC agrees that 10</w:t>
      </w:r>
      <w:r w:rsidRPr="00772269" w:rsidR="00A80F47">
        <w:rPr>
          <w:rFonts w:ascii="Arial" w:hAnsi="Arial" w:cs="Arial"/>
          <w:sz w:val="22"/>
          <w:szCs w:val="22"/>
        </w:rPr>
        <w:t> </w:t>
      </w:r>
      <w:r w:rsidRPr="00772269">
        <w:rPr>
          <w:rFonts w:ascii="Arial" w:hAnsi="Arial" w:cs="Arial"/>
          <w:sz w:val="22"/>
          <w:szCs w:val="22"/>
        </w:rPr>
        <w:t>CFR</w:t>
      </w:r>
      <w:r w:rsidR="00A4782F">
        <w:rPr>
          <w:rFonts w:ascii="Arial" w:hAnsi="Arial" w:cs="Arial"/>
          <w:sz w:val="22"/>
          <w:szCs w:val="22"/>
        </w:rPr>
        <w:t> </w:t>
      </w:r>
      <w:r w:rsidRPr="00772269">
        <w:rPr>
          <w:rFonts w:ascii="Arial" w:hAnsi="Arial" w:cs="Arial"/>
          <w:sz w:val="22"/>
          <w:szCs w:val="22"/>
        </w:rPr>
        <w:t>Part 53</w:t>
      </w:r>
      <w:r w:rsidRPr="00772269" w:rsidR="00595DBD">
        <w:rPr>
          <w:rFonts w:ascii="Arial" w:hAnsi="Arial" w:cs="Arial"/>
          <w:sz w:val="22"/>
          <w:szCs w:val="22"/>
        </w:rPr>
        <w:t xml:space="preserve"> should give holders of an </w:t>
      </w:r>
      <w:r w:rsidRPr="00772269" w:rsidR="00C955DC">
        <w:rPr>
          <w:rFonts w:ascii="Arial" w:hAnsi="Arial" w:cs="Arial"/>
          <w:sz w:val="22"/>
          <w:szCs w:val="22"/>
        </w:rPr>
        <w:t>ML the authority to make changes to the ML</w:t>
      </w:r>
      <w:r w:rsidRPr="00772269" w:rsidR="008701F0">
        <w:rPr>
          <w:rFonts w:ascii="Arial" w:hAnsi="Arial" w:cs="Arial"/>
          <w:sz w:val="22"/>
          <w:szCs w:val="22"/>
        </w:rPr>
        <w:t xml:space="preserve"> and has expanded the provisions in </w:t>
      </w:r>
      <w:r w:rsidRPr="00772269" w:rsidR="002F5568">
        <w:rPr>
          <w:rFonts w:ascii="Arial" w:hAnsi="Arial" w:cs="Arial"/>
          <w:sz w:val="22"/>
          <w:szCs w:val="22"/>
        </w:rPr>
        <w:t>10 CFR </w:t>
      </w:r>
      <w:r w:rsidRPr="00772269" w:rsidR="008701F0">
        <w:rPr>
          <w:rFonts w:ascii="Arial" w:hAnsi="Arial" w:cs="Arial"/>
          <w:sz w:val="22"/>
          <w:szCs w:val="22"/>
        </w:rPr>
        <w:t>53.1530 to give ML holders</w:t>
      </w:r>
      <w:r w:rsidRPr="00772269" w:rsidR="00E3018D">
        <w:rPr>
          <w:rFonts w:ascii="Arial" w:hAnsi="Arial" w:cs="Arial"/>
          <w:sz w:val="22"/>
          <w:szCs w:val="22"/>
        </w:rPr>
        <w:t xml:space="preserve"> more flexibility in this regard.</w:t>
      </w:r>
      <w:r w:rsidRPr="00772269" w:rsidR="009C38EA">
        <w:rPr>
          <w:rFonts w:ascii="Arial" w:hAnsi="Arial" w:cs="Arial"/>
          <w:sz w:val="22"/>
          <w:szCs w:val="22"/>
        </w:rPr>
        <w:t xml:space="preserve"> </w:t>
      </w:r>
      <w:r w:rsidRPr="00772269" w:rsidR="00E16C17">
        <w:rPr>
          <w:rFonts w:ascii="Arial" w:hAnsi="Arial" w:cs="Arial"/>
          <w:sz w:val="22"/>
          <w:szCs w:val="22"/>
        </w:rPr>
        <w:t>However, the NRC notes that a provision equivalent to 10</w:t>
      </w:r>
      <w:r w:rsidR="00886EAE">
        <w:rPr>
          <w:rFonts w:ascii="Arial" w:hAnsi="Arial" w:cs="Arial"/>
          <w:sz w:val="22"/>
          <w:szCs w:val="22"/>
        </w:rPr>
        <w:t> </w:t>
      </w:r>
      <w:r w:rsidRPr="00772269" w:rsidR="00E16C17">
        <w:rPr>
          <w:rFonts w:ascii="Arial" w:hAnsi="Arial" w:cs="Arial"/>
          <w:sz w:val="22"/>
          <w:szCs w:val="22"/>
        </w:rPr>
        <w:t>CFR</w:t>
      </w:r>
      <w:r w:rsidR="00886EAE">
        <w:rPr>
          <w:rFonts w:ascii="Arial" w:hAnsi="Arial" w:cs="Arial"/>
          <w:sz w:val="22"/>
          <w:szCs w:val="22"/>
        </w:rPr>
        <w:t> </w:t>
      </w:r>
      <w:r w:rsidRPr="00772269" w:rsidR="00E16C17">
        <w:rPr>
          <w:rFonts w:ascii="Arial" w:hAnsi="Arial" w:cs="Arial"/>
          <w:sz w:val="22"/>
          <w:szCs w:val="22"/>
        </w:rPr>
        <w:t xml:space="preserve">52.171(b)(1) was </w:t>
      </w:r>
      <w:r w:rsidRPr="00772269" w:rsidR="007F2563">
        <w:rPr>
          <w:rFonts w:ascii="Arial" w:hAnsi="Arial" w:cs="Arial"/>
          <w:sz w:val="22"/>
          <w:szCs w:val="22"/>
        </w:rPr>
        <w:t xml:space="preserve">already </w:t>
      </w:r>
      <w:r w:rsidRPr="00772269" w:rsidR="00E16C17">
        <w:rPr>
          <w:rFonts w:ascii="Arial" w:hAnsi="Arial" w:cs="Arial"/>
          <w:sz w:val="22"/>
          <w:szCs w:val="22"/>
        </w:rPr>
        <w:t xml:space="preserve">included in proposed 10 CFR </w:t>
      </w:r>
      <w:r w:rsidRPr="00772269" w:rsidR="003D6C8F">
        <w:rPr>
          <w:rFonts w:ascii="Arial" w:hAnsi="Arial" w:cs="Arial"/>
          <w:sz w:val="22"/>
          <w:szCs w:val="22"/>
        </w:rPr>
        <w:t>53.1530</w:t>
      </w:r>
      <w:r w:rsidRPr="00772269" w:rsidR="002816D0">
        <w:rPr>
          <w:rFonts w:ascii="Arial" w:hAnsi="Arial" w:cs="Arial"/>
          <w:sz w:val="22"/>
          <w:szCs w:val="22"/>
        </w:rPr>
        <w:t>(a)</w:t>
      </w:r>
      <w:r w:rsidRPr="00772269" w:rsidR="00792719">
        <w:rPr>
          <w:rFonts w:ascii="Arial" w:hAnsi="Arial" w:cs="Arial"/>
          <w:sz w:val="22"/>
          <w:szCs w:val="22"/>
        </w:rPr>
        <w:t>, and</w:t>
      </w:r>
      <w:r w:rsidRPr="00772269" w:rsidR="00B727B4">
        <w:rPr>
          <w:rFonts w:ascii="Arial" w:hAnsi="Arial" w:cs="Arial"/>
          <w:sz w:val="22"/>
          <w:szCs w:val="22"/>
        </w:rPr>
        <w:t xml:space="preserve"> </w:t>
      </w:r>
      <w:r w:rsidRPr="00772269" w:rsidR="00792719">
        <w:rPr>
          <w:rFonts w:ascii="Arial" w:hAnsi="Arial" w:cs="Arial"/>
          <w:sz w:val="22"/>
          <w:szCs w:val="22"/>
        </w:rPr>
        <w:t>t</w:t>
      </w:r>
      <w:r w:rsidRPr="00772269" w:rsidR="00B727B4">
        <w:rPr>
          <w:rFonts w:ascii="Arial" w:hAnsi="Arial" w:cs="Arial"/>
          <w:sz w:val="22"/>
          <w:szCs w:val="22"/>
        </w:rPr>
        <w:t xml:space="preserve">hat provision </w:t>
      </w:r>
      <w:r w:rsidR="00F24B99">
        <w:rPr>
          <w:rFonts w:ascii="Arial" w:hAnsi="Arial" w:cs="Arial"/>
          <w:sz w:val="22"/>
          <w:szCs w:val="22"/>
        </w:rPr>
        <w:t>is being</w:t>
      </w:r>
      <w:r w:rsidRPr="00772269" w:rsidR="00B727B4">
        <w:rPr>
          <w:rFonts w:ascii="Arial" w:hAnsi="Arial" w:cs="Arial"/>
          <w:sz w:val="22"/>
          <w:szCs w:val="22"/>
        </w:rPr>
        <w:t xml:space="preserve"> revised in </w:t>
      </w:r>
      <w:r w:rsidRPr="00772269" w:rsidR="007C527E">
        <w:rPr>
          <w:rFonts w:ascii="Arial" w:hAnsi="Arial" w:cs="Arial"/>
          <w:sz w:val="22"/>
          <w:szCs w:val="22"/>
        </w:rPr>
        <w:t xml:space="preserve">the final rule in </w:t>
      </w:r>
      <w:r w:rsidRPr="00772269" w:rsidR="00B727B4">
        <w:rPr>
          <w:rFonts w:ascii="Arial" w:hAnsi="Arial" w:cs="Arial"/>
          <w:sz w:val="22"/>
          <w:szCs w:val="22"/>
        </w:rPr>
        <w:t>response to other public comments (see Comment Bin 3.9.3.B)</w:t>
      </w:r>
      <w:r w:rsidRPr="00772269" w:rsidR="00EE67B1">
        <w:rPr>
          <w:rFonts w:ascii="Arial" w:hAnsi="Arial" w:cs="Arial"/>
          <w:sz w:val="22"/>
          <w:szCs w:val="22"/>
        </w:rPr>
        <w:t xml:space="preserve"> to provide a more flexible change process</w:t>
      </w:r>
      <w:r w:rsidRPr="00772269" w:rsidR="00B727B4">
        <w:rPr>
          <w:rFonts w:ascii="Arial" w:hAnsi="Arial" w:cs="Arial"/>
          <w:sz w:val="22"/>
          <w:szCs w:val="22"/>
        </w:rPr>
        <w:t>.</w:t>
      </w:r>
    </w:p>
    <w:p w:rsidR="00C3004F" w:rsidRPr="00772269" w:rsidP="00772269" w14:paraId="5A7359EE" w14:textId="77777777">
      <w:pPr>
        <w:spacing w:after="220"/>
        <w:rPr>
          <w:rFonts w:ascii="Arial" w:hAnsi="Arial" w:cs="Arial"/>
          <w:sz w:val="22"/>
          <w:szCs w:val="22"/>
        </w:rPr>
      </w:pPr>
      <w:r w:rsidRPr="00772269">
        <w:rPr>
          <w:rFonts w:ascii="Arial" w:hAnsi="Arial" w:cs="Arial"/>
          <w:sz w:val="22"/>
          <w:szCs w:val="22"/>
        </w:rPr>
        <w:t>Accordingly, the NRC did not make additional changes to the rule in response to this comment.</w:t>
      </w:r>
    </w:p>
    <w:p w:rsidR="007F112A" w:rsidRPr="00772269" w:rsidP="00772269" w14:paraId="164DDA6D" w14:textId="77777777">
      <w:pPr>
        <w:spacing w:after="220"/>
        <w:rPr>
          <w:rFonts w:ascii="Arial" w:hAnsi="Arial" w:cs="Arial"/>
          <w:sz w:val="22"/>
          <w:szCs w:val="22"/>
        </w:rPr>
      </w:pPr>
      <w:r>
        <w:rPr>
          <w:rFonts w:ascii="Arial" w:hAnsi="Arial" w:cs="Arial"/>
          <w:sz w:val="22"/>
          <w:szCs w:val="22"/>
        </w:rPr>
        <w:pict>
          <v:rect id="_x0000_i1260" style="width:0;height:1.5pt" o:hralign="center" o:hrstd="t" o:hrnoshade="t" o:hr="t" fillcolor="black" stroked="f"/>
        </w:pict>
      </w:r>
    </w:p>
    <w:p w:rsidR="007F112A" w:rsidRPr="00772269" w:rsidP="00772269" w14:paraId="43C14EB4" w14:textId="77777777">
      <w:pPr>
        <w:spacing w:after="220"/>
        <w:rPr>
          <w:rFonts w:ascii="Arial" w:hAnsi="Arial" w:cs="Arial"/>
          <w:sz w:val="22"/>
          <w:szCs w:val="22"/>
        </w:rPr>
      </w:pPr>
      <w:r w:rsidRPr="00772269">
        <w:rPr>
          <w:rFonts w:ascii="Arial" w:hAnsi="Arial" w:cs="Arial"/>
          <w:b/>
          <w:sz w:val="22"/>
          <w:szCs w:val="22"/>
        </w:rPr>
        <w:t>Comment Bin 3.8.1.AA:</w:t>
      </w:r>
      <w:r w:rsidRPr="00772269">
        <w:rPr>
          <w:rFonts w:ascii="Arial" w:hAnsi="Arial" w:cs="Arial"/>
          <w:sz w:val="22"/>
          <w:szCs w:val="22"/>
        </w:rPr>
        <w:t xml:space="preserve"> A commenter wrote that the life cycle for the deployment and design of MLs involves a number of regulations touching on management and transportation of new and used fuel, construction and operating licenses on specific sites, and decommissioning that </w:t>
      </w:r>
      <w:r w:rsidRPr="00772269">
        <w:rPr>
          <w:rFonts w:ascii="Arial" w:hAnsi="Arial" w:cs="Arial"/>
          <w:sz w:val="22"/>
          <w:szCs w:val="22"/>
        </w:rPr>
        <w:t>have not been harmonized with 10 CFR Part 53. The commenter said that the NRC should provide the scope and proposed schedule for resolution of regulations affected by and invoked in 10 CFR Part 53, particularly those related to MLs (</w:t>
      </w:r>
      <w:r w:rsidR="00E36F7E">
        <w:rPr>
          <w:rFonts w:ascii="Arial" w:hAnsi="Arial" w:cs="Arial"/>
          <w:sz w:val="22"/>
          <w:szCs w:val="22"/>
        </w:rPr>
        <w:t>NYS2</w:t>
      </w:r>
      <w:r w:rsidRPr="00772269">
        <w:rPr>
          <w:rFonts w:ascii="Arial" w:hAnsi="Arial" w:cs="Arial"/>
          <w:sz w:val="22"/>
          <w:szCs w:val="22"/>
        </w:rPr>
        <w:t>-0022).</w:t>
      </w:r>
    </w:p>
    <w:p w:rsidR="004329EB" w:rsidP="00772269" w14:paraId="69F537B0"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disagrees with the comment</w:t>
      </w:r>
      <w:r>
        <w:rPr>
          <w:rFonts w:ascii="Arial" w:hAnsi="Arial" w:cs="Arial"/>
          <w:sz w:val="22"/>
          <w:szCs w:val="22"/>
        </w:rPr>
        <w:t>.</w:t>
      </w:r>
    </w:p>
    <w:p w:rsidR="00887E00" w:rsidP="00772269" w14:paraId="7F665524" w14:textId="77777777">
      <w:pPr>
        <w:spacing w:after="220"/>
        <w:rPr>
          <w:rFonts w:ascii="Arial" w:hAnsi="Arial" w:cs="Arial"/>
          <w:sz w:val="22"/>
          <w:szCs w:val="22"/>
        </w:rPr>
      </w:pPr>
      <w:r>
        <w:rPr>
          <w:rFonts w:ascii="Arial" w:hAnsi="Arial" w:cs="Arial"/>
          <w:sz w:val="22"/>
          <w:szCs w:val="22"/>
        </w:rPr>
        <w:t>The NRC disagree</w:t>
      </w:r>
      <w:r w:rsidR="00452D03">
        <w:rPr>
          <w:rFonts w:ascii="Arial" w:hAnsi="Arial" w:cs="Arial"/>
          <w:sz w:val="22"/>
          <w:szCs w:val="22"/>
        </w:rPr>
        <w:t>s</w:t>
      </w:r>
      <w:r w:rsidRPr="00772269" w:rsidR="007F112A">
        <w:rPr>
          <w:rFonts w:ascii="Arial" w:hAnsi="Arial" w:cs="Arial"/>
          <w:sz w:val="22"/>
          <w:szCs w:val="22"/>
        </w:rPr>
        <w:t xml:space="preserve"> that regulations invoked in the 10 CFR Part 53 provisions affecting MLs have not been harmonized with 10 CFR Part 53. The NRC included necessary conforming changes, including changes to 10 CFR Parts 30, 40, 50, 70, 73, and 74 in this rulemaking. </w:t>
      </w:r>
    </w:p>
    <w:p w:rsidR="007F112A" w:rsidRPr="00772269" w:rsidP="00772269" w14:paraId="13DD5019"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2C56990A" w14:textId="77777777">
      <w:pPr>
        <w:spacing w:after="220"/>
        <w:rPr>
          <w:rFonts w:ascii="Arial" w:hAnsi="Arial" w:cs="Arial"/>
          <w:sz w:val="22"/>
          <w:szCs w:val="22"/>
        </w:rPr>
      </w:pPr>
      <w:r>
        <w:rPr>
          <w:rFonts w:ascii="Arial" w:hAnsi="Arial" w:cs="Arial"/>
          <w:sz w:val="22"/>
          <w:szCs w:val="22"/>
        </w:rPr>
        <w:pict>
          <v:rect id="_x0000_i1261" style="width:0;height:1.5pt" o:hralign="center" o:hrstd="t" o:hrnoshade="t" o:hr="t" fillcolor="black" stroked="f"/>
        </w:pict>
      </w:r>
    </w:p>
    <w:p w:rsidR="007F112A" w:rsidRPr="00772269" w:rsidP="00772269" w14:paraId="1139D2D4" w14:textId="77777777">
      <w:pPr>
        <w:spacing w:after="220"/>
        <w:rPr>
          <w:rFonts w:ascii="Arial" w:hAnsi="Arial" w:cs="Arial"/>
          <w:sz w:val="22"/>
          <w:szCs w:val="22"/>
        </w:rPr>
      </w:pPr>
      <w:r w:rsidRPr="00772269">
        <w:rPr>
          <w:rFonts w:ascii="Arial" w:hAnsi="Arial" w:cs="Arial"/>
          <w:b/>
          <w:sz w:val="22"/>
          <w:szCs w:val="22"/>
        </w:rPr>
        <w:t xml:space="preserve">Comment Bin 3.8.1.BB: </w:t>
      </w:r>
      <w:r w:rsidRPr="00772269">
        <w:rPr>
          <w:rFonts w:ascii="Arial" w:hAnsi="Arial" w:cs="Arial"/>
          <w:sz w:val="22"/>
          <w:szCs w:val="22"/>
        </w:rPr>
        <w:t>A commenter wrote that they are concerned that in the future, 10 CFR Part 53 will be reconciled with 10 CFR Part</w:t>
      </w:r>
      <w:r w:rsidR="00EA1A6D">
        <w:rPr>
          <w:rFonts w:ascii="Arial" w:hAnsi="Arial" w:cs="Arial"/>
          <w:sz w:val="22"/>
          <w:szCs w:val="22"/>
        </w:rPr>
        <w:t>s</w:t>
      </w:r>
      <w:r w:rsidRPr="00772269">
        <w:rPr>
          <w:rFonts w:ascii="Arial" w:hAnsi="Arial" w:cs="Arial"/>
          <w:sz w:val="22"/>
          <w:szCs w:val="22"/>
        </w:rPr>
        <w:t xml:space="preserve"> 50 and 52 causing “problematic aspects” of 10 CFR Part 53 to be mandated, which could cause regulatory instability (NRC-2019-0446-0005).</w:t>
      </w:r>
    </w:p>
    <w:p w:rsidR="00EA1A6D" w:rsidP="00772269" w14:paraId="7259B959" w14:textId="77777777">
      <w:pPr>
        <w:spacing w:after="220"/>
        <w:rPr>
          <w:rFonts w:ascii="Arial" w:hAnsi="Arial" w:cs="Arial"/>
          <w:sz w:val="22"/>
          <w:szCs w:val="22"/>
        </w:rPr>
      </w:pPr>
      <w:r w:rsidRPr="00772269">
        <w:rPr>
          <w:rFonts w:ascii="Arial" w:hAnsi="Arial" w:cs="Arial"/>
          <w:b/>
          <w:sz w:val="22"/>
          <w:szCs w:val="22"/>
        </w:rPr>
        <w:t>NRC Response: </w:t>
      </w:r>
      <w:r w:rsidRPr="00772269" w:rsidR="00D4606B">
        <w:rPr>
          <w:rFonts w:ascii="Arial" w:hAnsi="Arial" w:cs="Arial"/>
          <w:sz w:val="22"/>
          <w:szCs w:val="22"/>
        </w:rPr>
        <w:t xml:space="preserve">The NRC disagrees with this comment. </w:t>
      </w:r>
      <w:r w:rsidRPr="00772269">
        <w:rPr>
          <w:rFonts w:ascii="Arial" w:hAnsi="Arial" w:cs="Arial"/>
          <w:sz w:val="22"/>
          <w:szCs w:val="22"/>
        </w:rPr>
        <w:t xml:space="preserve">The NRC has no plans for a future rulemaking to “reconcile” 10 CFR Part 53 with 10 CFR Parts 50 and 52 for the purpose of mandating that aspects of 10 CFR Part 53 requirements be imposed on applicants and licensees under 10 CFR Parts 50 and 52. </w:t>
      </w:r>
    </w:p>
    <w:p w:rsidR="007F112A" w:rsidRPr="00772269" w:rsidP="00772269" w14:paraId="77287D38"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6758D124" w14:textId="77777777">
      <w:pPr>
        <w:spacing w:after="220"/>
        <w:rPr>
          <w:rFonts w:ascii="Arial" w:hAnsi="Arial" w:cs="Arial"/>
          <w:sz w:val="22"/>
          <w:szCs w:val="22"/>
        </w:rPr>
      </w:pPr>
      <w:r>
        <w:rPr>
          <w:rFonts w:ascii="Arial" w:hAnsi="Arial" w:cs="Arial"/>
          <w:sz w:val="22"/>
          <w:szCs w:val="22"/>
        </w:rPr>
        <w:pict>
          <v:rect id="_x0000_i1262" style="width:0;height:1.5pt" o:hralign="center" o:hrstd="t" o:hrnoshade="t" o:hr="t" fillcolor="black" stroked="f"/>
        </w:pict>
      </w:r>
    </w:p>
    <w:p w:rsidR="007F112A" w:rsidRPr="00772269" w:rsidP="00772269" w14:paraId="555C3F66" w14:textId="77777777">
      <w:pPr>
        <w:spacing w:after="220"/>
        <w:rPr>
          <w:rFonts w:ascii="Arial" w:hAnsi="Arial" w:cs="Arial"/>
          <w:sz w:val="22"/>
          <w:szCs w:val="22"/>
        </w:rPr>
      </w:pPr>
      <w:r w:rsidRPr="00772269">
        <w:rPr>
          <w:rFonts w:ascii="Arial" w:hAnsi="Arial" w:cs="Arial"/>
          <w:b/>
          <w:sz w:val="22"/>
          <w:szCs w:val="22"/>
        </w:rPr>
        <w:t>Comment Bin 3.8.1.CC:</w:t>
      </w:r>
      <w:r w:rsidRPr="00772269">
        <w:rPr>
          <w:rFonts w:ascii="Arial" w:hAnsi="Arial" w:cs="Arial"/>
          <w:sz w:val="22"/>
          <w:szCs w:val="22"/>
        </w:rPr>
        <w:t xml:space="preserve"> A commenter said that 10 CFR 53.1306 should include references to 10 CFR 53.1660 through 10 CFR 53.1700 which set out the requirements and procedures related to financial qualifications and related reporting requirements (</w:t>
      </w:r>
      <w:r w:rsidR="009D6BB9">
        <w:rPr>
          <w:rFonts w:ascii="Arial" w:hAnsi="Arial" w:cs="Arial"/>
          <w:sz w:val="22"/>
          <w:szCs w:val="22"/>
        </w:rPr>
        <w:t>NEI2</w:t>
      </w:r>
      <w:r w:rsidRPr="00772269">
        <w:rPr>
          <w:rFonts w:ascii="Arial" w:hAnsi="Arial" w:cs="Arial"/>
          <w:sz w:val="22"/>
          <w:szCs w:val="22"/>
        </w:rPr>
        <w:t>-0132). </w:t>
      </w:r>
    </w:p>
    <w:p w:rsidR="00EA1A6D" w:rsidP="00772269" w14:paraId="4EF9066B"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w:t>
      </w:r>
      <w:r w:rsidR="001701F9">
        <w:rPr>
          <w:rFonts w:ascii="Arial" w:hAnsi="Arial" w:cs="Arial"/>
          <w:sz w:val="22"/>
          <w:szCs w:val="22"/>
        </w:rPr>
        <w:t>,</w:t>
      </w:r>
      <w:r w:rsidRPr="00772269">
        <w:rPr>
          <w:rFonts w:ascii="Arial" w:hAnsi="Arial" w:cs="Arial"/>
          <w:sz w:val="22"/>
          <w:szCs w:val="22"/>
        </w:rPr>
        <w:t xml:space="preserve"> in part</w:t>
      </w:r>
      <w:r w:rsidR="001701F9">
        <w:rPr>
          <w:rFonts w:ascii="Arial" w:hAnsi="Arial" w:cs="Arial"/>
          <w:sz w:val="22"/>
          <w:szCs w:val="22"/>
        </w:rPr>
        <w:t>,</w:t>
      </w:r>
      <w:r w:rsidRPr="00772269">
        <w:rPr>
          <w:rFonts w:ascii="Arial" w:hAnsi="Arial" w:cs="Arial"/>
          <w:sz w:val="22"/>
          <w:szCs w:val="22"/>
        </w:rPr>
        <w:t xml:space="preserve"> </w:t>
      </w:r>
      <w:r w:rsidRPr="00772269" w:rsidR="00380281">
        <w:rPr>
          <w:rFonts w:ascii="Arial" w:hAnsi="Arial" w:cs="Arial"/>
          <w:sz w:val="22"/>
          <w:szCs w:val="22"/>
        </w:rPr>
        <w:t>with this comment.</w:t>
      </w:r>
      <w:r w:rsidRPr="00772269" w:rsidR="002D2319">
        <w:rPr>
          <w:rFonts w:ascii="Arial" w:hAnsi="Arial" w:cs="Arial"/>
          <w:sz w:val="22"/>
          <w:szCs w:val="22"/>
        </w:rPr>
        <w:t xml:space="preserve"> </w:t>
      </w:r>
    </w:p>
    <w:p w:rsidR="00EA1A6D" w:rsidP="00772269" w14:paraId="427812F5" w14:textId="77777777">
      <w:pPr>
        <w:spacing w:after="220"/>
        <w:rPr>
          <w:rFonts w:ascii="Arial" w:hAnsi="Arial" w:cs="Arial"/>
          <w:sz w:val="22"/>
          <w:szCs w:val="22"/>
        </w:rPr>
      </w:pPr>
      <w:r w:rsidRPr="00772269">
        <w:rPr>
          <w:rFonts w:ascii="Arial" w:hAnsi="Arial" w:cs="Arial"/>
          <w:sz w:val="22"/>
          <w:szCs w:val="22"/>
        </w:rPr>
        <w:t xml:space="preserve">The NRC agrees that </w:t>
      </w:r>
      <w:r w:rsidRPr="00772269" w:rsidR="000A0B14">
        <w:rPr>
          <w:rFonts w:ascii="Arial" w:hAnsi="Arial" w:cs="Arial"/>
          <w:sz w:val="22"/>
          <w:szCs w:val="22"/>
        </w:rPr>
        <w:t>additional information</w:t>
      </w:r>
      <w:r w:rsidRPr="00772269" w:rsidR="00A35381">
        <w:rPr>
          <w:rFonts w:ascii="Arial" w:hAnsi="Arial" w:cs="Arial"/>
          <w:sz w:val="22"/>
          <w:szCs w:val="22"/>
        </w:rPr>
        <w:t xml:space="preserve"> about financial qualification requirements in 10</w:t>
      </w:r>
      <w:r w:rsidR="00F438B4">
        <w:rPr>
          <w:rFonts w:ascii="Arial" w:hAnsi="Arial" w:cs="Arial"/>
          <w:sz w:val="22"/>
          <w:szCs w:val="22"/>
        </w:rPr>
        <w:t> </w:t>
      </w:r>
      <w:r w:rsidRPr="00772269" w:rsidR="00A35381">
        <w:rPr>
          <w:rFonts w:ascii="Arial" w:hAnsi="Arial" w:cs="Arial"/>
          <w:sz w:val="22"/>
          <w:szCs w:val="22"/>
        </w:rPr>
        <w:t>CFR</w:t>
      </w:r>
      <w:r w:rsidR="00F438B4">
        <w:rPr>
          <w:rFonts w:ascii="Arial" w:hAnsi="Arial" w:cs="Arial"/>
          <w:sz w:val="22"/>
          <w:szCs w:val="22"/>
        </w:rPr>
        <w:t> </w:t>
      </w:r>
      <w:r w:rsidRPr="00772269" w:rsidR="00A35381">
        <w:rPr>
          <w:rFonts w:ascii="Arial" w:hAnsi="Arial" w:cs="Arial"/>
          <w:sz w:val="22"/>
          <w:szCs w:val="22"/>
        </w:rPr>
        <w:t>53.1306</w:t>
      </w:r>
      <w:r w:rsidRPr="00772269" w:rsidR="004A2921">
        <w:rPr>
          <w:rFonts w:ascii="Arial" w:hAnsi="Arial" w:cs="Arial"/>
          <w:sz w:val="22"/>
          <w:szCs w:val="22"/>
        </w:rPr>
        <w:t xml:space="preserve"> will help to increase clarity. In this regard, the NRC </w:t>
      </w:r>
      <w:r w:rsidR="00E63C1C">
        <w:rPr>
          <w:rFonts w:ascii="Arial" w:hAnsi="Arial" w:cs="Arial"/>
          <w:sz w:val="22"/>
          <w:szCs w:val="22"/>
        </w:rPr>
        <w:t xml:space="preserve">has revised </w:t>
      </w:r>
      <w:r w:rsidRPr="00772269" w:rsidR="004A2921">
        <w:rPr>
          <w:rFonts w:ascii="Arial" w:hAnsi="Arial" w:cs="Arial"/>
          <w:sz w:val="22"/>
          <w:szCs w:val="22"/>
        </w:rPr>
        <w:t>10</w:t>
      </w:r>
      <w:r w:rsidR="00F438B4">
        <w:rPr>
          <w:rFonts w:ascii="Arial" w:hAnsi="Arial" w:cs="Arial"/>
          <w:sz w:val="22"/>
          <w:szCs w:val="22"/>
        </w:rPr>
        <w:t> </w:t>
      </w:r>
      <w:r w:rsidRPr="00772269" w:rsidR="004A2921">
        <w:rPr>
          <w:rFonts w:ascii="Arial" w:hAnsi="Arial" w:cs="Arial"/>
          <w:sz w:val="22"/>
          <w:szCs w:val="22"/>
        </w:rPr>
        <w:t>CFR</w:t>
      </w:r>
      <w:r w:rsidR="00E63C1C">
        <w:rPr>
          <w:rFonts w:ascii="Arial" w:hAnsi="Arial" w:cs="Arial"/>
          <w:sz w:val="22"/>
          <w:szCs w:val="22"/>
        </w:rPr>
        <w:t> </w:t>
      </w:r>
      <w:r w:rsidRPr="00772269" w:rsidR="004A2921">
        <w:rPr>
          <w:rFonts w:ascii="Arial" w:hAnsi="Arial" w:cs="Arial"/>
          <w:sz w:val="22"/>
          <w:szCs w:val="22"/>
        </w:rPr>
        <w:t xml:space="preserve">53.1306 in response to other comments </w:t>
      </w:r>
      <w:r w:rsidRPr="00772269" w:rsidR="00A5303E">
        <w:rPr>
          <w:rFonts w:ascii="Arial" w:hAnsi="Arial" w:cs="Arial"/>
          <w:sz w:val="22"/>
          <w:szCs w:val="22"/>
        </w:rPr>
        <w:t xml:space="preserve">regarding financial qualification requirements </w:t>
      </w:r>
      <w:r w:rsidRPr="00772269" w:rsidR="004A2921">
        <w:rPr>
          <w:rFonts w:ascii="Arial" w:hAnsi="Arial" w:cs="Arial"/>
          <w:sz w:val="22"/>
          <w:szCs w:val="22"/>
        </w:rPr>
        <w:t xml:space="preserve">(see the </w:t>
      </w:r>
      <w:r w:rsidR="00F438B4">
        <w:rPr>
          <w:rFonts w:ascii="Arial" w:hAnsi="Arial" w:cs="Arial"/>
          <w:sz w:val="22"/>
          <w:szCs w:val="22"/>
        </w:rPr>
        <w:t xml:space="preserve">NRC’s </w:t>
      </w:r>
      <w:r w:rsidRPr="00772269" w:rsidR="004A2921">
        <w:rPr>
          <w:rFonts w:ascii="Arial" w:hAnsi="Arial" w:cs="Arial"/>
          <w:sz w:val="22"/>
          <w:szCs w:val="22"/>
        </w:rPr>
        <w:t xml:space="preserve">response to Comment Bin </w:t>
      </w:r>
      <w:r w:rsidRPr="00772269" w:rsidR="00B52530">
        <w:rPr>
          <w:rFonts w:ascii="Arial" w:hAnsi="Arial" w:cs="Arial"/>
          <w:sz w:val="22"/>
          <w:szCs w:val="22"/>
        </w:rPr>
        <w:t xml:space="preserve">3.10.2.C). </w:t>
      </w:r>
    </w:p>
    <w:p w:rsidR="007F112A" w:rsidRPr="00772269" w:rsidP="00772269" w14:paraId="137C23EA" w14:textId="77777777">
      <w:pPr>
        <w:spacing w:after="220"/>
        <w:rPr>
          <w:rFonts w:ascii="Arial" w:hAnsi="Arial" w:cs="Arial"/>
          <w:sz w:val="22"/>
          <w:szCs w:val="22"/>
        </w:rPr>
      </w:pPr>
      <w:r w:rsidRPr="00772269">
        <w:rPr>
          <w:rFonts w:ascii="Arial" w:hAnsi="Arial" w:cs="Arial"/>
          <w:sz w:val="22"/>
          <w:szCs w:val="22"/>
        </w:rPr>
        <w:t xml:space="preserve">The NRC disagrees that </w:t>
      </w:r>
      <w:r w:rsidRPr="00772269" w:rsidR="00E627CB">
        <w:rPr>
          <w:rFonts w:ascii="Arial" w:hAnsi="Arial" w:cs="Arial"/>
          <w:sz w:val="22"/>
          <w:szCs w:val="22"/>
        </w:rPr>
        <w:t xml:space="preserve">10 CFR 53.1306 should include references to 10 CFR 53.1660 through 10 CFR 53.1700. </w:t>
      </w:r>
      <w:r w:rsidRPr="00772269" w:rsidR="00362D84">
        <w:rPr>
          <w:rFonts w:ascii="Arial" w:hAnsi="Arial" w:cs="Arial"/>
          <w:sz w:val="22"/>
          <w:szCs w:val="22"/>
        </w:rPr>
        <w:t xml:space="preserve">The provisions in </w:t>
      </w:r>
      <w:r w:rsidRPr="00772269" w:rsidR="00A85C94">
        <w:rPr>
          <w:rFonts w:ascii="Arial" w:hAnsi="Arial" w:cs="Arial"/>
          <w:sz w:val="22"/>
          <w:szCs w:val="22"/>
        </w:rPr>
        <w:t xml:space="preserve">10 CFR 53.1306 provide </w:t>
      </w:r>
      <w:r w:rsidRPr="00772269" w:rsidR="00362D84">
        <w:rPr>
          <w:rFonts w:ascii="Arial" w:hAnsi="Arial" w:cs="Arial"/>
          <w:sz w:val="22"/>
          <w:szCs w:val="22"/>
        </w:rPr>
        <w:t xml:space="preserve">the </w:t>
      </w:r>
      <w:r w:rsidRPr="00772269" w:rsidR="00A85C94">
        <w:rPr>
          <w:rFonts w:ascii="Arial" w:hAnsi="Arial" w:cs="Arial"/>
          <w:sz w:val="22"/>
          <w:szCs w:val="22"/>
        </w:rPr>
        <w:t>require</w:t>
      </w:r>
      <w:r w:rsidRPr="00772269" w:rsidR="00BB2CE3">
        <w:rPr>
          <w:rFonts w:ascii="Arial" w:hAnsi="Arial" w:cs="Arial"/>
          <w:sz w:val="22"/>
          <w:szCs w:val="22"/>
        </w:rPr>
        <w:t>ment</w:t>
      </w:r>
      <w:r w:rsidRPr="00772269" w:rsidR="00A85C94">
        <w:rPr>
          <w:rFonts w:ascii="Arial" w:hAnsi="Arial" w:cs="Arial"/>
          <w:sz w:val="22"/>
          <w:szCs w:val="22"/>
        </w:rPr>
        <w:t xml:space="preserve">s related to </w:t>
      </w:r>
      <w:r w:rsidRPr="00772269" w:rsidR="00C27054">
        <w:rPr>
          <w:rFonts w:ascii="Arial" w:hAnsi="Arial" w:cs="Arial"/>
          <w:sz w:val="22"/>
          <w:szCs w:val="22"/>
        </w:rPr>
        <w:t xml:space="preserve">the </w:t>
      </w:r>
      <w:r w:rsidRPr="00772269" w:rsidR="00BB2CE3">
        <w:rPr>
          <w:rFonts w:ascii="Arial" w:hAnsi="Arial" w:cs="Arial"/>
          <w:sz w:val="22"/>
          <w:szCs w:val="22"/>
        </w:rPr>
        <w:t xml:space="preserve">content of </w:t>
      </w:r>
      <w:r w:rsidR="00F62568">
        <w:rPr>
          <w:rFonts w:ascii="Arial" w:hAnsi="Arial" w:cs="Arial"/>
          <w:sz w:val="22"/>
          <w:szCs w:val="22"/>
        </w:rPr>
        <w:t>CP</w:t>
      </w:r>
      <w:r w:rsidRPr="00772269" w:rsidR="00BB2CE3">
        <w:rPr>
          <w:rFonts w:ascii="Arial" w:hAnsi="Arial" w:cs="Arial"/>
          <w:sz w:val="22"/>
          <w:szCs w:val="22"/>
        </w:rPr>
        <w:t xml:space="preserve"> applications</w:t>
      </w:r>
      <w:r w:rsidRPr="00772269" w:rsidR="00952078">
        <w:rPr>
          <w:rFonts w:ascii="Arial" w:hAnsi="Arial" w:cs="Arial"/>
          <w:sz w:val="22"/>
          <w:szCs w:val="22"/>
        </w:rPr>
        <w:t>, including information</w:t>
      </w:r>
      <w:r w:rsidRPr="00772269" w:rsidR="005B48FF">
        <w:rPr>
          <w:rFonts w:ascii="Arial" w:hAnsi="Arial" w:cs="Arial"/>
          <w:sz w:val="22"/>
          <w:szCs w:val="22"/>
        </w:rPr>
        <w:t xml:space="preserve"> demonstrating that the applicant appears to be financially qualified</w:t>
      </w:r>
      <w:r w:rsidRPr="00772269" w:rsidR="00BB2CE3">
        <w:rPr>
          <w:rFonts w:ascii="Arial" w:hAnsi="Arial" w:cs="Arial"/>
          <w:sz w:val="22"/>
          <w:szCs w:val="22"/>
        </w:rPr>
        <w:t>.</w:t>
      </w:r>
      <w:r w:rsidRPr="00772269" w:rsidR="00D10802">
        <w:rPr>
          <w:rFonts w:ascii="Arial" w:hAnsi="Arial" w:cs="Arial"/>
          <w:sz w:val="22"/>
          <w:szCs w:val="22"/>
        </w:rPr>
        <w:t xml:space="preserve"> The provisions in 10 CFR 53.1660 through 10</w:t>
      </w:r>
      <w:r w:rsidR="00F438B4">
        <w:rPr>
          <w:rFonts w:ascii="Arial" w:hAnsi="Arial" w:cs="Arial"/>
          <w:sz w:val="22"/>
          <w:szCs w:val="22"/>
        </w:rPr>
        <w:t> </w:t>
      </w:r>
      <w:r w:rsidRPr="00772269" w:rsidR="00D10802">
        <w:rPr>
          <w:rFonts w:ascii="Arial" w:hAnsi="Arial" w:cs="Arial"/>
          <w:sz w:val="22"/>
          <w:szCs w:val="22"/>
        </w:rPr>
        <w:t>CFR</w:t>
      </w:r>
      <w:r w:rsidR="00F438B4">
        <w:rPr>
          <w:rFonts w:ascii="Arial" w:hAnsi="Arial" w:cs="Arial"/>
          <w:sz w:val="22"/>
          <w:szCs w:val="22"/>
        </w:rPr>
        <w:t> </w:t>
      </w:r>
      <w:r w:rsidRPr="00772269" w:rsidR="00D10802">
        <w:rPr>
          <w:rFonts w:ascii="Arial" w:hAnsi="Arial" w:cs="Arial"/>
          <w:sz w:val="22"/>
          <w:szCs w:val="22"/>
        </w:rPr>
        <w:t>53.1700</w:t>
      </w:r>
      <w:r w:rsidRPr="00772269" w:rsidR="00C27054">
        <w:rPr>
          <w:rFonts w:ascii="Arial" w:hAnsi="Arial" w:cs="Arial"/>
          <w:sz w:val="22"/>
          <w:szCs w:val="22"/>
        </w:rPr>
        <w:t xml:space="preserve"> provide</w:t>
      </w:r>
      <w:r w:rsidRPr="00772269" w:rsidR="003977BB">
        <w:rPr>
          <w:rFonts w:ascii="Arial" w:hAnsi="Arial" w:cs="Arial"/>
          <w:sz w:val="22"/>
          <w:szCs w:val="22"/>
        </w:rPr>
        <w:t xml:space="preserve"> </w:t>
      </w:r>
      <w:r w:rsidRPr="00772269" w:rsidR="008D34E1">
        <w:rPr>
          <w:rFonts w:ascii="Arial" w:hAnsi="Arial" w:cs="Arial"/>
          <w:sz w:val="22"/>
          <w:szCs w:val="22"/>
        </w:rPr>
        <w:t xml:space="preserve">the substantive </w:t>
      </w:r>
      <w:r w:rsidRPr="00772269" w:rsidR="003977BB">
        <w:rPr>
          <w:rFonts w:ascii="Arial" w:hAnsi="Arial" w:cs="Arial"/>
          <w:sz w:val="22"/>
          <w:szCs w:val="22"/>
        </w:rPr>
        <w:t>requirement</w:t>
      </w:r>
      <w:r w:rsidRPr="00772269" w:rsidR="008D34E1">
        <w:rPr>
          <w:rFonts w:ascii="Arial" w:hAnsi="Arial" w:cs="Arial"/>
          <w:sz w:val="22"/>
          <w:szCs w:val="22"/>
        </w:rPr>
        <w:t xml:space="preserve"> that</w:t>
      </w:r>
      <w:r w:rsidRPr="00772269" w:rsidR="006303D7">
        <w:rPr>
          <w:rFonts w:ascii="Arial" w:hAnsi="Arial" w:cs="Arial"/>
          <w:sz w:val="22"/>
          <w:szCs w:val="22"/>
        </w:rPr>
        <w:t xml:space="preserve"> an applicant</w:t>
      </w:r>
      <w:r w:rsidRPr="00772269" w:rsidR="00952078">
        <w:rPr>
          <w:rFonts w:ascii="Arial" w:hAnsi="Arial" w:cs="Arial"/>
          <w:sz w:val="22"/>
          <w:szCs w:val="22"/>
        </w:rPr>
        <w:t xml:space="preserve"> must appear to be financially qualified as well as reporting requirements</w:t>
      </w:r>
      <w:r w:rsidRPr="00772269" w:rsidR="00215C60">
        <w:rPr>
          <w:rFonts w:ascii="Arial" w:hAnsi="Arial" w:cs="Arial"/>
          <w:sz w:val="22"/>
          <w:szCs w:val="22"/>
        </w:rPr>
        <w:t xml:space="preserve"> and creditor regulations.</w:t>
      </w:r>
      <w:r w:rsidRPr="00772269" w:rsidR="00A5303E">
        <w:rPr>
          <w:rFonts w:ascii="Arial" w:hAnsi="Arial" w:cs="Arial"/>
          <w:sz w:val="22"/>
          <w:szCs w:val="22"/>
        </w:rPr>
        <w:t xml:space="preserve"> </w:t>
      </w:r>
      <w:r w:rsidRPr="00772269" w:rsidR="0089394E">
        <w:rPr>
          <w:rFonts w:ascii="Arial" w:hAnsi="Arial" w:cs="Arial"/>
          <w:sz w:val="22"/>
          <w:szCs w:val="22"/>
        </w:rPr>
        <w:t xml:space="preserve">The NRC does not believe it is necessary </w:t>
      </w:r>
      <w:r w:rsidRPr="00772269" w:rsidR="00C46854">
        <w:rPr>
          <w:rFonts w:ascii="Arial" w:hAnsi="Arial" w:cs="Arial"/>
          <w:sz w:val="22"/>
          <w:szCs w:val="22"/>
        </w:rPr>
        <w:t xml:space="preserve">to provide references to these requirements in </w:t>
      </w:r>
      <w:r w:rsidRPr="00772269" w:rsidR="00FA4A60">
        <w:rPr>
          <w:rFonts w:ascii="Arial" w:hAnsi="Arial" w:cs="Arial"/>
          <w:sz w:val="22"/>
          <w:szCs w:val="22"/>
        </w:rPr>
        <w:t xml:space="preserve">10 CFR </w:t>
      </w:r>
      <w:r w:rsidRPr="00772269" w:rsidR="00C46854">
        <w:rPr>
          <w:rFonts w:ascii="Arial" w:hAnsi="Arial" w:cs="Arial"/>
          <w:sz w:val="22"/>
          <w:szCs w:val="22"/>
        </w:rPr>
        <w:t xml:space="preserve">53.1306 or any of the other content of application provisions </w:t>
      </w:r>
      <w:r w:rsidRPr="00772269" w:rsidR="00FA4A60">
        <w:rPr>
          <w:rFonts w:ascii="Arial" w:hAnsi="Arial" w:cs="Arial"/>
          <w:sz w:val="22"/>
          <w:szCs w:val="22"/>
        </w:rPr>
        <w:t>requiring information related to financial qualifications.</w:t>
      </w:r>
    </w:p>
    <w:p w:rsidR="00EA1A6D" w:rsidRPr="00772269" w:rsidP="00772269" w14:paraId="1C7A727F" w14:textId="77777777">
      <w:pPr>
        <w:spacing w:after="220"/>
        <w:rPr>
          <w:rFonts w:ascii="Arial" w:hAnsi="Arial" w:cs="Arial"/>
          <w:sz w:val="22"/>
          <w:szCs w:val="22"/>
        </w:rPr>
      </w:pPr>
      <w:r>
        <w:rPr>
          <w:rFonts w:ascii="Arial" w:hAnsi="Arial" w:cs="Arial"/>
          <w:sz w:val="22"/>
          <w:szCs w:val="22"/>
        </w:rPr>
        <w:t xml:space="preserve">Accordingly, the NRC </w:t>
      </w:r>
      <w:r w:rsidR="00D427F2">
        <w:rPr>
          <w:rFonts w:ascii="Arial" w:hAnsi="Arial" w:cs="Arial"/>
          <w:sz w:val="22"/>
          <w:szCs w:val="22"/>
        </w:rPr>
        <w:t>did not change the rule language in response to this comment.</w:t>
      </w:r>
    </w:p>
    <w:p w:rsidR="007F112A" w:rsidRPr="00772269" w:rsidP="00772269" w14:paraId="2087253D" w14:textId="77777777">
      <w:pPr>
        <w:spacing w:after="220"/>
        <w:rPr>
          <w:rFonts w:ascii="Arial" w:hAnsi="Arial" w:cs="Arial"/>
          <w:sz w:val="22"/>
          <w:szCs w:val="22"/>
        </w:rPr>
      </w:pPr>
      <w:r>
        <w:rPr>
          <w:rFonts w:ascii="Arial" w:hAnsi="Arial" w:cs="Arial"/>
          <w:sz w:val="22"/>
          <w:szCs w:val="22"/>
        </w:rPr>
        <w:pict>
          <v:rect id="_x0000_i1263" style="width:0;height:1.5pt" o:hralign="center" o:hrstd="t" o:hrnoshade="t" o:hr="t" fillcolor="black" stroked="f"/>
        </w:pict>
      </w:r>
    </w:p>
    <w:p w:rsidR="007F112A" w:rsidRPr="00772269" w:rsidP="00772269" w14:paraId="7BAC6A5A" w14:textId="77777777">
      <w:pPr>
        <w:spacing w:after="220"/>
        <w:rPr>
          <w:rFonts w:ascii="Arial" w:hAnsi="Arial" w:cs="Arial"/>
          <w:sz w:val="22"/>
          <w:szCs w:val="22"/>
        </w:rPr>
      </w:pPr>
      <w:r w:rsidRPr="00772269">
        <w:rPr>
          <w:rFonts w:ascii="Arial" w:hAnsi="Arial" w:cs="Arial"/>
          <w:b/>
          <w:sz w:val="22"/>
          <w:szCs w:val="22"/>
        </w:rPr>
        <w:t>Comment Bin 3.8.1.DD:</w:t>
      </w:r>
      <w:r w:rsidRPr="00772269">
        <w:rPr>
          <w:rFonts w:ascii="Arial" w:hAnsi="Arial" w:cs="Arial"/>
          <w:sz w:val="22"/>
          <w:szCs w:val="22"/>
        </w:rPr>
        <w:t xml:space="preserve"> A commenter said that the PRA discussion in 10 CFR 53.1309 is helpful but should provide more information. For example, the commenter said that guidance should be clear that only a Full Power Internal Events PRA is required at the CP stage, consistent with RG 1.253 (</w:t>
      </w:r>
      <w:r w:rsidR="009D6BB9">
        <w:rPr>
          <w:rFonts w:ascii="Arial" w:hAnsi="Arial" w:cs="Arial"/>
          <w:sz w:val="22"/>
          <w:szCs w:val="22"/>
        </w:rPr>
        <w:t>NEI2</w:t>
      </w:r>
      <w:r w:rsidRPr="00772269">
        <w:rPr>
          <w:rFonts w:ascii="Arial" w:hAnsi="Arial" w:cs="Arial"/>
          <w:sz w:val="22"/>
          <w:szCs w:val="22"/>
        </w:rPr>
        <w:t>-0024).</w:t>
      </w:r>
    </w:p>
    <w:p w:rsidR="00E66019" w:rsidP="00772269" w14:paraId="2078ECB1"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 xml:space="preserve">The NRC disagrees with the comment. It would be inconsistent to have the level of detail suggested by the comment in the rule language for 10 CFR Part 53 applicants when it is in guidance for applicants under 10 CFR Parts 50 and 52. </w:t>
      </w:r>
    </w:p>
    <w:p w:rsidR="007F112A" w:rsidRPr="00772269" w:rsidP="00772269" w14:paraId="5A1D0EA7"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27C7FA08" w14:textId="77777777">
      <w:pPr>
        <w:spacing w:after="220"/>
        <w:rPr>
          <w:rFonts w:ascii="Arial" w:hAnsi="Arial" w:cs="Arial"/>
          <w:sz w:val="22"/>
          <w:szCs w:val="22"/>
        </w:rPr>
      </w:pPr>
      <w:r>
        <w:rPr>
          <w:rFonts w:ascii="Arial" w:hAnsi="Arial" w:cs="Arial"/>
          <w:sz w:val="22"/>
          <w:szCs w:val="22"/>
        </w:rPr>
        <w:pict>
          <v:rect id="_x0000_i1264" style="width:0;height:1.5pt" o:hralign="center" o:hrstd="t" o:hrnoshade="t" o:hr="t" fillcolor="black" stroked="f"/>
        </w:pict>
      </w:r>
    </w:p>
    <w:p w:rsidR="007F112A" w:rsidRPr="00DA0A3C" w:rsidP="00AE2B8E" w14:paraId="3DCFC4D2" w14:textId="77777777">
      <w:pPr>
        <w:pStyle w:val="Heading3"/>
        <w:keepNext/>
        <w:keepLines/>
        <w:numPr>
          <w:ilvl w:val="0"/>
          <w:numId w:val="0"/>
        </w:numPr>
        <w:ind w:left="720" w:hanging="720"/>
      </w:pPr>
      <w:bookmarkStart w:id="85" w:name="_Toc194678423"/>
      <w:bookmarkStart w:id="86" w:name="_Toc207222830"/>
      <w:r w:rsidRPr="00051A4B">
        <w:rPr>
          <w:u w:val="none"/>
        </w:rPr>
        <w:t>3.8.2.</w:t>
      </w:r>
      <w:r w:rsidRPr="00051A4B">
        <w:rPr>
          <w:u w:val="none"/>
        </w:rPr>
        <w:tab/>
      </w:r>
      <w:r w:rsidRPr="00DA0A3C">
        <w:t>Comments on fuel loading requirements in Subpart H (§§ 53.1279-53.1287, and 53.1452)</w:t>
      </w:r>
      <w:bookmarkEnd w:id="85"/>
      <w:bookmarkEnd w:id="86"/>
    </w:p>
    <w:p w:rsidR="007F112A" w:rsidRPr="00772269" w:rsidP="00772269" w14:paraId="66BE83CE" w14:textId="77777777">
      <w:pPr>
        <w:spacing w:after="220"/>
        <w:rPr>
          <w:rFonts w:ascii="Arial" w:hAnsi="Arial" w:cs="Arial"/>
          <w:sz w:val="22"/>
          <w:szCs w:val="22"/>
        </w:rPr>
      </w:pPr>
      <w:r w:rsidRPr="00772269">
        <w:rPr>
          <w:rFonts w:ascii="Arial" w:hAnsi="Arial" w:cs="Arial"/>
          <w:sz w:val="22"/>
          <w:szCs w:val="22"/>
        </w:rPr>
        <w:t>No comments are associated with this issue.</w:t>
      </w:r>
    </w:p>
    <w:p w:rsidR="007F112A" w:rsidRPr="00DA0A3C" w:rsidP="00BD4A32" w14:paraId="35D355AC" w14:textId="77777777">
      <w:pPr>
        <w:spacing w:after="220"/>
        <w:rPr>
          <w:rFonts w:ascii="Arial" w:hAnsi="Arial" w:cs="Arial"/>
        </w:rPr>
      </w:pPr>
      <w:r>
        <w:rPr>
          <w:rFonts w:ascii="Arial" w:hAnsi="Arial" w:cs="Arial"/>
        </w:rPr>
        <w:pict>
          <v:rect id="_x0000_i1265" style="width:0;height:1.5pt" o:hralign="center" o:hrstd="t" o:hrnoshade="t" o:hr="t" fillcolor="black" stroked="f"/>
        </w:pict>
      </w:r>
    </w:p>
    <w:p w:rsidR="007F112A" w:rsidRPr="005E489E" w:rsidP="00051A4B" w14:paraId="078A672D" w14:textId="77777777">
      <w:pPr>
        <w:pStyle w:val="Heading3"/>
        <w:numPr>
          <w:ilvl w:val="0"/>
          <w:numId w:val="0"/>
        </w:numPr>
        <w:ind w:left="720" w:hanging="720"/>
        <w:rPr>
          <w:rFonts w:eastAsia="Times New Roman"/>
        </w:rPr>
      </w:pPr>
      <w:bookmarkStart w:id="87" w:name="_Toc194678424"/>
      <w:bookmarkStart w:id="88" w:name="_Toc207222831"/>
      <w:r w:rsidRPr="00051A4B">
        <w:rPr>
          <w:u w:val="none"/>
        </w:rPr>
        <w:t>3.8.3.</w:t>
      </w:r>
      <w:r w:rsidRPr="00051A4B">
        <w:rPr>
          <w:u w:val="none"/>
        </w:rPr>
        <w:tab/>
      </w:r>
      <w:r w:rsidRPr="00DA0A3C">
        <w:t>Other comments on Subpart H requirements not related to RFC</w:t>
      </w:r>
      <w:bookmarkEnd w:id="87"/>
      <w:bookmarkEnd w:id="88"/>
    </w:p>
    <w:p w:rsidR="007F112A" w:rsidRPr="00772269" w:rsidP="00772269" w14:paraId="63A4EBF5" w14:textId="77777777">
      <w:pPr>
        <w:spacing w:after="220"/>
        <w:rPr>
          <w:rFonts w:ascii="Arial" w:hAnsi="Arial" w:cs="Arial"/>
          <w:sz w:val="22"/>
          <w:szCs w:val="22"/>
        </w:rPr>
      </w:pPr>
      <w:r w:rsidRPr="00772269">
        <w:rPr>
          <w:rFonts w:ascii="Arial" w:hAnsi="Arial" w:cs="Arial"/>
          <w:b/>
          <w:sz w:val="22"/>
          <w:szCs w:val="22"/>
        </w:rPr>
        <w:t>Comment Bin 3.8.3.A:</w:t>
      </w:r>
      <w:r w:rsidRPr="00772269">
        <w:rPr>
          <w:rFonts w:ascii="Arial" w:hAnsi="Arial" w:cs="Arial"/>
          <w:sz w:val="22"/>
          <w:szCs w:val="22"/>
        </w:rPr>
        <w:t xml:space="preserve"> A commenter said that for Subpart H, the approach of referencing the detailed technical requirements for the various application types to those in the technical requirements for a design certification has been a major improvement. However, the commenter said that the length and complexity of Subpart H may lead to a reduction in regulatory clarity and introduce the potential for similar requirements having unintended differences. The commenter recommended that NRC streamline the requirements in Subpart H (</w:t>
      </w:r>
      <w:r w:rsidR="009D6BB9">
        <w:rPr>
          <w:rFonts w:ascii="Arial" w:hAnsi="Arial" w:cs="Arial"/>
          <w:sz w:val="22"/>
          <w:szCs w:val="22"/>
        </w:rPr>
        <w:t>NEI2</w:t>
      </w:r>
      <w:r w:rsidRPr="00772269">
        <w:rPr>
          <w:rFonts w:ascii="Arial" w:hAnsi="Arial" w:cs="Arial"/>
          <w:sz w:val="22"/>
          <w:szCs w:val="22"/>
        </w:rPr>
        <w:t>-0121).</w:t>
      </w:r>
    </w:p>
    <w:p w:rsidR="00BA3A1C" w:rsidP="00772269" w14:paraId="48FD0233"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The NRC agrees, in part, with the comment.</w:t>
      </w:r>
    </w:p>
    <w:p w:rsidR="004E4C8D" w:rsidP="00772269" w14:paraId="2D4A4375" w14:textId="77777777">
      <w:pPr>
        <w:spacing w:after="220"/>
        <w:rPr>
          <w:rFonts w:ascii="Arial" w:hAnsi="Arial" w:cs="Arial"/>
          <w:sz w:val="22"/>
          <w:szCs w:val="22"/>
        </w:rPr>
      </w:pPr>
      <w:r w:rsidRPr="00772269">
        <w:rPr>
          <w:rFonts w:ascii="Arial" w:hAnsi="Arial" w:cs="Arial"/>
          <w:sz w:val="22"/>
          <w:szCs w:val="22"/>
        </w:rPr>
        <w:t xml:space="preserve">The NRC has </w:t>
      </w:r>
      <w:r w:rsidR="004E7D53">
        <w:rPr>
          <w:rFonts w:ascii="Arial" w:hAnsi="Arial" w:cs="Arial"/>
          <w:sz w:val="22"/>
          <w:szCs w:val="22"/>
        </w:rPr>
        <w:t>revised and</w:t>
      </w:r>
      <w:r w:rsidRPr="00772269">
        <w:rPr>
          <w:rFonts w:ascii="Arial" w:hAnsi="Arial" w:cs="Arial"/>
          <w:sz w:val="22"/>
          <w:szCs w:val="22"/>
        </w:rPr>
        <w:t xml:space="preserve"> streamlined Subpart H to some degree based on specific comments provided on this subpart but has not undertaken an independent reassessment of opportunities for further streamlining</w:t>
      </w:r>
      <w:r w:rsidR="00BC786B">
        <w:rPr>
          <w:rFonts w:ascii="Arial" w:hAnsi="Arial" w:cs="Arial"/>
          <w:sz w:val="22"/>
          <w:szCs w:val="22"/>
        </w:rPr>
        <w:t xml:space="preserve"> in </w:t>
      </w:r>
      <w:r w:rsidR="00BA0C1D">
        <w:rPr>
          <w:rFonts w:ascii="Arial" w:hAnsi="Arial" w:cs="Arial"/>
          <w:sz w:val="22"/>
          <w:szCs w:val="22"/>
        </w:rPr>
        <w:t>light of the importance of having the requirements for each licensing instrument clearly stated</w:t>
      </w:r>
      <w:r w:rsidRPr="00772269">
        <w:rPr>
          <w:rFonts w:ascii="Arial" w:hAnsi="Arial" w:cs="Arial"/>
          <w:sz w:val="22"/>
          <w:szCs w:val="22"/>
        </w:rPr>
        <w:t xml:space="preserve">. </w:t>
      </w:r>
    </w:p>
    <w:p w:rsidR="007F112A" w:rsidRPr="00772269" w:rsidP="00772269" w14:paraId="150AACAF"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772269" w:rsidP="00772269" w14:paraId="558F6C7F" w14:textId="77777777">
      <w:pPr>
        <w:spacing w:after="220"/>
        <w:rPr>
          <w:rFonts w:ascii="Arial" w:hAnsi="Arial" w:cs="Arial"/>
          <w:sz w:val="22"/>
          <w:szCs w:val="22"/>
        </w:rPr>
      </w:pPr>
      <w:r>
        <w:rPr>
          <w:rFonts w:ascii="Arial" w:hAnsi="Arial" w:cs="Arial"/>
          <w:sz w:val="22"/>
          <w:szCs w:val="22"/>
        </w:rPr>
        <w:pict>
          <v:rect id="_x0000_i1266" style="width:0;height:1.5pt" o:hralign="center" o:hrstd="t" o:hrnoshade="t" o:hr="t" fillcolor="black" stroked="f"/>
        </w:pict>
      </w:r>
    </w:p>
    <w:p w:rsidR="00EC5FC4" w:rsidRPr="00772269" w:rsidP="00772269" w14:paraId="7A422371" w14:textId="77777777">
      <w:pPr>
        <w:spacing w:after="220"/>
        <w:rPr>
          <w:rFonts w:ascii="Arial" w:hAnsi="Arial" w:cs="Arial"/>
          <w:b/>
          <w:sz w:val="22"/>
          <w:szCs w:val="22"/>
        </w:rPr>
      </w:pPr>
      <w:r w:rsidRPr="00772269">
        <w:rPr>
          <w:rFonts w:ascii="Arial" w:hAnsi="Arial" w:cs="Arial"/>
          <w:b/>
          <w:sz w:val="22"/>
          <w:szCs w:val="22"/>
        </w:rPr>
        <w:t xml:space="preserve">Comment Bin 3.8.3.B: </w:t>
      </w:r>
      <w:r w:rsidRPr="00772269">
        <w:rPr>
          <w:rFonts w:ascii="Arial" w:hAnsi="Arial" w:cs="Arial"/>
          <w:sz w:val="22"/>
          <w:szCs w:val="22"/>
        </w:rPr>
        <w:t xml:space="preserve">A commenter suggested that the NRC introduce a new provision into </w:t>
      </w:r>
      <w:r w:rsidR="008D2AD7">
        <w:rPr>
          <w:rFonts w:ascii="Arial" w:hAnsi="Arial" w:cs="Arial"/>
          <w:sz w:val="22"/>
          <w:szCs w:val="22"/>
        </w:rPr>
        <w:t>10</w:t>
      </w:r>
      <w:r w:rsidRPr="00772269" w:rsidR="008D2AD7">
        <w:rPr>
          <w:rFonts w:ascii="Arial" w:hAnsi="Arial" w:cs="Arial"/>
          <w:sz w:val="22"/>
          <w:szCs w:val="22"/>
        </w:rPr>
        <w:t> </w:t>
      </w:r>
      <w:r w:rsidR="008D2AD7">
        <w:rPr>
          <w:rFonts w:ascii="Arial" w:hAnsi="Arial" w:cs="Arial"/>
          <w:sz w:val="22"/>
          <w:szCs w:val="22"/>
        </w:rPr>
        <w:t xml:space="preserve">CFR </w:t>
      </w:r>
      <w:r w:rsidRPr="00772269">
        <w:rPr>
          <w:rFonts w:ascii="Arial" w:hAnsi="Arial" w:cs="Arial"/>
          <w:sz w:val="22"/>
          <w:szCs w:val="22"/>
        </w:rPr>
        <w:t>53.500 to formalize preapplication processes</w:t>
      </w:r>
      <w:r w:rsidRPr="00772269" w:rsidR="00A75FEA">
        <w:rPr>
          <w:rFonts w:ascii="Arial" w:hAnsi="Arial" w:cs="Arial"/>
          <w:sz w:val="22"/>
          <w:szCs w:val="22"/>
        </w:rPr>
        <w:t>. The commenter provided suggested language including encouragement of early engagement between the Commission and applicants</w:t>
      </w:r>
      <w:r w:rsidRPr="00772269" w:rsidR="009D4177">
        <w:rPr>
          <w:rFonts w:ascii="Arial" w:hAnsi="Arial" w:cs="Arial"/>
          <w:sz w:val="22"/>
          <w:szCs w:val="22"/>
        </w:rPr>
        <w:t xml:space="preserve"> (</w:t>
      </w:r>
      <w:r w:rsidR="004C1A5D">
        <w:rPr>
          <w:rFonts w:ascii="Arial" w:hAnsi="Arial" w:cs="Arial"/>
          <w:sz w:val="22"/>
          <w:szCs w:val="22"/>
        </w:rPr>
        <w:t>BI1</w:t>
      </w:r>
      <w:r w:rsidRPr="00772269" w:rsidR="009D4177">
        <w:rPr>
          <w:rFonts w:ascii="Arial" w:hAnsi="Arial" w:cs="Arial"/>
          <w:sz w:val="22"/>
          <w:szCs w:val="22"/>
        </w:rPr>
        <w:t>-0017).</w:t>
      </w:r>
    </w:p>
    <w:p w:rsidR="00904A12" w:rsidRPr="00772269" w:rsidP="00772269" w14:paraId="5656A80D" w14:textId="77777777">
      <w:pPr>
        <w:spacing w:after="220"/>
        <w:rPr>
          <w:rFonts w:ascii="Arial" w:hAnsi="Arial" w:cs="Arial"/>
          <w:sz w:val="22"/>
          <w:szCs w:val="22"/>
        </w:rPr>
      </w:pPr>
      <w:r w:rsidRPr="00772269">
        <w:rPr>
          <w:rFonts w:ascii="Arial" w:hAnsi="Arial" w:cs="Arial"/>
          <w:b/>
          <w:sz w:val="22"/>
          <w:szCs w:val="22"/>
        </w:rPr>
        <w:t>NRC Response:</w:t>
      </w:r>
      <w:r w:rsidRPr="00772269">
        <w:rPr>
          <w:rFonts w:ascii="Arial" w:hAnsi="Arial" w:cs="Arial"/>
          <w:sz w:val="22"/>
          <w:szCs w:val="22"/>
        </w:rPr>
        <w:t xml:space="preserve"> </w:t>
      </w:r>
      <w:r w:rsidRPr="00772269" w:rsidR="00031816">
        <w:rPr>
          <w:rFonts w:ascii="Arial" w:hAnsi="Arial" w:cs="Arial"/>
          <w:sz w:val="22"/>
          <w:szCs w:val="22"/>
        </w:rPr>
        <w:t xml:space="preserve">The NRC disagrees with </w:t>
      </w:r>
      <w:r w:rsidRPr="00772269" w:rsidR="008849C4">
        <w:rPr>
          <w:rFonts w:ascii="Arial" w:hAnsi="Arial" w:cs="Arial"/>
          <w:sz w:val="22"/>
          <w:szCs w:val="22"/>
        </w:rPr>
        <w:t>the comment.</w:t>
      </w:r>
    </w:p>
    <w:p w:rsidR="00904A12" w:rsidRPr="00772269" w:rsidP="00772269" w14:paraId="5579DA41" w14:textId="77777777">
      <w:pPr>
        <w:spacing w:after="220"/>
        <w:rPr>
          <w:rFonts w:ascii="Arial" w:hAnsi="Arial" w:cs="Arial"/>
          <w:sz w:val="22"/>
          <w:szCs w:val="22"/>
        </w:rPr>
      </w:pPr>
      <w:r w:rsidRPr="00772269">
        <w:rPr>
          <w:rFonts w:ascii="Arial" w:hAnsi="Arial" w:cs="Arial"/>
          <w:sz w:val="22"/>
          <w:szCs w:val="22"/>
        </w:rPr>
        <w:t xml:space="preserve">Regulatory requirements are not an appropriate vehicle for </w:t>
      </w:r>
      <w:r w:rsidRPr="00772269" w:rsidR="00F03A73">
        <w:rPr>
          <w:rFonts w:ascii="Arial" w:hAnsi="Arial" w:cs="Arial"/>
          <w:sz w:val="22"/>
          <w:szCs w:val="22"/>
        </w:rPr>
        <w:t xml:space="preserve">providing encouragement </w:t>
      </w:r>
      <w:r w:rsidRPr="00772269" w:rsidR="000D3E0C">
        <w:rPr>
          <w:rFonts w:ascii="Arial" w:hAnsi="Arial" w:cs="Arial"/>
          <w:sz w:val="22"/>
          <w:szCs w:val="22"/>
        </w:rPr>
        <w:t xml:space="preserve">of early engagement between </w:t>
      </w:r>
      <w:r w:rsidRPr="00772269" w:rsidR="00765A62">
        <w:rPr>
          <w:rFonts w:ascii="Arial" w:hAnsi="Arial" w:cs="Arial"/>
          <w:sz w:val="22"/>
          <w:szCs w:val="22"/>
        </w:rPr>
        <w:t xml:space="preserve">the NRC and </w:t>
      </w:r>
      <w:r w:rsidRPr="00772269" w:rsidR="00585AA4">
        <w:rPr>
          <w:rFonts w:ascii="Arial" w:hAnsi="Arial" w:cs="Arial"/>
          <w:sz w:val="22"/>
          <w:szCs w:val="22"/>
        </w:rPr>
        <w:t>an entity planning to submit an application</w:t>
      </w:r>
      <w:r w:rsidRPr="00772269" w:rsidR="00DF4DFC">
        <w:rPr>
          <w:rFonts w:ascii="Arial" w:hAnsi="Arial" w:cs="Arial"/>
          <w:sz w:val="22"/>
          <w:szCs w:val="22"/>
        </w:rPr>
        <w:t>. While</w:t>
      </w:r>
      <w:r w:rsidRPr="00772269" w:rsidR="00133429">
        <w:rPr>
          <w:rFonts w:ascii="Arial" w:hAnsi="Arial" w:cs="Arial"/>
          <w:sz w:val="22"/>
          <w:szCs w:val="22"/>
        </w:rPr>
        <w:t xml:space="preserve"> </w:t>
      </w:r>
      <w:r w:rsidRPr="00772269" w:rsidR="002221B1">
        <w:rPr>
          <w:rFonts w:ascii="Arial" w:hAnsi="Arial" w:cs="Arial"/>
          <w:sz w:val="22"/>
          <w:szCs w:val="22"/>
        </w:rPr>
        <w:t xml:space="preserve">early engagement with the NRC leading up to the submittal of an application </w:t>
      </w:r>
      <w:r w:rsidRPr="00772269" w:rsidR="00B46A03">
        <w:rPr>
          <w:rFonts w:ascii="Arial" w:hAnsi="Arial" w:cs="Arial"/>
          <w:sz w:val="22"/>
          <w:szCs w:val="22"/>
        </w:rPr>
        <w:t xml:space="preserve">may </w:t>
      </w:r>
      <w:r w:rsidRPr="00772269" w:rsidR="00F21369">
        <w:rPr>
          <w:rFonts w:ascii="Arial" w:hAnsi="Arial" w:cs="Arial"/>
          <w:sz w:val="22"/>
          <w:szCs w:val="22"/>
        </w:rPr>
        <w:t xml:space="preserve">allow the NRC to gain a better understanding of </w:t>
      </w:r>
      <w:r w:rsidRPr="00772269" w:rsidR="000E20F9">
        <w:rPr>
          <w:rFonts w:ascii="Arial" w:hAnsi="Arial" w:cs="Arial"/>
          <w:sz w:val="22"/>
          <w:szCs w:val="22"/>
        </w:rPr>
        <w:t xml:space="preserve">an </w:t>
      </w:r>
      <w:r w:rsidRPr="00772269" w:rsidR="00E65D8B">
        <w:rPr>
          <w:rFonts w:ascii="Arial" w:hAnsi="Arial" w:cs="Arial"/>
          <w:sz w:val="22"/>
          <w:szCs w:val="22"/>
        </w:rPr>
        <w:t>application</w:t>
      </w:r>
      <w:r w:rsidRPr="00772269" w:rsidR="009D39C0">
        <w:rPr>
          <w:rFonts w:ascii="Arial" w:hAnsi="Arial" w:cs="Arial"/>
          <w:sz w:val="22"/>
          <w:szCs w:val="22"/>
        </w:rPr>
        <w:t xml:space="preserve"> and foster a more efficient review</w:t>
      </w:r>
      <w:r w:rsidRPr="00772269" w:rsidR="00B46A03">
        <w:rPr>
          <w:rFonts w:ascii="Arial" w:hAnsi="Arial" w:cs="Arial"/>
          <w:sz w:val="22"/>
          <w:szCs w:val="22"/>
        </w:rPr>
        <w:t xml:space="preserve">, </w:t>
      </w:r>
      <w:r w:rsidRPr="00772269" w:rsidR="003D1855">
        <w:rPr>
          <w:rFonts w:ascii="Arial" w:hAnsi="Arial" w:cs="Arial"/>
          <w:sz w:val="22"/>
          <w:szCs w:val="22"/>
        </w:rPr>
        <w:t xml:space="preserve">such </w:t>
      </w:r>
      <w:r w:rsidRPr="00772269" w:rsidR="00D70F74">
        <w:rPr>
          <w:rFonts w:ascii="Arial" w:hAnsi="Arial" w:cs="Arial"/>
          <w:sz w:val="22"/>
          <w:szCs w:val="22"/>
        </w:rPr>
        <w:t>preapplication activities are</w:t>
      </w:r>
      <w:r w:rsidRPr="00772269" w:rsidR="00765A47">
        <w:rPr>
          <w:rFonts w:ascii="Arial" w:hAnsi="Arial" w:cs="Arial"/>
          <w:sz w:val="22"/>
          <w:szCs w:val="22"/>
        </w:rPr>
        <w:t>, by definition</w:t>
      </w:r>
      <w:r w:rsidRPr="00772269" w:rsidR="008938A4">
        <w:rPr>
          <w:rFonts w:ascii="Arial" w:hAnsi="Arial" w:cs="Arial"/>
          <w:sz w:val="22"/>
          <w:szCs w:val="22"/>
        </w:rPr>
        <w:t>,</w:t>
      </w:r>
      <w:r w:rsidRPr="00772269" w:rsidR="00D70F74">
        <w:rPr>
          <w:rFonts w:ascii="Arial" w:hAnsi="Arial" w:cs="Arial"/>
          <w:sz w:val="22"/>
          <w:szCs w:val="22"/>
        </w:rPr>
        <w:t xml:space="preserve"> outside the scope of NRC</w:t>
      </w:r>
      <w:r w:rsidRPr="00772269" w:rsidR="00D24BB9">
        <w:rPr>
          <w:rFonts w:ascii="Arial" w:hAnsi="Arial" w:cs="Arial"/>
          <w:sz w:val="22"/>
          <w:szCs w:val="22"/>
        </w:rPr>
        <w:t>-regulated activities</w:t>
      </w:r>
      <w:r w:rsidRPr="00772269" w:rsidR="004A2BA4">
        <w:rPr>
          <w:rFonts w:ascii="Arial" w:hAnsi="Arial" w:cs="Arial"/>
          <w:sz w:val="22"/>
          <w:szCs w:val="22"/>
        </w:rPr>
        <w:t>, which commence when the application is filed</w:t>
      </w:r>
      <w:r w:rsidRPr="00772269" w:rsidR="00065C94">
        <w:rPr>
          <w:rFonts w:ascii="Arial" w:hAnsi="Arial" w:cs="Arial"/>
          <w:sz w:val="22"/>
          <w:szCs w:val="22"/>
        </w:rPr>
        <w:t>.</w:t>
      </w:r>
    </w:p>
    <w:p w:rsidR="00EC5FC4" w:rsidP="00772269" w14:paraId="3EB6E028"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E11901" w:rsidRPr="00772269" w:rsidP="00772269" w14:paraId="08C231A1" w14:textId="77777777">
      <w:pPr>
        <w:spacing w:after="220"/>
        <w:rPr>
          <w:rFonts w:ascii="Arial" w:hAnsi="Arial" w:cs="Arial"/>
          <w:sz w:val="22"/>
          <w:szCs w:val="22"/>
        </w:rPr>
      </w:pPr>
      <w:r>
        <w:rPr>
          <w:rFonts w:ascii="Arial" w:hAnsi="Arial" w:cs="Arial"/>
          <w:sz w:val="22"/>
          <w:szCs w:val="22"/>
        </w:rPr>
        <w:pict>
          <v:rect id="_x0000_i1267" style="width:0;height:1.5pt" o:hralign="center" o:hrstd="t" o:hrnoshade="t" o:hr="t" fillcolor="black" stroked="f"/>
        </w:pict>
      </w:r>
    </w:p>
    <w:p w:rsidR="007F112A" w:rsidRPr="00DA0A3C" w:rsidP="00846198" w14:paraId="1CF6B1D3" w14:textId="77777777">
      <w:pPr>
        <w:pStyle w:val="Heading3"/>
        <w:numPr>
          <w:ilvl w:val="0"/>
          <w:numId w:val="0"/>
        </w:numPr>
        <w:ind w:left="720" w:hanging="720"/>
      </w:pPr>
      <w:bookmarkStart w:id="89" w:name="_Toc207222832"/>
      <w:r w:rsidRPr="00846198">
        <w:rPr>
          <w:u w:val="none"/>
        </w:rPr>
        <w:t>3.8.4.</w:t>
      </w:r>
      <w:r w:rsidRPr="00846198">
        <w:rPr>
          <w:u w:val="none"/>
        </w:rPr>
        <w:tab/>
      </w:r>
      <w:r w:rsidRPr="00DA0A3C" w:rsidR="00EE7EA7">
        <w:t>RFC: Licenses to construct and operate commercial nuclear plants of identical design at multiple sites (§ 53.1470)</w:t>
      </w:r>
      <w:bookmarkEnd w:id="89"/>
    </w:p>
    <w:p w:rsidR="007F112A" w:rsidRPr="00772269" w:rsidP="00772269" w14:paraId="3F10B84E" w14:textId="77777777">
      <w:pPr>
        <w:spacing w:after="220"/>
        <w:rPr>
          <w:rFonts w:ascii="Arial" w:hAnsi="Arial" w:cs="Arial"/>
          <w:sz w:val="22"/>
          <w:szCs w:val="22"/>
        </w:rPr>
      </w:pPr>
      <w:r w:rsidRPr="00772269">
        <w:rPr>
          <w:rFonts w:ascii="Arial" w:hAnsi="Arial" w:cs="Arial"/>
          <w:b/>
          <w:sz w:val="22"/>
          <w:szCs w:val="22"/>
        </w:rPr>
        <w:t xml:space="preserve">Comment Bin 3.8.4.A: </w:t>
      </w:r>
      <w:r w:rsidRPr="00772269">
        <w:rPr>
          <w:rFonts w:ascii="Arial" w:hAnsi="Arial" w:cs="Arial"/>
          <w:sz w:val="22"/>
          <w:szCs w:val="22"/>
        </w:rPr>
        <w:t>Two commenters wrote that they support efforts to identify opportunities for added flexibility in the 10 CFR 53.1470 process. The commenters stated that flexibility in this process is important given</w:t>
      </w:r>
      <w:r w:rsidR="00760BF1">
        <w:rPr>
          <w:rFonts w:ascii="Arial" w:hAnsi="Arial" w:cs="Arial"/>
          <w:sz w:val="22"/>
          <w:szCs w:val="22"/>
        </w:rPr>
        <w:t>:</w:t>
      </w:r>
      <w:r w:rsidRPr="00772269">
        <w:rPr>
          <w:rFonts w:ascii="Arial" w:hAnsi="Arial" w:cs="Arial"/>
          <w:sz w:val="22"/>
          <w:szCs w:val="22"/>
        </w:rPr>
        <w:t xml:space="preserve"> 1) NRC’s and the industry’s ongoing work related to </w:t>
      </w:r>
      <w:r w:rsidR="00760BF1">
        <w:rPr>
          <w:rFonts w:ascii="Arial" w:hAnsi="Arial" w:cs="Arial"/>
          <w:sz w:val="22"/>
          <w:szCs w:val="22"/>
        </w:rPr>
        <w:t>n</w:t>
      </w:r>
      <w:r w:rsidRPr="00772269">
        <w:rPr>
          <w:rFonts w:ascii="Arial" w:hAnsi="Arial" w:cs="Arial"/>
          <w:sz w:val="22"/>
          <w:szCs w:val="22"/>
        </w:rPr>
        <w:t>th-of-a-kind  microreactors and other advanced reactors that may be rapidly deployed in high volumes in remote applications (RHDRA); and 2) certain provisions in the ADVANCE Act aimed at improving the efficiency of the NRC’s new reactor licensing process (</w:t>
      </w:r>
      <w:r w:rsidR="009D6BB9">
        <w:rPr>
          <w:rFonts w:ascii="Arial" w:hAnsi="Arial" w:cs="Arial"/>
          <w:sz w:val="22"/>
          <w:szCs w:val="22"/>
        </w:rPr>
        <w:t>NEI2</w:t>
      </w:r>
      <w:r w:rsidRPr="00772269">
        <w:rPr>
          <w:rFonts w:ascii="Arial" w:hAnsi="Arial" w:cs="Arial"/>
          <w:sz w:val="22"/>
          <w:szCs w:val="22"/>
        </w:rPr>
        <w:t xml:space="preserve">-0207, </w:t>
      </w:r>
      <w:r w:rsidR="00AE0B17">
        <w:rPr>
          <w:rFonts w:ascii="Arial" w:hAnsi="Arial" w:cs="Arial"/>
          <w:sz w:val="22"/>
          <w:szCs w:val="22"/>
        </w:rPr>
        <w:t>USNIC2</w:t>
      </w:r>
      <w:r w:rsidR="00E6176E">
        <w:rPr>
          <w:rFonts w:ascii="Arial" w:hAnsi="Arial" w:cs="Arial"/>
          <w:sz w:val="22"/>
          <w:szCs w:val="22"/>
        </w:rPr>
        <w:noBreakHyphen/>
      </w:r>
      <w:r w:rsidRPr="00772269">
        <w:rPr>
          <w:rFonts w:ascii="Arial" w:hAnsi="Arial" w:cs="Arial"/>
          <w:sz w:val="22"/>
          <w:szCs w:val="22"/>
        </w:rPr>
        <w:t xml:space="preserve">0034). </w:t>
      </w:r>
    </w:p>
    <w:p w:rsidR="007F112A" w:rsidRPr="00772269" w:rsidP="00772269" w14:paraId="7F7B5B34" w14:textId="77777777">
      <w:pPr>
        <w:spacing w:after="220"/>
        <w:rPr>
          <w:rFonts w:ascii="Arial" w:hAnsi="Arial" w:cs="Arial"/>
          <w:sz w:val="22"/>
          <w:szCs w:val="22"/>
        </w:rPr>
      </w:pPr>
      <w:r w:rsidRPr="00772269">
        <w:rPr>
          <w:rFonts w:ascii="Arial" w:hAnsi="Arial" w:cs="Arial"/>
          <w:sz w:val="22"/>
          <w:szCs w:val="22"/>
        </w:rPr>
        <w:t xml:space="preserve">One of the commenters said that, in a previous RHDRA proposal paper, they identified the Appendix N process as a potential tool to reduce schedule and cost risks associated with licensing review for each site-specific RHDRA applications. In particular, the paper identified the need for a rapid efficient and repeatable licensing process that can achieve </w:t>
      </w:r>
      <w:r w:rsidR="00306A19">
        <w:rPr>
          <w:rFonts w:ascii="Arial" w:hAnsi="Arial" w:cs="Arial"/>
          <w:sz w:val="22"/>
          <w:szCs w:val="22"/>
        </w:rPr>
        <w:t>6</w:t>
      </w:r>
      <w:r w:rsidRPr="00772269">
        <w:rPr>
          <w:rFonts w:ascii="Arial" w:hAnsi="Arial" w:cs="Arial"/>
          <w:sz w:val="22"/>
          <w:szCs w:val="22"/>
        </w:rPr>
        <w:t xml:space="preserve">-month deployment times by: </w:t>
      </w:r>
    </w:p>
    <w:p w:rsidR="007F112A" w:rsidRPr="00772269" w:rsidP="00CF016E" w14:paraId="3A66D60C" w14:textId="77777777">
      <w:pPr>
        <w:spacing w:after="220"/>
        <w:ind w:left="720" w:right="720"/>
        <w:rPr>
          <w:rFonts w:ascii="Arial" w:hAnsi="Arial" w:cs="Arial"/>
          <w:sz w:val="22"/>
          <w:szCs w:val="22"/>
        </w:rPr>
      </w:pPr>
      <w:r w:rsidRPr="00772269">
        <w:rPr>
          <w:rFonts w:ascii="Arial" w:hAnsi="Arial" w:cs="Arial"/>
          <w:sz w:val="22"/>
          <w:szCs w:val="22"/>
        </w:rPr>
        <w:t>completing all, or as much as possible, of the safety and environmental reviews and public engagement processes at one-time, prior to the identification of a specific site, and</w:t>
      </w:r>
    </w:p>
    <w:p w:rsidR="007F112A" w:rsidRPr="00772269" w:rsidP="00CF016E" w14:paraId="162E6374" w14:textId="77777777">
      <w:pPr>
        <w:spacing w:after="220"/>
        <w:ind w:left="720" w:right="720"/>
        <w:rPr>
          <w:rFonts w:ascii="Arial" w:hAnsi="Arial" w:cs="Arial"/>
          <w:sz w:val="22"/>
          <w:szCs w:val="22"/>
        </w:rPr>
      </w:pPr>
      <w:r w:rsidRPr="00772269">
        <w:rPr>
          <w:rFonts w:ascii="Arial" w:hAnsi="Arial" w:cs="Arial"/>
          <w:sz w:val="22"/>
          <w:szCs w:val="22"/>
        </w:rPr>
        <w:t>performing a simplified site license application review that focuses on verifying that the site characteristics, which are based on pre-existing generic data as much as possible, conform to the minimum set of site parameters in the envelope established in the one-time up-front reviews.</w:t>
      </w:r>
    </w:p>
    <w:p w:rsidR="007F112A" w:rsidRPr="00772269" w:rsidP="00772269" w14:paraId="0CAA0B7F" w14:textId="77777777">
      <w:pPr>
        <w:spacing w:after="220"/>
        <w:rPr>
          <w:rFonts w:ascii="Arial" w:hAnsi="Arial" w:cs="Arial"/>
          <w:sz w:val="22"/>
          <w:szCs w:val="22"/>
        </w:rPr>
      </w:pPr>
      <w:r w:rsidRPr="00772269">
        <w:rPr>
          <w:rFonts w:ascii="Arial" w:hAnsi="Arial" w:cs="Arial"/>
          <w:sz w:val="22"/>
          <w:szCs w:val="22"/>
        </w:rPr>
        <w:t>The commenter wrote that some individual applicants may seek to deploy numerous microreactors and RHDRA to a given area in a relatively short time, the requirements in 10</w:t>
      </w:r>
      <w:r w:rsidR="00AE2B8E">
        <w:rPr>
          <w:rFonts w:ascii="Arial" w:hAnsi="Arial" w:cs="Arial"/>
          <w:sz w:val="22"/>
          <w:szCs w:val="22"/>
        </w:rPr>
        <w:t> </w:t>
      </w:r>
      <w:r w:rsidRPr="00772269">
        <w:rPr>
          <w:rFonts w:ascii="Arial" w:hAnsi="Arial" w:cs="Arial"/>
          <w:sz w:val="22"/>
          <w:szCs w:val="22"/>
        </w:rPr>
        <w:t>CFR</w:t>
      </w:r>
      <w:r w:rsidR="00AE2B8E">
        <w:rPr>
          <w:rFonts w:ascii="Arial" w:hAnsi="Arial" w:cs="Arial"/>
          <w:sz w:val="22"/>
          <w:szCs w:val="22"/>
        </w:rPr>
        <w:t> </w:t>
      </w:r>
      <w:r w:rsidRPr="00772269">
        <w:rPr>
          <w:rFonts w:ascii="Arial" w:hAnsi="Arial" w:cs="Arial"/>
          <w:sz w:val="22"/>
          <w:szCs w:val="22"/>
        </w:rPr>
        <w:t xml:space="preserve">53.1470 could be useful in fulfilling this objective. The commenter also cautioned that some of these efficiencies could be useful for any new reactor application and is not limited solely to microreactors. </w:t>
      </w:r>
    </w:p>
    <w:p w:rsidR="007F112A" w:rsidRPr="00772269" w:rsidP="00772269" w14:paraId="7287BD02" w14:textId="77777777">
      <w:pPr>
        <w:spacing w:after="220"/>
        <w:rPr>
          <w:rFonts w:ascii="Arial" w:hAnsi="Arial" w:cs="Arial"/>
          <w:sz w:val="22"/>
          <w:szCs w:val="22"/>
        </w:rPr>
      </w:pPr>
      <w:r w:rsidRPr="00772269">
        <w:rPr>
          <w:rFonts w:ascii="Arial" w:hAnsi="Arial" w:cs="Arial"/>
          <w:sz w:val="22"/>
          <w:szCs w:val="22"/>
        </w:rPr>
        <w:t>The commenter suggested that 10 CFR 53.1470 be modified to allow for the possibility of staggered license applications. The commenter wrote that this section is based on the Appendix N process in 10 CFR Part</w:t>
      </w:r>
      <w:r w:rsidR="00371D38">
        <w:rPr>
          <w:rFonts w:ascii="Arial" w:hAnsi="Arial" w:cs="Arial"/>
          <w:sz w:val="22"/>
          <w:szCs w:val="22"/>
        </w:rPr>
        <w:t>s</w:t>
      </w:r>
      <w:r w:rsidRPr="00772269">
        <w:rPr>
          <w:rFonts w:ascii="Arial" w:hAnsi="Arial" w:cs="Arial"/>
          <w:sz w:val="22"/>
          <w:szCs w:val="22"/>
        </w:rPr>
        <w:t xml:space="preserve"> 50 and 52</w:t>
      </w:r>
      <w:r w:rsidR="00371D38">
        <w:rPr>
          <w:rFonts w:ascii="Arial" w:hAnsi="Arial" w:cs="Arial"/>
          <w:sz w:val="22"/>
          <w:szCs w:val="22"/>
        </w:rPr>
        <w:t>,</w:t>
      </w:r>
      <w:r w:rsidRPr="00772269">
        <w:rPr>
          <w:rFonts w:ascii="Arial" w:hAnsi="Arial" w:cs="Arial"/>
          <w:sz w:val="22"/>
          <w:szCs w:val="22"/>
        </w:rPr>
        <w:t xml:space="preserve"> which was developed with large</w:t>
      </w:r>
      <w:r w:rsidR="00BE3962">
        <w:rPr>
          <w:rFonts w:ascii="Arial" w:hAnsi="Arial" w:cs="Arial"/>
          <w:sz w:val="22"/>
          <w:szCs w:val="22"/>
        </w:rPr>
        <w:t>-</w:t>
      </w:r>
      <w:r w:rsidR="00EB59D8">
        <w:rPr>
          <w:rFonts w:ascii="Arial" w:hAnsi="Arial" w:cs="Arial"/>
          <w:sz w:val="22"/>
          <w:szCs w:val="22"/>
        </w:rPr>
        <w:t>risk</w:t>
      </w:r>
      <w:r w:rsidRPr="00772269">
        <w:rPr>
          <w:rFonts w:ascii="Arial" w:hAnsi="Arial" w:cs="Arial"/>
          <w:sz w:val="22"/>
          <w:szCs w:val="22"/>
        </w:rPr>
        <w:t xml:space="preserve"> LWRs in mind. Given this, the commenter specifically highlighted that the text “[e]ach application must list each of the other applications to be treated together under this section” should be modified to allow for the staggered or sequential submittal of applications that will rely on a common design, perhaps over a specified time frame such as 12 or 18 months.</w:t>
      </w:r>
    </w:p>
    <w:p w:rsidR="007F112A" w:rsidRPr="00772269" w:rsidP="00772269" w14:paraId="5C6AE691" w14:textId="77777777">
      <w:pPr>
        <w:spacing w:after="220"/>
        <w:rPr>
          <w:rFonts w:ascii="Arial" w:hAnsi="Arial" w:cs="Arial"/>
          <w:sz w:val="22"/>
          <w:szCs w:val="22"/>
        </w:rPr>
      </w:pPr>
      <w:r w:rsidRPr="00772269">
        <w:rPr>
          <w:rFonts w:ascii="Arial" w:hAnsi="Arial" w:cs="Arial"/>
          <w:sz w:val="22"/>
          <w:szCs w:val="22"/>
        </w:rPr>
        <w:t xml:space="preserve">Additionally, the commenter wrote that the </w:t>
      </w:r>
      <w:r w:rsidRPr="00535D75">
        <w:rPr>
          <w:rFonts w:ascii="Arial" w:hAnsi="Arial" w:cs="Arial"/>
          <w:sz w:val="22"/>
          <w:szCs w:val="22"/>
        </w:rPr>
        <w:t>Commission’s</w:t>
      </w:r>
      <w:r>
        <w:rPr>
          <w:rFonts w:ascii="Arial" w:hAnsi="Arial" w:cs="Arial"/>
          <w:sz w:val="22"/>
          <w:szCs w:val="22"/>
        </w:rPr>
        <w:t xml:space="preserve"> </w:t>
      </w:r>
      <w:r w:rsidR="00535D75">
        <w:rPr>
          <w:rFonts w:ascii="Arial" w:hAnsi="Arial" w:cs="Arial"/>
          <w:sz w:val="22"/>
          <w:szCs w:val="22"/>
        </w:rPr>
        <w:t>“</w:t>
      </w:r>
      <w:r w:rsidRPr="00535D75" w:rsidR="00535D75">
        <w:rPr>
          <w:rFonts w:ascii="Arial" w:hAnsi="Arial" w:cs="Arial"/>
          <w:sz w:val="22"/>
          <w:szCs w:val="22"/>
        </w:rPr>
        <w:t>Policy Statement on the Regulation of Advanced Reactors</w:t>
      </w:r>
      <w:r w:rsidR="00535D75">
        <w:rPr>
          <w:rFonts w:ascii="Arial" w:hAnsi="Arial" w:cs="Arial"/>
          <w:sz w:val="22"/>
          <w:szCs w:val="22"/>
        </w:rPr>
        <w:t>,”</w:t>
      </w:r>
      <w:r w:rsidRPr="00535D75">
        <w:rPr>
          <w:rFonts w:ascii="Arial" w:hAnsi="Arial" w:cs="Arial"/>
          <w:sz w:val="22"/>
          <w:szCs w:val="22"/>
        </w:rPr>
        <w:t xml:space="preserve"> </w:t>
      </w:r>
      <w:r w:rsidR="0054112E">
        <w:rPr>
          <w:rFonts w:ascii="Arial" w:hAnsi="Arial" w:cs="Arial"/>
          <w:sz w:val="22"/>
          <w:szCs w:val="22"/>
        </w:rPr>
        <w:t>issued October 2008 (</w:t>
      </w:r>
      <w:r w:rsidRPr="00376636" w:rsidR="00376636">
        <w:rPr>
          <w:rFonts w:ascii="Arial" w:hAnsi="Arial" w:cs="Arial"/>
          <w:sz w:val="22"/>
          <w:szCs w:val="22"/>
        </w:rPr>
        <w:t>ML082750370</w:t>
      </w:r>
      <w:r w:rsidR="0054112E">
        <w:rPr>
          <w:rFonts w:ascii="Arial" w:hAnsi="Arial" w:cs="Arial"/>
          <w:sz w:val="22"/>
          <w:szCs w:val="22"/>
        </w:rPr>
        <w:t>)</w:t>
      </w:r>
      <w:r w:rsidR="00376636">
        <w:rPr>
          <w:rFonts w:ascii="Arial" w:hAnsi="Arial" w:cs="Arial"/>
          <w:sz w:val="22"/>
          <w:szCs w:val="22"/>
        </w:rPr>
        <w:t xml:space="preserve"> </w:t>
      </w:r>
      <w:r w:rsidRPr="00772269">
        <w:rPr>
          <w:rFonts w:ascii="Arial" w:hAnsi="Arial" w:cs="Arial"/>
          <w:sz w:val="22"/>
          <w:szCs w:val="22"/>
        </w:rPr>
        <w:t>suggests it intends for the “common design” in Appendix N to 10 CFR Part 52 to be applied in a flexible manner. Specifically, the commenter suggested that this should include the possibility of sequential or staggered license applications, as well as potential variances or exemptions from design certifications (or other NRC generic approvals) and revisions to specific applications (</w:t>
      </w:r>
      <w:r w:rsidR="009D6BB9">
        <w:rPr>
          <w:rFonts w:ascii="Arial" w:hAnsi="Arial" w:cs="Arial"/>
          <w:sz w:val="22"/>
          <w:szCs w:val="22"/>
        </w:rPr>
        <w:t>NEI2</w:t>
      </w:r>
      <w:r w:rsidRPr="00772269">
        <w:rPr>
          <w:rFonts w:ascii="Arial" w:hAnsi="Arial" w:cs="Arial"/>
          <w:sz w:val="22"/>
          <w:szCs w:val="22"/>
        </w:rPr>
        <w:t>-0207).</w:t>
      </w:r>
    </w:p>
    <w:p w:rsidR="007F112A" w:rsidRPr="00772269" w:rsidP="00772269" w14:paraId="0C1C37CC" w14:textId="77777777">
      <w:pPr>
        <w:spacing w:after="220"/>
        <w:rPr>
          <w:rFonts w:ascii="Arial" w:hAnsi="Arial" w:cs="Arial"/>
          <w:sz w:val="22"/>
          <w:szCs w:val="22"/>
        </w:rPr>
      </w:pPr>
      <w:r w:rsidRPr="00772269">
        <w:rPr>
          <w:rFonts w:ascii="Arial" w:hAnsi="Arial" w:cs="Arial"/>
          <w:sz w:val="22"/>
          <w:szCs w:val="22"/>
        </w:rPr>
        <w:t>Another commenter recommended revising 10 CFR 53.1470 to provide flexibility in the review process for “common designs” that are not fully identical in order to support the efficient licensing and deployment of advanced reactors. The commenter recommended allowing staggered submissions which they said would balance regulatory efficiency with industry flexibility and ensure that lessons learned from earlier reviews can be incorporated into subsequent applications, improving regulatory outcomes while reducing redundant NRC efforts.</w:t>
      </w:r>
    </w:p>
    <w:p w:rsidR="007F112A" w:rsidRPr="00772269" w:rsidP="00772269" w14:paraId="31954EE6" w14:textId="77777777">
      <w:pPr>
        <w:spacing w:after="220"/>
        <w:rPr>
          <w:rFonts w:ascii="Arial" w:hAnsi="Arial" w:cs="Arial"/>
          <w:sz w:val="22"/>
          <w:szCs w:val="22"/>
        </w:rPr>
      </w:pPr>
      <w:r w:rsidRPr="00772269">
        <w:rPr>
          <w:rFonts w:ascii="Arial" w:hAnsi="Arial" w:cs="Arial"/>
          <w:sz w:val="22"/>
          <w:szCs w:val="22"/>
        </w:rPr>
        <w:t>Specifically, the commenter recommended allowing applications for “common designs” that are not completely identical to be reviewed under this provision. This could include minor variations related to site-specific conditions or operational optimizations. The commenter suggested revising the rule language as follows:</w:t>
      </w:r>
    </w:p>
    <w:p w:rsidR="007F112A" w:rsidRPr="00772269" w:rsidP="00772269" w14:paraId="48009376" w14:textId="77777777">
      <w:pPr>
        <w:spacing w:after="220"/>
        <w:ind w:left="720"/>
        <w:rPr>
          <w:rFonts w:ascii="Arial" w:hAnsi="Arial" w:cs="Arial"/>
          <w:sz w:val="22"/>
          <w:szCs w:val="22"/>
        </w:rPr>
      </w:pPr>
      <w:r w:rsidRPr="00772269">
        <w:rPr>
          <w:rFonts w:ascii="Arial" w:hAnsi="Arial" w:cs="Arial"/>
          <w:sz w:val="22"/>
          <w:szCs w:val="22"/>
        </w:rPr>
        <w:t xml:space="preserve">Applications for commercial nuclear plants with a </w:t>
      </w:r>
      <w:r w:rsidR="00C70346">
        <w:rPr>
          <w:rFonts w:ascii="Arial" w:hAnsi="Arial" w:cs="Arial"/>
          <w:sz w:val="22"/>
          <w:szCs w:val="22"/>
        </w:rPr>
        <w:t>‘</w:t>
      </w:r>
      <w:r w:rsidRPr="00772269">
        <w:rPr>
          <w:rFonts w:ascii="Arial" w:hAnsi="Arial" w:cs="Arial"/>
          <w:sz w:val="22"/>
          <w:szCs w:val="22"/>
        </w:rPr>
        <w:t>common design</w:t>
      </w:r>
      <w:r w:rsidR="00C70346">
        <w:rPr>
          <w:rFonts w:ascii="Arial" w:hAnsi="Arial" w:cs="Arial"/>
          <w:sz w:val="22"/>
          <w:szCs w:val="22"/>
        </w:rPr>
        <w:t>’</w:t>
      </w:r>
      <w:r w:rsidRPr="00772269">
        <w:rPr>
          <w:rFonts w:ascii="Arial" w:hAnsi="Arial" w:cs="Arial"/>
          <w:sz w:val="22"/>
          <w:szCs w:val="22"/>
        </w:rPr>
        <w:t xml:space="preserve"> that are not fully identical may be reviewed under this provision, provided the applicant demonstrates that deviations are minor, site-specific, or do not significantly increase the risk or safety performance of the design, or reduce safety margins below accepted levels. The NRC shall evaluate such applications against performance-based thresholds specified in subpart [X].</w:t>
      </w:r>
    </w:p>
    <w:p w:rsidR="007F112A" w:rsidRPr="00772269" w:rsidP="00772269" w14:paraId="592601C3" w14:textId="77777777">
      <w:pPr>
        <w:spacing w:after="220"/>
        <w:rPr>
          <w:rFonts w:ascii="Arial" w:hAnsi="Arial" w:cs="Arial"/>
          <w:sz w:val="22"/>
          <w:szCs w:val="22"/>
        </w:rPr>
      </w:pPr>
      <w:r w:rsidRPr="00772269">
        <w:rPr>
          <w:rFonts w:ascii="Arial" w:hAnsi="Arial" w:cs="Arial"/>
          <w:sz w:val="22"/>
          <w:szCs w:val="22"/>
        </w:rPr>
        <w:t>The commenter also recommended allowing applicants to submit applications on a staggered basis while maintaining the option for simultaneous submissions. The commenter suggested revising the rule language as follows (</w:t>
      </w:r>
      <w:r w:rsidR="004C1A5D">
        <w:rPr>
          <w:rFonts w:ascii="Arial" w:hAnsi="Arial" w:cs="Arial"/>
          <w:sz w:val="22"/>
          <w:szCs w:val="22"/>
        </w:rPr>
        <w:t>BI1</w:t>
      </w:r>
      <w:r w:rsidRPr="00772269">
        <w:rPr>
          <w:rFonts w:ascii="Arial" w:hAnsi="Arial" w:cs="Arial"/>
          <w:sz w:val="22"/>
          <w:szCs w:val="22"/>
        </w:rPr>
        <w:t>-0009):</w:t>
      </w:r>
    </w:p>
    <w:p w:rsidR="007F112A" w:rsidRPr="00772269" w:rsidP="008D2AD7" w14:paraId="221E8543" w14:textId="77777777">
      <w:pPr>
        <w:spacing w:after="220"/>
        <w:ind w:left="720"/>
        <w:rPr>
          <w:rFonts w:ascii="Arial" w:hAnsi="Arial" w:cs="Arial"/>
          <w:sz w:val="22"/>
          <w:szCs w:val="22"/>
        </w:rPr>
      </w:pPr>
      <w:r w:rsidRPr="00772269">
        <w:rPr>
          <w:rFonts w:ascii="Arial" w:hAnsi="Arial" w:cs="Arial"/>
          <w:sz w:val="22"/>
          <w:szCs w:val="22"/>
        </w:rPr>
        <w:t>Applicants may submit applications under this provision on a staggered basis. The applicant should list all intended applications in the initial submission and that the applicant provides a roadmap detailing the intended submission sequence and integration of NRC feedback from earlier reviews to the extent practical.</w:t>
      </w:r>
    </w:p>
    <w:p w:rsidR="007F112A" w:rsidRPr="00772269" w:rsidP="00772269" w14:paraId="07EB12A4" w14:textId="77777777">
      <w:pPr>
        <w:spacing w:after="220"/>
        <w:rPr>
          <w:rFonts w:ascii="Arial" w:hAnsi="Arial" w:cs="Arial"/>
          <w:sz w:val="22"/>
          <w:szCs w:val="22"/>
        </w:rPr>
      </w:pPr>
      <w:r w:rsidRPr="00772269">
        <w:rPr>
          <w:rFonts w:ascii="Arial" w:hAnsi="Arial" w:cs="Arial"/>
          <w:sz w:val="22"/>
          <w:szCs w:val="22"/>
        </w:rPr>
        <w:t>Regarding 10 CFR 53.1470, another commenter wrote that metrics for single and multi</w:t>
      </w:r>
      <w:r w:rsidRPr="00772269" w:rsidR="00A14D91">
        <w:rPr>
          <w:rFonts w:ascii="Arial" w:hAnsi="Arial" w:cs="Arial"/>
          <w:sz w:val="22"/>
          <w:szCs w:val="22"/>
        </w:rPr>
        <w:noBreakHyphen/>
      </w:r>
      <w:r w:rsidRPr="00772269">
        <w:rPr>
          <w:rFonts w:ascii="Arial" w:hAnsi="Arial" w:cs="Arial"/>
          <w:sz w:val="22"/>
          <w:szCs w:val="22"/>
        </w:rPr>
        <w:t>unit sites should be the same as risk is measured and quantified by probability. The commenter wrote that the language pinpointing “identical design” should be removed and suggested replacing it with “incremental changes in already-licensed ‘standard design’ that lead to enhance safety and performance will not lead to extensive additional, repeated or already submitted licensing requirements, or negatively impact existing approved or licensed builds” (</w:t>
      </w:r>
      <w:r w:rsidR="00A02F0C">
        <w:rPr>
          <w:rFonts w:ascii="Arial" w:hAnsi="Arial" w:cs="Arial"/>
          <w:sz w:val="22"/>
          <w:szCs w:val="22"/>
        </w:rPr>
        <w:t>RD</w:t>
      </w:r>
      <w:r w:rsidRPr="00772269">
        <w:rPr>
          <w:rFonts w:ascii="Arial" w:hAnsi="Arial" w:cs="Arial"/>
          <w:sz w:val="22"/>
          <w:szCs w:val="22"/>
        </w:rPr>
        <w:t>-0013).</w:t>
      </w:r>
    </w:p>
    <w:p w:rsidR="007F112A" w:rsidRPr="00772269" w:rsidP="00772269" w14:paraId="6036D300" w14:textId="77777777">
      <w:pPr>
        <w:spacing w:after="220"/>
        <w:rPr>
          <w:rFonts w:ascii="Arial" w:hAnsi="Arial" w:cs="Arial"/>
          <w:sz w:val="22"/>
          <w:szCs w:val="22"/>
        </w:rPr>
      </w:pPr>
      <w:r w:rsidRPr="00772269">
        <w:rPr>
          <w:rFonts w:ascii="Arial" w:hAnsi="Arial" w:cs="Arial"/>
          <w:b/>
          <w:sz w:val="22"/>
          <w:szCs w:val="22"/>
        </w:rPr>
        <w:t>NRC Response: </w:t>
      </w:r>
      <w:r w:rsidRPr="00772269">
        <w:rPr>
          <w:rFonts w:ascii="Arial" w:hAnsi="Arial" w:cs="Arial"/>
          <w:sz w:val="22"/>
          <w:szCs w:val="22"/>
        </w:rPr>
        <w:t>The NRC agrees, in part, with the comments.</w:t>
      </w:r>
    </w:p>
    <w:p w:rsidR="007F112A" w:rsidRPr="00772269" w:rsidP="00772269" w14:paraId="32499465" w14:textId="77777777">
      <w:pPr>
        <w:spacing w:after="220"/>
        <w:rPr>
          <w:rFonts w:ascii="Arial" w:hAnsi="Arial" w:cs="Arial"/>
          <w:sz w:val="22"/>
          <w:szCs w:val="22"/>
        </w:rPr>
      </w:pPr>
      <w:r w:rsidRPr="00772269">
        <w:rPr>
          <w:rFonts w:ascii="Arial" w:hAnsi="Arial" w:cs="Arial"/>
          <w:sz w:val="22"/>
          <w:szCs w:val="22"/>
        </w:rPr>
        <w:t>The NRC agrees with modifying 10 CFR 53.1470 to allow for the possibility of staggered license applications. One comment noted that the Commission’s 2008 Policy Statement suggests it intends for the “common design” in Appendix N to 10</w:t>
      </w:r>
      <w:r w:rsidRPr="00772269" w:rsidR="00AB04CA">
        <w:rPr>
          <w:rFonts w:ascii="Arial" w:hAnsi="Arial" w:cs="Arial"/>
          <w:sz w:val="22"/>
          <w:szCs w:val="22"/>
        </w:rPr>
        <w:t> </w:t>
      </w:r>
      <w:r w:rsidRPr="00772269">
        <w:rPr>
          <w:rFonts w:ascii="Arial" w:hAnsi="Arial" w:cs="Arial"/>
          <w:sz w:val="22"/>
          <w:szCs w:val="22"/>
        </w:rPr>
        <w:t>CFR</w:t>
      </w:r>
      <w:r w:rsidRPr="00772269" w:rsidR="00AB04CA">
        <w:rPr>
          <w:rFonts w:ascii="Arial" w:hAnsi="Arial" w:cs="Arial"/>
          <w:sz w:val="22"/>
          <w:szCs w:val="22"/>
        </w:rPr>
        <w:t> </w:t>
      </w:r>
      <w:r w:rsidRPr="00772269">
        <w:rPr>
          <w:rFonts w:ascii="Arial" w:hAnsi="Arial" w:cs="Arial"/>
          <w:sz w:val="22"/>
          <w:szCs w:val="22"/>
        </w:rPr>
        <w:t>Part</w:t>
      </w:r>
      <w:r w:rsidRPr="00772269" w:rsidR="00AB04CA">
        <w:rPr>
          <w:rFonts w:ascii="Arial" w:hAnsi="Arial" w:cs="Arial"/>
          <w:sz w:val="22"/>
          <w:szCs w:val="22"/>
        </w:rPr>
        <w:t> </w:t>
      </w:r>
      <w:r w:rsidRPr="00772269">
        <w:rPr>
          <w:rFonts w:ascii="Arial" w:hAnsi="Arial" w:cs="Arial"/>
          <w:sz w:val="22"/>
          <w:szCs w:val="22"/>
        </w:rPr>
        <w:t xml:space="preserve">52 to be applied in a flexible manner. The NRC expects to apply this Policy Statement in a similar manner to applications submitted under 10 CFR 53.1470. </w:t>
      </w:r>
      <w:r w:rsidR="005A75E9">
        <w:rPr>
          <w:rFonts w:ascii="Arial" w:hAnsi="Arial" w:cs="Arial"/>
          <w:sz w:val="22"/>
          <w:szCs w:val="22"/>
        </w:rPr>
        <w:t>Accordingly, t</w:t>
      </w:r>
      <w:r w:rsidRPr="00772269">
        <w:rPr>
          <w:rFonts w:ascii="Arial" w:hAnsi="Arial" w:cs="Arial"/>
          <w:sz w:val="22"/>
          <w:szCs w:val="22"/>
        </w:rPr>
        <w:t xml:space="preserve">he NRC </w:t>
      </w:r>
      <w:r w:rsidR="00F438B4">
        <w:rPr>
          <w:rFonts w:ascii="Arial" w:hAnsi="Arial" w:cs="Arial"/>
          <w:sz w:val="22"/>
          <w:szCs w:val="22"/>
        </w:rPr>
        <w:t>has revised</w:t>
      </w:r>
      <w:r w:rsidRPr="00772269">
        <w:rPr>
          <w:rFonts w:ascii="Arial" w:hAnsi="Arial" w:cs="Arial"/>
          <w:sz w:val="22"/>
          <w:szCs w:val="22"/>
        </w:rPr>
        <w:t xml:space="preserve"> the rule language in response to th</w:t>
      </w:r>
      <w:r w:rsidR="00D47098">
        <w:rPr>
          <w:rFonts w:ascii="Arial" w:hAnsi="Arial" w:cs="Arial"/>
          <w:sz w:val="22"/>
          <w:szCs w:val="22"/>
        </w:rPr>
        <w:t xml:space="preserve">is </w:t>
      </w:r>
      <w:r w:rsidRPr="00772269">
        <w:rPr>
          <w:rFonts w:ascii="Arial" w:hAnsi="Arial" w:cs="Arial"/>
          <w:sz w:val="22"/>
          <w:szCs w:val="22"/>
        </w:rPr>
        <w:t xml:space="preserve">comment. Specifically, the NRC </w:t>
      </w:r>
      <w:r w:rsidR="00F438B4">
        <w:rPr>
          <w:rFonts w:ascii="Arial" w:hAnsi="Arial" w:cs="Arial"/>
          <w:sz w:val="22"/>
          <w:szCs w:val="22"/>
        </w:rPr>
        <w:t xml:space="preserve">has revised </w:t>
      </w:r>
      <w:r w:rsidRPr="00772269">
        <w:rPr>
          <w:rFonts w:ascii="Arial" w:hAnsi="Arial" w:cs="Arial"/>
          <w:sz w:val="22"/>
          <w:szCs w:val="22"/>
        </w:rPr>
        <w:t>the last sentence in 10</w:t>
      </w:r>
      <w:r w:rsidR="00F438B4">
        <w:rPr>
          <w:rFonts w:ascii="Arial" w:hAnsi="Arial" w:cs="Arial"/>
          <w:sz w:val="22"/>
          <w:szCs w:val="22"/>
        </w:rPr>
        <w:t> </w:t>
      </w:r>
      <w:r w:rsidRPr="00772269">
        <w:rPr>
          <w:rFonts w:ascii="Arial" w:hAnsi="Arial" w:cs="Arial"/>
          <w:sz w:val="22"/>
          <w:szCs w:val="22"/>
        </w:rPr>
        <w:t>CFR</w:t>
      </w:r>
      <w:r w:rsidR="00F438B4">
        <w:rPr>
          <w:rFonts w:ascii="Arial" w:hAnsi="Arial" w:cs="Arial"/>
          <w:sz w:val="22"/>
          <w:szCs w:val="22"/>
        </w:rPr>
        <w:t> </w:t>
      </w:r>
      <w:r w:rsidRPr="00772269">
        <w:rPr>
          <w:rFonts w:ascii="Arial" w:hAnsi="Arial" w:cs="Arial"/>
          <w:sz w:val="22"/>
          <w:szCs w:val="22"/>
        </w:rPr>
        <w:t xml:space="preserve">53.1470(b) to allow each application under this section to either list each of the other applications to be treated together under the section or specify that such other applications will be submitted to the NRC within </w:t>
      </w:r>
      <w:r w:rsidR="003A715C">
        <w:rPr>
          <w:rFonts w:ascii="Arial" w:hAnsi="Arial" w:cs="Arial"/>
          <w:sz w:val="22"/>
          <w:szCs w:val="22"/>
        </w:rPr>
        <w:t>12</w:t>
      </w:r>
      <w:r w:rsidRPr="00772269">
        <w:rPr>
          <w:rFonts w:ascii="Arial" w:hAnsi="Arial" w:cs="Arial"/>
          <w:sz w:val="22"/>
          <w:szCs w:val="22"/>
        </w:rPr>
        <w:t xml:space="preserve"> months of submittal of the first application.</w:t>
      </w:r>
    </w:p>
    <w:p w:rsidR="007F112A" w:rsidRPr="00772269" w:rsidP="00772269" w14:paraId="4BCEC806" w14:textId="77777777">
      <w:pPr>
        <w:spacing w:after="220"/>
        <w:rPr>
          <w:rFonts w:ascii="Arial" w:hAnsi="Arial" w:cs="Arial"/>
          <w:sz w:val="22"/>
          <w:szCs w:val="22"/>
        </w:rPr>
      </w:pPr>
      <w:r w:rsidRPr="00772269">
        <w:rPr>
          <w:rFonts w:ascii="Arial" w:hAnsi="Arial" w:cs="Arial"/>
          <w:sz w:val="22"/>
          <w:szCs w:val="22"/>
        </w:rPr>
        <w:t>The NRC disagrees that rule language changes should provide flexibility in the review process for “common designs” that are not fully identical. The provisions under 10</w:t>
      </w:r>
      <w:r w:rsidRPr="00772269" w:rsidR="00AB04CA">
        <w:rPr>
          <w:rFonts w:ascii="Arial" w:hAnsi="Arial" w:cs="Arial"/>
          <w:sz w:val="22"/>
          <w:szCs w:val="22"/>
        </w:rPr>
        <w:t> </w:t>
      </w:r>
      <w:r w:rsidRPr="00772269">
        <w:rPr>
          <w:rFonts w:ascii="Arial" w:hAnsi="Arial" w:cs="Arial"/>
          <w:sz w:val="22"/>
          <w:szCs w:val="22"/>
        </w:rPr>
        <w:t>CFR</w:t>
      </w:r>
      <w:r w:rsidRPr="00772269" w:rsidR="00AB04CA">
        <w:rPr>
          <w:rFonts w:ascii="Arial" w:hAnsi="Arial" w:cs="Arial"/>
          <w:sz w:val="22"/>
          <w:szCs w:val="22"/>
        </w:rPr>
        <w:t> </w:t>
      </w:r>
      <w:r w:rsidRPr="00772269">
        <w:rPr>
          <w:rFonts w:ascii="Arial" w:hAnsi="Arial" w:cs="Arial"/>
          <w:sz w:val="22"/>
          <w:szCs w:val="22"/>
        </w:rPr>
        <w:t>53.1470 require that the design of facility described in separate applications be identical in order for the Commission to treat those applications under Subpart D of 10</w:t>
      </w:r>
      <w:r w:rsidRPr="00772269" w:rsidR="00A14D91">
        <w:rPr>
          <w:sz w:val="22"/>
          <w:szCs w:val="22"/>
        </w:rPr>
        <w:t> </w:t>
      </w:r>
      <w:r w:rsidRPr="00772269">
        <w:rPr>
          <w:rFonts w:ascii="Arial" w:hAnsi="Arial" w:cs="Arial"/>
          <w:sz w:val="22"/>
          <w:szCs w:val="22"/>
        </w:rPr>
        <w:t xml:space="preserve">CFR Part 2, which provides adjudicatory efficiencies for reviewing multiple, “identical,” designs. The potential benefits of the </w:t>
      </w:r>
      <w:r w:rsidRPr="00772269">
        <w:rPr>
          <w:rFonts w:ascii="Arial" w:hAnsi="Arial" w:cs="Arial"/>
          <w:sz w:val="22"/>
          <w:szCs w:val="22"/>
        </w:rPr>
        <w:t xml:space="preserve">staff conducting its safety reviews using this </w:t>
      </w:r>
      <w:r w:rsidR="007405A2">
        <w:rPr>
          <w:rFonts w:ascii="Arial" w:hAnsi="Arial" w:cs="Arial"/>
          <w:sz w:val="22"/>
          <w:szCs w:val="22"/>
        </w:rPr>
        <w:t>“</w:t>
      </w:r>
      <w:r w:rsidRPr="00772269">
        <w:rPr>
          <w:rFonts w:ascii="Arial" w:hAnsi="Arial" w:cs="Arial"/>
          <w:sz w:val="22"/>
          <w:szCs w:val="22"/>
        </w:rPr>
        <w:t>design-centered</w:t>
      </w:r>
      <w:r w:rsidR="007405A2">
        <w:rPr>
          <w:rFonts w:ascii="Arial" w:hAnsi="Arial" w:cs="Arial"/>
          <w:sz w:val="22"/>
          <w:szCs w:val="22"/>
        </w:rPr>
        <w:t>”</w:t>
      </w:r>
      <w:r w:rsidRPr="00772269">
        <w:rPr>
          <w:rFonts w:ascii="Arial" w:hAnsi="Arial" w:cs="Arial"/>
          <w:sz w:val="22"/>
          <w:szCs w:val="22"/>
        </w:rPr>
        <w:t xml:space="preserve"> approach, in which multiple applicants would apply for licenses for plants of identical design at different sites, include consolidation of issues common to such applications before a single Atomic Safety and Licensing Board. The FSAR for each application must either incorporate by reference or include the final safety analysis of the common design, including, if applicable, the FSAR for the referenced standard design certification, </w:t>
      </w:r>
      <w:r w:rsidR="00FA5766">
        <w:rPr>
          <w:rFonts w:ascii="Arial" w:hAnsi="Arial" w:cs="Arial"/>
          <w:sz w:val="22"/>
          <w:szCs w:val="22"/>
        </w:rPr>
        <w:t>SDA</w:t>
      </w:r>
      <w:r w:rsidRPr="00772269">
        <w:rPr>
          <w:rFonts w:ascii="Arial" w:hAnsi="Arial" w:cs="Arial"/>
          <w:sz w:val="22"/>
          <w:szCs w:val="22"/>
        </w:rPr>
        <w:t>, or manufactured reactor. Hence, the applicants can control the portion of the design they wish to identify as the “common design,” but that portion needs to be identical for the benefits of this process to be realized. Accordingly, the NRC did not change the rule language in response to this comment.</w:t>
      </w:r>
    </w:p>
    <w:p w:rsidR="007F112A" w:rsidRPr="00772269" w:rsidP="00772269" w14:paraId="56DC6625" w14:textId="77777777">
      <w:pPr>
        <w:spacing w:after="220"/>
        <w:rPr>
          <w:rFonts w:ascii="Arial" w:hAnsi="Arial" w:cs="Arial"/>
          <w:sz w:val="22"/>
          <w:szCs w:val="22"/>
        </w:rPr>
      </w:pPr>
      <w:r>
        <w:rPr>
          <w:rFonts w:ascii="Arial" w:hAnsi="Arial" w:cs="Arial"/>
          <w:sz w:val="22"/>
          <w:szCs w:val="22"/>
        </w:rPr>
        <w:pict>
          <v:rect id="_x0000_i1268" style="width:0;height:1.5pt" o:hralign="center" o:hrstd="t" o:hrnoshade="t" o:hr="t" fillcolor="black" stroked="f"/>
        </w:pict>
      </w:r>
    </w:p>
    <w:p w:rsidR="007F112A" w:rsidRPr="00772269" w:rsidP="00772269" w14:paraId="60477CB8" w14:textId="77777777">
      <w:pPr>
        <w:spacing w:after="220"/>
        <w:rPr>
          <w:rFonts w:ascii="Arial" w:hAnsi="Arial" w:cs="Arial"/>
          <w:sz w:val="22"/>
          <w:szCs w:val="22"/>
        </w:rPr>
      </w:pPr>
      <w:r w:rsidRPr="00772269">
        <w:rPr>
          <w:rFonts w:ascii="Arial" w:hAnsi="Arial" w:cs="Arial"/>
          <w:b/>
          <w:sz w:val="22"/>
          <w:szCs w:val="22"/>
        </w:rPr>
        <w:t xml:space="preserve">Comment Bin 3.8.4.B: </w:t>
      </w:r>
      <w:r w:rsidRPr="00772269">
        <w:rPr>
          <w:rFonts w:ascii="Arial" w:hAnsi="Arial" w:cs="Arial"/>
          <w:sz w:val="22"/>
          <w:szCs w:val="22"/>
        </w:rPr>
        <w:t>A commenter wrote that they are concerned about the potential cumulative impacts from multiple reactor modules being installed over time at the same site, and it is not clear</w:t>
      </w:r>
      <w:r w:rsidR="00830EF0">
        <w:rPr>
          <w:rFonts w:ascii="Arial" w:hAnsi="Arial" w:cs="Arial"/>
          <w:sz w:val="22"/>
          <w:szCs w:val="22"/>
        </w:rPr>
        <w:t xml:space="preserve"> </w:t>
      </w:r>
      <w:r w:rsidRPr="00772269">
        <w:rPr>
          <w:rFonts w:ascii="Arial" w:hAnsi="Arial" w:cs="Arial"/>
          <w:sz w:val="22"/>
          <w:szCs w:val="22"/>
        </w:rPr>
        <w:t xml:space="preserve">how the NRC would evaluate multi-module reactor designs. The commenter </w:t>
      </w:r>
      <w:r w:rsidR="00EA4D4B">
        <w:rPr>
          <w:rFonts w:ascii="Arial" w:hAnsi="Arial" w:cs="Arial"/>
          <w:sz w:val="22"/>
          <w:szCs w:val="22"/>
        </w:rPr>
        <w:t>suggested</w:t>
      </w:r>
      <w:r w:rsidRPr="00772269">
        <w:rPr>
          <w:rFonts w:ascii="Arial" w:hAnsi="Arial" w:cs="Arial"/>
          <w:sz w:val="22"/>
          <w:szCs w:val="22"/>
        </w:rPr>
        <w:t xml:space="preserve"> that the NRC should provide clarity on how and when risk-informed performance-based processes will evaluate multi-unit sites (</w:t>
      </w:r>
      <w:r w:rsidR="00E36F7E">
        <w:rPr>
          <w:rFonts w:ascii="Arial" w:hAnsi="Arial" w:cs="Arial"/>
          <w:sz w:val="22"/>
          <w:szCs w:val="22"/>
        </w:rPr>
        <w:t>NYS2</w:t>
      </w:r>
      <w:r w:rsidRPr="00772269">
        <w:rPr>
          <w:rFonts w:ascii="Arial" w:hAnsi="Arial" w:cs="Arial"/>
          <w:sz w:val="22"/>
          <w:szCs w:val="22"/>
        </w:rPr>
        <w:t>-0023).</w:t>
      </w:r>
    </w:p>
    <w:p w:rsidR="00EA4D4B" w:rsidRPr="00845039" w:rsidP="00772269" w14:paraId="31889289" w14:textId="77777777">
      <w:pPr>
        <w:spacing w:after="220"/>
        <w:rPr>
          <w:rFonts w:ascii="Arial" w:hAnsi="Arial" w:cs="Arial"/>
          <w:sz w:val="22"/>
          <w:szCs w:val="22"/>
        </w:rPr>
      </w:pPr>
      <w:r w:rsidRPr="00772269">
        <w:rPr>
          <w:rFonts w:ascii="Arial" w:hAnsi="Arial" w:cs="Arial"/>
          <w:b/>
          <w:sz w:val="22"/>
          <w:szCs w:val="22"/>
        </w:rPr>
        <w:t>NRC Response: </w:t>
      </w:r>
      <w:r w:rsidR="00845039">
        <w:rPr>
          <w:rFonts w:ascii="Arial" w:hAnsi="Arial" w:cs="Arial"/>
          <w:bCs/>
          <w:sz w:val="22"/>
          <w:szCs w:val="22"/>
        </w:rPr>
        <w:t>The NRC acknowledges the comment.</w:t>
      </w:r>
    </w:p>
    <w:p w:rsidR="00EA4D4B" w:rsidP="00772269" w14:paraId="5F6A56A1" w14:textId="77777777">
      <w:pPr>
        <w:spacing w:after="220"/>
        <w:rPr>
          <w:rFonts w:ascii="Arial" w:hAnsi="Arial" w:cs="Arial"/>
          <w:sz w:val="22"/>
          <w:szCs w:val="22"/>
        </w:rPr>
      </w:pPr>
      <w:r w:rsidRPr="00772269">
        <w:rPr>
          <w:rFonts w:ascii="Arial" w:hAnsi="Arial" w:cs="Arial"/>
          <w:sz w:val="22"/>
          <w:szCs w:val="22"/>
        </w:rPr>
        <w:t xml:space="preserve">The NRC understands the comment to be requesting information on how 10 CFR Part 53 addresses multi-unit sites. This issue is addressed in several provisions in 10 CFR Part 53. For example, the definition of </w:t>
      </w:r>
      <w:r w:rsidR="00522D82">
        <w:rPr>
          <w:rFonts w:ascii="Arial" w:hAnsi="Arial" w:cs="Arial"/>
          <w:sz w:val="22"/>
          <w:szCs w:val="22"/>
        </w:rPr>
        <w:t>“</w:t>
      </w:r>
      <w:r w:rsidR="00A04B0E">
        <w:rPr>
          <w:rFonts w:ascii="Arial" w:hAnsi="Arial" w:cs="Arial"/>
          <w:i/>
          <w:sz w:val="22"/>
          <w:szCs w:val="22"/>
        </w:rPr>
        <w:t>C</w:t>
      </w:r>
      <w:r w:rsidRPr="00772269">
        <w:rPr>
          <w:rFonts w:ascii="Arial" w:hAnsi="Arial" w:cs="Arial"/>
          <w:i/>
          <w:sz w:val="22"/>
          <w:szCs w:val="22"/>
        </w:rPr>
        <w:t>ommercial nuclear plant</w:t>
      </w:r>
      <w:r w:rsidR="00522D82">
        <w:rPr>
          <w:rFonts w:ascii="Arial" w:hAnsi="Arial" w:cs="Arial"/>
          <w:i/>
          <w:sz w:val="22"/>
          <w:szCs w:val="22"/>
        </w:rPr>
        <w:t>”</w:t>
      </w:r>
      <w:r w:rsidRPr="00772269">
        <w:rPr>
          <w:rFonts w:ascii="Arial" w:hAnsi="Arial" w:cs="Arial"/>
          <w:sz w:val="22"/>
          <w:szCs w:val="22"/>
        </w:rPr>
        <w:t xml:space="preserve"> in 10 CFR 53.020 states that it is a facility </w:t>
      </w:r>
      <w:r w:rsidRPr="00772269">
        <w:rPr>
          <w:rFonts w:ascii="Arial" w:hAnsi="Arial" w:cs="Arial"/>
          <w:i/>
          <w:sz w:val="22"/>
          <w:szCs w:val="22"/>
        </w:rPr>
        <w:t>consisting of one or more commercial nuclear reactors</w:t>
      </w:r>
      <w:r w:rsidRPr="00772269">
        <w:rPr>
          <w:rFonts w:ascii="Arial" w:hAnsi="Arial" w:cs="Arial"/>
          <w:sz w:val="22"/>
          <w:szCs w:val="22"/>
        </w:rPr>
        <w:t xml:space="preserve"> [emphasis added]. Paragraph (i) of 10</w:t>
      </w:r>
      <w:r w:rsidR="006D5A25">
        <w:rPr>
          <w:rFonts w:ascii="Arial" w:hAnsi="Arial" w:cs="Arial"/>
          <w:sz w:val="22"/>
          <w:szCs w:val="22"/>
        </w:rPr>
        <w:t> </w:t>
      </w:r>
      <w:r w:rsidRPr="00772269">
        <w:rPr>
          <w:rFonts w:ascii="Arial" w:hAnsi="Arial" w:cs="Arial"/>
          <w:sz w:val="22"/>
          <w:szCs w:val="22"/>
        </w:rPr>
        <w:t>CFR 53.440 requires that the design, analysis, staffing, and programmatic controls for each commercial nuclear plant consider the number of reactors, waste stores, and other significant inventories of radioactive materials and the associated operating configurations, common systems, system interfaces, and system interactions. In 10 CFR 53.610, paragraph (b)(1)(ii) requires that</w:t>
      </w:r>
      <w:r w:rsidRPr="00772269" w:rsidR="00176A1D">
        <w:rPr>
          <w:rFonts w:ascii="Arial" w:hAnsi="Arial" w:cs="Arial"/>
          <w:sz w:val="22"/>
          <w:szCs w:val="22"/>
        </w:rPr>
        <w:t>,</w:t>
      </w:r>
      <w:r w:rsidRPr="00772269">
        <w:rPr>
          <w:rFonts w:ascii="Arial" w:hAnsi="Arial" w:cs="Arial"/>
          <w:sz w:val="22"/>
          <w:szCs w:val="22"/>
        </w:rPr>
        <w:t xml:space="preserve"> for construction of a commercial nuclear plant involving multiple reactor units, plans and procedures must be in place to prevent or mitigate potential hazards to the SSCs of operating units resulting from construction activities. Applicants for licenses, certifications, and approvals under 10 CFR Part 53 must describe in any application for a multi-unit commercial nuclear plant the programmatic controls and interfaces for different modular configurations, including any restrictions that will be necessary during the construction and startup of any given unit to ensure the safe operation of the overall commercial nuclear plant to be licensed under 10</w:t>
      </w:r>
      <w:r w:rsidRPr="00772269" w:rsidR="006C6B34">
        <w:rPr>
          <w:sz w:val="22"/>
          <w:szCs w:val="22"/>
        </w:rPr>
        <w:t> </w:t>
      </w:r>
      <w:r w:rsidRPr="00772269">
        <w:rPr>
          <w:rFonts w:ascii="Arial" w:hAnsi="Arial" w:cs="Arial"/>
          <w:sz w:val="22"/>
          <w:szCs w:val="22"/>
        </w:rPr>
        <w:t xml:space="preserve">CFR Part 53. </w:t>
      </w:r>
    </w:p>
    <w:p w:rsidR="007F112A" w:rsidRPr="00772269" w:rsidP="00772269" w14:paraId="0D8A358F" w14:textId="77777777">
      <w:pPr>
        <w:spacing w:after="220"/>
        <w:rPr>
          <w:rFonts w:ascii="Arial" w:hAnsi="Arial" w:cs="Arial"/>
          <w:sz w:val="22"/>
          <w:szCs w:val="22"/>
        </w:rPr>
      </w:pPr>
      <w:r w:rsidRPr="00772269">
        <w:rPr>
          <w:rFonts w:ascii="Arial" w:hAnsi="Arial" w:cs="Arial"/>
          <w:sz w:val="22"/>
          <w:szCs w:val="22"/>
        </w:rPr>
        <w:t>Accordingly, the NRC did not change the rule language in response to this comment.</w:t>
      </w:r>
    </w:p>
    <w:p w:rsidR="007F112A" w:rsidRPr="00DA0A3C" w:rsidP="00772269" w14:paraId="0A3564FA" w14:textId="77777777">
      <w:pPr>
        <w:spacing w:after="220"/>
        <w:rPr>
          <w:rFonts w:ascii="Arial" w:hAnsi="Arial" w:cs="Arial"/>
        </w:rPr>
      </w:pPr>
      <w:r>
        <w:rPr>
          <w:rFonts w:ascii="Arial" w:hAnsi="Arial" w:cs="Arial"/>
          <w:sz w:val="22"/>
          <w:szCs w:val="22"/>
        </w:rPr>
        <w:pict>
          <v:rect id="_x0000_i1269" style="width:0;height:1.5pt" o:hralign="center" o:hrstd="t" o:hrnoshade="t" o:hr="t" fillcolor="black" stroked="f"/>
        </w:pict>
      </w:r>
    </w:p>
    <w:p w:rsidR="007F112A" w:rsidRPr="005E489E" w:rsidP="00846198" w14:paraId="3D6F7CDF" w14:textId="77777777">
      <w:pPr>
        <w:pStyle w:val="Heading3"/>
        <w:numPr>
          <w:ilvl w:val="0"/>
          <w:numId w:val="0"/>
        </w:numPr>
        <w:ind w:left="720" w:hanging="720"/>
        <w:rPr>
          <w:rFonts w:eastAsia="Times New Roman"/>
          <w:b/>
        </w:rPr>
      </w:pPr>
      <w:bookmarkStart w:id="90" w:name="_Toc194678426"/>
      <w:bookmarkStart w:id="91" w:name="_Toc207222833"/>
      <w:r w:rsidRPr="00846198">
        <w:rPr>
          <w:u w:val="none"/>
        </w:rPr>
        <w:t>3.8.5.</w:t>
      </w:r>
      <w:r w:rsidRPr="00846198">
        <w:rPr>
          <w:u w:val="none"/>
        </w:rPr>
        <w:tab/>
      </w:r>
      <w:r w:rsidRPr="00DA0A3C">
        <w:t>RFC: Allowing OL or CP holders to reference an ML</w:t>
      </w:r>
      <w:bookmarkEnd w:id="90"/>
      <w:bookmarkEnd w:id="91"/>
    </w:p>
    <w:p w:rsidR="007F112A" w:rsidRPr="008A7411" w:rsidP="008A7411" w14:paraId="79165DBC" w14:textId="77777777">
      <w:pPr>
        <w:spacing w:after="220"/>
        <w:rPr>
          <w:rFonts w:ascii="Arial" w:hAnsi="Arial" w:cs="Arial"/>
          <w:sz w:val="22"/>
          <w:szCs w:val="22"/>
        </w:rPr>
      </w:pPr>
      <w:r w:rsidRPr="008A7411">
        <w:rPr>
          <w:rFonts w:ascii="Arial" w:hAnsi="Arial" w:cs="Arial"/>
          <w:b/>
          <w:sz w:val="22"/>
          <w:szCs w:val="22"/>
        </w:rPr>
        <w:t xml:space="preserve">Comment Bin 3.8.5.A: </w:t>
      </w:r>
      <w:r w:rsidRPr="008A7411">
        <w:rPr>
          <w:rFonts w:ascii="Arial" w:hAnsi="Arial" w:cs="Arial"/>
          <w:sz w:val="22"/>
          <w:szCs w:val="22"/>
        </w:rPr>
        <w:t>Multiple commenters wrote that an applicant for or a holder of a CP or OL should be allowed to reference an ML (</w:t>
      </w:r>
      <w:r w:rsidR="009D6BB9">
        <w:rPr>
          <w:rFonts w:ascii="Arial" w:hAnsi="Arial" w:cs="Arial"/>
          <w:sz w:val="22"/>
          <w:szCs w:val="22"/>
        </w:rPr>
        <w:t>NEI2</w:t>
      </w:r>
      <w:r w:rsidRPr="008A7411">
        <w:rPr>
          <w:rFonts w:ascii="Arial" w:hAnsi="Arial" w:cs="Arial"/>
          <w:sz w:val="22"/>
          <w:szCs w:val="22"/>
        </w:rPr>
        <w:t xml:space="preserve">-0185, </w:t>
      </w:r>
      <w:r w:rsidR="00D87876">
        <w:rPr>
          <w:rFonts w:ascii="Arial" w:hAnsi="Arial" w:cs="Arial"/>
          <w:sz w:val="22"/>
          <w:szCs w:val="22"/>
        </w:rPr>
        <w:t>SCWG</w:t>
      </w:r>
      <w:r w:rsidRPr="008A7411">
        <w:rPr>
          <w:rFonts w:ascii="Arial" w:hAnsi="Arial" w:cs="Arial"/>
          <w:sz w:val="22"/>
          <w:szCs w:val="22"/>
        </w:rPr>
        <w:t xml:space="preserve">-0018, </w:t>
      </w:r>
      <w:r w:rsidR="00611CA0">
        <w:rPr>
          <w:rFonts w:ascii="Arial" w:hAnsi="Arial" w:cs="Arial"/>
          <w:sz w:val="22"/>
          <w:szCs w:val="22"/>
        </w:rPr>
        <w:t>RAD</w:t>
      </w:r>
      <w:r w:rsidRPr="008A7411">
        <w:rPr>
          <w:rFonts w:ascii="Arial" w:hAnsi="Arial" w:cs="Arial"/>
          <w:sz w:val="22"/>
          <w:szCs w:val="22"/>
        </w:rPr>
        <w:t>-0004).</w:t>
      </w:r>
    </w:p>
    <w:p w:rsidR="007F112A" w:rsidRPr="008A7411" w:rsidP="008A7411" w14:paraId="6A16F69F" w14:textId="77777777">
      <w:pPr>
        <w:spacing w:after="220"/>
        <w:rPr>
          <w:rFonts w:ascii="Arial" w:hAnsi="Arial" w:cs="Arial"/>
          <w:sz w:val="22"/>
          <w:szCs w:val="22"/>
        </w:rPr>
      </w:pPr>
      <w:r w:rsidRPr="008A7411">
        <w:rPr>
          <w:rFonts w:ascii="Arial" w:hAnsi="Arial" w:cs="Arial"/>
          <w:sz w:val="22"/>
          <w:szCs w:val="22"/>
        </w:rPr>
        <w:t xml:space="preserve">One of the commenters said that if a provision to reference an ML in a CP application is provided, and subsequent construction is managed while an OL is reviewed and issued, there would need to be provision for managing the ITAAC requirements in the ML in an alternative fashion (e.g., those inspections, tests, and analyses being incorporated into a site's construction quality assurance program and general NRC construction oversight, but not used as a license condition requiring closure notification and associated finding). Based on industry concepts, the </w:t>
      </w:r>
      <w:r w:rsidRPr="008A7411">
        <w:rPr>
          <w:rFonts w:ascii="Arial" w:hAnsi="Arial" w:cs="Arial"/>
          <w:sz w:val="22"/>
          <w:szCs w:val="22"/>
        </w:rPr>
        <w:t>commenter said that there are deployment scenarios where use of the CP and OL licensing approach would provide benefit in efficiently organizing regulatory decisions with site-specific work, which still presumed use of an ML largely for perceived administrative challenges in ITAAC management (</w:t>
      </w:r>
      <w:r w:rsidR="009D6BB9">
        <w:rPr>
          <w:rFonts w:ascii="Arial" w:hAnsi="Arial" w:cs="Arial"/>
          <w:sz w:val="22"/>
          <w:szCs w:val="22"/>
        </w:rPr>
        <w:t>NEI2</w:t>
      </w:r>
      <w:r w:rsidRPr="008A7411">
        <w:rPr>
          <w:rFonts w:ascii="Arial" w:hAnsi="Arial" w:cs="Arial"/>
          <w:sz w:val="22"/>
          <w:szCs w:val="22"/>
        </w:rPr>
        <w:t>-0185).</w:t>
      </w:r>
    </w:p>
    <w:p w:rsidR="007F112A" w:rsidRPr="008A7411" w:rsidP="008A7411" w14:paraId="0E001F63"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agrees </w:t>
      </w:r>
      <w:r w:rsidR="00900F4E">
        <w:rPr>
          <w:rFonts w:ascii="Arial" w:hAnsi="Arial" w:cs="Arial"/>
          <w:sz w:val="22"/>
          <w:szCs w:val="22"/>
        </w:rPr>
        <w:t xml:space="preserve">in part </w:t>
      </w:r>
      <w:r w:rsidRPr="008A7411">
        <w:rPr>
          <w:rFonts w:ascii="Arial" w:hAnsi="Arial" w:cs="Arial"/>
          <w:sz w:val="22"/>
          <w:szCs w:val="22"/>
        </w:rPr>
        <w:t>with the comments.</w:t>
      </w:r>
    </w:p>
    <w:p w:rsidR="007F112A" w:rsidRPr="008A7411" w:rsidP="008A7411" w14:paraId="35C0C27A" w14:textId="77777777">
      <w:pPr>
        <w:spacing w:after="220"/>
        <w:rPr>
          <w:rFonts w:ascii="Arial" w:hAnsi="Arial" w:cs="Arial"/>
          <w:sz w:val="22"/>
          <w:szCs w:val="22"/>
        </w:rPr>
      </w:pPr>
      <w:r w:rsidRPr="008A7411">
        <w:rPr>
          <w:rFonts w:ascii="Arial" w:hAnsi="Arial" w:cs="Arial"/>
          <w:sz w:val="22"/>
          <w:szCs w:val="22"/>
        </w:rPr>
        <w:t xml:space="preserve">The proposed rule only </w:t>
      </w:r>
      <w:r w:rsidR="009A208C">
        <w:rPr>
          <w:rFonts w:ascii="Arial" w:hAnsi="Arial" w:cs="Arial"/>
          <w:sz w:val="22"/>
          <w:szCs w:val="22"/>
        </w:rPr>
        <w:t>addressed</w:t>
      </w:r>
      <w:r w:rsidRPr="008A7411" w:rsidR="009A208C">
        <w:rPr>
          <w:rFonts w:ascii="Arial" w:hAnsi="Arial" w:cs="Arial"/>
          <w:sz w:val="22"/>
          <w:szCs w:val="22"/>
        </w:rPr>
        <w:t xml:space="preserve"> </w:t>
      </w:r>
      <w:r w:rsidRPr="008A7411">
        <w:rPr>
          <w:rFonts w:ascii="Arial" w:hAnsi="Arial" w:cs="Arial"/>
          <w:sz w:val="22"/>
          <w:szCs w:val="22"/>
        </w:rPr>
        <w:t xml:space="preserve">COL applicants </w:t>
      </w:r>
      <w:r w:rsidRPr="008A7411" w:rsidR="00AA5B06">
        <w:rPr>
          <w:rFonts w:ascii="Arial" w:hAnsi="Arial" w:cs="Arial"/>
          <w:sz w:val="22"/>
          <w:szCs w:val="22"/>
        </w:rPr>
        <w:t>referenc</w:t>
      </w:r>
      <w:r w:rsidR="00AA5B06">
        <w:rPr>
          <w:rFonts w:ascii="Arial" w:hAnsi="Arial" w:cs="Arial"/>
          <w:sz w:val="22"/>
          <w:szCs w:val="22"/>
        </w:rPr>
        <w:t>ing</w:t>
      </w:r>
      <w:r w:rsidRPr="008A7411" w:rsidR="00AA5B06">
        <w:rPr>
          <w:rFonts w:ascii="Arial" w:hAnsi="Arial" w:cs="Arial"/>
          <w:sz w:val="22"/>
          <w:szCs w:val="22"/>
        </w:rPr>
        <w:t xml:space="preserve"> </w:t>
      </w:r>
      <w:r w:rsidRPr="008A7411">
        <w:rPr>
          <w:rFonts w:ascii="Arial" w:hAnsi="Arial" w:cs="Arial"/>
          <w:sz w:val="22"/>
          <w:szCs w:val="22"/>
        </w:rPr>
        <w:t xml:space="preserve">an ML to simplify the provisions for licensing and deploying manufactured reactors. </w:t>
      </w:r>
      <w:r w:rsidR="00BC4936">
        <w:rPr>
          <w:rFonts w:ascii="Arial" w:hAnsi="Arial" w:cs="Arial"/>
          <w:sz w:val="22"/>
          <w:szCs w:val="22"/>
        </w:rPr>
        <w:t xml:space="preserve">In response to the </w:t>
      </w:r>
      <w:r w:rsidR="00C1432C">
        <w:rPr>
          <w:rFonts w:ascii="Arial" w:hAnsi="Arial" w:cs="Arial"/>
          <w:sz w:val="22"/>
          <w:szCs w:val="22"/>
        </w:rPr>
        <w:t xml:space="preserve">request for comment, </w:t>
      </w:r>
      <w:r w:rsidR="00DB2DDE">
        <w:rPr>
          <w:rFonts w:ascii="Arial" w:hAnsi="Arial" w:cs="Arial"/>
          <w:sz w:val="22"/>
          <w:szCs w:val="22"/>
        </w:rPr>
        <w:t>some</w:t>
      </w:r>
      <w:r w:rsidR="00BF722B">
        <w:rPr>
          <w:rFonts w:ascii="Arial" w:hAnsi="Arial" w:cs="Arial"/>
          <w:sz w:val="22"/>
          <w:szCs w:val="22"/>
        </w:rPr>
        <w:t xml:space="preserve"> commenters suggested that there may be circumstances </w:t>
      </w:r>
      <w:r w:rsidR="00596370">
        <w:rPr>
          <w:rFonts w:ascii="Arial" w:hAnsi="Arial" w:cs="Arial"/>
          <w:sz w:val="22"/>
          <w:szCs w:val="22"/>
        </w:rPr>
        <w:t xml:space="preserve">where </w:t>
      </w:r>
      <w:r w:rsidR="00D727C4">
        <w:rPr>
          <w:rFonts w:ascii="Arial" w:hAnsi="Arial" w:cs="Arial"/>
          <w:sz w:val="22"/>
          <w:szCs w:val="22"/>
        </w:rPr>
        <w:t xml:space="preserve">the deployment of manufactured reactors </w:t>
      </w:r>
      <w:r w:rsidR="002E3BF1">
        <w:rPr>
          <w:rFonts w:ascii="Arial" w:hAnsi="Arial" w:cs="Arial"/>
          <w:sz w:val="22"/>
          <w:szCs w:val="22"/>
        </w:rPr>
        <w:t>could</w:t>
      </w:r>
      <w:r w:rsidR="000B65DE">
        <w:rPr>
          <w:rFonts w:ascii="Arial" w:hAnsi="Arial" w:cs="Arial"/>
          <w:sz w:val="22"/>
          <w:szCs w:val="22"/>
        </w:rPr>
        <w:t xml:space="preserve"> </w:t>
      </w:r>
      <w:r w:rsidR="00B80FA1">
        <w:rPr>
          <w:rFonts w:ascii="Arial" w:hAnsi="Arial" w:cs="Arial"/>
          <w:sz w:val="22"/>
          <w:szCs w:val="22"/>
        </w:rPr>
        <w:t xml:space="preserve">use the </w:t>
      </w:r>
      <w:r w:rsidRPr="008A7411">
        <w:rPr>
          <w:rFonts w:ascii="Arial" w:hAnsi="Arial" w:cs="Arial"/>
          <w:sz w:val="22"/>
          <w:szCs w:val="22"/>
        </w:rPr>
        <w:t>CP</w:t>
      </w:r>
      <w:r w:rsidR="001C02C5">
        <w:rPr>
          <w:rFonts w:ascii="Arial" w:hAnsi="Arial" w:cs="Arial"/>
          <w:sz w:val="22"/>
          <w:szCs w:val="22"/>
        </w:rPr>
        <w:t xml:space="preserve"> </w:t>
      </w:r>
      <w:r w:rsidR="00231994">
        <w:rPr>
          <w:rFonts w:ascii="Arial" w:hAnsi="Arial" w:cs="Arial"/>
          <w:sz w:val="22"/>
          <w:szCs w:val="22"/>
        </w:rPr>
        <w:t xml:space="preserve">and </w:t>
      </w:r>
      <w:r w:rsidRPr="008A7411">
        <w:rPr>
          <w:rFonts w:ascii="Arial" w:hAnsi="Arial" w:cs="Arial"/>
          <w:sz w:val="22"/>
          <w:szCs w:val="22"/>
        </w:rPr>
        <w:t xml:space="preserve">OL </w:t>
      </w:r>
      <w:r w:rsidR="009042BC">
        <w:rPr>
          <w:rFonts w:ascii="Arial" w:hAnsi="Arial" w:cs="Arial"/>
          <w:sz w:val="22"/>
          <w:szCs w:val="22"/>
        </w:rPr>
        <w:t xml:space="preserve">licensing </w:t>
      </w:r>
      <w:r w:rsidR="00231994">
        <w:rPr>
          <w:rFonts w:ascii="Arial" w:hAnsi="Arial" w:cs="Arial"/>
          <w:sz w:val="22"/>
          <w:szCs w:val="22"/>
        </w:rPr>
        <w:t>pathway</w:t>
      </w:r>
      <w:r w:rsidR="007C49E1">
        <w:rPr>
          <w:rFonts w:ascii="Arial" w:hAnsi="Arial" w:cs="Arial"/>
          <w:sz w:val="22"/>
          <w:szCs w:val="22"/>
        </w:rPr>
        <w:t xml:space="preserve"> and </w:t>
      </w:r>
      <w:r w:rsidRPr="008A7411">
        <w:rPr>
          <w:rFonts w:ascii="Arial" w:hAnsi="Arial" w:cs="Arial"/>
          <w:sz w:val="22"/>
          <w:szCs w:val="22"/>
        </w:rPr>
        <w:t xml:space="preserve">applicants </w:t>
      </w:r>
      <w:r w:rsidR="007C49E1">
        <w:rPr>
          <w:rFonts w:ascii="Arial" w:hAnsi="Arial" w:cs="Arial"/>
          <w:sz w:val="22"/>
          <w:szCs w:val="22"/>
        </w:rPr>
        <w:t xml:space="preserve">could propose </w:t>
      </w:r>
      <w:r w:rsidR="00835D35">
        <w:rPr>
          <w:rFonts w:ascii="Arial" w:hAnsi="Arial" w:cs="Arial"/>
          <w:sz w:val="22"/>
          <w:szCs w:val="22"/>
        </w:rPr>
        <w:t xml:space="preserve">a means to </w:t>
      </w:r>
      <w:r w:rsidRPr="008A7411">
        <w:rPr>
          <w:rFonts w:ascii="Arial" w:hAnsi="Arial" w:cs="Arial"/>
          <w:sz w:val="22"/>
          <w:szCs w:val="22"/>
        </w:rPr>
        <w:t xml:space="preserve">reference an ML </w:t>
      </w:r>
      <w:r w:rsidR="00835D35">
        <w:rPr>
          <w:rFonts w:ascii="Arial" w:hAnsi="Arial" w:cs="Arial"/>
          <w:sz w:val="22"/>
          <w:szCs w:val="22"/>
        </w:rPr>
        <w:t xml:space="preserve">and address the associated </w:t>
      </w:r>
      <w:r w:rsidR="00272E96">
        <w:rPr>
          <w:rFonts w:ascii="Arial" w:hAnsi="Arial" w:cs="Arial"/>
          <w:sz w:val="22"/>
          <w:szCs w:val="22"/>
        </w:rPr>
        <w:t>ITAAC</w:t>
      </w:r>
      <w:r w:rsidR="007438EA">
        <w:rPr>
          <w:rFonts w:ascii="Arial" w:hAnsi="Arial" w:cs="Arial"/>
          <w:sz w:val="22"/>
          <w:szCs w:val="22"/>
        </w:rPr>
        <w:t xml:space="preserve">. </w:t>
      </w:r>
      <w:r w:rsidR="00A54BD6">
        <w:rPr>
          <w:rFonts w:ascii="Arial" w:hAnsi="Arial" w:cs="Arial"/>
          <w:sz w:val="22"/>
          <w:szCs w:val="22"/>
        </w:rPr>
        <w:t xml:space="preserve">While acknowledging that </w:t>
      </w:r>
      <w:r w:rsidR="00443D43">
        <w:rPr>
          <w:rFonts w:ascii="Arial" w:hAnsi="Arial" w:cs="Arial"/>
          <w:sz w:val="22"/>
          <w:szCs w:val="22"/>
        </w:rPr>
        <w:t xml:space="preserve">introducing the concept of manufactured reactors </w:t>
      </w:r>
      <w:r w:rsidR="00011A62">
        <w:rPr>
          <w:rFonts w:ascii="Arial" w:hAnsi="Arial" w:cs="Arial"/>
          <w:sz w:val="22"/>
          <w:szCs w:val="22"/>
        </w:rPr>
        <w:t xml:space="preserve">into the traditional two-step licensing process </w:t>
      </w:r>
      <w:r w:rsidR="00161D9B">
        <w:rPr>
          <w:rFonts w:ascii="Arial" w:hAnsi="Arial" w:cs="Arial"/>
          <w:sz w:val="22"/>
          <w:szCs w:val="22"/>
        </w:rPr>
        <w:t xml:space="preserve">could be challenging for </w:t>
      </w:r>
      <w:r w:rsidR="00750E48">
        <w:rPr>
          <w:rFonts w:ascii="Arial" w:hAnsi="Arial" w:cs="Arial"/>
          <w:sz w:val="22"/>
          <w:szCs w:val="22"/>
        </w:rPr>
        <w:t>the</w:t>
      </w:r>
      <w:r w:rsidRPr="008A7411">
        <w:rPr>
          <w:rFonts w:ascii="Arial" w:hAnsi="Arial" w:cs="Arial"/>
          <w:sz w:val="22"/>
          <w:szCs w:val="22"/>
        </w:rPr>
        <w:t xml:space="preserve"> factory fabrication model being considered by </w:t>
      </w:r>
      <w:r w:rsidR="00690E16">
        <w:rPr>
          <w:rFonts w:ascii="Arial" w:hAnsi="Arial" w:cs="Arial"/>
          <w:sz w:val="22"/>
          <w:szCs w:val="22"/>
        </w:rPr>
        <w:t>some</w:t>
      </w:r>
      <w:r w:rsidRPr="008A7411" w:rsidR="00690E16">
        <w:rPr>
          <w:rFonts w:ascii="Arial" w:hAnsi="Arial" w:cs="Arial"/>
          <w:sz w:val="22"/>
          <w:szCs w:val="22"/>
        </w:rPr>
        <w:t xml:space="preserve"> </w:t>
      </w:r>
      <w:r w:rsidRPr="008A7411">
        <w:rPr>
          <w:rFonts w:ascii="Arial" w:hAnsi="Arial" w:cs="Arial"/>
          <w:sz w:val="22"/>
          <w:szCs w:val="22"/>
        </w:rPr>
        <w:t xml:space="preserve">potential applicants, including the allowance </w:t>
      </w:r>
      <w:r w:rsidR="00277EF7">
        <w:rPr>
          <w:rFonts w:ascii="Arial" w:hAnsi="Arial" w:cs="Arial"/>
          <w:sz w:val="22"/>
          <w:szCs w:val="22"/>
        </w:rPr>
        <w:t xml:space="preserve">in 10 CFR 53.620(d) </w:t>
      </w:r>
      <w:r w:rsidRPr="008A7411">
        <w:rPr>
          <w:rFonts w:ascii="Arial" w:hAnsi="Arial" w:cs="Arial"/>
          <w:sz w:val="22"/>
          <w:szCs w:val="22"/>
        </w:rPr>
        <w:t>to load fuel in the factory</w:t>
      </w:r>
      <w:r w:rsidR="005E2C47">
        <w:rPr>
          <w:rFonts w:ascii="Arial" w:hAnsi="Arial" w:cs="Arial"/>
          <w:sz w:val="22"/>
          <w:szCs w:val="22"/>
        </w:rPr>
        <w:t xml:space="preserve">, the NRC revised </w:t>
      </w:r>
      <w:r w:rsidR="005F0E89">
        <w:rPr>
          <w:rFonts w:ascii="Arial" w:hAnsi="Arial" w:cs="Arial"/>
          <w:sz w:val="22"/>
          <w:szCs w:val="22"/>
        </w:rPr>
        <w:t>10 CFR 53.</w:t>
      </w:r>
      <w:r w:rsidR="00C449A3">
        <w:rPr>
          <w:rFonts w:ascii="Arial" w:hAnsi="Arial" w:cs="Arial"/>
          <w:sz w:val="22"/>
          <w:szCs w:val="22"/>
        </w:rPr>
        <w:t xml:space="preserve">1124 in the final rule </w:t>
      </w:r>
      <w:r w:rsidR="004F1CF0">
        <w:rPr>
          <w:rFonts w:ascii="Arial" w:hAnsi="Arial" w:cs="Arial"/>
          <w:sz w:val="22"/>
          <w:szCs w:val="22"/>
        </w:rPr>
        <w:t xml:space="preserve">to </w:t>
      </w:r>
      <w:r w:rsidR="00F57092">
        <w:rPr>
          <w:rFonts w:ascii="Arial" w:hAnsi="Arial" w:cs="Arial"/>
          <w:sz w:val="22"/>
          <w:szCs w:val="22"/>
        </w:rPr>
        <w:t xml:space="preserve">include the </w:t>
      </w:r>
      <w:r w:rsidR="00D633A2">
        <w:rPr>
          <w:rFonts w:ascii="Arial" w:hAnsi="Arial" w:cs="Arial"/>
          <w:sz w:val="22"/>
          <w:szCs w:val="22"/>
        </w:rPr>
        <w:t xml:space="preserve">possible </w:t>
      </w:r>
      <w:r w:rsidR="00F57092">
        <w:rPr>
          <w:rFonts w:ascii="Arial" w:hAnsi="Arial" w:cs="Arial"/>
          <w:sz w:val="22"/>
          <w:szCs w:val="22"/>
        </w:rPr>
        <w:t xml:space="preserve">relationship of </w:t>
      </w:r>
      <w:r w:rsidR="00A56B97">
        <w:rPr>
          <w:rFonts w:ascii="Arial" w:hAnsi="Arial" w:cs="Arial"/>
          <w:sz w:val="22"/>
          <w:szCs w:val="22"/>
        </w:rPr>
        <w:t>CP applications referencing an ML</w:t>
      </w:r>
      <w:r w:rsidRPr="008A7411">
        <w:rPr>
          <w:rFonts w:ascii="Arial" w:hAnsi="Arial" w:cs="Arial"/>
          <w:sz w:val="22"/>
          <w:szCs w:val="22"/>
        </w:rPr>
        <w:t xml:space="preserve">. </w:t>
      </w:r>
      <w:r w:rsidR="002D2D1B">
        <w:rPr>
          <w:rFonts w:ascii="Arial" w:hAnsi="Arial" w:cs="Arial"/>
          <w:sz w:val="22"/>
          <w:szCs w:val="22"/>
        </w:rPr>
        <w:t xml:space="preserve">The NRC has not included specific </w:t>
      </w:r>
      <w:r w:rsidR="00155B01">
        <w:rPr>
          <w:rFonts w:ascii="Arial" w:hAnsi="Arial" w:cs="Arial"/>
          <w:sz w:val="22"/>
          <w:szCs w:val="22"/>
        </w:rPr>
        <w:t>provisions</w:t>
      </w:r>
      <w:r w:rsidR="002D2D1B">
        <w:rPr>
          <w:rFonts w:ascii="Arial" w:hAnsi="Arial" w:cs="Arial"/>
          <w:sz w:val="22"/>
          <w:szCs w:val="22"/>
        </w:rPr>
        <w:t xml:space="preserve"> </w:t>
      </w:r>
      <w:r w:rsidR="003A134D">
        <w:rPr>
          <w:rFonts w:ascii="Arial" w:hAnsi="Arial" w:cs="Arial"/>
          <w:sz w:val="22"/>
          <w:szCs w:val="22"/>
        </w:rPr>
        <w:t xml:space="preserve">within 10 CFR Part 53 </w:t>
      </w:r>
      <w:r w:rsidR="00155B01">
        <w:rPr>
          <w:rFonts w:ascii="Arial" w:hAnsi="Arial" w:cs="Arial"/>
          <w:sz w:val="22"/>
          <w:szCs w:val="22"/>
        </w:rPr>
        <w:t>outlining</w:t>
      </w:r>
      <w:r w:rsidR="00955580">
        <w:rPr>
          <w:rFonts w:ascii="Arial" w:hAnsi="Arial" w:cs="Arial"/>
          <w:sz w:val="22"/>
          <w:szCs w:val="22"/>
        </w:rPr>
        <w:t xml:space="preserve"> how this </w:t>
      </w:r>
      <w:r w:rsidR="00F84A05">
        <w:rPr>
          <w:rFonts w:ascii="Arial" w:hAnsi="Arial" w:cs="Arial"/>
          <w:sz w:val="22"/>
          <w:szCs w:val="22"/>
        </w:rPr>
        <w:t xml:space="preserve">licensing pathway </w:t>
      </w:r>
      <w:r w:rsidR="00DF5F23">
        <w:rPr>
          <w:rFonts w:ascii="Arial" w:hAnsi="Arial" w:cs="Arial"/>
          <w:sz w:val="22"/>
          <w:szCs w:val="22"/>
        </w:rPr>
        <w:t>would be implemented</w:t>
      </w:r>
      <w:r w:rsidR="00E7415D">
        <w:rPr>
          <w:rFonts w:ascii="Arial" w:hAnsi="Arial" w:cs="Arial"/>
          <w:sz w:val="22"/>
          <w:szCs w:val="22"/>
        </w:rPr>
        <w:t>, including how IT</w:t>
      </w:r>
      <w:r w:rsidR="00C664D2">
        <w:rPr>
          <w:rFonts w:ascii="Arial" w:hAnsi="Arial" w:cs="Arial"/>
          <w:sz w:val="22"/>
          <w:szCs w:val="22"/>
        </w:rPr>
        <w:t xml:space="preserve">AAC </w:t>
      </w:r>
      <w:r w:rsidR="00EA1ABE">
        <w:rPr>
          <w:rFonts w:ascii="Arial" w:hAnsi="Arial" w:cs="Arial"/>
          <w:sz w:val="22"/>
          <w:szCs w:val="22"/>
        </w:rPr>
        <w:t xml:space="preserve">required </w:t>
      </w:r>
      <w:r w:rsidR="00C664D2">
        <w:rPr>
          <w:rFonts w:ascii="Arial" w:hAnsi="Arial" w:cs="Arial"/>
          <w:sz w:val="22"/>
          <w:szCs w:val="22"/>
        </w:rPr>
        <w:t xml:space="preserve">for an ML under </w:t>
      </w:r>
      <w:r w:rsidR="00200F35">
        <w:rPr>
          <w:rFonts w:ascii="Arial" w:hAnsi="Arial" w:cs="Arial"/>
          <w:sz w:val="22"/>
          <w:szCs w:val="22"/>
        </w:rPr>
        <w:t>10 CFR 53.1</w:t>
      </w:r>
      <w:r w:rsidRPr="00200F35" w:rsidR="00200F35">
        <w:rPr>
          <w:rFonts w:ascii="Arial" w:hAnsi="Arial" w:cs="Arial"/>
          <w:sz w:val="22"/>
          <w:szCs w:val="22"/>
        </w:rPr>
        <w:t>28</w:t>
      </w:r>
      <w:r w:rsidR="00EA1ABE">
        <w:rPr>
          <w:rFonts w:ascii="Arial" w:hAnsi="Arial" w:cs="Arial"/>
          <w:sz w:val="22"/>
          <w:szCs w:val="22"/>
        </w:rPr>
        <w:t>2</w:t>
      </w:r>
      <w:r w:rsidR="00EF235C">
        <w:rPr>
          <w:rFonts w:ascii="Arial" w:hAnsi="Arial" w:cs="Arial"/>
          <w:sz w:val="22"/>
          <w:szCs w:val="22"/>
        </w:rPr>
        <w:t xml:space="preserve"> would be addressed</w:t>
      </w:r>
      <w:r w:rsidR="00E00E19">
        <w:rPr>
          <w:rFonts w:ascii="Arial" w:hAnsi="Arial" w:cs="Arial"/>
          <w:sz w:val="22"/>
          <w:szCs w:val="22"/>
        </w:rPr>
        <w:t xml:space="preserve">, but instead leaves </w:t>
      </w:r>
      <w:r w:rsidR="00616F02">
        <w:rPr>
          <w:rFonts w:ascii="Arial" w:hAnsi="Arial" w:cs="Arial"/>
          <w:sz w:val="22"/>
          <w:szCs w:val="22"/>
        </w:rPr>
        <w:t xml:space="preserve">the matter </w:t>
      </w:r>
      <w:r w:rsidR="00E00E19">
        <w:rPr>
          <w:rFonts w:ascii="Arial" w:hAnsi="Arial" w:cs="Arial"/>
          <w:sz w:val="22"/>
          <w:szCs w:val="22"/>
        </w:rPr>
        <w:t>open</w:t>
      </w:r>
      <w:r w:rsidR="00616F02">
        <w:rPr>
          <w:rFonts w:ascii="Arial" w:hAnsi="Arial" w:cs="Arial"/>
          <w:sz w:val="22"/>
          <w:szCs w:val="22"/>
        </w:rPr>
        <w:t xml:space="preserve"> to</w:t>
      </w:r>
      <w:r w:rsidR="00EE1DA9">
        <w:rPr>
          <w:rFonts w:ascii="Arial" w:hAnsi="Arial" w:cs="Arial"/>
          <w:sz w:val="22"/>
          <w:szCs w:val="22"/>
        </w:rPr>
        <w:t xml:space="preserve"> possible</w:t>
      </w:r>
      <w:r w:rsidR="00E00E19">
        <w:rPr>
          <w:rFonts w:ascii="Arial" w:hAnsi="Arial" w:cs="Arial"/>
          <w:sz w:val="22"/>
          <w:szCs w:val="22"/>
        </w:rPr>
        <w:t xml:space="preserve"> </w:t>
      </w:r>
      <w:r w:rsidR="0096238C">
        <w:rPr>
          <w:rFonts w:ascii="Arial" w:hAnsi="Arial" w:cs="Arial"/>
          <w:sz w:val="22"/>
          <w:szCs w:val="22"/>
        </w:rPr>
        <w:t xml:space="preserve">approaches to be </w:t>
      </w:r>
      <w:r w:rsidR="001B75C0">
        <w:rPr>
          <w:rFonts w:ascii="Arial" w:hAnsi="Arial" w:cs="Arial"/>
          <w:sz w:val="22"/>
          <w:szCs w:val="22"/>
        </w:rPr>
        <w:t xml:space="preserve">addressed in future </w:t>
      </w:r>
      <w:r w:rsidR="00EA3B6D">
        <w:rPr>
          <w:rFonts w:ascii="Arial" w:hAnsi="Arial" w:cs="Arial"/>
          <w:sz w:val="22"/>
          <w:szCs w:val="22"/>
        </w:rPr>
        <w:t xml:space="preserve">regulatory guidance or </w:t>
      </w:r>
      <w:r w:rsidR="0096238C">
        <w:rPr>
          <w:rFonts w:ascii="Arial" w:hAnsi="Arial" w:cs="Arial"/>
          <w:sz w:val="22"/>
          <w:szCs w:val="22"/>
        </w:rPr>
        <w:t>proposed by future applicants.</w:t>
      </w:r>
      <w:r w:rsidRPr="008A7411">
        <w:rPr>
          <w:rFonts w:ascii="Arial" w:hAnsi="Arial" w:cs="Arial"/>
          <w:sz w:val="22"/>
          <w:szCs w:val="22"/>
        </w:rPr>
        <w:t xml:space="preserve"> </w:t>
      </w:r>
    </w:p>
    <w:p w:rsidR="007F112A" w:rsidRPr="008A7411" w:rsidP="008A7411" w14:paraId="3EF18DEC" w14:textId="77777777">
      <w:pPr>
        <w:spacing w:after="220"/>
        <w:rPr>
          <w:rFonts w:ascii="Arial" w:hAnsi="Arial" w:cs="Arial"/>
          <w:sz w:val="22"/>
          <w:szCs w:val="22"/>
        </w:rPr>
      </w:pPr>
      <w:r w:rsidRPr="008A7411">
        <w:rPr>
          <w:rFonts w:ascii="Arial" w:hAnsi="Arial" w:cs="Arial"/>
          <w:sz w:val="22"/>
          <w:szCs w:val="22"/>
        </w:rPr>
        <w:t xml:space="preserve">Accordingly, the NRC </w:t>
      </w:r>
      <w:r w:rsidR="00F84552">
        <w:rPr>
          <w:rFonts w:ascii="Arial" w:hAnsi="Arial" w:cs="Arial"/>
          <w:sz w:val="22"/>
          <w:szCs w:val="22"/>
        </w:rPr>
        <w:t>revised</w:t>
      </w:r>
      <w:r w:rsidRPr="008A7411">
        <w:rPr>
          <w:rFonts w:ascii="Arial" w:hAnsi="Arial" w:cs="Arial"/>
          <w:sz w:val="22"/>
          <w:szCs w:val="22"/>
        </w:rPr>
        <w:t xml:space="preserve"> the rule language in </w:t>
      </w:r>
      <w:r w:rsidR="00F84552">
        <w:rPr>
          <w:rFonts w:ascii="Arial" w:hAnsi="Arial" w:cs="Arial"/>
          <w:sz w:val="22"/>
          <w:szCs w:val="22"/>
        </w:rPr>
        <w:t>10 CFR 53.</w:t>
      </w:r>
      <w:r w:rsidR="00075F69">
        <w:rPr>
          <w:rFonts w:ascii="Arial" w:hAnsi="Arial" w:cs="Arial"/>
          <w:sz w:val="22"/>
          <w:szCs w:val="22"/>
        </w:rPr>
        <w:t xml:space="preserve">1124 in </w:t>
      </w:r>
      <w:r w:rsidRPr="008A7411">
        <w:rPr>
          <w:rFonts w:ascii="Arial" w:hAnsi="Arial" w:cs="Arial"/>
          <w:sz w:val="22"/>
          <w:szCs w:val="22"/>
        </w:rPr>
        <w:t>response to these comments</w:t>
      </w:r>
      <w:r w:rsidR="00075F69">
        <w:rPr>
          <w:rFonts w:ascii="Arial" w:hAnsi="Arial" w:cs="Arial"/>
          <w:sz w:val="22"/>
          <w:szCs w:val="22"/>
        </w:rPr>
        <w:t xml:space="preserve"> and made conforming changes </w:t>
      </w:r>
      <w:r w:rsidR="003254E9">
        <w:rPr>
          <w:rFonts w:ascii="Arial" w:hAnsi="Arial" w:cs="Arial"/>
          <w:sz w:val="22"/>
          <w:szCs w:val="22"/>
        </w:rPr>
        <w:t>in other affected sections</w:t>
      </w:r>
      <w:r w:rsidR="00721619">
        <w:rPr>
          <w:rFonts w:ascii="Arial" w:hAnsi="Arial" w:cs="Arial"/>
          <w:sz w:val="22"/>
          <w:szCs w:val="22"/>
        </w:rPr>
        <w:t xml:space="preserve"> of the final rule</w:t>
      </w:r>
      <w:r w:rsidRPr="008A7411">
        <w:rPr>
          <w:rFonts w:ascii="Arial" w:hAnsi="Arial" w:cs="Arial"/>
          <w:sz w:val="22"/>
          <w:szCs w:val="22"/>
        </w:rPr>
        <w:t>.</w:t>
      </w:r>
    </w:p>
    <w:p w:rsidR="007F112A" w:rsidRPr="008A7411" w:rsidP="008A7411" w14:paraId="53DE7B23" w14:textId="77777777">
      <w:pPr>
        <w:spacing w:after="220"/>
        <w:rPr>
          <w:rFonts w:ascii="Arial" w:hAnsi="Arial" w:cs="Arial"/>
          <w:sz w:val="22"/>
          <w:szCs w:val="22"/>
        </w:rPr>
      </w:pPr>
      <w:r>
        <w:rPr>
          <w:rFonts w:ascii="Arial" w:hAnsi="Arial" w:cs="Arial"/>
          <w:sz w:val="22"/>
          <w:szCs w:val="22"/>
        </w:rPr>
        <w:pict>
          <v:rect id="_x0000_i1270" style="width:0;height:1.5pt" o:hralign="center" o:hrstd="t" o:hrnoshade="t" o:hr="t" fillcolor="black" stroked="f"/>
        </w:pict>
      </w:r>
    </w:p>
    <w:p w:rsidR="007F112A" w:rsidRPr="00DA0A3C" w:rsidP="00846198" w14:paraId="1926D6D8" w14:textId="77777777">
      <w:pPr>
        <w:pStyle w:val="Heading3"/>
        <w:numPr>
          <w:ilvl w:val="0"/>
          <w:numId w:val="0"/>
        </w:numPr>
        <w:ind w:left="720" w:hanging="720"/>
      </w:pPr>
      <w:bookmarkStart w:id="92" w:name="_Toc194678427"/>
      <w:bookmarkStart w:id="93" w:name="_Toc207222834"/>
      <w:r w:rsidRPr="00846198">
        <w:rPr>
          <w:u w:val="none"/>
        </w:rPr>
        <w:t>3.8.6.</w:t>
      </w:r>
      <w:r w:rsidRPr="00846198">
        <w:rPr>
          <w:u w:val="none"/>
        </w:rPr>
        <w:tab/>
      </w:r>
      <w:r w:rsidRPr="00DA0A3C">
        <w:t>RFC: Timeline for beginning manufacture before license expiration (§ 53.1295)</w:t>
      </w:r>
      <w:bookmarkEnd w:id="92"/>
      <w:bookmarkEnd w:id="93"/>
    </w:p>
    <w:p w:rsidR="007F112A" w:rsidRPr="008A7411" w:rsidP="008A7411" w14:paraId="020CC9E1" w14:textId="77777777">
      <w:pPr>
        <w:spacing w:after="220"/>
        <w:rPr>
          <w:rFonts w:ascii="Arial" w:hAnsi="Arial" w:cs="Arial"/>
          <w:sz w:val="22"/>
          <w:szCs w:val="22"/>
        </w:rPr>
      </w:pPr>
      <w:r w:rsidRPr="008A7411">
        <w:rPr>
          <w:rFonts w:ascii="Arial" w:hAnsi="Arial" w:cs="Arial"/>
          <w:b/>
          <w:sz w:val="22"/>
          <w:szCs w:val="22"/>
        </w:rPr>
        <w:t xml:space="preserve">Comment Bin 3.8.6.A: </w:t>
      </w:r>
      <w:r w:rsidRPr="008A7411">
        <w:rPr>
          <w:rFonts w:ascii="Arial" w:hAnsi="Arial" w:cs="Arial"/>
          <w:sz w:val="22"/>
          <w:szCs w:val="22"/>
        </w:rPr>
        <w:t xml:space="preserve">Two commenters recommended revising the restriction on when manufacturing activities can begin under 10 CFR Part 52 from </w:t>
      </w:r>
      <w:r w:rsidR="00306A19">
        <w:rPr>
          <w:rFonts w:ascii="Arial" w:hAnsi="Arial" w:cs="Arial"/>
          <w:sz w:val="22"/>
          <w:szCs w:val="22"/>
        </w:rPr>
        <w:t>3</w:t>
      </w:r>
      <w:r w:rsidRPr="008A7411">
        <w:rPr>
          <w:rFonts w:ascii="Arial" w:hAnsi="Arial" w:cs="Arial"/>
          <w:sz w:val="22"/>
          <w:szCs w:val="22"/>
        </w:rPr>
        <w:t xml:space="preserve"> years to </w:t>
      </w:r>
      <w:r w:rsidR="00306A19">
        <w:rPr>
          <w:rFonts w:ascii="Arial" w:hAnsi="Arial" w:cs="Arial"/>
          <w:sz w:val="22"/>
          <w:szCs w:val="22"/>
        </w:rPr>
        <w:t>6</w:t>
      </w:r>
      <w:r w:rsidRPr="008A7411">
        <w:rPr>
          <w:rFonts w:ascii="Arial" w:hAnsi="Arial" w:cs="Arial"/>
          <w:sz w:val="22"/>
          <w:szCs w:val="22"/>
        </w:rPr>
        <w:t xml:space="preserve"> months (</w:t>
      </w:r>
      <w:r w:rsidR="00D87876">
        <w:rPr>
          <w:rFonts w:ascii="Arial" w:hAnsi="Arial" w:cs="Arial"/>
          <w:sz w:val="22"/>
          <w:szCs w:val="22"/>
        </w:rPr>
        <w:t>SCWG</w:t>
      </w:r>
      <w:r w:rsidRPr="008A7411">
        <w:rPr>
          <w:rFonts w:ascii="Arial" w:hAnsi="Arial" w:cs="Arial"/>
          <w:sz w:val="22"/>
          <w:szCs w:val="22"/>
        </w:rPr>
        <w:t xml:space="preserve">-0019, </w:t>
      </w:r>
      <w:r w:rsidR="00611CA0">
        <w:rPr>
          <w:rFonts w:ascii="Arial" w:hAnsi="Arial" w:cs="Arial"/>
          <w:sz w:val="22"/>
          <w:szCs w:val="22"/>
        </w:rPr>
        <w:t>RAD</w:t>
      </w:r>
      <w:r w:rsidRPr="008A7411">
        <w:rPr>
          <w:rFonts w:ascii="Arial" w:hAnsi="Arial" w:cs="Arial"/>
          <w:sz w:val="22"/>
          <w:szCs w:val="22"/>
        </w:rPr>
        <w:t>-0005). One commenter wrote that this change would recognize the shorter lead times developers are estimating and planning for when building advanced reactors under an ML (</w:t>
      </w:r>
      <w:r w:rsidR="00611CA0">
        <w:rPr>
          <w:rFonts w:ascii="Arial" w:hAnsi="Arial" w:cs="Arial"/>
          <w:sz w:val="22"/>
          <w:szCs w:val="22"/>
        </w:rPr>
        <w:t>RAD</w:t>
      </w:r>
      <w:r w:rsidRPr="008A7411">
        <w:rPr>
          <w:rFonts w:ascii="Arial" w:hAnsi="Arial" w:cs="Arial"/>
          <w:sz w:val="22"/>
          <w:szCs w:val="22"/>
        </w:rPr>
        <w:t>-0005).</w:t>
      </w:r>
    </w:p>
    <w:p w:rsidR="006B2041" w:rsidP="008A7411" w14:paraId="3FA97310"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agrees, in part, with these comments. </w:t>
      </w:r>
    </w:p>
    <w:p w:rsidR="007F112A" w:rsidRPr="008A7411" w:rsidP="008A7411" w14:paraId="62AFFABD" w14:textId="77777777">
      <w:pPr>
        <w:spacing w:after="220"/>
        <w:rPr>
          <w:rFonts w:ascii="Arial" w:hAnsi="Arial" w:cs="Arial"/>
          <w:sz w:val="22"/>
          <w:szCs w:val="22"/>
        </w:rPr>
      </w:pPr>
      <w:r w:rsidRPr="008A7411">
        <w:rPr>
          <w:rFonts w:ascii="Arial" w:hAnsi="Arial" w:cs="Arial"/>
          <w:sz w:val="22"/>
          <w:szCs w:val="22"/>
        </w:rPr>
        <w:t xml:space="preserve">The comments are supportive of the provision in 10 CFR 53.1295 stating that the holder of an ML could not begin manufacture of a manufactured reactor less than </w:t>
      </w:r>
      <w:r w:rsidR="00306A19">
        <w:rPr>
          <w:rFonts w:ascii="Arial" w:hAnsi="Arial" w:cs="Arial"/>
          <w:sz w:val="22"/>
          <w:szCs w:val="22"/>
        </w:rPr>
        <w:t>6</w:t>
      </w:r>
      <w:r w:rsidRPr="008A7411">
        <w:rPr>
          <w:rFonts w:ascii="Arial" w:hAnsi="Arial" w:cs="Arial"/>
          <w:sz w:val="22"/>
          <w:szCs w:val="22"/>
        </w:rPr>
        <w:t xml:space="preserve"> months before the expiration of the license. The 6</w:t>
      </w:r>
      <w:r w:rsidRPr="008A7411">
        <w:rPr>
          <w:rFonts w:ascii="Arial" w:hAnsi="Arial" w:cs="Arial"/>
          <w:sz w:val="22"/>
          <w:szCs w:val="22"/>
        </w:rPr>
        <w:noBreakHyphen/>
        <w:t>month time period used in the proposed 10 CFR Part 53 was in contrast to a 3</w:t>
      </w:r>
      <w:r w:rsidRPr="008A7411">
        <w:rPr>
          <w:rFonts w:ascii="Arial" w:hAnsi="Arial" w:cs="Arial"/>
          <w:sz w:val="22"/>
          <w:szCs w:val="22"/>
        </w:rPr>
        <w:noBreakHyphen/>
        <w:t xml:space="preserve">year time period used in 10 CFR Part 52. However, as described in the response to </w:t>
      </w:r>
      <w:r w:rsidRPr="008A7411" w:rsidR="0098389A">
        <w:rPr>
          <w:rFonts w:ascii="Arial" w:hAnsi="Arial" w:cs="Arial"/>
          <w:sz w:val="22"/>
          <w:szCs w:val="22"/>
        </w:rPr>
        <w:t>Comment Bin 3.8.6.B</w:t>
      </w:r>
      <w:r w:rsidRPr="008A7411">
        <w:rPr>
          <w:rFonts w:ascii="Arial" w:hAnsi="Arial" w:cs="Arial"/>
          <w:sz w:val="22"/>
          <w:szCs w:val="22"/>
        </w:rPr>
        <w:t xml:space="preserve">, the NRC </w:t>
      </w:r>
      <w:r w:rsidR="005F521C">
        <w:rPr>
          <w:rFonts w:ascii="Arial" w:hAnsi="Arial" w:cs="Arial"/>
          <w:sz w:val="22"/>
          <w:szCs w:val="22"/>
        </w:rPr>
        <w:t xml:space="preserve">has revised </w:t>
      </w:r>
      <w:r w:rsidRPr="008A7411">
        <w:rPr>
          <w:rFonts w:ascii="Arial" w:hAnsi="Arial" w:cs="Arial"/>
          <w:sz w:val="22"/>
          <w:szCs w:val="22"/>
        </w:rPr>
        <w:t>the final rule to delete any time limit related to beginning manufacturing in relation to the expiration of the manufacturing license. Regarding the suggestion to revise the wording in 10 CFR Part 52, the NRC will consider such reconciliation of requirements within the various parts of its regulations as part of a future activity.</w:t>
      </w:r>
    </w:p>
    <w:p w:rsidR="007F112A" w:rsidRPr="008A7411" w:rsidP="008A7411" w14:paraId="143311E9" w14:textId="77777777">
      <w:pPr>
        <w:spacing w:after="220"/>
        <w:rPr>
          <w:rFonts w:ascii="Arial" w:hAnsi="Arial" w:cs="Arial"/>
          <w:sz w:val="22"/>
          <w:szCs w:val="22"/>
        </w:rPr>
      </w:pPr>
      <w:r w:rsidRPr="008A7411">
        <w:rPr>
          <w:rFonts w:ascii="Arial" w:hAnsi="Arial" w:cs="Arial"/>
          <w:sz w:val="22"/>
          <w:szCs w:val="22"/>
        </w:rPr>
        <w:t>Accordingly, the NRC did not change the rule language in response to this comment.</w:t>
      </w:r>
    </w:p>
    <w:p w:rsidR="007F112A" w:rsidRPr="008A7411" w:rsidP="008A7411" w14:paraId="0642C4AE" w14:textId="77777777">
      <w:pPr>
        <w:spacing w:after="220"/>
        <w:rPr>
          <w:rFonts w:ascii="Arial" w:hAnsi="Arial" w:cs="Arial"/>
          <w:sz w:val="22"/>
          <w:szCs w:val="22"/>
        </w:rPr>
      </w:pPr>
      <w:r>
        <w:rPr>
          <w:rFonts w:ascii="Arial" w:hAnsi="Arial" w:cs="Arial"/>
          <w:sz w:val="22"/>
          <w:szCs w:val="22"/>
        </w:rPr>
        <w:pict>
          <v:rect id="_x0000_i1271" style="width:0;height:1.5pt" o:hralign="center" o:hrstd="t" o:hrnoshade="t" o:hr="t" fillcolor="black" stroked="f"/>
        </w:pict>
      </w:r>
    </w:p>
    <w:p w:rsidR="007F112A" w:rsidRPr="008A7411" w:rsidP="008A7411" w14:paraId="4A80010E" w14:textId="77777777">
      <w:pPr>
        <w:spacing w:after="220"/>
        <w:rPr>
          <w:rFonts w:ascii="Arial" w:hAnsi="Arial" w:cs="Arial"/>
          <w:sz w:val="22"/>
          <w:szCs w:val="22"/>
        </w:rPr>
      </w:pPr>
      <w:r w:rsidRPr="008A7411">
        <w:rPr>
          <w:rFonts w:ascii="Arial" w:hAnsi="Arial" w:cs="Arial"/>
          <w:b/>
          <w:sz w:val="22"/>
          <w:szCs w:val="22"/>
        </w:rPr>
        <w:t>Comment Bin 3.8.6.B:</w:t>
      </w:r>
      <w:r w:rsidRPr="008A7411">
        <w:rPr>
          <w:rFonts w:ascii="Arial" w:hAnsi="Arial" w:cs="Arial"/>
          <w:sz w:val="22"/>
          <w:szCs w:val="22"/>
        </w:rPr>
        <w:t xml:space="preserve"> A commenter said that </w:t>
      </w:r>
      <w:r w:rsidR="00306A19">
        <w:rPr>
          <w:rFonts w:ascii="Arial" w:hAnsi="Arial" w:cs="Arial"/>
          <w:sz w:val="22"/>
          <w:szCs w:val="22"/>
        </w:rPr>
        <w:t>6</w:t>
      </w:r>
      <w:r w:rsidRPr="008A7411">
        <w:rPr>
          <w:rFonts w:ascii="Arial" w:hAnsi="Arial" w:cs="Arial"/>
          <w:sz w:val="22"/>
          <w:szCs w:val="22"/>
        </w:rPr>
        <w:t xml:space="preserve"> months may be an appropriate timeline for when manufacturing activities can begin under 10 CFR Part 52 but may not be the most relevant metric. The commenter said that the more important question is whether the ML holder can go into a timely renewal period allowing continued possession of the SNM while the license renewal is under review. The commenter said that rather than a discrete temporal limit, the renewal activity could be managed with generic timely renewal period language or as a license condition based on the ML’s specific technology implementation (</w:t>
      </w:r>
      <w:r w:rsidR="009D6BB9">
        <w:rPr>
          <w:rFonts w:ascii="Arial" w:hAnsi="Arial" w:cs="Arial"/>
          <w:sz w:val="22"/>
          <w:szCs w:val="22"/>
        </w:rPr>
        <w:t>NEI2</w:t>
      </w:r>
      <w:r w:rsidRPr="008A7411">
        <w:rPr>
          <w:rFonts w:ascii="Arial" w:hAnsi="Arial" w:cs="Arial"/>
          <w:sz w:val="22"/>
          <w:szCs w:val="22"/>
        </w:rPr>
        <w:t>-0186).</w:t>
      </w:r>
    </w:p>
    <w:p w:rsidR="00C42129" w:rsidRPr="008A7411" w:rsidP="008A7411" w14:paraId="2BB5589E"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The NRC agrees with the comment.</w:t>
      </w:r>
    </w:p>
    <w:p w:rsidR="007F112A" w:rsidRPr="008A7411" w:rsidP="008A7411" w14:paraId="671579C4" w14:textId="77777777">
      <w:pPr>
        <w:spacing w:after="220"/>
        <w:rPr>
          <w:rFonts w:ascii="Arial" w:hAnsi="Arial" w:cs="Arial"/>
          <w:sz w:val="22"/>
          <w:szCs w:val="22"/>
        </w:rPr>
      </w:pPr>
      <w:r w:rsidRPr="008A7411">
        <w:rPr>
          <w:rFonts w:ascii="Arial" w:hAnsi="Arial" w:cs="Arial"/>
          <w:sz w:val="22"/>
          <w:szCs w:val="22"/>
        </w:rPr>
        <w:t>The NRC agrees that the 6</w:t>
      </w:r>
      <w:r w:rsidRPr="008A7411">
        <w:rPr>
          <w:rFonts w:ascii="Arial" w:hAnsi="Arial" w:cs="Arial"/>
          <w:sz w:val="22"/>
          <w:szCs w:val="22"/>
        </w:rPr>
        <w:noBreakHyphen/>
        <w:t xml:space="preserve">month provision in proposed 10 CFR 53.1295 would likely have been appropriate in most circumstances but that it is preferrable to delete the temporal limit in favor of more generic rule language or the use of license conditions for MLs, as needed. </w:t>
      </w:r>
      <w:r w:rsidRPr="008A7411" w:rsidR="00F40DE0">
        <w:rPr>
          <w:rFonts w:ascii="Arial" w:hAnsi="Arial" w:cs="Arial"/>
          <w:sz w:val="22"/>
          <w:szCs w:val="22"/>
        </w:rPr>
        <w:t>The 6</w:t>
      </w:r>
      <w:r w:rsidR="006D5A25">
        <w:rPr>
          <w:rFonts w:ascii="Arial" w:hAnsi="Arial" w:cs="Arial"/>
          <w:sz w:val="22"/>
          <w:szCs w:val="22"/>
        </w:rPr>
        <w:noBreakHyphen/>
      </w:r>
      <w:r w:rsidRPr="008A7411" w:rsidR="00F40DE0">
        <w:rPr>
          <w:rFonts w:ascii="Arial" w:hAnsi="Arial" w:cs="Arial"/>
          <w:sz w:val="22"/>
          <w:szCs w:val="22"/>
        </w:rPr>
        <w:t xml:space="preserve">month restriction in </w:t>
      </w:r>
      <w:r w:rsidRPr="008A7411" w:rsidR="000D1DBB">
        <w:rPr>
          <w:rFonts w:ascii="Arial" w:hAnsi="Arial" w:cs="Arial"/>
          <w:sz w:val="22"/>
          <w:szCs w:val="22"/>
        </w:rPr>
        <w:t xml:space="preserve">the </w:t>
      </w:r>
      <w:r w:rsidRPr="008A7411" w:rsidR="00F40DE0">
        <w:rPr>
          <w:rFonts w:ascii="Arial" w:hAnsi="Arial" w:cs="Arial"/>
          <w:sz w:val="22"/>
          <w:szCs w:val="22"/>
        </w:rPr>
        <w:t xml:space="preserve">10 CFR Part 53 </w:t>
      </w:r>
      <w:r w:rsidRPr="008A7411" w:rsidR="000D1DBB">
        <w:rPr>
          <w:rFonts w:ascii="Arial" w:hAnsi="Arial" w:cs="Arial"/>
          <w:sz w:val="22"/>
          <w:szCs w:val="22"/>
        </w:rPr>
        <w:t>proposed rule</w:t>
      </w:r>
      <w:r w:rsidRPr="008A7411" w:rsidR="00F40DE0">
        <w:rPr>
          <w:rFonts w:ascii="Arial" w:hAnsi="Arial" w:cs="Arial"/>
          <w:sz w:val="22"/>
          <w:szCs w:val="22"/>
        </w:rPr>
        <w:t xml:space="preserve"> was put in place to mirror the existing </w:t>
      </w:r>
      <w:r w:rsidRPr="008A7411" w:rsidR="00695A5F">
        <w:rPr>
          <w:rFonts w:ascii="Arial" w:hAnsi="Arial" w:cs="Arial"/>
          <w:sz w:val="22"/>
          <w:szCs w:val="22"/>
        </w:rPr>
        <w:t>3</w:t>
      </w:r>
      <w:r w:rsidR="006D5A25">
        <w:rPr>
          <w:rFonts w:ascii="Arial" w:hAnsi="Arial" w:cs="Arial"/>
          <w:sz w:val="22"/>
          <w:szCs w:val="22"/>
        </w:rPr>
        <w:noBreakHyphen/>
      </w:r>
      <w:r w:rsidRPr="008A7411" w:rsidR="00695A5F">
        <w:rPr>
          <w:rFonts w:ascii="Arial" w:hAnsi="Arial" w:cs="Arial"/>
          <w:sz w:val="22"/>
          <w:szCs w:val="22"/>
        </w:rPr>
        <w:t>year provision</w:t>
      </w:r>
      <w:r w:rsidRPr="008A7411" w:rsidR="00F40DE0">
        <w:rPr>
          <w:rFonts w:ascii="Arial" w:hAnsi="Arial" w:cs="Arial"/>
          <w:sz w:val="22"/>
          <w:szCs w:val="22"/>
        </w:rPr>
        <w:t xml:space="preserve"> in 10 CFR 52.</w:t>
      </w:r>
      <w:r w:rsidRPr="008A7411" w:rsidR="009C41F7">
        <w:rPr>
          <w:rFonts w:ascii="Arial" w:hAnsi="Arial" w:cs="Arial"/>
          <w:sz w:val="22"/>
          <w:szCs w:val="22"/>
        </w:rPr>
        <w:t>177</w:t>
      </w:r>
      <w:r w:rsidRPr="008A7411" w:rsidR="00695A5F">
        <w:rPr>
          <w:rFonts w:ascii="Arial" w:hAnsi="Arial" w:cs="Arial"/>
          <w:sz w:val="22"/>
          <w:szCs w:val="22"/>
        </w:rPr>
        <w:t xml:space="preserve">, while adding flexibility </w:t>
      </w:r>
      <w:r w:rsidRPr="008A7411" w:rsidR="009667F0">
        <w:rPr>
          <w:rFonts w:ascii="Arial" w:hAnsi="Arial" w:cs="Arial"/>
          <w:sz w:val="22"/>
          <w:szCs w:val="22"/>
        </w:rPr>
        <w:t>to address potential advanced reactors</w:t>
      </w:r>
      <w:r w:rsidRPr="008A7411" w:rsidR="0044155C">
        <w:rPr>
          <w:rFonts w:ascii="Arial" w:hAnsi="Arial" w:cs="Arial"/>
          <w:sz w:val="22"/>
          <w:szCs w:val="22"/>
        </w:rPr>
        <w:t xml:space="preserve"> that may have much shorter manufacturing timelines than </w:t>
      </w:r>
      <w:r w:rsidRPr="008A7411" w:rsidR="00D81A13">
        <w:rPr>
          <w:rFonts w:ascii="Arial" w:hAnsi="Arial" w:cs="Arial"/>
          <w:sz w:val="22"/>
          <w:szCs w:val="22"/>
        </w:rPr>
        <w:t>those</w:t>
      </w:r>
      <w:r w:rsidRPr="008A7411" w:rsidR="0044155C">
        <w:rPr>
          <w:rFonts w:ascii="Arial" w:hAnsi="Arial" w:cs="Arial"/>
          <w:sz w:val="22"/>
          <w:szCs w:val="22"/>
        </w:rPr>
        <w:t xml:space="preserve"> envisioned</w:t>
      </w:r>
      <w:r w:rsidRPr="008A7411" w:rsidR="005A3483">
        <w:rPr>
          <w:rFonts w:ascii="Arial" w:hAnsi="Arial" w:cs="Arial"/>
          <w:sz w:val="22"/>
          <w:szCs w:val="22"/>
        </w:rPr>
        <w:t xml:space="preserve"> under </w:t>
      </w:r>
      <w:r w:rsidR="00EB4429">
        <w:rPr>
          <w:rFonts w:ascii="Arial" w:hAnsi="Arial" w:cs="Arial"/>
          <w:sz w:val="22"/>
          <w:szCs w:val="22"/>
        </w:rPr>
        <w:br/>
      </w:r>
      <w:r w:rsidRPr="008A7411" w:rsidR="005A3483">
        <w:rPr>
          <w:rFonts w:ascii="Arial" w:hAnsi="Arial" w:cs="Arial"/>
          <w:sz w:val="22"/>
          <w:szCs w:val="22"/>
        </w:rPr>
        <w:t>10 CFR Part 52</w:t>
      </w:r>
      <w:r w:rsidRPr="008A7411" w:rsidR="00AD35AD">
        <w:rPr>
          <w:rFonts w:ascii="Arial" w:hAnsi="Arial" w:cs="Arial"/>
          <w:sz w:val="22"/>
          <w:szCs w:val="22"/>
        </w:rPr>
        <w:t>.</w:t>
      </w:r>
      <w:r w:rsidRPr="008A7411" w:rsidR="00CD1A02">
        <w:rPr>
          <w:rFonts w:ascii="Arial" w:hAnsi="Arial" w:cs="Arial"/>
          <w:sz w:val="22"/>
          <w:szCs w:val="22"/>
        </w:rPr>
        <w:t xml:space="preserve"> </w:t>
      </w:r>
      <w:r w:rsidRPr="008A7411" w:rsidR="00AD35AD">
        <w:rPr>
          <w:rFonts w:ascii="Arial" w:hAnsi="Arial" w:cs="Arial"/>
          <w:sz w:val="22"/>
          <w:szCs w:val="22"/>
        </w:rPr>
        <w:t>In the</w:t>
      </w:r>
      <w:r w:rsidRPr="008A7411" w:rsidR="00CD1A02">
        <w:rPr>
          <w:rFonts w:ascii="Arial" w:hAnsi="Arial" w:cs="Arial"/>
          <w:sz w:val="22"/>
          <w:szCs w:val="22"/>
        </w:rPr>
        <w:t xml:space="preserve"> 2007 update to </w:t>
      </w:r>
      <w:r w:rsidRPr="008A7411" w:rsidR="00AD35AD">
        <w:rPr>
          <w:rFonts w:ascii="Arial" w:hAnsi="Arial" w:cs="Arial"/>
          <w:sz w:val="22"/>
          <w:szCs w:val="22"/>
        </w:rPr>
        <w:t>10</w:t>
      </w:r>
      <w:r w:rsidRPr="008A7411" w:rsidR="0083601E">
        <w:rPr>
          <w:rFonts w:ascii="Arial" w:hAnsi="Arial" w:cs="Arial"/>
          <w:sz w:val="22"/>
          <w:szCs w:val="22"/>
        </w:rPr>
        <w:t> </w:t>
      </w:r>
      <w:r w:rsidRPr="008A7411" w:rsidR="00AD35AD">
        <w:rPr>
          <w:rFonts w:ascii="Arial" w:hAnsi="Arial" w:cs="Arial"/>
          <w:sz w:val="22"/>
          <w:szCs w:val="22"/>
        </w:rPr>
        <w:t>CFR</w:t>
      </w:r>
      <w:r w:rsidRPr="008A7411" w:rsidR="0083601E">
        <w:rPr>
          <w:rFonts w:ascii="Arial" w:hAnsi="Arial" w:cs="Arial"/>
          <w:sz w:val="22"/>
          <w:szCs w:val="22"/>
        </w:rPr>
        <w:t> </w:t>
      </w:r>
      <w:r w:rsidRPr="008A7411" w:rsidR="00AD35AD">
        <w:rPr>
          <w:rFonts w:ascii="Arial" w:hAnsi="Arial" w:cs="Arial"/>
          <w:sz w:val="22"/>
          <w:szCs w:val="22"/>
        </w:rPr>
        <w:t>Part 52</w:t>
      </w:r>
      <w:r w:rsidRPr="008A7411" w:rsidR="00414083">
        <w:rPr>
          <w:rFonts w:ascii="Arial" w:hAnsi="Arial" w:cs="Arial"/>
          <w:sz w:val="22"/>
          <w:szCs w:val="22"/>
        </w:rPr>
        <w:t xml:space="preserve">, the Commission </w:t>
      </w:r>
      <w:r w:rsidRPr="008A7411" w:rsidR="00634AB8">
        <w:rPr>
          <w:rFonts w:ascii="Arial" w:hAnsi="Arial" w:cs="Arial"/>
          <w:sz w:val="22"/>
          <w:szCs w:val="22"/>
        </w:rPr>
        <w:t>explained</w:t>
      </w:r>
      <w:r w:rsidRPr="008A7411" w:rsidR="000D5366">
        <w:rPr>
          <w:rFonts w:ascii="Arial" w:hAnsi="Arial" w:cs="Arial"/>
          <w:sz w:val="22"/>
          <w:szCs w:val="22"/>
        </w:rPr>
        <w:t xml:space="preserve"> </w:t>
      </w:r>
      <w:r w:rsidRPr="008A7411" w:rsidR="00414083">
        <w:rPr>
          <w:rFonts w:ascii="Arial" w:hAnsi="Arial" w:cs="Arial"/>
          <w:sz w:val="22"/>
          <w:szCs w:val="22"/>
        </w:rPr>
        <w:t>that</w:t>
      </w:r>
      <w:r w:rsidRPr="008A7411" w:rsidR="005A3483">
        <w:rPr>
          <w:rFonts w:ascii="Arial" w:hAnsi="Arial" w:cs="Arial"/>
          <w:sz w:val="22"/>
          <w:szCs w:val="22"/>
        </w:rPr>
        <w:t xml:space="preserve"> </w:t>
      </w:r>
      <w:r w:rsidRPr="008A7411" w:rsidR="00F075FB">
        <w:rPr>
          <w:rFonts w:ascii="Arial" w:hAnsi="Arial" w:cs="Arial"/>
          <w:sz w:val="22"/>
          <w:szCs w:val="22"/>
        </w:rPr>
        <w:t>this provision was</w:t>
      </w:r>
      <w:r w:rsidRPr="008A7411" w:rsidR="00CD1621">
        <w:rPr>
          <w:rFonts w:ascii="Arial" w:hAnsi="Arial" w:cs="Arial"/>
          <w:sz w:val="22"/>
          <w:szCs w:val="22"/>
        </w:rPr>
        <w:t xml:space="preserve"> in accordance</w:t>
      </w:r>
      <w:r w:rsidRPr="008A7411" w:rsidR="005A3483">
        <w:rPr>
          <w:rFonts w:ascii="Arial" w:hAnsi="Arial" w:cs="Arial"/>
          <w:sz w:val="22"/>
          <w:szCs w:val="22"/>
        </w:rPr>
        <w:t xml:space="preserve"> </w:t>
      </w:r>
      <w:r w:rsidRPr="008A7411" w:rsidR="00CD1621">
        <w:rPr>
          <w:rFonts w:ascii="Arial" w:hAnsi="Arial" w:cs="Arial"/>
          <w:sz w:val="22"/>
          <w:szCs w:val="22"/>
        </w:rPr>
        <w:t>with the Timely Renewal Doctrine of</w:t>
      </w:r>
      <w:r w:rsidRPr="008A7411" w:rsidR="005A3483">
        <w:rPr>
          <w:rFonts w:ascii="Arial" w:hAnsi="Arial" w:cs="Arial"/>
          <w:sz w:val="22"/>
          <w:szCs w:val="22"/>
        </w:rPr>
        <w:t xml:space="preserve"> </w:t>
      </w:r>
      <w:r w:rsidRPr="008A7411" w:rsidR="00CD1621">
        <w:rPr>
          <w:rFonts w:ascii="Arial" w:hAnsi="Arial" w:cs="Arial"/>
          <w:sz w:val="22"/>
          <w:szCs w:val="22"/>
        </w:rPr>
        <w:t>the Administrative Procedure Act</w:t>
      </w:r>
      <w:r w:rsidRPr="008A7411" w:rsidR="005A3483">
        <w:rPr>
          <w:rFonts w:ascii="Arial" w:hAnsi="Arial" w:cs="Arial"/>
          <w:sz w:val="22"/>
          <w:szCs w:val="22"/>
        </w:rPr>
        <w:t xml:space="preserve"> </w:t>
      </w:r>
      <w:r w:rsidRPr="008A7411" w:rsidR="00CD1621">
        <w:rPr>
          <w:rFonts w:ascii="Arial" w:hAnsi="Arial" w:cs="Arial"/>
          <w:sz w:val="22"/>
          <w:szCs w:val="22"/>
        </w:rPr>
        <w:t>(APA)</w:t>
      </w:r>
      <w:r w:rsidRPr="008A7411" w:rsidR="00F075FB">
        <w:rPr>
          <w:rFonts w:ascii="Arial" w:hAnsi="Arial" w:cs="Arial"/>
          <w:sz w:val="22"/>
          <w:szCs w:val="22"/>
        </w:rPr>
        <w:t xml:space="preserve"> but</w:t>
      </w:r>
      <w:r w:rsidRPr="008A7411" w:rsidR="00AF2967">
        <w:rPr>
          <w:rFonts w:ascii="Arial" w:hAnsi="Arial" w:cs="Arial"/>
          <w:sz w:val="22"/>
          <w:szCs w:val="22"/>
        </w:rPr>
        <w:t xml:space="preserve"> </w:t>
      </w:r>
      <w:r w:rsidRPr="008A7411" w:rsidR="00677A9E">
        <w:rPr>
          <w:rFonts w:ascii="Arial" w:hAnsi="Arial" w:cs="Arial"/>
          <w:sz w:val="22"/>
          <w:szCs w:val="22"/>
        </w:rPr>
        <w:t>noted</w:t>
      </w:r>
      <w:r w:rsidRPr="008A7411" w:rsidR="00AF2967">
        <w:rPr>
          <w:rFonts w:ascii="Arial" w:hAnsi="Arial" w:cs="Arial"/>
          <w:sz w:val="22"/>
          <w:szCs w:val="22"/>
        </w:rPr>
        <w:t xml:space="preserve"> </w:t>
      </w:r>
      <w:r w:rsidRPr="008A7411" w:rsidR="00634AB8">
        <w:rPr>
          <w:rFonts w:ascii="Arial" w:hAnsi="Arial" w:cs="Arial"/>
          <w:sz w:val="22"/>
          <w:szCs w:val="22"/>
        </w:rPr>
        <w:t>t</w:t>
      </w:r>
      <w:r w:rsidRPr="008A7411" w:rsidR="00CD1621">
        <w:rPr>
          <w:rFonts w:ascii="Arial" w:hAnsi="Arial" w:cs="Arial"/>
          <w:sz w:val="22"/>
          <w:szCs w:val="22"/>
        </w:rPr>
        <w:t>he Commission</w:t>
      </w:r>
      <w:r w:rsidRPr="008A7411" w:rsidR="00677A9E">
        <w:rPr>
          <w:rFonts w:ascii="Arial" w:hAnsi="Arial" w:cs="Arial"/>
          <w:sz w:val="22"/>
          <w:szCs w:val="22"/>
        </w:rPr>
        <w:t>’s</w:t>
      </w:r>
      <w:r w:rsidRPr="008A7411" w:rsidR="00F24E51">
        <w:rPr>
          <w:rFonts w:ascii="Arial" w:hAnsi="Arial" w:cs="Arial"/>
          <w:sz w:val="22"/>
          <w:szCs w:val="22"/>
        </w:rPr>
        <w:t xml:space="preserve"> belief</w:t>
      </w:r>
      <w:r w:rsidRPr="008A7411" w:rsidR="005A3483">
        <w:rPr>
          <w:rFonts w:ascii="Arial" w:hAnsi="Arial" w:cs="Arial"/>
          <w:sz w:val="22"/>
          <w:szCs w:val="22"/>
        </w:rPr>
        <w:t xml:space="preserve"> </w:t>
      </w:r>
      <w:r w:rsidRPr="008A7411" w:rsidR="00677A9E">
        <w:rPr>
          <w:rFonts w:ascii="Arial" w:hAnsi="Arial" w:cs="Arial"/>
          <w:sz w:val="22"/>
          <w:szCs w:val="22"/>
        </w:rPr>
        <w:t>that</w:t>
      </w:r>
      <w:r w:rsidRPr="008A7411" w:rsidR="005A3483">
        <w:rPr>
          <w:rFonts w:ascii="Arial" w:hAnsi="Arial" w:cs="Arial"/>
          <w:sz w:val="22"/>
          <w:szCs w:val="22"/>
        </w:rPr>
        <w:t xml:space="preserve"> </w:t>
      </w:r>
      <w:r w:rsidRPr="008A7411" w:rsidR="00CD1621">
        <w:rPr>
          <w:rFonts w:ascii="Arial" w:hAnsi="Arial" w:cs="Arial"/>
          <w:sz w:val="22"/>
          <w:szCs w:val="22"/>
        </w:rPr>
        <w:t>an</w:t>
      </w:r>
      <w:r w:rsidRPr="008A7411" w:rsidR="005A3483">
        <w:rPr>
          <w:rFonts w:ascii="Arial" w:hAnsi="Arial" w:cs="Arial"/>
          <w:sz w:val="22"/>
          <w:szCs w:val="22"/>
        </w:rPr>
        <w:t xml:space="preserve"> </w:t>
      </w:r>
      <w:r w:rsidRPr="008A7411" w:rsidR="00CD1621">
        <w:rPr>
          <w:rFonts w:ascii="Arial" w:hAnsi="Arial" w:cs="Arial"/>
          <w:sz w:val="22"/>
          <w:szCs w:val="22"/>
        </w:rPr>
        <w:t>applicant’s reliance upon timely</w:t>
      </w:r>
      <w:r w:rsidRPr="008A7411" w:rsidR="005A3483">
        <w:rPr>
          <w:rFonts w:ascii="Arial" w:hAnsi="Arial" w:cs="Arial"/>
          <w:sz w:val="22"/>
          <w:szCs w:val="22"/>
        </w:rPr>
        <w:t xml:space="preserve"> </w:t>
      </w:r>
      <w:r w:rsidRPr="008A7411" w:rsidR="00CD1621">
        <w:rPr>
          <w:rFonts w:ascii="Arial" w:hAnsi="Arial" w:cs="Arial"/>
          <w:sz w:val="22"/>
          <w:szCs w:val="22"/>
        </w:rPr>
        <w:t xml:space="preserve">renewal </w:t>
      </w:r>
      <w:r w:rsidRPr="008A7411" w:rsidR="00634AB8">
        <w:rPr>
          <w:rFonts w:ascii="Arial" w:hAnsi="Arial" w:cs="Arial"/>
          <w:sz w:val="22"/>
          <w:szCs w:val="22"/>
        </w:rPr>
        <w:t>should be</w:t>
      </w:r>
      <w:r w:rsidRPr="008A7411" w:rsidR="00CD1621">
        <w:rPr>
          <w:rFonts w:ascii="Arial" w:hAnsi="Arial" w:cs="Arial"/>
          <w:sz w:val="22"/>
          <w:szCs w:val="22"/>
        </w:rPr>
        <w:t xml:space="preserve"> rare. </w:t>
      </w:r>
      <w:r w:rsidRPr="008A7411" w:rsidR="005A0BF5">
        <w:rPr>
          <w:rFonts w:ascii="Arial" w:hAnsi="Arial" w:cs="Arial"/>
          <w:sz w:val="22"/>
          <w:szCs w:val="22"/>
        </w:rPr>
        <w:t xml:space="preserve">Given the </w:t>
      </w:r>
      <w:r w:rsidRPr="008A7411" w:rsidR="00B71735">
        <w:rPr>
          <w:rFonts w:ascii="Arial" w:hAnsi="Arial" w:cs="Arial"/>
          <w:sz w:val="22"/>
          <w:szCs w:val="22"/>
        </w:rPr>
        <w:t>exten</w:t>
      </w:r>
      <w:r w:rsidRPr="008A7411" w:rsidR="00FC5AB1">
        <w:rPr>
          <w:rFonts w:ascii="Arial" w:hAnsi="Arial" w:cs="Arial"/>
          <w:sz w:val="22"/>
          <w:szCs w:val="22"/>
        </w:rPr>
        <w:t xml:space="preserve">sion of the duration of an ML </w:t>
      </w:r>
      <w:r w:rsidRPr="008A7411" w:rsidR="006113A5">
        <w:rPr>
          <w:rFonts w:ascii="Arial" w:hAnsi="Arial" w:cs="Arial"/>
          <w:sz w:val="22"/>
          <w:szCs w:val="22"/>
        </w:rPr>
        <w:t>fro</w:t>
      </w:r>
      <w:r w:rsidRPr="008A7411" w:rsidR="00445F68">
        <w:rPr>
          <w:rFonts w:ascii="Arial" w:hAnsi="Arial" w:cs="Arial"/>
          <w:sz w:val="22"/>
          <w:szCs w:val="22"/>
        </w:rPr>
        <w:t>m</w:t>
      </w:r>
      <w:r w:rsidRPr="008A7411" w:rsidR="006113A5">
        <w:rPr>
          <w:rFonts w:ascii="Arial" w:hAnsi="Arial" w:cs="Arial"/>
          <w:sz w:val="22"/>
          <w:szCs w:val="22"/>
        </w:rPr>
        <w:t xml:space="preserve"> 15 years </w:t>
      </w:r>
      <w:r w:rsidRPr="008A7411" w:rsidR="00445F68">
        <w:rPr>
          <w:rFonts w:ascii="Arial" w:hAnsi="Arial" w:cs="Arial"/>
          <w:sz w:val="22"/>
          <w:szCs w:val="22"/>
        </w:rPr>
        <w:t xml:space="preserve">under 10 CFR Part 52 </w:t>
      </w:r>
      <w:r w:rsidRPr="008A7411" w:rsidR="00FC5AB1">
        <w:rPr>
          <w:rFonts w:ascii="Arial" w:hAnsi="Arial" w:cs="Arial"/>
          <w:sz w:val="22"/>
          <w:szCs w:val="22"/>
        </w:rPr>
        <w:t xml:space="preserve">to 40 years under 10 CFR Part 53, </w:t>
      </w:r>
      <w:r w:rsidRPr="008A7411" w:rsidR="00344A3C">
        <w:rPr>
          <w:rFonts w:ascii="Arial" w:hAnsi="Arial" w:cs="Arial"/>
          <w:sz w:val="22"/>
          <w:szCs w:val="22"/>
        </w:rPr>
        <w:t>the submittal of an ML renewal application is itself expected to be a rare occurrence</w:t>
      </w:r>
      <w:r w:rsidRPr="008A7411" w:rsidR="00E556F3">
        <w:rPr>
          <w:rFonts w:ascii="Arial" w:hAnsi="Arial" w:cs="Arial"/>
          <w:sz w:val="22"/>
          <w:szCs w:val="22"/>
        </w:rPr>
        <w:t>. It follows that the need to rely on t</w:t>
      </w:r>
      <w:r w:rsidRPr="008A7411" w:rsidR="00C01D18">
        <w:rPr>
          <w:rFonts w:ascii="Arial" w:hAnsi="Arial" w:cs="Arial"/>
          <w:sz w:val="22"/>
          <w:szCs w:val="22"/>
        </w:rPr>
        <w:t>imely renewal would be even rarer</w:t>
      </w:r>
      <w:r w:rsidRPr="008A7411" w:rsidR="00901B78">
        <w:rPr>
          <w:rFonts w:ascii="Arial" w:hAnsi="Arial" w:cs="Arial"/>
          <w:sz w:val="22"/>
          <w:szCs w:val="22"/>
        </w:rPr>
        <w:t xml:space="preserve"> and</w:t>
      </w:r>
      <w:r w:rsidRPr="008A7411" w:rsidR="009205C4">
        <w:rPr>
          <w:rFonts w:ascii="Arial" w:hAnsi="Arial" w:cs="Arial"/>
          <w:sz w:val="22"/>
          <w:szCs w:val="22"/>
        </w:rPr>
        <w:t xml:space="preserve"> </w:t>
      </w:r>
      <w:r w:rsidRPr="008A7411" w:rsidR="00C64DA7">
        <w:rPr>
          <w:rFonts w:ascii="Arial" w:hAnsi="Arial" w:cs="Arial"/>
          <w:sz w:val="22"/>
          <w:szCs w:val="22"/>
        </w:rPr>
        <w:t xml:space="preserve">codifying a </w:t>
      </w:r>
      <w:r w:rsidRPr="008A7411" w:rsidR="009205C4">
        <w:rPr>
          <w:rFonts w:ascii="Arial" w:hAnsi="Arial" w:cs="Arial"/>
          <w:sz w:val="22"/>
          <w:szCs w:val="22"/>
        </w:rPr>
        <w:t xml:space="preserve">“one-size-fits-all” </w:t>
      </w:r>
      <w:r w:rsidRPr="008A7411" w:rsidR="00C64DA7">
        <w:rPr>
          <w:rFonts w:ascii="Arial" w:hAnsi="Arial" w:cs="Arial"/>
          <w:sz w:val="22"/>
          <w:szCs w:val="22"/>
        </w:rPr>
        <w:t>time period</w:t>
      </w:r>
      <w:r w:rsidRPr="008A7411" w:rsidR="00CF43FE">
        <w:rPr>
          <w:rFonts w:ascii="Arial" w:hAnsi="Arial" w:cs="Arial"/>
          <w:sz w:val="22"/>
          <w:szCs w:val="22"/>
        </w:rPr>
        <w:t xml:space="preserve"> after which manufacturing activities must cease</w:t>
      </w:r>
      <w:r w:rsidRPr="008A7411" w:rsidR="00BD6C7B">
        <w:rPr>
          <w:rFonts w:ascii="Arial" w:hAnsi="Arial" w:cs="Arial"/>
          <w:sz w:val="22"/>
          <w:szCs w:val="22"/>
        </w:rPr>
        <w:t xml:space="preserve"> </w:t>
      </w:r>
      <w:r w:rsidRPr="008A7411" w:rsidR="00901B78">
        <w:rPr>
          <w:rFonts w:ascii="Arial" w:hAnsi="Arial" w:cs="Arial"/>
          <w:sz w:val="22"/>
          <w:szCs w:val="22"/>
        </w:rPr>
        <w:t>is unlikely to</w:t>
      </w:r>
      <w:r w:rsidRPr="008A7411" w:rsidR="00BD6C7B">
        <w:rPr>
          <w:rFonts w:ascii="Arial" w:hAnsi="Arial" w:cs="Arial"/>
          <w:sz w:val="22"/>
          <w:szCs w:val="22"/>
        </w:rPr>
        <w:t xml:space="preserve"> </w:t>
      </w:r>
      <w:r w:rsidRPr="008A7411" w:rsidR="00A83591">
        <w:rPr>
          <w:rFonts w:ascii="Arial" w:hAnsi="Arial" w:cs="Arial"/>
          <w:sz w:val="22"/>
          <w:szCs w:val="22"/>
        </w:rPr>
        <w:t xml:space="preserve">prove </w:t>
      </w:r>
      <w:r w:rsidRPr="008A7411" w:rsidR="002857F5">
        <w:rPr>
          <w:rFonts w:ascii="Arial" w:hAnsi="Arial" w:cs="Arial"/>
          <w:sz w:val="22"/>
          <w:szCs w:val="22"/>
        </w:rPr>
        <w:t>beneficial.</w:t>
      </w:r>
      <w:r w:rsidRPr="008A7411" w:rsidR="00A83591">
        <w:rPr>
          <w:rFonts w:ascii="Arial" w:hAnsi="Arial" w:cs="Arial"/>
          <w:sz w:val="22"/>
          <w:szCs w:val="22"/>
        </w:rPr>
        <w:t xml:space="preserve"> </w:t>
      </w:r>
      <w:r w:rsidRPr="008A7411" w:rsidR="00481949">
        <w:rPr>
          <w:rFonts w:ascii="Arial" w:hAnsi="Arial" w:cs="Arial"/>
          <w:sz w:val="22"/>
          <w:szCs w:val="22"/>
        </w:rPr>
        <w:t xml:space="preserve">Such </w:t>
      </w:r>
      <w:r w:rsidRPr="008A7411" w:rsidR="00A960DC">
        <w:rPr>
          <w:rFonts w:ascii="Arial" w:hAnsi="Arial" w:cs="Arial"/>
          <w:sz w:val="22"/>
          <w:szCs w:val="22"/>
        </w:rPr>
        <w:t>issues</w:t>
      </w:r>
      <w:r w:rsidRPr="008A7411" w:rsidR="00A3162D">
        <w:rPr>
          <w:rFonts w:ascii="Arial" w:hAnsi="Arial" w:cs="Arial"/>
          <w:sz w:val="22"/>
          <w:szCs w:val="22"/>
        </w:rPr>
        <w:t xml:space="preserve"> are more practically addressed</w:t>
      </w:r>
      <w:r w:rsidRPr="008A7411" w:rsidR="00A960DC">
        <w:rPr>
          <w:rFonts w:ascii="Arial" w:hAnsi="Arial" w:cs="Arial"/>
          <w:sz w:val="22"/>
          <w:szCs w:val="22"/>
        </w:rPr>
        <w:t xml:space="preserve"> in license conditions for particular MLs</w:t>
      </w:r>
      <w:r w:rsidRPr="008A7411" w:rsidR="00A3162D">
        <w:rPr>
          <w:rFonts w:ascii="Arial" w:hAnsi="Arial" w:cs="Arial"/>
          <w:sz w:val="22"/>
          <w:szCs w:val="22"/>
        </w:rPr>
        <w:t>, if needed</w:t>
      </w:r>
      <w:r w:rsidRPr="008A7411" w:rsidR="000572B2">
        <w:rPr>
          <w:rFonts w:ascii="Arial" w:hAnsi="Arial" w:cs="Arial"/>
          <w:sz w:val="22"/>
          <w:szCs w:val="22"/>
        </w:rPr>
        <w:t>.</w:t>
      </w:r>
    </w:p>
    <w:p w:rsidR="007F112A" w:rsidRPr="008A7411" w:rsidP="008A7411" w14:paraId="3DED4246" w14:textId="77777777">
      <w:pPr>
        <w:spacing w:after="220"/>
        <w:rPr>
          <w:rFonts w:ascii="Arial" w:hAnsi="Arial" w:cs="Arial"/>
          <w:sz w:val="22"/>
          <w:szCs w:val="22"/>
        </w:rPr>
      </w:pPr>
      <w:r w:rsidRPr="008A7411">
        <w:rPr>
          <w:rFonts w:ascii="Arial" w:hAnsi="Arial" w:cs="Arial"/>
          <w:sz w:val="22"/>
          <w:szCs w:val="22"/>
        </w:rPr>
        <w:t>Accordingly, the NRC changed the rule language in response to this comment. Specifically, the NRC deleted the proposed rule language in 10 CFR 53.1295(a)(3) prohibiting the holder of an ML from beginning manufacture of a manufactured reactor less than 6 months before the expiration of the license.</w:t>
      </w:r>
    </w:p>
    <w:p w:rsidR="007F112A" w:rsidRPr="00DA0A3C" w:rsidP="008A7411" w14:paraId="52144AC0" w14:textId="77777777">
      <w:pPr>
        <w:spacing w:after="220"/>
        <w:rPr>
          <w:rFonts w:ascii="Arial" w:hAnsi="Arial" w:cs="Arial"/>
        </w:rPr>
      </w:pPr>
      <w:r>
        <w:rPr>
          <w:rFonts w:ascii="Arial" w:hAnsi="Arial" w:cs="Arial"/>
          <w:sz w:val="22"/>
          <w:szCs w:val="22"/>
        </w:rPr>
        <w:pict>
          <v:rect id="_x0000_i1272" style="width:0;height:1.5pt" o:hralign="center" o:hrstd="t" o:hrnoshade="t" o:hr="t" fillcolor="black" stroked="f"/>
        </w:pict>
      </w:r>
    </w:p>
    <w:p w:rsidR="007F112A" w:rsidRPr="005E489E" w:rsidP="00846198" w14:paraId="6F8480FD" w14:textId="77777777">
      <w:pPr>
        <w:pStyle w:val="Heading3"/>
        <w:numPr>
          <w:ilvl w:val="0"/>
          <w:numId w:val="0"/>
        </w:numPr>
        <w:ind w:left="720" w:hanging="720"/>
        <w:rPr>
          <w:rFonts w:eastAsia="Times New Roman"/>
          <w:b/>
        </w:rPr>
      </w:pPr>
      <w:bookmarkStart w:id="94" w:name="_Toc194678428"/>
      <w:bookmarkStart w:id="95" w:name="_Toc207222835"/>
      <w:r w:rsidRPr="00846198">
        <w:rPr>
          <w:u w:val="none"/>
        </w:rPr>
        <w:t>3.8.</w:t>
      </w:r>
      <w:r>
        <w:rPr>
          <w:u w:val="none"/>
        </w:rPr>
        <w:t>7.</w:t>
      </w:r>
      <w:r>
        <w:rPr>
          <w:u w:val="none"/>
        </w:rPr>
        <w:tab/>
      </w:r>
      <w:r w:rsidRPr="00DA0A3C">
        <w:t>RFC: Finality for MLs (§ 53.1288)</w:t>
      </w:r>
      <w:bookmarkEnd w:id="94"/>
      <w:bookmarkEnd w:id="95"/>
    </w:p>
    <w:p w:rsidR="007F112A" w:rsidRPr="008A7411" w:rsidP="008A7411" w14:paraId="49555090" w14:textId="77777777">
      <w:pPr>
        <w:spacing w:after="220"/>
        <w:rPr>
          <w:rFonts w:ascii="Arial" w:hAnsi="Arial" w:cs="Arial"/>
          <w:sz w:val="22"/>
          <w:szCs w:val="22"/>
        </w:rPr>
      </w:pPr>
      <w:r w:rsidRPr="008A7411">
        <w:rPr>
          <w:rFonts w:ascii="Arial" w:hAnsi="Arial" w:cs="Arial"/>
          <w:b/>
          <w:sz w:val="22"/>
          <w:szCs w:val="22"/>
        </w:rPr>
        <w:t xml:space="preserve">Comment Bin 3.8.7.A: </w:t>
      </w:r>
      <w:r w:rsidRPr="008A7411">
        <w:rPr>
          <w:rFonts w:ascii="Arial" w:hAnsi="Arial" w:cs="Arial"/>
          <w:sz w:val="22"/>
          <w:szCs w:val="22"/>
        </w:rPr>
        <w:t xml:space="preserve">A commenter said that it is unclear what requirements are being imposed by 10 CFR Part 53 “for the manufacture of the manufactured reactor” beyond the ability to load fuel in the factory and requirements to maintain subcriticality by “at least two independent physical mechanisms”. The commenter </w:t>
      </w:r>
      <w:r w:rsidR="00590D49">
        <w:rPr>
          <w:rFonts w:ascii="Arial" w:hAnsi="Arial" w:cs="Arial"/>
          <w:sz w:val="22"/>
          <w:szCs w:val="22"/>
        </w:rPr>
        <w:t>stated</w:t>
      </w:r>
      <w:r w:rsidRPr="008A7411">
        <w:rPr>
          <w:rFonts w:ascii="Arial" w:hAnsi="Arial" w:cs="Arial"/>
          <w:sz w:val="22"/>
          <w:szCs w:val="22"/>
        </w:rPr>
        <w:t xml:space="preserve"> that there are essentially two safety findings required, one to handle and load SNM under 10 CFR Part 70, and the other related to the safety of the reactor in operation under 10 CFR Part 53. Regarding the finality of reactor design-related matters, the commenter said that the similarity between DC and COL experience would carry into a 10 CFR Part 53-issued ML from the language selected (</w:t>
      </w:r>
      <w:r w:rsidR="009D6BB9">
        <w:rPr>
          <w:rFonts w:ascii="Arial" w:hAnsi="Arial" w:cs="Arial"/>
          <w:sz w:val="22"/>
          <w:szCs w:val="22"/>
        </w:rPr>
        <w:t>NEI2</w:t>
      </w:r>
      <w:r w:rsidRPr="008A7411">
        <w:rPr>
          <w:rFonts w:ascii="Arial" w:hAnsi="Arial" w:cs="Arial"/>
          <w:sz w:val="22"/>
          <w:szCs w:val="22"/>
        </w:rPr>
        <w:t>-0187).</w:t>
      </w:r>
    </w:p>
    <w:p w:rsidR="00E9396F" w:rsidP="008A7411" w14:paraId="69007874"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The NRC agrees with the comment</w:t>
      </w:r>
      <w:r>
        <w:rPr>
          <w:rFonts w:ascii="Arial" w:hAnsi="Arial" w:cs="Arial"/>
          <w:sz w:val="22"/>
          <w:szCs w:val="22"/>
        </w:rPr>
        <w:t>.</w:t>
      </w:r>
      <w:r w:rsidRPr="008A7411">
        <w:rPr>
          <w:rFonts w:ascii="Arial" w:hAnsi="Arial" w:cs="Arial"/>
          <w:sz w:val="22"/>
          <w:szCs w:val="22"/>
        </w:rPr>
        <w:t xml:space="preserve"> </w:t>
      </w:r>
    </w:p>
    <w:p w:rsidR="005559E4" w:rsidP="008A7411" w14:paraId="5219F9AB" w14:textId="77777777">
      <w:pPr>
        <w:spacing w:after="220"/>
        <w:rPr>
          <w:rFonts w:ascii="Arial" w:hAnsi="Arial" w:cs="Arial"/>
          <w:sz w:val="22"/>
          <w:szCs w:val="22"/>
        </w:rPr>
        <w:sectPr>
          <w:pgSz w:w="12240" w:h="15840"/>
          <w:pgMar w:top="1440" w:right="1440" w:bottom="1440" w:left="1440" w:header="720" w:footer="720" w:gutter="0"/>
          <w:cols w:space="720"/>
          <w:docGrid w:linePitch="360"/>
        </w:sectPr>
      </w:pPr>
      <w:r>
        <w:rPr>
          <w:rFonts w:ascii="Arial" w:hAnsi="Arial" w:cs="Arial"/>
          <w:sz w:val="22"/>
          <w:szCs w:val="22"/>
        </w:rPr>
        <w:t>The NRC agrees</w:t>
      </w:r>
      <w:r w:rsidRPr="008A7411" w:rsidR="007F112A">
        <w:rPr>
          <w:rFonts w:ascii="Arial" w:hAnsi="Arial" w:cs="Arial"/>
          <w:sz w:val="22"/>
          <w:szCs w:val="22"/>
        </w:rPr>
        <w:t xml:space="preserve"> that there would essentially be two safety findings related to a fueled manufactured reactor, one related to the handling of SNM under 10 CFR Part 70 and one related to the safety of the reactor under 10 CFR Part 53. The comment did not suggest changes to the rule language in 10 CFR Part 53. </w:t>
      </w:r>
    </w:p>
    <w:p w:rsidR="007F112A" w:rsidRPr="008A7411" w:rsidP="008A7411" w14:paraId="498BF4CE" w14:textId="77777777">
      <w:pPr>
        <w:spacing w:after="220"/>
        <w:rPr>
          <w:rFonts w:ascii="Arial" w:hAnsi="Arial" w:cs="Arial"/>
          <w:sz w:val="22"/>
          <w:szCs w:val="22"/>
        </w:rPr>
      </w:pPr>
      <w:r w:rsidRPr="008A7411">
        <w:rPr>
          <w:rFonts w:ascii="Arial" w:hAnsi="Arial" w:cs="Arial"/>
          <w:sz w:val="22"/>
          <w:szCs w:val="22"/>
        </w:rPr>
        <w:t>Accordingly, the NRC did not change the rule language in response to this comment.</w:t>
      </w:r>
    </w:p>
    <w:p w:rsidR="007F112A" w:rsidRPr="008A7411" w:rsidP="008A7411" w14:paraId="193B5AF4" w14:textId="77777777">
      <w:pPr>
        <w:spacing w:after="220"/>
        <w:rPr>
          <w:rFonts w:ascii="Arial" w:hAnsi="Arial" w:cs="Arial"/>
          <w:sz w:val="22"/>
          <w:szCs w:val="22"/>
        </w:rPr>
      </w:pPr>
      <w:r>
        <w:rPr>
          <w:rFonts w:ascii="Arial" w:hAnsi="Arial" w:cs="Arial"/>
          <w:sz w:val="22"/>
          <w:szCs w:val="22"/>
        </w:rPr>
        <w:pict>
          <v:rect id="_x0000_i1273" style="width:0;height:1.5pt" o:hralign="center" o:hrstd="t" o:hrnoshade="t" o:hr="t" fillcolor="black" stroked="f"/>
        </w:pict>
      </w:r>
    </w:p>
    <w:p w:rsidR="007F112A" w:rsidRPr="008A7411" w:rsidP="008A7411" w14:paraId="151D0D7F" w14:textId="77777777">
      <w:pPr>
        <w:spacing w:after="220"/>
        <w:rPr>
          <w:rFonts w:ascii="Arial" w:hAnsi="Arial" w:cs="Arial"/>
          <w:sz w:val="22"/>
          <w:szCs w:val="22"/>
        </w:rPr>
      </w:pPr>
      <w:r w:rsidRPr="008A7411">
        <w:rPr>
          <w:rFonts w:ascii="Arial" w:hAnsi="Arial" w:cs="Arial"/>
          <w:b/>
          <w:sz w:val="22"/>
          <w:szCs w:val="22"/>
        </w:rPr>
        <w:t>Comment Bin 3.8.7.B:</w:t>
      </w:r>
      <w:r w:rsidRPr="008A7411">
        <w:rPr>
          <w:rFonts w:ascii="Arial" w:hAnsi="Arial" w:cs="Arial"/>
          <w:sz w:val="22"/>
          <w:szCs w:val="22"/>
        </w:rPr>
        <w:t xml:space="preserve"> A commenter wrote that aligning 10 CFR 53.1288 with 10 CFR 52.171 ensures a stable and predictable framework without introducing unnecessary deviations (</w:t>
      </w:r>
      <w:r w:rsidR="00D87876">
        <w:rPr>
          <w:rFonts w:ascii="Arial" w:hAnsi="Arial" w:cs="Arial"/>
          <w:sz w:val="22"/>
          <w:szCs w:val="22"/>
        </w:rPr>
        <w:t>SCWG</w:t>
      </w:r>
      <w:r w:rsidRPr="008A7411">
        <w:rPr>
          <w:rFonts w:ascii="Arial" w:hAnsi="Arial" w:cs="Arial"/>
          <w:sz w:val="22"/>
          <w:szCs w:val="22"/>
        </w:rPr>
        <w:t>-0020).</w:t>
      </w:r>
    </w:p>
    <w:p w:rsidR="00DD4871" w:rsidP="008A7411" w14:paraId="169B8639"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agrees with the comment. The comment did not suggest changes to the rule language in 10 CFR Part 53. </w:t>
      </w:r>
    </w:p>
    <w:p w:rsidR="007F112A" w:rsidRPr="008A7411" w:rsidP="008A7411" w14:paraId="6778FE50" w14:textId="77777777">
      <w:pPr>
        <w:spacing w:after="220"/>
        <w:rPr>
          <w:rFonts w:ascii="Arial" w:hAnsi="Arial" w:cs="Arial"/>
          <w:sz w:val="22"/>
          <w:szCs w:val="22"/>
        </w:rPr>
      </w:pPr>
      <w:r w:rsidRPr="008A7411">
        <w:rPr>
          <w:rFonts w:ascii="Arial" w:hAnsi="Arial" w:cs="Arial"/>
          <w:sz w:val="22"/>
          <w:szCs w:val="22"/>
        </w:rPr>
        <w:t>Accordingly, the NRC did not change the rule language in response to this comment.</w:t>
      </w:r>
    </w:p>
    <w:p w:rsidR="007F112A" w:rsidRPr="008A7411" w:rsidP="008A7411" w14:paraId="27C13973" w14:textId="77777777">
      <w:pPr>
        <w:spacing w:after="220"/>
        <w:rPr>
          <w:rFonts w:ascii="Arial" w:hAnsi="Arial" w:cs="Arial"/>
          <w:sz w:val="22"/>
          <w:szCs w:val="22"/>
        </w:rPr>
      </w:pPr>
      <w:r>
        <w:rPr>
          <w:rFonts w:ascii="Arial" w:hAnsi="Arial" w:cs="Arial"/>
          <w:sz w:val="22"/>
          <w:szCs w:val="22"/>
        </w:rPr>
        <w:pict>
          <v:rect id="_x0000_i1274" style="width:0;height:1.5pt" o:hralign="center" o:hrstd="t" o:hrnoshade="t" o:hr="t" fillcolor="black" stroked="f"/>
        </w:pict>
      </w:r>
    </w:p>
    <w:p w:rsidR="007F112A" w:rsidRPr="005E489E" w:rsidP="00846198" w14:paraId="3AC5CA51" w14:textId="77777777">
      <w:pPr>
        <w:pStyle w:val="Heading3"/>
        <w:numPr>
          <w:ilvl w:val="0"/>
          <w:numId w:val="0"/>
        </w:numPr>
        <w:ind w:left="720" w:hanging="720"/>
        <w:rPr>
          <w:rFonts w:eastAsia="Times New Roman"/>
          <w:b/>
        </w:rPr>
      </w:pPr>
      <w:bookmarkStart w:id="96" w:name="_Toc194678429"/>
      <w:bookmarkStart w:id="97" w:name="_Toc207222836"/>
      <w:r>
        <w:rPr>
          <w:u w:val="none"/>
        </w:rPr>
        <w:t>3.8.8.</w:t>
      </w:r>
      <w:r>
        <w:rPr>
          <w:u w:val="none"/>
        </w:rPr>
        <w:tab/>
      </w:r>
      <w:r w:rsidRPr="00DA0A3C">
        <w:t>RFC: Financial protection for fueled manufactured reactors</w:t>
      </w:r>
      <w:bookmarkEnd w:id="96"/>
      <w:bookmarkEnd w:id="97"/>
    </w:p>
    <w:p w:rsidR="007F112A" w:rsidRPr="008A7411" w:rsidP="008A7411" w14:paraId="50EF6196" w14:textId="77777777">
      <w:pPr>
        <w:spacing w:after="220"/>
        <w:rPr>
          <w:rFonts w:ascii="Arial" w:hAnsi="Arial" w:cs="Arial"/>
          <w:sz w:val="22"/>
          <w:szCs w:val="22"/>
        </w:rPr>
      </w:pPr>
      <w:r w:rsidRPr="008A7411">
        <w:rPr>
          <w:rFonts w:ascii="Arial" w:hAnsi="Arial" w:cs="Arial"/>
          <w:b/>
          <w:sz w:val="22"/>
          <w:szCs w:val="22"/>
        </w:rPr>
        <w:t>Comment Bin 3.8.8.A:</w:t>
      </w:r>
      <w:r w:rsidRPr="008A7411">
        <w:rPr>
          <w:rFonts w:ascii="Arial" w:hAnsi="Arial" w:cs="Arial"/>
          <w:sz w:val="22"/>
          <w:szCs w:val="22"/>
        </w:rPr>
        <w:t xml:space="preserve"> Two commenters said that indemnification under the Price</w:t>
      </w:r>
      <w:r w:rsidR="00DD4871">
        <w:rPr>
          <w:rFonts w:ascii="Arial" w:hAnsi="Arial" w:cs="Arial"/>
          <w:sz w:val="22"/>
          <w:szCs w:val="22"/>
        </w:rPr>
        <w:t>-</w:t>
      </w:r>
      <w:r w:rsidRPr="008A7411">
        <w:rPr>
          <w:rFonts w:ascii="Arial" w:hAnsi="Arial" w:cs="Arial"/>
          <w:sz w:val="22"/>
          <w:szCs w:val="22"/>
        </w:rPr>
        <w:t>Anderson Act is warranted to flow directly to MLs necessitating the need for licensees to provide financial protection. However, the commenter</w:t>
      </w:r>
      <w:r w:rsidR="00C91D9C">
        <w:rPr>
          <w:rFonts w:ascii="Arial" w:hAnsi="Arial" w:cs="Arial"/>
          <w:sz w:val="22"/>
          <w:szCs w:val="22"/>
        </w:rPr>
        <w:t>s</w:t>
      </w:r>
      <w:r w:rsidRPr="008A7411">
        <w:rPr>
          <w:rFonts w:ascii="Arial" w:hAnsi="Arial" w:cs="Arial"/>
          <w:sz w:val="22"/>
          <w:szCs w:val="22"/>
        </w:rPr>
        <w:t xml:space="preserve"> </w:t>
      </w:r>
      <w:r w:rsidR="00C91D9C">
        <w:rPr>
          <w:rFonts w:ascii="Arial" w:hAnsi="Arial" w:cs="Arial"/>
          <w:sz w:val="22"/>
          <w:szCs w:val="22"/>
        </w:rPr>
        <w:t>stated</w:t>
      </w:r>
      <w:r w:rsidRPr="008A7411">
        <w:rPr>
          <w:rFonts w:ascii="Arial" w:hAnsi="Arial" w:cs="Arial"/>
          <w:sz w:val="22"/>
          <w:szCs w:val="22"/>
        </w:rPr>
        <w:t xml:space="preserve"> that the amount of protection required should be commensurate with the factory fabrication activities and limitations preventing criticality (</w:t>
      </w:r>
      <w:r w:rsidR="009D6BB9">
        <w:rPr>
          <w:rFonts w:ascii="Arial" w:hAnsi="Arial" w:cs="Arial"/>
          <w:sz w:val="22"/>
          <w:szCs w:val="22"/>
        </w:rPr>
        <w:t>NEI2</w:t>
      </w:r>
      <w:r w:rsidRPr="008A7411">
        <w:rPr>
          <w:rFonts w:ascii="Arial" w:hAnsi="Arial" w:cs="Arial"/>
          <w:sz w:val="22"/>
          <w:szCs w:val="22"/>
        </w:rPr>
        <w:t xml:space="preserve">-0189, </w:t>
      </w:r>
      <w:r w:rsidR="00AE0B17">
        <w:rPr>
          <w:rFonts w:ascii="Arial" w:hAnsi="Arial" w:cs="Arial"/>
          <w:sz w:val="22"/>
          <w:szCs w:val="22"/>
        </w:rPr>
        <w:t>USNIC2</w:t>
      </w:r>
      <w:r w:rsidRPr="008A7411">
        <w:rPr>
          <w:rFonts w:ascii="Arial" w:hAnsi="Arial" w:cs="Arial"/>
          <w:sz w:val="22"/>
          <w:szCs w:val="22"/>
        </w:rPr>
        <w:t>-0031).</w:t>
      </w:r>
    </w:p>
    <w:p w:rsidR="007F112A" w:rsidRPr="008A7411" w:rsidP="008A7411" w14:paraId="0A7FA15F" w14:textId="77777777">
      <w:pPr>
        <w:spacing w:after="220"/>
        <w:rPr>
          <w:rFonts w:ascii="Arial" w:hAnsi="Arial" w:cs="Arial"/>
          <w:sz w:val="22"/>
          <w:szCs w:val="22"/>
        </w:rPr>
      </w:pPr>
      <w:r w:rsidRPr="008A7411">
        <w:rPr>
          <w:rFonts w:ascii="Arial" w:hAnsi="Arial" w:cs="Arial"/>
          <w:sz w:val="22"/>
          <w:szCs w:val="22"/>
        </w:rPr>
        <w:t xml:space="preserve">One of the commenters said that existing “CX license holders” provide precedent that may provide benefits in establishing reasonable limits and amounts of financial protection </w:t>
      </w:r>
      <w:r w:rsidR="00EF33C8">
        <w:rPr>
          <w:rFonts w:ascii="Arial" w:hAnsi="Arial" w:cs="Arial"/>
          <w:sz w:val="22"/>
          <w:szCs w:val="22"/>
        </w:rPr>
        <w:br/>
      </w:r>
      <w:r w:rsidRPr="008A7411">
        <w:rPr>
          <w:rFonts w:ascii="Arial" w:hAnsi="Arial" w:cs="Arial"/>
          <w:sz w:val="22"/>
          <w:szCs w:val="22"/>
        </w:rPr>
        <w:t>(</w:t>
      </w:r>
      <w:r w:rsidR="009D6BB9">
        <w:rPr>
          <w:rFonts w:ascii="Arial" w:hAnsi="Arial" w:cs="Arial"/>
          <w:sz w:val="22"/>
          <w:szCs w:val="22"/>
        </w:rPr>
        <w:t>NEI2</w:t>
      </w:r>
      <w:r w:rsidRPr="008A7411">
        <w:rPr>
          <w:rFonts w:ascii="Arial" w:hAnsi="Arial" w:cs="Arial"/>
          <w:sz w:val="22"/>
          <w:szCs w:val="22"/>
        </w:rPr>
        <w:t>-0189).</w:t>
      </w:r>
    </w:p>
    <w:p w:rsidR="007F112A" w:rsidRPr="008A7411" w:rsidP="008A7411" w14:paraId="5D5E5FE0" w14:textId="77777777">
      <w:pPr>
        <w:spacing w:after="220"/>
        <w:rPr>
          <w:rFonts w:ascii="Arial" w:hAnsi="Arial" w:cs="Arial"/>
          <w:sz w:val="22"/>
          <w:szCs w:val="22"/>
        </w:rPr>
      </w:pPr>
      <w:r w:rsidRPr="008A7411">
        <w:rPr>
          <w:rFonts w:ascii="Arial" w:hAnsi="Arial" w:cs="Arial"/>
          <w:sz w:val="22"/>
          <w:szCs w:val="22"/>
        </w:rPr>
        <w:t xml:space="preserve">Another commenter </w:t>
      </w:r>
      <w:r w:rsidR="00C91D9C">
        <w:rPr>
          <w:rFonts w:ascii="Arial" w:hAnsi="Arial" w:cs="Arial"/>
          <w:sz w:val="22"/>
          <w:szCs w:val="22"/>
        </w:rPr>
        <w:t>stated that</w:t>
      </w:r>
      <w:r w:rsidRPr="008A7411">
        <w:rPr>
          <w:rFonts w:ascii="Arial" w:hAnsi="Arial" w:cs="Arial"/>
          <w:sz w:val="22"/>
          <w:szCs w:val="22"/>
        </w:rPr>
        <w:t xml:space="preserve"> 10 CFR Part 53 should not include amounts of required financial protections for MLs for fueled manufactured reactors because this will be varied for different designs (</w:t>
      </w:r>
      <w:r w:rsidR="00D87876">
        <w:rPr>
          <w:rFonts w:ascii="Arial" w:hAnsi="Arial" w:cs="Arial"/>
          <w:sz w:val="22"/>
          <w:szCs w:val="22"/>
        </w:rPr>
        <w:t>SCWG</w:t>
      </w:r>
      <w:r w:rsidRPr="008A7411">
        <w:rPr>
          <w:rFonts w:ascii="Arial" w:hAnsi="Arial" w:cs="Arial"/>
          <w:sz w:val="22"/>
          <w:szCs w:val="22"/>
        </w:rPr>
        <w:t>-0022). </w:t>
      </w:r>
    </w:p>
    <w:p w:rsidR="00C37E4B" w:rsidP="008A7411" w14:paraId="0890EE38" w14:textId="77777777">
      <w:pPr>
        <w:spacing w:after="220"/>
        <w:rPr>
          <w:rFonts w:ascii="Arial" w:hAnsi="Arial" w:cs="Arial"/>
          <w:sz w:val="22"/>
          <w:szCs w:val="22"/>
        </w:rPr>
      </w:pPr>
      <w:r w:rsidRPr="008A7411">
        <w:rPr>
          <w:rFonts w:ascii="Arial" w:hAnsi="Arial" w:cs="Arial"/>
          <w:b/>
          <w:sz w:val="22"/>
          <w:szCs w:val="22"/>
        </w:rPr>
        <w:t>NRC Response:</w:t>
      </w:r>
      <w:r w:rsidRPr="008A7411">
        <w:rPr>
          <w:rFonts w:ascii="Arial" w:hAnsi="Arial" w:cs="Arial"/>
          <w:sz w:val="22"/>
          <w:szCs w:val="22"/>
        </w:rPr>
        <w:t> The NRC agrees</w:t>
      </w:r>
      <w:r w:rsidRPr="008A7411" w:rsidR="00F4525D">
        <w:rPr>
          <w:rFonts w:ascii="Arial" w:hAnsi="Arial" w:cs="Arial"/>
          <w:sz w:val="22"/>
          <w:szCs w:val="22"/>
        </w:rPr>
        <w:t>,</w:t>
      </w:r>
      <w:r w:rsidRPr="008A7411">
        <w:rPr>
          <w:rFonts w:ascii="Arial" w:hAnsi="Arial" w:cs="Arial"/>
          <w:sz w:val="22"/>
          <w:szCs w:val="22"/>
        </w:rPr>
        <w:t xml:space="preserve"> </w:t>
      </w:r>
      <w:r w:rsidRPr="008A7411" w:rsidR="00774951">
        <w:rPr>
          <w:rFonts w:ascii="Arial" w:hAnsi="Arial" w:cs="Arial"/>
          <w:sz w:val="22"/>
          <w:szCs w:val="22"/>
        </w:rPr>
        <w:t>in part</w:t>
      </w:r>
      <w:r w:rsidRPr="008A7411" w:rsidR="00F4525D">
        <w:rPr>
          <w:rFonts w:ascii="Arial" w:hAnsi="Arial" w:cs="Arial"/>
          <w:sz w:val="22"/>
          <w:szCs w:val="22"/>
        </w:rPr>
        <w:t>,</w:t>
      </w:r>
      <w:r w:rsidRPr="008A7411" w:rsidR="00774951">
        <w:rPr>
          <w:rFonts w:ascii="Arial" w:hAnsi="Arial" w:cs="Arial"/>
          <w:sz w:val="22"/>
          <w:szCs w:val="22"/>
        </w:rPr>
        <w:t xml:space="preserve"> </w:t>
      </w:r>
      <w:r w:rsidRPr="008A7411">
        <w:rPr>
          <w:rFonts w:ascii="Arial" w:hAnsi="Arial" w:cs="Arial"/>
          <w:sz w:val="22"/>
          <w:szCs w:val="22"/>
        </w:rPr>
        <w:t>with the comments</w:t>
      </w:r>
      <w:r w:rsidRPr="008A7411" w:rsidR="00774951">
        <w:rPr>
          <w:rFonts w:ascii="Arial" w:hAnsi="Arial" w:cs="Arial"/>
          <w:sz w:val="22"/>
          <w:szCs w:val="22"/>
        </w:rPr>
        <w:t>.</w:t>
      </w:r>
    </w:p>
    <w:p w:rsidR="003610FD" w:rsidRPr="008A7411" w:rsidP="008A7411" w14:paraId="3B0F85A7" w14:textId="77777777">
      <w:pPr>
        <w:spacing w:after="220"/>
        <w:rPr>
          <w:rFonts w:ascii="Arial" w:hAnsi="Arial" w:cs="Arial"/>
          <w:sz w:val="22"/>
          <w:szCs w:val="22"/>
        </w:rPr>
      </w:pPr>
      <w:r w:rsidRPr="008A7411">
        <w:rPr>
          <w:rFonts w:ascii="Arial" w:hAnsi="Arial" w:cs="Arial"/>
          <w:sz w:val="22"/>
          <w:szCs w:val="22"/>
        </w:rPr>
        <w:t>The NRC</w:t>
      </w:r>
      <w:r w:rsidRPr="008A7411" w:rsidR="007F112A">
        <w:rPr>
          <w:rFonts w:ascii="Arial" w:hAnsi="Arial" w:cs="Arial"/>
          <w:sz w:val="22"/>
          <w:szCs w:val="22"/>
        </w:rPr>
        <w:t xml:space="preserve"> has not included in 10</w:t>
      </w:r>
      <w:r w:rsidRPr="008A7411" w:rsidR="0027798E">
        <w:rPr>
          <w:rFonts w:ascii="Arial" w:hAnsi="Arial" w:cs="Arial"/>
          <w:sz w:val="22"/>
          <w:szCs w:val="22"/>
        </w:rPr>
        <w:t> </w:t>
      </w:r>
      <w:r w:rsidRPr="008A7411" w:rsidR="007F112A">
        <w:rPr>
          <w:rFonts w:ascii="Arial" w:hAnsi="Arial" w:cs="Arial"/>
          <w:sz w:val="22"/>
          <w:szCs w:val="22"/>
        </w:rPr>
        <w:t xml:space="preserve">CFR Part 53 or 10 CFR Part 140 a specific amount of financial protection for licensees possessing a manufactured reactor loaded with fuel. Instead, </w:t>
      </w:r>
      <w:r w:rsidR="0027798E">
        <w:rPr>
          <w:rFonts w:ascii="Arial" w:hAnsi="Arial" w:cs="Arial"/>
          <w:sz w:val="22"/>
          <w:szCs w:val="22"/>
        </w:rPr>
        <w:t>s</w:t>
      </w:r>
      <w:r w:rsidRPr="008A7411" w:rsidR="007F112A">
        <w:rPr>
          <w:rFonts w:ascii="Arial" w:hAnsi="Arial" w:cs="Arial"/>
          <w:sz w:val="22"/>
          <w:szCs w:val="22"/>
        </w:rPr>
        <w:t xml:space="preserve">ection 170, ‘‘Indemnification and Limitation of Liability,” of the </w:t>
      </w:r>
      <w:r w:rsidRPr="008A7411">
        <w:rPr>
          <w:rFonts w:ascii="Arial" w:hAnsi="Arial" w:cs="Arial"/>
          <w:sz w:val="22"/>
          <w:szCs w:val="22"/>
        </w:rPr>
        <w:t>Price</w:t>
      </w:r>
      <w:r w:rsidR="0027798E">
        <w:rPr>
          <w:rFonts w:ascii="Arial" w:hAnsi="Arial" w:cs="Arial"/>
          <w:sz w:val="22"/>
          <w:szCs w:val="22"/>
        </w:rPr>
        <w:t>-</w:t>
      </w:r>
      <w:r w:rsidRPr="008A7411">
        <w:rPr>
          <w:rFonts w:ascii="Arial" w:hAnsi="Arial" w:cs="Arial"/>
          <w:sz w:val="22"/>
          <w:szCs w:val="22"/>
        </w:rPr>
        <w:t xml:space="preserve">Anderson </w:t>
      </w:r>
      <w:r w:rsidRPr="008A7411" w:rsidR="007F112A">
        <w:rPr>
          <w:rFonts w:ascii="Arial" w:hAnsi="Arial" w:cs="Arial"/>
          <w:sz w:val="22"/>
          <w:szCs w:val="22"/>
        </w:rPr>
        <w:t>Act will be satisfied by including a condition within such licenses that will require the licensee to have and maintain financial protection of such type and in such amounts as the NRC determines appropriate for the specific reactor and fuel designs.</w:t>
      </w:r>
    </w:p>
    <w:p w:rsidR="007F112A" w:rsidRPr="008A7411" w:rsidP="008A7411" w14:paraId="5D87310E" w14:textId="77777777">
      <w:pPr>
        <w:spacing w:after="220"/>
        <w:rPr>
          <w:rFonts w:ascii="Arial" w:hAnsi="Arial" w:cs="Arial"/>
          <w:sz w:val="22"/>
          <w:szCs w:val="22"/>
        </w:rPr>
      </w:pPr>
      <w:r w:rsidRPr="008A7411">
        <w:rPr>
          <w:rFonts w:ascii="Arial" w:hAnsi="Arial" w:cs="Arial"/>
          <w:sz w:val="22"/>
          <w:szCs w:val="22"/>
        </w:rPr>
        <w:t xml:space="preserve">Accordingly, the NRC did not change the rule language in response to </w:t>
      </w:r>
      <w:r w:rsidR="0027798E">
        <w:rPr>
          <w:rFonts w:ascii="Arial" w:hAnsi="Arial" w:cs="Arial"/>
          <w:sz w:val="22"/>
          <w:szCs w:val="22"/>
        </w:rPr>
        <w:t>these</w:t>
      </w:r>
      <w:r w:rsidRPr="008A7411">
        <w:rPr>
          <w:rFonts w:ascii="Arial" w:hAnsi="Arial" w:cs="Arial"/>
          <w:sz w:val="22"/>
          <w:szCs w:val="22"/>
        </w:rPr>
        <w:t xml:space="preserve"> comment</w:t>
      </w:r>
      <w:r w:rsidR="0027798E">
        <w:rPr>
          <w:rFonts w:ascii="Arial" w:hAnsi="Arial" w:cs="Arial"/>
          <w:sz w:val="22"/>
          <w:szCs w:val="22"/>
        </w:rPr>
        <w:t>s</w:t>
      </w:r>
      <w:r w:rsidRPr="008A7411">
        <w:rPr>
          <w:rFonts w:ascii="Arial" w:hAnsi="Arial" w:cs="Arial"/>
          <w:sz w:val="22"/>
          <w:szCs w:val="22"/>
        </w:rPr>
        <w:t>.</w:t>
      </w:r>
    </w:p>
    <w:p w:rsidR="007F112A" w:rsidRPr="00DA0A3C" w:rsidP="008A7411" w14:paraId="2671DAAD" w14:textId="77777777">
      <w:pPr>
        <w:spacing w:after="220"/>
        <w:rPr>
          <w:rFonts w:ascii="Arial" w:hAnsi="Arial" w:cs="Arial"/>
        </w:rPr>
      </w:pPr>
      <w:r>
        <w:rPr>
          <w:rFonts w:ascii="Arial" w:hAnsi="Arial" w:cs="Arial"/>
          <w:sz w:val="22"/>
          <w:szCs w:val="22"/>
        </w:rPr>
        <w:pict>
          <v:rect id="_x0000_i1275" style="width:0;height:1.5pt" o:hralign="center" o:hrstd="t" o:hrnoshade="t" o:hr="t" fillcolor="black" stroked="f"/>
        </w:pict>
      </w:r>
    </w:p>
    <w:p w:rsidR="007F112A" w:rsidRPr="005E489E" w:rsidP="00846198" w14:paraId="78DEEA99" w14:textId="77777777">
      <w:pPr>
        <w:pStyle w:val="Heading3"/>
        <w:numPr>
          <w:ilvl w:val="0"/>
          <w:numId w:val="0"/>
        </w:numPr>
        <w:ind w:left="720" w:hanging="720"/>
        <w:rPr>
          <w:rFonts w:eastAsia="Times New Roman"/>
          <w:b/>
        </w:rPr>
      </w:pPr>
      <w:bookmarkStart w:id="98" w:name="_Toc194678430"/>
      <w:bookmarkStart w:id="99" w:name="_Toc207222837"/>
      <w:r w:rsidRPr="00846198">
        <w:rPr>
          <w:u w:val="none"/>
        </w:rPr>
        <w:t>3.8.9.</w:t>
      </w:r>
      <w:r w:rsidRPr="00846198">
        <w:rPr>
          <w:u w:val="none"/>
        </w:rPr>
        <w:tab/>
      </w:r>
      <w:r w:rsidRPr="00DA0A3C">
        <w:t>RFC: Categorization of fueled manufactured reactors as a utilization facility</w:t>
      </w:r>
      <w:bookmarkEnd w:id="98"/>
      <w:bookmarkEnd w:id="99"/>
    </w:p>
    <w:p w:rsidR="007F112A" w:rsidRPr="008A7411" w:rsidP="008A7411" w14:paraId="1ADAE1ED" w14:textId="77777777">
      <w:pPr>
        <w:spacing w:after="220"/>
        <w:rPr>
          <w:rFonts w:ascii="Arial" w:hAnsi="Arial" w:cs="Arial"/>
          <w:sz w:val="22"/>
          <w:szCs w:val="22"/>
        </w:rPr>
      </w:pPr>
      <w:r w:rsidRPr="008A7411">
        <w:rPr>
          <w:rFonts w:ascii="Arial" w:hAnsi="Arial" w:cs="Arial"/>
          <w:b/>
          <w:sz w:val="22"/>
          <w:szCs w:val="22"/>
        </w:rPr>
        <w:t>Comment Bin 3.8.9.A:</w:t>
      </w:r>
      <w:r w:rsidRPr="008A7411">
        <w:rPr>
          <w:rFonts w:ascii="Arial" w:hAnsi="Arial" w:cs="Arial"/>
          <w:sz w:val="22"/>
          <w:szCs w:val="22"/>
        </w:rPr>
        <w:t xml:space="preserve"> Several commenters wrote in response to the NRC’s request for comment on proposed approaches for finding that a fueled manufactured reactor is not a utilization facility.</w:t>
      </w:r>
    </w:p>
    <w:p w:rsidR="007F112A" w:rsidRPr="008A7411" w:rsidP="008A7411" w14:paraId="5A19FBC4" w14:textId="77777777">
      <w:pPr>
        <w:spacing w:after="220"/>
        <w:rPr>
          <w:rFonts w:ascii="Arial" w:hAnsi="Arial" w:cs="Arial"/>
          <w:sz w:val="22"/>
          <w:szCs w:val="22"/>
        </w:rPr>
      </w:pPr>
      <w:r>
        <w:rPr>
          <w:rFonts w:ascii="Arial" w:hAnsi="Arial" w:cs="Arial"/>
          <w:sz w:val="22"/>
          <w:szCs w:val="22"/>
        </w:rPr>
        <w:t>A few</w:t>
      </w:r>
      <w:r w:rsidRPr="008A7411">
        <w:rPr>
          <w:rFonts w:ascii="Arial" w:hAnsi="Arial" w:cs="Arial"/>
          <w:sz w:val="22"/>
          <w:szCs w:val="22"/>
        </w:rPr>
        <w:t xml:space="preserve"> commenters wrote that the AEA does not define </w:t>
      </w:r>
      <w:r>
        <w:rPr>
          <w:rFonts w:ascii="Arial" w:hAnsi="Arial" w:cs="Arial"/>
          <w:sz w:val="22"/>
          <w:szCs w:val="22"/>
        </w:rPr>
        <w:t>“</w:t>
      </w:r>
      <w:r w:rsidRPr="008A7411">
        <w:rPr>
          <w:rFonts w:ascii="Arial" w:hAnsi="Arial" w:cs="Arial"/>
          <w:sz w:val="22"/>
          <w:szCs w:val="22"/>
        </w:rPr>
        <w:t>utilization facility,</w:t>
      </w:r>
      <w:r>
        <w:rPr>
          <w:rFonts w:ascii="Arial" w:hAnsi="Arial" w:cs="Arial"/>
          <w:sz w:val="22"/>
          <w:szCs w:val="22"/>
        </w:rPr>
        <w:t>”</w:t>
      </w:r>
      <w:r w:rsidRPr="008A7411">
        <w:rPr>
          <w:rFonts w:ascii="Arial" w:hAnsi="Arial" w:cs="Arial"/>
          <w:sz w:val="22"/>
          <w:szCs w:val="22"/>
        </w:rPr>
        <w:t xml:space="preserve"> but rather the AEA defers to the Commission to define it. The commenters highlighted that </w:t>
      </w:r>
      <w:r w:rsidR="00D32AFF">
        <w:rPr>
          <w:rFonts w:ascii="Arial" w:hAnsi="Arial" w:cs="Arial"/>
          <w:sz w:val="22"/>
          <w:szCs w:val="22"/>
        </w:rPr>
        <w:t>s</w:t>
      </w:r>
      <w:r w:rsidRPr="008A7411">
        <w:rPr>
          <w:rFonts w:ascii="Arial" w:hAnsi="Arial" w:cs="Arial"/>
          <w:sz w:val="22"/>
          <w:szCs w:val="22"/>
        </w:rPr>
        <w:t xml:space="preserve">ection 11 of the AEA in </w:t>
      </w:r>
      <w:r w:rsidRPr="008A7411">
        <w:rPr>
          <w:rFonts w:ascii="Arial" w:hAnsi="Arial" w:cs="Arial"/>
          <w:sz w:val="22"/>
          <w:szCs w:val="22"/>
        </w:rPr>
        <w:t>defining “utilization facility” uses the term “determined by the Commission” (</w:t>
      </w:r>
      <w:r w:rsidR="009D6BB9">
        <w:rPr>
          <w:rFonts w:ascii="Arial" w:hAnsi="Arial" w:cs="Arial"/>
          <w:sz w:val="22"/>
          <w:szCs w:val="22"/>
        </w:rPr>
        <w:t>NEI2</w:t>
      </w:r>
      <w:r w:rsidRPr="008A7411">
        <w:rPr>
          <w:rFonts w:ascii="Arial" w:hAnsi="Arial" w:cs="Arial"/>
          <w:sz w:val="22"/>
          <w:szCs w:val="22"/>
        </w:rPr>
        <w:t xml:space="preserve">-0190, </w:t>
      </w:r>
      <w:r w:rsidR="00EF33C8">
        <w:rPr>
          <w:rFonts w:ascii="Arial" w:hAnsi="Arial" w:cs="Arial"/>
          <w:sz w:val="22"/>
          <w:szCs w:val="22"/>
        </w:rPr>
        <w:br/>
      </w:r>
      <w:r w:rsidR="00611CA0">
        <w:rPr>
          <w:rFonts w:ascii="Arial" w:hAnsi="Arial" w:cs="Arial"/>
          <w:sz w:val="22"/>
          <w:szCs w:val="22"/>
        </w:rPr>
        <w:t>RAD</w:t>
      </w:r>
      <w:r w:rsidRPr="008A7411">
        <w:rPr>
          <w:rFonts w:ascii="Arial" w:hAnsi="Arial" w:cs="Arial"/>
          <w:sz w:val="22"/>
          <w:szCs w:val="22"/>
        </w:rPr>
        <w:t xml:space="preserve">-0007, </w:t>
      </w:r>
      <w:r w:rsidR="00C3447B">
        <w:rPr>
          <w:rFonts w:ascii="Arial" w:hAnsi="Arial" w:cs="Arial"/>
          <w:sz w:val="22"/>
          <w:szCs w:val="22"/>
        </w:rPr>
        <w:t>ROSE</w:t>
      </w:r>
      <w:r w:rsidRPr="008A7411">
        <w:rPr>
          <w:rFonts w:ascii="Arial" w:hAnsi="Arial" w:cs="Arial"/>
          <w:sz w:val="22"/>
          <w:szCs w:val="22"/>
        </w:rPr>
        <w:t>-0008).</w:t>
      </w:r>
    </w:p>
    <w:p w:rsidR="007F112A" w:rsidRPr="008A7411" w:rsidP="008A7411" w14:paraId="31DC70A9" w14:textId="77777777">
      <w:pPr>
        <w:spacing w:after="220"/>
        <w:rPr>
          <w:rFonts w:ascii="Arial" w:hAnsi="Arial" w:cs="Arial"/>
          <w:sz w:val="22"/>
          <w:szCs w:val="22"/>
        </w:rPr>
      </w:pPr>
      <w:r w:rsidRPr="008A7411">
        <w:rPr>
          <w:rFonts w:ascii="Arial" w:hAnsi="Arial" w:cs="Arial"/>
          <w:sz w:val="22"/>
          <w:szCs w:val="22"/>
        </w:rPr>
        <w:t xml:space="preserve">One of the commenters wrote that in SECY-24-0008 and in the proposed rule, the Commission has proposed that fueling of a reactor in a factory setting requires a utilization facility license. The commenter </w:t>
      </w:r>
      <w:r w:rsidR="00D32AFF">
        <w:rPr>
          <w:rFonts w:ascii="Arial" w:hAnsi="Arial" w:cs="Arial"/>
          <w:sz w:val="22"/>
          <w:szCs w:val="22"/>
        </w:rPr>
        <w:t>stated</w:t>
      </w:r>
      <w:r w:rsidRPr="008A7411">
        <w:rPr>
          <w:rFonts w:ascii="Arial" w:hAnsi="Arial" w:cs="Arial"/>
          <w:sz w:val="22"/>
          <w:szCs w:val="22"/>
        </w:rPr>
        <w:t xml:space="preserve"> that this conclusion overly complicates the licensing processes that are currently employed</w:t>
      </w:r>
      <w:r w:rsidRPr="008A7411" w:rsidR="0060405D">
        <w:rPr>
          <w:rFonts w:ascii="Arial" w:hAnsi="Arial" w:cs="Arial"/>
          <w:sz w:val="22"/>
          <w:szCs w:val="22"/>
        </w:rPr>
        <w:t>.</w:t>
      </w:r>
      <w:r w:rsidRPr="008A7411">
        <w:rPr>
          <w:rFonts w:ascii="Arial" w:hAnsi="Arial" w:cs="Arial"/>
          <w:sz w:val="22"/>
          <w:szCs w:val="22"/>
        </w:rPr>
        <w:t xml:space="preserve"> </w:t>
      </w:r>
      <w:r w:rsidRPr="008A7411" w:rsidR="0060405D">
        <w:rPr>
          <w:rFonts w:ascii="Arial" w:hAnsi="Arial" w:cs="Arial"/>
          <w:sz w:val="22"/>
          <w:szCs w:val="22"/>
        </w:rPr>
        <w:t>S</w:t>
      </w:r>
      <w:r w:rsidRPr="008A7411">
        <w:rPr>
          <w:rFonts w:ascii="Arial" w:hAnsi="Arial" w:cs="Arial"/>
          <w:sz w:val="22"/>
          <w:szCs w:val="22"/>
        </w:rPr>
        <w:t xml:space="preserve">pecifically, </w:t>
      </w:r>
      <w:r w:rsidRPr="008A7411" w:rsidR="0060405D">
        <w:rPr>
          <w:rFonts w:ascii="Arial" w:hAnsi="Arial" w:cs="Arial"/>
          <w:sz w:val="22"/>
          <w:szCs w:val="22"/>
        </w:rPr>
        <w:t xml:space="preserve">the commenter </w:t>
      </w:r>
      <w:r w:rsidR="00D32AFF">
        <w:rPr>
          <w:rFonts w:ascii="Arial" w:hAnsi="Arial" w:cs="Arial"/>
          <w:sz w:val="22"/>
          <w:szCs w:val="22"/>
        </w:rPr>
        <w:t>said</w:t>
      </w:r>
      <w:r w:rsidRPr="008A7411" w:rsidR="0060405D">
        <w:rPr>
          <w:rFonts w:ascii="Arial" w:hAnsi="Arial" w:cs="Arial"/>
          <w:sz w:val="22"/>
          <w:szCs w:val="22"/>
        </w:rPr>
        <w:t xml:space="preserve"> that</w:t>
      </w:r>
      <w:r w:rsidRPr="008A7411">
        <w:rPr>
          <w:rFonts w:ascii="Arial" w:hAnsi="Arial" w:cs="Arial"/>
          <w:sz w:val="22"/>
          <w:szCs w:val="22"/>
        </w:rPr>
        <w:t xml:space="preserve"> loading fuel under a possession and use license under 10 CFR Part 70, transporting fuel under 10 CFR Part 71, and storing used fuel under an </w:t>
      </w:r>
      <w:r w:rsidRPr="00783BCA" w:rsidR="00783BCA">
        <w:rPr>
          <w:rFonts w:ascii="Arial" w:hAnsi="Arial" w:cs="Arial"/>
          <w:sz w:val="22"/>
          <w:szCs w:val="22"/>
        </w:rPr>
        <w:t>independent spent fuel storage installation</w:t>
      </w:r>
      <w:r w:rsidRPr="008A7411">
        <w:rPr>
          <w:rFonts w:ascii="Arial" w:hAnsi="Arial" w:cs="Arial"/>
          <w:sz w:val="22"/>
          <w:szCs w:val="22"/>
        </w:rPr>
        <w:t xml:space="preserve"> license under 10 CFR Part 72 can be done without requiring a utilization facility license.</w:t>
      </w:r>
    </w:p>
    <w:p w:rsidR="007F112A" w:rsidRPr="008A7411" w:rsidP="008A7411" w14:paraId="70DAD0CB" w14:textId="77777777">
      <w:pPr>
        <w:spacing w:after="220"/>
        <w:rPr>
          <w:rFonts w:ascii="Arial" w:hAnsi="Arial" w:cs="Arial"/>
          <w:sz w:val="22"/>
          <w:szCs w:val="22"/>
        </w:rPr>
      </w:pPr>
      <w:r w:rsidRPr="008A7411">
        <w:rPr>
          <w:rFonts w:ascii="Arial" w:hAnsi="Arial" w:cs="Arial"/>
          <w:sz w:val="22"/>
          <w:szCs w:val="22"/>
        </w:rPr>
        <w:t>The commenter wrote that the Commission has the authority, through its forthcoming direction to the NRC staff on SECY</w:t>
      </w:r>
      <w:r w:rsidRPr="008A7411">
        <w:rPr>
          <w:rFonts w:ascii="Arial" w:hAnsi="Arial" w:cs="Arial"/>
          <w:sz w:val="22"/>
          <w:szCs w:val="22"/>
        </w:rPr>
        <w:noBreakHyphen/>
        <w:t xml:space="preserve">24-0008, to clarify as a policy matter that a device specifically designed and controlled to preclude criticality is neither a nuclear reactor nor a utilization facility until such time as it is intentionally manipulated to </w:t>
      </w:r>
      <w:r w:rsidR="00926FCB">
        <w:rPr>
          <w:rFonts w:ascii="Arial" w:hAnsi="Arial" w:cs="Arial"/>
          <w:sz w:val="22"/>
          <w:szCs w:val="22"/>
        </w:rPr>
        <w:t>“</w:t>
      </w:r>
      <w:r w:rsidRPr="008A7411">
        <w:rPr>
          <w:rFonts w:ascii="Arial" w:hAnsi="Arial" w:cs="Arial"/>
          <w:sz w:val="22"/>
          <w:szCs w:val="22"/>
        </w:rPr>
        <w:t>sustain nuclear fission in a self-supporting chain reaction</w:t>
      </w:r>
      <w:r w:rsidR="00926FCB">
        <w:rPr>
          <w:rFonts w:ascii="Arial" w:hAnsi="Arial" w:cs="Arial"/>
          <w:sz w:val="22"/>
          <w:szCs w:val="22"/>
        </w:rPr>
        <w:t>”</w:t>
      </w:r>
      <w:r w:rsidRPr="008A7411">
        <w:rPr>
          <w:rFonts w:ascii="Arial" w:hAnsi="Arial" w:cs="Arial"/>
          <w:sz w:val="22"/>
          <w:szCs w:val="22"/>
        </w:rPr>
        <w:t xml:space="preserve">. The commenter </w:t>
      </w:r>
      <w:r w:rsidR="00926FCB">
        <w:rPr>
          <w:rFonts w:ascii="Arial" w:hAnsi="Arial" w:cs="Arial"/>
          <w:sz w:val="22"/>
          <w:szCs w:val="22"/>
        </w:rPr>
        <w:t>stated</w:t>
      </w:r>
      <w:r w:rsidRPr="008A7411">
        <w:rPr>
          <w:rFonts w:ascii="Arial" w:hAnsi="Arial" w:cs="Arial"/>
          <w:sz w:val="22"/>
          <w:szCs w:val="22"/>
        </w:rPr>
        <w:t xml:space="preserve"> that they believe 10</w:t>
      </w:r>
      <w:r w:rsidRPr="008A7411" w:rsidR="005A198D">
        <w:rPr>
          <w:rFonts w:ascii="Arial" w:hAnsi="Arial" w:cs="Arial"/>
          <w:sz w:val="22"/>
          <w:szCs w:val="22"/>
        </w:rPr>
        <w:t> </w:t>
      </w:r>
      <w:r w:rsidRPr="008A7411">
        <w:rPr>
          <w:rFonts w:ascii="Arial" w:hAnsi="Arial" w:cs="Arial"/>
          <w:sz w:val="22"/>
          <w:szCs w:val="22"/>
        </w:rPr>
        <w:t>CFR Part 70 offers the best and safest framework for preventing inadvertent criticality.</w:t>
      </w:r>
    </w:p>
    <w:p w:rsidR="007F112A" w:rsidRPr="008A7411" w:rsidP="008A7411" w14:paraId="1588EDF1" w14:textId="77777777">
      <w:pPr>
        <w:spacing w:after="220"/>
        <w:rPr>
          <w:rFonts w:ascii="Arial" w:hAnsi="Arial" w:cs="Arial"/>
          <w:sz w:val="22"/>
          <w:szCs w:val="22"/>
        </w:rPr>
      </w:pPr>
      <w:r w:rsidRPr="008A7411">
        <w:rPr>
          <w:rFonts w:ascii="Arial" w:hAnsi="Arial" w:cs="Arial"/>
          <w:sz w:val="22"/>
          <w:szCs w:val="22"/>
        </w:rPr>
        <w:t xml:space="preserve">The commenter suggested removing </w:t>
      </w:r>
      <w:r w:rsidR="00926FCB">
        <w:rPr>
          <w:rFonts w:ascii="Arial" w:hAnsi="Arial" w:cs="Arial"/>
          <w:sz w:val="22"/>
          <w:szCs w:val="22"/>
        </w:rPr>
        <w:t>“</w:t>
      </w:r>
      <w:r w:rsidRPr="008A7411">
        <w:rPr>
          <w:rFonts w:ascii="Arial" w:hAnsi="Arial" w:cs="Arial"/>
          <w:sz w:val="22"/>
          <w:szCs w:val="22"/>
        </w:rPr>
        <w:t>designed or</w:t>
      </w:r>
      <w:r w:rsidR="00926FCB">
        <w:rPr>
          <w:rFonts w:ascii="Arial" w:hAnsi="Arial" w:cs="Arial"/>
          <w:sz w:val="22"/>
          <w:szCs w:val="22"/>
        </w:rPr>
        <w:t>”</w:t>
      </w:r>
      <w:r w:rsidRPr="008A7411">
        <w:rPr>
          <w:rFonts w:ascii="Arial" w:hAnsi="Arial" w:cs="Arial"/>
          <w:sz w:val="22"/>
          <w:szCs w:val="22"/>
        </w:rPr>
        <w:t xml:space="preserve"> from the definition of </w:t>
      </w:r>
      <w:r w:rsidR="00014480">
        <w:rPr>
          <w:rFonts w:ascii="Arial" w:hAnsi="Arial" w:cs="Arial"/>
          <w:sz w:val="22"/>
          <w:szCs w:val="22"/>
        </w:rPr>
        <w:t>“</w:t>
      </w:r>
      <w:r w:rsidRPr="008A7411">
        <w:rPr>
          <w:rFonts w:ascii="Arial" w:hAnsi="Arial" w:cs="Arial"/>
          <w:sz w:val="22"/>
          <w:szCs w:val="22"/>
        </w:rPr>
        <w:t>commercial nuclear reactor,</w:t>
      </w:r>
      <w:r w:rsidR="00014480">
        <w:rPr>
          <w:rFonts w:ascii="Arial" w:hAnsi="Arial" w:cs="Arial"/>
          <w:sz w:val="22"/>
          <w:szCs w:val="22"/>
        </w:rPr>
        <w:t>”</w:t>
      </w:r>
      <w:r w:rsidRPr="008A7411">
        <w:rPr>
          <w:rFonts w:ascii="Arial" w:hAnsi="Arial" w:cs="Arial"/>
          <w:sz w:val="22"/>
          <w:szCs w:val="22"/>
        </w:rPr>
        <w:t xml:space="preserve"> writing that this should support a conclusion that the fueled manufactured reactor is not a utilization facility until measures to preclude criticality are removed. </w:t>
      </w:r>
    </w:p>
    <w:p w:rsidR="007F112A" w:rsidRPr="008A7411" w:rsidP="008A7411" w14:paraId="411CE322" w14:textId="77777777">
      <w:pPr>
        <w:spacing w:after="220"/>
        <w:rPr>
          <w:rFonts w:ascii="Arial" w:hAnsi="Arial" w:cs="Arial"/>
          <w:sz w:val="22"/>
          <w:szCs w:val="22"/>
        </w:rPr>
      </w:pPr>
      <w:r w:rsidRPr="008A7411">
        <w:rPr>
          <w:rFonts w:ascii="Arial" w:hAnsi="Arial" w:cs="Arial"/>
          <w:sz w:val="22"/>
          <w:szCs w:val="22"/>
        </w:rPr>
        <w:t xml:space="preserve">The commenter </w:t>
      </w:r>
      <w:r w:rsidR="00952F30">
        <w:rPr>
          <w:rFonts w:ascii="Arial" w:hAnsi="Arial" w:cs="Arial"/>
          <w:sz w:val="22"/>
          <w:szCs w:val="22"/>
        </w:rPr>
        <w:t>stated</w:t>
      </w:r>
      <w:r w:rsidRPr="008A7411">
        <w:rPr>
          <w:rFonts w:ascii="Arial" w:hAnsi="Arial" w:cs="Arial"/>
          <w:sz w:val="22"/>
          <w:szCs w:val="22"/>
        </w:rPr>
        <w:t xml:space="preserve"> that, absent an explicit Commission policy determination on this issue in response to SECY-24-0008, the 10 CFR Part 53 rulemaking offers a pathway to establish that a utilization facility license is not required, which would simplify the licensing process. The commenter expressed concern that, during the ACRS meeting regarding SECY</w:t>
      </w:r>
      <w:r w:rsidR="009C7608">
        <w:rPr>
          <w:rFonts w:ascii="Arial" w:hAnsi="Arial" w:cs="Arial"/>
          <w:sz w:val="22"/>
          <w:szCs w:val="22"/>
        </w:rPr>
        <w:t>-</w:t>
      </w:r>
      <w:r w:rsidRPr="008A7411">
        <w:rPr>
          <w:rFonts w:ascii="Arial" w:hAnsi="Arial" w:cs="Arial"/>
          <w:sz w:val="22"/>
          <w:szCs w:val="22"/>
        </w:rPr>
        <w:t xml:space="preserve">24-0008, the Committee appeared to question the purported need to designate a microreactor fueled at a manufacturing facility as a utilization facility. The commenter argued that this matters because the designation of a </w:t>
      </w:r>
      <w:r w:rsidR="00957FE7">
        <w:rPr>
          <w:rFonts w:ascii="Arial" w:hAnsi="Arial" w:cs="Arial"/>
          <w:sz w:val="22"/>
          <w:szCs w:val="22"/>
        </w:rPr>
        <w:t>“</w:t>
      </w:r>
      <w:r w:rsidRPr="008A7411">
        <w:rPr>
          <w:rFonts w:ascii="Arial" w:hAnsi="Arial" w:cs="Arial"/>
          <w:sz w:val="22"/>
          <w:szCs w:val="22"/>
        </w:rPr>
        <w:t>vessel containing fuel</w:t>
      </w:r>
      <w:r w:rsidR="00957FE7">
        <w:rPr>
          <w:rFonts w:ascii="Arial" w:hAnsi="Arial" w:cs="Arial"/>
          <w:sz w:val="22"/>
          <w:szCs w:val="22"/>
        </w:rPr>
        <w:t>”</w:t>
      </w:r>
      <w:r w:rsidRPr="008A7411">
        <w:rPr>
          <w:rFonts w:ascii="Arial" w:hAnsi="Arial" w:cs="Arial"/>
          <w:sz w:val="22"/>
          <w:szCs w:val="22"/>
        </w:rPr>
        <w:t xml:space="preserve"> as a “utilization facility” ripples into various parts of the life cycle of a factory manufactured</w:t>
      </w:r>
      <w:r w:rsidR="000D5997">
        <w:rPr>
          <w:rFonts w:ascii="Arial" w:hAnsi="Arial" w:cs="Arial"/>
          <w:sz w:val="22"/>
          <w:szCs w:val="22"/>
        </w:rPr>
        <w:t xml:space="preserve"> or </w:t>
      </w:r>
      <w:r w:rsidRPr="008A7411">
        <w:rPr>
          <w:rFonts w:ascii="Arial" w:hAnsi="Arial" w:cs="Arial"/>
          <w:sz w:val="22"/>
          <w:szCs w:val="22"/>
        </w:rPr>
        <w:t>fueled module. The commenter provided a table demonstrating this impact.</w:t>
      </w:r>
    </w:p>
    <w:p w:rsidR="007F112A" w:rsidRPr="008A7411" w:rsidP="008A7411" w14:paraId="0C426C1E" w14:textId="77777777">
      <w:pPr>
        <w:spacing w:after="220"/>
        <w:rPr>
          <w:rFonts w:ascii="Arial" w:hAnsi="Arial" w:cs="Arial"/>
          <w:sz w:val="22"/>
          <w:szCs w:val="22"/>
        </w:rPr>
      </w:pPr>
      <w:r w:rsidRPr="008A7411">
        <w:rPr>
          <w:rFonts w:ascii="Arial" w:hAnsi="Arial" w:cs="Arial"/>
          <w:sz w:val="22"/>
          <w:szCs w:val="22"/>
        </w:rPr>
        <w:t xml:space="preserve">The commenter </w:t>
      </w:r>
      <w:r w:rsidRPr="008A7411" w:rsidR="007631FB">
        <w:rPr>
          <w:rFonts w:ascii="Arial" w:hAnsi="Arial" w:cs="Arial"/>
          <w:sz w:val="22"/>
          <w:szCs w:val="22"/>
        </w:rPr>
        <w:t>also wrote</w:t>
      </w:r>
      <w:r w:rsidRPr="008A7411">
        <w:rPr>
          <w:rFonts w:ascii="Arial" w:hAnsi="Arial" w:cs="Arial"/>
          <w:sz w:val="22"/>
          <w:szCs w:val="22"/>
        </w:rPr>
        <w:t xml:space="preserve"> that it is possible that a facility that fuels a reactor may also be more vertically integrated because some businesses may combine fueling a reactor with a fuel fabrication facility capability that could begin at the early stages of fabrication, and then transition to fueling a factory fabricated module due to the cost of licensing and maintaining an NRC-licensed facility. These types of activities would necessitate a license under 10 CFR Part 70; therefore, requiring a utilization facility license for such facilities provides no safety or security benefit and would impose unnecessary administrative burden. The commenter added this would also be inconsistent with the ADVANCE Act </w:t>
      </w:r>
      <w:r w:rsidR="000D5997">
        <w:rPr>
          <w:rFonts w:ascii="Arial" w:hAnsi="Arial" w:cs="Arial"/>
          <w:sz w:val="22"/>
          <w:szCs w:val="22"/>
        </w:rPr>
        <w:t>s</w:t>
      </w:r>
      <w:r w:rsidRPr="008A7411">
        <w:rPr>
          <w:rFonts w:ascii="Arial" w:hAnsi="Arial" w:cs="Arial"/>
          <w:sz w:val="22"/>
          <w:szCs w:val="22"/>
        </w:rPr>
        <w:t>ection 208 (</w:t>
      </w:r>
      <w:r w:rsidR="009D6BB9">
        <w:rPr>
          <w:rFonts w:ascii="Arial" w:hAnsi="Arial" w:cs="Arial"/>
          <w:sz w:val="22"/>
          <w:szCs w:val="22"/>
        </w:rPr>
        <w:t>NEI2</w:t>
      </w:r>
      <w:r w:rsidRPr="008A7411">
        <w:rPr>
          <w:rFonts w:ascii="Arial" w:hAnsi="Arial" w:cs="Arial"/>
          <w:sz w:val="22"/>
          <w:szCs w:val="22"/>
        </w:rPr>
        <w:t>-0190).</w:t>
      </w:r>
    </w:p>
    <w:p w:rsidR="007F112A" w:rsidRPr="008A7411" w:rsidP="008A7411" w14:paraId="6B3A696D" w14:textId="77777777">
      <w:pPr>
        <w:spacing w:after="220"/>
        <w:rPr>
          <w:rFonts w:ascii="Arial" w:hAnsi="Arial" w:cs="Arial"/>
          <w:sz w:val="22"/>
          <w:szCs w:val="22"/>
        </w:rPr>
      </w:pPr>
      <w:r w:rsidRPr="008A7411">
        <w:rPr>
          <w:rFonts w:ascii="Arial" w:hAnsi="Arial" w:cs="Arial"/>
          <w:sz w:val="22"/>
          <w:szCs w:val="22"/>
        </w:rPr>
        <w:t xml:space="preserve">One of the commenters wrote that, given this, the NRC should adopt a risk-informed definition of </w:t>
      </w:r>
      <w:r w:rsidR="000D5997">
        <w:rPr>
          <w:rFonts w:ascii="Arial" w:hAnsi="Arial" w:cs="Arial"/>
          <w:sz w:val="22"/>
          <w:szCs w:val="22"/>
        </w:rPr>
        <w:t>“</w:t>
      </w:r>
      <w:r w:rsidRPr="008A7411">
        <w:rPr>
          <w:rFonts w:ascii="Arial" w:hAnsi="Arial" w:cs="Arial"/>
          <w:sz w:val="22"/>
          <w:szCs w:val="22"/>
        </w:rPr>
        <w:t>utilization facility</w:t>
      </w:r>
      <w:r w:rsidR="000D5997">
        <w:rPr>
          <w:rFonts w:ascii="Arial" w:hAnsi="Arial" w:cs="Arial"/>
          <w:sz w:val="22"/>
          <w:szCs w:val="22"/>
        </w:rPr>
        <w:t>”</w:t>
      </w:r>
      <w:r w:rsidRPr="008A7411">
        <w:rPr>
          <w:rFonts w:ascii="Arial" w:hAnsi="Arial" w:cs="Arial"/>
          <w:sz w:val="22"/>
          <w:szCs w:val="22"/>
        </w:rPr>
        <w:t xml:space="preserve"> that excludes low-hazard advanced reactors, including small and mobile reactors. The commenter wrote that the NRC should consider a fueled reactor undergoing testing at the manufacturing facility to be comparable to a test reactor, and distinct from a commercial nuclear reactor that is used to generate electricity, power and/or process heat. The commenter added that commencement of commercial reactor operation should no longer be marked arbitrarily by initial loading of fuel; nor should it be tied to initiating the physical removal of an independent physical mechanism to prevent criticality. Instead, commencement of commercial reactor operation should be defined by the nature of its commercial purpose </w:t>
      </w:r>
      <w:r w:rsidR="00502417">
        <w:rPr>
          <w:rFonts w:ascii="Arial" w:hAnsi="Arial" w:cs="Arial"/>
          <w:sz w:val="22"/>
          <w:szCs w:val="22"/>
        </w:rPr>
        <w:br/>
      </w:r>
      <w:r w:rsidRPr="008A7411">
        <w:rPr>
          <w:rFonts w:ascii="Arial" w:hAnsi="Arial" w:cs="Arial"/>
          <w:sz w:val="22"/>
          <w:szCs w:val="22"/>
        </w:rPr>
        <w:t>(</w:t>
      </w:r>
      <w:r w:rsidR="00611CA0">
        <w:rPr>
          <w:rFonts w:ascii="Arial" w:hAnsi="Arial" w:cs="Arial"/>
          <w:sz w:val="22"/>
          <w:szCs w:val="22"/>
        </w:rPr>
        <w:t>RAD</w:t>
      </w:r>
      <w:r w:rsidRPr="008A7411">
        <w:rPr>
          <w:rFonts w:ascii="Arial" w:hAnsi="Arial" w:cs="Arial"/>
          <w:sz w:val="22"/>
          <w:szCs w:val="22"/>
        </w:rPr>
        <w:t>-0007).</w:t>
      </w:r>
    </w:p>
    <w:p w:rsidR="007F112A" w:rsidRPr="008A7411" w:rsidP="008A7411" w14:paraId="3AEB7315" w14:textId="77777777">
      <w:pPr>
        <w:spacing w:after="220"/>
        <w:rPr>
          <w:rFonts w:ascii="Arial" w:hAnsi="Arial" w:cs="Arial"/>
          <w:sz w:val="22"/>
          <w:szCs w:val="22"/>
        </w:rPr>
      </w:pPr>
      <w:r w:rsidRPr="008A7411">
        <w:rPr>
          <w:rFonts w:ascii="Arial" w:hAnsi="Arial" w:cs="Arial"/>
          <w:sz w:val="22"/>
          <w:szCs w:val="22"/>
        </w:rPr>
        <w:t>A commenter wrote that a fueled manufactured reactor with appropriate protections against criticality should not be categorized as a utilization facility. The commenter wrote that criticality is not inherently unsafe, and as a result the NRC should focus on uncontrolled or inadvertent criticality for this class of reactors. Regulations should focus on a performance-based framework that affords flexibility to demonstrate how risks from inadvertent criticality would be effectively managed through design features and/or programmatic controls, commensurate with those risks.</w:t>
      </w:r>
    </w:p>
    <w:p w:rsidR="007F112A" w:rsidRPr="008A7411" w:rsidP="008A7411" w14:paraId="75AAC976" w14:textId="77777777">
      <w:pPr>
        <w:spacing w:after="220"/>
        <w:rPr>
          <w:rFonts w:ascii="Arial" w:hAnsi="Arial" w:cs="Arial"/>
          <w:sz w:val="22"/>
          <w:szCs w:val="22"/>
        </w:rPr>
      </w:pPr>
      <w:r w:rsidRPr="008A7411">
        <w:rPr>
          <w:rFonts w:ascii="Arial" w:hAnsi="Arial" w:cs="Arial"/>
          <w:sz w:val="22"/>
          <w:szCs w:val="22"/>
        </w:rPr>
        <w:t>The commenter argued that if 10 CFR Part 53 is sufficiently performance-based and defines “utilization facility” in a manner that departs from convention</w:t>
      </w:r>
      <w:r w:rsidR="002355EE">
        <w:rPr>
          <w:rFonts w:ascii="Arial" w:hAnsi="Arial" w:cs="Arial"/>
          <w:sz w:val="22"/>
          <w:szCs w:val="22"/>
        </w:rPr>
        <w:t>, then</w:t>
      </w:r>
      <w:r w:rsidRPr="008A7411">
        <w:rPr>
          <w:rFonts w:ascii="Arial" w:hAnsi="Arial" w:cs="Arial"/>
          <w:sz w:val="22"/>
          <w:szCs w:val="22"/>
        </w:rPr>
        <w:t xml:space="preserve"> the rule would satisfy NEIMA and the ADVANCE Act. The commenter added that the rulemaking presents a unique opportunity to redefine utilization under 10 CFR Part 50 as well, and the NRC should use this opportunity to streamline attendant requirements. The commenter urged against a separate rulemaking to address this writing that it would not meet the mandate from NEIMA and it would not conform to the NRC’s updated mission (</w:t>
      </w:r>
      <w:r w:rsidR="00C3447B">
        <w:rPr>
          <w:rFonts w:ascii="Arial" w:hAnsi="Arial" w:cs="Arial"/>
          <w:sz w:val="22"/>
          <w:szCs w:val="22"/>
        </w:rPr>
        <w:t>ROSE</w:t>
      </w:r>
      <w:r w:rsidRPr="008A7411">
        <w:rPr>
          <w:rFonts w:ascii="Arial" w:hAnsi="Arial" w:cs="Arial"/>
          <w:sz w:val="22"/>
          <w:szCs w:val="22"/>
        </w:rPr>
        <w:t>-0008).</w:t>
      </w:r>
    </w:p>
    <w:p w:rsidR="007F112A" w:rsidRPr="008A7411" w:rsidP="008A7411" w14:paraId="33FFB618" w14:textId="77777777">
      <w:pPr>
        <w:spacing w:after="220"/>
        <w:rPr>
          <w:rFonts w:ascii="Arial" w:hAnsi="Arial" w:cs="Arial"/>
          <w:sz w:val="22"/>
          <w:szCs w:val="22"/>
        </w:rPr>
      </w:pPr>
      <w:r w:rsidRPr="008A7411">
        <w:rPr>
          <w:rFonts w:ascii="Arial" w:hAnsi="Arial" w:cs="Arial"/>
          <w:sz w:val="22"/>
          <w:szCs w:val="22"/>
        </w:rPr>
        <w:t>A commenter wrote that a fueled microreactor module with two methods to control criticality or which satisfies the double contingency principle, and is not connected to instrumentation and controls, should not be defined as a nuclear reactor and a utilization facility. The commenter wrote that such a module cannot support a self-sustaining chain reaction and as a result is not capable of making use of SNM in such quantity to be significant to the common defense, security, and health and safety of the public as defined in the AEA. The commenter added that the module should only be considered a utilization facility when one of the two methods to control criticality is removed and it is connected to instrumentation and controls that allows a reactor operator to insert positive reactivity into the core.</w:t>
      </w:r>
    </w:p>
    <w:p w:rsidR="007F112A" w:rsidRPr="008A7411" w:rsidP="008A7411" w14:paraId="73F984DE" w14:textId="77777777">
      <w:pPr>
        <w:spacing w:after="220"/>
        <w:rPr>
          <w:rFonts w:ascii="Arial" w:hAnsi="Arial" w:cs="Arial"/>
          <w:sz w:val="22"/>
          <w:szCs w:val="22"/>
        </w:rPr>
      </w:pPr>
      <w:r w:rsidRPr="008A7411">
        <w:rPr>
          <w:rFonts w:ascii="Arial" w:hAnsi="Arial" w:cs="Arial"/>
          <w:sz w:val="22"/>
          <w:szCs w:val="22"/>
        </w:rPr>
        <w:t>The commenter added that there would be numerous benefits to not classifying these types of modules as a nuclear reactor. It would define which physical security requirements in 10 CFR Part 73 would apply, clarify the license needed to receive a used module for defueling and refueling, and, if the module is not defined as a nuclear reactor</w:t>
      </w:r>
      <w:r w:rsidR="00206DD4">
        <w:rPr>
          <w:rFonts w:ascii="Arial" w:hAnsi="Arial" w:cs="Arial"/>
          <w:sz w:val="22"/>
          <w:szCs w:val="22"/>
        </w:rPr>
        <w:t xml:space="preserve"> or </w:t>
      </w:r>
      <w:r w:rsidRPr="008A7411">
        <w:rPr>
          <w:rFonts w:ascii="Arial" w:hAnsi="Arial" w:cs="Arial"/>
          <w:sz w:val="22"/>
          <w:szCs w:val="22"/>
        </w:rPr>
        <w:t>utilization facility, it would be clear that the requirements in 10 CFR 73.55 would not apply (</w:t>
      </w:r>
      <w:r w:rsidR="00333B47">
        <w:rPr>
          <w:rFonts w:ascii="Arial" w:hAnsi="Arial" w:cs="Arial"/>
          <w:sz w:val="22"/>
          <w:szCs w:val="22"/>
        </w:rPr>
        <w:t>WEST1</w:t>
      </w:r>
      <w:r w:rsidRPr="008A7411">
        <w:rPr>
          <w:rFonts w:ascii="Arial" w:hAnsi="Arial" w:cs="Arial"/>
          <w:sz w:val="22"/>
          <w:szCs w:val="22"/>
        </w:rPr>
        <w:t>-0006).</w:t>
      </w:r>
    </w:p>
    <w:p w:rsidR="007F112A" w:rsidRPr="008A7411" w:rsidP="008A7411" w14:paraId="466B23CC" w14:textId="77777777">
      <w:pPr>
        <w:spacing w:after="220"/>
        <w:rPr>
          <w:rFonts w:ascii="Arial" w:hAnsi="Arial" w:cs="Arial"/>
          <w:sz w:val="22"/>
          <w:szCs w:val="22"/>
        </w:rPr>
      </w:pPr>
      <w:r w:rsidRPr="008A7411">
        <w:rPr>
          <w:rFonts w:ascii="Arial" w:hAnsi="Arial" w:cs="Arial"/>
          <w:sz w:val="22"/>
          <w:szCs w:val="22"/>
        </w:rPr>
        <w:t>A commenter wrote that the lower risk profile of small, fueled manufactured reactors justifies reclassification. The commenter wrote that the NRC should consider a framework where a fueled manufactured reactor, with appropriate protections against criticality, is not automatically classified as a utilization facility, and suggested the NRC further engage stakeholders to determine the appropriate method to implement this (</w:t>
      </w:r>
      <w:r w:rsidR="00D87876">
        <w:rPr>
          <w:rFonts w:ascii="Arial" w:hAnsi="Arial" w:cs="Arial"/>
          <w:sz w:val="22"/>
          <w:szCs w:val="22"/>
        </w:rPr>
        <w:t>SCWG</w:t>
      </w:r>
      <w:r w:rsidRPr="008A7411">
        <w:rPr>
          <w:rFonts w:ascii="Arial" w:hAnsi="Arial" w:cs="Arial"/>
          <w:sz w:val="22"/>
          <w:szCs w:val="22"/>
        </w:rPr>
        <w:t>-0023).</w:t>
      </w:r>
    </w:p>
    <w:p w:rsidR="007F112A" w:rsidRPr="008A7411" w:rsidP="008A7411" w14:paraId="1749195C"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The NRC agrees, in part, with these comments.</w:t>
      </w:r>
    </w:p>
    <w:p w:rsidR="0087434C" w:rsidP="008A7411" w14:paraId="6A5EA680" w14:textId="77777777">
      <w:pPr>
        <w:spacing w:after="220"/>
        <w:rPr>
          <w:rFonts w:ascii="Arial" w:hAnsi="Arial" w:cs="Arial"/>
          <w:sz w:val="22"/>
          <w:szCs w:val="22"/>
        </w:rPr>
      </w:pPr>
      <w:r w:rsidRPr="008A7411">
        <w:rPr>
          <w:rFonts w:ascii="Arial" w:hAnsi="Arial" w:cs="Arial"/>
          <w:sz w:val="22"/>
          <w:szCs w:val="22"/>
        </w:rPr>
        <w:t xml:space="preserve">The NRC disagrees that 10 CFR Part 53 and the NRC staff proposal approved by the Commission in SRM-SECY-24-0008 overly complicate the licensing processes that are currently employed under 10 CFR Parts 70, 71, and 72 because of the </w:t>
      </w:r>
      <w:r w:rsidR="009E7875">
        <w:rPr>
          <w:rFonts w:ascii="Arial" w:hAnsi="Arial" w:cs="Arial"/>
          <w:sz w:val="22"/>
          <w:szCs w:val="22"/>
        </w:rPr>
        <w:t xml:space="preserve">approach taken </w:t>
      </w:r>
      <w:r w:rsidR="000C3A89">
        <w:rPr>
          <w:rFonts w:ascii="Arial" w:hAnsi="Arial" w:cs="Arial"/>
          <w:sz w:val="22"/>
          <w:szCs w:val="22"/>
        </w:rPr>
        <w:t>where</w:t>
      </w:r>
      <w:r w:rsidRPr="008A7411" w:rsidR="009E7875">
        <w:rPr>
          <w:rFonts w:ascii="Arial" w:hAnsi="Arial" w:cs="Arial"/>
          <w:sz w:val="22"/>
          <w:szCs w:val="22"/>
        </w:rPr>
        <w:t xml:space="preserve"> </w:t>
      </w:r>
      <w:r w:rsidRPr="008A7411">
        <w:rPr>
          <w:rFonts w:ascii="Arial" w:hAnsi="Arial" w:cs="Arial"/>
          <w:sz w:val="22"/>
          <w:szCs w:val="22"/>
        </w:rPr>
        <w:t xml:space="preserve">fueling of a reactor in a factory setting </w:t>
      </w:r>
      <w:r w:rsidR="00B027B7">
        <w:rPr>
          <w:rFonts w:ascii="Arial" w:hAnsi="Arial" w:cs="Arial"/>
          <w:sz w:val="22"/>
          <w:szCs w:val="22"/>
        </w:rPr>
        <w:t xml:space="preserve">is integrated with the </w:t>
      </w:r>
      <w:r w:rsidR="00276AE9">
        <w:rPr>
          <w:rFonts w:ascii="Arial" w:hAnsi="Arial" w:cs="Arial"/>
          <w:sz w:val="22"/>
          <w:szCs w:val="22"/>
        </w:rPr>
        <w:t xml:space="preserve">license for the manufacturing of </w:t>
      </w:r>
      <w:r w:rsidR="00B8400E">
        <w:rPr>
          <w:rFonts w:ascii="Arial" w:hAnsi="Arial" w:cs="Arial"/>
          <w:sz w:val="22"/>
          <w:szCs w:val="22"/>
        </w:rPr>
        <w:t>a</w:t>
      </w:r>
      <w:r w:rsidRPr="008A7411">
        <w:rPr>
          <w:rFonts w:ascii="Arial" w:hAnsi="Arial" w:cs="Arial"/>
          <w:sz w:val="22"/>
          <w:szCs w:val="22"/>
        </w:rPr>
        <w:t xml:space="preserve"> utilization facility. </w:t>
      </w:r>
      <w:r w:rsidR="000F2BDF">
        <w:rPr>
          <w:rFonts w:ascii="Arial" w:hAnsi="Arial" w:cs="Arial"/>
          <w:sz w:val="22"/>
          <w:szCs w:val="22"/>
        </w:rPr>
        <w:t xml:space="preserve">Many of the comments </w:t>
      </w:r>
      <w:r w:rsidR="00B952E8">
        <w:rPr>
          <w:rFonts w:ascii="Arial" w:hAnsi="Arial" w:cs="Arial"/>
          <w:sz w:val="22"/>
          <w:szCs w:val="22"/>
        </w:rPr>
        <w:t>suggest</w:t>
      </w:r>
      <w:r w:rsidR="004D489C">
        <w:rPr>
          <w:rFonts w:ascii="Arial" w:hAnsi="Arial" w:cs="Arial"/>
          <w:sz w:val="22"/>
          <w:szCs w:val="22"/>
        </w:rPr>
        <w:t xml:space="preserve"> </w:t>
      </w:r>
      <w:r w:rsidR="00A12BA0">
        <w:rPr>
          <w:rFonts w:ascii="Arial" w:hAnsi="Arial" w:cs="Arial"/>
          <w:sz w:val="22"/>
          <w:szCs w:val="22"/>
        </w:rPr>
        <w:t>delaying</w:t>
      </w:r>
      <w:r w:rsidR="004D489C">
        <w:rPr>
          <w:rFonts w:ascii="Arial" w:hAnsi="Arial" w:cs="Arial"/>
          <w:sz w:val="22"/>
          <w:szCs w:val="22"/>
        </w:rPr>
        <w:t xml:space="preserve"> </w:t>
      </w:r>
      <w:r w:rsidR="006C61E2">
        <w:rPr>
          <w:rFonts w:ascii="Arial" w:hAnsi="Arial" w:cs="Arial"/>
          <w:sz w:val="22"/>
          <w:szCs w:val="22"/>
        </w:rPr>
        <w:t xml:space="preserve">the </w:t>
      </w:r>
      <w:r w:rsidR="004D489C">
        <w:rPr>
          <w:rFonts w:ascii="Arial" w:hAnsi="Arial" w:cs="Arial"/>
          <w:sz w:val="22"/>
          <w:szCs w:val="22"/>
        </w:rPr>
        <w:t>designat</w:t>
      </w:r>
      <w:r w:rsidR="006C61E2">
        <w:rPr>
          <w:rFonts w:ascii="Arial" w:hAnsi="Arial" w:cs="Arial"/>
          <w:sz w:val="22"/>
          <w:szCs w:val="22"/>
        </w:rPr>
        <w:t>ion of</w:t>
      </w:r>
      <w:r w:rsidR="004D489C">
        <w:rPr>
          <w:rFonts w:ascii="Arial" w:hAnsi="Arial" w:cs="Arial"/>
          <w:sz w:val="22"/>
          <w:szCs w:val="22"/>
        </w:rPr>
        <w:t xml:space="preserve"> a manufactured reactor </w:t>
      </w:r>
      <w:r w:rsidR="00F80232">
        <w:rPr>
          <w:rFonts w:ascii="Arial" w:hAnsi="Arial" w:cs="Arial"/>
          <w:sz w:val="22"/>
          <w:szCs w:val="22"/>
        </w:rPr>
        <w:t xml:space="preserve">as </w:t>
      </w:r>
      <w:r w:rsidR="00F975B0">
        <w:rPr>
          <w:rFonts w:ascii="Arial" w:hAnsi="Arial" w:cs="Arial"/>
          <w:sz w:val="22"/>
          <w:szCs w:val="22"/>
        </w:rPr>
        <w:t xml:space="preserve">a utilization facility </w:t>
      </w:r>
      <w:r w:rsidR="00A12BA0">
        <w:rPr>
          <w:rFonts w:ascii="Arial" w:hAnsi="Arial" w:cs="Arial"/>
          <w:sz w:val="22"/>
          <w:szCs w:val="22"/>
        </w:rPr>
        <w:t>until</w:t>
      </w:r>
      <w:r w:rsidR="00B952E8">
        <w:rPr>
          <w:rFonts w:ascii="Arial" w:hAnsi="Arial" w:cs="Arial"/>
          <w:sz w:val="22"/>
          <w:szCs w:val="22"/>
        </w:rPr>
        <w:t xml:space="preserve"> </w:t>
      </w:r>
      <w:r w:rsidR="00E216B6">
        <w:rPr>
          <w:rFonts w:ascii="Arial" w:hAnsi="Arial" w:cs="Arial"/>
          <w:sz w:val="22"/>
          <w:szCs w:val="22"/>
        </w:rPr>
        <w:t xml:space="preserve">operations commence </w:t>
      </w:r>
      <w:r w:rsidR="008F224C">
        <w:rPr>
          <w:rFonts w:ascii="Arial" w:hAnsi="Arial" w:cs="Arial"/>
          <w:sz w:val="22"/>
          <w:szCs w:val="22"/>
        </w:rPr>
        <w:t>at its final place of use.</w:t>
      </w:r>
      <w:r w:rsidR="00080016">
        <w:rPr>
          <w:rFonts w:ascii="Arial" w:hAnsi="Arial" w:cs="Arial"/>
          <w:sz w:val="22"/>
          <w:szCs w:val="22"/>
        </w:rPr>
        <w:t xml:space="preserve"> However, the comments do not </w:t>
      </w:r>
      <w:r w:rsidR="005A1643">
        <w:rPr>
          <w:rFonts w:ascii="Arial" w:hAnsi="Arial" w:cs="Arial"/>
          <w:sz w:val="22"/>
          <w:szCs w:val="22"/>
        </w:rPr>
        <w:t xml:space="preserve">further </w:t>
      </w:r>
      <w:r w:rsidR="001E6BA6">
        <w:rPr>
          <w:rFonts w:ascii="Arial" w:hAnsi="Arial" w:cs="Arial"/>
          <w:sz w:val="22"/>
          <w:szCs w:val="22"/>
        </w:rPr>
        <w:t xml:space="preserve">explain the </w:t>
      </w:r>
      <w:r w:rsidR="005A1643">
        <w:rPr>
          <w:rFonts w:ascii="Arial" w:hAnsi="Arial" w:cs="Arial"/>
          <w:sz w:val="22"/>
          <w:szCs w:val="22"/>
        </w:rPr>
        <w:t xml:space="preserve">proposed </w:t>
      </w:r>
      <w:r w:rsidR="001E6BA6">
        <w:rPr>
          <w:rFonts w:ascii="Arial" w:hAnsi="Arial" w:cs="Arial"/>
          <w:sz w:val="22"/>
          <w:szCs w:val="22"/>
        </w:rPr>
        <w:t xml:space="preserve">relationships between </w:t>
      </w:r>
      <w:r w:rsidR="001A5D91">
        <w:rPr>
          <w:rFonts w:ascii="Arial" w:hAnsi="Arial" w:cs="Arial"/>
          <w:sz w:val="22"/>
          <w:szCs w:val="22"/>
        </w:rPr>
        <w:t>l</w:t>
      </w:r>
      <w:r w:rsidR="001E6BA6">
        <w:rPr>
          <w:rFonts w:ascii="Arial" w:hAnsi="Arial" w:cs="Arial"/>
          <w:sz w:val="22"/>
          <w:szCs w:val="22"/>
        </w:rPr>
        <w:t>icense</w:t>
      </w:r>
      <w:r w:rsidR="001A5D91">
        <w:rPr>
          <w:rFonts w:ascii="Arial" w:hAnsi="Arial" w:cs="Arial"/>
          <w:sz w:val="22"/>
          <w:szCs w:val="22"/>
        </w:rPr>
        <w:t>s</w:t>
      </w:r>
      <w:r w:rsidR="001E6BA6">
        <w:rPr>
          <w:rFonts w:ascii="Arial" w:hAnsi="Arial" w:cs="Arial"/>
          <w:sz w:val="22"/>
          <w:szCs w:val="22"/>
        </w:rPr>
        <w:t xml:space="preserve"> </w:t>
      </w:r>
      <w:r w:rsidR="00E70CA3">
        <w:rPr>
          <w:rFonts w:ascii="Arial" w:hAnsi="Arial" w:cs="Arial"/>
          <w:sz w:val="22"/>
          <w:szCs w:val="22"/>
        </w:rPr>
        <w:t>need</w:t>
      </w:r>
      <w:r w:rsidR="001A5D91">
        <w:rPr>
          <w:rFonts w:ascii="Arial" w:hAnsi="Arial" w:cs="Arial"/>
          <w:sz w:val="22"/>
          <w:szCs w:val="22"/>
        </w:rPr>
        <w:t>ed</w:t>
      </w:r>
      <w:r w:rsidR="00E70CA3">
        <w:rPr>
          <w:rFonts w:ascii="Arial" w:hAnsi="Arial" w:cs="Arial"/>
          <w:sz w:val="22"/>
          <w:szCs w:val="22"/>
        </w:rPr>
        <w:t xml:space="preserve"> to </w:t>
      </w:r>
      <w:r w:rsidR="001E6BA6">
        <w:rPr>
          <w:rFonts w:ascii="Arial" w:hAnsi="Arial" w:cs="Arial"/>
          <w:sz w:val="22"/>
          <w:szCs w:val="22"/>
        </w:rPr>
        <w:t>manufactur</w:t>
      </w:r>
      <w:r w:rsidR="00E70CA3">
        <w:rPr>
          <w:rFonts w:ascii="Arial" w:hAnsi="Arial" w:cs="Arial"/>
          <w:sz w:val="22"/>
          <w:szCs w:val="22"/>
        </w:rPr>
        <w:t xml:space="preserve">e </w:t>
      </w:r>
      <w:r w:rsidR="00BD3D3A">
        <w:rPr>
          <w:rFonts w:ascii="Arial" w:hAnsi="Arial" w:cs="Arial"/>
          <w:sz w:val="22"/>
          <w:szCs w:val="22"/>
        </w:rPr>
        <w:t>such a reactor</w:t>
      </w:r>
      <w:r w:rsidR="0013436A">
        <w:rPr>
          <w:rFonts w:ascii="Arial" w:hAnsi="Arial" w:cs="Arial"/>
          <w:sz w:val="22"/>
          <w:szCs w:val="22"/>
        </w:rPr>
        <w:t xml:space="preserve"> </w:t>
      </w:r>
      <w:r w:rsidR="000C50AE">
        <w:rPr>
          <w:rFonts w:ascii="Arial" w:hAnsi="Arial" w:cs="Arial"/>
          <w:sz w:val="22"/>
          <w:szCs w:val="22"/>
        </w:rPr>
        <w:t xml:space="preserve">and the </w:t>
      </w:r>
      <w:r w:rsidR="00181E52">
        <w:rPr>
          <w:rFonts w:ascii="Arial" w:hAnsi="Arial" w:cs="Arial"/>
          <w:sz w:val="22"/>
          <w:szCs w:val="22"/>
        </w:rPr>
        <w:t>materia</w:t>
      </w:r>
      <w:r w:rsidR="009E2A67">
        <w:rPr>
          <w:rFonts w:ascii="Arial" w:hAnsi="Arial" w:cs="Arial"/>
          <w:sz w:val="22"/>
          <w:szCs w:val="22"/>
        </w:rPr>
        <w:t>ls license</w:t>
      </w:r>
      <w:r w:rsidR="000B40CC">
        <w:rPr>
          <w:rFonts w:ascii="Arial" w:hAnsi="Arial" w:cs="Arial"/>
          <w:sz w:val="22"/>
          <w:szCs w:val="22"/>
        </w:rPr>
        <w:t>s</w:t>
      </w:r>
      <w:r w:rsidR="009E2A67">
        <w:rPr>
          <w:rFonts w:ascii="Arial" w:hAnsi="Arial" w:cs="Arial"/>
          <w:sz w:val="22"/>
          <w:szCs w:val="22"/>
        </w:rPr>
        <w:t xml:space="preserve"> under 10</w:t>
      </w:r>
      <w:r>
        <w:rPr>
          <w:rFonts w:ascii="Arial" w:hAnsi="Arial" w:cs="Arial"/>
          <w:sz w:val="22"/>
          <w:szCs w:val="22"/>
        </w:rPr>
        <w:t> </w:t>
      </w:r>
      <w:r w:rsidR="009E2A67">
        <w:rPr>
          <w:rFonts w:ascii="Arial" w:hAnsi="Arial" w:cs="Arial"/>
          <w:sz w:val="22"/>
          <w:szCs w:val="22"/>
        </w:rPr>
        <w:t>CFR Part 70.</w:t>
      </w:r>
      <w:r w:rsidR="007F6B11">
        <w:rPr>
          <w:rFonts w:ascii="Arial" w:hAnsi="Arial" w:cs="Arial"/>
          <w:sz w:val="22"/>
          <w:szCs w:val="22"/>
        </w:rPr>
        <w:t xml:space="preserve"> </w:t>
      </w:r>
      <w:r w:rsidR="00D3434B">
        <w:rPr>
          <w:rFonts w:ascii="Arial" w:hAnsi="Arial" w:cs="Arial"/>
          <w:sz w:val="22"/>
          <w:szCs w:val="22"/>
        </w:rPr>
        <w:t xml:space="preserve">Although </w:t>
      </w:r>
      <w:r w:rsidR="004D1A08">
        <w:rPr>
          <w:rFonts w:ascii="Arial" w:hAnsi="Arial" w:cs="Arial"/>
          <w:sz w:val="22"/>
          <w:szCs w:val="22"/>
        </w:rPr>
        <w:t xml:space="preserve">the Commission </w:t>
      </w:r>
      <w:r w:rsidR="005A2FEA">
        <w:rPr>
          <w:rFonts w:ascii="Arial" w:hAnsi="Arial" w:cs="Arial"/>
          <w:sz w:val="22"/>
          <w:szCs w:val="22"/>
        </w:rPr>
        <w:t>may have</w:t>
      </w:r>
      <w:r w:rsidR="004D1A08">
        <w:rPr>
          <w:rFonts w:ascii="Arial" w:hAnsi="Arial" w:cs="Arial"/>
          <w:sz w:val="22"/>
          <w:szCs w:val="22"/>
        </w:rPr>
        <w:t xml:space="preserve"> the authority to find that</w:t>
      </w:r>
      <w:r w:rsidR="00D3434B">
        <w:rPr>
          <w:rFonts w:ascii="Arial" w:hAnsi="Arial" w:cs="Arial"/>
          <w:sz w:val="22"/>
          <w:szCs w:val="22"/>
        </w:rPr>
        <w:t xml:space="preserve"> </w:t>
      </w:r>
      <w:r w:rsidR="00C43CEC">
        <w:rPr>
          <w:rFonts w:ascii="Arial" w:hAnsi="Arial" w:cs="Arial"/>
          <w:sz w:val="22"/>
          <w:szCs w:val="22"/>
        </w:rPr>
        <w:t>features to pre</w:t>
      </w:r>
      <w:r w:rsidR="00664BFB">
        <w:rPr>
          <w:rFonts w:ascii="Arial" w:hAnsi="Arial" w:cs="Arial"/>
          <w:sz w:val="22"/>
          <w:szCs w:val="22"/>
        </w:rPr>
        <w:t>vent</w:t>
      </w:r>
      <w:r w:rsidR="00C43CEC">
        <w:rPr>
          <w:rFonts w:ascii="Arial" w:hAnsi="Arial" w:cs="Arial"/>
          <w:sz w:val="22"/>
          <w:szCs w:val="22"/>
        </w:rPr>
        <w:t xml:space="preserve"> criticality</w:t>
      </w:r>
      <w:r w:rsidR="002F0B36">
        <w:rPr>
          <w:rFonts w:ascii="Arial" w:hAnsi="Arial" w:cs="Arial"/>
          <w:sz w:val="22"/>
          <w:szCs w:val="22"/>
        </w:rPr>
        <w:t xml:space="preserve"> </w:t>
      </w:r>
      <w:r w:rsidR="00CB1D52">
        <w:rPr>
          <w:rFonts w:ascii="Arial" w:hAnsi="Arial" w:cs="Arial"/>
          <w:sz w:val="22"/>
          <w:szCs w:val="22"/>
        </w:rPr>
        <w:t>support</w:t>
      </w:r>
      <w:r w:rsidR="004E6F79">
        <w:rPr>
          <w:rFonts w:ascii="Arial" w:hAnsi="Arial" w:cs="Arial"/>
          <w:sz w:val="22"/>
          <w:szCs w:val="22"/>
        </w:rPr>
        <w:t xml:space="preserve"> </w:t>
      </w:r>
      <w:r w:rsidR="00300409">
        <w:rPr>
          <w:rFonts w:ascii="Arial" w:hAnsi="Arial" w:cs="Arial"/>
          <w:sz w:val="22"/>
          <w:szCs w:val="22"/>
        </w:rPr>
        <w:t xml:space="preserve">an </w:t>
      </w:r>
      <w:r w:rsidR="00CB7A8E">
        <w:rPr>
          <w:rFonts w:ascii="Arial" w:hAnsi="Arial" w:cs="Arial"/>
          <w:sz w:val="22"/>
          <w:szCs w:val="22"/>
        </w:rPr>
        <w:t xml:space="preserve">argument that a particular device </w:t>
      </w:r>
      <w:r w:rsidR="00845B4B">
        <w:rPr>
          <w:rFonts w:ascii="Arial" w:hAnsi="Arial" w:cs="Arial"/>
          <w:sz w:val="22"/>
          <w:szCs w:val="22"/>
        </w:rPr>
        <w:t xml:space="preserve">configuration </w:t>
      </w:r>
      <w:r w:rsidR="008165F6">
        <w:rPr>
          <w:rFonts w:ascii="Arial" w:hAnsi="Arial" w:cs="Arial"/>
          <w:sz w:val="22"/>
          <w:szCs w:val="22"/>
        </w:rPr>
        <w:t>involves minimal risks to public health and safety and therefore</w:t>
      </w:r>
      <w:r w:rsidR="00E3067C">
        <w:rPr>
          <w:rFonts w:ascii="Arial" w:hAnsi="Arial" w:cs="Arial"/>
          <w:sz w:val="22"/>
          <w:szCs w:val="22"/>
        </w:rPr>
        <w:t xml:space="preserve"> may</w:t>
      </w:r>
      <w:r w:rsidR="00CB7A8E">
        <w:rPr>
          <w:rFonts w:ascii="Arial" w:hAnsi="Arial" w:cs="Arial"/>
          <w:sz w:val="22"/>
          <w:szCs w:val="22"/>
        </w:rPr>
        <w:t xml:space="preserve"> not </w:t>
      </w:r>
      <w:r w:rsidR="00E3067C">
        <w:rPr>
          <w:rFonts w:ascii="Arial" w:hAnsi="Arial" w:cs="Arial"/>
          <w:sz w:val="22"/>
          <w:szCs w:val="22"/>
        </w:rPr>
        <w:t xml:space="preserve">need to </w:t>
      </w:r>
      <w:r w:rsidR="00CB7A8E">
        <w:rPr>
          <w:rFonts w:ascii="Arial" w:hAnsi="Arial" w:cs="Arial"/>
          <w:sz w:val="22"/>
          <w:szCs w:val="22"/>
        </w:rPr>
        <w:t xml:space="preserve">be designated </w:t>
      </w:r>
      <w:r w:rsidR="00CB1D52">
        <w:rPr>
          <w:rFonts w:ascii="Arial" w:hAnsi="Arial" w:cs="Arial"/>
          <w:sz w:val="22"/>
          <w:szCs w:val="22"/>
        </w:rPr>
        <w:t xml:space="preserve">as a utilization facility, </w:t>
      </w:r>
      <w:r w:rsidR="00300409">
        <w:rPr>
          <w:rFonts w:ascii="Arial" w:hAnsi="Arial" w:cs="Arial"/>
          <w:sz w:val="22"/>
          <w:szCs w:val="22"/>
        </w:rPr>
        <w:t xml:space="preserve">the NRC </w:t>
      </w:r>
      <w:r w:rsidR="002F64D7">
        <w:rPr>
          <w:rFonts w:ascii="Arial" w:hAnsi="Arial" w:cs="Arial"/>
          <w:sz w:val="22"/>
          <w:szCs w:val="22"/>
        </w:rPr>
        <w:t xml:space="preserve">did not identify </w:t>
      </w:r>
      <w:r w:rsidR="002F64D7">
        <w:rPr>
          <w:rFonts w:ascii="Arial" w:hAnsi="Arial" w:cs="Arial"/>
          <w:sz w:val="22"/>
          <w:szCs w:val="22"/>
        </w:rPr>
        <w:t>any significant benefit to such an approach given the need to issue the manufacturing license</w:t>
      </w:r>
      <w:r w:rsidR="00D44571">
        <w:rPr>
          <w:rFonts w:ascii="Arial" w:hAnsi="Arial" w:cs="Arial"/>
          <w:sz w:val="22"/>
          <w:szCs w:val="22"/>
        </w:rPr>
        <w:t xml:space="preserve"> </w:t>
      </w:r>
      <w:r w:rsidR="00CC5587">
        <w:rPr>
          <w:rFonts w:ascii="Arial" w:hAnsi="Arial" w:cs="Arial"/>
          <w:sz w:val="22"/>
          <w:szCs w:val="22"/>
        </w:rPr>
        <w:t xml:space="preserve">as a </w:t>
      </w:r>
      <w:r w:rsidR="00B52D18">
        <w:rPr>
          <w:rFonts w:ascii="Arial" w:hAnsi="Arial" w:cs="Arial"/>
          <w:sz w:val="22"/>
          <w:szCs w:val="22"/>
        </w:rPr>
        <w:t>utilization facility</w:t>
      </w:r>
      <w:r w:rsidR="00CC5587">
        <w:rPr>
          <w:rFonts w:ascii="Arial" w:hAnsi="Arial" w:cs="Arial"/>
          <w:sz w:val="22"/>
          <w:szCs w:val="22"/>
        </w:rPr>
        <w:t xml:space="preserve"> </w:t>
      </w:r>
      <w:r w:rsidR="00F261DA">
        <w:rPr>
          <w:rFonts w:ascii="Arial" w:hAnsi="Arial" w:cs="Arial"/>
          <w:sz w:val="22"/>
          <w:szCs w:val="22"/>
        </w:rPr>
        <w:t>l</w:t>
      </w:r>
      <w:r w:rsidR="00CC5587">
        <w:rPr>
          <w:rFonts w:ascii="Arial" w:hAnsi="Arial" w:cs="Arial"/>
          <w:sz w:val="22"/>
          <w:szCs w:val="22"/>
        </w:rPr>
        <w:t xml:space="preserve">icense under </w:t>
      </w:r>
      <w:r w:rsidR="004F5544">
        <w:rPr>
          <w:rFonts w:ascii="Arial" w:hAnsi="Arial" w:cs="Arial"/>
          <w:sz w:val="22"/>
          <w:szCs w:val="22"/>
        </w:rPr>
        <w:t>s</w:t>
      </w:r>
      <w:r w:rsidR="00A30C3C">
        <w:rPr>
          <w:rFonts w:ascii="Arial" w:hAnsi="Arial" w:cs="Arial"/>
          <w:sz w:val="22"/>
          <w:szCs w:val="22"/>
        </w:rPr>
        <w:t>ection 10</w:t>
      </w:r>
      <w:r w:rsidR="00B327A9">
        <w:rPr>
          <w:rFonts w:ascii="Arial" w:hAnsi="Arial" w:cs="Arial"/>
          <w:sz w:val="22"/>
          <w:szCs w:val="22"/>
        </w:rPr>
        <w:t>3</w:t>
      </w:r>
      <w:r w:rsidR="00CC5587">
        <w:rPr>
          <w:rFonts w:ascii="Arial" w:hAnsi="Arial" w:cs="Arial"/>
          <w:sz w:val="22"/>
          <w:szCs w:val="22"/>
        </w:rPr>
        <w:t xml:space="preserve"> of the A</w:t>
      </w:r>
      <w:r w:rsidR="00635CCD">
        <w:rPr>
          <w:rFonts w:ascii="Arial" w:hAnsi="Arial" w:cs="Arial"/>
          <w:sz w:val="22"/>
          <w:szCs w:val="22"/>
        </w:rPr>
        <w:t>EA</w:t>
      </w:r>
      <w:r w:rsidR="00CC5587">
        <w:rPr>
          <w:rFonts w:ascii="Arial" w:hAnsi="Arial" w:cs="Arial"/>
          <w:sz w:val="22"/>
          <w:szCs w:val="22"/>
        </w:rPr>
        <w:t>.</w:t>
      </w:r>
    </w:p>
    <w:p w:rsidR="004F5544" w:rsidP="008A7411" w14:paraId="4C2672A9" w14:textId="77777777">
      <w:pPr>
        <w:spacing w:after="220"/>
        <w:rPr>
          <w:rFonts w:ascii="Arial" w:hAnsi="Arial" w:cs="Arial"/>
          <w:sz w:val="22"/>
          <w:szCs w:val="22"/>
        </w:rPr>
      </w:pPr>
      <w:r w:rsidRPr="00445AD4">
        <w:rPr>
          <w:rFonts w:ascii="Arial" w:hAnsi="Arial" w:cs="Arial"/>
          <w:sz w:val="22"/>
          <w:szCs w:val="22"/>
        </w:rPr>
        <w:t>Moreover, redefining the term “operation” as opposed to the term “utilization facility”</w:t>
      </w:r>
      <w:r>
        <w:rPr>
          <w:rFonts w:ascii="Arial" w:hAnsi="Arial" w:cs="Arial"/>
          <w:sz w:val="22"/>
          <w:szCs w:val="22"/>
        </w:rPr>
        <w:t xml:space="preserve"> </w:t>
      </w:r>
      <w:r w:rsidRPr="00445AD4">
        <w:rPr>
          <w:rFonts w:ascii="Arial" w:hAnsi="Arial" w:cs="Arial"/>
          <w:sz w:val="22"/>
          <w:szCs w:val="22"/>
        </w:rPr>
        <w:t>facilitates compliance with other portions of the AEA, including those related to inspections,</w:t>
      </w:r>
      <w:r w:rsidR="00730439">
        <w:rPr>
          <w:rFonts w:ascii="Arial" w:hAnsi="Arial" w:cs="Arial"/>
          <w:sz w:val="22"/>
          <w:szCs w:val="22"/>
        </w:rPr>
        <w:t xml:space="preserve"> </w:t>
      </w:r>
      <w:r w:rsidRPr="00445AD4">
        <w:rPr>
          <w:rFonts w:ascii="Arial" w:hAnsi="Arial" w:cs="Arial"/>
          <w:sz w:val="22"/>
          <w:szCs w:val="22"/>
        </w:rPr>
        <w:t>tests, analysis, and acceptance criteria (ITAAC)</w:t>
      </w:r>
      <w:r w:rsidR="005C3DD2">
        <w:rPr>
          <w:rFonts w:ascii="Arial" w:hAnsi="Arial" w:cs="Arial"/>
          <w:sz w:val="22"/>
          <w:szCs w:val="22"/>
        </w:rPr>
        <w:t xml:space="preserve">, </w:t>
      </w:r>
      <w:r w:rsidR="00696B5B">
        <w:rPr>
          <w:rFonts w:ascii="Arial" w:hAnsi="Arial" w:cs="Arial"/>
          <w:sz w:val="22"/>
          <w:szCs w:val="22"/>
        </w:rPr>
        <w:t>becaus</w:t>
      </w:r>
      <w:r w:rsidR="005C3DD2">
        <w:rPr>
          <w:rFonts w:ascii="Arial" w:hAnsi="Arial" w:cs="Arial"/>
          <w:sz w:val="22"/>
          <w:szCs w:val="22"/>
        </w:rPr>
        <w:t xml:space="preserve">e </w:t>
      </w:r>
      <w:r w:rsidR="00B14DC0">
        <w:rPr>
          <w:rFonts w:ascii="Arial" w:hAnsi="Arial" w:cs="Arial"/>
          <w:sz w:val="22"/>
          <w:szCs w:val="22"/>
        </w:rPr>
        <w:t xml:space="preserve">the AEA requires both that </w:t>
      </w:r>
      <w:r w:rsidR="005C3DD2">
        <w:rPr>
          <w:rFonts w:ascii="Arial" w:hAnsi="Arial" w:cs="Arial"/>
          <w:sz w:val="22"/>
          <w:szCs w:val="22"/>
        </w:rPr>
        <w:t xml:space="preserve">ITAAC must be included in a </w:t>
      </w:r>
      <w:r w:rsidR="004D2762">
        <w:rPr>
          <w:rFonts w:ascii="Arial" w:hAnsi="Arial" w:cs="Arial"/>
          <w:sz w:val="22"/>
          <w:szCs w:val="22"/>
        </w:rPr>
        <w:t>COL</w:t>
      </w:r>
      <w:r w:rsidR="005C3DD2">
        <w:rPr>
          <w:rFonts w:ascii="Arial" w:hAnsi="Arial" w:cs="Arial"/>
          <w:sz w:val="22"/>
          <w:szCs w:val="22"/>
        </w:rPr>
        <w:t xml:space="preserve"> for a utilization facility and satis</w:t>
      </w:r>
      <w:r w:rsidR="00D52B33">
        <w:rPr>
          <w:rFonts w:ascii="Arial" w:hAnsi="Arial" w:cs="Arial"/>
          <w:sz w:val="22"/>
          <w:szCs w:val="22"/>
        </w:rPr>
        <w:t xml:space="preserve">fied prior to operation </w:t>
      </w:r>
      <w:r w:rsidR="001E2C8D">
        <w:rPr>
          <w:rFonts w:ascii="Arial" w:hAnsi="Arial" w:cs="Arial"/>
          <w:sz w:val="22"/>
          <w:szCs w:val="22"/>
        </w:rPr>
        <w:t>of the facility</w:t>
      </w:r>
      <w:r w:rsidR="00617817">
        <w:rPr>
          <w:rFonts w:ascii="Arial" w:hAnsi="Arial" w:cs="Arial"/>
          <w:sz w:val="22"/>
          <w:szCs w:val="22"/>
        </w:rPr>
        <w:t xml:space="preserve">—the comments suggesting </w:t>
      </w:r>
      <w:r w:rsidR="004E1C15">
        <w:rPr>
          <w:rFonts w:ascii="Arial" w:hAnsi="Arial" w:cs="Arial"/>
          <w:sz w:val="22"/>
          <w:szCs w:val="22"/>
        </w:rPr>
        <w:t>that the reactor not be considered a utilization facility until operation commences does not support this statutory process</w:t>
      </w:r>
      <w:r w:rsidRPr="00445AD4">
        <w:rPr>
          <w:rFonts w:ascii="Arial" w:hAnsi="Arial" w:cs="Arial"/>
          <w:sz w:val="22"/>
          <w:szCs w:val="22"/>
        </w:rPr>
        <w:t xml:space="preserve">. Therefore, </w:t>
      </w:r>
      <w:r w:rsidR="00A721DE">
        <w:rPr>
          <w:rFonts w:ascii="Arial" w:hAnsi="Arial" w:cs="Arial"/>
          <w:sz w:val="22"/>
          <w:szCs w:val="22"/>
        </w:rPr>
        <w:t>regarding</w:t>
      </w:r>
      <w:r w:rsidR="0022167B">
        <w:rPr>
          <w:rFonts w:ascii="Arial" w:hAnsi="Arial" w:cs="Arial"/>
          <w:sz w:val="22"/>
          <w:szCs w:val="22"/>
        </w:rPr>
        <w:t xml:space="preserve"> </w:t>
      </w:r>
      <w:r w:rsidR="00A721DE">
        <w:rPr>
          <w:rFonts w:ascii="Arial" w:hAnsi="Arial" w:cs="Arial"/>
          <w:sz w:val="22"/>
          <w:szCs w:val="22"/>
        </w:rPr>
        <w:t xml:space="preserve">the </w:t>
      </w:r>
      <w:r w:rsidR="0022167B">
        <w:rPr>
          <w:rFonts w:ascii="Arial" w:hAnsi="Arial" w:cs="Arial"/>
          <w:sz w:val="22"/>
          <w:szCs w:val="22"/>
        </w:rPr>
        <w:t>designat</w:t>
      </w:r>
      <w:r w:rsidR="00A721DE">
        <w:rPr>
          <w:rFonts w:ascii="Arial" w:hAnsi="Arial" w:cs="Arial"/>
          <w:sz w:val="22"/>
          <w:szCs w:val="22"/>
        </w:rPr>
        <w:t xml:space="preserve">ion of </w:t>
      </w:r>
      <w:r w:rsidR="0022167B">
        <w:rPr>
          <w:rFonts w:ascii="Arial" w:hAnsi="Arial" w:cs="Arial"/>
          <w:sz w:val="22"/>
          <w:szCs w:val="22"/>
        </w:rPr>
        <w:t xml:space="preserve">a manufactured reactor </w:t>
      </w:r>
      <w:r w:rsidR="00764493">
        <w:rPr>
          <w:rFonts w:ascii="Arial" w:hAnsi="Arial" w:cs="Arial"/>
          <w:sz w:val="22"/>
          <w:szCs w:val="22"/>
        </w:rPr>
        <w:t xml:space="preserve">loaded with fuel as a utilization facility, </w:t>
      </w:r>
      <w:r w:rsidRPr="00445AD4">
        <w:rPr>
          <w:rFonts w:ascii="Arial" w:hAnsi="Arial" w:cs="Arial"/>
          <w:sz w:val="22"/>
          <w:szCs w:val="22"/>
        </w:rPr>
        <w:t>the NRC maintained an approach consistent with th</w:t>
      </w:r>
      <w:r w:rsidR="00C01C40">
        <w:rPr>
          <w:rFonts w:ascii="Arial" w:hAnsi="Arial" w:cs="Arial"/>
          <w:sz w:val="22"/>
          <w:szCs w:val="22"/>
        </w:rPr>
        <w:t>at</w:t>
      </w:r>
      <w:r w:rsidRPr="00445AD4">
        <w:rPr>
          <w:rFonts w:ascii="Arial" w:hAnsi="Arial" w:cs="Arial"/>
          <w:sz w:val="22"/>
          <w:szCs w:val="22"/>
        </w:rPr>
        <w:t xml:space="preserve"> described in SECY-24-0008.</w:t>
      </w:r>
    </w:p>
    <w:p w:rsidR="007F112A" w:rsidRPr="008A7411" w:rsidP="008A7411" w14:paraId="7A09A864" w14:textId="77777777">
      <w:pPr>
        <w:spacing w:after="220"/>
        <w:rPr>
          <w:rFonts w:ascii="Arial" w:hAnsi="Arial" w:cs="Arial"/>
          <w:sz w:val="22"/>
          <w:szCs w:val="22"/>
        </w:rPr>
      </w:pPr>
      <w:r>
        <w:rPr>
          <w:rFonts w:ascii="Arial" w:hAnsi="Arial" w:cs="Arial"/>
          <w:sz w:val="22"/>
          <w:szCs w:val="22"/>
        </w:rPr>
        <w:t>For the same reason, t</w:t>
      </w:r>
      <w:r w:rsidRPr="008A7411">
        <w:rPr>
          <w:rFonts w:ascii="Arial" w:hAnsi="Arial" w:cs="Arial"/>
          <w:sz w:val="22"/>
          <w:szCs w:val="22"/>
        </w:rPr>
        <w:t>he NRC disagrees with the suggestion to change the definition of a commercial nuclear reactor to remove "designed or" to support a conclusion that the fueled manufactured reactor is not a utilization facility until measures to pre</w:t>
      </w:r>
      <w:r w:rsidRPr="008A7411" w:rsidR="000208D7">
        <w:rPr>
          <w:rFonts w:ascii="Arial" w:hAnsi="Arial" w:cs="Arial"/>
          <w:sz w:val="22"/>
          <w:szCs w:val="22"/>
        </w:rPr>
        <w:t>vent</w:t>
      </w:r>
      <w:r w:rsidRPr="008A7411">
        <w:rPr>
          <w:rFonts w:ascii="Arial" w:hAnsi="Arial" w:cs="Arial"/>
          <w:sz w:val="22"/>
          <w:szCs w:val="22"/>
        </w:rPr>
        <w:t xml:space="preserve"> criticality are removed. </w:t>
      </w:r>
      <w:r w:rsidR="00FB33DB">
        <w:rPr>
          <w:rFonts w:ascii="Arial" w:hAnsi="Arial" w:cs="Arial"/>
          <w:sz w:val="22"/>
          <w:szCs w:val="22"/>
        </w:rPr>
        <w:t>Regarding the suggestion that the NRC</w:t>
      </w:r>
      <w:r w:rsidRPr="008A7411">
        <w:rPr>
          <w:rFonts w:ascii="Arial" w:hAnsi="Arial" w:cs="Arial"/>
          <w:sz w:val="22"/>
          <w:szCs w:val="22"/>
        </w:rPr>
        <w:t xml:space="preserve"> should adopt a definition of utilization facility that excludes low-hazard advanced reactors</w:t>
      </w:r>
      <w:r w:rsidR="00FB33DB">
        <w:rPr>
          <w:rFonts w:ascii="Arial" w:hAnsi="Arial" w:cs="Arial"/>
          <w:sz w:val="22"/>
          <w:szCs w:val="22"/>
        </w:rPr>
        <w:t>,</w:t>
      </w:r>
      <w:r w:rsidRPr="00055B59" w:rsidR="00FB33DB">
        <w:rPr>
          <w:rFonts w:ascii="Arial" w:hAnsi="Arial" w:cs="Arial"/>
          <w:sz w:val="22"/>
          <w:szCs w:val="22"/>
        </w:rPr>
        <w:t xml:space="preserve"> </w:t>
      </w:r>
      <w:r w:rsidRPr="00FB33DB" w:rsidR="00FB33DB">
        <w:rPr>
          <w:rFonts w:ascii="Arial" w:hAnsi="Arial" w:cs="Arial"/>
          <w:sz w:val="22"/>
          <w:szCs w:val="22"/>
        </w:rPr>
        <w:t>the NRC is undertaking a separate rulemaking effort to expedite licensing of qualified microreactors and other potentially low risk, low consequence reactors. This rulemaking effort is consistent with the ADVANCE Act and EOs issued in 2025</w:t>
      </w:r>
      <w:r w:rsidRPr="008A7411">
        <w:rPr>
          <w:rFonts w:ascii="Arial" w:hAnsi="Arial" w:cs="Arial"/>
          <w:sz w:val="22"/>
          <w:szCs w:val="22"/>
        </w:rPr>
        <w:t>.</w:t>
      </w:r>
    </w:p>
    <w:p w:rsidR="007F112A" w:rsidRPr="008A7411" w:rsidP="008A7411" w14:paraId="5F8DECDA" w14:textId="77777777">
      <w:pPr>
        <w:spacing w:after="220"/>
        <w:rPr>
          <w:rFonts w:ascii="Arial" w:hAnsi="Arial" w:cs="Arial"/>
          <w:sz w:val="22"/>
          <w:szCs w:val="22"/>
        </w:rPr>
      </w:pPr>
      <w:r w:rsidRPr="008A7411">
        <w:rPr>
          <w:rFonts w:ascii="Arial" w:hAnsi="Arial" w:cs="Arial"/>
          <w:sz w:val="22"/>
          <w:szCs w:val="22"/>
        </w:rPr>
        <w:t>The NRC agrees that it could consider a fueled reactor undergoing testing at the manufacturing facility to be similar to a test reactor and agrees with other comments suggesting that an approach similar to that described in SECY-24-0008 can be taken where applicants for or holders of an ML can request exemptions to specific NRC regulations, including those in 10</w:t>
      </w:r>
      <w:r w:rsidR="00BD0234">
        <w:rPr>
          <w:rFonts w:ascii="Arial" w:hAnsi="Arial" w:cs="Arial"/>
          <w:sz w:val="22"/>
          <w:szCs w:val="22"/>
        </w:rPr>
        <w:t> </w:t>
      </w:r>
      <w:r w:rsidRPr="008A7411">
        <w:rPr>
          <w:rFonts w:ascii="Arial" w:hAnsi="Arial" w:cs="Arial"/>
          <w:sz w:val="22"/>
          <w:szCs w:val="22"/>
        </w:rPr>
        <w:t>CFR Part 53, to accommodate the reduced risk profile that might be associated with factory testing of a microreactor. As a result, the NRC did not include specific provisions for factory testing in the final 10 CFR Part 53 but could pursue adding such provisions in a future rulemaking if such action is warranted.</w:t>
      </w:r>
    </w:p>
    <w:p w:rsidR="007F112A" w:rsidRPr="008A7411" w:rsidP="008A7411" w14:paraId="62C45005" w14:textId="77777777">
      <w:pPr>
        <w:spacing w:after="220"/>
        <w:rPr>
          <w:rFonts w:ascii="Arial" w:hAnsi="Arial" w:cs="Arial"/>
          <w:sz w:val="22"/>
          <w:szCs w:val="22"/>
        </w:rPr>
      </w:pPr>
      <w:r w:rsidRPr="008A7411">
        <w:rPr>
          <w:rFonts w:ascii="Arial" w:hAnsi="Arial" w:cs="Arial"/>
          <w:sz w:val="22"/>
          <w:szCs w:val="22"/>
        </w:rPr>
        <w:t xml:space="preserve">The NRC agrees that commencement of reactor operation under 10 CFR Part 53 should not be marked for all commercial </w:t>
      </w:r>
      <w:r w:rsidR="00911F90">
        <w:rPr>
          <w:rFonts w:ascii="Arial" w:hAnsi="Arial" w:cs="Arial"/>
          <w:sz w:val="22"/>
          <w:szCs w:val="22"/>
        </w:rPr>
        <w:t xml:space="preserve">nuclear </w:t>
      </w:r>
      <w:r w:rsidRPr="008A7411">
        <w:rPr>
          <w:rFonts w:ascii="Arial" w:hAnsi="Arial" w:cs="Arial"/>
          <w:sz w:val="22"/>
          <w:szCs w:val="22"/>
        </w:rPr>
        <w:t>reactors by initial loading of fuel</w:t>
      </w:r>
      <w:r w:rsidR="00451F62">
        <w:rPr>
          <w:rFonts w:ascii="Arial" w:hAnsi="Arial" w:cs="Arial"/>
          <w:sz w:val="22"/>
          <w:szCs w:val="22"/>
        </w:rPr>
        <w:t xml:space="preserve">, as explained in the </w:t>
      </w:r>
      <w:r w:rsidR="007A468A">
        <w:rPr>
          <w:rFonts w:ascii="Arial" w:hAnsi="Arial" w:cs="Arial"/>
          <w:sz w:val="22"/>
          <w:szCs w:val="22"/>
        </w:rPr>
        <w:t>proposed and final rules,</w:t>
      </w:r>
      <w:r w:rsidRPr="008A7411">
        <w:rPr>
          <w:rFonts w:ascii="Arial" w:hAnsi="Arial" w:cs="Arial"/>
          <w:sz w:val="22"/>
          <w:szCs w:val="22"/>
        </w:rPr>
        <w:t xml:space="preserve"> but disagrees that a reactor should not be considered in operation when initiating changes to the features to prevent criticality.</w:t>
      </w:r>
      <w:r w:rsidR="005D504C">
        <w:rPr>
          <w:rFonts w:ascii="Arial" w:hAnsi="Arial" w:cs="Arial"/>
          <w:sz w:val="22"/>
          <w:szCs w:val="22"/>
        </w:rPr>
        <w:t xml:space="preserve"> </w:t>
      </w:r>
      <w:r w:rsidR="0077565A">
        <w:rPr>
          <w:rFonts w:ascii="Arial" w:hAnsi="Arial" w:cs="Arial"/>
          <w:sz w:val="22"/>
          <w:szCs w:val="22"/>
        </w:rPr>
        <w:t>Initiating the removal o</w:t>
      </w:r>
      <w:r w:rsidR="005A1458">
        <w:rPr>
          <w:rFonts w:ascii="Arial" w:hAnsi="Arial" w:cs="Arial"/>
          <w:sz w:val="22"/>
          <w:szCs w:val="22"/>
        </w:rPr>
        <w:t xml:space="preserve">f features to </w:t>
      </w:r>
      <w:r w:rsidR="004D3DFA">
        <w:rPr>
          <w:rFonts w:ascii="Arial" w:hAnsi="Arial" w:cs="Arial"/>
          <w:sz w:val="22"/>
          <w:szCs w:val="22"/>
        </w:rPr>
        <w:t xml:space="preserve">prevent criticality </w:t>
      </w:r>
      <w:r w:rsidR="00E75D53">
        <w:rPr>
          <w:rFonts w:ascii="Arial" w:hAnsi="Arial" w:cs="Arial"/>
          <w:sz w:val="22"/>
          <w:szCs w:val="22"/>
        </w:rPr>
        <w:t xml:space="preserve">provides a logical </w:t>
      </w:r>
      <w:r w:rsidR="004D686D">
        <w:rPr>
          <w:rFonts w:ascii="Arial" w:hAnsi="Arial" w:cs="Arial"/>
          <w:sz w:val="22"/>
          <w:szCs w:val="22"/>
        </w:rPr>
        <w:t xml:space="preserve">transition </w:t>
      </w:r>
      <w:r w:rsidR="00145133">
        <w:rPr>
          <w:rFonts w:ascii="Arial" w:hAnsi="Arial" w:cs="Arial"/>
          <w:sz w:val="22"/>
          <w:szCs w:val="22"/>
        </w:rPr>
        <w:t xml:space="preserve">to an operational mode where </w:t>
      </w:r>
      <w:r w:rsidR="00DD292A">
        <w:rPr>
          <w:rFonts w:ascii="Arial" w:hAnsi="Arial" w:cs="Arial"/>
          <w:sz w:val="22"/>
          <w:szCs w:val="22"/>
        </w:rPr>
        <w:t xml:space="preserve">the safety requirements under 10 CFR Part 53 </w:t>
      </w:r>
      <w:r w:rsidR="00F71E55">
        <w:rPr>
          <w:rFonts w:ascii="Arial" w:hAnsi="Arial" w:cs="Arial"/>
          <w:sz w:val="22"/>
          <w:szCs w:val="22"/>
        </w:rPr>
        <w:t xml:space="preserve">should apply and </w:t>
      </w:r>
      <w:r w:rsidR="005D1272">
        <w:rPr>
          <w:rFonts w:ascii="Arial" w:hAnsi="Arial" w:cs="Arial"/>
          <w:sz w:val="22"/>
          <w:szCs w:val="22"/>
        </w:rPr>
        <w:t xml:space="preserve">this activity </w:t>
      </w:r>
      <w:r w:rsidR="000C68CD">
        <w:rPr>
          <w:rFonts w:ascii="Arial" w:hAnsi="Arial" w:cs="Arial"/>
          <w:sz w:val="22"/>
          <w:szCs w:val="22"/>
        </w:rPr>
        <w:t xml:space="preserve">is </w:t>
      </w:r>
      <w:r w:rsidR="006D7C24">
        <w:rPr>
          <w:rFonts w:ascii="Arial" w:hAnsi="Arial" w:cs="Arial"/>
          <w:sz w:val="22"/>
          <w:szCs w:val="22"/>
        </w:rPr>
        <w:t xml:space="preserve">a reasonable </w:t>
      </w:r>
      <w:r w:rsidR="00AE1BE5">
        <w:rPr>
          <w:rFonts w:ascii="Arial" w:hAnsi="Arial" w:cs="Arial"/>
          <w:sz w:val="22"/>
          <w:szCs w:val="22"/>
        </w:rPr>
        <w:t>corollary</w:t>
      </w:r>
      <w:r w:rsidR="006D7C24">
        <w:rPr>
          <w:rFonts w:ascii="Arial" w:hAnsi="Arial" w:cs="Arial"/>
          <w:sz w:val="22"/>
          <w:szCs w:val="22"/>
        </w:rPr>
        <w:t xml:space="preserve"> </w:t>
      </w:r>
      <w:r w:rsidR="00AE1BE5">
        <w:rPr>
          <w:rFonts w:ascii="Arial" w:hAnsi="Arial" w:cs="Arial"/>
          <w:sz w:val="22"/>
          <w:szCs w:val="22"/>
        </w:rPr>
        <w:t xml:space="preserve">to the loading of fuel for </w:t>
      </w:r>
      <w:r w:rsidR="009F20EC">
        <w:rPr>
          <w:rFonts w:ascii="Arial" w:hAnsi="Arial" w:cs="Arial"/>
          <w:sz w:val="22"/>
          <w:szCs w:val="22"/>
        </w:rPr>
        <w:t>commercial nuclear reactors that do not involve a manufactured reactor.</w:t>
      </w:r>
      <w:r w:rsidR="004510A6">
        <w:rPr>
          <w:rFonts w:ascii="Arial" w:hAnsi="Arial" w:cs="Arial"/>
          <w:sz w:val="22"/>
          <w:szCs w:val="22"/>
        </w:rPr>
        <w:t xml:space="preserve"> </w:t>
      </w:r>
    </w:p>
    <w:p w:rsidR="007F112A" w:rsidRPr="008A7411" w:rsidP="008A7411" w14:paraId="203EAE14" w14:textId="77777777">
      <w:pPr>
        <w:spacing w:after="220"/>
        <w:rPr>
          <w:rFonts w:ascii="Arial" w:hAnsi="Arial" w:cs="Arial"/>
          <w:sz w:val="22"/>
          <w:szCs w:val="22"/>
        </w:rPr>
      </w:pPr>
      <w:r w:rsidRPr="008A7411">
        <w:rPr>
          <w:rFonts w:ascii="Arial" w:hAnsi="Arial" w:cs="Arial"/>
          <w:sz w:val="22"/>
          <w:szCs w:val="22"/>
        </w:rPr>
        <w:t xml:space="preserve">The NRC agrees that that the potentially lower risk profile of small, fueled manufactured reactors (i.e., microreactors) may warrant consideration of a regulatory framework more tailored to a lower risk profile. To that end, the NRC is undertaking a separate </w:t>
      </w:r>
      <w:r w:rsidR="00B74693">
        <w:rPr>
          <w:rFonts w:ascii="Arial" w:hAnsi="Arial" w:cs="Arial"/>
          <w:sz w:val="22"/>
          <w:szCs w:val="22"/>
        </w:rPr>
        <w:t xml:space="preserve">microreactor </w:t>
      </w:r>
      <w:r w:rsidRPr="008A7411">
        <w:rPr>
          <w:rFonts w:ascii="Arial" w:hAnsi="Arial" w:cs="Arial"/>
          <w:sz w:val="22"/>
          <w:szCs w:val="22"/>
        </w:rPr>
        <w:t>rulemaking effort.</w:t>
      </w:r>
    </w:p>
    <w:p w:rsidR="007F112A" w:rsidRPr="008A7411" w:rsidP="008A7411" w14:paraId="1FA8FC13" w14:textId="77777777">
      <w:pPr>
        <w:spacing w:after="220"/>
        <w:rPr>
          <w:rFonts w:ascii="Arial" w:hAnsi="Arial" w:cs="Arial"/>
          <w:sz w:val="22"/>
          <w:szCs w:val="22"/>
        </w:rPr>
      </w:pPr>
      <w:r w:rsidRPr="008A7411">
        <w:rPr>
          <w:rFonts w:ascii="Arial" w:hAnsi="Arial" w:cs="Arial"/>
          <w:sz w:val="22"/>
          <w:szCs w:val="22"/>
        </w:rPr>
        <w:t>Accordingly, the NRC did not change the rule language in response to these comments.</w:t>
      </w:r>
    </w:p>
    <w:p w:rsidR="007F112A" w:rsidRPr="00DA0A3C" w:rsidP="008A7411" w14:paraId="30DB3155" w14:textId="77777777">
      <w:pPr>
        <w:spacing w:after="220"/>
        <w:rPr>
          <w:rFonts w:ascii="Arial" w:hAnsi="Arial" w:cs="Arial"/>
        </w:rPr>
      </w:pPr>
      <w:r>
        <w:rPr>
          <w:rFonts w:ascii="Arial" w:hAnsi="Arial" w:cs="Arial"/>
          <w:sz w:val="22"/>
          <w:szCs w:val="22"/>
        </w:rPr>
        <w:pict>
          <v:rect id="_x0000_i1276" style="width:0;height:1.5pt" o:hralign="center" o:hrstd="t" o:hrnoshade="t" o:hr="t" fillcolor="black" stroked="f"/>
        </w:pict>
      </w:r>
    </w:p>
    <w:p w:rsidR="007F112A" w:rsidRPr="005E489E" w:rsidP="00E221AD" w14:paraId="640047D8" w14:textId="77777777">
      <w:pPr>
        <w:pStyle w:val="Heading3"/>
        <w:numPr>
          <w:ilvl w:val="0"/>
          <w:numId w:val="0"/>
        </w:numPr>
        <w:tabs>
          <w:tab w:val="left" w:pos="720"/>
        </w:tabs>
        <w:ind w:left="720" w:hanging="720"/>
        <w:rPr>
          <w:rFonts w:eastAsia="Times New Roman"/>
          <w:b/>
        </w:rPr>
      </w:pPr>
      <w:bookmarkStart w:id="100" w:name="_Toc194678431"/>
      <w:bookmarkStart w:id="101" w:name="_Toc207222838"/>
      <w:r w:rsidRPr="00E221AD">
        <w:rPr>
          <w:u w:val="none"/>
        </w:rPr>
        <w:t>3.8.1</w:t>
      </w:r>
      <w:r w:rsidRPr="00E221AD" w:rsidR="00E221AD">
        <w:rPr>
          <w:u w:val="none"/>
        </w:rPr>
        <w:t>0.</w:t>
      </w:r>
      <w:r w:rsidRPr="00E221AD" w:rsidR="00E221AD">
        <w:rPr>
          <w:u w:val="none"/>
        </w:rPr>
        <w:tab/>
      </w:r>
      <w:r w:rsidRPr="00DA0A3C">
        <w:t xml:space="preserve">RFC: Physics testing of fueled manufactured reactors (use of COL vs. ML, applicability of requirements [§§ 53.610, 53.710, 53.715, 53.730 and others], selection of LBEs, design and analysis), including comments on </w:t>
      </w:r>
      <w:r w:rsidR="003D2E92">
        <w:t>low power physics testing</w:t>
      </w:r>
      <w:r w:rsidRPr="00DA0A3C">
        <w:t xml:space="preserve"> white paper</w:t>
      </w:r>
      <w:bookmarkEnd w:id="100"/>
      <w:bookmarkEnd w:id="101"/>
    </w:p>
    <w:p w:rsidR="007F112A" w:rsidRPr="008A7411" w:rsidP="008A7411" w14:paraId="79D10B9F" w14:textId="77777777">
      <w:pPr>
        <w:spacing w:after="220"/>
        <w:rPr>
          <w:rFonts w:ascii="Arial" w:hAnsi="Arial" w:cs="Arial"/>
          <w:sz w:val="22"/>
          <w:szCs w:val="22"/>
        </w:rPr>
      </w:pPr>
      <w:r w:rsidRPr="008A7411">
        <w:rPr>
          <w:rFonts w:ascii="Arial" w:hAnsi="Arial" w:cs="Arial"/>
          <w:b/>
          <w:sz w:val="22"/>
          <w:szCs w:val="22"/>
        </w:rPr>
        <w:t>Comment Bin 3.8.10.A:</w:t>
      </w:r>
      <w:r w:rsidRPr="008A7411">
        <w:rPr>
          <w:rFonts w:ascii="Arial" w:hAnsi="Arial" w:cs="Arial"/>
          <w:sz w:val="22"/>
          <w:szCs w:val="22"/>
        </w:rPr>
        <w:t xml:space="preserve"> In commenting on 10 CFR </w:t>
      </w:r>
      <w:r w:rsidRPr="008A7411" w:rsidR="006932FF">
        <w:rPr>
          <w:rFonts w:ascii="Arial" w:hAnsi="Arial" w:cs="Arial"/>
          <w:sz w:val="22"/>
          <w:szCs w:val="22"/>
        </w:rPr>
        <w:t>53.</w:t>
      </w:r>
      <w:r w:rsidRPr="008A7411">
        <w:rPr>
          <w:rFonts w:ascii="Arial" w:hAnsi="Arial" w:cs="Arial"/>
          <w:sz w:val="22"/>
          <w:szCs w:val="22"/>
        </w:rPr>
        <w:t xml:space="preserve">1480(f)(2), </w:t>
      </w:r>
      <w:r w:rsidRPr="008A7411" w:rsidR="00F143C9">
        <w:rPr>
          <w:rFonts w:ascii="Arial" w:hAnsi="Arial" w:cs="Arial"/>
          <w:sz w:val="22"/>
          <w:szCs w:val="22"/>
        </w:rPr>
        <w:t xml:space="preserve">which was part </w:t>
      </w:r>
      <w:r w:rsidRPr="008A7411" w:rsidR="00E71DCD">
        <w:rPr>
          <w:rFonts w:ascii="Arial" w:hAnsi="Arial" w:cs="Arial"/>
          <w:sz w:val="22"/>
          <w:szCs w:val="22"/>
        </w:rPr>
        <w:t>of a</w:t>
      </w:r>
      <w:r w:rsidRPr="008A7411" w:rsidR="0051034D">
        <w:rPr>
          <w:rFonts w:ascii="Arial" w:hAnsi="Arial" w:cs="Arial"/>
          <w:sz w:val="22"/>
          <w:szCs w:val="22"/>
        </w:rPr>
        <w:t xml:space="preserve">n NRC </w:t>
      </w:r>
      <w:r w:rsidR="00EF7060">
        <w:rPr>
          <w:rFonts w:ascii="Arial" w:hAnsi="Arial" w:cs="Arial"/>
          <w:sz w:val="22"/>
          <w:szCs w:val="22"/>
        </w:rPr>
        <w:t>S</w:t>
      </w:r>
      <w:r w:rsidRPr="008A7411" w:rsidR="0051034D">
        <w:rPr>
          <w:rFonts w:ascii="Arial" w:hAnsi="Arial" w:cs="Arial"/>
          <w:sz w:val="22"/>
          <w:szCs w:val="22"/>
        </w:rPr>
        <w:t>taff</w:t>
      </w:r>
      <w:r w:rsidRPr="008A7411" w:rsidR="00E71DCD">
        <w:rPr>
          <w:rFonts w:ascii="Arial" w:hAnsi="Arial" w:cs="Arial"/>
          <w:sz w:val="22"/>
          <w:szCs w:val="22"/>
        </w:rPr>
        <w:t xml:space="preserve"> </w:t>
      </w:r>
      <w:r w:rsidR="00EF7060">
        <w:rPr>
          <w:rFonts w:ascii="Arial" w:hAnsi="Arial" w:cs="Arial"/>
          <w:sz w:val="22"/>
          <w:szCs w:val="22"/>
        </w:rPr>
        <w:t>W</w:t>
      </w:r>
      <w:r w:rsidRPr="008A7411" w:rsidR="00E71DCD">
        <w:rPr>
          <w:rFonts w:ascii="Arial" w:hAnsi="Arial" w:cs="Arial"/>
          <w:sz w:val="22"/>
          <w:szCs w:val="22"/>
        </w:rPr>
        <w:t xml:space="preserve">hite </w:t>
      </w:r>
      <w:r w:rsidR="00EF7060">
        <w:rPr>
          <w:rFonts w:ascii="Arial" w:hAnsi="Arial" w:cs="Arial"/>
          <w:sz w:val="22"/>
          <w:szCs w:val="22"/>
        </w:rPr>
        <w:t>P</w:t>
      </w:r>
      <w:r w:rsidRPr="008A7411" w:rsidR="00E71DCD">
        <w:rPr>
          <w:rFonts w:ascii="Arial" w:hAnsi="Arial" w:cs="Arial"/>
          <w:sz w:val="22"/>
          <w:szCs w:val="22"/>
        </w:rPr>
        <w:t>aper</w:t>
      </w:r>
      <w:r w:rsidRPr="008A7411" w:rsidR="002E348E">
        <w:rPr>
          <w:rFonts w:ascii="Arial" w:hAnsi="Arial" w:cs="Arial"/>
          <w:sz w:val="22"/>
          <w:szCs w:val="22"/>
        </w:rPr>
        <w:t xml:space="preserve"> titled, “DRAFT Section 53.1480 – Combined license</w:t>
      </w:r>
      <w:r w:rsidRPr="008A7411" w:rsidR="00AA6B1F">
        <w:rPr>
          <w:rFonts w:ascii="Arial" w:hAnsi="Arial" w:cs="Arial"/>
          <w:sz w:val="22"/>
          <w:szCs w:val="22"/>
        </w:rPr>
        <w:t xml:space="preserve"> supporting testing of </w:t>
      </w:r>
      <w:r w:rsidRPr="008A7411" w:rsidR="00AA6B1F">
        <w:rPr>
          <w:rFonts w:ascii="Arial" w:hAnsi="Arial" w:cs="Arial"/>
          <w:sz w:val="22"/>
          <w:szCs w:val="22"/>
        </w:rPr>
        <w:t>manufactured reactors,”</w:t>
      </w:r>
      <w:r w:rsidRPr="008A7411" w:rsidR="00CE77D3">
        <w:rPr>
          <w:rFonts w:ascii="Arial" w:hAnsi="Arial" w:cs="Arial"/>
          <w:sz w:val="22"/>
          <w:szCs w:val="22"/>
        </w:rPr>
        <w:t xml:space="preserve"> </w:t>
      </w:r>
      <w:r w:rsidRPr="00D76460" w:rsidR="00D76460">
        <w:rPr>
          <w:rFonts w:ascii="Arial" w:hAnsi="Arial" w:cs="Arial"/>
          <w:sz w:val="22"/>
          <w:szCs w:val="22"/>
        </w:rPr>
        <w:t xml:space="preserve">issued December 2024 </w:t>
      </w:r>
      <w:r w:rsidRPr="008A7411" w:rsidR="00CE77D3">
        <w:rPr>
          <w:rFonts w:ascii="Arial" w:hAnsi="Arial" w:cs="Arial"/>
          <w:sz w:val="22"/>
          <w:szCs w:val="22"/>
        </w:rPr>
        <w:t>(ML24344A037)</w:t>
      </w:r>
      <w:r w:rsidR="00D76460">
        <w:rPr>
          <w:rFonts w:ascii="Arial" w:hAnsi="Arial" w:cs="Arial"/>
          <w:sz w:val="22"/>
          <w:szCs w:val="22"/>
        </w:rPr>
        <w:t>,</w:t>
      </w:r>
      <w:r w:rsidRPr="008A7411" w:rsidR="00AA6B1F">
        <w:rPr>
          <w:rFonts w:ascii="Arial" w:hAnsi="Arial" w:cs="Arial"/>
          <w:sz w:val="22"/>
          <w:szCs w:val="22"/>
        </w:rPr>
        <w:t xml:space="preserve"> </w:t>
      </w:r>
      <w:r w:rsidRPr="008A7411">
        <w:rPr>
          <w:rFonts w:ascii="Arial" w:hAnsi="Arial" w:cs="Arial"/>
          <w:sz w:val="22"/>
          <w:szCs w:val="22"/>
        </w:rPr>
        <w:t>a commenter wrote that the term “analytical safety margins” requires a clear definition. The commenter said that the term is addressed in 10 CFR 53.470, which refers to 10 CFR 53.450</w:t>
      </w:r>
      <w:r w:rsidRPr="008A7411" w:rsidR="00AC3EB0">
        <w:rPr>
          <w:rFonts w:ascii="Arial" w:hAnsi="Arial" w:cs="Arial"/>
          <w:sz w:val="22"/>
          <w:szCs w:val="22"/>
        </w:rPr>
        <w:t>;</w:t>
      </w:r>
      <w:r w:rsidRPr="008A7411">
        <w:rPr>
          <w:rFonts w:ascii="Arial" w:hAnsi="Arial" w:cs="Arial"/>
          <w:sz w:val="22"/>
          <w:szCs w:val="22"/>
        </w:rPr>
        <w:t xml:space="preserve"> however</w:t>
      </w:r>
      <w:r w:rsidRPr="008A7411" w:rsidR="00AC3EB0">
        <w:rPr>
          <w:rFonts w:ascii="Arial" w:hAnsi="Arial" w:cs="Arial"/>
          <w:sz w:val="22"/>
          <w:szCs w:val="22"/>
        </w:rPr>
        <w:t>,</w:t>
      </w:r>
      <w:r w:rsidRPr="008A7411">
        <w:rPr>
          <w:rFonts w:ascii="Arial" w:hAnsi="Arial" w:cs="Arial"/>
          <w:sz w:val="22"/>
          <w:szCs w:val="22"/>
        </w:rPr>
        <w:t xml:space="preserve"> PRA does not provide an accurate or comprehensive estimate of risk over time.</w:t>
      </w:r>
    </w:p>
    <w:p w:rsidR="007F112A" w:rsidRPr="008A7411" w:rsidP="008A7411" w14:paraId="63B7D104" w14:textId="77777777">
      <w:pPr>
        <w:spacing w:after="220"/>
        <w:rPr>
          <w:rFonts w:ascii="Arial" w:hAnsi="Arial" w:cs="Arial"/>
          <w:sz w:val="22"/>
          <w:szCs w:val="22"/>
        </w:rPr>
      </w:pPr>
      <w:r w:rsidRPr="008A7411">
        <w:rPr>
          <w:rFonts w:ascii="Arial" w:hAnsi="Arial" w:cs="Arial"/>
          <w:sz w:val="22"/>
          <w:szCs w:val="22"/>
        </w:rPr>
        <w:t xml:space="preserve">The commenter </w:t>
      </w:r>
      <w:r w:rsidR="00EF7060">
        <w:rPr>
          <w:rFonts w:ascii="Arial" w:hAnsi="Arial" w:cs="Arial"/>
          <w:sz w:val="22"/>
          <w:szCs w:val="22"/>
        </w:rPr>
        <w:t>stated</w:t>
      </w:r>
      <w:r w:rsidRPr="008A7411">
        <w:rPr>
          <w:rFonts w:ascii="Arial" w:hAnsi="Arial" w:cs="Arial"/>
          <w:sz w:val="22"/>
          <w:szCs w:val="22"/>
        </w:rPr>
        <w:t xml:space="preserve"> that in engineering practice, safety margins are fundamental to designing protections against hazards, particularly when uncertainty cannot be fully quantified. In some cases, sufficient statistical data are available to quantify reliability. The commenter wrote it is critical to outline how established engineering practices for protections against hazards align with the NRC's concept of “analytical safety margins.” The commenter argued such alignment would clarify how the NRC intends to incorporate engineering safety principles into its regulatory framework.</w:t>
      </w:r>
    </w:p>
    <w:p w:rsidR="007F112A" w:rsidRPr="008A7411" w:rsidP="008A7411" w14:paraId="1DDA62D8" w14:textId="77777777">
      <w:pPr>
        <w:spacing w:after="220"/>
        <w:rPr>
          <w:rFonts w:ascii="Arial" w:hAnsi="Arial" w:cs="Arial"/>
          <w:sz w:val="22"/>
          <w:szCs w:val="22"/>
        </w:rPr>
      </w:pPr>
      <w:r w:rsidRPr="008A7411">
        <w:rPr>
          <w:rFonts w:ascii="Arial" w:hAnsi="Arial" w:cs="Arial"/>
          <w:sz w:val="22"/>
          <w:szCs w:val="22"/>
        </w:rPr>
        <w:t xml:space="preserve">The commenter wrote that the NRC recognizes PRA's limitations, given the requirements to report unexpected failures in protections such as defense in depth or safety margins. The commenter </w:t>
      </w:r>
      <w:r w:rsidR="00EF7060">
        <w:rPr>
          <w:rFonts w:ascii="Arial" w:hAnsi="Arial" w:cs="Arial"/>
          <w:sz w:val="22"/>
          <w:szCs w:val="22"/>
        </w:rPr>
        <w:t>said</w:t>
      </w:r>
      <w:r w:rsidRPr="008A7411">
        <w:rPr>
          <w:rFonts w:ascii="Arial" w:hAnsi="Arial" w:cs="Arial"/>
          <w:sz w:val="22"/>
          <w:szCs w:val="22"/>
        </w:rPr>
        <w:t xml:space="preserve"> that these requirements enable ongoing evaluation and prioritization of safety restorations, emphasizing the importance of a dynamic and adaptive risk management approach. The commenter cited research which they said describes the limitations of risk assessment in other contexts that are also applicable to the nuclear industry. The commenter argued these insights underscore the difficulty of reconciling PRA-based “analytical safety margins” with practical safety management and highlight the need for clearer definitions and methodologies in the NRC framework.</w:t>
      </w:r>
    </w:p>
    <w:p w:rsidR="007F112A" w:rsidRPr="008A7411" w:rsidP="008A7411" w14:paraId="5E0EAA85" w14:textId="77777777">
      <w:pPr>
        <w:spacing w:after="220"/>
        <w:rPr>
          <w:rFonts w:ascii="Arial" w:hAnsi="Arial" w:cs="Arial"/>
          <w:sz w:val="22"/>
          <w:szCs w:val="22"/>
        </w:rPr>
      </w:pPr>
      <w:r w:rsidRPr="008A7411">
        <w:rPr>
          <w:rFonts w:ascii="Arial" w:hAnsi="Arial" w:cs="Arial"/>
          <w:sz w:val="22"/>
          <w:szCs w:val="22"/>
        </w:rPr>
        <w:t xml:space="preserve">The commenter wrote that, as unexpected events unfold during facility operation, risk assessments must be revised to reflect the evolving understanding of risks. </w:t>
      </w:r>
      <w:r w:rsidR="00171FCE">
        <w:rPr>
          <w:rFonts w:ascii="Arial" w:hAnsi="Arial" w:cs="Arial"/>
          <w:sz w:val="22"/>
          <w:szCs w:val="22"/>
        </w:rPr>
        <w:t xml:space="preserve">The commenter said that </w:t>
      </w:r>
      <w:r w:rsidRPr="008A7411">
        <w:rPr>
          <w:rFonts w:ascii="Arial" w:hAnsi="Arial" w:cs="Arial"/>
          <w:sz w:val="22"/>
          <w:szCs w:val="22"/>
        </w:rPr>
        <w:t xml:space="preserve">PRA can only include events known at the time of the analysis, rendering its </w:t>
      </w:r>
      <w:r w:rsidR="00171FCE">
        <w:rPr>
          <w:rFonts w:ascii="Arial" w:hAnsi="Arial" w:cs="Arial"/>
          <w:sz w:val="22"/>
          <w:szCs w:val="22"/>
        </w:rPr>
        <w:t>“</w:t>
      </w:r>
      <w:r w:rsidRPr="008A7411">
        <w:rPr>
          <w:rFonts w:ascii="Arial" w:hAnsi="Arial" w:cs="Arial"/>
          <w:sz w:val="22"/>
          <w:szCs w:val="22"/>
        </w:rPr>
        <w:t>predictions</w:t>
      </w:r>
      <w:r w:rsidR="00171FCE">
        <w:rPr>
          <w:rFonts w:ascii="Arial" w:hAnsi="Arial" w:cs="Arial"/>
          <w:sz w:val="22"/>
          <w:szCs w:val="22"/>
        </w:rPr>
        <w:t>”</w:t>
      </w:r>
      <w:r w:rsidRPr="008A7411">
        <w:rPr>
          <w:rFonts w:ascii="Arial" w:hAnsi="Arial" w:cs="Arial"/>
          <w:sz w:val="22"/>
          <w:szCs w:val="22"/>
        </w:rPr>
        <w:t xml:space="preserve"> inherently incomplete and optimistic. The commenter stated that the </w:t>
      </w:r>
      <w:r w:rsidR="00171FCE">
        <w:rPr>
          <w:rFonts w:ascii="Arial" w:hAnsi="Arial" w:cs="Arial"/>
          <w:sz w:val="22"/>
          <w:szCs w:val="22"/>
        </w:rPr>
        <w:t>“</w:t>
      </w:r>
      <w:r w:rsidRPr="008A7411">
        <w:rPr>
          <w:rFonts w:ascii="Arial" w:hAnsi="Arial" w:cs="Arial"/>
          <w:sz w:val="22"/>
          <w:szCs w:val="22"/>
        </w:rPr>
        <w:t>correct prediction</w:t>
      </w:r>
      <w:r w:rsidR="00171FCE">
        <w:rPr>
          <w:rFonts w:ascii="Arial" w:hAnsi="Arial" w:cs="Arial"/>
          <w:sz w:val="22"/>
          <w:szCs w:val="22"/>
        </w:rPr>
        <w:t>”</w:t>
      </w:r>
      <w:r w:rsidRPr="008A7411">
        <w:rPr>
          <w:rFonts w:ascii="Arial" w:hAnsi="Arial" w:cs="Arial"/>
          <w:sz w:val="22"/>
          <w:szCs w:val="22"/>
        </w:rPr>
        <w:t xml:space="preserve"> of accident risks can only be made retrospectively, after facility operations have concluded, as only at this point will all necessary information for a complete risk evaluation be available (</w:t>
      </w:r>
      <w:r w:rsidR="00F66F54">
        <w:rPr>
          <w:rFonts w:ascii="Arial" w:hAnsi="Arial" w:cs="Arial"/>
          <w:sz w:val="22"/>
          <w:szCs w:val="22"/>
        </w:rPr>
        <w:t>EK</w:t>
      </w:r>
      <w:r w:rsidRPr="008A7411">
        <w:rPr>
          <w:rFonts w:ascii="Arial" w:hAnsi="Arial" w:cs="Arial"/>
          <w:sz w:val="22"/>
          <w:szCs w:val="22"/>
        </w:rPr>
        <w:t>-0001).</w:t>
      </w:r>
    </w:p>
    <w:p w:rsidR="0019063A" w:rsidRPr="008A7411" w:rsidP="008A7411" w14:paraId="73B0970A" w14:textId="77777777">
      <w:pPr>
        <w:spacing w:after="220"/>
        <w:rPr>
          <w:rFonts w:ascii="Arial" w:hAnsi="Arial" w:cs="Arial"/>
          <w:sz w:val="22"/>
          <w:szCs w:val="22"/>
        </w:rPr>
      </w:pPr>
      <w:r w:rsidRPr="008A7411">
        <w:rPr>
          <w:rFonts w:ascii="Arial" w:hAnsi="Arial" w:cs="Arial"/>
          <w:b/>
          <w:sz w:val="22"/>
          <w:szCs w:val="22"/>
        </w:rPr>
        <w:t>NRC Response:</w:t>
      </w:r>
      <w:r w:rsidRPr="008A7411">
        <w:rPr>
          <w:rFonts w:ascii="Arial" w:hAnsi="Arial" w:cs="Arial"/>
          <w:sz w:val="22"/>
          <w:szCs w:val="22"/>
        </w:rPr>
        <w:t xml:space="preserve"> The NRC acknowledges the comment related to the discussions and white paper on a possible approach (including preliminary draft 10 CFR 53.1480) to address factory testing of fueled manufactured reactors. However, as explained in the </w:t>
      </w:r>
      <w:r w:rsidR="002B7877">
        <w:rPr>
          <w:rFonts w:ascii="Arial" w:hAnsi="Arial" w:cs="Arial"/>
          <w:sz w:val="22"/>
          <w:szCs w:val="22"/>
        </w:rPr>
        <w:t xml:space="preserve">NRC’s </w:t>
      </w:r>
      <w:r w:rsidRPr="008A7411">
        <w:rPr>
          <w:rFonts w:ascii="Arial" w:hAnsi="Arial" w:cs="Arial"/>
          <w:sz w:val="22"/>
          <w:szCs w:val="22"/>
        </w:rPr>
        <w:t xml:space="preserve">response to </w:t>
      </w:r>
      <w:r w:rsidRPr="008A7411" w:rsidR="00253633">
        <w:rPr>
          <w:rFonts w:ascii="Arial" w:hAnsi="Arial" w:cs="Arial"/>
          <w:sz w:val="22"/>
          <w:szCs w:val="22"/>
        </w:rPr>
        <w:t>C</w:t>
      </w:r>
      <w:r w:rsidRPr="008A7411">
        <w:rPr>
          <w:rFonts w:ascii="Arial" w:hAnsi="Arial" w:cs="Arial"/>
          <w:sz w:val="22"/>
          <w:szCs w:val="22"/>
        </w:rPr>
        <w:t>omment</w:t>
      </w:r>
      <w:r w:rsidRPr="008A7411" w:rsidR="00253633">
        <w:rPr>
          <w:rFonts w:ascii="Arial" w:hAnsi="Arial" w:cs="Arial"/>
          <w:sz w:val="22"/>
          <w:szCs w:val="22"/>
        </w:rPr>
        <w:t xml:space="preserve"> Bin 3.8.10.G</w:t>
      </w:r>
      <w:r w:rsidRPr="008A7411">
        <w:rPr>
          <w:rFonts w:ascii="Arial" w:hAnsi="Arial" w:cs="Arial"/>
          <w:sz w:val="22"/>
          <w:szCs w:val="22"/>
        </w:rPr>
        <w:t xml:space="preserve">, </w:t>
      </w:r>
      <w:r w:rsidR="003178D7">
        <w:rPr>
          <w:rFonts w:ascii="Arial" w:hAnsi="Arial" w:cs="Arial"/>
          <w:sz w:val="22"/>
          <w:szCs w:val="22"/>
        </w:rPr>
        <w:t>t</w:t>
      </w:r>
      <w:r w:rsidRPr="008A7411" w:rsidR="003178D7">
        <w:rPr>
          <w:rFonts w:ascii="Arial" w:hAnsi="Arial" w:cs="Arial"/>
          <w:sz w:val="22"/>
          <w:szCs w:val="22"/>
        </w:rPr>
        <w:t>he</w:t>
      </w:r>
      <w:r w:rsidRPr="008A7411">
        <w:rPr>
          <w:rFonts w:ascii="Arial" w:hAnsi="Arial" w:cs="Arial"/>
          <w:sz w:val="22"/>
          <w:szCs w:val="22"/>
        </w:rPr>
        <w:t xml:space="preserve"> NRC did not identify a consensus view on a preferred approach and has decided that, at least for the immediate future, the best approach is to use the flexibilities within 10 CFR Part 53, including the possible use of exemptions, for any first movers in the testing of manufactured reactors in a factory setting.</w:t>
      </w:r>
    </w:p>
    <w:p w:rsidR="007F112A" w:rsidRPr="008A7411" w:rsidP="008A7411" w14:paraId="589F5BF5" w14:textId="77777777">
      <w:pPr>
        <w:spacing w:after="220"/>
        <w:rPr>
          <w:rFonts w:ascii="Arial" w:hAnsi="Arial" w:cs="Arial"/>
          <w:sz w:val="22"/>
          <w:szCs w:val="22"/>
        </w:rPr>
      </w:pPr>
      <w:r w:rsidRPr="008A7411">
        <w:rPr>
          <w:rFonts w:ascii="Arial" w:hAnsi="Arial" w:cs="Arial"/>
          <w:sz w:val="22"/>
          <w:szCs w:val="22"/>
        </w:rPr>
        <w:t>Accordingly, the NRC did not change the rule language in response to this comment.</w:t>
      </w:r>
    </w:p>
    <w:p w:rsidR="002C2B20" w:rsidRPr="008A7411" w:rsidP="008A7411" w14:paraId="7497B39F" w14:textId="77777777">
      <w:pPr>
        <w:spacing w:after="220"/>
        <w:rPr>
          <w:rFonts w:ascii="Arial" w:hAnsi="Arial" w:cs="Arial"/>
          <w:sz w:val="22"/>
          <w:szCs w:val="22"/>
        </w:rPr>
      </w:pPr>
      <w:r>
        <w:rPr>
          <w:rFonts w:ascii="Arial" w:hAnsi="Arial" w:cs="Arial"/>
          <w:sz w:val="22"/>
          <w:szCs w:val="22"/>
        </w:rPr>
        <w:pict>
          <v:rect id="_x0000_i1277" style="width:0;height:1.5pt" o:hralign="center" o:hrstd="t" o:hrnoshade="t" o:hr="t" fillcolor="black" stroked="f"/>
        </w:pict>
      </w:r>
    </w:p>
    <w:p w:rsidR="007F112A" w:rsidRPr="008A7411" w:rsidP="008A7411" w14:paraId="7AD2D0FF" w14:textId="77777777">
      <w:pPr>
        <w:spacing w:after="220"/>
        <w:rPr>
          <w:rFonts w:ascii="Arial" w:hAnsi="Arial" w:cs="Arial"/>
          <w:sz w:val="22"/>
          <w:szCs w:val="22"/>
        </w:rPr>
      </w:pPr>
      <w:r w:rsidRPr="008A7411">
        <w:rPr>
          <w:rFonts w:ascii="Arial" w:hAnsi="Arial" w:cs="Arial"/>
          <w:b/>
          <w:sz w:val="22"/>
          <w:szCs w:val="22"/>
        </w:rPr>
        <w:t xml:space="preserve">Comment Bin 3.8.10.B: </w:t>
      </w:r>
      <w:r w:rsidRPr="008A7411">
        <w:rPr>
          <w:rFonts w:ascii="Arial" w:hAnsi="Arial" w:cs="Arial"/>
          <w:sz w:val="22"/>
          <w:szCs w:val="22"/>
        </w:rPr>
        <w:t>A commenter wrote that 10 CFR 53.1480(f)(3)</w:t>
      </w:r>
      <w:r w:rsidR="002B7B8F">
        <w:rPr>
          <w:rFonts w:ascii="Arial" w:hAnsi="Arial" w:cs="Arial"/>
          <w:sz w:val="22"/>
          <w:szCs w:val="22"/>
        </w:rPr>
        <w:t>,</w:t>
      </w:r>
      <w:r w:rsidRPr="002B7B8F" w:rsidR="002B7B8F">
        <w:rPr>
          <w:rFonts w:ascii="Arial" w:hAnsi="Arial" w:cs="Arial"/>
          <w:sz w:val="22"/>
          <w:szCs w:val="22"/>
        </w:rPr>
        <w:t xml:space="preserve"> </w:t>
      </w:r>
      <w:r w:rsidRPr="008A7411" w:rsidR="002B7B8F">
        <w:rPr>
          <w:rFonts w:ascii="Arial" w:hAnsi="Arial" w:cs="Arial"/>
          <w:sz w:val="22"/>
          <w:szCs w:val="22"/>
        </w:rPr>
        <w:t xml:space="preserve">which was part of an NRC </w:t>
      </w:r>
      <w:r w:rsidR="002B7B8F">
        <w:rPr>
          <w:rFonts w:ascii="Arial" w:hAnsi="Arial" w:cs="Arial"/>
          <w:sz w:val="22"/>
          <w:szCs w:val="22"/>
        </w:rPr>
        <w:t>S</w:t>
      </w:r>
      <w:r w:rsidRPr="008A7411" w:rsidR="002B7B8F">
        <w:rPr>
          <w:rFonts w:ascii="Arial" w:hAnsi="Arial" w:cs="Arial"/>
          <w:sz w:val="22"/>
          <w:szCs w:val="22"/>
        </w:rPr>
        <w:t xml:space="preserve">taff </w:t>
      </w:r>
      <w:r w:rsidR="002B7B8F">
        <w:rPr>
          <w:rFonts w:ascii="Arial" w:hAnsi="Arial" w:cs="Arial"/>
          <w:sz w:val="22"/>
          <w:szCs w:val="22"/>
        </w:rPr>
        <w:t>W</w:t>
      </w:r>
      <w:r w:rsidRPr="008A7411" w:rsidR="002B7B8F">
        <w:rPr>
          <w:rFonts w:ascii="Arial" w:hAnsi="Arial" w:cs="Arial"/>
          <w:sz w:val="22"/>
          <w:szCs w:val="22"/>
        </w:rPr>
        <w:t xml:space="preserve">hite </w:t>
      </w:r>
      <w:r w:rsidR="002B7B8F">
        <w:rPr>
          <w:rFonts w:ascii="Arial" w:hAnsi="Arial" w:cs="Arial"/>
          <w:sz w:val="22"/>
          <w:szCs w:val="22"/>
        </w:rPr>
        <w:t>P</w:t>
      </w:r>
      <w:r w:rsidRPr="008A7411" w:rsidR="002B7B8F">
        <w:rPr>
          <w:rFonts w:ascii="Arial" w:hAnsi="Arial" w:cs="Arial"/>
          <w:sz w:val="22"/>
          <w:szCs w:val="22"/>
        </w:rPr>
        <w:t xml:space="preserve">aper titled, “DRAFT Section 53.1480 – Combined license supporting testing of manufactured reactors,” </w:t>
      </w:r>
      <w:r w:rsidRPr="00D76460" w:rsidR="002B7B8F">
        <w:rPr>
          <w:rFonts w:ascii="Arial" w:hAnsi="Arial" w:cs="Arial"/>
          <w:sz w:val="22"/>
          <w:szCs w:val="22"/>
        </w:rPr>
        <w:t xml:space="preserve">issued December 2024 </w:t>
      </w:r>
      <w:r w:rsidRPr="008A7411" w:rsidR="002B7B8F">
        <w:rPr>
          <w:rFonts w:ascii="Arial" w:hAnsi="Arial" w:cs="Arial"/>
          <w:sz w:val="22"/>
          <w:szCs w:val="22"/>
        </w:rPr>
        <w:t>(ML24344A037)</w:t>
      </w:r>
      <w:r w:rsidR="002B7B8F">
        <w:rPr>
          <w:rFonts w:ascii="Arial" w:hAnsi="Arial" w:cs="Arial"/>
          <w:sz w:val="22"/>
          <w:szCs w:val="22"/>
        </w:rPr>
        <w:t>,</w:t>
      </w:r>
      <w:r w:rsidRPr="008A7411">
        <w:rPr>
          <w:rFonts w:ascii="Arial" w:hAnsi="Arial" w:cs="Arial"/>
          <w:sz w:val="22"/>
          <w:szCs w:val="22"/>
        </w:rPr>
        <w:t xml:space="preserve"> raises important issues by recognizing limitations of risk-informed performance-based approaches and PRA. The commenter </w:t>
      </w:r>
      <w:r w:rsidR="00AF58BC">
        <w:rPr>
          <w:rFonts w:ascii="Arial" w:hAnsi="Arial" w:cs="Arial"/>
          <w:sz w:val="22"/>
          <w:szCs w:val="22"/>
        </w:rPr>
        <w:t>said</w:t>
      </w:r>
      <w:r w:rsidRPr="008A7411">
        <w:rPr>
          <w:rFonts w:ascii="Arial" w:hAnsi="Arial" w:cs="Arial"/>
          <w:sz w:val="22"/>
          <w:szCs w:val="22"/>
        </w:rPr>
        <w:t xml:space="preserve"> that operators do not regard the single-parameter risk calculated by their PRA as a meaningful representation of operational risk. The commenter argued that the approach fails to account for the dynamic, time</w:t>
      </w:r>
      <w:r w:rsidRPr="008A7411">
        <w:rPr>
          <w:rFonts w:ascii="Arial" w:hAnsi="Arial" w:cs="Arial"/>
          <w:sz w:val="22"/>
          <w:szCs w:val="22"/>
        </w:rPr>
        <w:noBreakHyphen/>
        <w:t>dependent nature of real-world hazards, such as the arrival process of seismic events or the escalating risks of severe weather (</w:t>
      </w:r>
      <w:r w:rsidR="00F66F54">
        <w:rPr>
          <w:rFonts w:ascii="Arial" w:hAnsi="Arial" w:cs="Arial"/>
          <w:sz w:val="22"/>
          <w:szCs w:val="22"/>
        </w:rPr>
        <w:t>EK</w:t>
      </w:r>
      <w:r w:rsidRPr="008A7411">
        <w:rPr>
          <w:rFonts w:ascii="Arial" w:hAnsi="Arial" w:cs="Arial"/>
          <w:sz w:val="22"/>
          <w:szCs w:val="22"/>
        </w:rPr>
        <w:t>-0002).</w:t>
      </w:r>
    </w:p>
    <w:p w:rsidR="00AD51A0" w:rsidRPr="008A7411" w:rsidP="008A7411" w14:paraId="04A8B8C2"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acknowledges the comment related to the discussions and white paper on a possible approach (including preliminary draft 10 CFR 53.1480) to address factory testing of fueled manufactured reactors. However, as explained in the </w:t>
      </w:r>
      <w:r w:rsidR="002B7877">
        <w:rPr>
          <w:rFonts w:ascii="Arial" w:hAnsi="Arial" w:cs="Arial"/>
          <w:sz w:val="22"/>
          <w:szCs w:val="22"/>
        </w:rPr>
        <w:t>NRC’s</w:t>
      </w:r>
      <w:r w:rsidRPr="008A7411">
        <w:rPr>
          <w:rFonts w:ascii="Arial" w:hAnsi="Arial" w:cs="Arial"/>
          <w:sz w:val="22"/>
          <w:szCs w:val="22"/>
        </w:rPr>
        <w:t xml:space="preserve"> response to </w:t>
      </w:r>
      <w:r w:rsidRPr="002B7877" w:rsidR="002B7877">
        <w:rPr>
          <w:rFonts w:ascii="Arial" w:hAnsi="Arial" w:cs="Arial"/>
          <w:sz w:val="22"/>
          <w:szCs w:val="22"/>
        </w:rPr>
        <w:t>Comment Bin 3.8.10.G</w:t>
      </w:r>
      <w:r w:rsidRPr="000B3DEC">
        <w:rPr>
          <w:rFonts w:ascii="Arial" w:hAnsi="Arial" w:cs="Arial"/>
          <w:sz w:val="22"/>
          <w:szCs w:val="22"/>
        </w:rPr>
        <w:t xml:space="preserve"> </w:t>
      </w:r>
      <w:r w:rsidRPr="001F275F">
        <w:rPr>
          <w:rFonts w:ascii="Arial" w:hAnsi="Arial" w:cs="Arial"/>
          <w:sz w:val="22"/>
          <w:szCs w:val="22"/>
        </w:rPr>
        <w:t>later in this section</w:t>
      </w:r>
      <w:r w:rsidRPr="008A7411">
        <w:rPr>
          <w:rFonts w:ascii="Arial" w:hAnsi="Arial" w:cs="Arial"/>
          <w:sz w:val="22"/>
          <w:szCs w:val="22"/>
        </w:rPr>
        <w:t>, the NRC did not identify a consensus view on a preferred approach and has decided that, at least for the immediate future, the best approach is to use the flexibilities within 10 CFR Part 53, including the possible use of exemptions, for any first movers in the testing of manufactured reactors in a factory setting.</w:t>
      </w:r>
    </w:p>
    <w:p w:rsidR="007F112A" w:rsidRPr="008A7411" w:rsidP="008A7411" w14:paraId="57C4902A" w14:textId="77777777">
      <w:pPr>
        <w:spacing w:after="220"/>
        <w:rPr>
          <w:rFonts w:ascii="Arial" w:hAnsi="Arial" w:cs="Arial"/>
          <w:sz w:val="22"/>
          <w:szCs w:val="22"/>
        </w:rPr>
      </w:pPr>
      <w:r w:rsidRPr="008A7411">
        <w:rPr>
          <w:rFonts w:ascii="Arial" w:hAnsi="Arial" w:cs="Arial"/>
          <w:sz w:val="22"/>
          <w:szCs w:val="22"/>
        </w:rPr>
        <w:t xml:space="preserve">Accordingly, the NRC </w:t>
      </w:r>
      <w:r w:rsidRPr="007B2B4F">
        <w:rPr>
          <w:rFonts w:ascii="Arial" w:hAnsi="Arial" w:cs="Arial"/>
          <w:sz w:val="22"/>
          <w:szCs w:val="22"/>
        </w:rPr>
        <w:t>did not change</w:t>
      </w:r>
      <w:r w:rsidRPr="008A7411">
        <w:rPr>
          <w:rFonts w:ascii="Arial" w:hAnsi="Arial" w:cs="Arial"/>
          <w:sz w:val="22"/>
          <w:szCs w:val="22"/>
        </w:rPr>
        <w:t xml:space="preserve"> the rule language in response to this comment.</w:t>
      </w:r>
    </w:p>
    <w:p w:rsidR="007F112A" w:rsidRPr="008A7411" w:rsidP="008A7411" w14:paraId="2ADB831C" w14:textId="77777777">
      <w:pPr>
        <w:spacing w:after="220"/>
        <w:rPr>
          <w:rFonts w:ascii="Arial" w:hAnsi="Arial" w:cs="Arial"/>
          <w:sz w:val="22"/>
          <w:szCs w:val="22"/>
        </w:rPr>
      </w:pPr>
      <w:r>
        <w:rPr>
          <w:rFonts w:ascii="Arial" w:hAnsi="Arial" w:cs="Arial"/>
          <w:sz w:val="22"/>
          <w:szCs w:val="22"/>
        </w:rPr>
        <w:pict>
          <v:rect id="_x0000_i1278" style="width:0;height:1.5pt" o:hralign="center" o:hrstd="t" o:hrnoshade="t" o:hr="t" fillcolor="black" stroked="f"/>
        </w:pict>
      </w:r>
    </w:p>
    <w:p w:rsidR="007F112A" w:rsidRPr="008A7411" w:rsidP="0058237F" w14:paraId="42419992" w14:textId="77777777">
      <w:pPr>
        <w:rPr>
          <w:rFonts w:ascii="Arial" w:hAnsi="Arial" w:cs="Arial"/>
          <w:sz w:val="22"/>
          <w:szCs w:val="22"/>
        </w:rPr>
      </w:pPr>
      <w:r w:rsidRPr="008A7411">
        <w:rPr>
          <w:rFonts w:ascii="Arial" w:hAnsi="Arial" w:cs="Arial"/>
          <w:b/>
          <w:sz w:val="22"/>
          <w:szCs w:val="22"/>
        </w:rPr>
        <w:t>Comment Bin 3.8.10.C:</w:t>
      </w:r>
      <w:r w:rsidRPr="008A7411">
        <w:rPr>
          <w:rFonts w:ascii="Arial" w:hAnsi="Arial" w:cs="Arial"/>
          <w:sz w:val="22"/>
          <w:szCs w:val="22"/>
        </w:rPr>
        <w:t xml:space="preserve"> With regards to 10 CFR 53.1480(f)(5), </w:t>
      </w:r>
      <w:r w:rsidRPr="008A7411" w:rsidR="0030648F">
        <w:rPr>
          <w:rFonts w:ascii="Arial" w:hAnsi="Arial" w:cs="Arial"/>
          <w:sz w:val="22"/>
          <w:szCs w:val="22"/>
        </w:rPr>
        <w:t xml:space="preserve">which was part of an NRC </w:t>
      </w:r>
      <w:r w:rsidR="0030648F">
        <w:rPr>
          <w:rFonts w:ascii="Arial" w:hAnsi="Arial" w:cs="Arial"/>
          <w:sz w:val="22"/>
          <w:szCs w:val="22"/>
        </w:rPr>
        <w:t>S</w:t>
      </w:r>
      <w:r w:rsidRPr="008A7411" w:rsidR="0030648F">
        <w:rPr>
          <w:rFonts w:ascii="Arial" w:hAnsi="Arial" w:cs="Arial"/>
          <w:sz w:val="22"/>
          <w:szCs w:val="22"/>
        </w:rPr>
        <w:t xml:space="preserve">taff </w:t>
      </w:r>
      <w:r w:rsidR="0030648F">
        <w:rPr>
          <w:rFonts w:ascii="Arial" w:hAnsi="Arial" w:cs="Arial"/>
          <w:sz w:val="22"/>
          <w:szCs w:val="22"/>
        </w:rPr>
        <w:t>W</w:t>
      </w:r>
      <w:r w:rsidRPr="008A7411" w:rsidR="0030648F">
        <w:rPr>
          <w:rFonts w:ascii="Arial" w:hAnsi="Arial" w:cs="Arial"/>
          <w:sz w:val="22"/>
          <w:szCs w:val="22"/>
        </w:rPr>
        <w:t xml:space="preserve">hite </w:t>
      </w:r>
      <w:r w:rsidR="0030648F">
        <w:rPr>
          <w:rFonts w:ascii="Arial" w:hAnsi="Arial" w:cs="Arial"/>
          <w:sz w:val="22"/>
          <w:szCs w:val="22"/>
        </w:rPr>
        <w:t>P</w:t>
      </w:r>
      <w:r w:rsidRPr="008A7411" w:rsidR="0030648F">
        <w:rPr>
          <w:rFonts w:ascii="Arial" w:hAnsi="Arial" w:cs="Arial"/>
          <w:sz w:val="22"/>
          <w:szCs w:val="22"/>
        </w:rPr>
        <w:t xml:space="preserve">aper titled, “DRAFT Section 53.1480 – Combined license supporting testing of manufactured reactors,” </w:t>
      </w:r>
      <w:r w:rsidRPr="00D76460" w:rsidR="0030648F">
        <w:rPr>
          <w:rFonts w:ascii="Arial" w:hAnsi="Arial" w:cs="Arial"/>
          <w:sz w:val="22"/>
          <w:szCs w:val="22"/>
        </w:rPr>
        <w:t xml:space="preserve">issued December 2024 </w:t>
      </w:r>
      <w:r w:rsidRPr="008A7411" w:rsidR="0030648F">
        <w:rPr>
          <w:rFonts w:ascii="Arial" w:hAnsi="Arial" w:cs="Arial"/>
          <w:sz w:val="22"/>
          <w:szCs w:val="22"/>
        </w:rPr>
        <w:t>(ML24344A037)</w:t>
      </w:r>
      <w:r w:rsidRPr="008A7411">
        <w:rPr>
          <w:rFonts w:ascii="Arial" w:hAnsi="Arial" w:cs="Arial"/>
          <w:sz w:val="22"/>
          <w:szCs w:val="22"/>
        </w:rPr>
        <w:t xml:space="preserve">, a commenter asked </w:t>
      </w:r>
      <w:r w:rsidR="0081555F">
        <w:rPr>
          <w:rFonts w:ascii="Arial" w:hAnsi="Arial" w:cs="Arial"/>
          <w:sz w:val="22"/>
          <w:szCs w:val="22"/>
        </w:rPr>
        <w:br/>
      </w:r>
      <w:r w:rsidRPr="008A7411">
        <w:rPr>
          <w:rFonts w:ascii="Arial" w:hAnsi="Arial" w:cs="Arial"/>
          <w:sz w:val="22"/>
          <w:szCs w:val="22"/>
        </w:rPr>
        <w:t>(</w:t>
      </w:r>
      <w:r w:rsidR="00F66F54">
        <w:rPr>
          <w:rFonts w:ascii="Arial" w:hAnsi="Arial" w:cs="Arial"/>
          <w:sz w:val="22"/>
          <w:szCs w:val="22"/>
        </w:rPr>
        <w:t>EK</w:t>
      </w:r>
      <w:r w:rsidRPr="008A7411">
        <w:rPr>
          <w:rFonts w:ascii="Arial" w:hAnsi="Arial" w:cs="Arial"/>
          <w:sz w:val="22"/>
          <w:szCs w:val="22"/>
        </w:rPr>
        <w:t>-0003):</w:t>
      </w:r>
    </w:p>
    <w:p w:rsidR="007F112A" w:rsidRPr="008A7411" w:rsidP="00455E55" w14:paraId="69AD4C0E" w14:textId="77777777">
      <w:pPr>
        <w:pStyle w:val="ListParagraph"/>
        <w:numPr>
          <w:ilvl w:val="0"/>
          <w:numId w:val="34"/>
        </w:numPr>
        <w:spacing w:after="220"/>
        <w:contextualSpacing w:val="0"/>
        <w:rPr>
          <w:rFonts w:ascii="Arial" w:hAnsi="Arial" w:cs="Arial"/>
          <w:sz w:val="22"/>
          <w:szCs w:val="22"/>
        </w:rPr>
      </w:pPr>
      <w:r w:rsidRPr="008A7411">
        <w:rPr>
          <w:rFonts w:ascii="Arial" w:hAnsi="Arial" w:cs="Arial"/>
          <w:sz w:val="22"/>
          <w:szCs w:val="22"/>
        </w:rPr>
        <w:t>How will each manufactured reactor be tested for the specific thermodynamic application for which it is intended?</w:t>
      </w:r>
    </w:p>
    <w:p w:rsidR="007F112A" w:rsidRPr="008A7411" w:rsidP="00455E55" w14:paraId="384BA302" w14:textId="77777777">
      <w:pPr>
        <w:pStyle w:val="ListParagraph"/>
        <w:numPr>
          <w:ilvl w:val="0"/>
          <w:numId w:val="34"/>
        </w:numPr>
        <w:spacing w:after="220"/>
        <w:contextualSpacing w:val="0"/>
        <w:rPr>
          <w:rFonts w:ascii="Arial" w:hAnsi="Arial" w:cs="Arial"/>
          <w:sz w:val="22"/>
          <w:szCs w:val="22"/>
        </w:rPr>
      </w:pPr>
      <w:r w:rsidRPr="008A7411">
        <w:rPr>
          <w:rFonts w:ascii="Arial" w:hAnsi="Arial" w:cs="Arial"/>
          <w:sz w:val="22"/>
          <w:szCs w:val="22"/>
        </w:rPr>
        <w:t>Will the heat removal system and the calorimetric power calibration method be specified as part of the reactor's configuration?</w:t>
      </w:r>
    </w:p>
    <w:p w:rsidR="007F112A" w:rsidRPr="008A7411" w:rsidP="00455E55" w14:paraId="48B9491C" w14:textId="77777777">
      <w:pPr>
        <w:pStyle w:val="ListParagraph"/>
        <w:numPr>
          <w:ilvl w:val="0"/>
          <w:numId w:val="34"/>
        </w:numPr>
        <w:spacing w:after="220"/>
        <w:contextualSpacing w:val="0"/>
        <w:rPr>
          <w:rFonts w:ascii="Arial" w:hAnsi="Arial" w:cs="Arial"/>
          <w:sz w:val="22"/>
          <w:szCs w:val="22"/>
        </w:rPr>
      </w:pPr>
      <w:r w:rsidRPr="008A7411">
        <w:rPr>
          <w:rFonts w:ascii="Arial" w:hAnsi="Arial" w:cs="Arial"/>
          <w:sz w:val="22"/>
          <w:szCs w:val="22"/>
        </w:rPr>
        <w:t>In a restricted power mode, how will nuclear instrument calibration be achieved for power levels up to 100 percent? </w:t>
      </w:r>
    </w:p>
    <w:p w:rsidR="00AD51A0" w:rsidRPr="008A7411" w:rsidP="008A7411" w14:paraId="073698A8"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acknowledges the comment related to the discussions and white paper on a possible approach (including preliminary draft 10 CFR 53.1480) to address factory testing of fueled manufactured reactors. However, as explained in the </w:t>
      </w:r>
      <w:r w:rsidR="002B7877">
        <w:rPr>
          <w:rFonts w:ascii="Arial" w:hAnsi="Arial" w:cs="Arial"/>
          <w:sz w:val="22"/>
          <w:szCs w:val="22"/>
        </w:rPr>
        <w:t xml:space="preserve">NRC’s </w:t>
      </w:r>
      <w:r w:rsidRPr="008A7411">
        <w:rPr>
          <w:rFonts w:ascii="Arial" w:hAnsi="Arial" w:cs="Arial"/>
          <w:sz w:val="22"/>
          <w:szCs w:val="22"/>
        </w:rPr>
        <w:t xml:space="preserve">response to </w:t>
      </w:r>
      <w:r w:rsidRPr="002B7877" w:rsidR="002B7877">
        <w:rPr>
          <w:rFonts w:ascii="Arial" w:hAnsi="Arial" w:cs="Arial"/>
          <w:sz w:val="22"/>
          <w:szCs w:val="22"/>
        </w:rPr>
        <w:t>Comment Bin 3.8.10.G</w:t>
      </w:r>
      <w:r w:rsidRPr="007B2B4F">
        <w:rPr>
          <w:rFonts w:ascii="Arial" w:hAnsi="Arial" w:cs="Arial"/>
          <w:sz w:val="22"/>
          <w:szCs w:val="22"/>
        </w:rPr>
        <w:t xml:space="preserve"> </w:t>
      </w:r>
      <w:r w:rsidRPr="008A7411">
        <w:rPr>
          <w:rFonts w:ascii="Arial" w:hAnsi="Arial" w:cs="Arial"/>
          <w:sz w:val="22"/>
          <w:szCs w:val="22"/>
        </w:rPr>
        <w:t xml:space="preserve">later in this section, </w:t>
      </w:r>
      <w:r w:rsidR="00A2022E">
        <w:rPr>
          <w:rFonts w:ascii="Arial" w:hAnsi="Arial" w:cs="Arial"/>
          <w:sz w:val="22"/>
          <w:szCs w:val="22"/>
        </w:rPr>
        <w:t>t</w:t>
      </w:r>
      <w:r w:rsidRPr="008A7411">
        <w:rPr>
          <w:rFonts w:ascii="Arial" w:hAnsi="Arial" w:cs="Arial"/>
          <w:sz w:val="22"/>
          <w:szCs w:val="22"/>
        </w:rPr>
        <w:t>he NRC did not identify a consensus view on a preferred approach and has decided that, at least for the immediate future, the best approach is to use the flexibilities within 10 CFR Part 53, including the possible use of exemptions, for any first movers in the testing of manufactured reactors in a factory setting.</w:t>
      </w:r>
    </w:p>
    <w:p w:rsidR="007F112A" w:rsidRPr="008A7411" w:rsidP="008A7411" w14:paraId="548B2492" w14:textId="77777777">
      <w:pPr>
        <w:spacing w:after="220"/>
        <w:rPr>
          <w:rFonts w:ascii="Arial" w:hAnsi="Arial" w:cs="Arial"/>
          <w:sz w:val="22"/>
          <w:szCs w:val="22"/>
        </w:rPr>
      </w:pPr>
      <w:r w:rsidRPr="008A7411">
        <w:rPr>
          <w:rFonts w:ascii="Arial" w:hAnsi="Arial" w:cs="Arial"/>
          <w:sz w:val="22"/>
          <w:szCs w:val="22"/>
        </w:rPr>
        <w:t xml:space="preserve">Accordingly, the NRC </w:t>
      </w:r>
      <w:r w:rsidRPr="007B2B4F">
        <w:rPr>
          <w:rFonts w:ascii="Arial" w:hAnsi="Arial" w:cs="Arial"/>
          <w:sz w:val="22"/>
          <w:szCs w:val="22"/>
        </w:rPr>
        <w:t>did not change</w:t>
      </w:r>
      <w:r w:rsidRPr="008A7411">
        <w:rPr>
          <w:rFonts w:ascii="Arial" w:hAnsi="Arial" w:cs="Arial"/>
          <w:sz w:val="22"/>
          <w:szCs w:val="22"/>
        </w:rPr>
        <w:t xml:space="preserve"> the rule language in response to this comment.</w:t>
      </w:r>
    </w:p>
    <w:p w:rsidR="007F112A" w:rsidRPr="008A7411" w:rsidP="008A7411" w14:paraId="7906D013" w14:textId="77777777">
      <w:pPr>
        <w:spacing w:after="220"/>
        <w:rPr>
          <w:rFonts w:ascii="Arial" w:hAnsi="Arial" w:cs="Arial"/>
          <w:sz w:val="22"/>
          <w:szCs w:val="22"/>
        </w:rPr>
      </w:pPr>
      <w:r>
        <w:rPr>
          <w:rFonts w:ascii="Arial" w:hAnsi="Arial" w:cs="Arial"/>
          <w:sz w:val="22"/>
          <w:szCs w:val="22"/>
        </w:rPr>
        <w:pict>
          <v:rect id="_x0000_i1279" style="width:0;height:1.5pt" o:hralign="center" o:hrstd="t" o:hrnoshade="t" o:hr="t" fillcolor="black" stroked="f"/>
        </w:pict>
      </w:r>
    </w:p>
    <w:p w:rsidR="007F112A" w:rsidRPr="008A7411" w:rsidP="008A7411" w14:paraId="15695D58" w14:textId="77777777">
      <w:pPr>
        <w:spacing w:after="220"/>
        <w:rPr>
          <w:rFonts w:ascii="Arial" w:hAnsi="Arial" w:cs="Arial"/>
          <w:sz w:val="22"/>
          <w:szCs w:val="22"/>
        </w:rPr>
      </w:pPr>
      <w:r w:rsidRPr="008A7411">
        <w:rPr>
          <w:rFonts w:ascii="Arial" w:hAnsi="Arial" w:cs="Arial"/>
          <w:b/>
          <w:sz w:val="22"/>
          <w:szCs w:val="22"/>
        </w:rPr>
        <w:t xml:space="preserve">Comment Bin 3.8.10.D: </w:t>
      </w:r>
      <w:r w:rsidRPr="008A7411">
        <w:rPr>
          <w:rFonts w:ascii="Arial" w:hAnsi="Arial" w:cs="Arial"/>
          <w:sz w:val="22"/>
          <w:szCs w:val="22"/>
        </w:rPr>
        <w:t>With regards to 10 CFR 53.1480(f)(8)</w:t>
      </w:r>
      <w:r w:rsidR="00B013EE">
        <w:rPr>
          <w:rFonts w:ascii="Arial" w:hAnsi="Arial" w:cs="Arial"/>
          <w:sz w:val="22"/>
          <w:szCs w:val="22"/>
        </w:rPr>
        <w:t>,</w:t>
      </w:r>
      <w:r w:rsidRPr="00B013EE" w:rsidR="00B013EE">
        <w:rPr>
          <w:rFonts w:ascii="Arial" w:hAnsi="Arial" w:cs="Arial"/>
          <w:sz w:val="22"/>
          <w:szCs w:val="22"/>
        </w:rPr>
        <w:t xml:space="preserve"> </w:t>
      </w:r>
      <w:r w:rsidRPr="008A7411" w:rsidR="00B013EE">
        <w:rPr>
          <w:rFonts w:ascii="Arial" w:hAnsi="Arial" w:cs="Arial"/>
          <w:sz w:val="22"/>
          <w:szCs w:val="22"/>
        </w:rPr>
        <w:t xml:space="preserve">which was part of an NRC </w:t>
      </w:r>
      <w:r w:rsidR="00B013EE">
        <w:rPr>
          <w:rFonts w:ascii="Arial" w:hAnsi="Arial" w:cs="Arial"/>
          <w:sz w:val="22"/>
          <w:szCs w:val="22"/>
        </w:rPr>
        <w:t>S</w:t>
      </w:r>
      <w:r w:rsidRPr="008A7411" w:rsidR="00B013EE">
        <w:rPr>
          <w:rFonts w:ascii="Arial" w:hAnsi="Arial" w:cs="Arial"/>
          <w:sz w:val="22"/>
          <w:szCs w:val="22"/>
        </w:rPr>
        <w:t xml:space="preserve">taff </w:t>
      </w:r>
      <w:r w:rsidR="00B013EE">
        <w:rPr>
          <w:rFonts w:ascii="Arial" w:hAnsi="Arial" w:cs="Arial"/>
          <w:sz w:val="22"/>
          <w:szCs w:val="22"/>
        </w:rPr>
        <w:t>W</w:t>
      </w:r>
      <w:r w:rsidRPr="008A7411" w:rsidR="00B013EE">
        <w:rPr>
          <w:rFonts w:ascii="Arial" w:hAnsi="Arial" w:cs="Arial"/>
          <w:sz w:val="22"/>
          <w:szCs w:val="22"/>
        </w:rPr>
        <w:t xml:space="preserve">hite </w:t>
      </w:r>
      <w:r w:rsidR="00B013EE">
        <w:rPr>
          <w:rFonts w:ascii="Arial" w:hAnsi="Arial" w:cs="Arial"/>
          <w:sz w:val="22"/>
          <w:szCs w:val="22"/>
        </w:rPr>
        <w:t>P</w:t>
      </w:r>
      <w:r w:rsidRPr="008A7411" w:rsidR="00B013EE">
        <w:rPr>
          <w:rFonts w:ascii="Arial" w:hAnsi="Arial" w:cs="Arial"/>
          <w:sz w:val="22"/>
          <w:szCs w:val="22"/>
        </w:rPr>
        <w:t xml:space="preserve">aper titled, “DRAFT Section 53.1480 – Combined license supporting testing of manufactured reactors,” </w:t>
      </w:r>
      <w:r w:rsidRPr="00D76460" w:rsidR="00B013EE">
        <w:rPr>
          <w:rFonts w:ascii="Arial" w:hAnsi="Arial" w:cs="Arial"/>
          <w:sz w:val="22"/>
          <w:szCs w:val="22"/>
        </w:rPr>
        <w:t xml:space="preserve">issued December 2024 </w:t>
      </w:r>
      <w:r w:rsidRPr="008A7411" w:rsidR="00B013EE">
        <w:rPr>
          <w:rFonts w:ascii="Arial" w:hAnsi="Arial" w:cs="Arial"/>
          <w:sz w:val="22"/>
          <w:szCs w:val="22"/>
        </w:rPr>
        <w:t>(ML24344A037</w:t>
      </w:r>
      <w:r w:rsidRPr="008A7411">
        <w:rPr>
          <w:rFonts w:ascii="Arial" w:hAnsi="Arial" w:cs="Arial"/>
          <w:sz w:val="22"/>
          <w:szCs w:val="22"/>
        </w:rPr>
        <w:t>), a commenter stated that while long-term operational requirements may not be applicable during testing, short-term preparatory measures such as instrumentation and protection actuation calibration remain essential prior to achieving criticality. The commenter wrote that such instrumentation and protection actuation calibration require much of the same controls as those required for long term operation. The commenter added because power excursion events can be reasonably hypothesized, additional protection actuations such as containment require instrument calibration with actuation circuits (</w:t>
      </w:r>
      <w:r w:rsidR="00F66F54">
        <w:rPr>
          <w:rFonts w:ascii="Arial" w:hAnsi="Arial" w:cs="Arial"/>
          <w:sz w:val="22"/>
          <w:szCs w:val="22"/>
        </w:rPr>
        <w:t>EK</w:t>
      </w:r>
      <w:r w:rsidRPr="008A7411">
        <w:rPr>
          <w:rFonts w:ascii="Arial" w:hAnsi="Arial" w:cs="Arial"/>
          <w:sz w:val="22"/>
          <w:szCs w:val="22"/>
        </w:rPr>
        <w:t>-0004).</w:t>
      </w:r>
    </w:p>
    <w:p w:rsidR="00AD51A0" w:rsidRPr="008A7411" w:rsidP="008A7411" w14:paraId="062EB6F0"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acknowledges the comment related to the discussions and white paper on a possible approach (including preliminary draft 10 CFR 53.1480) to address factory testing of fueled manufactured reactors. However, as explained in the </w:t>
      </w:r>
      <w:r w:rsidR="002B7877">
        <w:rPr>
          <w:rFonts w:ascii="Arial" w:hAnsi="Arial" w:cs="Arial"/>
          <w:sz w:val="22"/>
          <w:szCs w:val="22"/>
        </w:rPr>
        <w:t xml:space="preserve">NRC’s </w:t>
      </w:r>
      <w:r w:rsidRPr="008A7411">
        <w:rPr>
          <w:rFonts w:ascii="Arial" w:hAnsi="Arial" w:cs="Arial"/>
          <w:sz w:val="22"/>
          <w:szCs w:val="22"/>
        </w:rPr>
        <w:t xml:space="preserve">response to </w:t>
      </w:r>
      <w:r w:rsidRPr="002B7877" w:rsidR="002B7877">
        <w:rPr>
          <w:rFonts w:ascii="Arial" w:hAnsi="Arial" w:cs="Arial"/>
          <w:sz w:val="22"/>
          <w:szCs w:val="22"/>
        </w:rPr>
        <w:t>Comment Bin 3.8.10.G</w:t>
      </w:r>
      <w:r w:rsidRPr="008A7411">
        <w:rPr>
          <w:rFonts w:ascii="Arial" w:hAnsi="Arial" w:cs="Arial"/>
          <w:sz w:val="22"/>
          <w:szCs w:val="22"/>
        </w:rPr>
        <w:t xml:space="preserve"> later in this section, </w:t>
      </w:r>
      <w:r w:rsidR="00C95157">
        <w:rPr>
          <w:rFonts w:ascii="Arial" w:hAnsi="Arial" w:cs="Arial"/>
          <w:sz w:val="22"/>
          <w:szCs w:val="22"/>
        </w:rPr>
        <w:t>t</w:t>
      </w:r>
      <w:r w:rsidRPr="008A7411">
        <w:rPr>
          <w:rFonts w:ascii="Arial" w:hAnsi="Arial" w:cs="Arial"/>
          <w:sz w:val="22"/>
          <w:szCs w:val="22"/>
        </w:rPr>
        <w:t xml:space="preserve">he NRC did not identify a consensus view on a </w:t>
      </w:r>
      <w:r w:rsidRPr="008A7411">
        <w:rPr>
          <w:rFonts w:ascii="Arial" w:hAnsi="Arial" w:cs="Arial"/>
          <w:sz w:val="22"/>
          <w:szCs w:val="22"/>
        </w:rPr>
        <w:t xml:space="preserve">preferred approach and has decided that, at least for the immediate future, the best approach is to use the flexibilities within 10 CFR Part 53, including the possible use of exemptions, for any first movers in the testing of manufactured reactors in a factory setting.  </w:t>
      </w:r>
    </w:p>
    <w:p w:rsidR="007F112A" w:rsidRPr="008A7411" w:rsidP="008A7411" w14:paraId="492CD0FB" w14:textId="77777777">
      <w:pPr>
        <w:spacing w:after="220"/>
        <w:rPr>
          <w:rFonts w:ascii="Arial" w:hAnsi="Arial" w:cs="Arial"/>
          <w:sz w:val="22"/>
          <w:szCs w:val="22"/>
        </w:rPr>
      </w:pPr>
      <w:r w:rsidRPr="008A7411">
        <w:rPr>
          <w:rFonts w:ascii="Arial" w:hAnsi="Arial" w:cs="Arial"/>
          <w:sz w:val="22"/>
          <w:szCs w:val="22"/>
        </w:rPr>
        <w:t xml:space="preserve">Accordingly, the NRC </w:t>
      </w:r>
      <w:r w:rsidRPr="007B2B4F">
        <w:rPr>
          <w:rFonts w:ascii="Arial" w:hAnsi="Arial" w:cs="Arial"/>
          <w:sz w:val="22"/>
          <w:szCs w:val="22"/>
        </w:rPr>
        <w:t>did not change</w:t>
      </w:r>
      <w:r w:rsidRPr="008A7411">
        <w:rPr>
          <w:rFonts w:ascii="Arial" w:hAnsi="Arial" w:cs="Arial"/>
          <w:sz w:val="22"/>
          <w:szCs w:val="22"/>
        </w:rPr>
        <w:t xml:space="preserve"> the rule language in response to this comment.</w:t>
      </w:r>
    </w:p>
    <w:p w:rsidR="007F112A" w:rsidRPr="008A7411" w:rsidP="008A7411" w14:paraId="575A0513" w14:textId="77777777">
      <w:pPr>
        <w:spacing w:after="220"/>
        <w:rPr>
          <w:rFonts w:ascii="Arial" w:hAnsi="Arial" w:cs="Arial"/>
          <w:sz w:val="22"/>
          <w:szCs w:val="22"/>
        </w:rPr>
      </w:pPr>
      <w:r>
        <w:rPr>
          <w:rFonts w:ascii="Arial" w:hAnsi="Arial" w:cs="Arial"/>
          <w:sz w:val="22"/>
          <w:szCs w:val="22"/>
        </w:rPr>
        <w:pict>
          <v:rect id="_x0000_i1280" style="width:0;height:1.5pt" o:hralign="center" o:hrstd="t" o:hrnoshade="t" o:hr="t" fillcolor="black" stroked="f"/>
        </w:pict>
      </w:r>
    </w:p>
    <w:p w:rsidR="007F112A" w:rsidRPr="008A7411" w:rsidP="00C45701" w14:paraId="33818637" w14:textId="77777777">
      <w:pPr>
        <w:spacing w:after="220"/>
        <w:rPr>
          <w:rFonts w:ascii="Arial" w:hAnsi="Arial" w:cs="Arial"/>
          <w:sz w:val="22"/>
          <w:szCs w:val="22"/>
        </w:rPr>
      </w:pPr>
      <w:r w:rsidRPr="008A7411">
        <w:rPr>
          <w:rFonts w:ascii="Arial" w:hAnsi="Arial" w:cs="Arial"/>
          <w:b/>
          <w:sz w:val="22"/>
          <w:szCs w:val="22"/>
        </w:rPr>
        <w:t>Comment Bin 3.8.10.E:</w:t>
      </w:r>
      <w:r w:rsidRPr="008A7411">
        <w:rPr>
          <w:rFonts w:ascii="Arial" w:hAnsi="Arial" w:cs="Arial"/>
          <w:sz w:val="22"/>
          <w:szCs w:val="22"/>
        </w:rPr>
        <w:t xml:space="preserve"> Regarding 10 CFR 53.1480(f)(9)</w:t>
      </w:r>
      <w:r w:rsidR="00B013EE">
        <w:rPr>
          <w:rFonts w:ascii="Arial" w:hAnsi="Arial" w:cs="Arial"/>
          <w:sz w:val="22"/>
          <w:szCs w:val="22"/>
        </w:rPr>
        <w:t>,</w:t>
      </w:r>
      <w:r w:rsidRPr="00B013EE" w:rsidR="00B013EE">
        <w:rPr>
          <w:rFonts w:ascii="Arial" w:hAnsi="Arial" w:cs="Arial"/>
          <w:sz w:val="22"/>
          <w:szCs w:val="22"/>
        </w:rPr>
        <w:t xml:space="preserve"> </w:t>
      </w:r>
      <w:r w:rsidRPr="008A7411" w:rsidR="00B013EE">
        <w:rPr>
          <w:rFonts w:ascii="Arial" w:hAnsi="Arial" w:cs="Arial"/>
          <w:sz w:val="22"/>
          <w:szCs w:val="22"/>
        </w:rPr>
        <w:t xml:space="preserve">which was part of an NRC </w:t>
      </w:r>
      <w:r w:rsidR="00B013EE">
        <w:rPr>
          <w:rFonts w:ascii="Arial" w:hAnsi="Arial" w:cs="Arial"/>
          <w:sz w:val="22"/>
          <w:szCs w:val="22"/>
        </w:rPr>
        <w:t>S</w:t>
      </w:r>
      <w:r w:rsidRPr="008A7411" w:rsidR="00B013EE">
        <w:rPr>
          <w:rFonts w:ascii="Arial" w:hAnsi="Arial" w:cs="Arial"/>
          <w:sz w:val="22"/>
          <w:szCs w:val="22"/>
        </w:rPr>
        <w:t xml:space="preserve">taff </w:t>
      </w:r>
      <w:r w:rsidR="00B013EE">
        <w:rPr>
          <w:rFonts w:ascii="Arial" w:hAnsi="Arial" w:cs="Arial"/>
          <w:sz w:val="22"/>
          <w:szCs w:val="22"/>
        </w:rPr>
        <w:t>W</w:t>
      </w:r>
      <w:r w:rsidRPr="008A7411" w:rsidR="00B013EE">
        <w:rPr>
          <w:rFonts w:ascii="Arial" w:hAnsi="Arial" w:cs="Arial"/>
          <w:sz w:val="22"/>
          <w:szCs w:val="22"/>
        </w:rPr>
        <w:t xml:space="preserve">hite </w:t>
      </w:r>
      <w:r w:rsidR="00B013EE">
        <w:rPr>
          <w:rFonts w:ascii="Arial" w:hAnsi="Arial" w:cs="Arial"/>
          <w:sz w:val="22"/>
          <w:szCs w:val="22"/>
        </w:rPr>
        <w:t>P</w:t>
      </w:r>
      <w:r w:rsidRPr="008A7411" w:rsidR="00B013EE">
        <w:rPr>
          <w:rFonts w:ascii="Arial" w:hAnsi="Arial" w:cs="Arial"/>
          <w:sz w:val="22"/>
          <w:szCs w:val="22"/>
        </w:rPr>
        <w:t xml:space="preserve">aper titled, “DRAFT Section 53.1480 – Combined license supporting testing of manufactured reactors,” </w:t>
      </w:r>
      <w:r w:rsidRPr="00D76460" w:rsidR="00B013EE">
        <w:rPr>
          <w:rFonts w:ascii="Arial" w:hAnsi="Arial" w:cs="Arial"/>
          <w:sz w:val="22"/>
          <w:szCs w:val="22"/>
        </w:rPr>
        <w:t xml:space="preserve">issued December 2024 </w:t>
      </w:r>
      <w:r w:rsidRPr="008A7411" w:rsidR="00B013EE">
        <w:rPr>
          <w:rFonts w:ascii="Arial" w:hAnsi="Arial" w:cs="Arial"/>
          <w:sz w:val="22"/>
          <w:szCs w:val="22"/>
        </w:rPr>
        <w:t>(ML24344A037</w:t>
      </w:r>
      <w:r w:rsidRPr="008A7411">
        <w:rPr>
          <w:rFonts w:ascii="Arial" w:hAnsi="Arial" w:cs="Arial"/>
          <w:sz w:val="22"/>
          <w:szCs w:val="22"/>
        </w:rPr>
        <w:t>), a commenter wrote that the operational scope of manufacturing facilities differs significantly from that of conventional fuel manufacturing facilities as re</w:t>
      </w:r>
      <w:r w:rsidR="009F5A3A">
        <w:rPr>
          <w:rFonts w:ascii="Arial" w:hAnsi="Arial" w:cs="Arial"/>
          <w:sz w:val="22"/>
          <w:szCs w:val="22"/>
        </w:rPr>
        <w:t>a</w:t>
      </w:r>
      <w:r w:rsidRPr="008A7411">
        <w:rPr>
          <w:rFonts w:ascii="Arial" w:hAnsi="Arial" w:cs="Arial"/>
          <w:sz w:val="22"/>
          <w:szCs w:val="22"/>
        </w:rPr>
        <w:t xml:space="preserve">ctor manufacturing facilities are designed to achieve initial criticality for testing purposes, similar to initial operations in commercial power reactors. The commenter </w:t>
      </w:r>
      <w:r w:rsidR="000B57FC">
        <w:rPr>
          <w:rFonts w:ascii="Arial" w:hAnsi="Arial" w:cs="Arial"/>
          <w:sz w:val="22"/>
          <w:szCs w:val="22"/>
        </w:rPr>
        <w:t>stated</w:t>
      </w:r>
      <w:r w:rsidRPr="008A7411">
        <w:rPr>
          <w:rFonts w:ascii="Arial" w:hAnsi="Arial" w:cs="Arial"/>
          <w:sz w:val="22"/>
          <w:szCs w:val="22"/>
        </w:rPr>
        <w:t xml:space="preserve"> that it is unclear how licensing for manufacturing facilities should differ from or align with existing requirements under 10 CFR Part 30. The commenter wrote that key considerations include (</w:t>
      </w:r>
      <w:r w:rsidR="00F66F54">
        <w:rPr>
          <w:rFonts w:ascii="Arial" w:hAnsi="Arial" w:cs="Arial"/>
          <w:sz w:val="22"/>
          <w:szCs w:val="22"/>
        </w:rPr>
        <w:t>EK</w:t>
      </w:r>
      <w:r w:rsidRPr="008A7411">
        <w:rPr>
          <w:rFonts w:ascii="Arial" w:hAnsi="Arial" w:cs="Arial"/>
          <w:sz w:val="22"/>
          <w:szCs w:val="22"/>
        </w:rPr>
        <w:t>-0005):</w:t>
      </w:r>
    </w:p>
    <w:p w:rsidR="000B57FC" w:rsidP="0087274E" w14:paraId="0B06BD6E" w14:textId="77777777">
      <w:pPr>
        <w:pStyle w:val="ListParagraph"/>
        <w:numPr>
          <w:ilvl w:val="0"/>
          <w:numId w:val="42"/>
        </w:numPr>
        <w:spacing w:after="220"/>
        <w:contextualSpacing w:val="0"/>
        <w:rPr>
          <w:rFonts w:ascii="Arial" w:hAnsi="Arial" w:cs="Arial"/>
          <w:sz w:val="22"/>
          <w:szCs w:val="22"/>
        </w:rPr>
      </w:pPr>
      <w:r w:rsidRPr="000B57FC">
        <w:rPr>
          <w:rFonts w:ascii="Arial" w:hAnsi="Arial" w:cs="Arial"/>
          <w:sz w:val="22"/>
          <w:szCs w:val="22"/>
        </w:rPr>
        <w:t>Criticality events are intentional and controlled within the manufacturing facility.</w:t>
      </w:r>
    </w:p>
    <w:p w:rsidR="000B57FC" w:rsidP="0087274E" w14:paraId="1C9DE973" w14:textId="77777777">
      <w:pPr>
        <w:pStyle w:val="ListParagraph"/>
        <w:numPr>
          <w:ilvl w:val="0"/>
          <w:numId w:val="42"/>
        </w:numPr>
        <w:spacing w:after="220"/>
        <w:contextualSpacing w:val="0"/>
        <w:rPr>
          <w:rFonts w:ascii="Arial" w:hAnsi="Arial" w:cs="Arial"/>
          <w:sz w:val="22"/>
          <w:szCs w:val="22"/>
        </w:rPr>
      </w:pPr>
      <w:r w:rsidRPr="000B57FC">
        <w:rPr>
          <w:rFonts w:ascii="Arial" w:hAnsi="Arial" w:cs="Arial"/>
          <w:sz w:val="22"/>
          <w:szCs w:val="22"/>
        </w:rPr>
        <w:t>Subcritical configurations, as mandated in fuel manufacturing facilities, are intentionally violated to conduct testing.</w:t>
      </w:r>
    </w:p>
    <w:p w:rsidR="007F112A" w:rsidRPr="008A7411" w:rsidP="0087274E" w14:paraId="71119500" w14:textId="77777777">
      <w:pPr>
        <w:pStyle w:val="ListParagraph"/>
        <w:numPr>
          <w:ilvl w:val="0"/>
          <w:numId w:val="42"/>
        </w:numPr>
        <w:spacing w:after="220"/>
        <w:contextualSpacing w:val="0"/>
        <w:rPr>
          <w:rFonts w:ascii="Arial" w:hAnsi="Arial" w:cs="Arial"/>
          <w:sz w:val="22"/>
          <w:szCs w:val="22"/>
        </w:rPr>
      </w:pPr>
      <w:r w:rsidRPr="008A7411">
        <w:rPr>
          <w:rFonts w:ascii="Arial" w:hAnsi="Arial" w:cs="Arial"/>
          <w:sz w:val="22"/>
          <w:szCs w:val="22"/>
        </w:rPr>
        <w:t>Depending on realistic accident scenarios, actinide accumulation during operations could exceed levels envisioned in 10 CFR Part 30, necessitating reevaluation of applicable licensing criteria. </w:t>
      </w:r>
    </w:p>
    <w:p w:rsidR="000B57FC" w:rsidP="008A7411" w14:paraId="4A8E11FE"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acknowledges the comment related to the discussions and white paper on a possible approach (including preliminary draft 10 CFR 53.1480) to address factory testing of fueled manufactured reactors. However, as explained in the </w:t>
      </w:r>
      <w:r w:rsidR="008A36F7">
        <w:rPr>
          <w:rFonts w:ascii="Arial" w:hAnsi="Arial" w:cs="Arial"/>
          <w:sz w:val="22"/>
          <w:szCs w:val="22"/>
        </w:rPr>
        <w:t xml:space="preserve">NRC’s </w:t>
      </w:r>
      <w:r w:rsidRPr="008A7411">
        <w:rPr>
          <w:rFonts w:ascii="Arial" w:hAnsi="Arial" w:cs="Arial"/>
          <w:sz w:val="22"/>
          <w:szCs w:val="22"/>
        </w:rPr>
        <w:t xml:space="preserve">response to </w:t>
      </w:r>
      <w:r w:rsidRPr="008A36F7" w:rsidR="008A36F7">
        <w:rPr>
          <w:rFonts w:ascii="Arial" w:hAnsi="Arial" w:cs="Arial"/>
          <w:sz w:val="22"/>
          <w:szCs w:val="22"/>
        </w:rPr>
        <w:t>Comment B</w:t>
      </w:r>
      <w:r w:rsidR="00B401A9">
        <w:rPr>
          <w:rFonts w:ascii="Arial" w:hAnsi="Arial" w:cs="Arial"/>
          <w:sz w:val="22"/>
          <w:szCs w:val="22"/>
        </w:rPr>
        <w:t xml:space="preserve"> </w:t>
      </w:r>
      <w:r w:rsidRPr="008A36F7" w:rsidR="008A36F7">
        <w:rPr>
          <w:rFonts w:ascii="Arial" w:hAnsi="Arial" w:cs="Arial"/>
          <w:sz w:val="22"/>
          <w:szCs w:val="22"/>
        </w:rPr>
        <w:t>in 3.8.10.G</w:t>
      </w:r>
      <w:r w:rsidRPr="008A7411">
        <w:rPr>
          <w:rFonts w:ascii="Arial" w:hAnsi="Arial" w:cs="Arial"/>
          <w:sz w:val="22"/>
          <w:szCs w:val="22"/>
        </w:rPr>
        <w:t xml:space="preserve"> later in this section, </w:t>
      </w:r>
      <w:r w:rsidR="000B05E5">
        <w:rPr>
          <w:rFonts w:ascii="Arial" w:hAnsi="Arial" w:cs="Arial"/>
          <w:sz w:val="22"/>
          <w:szCs w:val="22"/>
        </w:rPr>
        <w:t>t</w:t>
      </w:r>
      <w:r w:rsidRPr="008A7411">
        <w:rPr>
          <w:rFonts w:ascii="Arial" w:hAnsi="Arial" w:cs="Arial"/>
          <w:sz w:val="22"/>
          <w:szCs w:val="22"/>
        </w:rPr>
        <w:t>he NRC did not identify a consensus view on a preferred approach and has decided that, at least for the immediate future, the best approach is to use the flexibilities within 10 CFR Part 53, including the possible use of exemptions, for any first movers in the testing of manufactured reactors in a factory setting.</w:t>
      </w:r>
    </w:p>
    <w:p w:rsidR="007F112A" w:rsidRPr="008A7411" w:rsidP="008A7411" w14:paraId="475513D1" w14:textId="77777777">
      <w:pPr>
        <w:spacing w:after="220"/>
        <w:rPr>
          <w:rFonts w:ascii="Arial" w:hAnsi="Arial" w:cs="Arial"/>
          <w:sz w:val="22"/>
          <w:szCs w:val="22"/>
        </w:rPr>
      </w:pPr>
      <w:r w:rsidRPr="008A7411">
        <w:rPr>
          <w:rFonts w:ascii="Arial" w:hAnsi="Arial" w:cs="Arial"/>
          <w:sz w:val="22"/>
          <w:szCs w:val="22"/>
        </w:rPr>
        <w:t xml:space="preserve">Accordingly, the NRC </w:t>
      </w:r>
      <w:r w:rsidRPr="007B2B4F">
        <w:rPr>
          <w:rFonts w:ascii="Arial" w:hAnsi="Arial" w:cs="Arial"/>
          <w:sz w:val="22"/>
          <w:szCs w:val="22"/>
        </w:rPr>
        <w:t>did not change</w:t>
      </w:r>
      <w:r w:rsidRPr="008A7411">
        <w:rPr>
          <w:rFonts w:ascii="Arial" w:hAnsi="Arial" w:cs="Arial"/>
          <w:sz w:val="22"/>
          <w:szCs w:val="22"/>
        </w:rPr>
        <w:t xml:space="preserve"> the rule language in response to this comment.</w:t>
      </w:r>
    </w:p>
    <w:p w:rsidR="007F112A" w:rsidRPr="008A7411" w:rsidP="008A7411" w14:paraId="25E60AE6" w14:textId="77777777">
      <w:pPr>
        <w:spacing w:after="220"/>
        <w:rPr>
          <w:rFonts w:ascii="Arial" w:hAnsi="Arial" w:cs="Arial"/>
          <w:sz w:val="22"/>
          <w:szCs w:val="22"/>
        </w:rPr>
      </w:pPr>
      <w:r>
        <w:rPr>
          <w:rFonts w:ascii="Arial" w:hAnsi="Arial" w:cs="Arial"/>
          <w:sz w:val="22"/>
          <w:szCs w:val="22"/>
        </w:rPr>
        <w:pict>
          <v:rect id="_x0000_i1281" style="width:0;height:1.5pt" o:hralign="center" o:hrstd="t" o:hrnoshade="t" o:hr="t" fillcolor="black" stroked="f"/>
        </w:pict>
      </w:r>
    </w:p>
    <w:p w:rsidR="007F112A" w:rsidRPr="008A7411" w:rsidP="008A7411" w14:paraId="053CE875" w14:textId="77777777">
      <w:pPr>
        <w:spacing w:after="220"/>
        <w:rPr>
          <w:rFonts w:ascii="Arial" w:hAnsi="Arial" w:cs="Arial"/>
          <w:sz w:val="22"/>
          <w:szCs w:val="22"/>
        </w:rPr>
      </w:pPr>
      <w:r w:rsidRPr="008A7411">
        <w:rPr>
          <w:rFonts w:ascii="Arial" w:hAnsi="Arial" w:cs="Arial"/>
          <w:b/>
          <w:sz w:val="22"/>
          <w:szCs w:val="22"/>
        </w:rPr>
        <w:t>Comment Bin 3.8.10.F:</w:t>
      </w:r>
      <w:r w:rsidRPr="008A7411">
        <w:rPr>
          <w:rFonts w:ascii="Arial" w:hAnsi="Arial" w:cs="Arial"/>
          <w:sz w:val="22"/>
          <w:szCs w:val="22"/>
        </w:rPr>
        <w:t xml:space="preserve"> Regarding 10 CFR 53.1480(f)(11),</w:t>
      </w:r>
      <w:r w:rsidRPr="00B013EE" w:rsidR="00B013EE">
        <w:rPr>
          <w:rFonts w:ascii="Arial" w:hAnsi="Arial" w:cs="Arial"/>
          <w:sz w:val="22"/>
          <w:szCs w:val="22"/>
        </w:rPr>
        <w:t xml:space="preserve"> </w:t>
      </w:r>
      <w:r w:rsidRPr="008A7411" w:rsidR="00B013EE">
        <w:rPr>
          <w:rFonts w:ascii="Arial" w:hAnsi="Arial" w:cs="Arial"/>
          <w:sz w:val="22"/>
          <w:szCs w:val="22"/>
        </w:rPr>
        <w:t xml:space="preserve">which was part of an NRC </w:t>
      </w:r>
      <w:r w:rsidR="00B013EE">
        <w:rPr>
          <w:rFonts w:ascii="Arial" w:hAnsi="Arial" w:cs="Arial"/>
          <w:sz w:val="22"/>
          <w:szCs w:val="22"/>
        </w:rPr>
        <w:t>S</w:t>
      </w:r>
      <w:r w:rsidRPr="008A7411" w:rsidR="00B013EE">
        <w:rPr>
          <w:rFonts w:ascii="Arial" w:hAnsi="Arial" w:cs="Arial"/>
          <w:sz w:val="22"/>
          <w:szCs w:val="22"/>
        </w:rPr>
        <w:t xml:space="preserve">taff </w:t>
      </w:r>
      <w:r w:rsidR="00B013EE">
        <w:rPr>
          <w:rFonts w:ascii="Arial" w:hAnsi="Arial" w:cs="Arial"/>
          <w:sz w:val="22"/>
          <w:szCs w:val="22"/>
        </w:rPr>
        <w:t>W</w:t>
      </w:r>
      <w:r w:rsidRPr="008A7411" w:rsidR="00B013EE">
        <w:rPr>
          <w:rFonts w:ascii="Arial" w:hAnsi="Arial" w:cs="Arial"/>
          <w:sz w:val="22"/>
          <w:szCs w:val="22"/>
        </w:rPr>
        <w:t xml:space="preserve">hite </w:t>
      </w:r>
      <w:r w:rsidR="00B013EE">
        <w:rPr>
          <w:rFonts w:ascii="Arial" w:hAnsi="Arial" w:cs="Arial"/>
          <w:sz w:val="22"/>
          <w:szCs w:val="22"/>
        </w:rPr>
        <w:t>P</w:t>
      </w:r>
      <w:r w:rsidRPr="008A7411" w:rsidR="00B013EE">
        <w:rPr>
          <w:rFonts w:ascii="Arial" w:hAnsi="Arial" w:cs="Arial"/>
          <w:sz w:val="22"/>
          <w:szCs w:val="22"/>
        </w:rPr>
        <w:t xml:space="preserve">aper titled, “DRAFT Section 53.1480 – Combined license supporting testing of manufactured reactors,” </w:t>
      </w:r>
      <w:r w:rsidRPr="00D76460" w:rsidR="00B013EE">
        <w:rPr>
          <w:rFonts w:ascii="Arial" w:hAnsi="Arial" w:cs="Arial"/>
          <w:sz w:val="22"/>
          <w:szCs w:val="22"/>
        </w:rPr>
        <w:t xml:space="preserve">issued December 2024 </w:t>
      </w:r>
      <w:r w:rsidRPr="008A7411" w:rsidR="00B013EE">
        <w:rPr>
          <w:rFonts w:ascii="Arial" w:hAnsi="Arial" w:cs="Arial"/>
          <w:sz w:val="22"/>
          <w:szCs w:val="22"/>
        </w:rPr>
        <w:t>(ML24344A037</w:t>
      </w:r>
      <w:r w:rsidRPr="008A7411">
        <w:rPr>
          <w:rFonts w:ascii="Arial" w:hAnsi="Arial" w:cs="Arial"/>
          <w:sz w:val="22"/>
          <w:szCs w:val="22"/>
        </w:rPr>
        <w:t xml:space="preserve">), a commenter wrote that this section seems to imply that once a first reactor is built and tested, subsequent testing equipment maintenance and operation requirements can be discontinued. The commenter </w:t>
      </w:r>
      <w:r w:rsidR="000B57FC">
        <w:rPr>
          <w:rFonts w:ascii="Arial" w:hAnsi="Arial" w:cs="Arial"/>
          <w:sz w:val="22"/>
          <w:szCs w:val="22"/>
        </w:rPr>
        <w:t>stated</w:t>
      </w:r>
      <w:r w:rsidRPr="008A7411">
        <w:rPr>
          <w:rFonts w:ascii="Arial" w:hAnsi="Arial" w:cs="Arial"/>
          <w:sz w:val="22"/>
          <w:szCs w:val="22"/>
        </w:rPr>
        <w:t xml:space="preserve"> that this disregards the practical reality that, over the facility's lifetime, changes to both the manufactured reactor designs and the manufacturing facility configuration will inevitably occur as each reactor is produced. The commenter added that a change process as under </w:t>
      </w:r>
      <w:r w:rsidR="006D51B2">
        <w:rPr>
          <w:rFonts w:ascii="Arial" w:hAnsi="Arial" w:cs="Arial"/>
          <w:sz w:val="22"/>
          <w:szCs w:val="22"/>
        </w:rPr>
        <w:br/>
      </w:r>
      <w:r w:rsidRPr="008A7411">
        <w:rPr>
          <w:rFonts w:ascii="Arial" w:hAnsi="Arial" w:cs="Arial"/>
          <w:sz w:val="22"/>
          <w:szCs w:val="22"/>
        </w:rPr>
        <w:t xml:space="preserve">10 CFR 50.59 may be necessary to address minor changes, writing that even minor manufacturing or design adjustments can significantly impact reactor safety. The commenter </w:t>
      </w:r>
      <w:r w:rsidR="006A3D2C">
        <w:rPr>
          <w:rFonts w:ascii="Arial" w:hAnsi="Arial" w:cs="Arial"/>
          <w:sz w:val="22"/>
          <w:szCs w:val="22"/>
        </w:rPr>
        <w:t>also said</w:t>
      </w:r>
      <w:r w:rsidRPr="008A7411">
        <w:rPr>
          <w:rFonts w:ascii="Arial" w:hAnsi="Arial" w:cs="Arial"/>
          <w:sz w:val="22"/>
          <w:szCs w:val="22"/>
        </w:rPr>
        <w:t xml:space="preserve"> that the apparent assumption that ITAAC requirements for testing equipment and manufacturing processes can be “permanently retired” does not account for the iterative nature of reactor design, operation, and maintenance (</w:t>
      </w:r>
      <w:r w:rsidR="00F66F54">
        <w:rPr>
          <w:rFonts w:ascii="Arial" w:hAnsi="Arial" w:cs="Arial"/>
          <w:sz w:val="22"/>
          <w:szCs w:val="22"/>
        </w:rPr>
        <w:t>EK</w:t>
      </w:r>
      <w:r w:rsidRPr="008A7411">
        <w:rPr>
          <w:rFonts w:ascii="Arial" w:hAnsi="Arial" w:cs="Arial"/>
          <w:sz w:val="22"/>
          <w:szCs w:val="22"/>
        </w:rPr>
        <w:t>-0006).</w:t>
      </w:r>
    </w:p>
    <w:p w:rsidR="001F1CA3" w:rsidRPr="008A7411" w:rsidP="008A7411" w14:paraId="0CAE8E40"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 xml:space="preserve">The NRC acknowledges the comment related to the discussions and white paper on a possible approach (including preliminary draft 10 CFR 53.1480) to address factory testing of fueled manufactured reactors. However, as explained in the </w:t>
      </w:r>
      <w:r w:rsidR="00096630">
        <w:rPr>
          <w:rFonts w:ascii="Arial" w:hAnsi="Arial" w:cs="Arial"/>
          <w:sz w:val="22"/>
          <w:szCs w:val="22"/>
        </w:rPr>
        <w:t>NRC’s</w:t>
      </w:r>
      <w:r w:rsidRPr="008A7411">
        <w:rPr>
          <w:rFonts w:ascii="Arial" w:hAnsi="Arial" w:cs="Arial"/>
          <w:sz w:val="22"/>
          <w:szCs w:val="22"/>
        </w:rPr>
        <w:t xml:space="preserve"> response to </w:t>
      </w:r>
      <w:r w:rsidRPr="00096630" w:rsidR="00096630">
        <w:rPr>
          <w:rFonts w:ascii="Arial" w:hAnsi="Arial" w:cs="Arial"/>
          <w:sz w:val="22"/>
          <w:szCs w:val="22"/>
        </w:rPr>
        <w:t>Comment Bin 3.8.10.G</w:t>
      </w:r>
      <w:r w:rsidRPr="008A7411">
        <w:rPr>
          <w:rFonts w:ascii="Arial" w:hAnsi="Arial" w:cs="Arial"/>
          <w:sz w:val="22"/>
          <w:szCs w:val="22"/>
        </w:rPr>
        <w:t xml:space="preserve"> later in this section, </w:t>
      </w:r>
      <w:r w:rsidR="00F52663">
        <w:rPr>
          <w:rFonts w:ascii="Arial" w:hAnsi="Arial" w:cs="Arial"/>
          <w:sz w:val="22"/>
          <w:szCs w:val="22"/>
        </w:rPr>
        <w:t>t</w:t>
      </w:r>
      <w:r w:rsidRPr="008A7411">
        <w:rPr>
          <w:rFonts w:ascii="Arial" w:hAnsi="Arial" w:cs="Arial"/>
          <w:sz w:val="22"/>
          <w:szCs w:val="22"/>
        </w:rPr>
        <w:t>he NRC did not identify a consensus view on a preferred approach and has decided that, at least for the immediate future, the best approach is to use the flexibilities within 10 CFR Part 53, including the possible use of exemptions, for any first movers in the testing of manufactured reactors in a factory setting.</w:t>
      </w:r>
    </w:p>
    <w:p w:rsidR="007F112A" w:rsidRPr="008A7411" w:rsidP="008A7411" w14:paraId="1F93D424" w14:textId="77777777">
      <w:pPr>
        <w:spacing w:after="220"/>
        <w:rPr>
          <w:rFonts w:ascii="Arial" w:hAnsi="Arial" w:cs="Arial"/>
          <w:sz w:val="22"/>
          <w:szCs w:val="22"/>
        </w:rPr>
      </w:pPr>
      <w:r w:rsidRPr="008A7411">
        <w:rPr>
          <w:rFonts w:ascii="Arial" w:hAnsi="Arial" w:cs="Arial"/>
          <w:sz w:val="22"/>
          <w:szCs w:val="22"/>
        </w:rPr>
        <w:t xml:space="preserve">Accordingly, the NRC </w:t>
      </w:r>
      <w:r w:rsidRPr="007B2B4F">
        <w:rPr>
          <w:rFonts w:ascii="Arial" w:hAnsi="Arial" w:cs="Arial"/>
          <w:sz w:val="22"/>
          <w:szCs w:val="22"/>
        </w:rPr>
        <w:t>did not change</w:t>
      </w:r>
      <w:r w:rsidRPr="008A7411">
        <w:rPr>
          <w:rFonts w:ascii="Arial" w:hAnsi="Arial" w:cs="Arial"/>
          <w:sz w:val="22"/>
          <w:szCs w:val="22"/>
        </w:rPr>
        <w:t xml:space="preserve"> the rule language in response to this comment.</w:t>
      </w:r>
    </w:p>
    <w:p w:rsidR="007F112A" w:rsidRPr="008A7411" w:rsidP="008A7411" w14:paraId="053E26F9" w14:textId="77777777">
      <w:pPr>
        <w:spacing w:after="220"/>
        <w:rPr>
          <w:rFonts w:ascii="Arial" w:hAnsi="Arial" w:cs="Arial"/>
          <w:sz w:val="22"/>
          <w:szCs w:val="22"/>
        </w:rPr>
      </w:pPr>
      <w:r>
        <w:rPr>
          <w:rFonts w:ascii="Arial" w:hAnsi="Arial" w:cs="Arial"/>
          <w:sz w:val="22"/>
          <w:szCs w:val="22"/>
        </w:rPr>
        <w:pict>
          <v:rect id="_x0000_i1282" style="width:0;height:1.5pt" o:hralign="center" o:hrstd="t" o:hrnoshade="t" o:hr="t" fillcolor="black" stroked="f"/>
        </w:pict>
      </w:r>
    </w:p>
    <w:p w:rsidR="007F112A" w:rsidRPr="008A7411" w:rsidP="008A7411" w14:paraId="3C69D348" w14:textId="77777777">
      <w:pPr>
        <w:spacing w:after="220"/>
        <w:rPr>
          <w:rFonts w:ascii="Arial" w:hAnsi="Arial" w:cs="Arial"/>
          <w:sz w:val="22"/>
          <w:szCs w:val="22"/>
        </w:rPr>
      </w:pPr>
      <w:r w:rsidRPr="008A7411">
        <w:rPr>
          <w:rFonts w:ascii="Arial" w:hAnsi="Arial" w:cs="Arial"/>
          <w:b/>
          <w:sz w:val="22"/>
          <w:szCs w:val="22"/>
        </w:rPr>
        <w:t xml:space="preserve">Comment Bin 3.8.10.G: </w:t>
      </w:r>
      <w:r w:rsidRPr="008A7411">
        <w:rPr>
          <w:rFonts w:ascii="Arial" w:hAnsi="Arial" w:cs="Arial"/>
          <w:sz w:val="22"/>
          <w:szCs w:val="22"/>
        </w:rPr>
        <w:t>A commenter said that the NRC should clarify which testing is achievable under 10 CFR Part 70 versus that which would require a license under 10</w:t>
      </w:r>
      <w:r w:rsidRPr="008A7411" w:rsidR="00CC270D">
        <w:rPr>
          <w:rFonts w:ascii="Arial" w:hAnsi="Arial" w:cs="Arial"/>
          <w:sz w:val="22"/>
          <w:szCs w:val="22"/>
        </w:rPr>
        <w:t> </w:t>
      </w:r>
      <w:r w:rsidRPr="008A7411">
        <w:rPr>
          <w:rFonts w:ascii="Arial" w:hAnsi="Arial" w:cs="Arial"/>
          <w:sz w:val="22"/>
          <w:szCs w:val="22"/>
        </w:rPr>
        <w:t>CFR</w:t>
      </w:r>
      <w:r w:rsidRPr="008A7411" w:rsidR="006A3D2C">
        <w:rPr>
          <w:rFonts w:ascii="Arial" w:hAnsi="Arial" w:cs="Arial"/>
          <w:sz w:val="22"/>
          <w:szCs w:val="22"/>
        </w:rPr>
        <w:t> </w:t>
      </w:r>
      <w:r w:rsidRPr="008A7411">
        <w:rPr>
          <w:rFonts w:ascii="Arial" w:hAnsi="Arial" w:cs="Arial"/>
          <w:sz w:val="22"/>
          <w:szCs w:val="22"/>
        </w:rPr>
        <w:t>Part</w:t>
      </w:r>
      <w:r w:rsidRPr="008A7411" w:rsidR="006A3D2C">
        <w:rPr>
          <w:rFonts w:ascii="Arial" w:hAnsi="Arial" w:cs="Arial"/>
          <w:sz w:val="22"/>
          <w:szCs w:val="22"/>
        </w:rPr>
        <w:t> </w:t>
      </w:r>
      <w:r w:rsidRPr="008A7411">
        <w:rPr>
          <w:rFonts w:ascii="Arial" w:hAnsi="Arial" w:cs="Arial"/>
          <w:sz w:val="22"/>
          <w:szCs w:val="22"/>
        </w:rPr>
        <w:t xml:space="preserve">50, 52, or 53. The commenter </w:t>
      </w:r>
      <w:r w:rsidR="006A3D2C">
        <w:rPr>
          <w:rFonts w:ascii="Arial" w:hAnsi="Arial" w:cs="Arial"/>
          <w:sz w:val="22"/>
          <w:szCs w:val="22"/>
        </w:rPr>
        <w:t>stated</w:t>
      </w:r>
      <w:r w:rsidRPr="008A7411">
        <w:rPr>
          <w:rFonts w:ascii="Arial" w:hAnsi="Arial" w:cs="Arial"/>
          <w:sz w:val="22"/>
          <w:szCs w:val="22"/>
        </w:rPr>
        <w:t xml:space="preserve"> that subcritical testing that cannot meet the performance requirements of 10 CFR Part 70 for subcriticality would enter the regime of a utilization facility and require a 10 CFR Part 50, 52, or 53 license, and critical and lower power testing would be in the utilization facility regime. The commenter said that an applicant who wants to perform critical testing on the site should obtain licenses based on guidance in NUREG-1537. Given </w:t>
      </w:r>
      <w:r w:rsidR="006A3D2C">
        <w:rPr>
          <w:rFonts w:ascii="Arial" w:hAnsi="Arial" w:cs="Arial"/>
          <w:sz w:val="22"/>
          <w:szCs w:val="22"/>
        </w:rPr>
        <w:t>that</w:t>
      </w:r>
      <w:r w:rsidRPr="008A7411">
        <w:rPr>
          <w:rFonts w:ascii="Arial" w:hAnsi="Arial" w:cs="Arial"/>
          <w:sz w:val="22"/>
          <w:szCs w:val="22"/>
        </w:rPr>
        <w:t xml:space="preserve"> 10 CFR Part 53 as proposed does not currently cover Class 104 licenses, the commenter </w:t>
      </w:r>
      <w:r w:rsidR="006A3D2C">
        <w:rPr>
          <w:rFonts w:ascii="Arial" w:hAnsi="Arial" w:cs="Arial"/>
          <w:sz w:val="22"/>
          <w:szCs w:val="22"/>
        </w:rPr>
        <w:t>stated</w:t>
      </w:r>
      <w:r w:rsidRPr="008A7411">
        <w:rPr>
          <w:rFonts w:ascii="Arial" w:hAnsi="Arial" w:cs="Arial"/>
          <w:sz w:val="22"/>
          <w:szCs w:val="22"/>
        </w:rPr>
        <w:t xml:space="preserve"> that one path would be to obtain a 10 CFR Part 50 license that can be combined with a 10 CFR Part 70 and 10 CFR Part 53 license. The commenter mentioned that this would require the ability to transition between a 10</w:t>
      </w:r>
      <w:r w:rsidRPr="008A7411" w:rsidR="00CC270D">
        <w:rPr>
          <w:rFonts w:ascii="Arial" w:hAnsi="Arial" w:cs="Arial"/>
          <w:sz w:val="22"/>
          <w:szCs w:val="22"/>
        </w:rPr>
        <w:t> </w:t>
      </w:r>
      <w:r w:rsidRPr="008A7411">
        <w:rPr>
          <w:rFonts w:ascii="Arial" w:hAnsi="Arial" w:cs="Arial"/>
          <w:sz w:val="22"/>
          <w:szCs w:val="22"/>
        </w:rPr>
        <w:t>CFR</w:t>
      </w:r>
      <w:r w:rsidRPr="008A7411" w:rsidR="00CC270D">
        <w:rPr>
          <w:rFonts w:ascii="Arial" w:hAnsi="Arial" w:cs="Arial"/>
          <w:sz w:val="22"/>
          <w:szCs w:val="22"/>
        </w:rPr>
        <w:t> </w:t>
      </w:r>
      <w:r w:rsidRPr="008A7411">
        <w:rPr>
          <w:rFonts w:ascii="Arial" w:hAnsi="Arial" w:cs="Arial"/>
          <w:sz w:val="22"/>
          <w:szCs w:val="22"/>
        </w:rPr>
        <w:t>Part 50 and 10</w:t>
      </w:r>
      <w:r w:rsidR="00D42A93">
        <w:rPr>
          <w:rFonts w:ascii="Arial" w:hAnsi="Arial" w:cs="Arial"/>
          <w:sz w:val="22"/>
          <w:szCs w:val="22"/>
        </w:rPr>
        <w:t> </w:t>
      </w:r>
      <w:r w:rsidRPr="008A7411">
        <w:rPr>
          <w:rFonts w:ascii="Arial" w:hAnsi="Arial" w:cs="Arial"/>
          <w:sz w:val="22"/>
          <w:szCs w:val="22"/>
        </w:rPr>
        <w:t>CFR</w:t>
      </w:r>
      <w:r w:rsidR="00D42A93">
        <w:rPr>
          <w:rFonts w:ascii="Arial" w:hAnsi="Arial" w:cs="Arial"/>
          <w:sz w:val="22"/>
          <w:szCs w:val="22"/>
        </w:rPr>
        <w:t> </w:t>
      </w:r>
      <w:r w:rsidRPr="008A7411">
        <w:rPr>
          <w:rFonts w:ascii="Arial" w:hAnsi="Arial" w:cs="Arial"/>
          <w:sz w:val="22"/>
          <w:szCs w:val="22"/>
        </w:rPr>
        <w:t>Part 53 license. The commenter said that a 10</w:t>
      </w:r>
      <w:r w:rsidRPr="008A7411" w:rsidR="00CC270D">
        <w:rPr>
          <w:rFonts w:ascii="Arial" w:hAnsi="Arial" w:cs="Arial"/>
          <w:sz w:val="22"/>
          <w:szCs w:val="22"/>
        </w:rPr>
        <w:t> </w:t>
      </w:r>
      <w:r w:rsidRPr="008A7411">
        <w:rPr>
          <w:rFonts w:ascii="Arial" w:hAnsi="Arial" w:cs="Arial"/>
          <w:sz w:val="22"/>
          <w:szCs w:val="22"/>
        </w:rPr>
        <w:t>CFR</w:t>
      </w:r>
      <w:r w:rsidRPr="008A7411" w:rsidR="00CC270D">
        <w:rPr>
          <w:rFonts w:ascii="Arial" w:hAnsi="Arial" w:cs="Arial"/>
          <w:sz w:val="22"/>
          <w:szCs w:val="22"/>
        </w:rPr>
        <w:t> </w:t>
      </w:r>
      <w:r w:rsidRPr="008A7411">
        <w:rPr>
          <w:rFonts w:ascii="Arial" w:hAnsi="Arial" w:cs="Arial"/>
          <w:sz w:val="22"/>
          <w:szCs w:val="22"/>
        </w:rPr>
        <w:t>Part</w:t>
      </w:r>
      <w:r w:rsidRPr="008A7411" w:rsidR="00CC270D">
        <w:rPr>
          <w:rFonts w:ascii="Arial" w:hAnsi="Arial" w:cs="Arial"/>
          <w:sz w:val="22"/>
          <w:szCs w:val="22"/>
        </w:rPr>
        <w:t> </w:t>
      </w:r>
      <w:r w:rsidRPr="008A7411">
        <w:rPr>
          <w:rFonts w:ascii="Arial" w:hAnsi="Arial" w:cs="Arial"/>
          <w:sz w:val="22"/>
          <w:szCs w:val="22"/>
        </w:rPr>
        <w:t>50 Class 104 license developed using NUREG-1537 is specifically suited to the unique activities of the critical experiments and provides appropriate assurance of safety and safeguards for the experiment or test. The commenter also suggested another option would be to add Class 104 license to 10</w:t>
      </w:r>
      <w:r w:rsidR="00D42A93">
        <w:rPr>
          <w:rFonts w:ascii="Arial" w:hAnsi="Arial" w:cs="Arial"/>
          <w:sz w:val="22"/>
          <w:szCs w:val="22"/>
        </w:rPr>
        <w:t> </w:t>
      </w:r>
      <w:r w:rsidRPr="008A7411">
        <w:rPr>
          <w:rFonts w:ascii="Arial" w:hAnsi="Arial" w:cs="Arial"/>
          <w:sz w:val="22"/>
          <w:szCs w:val="22"/>
        </w:rPr>
        <w:t>CFR Part 53 (</w:t>
      </w:r>
      <w:r w:rsidR="009D6BB9">
        <w:rPr>
          <w:rFonts w:ascii="Arial" w:hAnsi="Arial" w:cs="Arial"/>
          <w:sz w:val="22"/>
          <w:szCs w:val="22"/>
        </w:rPr>
        <w:t>NEI2</w:t>
      </w:r>
      <w:r w:rsidRPr="008A7411">
        <w:rPr>
          <w:rFonts w:ascii="Arial" w:hAnsi="Arial" w:cs="Arial"/>
          <w:sz w:val="22"/>
          <w:szCs w:val="22"/>
        </w:rPr>
        <w:t>-0196).</w:t>
      </w:r>
    </w:p>
    <w:p w:rsidR="007F112A" w:rsidRPr="008A7411" w:rsidP="008A7411" w14:paraId="42DB4D2B" w14:textId="77777777">
      <w:pPr>
        <w:spacing w:after="220"/>
        <w:rPr>
          <w:rFonts w:ascii="Arial" w:hAnsi="Arial" w:cs="Arial"/>
          <w:sz w:val="22"/>
          <w:szCs w:val="22"/>
        </w:rPr>
      </w:pPr>
      <w:r w:rsidRPr="008A7411">
        <w:rPr>
          <w:rFonts w:ascii="Arial" w:hAnsi="Arial" w:cs="Arial"/>
          <w:sz w:val="22"/>
          <w:szCs w:val="22"/>
        </w:rPr>
        <w:t>A</w:t>
      </w:r>
      <w:r w:rsidRPr="008A7411" w:rsidR="005518A7">
        <w:rPr>
          <w:rFonts w:ascii="Arial" w:hAnsi="Arial" w:cs="Arial"/>
          <w:sz w:val="22"/>
          <w:szCs w:val="22"/>
        </w:rPr>
        <w:t>nother</w:t>
      </w:r>
      <w:r w:rsidRPr="008A7411">
        <w:rPr>
          <w:rFonts w:ascii="Arial" w:hAnsi="Arial" w:cs="Arial"/>
          <w:sz w:val="22"/>
          <w:szCs w:val="22"/>
        </w:rPr>
        <w:t xml:space="preserve"> commenter wrote that testing of reactors manufactured and fueled in a factory should be included in 10 CFR Part 53 and added that they do not have detailed recommendations at this time but would welcome future workshops and engagement.</w:t>
      </w:r>
    </w:p>
    <w:p w:rsidR="007F112A" w:rsidRPr="008A7411" w:rsidP="00C45701" w14:paraId="722C468E" w14:textId="77777777">
      <w:pPr>
        <w:spacing w:after="220"/>
        <w:rPr>
          <w:rFonts w:ascii="Arial" w:hAnsi="Arial" w:cs="Arial"/>
          <w:sz w:val="22"/>
          <w:szCs w:val="22"/>
        </w:rPr>
      </w:pPr>
      <w:r w:rsidRPr="008A7411">
        <w:rPr>
          <w:rFonts w:ascii="Arial" w:hAnsi="Arial" w:cs="Arial"/>
          <w:sz w:val="22"/>
          <w:szCs w:val="22"/>
        </w:rPr>
        <w:t xml:space="preserve">The commenter </w:t>
      </w:r>
      <w:r w:rsidR="00E238C4">
        <w:rPr>
          <w:rFonts w:ascii="Arial" w:hAnsi="Arial" w:cs="Arial"/>
          <w:sz w:val="22"/>
          <w:szCs w:val="22"/>
        </w:rPr>
        <w:t>stated</w:t>
      </w:r>
      <w:r w:rsidRPr="008A7411">
        <w:rPr>
          <w:rFonts w:ascii="Arial" w:hAnsi="Arial" w:cs="Arial"/>
          <w:sz w:val="22"/>
          <w:szCs w:val="22"/>
        </w:rPr>
        <w:t xml:space="preserve"> that they do not support individual COLs specific to lower power testing due to increased application time and annual costs. Instead</w:t>
      </w:r>
      <w:r w:rsidRPr="008A7411" w:rsidR="0000772D">
        <w:rPr>
          <w:rFonts w:ascii="Arial" w:hAnsi="Arial" w:cs="Arial"/>
          <w:sz w:val="22"/>
          <w:szCs w:val="22"/>
        </w:rPr>
        <w:t>,</w:t>
      </w:r>
      <w:r w:rsidRPr="008A7411">
        <w:rPr>
          <w:rFonts w:ascii="Arial" w:hAnsi="Arial" w:cs="Arial"/>
          <w:sz w:val="22"/>
          <w:szCs w:val="22"/>
        </w:rPr>
        <w:t xml:space="preserve"> the commenter suggested these three alternative approaches in order of preference (</w:t>
      </w:r>
      <w:r w:rsidR="00611CA0">
        <w:rPr>
          <w:rFonts w:ascii="Arial" w:hAnsi="Arial" w:cs="Arial"/>
          <w:sz w:val="22"/>
          <w:szCs w:val="22"/>
        </w:rPr>
        <w:t>RAD</w:t>
      </w:r>
      <w:r w:rsidRPr="008A7411">
        <w:rPr>
          <w:rFonts w:ascii="Arial" w:hAnsi="Arial" w:cs="Arial"/>
          <w:sz w:val="22"/>
          <w:szCs w:val="22"/>
        </w:rPr>
        <w:t>-0010):</w:t>
      </w:r>
    </w:p>
    <w:p w:rsidR="007F112A" w:rsidRPr="008A7411" w:rsidP="00455E55" w14:paraId="279BB0EB" w14:textId="77777777">
      <w:pPr>
        <w:pStyle w:val="ListParagraph"/>
        <w:numPr>
          <w:ilvl w:val="0"/>
          <w:numId w:val="36"/>
        </w:numPr>
        <w:spacing w:after="220"/>
        <w:contextualSpacing w:val="0"/>
        <w:rPr>
          <w:rFonts w:ascii="Arial" w:hAnsi="Arial" w:cs="Arial"/>
          <w:sz w:val="22"/>
          <w:szCs w:val="22"/>
        </w:rPr>
      </w:pPr>
      <w:r w:rsidRPr="008A7411">
        <w:rPr>
          <w:rFonts w:ascii="Arial" w:hAnsi="Arial" w:cs="Arial"/>
          <w:sz w:val="22"/>
          <w:szCs w:val="22"/>
        </w:rPr>
        <w:t xml:space="preserve">A service provider license with an integrated approach to rapid, high-volume deployment of small and mobile reactors as described in the concept paper submitted to the NRC </w:t>
      </w:r>
      <w:r w:rsidRPr="008A7411" w:rsidR="00B4432E">
        <w:rPr>
          <w:rFonts w:ascii="Arial" w:hAnsi="Arial" w:cs="Arial"/>
          <w:sz w:val="22"/>
          <w:szCs w:val="22"/>
        </w:rPr>
        <w:t>as a separate comment on this rulemaking</w:t>
      </w:r>
      <w:r w:rsidRPr="008A7411" w:rsidR="006E105D">
        <w:rPr>
          <w:rFonts w:ascii="Arial" w:hAnsi="Arial" w:cs="Arial"/>
          <w:sz w:val="22"/>
          <w:szCs w:val="22"/>
        </w:rPr>
        <w:t xml:space="preserve"> (</w:t>
      </w:r>
      <w:r w:rsidR="00C12E1F">
        <w:rPr>
          <w:rFonts w:ascii="Arial" w:hAnsi="Arial" w:cs="Arial"/>
          <w:sz w:val="22"/>
          <w:szCs w:val="22"/>
        </w:rPr>
        <w:t>“</w:t>
      </w:r>
      <w:r w:rsidRPr="008A7411" w:rsidR="006E105D">
        <w:rPr>
          <w:rFonts w:ascii="Arial" w:hAnsi="Arial" w:cs="Arial"/>
          <w:sz w:val="22"/>
          <w:szCs w:val="22"/>
        </w:rPr>
        <w:t>Service Provider Licensing and Oversight: An Alternative Conceptual Strategy for Regulating Fleet-wide Small and Mobile Reactors,</w:t>
      </w:r>
      <w:r w:rsidR="00C12E1F">
        <w:rPr>
          <w:rFonts w:ascii="Arial" w:hAnsi="Arial" w:cs="Arial"/>
          <w:sz w:val="22"/>
          <w:szCs w:val="22"/>
        </w:rPr>
        <w:t>”</w:t>
      </w:r>
      <w:r w:rsidRPr="008A7411" w:rsidR="006E105D">
        <w:rPr>
          <w:rFonts w:ascii="Arial" w:hAnsi="Arial" w:cs="Arial"/>
          <w:sz w:val="22"/>
          <w:szCs w:val="22"/>
        </w:rPr>
        <w:t xml:space="preserve"> </w:t>
      </w:r>
      <w:r w:rsidR="00E238C4">
        <w:rPr>
          <w:rFonts w:ascii="Arial" w:hAnsi="Arial" w:cs="Arial"/>
          <w:sz w:val="22"/>
          <w:szCs w:val="22"/>
        </w:rPr>
        <w:t xml:space="preserve">dated February 6, 2025 </w:t>
      </w:r>
      <w:r w:rsidR="00C12E1F">
        <w:rPr>
          <w:rFonts w:ascii="Arial" w:hAnsi="Arial" w:cs="Arial"/>
          <w:sz w:val="22"/>
          <w:szCs w:val="22"/>
        </w:rPr>
        <w:t>(</w:t>
      </w:r>
      <w:r w:rsidRPr="008A7411" w:rsidR="006E105D">
        <w:rPr>
          <w:rFonts w:ascii="Arial" w:hAnsi="Arial" w:cs="Arial"/>
          <w:sz w:val="22"/>
          <w:szCs w:val="22"/>
        </w:rPr>
        <w:t>ML25037A347)</w:t>
      </w:r>
      <w:r w:rsidR="00E238C4">
        <w:rPr>
          <w:rFonts w:ascii="Arial" w:hAnsi="Arial" w:cs="Arial"/>
          <w:sz w:val="22"/>
          <w:szCs w:val="22"/>
        </w:rPr>
        <w:t>)</w:t>
      </w:r>
      <w:r w:rsidRPr="008A7411">
        <w:rPr>
          <w:rFonts w:ascii="Arial" w:hAnsi="Arial" w:cs="Arial"/>
          <w:sz w:val="22"/>
          <w:szCs w:val="22"/>
        </w:rPr>
        <w:t>.</w:t>
      </w:r>
    </w:p>
    <w:p w:rsidR="007F112A" w:rsidRPr="008A7411" w:rsidP="00455E55" w14:paraId="1ADF009D" w14:textId="77777777">
      <w:pPr>
        <w:pStyle w:val="ListParagraph"/>
        <w:numPr>
          <w:ilvl w:val="0"/>
          <w:numId w:val="36"/>
        </w:numPr>
        <w:spacing w:after="220"/>
        <w:contextualSpacing w:val="0"/>
        <w:rPr>
          <w:rFonts w:ascii="Arial" w:hAnsi="Arial" w:cs="Arial"/>
          <w:sz w:val="22"/>
          <w:szCs w:val="22"/>
        </w:rPr>
      </w:pPr>
      <w:r w:rsidRPr="008A7411">
        <w:rPr>
          <w:rFonts w:ascii="Arial" w:hAnsi="Arial" w:cs="Arial"/>
          <w:sz w:val="22"/>
          <w:szCs w:val="22"/>
        </w:rPr>
        <w:t>Define a path for specifying multiple operating locations in a COL to encompass the manufacturing site, the operating site, and additional operating sites for reactors that undergo a series of deployments prior to refueling.</w:t>
      </w:r>
    </w:p>
    <w:p w:rsidR="007F112A" w:rsidRPr="008A7411" w:rsidP="00455E55" w14:paraId="78274752" w14:textId="77777777">
      <w:pPr>
        <w:pStyle w:val="ListParagraph"/>
        <w:numPr>
          <w:ilvl w:val="0"/>
          <w:numId w:val="36"/>
        </w:numPr>
        <w:spacing w:after="220"/>
        <w:contextualSpacing w:val="0"/>
        <w:rPr>
          <w:rFonts w:ascii="Arial" w:hAnsi="Arial" w:cs="Arial"/>
          <w:sz w:val="22"/>
          <w:szCs w:val="22"/>
        </w:rPr>
      </w:pPr>
      <w:r w:rsidRPr="008A7411">
        <w:rPr>
          <w:rFonts w:ascii="Arial" w:hAnsi="Arial" w:cs="Arial"/>
          <w:sz w:val="22"/>
          <w:szCs w:val="22"/>
        </w:rPr>
        <w:t>A single, factory testing COL which would be an acceptable but least preferable approach.</w:t>
      </w:r>
    </w:p>
    <w:p w:rsidR="007F112A" w:rsidRPr="008A7411" w:rsidP="008A7411" w14:paraId="15E80F26" w14:textId="77777777">
      <w:pPr>
        <w:spacing w:after="220"/>
        <w:rPr>
          <w:rFonts w:ascii="Arial" w:hAnsi="Arial" w:cs="Arial"/>
          <w:sz w:val="22"/>
          <w:szCs w:val="22"/>
        </w:rPr>
      </w:pPr>
      <w:r w:rsidRPr="008A7411">
        <w:rPr>
          <w:rFonts w:ascii="Arial" w:hAnsi="Arial" w:cs="Arial"/>
          <w:sz w:val="22"/>
          <w:szCs w:val="22"/>
        </w:rPr>
        <w:t xml:space="preserve">A commenter wrote that the NRC should pursue a more performance-based approach that would integrate licensing and oversight functions with high-level performance requirements. </w:t>
      </w:r>
      <w:r w:rsidRPr="008A7411">
        <w:rPr>
          <w:rFonts w:ascii="Arial" w:hAnsi="Arial" w:cs="Arial"/>
          <w:sz w:val="22"/>
          <w:szCs w:val="22"/>
        </w:rPr>
        <w:t>This would allow for maximum use of performance indicators and minimal need for inspection to ensure safety and security. The commenter recommend</w:t>
      </w:r>
      <w:r w:rsidRPr="008A7411" w:rsidR="0023578C">
        <w:rPr>
          <w:rFonts w:ascii="Arial" w:hAnsi="Arial" w:cs="Arial"/>
          <w:sz w:val="22"/>
          <w:szCs w:val="22"/>
        </w:rPr>
        <w:t>ed</w:t>
      </w:r>
      <w:r w:rsidRPr="008A7411">
        <w:rPr>
          <w:rFonts w:ascii="Arial" w:hAnsi="Arial" w:cs="Arial"/>
          <w:sz w:val="22"/>
          <w:szCs w:val="22"/>
        </w:rPr>
        <w:t xml:space="preserve"> that the NRC consider an integrated approach to rapid, high-volume deployment of small and mobile reactors as described in </w:t>
      </w:r>
      <w:r w:rsidRPr="008A7411" w:rsidR="003F5DCE">
        <w:rPr>
          <w:rFonts w:ascii="Arial" w:hAnsi="Arial" w:cs="Arial"/>
          <w:sz w:val="22"/>
          <w:szCs w:val="22"/>
        </w:rPr>
        <w:t>"Service Provider Licensing and Oversight: An Alternative Conceptual Strategy for Regulating Fleet-wide Small and Mobile Reactors," (ML25037A347)</w:t>
      </w:r>
      <w:r w:rsidRPr="008A7411">
        <w:rPr>
          <w:rFonts w:ascii="Arial" w:hAnsi="Arial" w:cs="Arial"/>
          <w:sz w:val="22"/>
          <w:szCs w:val="22"/>
        </w:rPr>
        <w:t>. The commenter wrote that this would allow 10</w:t>
      </w:r>
      <w:r w:rsidRPr="008A7411" w:rsidR="0006680F">
        <w:rPr>
          <w:rFonts w:ascii="Arial" w:hAnsi="Arial" w:cs="Arial"/>
          <w:sz w:val="22"/>
          <w:szCs w:val="22"/>
        </w:rPr>
        <w:t> </w:t>
      </w:r>
      <w:r w:rsidRPr="008A7411">
        <w:rPr>
          <w:rFonts w:ascii="Arial" w:hAnsi="Arial" w:cs="Arial"/>
          <w:sz w:val="22"/>
          <w:szCs w:val="22"/>
        </w:rPr>
        <w:t>CFR</w:t>
      </w:r>
      <w:r w:rsidRPr="008A7411" w:rsidR="0006680F">
        <w:rPr>
          <w:rFonts w:ascii="Arial" w:hAnsi="Arial" w:cs="Arial"/>
          <w:sz w:val="22"/>
          <w:szCs w:val="22"/>
        </w:rPr>
        <w:t> </w:t>
      </w:r>
      <w:r w:rsidRPr="008A7411">
        <w:rPr>
          <w:rFonts w:ascii="Arial" w:hAnsi="Arial" w:cs="Arial"/>
          <w:sz w:val="22"/>
          <w:szCs w:val="22"/>
        </w:rPr>
        <w:t>Part 53 to meet the requirements of the ADVANCE Act (</w:t>
      </w:r>
      <w:r w:rsidR="00C3447B">
        <w:rPr>
          <w:rFonts w:ascii="Arial" w:hAnsi="Arial" w:cs="Arial"/>
          <w:sz w:val="22"/>
          <w:szCs w:val="22"/>
        </w:rPr>
        <w:t>ROSE</w:t>
      </w:r>
      <w:r w:rsidRPr="008A7411">
        <w:rPr>
          <w:rFonts w:ascii="Arial" w:hAnsi="Arial" w:cs="Arial"/>
          <w:sz w:val="22"/>
          <w:szCs w:val="22"/>
        </w:rPr>
        <w:t>-0011).</w:t>
      </w:r>
    </w:p>
    <w:p w:rsidR="007F112A" w:rsidRPr="008A7411" w:rsidP="00C45701" w14:paraId="0299F01D" w14:textId="77777777">
      <w:pPr>
        <w:spacing w:after="220"/>
        <w:rPr>
          <w:rFonts w:ascii="Arial" w:hAnsi="Arial" w:cs="Arial"/>
          <w:sz w:val="22"/>
          <w:szCs w:val="22"/>
        </w:rPr>
      </w:pPr>
      <w:r w:rsidRPr="008A7411">
        <w:rPr>
          <w:rFonts w:ascii="Arial" w:hAnsi="Arial" w:cs="Arial"/>
          <w:sz w:val="22"/>
          <w:szCs w:val="22"/>
        </w:rPr>
        <w:t>One commenter offered the following recommendations (</w:t>
      </w:r>
      <w:r w:rsidR="00D87876">
        <w:rPr>
          <w:rFonts w:ascii="Arial" w:hAnsi="Arial" w:cs="Arial"/>
          <w:sz w:val="22"/>
          <w:szCs w:val="22"/>
        </w:rPr>
        <w:t>SCWG</w:t>
      </w:r>
      <w:r w:rsidRPr="008A7411">
        <w:rPr>
          <w:rFonts w:ascii="Arial" w:hAnsi="Arial" w:cs="Arial"/>
          <w:sz w:val="22"/>
          <w:szCs w:val="22"/>
        </w:rPr>
        <w:t>-0024):</w:t>
      </w:r>
    </w:p>
    <w:p w:rsidR="007F112A" w:rsidRPr="008A7411" w:rsidP="00455E55" w14:paraId="669D2AB3"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The NRC should include provisions to regulate the testing of fueled manufactured reactors at the manufacturing facility in implementing guidance.</w:t>
      </w:r>
    </w:p>
    <w:p w:rsidR="007F112A" w:rsidRPr="008A7411" w:rsidP="00455E55" w14:paraId="367C0EA4"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In guidance, the NRC should discuss the nuclear physics testing of manufactured reactors and outline safety, security, and oversight measures.</w:t>
      </w:r>
    </w:p>
    <w:p w:rsidR="007F112A" w:rsidRPr="008A7411" w:rsidP="00455E55" w14:paraId="504A6C7D"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 xml:space="preserve">The NRC should clarify which provisions of Subpart H apply to COL applicants conducting testing of fueled manufactured reactors at a manufacturing facility, and the NRC should acknowledge that certain </w:t>
      </w:r>
      <w:r w:rsidRPr="008A7411">
        <w:rPr>
          <w:rFonts w:ascii="Arial" w:hAnsi="Arial" w:cs="Arial"/>
          <w:sz w:val="22"/>
          <w:szCs w:val="22"/>
        </w:rPr>
        <w:t>precriticality</w:t>
      </w:r>
      <w:r w:rsidRPr="008A7411">
        <w:rPr>
          <w:rFonts w:ascii="Arial" w:hAnsi="Arial" w:cs="Arial"/>
          <w:sz w:val="22"/>
          <w:szCs w:val="22"/>
        </w:rPr>
        <w:t xml:space="preserve"> testing activities may be permissible under 10 CFR Part 70 without requiring a COL.</w:t>
      </w:r>
    </w:p>
    <w:p w:rsidR="007F112A" w:rsidRPr="008A7411" w:rsidP="00455E55" w14:paraId="5230D91E"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The NRC should provide guidance on what constitutes “low power testing” at a manufacturing facility and how this differs from full operational testing at a deployment site for future applicants.</w:t>
      </w:r>
    </w:p>
    <w:p w:rsidR="007F112A" w:rsidRPr="008A7411" w:rsidP="00455E55" w14:paraId="37062858"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Staffing and oversight requirements should be adapted to reflect the lower risk profile of low-power testing but ensure sufficient engineering expertise is available.</w:t>
      </w:r>
    </w:p>
    <w:p w:rsidR="007F112A" w:rsidRPr="008A7411" w:rsidP="00455E55" w14:paraId="024686A6"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The NRC should engage with stakeholders to further clarify the roles and responsibilities of ML holders versus COL applicants during the testing phase.</w:t>
      </w:r>
    </w:p>
    <w:p w:rsidR="007F112A" w:rsidRPr="008A7411" w:rsidP="00455E55" w14:paraId="66A83723" w14:textId="77777777">
      <w:pPr>
        <w:pStyle w:val="ListParagraph"/>
        <w:numPr>
          <w:ilvl w:val="0"/>
          <w:numId w:val="35"/>
        </w:numPr>
        <w:spacing w:after="220"/>
        <w:contextualSpacing w:val="0"/>
        <w:rPr>
          <w:rFonts w:ascii="Arial" w:hAnsi="Arial" w:cs="Arial"/>
          <w:sz w:val="22"/>
          <w:szCs w:val="22"/>
        </w:rPr>
      </w:pPr>
      <w:r w:rsidRPr="008A7411">
        <w:rPr>
          <w:rFonts w:ascii="Arial" w:hAnsi="Arial" w:cs="Arial"/>
          <w:sz w:val="22"/>
          <w:szCs w:val="22"/>
        </w:rPr>
        <w:t>The NRC should pursue a licensing framework that allows a single license to cover the testing of multiple fueled manufactured reactors, provided they meet consistent design and safety criteria. This approach should distinguish between subcritical testing</w:t>
      </w:r>
      <w:r w:rsidR="000B6DD8">
        <w:rPr>
          <w:rFonts w:ascii="Arial" w:hAnsi="Arial" w:cs="Arial"/>
          <w:sz w:val="22"/>
          <w:szCs w:val="22"/>
        </w:rPr>
        <w:t>–</w:t>
      </w:r>
      <w:r w:rsidRPr="008A7411">
        <w:rPr>
          <w:rFonts w:ascii="Arial" w:hAnsi="Arial" w:cs="Arial"/>
          <w:sz w:val="22"/>
          <w:szCs w:val="22"/>
        </w:rPr>
        <w:t>potentially allowable under Part 70</w:t>
      </w:r>
      <w:r w:rsidR="000B6DD8">
        <w:rPr>
          <w:rFonts w:ascii="Arial" w:hAnsi="Arial" w:cs="Arial"/>
          <w:sz w:val="22"/>
          <w:szCs w:val="22"/>
        </w:rPr>
        <w:t>–</w:t>
      </w:r>
      <w:r w:rsidRPr="008A7411">
        <w:rPr>
          <w:rFonts w:ascii="Arial" w:hAnsi="Arial" w:cs="Arial"/>
          <w:sz w:val="22"/>
          <w:szCs w:val="22"/>
        </w:rPr>
        <w:t>and critical testing, which may necessitate a different licensing pathway, such as a Class 104 license under the AEA.</w:t>
      </w:r>
    </w:p>
    <w:p w:rsidR="007F112A" w:rsidRPr="008A7411" w:rsidP="008A7411" w14:paraId="5E5839B1" w14:textId="77777777">
      <w:pPr>
        <w:spacing w:after="220"/>
        <w:rPr>
          <w:rFonts w:ascii="Arial" w:hAnsi="Arial" w:cs="Arial"/>
          <w:sz w:val="22"/>
          <w:szCs w:val="22"/>
        </w:rPr>
      </w:pPr>
      <w:r w:rsidRPr="008A7411">
        <w:rPr>
          <w:rFonts w:ascii="Arial" w:hAnsi="Arial" w:cs="Arial"/>
          <w:sz w:val="22"/>
          <w:szCs w:val="22"/>
        </w:rPr>
        <w:t xml:space="preserve">A commenter </w:t>
      </w:r>
      <w:r w:rsidR="0070674C">
        <w:rPr>
          <w:rFonts w:ascii="Arial" w:hAnsi="Arial" w:cs="Arial"/>
          <w:sz w:val="22"/>
          <w:szCs w:val="22"/>
        </w:rPr>
        <w:t>stated</w:t>
      </w:r>
      <w:r w:rsidRPr="008A7411">
        <w:rPr>
          <w:rFonts w:ascii="Arial" w:hAnsi="Arial" w:cs="Arial"/>
          <w:sz w:val="22"/>
          <w:szCs w:val="22"/>
        </w:rPr>
        <w:t xml:space="preserve"> that 10 CFR Part 53 should provide a regulatory approach that clearly and efficiently allows for factory fuel loading of reactors with factory-focused inspections and testing of production units. The commenter recommended incorporating SECY-24-0008 into 10 CFR Part 53, although they cautioned that the outline approach should not be limited to only microreactors. The commenter wrote that recommended options 1b, 2b, and 3b are acceptable</w:t>
      </w:r>
      <w:r w:rsidRPr="008A7411" w:rsidR="00B77CC5">
        <w:rPr>
          <w:rFonts w:ascii="Arial" w:hAnsi="Arial" w:cs="Arial"/>
          <w:sz w:val="22"/>
          <w:szCs w:val="22"/>
        </w:rPr>
        <w:t>;</w:t>
      </w:r>
      <w:r w:rsidRPr="008A7411">
        <w:rPr>
          <w:rFonts w:ascii="Arial" w:hAnsi="Arial" w:cs="Arial"/>
          <w:sz w:val="22"/>
          <w:szCs w:val="22"/>
        </w:rPr>
        <w:t xml:space="preserve"> however, options 1a, 2a, and 3a rely mostly on established policies and processes for power reactor licensing and would be viable only in certain circumstances (</w:t>
      </w:r>
      <w:r w:rsidR="00AE0B17">
        <w:rPr>
          <w:rFonts w:ascii="Arial" w:hAnsi="Arial" w:cs="Arial"/>
          <w:sz w:val="22"/>
          <w:szCs w:val="22"/>
        </w:rPr>
        <w:t>USNIC2</w:t>
      </w:r>
      <w:r w:rsidRPr="008A7411">
        <w:rPr>
          <w:rFonts w:ascii="Arial" w:hAnsi="Arial" w:cs="Arial"/>
          <w:sz w:val="22"/>
          <w:szCs w:val="22"/>
        </w:rPr>
        <w:t>-0014).</w:t>
      </w:r>
    </w:p>
    <w:p w:rsidR="007F112A" w:rsidRPr="008A7411" w:rsidP="008A7411" w14:paraId="79AA356E" w14:textId="77777777">
      <w:pPr>
        <w:spacing w:after="220"/>
        <w:rPr>
          <w:rFonts w:ascii="Arial" w:hAnsi="Arial" w:cs="Arial"/>
          <w:sz w:val="22"/>
          <w:szCs w:val="22"/>
        </w:rPr>
      </w:pPr>
      <w:r w:rsidRPr="008A7411">
        <w:rPr>
          <w:rFonts w:ascii="Arial" w:hAnsi="Arial" w:cs="Arial"/>
          <w:b/>
          <w:sz w:val="22"/>
          <w:szCs w:val="22"/>
        </w:rPr>
        <w:t>NRC Response: </w:t>
      </w:r>
      <w:r w:rsidRPr="008A7411">
        <w:rPr>
          <w:rFonts w:ascii="Arial" w:hAnsi="Arial" w:cs="Arial"/>
          <w:sz w:val="22"/>
          <w:szCs w:val="22"/>
        </w:rPr>
        <w:t>The NRC agrees, in part, with these comments.</w:t>
      </w:r>
    </w:p>
    <w:p w:rsidR="00816CFA" w:rsidP="008A7411" w14:paraId="11D0C003" w14:textId="77777777">
      <w:pPr>
        <w:spacing w:after="220"/>
        <w:rPr>
          <w:rFonts w:ascii="Arial" w:hAnsi="Arial" w:cs="Arial"/>
          <w:sz w:val="22"/>
          <w:szCs w:val="22"/>
        </w:rPr>
      </w:pPr>
      <w:r w:rsidRPr="008A7411">
        <w:rPr>
          <w:rFonts w:ascii="Arial" w:hAnsi="Arial" w:cs="Arial"/>
          <w:sz w:val="22"/>
          <w:szCs w:val="22"/>
        </w:rPr>
        <w:t>The 10 CFR Part 53 proposed rule did not include specific provisions for the testing of manufactured reactors within the manufacturing facility. The NRC considered adding such provisions</w:t>
      </w:r>
      <w:r w:rsidRPr="008A7411" w:rsidR="0086170E">
        <w:rPr>
          <w:rFonts w:ascii="Arial" w:hAnsi="Arial" w:cs="Arial"/>
          <w:sz w:val="22"/>
          <w:szCs w:val="22"/>
        </w:rPr>
        <w:t>,</w:t>
      </w:r>
      <w:r w:rsidRPr="008A7411">
        <w:rPr>
          <w:rFonts w:ascii="Arial" w:hAnsi="Arial" w:cs="Arial"/>
          <w:sz w:val="22"/>
          <w:szCs w:val="22"/>
        </w:rPr>
        <w:t xml:space="preserve"> solicited comments on possible approaches</w:t>
      </w:r>
      <w:r w:rsidRPr="008A7411" w:rsidR="0086170E">
        <w:rPr>
          <w:rFonts w:ascii="Arial" w:hAnsi="Arial" w:cs="Arial"/>
          <w:sz w:val="22"/>
          <w:szCs w:val="22"/>
        </w:rPr>
        <w:t>,</w:t>
      </w:r>
      <w:r w:rsidRPr="008A7411">
        <w:rPr>
          <w:rFonts w:ascii="Arial" w:hAnsi="Arial" w:cs="Arial"/>
          <w:sz w:val="22"/>
          <w:szCs w:val="22"/>
        </w:rPr>
        <w:t xml:space="preserve"> and further discussed concepts during the comment period at a public meeting held on January 8, 2025. The NRC did not identify a consensus view on a preferred approach and has decided that, at least for the immediate future, the best approach is to use the flexibilities within 10 CFR Part 53, including the possible use of </w:t>
      </w:r>
      <w:r w:rsidRPr="008A7411">
        <w:rPr>
          <w:rFonts w:ascii="Arial" w:hAnsi="Arial" w:cs="Arial"/>
          <w:sz w:val="22"/>
          <w:szCs w:val="22"/>
        </w:rPr>
        <w:t xml:space="preserve">exemptions, for any first movers in the testing of manufactured reactors in a factory setting. The introduction of byproduct materials by operational testing at the manufacturing facility will need to be addressed within any exemption requests from any part of NRC regulations. Some comments received favored such an approach where applicants for or holders of an ML would request exemptions from specific requirements in 10 CFR Part 53 to allow reactor testing at the manufacturing facility in lieu of the NRC including specific exclusions in 10 CFR Part 53. As explained in the proposed and final rules, future rulemakings to address scenarios such as the development and deployment of microreactors will provide an opportunity to include specific provisions for the testing of manufactured reactors within the manufacturing facility. </w:t>
      </w:r>
    </w:p>
    <w:p w:rsidR="007F112A" w:rsidRPr="008A7411" w:rsidP="008A7411" w14:paraId="10630118" w14:textId="77777777">
      <w:pPr>
        <w:spacing w:after="220"/>
        <w:rPr>
          <w:rFonts w:ascii="Arial" w:hAnsi="Arial" w:cs="Arial"/>
          <w:sz w:val="22"/>
          <w:szCs w:val="22"/>
        </w:rPr>
      </w:pPr>
      <w:r>
        <w:rPr>
          <w:rFonts w:ascii="Arial" w:hAnsi="Arial" w:cs="Arial"/>
          <w:sz w:val="22"/>
          <w:szCs w:val="22"/>
        </w:rPr>
        <w:t>Accordingly, t</w:t>
      </w:r>
      <w:r w:rsidRPr="008A7411">
        <w:rPr>
          <w:rFonts w:ascii="Arial" w:hAnsi="Arial" w:cs="Arial"/>
          <w:sz w:val="22"/>
          <w:szCs w:val="22"/>
        </w:rPr>
        <w:t xml:space="preserve">he NRC </w:t>
      </w:r>
      <w:r>
        <w:rPr>
          <w:rFonts w:ascii="Arial" w:hAnsi="Arial" w:cs="Arial"/>
          <w:sz w:val="22"/>
          <w:szCs w:val="22"/>
        </w:rPr>
        <w:t xml:space="preserve">did not </w:t>
      </w:r>
      <w:r w:rsidRPr="008A7411">
        <w:rPr>
          <w:rFonts w:ascii="Arial" w:hAnsi="Arial" w:cs="Arial"/>
          <w:sz w:val="22"/>
          <w:szCs w:val="22"/>
        </w:rPr>
        <w:t xml:space="preserve">change </w:t>
      </w:r>
      <w:r>
        <w:rPr>
          <w:rFonts w:ascii="Arial" w:hAnsi="Arial" w:cs="Arial"/>
          <w:sz w:val="22"/>
          <w:szCs w:val="22"/>
        </w:rPr>
        <w:t xml:space="preserve">the </w:t>
      </w:r>
      <w:r w:rsidRPr="008A7411">
        <w:rPr>
          <w:rFonts w:ascii="Arial" w:hAnsi="Arial" w:cs="Arial"/>
          <w:sz w:val="22"/>
          <w:szCs w:val="22"/>
        </w:rPr>
        <w:t xml:space="preserve">rule language </w:t>
      </w:r>
      <w:r w:rsidRPr="008A7411" w:rsidR="00925425">
        <w:rPr>
          <w:rFonts w:ascii="Arial" w:hAnsi="Arial" w:cs="Arial"/>
          <w:sz w:val="22"/>
          <w:szCs w:val="22"/>
        </w:rPr>
        <w:t>in response to this comment</w:t>
      </w:r>
      <w:r w:rsidRPr="008A7411">
        <w:rPr>
          <w:rFonts w:ascii="Arial" w:hAnsi="Arial" w:cs="Arial"/>
          <w:sz w:val="22"/>
          <w:szCs w:val="22"/>
        </w:rPr>
        <w:t>.</w:t>
      </w:r>
    </w:p>
    <w:p w:rsidR="007F112A" w:rsidRPr="008A7411" w:rsidP="008A7411" w14:paraId="412DAC91" w14:textId="77777777">
      <w:pPr>
        <w:spacing w:after="220"/>
        <w:rPr>
          <w:rFonts w:ascii="Arial" w:eastAsia="Times New Roman" w:hAnsi="Arial" w:cs="Arial"/>
          <w:b/>
          <w:color w:val="000000"/>
          <w:sz w:val="22"/>
          <w:szCs w:val="22"/>
          <w:lang w:eastAsia="zh-CN"/>
        </w:rPr>
      </w:pPr>
      <w:r>
        <w:rPr>
          <w:rFonts w:ascii="Arial" w:eastAsia="Times New Roman" w:hAnsi="Arial" w:cs="Arial"/>
          <w:sz w:val="22"/>
          <w:szCs w:val="22"/>
          <w:lang w:eastAsia="zh-CN"/>
        </w:rPr>
        <w:pict>
          <v:rect id="_x0000_i1283" style="width:0;height:1.5pt" o:hralign="center" o:hrstd="t" o:hrnoshade="t" o:hr="t" fillcolor="black" stroked="f"/>
        </w:pict>
      </w:r>
    </w:p>
    <w:p w:rsidR="007F112A" w:rsidRPr="008A7411" w:rsidP="008A7411" w14:paraId="10420F05" w14:textId="77777777">
      <w:pPr>
        <w:spacing w:after="220"/>
        <w:rPr>
          <w:rFonts w:ascii="Arial" w:eastAsia="DengXian" w:hAnsi="Arial" w:cs="Arial"/>
          <w:sz w:val="22"/>
          <w:szCs w:val="22"/>
        </w:rPr>
      </w:pPr>
      <w:r w:rsidRPr="008A7411">
        <w:rPr>
          <w:rFonts w:ascii="Arial" w:eastAsia="Times New Roman" w:hAnsi="Arial" w:cs="Arial"/>
          <w:b/>
          <w:color w:val="000000"/>
          <w:sz w:val="22"/>
          <w:szCs w:val="22"/>
          <w:lang w:eastAsia="zh-CN"/>
        </w:rPr>
        <w:t>Comment Bin 3.8.10.</w:t>
      </w:r>
      <w:r w:rsidRPr="008A7411" w:rsidR="00321705">
        <w:rPr>
          <w:rFonts w:ascii="Arial" w:eastAsia="Times New Roman" w:hAnsi="Arial" w:cs="Arial"/>
          <w:b/>
          <w:color w:val="000000"/>
          <w:sz w:val="22"/>
          <w:szCs w:val="22"/>
          <w:lang w:eastAsia="zh-CN"/>
        </w:rPr>
        <w:t>H</w:t>
      </w:r>
      <w:r w:rsidRPr="008A7411">
        <w:rPr>
          <w:rFonts w:ascii="Arial" w:eastAsia="Times New Roman" w:hAnsi="Arial" w:cs="Arial"/>
          <w:b/>
          <w:color w:val="000000"/>
          <w:sz w:val="22"/>
          <w:szCs w:val="22"/>
          <w:lang w:eastAsia="zh-CN"/>
        </w:rPr>
        <w:t xml:space="preserve">: </w:t>
      </w:r>
      <w:r w:rsidRPr="008A7411">
        <w:rPr>
          <w:rFonts w:ascii="Arial" w:eastAsia="DengXian" w:hAnsi="Arial" w:cs="Arial"/>
          <w:sz w:val="22"/>
          <w:szCs w:val="22"/>
        </w:rPr>
        <w:t xml:space="preserve">With respect to other microreactor considerations, a commenter discussed that licensing considerations from SECY-20-0093 could be addressed by a more technology-inclusive 10 CFR Part 53. Additionally, the commenter discussed that a pathway to testing of a fueled microreactor at the manufacturing facility, such as under an AEA </w:t>
      </w:r>
      <w:r w:rsidR="00BD23D6">
        <w:rPr>
          <w:rFonts w:ascii="Arial" w:eastAsia="DengXian" w:hAnsi="Arial" w:cs="Arial"/>
          <w:sz w:val="22"/>
          <w:szCs w:val="22"/>
        </w:rPr>
        <w:t>s</w:t>
      </w:r>
      <w:r w:rsidRPr="008A7411">
        <w:rPr>
          <w:rFonts w:ascii="Arial" w:eastAsia="DengXian" w:hAnsi="Arial" w:cs="Arial"/>
          <w:sz w:val="22"/>
          <w:szCs w:val="22"/>
        </w:rPr>
        <w:t>ection 104 license and using methodologies similar to NUREG</w:t>
      </w:r>
      <w:r w:rsidRPr="008A7411">
        <w:rPr>
          <w:rFonts w:ascii="Arial" w:eastAsia="DengXian" w:hAnsi="Arial" w:cs="Arial"/>
          <w:sz w:val="22"/>
          <w:szCs w:val="22"/>
        </w:rPr>
        <w:noBreakHyphen/>
        <w:t>1537, would be important to address. The commenter stated that it is essential that as many of the ADVANCE Act issues as possible be addressed under the performance-based framework of the proposed rulemaking (</w:t>
      </w:r>
      <w:r w:rsidR="009D6BB9">
        <w:rPr>
          <w:rFonts w:ascii="Arial" w:eastAsia="Times New Roman" w:hAnsi="Arial" w:cs="Arial"/>
          <w:color w:val="000000"/>
          <w:sz w:val="22"/>
          <w:szCs w:val="22"/>
          <w:lang w:eastAsia="zh-CN"/>
        </w:rPr>
        <w:t>NEI2</w:t>
      </w:r>
      <w:r w:rsidRPr="008A7411">
        <w:rPr>
          <w:rFonts w:ascii="Arial" w:eastAsia="Times New Roman" w:hAnsi="Arial" w:cs="Arial"/>
          <w:color w:val="000000"/>
          <w:sz w:val="22"/>
          <w:szCs w:val="22"/>
          <w:lang w:eastAsia="zh-CN"/>
        </w:rPr>
        <w:t>-0254)</w:t>
      </w:r>
      <w:r w:rsidRPr="008A7411">
        <w:rPr>
          <w:rFonts w:ascii="Arial" w:eastAsia="DengXian" w:hAnsi="Arial" w:cs="Arial"/>
          <w:sz w:val="22"/>
          <w:szCs w:val="22"/>
        </w:rPr>
        <w:t>.</w:t>
      </w:r>
    </w:p>
    <w:p w:rsidR="00BD23D6" w:rsidP="008A7411" w14:paraId="5146EC36" w14:textId="77777777">
      <w:pPr>
        <w:spacing w:after="220"/>
        <w:rPr>
          <w:rFonts w:ascii="Arial" w:hAnsi="Arial" w:cs="Arial"/>
          <w:sz w:val="22"/>
          <w:szCs w:val="22"/>
        </w:rPr>
      </w:pPr>
      <w:r w:rsidRPr="008A7411">
        <w:rPr>
          <w:rFonts w:ascii="Arial" w:hAnsi="Arial" w:cs="Arial"/>
          <w:b/>
          <w:sz w:val="22"/>
          <w:szCs w:val="22"/>
        </w:rPr>
        <w:t>NRC Response:</w:t>
      </w:r>
      <w:r w:rsidR="007B16DD">
        <w:rPr>
          <w:rFonts w:ascii="Arial" w:hAnsi="Arial" w:cs="Arial"/>
          <w:b/>
          <w:sz w:val="22"/>
          <w:szCs w:val="22"/>
        </w:rPr>
        <w:t xml:space="preserve"> </w:t>
      </w:r>
      <w:r w:rsidRPr="008A7411">
        <w:rPr>
          <w:rFonts w:ascii="Arial" w:hAnsi="Arial" w:cs="Arial"/>
          <w:sz w:val="22"/>
          <w:szCs w:val="22"/>
        </w:rPr>
        <w:t>The NRC agrees, in part, with the comment.</w:t>
      </w:r>
    </w:p>
    <w:p w:rsidR="009041F8" w:rsidRPr="008A7411" w:rsidP="008A7411" w14:paraId="28E0B2B4" w14:textId="77777777">
      <w:pPr>
        <w:spacing w:after="220"/>
        <w:rPr>
          <w:rFonts w:ascii="Arial" w:hAnsi="Arial" w:cs="Arial"/>
          <w:sz w:val="22"/>
          <w:szCs w:val="22"/>
        </w:rPr>
      </w:pPr>
      <w:r w:rsidRPr="008A7411">
        <w:rPr>
          <w:rFonts w:ascii="Arial" w:hAnsi="Arial" w:cs="Arial"/>
          <w:sz w:val="22"/>
          <w:szCs w:val="22"/>
        </w:rPr>
        <w:t xml:space="preserve">As explained in the </w:t>
      </w:r>
      <w:r w:rsidR="002623AE">
        <w:rPr>
          <w:rFonts w:ascii="Arial" w:hAnsi="Arial" w:cs="Arial"/>
          <w:sz w:val="22"/>
          <w:szCs w:val="22"/>
        </w:rPr>
        <w:t xml:space="preserve">NRC’s </w:t>
      </w:r>
      <w:r w:rsidRPr="008A7411">
        <w:rPr>
          <w:rFonts w:ascii="Arial" w:hAnsi="Arial" w:cs="Arial"/>
          <w:sz w:val="22"/>
          <w:szCs w:val="22"/>
        </w:rPr>
        <w:t xml:space="preserve">response to </w:t>
      </w:r>
      <w:r w:rsidRPr="002B54CB" w:rsidR="002623AE">
        <w:rPr>
          <w:rFonts w:ascii="Arial" w:hAnsi="Arial" w:cs="Arial"/>
          <w:sz w:val="22"/>
          <w:szCs w:val="22"/>
        </w:rPr>
        <w:t>Comment Bin 3.1.1.B</w:t>
      </w:r>
      <w:r w:rsidRPr="00245611">
        <w:rPr>
          <w:rFonts w:ascii="Arial" w:hAnsi="Arial" w:cs="Arial"/>
          <w:sz w:val="22"/>
          <w:szCs w:val="22"/>
        </w:rPr>
        <w:t>,</w:t>
      </w:r>
      <w:r w:rsidRPr="002B54CB">
        <w:rPr>
          <w:rFonts w:ascii="Arial" w:hAnsi="Arial" w:cs="Arial"/>
          <w:sz w:val="22"/>
          <w:szCs w:val="22"/>
        </w:rPr>
        <w:t xml:space="preserve"> 10</w:t>
      </w:r>
      <w:r w:rsidR="00970A93">
        <w:rPr>
          <w:rFonts w:ascii="Arial" w:hAnsi="Arial" w:cs="Arial"/>
          <w:sz w:val="22"/>
          <w:szCs w:val="22"/>
        </w:rPr>
        <w:t> </w:t>
      </w:r>
      <w:r w:rsidRPr="002B54CB">
        <w:rPr>
          <w:rFonts w:ascii="Arial" w:hAnsi="Arial" w:cs="Arial"/>
          <w:sz w:val="22"/>
          <w:szCs w:val="22"/>
        </w:rPr>
        <w:t>CFR</w:t>
      </w:r>
      <w:r w:rsidRPr="008A7411">
        <w:rPr>
          <w:rFonts w:ascii="Arial" w:hAnsi="Arial" w:cs="Arial"/>
          <w:sz w:val="22"/>
          <w:szCs w:val="22"/>
        </w:rPr>
        <w:t xml:space="preserve"> Part 53 is intentionally limited to utilization facilities licensed under </w:t>
      </w:r>
      <w:r w:rsidR="00E43C61">
        <w:rPr>
          <w:rFonts w:ascii="Arial" w:hAnsi="Arial" w:cs="Arial"/>
          <w:sz w:val="22"/>
          <w:szCs w:val="22"/>
        </w:rPr>
        <w:t>s</w:t>
      </w:r>
      <w:r w:rsidRPr="008A7411">
        <w:rPr>
          <w:rFonts w:ascii="Arial" w:hAnsi="Arial" w:cs="Arial"/>
          <w:sz w:val="22"/>
          <w:szCs w:val="22"/>
        </w:rPr>
        <w:t xml:space="preserve">ection 103 of the </w:t>
      </w:r>
      <w:r w:rsidR="004A52A3">
        <w:rPr>
          <w:rFonts w:ascii="Arial" w:hAnsi="Arial" w:cs="Arial"/>
          <w:sz w:val="22"/>
          <w:szCs w:val="22"/>
        </w:rPr>
        <w:t>AEA</w:t>
      </w:r>
      <w:r w:rsidRPr="008A7411">
        <w:rPr>
          <w:rFonts w:ascii="Arial" w:hAnsi="Arial" w:cs="Arial"/>
          <w:sz w:val="22"/>
          <w:szCs w:val="22"/>
        </w:rPr>
        <w:t>. In addition, the NRC did not identify a consensus view on a preferred approach for factory testing of fueled manufactured reactors and has decided that, at least for the immediate future, the best approach is to use the flexibilities within 10 CFR Part 53, including the possible use of exemptions, for any first movers in the testing of manufactured reactors in a factory setting. As discussed in SECY-24-0008, applicants can use insights from the licensing and regulation of research and test reactors, including NUREG-1537, in identifying and proposing justification for exemptions from the requirements in 10 CFR Part 53 for the limited operations associated with factory testing of manufactured reactors.</w:t>
      </w:r>
    </w:p>
    <w:p w:rsidR="007F112A" w:rsidRPr="008A7411" w:rsidP="008A7411" w14:paraId="4F346A1F" w14:textId="77777777">
      <w:pPr>
        <w:spacing w:after="220"/>
        <w:rPr>
          <w:rFonts w:ascii="Arial" w:eastAsia="Times New Roman" w:hAnsi="Arial" w:cs="Arial"/>
          <w:color w:val="000000"/>
          <w:sz w:val="22"/>
          <w:szCs w:val="22"/>
          <w:lang w:eastAsia="zh-CN"/>
        </w:rPr>
      </w:pPr>
      <w:r w:rsidRPr="008A7411">
        <w:rPr>
          <w:rFonts w:ascii="Arial" w:hAnsi="Arial" w:cs="Arial"/>
          <w:sz w:val="22"/>
          <w:szCs w:val="22"/>
        </w:rPr>
        <w:t>Accor</w:t>
      </w:r>
      <w:r w:rsidRPr="008A7411">
        <w:rPr>
          <w:rFonts w:ascii="Arial" w:eastAsia="Times New Roman" w:hAnsi="Arial" w:cs="Arial"/>
          <w:color w:val="000000"/>
          <w:sz w:val="22"/>
          <w:szCs w:val="22"/>
          <w:lang w:eastAsia="zh-CN"/>
        </w:rPr>
        <w:t>dingly, the NRC did not change the rule language in response to this comment</w:t>
      </w:r>
      <w:r w:rsidRPr="008A7411" w:rsidR="009041F8">
        <w:rPr>
          <w:rFonts w:ascii="Arial" w:eastAsia="Times New Roman" w:hAnsi="Arial" w:cs="Arial"/>
          <w:color w:val="000000"/>
          <w:sz w:val="22"/>
          <w:szCs w:val="22"/>
          <w:lang w:eastAsia="zh-CN"/>
        </w:rPr>
        <w:t>.</w:t>
      </w:r>
    </w:p>
    <w:p w:rsidR="007F112A" w:rsidRPr="008A7411" w:rsidP="008A7411" w14:paraId="28D81316" w14:textId="77777777">
      <w:pPr>
        <w:spacing w:after="220"/>
        <w:rPr>
          <w:rFonts w:ascii="Arial" w:hAnsi="Arial" w:cs="Arial"/>
          <w:sz w:val="22"/>
          <w:szCs w:val="22"/>
        </w:rPr>
      </w:pPr>
      <w:r w:rsidRPr="008A7411">
        <w:rPr>
          <w:rFonts w:ascii="Arial" w:eastAsia="Times New Roman" w:hAnsi="Arial" w:cs="Arial"/>
          <w:color w:val="000000"/>
          <w:sz w:val="22"/>
          <w:szCs w:val="22"/>
          <w:lang w:eastAsia="zh-CN"/>
        </w:rPr>
        <w:t xml:space="preserve">Consistent with the ADVANCE Act and EOs issued in 2025, </w:t>
      </w:r>
      <w:r w:rsidRPr="008A7411" w:rsidR="003D1B89">
        <w:rPr>
          <w:rFonts w:ascii="Arial" w:eastAsia="Times New Roman" w:hAnsi="Arial" w:cs="Arial"/>
          <w:color w:val="000000"/>
          <w:sz w:val="22"/>
          <w:szCs w:val="22"/>
          <w:lang w:eastAsia="zh-CN"/>
        </w:rPr>
        <w:t xml:space="preserve">the </w:t>
      </w:r>
      <w:r w:rsidRPr="008A7411">
        <w:rPr>
          <w:rFonts w:ascii="Arial" w:eastAsia="Times New Roman" w:hAnsi="Arial" w:cs="Arial"/>
          <w:color w:val="000000"/>
          <w:sz w:val="22"/>
          <w:szCs w:val="22"/>
          <w:lang w:eastAsia="zh-CN"/>
        </w:rPr>
        <w:t>NRC has initiated development of an additional rulemaking to expedite licensing of qualified microreactors and other potentially low risk, low co</w:t>
      </w:r>
      <w:r w:rsidRPr="008A7411">
        <w:rPr>
          <w:rFonts w:ascii="Arial" w:hAnsi="Arial" w:cs="Arial"/>
          <w:sz w:val="22"/>
          <w:szCs w:val="22"/>
        </w:rPr>
        <w:t>nsequence reactors. This activity, along with other NRC guidance development activities, are intended to address questions such as those raised by the comments.</w:t>
      </w:r>
    </w:p>
    <w:p w:rsidR="007F112A" w:rsidRPr="008A7411" w:rsidP="008A7411" w14:paraId="0460F515" w14:textId="77777777">
      <w:pPr>
        <w:spacing w:after="220"/>
        <w:rPr>
          <w:rFonts w:ascii="Arial" w:hAnsi="Arial" w:cs="Arial"/>
          <w:sz w:val="22"/>
          <w:szCs w:val="22"/>
        </w:rPr>
      </w:pPr>
      <w:r>
        <w:rPr>
          <w:rFonts w:ascii="Arial" w:hAnsi="Arial" w:cs="Arial"/>
          <w:sz w:val="22"/>
          <w:szCs w:val="22"/>
        </w:rPr>
        <w:pict>
          <v:rect id="_x0000_i1284" style="width:0;height:1.5pt" o:hralign="center" o:hrstd="t" o:hrnoshade="t" o:hr="t" fillcolor="black" stroked="f"/>
        </w:pict>
      </w:r>
    </w:p>
    <w:p w:rsidR="00176279" w:rsidRPr="008D10E8" w:rsidP="001249BD" w14:paraId="16A6E20D" w14:textId="77777777">
      <w:pPr>
        <w:pStyle w:val="Heading2"/>
        <w:numPr>
          <w:ilvl w:val="0"/>
          <w:numId w:val="0"/>
        </w:numPr>
        <w:ind w:left="720" w:hanging="720"/>
      </w:pPr>
      <w:bookmarkStart w:id="102" w:name="_Toc194466471"/>
      <w:bookmarkStart w:id="103" w:name="_Toc194678432"/>
      <w:bookmarkStart w:id="104" w:name="_Toc207222839"/>
      <w:r w:rsidRPr="001249BD">
        <w:rPr>
          <w:u w:val="none"/>
        </w:rPr>
        <w:t>3.9.</w:t>
      </w:r>
      <w:r w:rsidRPr="001249BD">
        <w:rPr>
          <w:u w:val="none"/>
        </w:rPr>
        <w:tab/>
      </w:r>
      <w:r w:rsidRPr="008D10E8" w:rsidR="007F112A">
        <w:t>Subpart I: Maintaining and Revising Licensing-Basis Information (§§ 53.1500-53.1595)</w:t>
      </w:r>
      <w:bookmarkStart w:id="105" w:name="_Toc205380041"/>
      <w:bookmarkStart w:id="106" w:name="_Toc194466472"/>
      <w:bookmarkStart w:id="107" w:name="_Toc194678433"/>
      <w:bookmarkEnd w:id="102"/>
      <w:bookmarkEnd w:id="103"/>
      <w:bookmarkEnd w:id="104"/>
      <w:bookmarkEnd w:id="105"/>
    </w:p>
    <w:p w:rsidR="007F112A" w:rsidRPr="005E489E" w:rsidP="001249BD" w14:paraId="1B3AC1C6" w14:textId="77777777">
      <w:pPr>
        <w:pStyle w:val="Heading3"/>
        <w:numPr>
          <w:ilvl w:val="0"/>
          <w:numId w:val="0"/>
        </w:numPr>
        <w:ind w:left="720" w:hanging="720"/>
        <w:rPr>
          <w:rFonts w:eastAsia="Times New Roman"/>
          <w:b/>
        </w:rPr>
      </w:pPr>
      <w:bookmarkStart w:id="108" w:name="_Toc207222840"/>
      <w:r w:rsidRPr="001249BD">
        <w:rPr>
          <w:u w:val="none"/>
        </w:rPr>
        <w:t>3.9.1.</w:t>
      </w:r>
      <w:r w:rsidRPr="001249BD">
        <w:rPr>
          <w:u w:val="none"/>
        </w:rPr>
        <w:tab/>
      </w:r>
      <w:r w:rsidRPr="00DA0A3C">
        <w:t>Comments on Subpart I requirements (e.g., amendments, backfitting) not related to RFC</w:t>
      </w:r>
      <w:bookmarkEnd w:id="106"/>
      <w:bookmarkEnd w:id="107"/>
      <w:bookmarkEnd w:id="108"/>
    </w:p>
    <w:p w:rsidR="007F112A" w:rsidRPr="00256FA5" w:rsidP="00256FA5" w14:paraId="3828937C" w14:textId="77777777">
      <w:pPr>
        <w:spacing w:after="220"/>
        <w:rPr>
          <w:rFonts w:ascii="Arial" w:eastAsia="DengXian" w:hAnsi="Arial" w:cs="Arial"/>
          <w:sz w:val="22"/>
          <w:szCs w:val="22"/>
          <w:lang w:eastAsia="ja-JP"/>
        </w:rPr>
      </w:pPr>
      <w:r w:rsidRPr="00256FA5">
        <w:rPr>
          <w:rFonts w:ascii="Arial" w:eastAsia="Times New Roman" w:hAnsi="Arial" w:cs="Arial"/>
          <w:b/>
          <w:color w:val="000000"/>
          <w:sz w:val="22"/>
          <w:szCs w:val="22"/>
          <w:lang w:eastAsia="zh-CN"/>
        </w:rPr>
        <w:t>Comment Bin 3.9.1.A:</w:t>
      </w:r>
      <w:r w:rsidRPr="007C713B">
        <w:rPr>
          <w:rFonts w:ascii="Arial" w:eastAsia="Times New Roman" w:hAnsi="Arial" w:cs="Arial"/>
          <w:color w:val="000000"/>
          <w:sz w:val="22"/>
          <w:szCs w:val="22"/>
          <w:lang w:eastAsia="zh-CN"/>
        </w:rPr>
        <w:t xml:space="preserve"> </w:t>
      </w:r>
      <w:r w:rsidRPr="00256FA5">
        <w:rPr>
          <w:rFonts w:ascii="Arial" w:eastAsia="DengXian" w:hAnsi="Arial" w:cs="Arial"/>
          <w:sz w:val="22"/>
          <w:szCs w:val="22"/>
          <w:lang w:eastAsia="ja-JP"/>
        </w:rPr>
        <w:t xml:space="preserve">A commenter stated that </w:t>
      </w:r>
      <w:r w:rsidRPr="00F43492" w:rsidR="00F43492">
        <w:rPr>
          <w:rFonts w:ascii="Arial" w:eastAsia="DengXian" w:hAnsi="Arial" w:cs="Arial"/>
          <w:sz w:val="22"/>
          <w:szCs w:val="22"/>
          <w:lang w:eastAsia="ja-JP"/>
        </w:rPr>
        <w:t>the NRC report, “Best Practices for Establishment and Operation of Local Community Advisory Boards Associated with Decommissioning Activities at Nuclear Power Plants,” required by section 108 of NEIMA and delivered to Congress on July 1, 2020 (ML20113E857) demonstrated that the CAB</w:t>
      </w:r>
      <w:r w:rsidRPr="00256FA5">
        <w:rPr>
          <w:rFonts w:ascii="Arial" w:eastAsia="DengXian" w:hAnsi="Arial" w:cs="Arial"/>
          <w:sz w:val="22"/>
          <w:szCs w:val="22"/>
          <w:lang w:eastAsia="ja-JP"/>
        </w:rPr>
        <w:t xml:space="preserve"> is a useful </w:t>
      </w:r>
      <w:r w:rsidRPr="00256FA5">
        <w:rPr>
          <w:rFonts w:ascii="Arial" w:eastAsia="DengXian" w:hAnsi="Arial" w:cs="Arial"/>
          <w:sz w:val="22"/>
          <w:szCs w:val="22"/>
          <w:lang w:eastAsia="ja-JP"/>
        </w:rPr>
        <w:t>tool which can support all nuclear power and fuel cycle facilities, starting with initial planning and siting stages all the way through facility construction, long-term operations, major licensing amendments and renewals, and incident and emergency planning and responses. The commenter discussed that the licensing processes for new, advanced reactors under 10 CFR Part 53 are extremely complex from the perspective of stakeholders and suggested that the expanded use of CABs could help achieve the policy goals of NEIMA, such as local outreach and coordination. The commenter added that proposed 10 CFR 53.1515 only addresses CP and OL licensing processes, but that 10 CFR Part 53 includes a total of seven different processes, including ESP, LWA, SDA, SDC, and ML licensing processes. The commenter discussed that the CAB could support reviews and communications during each of these processes (</w:t>
      </w:r>
      <w:r w:rsidR="000A1B88">
        <w:rPr>
          <w:rFonts w:ascii="Arial" w:eastAsia="DengXian" w:hAnsi="Arial" w:cs="Arial"/>
          <w:sz w:val="22"/>
          <w:szCs w:val="22"/>
          <w:lang w:eastAsia="ja-JP"/>
        </w:rPr>
        <w:t>UT1</w:t>
      </w:r>
      <w:r w:rsidRPr="00256FA5">
        <w:rPr>
          <w:rFonts w:ascii="Arial" w:eastAsia="DengXian" w:hAnsi="Arial" w:cs="Arial"/>
          <w:sz w:val="22"/>
          <w:szCs w:val="22"/>
          <w:lang w:eastAsia="ja-JP"/>
        </w:rPr>
        <w:t>-0002).</w:t>
      </w:r>
    </w:p>
    <w:p w:rsidR="007F112A" w:rsidRPr="00256FA5" w:rsidP="00256FA5" w14:paraId="07AECBA0"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commenter additionally requested that the NRC revise the </w:t>
      </w:r>
      <w:r w:rsidR="00162F80">
        <w:rPr>
          <w:rFonts w:ascii="Arial" w:eastAsia="DengXian" w:hAnsi="Arial" w:cs="Arial"/>
          <w:sz w:val="22"/>
          <w:szCs w:val="22"/>
          <w:lang w:eastAsia="ja-JP"/>
        </w:rPr>
        <w:t>2020</w:t>
      </w:r>
      <w:r w:rsidRPr="00256FA5">
        <w:rPr>
          <w:rFonts w:ascii="Arial" w:eastAsia="DengXian" w:hAnsi="Arial" w:cs="Arial"/>
          <w:sz w:val="22"/>
          <w:szCs w:val="22"/>
          <w:lang w:eastAsia="ja-JP"/>
        </w:rPr>
        <w:t xml:space="preserve"> CAB Report to include best practices and lessons learned, including longstanding program rules, guidance, and other implementation and management methods, from the EPA’s Technical Assistance Grant (TAG) program. The commenter stated that the TAG program has assisted the EPA in engaging and funding State and local governments and stakeholders involving complex, technical fields. The commenter further suggested that the NRC consider engagement with and provide technical grant assistance to community organizations such as the Energy Communities Alliance (ECA) to develop the CAB program, as the ECA functions similarly to the CAB and works with communities with existing reactors to bridge complex relationships with Federal, State, and local governments (</w:t>
      </w:r>
      <w:r w:rsidR="000A1B88">
        <w:rPr>
          <w:rFonts w:ascii="Arial" w:eastAsia="DengXian" w:hAnsi="Arial" w:cs="Arial"/>
          <w:sz w:val="22"/>
          <w:szCs w:val="22"/>
          <w:lang w:eastAsia="ja-JP"/>
        </w:rPr>
        <w:t>UT1</w:t>
      </w:r>
      <w:r w:rsidRPr="00256FA5">
        <w:rPr>
          <w:rFonts w:ascii="Arial" w:eastAsia="DengXian" w:hAnsi="Arial" w:cs="Arial"/>
          <w:sz w:val="22"/>
          <w:szCs w:val="22"/>
          <w:lang w:eastAsia="ja-JP"/>
        </w:rPr>
        <w:t>-0003).</w:t>
      </w:r>
    </w:p>
    <w:p w:rsidR="007F112A" w:rsidRPr="00256FA5" w:rsidP="00256FA5" w14:paraId="57C668DA"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agrees, in part, with these comments.</w:t>
      </w:r>
    </w:p>
    <w:p w:rsidR="007F112A" w:rsidRPr="00256FA5" w:rsidP="00256FA5" w14:paraId="71B16815"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As noted in the 2020 </w:t>
      </w:r>
      <w:r w:rsidR="00E443B1">
        <w:rPr>
          <w:rFonts w:ascii="Arial" w:eastAsia="DengXian" w:hAnsi="Arial" w:cs="Arial"/>
          <w:sz w:val="22"/>
          <w:szCs w:val="22"/>
          <w:lang w:eastAsia="ja-JP"/>
        </w:rPr>
        <w:t>CAB</w:t>
      </w:r>
      <w:r w:rsidRPr="00256FA5">
        <w:rPr>
          <w:rFonts w:ascii="Arial" w:eastAsia="DengXian" w:hAnsi="Arial" w:cs="Arial"/>
          <w:sz w:val="22"/>
          <w:szCs w:val="22"/>
          <w:lang w:eastAsia="ja-JP"/>
        </w:rPr>
        <w:t xml:space="preserve"> report to Congress, the NRC encourages the formation of CABs to foster communication and information exchange between the licensee and the members of the community. The NRC disagrees that 10 CFR 53.1515 only addresses CP and OL processes. 10 CFR 53.1515 establishes requirements for public notices and state consultations associated with the NRC’s processing of a license amendment request. This section is equivalent to 10</w:t>
      </w:r>
      <w:r w:rsidR="009E5306">
        <w:rPr>
          <w:rFonts w:ascii="Arial" w:eastAsia="DengXian" w:hAnsi="Arial" w:cs="Arial"/>
          <w:sz w:val="22"/>
          <w:szCs w:val="22"/>
          <w:lang w:eastAsia="ja-JP"/>
        </w:rPr>
        <w:t> </w:t>
      </w:r>
      <w:r w:rsidRPr="00256FA5">
        <w:rPr>
          <w:rFonts w:ascii="Arial" w:eastAsia="DengXian" w:hAnsi="Arial" w:cs="Arial"/>
          <w:sz w:val="22"/>
          <w:szCs w:val="22"/>
          <w:lang w:eastAsia="ja-JP"/>
        </w:rPr>
        <w:t>CFR 50.91 for the NRC’s existing processes related to applications to amend an OL or COL.</w:t>
      </w:r>
    </w:p>
    <w:p w:rsidR="00C80937" w:rsidP="00256FA5" w14:paraId="3DF2D541"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also disagrees that it is necessary to revise the CAB Report to include best practices and lessons learned from the EPA’s TAG program. </w:t>
      </w:r>
      <w:r w:rsidRPr="000B3DEC">
        <w:rPr>
          <w:rFonts w:ascii="Arial" w:eastAsia="DengXian" w:hAnsi="Arial" w:cs="Arial"/>
          <w:sz w:val="22"/>
          <w:szCs w:val="22"/>
          <w:lang w:eastAsia="ja-JP"/>
        </w:rPr>
        <w:t>The NRC has undertaken a rulemaking to revise its regulations related to the decommissioning of production and utilization facilities. The amended regulations, which were issued for public comment in 2022, would incorporate best practices and lessons learned from nuclear power plants that have transitioned to decommissioning and would improve the effectiveness and efficiency of the NRC's regulatory framework.</w:t>
      </w:r>
      <w:r w:rsidRPr="00256FA5">
        <w:rPr>
          <w:rFonts w:ascii="Arial" w:eastAsia="DengXian" w:hAnsi="Arial" w:cs="Arial"/>
          <w:sz w:val="22"/>
          <w:szCs w:val="22"/>
          <w:lang w:eastAsia="ja-JP"/>
        </w:rPr>
        <w:t xml:space="preserve"> </w:t>
      </w:r>
      <w:r w:rsidR="00EF426A">
        <w:rPr>
          <w:rFonts w:ascii="Arial" w:eastAsia="DengXian" w:hAnsi="Arial" w:cs="Arial"/>
          <w:sz w:val="22"/>
          <w:szCs w:val="22"/>
          <w:lang w:eastAsia="ja-JP"/>
        </w:rPr>
        <w:t>Moreover, updates to the CAB report are outside the scope of this rulemaking.</w:t>
      </w:r>
    </w:p>
    <w:p w:rsidR="007F112A" w:rsidRPr="00B0648F" w:rsidP="00256FA5" w14:paraId="27EC008C" w14:textId="77777777">
      <w:pPr>
        <w:spacing w:after="220"/>
        <w:rPr>
          <w:rFonts w:ascii="Arial" w:eastAsia="DengXian" w:hAnsi="Arial" w:cs="Arial"/>
          <w:sz w:val="22"/>
          <w:szCs w:val="22"/>
          <w:lang w:eastAsia="ja-JP"/>
        </w:rPr>
      </w:pPr>
      <w:r w:rsidRPr="00B0648F">
        <w:rPr>
          <w:rFonts w:ascii="Arial" w:eastAsia="DengXian" w:hAnsi="Arial" w:cs="Arial"/>
          <w:sz w:val="22"/>
          <w:szCs w:val="22"/>
          <w:lang w:eastAsia="ja-JP"/>
        </w:rPr>
        <w:t>The NRC acknowledges the suggestion that the NRC should consider engagement with community organizations</w:t>
      </w:r>
      <w:r w:rsidR="003B735E">
        <w:rPr>
          <w:rFonts w:ascii="Arial" w:eastAsia="DengXian" w:hAnsi="Arial" w:cs="Arial"/>
          <w:sz w:val="22"/>
          <w:szCs w:val="22"/>
          <w:lang w:eastAsia="ja-JP"/>
        </w:rPr>
        <w:t>,</w:t>
      </w:r>
      <w:r w:rsidRPr="00B0648F">
        <w:rPr>
          <w:rFonts w:ascii="Arial" w:eastAsia="DengXian" w:hAnsi="Arial" w:cs="Arial"/>
          <w:sz w:val="22"/>
          <w:szCs w:val="22"/>
          <w:lang w:eastAsia="ja-JP"/>
        </w:rPr>
        <w:t xml:space="preserve"> and the NRC should consider technical grant assistance to community organizations such as the ECA to develop the CAB program. However, the NRC’s grant program is separate from the rulemaking process. More information about the </w:t>
      </w:r>
      <w:r w:rsidRPr="0048734F" w:rsidR="00C908CC">
        <w:rPr>
          <w:rFonts w:ascii="Arial" w:hAnsi="Arial" w:cs="Arial"/>
          <w:sz w:val="22"/>
          <w:szCs w:val="22"/>
        </w:rPr>
        <w:t>NRC grant programs</w:t>
      </w:r>
      <w:r w:rsidRPr="00B0648F">
        <w:rPr>
          <w:rFonts w:ascii="Arial" w:eastAsia="DengXian" w:hAnsi="Arial" w:cs="Arial"/>
          <w:sz w:val="22"/>
          <w:szCs w:val="22"/>
          <w:lang w:eastAsia="ja-JP"/>
        </w:rPr>
        <w:t xml:space="preserve"> can be found on the NRC public webpage.</w:t>
      </w:r>
    </w:p>
    <w:p w:rsidR="007F112A" w:rsidRPr="00B0648F" w:rsidP="00256FA5" w14:paraId="23DDBDD9" w14:textId="77777777">
      <w:pPr>
        <w:spacing w:after="220"/>
        <w:rPr>
          <w:rFonts w:ascii="Arial" w:eastAsia="Times New Roman" w:hAnsi="Arial" w:cs="Arial"/>
          <w:color w:val="000000"/>
          <w:sz w:val="22"/>
          <w:szCs w:val="22"/>
          <w:lang w:eastAsia="zh-CN"/>
        </w:rPr>
      </w:pPr>
      <w:r w:rsidRPr="00B0648F">
        <w:rPr>
          <w:rFonts w:ascii="Arial" w:eastAsia="DengXian" w:hAnsi="Arial" w:cs="Arial"/>
          <w:sz w:val="22"/>
          <w:szCs w:val="22"/>
          <w:lang w:eastAsia="ja-JP"/>
        </w:rPr>
        <w:t>Accordingly, the NRC did not change the rule language in response to these comments.</w:t>
      </w:r>
    </w:p>
    <w:p w:rsidR="007F112A" w:rsidRPr="00256FA5" w:rsidP="00256FA5" w14:paraId="0CC8F026"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85" style="width:0;height:1.5pt" o:hralign="center" o:hrstd="t" o:hrnoshade="t" o:hr="t" fillcolor="black" stroked="f"/>
        </w:pict>
      </w:r>
    </w:p>
    <w:p w:rsidR="007F112A" w:rsidRPr="00256FA5" w:rsidP="00C45701" w14:paraId="13B18BC4"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Comment Bin 3.9.1.B:</w:t>
      </w:r>
      <w:r w:rsidRPr="00256FA5">
        <w:rPr>
          <w:rFonts w:ascii="Arial" w:eastAsia="DengXian" w:hAnsi="Arial" w:cs="Arial"/>
          <w:sz w:val="22"/>
          <w:szCs w:val="22"/>
          <w:lang w:eastAsia="ja-JP"/>
        </w:rPr>
        <w:t xml:space="preserve"> A commenter recommended specific edits to proposed Subpart</w:t>
      </w:r>
      <w:r w:rsidRPr="00256FA5" w:rsidR="002412EE">
        <w:rPr>
          <w:rFonts w:ascii="Arial" w:eastAsia="DengXian" w:hAnsi="Arial" w:cs="Arial"/>
          <w:sz w:val="22"/>
          <w:szCs w:val="22"/>
          <w:lang w:eastAsia="ja-JP"/>
        </w:rPr>
        <w:t> </w:t>
      </w:r>
      <w:r w:rsidRPr="00256FA5">
        <w:rPr>
          <w:rFonts w:ascii="Arial" w:eastAsia="DengXian" w:hAnsi="Arial" w:cs="Arial"/>
          <w:sz w:val="22"/>
          <w:szCs w:val="22"/>
          <w:lang w:eastAsia="ja-JP"/>
        </w:rPr>
        <w:t>I of 10 CFR Part 53:</w:t>
      </w:r>
    </w:p>
    <w:p w:rsidR="007F112A" w:rsidRPr="00256FA5" w:rsidP="00C45701" w14:paraId="1D4BAD41"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Change “4 months” to “2 months (if operating)” in 10 CFR 53.1502(d)(1);</w:t>
      </w:r>
    </w:p>
    <w:p w:rsidR="007F112A" w:rsidRPr="00256FA5" w:rsidP="00C45701" w14:paraId="7B42624A"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Change “and, normally, the amendment will not be granted until after this comment period expires” to “and the amendment will not be granted until after this comment period expires” in 10 CFR 53.1515(a)(1)(iii);</w:t>
      </w:r>
    </w:p>
    <w:p w:rsidR="002D741B" w:rsidRPr="00256FA5" w:rsidP="00C45701" w14:paraId="3CC19C41"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Delete 10 CFR 53.1515(a)(4)</w:t>
      </w:r>
      <w:r w:rsidRPr="00256FA5" w:rsidR="00651D0A">
        <w:rPr>
          <w:rFonts w:ascii="Arial" w:eastAsia="DengXian" w:hAnsi="Arial" w:cs="Arial"/>
          <w:sz w:val="22"/>
          <w:szCs w:val="22"/>
          <w:lang w:eastAsia="ja-JP"/>
        </w:rPr>
        <w:t xml:space="preserve"> and</w:t>
      </w:r>
      <w:r w:rsidRPr="00256FA5">
        <w:rPr>
          <w:rFonts w:ascii="Arial" w:eastAsia="DengXian" w:hAnsi="Arial" w:cs="Arial"/>
          <w:sz w:val="22"/>
          <w:szCs w:val="22"/>
          <w:lang w:eastAsia="ja-JP"/>
        </w:rPr>
        <w:t xml:space="preserve"> 10 CFR 53.1515(a)(5)</w:t>
      </w:r>
      <w:r w:rsidRPr="00256FA5" w:rsidR="00651D0A">
        <w:rPr>
          <w:rFonts w:ascii="Arial" w:eastAsia="DengXian" w:hAnsi="Arial" w:cs="Arial"/>
          <w:sz w:val="22"/>
          <w:szCs w:val="22"/>
          <w:lang w:eastAsia="ja-JP"/>
        </w:rPr>
        <w:t xml:space="preserve">; </w:t>
      </w:r>
    </w:p>
    <w:p w:rsidR="007F112A" w:rsidRPr="00256FA5" w:rsidP="00C45701" w14:paraId="6A944EB0"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Change “24 months” to “8 years” in 10 CFR 53.1545(a); </w:t>
      </w:r>
    </w:p>
    <w:p w:rsidR="00E504D3" w:rsidRPr="00256FA5" w:rsidP="00C45701" w14:paraId="569BB76A"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Delete 10 CFR 53.1550</w:t>
      </w:r>
      <w:r w:rsidRPr="00256FA5" w:rsidR="000B6298">
        <w:rPr>
          <w:rFonts w:ascii="Arial" w:eastAsia="DengXian" w:hAnsi="Arial" w:cs="Arial"/>
          <w:sz w:val="22"/>
          <w:szCs w:val="22"/>
          <w:lang w:eastAsia="ja-JP"/>
        </w:rPr>
        <w:t xml:space="preserve">; </w:t>
      </w:r>
    </w:p>
    <w:p w:rsidR="007F112A" w:rsidRPr="00256FA5" w:rsidP="00C45701" w14:paraId="2ED8328E"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Rewrite 10 CFR 53.1560 to address costs or to clarify the value added;</w:t>
      </w:r>
      <w:r w:rsidRPr="00256FA5" w:rsidR="000B6298">
        <w:rPr>
          <w:rFonts w:ascii="Arial" w:eastAsia="DengXian" w:hAnsi="Arial" w:cs="Arial"/>
          <w:sz w:val="22"/>
          <w:szCs w:val="22"/>
          <w:lang w:eastAsia="ja-JP"/>
        </w:rPr>
        <w:t xml:space="preserve"> and</w:t>
      </w:r>
    </w:p>
    <w:p w:rsidR="00F855F6" w:rsidRPr="00256FA5" w:rsidP="00256FA5" w14:paraId="37182B48" w14:textId="77777777">
      <w:pPr>
        <w:numPr>
          <w:ilvl w:val="0"/>
          <w:numId w:val="12"/>
        </w:numPr>
        <w:spacing w:after="220"/>
        <w:rPr>
          <w:rFonts w:ascii="Arial" w:eastAsia="DengXian" w:hAnsi="Arial" w:cs="Arial"/>
          <w:sz w:val="22"/>
          <w:szCs w:val="22"/>
          <w:lang w:eastAsia="ja-JP"/>
        </w:rPr>
      </w:pPr>
      <w:r w:rsidRPr="00256FA5">
        <w:rPr>
          <w:rFonts w:ascii="Arial" w:eastAsia="DengXian" w:hAnsi="Arial" w:cs="Arial"/>
          <w:sz w:val="22"/>
          <w:szCs w:val="22"/>
          <w:lang w:eastAsia="ja-JP"/>
        </w:rPr>
        <w:t>Rewrite 10 CFR 53.1565 to simplify the proposed conditions and requirements</w:t>
      </w:r>
      <w:r w:rsidRPr="00256FA5" w:rsidR="000B6298">
        <w:rPr>
          <w:rFonts w:ascii="Arial" w:eastAsia="DengXian" w:hAnsi="Arial" w:cs="Arial"/>
          <w:sz w:val="22"/>
          <w:szCs w:val="22"/>
          <w:lang w:eastAsia="ja-JP"/>
        </w:rPr>
        <w:t>.</w:t>
      </w:r>
    </w:p>
    <w:p w:rsidR="007F112A" w:rsidRPr="00256FA5" w:rsidP="00256FA5" w14:paraId="35413DC0"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Additionally, the commenter questioned whether the second sentence of 10 CFR 53.1515(a)(3) is necessary and whether “decrease” should be changed to “differ” in 10 CFR 53.1550(a)(2)(vii) (</w:t>
      </w:r>
      <w:r w:rsidRPr="00893934" w:rsidR="00563CF0">
        <w:rPr>
          <w:rFonts w:ascii="Arial" w:eastAsia="Times New Roman" w:hAnsi="Arial" w:cs="Arial"/>
          <w:color w:val="000000"/>
          <w:sz w:val="22"/>
          <w:szCs w:val="22"/>
        </w:rPr>
        <w:t>TG14</w:t>
      </w:r>
      <w:r w:rsidRPr="00893934">
        <w:rPr>
          <w:rFonts w:ascii="Arial" w:eastAsia="DengXian" w:hAnsi="Arial" w:cs="Arial"/>
          <w:sz w:val="22"/>
          <w:szCs w:val="22"/>
          <w:lang w:eastAsia="ja-JP"/>
        </w:rPr>
        <w:t>-0</w:t>
      </w:r>
      <w:r w:rsidRPr="00256FA5">
        <w:rPr>
          <w:rFonts w:ascii="Arial" w:eastAsia="DengXian" w:hAnsi="Arial" w:cs="Arial"/>
          <w:sz w:val="22"/>
          <w:szCs w:val="22"/>
          <w:lang w:eastAsia="ja-JP"/>
        </w:rPr>
        <w:t>002).</w:t>
      </w:r>
    </w:p>
    <w:p w:rsidR="007F112A" w:rsidRPr="00256FA5" w:rsidP="00256FA5" w14:paraId="22EACB5D"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Another commenter relatedly expressed concern that proposed 10 CFR 53.1515(a)(1)(ii) and 10</w:t>
      </w:r>
      <w:r w:rsidR="00496922">
        <w:rPr>
          <w:rFonts w:ascii="Arial" w:eastAsia="DengXian" w:hAnsi="Arial" w:cs="Arial"/>
          <w:sz w:val="22"/>
          <w:szCs w:val="22"/>
          <w:lang w:eastAsia="ja-JP"/>
        </w:rPr>
        <w:t> </w:t>
      </w:r>
      <w:r w:rsidRPr="00256FA5">
        <w:rPr>
          <w:rFonts w:ascii="Arial" w:eastAsia="DengXian" w:hAnsi="Arial" w:cs="Arial"/>
          <w:sz w:val="22"/>
          <w:szCs w:val="22"/>
          <w:lang w:eastAsia="ja-JP"/>
        </w:rPr>
        <w:t>CFR 53.1515(a)(1)(iii) as written allows the NRC to make decisions to grant amendments before the public comment period expires (</w:t>
      </w:r>
      <w:r w:rsidRPr="000179BD" w:rsidR="000179BD">
        <w:rPr>
          <w:rFonts w:ascii="Arial" w:eastAsia="Times New Roman" w:hAnsi="Arial" w:cs="Arial"/>
          <w:color w:val="000000"/>
          <w:sz w:val="22"/>
          <w:szCs w:val="22"/>
        </w:rPr>
        <w:t>TG19</w:t>
      </w:r>
      <w:r w:rsidRPr="000179BD">
        <w:rPr>
          <w:rFonts w:ascii="Arial" w:eastAsia="DengXian" w:hAnsi="Arial" w:cs="Arial"/>
          <w:sz w:val="22"/>
          <w:szCs w:val="22"/>
          <w:lang w:eastAsia="ja-JP"/>
        </w:rPr>
        <w:t>-0</w:t>
      </w:r>
      <w:r w:rsidRPr="00256FA5">
        <w:rPr>
          <w:rFonts w:ascii="Arial" w:eastAsia="DengXian" w:hAnsi="Arial" w:cs="Arial"/>
          <w:sz w:val="22"/>
          <w:szCs w:val="22"/>
          <w:lang w:eastAsia="ja-JP"/>
        </w:rPr>
        <w:t>001).</w:t>
      </w:r>
    </w:p>
    <w:p w:rsidR="007F112A" w:rsidRPr="00256FA5" w:rsidP="00256FA5" w14:paraId="248875BF"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A commenter discussed that proposed 10 CFR 53.1515 allows for limited stakeholder involvement in connection with the consideration of applications for an amendment to an OL, but that the proposed rule should be more consistent with the policy objectives of NEIMA to implement measures supporting the predictable, efficient, and timely licensing of advanced nuclear reactors. The commenter suggested that the NRC should take advantage of current State and local policy support for nuclear power to improve collaboration and cooperation amongst stakeholders and to more fully implement NEIMA and the NRC’s internal management directives and plans (</w:t>
      </w:r>
      <w:r w:rsidR="000A1B88">
        <w:rPr>
          <w:rFonts w:ascii="Arial" w:eastAsia="DengXian" w:hAnsi="Arial" w:cs="Arial"/>
          <w:sz w:val="22"/>
          <w:szCs w:val="22"/>
          <w:lang w:eastAsia="ja-JP"/>
        </w:rPr>
        <w:t>UT1</w:t>
      </w:r>
      <w:r w:rsidRPr="00256FA5">
        <w:rPr>
          <w:rFonts w:ascii="Arial" w:eastAsia="DengXian" w:hAnsi="Arial" w:cs="Arial"/>
          <w:sz w:val="22"/>
          <w:szCs w:val="22"/>
          <w:lang w:eastAsia="ja-JP"/>
        </w:rPr>
        <w:t>-0001).</w:t>
      </w:r>
    </w:p>
    <w:p w:rsidR="007F112A" w:rsidRPr="00256FA5" w:rsidP="00256FA5" w14:paraId="2219D464"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A commenter said that the proposed change process for emergency preparedness programs in Subpart I, 10 CFR 53.1565(d)(3) is essentially the same as that contained in 10 CFR 50.54(q), and said that there is an opportunity to improve this process. The commenter suggested that NRC adopt a risk-informed approach to the change evaluation requirements by making the “reduction in effectiveness” assessment applicable only to changes affecting the functions needed to implement risk-significant planning standards. The commenter said that for changes affecting other (non</w:t>
      </w:r>
      <w:r w:rsidRPr="00256FA5" w:rsidR="00371EBA">
        <w:rPr>
          <w:rFonts w:ascii="Arial" w:eastAsia="DengXian" w:hAnsi="Arial" w:cs="Arial"/>
          <w:sz w:val="22"/>
          <w:szCs w:val="22"/>
          <w:lang w:eastAsia="ja-JP"/>
        </w:rPr>
        <w:noBreakHyphen/>
      </w:r>
      <w:r w:rsidRPr="00256FA5">
        <w:rPr>
          <w:rFonts w:ascii="Arial" w:eastAsia="DengXian" w:hAnsi="Arial" w:cs="Arial"/>
          <w:sz w:val="22"/>
          <w:szCs w:val="22"/>
          <w:lang w:eastAsia="ja-JP"/>
        </w:rPr>
        <w:t xml:space="preserve">risk-significant) functions, the licensee would simply need to demonstrate that the plan, as changed, continues to meet the applicable regulatory requirements </w:t>
      </w:r>
      <w:r w:rsidR="00D7414A">
        <w:rPr>
          <w:rFonts w:ascii="Arial" w:eastAsia="DengXian" w:hAnsi="Arial" w:cs="Arial"/>
          <w:sz w:val="22"/>
          <w:szCs w:val="22"/>
          <w:lang w:eastAsia="ja-JP"/>
        </w:rPr>
        <w:br/>
      </w:r>
      <w:r w:rsidRPr="00256FA5">
        <w:rPr>
          <w:rFonts w:ascii="Arial" w:eastAsia="DengXian" w:hAnsi="Arial" w:cs="Arial"/>
          <w:sz w:val="22"/>
          <w:szCs w:val="22"/>
          <w:lang w:eastAsia="ja-JP"/>
        </w:rPr>
        <w:t>(</w:t>
      </w:r>
      <w:r w:rsidR="009D6BB9">
        <w:rPr>
          <w:rFonts w:ascii="Arial" w:eastAsia="DengXian" w:hAnsi="Arial" w:cs="Arial"/>
          <w:sz w:val="22"/>
          <w:szCs w:val="22"/>
          <w:lang w:eastAsia="ja-JP"/>
        </w:rPr>
        <w:t>NEI2</w:t>
      </w:r>
      <w:r w:rsidRPr="00256FA5">
        <w:rPr>
          <w:rFonts w:ascii="Arial" w:eastAsia="DengXian" w:hAnsi="Arial" w:cs="Arial"/>
          <w:sz w:val="22"/>
          <w:szCs w:val="22"/>
          <w:lang w:eastAsia="ja-JP"/>
        </w:rPr>
        <w:t>-0144). Another commenter expressed support for this comment (</w:t>
      </w:r>
      <w:r w:rsidR="006912EB">
        <w:rPr>
          <w:rFonts w:ascii="Arial" w:eastAsia="Times New Roman" w:hAnsi="Arial" w:cs="Arial"/>
          <w:color w:val="000000"/>
          <w:sz w:val="22"/>
          <w:szCs w:val="22"/>
          <w:lang w:eastAsia="zh-CN"/>
        </w:rPr>
        <w:t>NEX</w:t>
      </w:r>
      <w:r w:rsidRPr="00256FA5">
        <w:rPr>
          <w:rFonts w:ascii="Arial" w:eastAsia="Times New Roman" w:hAnsi="Arial" w:cs="Arial"/>
          <w:color w:val="000000"/>
          <w:sz w:val="22"/>
          <w:szCs w:val="22"/>
          <w:lang w:eastAsia="zh-CN"/>
        </w:rPr>
        <w:t>-0015)</w:t>
      </w:r>
      <w:r w:rsidRPr="00256FA5">
        <w:rPr>
          <w:rFonts w:ascii="Arial" w:eastAsia="DengXian" w:hAnsi="Arial" w:cs="Arial"/>
          <w:sz w:val="22"/>
          <w:szCs w:val="22"/>
          <w:lang w:eastAsia="ja-JP"/>
        </w:rPr>
        <w:t>.</w:t>
      </w:r>
    </w:p>
    <w:p w:rsidR="007F112A" w:rsidRPr="00256FA5" w:rsidP="00256FA5" w14:paraId="53F5B60D"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agrees</w:t>
      </w:r>
      <w:r w:rsidRPr="00256FA5" w:rsidR="00D56CA3">
        <w:rPr>
          <w:rFonts w:ascii="Arial" w:eastAsia="DengXian" w:hAnsi="Arial" w:cs="Arial"/>
          <w:sz w:val="22"/>
          <w:szCs w:val="22"/>
          <w:lang w:eastAsia="ja-JP"/>
        </w:rPr>
        <w:t>,</w:t>
      </w:r>
      <w:r w:rsidRPr="00256FA5">
        <w:rPr>
          <w:rFonts w:ascii="Arial" w:eastAsia="DengXian" w:hAnsi="Arial" w:cs="Arial"/>
          <w:sz w:val="22"/>
          <w:szCs w:val="22"/>
          <w:lang w:eastAsia="ja-JP"/>
        </w:rPr>
        <w:t xml:space="preserve"> in part</w:t>
      </w:r>
      <w:r w:rsidRPr="00256FA5" w:rsidR="00D56CA3">
        <w:rPr>
          <w:rFonts w:ascii="Arial" w:eastAsia="DengXian" w:hAnsi="Arial" w:cs="Arial"/>
          <w:sz w:val="22"/>
          <w:szCs w:val="22"/>
          <w:lang w:eastAsia="ja-JP"/>
        </w:rPr>
        <w:t>,</w:t>
      </w:r>
      <w:r w:rsidRPr="00256FA5">
        <w:rPr>
          <w:rFonts w:ascii="Arial" w:eastAsia="DengXian" w:hAnsi="Arial" w:cs="Arial"/>
          <w:sz w:val="22"/>
          <w:szCs w:val="22"/>
          <w:lang w:eastAsia="ja-JP"/>
        </w:rPr>
        <w:t xml:space="preserve"> with these comments.</w:t>
      </w:r>
    </w:p>
    <w:p w:rsidR="007F112A" w:rsidRPr="00256FA5" w:rsidP="00256FA5" w14:paraId="1455F3A2"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 NRC disagrees with the suggestion that the time made available in 10 CFR 53.1502(d)</w:t>
      </w:r>
      <w:r w:rsidRPr="00256FA5" w:rsidR="007E1944">
        <w:rPr>
          <w:rFonts w:ascii="Arial" w:eastAsia="DengXian" w:hAnsi="Arial" w:cs="Arial"/>
          <w:sz w:val="22"/>
          <w:szCs w:val="22"/>
          <w:lang w:eastAsia="ja-JP"/>
        </w:rPr>
        <w:t>(</w:t>
      </w:r>
      <w:r w:rsidRPr="00256FA5">
        <w:rPr>
          <w:rFonts w:ascii="Arial" w:eastAsia="DengXian" w:hAnsi="Arial" w:cs="Arial"/>
          <w:sz w:val="22"/>
          <w:szCs w:val="22"/>
          <w:lang w:eastAsia="ja-JP"/>
        </w:rPr>
        <w:t>1) for a licensee to correct deficiencies related to emergency preparedness be reduced from 4</w:t>
      </w:r>
      <w:r w:rsidR="001C2736">
        <w:rPr>
          <w:rFonts w:ascii="Arial" w:eastAsia="DengXian" w:hAnsi="Arial" w:cs="Arial"/>
          <w:sz w:val="22"/>
          <w:szCs w:val="22"/>
          <w:lang w:eastAsia="ja-JP"/>
        </w:rPr>
        <w:t> </w:t>
      </w:r>
      <w:r w:rsidRPr="00256FA5">
        <w:rPr>
          <w:rFonts w:ascii="Arial" w:eastAsia="DengXian" w:hAnsi="Arial" w:cs="Arial"/>
          <w:sz w:val="22"/>
          <w:szCs w:val="22"/>
          <w:lang w:eastAsia="ja-JP"/>
        </w:rPr>
        <w:t>months to 2 months. The allowable time for corrective actions is consistent with the equivalent provisions in 10 CFR 50.54(s)(2)(ii)</w:t>
      </w:r>
      <w:r w:rsidR="00C636BA">
        <w:rPr>
          <w:rFonts w:ascii="Arial" w:eastAsia="DengXian" w:hAnsi="Arial" w:cs="Arial"/>
          <w:sz w:val="22"/>
          <w:szCs w:val="22"/>
          <w:lang w:eastAsia="ja-JP"/>
        </w:rPr>
        <w:t>, which e</w:t>
      </w:r>
      <w:r w:rsidR="002F36A4">
        <w:rPr>
          <w:rFonts w:ascii="Arial" w:eastAsia="DengXian" w:hAnsi="Arial" w:cs="Arial"/>
          <w:sz w:val="22"/>
          <w:szCs w:val="22"/>
          <w:lang w:eastAsia="ja-JP"/>
        </w:rPr>
        <w:t>xperience has shown to be appropriate</w:t>
      </w:r>
      <w:r w:rsidRPr="00256FA5">
        <w:rPr>
          <w:rFonts w:ascii="Arial" w:eastAsia="DengXian" w:hAnsi="Arial" w:cs="Arial"/>
          <w:sz w:val="22"/>
          <w:szCs w:val="22"/>
          <w:lang w:eastAsia="ja-JP"/>
        </w:rPr>
        <w:t>.</w:t>
      </w:r>
    </w:p>
    <w:p w:rsidR="007F112A" w:rsidRPr="00256FA5" w:rsidP="00256FA5" w14:paraId="40703856"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disagrees with the suggestion that the language in 10 CFR 53.1515(a) be revised and that 10 CFR 53.1515(a)(4) and (a)(5) be deleted such that the NRC could not issue a license </w:t>
      </w:r>
      <w:r w:rsidRPr="00256FA5">
        <w:rPr>
          <w:rFonts w:ascii="Arial" w:eastAsia="DengXian" w:hAnsi="Arial" w:cs="Arial"/>
          <w:sz w:val="22"/>
          <w:szCs w:val="22"/>
          <w:lang w:eastAsia="ja-JP"/>
        </w:rPr>
        <w:t>amendment before the comment period expires. The NRC has many years of experience with the equivalent provisions in 10 CFR 50.91 and history has shown that circumstances do occasionally occur that would require a license amendment request to be issued under the emergency or exigent provisions of 10 CFR 53.1515(a)(4) and 10 CFR 53.1515(a)(5).</w:t>
      </w:r>
    </w:p>
    <w:p w:rsidR="007F112A" w:rsidRPr="00256FA5" w:rsidP="00256FA5" w14:paraId="2C2E14B5"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disagrees with the suggestion of changing the updating of </w:t>
      </w:r>
      <w:r w:rsidR="00D871E1">
        <w:rPr>
          <w:rFonts w:ascii="Arial" w:eastAsia="DengXian" w:hAnsi="Arial" w:cs="Arial"/>
          <w:sz w:val="22"/>
          <w:szCs w:val="22"/>
          <w:lang w:eastAsia="ja-JP"/>
        </w:rPr>
        <w:t>FSAR</w:t>
      </w:r>
      <w:r w:rsidR="00B83838">
        <w:rPr>
          <w:rFonts w:ascii="Arial" w:eastAsia="DengXian" w:hAnsi="Arial" w:cs="Arial"/>
          <w:sz w:val="22"/>
          <w:szCs w:val="22"/>
          <w:lang w:eastAsia="ja-JP"/>
        </w:rPr>
        <w:t>s</w:t>
      </w:r>
      <w:r w:rsidRPr="00256FA5">
        <w:rPr>
          <w:rFonts w:ascii="Arial" w:eastAsia="DengXian" w:hAnsi="Arial" w:cs="Arial"/>
          <w:sz w:val="22"/>
          <w:szCs w:val="22"/>
          <w:lang w:eastAsia="ja-JP"/>
        </w:rPr>
        <w:t xml:space="preserve"> under 10</w:t>
      </w:r>
      <w:r w:rsidR="00B31E14">
        <w:rPr>
          <w:rFonts w:ascii="Arial" w:eastAsia="DengXian" w:hAnsi="Arial" w:cs="Arial"/>
          <w:sz w:val="22"/>
          <w:szCs w:val="22"/>
          <w:lang w:eastAsia="ja-JP"/>
        </w:rPr>
        <w:t> </w:t>
      </w:r>
      <w:r w:rsidRPr="00256FA5">
        <w:rPr>
          <w:rFonts w:ascii="Arial" w:eastAsia="DengXian" w:hAnsi="Arial" w:cs="Arial"/>
          <w:sz w:val="22"/>
          <w:szCs w:val="22"/>
          <w:lang w:eastAsia="ja-JP"/>
        </w:rPr>
        <w:t>CFR</w:t>
      </w:r>
      <w:r w:rsidR="00B31E14">
        <w:rPr>
          <w:rFonts w:ascii="Arial" w:eastAsia="DengXian" w:hAnsi="Arial" w:cs="Arial"/>
          <w:sz w:val="22"/>
          <w:szCs w:val="22"/>
          <w:lang w:eastAsia="ja-JP"/>
        </w:rPr>
        <w:t> </w:t>
      </w:r>
      <w:r w:rsidRPr="00256FA5">
        <w:rPr>
          <w:rFonts w:ascii="Arial" w:eastAsia="DengXian" w:hAnsi="Arial" w:cs="Arial"/>
          <w:sz w:val="22"/>
          <w:szCs w:val="22"/>
          <w:lang w:eastAsia="ja-JP"/>
        </w:rPr>
        <w:t>53.1545(a) from every 24 months to 8 years. The reporting frequency is consistent with the equivalent provisions in 10 CFR 50.71(e).</w:t>
      </w:r>
    </w:p>
    <w:p w:rsidR="001C1FA0" w:rsidRPr="00256FA5" w:rsidP="00256FA5" w14:paraId="7EDD38F2"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disagrees with the suggestion to delete 10 CFR 53.1550 but notes that changes were made to the change evaluation criteria in response to </w:t>
      </w:r>
      <w:r w:rsidRPr="004B5775" w:rsidR="004B5775">
        <w:rPr>
          <w:rFonts w:ascii="Arial" w:eastAsia="DengXian" w:hAnsi="Arial" w:cs="Arial"/>
          <w:sz w:val="22"/>
          <w:szCs w:val="22"/>
          <w:lang w:eastAsia="ja-JP"/>
        </w:rPr>
        <w:t>Comment B</w:t>
      </w:r>
      <w:r w:rsidR="00930DCC">
        <w:rPr>
          <w:rFonts w:ascii="Arial" w:eastAsia="DengXian" w:hAnsi="Arial" w:cs="Arial"/>
          <w:sz w:val="22"/>
          <w:szCs w:val="22"/>
          <w:lang w:eastAsia="ja-JP"/>
        </w:rPr>
        <w:t xml:space="preserve"> </w:t>
      </w:r>
      <w:r w:rsidRPr="004B5775" w:rsidR="004B5775">
        <w:rPr>
          <w:rFonts w:ascii="Arial" w:eastAsia="DengXian" w:hAnsi="Arial" w:cs="Arial"/>
          <w:sz w:val="22"/>
          <w:szCs w:val="22"/>
          <w:lang w:eastAsia="ja-JP"/>
        </w:rPr>
        <w:t>in 3.9.1.F</w:t>
      </w:r>
      <w:r w:rsidRPr="00256FA5">
        <w:rPr>
          <w:rFonts w:ascii="Arial" w:eastAsia="DengXian" w:hAnsi="Arial" w:cs="Arial"/>
          <w:sz w:val="22"/>
          <w:szCs w:val="22"/>
          <w:lang w:eastAsia="ja-JP"/>
        </w:rPr>
        <w:t>.</w:t>
      </w:r>
    </w:p>
    <w:p w:rsidR="007F112A" w:rsidRPr="00256FA5" w:rsidP="00256FA5" w14:paraId="07DE89EA"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 NRC disagrees with making major revisions to 10 CFR 53.1560 and 10</w:t>
      </w:r>
      <w:r w:rsidRPr="00256FA5" w:rsidR="00456714">
        <w:rPr>
          <w:rFonts w:ascii="Arial" w:eastAsia="DengXian" w:hAnsi="Arial" w:cs="Arial"/>
          <w:sz w:val="22"/>
          <w:szCs w:val="22"/>
          <w:lang w:eastAsia="ja-JP"/>
        </w:rPr>
        <w:t> </w:t>
      </w:r>
      <w:r w:rsidRPr="00256FA5">
        <w:rPr>
          <w:rFonts w:ascii="Arial" w:eastAsia="DengXian" w:hAnsi="Arial" w:cs="Arial"/>
          <w:sz w:val="22"/>
          <w:szCs w:val="22"/>
          <w:lang w:eastAsia="ja-JP"/>
        </w:rPr>
        <w:t>CFR</w:t>
      </w:r>
      <w:r w:rsidRPr="00256FA5" w:rsidR="00A045B2">
        <w:rPr>
          <w:rFonts w:ascii="Arial" w:eastAsia="DengXian" w:hAnsi="Arial" w:cs="Arial"/>
          <w:sz w:val="22"/>
          <w:szCs w:val="22"/>
          <w:lang w:eastAsia="ja-JP"/>
        </w:rPr>
        <w:t> </w:t>
      </w:r>
      <w:r w:rsidRPr="00256FA5">
        <w:rPr>
          <w:rFonts w:ascii="Arial" w:eastAsia="DengXian" w:hAnsi="Arial" w:cs="Arial"/>
          <w:sz w:val="22"/>
          <w:szCs w:val="22"/>
          <w:lang w:eastAsia="ja-JP"/>
        </w:rPr>
        <w:t>53.1565 on updating program documents and evaluating changes to program documents. As explained in the proposed and final rules, the safety of commercial nuclear plants is provided by combinations of design features, human actions, and programs. The flexibility afforded by 10</w:t>
      </w:r>
      <w:r w:rsidR="00F350D0">
        <w:rPr>
          <w:rFonts w:ascii="Arial" w:eastAsia="DengXian" w:hAnsi="Arial" w:cs="Arial"/>
          <w:sz w:val="22"/>
          <w:szCs w:val="22"/>
          <w:lang w:eastAsia="ja-JP"/>
        </w:rPr>
        <w:t> </w:t>
      </w:r>
      <w:r w:rsidRPr="00256FA5">
        <w:rPr>
          <w:rFonts w:ascii="Arial" w:eastAsia="DengXian" w:hAnsi="Arial" w:cs="Arial"/>
          <w:sz w:val="22"/>
          <w:szCs w:val="22"/>
          <w:lang w:eastAsia="ja-JP"/>
        </w:rPr>
        <w:t>CFR Part 53 in how these elements are used provides benefits to applicants and licensees but also comes with responsibilities to evaluate changes to designs, staffing, and program documents and having appropriate NRC interactions on the maintenance of the licensing basis for each commercial nuclear plant.</w:t>
      </w:r>
    </w:p>
    <w:p w:rsidR="007F112A" w:rsidRPr="00256FA5" w:rsidP="00256FA5" w14:paraId="7F5D7BFE"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 NRC agrees that the proposed change process for emergency preparedness programs in Subpart I, 10</w:t>
      </w:r>
      <w:r w:rsidRPr="00256FA5" w:rsidR="0096706D">
        <w:rPr>
          <w:rFonts w:ascii="Arial" w:eastAsia="DengXian" w:hAnsi="Arial" w:cs="Arial"/>
          <w:sz w:val="22"/>
          <w:szCs w:val="22"/>
          <w:lang w:eastAsia="ja-JP"/>
        </w:rPr>
        <w:t> </w:t>
      </w:r>
      <w:r w:rsidRPr="00256FA5">
        <w:rPr>
          <w:rFonts w:ascii="Arial" w:eastAsia="DengXian" w:hAnsi="Arial" w:cs="Arial"/>
          <w:sz w:val="22"/>
          <w:szCs w:val="22"/>
          <w:lang w:eastAsia="ja-JP"/>
        </w:rPr>
        <w:t>CFR</w:t>
      </w:r>
      <w:r w:rsidRPr="00256FA5" w:rsidR="0096706D">
        <w:rPr>
          <w:rFonts w:ascii="Arial" w:eastAsia="DengXian" w:hAnsi="Arial" w:cs="Arial"/>
          <w:sz w:val="22"/>
          <w:szCs w:val="22"/>
          <w:lang w:eastAsia="ja-JP"/>
        </w:rPr>
        <w:t> </w:t>
      </w:r>
      <w:r w:rsidRPr="00256FA5">
        <w:rPr>
          <w:rFonts w:ascii="Arial" w:eastAsia="DengXian" w:hAnsi="Arial" w:cs="Arial"/>
          <w:sz w:val="22"/>
          <w:szCs w:val="22"/>
          <w:lang w:eastAsia="ja-JP"/>
        </w:rPr>
        <w:t xml:space="preserve">53.1565(d)(3) is essentially the same as that contained in 10 CFR 50.54(q). The NRC also agrees </w:t>
      </w:r>
      <w:r w:rsidRPr="00256FA5" w:rsidR="00D8612D">
        <w:rPr>
          <w:rFonts w:ascii="Arial" w:eastAsia="DengXian" w:hAnsi="Arial" w:cs="Arial"/>
          <w:sz w:val="22"/>
          <w:szCs w:val="22"/>
          <w:lang w:eastAsia="ja-JP"/>
        </w:rPr>
        <w:t xml:space="preserve">that </w:t>
      </w:r>
      <w:r w:rsidRPr="00256FA5">
        <w:rPr>
          <w:rFonts w:ascii="Arial" w:eastAsia="DengXian" w:hAnsi="Arial" w:cs="Arial"/>
          <w:sz w:val="22"/>
          <w:szCs w:val="22"/>
          <w:lang w:eastAsia="ja-JP"/>
        </w:rPr>
        <w:t xml:space="preserve">the </w:t>
      </w:r>
      <w:r w:rsidRPr="00256FA5" w:rsidR="00D8612D">
        <w:rPr>
          <w:rFonts w:ascii="Arial" w:eastAsia="DengXian" w:hAnsi="Arial" w:cs="Arial"/>
          <w:sz w:val="22"/>
          <w:szCs w:val="22"/>
          <w:lang w:eastAsia="ja-JP"/>
        </w:rPr>
        <w:t xml:space="preserve">emergency </w:t>
      </w:r>
      <w:r w:rsidRPr="00256FA5" w:rsidR="0055732B">
        <w:rPr>
          <w:rFonts w:ascii="Arial" w:eastAsia="DengXian" w:hAnsi="Arial" w:cs="Arial"/>
          <w:sz w:val="22"/>
          <w:szCs w:val="22"/>
          <w:lang w:eastAsia="ja-JP"/>
        </w:rPr>
        <w:t>preparedness</w:t>
      </w:r>
      <w:r w:rsidRPr="00256FA5">
        <w:rPr>
          <w:rFonts w:ascii="Arial" w:eastAsia="DengXian" w:hAnsi="Arial" w:cs="Arial"/>
          <w:sz w:val="22"/>
          <w:szCs w:val="22"/>
          <w:lang w:eastAsia="ja-JP"/>
        </w:rPr>
        <w:t xml:space="preserve"> change process could be further risk</w:t>
      </w:r>
      <w:r w:rsidR="00F350D0">
        <w:rPr>
          <w:rFonts w:ascii="Arial" w:eastAsia="DengXian" w:hAnsi="Arial" w:cs="Arial"/>
          <w:sz w:val="22"/>
          <w:szCs w:val="22"/>
          <w:lang w:eastAsia="ja-JP"/>
        </w:rPr>
        <w:noBreakHyphen/>
      </w:r>
      <w:r w:rsidRPr="00256FA5">
        <w:rPr>
          <w:rFonts w:ascii="Arial" w:eastAsia="DengXian" w:hAnsi="Arial" w:cs="Arial"/>
          <w:sz w:val="22"/>
          <w:szCs w:val="22"/>
          <w:lang w:eastAsia="ja-JP"/>
        </w:rPr>
        <w:t>informed</w:t>
      </w:r>
      <w:r w:rsidRPr="00256FA5" w:rsidR="00442B15">
        <w:rPr>
          <w:rFonts w:ascii="Arial" w:eastAsia="DengXian" w:hAnsi="Arial" w:cs="Arial"/>
          <w:sz w:val="22"/>
          <w:szCs w:val="22"/>
          <w:lang w:eastAsia="ja-JP"/>
        </w:rPr>
        <w:t>.</w:t>
      </w:r>
      <w:r w:rsidRPr="00256FA5" w:rsidR="00442B15">
        <w:rPr>
          <w:sz w:val="22"/>
          <w:szCs w:val="22"/>
        </w:rPr>
        <w:t xml:space="preserve"> </w:t>
      </w:r>
      <w:r w:rsidRPr="00256FA5" w:rsidR="00442B15">
        <w:rPr>
          <w:rFonts w:ascii="Arial" w:eastAsia="DengXian" w:hAnsi="Arial" w:cs="Arial"/>
          <w:sz w:val="22"/>
          <w:szCs w:val="22"/>
          <w:lang w:eastAsia="ja-JP"/>
        </w:rPr>
        <w:t>EO 14300</w:t>
      </w:r>
      <w:r w:rsidRPr="00256FA5" w:rsidR="00FE2FB2">
        <w:rPr>
          <w:rFonts w:ascii="Arial" w:eastAsia="DengXian" w:hAnsi="Arial" w:cs="Arial"/>
          <w:sz w:val="22"/>
          <w:szCs w:val="22"/>
          <w:lang w:eastAsia="ja-JP"/>
        </w:rPr>
        <w:t>, in part</w:t>
      </w:r>
      <w:r w:rsidRPr="00256FA5" w:rsidR="000B4DF8">
        <w:rPr>
          <w:rFonts w:ascii="Arial" w:eastAsia="DengXian" w:hAnsi="Arial" w:cs="Arial"/>
          <w:sz w:val="22"/>
          <w:szCs w:val="22"/>
          <w:lang w:eastAsia="ja-JP"/>
        </w:rPr>
        <w:t>,</w:t>
      </w:r>
      <w:r w:rsidRPr="00256FA5" w:rsidR="00FE2FB2">
        <w:rPr>
          <w:rFonts w:ascii="Arial" w:eastAsia="DengXian" w:hAnsi="Arial" w:cs="Arial"/>
          <w:sz w:val="22"/>
          <w:szCs w:val="22"/>
          <w:lang w:eastAsia="ja-JP"/>
        </w:rPr>
        <w:t xml:space="preserve"> requires the NRC to </w:t>
      </w:r>
      <w:r w:rsidRPr="00256FA5" w:rsidR="00B056B1">
        <w:rPr>
          <w:rFonts w:ascii="Arial" w:eastAsia="DengXian" w:hAnsi="Arial" w:cs="Arial"/>
          <w:sz w:val="22"/>
          <w:szCs w:val="22"/>
          <w:lang w:eastAsia="ja-JP"/>
        </w:rPr>
        <w:t>reform and modernize</w:t>
      </w:r>
      <w:r w:rsidRPr="00256FA5" w:rsidR="000B4DF8">
        <w:rPr>
          <w:rFonts w:ascii="Arial" w:eastAsia="DengXian" w:hAnsi="Arial" w:cs="Arial"/>
          <w:sz w:val="22"/>
          <w:szCs w:val="22"/>
          <w:lang w:eastAsia="ja-JP"/>
        </w:rPr>
        <w:t xml:space="preserve"> </w:t>
      </w:r>
      <w:r w:rsidRPr="00256FA5" w:rsidR="00C84CE8">
        <w:rPr>
          <w:rFonts w:ascii="Arial" w:eastAsia="DengXian" w:hAnsi="Arial" w:cs="Arial"/>
          <w:sz w:val="22"/>
          <w:szCs w:val="22"/>
          <w:lang w:eastAsia="ja-JP"/>
        </w:rPr>
        <w:t xml:space="preserve">the </w:t>
      </w:r>
      <w:r w:rsidRPr="00256FA5" w:rsidR="00B056B1">
        <w:rPr>
          <w:rFonts w:ascii="Arial" w:eastAsia="DengXian" w:hAnsi="Arial" w:cs="Arial"/>
          <w:sz w:val="22"/>
          <w:szCs w:val="22"/>
          <w:lang w:eastAsia="ja-JP"/>
        </w:rPr>
        <w:t xml:space="preserve">NRC's </w:t>
      </w:r>
      <w:r w:rsidRPr="00256FA5" w:rsidR="003C432A">
        <w:rPr>
          <w:rFonts w:ascii="Arial" w:eastAsia="DengXian" w:hAnsi="Arial" w:cs="Arial"/>
          <w:sz w:val="22"/>
          <w:szCs w:val="22"/>
          <w:lang w:eastAsia="ja-JP"/>
        </w:rPr>
        <w:t>r</w:t>
      </w:r>
      <w:r w:rsidRPr="00256FA5" w:rsidR="00B056B1">
        <w:rPr>
          <w:rFonts w:ascii="Arial" w:eastAsia="DengXian" w:hAnsi="Arial" w:cs="Arial"/>
          <w:sz w:val="22"/>
          <w:szCs w:val="22"/>
          <w:lang w:eastAsia="ja-JP"/>
        </w:rPr>
        <w:t xml:space="preserve">egulations. </w:t>
      </w:r>
      <w:r w:rsidRPr="00256FA5" w:rsidR="0060527F">
        <w:rPr>
          <w:rFonts w:ascii="Arial" w:eastAsia="DengXian" w:hAnsi="Arial" w:cs="Arial"/>
          <w:sz w:val="22"/>
          <w:szCs w:val="22"/>
          <w:lang w:eastAsia="ja-JP"/>
        </w:rPr>
        <w:t>In accordance with this EO</w:t>
      </w:r>
      <w:r w:rsidR="00BF04A1">
        <w:rPr>
          <w:rFonts w:ascii="Arial" w:eastAsia="DengXian" w:hAnsi="Arial" w:cs="Arial"/>
          <w:sz w:val="22"/>
          <w:szCs w:val="22"/>
          <w:lang w:eastAsia="ja-JP"/>
        </w:rPr>
        <w:t>,</w:t>
      </w:r>
      <w:r w:rsidRPr="00256FA5" w:rsidR="0060527F">
        <w:rPr>
          <w:rFonts w:ascii="Arial" w:eastAsia="DengXian" w:hAnsi="Arial" w:cs="Arial"/>
          <w:sz w:val="22"/>
          <w:szCs w:val="22"/>
          <w:lang w:eastAsia="ja-JP"/>
        </w:rPr>
        <w:t xml:space="preserve"> t</w:t>
      </w:r>
      <w:r w:rsidRPr="00256FA5" w:rsidR="00B056B1">
        <w:rPr>
          <w:rFonts w:ascii="Arial" w:eastAsia="DengXian" w:hAnsi="Arial" w:cs="Arial"/>
          <w:sz w:val="22"/>
          <w:szCs w:val="22"/>
          <w:lang w:eastAsia="ja-JP"/>
        </w:rPr>
        <w:t xml:space="preserve">he NRC </w:t>
      </w:r>
      <w:r w:rsidR="00587484">
        <w:rPr>
          <w:rFonts w:ascii="Arial" w:eastAsia="DengXian" w:hAnsi="Arial" w:cs="Arial"/>
          <w:sz w:val="22"/>
          <w:szCs w:val="22"/>
          <w:lang w:eastAsia="ja-JP"/>
        </w:rPr>
        <w:t>is</w:t>
      </w:r>
      <w:r w:rsidRPr="00256FA5" w:rsidR="00B056B1">
        <w:rPr>
          <w:rFonts w:ascii="Arial" w:eastAsia="DengXian" w:hAnsi="Arial" w:cs="Arial"/>
          <w:sz w:val="22"/>
          <w:szCs w:val="22"/>
          <w:lang w:eastAsia="ja-JP"/>
        </w:rPr>
        <w:t xml:space="preserve"> undertak</w:t>
      </w:r>
      <w:r w:rsidR="00587484">
        <w:rPr>
          <w:rFonts w:ascii="Arial" w:eastAsia="DengXian" w:hAnsi="Arial" w:cs="Arial"/>
          <w:sz w:val="22"/>
          <w:szCs w:val="22"/>
          <w:lang w:eastAsia="ja-JP"/>
        </w:rPr>
        <w:t>ing</w:t>
      </w:r>
      <w:r w:rsidRPr="00256FA5" w:rsidR="00B056B1">
        <w:rPr>
          <w:rFonts w:ascii="Arial" w:eastAsia="DengXian" w:hAnsi="Arial" w:cs="Arial"/>
          <w:sz w:val="22"/>
          <w:szCs w:val="22"/>
          <w:lang w:eastAsia="ja-JP"/>
        </w:rPr>
        <w:t xml:space="preserve"> a review and wholesale revision of its regulations and guidance documents</w:t>
      </w:r>
      <w:r w:rsidRPr="00256FA5" w:rsidR="00A54582">
        <w:rPr>
          <w:rFonts w:ascii="Arial" w:eastAsia="DengXian" w:hAnsi="Arial" w:cs="Arial"/>
          <w:sz w:val="22"/>
          <w:szCs w:val="22"/>
          <w:lang w:eastAsia="ja-JP"/>
        </w:rPr>
        <w:t xml:space="preserve">. The NRC </w:t>
      </w:r>
      <w:r w:rsidR="00787511">
        <w:rPr>
          <w:rFonts w:ascii="Arial" w:eastAsia="DengXian" w:hAnsi="Arial" w:cs="Arial"/>
          <w:sz w:val="22"/>
          <w:szCs w:val="22"/>
          <w:lang w:eastAsia="ja-JP"/>
        </w:rPr>
        <w:t>is</w:t>
      </w:r>
      <w:r w:rsidRPr="00256FA5" w:rsidR="00A54582">
        <w:rPr>
          <w:rFonts w:ascii="Arial" w:eastAsia="DengXian" w:hAnsi="Arial" w:cs="Arial"/>
          <w:sz w:val="22"/>
          <w:szCs w:val="22"/>
          <w:lang w:eastAsia="ja-JP"/>
        </w:rPr>
        <w:t xml:space="preserve"> consider</w:t>
      </w:r>
      <w:r w:rsidR="00787511">
        <w:rPr>
          <w:rFonts w:ascii="Arial" w:eastAsia="DengXian" w:hAnsi="Arial" w:cs="Arial"/>
          <w:sz w:val="22"/>
          <w:szCs w:val="22"/>
          <w:lang w:eastAsia="ja-JP"/>
        </w:rPr>
        <w:t>ing whether</w:t>
      </w:r>
      <w:r w:rsidRPr="00256FA5" w:rsidR="00A54582">
        <w:rPr>
          <w:rFonts w:ascii="Arial" w:eastAsia="DengXian" w:hAnsi="Arial" w:cs="Arial"/>
          <w:sz w:val="22"/>
          <w:szCs w:val="22"/>
          <w:lang w:eastAsia="ja-JP"/>
        </w:rPr>
        <w:t xml:space="preserve"> to </w:t>
      </w:r>
      <w:r w:rsidRPr="00256FA5" w:rsidR="001C72F8">
        <w:rPr>
          <w:rFonts w:ascii="Arial" w:eastAsia="DengXian" w:hAnsi="Arial" w:cs="Arial"/>
          <w:sz w:val="22"/>
          <w:szCs w:val="22"/>
          <w:lang w:eastAsia="ja-JP"/>
        </w:rPr>
        <w:t>further risk inform the</w:t>
      </w:r>
      <w:r w:rsidRPr="00256FA5" w:rsidR="00A54582">
        <w:rPr>
          <w:rFonts w:ascii="Arial" w:eastAsia="DengXian" w:hAnsi="Arial" w:cs="Arial"/>
          <w:sz w:val="22"/>
          <w:szCs w:val="22"/>
          <w:lang w:eastAsia="ja-JP"/>
        </w:rPr>
        <w:t xml:space="preserve"> </w:t>
      </w:r>
      <w:r w:rsidRPr="00256FA5" w:rsidR="008A686A">
        <w:rPr>
          <w:rFonts w:ascii="Arial" w:eastAsia="DengXian" w:hAnsi="Arial" w:cs="Arial"/>
          <w:sz w:val="22"/>
          <w:szCs w:val="22"/>
          <w:lang w:eastAsia="ja-JP"/>
        </w:rPr>
        <w:t>emergency preparedness change process</w:t>
      </w:r>
      <w:r w:rsidRPr="00256FA5" w:rsidR="00A54582">
        <w:rPr>
          <w:rFonts w:ascii="Arial" w:eastAsia="DengXian" w:hAnsi="Arial" w:cs="Arial"/>
          <w:sz w:val="22"/>
          <w:szCs w:val="22"/>
          <w:lang w:eastAsia="ja-JP"/>
        </w:rPr>
        <w:t xml:space="preserve"> </w:t>
      </w:r>
      <w:r w:rsidRPr="00256FA5" w:rsidR="008C03A9">
        <w:rPr>
          <w:rFonts w:ascii="Arial" w:eastAsia="DengXian" w:hAnsi="Arial" w:cs="Arial"/>
          <w:sz w:val="22"/>
          <w:szCs w:val="22"/>
          <w:lang w:eastAsia="ja-JP"/>
        </w:rPr>
        <w:t>during</w:t>
      </w:r>
      <w:r w:rsidRPr="00256FA5" w:rsidR="00B056B1">
        <w:rPr>
          <w:rFonts w:ascii="Arial" w:eastAsia="DengXian" w:hAnsi="Arial" w:cs="Arial"/>
          <w:sz w:val="22"/>
          <w:szCs w:val="22"/>
          <w:lang w:eastAsia="ja-JP"/>
        </w:rPr>
        <w:t xml:space="preserve"> this </w:t>
      </w:r>
      <w:r w:rsidRPr="00256FA5" w:rsidR="008C03A9">
        <w:rPr>
          <w:rFonts w:ascii="Arial" w:eastAsia="DengXian" w:hAnsi="Arial" w:cs="Arial"/>
          <w:sz w:val="22"/>
          <w:szCs w:val="22"/>
          <w:lang w:eastAsia="ja-JP"/>
        </w:rPr>
        <w:t>effort.</w:t>
      </w:r>
    </w:p>
    <w:p w:rsidR="007F112A" w:rsidRPr="00256FA5" w:rsidP="00256FA5" w14:paraId="406AC2FF" w14:textId="77777777">
      <w:pPr>
        <w:spacing w:after="220"/>
        <w:rPr>
          <w:rFonts w:ascii="Arial" w:eastAsia="Times New Roman" w:hAnsi="Arial" w:cs="Arial"/>
          <w:color w:val="000000"/>
          <w:sz w:val="22"/>
          <w:szCs w:val="22"/>
          <w:lang w:eastAsia="zh-CN"/>
        </w:rPr>
      </w:pPr>
      <w:r w:rsidRPr="00256FA5">
        <w:rPr>
          <w:rFonts w:ascii="Arial" w:eastAsia="DengXian" w:hAnsi="Arial" w:cs="Arial"/>
          <w:sz w:val="22"/>
          <w:szCs w:val="22"/>
          <w:lang w:eastAsia="ja-JP"/>
        </w:rPr>
        <w:t>Accordingly, the NRC did not change the rule language in response to these comments.</w:t>
      </w:r>
    </w:p>
    <w:p w:rsidR="007F112A" w:rsidRPr="00256FA5" w:rsidP="00256FA5" w14:paraId="5AC79710"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86" style="width:0;height:1.5pt" o:hralign="center" o:hrstd="t" o:hrnoshade="t" o:hr="t" fillcolor="black" stroked="f"/>
        </w:pict>
      </w:r>
    </w:p>
    <w:p w:rsidR="007F112A" w:rsidRPr="00256FA5" w:rsidP="00256FA5" w14:paraId="35FB2644" w14:textId="77777777">
      <w:pPr>
        <w:spacing w:after="220"/>
        <w:rPr>
          <w:rFonts w:ascii="Arial" w:eastAsia="DengXian" w:hAnsi="Arial" w:cs="Arial"/>
          <w:sz w:val="22"/>
          <w:szCs w:val="22"/>
          <w:lang w:eastAsia="ja-JP"/>
        </w:rPr>
      </w:pPr>
      <w:r w:rsidRPr="00256FA5">
        <w:rPr>
          <w:rFonts w:ascii="Arial" w:eastAsia="Times New Roman" w:hAnsi="Arial" w:cs="Arial"/>
          <w:b/>
          <w:color w:val="000000"/>
          <w:sz w:val="22"/>
          <w:szCs w:val="22"/>
          <w:lang w:eastAsia="zh-CN"/>
        </w:rPr>
        <w:t>Comment Bin 3.9.1.C:</w:t>
      </w:r>
      <w:r w:rsidRPr="00256FA5">
        <w:rPr>
          <w:rFonts w:ascii="Arial" w:eastAsia="Times New Roman" w:hAnsi="Arial" w:cs="Arial"/>
          <w:color w:val="000000"/>
          <w:sz w:val="22"/>
          <w:szCs w:val="22"/>
          <w:lang w:eastAsia="zh-CN"/>
        </w:rPr>
        <w:t xml:space="preserve"> </w:t>
      </w:r>
      <w:r w:rsidRPr="00256FA5">
        <w:rPr>
          <w:rFonts w:ascii="Arial" w:eastAsia="DengXian" w:hAnsi="Arial" w:cs="Arial"/>
          <w:sz w:val="22"/>
          <w:szCs w:val="22"/>
          <w:lang w:eastAsia="ja-JP"/>
        </w:rPr>
        <w:t xml:space="preserve">A commenter requested that the NRC rewrite proposed 10 CFR 53.1590 to clarify the logic regarding backfitting and license compliance. The commenter suggested that the NRC could recruit resident inspectors or senior resident inspectors to conduct the rewrite </w:t>
      </w:r>
      <w:r w:rsidRPr="00850E7F">
        <w:rPr>
          <w:rFonts w:ascii="Arial" w:eastAsia="DengXian" w:hAnsi="Arial" w:cs="Arial"/>
          <w:sz w:val="22"/>
          <w:szCs w:val="22"/>
          <w:lang w:eastAsia="ja-JP"/>
        </w:rPr>
        <w:t>(</w:t>
      </w:r>
      <w:r w:rsidRPr="00850E7F" w:rsidR="00850E7F">
        <w:rPr>
          <w:rFonts w:ascii="Arial" w:eastAsia="Times New Roman" w:hAnsi="Arial" w:cs="Arial"/>
          <w:color w:val="000000"/>
          <w:sz w:val="22"/>
          <w:szCs w:val="22"/>
        </w:rPr>
        <w:t>TG15</w:t>
      </w:r>
      <w:r w:rsidRPr="00850E7F">
        <w:rPr>
          <w:rFonts w:ascii="Arial" w:eastAsia="DengXian" w:hAnsi="Arial" w:cs="Arial"/>
          <w:sz w:val="22"/>
          <w:szCs w:val="22"/>
          <w:lang w:eastAsia="ja-JP"/>
        </w:rPr>
        <w:t>-0</w:t>
      </w:r>
      <w:r w:rsidRPr="00256FA5">
        <w:rPr>
          <w:rFonts w:ascii="Arial" w:eastAsia="DengXian" w:hAnsi="Arial" w:cs="Arial"/>
          <w:sz w:val="22"/>
          <w:szCs w:val="22"/>
          <w:lang w:eastAsia="ja-JP"/>
        </w:rPr>
        <w:t>001).</w:t>
      </w:r>
    </w:p>
    <w:p w:rsidR="007F112A" w:rsidRPr="00256FA5" w:rsidP="00256FA5" w14:paraId="7EF7D64A"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disagrees with this comment.</w:t>
      </w:r>
    </w:p>
    <w:p w:rsidR="007F112A" w:rsidRPr="00256FA5" w:rsidP="00256FA5" w14:paraId="04E4E20D"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 licensing of commercial nuclear facilities is not a simple matter</w:t>
      </w:r>
      <w:r w:rsidR="00540B03">
        <w:rPr>
          <w:rFonts w:ascii="Arial" w:eastAsia="DengXian" w:hAnsi="Arial" w:cs="Arial"/>
          <w:sz w:val="22"/>
          <w:szCs w:val="22"/>
          <w:lang w:eastAsia="ja-JP"/>
        </w:rPr>
        <w:t>,</w:t>
      </w:r>
      <w:r w:rsidRPr="00256FA5">
        <w:rPr>
          <w:rFonts w:ascii="Arial" w:eastAsia="DengXian" w:hAnsi="Arial" w:cs="Arial"/>
          <w:sz w:val="22"/>
          <w:szCs w:val="22"/>
          <w:lang w:eastAsia="ja-JP"/>
        </w:rPr>
        <w:t xml:space="preserve"> and the NRC is operating within the statutory and legal framework for doing so that has been established over several decades. The backfitting requirements in 10 CFR 53.1590 are consistent with those governing the existing processes for commercial nuclear power plant licensing under 10 CFR Parts 50 and 52 that are found in 10 CFR 50.109 and the various sections on </w:t>
      </w:r>
      <w:r w:rsidR="00F330CB">
        <w:rPr>
          <w:rFonts w:ascii="Arial" w:eastAsia="DengXian" w:hAnsi="Arial" w:cs="Arial"/>
          <w:sz w:val="22"/>
          <w:szCs w:val="22"/>
          <w:lang w:eastAsia="ja-JP"/>
        </w:rPr>
        <w:t xml:space="preserve">issue </w:t>
      </w:r>
      <w:r w:rsidRPr="00256FA5">
        <w:rPr>
          <w:rFonts w:ascii="Arial" w:eastAsia="DengXian" w:hAnsi="Arial" w:cs="Arial"/>
          <w:sz w:val="22"/>
          <w:szCs w:val="22"/>
          <w:lang w:eastAsia="ja-JP"/>
        </w:rPr>
        <w:t>finality found in 10</w:t>
      </w:r>
      <w:r w:rsidR="00B837AC">
        <w:rPr>
          <w:rFonts w:ascii="Arial" w:eastAsia="DengXian" w:hAnsi="Arial" w:cs="Arial"/>
          <w:sz w:val="22"/>
          <w:szCs w:val="22"/>
          <w:lang w:eastAsia="ja-JP"/>
        </w:rPr>
        <w:t> </w:t>
      </w:r>
      <w:r w:rsidRPr="00256FA5">
        <w:rPr>
          <w:rFonts w:ascii="Arial" w:eastAsia="DengXian" w:hAnsi="Arial" w:cs="Arial"/>
          <w:sz w:val="22"/>
          <w:szCs w:val="22"/>
          <w:lang w:eastAsia="ja-JP"/>
        </w:rPr>
        <w:t>CFR</w:t>
      </w:r>
      <w:r w:rsidR="00B837AC">
        <w:rPr>
          <w:rFonts w:ascii="Arial" w:eastAsia="DengXian" w:hAnsi="Arial" w:cs="Arial"/>
          <w:sz w:val="22"/>
          <w:szCs w:val="22"/>
          <w:lang w:eastAsia="ja-JP"/>
        </w:rPr>
        <w:t> </w:t>
      </w:r>
      <w:r w:rsidRPr="00256FA5">
        <w:rPr>
          <w:rFonts w:ascii="Arial" w:eastAsia="DengXian" w:hAnsi="Arial" w:cs="Arial"/>
          <w:sz w:val="22"/>
          <w:szCs w:val="22"/>
          <w:lang w:eastAsia="ja-JP"/>
        </w:rPr>
        <w:t>Part</w:t>
      </w:r>
      <w:r w:rsidR="00B837AC">
        <w:rPr>
          <w:rFonts w:ascii="Arial" w:eastAsia="DengXian" w:hAnsi="Arial" w:cs="Arial"/>
          <w:sz w:val="22"/>
          <w:szCs w:val="22"/>
          <w:lang w:eastAsia="ja-JP"/>
        </w:rPr>
        <w:t> </w:t>
      </w:r>
      <w:r w:rsidRPr="00256FA5">
        <w:rPr>
          <w:rFonts w:ascii="Arial" w:eastAsia="DengXian" w:hAnsi="Arial" w:cs="Arial"/>
          <w:sz w:val="22"/>
          <w:szCs w:val="22"/>
          <w:lang w:eastAsia="ja-JP"/>
        </w:rPr>
        <w:t>52.</w:t>
      </w:r>
      <w:r w:rsidR="00321B5E">
        <w:rPr>
          <w:rFonts w:ascii="Arial" w:eastAsia="DengXian" w:hAnsi="Arial" w:cs="Arial"/>
          <w:sz w:val="22"/>
          <w:szCs w:val="22"/>
          <w:lang w:eastAsia="ja-JP"/>
        </w:rPr>
        <w:t xml:space="preserve"> The NRC’s experience has shown that these existing provisions are adequate to ensure an appropriate level of finality.</w:t>
      </w:r>
    </w:p>
    <w:p w:rsidR="007F112A" w:rsidRPr="00256FA5" w:rsidP="00256FA5" w14:paraId="5BC0C84A" w14:textId="77777777">
      <w:pPr>
        <w:spacing w:after="220"/>
        <w:rPr>
          <w:rFonts w:ascii="Arial" w:eastAsia="Times New Roman" w:hAnsi="Arial" w:cs="Arial"/>
          <w:color w:val="000000"/>
          <w:sz w:val="22"/>
          <w:szCs w:val="22"/>
          <w:lang w:eastAsia="zh-CN"/>
        </w:rPr>
      </w:pPr>
      <w:r w:rsidRPr="00256FA5">
        <w:rPr>
          <w:rFonts w:ascii="Arial" w:eastAsia="DengXian" w:hAnsi="Arial" w:cs="Arial"/>
          <w:sz w:val="22"/>
          <w:szCs w:val="22"/>
          <w:lang w:eastAsia="ja-JP"/>
        </w:rPr>
        <w:t>Accordingly, the NRC did not change the rule language in response to this comment.</w:t>
      </w:r>
    </w:p>
    <w:p w:rsidR="007F112A" w:rsidRPr="00256FA5" w:rsidP="00256FA5" w14:paraId="0DD0A83C"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87" style="width:0;height:1.5pt" o:hralign="center" o:hrstd="t" o:hrnoshade="t" o:hr="t" fillcolor="black" stroked="f"/>
        </w:pict>
      </w:r>
    </w:p>
    <w:p w:rsidR="007F112A" w:rsidRPr="00256FA5" w:rsidP="00256FA5" w14:paraId="18D2C81C" w14:textId="77777777">
      <w:pPr>
        <w:spacing w:after="220"/>
        <w:rPr>
          <w:rFonts w:ascii="Arial" w:hAnsi="Arial" w:cs="Arial"/>
          <w:sz w:val="22"/>
          <w:szCs w:val="22"/>
        </w:rPr>
      </w:pPr>
      <w:r w:rsidRPr="00256FA5">
        <w:rPr>
          <w:rFonts w:ascii="Arial" w:eastAsia="DengXian" w:hAnsi="Arial" w:cs="Arial"/>
          <w:b/>
          <w:sz w:val="22"/>
          <w:szCs w:val="22"/>
          <w:lang w:eastAsia="ja-JP"/>
        </w:rPr>
        <w:t>Comment Bin 3.9.1.D:</w:t>
      </w:r>
      <w:r w:rsidRPr="00256FA5">
        <w:rPr>
          <w:rFonts w:ascii="Arial" w:eastAsia="DengXian" w:hAnsi="Arial" w:cs="Arial"/>
          <w:sz w:val="22"/>
          <w:szCs w:val="22"/>
          <w:lang w:eastAsia="ja-JP"/>
        </w:rPr>
        <w:t xml:space="preserve"> </w:t>
      </w:r>
      <w:r w:rsidRPr="00256FA5">
        <w:rPr>
          <w:rFonts w:ascii="Arial" w:hAnsi="Arial" w:cs="Arial"/>
          <w:sz w:val="22"/>
          <w:szCs w:val="22"/>
        </w:rPr>
        <w:t>A commenter said that the second sentence in 10 CFR 53.1510 is significantly more prescriptive than equivalent language in 10 CFR 50.90 and suggested that the level of detail should be made more consistent with a performance-based regulation (</w:t>
      </w:r>
      <w:r w:rsidR="009D6BB9">
        <w:rPr>
          <w:rFonts w:ascii="Arial" w:hAnsi="Arial" w:cs="Arial"/>
          <w:sz w:val="22"/>
          <w:szCs w:val="22"/>
        </w:rPr>
        <w:t>NEI2</w:t>
      </w:r>
      <w:r w:rsidRPr="00256FA5">
        <w:rPr>
          <w:rFonts w:ascii="Arial" w:hAnsi="Arial" w:cs="Arial"/>
          <w:sz w:val="22"/>
          <w:szCs w:val="22"/>
        </w:rPr>
        <w:t>-0139).</w:t>
      </w:r>
    </w:p>
    <w:p w:rsidR="007F112A" w:rsidRPr="00256FA5" w:rsidP="00256FA5" w14:paraId="6953AA7E"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disagrees with this comment.</w:t>
      </w:r>
    </w:p>
    <w:p w:rsidR="007F112A" w:rsidRPr="00256FA5" w:rsidP="00256FA5" w14:paraId="49C09930"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second sentence of 10 CFR 53.1510 </w:t>
      </w:r>
      <w:r w:rsidR="0086434F">
        <w:rPr>
          <w:rFonts w:ascii="Arial" w:eastAsia="DengXian" w:hAnsi="Arial" w:cs="Arial"/>
          <w:sz w:val="22"/>
          <w:szCs w:val="22"/>
          <w:lang w:eastAsia="ja-JP"/>
        </w:rPr>
        <w:t xml:space="preserve">as proposed </w:t>
      </w:r>
      <w:r w:rsidRPr="00256FA5">
        <w:rPr>
          <w:rFonts w:ascii="Arial" w:eastAsia="DengXian" w:hAnsi="Arial" w:cs="Arial"/>
          <w:sz w:val="22"/>
          <w:szCs w:val="22"/>
          <w:lang w:eastAsia="ja-JP"/>
        </w:rPr>
        <w:t xml:space="preserve">ensures that the evaluation of a license amendment explicitly accounts for potential impacts to safety requirements in Subpart B and the underlying, systematic analyses required by 10 CFR 53.450. These considerations are explicitly included as a requirement because </w:t>
      </w:r>
      <w:r w:rsidR="009C7B4F">
        <w:rPr>
          <w:rFonts w:ascii="Arial" w:eastAsia="DengXian" w:hAnsi="Arial" w:cs="Arial"/>
          <w:sz w:val="22"/>
          <w:szCs w:val="22"/>
          <w:lang w:eastAsia="ja-JP"/>
        </w:rPr>
        <w:t xml:space="preserve">of </w:t>
      </w:r>
      <w:r w:rsidRPr="00256FA5">
        <w:rPr>
          <w:rFonts w:ascii="Arial" w:eastAsia="DengXian" w:hAnsi="Arial" w:cs="Arial"/>
          <w:sz w:val="22"/>
          <w:szCs w:val="22"/>
          <w:lang w:eastAsia="ja-JP"/>
        </w:rPr>
        <w:t>the licensing construct under 10 CFR Part 53. The requirement in 10</w:t>
      </w:r>
      <w:r w:rsidR="0086434F">
        <w:rPr>
          <w:rFonts w:ascii="Arial" w:eastAsia="DengXian" w:hAnsi="Arial" w:cs="Arial"/>
          <w:sz w:val="22"/>
          <w:szCs w:val="22"/>
          <w:lang w:eastAsia="ja-JP"/>
        </w:rPr>
        <w:t> </w:t>
      </w:r>
      <w:r w:rsidRPr="00256FA5">
        <w:rPr>
          <w:rFonts w:ascii="Arial" w:eastAsia="DengXian" w:hAnsi="Arial" w:cs="Arial"/>
          <w:sz w:val="22"/>
          <w:szCs w:val="22"/>
          <w:lang w:eastAsia="ja-JP"/>
        </w:rPr>
        <w:t>CFR 53.1510 to describe an assessment of the results of a change on the underlying safety analysis is more performance</w:t>
      </w:r>
      <w:r w:rsidR="001B059B">
        <w:rPr>
          <w:rFonts w:ascii="Arial" w:eastAsia="DengXian" w:hAnsi="Arial" w:cs="Arial"/>
          <w:sz w:val="22"/>
          <w:szCs w:val="22"/>
          <w:lang w:eastAsia="ja-JP"/>
        </w:rPr>
        <w:t>-</w:t>
      </w:r>
      <w:r w:rsidRPr="00256FA5">
        <w:rPr>
          <w:rFonts w:ascii="Arial" w:eastAsia="DengXian" w:hAnsi="Arial" w:cs="Arial"/>
          <w:sz w:val="22"/>
          <w:szCs w:val="22"/>
          <w:lang w:eastAsia="ja-JP"/>
        </w:rPr>
        <w:t xml:space="preserve">based and predictable than the </w:t>
      </w:r>
      <w:r w:rsidR="00C202F9">
        <w:rPr>
          <w:rFonts w:ascii="Arial" w:eastAsia="DengXian" w:hAnsi="Arial" w:cs="Arial"/>
          <w:sz w:val="22"/>
          <w:szCs w:val="22"/>
          <w:lang w:eastAsia="ja-JP"/>
        </w:rPr>
        <w:t>cu</w:t>
      </w:r>
      <w:r w:rsidR="0086434F">
        <w:rPr>
          <w:rFonts w:ascii="Arial" w:eastAsia="DengXian" w:hAnsi="Arial" w:cs="Arial"/>
          <w:sz w:val="22"/>
          <w:szCs w:val="22"/>
          <w:lang w:eastAsia="ja-JP"/>
        </w:rPr>
        <w:t>r</w:t>
      </w:r>
      <w:r w:rsidR="00C202F9">
        <w:rPr>
          <w:rFonts w:ascii="Arial" w:eastAsia="DengXian" w:hAnsi="Arial" w:cs="Arial"/>
          <w:sz w:val="22"/>
          <w:szCs w:val="22"/>
          <w:lang w:eastAsia="ja-JP"/>
        </w:rPr>
        <w:t>rent</w:t>
      </w:r>
      <w:r w:rsidRPr="00256FA5">
        <w:rPr>
          <w:rFonts w:ascii="Arial" w:eastAsia="DengXian" w:hAnsi="Arial" w:cs="Arial"/>
          <w:sz w:val="22"/>
          <w:szCs w:val="22"/>
          <w:lang w:eastAsia="ja-JP"/>
        </w:rPr>
        <w:t xml:space="preserve"> wording in 10</w:t>
      </w:r>
      <w:r w:rsidR="0086434F">
        <w:rPr>
          <w:rFonts w:ascii="Arial" w:eastAsia="DengXian" w:hAnsi="Arial" w:cs="Arial"/>
          <w:sz w:val="22"/>
          <w:szCs w:val="22"/>
          <w:lang w:eastAsia="ja-JP"/>
        </w:rPr>
        <w:t> </w:t>
      </w:r>
      <w:r w:rsidRPr="00256FA5">
        <w:rPr>
          <w:rFonts w:ascii="Arial" w:eastAsia="DengXian" w:hAnsi="Arial" w:cs="Arial"/>
          <w:sz w:val="22"/>
          <w:szCs w:val="22"/>
          <w:lang w:eastAsia="ja-JP"/>
        </w:rPr>
        <w:t>CFR 5</w:t>
      </w:r>
      <w:r w:rsidR="00E821EE">
        <w:rPr>
          <w:rFonts w:ascii="Arial" w:eastAsia="DengXian" w:hAnsi="Arial" w:cs="Arial"/>
          <w:sz w:val="22"/>
          <w:szCs w:val="22"/>
          <w:lang w:eastAsia="ja-JP"/>
        </w:rPr>
        <w:t>0</w:t>
      </w:r>
      <w:r w:rsidRPr="00256FA5">
        <w:rPr>
          <w:rFonts w:ascii="Arial" w:eastAsia="DengXian" w:hAnsi="Arial" w:cs="Arial"/>
          <w:sz w:val="22"/>
          <w:szCs w:val="22"/>
          <w:lang w:eastAsia="ja-JP"/>
        </w:rPr>
        <w:t>.90. The inclusion of</w:t>
      </w:r>
      <w:r w:rsidRPr="00256FA5">
        <w:rPr>
          <w:rFonts w:ascii="Arial" w:hAnsi="Arial" w:cs="Arial"/>
          <w:sz w:val="22"/>
          <w:szCs w:val="22"/>
        </w:rPr>
        <w:t xml:space="preserve"> </w:t>
      </w:r>
      <w:r w:rsidRPr="00256FA5">
        <w:rPr>
          <w:rFonts w:ascii="Arial" w:eastAsia="DengXian" w:hAnsi="Arial" w:cs="Arial"/>
          <w:sz w:val="22"/>
          <w:szCs w:val="22"/>
          <w:lang w:eastAsia="ja-JP"/>
        </w:rPr>
        <w:t xml:space="preserve">an analysis of whether the amendment involves no significant hazards consideration using the standards in </w:t>
      </w:r>
      <w:r w:rsidR="00846562">
        <w:rPr>
          <w:rFonts w:ascii="Arial" w:eastAsia="DengXian" w:hAnsi="Arial" w:cs="Arial"/>
          <w:sz w:val="22"/>
          <w:szCs w:val="22"/>
          <w:lang w:eastAsia="ja-JP"/>
        </w:rPr>
        <w:t>10 CFR</w:t>
      </w:r>
      <w:r w:rsidRPr="00256FA5">
        <w:rPr>
          <w:rFonts w:ascii="Arial" w:eastAsia="DengXian" w:hAnsi="Arial" w:cs="Arial"/>
          <w:sz w:val="22"/>
          <w:szCs w:val="22"/>
          <w:lang w:eastAsia="ja-JP"/>
        </w:rPr>
        <w:t xml:space="preserve"> 53.1520, and a consideration of environmental factors is not a new requirement and was simply included in 10 CFR 53.1510 for completeness and clarity.</w:t>
      </w:r>
    </w:p>
    <w:p w:rsidR="007F112A" w:rsidRPr="00256FA5" w:rsidP="00256FA5" w14:paraId="7CC1921D" w14:textId="77777777">
      <w:pPr>
        <w:spacing w:after="220"/>
        <w:rPr>
          <w:rFonts w:ascii="Arial" w:eastAsia="Times New Roman" w:hAnsi="Arial" w:cs="Arial"/>
          <w:color w:val="000000"/>
          <w:sz w:val="22"/>
          <w:szCs w:val="22"/>
          <w:lang w:eastAsia="zh-CN"/>
        </w:rPr>
      </w:pPr>
      <w:r w:rsidRPr="00256FA5">
        <w:rPr>
          <w:rFonts w:ascii="Arial" w:eastAsia="DengXian" w:hAnsi="Arial" w:cs="Arial"/>
          <w:sz w:val="22"/>
          <w:szCs w:val="22"/>
          <w:lang w:eastAsia="ja-JP"/>
        </w:rPr>
        <w:t>Accordingly, the NRC did not change the rule language in response to this comment.</w:t>
      </w:r>
    </w:p>
    <w:p w:rsidR="007F112A" w:rsidRPr="00256FA5" w:rsidP="00256FA5" w14:paraId="290F4DE9"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88" style="width:0;height:1.5pt" o:hralign="center" o:hrstd="t" o:hrnoshade="t" o:hr="t" fillcolor="black" stroked="f"/>
        </w:pict>
      </w:r>
    </w:p>
    <w:p w:rsidR="007F112A" w:rsidRPr="00256FA5" w:rsidP="00256FA5" w14:paraId="4B2CA25C" w14:textId="77777777">
      <w:pPr>
        <w:spacing w:after="220"/>
        <w:rPr>
          <w:rFonts w:ascii="Arial" w:hAnsi="Arial" w:cs="Arial"/>
          <w:sz w:val="22"/>
          <w:szCs w:val="22"/>
        </w:rPr>
      </w:pPr>
      <w:r w:rsidRPr="00256FA5">
        <w:rPr>
          <w:rFonts w:ascii="Arial" w:eastAsia="DengXian" w:hAnsi="Arial" w:cs="Arial"/>
          <w:b/>
          <w:sz w:val="22"/>
          <w:szCs w:val="22"/>
          <w:lang w:eastAsia="ja-JP"/>
        </w:rPr>
        <w:t>Comment Bin 3.9.1.E:</w:t>
      </w:r>
      <w:r w:rsidRPr="00256FA5">
        <w:rPr>
          <w:rFonts w:ascii="Arial" w:eastAsia="DengXian" w:hAnsi="Arial" w:cs="Arial"/>
          <w:sz w:val="22"/>
          <w:szCs w:val="22"/>
          <w:lang w:eastAsia="ja-JP"/>
        </w:rPr>
        <w:t xml:space="preserve"> </w:t>
      </w:r>
      <w:r w:rsidRPr="00256FA5">
        <w:rPr>
          <w:rFonts w:ascii="Arial" w:hAnsi="Arial" w:cs="Arial"/>
          <w:sz w:val="22"/>
          <w:szCs w:val="22"/>
        </w:rPr>
        <w:t>A commenter said that the specific language in 10 CFR 53.1545 presumes the licensee has made use of the PRA-based approach in Subparts B and C, and that the requirements do not reflect other risk-informed approaches or more traditional approaches. The commenter proposed that the language in 10 CFR 53.1545(a)(2)-(4) should be modified to reflect FSAR updates where other risk-informed approaches or more traditional approaches have been used in supporting licensing of the plant (</w:t>
      </w:r>
      <w:r w:rsidR="009D6BB9">
        <w:rPr>
          <w:rFonts w:ascii="Arial" w:hAnsi="Arial" w:cs="Arial"/>
          <w:sz w:val="22"/>
          <w:szCs w:val="22"/>
        </w:rPr>
        <w:t>NEI2</w:t>
      </w:r>
      <w:r w:rsidRPr="00256FA5">
        <w:rPr>
          <w:rFonts w:ascii="Arial" w:hAnsi="Arial" w:cs="Arial"/>
          <w:sz w:val="22"/>
          <w:szCs w:val="22"/>
        </w:rPr>
        <w:t>-0140).</w:t>
      </w:r>
    </w:p>
    <w:p w:rsidR="006108EA" w:rsidP="00256FA5" w14:paraId="0A5D7E8A"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agrees, in part, with the comment.</w:t>
      </w:r>
    </w:p>
    <w:p w:rsidR="007F112A" w:rsidP="00256FA5" w14:paraId="3FCC22D0"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disagrees that further changes are needed to reflect more traditional licensing approaches, as these deterministic approaches do not support the licensing construct of 10 CFR Part 53. However, </w:t>
      </w:r>
      <w:r w:rsidR="005F2699">
        <w:rPr>
          <w:rFonts w:ascii="Arial" w:eastAsia="DengXian" w:hAnsi="Arial" w:cs="Arial"/>
          <w:sz w:val="22"/>
          <w:szCs w:val="22"/>
          <w:lang w:eastAsia="ja-JP"/>
        </w:rPr>
        <w:t>in response to Comment Bin 3.3.2.2.E</w:t>
      </w:r>
      <w:r w:rsidRPr="00256FA5">
        <w:rPr>
          <w:rFonts w:ascii="Arial" w:eastAsia="DengXian" w:hAnsi="Arial" w:cs="Arial"/>
          <w:sz w:val="22"/>
          <w:szCs w:val="22"/>
          <w:lang w:eastAsia="ja-JP"/>
        </w:rPr>
        <w:t xml:space="preserve">, the NRC </w:t>
      </w:r>
      <w:r w:rsidR="005F2699">
        <w:rPr>
          <w:rFonts w:ascii="Arial" w:eastAsia="DengXian" w:hAnsi="Arial" w:cs="Arial"/>
          <w:sz w:val="22"/>
          <w:szCs w:val="22"/>
          <w:lang w:eastAsia="ja-JP"/>
        </w:rPr>
        <w:t>has revised</w:t>
      </w:r>
      <w:r w:rsidRPr="00256FA5">
        <w:rPr>
          <w:rFonts w:ascii="Arial" w:eastAsia="DengXian" w:hAnsi="Arial" w:cs="Arial"/>
          <w:sz w:val="22"/>
          <w:szCs w:val="22"/>
          <w:lang w:eastAsia="ja-JP"/>
        </w:rPr>
        <w:t xml:space="preserve"> the rule language related to PRA in 10</w:t>
      </w:r>
      <w:r w:rsidR="005B7472">
        <w:rPr>
          <w:rFonts w:ascii="Arial" w:eastAsia="DengXian" w:hAnsi="Arial" w:cs="Arial"/>
          <w:sz w:val="22"/>
          <w:szCs w:val="22"/>
          <w:lang w:eastAsia="ja-JP"/>
        </w:rPr>
        <w:t> </w:t>
      </w:r>
      <w:r w:rsidRPr="00256FA5">
        <w:rPr>
          <w:rFonts w:ascii="Arial" w:eastAsia="DengXian" w:hAnsi="Arial" w:cs="Arial"/>
          <w:sz w:val="22"/>
          <w:szCs w:val="22"/>
          <w:lang w:eastAsia="ja-JP"/>
        </w:rPr>
        <w:t>CFR</w:t>
      </w:r>
      <w:r w:rsidR="005B7472">
        <w:rPr>
          <w:rFonts w:ascii="Arial" w:eastAsia="DengXian" w:hAnsi="Arial" w:cs="Arial"/>
          <w:sz w:val="22"/>
          <w:szCs w:val="22"/>
          <w:lang w:eastAsia="ja-JP"/>
        </w:rPr>
        <w:t> </w:t>
      </w:r>
      <w:r w:rsidRPr="00256FA5">
        <w:rPr>
          <w:rFonts w:ascii="Arial" w:eastAsia="DengXian" w:hAnsi="Arial" w:cs="Arial"/>
          <w:sz w:val="22"/>
          <w:szCs w:val="22"/>
          <w:lang w:eastAsia="ja-JP"/>
        </w:rPr>
        <w:t xml:space="preserve">53.1545 consistent with the revisions to the rule language in 10 CFR 53.450, which allows systematic risk evaluations other than PRA to be used to meet the analysis requirements. </w:t>
      </w:r>
    </w:p>
    <w:p w:rsidR="00073153" w:rsidRPr="00256FA5" w:rsidP="00256FA5" w14:paraId="156065A0" w14:textId="77777777">
      <w:pPr>
        <w:spacing w:after="220"/>
        <w:rPr>
          <w:rFonts w:ascii="Arial" w:eastAsia="Times New Roman" w:hAnsi="Arial" w:cs="Arial"/>
          <w:color w:val="000000"/>
          <w:sz w:val="22"/>
          <w:szCs w:val="22"/>
          <w:lang w:eastAsia="zh-CN"/>
        </w:rPr>
      </w:pPr>
      <w:r>
        <w:rPr>
          <w:rFonts w:ascii="Arial" w:eastAsia="DengXian" w:hAnsi="Arial" w:cs="Arial"/>
          <w:sz w:val="22"/>
          <w:szCs w:val="22"/>
          <w:lang w:eastAsia="ja-JP"/>
        </w:rPr>
        <w:t xml:space="preserve">Accordingly, the NRC did not </w:t>
      </w:r>
      <w:r w:rsidR="005B7472">
        <w:rPr>
          <w:rFonts w:ascii="Arial" w:eastAsia="DengXian" w:hAnsi="Arial" w:cs="Arial"/>
          <w:sz w:val="22"/>
          <w:szCs w:val="22"/>
          <w:lang w:eastAsia="ja-JP"/>
        </w:rPr>
        <w:t>change</w:t>
      </w:r>
      <w:r w:rsidR="006B0ACD">
        <w:rPr>
          <w:rFonts w:ascii="Arial" w:eastAsia="DengXian" w:hAnsi="Arial" w:cs="Arial"/>
          <w:sz w:val="22"/>
          <w:szCs w:val="22"/>
          <w:lang w:eastAsia="ja-JP"/>
        </w:rPr>
        <w:t xml:space="preserve"> the rule </w:t>
      </w:r>
      <w:r w:rsidR="005D2A4A">
        <w:rPr>
          <w:rFonts w:ascii="Arial" w:eastAsia="DengXian" w:hAnsi="Arial" w:cs="Arial"/>
          <w:sz w:val="22"/>
          <w:szCs w:val="22"/>
          <w:lang w:eastAsia="ja-JP"/>
        </w:rPr>
        <w:t>language</w:t>
      </w:r>
      <w:r w:rsidR="006B0ACD">
        <w:rPr>
          <w:rFonts w:ascii="Arial" w:eastAsia="DengXian" w:hAnsi="Arial" w:cs="Arial"/>
          <w:sz w:val="22"/>
          <w:szCs w:val="22"/>
          <w:lang w:eastAsia="ja-JP"/>
        </w:rPr>
        <w:t xml:space="preserve"> in response to this comment.</w:t>
      </w:r>
    </w:p>
    <w:p w:rsidR="00B72315" w:rsidRPr="00256FA5" w:rsidP="00256FA5" w14:paraId="2E27595B"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289" style="width:0;height:1.5pt" o:hralign="center" o:hrstd="t" o:hrnoshade="t" o:hr="t" fillcolor="black" stroked="f"/>
        </w:pict>
      </w:r>
    </w:p>
    <w:p w:rsidR="007F112A" w:rsidRPr="00256FA5" w:rsidP="00256FA5" w14:paraId="369BD4AC" w14:textId="77777777">
      <w:pPr>
        <w:spacing w:after="220"/>
        <w:rPr>
          <w:rFonts w:ascii="Arial" w:hAnsi="Arial" w:cs="Arial"/>
          <w:sz w:val="22"/>
          <w:szCs w:val="22"/>
        </w:rPr>
      </w:pPr>
      <w:r w:rsidRPr="00256FA5">
        <w:rPr>
          <w:rFonts w:ascii="Arial" w:eastAsia="DengXian" w:hAnsi="Arial" w:cs="Arial"/>
          <w:b/>
          <w:sz w:val="22"/>
          <w:szCs w:val="22"/>
          <w:lang w:eastAsia="ja-JP"/>
        </w:rPr>
        <w:t>Comment Bin 3.9.1.F:</w:t>
      </w:r>
      <w:r w:rsidRPr="00256FA5">
        <w:rPr>
          <w:rFonts w:ascii="Arial" w:eastAsia="DengXian" w:hAnsi="Arial" w:cs="Arial"/>
          <w:sz w:val="22"/>
          <w:szCs w:val="22"/>
          <w:lang w:eastAsia="ja-JP"/>
        </w:rPr>
        <w:t xml:space="preserve"> </w:t>
      </w:r>
      <w:r w:rsidRPr="00256FA5">
        <w:rPr>
          <w:rFonts w:ascii="Arial" w:hAnsi="Arial" w:cs="Arial"/>
          <w:sz w:val="22"/>
          <w:szCs w:val="22"/>
        </w:rPr>
        <w:t xml:space="preserve">A commenter said that the requirement in 10 CFR 53.1550 is only applicable to one type of risk-informed approach in which the safety case is based almost entirely on the PRA and therefore cannot be applied to other risk-informed approaches. The commenter further noted that it appears that the outcome of the change control criteria here would be identical to the use of the criteria in 10 CFR 50.59, so that there is no regulatory advantage other than the ability to solely use the PRA to evaluate changes. The commenter also said that guidance is crucial to implementing 10 CFR 50.59, and no such guidance has been provided for 10 CFR 53.1550, and so the PRA-based criteria could be found to be undesirable once the details are developed in guidance. The commenter provided appropriate criteria for a 10 CFR 50.59-like evaluation for licensees following LMP in NEI 22-05: </w:t>
      </w:r>
      <w:r w:rsidRPr="00256FA5">
        <w:rPr>
          <w:rFonts w:ascii="Arial" w:hAnsi="Arial" w:cs="Arial"/>
          <w:sz w:val="22"/>
          <w:szCs w:val="22"/>
        </w:rPr>
        <w:t>Technology-Inclusive Risk-Informed Change Evaluation. The commenter suggested that NRC use the criteria in NEI 22-05 to inform an update to the 10 CFR 53.1550(a)(2) criteria. Additionally, the commenter said that the 10 percent change criterion in 10</w:t>
      </w:r>
      <w:r w:rsidR="00FA5316">
        <w:rPr>
          <w:rFonts w:ascii="Arial" w:hAnsi="Arial" w:cs="Arial"/>
          <w:sz w:val="22"/>
          <w:szCs w:val="22"/>
        </w:rPr>
        <w:t> </w:t>
      </w:r>
      <w:r w:rsidRPr="00256FA5">
        <w:rPr>
          <w:rFonts w:ascii="Arial" w:hAnsi="Arial" w:cs="Arial"/>
          <w:sz w:val="22"/>
          <w:szCs w:val="22"/>
        </w:rPr>
        <w:t>CFR</w:t>
      </w:r>
      <w:r w:rsidR="00FA5316">
        <w:rPr>
          <w:rFonts w:ascii="Arial" w:hAnsi="Arial" w:cs="Arial"/>
          <w:sz w:val="22"/>
          <w:szCs w:val="22"/>
        </w:rPr>
        <w:t> </w:t>
      </w:r>
      <w:r w:rsidRPr="00256FA5">
        <w:rPr>
          <w:rFonts w:ascii="Arial" w:hAnsi="Arial" w:cs="Arial"/>
          <w:sz w:val="22"/>
          <w:szCs w:val="22"/>
        </w:rPr>
        <w:t>53.1550(a)(2)(ix) and 25 percent change in 10 CFR 53.1550(a)(2)(vii) is too prescriptive for rule language and should be included in guidance, if at all (</w:t>
      </w:r>
      <w:r w:rsidR="009D6BB9">
        <w:rPr>
          <w:rFonts w:ascii="Arial" w:hAnsi="Arial" w:cs="Arial"/>
          <w:sz w:val="22"/>
          <w:szCs w:val="22"/>
        </w:rPr>
        <w:t>NEI2</w:t>
      </w:r>
      <w:r w:rsidRPr="00256FA5">
        <w:rPr>
          <w:rFonts w:ascii="Arial" w:hAnsi="Arial" w:cs="Arial"/>
          <w:sz w:val="22"/>
          <w:szCs w:val="22"/>
        </w:rPr>
        <w:t>-0142).</w:t>
      </w:r>
    </w:p>
    <w:p w:rsidR="007F112A" w:rsidRPr="00256FA5" w:rsidP="00C45701" w14:paraId="133A9172" w14:textId="77777777">
      <w:pPr>
        <w:spacing w:after="220"/>
        <w:rPr>
          <w:rFonts w:ascii="Arial" w:hAnsi="Arial" w:cs="Arial"/>
          <w:sz w:val="22"/>
          <w:szCs w:val="22"/>
        </w:rPr>
      </w:pPr>
      <w:r w:rsidRPr="00256FA5">
        <w:rPr>
          <w:rFonts w:ascii="Arial" w:hAnsi="Arial" w:cs="Arial"/>
          <w:sz w:val="22"/>
          <w:szCs w:val="22"/>
        </w:rPr>
        <w:t>Another commenter stated that proposed 10 CFR 53.1550 is of doubtful legality and should be deleted, as the NRC has “completely misconstrued” the relationship between reactor plant configuration control and FSAR chang</w:t>
      </w:r>
      <w:r w:rsidRPr="00674B5E">
        <w:rPr>
          <w:rFonts w:ascii="Arial" w:hAnsi="Arial" w:cs="Arial"/>
          <w:sz w:val="22"/>
          <w:szCs w:val="22"/>
        </w:rPr>
        <w:t>es (</w:t>
      </w:r>
      <w:r w:rsidRPr="00674B5E" w:rsidR="00674B5E">
        <w:rPr>
          <w:rFonts w:ascii="Arial" w:eastAsia="Times New Roman" w:hAnsi="Arial" w:cs="Arial"/>
          <w:color w:val="000000"/>
          <w:sz w:val="22"/>
          <w:szCs w:val="22"/>
        </w:rPr>
        <w:t>HPT36</w:t>
      </w:r>
      <w:r w:rsidRPr="00674B5E">
        <w:rPr>
          <w:rFonts w:ascii="Arial" w:hAnsi="Arial" w:cs="Arial"/>
          <w:sz w:val="22"/>
          <w:szCs w:val="22"/>
        </w:rPr>
        <w:t>-000</w:t>
      </w:r>
      <w:r w:rsidRPr="00256FA5">
        <w:rPr>
          <w:rFonts w:ascii="Arial" w:hAnsi="Arial" w:cs="Arial"/>
          <w:sz w:val="22"/>
          <w:szCs w:val="22"/>
        </w:rPr>
        <w:t>1). The commenter discussed that proposed 10 CFR 53.1550 represents completely new requirements, with no equivalent section in 10 CFR Part 50 and no clear relationship with the risk-informed requirements of NEIMA. The commenter said that the provision includes nearly incomprehensible technical language, there is no legal basis for using regulatory guides to establish requirements outside the CFR, and the need to alter the content of the FSAR would require a separate FSAR revision. The commenter additionally provided specific comments for several items within proposed 10 CFR 53.1550:</w:t>
      </w:r>
    </w:p>
    <w:p w:rsidR="007F112A" w:rsidRPr="00256FA5" w:rsidP="00C45701" w14:paraId="48EA766A" w14:textId="77777777">
      <w:pPr>
        <w:numPr>
          <w:ilvl w:val="0"/>
          <w:numId w:val="13"/>
        </w:numPr>
        <w:spacing w:after="220"/>
        <w:rPr>
          <w:rFonts w:ascii="Arial" w:hAnsi="Arial" w:cs="Arial"/>
          <w:sz w:val="22"/>
          <w:szCs w:val="22"/>
        </w:rPr>
      </w:pPr>
      <w:r w:rsidRPr="00256FA5">
        <w:rPr>
          <w:rFonts w:ascii="Arial" w:hAnsi="Arial" w:cs="Arial"/>
          <w:sz w:val="22"/>
          <w:szCs w:val="22"/>
        </w:rPr>
        <w:t xml:space="preserve">The commenter discussed that a PRA cannot be used to establish specific licensing requirements, and that licensees would be subject to consequences with no discernable quantifiable acceptance standard in paragraphs (a)(2)(i) – (a)(2)(ii). </w:t>
      </w:r>
    </w:p>
    <w:p w:rsidR="007F112A" w:rsidRPr="00256FA5" w:rsidP="00C45701" w14:paraId="65CD9C98" w14:textId="77777777">
      <w:pPr>
        <w:numPr>
          <w:ilvl w:val="0"/>
          <w:numId w:val="13"/>
        </w:numPr>
        <w:spacing w:after="220"/>
        <w:rPr>
          <w:rFonts w:ascii="Arial" w:hAnsi="Arial" w:cs="Arial"/>
          <w:sz w:val="22"/>
          <w:szCs w:val="22"/>
        </w:rPr>
      </w:pPr>
      <w:r w:rsidRPr="00256FA5">
        <w:rPr>
          <w:rFonts w:ascii="Arial" w:hAnsi="Arial" w:cs="Arial"/>
          <w:sz w:val="22"/>
          <w:szCs w:val="22"/>
        </w:rPr>
        <w:t>The commenter expressed concern regarding the legality of sections referenced in paragraphs (a)(2)(iii), (a)(2)(vii), and (a)(2)(viii).</w:t>
      </w:r>
    </w:p>
    <w:p w:rsidR="007F112A" w:rsidRPr="00256FA5" w:rsidP="00C45701" w14:paraId="1BFD5620" w14:textId="77777777">
      <w:pPr>
        <w:numPr>
          <w:ilvl w:val="0"/>
          <w:numId w:val="13"/>
        </w:numPr>
        <w:spacing w:after="220"/>
        <w:rPr>
          <w:rFonts w:ascii="Arial" w:hAnsi="Arial" w:cs="Arial"/>
          <w:sz w:val="22"/>
          <w:szCs w:val="22"/>
        </w:rPr>
      </w:pPr>
      <w:r w:rsidRPr="00256FA5">
        <w:rPr>
          <w:rFonts w:ascii="Arial" w:hAnsi="Arial" w:cs="Arial"/>
          <w:sz w:val="22"/>
          <w:szCs w:val="22"/>
        </w:rPr>
        <w:t>The commenter advised that there is no legal basis for requiring the NRC approval or endorsement of consensus codes and standards as well as no precedent for making PRA analysis details part of the FSAR in paragraph (a)(2)(iv).</w:t>
      </w:r>
    </w:p>
    <w:p w:rsidR="007F112A" w:rsidRPr="00256FA5" w:rsidP="00C45701" w14:paraId="60DDDA79" w14:textId="77777777">
      <w:pPr>
        <w:numPr>
          <w:ilvl w:val="0"/>
          <w:numId w:val="13"/>
        </w:numPr>
        <w:spacing w:after="220"/>
        <w:rPr>
          <w:rFonts w:ascii="Arial" w:hAnsi="Arial" w:cs="Arial"/>
          <w:sz w:val="22"/>
          <w:szCs w:val="22"/>
        </w:rPr>
      </w:pPr>
      <w:r w:rsidRPr="00256FA5">
        <w:rPr>
          <w:rFonts w:ascii="Arial" w:hAnsi="Arial" w:cs="Arial"/>
          <w:sz w:val="22"/>
          <w:szCs w:val="22"/>
        </w:rPr>
        <w:t>The commenter stated that requirements attempting to link FSAR changes to SSC changes are not logical in paragraph (a)(2)(v).</w:t>
      </w:r>
    </w:p>
    <w:p w:rsidR="007F112A" w:rsidRPr="00256FA5" w:rsidP="00C45701" w14:paraId="3A132D6C" w14:textId="77777777">
      <w:pPr>
        <w:numPr>
          <w:ilvl w:val="0"/>
          <w:numId w:val="13"/>
        </w:numPr>
        <w:spacing w:after="220"/>
        <w:rPr>
          <w:rFonts w:ascii="Arial" w:hAnsi="Arial" w:cs="Arial"/>
          <w:sz w:val="22"/>
          <w:szCs w:val="22"/>
        </w:rPr>
      </w:pPr>
      <w:r w:rsidRPr="00256FA5">
        <w:rPr>
          <w:rFonts w:ascii="Arial" w:hAnsi="Arial" w:cs="Arial"/>
          <w:sz w:val="22"/>
          <w:szCs w:val="22"/>
        </w:rPr>
        <w:t>The commenter expressed that “defense in depth” is not a quantifiable number and presents a requirement that is impossible to meet in paragraph (a)(2)(vi).</w:t>
      </w:r>
    </w:p>
    <w:p w:rsidR="007F112A" w:rsidRPr="00256FA5" w:rsidP="00C45701" w14:paraId="0CC25D6E" w14:textId="77777777">
      <w:pPr>
        <w:numPr>
          <w:ilvl w:val="0"/>
          <w:numId w:val="13"/>
        </w:numPr>
        <w:spacing w:after="220"/>
        <w:rPr>
          <w:rFonts w:ascii="Arial" w:hAnsi="Arial" w:cs="Arial"/>
          <w:sz w:val="22"/>
          <w:szCs w:val="22"/>
        </w:rPr>
      </w:pPr>
      <w:r w:rsidRPr="00256FA5">
        <w:rPr>
          <w:rFonts w:ascii="Arial" w:hAnsi="Arial" w:cs="Arial"/>
          <w:sz w:val="22"/>
          <w:szCs w:val="22"/>
        </w:rPr>
        <w:t>The commenter called the 25 percent margin “arbitrary” and that the requirement would be impossible to evaluate in paragraph (a)(2)(ix).</w:t>
      </w:r>
    </w:p>
    <w:p w:rsidR="007F112A" w:rsidRPr="00256FA5" w:rsidP="00256FA5" w14:paraId="17870C98" w14:textId="77777777">
      <w:pPr>
        <w:numPr>
          <w:ilvl w:val="0"/>
          <w:numId w:val="13"/>
        </w:numPr>
        <w:spacing w:after="220"/>
        <w:rPr>
          <w:rFonts w:ascii="Arial" w:hAnsi="Arial" w:cs="Arial"/>
          <w:sz w:val="22"/>
          <w:szCs w:val="22"/>
        </w:rPr>
      </w:pPr>
      <w:r w:rsidRPr="00256FA5">
        <w:rPr>
          <w:rFonts w:ascii="Arial" w:hAnsi="Arial" w:cs="Arial"/>
          <w:sz w:val="22"/>
          <w:szCs w:val="22"/>
        </w:rPr>
        <w:t>The commenter advised that the aircraft impact analysis is illegal in paragraph (a)(2)(x).</w:t>
      </w:r>
    </w:p>
    <w:p w:rsidR="007F112A" w:rsidRPr="00256FA5" w:rsidP="00256FA5" w14:paraId="32FAEF92" w14:textId="77777777">
      <w:pPr>
        <w:spacing w:after="220"/>
        <w:rPr>
          <w:rFonts w:ascii="Arial" w:hAnsi="Arial" w:cs="Arial"/>
          <w:sz w:val="22"/>
          <w:szCs w:val="22"/>
        </w:rPr>
      </w:pPr>
      <w:r w:rsidRPr="00256FA5">
        <w:rPr>
          <w:rFonts w:ascii="Arial" w:hAnsi="Arial" w:cs="Arial"/>
          <w:sz w:val="22"/>
          <w:szCs w:val="22"/>
        </w:rPr>
        <w:t>The commenter concluded that these proposed requirements are ill-defined and outside of reasoned decision</w:t>
      </w:r>
      <w:r w:rsidR="00923E71">
        <w:rPr>
          <w:rFonts w:ascii="Arial" w:hAnsi="Arial" w:cs="Arial"/>
          <w:sz w:val="22"/>
          <w:szCs w:val="22"/>
        </w:rPr>
        <w:t>-</w:t>
      </w:r>
      <w:r w:rsidRPr="00256FA5">
        <w:rPr>
          <w:rFonts w:ascii="Arial" w:hAnsi="Arial" w:cs="Arial"/>
          <w:sz w:val="22"/>
          <w:szCs w:val="22"/>
        </w:rPr>
        <w:t xml:space="preserve">making, as determined in </w:t>
      </w:r>
      <w:r w:rsidRPr="00256FA5">
        <w:rPr>
          <w:rFonts w:ascii="Arial" w:hAnsi="Arial" w:cs="Arial"/>
          <w:i/>
          <w:sz w:val="22"/>
          <w:szCs w:val="22"/>
        </w:rPr>
        <w:t>Michigan v. EPA</w:t>
      </w:r>
      <w:r w:rsidRPr="00256FA5">
        <w:rPr>
          <w:rFonts w:ascii="Arial" w:hAnsi="Arial" w:cs="Arial"/>
          <w:sz w:val="22"/>
          <w:szCs w:val="22"/>
        </w:rPr>
        <w:t xml:space="preserve"> (</w:t>
      </w:r>
      <w:r w:rsidRPr="00674B5E" w:rsidR="00674B5E">
        <w:rPr>
          <w:rFonts w:ascii="Arial" w:eastAsia="Times New Roman" w:hAnsi="Arial" w:cs="Arial"/>
          <w:color w:val="000000"/>
          <w:sz w:val="22"/>
          <w:szCs w:val="22"/>
        </w:rPr>
        <w:t>HPT36</w:t>
      </w:r>
      <w:r w:rsidRPr="00674B5E">
        <w:rPr>
          <w:rFonts w:ascii="Arial" w:hAnsi="Arial" w:cs="Arial"/>
          <w:sz w:val="22"/>
          <w:szCs w:val="22"/>
        </w:rPr>
        <w:t>-0002).</w:t>
      </w:r>
    </w:p>
    <w:p w:rsidR="00F3243F" w:rsidP="00256FA5" w14:paraId="5FC59166"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agrees, in part, with the comments. </w:t>
      </w:r>
    </w:p>
    <w:p w:rsidR="007F112A" w:rsidRPr="00256FA5" w:rsidP="00256FA5" w14:paraId="3967DC55"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w:t>
      </w:r>
      <w:r w:rsidR="002B54CB">
        <w:rPr>
          <w:rFonts w:ascii="Arial" w:eastAsia="DengXian" w:hAnsi="Arial" w:cs="Arial"/>
          <w:sz w:val="22"/>
          <w:szCs w:val="22"/>
          <w:lang w:eastAsia="ja-JP"/>
        </w:rPr>
        <w:t xml:space="preserve"> NRC </w:t>
      </w:r>
      <w:r w:rsidR="00EE54EA">
        <w:rPr>
          <w:rFonts w:ascii="Arial" w:eastAsia="DengXian" w:hAnsi="Arial" w:cs="Arial"/>
          <w:sz w:val="22"/>
          <w:szCs w:val="22"/>
          <w:lang w:eastAsia="ja-JP"/>
        </w:rPr>
        <w:t xml:space="preserve">agrees </w:t>
      </w:r>
      <w:r w:rsidRPr="00256FA5" w:rsidR="00EE54EA">
        <w:rPr>
          <w:rFonts w:ascii="Arial" w:eastAsia="DengXian" w:hAnsi="Arial" w:cs="Arial"/>
          <w:sz w:val="22"/>
          <w:szCs w:val="22"/>
          <w:lang w:eastAsia="ja-JP"/>
        </w:rPr>
        <w:t xml:space="preserve">with the suggestions </w:t>
      </w:r>
      <w:r w:rsidR="0027203C">
        <w:rPr>
          <w:rFonts w:ascii="Arial" w:eastAsia="DengXian" w:hAnsi="Arial" w:cs="Arial"/>
          <w:sz w:val="22"/>
          <w:szCs w:val="22"/>
          <w:lang w:eastAsia="ja-JP"/>
        </w:rPr>
        <w:t>regarding</w:t>
      </w:r>
      <w:r w:rsidRPr="00256FA5" w:rsidR="00EE54EA">
        <w:rPr>
          <w:rFonts w:ascii="Arial" w:eastAsia="DengXian" w:hAnsi="Arial" w:cs="Arial"/>
          <w:sz w:val="22"/>
          <w:szCs w:val="22"/>
          <w:lang w:eastAsia="ja-JP"/>
        </w:rPr>
        <w:t xml:space="preserve"> NEI 22-05</w:t>
      </w:r>
      <w:r w:rsidR="00EE54EA">
        <w:rPr>
          <w:rFonts w:ascii="Arial" w:eastAsia="DengXian" w:hAnsi="Arial" w:cs="Arial"/>
          <w:sz w:val="22"/>
          <w:szCs w:val="22"/>
          <w:lang w:eastAsia="ja-JP"/>
        </w:rPr>
        <w:t xml:space="preserve"> and</w:t>
      </w:r>
      <w:r w:rsidR="002B54CB">
        <w:rPr>
          <w:rFonts w:ascii="Arial" w:eastAsia="DengXian" w:hAnsi="Arial" w:cs="Arial"/>
          <w:sz w:val="22"/>
          <w:szCs w:val="22"/>
          <w:lang w:eastAsia="ja-JP"/>
        </w:rPr>
        <w:t xml:space="preserve"> revis</w:t>
      </w:r>
      <w:r w:rsidR="00E05D1F">
        <w:rPr>
          <w:rFonts w:ascii="Arial" w:eastAsia="DengXian" w:hAnsi="Arial" w:cs="Arial"/>
          <w:sz w:val="22"/>
          <w:szCs w:val="22"/>
          <w:lang w:eastAsia="ja-JP"/>
        </w:rPr>
        <w:t>ed</w:t>
      </w:r>
      <w:r w:rsidRPr="00256FA5">
        <w:rPr>
          <w:rFonts w:ascii="Arial" w:eastAsia="DengXian" w:hAnsi="Arial" w:cs="Arial"/>
          <w:sz w:val="22"/>
          <w:szCs w:val="22"/>
          <w:lang w:eastAsia="ja-JP"/>
        </w:rPr>
        <w:t xml:space="preserve"> </w:t>
      </w:r>
      <w:r w:rsidR="00A017D5">
        <w:rPr>
          <w:rFonts w:ascii="Arial" w:eastAsia="DengXian" w:hAnsi="Arial" w:cs="Arial"/>
          <w:sz w:val="22"/>
          <w:szCs w:val="22"/>
          <w:lang w:eastAsia="ja-JP"/>
        </w:rPr>
        <w:t xml:space="preserve">the </w:t>
      </w:r>
      <w:r w:rsidRPr="00256FA5">
        <w:rPr>
          <w:rFonts w:ascii="Arial" w:eastAsia="DengXian" w:hAnsi="Arial" w:cs="Arial"/>
          <w:sz w:val="22"/>
          <w:szCs w:val="22"/>
          <w:lang w:eastAsia="ja-JP"/>
        </w:rPr>
        <w:t>final rule language for the change evaluation criteria in 10</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CFR</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 xml:space="preserve">53.1550(a)(2) </w:t>
      </w:r>
      <w:r w:rsidR="002B54CB">
        <w:rPr>
          <w:rFonts w:ascii="Arial" w:eastAsia="DengXian" w:hAnsi="Arial" w:cs="Arial"/>
          <w:sz w:val="22"/>
          <w:szCs w:val="22"/>
          <w:lang w:eastAsia="ja-JP"/>
        </w:rPr>
        <w:t>to align</w:t>
      </w:r>
      <w:r w:rsidRPr="00256FA5">
        <w:rPr>
          <w:rFonts w:ascii="Arial" w:eastAsia="DengXian" w:hAnsi="Arial" w:cs="Arial"/>
          <w:sz w:val="22"/>
          <w:szCs w:val="22"/>
          <w:lang w:eastAsia="ja-JP"/>
        </w:rPr>
        <w:t xml:space="preserve"> more closely with the suggestions. The changes include replacing specific margin reductions (e.g., result in a decrease by 10 percent or more in the margin between the consequence of any design- basis accident and the safety criteria in </w:t>
      </w:r>
      <w:r w:rsidR="00ED137D">
        <w:rPr>
          <w:rFonts w:ascii="Arial" w:eastAsia="DengXian" w:hAnsi="Arial" w:cs="Arial"/>
          <w:sz w:val="22"/>
          <w:szCs w:val="22"/>
          <w:lang w:eastAsia="ja-JP"/>
        </w:rPr>
        <w:t>10</w:t>
      </w:r>
      <w:r w:rsidR="00CC1A4A">
        <w:rPr>
          <w:rFonts w:ascii="Arial" w:eastAsia="DengXian" w:hAnsi="Arial" w:cs="Arial"/>
          <w:sz w:val="22"/>
          <w:szCs w:val="22"/>
          <w:lang w:eastAsia="ja-JP"/>
        </w:rPr>
        <w:t> </w:t>
      </w:r>
      <w:r w:rsidR="00ED137D">
        <w:rPr>
          <w:rFonts w:ascii="Arial" w:eastAsia="DengXian" w:hAnsi="Arial" w:cs="Arial"/>
          <w:sz w:val="22"/>
          <w:szCs w:val="22"/>
          <w:lang w:eastAsia="ja-JP"/>
        </w:rPr>
        <w:t xml:space="preserve">CFR </w:t>
      </w:r>
      <w:r w:rsidRPr="00256FA5">
        <w:rPr>
          <w:rFonts w:ascii="Arial" w:eastAsia="DengXian" w:hAnsi="Arial" w:cs="Arial"/>
          <w:sz w:val="22"/>
          <w:szCs w:val="22"/>
          <w:lang w:eastAsia="ja-JP"/>
        </w:rPr>
        <w:t>53.210) with terminology more like that used in 10</w:t>
      </w:r>
      <w:r w:rsidR="00341694">
        <w:rPr>
          <w:rFonts w:ascii="Arial" w:eastAsia="DengXian" w:hAnsi="Arial" w:cs="Arial"/>
          <w:sz w:val="22"/>
          <w:szCs w:val="22"/>
          <w:lang w:eastAsia="ja-JP"/>
        </w:rPr>
        <w:t> </w:t>
      </w:r>
      <w:r w:rsidRPr="00256FA5">
        <w:rPr>
          <w:rFonts w:ascii="Arial" w:eastAsia="DengXian" w:hAnsi="Arial" w:cs="Arial"/>
          <w:sz w:val="22"/>
          <w:szCs w:val="22"/>
          <w:lang w:eastAsia="ja-JP"/>
        </w:rPr>
        <w:t>CFR 50.59 (e.g., “does not result in more than a minimal increase in the consequences of any design-basis accident</w:t>
      </w:r>
      <w:r w:rsidR="00A441D7">
        <w:rPr>
          <w:rFonts w:ascii="Arial" w:eastAsia="DengXian" w:hAnsi="Arial" w:cs="Arial"/>
          <w:sz w:val="22"/>
          <w:szCs w:val="22"/>
          <w:lang w:eastAsia="ja-JP"/>
        </w:rPr>
        <w:t>”</w:t>
      </w:r>
      <w:r w:rsidRPr="00256FA5">
        <w:rPr>
          <w:rFonts w:ascii="Arial" w:eastAsia="DengXian" w:hAnsi="Arial" w:cs="Arial"/>
          <w:sz w:val="22"/>
          <w:szCs w:val="22"/>
          <w:lang w:eastAsia="ja-JP"/>
        </w:rPr>
        <w:t xml:space="preserve">). The criteria in 10 CFR 53.1550(a)(2) for the final rule can be used for systematic risk evaluations used in combination with or possibly as an alternative to PRA because they maintain the same relationships between design features, analysis of </w:t>
      </w:r>
      <w:r w:rsidRPr="00256FA5">
        <w:rPr>
          <w:rFonts w:ascii="Arial" w:eastAsia="DengXian" w:hAnsi="Arial" w:cs="Arial"/>
          <w:sz w:val="22"/>
          <w:szCs w:val="22"/>
          <w:lang w:eastAsia="ja-JP"/>
        </w:rPr>
        <w:t>licensing</w:t>
      </w:r>
      <w:r w:rsidR="00505C1D">
        <w:rPr>
          <w:rFonts w:ascii="Arial" w:eastAsia="DengXian" w:hAnsi="Arial" w:cs="Arial"/>
          <w:sz w:val="22"/>
          <w:szCs w:val="22"/>
          <w:lang w:eastAsia="ja-JP"/>
        </w:rPr>
        <w:noBreakHyphen/>
      </w:r>
      <w:r w:rsidRPr="00256FA5">
        <w:rPr>
          <w:rFonts w:ascii="Arial" w:eastAsia="DengXian" w:hAnsi="Arial" w:cs="Arial"/>
          <w:sz w:val="22"/>
          <w:szCs w:val="22"/>
          <w:lang w:eastAsia="ja-JP"/>
        </w:rPr>
        <w:t xml:space="preserve">basis events, safety classification, and other elements of the framework established by 10 CFR Part 53. </w:t>
      </w:r>
      <w:r w:rsidRPr="003B0D68" w:rsidR="003B0D68">
        <w:rPr>
          <w:rFonts w:ascii="Arial" w:eastAsia="DengXian" w:hAnsi="Arial" w:cs="Arial"/>
          <w:sz w:val="22"/>
          <w:szCs w:val="22"/>
          <w:lang w:eastAsia="ja-JP"/>
        </w:rPr>
        <w:t xml:space="preserve">Criterion (v) in </w:t>
      </w:r>
      <w:r w:rsidR="00921453">
        <w:rPr>
          <w:rFonts w:ascii="Arial" w:eastAsia="DengXian" w:hAnsi="Arial" w:cs="Arial"/>
          <w:sz w:val="22"/>
          <w:szCs w:val="22"/>
          <w:lang w:eastAsia="ja-JP"/>
        </w:rPr>
        <w:t>10 CFR 53.1550</w:t>
      </w:r>
      <w:r w:rsidR="00BE77FB">
        <w:rPr>
          <w:rFonts w:ascii="Arial" w:eastAsia="DengXian" w:hAnsi="Arial" w:cs="Arial"/>
          <w:sz w:val="22"/>
          <w:szCs w:val="22"/>
          <w:lang w:eastAsia="ja-JP"/>
        </w:rPr>
        <w:t>(a)(2)</w:t>
      </w:r>
      <w:r w:rsidRPr="003B0D68" w:rsidR="003B0D68">
        <w:rPr>
          <w:rFonts w:ascii="Arial" w:eastAsia="DengXian" w:hAnsi="Arial" w:cs="Arial"/>
          <w:sz w:val="22"/>
          <w:szCs w:val="22"/>
          <w:lang w:eastAsia="ja-JP"/>
        </w:rPr>
        <w:t xml:space="preserve"> </w:t>
      </w:r>
      <w:r w:rsidR="00F77B0C">
        <w:rPr>
          <w:rFonts w:ascii="Arial" w:eastAsia="DengXian" w:hAnsi="Arial" w:cs="Arial"/>
          <w:sz w:val="22"/>
          <w:szCs w:val="22"/>
          <w:lang w:eastAsia="ja-JP"/>
        </w:rPr>
        <w:t xml:space="preserve">in the final </w:t>
      </w:r>
      <w:r w:rsidR="001D0BB5">
        <w:rPr>
          <w:rFonts w:ascii="Arial" w:eastAsia="DengXian" w:hAnsi="Arial" w:cs="Arial"/>
          <w:sz w:val="22"/>
          <w:szCs w:val="22"/>
          <w:lang w:eastAsia="ja-JP"/>
        </w:rPr>
        <w:t xml:space="preserve">rule </w:t>
      </w:r>
      <w:r w:rsidRPr="003B0D68" w:rsidR="003B0D68">
        <w:rPr>
          <w:rFonts w:ascii="Arial" w:eastAsia="DengXian" w:hAnsi="Arial" w:cs="Arial"/>
          <w:sz w:val="22"/>
          <w:szCs w:val="22"/>
          <w:lang w:eastAsia="ja-JP"/>
        </w:rPr>
        <w:t xml:space="preserve">differs from the corresponding criterion in NEI 22-05 in that it does not include changes to safety classification of SSCs from non-safety related or NSRSS to SR because plant changes introducing new SR SSCs would require a change to technical specifications under </w:t>
      </w:r>
      <w:r w:rsidR="00FF4874">
        <w:rPr>
          <w:rFonts w:ascii="Arial" w:eastAsia="DengXian" w:hAnsi="Arial" w:cs="Arial"/>
          <w:sz w:val="22"/>
          <w:szCs w:val="22"/>
          <w:lang w:eastAsia="ja-JP"/>
        </w:rPr>
        <w:t>10 CFR 53.710</w:t>
      </w:r>
      <w:r w:rsidRPr="003B0D68" w:rsidR="003B0D68">
        <w:rPr>
          <w:rFonts w:ascii="Arial" w:eastAsia="DengXian" w:hAnsi="Arial" w:cs="Arial"/>
          <w:sz w:val="22"/>
          <w:szCs w:val="22"/>
          <w:lang w:eastAsia="ja-JP"/>
        </w:rPr>
        <w:t xml:space="preserve">. </w:t>
      </w:r>
      <w:r w:rsidRPr="00256FA5">
        <w:rPr>
          <w:rFonts w:ascii="Arial" w:eastAsia="DengXian" w:hAnsi="Arial" w:cs="Arial"/>
          <w:sz w:val="22"/>
          <w:szCs w:val="22"/>
          <w:lang w:eastAsia="ja-JP"/>
        </w:rPr>
        <w:t xml:space="preserve">Accordingly, the NRC </w:t>
      </w:r>
      <w:r w:rsidR="005F521C">
        <w:rPr>
          <w:rFonts w:ascii="Arial" w:hAnsi="Arial" w:cs="Arial"/>
          <w:sz w:val="22"/>
          <w:szCs w:val="22"/>
        </w:rPr>
        <w:t>has revised</w:t>
      </w:r>
      <w:r w:rsidRPr="00256FA5">
        <w:rPr>
          <w:rFonts w:ascii="Arial" w:eastAsia="DengXian" w:hAnsi="Arial" w:cs="Arial"/>
          <w:sz w:val="22"/>
          <w:szCs w:val="22"/>
          <w:lang w:eastAsia="ja-JP"/>
        </w:rPr>
        <w:t xml:space="preserve"> the rule language in response to this comment. Specifically, </w:t>
      </w:r>
      <w:r w:rsidR="00F92D21">
        <w:rPr>
          <w:rFonts w:ascii="Arial" w:eastAsia="DengXian" w:hAnsi="Arial" w:cs="Arial"/>
          <w:sz w:val="22"/>
          <w:szCs w:val="22"/>
          <w:lang w:eastAsia="ja-JP"/>
        </w:rPr>
        <w:t xml:space="preserve">the NRC </w:t>
      </w:r>
      <w:r w:rsidR="005F521C">
        <w:rPr>
          <w:rFonts w:ascii="Arial" w:hAnsi="Arial" w:cs="Arial"/>
          <w:sz w:val="22"/>
          <w:szCs w:val="22"/>
        </w:rPr>
        <w:t>has revised</w:t>
      </w:r>
      <w:r w:rsidR="005F521C">
        <w:rPr>
          <w:rFonts w:ascii="Arial" w:eastAsia="DengXian" w:hAnsi="Arial" w:cs="Arial"/>
          <w:sz w:val="22"/>
          <w:szCs w:val="22"/>
          <w:lang w:eastAsia="ja-JP"/>
        </w:rPr>
        <w:t xml:space="preserve"> </w:t>
      </w:r>
      <w:r w:rsidRPr="00256FA5">
        <w:rPr>
          <w:rFonts w:ascii="Arial" w:eastAsia="DengXian" w:hAnsi="Arial" w:cs="Arial"/>
          <w:sz w:val="22"/>
          <w:szCs w:val="22"/>
          <w:lang w:eastAsia="ja-JP"/>
        </w:rPr>
        <w:t>the change evaluation criteria in 10</w:t>
      </w:r>
      <w:r w:rsidR="00341694">
        <w:rPr>
          <w:rFonts w:ascii="Arial" w:eastAsia="DengXian" w:hAnsi="Arial" w:cs="Arial"/>
          <w:sz w:val="22"/>
          <w:szCs w:val="22"/>
          <w:lang w:eastAsia="ja-JP"/>
        </w:rPr>
        <w:t> </w:t>
      </w:r>
      <w:r w:rsidRPr="00256FA5">
        <w:rPr>
          <w:rFonts w:ascii="Arial" w:eastAsia="DengXian" w:hAnsi="Arial" w:cs="Arial"/>
          <w:sz w:val="22"/>
          <w:szCs w:val="22"/>
          <w:lang w:eastAsia="ja-JP"/>
        </w:rPr>
        <w:t>CFR</w:t>
      </w:r>
      <w:r w:rsidR="00341694">
        <w:rPr>
          <w:rFonts w:ascii="Arial" w:eastAsia="DengXian" w:hAnsi="Arial" w:cs="Arial"/>
          <w:sz w:val="22"/>
          <w:szCs w:val="22"/>
          <w:lang w:eastAsia="ja-JP"/>
        </w:rPr>
        <w:t> </w:t>
      </w:r>
      <w:r w:rsidRPr="00256FA5">
        <w:rPr>
          <w:rFonts w:ascii="Arial" w:eastAsia="DengXian" w:hAnsi="Arial" w:cs="Arial"/>
          <w:sz w:val="22"/>
          <w:szCs w:val="22"/>
          <w:lang w:eastAsia="ja-JP"/>
        </w:rPr>
        <w:t>53.1550(a)(2)</w:t>
      </w:r>
      <w:r w:rsidR="00F92D21">
        <w:rPr>
          <w:rFonts w:ascii="Arial" w:eastAsia="DengXian" w:hAnsi="Arial" w:cs="Arial"/>
          <w:sz w:val="22"/>
          <w:szCs w:val="22"/>
          <w:lang w:eastAsia="ja-JP"/>
        </w:rPr>
        <w:t>.</w:t>
      </w:r>
      <w:r w:rsidRPr="00256FA5">
        <w:rPr>
          <w:rFonts w:ascii="Arial" w:eastAsia="DengXian" w:hAnsi="Arial" w:cs="Arial"/>
          <w:sz w:val="22"/>
          <w:szCs w:val="22"/>
          <w:lang w:eastAsia="ja-JP"/>
        </w:rPr>
        <w:t xml:space="preserve"> </w:t>
      </w:r>
    </w:p>
    <w:p w:rsidR="007F112A" w:rsidRPr="00256FA5" w:rsidP="00256FA5" w14:paraId="607C8065"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The NRC disagrees with the suggesti</w:t>
      </w:r>
      <w:r w:rsidR="00DB66DA">
        <w:rPr>
          <w:rFonts w:ascii="Arial" w:eastAsia="DengXian" w:hAnsi="Arial" w:cs="Arial"/>
          <w:sz w:val="22"/>
          <w:szCs w:val="22"/>
          <w:lang w:eastAsia="ja-JP"/>
        </w:rPr>
        <w:t>on</w:t>
      </w:r>
      <w:r w:rsidRPr="00256FA5">
        <w:rPr>
          <w:rFonts w:ascii="Arial" w:eastAsia="DengXian" w:hAnsi="Arial" w:cs="Arial"/>
          <w:sz w:val="22"/>
          <w:szCs w:val="22"/>
          <w:lang w:eastAsia="ja-JP"/>
        </w:rPr>
        <w:t xml:space="preserve"> that 10 CFR 53.1550 has no parallel in 10</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 xml:space="preserve">CFR Part 50 </w:t>
      </w:r>
      <w:r w:rsidR="00E154FC">
        <w:rPr>
          <w:rFonts w:ascii="Arial" w:eastAsia="DengXian" w:hAnsi="Arial" w:cs="Arial"/>
          <w:sz w:val="22"/>
          <w:szCs w:val="22"/>
          <w:lang w:eastAsia="ja-JP"/>
        </w:rPr>
        <w:t xml:space="preserve">and is of doubtful legality </w:t>
      </w:r>
      <w:r w:rsidRPr="00256FA5">
        <w:rPr>
          <w:rFonts w:ascii="Arial" w:eastAsia="DengXian" w:hAnsi="Arial" w:cs="Arial"/>
          <w:sz w:val="22"/>
          <w:szCs w:val="22"/>
          <w:lang w:eastAsia="ja-JP"/>
        </w:rPr>
        <w:t xml:space="preserve">because </w:t>
      </w:r>
      <w:r w:rsidR="00DB66DA">
        <w:rPr>
          <w:rFonts w:ascii="Arial" w:eastAsia="DengXian" w:hAnsi="Arial" w:cs="Arial"/>
          <w:sz w:val="22"/>
          <w:szCs w:val="22"/>
          <w:lang w:eastAsia="ja-JP"/>
        </w:rPr>
        <w:t xml:space="preserve">the NRC has modeled </w:t>
      </w:r>
      <w:r w:rsidRPr="00256FA5">
        <w:rPr>
          <w:rFonts w:ascii="Arial" w:eastAsia="DengXian" w:hAnsi="Arial" w:cs="Arial"/>
          <w:sz w:val="22"/>
          <w:szCs w:val="22"/>
          <w:lang w:eastAsia="ja-JP"/>
        </w:rPr>
        <w:t>10 CFR 53.1550 after 10</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CFR</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50.59 with the exception of the evaluation criteria that reflect the risk</w:t>
      </w:r>
      <w:r w:rsidR="005E4E3B">
        <w:rPr>
          <w:rFonts w:ascii="Arial" w:eastAsia="DengXian" w:hAnsi="Arial" w:cs="Arial"/>
          <w:sz w:val="22"/>
          <w:szCs w:val="22"/>
          <w:lang w:eastAsia="ja-JP"/>
        </w:rPr>
        <w:noBreakHyphen/>
      </w:r>
      <w:r w:rsidRPr="00256FA5">
        <w:rPr>
          <w:rFonts w:ascii="Arial" w:eastAsia="DengXian" w:hAnsi="Arial" w:cs="Arial"/>
          <w:sz w:val="22"/>
          <w:szCs w:val="22"/>
          <w:lang w:eastAsia="ja-JP"/>
        </w:rPr>
        <w:t>informed framework of 10</w:t>
      </w:r>
      <w:r w:rsidR="003E66B1">
        <w:rPr>
          <w:rFonts w:ascii="Arial" w:eastAsia="DengXian" w:hAnsi="Arial" w:cs="Arial"/>
          <w:sz w:val="22"/>
          <w:szCs w:val="22"/>
          <w:lang w:eastAsia="ja-JP"/>
        </w:rPr>
        <w:t> </w:t>
      </w:r>
      <w:r w:rsidRPr="00256FA5">
        <w:rPr>
          <w:rFonts w:ascii="Arial" w:eastAsia="DengXian" w:hAnsi="Arial" w:cs="Arial"/>
          <w:sz w:val="22"/>
          <w:szCs w:val="22"/>
          <w:lang w:eastAsia="ja-JP"/>
        </w:rPr>
        <w:t>CFR</w:t>
      </w:r>
      <w:r w:rsidR="00341694">
        <w:rPr>
          <w:rFonts w:ascii="Arial" w:eastAsia="DengXian" w:hAnsi="Arial" w:cs="Arial"/>
          <w:sz w:val="22"/>
          <w:szCs w:val="22"/>
          <w:lang w:eastAsia="ja-JP"/>
        </w:rPr>
        <w:t> </w:t>
      </w:r>
      <w:r w:rsidRPr="00256FA5">
        <w:rPr>
          <w:rFonts w:ascii="Arial" w:eastAsia="DengXian" w:hAnsi="Arial" w:cs="Arial"/>
          <w:sz w:val="22"/>
          <w:szCs w:val="22"/>
          <w:lang w:eastAsia="ja-JP"/>
        </w:rPr>
        <w:t>Part 53. For example, the evaluation criteria in 10</w:t>
      </w:r>
      <w:r w:rsidR="005E4E3B">
        <w:rPr>
          <w:rFonts w:ascii="Arial" w:eastAsia="DengXian" w:hAnsi="Arial" w:cs="Arial"/>
          <w:sz w:val="22"/>
          <w:szCs w:val="22"/>
          <w:lang w:eastAsia="ja-JP"/>
        </w:rPr>
        <w:t> </w:t>
      </w:r>
      <w:r w:rsidRPr="00256FA5">
        <w:rPr>
          <w:rFonts w:ascii="Arial" w:eastAsia="DengXian" w:hAnsi="Arial" w:cs="Arial"/>
          <w:sz w:val="22"/>
          <w:szCs w:val="22"/>
          <w:lang w:eastAsia="ja-JP"/>
        </w:rPr>
        <w:t>CFR</w:t>
      </w:r>
      <w:r w:rsidR="005E4E3B">
        <w:rPr>
          <w:rFonts w:ascii="Arial" w:eastAsia="DengXian" w:hAnsi="Arial" w:cs="Arial"/>
          <w:sz w:val="22"/>
          <w:szCs w:val="22"/>
          <w:lang w:eastAsia="ja-JP"/>
        </w:rPr>
        <w:t> </w:t>
      </w:r>
      <w:r w:rsidRPr="00256FA5">
        <w:rPr>
          <w:rFonts w:ascii="Arial" w:eastAsia="DengXian" w:hAnsi="Arial" w:cs="Arial"/>
          <w:sz w:val="22"/>
          <w:szCs w:val="22"/>
          <w:lang w:eastAsia="ja-JP"/>
        </w:rPr>
        <w:t>53.1550(a)(2) refer to evaluation criteria for each event or specific categories of LBEs under 10</w:t>
      </w:r>
      <w:r w:rsidR="00CC1A4A">
        <w:rPr>
          <w:rFonts w:ascii="Arial" w:eastAsia="DengXian" w:hAnsi="Arial" w:cs="Arial"/>
          <w:sz w:val="22"/>
          <w:szCs w:val="22"/>
          <w:lang w:eastAsia="ja-JP"/>
        </w:rPr>
        <w:t> </w:t>
      </w:r>
      <w:r w:rsidRPr="00256FA5">
        <w:rPr>
          <w:rFonts w:ascii="Arial" w:eastAsia="DengXian" w:hAnsi="Arial" w:cs="Arial"/>
          <w:sz w:val="22"/>
          <w:szCs w:val="22"/>
          <w:lang w:eastAsia="ja-JP"/>
        </w:rPr>
        <w:t>CFR</w:t>
      </w:r>
      <w:r w:rsidR="00CC1A4A">
        <w:rPr>
          <w:rFonts w:ascii="Arial" w:eastAsia="DengXian" w:hAnsi="Arial" w:cs="Arial"/>
          <w:sz w:val="22"/>
          <w:szCs w:val="22"/>
          <w:lang w:eastAsia="ja-JP"/>
        </w:rPr>
        <w:t> </w:t>
      </w:r>
      <w:r w:rsidRPr="00256FA5">
        <w:rPr>
          <w:rFonts w:ascii="Arial" w:eastAsia="DengXian" w:hAnsi="Arial" w:cs="Arial"/>
          <w:sz w:val="22"/>
          <w:szCs w:val="22"/>
          <w:lang w:eastAsia="ja-JP"/>
        </w:rPr>
        <w:t>53.450(e)(2) and sequences deemed significant for controlling the risks posed to public health and safety under 10</w:t>
      </w:r>
      <w:r w:rsidR="0071265D">
        <w:rPr>
          <w:rFonts w:ascii="Arial" w:eastAsia="DengXian" w:hAnsi="Arial" w:cs="Arial"/>
          <w:sz w:val="22"/>
          <w:szCs w:val="22"/>
          <w:lang w:eastAsia="ja-JP"/>
        </w:rPr>
        <w:t> </w:t>
      </w:r>
      <w:r w:rsidRPr="00256FA5">
        <w:rPr>
          <w:rFonts w:ascii="Arial" w:eastAsia="DengXian" w:hAnsi="Arial" w:cs="Arial"/>
          <w:sz w:val="22"/>
          <w:szCs w:val="22"/>
          <w:lang w:eastAsia="ja-JP"/>
        </w:rPr>
        <w:t>CFR</w:t>
      </w:r>
      <w:r w:rsidR="0071265D">
        <w:rPr>
          <w:rFonts w:ascii="Arial" w:eastAsia="DengXian" w:hAnsi="Arial" w:cs="Arial"/>
          <w:sz w:val="22"/>
          <w:szCs w:val="22"/>
          <w:lang w:eastAsia="ja-JP"/>
        </w:rPr>
        <w:t> </w:t>
      </w:r>
      <w:r w:rsidRPr="00256FA5">
        <w:rPr>
          <w:rFonts w:ascii="Arial" w:eastAsia="DengXian" w:hAnsi="Arial" w:cs="Arial"/>
          <w:sz w:val="22"/>
          <w:szCs w:val="22"/>
          <w:lang w:eastAsia="ja-JP"/>
        </w:rPr>
        <w:t xml:space="preserve">53.1550(e)(4). </w:t>
      </w:r>
      <w:r w:rsidR="00A9665C">
        <w:rPr>
          <w:rFonts w:ascii="Arial" w:eastAsia="DengXian" w:hAnsi="Arial" w:cs="Arial"/>
          <w:sz w:val="22"/>
          <w:szCs w:val="22"/>
          <w:lang w:eastAsia="ja-JP"/>
        </w:rPr>
        <w:t>See also the NRC’s response</w:t>
      </w:r>
      <w:r w:rsidR="00DC5716">
        <w:rPr>
          <w:rFonts w:ascii="Arial" w:eastAsia="DengXian" w:hAnsi="Arial" w:cs="Arial"/>
          <w:sz w:val="22"/>
          <w:szCs w:val="22"/>
          <w:lang w:eastAsia="ja-JP"/>
        </w:rPr>
        <w:t>s</w:t>
      </w:r>
      <w:r w:rsidR="00A9665C">
        <w:rPr>
          <w:rFonts w:ascii="Arial" w:eastAsia="DengXian" w:hAnsi="Arial" w:cs="Arial"/>
          <w:sz w:val="22"/>
          <w:szCs w:val="22"/>
          <w:lang w:eastAsia="ja-JP"/>
        </w:rPr>
        <w:t xml:space="preserve"> to Comment Bin 1.3.A</w:t>
      </w:r>
      <w:r w:rsidR="006B797A">
        <w:rPr>
          <w:rFonts w:ascii="Arial" w:eastAsia="DengXian" w:hAnsi="Arial" w:cs="Arial"/>
          <w:sz w:val="22"/>
          <w:szCs w:val="22"/>
          <w:lang w:eastAsia="ja-JP"/>
        </w:rPr>
        <w:t xml:space="preserve"> for a discussion on the </w:t>
      </w:r>
      <w:r w:rsidR="00281DF8">
        <w:rPr>
          <w:rFonts w:ascii="Arial" w:eastAsia="DengXian" w:hAnsi="Arial" w:cs="Arial"/>
          <w:sz w:val="22"/>
          <w:szCs w:val="22"/>
          <w:lang w:eastAsia="ja-JP"/>
        </w:rPr>
        <w:t>use</w:t>
      </w:r>
      <w:r w:rsidR="006B797A">
        <w:rPr>
          <w:rFonts w:ascii="Arial" w:eastAsia="DengXian" w:hAnsi="Arial" w:cs="Arial"/>
          <w:sz w:val="22"/>
          <w:szCs w:val="22"/>
          <w:lang w:eastAsia="ja-JP"/>
        </w:rPr>
        <w:t xml:space="preserve"> of guidance</w:t>
      </w:r>
      <w:r w:rsidR="00281DF8">
        <w:rPr>
          <w:rFonts w:ascii="Arial" w:eastAsia="DengXian" w:hAnsi="Arial" w:cs="Arial"/>
          <w:sz w:val="22"/>
          <w:szCs w:val="22"/>
          <w:lang w:eastAsia="ja-JP"/>
        </w:rPr>
        <w:t xml:space="preserve">, </w:t>
      </w:r>
      <w:r w:rsidR="00DC5716">
        <w:rPr>
          <w:rFonts w:ascii="Arial" w:eastAsia="DengXian" w:hAnsi="Arial" w:cs="Arial"/>
          <w:sz w:val="22"/>
          <w:szCs w:val="22"/>
          <w:lang w:eastAsia="ja-JP"/>
        </w:rPr>
        <w:t xml:space="preserve">Comment Bin 3.6.3.5.D </w:t>
      </w:r>
      <w:r w:rsidR="00C717CB">
        <w:rPr>
          <w:rFonts w:ascii="Arial" w:eastAsia="DengXian" w:hAnsi="Arial" w:cs="Arial"/>
          <w:sz w:val="22"/>
          <w:szCs w:val="22"/>
          <w:lang w:eastAsia="ja-JP"/>
        </w:rPr>
        <w:t xml:space="preserve">on the NRC’s endorsements of consensus codes and standards, </w:t>
      </w:r>
      <w:r w:rsidR="002E246E">
        <w:rPr>
          <w:rFonts w:ascii="Arial" w:eastAsia="DengXian" w:hAnsi="Arial" w:cs="Arial"/>
          <w:sz w:val="22"/>
          <w:szCs w:val="22"/>
          <w:lang w:eastAsia="ja-JP"/>
        </w:rPr>
        <w:t>Comment Bin 3.3.2.1.C</w:t>
      </w:r>
      <w:r w:rsidR="004F4D9B">
        <w:rPr>
          <w:rFonts w:ascii="Arial" w:eastAsia="DengXian" w:hAnsi="Arial" w:cs="Arial"/>
          <w:sz w:val="22"/>
          <w:szCs w:val="22"/>
          <w:lang w:eastAsia="ja-JP"/>
        </w:rPr>
        <w:t xml:space="preserve"> on aircraft impact requirements</w:t>
      </w:r>
      <w:r w:rsidR="009409C2">
        <w:rPr>
          <w:rFonts w:ascii="Arial" w:eastAsia="DengXian" w:hAnsi="Arial" w:cs="Arial"/>
          <w:sz w:val="22"/>
          <w:szCs w:val="22"/>
          <w:lang w:eastAsia="ja-JP"/>
        </w:rPr>
        <w:t>, and Comment Bin 3.2.1.2.B</w:t>
      </w:r>
      <w:r w:rsidR="003B6794">
        <w:rPr>
          <w:rFonts w:ascii="Arial" w:eastAsia="DengXian" w:hAnsi="Arial" w:cs="Arial"/>
          <w:sz w:val="22"/>
          <w:szCs w:val="22"/>
          <w:lang w:eastAsia="ja-JP"/>
        </w:rPr>
        <w:t xml:space="preserve"> for the principle established by </w:t>
      </w:r>
      <w:r w:rsidRPr="000B3DEC" w:rsidR="003B6794">
        <w:rPr>
          <w:rFonts w:ascii="Arial" w:eastAsia="DengXian" w:hAnsi="Arial" w:cs="Arial"/>
          <w:i/>
          <w:iCs/>
          <w:sz w:val="22"/>
          <w:szCs w:val="22"/>
          <w:lang w:eastAsia="ja-JP"/>
        </w:rPr>
        <w:t>Michigan v. EPA</w:t>
      </w:r>
      <w:r w:rsidR="003B6794">
        <w:rPr>
          <w:rFonts w:ascii="Arial" w:eastAsia="DengXian" w:hAnsi="Arial" w:cs="Arial"/>
          <w:sz w:val="22"/>
          <w:szCs w:val="22"/>
          <w:lang w:eastAsia="ja-JP"/>
        </w:rPr>
        <w:t xml:space="preserve">. </w:t>
      </w:r>
      <w:r w:rsidRPr="00256FA5">
        <w:rPr>
          <w:rFonts w:ascii="Arial" w:eastAsia="DengXian" w:hAnsi="Arial" w:cs="Arial"/>
          <w:sz w:val="22"/>
          <w:szCs w:val="22"/>
          <w:lang w:eastAsia="ja-JP"/>
        </w:rPr>
        <w:t>Accordingly, the NRC did not revise the rule language in response to th</w:t>
      </w:r>
      <w:r w:rsidR="00E12AD5">
        <w:rPr>
          <w:rFonts w:ascii="Arial" w:eastAsia="DengXian" w:hAnsi="Arial" w:cs="Arial"/>
          <w:sz w:val="22"/>
          <w:szCs w:val="22"/>
          <w:lang w:eastAsia="ja-JP"/>
        </w:rPr>
        <w:t>es</w:t>
      </w:r>
      <w:r w:rsidR="00C87679">
        <w:rPr>
          <w:rFonts w:ascii="Arial" w:eastAsia="DengXian" w:hAnsi="Arial" w:cs="Arial"/>
          <w:sz w:val="22"/>
          <w:szCs w:val="22"/>
          <w:lang w:eastAsia="ja-JP"/>
        </w:rPr>
        <w:t>e</w:t>
      </w:r>
      <w:r w:rsidRPr="00256FA5">
        <w:rPr>
          <w:rFonts w:ascii="Arial" w:eastAsia="DengXian" w:hAnsi="Arial" w:cs="Arial"/>
          <w:sz w:val="22"/>
          <w:szCs w:val="22"/>
          <w:lang w:eastAsia="ja-JP"/>
        </w:rPr>
        <w:t xml:space="preserve"> comment</w:t>
      </w:r>
      <w:r w:rsidR="00C87679">
        <w:rPr>
          <w:rFonts w:ascii="Arial" w:eastAsia="DengXian" w:hAnsi="Arial" w:cs="Arial"/>
          <w:sz w:val="22"/>
          <w:szCs w:val="22"/>
          <w:lang w:eastAsia="ja-JP"/>
        </w:rPr>
        <w:t>s</w:t>
      </w:r>
      <w:r w:rsidRPr="00256FA5">
        <w:rPr>
          <w:rFonts w:ascii="Arial" w:eastAsia="DengXian" w:hAnsi="Arial" w:cs="Arial"/>
          <w:sz w:val="22"/>
          <w:szCs w:val="22"/>
          <w:lang w:eastAsia="ja-JP"/>
        </w:rPr>
        <w:t>.</w:t>
      </w:r>
    </w:p>
    <w:p w:rsidR="007F112A" w:rsidRPr="00256FA5" w:rsidP="00256FA5" w14:paraId="2356828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0" style="width:0;height:1.5pt" o:hralign="center" o:hrstd="t" o:hrnoshade="t" o:hr="t" fillcolor="black" stroked="f"/>
        </w:pict>
      </w:r>
    </w:p>
    <w:p w:rsidR="007F112A" w:rsidRPr="00256FA5" w:rsidP="00256FA5" w14:paraId="48DA34BB" w14:textId="77777777">
      <w:pPr>
        <w:spacing w:after="220"/>
        <w:rPr>
          <w:rFonts w:ascii="Arial" w:hAnsi="Arial" w:cs="Arial"/>
          <w:sz w:val="22"/>
          <w:szCs w:val="22"/>
        </w:rPr>
      </w:pPr>
      <w:r w:rsidRPr="00256FA5">
        <w:rPr>
          <w:rFonts w:ascii="Arial" w:eastAsia="DengXian" w:hAnsi="Arial" w:cs="Arial"/>
          <w:b/>
          <w:sz w:val="22"/>
          <w:szCs w:val="22"/>
          <w:lang w:eastAsia="ja-JP"/>
        </w:rPr>
        <w:t>Comment Bin 3.9.1.G:</w:t>
      </w:r>
      <w:r w:rsidRPr="00256FA5">
        <w:rPr>
          <w:rFonts w:ascii="Arial" w:eastAsia="DengXian" w:hAnsi="Arial" w:cs="Arial"/>
          <w:sz w:val="22"/>
          <w:szCs w:val="22"/>
          <w:lang w:eastAsia="ja-JP"/>
        </w:rPr>
        <w:t xml:space="preserve"> </w:t>
      </w:r>
      <w:r w:rsidRPr="00256FA5">
        <w:rPr>
          <w:rFonts w:ascii="Arial" w:hAnsi="Arial" w:cs="Arial"/>
          <w:sz w:val="22"/>
          <w:szCs w:val="22"/>
        </w:rPr>
        <w:t>A commenter said that the language to add flexibility for COL holders during construction is greatly appreciated and appropriately addresses the lessons learned from Vogtle 3 and 4. The commenter also said that the rule would benefit from clarification that 10</w:t>
      </w:r>
      <w:r w:rsidR="00771ACA">
        <w:rPr>
          <w:rFonts w:ascii="Arial" w:hAnsi="Arial" w:cs="Arial"/>
          <w:sz w:val="22"/>
          <w:szCs w:val="22"/>
        </w:rPr>
        <w:t> </w:t>
      </w:r>
      <w:r w:rsidRPr="00256FA5">
        <w:rPr>
          <w:rFonts w:ascii="Arial" w:hAnsi="Arial" w:cs="Arial"/>
          <w:sz w:val="22"/>
          <w:szCs w:val="22"/>
        </w:rPr>
        <w:t>CFR 53.1535 only applies to CP holders that have requested finality on “select design features or specifications” and that this section would be not applicable to CP holders that have not requested this finality. The commenter also suggested that NRC add a discussion to the preamble for the implications of 10 CFR 50.35(b) (</w:t>
      </w:r>
      <w:r w:rsidR="009D6BB9">
        <w:rPr>
          <w:rFonts w:ascii="Arial" w:hAnsi="Arial" w:cs="Arial"/>
          <w:sz w:val="22"/>
          <w:szCs w:val="22"/>
        </w:rPr>
        <w:t>NEI2</w:t>
      </w:r>
      <w:r w:rsidRPr="00256FA5">
        <w:rPr>
          <w:rFonts w:ascii="Arial" w:hAnsi="Arial" w:cs="Arial"/>
          <w:sz w:val="22"/>
          <w:szCs w:val="22"/>
        </w:rPr>
        <w:t>-0143).</w:t>
      </w:r>
    </w:p>
    <w:p w:rsidR="0050782C" w:rsidP="00256FA5" w14:paraId="7625D2E8" w14:textId="77777777">
      <w:pPr>
        <w:spacing w:after="220"/>
        <w:rPr>
          <w:rFonts w:ascii="Arial" w:eastAsia="DengXian" w:hAnsi="Arial" w:cs="Arial"/>
          <w:sz w:val="22"/>
          <w:szCs w:val="22"/>
          <w:lang w:eastAsia="ja-JP"/>
        </w:rPr>
      </w:pPr>
      <w:r w:rsidRPr="00256FA5">
        <w:rPr>
          <w:rFonts w:ascii="Arial" w:eastAsia="DengXian" w:hAnsi="Arial" w:cs="Arial"/>
          <w:b/>
          <w:sz w:val="22"/>
          <w:szCs w:val="22"/>
          <w:lang w:eastAsia="ja-JP"/>
        </w:rPr>
        <w:t>NRC Response:</w:t>
      </w:r>
      <w:r w:rsidRPr="00256FA5">
        <w:rPr>
          <w:rFonts w:ascii="Arial" w:eastAsia="DengXian" w:hAnsi="Arial" w:cs="Arial"/>
          <w:sz w:val="22"/>
          <w:szCs w:val="22"/>
          <w:lang w:eastAsia="ja-JP"/>
        </w:rPr>
        <w:t xml:space="preserve"> The NRC agrees, in part, with th</w:t>
      </w:r>
      <w:r w:rsidR="00944177">
        <w:rPr>
          <w:rFonts w:ascii="Arial" w:eastAsia="DengXian" w:hAnsi="Arial" w:cs="Arial"/>
          <w:sz w:val="22"/>
          <w:szCs w:val="22"/>
          <w:lang w:eastAsia="ja-JP"/>
        </w:rPr>
        <w:t>e</w:t>
      </w:r>
      <w:r w:rsidRPr="00256FA5">
        <w:rPr>
          <w:rFonts w:ascii="Arial" w:eastAsia="DengXian" w:hAnsi="Arial" w:cs="Arial"/>
          <w:sz w:val="22"/>
          <w:szCs w:val="22"/>
          <w:lang w:eastAsia="ja-JP"/>
        </w:rPr>
        <w:t xml:space="preserve"> comment.</w:t>
      </w:r>
    </w:p>
    <w:p w:rsidR="00A36D90" w:rsidRPr="00256FA5" w:rsidP="00256FA5" w14:paraId="2418FA7B"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 xml:space="preserve">The NRC agrees that the provisions of 10 CFR 53.1535 appropriately address the lessons learned from Vogtle 3 and 4. The NRC disagrees that 10 CFR 53.1535 only applies to CP holders that have already requested finality of “select design features or specifications” and would be not applicable to CP holders that had not already requested this finality. The rule language in 10 CFR 53.1336 (the 10 CFR Part 53 equivalent to 10 CFR 50.35(b)) regarding finality of CPs states that an applicant, at its option, may request approval of the safety of any design feature or specification in the CP </w:t>
      </w:r>
      <w:r w:rsidRPr="00256FA5">
        <w:rPr>
          <w:rFonts w:ascii="Arial" w:eastAsia="DengXian" w:hAnsi="Arial" w:cs="Arial"/>
          <w:i/>
          <w:sz w:val="22"/>
          <w:szCs w:val="22"/>
          <w:lang w:eastAsia="ja-JP"/>
        </w:rPr>
        <w:t>or by amendment to the CP</w:t>
      </w:r>
      <w:r w:rsidRPr="00256FA5">
        <w:rPr>
          <w:rFonts w:ascii="Arial" w:eastAsia="DengXian" w:hAnsi="Arial" w:cs="Arial"/>
          <w:sz w:val="22"/>
          <w:szCs w:val="22"/>
          <w:lang w:eastAsia="ja-JP"/>
        </w:rPr>
        <w:t>. Therefore, an applicant can request such finality for the first time in an amendment to the CP under 10 CFR 53.1535.</w:t>
      </w:r>
      <w:r w:rsidR="00312B37">
        <w:rPr>
          <w:rFonts w:ascii="Arial" w:eastAsia="DengXian" w:hAnsi="Arial" w:cs="Arial"/>
          <w:sz w:val="22"/>
          <w:szCs w:val="22"/>
          <w:lang w:eastAsia="ja-JP"/>
        </w:rPr>
        <w:t xml:space="preserve"> The NRC did not include additional discussion in the </w:t>
      </w:r>
      <w:r w:rsidR="00DC4683">
        <w:rPr>
          <w:rFonts w:ascii="Arial" w:eastAsia="DengXian" w:hAnsi="Arial" w:cs="Arial"/>
          <w:sz w:val="22"/>
          <w:szCs w:val="22"/>
          <w:lang w:eastAsia="ja-JP"/>
        </w:rPr>
        <w:t xml:space="preserve">10 CFR Part 53 </w:t>
      </w:r>
      <w:r w:rsidR="00312B37">
        <w:rPr>
          <w:rFonts w:ascii="Arial" w:eastAsia="DengXian" w:hAnsi="Arial" w:cs="Arial"/>
          <w:sz w:val="22"/>
          <w:szCs w:val="22"/>
          <w:lang w:eastAsia="ja-JP"/>
        </w:rPr>
        <w:t>final rule</w:t>
      </w:r>
      <w:r w:rsidR="00EC0D15">
        <w:rPr>
          <w:rFonts w:ascii="Arial" w:eastAsia="DengXian" w:hAnsi="Arial" w:cs="Arial"/>
          <w:sz w:val="22"/>
          <w:szCs w:val="22"/>
          <w:lang w:eastAsia="ja-JP"/>
        </w:rPr>
        <w:t xml:space="preserve"> since there is no difference between the implications for CP holders under 10 CFR Part 53 and CP holders</w:t>
      </w:r>
      <w:r w:rsidR="00C46555">
        <w:rPr>
          <w:rFonts w:ascii="Arial" w:eastAsia="DengXian" w:hAnsi="Arial" w:cs="Arial"/>
          <w:sz w:val="22"/>
          <w:szCs w:val="22"/>
          <w:lang w:eastAsia="ja-JP"/>
        </w:rPr>
        <w:t xml:space="preserve"> under 10 CFR Part 50.</w:t>
      </w:r>
    </w:p>
    <w:p w:rsidR="007F112A" w:rsidP="00256FA5" w14:paraId="6D4DFF3F" w14:textId="77777777">
      <w:pPr>
        <w:spacing w:after="220"/>
        <w:rPr>
          <w:rFonts w:ascii="Arial" w:eastAsia="DengXian" w:hAnsi="Arial" w:cs="Arial"/>
          <w:sz w:val="22"/>
          <w:szCs w:val="22"/>
          <w:lang w:eastAsia="ja-JP"/>
        </w:rPr>
      </w:pPr>
      <w:r w:rsidRPr="00256FA5">
        <w:rPr>
          <w:rFonts w:ascii="Arial" w:eastAsia="DengXian" w:hAnsi="Arial" w:cs="Arial"/>
          <w:sz w:val="22"/>
          <w:szCs w:val="22"/>
          <w:lang w:eastAsia="ja-JP"/>
        </w:rPr>
        <w:t>Accordingly, the NRC did not change the rule language in response to this comment.</w:t>
      </w:r>
    </w:p>
    <w:p w:rsidR="007F112A" w:rsidRPr="00256FA5" w:rsidP="00256FA5" w14:paraId="6446076D" w14:textId="77777777">
      <w:pPr>
        <w:spacing w:after="220"/>
        <w:rPr>
          <w:rFonts w:ascii="Arial" w:eastAsia="Times New Roman" w:hAnsi="Arial" w:cs="Arial"/>
          <w:color w:val="000000"/>
          <w:sz w:val="22"/>
          <w:szCs w:val="22"/>
          <w:lang w:eastAsia="zh-CN"/>
        </w:rPr>
      </w:pPr>
      <w:r>
        <w:rPr>
          <w:rFonts w:ascii="Arial" w:eastAsia="Times New Roman" w:hAnsi="Arial" w:cs="Arial"/>
          <w:sz w:val="22"/>
          <w:szCs w:val="22"/>
          <w:lang w:eastAsia="zh-CN"/>
        </w:rPr>
        <w:pict>
          <v:rect id="_x0000_i1291" style="width:0;height:1.5pt" o:hralign="center" o:hrstd="t" o:hrnoshade="t" o:hr="t" fillcolor="black" stroked="f"/>
        </w:pict>
      </w:r>
    </w:p>
    <w:p w:rsidR="007F112A" w:rsidRPr="00256FA5" w:rsidP="00256FA5" w14:paraId="6D97BE08" w14:textId="77777777">
      <w:pPr>
        <w:spacing w:after="220"/>
        <w:rPr>
          <w:rFonts w:ascii="Arial" w:hAnsi="Arial" w:cs="Arial"/>
          <w:sz w:val="22"/>
          <w:szCs w:val="22"/>
        </w:rPr>
      </w:pPr>
      <w:r w:rsidRPr="00256FA5">
        <w:rPr>
          <w:rFonts w:ascii="Arial" w:hAnsi="Arial" w:cs="Arial"/>
          <w:b/>
          <w:sz w:val="22"/>
          <w:szCs w:val="22"/>
        </w:rPr>
        <w:t>Comment Bin 3.9.1.H:</w:t>
      </w:r>
      <w:r w:rsidRPr="00944177">
        <w:rPr>
          <w:rFonts w:ascii="Arial" w:hAnsi="Arial" w:cs="Arial"/>
          <w:sz w:val="22"/>
          <w:szCs w:val="22"/>
        </w:rPr>
        <w:t xml:space="preserve"> </w:t>
      </w:r>
      <w:r w:rsidRPr="00256FA5">
        <w:rPr>
          <w:rFonts w:ascii="Arial" w:hAnsi="Arial" w:cs="Arial"/>
          <w:sz w:val="22"/>
          <w:szCs w:val="22"/>
        </w:rPr>
        <w:t>A commenter wrote that the proposed rule does not adequately address the need for public consultation, and the application process should outline mechanisms for public feedback and transparency in decision-making related to the design certification (</w:t>
      </w:r>
      <w:r w:rsidRPr="0094577D" w:rsidR="003014D9">
        <w:rPr>
          <w:rFonts w:ascii="Arial" w:eastAsia="Times New Roman" w:hAnsi="Arial" w:cs="Arial"/>
          <w:color w:val="000000"/>
          <w:sz w:val="22"/>
          <w:szCs w:val="22"/>
        </w:rPr>
        <w:t>MR</w:t>
      </w:r>
      <w:r w:rsidRPr="00256FA5">
        <w:rPr>
          <w:rFonts w:ascii="Arial" w:hAnsi="Arial" w:cs="Arial"/>
          <w:sz w:val="22"/>
          <w:szCs w:val="22"/>
        </w:rPr>
        <w:t>-0006)</w:t>
      </w:r>
      <w:r w:rsidR="00944177">
        <w:rPr>
          <w:rFonts w:ascii="Arial" w:hAnsi="Arial" w:cs="Arial"/>
          <w:sz w:val="22"/>
          <w:szCs w:val="22"/>
        </w:rPr>
        <w:t>.</w:t>
      </w:r>
      <w:r w:rsidRPr="00256FA5">
        <w:rPr>
          <w:rFonts w:ascii="Arial" w:hAnsi="Arial" w:cs="Arial"/>
          <w:sz w:val="22"/>
          <w:szCs w:val="22"/>
        </w:rPr>
        <w:t xml:space="preserve"> Another commenter wrote that States and the public could be foreclosed from providing </w:t>
      </w:r>
      <w:r w:rsidRPr="00256FA5">
        <w:rPr>
          <w:rFonts w:ascii="Arial" w:hAnsi="Arial" w:cs="Arial"/>
          <w:sz w:val="22"/>
          <w:szCs w:val="22"/>
        </w:rPr>
        <w:t>feedback if the NRC approves a standard reactor design before a site is chosen. To address this, the commenter suggested expanding the State consultation provisions contained in 10 CFR 50.91 to apply to all applications for new reactor construction under 10 CFR Part 50, 52, or 53 (</w:t>
      </w:r>
      <w:r w:rsidR="00E36F7E">
        <w:rPr>
          <w:rFonts w:ascii="Arial" w:hAnsi="Arial" w:cs="Arial"/>
          <w:sz w:val="22"/>
          <w:szCs w:val="22"/>
        </w:rPr>
        <w:t>NYS2</w:t>
      </w:r>
      <w:r w:rsidRPr="00256FA5">
        <w:rPr>
          <w:rFonts w:ascii="Arial" w:hAnsi="Arial" w:cs="Arial"/>
          <w:sz w:val="22"/>
          <w:szCs w:val="22"/>
        </w:rPr>
        <w:t>-0008).</w:t>
      </w:r>
    </w:p>
    <w:p w:rsidR="007F112A" w:rsidRPr="00256FA5" w:rsidP="00256FA5" w14:paraId="71622626" w14:textId="77777777">
      <w:pPr>
        <w:spacing w:after="220"/>
        <w:rPr>
          <w:rFonts w:ascii="Arial" w:hAnsi="Arial" w:cs="Arial"/>
          <w:sz w:val="22"/>
          <w:szCs w:val="22"/>
        </w:rPr>
      </w:pPr>
      <w:r w:rsidRPr="00256FA5">
        <w:rPr>
          <w:rFonts w:ascii="Arial" w:hAnsi="Arial" w:cs="Arial"/>
          <w:sz w:val="22"/>
          <w:szCs w:val="22"/>
        </w:rPr>
        <w:t>Another commenter stated that the rule would be improved considerably if a provision for public consultation was included. The commenter discussed that this would increase the public’s confidence and the NRC’s accountability in the decision-making process (</w:t>
      </w:r>
      <w:r w:rsidR="00B97A0C">
        <w:rPr>
          <w:rFonts w:ascii="Arial" w:hAnsi="Arial" w:cs="Arial"/>
          <w:sz w:val="22"/>
          <w:szCs w:val="22"/>
        </w:rPr>
        <w:t>NA</w:t>
      </w:r>
      <w:r w:rsidRPr="00256FA5">
        <w:rPr>
          <w:rFonts w:ascii="Arial" w:hAnsi="Arial" w:cs="Arial"/>
          <w:sz w:val="22"/>
          <w:szCs w:val="22"/>
        </w:rPr>
        <w:t>-0003).</w:t>
      </w:r>
    </w:p>
    <w:p w:rsidR="007F112A" w:rsidRPr="00256FA5" w:rsidP="00256FA5" w14:paraId="5D5E79B6" w14:textId="77777777">
      <w:pPr>
        <w:spacing w:after="220"/>
        <w:rPr>
          <w:rFonts w:ascii="Arial" w:hAnsi="Arial" w:cs="Arial"/>
          <w:sz w:val="22"/>
          <w:szCs w:val="22"/>
        </w:rPr>
      </w:pPr>
      <w:r w:rsidRPr="00256FA5">
        <w:rPr>
          <w:rFonts w:ascii="Arial" w:hAnsi="Arial" w:cs="Arial"/>
          <w:b/>
          <w:sz w:val="22"/>
          <w:szCs w:val="22"/>
        </w:rPr>
        <w:t>NRC Response:</w:t>
      </w:r>
      <w:r w:rsidRPr="00256FA5">
        <w:rPr>
          <w:rFonts w:ascii="Arial" w:hAnsi="Arial" w:cs="Arial"/>
          <w:sz w:val="22"/>
          <w:szCs w:val="22"/>
        </w:rPr>
        <w:t> The NRC disagrees with the comments.</w:t>
      </w:r>
    </w:p>
    <w:p w:rsidR="007F112A" w:rsidRPr="00256FA5" w:rsidP="00256FA5" w14:paraId="0C702957" w14:textId="77777777">
      <w:pPr>
        <w:spacing w:after="220"/>
        <w:rPr>
          <w:rFonts w:ascii="Arial" w:hAnsi="Arial" w:cs="Arial"/>
          <w:sz w:val="22"/>
          <w:szCs w:val="22"/>
        </w:rPr>
      </w:pPr>
      <w:r w:rsidRPr="00256FA5">
        <w:rPr>
          <w:rFonts w:ascii="Arial" w:hAnsi="Arial" w:cs="Arial"/>
          <w:sz w:val="22"/>
          <w:szCs w:val="22"/>
        </w:rPr>
        <w:t>The NRC disagrees that the rule does not adequately address the need for public or State consultation. The processes for public involvement and State consultation outlined in 10 CFR Part 53, in particular 10 CFR 53.1515, are consistent with the existing processes under 10 CFR Parts 50 and 52, such as 10 CFR 50.91</w:t>
      </w:r>
      <w:r w:rsidR="005173D0">
        <w:rPr>
          <w:rFonts w:ascii="Arial" w:hAnsi="Arial" w:cs="Arial"/>
          <w:sz w:val="22"/>
          <w:szCs w:val="22"/>
        </w:rPr>
        <w:t xml:space="preserve">, which provide </w:t>
      </w:r>
      <w:r w:rsidR="00705BC0">
        <w:rPr>
          <w:rFonts w:ascii="Arial" w:hAnsi="Arial" w:cs="Arial"/>
          <w:sz w:val="22"/>
          <w:szCs w:val="22"/>
        </w:rPr>
        <w:t>sufficient</w:t>
      </w:r>
      <w:r w:rsidR="005173D0">
        <w:rPr>
          <w:rFonts w:ascii="Arial" w:hAnsi="Arial" w:cs="Arial"/>
          <w:sz w:val="22"/>
          <w:szCs w:val="22"/>
        </w:rPr>
        <w:t xml:space="preserve"> opportunities for </w:t>
      </w:r>
      <w:r w:rsidR="00705BC0">
        <w:rPr>
          <w:rFonts w:ascii="Arial" w:hAnsi="Arial" w:cs="Arial"/>
          <w:sz w:val="22"/>
          <w:szCs w:val="22"/>
        </w:rPr>
        <w:t xml:space="preserve">public </w:t>
      </w:r>
      <w:r w:rsidR="000269AB">
        <w:rPr>
          <w:rFonts w:ascii="Arial" w:hAnsi="Arial" w:cs="Arial"/>
          <w:sz w:val="22"/>
          <w:szCs w:val="22"/>
        </w:rPr>
        <w:t xml:space="preserve">and </w:t>
      </w:r>
      <w:r w:rsidR="003B16CE">
        <w:rPr>
          <w:rFonts w:ascii="Arial" w:hAnsi="Arial" w:cs="Arial"/>
          <w:sz w:val="22"/>
          <w:szCs w:val="22"/>
        </w:rPr>
        <w:t>S</w:t>
      </w:r>
      <w:r w:rsidR="000269AB">
        <w:rPr>
          <w:rFonts w:ascii="Arial" w:hAnsi="Arial" w:cs="Arial"/>
          <w:sz w:val="22"/>
          <w:szCs w:val="22"/>
        </w:rPr>
        <w:t>tate</w:t>
      </w:r>
      <w:r w:rsidR="00705BC0">
        <w:rPr>
          <w:rFonts w:ascii="Arial" w:hAnsi="Arial" w:cs="Arial"/>
          <w:sz w:val="22"/>
          <w:szCs w:val="22"/>
        </w:rPr>
        <w:t xml:space="preserve"> involvement</w:t>
      </w:r>
      <w:r w:rsidR="00E34229">
        <w:rPr>
          <w:rFonts w:ascii="Arial" w:hAnsi="Arial" w:cs="Arial"/>
          <w:sz w:val="22"/>
          <w:szCs w:val="22"/>
        </w:rPr>
        <w:t>, as envisioned in the AEA</w:t>
      </w:r>
      <w:r w:rsidRPr="00256FA5">
        <w:rPr>
          <w:rFonts w:ascii="Arial" w:hAnsi="Arial" w:cs="Arial"/>
          <w:sz w:val="22"/>
          <w:szCs w:val="22"/>
        </w:rPr>
        <w:t>.</w:t>
      </w:r>
    </w:p>
    <w:p w:rsidR="007F112A" w:rsidRPr="00256FA5" w:rsidP="00256FA5" w14:paraId="45EEA980" w14:textId="77777777">
      <w:pPr>
        <w:spacing w:after="220"/>
        <w:rPr>
          <w:rFonts w:ascii="Arial" w:hAnsi="Arial" w:cs="Arial"/>
          <w:sz w:val="22"/>
          <w:szCs w:val="22"/>
        </w:rPr>
      </w:pPr>
      <w:r w:rsidRPr="00256FA5">
        <w:rPr>
          <w:rFonts w:ascii="Arial" w:hAnsi="Arial" w:cs="Arial"/>
          <w:sz w:val="22"/>
          <w:szCs w:val="22"/>
        </w:rPr>
        <w:t>Accordingly, the NRC did not change the rule language in response to these comments.</w:t>
      </w:r>
    </w:p>
    <w:p w:rsidR="007F112A" w:rsidRPr="00256FA5" w:rsidP="00256FA5" w14:paraId="6FE9647F" w14:textId="77777777">
      <w:pPr>
        <w:spacing w:after="220"/>
        <w:rPr>
          <w:rFonts w:ascii="Arial" w:eastAsia="Times New Roman" w:hAnsi="Arial" w:cs="Arial"/>
          <w:sz w:val="22"/>
          <w:szCs w:val="22"/>
          <w:lang w:eastAsia="zh-CN"/>
        </w:rPr>
      </w:pPr>
      <w:r>
        <w:rPr>
          <w:rFonts w:ascii="Arial" w:hAnsi="Arial" w:cs="Arial"/>
          <w:sz w:val="22"/>
          <w:szCs w:val="22"/>
        </w:rPr>
        <w:pict>
          <v:rect id="_x0000_i1292" style="width:0;height:1.5pt" o:hralign="center" o:hrstd="t" o:hrnoshade="t" o:hr="t" fillcolor="black" stroked="f"/>
        </w:pict>
      </w:r>
    </w:p>
    <w:p w:rsidR="007F112A" w:rsidRPr="00DA0A3C" w:rsidP="001249BD" w14:paraId="67C14389" w14:textId="77777777">
      <w:pPr>
        <w:pStyle w:val="Heading3"/>
        <w:numPr>
          <w:ilvl w:val="0"/>
          <w:numId w:val="0"/>
        </w:numPr>
        <w:ind w:left="720" w:hanging="720"/>
      </w:pPr>
      <w:bookmarkStart w:id="109" w:name="_Toc194466473"/>
      <w:bookmarkStart w:id="110" w:name="_Toc194678434"/>
      <w:bookmarkStart w:id="111" w:name="_Toc207222841"/>
      <w:r w:rsidRPr="001249BD">
        <w:rPr>
          <w:u w:val="none"/>
        </w:rPr>
        <w:t>3.9.2.</w:t>
      </w:r>
      <w:r w:rsidRPr="001249BD">
        <w:rPr>
          <w:u w:val="none"/>
        </w:rPr>
        <w:tab/>
      </w:r>
      <w:r w:rsidRPr="00DA0A3C">
        <w:t>RFC: Placement, control, and submittal of PRA information (§ 53.1239(a)(18), § 53.1545, § 53.1560)</w:t>
      </w:r>
      <w:bookmarkEnd w:id="109"/>
      <w:bookmarkEnd w:id="110"/>
      <w:bookmarkEnd w:id="111"/>
    </w:p>
    <w:p w:rsidR="007F112A" w:rsidRPr="00B50320" w:rsidP="00B50320" w14:paraId="7C48D215" w14:textId="77777777">
      <w:pPr>
        <w:spacing w:after="220"/>
        <w:rPr>
          <w:rFonts w:ascii="Arial" w:hAnsi="Arial" w:cs="Arial"/>
          <w:sz w:val="22"/>
          <w:szCs w:val="22"/>
        </w:rPr>
      </w:pPr>
      <w:r w:rsidRPr="00B50320">
        <w:rPr>
          <w:rFonts w:ascii="Arial" w:eastAsia="DengXian" w:hAnsi="Arial" w:cs="Arial"/>
          <w:b/>
          <w:sz w:val="22"/>
          <w:szCs w:val="22"/>
          <w:lang w:eastAsia="ja-JP"/>
        </w:rPr>
        <w:t>Comment Bin 3.9.2.A:</w:t>
      </w:r>
      <w:r w:rsidRPr="00B50320">
        <w:rPr>
          <w:rFonts w:ascii="Arial" w:eastAsia="DengXian" w:hAnsi="Arial" w:cs="Arial"/>
          <w:sz w:val="22"/>
          <w:szCs w:val="22"/>
          <w:lang w:eastAsia="ja-JP"/>
        </w:rPr>
        <w:t xml:space="preserve"> </w:t>
      </w:r>
      <w:r w:rsidRPr="00B50320">
        <w:rPr>
          <w:rFonts w:ascii="Arial" w:hAnsi="Arial" w:cs="Arial"/>
          <w:sz w:val="22"/>
          <w:szCs w:val="22"/>
        </w:rPr>
        <w:t>A commenter said that 10 CFR 53.1545</w:t>
      </w:r>
      <w:r w:rsidR="00904AA2">
        <w:rPr>
          <w:rFonts w:ascii="Arial" w:hAnsi="Arial" w:cs="Arial"/>
          <w:sz w:val="22"/>
          <w:szCs w:val="22"/>
        </w:rPr>
        <w:t>[(a)]</w:t>
      </w:r>
      <w:r w:rsidRPr="00B50320">
        <w:rPr>
          <w:rFonts w:ascii="Arial" w:hAnsi="Arial" w:cs="Arial"/>
          <w:sz w:val="22"/>
          <w:szCs w:val="22"/>
        </w:rPr>
        <w:t>(4) is problematic because it references 10 CFR 53.220 which includes the cumulative risk metric in 10</w:t>
      </w:r>
      <w:r w:rsidRPr="00B50320" w:rsidR="006B53EF">
        <w:rPr>
          <w:rFonts w:ascii="Arial" w:hAnsi="Arial" w:cs="Arial"/>
          <w:sz w:val="22"/>
          <w:szCs w:val="22"/>
        </w:rPr>
        <w:t> </w:t>
      </w:r>
      <w:r w:rsidRPr="00B50320">
        <w:rPr>
          <w:rFonts w:ascii="Arial" w:hAnsi="Arial" w:cs="Arial"/>
          <w:sz w:val="22"/>
          <w:szCs w:val="22"/>
        </w:rPr>
        <w:t>CFR 53.220(b). The commenter said that there is a contradiction where 10</w:t>
      </w:r>
      <w:r w:rsidRPr="00B50320" w:rsidR="006B53EF">
        <w:rPr>
          <w:rFonts w:ascii="Arial" w:hAnsi="Arial" w:cs="Arial"/>
          <w:sz w:val="22"/>
          <w:szCs w:val="22"/>
        </w:rPr>
        <w:t> </w:t>
      </w:r>
      <w:r w:rsidRPr="00B50320">
        <w:rPr>
          <w:rFonts w:ascii="Arial" w:hAnsi="Arial" w:cs="Arial"/>
          <w:sz w:val="22"/>
          <w:szCs w:val="22"/>
        </w:rPr>
        <w:t>CFR</w:t>
      </w:r>
      <w:r w:rsidRPr="00B50320" w:rsidR="006B53EF">
        <w:rPr>
          <w:rFonts w:ascii="Arial" w:hAnsi="Arial" w:cs="Arial"/>
          <w:sz w:val="22"/>
          <w:szCs w:val="22"/>
        </w:rPr>
        <w:t> </w:t>
      </w:r>
      <w:r w:rsidRPr="00B50320">
        <w:rPr>
          <w:rFonts w:ascii="Arial" w:hAnsi="Arial" w:cs="Arial"/>
          <w:sz w:val="22"/>
          <w:szCs w:val="22"/>
        </w:rPr>
        <w:t xml:space="preserve">53.450(c) and </w:t>
      </w:r>
      <w:r w:rsidRPr="00B50320" w:rsidR="002F3948">
        <w:rPr>
          <w:rFonts w:ascii="Arial" w:hAnsi="Arial" w:cs="Arial"/>
          <w:sz w:val="22"/>
          <w:szCs w:val="22"/>
        </w:rPr>
        <w:t>10 CFR </w:t>
      </w:r>
      <w:r w:rsidRPr="00B50320">
        <w:rPr>
          <w:rFonts w:ascii="Arial" w:hAnsi="Arial" w:cs="Arial"/>
          <w:sz w:val="22"/>
          <w:szCs w:val="22"/>
        </w:rPr>
        <w:t>53.1545</w:t>
      </w:r>
      <w:r w:rsidR="00904AA2">
        <w:rPr>
          <w:rFonts w:ascii="Arial" w:hAnsi="Arial" w:cs="Arial"/>
          <w:sz w:val="22"/>
          <w:szCs w:val="22"/>
        </w:rPr>
        <w:t>[(a)]</w:t>
      </w:r>
      <w:r w:rsidRPr="00B50320">
        <w:rPr>
          <w:rFonts w:ascii="Arial" w:hAnsi="Arial" w:cs="Arial"/>
          <w:sz w:val="22"/>
          <w:szCs w:val="22"/>
        </w:rPr>
        <w:t>(3) would require a PRA update every 5 years, but to assess 10</w:t>
      </w:r>
      <w:r w:rsidR="00904AA2">
        <w:rPr>
          <w:rFonts w:ascii="Arial" w:hAnsi="Arial" w:cs="Arial"/>
          <w:sz w:val="22"/>
          <w:szCs w:val="22"/>
        </w:rPr>
        <w:t> </w:t>
      </w:r>
      <w:r w:rsidRPr="00B50320">
        <w:rPr>
          <w:rFonts w:ascii="Arial" w:hAnsi="Arial" w:cs="Arial"/>
          <w:sz w:val="22"/>
          <w:szCs w:val="22"/>
        </w:rPr>
        <w:t>CFR</w:t>
      </w:r>
      <w:r w:rsidR="00904AA2">
        <w:rPr>
          <w:rFonts w:ascii="Arial" w:hAnsi="Arial" w:cs="Arial"/>
          <w:sz w:val="22"/>
          <w:szCs w:val="22"/>
        </w:rPr>
        <w:t> </w:t>
      </w:r>
      <w:r w:rsidRPr="00B50320">
        <w:rPr>
          <w:rFonts w:ascii="Arial" w:hAnsi="Arial" w:cs="Arial"/>
          <w:sz w:val="22"/>
          <w:szCs w:val="22"/>
        </w:rPr>
        <w:t xml:space="preserve">53.220(b) in accordance with </w:t>
      </w:r>
      <w:r w:rsidRPr="00B50320" w:rsidR="002F3948">
        <w:rPr>
          <w:rFonts w:ascii="Arial" w:hAnsi="Arial" w:cs="Arial"/>
          <w:sz w:val="22"/>
          <w:szCs w:val="22"/>
        </w:rPr>
        <w:t>10 CFR </w:t>
      </w:r>
      <w:r w:rsidRPr="00B50320">
        <w:rPr>
          <w:rFonts w:ascii="Arial" w:hAnsi="Arial" w:cs="Arial"/>
          <w:sz w:val="22"/>
          <w:szCs w:val="22"/>
        </w:rPr>
        <w:t>53.1545</w:t>
      </w:r>
      <w:r w:rsidR="00904AA2">
        <w:rPr>
          <w:rFonts w:ascii="Arial" w:hAnsi="Arial" w:cs="Arial"/>
          <w:sz w:val="22"/>
          <w:szCs w:val="22"/>
        </w:rPr>
        <w:t>[(a)]</w:t>
      </w:r>
      <w:r w:rsidRPr="00B50320">
        <w:rPr>
          <w:rFonts w:ascii="Arial" w:hAnsi="Arial" w:cs="Arial"/>
          <w:sz w:val="22"/>
          <w:szCs w:val="22"/>
        </w:rPr>
        <w:t>(4), the PRA would need to be updated every 2 years. The commenter recommended that NRC remove 10</w:t>
      </w:r>
      <w:r w:rsidRPr="00B50320" w:rsidR="006B53EF">
        <w:rPr>
          <w:rFonts w:ascii="Arial" w:hAnsi="Arial" w:cs="Arial"/>
          <w:sz w:val="22"/>
          <w:szCs w:val="22"/>
        </w:rPr>
        <w:t> </w:t>
      </w:r>
      <w:r w:rsidRPr="00B50320">
        <w:rPr>
          <w:rFonts w:ascii="Arial" w:hAnsi="Arial" w:cs="Arial"/>
          <w:sz w:val="22"/>
          <w:szCs w:val="22"/>
        </w:rPr>
        <w:t>CFR</w:t>
      </w:r>
      <w:r w:rsidRPr="00B50320" w:rsidR="006B53EF">
        <w:rPr>
          <w:rFonts w:ascii="Arial" w:hAnsi="Arial" w:cs="Arial"/>
          <w:sz w:val="22"/>
          <w:szCs w:val="22"/>
        </w:rPr>
        <w:t> </w:t>
      </w:r>
      <w:r w:rsidRPr="00B50320">
        <w:rPr>
          <w:rFonts w:ascii="Arial" w:hAnsi="Arial" w:cs="Arial"/>
          <w:sz w:val="22"/>
          <w:szCs w:val="22"/>
        </w:rPr>
        <w:t>53.1545</w:t>
      </w:r>
      <w:r w:rsidR="00904AA2">
        <w:rPr>
          <w:rFonts w:ascii="Arial" w:hAnsi="Arial" w:cs="Arial"/>
          <w:sz w:val="22"/>
          <w:szCs w:val="22"/>
        </w:rPr>
        <w:t>[(a)]</w:t>
      </w:r>
      <w:r w:rsidRPr="00B50320">
        <w:rPr>
          <w:rFonts w:ascii="Arial" w:hAnsi="Arial" w:cs="Arial"/>
          <w:sz w:val="22"/>
          <w:szCs w:val="22"/>
        </w:rPr>
        <w:t>(4) because 10 CFR 53.1545</w:t>
      </w:r>
      <w:r w:rsidR="00406707">
        <w:rPr>
          <w:rFonts w:ascii="Arial" w:hAnsi="Arial" w:cs="Arial"/>
          <w:sz w:val="22"/>
          <w:szCs w:val="22"/>
        </w:rPr>
        <w:t>[(a)]</w:t>
      </w:r>
      <w:r w:rsidRPr="00B50320">
        <w:rPr>
          <w:rFonts w:ascii="Arial" w:hAnsi="Arial" w:cs="Arial"/>
          <w:sz w:val="22"/>
          <w:szCs w:val="22"/>
        </w:rPr>
        <w:t>(3) is adequate to update PRA information in the SAR and 10 CFR 53.1545</w:t>
      </w:r>
      <w:r w:rsidR="00406707">
        <w:rPr>
          <w:rFonts w:ascii="Arial" w:hAnsi="Arial" w:cs="Arial"/>
          <w:sz w:val="22"/>
          <w:szCs w:val="22"/>
        </w:rPr>
        <w:t>[(a)]</w:t>
      </w:r>
      <w:r w:rsidRPr="00B50320">
        <w:rPr>
          <w:rFonts w:ascii="Arial" w:hAnsi="Arial" w:cs="Arial"/>
          <w:sz w:val="22"/>
          <w:szCs w:val="22"/>
        </w:rPr>
        <w:t>(1) is adequate to address changes to facility and procedures (</w:t>
      </w:r>
      <w:r w:rsidR="009D6BB9">
        <w:rPr>
          <w:rFonts w:ascii="Arial" w:hAnsi="Arial" w:cs="Arial"/>
          <w:sz w:val="22"/>
          <w:szCs w:val="22"/>
        </w:rPr>
        <w:t>NEI2</w:t>
      </w:r>
      <w:r w:rsidRPr="00B50320">
        <w:rPr>
          <w:rFonts w:ascii="Arial" w:hAnsi="Arial" w:cs="Arial"/>
          <w:sz w:val="22"/>
          <w:szCs w:val="22"/>
        </w:rPr>
        <w:t>-0141). Another commenter expressed support for this comment and proposed resolution (</w:t>
      </w:r>
      <w:r w:rsidR="006912EB">
        <w:rPr>
          <w:rFonts w:ascii="Arial" w:hAnsi="Arial" w:cs="Arial"/>
          <w:sz w:val="22"/>
          <w:szCs w:val="22"/>
        </w:rPr>
        <w:t>NEX</w:t>
      </w:r>
      <w:r w:rsidRPr="00B50320">
        <w:rPr>
          <w:rFonts w:ascii="Arial" w:hAnsi="Arial" w:cs="Arial"/>
          <w:sz w:val="22"/>
          <w:szCs w:val="22"/>
        </w:rPr>
        <w:t>-0022).</w:t>
      </w:r>
    </w:p>
    <w:p w:rsidR="007F112A" w:rsidRPr="00B50320" w:rsidP="00C45701" w14:paraId="10B05E60" w14:textId="77777777">
      <w:pPr>
        <w:spacing w:after="220"/>
        <w:rPr>
          <w:rFonts w:ascii="Arial" w:hAnsi="Arial" w:cs="Arial"/>
          <w:sz w:val="22"/>
          <w:szCs w:val="22"/>
        </w:rPr>
      </w:pPr>
      <w:r w:rsidRPr="00B50320">
        <w:rPr>
          <w:rFonts w:ascii="Arial" w:hAnsi="Arial" w:cs="Arial"/>
          <w:sz w:val="22"/>
          <w:szCs w:val="22"/>
        </w:rPr>
        <w:t>A commenter said that the language in 10 CFR 53.1545 for PRA updates seem appropriate. By pointing to the 10 CFR 53.450 requirements, the commenter said that they interpret this requirement to mean that when the PRA is updated every 5 years in accordance with 10</w:t>
      </w:r>
      <w:r w:rsidR="00434998">
        <w:rPr>
          <w:rFonts w:ascii="Arial" w:hAnsi="Arial" w:cs="Arial"/>
          <w:sz w:val="22"/>
          <w:szCs w:val="22"/>
        </w:rPr>
        <w:t> </w:t>
      </w:r>
      <w:r w:rsidRPr="00B50320">
        <w:rPr>
          <w:rFonts w:ascii="Arial" w:hAnsi="Arial" w:cs="Arial"/>
          <w:sz w:val="22"/>
          <w:szCs w:val="22"/>
        </w:rPr>
        <w:t>CFR</w:t>
      </w:r>
      <w:r w:rsidR="00434998">
        <w:rPr>
          <w:rFonts w:ascii="Arial" w:hAnsi="Arial" w:cs="Arial"/>
          <w:sz w:val="22"/>
          <w:szCs w:val="22"/>
        </w:rPr>
        <w:t> </w:t>
      </w:r>
      <w:r w:rsidRPr="00B50320">
        <w:rPr>
          <w:rFonts w:ascii="Arial" w:hAnsi="Arial" w:cs="Arial"/>
          <w:sz w:val="22"/>
          <w:szCs w:val="22"/>
        </w:rPr>
        <w:t>53.450(c), that updated information needs to be incorporated into the SAR update which is required every 2 years. The commenter also said that their interpretation is that the requirement would not drive a PRA update every 2 years. The commenter also said that it would not be appropriate to have a “separate document related to the broader PRA analyses and related processes as a program document under 53.1560” as such a document would be informed by</w:t>
      </w:r>
      <w:r w:rsidR="00B7121D">
        <w:rPr>
          <w:rFonts w:ascii="Arial" w:hAnsi="Arial" w:cs="Arial"/>
          <w:sz w:val="22"/>
          <w:szCs w:val="22"/>
        </w:rPr>
        <w:t xml:space="preserve"> </w:t>
      </w:r>
      <w:r w:rsidRPr="00B50320" w:rsidR="00B7121D">
        <w:rPr>
          <w:rFonts w:ascii="Arial" w:hAnsi="Arial" w:cs="Arial"/>
          <w:sz w:val="22"/>
          <w:szCs w:val="22"/>
        </w:rPr>
        <w:t>(</w:t>
      </w:r>
      <w:r w:rsidR="009D6BB9">
        <w:rPr>
          <w:rFonts w:ascii="Arial" w:hAnsi="Arial" w:cs="Arial"/>
          <w:sz w:val="22"/>
          <w:szCs w:val="22"/>
        </w:rPr>
        <w:t>NEI2</w:t>
      </w:r>
      <w:r w:rsidRPr="00B50320" w:rsidR="00B7121D">
        <w:rPr>
          <w:rFonts w:ascii="Arial" w:hAnsi="Arial" w:cs="Arial"/>
          <w:sz w:val="22"/>
          <w:szCs w:val="22"/>
        </w:rPr>
        <w:t>-0208)</w:t>
      </w:r>
      <w:r w:rsidRPr="00B50320">
        <w:rPr>
          <w:rFonts w:ascii="Arial" w:hAnsi="Arial" w:cs="Arial"/>
          <w:sz w:val="22"/>
          <w:szCs w:val="22"/>
        </w:rPr>
        <w:t>:</w:t>
      </w:r>
    </w:p>
    <w:p w:rsidR="007F112A" w:rsidRPr="00B50320" w:rsidP="00C45701" w14:paraId="59214E55" w14:textId="77777777">
      <w:pPr>
        <w:numPr>
          <w:ilvl w:val="0"/>
          <w:numId w:val="2"/>
        </w:numPr>
        <w:spacing w:after="220"/>
        <w:rPr>
          <w:rFonts w:ascii="Arial" w:hAnsi="Arial" w:cs="Arial"/>
          <w:i/>
          <w:sz w:val="22"/>
          <w:szCs w:val="22"/>
        </w:rPr>
      </w:pPr>
      <w:r w:rsidRPr="00B50320">
        <w:rPr>
          <w:rFonts w:ascii="Arial" w:hAnsi="Arial" w:cs="Arial"/>
          <w:sz w:val="22"/>
          <w:szCs w:val="22"/>
        </w:rPr>
        <w:t>PRA changes which are adequately covered under the maintenance requirement in 10</w:t>
      </w:r>
      <w:r w:rsidR="00434998">
        <w:rPr>
          <w:rFonts w:ascii="Arial" w:hAnsi="Arial" w:cs="Arial"/>
          <w:sz w:val="22"/>
          <w:szCs w:val="22"/>
        </w:rPr>
        <w:t> </w:t>
      </w:r>
      <w:r w:rsidRPr="00B50320">
        <w:rPr>
          <w:rFonts w:ascii="Arial" w:hAnsi="Arial" w:cs="Arial"/>
          <w:sz w:val="22"/>
          <w:szCs w:val="22"/>
        </w:rPr>
        <w:t>CFR 53.450(c);</w:t>
      </w:r>
    </w:p>
    <w:p w:rsidR="007F112A" w:rsidRPr="00B50320" w:rsidP="00C45701" w14:paraId="6DC6FB54" w14:textId="77777777">
      <w:pPr>
        <w:numPr>
          <w:ilvl w:val="0"/>
          <w:numId w:val="2"/>
        </w:numPr>
        <w:spacing w:after="220"/>
        <w:rPr>
          <w:rFonts w:ascii="Arial" w:hAnsi="Arial" w:cs="Arial"/>
          <w:sz w:val="22"/>
          <w:szCs w:val="22"/>
        </w:rPr>
      </w:pPr>
      <w:r w:rsidRPr="00B50320">
        <w:rPr>
          <w:rFonts w:ascii="Arial" w:hAnsi="Arial" w:cs="Arial"/>
          <w:sz w:val="22"/>
          <w:szCs w:val="22"/>
        </w:rPr>
        <w:t xml:space="preserve">Design changes and changes to the method of evaluation that are sufficiently covered by 10 CFR 53.1550; and </w:t>
      </w:r>
    </w:p>
    <w:p w:rsidR="007F112A" w:rsidRPr="00B50320" w:rsidP="00B50320" w14:paraId="05A4A74D" w14:textId="77777777">
      <w:pPr>
        <w:numPr>
          <w:ilvl w:val="0"/>
          <w:numId w:val="2"/>
        </w:numPr>
        <w:spacing w:after="220"/>
        <w:rPr>
          <w:rFonts w:ascii="Arial" w:hAnsi="Arial" w:cs="Arial"/>
          <w:sz w:val="22"/>
          <w:szCs w:val="22"/>
        </w:rPr>
      </w:pPr>
      <w:r w:rsidRPr="00B50320">
        <w:rPr>
          <w:rFonts w:ascii="Arial" w:hAnsi="Arial" w:cs="Arial"/>
          <w:sz w:val="22"/>
          <w:szCs w:val="22"/>
        </w:rPr>
        <w:t>Changes to special treatments which may impact DID adequacy which is already covered in 10 CFR 53.1560 for updates to programs.</w:t>
      </w:r>
    </w:p>
    <w:p w:rsidR="007F112A" w:rsidRPr="00B50320" w:rsidP="00B50320" w14:paraId="18B2EA19" w14:textId="77777777">
      <w:pPr>
        <w:spacing w:after="220"/>
        <w:rPr>
          <w:rFonts w:ascii="Arial" w:eastAsia="Times New Roman" w:hAnsi="Arial" w:cs="Arial"/>
          <w:color w:val="000000"/>
          <w:sz w:val="22"/>
          <w:szCs w:val="22"/>
          <w:lang w:eastAsia="zh-CN"/>
        </w:rPr>
      </w:pPr>
      <w:r w:rsidRPr="00B50320">
        <w:rPr>
          <w:rFonts w:ascii="Arial" w:eastAsia="Times New Roman" w:hAnsi="Arial" w:cs="Arial"/>
          <w:sz w:val="22"/>
          <w:szCs w:val="22"/>
        </w:rPr>
        <w:t>Another commenter expressed support for these comments (</w:t>
      </w:r>
      <w:r w:rsidR="006912EB">
        <w:rPr>
          <w:rFonts w:ascii="Arial" w:eastAsia="Times New Roman" w:hAnsi="Arial" w:cs="Arial"/>
          <w:color w:val="000000"/>
          <w:sz w:val="22"/>
          <w:szCs w:val="22"/>
          <w:lang w:eastAsia="zh-CN"/>
        </w:rPr>
        <w:t>NEX</w:t>
      </w:r>
      <w:r w:rsidRPr="00B50320">
        <w:rPr>
          <w:rFonts w:ascii="Arial" w:eastAsia="Times New Roman" w:hAnsi="Arial" w:cs="Arial"/>
          <w:color w:val="000000"/>
          <w:sz w:val="22"/>
          <w:szCs w:val="22"/>
          <w:lang w:eastAsia="zh-CN"/>
        </w:rPr>
        <w:t>-0022).</w:t>
      </w:r>
    </w:p>
    <w:p w:rsidR="007F112A" w:rsidRPr="00B50320" w:rsidP="00B50320" w14:paraId="22CB929B"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in part, with the comments.</w:t>
      </w:r>
    </w:p>
    <w:p w:rsidR="00EB5465" w:rsidP="00B50320" w14:paraId="76C40FC2"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requirement in 10 CFR 53.450(c) is that PRAs or other systematic risk evaluations be maintained at least every 5 years. The NRC acknowledges that the </w:t>
      </w:r>
      <w:r w:rsidR="001B4772">
        <w:rPr>
          <w:rFonts w:ascii="Arial" w:eastAsia="DengXian" w:hAnsi="Arial" w:cs="Arial"/>
          <w:sz w:val="22"/>
          <w:szCs w:val="22"/>
          <w:lang w:eastAsia="ja-JP"/>
        </w:rPr>
        <w:t>PRAs or other systematic risk evaluations</w:t>
      </w:r>
      <w:r w:rsidRPr="00B50320">
        <w:rPr>
          <w:rFonts w:ascii="Arial" w:eastAsia="DengXian" w:hAnsi="Arial" w:cs="Arial"/>
          <w:sz w:val="22"/>
          <w:szCs w:val="22"/>
          <w:lang w:eastAsia="ja-JP"/>
        </w:rPr>
        <w:t xml:space="preserve"> may be updated more frequently </w:t>
      </w:r>
      <w:r w:rsidR="00E324D4">
        <w:rPr>
          <w:rFonts w:ascii="Arial" w:eastAsia="DengXian" w:hAnsi="Arial" w:cs="Arial"/>
          <w:sz w:val="22"/>
          <w:szCs w:val="22"/>
          <w:lang w:eastAsia="ja-JP"/>
        </w:rPr>
        <w:t xml:space="preserve">than every five years </w:t>
      </w:r>
      <w:r w:rsidRPr="00B50320">
        <w:rPr>
          <w:rFonts w:ascii="Arial" w:eastAsia="DengXian" w:hAnsi="Arial" w:cs="Arial"/>
          <w:sz w:val="22"/>
          <w:szCs w:val="22"/>
          <w:lang w:eastAsia="ja-JP"/>
        </w:rPr>
        <w:t xml:space="preserve">and </w:t>
      </w:r>
      <w:r w:rsidR="00E324D4">
        <w:rPr>
          <w:rFonts w:ascii="Arial" w:eastAsia="DengXian" w:hAnsi="Arial" w:cs="Arial"/>
          <w:sz w:val="22"/>
          <w:szCs w:val="22"/>
          <w:lang w:eastAsia="ja-JP"/>
        </w:rPr>
        <w:t>that</w:t>
      </w:r>
      <w:r w:rsidRPr="00B50320">
        <w:rPr>
          <w:rFonts w:ascii="Arial" w:eastAsia="DengXian" w:hAnsi="Arial" w:cs="Arial"/>
          <w:sz w:val="22"/>
          <w:szCs w:val="22"/>
          <w:lang w:eastAsia="ja-JP"/>
        </w:rPr>
        <w:t xml:space="preserve"> more frequent updates of the analyses could support the periodic updates of licensing basis documents such as the </w:t>
      </w:r>
      <w:r w:rsidR="00B83838">
        <w:rPr>
          <w:rFonts w:ascii="Arial" w:eastAsia="DengXian" w:hAnsi="Arial" w:cs="Arial"/>
          <w:sz w:val="22"/>
          <w:szCs w:val="22"/>
          <w:lang w:eastAsia="ja-JP"/>
        </w:rPr>
        <w:t>FSAR</w:t>
      </w:r>
      <w:r w:rsidRPr="00B50320">
        <w:rPr>
          <w:rFonts w:ascii="Arial" w:eastAsia="DengXian" w:hAnsi="Arial" w:cs="Arial"/>
          <w:sz w:val="22"/>
          <w:szCs w:val="22"/>
          <w:lang w:eastAsia="ja-JP"/>
        </w:rPr>
        <w:t xml:space="preserve"> every 2 years under 10</w:t>
      </w:r>
      <w:r w:rsidR="00434998">
        <w:rPr>
          <w:rFonts w:ascii="Arial" w:eastAsia="DengXian" w:hAnsi="Arial" w:cs="Arial"/>
          <w:sz w:val="22"/>
          <w:szCs w:val="22"/>
          <w:lang w:eastAsia="ja-JP"/>
        </w:rPr>
        <w:t> </w:t>
      </w:r>
      <w:r w:rsidRPr="00B50320">
        <w:rPr>
          <w:rFonts w:ascii="Arial" w:eastAsia="DengXian" w:hAnsi="Arial" w:cs="Arial"/>
          <w:sz w:val="22"/>
          <w:szCs w:val="22"/>
          <w:lang w:eastAsia="ja-JP"/>
        </w:rPr>
        <w:t>CFR</w:t>
      </w:r>
      <w:r w:rsidR="00E324D4">
        <w:rPr>
          <w:rFonts w:ascii="Arial" w:eastAsia="DengXian" w:hAnsi="Arial" w:cs="Arial"/>
          <w:sz w:val="22"/>
          <w:szCs w:val="22"/>
          <w:lang w:eastAsia="ja-JP"/>
        </w:rPr>
        <w:t> </w:t>
      </w:r>
      <w:r w:rsidRPr="00B50320">
        <w:rPr>
          <w:rFonts w:ascii="Arial" w:eastAsia="DengXian" w:hAnsi="Arial" w:cs="Arial"/>
          <w:sz w:val="22"/>
          <w:szCs w:val="22"/>
          <w:lang w:eastAsia="ja-JP"/>
        </w:rPr>
        <w:t>53.1545(a)</w:t>
      </w:r>
      <w:r w:rsidR="00E324D4">
        <w:rPr>
          <w:rFonts w:ascii="Arial" w:eastAsia="DengXian" w:hAnsi="Arial" w:cs="Arial"/>
          <w:sz w:val="22"/>
          <w:szCs w:val="22"/>
          <w:lang w:eastAsia="ja-JP"/>
        </w:rPr>
        <w:t>. However, the NRC</w:t>
      </w:r>
      <w:r w:rsidR="00797191">
        <w:rPr>
          <w:rFonts w:ascii="Arial" w:eastAsia="DengXian" w:hAnsi="Arial" w:cs="Arial"/>
          <w:sz w:val="22"/>
          <w:szCs w:val="22"/>
          <w:lang w:eastAsia="ja-JP"/>
        </w:rPr>
        <w:t xml:space="preserve"> disagrees that this </w:t>
      </w:r>
      <w:r w:rsidR="00E0603D">
        <w:rPr>
          <w:rFonts w:ascii="Arial" w:eastAsia="DengXian" w:hAnsi="Arial" w:cs="Arial"/>
          <w:sz w:val="22"/>
          <w:szCs w:val="22"/>
          <w:lang w:eastAsia="ja-JP"/>
        </w:rPr>
        <w:t xml:space="preserve">is </w:t>
      </w:r>
      <w:r w:rsidR="006745DF">
        <w:rPr>
          <w:rFonts w:ascii="Arial" w:eastAsia="DengXian" w:hAnsi="Arial" w:cs="Arial"/>
          <w:sz w:val="22"/>
          <w:szCs w:val="22"/>
          <w:lang w:eastAsia="ja-JP"/>
        </w:rPr>
        <w:t>necessarily problematic</w:t>
      </w:r>
      <w:r w:rsidRPr="00B50320">
        <w:rPr>
          <w:rFonts w:ascii="Arial" w:eastAsia="DengXian" w:hAnsi="Arial" w:cs="Arial"/>
          <w:sz w:val="22"/>
          <w:szCs w:val="22"/>
          <w:lang w:eastAsia="ja-JP"/>
        </w:rPr>
        <w:t>.</w:t>
      </w:r>
    </w:p>
    <w:p w:rsidR="007F112A" w:rsidRPr="00B50320" w:rsidP="00B50320" w14:paraId="5A9D824E" w14:textId="77777777">
      <w:pPr>
        <w:spacing w:after="220"/>
        <w:rPr>
          <w:rFonts w:ascii="Arial" w:eastAsia="DengXian" w:hAnsi="Arial" w:cs="Arial"/>
          <w:sz w:val="22"/>
          <w:szCs w:val="22"/>
          <w:lang w:eastAsia="ja-JP"/>
        </w:rPr>
      </w:pPr>
      <w:r>
        <w:rPr>
          <w:rFonts w:ascii="Arial" w:eastAsia="DengXian" w:hAnsi="Arial" w:cs="Arial"/>
          <w:sz w:val="22"/>
          <w:szCs w:val="22"/>
          <w:lang w:eastAsia="ja-JP"/>
        </w:rPr>
        <w:t>For example</w:t>
      </w:r>
      <w:r w:rsidRPr="00B50320">
        <w:rPr>
          <w:rFonts w:ascii="Arial" w:eastAsia="DengXian" w:hAnsi="Arial" w:cs="Arial"/>
          <w:sz w:val="22"/>
          <w:szCs w:val="22"/>
          <w:lang w:eastAsia="ja-JP"/>
        </w:rPr>
        <w:t xml:space="preserve">, it is possible that few changes to a commercial nuclear plant could be made in a particular 2-year period and that those changes might be evaluated more qualitatively and updates to the PRA or other systematic risk evaluations may not be needed to support the updating of the </w:t>
      </w:r>
      <w:r w:rsidR="00FF1143">
        <w:rPr>
          <w:rFonts w:ascii="Arial" w:eastAsia="DengXian" w:hAnsi="Arial" w:cs="Arial"/>
          <w:sz w:val="22"/>
          <w:szCs w:val="22"/>
          <w:lang w:eastAsia="ja-JP"/>
        </w:rPr>
        <w:t>FSAR</w:t>
      </w:r>
      <w:r w:rsidRPr="00B50320">
        <w:rPr>
          <w:rFonts w:ascii="Arial" w:eastAsia="DengXian" w:hAnsi="Arial" w:cs="Arial"/>
          <w:sz w:val="22"/>
          <w:szCs w:val="22"/>
          <w:lang w:eastAsia="ja-JP"/>
        </w:rPr>
        <w:t xml:space="preserve">, including </w:t>
      </w:r>
      <w:r w:rsidR="00050615">
        <w:rPr>
          <w:rFonts w:ascii="Arial" w:eastAsia="DengXian" w:hAnsi="Arial" w:cs="Arial"/>
          <w:sz w:val="22"/>
          <w:szCs w:val="22"/>
          <w:lang w:eastAsia="ja-JP"/>
        </w:rPr>
        <w:t xml:space="preserve">addressing </w:t>
      </w:r>
      <w:r w:rsidRPr="00B50320">
        <w:rPr>
          <w:rFonts w:ascii="Arial" w:eastAsia="DengXian" w:hAnsi="Arial" w:cs="Arial"/>
          <w:sz w:val="22"/>
          <w:szCs w:val="22"/>
          <w:lang w:eastAsia="ja-JP"/>
        </w:rPr>
        <w:t>the cumulative effects under 10 CFR 53.1545(a)(4).</w:t>
      </w:r>
      <w:r w:rsidR="00B83E6D">
        <w:rPr>
          <w:rFonts w:ascii="Arial" w:eastAsia="DengXian" w:hAnsi="Arial" w:cs="Arial"/>
          <w:sz w:val="22"/>
          <w:szCs w:val="22"/>
          <w:lang w:eastAsia="ja-JP"/>
        </w:rPr>
        <w:t xml:space="preserve"> </w:t>
      </w:r>
      <w:r w:rsidR="00514173">
        <w:rPr>
          <w:rFonts w:ascii="Arial" w:eastAsia="DengXian" w:hAnsi="Arial" w:cs="Arial"/>
          <w:sz w:val="22"/>
          <w:szCs w:val="22"/>
          <w:lang w:eastAsia="ja-JP"/>
        </w:rPr>
        <w:t xml:space="preserve">The NRC agrees with the </w:t>
      </w:r>
      <w:r w:rsidR="00180712">
        <w:rPr>
          <w:rFonts w:ascii="Arial" w:eastAsia="DengXian" w:hAnsi="Arial" w:cs="Arial"/>
          <w:sz w:val="22"/>
          <w:szCs w:val="22"/>
          <w:lang w:eastAsia="ja-JP"/>
        </w:rPr>
        <w:t>state</w:t>
      </w:r>
      <w:r w:rsidR="00FF1143">
        <w:rPr>
          <w:rFonts w:ascii="Arial" w:eastAsia="DengXian" w:hAnsi="Arial" w:cs="Arial"/>
          <w:sz w:val="22"/>
          <w:szCs w:val="22"/>
          <w:lang w:eastAsia="ja-JP"/>
        </w:rPr>
        <w:t>ment</w:t>
      </w:r>
      <w:r w:rsidR="00180712">
        <w:rPr>
          <w:rFonts w:ascii="Arial" w:eastAsia="DengXian" w:hAnsi="Arial" w:cs="Arial"/>
          <w:sz w:val="22"/>
          <w:szCs w:val="22"/>
          <w:lang w:eastAsia="ja-JP"/>
        </w:rPr>
        <w:t xml:space="preserve"> </w:t>
      </w:r>
      <w:r w:rsidR="00514173">
        <w:rPr>
          <w:rFonts w:ascii="Arial" w:eastAsia="DengXian" w:hAnsi="Arial" w:cs="Arial"/>
          <w:sz w:val="22"/>
          <w:szCs w:val="22"/>
          <w:lang w:eastAsia="ja-JP"/>
        </w:rPr>
        <w:t xml:space="preserve">that </w:t>
      </w:r>
      <w:r w:rsidR="00A253CB">
        <w:rPr>
          <w:rFonts w:ascii="Arial" w:eastAsia="DengXian" w:hAnsi="Arial" w:cs="Arial"/>
          <w:sz w:val="22"/>
          <w:szCs w:val="22"/>
          <w:lang w:eastAsia="ja-JP"/>
        </w:rPr>
        <w:t>the 2-year update</w:t>
      </w:r>
      <w:r w:rsidR="00180712">
        <w:rPr>
          <w:rFonts w:ascii="Arial" w:eastAsia="DengXian" w:hAnsi="Arial" w:cs="Arial"/>
          <w:sz w:val="22"/>
          <w:szCs w:val="22"/>
          <w:lang w:eastAsia="ja-JP"/>
        </w:rPr>
        <w:t xml:space="preserve">s to licensing basis documents do not </w:t>
      </w:r>
      <w:r w:rsidR="00F708E8">
        <w:rPr>
          <w:rFonts w:ascii="Arial" w:eastAsia="DengXian" w:hAnsi="Arial" w:cs="Arial"/>
          <w:sz w:val="22"/>
          <w:szCs w:val="22"/>
          <w:lang w:eastAsia="ja-JP"/>
        </w:rPr>
        <w:t xml:space="preserve">necessarily require a concurrent update to the </w:t>
      </w:r>
      <w:r w:rsidR="00472097">
        <w:rPr>
          <w:rFonts w:ascii="Arial" w:eastAsia="DengXian" w:hAnsi="Arial" w:cs="Arial"/>
          <w:sz w:val="22"/>
          <w:szCs w:val="22"/>
          <w:lang w:eastAsia="ja-JP"/>
        </w:rPr>
        <w:t>PRAs or other systematic risk evaluations.</w:t>
      </w:r>
    </w:p>
    <w:p w:rsidR="007F112A" w:rsidRPr="00B50320" w:rsidP="00B50320" w14:paraId="679CDBDA"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required maintenance of the PRA or other systematic risk evaluations at least every 5 years under 10 CFR 53.450(c) is included to ensure that a reasonable alignment is maintained between the analyses, plant design, and the operating experience of plant SSCs. The suggestion that there is no need for a program document for the PRA is addressed in the </w:t>
      </w:r>
      <w:r w:rsidRPr="00B7121D">
        <w:rPr>
          <w:rFonts w:ascii="Arial" w:eastAsia="DengXian" w:hAnsi="Arial" w:cs="Arial"/>
          <w:sz w:val="22"/>
          <w:szCs w:val="22"/>
          <w:lang w:eastAsia="ja-JP"/>
        </w:rPr>
        <w:t xml:space="preserve">response to </w:t>
      </w:r>
      <w:r w:rsidRPr="00B7121D" w:rsidR="00C60D81">
        <w:rPr>
          <w:rFonts w:ascii="Arial" w:eastAsia="DengXian" w:hAnsi="Arial" w:cs="Arial"/>
          <w:sz w:val="22"/>
          <w:szCs w:val="22"/>
          <w:lang w:eastAsia="ja-JP"/>
        </w:rPr>
        <w:t>C</w:t>
      </w:r>
      <w:r w:rsidRPr="00B7121D">
        <w:rPr>
          <w:rFonts w:ascii="Arial" w:eastAsia="DengXian" w:hAnsi="Arial" w:cs="Arial"/>
          <w:sz w:val="22"/>
          <w:szCs w:val="22"/>
          <w:lang w:eastAsia="ja-JP"/>
        </w:rPr>
        <w:t xml:space="preserve">omment </w:t>
      </w:r>
      <w:r w:rsidRPr="00B7121D" w:rsidR="00C60D81">
        <w:rPr>
          <w:rFonts w:ascii="Arial" w:eastAsia="DengXian" w:hAnsi="Arial" w:cs="Arial"/>
          <w:sz w:val="22"/>
          <w:szCs w:val="22"/>
          <w:lang w:eastAsia="ja-JP"/>
        </w:rPr>
        <w:t>Bin 3.9.2.D</w:t>
      </w:r>
      <w:r w:rsidRPr="00B50320">
        <w:rPr>
          <w:rFonts w:ascii="Arial" w:eastAsia="DengXian" w:hAnsi="Arial" w:cs="Arial"/>
          <w:sz w:val="22"/>
          <w:szCs w:val="22"/>
          <w:lang w:eastAsia="ja-JP"/>
        </w:rPr>
        <w:t>.</w:t>
      </w:r>
    </w:p>
    <w:p w:rsidR="007F112A" w:rsidRPr="00B50320" w:rsidP="00B50320" w14:paraId="07AB1B28"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rule language in response to these comments.</w:t>
      </w:r>
    </w:p>
    <w:p w:rsidR="007F112A" w:rsidRPr="00B50320" w:rsidP="00B50320" w14:paraId="4A3D82A8"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3" style="width:0;height:1.5pt" o:hralign="center" o:hrstd="t" o:hrnoshade="t" o:hr="t" fillcolor="black" stroked="f"/>
        </w:pict>
      </w:r>
    </w:p>
    <w:p w:rsidR="007F112A" w:rsidRPr="00B50320" w:rsidP="00B50320" w14:paraId="34CA388E"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3.9.2.B:</w:t>
      </w:r>
      <w:r w:rsidRPr="00B50320">
        <w:rPr>
          <w:rFonts w:ascii="Arial" w:eastAsia="DengXian" w:hAnsi="Arial" w:cs="Arial"/>
          <w:sz w:val="22"/>
          <w:szCs w:val="22"/>
          <w:lang w:eastAsia="ja-JP"/>
        </w:rPr>
        <w:t xml:space="preserve"> A commenter discussed that transparency and accessibility for safety evaluations, the flexibility to integrate evolving risk insights, and efficiency in information management and NRC oversight would provide a balanced framework for managing risk evaluation-related information without imposing unnecessary burdens or restricting technological innovation. The commenter stated that the placement, control, and routine submittal of risk evaluation-related information should align with an applicant’s integrated safety assessment, chosen risk evaluation methodology, and overall approach to meeting performance objectives. The commenter stated that RG 1.253 provides clear expectations on PRA-related information for applicants using the LMP, but that a similar framework for alternative methodologies without rigid requirements should be available (</w:t>
      </w:r>
      <w:r w:rsidR="00D87876">
        <w:rPr>
          <w:rFonts w:ascii="Arial" w:eastAsia="DengXian" w:hAnsi="Arial" w:cs="Arial"/>
          <w:sz w:val="22"/>
          <w:szCs w:val="22"/>
          <w:lang w:eastAsia="ja-JP"/>
        </w:rPr>
        <w:t>SCWG</w:t>
      </w:r>
      <w:r w:rsidRPr="00B50320">
        <w:rPr>
          <w:rFonts w:ascii="Arial" w:eastAsia="DengXian" w:hAnsi="Arial" w:cs="Arial"/>
          <w:sz w:val="22"/>
          <w:szCs w:val="22"/>
          <w:lang w:eastAsia="ja-JP"/>
        </w:rPr>
        <w:t>-0015).</w:t>
      </w:r>
    </w:p>
    <w:p w:rsidR="0075795F" w:rsidP="00B50320" w14:paraId="4CE86B0A"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with the comment. </w:t>
      </w:r>
    </w:p>
    <w:p w:rsidR="00AD048C" w:rsidRPr="00B50320" w:rsidP="00B50320" w14:paraId="0B5F351B"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agrees that available guidance related to the use of the </w:t>
      </w:r>
      <w:r w:rsidR="00D51314">
        <w:rPr>
          <w:rFonts w:ascii="Arial" w:eastAsia="DengXian" w:hAnsi="Arial" w:cs="Arial"/>
          <w:sz w:val="22"/>
          <w:szCs w:val="22"/>
          <w:lang w:eastAsia="ja-JP"/>
        </w:rPr>
        <w:t>LMP</w:t>
      </w:r>
      <w:r w:rsidRPr="00B50320">
        <w:rPr>
          <w:rFonts w:ascii="Arial" w:eastAsia="DengXian" w:hAnsi="Arial" w:cs="Arial"/>
          <w:sz w:val="22"/>
          <w:szCs w:val="22"/>
          <w:lang w:eastAsia="ja-JP"/>
        </w:rPr>
        <w:t xml:space="preserve"> methodology is largely adaptable for 10 CFR Part 53 and as explained in the proposed and final rules, the NRC plans to provide guidance for the use of that methodology under 10</w:t>
      </w:r>
      <w:r w:rsidR="00191A20">
        <w:rPr>
          <w:rFonts w:ascii="Arial" w:eastAsia="DengXian" w:hAnsi="Arial" w:cs="Arial"/>
          <w:sz w:val="22"/>
          <w:szCs w:val="22"/>
          <w:lang w:eastAsia="ja-JP"/>
        </w:rPr>
        <w:t> </w:t>
      </w:r>
      <w:r w:rsidRPr="00B50320">
        <w:rPr>
          <w:rFonts w:ascii="Arial" w:eastAsia="DengXian" w:hAnsi="Arial" w:cs="Arial"/>
          <w:sz w:val="22"/>
          <w:szCs w:val="22"/>
          <w:lang w:eastAsia="ja-JP"/>
        </w:rPr>
        <w:t>CFR Part 53. As explained in the final rule, the NRC also plans to issue guidance on items added to the final rule such as the use of other systematic risk evaluations to supplement PRAs or possibly as an alternative to PRAs.</w:t>
      </w:r>
    </w:p>
    <w:p w:rsidR="007F112A" w:rsidRPr="00B50320" w:rsidP="00B50320" w14:paraId="5E84F172"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rule language in response to this comment.</w:t>
      </w:r>
    </w:p>
    <w:p w:rsidR="007F112A" w:rsidRPr="00B50320" w:rsidP="00B50320" w14:paraId="2D2F9BCD"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4" style="width:0;height:1.5pt" o:hralign="center" o:hrstd="t" o:hrnoshade="t" o:hr="t" fillcolor="black" stroked="f"/>
        </w:pict>
      </w:r>
    </w:p>
    <w:p w:rsidR="007F112A" w:rsidRPr="00B50320" w:rsidP="00B50320" w14:paraId="1678C4D7"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3.9.2.C:</w:t>
      </w:r>
      <w:r w:rsidRPr="00B50320">
        <w:rPr>
          <w:rFonts w:ascii="Arial" w:eastAsia="DengXian" w:hAnsi="Arial" w:cs="Arial"/>
          <w:sz w:val="22"/>
          <w:szCs w:val="22"/>
          <w:lang w:eastAsia="ja-JP"/>
        </w:rPr>
        <w:t xml:space="preserve"> A commenter stated that a systematic evaluation of risk is prudent and necessary to achieve the policy objectives of NEIMA and directions in the ADVANCE Act and from the Commission, but that the proposed rule unnecessarily limits risk evaluation options by dictating that applicants use PRA. The commenter discussed that mandating the use of PRA may preclude alternative, equally robust methods better suited to specific designs or scenarios and would limit the transferability from existing frameworks to 10 CFR Part 53. The commenter recommended that the</w:t>
      </w:r>
      <w:r w:rsidR="0019235A">
        <w:rPr>
          <w:rFonts w:ascii="Arial" w:eastAsia="DengXian" w:hAnsi="Arial" w:cs="Arial"/>
          <w:sz w:val="22"/>
          <w:szCs w:val="22"/>
          <w:lang w:eastAsia="ja-JP"/>
        </w:rPr>
        <w:t xml:space="preserve"> final</w:t>
      </w:r>
      <w:r w:rsidRPr="00B50320">
        <w:rPr>
          <w:rFonts w:ascii="Arial" w:eastAsia="DengXian" w:hAnsi="Arial" w:cs="Arial"/>
          <w:sz w:val="22"/>
          <w:szCs w:val="22"/>
          <w:lang w:eastAsia="ja-JP"/>
        </w:rPr>
        <w:t xml:space="preserve"> rule allow applicants to use alternative methods to achieve equivalent safety outcomes.</w:t>
      </w:r>
    </w:p>
    <w:p w:rsidR="007F112A" w:rsidRPr="00B50320" w:rsidP="00B50320" w14:paraId="32243CE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commenter further expressed that the language in proposed 10 CFR 53.450(b) is overly prescriptive, and that proposed 10 CFR 53.450(e) raises concerns regarding overreliance on PRA and unnecessary regulatory burdens. The commenter stated that the goal for 10</w:t>
      </w:r>
      <w:r w:rsidR="00C34642">
        <w:rPr>
          <w:rFonts w:ascii="Arial" w:eastAsia="DengXian" w:hAnsi="Arial" w:cs="Arial"/>
          <w:sz w:val="22"/>
          <w:szCs w:val="22"/>
          <w:lang w:eastAsia="ja-JP"/>
        </w:rPr>
        <w:t> </w:t>
      </w:r>
      <w:r w:rsidRPr="00B50320">
        <w:rPr>
          <w:rFonts w:ascii="Arial" w:eastAsia="DengXian" w:hAnsi="Arial" w:cs="Arial"/>
          <w:sz w:val="22"/>
          <w:szCs w:val="22"/>
          <w:lang w:eastAsia="ja-JP"/>
        </w:rPr>
        <w:t>CFR</w:t>
      </w:r>
      <w:r w:rsidR="00C34642">
        <w:rPr>
          <w:rFonts w:ascii="Arial" w:eastAsia="DengXian" w:hAnsi="Arial" w:cs="Arial"/>
          <w:sz w:val="22"/>
          <w:szCs w:val="22"/>
          <w:lang w:eastAsia="ja-JP"/>
        </w:rPr>
        <w:t> </w:t>
      </w:r>
      <w:r w:rsidRPr="00B50320">
        <w:rPr>
          <w:rFonts w:ascii="Arial" w:eastAsia="DengXian" w:hAnsi="Arial" w:cs="Arial"/>
          <w:sz w:val="22"/>
          <w:szCs w:val="22"/>
          <w:lang w:eastAsia="ja-JP"/>
        </w:rPr>
        <w:t>Part</w:t>
      </w:r>
      <w:r w:rsidR="00C34642">
        <w:rPr>
          <w:rFonts w:ascii="Arial" w:eastAsia="DengXian" w:hAnsi="Arial" w:cs="Arial"/>
          <w:sz w:val="22"/>
          <w:szCs w:val="22"/>
          <w:lang w:eastAsia="ja-JP"/>
        </w:rPr>
        <w:t> </w:t>
      </w:r>
      <w:r w:rsidRPr="00B50320">
        <w:rPr>
          <w:rFonts w:ascii="Arial" w:eastAsia="DengXian" w:hAnsi="Arial" w:cs="Arial"/>
          <w:sz w:val="22"/>
          <w:szCs w:val="22"/>
          <w:lang w:eastAsia="ja-JP"/>
        </w:rPr>
        <w:t>53 should be to provide sufficient predictability without limiting developers to a rigid framework. The commenter provided the example that Kairos Power Hermes and Hermes</w:t>
      </w:r>
      <w:r w:rsidR="00C34642">
        <w:rPr>
          <w:rFonts w:ascii="Arial" w:eastAsia="DengXian" w:hAnsi="Arial" w:cs="Arial"/>
          <w:sz w:val="22"/>
          <w:szCs w:val="22"/>
          <w:lang w:eastAsia="ja-JP"/>
        </w:rPr>
        <w:t> </w:t>
      </w:r>
      <w:r w:rsidRPr="00B50320">
        <w:rPr>
          <w:rFonts w:ascii="Arial" w:eastAsia="DengXian" w:hAnsi="Arial" w:cs="Arial"/>
          <w:sz w:val="22"/>
          <w:szCs w:val="22"/>
          <w:lang w:eastAsia="ja-JP"/>
        </w:rPr>
        <w:t xml:space="preserve">2 used an alternative risk evaluation approach in its CP applications approved and issued by the NRC. The commenter concluded that the NRC should focus on defining clear performance outcomes and allow applicants to choose the most appropriate risk evaluation approach </w:t>
      </w:r>
      <w:r w:rsidR="002217AB">
        <w:rPr>
          <w:rFonts w:ascii="Arial" w:eastAsia="DengXian" w:hAnsi="Arial" w:cs="Arial"/>
          <w:sz w:val="22"/>
          <w:szCs w:val="22"/>
          <w:lang w:eastAsia="ja-JP"/>
        </w:rPr>
        <w:br/>
      </w:r>
      <w:r w:rsidRPr="00B50320">
        <w:rPr>
          <w:rFonts w:ascii="Arial" w:eastAsia="DengXian" w:hAnsi="Arial" w:cs="Arial"/>
          <w:sz w:val="22"/>
          <w:szCs w:val="22"/>
          <w:lang w:eastAsia="ja-JP"/>
        </w:rPr>
        <w:t>(</w:t>
      </w:r>
      <w:r w:rsidR="004C1A5D">
        <w:rPr>
          <w:rFonts w:ascii="Arial" w:eastAsia="DengXian" w:hAnsi="Arial" w:cs="Arial"/>
          <w:sz w:val="22"/>
          <w:szCs w:val="22"/>
          <w:lang w:eastAsia="ja-JP"/>
        </w:rPr>
        <w:t>BI1</w:t>
      </w:r>
      <w:r w:rsidRPr="00B50320">
        <w:rPr>
          <w:rFonts w:ascii="Arial" w:eastAsia="DengXian" w:hAnsi="Arial" w:cs="Arial"/>
          <w:sz w:val="22"/>
          <w:szCs w:val="22"/>
          <w:lang w:eastAsia="ja-JP"/>
        </w:rPr>
        <w:t>-0007).</w:t>
      </w:r>
    </w:p>
    <w:p w:rsidR="0012277A" w:rsidRPr="00B50320" w:rsidP="00B50320" w14:paraId="3340563C"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in part, with the comment.</w:t>
      </w:r>
    </w:p>
    <w:p w:rsidR="000D0F62" w:rsidRPr="00B50320" w:rsidP="00B50320" w14:paraId="4639151D"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response to </w:t>
      </w:r>
      <w:r w:rsidRPr="00B50320" w:rsidR="002C05B3">
        <w:rPr>
          <w:rFonts w:ascii="Arial" w:eastAsia="DengXian" w:hAnsi="Arial" w:cs="Arial"/>
          <w:sz w:val="22"/>
          <w:szCs w:val="22"/>
          <w:lang w:eastAsia="ja-JP"/>
        </w:rPr>
        <w:t>C</w:t>
      </w:r>
      <w:r w:rsidRPr="00B50320">
        <w:rPr>
          <w:rFonts w:ascii="Arial" w:eastAsia="DengXian" w:hAnsi="Arial" w:cs="Arial"/>
          <w:sz w:val="22"/>
          <w:szCs w:val="22"/>
          <w:lang w:eastAsia="ja-JP"/>
        </w:rPr>
        <w:t xml:space="preserve">omment </w:t>
      </w:r>
      <w:r w:rsidRPr="00B50320" w:rsidR="002C05B3">
        <w:rPr>
          <w:rFonts w:ascii="Arial" w:eastAsia="DengXian" w:hAnsi="Arial" w:cs="Arial"/>
          <w:sz w:val="22"/>
          <w:szCs w:val="22"/>
          <w:lang w:eastAsia="ja-JP"/>
        </w:rPr>
        <w:t>B</w:t>
      </w:r>
      <w:r w:rsidRPr="00B50320">
        <w:rPr>
          <w:rFonts w:ascii="Arial" w:eastAsia="DengXian" w:hAnsi="Arial" w:cs="Arial"/>
          <w:sz w:val="22"/>
          <w:szCs w:val="22"/>
          <w:lang w:eastAsia="ja-JP"/>
        </w:rPr>
        <w:t>in 3.3.2</w:t>
      </w:r>
      <w:r w:rsidRPr="00B50320" w:rsidR="002C05B3">
        <w:rPr>
          <w:rFonts w:ascii="Arial" w:eastAsia="DengXian" w:hAnsi="Arial" w:cs="Arial"/>
          <w:sz w:val="22"/>
          <w:szCs w:val="22"/>
          <w:lang w:eastAsia="ja-JP"/>
        </w:rPr>
        <w:t>.2.E</w:t>
      </w:r>
      <w:r w:rsidRPr="00B50320">
        <w:rPr>
          <w:rFonts w:ascii="Arial" w:eastAsia="DengXian" w:hAnsi="Arial" w:cs="Arial"/>
          <w:sz w:val="22"/>
          <w:szCs w:val="22"/>
          <w:lang w:eastAsia="ja-JP"/>
        </w:rPr>
        <w:t xml:space="preserve"> describes the addition of “other systematic risk evaluations” to 10 CFR 53.450</w:t>
      </w:r>
      <w:r w:rsidRPr="00B50320" w:rsidR="00512100">
        <w:rPr>
          <w:rFonts w:ascii="Arial" w:eastAsia="DengXian" w:hAnsi="Arial" w:cs="Arial"/>
          <w:sz w:val="22"/>
          <w:szCs w:val="22"/>
          <w:lang w:eastAsia="ja-JP"/>
        </w:rPr>
        <w:t>(a)</w:t>
      </w:r>
      <w:r w:rsidRPr="00B50320">
        <w:rPr>
          <w:rFonts w:ascii="Arial" w:hAnsi="Arial" w:cs="Arial"/>
          <w:sz w:val="22"/>
          <w:szCs w:val="22"/>
        </w:rPr>
        <w:t xml:space="preserve"> </w:t>
      </w:r>
      <w:r w:rsidRPr="00B50320">
        <w:rPr>
          <w:rFonts w:ascii="Arial" w:eastAsia="DengXian" w:hAnsi="Arial" w:cs="Arial"/>
          <w:sz w:val="22"/>
          <w:szCs w:val="22"/>
          <w:lang w:eastAsia="ja-JP"/>
        </w:rPr>
        <w:t xml:space="preserve">to </w:t>
      </w:r>
      <w:r w:rsidRPr="00B50320" w:rsidR="002475CB">
        <w:rPr>
          <w:rFonts w:ascii="Arial" w:eastAsia="DengXian" w:hAnsi="Arial" w:cs="Arial"/>
          <w:sz w:val="22"/>
          <w:szCs w:val="22"/>
          <w:lang w:eastAsia="ja-JP"/>
        </w:rPr>
        <w:t xml:space="preserve">include </w:t>
      </w:r>
      <w:r w:rsidRPr="00B50320">
        <w:rPr>
          <w:rFonts w:ascii="Arial" w:eastAsia="DengXian" w:hAnsi="Arial" w:cs="Arial"/>
          <w:sz w:val="22"/>
          <w:szCs w:val="22"/>
          <w:lang w:eastAsia="ja-JP"/>
        </w:rPr>
        <w:t xml:space="preserve">other risk evaluation techniques </w:t>
      </w:r>
      <w:r w:rsidRPr="00B50320" w:rsidR="002475CB">
        <w:rPr>
          <w:rFonts w:ascii="Arial" w:eastAsia="DengXian" w:hAnsi="Arial" w:cs="Arial"/>
          <w:sz w:val="22"/>
          <w:szCs w:val="22"/>
          <w:lang w:eastAsia="ja-JP"/>
        </w:rPr>
        <w:t>which could</w:t>
      </w:r>
      <w:r w:rsidRPr="00B50320">
        <w:rPr>
          <w:rFonts w:ascii="Arial" w:eastAsia="DengXian" w:hAnsi="Arial" w:cs="Arial"/>
          <w:sz w:val="22"/>
          <w:szCs w:val="22"/>
          <w:lang w:eastAsia="ja-JP"/>
        </w:rPr>
        <w:t xml:space="preserve"> be used to supplement a PRA or possibly be used as an alternative to a PRA. The NRC disagrees insofar as the risk evaluations need to be integrated with requirements governing other stages of the lifecycle for commercial nuclear plants and therefore risk evaluations cannot rely solely on maximum hypothetical accident type approaches. An additional use of PRAs or other </w:t>
      </w:r>
      <w:r w:rsidR="009640D6">
        <w:rPr>
          <w:rFonts w:ascii="Arial" w:eastAsia="DengXian" w:hAnsi="Arial" w:cs="Arial"/>
          <w:sz w:val="22"/>
          <w:szCs w:val="22"/>
          <w:lang w:eastAsia="ja-JP"/>
        </w:rPr>
        <w:t>SREs</w:t>
      </w:r>
      <w:r w:rsidRPr="00B50320">
        <w:rPr>
          <w:rFonts w:ascii="Arial" w:eastAsia="DengXian" w:hAnsi="Arial" w:cs="Arial"/>
          <w:sz w:val="22"/>
          <w:szCs w:val="22"/>
          <w:lang w:eastAsia="ja-JP"/>
        </w:rPr>
        <w:t xml:space="preserve"> was added as 10 CFR 53.450(a)(6) to address the need to establish and update appropriate measures for plant operations, including availability controls, to ensure that the configurations and special treatments for SR SSCs and NSRSS SSCs provide the capabilities, availability, and reliability consistent with meeting the safety criteria under 10 CFR 53.220 and the analyses of licensing</w:t>
      </w:r>
      <w:r w:rsidR="00505C1D">
        <w:rPr>
          <w:rFonts w:ascii="Arial" w:eastAsia="DengXian" w:hAnsi="Arial" w:cs="Arial"/>
          <w:sz w:val="22"/>
          <w:szCs w:val="22"/>
          <w:lang w:eastAsia="ja-JP"/>
        </w:rPr>
        <w:noBreakHyphen/>
      </w:r>
      <w:r w:rsidRPr="00B50320">
        <w:rPr>
          <w:rFonts w:ascii="Arial" w:eastAsia="DengXian" w:hAnsi="Arial" w:cs="Arial"/>
          <w:sz w:val="22"/>
          <w:szCs w:val="22"/>
          <w:lang w:eastAsia="ja-JP"/>
        </w:rPr>
        <w:t>basis events other than DBAs under 10 CFR 53.450(e).</w:t>
      </w:r>
    </w:p>
    <w:p w:rsidR="007F112A" w:rsidRPr="00B50320" w:rsidP="00B50320" w14:paraId="16EBC0CB"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 xml:space="preserve">Accordingly, the NRC </w:t>
      </w:r>
      <w:r w:rsidR="00F92AFE">
        <w:rPr>
          <w:rFonts w:ascii="Arial" w:eastAsia="DengXian" w:hAnsi="Arial" w:cs="Arial"/>
          <w:sz w:val="22"/>
          <w:szCs w:val="22"/>
          <w:lang w:eastAsia="ja-JP"/>
        </w:rPr>
        <w:t xml:space="preserve">did not </w:t>
      </w:r>
      <w:r w:rsidR="00CE4C80">
        <w:rPr>
          <w:rFonts w:ascii="Arial" w:eastAsia="DengXian" w:hAnsi="Arial" w:cs="Arial"/>
          <w:sz w:val="22"/>
          <w:szCs w:val="22"/>
          <w:lang w:eastAsia="ja-JP"/>
        </w:rPr>
        <w:t xml:space="preserve">make further </w:t>
      </w:r>
      <w:r w:rsidR="00F92AFE">
        <w:rPr>
          <w:rFonts w:ascii="Arial" w:eastAsia="DengXian" w:hAnsi="Arial" w:cs="Arial"/>
          <w:sz w:val="22"/>
          <w:szCs w:val="22"/>
          <w:lang w:eastAsia="ja-JP"/>
        </w:rPr>
        <w:t>change</w:t>
      </w:r>
      <w:r w:rsidR="00CE4C80">
        <w:rPr>
          <w:rFonts w:ascii="Arial" w:eastAsia="DengXian" w:hAnsi="Arial" w:cs="Arial"/>
          <w:sz w:val="22"/>
          <w:szCs w:val="22"/>
          <w:lang w:eastAsia="ja-JP"/>
        </w:rPr>
        <w:t>s to</w:t>
      </w:r>
      <w:r w:rsidRPr="00B50320">
        <w:rPr>
          <w:rFonts w:ascii="Arial" w:eastAsia="DengXian" w:hAnsi="Arial" w:cs="Arial"/>
          <w:sz w:val="22"/>
          <w:szCs w:val="22"/>
          <w:lang w:eastAsia="ja-JP"/>
        </w:rPr>
        <w:t xml:space="preserve"> the rule language </w:t>
      </w:r>
      <w:r w:rsidRPr="00B50320" w:rsidR="001622C0">
        <w:rPr>
          <w:rFonts w:ascii="Arial" w:eastAsia="DengXian" w:hAnsi="Arial" w:cs="Arial"/>
          <w:sz w:val="22"/>
          <w:szCs w:val="22"/>
          <w:lang w:eastAsia="ja-JP"/>
        </w:rPr>
        <w:t xml:space="preserve">in </w:t>
      </w:r>
      <w:r w:rsidR="00F92AFE">
        <w:rPr>
          <w:rFonts w:ascii="Arial" w:eastAsia="DengXian" w:hAnsi="Arial" w:cs="Arial"/>
          <w:sz w:val="22"/>
          <w:szCs w:val="22"/>
          <w:lang w:eastAsia="ja-JP"/>
        </w:rPr>
        <w:t>response to this comment</w:t>
      </w:r>
      <w:r w:rsidRPr="00B50320" w:rsidR="003B3E75">
        <w:rPr>
          <w:rFonts w:ascii="Arial" w:eastAsia="DengXian" w:hAnsi="Arial" w:cs="Arial"/>
          <w:sz w:val="22"/>
          <w:szCs w:val="22"/>
          <w:lang w:eastAsia="ja-JP"/>
        </w:rPr>
        <w:t>.</w:t>
      </w:r>
    </w:p>
    <w:p w:rsidR="007F112A" w:rsidRPr="00B50320" w:rsidP="00B50320" w14:paraId="6D4FFB9E"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5" style="width:0;height:1.5pt" o:hralign="center" o:hrstd="t" o:hrnoshade="t" o:hr="t" fillcolor="black" stroked="f"/>
        </w:pict>
      </w:r>
    </w:p>
    <w:p w:rsidR="007F112A" w:rsidRPr="00B50320" w:rsidP="00B50320" w14:paraId="3074CE5E"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3.9.2.D:</w:t>
      </w:r>
      <w:r w:rsidRPr="00B50320">
        <w:rPr>
          <w:rFonts w:ascii="Arial" w:eastAsia="DengXian" w:hAnsi="Arial" w:cs="Arial"/>
          <w:sz w:val="22"/>
          <w:szCs w:val="22"/>
          <w:lang w:eastAsia="ja-JP"/>
        </w:rPr>
        <w:t xml:space="preserve"> A commenter stated that PRA models and evaluations should remain separate from the FSAR and expressed concern that proposed 10 CFR 53.220 represents a “significant obstacle” to advanced reactor projects under 10 CFR Part 53 (</w:t>
      </w:r>
      <w:r w:rsidR="004427C3">
        <w:rPr>
          <w:rFonts w:ascii="Arial" w:eastAsia="DengXian" w:hAnsi="Arial" w:cs="Arial"/>
          <w:sz w:val="22"/>
          <w:szCs w:val="22"/>
          <w:lang w:eastAsia="ja-JP"/>
        </w:rPr>
        <w:t>DOM</w:t>
      </w:r>
      <w:r w:rsidRPr="00B50320">
        <w:rPr>
          <w:rFonts w:ascii="Arial" w:eastAsia="DengXian" w:hAnsi="Arial" w:cs="Arial"/>
          <w:sz w:val="22"/>
          <w:szCs w:val="22"/>
          <w:lang w:eastAsia="ja-JP"/>
        </w:rPr>
        <w:t>-0002).</w:t>
      </w:r>
    </w:p>
    <w:p w:rsidR="007F112A" w:rsidRPr="00B50320" w:rsidP="00B50320" w14:paraId="0C1DAA44"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Relatedly, a commenter proposed that the NRC should only require PRA summary information in the SAR, alongside licensing basis information produced or informed by the PRA such as LBEs. The commenter discussed that the NRC endorsed NEI 21-07, Revision 1 in RG 1.253, and that the NEI 21-07, Revision 1 guidance for PRA overview and results to be provided in a SAR should be applied to applications under 10</w:t>
      </w:r>
      <w:r w:rsidRPr="00B50320" w:rsidR="00CE5C94">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CE5C94">
        <w:rPr>
          <w:rFonts w:ascii="Arial" w:eastAsia="DengXian" w:hAnsi="Arial" w:cs="Arial"/>
          <w:sz w:val="22"/>
          <w:szCs w:val="22"/>
          <w:lang w:eastAsia="ja-JP"/>
        </w:rPr>
        <w:t> </w:t>
      </w:r>
      <w:r w:rsidRPr="00B50320">
        <w:rPr>
          <w:rFonts w:ascii="Arial" w:eastAsia="DengXian" w:hAnsi="Arial" w:cs="Arial"/>
          <w:sz w:val="22"/>
          <w:szCs w:val="22"/>
          <w:lang w:eastAsia="ja-JP"/>
        </w:rPr>
        <w:t>Part 53. The commenter suggested that PRA-related information not included in the SAR would be maintained under licensee control in plant records available for NRC inspection and audit.</w:t>
      </w:r>
    </w:p>
    <w:p w:rsidR="007F112A" w:rsidRPr="00B50320" w:rsidP="00B50320" w14:paraId="6919BC6E"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commenter discussed that 10 CFR Part 53 SARs include unnecessary details on the plant PRA, creating unnecessary burden on applicants, licensees, and the NRC. The commenter suggested that the PRA-related licensing basis information in the SAR be updated on the frequency specified in proposed 10 CFR 53.1545. The commenter additionally discussed that a proposed requirement to maintain a “one size fits all” PRA “program document” under 10</w:t>
      </w:r>
      <w:r w:rsidR="003207C1">
        <w:rPr>
          <w:rFonts w:ascii="Arial" w:eastAsia="DengXian" w:hAnsi="Arial" w:cs="Arial"/>
          <w:sz w:val="22"/>
          <w:szCs w:val="22"/>
          <w:lang w:eastAsia="ja-JP"/>
        </w:rPr>
        <w:t> </w:t>
      </w:r>
      <w:r w:rsidRPr="00B50320">
        <w:rPr>
          <w:rFonts w:ascii="Arial" w:eastAsia="DengXian" w:hAnsi="Arial" w:cs="Arial"/>
          <w:sz w:val="22"/>
          <w:szCs w:val="22"/>
          <w:lang w:eastAsia="ja-JP"/>
        </w:rPr>
        <w:t>CFR</w:t>
      </w:r>
      <w:r w:rsidR="003207C1">
        <w:rPr>
          <w:rFonts w:ascii="Arial" w:eastAsia="DengXian" w:hAnsi="Arial" w:cs="Arial"/>
          <w:sz w:val="22"/>
          <w:szCs w:val="22"/>
          <w:lang w:eastAsia="ja-JP"/>
        </w:rPr>
        <w:t> </w:t>
      </w:r>
      <w:r w:rsidRPr="00B50320">
        <w:rPr>
          <w:rFonts w:ascii="Arial" w:eastAsia="DengXian" w:hAnsi="Arial" w:cs="Arial"/>
          <w:sz w:val="22"/>
          <w:szCs w:val="22"/>
          <w:lang w:eastAsia="ja-JP"/>
        </w:rPr>
        <w:t>53.1560 would be inappropriate, as PRAs for the wide range of reactor designs and sizes that may fall under 10 CFR Part 53 may also differ in size and complexity. Further, the commenter discussed that proposed 10 CFR 53.450(c) is unclear and that the NRC should be more specific, such as by referencing a code or standard or providing guidance, on the expectation for PRA maintenance and the suitability of the 5-year interval. For proposed 10</w:t>
      </w:r>
      <w:r w:rsidR="003207C1">
        <w:rPr>
          <w:rFonts w:ascii="Arial" w:eastAsia="DengXian" w:hAnsi="Arial" w:cs="Arial"/>
          <w:sz w:val="22"/>
          <w:szCs w:val="22"/>
          <w:lang w:eastAsia="ja-JP"/>
        </w:rPr>
        <w:t> </w:t>
      </w:r>
      <w:r w:rsidRPr="00B50320">
        <w:rPr>
          <w:rFonts w:ascii="Arial" w:eastAsia="DengXian" w:hAnsi="Arial" w:cs="Arial"/>
          <w:sz w:val="22"/>
          <w:szCs w:val="22"/>
          <w:lang w:eastAsia="ja-JP"/>
        </w:rPr>
        <w:t>CFR</w:t>
      </w:r>
      <w:r w:rsidR="003207C1">
        <w:rPr>
          <w:rFonts w:ascii="Arial" w:eastAsia="DengXian" w:hAnsi="Arial" w:cs="Arial"/>
          <w:sz w:val="22"/>
          <w:szCs w:val="22"/>
          <w:lang w:eastAsia="ja-JP"/>
        </w:rPr>
        <w:t> </w:t>
      </w:r>
      <w:r w:rsidRPr="00B50320">
        <w:rPr>
          <w:rFonts w:ascii="Arial" w:eastAsia="DengXian" w:hAnsi="Arial" w:cs="Arial"/>
          <w:sz w:val="22"/>
          <w:szCs w:val="22"/>
          <w:lang w:eastAsia="ja-JP"/>
        </w:rPr>
        <w:t>53.1550, the commenter added that the NRC should ensure that 10 CFR Part 53 change control requirements are consistent with NEI 22-05 and relevant NRC regulatory guidance before finalizing the rulemaking (</w:t>
      </w:r>
      <w:r w:rsidR="00A923D7">
        <w:rPr>
          <w:rFonts w:ascii="Arial" w:eastAsia="DengXian" w:hAnsi="Arial" w:cs="Arial"/>
          <w:sz w:val="22"/>
          <w:szCs w:val="22"/>
          <w:lang w:eastAsia="ja-JP"/>
        </w:rPr>
        <w:t>LMNT</w:t>
      </w:r>
      <w:r w:rsidRPr="00B50320">
        <w:rPr>
          <w:rFonts w:ascii="Arial" w:eastAsia="DengXian" w:hAnsi="Arial" w:cs="Arial"/>
          <w:sz w:val="22"/>
          <w:szCs w:val="22"/>
          <w:lang w:eastAsia="ja-JP"/>
        </w:rPr>
        <w:t>-0004).</w:t>
      </w:r>
    </w:p>
    <w:p w:rsidR="007F112A" w:rsidRPr="00B50320" w:rsidP="00B50320" w14:paraId="1B5EBDFA"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A commenter discussed that PRAs must be carefully controlled and treated with a regulatory rigor similarly to all other parts of the FSAR. The commenter stated that changes to the PRA related to changes in the plant, its operations, or new or improved data and methods, must be fully assessed by the NRC to understand the implications for the fundamental safety and security analyses that supported the original plant license (</w:t>
      </w:r>
      <w:r w:rsidR="00815989">
        <w:rPr>
          <w:rFonts w:ascii="Arial" w:eastAsia="DengXian" w:hAnsi="Arial" w:cs="Arial"/>
          <w:sz w:val="22"/>
          <w:szCs w:val="22"/>
          <w:lang w:eastAsia="ja-JP"/>
        </w:rPr>
        <w:t>UCS</w:t>
      </w:r>
      <w:r w:rsidRPr="00B50320">
        <w:rPr>
          <w:rFonts w:ascii="Arial" w:eastAsia="DengXian" w:hAnsi="Arial" w:cs="Arial"/>
          <w:sz w:val="22"/>
          <w:szCs w:val="22"/>
          <w:lang w:eastAsia="ja-JP"/>
        </w:rPr>
        <w:t>-0013).</w:t>
      </w:r>
    </w:p>
    <w:p w:rsidR="00E1548D" w:rsidRPr="00B50320" w:rsidP="00B50320" w14:paraId="1CAAD685"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 xml:space="preserve">NRC Response: </w:t>
      </w:r>
      <w:r w:rsidRPr="00B50320">
        <w:rPr>
          <w:rFonts w:ascii="Arial" w:eastAsia="DengXian" w:hAnsi="Arial" w:cs="Arial"/>
          <w:sz w:val="22"/>
          <w:szCs w:val="22"/>
          <w:lang w:eastAsia="ja-JP"/>
        </w:rPr>
        <w:t>The NRC agrees, in part, with the comments.</w:t>
      </w:r>
    </w:p>
    <w:p w:rsidR="001B5D8E" w:rsidRPr="00B50320" w:rsidP="00B50320" w14:paraId="60F476B8"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As explained in the </w:t>
      </w:r>
      <w:r w:rsidR="00B86759">
        <w:rPr>
          <w:rFonts w:ascii="Arial" w:eastAsia="DengXian" w:hAnsi="Arial" w:cs="Arial"/>
          <w:sz w:val="22"/>
          <w:szCs w:val="22"/>
          <w:lang w:eastAsia="ja-JP"/>
        </w:rPr>
        <w:t>proposed</w:t>
      </w:r>
      <w:r w:rsidRPr="00B50320">
        <w:rPr>
          <w:rFonts w:ascii="Arial" w:eastAsia="DengXian" w:hAnsi="Arial" w:cs="Arial"/>
          <w:sz w:val="22"/>
          <w:szCs w:val="22"/>
          <w:lang w:eastAsia="ja-JP"/>
        </w:rPr>
        <w:t xml:space="preserve"> and final rules, the information to be provided in </w:t>
      </w:r>
      <w:r w:rsidR="00B86759">
        <w:rPr>
          <w:rFonts w:ascii="Arial" w:eastAsia="DengXian" w:hAnsi="Arial" w:cs="Arial"/>
          <w:sz w:val="22"/>
          <w:szCs w:val="22"/>
          <w:lang w:eastAsia="ja-JP"/>
        </w:rPr>
        <w:t>FSARs</w:t>
      </w:r>
      <w:r w:rsidRPr="00B50320">
        <w:rPr>
          <w:rFonts w:ascii="Arial" w:eastAsia="DengXian" w:hAnsi="Arial" w:cs="Arial"/>
          <w:sz w:val="22"/>
          <w:szCs w:val="22"/>
          <w:lang w:eastAsia="ja-JP"/>
        </w:rPr>
        <w:t xml:space="preserve"> </w:t>
      </w:r>
      <w:r w:rsidRPr="00B50320" w:rsidR="006B7DDA">
        <w:rPr>
          <w:rFonts w:ascii="Arial" w:eastAsia="DengXian" w:hAnsi="Arial" w:cs="Arial"/>
          <w:sz w:val="22"/>
          <w:szCs w:val="22"/>
          <w:lang w:eastAsia="ja-JP"/>
        </w:rPr>
        <w:t>is</w:t>
      </w:r>
      <w:r w:rsidRPr="00B50320">
        <w:rPr>
          <w:rFonts w:ascii="Arial" w:eastAsia="DengXian" w:hAnsi="Arial" w:cs="Arial"/>
          <w:sz w:val="22"/>
          <w:szCs w:val="22"/>
          <w:lang w:eastAsia="ja-JP"/>
        </w:rPr>
        <w:t xml:space="preserve"> limited to a description of the PRA required by 10</w:t>
      </w:r>
      <w:r w:rsidRPr="00B50320" w:rsidR="006B7DDA">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6B7DDA">
        <w:rPr>
          <w:rFonts w:ascii="Arial" w:eastAsia="DengXian" w:hAnsi="Arial" w:cs="Arial"/>
          <w:sz w:val="22"/>
          <w:szCs w:val="22"/>
          <w:lang w:eastAsia="ja-JP"/>
        </w:rPr>
        <w:t> </w:t>
      </w:r>
      <w:r w:rsidRPr="00B50320">
        <w:rPr>
          <w:rFonts w:ascii="Arial" w:eastAsia="DengXian" w:hAnsi="Arial" w:cs="Arial"/>
          <w:sz w:val="22"/>
          <w:szCs w:val="22"/>
          <w:lang w:eastAsia="ja-JP"/>
        </w:rPr>
        <w:t>53.450(a) (or other systematic risk evaluation</w:t>
      </w:r>
      <w:r w:rsidRPr="00B50320" w:rsidR="006B7DDA">
        <w:rPr>
          <w:rFonts w:ascii="Arial" w:eastAsia="DengXian" w:hAnsi="Arial" w:cs="Arial"/>
          <w:sz w:val="22"/>
          <w:szCs w:val="22"/>
          <w:lang w:eastAsia="ja-JP"/>
        </w:rPr>
        <w:t>s</w:t>
      </w:r>
      <w:r w:rsidRPr="00B50320">
        <w:rPr>
          <w:rFonts w:ascii="Arial" w:eastAsia="DengXian" w:hAnsi="Arial" w:cs="Arial"/>
          <w:sz w:val="22"/>
          <w:szCs w:val="22"/>
          <w:lang w:eastAsia="ja-JP"/>
        </w:rPr>
        <w:t xml:space="preserve"> as added to the final rule) and </w:t>
      </w:r>
      <w:r w:rsidRPr="00B50320" w:rsidR="006B7DDA">
        <w:rPr>
          <w:rFonts w:ascii="Arial" w:eastAsia="DengXian" w:hAnsi="Arial" w:cs="Arial"/>
          <w:sz w:val="22"/>
          <w:szCs w:val="22"/>
          <w:lang w:eastAsia="ja-JP"/>
        </w:rPr>
        <w:t>their</w:t>
      </w:r>
      <w:r w:rsidRPr="00B50320">
        <w:rPr>
          <w:rFonts w:ascii="Arial" w:eastAsia="DengXian" w:hAnsi="Arial" w:cs="Arial"/>
          <w:sz w:val="22"/>
          <w:szCs w:val="22"/>
          <w:lang w:eastAsia="ja-JP"/>
        </w:rPr>
        <w:t xml:space="preserve"> results. The discussion also explains that the NRC plans to build from the guidance developed for implementation of the </w:t>
      </w:r>
      <w:r w:rsidR="00D51314">
        <w:rPr>
          <w:rFonts w:ascii="Arial" w:eastAsia="DengXian" w:hAnsi="Arial" w:cs="Arial"/>
          <w:sz w:val="22"/>
          <w:szCs w:val="22"/>
          <w:lang w:eastAsia="ja-JP"/>
        </w:rPr>
        <w:t>LMP</w:t>
      </w:r>
      <w:r w:rsidRPr="00B50320">
        <w:rPr>
          <w:rFonts w:ascii="Arial" w:eastAsia="DengXian" w:hAnsi="Arial" w:cs="Arial"/>
          <w:sz w:val="22"/>
          <w:szCs w:val="22"/>
          <w:lang w:eastAsia="ja-JP"/>
        </w:rPr>
        <w:t xml:space="preserve"> methodology (e.g., </w:t>
      </w:r>
      <w:r w:rsidR="0049287B">
        <w:rPr>
          <w:rFonts w:ascii="Arial" w:eastAsia="DengXian" w:hAnsi="Arial" w:cs="Arial"/>
          <w:sz w:val="22"/>
          <w:szCs w:val="22"/>
          <w:lang w:eastAsia="ja-JP"/>
        </w:rPr>
        <w:t>RGs</w:t>
      </w:r>
      <w:r w:rsidRPr="00B50320">
        <w:rPr>
          <w:rFonts w:ascii="Arial" w:eastAsia="DengXian" w:hAnsi="Arial" w:cs="Arial"/>
          <w:sz w:val="22"/>
          <w:szCs w:val="22"/>
          <w:lang w:eastAsia="ja-JP"/>
        </w:rPr>
        <w:t xml:space="preserve"> 1.233 and 1.253). The NRC has not added to the final rule a new program document to the list of licensing basis information but expects that additional guidance will be developed to address how the maintenance and upgrading of PRAs or other systematic risk evaluations relate to monitoring of the availability and reliability of structures, systems and components warranting special treatment under 10 CFR 53.</w:t>
      </w:r>
      <w:r w:rsidR="00847208">
        <w:rPr>
          <w:rFonts w:ascii="Arial" w:eastAsia="DengXian" w:hAnsi="Arial" w:cs="Arial"/>
          <w:sz w:val="22"/>
          <w:szCs w:val="22"/>
          <w:lang w:eastAsia="ja-JP"/>
        </w:rPr>
        <w:t>4</w:t>
      </w:r>
      <w:r w:rsidRPr="00B50320">
        <w:rPr>
          <w:rFonts w:ascii="Arial" w:eastAsia="DengXian" w:hAnsi="Arial" w:cs="Arial"/>
          <w:sz w:val="22"/>
          <w:szCs w:val="22"/>
          <w:lang w:eastAsia="ja-JP"/>
        </w:rPr>
        <w:t>60.</w:t>
      </w:r>
    </w:p>
    <w:p w:rsidR="007F112A" w:rsidRPr="00B50320" w:rsidP="00B50320" w14:paraId="1D7B58D9"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rule language in response to th</w:t>
      </w:r>
      <w:r w:rsidRPr="00B50320" w:rsidR="00063D24">
        <w:rPr>
          <w:rFonts w:ascii="Arial" w:eastAsia="DengXian" w:hAnsi="Arial" w:cs="Arial"/>
          <w:sz w:val="22"/>
          <w:szCs w:val="22"/>
          <w:lang w:eastAsia="ja-JP"/>
        </w:rPr>
        <w:t>e</w:t>
      </w:r>
      <w:r w:rsidRPr="00B50320">
        <w:rPr>
          <w:rFonts w:ascii="Arial" w:eastAsia="DengXian" w:hAnsi="Arial" w:cs="Arial"/>
          <w:sz w:val="22"/>
          <w:szCs w:val="22"/>
          <w:lang w:eastAsia="ja-JP"/>
        </w:rPr>
        <w:t>s</w:t>
      </w:r>
      <w:r w:rsidRPr="00B50320" w:rsidR="00063D24">
        <w:rPr>
          <w:rFonts w:ascii="Arial" w:eastAsia="DengXian" w:hAnsi="Arial" w:cs="Arial"/>
          <w:sz w:val="22"/>
          <w:szCs w:val="22"/>
          <w:lang w:eastAsia="ja-JP"/>
        </w:rPr>
        <w:t>e</w:t>
      </w:r>
      <w:r w:rsidRPr="00B50320">
        <w:rPr>
          <w:rFonts w:ascii="Arial" w:eastAsia="DengXian" w:hAnsi="Arial" w:cs="Arial"/>
          <w:sz w:val="22"/>
          <w:szCs w:val="22"/>
          <w:lang w:eastAsia="ja-JP"/>
        </w:rPr>
        <w:t xml:space="preserve"> comment</w:t>
      </w:r>
      <w:r w:rsidRPr="00B50320" w:rsidR="00063D24">
        <w:rPr>
          <w:rFonts w:ascii="Arial" w:eastAsia="DengXian" w:hAnsi="Arial" w:cs="Arial"/>
          <w:sz w:val="22"/>
          <w:szCs w:val="22"/>
          <w:lang w:eastAsia="ja-JP"/>
        </w:rPr>
        <w:t>s</w:t>
      </w:r>
      <w:r w:rsidRPr="00B50320">
        <w:rPr>
          <w:rFonts w:ascii="Arial" w:eastAsia="DengXian" w:hAnsi="Arial" w:cs="Arial"/>
          <w:sz w:val="22"/>
          <w:szCs w:val="22"/>
          <w:lang w:eastAsia="ja-JP"/>
        </w:rPr>
        <w:t>.</w:t>
      </w:r>
    </w:p>
    <w:p w:rsidR="007F112A" w:rsidRPr="00B50320" w:rsidP="00B50320" w14:paraId="200C34CE"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6" style="width:0;height:1.5pt" o:hralign="center" o:hrstd="t" o:hrnoshade="t" o:hr="t" fillcolor="black" stroked="f"/>
        </w:pict>
      </w:r>
    </w:p>
    <w:p w:rsidR="007F112A" w:rsidRPr="00DA0A3C" w:rsidP="001249BD" w14:paraId="0F52909D" w14:textId="77777777">
      <w:pPr>
        <w:pStyle w:val="Heading3"/>
        <w:numPr>
          <w:ilvl w:val="0"/>
          <w:numId w:val="0"/>
        </w:numPr>
        <w:ind w:left="720" w:hanging="720"/>
      </w:pPr>
      <w:bookmarkStart w:id="112" w:name="_Toc194466474"/>
      <w:bookmarkStart w:id="113" w:name="_Toc194678435"/>
      <w:bookmarkStart w:id="114" w:name="_Toc207222842"/>
      <w:r w:rsidRPr="001249BD">
        <w:rPr>
          <w:u w:val="none"/>
        </w:rPr>
        <w:t>3.9.3.</w:t>
      </w:r>
      <w:r w:rsidRPr="001249BD">
        <w:rPr>
          <w:u w:val="none"/>
        </w:rPr>
        <w:tab/>
      </w:r>
      <w:r w:rsidRPr="00DA0A3C">
        <w:t>RFC: Changes to manufacturing licenses (§ 53.1530)</w:t>
      </w:r>
      <w:bookmarkEnd w:id="112"/>
      <w:bookmarkEnd w:id="113"/>
      <w:bookmarkEnd w:id="114"/>
    </w:p>
    <w:p w:rsidR="007F112A" w:rsidRPr="00B50320" w:rsidP="00B50320" w14:paraId="6D829F57" w14:textId="77777777">
      <w:pPr>
        <w:spacing w:after="220"/>
        <w:rPr>
          <w:rFonts w:ascii="Arial" w:hAnsi="Arial" w:cs="Arial"/>
          <w:sz w:val="22"/>
          <w:szCs w:val="22"/>
        </w:rPr>
      </w:pPr>
      <w:r w:rsidRPr="00B50320">
        <w:rPr>
          <w:rFonts w:ascii="Arial" w:eastAsia="DengXian" w:hAnsi="Arial" w:cs="Arial"/>
          <w:b/>
          <w:sz w:val="22"/>
          <w:szCs w:val="22"/>
          <w:lang w:eastAsia="ja-JP"/>
        </w:rPr>
        <w:t>Comment Bin 3.9.3.A:</w:t>
      </w:r>
      <w:r w:rsidRPr="00B50320">
        <w:rPr>
          <w:rFonts w:ascii="Arial" w:eastAsia="DengXian" w:hAnsi="Arial" w:cs="Arial"/>
          <w:sz w:val="22"/>
          <w:szCs w:val="22"/>
          <w:lang w:eastAsia="ja-JP"/>
        </w:rPr>
        <w:t xml:space="preserve"> </w:t>
      </w:r>
      <w:r w:rsidRPr="00B50320">
        <w:rPr>
          <w:rFonts w:ascii="Arial" w:hAnsi="Arial" w:cs="Arial"/>
          <w:sz w:val="22"/>
          <w:szCs w:val="22"/>
        </w:rPr>
        <w:t>A commenter said that guidance on the licensing requirements of design changes should be developed in collaboration with the industry and that cask manufacturing licenses and NEI 12-04 might provide a framework (</w:t>
      </w:r>
      <w:r w:rsidR="009D6BB9">
        <w:rPr>
          <w:rFonts w:ascii="Arial" w:hAnsi="Arial" w:cs="Arial"/>
          <w:sz w:val="22"/>
          <w:szCs w:val="22"/>
        </w:rPr>
        <w:t>NEI2</w:t>
      </w:r>
      <w:r w:rsidRPr="00B50320">
        <w:rPr>
          <w:rFonts w:ascii="Arial" w:hAnsi="Arial" w:cs="Arial"/>
          <w:sz w:val="22"/>
          <w:szCs w:val="22"/>
        </w:rPr>
        <w:t>-0209).</w:t>
      </w:r>
    </w:p>
    <w:p w:rsidR="000C56D3" w:rsidRPr="00B50320" w:rsidP="00B50320" w14:paraId="4727B14F"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with th</w:t>
      </w:r>
      <w:r w:rsidR="00F33461">
        <w:rPr>
          <w:rFonts w:ascii="Arial" w:eastAsia="DengXian" w:hAnsi="Arial" w:cs="Arial"/>
          <w:sz w:val="22"/>
          <w:szCs w:val="22"/>
          <w:lang w:eastAsia="ja-JP"/>
        </w:rPr>
        <w:t>e</w:t>
      </w:r>
      <w:r w:rsidRPr="00B50320">
        <w:rPr>
          <w:rFonts w:ascii="Arial" w:eastAsia="DengXian" w:hAnsi="Arial" w:cs="Arial"/>
          <w:sz w:val="22"/>
          <w:szCs w:val="22"/>
          <w:lang w:eastAsia="ja-JP"/>
        </w:rPr>
        <w:t xml:space="preserve"> comment.</w:t>
      </w:r>
    </w:p>
    <w:p w:rsidR="000C56D3" w:rsidRPr="00B50320" w:rsidP="00B50320" w14:paraId="58CA0255"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agrees that guidance on requirements for design changes under a manufacturing license would be useful and collaborative development of such guidance with external stakeholders would be beneficial. </w:t>
      </w:r>
      <w:r w:rsidRPr="00B50320" w:rsidR="005F29AF">
        <w:rPr>
          <w:rFonts w:ascii="Arial" w:eastAsia="DengXian" w:hAnsi="Arial" w:cs="Arial"/>
          <w:sz w:val="22"/>
          <w:szCs w:val="22"/>
          <w:lang w:eastAsia="ja-JP"/>
        </w:rPr>
        <w:t>Although t</w:t>
      </w:r>
      <w:r w:rsidRPr="00B50320">
        <w:rPr>
          <w:rFonts w:ascii="Arial" w:eastAsia="DengXian" w:hAnsi="Arial" w:cs="Arial"/>
          <w:sz w:val="22"/>
          <w:szCs w:val="22"/>
          <w:lang w:eastAsia="ja-JP"/>
        </w:rPr>
        <w:t>his comment did not suggest changes to the proposed rule</w:t>
      </w:r>
      <w:r w:rsidRPr="00B50320" w:rsidR="005F29AF">
        <w:rPr>
          <w:rFonts w:ascii="Arial" w:eastAsia="DengXian" w:hAnsi="Arial" w:cs="Arial"/>
          <w:sz w:val="22"/>
          <w:szCs w:val="22"/>
          <w:lang w:eastAsia="ja-JP"/>
        </w:rPr>
        <w:t>,</w:t>
      </w:r>
      <w:r w:rsidRPr="00B50320" w:rsidR="00ED4362">
        <w:rPr>
          <w:rFonts w:ascii="Arial" w:hAnsi="Arial" w:cs="Arial"/>
          <w:sz w:val="22"/>
          <w:szCs w:val="22"/>
        </w:rPr>
        <w:t xml:space="preserve"> </w:t>
      </w:r>
      <w:r w:rsidRPr="00B50320" w:rsidR="00E863B5">
        <w:rPr>
          <w:rFonts w:ascii="Arial" w:hAnsi="Arial" w:cs="Arial"/>
          <w:sz w:val="22"/>
          <w:szCs w:val="22"/>
        </w:rPr>
        <w:t>t</w:t>
      </w:r>
      <w:r w:rsidRPr="00B50320" w:rsidR="00851A1C">
        <w:rPr>
          <w:rFonts w:ascii="Arial" w:hAnsi="Arial" w:cs="Arial"/>
          <w:sz w:val="22"/>
          <w:szCs w:val="22"/>
        </w:rPr>
        <w:t xml:space="preserve">he provisions </w:t>
      </w:r>
      <w:r w:rsidRPr="00B50320" w:rsidR="006E6F43">
        <w:rPr>
          <w:rFonts w:ascii="Arial" w:hAnsi="Arial" w:cs="Arial"/>
          <w:sz w:val="22"/>
          <w:szCs w:val="22"/>
        </w:rPr>
        <w:t>controlling changes by an ML holder in 10 CFR 53.1530</w:t>
      </w:r>
      <w:r w:rsidRPr="00B50320" w:rsidR="00525CDD">
        <w:rPr>
          <w:rFonts w:ascii="Arial" w:hAnsi="Arial" w:cs="Arial"/>
          <w:sz w:val="22"/>
          <w:szCs w:val="22"/>
        </w:rPr>
        <w:t xml:space="preserve"> and </w:t>
      </w:r>
      <w:r w:rsidRPr="00B50320" w:rsidR="006D1101">
        <w:rPr>
          <w:rFonts w:ascii="Arial" w:hAnsi="Arial" w:cs="Arial"/>
          <w:sz w:val="22"/>
          <w:szCs w:val="22"/>
        </w:rPr>
        <w:t xml:space="preserve">the provisions controlling changes by a COL holder referencing an ML in 10 CFR 53.1550 </w:t>
      </w:r>
      <w:r w:rsidR="00F92D21">
        <w:rPr>
          <w:rFonts w:ascii="Arial" w:eastAsia="DengXian" w:hAnsi="Arial" w:cs="Arial"/>
          <w:sz w:val="22"/>
          <w:szCs w:val="22"/>
          <w:lang w:eastAsia="ja-JP"/>
        </w:rPr>
        <w:t>are being</w:t>
      </w:r>
      <w:r w:rsidRPr="00B50320" w:rsidR="00ED4362">
        <w:rPr>
          <w:rFonts w:ascii="Arial" w:eastAsia="DengXian" w:hAnsi="Arial" w:cs="Arial"/>
          <w:sz w:val="22"/>
          <w:szCs w:val="22"/>
          <w:lang w:eastAsia="ja-JP"/>
        </w:rPr>
        <w:t xml:space="preserve"> revised in the final rule in response to other public comments (see Comment Bin 3.9.3.B).</w:t>
      </w:r>
    </w:p>
    <w:p w:rsidR="007F112A" w:rsidRPr="00B50320" w:rsidP="00B50320" w14:paraId="58C86087"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rule language in response to this comment.</w:t>
      </w:r>
    </w:p>
    <w:p w:rsidR="007F112A" w:rsidRPr="00B50320" w:rsidP="00B50320" w14:paraId="1A2BF93B"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7" style="width:0;height:1.5pt" o:hralign="center" o:hrstd="t" o:hrnoshade="t" o:hr="t" fillcolor="black" stroked="f"/>
        </w:pict>
      </w:r>
    </w:p>
    <w:p w:rsidR="007F112A" w:rsidRPr="00B50320" w:rsidP="00B50320" w14:paraId="24050C46"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3.9.3.B:</w:t>
      </w:r>
      <w:r w:rsidRPr="00B50320">
        <w:rPr>
          <w:rFonts w:ascii="Arial" w:eastAsia="DengXian" w:hAnsi="Arial" w:cs="Arial"/>
          <w:sz w:val="22"/>
          <w:szCs w:val="22"/>
          <w:lang w:eastAsia="ja-JP"/>
        </w:rPr>
        <w:t xml:space="preserve"> A commenter expressed that a well-defined, risk-informed approach to license amendment criteria for manufactured reactors is essential to ensure regulatory efficiency, maintain safety and security, and to allow for a practical and responsive regulatory framework. The commenter requested that the NRC develop clear, risk-informed criteria for when a license amendment request is required, with a focus on changes directly impacting safety, security, or regulatory compliance. The commenter discussed that design changes not requiring a license amendment may involve cosmetic or aesthetic features, administrative systems, maintenance tracking tools, or other non-safety-significant modifications. In contrast, the commenter suggested that design changes involving the primary cooling system, control systems, containment, core design, or other safety-significant modifications may require a license amendment. The commenter additionally requested that the NRC clarify the procedures for evaluating and documenting changes to manufacturing processes, conduct periodic audits of manufacturing facilities to verify compliance, and implement conforming changes throughout the rulemaking package (</w:t>
      </w:r>
      <w:r w:rsidR="00D87876">
        <w:rPr>
          <w:rFonts w:ascii="Arial" w:eastAsia="DengXian" w:hAnsi="Arial" w:cs="Arial"/>
          <w:sz w:val="22"/>
          <w:szCs w:val="22"/>
          <w:lang w:eastAsia="ja-JP"/>
        </w:rPr>
        <w:t>SCWG</w:t>
      </w:r>
      <w:r w:rsidRPr="00B50320">
        <w:rPr>
          <w:rFonts w:ascii="Arial" w:eastAsia="DengXian" w:hAnsi="Arial" w:cs="Arial"/>
          <w:sz w:val="22"/>
          <w:szCs w:val="22"/>
          <w:lang w:eastAsia="ja-JP"/>
        </w:rPr>
        <w:t>-0025).</w:t>
      </w:r>
    </w:p>
    <w:p w:rsidR="007F112A" w:rsidRPr="00B50320" w:rsidP="00B50320" w14:paraId="70B4A9FA"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in part, with the comment.</w:t>
      </w:r>
    </w:p>
    <w:p w:rsidR="001E1BBB" w:rsidRPr="00B50320" w:rsidP="00B50320" w14:paraId="5DE9BFC6"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agrees that 10 CFR Part 53 should give holders of an ML the authority to make changes to the </w:t>
      </w:r>
      <w:r w:rsidR="00974F94">
        <w:rPr>
          <w:rFonts w:ascii="Arial" w:eastAsia="DengXian" w:hAnsi="Arial" w:cs="Arial"/>
          <w:sz w:val="22"/>
          <w:szCs w:val="22"/>
          <w:lang w:eastAsia="ja-JP"/>
        </w:rPr>
        <w:t xml:space="preserve">FSAR associated with </w:t>
      </w:r>
      <w:r w:rsidR="00B03B5C">
        <w:rPr>
          <w:rFonts w:ascii="Arial" w:eastAsia="DengXian" w:hAnsi="Arial" w:cs="Arial"/>
          <w:sz w:val="22"/>
          <w:szCs w:val="22"/>
          <w:lang w:eastAsia="ja-JP"/>
        </w:rPr>
        <w:t xml:space="preserve">an </w:t>
      </w:r>
      <w:r w:rsidRPr="00B50320">
        <w:rPr>
          <w:rFonts w:ascii="Arial" w:eastAsia="DengXian" w:hAnsi="Arial" w:cs="Arial"/>
          <w:sz w:val="22"/>
          <w:szCs w:val="22"/>
          <w:lang w:eastAsia="ja-JP"/>
        </w:rPr>
        <w:t xml:space="preserve">ML and has expanded the provisions in </w:t>
      </w:r>
      <w:r w:rsidR="00CA6CD0">
        <w:rPr>
          <w:rFonts w:ascii="Arial" w:eastAsia="DengXian" w:hAnsi="Arial" w:cs="Arial"/>
          <w:sz w:val="22"/>
          <w:szCs w:val="22"/>
          <w:lang w:eastAsia="ja-JP"/>
        </w:rPr>
        <w:t>10 CFR </w:t>
      </w:r>
      <w:r w:rsidRPr="00B50320">
        <w:rPr>
          <w:rFonts w:ascii="Arial" w:eastAsia="DengXian" w:hAnsi="Arial" w:cs="Arial"/>
          <w:sz w:val="22"/>
          <w:szCs w:val="22"/>
          <w:lang w:eastAsia="ja-JP"/>
        </w:rPr>
        <w:t xml:space="preserve">53.1530 to give ML holders more flexibility in this regard. </w:t>
      </w:r>
      <w:r w:rsidRPr="00B50320" w:rsidR="000D2AFB">
        <w:rPr>
          <w:rFonts w:ascii="Arial" w:eastAsia="DengXian" w:hAnsi="Arial" w:cs="Arial"/>
          <w:sz w:val="22"/>
          <w:szCs w:val="22"/>
          <w:lang w:eastAsia="ja-JP"/>
        </w:rPr>
        <w:t>Accordingly, t</w:t>
      </w:r>
      <w:r w:rsidRPr="00B50320">
        <w:rPr>
          <w:rFonts w:ascii="Arial" w:eastAsia="DengXian" w:hAnsi="Arial" w:cs="Arial"/>
          <w:sz w:val="22"/>
          <w:szCs w:val="22"/>
          <w:lang w:eastAsia="ja-JP"/>
        </w:rPr>
        <w:t xml:space="preserve">he NRC </w:t>
      </w:r>
      <w:r w:rsidRPr="00DD2054" w:rsidR="00DD2054">
        <w:rPr>
          <w:rFonts w:ascii="Arial" w:eastAsia="DengXian" w:hAnsi="Arial" w:cs="Arial"/>
          <w:sz w:val="22"/>
          <w:szCs w:val="22"/>
          <w:lang w:eastAsia="ja-JP"/>
        </w:rPr>
        <w:t>has revised</w:t>
      </w:r>
      <w:r w:rsidRPr="00B50320">
        <w:rPr>
          <w:rFonts w:ascii="Arial" w:eastAsia="DengXian" w:hAnsi="Arial" w:cs="Arial"/>
          <w:sz w:val="22"/>
          <w:szCs w:val="22"/>
          <w:lang w:eastAsia="ja-JP"/>
        </w:rPr>
        <w:t xml:space="preserve"> 10 CFR 53.1530 in the final rule to allow changes to a manufactured reactor design by the ML holder using the evaluation criteria in 10 CFR 53.1550 in response to this comment. In addition, a COL holder referencing an ML can make changes to the facility or procedures as described in the FSAR (including changes related to the referenced ML) under 10 CFR 53.1550. To avoid confusion and duplication, the NRC has </w:t>
      </w:r>
      <w:r w:rsidR="00352F2A">
        <w:rPr>
          <w:rFonts w:ascii="Arial" w:eastAsia="DengXian" w:hAnsi="Arial" w:cs="Arial"/>
          <w:sz w:val="22"/>
          <w:szCs w:val="22"/>
          <w:lang w:eastAsia="ja-JP"/>
        </w:rPr>
        <w:t xml:space="preserve">also </w:t>
      </w:r>
      <w:r w:rsidRPr="00B50320">
        <w:rPr>
          <w:rFonts w:ascii="Arial" w:eastAsia="DengXian" w:hAnsi="Arial" w:cs="Arial"/>
          <w:sz w:val="22"/>
          <w:szCs w:val="22"/>
          <w:lang w:eastAsia="ja-JP"/>
        </w:rPr>
        <w:t xml:space="preserve">deleted </w:t>
      </w:r>
      <w:r w:rsidR="001A0CF6">
        <w:rPr>
          <w:rFonts w:ascii="Arial" w:eastAsia="DengXian" w:hAnsi="Arial" w:cs="Arial"/>
          <w:sz w:val="22"/>
          <w:szCs w:val="22"/>
          <w:lang w:eastAsia="ja-JP"/>
        </w:rPr>
        <w:t xml:space="preserve">proposed </w:t>
      </w:r>
      <w:r w:rsidRPr="00B50320">
        <w:rPr>
          <w:rFonts w:ascii="Arial" w:eastAsia="DengXian" w:hAnsi="Arial" w:cs="Arial"/>
          <w:sz w:val="22"/>
          <w:szCs w:val="22"/>
          <w:lang w:eastAsia="ja-JP"/>
        </w:rPr>
        <w:t>10 CFR 53.1530(b) from the final rule language</w:t>
      </w:r>
      <w:r w:rsidRPr="00B50320" w:rsidR="001D412B">
        <w:rPr>
          <w:rFonts w:ascii="Arial" w:eastAsia="DengXian" w:hAnsi="Arial" w:cs="Arial"/>
          <w:sz w:val="22"/>
          <w:szCs w:val="22"/>
          <w:lang w:eastAsia="ja-JP"/>
        </w:rPr>
        <w:t xml:space="preserve"> </w:t>
      </w:r>
      <w:r w:rsidR="001A0CF6">
        <w:rPr>
          <w:rFonts w:ascii="Arial" w:eastAsia="DengXian" w:hAnsi="Arial" w:cs="Arial"/>
          <w:sz w:val="22"/>
          <w:szCs w:val="22"/>
          <w:lang w:eastAsia="ja-JP"/>
        </w:rPr>
        <w:t>to remove</w:t>
      </w:r>
      <w:r w:rsidR="003742DF">
        <w:rPr>
          <w:rFonts w:ascii="Arial" w:eastAsia="DengXian" w:hAnsi="Arial" w:cs="Arial"/>
          <w:sz w:val="22"/>
          <w:szCs w:val="22"/>
          <w:lang w:eastAsia="ja-JP"/>
        </w:rPr>
        <w:t xml:space="preserve"> references to a</w:t>
      </w:r>
      <w:r w:rsidRPr="00B50320" w:rsidR="001D412B">
        <w:rPr>
          <w:rFonts w:ascii="Arial" w:eastAsia="DengXian" w:hAnsi="Arial" w:cs="Arial"/>
          <w:sz w:val="22"/>
          <w:szCs w:val="22"/>
          <w:lang w:eastAsia="ja-JP"/>
        </w:rPr>
        <w:t xml:space="preserve"> COL holder </w:t>
      </w:r>
      <w:r w:rsidR="003742DF">
        <w:rPr>
          <w:rFonts w:ascii="Arial" w:eastAsia="DengXian" w:hAnsi="Arial" w:cs="Arial"/>
          <w:sz w:val="22"/>
          <w:szCs w:val="22"/>
          <w:lang w:eastAsia="ja-JP"/>
        </w:rPr>
        <w:t xml:space="preserve">that </w:t>
      </w:r>
      <w:r w:rsidRPr="00B50320" w:rsidR="001D412B">
        <w:rPr>
          <w:rFonts w:ascii="Arial" w:eastAsia="DengXian" w:hAnsi="Arial" w:cs="Arial"/>
          <w:sz w:val="22"/>
          <w:szCs w:val="22"/>
          <w:lang w:eastAsia="ja-JP"/>
        </w:rPr>
        <w:t>referenc</w:t>
      </w:r>
      <w:r w:rsidR="003742DF">
        <w:rPr>
          <w:rFonts w:ascii="Arial" w:eastAsia="DengXian" w:hAnsi="Arial" w:cs="Arial"/>
          <w:sz w:val="22"/>
          <w:szCs w:val="22"/>
          <w:lang w:eastAsia="ja-JP"/>
        </w:rPr>
        <w:t>es</w:t>
      </w:r>
      <w:r w:rsidRPr="00B50320" w:rsidR="001D412B">
        <w:rPr>
          <w:rFonts w:ascii="Arial" w:eastAsia="DengXian" w:hAnsi="Arial" w:cs="Arial"/>
          <w:sz w:val="22"/>
          <w:szCs w:val="22"/>
          <w:lang w:eastAsia="ja-JP"/>
        </w:rPr>
        <w:t xml:space="preserve"> an ML</w:t>
      </w:r>
      <w:r w:rsidRPr="00B50320">
        <w:rPr>
          <w:rFonts w:ascii="Arial" w:eastAsia="DengXian" w:hAnsi="Arial" w:cs="Arial"/>
          <w:sz w:val="22"/>
          <w:szCs w:val="22"/>
          <w:lang w:eastAsia="ja-JP"/>
        </w:rPr>
        <w:t>. The NRC also made a conforming change to 10 CFR 53.1540 to require periodic updates to the FSAR by the ML holder to reflect that changes may be made without NRC review and approval via license amendments under 10 CFR 53.1510.</w:t>
      </w:r>
    </w:p>
    <w:p w:rsidR="007F112A" w:rsidRPr="00B50320" w:rsidP="00B50320" w14:paraId="6B6EF4C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did not receive specific suggestions for or change the rule language regarding finality or change control related to manufacturing processes. The focus for manufacturing licenses will likely remain the design of the manufactured reactor, manufacturing processes directly associated with referenced consensus codes and standards, and quality assurance measures. The manufacturing activities will be subject to NRC inspections and oversight.</w:t>
      </w:r>
    </w:p>
    <w:p w:rsidR="007F112A" w:rsidRPr="00B50320" w:rsidP="00B50320" w14:paraId="1AB08A8C"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 xml:space="preserve">Accordingly, the NRC </w:t>
      </w:r>
      <w:r w:rsidR="00041985">
        <w:rPr>
          <w:rFonts w:ascii="Arial" w:eastAsia="DengXian" w:hAnsi="Arial" w:cs="Arial"/>
          <w:sz w:val="22"/>
          <w:szCs w:val="22"/>
          <w:lang w:eastAsia="ja-JP"/>
        </w:rPr>
        <w:t>revised</w:t>
      </w:r>
      <w:r w:rsidRPr="00B50320">
        <w:rPr>
          <w:rFonts w:ascii="Arial" w:eastAsia="DengXian" w:hAnsi="Arial" w:cs="Arial"/>
          <w:sz w:val="22"/>
          <w:szCs w:val="22"/>
          <w:lang w:eastAsia="ja-JP"/>
        </w:rPr>
        <w:t xml:space="preserve"> the rule language </w:t>
      </w:r>
      <w:r w:rsidR="0029016A">
        <w:rPr>
          <w:rFonts w:ascii="Arial" w:eastAsia="DengXian" w:hAnsi="Arial" w:cs="Arial"/>
          <w:sz w:val="22"/>
          <w:szCs w:val="22"/>
          <w:lang w:eastAsia="ja-JP"/>
        </w:rPr>
        <w:t xml:space="preserve">as </w:t>
      </w:r>
      <w:r w:rsidRPr="00B50320">
        <w:rPr>
          <w:rFonts w:ascii="Arial" w:eastAsia="DengXian" w:hAnsi="Arial" w:cs="Arial"/>
          <w:sz w:val="22"/>
          <w:szCs w:val="22"/>
          <w:lang w:eastAsia="ja-JP"/>
        </w:rPr>
        <w:t xml:space="preserve">described </w:t>
      </w:r>
      <w:r w:rsidRPr="00B50320" w:rsidR="008659D5">
        <w:rPr>
          <w:rFonts w:ascii="Arial" w:eastAsia="DengXian" w:hAnsi="Arial" w:cs="Arial"/>
          <w:sz w:val="22"/>
          <w:szCs w:val="22"/>
          <w:lang w:eastAsia="ja-JP"/>
        </w:rPr>
        <w:t>above</w:t>
      </w:r>
      <w:r w:rsidRPr="00B50320">
        <w:rPr>
          <w:rFonts w:ascii="Arial" w:eastAsia="DengXian" w:hAnsi="Arial" w:cs="Arial"/>
          <w:sz w:val="22"/>
          <w:szCs w:val="22"/>
          <w:lang w:eastAsia="ja-JP"/>
        </w:rPr>
        <w:t>.</w:t>
      </w:r>
    </w:p>
    <w:p w:rsidR="007F112A" w:rsidRPr="00DA0A3C" w:rsidP="00B50320" w14:paraId="01BFEF36" w14:textId="77777777">
      <w:pPr>
        <w:spacing w:after="220"/>
        <w:rPr>
          <w:rFonts w:ascii="Arial" w:eastAsia="Times New Roman" w:hAnsi="Arial" w:cs="Arial"/>
          <w:lang w:eastAsia="zh-CN"/>
        </w:rPr>
      </w:pPr>
      <w:r>
        <w:rPr>
          <w:rFonts w:ascii="Arial" w:eastAsia="Times New Roman" w:hAnsi="Arial" w:cs="Arial"/>
          <w:sz w:val="22"/>
          <w:szCs w:val="22"/>
          <w:lang w:eastAsia="zh-CN"/>
        </w:rPr>
        <w:pict>
          <v:rect id="_x0000_i1298" style="width:0;height:1.5pt" o:hralign="center" o:hrstd="t" o:hrnoshade="t" o:hr="t" fillcolor="black" stroked="f"/>
        </w:pict>
      </w:r>
    </w:p>
    <w:p w:rsidR="00176279" w:rsidRPr="008D10E8" w:rsidP="00927D0C" w14:paraId="3B488FA2" w14:textId="77777777">
      <w:pPr>
        <w:pStyle w:val="Heading2"/>
        <w:keepNext/>
        <w:keepLines/>
        <w:numPr>
          <w:ilvl w:val="0"/>
          <w:numId w:val="0"/>
        </w:numPr>
        <w:ind w:left="720" w:hanging="720"/>
      </w:pPr>
      <w:bookmarkStart w:id="115" w:name="_Toc194466475"/>
      <w:bookmarkStart w:id="116" w:name="_Toc194678436"/>
      <w:bookmarkStart w:id="117" w:name="_Toc207222843"/>
      <w:r w:rsidRPr="001249BD">
        <w:rPr>
          <w:u w:val="none"/>
        </w:rPr>
        <w:t>3.10.</w:t>
      </w:r>
      <w:r w:rsidRPr="001249BD">
        <w:rPr>
          <w:u w:val="none"/>
        </w:rPr>
        <w:tab/>
      </w:r>
      <w:r w:rsidRPr="008D10E8" w:rsidR="007F112A">
        <w:t>Subpart J: Reporting and Other Administrative Requirements (§§ 53.1600-53.1730)</w:t>
      </w:r>
      <w:bookmarkStart w:id="118" w:name="_Toc205380046"/>
      <w:bookmarkStart w:id="119" w:name="_Toc194466476"/>
      <w:bookmarkStart w:id="120" w:name="_Toc194678437"/>
      <w:bookmarkEnd w:id="115"/>
      <w:bookmarkEnd w:id="116"/>
      <w:bookmarkEnd w:id="117"/>
      <w:bookmarkEnd w:id="118"/>
    </w:p>
    <w:p w:rsidR="007F112A" w:rsidRPr="00DA0A3C" w:rsidP="00927D0C" w14:paraId="69BB095A" w14:textId="77777777">
      <w:pPr>
        <w:pStyle w:val="Heading3"/>
        <w:keepNext/>
        <w:keepLines/>
        <w:numPr>
          <w:ilvl w:val="0"/>
          <w:numId w:val="0"/>
        </w:numPr>
        <w:ind w:left="720" w:hanging="720"/>
      </w:pPr>
      <w:bookmarkStart w:id="121" w:name="_Toc207222844"/>
      <w:r w:rsidRPr="001249BD">
        <w:rPr>
          <w:u w:val="none"/>
        </w:rPr>
        <w:t>3.10.1.</w:t>
      </w:r>
      <w:r w:rsidRPr="001249BD">
        <w:rPr>
          <w:u w:val="none"/>
        </w:rPr>
        <w:tab/>
      </w:r>
      <w:r w:rsidRPr="00DA0A3C">
        <w:t>Comments on Subpart J requirements (e.g., records, reporting, financial protection) not related to RFC</w:t>
      </w:r>
      <w:bookmarkEnd w:id="119"/>
      <w:bookmarkEnd w:id="120"/>
      <w:bookmarkEnd w:id="121"/>
    </w:p>
    <w:p w:rsidR="007F112A" w:rsidRPr="00B50320" w:rsidP="008C7B34" w14:paraId="4762A7D3" w14:textId="77777777">
      <w:pPr>
        <w:rPr>
          <w:rFonts w:ascii="Arial" w:eastAsia="DengXian" w:hAnsi="Arial" w:cs="Arial"/>
          <w:sz w:val="22"/>
          <w:szCs w:val="22"/>
          <w:lang w:eastAsia="ja-JP"/>
        </w:rPr>
      </w:pPr>
      <w:r w:rsidRPr="00B50320">
        <w:rPr>
          <w:rFonts w:ascii="Arial" w:eastAsia="DengXian" w:hAnsi="Arial" w:cs="Arial"/>
          <w:b/>
          <w:sz w:val="22"/>
          <w:szCs w:val="22"/>
          <w:lang w:eastAsia="ja-JP"/>
        </w:rPr>
        <w:t>Comment Bin 3.10.1.A:</w:t>
      </w:r>
      <w:r w:rsidRPr="00B50320">
        <w:rPr>
          <w:rFonts w:ascii="Arial" w:eastAsia="DengXian" w:hAnsi="Arial" w:cs="Arial"/>
          <w:sz w:val="22"/>
          <w:szCs w:val="22"/>
          <w:lang w:eastAsia="ja-JP"/>
        </w:rPr>
        <w:t xml:space="preserve"> A commenter provided the following feedback on the proposed provisions in Subpart J to 10 CFR Part 53</w:t>
      </w:r>
      <w:r w:rsidRPr="00B50320" w:rsidR="00D87E44">
        <w:rPr>
          <w:rFonts w:ascii="Arial" w:eastAsia="DengXian" w:hAnsi="Arial" w:cs="Arial"/>
          <w:sz w:val="22"/>
          <w:szCs w:val="22"/>
          <w:lang w:eastAsia="ja-JP"/>
        </w:rPr>
        <w:t xml:space="preserve"> </w:t>
      </w:r>
      <w:r w:rsidRPr="000179BD" w:rsidR="00D87E44">
        <w:rPr>
          <w:rFonts w:ascii="Arial" w:eastAsia="DengXian" w:hAnsi="Arial" w:cs="Arial"/>
          <w:sz w:val="22"/>
          <w:szCs w:val="22"/>
          <w:lang w:eastAsia="ja-JP"/>
        </w:rPr>
        <w:t>(</w:t>
      </w:r>
      <w:r w:rsidRPr="000179BD" w:rsidR="000179BD">
        <w:rPr>
          <w:rFonts w:ascii="Arial" w:eastAsia="Times New Roman" w:hAnsi="Arial" w:cs="Arial"/>
          <w:color w:val="000000"/>
          <w:sz w:val="22"/>
          <w:szCs w:val="22"/>
        </w:rPr>
        <w:t>TG15</w:t>
      </w:r>
      <w:r w:rsidRPr="000179BD" w:rsidR="00D87E44">
        <w:rPr>
          <w:rFonts w:ascii="Arial" w:eastAsia="DengXian" w:hAnsi="Arial" w:cs="Arial"/>
          <w:sz w:val="22"/>
          <w:szCs w:val="22"/>
          <w:lang w:eastAsia="ja-JP"/>
        </w:rPr>
        <w:t>-00</w:t>
      </w:r>
      <w:r w:rsidRPr="00B50320" w:rsidR="00D87E44">
        <w:rPr>
          <w:rFonts w:ascii="Arial" w:eastAsia="DengXian" w:hAnsi="Arial" w:cs="Arial"/>
          <w:sz w:val="22"/>
          <w:szCs w:val="22"/>
          <w:lang w:eastAsia="ja-JP"/>
        </w:rPr>
        <w:t>02)</w:t>
      </w:r>
      <w:r w:rsidRPr="00B50320">
        <w:rPr>
          <w:rFonts w:ascii="Arial" w:eastAsia="DengXian" w:hAnsi="Arial" w:cs="Arial"/>
          <w:sz w:val="22"/>
          <w:szCs w:val="22"/>
          <w:lang w:eastAsia="ja-JP"/>
        </w:rPr>
        <w:t>:</w:t>
      </w:r>
    </w:p>
    <w:p w:rsidR="00E3186B" w:rsidRPr="00B50320" w:rsidP="008C7B34" w14:paraId="2ECD133C" w14:textId="77777777">
      <w:pPr>
        <w:rPr>
          <w:rFonts w:ascii="Arial" w:eastAsia="DengXian" w:hAnsi="Arial" w:cs="Arial"/>
          <w:sz w:val="22"/>
          <w:szCs w:val="22"/>
          <w:lang w:eastAsia="ja-JP"/>
        </w:rPr>
      </w:pPr>
    </w:p>
    <w:p w:rsidR="007F112A" w:rsidRPr="00B50320" w:rsidP="008C7B34" w14:paraId="0C67A683" w14:textId="77777777">
      <w:pPr>
        <w:numPr>
          <w:ilvl w:val="0"/>
          <w:numId w:val="14"/>
        </w:numPr>
        <w:rPr>
          <w:rFonts w:ascii="Arial" w:eastAsia="DengXian" w:hAnsi="Arial" w:cs="Arial"/>
          <w:sz w:val="22"/>
          <w:szCs w:val="22"/>
          <w:lang w:eastAsia="ja-JP"/>
        </w:rPr>
      </w:pPr>
      <w:r w:rsidRPr="00B50320">
        <w:rPr>
          <w:rFonts w:ascii="Arial" w:eastAsia="DengXian" w:hAnsi="Arial" w:cs="Arial"/>
          <w:sz w:val="22"/>
          <w:szCs w:val="22"/>
          <w:lang w:eastAsia="ja-JP"/>
        </w:rPr>
        <w:t>The commenter expressed approval of 10 CFR 53.1610(b)(5).</w:t>
      </w:r>
    </w:p>
    <w:p w:rsidR="007F112A" w:rsidRPr="00B50320" w:rsidP="008C7B34" w14:paraId="7F6BAE87" w14:textId="77777777">
      <w:pPr>
        <w:numPr>
          <w:ilvl w:val="0"/>
          <w:numId w:val="14"/>
        </w:numPr>
        <w:rPr>
          <w:rFonts w:ascii="Arial" w:eastAsia="DengXian" w:hAnsi="Arial" w:cs="Arial"/>
          <w:sz w:val="22"/>
          <w:szCs w:val="22"/>
          <w:lang w:eastAsia="ja-JP"/>
        </w:rPr>
      </w:pPr>
      <w:r w:rsidRPr="00B50320">
        <w:rPr>
          <w:rFonts w:ascii="Arial" w:eastAsia="DengXian" w:hAnsi="Arial" w:cs="Arial"/>
          <w:sz w:val="22"/>
          <w:szCs w:val="22"/>
          <w:lang w:eastAsia="ja-JP"/>
        </w:rPr>
        <w:t>The commenter requested clarification on whether “microform” or “microfilm” should be used in 10 CFR 53.1620(d)(1).</w:t>
      </w:r>
    </w:p>
    <w:p w:rsidR="007F112A" w:rsidRPr="00B50320" w:rsidP="008C7B34" w14:paraId="6113610F" w14:textId="77777777">
      <w:pPr>
        <w:numPr>
          <w:ilvl w:val="0"/>
          <w:numId w:val="14"/>
        </w:numPr>
        <w:rPr>
          <w:rFonts w:ascii="Arial" w:eastAsia="DengXian" w:hAnsi="Arial" w:cs="Arial"/>
          <w:sz w:val="22"/>
          <w:szCs w:val="22"/>
          <w:lang w:eastAsia="ja-JP"/>
        </w:rPr>
      </w:pPr>
      <w:r w:rsidRPr="00B50320">
        <w:rPr>
          <w:rFonts w:ascii="Arial" w:eastAsia="DengXian" w:hAnsi="Arial" w:cs="Arial"/>
          <w:sz w:val="22"/>
          <w:szCs w:val="22"/>
          <w:lang w:eastAsia="ja-JP"/>
        </w:rPr>
        <w:t>The commenter requested that “30 calendar days” be updated to “15 calendar days” in 10 CFR 53.1620(e).</w:t>
      </w:r>
    </w:p>
    <w:p w:rsidR="007F112A" w:rsidRPr="00B50320" w:rsidP="008C7B34" w14:paraId="3F7F6B91" w14:textId="77777777">
      <w:pPr>
        <w:numPr>
          <w:ilvl w:val="0"/>
          <w:numId w:val="14"/>
        </w:numPr>
        <w:rPr>
          <w:rFonts w:ascii="Arial" w:eastAsia="DengXian" w:hAnsi="Arial" w:cs="Arial"/>
          <w:sz w:val="22"/>
          <w:szCs w:val="22"/>
          <w:lang w:eastAsia="ja-JP"/>
        </w:rPr>
      </w:pPr>
      <w:r w:rsidRPr="00B50320">
        <w:rPr>
          <w:rFonts w:ascii="Arial" w:eastAsia="DengXian" w:hAnsi="Arial" w:cs="Arial"/>
          <w:sz w:val="22"/>
          <w:szCs w:val="22"/>
          <w:lang w:eastAsia="ja-JP"/>
        </w:rPr>
        <w:t>The commenter requested that the NRC delete 10 CFR 53.1630(a)(ii).</w:t>
      </w:r>
    </w:p>
    <w:p w:rsidR="007F112A" w:rsidRPr="00B50320" w:rsidP="00B50320" w14:paraId="164E81D4" w14:textId="77777777">
      <w:pPr>
        <w:numPr>
          <w:ilvl w:val="0"/>
          <w:numId w:val="14"/>
        </w:num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commenter requested that 10 CFR 53.1640 be revised to reconsider the need for a 60-day licensing event reporting period, the acceptability of events caused by wear, the number of exceptions, and monitoring or averaging releases over time for one hour. Additionally, the commenter questioned whether anything more than a short description is needed to acquire information for </w:t>
      </w:r>
      <w:r w:rsidRPr="0032607A" w:rsidR="0032607A">
        <w:rPr>
          <w:rFonts w:ascii="Arial" w:eastAsia="DengXian" w:hAnsi="Arial" w:cs="Arial"/>
          <w:sz w:val="22"/>
          <w:szCs w:val="22"/>
          <w:lang w:eastAsia="ja-JP"/>
        </w:rPr>
        <w:t xml:space="preserve">Licensee Event Report </w:t>
      </w:r>
      <w:r w:rsidR="0032607A">
        <w:rPr>
          <w:rFonts w:ascii="Arial" w:eastAsia="DengXian" w:hAnsi="Arial" w:cs="Arial"/>
          <w:sz w:val="22"/>
          <w:szCs w:val="22"/>
          <w:lang w:eastAsia="ja-JP"/>
        </w:rPr>
        <w:t>(</w:t>
      </w:r>
      <w:r w:rsidRPr="00B50320">
        <w:rPr>
          <w:rFonts w:ascii="Arial" w:eastAsia="DengXian" w:hAnsi="Arial" w:cs="Arial"/>
          <w:sz w:val="22"/>
          <w:szCs w:val="22"/>
          <w:lang w:eastAsia="ja-JP"/>
        </w:rPr>
        <w:t>LER</w:t>
      </w:r>
      <w:r w:rsidR="0032607A">
        <w:rPr>
          <w:rFonts w:ascii="Arial" w:eastAsia="DengXian" w:hAnsi="Arial" w:cs="Arial"/>
          <w:sz w:val="22"/>
          <w:szCs w:val="22"/>
          <w:lang w:eastAsia="ja-JP"/>
        </w:rPr>
        <w:t>)</w:t>
      </w:r>
      <w:r w:rsidRPr="00B50320">
        <w:rPr>
          <w:rFonts w:ascii="Arial" w:eastAsia="DengXian" w:hAnsi="Arial" w:cs="Arial"/>
          <w:sz w:val="22"/>
          <w:szCs w:val="22"/>
          <w:lang w:eastAsia="ja-JP"/>
        </w:rPr>
        <w:t>-reportable events.</w:t>
      </w:r>
    </w:p>
    <w:p w:rsidR="007F112A" w:rsidRPr="00B50320" w:rsidP="00B50320" w14:paraId="5CD767EC"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Another commenter also addressed the proposed LER provisions in 10 CFR 53.1640, stating that the proposed provision and NRC Forms 366, 366A, and 366B should be revisited to account for the risk-informed requirements established by NEIMA in 2019 and the efficiency improvement elements established by the ADVANCE Act of 2024 </w:t>
      </w:r>
      <w:r w:rsidRPr="00866B0C">
        <w:rPr>
          <w:rFonts w:ascii="Arial" w:eastAsia="DengXian" w:hAnsi="Arial" w:cs="Arial"/>
          <w:sz w:val="22"/>
          <w:szCs w:val="22"/>
          <w:lang w:eastAsia="ja-JP"/>
        </w:rPr>
        <w:t>(</w:t>
      </w:r>
      <w:r w:rsidRPr="00866B0C" w:rsidR="00866B0C">
        <w:rPr>
          <w:rFonts w:ascii="Arial" w:eastAsia="Times New Roman" w:hAnsi="Arial" w:cs="Arial"/>
          <w:color w:val="000000"/>
          <w:sz w:val="22"/>
          <w:szCs w:val="22"/>
        </w:rPr>
        <w:t>HPT37</w:t>
      </w:r>
      <w:r w:rsidRPr="00866B0C">
        <w:rPr>
          <w:rFonts w:ascii="Arial" w:eastAsia="DengXian" w:hAnsi="Arial" w:cs="Arial"/>
          <w:sz w:val="22"/>
          <w:szCs w:val="22"/>
          <w:lang w:eastAsia="ja-JP"/>
        </w:rPr>
        <w:t>-00</w:t>
      </w:r>
      <w:r w:rsidRPr="00B50320">
        <w:rPr>
          <w:rFonts w:ascii="Arial" w:eastAsia="DengXian" w:hAnsi="Arial" w:cs="Arial"/>
          <w:sz w:val="22"/>
          <w:szCs w:val="22"/>
          <w:lang w:eastAsia="ja-JP"/>
        </w:rPr>
        <w:t>01).</w:t>
      </w:r>
    </w:p>
    <w:p w:rsidR="00DC6823" w:rsidP="00B50320" w14:paraId="4EBAB4A1"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w:t>
      </w:r>
      <w:r w:rsidR="00853FAC">
        <w:rPr>
          <w:rFonts w:ascii="Arial" w:eastAsia="DengXian" w:hAnsi="Arial" w:cs="Arial"/>
          <w:sz w:val="22"/>
          <w:szCs w:val="22"/>
          <w:lang w:eastAsia="ja-JP"/>
        </w:rPr>
        <w:t>agrees, in part, with</w:t>
      </w:r>
      <w:r w:rsidRPr="00B50320">
        <w:rPr>
          <w:rFonts w:ascii="Arial" w:eastAsia="DengXian" w:hAnsi="Arial" w:cs="Arial"/>
          <w:sz w:val="22"/>
          <w:szCs w:val="22"/>
          <w:lang w:eastAsia="ja-JP"/>
        </w:rPr>
        <w:t xml:space="preserve"> the </w:t>
      </w:r>
      <w:r>
        <w:rPr>
          <w:rFonts w:ascii="Arial" w:eastAsia="DengXian" w:hAnsi="Arial" w:cs="Arial"/>
          <w:sz w:val="22"/>
          <w:szCs w:val="22"/>
          <w:lang w:eastAsia="ja-JP"/>
        </w:rPr>
        <w:t>comments.</w:t>
      </w:r>
    </w:p>
    <w:p w:rsidR="007F112A" w:rsidRPr="00B50320" w:rsidP="00C45701" w14:paraId="6BB073E8"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acknowledges the favorable comment regarding the provision in 10</w:t>
      </w:r>
      <w:r w:rsidR="009C3C69">
        <w:rPr>
          <w:rFonts w:ascii="Arial" w:eastAsia="DengXian" w:hAnsi="Arial" w:cs="Arial"/>
          <w:sz w:val="22"/>
          <w:szCs w:val="22"/>
          <w:lang w:eastAsia="ja-JP"/>
        </w:rPr>
        <w:t> </w:t>
      </w:r>
      <w:r w:rsidRPr="00B50320">
        <w:rPr>
          <w:rFonts w:ascii="Arial" w:eastAsia="DengXian" w:hAnsi="Arial" w:cs="Arial"/>
          <w:sz w:val="22"/>
          <w:szCs w:val="22"/>
          <w:lang w:eastAsia="ja-JP"/>
        </w:rPr>
        <w:t>CFR</w:t>
      </w:r>
      <w:r w:rsidR="009C3C69">
        <w:rPr>
          <w:rFonts w:ascii="Arial" w:eastAsia="DengXian" w:hAnsi="Arial" w:cs="Arial"/>
          <w:sz w:val="22"/>
          <w:szCs w:val="22"/>
          <w:lang w:eastAsia="ja-JP"/>
        </w:rPr>
        <w:t> </w:t>
      </w:r>
      <w:r w:rsidRPr="00B50320">
        <w:rPr>
          <w:rFonts w:ascii="Arial" w:eastAsia="DengXian" w:hAnsi="Arial" w:cs="Arial"/>
          <w:sz w:val="22"/>
          <w:szCs w:val="22"/>
          <w:lang w:eastAsia="ja-JP"/>
        </w:rPr>
        <w:t>53.</w:t>
      </w:r>
      <w:r w:rsidR="004758AB">
        <w:rPr>
          <w:rFonts w:ascii="Arial" w:eastAsia="DengXian" w:hAnsi="Arial" w:cs="Arial"/>
          <w:sz w:val="22"/>
          <w:szCs w:val="22"/>
          <w:lang w:eastAsia="ja-JP"/>
        </w:rPr>
        <w:t>1</w:t>
      </w:r>
      <w:r w:rsidRPr="00B50320">
        <w:rPr>
          <w:rFonts w:ascii="Arial" w:eastAsia="DengXian" w:hAnsi="Arial" w:cs="Arial"/>
          <w:sz w:val="22"/>
          <w:szCs w:val="22"/>
          <w:lang w:eastAsia="ja-JP"/>
        </w:rPr>
        <w:t>610(b)(5)</w:t>
      </w:r>
      <w:r w:rsidR="00420618">
        <w:rPr>
          <w:rFonts w:ascii="Arial" w:eastAsia="DengXian" w:hAnsi="Arial" w:cs="Arial"/>
          <w:sz w:val="22"/>
          <w:szCs w:val="22"/>
          <w:lang w:eastAsia="ja-JP"/>
        </w:rPr>
        <w:t xml:space="preserve">, </w:t>
      </w:r>
      <w:r w:rsidR="008B491A">
        <w:rPr>
          <w:rFonts w:ascii="Arial" w:eastAsia="DengXian" w:hAnsi="Arial" w:cs="Arial"/>
          <w:sz w:val="22"/>
          <w:szCs w:val="22"/>
          <w:lang w:eastAsia="ja-JP"/>
        </w:rPr>
        <w:t>which</w:t>
      </w:r>
      <w:r w:rsidR="00B87AE2">
        <w:rPr>
          <w:rFonts w:ascii="Arial" w:eastAsia="DengXian" w:hAnsi="Arial" w:cs="Arial"/>
          <w:sz w:val="22"/>
          <w:szCs w:val="22"/>
          <w:lang w:eastAsia="ja-JP"/>
        </w:rPr>
        <w:t xml:space="preserve"> requires</w:t>
      </w:r>
      <w:r w:rsidR="00C131EA">
        <w:rPr>
          <w:rFonts w:ascii="Arial" w:eastAsia="DengXian" w:hAnsi="Arial" w:cs="Arial"/>
          <w:sz w:val="22"/>
          <w:szCs w:val="22"/>
          <w:lang w:eastAsia="ja-JP"/>
        </w:rPr>
        <w:t xml:space="preserve"> that </w:t>
      </w:r>
      <w:r w:rsidR="00D8405B">
        <w:rPr>
          <w:rFonts w:ascii="Arial" w:eastAsia="DengXian" w:hAnsi="Arial" w:cs="Arial"/>
          <w:sz w:val="22"/>
          <w:szCs w:val="22"/>
          <w:lang w:eastAsia="ja-JP"/>
        </w:rPr>
        <w:t xml:space="preserve">the </w:t>
      </w:r>
      <w:r w:rsidR="00C131EA">
        <w:rPr>
          <w:rFonts w:ascii="Arial" w:eastAsia="DengXian" w:hAnsi="Arial" w:cs="Arial"/>
          <w:sz w:val="22"/>
          <w:szCs w:val="22"/>
          <w:lang w:eastAsia="ja-JP"/>
        </w:rPr>
        <w:t>arrival</w:t>
      </w:r>
      <w:r w:rsidR="005E5AC4">
        <w:rPr>
          <w:rFonts w:ascii="Arial" w:eastAsia="DengXian" w:hAnsi="Arial" w:cs="Arial"/>
          <w:sz w:val="22"/>
          <w:szCs w:val="22"/>
          <w:lang w:eastAsia="ja-JP"/>
        </w:rPr>
        <w:t xml:space="preserve"> and presence of an NRC </w:t>
      </w:r>
      <w:r w:rsidR="00C131EA">
        <w:rPr>
          <w:rFonts w:ascii="Arial" w:eastAsia="DengXian" w:hAnsi="Arial" w:cs="Arial"/>
          <w:sz w:val="22"/>
          <w:szCs w:val="22"/>
          <w:lang w:eastAsia="ja-JP"/>
        </w:rPr>
        <w:t>inspector</w:t>
      </w:r>
      <w:r w:rsidR="00A97049">
        <w:rPr>
          <w:rFonts w:ascii="Arial" w:eastAsia="DengXian" w:hAnsi="Arial" w:cs="Arial"/>
          <w:sz w:val="22"/>
          <w:szCs w:val="22"/>
          <w:lang w:eastAsia="ja-JP"/>
        </w:rPr>
        <w:t xml:space="preserve"> is not announced unless requested by the inspector.</w:t>
      </w:r>
      <w:r w:rsidR="00A53CF8">
        <w:rPr>
          <w:rFonts w:ascii="Arial" w:eastAsia="DengXian" w:hAnsi="Arial" w:cs="Arial"/>
          <w:sz w:val="22"/>
          <w:szCs w:val="22"/>
          <w:lang w:eastAsia="ja-JP"/>
        </w:rPr>
        <w:t xml:space="preserve"> This</w:t>
      </w:r>
      <w:r w:rsidR="00E352F0">
        <w:rPr>
          <w:rFonts w:ascii="Arial" w:eastAsia="DengXian" w:hAnsi="Arial" w:cs="Arial"/>
          <w:sz w:val="22"/>
          <w:szCs w:val="22"/>
          <w:lang w:eastAsia="ja-JP"/>
        </w:rPr>
        <w:t xml:space="preserve"> is</w:t>
      </w:r>
      <w:r w:rsidR="00420618">
        <w:rPr>
          <w:rFonts w:ascii="Arial" w:eastAsia="DengXian" w:hAnsi="Arial" w:cs="Arial"/>
          <w:sz w:val="22"/>
          <w:szCs w:val="22"/>
          <w:lang w:eastAsia="ja-JP"/>
        </w:rPr>
        <w:t xml:space="preserve"> consistent with </w:t>
      </w:r>
      <w:r w:rsidR="00A53CF8">
        <w:rPr>
          <w:rFonts w:ascii="Arial" w:eastAsia="DengXian" w:hAnsi="Arial" w:cs="Arial"/>
          <w:sz w:val="22"/>
          <w:szCs w:val="22"/>
          <w:lang w:eastAsia="ja-JP"/>
        </w:rPr>
        <w:t xml:space="preserve">the </w:t>
      </w:r>
      <w:r w:rsidR="00420618">
        <w:rPr>
          <w:rFonts w:ascii="Arial" w:eastAsia="DengXian" w:hAnsi="Arial" w:cs="Arial"/>
          <w:sz w:val="22"/>
          <w:szCs w:val="22"/>
          <w:lang w:eastAsia="ja-JP"/>
        </w:rPr>
        <w:t>regulatory framework</w:t>
      </w:r>
      <w:r w:rsidR="00A53CF8">
        <w:rPr>
          <w:rFonts w:ascii="Arial" w:eastAsia="DengXian" w:hAnsi="Arial" w:cs="Arial"/>
          <w:sz w:val="22"/>
          <w:szCs w:val="22"/>
          <w:lang w:eastAsia="ja-JP"/>
        </w:rPr>
        <w:t>s</w:t>
      </w:r>
      <w:r w:rsidR="00420618">
        <w:rPr>
          <w:rFonts w:ascii="Arial" w:eastAsia="DengXian" w:hAnsi="Arial" w:cs="Arial"/>
          <w:sz w:val="22"/>
          <w:szCs w:val="22"/>
          <w:lang w:eastAsia="ja-JP"/>
        </w:rPr>
        <w:t xml:space="preserve"> for ex</w:t>
      </w:r>
      <w:r w:rsidR="00E352F0">
        <w:rPr>
          <w:rFonts w:ascii="Arial" w:eastAsia="DengXian" w:hAnsi="Arial" w:cs="Arial"/>
          <w:sz w:val="22"/>
          <w:szCs w:val="22"/>
          <w:lang w:eastAsia="ja-JP"/>
        </w:rPr>
        <w:t>isting reactors and an important element of NRC oversight</w:t>
      </w:r>
      <w:r w:rsidRPr="00B50320">
        <w:rPr>
          <w:rFonts w:ascii="Arial" w:eastAsia="DengXian" w:hAnsi="Arial" w:cs="Arial"/>
          <w:sz w:val="22"/>
          <w:szCs w:val="22"/>
          <w:lang w:eastAsia="ja-JP"/>
        </w:rPr>
        <w:t>. The suggested changes in other sections within Subpart J of 10</w:t>
      </w:r>
      <w:r w:rsidR="00283541">
        <w:rPr>
          <w:rFonts w:ascii="Arial" w:eastAsia="DengXian" w:hAnsi="Arial" w:cs="Arial"/>
          <w:sz w:val="22"/>
          <w:szCs w:val="22"/>
          <w:lang w:eastAsia="ja-JP"/>
        </w:rPr>
        <w:t> </w:t>
      </w:r>
      <w:r w:rsidRPr="00B50320">
        <w:rPr>
          <w:rFonts w:ascii="Arial" w:eastAsia="DengXian" w:hAnsi="Arial" w:cs="Arial"/>
          <w:sz w:val="22"/>
          <w:szCs w:val="22"/>
          <w:lang w:eastAsia="ja-JP"/>
        </w:rPr>
        <w:t>CFR</w:t>
      </w:r>
      <w:r w:rsidR="00283541">
        <w:rPr>
          <w:rFonts w:ascii="Arial" w:eastAsia="DengXian" w:hAnsi="Arial" w:cs="Arial"/>
          <w:sz w:val="22"/>
          <w:szCs w:val="22"/>
          <w:lang w:eastAsia="ja-JP"/>
        </w:rPr>
        <w:t> </w:t>
      </w:r>
      <w:r w:rsidRPr="00B50320">
        <w:rPr>
          <w:rFonts w:ascii="Arial" w:eastAsia="DengXian" w:hAnsi="Arial" w:cs="Arial"/>
          <w:sz w:val="22"/>
          <w:szCs w:val="22"/>
          <w:lang w:eastAsia="ja-JP"/>
        </w:rPr>
        <w:t>Part</w:t>
      </w:r>
      <w:r w:rsidR="0070155B">
        <w:rPr>
          <w:rFonts w:ascii="Arial" w:eastAsia="DengXian" w:hAnsi="Arial" w:cs="Arial"/>
          <w:sz w:val="22"/>
          <w:szCs w:val="22"/>
          <w:lang w:eastAsia="ja-JP"/>
        </w:rPr>
        <w:t> </w:t>
      </w:r>
      <w:r w:rsidRPr="00B50320">
        <w:rPr>
          <w:rFonts w:ascii="Arial" w:eastAsia="DengXian" w:hAnsi="Arial" w:cs="Arial"/>
          <w:sz w:val="22"/>
          <w:szCs w:val="22"/>
          <w:lang w:eastAsia="ja-JP"/>
        </w:rPr>
        <w:t>53 are addressed below:</w:t>
      </w:r>
    </w:p>
    <w:p w:rsidR="007F112A" w:rsidRPr="00B50320" w:rsidP="00455E55" w14:paraId="6B5B68F0" w14:textId="77777777">
      <w:pPr>
        <w:pStyle w:val="ListParagraph"/>
        <w:numPr>
          <w:ilvl w:val="0"/>
          <w:numId w:val="33"/>
        </w:numPr>
        <w:spacing w:after="220"/>
        <w:contextualSpacing w:val="0"/>
        <w:rPr>
          <w:rFonts w:ascii="Arial" w:eastAsia="DengXian" w:hAnsi="Arial" w:cs="Arial"/>
          <w:sz w:val="22"/>
          <w:szCs w:val="22"/>
          <w:lang w:eastAsia="ja-JP"/>
        </w:rPr>
      </w:pPr>
      <w:r w:rsidRPr="00B50320">
        <w:rPr>
          <w:rFonts w:ascii="Arial" w:eastAsia="DengXian" w:hAnsi="Arial" w:cs="Arial"/>
          <w:sz w:val="22"/>
          <w:szCs w:val="22"/>
          <w:lang w:eastAsia="ja-JP"/>
        </w:rPr>
        <w:t>Regarding the requested clarification under 10 CFR 53.1620(d)(1), “microform” is the correct term. This is the same term used in existing NRC regulations in 10</w:t>
      </w:r>
      <w:r w:rsidRPr="00B50320" w:rsidR="00FF495E">
        <w:rPr>
          <w:rFonts w:ascii="Arial" w:eastAsia="DengXian" w:hAnsi="Arial" w:cs="Arial"/>
          <w:sz w:val="22"/>
          <w:szCs w:val="22"/>
          <w:lang w:eastAsia="ja-JP"/>
        </w:rPr>
        <w:t> </w:t>
      </w:r>
      <w:r w:rsidRPr="00B50320">
        <w:rPr>
          <w:rFonts w:ascii="Arial" w:eastAsia="DengXian" w:hAnsi="Arial" w:cs="Arial"/>
          <w:sz w:val="22"/>
          <w:szCs w:val="22"/>
          <w:lang w:eastAsia="ja-JP"/>
        </w:rPr>
        <w:t>CFR 50.71.</w:t>
      </w:r>
    </w:p>
    <w:p w:rsidR="007F112A" w:rsidRPr="00B50320" w:rsidP="00455E55" w14:paraId="2CD5C17D" w14:textId="77777777">
      <w:pPr>
        <w:pStyle w:val="ListParagraph"/>
        <w:numPr>
          <w:ilvl w:val="0"/>
          <w:numId w:val="33"/>
        </w:numPr>
        <w:spacing w:after="220"/>
        <w:contextualSpacing w:val="0"/>
        <w:rPr>
          <w:rFonts w:ascii="Arial" w:eastAsia="DengXian" w:hAnsi="Arial" w:cs="Arial"/>
          <w:sz w:val="22"/>
          <w:szCs w:val="22"/>
          <w:lang w:eastAsia="ja-JP"/>
        </w:rPr>
      </w:pPr>
      <w:r w:rsidRPr="00B50320">
        <w:rPr>
          <w:rFonts w:ascii="Arial" w:eastAsia="DengXian" w:hAnsi="Arial" w:cs="Arial"/>
          <w:sz w:val="22"/>
          <w:szCs w:val="22"/>
          <w:lang w:eastAsia="ja-JP"/>
        </w:rPr>
        <w:t>The NRC disagrees with the request that “30 calendar days” be updated to “15</w:t>
      </w:r>
      <w:r w:rsidRPr="00B50320" w:rsidR="009C72D1">
        <w:rPr>
          <w:rFonts w:ascii="Arial" w:eastAsia="DengXian" w:hAnsi="Arial" w:cs="Arial"/>
          <w:sz w:val="22"/>
          <w:szCs w:val="22"/>
          <w:lang w:eastAsia="ja-JP"/>
        </w:rPr>
        <w:t> </w:t>
      </w:r>
      <w:r w:rsidRPr="00B50320">
        <w:rPr>
          <w:rFonts w:ascii="Arial" w:eastAsia="DengXian" w:hAnsi="Arial" w:cs="Arial"/>
          <w:sz w:val="22"/>
          <w:szCs w:val="22"/>
          <w:lang w:eastAsia="ja-JP"/>
        </w:rPr>
        <w:t>calendar days” in 10 CFR 53.1620(e). The primary purpose of including a notification of completion of startup testing is use of that milestone within 10</w:t>
      </w:r>
      <w:r w:rsidRPr="00B50320" w:rsidR="009C72D1">
        <w:rPr>
          <w:rFonts w:ascii="Arial" w:eastAsia="DengXian" w:hAnsi="Arial" w:cs="Arial"/>
          <w:sz w:val="22"/>
          <w:szCs w:val="22"/>
          <w:lang w:eastAsia="ja-JP"/>
        </w:rPr>
        <w:t> </w:t>
      </w:r>
      <w:r w:rsidRPr="00B50320">
        <w:rPr>
          <w:rFonts w:ascii="Arial" w:eastAsia="DengXian" w:hAnsi="Arial" w:cs="Arial"/>
          <w:sz w:val="22"/>
          <w:szCs w:val="22"/>
          <w:lang w:eastAsia="ja-JP"/>
        </w:rPr>
        <w:t>CFR Part 171 as the criterion for when a licensee is required to pay annual fees. In that context, the NRC has determined that 30 days is appropriate and sees no need to shorten the notification period.</w:t>
      </w:r>
    </w:p>
    <w:p w:rsidR="007F112A" w:rsidRPr="00B50320" w:rsidP="00455E55" w14:paraId="1F6CAD75" w14:textId="77777777">
      <w:pPr>
        <w:pStyle w:val="ListParagraph"/>
        <w:numPr>
          <w:ilvl w:val="0"/>
          <w:numId w:val="33"/>
        </w:numPr>
        <w:spacing w:after="220"/>
        <w:contextualSpacing w:val="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disagrees with the suggested deletion of 10 CFR 53.1630(a)(ii) on the reporting of nonemergency events </w:t>
      </w:r>
      <w:r w:rsidRPr="00B50320" w:rsidR="00BD6D9C">
        <w:rPr>
          <w:rFonts w:ascii="Arial" w:eastAsia="DengXian" w:hAnsi="Arial" w:cs="Arial"/>
          <w:sz w:val="22"/>
          <w:szCs w:val="22"/>
          <w:lang w:eastAsia="ja-JP"/>
        </w:rPr>
        <w:t xml:space="preserve">under 10 CFR 53.1630(b) </w:t>
      </w:r>
      <w:r w:rsidRPr="00B50320">
        <w:rPr>
          <w:rFonts w:ascii="Arial" w:eastAsia="DengXian" w:hAnsi="Arial" w:cs="Arial"/>
          <w:sz w:val="22"/>
          <w:szCs w:val="22"/>
          <w:lang w:eastAsia="ja-JP"/>
        </w:rPr>
        <w:t xml:space="preserve">to the NRC Operations Center via the Emergency Notification System. </w:t>
      </w:r>
      <w:r w:rsidRPr="00B50320" w:rsidR="00D93B63">
        <w:rPr>
          <w:rFonts w:ascii="Arial" w:eastAsia="DengXian" w:hAnsi="Arial" w:cs="Arial"/>
          <w:sz w:val="22"/>
          <w:szCs w:val="22"/>
          <w:lang w:eastAsia="ja-JP"/>
        </w:rPr>
        <w:t>For</w:t>
      </w:r>
      <w:r w:rsidRPr="00B50320" w:rsidR="00164B9B">
        <w:rPr>
          <w:rFonts w:ascii="Arial" w:eastAsia="DengXian" w:hAnsi="Arial" w:cs="Arial"/>
          <w:sz w:val="22"/>
          <w:szCs w:val="22"/>
          <w:lang w:eastAsia="ja-JP"/>
        </w:rPr>
        <w:t xml:space="preserve"> </w:t>
      </w:r>
      <w:r w:rsidRPr="00B50320" w:rsidR="00B30ADF">
        <w:rPr>
          <w:rFonts w:ascii="Arial" w:eastAsia="DengXian" w:hAnsi="Arial" w:cs="Arial"/>
          <w:sz w:val="22"/>
          <w:szCs w:val="22"/>
          <w:lang w:eastAsia="ja-JP"/>
        </w:rPr>
        <w:t>specifics on</w:t>
      </w:r>
      <w:r w:rsidRPr="00B50320" w:rsidR="00B402D0">
        <w:rPr>
          <w:rFonts w:ascii="Arial" w:eastAsia="DengXian" w:hAnsi="Arial" w:cs="Arial"/>
          <w:sz w:val="22"/>
          <w:szCs w:val="22"/>
          <w:lang w:eastAsia="ja-JP"/>
        </w:rPr>
        <w:t xml:space="preserve"> </w:t>
      </w:r>
      <w:r w:rsidRPr="00B50320">
        <w:rPr>
          <w:rFonts w:ascii="Arial" w:eastAsia="DengXian" w:hAnsi="Arial" w:cs="Arial"/>
          <w:sz w:val="22"/>
          <w:szCs w:val="22"/>
          <w:lang w:eastAsia="ja-JP"/>
        </w:rPr>
        <w:t xml:space="preserve">changes to existing </w:t>
      </w:r>
      <w:r w:rsidR="00F43C81">
        <w:rPr>
          <w:rFonts w:ascii="Arial" w:eastAsia="DengXian" w:hAnsi="Arial" w:cs="Arial"/>
          <w:sz w:val="22"/>
          <w:szCs w:val="22"/>
          <w:lang w:eastAsia="ja-JP"/>
        </w:rPr>
        <w:br/>
      </w:r>
      <w:r w:rsidRPr="00B50320">
        <w:rPr>
          <w:rFonts w:ascii="Arial" w:eastAsia="DengXian" w:hAnsi="Arial" w:cs="Arial"/>
          <w:sz w:val="22"/>
          <w:szCs w:val="22"/>
          <w:lang w:eastAsia="ja-JP"/>
        </w:rPr>
        <w:t xml:space="preserve">non-emergency reporting requirements as outlined in SECY-24-0049, “Proposed Rule - Reporting Requirements for Nonemergency Events at Nuclear Power Plants (3150-AK71; NRC-2020-0036),” </w:t>
      </w:r>
      <w:r w:rsidRPr="00B50320" w:rsidR="00B402D0">
        <w:rPr>
          <w:rFonts w:ascii="Arial" w:eastAsia="DengXian" w:hAnsi="Arial" w:cs="Arial"/>
          <w:sz w:val="22"/>
          <w:szCs w:val="22"/>
          <w:lang w:eastAsia="ja-JP"/>
        </w:rPr>
        <w:t>see response to Comment Bin 10.</w:t>
      </w:r>
      <w:r w:rsidR="00B327E2">
        <w:rPr>
          <w:rFonts w:ascii="Arial" w:eastAsia="DengXian" w:hAnsi="Arial" w:cs="Arial"/>
          <w:sz w:val="22"/>
          <w:szCs w:val="22"/>
          <w:lang w:eastAsia="ja-JP"/>
        </w:rPr>
        <w:t>E</w:t>
      </w:r>
      <w:r w:rsidRPr="00B50320">
        <w:rPr>
          <w:rFonts w:ascii="Arial" w:eastAsia="DengXian" w:hAnsi="Arial" w:cs="Arial"/>
          <w:sz w:val="22"/>
          <w:szCs w:val="22"/>
          <w:lang w:eastAsia="ja-JP"/>
        </w:rPr>
        <w:t>.</w:t>
      </w:r>
    </w:p>
    <w:p w:rsidR="007F112A" w:rsidRPr="00B50320" w:rsidP="00455E55" w14:paraId="27471B33" w14:textId="77777777">
      <w:pPr>
        <w:pStyle w:val="ListParagraph"/>
        <w:numPr>
          <w:ilvl w:val="0"/>
          <w:numId w:val="33"/>
        </w:numPr>
        <w:spacing w:after="220"/>
        <w:contextualSpacing w:val="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disagrees with the suggestion that the NRC reconsider the need for </w:t>
      </w:r>
      <w:r w:rsidR="009217F6">
        <w:rPr>
          <w:rFonts w:ascii="Arial" w:eastAsia="DengXian" w:hAnsi="Arial" w:cs="Arial"/>
          <w:sz w:val="22"/>
          <w:szCs w:val="22"/>
          <w:lang w:eastAsia="ja-JP"/>
        </w:rPr>
        <w:t>LERs</w:t>
      </w:r>
      <w:r w:rsidRPr="00B50320">
        <w:rPr>
          <w:rFonts w:ascii="Arial" w:eastAsia="DengXian" w:hAnsi="Arial" w:cs="Arial"/>
          <w:sz w:val="22"/>
          <w:szCs w:val="22"/>
          <w:lang w:eastAsia="ja-JP"/>
        </w:rPr>
        <w:t xml:space="preserve"> or the information required to be in licensee event reports and the related forms because much shorter reports would not serve the purpose of the NRC and stakeholders in terms of using the reports to evaluate and, where appropriate, take actions to address the operating experience at commercial nuclear plants. The overall risk-informed framework used for 10</w:t>
      </w:r>
      <w:r w:rsidRPr="00B50320" w:rsidR="00EA0E40">
        <w:rPr>
          <w:rFonts w:ascii="Arial" w:eastAsia="DengXian" w:hAnsi="Arial" w:cs="Arial"/>
          <w:sz w:val="22"/>
          <w:szCs w:val="22"/>
          <w:lang w:eastAsia="ja-JP"/>
        </w:rPr>
        <w:t> </w:t>
      </w:r>
      <w:r w:rsidRPr="00B50320">
        <w:rPr>
          <w:rFonts w:ascii="Arial" w:eastAsia="DengXian" w:hAnsi="Arial" w:cs="Arial"/>
          <w:sz w:val="22"/>
          <w:szCs w:val="22"/>
          <w:lang w:eastAsia="ja-JP"/>
        </w:rPr>
        <w:t>CFR Part 53 will facilitate making the reporting requirements correspondingly risk</w:t>
      </w:r>
      <w:r w:rsidR="00D61DAE">
        <w:rPr>
          <w:rFonts w:ascii="Arial" w:eastAsia="DengXian" w:hAnsi="Arial" w:cs="Arial"/>
          <w:sz w:val="22"/>
          <w:szCs w:val="22"/>
          <w:lang w:eastAsia="ja-JP"/>
        </w:rPr>
        <w:t>-</w:t>
      </w:r>
      <w:r w:rsidRPr="00B50320">
        <w:rPr>
          <w:rFonts w:ascii="Arial" w:eastAsia="DengXian" w:hAnsi="Arial" w:cs="Arial"/>
          <w:sz w:val="22"/>
          <w:szCs w:val="22"/>
          <w:lang w:eastAsia="ja-JP"/>
        </w:rPr>
        <w:t>informed (e.g.,</w:t>
      </w:r>
      <w:r w:rsidRPr="00B50320" w:rsidR="00381DA9">
        <w:rPr>
          <w:rFonts w:ascii="Arial" w:eastAsia="DengXian" w:hAnsi="Arial" w:cs="Arial"/>
          <w:sz w:val="22"/>
          <w:szCs w:val="22"/>
          <w:lang w:eastAsia="ja-JP"/>
        </w:rPr>
        <w:t> </w:t>
      </w:r>
      <w:r w:rsidRPr="00B50320">
        <w:rPr>
          <w:rFonts w:ascii="Arial" w:eastAsia="DengXian" w:hAnsi="Arial" w:cs="Arial"/>
          <w:sz w:val="22"/>
          <w:szCs w:val="22"/>
          <w:lang w:eastAsia="ja-JP"/>
        </w:rPr>
        <w:t>references in the reporting requirements to the design and analysis requirements from Subpart C to 10 CFR Part 53).</w:t>
      </w:r>
    </w:p>
    <w:p w:rsidR="007F112A" w:rsidRPr="00B50320" w:rsidP="00B50320" w14:paraId="6DEB481E"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Accordingly, the NRC did not change the rule language in response to th</w:t>
      </w:r>
      <w:r w:rsidRPr="00B50320" w:rsidR="00663ABE">
        <w:rPr>
          <w:rFonts w:ascii="Arial" w:eastAsia="DengXian" w:hAnsi="Arial" w:cs="Arial"/>
          <w:sz w:val="22"/>
          <w:szCs w:val="22"/>
          <w:lang w:eastAsia="ja-JP"/>
        </w:rPr>
        <w:t>e</w:t>
      </w:r>
      <w:r w:rsidRPr="00B50320">
        <w:rPr>
          <w:rFonts w:ascii="Arial" w:eastAsia="DengXian" w:hAnsi="Arial" w:cs="Arial"/>
          <w:sz w:val="22"/>
          <w:szCs w:val="22"/>
          <w:lang w:eastAsia="ja-JP"/>
        </w:rPr>
        <w:t>s</w:t>
      </w:r>
      <w:r w:rsidRPr="00B50320" w:rsidR="00663ABE">
        <w:rPr>
          <w:rFonts w:ascii="Arial" w:eastAsia="DengXian" w:hAnsi="Arial" w:cs="Arial"/>
          <w:sz w:val="22"/>
          <w:szCs w:val="22"/>
          <w:lang w:eastAsia="ja-JP"/>
        </w:rPr>
        <w:t>e</w:t>
      </w:r>
      <w:r w:rsidRPr="00B50320">
        <w:rPr>
          <w:rFonts w:ascii="Arial" w:eastAsia="DengXian" w:hAnsi="Arial" w:cs="Arial"/>
          <w:sz w:val="22"/>
          <w:szCs w:val="22"/>
          <w:lang w:eastAsia="ja-JP"/>
        </w:rPr>
        <w:t xml:space="preserve"> comment</w:t>
      </w:r>
      <w:r w:rsidRPr="00B50320" w:rsidR="00663ABE">
        <w:rPr>
          <w:rFonts w:ascii="Arial" w:eastAsia="DengXian" w:hAnsi="Arial" w:cs="Arial"/>
          <w:sz w:val="22"/>
          <w:szCs w:val="22"/>
          <w:lang w:eastAsia="ja-JP"/>
        </w:rPr>
        <w:t>s</w:t>
      </w:r>
      <w:r w:rsidRPr="00B50320">
        <w:rPr>
          <w:rFonts w:ascii="Arial" w:eastAsia="DengXian" w:hAnsi="Arial" w:cs="Arial"/>
          <w:sz w:val="22"/>
          <w:szCs w:val="22"/>
          <w:lang w:eastAsia="ja-JP"/>
        </w:rPr>
        <w:t>.</w:t>
      </w:r>
    </w:p>
    <w:p w:rsidR="007F112A" w:rsidRPr="00B50320" w:rsidP="00B50320" w14:paraId="763AA9DF"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299" style="width:0;height:1.5pt" o:hralign="center" o:hrstd="t" o:hrnoshade="t" o:hr="t" fillcolor="black" stroked="f"/>
        </w:pict>
      </w:r>
    </w:p>
    <w:p w:rsidR="007F112A" w:rsidRPr="00B50320" w:rsidP="00B50320" w14:paraId="4393BD55"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3.10.1.B:</w:t>
      </w:r>
      <w:r w:rsidRPr="00B50320">
        <w:rPr>
          <w:rFonts w:ascii="Arial" w:eastAsia="DengXian" w:hAnsi="Arial" w:cs="Arial"/>
          <w:sz w:val="22"/>
          <w:szCs w:val="22"/>
          <w:lang w:eastAsia="ja-JP"/>
        </w:rPr>
        <w:t xml:space="preserve"> A commenter discussed that the proposed insurance requirement in 10 CFR 53.1720(a) includes an amount based on cost estimates to stabilize and decontaminate a plant but provides no discussion of the estimation process or acceptance criteria for the amount. The commenter requested that high-level language on the estimation process and acceptance criteria be incorporated into the proposed rule, adding that additional detail could be provided in guidance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-0154). Relatedly, a commenter requested that proposed 10 CFR</w:t>
      </w:r>
      <w:r w:rsidR="00D73A62">
        <w:rPr>
          <w:rFonts w:ascii="Arial" w:eastAsia="DengXian" w:hAnsi="Arial" w:cs="Arial"/>
          <w:sz w:val="22"/>
          <w:szCs w:val="22"/>
          <w:lang w:eastAsia="ja-JP"/>
        </w:rPr>
        <w:t> </w:t>
      </w:r>
      <w:r w:rsidRPr="00B50320">
        <w:rPr>
          <w:rFonts w:ascii="Arial" w:eastAsia="DengXian" w:hAnsi="Arial" w:cs="Arial"/>
          <w:sz w:val="22"/>
          <w:szCs w:val="22"/>
          <w:lang w:eastAsia="ja-JP"/>
        </w:rPr>
        <w:t>53.1720(a) be revised to replace “whichever is less” with “whichever is more” to avoid a scenario with a required minimum amount of $0 (</w:t>
      </w:r>
      <w:r w:rsidRPr="000179BD" w:rsidR="000179BD">
        <w:rPr>
          <w:rFonts w:ascii="Arial" w:eastAsia="Times New Roman" w:hAnsi="Arial" w:cs="Arial"/>
          <w:color w:val="000000"/>
          <w:sz w:val="22"/>
          <w:szCs w:val="22"/>
        </w:rPr>
        <w:t>TG16</w:t>
      </w:r>
      <w:r w:rsidRPr="000179BD">
        <w:rPr>
          <w:rFonts w:ascii="Arial" w:eastAsia="DengXian" w:hAnsi="Arial" w:cs="Arial"/>
          <w:sz w:val="22"/>
          <w:szCs w:val="22"/>
          <w:lang w:eastAsia="ja-JP"/>
        </w:rPr>
        <w:t>-0</w:t>
      </w:r>
      <w:r w:rsidRPr="00B50320">
        <w:rPr>
          <w:rFonts w:ascii="Arial" w:eastAsia="DengXian" w:hAnsi="Arial" w:cs="Arial"/>
          <w:sz w:val="22"/>
          <w:szCs w:val="22"/>
          <w:lang w:eastAsia="ja-JP"/>
        </w:rPr>
        <w:t>001).</w:t>
      </w:r>
    </w:p>
    <w:p w:rsidR="007F112A" w:rsidRPr="00B50320" w:rsidP="00B50320" w14:paraId="15D34052"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A commenter discussed that proposed 10 CFR 53.1720 allows licensees to base minimum insurance coverage limits on plant-specific cost analyses rather than on an established minimum. The commenter stated that this provision is ambiguous and will be difficult for the NRC and other Federal agencies to enforce. The commenter requested that the proposed rule provide a more clear and structured process to allow for stakeholder and State regulator involvement throughout the entire advanced reactor licensing process (</w:t>
      </w:r>
      <w:r w:rsidR="00E36F7E">
        <w:rPr>
          <w:rFonts w:ascii="Arial" w:eastAsia="DengXian" w:hAnsi="Arial" w:cs="Arial"/>
          <w:sz w:val="22"/>
          <w:szCs w:val="22"/>
          <w:lang w:eastAsia="ja-JP"/>
        </w:rPr>
        <w:t>NYS2</w:t>
      </w:r>
      <w:r w:rsidRPr="00B50320">
        <w:rPr>
          <w:rFonts w:ascii="Arial" w:eastAsia="DengXian" w:hAnsi="Arial" w:cs="Arial"/>
          <w:sz w:val="22"/>
          <w:szCs w:val="22"/>
          <w:lang w:eastAsia="ja-JP"/>
        </w:rPr>
        <w:t>-0007).</w:t>
      </w:r>
    </w:p>
    <w:p w:rsidR="007F112A" w:rsidRPr="00B50320" w:rsidP="00B50320" w14:paraId="6457467B"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in part, with the comment</w:t>
      </w:r>
      <w:r w:rsidRPr="00B50320" w:rsidR="0035683A">
        <w:rPr>
          <w:rFonts w:ascii="Arial" w:eastAsia="DengXian" w:hAnsi="Arial" w:cs="Arial"/>
          <w:sz w:val="22"/>
          <w:szCs w:val="22"/>
          <w:lang w:eastAsia="ja-JP"/>
        </w:rPr>
        <w:t>s</w:t>
      </w:r>
      <w:r w:rsidRPr="00B50320">
        <w:rPr>
          <w:rFonts w:ascii="Arial" w:eastAsia="DengXian" w:hAnsi="Arial" w:cs="Arial"/>
          <w:sz w:val="22"/>
          <w:szCs w:val="22"/>
          <w:lang w:eastAsia="ja-JP"/>
        </w:rPr>
        <w:t>.</w:t>
      </w:r>
    </w:p>
    <w:p w:rsidR="007F112A" w:rsidRPr="00B50320" w:rsidP="00B50320" w14:paraId="0337BB79"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acknowledges that the estimation of costs to decontaminate a facility following postulated accidents can be a complex assessment. The NRC has added a reference within the final rule </w:t>
      </w:r>
      <w:r w:rsidR="007444EF">
        <w:rPr>
          <w:rFonts w:ascii="Arial" w:eastAsia="DengXian" w:hAnsi="Arial" w:cs="Arial"/>
          <w:sz w:val="22"/>
          <w:szCs w:val="22"/>
          <w:lang w:eastAsia="ja-JP"/>
        </w:rPr>
        <w:t>FRN</w:t>
      </w:r>
      <w:r w:rsidR="00B44B1F">
        <w:rPr>
          <w:rFonts w:ascii="Arial" w:eastAsia="DengXian" w:hAnsi="Arial" w:cs="Arial"/>
          <w:sz w:val="22"/>
          <w:szCs w:val="22"/>
          <w:lang w:eastAsia="ja-JP"/>
        </w:rPr>
        <w:t xml:space="preserve"> </w:t>
      </w:r>
      <w:r w:rsidRPr="00B50320">
        <w:rPr>
          <w:rFonts w:ascii="Arial" w:eastAsia="DengXian" w:hAnsi="Arial" w:cs="Arial"/>
          <w:sz w:val="22"/>
          <w:szCs w:val="22"/>
          <w:lang w:eastAsia="ja-JP"/>
        </w:rPr>
        <w:t>to NUREG/CR-2601, “Technology, Safety and Costs of Decommissioning Reference Light Water Reactors Following Postulated Accidents,” which provides part of the justification for the requirements in 10 CFR 50.54(w)</w:t>
      </w:r>
      <w:r w:rsidR="00563424">
        <w:rPr>
          <w:rFonts w:ascii="Arial" w:eastAsia="DengXian" w:hAnsi="Arial" w:cs="Arial"/>
          <w:sz w:val="22"/>
          <w:szCs w:val="22"/>
          <w:lang w:eastAsia="ja-JP"/>
        </w:rPr>
        <w:t xml:space="preserve"> and provides </w:t>
      </w:r>
      <w:r w:rsidR="004752C9">
        <w:rPr>
          <w:rFonts w:ascii="Arial" w:eastAsia="DengXian" w:hAnsi="Arial" w:cs="Arial"/>
          <w:sz w:val="22"/>
          <w:szCs w:val="22"/>
          <w:lang w:eastAsia="ja-JP"/>
        </w:rPr>
        <w:t>case</w:t>
      </w:r>
      <w:r w:rsidR="00563424">
        <w:rPr>
          <w:rFonts w:ascii="Arial" w:eastAsia="DengXian" w:hAnsi="Arial" w:cs="Arial"/>
          <w:sz w:val="22"/>
          <w:szCs w:val="22"/>
          <w:lang w:eastAsia="ja-JP"/>
        </w:rPr>
        <w:t xml:space="preserve"> </w:t>
      </w:r>
      <w:r w:rsidR="004752C9">
        <w:rPr>
          <w:rFonts w:ascii="Arial" w:eastAsia="DengXian" w:hAnsi="Arial" w:cs="Arial"/>
          <w:sz w:val="22"/>
          <w:szCs w:val="22"/>
          <w:lang w:eastAsia="ja-JP"/>
        </w:rPr>
        <w:t>studies</w:t>
      </w:r>
      <w:r w:rsidR="00563424">
        <w:rPr>
          <w:rFonts w:ascii="Arial" w:eastAsia="DengXian" w:hAnsi="Arial" w:cs="Arial"/>
          <w:sz w:val="22"/>
          <w:szCs w:val="22"/>
          <w:lang w:eastAsia="ja-JP"/>
        </w:rPr>
        <w:t xml:space="preserve"> for calculating </w:t>
      </w:r>
      <w:r w:rsidR="00585C39">
        <w:rPr>
          <w:rFonts w:ascii="Arial" w:eastAsia="DengXian" w:hAnsi="Arial" w:cs="Arial"/>
          <w:sz w:val="22"/>
          <w:szCs w:val="22"/>
          <w:lang w:eastAsia="ja-JP"/>
        </w:rPr>
        <w:t>post</w:t>
      </w:r>
      <w:r w:rsidR="00941582">
        <w:rPr>
          <w:rFonts w:ascii="Arial" w:eastAsia="DengXian" w:hAnsi="Arial" w:cs="Arial"/>
          <w:sz w:val="22"/>
          <w:szCs w:val="22"/>
          <w:lang w:eastAsia="ja-JP"/>
        </w:rPr>
        <w:noBreakHyphen/>
      </w:r>
      <w:r w:rsidR="00585C39">
        <w:rPr>
          <w:rFonts w:ascii="Arial" w:eastAsia="DengXian" w:hAnsi="Arial" w:cs="Arial"/>
          <w:sz w:val="22"/>
          <w:szCs w:val="22"/>
          <w:lang w:eastAsia="ja-JP"/>
        </w:rPr>
        <w:t>accident costs with formulas</w:t>
      </w:r>
      <w:r w:rsidR="00BF3955">
        <w:rPr>
          <w:rFonts w:ascii="Arial" w:eastAsia="DengXian" w:hAnsi="Arial" w:cs="Arial"/>
          <w:sz w:val="22"/>
          <w:szCs w:val="22"/>
          <w:lang w:eastAsia="ja-JP"/>
        </w:rPr>
        <w:t xml:space="preserve">, </w:t>
      </w:r>
      <w:r w:rsidR="0052222E">
        <w:rPr>
          <w:rFonts w:ascii="Arial" w:eastAsia="DengXian" w:hAnsi="Arial" w:cs="Arial"/>
          <w:sz w:val="22"/>
          <w:szCs w:val="22"/>
          <w:lang w:eastAsia="ja-JP"/>
        </w:rPr>
        <w:t xml:space="preserve">key considerations, and </w:t>
      </w:r>
      <w:r w:rsidR="007D5302">
        <w:rPr>
          <w:rFonts w:ascii="Arial" w:eastAsia="DengXian" w:hAnsi="Arial" w:cs="Arial"/>
          <w:sz w:val="22"/>
          <w:szCs w:val="22"/>
          <w:lang w:eastAsia="ja-JP"/>
        </w:rPr>
        <w:t>historical experience</w:t>
      </w:r>
      <w:r w:rsidRPr="00B50320">
        <w:rPr>
          <w:rFonts w:ascii="Arial" w:eastAsia="DengXian" w:hAnsi="Arial" w:cs="Arial"/>
          <w:sz w:val="22"/>
          <w:szCs w:val="22"/>
          <w:lang w:eastAsia="ja-JP"/>
        </w:rPr>
        <w:t>.</w:t>
      </w:r>
    </w:p>
    <w:p w:rsidR="007F112A" w:rsidRPr="00B50320" w:rsidP="00B50320" w14:paraId="0C1FBBD2"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disagrees with the suggestion to revise the requirement in 10 CFR 53.1720 from the lesser of to the greater of “$1.06 billion, an amount based on plant-specific estimates of costs to stabilize and decontaminate a plant, or whatever amount of insurance is generally available from private sources</w:t>
      </w:r>
      <w:r w:rsidRPr="00B50320" w:rsidR="00645266">
        <w:rPr>
          <w:rFonts w:ascii="Arial" w:eastAsia="DengXian" w:hAnsi="Arial" w:cs="Arial"/>
          <w:sz w:val="22"/>
          <w:szCs w:val="22"/>
          <w:lang w:eastAsia="ja-JP"/>
        </w:rPr>
        <w:t>.</w:t>
      </w:r>
      <w:r w:rsidRPr="00B50320">
        <w:rPr>
          <w:rFonts w:ascii="Arial" w:eastAsia="DengXian" w:hAnsi="Arial" w:cs="Arial"/>
          <w:sz w:val="22"/>
          <w:szCs w:val="22"/>
          <w:lang w:eastAsia="ja-JP"/>
        </w:rPr>
        <w:t>” The NRC expects that the cost of decontaminating commercial nuclear plants licensed under 10 CFR Part 53 to be comparable to or less than the estimated costs for light-water reactors addressed under 10 CFR 50.54(w). The need to have the requirement be the lesser of cost estimations or the amount available from private insurers is explained in the final rule</w:t>
      </w:r>
      <w:r w:rsidRPr="00B50320" w:rsidR="00C97B0E">
        <w:rPr>
          <w:rFonts w:ascii="Arial" w:eastAsia="DengXian" w:hAnsi="Arial" w:cs="Arial"/>
          <w:sz w:val="22"/>
          <w:szCs w:val="22"/>
          <w:lang w:eastAsia="ja-JP"/>
        </w:rPr>
        <w:t>,</w:t>
      </w:r>
      <w:r w:rsidRPr="00B50320">
        <w:rPr>
          <w:rFonts w:ascii="Arial" w:eastAsia="DengXian" w:hAnsi="Arial" w:cs="Arial"/>
          <w:sz w:val="22"/>
          <w:szCs w:val="22"/>
          <w:lang w:eastAsia="ja-JP"/>
        </w:rPr>
        <w:t xml:space="preserve"> “Changes in Property Insurance Requirements for NRC Licensed Nuclear Power Plants</w:t>
      </w:r>
      <w:r w:rsidRPr="00B50320" w:rsidR="00C97B0E">
        <w:rPr>
          <w:rFonts w:ascii="Arial" w:eastAsia="DengXian" w:hAnsi="Arial" w:cs="Arial"/>
          <w:sz w:val="22"/>
          <w:szCs w:val="22"/>
          <w:lang w:eastAsia="ja-JP"/>
        </w:rPr>
        <w:t>,</w:t>
      </w:r>
      <w:r w:rsidRPr="00B50320">
        <w:rPr>
          <w:rFonts w:ascii="Arial" w:eastAsia="DengXian" w:hAnsi="Arial" w:cs="Arial"/>
          <w:sz w:val="22"/>
          <w:szCs w:val="22"/>
          <w:lang w:eastAsia="ja-JP"/>
        </w:rPr>
        <w:t xml:space="preserve">” </w:t>
      </w:r>
      <w:r w:rsidRPr="00B50320" w:rsidR="003F24A3">
        <w:rPr>
          <w:rFonts w:ascii="Arial" w:eastAsia="DengXian" w:hAnsi="Arial" w:cs="Arial"/>
          <w:sz w:val="22"/>
          <w:szCs w:val="22"/>
          <w:lang w:eastAsia="ja-JP"/>
        </w:rPr>
        <w:t>(52 FR 28963; August 5, 1987)</w:t>
      </w:r>
      <w:r w:rsidR="003F24A3">
        <w:rPr>
          <w:rFonts w:ascii="Arial" w:eastAsia="DengXian" w:hAnsi="Arial" w:cs="Arial"/>
          <w:sz w:val="22"/>
          <w:szCs w:val="22"/>
          <w:lang w:eastAsia="ja-JP"/>
        </w:rPr>
        <w:t xml:space="preserve"> </w:t>
      </w:r>
      <w:r w:rsidRPr="00B50320">
        <w:rPr>
          <w:rFonts w:ascii="Arial" w:eastAsia="DengXian" w:hAnsi="Arial" w:cs="Arial"/>
          <w:sz w:val="22"/>
          <w:szCs w:val="22"/>
          <w:lang w:eastAsia="ja-JP"/>
        </w:rPr>
        <w:t>related to the addition of 10 CFR 50.54(w).</w:t>
      </w:r>
    </w:p>
    <w:p w:rsidR="007F112A" w:rsidRPr="00B50320" w:rsidP="00B50320" w14:paraId="387516DF"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requirements in response to th</w:t>
      </w:r>
      <w:r w:rsidRPr="00B50320" w:rsidR="002F7F32">
        <w:rPr>
          <w:rFonts w:ascii="Arial" w:eastAsia="DengXian" w:hAnsi="Arial" w:cs="Arial"/>
          <w:sz w:val="22"/>
          <w:szCs w:val="22"/>
          <w:lang w:eastAsia="ja-JP"/>
        </w:rPr>
        <w:t>e</w:t>
      </w:r>
      <w:r w:rsidRPr="00B50320">
        <w:rPr>
          <w:rFonts w:ascii="Arial" w:eastAsia="DengXian" w:hAnsi="Arial" w:cs="Arial"/>
          <w:sz w:val="22"/>
          <w:szCs w:val="22"/>
          <w:lang w:eastAsia="ja-JP"/>
        </w:rPr>
        <w:t>s</w:t>
      </w:r>
      <w:r w:rsidRPr="00B50320" w:rsidR="002F7F32">
        <w:rPr>
          <w:rFonts w:ascii="Arial" w:eastAsia="DengXian" w:hAnsi="Arial" w:cs="Arial"/>
          <w:sz w:val="22"/>
          <w:szCs w:val="22"/>
          <w:lang w:eastAsia="ja-JP"/>
        </w:rPr>
        <w:t>e</w:t>
      </w:r>
      <w:r w:rsidRPr="00B50320">
        <w:rPr>
          <w:rFonts w:ascii="Arial" w:eastAsia="DengXian" w:hAnsi="Arial" w:cs="Arial"/>
          <w:sz w:val="22"/>
          <w:szCs w:val="22"/>
          <w:lang w:eastAsia="ja-JP"/>
        </w:rPr>
        <w:t xml:space="preserve"> comment</w:t>
      </w:r>
      <w:r w:rsidRPr="00B50320" w:rsidR="002F7F32">
        <w:rPr>
          <w:rFonts w:ascii="Arial" w:eastAsia="DengXian" w:hAnsi="Arial" w:cs="Arial"/>
          <w:sz w:val="22"/>
          <w:szCs w:val="22"/>
          <w:lang w:eastAsia="ja-JP"/>
        </w:rPr>
        <w:t>s</w:t>
      </w:r>
      <w:r w:rsidRPr="00B50320">
        <w:rPr>
          <w:rFonts w:ascii="Arial" w:eastAsia="DengXian" w:hAnsi="Arial" w:cs="Arial"/>
          <w:sz w:val="22"/>
          <w:szCs w:val="22"/>
          <w:lang w:eastAsia="ja-JP"/>
        </w:rPr>
        <w:t xml:space="preserve"> but </w:t>
      </w:r>
      <w:r w:rsidRPr="00DD2054" w:rsidR="00DD2054">
        <w:rPr>
          <w:rFonts w:ascii="Arial" w:eastAsia="DengXian" w:hAnsi="Arial" w:cs="Arial"/>
          <w:sz w:val="22"/>
          <w:szCs w:val="22"/>
          <w:lang w:eastAsia="ja-JP"/>
        </w:rPr>
        <w:t xml:space="preserve">has revised </w:t>
      </w:r>
      <w:r w:rsidRPr="00B50320">
        <w:rPr>
          <w:rFonts w:ascii="Arial" w:eastAsia="DengXian" w:hAnsi="Arial" w:cs="Arial"/>
          <w:sz w:val="22"/>
          <w:szCs w:val="22"/>
          <w:lang w:eastAsia="ja-JP"/>
        </w:rPr>
        <w:t xml:space="preserve">the discussion in the final rule </w:t>
      </w:r>
      <w:r w:rsidR="00DD2054">
        <w:rPr>
          <w:rFonts w:ascii="Arial" w:eastAsia="DengXian" w:hAnsi="Arial" w:cs="Arial"/>
          <w:sz w:val="22"/>
          <w:szCs w:val="22"/>
          <w:lang w:eastAsia="ja-JP"/>
        </w:rPr>
        <w:t xml:space="preserve">FRN </w:t>
      </w:r>
      <w:r w:rsidRPr="00B50320">
        <w:rPr>
          <w:rFonts w:ascii="Arial" w:eastAsia="DengXian" w:hAnsi="Arial" w:cs="Arial"/>
          <w:sz w:val="22"/>
          <w:szCs w:val="22"/>
          <w:lang w:eastAsia="ja-JP"/>
        </w:rPr>
        <w:t>to improve the clarity on the cost estimation process.</w:t>
      </w:r>
    </w:p>
    <w:p w:rsidR="007F112A" w:rsidRPr="00B50320" w:rsidP="00B50320" w14:paraId="7EFB4097"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300" style="width:0;height:1.5pt" o:hralign="center" o:hrstd="t" o:hrnoshade="t" o:hr="t" fillcolor="black" stroked="f"/>
        </w:pict>
      </w:r>
    </w:p>
    <w:p w:rsidR="007F112A" w:rsidRPr="00B50320" w:rsidP="00B50320" w14:paraId="07E9DEBD" w14:textId="77777777">
      <w:pPr>
        <w:tabs>
          <w:tab w:val="left" w:pos="3950"/>
        </w:tabs>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3.10.1.C:</w:t>
      </w:r>
      <w:r w:rsidRPr="00B50320">
        <w:rPr>
          <w:rFonts w:ascii="Arial" w:eastAsia="DengXian" w:hAnsi="Arial" w:cs="Arial"/>
          <w:sz w:val="22"/>
          <w:szCs w:val="22"/>
          <w:lang w:eastAsia="ja-JP"/>
        </w:rPr>
        <w:t xml:space="preserve"> A commenter discussed the immediate notification requirements for operating commercial nuclear plants proposed in 10 CFR 53.1630, stating that the proposed provision references 10 CFR 50.72 but that it is unclear why the provision has different requirements than 10 CFR 50.72(a)(4). The commenter expressed that proposed 10</w:t>
      </w:r>
      <w:r w:rsidR="00AA2BA3">
        <w:rPr>
          <w:rFonts w:ascii="Arial" w:eastAsia="DengXian" w:hAnsi="Arial" w:cs="Arial"/>
          <w:sz w:val="22"/>
          <w:szCs w:val="22"/>
          <w:lang w:eastAsia="ja-JP"/>
        </w:rPr>
        <w:t> </w:t>
      </w:r>
      <w:r w:rsidRPr="00B50320">
        <w:rPr>
          <w:rFonts w:ascii="Arial" w:eastAsia="DengXian" w:hAnsi="Arial" w:cs="Arial"/>
          <w:sz w:val="22"/>
          <w:szCs w:val="22"/>
          <w:lang w:eastAsia="ja-JP"/>
        </w:rPr>
        <w:t>CFR</w:t>
      </w:r>
      <w:r w:rsidR="00AA2BA3">
        <w:rPr>
          <w:rFonts w:ascii="Arial" w:eastAsia="DengXian" w:hAnsi="Arial" w:cs="Arial"/>
          <w:sz w:val="22"/>
          <w:szCs w:val="22"/>
          <w:lang w:eastAsia="ja-JP"/>
        </w:rPr>
        <w:t> </w:t>
      </w:r>
      <w:r w:rsidRPr="00B50320">
        <w:rPr>
          <w:rFonts w:ascii="Arial" w:eastAsia="DengXian" w:hAnsi="Arial" w:cs="Arial"/>
          <w:sz w:val="22"/>
          <w:szCs w:val="22"/>
          <w:lang w:eastAsia="ja-JP"/>
        </w:rPr>
        <w:t>53.1630(a)(4) appears to remove the activation time requirement for data links and leaves these details to the emergency plans and proposed that NRC ensure that provisions in 10 CFR Part 53 or associated guidance do not impose a more restrictive activation time than the one-hour requirement described in 10 CFR 50.72(a)(4).</w:t>
      </w:r>
    </w:p>
    <w:p w:rsidR="007F112A" w:rsidRPr="00B50320" w:rsidP="00B50320" w14:paraId="3212B222"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commenter also discussed that it is unclear why criteria for declaring an Emergency Class are included in 10 CFR 53.1630(a)(4) but not in 10 CFR 50.72(a)(4) and requested that NRC ensure the proposed criteria are not duplicated elsewhere in 10</w:t>
      </w:r>
      <w:r w:rsidRPr="00B50320" w:rsidR="00580FD2">
        <w:rPr>
          <w:rFonts w:ascii="Arial" w:eastAsia="DengXian" w:hAnsi="Arial" w:cs="Arial"/>
          <w:sz w:val="22"/>
          <w:szCs w:val="22"/>
          <w:lang w:eastAsia="ja-JP"/>
        </w:rPr>
        <w:t> </w:t>
      </w:r>
      <w:r w:rsidRPr="00B50320">
        <w:rPr>
          <w:rFonts w:ascii="Arial" w:eastAsia="DengXian" w:hAnsi="Arial" w:cs="Arial"/>
          <w:sz w:val="22"/>
          <w:szCs w:val="22"/>
          <w:lang w:eastAsia="ja-JP"/>
        </w:rPr>
        <w:t>CFR Part 53 and do not conflict with other requirements for Emergency Class declarations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-0145).</w:t>
      </w:r>
    </w:p>
    <w:p w:rsidR="00DF5868" w:rsidRPr="00B50320" w:rsidP="00B50320" w14:paraId="1248820B" w14:textId="77777777">
      <w:pPr>
        <w:spacing w:after="220"/>
        <w:rPr>
          <w:rFonts w:ascii="Arial" w:hAnsi="Arial" w:cs="Arial"/>
          <w:sz w:val="22"/>
          <w:szCs w:val="22"/>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 with the comment.</w:t>
      </w:r>
    </w:p>
    <w:p w:rsidR="007F112A" w:rsidRPr="00B50320" w:rsidP="00B50320" w14:paraId="02B1A29D" w14:textId="77777777">
      <w:pPr>
        <w:spacing w:after="220"/>
        <w:rPr>
          <w:rFonts w:ascii="Arial" w:eastAsia="DengXian" w:hAnsi="Arial" w:cs="Arial"/>
          <w:sz w:val="22"/>
          <w:szCs w:val="22"/>
          <w:lang w:eastAsia="ja-JP"/>
        </w:rPr>
      </w:pPr>
      <w:r>
        <w:rPr>
          <w:rFonts w:ascii="Arial" w:eastAsia="DengXian" w:hAnsi="Arial" w:cs="Arial"/>
          <w:sz w:val="22"/>
          <w:szCs w:val="22"/>
          <w:lang w:eastAsia="ja-JP"/>
        </w:rPr>
        <w:t>10 CFR</w:t>
      </w:r>
      <w:r w:rsidR="006C1E01">
        <w:rPr>
          <w:rFonts w:ascii="Arial" w:eastAsia="DengXian" w:hAnsi="Arial" w:cs="Arial"/>
          <w:sz w:val="22"/>
          <w:szCs w:val="22"/>
          <w:lang w:eastAsia="ja-JP"/>
        </w:rPr>
        <w:t xml:space="preserve"> </w:t>
      </w:r>
      <w:r w:rsidRPr="00B50320">
        <w:rPr>
          <w:rFonts w:ascii="Arial" w:eastAsia="DengXian" w:hAnsi="Arial" w:cs="Arial"/>
          <w:sz w:val="22"/>
          <w:szCs w:val="22"/>
          <w:lang w:eastAsia="ja-JP"/>
        </w:rPr>
        <w:t>53.1630(a)(4) does not include an activation time requirement for data links such as the activation time contained in 10 CFR 50.72(a)(4).</w:t>
      </w:r>
      <w:r w:rsidRPr="00B50320" w:rsidR="00DF5868">
        <w:rPr>
          <w:rFonts w:ascii="Arial" w:eastAsia="DengXian" w:hAnsi="Arial" w:cs="Arial"/>
          <w:sz w:val="22"/>
          <w:szCs w:val="22"/>
          <w:lang w:eastAsia="ja-JP"/>
        </w:rPr>
        <w:t xml:space="preserve"> </w:t>
      </w:r>
      <w:r w:rsidRPr="00B50320">
        <w:rPr>
          <w:rFonts w:ascii="Arial" w:eastAsia="DengXian" w:hAnsi="Arial" w:cs="Arial"/>
          <w:sz w:val="22"/>
          <w:szCs w:val="22"/>
          <w:lang w:eastAsia="ja-JP"/>
        </w:rPr>
        <w:t xml:space="preserve">As captured in the “Emergency Preparedness for Small Modular Reactors and Other New Technologies,” final rule </w:t>
      </w:r>
      <w:r w:rsidR="00111D61">
        <w:rPr>
          <w:rFonts w:ascii="Arial" w:eastAsia="DengXian" w:hAnsi="Arial" w:cs="Arial"/>
          <w:sz w:val="22"/>
          <w:szCs w:val="22"/>
          <w:lang w:eastAsia="ja-JP"/>
        </w:rPr>
        <w:t>FRN</w:t>
      </w:r>
      <w:r w:rsidRPr="00B50320">
        <w:rPr>
          <w:rFonts w:ascii="Arial" w:eastAsia="DengXian" w:hAnsi="Arial" w:cs="Arial"/>
          <w:sz w:val="22"/>
          <w:szCs w:val="22"/>
          <w:lang w:eastAsia="ja-JP"/>
        </w:rPr>
        <w:t xml:space="preserve"> (88 FR 80065; November 16, 2023) the </w:t>
      </w:r>
      <w:r w:rsidR="00CD75A2">
        <w:rPr>
          <w:rFonts w:ascii="Arial" w:eastAsia="DengXian" w:hAnsi="Arial" w:cs="Arial"/>
          <w:sz w:val="22"/>
          <w:szCs w:val="22"/>
          <w:lang w:eastAsia="ja-JP"/>
        </w:rPr>
        <w:t xml:space="preserve">Emergency </w:t>
      </w:r>
      <w:r w:rsidR="000D4C57">
        <w:rPr>
          <w:rFonts w:ascii="Arial" w:eastAsia="DengXian" w:hAnsi="Arial" w:cs="Arial"/>
          <w:sz w:val="22"/>
          <w:szCs w:val="22"/>
          <w:lang w:eastAsia="ja-JP"/>
        </w:rPr>
        <w:t>Response Data System (</w:t>
      </w:r>
      <w:r w:rsidR="003B4673">
        <w:rPr>
          <w:rFonts w:ascii="Arial" w:eastAsia="DengXian" w:hAnsi="Arial" w:cs="Arial"/>
          <w:sz w:val="22"/>
          <w:szCs w:val="22"/>
          <w:lang w:eastAsia="ja-JP"/>
        </w:rPr>
        <w:t>ERDS</w:t>
      </w:r>
      <w:r w:rsidR="000D4C57">
        <w:rPr>
          <w:rFonts w:ascii="Arial" w:eastAsia="DengXian" w:hAnsi="Arial" w:cs="Arial"/>
          <w:sz w:val="22"/>
          <w:szCs w:val="22"/>
          <w:lang w:eastAsia="ja-JP"/>
        </w:rPr>
        <w:t>)</w:t>
      </w:r>
      <w:r w:rsidRPr="00B50320">
        <w:rPr>
          <w:rFonts w:ascii="Arial" w:eastAsia="DengXian" w:hAnsi="Arial" w:cs="Arial"/>
          <w:sz w:val="22"/>
          <w:szCs w:val="22"/>
          <w:lang w:eastAsia="ja-JP"/>
        </w:rPr>
        <w:t xml:space="preserve"> requirement in 10 CFR Part 50, Appendix E, and the 10</w:t>
      </w:r>
      <w:r w:rsidR="00C86121">
        <w:rPr>
          <w:rFonts w:ascii="Arial" w:eastAsia="DengXian" w:hAnsi="Arial" w:cs="Arial"/>
          <w:sz w:val="22"/>
          <w:szCs w:val="22"/>
          <w:lang w:eastAsia="ja-JP"/>
        </w:rPr>
        <w:t> </w:t>
      </w:r>
      <w:r w:rsidRPr="00B50320">
        <w:rPr>
          <w:rFonts w:ascii="Arial" w:eastAsia="DengXian" w:hAnsi="Arial" w:cs="Arial"/>
          <w:sz w:val="22"/>
          <w:szCs w:val="22"/>
          <w:lang w:eastAsia="ja-JP"/>
        </w:rPr>
        <w:t>CFR</w:t>
      </w:r>
      <w:r w:rsidR="00C86121">
        <w:rPr>
          <w:rFonts w:ascii="Arial" w:eastAsia="DengXian" w:hAnsi="Arial" w:cs="Arial"/>
          <w:sz w:val="22"/>
          <w:szCs w:val="22"/>
          <w:lang w:eastAsia="ja-JP"/>
        </w:rPr>
        <w:t> </w:t>
      </w:r>
      <w:r w:rsidRPr="00B50320">
        <w:rPr>
          <w:rFonts w:ascii="Arial" w:eastAsia="DengXian" w:hAnsi="Arial" w:cs="Arial"/>
          <w:sz w:val="22"/>
          <w:szCs w:val="22"/>
          <w:lang w:eastAsia="ja-JP"/>
        </w:rPr>
        <w:t xml:space="preserve">50.72 ERDS activation requirement are not applicable to applicants and licensees choosing to comply with 10 CFR 50.160. Applicants and licensees choosing 10 CFR 50.160 are required to describe in their emergency plans the data link with the NRC for use in emergencies. Specific parameters to be reported are determined for the specific technology during the license application process. The NRC will review each applicant's data transmission capabilities on a case </w:t>
      </w:r>
      <w:r w:rsidRPr="00B50320">
        <w:rPr>
          <w:rFonts w:ascii="Arial" w:eastAsia="DengXian" w:hAnsi="Arial" w:cs="Arial"/>
          <w:sz w:val="22"/>
          <w:szCs w:val="22"/>
          <w:lang w:eastAsia="ja-JP"/>
        </w:rPr>
        <w:noBreakHyphen/>
        <w:t>specific basis.</w:t>
      </w:r>
    </w:p>
    <w:p w:rsidR="007F112A" w:rsidRPr="00B50320" w:rsidP="00B50320" w14:paraId="73B8008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immediate notification requirements for operating commercial nuclear plants proposed in 10 CFR 53.1630 are different from the current requirements in 10 CFR 50.72(a)(4). The current 1-hour activation time requirement is specific to large</w:t>
      </w:r>
      <w:r w:rsidR="00BE43E7">
        <w:rPr>
          <w:rFonts w:ascii="Arial" w:eastAsia="DengXian" w:hAnsi="Arial" w:cs="Arial"/>
          <w:sz w:val="22"/>
          <w:szCs w:val="22"/>
          <w:lang w:eastAsia="ja-JP"/>
        </w:rPr>
        <w:t>-</w:t>
      </w:r>
      <w:r w:rsidRPr="00B50320">
        <w:rPr>
          <w:rFonts w:ascii="Arial" w:eastAsia="DengXian" w:hAnsi="Arial" w:cs="Arial"/>
          <w:sz w:val="22"/>
          <w:szCs w:val="22"/>
          <w:lang w:eastAsia="ja-JP"/>
        </w:rPr>
        <w:t>light</w:t>
      </w:r>
      <w:r w:rsidR="00BE43E7">
        <w:rPr>
          <w:rFonts w:ascii="Arial" w:eastAsia="DengXian" w:hAnsi="Arial" w:cs="Arial"/>
          <w:sz w:val="22"/>
          <w:szCs w:val="22"/>
          <w:lang w:eastAsia="ja-JP"/>
        </w:rPr>
        <w:t>-</w:t>
      </w:r>
      <w:r w:rsidRPr="00B50320">
        <w:rPr>
          <w:rFonts w:ascii="Arial" w:eastAsia="DengXian" w:hAnsi="Arial" w:cs="Arial"/>
          <w:sz w:val="22"/>
          <w:szCs w:val="22"/>
          <w:lang w:eastAsia="ja-JP"/>
        </w:rPr>
        <w:t>water reactor designs based on results from the 1975 “Reactor Safety Study: An Assessment of Accident Risks in U.S. Commercial Nuclear Power Plants (NUREG</w:t>
      </w:r>
      <w:r w:rsidRPr="00B50320" w:rsidR="002451CE">
        <w:rPr>
          <w:rFonts w:ascii="Arial" w:eastAsia="DengXian" w:hAnsi="Arial" w:cs="Arial"/>
          <w:sz w:val="22"/>
          <w:szCs w:val="22"/>
          <w:lang w:eastAsia="ja-JP"/>
        </w:rPr>
        <w:noBreakHyphen/>
      </w:r>
      <w:r w:rsidRPr="00B50320">
        <w:rPr>
          <w:rFonts w:ascii="Arial" w:eastAsia="DengXian" w:hAnsi="Arial" w:cs="Arial"/>
          <w:sz w:val="22"/>
          <w:szCs w:val="22"/>
          <w:lang w:eastAsia="ja-JP"/>
        </w:rPr>
        <w:t>75/014),” commonly referred to as WASH-1400, that determined that a significant radiological release could happen in as little as 30 minutes. Some advanced reactor designs are expected to have slower transient response times and relatively small and slow release of fission products. Therefore, it would not be appropriate to impose a 1</w:t>
      </w:r>
      <w:r w:rsidRPr="00B50320">
        <w:rPr>
          <w:rFonts w:ascii="Arial" w:eastAsia="DengXian" w:hAnsi="Arial" w:cs="Arial"/>
          <w:sz w:val="22"/>
          <w:szCs w:val="22"/>
          <w:lang w:eastAsia="ja-JP"/>
        </w:rPr>
        <w:noBreakHyphen/>
        <w:t>hour activation time on all licensees under 10 CFR Part 53 and that data link details and activation times will be described in the licensee’s emergency plan and approved by the NRC. The provisions in 10 CFR Part 53 do not impose a more restrictive activation time than the 1-hour requirement described in 10 CFR 50.72(a)(4).</w:t>
      </w:r>
    </w:p>
    <w:p w:rsidR="007F112A" w:rsidRPr="00B50320" w:rsidP="00B50320" w14:paraId="74F839CB"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agrees that the criteria for declaring an Emergency Class are included in 10</w:t>
      </w:r>
      <w:r w:rsidRPr="00B50320" w:rsidR="006E58A7">
        <w:rPr>
          <w:rFonts w:ascii="Arial" w:eastAsia="DengXian" w:hAnsi="Arial" w:cs="Arial"/>
          <w:sz w:val="22"/>
          <w:szCs w:val="22"/>
          <w:lang w:eastAsia="ja-JP"/>
        </w:rPr>
        <w:t> </w:t>
      </w:r>
      <w:r w:rsidRPr="00B50320">
        <w:rPr>
          <w:rFonts w:ascii="Arial" w:eastAsia="DengXian" w:hAnsi="Arial" w:cs="Arial"/>
          <w:sz w:val="22"/>
          <w:szCs w:val="22"/>
          <w:lang w:eastAsia="ja-JP"/>
        </w:rPr>
        <w:t>CFR</w:t>
      </w:r>
      <w:r w:rsidR="003B4673">
        <w:rPr>
          <w:rFonts w:ascii="Arial" w:eastAsia="DengXian" w:hAnsi="Arial" w:cs="Arial"/>
          <w:sz w:val="22"/>
          <w:szCs w:val="22"/>
          <w:lang w:eastAsia="ja-JP"/>
        </w:rPr>
        <w:t> </w:t>
      </w:r>
      <w:r w:rsidRPr="00B50320">
        <w:rPr>
          <w:rFonts w:ascii="Arial" w:eastAsia="DengXian" w:hAnsi="Arial" w:cs="Arial"/>
          <w:sz w:val="22"/>
          <w:szCs w:val="22"/>
          <w:lang w:eastAsia="ja-JP"/>
        </w:rPr>
        <w:t xml:space="preserve">53.1630(a)(4) but not in 10 CFR 50.72(a)(4). The </w:t>
      </w:r>
      <w:r w:rsidR="0021756A">
        <w:rPr>
          <w:rFonts w:ascii="Arial" w:eastAsia="DengXian" w:hAnsi="Arial" w:cs="Arial"/>
          <w:sz w:val="22"/>
          <w:szCs w:val="22"/>
          <w:lang w:eastAsia="ja-JP"/>
        </w:rPr>
        <w:t xml:space="preserve">final rule </w:t>
      </w:r>
      <w:r w:rsidR="003B4673">
        <w:rPr>
          <w:rFonts w:ascii="Arial" w:eastAsia="DengXian" w:hAnsi="Arial" w:cs="Arial"/>
          <w:sz w:val="22"/>
          <w:szCs w:val="22"/>
          <w:lang w:eastAsia="ja-JP"/>
        </w:rPr>
        <w:t>FRN</w:t>
      </w:r>
      <w:r w:rsidR="0021756A">
        <w:rPr>
          <w:rFonts w:ascii="Arial" w:eastAsia="DengXian" w:hAnsi="Arial" w:cs="Arial"/>
          <w:sz w:val="22"/>
          <w:szCs w:val="22"/>
          <w:lang w:eastAsia="ja-JP"/>
        </w:rPr>
        <w:t xml:space="preserve"> </w:t>
      </w:r>
      <w:r w:rsidRPr="00B50320">
        <w:rPr>
          <w:rFonts w:ascii="Arial" w:eastAsia="DengXian" w:hAnsi="Arial" w:cs="Arial"/>
          <w:sz w:val="22"/>
          <w:szCs w:val="22"/>
          <w:lang w:eastAsia="ja-JP"/>
        </w:rPr>
        <w:t>states that 10</w:t>
      </w:r>
      <w:r w:rsidRPr="00B50320" w:rsidR="006E58A7">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C25E15">
        <w:rPr>
          <w:rFonts w:ascii="Arial" w:eastAsia="DengXian" w:hAnsi="Arial" w:cs="Arial"/>
          <w:sz w:val="22"/>
          <w:szCs w:val="22"/>
          <w:lang w:eastAsia="ja-JP"/>
        </w:rPr>
        <w:t> </w:t>
      </w:r>
      <w:r w:rsidRPr="00B50320">
        <w:rPr>
          <w:rFonts w:ascii="Arial" w:eastAsia="DengXian" w:hAnsi="Arial" w:cs="Arial"/>
          <w:sz w:val="22"/>
          <w:szCs w:val="22"/>
          <w:lang w:eastAsia="ja-JP"/>
        </w:rPr>
        <w:t>53.1630 establishes immediate notification requirements for operating commercial nuclear plants and notes that these requirements are equivalent to 10</w:t>
      </w:r>
      <w:r w:rsidRPr="00B50320" w:rsidR="007B6087">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7B6087">
        <w:rPr>
          <w:rFonts w:ascii="Arial" w:eastAsia="DengXian" w:hAnsi="Arial" w:cs="Arial"/>
          <w:sz w:val="22"/>
          <w:szCs w:val="22"/>
          <w:lang w:eastAsia="ja-JP"/>
        </w:rPr>
        <w:t> </w:t>
      </w:r>
      <w:r w:rsidRPr="00B50320">
        <w:rPr>
          <w:rFonts w:ascii="Arial" w:eastAsia="DengXian" w:hAnsi="Arial" w:cs="Arial"/>
          <w:sz w:val="22"/>
          <w:szCs w:val="22"/>
          <w:lang w:eastAsia="ja-JP"/>
        </w:rPr>
        <w:t>50.72 with minor changes to make the reporting criteria technology</w:t>
      </w:r>
      <w:r w:rsidR="002A03AB">
        <w:rPr>
          <w:rFonts w:ascii="Arial" w:eastAsia="DengXian" w:hAnsi="Arial" w:cs="Arial"/>
          <w:sz w:val="22"/>
          <w:szCs w:val="22"/>
          <w:lang w:eastAsia="ja-JP"/>
        </w:rPr>
        <w:t>-</w:t>
      </w:r>
      <w:r w:rsidRPr="00B50320">
        <w:rPr>
          <w:rFonts w:ascii="Arial" w:eastAsia="DengXian" w:hAnsi="Arial" w:cs="Arial"/>
          <w:sz w:val="22"/>
          <w:szCs w:val="22"/>
          <w:lang w:eastAsia="ja-JP"/>
        </w:rPr>
        <w:t xml:space="preserve">inclusive. The criteria equivalent to declaring a typical Alert Emergency Class or greater was included in 10 CFR 53.1630(a)(4) because 10 CFR 50.160 does not have a requirement for a standard </w:t>
      </w:r>
      <w:r w:rsidR="00022081">
        <w:rPr>
          <w:rFonts w:ascii="Arial" w:eastAsia="DengXian" w:hAnsi="Arial" w:cs="Arial"/>
          <w:sz w:val="22"/>
          <w:szCs w:val="22"/>
          <w:lang w:eastAsia="ja-JP"/>
        </w:rPr>
        <w:t>emergency action level</w:t>
      </w:r>
      <w:r w:rsidRPr="00B50320">
        <w:rPr>
          <w:rFonts w:ascii="Arial" w:eastAsia="DengXian" w:hAnsi="Arial" w:cs="Arial"/>
          <w:sz w:val="22"/>
          <w:szCs w:val="22"/>
          <w:lang w:eastAsia="ja-JP"/>
        </w:rPr>
        <w:t xml:space="preserve"> scheme and, therefore, the licensee may not have an Alert declaration. The NRC </w:t>
      </w:r>
      <w:r w:rsidRPr="00B50320" w:rsidR="00302AE1">
        <w:rPr>
          <w:rFonts w:ascii="Arial" w:eastAsia="DengXian" w:hAnsi="Arial" w:cs="Arial"/>
          <w:sz w:val="22"/>
          <w:szCs w:val="22"/>
          <w:lang w:eastAsia="ja-JP"/>
        </w:rPr>
        <w:t xml:space="preserve">confirmed </w:t>
      </w:r>
      <w:r w:rsidRPr="00B50320">
        <w:rPr>
          <w:rFonts w:ascii="Arial" w:eastAsia="DengXian" w:hAnsi="Arial" w:cs="Arial"/>
          <w:sz w:val="22"/>
          <w:szCs w:val="22"/>
          <w:lang w:eastAsia="ja-JP"/>
        </w:rPr>
        <w:t>the criteria are not duplicated elsewhere in 10</w:t>
      </w:r>
      <w:r w:rsidRPr="00B50320" w:rsidR="005E3B7D">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5E3B7D">
        <w:rPr>
          <w:rFonts w:ascii="Arial" w:eastAsia="DengXian" w:hAnsi="Arial" w:cs="Arial"/>
          <w:sz w:val="22"/>
          <w:szCs w:val="22"/>
          <w:lang w:eastAsia="ja-JP"/>
        </w:rPr>
        <w:t> </w:t>
      </w:r>
      <w:r w:rsidRPr="00B50320">
        <w:rPr>
          <w:rFonts w:ascii="Arial" w:eastAsia="DengXian" w:hAnsi="Arial" w:cs="Arial"/>
          <w:sz w:val="22"/>
          <w:szCs w:val="22"/>
          <w:lang w:eastAsia="ja-JP"/>
        </w:rPr>
        <w:t>Part</w:t>
      </w:r>
      <w:r w:rsidRPr="00B50320" w:rsidR="005E3B7D">
        <w:rPr>
          <w:rFonts w:ascii="Arial" w:eastAsia="DengXian" w:hAnsi="Arial" w:cs="Arial"/>
          <w:sz w:val="22"/>
          <w:szCs w:val="22"/>
          <w:lang w:eastAsia="ja-JP"/>
        </w:rPr>
        <w:t> </w:t>
      </w:r>
      <w:r w:rsidRPr="00B50320">
        <w:rPr>
          <w:rFonts w:ascii="Arial" w:eastAsia="DengXian" w:hAnsi="Arial" w:cs="Arial"/>
          <w:sz w:val="22"/>
          <w:szCs w:val="22"/>
          <w:lang w:eastAsia="ja-JP"/>
        </w:rPr>
        <w:t>53 and do not conflict with other requirements for Emergency Class declarations.</w:t>
      </w:r>
    </w:p>
    <w:p w:rsidR="007F112A" w:rsidRPr="00B50320" w:rsidP="00B50320" w14:paraId="71CE04EC"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Accordingly, the NRC did not change the rule language in response to this comment.</w:t>
      </w:r>
    </w:p>
    <w:p w:rsidR="007F112A" w:rsidRPr="00B50320" w:rsidP="00B50320" w14:paraId="079FCC65"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301" style="width:0;height:1.5pt" o:hralign="center" o:hrstd="t" o:hrnoshade="t" o:hr="t" fillcolor="black" stroked="f"/>
        </w:pict>
      </w:r>
    </w:p>
    <w:p w:rsidR="007F112A" w:rsidRPr="00B50320" w:rsidP="000E0853" w14:paraId="1870FF82" w14:textId="77777777">
      <w:pPr>
        <w:tabs>
          <w:tab w:val="left" w:pos="3950"/>
        </w:tabs>
        <w:rPr>
          <w:rFonts w:ascii="Arial" w:eastAsia="DengXian" w:hAnsi="Arial" w:cs="Arial"/>
          <w:sz w:val="22"/>
          <w:szCs w:val="22"/>
          <w:lang w:eastAsia="ja-JP"/>
        </w:rPr>
      </w:pPr>
      <w:r w:rsidRPr="00B50320">
        <w:rPr>
          <w:rFonts w:ascii="Arial" w:eastAsia="DengXian" w:hAnsi="Arial" w:cs="Arial"/>
          <w:b/>
          <w:sz w:val="22"/>
          <w:szCs w:val="22"/>
          <w:lang w:eastAsia="ja-JP"/>
        </w:rPr>
        <w:t>Comment Bin 3.10.1.D:</w:t>
      </w:r>
      <w:r w:rsidRPr="00B50320">
        <w:rPr>
          <w:rFonts w:ascii="Arial" w:eastAsia="DengXian" w:hAnsi="Arial" w:cs="Arial"/>
          <w:sz w:val="22"/>
          <w:szCs w:val="22"/>
          <w:lang w:eastAsia="ja-JP"/>
        </w:rPr>
        <w:t xml:space="preserve"> A commenter discussed that the proposed requirements in 10</w:t>
      </w:r>
      <w:r w:rsidRPr="00B50320" w:rsidR="0009357F">
        <w:rPr>
          <w:rFonts w:ascii="Arial" w:eastAsia="DengXian" w:hAnsi="Arial" w:cs="Arial"/>
          <w:sz w:val="22"/>
          <w:szCs w:val="22"/>
          <w:lang w:eastAsia="ja-JP"/>
        </w:rPr>
        <w:t> </w:t>
      </w:r>
      <w:r w:rsidRPr="00B50320">
        <w:rPr>
          <w:rFonts w:ascii="Arial" w:eastAsia="DengXian" w:hAnsi="Arial" w:cs="Arial"/>
          <w:sz w:val="22"/>
          <w:szCs w:val="22"/>
          <w:lang w:eastAsia="ja-JP"/>
        </w:rPr>
        <w:t>CFR</w:t>
      </w:r>
      <w:r w:rsidR="00C86121">
        <w:rPr>
          <w:rFonts w:ascii="Arial" w:eastAsia="DengXian" w:hAnsi="Arial" w:cs="Arial"/>
          <w:sz w:val="22"/>
          <w:szCs w:val="22"/>
          <w:lang w:eastAsia="ja-JP"/>
        </w:rPr>
        <w:t> </w:t>
      </w:r>
      <w:r w:rsidRPr="00B50320">
        <w:rPr>
          <w:rFonts w:ascii="Arial" w:eastAsia="DengXian" w:hAnsi="Arial" w:cs="Arial"/>
          <w:sz w:val="22"/>
          <w:szCs w:val="22"/>
          <w:lang w:eastAsia="ja-JP"/>
        </w:rPr>
        <w:t>53.1645 for reports of radiation exposure to members of the public are duplicative of requirements under 10 CFR Part 20 and should be removed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-0148). The commenter proposed the following specific edits if 10</w:t>
      </w:r>
      <w:r w:rsidRPr="00B50320" w:rsidR="002B52AC">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2B52AC">
        <w:rPr>
          <w:rFonts w:ascii="Arial" w:eastAsia="DengXian" w:hAnsi="Arial" w:cs="Arial"/>
          <w:sz w:val="22"/>
          <w:szCs w:val="22"/>
          <w:lang w:eastAsia="ja-JP"/>
        </w:rPr>
        <w:t> </w:t>
      </w:r>
      <w:r w:rsidRPr="00B50320">
        <w:rPr>
          <w:rFonts w:ascii="Arial" w:eastAsia="DengXian" w:hAnsi="Arial" w:cs="Arial"/>
          <w:sz w:val="22"/>
          <w:szCs w:val="22"/>
          <w:lang w:eastAsia="ja-JP"/>
        </w:rPr>
        <w:t>53.1645 is not removed:</w:t>
      </w:r>
    </w:p>
    <w:p w:rsidR="00454E25" w:rsidRPr="00B50320" w:rsidP="000E0853" w14:paraId="4206D646" w14:textId="77777777">
      <w:pPr>
        <w:tabs>
          <w:tab w:val="left" w:pos="3950"/>
        </w:tabs>
        <w:rPr>
          <w:rFonts w:ascii="Arial" w:eastAsia="DengXian" w:hAnsi="Arial" w:cs="Arial"/>
          <w:sz w:val="22"/>
          <w:szCs w:val="22"/>
          <w:lang w:eastAsia="ja-JP"/>
        </w:rPr>
      </w:pPr>
    </w:p>
    <w:p w:rsidR="007F112A" w:rsidRPr="00B50320" w:rsidP="000E0853" w14:paraId="1B57102D" w14:textId="77777777">
      <w:pPr>
        <w:numPr>
          <w:ilvl w:val="0"/>
          <w:numId w:val="3"/>
        </w:numPr>
        <w:tabs>
          <w:tab w:val="left" w:pos="3950"/>
        </w:tabs>
        <w:rPr>
          <w:rFonts w:ascii="Arial" w:eastAsia="DengXian" w:hAnsi="Arial" w:cs="Arial"/>
          <w:sz w:val="22"/>
          <w:szCs w:val="22"/>
          <w:lang w:eastAsia="ja-JP"/>
        </w:rPr>
      </w:pPr>
      <w:r w:rsidRPr="00B50320">
        <w:rPr>
          <w:rFonts w:ascii="Arial" w:eastAsia="DengXian" w:hAnsi="Arial" w:cs="Arial"/>
          <w:sz w:val="22"/>
          <w:szCs w:val="22"/>
          <w:lang w:eastAsia="ja-JP"/>
        </w:rPr>
        <w:t>Delete “radiological reports as required by 10 CFR Part 20, as well as” from 10</w:t>
      </w:r>
      <w:r w:rsidRPr="00B50320" w:rsidR="002B52AC">
        <w:rPr>
          <w:rFonts w:ascii="Arial" w:eastAsia="DengXian" w:hAnsi="Arial" w:cs="Arial"/>
          <w:sz w:val="22"/>
          <w:szCs w:val="22"/>
          <w:lang w:eastAsia="ja-JP"/>
        </w:rPr>
        <w:t> </w:t>
      </w:r>
      <w:r w:rsidRPr="00B50320">
        <w:rPr>
          <w:rFonts w:ascii="Arial" w:eastAsia="DengXian" w:hAnsi="Arial" w:cs="Arial"/>
          <w:sz w:val="22"/>
          <w:szCs w:val="22"/>
          <w:lang w:eastAsia="ja-JP"/>
        </w:rPr>
        <w:t>CFR</w:t>
      </w:r>
      <w:r w:rsidR="00C86121">
        <w:rPr>
          <w:rFonts w:ascii="Arial" w:eastAsia="DengXian" w:hAnsi="Arial" w:cs="Arial"/>
          <w:sz w:val="22"/>
          <w:szCs w:val="22"/>
          <w:lang w:eastAsia="ja-JP"/>
        </w:rPr>
        <w:t> </w:t>
      </w:r>
      <w:r w:rsidRPr="00B50320">
        <w:rPr>
          <w:rFonts w:ascii="Arial" w:eastAsia="DengXian" w:hAnsi="Arial" w:cs="Arial"/>
          <w:sz w:val="22"/>
          <w:szCs w:val="22"/>
          <w:lang w:eastAsia="ja-JP"/>
        </w:rPr>
        <w:t>53.1645(a), as the phrase is redundant and unnecessary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-0148).</w:t>
      </w:r>
    </w:p>
    <w:p w:rsidR="007F112A" w:rsidRPr="00B50320" w:rsidP="000E0853" w14:paraId="76145288" w14:textId="77777777">
      <w:pPr>
        <w:numPr>
          <w:ilvl w:val="0"/>
          <w:numId w:val="3"/>
        </w:numPr>
        <w:tabs>
          <w:tab w:val="left" w:pos="3950"/>
        </w:tabs>
        <w:rPr>
          <w:rFonts w:ascii="Arial" w:eastAsia="DengXian" w:hAnsi="Arial" w:cs="Arial"/>
          <w:sz w:val="22"/>
          <w:szCs w:val="22"/>
          <w:lang w:eastAsia="ja-JP"/>
        </w:rPr>
      </w:pPr>
      <w:r w:rsidRPr="00B50320">
        <w:rPr>
          <w:rFonts w:ascii="Arial" w:eastAsia="DengXian" w:hAnsi="Arial" w:cs="Arial"/>
          <w:sz w:val="22"/>
          <w:szCs w:val="22"/>
          <w:lang w:eastAsia="ja-JP"/>
        </w:rPr>
        <w:t>Revise 10 CFR 53.1645 to use the term “discharge” instead of “release,” as appropriate, to provide consistency with definitions established in RG 1.2.1, Revision 3 and to ensure reporting focuses on discharge of radioactive material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-0149).</w:t>
      </w:r>
    </w:p>
    <w:p w:rsidR="007F112A" w:rsidRPr="00B50320" w:rsidP="000E0853" w14:paraId="04AF107D" w14:textId="77777777">
      <w:pPr>
        <w:numPr>
          <w:ilvl w:val="0"/>
          <w:numId w:val="3"/>
        </w:numPr>
        <w:tabs>
          <w:tab w:val="left" w:pos="3950"/>
        </w:tabs>
        <w:rPr>
          <w:rFonts w:ascii="Arial" w:eastAsia="DengXian" w:hAnsi="Arial" w:cs="Arial"/>
          <w:sz w:val="22"/>
          <w:szCs w:val="22"/>
          <w:lang w:eastAsia="ja-JP"/>
        </w:rPr>
      </w:pPr>
      <w:r w:rsidRPr="00B50320">
        <w:rPr>
          <w:rFonts w:ascii="Arial" w:eastAsia="DengXian" w:hAnsi="Arial" w:cs="Arial"/>
          <w:sz w:val="22"/>
          <w:szCs w:val="22"/>
          <w:lang w:eastAsia="ja-JP"/>
        </w:rPr>
        <w:t>Revise the title of 10 CFR 53.1645 to “Reports of Discharges of Radioactive Material in Liquid and Gaseous Effluents” to better reflect the content of annual reporting requirements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-0150).</w:t>
      </w:r>
    </w:p>
    <w:p w:rsidR="007F112A" w:rsidRPr="00B50320" w14:paraId="4B18403C" w14:textId="77777777">
      <w:pPr>
        <w:numPr>
          <w:ilvl w:val="0"/>
          <w:numId w:val="3"/>
        </w:numPr>
        <w:tabs>
          <w:tab w:val="left" w:pos="3950"/>
        </w:tabs>
        <w:spacing w:after="220"/>
        <w:rPr>
          <w:rFonts w:ascii="Arial" w:eastAsia="DengXian" w:hAnsi="Arial" w:cs="Arial"/>
          <w:sz w:val="22"/>
          <w:szCs w:val="22"/>
          <w:lang w:eastAsia="ja-JP"/>
        </w:rPr>
      </w:pPr>
      <w:r w:rsidRPr="00B50320">
        <w:rPr>
          <w:rFonts w:ascii="Arial" w:eastAsia="DengXian" w:hAnsi="Arial" w:cs="Arial"/>
          <w:sz w:val="22"/>
          <w:szCs w:val="22"/>
          <w:lang w:eastAsia="ja-JP"/>
        </w:rPr>
        <w:t>Remove the term “ALARA” from both 10 CFR 53.1645(a) and (b) to ensure consistency with the updated provisions in proposed 10 CFR 53.425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-0151).</w:t>
      </w:r>
    </w:p>
    <w:p w:rsidR="007F112A" w:rsidRPr="00B50320" w:rsidP="00B50320" w14:paraId="7C6519CE"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 xml:space="preserve">NRC Response: </w:t>
      </w:r>
      <w:r w:rsidRPr="00B50320">
        <w:rPr>
          <w:rFonts w:ascii="Arial" w:eastAsia="DengXian" w:hAnsi="Arial" w:cs="Arial"/>
          <w:sz w:val="22"/>
          <w:szCs w:val="22"/>
          <w:lang w:eastAsia="ja-JP"/>
        </w:rPr>
        <w:t xml:space="preserve">The NRC </w:t>
      </w:r>
      <w:r w:rsidR="005222CF">
        <w:rPr>
          <w:rFonts w:ascii="Arial" w:eastAsia="DengXian" w:hAnsi="Arial" w:cs="Arial"/>
          <w:sz w:val="22"/>
          <w:szCs w:val="22"/>
          <w:lang w:eastAsia="ja-JP"/>
        </w:rPr>
        <w:t>agrees</w:t>
      </w:r>
      <w:r w:rsidR="008B4A21">
        <w:rPr>
          <w:rFonts w:ascii="Arial" w:eastAsia="DengXian" w:hAnsi="Arial" w:cs="Arial"/>
          <w:sz w:val="22"/>
          <w:szCs w:val="22"/>
          <w:lang w:eastAsia="ja-JP"/>
        </w:rPr>
        <w:t>,</w:t>
      </w:r>
      <w:r w:rsidR="005222CF">
        <w:rPr>
          <w:rFonts w:ascii="Arial" w:eastAsia="DengXian" w:hAnsi="Arial" w:cs="Arial"/>
          <w:sz w:val="22"/>
          <w:szCs w:val="22"/>
          <w:lang w:eastAsia="ja-JP"/>
        </w:rPr>
        <w:t xml:space="preserve"> in part</w:t>
      </w:r>
      <w:r w:rsidR="008B4A21">
        <w:rPr>
          <w:rFonts w:ascii="Arial" w:eastAsia="DengXian" w:hAnsi="Arial" w:cs="Arial"/>
          <w:sz w:val="22"/>
          <w:szCs w:val="22"/>
          <w:lang w:eastAsia="ja-JP"/>
        </w:rPr>
        <w:t>,</w:t>
      </w:r>
      <w:r w:rsidRPr="00B50320">
        <w:rPr>
          <w:rFonts w:ascii="Arial" w:eastAsia="DengXian" w:hAnsi="Arial" w:cs="Arial"/>
          <w:sz w:val="22"/>
          <w:szCs w:val="22"/>
          <w:lang w:eastAsia="ja-JP"/>
        </w:rPr>
        <w:t xml:space="preserve"> with the comment</w:t>
      </w:r>
      <w:r w:rsidRPr="00B50320" w:rsidR="002B52AC">
        <w:rPr>
          <w:rFonts w:ascii="Arial" w:eastAsia="DengXian" w:hAnsi="Arial" w:cs="Arial"/>
          <w:sz w:val="22"/>
          <w:szCs w:val="22"/>
          <w:lang w:eastAsia="ja-JP"/>
        </w:rPr>
        <w:t>s</w:t>
      </w:r>
      <w:r w:rsidRPr="00B50320">
        <w:rPr>
          <w:rFonts w:ascii="Arial" w:eastAsia="DengXian" w:hAnsi="Arial" w:cs="Arial"/>
          <w:sz w:val="22"/>
          <w:szCs w:val="22"/>
          <w:lang w:eastAsia="ja-JP"/>
        </w:rPr>
        <w:t>.</w:t>
      </w:r>
    </w:p>
    <w:p w:rsidR="007F112A" w:rsidRPr="00B50320" w:rsidP="00B50320" w14:paraId="4D9BF623"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Regarding the part of the comment on the inclusion of pointers to the requirements in other parts of NRC regulations, see the </w:t>
      </w:r>
      <w:r w:rsidR="00B4687B">
        <w:rPr>
          <w:rFonts w:ascii="Arial" w:eastAsia="DengXian" w:hAnsi="Arial" w:cs="Arial"/>
          <w:sz w:val="22"/>
          <w:szCs w:val="22"/>
          <w:lang w:eastAsia="ja-JP"/>
        </w:rPr>
        <w:t xml:space="preserve">NRC’s </w:t>
      </w:r>
      <w:r w:rsidRPr="00B50320">
        <w:rPr>
          <w:rFonts w:ascii="Arial" w:eastAsia="DengXian" w:hAnsi="Arial" w:cs="Arial"/>
          <w:sz w:val="22"/>
          <w:szCs w:val="22"/>
          <w:lang w:eastAsia="ja-JP"/>
        </w:rPr>
        <w:t xml:space="preserve">response to </w:t>
      </w:r>
      <w:r w:rsidRPr="00B50320" w:rsidR="00DD4DD0">
        <w:rPr>
          <w:rFonts w:ascii="Arial" w:eastAsia="DengXian" w:hAnsi="Arial" w:cs="Arial"/>
          <w:sz w:val="22"/>
          <w:szCs w:val="22"/>
          <w:lang w:eastAsia="ja-JP"/>
        </w:rPr>
        <w:t>C</w:t>
      </w:r>
      <w:r w:rsidRPr="00B50320">
        <w:rPr>
          <w:rFonts w:ascii="Arial" w:eastAsia="DengXian" w:hAnsi="Arial" w:cs="Arial"/>
          <w:sz w:val="22"/>
          <w:szCs w:val="22"/>
          <w:lang w:eastAsia="ja-JP"/>
        </w:rPr>
        <w:t xml:space="preserve">omment </w:t>
      </w:r>
      <w:r w:rsidRPr="00B50320" w:rsidR="00DD4DD0">
        <w:rPr>
          <w:rFonts w:ascii="Arial" w:eastAsia="DengXian" w:hAnsi="Arial" w:cs="Arial"/>
          <w:sz w:val="22"/>
          <w:szCs w:val="22"/>
          <w:lang w:eastAsia="ja-JP"/>
        </w:rPr>
        <w:t>Bin</w:t>
      </w:r>
      <w:r w:rsidRPr="00B50320">
        <w:rPr>
          <w:rFonts w:ascii="Arial" w:eastAsia="DengXian" w:hAnsi="Arial" w:cs="Arial"/>
          <w:sz w:val="22"/>
          <w:szCs w:val="22"/>
          <w:lang w:eastAsia="ja-JP"/>
        </w:rPr>
        <w:t xml:space="preserve"> 3.12.</w:t>
      </w:r>
      <w:r w:rsidRPr="00B50320" w:rsidR="00DD4DD0">
        <w:rPr>
          <w:rFonts w:ascii="Arial" w:eastAsia="DengXian" w:hAnsi="Arial" w:cs="Arial"/>
          <w:sz w:val="22"/>
          <w:szCs w:val="22"/>
          <w:lang w:eastAsia="ja-JP"/>
        </w:rPr>
        <w:t>G</w:t>
      </w:r>
      <w:r w:rsidRPr="00B50320">
        <w:rPr>
          <w:rFonts w:ascii="Arial" w:eastAsia="DengXian" w:hAnsi="Arial" w:cs="Arial"/>
          <w:sz w:val="22"/>
          <w:szCs w:val="22"/>
          <w:lang w:eastAsia="ja-JP"/>
        </w:rPr>
        <w:t>.</w:t>
      </w:r>
    </w:p>
    <w:p w:rsidR="007F112A" w:rsidRPr="00B50320" w:rsidP="00B50320" w14:paraId="733E71C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Regarding the part of the comment on using “discharge” instead of “release” in the reporting requirements under 10 CFR 53.1645, the proposed and final rules explain that the requirements in 10 CFR 53.1645 result in essentially the same reporting requirements required by the regulations and licenses under 10 CFR Parts 50 and 52. An administrative difference is that </w:t>
      </w:r>
      <w:r w:rsidR="00454E25">
        <w:rPr>
          <w:rFonts w:ascii="Arial" w:eastAsia="DengXian" w:hAnsi="Arial" w:cs="Arial"/>
          <w:sz w:val="22"/>
          <w:szCs w:val="22"/>
          <w:lang w:eastAsia="ja-JP"/>
        </w:rPr>
        <w:br/>
      </w:r>
      <w:r w:rsidRPr="00B50320">
        <w:rPr>
          <w:rFonts w:ascii="Arial" w:eastAsia="DengXian" w:hAnsi="Arial" w:cs="Arial"/>
          <w:sz w:val="22"/>
          <w:szCs w:val="22"/>
          <w:lang w:eastAsia="ja-JP"/>
        </w:rPr>
        <w:t xml:space="preserve">10 CFR Part 53 addresses the reports directly in the regulations instead of through the combination of regulations and requirements included in the technical specifications under </w:t>
      </w:r>
      <w:r w:rsidR="00454E25">
        <w:rPr>
          <w:rFonts w:ascii="Arial" w:eastAsia="DengXian" w:hAnsi="Arial" w:cs="Arial"/>
          <w:sz w:val="22"/>
          <w:szCs w:val="22"/>
          <w:lang w:eastAsia="ja-JP"/>
        </w:rPr>
        <w:br/>
      </w:r>
      <w:r w:rsidRPr="00B50320">
        <w:rPr>
          <w:rFonts w:ascii="Arial" w:eastAsia="DengXian" w:hAnsi="Arial" w:cs="Arial"/>
          <w:sz w:val="22"/>
          <w:szCs w:val="22"/>
          <w:lang w:eastAsia="ja-JP"/>
        </w:rPr>
        <w:t>10 CFR 50.36a. Therefore, the language used in 10</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CFR 53.1645 is intentionally similar to the language used in 10 CFR 50.36a and the associated technical specifications, which require similar reporting requirements for licenses under 10 CFR Part 50. Specifically, the phrase, “quantity of each of the principal radionuclides released to unrestricted areas,” is equivalent in both 10</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 xml:space="preserve">50.36a and 10 CFR 53.1645. In addition, numerous other NRC regulations and guidance documents use the word “release,” instead of the word “discharge,” when referring to emissions that are not exclusive to only the onsite environment. For example, 10 CFR 20.1302(a) uses “released” to discuss material in unrestricted and controlled areas and 10 CFR 20.1302(b)(2)(i) discusses material “released” at the boundary of the unrestricted area. The NRC therefore concludes that changing </w:t>
      </w:r>
      <w:r w:rsidRPr="00B50320" w:rsidR="003413C9">
        <w:rPr>
          <w:rFonts w:ascii="Arial" w:eastAsia="DengXian" w:hAnsi="Arial" w:cs="Arial"/>
          <w:sz w:val="22"/>
          <w:szCs w:val="22"/>
          <w:lang w:eastAsia="ja-JP"/>
        </w:rPr>
        <w:t>10 CFR </w:t>
      </w:r>
      <w:r w:rsidRPr="00B50320">
        <w:rPr>
          <w:rFonts w:ascii="Arial" w:eastAsia="DengXian" w:hAnsi="Arial" w:cs="Arial"/>
          <w:sz w:val="22"/>
          <w:szCs w:val="22"/>
          <w:lang w:eastAsia="ja-JP"/>
        </w:rPr>
        <w:t>53.1645 to use the word “discharge” could create unnecessary confusion regarding differences in terminology between 10 CFR Part 53 compared to 10</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Part</w:t>
      </w:r>
      <w:r w:rsidRPr="00B50320" w:rsidR="003413C9">
        <w:rPr>
          <w:rFonts w:ascii="Arial" w:eastAsia="DengXian" w:hAnsi="Arial" w:cs="Arial"/>
          <w:sz w:val="22"/>
          <w:szCs w:val="22"/>
          <w:lang w:eastAsia="ja-JP"/>
        </w:rPr>
        <w:t> </w:t>
      </w:r>
      <w:r w:rsidRPr="00B50320">
        <w:rPr>
          <w:rFonts w:ascii="Arial" w:eastAsia="DengXian" w:hAnsi="Arial" w:cs="Arial"/>
          <w:sz w:val="22"/>
          <w:szCs w:val="22"/>
          <w:lang w:eastAsia="ja-JP"/>
        </w:rPr>
        <w:t xml:space="preserve">50. </w:t>
      </w:r>
    </w:p>
    <w:p w:rsidR="002527C2" w:rsidP="00B50320" w14:paraId="3D9EFF89"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Regarding the part of the comment on removing the term “as low as reasonably achievable” or ALARA from 10 CFR 53.1645(a) and (b),</w:t>
      </w:r>
      <w:r w:rsidRPr="002B54CB">
        <w:rPr>
          <w:rFonts w:ascii="Arial" w:eastAsia="DengXian" w:hAnsi="Arial" w:cs="Arial"/>
          <w:sz w:val="22"/>
          <w:szCs w:val="22"/>
          <w:lang w:eastAsia="ja-JP"/>
        </w:rPr>
        <w:t xml:space="preserve"> </w:t>
      </w:r>
      <w:r w:rsidR="001342B8">
        <w:rPr>
          <w:rFonts w:ascii="Arial" w:eastAsia="DengXian" w:hAnsi="Arial" w:cs="Arial"/>
          <w:sz w:val="22"/>
          <w:szCs w:val="22"/>
          <w:lang w:eastAsia="ja-JP"/>
        </w:rPr>
        <w:t>as</w:t>
      </w:r>
      <w:r w:rsidR="00D52026">
        <w:rPr>
          <w:rFonts w:ascii="Arial" w:eastAsia="DengXian" w:hAnsi="Arial" w:cs="Arial"/>
          <w:sz w:val="22"/>
          <w:szCs w:val="22"/>
          <w:lang w:eastAsia="ja-JP"/>
        </w:rPr>
        <w:t xml:space="preserve"> described in</w:t>
      </w:r>
      <w:r w:rsidRPr="000B3DEC">
        <w:rPr>
          <w:rFonts w:ascii="Arial" w:eastAsia="DengXian" w:hAnsi="Arial" w:cs="Arial"/>
          <w:sz w:val="22"/>
          <w:szCs w:val="22"/>
          <w:lang w:eastAsia="ja-JP"/>
        </w:rPr>
        <w:t xml:space="preserve"> the </w:t>
      </w:r>
      <w:r w:rsidRPr="000B3DEC" w:rsidR="00A7044B">
        <w:rPr>
          <w:rFonts w:ascii="Arial" w:eastAsia="DengXian" w:hAnsi="Arial" w:cs="Arial"/>
          <w:sz w:val="22"/>
          <w:szCs w:val="22"/>
          <w:lang w:eastAsia="ja-JP"/>
        </w:rPr>
        <w:t>NRC’s</w:t>
      </w:r>
      <w:r w:rsidRPr="000B3DEC">
        <w:rPr>
          <w:rFonts w:ascii="Arial" w:eastAsia="DengXian" w:hAnsi="Arial" w:cs="Arial"/>
          <w:sz w:val="22"/>
          <w:szCs w:val="22"/>
          <w:lang w:eastAsia="ja-JP"/>
        </w:rPr>
        <w:t xml:space="preserve"> response to </w:t>
      </w:r>
      <w:r w:rsidRPr="002B54CB" w:rsidR="00A7044B">
        <w:rPr>
          <w:rFonts w:ascii="Arial" w:eastAsia="DengXian" w:hAnsi="Arial" w:cs="Arial"/>
          <w:sz w:val="22"/>
          <w:szCs w:val="22"/>
          <w:lang w:eastAsia="ja-JP"/>
        </w:rPr>
        <w:t>Comment Bin</w:t>
      </w:r>
      <w:r w:rsidR="004464EA">
        <w:rPr>
          <w:rFonts w:ascii="Arial" w:eastAsia="DengXian" w:hAnsi="Arial" w:cs="Arial"/>
          <w:sz w:val="22"/>
          <w:szCs w:val="22"/>
          <w:lang w:eastAsia="ja-JP"/>
        </w:rPr>
        <w:t> </w:t>
      </w:r>
      <w:r w:rsidRPr="002B54CB" w:rsidR="00A7044B">
        <w:rPr>
          <w:rFonts w:ascii="Arial" w:eastAsia="DengXian" w:hAnsi="Arial" w:cs="Arial"/>
          <w:sz w:val="22"/>
          <w:szCs w:val="22"/>
          <w:lang w:eastAsia="ja-JP"/>
        </w:rPr>
        <w:t>3.2.3.A</w:t>
      </w:r>
      <w:r w:rsidR="00D52026">
        <w:rPr>
          <w:rFonts w:ascii="Arial" w:eastAsia="DengXian" w:hAnsi="Arial" w:cs="Arial"/>
          <w:sz w:val="22"/>
          <w:szCs w:val="22"/>
          <w:lang w:eastAsia="ja-JP"/>
        </w:rPr>
        <w:t>,</w:t>
      </w:r>
      <w:r w:rsidRPr="000B3DEC" w:rsidR="008F7E8E">
        <w:rPr>
          <w:rFonts w:ascii="Arial" w:eastAsia="DengXian" w:hAnsi="Arial" w:cs="Arial"/>
          <w:sz w:val="22"/>
          <w:szCs w:val="22"/>
          <w:lang w:eastAsia="ja-JP"/>
        </w:rPr>
        <w:t xml:space="preserve"> </w:t>
      </w:r>
      <w:r w:rsidR="00D73B38">
        <w:rPr>
          <w:rFonts w:ascii="Arial" w:eastAsia="DengXian" w:hAnsi="Arial" w:cs="Arial"/>
          <w:sz w:val="22"/>
          <w:szCs w:val="22"/>
          <w:lang w:eastAsia="ja-JP"/>
        </w:rPr>
        <w:t xml:space="preserve">the </w:t>
      </w:r>
      <w:r w:rsidRPr="00BA3986" w:rsidR="00BA3986">
        <w:rPr>
          <w:rFonts w:ascii="Arial" w:eastAsia="DengXian" w:hAnsi="Arial" w:cs="Arial"/>
          <w:sz w:val="22"/>
          <w:szCs w:val="22"/>
          <w:lang w:eastAsia="ja-JP"/>
        </w:rPr>
        <w:t xml:space="preserve">NRC </w:t>
      </w:r>
      <w:r w:rsidR="0067291F">
        <w:rPr>
          <w:rFonts w:ascii="Arial" w:hAnsi="Arial" w:cs="Arial"/>
          <w:sz w:val="22"/>
          <w:szCs w:val="22"/>
        </w:rPr>
        <w:t xml:space="preserve">agrees that referring to 10 CFR Part 20 is sufficient </w:t>
      </w:r>
      <w:r w:rsidR="00B11385">
        <w:rPr>
          <w:rFonts w:ascii="Arial" w:hAnsi="Arial" w:cs="Arial"/>
          <w:sz w:val="22"/>
          <w:szCs w:val="22"/>
        </w:rPr>
        <w:t xml:space="preserve">to </w:t>
      </w:r>
      <w:r w:rsidR="0067291F">
        <w:rPr>
          <w:rFonts w:ascii="Arial" w:hAnsi="Arial" w:cs="Arial"/>
          <w:sz w:val="22"/>
          <w:szCs w:val="22"/>
        </w:rPr>
        <w:t xml:space="preserve">address radiation protection </w:t>
      </w:r>
      <w:r w:rsidR="00CC088C">
        <w:rPr>
          <w:rFonts w:ascii="Arial" w:hAnsi="Arial" w:cs="Arial"/>
          <w:sz w:val="22"/>
          <w:szCs w:val="22"/>
        </w:rPr>
        <w:t>standards</w:t>
      </w:r>
      <w:r w:rsidR="0067291F">
        <w:rPr>
          <w:rFonts w:ascii="Arial" w:hAnsi="Arial" w:cs="Arial"/>
          <w:sz w:val="22"/>
          <w:szCs w:val="22"/>
        </w:rPr>
        <w:t>.</w:t>
      </w:r>
    </w:p>
    <w:p w:rsidR="007F112A" w:rsidRPr="00B50320" w:rsidP="00B50320" w14:paraId="17BDFF84" w14:textId="77777777">
      <w:pPr>
        <w:spacing w:after="220"/>
        <w:rPr>
          <w:rFonts w:ascii="Arial" w:eastAsia="DengXian" w:hAnsi="Arial" w:cs="Arial"/>
          <w:sz w:val="22"/>
          <w:szCs w:val="22"/>
          <w:lang w:eastAsia="ja-JP"/>
        </w:rPr>
      </w:pPr>
      <w:r w:rsidRPr="002B54CB">
        <w:rPr>
          <w:rFonts w:ascii="Arial" w:eastAsia="DengXian" w:hAnsi="Arial" w:cs="Arial"/>
          <w:sz w:val="22"/>
          <w:szCs w:val="22"/>
          <w:lang w:eastAsia="ja-JP"/>
        </w:rPr>
        <w:t xml:space="preserve">Accordingly, the NRC </w:t>
      </w:r>
      <w:r w:rsidR="00AD0397">
        <w:rPr>
          <w:rFonts w:ascii="Arial" w:hAnsi="Arial" w:cs="Arial"/>
          <w:sz w:val="22"/>
          <w:szCs w:val="22"/>
        </w:rPr>
        <w:t xml:space="preserve">revised the final rule to remove specific references </w:t>
      </w:r>
      <w:r w:rsidR="00E3563F">
        <w:rPr>
          <w:rFonts w:ascii="Arial" w:hAnsi="Arial" w:cs="Arial"/>
          <w:sz w:val="22"/>
          <w:szCs w:val="22"/>
        </w:rPr>
        <w:t xml:space="preserve">within Part 53 </w:t>
      </w:r>
      <w:r w:rsidR="00AD0397">
        <w:rPr>
          <w:rFonts w:ascii="Arial" w:hAnsi="Arial" w:cs="Arial"/>
          <w:sz w:val="22"/>
          <w:szCs w:val="22"/>
        </w:rPr>
        <w:t xml:space="preserve">to ALARA </w:t>
      </w:r>
      <w:r w:rsidR="00F052C6">
        <w:rPr>
          <w:rFonts w:ascii="Arial" w:hAnsi="Arial" w:cs="Arial"/>
          <w:sz w:val="22"/>
          <w:szCs w:val="22"/>
        </w:rPr>
        <w:t xml:space="preserve">and </w:t>
      </w:r>
      <w:r w:rsidR="00E3563F">
        <w:rPr>
          <w:rFonts w:ascii="Arial" w:hAnsi="Arial" w:cs="Arial"/>
          <w:sz w:val="22"/>
          <w:szCs w:val="22"/>
        </w:rPr>
        <w:t>only</w:t>
      </w:r>
      <w:r w:rsidR="00F052C6">
        <w:rPr>
          <w:rFonts w:ascii="Arial" w:hAnsi="Arial" w:cs="Arial"/>
          <w:sz w:val="22"/>
          <w:szCs w:val="22"/>
        </w:rPr>
        <w:t xml:space="preserve"> </w:t>
      </w:r>
      <w:r w:rsidR="00A67B6C">
        <w:rPr>
          <w:rFonts w:ascii="Arial" w:hAnsi="Arial" w:cs="Arial"/>
          <w:sz w:val="22"/>
          <w:szCs w:val="22"/>
        </w:rPr>
        <w:t xml:space="preserve">included </w:t>
      </w:r>
      <w:r w:rsidR="00F052C6">
        <w:rPr>
          <w:rFonts w:ascii="Arial" w:hAnsi="Arial" w:cs="Arial"/>
          <w:sz w:val="22"/>
          <w:szCs w:val="22"/>
        </w:rPr>
        <w:t>direct refer</w:t>
      </w:r>
      <w:r w:rsidR="00A67B6C">
        <w:rPr>
          <w:rFonts w:ascii="Arial" w:hAnsi="Arial" w:cs="Arial"/>
          <w:sz w:val="22"/>
          <w:szCs w:val="22"/>
        </w:rPr>
        <w:t>ences</w:t>
      </w:r>
      <w:r w:rsidR="00CF1796">
        <w:rPr>
          <w:rFonts w:ascii="Arial" w:hAnsi="Arial" w:cs="Arial"/>
          <w:sz w:val="22"/>
          <w:szCs w:val="22"/>
        </w:rPr>
        <w:t xml:space="preserve"> to 10 CFR Part 20</w:t>
      </w:r>
      <w:r w:rsidRPr="002B54CB">
        <w:rPr>
          <w:rFonts w:ascii="Arial" w:eastAsia="DengXian" w:hAnsi="Arial" w:cs="Arial"/>
          <w:sz w:val="22"/>
          <w:szCs w:val="22"/>
          <w:lang w:eastAsia="ja-JP"/>
        </w:rPr>
        <w:t>.</w:t>
      </w:r>
    </w:p>
    <w:p w:rsidR="007F112A" w:rsidRPr="00DA0A3C" w:rsidP="00B50320" w14:paraId="6F002F23" w14:textId="77777777">
      <w:pPr>
        <w:spacing w:after="220"/>
        <w:rPr>
          <w:rFonts w:ascii="Arial" w:eastAsia="Times New Roman" w:hAnsi="Arial" w:cs="Arial"/>
          <w:lang w:eastAsia="zh-CN"/>
        </w:rPr>
      </w:pPr>
      <w:r>
        <w:rPr>
          <w:rFonts w:ascii="Arial" w:eastAsia="Times New Roman" w:hAnsi="Arial" w:cs="Arial"/>
          <w:sz w:val="22"/>
          <w:szCs w:val="22"/>
          <w:lang w:eastAsia="zh-CN"/>
        </w:rPr>
        <w:pict>
          <v:rect id="_x0000_i1302" style="width:0;height:1.5pt" o:hralign="center" o:hrstd="t" o:hrnoshade="t" o:hr="t" fillcolor="black" stroked="f"/>
        </w:pict>
      </w:r>
    </w:p>
    <w:p w:rsidR="007F112A" w:rsidRPr="00DA0A3C" w:rsidP="00EE64A5" w14:paraId="751D36CA" w14:textId="77777777">
      <w:pPr>
        <w:pStyle w:val="Heading3"/>
        <w:keepNext/>
        <w:keepLines/>
        <w:numPr>
          <w:ilvl w:val="0"/>
          <w:numId w:val="0"/>
        </w:numPr>
        <w:ind w:left="720" w:hanging="720"/>
      </w:pPr>
      <w:bookmarkStart w:id="122" w:name="_Toc194466477"/>
      <w:bookmarkStart w:id="123" w:name="_Toc194678438"/>
      <w:bookmarkStart w:id="124" w:name="_Toc207222845"/>
      <w:r w:rsidRPr="001249BD">
        <w:rPr>
          <w:u w:val="none"/>
        </w:rPr>
        <w:t>3.10.2.</w:t>
      </w:r>
      <w:r w:rsidRPr="001249BD">
        <w:rPr>
          <w:u w:val="none"/>
        </w:rPr>
        <w:tab/>
      </w:r>
      <w:r w:rsidRPr="00DA0A3C">
        <w:t>RFC: Financial qualifications</w:t>
      </w:r>
      <w:bookmarkEnd w:id="122"/>
      <w:bookmarkEnd w:id="123"/>
      <w:bookmarkEnd w:id="124"/>
    </w:p>
    <w:p w:rsidR="007F112A" w:rsidRPr="00B50320" w:rsidP="00B50320" w14:paraId="7CCBE4EE"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Comment Bin 3.10.2.A:</w:t>
      </w:r>
      <w:r w:rsidRPr="00B50320">
        <w:rPr>
          <w:rFonts w:ascii="Arial" w:eastAsia="DengXian" w:hAnsi="Arial" w:cs="Arial"/>
          <w:sz w:val="22"/>
          <w:szCs w:val="22"/>
          <w:lang w:eastAsia="ja-JP"/>
        </w:rPr>
        <w:t xml:space="preserve"> A commenter discussed that the proposed requirement in 10</w:t>
      </w:r>
      <w:r w:rsidRPr="00B50320" w:rsidR="0081057D">
        <w:rPr>
          <w:rFonts w:ascii="Arial" w:eastAsia="DengXian" w:hAnsi="Arial" w:cs="Arial"/>
          <w:sz w:val="22"/>
          <w:szCs w:val="22"/>
          <w:lang w:eastAsia="ja-JP"/>
        </w:rPr>
        <w:t> </w:t>
      </w:r>
      <w:r w:rsidRPr="00B50320">
        <w:rPr>
          <w:rFonts w:ascii="Arial" w:eastAsia="DengXian" w:hAnsi="Arial" w:cs="Arial"/>
          <w:sz w:val="22"/>
          <w:szCs w:val="22"/>
          <w:lang w:eastAsia="ja-JP"/>
        </w:rPr>
        <w:t>CFR</w:t>
      </w:r>
      <w:r w:rsidR="009157FC">
        <w:rPr>
          <w:rFonts w:ascii="Arial" w:eastAsia="DengXian" w:hAnsi="Arial" w:cs="Arial"/>
          <w:sz w:val="22"/>
          <w:szCs w:val="22"/>
          <w:lang w:eastAsia="ja-JP"/>
        </w:rPr>
        <w:t> </w:t>
      </w:r>
      <w:r w:rsidRPr="00B50320">
        <w:rPr>
          <w:rFonts w:ascii="Arial" w:eastAsia="DengXian" w:hAnsi="Arial" w:cs="Arial"/>
          <w:sz w:val="22"/>
          <w:szCs w:val="22"/>
          <w:lang w:eastAsia="ja-JP"/>
        </w:rPr>
        <w:t xml:space="preserve">53.1670 is presented at a high level and does not present details on application contents expected to demonstrate financial qualification. The commenter added that proposed 10 CFR 53.1109 and 10 CFR 53.1670 also do not reference details on content for financial qualification as described in 10 CFR 50.33(f). The commenter suggested that 10 CFR 53.1670 </w:t>
      </w:r>
      <w:r w:rsidRPr="00B50320">
        <w:rPr>
          <w:rFonts w:ascii="Arial" w:eastAsia="DengXian" w:hAnsi="Arial" w:cs="Arial"/>
          <w:sz w:val="22"/>
          <w:szCs w:val="22"/>
          <w:lang w:eastAsia="ja-JP"/>
        </w:rPr>
        <w:t>be expanded to provide appropriate content requirements for an applicant under 10</w:t>
      </w:r>
      <w:r w:rsidR="009157FC">
        <w:rPr>
          <w:rFonts w:ascii="Arial" w:eastAsia="DengXian" w:hAnsi="Arial" w:cs="Arial"/>
          <w:sz w:val="22"/>
          <w:szCs w:val="22"/>
          <w:lang w:eastAsia="ja-JP"/>
        </w:rPr>
        <w:t> CFR </w:t>
      </w:r>
      <w:r w:rsidRPr="00B50320">
        <w:rPr>
          <w:rFonts w:ascii="Arial" w:eastAsia="DengXian" w:hAnsi="Arial" w:cs="Arial"/>
          <w:sz w:val="22"/>
          <w:szCs w:val="22"/>
          <w:lang w:eastAsia="ja-JP"/>
        </w:rPr>
        <w:t>Part</w:t>
      </w:r>
      <w:r w:rsidR="009157FC">
        <w:rPr>
          <w:rFonts w:ascii="Arial" w:eastAsia="DengXian" w:hAnsi="Arial" w:cs="Arial"/>
          <w:sz w:val="22"/>
          <w:szCs w:val="22"/>
          <w:lang w:eastAsia="ja-JP"/>
        </w:rPr>
        <w:t> </w:t>
      </w:r>
      <w:r w:rsidRPr="00B50320">
        <w:rPr>
          <w:rFonts w:ascii="Arial" w:eastAsia="DengXian" w:hAnsi="Arial" w:cs="Arial"/>
          <w:sz w:val="22"/>
          <w:szCs w:val="22"/>
          <w:lang w:eastAsia="ja-JP"/>
        </w:rPr>
        <w:t>53, including at minimum a reference to technical criteria for reporting as described in 10 CFR 53.1366 and 10</w:t>
      </w:r>
      <w:r w:rsidRPr="00B50320" w:rsidR="00B63099">
        <w:rPr>
          <w:rFonts w:ascii="Arial" w:eastAsia="DengXian" w:hAnsi="Arial" w:cs="Arial"/>
          <w:sz w:val="22"/>
          <w:szCs w:val="22"/>
          <w:lang w:eastAsia="ja-JP"/>
        </w:rPr>
        <w:t> </w:t>
      </w:r>
      <w:r w:rsidRPr="00B50320">
        <w:rPr>
          <w:rFonts w:ascii="Arial" w:eastAsia="DengXian" w:hAnsi="Arial" w:cs="Arial"/>
          <w:sz w:val="22"/>
          <w:szCs w:val="22"/>
          <w:lang w:eastAsia="ja-JP"/>
        </w:rPr>
        <w:t>CFR 53.1413. The commenter suggested that the proposed rule should only provide details equivalent to those expected for an applicant under 10</w:t>
      </w:r>
      <w:r w:rsidR="009157FC">
        <w:rPr>
          <w:rFonts w:ascii="Arial" w:eastAsia="DengXian" w:hAnsi="Arial" w:cs="Arial"/>
          <w:sz w:val="22"/>
          <w:szCs w:val="22"/>
          <w:lang w:eastAsia="ja-JP"/>
        </w:rPr>
        <w:t> </w:t>
      </w:r>
      <w:r w:rsidRPr="00B50320">
        <w:rPr>
          <w:rFonts w:ascii="Arial" w:eastAsia="DengXian" w:hAnsi="Arial" w:cs="Arial"/>
          <w:sz w:val="22"/>
          <w:szCs w:val="22"/>
          <w:lang w:eastAsia="ja-JP"/>
        </w:rPr>
        <w:t>CFR Part 50 or 10</w:t>
      </w:r>
      <w:r w:rsidRPr="00B50320" w:rsidR="00B63099">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B63099">
        <w:rPr>
          <w:rFonts w:ascii="Arial" w:eastAsia="DengXian" w:hAnsi="Arial" w:cs="Arial"/>
          <w:sz w:val="22"/>
          <w:szCs w:val="22"/>
          <w:lang w:eastAsia="ja-JP"/>
        </w:rPr>
        <w:t> </w:t>
      </w:r>
      <w:r w:rsidRPr="00B50320">
        <w:rPr>
          <w:rFonts w:ascii="Arial" w:eastAsia="DengXian" w:hAnsi="Arial" w:cs="Arial"/>
          <w:sz w:val="22"/>
          <w:szCs w:val="22"/>
          <w:lang w:eastAsia="ja-JP"/>
        </w:rPr>
        <w:t>Part 52, and additional details be presented in guidance (</w:t>
      </w:r>
      <w:r w:rsidR="009D6BB9">
        <w:rPr>
          <w:rFonts w:ascii="Arial" w:eastAsia="DengXian" w:hAnsi="Arial" w:cs="Arial"/>
          <w:sz w:val="22"/>
          <w:szCs w:val="22"/>
          <w:lang w:eastAsia="ja-JP"/>
        </w:rPr>
        <w:t>NEI2</w:t>
      </w:r>
      <w:r w:rsidRPr="00B50320">
        <w:rPr>
          <w:rFonts w:ascii="Arial" w:eastAsia="DengXian" w:hAnsi="Arial" w:cs="Arial"/>
          <w:sz w:val="22"/>
          <w:szCs w:val="22"/>
          <w:lang w:eastAsia="ja-JP"/>
        </w:rPr>
        <w:t>-0152).</w:t>
      </w:r>
    </w:p>
    <w:p w:rsidR="00A67276" w:rsidRPr="00B50320" w:rsidP="00B50320" w14:paraId="351A80E9"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w:t>
      </w:r>
      <w:r w:rsidRPr="00B50320" w:rsidR="00A80C8B">
        <w:rPr>
          <w:rFonts w:ascii="Arial" w:eastAsia="DengXian" w:hAnsi="Arial" w:cs="Arial"/>
          <w:sz w:val="22"/>
          <w:szCs w:val="22"/>
          <w:lang w:eastAsia="ja-JP"/>
        </w:rPr>
        <w:t>The NRC agrees, in part, with the comment.</w:t>
      </w:r>
    </w:p>
    <w:p w:rsidR="005D4628" w:rsidRPr="00B50320" w:rsidP="00B50320" w14:paraId="54D04DA0"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agrees that</w:t>
      </w:r>
      <w:r w:rsidRPr="00B50320" w:rsidR="002E1BA7">
        <w:rPr>
          <w:rFonts w:ascii="Arial" w:eastAsia="DengXian" w:hAnsi="Arial" w:cs="Arial"/>
          <w:sz w:val="22"/>
          <w:szCs w:val="22"/>
          <w:lang w:eastAsia="ja-JP"/>
        </w:rPr>
        <w:t xml:space="preserve"> 10 CFR Part 53 </w:t>
      </w:r>
      <w:r w:rsidRPr="00B50320" w:rsidR="00C01D72">
        <w:rPr>
          <w:rFonts w:ascii="Arial" w:eastAsia="DengXian" w:hAnsi="Arial" w:cs="Arial"/>
          <w:sz w:val="22"/>
          <w:szCs w:val="22"/>
          <w:lang w:eastAsia="ja-JP"/>
        </w:rPr>
        <w:t xml:space="preserve">should not provide </w:t>
      </w:r>
      <w:r w:rsidRPr="00B50320" w:rsidR="007A2402">
        <w:rPr>
          <w:rFonts w:ascii="Arial" w:eastAsia="DengXian" w:hAnsi="Arial" w:cs="Arial"/>
          <w:sz w:val="22"/>
          <w:szCs w:val="22"/>
          <w:lang w:eastAsia="ja-JP"/>
        </w:rPr>
        <w:t>more detailed requirements than 10</w:t>
      </w:r>
      <w:r w:rsidR="005504FD">
        <w:rPr>
          <w:rFonts w:ascii="Arial" w:eastAsia="DengXian" w:hAnsi="Arial" w:cs="Arial"/>
          <w:sz w:val="22"/>
          <w:szCs w:val="22"/>
          <w:lang w:eastAsia="ja-JP"/>
        </w:rPr>
        <w:t> </w:t>
      </w:r>
      <w:r w:rsidRPr="00B50320" w:rsidR="007A2402">
        <w:rPr>
          <w:rFonts w:ascii="Arial" w:eastAsia="DengXian" w:hAnsi="Arial" w:cs="Arial"/>
          <w:sz w:val="22"/>
          <w:szCs w:val="22"/>
          <w:lang w:eastAsia="ja-JP"/>
        </w:rPr>
        <w:t xml:space="preserve">CFR Parts 50 and 52. </w:t>
      </w:r>
      <w:r w:rsidRPr="00B50320" w:rsidR="00266906">
        <w:rPr>
          <w:rFonts w:ascii="Arial" w:eastAsia="DengXian" w:hAnsi="Arial" w:cs="Arial"/>
          <w:sz w:val="22"/>
          <w:szCs w:val="22"/>
          <w:lang w:eastAsia="ja-JP"/>
        </w:rPr>
        <w:t>The NRC has modified the financial qualification requirements in 10</w:t>
      </w:r>
      <w:r w:rsidR="005504FD">
        <w:rPr>
          <w:rFonts w:ascii="Arial" w:eastAsia="DengXian" w:hAnsi="Arial" w:cs="Arial"/>
          <w:sz w:val="22"/>
          <w:szCs w:val="22"/>
          <w:lang w:eastAsia="ja-JP"/>
        </w:rPr>
        <w:t> </w:t>
      </w:r>
      <w:r w:rsidRPr="00B50320" w:rsidR="00266906">
        <w:rPr>
          <w:rFonts w:ascii="Arial" w:eastAsia="DengXian" w:hAnsi="Arial" w:cs="Arial"/>
          <w:sz w:val="22"/>
          <w:szCs w:val="22"/>
          <w:lang w:eastAsia="ja-JP"/>
        </w:rPr>
        <w:t>CFR</w:t>
      </w:r>
      <w:r w:rsidRPr="00B50320" w:rsidR="003D4461">
        <w:rPr>
          <w:rFonts w:ascii="Arial" w:eastAsia="DengXian" w:hAnsi="Arial" w:cs="Arial"/>
          <w:sz w:val="22"/>
          <w:szCs w:val="22"/>
          <w:lang w:eastAsia="ja-JP"/>
        </w:rPr>
        <w:t xml:space="preserve"> Part 53, Subparts H and J</w:t>
      </w:r>
      <w:r w:rsidRPr="00B50320" w:rsidR="00B011EE">
        <w:rPr>
          <w:rFonts w:ascii="Arial" w:eastAsia="DengXian" w:hAnsi="Arial" w:cs="Arial"/>
          <w:sz w:val="22"/>
          <w:szCs w:val="22"/>
          <w:lang w:eastAsia="ja-JP"/>
        </w:rPr>
        <w:t>,</w:t>
      </w:r>
      <w:r w:rsidRPr="00B50320">
        <w:rPr>
          <w:rFonts w:ascii="Arial" w:eastAsia="DengXian" w:hAnsi="Arial" w:cs="Arial"/>
          <w:sz w:val="22"/>
          <w:szCs w:val="22"/>
          <w:lang w:eastAsia="ja-JP"/>
        </w:rPr>
        <w:t xml:space="preserve"> as noted in the response to Comment Bin 3.10.2.C. </w:t>
      </w:r>
    </w:p>
    <w:p w:rsidR="007F112A" w:rsidRPr="00B50320" w:rsidP="00B50320" w14:paraId="563ECAF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However, the NRC disagrees that 10 CFR 53.1670 should be expanded to provide appropriate application content requirements for an applicant under 10 Part 53. </w:t>
      </w:r>
      <w:r w:rsidRPr="00B50320" w:rsidR="00EA389F">
        <w:rPr>
          <w:rFonts w:ascii="Arial" w:eastAsia="DengXian" w:hAnsi="Arial" w:cs="Arial"/>
          <w:sz w:val="22"/>
          <w:szCs w:val="22"/>
          <w:lang w:eastAsia="ja-JP"/>
        </w:rPr>
        <w:t>For the sake of clarity, a</w:t>
      </w:r>
      <w:r w:rsidRPr="00B50320">
        <w:rPr>
          <w:rFonts w:ascii="Arial" w:eastAsia="DengXian" w:hAnsi="Arial" w:cs="Arial"/>
          <w:sz w:val="22"/>
          <w:szCs w:val="22"/>
          <w:lang w:eastAsia="ja-JP"/>
        </w:rPr>
        <w:t>ll requirements related to the content of applications under 10</w:t>
      </w:r>
      <w:r w:rsidRPr="00B50320" w:rsidR="00230E43">
        <w:rPr>
          <w:rFonts w:ascii="Arial" w:eastAsia="DengXian" w:hAnsi="Arial" w:cs="Arial"/>
          <w:sz w:val="22"/>
          <w:szCs w:val="22"/>
          <w:lang w:eastAsia="ja-JP"/>
        </w:rPr>
        <w:t> </w:t>
      </w:r>
      <w:r w:rsidRPr="00B50320">
        <w:rPr>
          <w:rFonts w:ascii="Arial" w:eastAsia="DengXian" w:hAnsi="Arial" w:cs="Arial"/>
          <w:sz w:val="22"/>
          <w:szCs w:val="22"/>
          <w:lang w:eastAsia="ja-JP"/>
        </w:rPr>
        <w:t>CFR</w:t>
      </w:r>
      <w:r w:rsidRPr="00B50320" w:rsidR="00230E43">
        <w:rPr>
          <w:rFonts w:ascii="Arial" w:eastAsia="DengXian" w:hAnsi="Arial" w:cs="Arial"/>
          <w:sz w:val="22"/>
          <w:szCs w:val="22"/>
          <w:lang w:eastAsia="ja-JP"/>
        </w:rPr>
        <w:t> </w:t>
      </w:r>
      <w:r w:rsidRPr="00B50320">
        <w:rPr>
          <w:rFonts w:ascii="Arial" w:eastAsia="DengXian" w:hAnsi="Arial" w:cs="Arial"/>
          <w:sz w:val="22"/>
          <w:szCs w:val="22"/>
          <w:lang w:eastAsia="ja-JP"/>
        </w:rPr>
        <w:t>Part 53 are found in Subpart</w:t>
      </w:r>
      <w:r w:rsidRPr="00B50320" w:rsidR="00CE4F5F">
        <w:rPr>
          <w:rFonts w:ascii="Arial" w:eastAsia="DengXian" w:hAnsi="Arial" w:cs="Arial"/>
          <w:sz w:val="22"/>
          <w:szCs w:val="22"/>
          <w:lang w:eastAsia="ja-JP"/>
        </w:rPr>
        <w:t> </w:t>
      </w:r>
      <w:r w:rsidRPr="00B50320">
        <w:rPr>
          <w:rFonts w:ascii="Arial" w:eastAsia="DengXian" w:hAnsi="Arial" w:cs="Arial"/>
          <w:sz w:val="22"/>
          <w:szCs w:val="22"/>
          <w:lang w:eastAsia="ja-JP"/>
        </w:rPr>
        <w:t>H.</w:t>
      </w:r>
    </w:p>
    <w:p w:rsidR="00C3471B" w:rsidRPr="00B50320" w:rsidP="00B50320" w14:paraId="41FC54E5"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 xml:space="preserve">Accordingly, </w:t>
      </w:r>
      <w:r w:rsidRPr="00B50320" w:rsidR="00230E43">
        <w:rPr>
          <w:rFonts w:ascii="Arial" w:eastAsia="DengXian" w:hAnsi="Arial" w:cs="Arial"/>
          <w:sz w:val="22"/>
          <w:szCs w:val="22"/>
          <w:lang w:eastAsia="ja-JP"/>
        </w:rPr>
        <w:t>the NRC did not</w:t>
      </w:r>
      <w:r w:rsidRPr="00B50320">
        <w:rPr>
          <w:rFonts w:ascii="Arial" w:eastAsia="DengXian" w:hAnsi="Arial" w:cs="Arial"/>
          <w:sz w:val="22"/>
          <w:szCs w:val="22"/>
          <w:lang w:eastAsia="ja-JP"/>
        </w:rPr>
        <w:t xml:space="preserve"> change</w:t>
      </w:r>
      <w:r w:rsidRPr="00B50320" w:rsidR="00BF44CE">
        <w:rPr>
          <w:rFonts w:ascii="Arial" w:eastAsia="DengXian" w:hAnsi="Arial" w:cs="Arial"/>
          <w:sz w:val="22"/>
          <w:szCs w:val="22"/>
          <w:lang w:eastAsia="ja-JP"/>
        </w:rPr>
        <w:t xml:space="preserve"> the rule language</w:t>
      </w:r>
      <w:r w:rsidRPr="00B50320">
        <w:rPr>
          <w:rFonts w:ascii="Arial" w:eastAsia="DengXian" w:hAnsi="Arial" w:cs="Arial"/>
          <w:sz w:val="22"/>
          <w:szCs w:val="22"/>
          <w:lang w:eastAsia="ja-JP"/>
        </w:rPr>
        <w:t xml:space="preserve"> </w:t>
      </w:r>
      <w:r w:rsidRPr="00B50320" w:rsidR="00057473">
        <w:rPr>
          <w:rFonts w:ascii="Arial" w:eastAsia="DengXian" w:hAnsi="Arial" w:cs="Arial"/>
          <w:sz w:val="22"/>
          <w:szCs w:val="22"/>
          <w:lang w:eastAsia="ja-JP"/>
        </w:rPr>
        <w:t>in response to</w:t>
      </w:r>
      <w:r w:rsidRPr="00B50320">
        <w:rPr>
          <w:rFonts w:ascii="Arial" w:eastAsia="DengXian" w:hAnsi="Arial" w:cs="Arial"/>
          <w:sz w:val="22"/>
          <w:szCs w:val="22"/>
          <w:lang w:eastAsia="ja-JP"/>
        </w:rPr>
        <w:t xml:space="preserve"> this comment.</w:t>
      </w:r>
    </w:p>
    <w:p w:rsidR="007F112A" w:rsidRPr="00B50320" w:rsidP="00B50320" w14:paraId="0851AAC3"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303" style="width:0;height:1.5pt" o:hralign="center" o:hrstd="t" o:hrnoshade="t" o:hr="t" fillcolor="black" stroked="f"/>
        </w:pict>
      </w:r>
    </w:p>
    <w:p w:rsidR="007F112A" w:rsidRPr="00B50320" w:rsidP="00B50320" w14:paraId="4010BEF3" w14:textId="77777777">
      <w:pPr>
        <w:spacing w:after="220"/>
        <w:rPr>
          <w:rFonts w:ascii="Arial" w:eastAsia="Times New Roman" w:hAnsi="Arial" w:cs="Arial"/>
          <w:sz w:val="22"/>
          <w:szCs w:val="22"/>
        </w:rPr>
      </w:pPr>
      <w:r w:rsidRPr="00B50320">
        <w:rPr>
          <w:rFonts w:ascii="Arial" w:eastAsia="DengXian" w:hAnsi="Arial" w:cs="Arial"/>
          <w:b/>
          <w:sz w:val="22"/>
          <w:szCs w:val="22"/>
          <w:lang w:eastAsia="ja-JP"/>
        </w:rPr>
        <w:t>Comment Bin 3.10.2.B:</w:t>
      </w:r>
      <w:r w:rsidRPr="00B50320">
        <w:rPr>
          <w:rFonts w:ascii="Arial" w:eastAsia="DengXian" w:hAnsi="Arial" w:cs="Arial"/>
          <w:sz w:val="22"/>
          <w:szCs w:val="22"/>
          <w:lang w:eastAsia="ja-JP"/>
        </w:rPr>
        <w:t xml:space="preserve"> </w:t>
      </w:r>
      <w:r w:rsidRPr="00B50320">
        <w:rPr>
          <w:rFonts w:ascii="Arial" w:eastAsia="Times New Roman" w:hAnsi="Arial" w:cs="Arial"/>
          <w:sz w:val="22"/>
          <w:szCs w:val="22"/>
        </w:rPr>
        <w:t>The commenter stated that the proposed text in 10</w:t>
      </w:r>
      <w:r w:rsidRPr="00B50320" w:rsidR="00FD11B5">
        <w:rPr>
          <w:rFonts w:ascii="Arial" w:eastAsia="Times New Roman" w:hAnsi="Arial" w:cs="Arial"/>
          <w:sz w:val="22"/>
          <w:szCs w:val="22"/>
        </w:rPr>
        <w:t> </w:t>
      </w:r>
      <w:r w:rsidRPr="00B50320">
        <w:rPr>
          <w:rFonts w:ascii="Arial" w:eastAsia="Times New Roman" w:hAnsi="Arial" w:cs="Arial"/>
          <w:sz w:val="22"/>
          <w:szCs w:val="22"/>
        </w:rPr>
        <w:t>CFR</w:t>
      </w:r>
      <w:r w:rsidRPr="00B50320" w:rsidR="00FD11B5">
        <w:rPr>
          <w:rFonts w:ascii="Arial" w:eastAsia="Times New Roman" w:hAnsi="Arial" w:cs="Arial"/>
          <w:sz w:val="22"/>
          <w:szCs w:val="22"/>
        </w:rPr>
        <w:t> </w:t>
      </w:r>
      <w:r w:rsidRPr="00B50320">
        <w:rPr>
          <w:rFonts w:ascii="Arial" w:eastAsia="Times New Roman" w:hAnsi="Arial" w:cs="Arial"/>
          <w:sz w:val="22"/>
          <w:szCs w:val="22"/>
        </w:rPr>
        <w:t xml:space="preserve">53.1690 is nominally identical to 10 CFR 50.76, but that section references financial qualification information provisions specified in 10 CFR 50.33(f)(2). </w:t>
      </w:r>
      <w:r w:rsidRPr="00B50320" w:rsidR="00FD11B5">
        <w:rPr>
          <w:rFonts w:ascii="Arial" w:eastAsia="Times New Roman" w:hAnsi="Arial" w:cs="Arial"/>
          <w:sz w:val="22"/>
          <w:szCs w:val="22"/>
        </w:rPr>
        <w:t>10 CFR </w:t>
      </w:r>
      <w:r w:rsidRPr="00B50320">
        <w:rPr>
          <w:rFonts w:ascii="Arial" w:eastAsia="Times New Roman" w:hAnsi="Arial" w:cs="Arial"/>
          <w:sz w:val="22"/>
          <w:szCs w:val="22"/>
        </w:rPr>
        <w:t>53.1690 requires that licensees provide financial qualification information as specified in either 10 CFR 53.1366 or 10</w:t>
      </w:r>
      <w:r w:rsidR="00D472D9">
        <w:rPr>
          <w:rFonts w:ascii="Arial" w:eastAsia="Times New Roman" w:hAnsi="Arial" w:cs="Arial"/>
          <w:sz w:val="22"/>
          <w:szCs w:val="22"/>
        </w:rPr>
        <w:t> </w:t>
      </w:r>
      <w:r w:rsidRPr="00B50320">
        <w:rPr>
          <w:rFonts w:ascii="Arial" w:eastAsia="Times New Roman" w:hAnsi="Arial" w:cs="Arial"/>
          <w:sz w:val="22"/>
          <w:szCs w:val="22"/>
        </w:rPr>
        <w:t>CFR</w:t>
      </w:r>
      <w:r w:rsidR="00D472D9">
        <w:rPr>
          <w:rFonts w:ascii="Arial" w:eastAsia="Times New Roman" w:hAnsi="Arial" w:cs="Arial"/>
          <w:sz w:val="22"/>
          <w:szCs w:val="22"/>
        </w:rPr>
        <w:t> </w:t>
      </w:r>
      <w:r w:rsidRPr="00B50320">
        <w:rPr>
          <w:rFonts w:ascii="Arial" w:eastAsia="Times New Roman" w:hAnsi="Arial" w:cs="Arial"/>
          <w:sz w:val="22"/>
          <w:szCs w:val="22"/>
        </w:rPr>
        <w:t>53.1413. The commenter requested that NRC address the inconsistency in referencing financial qualification information provisions (</w:t>
      </w:r>
      <w:r w:rsidR="009D6BB9">
        <w:rPr>
          <w:rFonts w:ascii="Arial" w:eastAsia="Times New Roman" w:hAnsi="Arial" w:cs="Arial"/>
          <w:sz w:val="22"/>
          <w:szCs w:val="22"/>
        </w:rPr>
        <w:t>NEI2</w:t>
      </w:r>
      <w:r w:rsidRPr="00B50320">
        <w:rPr>
          <w:rFonts w:ascii="Arial" w:eastAsia="Times New Roman" w:hAnsi="Arial" w:cs="Arial"/>
          <w:sz w:val="22"/>
          <w:szCs w:val="22"/>
        </w:rPr>
        <w:t>-0153).</w:t>
      </w:r>
    </w:p>
    <w:p w:rsidR="004655DB" w:rsidP="00B50320" w14:paraId="5D7A4E63"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w:t>
      </w:r>
      <w:r w:rsidR="009D74F3">
        <w:rPr>
          <w:rFonts w:ascii="Arial" w:eastAsia="DengXian" w:hAnsi="Arial" w:cs="Arial"/>
          <w:sz w:val="22"/>
          <w:szCs w:val="22"/>
          <w:lang w:eastAsia="ja-JP"/>
        </w:rPr>
        <w:t>The NRC agrees with the comment.</w:t>
      </w:r>
    </w:p>
    <w:p w:rsidR="000C60F3" w:rsidRPr="00B50320" w:rsidP="00B50320" w14:paraId="381E0B33"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understands the comment to be suggesting that</w:t>
      </w:r>
      <w:r w:rsidRPr="00B50320" w:rsidR="00664CD2">
        <w:rPr>
          <w:rFonts w:ascii="Arial" w:eastAsia="DengXian" w:hAnsi="Arial" w:cs="Arial"/>
          <w:sz w:val="22"/>
          <w:szCs w:val="22"/>
          <w:lang w:eastAsia="ja-JP"/>
        </w:rPr>
        <w:t xml:space="preserve"> 10 CFR 53.1690 should only be referencing </w:t>
      </w:r>
      <w:r w:rsidRPr="00B50320" w:rsidR="008D30B3">
        <w:rPr>
          <w:rFonts w:ascii="Arial" w:eastAsia="DengXian" w:hAnsi="Arial" w:cs="Arial"/>
          <w:sz w:val="22"/>
          <w:szCs w:val="22"/>
          <w:lang w:eastAsia="ja-JP"/>
        </w:rPr>
        <w:t xml:space="preserve">the </w:t>
      </w:r>
      <w:r w:rsidRPr="00B50320" w:rsidR="000C56D1">
        <w:rPr>
          <w:rFonts w:ascii="Arial" w:eastAsia="DengXian" w:hAnsi="Arial" w:cs="Arial"/>
          <w:sz w:val="22"/>
          <w:szCs w:val="22"/>
          <w:lang w:eastAsia="ja-JP"/>
        </w:rPr>
        <w:t xml:space="preserve">information </w:t>
      </w:r>
      <w:r w:rsidRPr="00B50320" w:rsidR="008D30B3">
        <w:rPr>
          <w:rFonts w:ascii="Arial" w:eastAsia="DengXian" w:hAnsi="Arial" w:cs="Arial"/>
          <w:sz w:val="22"/>
          <w:szCs w:val="22"/>
          <w:lang w:eastAsia="ja-JP"/>
        </w:rPr>
        <w:t xml:space="preserve">equivalent of </w:t>
      </w:r>
      <w:r w:rsidRPr="00B50320" w:rsidR="000C56D1">
        <w:rPr>
          <w:rFonts w:ascii="Arial" w:eastAsia="DengXian" w:hAnsi="Arial" w:cs="Arial"/>
          <w:sz w:val="22"/>
          <w:szCs w:val="22"/>
          <w:lang w:eastAsia="ja-JP"/>
        </w:rPr>
        <w:t xml:space="preserve">that in </w:t>
      </w:r>
      <w:r w:rsidRPr="00B50320" w:rsidR="008D30B3">
        <w:rPr>
          <w:rFonts w:ascii="Arial" w:eastAsia="DengXian" w:hAnsi="Arial" w:cs="Arial"/>
          <w:sz w:val="22"/>
          <w:szCs w:val="22"/>
          <w:lang w:eastAsia="ja-JP"/>
        </w:rPr>
        <w:t>10 CFR 50.33(f)(2)</w:t>
      </w:r>
      <w:r w:rsidRPr="00B50320" w:rsidR="0059648E">
        <w:rPr>
          <w:rFonts w:ascii="Arial" w:eastAsia="DengXian" w:hAnsi="Arial" w:cs="Arial"/>
          <w:sz w:val="22"/>
          <w:szCs w:val="22"/>
          <w:lang w:eastAsia="ja-JP"/>
        </w:rPr>
        <w:t>, which is</w:t>
      </w:r>
      <w:r w:rsidRPr="00B50320" w:rsidR="00D14C6B">
        <w:rPr>
          <w:rFonts w:ascii="Arial" w:eastAsia="DengXian" w:hAnsi="Arial" w:cs="Arial"/>
          <w:sz w:val="22"/>
          <w:szCs w:val="22"/>
          <w:lang w:eastAsia="ja-JP"/>
        </w:rPr>
        <w:t xml:space="preserve"> the information required for an initial </w:t>
      </w:r>
      <w:r w:rsidRPr="00B50320" w:rsidR="000853B2">
        <w:rPr>
          <w:rFonts w:ascii="Arial" w:eastAsia="DengXian" w:hAnsi="Arial" w:cs="Arial"/>
          <w:sz w:val="22"/>
          <w:szCs w:val="22"/>
          <w:lang w:eastAsia="ja-JP"/>
        </w:rPr>
        <w:t>OL</w:t>
      </w:r>
      <w:r w:rsidRPr="00B50320" w:rsidR="00184F6B">
        <w:rPr>
          <w:rFonts w:ascii="Arial" w:eastAsia="DengXian" w:hAnsi="Arial" w:cs="Arial"/>
          <w:sz w:val="22"/>
          <w:szCs w:val="22"/>
          <w:lang w:eastAsia="ja-JP"/>
        </w:rPr>
        <w:t xml:space="preserve">. </w:t>
      </w:r>
      <w:r w:rsidRPr="00B50320" w:rsidR="008D142E">
        <w:rPr>
          <w:rFonts w:ascii="Arial" w:eastAsia="DengXian" w:hAnsi="Arial" w:cs="Arial"/>
          <w:sz w:val="22"/>
          <w:szCs w:val="22"/>
          <w:lang w:eastAsia="ja-JP"/>
        </w:rPr>
        <w:t xml:space="preserve">Proposed 10 CFR 53.1690 had instead required the </w:t>
      </w:r>
      <w:r w:rsidRPr="00B50320" w:rsidR="0007398D">
        <w:rPr>
          <w:rFonts w:ascii="Arial" w:eastAsia="DengXian" w:hAnsi="Arial" w:cs="Arial"/>
          <w:sz w:val="22"/>
          <w:szCs w:val="22"/>
          <w:lang w:eastAsia="ja-JP"/>
        </w:rPr>
        <w:t xml:space="preserve">financial qualifications information that would be required for obtaining an initial OL </w:t>
      </w:r>
      <w:r w:rsidRPr="004655DB" w:rsidR="0007398D">
        <w:rPr>
          <w:rFonts w:ascii="Arial" w:eastAsia="DengXian" w:hAnsi="Arial" w:cs="Arial"/>
          <w:i/>
          <w:sz w:val="22"/>
          <w:szCs w:val="22"/>
          <w:lang w:eastAsia="ja-JP"/>
        </w:rPr>
        <w:t>or COL</w:t>
      </w:r>
      <w:r w:rsidRPr="00B50320" w:rsidR="0007398D">
        <w:rPr>
          <w:rFonts w:ascii="Arial" w:eastAsia="DengXian" w:hAnsi="Arial" w:cs="Arial"/>
          <w:sz w:val="22"/>
          <w:szCs w:val="22"/>
          <w:lang w:eastAsia="ja-JP"/>
        </w:rPr>
        <w:t xml:space="preserve"> [emphasis added].</w:t>
      </w:r>
      <w:r w:rsidRPr="00B50320" w:rsidR="00833FF9">
        <w:rPr>
          <w:rFonts w:ascii="Arial" w:eastAsia="DengXian" w:hAnsi="Arial" w:cs="Arial"/>
          <w:sz w:val="22"/>
          <w:szCs w:val="22"/>
          <w:lang w:eastAsia="ja-JP"/>
        </w:rPr>
        <w:t xml:space="preserve"> The financial qualification information required of an applicant for an initial COL is</w:t>
      </w:r>
      <w:r w:rsidRPr="00B50320" w:rsidR="005752F7">
        <w:rPr>
          <w:rFonts w:ascii="Arial" w:eastAsia="DengXian" w:hAnsi="Arial" w:cs="Arial"/>
          <w:sz w:val="22"/>
          <w:szCs w:val="22"/>
          <w:lang w:eastAsia="ja-JP"/>
        </w:rPr>
        <w:t xml:space="preserve"> more than </w:t>
      </w:r>
      <w:r w:rsidR="009D74F3">
        <w:rPr>
          <w:rFonts w:ascii="Arial" w:eastAsia="DengXian" w:hAnsi="Arial" w:cs="Arial"/>
          <w:sz w:val="22"/>
          <w:szCs w:val="22"/>
          <w:lang w:eastAsia="ja-JP"/>
        </w:rPr>
        <w:t xml:space="preserve">the information </w:t>
      </w:r>
      <w:r w:rsidRPr="00B50320" w:rsidR="005752F7">
        <w:rPr>
          <w:rFonts w:ascii="Arial" w:eastAsia="DengXian" w:hAnsi="Arial" w:cs="Arial"/>
          <w:sz w:val="22"/>
          <w:szCs w:val="22"/>
          <w:lang w:eastAsia="ja-JP"/>
        </w:rPr>
        <w:t>required of an applicant for an i</w:t>
      </w:r>
      <w:r w:rsidRPr="00B50320" w:rsidR="005A75C4">
        <w:rPr>
          <w:rFonts w:ascii="Arial" w:eastAsia="DengXian" w:hAnsi="Arial" w:cs="Arial"/>
          <w:sz w:val="22"/>
          <w:szCs w:val="22"/>
          <w:lang w:eastAsia="ja-JP"/>
        </w:rPr>
        <w:t>nitial</w:t>
      </w:r>
      <w:r w:rsidRPr="00B50320" w:rsidR="005752F7">
        <w:rPr>
          <w:rFonts w:ascii="Arial" w:eastAsia="DengXian" w:hAnsi="Arial" w:cs="Arial"/>
          <w:sz w:val="22"/>
          <w:szCs w:val="22"/>
          <w:lang w:eastAsia="ja-JP"/>
        </w:rPr>
        <w:t xml:space="preserve"> OL because it includes information relating to the costs of construction. </w:t>
      </w:r>
      <w:r w:rsidRPr="00B50320" w:rsidR="00B32AAE">
        <w:rPr>
          <w:rFonts w:ascii="Arial" w:eastAsia="DengXian" w:hAnsi="Arial" w:cs="Arial"/>
          <w:sz w:val="22"/>
          <w:szCs w:val="22"/>
          <w:lang w:eastAsia="ja-JP"/>
        </w:rPr>
        <w:t xml:space="preserve">The NRC agrees </w:t>
      </w:r>
      <w:r w:rsidRPr="00B50320" w:rsidR="00C61AAC">
        <w:rPr>
          <w:rFonts w:ascii="Arial" w:eastAsia="DengXian" w:hAnsi="Arial" w:cs="Arial"/>
          <w:sz w:val="22"/>
          <w:szCs w:val="22"/>
          <w:lang w:eastAsia="ja-JP"/>
        </w:rPr>
        <w:t xml:space="preserve">with the comment’s suggestion </w:t>
      </w:r>
      <w:r w:rsidRPr="00B50320" w:rsidR="003E0A1F">
        <w:rPr>
          <w:rFonts w:ascii="Arial" w:eastAsia="DengXian" w:hAnsi="Arial" w:cs="Arial"/>
          <w:sz w:val="22"/>
          <w:szCs w:val="22"/>
          <w:lang w:eastAsia="ja-JP"/>
        </w:rPr>
        <w:t xml:space="preserve">that the manner in which 10 CFR 53.1690 makes reference to the financial qualification requirements </w:t>
      </w:r>
      <w:r w:rsidRPr="00B50320" w:rsidR="002C1DF8">
        <w:rPr>
          <w:rFonts w:ascii="Arial" w:eastAsia="DengXian" w:hAnsi="Arial" w:cs="Arial"/>
          <w:sz w:val="22"/>
          <w:szCs w:val="22"/>
          <w:lang w:eastAsia="ja-JP"/>
        </w:rPr>
        <w:t>should</w:t>
      </w:r>
      <w:r w:rsidRPr="00B50320" w:rsidR="00D61784">
        <w:rPr>
          <w:rFonts w:ascii="Arial" w:eastAsia="DengXian" w:hAnsi="Arial" w:cs="Arial"/>
          <w:sz w:val="22"/>
          <w:szCs w:val="22"/>
          <w:lang w:eastAsia="ja-JP"/>
        </w:rPr>
        <w:t xml:space="preserve"> be modified</w:t>
      </w:r>
      <w:r w:rsidRPr="00B50320" w:rsidR="002C1DF8">
        <w:rPr>
          <w:rFonts w:ascii="Arial" w:eastAsia="DengXian" w:hAnsi="Arial" w:cs="Arial"/>
          <w:sz w:val="22"/>
          <w:szCs w:val="22"/>
          <w:lang w:eastAsia="ja-JP"/>
        </w:rPr>
        <w:t xml:space="preserve"> for clarity</w:t>
      </w:r>
      <w:r w:rsidRPr="00B50320" w:rsidR="002526F7">
        <w:rPr>
          <w:rFonts w:ascii="Arial" w:eastAsia="DengXian" w:hAnsi="Arial" w:cs="Arial"/>
          <w:sz w:val="22"/>
          <w:szCs w:val="22"/>
          <w:lang w:eastAsia="ja-JP"/>
        </w:rPr>
        <w:t xml:space="preserve"> and consistency with the existing requirements regarding </w:t>
      </w:r>
      <w:r w:rsidRPr="00B50320" w:rsidR="00084312">
        <w:rPr>
          <w:rFonts w:ascii="Arial" w:eastAsia="DengXian" w:hAnsi="Arial" w:cs="Arial"/>
          <w:sz w:val="22"/>
          <w:szCs w:val="22"/>
          <w:lang w:eastAsia="ja-JP"/>
        </w:rPr>
        <w:t xml:space="preserve">a change in a licensee’s status from a utility </w:t>
      </w:r>
      <w:r w:rsidRPr="00B50320" w:rsidR="0020766D">
        <w:rPr>
          <w:rFonts w:ascii="Arial" w:eastAsia="DengXian" w:hAnsi="Arial" w:cs="Arial"/>
          <w:sz w:val="22"/>
          <w:szCs w:val="22"/>
          <w:lang w:eastAsia="ja-JP"/>
        </w:rPr>
        <w:t xml:space="preserve">licensee </w:t>
      </w:r>
      <w:r w:rsidRPr="00B50320" w:rsidR="00084312">
        <w:rPr>
          <w:rFonts w:ascii="Arial" w:eastAsia="DengXian" w:hAnsi="Arial" w:cs="Arial"/>
          <w:sz w:val="22"/>
          <w:szCs w:val="22"/>
          <w:lang w:eastAsia="ja-JP"/>
        </w:rPr>
        <w:t>to a non-utility</w:t>
      </w:r>
      <w:r w:rsidRPr="00B50320" w:rsidR="0020766D">
        <w:rPr>
          <w:rFonts w:ascii="Arial" w:eastAsia="DengXian" w:hAnsi="Arial" w:cs="Arial"/>
          <w:sz w:val="22"/>
          <w:szCs w:val="22"/>
          <w:lang w:eastAsia="ja-JP"/>
        </w:rPr>
        <w:t xml:space="preserve"> licensee</w:t>
      </w:r>
      <w:r w:rsidRPr="00B50320" w:rsidR="00B32AAE">
        <w:rPr>
          <w:rFonts w:ascii="Arial" w:eastAsia="DengXian" w:hAnsi="Arial" w:cs="Arial"/>
          <w:sz w:val="22"/>
          <w:szCs w:val="22"/>
          <w:lang w:eastAsia="ja-JP"/>
        </w:rPr>
        <w:t>.</w:t>
      </w:r>
      <w:r w:rsidRPr="00B50320" w:rsidR="00521AB6">
        <w:rPr>
          <w:rFonts w:ascii="Arial" w:eastAsia="DengXian" w:hAnsi="Arial" w:cs="Arial"/>
          <w:sz w:val="22"/>
          <w:szCs w:val="22"/>
          <w:lang w:eastAsia="ja-JP"/>
        </w:rPr>
        <w:t xml:space="preserve"> </w:t>
      </w:r>
    </w:p>
    <w:p w:rsidR="007F112A" w:rsidRPr="00B50320" w:rsidP="00B50320" w14:paraId="73A07832"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 xml:space="preserve">Accordingly, the NRC </w:t>
      </w:r>
      <w:r w:rsidR="00B84BB8">
        <w:rPr>
          <w:rFonts w:ascii="Arial" w:hAnsi="Arial" w:cs="Arial"/>
          <w:sz w:val="22"/>
          <w:szCs w:val="22"/>
        </w:rPr>
        <w:t>has revised</w:t>
      </w:r>
      <w:r w:rsidR="00B84BB8">
        <w:rPr>
          <w:rFonts w:ascii="Arial" w:eastAsia="DengXian" w:hAnsi="Arial" w:cs="Arial"/>
          <w:sz w:val="22"/>
          <w:szCs w:val="22"/>
          <w:lang w:eastAsia="ja-JP"/>
        </w:rPr>
        <w:t xml:space="preserve"> </w:t>
      </w:r>
      <w:r w:rsidRPr="00B50320">
        <w:rPr>
          <w:rFonts w:ascii="Arial" w:eastAsia="DengXian" w:hAnsi="Arial" w:cs="Arial"/>
          <w:sz w:val="22"/>
          <w:szCs w:val="22"/>
          <w:lang w:eastAsia="ja-JP"/>
        </w:rPr>
        <w:t xml:space="preserve">10 CFR 53.1690(a) to remove the reference to </w:t>
      </w:r>
      <w:r w:rsidRPr="00B50320" w:rsidR="009F2F90">
        <w:rPr>
          <w:rFonts w:ascii="Arial" w:eastAsia="DengXian" w:hAnsi="Arial" w:cs="Arial"/>
          <w:sz w:val="22"/>
          <w:szCs w:val="22"/>
          <w:lang w:eastAsia="ja-JP"/>
        </w:rPr>
        <w:t>information for an initial</w:t>
      </w:r>
      <w:r w:rsidRPr="00B50320">
        <w:rPr>
          <w:rFonts w:ascii="Arial" w:eastAsia="DengXian" w:hAnsi="Arial" w:cs="Arial"/>
          <w:sz w:val="22"/>
          <w:szCs w:val="22"/>
          <w:lang w:eastAsia="ja-JP"/>
        </w:rPr>
        <w:t xml:space="preserve"> COL</w:t>
      </w:r>
      <w:r w:rsidRPr="00B50320" w:rsidR="009F2F90">
        <w:rPr>
          <w:rFonts w:ascii="Arial" w:eastAsia="DengXian" w:hAnsi="Arial" w:cs="Arial"/>
          <w:sz w:val="22"/>
          <w:szCs w:val="22"/>
          <w:lang w:eastAsia="ja-JP"/>
        </w:rPr>
        <w:t>.</w:t>
      </w:r>
    </w:p>
    <w:p w:rsidR="007F112A" w:rsidRPr="00B50320" w:rsidP="00B50320" w14:paraId="6E2FF9BE"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304" style="width:0;height:1.5pt" o:hralign="center" o:hrstd="t" o:hrnoshade="t" o:hr="t" fillcolor="black" stroked="f"/>
        </w:pict>
      </w:r>
    </w:p>
    <w:p w:rsidR="007F112A" w:rsidRPr="00B50320" w:rsidP="00B50320" w14:paraId="418CD74C" w14:textId="77777777">
      <w:pPr>
        <w:tabs>
          <w:tab w:val="left" w:pos="3950"/>
        </w:tabs>
        <w:spacing w:after="220"/>
        <w:rPr>
          <w:rFonts w:ascii="Arial" w:eastAsia="Times New Roman" w:hAnsi="Arial" w:cs="Arial"/>
          <w:sz w:val="22"/>
          <w:szCs w:val="22"/>
        </w:rPr>
      </w:pPr>
      <w:r w:rsidRPr="00B50320">
        <w:rPr>
          <w:rFonts w:ascii="Arial" w:eastAsia="DengXian" w:hAnsi="Arial" w:cs="Arial"/>
          <w:b/>
          <w:sz w:val="22"/>
          <w:szCs w:val="22"/>
          <w:lang w:eastAsia="ja-JP"/>
        </w:rPr>
        <w:t>Comment Bin 3.10.2.C:</w:t>
      </w:r>
      <w:r w:rsidRPr="00B50320">
        <w:rPr>
          <w:rFonts w:ascii="Arial" w:eastAsia="DengXian" w:hAnsi="Arial" w:cs="Arial"/>
          <w:sz w:val="22"/>
          <w:szCs w:val="22"/>
          <w:lang w:eastAsia="ja-JP"/>
        </w:rPr>
        <w:t xml:space="preserve"> </w:t>
      </w:r>
      <w:r w:rsidRPr="00B50320">
        <w:rPr>
          <w:rFonts w:ascii="Arial" w:eastAsia="Times New Roman" w:hAnsi="Arial" w:cs="Arial"/>
          <w:sz w:val="22"/>
          <w:szCs w:val="22"/>
        </w:rPr>
        <w:t>A commenter provided feedback on NRC’s requests for comment regarding financial qualifications for merchant new reactor applicants.</w:t>
      </w:r>
    </w:p>
    <w:p w:rsidR="007F112A" w:rsidRPr="00B50320" w:rsidP="00B50320" w14:paraId="532C6064"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 xml:space="preserve">The commenter responded to NRC’s request for comment regarding challenges of standards for merchant power plant applicants, stating that the current “reasonable assurance” financial qualifications standard imposes unnecessary and burdensome requirements which impede the </w:t>
      </w:r>
      <w:r w:rsidRPr="00B50320">
        <w:rPr>
          <w:rFonts w:ascii="Arial" w:eastAsia="Times New Roman" w:hAnsi="Arial" w:cs="Arial"/>
          <w:sz w:val="22"/>
          <w:szCs w:val="22"/>
        </w:rPr>
        <w:t xml:space="preserve">development of advanced reactor projects. The commenter discussed there is no direct correlation between financial qualification reviews and the safety performance of nonelectric utility operators, citing SECY-79-299, </w:t>
      </w:r>
      <w:r w:rsidR="00861AC7">
        <w:rPr>
          <w:rFonts w:ascii="Arial" w:eastAsia="Times New Roman" w:hAnsi="Arial" w:cs="Arial"/>
          <w:sz w:val="22"/>
          <w:szCs w:val="22"/>
        </w:rPr>
        <w:t>“</w:t>
      </w:r>
      <w:r w:rsidRPr="002D29E9" w:rsidR="002D29E9">
        <w:rPr>
          <w:rFonts w:ascii="Arial" w:eastAsia="Times New Roman" w:hAnsi="Arial" w:cs="Arial"/>
          <w:sz w:val="22"/>
          <w:szCs w:val="22"/>
        </w:rPr>
        <w:t>Generic Issue of Financial Qualifications: Licensing of Production and Utilization Facilities</w:t>
      </w:r>
      <w:r w:rsidR="00861AC7">
        <w:rPr>
          <w:rFonts w:ascii="Arial" w:eastAsia="Times New Roman" w:hAnsi="Arial" w:cs="Arial"/>
          <w:sz w:val="22"/>
          <w:szCs w:val="22"/>
        </w:rPr>
        <w:t xml:space="preserve">,” issued </w:t>
      </w:r>
      <w:r w:rsidR="00E15219">
        <w:rPr>
          <w:rFonts w:ascii="Arial" w:eastAsia="Times New Roman" w:hAnsi="Arial" w:cs="Arial"/>
          <w:sz w:val="22"/>
          <w:szCs w:val="22"/>
        </w:rPr>
        <w:t>April 1979 (</w:t>
      </w:r>
      <w:r w:rsidRPr="00E15219" w:rsidR="00E15219">
        <w:rPr>
          <w:rFonts w:ascii="Arial" w:eastAsia="Times New Roman" w:hAnsi="Arial" w:cs="Arial"/>
          <w:sz w:val="22"/>
          <w:szCs w:val="22"/>
        </w:rPr>
        <w:t>ML12236A723</w:t>
      </w:r>
      <w:r w:rsidR="00E15219">
        <w:rPr>
          <w:rFonts w:ascii="Arial" w:eastAsia="Times New Roman" w:hAnsi="Arial" w:cs="Arial"/>
          <w:sz w:val="22"/>
          <w:szCs w:val="22"/>
        </w:rPr>
        <w:t>)</w:t>
      </w:r>
      <w:r w:rsidR="002D29E9">
        <w:rPr>
          <w:rFonts w:ascii="Arial" w:eastAsia="Times New Roman" w:hAnsi="Arial" w:cs="Arial"/>
          <w:sz w:val="22"/>
          <w:szCs w:val="22"/>
        </w:rPr>
        <w:t>,</w:t>
      </w:r>
      <w:r w:rsidRPr="00B50320">
        <w:rPr>
          <w:rFonts w:ascii="Arial" w:eastAsia="Times New Roman" w:hAnsi="Arial" w:cs="Arial"/>
          <w:sz w:val="22"/>
          <w:szCs w:val="22"/>
        </w:rPr>
        <w:t xml:space="preserve"> and added that NRC’s safety requirements and related review, oversight, and inspection processes and programs are the most effective tools for assuring safety performance. The commenter also cited a 2014 study of industry experience conducted by Catherine Hausman and published in the American Economic Journal: Economic Policy, stating that Hausman’s findings demonstrate that transferring a reactor to “merchant” plant status does not adversely impact safety performance. Further, the commenter stated that no recent evidence since the publication of Hausman’s study suggest that financial issues for merchant plants have adversely impacted safety performance. The commenter suggested that an elimination of the financial qualifications review altogether may be supported, but discussed that a reduced level of financial qualifications review as described in SECY-18-0026</w:t>
      </w:r>
      <w:r w:rsidR="00B36C99">
        <w:rPr>
          <w:rFonts w:ascii="Arial" w:eastAsia="Times New Roman" w:hAnsi="Arial" w:cs="Arial"/>
          <w:sz w:val="22"/>
          <w:szCs w:val="22"/>
        </w:rPr>
        <w:t>, “</w:t>
      </w:r>
      <w:r w:rsidRPr="00616329" w:rsidR="00616329">
        <w:rPr>
          <w:rFonts w:ascii="Arial" w:eastAsia="Times New Roman" w:hAnsi="Arial" w:cs="Arial"/>
          <w:sz w:val="22"/>
          <w:szCs w:val="22"/>
        </w:rPr>
        <w:t>Proposed Rule: Financial Qualifications Requirements for Reactor Licensing (RIN 3150-AJ43)</w:t>
      </w:r>
      <w:r w:rsidR="00B36C99">
        <w:rPr>
          <w:rFonts w:ascii="Arial" w:eastAsia="Times New Roman" w:hAnsi="Arial" w:cs="Arial"/>
          <w:sz w:val="22"/>
          <w:szCs w:val="22"/>
        </w:rPr>
        <w:t xml:space="preserve">,” issued </w:t>
      </w:r>
      <w:r w:rsidR="00616329">
        <w:rPr>
          <w:rFonts w:ascii="Arial" w:eastAsia="Times New Roman" w:hAnsi="Arial" w:cs="Arial"/>
          <w:sz w:val="22"/>
          <w:szCs w:val="22"/>
        </w:rPr>
        <w:t xml:space="preserve">February 2018 </w:t>
      </w:r>
      <w:r w:rsidR="00B36C99">
        <w:rPr>
          <w:rFonts w:ascii="Arial" w:eastAsia="Times New Roman" w:hAnsi="Arial" w:cs="Arial"/>
          <w:sz w:val="22"/>
          <w:szCs w:val="22"/>
        </w:rPr>
        <w:t>(</w:t>
      </w:r>
      <w:r w:rsidRPr="003A3EFC" w:rsidR="003A3EFC">
        <w:rPr>
          <w:rFonts w:ascii="Arial" w:eastAsia="Times New Roman" w:hAnsi="Arial" w:cs="Arial"/>
          <w:sz w:val="22"/>
          <w:szCs w:val="22"/>
        </w:rPr>
        <w:t>ML17172A565</w:t>
      </w:r>
      <w:r w:rsidR="00B36C99">
        <w:rPr>
          <w:rFonts w:ascii="Arial" w:eastAsia="Times New Roman" w:hAnsi="Arial" w:cs="Arial"/>
          <w:sz w:val="22"/>
          <w:szCs w:val="22"/>
        </w:rPr>
        <w:t>)</w:t>
      </w:r>
      <w:r w:rsidRPr="00B50320">
        <w:rPr>
          <w:rFonts w:ascii="Arial" w:eastAsia="Times New Roman" w:hAnsi="Arial" w:cs="Arial"/>
          <w:sz w:val="22"/>
          <w:szCs w:val="22"/>
        </w:rPr>
        <w:t xml:space="preserve"> would not compromise public health and safety and would allow NRC to readily identify any degradation in licensee performance during construction and operation (</w:t>
      </w:r>
      <w:r w:rsidR="009D6BB9">
        <w:rPr>
          <w:rFonts w:ascii="Arial" w:eastAsia="Times New Roman" w:hAnsi="Arial" w:cs="Arial"/>
          <w:sz w:val="22"/>
          <w:szCs w:val="22"/>
        </w:rPr>
        <w:t>NEI2</w:t>
      </w:r>
      <w:r w:rsidRPr="00B50320">
        <w:rPr>
          <w:rFonts w:ascii="Arial" w:eastAsia="Times New Roman" w:hAnsi="Arial" w:cs="Arial"/>
          <w:sz w:val="22"/>
          <w:szCs w:val="22"/>
        </w:rPr>
        <w:t>-0210).</w:t>
      </w:r>
    </w:p>
    <w:p w:rsidR="007F112A" w:rsidRPr="00B50320" w:rsidP="00B50320" w14:paraId="687AB7BD"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The commenter expressed that 10 CFR Part 53 should have the same financial requirements</w:t>
      </w:r>
      <w:r w:rsidRPr="00B50320" w:rsidR="00E962B7">
        <w:rPr>
          <w:rFonts w:ascii="Arial" w:eastAsia="Times New Roman" w:hAnsi="Arial" w:cs="Arial"/>
          <w:sz w:val="22"/>
          <w:szCs w:val="22"/>
        </w:rPr>
        <w:t xml:space="preserve"> as 10 CFR Parts 50 and 52</w:t>
      </w:r>
      <w:r w:rsidRPr="00B50320">
        <w:rPr>
          <w:rFonts w:ascii="Arial" w:eastAsia="Times New Roman" w:hAnsi="Arial" w:cs="Arial"/>
          <w:sz w:val="22"/>
          <w:szCs w:val="22"/>
        </w:rPr>
        <w:t xml:space="preserve">, </w:t>
      </w:r>
      <w:r w:rsidRPr="00B50320" w:rsidR="00E962B7">
        <w:rPr>
          <w:rFonts w:ascii="Arial" w:eastAsia="Times New Roman" w:hAnsi="Arial" w:cs="Arial"/>
          <w:sz w:val="22"/>
          <w:szCs w:val="22"/>
        </w:rPr>
        <w:t>all</w:t>
      </w:r>
      <w:r w:rsidRPr="00B50320">
        <w:rPr>
          <w:rFonts w:ascii="Arial" w:eastAsia="Times New Roman" w:hAnsi="Arial" w:cs="Arial"/>
          <w:sz w:val="22"/>
          <w:szCs w:val="22"/>
        </w:rPr>
        <w:t xml:space="preserve"> based on the “appears to be financially qualified” standard in 10</w:t>
      </w:r>
      <w:r w:rsidR="00F475BC">
        <w:rPr>
          <w:rFonts w:ascii="Arial" w:eastAsia="Times New Roman" w:hAnsi="Arial" w:cs="Arial"/>
          <w:sz w:val="22"/>
          <w:szCs w:val="22"/>
        </w:rPr>
        <w:t> </w:t>
      </w:r>
      <w:r w:rsidRPr="00B50320">
        <w:rPr>
          <w:rFonts w:ascii="Arial" w:eastAsia="Times New Roman" w:hAnsi="Arial" w:cs="Arial"/>
          <w:sz w:val="22"/>
          <w:szCs w:val="22"/>
        </w:rPr>
        <w:t xml:space="preserve">CFR Part 70. The commenter discussed that utility applicants under 10 CFR Parts 50, 52, or 53 with “cost of service” recovery should be presumed to be financially qualified, </w:t>
      </w:r>
      <w:r w:rsidRPr="00B50320" w:rsidR="00A44844">
        <w:rPr>
          <w:rFonts w:ascii="Arial" w:eastAsia="Times New Roman" w:hAnsi="Arial" w:cs="Arial"/>
          <w:sz w:val="22"/>
          <w:szCs w:val="22"/>
        </w:rPr>
        <w:t xml:space="preserve">and </w:t>
      </w:r>
      <w:r w:rsidRPr="00B50320">
        <w:rPr>
          <w:rFonts w:ascii="Arial" w:eastAsia="Times New Roman" w:hAnsi="Arial" w:cs="Arial"/>
          <w:sz w:val="22"/>
          <w:szCs w:val="22"/>
        </w:rPr>
        <w:t>a detailed review of qualifications for nonelectric utility applicants is unnecessary. The commenter suggested NRC conduct limited initial screenings under the 10 CFR Part 70 standard to avoid projects incapable of success or to verify commitments for financing greater than 50 percent of the construction cost estimate prior to the start of licensed activities, in line with discussion in Enclosure 1 to SECY-18-0026 (</w:t>
      </w:r>
      <w:r w:rsidR="009D6BB9">
        <w:rPr>
          <w:rFonts w:ascii="Arial" w:eastAsia="Times New Roman" w:hAnsi="Arial" w:cs="Arial"/>
          <w:sz w:val="22"/>
          <w:szCs w:val="22"/>
        </w:rPr>
        <w:t>NEI2</w:t>
      </w:r>
      <w:r w:rsidRPr="00B50320">
        <w:rPr>
          <w:rFonts w:ascii="Arial" w:eastAsia="Times New Roman" w:hAnsi="Arial" w:cs="Arial"/>
          <w:sz w:val="22"/>
          <w:szCs w:val="22"/>
        </w:rPr>
        <w:t>-0211).</w:t>
      </w:r>
    </w:p>
    <w:p w:rsidR="007F112A" w:rsidRPr="00B50320" w:rsidP="00B50320" w14:paraId="46E7BE94"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For NRC’s request for comment regarding categories of merchant new reactor applicants for which a 10 CFR Part 70 “appears to be financially qualified” standard would be more appropriate, the commenter discussed that traditional nonutility applicants for large commercial applicants all have the same basic characteristics and lack “costs-of-service” treatment and plans to sell power under appropriate power sales arrangements. The commenter stated an “appears to be financially qualified” standard would provide NRC flexibility in addressing unique circumstances involving nonelectric utility applicants (</w:t>
      </w:r>
      <w:r w:rsidR="009D6BB9">
        <w:rPr>
          <w:rFonts w:ascii="Arial" w:eastAsia="Times New Roman" w:hAnsi="Arial" w:cs="Arial"/>
          <w:sz w:val="22"/>
          <w:szCs w:val="22"/>
        </w:rPr>
        <w:t>NEI2</w:t>
      </w:r>
      <w:r w:rsidRPr="00B50320">
        <w:rPr>
          <w:rFonts w:ascii="Arial" w:eastAsia="Times New Roman" w:hAnsi="Arial" w:cs="Arial"/>
          <w:sz w:val="22"/>
          <w:szCs w:val="22"/>
        </w:rPr>
        <w:t>-0212).</w:t>
      </w:r>
    </w:p>
    <w:p w:rsidR="007F112A" w:rsidRPr="00B50320" w:rsidP="00B50320" w14:paraId="43870357"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 xml:space="preserve">The commenter agreed with NRC’s proposal that a 10 CFR Part 70 financial qualification standard apply to preconstruction license transfer applications, adding that any preconstruction or </w:t>
      </w:r>
      <w:r w:rsidRPr="00B50320">
        <w:rPr>
          <w:rFonts w:ascii="Arial" w:eastAsia="Times New Roman" w:hAnsi="Arial" w:cs="Arial"/>
          <w:sz w:val="22"/>
          <w:szCs w:val="22"/>
        </w:rPr>
        <w:t>preoperation</w:t>
      </w:r>
      <w:r w:rsidRPr="00B50320">
        <w:rPr>
          <w:rFonts w:ascii="Arial" w:eastAsia="Times New Roman" w:hAnsi="Arial" w:cs="Arial"/>
          <w:sz w:val="22"/>
          <w:szCs w:val="22"/>
        </w:rPr>
        <w:t xml:space="preserve"> conditions should be assessed and revised or reimposed in the event of a license transfer. The commenter also suggested a review of financial projections for the initial five years of operation, including in connection with license transfers for operating licenses (</w:t>
      </w:r>
      <w:r w:rsidR="009D6BB9">
        <w:rPr>
          <w:rFonts w:ascii="Arial" w:eastAsia="Times New Roman" w:hAnsi="Arial" w:cs="Arial"/>
          <w:sz w:val="22"/>
          <w:szCs w:val="22"/>
        </w:rPr>
        <w:t>NEI2</w:t>
      </w:r>
      <w:r w:rsidRPr="00B50320">
        <w:rPr>
          <w:rFonts w:ascii="Arial" w:eastAsia="Times New Roman" w:hAnsi="Arial" w:cs="Arial"/>
          <w:sz w:val="22"/>
          <w:szCs w:val="22"/>
        </w:rPr>
        <w:t>-0213).</w:t>
      </w:r>
    </w:p>
    <w:p w:rsidR="007F112A" w:rsidRPr="00B50320" w:rsidP="00B50320" w14:paraId="2D97F6B3" w14:textId="77777777">
      <w:pPr>
        <w:spacing w:after="220"/>
        <w:rPr>
          <w:rFonts w:ascii="Arial" w:eastAsia="Times New Roman" w:hAnsi="Arial" w:cs="Arial"/>
          <w:sz w:val="22"/>
          <w:szCs w:val="22"/>
        </w:rPr>
      </w:pPr>
      <w:r w:rsidRPr="00B50320">
        <w:rPr>
          <w:rFonts w:ascii="Arial" w:eastAsia="Times New Roman" w:hAnsi="Arial" w:cs="Arial"/>
          <w:sz w:val="22"/>
          <w:szCs w:val="22"/>
        </w:rPr>
        <w:t>The commenter responded to NRC’s request for comment regarding another standard for financial qualification of merchant new reactor applicants, stating that the “appears to be financially qualified” standard under 10 CFR Part 70 offers sufficient flexibility for a financial review by limited staff without imposing undue burden on applicants or impeding the development of new reactor projects. The commenter cited NRC’s regulatory basis document and SECY-18-0026 as providing additional justification (</w:t>
      </w:r>
      <w:r w:rsidR="009D6BB9">
        <w:rPr>
          <w:rFonts w:ascii="Arial" w:eastAsia="Times New Roman" w:hAnsi="Arial" w:cs="Arial"/>
          <w:sz w:val="22"/>
          <w:szCs w:val="22"/>
        </w:rPr>
        <w:t>NEI2</w:t>
      </w:r>
      <w:r w:rsidRPr="00B50320">
        <w:rPr>
          <w:rFonts w:ascii="Arial" w:eastAsia="Times New Roman" w:hAnsi="Arial" w:cs="Arial"/>
          <w:sz w:val="22"/>
          <w:szCs w:val="22"/>
        </w:rPr>
        <w:t>-0214).</w:t>
      </w:r>
    </w:p>
    <w:p w:rsidR="001C7FA4" w:rsidRPr="00B50320" w:rsidP="00B50320" w14:paraId="39DFFF8E" w14:textId="77777777">
      <w:pPr>
        <w:spacing w:after="220"/>
        <w:rPr>
          <w:rFonts w:ascii="Arial" w:eastAsia="DengXian" w:hAnsi="Arial" w:cs="Arial"/>
          <w:sz w:val="22"/>
          <w:szCs w:val="22"/>
          <w:lang w:eastAsia="ja-JP"/>
        </w:rPr>
      </w:pPr>
      <w:r w:rsidRPr="00B50320">
        <w:rPr>
          <w:rFonts w:ascii="Arial" w:eastAsia="DengXian" w:hAnsi="Arial" w:cs="Arial"/>
          <w:b/>
          <w:sz w:val="22"/>
          <w:szCs w:val="22"/>
          <w:lang w:eastAsia="ja-JP"/>
        </w:rPr>
        <w:t>NRC Response:</w:t>
      </w:r>
      <w:r w:rsidRPr="00B50320">
        <w:rPr>
          <w:rFonts w:ascii="Arial" w:eastAsia="DengXian" w:hAnsi="Arial" w:cs="Arial"/>
          <w:sz w:val="22"/>
          <w:szCs w:val="22"/>
          <w:lang w:eastAsia="ja-JP"/>
        </w:rPr>
        <w:t xml:space="preserve"> The NRC agrees</w:t>
      </w:r>
      <w:r w:rsidRPr="00B50320" w:rsidR="00D527E3">
        <w:rPr>
          <w:rFonts w:ascii="Arial" w:eastAsia="DengXian" w:hAnsi="Arial" w:cs="Arial"/>
          <w:sz w:val="22"/>
          <w:szCs w:val="22"/>
          <w:lang w:eastAsia="ja-JP"/>
        </w:rPr>
        <w:t>,</w:t>
      </w:r>
      <w:r w:rsidRPr="00B50320">
        <w:rPr>
          <w:rFonts w:ascii="Arial" w:eastAsia="DengXian" w:hAnsi="Arial" w:cs="Arial"/>
          <w:sz w:val="22"/>
          <w:szCs w:val="22"/>
          <w:lang w:eastAsia="ja-JP"/>
        </w:rPr>
        <w:t xml:space="preserve"> in part</w:t>
      </w:r>
      <w:r w:rsidRPr="00B50320" w:rsidR="00D527E3">
        <w:rPr>
          <w:rFonts w:ascii="Arial" w:eastAsia="DengXian" w:hAnsi="Arial" w:cs="Arial"/>
          <w:sz w:val="22"/>
          <w:szCs w:val="22"/>
          <w:lang w:eastAsia="ja-JP"/>
        </w:rPr>
        <w:t>,</w:t>
      </w:r>
      <w:r w:rsidRPr="00B50320">
        <w:rPr>
          <w:rFonts w:ascii="Arial" w:eastAsia="DengXian" w:hAnsi="Arial" w:cs="Arial"/>
          <w:sz w:val="22"/>
          <w:szCs w:val="22"/>
          <w:lang w:eastAsia="ja-JP"/>
        </w:rPr>
        <w:t xml:space="preserve"> with the comments.</w:t>
      </w:r>
    </w:p>
    <w:p w:rsidR="009910EE" w:rsidRPr="00B50320" w:rsidP="00B50320" w14:paraId="615BABD9"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The NRC agrees that a reduced level of financial qualifications review as described in SECY-18-0026 would not compromise public health and safety and would allow NRC to readily identify any degradation in licensee performance during construction and operation.</w:t>
      </w:r>
      <w:r w:rsidRPr="00B50320" w:rsidR="00F976C6">
        <w:rPr>
          <w:rFonts w:ascii="Arial" w:eastAsia="DengXian" w:hAnsi="Arial" w:cs="Arial"/>
          <w:sz w:val="22"/>
          <w:szCs w:val="22"/>
          <w:lang w:eastAsia="ja-JP"/>
        </w:rPr>
        <w:t xml:space="preserve"> </w:t>
      </w:r>
      <w:r w:rsidRPr="00B50320">
        <w:rPr>
          <w:rFonts w:ascii="Arial" w:eastAsia="DengXian" w:hAnsi="Arial" w:cs="Arial"/>
          <w:sz w:val="22"/>
          <w:szCs w:val="22"/>
          <w:lang w:eastAsia="ja-JP"/>
        </w:rPr>
        <w:t>T</w:t>
      </w:r>
      <w:r w:rsidRPr="00B50320" w:rsidR="00F976C6">
        <w:rPr>
          <w:rFonts w:ascii="Arial" w:eastAsia="DengXian" w:hAnsi="Arial" w:cs="Arial"/>
          <w:sz w:val="22"/>
          <w:szCs w:val="22"/>
          <w:lang w:eastAsia="ja-JP"/>
        </w:rPr>
        <w:t xml:space="preserve">he NRC </w:t>
      </w:r>
      <w:r w:rsidRPr="00B50320" w:rsidR="001C7FA4">
        <w:rPr>
          <w:rFonts w:ascii="Arial" w:eastAsia="DengXian" w:hAnsi="Arial" w:cs="Arial"/>
          <w:sz w:val="22"/>
          <w:szCs w:val="22"/>
          <w:lang w:eastAsia="ja-JP"/>
        </w:rPr>
        <w:t>also</w:t>
      </w:r>
      <w:r w:rsidRPr="00B50320" w:rsidR="00F976C6">
        <w:rPr>
          <w:rFonts w:ascii="Arial" w:eastAsia="DengXian" w:hAnsi="Arial" w:cs="Arial"/>
          <w:sz w:val="22"/>
          <w:szCs w:val="22"/>
          <w:lang w:eastAsia="ja-JP"/>
        </w:rPr>
        <w:t xml:space="preserve"> agrees that</w:t>
      </w:r>
      <w:r w:rsidRPr="00B50320" w:rsidR="008A2101">
        <w:rPr>
          <w:rFonts w:ascii="Arial" w:eastAsia="Times New Roman" w:hAnsi="Arial" w:cs="Arial"/>
          <w:sz w:val="22"/>
          <w:szCs w:val="22"/>
        </w:rPr>
        <w:t xml:space="preserve"> </w:t>
      </w:r>
      <w:r w:rsidRPr="00B50320" w:rsidR="00B73C68">
        <w:rPr>
          <w:rFonts w:ascii="Arial" w:eastAsia="Times New Roman" w:hAnsi="Arial" w:cs="Arial"/>
          <w:sz w:val="22"/>
          <w:szCs w:val="22"/>
        </w:rPr>
        <w:t xml:space="preserve">financial requirements in </w:t>
      </w:r>
      <w:r w:rsidRPr="00B50320" w:rsidR="00A5164D">
        <w:rPr>
          <w:rFonts w:ascii="Arial" w:eastAsia="Times New Roman" w:hAnsi="Arial" w:cs="Arial"/>
          <w:sz w:val="22"/>
          <w:szCs w:val="22"/>
        </w:rPr>
        <w:t>10 CFR </w:t>
      </w:r>
      <w:r w:rsidRPr="00B50320" w:rsidR="00F976C6">
        <w:rPr>
          <w:rFonts w:ascii="Arial" w:eastAsia="DengXian" w:hAnsi="Arial" w:cs="Arial"/>
          <w:sz w:val="22"/>
          <w:szCs w:val="22"/>
          <w:lang w:eastAsia="ja-JP"/>
        </w:rPr>
        <w:t>Part</w:t>
      </w:r>
      <w:r w:rsidRPr="00B50320" w:rsidR="00B73C68">
        <w:rPr>
          <w:rFonts w:ascii="Arial" w:eastAsia="DengXian" w:hAnsi="Arial" w:cs="Arial"/>
          <w:sz w:val="22"/>
          <w:szCs w:val="22"/>
          <w:lang w:eastAsia="ja-JP"/>
        </w:rPr>
        <w:t> </w:t>
      </w:r>
      <w:r w:rsidRPr="00B50320" w:rsidR="00F976C6">
        <w:rPr>
          <w:rFonts w:ascii="Arial" w:eastAsia="DengXian" w:hAnsi="Arial" w:cs="Arial"/>
          <w:sz w:val="22"/>
          <w:szCs w:val="22"/>
          <w:lang w:eastAsia="ja-JP"/>
        </w:rPr>
        <w:t xml:space="preserve">53 should </w:t>
      </w:r>
      <w:r w:rsidRPr="00B50320" w:rsidR="00E26C64">
        <w:rPr>
          <w:rFonts w:ascii="Arial" w:eastAsia="DengXian" w:hAnsi="Arial" w:cs="Arial"/>
          <w:sz w:val="22"/>
          <w:szCs w:val="22"/>
          <w:lang w:eastAsia="ja-JP"/>
        </w:rPr>
        <w:t>be</w:t>
      </w:r>
      <w:r w:rsidRPr="00B50320" w:rsidR="00F976C6">
        <w:rPr>
          <w:rFonts w:ascii="Arial" w:eastAsia="DengXian" w:hAnsi="Arial" w:cs="Arial"/>
          <w:sz w:val="22"/>
          <w:szCs w:val="22"/>
          <w:lang w:eastAsia="ja-JP"/>
        </w:rPr>
        <w:t xml:space="preserve"> based on the “appears to be financially qualified” standard in 10 CFR Part 70</w:t>
      </w:r>
      <w:r w:rsidRPr="00B50320">
        <w:rPr>
          <w:rFonts w:ascii="Arial" w:eastAsia="DengXian" w:hAnsi="Arial" w:cs="Arial"/>
          <w:sz w:val="22"/>
          <w:szCs w:val="22"/>
          <w:lang w:eastAsia="ja-JP"/>
        </w:rPr>
        <w:t>.</w:t>
      </w:r>
      <w:r w:rsidRPr="00B50320" w:rsidR="00F976C6">
        <w:rPr>
          <w:rFonts w:ascii="Arial" w:eastAsia="DengXian" w:hAnsi="Arial" w:cs="Arial"/>
          <w:sz w:val="22"/>
          <w:szCs w:val="22"/>
          <w:lang w:eastAsia="ja-JP"/>
        </w:rPr>
        <w:t xml:space="preserve"> </w:t>
      </w:r>
    </w:p>
    <w:p w:rsidR="408053EC" w:rsidRPr="00B50320" w:rsidP="00B50320" w14:paraId="14DC85B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disagrees with making similar </w:t>
      </w:r>
      <w:r w:rsidRPr="00B50320" w:rsidR="002C66E0">
        <w:rPr>
          <w:rFonts w:ascii="Arial" w:eastAsia="DengXian" w:hAnsi="Arial" w:cs="Arial"/>
          <w:sz w:val="22"/>
          <w:szCs w:val="22"/>
          <w:lang w:eastAsia="ja-JP"/>
        </w:rPr>
        <w:t xml:space="preserve">changes to </w:t>
      </w:r>
      <w:r w:rsidRPr="00B50320">
        <w:rPr>
          <w:rFonts w:ascii="Arial" w:eastAsia="DengXian" w:hAnsi="Arial" w:cs="Arial"/>
          <w:sz w:val="22"/>
          <w:szCs w:val="22"/>
          <w:lang w:eastAsia="ja-JP"/>
        </w:rPr>
        <w:t xml:space="preserve">the </w:t>
      </w:r>
      <w:r w:rsidRPr="00B50320" w:rsidR="001703E3">
        <w:rPr>
          <w:rFonts w:ascii="Arial" w:eastAsia="DengXian" w:hAnsi="Arial" w:cs="Arial"/>
          <w:sz w:val="22"/>
          <w:szCs w:val="22"/>
          <w:lang w:eastAsia="ja-JP"/>
        </w:rPr>
        <w:t xml:space="preserve">requirements </w:t>
      </w:r>
      <w:r w:rsidRPr="00B50320">
        <w:rPr>
          <w:rFonts w:ascii="Arial" w:eastAsia="DengXian" w:hAnsi="Arial" w:cs="Arial"/>
          <w:sz w:val="22"/>
          <w:szCs w:val="22"/>
          <w:lang w:eastAsia="ja-JP"/>
        </w:rPr>
        <w:t>in 10 CFR Parts 50 and 52</w:t>
      </w:r>
      <w:r w:rsidRPr="00B50320" w:rsidR="00E01473">
        <w:rPr>
          <w:rFonts w:ascii="Arial" w:eastAsia="DengXian" w:hAnsi="Arial" w:cs="Arial"/>
          <w:sz w:val="22"/>
          <w:szCs w:val="22"/>
          <w:lang w:eastAsia="ja-JP"/>
        </w:rPr>
        <w:t xml:space="preserve"> in this rulemaking</w:t>
      </w:r>
      <w:r w:rsidRPr="00B50320">
        <w:rPr>
          <w:rFonts w:ascii="Arial" w:eastAsia="DengXian" w:hAnsi="Arial" w:cs="Arial"/>
          <w:sz w:val="22"/>
          <w:szCs w:val="22"/>
          <w:lang w:eastAsia="ja-JP"/>
        </w:rPr>
        <w:t>.</w:t>
      </w:r>
      <w:r w:rsidRPr="00B50320" w:rsidR="001703E3">
        <w:rPr>
          <w:rFonts w:ascii="Arial" w:eastAsia="DengXian" w:hAnsi="Arial" w:cs="Arial"/>
          <w:sz w:val="22"/>
          <w:szCs w:val="22"/>
          <w:lang w:eastAsia="ja-JP"/>
        </w:rPr>
        <w:t xml:space="preserve"> </w:t>
      </w:r>
      <w:r w:rsidRPr="00B50320">
        <w:rPr>
          <w:rFonts w:ascii="Arial" w:eastAsia="DengXian" w:hAnsi="Arial" w:cs="Arial"/>
          <w:sz w:val="22"/>
          <w:szCs w:val="22"/>
          <w:lang w:eastAsia="ja-JP"/>
        </w:rPr>
        <w:t>A</w:t>
      </w:r>
      <w:r w:rsidRPr="00B50320" w:rsidR="001703E3">
        <w:rPr>
          <w:rFonts w:ascii="Arial" w:eastAsia="DengXian" w:hAnsi="Arial" w:cs="Arial"/>
          <w:sz w:val="22"/>
          <w:szCs w:val="22"/>
          <w:lang w:eastAsia="ja-JP"/>
        </w:rPr>
        <w:t>pplicants under those parts are outside the scope of this rulemaking.</w:t>
      </w:r>
    </w:p>
    <w:p w:rsidR="717037A3" w:rsidRPr="00B50320" w:rsidP="00B50320" w14:paraId="6B019351" w14:textId="77777777">
      <w:pPr>
        <w:spacing w:after="220"/>
        <w:rPr>
          <w:rFonts w:ascii="Arial" w:eastAsia="DengXian" w:hAnsi="Arial" w:cs="Arial"/>
          <w:sz w:val="22"/>
          <w:szCs w:val="22"/>
          <w:lang w:eastAsia="ja-JP"/>
        </w:rPr>
      </w:pPr>
      <w:r w:rsidRPr="00B50320">
        <w:rPr>
          <w:rFonts w:ascii="Arial" w:eastAsia="DengXian" w:hAnsi="Arial" w:cs="Arial"/>
          <w:sz w:val="22"/>
          <w:szCs w:val="22"/>
          <w:lang w:eastAsia="ja-JP"/>
        </w:rPr>
        <w:t xml:space="preserve">The NRC agrees that </w:t>
      </w:r>
      <w:r w:rsidRPr="00B50320">
        <w:rPr>
          <w:rFonts w:ascii="Arial" w:eastAsia="Times New Roman" w:hAnsi="Arial" w:cs="Arial"/>
          <w:sz w:val="22"/>
          <w:szCs w:val="22"/>
        </w:rPr>
        <w:t xml:space="preserve">utility applicants with “cost of service” recovery should be presumed to be financially qualified, and this is </w:t>
      </w:r>
      <w:r w:rsidRPr="00B50320" w:rsidR="4F83E3AD">
        <w:rPr>
          <w:rFonts w:ascii="Arial" w:eastAsia="Times New Roman" w:hAnsi="Arial" w:cs="Arial"/>
          <w:sz w:val="22"/>
          <w:szCs w:val="22"/>
        </w:rPr>
        <w:t xml:space="preserve">already </w:t>
      </w:r>
      <w:r w:rsidRPr="00B50320" w:rsidR="404E7D18">
        <w:rPr>
          <w:rFonts w:ascii="Arial" w:eastAsia="Times New Roman" w:hAnsi="Arial" w:cs="Arial"/>
          <w:sz w:val="22"/>
          <w:szCs w:val="22"/>
        </w:rPr>
        <w:t xml:space="preserve">recognized </w:t>
      </w:r>
      <w:r w:rsidRPr="00B50320" w:rsidR="07680BC5">
        <w:rPr>
          <w:rFonts w:ascii="Arial" w:eastAsia="Times New Roman" w:hAnsi="Arial" w:cs="Arial"/>
          <w:sz w:val="22"/>
          <w:szCs w:val="22"/>
        </w:rPr>
        <w:t>in 10 CFR Part 53. For example,</w:t>
      </w:r>
      <w:r w:rsidRPr="00B50320" w:rsidR="69517539">
        <w:rPr>
          <w:rFonts w:ascii="Arial" w:eastAsia="Times New Roman" w:hAnsi="Arial" w:cs="Arial"/>
          <w:sz w:val="22"/>
          <w:szCs w:val="22"/>
        </w:rPr>
        <w:t xml:space="preserve"> </w:t>
      </w:r>
      <w:r w:rsidRPr="00B50320" w:rsidR="404E7D18">
        <w:rPr>
          <w:rFonts w:ascii="Arial" w:eastAsia="Times New Roman" w:hAnsi="Arial" w:cs="Arial"/>
          <w:sz w:val="22"/>
          <w:szCs w:val="22"/>
        </w:rPr>
        <w:t>under 10</w:t>
      </w:r>
      <w:r w:rsidR="00BF71F7">
        <w:rPr>
          <w:rFonts w:ascii="Arial" w:eastAsia="Times New Roman" w:hAnsi="Arial" w:cs="Arial"/>
          <w:sz w:val="22"/>
          <w:szCs w:val="22"/>
        </w:rPr>
        <w:t> </w:t>
      </w:r>
      <w:r w:rsidRPr="00B50320" w:rsidR="404E7D18">
        <w:rPr>
          <w:rFonts w:ascii="Arial" w:eastAsia="Times New Roman" w:hAnsi="Arial" w:cs="Arial"/>
          <w:sz w:val="22"/>
          <w:szCs w:val="22"/>
        </w:rPr>
        <w:t>CFR 53.</w:t>
      </w:r>
      <w:r w:rsidRPr="00B50320" w:rsidR="2CD9FC9B">
        <w:rPr>
          <w:rFonts w:ascii="Arial" w:eastAsia="Times New Roman" w:hAnsi="Arial" w:cs="Arial"/>
          <w:sz w:val="22"/>
          <w:szCs w:val="22"/>
        </w:rPr>
        <w:t>1670</w:t>
      </w:r>
      <w:r w:rsidRPr="00B50320" w:rsidR="6AB0B83B">
        <w:rPr>
          <w:rFonts w:ascii="Arial" w:eastAsia="Times New Roman" w:hAnsi="Arial" w:cs="Arial"/>
          <w:sz w:val="22"/>
          <w:szCs w:val="22"/>
        </w:rPr>
        <w:t>, electric utility applicants are excepted from the financial qualificati</w:t>
      </w:r>
      <w:r w:rsidRPr="00B50320" w:rsidR="2D20E1E4">
        <w:rPr>
          <w:rFonts w:ascii="Arial" w:eastAsia="Times New Roman" w:hAnsi="Arial" w:cs="Arial"/>
          <w:sz w:val="22"/>
          <w:szCs w:val="22"/>
        </w:rPr>
        <w:t>o</w:t>
      </w:r>
      <w:r w:rsidRPr="00B50320" w:rsidR="6AB0B83B">
        <w:rPr>
          <w:rFonts w:ascii="Arial" w:eastAsia="Times New Roman" w:hAnsi="Arial" w:cs="Arial"/>
          <w:sz w:val="22"/>
          <w:szCs w:val="22"/>
        </w:rPr>
        <w:t>n requirements.</w:t>
      </w:r>
      <w:r w:rsidRPr="00B50320" w:rsidR="51E882A4">
        <w:rPr>
          <w:rFonts w:ascii="Arial" w:eastAsia="Times New Roman" w:hAnsi="Arial" w:cs="Arial"/>
          <w:sz w:val="22"/>
          <w:szCs w:val="22"/>
        </w:rPr>
        <w:t xml:space="preserve"> The same is true in the corresponding requirements for utility applicants under 10</w:t>
      </w:r>
      <w:r w:rsidR="00BF71F7">
        <w:rPr>
          <w:rFonts w:ascii="Arial" w:eastAsia="Times New Roman" w:hAnsi="Arial" w:cs="Arial"/>
          <w:sz w:val="22"/>
          <w:szCs w:val="22"/>
        </w:rPr>
        <w:t> </w:t>
      </w:r>
      <w:r w:rsidRPr="00B50320" w:rsidR="51E882A4">
        <w:rPr>
          <w:rFonts w:ascii="Arial" w:eastAsia="Times New Roman" w:hAnsi="Arial" w:cs="Arial"/>
          <w:sz w:val="22"/>
          <w:szCs w:val="22"/>
        </w:rPr>
        <w:t>CFR Parts 50 and 52.</w:t>
      </w:r>
    </w:p>
    <w:p w:rsidR="007F112A" w:rsidRPr="00B50320" w:rsidP="00B50320" w14:paraId="367D7739" w14:textId="77777777">
      <w:pPr>
        <w:spacing w:after="220"/>
        <w:rPr>
          <w:rFonts w:ascii="Arial" w:eastAsia="Times New Roman" w:hAnsi="Arial" w:cs="Arial"/>
          <w:color w:val="000000"/>
          <w:sz w:val="22"/>
          <w:szCs w:val="22"/>
          <w:lang w:eastAsia="zh-CN"/>
        </w:rPr>
      </w:pPr>
      <w:r w:rsidRPr="00B50320">
        <w:rPr>
          <w:rFonts w:ascii="Arial" w:eastAsia="DengXian" w:hAnsi="Arial" w:cs="Arial"/>
          <w:sz w:val="22"/>
          <w:szCs w:val="22"/>
          <w:lang w:eastAsia="ja-JP"/>
        </w:rPr>
        <w:t xml:space="preserve">Accordingly, the NRC </w:t>
      </w:r>
      <w:r w:rsidR="00B84BB8">
        <w:rPr>
          <w:rFonts w:ascii="Arial" w:hAnsi="Arial" w:cs="Arial"/>
          <w:sz w:val="22"/>
          <w:szCs w:val="22"/>
        </w:rPr>
        <w:t>has revised</w:t>
      </w:r>
      <w:r w:rsidR="00B84BB8">
        <w:rPr>
          <w:rFonts w:ascii="Arial" w:eastAsia="DengXian" w:hAnsi="Arial" w:cs="Arial"/>
          <w:sz w:val="22"/>
          <w:szCs w:val="22"/>
          <w:lang w:eastAsia="ja-JP"/>
        </w:rPr>
        <w:t xml:space="preserve"> </w:t>
      </w:r>
      <w:r w:rsidRPr="00B50320">
        <w:rPr>
          <w:rFonts w:ascii="Arial" w:eastAsia="DengXian" w:hAnsi="Arial" w:cs="Arial"/>
          <w:sz w:val="22"/>
          <w:szCs w:val="22"/>
          <w:lang w:eastAsia="ja-JP"/>
        </w:rPr>
        <w:t xml:space="preserve">the rule language </w:t>
      </w:r>
      <w:r w:rsidRPr="00B50320" w:rsidR="001703E3">
        <w:rPr>
          <w:rFonts w:ascii="Arial" w:eastAsia="DengXian" w:hAnsi="Arial" w:cs="Arial"/>
          <w:sz w:val="22"/>
          <w:szCs w:val="22"/>
          <w:lang w:eastAsia="ja-JP"/>
        </w:rPr>
        <w:t xml:space="preserve">related to financial qualifications </w:t>
      </w:r>
      <w:r w:rsidRPr="00B50320">
        <w:rPr>
          <w:rFonts w:ascii="Arial" w:eastAsia="DengXian" w:hAnsi="Arial" w:cs="Arial"/>
          <w:sz w:val="22"/>
          <w:szCs w:val="22"/>
          <w:lang w:eastAsia="ja-JP"/>
        </w:rPr>
        <w:t>in 10 CFR Part 53, Subparts H and J, in response to these comments.</w:t>
      </w:r>
    </w:p>
    <w:p w:rsidR="007F112A" w:rsidRPr="00B50320" w:rsidP="00B50320" w14:paraId="065395A9" w14:textId="77777777">
      <w:pPr>
        <w:spacing w:after="220"/>
        <w:rPr>
          <w:rFonts w:ascii="Arial" w:hAnsi="Arial" w:cs="Arial"/>
          <w:sz w:val="22"/>
          <w:szCs w:val="22"/>
        </w:rPr>
      </w:pPr>
      <w:r>
        <w:rPr>
          <w:rFonts w:ascii="Arial" w:hAnsi="Arial" w:cs="Arial"/>
          <w:sz w:val="22"/>
          <w:szCs w:val="22"/>
        </w:rPr>
        <w:pict>
          <v:rect id="_x0000_i1305" style="width:0;height:1.5pt" o:hralign="center" o:hrstd="t" o:hrnoshade="t" o:hr="t" fillcolor="black" stroked="f"/>
        </w:pict>
      </w:r>
    </w:p>
    <w:p w:rsidR="004C299B" w:rsidRPr="00ED55E8" w:rsidP="001249BD" w14:paraId="4FA1209A" w14:textId="77777777">
      <w:pPr>
        <w:pStyle w:val="Heading2"/>
        <w:numPr>
          <w:ilvl w:val="0"/>
          <w:numId w:val="0"/>
        </w:numPr>
        <w:ind w:left="720" w:hanging="720"/>
      </w:pPr>
      <w:bookmarkStart w:id="125" w:name="_Toc207222846"/>
      <w:r w:rsidRPr="001249BD">
        <w:rPr>
          <w:u w:val="none"/>
        </w:rPr>
        <w:t>3.11.</w:t>
      </w:r>
      <w:r w:rsidRPr="001249BD">
        <w:rPr>
          <w:u w:val="none"/>
        </w:rPr>
        <w:tab/>
      </w:r>
      <w:r w:rsidR="00B07EC2">
        <w:t>Subpart M: Enforcement (</w:t>
      </w:r>
      <w:r w:rsidRPr="00DA0A3C" w:rsidR="00B07EC2">
        <w:t>§§ 53.</w:t>
      </w:r>
      <w:r w:rsidR="00B07EC2">
        <w:t>9000 – 53.9010)</w:t>
      </w:r>
      <w:bookmarkEnd w:id="125"/>
    </w:p>
    <w:p w:rsidR="009A1C00" w:rsidRPr="00224223" w:rsidP="009A1C00" w14:paraId="736C943A" w14:textId="77777777">
      <w:pPr>
        <w:rPr>
          <w:rFonts w:ascii="Arial" w:hAnsi="Arial" w:cs="Arial"/>
          <w:sz w:val="22"/>
          <w:szCs w:val="22"/>
        </w:rPr>
      </w:pPr>
      <w:r w:rsidRPr="00224223">
        <w:rPr>
          <w:rFonts w:ascii="Arial" w:hAnsi="Arial" w:cs="Arial"/>
          <w:sz w:val="22"/>
          <w:szCs w:val="22"/>
        </w:rPr>
        <w:t>No comments are associated with this issue.</w:t>
      </w:r>
    </w:p>
    <w:p w:rsidR="009A1C00" w:rsidRPr="009A1C00" w:rsidP="009A1C00" w14:paraId="277F5E92" w14:textId="77777777">
      <w:r>
        <w:rPr>
          <w:rFonts w:ascii="Arial" w:eastAsia="Times New Roman" w:hAnsi="Arial" w:cs="Arial"/>
          <w:lang w:eastAsia="zh-CN"/>
        </w:rPr>
        <w:pict>
          <v:rect id="_x0000_i1306" style="width:0;height:1.5pt" o:hralign="center" o:hrstd="t" o:hrnoshade="t" o:hr="t" fillcolor="black" stroked="f"/>
        </w:pict>
      </w:r>
    </w:p>
    <w:p w:rsidR="00B07EC2" w:rsidRPr="00B07EC2" w:rsidP="00B07EC2" w14:paraId="5C5BD749" w14:textId="77777777"/>
    <w:p w:rsidR="007F112A" w:rsidRPr="00B50320" w:rsidP="00E632C2" w14:paraId="4A5EF9F7" w14:textId="77777777">
      <w:pPr>
        <w:pStyle w:val="Heading2"/>
        <w:numPr>
          <w:ilvl w:val="0"/>
          <w:numId w:val="0"/>
        </w:numPr>
        <w:ind w:left="720" w:hanging="720"/>
      </w:pPr>
      <w:bookmarkStart w:id="126" w:name="_Toc207222847"/>
      <w:r w:rsidRPr="00E632C2">
        <w:rPr>
          <w:u w:val="none"/>
        </w:rPr>
        <w:t>3.12.</w:t>
      </w:r>
      <w:r w:rsidRPr="00E632C2">
        <w:rPr>
          <w:u w:val="none"/>
        </w:rPr>
        <w:tab/>
      </w:r>
      <w:r w:rsidRPr="00DA0A3C">
        <w:t>Other general comments on Part 53, including RFC on organization of 10 CFR Part 53 and references to other NRC regulations and RFC on ADVANCE Act</w:t>
      </w:r>
      <w:bookmarkEnd w:id="126"/>
    </w:p>
    <w:p w:rsidR="007F112A" w:rsidRPr="006576A5" w:rsidP="00B50320" w14:paraId="38A84888" w14:textId="77777777">
      <w:pPr>
        <w:spacing w:after="220"/>
        <w:rPr>
          <w:rFonts w:ascii="Arial" w:hAnsi="Arial" w:cs="Arial"/>
          <w:sz w:val="22"/>
          <w:szCs w:val="22"/>
        </w:rPr>
      </w:pPr>
      <w:r w:rsidRPr="00B50320">
        <w:rPr>
          <w:rFonts w:ascii="Arial" w:hAnsi="Arial" w:cs="Arial"/>
          <w:b/>
          <w:sz w:val="22"/>
          <w:szCs w:val="22"/>
        </w:rPr>
        <w:t xml:space="preserve">Comment Bin 3.12.A: </w:t>
      </w:r>
      <w:r w:rsidRPr="00B50320">
        <w:rPr>
          <w:rFonts w:ascii="Arial" w:eastAsia="DengXian" w:hAnsi="Arial" w:cs="Arial"/>
          <w:sz w:val="22"/>
          <w:szCs w:val="22"/>
          <w:lang w:eastAsia="ja-JP"/>
        </w:rPr>
        <w:t xml:space="preserve">Several </w:t>
      </w:r>
      <w:r w:rsidRPr="00B50320">
        <w:rPr>
          <w:rFonts w:ascii="Arial" w:hAnsi="Arial" w:cs="Arial"/>
          <w:sz w:val="22"/>
          <w:szCs w:val="22"/>
        </w:rPr>
        <w:t xml:space="preserve">commenters suggested that </w:t>
      </w:r>
      <w:r w:rsidRPr="00B50320">
        <w:rPr>
          <w:rFonts w:ascii="Arial" w:eastAsia="DengXian" w:hAnsi="Arial" w:cs="Arial"/>
          <w:sz w:val="22"/>
          <w:szCs w:val="22"/>
          <w:lang w:eastAsia="ja-JP"/>
        </w:rPr>
        <w:t>much of the rule language could be moved</w:t>
      </w:r>
      <w:r w:rsidRPr="00B50320">
        <w:rPr>
          <w:rFonts w:ascii="Arial" w:hAnsi="Arial" w:cs="Arial"/>
          <w:sz w:val="22"/>
          <w:szCs w:val="22"/>
        </w:rPr>
        <w:t xml:space="preserve"> into guidance (</w:t>
      </w:r>
      <w:r w:rsidR="000341A7">
        <w:rPr>
          <w:rFonts w:ascii="Arial" w:hAnsi="Arial" w:cs="Arial"/>
          <w:sz w:val="22"/>
          <w:szCs w:val="22"/>
        </w:rPr>
        <w:t>NIA2</w:t>
      </w:r>
      <w:r w:rsidRPr="00B50320">
        <w:rPr>
          <w:rFonts w:ascii="Arial" w:hAnsi="Arial" w:cs="Arial"/>
          <w:sz w:val="22"/>
          <w:szCs w:val="22"/>
        </w:rPr>
        <w:t xml:space="preserve">-0002, </w:t>
      </w:r>
      <w:r w:rsidR="00343546">
        <w:rPr>
          <w:rFonts w:ascii="Arial" w:hAnsi="Arial" w:cs="Arial"/>
          <w:sz w:val="22"/>
          <w:szCs w:val="22"/>
        </w:rPr>
        <w:t>NGO</w:t>
      </w:r>
      <w:r w:rsidRPr="00B50320">
        <w:rPr>
          <w:rFonts w:ascii="Arial" w:hAnsi="Arial" w:cs="Arial"/>
          <w:sz w:val="22"/>
          <w:szCs w:val="22"/>
        </w:rPr>
        <w:t xml:space="preserve">-0002, </w:t>
      </w:r>
      <w:r w:rsidR="003C29B7">
        <w:rPr>
          <w:rFonts w:ascii="Arial" w:hAnsi="Arial" w:cs="Arial"/>
          <w:sz w:val="22"/>
          <w:szCs w:val="22"/>
        </w:rPr>
        <w:t>CP</w:t>
      </w:r>
      <w:r w:rsidRPr="00B50320">
        <w:rPr>
          <w:rFonts w:ascii="Arial" w:hAnsi="Arial" w:cs="Arial"/>
          <w:sz w:val="22"/>
          <w:szCs w:val="22"/>
        </w:rPr>
        <w:t xml:space="preserve">-0003, </w:t>
      </w:r>
      <w:r w:rsidR="009D6BB9">
        <w:rPr>
          <w:rFonts w:ascii="Arial" w:hAnsi="Arial" w:cs="Arial"/>
          <w:sz w:val="22"/>
          <w:szCs w:val="22"/>
        </w:rPr>
        <w:t>NEI2</w:t>
      </w:r>
      <w:r w:rsidRPr="00B50320">
        <w:rPr>
          <w:rFonts w:ascii="Arial" w:hAnsi="Arial" w:cs="Arial"/>
          <w:sz w:val="22"/>
          <w:szCs w:val="22"/>
        </w:rPr>
        <w:t xml:space="preserve">-0047, </w:t>
      </w:r>
      <w:r w:rsidR="009D6BB9">
        <w:rPr>
          <w:rFonts w:ascii="Arial" w:eastAsia="Times New Roman" w:hAnsi="Arial" w:cs="Arial"/>
          <w:color w:val="000000"/>
          <w:sz w:val="22"/>
          <w:szCs w:val="22"/>
          <w:lang w:eastAsia="zh-CN"/>
        </w:rPr>
        <w:t>NEI2</w:t>
      </w:r>
      <w:r w:rsidRPr="00B50320">
        <w:rPr>
          <w:rFonts w:ascii="Arial" w:eastAsia="Times New Roman" w:hAnsi="Arial" w:cs="Arial"/>
          <w:color w:val="000000"/>
          <w:sz w:val="22"/>
          <w:szCs w:val="22"/>
          <w:lang w:eastAsia="zh-CN"/>
        </w:rPr>
        <w:t>-0248</w:t>
      </w:r>
      <w:r w:rsidRPr="00B50320">
        <w:rPr>
          <w:rFonts w:ascii="Arial" w:eastAsia="Times New Roman" w:hAnsi="Arial" w:cs="Arial"/>
          <w:sz w:val="22"/>
          <w:szCs w:val="22"/>
        </w:rPr>
        <w:t xml:space="preserve">, </w:t>
      </w:r>
      <w:r w:rsidR="00AE0B17">
        <w:rPr>
          <w:rFonts w:ascii="Arial" w:eastAsia="Aptos" w:hAnsi="Arial" w:cs="Arial"/>
          <w:sz w:val="22"/>
          <w:szCs w:val="22"/>
        </w:rPr>
        <w:t>USNIC2</w:t>
      </w:r>
      <w:r w:rsidRPr="00B50320">
        <w:rPr>
          <w:rFonts w:ascii="Arial" w:eastAsia="Aptos" w:hAnsi="Arial" w:cs="Arial"/>
          <w:sz w:val="22"/>
          <w:szCs w:val="22"/>
        </w:rPr>
        <w:t xml:space="preserve">-0024, </w:t>
      </w:r>
      <w:r w:rsidR="004C1A5D">
        <w:rPr>
          <w:rFonts w:ascii="Arial" w:hAnsi="Arial" w:cs="Arial"/>
          <w:sz w:val="22"/>
          <w:szCs w:val="22"/>
        </w:rPr>
        <w:t>BI1</w:t>
      </w:r>
      <w:r w:rsidRPr="00B50320">
        <w:rPr>
          <w:rFonts w:ascii="Arial" w:hAnsi="Arial" w:cs="Arial"/>
          <w:sz w:val="22"/>
          <w:szCs w:val="22"/>
        </w:rPr>
        <w:t>-0004</w:t>
      </w:r>
      <w:r w:rsidRPr="00B50320" w:rsidR="003923C0">
        <w:rPr>
          <w:rFonts w:ascii="Arial" w:hAnsi="Arial" w:cs="Arial"/>
          <w:sz w:val="22"/>
          <w:szCs w:val="22"/>
        </w:rPr>
        <w:t xml:space="preserve">, </w:t>
      </w:r>
      <w:r w:rsidR="000341A7">
        <w:rPr>
          <w:rFonts w:ascii="Arial" w:hAnsi="Arial" w:cs="Arial"/>
          <w:sz w:val="22"/>
          <w:szCs w:val="22"/>
        </w:rPr>
        <w:t>NIA2</w:t>
      </w:r>
      <w:r w:rsidRPr="00B50320" w:rsidR="00AB70D0">
        <w:rPr>
          <w:rFonts w:ascii="Arial" w:hAnsi="Arial" w:cs="Arial"/>
          <w:sz w:val="22"/>
          <w:szCs w:val="22"/>
        </w:rPr>
        <w:t>-0007</w:t>
      </w:r>
      <w:r w:rsidRPr="00B50320">
        <w:rPr>
          <w:rFonts w:ascii="Arial" w:hAnsi="Arial" w:cs="Arial"/>
          <w:sz w:val="22"/>
          <w:szCs w:val="22"/>
        </w:rPr>
        <w:t>)</w:t>
      </w:r>
      <w:r w:rsidRPr="00B50320">
        <w:rPr>
          <w:rFonts w:ascii="Arial" w:eastAsia="DengXian" w:hAnsi="Arial" w:cs="Arial"/>
          <w:sz w:val="22"/>
          <w:szCs w:val="22"/>
          <w:lang w:eastAsia="ja-JP"/>
        </w:rPr>
        <w:t xml:space="preserve">. </w:t>
      </w:r>
      <w:r w:rsidRPr="00B50320">
        <w:rPr>
          <w:rFonts w:ascii="Arial" w:hAnsi="Arial" w:cs="Arial"/>
          <w:sz w:val="22"/>
          <w:szCs w:val="22"/>
        </w:rPr>
        <w:t xml:space="preserve">Two </w:t>
      </w:r>
      <w:r w:rsidRPr="00B50320">
        <w:rPr>
          <w:rFonts w:ascii="Arial" w:eastAsia="DengXian" w:hAnsi="Arial" w:cs="Arial"/>
          <w:sz w:val="22"/>
          <w:szCs w:val="22"/>
          <w:lang w:eastAsia="ja-JP"/>
        </w:rPr>
        <w:t>of the commenters said this would</w:t>
      </w:r>
      <w:r w:rsidRPr="00B50320">
        <w:rPr>
          <w:rFonts w:ascii="Arial" w:hAnsi="Arial" w:cs="Arial"/>
          <w:sz w:val="22"/>
          <w:szCs w:val="22"/>
        </w:rPr>
        <w:t xml:space="preserve"> eliminate unnecessary and duplicative requirements and would be consistent with Enclosure 3 </w:t>
      </w:r>
      <w:r w:rsidR="00992203">
        <w:rPr>
          <w:rFonts w:ascii="Arial" w:hAnsi="Arial" w:cs="Arial"/>
          <w:sz w:val="22"/>
          <w:szCs w:val="22"/>
        </w:rPr>
        <w:t>(</w:t>
      </w:r>
      <w:r w:rsidRPr="007811C7" w:rsidR="00992203">
        <w:rPr>
          <w:rFonts w:ascii="Arial" w:hAnsi="Arial" w:cs="Arial"/>
          <w:sz w:val="22"/>
          <w:szCs w:val="22"/>
        </w:rPr>
        <w:t>ML24064A051</w:t>
      </w:r>
      <w:r w:rsidR="00992203">
        <w:rPr>
          <w:rFonts w:ascii="Arial" w:hAnsi="Arial" w:cs="Arial"/>
          <w:sz w:val="22"/>
          <w:szCs w:val="22"/>
        </w:rPr>
        <w:t>)</w:t>
      </w:r>
      <w:r w:rsidRPr="00B50320">
        <w:rPr>
          <w:rFonts w:ascii="Arial" w:hAnsi="Arial" w:cs="Arial"/>
          <w:sz w:val="22"/>
          <w:szCs w:val="22"/>
        </w:rPr>
        <w:t xml:space="preserve"> in the Commission's direction to staff in SRM</w:t>
      </w:r>
      <w:r w:rsidRPr="00B50320">
        <w:rPr>
          <w:rFonts w:ascii="Arial" w:hAnsi="Arial" w:cs="Arial"/>
          <w:sz w:val="22"/>
          <w:szCs w:val="22"/>
        </w:rPr>
        <w:noBreakHyphen/>
        <w:t>SECY</w:t>
      </w:r>
      <w:r w:rsidRPr="00B50320">
        <w:rPr>
          <w:rFonts w:ascii="Arial" w:hAnsi="Arial" w:cs="Arial"/>
          <w:sz w:val="22"/>
          <w:szCs w:val="22"/>
        </w:rPr>
        <w:noBreakHyphen/>
        <w:t>23</w:t>
      </w:r>
      <w:r w:rsidRPr="00B50320">
        <w:rPr>
          <w:rFonts w:ascii="Arial" w:hAnsi="Arial" w:cs="Arial"/>
          <w:sz w:val="22"/>
          <w:szCs w:val="22"/>
        </w:rPr>
        <w:noBreakHyphen/>
        <w:t>0021 (</w:t>
      </w:r>
      <w:r w:rsidR="000341A7">
        <w:rPr>
          <w:rFonts w:ascii="Arial" w:hAnsi="Arial" w:cs="Arial"/>
          <w:sz w:val="22"/>
          <w:szCs w:val="22"/>
        </w:rPr>
        <w:t>NIA2</w:t>
      </w:r>
      <w:r w:rsidRPr="00B50320">
        <w:rPr>
          <w:rFonts w:ascii="Arial" w:hAnsi="Arial" w:cs="Arial"/>
          <w:sz w:val="22"/>
          <w:szCs w:val="22"/>
        </w:rPr>
        <w:t xml:space="preserve">-0002, </w:t>
      </w:r>
      <w:r w:rsidR="00343546">
        <w:rPr>
          <w:rFonts w:ascii="Arial" w:hAnsi="Arial" w:cs="Arial"/>
          <w:sz w:val="22"/>
          <w:szCs w:val="22"/>
        </w:rPr>
        <w:t>NGO</w:t>
      </w:r>
      <w:r w:rsidRPr="00B50320">
        <w:rPr>
          <w:rFonts w:ascii="Arial" w:hAnsi="Arial" w:cs="Arial"/>
          <w:sz w:val="22"/>
          <w:szCs w:val="22"/>
        </w:rPr>
        <w:t>-0002). Two of the commenters also mentioned that Chairman Wright in his vote record on the proposed rule suggested a “higher-level rule” with details provided in guidance (</w:t>
      </w:r>
      <w:r w:rsidR="009D6BB9">
        <w:rPr>
          <w:rFonts w:ascii="Arial" w:hAnsi="Arial" w:cs="Arial"/>
          <w:sz w:val="22"/>
          <w:szCs w:val="22"/>
        </w:rPr>
        <w:t>NEI2</w:t>
      </w:r>
      <w:r w:rsidRPr="00B50320">
        <w:rPr>
          <w:rFonts w:ascii="Arial" w:hAnsi="Arial" w:cs="Arial"/>
          <w:sz w:val="22"/>
          <w:szCs w:val="22"/>
        </w:rPr>
        <w:t xml:space="preserve">-0047, </w:t>
      </w:r>
      <w:r w:rsidR="00AE0B17">
        <w:rPr>
          <w:rFonts w:ascii="Arial" w:hAnsi="Arial" w:cs="Arial"/>
          <w:sz w:val="22"/>
          <w:szCs w:val="22"/>
        </w:rPr>
        <w:t>USNIC2</w:t>
      </w:r>
      <w:r w:rsidRPr="00B50320">
        <w:rPr>
          <w:rFonts w:ascii="Arial" w:hAnsi="Arial" w:cs="Arial"/>
          <w:sz w:val="22"/>
          <w:szCs w:val="22"/>
        </w:rPr>
        <w:t>-0024). One of the commenters said that the previous Frameworks A and B should be moved to guidance to support a high-level rule (</w:t>
      </w:r>
      <w:r w:rsidR="003C29B7">
        <w:rPr>
          <w:rFonts w:ascii="Arial" w:hAnsi="Arial" w:cs="Arial"/>
          <w:sz w:val="22"/>
          <w:szCs w:val="22"/>
        </w:rPr>
        <w:t>CP</w:t>
      </w:r>
      <w:r w:rsidRPr="00B50320">
        <w:rPr>
          <w:rFonts w:ascii="Arial" w:hAnsi="Arial" w:cs="Arial"/>
          <w:sz w:val="22"/>
          <w:szCs w:val="22"/>
        </w:rPr>
        <w:t>-0007).</w:t>
      </w:r>
    </w:p>
    <w:p w:rsidR="007F112A" w:rsidRPr="006576A5" w:rsidP="00B50320" w14:paraId="2AF34E0B" w14:textId="77777777">
      <w:pPr>
        <w:spacing w:after="220"/>
        <w:rPr>
          <w:rFonts w:ascii="Arial" w:eastAsia="Times New Roman" w:hAnsi="Arial" w:cs="Arial"/>
          <w:sz w:val="22"/>
          <w:szCs w:val="22"/>
        </w:rPr>
      </w:pPr>
      <w:r w:rsidRPr="00B50320">
        <w:rPr>
          <w:rFonts w:ascii="Arial" w:hAnsi="Arial" w:cs="Arial"/>
          <w:sz w:val="22"/>
          <w:szCs w:val="22"/>
        </w:rPr>
        <w:t>Two</w:t>
      </w:r>
      <w:r w:rsidRPr="00B50320">
        <w:rPr>
          <w:rFonts w:ascii="Arial" w:eastAsia="Times New Roman" w:hAnsi="Arial" w:cs="Arial"/>
          <w:sz w:val="22"/>
          <w:szCs w:val="22"/>
        </w:rPr>
        <w:t xml:space="preserve"> commenters urged the NRC to remove detail from 10 CFR 53.440 and 10 CFR 53.450 and place it into guidance (</w:t>
      </w:r>
      <w:r w:rsidR="009D6BB9">
        <w:rPr>
          <w:rFonts w:ascii="Arial" w:eastAsia="Times New Roman" w:hAnsi="Arial" w:cs="Arial"/>
          <w:sz w:val="22"/>
          <w:szCs w:val="22"/>
        </w:rPr>
        <w:t>NEI2</w:t>
      </w:r>
      <w:r w:rsidRPr="00B50320">
        <w:rPr>
          <w:rFonts w:ascii="Arial" w:eastAsia="Times New Roman" w:hAnsi="Arial" w:cs="Arial"/>
          <w:sz w:val="22"/>
          <w:szCs w:val="22"/>
        </w:rPr>
        <w:t xml:space="preserve">-0047, </w:t>
      </w:r>
      <w:r w:rsidR="00AE0B17">
        <w:rPr>
          <w:rFonts w:ascii="Arial" w:eastAsia="Aptos" w:hAnsi="Arial" w:cs="Arial"/>
          <w:sz w:val="22"/>
          <w:szCs w:val="22"/>
        </w:rPr>
        <w:t>USNIC2</w:t>
      </w:r>
      <w:r w:rsidRPr="00B50320">
        <w:rPr>
          <w:rFonts w:ascii="Arial" w:eastAsia="Aptos" w:hAnsi="Arial" w:cs="Arial"/>
          <w:sz w:val="22"/>
          <w:szCs w:val="22"/>
        </w:rPr>
        <w:t>-0024</w:t>
      </w:r>
      <w:r w:rsidRPr="00B50320">
        <w:rPr>
          <w:rFonts w:ascii="Arial" w:eastAsia="Times New Roman" w:hAnsi="Arial" w:cs="Arial"/>
          <w:sz w:val="22"/>
          <w:szCs w:val="22"/>
        </w:rPr>
        <w:t>). One of the commenters specifically suggested that the NRC should delete 10 CFR 53.440 and 10 CFR 53.450 and develop guidance showing what are acceptable means of meeting the design criteria in 10 CFR 53.400 to 10 CFR 53.430 and the safety criteria in 10 CFR 53.210 to 10 CFR 53.270, respectively (</w:t>
      </w:r>
      <w:r w:rsidR="009D6BB9">
        <w:rPr>
          <w:rFonts w:ascii="Arial" w:eastAsia="Times New Roman" w:hAnsi="Arial" w:cs="Arial"/>
          <w:sz w:val="22"/>
          <w:szCs w:val="22"/>
        </w:rPr>
        <w:t>NEI2</w:t>
      </w:r>
      <w:r w:rsidRPr="00B50320">
        <w:rPr>
          <w:rFonts w:ascii="Arial" w:eastAsia="Times New Roman" w:hAnsi="Arial" w:cs="Arial"/>
          <w:sz w:val="22"/>
          <w:szCs w:val="22"/>
        </w:rPr>
        <w:t>-0047).</w:t>
      </w:r>
    </w:p>
    <w:p w:rsidR="007F112A" w:rsidRPr="00B50320" w:rsidP="00B50320" w14:paraId="5305BE28" w14:textId="77777777">
      <w:pPr>
        <w:spacing w:after="220"/>
        <w:rPr>
          <w:rFonts w:ascii="Arial" w:hAnsi="Arial" w:cs="Arial"/>
          <w:sz w:val="22"/>
          <w:szCs w:val="22"/>
        </w:rPr>
      </w:pPr>
      <w:r w:rsidRPr="00B50320">
        <w:rPr>
          <w:rFonts w:ascii="Arial" w:hAnsi="Arial" w:cs="Arial"/>
          <w:sz w:val="22"/>
          <w:szCs w:val="22"/>
        </w:rPr>
        <w:t xml:space="preserve">A commenter wrote that the NRC’s goals for the rulemaking can be accomplished by creating a high-level performance-based regulatory framework which would enable advanced reactor license applicants to justify their own safety case to satisfy a set of common, standard safety limits, and new regulatory guidance that would provide predictability for applicants and create multiple pathways to license their reactor technology. Specifically, applicants would submit a safety case that demonstrates compliance with performance-based regulatory requirements for normal and off-normal operation to protect workers, the public, and the environment, and would </w:t>
      </w:r>
      <w:r w:rsidRPr="00B50320">
        <w:rPr>
          <w:rFonts w:ascii="Arial" w:hAnsi="Arial" w:cs="Arial"/>
          <w:sz w:val="22"/>
          <w:szCs w:val="22"/>
        </w:rPr>
        <w:t>also propose and demonstrate compliance with an overall risk or safety metric. The commenter provided an overview of their previous comments on the rulemaking (</w:t>
      </w:r>
      <w:r w:rsidR="000341A7">
        <w:rPr>
          <w:rFonts w:ascii="Arial" w:hAnsi="Arial" w:cs="Arial"/>
          <w:sz w:val="22"/>
          <w:szCs w:val="22"/>
        </w:rPr>
        <w:t>NIA2</w:t>
      </w:r>
      <w:r w:rsidRPr="00B50320">
        <w:rPr>
          <w:rFonts w:ascii="Arial" w:hAnsi="Arial" w:cs="Arial"/>
          <w:sz w:val="22"/>
          <w:szCs w:val="22"/>
        </w:rPr>
        <w:t>-0007).</w:t>
      </w:r>
    </w:p>
    <w:p w:rsidR="007F112A" w:rsidRPr="006576A5" w:rsidP="00B50320" w14:paraId="1E5CED49" w14:textId="77777777">
      <w:pPr>
        <w:spacing w:after="220"/>
        <w:rPr>
          <w:rFonts w:ascii="Arial" w:hAnsi="Arial" w:cs="Arial"/>
          <w:sz w:val="22"/>
          <w:szCs w:val="22"/>
        </w:rPr>
      </w:pPr>
      <w:r w:rsidRPr="00B50320">
        <w:rPr>
          <w:rFonts w:ascii="Arial" w:eastAsia="Times New Roman" w:hAnsi="Arial" w:cs="Arial"/>
          <w:sz w:val="22"/>
          <w:szCs w:val="22"/>
        </w:rPr>
        <w:t xml:space="preserve">A commenter </w:t>
      </w:r>
      <w:r w:rsidR="005117F5">
        <w:rPr>
          <w:rFonts w:ascii="Arial" w:eastAsia="Times New Roman" w:hAnsi="Arial" w:cs="Arial"/>
          <w:sz w:val="22"/>
          <w:szCs w:val="22"/>
        </w:rPr>
        <w:t>expressed agreement</w:t>
      </w:r>
      <w:r w:rsidRPr="00B50320">
        <w:rPr>
          <w:rFonts w:ascii="Arial" w:eastAsia="Times New Roman" w:hAnsi="Arial" w:cs="Arial"/>
          <w:sz w:val="22"/>
          <w:szCs w:val="22"/>
        </w:rPr>
        <w:t xml:space="preserve"> with another commenter that urged the NRC to relocate portions of the rule text to guidance to reduce the high level of prescription and excessive volume of the rule and said such changes would apply systems-engineering best practices. The commenter noted this could include the consideration of LBEs, which are not a consideration during the construction and decommissioning phases, but their inclusion in these phases would present a codification of unnecessary requirements (</w:t>
      </w:r>
      <w:r w:rsidR="00611CA0">
        <w:rPr>
          <w:rFonts w:ascii="Arial" w:hAnsi="Arial" w:cs="Arial"/>
          <w:sz w:val="22"/>
          <w:szCs w:val="22"/>
        </w:rPr>
        <w:t>RAD</w:t>
      </w:r>
      <w:r w:rsidRPr="00B50320">
        <w:rPr>
          <w:rFonts w:ascii="Arial" w:hAnsi="Arial" w:cs="Arial"/>
          <w:sz w:val="22"/>
          <w:szCs w:val="22"/>
        </w:rPr>
        <w:t>-0013).</w:t>
      </w:r>
    </w:p>
    <w:p w:rsidR="007F112A" w:rsidRPr="00B50320" w:rsidP="00B50320" w14:paraId="6E07BA72"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disagrees with these comments.</w:t>
      </w:r>
    </w:p>
    <w:p w:rsidR="007F112A" w:rsidRPr="00B50320" w:rsidP="00B50320" w14:paraId="398898B5" w14:textId="77777777">
      <w:pPr>
        <w:spacing w:after="220"/>
        <w:rPr>
          <w:rFonts w:ascii="Arial" w:hAnsi="Arial" w:cs="Arial"/>
          <w:sz w:val="22"/>
          <w:szCs w:val="22"/>
        </w:rPr>
      </w:pPr>
      <w:r w:rsidRPr="00B50320">
        <w:rPr>
          <w:rFonts w:ascii="Arial" w:hAnsi="Arial" w:cs="Arial"/>
          <w:sz w:val="22"/>
          <w:szCs w:val="22"/>
        </w:rPr>
        <w:t>Moving the 10 CFR 53.440 and 10 CFR 53.450 requirements to guidance would eliminate key aspects of the 10 CFR Part 53 regulatory framework that ensure the analyses will support establishing design features and functional design criteria that will meet the safety functions in 10 CFR 53.230 and high-level safety criteria in 10</w:t>
      </w:r>
      <w:r w:rsidRPr="00B50320" w:rsidR="00B270D8">
        <w:rPr>
          <w:rFonts w:ascii="Arial" w:hAnsi="Arial" w:cs="Arial"/>
          <w:sz w:val="22"/>
          <w:szCs w:val="22"/>
        </w:rPr>
        <w:t> </w:t>
      </w:r>
      <w:r w:rsidRPr="00B50320">
        <w:rPr>
          <w:rFonts w:ascii="Arial" w:hAnsi="Arial" w:cs="Arial"/>
          <w:sz w:val="22"/>
          <w:szCs w:val="22"/>
        </w:rPr>
        <w:t>CFR</w:t>
      </w:r>
      <w:r w:rsidRPr="00B50320" w:rsidR="00B270D8">
        <w:rPr>
          <w:rFonts w:ascii="Arial" w:hAnsi="Arial" w:cs="Arial"/>
          <w:sz w:val="22"/>
          <w:szCs w:val="22"/>
        </w:rPr>
        <w:t> </w:t>
      </w:r>
      <w:r w:rsidRPr="00B50320">
        <w:rPr>
          <w:rFonts w:ascii="Arial" w:hAnsi="Arial" w:cs="Arial"/>
          <w:sz w:val="22"/>
          <w:szCs w:val="22"/>
        </w:rPr>
        <w:t>53.220. In addition, 10 CFR 53.440 includes specific design requirements to address areas beyond those directly associated with the evaluation of LBEs (e.g.,</w:t>
      </w:r>
      <w:r w:rsidRPr="00B50320" w:rsidR="00B270D8">
        <w:rPr>
          <w:rFonts w:ascii="Arial" w:hAnsi="Arial" w:cs="Arial"/>
          <w:sz w:val="22"/>
          <w:szCs w:val="22"/>
        </w:rPr>
        <w:t> </w:t>
      </w:r>
      <w:r w:rsidRPr="00B50320">
        <w:rPr>
          <w:rFonts w:ascii="Arial" w:hAnsi="Arial" w:cs="Arial"/>
          <w:sz w:val="22"/>
          <w:szCs w:val="22"/>
        </w:rPr>
        <w:t>10</w:t>
      </w:r>
      <w:r w:rsidRPr="00B50320" w:rsidR="00B270D8">
        <w:rPr>
          <w:rFonts w:ascii="Arial" w:hAnsi="Arial" w:cs="Arial"/>
          <w:sz w:val="22"/>
          <w:szCs w:val="22"/>
        </w:rPr>
        <w:t> </w:t>
      </w:r>
      <w:r w:rsidRPr="00B50320">
        <w:rPr>
          <w:rFonts w:ascii="Arial" w:hAnsi="Arial" w:cs="Arial"/>
          <w:sz w:val="22"/>
          <w:szCs w:val="22"/>
        </w:rPr>
        <w:t>CFR 53.440(g) and (h)) or needed to capture key engineering principles (e.g.,</w:t>
      </w:r>
      <w:r w:rsidRPr="00B50320" w:rsidR="00B270D8">
        <w:rPr>
          <w:rFonts w:ascii="Arial" w:hAnsi="Arial" w:cs="Arial"/>
          <w:sz w:val="22"/>
          <w:szCs w:val="22"/>
        </w:rPr>
        <w:t> </w:t>
      </w:r>
      <w:r w:rsidRPr="00B50320">
        <w:rPr>
          <w:rFonts w:ascii="Arial" w:hAnsi="Arial" w:cs="Arial"/>
          <w:sz w:val="22"/>
          <w:szCs w:val="22"/>
        </w:rPr>
        <w:t>10 CFR 53.440(a) and (b)).</w:t>
      </w:r>
    </w:p>
    <w:p w:rsidR="007F112A" w:rsidRPr="00B50320" w:rsidP="00B50320" w14:paraId="485723CE" w14:textId="77777777">
      <w:pPr>
        <w:spacing w:after="220"/>
        <w:rPr>
          <w:rFonts w:ascii="Arial" w:hAnsi="Arial" w:cs="Arial"/>
          <w:sz w:val="22"/>
          <w:szCs w:val="22"/>
        </w:rPr>
      </w:pPr>
      <w:r w:rsidRPr="00B50320">
        <w:rPr>
          <w:rFonts w:ascii="Arial" w:eastAsia="Aptos" w:hAnsi="Arial" w:cs="Arial"/>
          <w:sz w:val="22"/>
          <w:szCs w:val="22"/>
        </w:rPr>
        <w:t xml:space="preserve">The 10 CFR Part 53 framework attempts to provide considerable flexibility in how applicants and licensees can meet a requirement while still providing clear, stable, and predictable regulations. </w:t>
      </w:r>
      <w:r w:rsidRPr="00B50320" w:rsidR="00512308">
        <w:rPr>
          <w:rFonts w:ascii="Arial" w:hAnsi="Arial" w:cs="Arial"/>
          <w:sz w:val="22"/>
          <w:szCs w:val="22"/>
        </w:rPr>
        <w:t xml:space="preserve">(See </w:t>
      </w:r>
      <w:r w:rsidRPr="00B50320" w:rsidR="0082240C">
        <w:rPr>
          <w:rFonts w:ascii="Arial" w:hAnsi="Arial" w:cs="Arial"/>
          <w:sz w:val="22"/>
          <w:szCs w:val="22"/>
        </w:rPr>
        <w:t xml:space="preserve">the </w:t>
      </w:r>
      <w:r w:rsidRPr="00B50320" w:rsidR="00512308">
        <w:rPr>
          <w:rFonts w:ascii="Arial" w:hAnsi="Arial" w:cs="Arial"/>
          <w:sz w:val="22"/>
          <w:szCs w:val="22"/>
        </w:rPr>
        <w:t>response to Comment Bin 3.2.4.A</w:t>
      </w:r>
      <w:r w:rsidRPr="00B50320" w:rsidR="00512308">
        <w:rPr>
          <w:rFonts w:ascii="Arial" w:eastAsia="Aptos" w:hAnsi="Arial" w:cs="Arial"/>
          <w:sz w:val="22"/>
          <w:szCs w:val="22"/>
        </w:rPr>
        <w:t xml:space="preserve"> regarding the hierarchy used within 10</w:t>
      </w:r>
      <w:r w:rsidR="00972C87">
        <w:rPr>
          <w:rFonts w:ascii="Arial" w:eastAsia="Aptos" w:hAnsi="Arial" w:cs="Arial"/>
          <w:sz w:val="22"/>
          <w:szCs w:val="22"/>
        </w:rPr>
        <w:t> </w:t>
      </w:r>
      <w:r w:rsidRPr="00B50320" w:rsidR="00512308">
        <w:rPr>
          <w:rFonts w:ascii="Arial" w:eastAsia="Aptos" w:hAnsi="Arial" w:cs="Arial"/>
          <w:sz w:val="22"/>
          <w:szCs w:val="22"/>
        </w:rPr>
        <w:t xml:space="preserve">CFR Part 53). </w:t>
      </w:r>
      <w:r w:rsidRPr="00B50320">
        <w:rPr>
          <w:rFonts w:ascii="Arial" w:eastAsia="Aptos" w:hAnsi="Arial" w:cs="Arial"/>
          <w:sz w:val="22"/>
          <w:szCs w:val="22"/>
        </w:rPr>
        <w:t xml:space="preserve">The comments appear to suggest the inclusion of vague requirements in the rule and reliance on guidance documents to define acceptable approaches, including suggestions to reframe 10 CFR Part 53 to a high-level performance-based regulatory framework which would enable advanced reactor license applicants to justify their own </w:t>
      </w:r>
      <w:r w:rsidR="009D2065">
        <w:rPr>
          <w:rFonts w:ascii="Arial" w:eastAsia="Aptos" w:hAnsi="Arial" w:cs="Arial"/>
          <w:sz w:val="22"/>
          <w:szCs w:val="22"/>
        </w:rPr>
        <w:t>frameworks for</w:t>
      </w:r>
      <w:r w:rsidRPr="00B50320">
        <w:rPr>
          <w:rFonts w:ascii="Arial" w:eastAsia="Aptos" w:hAnsi="Arial" w:cs="Arial"/>
          <w:sz w:val="22"/>
          <w:szCs w:val="22"/>
        </w:rPr>
        <w:t xml:space="preserve"> safety </w:t>
      </w:r>
      <w:r w:rsidR="00B5347C">
        <w:rPr>
          <w:rFonts w:ascii="Arial" w:eastAsia="Aptos" w:hAnsi="Arial" w:cs="Arial"/>
          <w:sz w:val="22"/>
          <w:szCs w:val="22"/>
        </w:rPr>
        <w:t>analyse</w:t>
      </w:r>
      <w:r w:rsidRPr="00B50320" w:rsidR="00B5347C">
        <w:rPr>
          <w:rFonts w:ascii="Arial" w:eastAsia="Aptos" w:hAnsi="Arial" w:cs="Arial"/>
          <w:sz w:val="22"/>
          <w:szCs w:val="22"/>
        </w:rPr>
        <w:t xml:space="preserve">s </w:t>
      </w:r>
      <w:r w:rsidRPr="00B50320">
        <w:rPr>
          <w:rFonts w:ascii="Arial" w:eastAsia="Aptos" w:hAnsi="Arial" w:cs="Arial"/>
          <w:sz w:val="22"/>
          <w:szCs w:val="22"/>
        </w:rPr>
        <w:t xml:space="preserve">and a suggestion to remove the consideration of LBEs during the construction and decommissioning phases. The NRC believes such a regulatory framework relying on </w:t>
      </w:r>
      <w:r w:rsidR="00660E35">
        <w:rPr>
          <w:rFonts w:ascii="Arial" w:eastAsia="Aptos" w:hAnsi="Arial" w:cs="Arial"/>
          <w:sz w:val="22"/>
          <w:szCs w:val="22"/>
        </w:rPr>
        <w:br/>
      </w:r>
      <w:r w:rsidRPr="00B50320">
        <w:rPr>
          <w:rFonts w:ascii="Arial" w:eastAsia="Aptos" w:hAnsi="Arial" w:cs="Arial"/>
          <w:sz w:val="22"/>
          <w:szCs w:val="22"/>
        </w:rPr>
        <w:t>case-by-case reviews would not provide clear, stable or predictable outcomes for applicants.</w:t>
      </w:r>
    </w:p>
    <w:p w:rsidR="007F112A" w:rsidP="00B50320" w14:paraId="52057DB0"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these comments.</w:t>
      </w:r>
    </w:p>
    <w:p w:rsidR="007F112A" w:rsidRPr="00B50320" w:rsidP="00B50320" w14:paraId="37B39956" w14:textId="77777777">
      <w:pPr>
        <w:spacing w:after="220"/>
        <w:rPr>
          <w:rFonts w:ascii="Arial" w:hAnsi="Arial" w:cs="Arial"/>
          <w:b/>
          <w:sz w:val="22"/>
          <w:szCs w:val="22"/>
        </w:rPr>
      </w:pPr>
      <w:r>
        <w:rPr>
          <w:rFonts w:ascii="Arial" w:eastAsia="Times New Roman" w:hAnsi="Arial" w:cs="Arial"/>
          <w:sz w:val="22"/>
          <w:szCs w:val="22"/>
          <w:lang w:eastAsia="zh-CN"/>
        </w:rPr>
        <w:pict>
          <v:rect id="_x0000_i1307" style="width:0;height:1.5pt" o:hralign="center" o:hrstd="t" o:hrnoshade="t" o:hr="t" fillcolor="black" stroked="f"/>
        </w:pict>
      </w:r>
    </w:p>
    <w:p w:rsidR="007F112A" w:rsidRPr="00B50320" w:rsidP="00B50320" w14:paraId="000E4E44" w14:textId="77777777">
      <w:pPr>
        <w:tabs>
          <w:tab w:val="left" w:pos="3950"/>
        </w:tabs>
        <w:spacing w:after="220"/>
        <w:rPr>
          <w:rFonts w:ascii="Arial" w:hAnsi="Arial" w:cs="Arial"/>
          <w:sz w:val="22"/>
          <w:szCs w:val="22"/>
        </w:rPr>
      </w:pPr>
      <w:r w:rsidRPr="00B50320">
        <w:rPr>
          <w:rFonts w:ascii="Arial" w:hAnsi="Arial" w:cs="Arial"/>
          <w:b/>
          <w:sz w:val="22"/>
          <w:szCs w:val="22"/>
        </w:rPr>
        <w:t>Comment Bin 3.12.B:</w:t>
      </w:r>
      <w:r w:rsidRPr="00B50320">
        <w:rPr>
          <w:rFonts w:ascii="Arial" w:hAnsi="Arial" w:cs="Arial"/>
          <w:sz w:val="22"/>
          <w:szCs w:val="22"/>
        </w:rPr>
        <w:t xml:space="preserve"> </w:t>
      </w:r>
      <w:r w:rsidRPr="00B50320">
        <w:rPr>
          <w:rFonts w:ascii="Arial" w:eastAsia="Times New Roman" w:hAnsi="Arial" w:cs="Arial"/>
          <w:sz w:val="22"/>
          <w:szCs w:val="22"/>
        </w:rPr>
        <w:t>A commenter emphasized the importance of the NRC adapting a regulatory framework that is risk-informed, performance-based, and technology-inclusive and promotes clarity, consistency, flexibility, and efficiency, noting this would ensure the rule supports innovation while maintaining safety. The commenter specifically recommended that the NRC clarify terminology, ensure consistent application of standards, allow for flexible risk evaluation methods which align with the goals of NEIMA and the ADVANCE Act, and streamline the rule language by removing redundant sections (</w:t>
      </w:r>
      <w:r w:rsidR="004C1A5D">
        <w:rPr>
          <w:rFonts w:ascii="Arial" w:hAnsi="Arial" w:cs="Arial"/>
          <w:sz w:val="22"/>
          <w:szCs w:val="22"/>
        </w:rPr>
        <w:t>BI1</w:t>
      </w:r>
      <w:r w:rsidRPr="00B50320">
        <w:rPr>
          <w:rFonts w:ascii="Arial" w:hAnsi="Arial" w:cs="Arial"/>
          <w:sz w:val="22"/>
          <w:szCs w:val="22"/>
        </w:rPr>
        <w:t>-0013).</w:t>
      </w:r>
    </w:p>
    <w:p w:rsidR="004F39C3" w:rsidRPr="00B50320" w:rsidP="00B50320" w14:paraId="3FDD27E6" w14:textId="77777777">
      <w:pPr>
        <w:spacing w:after="220"/>
        <w:rPr>
          <w:rFonts w:ascii="Arial" w:hAnsi="Arial" w:cs="Arial"/>
          <w:sz w:val="22"/>
          <w:szCs w:val="22"/>
        </w:rPr>
      </w:pPr>
      <w:r w:rsidRPr="00B50320">
        <w:rPr>
          <w:rFonts w:ascii="Arial" w:hAnsi="Arial" w:cs="Arial"/>
          <w:sz w:val="22"/>
          <w:szCs w:val="22"/>
        </w:rPr>
        <w:t>Additionally, a commenter stated that the characterization of the proposed rule as performance-based is not in line with the NRC’s standard use of the term “performance” regarding nuclear facilities, citing Appendix D</w:t>
      </w:r>
      <w:r w:rsidR="001B6ADC">
        <w:rPr>
          <w:rFonts w:ascii="Arial" w:hAnsi="Arial" w:cs="Arial"/>
          <w:sz w:val="22"/>
          <w:szCs w:val="22"/>
        </w:rPr>
        <w:t xml:space="preserve"> to NUREG-2150, “</w:t>
      </w:r>
      <w:r w:rsidRPr="00892EBB" w:rsidR="00892EBB">
        <w:rPr>
          <w:rFonts w:ascii="Arial" w:hAnsi="Arial" w:cs="Arial"/>
          <w:sz w:val="22"/>
          <w:szCs w:val="22"/>
        </w:rPr>
        <w:t>A Proposed Risk Management Regulatory Framework</w:t>
      </w:r>
      <w:r w:rsidR="001B6ADC">
        <w:rPr>
          <w:rFonts w:ascii="Arial" w:hAnsi="Arial" w:cs="Arial"/>
          <w:sz w:val="22"/>
          <w:szCs w:val="22"/>
        </w:rPr>
        <w:t>,” issued April 2012 (</w:t>
      </w:r>
      <w:r w:rsidRPr="001B6ADC" w:rsidR="001B6ADC">
        <w:rPr>
          <w:rFonts w:ascii="Arial" w:hAnsi="Arial" w:cs="Arial"/>
          <w:sz w:val="22"/>
          <w:szCs w:val="22"/>
        </w:rPr>
        <w:t>ML12109A277</w:t>
      </w:r>
      <w:r w:rsidR="001B6ADC">
        <w:rPr>
          <w:rFonts w:ascii="Arial" w:hAnsi="Arial" w:cs="Arial"/>
          <w:sz w:val="22"/>
          <w:szCs w:val="22"/>
        </w:rPr>
        <w:t>)</w:t>
      </w:r>
      <w:r w:rsidRPr="00B50320">
        <w:rPr>
          <w:rFonts w:ascii="Arial" w:hAnsi="Arial" w:cs="Arial"/>
          <w:sz w:val="22"/>
          <w:szCs w:val="22"/>
        </w:rPr>
        <w:t>, which outlines the NRC's risk-informed and performance-based defense-in-depth regulatory approach (</w:t>
      </w:r>
      <w:r w:rsidR="00E36F7E">
        <w:rPr>
          <w:rFonts w:ascii="Arial" w:hAnsi="Arial" w:cs="Arial"/>
          <w:sz w:val="22"/>
          <w:szCs w:val="22"/>
        </w:rPr>
        <w:t>NYS2</w:t>
      </w:r>
      <w:r w:rsidRPr="00B50320">
        <w:rPr>
          <w:rFonts w:ascii="Arial" w:hAnsi="Arial" w:cs="Arial"/>
          <w:sz w:val="22"/>
          <w:szCs w:val="22"/>
        </w:rPr>
        <w:t>-0005).</w:t>
      </w:r>
    </w:p>
    <w:p w:rsidR="007F112A" w:rsidRPr="00B50320" w:rsidP="00B50320" w14:paraId="225067F1" w14:textId="77777777">
      <w:pPr>
        <w:spacing w:after="220"/>
        <w:rPr>
          <w:rFonts w:ascii="Arial" w:hAnsi="Arial" w:cs="Arial"/>
          <w:sz w:val="22"/>
          <w:szCs w:val="22"/>
        </w:rPr>
      </w:pPr>
      <w:r w:rsidRPr="00B50320">
        <w:rPr>
          <w:rFonts w:ascii="Arial" w:hAnsi="Arial" w:cs="Arial"/>
          <w:sz w:val="22"/>
          <w:szCs w:val="22"/>
        </w:rPr>
        <w:t xml:space="preserve">Another commenter stated that the rule is too complicated, overly prescriptive, not in alignment with congressional direction and recent legislation, and difficult to follow </w:t>
      </w:r>
      <w:r w:rsidRPr="00E4312C">
        <w:rPr>
          <w:rFonts w:ascii="Arial" w:hAnsi="Arial" w:cs="Arial"/>
          <w:sz w:val="22"/>
          <w:szCs w:val="22"/>
        </w:rPr>
        <w:t>(</w:t>
      </w:r>
      <w:r w:rsidRPr="00E4312C" w:rsidR="00E4312C">
        <w:rPr>
          <w:rFonts w:ascii="Arial" w:eastAsia="Times New Roman" w:hAnsi="Arial" w:cs="Arial"/>
          <w:color w:val="000000"/>
          <w:sz w:val="22"/>
          <w:szCs w:val="22"/>
        </w:rPr>
        <w:t>HPT3</w:t>
      </w:r>
      <w:r w:rsidRPr="00E4312C">
        <w:rPr>
          <w:rFonts w:ascii="Arial" w:hAnsi="Arial" w:cs="Arial"/>
          <w:sz w:val="22"/>
          <w:szCs w:val="22"/>
        </w:rPr>
        <w:t>-00</w:t>
      </w:r>
      <w:r w:rsidRPr="00B50320">
        <w:rPr>
          <w:rFonts w:ascii="Arial" w:hAnsi="Arial" w:cs="Arial"/>
          <w:sz w:val="22"/>
          <w:szCs w:val="22"/>
        </w:rPr>
        <w:t xml:space="preserve">03, </w:t>
      </w:r>
      <w:r w:rsidR="00D64999">
        <w:rPr>
          <w:rFonts w:ascii="Arial" w:hAnsi="Arial" w:cs="Arial"/>
          <w:sz w:val="22"/>
          <w:szCs w:val="22"/>
        </w:rPr>
        <w:t>HPT19</w:t>
      </w:r>
      <w:r w:rsidRPr="00B50320">
        <w:rPr>
          <w:rFonts w:ascii="Arial" w:hAnsi="Arial" w:cs="Arial"/>
          <w:sz w:val="22"/>
          <w:szCs w:val="22"/>
        </w:rPr>
        <w:t>-</w:t>
      </w:r>
      <w:r w:rsidRPr="00B50320">
        <w:rPr>
          <w:rFonts w:ascii="Arial" w:hAnsi="Arial" w:cs="Arial"/>
          <w:sz w:val="22"/>
          <w:szCs w:val="22"/>
        </w:rPr>
        <w:t>0001). The commenter further stated that the proposed rule introduces many new regulatory elements and involves unwarranted regulatory scope creep (</w:t>
      </w:r>
      <w:r w:rsidR="00D64999">
        <w:rPr>
          <w:rFonts w:ascii="Arial" w:hAnsi="Arial" w:cs="Arial"/>
          <w:sz w:val="22"/>
          <w:szCs w:val="22"/>
        </w:rPr>
        <w:t>HPT19</w:t>
      </w:r>
      <w:r w:rsidRPr="00B50320">
        <w:rPr>
          <w:rFonts w:ascii="Arial" w:hAnsi="Arial" w:cs="Arial"/>
          <w:sz w:val="22"/>
          <w:szCs w:val="22"/>
        </w:rPr>
        <w:t>-0001).</w:t>
      </w:r>
    </w:p>
    <w:p w:rsidR="00FA7307" w:rsidP="00B50320" w14:paraId="01B0514F"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7F112A" w:rsidRPr="00B50320" w:rsidP="00B50320" w14:paraId="642C057C" w14:textId="77777777">
      <w:pPr>
        <w:spacing w:after="220"/>
        <w:rPr>
          <w:rFonts w:ascii="Arial" w:hAnsi="Arial" w:cs="Arial"/>
          <w:sz w:val="22"/>
          <w:szCs w:val="22"/>
        </w:rPr>
      </w:pPr>
      <w:r w:rsidRPr="00B50320">
        <w:rPr>
          <w:rFonts w:ascii="Arial" w:hAnsi="Arial" w:cs="Arial"/>
          <w:sz w:val="22"/>
          <w:szCs w:val="22"/>
        </w:rPr>
        <w:t>The comments include discussion of general topics and regulatory philosophy that are addressed within the proposed and final rules in terms of attempts to balance flexibility and predictability.</w:t>
      </w:r>
      <w:r w:rsidR="006946F4">
        <w:rPr>
          <w:rFonts w:ascii="Arial" w:hAnsi="Arial" w:cs="Arial"/>
          <w:sz w:val="22"/>
          <w:szCs w:val="22"/>
        </w:rPr>
        <w:t xml:space="preserve"> </w:t>
      </w:r>
      <w:r w:rsidRPr="00B50320">
        <w:rPr>
          <w:rFonts w:ascii="Arial" w:hAnsi="Arial" w:cs="Arial"/>
          <w:sz w:val="22"/>
          <w:szCs w:val="22"/>
        </w:rPr>
        <w:t>The NRC agrees, in part, with the comment that the NRC should allow for flexible risk evaluation methods which align with the goals of NEIMA and the ADVANCE Act. See the response to comments on the rule language for 10 CFR 53.450 in Section 3.3.2</w:t>
      </w:r>
      <w:r w:rsidRPr="00B50320" w:rsidR="004A5BDF">
        <w:rPr>
          <w:rFonts w:ascii="Arial" w:hAnsi="Arial" w:cs="Arial"/>
          <w:sz w:val="22"/>
          <w:szCs w:val="22"/>
        </w:rPr>
        <w:t>.2</w:t>
      </w:r>
      <w:r w:rsidRPr="00B50320">
        <w:rPr>
          <w:rFonts w:ascii="Arial" w:hAnsi="Arial" w:cs="Arial"/>
          <w:sz w:val="22"/>
          <w:szCs w:val="22"/>
        </w:rPr>
        <w:t xml:space="preserve"> of this document.</w:t>
      </w:r>
    </w:p>
    <w:p w:rsidR="007F112A" w:rsidRPr="00B50320" w:rsidP="00B50320" w14:paraId="07DB5253" w14:textId="77777777">
      <w:pPr>
        <w:spacing w:after="220"/>
        <w:rPr>
          <w:rFonts w:ascii="Arial" w:hAnsi="Arial" w:cs="Arial"/>
          <w:sz w:val="22"/>
          <w:szCs w:val="22"/>
        </w:rPr>
      </w:pPr>
      <w:r w:rsidRPr="00B50320">
        <w:rPr>
          <w:rFonts w:ascii="Arial" w:hAnsi="Arial" w:cs="Arial"/>
          <w:sz w:val="22"/>
          <w:szCs w:val="22"/>
        </w:rPr>
        <w:t xml:space="preserve">The NRC disagrees </w:t>
      </w:r>
      <w:r w:rsidRPr="00B50320" w:rsidR="00684160">
        <w:rPr>
          <w:rFonts w:ascii="Arial" w:hAnsi="Arial" w:cs="Arial"/>
          <w:sz w:val="22"/>
          <w:szCs w:val="22"/>
        </w:rPr>
        <w:t xml:space="preserve">that </w:t>
      </w:r>
      <w:r w:rsidRPr="00B50320">
        <w:rPr>
          <w:rFonts w:ascii="Arial" w:hAnsi="Arial" w:cs="Arial"/>
          <w:sz w:val="22"/>
          <w:szCs w:val="22"/>
        </w:rPr>
        <w:t xml:space="preserve">the characterization of the proposed rule as performance-based is not in line with the NRC’s standard use of that term, </w:t>
      </w:r>
      <w:r w:rsidRPr="00B50320" w:rsidR="00995EC5">
        <w:rPr>
          <w:rFonts w:ascii="Arial" w:hAnsi="Arial" w:cs="Arial"/>
          <w:sz w:val="22"/>
          <w:szCs w:val="22"/>
        </w:rPr>
        <w:t>and</w:t>
      </w:r>
      <w:r w:rsidRPr="00B50320">
        <w:rPr>
          <w:rFonts w:ascii="Arial" w:hAnsi="Arial" w:cs="Arial"/>
          <w:sz w:val="22"/>
          <w:szCs w:val="22"/>
        </w:rPr>
        <w:t xml:space="preserve"> </w:t>
      </w:r>
      <w:r w:rsidRPr="00B50320" w:rsidR="00155E28">
        <w:rPr>
          <w:rFonts w:ascii="Arial" w:hAnsi="Arial" w:cs="Arial"/>
          <w:sz w:val="22"/>
          <w:szCs w:val="22"/>
        </w:rPr>
        <w:t xml:space="preserve">the NRC disagrees </w:t>
      </w:r>
      <w:r w:rsidRPr="00B50320">
        <w:rPr>
          <w:rFonts w:ascii="Arial" w:hAnsi="Arial" w:cs="Arial"/>
          <w:sz w:val="22"/>
          <w:szCs w:val="22"/>
        </w:rPr>
        <w:t xml:space="preserve">that the rule is too complicated, overly prescriptive, and not in alignment with congressional direction. The NRC </w:t>
      </w:r>
      <w:hyperlink r:id="rId17" w:history="1">
        <w:r w:rsidRPr="00B50320">
          <w:rPr>
            <w:rStyle w:val="Hyperlink"/>
            <w:rFonts w:ascii="Arial" w:hAnsi="Arial" w:cs="Arial"/>
            <w:sz w:val="22"/>
            <w:szCs w:val="22"/>
          </w:rPr>
          <w:t>Glossary</w:t>
        </w:r>
      </w:hyperlink>
      <w:r w:rsidRPr="00B50320">
        <w:rPr>
          <w:rFonts w:ascii="Arial" w:hAnsi="Arial" w:cs="Arial"/>
          <w:sz w:val="22"/>
          <w:szCs w:val="22"/>
        </w:rPr>
        <w:t xml:space="preserve"> defines performance-based regulation as “[a] regulatory approach that focuses on desired, measurable outcomes, rather than prescriptive processes, techniques, or procedures. Performance-based regulation leads to defined results without specific direction regarding how those results are to be obtained.” This is consistent with the construct of 10 CFR Part 53, where the measurable outcomes are defined in Subpart B without prescriptive direction on how the commercial nuclear plant must be designed to achieve those outcomes. In addition, 10</w:t>
      </w:r>
      <w:r w:rsidRPr="00B50320" w:rsidR="00D374F1">
        <w:rPr>
          <w:rFonts w:ascii="Arial" w:hAnsi="Arial" w:cs="Arial"/>
          <w:sz w:val="22"/>
          <w:szCs w:val="22"/>
        </w:rPr>
        <w:t> </w:t>
      </w:r>
      <w:r w:rsidRPr="00B50320">
        <w:rPr>
          <w:rFonts w:ascii="Arial" w:hAnsi="Arial" w:cs="Arial"/>
          <w:sz w:val="22"/>
          <w:szCs w:val="22"/>
        </w:rPr>
        <w:t>CFR</w:t>
      </w:r>
      <w:r w:rsidR="009D6D7D">
        <w:rPr>
          <w:rFonts w:ascii="Arial" w:hAnsi="Arial" w:cs="Arial"/>
          <w:sz w:val="22"/>
          <w:szCs w:val="22"/>
        </w:rPr>
        <w:t> </w:t>
      </w:r>
      <w:r w:rsidRPr="00B50320">
        <w:rPr>
          <w:rFonts w:ascii="Arial" w:hAnsi="Arial" w:cs="Arial"/>
          <w:sz w:val="22"/>
          <w:szCs w:val="22"/>
        </w:rPr>
        <w:t>Part 53 fulfills the congressional mandate in NEIMA to establish a technology-inclusive regulatory framework for optional use by commercial advanced nuclear reactor applicants for new reactor license applications.</w:t>
      </w:r>
    </w:p>
    <w:p w:rsidR="007F112A" w:rsidRPr="00B50320" w:rsidP="00B50320" w14:paraId="03F1F054"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these comments.</w:t>
      </w:r>
    </w:p>
    <w:p w:rsidR="007F112A" w:rsidRPr="00B50320" w:rsidP="00B50320" w14:paraId="739D8680" w14:textId="77777777">
      <w:pPr>
        <w:spacing w:after="220"/>
        <w:rPr>
          <w:rFonts w:ascii="Arial" w:eastAsia="Times New Roman" w:hAnsi="Arial" w:cs="Arial"/>
          <w:sz w:val="22"/>
          <w:szCs w:val="22"/>
          <w:lang w:eastAsia="zh-CN"/>
        </w:rPr>
      </w:pPr>
      <w:r>
        <w:rPr>
          <w:rFonts w:ascii="Arial" w:eastAsia="Times New Roman" w:hAnsi="Arial" w:cs="Arial"/>
          <w:sz w:val="22"/>
          <w:szCs w:val="22"/>
          <w:lang w:eastAsia="zh-CN"/>
        </w:rPr>
        <w:pict>
          <v:rect id="_x0000_i1308" style="width:0;height:1.5pt" o:hralign="center" o:hrstd="t" o:hrnoshade="t" o:hr="t" fillcolor="black" stroked="f"/>
        </w:pict>
      </w:r>
    </w:p>
    <w:p w:rsidR="007F112A" w:rsidRPr="00B50320" w:rsidP="00B50320" w14:paraId="7D3DE158" w14:textId="77777777">
      <w:pPr>
        <w:tabs>
          <w:tab w:val="left" w:pos="3950"/>
        </w:tabs>
        <w:spacing w:after="220"/>
        <w:rPr>
          <w:rFonts w:ascii="Arial" w:hAnsi="Arial" w:cs="Arial"/>
          <w:sz w:val="22"/>
          <w:szCs w:val="22"/>
        </w:rPr>
      </w:pPr>
      <w:r w:rsidRPr="00B50320">
        <w:rPr>
          <w:rFonts w:ascii="Arial" w:hAnsi="Arial" w:cs="Arial"/>
          <w:b/>
          <w:sz w:val="22"/>
          <w:szCs w:val="22"/>
        </w:rPr>
        <w:t>Comment Bin 3.12.C:</w:t>
      </w:r>
      <w:r w:rsidRPr="00B50320">
        <w:rPr>
          <w:rFonts w:ascii="Arial" w:hAnsi="Arial" w:cs="Arial"/>
          <w:sz w:val="22"/>
          <w:szCs w:val="22"/>
        </w:rPr>
        <w:t xml:space="preserve"> </w:t>
      </w:r>
      <w:r w:rsidR="002B2469">
        <w:rPr>
          <w:rFonts w:ascii="Arial" w:eastAsia="Times New Roman" w:hAnsi="Arial" w:cs="Arial"/>
          <w:sz w:val="22"/>
          <w:szCs w:val="22"/>
        </w:rPr>
        <w:t>A</w:t>
      </w:r>
      <w:r w:rsidRPr="00B50320">
        <w:rPr>
          <w:rFonts w:ascii="Arial" w:eastAsia="Times New Roman" w:hAnsi="Arial" w:cs="Arial"/>
          <w:sz w:val="22"/>
          <w:szCs w:val="22"/>
        </w:rPr>
        <w:t xml:space="preserve"> commenter stated that NRC’s current efforts to modernize the regulatory framework for advanced reactors, in response to directives under NEIMA, the ADVANCE Act, and </w:t>
      </w:r>
      <w:r w:rsidR="002B2469">
        <w:rPr>
          <w:rFonts w:ascii="Arial" w:eastAsia="Times New Roman" w:hAnsi="Arial" w:cs="Arial"/>
          <w:sz w:val="22"/>
          <w:szCs w:val="22"/>
        </w:rPr>
        <w:t>EO</w:t>
      </w:r>
      <w:r w:rsidRPr="00B50320">
        <w:rPr>
          <w:rFonts w:ascii="Arial" w:eastAsia="Times New Roman" w:hAnsi="Arial" w:cs="Arial"/>
          <w:sz w:val="22"/>
          <w:szCs w:val="22"/>
        </w:rPr>
        <w:t>s, do not adequately ensure an efficient and effective framework for enabling the safety and secure use of nuclear energy technologies (</w:t>
      </w:r>
      <w:r w:rsidR="009D6BB9">
        <w:rPr>
          <w:rFonts w:ascii="Arial" w:eastAsia="Times New Roman" w:hAnsi="Arial" w:cs="Arial"/>
          <w:sz w:val="22"/>
          <w:szCs w:val="22"/>
        </w:rPr>
        <w:t>NEI2</w:t>
      </w:r>
      <w:r w:rsidRPr="00B50320">
        <w:rPr>
          <w:rFonts w:ascii="Arial" w:eastAsia="Times New Roman" w:hAnsi="Arial" w:cs="Arial"/>
          <w:sz w:val="22"/>
          <w:szCs w:val="22"/>
        </w:rPr>
        <w:t xml:space="preserve">-0001). The commenter recommended performing a systematic and </w:t>
      </w:r>
      <w:r w:rsidRPr="00B50320">
        <w:rPr>
          <w:rFonts w:ascii="Arial" w:hAnsi="Arial" w:cs="Arial"/>
          <w:sz w:val="22"/>
          <w:szCs w:val="22"/>
        </w:rPr>
        <w:t xml:space="preserve">aggressive search for </w:t>
      </w:r>
      <w:r w:rsidRPr="00B50320">
        <w:rPr>
          <w:rFonts w:ascii="Arial" w:eastAsia="Times New Roman" w:hAnsi="Arial" w:cs="Arial"/>
          <w:sz w:val="22"/>
          <w:szCs w:val="22"/>
        </w:rPr>
        <w:t>additional</w:t>
      </w:r>
      <w:r w:rsidRPr="00B50320">
        <w:rPr>
          <w:rFonts w:ascii="Arial" w:hAnsi="Arial" w:cs="Arial"/>
          <w:sz w:val="22"/>
          <w:szCs w:val="22"/>
        </w:rPr>
        <w:t xml:space="preserve"> changes in requirements, policy</w:t>
      </w:r>
      <w:r w:rsidRPr="00B50320">
        <w:rPr>
          <w:rFonts w:ascii="Arial" w:eastAsia="Times New Roman" w:hAnsi="Arial" w:cs="Arial"/>
          <w:sz w:val="22"/>
          <w:szCs w:val="22"/>
        </w:rPr>
        <w:t>,</w:t>
      </w:r>
      <w:r w:rsidRPr="00B50320">
        <w:rPr>
          <w:rFonts w:ascii="Arial" w:hAnsi="Arial" w:cs="Arial"/>
          <w:sz w:val="22"/>
          <w:szCs w:val="22"/>
        </w:rPr>
        <w:t xml:space="preserve"> and guidance to reduce unnecessary regulatory burden consistent with the intent and direction of the ADVANCE Act</w:t>
      </w:r>
      <w:r w:rsidRPr="00B50320">
        <w:rPr>
          <w:rFonts w:ascii="Arial" w:eastAsia="Times New Roman" w:hAnsi="Arial" w:cs="Arial"/>
          <w:sz w:val="22"/>
          <w:szCs w:val="22"/>
        </w:rPr>
        <w:t xml:space="preserve"> (</w:t>
      </w:r>
      <w:r w:rsidR="009D6BB9">
        <w:rPr>
          <w:rFonts w:ascii="Arial" w:hAnsi="Arial" w:cs="Arial"/>
          <w:sz w:val="22"/>
          <w:szCs w:val="22"/>
        </w:rPr>
        <w:t>NEI2</w:t>
      </w:r>
      <w:r w:rsidRPr="00B50320">
        <w:rPr>
          <w:rFonts w:ascii="Arial" w:hAnsi="Arial" w:cs="Arial"/>
          <w:sz w:val="22"/>
          <w:szCs w:val="22"/>
        </w:rPr>
        <w:t xml:space="preserve">-0259, </w:t>
      </w:r>
      <w:r w:rsidR="009D6BB9">
        <w:rPr>
          <w:rFonts w:ascii="Arial" w:hAnsi="Arial" w:cs="Arial"/>
          <w:sz w:val="22"/>
          <w:szCs w:val="22"/>
        </w:rPr>
        <w:t>NEI2</w:t>
      </w:r>
      <w:r w:rsidRPr="00B50320">
        <w:rPr>
          <w:rFonts w:ascii="Arial" w:hAnsi="Arial" w:cs="Arial"/>
          <w:sz w:val="22"/>
          <w:szCs w:val="22"/>
        </w:rPr>
        <w:noBreakHyphen/>
        <w:t>0001).</w:t>
      </w:r>
    </w:p>
    <w:p w:rsidR="007F112A" w:rsidRPr="00B50320" w:rsidP="00B50320" w14:paraId="49FAEF1E"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The commenter expressed appreciation for the evolution of proposed 10 CFR Part</w:t>
      </w:r>
      <w:r w:rsidRPr="00B50320">
        <w:rPr>
          <w:rFonts w:ascii="Arial" w:hAnsi="Arial" w:cs="Arial"/>
          <w:sz w:val="22"/>
          <w:szCs w:val="22"/>
        </w:rPr>
        <w:t> </w:t>
      </w:r>
      <w:r w:rsidRPr="00B50320">
        <w:rPr>
          <w:rFonts w:ascii="Arial" w:eastAsia="Times New Roman" w:hAnsi="Arial" w:cs="Arial"/>
          <w:sz w:val="22"/>
          <w:szCs w:val="22"/>
        </w:rPr>
        <w:t>53 over the course of the rulemaking, including response to Commission directive in SRM</w:t>
      </w:r>
      <w:r w:rsidRPr="00B50320" w:rsidR="00BF5183">
        <w:rPr>
          <w:rFonts w:ascii="Arial" w:eastAsia="Times New Roman" w:hAnsi="Arial" w:cs="Arial"/>
          <w:sz w:val="22"/>
          <w:szCs w:val="22"/>
        </w:rPr>
        <w:noBreakHyphen/>
      </w:r>
      <w:r w:rsidRPr="00B50320">
        <w:rPr>
          <w:rFonts w:ascii="Arial" w:eastAsia="Times New Roman" w:hAnsi="Arial" w:cs="Arial"/>
          <w:sz w:val="22"/>
          <w:szCs w:val="22"/>
        </w:rPr>
        <w:t>SECY-23-0021. However, the commenter stated that unresolved issues may prevent the widespread adoption of 10 CFR Part 53</w:t>
      </w:r>
      <w:r w:rsidRPr="00B50320" w:rsidR="00BF5183">
        <w:rPr>
          <w:rFonts w:ascii="Arial" w:eastAsia="Times New Roman" w:hAnsi="Arial" w:cs="Arial"/>
          <w:sz w:val="22"/>
          <w:szCs w:val="22"/>
        </w:rPr>
        <w:t>,</w:t>
      </w:r>
      <w:r w:rsidRPr="00B50320">
        <w:rPr>
          <w:rFonts w:ascii="Arial" w:eastAsia="Times New Roman" w:hAnsi="Arial" w:cs="Arial"/>
          <w:sz w:val="22"/>
          <w:szCs w:val="22"/>
        </w:rPr>
        <w:t xml:space="preserve"> if left unaddressed, but added that an efficient and technology-inclusive </w:t>
      </w:r>
      <w:r w:rsidR="00660E35">
        <w:rPr>
          <w:rFonts w:ascii="Arial" w:eastAsia="Times New Roman" w:hAnsi="Arial" w:cs="Arial"/>
          <w:sz w:val="22"/>
          <w:szCs w:val="22"/>
        </w:rPr>
        <w:br/>
      </w:r>
      <w:r w:rsidRPr="00B50320">
        <w:rPr>
          <w:rFonts w:ascii="Arial" w:eastAsia="Times New Roman" w:hAnsi="Arial" w:cs="Arial"/>
          <w:sz w:val="22"/>
          <w:szCs w:val="22"/>
        </w:rPr>
        <w:t>10 CFR Part 53 rule should become the preferred licensing pathway for all new reactors and meet legislative and executive goals (</w:t>
      </w:r>
      <w:r w:rsidR="009D6BB9">
        <w:rPr>
          <w:rFonts w:ascii="Arial" w:eastAsia="Times New Roman" w:hAnsi="Arial" w:cs="Arial"/>
          <w:sz w:val="22"/>
          <w:szCs w:val="22"/>
        </w:rPr>
        <w:t>NEI2</w:t>
      </w:r>
      <w:r w:rsidRPr="00B50320">
        <w:rPr>
          <w:rFonts w:ascii="Arial" w:eastAsia="Times New Roman" w:hAnsi="Arial" w:cs="Arial"/>
          <w:sz w:val="22"/>
          <w:szCs w:val="22"/>
        </w:rPr>
        <w:t>-0002).</w:t>
      </w:r>
    </w:p>
    <w:p w:rsidR="007F112A" w:rsidRPr="00B50320" w:rsidP="00B50320" w14:paraId="3AB43F5F"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The commenter added that protecting public health and safety without imposing undue burden is important for the nation and consistent with NRC’s mission (</w:t>
      </w:r>
      <w:r w:rsidR="009D6BB9">
        <w:rPr>
          <w:rFonts w:ascii="Arial" w:eastAsia="Times New Roman" w:hAnsi="Arial" w:cs="Arial"/>
          <w:sz w:val="22"/>
          <w:szCs w:val="22"/>
        </w:rPr>
        <w:t>NEI2</w:t>
      </w:r>
      <w:r w:rsidRPr="00B50320">
        <w:rPr>
          <w:rFonts w:ascii="Arial" w:eastAsia="Times New Roman" w:hAnsi="Arial" w:cs="Arial"/>
          <w:sz w:val="22"/>
          <w:szCs w:val="22"/>
        </w:rPr>
        <w:t>-0001).</w:t>
      </w:r>
    </w:p>
    <w:p w:rsidR="007F112A" w:rsidRPr="00B50320" w:rsidP="00B50320" w14:paraId="2FEFE173"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Another commenter wrote that the NRC staff should incorporate a new section in the rule that outlines efficient licensing in line with statutory requirements and the Commission’s decisions (</w:t>
      </w:r>
      <w:r w:rsidR="004C1A5D">
        <w:rPr>
          <w:rFonts w:ascii="Arial" w:hAnsi="Arial" w:cs="Arial"/>
          <w:sz w:val="22"/>
          <w:szCs w:val="22"/>
        </w:rPr>
        <w:t>BI1</w:t>
      </w:r>
      <w:r w:rsidRPr="00B50320">
        <w:rPr>
          <w:rFonts w:ascii="Arial" w:eastAsia="Times New Roman" w:hAnsi="Arial" w:cs="Arial"/>
          <w:sz w:val="22"/>
          <w:szCs w:val="22"/>
        </w:rPr>
        <w:t xml:space="preserve">-0034). </w:t>
      </w:r>
    </w:p>
    <w:p w:rsidR="00303C28" w:rsidRPr="00B50320" w:rsidP="00B50320" w14:paraId="20A8CCA0" w14:textId="77777777">
      <w:pPr>
        <w:spacing w:after="220"/>
        <w:rPr>
          <w:rFonts w:ascii="Arial" w:hAnsi="Arial" w:cs="Arial"/>
          <w:sz w:val="22"/>
          <w:szCs w:val="22"/>
        </w:rPr>
      </w:pPr>
      <w:r>
        <w:rPr>
          <w:rFonts w:ascii="Arial" w:hAnsi="Arial" w:cs="Arial"/>
          <w:sz w:val="22"/>
          <w:szCs w:val="22"/>
        </w:rPr>
        <w:t>A</w:t>
      </w:r>
      <w:r w:rsidRPr="00B50320" w:rsidR="007F112A">
        <w:rPr>
          <w:rFonts w:ascii="Arial" w:hAnsi="Arial" w:cs="Arial"/>
          <w:sz w:val="22"/>
          <w:szCs w:val="22"/>
        </w:rPr>
        <w:t xml:space="preserve"> commenter recommended that the NRC limit 10 CFR Part 53 applicability to modern reactors, instead of attempting to merge older and modern reactor approaches into a single regulation, specifically by adding the following language to 10 CFR 53.000</w:t>
      </w:r>
      <w:r w:rsidRPr="00B50320" w:rsidR="00AE6495">
        <w:rPr>
          <w:rFonts w:ascii="Arial" w:hAnsi="Arial" w:cs="Arial"/>
          <w:sz w:val="22"/>
          <w:szCs w:val="22"/>
        </w:rPr>
        <w:t xml:space="preserve"> (</w:t>
      </w:r>
      <w:r w:rsidR="00291700">
        <w:rPr>
          <w:rFonts w:ascii="Arial" w:eastAsia="Times New Roman" w:hAnsi="Arial" w:cs="Arial"/>
          <w:color w:val="000000"/>
          <w:sz w:val="22"/>
          <w:szCs w:val="22"/>
          <w:lang w:eastAsia="zh-CN"/>
        </w:rPr>
        <w:t>HPT38</w:t>
      </w:r>
      <w:r w:rsidRPr="00B50320" w:rsidR="00AE6495">
        <w:rPr>
          <w:rFonts w:ascii="Arial" w:eastAsia="Times New Roman" w:hAnsi="Arial" w:cs="Arial"/>
          <w:color w:val="000000"/>
          <w:sz w:val="22"/>
          <w:szCs w:val="22"/>
          <w:lang w:eastAsia="zh-CN"/>
        </w:rPr>
        <w:t>-0001</w:t>
      </w:r>
      <w:r w:rsidRPr="00B50320" w:rsidR="002D70A5">
        <w:rPr>
          <w:rFonts w:ascii="Arial" w:eastAsia="Times New Roman" w:hAnsi="Arial" w:cs="Arial"/>
          <w:color w:val="000000"/>
          <w:sz w:val="22"/>
          <w:szCs w:val="22"/>
          <w:lang w:eastAsia="zh-CN"/>
        </w:rPr>
        <w:t xml:space="preserve">, </w:t>
      </w:r>
      <w:r w:rsidR="00D64999">
        <w:rPr>
          <w:rFonts w:ascii="Arial" w:eastAsia="Times New Roman" w:hAnsi="Arial" w:cs="Arial"/>
          <w:color w:val="000000"/>
          <w:sz w:val="22"/>
          <w:szCs w:val="22"/>
          <w:lang w:eastAsia="zh-CN"/>
        </w:rPr>
        <w:t>HPT19</w:t>
      </w:r>
      <w:r w:rsidRPr="00B50320" w:rsidR="002D70A5">
        <w:rPr>
          <w:rFonts w:ascii="Arial" w:eastAsia="Times New Roman" w:hAnsi="Arial" w:cs="Arial"/>
          <w:color w:val="000000"/>
          <w:sz w:val="22"/>
          <w:szCs w:val="22"/>
          <w:lang w:eastAsia="zh-CN"/>
        </w:rPr>
        <w:t>-0001</w:t>
      </w:r>
      <w:r w:rsidRPr="00B50320" w:rsidR="00AE6495">
        <w:rPr>
          <w:rFonts w:ascii="Arial" w:hAnsi="Arial" w:cs="Arial"/>
          <w:sz w:val="22"/>
          <w:szCs w:val="22"/>
        </w:rPr>
        <w:t>)</w:t>
      </w:r>
      <w:r w:rsidRPr="00B50320" w:rsidR="007F112A">
        <w:rPr>
          <w:rFonts w:ascii="Arial" w:hAnsi="Arial" w:cs="Arial"/>
          <w:sz w:val="22"/>
          <w:szCs w:val="22"/>
        </w:rPr>
        <w:t>:</w:t>
      </w:r>
    </w:p>
    <w:p w:rsidR="007F112A" w:rsidRPr="00B50320" w:rsidP="006576A5" w14:paraId="06BED36C" w14:textId="77777777">
      <w:pPr>
        <w:spacing w:after="220"/>
        <w:ind w:left="720"/>
        <w:rPr>
          <w:rFonts w:ascii="Arial" w:eastAsia="Times New Roman" w:hAnsi="Arial" w:cs="Arial"/>
          <w:color w:val="000000"/>
          <w:sz w:val="22"/>
          <w:szCs w:val="22"/>
          <w:lang w:eastAsia="zh-CN"/>
        </w:rPr>
      </w:pPr>
      <w:r w:rsidRPr="00B50320">
        <w:rPr>
          <w:rFonts w:ascii="Arial" w:hAnsi="Arial" w:cs="Arial"/>
          <w:sz w:val="22"/>
          <w:szCs w:val="22"/>
        </w:rPr>
        <w:t xml:space="preserve">This regulation applies to reactor types that require minimal operator action and minimal engineered systems to </w:t>
      </w:r>
      <w:r w:rsidR="00DA78AC">
        <w:rPr>
          <w:rFonts w:ascii="Arial" w:hAnsi="Arial" w:cs="Arial"/>
          <w:sz w:val="22"/>
          <w:szCs w:val="22"/>
        </w:rPr>
        <w:t>e</w:t>
      </w:r>
      <w:r w:rsidRPr="00B50320">
        <w:rPr>
          <w:rFonts w:ascii="Arial" w:hAnsi="Arial" w:cs="Arial"/>
          <w:sz w:val="22"/>
          <w:szCs w:val="22"/>
        </w:rPr>
        <w:t xml:space="preserve">nsure that minimal offsite public radiation exposures occur following serious external and internal events that may challenge the reactor. </w:t>
      </w:r>
      <w:r w:rsidRPr="00B50320">
        <w:rPr>
          <w:rFonts w:ascii="Arial" w:eastAsia="Times New Roman" w:hAnsi="Arial" w:cs="Arial"/>
          <w:color w:val="000000"/>
          <w:sz w:val="22"/>
          <w:szCs w:val="22"/>
          <w:lang w:eastAsia="zh-CN"/>
        </w:rPr>
        <w:t>The limiting design basis event risk to the public is an order of magnitude lower than earlier regulatory requirements involving water reactors.</w:t>
      </w:r>
    </w:p>
    <w:p w:rsidR="00D63488" w:rsidRPr="00B50320" w:rsidP="00B50320" w14:paraId="61C179AC"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135FB5" w:rsidRPr="00B50320" w:rsidP="00B50320" w14:paraId="5665B877" w14:textId="77777777">
      <w:pPr>
        <w:spacing w:after="220"/>
        <w:rPr>
          <w:rFonts w:ascii="Arial" w:hAnsi="Arial" w:cs="Arial"/>
          <w:sz w:val="22"/>
          <w:szCs w:val="22"/>
        </w:rPr>
      </w:pPr>
      <w:r w:rsidRPr="00B50320">
        <w:rPr>
          <w:rFonts w:ascii="Arial" w:hAnsi="Arial" w:cs="Arial"/>
          <w:sz w:val="22"/>
          <w:szCs w:val="22"/>
        </w:rPr>
        <w:t>Regarding the comments suggesting a systematic and aggressive search for additional changes in requirements to reduce unnecessary regulatory burden consistent with the ADVANCE Act and those suggesting a new section in the rule that outlines efficient licensing in line with statutory requirements, the NRC has made several changes to the proposed rule based on commenters’ suggestions about ways to reduce burden</w:t>
      </w:r>
      <w:r w:rsidRPr="00B50320" w:rsidR="00621F9E">
        <w:rPr>
          <w:rFonts w:ascii="Arial" w:hAnsi="Arial" w:cs="Arial"/>
          <w:sz w:val="22"/>
          <w:szCs w:val="22"/>
        </w:rPr>
        <w:t xml:space="preserve">, as documented in </w:t>
      </w:r>
      <w:r w:rsidRPr="00B50320" w:rsidR="00FF5C03">
        <w:rPr>
          <w:rFonts w:ascii="Arial" w:hAnsi="Arial" w:cs="Arial"/>
          <w:sz w:val="22"/>
          <w:szCs w:val="22"/>
        </w:rPr>
        <w:t>various other re</w:t>
      </w:r>
      <w:r w:rsidRPr="00B50320" w:rsidR="00D22343">
        <w:rPr>
          <w:rFonts w:ascii="Arial" w:hAnsi="Arial" w:cs="Arial"/>
          <w:sz w:val="22"/>
          <w:szCs w:val="22"/>
        </w:rPr>
        <w:t>sponses in this document</w:t>
      </w:r>
      <w:r w:rsidRPr="00B50320" w:rsidR="002C7E9D">
        <w:rPr>
          <w:rFonts w:ascii="Arial" w:hAnsi="Arial" w:cs="Arial"/>
          <w:sz w:val="22"/>
          <w:szCs w:val="22"/>
        </w:rPr>
        <w:t xml:space="preserve"> includ</w:t>
      </w:r>
      <w:r w:rsidRPr="00B50320" w:rsidR="006C2292">
        <w:rPr>
          <w:rFonts w:ascii="Arial" w:hAnsi="Arial" w:cs="Arial"/>
          <w:sz w:val="22"/>
          <w:szCs w:val="22"/>
        </w:rPr>
        <w:t>ing</w:t>
      </w:r>
      <w:r w:rsidRPr="00B50320" w:rsidR="002C7E9D">
        <w:rPr>
          <w:rFonts w:ascii="Arial" w:hAnsi="Arial" w:cs="Arial"/>
          <w:sz w:val="22"/>
          <w:szCs w:val="22"/>
        </w:rPr>
        <w:t xml:space="preserve">, but not </w:t>
      </w:r>
      <w:r w:rsidRPr="00485133" w:rsidR="002C7E9D">
        <w:rPr>
          <w:rFonts w:ascii="Arial" w:hAnsi="Arial" w:cs="Arial"/>
          <w:sz w:val="22"/>
          <w:szCs w:val="22"/>
        </w:rPr>
        <w:t>limited to</w:t>
      </w:r>
      <w:r w:rsidRPr="00066824" w:rsidR="006415A0">
        <w:rPr>
          <w:rFonts w:ascii="Arial" w:hAnsi="Arial" w:cs="Arial"/>
          <w:sz w:val="22"/>
          <w:szCs w:val="22"/>
        </w:rPr>
        <w:t>,</w:t>
      </w:r>
      <w:r w:rsidRPr="00066824" w:rsidR="00780A52">
        <w:rPr>
          <w:rFonts w:ascii="Arial" w:hAnsi="Arial" w:cs="Arial"/>
          <w:sz w:val="22"/>
          <w:szCs w:val="22"/>
        </w:rPr>
        <w:t xml:space="preserve"> </w:t>
      </w:r>
      <w:r w:rsidRPr="00066824" w:rsidR="00926535">
        <w:rPr>
          <w:rFonts w:ascii="Arial" w:hAnsi="Arial" w:cs="Arial"/>
          <w:sz w:val="22"/>
          <w:szCs w:val="22"/>
        </w:rPr>
        <w:t xml:space="preserve">the NRC’s </w:t>
      </w:r>
      <w:r w:rsidRPr="00066824" w:rsidR="00747112">
        <w:rPr>
          <w:rFonts w:ascii="Arial" w:hAnsi="Arial" w:cs="Arial"/>
          <w:sz w:val="22"/>
          <w:szCs w:val="22"/>
        </w:rPr>
        <w:t xml:space="preserve">responses to </w:t>
      </w:r>
      <w:r w:rsidRPr="00066824" w:rsidR="00780A52">
        <w:rPr>
          <w:rFonts w:ascii="Arial" w:hAnsi="Arial" w:cs="Arial"/>
          <w:sz w:val="22"/>
          <w:szCs w:val="22"/>
        </w:rPr>
        <w:t>Comment Bins</w:t>
      </w:r>
      <w:r w:rsidRPr="00066824" w:rsidR="009C6CF4">
        <w:rPr>
          <w:rFonts w:ascii="Arial" w:hAnsi="Arial" w:cs="Arial"/>
          <w:sz w:val="22"/>
          <w:szCs w:val="22"/>
        </w:rPr>
        <w:t xml:space="preserve"> 3.3.2.1.A and </w:t>
      </w:r>
      <w:r w:rsidRPr="00066824" w:rsidR="00C06909">
        <w:rPr>
          <w:rFonts w:ascii="Arial" w:hAnsi="Arial" w:cs="Arial"/>
          <w:sz w:val="22"/>
          <w:szCs w:val="22"/>
        </w:rPr>
        <w:t>3.3.2.2.</w:t>
      </w:r>
      <w:r w:rsidRPr="00066824" w:rsidR="00A17191">
        <w:rPr>
          <w:rFonts w:ascii="Arial" w:hAnsi="Arial" w:cs="Arial"/>
          <w:sz w:val="22"/>
          <w:szCs w:val="22"/>
        </w:rPr>
        <w:t>E related to 10</w:t>
      </w:r>
      <w:r w:rsidRPr="00066824" w:rsidR="00203AE6">
        <w:rPr>
          <w:rFonts w:ascii="Arial" w:hAnsi="Arial" w:cs="Arial"/>
          <w:sz w:val="22"/>
          <w:szCs w:val="22"/>
        </w:rPr>
        <w:t> </w:t>
      </w:r>
      <w:r w:rsidRPr="00066824" w:rsidR="00A17191">
        <w:rPr>
          <w:rFonts w:ascii="Arial" w:hAnsi="Arial" w:cs="Arial"/>
          <w:sz w:val="22"/>
          <w:szCs w:val="22"/>
        </w:rPr>
        <w:t>CFR</w:t>
      </w:r>
      <w:r w:rsidRPr="00066824" w:rsidR="00203AE6">
        <w:rPr>
          <w:rFonts w:ascii="Arial" w:hAnsi="Arial" w:cs="Arial"/>
          <w:sz w:val="22"/>
          <w:szCs w:val="22"/>
        </w:rPr>
        <w:t> </w:t>
      </w:r>
      <w:r w:rsidRPr="00066824" w:rsidR="00A17191">
        <w:rPr>
          <w:rFonts w:ascii="Arial" w:hAnsi="Arial" w:cs="Arial"/>
          <w:sz w:val="22"/>
          <w:szCs w:val="22"/>
        </w:rPr>
        <w:t>53.440 and 10</w:t>
      </w:r>
      <w:r w:rsidRPr="00066824" w:rsidR="00203AE6">
        <w:rPr>
          <w:rFonts w:ascii="Arial" w:hAnsi="Arial" w:cs="Arial"/>
          <w:sz w:val="22"/>
          <w:szCs w:val="22"/>
        </w:rPr>
        <w:t> </w:t>
      </w:r>
      <w:r w:rsidRPr="00066824" w:rsidR="00A17191">
        <w:rPr>
          <w:rFonts w:ascii="Arial" w:hAnsi="Arial" w:cs="Arial"/>
          <w:sz w:val="22"/>
          <w:szCs w:val="22"/>
        </w:rPr>
        <w:t>CFR 53.450, respectively</w:t>
      </w:r>
      <w:r w:rsidRPr="00485133">
        <w:rPr>
          <w:rFonts w:ascii="Arial" w:hAnsi="Arial" w:cs="Arial"/>
          <w:sz w:val="22"/>
          <w:szCs w:val="22"/>
        </w:rPr>
        <w:t>. In</w:t>
      </w:r>
      <w:r w:rsidRPr="00B50320">
        <w:rPr>
          <w:rFonts w:ascii="Arial" w:hAnsi="Arial" w:cs="Arial"/>
          <w:sz w:val="22"/>
          <w:szCs w:val="22"/>
        </w:rPr>
        <w:t xml:space="preserve"> addition, the NRC has initiated development of an additional rulemaking to expedite licensing of qualified microreactors and other potentially low risk, low consequence reactors, consistent with the ADVANCE Act and EOs issued in 2025.</w:t>
      </w:r>
    </w:p>
    <w:p w:rsidR="00312140" w:rsidRPr="00B50320" w:rsidP="00B50320" w14:paraId="1762862C" w14:textId="77777777">
      <w:pPr>
        <w:spacing w:after="220"/>
        <w:rPr>
          <w:rFonts w:ascii="Arial" w:hAnsi="Arial" w:cs="Arial"/>
          <w:sz w:val="22"/>
          <w:szCs w:val="22"/>
        </w:rPr>
      </w:pPr>
      <w:r w:rsidRPr="00B50320">
        <w:rPr>
          <w:rFonts w:ascii="Arial" w:hAnsi="Arial" w:cs="Arial"/>
          <w:sz w:val="22"/>
          <w:szCs w:val="22"/>
        </w:rPr>
        <w:t xml:space="preserve">The NRC disagrees that a new section needs to be added to the rule to outline efficient licensing because other factors, such as </w:t>
      </w:r>
      <w:r w:rsidRPr="00B50320" w:rsidR="0050324D">
        <w:rPr>
          <w:rFonts w:ascii="Arial" w:hAnsi="Arial" w:cs="Arial"/>
          <w:sz w:val="22"/>
          <w:szCs w:val="22"/>
        </w:rPr>
        <w:t>NEIMA</w:t>
      </w:r>
      <w:r w:rsidR="00FA21DC">
        <w:rPr>
          <w:rFonts w:ascii="Arial" w:hAnsi="Arial" w:cs="Arial"/>
          <w:sz w:val="22"/>
          <w:szCs w:val="22"/>
        </w:rPr>
        <w:t>,</w:t>
      </w:r>
      <w:r w:rsidRPr="00B50320" w:rsidR="0050324D">
        <w:rPr>
          <w:rFonts w:ascii="Arial" w:hAnsi="Arial" w:cs="Arial"/>
          <w:sz w:val="22"/>
          <w:szCs w:val="22"/>
        </w:rPr>
        <w:t xml:space="preserve"> the ADVANCE Act, EOs issued in 2025,</w:t>
      </w:r>
      <w:r w:rsidRPr="00B50320">
        <w:rPr>
          <w:rFonts w:ascii="Arial" w:hAnsi="Arial" w:cs="Arial"/>
          <w:sz w:val="22"/>
          <w:szCs w:val="22"/>
        </w:rPr>
        <w:t xml:space="preserve"> and changes to the NRC mission statement</w:t>
      </w:r>
      <w:r w:rsidRPr="00B50320" w:rsidR="00725EC2">
        <w:rPr>
          <w:rFonts w:ascii="Arial" w:hAnsi="Arial" w:cs="Arial"/>
          <w:sz w:val="22"/>
          <w:szCs w:val="22"/>
        </w:rPr>
        <w:t>,</w:t>
      </w:r>
      <w:r w:rsidRPr="00B50320">
        <w:rPr>
          <w:rFonts w:ascii="Arial" w:hAnsi="Arial" w:cs="Arial"/>
          <w:sz w:val="22"/>
          <w:szCs w:val="22"/>
        </w:rPr>
        <w:t xml:space="preserve"> are already serving this purpose.</w:t>
      </w:r>
    </w:p>
    <w:p w:rsidR="007F112A" w:rsidRPr="00B50320" w:rsidP="00B50320" w14:paraId="39C210C3" w14:textId="77777777">
      <w:pPr>
        <w:spacing w:after="220"/>
        <w:rPr>
          <w:rFonts w:ascii="Arial" w:hAnsi="Arial" w:cs="Arial"/>
          <w:sz w:val="22"/>
          <w:szCs w:val="22"/>
        </w:rPr>
      </w:pPr>
      <w:r w:rsidRPr="00B50320">
        <w:rPr>
          <w:rFonts w:ascii="Arial" w:hAnsi="Arial" w:cs="Arial"/>
          <w:sz w:val="22"/>
          <w:szCs w:val="22"/>
        </w:rPr>
        <w:t xml:space="preserve">The NRC </w:t>
      </w:r>
      <w:r w:rsidRPr="00B50320" w:rsidR="00AA58BE">
        <w:rPr>
          <w:rFonts w:ascii="Arial" w:hAnsi="Arial" w:cs="Arial"/>
          <w:sz w:val="22"/>
          <w:szCs w:val="22"/>
        </w:rPr>
        <w:t xml:space="preserve">also </w:t>
      </w:r>
      <w:r w:rsidRPr="00B50320">
        <w:rPr>
          <w:rFonts w:ascii="Arial" w:hAnsi="Arial" w:cs="Arial"/>
          <w:sz w:val="22"/>
          <w:szCs w:val="22"/>
        </w:rPr>
        <w:t xml:space="preserve">disagrees that </w:t>
      </w:r>
      <w:r w:rsidRPr="00B50320" w:rsidR="00712CC0">
        <w:rPr>
          <w:rFonts w:ascii="Arial" w:hAnsi="Arial" w:cs="Arial"/>
          <w:sz w:val="22"/>
          <w:szCs w:val="22"/>
        </w:rPr>
        <w:t>the applicability of 10 CFR Part 53 should be limited to modern reactors</w:t>
      </w:r>
      <w:r w:rsidRPr="00B50320" w:rsidR="001C7E76">
        <w:rPr>
          <w:rFonts w:ascii="Arial" w:hAnsi="Arial" w:cs="Arial"/>
          <w:sz w:val="22"/>
          <w:szCs w:val="22"/>
        </w:rPr>
        <w:t xml:space="preserve"> </w:t>
      </w:r>
      <w:r w:rsidRPr="00B50320" w:rsidR="005A60FD">
        <w:rPr>
          <w:rFonts w:ascii="Arial" w:hAnsi="Arial" w:cs="Arial"/>
          <w:sz w:val="22"/>
          <w:szCs w:val="22"/>
        </w:rPr>
        <w:t xml:space="preserve">because </w:t>
      </w:r>
      <w:r w:rsidRPr="00B50320" w:rsidR="00B23A1A">
        <w:rPr>
          <w:rFonts w:ascii="Arial" w:hAnsi="Arial" w:cs="Arial"/>
          <w:sz w:val="22"/>
          <w:szCs w:val="22"/>
        </w:rPr>
        <w:t xml:space="preserve">doing so would </w:t>
      </w:r>
      <w:r w:rsidRPr="00B50320" w:rsidR="00D34284">
        <w:rPr>
          <w:rFonts w:ascii="Arial" w:hAnsi="Arial" w:cs="Arial"/>
          <w:sz w:val="22"/>
          <w:szCs w:val="22"/>
        </w:rPr>
        <w:t xml:space="preserve">not </w:t>
      </w:r>
      <w:r w:rsidRPr="00B50320" w:rsidR="00F14231">
        <w:rPr>
          <w:rFonts w:ascii="Arial" w:hAnsi="Arial" w:cs="Arial"/>
          <w:sz w:val="22"/>
          <w:szCs w:val="22"/>
        </w:rPr>
        <w:t xml:space="preserve">be consistent with </w:t>
      </w:r>
      <w:r w:rsidRPr="00B50320" w:rsidR="00725EC2">
        <w:rPr>
          <w:rFonts w:ascii="Arial" w:hAnsi="Arial" w:cs="Arial"/>
          <w:sz w:val="22"/>
          <w:szCs w:val="22"/>
        </w:rPr>
        <w:t>c</w:t>
      </w:r>
      <w:r w:rsidRPr="00B50320" w:rsidR="00F14231">
        <w:rPr>
          <w:rFonts w:ascii="Arial" w:hAnsi="Arial" w:cs="Arial"/>
          <w:sz w:val="22"/>
          <w:szCs w:val="22"/>
        </w:rPr>
        <w:t>ongressional direction in NEIMA</w:t>
      </w:r>
      <w:r w:rsidRPr="00B50320" w:rsidR="000C40E5">
        <w:rPr>
          <w:rFonts w:ascii="Arial" w:hAnsi="Arial" w:cs="Arial"/>
          <w:sz w:val="22"/>
          <w:szCs w:val="22"/>
        </w:rPr>
        <w:t xml:space="preserve"> to complete a technology-inclusive</w:t>
      </w:r>
      <w:r w:rsidRPr="00B50320" w:rsidR="001F1910">
        <w:rPr>
          <w:rFonts w:ascii="Arial" w:hAnsi="Arial" w:cs="Arial"/>
          <w:sz w:val="22"/>
          <w:szCs w:val="22"/>
        </w:rPr>
        <w:t xml:space="preserve"> </w:t>
      </w:r>
      <w:r w:rsidRPr="00B50320" w:rsidR="00CA5CFD">
        <w:rPr>
          <w:rFonts w:ascii="Arial" w:hAnsi="Arial" w:cs="Arial"/>
          <w:sz w:val="22"/>
          <w:szCs w:val="22"/>
        </w:rPr>
        <w:t xml:space="preserve">regulatory framework for optional use by </w:t>
      </w:r>
      <w:r w:rsidRPr="00B50320" w:rsidR="005E0217">
        <w:rPr>
          <w:rFonts w:ascii="Arial" w:hAnsi="Arial" w:cs="Arial"/>
          <w:sz w:val="22"/>
          <w:szCs w:val="22"/>
        </w:rPr>
        <w:t>commercial advanced reactor applicants</w:t>
      </w:r>
      <w:r w:rsidRPr="00B50320" w:rsidR="00F97C48">
        <w:rPr>
          <w:rFonts w:ascii="Arial" w:hAnsi="Arial" w:cs="Arial"/>
          <w:sz w:val="22"/>
          <w:szCs w:val="22"/>
        </w:rPr>
        <w:t>. Additionally, NEIMA</w:t>
      </w:r>
      <w:r w:rsidRPr="00B50320" w:rsidR="00466940">
        <w:rPr>
          <w:rFonts w:ascii="Arial" w:hAnsi="Arial" w:cs="Arial"/>
          <w:sz w:val="22"/>
          <w:szCs w:val="22"/>
        </w:rPr>
        <w:t xml:space="preserve"> </w:t>
      </w:r>
      <w:r w:rsidRPr="00B50320" w:rsidR="00A941D4">
        <w:rPr>
          <w:rFonts w:ascii="Arial" w:hAnsi="Arial" w:cs="Arial"/>
          <w:sz w:val="22"/>
          <w:szCs w:val="22"/>
        </w:rPr>
        <w:t xml:space="preserve">includes a </w:t>
      </w:r>
      <w:r w:rsidRPr="00B50320" w:rsidR="00182B22">
        <w:rPr>
          <w:rFonts w:ascii="Arial" w:hAnsi="Arial" w:cs="Arial"/>
          <w:sz w:val="22"/>
          <w:szCs w:val="22"/>
        </w:rPr>
        <w:t>defin</w:t>
      </w:r>
      <w:r w:rsidRPr="00B50320" w:rsidR="00A941D4">
        <w:rPr>
          <w:rFonts w:ascii="Arial" w:hAnsi="Arial" w:cs="Arial"/>
          <w:sz w:val="22"/>
          <w:szCs w:val="22"/>
        </w:rPr>
        <w:t>ition of</w:t>
      </w:r>
      <w:r w:rsidRPr="00B50320" w:rsidR="00466940">
        <w:rPr>
          <w:rFonts w:ascii="Arial" w:hAnsi="Arial" w:cs="Arial"/>
          <w:sz w:val="22"/>
          <w:szCs w:val="22"/>
        </w:rPr>
        <w:t xml:space="preserve"> the term </w:t>
      </w:r>
      <w:r w:rsidRPr="00B50320" w:rsidR="00725EC2">
        <w:rPr>
          <w:rFonts w:ascii="Arial" w:hAnsi="Arial" w:cs="Arial"/>
          <w:sz w:val="22"/>
          <w:szCs w:val="22"/>
        </w:rPr>
        <w:t>“</w:t>
      </w:r>
      <w:r w:rsidRPr="00B50320" w:rsidR="00466940">
        <w:rPr>
          <w:rFonts w:ascii="Arial" w:hAnsi="Arial" w:cs="Arial"/>
          <w:sz w:val="22"/>
          <w:szCs w:val="22"/>
        </w:rPr>
        <w:t>advanced reactor</w:t>
      </w:r>
      <w:r w:rsidRPr="00B50320" w:rsidR="00614C62">
        <w:rPr>
          <w:rFonts w:ascii="Arial" w:hAnsi="Arial" w:cs="Arial"/>
          <w:sz w:val="22"/>
          <w:szCs w:val="22"/>
        </w:rPr>
        <w:t>,</w:t>
      </w:r>
      <w:r w:rsidRPr="00B50320" w:rsidR="00725EC2">
        <w:rPr>
          <w:rFonts w:ascii="Arial" w:hAnsi="Arial" w:cs="Arial"/>
          <w:sz w:val="22"/>
          <w:szCs w:val="22"/>
        </w:rPr>
        <w:t>”</w:t>
      </w:r>
      <w:r w:rsidRPr="00B50320" w:rsidR="00614C62">
        <w:rPr>
          <w:rFonts w:ascii="Arial" w:hAnsi="Arial" w:cs="Arial"/>
          <w:sz w:val="22"/>
          <w:szCs w:val="22"/>
        </w:rPr>
        <w:t xml:space="preserve"> which could include </w:t>
      </w:r>
      <w:r w:rsidRPr="00B50320">
        <w:rPr>
          <w:rFonts w:ascii="Arial" w:hAnsi="Arial" w:cs="Arial"/>
          <w:sz w:val="22"/>
          <w:szCs w:val="22"/>
        </w:rPr>
        <w:t>older reactor designs with significant improvements</w:t>
      </w:r>
      <w:r w:rsidRPr="00B50320" w:rsidR="00466940">
        <w:rPr>
          <w:rFonts w:ascii="Arial" w:hAnsi="Arial" w:cs="Arial"/>
          <w:sz w:val="22"/>
          <w:szCs w:val="22"/>
        </w:rPr>
        <w:t>.</w:t>
      </w:r>
    </w:p>
    <w:p w:rsidR="007F112A" w:rsidRPr="00B50320" w:rsidP="00B50320" w14:paraId="6509ED51"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these comments.</w:t>
      </w:r>
    </w:p>
    <w:p w:rsidR="007F112A" w:rsidRPr="00B50320" w:rsidP="00B50320" w14:paraId="48E22C85" w14:textId="77777777">
      <w:pPr>
        <w:spacing w:after="220"/>
        <w:rPr>
          <w:rFonts w:ascii="Arial" w:hAnsi="Arial" w:cs="Arial"/>
          <w:sz w:val="22"/>
          <w:szCs w:val="22"/>
        </w:rPr>
      </w:pPr>
      <w:r>
        <w:rPr>
          <w:rFonts w:ascii="Arial" w:hAnsi="Arial" w:cs="Arial"/>
          <w:sz w:val="22"/>
          <w:szCs w:val="22"/>
        </w:rPr>
        <w:pict>
          <v:rect id="_x0000_i1309" style="width:0;height:1.5pt" o:hralign="center" o:hrstd="t" o:hrnoshade="t" o:hr="t" fillcolor="black" stroked="f"/>
        </w:pict>
      </w:r>
    </w:p>
    <w:p w:rsidR="007F112A" w:rsidRPr="00B50320" w:rsidP="00B50320" w14:paraId="27D2B9F8" w14:textId="77777777">
      <w:pPr>
        <w:tabs>
          <w:tab w:val="left" w:pos="3950"/>
        </w:tabs>
        <w:spacing w:after="220"/>
        <w:rPr>
          <w:rFonts w:ascii="Arial" w:eastAsia="DengXian" w:hAnsi="Arial" w:cs="Arial"/>
          <w:sz w:val="22"/>
          <w:szCs w:val="22"/>
        </w:rPr>
      </w:pPr>
      <w:r w:rsidRPr="00B50320">
        <w:rPr>
          <w:rFonts w:ascii="Arial" w:hAnsi="Arial" w:cs="Arial"/>
          <w:b/>
          <w:sz w:val="22"/>
          <w:szCs w:val="22"/>
        </w:rPr>
        <w:t>Comment Bin 3.12.D:</w:t>
      </w:r>
      <w:r w:rsidRPr="00B50320">
        <w:rPr>
          <w:rFonts w:ascii="Arial" w:hAnsi="Arial" w:cs="Arial"/>
          <w:sz w:val="22"/>
          <w:szCs w:val="22"/>
        </w:rPr>
        <w:t xml:space="preserve"> </w:t>
      </w:r>
      <w:r w:rsidRPr="00B50320">
        <w:rPr>
          <w:rFonts w:ascii="Arial" w:eastAsia="DengXian" w:hAnsi="Arial" w:cs="Arial"/>
          <w:sz w:val="22"/>
          <w:szCs w:val="22"/>
        </w:rPr>
        <w:t>In response to the request for comment regarding the ADVANCE Act, two commenters discussed that the 10 CFR Part 53 proposed rule addresses to some extent many items from the ADVANCE Act, such as Section 203 requirements for flexible operation, including load following, the use of advanced reactors for non-electric applications, and a definition of construction that supports co</w:t>
      </w:r>
      <w:r w:rsidRPr="00B50320" w:rsidR="005B169E">
        <w:rPr>
          <w:rFonts w:ascii="Arial" w:eastAsia="DengXian" w:hAnsi="Arial" w:cs="Arial"/>
          <w:sz w:val="22"/>
          <w:szCs w:val="22"/>
        </w:rPr>
        <w:noBreakHyphen/>
      </w:r>
      <w:r w:rsidRPr="00B50320">
        <w:rPr>
          <w:rFonts w:ascii="Arial" w:eastAsia="DengXian" w:hAnsi="Arial" w:cs="Arial"/>
          <w:sz w:val="22"/>
          <w:szCs w:val="22"/>
        </w:rPr>
        <w:t xml:space="preserve">location with industrial facilities, and Section 208 requirements for flexibility in staffing and operations, safeguards and security, and emergency preparedness, as well as SRM-SECY-20-0045 </w:t>
      </w:r>
      <w:r w:rsidRPr="00B50320">
        <w:rPr>
          <w:rFonts w:ascii="Arial" w:eastAsia="Times New Roman" w:hAnsi="Arial" w:cs="Arial"/>
          <w:sz w:val="22"/>
          <w:szCs w:val="22"/>
        </w:rPr>
        <w:t>(</w:t>
      </w:r>
      <w:r w:rsidR="009D6BB9">
        <w:rPr>
          <w:rFonts w:ascii="Arial" w:eastAsia="Times New Roman" w:hAnsi="Arial" w:cs="Arial"/>
          <w:sz w:val="22"/>
          <w:szCs w:val="22"/>
        </w:rPr>
        <w:t>NEI2</w:t>
      </w:r>
      <w:r w:rsidRPr="00B50320">
        <w:rPr>
          <w:rFonts w:ascii="Arial" w:eastAsia="Times New Roman" w:hAnsi="Arial" w:cs="Arial"/>
          <w:sz w:val="22"/>
          <w:szCs w:val="22"/>
        </w:rPr>
        <w:t xml:space="preserve">-0215, </w:t>
      </w:r>
      <w:r w:rsidR="00AE0B17">
        <w:rPr>
          <w:rFonts w:ascii="Arial" w:hAnsi="Arial" w:cs="Arial"/>
          <w:sz w:val="22"/>
          <w:szCs w:val="22"/>
        </w:rPr>
        <w:t>USNIC2</w:t>
      </w:r>
      <w:r w:rsidRPr="00B50320">
        <w:rPr>
          <w:rFonts w:ascii="Arial" w:hAnsi="Arial" w:cs="Arial"/>
          <w:sz w:val="22"/>
          <w:szCs w:val="22"/>
        </w:rPr>
        <w:t>-0035)</w:t>
      </w:r>
      <w:r w:rsidRPr="00B50320">
        <w:rPr>
          <w:rFonts w:ascii="Arial" w:eastAsia="DengXian" w:hAnsi="Arial" w:cs="Arial"/>
          <w:sz w:val="22"/>
          <w:szCs w:val="22"/>
        </w:rPr>
        <w:t xml:space="preserve">. </w:t>
      </w:r>
    </w:p>
    <w:p w:rsidR="007F112A" w:rsidRPr="00B50320" w:rsidP="00B50320" w14:paraId="5A3515CA" w14:textId="77777777">
      <w:pPr>
        <w:tabs>
          <w:tab w:val="left" w:pos="3950"/>
        </w:tabs>
        <w:spacing w:after="220"/>
        <w:rPr>
          <w:rFonts w:ascii="Arial" w:eastAsia="Times New Roman" w:hAnsi="Arial" w:cs="Arial"/>
          <w:sz w:val="22"/>
          <w:szCs w:val="22"/>
        </w:rPr>
      </w:pPr>
      <w:r w:rsidRPr="00B50320">
        <w:rPr>
          <w:rFonts w:ascii="Arial" w:eastAsia="DengXian" w:hAnsi="Arial" w:cs="Arial"/>
          <w:sz w:val="22"/>
          <w:szCs w:val="22"/>
        </w:rPr>
        <w:t>However, one of the commenters stated that the ADVANCE Act should be implemented for each of 10 CFR Parts 50, 52, and 53, with additional changes needed in 10</w:t>
      </w:r>
      <w:r w:rsidRPr="00B50320" w:rsidR="00117CB9">
        <w:rPr>
          <w:rFonts w:ascii="Arial" w:eastAsia="DengXian" w:hAnsi="Arial" w:cs="Arial"/>
          <w:sz w:val="22"/>
          <w:szCs w:val="22"/>
        </w:rPr>
        <w:t> </w:t>
      </w:r>
      <w:r w:rsidRPr="00B50320">
        <w:rPr>
          <w:rFonts w:ascii="Arial" w:eastAsia="DengXian" w:hAnsi="Arial" w:cs="Arial"/>
          <w:sz w:val="22"/>
          <w:szCs w:val="22"/>
        </w:rPr>
        <w:t>CFR</w:t>
      </w:r>
      <w:r w:rsidRPr="00B50320" w:rsidR="00117CB9">
        <w:rPr>
          <w:rFonts w:ascii="Arial" w:eastAsia="DengXian" w:hAnsi="Arial" w:cs="Arial"/>
          <w:sz w:val="22"/>
          <w:szCs w:val="22"/>
        </w:rPr>
        <w:t> </w:t>
      </w:r>
      <w:r w:rsidRPr="00B50320">
        <w:rPr>
          <w:rFonts w:ascii="Arial" w:eastAsia="DengXian" w:hAnsi="Arial" w:cs="Arial"/>
          <w:sz w:val="22"/>
          <w:szCs w:val="22"/>
        </w:rPr>
        <w:t>Part 53. The commenter discussed that the flexibility provided by 10</w:t>
      </w:r>
      <w:r w:rsidRPr="00B50320" w:rsidR="002A1976">
        <w:rPr>
          <w:rFonts w:ascii="Arial" w:eastAsia="DengXian" w:hAnsi="Arial" w:cs="Arial"/>
          <w:sz w:val="22"/>
          <w:szCs w:val="22"/>
        </w:rPr>
        <w:t> </w:t>
      </w:r>
      <w:r w:rsidRPr="00B50320">
        <w:rPr>
          <w:rFonts w:ascii="Arial" w:eastAsia="DengXian" w:hAnsi="Arial" w:cs="Arial"/>
          <w:sz w:val="22"/>
          <w:szCs w:val="22"/>
        </w:rPr>
        <w:t>CFR</w:t>
      </w:r>
      <w:r w:rsidRPr="00B50320" w:rsidR="002A1976">
        <w:rPr>
          <w:rFonts w:ascii="Arial" w:eastAsia="DengXian" w:hAnsi="Arial" w:cs="Arial"/>
          <w:sz w:val="22"/>
          <w:szCs w:val="22"/>
        </w:rPr>
        <w:t> </w:t>
      </w:r>
      <w:r w:rsidRPr="00B50320">
        <w:rPr>
          <w:rFonts w:ascii="Arial" w:eastAsia="DengXian" w:hAnsi="Arial" w:cs="Arial"/>
          <w:sz w:val="22"/>
          <w:szCs w:val="22"/>
        </w:rPr>
        <w:t>Part</w:t>
      </w:r>
      <w:r w:rsidRPr="00B50320" w:rsidR="001425F3">
        <w:rPr>
          <w:rFonts w:ascii="Arial" w:eastAsia="DengXian" w:hAnsi="Arial" w:cs="Arial"/>
          <w:sz w:val="22"/>
          <w:szCs w:val="22"/>
        </w:rPr>
        <w:t> </w:t>
      </w:r>
      <w:r w:rsidRPr="00B50320">
        <w:rPr>
          <w:rFonts w:ascii="Arial" w:eastAsia="DengXian" w:hAnsi="Arial" w:cs="Arial"/>
          <w:sz w:val="22"/>
          <w:szCs w:val="22"/>
        </w:rPr>
        <w:t xml:space="preserve">53 addresses many </w:t>
      </w:r>
      <w:r w:rsidR="00AB594D">
        <w:rPr>
          <w:rFonts w:ascii="Arial" w:eastAsia="DengXian" w:hAnsi="Arial" w:cs="Arial"/>
          <w:sz w:val="22"/>
          <w:szCs w:val="22"/>
        </w:rPr>
        <w:br/>
      </w:r>
      <w:r w:rsidRPr="00B50320">
        <w:rPr>
          <w:rFonts w:ascii="Arial" w:eastAsia="DengXian" w:hAnsi="Arial" w:cs="Arial"/>
          <w:sz w:val="22"/>
          <w:szCs w:val="22"/>
        </w:rPr>
        <w:t xml:space="preserve">Section 203 issues, but that regulatory uncertainty remains regarding requirements placed on adjacent facilities </w:t>
      </w:r>
      <w:r w:rsidR="00E36AB2">
        <w:rPr>
          <w:rFonts w:ascii="Arial" w:eastAsia="DengXian" w:hAnsi="Arial" w:cs="Arial"/>
          <w:sz w:val="22"/>
          <w:szCs w:val="22"/>
        </w:rPr>
        <w:t xml:space="preserve">and consideration of </w:t>
      </w:r>
      <w:r w:rsidR="00AD2170">
        <w:rPr>
          <w:rFonts w:ascii="Arial" w:eastAsia="DengXian" w:hAnsi="Arial" w:cs="Arial"/>
          <w:sz w:val="22"/>
          <w:szCs w:val="22"/>
        </w:rPr>
        <w:t>nearby population densities</w:t>
      </w:r>
      <w:r w:rsidRPr="00B50320">
        <w:rPr>
          <w:rFonts w:ascii="Arial" w:eastAsia="DengXian" w:hAnsi="Arial" w:cs="Arial"/>
          <w:sz w:val="22"/>
          <w:szCs w:val="22"/>
        </w:rPr>
        <w:t xml:space="preserve"> (</w:t>
      </w:r>
      <w:r w:rsidR="009D6BB9">
        <w:rPr>
          <w:rFonts w:ascii="Arial" w:eastAsia="Times New Roman" w:hAnsi="Arial" w:cs="Arial"/>
          <w:sz w:val="22"/>
          <w:szCs w:val="22"/>
        </w:rPr>
        <w:t>NEI2</w:t>
      </w:r>
      <w:r w:rsidRPr="00B50320">
        <w:rPr>
          <w:rFonts w:ascii="Arial" w:eastAsia="Times New Roman" w:hAnsi="Arial" w:cs="Arial"/>
          <w:sz w:val="22"/>
          <w:szCs w:val="22"/>
        </w:rPr>
        <w:t>-0215).</w:t>
      </w:r>
    </w:p>
    <w:p w:rsidR="00E64F43" w:rsidRPr="00B50320" w:rsidP="00031BBF" w14:paraId="4191D726" w14:textId="77777777">
      <w:pPr>
        <w:spacing w:after="220"/>
        <w:rPr>
          <w:rFonts w:ascii="Arial" w:eastAsia="DengXian" w:hAnsi="Arial" w:cs="Arial"/>
          <w:sz w:val="22"/>
          <w:szCs w:val="22"/>
        </w:rPr>
      </w:pPr>
      <w:r w:rsidRPr="00B50320">
        <w:rPr>
          <w:rFonts w:ascii="Arial" w:hAnsi="Arial" w:cs="Arial"/>
          <w:sz w:val="22"/>
          <w:szCs w:val="22"/>
        </w:rPr>
        <w:t>To implement section 203 of the ADVANCE Act, two commenters suggested that 10 CFR Part 53 needs changes to address: guidance for various non-electric applications such as chemical production, water desalination, industrial heat, energy storage, isotope production, and district heating</w:t>
      </w:r>
      <w:r w:rsidRPr="00B50320" w:rsidR="00D834AC">
        <w:rPr>
          <w:rFonts w:ascii="Arial" w:hAnsi="Arial" w:cs="Arial"/>
          <w:sz w:val="22"/>
          <w:szCs w:val="22"/>
        </w:rPr>
        <w:t xml:space="preserve"> </w:t>
      </w:r>
      <w:r w:rsidRPr="00B50320" w:rsidR="00D834AC">
        <w:rPr>
          <w:rFonts w:ascii="Arial" w:eastAsia="Times New Roman" w:hAnsi="Arial" w:cs="Arial"/>
          <w:sz w:val="22"/>
          <w:szCs w:val="22"/>
        </w:rPr>
        <w:t>(</w:t>
      </w:r>
      <w:r w:rsidR="009D6BB9">
        <w:rPr>
          <w:rFonts w:ascii="Arial" w:eastAsia="Times New Roman" w:hAnsi="Arial" w:cs="Arial"/>
          <w:sz w:val="22"/>
          <w:szCs w:val="22"/>
        </w:rPr>
        <w:t>NEI2</w:t>
      </w:r>
      <w:r w:rsidRPr="00B50320" w:rsidR="00D834AC">
        <w:rPr>
          <w:rFonts w:ascii="Arial" w:eastAsia="Times New Roman" w:hAnsi="Arial" w:cs="Arial"/>
          <w:sz w:val="22"/>
          <w:szCs w:val="22"/>
        </w:rPr>
        <w:t xml:space="preserve">-0215, </w:t>
      </w:r>
      <w:r w:rsidR="00AE0B17">
        <w:rPr>
          <w:rFonts w:ascii="Arial" w:hAnsi="Arial" w:cs="Arial"/>
          <w:sz w:val="22"/>
          <w:szCs w:val="22"/>
        </w:rPr>
        <w:t>USNIC2</w:t>
      </w:r>
      <w:r w:rsidRPr="00B50320" w:rsidR="00D834AC">
        <w:rPr>
          <w:rFonts w:ascii="Arial" w:hAnsi="Arial" w:cs="Arial"/>
          <w:sz w:val="22"/>
          <w:szCs w:val="22"/>
        </w:rPr>
        <w:t>-0035)</w:t>
      </w:r>
      <w:r w:rsidRPr="00B50320" w:rsidR="00D834AC">
        <w:rPr>
          <w:rFonts w:ascii="Arial" w:eastAsia="Times New Roman" w:hAnsi="Arial" w:cs="Arial"/>
          <w:sz w:val="22"/>
          <w:szCs w:val="22"/>
        </w:rPr>
        <w:t>.</w:t>
      </w:r>
    </w:p>
    <w:p w:rsidR="007F112A" w:rsidRPr="00B50320" w:rsidP="00B50320" w14:paraId="12F7B4CF" w14:textId="77777777">
      <w:pPr>
        <w:tabs>
          <w:tab w:val="left" w:pos="3950"/>
        </w:tabs>
        <w:spacing w:after="220"/>
        <w:rPr>
          <w:rFonts w:ascii="Arial" w:eastAsia="Times New Roman" w:hAnsi="Arial" w:cs="Arial"/>
          <w:sz w:val="22"/>
          <w:szCs w:val="22"/>
        </w:rPr>
      </w:pPr>
      <w:r w:rsidRPr="00B50320">
        <w:rPr>
          <w:rFonts w:ascii="Arial" w:eastAsia="Times New Roman" w:hAnsi="Arial" w:cs="Arial"/>
          <w:sz w:val="22"/>
          <w:szCs w:val="22"/>
        </w:rPr>
        <w:t>To implement section 208 of the ADVANCE Act, two commenters suggested that 10</w:t>
      </w:r>
      <w:r w:rsidRPr="00B50320" w:rsidR="00421150">
        <w:rPr>
          <w:rFonts w:ascii="Arial" w:eastAsia="Times New Roman" w:hAnsi="Arial" w:cs="Arial"/>
          <w:sz w:val="22"/>
          <w:szCs w:val="22"/>
        </w:rPr>
        <w:t> </w:t>
      </w:r>
      <w:r w:rsidRPr="00B50320">
        <w:rPr>
          <w:rFonts w:ascii="Arial" w:eastAsia="Times New Roman" w:hAnsi="Arial" w:cs="Arial"/>
          <w:sz w:val="22"/>
          <w:szCs w:val="22"/>
        </w:rPr>
        <w:t>CFR Part 53 needs changes to address: risk-informed and performance-based strategies and guidance to license and regulate microreactors; the transportation of fueled microreactors and licensing mobile deployment; siting considerations; and other relevant policy and licensing considerations for microreactors discussed in SECY</w:t>
      </w:r>
      <w:r w:rsidRPr="00B50320" w:rsidR="00644AB4">
        <w:rPr>
          <w:rFonts w:ascii="Arial" w:eastAsia="Times New Roman" w:hAnsi="Arial" w:cs="Arial"/>
          <w:sz w:val="22"/>
          <w:szCs w:val="22"/>
        </w:rPr>
        <w:noBreakHyphen/>
      </w:r>
      <w:r w:rsidRPr="00B50320">
        <w:rPr>
          <w:rFonts w:ascii="Arial" w:eastAsia="Times New Roman" w:hAnsi="Arial" w:cs="Arial"/>
          <w:sz w:val="22"/>
          <w:szCs w:val="22"/>
        </w:rPr>
        <w:t>20</w:t>
      </w:r>
      <w:r w:rsidRPr="00B50320" w:rsidR="00644AB4">
        <w:rPr>
          <w:rFonts w:ascii="Arial" w:eastAsia="Times New Roman" w:hAnsi="Arial" w:cs="Arial"/>
          <w:sz w:val="22"/>
          <w:szCs w:val="22"/>
        </w:rPr>
        <w:noBreakHyphen/>
      </w:r>
      <w:r w:rsidRPr="00B50320">
        <w:rPr>
          <w:rFonts w:ascii="Arial" w:eastAsia="Times New Roman" w:hAnsi="Arial" w:cs="Arial"/>
          <w:sz w:val="22"/>
          <w:szCs w:val="22"/>
        </w:rPr>
        <w:t>0093 (</w:t>
      </w:r>
      <w:r w:rsidR="009D6BB9">
        <w:rPr>
          <w:rFonts w:ascii="Arial" w:eastAsia="Times New Roman" w:hAnsi="Arial" w:cs="Arial"/>
          <w:sz w:val="22"/>
          <w:szCs w:val="22"/>
        </w:rPr>
        <w:t>NEI2</w:t>
      </w:r>
      <w:r w:rsidRPr="00B50320">
        <w:rPr>
          <w:rFonts w:ascii="Arial" w:eastAsia="Times New Roman" w:hAnsi="Arial" w:cs="Arial"/>
          <w:sz w:val="22"/>
          <w:szCs w:val="22"/>
        </w:rPr>
        <w:t xml:space="preserve">-0215, </w:t>
      </w:r>
      <w:r w:rsidR="00AE0B17">
        <w:rPr>
          <w:rFonts w:ascii="Arial" w:hAnsi="Arial" w:cs="Arial"/>
          <w:sz w:val="22"/>
          <w:szCs w:val="22"/>
        </w:rPr>
        <w:t>USNIC2</w:t>
      </w:r>
      <w:r w:rsidRPr="00B50320">
        <w:rPr>
          <w:rFonts w:ascii="Arial" w:hAnsi="Arial" w:cs="Arial"/>
          <w:sz w:val="22"/>
          <w:szCs w:val="22"/>
        </w:rPr>
        <w:t>-0035)</w:t>
      </w:r>
      <w:r w:rsidRPr="00B50320">
        <w:rPr>
          <w:rFonts w:ascii="Arial" w:eastAsia="Times New Roman" w:hAnsi="Arial" w:cs="Arial"/>
          <w:sz w:val="22"/>
          <w:szCs w:val="22"/>
        </w:rPr>
        <w:t xml:space="preserve">. </w:t>
      </w:r>
    </w:p>
    <w:p w:rsidR="007F112A" w:rsidRPr="006576A5" w:rsidP="00B50320" w14:paraId="43E0212C" w14:textId="77777777">
      <w:pPr>
        <w:spacing w:after="220"/>
        <w:rPr>
          <w:rFonts w:ascii="Arial" w:hAnsi="Arial" w:cs="Arial"/>
          <w:sz w:val="22"/>
          <w:szCs w:val="22"/>
        </w:rPr>
      </w:pPr>
      <w:r w:rsidRPr="00B50320">
        <w:rPr>
          <w:rFonts w:ascii="Arial" w:eastAsia="Times New Roman" w:hAnsi="Arial" w:cs="Arial"/>
          <w:sz w:val="22"/>
          <w:szCs w:val="22"/>
        </w:rPr>
        <w:t>One of the commenters discussed that they submitted a proposal paper entitled “Regulations of Rapid High-Volume Deployable Reactors in Remote Applications</w:t>
      </w:r>
      <w:r w:rsidRPr="00B50320" w:rsidR="00BA72D1">
        <w:rPr>
          <w:rFonts w:ascii="Arial" w:eastAsia="Times New Roman" w:hAnsi="Arial" w:cs="Arial"/>
          <w:sz w:val="22"/>
          <w:szCs w:val="22"/>
        </w:rPr>
        <w:t> </w:t>
      </w:r>
      <w:r w:rsidRPr="00B50320">
        <w:rPr>
          <w:rFonts w:ascii="Arial" w:eastAsia="Times New Roman" w:hAnsi="Arial" w:cs="Arial"/>
          <w:sz w:val="22"/>
          <w:szCs w:val="22"/>
        </w:rPr>
        <w:t>(RHDRA) and Other Advanced Reactors” to address issues in section 208 of the ADVANCE Act and recommended that NRC consider the report when updating 10 CFR</w:t>
      </w:r>
      <w:r w:rsidRPr="00B50320" w:rsidR="00614D81">
        <w:rPr>
          <w:rFonts w:ascii="Arial" w:eastAsia="Times New Roman" w:hAnsi="Arial" w:cs="Arial"/>
          <w:sz w:val="22"/>
          <w:szCs w:val="22"/>
        </w:rPr>
        <w:t> </w:t>
      </w:r>
      <w:r w:rsidRPr="00B50320">
        <w:rPr>
          <w:rFonts w:ascii="Arial" w:eastAsia="Times New Roman" w:hAnsi="Arial" w:cs="Arial"/>
          <w:sz w:val="22"/>
          <w:szCs w:val="22"/>
        </w:rPr>
        <w:t>Part 53 to be inclusive of microreactor technologies (</w:t>
      </w:r>
      <w:r w:rsidR="009D6BB9">
        <w:rPr>
          <w:rFonts w:ascii="Arial" w:eastAsia="Times New Roman" w:hAnsi="Arial" w:cs="Arial"/>
          <w:sz w:val="22"/>
          <w:szCs w:val="22"/>
        </w:rPr>
        <w:t>NEI2</w:t>
      </w:r>
      <w:r w:rsidRPr="00B50320">
        <w:rPr>
          <w:rFonts w:ascii="Arial" w:eastAsia="Times New Roman" w:hAnsi="Arial" w:cs="Arial"/>
          <w:sz w:val="22"/>
          <w:szCs w:val="22"/>
        </w:rPr>
        <w:t>-0250).</w:t>
      </w:r>
    </w:p>
    <w:p w:rsidR="00614D81" w:rsidRPr="00B50320" w:rsidP="00B50320" w14:paraId="086562C3"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7F112A" w:rsidRPr="00B50320" w:rsidP="00B50320" w14:paraId="348A9B26" w14:textId="77777777">
      <w:pPr>
        <w:spacing w:after="220"/>
        <w:rPr>
          <w:rFonts w:ascii="Arial" w:hAnsi="Arial" w:cs="Arial"/>
          <w:sz w:val="22"/>
          <w:szCs w:val="22"/>
        </w:rPr>
      </w:pPr>
      <w:r w:rsidRPr="00B50320">
        <w:rPr>
          <w:rFonts w:ascii="Arial" w:hAnsi="Arial" w:cs="Arial"/>
          <w:sz w:val="22"/>
          <w:szCs w:val="22"/>
        </w:rPr>
        <w:t>The NRC agrees that the 10 CFR Part 53 rule addresses many items from the ADVANCE Act to some extent but disagrees that additional changes are needed in 10</w:t>
      </w:r>
      <w:r w:rsidRPr="00B50320" w:rsidR="00DC7CB6">
        <w:rPr>
          <w:rFonts w:ascii="Arial" w:hAnsi="Arial" w:cs="Arial"/>
          <w:sz w:val="22"/>
          <w:szCs w:val="22"/>
        </w:rPr>
        <w:t> </w:t>
      </w:r>
      <w:r w:rsidRPr="00B50320">
        <w:rPr>
          <w:rFonts w:ascii="Arial" w:hAnsi="Arial" w:cs="Arial"/>
          <w:sz w:val="22"/>
          <w:szCs w:val="22"/>
        </w:rPr>
        <w:t xml:space="preserve">CFR Part 53. A key objective of the 10 CFR Part 53 rulemaking was to develop a technology-inclusive alternative to the existing licensing processes in 10 CFR Parts 50 and 52. </w:t>
      </w:r>
      <w:r w:rsidR="0070602D">
        <w:rPr>
          <w:rFonts w:ascii="Arial" w:hAnsi="Arial" w:cs="Arial"/>
          <w:sz w:val="22"/>
          <w:szCs w:val="22"/>
        </w:rPr>
        <w:t xml:space="preserve">As described in the response to </w:t>
      </w:r>
      <w:r w:rsidRPr="0070602D" w:rsidR="0070602D">
        <w:rPr>
          <w:rFonts w:ascii="Arial" w:hAnsi="Arial" w:cs="Arial"/>
          <w:sz w:val="22"/>
          <w:szCs w:val="22"/>
        </w:rPr>
        <w:t>Comment Bin 3.4.2.A</w:t>
      </w:r>
      <w:r w:rsidR="0070602D">
        <w:rPr>
          <w:rFonts w:ascii="Arial" w:hAnsi="Arial" w:cs="Arial"/>
          <w:sz w:val="22"/>
          <w:szCs w:val="22"/>
        </w:rPr>
        <w:t xml:space="preserve">, the NRC revised </w:t>
      </w:r>
      <w:r w:rsidR="00931B91">
        <w:rPr>
          <w:rFonts w:ascii="Arial" w:hAnsi="Arial" w:cs="Arial"/>
          <w:sz w:val="22"/>
          <w:szCs w:val="22"/>
        </w:rPr>
        <w:t>10 CFR 53.</w:t>
      </w:r>
      <w:r w:rsidR="00116F11">
        <w:rPr>
          <w:rFonts w:ascii="Arial" w:hAnsi="Arial" w:cs="Arial"/>
          <w:sz w:val="22"/>
          <w:szCs w:val="22"/>
        </w:rPr>
        <w:t xml:space="preserve">530(b) </w:t>
      </w:r>
      <w:r w:rsidR="00BE774E">
        <w:rPr>
          <w:rFonts w:ascii="Arial" w:hAnsi="Arial" w:cs="Arial"/>
          <w:sz w:val="22"/>
          <w:szCs w:val="22"/>
        </w:rPr>
        <w:t xml:space="preserve">to provide additional flexibility </w:t>
      </w:r>
      <w:r w:rsidR="00D52107">
        <w:rPr>
          <w:rFonts w:ascii="Arial" w:hAnsi="Arial" w:cs="Arial"/>
          <w:sz w:val="22"/>
          <w:szCs w:val="22"/>
        </w:rPr>
        <w:t xml:space="preserve">for the possible siting of commercial nuclear plants </w:t>
      </w:r>
      <w:r w:rsidR="000B2F18">
        <w:rPr>
          <w:rFonts w:ascii="Arial" w:hAnsi="Arial" w:cs="Arial"/>
          <w:sz w:val="22"/>
          <w:szCs w:val="22"/>
        </w:rPr>
        <w:t xml:space="preserve">in </w:t>
      </w:r>
      <w:r w:rsidR="00E52664">
        <w:rPr>
          <w:rFonts w:ascii="Arial" w:hAnsi="Arial" w:cs="Arial"/>
          <w:sz w:val="22"/>
          <w:szCs w:val="22"/>
        </w:rPr>
        <w:t>areas with high population densities.</w:t>
      </w:r>
      <w:r w:rsidR="006E7199">
        <w:rPr>
          <w:rFonts w:ascii="Arial" w:hAnsi="Arial" w:cs="Arial"/>
          <w:sz w:val="22"/>
          <w:szCs w:val="22"/>
        </w:rPr>
        <w:t xml:space="preserve"> </w:t>
      </w:r>
      <w:r w:rsidRPr="00B50320">
        <w:rPr>
          <w:rFonts w:ascii="Arial" w:hAnsi="Arial" w:cs="Arial"/>
          <w:sz w:val="22"/>
          <w:szCs w:val="22"/>
        </w:rPr>
        <w:t xml:space="preserve">However, the NRC acknowledges that the final rule may not completely address every regulatory issue for every potential future advanced reactor. </w:t>
      </w:r>
      <w:r w:rsidRPr="00B50320" w:rsidR="00436583">
        <w:rPr>
          <w:rFonts w:ascii="Arial" w:hAnsi="Arial" w:cs="Arial"/>
          <w:sz w:val="22"/>
          <w:szCs w:val="22"/>
        </w:rPr>
        <w:t>For example, t</w:t>
      </w:r>
      <w:r w:rsidRPr="00B50320">
        <w:rPr>
          <w:rFonts w:ascii="Arial" w:hAnsi="Arial" w:cs="Arial"/>
          <w:sz w:val="22"/>
          <w:szCs w:val="22"/>
        </w:rPr>
        <w:t>o address microreactor issues</w:t>
      </w:r>
      <w:r w:rsidRPr="00B50320" w:rsidR="0048488A">
        <w:rPr>
          <w:rFonts w:ascii="Arial" w:hAnsi="Arial" w:cs="Arial"/>
          <w:sz w:val="22"/>
          <w:szCs w:val="22"/>
        </w:rPr>
        <w:t>,</w:t>
      </w:r>
      <w:r w:rsidRPr="00B50320">
        <w:rPr>
          <w:rFonts w:ascii="Arial" w:hAnsi="Arial" w:cs="Arial"/>
          <w:sz w:val="22"/>
          <w:szCs w:val="22"/>
        </w:rPr>
        <w:t xml:space="preserve"> such as those raised in the comments, the NRC has initiated development of an additional rulemaking to expedite licensing of qualified microreactors and other potentially low risk, low consequence reactors, consistent with the ADVANCE Act and EOs issued in 2025. </w:t>
      </w:r>
    </w:p>
    <w:p w:rsidR="007F112A" w:rsidRPr="00B50320" w:rsidP="00B50320" w14:paraId="446EBF25" w14:textId="77777777">
      <w:pPr>
        <w:spacing w:after="220"/>
        <w:rPr>
          <w:rFonts w:ascii="Arial" w:hAnsi="Arial" w:cs="Arial"/>
          <w:sz w:val="22"/>
          <w:szCs w:val="22"/>
        </w:rPr>
      </w:pPr>
      <w:r w:rsidRPr="00B50320">
        <w:rPr>
          <w:rFonts w:ascii="Arial" w:hAnsi="Arial" w:cs="Arial"/>
          <w:sz w:val="22"/>
          <w:szCs w:val="22"/>
        </w:rPr>
        <w:t xml:space="preserve">Regarding the comment’s suggestion to allow risk evaluation techniques other than probabilistic risk assessments and other changes related to the possible deployment of microreactors, see the </w:t>
      </w:r>
      <w:r w:rsidR="0067656B">
        <w:rPr>
          <w:rFonts w:ascii="Arial" w:hAnsi="Arial" w:cs="Arial"/>
          <w:sz w:val="22"/>
          <w:szCs w:val="22"/>
        </w:rPr>
        <w:t>NRC’s</w:t>
      </w:r>
      <w:r w:rsidRPr="00B50320">
        <w:rPr>
          <w:rFonts w:ascii="Arial" w:hAnsi="Arial" w:cs="Arial"/>
          <w:sz w:val="22"/>
          <w:szCs w:val="22"/>
        </w:rPr>
        <w:t xml:space="preserve"> response</w:t>
      </w:r>
      <w:r w:rsidR="0017157E">
        <w:rPr>
          <w:rFonts w:ascii="Arial" w:hAnsi="Arial" w:cs="Arial"/>
          <w:sz w:val="22"/>
          <w:szCs w:val="22"/>
        </w:rPr>
        <w:t>s</w:t>
      </w:r>
      <w:r w:rsidRPr="00B50320">
        <w:rPr>
          <w:rFonts w:ascii="Arial" w:hAnsi="Arial" w:cs="Arial"/>
          <w:sz w:val="22"/>
          <w:szCs w:val="22"/>
        </w:rPr>
        <w:t xml:space="preserve"> to </w:t>
      </w:r>
      <w:r w:rsidRPr="00B50320" w:rsidR="006F7115">
        <w:rPr>
          <w:rFonts w:ascii="Arial" w:hAnsi="Arial" w:cs="Arial"/>
          <w:sz w:val="22"/>
          <w:szCs w:val="22"/>
        </w:rPr>
        <w:t>C</w:t>
      </w:r>
      <w:r w:rsidRPr="00B50320">
        <w:rPr>
          <w:rFonts w:ascii="Arial" w:hAnsi="Arial" w:cs="Arial"/>
          <w:sz w:val="22"/>
          <w:szCs w:val="22"/>
        </w:rPr>
        <w:t>omment</w:t>
      </w:r>
      <w:r w:rsidRPr="00B50320" w:rsidR="006F7115">
        <w:rPr>
          <w:rFonts w:ascii="Arial" w:hAnsi="Arial" w:cs="Arial"/>
          <w:sz w:val="22"/>
          <w:szCs w:val="22"/>
        </w:rPr>
        <w:t xml:space="preserve"> Bin</w:t>
      </w:r>
      <w:r w:rsidRPr="00B50320">
        <w:rPr>
          <w:rFonts w:ascii="Arial" w:hAnsi="Arial" w:cs="Arial"/>
          <w:sz w:val="22"/>
          <w:szCs w:val="22"/>
        </w:rPr>
        <w:t xml:space="preserve"> </w:t>
      </w:r>
      <w:r w:rsidRPr="00B50320" w:rsidR="006F7115">
        <w:rPr>
          <w:rFonts w:ascii="Arial" w:hAnsi="Arial" w:cs="Arial"/>
          <w:sz w:val="22"/>
          <w:szCs w:val="22"/>
        </w:rPr>
        <w:t>3.3.2.2.E</w:t>
      </w:r>
      <w:r w:rsidR="0067656B">
        <w:rPr>
          <w:rFonts w:ascii="Arial" w:hAnsi="Arial" w:cs="Arial"/>
          <w:sz w:val="22"/>
          <w:szCs w:val="22"/>
        </w:rPr>
        <w:t>, Comment Bin 3.4.2.A, Comment Bin 3.4.2.B, and Comment Bin 3.4.2.C</w:t>
      </w:r>
      <w:r w:rsidRPr="00B50320">
        <w:rPr>
          <w:rFonts w:ascii="Arial" w:hAnsi="Arial" w:cs="Arial"/>
          <w:sz w:val="22"/>
          <w:szCs w:val="22"/>
        </w:rPr>
        <w:t>.</w:t>
      </w:r>
    </w:p>
    <w:p w:rsidR="007F112A" w:rsidRPr="00B50320" w:rsidP="00B50320" w14:paraId="67A7CD13" w14:textId="77777777">
      <w:pPr>
        <w:spacing w:after="220"/>
        <w:rPr>
          <w:rFonts w:ascii="Arial" w:hAnsi="Arial" w:cs="Arial"/>
          <w:sz w:val="22"/>
          <w:szCs w:val="22"/>
        </w:rPr>
      </w:pPr>
      <w:r>
        <w:rPr>
          <w:rFonts w:ascii="Arial" w:hAnsi="Arial" w:cs="Arial"/>
          <w:sz w:val="22"/>
          <w:szCs w:val="22"/>
        </w:rPr>
        <w:t>Accordingly, t</w:t>
      </w:r>
      <w:r w:rsidRPr="00B50320">
        <w:rPr>
          <w:rFonts w:ascii="Arial" w:hAnsi="Arial" w:cs="Arial"/>
          <w:sz w:val="22"/>
          <w:szCs w:val="22"/>
        </w:rPr>
        <w:t>he NRC did not change the rule language in response to these comments.</w:t>
      </w:r>
    </w:p>
    <w:p w:rsidR="007F112A" w:rsidRPr="00B50320" w:rsidP="00B50320" w14:paraId="2B733B8E" w14:textId="77777777">
      <w:pPr>
        <w:spacing w:after="220"/>
        <w:rPr>
          <w:rFonts w:ascii="Arial" w:eastAsia="Times New Roman" w:hAnsi="Arial" w:cs="Arial"/>
          <w:b/>
          <w:sz w:val="22"/>
          <w:szCs w:val="22"/>
          <w:lang w:eastAsia="zh-CN"/>
        </w:rPr>
      </w:pPr>
      <w:r>
        <w:rPr>
          <w:rFonts w:ascii="Arial" w:eastAsia="Times New Roman" w:hAnsi="Arial" w:cs="Arial"/>
          <w:sz w:val="22"/>
          <w:szCs w:val="22"/>
          <w:lang w:eastAsia="zh-CN"/>
        </w:rPr>
        <w:pict>
          <v:rect id="_x0000_i1310" style="width:0;height:1.5pt" o:hralign="center" o:hrstd="t" o:hrnoshade="t" o:hr="t" fillcolor="black" stroked="f"/>
        </w:pict>
      </w:r>
    </w:p>
    <w:p w:rsidR="007F112A" w:rsidRPr="00B50320" w:rsidP="00B50320" w14:paraId="7EC06E67"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E</w:t>
      </w:r>
      <w:r w:rsidRPr="00B50320">
        <w:rPr>
          <w:rFonts w:ascii="Arial" w:hAnsi="Arial" w:cs="Arial"/>
          <w:b/>
          <w:sz w:val="22"/>
          <w:szCs w:val="22"/>
        </w:rPr>
        <w:t>:</w:t>
      </w:r>
      <w:r w:rsidRPr="00B50320">
        <w:rPr>
          <w:rFonts w:ascii="Arial" w:hAnsi="Arial" w:cs="Arial"/>
          <w:sz w:val="22"/>
          <w:szCs w:val="22"/>
        </w:rPr>
        <w:t xml:space="preserve"> Several commenters provided recommendations on how the ADVANCE Act should be incorporated in 10 CFR Part 53. A few commenters stated that out of the options presented in the ADVANCE Act for implementing section 208, option B, implementation through 10 CFR Part 53, is the best pathway as it would be most efficient (</w:t>
      </w:r>
      <w:r w:rsidR="00611CA0">
        <w:rPr>
          <w:rFonts w:ascii="Arial" w:hAnsi="Arial" w:cs="Arial"/>
          <w:sz w:val="22"/>
          <w:szCs w:val="22"/>
        </w:rPr>
        <w:t>RAD</w:t>
      </w:r>
      <w:r w:rsidRPr="00B50320">
        <w:rPr>
          <w:rFonts w:ascii="Arial" w:hAnsi="Arial" w:cs="Arial"/>
          <w:sz w:val="22"/>
          <w:szCs w:val="22"/>
        </w:rPr>
        <w:t xml:space="preserve">-0012, </w:t>
      </w:r>
      <w:r w:rsidR="00DF6CD2">
        <w:rPr>
          <w:rFonts w:ascii="Arial" w:hAnsi="Arial" w:cs="Arial"/>
          <w:sz w:val="22"/>
          <w:szCs w:val="22"/>
        </w:rPr>
        <w:t>NEI3</w:t>
      </w:r>
      <w:r w:rsidRPr="00B50320">
        <w:rPr>
          <w:rFonts w:ascii="Arial" w:hAnsi="Arial" w:cs="Arial"/>
          <w:sz w:val="22"/>
          <w:szCs w:val="22"/>
        </w:rPr>
        <w:t>-0004). One commenter also supported this approach because 10 CFR Part 53 is meant to be technology</w:t>
      </w:r>
      <w:r w:rsidRPr="00B50320">
        <w:rPr>
          <w:rFonts w:ascii="Arial" w:hAnsi="Arial" w:cs="Arial"/>
          <w:sz w:val="22"/>
          <w:szCs w:val="22"/>
        </w:rPr>
        <w:noBreakHyphen/>
        <w:t>inclusive and would require fewer exemptions than 10 CFR Part 50 or 10 CFR Part 52, and flexibilities under 10 CFR Part 53 would be beneficial for microreactors (</w:t>
      </w:r>
      <w:r w:rsidR="00DF6CD2">
        <w:rPr>
          <w:rFonts w:ascii="Arial" w:hAnsi="Arial" w:cs="Arial"/>
          <w:sz w:val="22"/>
          <w:szCs w:val="22"/>
        </w:rPr>
        <w:t>NEI3</w:t>
      </w:r>
      <w:r w:rsidRPr="00B50320">
        <w:rPr>
          <w:rFonts w:ascii="Arial" w:hAnsi="Arial" w:cs="Arial"/>
          <w:sz w:val="22"/>
          <w:szCs w:val="22"/>
        </w:rPr>
        <w:t xml:space="preserve">-0004). Recognizing the significantly reduced risk posed by advanced reactors, a commenter recommended that the NRC be responsive to ADVANCE Act provisions, including </w:t>
      </w:r>
      <w:r w:rsidR="00224533">
        <w:rPr>
          <w:rFonts w:ascii="Arial" w:hAnsi="Arial" w:cs="Arial"/>
          <w:sz w:val="22"/>
          <w:szCs w:val="22"/>
        </w:rPr>
        <w:t>S</w:t>
      </w:r>
      <w:r w:rsidRPr="00B50320">
        <w:rPr>
          <w:rFonts w:ascii="Arial" w:hAnsi="Arial" w:cs="Arial"/>
          <w:sz w:val="22"/>
          <w:szCs w:val="22"/>
        </w:rPr>
        <w:t>ection 208, to the maximum extent practicable, instead of initiating separate rulemakings (</w:t>
      </w:r>
      <w:r w:rsidR="00611CA0">
        <w:rPr>
          <w:rFonts w:ascii="Arial" w:hAnsi="Arial" w:cs="Arial"/>
          <w:sz w:val="22"/>
          <w:szCs w:val="22"/>
        </w:rPr>
        <w:t>RAD</w:t>
      </w:r>
      <w:r w:rsidRPr="00B50320">
        <w:rPr>
          <w:rFonts w:ascii="Arial" w:hAnsi="Arial" w:cs="Arial"/>
          <w:sz w:val="22"/>
          <w:szCs w:val="22"/>
        </w:rPr>
        <w:t>-0016).</w:t>
      </w:r>
    </w:p>
    <w:p w:rsidR="000445F7" w:rsidRPr="00B50320" w:rsidP="00B50320" w14:paraId="375871FC" w14:textId="77777777">
      <w:pPr>
        <w:spacing w:after="220"/>
        <w:rPr>
          <w:rFonts w:ascii="Arial" w:hAnsi="Arial" w:cs="Arial"/>
          <w:sz w:val="22"/>
          <w:szCs w:val="22"/>
        </w:rPr>
      </w:pPr>
      <w:r w:rsidRPr="00B50320">
        <w:rPr>
          <w:rFonts w:ascii="Arial" w:hAnsi="Arial" w:cs="Arial"/>
          <w:sz w:val="22"/>
          <w:szCs w:val="22"/>
        </w:rPr>
        <w:t>A commenter stated that the proposed rule provisions for microreactors do not accommodate varied business strategies and deployment models and explained that a practical alternative approach would integrate licensing and oversight functions with high-level performance requirements that define outcome objectives related to reactor safety, radiation safety and safeguards. The commenter recommended that 10</w:t>
      </w:r>
      <w:r w:rsidRPr="00B50320" w:rsidR="00B72A46">
        <w:rPr>
          <w:rFonts w:ascii="Arial" w:hAnsi="Arial" w:cs="Arial"/>
          <w:sz w:val="22"/>
          <w:szCs w:val="22"/>
        </w:rPr>
        <w:t> </w:t>
      </w:r>
      <w:r w:rsidRPr="00B50320">
        <w:rPr>
          <w:rFonts w:ascii="Arial" w:hAnsi="Arial" w:cs="Arial"/>
          <w:sz w:val="22"/>
          <w:szCs w:val="22"/>
        </w:rPr>
        <w:t>CFR</w:t>
      </w:r>
      <w:r w:rsidRPr="00B50320" w:rsidR="00B72A46">
        <w:rPr>
          <w:rFonts w:ascii="Arial" w:hAnsi="Arial" w:cs="Arial"/>
          <w:sz w:val="22"/>
          <w:szCs w:val="22"/>
        </w:rPr>
        <w:t> </w:t>
      </w:r>
      <w:r w:rsidRPr="00B50320">
        <w:rPr>
          <w:rFonts w:ascii="Arial" w:hAnsi="Arial" w:cs="Arial"/>
          <w:sz w:val="22"/>
          <w:szCs w:val="22"/>
        </w:rPr>
        <w:t>Part 53 be revised to include provisions for licensing and regulating microreactors and better address the ADVANCE Act’s provisions on microreactors. The commenter noted this would also satisfy NEIMA requirements. The commenter also stated that the NRC has been in preapplication engagement with several microreactor developers, yet there seems to be a lag in the NRC’s responsiveness to this class of advanced reactors, which would be further exacerbated if the need for a framework for microreactors were to be addressed under a separate rulemaking (</w:t>
      </w:r>
      <w:r w:rsidR="00C3447B">
        <w:rPr>
          <w:rFonts w:ascii="Arial" w:hAnsi="Arial" w:cs="Arial"/>
          <w:sz w:val="22"/>
          <w:szCs w:val="22"/>
        </w:rPr>
        <w:t>ROSE</w:t>
      </w:r>
      <w:r w:rsidRPr="00B50320">
        <w:rPr>
          <w:rFonts w:ascii="Arial" w:hAnsi="Arial" w:cs="Arial"/>
          <w:sz w:val="22"/>
          <w:szCs w:val="22"/>
        </w:rPr>
        <w:t xml:space="preserve">-0011, </w:t>
      </w:r>
      <w:r w:rsidR="00C3447B">
        <w:rPr>
          <w:rFonts w:ascii="Arial" w:hAnsi="Arial" w:cs="Arial"/>
          <w:sz w:val="22"/>
          <w:szCs w:val="22"/>
        </w:rPr>
        <w:t>ROSE</w:t>
      </w:r>
      <w:r w:rsidRPr="00B50320">
        <w:rPr>
          <w:rFonts w:ascii="Arial" w:hAnsi="Arial" w:cs="Arial"/>
          <w:sz w:val="22"/>
          <w:szCs w:val="22"/>
        </w:rPr>
        <w:t xml:space="preserve">-0012, </w:t>
      </w:r>
      <w:r w:rsidR="00C3447B">
        <w:rPr>
          <w:rFonts w:ascii="Arial" w:hAnsi="Arial" w:cs="Arial"/>
          <w:sz w:val="22"/>
          <w:szCs w:val="22"/>
        </w:rPr>
        <w:t>ROSE</w:t>
      </w:r>
      <w:r w:rsidRPr="00B50320">
        <w:rPr>
          <w:rFonts w:ascii="Arial" w:hAnsi="Arial" w:cs="Arial"/>
          <w:sz w:val="22"/>
          <w:szCs w:val="22"/>
        </w:rPr>
        <w:t>-0013).</w:t>
      </w:r>
    </w:p>
    <w:p w:rsidR="007F112A" w:rsidRPr="00B50320" w:rsidP="00B50320" w14:paraId="5719A118" w14:textId="77777777">
      <w:pPr>
        <w:spacing w:after="220"/>
        <w:rPr>
          <w:rFonts w:ascii="Arial" w:hAnsi="Arial" w:cs="Arial"/>
          <w:sz w:val="22"/>
          <w:szCs w:val="22"/>
        </w:rPr>
      </w:pPr>
      <w:r w:rsidRPr="00B50320">
        <w:rPr>
          <w:rFonts w:ascii="Arial" w:hAnsi="Arial" w:cs="Arial"/>
          <w:sz w:val="22"/>
          <w:szCs w:val="22"/>
        </w:rPr>
        <w:t>The commenter emphasized that if 10</w:t>
      </w:r>
      <w:r w:rsidRPr="00B50320" w:rsidR="008A66FB">
        <w:rPr>
          <w:rFonts w:ascii="Arial" w:hAnsi="Arial" w:cs="Arial"/>
          <w:sz w:val="22"/>
          <w:szCs w:val="22"/>
        </w:rPr>
        <w:t> </w:t>
      </w:r>
      <w:r w:rsidRPr="00B50320">
        <w:rPr>
          <w:rFonts w:ascii="Arial" w:hAnsi="Arial" w:cs="Arial"/>
          <w:sz w:val="22"/>
          <w:szCs w:val="22"/>
        </w:rPr>
        <w:t>CFR Part 53 is sufficiently performance-based and the definition of “utilization facility” is modernized to exclude very low-hazard advanced reactors, the rule could easily accommodate small and mobile reactors. The commenter provided specific recommendations for making 10 CFR Part 53 more performance-based, including proposed definitions and a recommendation to not limit deployment of reactors to remote locations with low population density, particularly for small reactors (</w:t>
      </w:r>
      <w:r w:rsidR="00C3447B">
        <w:rPr>
          <w:rFonts w:ascii="Arial" w:hAnsi="Arial" w:cs="Arial"/>
          <w:sz w:val="22"/>
          <w:szCs w:val="22"/>
        </w:rPr>
        <w:t>ROSE</w:t>
      </w:r>
      <w:r w:rsidRPr="00B50320">
        <w:rPr>
          <w:rFonts w:ascii="Arial" w:hAnsi="Arial" w:cs="Arial"/>
          <w:sz w:val="22"/>
          <w:szCs w:val="22"/>
        </w:rPr>
        <w:t xml:space="preserve">-0012, </w:t>
      </w:r>
      <w:r w:rsidR="00C3447B">
        <w:rPr>
          <w:rFonts w:ascii="Arial" w:hAnsi="Arial" w:cs="Arial"/>
          <w:sz w:val="22"/>
          <w:szCs w:val="22"/>
        </w:rPr>
        <w:t>ROSE</w:t>
      </w:r>
      <w:r w:rsidRPr="00B50320">
        <w:rPr>
          <w:rFonts w:ascii="Arial" w:hAnsi="Arial" w:cs="Arial"/>
          <w:sz w:val="22"/>
          <w:szCs w:val="22"/>
        </w:rPr>
        <w:t>-0013). The commenter acknowledged that their recommendations represent a transformational departure from some regulatory practices, policies, and licensing frameworks, and they are prepared to work with the NRC to enable the deployment of advanced reactors (</w:t>
      </w:r>
      <w:r w:rsidR="00C3447B">
        <w:rPr>
          <w:rFonts w:ascii="Arial" w:hAnsi="Arial" w:cs="Arial"/>
          <w:sz w:val="22"/>
          <w:szCs w:val="22"/>
        </w:rPr>
        <w:t>ROSE</w:t>
      </w:r>
      <w:r w:rsidRPr="00B50320">
        <w:rPr>
          <w:rFonts w:ascii="Arial" w:hAnsi="Arial" w:cs="Arial"/>
          <w:sz w:val="22"/>
          <w:szCs w:val="22"/>
        </w:rPr>
        <w:t>-0018).</w:t>
      </w:r>
    </w:p>
    <w:p w:rsidR="007F112A" w:rsidRPr="00B50320" w:rsidP="00B50320" w14:paraId="0D45F9AD" w14:textId="77777777">
      <w:pPr>
        <w:spacing w:after="220"/>
        <w:rPr>
          <w:rFonts w:ascii="Arial" w:hAnsi="Arial" w:cs="Arial"/>
          <w:sz w:val="22"/>
          <w:szCs w:val="22"/>
        </w:rPr>
      </w:pPr>
      <w:r w:rsidRPr="00B50320">
        <w:rPr>
          <w:rFonts w:ascii="Arial" w:hAnsi="Arial" w:cs="Arial"/>
          <w:sz w:val="22"/>
          <w:szCs w:val="22"/>
        </w:rPr>
        <w:t>The same commenter also provided a white paper presenting a risk-informed, performance</w:t>
      </w:r>
      <w:r w:rsidR="00AC1775">
        <w:rPr>
          <w:rFonts w:ascii="Arial" w:hAnsi="Arial" w:cs="Arial"/>
          <w:sz w:val="22"/>
          <w:szCs w:val="22"/>
        </w:rPr>
        <w:noBreakHyphen/>
      </w:r>
      <w:r w:rsidRPr="00B50320">
        <w:rPr>
          <w:rFonts w:ascii="Arial" w:hAnsi="Arial" w:cs="Arial"/>
          <w:sz w:val="22"/>
          <w:szCs w:val="22"/>
        </w:rPr>
        <w:t xml:space="preserve">based strategy for regulating fleet-wide small and mobile reactors, noting the presented approach aligns with a modern </w:t>
      </w:r>
      <w:r w:rsidRPr="00B50320" w:rsidR="007958D7">
        <w:rPr>
          <w:rFonts w:ascii="Arial" w:hAnsi="Arial" w:cs="Arial"/>
          <w:sz w:val="22"/>
          <w:szCs w:val="22"/>
        </w:rPr>
        <w:t>risk-informed, performance-based</w:t>
      </w:r>
      <w:r w:rsidRPr="00B50320">
        <w:rPr>
          <w:rFonts w:ascii="Arial" w:hAnsi="Arial" w:cs="Arial"/>
          <w:sz w:val="22"/>
          <w:szCs w:val="22"/>
        </w:rPr>
        <w:t xml:space="preserve"> and technology</w:t>
      </w:r>
      <w:r w:rsidR="00AC1775">
        <w:rPr>
          <w:rFonts w:ascii="Arial" w:hAnsi="Arial" w:cs="Arial"/>
          <w:sz w:val="22"/>
          <w:szCs w:val="22"/>
        </w:rPr>
        <w:noBreakHyphen/>
      </w:r>
      <w:r w:rsidRPr="00B50320">
        <w:rPr>
          <w:rFonts w:ascii="Arial" w:hAnsi="Arial" w:cs="Arial"/>
          <w:sz w:val="22"/>
          <w:szCs w:val="22"/>
        </w:rPr>
        <w:t xml:space="preserve">inclusive regulatory framework, as mandated by NEIMA and reinforced in the ADVANCE Act, specifically in </w:t>
      </w:r>
      <w:r w:rsidR="00864A69">
        <w:rPr>
          <w:rFonts w:ascii="Arial" w:hAnsi="Arial" w:cs="Arial"/>
          <w:sz w:val="22"/>
          <w:szCs w:val="22"/>
        </w:rPr>
        <w:t>S</w:t>
      </w:r>
      <w:r w:rsidRPr="00B50320">
        <w:rPr>
          <w:rFonts w:ascii="Arial" w:hAnsi="Arial" w:cs="Arial"/>
          <w:sz w:val="22"/>
          <w:szCs w:val="22"/>
        </w:rPr>
        <w:t>ection 208. The commenter stated that the proposed approach should be further developed with external stakeholders and included in 10 CFR Part 53 (</w:t>
      </w:r>
      <w:r w:rsidR="007368AE">
        <w:rPr>
          <w:rFonts w:ascii="Arial" w:hAnsi="Arial" w:cs="Arial"/>
          <w:sz w:val="22"/>
          <w:szCs w:val="22"/>
        </w:rPr>
        <w:t>RF</w:t>
      </w:r>
      <w:r w:rsidR="00AC1775">
        <w:rPr>
          <w:rFonts w:ascii="Arial" w:hAnsi="Arial" w:cs="Arial"/>
          <w:sz w:val="22"/>
          <w:szCs w:val="22"/>
        </w:rPr>
        <w:noBreakHyphen/>
      </w:r>
      <w:r w:rsidRPr="00B50320">
        <w:rPr>
          <w:rFonts w:ascii="Arial" w:hAnsi="Arial" w:cs="Arial"/>
          <w:sz w:val="22"/>
          <w:szCs w:val="22"/>
        </w:rPr>
        <w:t xml:space="preserve">0002). </w:t>
      </w:r>
    </w:p>
    <w:p w:rsidR="007F112A" w:rsidRPr="00B50320" w:rsidP="00B50320" w14:paraId="50882129" w14:textId="77777777">
      <w:pPr>
        <w:spacing w:after="220"/>
        <w:rPr>
          <w:rFonts w:ascii="Arial" w:hAnsi="Arial" w:cs="Arial"/>
          <w:sz w:val="22"/>
          <w:szCs w:val="22"/>
        </w:rPr>
      </w:pPr>
      <w:r w:rsidRPr="00B50320">
        <w:rPr>
          <w:rFonts w:ascii="Arial" w:hAnsi="Arial" w:cs="Arial"/>
          <w:sz w:val="22"/>
          <w:szCs w:val="22"/>
        </w:rPr>
        <w:t xml:space="preserve">A commenter stated that the NRC should address section 401 of the ADVANCE Act in order to increase efficiency, and address section 501 of the ADVANCE Act and the updated NRC mission statement by explicitly incorporating principles of efficiency and societal benefit to enable and advance nuclear technologies. Additionally, in order to address </w:t>
      </w:r>
      <w:r w:rsidR="00864A69">
        <w:rPr>
          <w:rFonts w:ascii="Arial" w:hAnsi="Arial" w:cs="Arial"/>
          <w:sz w:val="22"/>
          <w:szCs w:val="22"/>
        </w:rPr>
        <w:t>S</w:t>
      </w:r>
      <w:r w:rsidRPr="00B50320">
        <w:rPr>
          <w:rFonts w:ascii="Arial" w:hAnsi="Arial" w:cs="Arial"/>
          <w:sz w:val="22"/>
          <w:szCs w:val="22"/>
        </w:rPr>
        <w:t>ection 208 of the ADVANCE Act, the commenter urged the NRC to focus on tailoring 10 CFR Part 53 to the unique characteristics of microreactors, streamlining review processes, and enabling innovative deployment strategies. The commenter also recommended including language in the rule indicating that an efficient, risk-informed, and graded approach to application review should be used. The commenter also noted that existing “covered sites” and facilities may be located in areas that were once remote but have developed over time, and under existing regulations development of new facilities at these sites is limited or discouraged (</w:t>
      </w:r>
      <w:r w:rsidR="004C1A5D">
        <w:rPr>
          <w:rFonts w:ascii="Arial" w:hAnsi="Arial" w:cs="Arial"/>
          <w:sz w:val="22"/>
          <w:szCs w:val="22"/>
        </w:rPr>
        <w:t>BI1</w:t>
      </w:r>
      <w:r w:rsidRPr="00B50320">
        <w:rPr>
          <w:rFonts w:ascii="Arial" w:hAnsi="Arial" w:cs="Arial"/>
          <w:sz w:val="22"/>
          <w:szCs w:val="22"/>
        </w:rPr>
        <w:t xml:space="preserve">-0016). The same commenter also provided specific recommendations for addressing </w:t>
      </w:r>
      <w:r w:rsidR="00864A69">
        <w:rPr>
          <w:rFonts w:ascii="Arial" w:hAnsi="Arial" w:cs="Arial"/>
          <w:sz w:val="22"/>
          <w:szCs w:val="22"/>
        </w:rPr>
        <w:t>S</w:t>
      </w:r>
      <w:r w:rsidRPr="00B50320">
        <w:rPr>
          <w:rFonts w:ascii="Arial" w:hAnsi="Arial" w:cs="Arial"/>
          <w:sz w:val="22"/>
          <w:szCs w:val="22"/>
        </w:rPr>
        <w:t>ection</w:t>
      </w:r>
      <w:r w:rsidR="00B90A8C">
        <w:rPr>
          <w:rFonts w:ascii="Arial" w:hAnsi="Arial" w:cs="Arial"/>
          <w:sz w:val="22"/>
          <w:szCs w:val="22"/>
        </w:rPr>
        <w:t>s</w:t>
      </w:r>
      <w:r w:rsidRPr="00B50320">
        <w:rPr>
          <w:rFonts w:ascii="Arial" w:hAnsi="Arial" w:cs="Arial"/>
          <w:sz w:val="22"/>
          <w:szCs w:val="22"/>
        </w:rPr>
        <w:t xml:space="preserve"> 208, 401, 501 and 505 of the ADVANCE Act, including preamble language, proposed definitions, proposed regulatory revisions, and recommendations for guidance that should be developed (</w:t>
      </w:r>
      <w:r w:rsidR="004C1A5D">
        <w:rPr>
          <w:rFonts w:ascii="Arial" w:hAnsi="Arial" w:cs="Arial"/>
          <w:sz w:val="22"/>
          <w:szCs w:val="22"/>
        </w:rPr>
        <w:t>BI1</w:t>
      </w:r>
      <w:r w:rsidRPr="00B50320">
        <w:rPr>
          <w:rFonts w:ascii="Arial" w:hAnsi="Arial" w:cs="Arial"/>
          <w:sz w:val="22"/>
          <w:szCs w:val="22"/>
        </w:rPr>
        <w:t xml:space="preserve">-0020, </w:t>
      </w:r>
      <w:r w:rsidR="004C1A5D">
        <w:rPr>
          <w:rFonts w:ascii="Arial" w:hAnsi="Arial" w:cs="Arial"/>
          <w:sz w:val="22"/>
          <w:szCs w:val="22"/>
        </w:rPr>
        <w:t>BI1</w:t>
      </w:r>
      <w:r w:rsidRPr="00B50320">
        <w:rPr>
          <w:rFonts w:ascii="Arial" w:hAnsi="Arial" w:cs="Arial"/>
          <w:sz w:val="22"/>
          <w:szCs w:val="22"/>
        </w:rPr>
        <w:t xml:space="preserve">-0021, </w:t>
      </w:r>
      <w:r w:rsidR="004C1A5D">
        <w:rPr>
          <w:rFonts w:ascii="Arial" w:hAnsi="Arial" w:cs="Arial"/>
          <w:sz w:val="22"/>
          <w:szCs w:val="22"/>
        </w:rPr>
        <w:t>BI1</w:t>
      </w:r>
      <w:r w:rsidRPr="00B50320">
        <w:rPr>
          <w:rFonts w:ascii="Arial" w:hAnsi="Arial" w:cs="Arial"/>
          <w:sz w:val="22"/>
          <w:szCs w:val="22"/>
        </w:rPr>
        <w:t xml:space="preserve">-0022). </w:t>
      </w:r>
    </w:p>
    <w:p w:rsidR="007F112A" w:rsidRPr="00B50320" w:rsidP="00B50320" w14:paraId="116D0E65" w14:textId="77777777">
      <w:pPr>
        <w:spacing w:after="220"/>
        <w:rPr>
          <w:rFonts w:ascii="Arial" w:hAnsi="Arial" w:cs="Arial"/>
          <w:sz w:val="22"/>
          <w:szCs w:val="22"/>
        </w:rPr>
      </w:pPr>
      <w:r w:rsidRPr="00B50320">
        <w:rPr>
          <w:rFonts w:ascii="Arial" w:hAnsi="Arial" w:cs="Arial"/>
          <w:sz w:val="22"/>
          <w:szCs w:val="22"/>
        </w:rPr>
        <w:t>In order to address the ADVANCE Act provisions regarding regulatory efficiency, one commenter expressed support for another commenter’s recommendation for the NRC to pursue more aggressive changes in 10 CFR Part 53 to enable the use and deployment of microreactors (</w:t>
      </w:r>
      <w:r w:rsidR="00333B47">
        <w:rPr>
          <w:rFonts w:ascii="Arial" w:hAnsi="Arial" w:cs="Arial"/>
          <w:sz w:val="22"/>
          <w:szCs w:val="22"/>
        </w:rPr>
        <w:t>WEST1</w:t>
      </w:r>
      <w:r w:rsidRPr="00B50320">
        <w:rPr>
          <w:rFonts w:ascii="Arial" w:hAnsi="Arial" w:cs="Arial"/>
          <w:sz w:val="22"/>
          <w:szCs w:val="22"/>
        </w:rPr>
        <w:t xml:space="preserve">-0003). The commenter also stated that the proposed rule contains prescriptive </w:t>
      </w:r>
      <w:r w:rsidRPr="00B50320">
        <w:rPr>
          <w:rFonts w:ascii="Arial" w:hAnsi="Arial" w:cs="Arial"/>
          <w:sz w:val="22"/>
          <w:szCs w:val="22"/>
        </w:rPr>
        <w:t xml:space="preserve">requirements that would be overly burdensome for microreactors and does not address all areas that would be needed for deployment of all types of advanced reactors, including those </w:t>
      </w:r>
      <w:r w:rsidRPr="00B50320">
        <w:rPr>
          <w:rFonts w:ascii="Arial" w:eastAsia="Times New Roman" w:hAnsi="Arial" w:cs="Arial"/>
          <w:sz w:val="22"/>
          <w:szCs w:val="22"/>
        </w:rPr>
        <w:t>described in NEI’s RHDRA report and items the commenter previously submitted correspondence on</w:t>
      </w:r>
      <w:r w:rsidRPr="00B50320">
        <w:rPr>
          <w:rFonts w:ascii="Arial" w:hAnsi="Arial" w:cs="Arial"/>
          <w:sz w:val="22"/>
          <w:szCs w:val="22"/>
        </w:rPr>
        <w:t>. The commenter stated this would include the licensing of replacement microreactor modules at an operating site or the reuse of a refurbished microreactor module. The commenter urged the NRC to take action on such topics to align 10</w:t>
      </w:r>
      <w:r w:rsidR="00885DC9">
        <w:rPr>
          <w:rFonts w:ascii="Arial" w:hAnsi="Arial" w:cs="Arial"/>
          <w:sz w:val="22"/>
          <w:szCs w:val="22"/>
        </w:rPr>
        <w:t> </w:t>
      </w:r>
      <w:r w:rsidRPr="00B50320">
        <w:rPr>
          <w:rFonts w:ascii="Arial" w:hAnsi="Arial" w:cs="Arial"/>
          <w:sz w:val="22"/>
          <w:szCs w:val="22"/>
        </w:rPr>
        <w:t>CFR Part 53 with the provisions of the ADVANCE Act (</w:t>
      </w:r>
      <w:r w:rsidR="00333B47">
        <w:rPr>
          <w:rFonts w:ascii="Arial" w:hAnsi="Arial" w:cs="Arial"/>
          <w:sz w:val="22"/>
          <w:szCs w:val="22"/>
        </w:rPr>
        <w:t>WEST1</w:t>
      </w:r>
      <w:r w:rsidRPr="00B50320">
        <w:rPr>
          <w:rFonts w:ascii="Arial" w:hAnsi="Arial" w:cs="Arial"/>
          <w:sz w:val="22"/>
          <w:szCs w:val="22"/>
        </w:rPr>
        <w:t>-0009).</w:t>
      </w:r>
    </w:p>
    <w:p w:rsidR="007F112A" w:rsidRPr="00B50320" w:rsidP="00B50320" w14:paraId="1FCDECC5" w14:textId="77777777">
      <w:pPr>
        <w:spacing w:after="220"/>
        <w:rPr>
          <w:rFonts w:ascii="Arial" w:hAnsi="Arial" w:cs="Arial"/>
          <w:sz w:val="22"/>
          <w:szCs w:val="22"/>
        </w:rPr>
      </w:pPr>
      <w:r w:rsidRPr="00B50320">
        <w:rPr>
          <w:rFonts w:ascii="Arial" w:hAnsi="Arial" w:cs="Arial"/>
          <w:sz w:val="22"/>
          <w:szCs w:val="22"/>
        </w:rPr>
        <w:t>One commenter stated that the ADVANCE Act contains many high</w:t>
      </w:r>
      <w:r w:rsidRPr="00B50320" w:rsidR="00A17568">
        <w:rPr>
          <w:rFonts w:ascii="Arial" w:hAnsi="Arial" w:cs="Arial"/>
          <w:sz w:val="22"/>
          <w:szCs w:val="22"/>
        </w:rPr>
        <w:noBreakHyphen/>
      </w:r>
      <w:r w:rsidRPr="00B50320">
        <w:rPr>
          <w:rFonts w:ascii="Arial" w:hAnsi="Arial" w:cs="Arial"/>
          <w:sz w:val="22"/>
          <w:szCs w:val="22"/>
        </w:rPr>
        <w:t>level goals that should be incorporated into 10 CFR Part 53 and listed sections of the ADVANCE Act that are related to 10</w:t>
      </w:r>
      <w:r w:rsidR="00D21D6E">
        <w:rPr>
          <w:rFonts w:ascii="Arial" w:hAnsi="Arial" w:cs="Arial"/>
          <w:sz w:val="22"/>
          <w:szCs w:val="22"/>
        </w:rPr>
        <w:t> </w:t>
      </w:r>
      <w:r w:rsidRPr="00B50320">
        <w:rPr>
          <w:rFonts w:ascii="Arial" w:hAnsi="Arial" w:cs="Arial"/>
          <w:sz w:val="22"/>
          <w:szCs w:val="22"/>
        </w:rPr>
        <w:t xml:space="preserve">CFR Part 53, including </w:t>
      </w:r>
      <w:r w:rsidR="008643F2">
        <w:rPr>
          <w:rFonts w:ascii="Arial" w:hAnsi="Arial" w:cs="Arial"/>
          <w:sz w:val="22"/>
          <w:szCs w:val="22"/>
        </w:rPr>
        <w:t>S</w:t>
      </w:r>
      <w:r w:rsidRPr="00B50320">
        <w:rPr>
          <w:rFonts w:ascii="Arial" w:hAnsi="Arial" w:cs="Arial"/>
          <w:sz w:val="22"/>
          <w:szCs w:val="22"/>
        </w:rPr>
        <w:t>ections 203, 206, 207, 208, 401, 501, 504, 505, 506, and 507 (</w:t>
      </w:r>
      <w:r w:rsidR="003C29B7">
        <w:rPr>
          <w:rFonts w:ascii="Arial" w:hAnsi="Arial" w:cs="Arial"/>
          <w:sz w:val="22"/>
          <w:szCs w:val="22"/>
        </w:rPr>
        <w:t>CP</w:t>
      </w:r>
      <w:r w:rsidRPr="00B50320">
        <w:rPr>
          <w:rFonts w:ascii="Arial" w:hAnsi="Arial" w:cs="Arial"/>
          <w:sz w:val="22"/>
          <w:szCs w:val="22"/>
        </w:rPr>
        <w:t>-0006).</w:t>
      </w:r>
    </w:p>
    <w:p w:rsidR="007F112A" w:rsidRPr="00B50320" w:rsidP="00B50320" w14:paraId="3A00FE42"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7F112A" w:rsidRPr="00B50320" w:rsidP="00B50320" w14:paraId="532708C3" w14:textId="51195B62">
      <w:pPr>
        <w:spacing w:after="220"/>
        <w:rPr>
          <w:rFonts w:ascii="Arial" w:hAnsi="Arial" w:cs="Arial"/>
          <w:sz w:val="22"/>
          <w:szCs w:val="22"/>
        </w:rPr>
      </w:pPr>
      <w:r w:rsidRPr="00B50320">
        <w:rPr>
          <w:rFonts w:ascii="Arial" w:hAnsi="Arial" w:cs="Arial"/>
          <w:sz w:val="22"/>
          <w:szCs w:val="22"/>
        </w:rPr>
        <w:t xml:space="preserve">Regarding those comments suggesting that 10 CFR Part 53 address </w:t>
      </w:r>
      <w:r w:rsidR="008643F2">
        <w:rPr>
          <w:rFonts w:ascii="Arial" w:hAnsi="Arial" w:cs="Arial"/>
          <w:sz w:val="22"/>
          <w:szCs w:val="22"/>
        </w:rPr>
        <w:t>S</w:t>
      </w:r>
      <w:r w:rsidRPr="00B50320">
        <w:rPr>
          <w:rFonts w:ascii="Arial" w:hAnsi="Arial" w:cs="Arial"/>
          <w:sz w:val="22"/>
          <w:szCs w:val="22"/>
        </w:rPr>
        <w:t>ection 208 of the A</w:t>
      </w:r>
      <w:r w:rsidRPr="00B50320" w:rsidR="00F05462">
        <w:rPr>
          <w:rFonts w:ascii="Arial" w:hAnsi="Arial" w:cs="Arial"/>
          <w:sz w:val="22"/>
          <w:szCs w:val="22"/>
        </w:rPr>
        <w:t>DVANCE</w:t>
      </w:r>
      <w:r w:rsidRPr="00B50320">
        <w:rPr>
          <w:rFonts w:ascii="Arial" w:hAnsi="Arial" w:cs="Arial"/>
          <w:sz w:val="22"/>
          <w:szCs w:val="22"/>
        </w:rPr>
        <w:t xml:space="preserve"> Act related to microreactors, the NRC has included some provisions, such as those in 10 CFR 53.620 supporting factory loading of fuel in a manufactured reactor, to better accommodate deployment models for microreactors. </w:t>
      </w:r>
      <w:r w:rsidR="006A0200">
        <w:rPr>
          <w:rFonts w:ascii="Arial" w:hAnsi="Arial" w:cs="Arial"/>
          <w:sz w:val="22"/>
          <w:szCs w:val="22"/>
        </w:rPr>
        <w:t xml:space="preserve">The </w:t>
      </w:r>
      <w:r w:rsidRPr="006338E5" w:rsidR="006338E5">
        <w:rPr>
          <w:rFonts w:ascii="Arial" w:hAnsi="Arial" w:cs="Arial"/>
          <w:sz w:val="22"/>
          <w:szCs w:val="22"/>
        </w:rPr>
        <w:t>NRC disagrees that further changes to 10</w:t>
      </w:r>
      <w:r w:rsidR="00690FBE">
        <w:rPr>
          <w:rFonts w:ascii="Arial" w:hAnsi="Arial" w:cs="Arial"/>
          <w:sz w:val="22"/>
          <w:szCs w:val="22"/>
        </w:rPr>
        <w:t> </w:t>
      </w:r>
      <w:r w:rsidRPr="006338E5" w:rsidR="006338E5">
        <w:rPr>
          <w:rFonts w:ascii="Arial" w:hAnsi="Arial" w:cs="Arial"/>
          <w:sz w:val="22"/>
          <w:szCs w:val="22"/>
        </w:rPr>
        <w:t>CFR Part 53 are necessary to enable the use and deployment of the full range of technologies and reactor sizes, as 10 CFR Part 53 is already technology-inclusive and sufficiently performance-based.</w:t>
      </w:r>
      <w:r w:rsidRPr="00B50320">
        <w:rPr>
          <w:rFonts w:ascii="Arial" w:hAnsi="Arial" w:cs="Arial"/>
          <w:sz w:val="22"/>
          <w:szCs w:val="22"/>
        </w:rPr>
        <w:t xml:space="preserve"> The NRC also acknowledges the comments that the NRC should address sections of the ADVANCE Act other than </w:t>
      </w:r>
      <w:r w:rsidR="008643F2">
        <w:rPr>
          <w:rFonts w:ascii="Arial" w:hAnsi="Arial" w:cs="Arial"/>
          <w:sz w:val="22"/>
          <w:szCs w:val="22"/>
        </w:rPr>
        <w:t>S</w:t>
      </w:r>
      <w:r w:rsidRPr="00B50320">
        <w:rPr>
          <w:rFonts w:ascii="Arial" w:hAnsi="Arial" w:cs="Arial"/>
          <w:sz w:val="22"/>
          <w:szCs w:val="22"/>
        </w:rPr>
        <w:t xml:space="preserve">ection 208 within 10 CFR Part 53, and the NRC has strived to achieve many of the high-level principles from the ADVANCE Act within 10 CFR Part 53. However, while a key objective of the 10 CFR Part 53 rulemaking was to develop a technology-inclusive alternative to the existing licensing processes in 10 CFR Parts 50 and 52, the NRC acknowledges that the final rule may not completely address every regulatory issue for every potential future advanced reactor. Nevertheless, consistent with the ADVANCE Act and EOs issued in 2025, </w:t>
      </w:r>
      <w:r w:rsidRPr="00B50320" w:rsidR="00B0677C">
        <w:rPr>
          <w:rFonts w:ascii="Arial" w:hAnsi="Arial" w:cs="Arial"/>
          <w:sz w:val="22"/>
          <w:szCs w:val="22"/>
        </w:rPr>
        <w:t xml:space="preserve">the </w:t>
      </w:r>
      <w:r w:rsidRPr="00B50320">
        <w:rPr>
          <w:rFonts w:ascii="Arial" w:hAnsi="Arial" w:cs="Arial"/>
          <w:sz w:val="22"/>
          <w:szCs w:val="22"/>
        </w:rPr>
        <w:t>NRC has initiated development of an additional rulemaking to expedite licensing of qualified microreactors and other potentially low risk, low consequence reactors. This activity, along with NRC guidance development activities, is intended to address questions such as those raised by the comments in a holistic manner.</w:t>
      </w:r>
    </w:p>
    <w:p w:rsidR="007F112A" w:rsidRPr="00B50320" w:rsidP="00B50320" w14:paraId="1B87F211" w14:textId="77777777">
      <w:pPr>
        <w:spacing w:after="220"/>
        <w:rPr>
          <w:rFonts w:ascii="Arial" w:hAnsi="Arial" w:cs="Arial"/>
          <w:sz w:val="22"/>
          <w:szCs w:val="22"/>
        </w:rPr>
      </w:pPr>
      <w:r w:rsidRPr="00B50320">
        <w:rPr>
          <w:rFonts w:ascii="Arial" w:hAnsi="Arial" w:cs="Arial"/>
          <w:sz w:val="22"/>
          <w:szCs w:val="22"/>
        </w:rPr>
        <w:t xml:space="preserve">The NRC cautions against broad arguments that there is a reduced risk profile for any general class of reactors. While reactor designs </w:t>
      </w:r>
      <w:r w:rsidR="00BA23B7">
        <w:rPr>
          <w:rFonts w:ascii="Arial" w:hAnsi="Arial" w:cs="Arial"/>
          <w:sz w:val="22"/>
          <w:szCs w:val="22"/>
        </w:rPr>
        <w:t>that use</w:t>
      </w:r>
      <w:r w:rsidRPr="00B50320" w:rsidR="00BA23B7">
        <w:rPr>
          <w:rFonts w:ascii="Arial" w:hAnsi="Arial" w:cs="Arial"/>
          <w:sz w:val="22"/>
          <w:szCs w:val="22"/>
        </w:rPr>
        <w:t xml:space="preserve"> </w:t>
      </w:r>
      <w:r w:rsidRPr="00B50320">
        <w:rPr>
          <w:rFonts w:ascii="Arial" w:hAnsi="Arial" w:cs="Arial"/>
          <w:sz w:val="22"/>
          <w:szCs w:val="22"/>
        </w:rPr>
        <w:t>limited inventories of radionuclides and incorporat</w:t>
      </w:r>
      <w:r w:rsidR="00BA23B7">
        <w:rPr>
          <w:rFonts w:ascii="Arial" w:hAnsi="Arial" w:cs="Arial"/>
          <w:sz w:val="22"/>
          <w:szCs w:val="22"/>
        </w:rPr>
        <w:t>e</w:t>
      </w:r>
      <w:r w:rsidRPr="00B50320">
        <w:rPr>
          <w:rFonts w:ascii="Arial" w:hAnsi="Arial" w:cs="Arial"/>
          <w:sz w:val="22"/>
          <w:szCs w:val="22"/>
        </w:rPr>
        <w:t xml:space="preserve"> the attributes from the NRC’s Advanced Reactor Policy Statement can justify added flexibility in areas such as staffing, siting</w:t>
      </w:r>
      <w:r w:rsidR="00447E97">
        <w:rPr>
          <w:rFonts w:ascii="Arial" w:hAnsi="Arial" w:cs="Arial"/>
          <w:sz w:val="22"/>
          <w:szCs w:val="22"/>
        </w:rPr>
        <w:t>,</w:t>
      </w:r>
      <w:r w:rsidRPr="00B50320">
        <w:rPr>
          <w:rFonts w:ascii="Arial" w:hAnsi="Arial" w:cs="Arial"/>
          <w:sz w:val="22"/>
          <w:szCs w:val="22"/>
        </w:rPr>
        <w:t xml:space="preserve"> and emergency preparedness programs, there remains a fundamental need to demonstrate reactor safety through appropriate combinations of analysis, test programs, prototype testing, and operating experience.</w:t>
      </w:r>
    </w:p>
    <w:p w:rsidR="007F112A" w:rsidRPr="00B50320" w:rsidP="00B50320" w14:paraId="495E25C1" w14:textId="77777777">
      <w:pPr>
        <w:spacing w:after="220"/>
        <w:rPr>
          <w:rFonts w:ascii="Arial" w:hAnsi="Arial" w:cs="Arial"/>
          <w:sz w:val="22"/>
          <w:szCs w:val="22"/>
        </w:rPr>
      </w:pPr>
      <w:r w:rsidRPr="00B50320">
        <w:rPr>
          <w:rFonts w:ascii="Arial" w:hAnsi="Arial" w:cs="Arial"/>
          <w:sz w:val="22"/>
          <w:szCs w:val="22"/>
        </w:rPr>
        <w:t>The NRC disagrees with the recommendation that 10 CFR Part 53 include language indicating that an efficient, risk-informed, and graded approach to application review should be used, as it would not be appropriate to codify such direction to the NRC staff in rule language. Guidelines for NRC staff review of applications should be contained in NRC staff review guidance, which is being developed.</w:t>
      </w:r>
    </w:p>
    <w:p w:rsidR="007F112A" w:rsidRPr="002B54CB" w:rsidP="00B50320" w14:paraId="3BDB4411" w14:textId="77777777">
      <w:pPr>
        <w:spacing w:after="220"/>
        <w:rPr>
          <w:rFonts w:ascii="Arial" w:hAnsi="Arial" w:cs="Arial"/>
          <w:sz w:val="22"/>
          <w:szCs w:val="22"/>
        </w:rPr>
      </w:pPr>
      <w:r w:rsidRPr="00B50320">
        <w:rPr>
          <w:rFonts w:ascii="Arial" w:hAnsi="Arial" w:cs="Arial"/>
          <w:sz w:val="22"/>
          <w:szCs w:val="22"/>
        </w:rPr>
        <w:t xml:space="preserve">Regarding the comments related to the definition </w:t>
      </w:r>
      <w:r w:rsidRPr="002B54CB">
        <w:rPr>
          <w:rFonts w:ascii="Arial" w:hAnsi="Arial" w:cs="Arial"/>
          <w:sz w:val="22"/>
          <w:szCs w:val="22"/>
        </w:rPr>
        <w:t xml:space="preserve">of “utilization facility,” see </w:t>
      </w:r>
      <w:r w:rsidRPr="00031BBF">
        <w:rPr>
          <w:rFonts w:ascii="Arial" w:hAnsi="Arial" w:cs="Arial"/>
          <w:sz w:val="22"/>
          <w:szCs w:val="22"/>
        </w:rPr>
        <w:t xml:space="preserve">the </w:t>
      </w:r>
      <w:r w:rsidRPr="00031BBF" w:rsidR="00416C03">
        <w:rPr>
          <w:rFonts w:ascii="Arial" w:hAnsi="Arial" w:cs="Arial"/>
          <w:sz w:val="22"/>
          <w:szCs w:val="22"/>
        </w:rPr>
        <w:t>NRC’s</w:t>
      </w:r>
      <w:r w:rsidRPr="00031BBF">
        <w:rPr>
          <w:rFonts w:ascii="Arial" w:hAnsi="Arial" w:cs="Arial"/>
          <w:sz w:val="22"/>
          <w:szCs w:val="22"/>
        </w:rPr>
        <w:t xml:space="preserve"> response to </w:t>
      </w:r>
      <w:r w:rsidRPr="002B54CB" w:rsidR="00416C03">
        <w:rPr>
          <w:rFonts w:ascii="Arial" w:hAnsi="Arial" w:cs="Arial"/>
          <w:sz w:val="22"/>
          <w:szCs w:val="22"/>
        </w:rPr>
        <w:t>Comment Bin 3.1.1.B</w:t>
      </w:r>
      <w:r w:rsidRPr="002B54CB" w:rsidR="00D233CD">
        <w:rPr>
          <w:rFonts w:ascii="Arial" w:hAnsi="Arial" w:cs="Arial"/>
          <w:sz w:val="22"/>
          <w:szCs w:val="22"/>
        </w:rPr>
        <w:t>, Comment Bin 3.1.1.K</w:t>
      </w:r>
      <w:r w:rsidRPr="002B54CB" w:rsidR="004079C6">
        <w:rPr>
          <w:rFonts w:ascii="Arial" w:hAnsi="Arial" w:cs="Arial"/>
          <w:sz w:val="22"/>
          <w:szCs w:val="22"/>
        </w:rPr>
        <w:t>, and Comment Bin 3.1.1.M</w:t>
      </w:r>
      <w:r w:rsidRPr="002B54CB">
        <w:rPr>
          <w:rFonts w:ascii="Arial" w:hAnsi="Arial" w:cs="Arial"/>
          <w:sz w:val="22"/>
          <w:szCs w:val="22"/>
        </w:rPr>
        <w:t>.</w:t>
      </w:r>
    </w:p>
    <w:p w:rsidR="001D1CF1" w:rsidRPr="00B50320" w:rsidP="00B50320" w14:paraId="65CF09AE" w14:textId="77777777">
      <w:pPr>
        <w:spacing w:after="220"/>
        <w:rPr>
          <w:rFonts w:ascii="Arial" w:hAnsi="Arial" w:cs="Arial"/>
          <w:sz w:val="22"/>
          <w:szCs w:val="22"/>
        </w:rPr>
      </w:pPr>
      <w:r w:rsidRPr="002B54CB">
        <w:rPr>
          <w:rFonts w:ascii="Arial" w:hAnsi="Arial" w:cs="Arial"/>
          <w:sz w:val="22"/>
          <w:szCs w:val="22"/>
        </w:rPr>
        <w:t xml:space="preserve">Regarding those parts of the comment related to population-related siting considerations under 10 CFR 53.530, see the </w:t>
      </w:r>
      <w:r w:rsidRPr="002B54CB" w:rsidR="00761015">
        <w:rPr>
          <w:rFonts w:ascii="Arial" w:hAnsi="Arial" w:cs="Arial"/>
          <w:sz w:val="22"/>
          <w:szCs w:val="22"/>
        </w:rPr>
        <w:t xml:space="preserve">NRC’s </w:t>
      </w:r>
      <w:r w:rsidRPr="00031BBF">
        <w:rPr>
          <w:rFonts w:ascii="Arial" w:hAnsi="Arial" w:cs="Arial"/>
          <w:sz w:val="22"/>
          <w:szCs w:val="22"/>
        </w:rPr>
        <w:t xml:space="preserve">response to </w:t>
      </w:r>
      <w:r w:rsidRPr="002B54CB" w:rsidR="00761015">
        <w:rPr>
          <w:rFonts w:ascii="Arial" w:hAnsi="Arial" w:cs="Arial"/>
          <w:sz w:val="22"/>
          <w:szCs w:val="22"/>
        </w:rPr>
        <w:t>Comment Bin 3.4.2</w:t>
      </w:r>
      <w:r w:rsidRPr="002B54CB">
        <w:rPr>
          <w:rFonts w:ascii="Arial" w:hAnsi="Arial" w:cs="Arial"/>
          <w:sz w:val="22"/>
          <w:szCs w:val="22"/>
        </w:rPr>
        <w:t>.</w:t>
      </w:r>
      <w:r w:rsidRPr="002B54CB" w:rsidR="00761015">
        <w:rPr>
          <w:rFonts w:ascii="Arial" w:hAnsi="Arial" w:cs="Arial"/>
          <w:sz w:val="22"/>
          <w:szCs w:val="22"/>
        </w:rPr>
        <w:t>A, Comment Bin 3.4.2.B, and Comment Bin 3.4.2.C</w:t>
      </w:r>
      <w:r w:rsidRPr="002B54CB">
        <w:rPr>
          <w:rFonts w:ascii="Arial" w:hAnsi="Arial" w:cs="Arial"/>
          <w:sz w:val="22"/>
          <w:szCs w:val="22"/>
        </w:rPr>
        <w:t>.</w:t>
      </w:r>
    </w:p>
    <w:p w:rsidR="00753354" w:rsidRPr="00B50320" w:rsidP="00B50320" w14:paraId="52B33951" w14:textId="77777777">
      <w:pPr>
        <w:spacing w:after="220"/>
        <w:rPr>
          <w:rFonts w:ascii="Arial" w:hAnsi="Arial" w:cs="Arial"/>
          <w:sz w:val="22"/>
          <w:szCs w:val="22"/>
        </w:rPr>
      </w:pPr>
      <w:r w:rsidRPr="00B50320">
        <w:rPr>
          <w:rFonts w:ascii="Arial" w:hAnsi="Arial" w:cs="Arial"/>
          <w:sz w:val="22"/>
          <w:szCs w:val="22"/>
        </w:rPr>
        <w:t>Accordingly, the NRC did not change</w:t>
      </w:r>
      <w:r w:rsidRPr="00B50320" w:rsidR="005C2857">
        <w:rPr>
          <w:rFonts w:ascii="Arial" w:hAnsi="Arial" w:cs="Arial"/>
          <w:sz w:val="22"/>
          <w:szCs w:val="22"/>
        </w:rPr>
        <w:t xml:space="preserve"> the rule language</w:t>
      </w:r>
      <w:r w:rsidRPr="00B50320" w:rsidR="003A0861">
        <w:rPr>
          <w:rFonts w:ascii="Arial" w:hAnsi="Arial" w:cs="Arial"/>
          <w:sz w:val="22"/>
          <w:szCs w:val="22"/>
        </w:rPr>
        <w:t xml:space="preserve"> </w:t>
      </w:r>
      <w:r w:rsidR="006C713F">
        <w:rPr>
          <w:rFonts w:ascii="Arial" w:hAnsi="Arial" w:cs="Arial"/>
          <w:sz w:val="22"/>
          <w:szCs w:val="22"/>
        </w:rPr>
        <w:t>in response to these comments</w:t>
      </w:r>
      <w:r w:rsidRPr="00B50320" w:rsidR="003A0861">
        <w:rPr>
          <w:rFonts w:ascii="Arial" w:hAnsi="Arial" w:cs="Arial"/>
          <w:sz w:val="22"/>
          <w:szCs w:val="22"/>
        </w:rPr>
        <w:t>.</w:t>
      </w:r>
    </w:p>
    <w:p w:rsidR="007F112A" w:rsidRPr="00B50320" w:rsidP="00B50320" w14:paraId="40AAC1DA" w14:textId="77777777">
      <w:pPr>
        <w:spacing w:after="220"/>
        <w:rPr>
          <w:rFonts w:ascii="Arial" w:hAnsi="Arial" w:cs="Arial"/>
          <w:sz w:val="22"/>
          <w:szCs w:val="22"/>
        </w:rPr>
      </w:pPr>
      <w:r>
        <w:rPr>
          <w:rFonts w:ascii="Arial" w:hAnsi="Arial" w:cs="Arial"/>
          <w:sz w:val="22"/>
          <w:szCs w:val="22"/>
        </w:rPr>
        <w:pict>
          <v:rect id="_x0000_i1311" style="width:0;height:1.5pt" o:hralign="center" o:hrstd="t" o:hrnoshade="t" o:hr="t" fillcolor="black" stroked="f"/>
        </w:pict>
      </w:r>
    </w:p>
    <w:p w:rsidR="007F112A" w:rsidRPr="00B50320" w:rsidP="00B50320" w14:paraId="71DB9179"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F</w:t>
      </w:r>
      <w:r w:rsidRPr="00B50320">
        <w:rPr>
          <w:rFonts w:ascii="Arial" w:hAnsi="Arial" w:cs="Arial"/>
          <w:b/>
          <w:sz w:val="22"/>
          <w:szCs w:val="22"/>
        </w:rPr>
        <w:t>:</w:t>
      </w:r>
      <w:r w:rsidRPr="00B50320">
        <w:rPr>
          <w:rFonts w:ascii="Arial" w:hAnsi="Arial" w:cs="Arial"/>
          <w:sz w:val="22"/>
          <w:szCs w:val="22"/>
        </w:rPr>
        <w:t xml:space="preserve"> A commenter expressed support for retaining references to other regulations in 10 CFR Part 53, noting that applicants will still be required to meet those requirements and this is an efficient way to incorporate them into the rule (</w:t>
      </w:r>
      <w:r w:rsidR="00815989">
        <w:rPr>
          <w:rFonts w:ascii="Arial" w:hAnsi="Arial" w:cs="Arial"/>
          <w:sz w:val="22"/>
          <w:szCs w:val="22"/>
        </w:rPr>
        <w:t>UCS</w:t>
      </w:r>
      <w:r w:rsidRPr="00B50320">
        <w:rPr>
          <w:rFonts w:ascii="Arial" w:hAnsi="Arial" w:cs="Arial"/>
          <w:sz w:val="22"/>
          <w:szCs w:val="22"/>
        </w:rPr>
        <w:t xml:space="preserve">-0005). </w:t>
      </w:r>
      <w:r w:rsidRPr="00B50320">
        <w:rPr>
          <w:rFonts w:ascii="Arial" w:eastAsia="Times New Roman" w:hAnsi="Arial" w:cs="Arial"/>
          <w:sz w:val="22"/>
          <w:szCs w:val="22"/>
        </w:rPr>
        <w:t>Another commenter stated that some references in the proposed rule are valuable; for example</w:t>
      </w:r>
      <w:r w:rsidRPr="00B50320" w:rsidR="008A0D67">
        <w:rPr>
          <w:rFonts w:ascii="Arial" w:eastAsia="Times New Roman" w:hAnsi="Arial" w:cs="Arial"/>
          <w:sz w:val="22"/>
          <w:szCs w:val="22"/>
        </w:rPr>
        <w:t>,</w:t>
      </w:r>
      <w:r w:rsidRPr="00B50320">
        <w:rPr>
          <w:rFonts w:ascii="Arial" w:eastAsia="Times New Roman" w:hAnsi="Arial" w:cs="Arial"/>
          <w:sz w:val="22"/>
          <w:szCs w:val="22"/>
        </w:rPr>
        <w:t xml:space="preserve"> proposed 10 CFR 53.860 provides valuable references to specific performance-based regulations in 10 CFR Part 73.55 and 10 CFR</w:t>
      </w:r>
      <w:r w:rsidRPr="00B50320" w:rsidR="008A0D67">
        <w:rPr>
          <w:rFonts w:ascii="Arial" w:eastAsia="Times New Roman" w:hAnsi="Arial" w:cs="Arial"/>
          <w:sz w:val="22"/>
          <w:szCs w:val="22"/>
        </w:rPr>
        <w:t> </w:t>
      </w:r>
      <w:r w:rsidRPr="00B50320">
        <w:rPr>
          <w:rFonts w:ascii="Arial" w:eastAsia="Times New Roman" w:hAnsi="Arial" w:cs="Arial"/>
          <w:sz w:val="22"/>
          <w:szCs w:val="22"/>
        </w:rPr>
        <w:t>73.100. However, the commenter suggested that general references to the entirety of a CFR part be removed, such as references to 10 CFR Part 20 in 10 CFR 53.260 and 10 CFR 53.270. The commenter suggested other improvements or changes to references throughout 10 CFR Part 53 in Enclosure 2 to their comment submittal (</w:t>
      </w:r>
      <w:r w:rsidR="009D6BB9">
        <w:rPr>
          <w:rFonts w:ascii="Arial" w:eastAsia="Times New Roman" w:hAnsi="Arial" w:cs="Arial"/>
          <w:sz w:val="22"/>
          <w:szCs w:val="22"/>
        </w:rPr>
        <w:t>NEI2</w:t>
      </w:r>
      <w:r w:rsidRPr="00B50320">
        <w:rPr>
          <w:rFonts w:ascii="Arial" w:eastAsia="Times New Roman" w:hAnsi="Arial" w:cs="Arial"/>
          <w:sz w:val="22"/>
          <w:szCs w:val="22"/>
        </w:rPr>
        <w:t>-0178). Another commenter agreed with the previous commenter (</w:t>
      </w:r>
      <w:r w:rsidR="006912EB">
        <w:rPr>
          <w:rFonts w:ascii="Arial" w:hAnsi="Arial" w:cs="Arial"/>
          <w:sz w:val="22"/>
          <w:szCs w:val="22"/>
        </w:rPr>
        <w:t>NEX</w:t>
      </w:r>
      <w:r w:rsidRPr="00B50320">
        <w:rPr>
          <w:rFonts w:ascii="Arial" w:hAnsi="Arial" w:cs="Arial"/>
          <w:sz w:val="22"/>
          <w:szCs w:val="22"/>
        </w:rPr>
        <w:t>-0013).</w:t>
      </w:r>
    </w:p>
    <w:p w:rsidR="007F112A" w:rsidRPr="00B50320" w:rsidP="00B50320" w14:paraId="0F68C187" w14:textId="77777777">
      <w:pPr>
        <w:spacing w:after="220"/>
        <w:rPr>
          <w:rFonts w:ascii="Arial" w:eastAsia="Times New Roman" w:hAnsi="Arial" w:cs="Arial"/>
          <w:sz w:val="22"/>
          <w:szCs w:val="22"/>
        </w:rPr>
      </w:pPr>
      <w:r w:rsidRPr="00B50320">
        <w:rPr>
          <w:rFonts w:ascii="Arial" w:eastAsia="Times New Roman" w:hAnsi="Arial" w:cs="Arial"/>
          <w:sz w:val="22"/>
          <w:szCs w:val="22"/>
        </w:rPr>
        <w:t>A commenter said that the rulemaking should avoid unnecessary cross</w:t>
      </w:r>
      <w:r w:rsidRPr="00B50320">
        <w:rPr>
          <w:rFonts w:ascii="Arial" w:eastAsia="Times New Roman" w:hAnsi="Arial" w:cs="Arial"/>
          <w:sz w:val="22"/>
          <w:szCs w:val="22"/>
        </w:rPr>
        <w:noBreakHyphen/>
        <w:t>references to existing regulations, in particular to 10 CFR Part 50 and 10 CFR Part 52. The commenter stated that including the text directly in 10 CFR Part 53 would provide a clearer understanding of the requirements, allow text to be modernized where appropriate, and decouple 10 CFR Part 53 from other regulations. The commenter noted, however, that decoupling 10 CFR Part 53 from other regulations is a not sufficient reason for creating stricter regulations than those applied to the existing fleet. The commenter stated that some references improve regulatory certainty and reduce burden, but others impose unnecessary constraints (</w:t>
      </w:r>
      <w:r w:rsidR="004C1A5D">
        <w:rPr>
          <w:rFonts w:ascii="Arial" w:eastAsia="Times New Roman" w:hAnsi="Arial" w:cs="Arial"/>
          <w:sz w:val="22"/>
          <w:szCs w:val="22"/>
        </w:rPr>
        <w:t>BI1</w:t>
      </w:r>
      <w:r w:rsidRPr="00B50320">
        <w:rPr>
          <w:rFonts w:ascii="Arial" w:eastAsia="Times New Roman" w:hAnsi="Arial" w:cs="Arial"/>
          <w:sz w:val="22"/>
          <w:szCs w:val="22"/>
        </w:rPr>
        <w:t xml:space="preserve">-0036). </w:t>
      </w:r>
    </w:p>
    <w:p w:rsidR="007F112A" w:rsidRPr="00B50320" w:rsidP="00B50320" w14:paraId="40D5012E" w14:textId="77777777">
      <w:pPr>
        <w:spacing w:after="220"/>
        <w:rPr>
          <w:rFonts w:ascii="Arial" w:hAnsi="Arial" w:cs="Arial"/>
          <w:sz w:val="22"/>
          <w:szCs w:val="22"/>
        </w:rPr>
      </w:pPr>
      <w:r>
        <w:rPr>
          <w:rFonts w:ascii="Arial" w:eastAsia="Times New Roman" w:hAnsi="Arial" w:cs="Arial"/>
          <w:sz w:val="22"/>
          <w:szCs w:val="22"/>
        </w:rPr>
        <w:t>A</w:t>
      </w:r>
      <w:r w:rsidRPr="00B50320">
        <w:rPr>
          <w:rFonts w:ascii="Arial" w:eastAsia="Times New Roman" w:hAnsi="Arial" w:cs="Arial"/>
          <w:sz w:val="22"/>
          <w:szCs w:val="22"/>
        </w:rPr>
        <w:t xml:space="preserve"> commenter stated that while the general organization of 10 CFR Part 53 appears to be effective, there are many references to other parts of the regulations. The commenter explained that while this works well for people familiar with the regulations, it may be confusing for those not as familiar, and 10 CFR Part 53 should be revised to be more easily understandable. The commenter suggested that in addition to referencing section numbers, the NRC also include descriptions of each section, and the commenter provided some examples of how this could be implemented (</w:t>
      </w:r>
      <w:r w:rsidR="00A923D7">
        <w:rPr>
          <w:rFonts w:ascii="Arial" w:hAnsi="Arial" w:cs="Arial"/>
          <w:sz w:val="22"/>
          <w:szCs w:val="22"/>
        </w:rPr>
        <w:t>LMNT</w:t>
      </w:r>
      <w:r w:rsidRPr="00B50320">
        <w:rPr>
          <w:rFonts w:ascii="Arial" w:hAnsi="Arial" w:cs="Arial"/>
          <w:sz w:val="22"/>
          <w:szCs w:val="22"/>
        </w:rPr>
        <w:t>-0001).</w:t>
      </w:r>
    </w:p>
    <w:p w:rsidR="007F112A" w:rsidRPr="00B50320" w:rsidP="00B50320" w14:paraId="469B10D6"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these comments.</w:t>
      </w:r>
    </w:p>
    <w:p w:rsidR="007F112A" w:rsidRPr="00B50320" w:rsidP="00B50320" w14:paraId="45E1B463" w14:textId="77777777">
      <w:pPr>
        <w:spacing w:after="220"/>
        <w:rPr>
          <w:rFonts w:ascii="Arial" w:hAnsi="Arial" w:cs="Arial"/>
          <w:sz w:val="22"/>
          <w:szCs w:val="22"/>
        </w:rPr>
      </w:pPr>
      <w:r w:rsidRPr="00B50320">
        <w:rPr>
          <w:rFonts w:ascii="Arial" w:hAnsi="Arial" w:cs="Arial"/>
          <w:sz w:val="22"/>
          <w:szCs w:val="22"/>
        </w:rPr>
        <w:t>The NRC agrees that retaining references within the rule text is useful and has maintained these references in the final rule. The NRC disagrees with removing references to an entire CFR Part (such as in 10 CFR 53.260, 10 CFR 53.270, and other sections, as suggested by the comments), as the NRC believes that it is important to directly reference the relevant regulations. In these cases, an exhaustive list of the relevant individual sections of the regulations would be significantly more cumbersome to include in the regulations, than just the reference to the entire CFR Part.</w:t>
      </w:r>
    </w:p>
    <w:p w:rsidR="007F112A" w:rsidRPr="00B50320" w:rsidP="00B50320" w14:paraId="7ED22136" w14:textId="77777777">
      <w:pPr>
        <w:spacing w:after="220"/>
        <w:rPr>
          <w:rFonts w:ascii="Arial" w:hAnsi="Arial" w:cs="Arial"/>
          <w:sz w:val="22"/>
          <w:szCs w:val="22"/>
        </w:rPr>
      </w:pPr>
      <w:r w:rsidRPr="00B50320">
        <w:rPr>
          <w:rFonts w:ascii="Arial" w:hAnsi="Arial" w:cs="Arial"/>
          <w:sz w:val="22"/>
          <w:szCs w:val="22"/>
        </w:rPr>
        <w:t>The NRC agrees that avoiding unnecessary references, in particular to 10 CFR Part 50 and 10 CFR Part 52, provides a clearer understanding of the requirements and allows rule text to be modernized, where appropriate. The NRC does not believe that the references retained within the 10 CFR Part 53 rule are unnecessary, and generally the requirements in 10 CFR Part 53 are analogous to, but do not directly reference, 10 CFR Part 50 and 10 CFR Part 52.</w:t>
      </w:r>
    </w:p>
    <w:p w:rsidR="007F112A" w:rsidRPr="00B50320" w:rsidP="00B50320" w14:paraId="5E51205B" w14:textId="77777777">
      <w:pPr>
        <w:spacing w:after="220"/>
        <w:rPr>
          <w:rFonts w:ascii="Arial" w:hAnsi="Arial" w:cs="Arial"/>
          <w:sz w:val="22"/>
          <w:szCs w:val="22"/>
        </w:rPr>
      </w:pPr>
      <w:r w:rsidRPr="00B50320">
        <w:rPr>
          <w:rFonts w:ascii="Arial" w:hAnsi="Arial" w:cs="Arial"/>
          <w:sz w:val="22"/>
          <w:szCs w:val="22"/>
        </w:rPr>
        <w:t xml:space="preserve">The NRC agrees with the need to have the regulations be understandable but disagrees that describing each section referenced in the regulations is the correct way to address this. Adding a description or referencing the title of a section may help with comprehension of an individual requirement, but doing this throughout the regulations would make the regulations much more </w:t>
      </w:r>
      <w:r w:rsidRPr="00B50320">
        <w:rPr>
          <w:rFonts w:ascii="Arial" w:hAnsi="Arial" w:cs="Arial"/>
          <w:sz w:val="22"/>
          <w:szCs w:val="22"/>
        </w:rPr>
        <w:t xml:space="preserve">difficult overall to navigate. The NRC notes that when using the </w:t>
      </w:r>
      <w:r w:rsidRPr="00B50320">
        <w:rPr>
          <w:rFonts w:ascii="Arial" w:hAnsi="Arial" w:cs="Arial"/>
          <w:sz w:val="22"/>
          <w:szCs w:val="22"/>
        </w:rPr>
        <w:t>eCFR</w:t>
      </w:r>
      <w:r w:rsidRPr="00B50320">
        <w:rPr>
          <w:rFonts w:ascii="Arial" w:hAnsi="Arial" w:cs="Arial"/>
          <w:sz w:val="22"/>
          <w:szCs w:val="22"/>
        </w:rPr>
        <w:t xml:space="preserve"> (</w:t>
      </w:r>
      <w:hyperlink r:id="rId18">
        <w:r w:rsidRPr="00B50320">
          <w:rPr>
            <w:rStyle w:val="Hyperlink"/>
            <w:rFonts w:ascii="Arial" w:hAnsi="Arial" w:cs="Arial"/>
            <w:sz w:val="22"/>
            <w:szCs w:val="22"/>
          </w:rPr>
          <w:t>https://www.ecfr.gov/</w:t>
        </w:r>
      </w:hyperlink>
      <w:r w:rsidRPr="00B50320">
        <w:rPr>
          <w:rFonts w:ascii="Arial" w:hAnsi="Arial" w:cs="Arial"/>
          <w:sz w:val="22"/>
          <w:szCs w:val="22"/>
        </w:rPr>
        <w:t>) there are linked references within the regulations so the user can easily navigate to the referenced part, section, or paragraph</w:t>
      </w:r>
      <w:r w:rsidRPr="00B50320" w:rsidR="00903E1B">
        <w:rPr>
          <w:rFonts w:ascii="Arial" w:hAnsi="Arial" w:cs="Arial"/>
          <w:sz w:val="22"/>
          <w:szCs w:val="22"/>
        </w:rPr>
        <w:t>,</w:t>
      </w:r>
      <w:r w:rsidRPr="00B50320">
        <w:rPr>
          <w:rFonts w:ascii="Arial" w:hAnsi="Arial" w:cs="Arial"/>
          <w:sz w:val="22"/>
          <w:szCs w:val="22"/>
        </w:rPr>
        <w:t xml:space="preserve"> in full.</w:t>
      </w:r>
    </w:p>
    <w:p w:rsidR="007F112A" w:rsidRPr="00B50320" w:rsidP="00B50320" w14:paraId="69533A1E" w14:textId="77777777">
      <w:pPr>
        <w:spacing w:after="220"/>
        <w:rPr>
          <w:rFonts w:ascii="Arial" w:hAnsi="Arial" w:cs="Arial"/>
          <w:sz w:val="22"/>
          <w:szCs w:val="22"/>
        </w:rPr>
      </w:pPr>
      <w:r w:rsidRPr="00B50320">
        <w:rPr>
          <w:rFonts w:ascii="Arial" w:eastAsia="DengXian" w:hAnsi="Arial" w:cs="Arial"/>
          <w:sz w:val="22"/>
          <w:szCs w:val="22"/>
          <w:lang w:eastAsia="ja-JP"/>
        </w:rPr>
        <w:t>Accordingly, the NRC did not change the rule language in response to these comments.</w:t>
      </w:r>
    </w:p>
    <w:p w:rsidR="007F112A" w:rsidRPr="00B50320" w:rsidP="00B50320" w14:paraId="38E982CA" w14:textId="77777777">
      <w:pPr>
        <w:spacing w:after="220"/>
        <w:rPr>
          <w:rFonts w:ascii="Arial" w:hAnsi="Arial" w:cs="Arial"/>
          <w:sz w:val="22"/>
          <w:szCs w:val="22"/>
        </w:rPr>
      </w:pPr>
      <w:r>
        <w:rPr>
          <w:rFonts w:ascii="Arial" w:hAnsi="Arial" w:cs="Arial"/>
          <w:sz w:val="22"/>
          <w:szCs w:val="22"/>
        </w:rPr>
        <w:pict>
          <v:rect id="_x0000_i1312" style="width:0;height:1.5pt" o:hralign="center" o:hrstd="t" o:hrnoshade="t" o:hr="t" fillcolor="black" stroked="f"/>
        </w:pict>
      </w:r>
    </w:p>
    <w:p w:rsidR="007F112A" w:rsidRPr="00B50320" w:rsidP="00B50320" w14:paraId="714B5CD1"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G</w:t>
      </w:r>
      <w:r w:rsidRPr="00B50320">
        <w:rPr>
          <w:rFonts w:ascii="Arial" w:hAnsi="Arial" w:cs="Arial"/>
          <w:b/>
          <w:sz w:val="22"/>
          <w:szCs w:val="22"/>
        </w:rPr>
        <w:t>:</w:t>
      </w:r>
      <w:r w:rsidRPr="00B50320">
        <w:rPr>
          <w:rFonts w:ascii="Arial" w:hAnsi="Arial" w:cs="Arial"/>
          <w:sz w:val="22"/>
          <w:szCs w:val="22"/>
        </w:rPr>
        <w:t xml:space="preserve"> A</w:t>
      </w:r>
      <w:r w:rsidRPr="00B50320">
        <w:rPr>
          <w:rFonts w:ascii="Arial" w:eastAsia="Times New Roman" w:hAnsi="Arial" w:cs="Arial"/>
          <w:sz w:val="22"/>
          <w:szCs w:val="22"/>
        </w:rPr>
        <w:t xml:space="preserve"> commenter discussed that the NRC’s restriction of applicability of the 10 CFR Part 53 proposed rule only to commercial nuclear plants licensed under AEA </w:t>
      </w:r>
      <w:r w:rsidRPr="00B50320" w:rsidR="008C5FA9">
        <w:rPr>
          <w:rFonts w:ascii="Arial" w:eastAsia="Times New Roman" w:hAnsi="Arial" w:cs="Arial"/>
          <w:sz w:val="22"/>
          <w:szCs w:val="22"/>
        </w:rPr>
        <w:t>s</w:t>
      </w:r>
      <w:r w:rsidRPr="00B50320">
        <w:rPr>
          <w:rFonts w:ascii="Arial" w:eastAsia="Times New Roman" w:hAnsi="Arial" w:cs="Arial"/>
          <w:sz w:val="22"/>
          <w:szCs w:val="22"/>
        </w:rPr>
        <w:t xml:space="preserve">ection 103 is unnecessarily restrictive. The commenter stated that a class 104 framework for an operating license is preferred to enable factory testing of a fueled microreactor. The commenter suggested that NRC expand the applicability of the proposed rule to all production and utilization facilities licensed under AEA </w:t>
      </w:r>
      <w:r w:rsidRPr="00B50320" w:rsidR="008C5FA9">
        <w:rPr>
          <w:rFonts w:ascii="Arial" w:eastAsia="Times New Roman" w:hAnsi="Arial" w:cs="Arial"/>
          <w:sz w:val="22"/>
          <w:szCs w:val="22"/>
        </w:rPr>
        <w:t>s</w:t>
      </w:r>
      <w:r w:rsidRPr="00B50320">
        <w:rPr>
          <w:rFonts w:ascii="Arial" w:eastAsia="Times New Roman" w:hAnsi="Arial" w:cs="Arial"/>
          <w:sz w:val="22"/>
          <w:szCs w:val="22"/>
        </w:rPr>
        <w:t>ections 103 or 104 for consistency with 10 CFR 50.1 and 10 CFR 52.0. The commenter also recommended the following edit to proposed 10</w:t>
      </w:r>
      <w:r w:rsidR="00EE64A5">
        <w:rPr>
          <w:rFonts w:ascii="Arial" w:eastAsia="Times New Roman" w:hAnsi="Arial" w:cs="Arial"/>
          <w:sz w:val="22"/>
          <w:szCs w:val="22"/>
        </w:rPr>
        <w:t> </w:t>
      </w:r>
      <w:r w:rsidRPr="00B50320">
        <w:rPr>
          <w:rFonts w:ascii="Arial" w:eastAsia="Times New Roman" w:hAnsi="Arial" w:cs="Arial"/>
          <w:sz w:val="22"/>
          <w:szCs w:val="22"/>
        </w:rPr>
        <w:t>CFR</w:t>
      </w:r>
      <w:r w:rsidR="00EE64A5">
        <w:rPr>
          <w:rFonts w:ascii="Arial" w:eastAsia="Times New Roman" w:hAnsi="Arial" w:cs="Arial"/>
          <w:sz w:val="22"/>
          <w:szCs w:val="22"/>
        </w:rPr>
        <w:t> </w:t>
      </w:r>
      <w:r w:rsidRPr="00B50320">
        <w:rPr>
          <w:rFonts w:ascii="Arial" w:eastAsia="Times New Roman" w:hAnsi="Arial" w:cs="Arial"/>
          <w:sz w:val="22"/>
          <w:szCs w:val="22"/>
        </w:rPr>
        <w:t>53.000 and any necessary conforming changes throughout 10 CFR Part 53: “This part provides for the issuance, amendment, renewal, and termination of licenses, permits, certifications, and approvals for production and utilization facilities licensed under Section 103 and 104 of the Atomic Energy Act of 1954, as amended (AEA) (68 Stat. 919) and Title II of the Energy Reorganization Act of 1974, as amended (88 Stat. 1242)” (</w:t>
      </w:r>
      <w:r w:rsidR="009D6BB9">
        <w:rPr>
          <w:rFonts w:ascii="Arial" w:eastAsia="Times New Roman" w:hAnsi="Arial" w:cs="Arial"/>
          <w:sz w:val="22"/>
          <w:szCs w:val="22"/>
        </w:rPr>
        <w:t>NEI2</w:t>
      </w:r>
      <w:r w:rsidRPr="00B50320">
        <w:rPr>
          <w:rFonts w:ascii="Arial" w:eastAsia="Times New Roman" w:hAnsi="Arial" w:cs="Arial"/>
          <w:sz w:val="22"/>
          <w:szCs w:val="22"/>
        </w:rPr>
        <w:t>-0025).</w:t>
      </w:r>
    </w:p>
    <w:p w:rsidR="00BB0E1D" w:rsidRPr="00B50320" w:rsidP="00B50320" w14:paraId="7334AB2B"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disagrees with the comment.</w:t>
      </w:r>
    </w:p>
    <w:p w:rsidR="000B14B4" w:rsidRPr="00B50320" w:rsidP="00B50320" w14:paraId="46978A88" w14:textId="77777777">
      <w:pPr>
        <w:spacing w:after="220"/>
        <w:rPr>
          <w:rFonts w:ascii="Arial" w:hAnsi="Arial" w:cs="Arial"/>
          <w:sz w:val="22"/>
          <w:szCs w:val="22"/>
        </w:rPr>
      </w:pPr>
      <w:r w:rsidRPr="00B50320">
        <w:rPr>
          <w:rFonts w:ascii="Arial" w:hAnsi="Arial" w:cs="Arial"/>
          <w:sz w:val="22"/>
          <w:szCs w:val="22"/>
        </w:rPr>
        <w:t>The suggested revision to 10</w:t>
      </w:r>
      <w:r w:rsidRPr="00B50320" w:rsidR="00E877D8">
        <w:rPr>
          <w:rFonts w:ascii="Arial" w:hAnsi="Arial" w:cs="Arial"/>
          <w:sz w:val="22"/>
          <w:szCs w:val="22"/>
        </w:rPr>
        <w:t> </w:t>
      </w:r>
      <w:r w:rsidRPr="00B50320">
        <w:rPr>
          <w:rFonts w:ascii="Arial" w:hAnsi="Arial" w:cs="Arial"/>
          <w:sz w:val="22"/>
          <w:szCs w:val="22"/>
        </w:rPr>
        <w:t xml:space="preserve">CFR Part 53 to include licenses issued under </w:t>
      </w:r>
      <w:r w:rsidRPr="00B50320" w:rsidR="00175B58">
        <w:rPr>
          <w:rFonts w:ascii="Arial" w:hAnsi="Arial" w:cs="Arial"/>
          <w:sz w:val="22"/>
          <w:szCs w:val="22"/>
        </w:rPr>
        <w:t>s</w:t>
      </w:r>
      <w:r w:rsidRPr="00B50320">
        <w:rPr>
          <w:rFonts w:ascii="Arial" w:hAnsi="Arial" w:cs="Arial"/>
          <w:sz w:val="22"/>
          <w:szCs w:val="22"/>
        </w:rPr>
        <w:t>ection</w:t>
      </w:r>
      <w:r w:rsidRPr="00B50320" w:rsidR="00175B58">
        <w:rPr>
          <w:rFonts w:ascii="Arial" w:hAnsi="Arial" w:cs="Arial"/>
          <w:sz w:val="22"/>
          <w:szCs w:val="22"/>
        </w:rPr>
        <w:t> </w:t>
      </w:r>
      <w:r w:rsidRPr="00B50320">
        <w:rPr>
          <w:rFonts w:ascii="Arial" w:hAnsi="Arial" w:cs="Arial"/>
          <w:sz w:val="22"/>
          <w:szCs w:val="22"/>
        </w:rPr>
        <w:t>104 of the A</w:t>
      </w:r>
      <w:r w:rsidR="00A61FA5">
        <w:rPr>
          <w:rFonts w:ascii="Arial" w:hAnsi="Arial" w:cs="Arial"/>
          <w:sz w:val="22"/>
          <w:szCs w:val="22"/>
        </w:rPr>
        <w:t>EA</w:t>
      </w:r>
      <w:r w:rsidRPr="00B50320">
        <w:rPr>
          <w:rFonts w:ascii="Arial" w:hAnsi="Arial" w:cs="Arial"/>
          <w:sz w:val="22"/>
          <w:szCs w:val="22"/>
        </w:rPr>
        <w:t xml:space="preserve"> is addressed, in part, in </w:t>
      </w:r>
      <w:r w:rsidRPr="00031BBF">
        <w:rPr>
          <w:rFonts w:ascii="Arial" w:hAnsi="Arial" w:cs="Arial"/>
          <w:sz w:val="22"/>
          <w:szCs w:val="22"/>
        </w:rPr>
        <w:t xml:space="preserve">the </w:t>
      </w:r>
      <w:r w:rsidRPr="00031BBF" w:rsidR="001B687A">
        <w:rPr>
          <w:rFonts w:ascii="Arial" w:hAnsi="Arial" w:cs="Arial"/>
          <w:sz w:val="22"/>
          <w:szCs w:val="22"/>
        </w:rPr>
        <w:t xml:space="preserve">NRC’s </w:t>
      </w:r>
      <w:r w:rsidRPr="00031BBF">
        <w:rPr>
          <w:rFonts w:ascii="Arial" w:hAnsi="Arial" w:cs="Arial"/>
          <w:sz w:val="22"/>
          <w:szCs w:val="22"/>
        </w:rPr>
        <w:t xml:space="preserve">response to </w:t>
      </w:r>
      <w:r w:rsidRPr="00031BBF" w:rsidR="001B687A">
        <w:rPr>
          <w:rFonts w:ascii="Arial" w:hAnsi="Arial" w:cs="Arial"/>
          <w:sz w:val="22"/>
          <w:szCs w:val="22"/>
        </w:rPr>
        <w:t>C</w:t>
      </w:r>
      <w:r w:rsidRPr="00031BBF">
        <w:rPr>
          <w:rFonts w:ascii="Arial" w:hAnsi="Arial" w:cs="Arial"/>
          <w:sz w:val="22"/>
          <w:szCs w:val="22"/>
        </w:rPr>
        <w:t>omment</w:t>
      </w:r>
      <w:r w:rsidRPr="00031BBF" w:rsidR="001B687A">
        <w:rPr>
          <w:rFonts w:ascii="Arial" w:hAnsi="Arial" w:cs="Arial"/>
          <w:sz w:val="22"/>
          <w:szCs w:val="22"/>
        </w:rPr>
        <w:t xml:space="preserve"> Bin</w:t>
      </w:r>
      <w:r w:rsidRPr="00031BBF">
        <w:rPr>
          <w:rFonts w:ascii="Arial" w:hAnsi="Arial" w:cs="Arial"/>
          <w:sz w:val="22"/>
          <w:szCs w:val="22"/>
        </w:rPr>
        <w:t xml:space="preserve"> 3.8.10</w:t>
      </w:r>
      <w:r w:rsidRPr="00CE5F24" w:rsidR="00CE5F24">
        <w:rPr>
          <w:rFonts w:ascii="Arial" w:hAnsi="Arial" w:cs="Arial"/>
          <w:sz w:val="22"/>
          <w:szCs w:val="22"/>
        </w:rPr>
        <w:t>.H</w:t>
      </w:r>
      <w:r w:rsidRPr="00B50320">
        <w:rPr>
          <w:rFonts w:ascii="Arial" w:hAnsi="Arial" w:cs="Arial"/>
          <w:sz w:val="22"/>
          <w:szCs w:val="22"/>
        </w:rPr>
        <w:t xml:space="preserve"> relating to testing of manufactured reactors at a manufacturing facility. </w:t>
      </w:r>
      <w:r w:rsidR="00BC2A78">
        <w:rPr>
          <w:rFonts w:ascii="Arial" w:hAnsi="Arial" w:cs="Arial"/>
          <w:sz w:val="22"/>
          <w:szCs w:val="22"/>
        </w:rPr>
        <w:t>The NRC disagrees with</w:t>
      </w:r>
      <w:r w:rsidRPr="00B50320">
        <w:rPr>
          <w:rFonts w:ascii="Arial" w:hAnsi="Arial" w:cs="Arial"/>
          <w:sz w:val="22"/>
          <w:szCs w:val="22"/>
        </w:rPr>
        <w:t xml:space="preserve"> the more general suggestion to broaden 10</w:t>
      </w:r>
      <w:r w:rsidRPr="00B50320" w:rsidR="00910133">
        <w:rPr>
          <w:rFonts w:ascii="Arial" w:hAnsi="Arial" w:cs="Arial"/>
          <w:sz w:val="22"/>
          <w:szCs w:val="22"/>
        </w:rPr>
        <w:t> </w:t>
      </w:r>
      <w:r w:rsidRPr="00B50320">
        <w:rPr>
          <w:rFonts w:ascii="Arial" w:hAnsi="Arial" w:cs="Arial"/>
          <w:sz w:val="22"/>
          <w:szCs w:val="22"/>
        </w:rPr>
        <w:t>CFR</w:t>
      </w:r>
      <w:r w:rsidRPr="00B50320" w:rsidR="00910133">
        <w:rPr>
          <w:rFonts w:ascii="Arial" w:hAnsi="Arial" w:cs="Arial"/>
          <w:sz w:val="22"/>
          <w:szCs w:val="22"/>
        </w:rPr>
        <w:t> </w:t>
      </w:r>
      <w:r w:rsidRPr="00B50320">
        <w:rPr>
          <w:rFonts w:ascii="Arial" w:hAnsi="Arial" w:cs="Arial"/>
          <w:sz w:val="22"/>
          <w:szCs w:val="22"/>
        </w:rPr>
        <w:t>Part</w:t>
      </w:r>
      <w:r w:rsidRPr="00B50320" w:rsidR="00910133">
        <w:rPr>
          <w:rFonts w:ascii="Arial" w:hAnsi="Arial" w:cs="Arial"/>
          <w:sz w:val="22"/>
          <w:szCs w:val="22"/>
        </w:rPr>
        <w:t> </w:t>
      </w:r>
      <w:r w:rsidRPr="00B50320">
        <w:rPr>
          <w:rFonts w:ascii="Arial" w:hAnsi="Arial" w:cs="Arial"/>
          <w:sz w:val="22"/>
          <w:szCs w:val="22"/>
        </w:rPr>
        <w:t>53 to include Class 104 licenses</w:t>
      </w:r>
      <w:r w:rsidR="00312282">
        <w:rPr>
          <w:rFonts w:ascii="Arial" w:hAnsi="Arial" w:cs="Arial"/>
          <w:sz w:val="22"/>
          <w:szCs w:val="22"/>
        </w:rPr>
        <w:t>,</w:t>
      </w:r>
      <w:r w:rsidRPr="00B50320">
        <w:rPr>
          <w:rFonts w:ascii="Arial" w:hAnsi="Arial" w:cs="Arial"/>
          <w:sz w:val="22"/>
          <w:szCs w:val="22"/>
        </w:rPr>
        <w:t xml:space="preserve"> and </w:t>
      </w:r>
      <w:r w:rsidR="00BC2A78">
        <w:rPr>
          <w:rFonts w:ascii="Arial" w:hAnsi="Arial" w:cs="Arial"/>
          <w:sz w:val="22"/>
          <w:szCs w:val="22"/>
        </w:rPr>
        <w:t xml:space="preserve">the NRC </w:t>
      </w:r>
      <w:r w:rsidRPr="00B50320">
        <w:rPr>
          <w:rFonts w:ascii="Arial" w:hAnsi="Arial" w:cs="Arial"/>
          <w:sz w:val="22"/>
          <w:szCs w:val="22"/>
        </w:rPr>
        <w:t xml:space="preserve">believes the level of effort and changes needed to address a wider range of facilities beyond the commercial advanced nuclear reactors addressed </w:t>
      </w:r>
      <w:r w:rsidR="0018413F">
        <w:rPr>
          <w:rFonts w:ascii="Arial" w:hAnsi="Arial" w:cs="Arial"/>
          <w:sz w:val="22"/>
          <w:szCs w:val="22"/>
        </w:rPr>
        <w:t xml:space="preserve">within </w:t>
      </w:r>
      <w:r w:rsidR="00842601">
        <w:rPr>
          <w:rFonts w:ascii="Arial" w:hAnsi="Arial" w:cs="Arial"/>
          <w:sz w:val="22"/>
          <w:szCs w:val="22"/>
        </w:rPr>
        <w:t>NEIMA</w:t>
      </w:r>
      <w:r w:rsidRPr="00B50320">
        <w:rPr>
          <w:rFonts w:ascii="Arial" w:hAnsi="Arial" w:cs="Arial"/>
          <w:sz w:val="22"/>
          <w:szCs w:val="22"/>
        </w:rPr>
        <w:t xml:space="preserve"> is not warranted</w:t>
      </w:r>
      <w:r w:rsidR="0018413F">
        <w:rPr>
          <w:rFonts w:ascii="Arial" w:hAnsi="Arial" w:cs="Arial"/>
          <w:sz w:val="22"/>
          <w:szCs w:val="22"/>
        </w:rPr>
        <w:t>.</w:t>
      </w:r>
      <w:r w:rsidR="00425C9B">
        <w:rPr>
          <w:rFonts w:ascii="Arial" w:hAnsi="Arial" w:cs="Arial"/>
          <w:sz w:val="22"/>
          <w:szCs w:val="22"/>
        </w:rPr>
        <w:t xml:space="preserve"> The</w:t>
      </w:r>
      <w:r w:rsidRPr="00B50320">
        <w:rPr>
          <w:rFonts w:ascii="Arial" w:hAnsi="Arial" w:cs="Arial"/>
          <w:sz w:val="22"/>
          <w:szCs w:val="22"/>
        </w:rPr>
        <w:t xml:space="preserve"> NRC </w:t>
      </w:r>
      <w:r w:rsidR="00547B48">
        <w:rPr>
          <w:rFonts w:ascii="Arial" w:hAnsi="Arial" w:cs="Arial"/>
          <w:sz w:val="22"/>
          <w:szCs w:val="22"/>
        </w:rPr>
        <w:t>has initiated other</w:t>
      </w:r>
      <w:r w:rsidRPr="00B50320">
        <w:rPr>
          <w:rFonts w:ascii="Arial" w:hAnsi="Arial" w:cs="Arial"/>
          <w:sz w:val="22"/>
          <w:szCs w:val="22"/>
        </w:rPr>
        <w:t xml:space="preserve"> activities consistent with the ADVANCE Act and EOs issued in 2025, including development of an additional rulemaking to expedite licensing of qualified microreactors and other potentially low risk, low consequence reactors. This activity, along with other NRC guidance development activities, is intended to address issues such as those raised by the comments in a holistic manner.</w:t>
      </w:r>
    </w:p>
    <w:p w:rsidR="007F112A" w:rsidRPr="00B50320" w:rsidP="00B50320" w14:paraId="3EAA4B43"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p w:rsidR="007F112A" w:rsidRPr="00B50320" w:rsidP="00B50320" w14:paraId="26162A99" w14:textId="77777777">
      <w:pPr>
        <w:spacing w:after="220"/>
        <w:rPr>
          <w:rFonts w:ascii="Arial" w:hAnsi="Arial" w:cs="Arial"/>
          <w:sz w:val="22"/>
          <w:szCs w:val="22"/>
        </w:rPr>
      </w:pPr>
      <w:r>
        <w:rPr>
          <w:rFonts w:ascii="Arial" w:hAnsi="Arial" w:cs="Arial"/>
          <w:sz w:val="22"/>
          <w:szCs w:val="22"/>
        </w:rPr>
        <w:pict>
          <v:rect id="_x0000_i1313" style="width:0;height:1.5pt" o:hralign="center" o:hrstd="t" o:hrnoshade="t" o:hr="t" fillcolor="black" stroked="f"/>
        </w:pict>
      </w:r>
    </w:p>
    <w:p w:rsidR="007F112A" w:rsidRPr="00B50320" w:rsidP="00B50320" w14:paraId="3B6D0095"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H</w:t>
      </w:r>
      <w:r w:rsidRPr="00B50320">
        <w:rPr>
          <w:rFonts w:ascii="Arial" w:hAnsi="Arial" w:cs="Arial"/>
          <w:b/>
          <w:sz w:val="22"/>
          <w:szCs w:val="22"/>
        </w:rPr>
        <w:t>:</w:t>
      </w:r>
      <w:r w:rsidRPr="00B50320">
        <w:rPr>
          <w:rFonts w:ascii="Arial" w:hAnsi="Arial" w:cs="Arial"/>
          <w:sz w:val="22"/>
          <w:szCs w:val="22"/>
        </w:rPr>
        <w:t xml:space="preserve"> A commenter stated that while requirements in 10 CFR Part 53 Subparts H and I cite equivalency to requirements in 10 CFR Part 50 and 10 CFR Part 52, these sections contain new requirements, which the commenter stated may not be in conformance with NEIMA and seems like an “expansion of the bureaucracy.” The commenter recommended that these sections instead cite the equivalent 10 CFR Part 50 and 10 CFR</w:t>
      </w:r>
      <w:r w:rsidR="00111686">
        <w:rPr>
          <w:rFonts w:ascii="Arial" w:hAnsi="Arial" w:cs="Arial"/>
          <w:sz w:val="22"/>
          <w:szCs w:val="22"/>
        </w:rPr>
        <w:t> </w:t>
      </w:r>
      <w:r w:rsidRPr="00B50320">
        <w:rPr>
          <w:rFonts w:ascii="Arial" w:hAnsi="Arial" w:cs="Arial"/>
          <w:sz w:val="22"/>
          <w:szCs w:val="22"/>
        </w:rPr>
        <w:t>Part</w:t>
      </w:r>
      <w:r w:rsidR="00111686">
        <w:rPr>
          <w:rFonts w:ascii="Arial" w:hAnsi="Arial" w:cs="Arial"/>
          <w:sz w:val="22"/>
          <w:szCs w:val="22"/>
        </w:rPr>
        <w:t> </w:t>
      </w:r>
      <w:r w:rsidRPr="00B50320">
        <w:rPr>
          <w:rFonts w:ascii="Arial" w:hAnsi="Arial" w:cs="Arial"/>
          <w:sz w:val="22"/>
          <w:szCs w:val="22"/>
        </w:rPr>
        <w:t>52 sections, with editorial modifications, or the NRC provide additional justification for the proposed change</w:t>
      </w:r>
      <w:r w:rsidRPr="008178C1">
        <w:rPr>
          <w:rFonts w:ascii="Arial" w:hAnsi="Arial" w:cs="Arial"/>
          <w:sz w:val="22"/>
          <w:szCs w:val="22"/>
        </w:rPr>
        <w:t>s (</w:t>
      </w:r>
      <w:r w:rsidRPr="008178C1" w:rsidR="008178C1">
        <w:rPr>
          <w:rFonts w:ascii="Arial" w:eastAsia="Times New Roman" w:hAnsi="Arial" w:cs="Arial"/>
          <w:color w:val="000000"/>
          <w:sz w:val="22"/>
          <w:szCs w:val="22"/>
        </w:rPr>
        <w:t>HPT41</w:t>
      </w:r>
      <w:r w:rsidRPr="008178C1">
        <w:rPr>
          <w:rFonts w:ascii="Arial" w:hAnsi="Arial" w:cs="Arial"/>
          <w:sz w:val="22"/>
          <w:szCs w:val="22"/>
        </w:rPr>
        <w:t>-</w:t>
      </w:r>
      <w:r w:rsidRPr="00B50320">
        <w:rPr>
          <w:rFonts w:ascii="Arial" w:hAnsi="Arial" w:cs="Arial"/>
          <w:sz w:val="22"/>
          <w:szCs w:val="22"/>
        </w:rPr>
        <w:t>0001).</w:t>
      </w:r>
    </w:p>
    <w:p w:rsidR="00EF511A" w:rsidRPr="00B50320" w:rsidP="00B50320" w14:paraId="5FBC152A"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disagrees with the comment</w:t>
      </w:r>
      <w:r w:rsidRPr="00B50320" w:rsidR="00582AC4">
        <w:rPr>
          <w:rFonts w:ascii="Arial" w:hAnsi="Arial" w:cs="Arial"/>
          <w:sz w:val="22"/>
          <w:szCs w:val="22"/>
        </w:rPr>
        <w:t>.</w:t>
      </w:r>
    </w:p>
    <w:p w:rsidR="00582AC4" w:rsidRPr="00B50320" w:rsidP="00B50320" w14:paraId="4D84DF92" w14:textId="77777777">
      <w:pPr>
        <w:spacing w:after="220"/>
        <w:rPr>
          <w:rFonts w:ascii="Arial" w:hAnsi="Arial" w:cs="Arial"/>
          <w:sz w:val="22"/>
          <w:szCs w:val="22"/>
        </w:rPr>
      </w:pPr>
      <w:r w:rsidRPr="00B50320">
        <w:rPr>
          <w:rFonts w:ascii="Arial" w:hAnsi="Arial" w:cs="Arial"/>
          <w:sz w:val="22"/>
          <w:szCs w:val="22"/>
        </w:rPr>
        <w:t>The NRC disagrees</w:t>
      </w:r>
      <w:r w:rsidRPr="00B50320" w:rsidR="007F112A">
        <w:rPr>
          <w:rFonts w:ascii="Arial" w:hAnsi="Arial" w:cs="Arial"/>
          <w:sz w:val="22"/>
          <w:szCs w:val="22"/>
        </w:rPr>
        <w:t xml:space="preserve"> that 10</w:t>
      </w:r>
      <w:r w:rsidRPr="00B50320">
        <w:rPr>
          <w:rFonts w:ascii="Arial" w:hAnsi="Arial" w:cs="Arial"/>
          <w:sz w:val="22"/>
          <w:szCs w:val="22"/>
        </w:rPr>
        <w:t> </w:t>
      </w:r>
      <w:r w:rsidRPr="00B50320" w:rsidR="007F112A">
        <w:rPr>
          <w:rFonts w:ascii="Arial" w:hAnsi="Arial" w:cs="Arial"/>
          <w:sz w:val="22"/>
          <w:szCs w:val="22"/>
        </w:rPr>
        <w:t xml:space="preserve">CFR Part 53 is not in conformance with NEIMA </w:t>
      </w:r>
      <w:r w:rsidRPr="00B50320" w:rsidR="00715AEF">
        <w:rPr>
          <w:rFonts w:ascii="Arial" w:hAnsi="Arial" w:cs="Arial"/>
          <w:sz w:val="22"/>
          <w:szCs w:val="22"/>
        </w:rPr>
        <w:t xml:space="preserve">just </w:t>
      </w:r>
      <w:r w:rsidRPr="00B50320" w:rsidR="007F112A">
        <w:rPr>
          <w:rFonts w:ascii="Arial" w:hAnsi="Arial" w:cs="Arial"/>
          <w:sz w:val="22"/>
          <w:szCs w:val="22"/>
        </w:rPr>
        <w:t xml:space="preserve">because some of the rule’s provisions are different than similar provisions in 10 CFR Parts 50 and 52. Because an applicant’s development of the licensing basis under 10 CFR Part 53 is significantly different </w:t>
      </w:r>
      <w:r w:rsidRPr="00B50320" w:rsidR="007F112A">
        <w:rPr>
          <w:rFonts w:ascii="Arial" w:hAnsi="Arial" w:cs="Arial"/>
          <w:sz w:val="22"/>
          <w:szCs w:val="22"/>
        </w:rPr>
        <w:t>than it would be under 10 CFR Part 50 or Part 52, there are necessary deviations in the provisions in 10</w:t>
      </w:r>
      <w:r w:rsidRPr="00B50320">
        <w:rPr>
          <w:rFonts w:ascii="Arial" w:hAnsi="Arial" w:cs="Arial"/>
          <w:sz w:val="22"/>
          <w:szCs w:val="22"/>
        </w:rPr>
        <w:t> </w:t>
      </w:r>
      <w:r w:rsidRPr="00B50320" w:rsidR="007F112A">
        <w:rPr>
          <w:rFonts w:ascii="Arial" w:hAnsi="Arial" w:cs="Arial"/>
          <w:sz w:val="22"/>
          <w:szCs w:val="22"/>
        </w:rPr>
        <w:t>CFR</w:t>
      </w:r>
      <w:r w:rsidRPr="00B50320">
        <w:rPr>
          <w:rFonts w:ascii="Arial" w:hAnsi="Arial" w:cs="Arial"/>
          <w:sz w:val="22"/>
          <w:szCs w:val="22"/>
        </w:rPr>
        <w:t> </w:t>
      </w:r>
      <w:r w:rsidRPr="00B50320" w:rsidR="007F112A">
        <w:rPr>
          <w:rFonts w:ascii="Arial" w:hAnsi="Arial" w:cs="Arial"/>
          <w:sz w:val="22"/>
          <w:szCs w:val="22"/>
        </w:rPr>
        <w:t>Part 53 as compared to the equivalent requirements in 10 CFR Parts 50 and 52.</w:t>
      </w:r>
      <w:r w:rsidR="00ED1A4E">
        <w:rPr>
          <w:rFonts w:ascii="Arial" w:hAnsi="Arial" w:cs="Arial"/>
          <w:sz w:val="22"/>
          <w:szCs w:val="22"/>
        </w:rPr>
        <w:t xml:space="preserve"> For example, </w:t>
      </w:r>
      <w:r w:rsidR="004A2884">
        <w:rPr>
          <w:rFonts w:ascii="Arial" w:hAnsi="Arial" w:cs="Arial"/>
          <w:sz w:val="22"/>
          <w:szCs w:val="22"/>
        </w:rPr>
        <w:t xml:space="preserve">10 CFR Part 53 </w:t>
      </w:r>
      <w:r w:rsidR="009D3C6D">
        <w:rPr>
          <w:rFonts w:ascii="Arial" w:hAnsi="Arial" w:cs="Arial"/>
          <w:sz w:val="22"/>
          <w:szCs w:val="22"/>
        </w:rPr>
        <w:t xml:space="preserve">requires that analyses be performed to </w:t>
      </w:r>
      <w:r w:rsidR="00CA6CA4">
        <w:rPr>
          <w:rFonts w:ascii="Arial" w:hAnsi="Arial" w:cs="Arial"/>
          <w:sz w:val="22"/>
          <w:szCs w:val="22"/>
        </w:rPr>
        <w:t>establish</w:t>
      </w:r>
      <w:r w:rsidR="005A579C">
        <w:rPr>
          <w:rFonts w:ascii="Arial" w:hAnsi="Arial" w:cs="Arial"/>
          <w:sz w:val="22"/>
          <w:szCs w:val="22"/>
        </w:rPr>
        <w:t xml:space="preserve"> design features and</w:t>
      </w:r>
      <w:r w:rsidR="00CA6CA4">
        <w:rPr>
          <w:rFonts w:ascii="Arial" w:hAnsi="Arial" w:cs="Arial"/>
          <w:sz w:val="22"/>
          <w:szCs w:val="22"/>
        </w:rPr>
        <w:t xml:space="preserve"> functional design criteria </w:t>
      </w:r>
      <w:r w:rsidR="003D3F69">
        <w:rPr>
          <w:rFonts w:ascii="Arial" w:hAnsi="Arial" w:cs="Arial"/>
          <w:sz w:val="22"/>
          <w:szCs w:val="22"/>
        </w:rPr>
        <w:t>versus the prescr</w:t>
      </w:r>
      <w:r w:rsidR="0060639F">
        <w:rPr>
          <w:rFonts w:ascii="Arial" w:hAnsi="Arial" w:cs="Arial"/>
          <w:sz w:val="22"/>
          <w:szCs w:val="22"/>
        </w:rPr>
        <w:t xml:space="preserve">iptive </w:t>
      </w:r>
      <w:r w:rsidR="003D3F69">
        <w:rPr>
          <w:rFonts w:ascii="Arial" w:hAnsi="Arial" w:cs="Arial"/>
          <w:sz w:val="22"/>
          <w:szCs w:val="22"/>
        </w:rPr>
        <w:t>General Design Criteria</w:t>
      </w:r>
      <w:r w:rsidR="00F82930">
        <w:rPr>
          <w:rFonts w:ascii="Arial" w:hAnsi="Arial" w:cs="Arial"/>
          <w:sz w:val="22"/>
          <w:szCs w:val="22"/>
        </w:rPr>
        <w:t xml:space="preserve"> </w:t>
      </w:r>
      <w:r w:rsidR="0060639F">
        <w:rPr>
          <w:rFonts w:ascii="Arial" w:hAnsi="Arial" w:cs="Arial"/>
          <w:sz w:val="22"/>
          <w:szCs w:val="22"/>
        </w:rPr>
        <w:t xml:space="preserve">that are required to be met </w:t>
      </w:r>
      <w:r w:rsidR="00F82930">
        <w:rPr>
          <w:rFonts w:ascii="Arial" w:hAnsi="Arial" w:cs="Arial"/>
          <w:sz w:val="22"/>
          <w:szCs w:val="22"/>
        </w:rPr>
        <w:t>under 10 CFR Parts 50 and 52.</w:t>
      </w:r>
    </w:p>
    <w:p w:rsidR="007F112A" w:rsidRPr="00B50320" w:rsidP="00B50320" w14:paraId="7D81D2C8"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p w:rsidR="007F112A" w:rsidRPr="00B50320" w:rsidP="00B50320" w14:paraId="78802E53" w14:textId="77777777">
      <w:pPr>
        <w:spacing w:after="220"/>
        <w:rPr>
          <w:rFonts w:ascii="Arial" w:hAnsi="Arial" w:cs="Arial"/>
          <w:sz w:val="22"/>
          <w:szCs w:val="22"/>
        </w:rPr>
      </w:pPr>
      <w:r>
        <w:rPr>
          <w:rFonts w:ascii="Arial" w:hAnsi="Arial" w:cs="Arial"/>
          <w:sz w:val="22"/>
          <w:szCs w:val="22"/>
        </w:rPr>
        <w:pict>
          <v:rect id="_x0000_i1314" style="width:0;height:1.5pt" o:hralign="center" o:hrstd="t" o:hrnoshade="t" o:hr="t" fillcolor="black" stroked="f"/>
        </w:pict>
      </w:r>
    </w:p>
    <w:p w:rsidR="007F112A" w:rsidRPr="00B50320" w:rsidP="00B50320" w14:paraId="687E271A"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I</w:t>
      </w:r>
      <w:r w:rsidRPr="00B50320">
        <w:rPr>
          <w:rFonts w:ascii="Arial" w:hAnsi="Arial" w:cs="Arial"/>
          <w:b/>
          <w:sz w:val="22"/>
          <w:szCs w:val="22"/>
        </w:rPr>
        <w:t>:</w:t>
      </w:r>
      <w:r w:rsidRPr="00B50320">
        <w:rPr>
          <w:rFonts w:ascii="Arial" w:hAnsi="Arial" w:cs="Arial"/>
          <w:sz w:val="22"/>
          <w:szCs w:val="22"/>
        </w:rPr>
        <w:t xml:space="preserve"> A commenter stated that while stakeholders may submit written statements for Commission consideration during a mandatory hearing on a 10 CFR Part</w:t>
      </w:r>
      <w:r w:rsidRPr="00B50320" w:rsidR="00E9112F">
        <w:rPr>
          <w:rFonts w:ascii="Arial" w:hAnsi="Arial" w:cs="Arial"/>
          <w:sz w:val="22"/>
          <w:szCs w:val="22"/>
        </w:rPr>
        <w:t> </w:t>
      </w:r>
      <w:r w:rsidRPr="00B50320">
        <w:rPr>
          <w:rFonts w:ascii="Arial" w:hAnsi="Arial" w:cs="Arial"/>
          <w:sz w:val="22"/>
          <w:szCs w:val="22"/>
        </w:rPr>
        <w:t>53 application, there is no provision for a contested hearing. The commenter explained that without the possibility of a contested hearing, the Commission and the NRC staff have little incentive to meaningfully review public feedback, and added that, based on their experience, contested hearings are a meaningful and effective way to engage the NRC staff and the Commission. The commenter emphasized that States play a unique role, and that if a host State determines that a contested hearing is in the interests of the State and its residents, the State should be permitted to request and participate in a contested hearing (</w:t>
      </w:r>
      <w:r w:rsidR="00E36F7E">
        <w:rPr>
          <w:rFonts w:ascii="Arial" w:hAnsi="Arial" w:cs="Arial"/>
          <w:sz w:val="22"/>
          <w:szCs w:val="22"/>
        </w:rPr>
        <w:t>NYS2</w:t>
      </w:r>
      <w:r w:rsidRPr="00B50320">
        <w:rPr>
          <w:rFonts w:ascii="Arial" w:hAnsi="Arial" w:cs="Arial"/>
          <w:sz w:val="22"/>
          <w:szCs w:val="22"/>
        </w:rPr>
        <w:t>-0010).</w:t>
      </w:r>
    </w:p>
    <w:p w:rsidR="00AD675C" w:rsidRPr="00B50320" w:rsidP="00B50320" w14:paraId="4AAF0183"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xml:space="preserve"> The NRC disagrees with </w:t>
      </w:r>
      <w:r w:rsidR="007B5704">
        <w:rPr>
          <w:rFonts w:ascii="Arial" w:hAnsi="Arial" w:cs="Arial"/>
          <w:sz w:val="22"/>
          <w:szCs w:val="22"/>
        </w:rPr>
        <w:t>the</w:t>
      </w:r>
      <w:r w:rsidRPr="00B50320">
        <w:rPr>
          <w:rFonts w:ascii="Arial" w:hAnsi="Arial" w:cs="Arial"/>
          <w:sz w:val="22"/>
          <w:szCs w:val="22"/>
        </w:rPr>
        <w:t xml:space="preserve"> comment.</w:t>
      </w:r>
    </w:p>
    <w:p w:rsidR="00B15B2F" w:rsidRPr="00B50320" w:rsidP="00B50320" w14:paraId="36D9DC1A" w14:textId="77777777">
      <w:pPr>
        <w:spacing w:after="220"/>
        <w:rPr>
          <w:rFonts w:ascii="Arial" w:hAnsi="Arial" w:cs="Arial"/>
          <w:sz w:val="22"/>
          <w:szCs w:val="22"/>
        </w:rPr>
      </w:pPr>
      <w:r w:rsidRPr="00B50320">
        <w:rPr>
          <w:rFonts w:ascii="Arial" w:hAnsi="Arial" w:cs="Arial"/>
          <w:sz w:val="22"/>
          <w:szCs w:val="22"/>
        </w:rPr>
        <w:t>The proposed rule makes numerous amendments to 10 CFR Part 2 to clarify that the NRC’s procedures for contested proceedings apply to applications submitted under 10 CFR Part 53. The NRC does not intend to limit hearings on 10 CFR Part 53 applications to only mandatory hearings.</w:t>
      </w:r>
    </w:p>
    <w:p w:rsidR="007F112A" w:rsidRPr="00B50320" w:rsidP="00B50320" w14:paraId="5EDD9F4B" w14:textId="77777777">
      <w:pPr>
        <w:spacing w:after="220"/>
        <w:rPr>
          <w:rFonts w:ascii="Arial" w:hAnsi="Arial" w:cs="Arial"/>
          <w:sz w:val="22"/>
          <w:szCs w:val="22"/>
        </w:rPr>
      </w:pPr>
      <w:r w:rsidRPr="00B50320">
        <w:rPr>
          <w:rFonts w:ascii="Arial" w:hAnsi="Arial" w:cs="Arial"/>
          <w:sz w:val="22"/>
          <w:szCs w:val="22"/>
        </w:rPr>
        <w:t xml:space="preserve">Accordingly, the NRC did not change the rule language </w:t>
      </w:r>
      <w:r w:rsidRPr="00B50320" w:rsidR="00AD675C">
        <w:rPr>
          <w:rFonts w:ascii="Arial" w:hAnsi="Arial" w:cs="Arial"/>
          <w:sz w:val="22"/>
          <w:szCs w:val="22"/>
        </w:rPr>
        <w:t>in response to</w:t>
      </w:r>
      <w:r w:rsidRPr="00B50320">
        <w:rPr>
          <w:rFonts w:ascii="Arial" w:hAnsi="Arial" w:cs="Arial"/>
          <w:sz w:val="22"/>
          <w:szCs w:val="22"/>
        </w:rPr>
        <w:t xml:space="preserve"> this comment.</w:t>
      </w:r>
    </w:p>
    <w:p w:rsidR="007F112A" w:rsidRPr="00B50320" w:rsidP="00B50320" w14:paraId="7734F5E1" w14:textId="77777777">
      <w:pPr>
        <w:spacing w:after="220"/>
        <w:rPr>
          <w:rFonts w:ascii="Arial" w:hAnsi="Arial" w:cs="Arial"/>
          <w:sz w:val="22"/>
          <w:szCs w:val="22"/>
        </w:rPr>
      </w:pPr>
      <w:r>
        <w:rPr>
          <w:rFonts w:ascii="Arial" w:hAnsi="Arial" w:cs="Arial"/>
          <w:sz w:val="22"/>
          <w:szCs w:val="22"/>
        </w:rPr>
        <w:pict>
          <v:rect id="_x0000_i1315" style="width:0;height:1.5pt" o:hralign="center" o:hrstd="t" o:hrnoshade="t" o:hr="t" fillcolor="black" stroked="f"/>
        </w:pict>
      </w:r>
    </w:p>
    <w:p w:rsidR="007F112A" w:rsidRPr="00B50320" w:rsidP="00B50320" w14:paraId="45C9BFAF"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J</w:t>
      </w:r>
      <w:r w:rsidRPr="00B50320">
        <w:rPr>
          <w:rFonts w:ascii="Arial" w:hAnsi="Arial" w:cs="Arial"/>
          <w:b/>
          <w:sz w:val="22"/>
          <w:szCs w:val="22"/>
        </w:rPr>
        <w:t>:</w:t>
      </w:r>
      <w:r w:rsidRPr="00B50320">
        <w:rPr>
          <w:rFonts w:ascii="Arial" w:hAnsi="Arial" w:cs="Arial"/>
          <w:sz w:val="22"/>
          <w:szCs w:val="22"/>
        </w:rPr>
        <w:t xml:space="preserve"> A commenter stated that several provisions in the proposed rule are ambiguous and will negatively impact State and public stakeholders and their ability to understand the licensing basis or participate in the process under 10 CFR 2.206. The commenter added it would also be difficult for the NRC to enforce such ambiguous provisions. The commenter urged the NRC to provide a more clear and structured process to allow for the involvement of State regulators and stakeholders in the entire licensing process (</w:t>
      </w:r>
      <w:r w:rsidR="00E36F7E">
        <w:rPr>
          <w:rFonts w:ascii="Arial" w:hAnsi="Arial" w:cs="Arial"/>
          <w:sz w:val="22"/>
          <w:szCs w:val="22"/>
        </w:rPr>
        <w:t>NYS2</w:t>
      </w:r>
      <w:r w:rsidRPr="00B50320">
        <w:rPr>
          <w:rFonts w:ascii="Arial" w:hAnsi="Arial" w:cs="Arial"/>
          <w:sz w:val="22"/>
          <w:szCs w:val="22"/>
        </w:rPr>
        <w:t>-0007).</w:t>
      </w:r>
    </w:p>
    <w:p w:rsidR="003037BE" w:rsidP="00B50320" w14:paraId="67CB7BA8"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xml:space="preserve"> The NRC disagrees with the comment. </w:t>
      </w:r>
    </w:p>
    <w:p w:rsidR="009F2D43" w:rsidRPr="00B50320" w:rsidP="00B50320" w14:paraId="0453C921" w14:textId="77777777">
      <w:pPr>
        <w:spacing w:after="220"/>
        <w:rPr>
          <w:rFonts w:ascii="Arial" w:hAnsi="Arial" w:cs="Arial"/>
          <w:sz w:val="22"/>
          <w:szCs w:val="22"/>
        </w:rPr>
      </w:pPr>
      <w:r w:rsidRPr="00B50320">
        <w:rPr>
          <w:rFonts w:ascii="Arial" w:hAnsi="Arial" w:cs="Arial"/>
          <w:sz w:val="22"/>
          <w:szCs w:val="22"/>
        </w:rPr>
        <w:t>As explained in the proposed and final rule</w:t>
      </w:r>
      <w:r w:rsidR="005C080B">
        <w:rPr>
          <w:rFonts w:ascii="Arial" w:hAnsi="Arial" w:cs="Arial"/>
          <w:sz w:val="22"/>
          <w:szCs w:val="22"/>
        </w:rPr>
        <w:t xml:space="preserve"> FRN</w:t>
      </w:r>
      <w:r w:rsidRPr="00B50320">
        <w:rPr>
          <w:rFonts w:ascii="Arial" w:hAnsi="Arial" w:cs="Arial"/>
          <w:sz w:val="22"/>
          <w:szCs w:val="22"/>
        </w:rPr>
        <w:t>s, 10 CFR Part 53 is a risk-informed, performance</w:t>
      </w:r>
      <w:r w:rsidR="001B059B">
        <w:rPr>
          <w:rFonts w:ascii="Arial" w:hAnsi="Arial" w:cs="Arial"/>
          <w:sz w:val="22"/>
          <w:szCs w:val="22"/>
        </w:rPr>
        <w:t>-</w:t>
      </w:r>
      <w:r w:rsidRPr="00B50320">
        <w:rPr>
          <w:rFonts w:ascii="Arial" w:hAnsi="Arial" w:cs="Arial"/>
          <w:sz w:val="22"/>
          <w:szCs w:val="22"/>
        </w:rPr>
        <w:t>based, and technology-inclusive regulatory framework for commercial nuclear plants. 10</w:t>
      </w:r>
      <w:r w:rsidR="00442EF3">
        <w:rPr>
          <w:rFonts w:ascii="Arial" w:hAnsi="Arial" w:cs="Arial"/>
          <w:sz w:val="22"/>
          <w:szCs w:val="22"/>
        </w:rPr>
        <w:t> </w:t>
      </w:r>
      <w:r w:rsidRPr="00B50320">
        <w:rPr>
          <w:rFonts w:ascii="Arial" w:hAnsi="Arial" w:cs="Arial"/>
          <w:sz w:val="22"/>
          <w:szCs w:val="22"/>
        </w:rPr>
        <w:t>CFR</w:t>
      </w:r>
      <w:r w:rsidR="00442EF3">
        <w:rPr>
          <w:rFonts w:ascii="Arial" w:hAnsi="Arial" w:cs="Arial"/>
          <w:sz w:val="22"/>
          <w:szCs w:val="22"/>
        </w:rPr>
        <w:t> </w:t>
      </w:r>
      <w:r w:rsidRPr="00B50320">
        <w:rPr>
          <w:rFonts w:ascii="Arial" w:hAnsi="Arial" w:cs="Arial"/>
          <w:sz w:val="22"/>
          <w:szCs w:val="22"/>
        </w:rPr>
        <w:t xml:space="preserve">Part 53 provides a framework, safety criteria, and </w:t>
      </w:r>
      <w:r w:rsidRPr="00B50320" w:rsidR="004F4594">
        <w:rPr>
          <w:rFonts w:ascii="Arial" w:hAnsi="Arial" w:cs="Arial"/>
          <w:sz w:val="22"/>
          <w:szCs w:val="22"/>
        </w:rPr>
        <w:t xml:space="preserve">definitions of </w:t>
      </w:r>
      <w:r w:rsidRPr="00B50320">
        <w:rPr>
          <w:rFonts w:ascii="Arial" w:hAnsi="Arial" w:cs="Arial"/>
          <w:sz w:val="22"/>
          <w:szCs w:val="22"/>
        </w:rPr>
        <w:t>relationships between major activities to accommodate a variety of reactor technologies, sizes, and designs. Guidance is or will be available regarding the structure of key licensing</w:t>
      </w:r>
      <w:r w:rsidR="00035B4D">
        <w:rPr>
          <w:rFonts w:ascii="Arial" w:hAnsi="Arial" w:cs="Arial"/>
          <w:sz w:val="22"/>
          <w:szCs w:val="22"/>
        </w:rPr>
        <w:noBreakHyphen/>
      </w:r>
      <w:r w:rsidRPr="00B50320">
        <w:rPr>
          <w:rFonts w:ascii="Arial" w:hAnsi="Arial" w:cs="Arial"/>
          <w:sz w:val="22"/>
          <w:szCs w:val="22"/>
        </w:rPr>
        <w:t>basis documents to encourage consistency in the general organization of information. The differences in reactor technologies and differences in how individual commercial nuclear reactors are designed and operated may also result in the need for additional guidance to support NRC reviews, public participation, and NRC’s inspection and oversight functions. Regarding the comment</w:t>
      </w:r>
      <w:r w:rsidRPr="00B50320" w:rsidR="00C51C7C">
        <w:rPr>
          <w:rFonts w:ascii="Arial" w:hAnsi="Arial" w:cs="Arial"/>
          <w:sz w:val="22"/>
          <w:szCs w:val="22"/>
        </w:rPr>
        <w:t>’s discussion</w:t>
      </w:r>
      <w:r w:rsidRPr="00B50320">
        <w:rPr>
          <w:rFonts w:ascii="Arial" w:hAnsi="Arial" w:cs="Arial"/>
          <w:sz w:val="22"/>
          <w:szCs w:val="22"/>
        </w:rPr>
        <w:t xml:space="preserve"> on </w:t>
      </w:r>
      <w:r w:rsidRPr="00B50320" w:rsidR="004955E3">
        <w:rPr>
          <w:rFonts w:ascii="Arial" w:hAnsi="Arial" w:cs="Arial"/>
          <w:sz w:val="22"/>
          <w:szCs w:val="22"/>
        </w:rPr>
        <w:t xml:space="preserve">the </w:t>
      </w:r>
      <w:r w:rsidRPr="00B50320">
        <w:rPr>
          <w:rFonts w:ascii="Arial" w:hAnsi="Arial" w:cs="Arial"/>
          <w:sz w:val="22"/>
          <w:szCs w:val="22"/>
        </w:rPr>
        <w:t xml:space="preserve">involvement of state governments and stakeholders, 10 CFR Part 53 has included the same provisions for openness and opportunities for participation as are included in </w:t>
      </w:r>
      <w:r w:rsidRPr="00B50320">
        <w:rPr>
          <w:rFonts w:ascii="Arial" w:hAnsi="Arial" w:cs="Arial"/>
          <w:sz w:val="22"/>
          <w:szCs w:val="22"/>
        </w:rPr>
        <w:t>and have been exercised through 10 CFR Parts 50 and 52</w:t>
      </w:r>
      <w:r w:rsidR="0084434E">
        <w:rPr>
          <w:rFonts w:ascii="Arial" w:hAnsi="Arial" w:cs="Arial"/>
          <w:sz w:val="22"/>
          <w:szCs w:val="22"/>
        </w:rPr>
        <w:t>, which provide appropriate opportunities for public engagement consistent with the AEA</w:t>
      </w:r>
      <w:r w:rsidRPr="00B50320">
        <w:rPr>
          <w:rFonts w:ascii="Arial" w:hAnsi="Arial" w:cs="Arial"/>
          <w:sz w:val="22"/>
          <w:szCs w:val="22"/>
        </w:rPr>
        <w:t>.</w:t>
      </w:r>
    </w:p>
    <w:p w:rsidR="007F112A" w:rsidRPr="00B50320" w:rsidP="00B50320" w14:paraId="1D57BC73"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p w:rsidR="007F112A" w:rsidRPr="00B50320" w:rsidP="00B50320" w14:paraId="49E549DD" w14:textId="77777777">
      <w:pPr>
        <w:spacing w:after="220"/>
        <w:rPr>
          <w:rFonts w:ascii="Arial" w:hAnsi="Arial" w:cs="Arial"/>
          <w:sz w:val="22"/>
          <w:szCs w:val="22"/>
        </w:rPr>
      </w:pPr>
      <w:r>
        <w:rPr>
          <w:rFonts w:ascii="Arial" w:hAnsi="Arial" w:cs="Arial"/>
          <w:sz w:val="22"/>
          <w:szCs w:val="22"/>
        </w:rPr>
        <w:pict>
          <v:rect id="_x0000_i1316" style="width:0;height:1.5pt" o:hralign="center" o:hrstd="t" o:hrnoshade="t" o:hr="t" fillcolor="black" stroked="f"/>
        </w:pict>
      </w:r>
    </w:p>
    <w:p w:rsidR="007F112A" w:rsidRPr="00C61FD9" w:rsidP="00B50320" w14:paraId="7C4F8510" w14:textId="77777777">
      <w:pPr>
        <w:spacing w:after="220"/>
        <w:rPr>
          <w:rFonts w:ascii="Arial" w:eastAsia="Aptos" w:hAnsi="Arial" w:cs="Arial"/>
          <w:sz w:val="22"/>
          <w:szCs w:val="22"/>
        </w:rPr>
      </w:pPr>
      <w:r w:rsidRPr="00B50320">
        <w:rPr>
          <w:rFonts w:ascii="Arial" w:hAnsi="Arial" w:cs="Arial"/>
          <w:b/>
          <w:sz w:val="22"/>
          <w:szCs w:val="22"/>
        </w:rPr>
        <w:t>Comment Bin 3.12.</w:t>
      </w:r>
      <w:r w:rsidR="00FF58CF">
        <w:rPr>
          <w:rFonts w:ascii="Arial" w:hAnsi="Arial" w:cs="Arial"/>
          <w:b/>
          <w:sz w:val="22"/>
          <w:szCs w:val="22"/>
        </w:rPr>
        <w:t>K</w:t>
      </w:r>
      <w:r w:rsidRPr="00B50320">
        <w:rPr>
          <w:rFonts w:ascii="Arial" w:hAnsi="Arial" w:cs="Arial"/>
          <w:b/>
          <w:sz w:val="22"/>
          <w:szCs w:val="22"/>
        </w:rPr>
        <w:t>:</w:t>
      </w:r>
      <w:r w:rsidRPr="00B50320">
        <w:rPr>
          <w:rFonts w:ascii="Arial" w:hAnsi="Arial" w:cs="Arial"/>
          <w:sz w:val="22"/>
          <w:szCs w:val="22"/>
        </w:rPr>
        <w:t xml:space="preserve"> </w:t>
      </w:r>
      <w:r w:rsidRPr="00B50320">
        <w:rPr>
          <w:rFonts w:ascii="Arial" w:eastAsia="Aptos" w:hAnsi="Arial" w:cs="Arial"/>
          <w:sz w:val="22"/>
          <w:szCs w:val="22"/>
        </w:rPr>
        <w:t>A commenter stated that allowing applicants and licensees to justify an appropriate regulatory footprint unique to each design is likely to lead to substantial variation from plant to plant and thus challenge numerous safety aspects. The commenter added this could be exacerbated by the potential inconsistencies inherent to the review of applications. The commenter recommended that the NRC provide an oversight review function that would ensure consistency in NRC reviews of all aspects of nuclear safety from plant to plant. The commenter also stated that predictable review timelines are important, but there is no published schedule for a 10 CFR Part 53 review. The commenter added that PRAs have inherent uncertainties that could extend review times and costs, concluding that 10 CFR Part 53 offers flexibility that may come at the price of timeline unpredictability (</w:t>
      </w:r>
      <w:r w:rsidR="00E36F7E">
        <w:rPr>
          <w:rFonts w:ascii="Arial" w:eastAsia="Aptos" w:hAnsi="Arial" w:cs="Arial"/>
          <w:sz w:val="22"/>
          <w:szCs w:val="22"/>
        </w:rPr>
        <w:t>NYS2</w:t>
      </w:r>
      <w:r w:rsidRPr="00B50320">
        <w:rPr>
          <w:rFonts w:ascii="Arial" w:eastAsia="Aptos" w:hAnsi="Arial" w:cs="Arial"/>
          <w:sz w:val="22"/>
          <w:szCs w:val="22"/>
        </w:rPr>
        <w:t>-0009).</w:t>
      </w:r>
    </w:p>
    <w:p w:rsidR="007F112A" w:rsidRPr="00B50320" w:rsidP="00B50320" w14:paraId="11B0B897"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xml:space="preserve"> The NRC agrees, in part, with </w:t>
      </w:r>
      <w:r w:rsidR="00CB33DC">
        <w:rPr>
          <w:rFonts w:ascii="Arial" w:hAnsi="Arial" w:cs="Arial"/>
          <w:sz w:val="22"/>
          <w:szCs w:val="22"/>
        </w:rPr>
        <w:t>the</w:t>
      </w:r>
      <w:r w:rsidRPr="00B50320">
        <w:rPr>
          <w:rFonts w:ascii="Arial" w:hAnsi="Arial" w:cs="Arial"/>
          <w:sz w:val="22"/>
          <w:szCs w:val="22"/>
        </w:rPr>
        <w:t xml:space="preserve"> comment.</w:t>
      </w:r>
    </w:p>
    <w:p w:rsidR="007F112A" w:rsidRPr="00B50320" w:rsidP="00B50320" w14:paraId="43A64369" w14:textId="77777777">
      <w:pPr>
        <w:spacing w:after="220"/>
        <w:rPr>
          <w:rFonts w:ascii="Arial" w:hAnsi="Arial" w:cs="Arial"/>
          <w:sz w:val="22"/>
          <w:szCs w:val="22"/>
        </w:rPr>
      </w:pPr>
      <w:r w:rsidRPr="00B50320">
        <w:rPr>
          <w:rFonts w:ascii="Arial" w:hAnsi="Arial" w:cs="Arial"/>
          <w:sz w:val="22"/>
          <w:szCs w:val="22"/>
        </w:rPr>
        <w:t>As explained in the proposed and final rules, 10 CFR Part 53 is a risk</w:t>
      </w:r>
      <w:r w:rsidRPr="00B50320">
        <w:rPr>
          <w:rFonts w:ascii="Arial" w:hAnsi="Arial" w:cs="Arial"/>
          <w:sz w:val="22"/>
          <w:szCs w:val="22"/>
        </w:rPr>
        <w:noBreakHyphen/>
        <w:t>informed, performance</w:t>
      </w:r>
      <w:r w:rsidRPr="00B50320">
        <w:rPr>
          <w:rFonts w:ascii="Arial" w:hAnsi="Arial" w:cs="Arial"/>
          <w:sz w:val="22"/>
          <w:szCs w:val="22"/>
        </w:rPr>
        <w:noBreakHyphen/>
        <w:t>based, and technology-inclusive regulatory framework for commercial nuclear plants. As a technology-inclusive rule, 10 CFR Part 53 is intended to accommodate a variety of reactor technologies, sizes, and designs that would result in variations in the applications and underlying licensing</w:t>
      </w:r>
      <w:r w:rsidRPr="00B50320">
        <w:rPr>
          <w:rFonts w:ascii="Arial" w:hAnsi="Arial" w:cs="Arial"/>
          <w:sz w:val="22"/>
          <w:szCs w:val="22"/>
        </w:rPr>
        <w:noBreakHyphen/>
        <w:t>basis documents. Guidance is or will be available regarding the structure of key licensing</w:t>
      </w:r>
      <w:r w:rsidRPr="00B50320">
        <w:rPr>
          <w:rFonts w:ascii="Arial" w:hAnsi="Arial" w:cs="Arial"/>
          <w:sz w:val="22"/>
          <w:szCs w:val="22"/>
        </w:rPr>
        <w:noBreakHyphen/>
        <w:t>basis documents to encourage consistency in the general organization of information. Regarding the comment</w:t>
      </w:r>
      <w:r w:rsidRPr="00B50320" w:rsidR="0074350C">
        <w:rPr>
          <w:rFonts w:ascii="Arial" w:hAnsi="Arial" w:cs="Arial"/>
          <w:sz w:val="22"/>
          <w:szCs w:val="22"/>
        </w:rPr>
        <w:t>’s discussion</w:t>
      </w:r>
      <w:r w:rsidRPr="00B50320">
        <w:rPr>
          <w:rFonts w:ascii="Arial" w:hAnsi="Arial" w:cs="Arial"/>
          <w:sz w:val="22"/>
          <w:szCs w:val="22"/>
        </w:rPr>
        <w:t xml:space="preserve"> on oversight of NRC staff performing reviews and review schedules, these are matters addressed by NRC guidance for its staff and overseen by NRC managers. The NRC routinely establishes review schedules for specific applications and generic schedules for different types of licensing actions are available on the NRC’s website.</w:t>
      </w:r>
      <w:r w:rsidR="00B737ED">
        <w:rPr>
          <w:rFonts w:ascii="Arial" w:hAnsi="Arial" w:cs="Arial"/>
          <w:sz w:val="22"/>
          <w:szCs w:val="22"/>
        </w:rPr>
        <w:t xml:space="preserve"> </w:t>
      </w:r>
    </w:p>
    <w:p w:rsidR="007F112A" w:rsidRPr="00B50320" w:rsidP="00B50320" w14:paraId="5C74E2B8"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p w:rsidR="007F112A" w:rsidRPr="00B50320" w:rsidP="00B50320" w14:paraId="0B2A82F1" w14:textId="77777777">
      <w:pPr>
        <w:spacing w:after="220"/>
        <w:rPr>
          <w:rFonts w:ascii="Arial" w:hAnsi="Arial" w:cs="Arial"/>
          <w:sz w:val="22"/>
          <w:szCs w:val="22"/>
        </w:rPr>
      </w:pPr>
      <w:r>
        <w:rPr>
          <w:rFonts w:ascii="Arial" w:hAnsi="Arial" w:cs="Arial"/>
          <w:sz w:val="22"/>
          <w:szCs w:val="22"/>
        </w:rPr>
        <w:pict>
          <v:rect id="_x0000_i1317" style="width:0;height:1.5pt" o:hralign="center" o:hrstd="t" o:hrnoshade="t" o:hr="t" fillcolor="black" stroked="f"/>
        </w:pict>
      </w:r>
    </w:p>
    <w:p w:rsidR="007F112A" w:rsidRPr="00B50320" w:rsidP="00B50320" w14:paraId="78EDFFB6"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L</w:t>
      </w:r>
      <w:r w:rsidRPr="00B50320">
        <w:rPr>
          <w:rFonts w:ascii="Arial" w:hAnsi="Arial" w:cs="Arial"/>
          <w:b/>
          <w:sz w:val="22"/>
          <w:szCs w:val="22"/>
        </w:rPr>
        <w:t>:</w:t>
      </w:r>
      <w:r w:rsidRPr="00B50320">
        <w:rPr>
          <w:rFonts w:ascii="Arial" w:hAnsi="Arial" w:cs="Arial"/>
          <w:sz w:val="22"/>
          <w:szCs w:val="22"/>
        </w:rPr>
        <w:t xml:space="preserve"> A commenter stated that it has been industry’s position that 10 CFR Part 53 must be flexible in allowing various licensing approaches to meet the intent of NEIMA, the PRA Policy Statement, the ADVANCE Act, and </w:t>
      </w:r>
      <w:r w:rsidRPr="00B50320">
        <w:rPr>
          <w:rFonts w:ascii="Arial" w:eastAsia="Aptos" w:hAnsi="Arial" w:cs="Arial"/>
          <w:sz w:val="22"/>
          <w:szCs w:val="22"/>
        </w:rPr>
        <w:t>SRM</w:t>
      </w:r>
      <w:r w:rsidRPr="00B50320">
        <w:rPr>
          <w:rFonts w:ascii="Arial" w:eastAsia="Aptos" w:hAnsi="Arial" w:cs="Arial"/>
          <w:sz w:val="22"/>
          <w:szCs w:val="22"/>
        </w:rPr>
        <w:noBreakHyphen/>
        <w:t>SECY</w:t>
      </w:r>
      <w:r w:rsidRPr="00B50320">
        <w:rPr>
          <w:rFonts w:ascii="Arial" w:eastAsia="Aptos" w:hAnsi="Arial" w:cs="Arial"/>
          <w:sz w:val="22"/>
          <w:szCs w:val="22"/>
        </w:rPr>
        <w:noBreakHyphen/>
        <w:t>23</w:t>
      </w:r>
      <w:r w:rsidRPr="00B50320">
        <w:rPr>
          <w:rFonts w:ascii="Arial" w:eastAsia="Aptos" w:hAnsi="Arial" w:cs="Arial"/>
          <w:sz w:val="22"/>
          <w:szCs w:val="22"/>
        </w:rPr>
        <w:noBreakHyphen/>
        <w:t>0021,</w:t>
      </w:r>
      <w:r w:rsidRPr="00B50320">
        <w:rPr>
          <w:rFonts w:ascii="Arial" w:hAnsi="Arial" w:cs="Arial"/>
          <w:sz w:val="22"/>
          <w:szCs w:val="22"/>
        </w:rPr>
        <w:t xml:space="preserve"> and that insight into risk-informed licensing process</w:t>
      </w:r>
      <w:r w:rsidRPr="00B50320" w:rsidR="00906ED6">
        <w:rPr>
          <w:rFonts w:ascii="Arial" w:hAnsi="Arial" w:cs="Arial"/>
          <w:sz w:val="22"/>
          <w:szCs w:val="22"/>
        </w:rPr>
        <w:t>es</w:t>
      </w:r>
      <w:r w:rsidRPr="00B50320">
        <w:rPr>
          <w:rFonts w:ascii="Arial" w:hAnsi="Arial" w:cs="Arial"/>
          <w:sz w:val="22"/>
          <w:szCs w:val="22"/>
        </w:rPr>
        <w:t xml:space="preserve"> that use different combinations of risk information and deterministic safety analysis should help inform the development of 10 CFR Part 53. The commenter added that the white paper they provided shows how 10 CFR Part 53 requirements can be met by a variety of methodologies and provides a roadmap for updating 10 CFR Part 53 to increase flexibility. The commenter added that their proposed rule language changes would address NEIMA, the ADVANCE Act, the new NRC mission statement, </w:t>
      </w:r>
      <w:r w:rsidRPr="00B50320">
        <w:rPr>
          <w:rFonts w:ascii="Arial" w:eastAsia="Aptos" w:hAnsi="Arial" w:cs="Arial"/>
          <w:sz w:val="22"/>
          <w:szCs w:val="22"/>
        </w:rPr>
        <w:t>SRM</w:t>
      </w:r>
      <w:r w:rsidRPr="00B50320">
        <w:rPr>
          <w:rFonts w:ascii="Arial" w:eastAsia="Aptos" w:hAnsi="Arial" w:cs="Arial"/>
          <w:sz w:val="22"/>
          <w:szCs w:val="22"/>
        </w:rPr>
        <w:noBreakHyphen/>
        <w:t>SECY</w:t>
      </w:r>
      <w:r w:rsidRPr="00B50320">
        <w:rPr>
          <w:rFonts w:ascii="Arial" w:eastAsia="Aptos" w:hAnsi="Arial" w:cs="Arial"/>
          <w:sz w:val="22"/>
          <w:szCs w:val="22"/>
        </w:rPr>
        <w:noBreakHyphen/>
        <w:t>23</w:t>
      </w:r>
      <w:r w:rsidRPr="00B50320">
        <w:rPr>
          <w:rFonts w:ascii="Arial" w:eastAsia="Aptos" w:hAnsi="Arial" w:cs="Arial"/>
          <w:sz w:val="22"/>
          <w:szCs w:val="22"/>
        </w:rPr>
        <w:noBreakHyphen/>
        <w:t xml:space="preserve">0021 and </w:t>
      </w:r>
      <w:r w:rsidR="00A0672E">
        <w:rPr>
          <w:rFonts w:ascii="Arial" w:eastAsia="Aptos" w:hAnsi="Arial" w:cs="Arial"/>
          <w:sz w:val="22"/>
          <w:szCs w:val="22"/>
        </w:rPr>
        <w:t>EO</w:t>
      </w:r>
      <w:r w:rsidRPr="00B50320">
        <w:rPr>
          <w:rFonts w:ascii="Arial" w:eastAsia="Aptos" w:hAnsi="Arial" w:cs="Arial"/>
          <w:sz w:val="22"/>
          <w:szCs w:val="22"/>
        </w:rPr>
        <w:t xml:space="preserve">s addressing energy dominance, </w:t>
      </w:r>
      <w:r w:rsidRPr="00B50320">
        <w:rPr>
          <w:rFonts w:ascii="Arial" w:hAnsi="Arial" w:cs="Arial"/>
          <w:sz w:val="22"/>
          <w:szCs w:val="22"/>
        </w:rPr>
        <w:t>allow for the rulemaking to proceed on schedule and for guidance to be developed in time to support LMP users, while allowing more time for guidance development for applicants pursuing a more bounding or traditional approach. (</w:t>
      </w:r>
      <w:r w:rsidR="00DF6CD2">
        <w:rPr>
          <w:rFonts w:ascii="Arial" w:hAnsi="Arial" w:cs="Arial"/>
          <w:sz w:val="22"/>
          <w:szCs w:val="22"/>
        </w:rPr>
        <w:t>NEI3</w:t>
      </w:r>
      <w:r w:rsidRPr="00B50320">
        <w:rPr>
          <w:rFonts w:ascii="Arial" w:hAnsi="Arial" w:cs="Arial"/>
          <w:sz w:val="22"/>
          <w:szCs w:val="22"/>
        </w:rPr>
        <w:t xml:space="preserve">-0001, </w:t>
      </w:r>
      <w:r w:rsidR="00DF6CD2">
        <w:rPr>
          <w:rFonts w:ascii="Arial" w:hAnsi="Arial" w:cs="Arial"/>
          <w:sz w:val="22"/>
          <w:szCs w:val="22"/>
        </w:rPr>
        <w:t>NEI3</w:t>
      </w:r>
      <w:r w:rsidRPr="00B50320">
        <w:rPr>
          <w:rFonts w:ascii="Arial" w:hAnsi="Arial" w:cs="Arial"/>
          <w:sz w:val="22"/>
          <w:szCs w:val="22"/>
        </w:rPr>
        <w:t xml:space="preserve">-0002, </w:t>
      </w:r>
      <w:r w:rsidR="00DF6CD2">
        <w:rPr>
          <w:rFonts w:ascii="Arial" w:hAnsi="Arial" w:cs="Arial"/>
          <w:sz w:val="22"/>
          <w:szCs w:val="22"/>
        </w:rPr>
        <w:t>NEI3</w:t>
      </w:r>
      <w:r w:rsidRPr="00B50320">
        <w:rPr>
          <w:rFonts w:ascii="Arial" w:hAnsi="Arial" w:cs="Arial"/>
          <w:sz w:val="22"/>
          <w:szCs w:val="22"/>
        </w:rPr>
        <w:t xml:space="preserve">-0006, </w:t>
      </w:r>
      <w:r w:rsidR="00DF6CD2">
        <w:rPr>
          <w:rFonts w:ascii="Arial" w:hAnsi="Arial" w:cs="Arial"/>
          <w:sz w:val="22"/>
          <w:szCs w:val="22"/>
        </w:rPr>
        <w:t>NEI3</w:t>
      </w:r>
      <w:r w:rsidRPr="00B50320">
        <w:rPr>
          <w:rFonts w:ascii="Arial" w:hAnsi="Arial" w:cs="Arial"/>
          <w:sz w:val="22"/>
          <w:szCs w:val="22"/>
        </w:rPr>
        <w:t xml:space="preserve">-0016, </w:t>
      </w:r>
      <w:r w:rsidR="00DF6CD2">
        <w:rPr>
          <w:rFonts w:ascii="Arial" w:hAnsi="Arial" w:cs="Arial"/>
          <w:sz w:val="22"/>
          <w:szCs w:val="22"/>
        </w:rPr>
        <w:t>NEI3</w:t>
      </w:r>
      <w:r w:rsidRPr="00B50320">
        <w:rPr>
          <w:rFonts w:ascii="Arial" w:hAnsi="Arial" w:cs="Arial"/>
          <w:sz w:val="22"/>
          <w:szCs w:val="22"/>
        </w:rPr>
        <w:t>-0017).</w:t>
      </w:r>
    </w:p>
    <w:p w:rsidR="007F112A" w:rsidRPr="00B50320" w:rsidP="00B50320" w14:paraId="5D77D0BE"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7F112A" w:rsidRPr="00B50320" w:rsidP="00B50320" w14:paraId="588FEAF4" w14:textId="77777777">
      <w:pPr>
        <w:spacing w:after="220"/>
        <w:rPr>
          <w:rFonts w:ascii="Arial" w:hAnsi="Arial" w:cs="Arial"/>
          <w:sz w:val="22"/>
          <w:szCs w:val="22"/>
        </w:rPr>
      </w:pPr>
      <w:r w:rsidRPr="00B50320">
        <w:rPr>
          <w:rFonts w:ascii="Arial" w:hAnsi="Arial" w:cs="Arial"/>
          <w:sz w:val="22"/>
          <w:szCs w:val="22"/>
        </w:rPr>
        <w:t xml:space="preserve">The 10 CFR Part 53 proposed rule was developed to allow considerable flexibility regarding how an applicant could </w:t>
      </w:r>
      <w:r w:rsidR="00A052C7">
        <w:rPr>
          <w:rFonts w:ascii="Arial" w:hAnsi="Arial" w:cs="Arial"/>
          <w:sz w:val="22"/>
          <w:szCs w:val="22"/>
        </w:rPr>
        <w:t xml:space="preserve">fulfill the design and analysis </w:t>
      </w:r>
      <w:r w:rsidR="007675E9">
        <w:rPr>
          <w:rFonts w:ascii="Arial" w:hAnsi="Arial" w:cs="Arial"/>
          <w:sz w:val="22"/>
          <w:szCs w:val="22"/>
        </w:rPr>
        <w:t>requirements</w:t>
      </w:r>
      <w:r w:rsidRPr="00B50320">
        <w:rPr>
          <w:rFonts w:ascii="Arial" w:hAnsi="Arial" w:cs="Arial"/>
          <w:sz w:val="22"/>
          <w:szCs w:val="22"/>
        </w:rPr>
        <w:t xml:space="preserve">. In addition, the NRC has changed the rule language in 10 CFR 53.450 </w:t>
      </w:r>
      <w:r w:rsidR="001272FB">
        <w:rPr>
          <w:rFonts w:ascii="Arial" w:hAnsi="Arial" w:cs="Arial"/>
          <w:sz w:val="22"/>
          <w:szCs w:val="22"/>
        </w:rPr>
        <w:t>in response to Comment Bin 3.3.2.2.E</w:t>
      </w:r>
      <w:r w:rsidRPr="00B50320">
        <w:rPr>
          <w:rFonts w:ascii="Arial" w:hAnsi="Arial" w:cs="Arial"/>
          <w:sz w:val="22"/>
          <w:szCs w:val="22"/>
        </w:rPr>
        <w:t xml:space="preserve"> to further increase flexibility by allowing a greater range of types of systematic risk evaluations </w:t>
      </w:r>
      <w:r w:rsidRPr="00B50320" w:rsidR="00F70A9E">
        <w:rPr>
          <w:rFonts w:ascii="Arial" w:hAnsi="Arial" w:cs="Arial"/>
          <w:sz w:val="22"/>
          <w:szCs w:val="22"/>
        </w:rPr>
        <w:t xml:space="preserve">to be used </w:t>
      </w:r>
      <w:r w:rsidRPr="00B50320">
        <w:rPr>
          <w:rFonts w:ascii="Arial" w:hAnsi="Arial" w:cs="Arial"/>
          <w:sz w:val="22"/>
          <w:szCs w:val="22"/>
        </w:rPr>
        <w:t>together with other generally accepted approaches for systematically evaluating engineered systems</w:t>
      </w:r>
      <w:r w:rsidRPr="00B50320" w:rsidR="00C95AA6">
        <w:rPr>
          <w:rFonts w:ascii="Arial" w:hAnsi="Arial" w:cs="Arial"/>
          <w:sz w:val="22"/>
          <w:szCs w:val="22"/>
        </w:rPr>
        <w:t xml:space="preserve">, as </w:t>
      </w:r>
      <w:r w:rsidRPr="00B50320" w:rsidR="00B84408">
        <w:rPr>
          <w:rFonts w:ascii="Arial" w:hAnsi="Arial" w:cs="Arial"/>
          <w:sz w:val="22"/>
          <w:szCs w:val="22"/>
        </w:rPr>
        <w:t>addressed</w:t>
      </w:r>
      <w:r w:rsidRPr="00B50320" w:rsidR="00C95AA6">
        <w:rPr>
          <w:rFonts w:ascii="Arial" w:hAnsi="Arial" w:cs="Arial"/>
          <w:sz w:val="22"/>
          <w:szCs w:val="22"/>
        </w:rPr>
        <w:t xml:space="preserve"> by the comment’s </w:t>
      </w:r>
      <w:r w:rsidRPr="00B50320" w:rsidR="00F53E0F">
        <w:rPr>
          <w:rFonts w:ascii="Arial" w:hAnsi="Arial" w:cs="Arial"/>
          <w:sz w:val="22"/>
          <w:szCs w:val="22"/>
        </w:rPr>
        <w:t xml:space="preserve">proposed changes to the rule language and examples </w:t>
      </w:r>
      <w:r w:rsidRPr="00B50320" w:rsidR="001C2C7A">
        <w:rPr>
          <w:rFonts w:ascii="Arial" w:hAnsi="Arial" w:cs="Arial"/>
          <w:sz w:val="22"/>
          <w:szCs w:val="22"/>
        </w:rPr>
        <w:t xml:space="preserve">in the comment’s </w:t>
      </w:r>
      <w:r w:rsidRPr="00B50320" w:rsidR="00F94361">
        <w:rPr>
          <w:rFonts w:ascii="Arial" w:hAnsi="Arial" w:cs="Arial"/>
          <w:sz w:val="22"/>
          <w:szCs w:val="22"/>
        </w:rPr>
        <w:t xml:space="preserve">referenced </w:t>
      </w:r>
      <w:r w:rsidRPr="00B50320" w:rsidR="00C95AA6">
        <w:rPr>
          <w:rFonts w:ascii="Arial" w:hAnsi="Arial" w:cs="Arial"/>
          <w:sz w:val="22"/>
          <w:szCs w:val="22"/>
        </w:rPr>
        <w:t>white paper</w:t>
      </w:r>
      <w:r w:rsidRPr="00B50320" w:rsidR="001C2C7A">
        <w:rPr>
          <w:rFonts w:ascii="Arial" w:hAnsi="Arial" w:cs="Arial"/>
          <w:sz w:val="22"/>
          <w:szCs w:val="22"/>
        </w:rPr>
        <w:t xml:space="preserve"> on how those requirements could be met</w:t>
      </w:r>
      <w:r w:rsidRPr="00B50320">
        <w:rPr>
          <w:rFonts w:ascii="Arial" w:hAnsi="Arial" w:cs="Arial"/>
          <w:sz w:val="22"/>
          <w:szCs w:val="22"/>
        </w:rPr>
        <w:t xml:space="preserve">. </w:t>
      </w:r>
      <w:r w:rsidRPr="00B50320" w:rsidR="002D45A0">
        <w:rPr>
          <w:rFonts w:ascii="Arial" w:hAnsi="Arial" w:cs="Arial"/>
          <w:sz w:val="22"/>
          <w:szCs w:val="22"/>
        </w:rPr>
        <w:t xml:space="preserve">The NRC has responded to the specific </w:t>
      </w:r>
      <w:r w:rsidRPr="00B50320" w:rsidR="00F94361">
        <w:rPr>
          <w:rFonts w:ascii="Arial" w:hAnsi="Arial" w:cs="Arial"/>
          <w:sz w:val="22"/>
          <w:szCs w:val="22"/>
        </w:rPr>
        <w:t xml:space="preserve">recommended </w:t>
      </w:r>
      <w:r w:rsidRPr="00B50320" w:rsidR="002D45A0">
        <w:rPr>
          <w:rFonts w:ascii="Arial" w:hAnsi="Arial" w:cs="Arial"/>
          <w:sz w:val="22"/>
          <w:szCs w:val="22"/>
        </w:rPr>
        <w:t>rule language changes in various othe</w:t>
      </w:r>
      <w:r w:rsidRPr="00B50320" w:rsidR="00B119A4">
        <w:rPr>
          <w:rFonts w:ascii="Arial" w:hAnsi="Arial" w:cs="Arial"/>
          <w:sz w:val="22"/>
          <w:szCs w:val="22"/>
        </w:rPr>
        <w:t>r parts of this document.</w:t>
      </w:r>
      <w:r w:rsidRPr="00B50320">
        <w:rPr>
          <w:rFonts w:ascii="Arial" w:hAnsi="Arial" w:cs="Arial"/>
          <w:sz w:val="22"/>
          <w:szCs w:val="22"/>
        </w:rPr>
        <w:t xml:space="preserve"> While </w:t>
      </w:r>
      <w:r w:rsidRPr="00B50320" w:rsidR="009875F3">
        <w:rPr>
          <w:rFonts w:ascii="Arial" w:hAnsi="Arial" w:cs="Arial"/>
          <w:sz w:val="22"/>
          <w:szCs w:val="22"/>
        </w:rPr>
        <w:t xml:space="preserve">many of </w:t>
      </w:r>
      <w:r w:rsidRPr="00B50320">
        <w:rPr>
          <w:rFonts w:ascii="Arial" w:hAnsi="Arial" w:cs="Arial"/>
          <w:sz w:val="22"/>
          <w:szCs w:val="22"/>
        </w:rPr>
        <w:t xml:space="preserve">the </w:t>
      </w:r>
      <w:r w:rsidRPr="00B50320" w:rsidR="00A7167A">
        <w:rPr>
          <w:rFonts w:ascii="Arial" w:hAnsi="Arial" w:cs="Arial"/>
          <w:sz w:val="22"/>
          <w:szCs w:val="22"/>
        </w:rPr>
        <w:t xml:space="preserve">NRC’s </w:t>
      </w:r>
      <w:r w:rsidRPr="00B50320">
        <w:rPr>
          <w:rFonts w:ascii="Arial" w:hAnsi="Arial" w:cs="Arial"/>
          <w:sz w:val="22"/>
          <w:szCs w:val="22"/>
        </w:rPr>
        <w:t xml:space="preserve">changes </w:t>
      </w:r>
      <w:r w:rsidRPr="00B50320" w:rsidR="00A7167A">
        <w:rPr>
          <w:rFonts w:ascii="Arial" w:hAnsi="Arial" w:cs="Arial"/>
          <w:sz w:val="22"/>
          <w:szCs w:val="22"/>
        </w:rPr>
        <w:t>to the 10</w:t>
      </w:r>
      <w:r w:rsidRPr="00B50320" w:rsidR="00274555">
        <w:rPr>
          <w:rFonts w:ascii="Arial" w:hAnsi="Arial" w:cs="Arial"/>
          <w:sz w:val="22"/>
          <w:szCs w:val="22"/>
        </w:rPr>
        <w:t> </w:t>
      </w:r>
      <w:r w:rsidRPr="00B50320" w:rsidR="00A7167A">
        <w:rPr>
          <w:rFonts w:ascii="Arial" w:hAnsi="Arial" w:cs="Arial"/>
          <w:sz w:val="22"/>
          <w:szCs w:val="22"/>
        </w:rPr>
        <w:t xml:space="preserve">CFR Part 53 rule language </w:t>
      </w:r>
      <w:r w:rsidRPr="00B50320" w:rsidR="00D8089A">
        <w:rPr>
          <w:rFonts w:ascii="Arial" w:hAnsi="Arial" w:cs="Arial"/>
          <w:sz w:val="22"/>
          <w:szCs w:val="22"/>
        </w:rPr>
        <w:t>agree with the suggested changes and</w:t>
      </w:r>
      <w:r w:rsidRPr="00B50320">
        <w:rPr>
          <w:rFonts w:ascii="Arial" w:hAnsi="Arial" w:cs="Arial"/>
          <w:sz w:val="22"/>
          <w:szCs w:val="22"/>
        </w:rPr>
        <w:t xml:space="preserve"> allow for the use of different combinations of risk-informed and deterministic analyses, such combinations </w:t>
      </w:r>
      <w:r w:rsidRPr="00B50320" w:rsidR="00D8089A">
        <w:rPr>
          <w:rFonts w:ascii="Arial" w:hAnsi="Arial" w:cs="Arial"/>
          <w:sz w:val="22"/>
          <w:szCs w:val="22"/>
        </w:rPr>
        <w:t>of analyses</w:t>
      </w:r>
      <w:r w:rsidRPr="00B50320" w:rsidR="00D90B6D">
        <w:rPr>
          <w:rFonts w:ascii="Arial" w:hAnsi="Arial" w:cs="Arial"/>
          <w:sz w:val="22"/>
          <w:szCs w:val="22"/>
        </w:rPr>
        <w:t xml:space="preserve"> </w:t>
      </w:r>
      <w:r w:rsidRPr="00B50320">
        <w:rPr>
          <w:rFonts w:ascii="Arial" w:hAnsi="Arial" w:cs="Arial"/>
          <w:sz w:val="22"/>
          <w:szCs w:val="22"/>
        </w:rPr>
        <w:t xml:space="preserve">would not include the exclusive use of bounding assessments or evaluations </w:t>
      </w:r>
      <w:r w:rsidRPr="00BE53EA" w:rsidR="00890A8F">
        <w:rPr>
          <w:rFonts w:ascii="Arial" w:hAnsi="Arial" w:cs="Arial"/>
          <w:sz w:val="22"/>
          <w:szCs w:val="22"/>
        </w:rPr>
        <w:t xml:space="preserve">as </w:t>
      </w:r>
      <w:r w:rsidRPr="006665A5" w:rsidR="006665A5">
        <w:rPr>
          <w:rFonts w:ascii="Arial" w:hAnsi="Arial" w:cs="Arial"/>
          <w:sz w:val="22"/>
          <w:szCs w:val="22"/>
        </w:rPr>
        <w:t>a means to satisfy the analyses requirements</w:t>
      </w:r>
      <w:r w:rsidRPr="00B50320">
        <w:rPr>
          <w:rFonts w:ascii="Arial" w:hAnsi="Arial" w:cs="Arial"/>
          <w:sz w:val="22"/>
          <w:szCs w:val="22"/>
        </w:rPr>
        <w:t xml:space="preserve"> under 10 CFR Part 53</w:t>
      </w:r>
      <w:r w:rsidRPr="00B50320" w:rsidR="001013EF">
        <w:rPr>
          <w:rFonts w:ascii="Arial" w:hAnsi="Arial" w:cs="Arial"/>
          <w:sz w:val="22"/>
          <w:szCs w:val="22"/>
        </w:rPr>
        <w:t xml:space="preserve">, as suggested by one example in the </w:t>
      </w:r>
      <w:r w:rsidRPr="00B50320" w:rsidR="00274555">
        <w:rPr>
          <w:rFonts w:ascii="Arial" w:hAnsi="Arial" w:cs="Arial"/>
          <w:sz w:val="22"/>
          <w:szCs w:val="22"/>
        </w:rPr>
        <w:t>referenced</w:t>
      </w:r>
      <w:r w:rsidRPr="00B50320" w:rsidR="001013EF">
        <w:rPr>
          <w:rFonts w:ascii="Arial" w:hAnsi="Arial" w:cs="Arial"/>
          <w:sz w:val="22"/>
          <w:szCs w:val="22"/>
        </w:rPr>
        <w:t xml:space="preserve"> white paper. This is</w:t>
      </w:r>
      <w:r w:rsidRPr="00B50320">
        <w:rPr>
          <w:rFonts w:ascii="Arial" w:hAnsi="Arial" w:cs="Arial"/>
          <w:sz w:val="22"/>
          <w:szCs w:val="22"/>
        </w:rPr>
        <w:t xml:space="preserve"> because 10 CFR Part 53 is a based on a fundamentally different regulatory construct than 10 CFR Part 50 and Part 52</w:t>
      </w:r>
      <w:r w:rsidRPr="00B50320" w:rsidR="00F63E82">
        <w:rPr>
          <w:rFonts w:ascii="Arial" w:hAnsi="Arial" w:cs="Arial"/>
          <w:sz w:val="22"/>
          <w:szCs w:val="22"/>
        </w:rPr>
        <w:t xml:space="preserve"> where</w:t>
      </w:r>
      <w:r w:rsidRPr="00B50320" w:rsidR="00ED3E8A">
        <w:rPr>
          <w:rFonts w:ascii="Arial" w:hAnsi="Arial" w:cs="Arial"/>
          <w:sz w:val="22"/>
          <w:szCs w:val="22"/>
        </w:rPr>
        <w:t>as</w:t>
      </w:r>
      <w:r w:rsidRPr="00B50320" w:rsidR="00F63E82">
        <w:rPr>
          <w:rFonts w:ascii="Arial" w:hAnsi="Arial" w:cs="Arial"/>
          <w:sz w:val="22"/>
          <w:szCs w:val="22"/>
        </w:rPr>
        <w:t>,</w:t>
      </w:r>
      <w:r w:rsidRPr="00B50320" w:rsidR="00DB3657">
        <w:rPr>
          <w:rFonts w:ascii="Arial" w:hAnsi="Arial" w:cs="Arial"/>
          <w:sz w:val="22"/>
          <w:szCs w:val="22"/>
        </w:rPr>
        <w:t xml:space="preserve"> for 10 CFR Part 53</w:t>
      </w:r>
      <w:r w:rsidRPr="00B50320" w:rsidR="00F63E82">
        <w:rPr>
          <w:rFonts w:ascii="Arial" w:hAnsi="Arial" w:cs="Arial"/>
          <w:sz w:val="22"/>
          <w:szCs w:val="22"/>
        </w:rPr>
        <w:t xml:space="preserve">, </w:t>
      </w:r>
      <w:r w:rsidRPr="00B50320" w:rsidR="00A9732E">
        <w:rPr>
          <w:rFonts w:ascii="Arial" w:hAnsi="Arial" w:cs="Arial"/>
          <w:sz w:val="22"/>
          <w:szCs w:val="22"/>
        </w:rPr>
        <w:t>the analyses that determine how the regulatory requirements are met must</w:t>
      </w:r>
      <w:r w:rsidRPr="00B50320" w:rsidR="001C1190">
        <w:rPr>
          <w:rFonts w:ascii="Arial" w:hAnsi="Arial" w:cs="Arial"/>
          <w:sz w:val="22"/>
          <w:szCs w:val="22"/>
        </w:rPr>
        <w:t xml:space="preserve"> include </w:t>
      </w:r>
      <w:r w:rsidRPr="00B50320" w:rsidR="00F63E82">
        <w:rPr>
          <w:rFonts w:ascii="Arial" w:hAnsi="Arial" w:cs="Arial"/>
          <w:sz w:val="22"/>
          <w:szCs w:val="22"/>
        </w:rPr>
        <w:t xml:space="preserve">systematic risk evaluations </w:t>
      </w:r>
      <w:r w:rsidRPr="00B50320" w:rsidR="00A26F83">
        <w:rPr>
          <w:rFonts w:ascii="Arial" w:hAnsi="Arial" w:cs="Arial"/>
          <w:sz w:val="22"/>
          <w:szCs w:val="22"/>
        </w:rPr>
        <w:t>used together with other generally accepted approaches for systematically evaluating engineered systems</w:t>
      </w:r>
      <w:r w:rsidRPr="00B50320" w:rsidR="001302C2">
        <w:rPr>
          <w:rFonts w:ascii="Arial" w:hAnsi="Arial" w:cs="Arial"/>
          <w:sz w:val="22"/>
          <w:szCs w:val="22"/>
        </w:rPr>
        <w:t xml:space="preserve"> </w:t>
      </w:r>
      <w:r w:rsidRPr="00B50320" w:rsidR="00DA203F">
        <w:rPr>
          <w:rFonts w:ascii="Arial" w:hAnsi="Arial" w:cs="Arial"/>
          <w:sz w:val="22"/>
          <w:szCs w:val="22"/>
        </w:rPr>
        <w:t xml:space="preserve">as a means of </w:t>
      </w:r>
      <w:r w:rsidRPr="00B50320" w:rsidR="001302C2">
        <w:rPr>
          <w:rFonts w:ascii="Arial" w:hAnsi="Arial" w:cs="Arial"/>
          <w:sz w:val="22"/>
          <w:szCs w:val="22"/>
        </w:rPr>
        <w:t>achiev</w:t>
      </w:r>
      <w:r w:rsidRPr="00B50320" w:rsidR="00DA203F">
        <w:rPr>
          <w:rFonts w:ascii="Arial" w:hAnsi="Arial" w:cs="Arial"/>
          <w:sz w:val="22"/>
          <w:szCs w:val="22"/>
        </w:rPr>
        <w:t>ing</w:t>
      </w:r>
      <w:r w:rsidRPr="00B50320" w:rsidR="001302C2">
        <w:rPr>
          <w:rFonts w:ascii="Arial" w:hAnsi="Arial" w:cs="Arial"/>
          <w:sz w:val="22"/>
          <w:szCs w:val="22"/>
        </w:rPr>
        <w:t xml:space="preserve"> an equivalent level of safety as compared to 10</w:t>
      </w:r>
      <w:r w:rsidR="00BB4A94">
        <w:rPr>
          <w:rFonts w:ascii="Arial" w:hAnsi="Arial" w:cs="Arial"/>
          <w:sz w:val="22"/>
          <w:szCs w:val="22"/>
        </w:rPr>
        <w:t> </w:t>
      </w:r>
      <w:r w:rsidRPr="00B50320" w:rsidR="001302C2">
        <w:rPr>
          <w:rFonts w:ascii="Arial" w:hAnsi="Arial" w:cs="Arial"/>
          <w:sz w:val="22"/>
          <w:szCs w:val="22"/>
        </w:rPr>
        <w:t xml:space="preserve">CFR Part </w:t>
      </w:r>
      <w:r w:rsidRPr="00B50320" w:rsidR="0000358D">
        <w:rPr>
          <w:rFonts w:ascii="Arial" w:hAnsi="Arial" w:cs="Arial"/>
          <w:sz w:val="22"/>
          <w:szCs w:val="22"/>
        </w:rPr>
        <w:t>50 or Part 52</w:t>
      </w:r>
      <w:r w:rsidRPr="00B50320">
        <w:rPr>
          <w:rFonts w:ascii="Arial" w:hAnsi="Arial" w:cs="Arial"/>
          <w:sz w:val="22"/>
          <w:szCs w:val="22"/>
        </w:rPr>
        <w:t>. In that regard, the exclusive use of bounding assessments or a</w:t>
      </w:r>
      <w:r w:rsidR="00EB75BC">
        <w:rPr>
          <w:rFonts w:ascii="Arial" w:hAnsi="Arial" w:cs="Arial"/>
          <w:sz w:val="22"/>
          <w:szCs w:val="22"/>
        </w:rPr>
        <w:t>n analyses approach</w:t>
      </w:r>
      <w:r w:rsidRPr="00B50320">
        <w:rPr>
          <w:rFonts w:ascii="Arial" w:hAnsi="Arial" w:cs="Arial"/>
          <w:sz w:val="22"/>
          <w:szCs w:val="22"/>
        </w:rPr>
        <w:t xml:space="preserve"> developed similar </w:t>
      </w:r>
      <w:r w:rsidRPr="00B50320" w:rsidR="00F21AAB">
        <w:rPr>
          <w:rFonts w:ascii="Arial" w:hAnsi="Arial" w:cs="Arial"/>
          <w:sz w:val="22"/>
          <w:szCs w:val="22"/>
        </w:rPr>
        <w:t>to</w:t>
      </w:r>
      <w:r w:rsidRPr="00B50320">
        <w:rPr>
          <w:rFonts w:ascii="Arial" w:hAnsi="Arial" w:cs="Arial"/>
          <w:sz w:val="22"/>
          <w:szCs w:val="22"/>
        </w:rPr>
        <w:t xml:space="preserve"> an application under 10</w:t>
      </w:r>
      <w:r w:rsidRPr="00B50320" w:rsidR="00274555">
        <w:rPr>
          <w:rFonts w:ascii="Arial" w:hAnsi="Arial" w:cs="Arial"/>
          <w:sz w:val="22"/>
          <w:szCs w:val="22"/>
        </w:rPr>
        <w:t> </w:t>
      </w:r>
      <w:r w:rsidRPr="00B50320">
        <w:rPr>
          <w:rFonts w:ascii="Arial" w:hAnsi="Arial" w:cs="Arial"/>
          <w:sz w:val="22"/>
          <w:szCs w:val="22"/>
        </w:rPr>
        <w:t>CFR</w:t>
      </w:r>
      <w:r w:rsidRPr="00B50320" w:rsidR="00274555">
        <w:rPr>
          <w:rFonts w:ascii="Arial" w:hAnsi="Arial" w:cs="Arial"/>
          <w:sz w:val="22"/>
          <w:szCs w:val="22"/>
        </w:rPr>
        <w:t> </w:t>
      </w:r>
      <w:r w:rsidRPr="00B50320">
        <w:rPr>
          <w:rFonts w:ascii="Arial" w:hAnsi="Arial" w:cs="Arial"/>
          <w:sz w:val="22"/>
          <w:szCs w:val="22"/>
        </w:rPr>
        <w:t>Part 50 would not be able to meet certain requirements under 10 CFR Part 53 such as 10</w:t>
      </w:r>
      <w:r w:rsidRPr="00B50320" w:rsidR="004733F8">
        <w:rPr>
          <w:rFonts w:ascii="Arial" w:hAnsi="Arial" w:cs="Arial"/>
          <w:sz w:val="22"/>
          <w:szCs w:val="22"/>
        </w:rPr>
        <w:t> </w:t>
      </w:r>
      <w:r w:rsidRPr="00B50320">
        <w:rPr>
          <w:rFonts w:ascii="Arial" w:hAnsi="Arial" w:cs="Arial"/>
          <w:sz w:val="22"/>
          <w:szCs w:val="22"/>
        </w:rPr>
        <w:t>CFR</w:t>
      </w:r>
      <w:r w:rsidRPr="00B50320" w:rsidR="004733F8">
        <w:rPr>
          <w:rFonts w:ascii="Arial" w:hAnsi="Arial" w:cs="Arial"/>
          <w:sz w:val="22"/>
          <w:szCs w:val="22"/>
        </w:rPr>
        <w:t> </w:t>
      </w:r>
      <w:r w:rsidRPr="00B50320">
        <w:rPr>
          <w:rFonts w:ascii="Arial" w:hAnsi="Arial" w:cs="Arial"/>
          <w:sz w:val="22"/>
          <w:szCs w:val="22"/>
        </w:rPr>
        <w:t>53.450(b) and 10 CFR 53.450(e) related to the classifying SSCs based on safety significance and identifying significant event sequences.</w:t>
      </w:r>
    </w:p>
    <w:p w:rsidR="007F112A" w:rsidRPr="00B50320" w:rsidP="00B50320" w14:paraId="24357BFE" w14:textId="77777777">
      <w:pPr>
        <w:spacing w:after="220"/>
        <w:rPr>
          <w:rFonts w:ascii="Arial" w:hAnsi="Arial" w:cs="Arial"/>
          <w:sz w:val="22"/>
          <w:szCs w:val="22"/>
        </w:rPr>
      </w:pPr>
      <w:r w:rsidRPr="00B50320">
        <w:rPr>
          <w:rFonts w:ascii="Arial" w:hAnsi="Arial" w:cs="Arial"/>
          <w:sz w:val="22"/>
          <w:szCs w:val="22"/>
        </w:rPr>
        <w:t xml:space="preserve">Accordingly, the NRC </w:t>
      </w:r>
      <w:r w:rsidR="00CB33DC">
        <w:rPr>
          <w:rFonts w:ascii="Arial" w:hAnsi="Arial" w:cs="Arial"/>
          <w:sz w:val="22"/>
          <w:szCs w:val="22"/>
        </w:rPr>
        <w:t>did</w:t>
      </w:r>
      <w:r w:rsidRPr="00B50320">
        <w:rPr>
          <w:rFonts w:ascii="Arial" w:hAnsi="Arial" w:cs="Arial"/>
          <w:sz w:val="22"/>
          <w:szCs w:val="22"/>
        </w:rPr>
        <w:t xml:space="preserve"> not </w:t>
      </w:r>
      <w:r w:rsidR="00CB33DC">
        <w:rPr>
          <w:rFonts w:ascii="Arial" w:hAnsi="Arial" w:cs="Arial"/>
          <w:sz w:val="22"/>
          <w:szCs w:val="22"/>
        </w:rPr>
        <w:t>make</w:t>
      </w:r>
      <w:r w:rsidRPr="00B50320">
        <w:rPr>
          <w:rFonts w:ascii="Arial" w:hAnsi="Arial" w:cs="Arial"/>
          <w:sz w:val="22"/>
          <w:szCs w:val="22"/>
        </w:rPr>
        <w:t xml:space="preserve"> changes </w:t>
      </w:r>
      <w:r w:rsidR="00CB33DC">
        <w:rPr>
          <w:rFonts w:ascii="Arial" w:hAnsi="Arial" w:cs="Arial"/>
          <w:sz w:val="22"/>
          <w:szCs w:val="22"/>
        </w:rPr>
        <w:t xml:space="preserve">to the rule language </w:t>
      </w:r>
      <w:r w:rsidRPr="00B50320">
        <w:rPr>
          <w:rFonts w:ascii="Arial" w:hAnsi="Arial" w:cs="Arial"/>
          <w:sz w:val="22"/>
          <w:szCs w:val="22"/>
        </w:rPr>
        <w:t>in response to th</w:t>
      </w:r>
      <w:r w:rsidRPr="00B50320" w:rsidR="004A6CC5">
        <w:rPr>
          <w:rFonts w:ascii="Arial" w:hAnsi="Arial" w:cs="Arial"/>
          <w:sz w:val="22"/>
          <w:szCs w:val="22"/>
        </w:rPr>
        <w:t>ese</w:t>
      </w:r>
      <w:r w:rsidRPr="00B50320">
        <w:rPr>
          <w:rFonts w:ascii="Arial" w:hAnsi="Arial" w:cs="Arial"/>
          <w:sz w:val="22"/>
          <w:szCs w:val="22"/>
        </w:rPr>
        <w:t xml:space="preserve"> comment</w:t>
      </w:r>
      <w:r w:rsidRPr="00B50320" w:rsidR="004A6CC5">
        <w:rPr>
          <w:rFonts w:ascii="Arial" w:hAnsi="Arial" w:cs="Arial"/>
          <w:sz w:val="22"/>
          <w:szCs w:val="22"/>
        </w:rPr>
        <w:t>s</w:t>
      </w:r>
      <w:r w:rsidRPr="00B50320">
        <w:rPr>
          <w:rFonts w:ascii="Arial" w:hAnsi="Arial" w:cs="Arial"/>
          <w:sz w:val="22"/>
          <w:szCs w:val="22"/>
        </w:rPr>
        <w:t>.</w:t>
      </w:r>
    </w:p>
    <w:p w:rsidR="007F112A" w:rsidRPr="00B50320" w:rsidP="00B50320" w14:paraId="32E28196" w14:textId="77777777">
      <w:pPr>
        <w:spacing w:after="220"/>
        <w:rPr>
          <w:rFonts w:ascii="Arial" w:hAnsi="Arial" w:cs="Arial"/>
          <w:sz w:val="22"/>
          <w:szCs w:val="22"/>
        </w:rPr>
      </w:pPr>
      <w:r>
        <w:rPr>
          <w:rFonts w:ascii="Arial" w:hAnsi="Arial" w:cs="Arial"/>
          <w:sz w:val="22"/>
          <w:szCs w:val="22"/>
        </w:rPr>
        <w:pict>
          <v:rect id="_x0000_i1318" style="width:0;height:1.5pt" o:hralign="center" o:hrstd="t" o:hrnoshade="t" o:hr="t" fillcolor="black" stroked="f"/>
        </w:pict>
      </w:r>
    </w:p>
    <w:p w:rsidR="007F112A" w:rsidRPr="00B50320" w:rsidP="00B50320" w14:paraId="369227D1"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M</w:t>
      </w:r>
      <w:r w:rsidRPr="00B50320">
        <w:rPr>
          <w:rFonts w:ascii="Arial" w:hAnsi="Arial" w:cs="Arial"/>
          <w:b/>
          <w:sz w:val="22"/>
          <w:szCs w:val="22"/>
        </w:rPr>
        <w:t>:</w:t>
      </w:r>
      <w:r w:rsidRPr="00B50320">
        <w:rPr>
          <w:rFonts w:ascii="Arial" w:hAnsi="Arial" w:cs="Arial"/>
          <w:sz w:val="22"/>
          <w:szCs w:val="22"/>
        </w:rPr>
        <w:t xml:space="preserve"> A commenter wrote that 10 CFR Part 53 must appropriately consider all technologies by clarifying through guidance and rule language how technologies below a defined performance threshold (such as microreactors or other designs with very small risk profiles) can be quickly and efficiently licensed (</w:t>
      </w:r>
      <w:r w:rsidR="00AE0B17">
        <w:rPr>
          <w:rFonts w:ascii="Arial" w:hAnsi="Arial" w:cs="Arial"/>
          <w:sz w:val="22"/>
          <w:szCs w:val="22"/>
        </w:rPr>
        <w:t>USNIC2</w:t>
      </w:r>
      <w:r w:rsidRPr="00B50320">
        <w:rPr>
          <w:rFonts w:ascii="Arial" w:hAnsi="Arial" w:cs="Arial"/>
          <w:sz w:val="22"/>
          <w:szCs w:val="22"/>
        </w:rPr>
        <w:t>-0003).</w:t>
      </w:r>
    </w:p>
    <w:p w:rsidR="007F112A" w:rsidRPr="00B50320" w:rsidP="00B50320" w14:paraId="200E4BFA"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xml:space="preserve"> The NRC agrees, in part, with </w:t>
      </w:r>
      <w:r w:rsidR="0047150F">
        <w:rPr>
          <w:rFonts w:ascii="Arial" w:hAnsi="Arial" w:cs="Arial"/>
          <w:sz w:val="22"/>
          <w:szCs w:val="22"/>
        </w:rPr>
        <w:t>the</w:t>
      </w:r>
      <w:r w:rsidRPr="00B50320">
        <w:rPr>
          <w:rFonts w:ascii="Arial" w:hAnsi="Arial" w:cs="Arial"/>
          <w:sz w:val="22"/>
          <w:szCs w:val="22"/>
        </w:rPr>
        <w:t xml:space="preserve"> comment.</w:t>
      </w:r>
    </w:p>
    <w:p w:rsidR="00E70C56" w:rsidP="00613A89" w14:paraId="5F85817F" w14:textId="77777777">
      <w:pPr>
        <w:spacing w:after="220"/>
        <w:rPr>
          <w:rFonts w:ascii="Arial" w:hAnsi="Arial" w:cs="Arial"/>
          <w:sz w:val="22"/>
          <w:szCs w:val="22"/>
        </w:rPr>
      </w:pPr>
      <w:r w:rsidRPr="00B50320">
        <w:rPr>
          <w:rFonts w:ascii="Arial" w:hAnsi="Arial" w:cs="Arial"/>
          <w:sz w:val="22"/>
          <w:szCs w:val="22"/>
        </w:rPr>
        <w:t>The NRC agrees that 10 CFR Part 53 must be technology</w:t>
      </w:r>
      <w:r w:rsidR="002A03AB">
        <w:rPr>
          <w:rFonts w:ascii="Arial" w:hAnsi="Arial" w:cs="Arial"/>
          <w:sz w:val="22"/>
          <w:szCs w:val="22"/>
        </w:rPr>
        <w:t>-</w:t>
      </w:r>
      <w:r w:rsidRPr="00B50320">
        <w:rPr>
          <w:rFonts w:ascii="Arial" w:hAnsi="Arial" w:cs="Arial"/>
          <w:sz w:val="22"/>
          <w:szCs w:val="22"/>
        </w:rPr>
        <w:t>inclusive but disagrees that the rule language needs to clarify how technologies below a defined performance threshold, such as microreactors, can be licensed more quickly than other technologies. The risk</w:t>
      </w:r>
      <w:r w:rsidRPr="00B50320">
        <w:rPr>
          <w:rFonts w:ascii="Arial" w:hAnsi="Arial" w:cs="Arial"/>
          <w:sz w:val="22"/>
          <w:szCs w:val="22"/>
        </w:rPr>
        <w:noBreakHyphen/>
        <w:t>informed and performance-based nature of the 10 CFR Part 53 requirements naturally lend themselves to provide flexibility for designs with very small risk profiles.</w:t>
      </w:r>
    </w:p>
    <w:p w:rsidR="007F112A" w:rsidRPr="00B50320" w:rsidP="00B50320" w14:paraId="1FC5D083" w14:textId="77777777">
      <w:pPr>
        <w:spacing w:after="220"/>
        <w:rPr>
          <w:rFonts w:ascii="Arial" w:hAnsi="Arial" w:cs="Arial"/>
          <w:sz w:val="22"/>
          <w:szCs w:val="22"/>
        </w:rPr>
      </w:pPr>
      <w:r>
        <w:rPr>
          <w:rFonts w:ascii="Arial" w:hAnsi="Arial" w:cs="Arial"/>
          <w:sz w:val="22"/>
          <w:szCs w:val="22"/>
        </w:rPr>
        <w:t>Note that</w:t>
      </w:r>
      <w:r w:rsidRPr="00613A89" w:rsidR="00613A89">
        <w:rPr>
          <w:rFonts w:ascii="Arial" w:hAnsi="Arial" w:cs="Arial"/>
          <w:sz w:val="22"/>
          <w:szCs w:val="22"/>
        </w:rPr>
        <w:t xml:space="preserve"> the NRC is </w:t>
      </w:r>
      <w:r>
        <w:rPr>
          <w:rFonts w:ascii="Arial" w:hAnsi="Arial" w:cs="Arial"/>
          <w:sz w:val="22"/>
          <w:szCs w:val="22"/>
        </w:rPr>
        <w:t xml:space="preserve">also </w:t>
      </w:r>
      <w:r w:rsidRPr="00613A89" w:rsidR="00613A89">
        <w:rPr>
          <w:rFonts w:ascii="Arial" w:hAnsi="Arial" w:cs="Arial"/>
          <w:sz w:val="22"/>
          <w:szCs w:val="22"/>
        </w:rPr>
        <w:t>responding to the ADVANCE Act and EOs issued in 2025 by developing an additional rulemaking to expedite licensing qualified microreactors and other potentially low risk, low consequence reactors.</w:t>
      </w:r>
      <w:r w:rsidRPr="00B50320">
        <w:rPr>
          <w:rFonts w:ascii="Arial" w:hAnsi="Arial" w:cs="Arial"/>
          <w:sz w:val="22"/>
          <w:szCs w:val="22"/>
        </w:rPr>
        <w:t xml:space="preserve"> In addition, the NRC has undertaken extensive efforts in response to the ADVANCE Act to assess licensing strategies for microreactors and intends to apply any lessons learned from those activities to the development or revision of guidance for 10 CFR Part 53.</w:t>
      </w:r>
    </w:p>
    <w:p w:rsidR="007F112A" w:rsidRPr="00B50320" w:rsidP="00B50320" w14:paraId="02DCF03C"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p w:rsidR="007F112A" w:rsidRPr="00B50320" w:rsidP="00B50320" w14:paraId="70F8DB93" w14:textId="77777777">
      <w:pPr>
        <w:spacing w:after="220"/>
        <w:rPr>
          <w:rFonts w:ascii="Arial" w:hAnsi="Arial" w:cs="Arial"/>
          <w:sz w:val="22"/>
          <w:szCs w:val="22"/>
        </w:rPr>
      </w:pPr>
      <w:r>
        <w:rPr>
          <w:rFonts w:ascii="Arial" w:hAnsi="Arial" w:cs="Arial"/>
          <w:sz w:val="22"/>
          <w:szCs w:val="22"/>
        </w:rPr>
        <w:pict>
          <v:rect id="_x0000_i1319" style="width:0;height:1.5pt" o:hralign="center" o:hrstd="t" o:hrnoshade="t" o:hr="t" fillcolor="black" stroked="f"/>
        </w:pict>
      </w:r>
    </w:p>
    <w:p w:rsidR="007F112A" w:rsidRPr="00B50320" w:rsidP="00B50320" w14:paraId="160C95EF"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N</w:t>
      </w:r>
      <w:r w:rsidRPr="00B50320">
        <w:rPr>
          <w:rFonts w:ascii="Arial" w:hAnsi="Arial" w:cs="Arial"/>
          <w:b/>
          <w:sz w:val="22"/>
          <w:szCs w:val="22"/>
        </w:rPr>
        <w:t>:</w:t>
      </w:r>
      <w:r w:rsidRPr="0047150F">
        <w:rPr>
          <w:rFonts w:ascii="Arial" w:hAnsi="Arial" w:cs="Arial"/>
          <w:sz w:val="22"/>
          <w:szCs w:val="22"/>
        </w:rPr>
        <w:t xml:space="preserve"> </w:t>
      </w:r>
      <w:r w:rsidRPr="00B50320">
        <w:rPr>
          <w:rFonts w:ascii="Arial" w:hAnsi="Arial" w:cs="Arial"/>
          <w:sz w:val="22"/>
          <w:szCs w:val="22"/>
        </w:rPr>
        <w:t xml:space="preserve">A commenter recommended that simple changes focusing on the structure of the requirements be made to the proposed rule, which would achieve an overall organization that is performance-based using systems engineering principles and that results in the specification of requirements from within the framework with subparts providing technical, licensing, and administrative requirements specified for each of the stages in the lifecycle of a commercial nuclear plant. The commenter provided examples of </w:t>
      </w:r>
      <w:r w:rsidRPr="00B50320" w:rsidR="006368FA">
        <w:rPr>
          <w:rFonts w:ascii="Arial" w:hAnsi="Arial" w:cs="Arial"/>
          <w:sz w:val="22"/>
          <w:szCs w:val="22"/>
        </w:rPr>
        <w:t xml:space="preserve">such </w:t>
      </w:r>
      <w:r w:rsidRPr="00B50320">
        <w:rPr>
          <w:rFonts w:ascii="Arial" w:hAnsi="Arial" w:cs="Arial"/>
          <w:sz w:val="22"/>
          <w:szCs w:val="22"/>
        </w:rPr>
        <w:t xml:space="preserve">changes that should be made to the proposed rule. The commenter added that this approach is based on the framework described in ANSI/ANS-30.3, </w:t>
      </w:r>
      <w:r w:rsidR="0047150F">
        <w:rPr>
          <w:rFonts w:ascii="Arial" w:hAnsi="Arial" w:cs="Arial"/>
          <w:sz w:val="22"/>
          <w:szCs w:val="22"/>
        </w:rPr>
        <w:t>“</w:t>
      </w:r>
      <w:r w:rsidRPr="00B50320">
        <w:rPr>
          <w:rFonts w:ascii="Arial" w:hAnsi="Arial" w:cs="Arial"/>
          <w:sz w:val="22"/>
          <w:szCs w:val="22"/>
        </w:rPr>
        <w:t>Light Water Reactor Risk-Informed, Performance-Based Design,</w:t>
      </w:r>
      <w:r w:rsidR="0047150F">
        <w:rPr>
          <w:rFonts w:ascii="Arial" w:hAnsi="Arial" w:cs="Arial"/>
          <w:sz w:val="22"/>
          <w:szCs w:val="22"/>
        </w:rPr>
        <w:t>”</w:t>
      </w:r>
      <w:r w:rsidRPr="00B50320">
        <w:rPr>
          <w:rFonts w:ascii="Arial" w:hAnsi="Arial" w:cs="Arial"/>
          <w:sz w:val="22"/>
          <w:szCs w:val="22"/>
        </w:rPr>
        <w:t xml:space="preserve"> and described the benefits of such an approach. The commenter also noted this approach would meet NEIMA and ADVANCE Act requirements while also reducing the volume of 10 CFR Part 53. </w:t>
      </w:r>
    </w:p>
    <w:p w:rsidR="007F112A" w:rsidRPr="00B50320" w:rsidP="00B50320" w14:paraId="7BE0C238" w14:textId="77777777">
      <w:pPr>
        <w:spacing w:after="220"/>
        <w:rPr>
          <w:rFonts w:ascii="Arial" w:hAnsi="Arial" w:cs="Arial"/>
          <w:sz w:val="22"/>
          <w:szCs w:val="22"/>
        </w:rPr>
      </w:pPr>
      <w:r w:rsidRPr="00B50320">
        <w:rPr>
          <w:rFonts w:ascii="Arial" w:hAnsi="Arial" w:cs="Arial"/>
          <w:sz w:val="22"/>
          <w:szCs w:val="22"/>
        </w:rPr>
        <w:t xml:space="preserve">Additionally, the commenter expressed support for referencing other regulations throughout </w:t>
      </w:r>
      <w:r w:rsidR="002B2485">
        <w:rPr>
          <w:rFonts w:ascii="Arial" w:hAnsi="Arial" w:cs="Arial"/>
          <w:sz w:val="22"/>
          <w:szCs w:val="22"/>
        </w:rPr>
        <w:br/>
      </w:r>
      <w:r w:rsidRPr="00B50320">
        <w:rPr>
          <w:rFonts w:ascii="Arial" w:hAnsi="Arial" w:cs="Arial"/>
          <w:sz w:val="22"/>
          <w:szCs w:val="22"/>
        </w:rPr>
        <w:t>10 CFR Part 53 as a way to accomplish performance objectives in 10 CFR</w:t>
      </w:r>
      <w:r w:rsidRPr="00B50320" w:rsidR="0085168D">
        <w:rPr>
          <w:rFonts w:ascii="Arial" w:hAnsi="Arial" w:cs="Arial"/>
          <w:sz w:val="22"/>
          <w:szCs w:val="22"/>
        </w:rPr>
        <w:t> </w:t>
      </w:r>
      <w:r w:rsidRPr="00B50320">
        <w:rPr>
          <w:rFonts w:ascii="Arial" w:hAnsi="Arial" w:cs="Arial"/>
          <w:sz w:val="22"/>
          <w:szCs w:val="22"/>
        </w:rPr>
        <w:t>Part 53 without repeating the requirements from other regulations. The commenter stated that any references to 10 CFR Part 20, 10 CFR Part 26, 10 CFR Part</w:t>
      </w:r>
      <w:r w:rsidRPr="00B50320" w:rsidR="00C916DB">
        <w:rPr>
          <w:rFonts w:ascii="Arial" w:hAnsi="Arial" w:cs="Arial"/>
          <w:sz w:val="22"/>
          <w:szCs w:val="22"/>
        </w:rPr>
        <w:t> </w:t>
      </w:r>
      <w:r w:rsidRPr="00B50320">
        <w:rPr>
          <w:rFonts w:ascii="Arial" w:hAnsi="Arial" w:cs="Arial"/>
          <w:sz w:val="22"/>
          <w:szCs w:val="22"/>
        </w:rPr>
        <w:t>73, and 10</w:t>
      </w:r>
      <w:r w:rsidRPr="00B50320" w:rsidR="0085168D">
        <w:rPr>
          <w:rFonts w:ascii="Arial" w:hAnsi="Arial" w:cs="Arial"/>
          <w:sz w:val="22"/>
          <w:szCs w:val="22"/>
        </w:rPr>
        <w:t> </w:t>
      </w:r>
      <w:r w:rsidRPr="00B50320">
        <w:rPr>
          <w:rFonts w:ascii="Arial" w:hAnsi="Arial" w:cs="Arial"/>
          <w:sz w:val="22"/>
          <w:szCs w:val="22"/>
        </w:rPr>
        <w:t>CFR Part 74 should state that the referenced requirements should be coherent with the performed-based approach of 10 CFR Part 53 as it relates to the primary safety objective. The commenter stated that a good example of this is the reference to 10</w:t>
      </w:r>
      <w:r w:rsidRPr="00B50320" w:rsidR="0085168D">
        <w:rPr>
          <w:rFonts w:ascii="Arial" w:hAnsi="Arial" w:cs="Arial"/>
          <w:sz w:val="22"/>
          <w:szCs w:val="22"/>
        </w:rPr>
        <w:t> </w:t>
      </w:r>
      <w:r w:rsidRPr="00B50320">
        <w:rPr>
          <w:rFonts w:ascii="Arial" w:hAnsi="Arial" w:cs="Arial"/>
          <w:sz w:val="22"/>
          <w:szCs w:val="22"/>
        </w:rPr>
        <w:t>CFR</w:t>
      </w:r>
      <w:r w:rsidRPr="00B50320" w:rsidR="0085168D">
        <w:rPr>
          <w:rFonts w:ascii="Arial" w:hAnsi="Arial" w:cs="Arial"/>
          <w:sz w:val="22"/>
          <w:szCs w:val="22"/>
        </w:rPr>
        <w:t> </w:t>
      </w:r>
      <w:r w:rsidRPr="00B50320">
        <w:rPr>
          <w:rFonts w:ascii="Arial" w:hAnsi="Arial" w:cs="Arial"/>
          <w:sz w:val="22"/>
          <w:szCs w:val="22"/>
        </w:rPr>
        <w:t>Part 20 in 10 CFR 53.610, but the reference to 10 CFR Part 50, Appendix B in 10</w:t>
      </w:r>
      <w:r w:rsidRPr="00B50320" w:rsidR="0085168D">
        <w:rPr>
          <w:rFonts w:ascii="Arial" w:hAnsi="Arial" w:cs="Arial"/>
          <w:sz w:val="22"/>
          <w:szCs w:val="22"/>
        </w:rPr>
        <w:t> </w:t>
      </w:r>
      <w:r w:rsidRPr="00B50320">
        <w:rPr>
          <w:rFonts w:ascii="Arial" w:hAnsi="Arial" w:cs="Arial"/>
          <w:sz w:val="22"/>
          <w:szCs w:val="22"/>
        </w:rPr>
        <w:t>CFR</w:t>
      </w:r>
      <w:r w:rsidRPr="00B50320" w:rsidR="0085168D">
        <w:rPr>
          <w:rFonts w:ascii="Arial" w:hAnsi="Arial" w:cs="Arial"/>
          <w:sz w:val="22"/>
          <w:szCs w:val="22"/>
        </w:rPr>
        <w:t> </w:t>
      </w:r>
      <w:r w:rsidRPr="00B50320">
        <w:rPr>
          <w:rFonts w:ascii="Arial" w:hAnsi="Arial" w:cs="Arial"/>
          <w:sz w:val="22"/>
          <w:szCs w:val="22"/>
        </w:rPr>
        <w:t>53.610(a)(6)(i) does not follow this approach and should be removed. The commenter further stated that the QA program under 10 CFR Part 53 should enable performance-based approaches. Similarly, the commenter stated that requirements in 10</w:t>
      </w:r>
      <w:r w:rsidRPr="00B50320" w:rsidR="0085168D">
        <w:rPr>
          <w:rFonts w:ascii="Arial" w:hAnsi="Arial" w:cs="Arial"/>
          <w:sz w:val="22"/>
          <w:szCs w:val="22"/>
        </w:rPr>
        <w:t> </w:t>
      </w:r>
      <w:r w:rsidRPr="00B50320">
        <w:rPr>
          <w:rFonts w:ascii="Arial" w:hAnsi="Arial" w:cs="Arial"/>
          <w:sz w:val="22"/>
          <w:szCs w:val="22"/>
        </w:rPr>
        <w:t>CFR</w:t>
      </w:r>
      <w:r w:rsidRPr="00B50320" w:rsidR="0085168D">
        <w:rPr>
          <w:rFonts w:ascii="Arial" w:hAnsi="Arial" w:cs="Arial"/>
          <w:sz w:val="22"/>
          <w:szCs w:val="22"/>
        </w:rPr>
        <w:t> </w:t>
      </w:r>
      <w:r w:rsidRPr="00B50320">
        <w:rPr>
          <w:rFonts w:ascii="Arial" w:hAnsi="Arial" w:cs="Arial"/>
          <w:sz w:val="22"/>
          <w:szCs w:val="22"/>
        </w:rPr>
        <w:t>Part</w:t>
      </w:r>
      <w:r w:rsidRPr="00B50320" w:rsidR="0085168D">
        <w:rPr>
          <w:rFonts w:ascii="Arial" w:hAnsi="Arial" w:cs="Arial"/>
          <w:sz w:val="22"/>
          <w:szCs w:val="22"/>
        </w:rPr>
        <w:t> </w:t>
      </w:r>
      <w:r w:rsidRPr="00B50320">
        <w:rPr>
          <w:rFonts w:ascii="Arial" w:hAnsi="Arial" w:cs="Arial"/>
          <w:sz w:val="22"/>
          <w:szCs w:val="22"/>
        </w:rPr>
        <w:t>26, 10 CFR Part 73, and 10 CFR Part 74 should be identified as means to accomplish the primary safety or security objective associated with design features and programmatic controls, so that the entirety of the referenced regulation does not have to be repeated in 10 CFR Part 53 (</w:t>
      </w:r>
      <w:r w:rsidR="00C3447B">
        <w:rPr>
          <w:rFonts w:ascii="Arial" w:hAnsi="Arial" w:cs="Arial"/>
          <w:sz w:val="22"/>
          <w:szCs w:val="22"/>
        </w:rPr>
        <w:t>ROSE</w:t>
      </w:r>
      <w:r w:rsidRPr="00B50320">
        <w:rPr>
          <w:rFonts w:ascii="Arial" w:hAnsi="Arial" w:cs="Arial"/>
          <w:sz w:val="22"/>
          <w:szCs w:val="22"/>
        </w:rPr>
        <w:t xml:space="preserve">-0014, </w:t>
      </w:r>
      <w:r w:rsidR="00C3447B">
        <w:rPr>
          <w:rFonts w:ascii="Arial" w:hAnsi="Arial" w:cs="Arial"/>
          <w:sz w:val="22"/>
          <w:szCs w:val="22"/>
        </w:rPr>
        <w:t>ROSE</w:t>
      </w:r>
      <w:r w:rsidRPr="00B50320">
        <w:rPr>
          <w:rFonts w:ascii="Arial" w:hAnsi="Arial" w:cs="Arial"/>
          <w:sz w:val="22"/>
          <w:szCs w:val="22"/>
        </w:rPr>
        <w:t>-0005).</w:t>
      </w:r>
    </w:p>
    <w:p w:rsidR="007F112A" w:rsidRPr="00B50320" w:rsidP="00B50320" w14:paraId="7887DAB9"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comments.</w:t>
      </w:r>
    </w:p>
    <w:p w:rsidR="007F112A" w:rsidRPr="00B50320" w:rsidP="00B50320" w14:paraId="0EDED921" w14:textId="77777777">
      <w:pPr>
        <w:spacing w:after="220"/>
        <w:rPr>
          <w:rFonts w:ascii="Arial" w:hAnsi="Arial" w:cs="Arial"/>
          <w:sz w:val="22"/>
          <w:szCs w:val="22"/>
        </w:rPr>
      </w:pPr>
      <w:r w:rsidRPr="00B50320">
        <w:rPr>
          <w:rFonts w:ascii="Arial" w:hAnsi="Arial" w:cs="Arial"/>
          <w:sz w:val="22"/>
          <w:szCs w:val="22"/>
        </w:rPr>
        <w:t>As explained in the proposed and final rules, the subparts and sections in 10</w:t>
      </w:r>
      <w:r w:rsidRPr="00B50320" w:rsidR="00317193">
        <w:rPr>
          <w:rFonts w:ascii="Arial" w:hAnsi="Arial" w:cs="Arial"/>
          <w:sz w:val="22"/>
          <w:szCs w:val="22"/>
        </w:rPr>
        <w:t> </w:t>
      </w:r>
      <w:r w:rsidRPr="00B50320">
        <w:rPr>
          <w:rFonts w:ascii="Arial" w:hAnsi="Arial" w:cs="Arial"/>
          <w:sz w:val="22"/>
          <w:szCs w:val="22"/>
        </w:rPr>
        <w:t>CFR</w:t>
      </w:r>
      <w:r w:rsidRPr="00B50320" w:rsidR="00317193">
        <w:rPr>
          <w:rFonts w:ascii="Arial" w:hAnsi="Arial" w:cs="Arial"/>
          <w:sz w:val="22"/>
          <w:szCs w:val="22"/>
        </w:rPr>
        <w:t> </w:t>
      </w:r>
      <w:r w:rsidRPr="00B50320">
        <w:rPr>
          <w:rFonts w:ascii="Arial" w:hAnsi="Arial" w:cs="Arial"/>
          <w:sz w:val="22"/>
          <w:szCs w:val="22"/>
        </w:rPr>
        <w:t>Part</w:t>
      </w:r>
      <w:r w:rsidRPr="00B50320" w:rsidR="00317193">
        <w:rPr>
          <w:rFonts w:ascii="Arial" w:hAnsi="Arial" w:cs="Arial"/>
          <w:sz w:val="22"/>
          <w:szCs w:val="22"/>
        </w:rPr>
        <w:t> </w:t>
      </w:r>
      <w:r w:rsidRPr="00B50320">
        <w:rPr>
          <w:rFonts w:ascii="Arial" w:hAnsi="Arial" w:cs="Arial"/>
          <w:sz w:val="22"/>
          <w:szCs w:val="22"/>
        </w:rPr>
        <w:t>53 reflect an overall hierarchy consisting of (1) plant-level safety criteria, (2) safety functions, (3) design features, human actions, and programmatic controls needed to fulfill the safety functions, and (4) functional design criteria that must be defined for each design feature. This hierarchy and related requirements for controls during construction; performance monitoring during operations; identification of appropriate staffing and providing training for those staff</w:t>
      </w:r>
      <w:r w:rsidRPr="00B50320" w:rsidR="0073365C">
        <w:rPr>
          <w:rFonts w:ascii="Arial" w:hAnsi="Arial" w:cs="Arial"/>
          <w:sz w:val="22"/>
          <w:szCs w:val="22"/>
        </w:rPr>
        <w:t>;</w:t>
      </w:r>
      <w:r w:rsidRPr="00B50320">
        <w:rPr>
          <w:rFonts w:ascii="Arial" w:hAnsi="Arial" w:cs="Arial"/>
          <w:sz w:val="22"/>
          <w:szCs w:val="22"/>
        </w:rPr>
        <w:t xml:space="preserve"> and other requirements addressing the lifecycle of commercial nuclear plants are consistent with a systems engineering approach to regulation.</w:t>
      </w:r>
    </w:p>
    <w:p w:rsidR="002B3370" w:rsidRPr="00B50320" w:rsidP="00B50320" w14:paraId="163C8C73" w14:textId="77777777">
      <w:pPr>
        <w:spacing w:after="220"/>
        <w:rPr>
          <w:rFonts w:ascii="Arial" w:hAnsi="Arial" w:cs="Arial"/>
          <w:sz w:val="22"/>
          <w:szCs w:val="22"/>
        </w:rPr>
      </w:pPr>
      <w:r w:rsidRPr="00B50320">
        <w:rPr>
          <w:rFonts w:ascii="Arial" w:hAnsi="Arial" w:cs="Arial"/>
          <w:sz w:val="22"/>
          <w:szCs w:val="22"/>
        </w:rPr>
        <w:t>The NRC agrees that referencing other regulations can be an effective way to control the length of regulatory text and has maintained in the final rule references to other parts of NRC regulations. The NRC disagrees that referencing Appendix B to 10</w:t>
      </w:r>
      <w:r w:rsidRPr="00B50320" w:rsidR="00317193">
        <w:rPr>
          <w:rFonts w:ascii="Arial" w:hAnsi="Arial" w:cs="Arial"/>
          <w:sz w:val="22"/>
          <w:szCs w:val="22"/>
        </w:rPr>
        <w:t> </w:t>
      </w:r>
      <w:r w:rsidRPr="00B50320">
        <w:rPr>
          <w:rFonts w:ascii="Arial" w:hAnsi="Arial" w:cs="Arial"/>
          <w:sz w:val="22"/>
          <w:szCs w:val="22"/>
        </w:rPr>
        <w:t>CFR</w:t>
      </w:r>
      <w:r w:rsidRPr="00B50320" w:rsidR="00317193">
        <w:rPr>
          <w:rFonts w:ascii="Arial" w:hAnsi="Arial" w:cs="Arial"/>
          <w:sz w:val="22"/>
          <w:szCs w:val="22"/>
        </w:rPr>
        <w:t> </w:t>
      </w:r>
      <w:r w:rsidRPr="00B50320">
        <w:rPr>
          <w:rFonts w:ascii="Arial" w:hAnsi="Arial" w:cs="Arial"/>
          <w:sz w:val="22"/>
          <w:szCs w:val="22"/>
        </w:rPr>
        <w:t>Part 50 precludes using particular consensus codes or standards related to quality assurance</w:t>
      </w:r>
      <w:r w:rsidRPr="0047150F" w:rsidR="00D01217">
        <w:rPr>
          <w:rFonts w:ascii="Arial" w:hAnsi="Arial" w:cs="Arial"/>
          <w:sz w:val="22"/>
          <w:szCs w:val="22"/>
        </w:rPr>
        <w:t>,</w:t>
      </w:r>
      <w:r w:rsidRPr="0047150F" w:rsidR="00C10B3C">
        <w:rPr>
          <w:rFonts w:ascii="Arial" w:hAnsi="Arial" w:cs="Arial"/>
          <w:sz w:val="22"/>
          <w:szCs w:val="22"/>
        </w:rPr>
        <w:t xml:space="preserve"> or that it </w:t>
      </w:r>
      <w:r w:rsidRPr="0047150F" w:rsidR="00027767">
        <w:rPr>
          <w:rFonts w:ascii="Arial" w:hAnsi="Arial" w:cs="Arial"/>
          <w:sz w:val="22"/>
          <w:szCs w:val="22"/>
        </w:rPr>
        <w:t>precludes performance-based approaches</w:t>
      </w:r>
      <w:r w:rsidRPr="00B50320">
        <w:rPr>
          <w:rFonts w:ascii="Arial" w:hAnsi="Arial" w:cs="Arial"/>
          <w:sz w:val="22"/>
          <w:szCs w:val="22"/>
        </w:rPr>
        <w:t xml:space="preserve"> (see response to </w:t>
      </w:r>
      <w:r w:rsidRPr="0047150F" w:rsidR="007D3466">
        <w:rPr>
          <w:rFonts w:ascii="Arial" w:hAnsi="Arial" w:cs="Arial"/>
          <w:sz w:val="22"/>
          <w:szCs w:val="22"/>
        </w:rPr>
        <w:t>Comment Bin</w:t>
      </w:r>
      <w:r w:rsidRPr="00B50320">
        <w:rPr>
          <w:rFonts w:ascii="Arial" w:hAnsi="Arial" w:cs="Arial"/>
          <w:sz w:val="22"/>
          <w:szCs w:val="22"/>
        </w:rPr>
        <w:t xml:space="preserve"> 3.3.2</w:t>
      </w:r>
      <w:r w:rsidRPr="00B50320" w:rsidR="007D3466">
        <w:rPr>
          <w:rFonts w:ascii="Arial" w:hAnsi="Arial" w:cs="Arial"/>
          <w:sz w:val="22"/>
          <w:szCs w:val="22"/>
        </w:rPr>
        <w:t>.1.A</w:t>
      </w:r>
      <w:r w:rsidRPr="00B50320">
        <w:rPr>
          <w:rFonts w:ascii="Arial" w:hAnsi="Arial" w:cs="Arial"/>
          <w:sz w:val="22"/>
          <w:szCs w:val="22"/>
        </w:rPr>
        <w:t>).</w:t>
      </w:r>
    </w:p>
    <w:p w:rsidR="007F112A" w:rsidRPr="00B50320" w:rsidP="00B50320" w14:paraId="2BE4D9DE" w14:textId="77777777">
      <w:pPr>
        <w:spacing w:after="220"/>
        <w:rPr>
          <w:rFonts w:ascii="Arial" w:hAnsi="Arial" w:cs="Arial"/>
          <w:sz w:val="22"/>
          <w:szCs w:val="22"/>
        </w:rPr>
      </w:pPr>
      <w:r w:rsidRPr="00B50320">
        <w:rPr>
          <w:rFonts w:ascii="Arial" w:hAnsi="Arial" w:cs="Arial"/>
          <w:sz w:val="22"/>
          <w:szCs w:val="22"/>
        </w:rPr>
        <w:t xml:space="preserve">The NRC disagrees that </w:t>
      </w:r>
      <w:r w:rsidRPr="00B50320" w:rsidR="00A419C3">
        <w:rPr>
          <w:rFonts w:ascii="Arial" w:hAnsi="Arial" w:cs="Arial"/>
          <w:sz w:val="22"/>
          <w:szCs w:val="22"/>
        </w:rPr>
        <w:t xml:space="preserve">there is a need to </w:t>
      </w:r>
      <w:r w:rsidRPr="00B50320" w:rsidR="00110A6D">
        <w:rPr>
          <w:rFonts w:ascii="Arial" w:hAnsi="Arial" w:cs="Arial"/>
          <w:sz w:val="22"/>
          <w:szCs w:val="22"/>
        </w:rPr>
        <w:t xml:space="preserve">restructure 10 CFR Part 53 to </w:t>
      </w:r>
      <w:r w:rsidRPr="00B50320" w:rsidR="00A419C3">
        <w:rPr>
          <w:rFonts w:ascii="Arial" w:hAnsi="Arial" w:cs="Arial"/>
          <w:sz w:val="22"/>
          <w:szCs w:val="22"/>
        </w:rPr>
        <w:t xml:space="preserve">identify </w:t>
      </w:r>
      <w:r w:rsidRPr="00B50320">
        <w:rPr>
          <w:rFonts w:ascii="Arial" w:hAnsi="Arial" w:cs="Arial"/>
          <w:sz w:val="22"/>
          <w:szCs w:val="22"/>
        </w:rPr>
        <w:t>requirements in 10 CFR Part 26, 10 CFR Part 73, and 10 CFR Part 74 as means to accomplish the primary safety or security objective</w:t>
      </w:r>
      <w:r w:rsidRPr="00B50320" w:rsidR="00110A6D">
        <w:rPr>
          <w:rFonts w:ascii="Arial" w:hAnsi="Arial" w:cs="Arial"/>
          <w:sz w:val="22"/>
          <w:szCs w:val="22"/>
        </w:rPr>
        <w:t>s</w:t>
      </w:r>
      <w:r w:rsidRPr="00B50320">
        <w:rPr>
          <w:rFonts w:ascii="Arial" w:hAnsi="Arial" w:cs="Arial"/>
          <w:sz w:val="22"/>
          <w:szCs w:val="22"/>
        </w:rPr>
        <w:t xml:space="preserve">, </w:t>
      </w:r>
      <w:r w:rsidRPr="00B50320" w:rsidR="007F100A">
        <w:rPr>
          <w:rFonts w:ascii="Arial" w:hAnsi="Arial" w:cs="Arial"/>
          <w:sz w:val="22"/>
          <w:szCs w:val="22"/>
        </w:rPr>
        <w:t>or</w:t>
      </w:r>
      <w:r w:rsidRPr="00B50320">
        <w:rPr>
          <w:rFonts w:ascii="Arial" w:hAnsi="Arial" w:cs="Arial"/>
          <w:sz w:val="22"/>
          <w:szCs w:val="22"/>
        </w:rPr>
        <w:t xml:space="preserve"> that </w:t>
      </w:r>
      <w:r w:rsidRPr="00B50320" w:rsidR="005D43EE">
        <w:rPr>
          <w:rFonts w:ascii="Arial" w:hAnsi="Arial" w:cs="Arial"/>
          <w:sz w:val="22"/>
          <w:szCs w:val="22"/>
        </w:rPr>
        <w:t xml:space="preserve">the current </w:t>
      </w:r>
      <w:r w:rsidRPr="00B50320" w:rsidR="007F100A">
        <w:rPr>
          <w:rFonts w:ascii="Arial" w:hAnsi="Arial" w:cs="Arial"/>
          <w:sz w:val="22"/>
          <w:szCs w:val="22"/>
        </w:rPr>
        <w:t xml:space="preserve">10 CFR Part 53 construct necessitates repeating </w:t>
      </w:r>
      <w:r w:rsidRPr="00B50320">
        <w:rPr>
          <w:rFonts w:ascii="Arial" w:hAnsi="Arial" w:cs="Arial"/>
          <w:sz w:val="22"/>
          <w:szCs w:val="22"/>
        </w:rPr>
        <w:t>the entirety of the</w:t>
      </w:r>
      <w:r w:rsidRPr="00B50320" w:rsidR="007F100A">
        <w:rPr>
          <w:rFonts w:ascii="Arial" w:hAnsi="Arial" w:cs="Arial"/>
          <w:sz w:val="22"/>
          <w:szCs w:val="22"/>
        </w:rPr>
        <w:t>se</w:t>
      </w:r>
      <w:r w:rsidRPr="00B50320">
        <w:rPr>
          <w:rFonts w:ascii="Arial" w:hAnsi="Arial" w:cs="Arial"/>
          <w:sz w:val="22"/>
          <w:szCs w:val="22"/>
        </w:rPr>
        <w:t xml:space="preserve"> regulation</w:t>
      </w:r>
      <w:r w:rsidRPr="00B50320" w:rsidR="007F100A">
        <w:rPr>
          <w:rFonts w:ascii="Arial" w:hAnsi="Arial" w:cs="Arial"/>
          <w:sz w:val="22"/>
          <w:szCs w:val="22"/>
        </w:rPr>
        <w:t>s</w:t>
      </w:r>
      <w:r w:rsidRPr="00B50320">
        <w:rPr>
          <w:rFonts w:ascii="Arial" w:hAnsi="Arial" w:cs="Arial"/>
          <w:sz w:val="22"/>
          <w:szCs w:val="22"/>
        </w:rPr>
        <w:t xml:space="preserve"> in 10 CFR Part 53</w:t>
      </w:r>
      <w:r w:rsidRPr="00B50320" w:rsidR="00862F07">
        <w:rPr>
          <w:rFonts w:ascii="Arial" w:hAnsi="Arial" w:cs="Arial"/>
          <w:sz w:val="22"/>
          <w:szCs w:val="22"/>
        </w:rPr>
        <w:t xml:space="preserve"> to achieve a performance-based regulation.</w:t>
      </w:r>
      <w:r w:rsidRPr="00B50320" w:rsidR="005D43EE">
        <w:rPr>
          <w:rFonts w:ascii="Arial" w:hAnsi="Arial" w:cs="Arial"/>
          <w:sz w:val="22"/>
          <w:szCs w:val="22"/>
        </w:rPr>
        <w:t xml:space="preserve"> </w:t>
      </w:r>
      <w:r w:rsidRPr="00B50320" w:rsidR="006246F6">
        <w:rPr>
          <w:rFonts w:ascii="Arial" w:hAnsi="Arial" w:cs="Arial"/>
          <w:sz w:val="22"/>
          <w:szCs w:val="22"/>
        </w:rPr>
        <w:t xml:space="preserve">As the commenters noted, </w:t>
      </w:r>
      <w:r w:rsidRPr="00B50320" w:rsidR="001430F6">
        <w:rPr>
          <w:rFonts w:ascii="Arial" w:hAnsi="Arial" w:cs="Arial"/>
          <w:sz w:val="22"/>
          <w:szCs w:val="22"/>
        </w:rPr>
        <w:t xml:space="preserve">10 CFR Part 53 </w:t>
      </w:r>
      <w:r w:rsidRPr="00B50320" w:rsidR="007D2DD9">
        <w:rPr>
          <w:rFonts w:ascii="Arial" w:hAnsi="Arial" w:cs="Arial"/>
          <w:sz w:val="22"/>
          <w:szCs w:val="22"/>
        </w:rPr>
        <w:t xml:space="preserve">already uses </w:t>
      </w:r>
      <w:r w:rsidRPr="00B50320" w:rsidR="001430F6">
        <w:rPr>
          <w:rFonts w:ascii="Arial" w:hAnsi="Arial" w:cs="Arial"/>
          <w:sz w:val="22"/>
          <w:szCs w:val="22"/>
        </w:rPr>
        <w:t xml:space="preserve">references </w:t>
      </w:r>
      <w:r w:rsidRPr="00B50320" w:rsidR="007D2DD9">
        <w:rPr>
          <w:rFonts w:ascii="Arial" w:hAnsi="Arial" w:cs="Arial"/>
          <w:sz w:val="22"/>
          <w:szCs w:val="22"/>
        </w:rPr>
        <w:t xml:space="preserve">to </w:t>
      </w:r>
      <w:r w:rsidRPr="00B50320" w:rsidR="001430F6">
        <w:rPr>
          <w:rFonts w:ascii="Arial" w:hAnsi="Arial" w:cs="Arial"/>
          <w:sz w:val="22"/>
          <w:szCs w:val="22"/>
        </w:rPr>
        <w:t>other regulations as a way to accomplish performance objectives without repeating the requirements from other regulations</w:t>
      </w:r>
      <w:r w:rsidRPr="00B50320" w:rsidR="00491525">
        <w:rPr>
          <w:rFonts w:ascii="Arial" w:hAnsi="Arial" w:cs="Arial"/>
          <w:sz w:val="22"/>
          <w:szCs w:val="22"/>
        </w:rPr>
        <w:t>,</w:t>
      </w:r>
      <w:r w:rsidRPr="00B50320" w:rsidR="00B6719A">
        <w:rPr>
          <w:rFonts w:ascii="Arial" w:hAnsi="Arial" w:cs="Arial"/>
          <w:sz w:val="22"/>
          <w:szCs w:val="22"/>
        </w:rPr>
        <w:t xml:space="preserve"> and the NRC does not believe that additional references are necessary.</w:t>
      </w:r>
    </w:p>
    <w:p w:rsidR="007F112A" w:rsidRPr="00B50320" w:rsidP="00B50320" w14:paraId="0586D512" w14:textId="77777777">
      <w:pPr>
        <w:spacing w:after="220"/>
        <w:rPr>
          <w:rFonts w:ascii="Arial" w:hAnsi="Arial" w:cs="Arial"/>
          <w:b/>
          <w:sz w:val="22"/>
          <w:szCs w:val="22"/>
        </w:rPr>
      </w:pPr>
      <w:r w:rsidRPr="00B50320">
        <w:rPr>
          <w:rFonts w:ascii="Arial" w:hAnsi="Arial" w:cs="Arial"/>
          <w:sz w:val="22"/>
          <w:szCs w:val="22"/>
        </w:rPr>
        <w:t>Accordingly, the NRC did not change the rule language in response to these comments.</w:t>
      </w:r>
    </w:p>
    <w:p w:rsidR="007F112A" w:rsidRPr="00B50320" w:rsidP="00B50320" w14:paraId="20A8C897" w14:textId="77777777">
      <w:pPr>
        <w:spacing w:after="220"/>
        <w:rPr>
          <w:rFonts w:ascii="Arial" w:hAnsi="Arial" w:cs="Arial"/>
          <w:sz w:val="22"/>
          <w:szCs w:val="22"/>
        </w:rPr>
      </w:pPr>
      <w:r>
        <w:rPr>
          <w:rFonts w:ascii="Arial" w:hAnsi="Arial" w:cs="Arial"/>
          <w:sz w:val="22"/>
          <w:szCs w:val="22"/>
        </w:rPr>
        <w:pict>
          <v:rect id="_x0000_i1320" style="width:0;height:1.5pt" o:hralign="center" o:hrstd="t" o:hrnoshade="t" o:hr="t" fillcolor="black" stroked="f"/>
        </w:pict>
      </w:r>
    </w:p>
    <w:p w:rsidR="007F112A" w:rsidRPr="00B50320" w:rsidP="00B50320" w14:paraId="0624136A" w14:textId="77777777">
      <w:pPr>
        <w:spacing w:after="220"/>
        <w:rPr>
          <w:rFonts w:ascii="Arial" w:hAnsi="Arial" w:cs="Arial"/>
          <w:sz w:val="22"/>
          <w:szCs w:val="22"/>
        </w:rPr>
      </w:pPr>
      <w:r w:rsidRPr="00B50320">
        <w:rPr>
          <w:rFonts w:ascii="Arial" w:hAnsi="Arial" w:cs="Arial"/>
          <w:b/>
          <w:sz w:val="22"/>
          <w:szCs w:val="22"/>
        </w:rPr>
        <w:t>Comment Bin 3.12.</w:t>
      </w:r>
      <w:r w:rsidR="00FF58CF">
        <w:rPr>
          <w:rFonts w:ascii="Arial" w:hAnsi="Arial" w:cs="Arial"/>
          <w:b/>
          <w:sz w:val="22"/>
          <w:szCs w:val="22"/>
        </w:rPr>
        <w:t>O</w:t>
      </w:r>
      <w:r w:rsidRPr="00B50320">
        <w:rPr>
          <w:rFonts w:ascii="Arial" w:hAnsi="Arial" w:cs="Arial"/>
          <w:b/>
          <w:sz w:val="22"/>
          <w:szCs w:val="22"/>
        </w:rPr>
        <w:t>:</w:t>
      </w:r>
      <w:r w:rsidRPr="00B50320">
        <w:rPr>
          <w:rFonts w:ascii="Arial" w:hAnsi="Arial" w:cs="Arial"/>
          <w:sz w:val="22"/>
          <w:szCs w:val="22"/>
        </w:rPr>
        <w:t xml:space="preserve"> A commenter emphasized that 10 CFR Part 53 should be able to efficiently handle a large volume of applications in order to meet NEIMA requirements, but that stakeholders are concerned about whether this will be the case. The commenter stated that the preamble and rule text must be aligned to ensure consistency and clarity, and 10 CFR Part 53 should be revised to promote sufficient depth and breadth, promoting widespread adoption and ensuring effective implementation (</w:t>
      </w:r>
      <w:r w:rsidR="004C1A5D">
        <w:rPr>
          <w:rFonts w:ascii="Arial" w:hAnsi="Arial" w:cs="Arial"/>
          <w:sz w:val="22"/>
          <w:szCs w:val="22"/>
        </w:rPr>
        <w:t>BI1</w:t>
      </w:r>
      <w:r w:rsidRPr="00B50320">
        <w:rPr>
          <w:rFonts w:ascii="Arial" w:hAnsi="Arial" w:cs="Arial"/>
          <w:sz w:val="22"/>
          <w:szCs w:val="22"/>
        </w:rPr>
        <w:t>-0031).</w:t>
      </w:r>
    </w:p>
    <w:p w:rsidR="007F112A" w:rsidRPr="00B50320" w:rsidP="00B50320" w14:paraId="310972B8" w14:textId="77777777">
      <w:pPr>
        <w:spacing w:after="220"/>
        <w:rPr>
          <w:rFonts w:ascii="Arial" w:hAnsi="Arial" w:cs="Arial"/>
          <w:sz w:val="22"/>
          <w:szCs w:val="22"/>
        </w:rPr>
      </w:pPr>
      <w:r w:rsidRPr="00B50320">
        <w:rPr>
          <w:rFonts w:ascii="Arial" w:hAnsi="Arial" w:cs="Arial"/>
          <w:b/>
          <w:sz w:val="22"/>
          <w:szCs w:val="22"/>
        </w:rPr>
        <w:t>NRC Response:</w:t>
      </w:r>
      <w:r w:rsidRPr="00B50320">
        <w:rPr>
          <w:rFonts w:ascii="Arial" w:hAnsi="Arial" w:cs="Arial"/>
          <w:sz w:val="22"/>
          <w:szCs w:val="22"/>
        </w:rPr>
        <w:t> The NRC agrees, in part, with the comment.</w:t>
      </w:r>
    </w:p>
    <w:p w:rsidR="007F112A" w:rsidRPr="00B50320" w:rsidP="00B50320" w14:paraId="5282D2F0" w14:textId="77777777">
      <w:pPr>
        <w:spacing w:after="220"/>
        <w:rPr>
          <w:rFonts w:ascii="Arial" w:hAnsi="Arial" w:cs="Arial"/>
          <w:sz w:val="22"/>
          <w:szCs w:val="22"/>
        </w:rPr>
      </w:pPr>
      <w:r w:rsidRPr="00B50320">
        <w:rPr>
          <w:rFonts w:ascii="Arial" w:hAnsi="Arial" w:cs="Arial"/>
          <w:sz w:val="22"/>
          <w:szCs w:val="22"/>
        </w:rPr>
        <w:t>The regulations in 10 CFR Part 53 include provisions to efficiently license reactor designs and deployment sites by providing a systematic approach to addressing the performance measures for public health and safety and the common defense and security and flexible licensing processes for standardized plant designs that might be deployed at many sites.</w:t>
      </w:r>
    </w:p>
    <w:p w:rsidR="007F112A" w:rsidRPr="00B50320" w:rsidP="00B50320" w14:paraId="7FE30FB5" w14:textId="77777777">
      <w:pPr>
        <w:spacing w:after="220"/>
        <w:rPr>
          <w:rFonts w:ascii="Arial" w:hAnsi="Arial" w:cs="Arial"/>
          <w:sz w:val="22"/>
          <w:szCs w:val="22"/>
        </w:rPr>
      </w:pPr>
      <w:r>
        <w:rPr>
          <w:rFonts w:ascii="Arial" w:hAnsi="Arial" w:cs="Arial"/>
          <w:sz w:val="22"/>
          <w:szCs w:val="22"/>
        </w:rPr>
        <w:t>Regarding</w:t>
      </w:r>
      <w:r w:rsidRPr="00B50320">
        <w:rPr>
          <w:rFonts w:ascii="Arial" w:hAnsi="Arial" w:cs="Arial"/>
          <w:sz w:val="22"/>
          <w:szCs w:val="22"/>
        </w:rPr>
        <w:t xml:space="preserve"> promoting the adoption of 10 CFR Part 53, the rule provides an optional alternative using more risk</w:t>
      </w:r>
      <w:r w:rsidRPr="00B50320">
        <w:rPr>
          <w:rFonts w:ascii="Arial" w:hAnsi="Arial" w:cs="Arial"/>
          <w:sz w:val="22"/>
          <w:szCs w:val="22"/>
        </w:rPr>
        <w:noBreakHyphen/>
        <w:t xml:space="preserve">informed and performance-based approaches for the design, licensing, and operation of commercial nuclear plants. Applicants may choose to pursue licensing and deployment strategies under 10 CFR Part 53 or under the existing processes in 10 CFR Parts 50 and 52. </w:t>
      </w:r>
    </w:p>
    <w:p w:rsidR="007F112A" w:rsidRPr="00A057E6" w:rsidP="00B50320" w14:paraId="44DEA0BE" w14:textId="77777777">
      <w:pPr>
        <w:spacing w:after="220"/>
        <w:rPr>
          <w:rFonts w:ascii="Arial" w:hAnsi="Arial" w:cs="Arial"/>
          <w:sz w:val="22"/>
          <w:szCs w:val="22"/>
        </w:rPr>
      </w:pPr>
      <w:r w:rsidRPr="00B50320">
        <w:rPr>
          <w:rFonts w:ascii="Arial" w:hAnsi="Arial" w:cs="Arial"/>
          <w:sz w:val="22"/>
          <w:szCs w:val="22"/>
        </w:rPr>
        <w:t>Accordingly, the NRC did not change the rule language in response to this comment.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D47" w14:paraId="5AFD22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02658"/>
      <w:docPartObj>
        <w:docPartGallery w:val="Page Numbers (Bottom of Page)"/>
        <w:docPartUnique/>
      </w:docPartObj>
    </w:sdtPr>
    <w:sdtEndPr>
      <w:rPr>
        <w:rFonts w:ascii="Arial" w:hAnsi="Arial" w:cs="Arial"/>
        <w:sz w:val="22"/>
        <w:szCs w:val="22"/>
      </w:rPr>
    </w:sdtEndPr>
    <w:sdtContent>
      <w:p w:rsidR="008419B4" w:rsidRPr="00AD2D47" w:rsidP="00AD2D47" w14:paraId="19E0461E" w14:textId="5EE102B2">
        <w:pPr>
          <w:pStyle w:val="Footer"/>
          <w:jc w:val="center"/>
          <w:rPr>
            <w:rFonts w:ascii="Arial" w:hAnsi="Arial" w:cs="Arial"/>
            <w:sz w:val="22"/>
            <w:szCs w:val="22"/>
          </w:rPr>
        </w:pPr>
        <w:r w:rsidRPr="009D6CE3">
          <w:rPr>
            <w:rFonts w:ascii="Arial" w:hAnsi="Arial" w:cs="Arial"/>
            <w:sz w:val="22"/>
            <w:szCs w:val="22"/>
          </w:rPr>
          <w:fldChar w:fldCharType="begin"/>
        </w:r>
        <w:r w:rsidRPr="009D6CE3">
          <w:rPr>
            <w:rFonts w:ascii="Arial" w:hAnsi="Arial" w:cs="Arial"/>
            <w:sz w:val="22"/>
            <w:szCs w:val="22"/>
          </w:rPr>
          <w:instrText xml:space="preserve"> PAGE   \* MERGEFORMAT </w:instrText>
        </w:r>
        <w:r w:rsidRPr="009D6CE3">
          <w:rPr>
            <w:rFonts w:ascii="Arial" w:hAnsi="Arial" w:cs="Arial"/>
            <w:sz w:val="22"/>
            <w:szCs w:val="22"/>
          </w:rPr>
          <w:fldChar w:fldCharType="separate"/>
        </w:r>
        <w:r w:rsidRPr="009D6CE3">
          <w:rPr>
            <w:rFonts w:ascii="Arial" w:hAnsi="Arial" w:cs="Arial"/>
            <w:noProof/>
            <w:sz w:val="22"/>
            <w:szCs w:val="22"/>
          </w:rPr>
          <w:t>2</w:t>
        </w:r>
        <w:r w:rsidRPr="009D6CE3">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180" w:rsidRPr="004A7723" w:rsidP="00AD2D47" w14:paraId="242D3E5D" w14:textId="0456993F">
    <w:pPr>
      <w:tabs>
        <w:tab w:val="center" w:pos="4320"/>
        <w:tab w:val="right" w:pos="8640"/>
      </w:tabs>
      <w:autoSpaceDE w:val="0"/>
      <w:autoSpaceDN w:val="0"/>
      <w:adjustRightInd w:val="0"/>
      <w:rPr>
        <w:rFonts w:ascii="Arial" w:eastAsia="Calibri" w:hAnsi="Arial" w:cs="Arial"/>
        <w:b/>
        <w:bCs/>
        <w:i/>
        <w:iCs/>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0893319"/>
      <w:docPartObj>
        <w:docPartGallery w:val="Page Numbers (Bottom of Page)"/>
        <w:docPartUnique/>
      </w:docPartObj>
    </w:sdtPr>
    <w:sdtEndPr>
      <w:rPr>
        <w:rFonts w:ascii="Arial" w:hAnsi="Arial" w:cs="Arial"/>
        <w:noProof/>
        <w:sz w:val="22"/>
        <w:szCs w:val="22"/>
      </w:rPr>
    </w:sdtEndPr>
    <w:sdtContent>
      <w:p w:rsidR="00892475" w:rsidRPr="00AD2D47" w:rsidP="00AD2D47" w14:paraId="2B12720D" w14:textId="22B7A37F">
        <w:pPr>
          <w:pStyle w:val="Footer1"/>
          <w:jc w:val="center"/>
          <w:rPr>
            <w:rFonts w:ascii="Arial" w:hAnsi="Arial" w:cs="Arial"/>
            <w:sz w:val="22"/>
            <w:szCs w:val="22"/>
          </w:rPr>
        </w:pPr>
        <w:r w:rsidRPr="00B51E6E">
          <w:rPr>
            <w:rFonts w:ascii="Arial" w:hAnsi="Arial" w:cs="Arial"/>
            <w:sz w:val="22"/>
            <w:szCs w:val="22"/>
          </w:rPr>
          <w:fldChar w:fldCharType="begin"/>
        </w:r>
        <w:r w:rsidRPr="00B51E6E">
          <w:rPr>
            <w:rFonts w:ascii="Arial" w:hAnsi="Arial" w:cs="Arial"/>
            <w:sz w:val="22"/>
            <w:szCs w:val="22"/>
          </w:rPr>
          <w:instrText xml:space="preserve"> PAGE   \* MERGEFORMAT </w:instrText>
        </w:r>
        <w:r w:rsidRPr="00B51E6E">
          <w:rPr>
            <w:rFonts w:ascii="Arial" w:hAnsi="Arial" w:cs="Arial"/>
            <w:sz w:val="22"/>
            <w:szCs w:val="22"/>
          </w:rPr>
          <w:fldChar w:fldCharType="separate"/>
        </w:r>
        <w:r w:rsidRPr="00B51E6E">
          <w:rPr>
            <w:rFonts w:ascii="Arial" w:hAnsi="Arial" w:cs="Arial"/>
            <w:noProof/>
            <w:sz w:val="22"/>
            <w:szCs w:val="22"/>
          </w:rPr>
          <w:t>2</w:t>
        </w:r>
        <w:r w:rsidRPr="00B51E6E">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160093"/>
      <w:docPartObj>
        <w:docPartGallery w:val="Page Numbers (Bottom of Page)"/>
        <w:docPartUnique/>
      </w:docPartObj>
    </w:sdtPr>
    <w:sdtEndPr>
      <w:rPr>
        <w:rFonts w:ascii="Arial" w:hAnsi="Arial" w:cs="Arial"/>
        <w:noProof/>
        <w:sz w:val="22"/>
        <w:szCs w:val="22"/>
      </w:rPr>
    </w:sdtEndPr>
    <w:sdtContent>
      <w:p w:rsidR="008C54F4" w:rsidRPr="00AD2D47" w:rsidP="00AD2D47" w14:paraId="1CA64FA1" w14:textId="6D3E6AFE">
        <w:pPr>
          <w:pStyle w:val="Footer1"/>
          <w:jc w:val="center"/>
          <w:rPr>
            <w:rFonts w:ascii="Arial" w:hAnsi="Arial" w:cs="Arial"/>
            <w:sz w:val="22"/>
            <w:szCs w:val="22"/>
          </w:rPr>
        </w:pPr>
        <w:r w:rsidRPr="00B51E6E">
          <w:rPr>
            <w:rFonts w:ascii="Arial" w:hAnsi="Arial" w:cs="Arial"/>
            <w:sz w:val="22"/>
            <w:szCs w:val="22"/>
          </w:rPr>
          <w:fldChar w:fldCharType="begin"/>
        </w:r>
        <w:r w:rsidRPr="00B51E6E">
          <w:rPr>
            <w:rFonts w:ascii="Arial" w:hAnsi="Arial" w:cs="Arial"/>
            <w:sz w:val="22"/>
            <w:szCs w:val="22"/>
          </w:rPr>
          <w:instrText xml:space="preserve"> PAGE   \* MERGEFORMAT </w:instrText>
        </w:r>
        <w:r w:rsidRPr="00B51E6E">
          <w:rPr>
            <w:rFonts w:ascii="Arial" w:hAnsi="Arial" w:cs="Arial"/>
            <w:sz w:val="22"/>
            <w:szCs w:val="22"/>
          </w:rPr>
          <w:fldChar w:fldCharType="separate"/>
        </w:r>
        <w:r w:rsidRPr="00B51E6E">
          <w:rPr>
            <w:rFonts w:ascii="Arial" w:hAnsi="Arial" w:cs="Arial"/>
            <w:noProof/>
            <w:sz w:val="22"/>
            <w:szCs w:val="22"/>
          </w:rPr>
          <w:t>2</w:t>
        </w:r>
        <w:r w:rsidRPr="00B51E6E">
          <w:rPr>
            <w:rFonts w:ascii="Arial" w:hAnsi="Arial" w:cs="Arial"/>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D47" w14:paraId="1FEDC0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9B4" w:rsidRPr="004A7723" w:rsidP="00AD2D47" w14:paraId="1FA5C65B" w14:textId="282461A8">
    <w:pPr>
      <w:tabs>
        <w:tab w:val="center" w:pos="4320"/>
        <w:tab w:val="right" w:pos="8640"/>
      </w:tabs>
      <w:autoSpaceDE w:val="0"/>
      <w:autoSpaceDN w:val="0"/>
      <w:adjustRightInd w:val="0"/>
      <w:rPr>
        <w:rFonts w:ascii="Arial" w:eastAsia="Calibri" w:hAnsi="Arial" w:cs="Arial"/>
        <w:b/>
        <w:bCs/>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180" w:rsidRPr="004A7723" w:rsidP="00AD2D47" w14:paraId="767B06BA" w14:textId="674A93CC">
    <w:pPr>
      <w:tabs>
        <w:tab w:val="center" w:pos="4320"/>
        <w:tab w:val="right" w:pos="8640"/>
      </w:tabs>
      <w:autoSpaceDE w:val="0"/>
      <w:autoSpaceDN w:val="0"/>
      <w:adjustRightInd w:val="0"/>
      <w:rPr>
        <w:rFonts w:ascii="Arial" w:eastAsia="Calibri" w:hAnsi="Arial" w:cs="Arial"/>
        <w:b/>
        <w:bCs/>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311DF"/>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C66551"/>
    <w:multiLevelType w:val="hybridMultilevel"/>
    <w:tmpl w:val="266C5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85E2F"/>
    <w:multiLevelType w:val="hybridMultilevel"/>
    <w:tmpl w:val="D4542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C5FF0"/>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D75306"/>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A24C8"/>
    <w:multiLevelType w:val="hybridMultilevel"/>
    <w:tmpl w:val="E62A8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D05BD3"/>
    <w:multiLevelType w:val="hybridMultilevel"/>
    <w:tmpl w:val="41163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780"/>
    <w:multiLevelType w:val="hybridMultilevel"/>
    <w:tmpl w:val="6D3636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86B0005"/>
    <w:multiLevelType w:val="hybridMultilevel"/>
    <w:tmpl w:val="C83AE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0C391D"/>
    <w:multiLevelType w:val="hybridMultilevel"/>
    <w:tmpl w:val="9C3E6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D04DBA"/>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DB1431"/>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364776"/>
    <w:multiLevelType w:val="hybridMultilevel"/>
    <w:tmpl w:val="6F14D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CF3A02"/>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830D9"/>
    <w:multiLevelType w:val="hybridMultilevel"/>
    <w:tmpl w:val="7AB4A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2E1085"/>
    <w:multiLevelType w:val="hybridMultilevel"/>
    <w:tmpl w:val="BD82DD0C"/>
    <w:lvl w:ilvl="0">
      <w:start w:val="1"/>
      <w:numFmt w:val="decimal"/>
      <w:lvlText w:val="(%1)"/>
      <w:lvlJc w:val="left"/>
      <w:pPr>
        <w:ind w:left="720" w:hanging="360"/>
      </w:pPr>
      <w:rPr>
        <w:rFonts w:ascii="Arial" w:hAnsi="Arial" w:eastAsiaTheme="minorEastAsia"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3414A5"/>
    <w:multiLevelType w:val="hybridMultilevel"/>
    <w:tmpl w:val="5D76E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B9130F"/>
    <w:multiLevelType w:val="hybridMultilevel"/>
    <w:tmpl w:val="1ABAA6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0"/>
      <w:numFmt w:val="bullet"/>
      <w:lvlText w:val="•"/>
      <w:lvlJc w:val="left"/>
      <w:pPr>
        <w:ind w:left="2880" w:hanging="720"/>
      </w:pPr>
      <w:rPr>
        <w:rFonts w:ascii="Arial" w:eastAsia="Arial" w:hAnsi="Arial" w:cs="Aria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25D62E4"/>
    <w:multiLevelType w:val="hybridMultilevel"/>
    <w:tmpl w:val="14BE2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A261EC"/>
    <w:multiLevelType w:val="hybridMultilevel"/>
    <w:tmpl w:val="A704B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095FC0"/>
    <w:multiLevelType w:val="hybridMultilevel"/>
    <w:tmpl w:val="36DE34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78B5E64"/>
    <w:multiLevelType w:val="hybridMultilevel"/>
    <w:tmpl w:val="DD44F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5C3AF4"/>
    <w:multiLevelType w:val="hybridMultilevel"/>
    <w:tmpl w:val="6DA6D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046559"/>
    <w:multiLevelType w:val="multilevel"/>
    <w:tmpl w:val="AF586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3527D4"/>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81606"/>
    <w:multiLevelType w:val="hybridMultilevel"/>
    <w:tmpl w:val="4C1C561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6">
    <w:nsid w:val="4E206862"/>
    <w:multiLevelType w:val="hybridMultilevel"/>
    <w:tmpl w:val="8A3A5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174EE2"/>
    <w:multiLevelType w:val="hybridMultilevel"/>
    <w:tmpl w:val="EC12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285930"/>
    <w:multiLevelType w:val="hybridMultilevel"/>
    <w:tmpl w:val="8C6CAAA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60183330"/>
    <w:multiLevelType w:val="multilevel"/>
    <w:tmpl w:val="FBACB3EC"/>
    <w:lvl w:ilvl="0">
      <w:start w:val="3"/>
      <w:numFmt w:val="decimal"/>
      <w:lvlText w:val="%1"/>
      <w:lvlJc w:val="left"/>
      <w:pPr>
        <w:ind w:left="600" w:hanging="600"/>
      </w:pPr>
      <w:rPr>
        <w:rFonts w:eastAsiaTheme="minorEastAsia" w:hint="default"/>
        <w:b w:val="0"/>
      </w:rPr>
    </w:lvl>
    <w:lvl w:ilvl="1">
      <w:start w:val="8"/>
      <w:numFmt w:val="decimal"/>
      <w:lvlText w:val="%1.%2"/>
      <w:lvlJc w:val="left"/>
      <w:pPr>
        <w:ind w:left="600" w:hanging="600"/>
      </w:pPr>
      <w:rPr>
        <w:rFonts w:eastAsiaTheme="minorEastAsia" w:hint="default"/>
        <w:b w:val="0"/>
      </w:rPr>
    </w:lvl>
    <w:lvl w:ilvl="2">
      <w:start w:val="10"/>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30">
    <w:nsid w:val="67CB22EE"/>
    <w:multiLevelType w:val="hybridMultilevel"/>
    <w:tmpl w:val="DB087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6F1CDC"/>
    <w:multiLevelType w:val="hybridMultilevel"/>
    <w:tmpl w:val="AEDE2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3F303C"/>
    <w:multiLevelType w:val="hybridMultilevel"/>
    <w:tmpl w:val="74C666E2"/>
    <w:lvl w:ilvl="0">
      <w:start w:val="1"/>
      <w:numFmt w:val="bullet"/>
      <w:lvlText w:val=""/>
      <w:lvlJc w:val="left"/>
      <w:pPr>
        <w:ind w:left="1035" w:hanging="360"/>
      </w:pPr>
      <w:rPr>
        <w:rFonts w:ascii="Symbol" w:hAnsi="Symbol" w:hint="default"/>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3">
    <w:nsid w:val="70A36D3F"/>
    <w:multiLevelType w:val="hybridMultilevel"/>
    <w:tmpl w:val="9D80B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7985F0E"/>
    <w:multiLevelType w:val="hybridMultilevel"/>
    <w:tmpl w:val="D77A1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A71174"/>
    <w:multiLevelType w:val="hybridMultilevel"/>
    <w:tmpl w:val="81449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94B7F43"/>
    <w:multiLevelType w:val="hybridMultilevel"/>
    <w:tmpl w:val="0DD02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FB6493"/>
    <w:multiLevelType w:val="hybridMultilevel"/>
    <w:tmpl w:val="743CB92A"/>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38">
    <w:nsid w:val="7A491B10"/>
    <w:multiLevelType w:val="multilevel"/>
    <w:tmpl w:val="8056EA1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4147E"/>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1377DC"/>
    <w:multiLevelType w:val="multilevel"/>
    <w:tmpl w:val="3E12BB4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b w:val="0"/>
        <w:bCs/>
        <w:i w:val="0"/>
        <w:iCs/>
      </w:rPr>
    </w:lvl>
    <w:lvl w:ilvl="2">
      <w:start w:val="1"/>
      <w:numFmt w:val="decimal"/>
      <w:pStyle w:val="Heading3"/>
      <w:isLgl/>
      <w:lvlText w:val="%1.%2.%3."/>
      <w:lvlJc w:val="left"/>
      <w:pPr>
        <w:ind w:left="720" w:hanging="720"/>
      </w:pPr>
      <w:rPr>
        <w:b w:val="0"/>
        <w:bCs/>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E1412E9"/>
    <w:multiLevelType w:val="hybridMultilevel"/>
    <w:tmpl w:val="31981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240718"/>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5858D3"/>
    <w:multiLevelType w:val="multilevel"/>
    <w:tmpl w:val="3154E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1498">
    <w:abstractNumId w:val="9"/>
  </w:num>
  <w:num w:numId="2" w16cid:durableId="85151804">
    <w:abstractNumId w:val="27"/>
  </w:num>
  <w:num w:numId="3" w16cid:durableId="43138843">
    <w:abstractNumId w:val="43"/>
  </w:num>
  <w:num w:numId="4" w16cid:durableId="972563184">
    <w:abstractNumId w:val="31"/>
  </w:num>
  <w:num w:numId="5" w16cid:durableId="2003579839">
    <w:abstractNumId w:val="41"/>
  </w:num>
  <w:num w:numId="6" w16cid:durableId="894004383">
    <w:abstractNumId w:val="6"/>
  </w:num>
  <w:num w:numId="7" w16cid:durableId="595947780">
    <w:abstractNumId w:val="22"/>
  </w:num>
  <w:num w:numId="8" w16cid:durableId="366099551">
    <w:abstractNumId w:val="18"/>
  </w:num>
  <w:num w:numId="9" w16cid:durableId="444617107">
    <w:abstractNumId w:val="10"/>
  </w:num>
  <w:num w:numId="10" w16cid:durableId="155149386">
    <w:abstractNumId w:val="11"/>
  </w:num>
  <w:num w:numId="11" w16cid:durableId="1942756044">
    <w:abstractNumId w:val="42"/>
  </w:num>
  <w:num w:numId="12" w16cid:durableId="1987856263">
    <w:abstractNumId w:val="24"/>
  </w:num>
  <w:num w:numId="13" w16cid:durableId="1616912533">
    <w:abstractNumId w:val="39"/>
  </w:num>
  <w:num w:numId="14" w16cid:durableId="64453525">
    <w:abstractNumId w:val="0"/>
  </w:num>
  <w:num w:numId="15" w16cid:durableId="943153005">
    <w:abstractNumId w:val="4"/>
  </w:num>
  <w:num w:numId="16" w16cid:durableId="1622415045">
    <w:abstractNumId w:val="5"/>
  </w:num>
  <w:num w:numId="17" w16cid:durableId="1307080051">
    <w:abstractNumId w:val="3"/>
  </w:num>
  <w:num w:numId="18" w16cid:durableId="1396122358">
    <w:abstractNumId w:val="30"/>
  </w:num>
  <w:num w:numId="19" w16cid:durableId="1325625309">
    <w:abstractNumId w:val="13"/>
  </w:num>
  <w:num w:numId="20" w16cid:durableId="902908871">
    <w:abstractNumId w:val="33"/>
  </w:num>
  <w:num w:numId="21" w16cid:durableId="295263085">
    <w:abstractNumId w:val="8"/>
  </w:num>
  <w:num w:numId="22" w16cid:durableId="1142576537">
    <w:abstractNumId w:val="35"/>
  </w:num>
  <w:num w:numId="23" w16cid:durableId="1409881205">
    <w:abstractNumId w:val="12"/>
  </w:num>
  <w:num w:numId="24" w16cid:durableId="1102795427">
    <w:abstractNumId w:val="26"/>
  </w:num>
  <w:num w:numId="25" w16cid:durableId="218978377">
    <w:abstractNumId w:val="37"/>
  </w:num>
  <w:num w:numId="26" w16cid:durableId="1488790065">
    <w:abstractNumId w:val="16"/>
  </w:num>
  <w:num w:numId="27" w16cid:durableId="458232951">
    <w:abstractNumId w:val="17"/>
  </w:num>
  <w:num w:numId="28" w16cid:durableId="331837839">
    <w:abstractNumId w:val="19"/>
  </w:num>
  <w:num w:numId="29" w16cid:durableId="686492403">
    <w:abstractNumId w:val="36"/>
  </w:num>
  <w:num w:numId="30" w16cid:durableId="568731977">
    <w:abstractNumId w:val="15"/>
  </w:num>
  <w:num w:numId="31" w16cid:durableId="821047585">
    <w:abstractNumId w:val="25"/>
  </w:num>
  <w:num w:numId="32" w16cid:durableId="1092819979">
    <w:abstractNumId w:val="32"/>
  </w:num>
  <w:num w:numId="33" w16cid:durableId="589699686">
    <w:abstractNumId w:val="34"/>
  </w:num>
  <w:num w:numId="34" w16cid:durableId="287516843">
    <w:abstractNumId w:val="14"/>
  </w:num>
  <w:num w:numId="35" w16cid:durableId="452990044">
    <w:abstractNumId w:val="2"/>
  </w:num>
  <w:num w:numId="36" w16cid:durableId="821315089">
    <w:abstractNumId w:val="1"/>
  </w:num>
  <w:num w:numId="37" w16cid:durableId="923611490">
    <w:abstractNumId w:val="38"/>
  </w:num>
  <w:num w:numId="38" w16cid:durableId="963119398">
    <w:abstractNumId w:val="20"/>
  </w:num>
  <w:num w:numId="39" w16cid:durableId="1633438425">
    <w:abstractNumId w:val="28"/>
  </w:num>
  <w:num w:numId="40" w16cid:durableId="15345410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3137011">
    <w:abstractNumId w:val="40"/>
    <w:lvlOverride w:ilvl="0">
      <w:startOverride w:val="3"/>
    </w:lvlOverride>
    <w:lvlOverride w:ilvl="1">
      <w:startOverride w:val="7"/>
    </w:lvlOverride>
  </w:num>
  <w:num w:numId="42" w16cid:durableId="2101945263">
    <w:abstractNumId w:val="21"/>
  </w:num>
  <w:num w:numId="43" w16cid:durableId="1188106691">
    <w:abstractNumId w:val="23"/>
  </w:num>
  <w:num w:numId="44" w16cid:durableId="1901478818">
    <w:abstractNumId w:val="40"/>
    <w:lvlOverride w:ilvl="0">
      <w:startOverride w:val="3"/>
    </w:lvlOverride>
    <w:lvlOverride w:ilvl="1">
      <w:startOverride w:val="3"/>
    </w:lvlOverride>
    <w:lvlOverride w:ilvl="2">
      <w:startOverride w:val="1"/>
    </w:lvlOverride>
  </w:num>
  <w:num w:numId="45" w16cid:durableId="1511022228">
    <w:abstractNumId w:val="29"/>
  </w:num>
  <w:num w:numId="46" w16cid:durableId="314115497">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17"/>
    <w:rsid w:val="00000090"/>
    <w:rsid w:val="00000192"/>
    <w:rsid w:val="000001A9"/>
    <w:rsid w:val="000001EC"/>
    <w:rsid w:val="000002A8"/>
    <w:rsid w:val="00000464"/>
    <w:rsid w:val="0000047F"/>
    <w:rsid w:val="00000521"/>
    <w:rsid w:val="0000055E"/>
    <w:rsid w:val="00000560"/>
    <w:rsid w:val="00000564"/>
    <w:rsid w:val="00000588"/>
    <w:rsid w:val="000005BB"/>
    <w:rsid w:val="0000067A"/>
    <w:rsid w:val="000006D1"/>
    <w:rsid w:val="00000727"/>
    <w:rsid w:val="00000848"/>
    <w:rsid w:val="000008D5"/>
    <w:rsid w:val="00000962"/>
    <w:rsid w:val="0000096D"/>
    <w:rsid w:val="00000990"/>
    <w:rsid w:val="00000998"/>
    <w:rsid w:val="00000AB8"/>
    <w:rsid w:val="00000AC8"/>
    <w:rsid w:val="00000B59"/>
    <w:rsid w:val="00000BD2"/>
    <w:rsid w:val="00000D2F"/>
    <w:rsid w:val="00000EC0"/>
    <w:rsid w:val="00000F0A"/>
    <w:rsid w:val="00000F53"/>
    <w:rsid w:val="00000F68"/>
    <w:rsid w:val="00000F6D"/>
    <w:rsid w:val="00000F83"/>
    <w:rsid w:val="0000108A"/>
    <w:rsid w:val="000010BA"/>
    <w:rsid w:val="0000112E"/>
    <w:rsid w:val="0000118B"/>
    <w:rsid w:val="000011F7"/>
    <w:rsid w:val="0000123A"/>
    <w:rsid w:val="00001242"/>
    <w:rsid w:val="0000128A"/>
    <w:rsid w:val="00001320"/>
    <w:rsid w:val="00001354"/>
    <w:rsid w:val="000013A5"/>
    <w:rsid w:val="000013A7"/>
    <w:rsid w:val="00001560"/>
    <w:rsid w:val="00001566"/>
    <w:rsid w:val="0000159C"/>
    <w:rsid w:val="000015AF"/>
    <w:rsid w:val="00001656"/>
    <w:rsid w:val="00001668"/>
    <w:rsid w:val="0000168D"/>
    <w:rsid w:val="0000169A"/>
    <w:rsid w:val="000016E8"/>
    <w:rsid w:val="00001762"/>
    <w:rsid w:val="0000177E"/>
    <w:rsid w:val="00001851"/>
    <w:rsid w:val="0000188C"/>
    <w:rsid w:val="000018F0"/>
    <w:rsid w:val="00001955"/>
    <w:rsid w:val="000019D4"/>
    <w:rsid w:val="000019E4"/>
    <w:rsid w:val="00001A27"/>
    <w:rsid w:val="00001A38"/>
    <w:rsid w:val="00001A87"/>
    <w:rsid w:val="00001B6C"/>
    <w:rsid w:val="00001C1F"/>
    <w:rsid w:val="00001D84"/>
    <w:rsid w:val="00001DE3"/>
    <w:rsid w:val="00001F44"/>
    <w:rsid w:val="00001FB5"/>
    <w:rsid w:val="000020A1"/>
    <w:rsid w:val="000020AB"/>
    <w:rsid w:val="000021A6"/>
    <w:rsid w:val="0000232E"/>
    <w:rsid w:val="00002330"/>
    <w:rsid w:val="000023B9"/>
    <w:rsid w:val="000023C8"/>
    <w:rsid w:val="00002404"/>
    <w:rsid w:val="00002487"/>
    <w:rsid w:val="0000249A"/>
    <w:rsid w:val="00002511"/>
    <w:rsid w:val="0000261E"/>
    <w:rsid w:val="000026EA"/>
    <w:rsid w:val="000027C3"/>
    <w:rsid w:val="00002870"/>
    <w:rsid w:val="000028CF"/>
    <w:rsid w:val="00002A0D"/>
    <w:rsid w:val="00002A1E"/>
    <w:rsid w:val="00002A47"/>
    <w:rsid w:val="00002BD2"/>
    <w:rsid w:val="00002C38"/>
    <w:rsid w:val="00002C3F"/>
    <w:rsid w:val="00002DFD"/>
    <w:rsid w:val="00002E00"/>
    <w:rsid w:val="00002E20"/>
    <w:rsid w:val="00002E2E"/>
    <w:rsid w:val="00002EA9"/>
    <w:rsid w:val="00002ECE"/>
    <w:rsid w:val="00002EE4"/>
    <w:rsid w:val="00002F4B"/>
    <w:rsid w:val="00002F67"/>
    <w:rsid w:val="00002F68"/>
    <w:rsid w:val="000030BA"/>
    <w:rsid w:val="00003107"/>
    <w:rsid w:val="00003126"/>
    <w:rsid w:val="00003146"/>
    <w:rsid w:val="0000317B"/>
    <w:rsid w:val="00003191"/>
    <w:rsid w:val="00003294"/>
    <w:rsid w:val="000032F4"/>
    <w:rsid w:val="00003373"/>
    <w:rsid w:val="00003494"/>
    <w:rsid w:val="000034AD"/>
    <w:rsid w:val="0000358D"/>
    <w:rsid w:val="000036A0"/>
    <w:rsid w:val="000036D4"/>
    <w:rsid w:val="000037AB"/>
    <w:rsid w:val="00003830"/>
    <w:rsid w:val="00003841"/>
    <w:rsid w:val="000038A3"/>
    <w:rsid w:val="000038C6"/>
    <w:rsid w:val="00003B24"/>
    <w:rsid w:val="00003C09"/>
    <w:rsid w:val="00003C6F"/>
    <w:rsid w:val="00003D9C"/>
    <w:rsid w:val="00003EBE"/>
    <w:rsid w:val="00003EC3"/>
    <w:rsid w:val="00003FDD"/>
    <w:rsid w:val="00004051"/>
    <w:rsid w:val="000040AE"/>
    <w:rsid w:val="000040C5"/>
    <w:rsid w:val="000040D8"/>
    <w:rsid w:val="000041DF"/>
    <w:rsid w:val="00004213"/>
    <w:rsid w:val="00004246"/>
    <w:rsid w:val="000042E3"/>
    <w:rsid w:val="0000432D"/>
    <w:rsid w:val="00004435"/>
    <w:rsid w:val="0000452B"/>
    <w:rsid w:val="000045C8"/>
    <w:rsid w:val="000046A0"/>
    <w:rsid w:val="0000473E"/>
    <w:rsid w:val="000047D3"/>
    <w:rsid w:val="000048CF"/>
    <w:rsid w:val="00004988"/>
    <w:rsid w:val="00004A40"/>
    <w:rsid w:val="00004A6D"/>
    <w:rsid w:val="00004AD2"/>
    <w:rsid w:val="00004BAF"/>
    <w:rsid w:val="00004CB0"/>
    <w:rsid w:val="00004CCB"/>
    <w:rsid w:val="00004D57"/>
    <w:rsid w:val="00004D5D"/>
    <w:rsid w:val="00004D69"/>
    <w:rsid w:val="00004E32"/>
    <w:rsid w:val="00004E45"/>
    <w:rsid w:val="00004E89"/>
    <w:rsid w:val="00004EE8"/>
    <w:rsid w:val="00004EF6"/>
    <w:rsid w:val="00004F11"/>
    <w:rsid w:val="00004F68"/>
    <w:rsid w:val="00004F7C"/>
    <w:rsid w:val="00004FE2"/>
    <w:rsid w:val="000050AE"/>
    <w:rsid w:val="00005156"/>
    <w:rsid w:val="00005160"/>
    <w:rsid w:val="0000529C"/>
    <w:rsid w:val="0000544A"/>
    <w:rsid w:val="0000544F"/>
    <w:rsid w:val="0000550D"/>
    <w:rsid w:val="000055C1"/>
    <w:rsid w:val="00005604"/>
    <w:rsid w:val="000056D0"/>
    <w:rsid w:val="00005830"/>
    <w:rsid w:val="0000583C"/>
    <w:rsid w:val="00005851"/>
    <w:rsid w:val="00005885"/>
    <w:rsid w:val="0000588E"/>
    <w:rsid w:val="000058D2"/>
    <w:rsid w:val="00005A63"/>
    <w:rsid w:val="00005A69"/>
    <w:rsid w:val="00005A7F"/>
    <w:rsid w:val="00005AB3"/>
    <w:rsid w:val="00005B2F"/>
    <w:rsid w:val="00005B66"/>
    <w:rsid w:val="00005B6C"/>
    <w:rsid w:val="00005B7F"/>
    <w:rsid w:val="00005BEC"/>
    <w:rsid w:val="00005C40"/>
    <w:rsid w:val="00005D2F"/>
    <w:rsid w:val="00005E21"/>
    <w:rsid w:val="00005F30"/>
    <w:rsid w:val="00005F31"/>
    <w:rsid w:val="00005F74"/>
    <w:rsid w:val="00005F79"/>
    <w:rsid w:val="00006087"/>
    <w:rsid w:val="00006179"/>
    <w:rsid w:val="000061D0"/>
    <w:rsid w:val="000062F4"/>
    <w:rsid w:val="000063BC"/>
    <w:rsid w:val="000065EB"/>
    <w:rsid w:val="00006621"/>
    <w:rsid w:val="00006783"/>
    <w:rsid w:val="00006838"/>
    <w:rsid w:val="00006868"/>
    <w:rsid w:val="000068B9"/>
    <w:rsid w:val="00006945"/>
    <w:rsid w:val="000069B3"/>
    <w:rsid w:val="00006A08"/>
    <w:rsid w:val="00006B3D"/>
    <w:rsid w:val="00006BB1"/>
    <w:rsid w:val="00006CE2"/>
    <w:rsid w:val="00006D23"/>
    <w:rsid w:val="00006DC9"/>
    <w:rsid w:val="00006DE7"/>
    <w:rsid w:val="00006E6F"/>
    <w:rsid w:val="00006F37"/>
    <w:rsid w:val="00006FF1"/>
    <w:rsid w:val="0000715C"/>
    <w:rsid w:val="00007192"/>
    <w:rsid w:val="00007290"/>
    <w:rsid w:val="000072C5"/>
    <w:rsid w:val="000072FC"/>
    <w:rsid w:val="00007305"/>
    <w:rsid w:val="00007383"/>
    <w:rsid w:val="00007498"/>
    <w:rsid w:val="00007596"/>
    <w:rsid w:val="0000772D"/>
    <w:rsid w:val="00007785"/>
    <w:rsid w:val="000077E1"/>
    <w:rsid w:val="0000787F"/>
    <w:rsid w:val="000078E5"/>
    <w:rsid w:val="00007923"/>
    <w:rsid w:val="00007990"/>
    <w:rsid w:val="000079D7"/>
    <w:rsid w:val="00007A0B"/>
    <w:rsid w:val="00007A6E"/>
    <w:rsid w:val="00007AA0"/>
    <w:rsid w:val="00007C43"/>
    <w:rsid w:val="00007C4D"/>
    <w:rsid w:val="00007C8A"/>
    <w:rsid w:val="00007E3D"/>
    <w:rsid w:val="00007F79"/>
    <w:rsid w:val="00010129"/>
    <w:rsid w:val="00010246"/>
    <w:rsid w:val="000102A4"/>
    <w:rsid w:val="0001031F"/>
    <w:rsid w:val="000104C6"/>
    <w:rsid w:val="000104F4"/>
    <w:rsid w:val="000105EF"/>
    <w:rsid w:val="00010603"/>
    <w:rsid w:val="0001070F"/>
    <w:rsid w:val="00010726"/>
    <w:rsid w:val="000107C9"/>
    <w:rsid w:val="000107DF"/>
    <w:rsid w:val="000107F8"/>
    <w:rsid w:val="00010850"/>
    <w:rsid w:val="00010899"/>
    <w:rsid w:val="000109BA"/>
    <w:rsid w:val="00010A25"/>
    <w:rsid w:val="00010A32"/>
    <w:rsid w:val="00010A5F"/>
    <w:rsid w:val="00010B1C"/>
    <w:rsid w:val="00010B35"/>
    <w:rsid w:val="00010BCB"/>
    <w:rsid w:val="00010C59"/>
    <w:rsid w:val="00010C5B"/>
    <w:rsid w:val="00010C8E"/>
    <w:rsid w:val="00010ED3"/>
    <w:rsid w:val="00010F54"/>
    <w:rsid w:val="00011024"/>
    <w:rsid w:val="00011038"/>
    <w:rsid w:val="00011081"/>
    <w:rsid w:val="00011090"/>
    <w:rsid w:val="000110A5"/>
    <w:rsid w:val="000110DB"/>
    <w:rsid w:val="000110FB"/>
    <w:rsid w:val="00011128"/>
    <w:rsid w:val="000111C0"/>
    <w:rsid w:val="000111C5"/>
    <w:rsid w:val="000112AA"/>
    <w:rsid w:val="000112F7"/>
    <w:rsid w:val="000113B9"/>
    <w:rsid w:val="00011432"/>
    <w:rsid w:val="0001145F"/>
    <w:rsid w:val="000114F9"/>
    <w:rsid w:val="000115BE"/>
    <w:rsid w:val="0001167E"/>
    <w:rsid w:val="00011703"/>
    <w:rsid w:val="0001170C"/>
    <w:rsid w:val="00011749"/>
    <w:rsid w:val="00011767"/>
    <w:rsid w:val="000117EF"/>
    <w:rsid w:val="000118A7"/>
    <w:rsid w:val="000118CC"/>
    <w:rsid w:val="000118E6"/>
    <w:rsid w:val="00011A62"/>
    <w:rsid w:val="00011A75"/>
    <w:rsid w:val="00011AB5"/>
    <w:rsid w:val="00011ABC"/>
    <w:rsid w:val="00011B8F"/>
    <w:rsid w:val="00011BDB"/>
    <w:rsid w:val="00011BE0"/>
    <w:rsid w:val="00011C1E"/>
    <w:rsid w:val="00011C2D"/>
    <w:rsid w:val="00011CF0"/>
    <w:rsid w:val="00011DB9"/>
    <w:rsid w:val="00011EF7"/>
    <w:rsid w:val="00011F9C"/>
    <w:rsid w:val="00011FF4"/>
    <w:rsid w:val="00012012"/>
    <w:rsid w:val="0001203E"/>
    <w:rsid w:val="000120A3"/>
    <w:rsid w:val="00012156"/>
    <w:rsid w:val="0001222A"/>
    <w:rsid w:val="0001222D"/>
    <w:rsid w:val="00012335"/>
    <w:rsid w:val="0001243C"/>
    <w:rsid w:val="000124CF"/>
    <w:rsid w:val="000127C3"/>
    <w:rsid w:val="00012917"/>
    <w:rsid w:val="000129AB"/>
    <w:rsid w:val="000129F7"/>
    <w:rsid w:val="00012A14"/>
    <w:rsid w:val="00012A53"/>
    <w:rsid w:val="00012AE9"/>
    <w:rsid w:val="00012AF0"/>
    <w:rsid w:val="00012B11"/>
    <w:rsid w:val="00012BD2"/>
    <w:rsid w:val="00012C8E"/>
    <w:rsid w:val="00012CD3"/>
    <w:rsid w:val="00012D39"/>
    <w:rsid w:val="00012DB7"/>
    <w:rsid w:val="00012EDB"/>
    <w:rsid w:val="00012FD2"/>
    <w:rsid w:val="000130D2"/>
    <w:rsid w:val="000130F1"/>
    <w:rsid w:val="00013220"/>
    <w:rsid w:val="00013506"/>
    <w:rsid w:val="0001352D"/>
    <w:rsid w:val="00013560"/>
    <w:rsid w:val="000135A5"/>
    <w:rsid w:val="00013631"/>
    <w:rsid w:val="0001369E"/>
    <w:rsid w:val="0001371B"/>
    <w:rsid w:val="00013782"/>
    <w:rsid w:val="00013819"/>
    <w:rsid w:val="0001381C"/>
    <w:rsid w:val="0001390D"/>
    <w:rsid w:val="00013998"/>
    <w:rsid w:val="00013B97"/>
    <w:rsid w:val="00013BE2"/>
    <w:rsid w:val="00013BF5"/>
    <w:rsid w:val="00013CFB"/>
    <w:rsid w:val="00013EFE"/>
    <w:rsid w:val="00013F91"/>
    <w:rsid w:val="00014002"/>
    <w:rsid w:val="000140D3"/>
    <w:rsid w:val="00014121"/>
    <w:rsid w:val="00014137"/>
    <w:rsid w:val="000142BB"/>
    <w:rsid w:val="0001434A"/>
    <w:rsid w:val="000143B7"/>
    <w:rsid w:val="00014480"/>
    <w:rsid w:val="000144B9"/>
    <w:rsid w:val="000144C7"/>
    <w:rsid w:val="000144F5"/>
    <w:rsid w:val="00014505"/>
    <w:rsid w:val="000145C6"/>
    <w:rsid w:val="000145E1"/>
    <w:rsid w:val="000145E7"/>
    <w:rsid w:val="000146DE"/>
    <w:rsid w:val="00014743"/>
    <w:rsid w:val="000147EE"/>
    <w:rsid w:val="0001481B"/>
    <w:rsid w:val="000148FE"/>
    <w:rsid w:val="00014972"/>
    <w:rsid w:val="000149F6"/>
    <w:rsid w:val="00014CDB"/>
    <w:rsid w:val="00014E6C"/>
    <w:rsid w:val="00014EAF"/>
    <w:rsid w:val="00014EC7"/>
    <w:rsid w:val="00014ED6"/>
    <w:rsid w:val="00014F49"/>
    <w:rsid w:val="00014FA9"/>
    <w:rsid w:val="00014FB9"/>
    <w:rsid w:val="00014FCF"/>
    <w:rsid w:val="00015019"/>
    <w:rsid w:val="000150A5"/>
    <w:rsid w:val="000150CB"/>
    <w:rsid w:val="0001517C"/>
    <w:rsid w:val="0001519A"/>
    <w:rsid w:val="000151DE"/>
    <w:rsid w:val="0001525A"/>
    <w:rsid w:val="000152EC"/>
    <w:rsid w:val="000152F2"/>
    <w:rsid w:val="0001530E"/>
    <w:rsid w:val="00015370"/>
    <w:rsid w:val="000153D3"/>
    <w:rsid w:val="0001541E"/>
    <w:rsid w:val="00015467"/>
    <w:rsid w:val="00015469"/>
    <w:rsid w:val="000154F9"/>
    <w:rsid w:val="00015626"/>
    <w:rsid w:val="00015631"/>
    <w:rsid w:val="000156FB"/>
    <w:rsid w:val="000157BB"/>
    <w:rsid w:val="000158C3"/>
    <w:rsid w:val="000158DE"/>
    <w:rsid w:val="000158E7"/>
    <w:rsid w:val="000159F8"/>
    <w:rsid w:val="00015AC7"/>
    <w:rsid w:val="00015AF2"/>
    <w:rsid w:val="00015BCA"/>
    <w:rsid w:val="00015BDA"/>
    <w:rsid w:val="00015DF0"/>
    <w:rsid w:val="00015E71"/>
    <w:rsid w:val="00015F23"/>
    <w:rsid w:val="00015F48"/>
    <w:rsid w:val="00015F90"/>
    <w:rsid w:val="0001606A"/>
    <w:rsid w:val="000160FB"/>
    <w:rsid w:val="0001610F"/>
    <w:rsid w:val="0001611D"/>
    <w:rsid w:val="00016144"/>
    <w:rsid w:val="00016178"/>
    <w:rsid w:val="00016283"/>
    <w:rsid w:val="000162B0"/>
    <w:rsid w:val="0001633F"/>
    <w:rsid w:val="0001635C"/>
    <w:rsid w:val="000163C8"/>
    <w:rsid w:val="0001644C"/>
    <w:rsid w:val="0001652C"/>
    <w:rsid w:val="000165D3"/>
    <w:rsid w:val="00016603"/>
    <w:rsid w:val="000166A7"/>
    <w:rsid w:val="000167C2"/>
    <w:rsid w:val="0001683B"/>
    <w:rsid w:val="00016967"/>
    <w:rsid w:val="00016A40"/>
    <w:rsid w:val="00016A67"/>
    <w:rsid w:val="00016AAF"/>
    <w:rsid w:val="00016AC4"/>
    <w:rsid w:val="00016B20"/>
    <w:rsid w:val="00016C98"/>
    <w:rsid w:val="00016D49"/>
    <w:rsid w:val="00016D98"/>
    <w:rsid w:val="00016E10"/>
    <w:rsid w:val="00016E1D"/>
    <w:rsid w:val="00016E2E"/>
    <w:rsid w:val="00016E6F"/>
    <w:rsid w:val="00016EA3"/>
    <w:rsid w:val="00016EAE"/>
    <w:rsid w:val="00016EB6"/>
    <w:rsid w:val="00016F93"/>
    <w:rsid w:val="00016FA1"/>
    <w:rsid w:val="00016FB8"/>
    <w:rsid w:val="00017086"/>
    <w:rsid w:val="000170C4"/>
    <w:rsid w:val="000170FD"/>
    <w:rsid w:val="0001717B"/>
    <w:rsid w:val="000171BE"/>
    <w:rsid w:val="0001723C"/>
    <w:rsid w:val="00017455"/>
    <w:rsid w:val="000174CF"/>
    <w:rsid w:val="00017570"/>
    <w:rsid w:val="000175CC"/>
    <w:rsid w:val="0001766D"/>
    <w:rsid w:val="00017694"/>
    <w:rsid w:val="00017876"/>
    <w:rsid w:val="000178DD"/>
    <w:rsid w:val="0001790F"/>
    <w:rsid w:val="000179BD"/>
    <w:rsid w:val="00017C2B"/>
    <w:rsid w:val="00017CE9"/>
    <w:rsid w:val="00017D1E"/>
    <w:rsid w:val="00017DC7"/>
    <w:rsid w:val="00017E45"/>
    <w:rsid w:val="00017E5A"/>
    <w:rsid w:val="00017EDA"/>
    <w:rsid w:val="00017EDB"/>
    <w:rsid w:val="00017F2B"/>
    <w:rsid w:val="00017F39"/>
    <w:rsid w:val="00017FE7"/>
    <w:rsid w:val="00017FF8"/>
    <w:rsid w:val="00020096"/>
    <w:rsid w:val="000200C1"/>
    <w:rsid w:val="00020335"/>
    <w:rsid w:val="00020353"/>
    <w:rsid w:val="000203BE"/>
    <w:rsid w:val="000203ED"/>
    <w:rsid w:val="00020493"/>
    <w:rsid w:val="00020501"/>
    <w:rsid w:val="000206DE"/>
    <w:rsid w:val="000206E6"/>
    <w:rsid w:val="00020719"/>
    <w:rsid w:val="00020732"/>
    <w:rsid w:val="00020765"/>
    <w:rsid w:val="000207D3"/>
    <w:rsid w:val="000207DD"/>
    <w:rsid w:val="00020818"/>
    <w:rsid w:val="0002085E"/>
    <w:rsid w:val="000208D7"/>
    <w:rsid w:val="00020A74"/>
    <w:rsid w:val="00020A98"/>
    <w:rsid w:val="00020AF8"/>
    <w:rsid w:val="00020B08"/>
    <w:rsid w:val="00020C2C"/>
    <w:rsid w:val="00020C71"/>
    <w:rsid w:val="00020C79"/>
    <w:rsid w:val="00020D5D"/>
    <w:rsid w:val="00020D69"/>
    <w:rsid w:val="00020E22"/>
    <w:rsid w:val="00020EDF"/>
    <w:rsid w:val="00020FD0"/>
    <w:rsid w:val="0002105F"/>
    <w:rsid w:val="00021093"/>
    <w:rsid w:val="000211FB"/>
    <w:rsid w:val="000212E3"/>
    <w:rsid w:val="00021338"/>
    <w:rsid w:val="0002137A"/>
    <w:rsid w:val="00021415"/>
    <w:rsid w:val="00021452"/>
    <w:rsid w:val="0002146C"/>
    <w:rsid w:val="000215AB"/>
    <w:rsid w:val="000216E1"/>
    <w:rsid w:val="00021725"/>
    <w:rsid w:val="0002175D"/>
    <w:rsid w:val="00021820"/>
    <w:rsid w:val="000219C9"/>
    <w:rsid w:val="000219F8"/>
    <w:rsid w:val="00021A97"/>
    <w:rsid w:val="00021C62"/>
    <w:rsid w:val="00021CE7"/>
    <w:rsid w:val="00021CF9"/>
    <w:rsid w:val="00021DBA"/>
    <w:rsid w:val="00021E47"/>
    <w:rsid w:val="00021F66"/>
    <w:rsid w:val="00022039"/>
    <w:rsid w:val="00022079"/>
    <w:rsid w:val="00022081"/>
    <w:rsid w:val="000220D4"/>
    <w:rsid w:val="000221D1"/>
    <w:rsid w:val="000222BE"/>
    <w:rsid w:val="000222F4"/>
    <w:rsid w:val="00022373"/>
    <w:rsid w:val="00022374"/>
    <w:rsid w:val="000224EF"/>
    <w:rsid w:val="00022531"/>
    <w:rsid w:val="0002254F"/>
    <w:rsid w:val="00022594"/>
    <w:rsid w:val="000225EA"/>
    <w:rsid w:val="0002263F"/>
    <w:rsid w:val="00022720"/>
    <w:rsid w:val="00022726"/>
    <w:rsid w:val="000227F3"/>
    <w:rsid w:val="00022888"/>
    <w:rsid w:val="0002289A"/>
    <w:rsid w:val="0002289B"/>
    <w:rsid w:val="000228B9"/>
    <w:rsid w:val="00022A05"/>
    <w:rsid w:val="00022B58"/>
    <w:rsid w:val="00022B61"/>
    <w:rsid w:val="00022C21"/>
    <w:rsid w:val="00022C25"/>
    <w:rsid w:val="00022C5E"/>
    <w:rsid w:val="00022D43"/>
    <w:rsid w:val="00022D7A"/>
    <w:rsid w:val="00022F2A"/>
    <w:rsid w:val="00022FEA"/>
    <w:rsid w:val="00022FEB"/>
    <w:rsid w:val="00023082"/>
    <w:rsid w:val="00023297"/>
    <w:rsid w:val="00023427"/>
    <w:rsid w:val="000234AB"/>
    <w:rsid w:val="000234ED"/>
    <w:rsid w:val="00023601"/>
    <w:rsid w:val="000236BB"/>
    <w:rsid w:val="0002378E"/>
    <w:rsid w:val="0002382F"/>
    <w:rsid w:val="0002385B"/>
    <w:rsid w:val="0002389A"/>
    <w:rsid w:val="00023A44"/>
    <w:rsid w:val="00023B6C"/>
    <w:rsid w:val="00023C8C"/>
    <w:rsid w:val="00023CA9"/>
    <w:rsid w:val="00023D10"/>
    <w:rsid w:val="00023D25"/>
    <w:rsid w:val="00023E1A"/>
    <w:rsid w:val="00023E72"/>
    <w:rsid w:val="00023EBA"/>
    <w:rsid w:val="00023EFF"/>
    <w:rsid w:val="00023F4B"/>
    <w:rsid w:val="00023FA9"/>
    <w:rsid w:val="00023FC3"/>
    <w:rsid w:val="00024131"/>
    <w:rsid w:val="0002415E"/>
    <w:rsid w:val="00024265"/>
    <w:rsid w:val="000242BC"/>
    <w:rsid w:val="000242C3"/>
    <w:rsid w:val="00024342"/>
    <w:rsid w:val="0002438E"/>
    <w:rsid w:val="000243C0"/>
    <w:rsid w:val="0002447B"/>
    <w:rsid w:val="000244AC"/>
    <w:rsid w:val="000245AF"/>
    <w:rsid w:val="000245E0"/>
    <w:rsid w:val="0002466B"/>
    <w:rsid w:val="0002466E"/>
    <w:rsid w:val="00024675"/>
    <w:rsid w:val="00024723"/>
    <w:rsid w:val="00024764"/>
    <w:rsid w:val="000247FF"/>
    <w:rsid w:val="000248E1"/>
    <w:rsid w:val="00024920"/>
    <w:rsid w:val="00024B1D"/>
    <w:rsid w:val="00024B63"/>
    <w:rsid w:val="00024CD4"/>
    <w:rsid w:val="00024E4A"/>
    <w:rsid w:val="00024EA5"/>
    <w:rsid w:val="00024EF0"/>
    <w:rsid w:val="00024F41"/>
    <w:rsid w:val="00025071"/>
    <w:rsid w:val="000250C7"/>
    <w:rsid w:val="000250FD"/>
    <w:rsid w:val="00025112"/>
    <w:rsid w:val="00025170"/>
    <w:rsid w:val="00025189"/>
    <w:rsid w:val="00025194"/>
    <w:rsid w:val="000252A7"/>
    <w:rsid w:val="000252DC"/>
    <w:rsid w:val="000252E1"/>
    <w:rsid w:val="000252E2"/>
    <w:rsid w:val="00025338"/>
    <w:rsid w:val="0002535F"/>
    <w:rsid w:val="0002551D"/>
    <w:rsid w:val="00025573"/>
    <w:rsid w:val="000257AC"/>
    <w:rsid w:val="000257EB"/>
    <w:rsid w:val="00025809"/>
    <w:rsid w:val="00025833"/>
    <w:rsid w:val="0002585F"/>
    <w:rsid w:val="00025A6A"/>
    <w:rsid w:val="00025C1A"/>
    <w:rsid w:val="00025C5A"/>
    <w:rsid w:val="00025DC0"/>
    <w:rsid w:val="00025DEE"/>
    <w:rsid w:val="00025E80"/>
    <w:rsid w:val="00025EA1"/>
    <w:rsid w:val="00025ED0"/>
    <w:rsid w:val="0002615C"/>
    <w:rsid w:val="0002621C"/>
    <w:rsid w:val="000263AF"/>
    <w:rsid w:val="0002640B"/>
    <w:rsid w:val="00026498"/>
    <w:rsid w:val="000265AF"/>
    <w:rsid w:val="00026751"/>
    <w:rsid w:val="00026760"/>
    <w:rsid w:val="000267D9"/>
    <w:rsid w:val="00026814"/>
    <w:rsid w:val="00026981"/>
    <w:rsid w:val="000269AB"/>
    <w:rsid w:val="000269CC"/>
    <w:rsid w:val="00026A4A"/>
    <w:rsid w:val="00026B2B"/>
    <w:rsid w:val="00026B35"/>
    <w:rsid w:val="00026B63"/>
    <w:rsid w:val="00026C0D"/>
    <w:rsid w:val="00026D04"/>
    <w:rsid w:val="00026D35"/>
    <w:rsid w:val="00026E3F"/>
    <w:rsid w:val="00026ED2"/>
    <w:rsid w:val="00026EF3"/>
    <w:rsid w:val="00026F66"/>
    <w:rsid w:val="00026F88"/>
    <w:rsid w:val="0002705A"/>
    <w:rsid w:val="00027213"/>
    <w:rsid w:val="00027245"/>
    <w:rsid w:val="000272CA"/>
    <w:rsid w:val="00027332"/>
    <w:rsid w:val="000273FE"/>
    <w:rsid w:val="0002746D"/>
    <w:rsid w:val="00027510"/>
    <w:rsid w:val="0002759A"/>
    <w:rsid w:val="00027673"/>
    <w:rsid w:val="000276E3"/>
    <w:rsid w:val="00027767"/>
    <w:rsid w:val="0002783A"/>
    <w:rsid w:val="000278A8"/>
    <w:rsid w:val="00027907"/>
    <w:rsid w:val="00027991"/>
    <w:rsid w:val="0002799A"/>
    <w:rsid w:val="00027ADB"/>
    <w:rsid w:val="00027B6B"/>
    <w:rsid w:val="00027BF3"/>
    <w:rsid w:val="00027C4A"/>
    <w:rsid w:val="00027C4B"/>
    <w:rsid w:val="00027C8D"/>
    <w:rsid w:val="00027CB5"/>
    <w:rsid w:val="00027CC5"/>
    <w:rsid w:val="00027CDA"/>
    <w:rsid w:val="00027D39"/>
    <w:rsid w:val="00027DF2"/>
    <w:rsid w:val="00027E5E"/>
    <w:rsid w:val="00027EC1"/>
    <w:rsid w:val="00027F3B"/>
    <w:rsid w:val="000300C1"/>
    <w:rsid w:val="00030109"/>
    <w:rsid w:val="0003035B"/>
    <w:rsid w:val="0003044D"/>
    <w:rsid w:val="0003064D"/>
    <w:rsid w:val="0003072F"/>
    <w:rsid w:val="0003074F"/>
    <w:rsid w:val="00030819"/>
    <w:rsid w:val="00030942"/>
    <w:rsid w:val="0003096D"/>
    <w:rsid w:val="000309EE"/>
    <w:rsid w:val="00030A32"/>
    <w:rsid w:val="00030AA4"/>
    <w:rsid w:val="00030AED"/>
    <w:rsid w:val="00030B19"/>
    <w:rsid w:val="00030B67"/>
    <w:rsid w:val="00030C3E"/>
    <w:rsid w:val="00030C46"/>
    <w:rsid w:val="00030C9D"/>
    <w:rsid w:val="00030DE0"/>
    <w:rsid w:val="00030F85"/>
    <w:rsid w:val="00031051"/>
    <w:rsid w:val="0003146D"/>
    <w:rsid w:val="0003152B"/>
    <w:rsid w:val="00031545"/>
    <w:rsid w:val="00031638"/>
    <w:rsid w:val="00031816"/>
    <w:rsid w:val="00031818"/>
    <w:rsid w:val="0003191A"/>
    <w:rsid w:val="0003191C"/>
    <w:rsid w:val="00031929"/>
    <w:rsid w:val="000319E2"/>
    <w:rsid w:val="000319E9"/>
    <w:rsid w:val="00031A21"/>
    <w:rsid w:val="00031A27"/>
    <w:rsid w:val="00031A91"/>
    <w:rsid w:val="00031BBF"/>
    <w:rsid w:val="00031C29"/>
    <w:rsid w:val="00031D4F"/>
    <w:rsid w:val="00031D8B"/>
    <w:rsid w:val="00031DB9"/>
    <w:rsid w:val="00031E4A"/>
    <w:rsid w:val="00031ED8"/>
    <w:rsid w:val="00031EF4"/>
    <w:rsid w:val="00031FC4"/>
    <w:rsid w:val="00032088"/>
    <w:rsid w:val="00032091"/>
    <w:rsid w:val="000321B2"/>
    <w:rsid w:val="000321B7"/>
    <w:rsid w:val="00032244"/>
    <w:rsid w:val="00032260"/>
    <w:rsid w:val="000322F1"/>
    <w:rsid w:val="0003233E"/>
    <w:rsid w:val="000323E3"/>
    <w:rsid w:val="00032555"/>
    <w:rsid w:val="00032567"/>
    <w:rsid w:val="0003258C"/>
    <w:rsid w:val="000325C0"/>
    <w:rsid w:val="000326B8"/>
    <w:rsid w:val="000326CB"/>
    <w:rsid w:val="00032732"/>
    <w:rsid w:val="00032736"/>
    <w:rsid w:val="00032741"/>
    <w:rsid w:val="00032795"/>
    <w:rsid w:val="00032875"/>
    <w:rsid w:val="00032892"/>
    <w:rsid w:val="00032962"/>
    <w:rsid w:val="0003297E"/>
    <w:rsid w:val="00032A2D"/>
    <w:rsid w:val="00032B0F"/>
    <w:rsid w:val="00032B27"/>
    <w:rsid w:val="00032C12"/>
    <w:rsid w:val="00032C3A"/>
    <w:rsid w:val="00032CB1"/>
    <w:rsid w:val="00032CCE"/>
    <w:rsid w:val="00032DC6"/>
    <w:rsid w:val="00032DCF"/>
    <w:rsid w:val="00032E0C"/>
    <w:rsid w:val="00032F1B"/>
    <w:rsid w:val="00033007"/>
    <w:rsid w:val="0003304E"/>
    <w:rsid w:val="000330D6"/>
    <w:rsid w:val="000330E2"/>
    <w:rsid w:val="00033155"/>
    <w:rsid w:val="00033170"/>
    <w:rsid w:val="00033184"/>
    <w:rsid w:val="00033217"/>
    <w:rsid w:val="0003322C"/>
    <w:rsid w:val="00033296"/>
    <w:rsid w:val="0003330C"/>
    <w:rsid w:val="0003335C"/>
    <w:rsid w:val="000333E2"/>
    <w:rsid w:val="000333ED"/>
    <w:rsid w:val="00033526"/>
    <w:rsid w:val="00033534"/>
    <w:rsid w:val="00033577"/>
    <w:rsid w:val="000336BF"/>
    <w:rsid w:val="000336FC"/>
    <w:rsid w:val="0003379A"/>
    <w:rsid w:val="000337A0"/>
    <w:rsid w:val="000337F1"/>
    <w:rsid w:val="00033874"/>
    <w:rsid w:val="000338B1"/>
    <w:rsid w:val="000338DD"/>
    <w:rsid w:val="00033925"/>
    <w:rsid w:val="0003392D"/>
    <w:rsid w:val="0003398E"/>
    <w:rsid w:val="00033A39"/>
    <w:rsid w:val="00033ABE"/>
    <w:rsid w:val="00033C12"/>
    <w:rsid w:val="00033D5A"/>
    <w:rsid w:val="00033DB3"/>
    <w:rsid w:val="00033DB8"/>
    <w:rsid w:val="00033DD5"/>
    <w:rsid w:val="00033DFB"/>
    <w:rsid w:val="00033E61"/>
    <w:rsid w:val="00033EAD"/>
    <w:rsid w:val="00033F31"/>
    <w:rsid w:val="000340FC"/>
    <w:rsid w:val="0003411F"/>
    <w:rsid w:val="00034171"/>
    <w:rsid w:val="000341A7"/>
    <w:rsid w:val="000341CA"/>
    <w:rsid w:val="000341D8"/>
    <w:rsid w:val="0003433B"/>
    <w:rsid w:val="000344B3"/>
    <w:rsid w:val="000345A3"/>
    <w:rsid w:val="000345BD"/>
    <w:rsid w:val="00034761"/>
    <w:rsid w:val="000347A7"/>
    <w:rsid w:val="0003490F"/>
    <w:rsid w:val="00034986"/>
    <w:rsid w:val="00034CD2"/>
    <w:rsid w:val="00034D8D"/>
    <w:rsid w:val="00034E7C"/>
    <w:rsid w:val="00034F2E"/>
    <w:rsid w:val="00034FA0"/>
    <w:rsid w:val="00035040"/>
    <w:rsid w:val="00035132"/>
    <w:rsid w:val="000351A6"/>
    <w:rsid w:val="00035382"/>
    <w:rsid w:val="00035497"/>
    <w:rsid w:val="0003552E"/>
    <w:rsid w:val="00035552"/>
    <w:rsid w:val="000356BB"/>
    <w:rsid w:val="000356CB"/>
    <w:rsid w:val="000357A9"/>
    <w:rsid w:val="00035869"/>
    <w:rsid w:val="0003589D"/>
    <w:rsid w:val="000358A6"/>
    <w:rsid w:val="000358C1"/>
    <w:rsid w:val="0003598C"/>
    <w:rsid w:val="00035A29"/>
    <w:rsid w:val="00035AB7"/>
    <w:rsid w:val="00035B4D"/>
    <w:rsid w:val="00035B5C"/>
    <w:rsid w:val="00035BE3"/>
    <w:rsid w:val="00035C7E"/>
    <w:rsid w:val="00035D7E"/>
    <w:rsid w:val="00035E1E"/>
    <w:rsid w:val="00035FAB"/>
    <w:rsid w:val="00035FB5"/>
    <w:rsid w:val="0003601E"/>
    <w:rsid w:val="000360A1"/>
    <w:rsid w:val="00036101"/>
    <w:rsid w:val="000361EB"/>
    <w:rsid w:val="000362B4"/>
    <w:rsid w:val="0003639C"/>
    <w:rsid w:val="000363AE"/>
    <w:rsid w:val="000363AF"/>
    <w:rsid w:val="00036409"/>
    <w:rsid w:val="000364DC"/>
    <w:rsid w:val="000364E1"/>
    <w:rsid w:val="0003650B"/>
    <w:rsid w:val="000365B3"/>
    <w:rsid w:val="00036655"/>
    <w:rsid w:val="00036756"/>
    <w:rsid w:val="000367B3"/>
    <w:rsid w:val="00036870"/>
    <w:rsid w:val="00036890"/>
    <w:rsid w:val="0003694C"/>
    <w:rsid w:val="0003696D"/>
    <w:rsid w:val="000369BF"/>
    <w:rsid w:val="00036A8C"/>
    <w:rsid w:val="00036AAD"/>
    <w:rsid w:val="00036B48"/>
    <w:rsid w:val="00036B6A"/>
    <w:rsid w:val="00036BFD"/>
    <w:rsid w:val="00036C12"/>
    <w:rsid w:val="00036C37"/>
    <w:rsid w:val="00036DD7"/>
    <w:rsid w:val="00036E15"/>
    <w:rsid w:val="00036E33"/>
    <w:rsid w:val="00036F01"/>
    <w:rsid w:val="00036F92"/>
    <w:rsid w:val="00036FE3"/>
    <w:rsid w:val="00036FFD"/>
    <w:rsid w:val="000370CE"/>
    <w:rsid w:val="000370D5"/>
    <w:rsid w:val="000370F6"/>
    <w:rsid w:val="0003716B"/>
    <w:rsid w:val="0003717C"/>
    <w:rsid w:val="0003729C"/>
    <w:rsid w:val="000372EE"/>
    <w:rsid w:val="000372FB"/>
    <w:rsid w:val="0003734A"/>
    <w:rsid w:val="00037393"/>
    <w:rsid w:val="000373CF"/>
    <w:rsid w:val="000373E1"/>
    <w:rsid w:val="00037499"/>
    <w:rsid w:val="000376AD"/>
    <w:rsid w:val="00037704"/>
    <w:rsid w:val="000377C2"/>
    <w:rsid w:val="0003781C"/>
    <w:rsid w:val="0003790E"/>
    <w:rsid w:val="0003791E"/>
    <w:rsid w:val="0003799A"/>
    <w:rsid w:val="00037AB9"/>
    <w:rsid w:val="00037B8C"/>
    <w:rsid w:val="00037CB0"/>
    <w:rsid w:val="00037CEA"/>
    <w:rsid w:val="00037D82"/>
    <w:rsid w:val="00037DA0"/>
    <w:rsid w:val="00037DBD"/>
    <w:rsid w:val="00037DCB"/>
    <w:rsid w:val="00037DFA"/>
    <w:rsid w:val="00037ECD"/>
    <w:rsid w:val="00037FAB"/>
    <w:rsid w:val="00040106"/>
    <w:rsid w:val="0004013D"/>
    <w:rsid w:val="0004015D"/>
    <w:rsid w:val="000401EC"/>
    <w:rsid w:val="000405F5"/>
    <w:rsid w:val="00040673"/>
    <w:rsid w:val="00040879"/>
    <w:rsid w:val="00040934"/>
    <w:rsid w:val="00040A30"/>
    <w:rsid w:val="00040A61"/>
    <w:rsid w:val="00040B4C"/>
    <w:rsid w:val="00040B98"/>
    <w:rsid w:val="00040BDD"/>
    <w:rsid w:val="00040BFD"/>
    <w:rsid w:val="00040C41"/>
    <w:rsid w:val="00040C6B"/>
    <w:rsid w:val="00040CA3"/>
    <w:rsid w:val="00040D05"/>
    <w:rsid w:val="00040D13"/>
    <w:rsid w:val="00040D9C"/>
    <w:rsid w:val="00040EEF"/>
    <w:rsid w:val="00040EFD"/>
    <w:rsid w:val="00040FBF"/>
    <w:rsid w:val="00041026"/>
    <w:rsid w:val="00041085"/>
    <w:rsid w:val="00041093"/>
    <w:rsid w:val="000410A2"/>
    <w:rsid w:val="000410F2"/>
    <w:rsid w:val="0004122B"/>
    <w:rsid w:val="00041367"/>
    <w:rsid w:val="00041582"/>
    <w:rsid w:val="00041660"/>
    <w:rsid w:val="00041688"/>
    <w:rsid w:val="000416EA"/>
    <w:rsid w:val="00041770"/>
    <w:rsid w:val="00041985"/>
    <w:rsid w:val="000419A4"/>
    <w:rsid w:val="000419C1"/>
    <w:rsid w:val="000419EC"/>
    <w:rsid w:val="00041A6E"/>
    <w:rsid w:val="00041A7F"/>
    <w:rsid w:val="00041B45"/>
    <w:rsid w:val="00041BA8"/>
    <w:rsid w:val="00041BE9"/>
    <w:rsid w:val="00041CA2"/>
    <w:rsid w:val="00041CE6"/>
    <w:rsid w:val="00041DA4"/>
    <w:rsid w:val="00041EED"/>
    <w:rsid w:val="00041F47"/>
    <w:rsid w:val="00042035"/>
    <w:rsid w:val="000420BE"/>
    <w:rsid w:val="00042275"/>
    <w:rsid w:val="00042352"/>
    <w:rsid w:val="0004238C"/>
    <w:rsid w:val="0004238D"/>
    <w:rsid w:val="000423C4"/>
    <w:rsid w:val="000423F8"/>
    <w:rsid w:val="00042414"/>
    <w:rsid w:val="00042425"/>
    <w:rsid w:val="000424F1"/>
    <w:rsid w:val="00042514"/>
    <w:rsid w:val="000425B0"/>
    <w:rsid w:val="00042611"/>
    <w:rsid w:val="00042650"/>
    <w:rsid w:val="0004265F"/>
    <w:rsid w:val="0004268D"/>
    <w:rsid w:val="000428DC"/>
    <w:rsid w:val="00042974"/>
    <w:rsid w:val="00042B60"/>
    <w:rsid w:val="00042C51"/>
    <w:rsid w:val="00042CF9"/>
    <w:rsid w:val="00042D1F"/>
    <w:rsid w:val="00042D69"/>
    <w:rsid w:val="00042DB9"/>
    <w:rsid w:val="00042DD4"/>
    <w:rsid w:val="00042E8A"/>
    <w:rsid w:val="00042F0F"/>
    <w:rsid w:val="00042F27"/>
    <w:rsid w:val="00042F51"/>
    <w:rsid w:val="00042FA9"/>
    <w:rsid w:val="00043006"/>
    <w:rsid w:val="00043035"/>
    <w:rsid w:val="000430BC"/>
    <w:rsid w:val="000431AB"/>
    <w:rsid w:val="00043209"/>
    <w:rsid w:val="000432A5"/>
    <w:rsid w:val="00043374"/>
    <w:rsid w:val="000433E5"/>
    <w:rsid w:val="000433F5"/>
    <w:rsid w:val="0004349A"/>
    <w:rsid w:val="000434D6"/>
    <w:rsid w:val="00043505"/>
    <w:rsid w:val="000435A6"/>
    <w:rsid w:val="000435DC"/>
    <w:rsid w:val="0004381A"/>
    <w:rsid w:val="00043966"/>
    <w:rsid w:val="00043991"/>
    <w:rsid w:val="00043AB7"/>
    <w:rsid w:val="00043BB8"/>
    <w:rsid w:val="00043C06"/>
    <w:rsid w:val="00043CFB"/>
    <w:rsid w:val="00043DA7"/>
    <w:rsid w:val="00043DBD"/>
    <w:rsid w:val="00043DC7"/>
    <w:rsid w:val="00043E12"/>
    <w:rsid w:val="00043E25"/>
    <w:rsid w:val="00043F89"/>
    <w:rsid w:val="00043FB7"/>
    <w:rsid w:val="00044157"/>
    <w:rsid w:val="000442DA"/>
    <w:rsid w:val="000443B8"/>
    <w:rsid w:val="000443C4"/>
    <w:rsid w:val="00044454"/>
    <w:rsid w:val="000444B8"/>
    <w:rsid w:val="000444D7"/>
    <w:rsid w:val="000445B4"/>
    <w:rsid w:val="000445F7"/>
    <w:rsid w:val="0004468D"/>
    <w:rsid w:val="00044CDB"/>
    <w:rsid w:val="00044D01"/>
    <w:rsid w:val="00044D6D"/>
    <w:rsid w:val="00044D7D"/>
    <w:rsid w:val="00044D84"/>
    <w:rsid w:val="00044DA4"/>
    <w:rsid w:val="00044E95"/>
    <w:rsid w:val="00045026"/>
    <w:rsid w:val="0004508E"/>
    <w:rsid w:val="00045109"/>
    <w:rsid w:val="0004513E"/>
    <w:rsid w:val="00045267"/>
    <w:rsid w:val="0004526B"/>
    <w:rsid w:val="000452D2"/>
    <w:rsid w:val="00045368"/>
    <w:rsid w:val="000454E4"/>
    <w:rsid w:val="00045527"/>
    <w:rsid w:val="00045591"/>
    <w:rsid w:val="0004582E"/>
    <w:rsid w:val="00045882"/>
    <w:rsid w:val="0004593C"/>
    <w:rsid w:val="0004598B"/>
    <w:rsid w:val="000459D9"/>
    <w:rsid w:val="00045AA7"/>
    <w:rsid w:val="00045ABF"/>
    <w:rsid w:val="00045AC6"/>
    <w:rsid w:val="00045B23"/>
    <w:rsid w:val="00045BC1"/>
    <w:rsid w:val="00045BF0"/>
    <w:rsid w:val="00045C69"/>
    <w:rsid w:val="00045C73"/>
    <w:rsid w:val="00045CBC"/>
    <w:rsid w:val="00045D08"/>
    <w:rsid w:val="00045D54"/>
    <w:rsid w:val="00045F38"/>
    <w:rsid w:val="00045FBA"/>
    <w:rsid w:val="00046032"/>
    <w:rsid w:val="00046072"/>
    <w:rsid w:val="00046076"/>
    <w:rsid w:val="000460C7"/>
    <w:rsid w:val="000460E1"/>
    <w:rsid w:val="00046222"/>
    <w:rsid w:val="00046256"/>
    <w:rsid w:val="00046278"/>
    <w:rsid w:val="0004627C"/>
    <w:rsid w:val="0004631F"/>
    <w:rsid w:val="0004638B"/>
    <w:rsid w:val="00046407"/>
    <w:rsid w:val="00046514"/>
    <w:rsid w:val="00046656"/>
    <w:rsid w:val="00046676"/>
    <w:rsid w:val="000466AB"/>
    <w:rsid w:val="000466B4"/>
    <w:rsid w:val="00046A2F"/>
    <w:rsid w:val="00046BBA"/>
    <w:rsid w:val="00046C5E"/>
    <w:rsid w:val="00046C67"/>
    <w:rsid w:val="00046CF0"/>
    <w:rsid w:val="00046D09"/>
    <w:rsid w:val="00046E21"/>
    <w:rsid w:val="00046EC3"/>
    <w:rsid w:val="00046EC4"/>
    <w:rsid w:val="00046EC7"/>
    <w:rsid w:val="00046F0C"/>
    <w:rsid w:val="00046F33"/>
    <w:rsid w:val="00046FB4"/>
    <w:rsid w:val="00046FE0"/>
    <w:rsid w:val="00047061"/>
    <w:rsid w:val="00047087"/>
    <w:rsid w:val="000470D4"/>
    <w:rsid w:val="00047101"/>
    <w:rsid w:val="00047124"/>
    <w:rsid w:val="00047198"/>
    <w:rsid w:val="000471A9"/>
    <w:rsid w:val="00047251"/>
    <w:rsid w:val="00047268"/>
    <w:rsid w:val="0004731A"/>
    <w:rsid w:val="000473D3"/>
    <w:rsid w:val="000473FF"/>
    <w:rsid w:val="00047516"/>
    <w:rsid w:val="000476A2"/>
    <w:rsid w:val="00047779"/>
    <w:rsid w:val="00047793"/>
    <w:rsid w:val="0004796B"/>
    <w:rsid w:val="00047C64"/>
    <w:rsid w:val="00047C80"/>
    <w:rsid w:val="00047D1D"/>
    <w:rsid w:val="00047DA0"/>
    <w:rsid w:val="00047DE1"/>
    <w:rsid w:val="00047E25"/>
    <w:rsid w:val="00047E2C"/>
    <w:rsid w:val="00047E32"/>
    <w:rsid w:val="00047F35"/>
    <w:rsid w:val="00050035"/>
    <w:rsid w:val="00050051"/>
    <w:rsid w:val="00050142"/>
    <w:rsid w:val="00050221"/>
    <w:rsid w:val="0005027A"/>
    <w:rsid w:val="0005029C"/>
    <w:rsid w:val="0005038D"/>
    <w:rsid w:val="00050453"/>
    <w:rsid w:val="00050560"/>
    <w:rsid w:val="00050594"/>
    <w:rsid w:val="00050615"/>
    <w:rsid w:val="000506A5"/>
    <w:rsid w:val="000506E8"/>
    <w:rsid w:val="000506F9"/>
    <w:rsid w:val="00050727"/>
    <w:rsid w:val="000507F2"/>
    <w:rsid w:val="0005094F"/>
    <w:rsid w:val="00050A58"/>
    <w:rsid w:val="00050AF0"/>
    <w:rsid w:val="00050B25"/>
    <w:rsid w:val="00050B3E"/>
    <w:rsid w:val="00050C62"/>
    <w:rsid w:val="00050D8A"/>
    <w:rsid w:val="00050DA8"/>
    <w:rsid w:val="00050EAB"/>
    <w:rsid w:val="00050EBE"/>
    <w:rsid w:val="00050F95"/>
    <w:rsid w:val="00050FE5"/>
    <w:rsid w:val="00050FFB"/>
    <w:rsid w:val="00051013"/>
    <w:rsid w:val="00051057"/>
    <w:rsid w:val="0005108A"/>
    <w:rsid w:val="0005110F"/>
    <w:rsid w:val="0005116B"/>
    <w:rsid w:val="000513E3"/>
    <w:rsid w:val="000513FE"/>
    <w:rsid w:val="00051482"/>
    <w:rsid w:val="000515F9"/>
    <w:rsid w:val="00051809"/>
    <w:rsid w:val="000518C1"/>
    <w:rsid w:val="000518E6"/>
    <w:rsid w:val="00051938"/>
    <w:rsid w:val="00051949"/>
    <w:rsid w:val="00051A06"/>
    <w:rsid w:val="00051A4B"/>
    <w:rsid w:val="00051B34"/>
    <w:rsid w:val="00051B6C"/>
    <w:rsid w:val="00051B8E"/>
    <w:rsid w:val="00051BA8"/>
    <w:rsid w:val="00051C4D"/>
    <w:rsid w:val="00051C8E"/>
    <w:rsid w:val="00051CC5"/>
    <w:rsid w:val="00051CFA"/>
    <w:rsid w:val="00051E45"/>
    <w:rsid w:val="00051E5A"/>
    <w:rsid w:val="00051EE9"/>
    <w:rsid w:val="00052026"/>
    <w:rsid w:val="00052030"/>
    <w:rsid w:val="00052055"/>
    <w:rsid w:val="0005208C"/>
    <w:rsid w:val="000520C8"/>
    <w:rsid w:val="0005214F"/>
    <w:rsid w:val="00052160"/>
    <w:rsid w:val="000521D0"/>
    <w:rsid w:val="0005222A"/>
    <w:rsid w:val="000522D9"/>
    <w:rsid w:val="00052347"/>
    <w:rsid w:val="000523A0"/>
    <w:rsid w:val="00052479"/>
    <w:rsid w:val="00052503"/>
    <w:rsid w:val="00052522"/>
    <w:rsid w:val="00052547"/>
    <w:rsid w:val="000525F3"/>
    <w:rsid w:val="00052654"/>
    <w:rsid w:val="000527B5"/>
    <w:rsid w:val="000527D6"/>
    <w:rsid w:val="00052829"/>
    <w:rsid w:val="0005283B"/>
    <w:rsid w:val="00052888"/>
    <w:rsid w:val="000528B2"/>
    <w:rsid w:val="000528F9"/>
    <w:rsid w:val="000529AC"/>
    <w:rsid w:val="00052AAF"/>
    <w:rsid w:val="00052AC2"/>
    <w:rsid w:val="00052BD4"/>
    <w:rsid w:val="00052BEB"/>
    <w:rsid w:val="00052BFF"/>
    <w:rsid w:val="00052C5D"/>
    <w:rsid w:val="00052D4E"/>
    <w:rsid w:val="00052E45"/>
    <w:rsid w:val="00052EB3"/>
    <w:rsid w:val="00052EFC"/>
    <w:rsid w:val="00052F3C"/>
    <w:rsid w:val="00052F65"/>
    <w:rsid w:val="00052F96"/>
    <w:rsid w:val="000530E0"/>
    <w:rsid w:val="000532FE"/>
    <w:rsid w:val="000533B2"/>
    <w:rsid w:val="000533F9"/>
    <w:rsid w:val="00053509"/>
    <w:rsid w:val="00053530"/>
    <w:rsid w:val="00053542"/>
    <w:rsid w:val="0005356B"/>
    <w:rsid w:val="00053796"/>
    <w:rsid w:val="00053839"/>
    <w:rsid w:val="00053862"/>
    <w:rsid w:val="000538AE"/>
    <w:rsid w:val="0005390C"/>
    <w:rsid w:val="00053918"/>
    <w:rsid w:val="00053996"/>
    <w:rsid w:val="00053A65"/>
    <w:rsid w:val="00053B42"/>
    <w:rsid w:val="00053B49"/>
    <w:rsid w:val="00053B86"/>
    <w:rsid w:val="00053BA3"/>
    <w:rsid w:val="00053BD5"/>
    <w:rsid w:val="00053C5A"/>
    <w:rsid w:val="00053C6F"/>
    <w:rsid w:val="00053CC4"/>
    <w:rsid w:val="00053D28"/>
    <w:rsid w:val="00053D50"/>
    <w:rsid w:val="00053DF8"/>
    <w:rsid w:val="00053E02"/>
    <w:rsid w:val="00053E49"/>
    <w:rsid w:val="00053F64"/>
    <w:rsid w:val="000540A6"/>
    <w:rsid w:val="000540BC"/>
    <w:rsid w:val="000541C4"/>
    <w:rsid w:val="00054330"/>
    <w:rsid w:val="000543B5"/>
    <w:rsid w:val="00054469"/>
    <w:rsid w:val="000544AA"/>
    <w:rsid w:val="0005450C"/>
    <w:rsid w:val="00054536"/>
    <w:rsid w:val="0005458C"/>
    <w:rsid w:val="000545F0"/>
    <w:rsid w:val="0005462C"/>
    <w:rsid w:val="00054670"/>
    <w:rsid w:val="00054673"/>
    <w:rsid w:val="00054846"/>
    <w:rsid w:val="00054877"/>
    <w:rsid w:val="00054892"/>
    <w:rsid w:val="000548C0"/>
    <w:rsid w:val="00054914"/>
    <w:rsid w:val="0005499B"/>
    <w:rsid w:val="00054A28"/>
    <w:rsid w:val="00054A91"/>
    <w:rsid w:val="00054BC4"/>
    <w:rsid w:val="00054BCA"/>
    <w:rsid w:val="00054C0C"/>
    <w:rsid w:val="00054C5C"/>
    <w:rsid w:val="00054D34"/>
    <w:rsid w:val="00054E28"/>
    <w:rsid w:val="00054F99"/>
    <w:rsid w:val="000550A8"/>
    <w:rsid w:val="000550C8"/>
    <w:rsid w:val="000552E9"/>
    <w:rsid w:val="000553F0"/>
    <w:rsid w:val="0005549D"/>
    <w:rsid w:val="000555F3"/>
    <w:rsid w:val="000555FB"/>
    <w:rsid w:val="000556B3"/>
    <w:rsid w:val="000557CF"/>
    <w:rsid w:val="00055826"/>
    <w:rsid w:val="00055830"/>
    <w:rsid w:val="000558AF"/>
    <w:rsid w:val="00055947"/>
    <w:rsid w:val="000559A2"/>
    <w:rsid w:val="00055A81"/>
    <w:rsid w:val="00055B27"/>
    <w:rsid w:val="00055B59"/>
    <w:rsid w:val="00055BB5"/>
    <w:rsid w:val="00055BC5"/>
    <w:rsid w:val="00055BD0"/>
    <w:rsid w:val="00055C39"/>
    <w:rsid w:val="00055CF1"/>
    <w:rsid w:val="00055DBC"/>
    <w:rsid w:val="00055DDA"/>
    <w:rsid w:val="00055F36"/>
    <w:rsid w:val="00055F83"/>
    <w:rsid w:val="000560E8"/>
    <w:rsid w:val="0005626A"/>
    <w:rsid w:val="000562D1"/>
    <w:rsid w:val="000562DF"/>
    <w:rsid w:val="000562EF"/>
    <w:rsid w:val="00056407"/>
    <w:rsid w:val="00056489"/>
    <w:rsid w:val="000565F2"/>
    <w:rsid w:val="000565FA"/>
    <w:rsid w:val="00056675"/>
    <w:rsid w:val="000566F2"/>
    <w:rsid w:val="00056720"/>
    <w:rsid w:val="00056749"/>
    <w:rsid w:val="0005674B"/>
    <w:rsid w:val="000567A3"/>
    <w:rsid w:val="00056866"/>
    <w:rsid w:val="000569A9"/>
    <w:rsid w:val="00056A45"/>
    <w:rsid w:val="00056AC9"/>
    <w:rsid w:val="00056C6F"/>
    <w:rsid w:val="00056D3A"/>
    <w:rsid w:val="00056D3C"/>
    <w:rsid w:val="00056D49"/>
    <w:rsid w:val="00056D4B"/>
    <w:rsid w:val="00056E4C"/>
    <w:rsid w:val="00056F0E"/>
    <w:rsid w:val="00056FA4"/>
    <w:rsid w:val="00057044"/>
    <w:rsid w:val="00057066"/>
    <w:rsid w:val="000570C8"/>
    <w:rsid w:val="00057167"/>
    <w:rsid w:val="000571CD"/>
    <w:rsid w:val="0005729A"/>
    <w:rsid w:val="000572B2"/>
    <w:rsid w:val="000572B8"/>
    <w:rsid w:val="000572CA"/>
    <w:rsid w:val="0005732D"/>
    <w:rsid w:val="00057368"/>
    <w:rsid w:val="00057374"/>
    <w:rsid w:val="00057390"/>
    <w:rsid w:val="00057391"/>
    <w:rsid w:val="000573F1"/>
    <w:rsid w:val="000573F5"/>
    <w:rsid w:val="00057473"/>
    <w:rsid w:val="00057503"/>
    <w:rsid w:val="00057596"/>
    <w:rsid w:val="000575E8"/>
    <w:rsid w:val="000575EA"/>
    <w:rsid w:val="00057612"/>
    <w:rsid w:val="00057681"/>
    <w:rsid w:val="00057821"/>
    <w:rsid w:val="000578A9"/>
    <w:rsid w:val="000578BD"/>
    <w:rsid w:val="000578CA"/>
    <w:rsid w:val="000578CE"/>
    <w:rsid w:val="000579C5"/>
    <w:rsid w:val="00057A5E"/>
    <w:rsid w:val="00057AF4"/>
    <w:rsid w:val="00057B2C"/>
    <w:rsid w:val="00057D49"/>
    <w:rsid w:val="00057D7F"/>
    <w:rsid w:val="00057DAE"/>
    <w:rsid w:val="00057E54"/>
    <w:rsid w:val="00057E6F"/>
    <w:rsid w:val="00057F69"/>
    <w:rsid w:val="0006005A"/>
    <w:rsid w:val="0006007C"/>
    <w:rsid w:val="000600B6"/>
    <w:rsid w:val="000600F9"/>
    <w:rsid w:val="000601B8"/>
    <w:rsid w:val="000601EB"/>
    <w:rsid w:val="00060262"/>
    <w:rsid w:val="0006026A"/>
    <w:rsid w:val="0006030C"/>
    <w:rsid w:val="00060334"/>
    <w:rsid w:val="00060517"/>
    <w:rsid w:val="00060597"/>
    <w:rsid w:val="000605DD"/>
    <w:rsid w:val="00060626"/>
    <w:rsid w:val="00060676"/>
    <w:rsid w:val="00060711"/>
    <w:rsid w:val="0006086F"/>
    <w:rsid w:val="0006093D"/>
    <w:rsid w:val="00060958"/>
    <w:rsid w:val="00060A7C"/>
    <w:rsid w:val="00060A80"/>
    <w:rsid w:val="00060B0E"/>
    <w:rsid w:val="00060B6C"/>
    <w:rsid w:val="00060C5E"/>
    <w:rsid w:val="00060E1C"/>
    <w:rsid w:val="00060F6B"/>
    <w:rsid w:val="00060FCA"/>
    <w:rsid w:val="00061089"/>
    <w:rsid w:val="000610D0"/>
    <w:rsid w:val="0006113A"/>
    <w:rsid w:val="000613CC"/>
    <w:rsid w:val="00061550"/>
    <w:rsid w:val="000615C1"/>
    <w:rsid w:val="00061664"/>
    <w:rsid w:val="0006180E"/>
    <w:rsid w:val="0006189D"/>
    <w:rsid w:val="00061915"/>
    <w:rsid w:val="000619A3"/>
    <w:rsid w:val="00061A05"/>
    <w:rsid w:val="00061AA0"/>
    <w:rsid w:val="00061AEF"/>
    <w:rsid w:val="00061B0F"/>
    <w:rsid w:val="00061C67"/>
    <w:rsid w:val="00061CEA"/>
    <w:rsid w:val="00061DAD"/>
    <w:rsid w:val="00061F45"/>
    <w:rsid w:val="0006205D"/>
    <w:rsid w:val="000620F7"/>
    <w:rsid w:val="00062174"/>
    <w:rsid w:val="000621C5"/>
    <w:rsid w:val="000621E8"/>
    <w:rsid w:val="00062305"/>
    <w:rsid w:val="0006233A"/>
    <w:rsid w:val="00062489"/>
    <w:rsid w:val="00062529"/>
    <w:rsid w:val="0006264D"/>
    <w:rsid w:val="0006267F"/>
    <w:rsid w:val="0006269C"/>
    <w:rsid w:val="000629BD"/>
    <w:rsid w:val="000629C0"/>
    <w:rsid w:val="00062A29"/>
    <w:rsid w:val="00062A97"/>
    <w:rsid w:val="00062ACA"/>
    <w:rsid w:val="00062BB7"/>
    <w:rsid w:val="00062BCA"/>
    <w:rsid w:val="00062C53"/>
    <w:rsid w:val="00062C56"/>
    <w:rsid w:val="00062CBC"/>
    <w:rsid w:val="00062D2D"/>
    <w:rsid w:val="00062D5C"/>
    <w:rsid w:val="00062D87"/>
    <w:rsid w:val="00062F3C"/>
    <w:rsid w:val="00063050"/>
    <w:rsid w:val="0006309A"/>
    <w:rsid w:val="0006314B"/>
    <w:rsid w:val="00063172"/>
    <w:rsid w:val="00063205"/>
    <w:rsid w:val="0006324A"/>
    <w:rsid w:val="000632BE"/>
    <w:rsid w:val="000632D5"/>
    <w:rsid w:val="000633D0"/>
    <w:rsid w:val="00063595"/>
    <w:rsid w:val="0006364D"/>
    <w:rsid w:val="00063706"/>
    <w:rsid w:val="00063707"/>
    <w:rsid w:val="0006370B"/>
    <w:rsid w:val="00063759"/>
    <w:rsid w:val="00063777"/>
    <w:rsid w:val="000638C9"/>
    <w:rsid w:val="00063930"/>
    <w:rsid w:val="00063ABD"/>
    <w:rsid w:val="00063AF3"/>
    <w:rsid w:val="00063B4F"/>
    <w:rsid w:val="00063B86"/>
    <w:rsid w:val="00063C28"/>
    <w:rsid w:val="00063C2B"/>
    <w:rsid w:val="00063D24"/>
    <w:rsid w:val="00063DE7"/>
    <w:rsid w:val="00063E47"/>
    <w:rsid w:val="00063F0C"/>
    <w:rsid w:val="00063F1B"/>
    <w:rsid w:val="00063F53"/>
    <w:rsid w:val="00063F70"/>
    <w:rsid w:val="00063FB3"/>
    <w:rsid w:val="00064011"/>
    <w:rsid w:val="0006406D"/>
    <w:rsid w:val="00064101"/>
    <w:rsid w:val="00064130"/>
    <w:rsid w:val="00064154"/>
    <w:rsid w:val="0006420F"/>
    <w:rsid w:val="0006426A"/>
    <w:rsid w:val="00064281"/>
    <w:rsid w:val="00064284"/>
    <w:rsid w:val="000642B5"/>
    <w:rsid w:val="00064303"/>
    <w:rsid w:val="0006430A"/>
    <w:rsid w:val="000643D7"/>
    <w:rsid w:val="000644D5"/>
    <w:rsid w:val="000644F1"/>
    <w:rsid w:val="000645C9"/>
    <w:rsid w:val="00064618"/>
    <w:rsid w:val="000647D2"/>
    <w:rsid w:val="00064817"/>
    <w:rsid w:val="000648D5"/>
    <w:rsid w:val="000648F7"/>
    <w:rsid w:val="00064974"/>
    <w:rsid w:val="00064A46"/>
    <w:rsid w:val="00064AC3"/>
    <w:rsid w:val="00064B23"/>
    <w:rsid w:val="00064B26"/>
    <w:rsid w:val="00064C67"/>
    <w:rsid w:val="00064CD6"/>
    <w:rsid w:val="00064D39"/>
    <w:rsid w:val="00064DE9"/>
    <w:rsid w:val="00064DF3"/>
    <w:rsid w:val="00064E31"/>
    <w:rsid w:val="00064F0B"/>
    <w:rsid w:val="00064F49"/>
    <w:rsid w:val="0006505B"/>
    <w:rsid w:val="0006508D"/>
    <w:rsid w:val="000651D9"/>
    <w:rsid w:val="00065244"/>
    <w:rsid w:val="000652BC"/>
    <w:rsid w:val="000652EB"/>
    <w:rsid w:val="00065415"/>
    <w:rsid w:val="000654B0"/>
    <w:rsid w:val="00065556"/>
    <w:rsid w:val="00065575"/>
    <w:rsid w:val="000655D0"/>
    <w:rsid w:val="000656C8"/>
    <w:rsid w:val="000656FD"/>
    <w:rsid w:val="00065741"/>
    <w:rsid w:val="000657EA"/>
    <w:rsid w:val="000658E5"/>
    <w:rsid w:val="00065944"/>
    <w:rsid w:val="00065946"/>
    <w:rsid w:val="00065B04"/>
    <w:rsid w:val="00065BB1"/>
    <w:rsid w:val="00065C09"/>
    <w:rsid w:val="00065C16"/>
    <w:rsid w:val="00065C4E"/>
    <w:rsid w:val="00065C94"/>
    <w:rsid w:val="00065CB2"/>
    <w:rsid w:val="00065CCC"/>
    <w:rsid w:val="00065D7E"/>
    <w:rsid w:val="00065F6A"/>
    <w:rsid w:val="00066161"/>
    <w:rsid w:val="000661F9"/>
    <w:rsid w:val="00066262"/>
    <w:rsid w:val="000662FA"/>
    <w:rsid w:val="00066473"/>
    <w:rsid w:val="000664A4"/>
    <w:rsid w:val="000665D2"/>
    <w:rsid w:val="000665F2"/>
    <w:rsid w:val="0006661A"/>
    <w:rsid w:val="000666A0"/>
    <w:rsid w:val="000666CD"/>
    <w:rsid w:val="00066740"/>
    <w:rsid w:val="000667BE"/>
    <w:rsid w:val="0006680F"/>
    <w:rsid w:val="00066824"/>
    <w:rsid w:val="00066853"/>
    <w:rsid w:val="00066917"/>
    <w:rsid w:val="00066975"/>
    <w:rsid w:val="0006697D"/>
    <w:rsid w:val="0006699D"/>
    <w:rsid w:val="000669B0"/>
    <w:rsid w:val="00066B96"/>
    <w:rsid w:val="00066B9D"/>
    <w:rsid w:val="00066C1A"/>
    <w:rsid w:val="00066C23"/>
    <w:rsid w:val="00066C97"/>
    <w:rsid w:val="00066CCE"/>
    <w:rsid w:val="00066D15"/>
    <w:rsid w:val="00066D4D"/>
    <w:rsid w:val="00066E58"/>
    <w:rsid w:val="00066E6C"/>
    <w:rsid w:val="00066F31"/>
    <w:rsid w:val="00066F6B"/>
    <w:rsid w:val="0006701B"/>
    <w:rsid w:val="00067236"/>
    <w:rsid w:val="00067274"/>
    <w:rsid w:val="000672CE"/>
    <w:rsid w:val="0006731D"/>
    <w:rsid w:val="00067327"/>
    <w:rsid w:val="000674B7"/>
    <w:rsid w:val="0006763C"/>
    <w:rsid w:val="0006765A"/>
    <w:rsid w:val="0006773D"/>
    <w:rsid w:val="00067771"/>
    <w:rsid w:val="000677C7"/>
    <w:rsid w:val="00067806"/>
    <w:rsid w:val="0006789B"/>
    <w:rsid w:val="000678B5"/>
    <w:rsid w:val="00067979"/>
    <w:rsid w:val="000679E0"/>
    <w:rsid w:val="000679FB"/>
    <w:rsid w:val="00067BCE"/>
    <w:rsid w:val="00067C2A"/>
    <w:rsid w:val="00067D45"/>
    <w:rsid w:val="00067DB2"/>
    <w:rsid w:val="00067E92"/>
    <w:rsid w:val="00067E95"/>
    <w:rsid w:val="00067F17"/>
    <w:rsid w:val="00070001"/>
    <w:rsid w:val="0007015E"/>
    <w:rsid w:val="0007018D"/>
    <w:rsid w:val="0007019C"/>
    <w:rsid w:val="000701BB"/>
    <w:rsid w:val="000701F7"/>
    <w:rsid w:val="0007030B"/>
    <w:rsid w:val="00070358"/>
    <w:rsid w:val="0007036C"/>
    <w:rsid w:val="0007043B"/>
    <w:rsid w:val="00070454"/>
    <w:rsid w:val="00070460"/>
    <w:rsid w:val="000704CA"/>
    <w:rsid w:val="000704DE"/>
    <w:rsid w:val="00070536"/>
    <w:rsid w:val="0007065B"/>
    <w:rsid w:val="000706AA"/>
    <w:rsid w:val="00070856"/>
    <w:rsid w:val="00070863"/>
    <w:rsid w:val="00070947"/>
    <w:rsid w:val="00070980"/>
    <w:rsid w:val="000709F4"/>
    <w:rsid w:val="00070A6C"/>
    <w:rsid w:val="00070A84"/>
    <w:rsid w:val="00070CA4"/>
    <w:rsid w:val="00070CC9"/>
    <w:rsid w:val="00070D86"/>
    <w:rsid w:val="00070E7C"/>
    <w:rsid w:val="00070EA7"/>
    <w:rsid w:val="00070EAF"/>
    <w:rsid w:val="0007106C"/>
    <w:rsid w:val="0007110B"/>
    <w:rsid w:val="00071224"/>
    <w:rsid w:val="0007129D"/>
    <w:rsid w:val="000713BF"/>
    <w:rsid w:val="000713C4"/>
    <w:rsid w:val="0007140F"/>
    <w:rsid w:val="0007143F"/>
    <w:rsid w:val="00071451"/>
    <w:rsid w:val="000714C9"/>
    <w:rsid w:val="000715D5"/>
    <w:rsid w:val="00071729"/>
    <w:rsid w:val="0007173E"/>
    <w:rsid w:val="000717EE"/>
    <w:rsid w:val="000718DA"/>
    <w:rsid w:val="00071C21"/>
    <w:rsid w:val="00071C25"/>
    <w:rsid w:val="00071C3A"/>
    <w:rsid w:val="00071C3E"/>
    <w:rsid w:val="00071E8C"/>
    <w:rsid w:val="00071F4D"/>
    <w:rsid w:val="00071F95"/>
    <w:rsid w:val="0007202F"/>
    <w:rsid w:val="000720BA"/>
    <w:rsid w:val="000720FB"/>
    <w:rsid w:val="00072179"/>
    <w:rsid w:val="00072181"/>
    <w:rsid w:val="0007218B"/>
    <w:rsid w:val="000721C1"/>
    <w:rsid w:val="000721F6"/>
    <w:rsid w:val="00072392"/>
    <w:rsid w:val="000723EC"/>
    <w:rsid w:val="00072470"/>
    <w:rsid w:val="000724B5"/>
    <w:rsid w:val="000724F5"/>
    <w:rsid w:val="00072525"/>
    <w:rsid w:val="000725D7"/>
    <w:rsid w:val="00072619"/>
    <w:rsid w:val="0007270E"/>
    <w:rsid w:val="0007286F"/>
    <w:rsid w:val="00072910"/>
    <w:rsid w:val="00072929"/>
    <w:rsid w:val="000729FF"/>
    <w:rsid w:val="00072A8E"/>
    <w:rsid w:val="00072B0C"/>
    <w:rsid w:val="00072B41"/>
    <w:rsid w:val="00072D9F"/>
    <w:rsid w:val="00072DD3"/>
    <w:rsid w:val="00072E11"/>
    <w:rsid w:val="00073025"/>
    <w:rsid w:val="000730A7"/>
    <w:rsid w:val="000730EB"/>
    <w:rsid w:val="00073153"/>
    <w:rsid w:val="00073243"/>
    <w:rsid w:val="000732A2"/>
    <w:rsid w:val="000732B4"/>
    <w:rsid w:val="0007330B"/>
    <w:rsid w:val="0007332A"/>
    <w:rsid w:val="00073356"/>
    <w:rsid w:val="000733B9"/>
    <w:rsid w:val="00073423"/>
    <w:rsid w:val="000734CC"/>
    <w:rsid w:val="00073599"/>
    <w:rsid w:val="0007361A"/>
    <w:rsid w:val="0007364C"/>
    <w:rsid w:val="00073696"/>
    <w:rsid w:val="000736B7"/>
    <w:rsid w:val="0007377B"/>
    <w:rsid w:val="0007381F"/>
    <w:rsid w:val="0007382B"/>
    <w:rsid w:val="000738A8"/>
    <w:rsid w:val="00073979"/>
    <w:rsid w:val="0007398D"/>
    <w:rsid w:val="0007398E"/>
    <w:rsid w:val="000739B6"/>
    <w:rsid w:val="00073BDD"/>
    <w:rsid w:val="00073C39"/>
    <w:rsid w:val="00073D17"/>
    <w:rsid w:val="00073D3A"/>
    <w:rsid w:val="00073D5A"/>
    <w:rsid w:val="00073E00"/>
    <w:rsid w:val="00073E4C"/>
    <w:rsid w:val="00073E83"/>
    <w:rsid w:val="00073F2F"/>
    <w:rsid w:val="00073FC3"/>
    <w:rsid w:val="00074042"/>
    <w:rsid w:val="0007404A"/>
    <w:rsid w:val="00074242"/>
    <w:rsid w:val="00074296"/>
    <w:rsid w:val="00074316"/>
    <w:rsid w:val="000743ED"/>
    <w:rsid w:val="00074656"/>
    <w:rsid w:val="000747A1"/>
    <w:rsid w:val="000747D0"/>
    <w:rsid w:val="000747D3"/>
    <w:rsid w:val="00074811"/>
    <w:rsid w:val="000749D9"/>
    <w:rsid w:val="00074B5F"/>
    <w:rsid w:val="00074B9D"/>
    <w:rsid w:val="00074BBF"/>
    <w:rsid w:val="00074CD8"/>
    <w:rsid w:val="00074F13"/>
    <w:rsid w:val="00075047"/>
    <w:rsid w:val="00075053"/>
    <w:rsid w:val="000751B1"/>
    <w:rsid w:val="000751F5"/>
    <w:rsid w:val="0007520F"/>
    <w:rsid w:val="00075223"/>
    <w:rsid w:val="00075303"/>
    <w:rsid w:val="000753D8"/>
    <w:rsid w:val="000753FC"/>
    <w:rsid w:val="000754B8"/>
    <w:rsid w:val="000754E9"/>
    <w:rsid w:val="00075577"/>
    <w:rsid w:val="000755F5"/>
    <w:rsid w:val="000756D0"/>
    <w:rsid w:val="00075745"/>
    <w:rsid w:val="000757B4"/>
    <w:rsid w:val="00075825"/>
    <w:rsid w:val="0007584D"/>
    <w:rsid w:val="00075899"/>
    <w:rsid w:val="000758FC"/>
    <w:rsid w:val="00075935"/>
    <w:rsid w:val="00075A55"/>
    <w:rsid w:val="00075B17"/>
    <w:rsid w:val="00075B1A"/>
    <w:rsid w:val="00075BB1"/>
    <w:rsid w:val="00075CFE"/>
    <w:rsid w:val="00075DD9"/>
    <w:rsid w:val="00075EA1"/>
    <w:rsid w:val="00075EC8"/>
    <w:rsid w:val="00075F69"/>
    <w:rsid w:val="00075FD0"/>
    <w:rsid w:val="00076047"/>
    <w:rsid w:val="000760F5"/>
    <w:rsid w:val="00076132"/>
    <w:rsid w:val="000761C0"/>
    <w:rsid w:val="00076220"/>
    <w:rsid w:val="00076255"/>
    <w:rsid w:val="0007629A"/>
    <w:rsid w:val="0007629B"/>
    <w:rsid w:val="0007631C"/>
    <w:rsid w:val="0007637C"/>
    <w:rsid w:val="000763C9"/>
    <w:rsid w:val="0007649D"/>
    <w:rsid w:val="00076541"/>
    <w:rsid w:val="00076570"/>
    <w:rsid w:val="000765A2"/>
    <w:rsid w:val="00076612"/>
    <w:rsid w:val="0007672B"/>
    <w:rsid w:val="00076750"/>
    <w:rsid w:val="00076787"/>
    <w:rsid w:val="00076832"/>
    <w:rsid w:val="0007684D"/>
    <w:rsid w:val="000768A2"/>
    <w:rsid w:val="000768D8"/>
    <w:rsid w:val="00076983"/>
    <w:rsid w:val="00076A14"/>
    <w:rsid w:val="00076A87"/>
    <w:rsid w:val="00076AD7"/>
    <w:rsid w:val="00076ADA"/>
    <w:rsid w:val="00076BC4"/>
    <w:rsid w:val="00076BF1"/>
    <w:rsid w:val="00076C59"/>
    <w:rsid w:val="00076C77"/>
    <w:rsid w:val="00076C78"/>
    <w:rsid w:val="00076CCB"/>
    <w:rsid w:val="00076DB5"/>
    <w:rsid w:val="00076EA1"/>
    <w:rsid w:val="000770D8"/>
    <w:rsid w:val="0007721A"/>
    <w:rsid w:val="00077427"/>
    <w:rsid w:val="000774D3"/>
    <w:rsid w:val="00077531"/>
    <w:rsid w:val="000775B3"/>
    <w:rsid w:val="000775E1"/>
    <w:rsid w:val="000776DA"/>
    <w:rsid w:val="00077728"/>
    <w:rsid w:val="0007776B"/>
    <w:rsid w:val="00077984"/>
    <w:rsid w:val="000779B0"/>
    <w:rsid w:val="000779B1"/>
    <w:rsid w:val="00077A61"/>
    <w:rsid w:val="00077AB0"/>
    <w:rsid w:val="00077D8E"/>
    <w:rsid w:val="00077EEA"/>
    <w:rsid w:val="00077F1C"/>
    <w:rsid w:val="00077F4A"/>
    <w:rsid w:val="00077FD4"/>
    <w:rsid w:val="00080016"/>
    <w:rsid w:val="00080050"/>
    <w:rsid w:val="00080083"/>
    <w:rsid w:val="00080087"/>
    <w:rsid w:val="0008008E"/>
    <w:rsid w:val="000800E0"/>
    <w:rsid w:val="00080143"/>
    <w:rsid w:val="0008015A"/>
    <w:rsid w:val="000801AA"/>
    <w:rsid w:val="000801EC"/>
    <w:rsid w:val="0008024C"/>
    <w:rsid w:val="000802C3"/>
    <w:rsid w:val="000802F0"/>
    <w:rsid w:val="0008030B"/>
    <w:rsid w:val="0008033D"/>
    <w:rsid w:val="0008036C"/>
    <w:rsid w:val="000803A4"/>
    <w:rsid w:val="000803E7"/>
    <w:rsid w:val="000804AB"/>
    <w:rsid w:val="000804E5"/>
    <w:rsid w:val="00080635"/>
    <w:rsid w:val="00080747"/>
    <w:rsid w:val="00080769"/>
    <w:rsid w:val="0008077D"/>
    <w:rsid w:val="000808E2"/>
    <w:rsid w:val="000809FC"/>
    <w:rsid w:val="00080B2D"/>
    <w:rsid w:val="00080B87"/>
    <w:rsid w:val="00080BC3"/>
    <w:rsid w:val="00080C1F"/>
    <w:rsid w:val="00080C89"/>
    <w:rsid w:val="00080C95"/>
    <w:rsid w:val="00080C96"/>
    <w:rsid w:val="00080CBA"/>
    <w:rsid w:val="00080CD6"/>
    <w:rsid w:val="00080D1A"/>
    <w:rsid w:val="00080DAE"/>
    <w:rsid w:val="00080DB1"/>
    <w:rsid w:val="00080DC8"/>
    <w:rsid w:val="00080EF5"/>
    <w:rsid w:val="0008106E"/>
    <w:rsid w:val="000810F4"/>
    <w:rsid w:val="00081254"/>
    <w:rsid w:val="0008131B"/>
    <w:rsid w:val="00081342"/>
    <w:rsid w:val="00081371"/>
    <w:rsid w:val="00081387"/>
    <w:rsid w:val="00081729"/>
    <w:rsid w:val="000817A5"/>
    <w:rsid w:val="0008184A"/>
    <w:rsid w:val="00081863"/>
    <w:rsid w:val="000818B2"/>
    <w:rsid w:val="00081A0C"/>
    <w:rsid w:val="00081A2B"/>
    <w:rsid w:val="00081A78"/>
    <w:rsid w:val="00081AD8"/>
    <w:rsid w:val="00081C0F"/>
    <w:rsid w:val="00081D36"/>
    <w:rsid w:val="00081E6C"/>
    <w:rsid w:val="00081F3B"/>
    <w:rsid w:val="00081FC3"/>
    <w:rsid w:val="00081FD7"/>
    <w:rsid w:val="00081FEE"/>
    <w:rsid w:val="00082073"/>
    <w:rsid w:val="000820D4"/>
    <w:rsid w:val="000821F4"/>
    <w:rsid w:val="0008225C"/>
    <w:rsid w:val="00082276"/>
    <w:rsid w:val="00082283"/>
    <w:rsid w:val="000822DF"/>
    <w:rsid w:val="0008237F"/>
    <w:rsid w:val="000823AF"/>
    <w:rsid w:val="000823D3"/>
    <w:rsid w:val="0008257E"/>
    <w:rsid w:val="000825B1"/>
    <w:rsid w:val="000825FC"/>
    <w:rsid w:val="000826AC"/>
    <w:rsid w:val="0008273F"/>
    <w:rsid w:val="00082819"/>
    <w:rsid w:val="0008283E"/>
    <w:rsid w:val="000828A5"/>
    <w:rsid w:val="000828DD"/>
    <w:rsid w:val="000828EC"/>
    <w:rsid w:val="00082A8D"/>
    <w:rsid w:val="00082B85"/>
    <w:rsid w:val="00082BC7"/>
    <w:rsid w:val="00082C52"/>
    <w:rsid w:val="00082D2E"/>
    <w:rsid w:val="00082D8E"/>
    <w:rsid w:val="00082DA2"/>
    <w:rsid w:val="00082FE1"/>
    <w:rsid w:val="000830E1"/>
    <w:rsid w:val="00083149"/>
    <w:rsid w:val="00083256"/>
    <w:rsid w:val="00083284"/>
    <w:rsid w:val="00083362"/>
    <w:rsid w:val="000833CC"/>
    <w:rsid w:val="00083452"/>
    <w:rsid w:val="00083499"/>
    <w:rsid w:val="00083511"/>
    <w:rsid w:val="00083581"/>
    <w:rsid w:val="00083684"/>
    <w:rsid w:val="00083742"/>
    <w:rsid w:val="000837CC"/>
    <w:rsid w:val="00083869"/>
    <w:rsid w:val="000838D8"/>
    <w:rsid w:val="00083948"/>
    <w:rsid w:val="00083951"/>
    <w:rsid w:val="00083966"/>
    <w:rsid w:val="0008397A"/>
    <w:rsid w:val="0008399C"/>
    <w:rsid w:val="00083A55"/>
    <w:rsid w:val="00083C28"/>
    <w:rsid w:val="00083CF5"/>
    <w:rsid w:val="00083D2A"/>
    <w:rsid w:val="00083E65"/>
    <w:rsid w:val="00083ED0"/>
    <w:rsid w:val="00083EEF"/>
    <w:rsid w:val="00083F9F"/>
    <w:rsid w:val="000840DB"/>
    <w:rsid w:val="000840E7"/>
    <w:rsid w:val="000840FC"/>
    <w:rsid w:val="000841AC"/>
    <w:rsid w:val="00084291"/>
    <w:rsid w:val="000842F0"/>
    <w:rsid w:val="000842FC"/>
    <w:rsid w:val="00084312"/>
    <w:rsid w:val="00084487"/>
    <w:rsid w:val="000844A0"/>
    <w:rsid w:val="00084579"/>
    <w:rsid w:val="000845B1"/>
    <w:rsid w:val="0008461A"/>
    <w:rsid w:val="000847E0"/>
    <w:rsid w:val="00084810"/>
    <w:rsid w:val="00084911"/>
    <w:rsid w:val="0008493E"/>
    <w:rsid w:val="000849B2"/>
    <w:rsid w:val="000849F1"/>
    <w:rsid w:val="00084A27"/>
    <w:rsid w:val="00084A73"/>
    <w:rsid w:val="00084AD1"/>
    <w:rsid w:val="00084B02"/>
    <w:rsid w:val="00084B12"/>
    <w:rsid w:val="00084C85"/>
    <w:rsid w:val="00084D22"/>
    <w:rsid w:val="00084DD0"/>
    <w:rsid w:val="00084E29"/>
    <w:rsid w:val="00084ECD"/>
    <w:rsid w:val="00084EDA"/>
    <w:rsid w:val="00084F42"/>
    <w:rsid w:val="00084F58"/>
    <w:rsid w:val="00085160"/>
    <w:rsid w:val="000851DF"/>
    <w:rsid w:val="00085311"/>
    <w:rsid w:val="000853B2"/>
    <w:rsid w:val="000854C9"/>
    <w:rsid w:val="00085526"/>
    <w:rsid w:val="00085622"/>
    <w:rsid w:val="0008566E"/>
    <w:rsid w:val="00085687"/>
    <w:rsid w:val="000856ED"/>
    <w:rsid w:val="0008583B"/>
    <w:rsid w:val="00085947"/>
    <w:rsid w:val="00085998"/>
    <w:rsid w:val="000859D1"/>
    <w:rsid w:val="00085A0C"/>
    <w:rsid w:val="00085CF9"/>
    <w:rsid w:val="00085D11"/>
    <w:rsid w:val="00085D34"/>
    <w:rsid w:val="00085D6F"/>
    <w:rsid w:val="00085D89"/>
    <w:rsid w:val="00085EE7"/>
    <w:rsid w:val="00085EF0"/>
    <w:rsid w:val="0008608D"/>
    <w:rsid w:val="000861AD"/>
    <w:rsid w:val="000861C6"/>
    <w:rsid w:val="0008638D"/>
    <w:rsid w:val="00086395"/>
    <w:rsid w:val="00086562"/>
    <w:rsid w:val="00086569"/>
    <w:rsid w:val="000865B6"/>
    <w:rsid w:val="000865CF"/>
    <w:rsid w:val="00086631"/>
    <w:rsid w:val="000866EA"/>
    <w:rsid w:val="000867AA"/>
    <w:rsid w:val="000868B5"/>
    <w:rsid w:val="00086924"/>
    <w:rsid w:val="00086973"/>
    <w:rsid w:val="00086A0B"/>
    <w:rsid w:val="00086A13"/>
    <w:rsid w:val="00086AC2"/>
    <w:rsid w:val="00086AEC"/>
    <w:rsid w:val="00086B14"/>
    <w:rsid w:val="00086C0C"/>
    <w:rsid w:val="00086D56"/>
    <w:rsid w:val="00086DA4"/>
    <w:rsid w:val="00086DD0"/>
    <w:rsid w:val="00086E75"/>
    <w:rsid w:val="00086EF0"/>
    <w:rsid w:val="00086F3E"/>
    <w:rsid w:val="00086FB2"/>
    <w:rsid w:val="00087037"/>
    <w:rsid w:val="0008706C"/>
    <w:rsid w:val="00087081"/>
    <w:rsid w:val="00087158"/>
    <w:rsid w:val="000871B5"/>
    <w:rsid w:val="000871C6"/>
    <w:rsid w:val="00087204"/>
    <w:rsid w:val="00087256"/>
    <w:rsid w:val="00087473"/>
    <w:rsid w:val="0008749C"/>
    <w:rsid w:val="0008769F"/>
    <w:rsid w:val="00087712"/>
    <w:rsid w:val="0008777A"/>
    <w:rsid w:val="000877F9"/>
    <w:rsid w:val="00087816"/>
    <w:rsid w:val="00087893"/>
    <w:rsid w:val="000878BF"/>
    <w:rsid w:val="000878CA"/>
    <w:rsid w:val="000878CF"/>
    <w:rsid w:val="00087979"/>
    <w:rsid w:val="00087999"/>
    <w:rsid w:val="00087B8B"/>
    <w:rsid w:val="00087C2A"/>
    <w:rsid w:val="00087D30"/>
    <w:rsid w:val="00087DDC"/>
    <w:rsid w:val="00087F81"/>
    <w:rsid w:val="0009006C"/>
    <w:rsid w:val="00090139"/>
    <w:rsid w:val="00090183"/>
    <w:rsid w:val="00090238"/>
    <w:rsid w:val="0009030E"/>
    <w:rsid w:val="0009036F"/>
    <w:rsid w:val="000904FC"/>
    <w:rsid w:val="00090647"/>
    <w:rsid w:val="00090909"/>
    <w:rsid w:val="00090947"/>
    <w:rsid w:val="0009097F"/>
    <w:rsid w:val="000909BB"/>
    <w:rsid w:val="00090A57"/>
    <w:rsid w:val="00090A71"/>
    <w:rsid w:val="00090B6F"/>
    <w:rsid w:val="00090C69"/>
    <w:rsid w:val="00090DDB"/>
    <w:rsid w:val="00090DEF"/>
    <w:rsid w:val="00090F0C"/>
    <w:rsid w:val="00091008"/>
    <w:rsid w:val="00091035"/>
    <w:rsid w:val="00091226"/>
    <w:rsid w:val="00091315"/>
    <w:rsid w:val="0009137B"/>
    <w:rsid w:val="000914D3"/>
    <w:rsid w:val="000914E2"/>
    <w:rsid w:val="00091682"/>
    <w:rsid w:val="00091704"/>
    <w:rsid w:val="00091733"/>
    <w:rsid w:val="000917AE"/>
    <w:rsid w:val="0009190F"/>
    <w:rsid w:val="000919CD"/>
    <w:rsid w:val="00091AC1"/>
    <w:rsid w:val="00091AFF"/>
    <w:rsid w:val="00091B4F"/>
    <w:rsid w:val="00091BEA"/>
    <w:rsid w:val="00091C8F"/>
    <w:rsid w:val="00091CAD"/>
    <w:rsid w:val="00091CF3"/>
    <w:rsid w:val="00091CFF"/>
    <w:rsid w:val="00091D2D"/>
    <w:rsid w:val="00091E38"/>
    <w:rsid w:val="00091F05"/>
    <w:rsid w:val="00091F85"/>
    <w:rsid w:val="00091FB1"/>
    <w:rsid w:val="00091FD2"/>
    <w:rsid w:val="00092007"/>
    <w:rsid w:val="0009202F"/>
    <w:rsid w:val="0009207F"/>
    <w:rsid w:val="000920B5"/>
    <w:rsid w:val="000920ED"/>
    <w:rsid w:val="00092240"/>
    <w:rsid w:val="0009229E"/>
    <w:rsid w:val="0009229F"/>
    <w:rsid w:val="000924CC"/>
    <w:rsid w:val="000924DC"/>
    <w:rsid w:val="000924FA"/>
    <w:rsid w:val="000925FF"/>
    <w:rsid w:val="00092620"/>
    <w:rsid w:val="00092772"/>
    <w:rsid w:val="0009286D"/>
    <w:rsid w:val="0009298E"/>
    <w:rsid w:val="00092A36"/>
    <w:rsid w:val="00092AC5"/>
    <w:rsid w:val="00092BFB"/>
    <w:rsid w:val="00092C07"/>
    <w:rsid w:val="00092C60"/>
    <w:rsid w:val="00092FA9"/>
    <w:rsid w:val="00093006"/>
    <w:rsid w:val="0009302F"/>
    <w:rsid w:val="000930C4"/>
    <w:rsid w:val="00093145"/>
    <w:rsid w:val="000933A8"/>
    <w:rsid w:val="000933FD"/>
    <w:rsid w:val="00093441"/>
    <w:rsid w:val="000934D9"/>
    <w:rsid w:val="00093528"/>
    <w:rsid w:val="0009357F"/>
    <w:rsid w:val="00093582"/>
    <w:rsid w:val="00093583"/>
    <w:rsid w:val="000936A9"/>
    <w:rsid w:val="000936E4"/>
    <w:rsid w:val="000936F8"/>
    <w:rsid w:val="00093711"/>
    <w:rsid w:val="00093720"/>
    <w:rsid w:val="000937A2"/>
    <w:rsid w:val="000937FF"/>
    <w:rsid w:val="00093839"/>
    <w:rsid w:val="00093869"/>
    <w:rsid w:val="00093923"/>
    <w:rsid w:val="00093960"/>
    <w:rsid w:val="0009399F"/>
    <w:rsid w:val="000939B2"/>
    <w:rsid w:val="00093A0E"/>
    <w:rsid w:val="00093BC7"/>
    <w:rsid w:val="00093BEE"/>
    <w:rsid w:val="00093BFF"/>
    <w:rsid w:val="00093C4F"/>
    <w:rsid w:val="00093C5C"/>
    <w:rsid w:val="00093E68"/>
    <w:rsid w:val="00093F0A"/>
    <w:rsid w:val="00093F48"/>
    <w:rsid w:val="00094144"/>
    <w:rsid w:val="0009415F"/>
    <w:rsid w:val="000942C1"/>
    <w:rsid w:val="0009433A"/>
    <w:rsid w:val="00094454"/>
    <w:rsid w:val="00094469"/>
    <w:rsid w:val="000944C2"/>
    <w:rsid w:val="000945D5"/>
    <w:rsid w:val="000946D1"/>
    <w:rsid w:val="000948B9"/>
    <w:rsid w:val="000948BC"/>
    <w:rsid w:val="000948F4"/>
    <w:rsid w:val="00094915"/>
    <w:rsid w:val="00094A0C"/>
    <w:rsid w:val="00094A62"/>
    <w:rsid w:val="00094AD1"/>
    <w:rsid w:val="00094B06"/>
    <w:rsid w:val="00094B12"/>
    <w:rsid w:val="00094BE4"/>
    <w:rsid w:val="00094CD0"/>
    <w:rsid w:val="00094E24"/>
    <w:rsid w:val="00094E45"/>
    <w:rsid w:val="00094E9D"/>
    <w:rsid w:val="00094FFF"/>
    <w:rsid w:val="000950DB"/>
    <w:rsid w:val="000951DC"/>
    <w:rsid w:val="00095260"/>
    <w:rsid w:val="0009529F"/>
    <w:rsid w:val="0009537C"/>
    <w:rsid w:val="0009540D"/>
    <w:rsid w:val="00095440"/>
    <w:rsid w:val="00095498"/>
    <w:rsid w:val="000955AF"/>
    <w:rsid w:val="000955BB"/>
    <w:rsid w:val="000956A9"/>
    <w:rsid w:val="000956E0"/>
    <w:rsid w:val="00095701"/>
    <w:rsid w:val="00095874"/>
    <w:rsid w:val="0009589C"/>
    <w:rsid w:val="00095931"/>
    <w:rsid w:val="00095963"/>
    <w:rsid w:val="0009599F"/>
    <w:rsid w:val="00095A03"/>
    <w:rsid w:val="00095A98"/>
    <w:rsid w:val="00095B15"/>
    <w:rsid w:val="00095B5A"/>
    <w:rsid w:val="00095B86"/>
    <w:rsid w:val="00095C3B"/>
    <w:rsid w:val="00095D7B"/>
    <w:rsid w:val="00095D9D"/>
    <w:rsid w:val="00095DD4"/>
    <w:rsid w:val="00095ED5"/>
    <w:rsid w:val="00095F2A"/>
    <w:rsid w:val="00095F49"/>
    <w:rsid w:val="00096142"/>
    <w:rsid w:val="0009628D"/>
    <w:rsid w:val="00096380"/>
    <w:rsid w:val="0009638F"/>
    <w:rsid w:val="0009654E"/>
    <w:rsid w:val="00096630"/>
    <w:rsid w:val="000966BF"/>
    <w:rsid w:val="00096828"/>
    <w:rsid w:val="000968EE"/>
    <w:rsid w:val="000969E3"/>
    <w:rsid w:val="00096A72"/>
    <w:rsid w:val="00096A84"/>
    <w:rsid w:val="00096AB7"/>
    <w:rsid w:val="00096B3C"/>
    <w:rsid w:val="00096BA4"/>
    <w:rsid w:val="00096BCE"/>
    <w:rsid w:val="00096BD1"/>
    <w:rsid w:val="00096C04"/>
    <w:rsid w:val="00096C10"/>
    <w:rsid w:val="00096C24"/>
    <w:rsid w:val="00096D6B"/>
    <w:rsid w:val="00096E68"/>
    <w:rsid w:val="00096EAE"/>
    <w:rsid w:val="00097037"/>
    <w:rsid w:val="0009704B"/>
    <w:rsid w:val="000970B0"/>
    <w:rsid w:val="0009729C"/>
    <w:rsid w:val="0009733D"/>
    <w:rsid w:val="00097394"/>
    <w:rsid w:val="000973A0"/>
    <w:rsid w:val="0009748A"/>
    <w:rsid w:val="0009752D"/>
    <w:rsid w:val="00097578"/>
    <w:rsid w:val="000975AF"/>
    <w:rsid w:val="000975CC"/>
    <w:rsid w:val="000975D9"/>
    <w:rsid w:val="000975E0"/>
    <w:rsid w:val="00097620"/>
    <w:rsid w:val="000976B0"/>
    <w:rsid w:val="00097722"/>
    <w:rsid w:val="000977CC"/>
    <w:rsid w:val="00097874"/>
    <w:rsid w:val="000978A4"/>
    <w:rsid w:val="000978E3"/>
    <w:rsid w:val="00097923"/>
    <w:rsid w:val="00097970"/>
    <w:rsid w:val="000979CE"/>
    <w:rsid w:val="000979E8"/>
    <w:rsid w:val="00097B13"/>
    <w:rsid w:val="00097DED"/>
    <w:rsid w:val="00097E0A"/>
    <w:rsid w:val="00097F62"/>
    <w:rsid w:val="00097F69"/>
    <w:rsid w:val="00097FC6"/>
    <w:rsid w:val="000A0016"/>
    <w:rsid w:val="000A0047"/>
    <w:rsid w:val="000A00D6"/>
    <w:rsid w:val="000A00D7"/>
    <w:rsid w:val="000A01AD"/>
    <w:rsid w:val="000A01F4"/>
    <w:rsid w:val="000A0201"/>
    <w:rsid w:val="000A02AF"/>
    <w:rsid w:val="000A02B7"/>
    <w:rsid w:val="000A02E8"/>
    <w:rsid w:val="000A03A3"/>
    <w:rsid w:val="000A03CB"/>
    <w:rsid w:val="000A046E"/>
    <w:rsid w:val="000A04BC"/>
    <w:rsid w:val="000A04FD"/>
    <w:rsid w:val="000A0506"/>
    <w:rsid w:val="000A056B"/>
    <w:rsid w:val="000A060E"/>
    <w:rsid w:val="000A063C"/>
    <w:rsid w:val="000A0649"/>
    <w:rsid w:val="000A08F1"/>
    <w:rsid w:val="000A0A8D"/>
    <w:rsid w:val="000A0A95"/>
    <w:rsid w:val="000A0AA7"/>
    <w:rsid w:val="000A0B14"/>
    <w:rsid w:val="000A0B8E"/>
    <w:rsid w:val="000A0CC4"/>
    <w:rsid w:val="000A0CE2"/>
    <w:rsid w:val="000A0D60"/>
    <w:rsid w:val="000A0DED"/>
    <w:rsid w:val="000A108C"/>
    <w:rsid w:val="000A1107"/>
    <w:rsid w:val="000A1123"/>
    <w:rsid w:val="000A1286"/>
    <w:rsid w:val="000A1428"/>
    <w:rsid w:val="000A14BA"/>
    <w:rsid w:val="000A154B"/>
    <w:rsid w:val="000A1677"/>
    <w:rsid w:val="000A189A"/>
    <w:rsid w:val="000A190B"/>
    <w:rsid w:val="000A1A70"/>
    <w:rsid w:val="000A1B88"/>
    <w:rsid w:val="000A1BF2"/>
    <w:rsid w:val="000A1C41"/>
    <w:rsid w:val="000A1C73"/>
    <w:rsid w:val="000A1D43"/>
    <w:rsid w:val="000A1D9F"/>
    <w:rsid w:val="000A1E0A"/>
    <w:rsid w:val="000A1F40"/>
    <w:rsid w:val="000A1F51"/>
    <w:rsid w:val="000A1FD2"/>
    <w:rsid w:val="000A207B"/>
    <w:rsid w:val="000A2099"/>
    <w:rsid w:val="000A21CD"/>
    <w:rsid w:val="000A21FB"/>
    <w:rsid w:val="000A224D"/>
    <w:rsid w:val="000A2280"/>
    <w:rsid w:val="000A2331"/>
    <w:rsid w:val="000A23C5"/>
    <w:rsid w:val="000A23EA"/>
    <w:rsid w:val="000A23F5"/>
    <w:rsid w:val="000A2482"/>
    <w:rsid w:val="000A24C1"/>
    <w:rsid w:val="000A267A"/>
    <w:rsid w:val="000A26BF"/>
    <w:rsid w:val="000A2704"/>
    <w:rsid w:val="000A27D7"/>
    <w:rsid w:val="000A286F"/>
    <w:rsid w:val="000A298D"/>
    <w:rsid w:val="000A2A31"/>
    <w:rsid w:val="000A2A40"/>
    <w:rsid w:val="000A2A81"/>
    <w:rsid w:val="000A2B10"/>
    <w:rsid w:val="000A2B23"/>
    <w:rsid w:val="000A2B66"/>
    <w:rsid w:val="000A2BF0"/>
    <w:rsid w:val="000A2CB4"/>
    <w:rsid w:val="000A2D3F"/>
    <w:rsid w:val="000A2D82"/>
    <w:rsid w:val="000A2DF2"/>
    <w:rsid w:val="000A2EF1"/>
    <w:rsid w:val="000A2F9E"/>
    <w:rsid w:val="000A3018"/>
    <w:rsid w:val="000A301F"/>
    <w:rsid w:val="000A30A9"/>
    <w:rsid w:val="000A30CD"/>
    <w:rsid w:val="000A30D2"/>
    <w:rsid w:val="000A3118"/>
    <w:rsid w:val="000A314F"/>
    <w:rsid w:val="000A3200"/>
    <w:rsid w:val="000A3224"/>
    <w:rsid w:val="000A3233"/>
    <w:rsid w:val="000A3288"/>
    <w:rsid w:val="000A3365"/>
    <w:rsid w:val="000A3493"/>
    <w:rsid w:val="000A3531"/>
    <w:rsid w:val="000A3613"/>
    <w:rsid w:val="000A36F9"/>
    <w:rsid w:val="000A372E"/>
    <w:rsid w:val="000A3743"/>
    <w:rsid w:val="000A3776"/>
    <w:rsid w:val="000A37AE"/>
    <w:rsid w:val="000A3801"/>
    <w:rsid w:val="000A3829"/>
    <w:rsid w:val="000A390D"/>
    <w:rsid w:val="000A39F6"/>
    <w:rsid w:val="000A3B0F"/>
    <w:rsid w:val="000A3B85"/>
    <w:rsid w:val="000A3C5D"/>
    <w:rsid w:val="000A3C5F"/>
    <w:rsid w:val="000A3D71"/>
    <w:rsid w:val="000A3E12"/>
    <w:rsid w:val="000A3E8E"/>
    <w:rsid w:val="000A3F27"/>
    <w:rsid w:val="000A4019"/>
    <w:rsid w:val="000A4065"/>
    <w:rsid w:val="000A4074"/>
    <w:rsid w:val="000A40D5"/>
    <w:rsid w:val="000A41EC"/>
    <w:rsid w:val="000A41F8"/>
    <w:rsid w:val="000A4300"/>
    <w:rsid w:val="000A43D4"/>
    <w:rsid w:val="000A43E6"/>
    <w:rsid w:val="000A44AE"/>
    <w:rsid w:val="000A44F7"/>
    <w:rsid w:val="000A4545"/>
    <w:rsid w:val="000A457C"/>
    <w:rsid w:val="000A477C"/>
    <w:rsid w:val="000A4817"/>
    <w:rsid w:val="000A4934"/>
    <w:rsid w:val="000A49FA"/>
    <w:rsid w:val="000A4A57"/>
    <w:rsid w:val="000A4AE2"/>
    <w:rsid w:val="000A4B1C"/>
    <w:rsid w:val="000A4B6B"/>
    <w:rsid w:val="000A4B7B"/>
    <w:rsid w:val="000A4BE2"/>
    <w:rsid w:val="000A4CAC"/>
    <w:rsid w:val="000A4D35"/>
    <w:rsid w:val="000A4D69"/>
    <w:rsid w:val="000A4DA3"/>
    <w:rsid w:val="000A4DD4"/>
    <w:rsid w:val="000A504F"/>
    <w:rsid w:val="000A518B"/>
    <w:rsid w:val="000A51F9"/>
    <w:rsid w:val="000A5209"/>
    <w:rsid w:val="000A52BB"/>
    <w:rsid w:val="000A52FF"/>
    <w:rsid w:val="000A531A"/>
    <w:rsid w:val="000A532A"/>
    <w:rsid w:val="000A53C6"/>
    <w:rsid w:val="000A55E3"/>
    <w:rsid w:val="000A564E"/>
    <w:rsid w:val="000A5654"/>
    <w:rsid w:val="000A569D"/>
    <w:rsid w:val="000A56A4"/>
    <w:rsid w:val="000A56A7"/>
    <w:rsid w:val="000A5742"/>
    <w:rsid w:val="000A57CE"/>
    <w:rsid w:val="000A586F"/>
    <w:rsid w:val="000A58FE"/>
    <w:rsid w:val="000A5914"/>
    <w:rsid w:val="000A5961"/>
    <w:rsid w:val="000A59AB"/>
    <w:rsid w:val="000A5A0B"/>
    <w:rsid w:val="000A5AB7"/>
    <w:rsid w:val="000A5AC1"/>
    <w:rsid w:val="000A5ADF"/>
    <w:rsid w:val="000A5AE5"/>
    <w:rsid w:val="000A5B42"/>
    <w:rsid w:val="000A5BC9"/>
    <w:rsid w:val="000A5C05"/>
    <w:rsid w:val="000A5C4A"/>
    <w:rsid w:val="000A5C5E"/>
    <w:rsid w:val="000A5CA1"/>
    <w:rsid w:val="000A5CD2"/>
    <w:rsid w:val="000A5D1D"/>
    <w:rsid w:val="000A5D77"/>
    <w:rsid w:val="000A5EA8"/>
    <w:rsid w:val="000A5EAD"/>
    <w:rsid w:val="000A5F38"/>
    <w:rsid w:val="000A5F6F"/>
    <w:rsid w:val="000A61A0"/>
    <w:rsid w:val="000A629F"/>
    <w:rsid w:val="000A62C5"/>
    <w:rsid w:val="000A655A"/>
    <w:rsid w:val="000A65A9"/>
    <w:rsid w:val="000A65AB"/>
    <w:rsid w:val="000A65E8"/>
    <w:rsid w:val="000A65F7"/>
    <w:rsid w:val="000A6646"/>
    <w:rsid w:val="000A666D"/>
    <w:rsid w:val="000A6683"/>
    <w:rsid w:val="000A668F"/>
    <w:rsid w:val="000A689A"/>
    <w:rsid w:val="000A6913"/>
    <w:rsid w:val="000A6955"/>
    <w:rsid w:val="000A698C"/>
    <w:rsid w:val="000A69D8"/>
    <w:rsid w:val="000A69E8"/>
    <w:rsid w:val="000A6A68"/>
    <w:rsid w:val="000A6C55"/>
    <w:rsid w:val="000A6C64"/>
    <w:rsid w:val="000A6C66"/>
    <w:rsid w:val="000A6D76"/>
    <w:rsid w:val="000A6D98"/>
    <w:rsid w:val="000A6DCF"/>
    <w:rsid w:val="000A6E57"/>
    <w:rsid w:val="000A6E75"/>
    <w:rsid w:val="000A6EBA"/>
    <w:rsid w:val="000A6F8E"/>
    <w:rsid w:val="000A6FDE"/>
    <w:rsid w:val="000A7017"/>
    <w:rsid w:val="000A70A2"/>
    <w:rsid w:val="000A70E3"/>
    <w:rsid w:val="000A71E2"/>
    <w:rsid w:val="000A71FD"/>
    <w:rsid w:val="000A7311"/>
    <w:rsid w:val="000A73A9"/>
    <w:rsid w:val="000A745F"/>
    <w:rsid w:val="000A7520"/>
    <w:rsid w:val="000A7579"/>
    <w:rsid w:val="000A75AD"/>
    <w:rsid w:val="000A75FA"/>
    <w:rsid w:val="000A768B"/>
    <w:rsid w:val="000A76C3"/>
    <w:rsid w:val="000A7733"/>
    <w:rsid w:val="000A7739"/>
    <w:rsid w:val="000A7926"/>
    <w:rsid w:val="000A793D"/>
    <w:rsid w:val="000A7A57"/>
    <w:rsid w:val="000A7B3E"/>
    <w:rsid w:val="000A7BBB"/>
    <w:rsid w:val="000A7D0B"/>
    <w:rsid w:val="000A7E51"/>
    <w:rsid w:val="000B00F2"/>
    <w:rsid w:val="000B01E0"/>
    <w:rsid w:val="000B031E"/>
    <w:rsid w:val="000B04D5"/>
    <w:rsid w:val="000B05E5"/>
    <w:rsid w:val="000B0831"/>
    <w:rsid w:val="000B0981"/>
    <w:rsid w:val="000B0A05"/>
    <w:rsid w:val="000B0A2E"/>
    <w:rsid w:val="000B0B00"/>
    <w:rsid w:val="000B0D7E"/>
    <w:rsid w:val="000B0DF7"/>
    <w:rsid w:val="000B0E6F"/>
    <w:rsid w:val="000B0EDD"/>
    <w:rsid w:val="000B0F19"/>
    <w:rsid w:val="000B0FDE"/>
    <w:rsid w:val="000B1237"/>
    <w:rsid w:val="000B129F"/>
    <w:rsid w:val="000B12B2"/>
    <w:rsid w:val="000B12CC"/>
    <w:rsid w:val="000B12F4"/>
    <w:rsid w:val="000B1438"/>
    <w:rsid w:val="000B147D"/>
    <w:rsid w:val="000B14B4"/>
    <w:rsid w:val="000B15E3"/>
    <w:rsid w:val="000B15EC"/>
    <w:rsid w:val="000B1686"/>
    <w:rsid w:val="000B1BA1"/>
    <w:rsid w:val="000B1CAB"/>
    <w:rsid w:val="000B1D30"/>
    <w:rsid w:val="000B1D6D"/>
    <w:rsid w:val="000B1E84"/>
    <w:rsid w:val="000B1EB5"/>
    <w:rsid w:val="000B1F54"/>
    <w:rsid w:val="000B202D"/>
    <w:rsid w:val="000B2049"/>
    <w:rsid w:val="000B206A"/>
    <w:rsid w:val="000B2073"/>
    <w:rsid w:val="000B216C"/>
    <w:rsid w:val="000B2207"/>
    <w:rsid w:val="000B2258"/>
    <w:rsid w:val="000B23F0"/>
    <w:rsid w:val="000B244E"/>
    <w:rsid w:val="000B24DB"/>
    <w:rsid w:val="000B24E0"/>
    <w:rsid w:val="000B2535"/>
    <w:rsid w:val="000B2618"/>
    <w:rsid w:val="000B2698"/>
    <w:rsid w:val="000B26AF"/>
    <w:rsid w:val="000B27B5"/>
    <w:rsid w:val="000B282D"/>
    <w:rsid w:val="000B2843"/>
    <w:rsid w:val="000B2849"/>
    <w:rsid w:val="000B285D"/>
    <w:rsid w:val="000B28AD"/>
    <w:rsid w:val="000B29AA"/>
    <w:rsid w:val="000B2A95"/>
    <w:rsid w:val="000B2B5F"/>
    <w:rsid w:val="000B2B73"/>
    <w:rsid w:val="000B2B90"/>
    <w:rsid w:val="000B2BFD"/>
    <w:rsid w:val="000B2CD8"/>
    <w:rsid w:val="000B2CEA"/>
    <w:rsid w:val="000B2D2A"/>
    <w:rsid w:val="000B2DBA"/>
    <w:rsid w:val="000B2E37"/>
    <w:rsid w:val="000B2E41"/>
    <w:rsid w:val="000B2E73"/>
    <w:rsid w:val="000B2ED3"/>
    <w:rsid w:val="000B2F18"/>
    <w:rsid w:val="000B3033"/>
    <w:rsid w:val="000B3171"/>
    <w:rsid w:val="000B31E6"/>
    <w:rsid w:val="000B31F3"/>
    <w:rsid w:val="000B31FB"/>
    <w:rsid w:val="000B351F"/>
    <w:rsid w:val="000B3539"/>
    <w:rsid w:val="000B35B6"/>
    <w:rsid w:val="000B36D9"/>
    <w:rsid w:val="000B371B"/>
    <w:rsid w:val="000B37C2"/>
    <w:rsid w:val="000B380B"/>
    <w:rsid w:val="000B381A"/>
    <w:rsid w:val="000B38C3"/>
    <w:rsid w:val="000B3946"/>
    <w:rsid w:val="000B3AEB"/>
    <w:rsid w:val="000B3BE4"/>
    <w:rsid w:val="000B3D77"/>
    <w:rsid w:val="000B3D7B"/>
    <w:rsid w:val="000B3D86"/>
    <w:rsid w:val="000B3DB1"/>
    <w:rsid w:val="000B3DEC"/>
    <w:rsid w:val="000B3F07"/>
    <w:rsid w:val="000B3F2D"/>
    <w:rsid w:val="000B3FE2"/>
    <w:rsid w:val="000B40CC"/>
    <w:rsid w:val="000B4103"/>
    <w:rsid w:val="000B43A1"/>
    <w:rsid w:val="000B44AB"/>
    <w:rsid w:val="000B459E"/>
    <w:rsid w:val="000B464B"/>
    <w:rsid w:val="000B47D5"/>
    <w:rsid w:val="000B482B"/>
    <w:rsid w:val="000B4868"/>
    <w:rsid w:val="000B4889"/>
    <w:rsid w:val="000B4894"/>
    <w:rsid w:val="000B48E4"/>
    <w:rsid w:val="000B4908"/>
    <w:rsid w:val="000B4AB9"/>
    <w:rsid w:val="000B4AF8"/>
    <w:rsid w:val="000B4B71"/>
    <w:rsid w:val="000B4BBC"/>
    <w:rsid w:val="000B4C4A"/>
    <w:rsid w:val="000B4D5E"/>
    <w:rsid w:val="000B4DF8"/>
    <w:rsid w:val="000B4E46"/>
    <w:rsid w:val="000B4E82"/>
    <w:rsid w:val="000B4ECC"/>
    <w:rsid w:val="000B4FC3"/>
    <w:rsid w:val="000B502B"/>
    <w:rsid w:val="000B5040"/>
    <w:rsid w:val="000B506D"/>
    <w:rsid w:val="000B5088"/>
    <w:rsid w:val="000B5162"/>
    <w:rsid w:val="000B51D7"/>
    <w:rsid w:val="000B521E"/>
    <w:rsid w:val="000B5299"/>
    <w:rsid w:val="000B52C1"/>
    <w:rsid w:val="000B532D"/>
    <w:rsid w:val="000B53A1"/>
    <w:rsid w:val="000B5432"/>
    <w:rsid w:val="000B54CC"/>
    <w:rsid w:val="000B554C"/>
    <w:rsid w:val="000B5635"/>
    <w:rsid w:val="000B56F7"/>
    <w:rsid w:val="000B5773"/>
    <w:rsid w:val="000B57BD"/>
    <w:rsid w:val="000B57CE"/>
    <w:rsid w:val="000B57FC"/>
    <w:rsid w:val="000B58D4"/>
    <w:rsid w:val="000B593F"/>
    <w:rsid w:val="000B5AA9"/>
    <w:rsid w:val="000B5ADF"/>
    <w:rsid w:val="000B5BA1"/>
    <w:rsid w:val="000B5CC0"/>
    <w:rsid w:val="000B5CE4"/>
    <w:rsid w:val="000B5D55"/>
    <w:rsid w:val="000B604D"/>
    <w:rsid w:val="000B6085"/>
    <w:rsid w:val="000B6189"/>
    <w:rsid w:val="000B620A"/>
    <w:rsid w:val="000B627F"/>
    <w:rsid w:val="000B6298"/>
    <w:rsid w:val="000B629F"/>
    <w:rsid w:val="000B63A8"/>
    <w:rsid w:val="000B6496"/>
    <w:rsid w:val="000B64EA"/>
    <w:rsid w:val="000B651B"/>
    <w:rsid w:val="000B658D"/>
    <w:rsid w:val="000B659D"/>
    <w:rsid w:val="000B65D4"/>
    <w:rsid w:val="000B65DB"/>
    <w:rsid w:val="000B65DE"/>
    <w:rsid w:val="000B666C"/>
    <w:rsid w:val="000B6671"/>
    <w:rsid w:val="000B66E8"/>
    <w:rsid w:val="000B6779"/>
    <w:rsid w:val="000B682D"/>
    <w:rsid w:val="000B6883"/>
    <w:rsid w:val="000B695C"/>
    <w:rsid w:val="000B695D"/>
    <w:rsid w:val="000B698B"/>
    <w:rsid w:val="000B69C8"/>
    <w:rsid w:val="000B6C97"/>
    <w:rsid w:val="000B6DD8"/>
    <w:rsid w:val="000B6E15"/>
    <w:rsid w:val="000B6FC3"/>
    <w:rsid w:val="000B7032"/>
    <w:rsid w:val="000B70B8"/>
    <w:rsid w:val="000B70F2"/>
    <w:rsid w:val="000B716D"/>
    <w:rsid w:val="000B71BE"/>
    <w:rsid w:val="000B72DE"/>
    <w:rsid w:val="000B74ED"/>
    <w:rsid w:val="000B753B"/>
    <w:rsid w:val="000B75AC"/>
    <w:rsid w:val="000B775E"/>
    <w:rsid w:val="000B77B8"/>
    <w:rsid w:val="000B782F"/>
    <w:rsid w:val="000B7861"/>
    <w:rsid w:val="000B78B2"/>
    <w:rsid w:val="000B78D7"/>
    <w:rsid w:val="000B79BA"/>
    <w:rsid w:val="000B7B55"/>
    <w:rsid w:val="000B7D17"/>
    <w:rsid w:val="000B7DD2"/>
    <w:rsid w:val="000B7E57"/>
    <w:rsid w:val="000B7E8D"/>
    <w:rsid w:val="000B7EA7"/>
    <w:rsid w:val="000B7EE4"/>
    <w:rsid w:val="000B7F0D"/>
    <w:rsid w:val="000B7F1C"/>
    <w:rsid w:val="000B7F35"/>
    <w:rsid w:val="000B7FA4"/>
    <w:rsid w:val="000B7FE6"/>
    <w:rsid w:val="000C029D"/>
    <w:rsid w:val="000C0305"/>
    <w:rsid w:val="000C034E"/>
    <w:rsid w:val="000C03CE"/>
    <w:rsid w:val="000C044D"/>
    <w:rsid w:val="000C0483"/>
    <w:rsid w:val="000C04C5"/>
    <w:rsid w:val="000C059A"/>
    <w:rsid w:val="000C06B0"/>
    <w:rsid w:val="000C0722"/>
    <w:rsid w:val="000C0872"/>
    <w:rsid w:val="000C08C8"/>
    <w:rsid w:val="000C0921"/>
    <w:rsid w:val="000C0991"/>
    <w:rsid w:val="000C0A2E"/>
    <w:rsid w:val="000C0A31"/>
    <w:rsid w:val="000C0B3A"/>
    <w:rsid w:val="000C0C7C"/>
    <w:rsid w:val="000C0CE8"/>
    <w:rsid w:val="000C0D05"/>
    <w:rsid w:val="000C0DAB"/>
    <w:rsid w:val="000C0F59"/>
    <w:rsid w:val="000C1082"/>
    <w:rsid w:val="000C10ED"/>
    <w:rsid w:val="000C10FF"/>
    <w:rsid w:val="000C114C"/>
    <w:rsid w:val="000C1162"/>
    <w:rsid w:val="000C116B"/>
    <w:rsid w:val="000C1193"/>
    <w:rsid w:val="000C1199"/>
    <w:rsid w:val="000C1307"/>
    <w:rsid w:val="000C13BC"/>
    <w:rsid w:val="000C1400"/>
    <w:rsid w:val="000C146B"/>
    <w:rsid w:val="000C14E9"/>
    <w:rsid w:val="000C156D"/>
    <w:rsid w:val="000C157A"/>
    <w:rsid w:val="000C1632"/>
    <w:rsid w:val="000C16EB"/>
    <w:rsid w:val="000C1736"/>
    <w:rsid w:val="000C1757"/>
    <w:rsid w:val="000C17D0"/>
    <w:rsid w:val="000C17E3"/>
    <w:rsid w:val="000C181E"/>
    <w:rsid w:val="000C18A8"/>
    <w:rsid w:val="000C191C"/>
    <w:rsid w:val="000C1AE7"/>
    <w:rsid w:val="000C1B37"/>
    <w:rsid w:val="000C1B6C"/>
    <w:rsid w:val="000C1C8C"/>
    <w:rsid w:val="000C1D48"/>
    <w:rsid w:val="000C1D58"/>
    <w:rsid w:val="000C1D85"/>
    <w:rsid w:val="000C1E81"/>
    <w:rsid w:val="000C1FFB"/>
    <w:rsid w:val="000C2030"/>
    <w:rsid w:val="000C2052"/>
    <w:rsid w:val="000C20B0"/>
    <w:rsid w:val="000C212C"/>
    <w:rsid w:val="000C2173"/>
    <w:rsid w:val="000C21AE"/>
    <w:rsid w:val="000C21E5"/>
    <w:rsid w:val="000C2354"/>
    <w:rsid w:val="000C23A2"/>
    <w:rsid w:val="000C2430"/>
    <w:rsid w:val="000C265A"/>
    <w:rsid w:val="000C2714"/>
    <w:rsid w:val="000C2814"/>
    <w:rsid w:val="000C2833"/>
    <w:rsid w:val="000C298A"/>
    <w:rsid w:val="000C2A18"/>
    <w:rsid w:val="000C2B5F"/>
    <w:rsid w:val="000C2D16"/>
    <w:rsid w:val="000C2D78"/>
    <w:rsid w:val="000C2E74"/>
    <w:rsid w:val="000C2E83"/>
    <w:rsid w:val="000C2EFC"/>
    <w:rsid w:val="000C2F62"/>
    <w:rsid w:val="000C2F6B"/>
    <w:rsid w:val="000C2F8F"/>
    <w:rsid w:val="000C30B1"/>
    <w:rsid w:val="000C3112"/>
    <w:rsid w:val="000C311E"/>
    <w:rsid w:val="000C3202"/>
    <w:rsid w:val="000C331C"/>
    <w:rsid w:val="000C3325"/>
    <w:rsid w:val="000C33AC"/>
    <w:rsid w:val="000C3520"/>
    <w:rsid w:val="000C35FC"/>
    <w:rsid w:val="000C3604"/>
    <w:rsid w:val="000C3648"/>
    <w:rsid w:val="000C365D"/>
    <w:rsid w:val="000C3766"/>
    <w:rsid w:val="000C37F2"/>
    <w:rsid w:val="000C37FF"/>
    <w:rsid w:val="000C397E"/>
    <w:rsid w:val="000C39EF"/>
    <w:rsid w:val="000C3A23"/>
    <w:rsid w:val="000C3A89"/>
    <w:rsid w:val="000C3C4C"/>
    <w:rsid w:val="000C3C68"/>
    <w:rsid w:val="000C3DFF"/>
    <w:rsid w:val="000C3E4C"/>
    <w:rsid w:val="000C3E5D"/>
    <w:rsid w:val="000C3EE9"/>
    <w:rsid w:val="000C3F1B"/>
    <w:rsid w:val="000C3F3C"/>
    <w:rsid w:val="000C402C"/>
    <w:rsid w:val="000C40B3"/>
    <w:rsid w:val="000C40B9"/>
    <w:rsid w:val="000C40DB"/>
    <w:rsid w:val="000C40E5"/>
    <w:rsid w:val="000C4238"/>
    <w:rsid w:val="000C43FE"/>
    <w:rsid w:val="000C442F"/>
    <w:rsid w:val="000C4713"/>
    <w:rsid w:val="000C4756"/>
    <w:rsid w:val="000C47E4"/>
    <w:rsid w:val="000C4898"/>
    <w:rsid w:val="000C4909"/>
    <w:rsid w:val="000C49E1"/>
    <w:rsid w:val="000C4A12"/>
    <w:rsid w:val="000C4C1E"/>
    <w:rsid w:val="000C4CD9"/>
    <w:rsid w:val="000C4D43"/>
    <w:rsid w:val="000C4D4B"/>
    <w:rsid w:val="000C4EA7"/>
    <w:rsid w:val="000C4F0A"/>
    <w:rsid w:val="000C5019"/>
    <w:rsid w:val="000C50AE"/>
    <w:rsid w:val="000C516D"/>
    <w:rsid w:val="000C52F4"/>
    <w:rsid w:val="000C5374"/>
    <w:rsid w:val="000C5456"/>
    <w:rsid w:val="000C5467"/>
    <w:rsid w:val="000C54BD"/>
    <w:rsid w:val="000C558F"/>
    <w:rsid w:val="000C5650"/>
    <w:rsid w:val="000C5670"/>
    <w:rsid w:val="000C56D1"/>
    <w:rsid w:val="000C56D3"/>
    <w:rsid w:val="000C57A1"/>
    <w:rsid w:val="000C5811"/>
    <w:rsid w:val="000C58C3"/>
    <w:rsid w:val="000C58DC"/>
    <w:rsid w:val="000C5A72"/>
    <w:rsid w:val="000C5B30"/>
    <w:rsid w:val="000C5BB8"/>
    <w:rsid w:val="000C5C24"/>
    <w:rsid w:val="000C5CDE"/>
    <w:rsid w:val="000C5D7A"/>
    <w:rsid w:val="000C5DA3"/>
    <w:rsid w:val="000C5E75"/>
    <w:rsid w:val="000C5EBB"/>
    <w:rsid w:val="000C5F06"/>
    <w:rsid w:val="000C60F3"/>
    <w:rsid w:val="000C61EC"/>
    <w:rsid w:val="000C61FB"/>
    <w:rsid w:val="000C62D2"/>
    <w:rsid w:val="000C636B"/>
    <w:rsid w:val="000C6428"/>
    <w:rsid w:val="000C6471"/>
    <w:rsid w:val="000C6535"/>
    <w:rsid w:val="000C6749"/>
    <w:rsid w:val="000C677C"/>
    <w:rsid w:val="000C67BF"/>
    <w:rsid w:val="000C67CF"/>
    <w:rsid w:val="000C68BA"/>
    <w:rsid w:val="000C68CD"/>
    <w:rsid w:val="000C695D"/>
    <w:rsid w:val="000C6999"/>
    <w:rsid w:val="000C69E5"/>
    <w:rsid w:val="000C6A8E"/>
    <w:rsid w:val="000C6F76"/>
    <w:rsid w:val="000C6FA4"/>
    <w:rsid w:val="000C6FC1"/>
    <w:rsid w:val="000C715D"/>
    <w:rsid w:val="000C71B5"/>
    <w:rsid w:val="000C7206"/>
    <w:rsid w:val="000C7366"/>
    <w:rsid w:val="000C73CF"/>
    <w:rsid w:val="000C7419"/>
    <w:rsid w:val="000C741B"/>
    <w:rsid w:val="000C751B"/>
    <w:rsid w:val="000C75B0"/>
    <w:rsid w:val="000C75D3"/>
    <w:rsid w:val="000C762B"/>
    <w:rsid w:val="000C7645"/>
    <w:rsid w:val="000C77B8"/>
    <w:rsid w:val="000C77DE"/>
    <w:rsid w:val="000C77E0"/>
    <w:rsid w:val="000C77EF"/>
    <w:rsid w:val="000C791F"/>
    <w:rsid w:val="000C79E3"/>
    <w:rsid w:val="000C7A61"/>
    <w:rsid w:val="000C7B2B"/>
    <w:rsid w:val="000C7BB0"/>
    <w:rsid w:val="000C7BB9"/>
    <w:rsid w:val="000C7C12"/>
    <w:rsid w:val="000C7C97"/>
    <w:rsid w:val="000C7CAF"/>
    <w:rsid w:val="000C7CD8"/>
    <w:rsid w:val="000C7D61"/>
    <w:rsid w:val="000C7D7F"/>
    <w:rsid w:val="000C7EAB"/>
    <w:rsid w:val="000C7FAC"/>
    <w:rsid w:val="000D00B9"/>
    <w:rsid w:val="000D00EC"/>
    <w:rsid w:val="000D0125"/>
    <w:rsid w:val="000D024B"/>
    <w:rsid w:val="000D032E"/>
    <w:rsid w:val="000D034E"/>
    <w:rsid w:val="000D036F"/>
    <w:rsid w:val="000D041F"/>
    <w:rsid w:val="000D0484"/>
    <w:rsid w:val="000D04A0"/>
    <w:rsid w:val="000D0548"/>
    <w:rsid w:val="000D0556"/>
    <w:rsid w:val="000D0576"/>
    <w:rsid w:val="000D05E0"/>
    <w:rsid w:val="000D0634"/>
    <w:rsid w:val="000D0823"/>
    <w:rsid w:val="000D08BD"/>
    <w:rsid w:val="000D08C0"/>
    <w:rsid w:val="000D09F4"/>
    <w:rsid w:val="000D0BC4"/>
    <w:rsid w:val="000D0CD1"/>
    <w:rsid w:val="000D0D56"/>
    <w:rsid w:val="000D0D83"/>
    <w:rsid w:val="000D0DA7"/>
    <w:rsid w:val="000D0E2A"/>
    <w:rsid w:val="000D0F14"/>
    <w:rsid w:val="000D0F62"/>
    <w:rsid w:val="000D1020"/>
    <w:rsid w:val="000D1051"/>
    <w:rsid w:val="000D1061"/>
    <w:rsid w:val="000D1068"/>
    <w:rsid w:val="000D11E9"/>
    <w:rsid w:val="000D1202"/>
    <w:rsid w:val="000D1203"/>
    <w:rsid w:val="000D12BC"/>
    <w:rsid w:val="000D130B"/>
    <w:rsid w:val="000D1361"/>
    <w:rsid w:val="000D13AE"/>
    <w:rsid w:val="000D13E4"/>
    <w:rsid w:val="000D145D"/>
    <w:rsid w:val="000D14A5"/>
    <w:rsid w:val="000D161E"/>
    <w:rsid w:val="000D1771"/>
    <w:rsid w:val="000D17A2"/>
    <w:rsid w:val="000D17C3"/>
    <w:rsid w:val="000D1811"/>
    <w:rsid w:val="000D1818"/>
    <w:rsid w:val="000D18E2"/>
    <w:rsid w:val="000D195D"/>
    <w:rsid w:val="000D19F6"/>
    <w:rsid w:val="000D1A16"/>
    <w:rsid w:val="000D1AB4"/>
    <w:rsid w:val="000D1AED"/>
    <w:rsid w:val="000D1C6F"/>
    <w:rsid w:val="000D1CC1"/>
    <w:rsid w:val="000D1CFC"/>
    <w:rsid w:val="000D1D3D"/>
    <w:rsid w:val="000D1DBB"/>
    <w:rsid w:val="000D1DBC"/>
    <w:rsid w:val="000D1EA6"/>
    <w:rsid w:val="000D1EC0"/>
    <w:rsid w:val="000D1EC2"/>
    <w:rsid w:val="000D1ECA"/>
    <w:rsid w:val="000D1ED4"/>
    <w:rsid w:val="000D1EDB"/>
    <w:rsid w:val="000D1F4A"/>
    <w:rsid w:val="000D1F71"/>
    <w:rsid w:val="000D1FB8"/>
    <w:rsid w:val="000D2159"/>
    <w:rsid w:val="000D22A9"/>
    <w:rsid w:val="000D22BB"/>
    <w:rsid w:val="000D24BB"/>
    <w:rsid w:val="000D24F6"/>
    <w:rsid w:val="000D2534"/>
    <w:rsid w:val="000D256A"/>
    <w:rsid w:val="000D26A1"/>
    <w:rsid w:val="000D26DE"/>
    <w:rsid w:val="000D26EC"/>
    <w:rsid w:val="000D2735"/>
    <w:rsid w:val="000D2771"/>
    <w:rsid w:val="000D286C"/>
    <w:rsid w:val="000D2883"/>
    <w:rsid w:val="000D2AFB"/>
    <w:rsid w:val="000D2B1F"/>
    <w:rsid w:val="000D2BCC"/>
    <w:rsid w:val="000D2C81"/>
    <w:rsid w:val="000D2C83"/>
    <w:rsid w:val="000D2CFE"/>
    <w:rsid w:val="000D2D54"/>
    <w:rsid w:val="000D2D90"/>
    <w:rsid w:val="000D2D9D"/>
    <w:rsid w:val="000D2DEB"/>
    <w:rsid w:val="000D2E20"/>
    <w:rsid w:val="000D2EAD"/>
    <w:rsid w:val="000D2F04"/>
    <w:rsid w:val="000D2FC0"/>
    <w:rsid w:val="000D302E"/>
    <w:rsid w:val="000D32EB"/>
    <w:rsid w:val="000D3345"/>
    <w:rsid w:val="000D3354"/>
    <w:rsid w:val="000D340A"/>
    <w:rsid w:val="000D34AA"/>
    <w:rsid w:val="000D3673"/>
    <w:rsid w:val="000D36DA"/>
    <w:rsid w:val="000D36F9"/>
    <w:rsid w:val="000D37B9"/>
    <w:rsid w:val="000D37C2"/>
    <w:rsid w:val="000D386D"/>
    <w:rsid w:val="000D3A1B"/>
    <w:rsid w:val="000D3B58"/>
    <w:rsid w:val="000D3B67"/>
    <w:rsid w:val="000D3C2A"/>
    <w:rsid w:val="000D3C4B"/>
    <w:rsid w:val="000D3DF7"/>
    <w:rsid w:val="000D3E0C"/>
    <w:rsid w:val="000D40B3"/>
    <w:rsid w:val="000D42DB"/>
    <w:rsid w:val="000D43A9"/>
    <w:rsid w:val="000D43E2"/>
    <w:rsid w:val="000D4431"/>
    <w:rsid w:val="000D4442"/>
    <w:rsid w:val="000D44B4"/>
    <w:rsid w:val="000D44EE"/>
    <w:rsid w:val="000D4501"/>
    <w:rsid w:val="000D4577"/>
    <w:rsid w:val="000D45A6"/>
    <w:rsid w:val="000D45FB"/>
    <w:rsid w:val="000D4636"/>
    <w:rsid w:val="000D46E6"/>
    <w:rsid w:val="000D470E"/>
    <w:rsid w:val="000D4785"/>
    <w:rsid w:val="000D47D1"/>
    <w:rsid w:val="000D485F"/>
    <w:rsid w:val="000D4925"/>
    <w:rsid w:val="000D4994"/>
    <w:rsid w:val="000D4C0F"/>
    <w:rsid w:val="000D4C57"/>
    <w:rsid w:val="000D4D41"/>
    <w:rsid w:val="000D4D5B"/>
    <w:rsid w:val="000D4DB4"/>
    <w:rsid w:val="000D4E15"/>
    <w:rsid w:val="000D4F15"/>
    <w:rsid w:val="000D4F24"/>
    <w:rsid w:val="000D4F5F"/>
    <w:rsid w:val="000D5030"/>
    <w:rsid w:val="000D5165"/>
    <w:rsid w:val="000D5189"/>
    <w:rsid w:val="000D528A"/>
    <w:rsid w:val="000D5323"/>
    <w:rsid w:val="000D5366"/>
    <w:rsid w:val="000D53A7"/>
    <w:rsid w:val="000D53BA"/>
    <w:rsid w:val="000D541E"/>
    <w:rsid w:val="000D54D7"/>
    <w:rsid w:val="000D54FD"/>
    <w:rsid w:val="000D557F"/>
    <w:rsid w:val="000D55D0"/>
    <w:rsid w:val="000D56F3"/>
    <w:rsid w:val="000D5740"/>
    <w:rsid w:val="000D5746"/>
    <w:rsid w:val="000D5772"/>
    <w:rsid w:val="000D5799"/>
    <w:rsid w:val="000D579C"/>
    <w:rsid w:val="000D5871"/>
    <w:rsid w:val="000D587C"/>
    <w:rsid w:val="000D58AF"/>
    <w:rsid w:val="000D5987"/>
    <w:rsid w:val="000D5997"/>
    <w:rsid w:val="000D5A52"/>
    <w:rsid w:val="000D5AEF"/>
    <w:rsid w:val="000D5B9E"/>
    <w:rsid w:val="000D5BD1"/>
    <w:rsid w:val="000D5C7F"/>
    <w:rsid w:val="000D5CAE"/>
    <w:rsid w:val="000D5D02"/>
    <w:rsid w:val="000D5D35"/>
    <w:rsid w:val="000D5D72"/>
    <w:rsid w:val="000D5DAD"/>
    <w:rsid w:val="000D5DDD"/>
    <w:rsid w:val="000D5E4C"/>
    <w:rsid w:val="000D5F36"/>
    <w:rsid w:val="000D5F88"/>
    <w:rsid w:val="000D641F"/>
    <w:rsid w:val="000D66C5"/>
    <w:rsid w:val="000D66CD"/>
    <w:rsid w:val="000D67F7"/>
    <w:rsid w:val="000D684B"/>
    <w:rsid w:val="000D68B0"/>
    <w:rsid w:val="000D696F"/>
    <w:rsid w:val="000D6A40"/>
    <w:rsid w:val="000D6ADF"/>
    <w:rsid w:val="000D6B81"/>
    <w:rsid w:val="000D6BCA"/>
    <w:rsid w:val="000D6CBE"/>
    <w:rsid w:val="000D6D7B"/>
    <w:rsid w:val="000D6E7A"/>
    <w:rsid w:val="000D7036"/>
    <w:rsid w:val="000D704F"/>
    <w:rsid w:val="000D71AA"/>
    <w:rsid w:val="000D7309"/>
    <w:rsid w:val="000D739F"/>
    <w:rsid w:val="000D740F"/>
    <w:rsid w:val="000D7462"/>
    <w:rsid w:val="000D74C0"/>
    <w:rsid w:val="000D7500"/>
    <w:rsid w:val="000D752A"/>
    <w:rsid w:val="000D7611"/>
    <w:rsid w:val="000D76F0"/>
    <w:rsid w:val="000D7717"/>
    <w:rsid w:val="000D779A"/>
    <w:rsid w:val="000D77A1"/>
    <w:rsid w:val="000D77AA"/>
    <w:rsid w:val="000D7811"/>
    <w:rsid w:val="000D7844"/>
    <w:rsid w:val="000D79DB"/>
    <w:rsid w:val="000D79F4"/>
    <w:rsid w:val="000D7A08"/>
    <w:rsid w:val="000D7A09"/>
    <w:rsid w:val="000D7A58"/>
    <w:rsid w:val="000D7BA5"/>
    <w:rsid w:val="000D7CD4"/>
    <w:rsid w:val="000D7CD7"/>
    <w:rsid w:val="000D7D74"/>
    <w:rsid w:val="000D7E79"/>
    <w:rsid w:val="000D7F7C"/>
    <w:rsid w:val="000E005C"/>
    <w:rsid w:val="000E00CB"/>
    <w:rsid w:val="000E0182"/>
    <w:rsid w:val="000E018F"/>
    <w:rsid w:val="000E01AD"/>
    <w:rsid w:val="000E020D"/>
    <w:rsid w:val="000E026B"/>
    <w:rsid w:val="000E0325"/>
    <w:rsid w:val="000E033C"/>
    <w:rsid w:val="000E04E9"/>
    <w:rsid w:val="000E04FD"/>
    <w:rsid w:val="000E0563"/>
    <w:rsid w:val="000E0638"/>
    <w:rsid w:val="000E067E"/>
    <w:rsid w:val="000E071A"/>
    <w:rsid w:val="000E07BD"/>
    <w:rsid w:val="000E0853"/>
    <w:rsid w:val="000E0951"/>
    <w:rsid w:val="000E0988"/>
    <w:rsid w:val="000E0A08"/>
    <w:rsid w:val="000E0A2A"/>
    <w:rsid w:val="000E0BA5"/>
    <w:rsid w:val="000E0C55"/>
    <w:rsid w:val="000E0C7B"/>
    <w:rsid w:val="000E0D2A"/>
    <w:rsid w:val="000E0D5D"/>
    <w:rsid w:val="000E0EF6"/>
    <w:rsid w:val="000E10F5"/>
    <w:rsid w:val="000E1135"/>
    <w:rsid w:val="000E11CB"/>
    <w:rsid w:val="000E1460"/>
    <w:rsid w:val="000E14F4"/>
    <w:rsid w:val="000E157F"/>
    <w:rsid w:val="000E15F0"/>
    <w:rsid w:val="000E1639"/>
    <w:rsid w:val="000E1685"/>
    <w:rsid w:val="000E1762"/>
    <w:rsid w:val="000E183A"/>
    <w:rsid w:val="000E195F"/>
    <w:rsid w:val="000E1AFB"/>
    <w:rsid w:val="000E1B8A"/>
    <w:rsid w:val="000E1C2D"/>
    <w:rsid w:val="000E1C52"/>
    <w:rsid w:val="000E1D28"/>
    <w:rsid w:val="000E1D33"/>
    <w:rsid w:val="000E1D45"/>
    <w:rsid w:val="000E1E6C"/>
    <w:rsid w:val="000E1E90"/>
    <w:rsid w:val="000E1F04"/>
    <w:rsid w:val="000E1F09"/>
    <w:rsid w:val="000E1F85"/>
    <w:rsid w:val="000E1F97"/>
    <w:rsid w:val="000E1FB3"/>
    <w:rsid w:val="000E202E"/>
    <w:rsid w:val="000E204D"/>
    <w:rsid w:val="000E2072"/>
    <w:rsid w:val="000E20AC"/>
    <w:rsid w:val="000E20F9"/>
    <w:rsid w:val="000E210C"/>
    <w:rsid w:val="000E214F"/>
    <w:rsid w:val="000E2191"/>
    <w:rsid w:val="000E219D"/>
    <w:rsid w:val="000E21A9"/>
    <w:rsid w:val="000E220F"/>
    <w:rsid w:val="000E228B"/>
    <w:rsid w:val="000E2292"/>
    <w:rsid w:val="000E22C6"/>
    <w:rsid w:val="000E22D4"/>
    <w:rsid w:val="000E2356"/>
    <w:rsid w:val="000E2382"/>
    <w:rsid w:val="000E23EE"/>
    <w:rsid w:val="000E2429"/>
    <w:rsid w:val="000E2438"/>
    <w:rsid w:val="000E2572"/>
    <w:rsid w:val="000E257A"/>
    <w:rsid w:val="000E2691"/>
    <w:rsid w:val="000E271C"/>
    <w:rsid w:val="000E2789"/>
    <w:rsid w:val="000E2790"/>
    <w:rsid w:val="000E27AC"/>
    <w:rsid w:val="000E2906"/>
    <w:rsid w:val="000E2950"/>
    <w:rsid w:val="000E29AD"/>
    <w:rsid w:val="000E2AF5"/>
    <w:rsid w:val="000E2B3A"/>
    <w:rsid w:val="000E2BAE"/>
    <w:rsid w:val="000E2BFB"/>
    <w:rsid w:val="000E2C81"/>
    <w:rsid w:val="000E2EE2"/>
    <w:rsid w:val="000E2F5D"/>
    <w:rsid w:val="000E3105"/>
    <w:rsid w:val="000E3151"/>
    <w:rsid w:val="000E323C"/>
    <w:rsid w:val="000E3256"/>
    <w:rsid w:val="000E32DC"/>
    <w:rsid w:val="000E32E7"/>
    <w:rsid w:val="000E3348"/>
    <w:rsid w:val="000E3479"/>
    <w:rsid w:val="000E358F"/>
    <w:rsid w:val="000E35B8"/>
    <w:rsid w:val="000E35F3"/>
    <w:rsid w:val="000E3603"/>
    <w:rsid w:val="000E367F"/>
    <w:rsid w:val="000E3684"/>
    <w:rsid w:val="000E371F"/>
    <w:rsid w:val="000E3745"/>
    <w:rsid w:val="000E375F"/>
    <w:rsid w:val="000E3772"/>
    <w:rsid w:val="000E37D4"/>
    <w:rsid w:val="000E37F3"/>
    <w:rsid w:val="000E38D2"/>
    <w:rsid w:val="000E38DF"/>
    <w:rsid w:val="000E3931"/>
    <w:rsid w:val="000E3A36"/>
    <w:rsid w:val="000E3A68"/>
    <w:rsid w:val="000E3B02"/>
    <w:rsid w:val="000E3B81"/>
    <w:rsid w:val="000E3B8C"/>
    <w:rsid w:val="000E3BD9"/>
    <w:rsid w:val="000E3C08"/>
    <w:rsid w:val="000E3D0F"/>
    <w:rsid w:val="000E3D44"/>
    <w:rsid w:val="000E3DE3"/>
    <w:rsid w:val="000E3DE7"/>
    <w:rsid w:val="000E3E09"/>
    <w:rsid w:val="000E3E0F"/>
    <w:rsid w:val="000E3E4F"/>
    <w:rsid w:val="000E3E55"/>
    <w:rsid w:val="000E3E96"/>
    <w:rsid w:val="000E3F09"/>
    <w:rsid w:val="000E3FB4"/>
    <w:rsid w:val="000E3FC3"/>
    <w:rsid w:val="000E4009"/>
    <w:rsid w:val="000E4114"/>
    <w:rsid w:val="000E41B2"/>
    <w:rsid w:val="000E42DF"/>
    <w:rsid w:val="000E4327"/>
    <w:rsid w:val="000E4335"/>
    <w:rsid w:val="000E437E"/>
    <w:rsid w:val="000E438C"/>
    <w:rsid w:val="000E4397"/>
    <w:rsid w:val="000E4420"/>
    <w:rsid w:val="000E443E"/>
    <w:rsid w:val="000E447B"/>
    <w:rsid w:val="000E44CD"/>
    <w:rsid w:val="000E44CE"/>
    <w:rsid w:val="000E4519"/>
    <w:rsid w:val="000E46F6"/>
    <w:rsid w:val="000E478B"/>
    <w:rsid w:val="000E47C9"/>
    <w:rsid w:val="000E4948"/>
    <w:rsid w:val="000E4A3C"/>
    <w:rsid w:val="000E4A89"/>
    <w:rsid w:val="000E4AD7"/>
    <w:rsid w:val="000E4B3D"/>
    <w:rsid w:val="000E4BCD"/>
    <w:rsid w:val="000E4C2A"/>
    <w:rsid w:val="000E4C39"/>
    <w:rsid w:val="000E4D17"/>
    <w:rsid w:val="000E4D6E"/>
    <w:rsid w:val="000E4F8E"/>
    <w:rsid w:val="000E4F9C"/>
    <w:rsid w:val="000E505A"/>
    <w:rsid w:val="000E5085"/>
    <w:rsid w:val="000E5091"/>
    <w:rsid w:val="000E50AF"/>
    <w:rsid w:val="000E50F8"/>
    <w:rsid w:val="000E510C"/>
    <w:rsid w:val="000E5228"/>
    <w:rsid w:val="000E52E9"/>
    <w:rsid w:val="000E5373"/>
    <w:rsid w:val="000E53B7"/>
    <w:rsid w:val="000E541A"/>
    <w:rsid w:val="000E550A"/>
    <w:rsid w:val="000E5627"/>
    <w:rsid w:val="000E5629"/>
    <w:rsid w:val="000E56E7"/>
    <w:rsid w:val="000E570D"/>
    <w:rsid w:val="000E57E6"/>
    <w:rsid w:val="000E58DC"/>
    <w:rsid w:val="000E58F9"/>
    <w:rsid w:val="000E5975"/>
    <w:rsid w:val="000E5B0C"/>
    <w:rsid w:val="000E5B49"/>
    <w:rsid w:val="000E5C15"/>
    <w:rsid w:val="000E5C4B"/>
    <w:rsid w:val="000E5C7A"/>
    <w:rsid w:val="000E5FB9"/>
    <w:rsid w:val="000E6016"/>
    <w:rsid w:val="000E6048"/>
    <w:rsid w:val="000E60D3"/>
    <w:rsid w:val="000E6107"/>
    <w:rsid w:val="000E61B0"/>
    <w:rsid w:val="000E6381"/>
    <w:rsid w:val="000E64DD"/>
    <w:rsid w:val="000E658C"/>
    <w:rsid w:val="000E65B0"/>
    <w:rsid w:val="000E65FA"/>
    <w:rsid w:val="000E664F"/>
    <w:rsid w:val="000E6694"/>
    <w:rsid w:val="000E66D7"/>
    <w:rsid w:val="000E6718"/>
    <w:rsid w:val="000E67A7"/>
    <w:rsid w:val="000E67CB"/>
    <w:rsid w:val="000E67DE"/>
    <w:rsid w:val="000E68CE"/>
    <w:rsid w:val="000E6906"/>
    <w:rsid w:val="000E6999"/>
    <w:rsid w:val="000E6AC2"/>
    <w:rsid w:val="000E6BC1"/>
    <w:rsid w:val="000E6C34"/>
    <w:rsid w:val="000E6C67"/>
    <w:rsid w:val="000E6D76"/>
    <w:rsid w:val="000E7008"/>
    <w:rsid w:val="000E7019"/>
    <w:rsid w:val="000E7087"/>
    <w:rsid w:val="000E71BF"/>
    <w:rsid w:val="000E72DE"/>
    <w:rsid w:val="000E734D"/>
    <w:rsid w:val="000E7391"/>
    <w:rsid w:val="000E73BE"/>
    <w:rsid w:val="000E75D2"/>
    <w:rsid w:val="000E75F4"/>
    <w:rsid w:val="000E765A"/>
    <w:rsid w:val="000E76BA"/>
    <w:rsid w:val="000E76EC"/>
    <w:rsid w:val="000E76F3"/>
    <w:rsid w:val="000E7740"/>
    <w:rsid w:val="000E7749"/>
    <w:rsid w:val="000E7758"/>
    <w:rsid w:val="000E77A5"/>
    <w:rsid w:val="000E78FE"/>
    <w:rsid w:val="000E796E"/>
    <w:rsid w:val="000E796F"/>
    <w:rsid w:val="000E79B3"/>
    <w:rsid w:val="000E79E5"/>
    <w:rsid w:val="000E7A65"/>
    <w:rsid w:val="000E7AAA"/>
    <w:rsid w:val="000E7BA4"/>
    <w:rsid w:val="000E7DFE"/>
    <w:rsid w:val="000E7E26"/>
    <w:rsid w:val="000E7E84"/>
    <w:rsid w:val="000E7F42"/>
    <w:rsid w:val="000F010F"/>
    <w:rsid w:val="000F01FB"/>
    <w:rsid w:val="000F0247"/>
    <w:rsid w:val="000F0279"/>
    <w:rsid w:val="000F0352"/>
    <w:rsid w:val="000F038E"/>
    <w:rsid w:val="000F03C8"/>
    <w:rsid w:val="000F0459"/>
    <w:rsid w:val="000F049B"/>
    <w:rsid w:val="000F058A"/>
    <w:rsid w:val="000F06B5"/>
    <w:rsid w:val="000F072D"/>
    <w:rsid w:val="000F079F"/>
    <w:rsid w:val="000F07AC"/>
    <w:rsid w:val="000F0812"/>
    <w:rsid w:val="000F0828"/>
    <w:rsid w:val="000F082A"/>
    <w:rsid w:val="000F084E"/>
    <w:rsid w:val="000F08F2"/>
    <w:rsid w:val="000F090A"/>
    <w:rsid w:val="000F094E"/>
    <w:rsid w:val="000F09D1"/>
    <w:rsid w:val="000F0AC8"/>
    <w:rsid w:val="000F0BAC"/>
    <w:rsid w:val="000F0BEA"/>
    <w:rsid w:val="000F0C1D"/>
    <w:rsid w:val="000F0CEA"/>
    <w:rsid w:val="000F0CF5"/>
    <w:rsid w:val="000F0D1D"/>
    <w:rsid w:val="000F0D44"/>
    <w:rsid w:val="000F0E66"/>
    <w:rsid w:val="000F0FB0"/>
    <w:rsid w:val="000F1024"/>
    <w:rsid w:val="000F104D"/>
    <w:rsid w:val="000F105A"/>
    <w:rsid w:val="000F1061"/>
    <w:rsid w:val="000F1115"/>
    <w:rsid w:val="000F1144"/>
    <w:rsid w:val="000F1169"/>
    <w:rsid w:val="000F11D2"/>
    <w:rsid w:val="000F12D1"/>
    <w:rsid w:val="000F13FB"/>
    <w:rsid w:val="000F1450"/>
    <w:rsid w:val="000F1490"/>
    <w:rsid w:val="000F163C"/>
    <w:rsid w:val="000F16AE"/>
    <w:rsid w:val="000F16C1"/>
    <w:rsid w:val="000F177D"/>
    <w:rsid w:val="000F1A70"/>
    <w:rsid w:val="000F1AA5"/>
    <w:rsid w:val="000F1B4C"/>
    <w:rsid w:val="000F1B56"/>
    <w:rsid w:val="000F1BF5"/>
    <w:rsid w:val="000F1CFB"/>
    <w:rsid w:val="000F1D24"/>
    <w:rsid w:val="000F1D43"/>
    <w:rsid w:val="000F1D54"/>
    <w:rsid w:val="000F1D97"/>
    <w:rsid w:val="000F1E4C"/>
    <w:rsid w:val="000F1E6E"/>
    <w:rsid w:val="000F1E76"/>
    <w:rsid w:val="000F1E7F"/>
    <w:rsid w:val="000F1F04"/>
    <w:rsid w:val="000F200A"/>
    <w:rsid w:val="000F205C"/>
    <w:rsid w:val="000F20B0"/>
    <w:rsid w:val="000F22E9"/>
    <w:rsid w:val="000F2300"/>
    <w:rsid w:val="000F2669"/>
    <w:rsid w:val="000F26CC"/>
    <w:rsid w:val="000F26CD"/>
    <w:rsid w:val="000F26D2"/>
    <w:rsid w:val="000F2911"/>
    <w:rsid w:val="000F2929"/>
    <w:rsid w:val="000F29CE"/>
    <w:rsid w:val="000F2A82"/>
    <w:rsid w:val="000F2AA0"/>
    <w:rsid w:val="000F2AAF"/>
    <w:rsid w:val="000F2BDF"/>
    <w:rsid w:val="000F2CA8"/>
    <w:rsid w:val="000F2D43"/>
    <w:rsid w:val="000F2D6B"/>
    <w:rsid w:val="000F2E05"/>
    <w:rsid w:val="000F2E48"/>
    <w:rsid w:val="000F2E53"/>
    <w:rsid w:val="000F2E55"/>
    <w:rsid w:val="000F2FD6"/>
    <w:rsid w:val="000F2FEE"/>
    <w:rsid w:val="000F30B7"/>
    <w:rsid w:val="000F30D9"/>
    <w:rsid w:val="000F30F2"/>
    <w:rsid w:val="000F3112"/>
    <w:rsid w:val="000F3177"/>
    <w:rsid w:val="000F31BF"/>
    <w:rsid w:val="000F325F"/>
    <w:rsid w:val="000F3356"/>
    <w:rsid w:val="000F3380"/>
    <w:rsid w:val="000F3384"/>
    <w:rsid w:val="000F341F"/>
    <w:rsid w:val="000F3479"/>
    <w:rsid w:val="000F3483"/>
    <w:rsid w:val="000F353B"/>
    <w:rsid w:val="000F3583"/>
    <w:rsid w:val="000F3592"/>
    <w:rsid w:val="000F35F9"/>
    <w:rsid w:val="000F35FD"/>
    <w:rsid w:val="000F3621"/>
    <w:rsid w:val="000F3638"/>
    <w:rsid w:val="000F36E6"/>
    <w:rsid w:val="000F36FC"/>
    <w:rsid w:val="000F3741"/>
    <w:rsid w:val="000F3939"/>
    <w:rsid w:val="000F3994"/>
    <w:rsid w:val="000F3A64"/>
    <w:rsid w:val="000F3B13"/>
    <w:rsid w:val="000F3B36"/>
    <w:rsid w:val="000F3C15"/>
    <w:rsid w:val="000F3C1F"/>
    <w:rsid w:val="000F3C89"/>
    <w:rsid w:val="000F3C93"/>
    <w:rsid w:val="000F3D5B"/>
    <w:rsid w:val="000F3DA5"/>
    <w:rsid w:val="000F3E19"/>
    <w:rsid w:val="000F3F73"/>
    <w:rsid w:val="000F4003"/>
    <w:rsid w:val="000F4022"/>
    <w:rsid w:val="000F40C0"/>
    <w:rsid w:val="000F410A"/>
    <w:rsid w:val="000F4112"/>
    <w:rsid w:val="000F417B"/>
    <w:rsid w:val="000F42A2"/>
    <w:rsid w:val="000F42C2"/>
    <w:rsid w:val="000F434F"/>
    <w:rsid w:val="000F43AE"/>
    <w:rsid w:val="000F4428"/>
    <w:rsid w:val="000F46BD"/>
    <w:rsid w:val="000F46E6"/>
    <w:rsid w:val="000F4845"/>
    <w:rsid w:val="000F48B5"/>
    <w:rsid w:val="000F4909"/>
    <w:rsid w:val="000F4995"/>
    <w:rsid w:val="000F4A14"/>
    <w:rsid w:val="000F4A40"/>
    <w:rsid w:val="000F4A91"/>
    <w:rsid w:val="000F4B74"/>
    <w:rsid w:val="000F4BB9"/>
    <w:rsid w:val="000F4C82"/>
    <w:rsid w:val="000F4CFC"/>
    <w:rsid w:val="000F4D81"/>
    <w:rsid w:val="000F4DBD"/>
    <w:rsid w:val="000F4EDC"/>
    <w:rsid w:val="000F4F19"/>
    <w:rsid w:val="000F4F28"/>
    <w:rsid w:val="000F4F66"/>
    <w:rsid w:val="000F5057"/>
    <w:rsid w:val="000F506F"/>
    <w:rsid w:val="000F5220"/>
    <w:rsid w:val="000F525C"/>
    <w:rsid w:val="000F52DC"/>
    <w:rsid w:val="000F5301"/>
    <w:rsid w:val="000F534E"/>
    <w:rsid w:val="000F5368"/>
    <w:rsid w:val="000F5377"/>
    <w:rsid w:val="000F5472"/>
    <w:rsid w:val="000F551B"/>
    <w:rsid w:val="000F5525"/>
    <w:rsid w:val="000F5543"/>
    <w:rsid w:val="000F55C3"/>
    <w:rsid w:val="000F5606"/>
    <w:rsid w:val="000F5662"/>
    <w:rsid w:val="000F5705"/>
    <w:rsid w:val="000F576F"/>
    <w:rsid w:val="000F577A"/>
    <w:rsid w:val="000F5966"/>
    <w:rsid w:val="000F5B35"/>
    <w:rsid w:val="000F5B62"/>
    <w:rsid w:val="000F5BF2"/>
    <w:rsid w:val="000F5C36"/>
    <w:rsid w:val="000F5CC6"/>
    <w:rsid w:val="000F5D11"/>
    <w:rsid w:val="000F5E50"/>
    <w:rsid w:val="000F5ED1"/>
    <w:rsid w:val="000F5F4F"/>
    <w:rsid w:val="000F5F5B"/>
    <w:rsid w:val="000F60F4"/>
    <w:rsid w:val="000F6135"/>
    <w:rsid w:val="000F61BF"/>
    <w:rsid w:val="000F628F"/>
    <w:rsid w:val="000F629E"/>
    <w:rsid w:val="000F62D7"/>
    <w:rsid w:val="000F6335"/>
    <w:rsid w:val="000F6406"/>
    <w:rsid w:val="000F647A"/>
    <w:rsid w:val="000F64C2"/>
    <w:rsid w:val="000F657F"/>
    <w:rsid w:val="000F65D0"/>
    <w:rsid w:val="000F6714"/>
    <w:rsid w:val="000F67E2"/>
    <w:rsid w:val="000F683D"/>
    <w:rsid w:val="000F6916"/>
    <w:rsid w:val="000F693D"/>
    <w:rsid w:val="000F69CB"/>
    <w:rsid w:val="000F6A1C"/>
    <w:rsid w:val="000F6CCE"/>
    <w:rsid w:val="000F6CEF"/>
    <w:rsid w:val="000F6CF7"/>
    <w:rsid w:val="000F6D1B"/>
    <w:rsid w:val="000F6D48"/>
    <w:rsid w:val="000F6DEB"/>
    <w:rsid w:val="000F6E1F"/>
    <w:rsid w:val="000F6E5F"/>
    <w:rsid w:val="000F6E88"/>
    <w:rsid w:val="000F6EB6"/>
    <w:rsid w:val="000F6ED6"/>
    <w:rsid w:val="000F6FE0"/>
    <w:rsid w:val="000F6FFB"/>
    <w:rsid w:val="000F7014"/>
    <w:rsid w:val="000F7109"/>
    <w:rsid w:val="000F71B6"/>
    <w:rsid w:val="000F71C5"/>
    <w:rsid w:val="000F7208"/>
    <w:rsid w:val="000F72B6"/>
    <w:rsid w:val="000F7351"/>
    <w:rsid w:val="000F73B8"/>
    <w:rsid w:val="000F7814"/>
    <w:rsid w:val="000F793C"/>
    <w:rsid w:val="000F7992"/>
    <w:rsid w:val="000F7A67"/>
    <w:rsid w:val="000F7A97"/>
    <w:rsid w:val="000F7C0B"/>
    <w:rsid w:val="000F7C6C"/>
    <w:rsid w:val="000F7C7B"/>
    <w:rsid w:val="000F7D0D"/>
    <w:rsid w:val="000F7D55"/>
    <w:rsid w:val="000F7DE0"/>
    <w:rsid w:val="000F7DE8"/>
    <w:rsid w:val="000F7E31"/>
    <w:rsid w:val="000F7EA3"/>
    <w:rsid w:val="000F7EEF"/>
    <w:rsid w:val="000F7F36"/>
    <w:rsid w:val="00100020"/>
    <w:rsid w:val="00100041"/>
    <w:rsid w:val="0010027C"/>
    <w:rsid w:val="0010029C"/>
    <w:rsid w:val="00100402"/>
    <w:rsid w:val="00100560"/>
    <w:rsid w:val="001005C8"/>
    <w:rsid w:val="001006A4"/>
    <w:rsid w:val="001006D7"/>
    <w:rsid w:val="001006F8"/>
    <w:rsid w:val="00100823"/>
    <w:rsid w:val="00100824"/>
    <w:rsid w:val="001008D7"/>
    <w:rsid w:val="00100972"/>
    <w:rsid w:val="00100A6F"/>
    <w:rsid w:val="00100AB0"/>
    <w:rsid w:val="00100AEE"/>
    <w:rsid w:val="00100C87"/>
    <w:rsid w:val="00100C9A"/>
    <w:rsid w:val="00100D6C"/>
    <w:rsid w:val="00100D90"/>
    <w:rsid w:val="00100E46"/>
    <w:rsid w:val="00100F19"/>
    <w:rsid w:val="00100F41"/>
    <w:rsid w:val="00100FCA"/>
    <w:rsid w:val="00101003"/>
    <w:rsid w:val="00101186"/>
    <w:rsid w:val="001012B7"/>
    <w:rsid w:val="00101336"/>
    <w:rsid w:val="001013A7"/>
    <w:rsid w:val="001013E4"/>
    <w:rsid w:val="001013EF"/>
    <w:rsid w:val="00101404"/>
    <w:rsid w:val="0010158F"/>
    <w:rsid w:val="00101626"/>
    <w:rsid w:val="0010162A"/>
    <w:rsid w:val="00101711"/>
    <w:rsid w:val="001017C5"/>
    <w:rsid w:val="0010180B"/>
    <w:rsid w:val="00101897"/>
    <w:rsid w:val="001018CA"/>
    <w:rsid w:val="0010190A"/>
    <w:rsid w:val="00101923"/>
    <w:rsid w:val="0010196A"/>
    <w:rsid w:val="001019E4"/>
    <w:rsid w:val="00101A0D"/>
    <w:rsid w:val="00101AF6"/>
    <w:rsid w:val="00101B20"/>
    <w:rsid w:val="00101B3E"/>
    <w:rsid w:val="00101B44"/>
    <w:rsid w:val="00101BDF"/>
    <w:rsid w:val="00101C15"/>
    <w:rsid w:val="00101C17"/>
    <w:rsid w:val="00101DCE"/>
    <w:rsid w:val="00101DE7"/>
    <w:rsid w:val="00101E19"/>
    <w:rsid w:val="00101E2A"/>
    <w:rsid w:val="00101FB3"/>
    <w:rsid w:val="00101FF3"/>
    <w:rsid w:val="0010205E"/>
    <w:rsid w:val="0010217A"/>
    <w:rsid w:val="001021D6"/>
    <w:rsid w:val="0010223E"/>
    <w:rsid w:val="00102248"/>
    <w:rsid w:val="0010225E"/>
    <w:rsid w:val="00102263"/>
    <w:rsid w:val="00102270"/>
    <w:rsid w:val="00102320"/>
    <w:rsid w:val="0010233D"/>
    <w:rsid w:val="0010237B"/>
    <w:rsid w:val="001024B1"/>
    <w:rsid w:val="00102617"/>
    <w:rsid w:val="001026C0"/>
    <w:rsid w:val="001026E6"/>
    <w:rsid w:val="001029FD"/>
    <w:rsid w:val="00102A19"/>
    <w:rsid w:val="00102A33"/>
    <w:rsid w:val="00102A3A"/>
    <w:rsid w:val="00102A81"/>
    <w:rsid w:val="00102A8A"/>
    <w:rsid w:val="00102AFD"/>
    <w:rsid w:val="00102CD9"/>
    <w:rsid w:val="00102CE8"/>
    <w:rsid w:val="00102E4A"/>
    <w:rsid w:val="00102E5C"/>
    <w:rsid w:val="00102EF5"/>
    <w:rsid w:val="00102FA7"/>
    <w:rsid w:val="00102FAD"/>
    <w:rsid w:val="001030FF"/>
    <w:rsid w:val="0010313C"/>
    <w:rsid w:val="00103154"/>
    <w:rsid w:val="001031E2"/>
    <w:rsid w:val="0010338F"/>
    <w:rsid w:val="001034F9"/>
    <w:rsid w:val="00103547"/>
    <w:rsid w:val="00103592"/>
    <w:rsid w:val="001035B8"/>
    <w:rsid w:val="0010369A"/>
    <w:rsid w:val="00103739"/>
    <w:rsid w:val="0010376C"/>
    <w:rsid w:val="001037A8"/>
    <w:rsid w:val="001037B1"/>
    <w:rsid w:val="001037B9"/>
    <w:rsid w:val="0010393B"/>
    <w:rsid w:val="001039FA"/>
    <w:rsid w:val="00103A33"/>
    <w:rsid w:val="00103A54"/>
    <w:rsid w:val="00103A8C"/>
    <w:rsid w:val="00103ABA"/>
    <w:rsid w:val="00103AD7"/>
    <w:rsid w:val="00103C48"/>
    <w:rsid w:val="00103C88"/>
    <w:rsid w:val="00103C9B"/>
    <w:rsid w:val="00103D3B"/>
    <w:rsid w:val="00103DAC"/>
    <w:rsid w:val="00103DCD"/>
    <w:rsid w:val="00103E32"/>
    <w:rsid w:val="00103E8B"/>
    <w:rsid w:val="00103EE0"/>
    <w:rsid w:val="00103FAB"/>
    <w:rsid w:val="00103FCD"/>
    <w:rsid w:val="00104068"/>
    <w:rsid w:val="001041EA"/>
    <w:rsid w:val="001041FD"/>
    <w:rsid w:val="0010428A"/>
    <w:rsid w:val="001042BF"/>
    <w:rsid w:val="00104339"/>
    <w:rsid w:val="00104363"/>
    <w:rsid w:val="001043EF"/>
    <w:rsid w:val="00104481"/>
    <w:rsid w:val="001044B9"/>
    <w:rsid w:val="001045CA"/>
    <w:rsid w:val="001045FE"/>
    <w:rsid w:val="00104624"/>
    <w:rsid w:val="00104664"/>
    <w:rsid w:val="001046A5"/>
    <w:rsid w:val="001046E3"/>
    <w:rsid w:val="001047DA"/>
    <w:rsid w:val="0010483A"/>
    <w:rsid w:val="00104919"/>
    <w:rsid w:val="001049EE"/>
    <w:rsid w:val="00104A31"/>
    <w:rsid w:val="00104AA4"/>
    <w:rsid w:val="00104ADF"/>
    <w:rsid w:val="00104B72"/>
    <w:rsid w:val="00104B8D"/>
    <w:rsid w:val="00104BD3"/>
    <w:rsid w:val="00104C51"/>
    <w:rsid w:val="00104D1B"/>
    <w:rsid w:val="00104D3C"/>
    <w:rsid w:val="00104D76"/>
    <w:rsid w:val="00104E5A"/>
    <w:rsid w:val="00104F33"/>
    <w:rsid w:val="00105024"/>
    <w:rsid w:val="001050B0"/>
    <w:rsid w:val="001050C9"/>
    <w:rsid w:val="001051C1"/>
    <w:rsid w:val="001051D4"/>
    <w:rsid w:val="00105266"/>
    <w:rsid w:val="00105360"/>
    <w:rsid w:val="0010536B"/>
    <w:rsid w:val="00105379"/>
    <w:rsid w:val="00105406"/>
    <w:rsid w:val="001054A4"/>
    <w:rsid w:val="001054B5"/>
    <w:rsid w:val="00105587"/>
    <w:rsid w:val="001055AD"/>
    <w:rsid w:val="001056CB"/>
    <w:rsid w:val="00105800"/>
    <w:rsid w:val="00105856"/>
    <w:rsid w:val="001058FC"/>
    <w:rsid w:val="00105D42"/>
    <w:rsid w:val="00105DBE"/>
    <w:rsid w:val="00105E2D"/>
    <w:rsid w:val="00105E35"/>
    <w:rsid w:val="00105EF6"/>
    <w:rsid w:val="00105F3F"/>
    <w:rsid w:val="00105F7C"/>
    <w:rsid w:val="00105FEF"/>
    <w:rsid w:val="00105FF8"/>
    <w:rsid w:val="00106064"/>
    <w:rsid w:val="00106128"/>
    <w:rsid w:val="00106138"/>
    <w:rsid w:val="00106201"/>
    <w:rsid w:val="0010629E"/>
    <w:rsid w:val="001063F5"/>
    <w:rsid w:val="00106442"/>
    <w:rsid w:val="0010646F"/>
    <w:rsid w:val="001064A3"/>
    <w:rsid w:val="001065ED"/>
    <w:rsid w:val="001066DF"/>
    <w:rsid w:val="001066F9"/>
    <w:rsid w:val="001066FF"/>
    <w:rsid w:val="00106898"/>
    <w:rsid w:val="0010689A"/>
    <w:rsid w:val="001068D4"/>
    <w:rsid w:val="001068FC"/>
    <w:rsid w:val="00106919"/>
    <w:rsid w:val="0010693C"/>
    <w:rsid w:val="00106A2F"/>
    <w:rsid w:val="00106A5F"/>
    <w:rsid w:val="00106BA2"/>
    <w:rsid w:val="00106C2D"/>
    <w:rsid w:val="00106C48"/>
    <w:rsid w:val="00106E1A"/>
    <w:rsid w:val="00106E44"/>
    <w:rsid w:val="00106EBF"/>
    <w:rsid w:val="00106FF8"/>
    <w:rsid w:val="00107140"/>
    <w:rsid w:val="001071AD"/>
    <w:rsid w:val="00107237"/>
    <w:rsid w:val="00107344"/>
    <w:rsid w:val="0010735F"/>
    <w:rsid w:val="001073B0"/>
    <w:rsid w:val="00107542"/>
    <w:rsid w:val="00107701"/>
    <w:rsid w:val="001077DC"/>
    <w:rsid w:val="0010780C"/>
    <w:rsid w:val="00107880"/>
    <w:rsid w:val="00107895"/>
    <w:rsid w:val="001079FF"/>
    <w:rsid w:val="00107A4F"/>
    <w:rsid w:val="00107A5C"/>
    <w:rsid w:val="00107A9B"/>
    <w:rsid w:val="00107B2A"/>
    <w:rsid w:val="00107C84"/>
    <w:rsid w:val="00107CE6"/>
    <w:rsid w:val="00107D81"/>
    <w:rsid w:val="00110100"/>
    <w:rsid w:val="00110117"/>
    <w:rsid w:val="00110158"/>
    <w:rsid w:val="00110164"/>
    <w:rsid w:val="00110185"/>
    <w:rsid w:val="00110190"/>
    <w:rsid w:val="00110226"/>
    <w:rsid w:val="00110289"/>
    <w:rsid w:val="001103E2"/>
    <w:rsid w:val="00110426"/>
    <w:rsid w:val="00110454"/>
    <w:rsid w:val="0011047A"/>
    <w:rsid w:val="001104B4"/>
    <w:rsid w:val="001104DE"/>
    <w:rsid w:val="00110528"/>
    <w:rsid w:val="001105EE"/>
    <w:rsid w:val="0011072D"/>
    <w:rsid w:val="0011074F"/>
    <w:rsid w:val="001108AA"/>
    <w:rsid w:val="001108C4"/>
    <w:rsid w:val="00110978"/>
    <w:rsid w:val="00110A07"/>
    <w:rsid w:val="00110A6D"/>
    <w:rsid w:val="00110A87"/>
    <w:rsid w:val="00110B66"/>
    <w:rsid w:val="00110CCE"/>
    <w:rsid w:val="00110DB3"/>
    <w:rsid w:val="00111005"/>
    <w:rsid w:val="0011102F"/>
    <w:rsid w:val="001110A7"/>
    <w:rsid w:val="00111159"/>
    <w:rsid w:val="001111B4"/>
    <w:rsid w:val="001112BC"/>
    <w:rsid w:val="0011131E"/>
    <w:rsid w:val="00111339"/>
    <w:rsid w:val="00111344"/>
    <w:rsid w:val="0011144D"/>
    <w:rsid w:val="00111472"/>
    <w:rsid w:val="00111528"/>
    <w:rsid w:val="001115B3"/>
    <w:rsid w:val="001115FB"/>
    <w:rsid w:val="00111686"/>
    <w:rsid w:val="001117A7"/>
    <w:rsid w:val="001117AA"/>
    <w:rsid w:val="0011186A"/>
    <w:rsid w:val="001118C1"/>
    <w:rsid w:val="001118FD"/>
    <w:rsid w:val="00111AB4"/>
    <w:rsid w:val="00111ABE"/>
    <w:rsid w:val="00111AD1"/>
    <w:rsid w:val="00111B5A"/>
    <w:rsid w:val="00111B67"/>
    <w:rsid w:val="00111CD3"/>
    <w:rsid w:val="00111D61"/>
    <w:rsid w:val="00111E09"/>
    <w:rsid w:val="00111E13"/>
    <w:rsid w:val="00111E67"/>
    <w:rsid w:val="00111E7D"/>
    <w:rsid w:val="00111ECD"/>
    <w:rsid w:val="00111F03"/>
    <w:rsid w:val="00111F17"/>
    <w:rsid w:val="00111F28"/>
    <w:rsid w:val="00111F6F"/>
    <w:rsid w:val="00111F8F"/>
    <w:rsid w:val="00111FF8"/>
    <w:rsid w:val="00112076"/>
    <w:rsid w:val="0011213C"/>
    <w:rsid w:val="00112203"/>
    <w:rsid w:val="0011234B"/>
    <w:rsid w:val="00112443"/>
    <w:rsid w:val="00112578"/>
    <w:rsid w:val="00112669"/>
    <w:rsid w:val="001126B6"/>
    <w:rsid w:val="00112701"/>
    <w:rsid w:val="0011278A"/>
    <w:rsid w:val="001127B6"/>
    <w:rsid w:val="0011285C"/>
    <w:rsid w:val="001128B1"/>
    <w:rsid w:val="001129AF"/>
    <w:rsid w:val="001129F0"/>
    <w:rsid w:val="00112A57"/>
    <w:rsid w:val="00112AD7"/>
    <w:rsid w:val="00112ADA"/>
    <w:rsid w:val="00112B54"/>
    <w:rsid w:val="00112B99"/>
    <w:rsid w:val="00112BB8"/>
    <w:rsid w:val="00112BCC"/>
    <w:rsid w:val="00112C0E"/>
    <w:rsid w:val="00112C3C"/>
    <w:rsid w:val="00112C6D"/>
    <w:rsid w:val="00112CC0"/>
    <w:rsid w:val="00112CC8"/>
    <w:rsid w:val="00112DC1"/>
    <w:rsid w:val="00112F3A"/>
    <w:rsid w:val="00112F92"/>
    <w:rsid w:val="00112FBC"/>
    <w:rsid w:val="00112FF8"/>
    <w:rsid w:val="0011303B"/>
    <w:rsid w:val="00113108"/>
    <w:rsid w:val="00113116"/>
    <w:rsid w:val="00113250"/>
    <w:rsid w:val="001132AE"/>
    <w:rsid w:val="0011334D"/>
    <w:rsid w:val="0011339E"/>
    <w:rsid w:val="001133CF"/>
    <w:rsid w:val="00113427"/>
    <w:rsid w:val="0011345F"/>
    <w:rsid w:val="00113485"/>
    <w:rsid w:val="00113499"/>
    <w:rsid w:val="001134B0"/>
    <w:rsid w:val="00113620"/>
    <w:rsid w:val="00113741"/>
    <w:rsid w:val="00113744"/>
    <w:rsid w:val="00113779"/>
    <w:rsid w:val="001137B4"/>
    <w:rsid w:val="001137BC"/>
    <w:rsid w:val="00113823"/>
    <w:rsid w:val="001138B0"/>
    <w:rsid w:val="0011398C"/>
    <w:rsid w:val="001139C2"/>
    <w:rsid w:val="001139E3"/>
    <w:rsid w:val="00113C44"/>
    <w:rsid w:val="00113E16"/>
    <w:rsid w:val="00113E37"/>
    <w:rsid w:val="00113F71"/>
    <w:rsid w:val="00113FE3"/>
    <w:rsid w:val="001140FB"/>
    <w:rsid w:val="00114223"/>
    <w:rsid w:val="00114378"/>
    <w:rsid w:val="0011439F"/>
    <w:rsid w:val="001143FF"/>
    <w:rsid w:val="0011442F"/>
    <w:rsid w:val="001144E9"/>
    <w:rsid w:val="0011456A"/>
    <w:rsid w:val="0011456C"/>
    <w:rsid w:val="001145CC"/>
    <w:rsid w:val="0011460E"/>
    <w:rsid w:val="0011469F"/>
    <w:rsid w:val="001147BA"/>
    <w:rsid w:val="00114974"/>
    <w:rsid w:val="001149A0"/>
    <w:rsid w:val="001149D7"/>
    <w:rsid w:val="00114C12"/>
    <w:rsid w:val="00114C3E"/>
    <w:rsid w:val="00114DFD"/>
    <w:rsid w:val="00114E09"/>
    <w:rsid w:val="00114EB4"/>
    <w:rsid w:val="00114F8E"/>
    <w:rsid w:val="00114FB0"/>
    <w:rsid w:val="00115049"/>
    <w:rsid w:val="00115132"/>
    <w:rsid w:val="00115140"/>
    <w:rsid w:val="00115171"/>
    <w:rsid w:val="00115237"/>
    <w:rsid w:val="0011527E"/>
    <w:rsid w:val="001152B3"/>
    <w:rsid w:val="00115517"/>
    <w:rsid w:val="00115619"/>
    <w:rsid w:val="001156F6"/>
    <w:rsid w:val="00115732"/>
    <w:rsid w:val="00115908"/>
    <w:rsid w:val="00115939"/>
    <w:rsid w:val="001159AC"/>
    <w:rsid w:val="00115BD9"/>
    <w:rsid w:val="00115BE7"/>
    <w:rsid w:val="00115EA5"/>
    <w:rsid w:val="00115F9A"/>
    <w:rsid w:val="00116054"/>
    <w:rsid w:val="0011618E"/>
    <w:rsid w:val="001161AA"/>
    <w:rsid w:val="00116235"/>
    <w:rsid w:val="001162D1"/>
    <w:rsid w:val="001163F9"/>
    <w:rsid w:val="00116430"/>
    <w:rsid w:val="0011651B"/>
    <w:rsid w:val="00116568"/>
    <w:rsid w:val="001165D4"/>
    <w:rsid w:val="001165D9"/>
    <w:rsid w:val="001165E0"/>
    <w:rsid w:val="0011683A"/>
    <w:rsid w:val="0011686E"/>
    <w:rsid w:val="00116990"/>
    <w:rsid w:val="001169B3"/>
    <w:rsid w:val="001169D8"/>
    <w:rsid w:val="00116AA9"/>
    <w:rsid w:val="00116ABD"/>
    <w:rsid w:val="00116D53"/>
    <w:rsid w:val="00116E6A"/>
    <w:rsid w:val="00116E71"/>
    <w:rsid w:val="00116EA2"/>
    <w:rsid w:val="00116F08"/>
    <w:rsid w:val="00116F11"/>
    <w:rsid w:val="00116FFE"/>
    <w:rsid w:val="00117204"/>
    <w:rsid w:val="001172DB"/>
    <w:rsid w:val="00117302"/>
    <w:rsid w:val="00117413"/>
    <w:rsid w:val="00117416"/>
    <w:rsid w:val="0011745F"/>
    <w:rsid w:val="001174BD"/>
    <w:rsid w:val="001174D1"/>
    <w:rsid w:val="0011765B"/>
    <w:rsid w:val="00117680"/>
    <w:rsid w:val="00117729"/>
    <w:rsid w:val="00117730"/>
    <w:rsid w:val="00117747"/>
    <w:rsid w:val="0011777A"/>
    <w:rsid w:val="0011779D"/>
    <w:rsid w:val="00117887"/>
    <w:rsid w:val="00117A52"/>
    <w:rsid w:val="00117A9C"/>
    <w:rsid w:val="00117B84"/>
    <w:rsid w:val="00117C05"/>
    <w:rsid w:val="00117C36"/>
    <w:rsid w:val="00117C77"/>
    <w:rsid w:val="00117CB9"/>
    <w:rsid w:val="00117CFB"/>
    <w:rsid w:val="00117DC3"/>
    <w:rsid w:val="00117E60"/>
    <w:rsid w:val="00117E76"/>
    <w:rsid w:val="00117F24"/>
    <w:rsid w:val="00117F67"/>
    <w:rsid w:val="00117F80"/>
    <w:rsid w:val="001200CF"/>
    <w:rsid w:val="0012016A"/>
    <w:rsid w:val="001201B3"/>
    <w:rsid w:val="001201EA"/>
    <w:rsid w:val="0012036D"/>
    <w:rsid w:val="001203D5"/>
    <w:rsid w:val="00120452"/>
    <w:rsid w:val="0012058C"/>
    <w:rsid w:val="00120614"/>
    <w:rsid w:val="00120635"/>
    <w:rsid w:val="00120754"/>
    <w:rsid w:val="001207A5"/>
    <w:rsid w:val="00120837"/>
    <w:rsid w:val="00120859"/>
    <w:rsid w:val="00120873"/>
    <w:rsid w:val="001208B6"/>
    <w:rsid w:val="0012098A"/>
    <w:rsid w:val="001209F4"/>
    <w:rsid w:val="00120A75"/>
    <w:rsid w:val="00120ABD"/>
    <w:rsid w:val="00120B1A"/>
    <w:rsid w:val="00120B1C"/>
    <w:rsid w:val="00120B3E"/>
    <w:rsid w:val="00120B71"/>
    <w:rsid w:val="00120CBD"/>
    <w:rsid w:val="00120EB6"/>
    <w:rsid w:val="00120F83"/>
    <w:rsid w:val="00120FDE"/>
    <w:rsid w:val="0012105D"/>
    <w:rsid w:val="00121151"/>
    <w:rsid w:val="00121159"/>
    <w:rsid w:val="001211E2"/>
    <w:rsid w:val="00121244"/>
    <w:rsid w:val="001212D9"/>
    <w:rsid w:val="0012132F"/>
    <w:rsid w:val="0012133B"/>
    <w:rsid w:val="00121600"/>
    <w:rsid w:val="0012164E"/>
    <w:rsid w:val="0012166A"/>
    <w:rsid w:val="00121940"/>
    <w:rsid w:val="00121A22"/>
    <w:rsid w:val="00121B0A"/>
    <w:rsid w:val="00121B16"/>
    <w:rsid w:val="00121B9A"/>
    <w:rsid w:val="00121D80"/>
    <w:rsid w:val="00121DB8"/>
    <w:rsid w:val="00121F61"/>
    <w:rsid w:val="00121F82"/>
    <w:rsid w:val="0012209C"/>
    <w:rsid w:val="00122179"/>
    <w:rsid w:val="001221A7"/>
    <w:rsid w:val="00122368"/>
    <w:rsid w:val="001223DF"/>
    <w:rsid w:val="001224CC"/>
    <w:rsid w:val="00122500"/>
    <w:rsid w:val="00122502"/>
    <w:rsid w:val="001225DF"/>
    <w:rsid w:val="0012277A"/>
    <w:rsid w:val="00122817"/>
    <w:rsid w:val="0012285A"/>
    <w:rsid w:val="001228E4"/>
    <w:rsid w:val="00122915"/>
    <w:rsid w:val="0012292B"/>
    <w:rsid w:val="0012296D"/>
    <w:rsid w:val="001229B8"/>
    <w:rsid w:val="001229BA"/>
    <w:rsid w:val="001229F6"/>
    <w:rsid w:val="00122A55"/>
    <w:rsid w:val="00122AED"/>
    <w:rsid w:val="00122B12"/>
    <w:rsid w:val="00122BA2"/>
    <w:rsid w:val="00122DAA"/>
    <w:rsid w:val="00122DAD"/>
    <w:rsid w:val="00122E01"/>
    <w:rsid w:val="00122E1C"/>
    <w:rsid w:val="00122E63"/>
    <w:rsid w:val="00122E83"/>
    <w:rsid w:val="00122E8E"/>
    <w:rsid w:val="00122EB2"/>
    <w:rsid w:val="00122FE0"/>
    <w:rsid w:val="00123018"/>
    <w:rsid w:val="001230D8"/>
    <w:rsid w:val="001230E9"/>
    <w:rsid w:val="00123111"/>
    <w:rsid w:val="00123278"/>
    <w:rsid w:val="0012331B"/>
    <w:rsid w:val="0012336A"/>
    <w:rsid w:val="00123417"/>
    <w:rsid w:val="001234E8"/>
    <w:rsid w:val="001234EE"/>
    <w:rsid w:val="0012354E"/>
    <w:rsid w:val="001235DF"/>
    <w:rsid w:val="001235E2"/>
    <w:rsid w:val="0012362A"/>
    <w:rsid w:val="00123816"/>
    <w:rsid w:val="0012385C"/>
    <w:rsid w:val="00123927"/>
    <w:rsid w:val="00123AB0"/>
    <w:rsid w:val="00123AD6"/>
    <w:rsid w:val="00123AE4"/>
    <w:rsid w:val="00123B68"/>
    <w:rsid w:val="00123C8B"/>
    <w:rsid w:val="00123DCD"/>
    <w:rsid w:val="00123E1A"/>
    <w:rsid w:val="00123E60"/>
    <w:rsid w:val="00123F0D"/>
    <w:rsid w:val="00123F5D"/>
    <w:rsid w:val="0012401D"/>
    <w:rsid w:val="00124164"/>
    <w:rsid w:val="00124191"/>
    <w:rsid w:val="0012423F"/>
    <w:rsid w:val="0012430C"/>
    <w:rsid w:val="0012432C"/>
    <w:rsid w:val="0012439D"/>
    <w:rsid w:val="00124424"/>
    <w:rsid w:val="001244AC"/>
    <w:rsid w:val="001244AD"/>
    <w:rsid w:val="001244D3"/>
    <w:rsid w:val="001245F1"/>
    <w:rsid w:val="0012473A"/>
    <w:rsid w:val="001247B6"/>
    <w:rsid w:val="001247F7"/>
    <w:rsid w:val="0012481D"/>
    <w:rsid w:val="001248F6"/>
    <w:rsid w:val="00124917"/>
    <w:rsid w:val="001249BD"/>
    <w:rsid w:val="00124A32"/>
    <w:rsid w:val="00124AA9"/>
    <w:rsid w:val="00124BAA"/>
    <w:rsid w:val="00124BB2"/>
    <w:rsid w:val="00124C55"/>
    <w:rsid w:val="00124C5A"/>
    <w:rsid w:val="00124C91"/>
    <w:rsid w:val="00124CC3"/>
    <w:rsid w:val="00124CE2"/>
    <w:rsid w:val="00124DAD"/>
    <w:rsid w:val="00124DE5"/>
    <w:rsid w:val="00124EC0"/>
    <w:rsid w:val="00124ED6"/>
    <w:rsid w:val="00124EED"/>
    <w:rsid w:val="00125037"/>
    <w:rsid w:val="00125067"/>
    <w:rsid w:val="00125088"/>
    <w:rsid w:val="001250A1"/>
    <w:rsid w:val="001250E9"/>
    <w:rsid w:val="001250F2"/>
    <w:rsid w:val="00125134"/>
    <w:rsid w:val="0012517B"/>
    <w:rsid w:val="001251B5"/>
    <w:rsid w:val="001251B7"/>
    <w:rsid w:val="0012520D"/>
    <w:rsid w:val="001252A5"/>
    <w:rsid w:val="00125360"/>
    <w:rsid w:val="00125388"/>
    <w:rsid w:val="00125513"/>
    <w:rsid w:val="00125560"/>
    <w:rsid w:val="0012557E"/>
    <w:rsid w:val="0012566F"/>
    <w:rsid w:val="00125837"/>
    <w:rsid w:val="00125886"/>
    <w:rsid w:val="00125947"/>
    <w:rsid w:val="001259A6"/>
    <w:rsid w:val="00125A4A"/>
    <w:rsid w:val="00125A5F"/>
    <w:rsid w:val="00125ABF"/>
    <w:rsid w:val="00125C43"/>
    <w:rsid w:val="00125CEE"/>
    <w:rsid w:val="00125D03"/>
    <w:rsid w:val="00125D2C"/>
    <w:rsid w:val="00125D52"/>
    <w:rsid w:val="00125D86"/>
    <w:rsid w:val="00125E3F"/>
    <w:rsid w:val="0012601B"/>
    <w:rsid w:val="0012612D"/>
    <w:rsid w:val="0012612E"/>
    <w:rsid w:val="001261CF"/>
    <w:rsid w:val="0012641E"/>
    <w:rsid w:val="001264A6"/>
    <w:rsid w:val="001264B8"/>
    <w:rsid w:val="001265B7"/>
    <w:rsid w:val="00126666"/>
    <w:rsid w:val="001266DD"/>
    <w:rsid w:val="001266E2"/>
    <w:rsid w:val="00126702"/>
    <w:rsid w:val="00126720"/>
    <w:rsid w:val="0012673F"/>
    <w:rsid w:val="00126826"/>
    <w:rsid w:val="00126865"/>
    <w:rsid w:val="00126919"/>
    <w:rsid w:val="00126931"/>
    <w:rsid w:val="00126982"/>
    <w:rsid w:val="001269B9"/>
    <w:rsid w:val="00126A64"/>
    <w:rsid w:val="00126AD3"/>
    <w:rsid w:val="00126B9F"/>
    <w:rsid w:val="00126BB7"/>
    <w:rsid w:val="00126BCF"/>
    <w:rsid w:val="00126CCE"/>
    <w:rsid w:val="00126D57"/>
    <w:rsid w:val="00126D8C"/>
    <w:rsid w:val="00126DC6"/>
    <w:rsid w:val="00126EA4"/>
    <w:rsid w:val="00126EAA"/>
    <w:rsid w:val="00126FCB"/>
    <w:rsid w:val="00127033"/>
    <w:rsid w:val="00127040"/>
    <w:rsid w:val="0012704F"/>
    <w:rsid w:val="0012709A"/>
    <w:rsid w:val="00127169"/>
    <w:rsid w:val="001271CF"/>
    <w:rsid w:val="001271E6"/>
    <w:rsid w:val="00127292"/>
    <w:rsid w:val="001272A9"/>
    <w:rsid w:val="001272C4"/>
    <w:rsid w:val="001272FB"/>
    <w:rsid w:val="0012730B"/>
    <w:rsid w:val="00127319"/>
    <w:rsid w:val="00127354"/>
    <w:rsid w:val="001274E7"/>
    <w:rsid w:val="00127541"/>
    <w:rsid w:val="001275F8"/>
    <w:rsid w:val="00127656"/>
    <w:rsid w:val="001276A6"/>
    <w:rsid w:val="001276DD"/>
    <w:rsid w:val="00127722"/>
    <w:rsid w:val="0012776D"/>
    <w:rsid w:val="00127846"/>
    <w:rsid w:val="0012789A"/>
    <w:rsid w:val="001278F4"/>
    <w:rsid w:val="00127904"/>
    <w:rsid w:val="00127AAB"/>
    <w:rsid w:val="00127ADE"/>
    <w:rsid w:val="00127B6D"/>
    <w:rsid w:val="00127C08"/>
    <w:rsid w:val="00127CCD"/>
    <w:rsid w:val="00127E3F"/>
    <w:rsid w:val="00127EB2"/>
    <w:rsid w:val="001300E2"/>
    <w:rsid w:val="001300FB"/>
    <w:rsid w:val="0013013D"/>
    <w:rsid w:val="001301C9"/>
    <w:rsid w:val="001301D1"/>
    <w:rsid w:val="001301EF"/>
    <w:rsid w:val="001302C2"/>
    <w:rsid w:val="001303AD"/>
    <w:rsid w:val="00130475"/>
    <w:rsid w:val="00130509"/>
    <w:rsid w:val="001305A5"/>
    <w:rsid w:val="001305D4"/>
    <w:rsid w:val="001305DD"/>
    <w:rsid w:val="001306C5"/>
    <w:rsid w:val="0013070D"/>
    <w:rsid w:val="00130748"/>
    <w:rsid w:val="001307D7"/>
    <w:rsid w:val="00130933"/>
    <w:rsid w:val="0013097C"/>
    <w:rsid w:val="00130B89"/>
    <w:rsid w:val="00130BB4"/>
    <w:rsid w:val="00130C9B"/>
    <w:rsid w:val="00130D49"/>
    <w:rsid w:val="00130DBB"/>
    <w:rsid w:val="00130DD0"/>
    <w:rsid w:val="00130E13"/>
    <w:rsid w:val="00130E2E"/>
    <w:rsid w:val="00130EA3"/>
    <w:rsid w:val="00130EA4"/>
    <w:rsid w:val="00130EED"/>
    <w:rsid w:val="00130EF9"/>
    <w:rsid w:val="00130F9B"/>
    <w:rsid w:val="00131108"/>
    <w:rsid w:val="0013116B"/>
    <w:rsid w:val="00131170"/>
    <w:rsid w:val="001311B5"/>
    <w:rsid w:val="0013130E"/>
    <w:rsid w:val="00131326"/>
    <w:rsid w:val="00131376"/>
    <w:rsid w:val="00131425"/>
    <w:rsid w:val="00131527"/>
    <w:rsid w:val="0013154B"/>
    <w:rsid w:val="0013156C"/>
    <w:rsid w:val="001315DF"/>
    <w:rsid w:val="00131676"/>
    <w:rsid w:val="0013169E"/>
    <w:rsid w:val="001316BB"/>
    <w:rsid w:val="001317F0"/>
    <w:rsid w:val="001318E0"/>
    <w:rsid w:val="001318F5"/>
    <w:rsid w:val="001319AE"/>
    <w:rsid w:val="001319F1"/>
    <w:rsid w:val="00131A33"/>
    <w:rsid w:val="00131B40"/>
    <w:rsid w:val="00131B42"/>
    <w:rsid w:val="00131EE7"/>
    <w:rsid w:val="00131EFC"/>
    <w:rsid w:val="00131F13"/>
    <w:rsid w:val="00131F38"/>
    <w:rsid w:val="00131F7F"/>
    <w:rsid w:val="00131FA0"/>
    <w:rsid w:val="00132092"/>
    <w:rsid w:val="0013212F"/>
    <w:rsid w:val="001321CE"/>
    <w:rsid w:val="001322F8"/>
    <w:rsid w:val="001324A5"/>
    <w:rsid w:val="00132535"/>
    <w:rsid w:val="00132542"/>
    <w:rsid w:val="001327C9"/>
    <w:rsid w:val="001328AA"/>
    <w:rsid w:val="001328EB"/>
    <w:rsid w:val="001329BB"/>
    <w:rsid w:val="00132A32"/>
    <w:rsid w:val="00132A7C"/>
    <w:rsid w:val="00132A7E"/>
    <w:rsid w:val="00132AB3"/>
    <w:rsid w:val="00132ABC"/>
    <w:rsid w:val="00132ADD"/>
    <w:rsid w:val="00132BB1"/>
    <w:rsid w:val="00132C0E"/>
    <w:rsid w:val="00132C53"/>
    <w:rsid w:val="00132DDE"/>
    <w:rsid w:val="00132E3C"/>
    <w:rsid w:val="00132E80"/>
    <w:rsid w:val="00133032"/>
    <w:rsid w:val="00133134"/>
    <w:rsid w:val="001332A2"/>
    <w:rsid w:val="001332E5"/>
    <w:rsid w:val="0013332D"/>
    <w:rsid w:val="0013335C"/>
    <w:rsid w:val="00133429"/>
    <w:rsid w:val="00133436"/>
    <w:rsid w:val="00133612"/>
    <w:rsid w:val="00133698"/>
    <w:rsid w:val="001337C7"/>
    <w:rsid w:val="001338BA"/>
    <w:rsid w:val="00133BC7"/>
    <w:rsid w:val="00133BE7"/>
    <w:rsid w:val="00133BFA"/>
    <w:rsid w:val="00133D2B"/>
    <w:rsid w:val="00133D35"/>
    <w:rsid w:val="00133D61"/>
    <w:rsid w:val="00133D7F"/>
    <w:rsid w:val="00133ED2"/>
    <w:rsid w:val="00133F3A"/>
    <w:rsid w:val="001340EA"/>
    <w:rsid w:val="0013414B"/>
    <w:rsid w:val="001341C2"/>
    <w:rsid w:val="001342B8"/>
    <w:rsid w:val="0013436A"/>
    <w:rsid w:val="001343D4"/>
    <w:rsid w:val="00134480"/>
    <w:rsid w:val="001344E8"/>
    <w:rsid w:val="0013460F"/>
    <w:rsid w:val="00134681"/>
    <w:rsid w:val="00134793"/>
    <w:rsid w:val="001348E5"/>
    <w:rsid w:val="00134924"/>
    <w:rsid w:val="00134952"/>
    <w:rsid w:val="00134A96"/>
    <w:rsid w:val="00134B06"/>
    <w:rsid w:val="00134B37"/>
    <w:rsid w:val="00134D75"/>
    <w:rsid w:val="00134D7E"/>
    <w:rsid w:val="00134D9C"/>
    <w:rsid w:val="00134E22"/>
    <w:rsid w:val="00134F56"/>
    <w:rsid w:val="00134F73"/>
    <w:rsid w:val="00134F76"/>
    <w:rsid w:val="00135029"/>
    <w:rsid w:val="001350B4"/>
    <w:rsid w:val="0013518B"/>
    <w:rsid w:val="00135292"/>
    <w:rsid w:val="0013530E"/>
    <w:rsid w:val="0013531F"/>
    <w:rsid w:val="001353E3"/>
    <w:rsid w:val="001354D0"/>
    <w:rsid w:val="00135504"/>
    <w:rsid w:val="00135698"/>
    <w:rsid w:val="001356B1"/>
    <w:rsid w:val="001356EA"/>
    <w:rsid w:val="001356EC"/>
    <w:rsid w:val="00135716"/>
    <w:rsid w:val="0013572B"/>
    <w:rsid w:val="00135795"/>
    <w:rsid w:val="001357FD"/>
    <w:rsid w:val="0013583B"/>
    <w:rsid w:val="00135895"/>
    <w:rsid w:val="00135950"/>
    <w:rsid w:val="00135981"/>
    <w:rsid w:val="001359D2"/>
    <w:rsid w:val="001359EE"/>
    <w:rsid w:val="00135A0E"/>
    <w:rsid w:val="00135A24"/>
    <w:rsid w:val="00135D2A"/>
    <w:rsid w:val="00135D79"/>
    <w:rsid w:val="00135D95"/>
    <w:rsid w:val="00135E28"/>
    <w:rsid w:val="00135F7C"/>
    <w:rsid w:val="00135F7D"/>
    <w:rsid w:val="00135FB5"/>
    <w:rsid w:val="00135FFD"/>
    <w:rsid w:val="0013600B"/>
    <w:rsid w:val="0013604E"/>
    <w:rsid w:val="00136092"/>
    <w:rsid w:val="00136147"/>
    <w:rsid w:val="00136185"/>
    <w:rsid w:val="00136202"/>
    <w:rsid w:val="0013620A"/>
    <w:rsid w:val="0013622E"/>
    <w:rsid w:val="0013627F"/>
    <w:rsid w:val="00136298"/>
    <w:rsid w:val="001362AF"/>
    <w:rsid w:val="00136383"/>
    <w:rsid w:val="0013639C"/>
    <w:rsid w:val="0013650E"/>
    <w:rsid w:val="0013652C"/>
    <w:rsid w:val="0013655F"/>
    <w:rsid w:val="0013667A"/>
    <w:rsid w:val="00136858"/>
    <w:rsid w:val="00136923"/>
    <w:rsid w:val="0013699A"/>
    <w:rsid w:val="00136AE9"/>
    <w:rsid w:val="00136B5E"/>
    <w:rsid w:val="00136BD1"/>
    <w:rsid w:val="00136C2F"/>
    <w:rsid w:val="00136C84"/>
    <w:rsid w:val="00136E71"/>
    <w:rsid w:val="00136F4F"/>
    <w:rsid w:val="00136F59"/>
    <w:rsid w:val="00136F7F"/>
    <w:rsid w:val="00136FE5"/>
    <w:rsid w:val="0013701F"/>
    <w:rsid w:val="00137077"/>
    <w:rsid w:val="001370F0"/>
    <w:rsid w:val="0013723E"/>
    <w:rsid w:val="00137279"/>
    <w:rsid w:val="001372A9"/>
    <w:rsid w:val="001372BB"/>
    <w:rsid w:val="0013738A"/>
    <w:rsid w:val="001373C5"/>
    <w:rsid w:val="00137423"/>
    <w:rsid w:val="00137486"/>
    <w:rsid w:val="00137499"/>
    <w:rsid w:val="001374B9"/>
    <w:rsid w:val="001374E4"/>
    <w:rsid w:val="001375D6"/>
    <w:rsid w:val="00137624"/>
    <w:rsid w:val="001376B0"/>
    <w:rsid w:val="001376C2"/>
    <w:rsid w:val="00137715"/>
    <w:rsid w:val="00137754"/>
    <w:rsid w:val="0013779E"/>
    <w:rsid w:val="00137897"/>
    <w:rsid w:val="001378FC"/>
    <w:rsid w:val="001379A2"/>
    <w:rsid w:val="00137A6B"/>
    <w:rsid w:val="00137AD5"/>
    <w:rsid w:val="00137BEF"/>
    <w:rsid w:val="00137C9E"/>
    <w:rsid w:val="00137D60"/>
    <w:rsid w:val="00137D85"/>
    <w:rsid w:val="00137DEB"/>
    <w:rsid w:val="00137E92"/>
    <w:rsid w:val="00137EEA"/>
    <w:rsid w:val="00137FF0"/>
    <w:rsid w:val="00140046"/>
    <w:rsid w:val="0014004B"/>
    <w:rsid w:val="001400CE"/>
    <w:rsid w:val="0014012E"/>
    <w:rsid w:val="00140156"/>
    <w:rsid w:val="00140173"/>
    <w:rsid w:val="00140175"/>
    <w:rsid w:val="001403C8"/>
    <w:rsid w:val="001403D1"/>
    <w:rsid w:val="001403FE"/>
    <w:rsid w:val="0014045F"/>
    <w:rsid w:val="00140524"/>
    <w:rsid w:val="00140655"/>
    <w:rsid w:val="00140675"/>
    <w:rsid w:val="001406C3"/>
    <w:rsid w:val="00140704"/>
    <w:rsid w:val="001407D6"/>
    <w:rsid w:val="00140837"/>
    <w:rsid w:val="00140987"/>
    <w:rsid w:val="001409BB"/>
    <w:rsid w:val="00140A8E"/>
    <w:rsid w:val="00140C43"/>
    <w:rsid w:val="00140C7B"/>
    <w:rsid w:val="00140D16"/>
    <w:rsid w:val="00140DF2"/>
    <w:rsid w:val="00140E07"/>
    <w:rsid w:val="00140E19"/>
    <w:rsid w:val="00140E1C"/>
    <w:rsid w:val="00140E51"/>
    <w:rsid w:val="00140E5A"/>
    <w:rsid w:val="00140F29"/>
    <w:rsid w:val="00140F41"/>
    <w:rsid w:val="00140FD0"/>
    <w:rsid w:val="00140FD9"/>
    <w:rsid w:val="00141082"/>
    <w:rsid w:val="00141106"/>
    <w:rsid w:val="0014133A"/>
    <w:rsid w:val="00141344"/>
    <w:rsid w:val="00141348"/>
    <w:rsid w:val="00141421"/>
    <w:rsid w:val="0014145F"/>
    <w:rsid w:val="001415F7"/>
    <w:rsid w:val="001416BB"/>
    <w:rsid w:val="0014172F"/>
    <w:rsid w:val="00141775"/>
    <w:rsid w:val="001417C4"/>
    <w:rsid w:val="001417E2"/>
    <w:rsid w:val="00141892"/>
    <w:rsid w:val="001418E8"/>
    <w:rsid w:val="001419C8"/>
    <w:rsid w:val="001419DC"/>
    <w:rsid w:val="001419F3"/>
    <w:rsid w:val="00141A69"/>
    <w:rsid w:val="00141A6C"/>
    <w:rsid w:val="00141A6D"/>
    <w:rsid w:val="00141ADD"/>
    <w:rsid w:val="00141AFD"/>
    <w:rsid w:val="00141B2B"/>
    <w:rsid w:val="00141C20"/>
    <w:rsid w:val="00141C96"/>
    <w:rsid w:val="00141DC4"/>
    <w:rsid w:val="00142039"/>
    <w:rsid w:val="001420B6"/>
    <w:rsid w:val="001420DE"/>
    <w:rsid w:val="00142207"/>
    <w:rsid w:val="001422D6"/>
    <w:rsid w:val="00142451"/>
    <w:rsid w:val="00142475"/>
    <w:rsid w:val="001424C6"/>
    <w:rsid w:val="001424F8"/>
    <w:rsid w:val="0014256F"/>
    <w:rsid w:val="001425F3"/>
    <w:rsid w:val="001426C0"/>
    <w:rsid w:val="00142810"/>
    <w:rsid w:val="001428C7"/>
    <w:rsid w:val="00142927"/>
    <w:rsid w:val="001429D0"/>
    <w:rsid w:val="001429EA"/>
    <w:rsid w:val="00142AB2"/>
    <w:rsid w:val="00142AD5"/>
    <w:rsid w:val="00142D76"/>
    <w:rsid w:val="00142DAD"/>
    <w:rsid w:val="00142DCC"/>
    <w:rsid w:val="00142F17"/>
    <w:rsid w:val="00142F2B"/>
    <w:rsid w:val="00142FFA"/>
    <w:rsid w:val="001430C8"/>
    <w:rsid w:val="001430E5"/>
    <w:rsid w:val="001430F6"/>
    <w:rsid w:val="00143135"/>
    <w:rsid w:val="0014316F"/>
    <w:rsid w:val="0014319E"/>
    <w:rsid w:val="001431FD"/>
    <w:rsid w:val="001432A5"/>
    <w:rsid w:val="001432CC"/>
    <w:rsid w:val="001432F2"/>
    <w:rsid w:val="001432F7"/>
    <w:rsid w:val="0014330C"/>
    <w:rsid w:val="00143313"/>
    <w:rsid w:val="001435B7"/>
    <w:rsid w:val="001436B8"/>
    <w:rsid w:val="001437DF"/>
    <w:rsid w:val="0014385A"/>
    <w:rsid w:val="001439B5"/>
    <w:rsid w:val="00143AC3"/>
    <w:rsid w:val="00143AFA"/>
    <w:rsid w:val="00143B20"/>
    <w:rsid w:val="00143CAA"/>
    <w:rsid w:val="00143D7F"/>
    <w:rsid w:val="00143EA8"/>
    <w:rsid w:val="001440D9"/>
    <w:rsid w:val="00144326"/>
    <w:rsid w:val="00144335"/>
    <w:rsid w:val="001443B9"/>
    <w:rsid w:val="001444B4"/>
    <w:rsid w:val="001444DA"/>
    <w:rsid w:val="00144562"/>
    <w:rsid w:val="001446CA"/>
    <w:rsid w:val="00144742"/>
    <w:rsid w:val="001447E8"/>
    <w:rsid w:val="00144823"/>
    <w:rsid w:val="001448EB"/>
    <w:rsid w:val="00144902"/>
    <w:rsid w:val="001449D5"/>
    <w:rsid w:val="00144A36"/>
    <w:rsid w:val="00144A9C"/>
    <w:rsid w:val="00144ABB"/>
    <w:rsid w:val="00144C19"/>
    <w:rsid w:val="00144CF7"/>
    <w:rsid w:val="00144E68"/>
    <w:rsid w:val="00144E92"/>
    <w:rsid w:val="00144EC2"/>
    <w:rsid w:val="00144F1B"/>
    <w:rsid w:val="00144FC3"/>
    <w:rsid w:val="00145042"/>
    <w:rsid w:val="00145127"/>
    <w:rsid w:val="00145133"/>
    <w:rsid w:val="001451DF"/>
    <w:rsid w:val="0014525D"/>
    <w:rsid w:val="001452F5"/>
    <w:rsid w:val="00145446"/>
    <w:rsid w:val="00145536"/>
    <w:rsid w:val="00145594"/>
    <w:rsid w:val="001456C6"/>
    <w:rsid w:val="001457D2"/>
    <w:rsid w:val="00145806"/>
    <w:rsid w:val="00145808"/>
    <w:rsid w:val="00145850"/>
    <w:rsid w:val="001458A9"/>
    <w:rsid w:val="00145943"/>
    <w:rsid w:val="00145A12"/>
    <w:rsid w:val="00145A99"/>
    <w:rsid w:val="00145AB2"/>
    <w:rsid w:val="00145B17"/>
    <w:rsid w:val="00145B60"/>
    <w:rsid w:val="00145B93"/>
    <w:rsid w:val="00145B9A"/>
    <w:rsid w:val="00145CAA"/>
    <w:rsid w:val="00145CC9"/>
    <w:rsid w:val="00145CF3"/>
    <w:rsid w:val="00145D80"/>
    <w:rsid w:val="00145DA4"/>
    <w:rsid w:val="00145ED7"/>
    <w:rsid w:val="00145F91"/>
    <w:rsid w:val="00146013"/>
    <w:rsid w:val="00146055"/>
    <w:rsid w:val="00146078"/>
    <w:rsid w:val="0014611F"/>
    <w:rsid w:val="001461A3"/>
    <w:rsid w:val="00146235"/>
    <w:rsid w:val="00146252"/>
    <w:rsid w:val="00146297"/>
    <w:rsid w:val="0014638D"/>
    <w:rsid w:val="00146415"/>
    <w:rsid w:val="00146473"/>
    <w:rsid w:val="001464C7"/>
    <w:rsid w:val="001464E5"/>
    <w:rsid w:val="001465D4"/>
    <w:rsid w:val="001465EB"/>
    <w:rsid w:val="0014663A"/>
    <w:rsid w:val="001467FB"/>
    <w:rsid w:val="0014681B"/>
    <w:rsid w:val="00146861"/>
    <w:rsid w:val="001468EE"/>
    <w:rsid w:val="001468F4"/>
    <w:rsid w:val="0014693A"/>
    <w:rsid w:val="0014698A"/>
    <w:rsid w:val="00146A17"/>
    <w:rsid w:val="00146BA2"/>
    <w:rsid w:val="00146BBC"/>
    <w:rsid w:val="00146C56"/>
    <w:rsid w:val="00146D57"/>
    <w:rsid w:val="00146D91"/>
    <w:rsid w:val="00146FE7"/>
    <w:rsid w:val="00147012"/>
    <w:rsid w:val="00147137"/>
    <w:rsid w:val="0014717E"/>
    <w:rsid w:val="00147243"/>
    <w:rsid w:val="00147334"/>
    <w:rsid w:val="00147347"/>
    <w:rsid w:val="001473A8"/>
    <w:rsid w:val="0014753A"/>
    <w:rsid w:val="0014762B"/>
    <w:rsid w:val="00147683"/>
    <w:rsid w:val="00147763"/>
    <w:rsid w:val="00147826"/>
    <w:rsid w:val="00147973"/>
    <w:rsid w:val="001479A5"/>
    <w:rsid w:val="001479E1"/>
    <w:rsid w:val="00147A2E"/>
    <w:rsid w:val="00147B58"/>
    <w:rsid w:val="00147C42"/>
    <w:rsid w:val="00147D17"/>
    <w:rsid w:val="00147D8C"/>
    <w:rsid w:val="00147DAE"/>
    <w:rsid w:val="00147DBB"/>
    <w:rsid w:val="00147DE0"/>
    <w:rsid w:val="00147E21"/>
    <w:rsid w:val="00147EE2"/>
    <w:rsid w:val="001500A4"/>
    <w:rsid w:val="0015025C"/>
    <w:rsid w:val="001502E1"/>
    <w:rsid w:val="00150316"/>
    <w:rsid w:val="0015032B"/>
    <w:rsid w:val="00150333"/>
    <w:rsid w:val="001504C0"/>
    <w:rsid w:val="00150508"/>
    <w:rsid w:val="0015058C"/>
    <w:rsid w:val="001505CE"/>
    <w:rsid w:val="001505DE"/>
    <w:rsid w:val="0015070E"/>
    <w:rsid w:val="001507AE"/>
    <w:rsid w:val="0015084D"/>
    <w:rsid w:val="001508F1"/>
    <w:rsid w:val="00150928"/>
    <w:rsid w:val="00150A63"/>
    <w:rsid w:val="00150CEF"/>
    <w:rsid w:val="00150D25"/>
    <w:rsid w:val="00150E47"/>
    <w:rsid w:val="00150EBF"/>
    <w:rsid w:val="00150F25"/>
    <w:rsid w:val="00150F8E"/>
    <w:rsid w:val="00151036"/>
    <w:rsid w:val="0015111E"/>
    <w:rsid w:val="00151188"/>
    <w:rsid w:val="001511F6"/>
    <w:rsid w:val="00151228"/>
    <w:rsid w:val="0015124B"/>
    <w:rsid w:val="00151266"/>
    <w:rsid w:val="0015128E"/>
    <w:rsid w:val="00151290"/>
    <w:rsid w:val="001512C8"/>
    <w:rsid w:val="0015131E"/>
    <w:rsid w:val="0015134E"/>
    <w:rsid w:val="0015139C"/>
    <w:rsid w:val="00151483"/>
    <w:rsid w:val="001514C1"/>
    <w:rsid w:val="001514E7"/>
    <w:rsid w:val="00151583"/>
    <w:rsid w:val="001515A2"/>
    <w:rsid w:val="0015163B"/>
    <w:rsid w:val="00151731"/>
    <w:rsid w:val="0015175F"/>
    <w:rsid w:val="001517D2"/>
    <w:rsid w:val="001517DE"/>
    <w:rsid w:val="001517DF"/>
    <w:rsid w:val="00151931"/>
    <w:rsid w:val="00151946"/>
    <w:rsid w:val="001519B6"/>
    <w:rsid w:val="001519F8"/>
    <w:rsid w:val="00151AF1"/>
    <w:rsid w:val="00151B2F"/>
    <w:rsid w:val="00151C94"/>
    <w:rsid w:val="00151C9C"/>
    <w:rsid w:val="00151CA2"/>
    <w:rsid w:val="00151CD7"/>
    <w:rsid w:val="00151DC2"/>
    <w:rsid w:val="00151E13"/>
    <w:rsid w:val="00151E1C"/>
    <w:rsid w:val="00151E5A"/>
    <w:rsid w:val="00151E99"/>
    <w:rsid w:val="00151EC2"/>
    <w:rsid w:val="00151F3C"/>
    <w:rsid w:val="001520D8"/>
    <w:rsid w:val="0015213D"/>
    <w:rsid w:val="00152159"/>
    <w:rsid w:val="001521F8"/>
    <w:rsid w:val="00152364"/>
    <w:rsid w:val="001523F3"/>
    <w:rsid w:val="0015241C"/>
    <w:rsid w:val="001524C0"/>
    <w:rsid w:val="00152541"/>
    <w:rsid w:val="00152572"/>
    <w:rsid w:val="001525B9"/>
    <w:rsid w:val="001525EA"/>
    <w:rsid w:val="00152657"/>
    <w:rsid w:val="00152739"/>
    <w:rsid w:val="0015275D"/>
    <w:rsid w:val="00152778"/>
    <w:rsid w:val="001528BE"/>
    <w:rsid w:val="001528F1"/>
    <w:rsid w:val="00152A46"/>
    <w:rsid w:val="00152C0E"/>
    <w:rsid w:val="00152D44"/>
    <w:rsid w:val="00152DB1"/>
    <w:rsid w:val="00152DDF"/>
    <w:rsid w:val="00152DEF"/>
    <w:rsid w:val="00152E09"/>
    <w:rsid w:val="00152E10"/>
    <w:rsid w:val="00152E13"/>
    <w:rsid w:val="00152E81"/>
    <w:rsid w:val="00152F6D"/>
    <w:rsid w:val="00152F88"/>
    <w:rsid w:val="00152F9E"/>
    <w:rsid w:val="0015307E"/>
    <w:rsid w:val="001530A6"/>
    <w:rsid w:val="001530AB"/>
    <w:rsid w:val="0015319A"/>
    <w:rsid w:val="00153297"/>
    <w:rsid w:val="001533DB"/>
    <w:rsid w:val="0015344A"/>
    <w:rsid w:val="0015345A"/>
    <w:rsid w:val="001534F6"/>
    <w:rsid w:val="001535A0"/>
    <w:rsid w:val="00153747"/>
    <w:rsid w:val="001537E2"/>
    <w:rsid w:val="001537E9"/>
    <w:rsid w:val="00153881"/>
    <w:rsid w:val="0015392A"/>
    <w:rsid w:val="001539CA"/>
    <w:rsid w:val="00153A70"/>
    <w:rsid w:val="00153A75"/>
    <w:rsid w:val="00153A95"/>
    <w:rsid w:val="00153CFD"/>
    <w:rsid w:val="00153D16"/>
    <w:rsid w:val="00153D80"/>
    <w:rsid w:val="00153D96"/>
    <w:rsid w:val="00153DA0"/>
    <w:rsid w:val="00153DD3"/>
    <w:rsid w:val="00153EB6"/>
    <w:rsid w:val="00153EED"/>
    <w:rsid w:val="00153F5C"/>
    <w:rsid w:val="00153F63"/>
    <w:rsid w:val="00153FDE"/>
    <w:rsid w:val="001540B8"/>
    <w:rsid w:val="001541C5"/>
    <w:rsid w:val="001541FC"/>
    <w:rsid w:val="0015436E"/>
    <w:rsid w:val="001543DF"/>
    <w:rsid w:val="00154559"/>
    <w:rsid w:val="0015464A"/>
    <w:rsid w:val="001546D0"/>
    <w:rsid w:val="00154802"/>
    <w:rsid w:val="0015480A"/>
    <w:rsid w:val="001548B6"/>
    <w:rsid w:val="001548FB"/>
    <w:rsid w:val="00154A51"/>
    <w:rsid w:val="00154A55"/>
    <w:rsid w:val="00154AF1"/>
    <w:rsid w:val="00154CA2"/>
    <w:rsid w:val="00154CE8"/>
    <w:rsid w:val="00154DA3"/>
    <w:rsid w:val="00154EBA"/>
    <w:rsid w:val="00154ECE"/>
    <w:rsid w:val="00154F9D"/>
    <w:rsid w:val="00155005"/>
    <w:rsid w:val="0015503F"/>
    <w:rsid w:val="001550B6"/>
    <w:rsid w:val="0015525A"/>
    <w:rsid w:val="001552DF"/>
    <w:rsid w:val="001552EF"/>
    <w:rsid w:val="001553DD"/>
    <w:rsid w:val="00155455"/>
    <w:rsid w:val="0015546F"/>
    <w:rsid w:val="001554DA"/>
    <w:rsid w:val="00155595"/>
    <w:rsid w:val="00155606"/>
    <w:rsid w:val="0015564A"/>
    <w:rsid w:val="001558B3"/>
    <w:rsid w:val="00155911"/>
    <w:rsid w:val="0015593D"/>
    <w:rsid w:val="00155ADC"/>
    <w:rsid w:val="00155B01"/>
    <w:rsid w:val="00155B0C"/>
    <w:rsid w:val="00155BA8"/>
    <w:rsid w:val="00155BC8"/>
    <w:rsid w:val="00155BF0"/>
    <w:rsid w:val="00155C41"/>
    <w:rsid w:val="00155D40"/>
    <w:rsid w:val="00155D59"/>
    <w:rsid w:val="00155DC5"/>
    <w:rsid w:val="00155E28"/>
    <w:rsid w:val="00155E55"/>
    <w:rsid w:val="0015607A"/>
    <w:rsid w:val="00156180"/>
    <w:rsid w:val="00156192"/>
    <w:rsid w:val="001562E7"/>
    <w:rsid w:val="0015633B"/>
    <w:rsid w:val="001563E1"/>
    <w:rsid w:val="001563F1"/>
    <w:rsid w:val="00156471"/>
    <w:rsid w:val="001564D8"/>
    <w:rsid w:val="001565F1"/>
    <w:rsid w:val="0015662D"/>
    <w:rsid w:val="001566B1"/>
    <w:rsid w:val="001566B8"/>
    <w:rsid w:val="00156821"/>
    <w:rsid w:val="001568DD"/>
    <w:rsid w:val="00156907"/>
    <w:rsid w:val="00156AAA"/>
    <w:rsid w:val="00156AF4"/>
    <w:rsid w:val="00156AFD"/>
    <w:rsid w:val="00156BE5"/>
    <w:rsid w:val="00156C86"/>
    <w:rsid w:val="00156CB2"/>
    <w:rsid w:val="00156CD0"/>
    <w:rsid w:val="00156E36"/>
    <w:rsid w:val="00156EFC"/>
    <w:rsid w:val="001571F4"/>
    <w:rsid w:val="00157259"/>
    <w:rsid w:val="0015736F"/>
    <w:rsid w:val="0015739D"/>
    <w:rsid w:val="0015759A"/>
    <w:rsid w:val="001575AD"/>
    <w:rsid w:val="001575E8"/>
    <w:rsid w:val="0015772A"/>
    <w:rsid w:val="00157840"/>
    <w:rsid w:val="001578BB"/>
    <w:rsid w:val="001579C0"/>
    <w:rsid w:val="00157A20"/>
    <w:rsid w:val="00157AA7"/>
    <w:rsid w:val="00157AC3"/>
    <w:rsid w:val="00157B84"/>
    <w:rsid w:val="00157C2F"/>
    <w:rsid w:val="00157C3B"/>
    <w:rsid w:val="00157C80"/>
    <w:rsid w:val="00157D04"/>
    <w:rsid w:val="00157DC6"/>
    <w:rsid w:val="00157F1E"/>
    <w:rsid w:val="00157F64"/>
    <w:rsid w:val="001600CD"/>
    <w:rsid w:val="00160188"/>
    <w:rsid w:val="00160283"/>
    <w:rsid w:val="0016034B"/>
    <w:rsid w:val="00160424"/>
    <w:rsid w:val="00160431"/>
    <w:rsid w:val="00160488"/>
    <w:rsid w:val="00160489"/>
    <w:rsid w:val="00160522"/>
    <w:rsid w:val="00160581"/>
    <w:rsid w:val="00160583"/>
    <w:rsid w:val="00160656"/>
    <w:rsid w:val="001606EC"/>
    <w:rsid w:val="001606F2"/>
    <w:rsid w:val="001606F3"/>
    <w:rsid w:val="00160777"/>
    <w:rsid w:val="001607CE"/>
    <w:rsid w:val="001607DF"/>
    <w:rsid w:val="001608AD"/>
    <w:rsid w:val="0016094F"/>
    <w:rsid w:val="00160BBC"/>
    <w:rsid w:val="00160D3C"/>
    <w:rsid w:val="00160D78"/>
    <w:rsid w:val="00160D88"/>
    <w:rsid w:val="00160D9E"/>
    <w:rsid w:val="00160DB4"/>
    <w:rsid w:val="00160EA4"/>
    <w:rsid w:val="00160EAE"/>
    <w:rsid w:val="00160EC7"/>
    <w:rsid w:val="00160F86"/>
    <w:rsid w:val="0016105C"/>
    <w:rsid w:val="001610ED"/>
    <w:rsid w:val="0016111A"/>
    <w:rsid w:val="00161194"/>
    <w:rsid w:val="00161255"/>
    <w:rsid w:val="00161284"/>
    <w:rsid w:val="001612EA"/>
    <w:rsid w:val="001612F1"/>
    <w:rsid w:val="0016130B"/>
    <w:rsid w:val="00161318"/>
    <w:rsid w:val="00161385"/>
    <w:rsid w:val="001613EF"/>
    <w:rsid w:val="001614A0"/>
    <w:rsid w:val="0016158B"/>
    <w:rsid w:val="0016164D"/>
    <w:rsid w:val="00161838"/>
    <w:rsid w:val="0016186D"/>
    <w:rsid w:val="00161929"/>
    <w:rsid w:val="00161968"/>
    <w:rsid w:val="001619A9"/>
    <w:rsid w:val="00161A18"/>
    <w:rsid w:val="00161D94"/>
    <w:rsid w:val="00161D9B"/>
    <w:rsid w:val="00161DB8"/>
    <w:rsid w:val="00161DC7"/>
    <w:rsid w:val="00161EB0"/>
    <w:rsid w:val="00161F27"/>
    <w:rsid w:val="00161F4B"/>
    <w:rsid w:val="00161F72"/>
    <w:rsid w:val="00161FDA"/>
    <w:rsid w:val="00162098"/>
    <w:rsid w:val="00162167"/>
    <w:rsid w:val="001622C0"/>
    <w:rsid w:val="00162325"/>
    <w:rsid w:val="0016233C"/>
    <w:rsid w:val="001623E2"/>
    <w:rsid w:val="0016240D"/>
    <w:rsid w:val="00162580"/>
    <w:rsid w:val="00162642"/>
    <w:rsid w:val="0016265E"/>
    <w:rsid w:val="001626E8"/>
    <w:rsid w:val="0016273B"/>
    <w:rsid w:val="00162746"/>
    <w:rsid w:val="00162772"/>
    <w:rsid w:val="0016277F"/>
    <w:rsid w:val="001628CD"/>
    <w:rsid w:val="00162983"/>
    <w:rsid w:val="00162A5F"/>
    <w:rsid w:val="00162AE8"/>
    <w:rsid w:val="00162B8B"/>
    <w:rsid w:val="00162B8C"/>
    <w:rsid w:val="00162BA8"/>
    <w:rsid w:val="00162BAA"/>
    <w:rsid w:val="00162DB5"/>
    <w:rsid w:val="00162E87"/>
    <w:rsid w:val="00162F0D"/>
    <w:rsid w:val="00162F80"/>
    <w:rsid w:val="00162FD7"/>
    <w:rsid w:val="001631FE"/>
    <w:rsid w:val="00163231"/>
    <w:rsid w:val="00163296"/>
    <w:rsid w:val="001632DC"/>
    <w:rsid w:val="0016332C"/>
    <w:rsid w:val="0016334B"/>
    <w:rsid w:val="001633C7"/>
    <w:rsid w:val="001633F4"/>
    <w:rsid w:val="00163523"/>
    <w:rsid w:val="001635C7"/>
    <w:rsid w:val="001635DF"/>
    <w:rsid w:val="001636CB"/>
    <w:rsid w:val="00163741"/>
    <w:rsid w:val="00163785"/>
    <w:rsid w:val="001637D7"/>
    <w:rsid w:val="0016394F"/>
    <w:rsid w:val="00163971"/>
    <w:rsid w:val="00163990"/>
    <w:rsid w:val="00163B3B"/>
    <w:rsid w:val="00163C9D"/>
    <w:rsid w:val="00163E33"/>
    <w:rsid w:val="00163E37"/>
    <w:rsid w:val="00163E6E"/>
    <w:rsid w:val="00164062"/>
    <w:rsid w:val="001641D0"/>
    <w:rsid w:val="00164274"/>
    <w:rsid w:val="0016434B"/>
    <w:rsid w:val="00164415"/>
    <w:rsid w:val="00164441"/>
    <w:rsid w:val="001644F0"/>
    <w:rsid w:val="001644F4"/>
    <w:rsid w:val="0016454B"/>
    <w:rsid w:val="0016460C"/>
    <w:rsid w:val="0016465C"/>
    <w:rsid w:val="00164752"/>
    <w:rsid w:val="00164851"/>
    <w:rsid w:val="001648BC"/>
    <w:rsid w:val="0016495A"/>
    <w:rsid w:val="00164994"/>
    <w:rsid w:val="00164999"/>
    <w:rsid w:val="00164A14"/>
    <w:rsid w:val="00164A36"/>
    <w:rsid w:val="00164A67"/>
    <w:rsid w:val="00164B79"/>
    <w:rsid w:val="00164B9B"/>
    <w:rsid w:val="00164C0A"/>
    <w:rsid w:val="00164D49"/>
    <w:rsid w:val="00164E2B"/>
    <w:rsid w:val="00164E2F"/>
    <w:rsid w:val="00164F25"/>
    <w:rsid w:val="00164F46"/>
    <w:rsid w:val="00164F76"/>
    <w:rsid w:val="00165085"/>
    <w:rsid w:val="001650FE"/>
    <w:rsid w:val="00165149"/>
    <w:rsid w:val="001651ED"/>
    <w:rsid w:val="00165266"/>
    <w:rsid w:val="001652DA"/>
    <w:rsid w:val="001653AF"/>
    <w:rsid w:val="001653B5"/>
    <w:rsid w:val="0016541A"/>
    <w:rsid w:val="001654B2"/>
    <w:rsid w:val="001655B0"/>
    <w:rsid w:val="00165640"/>
    <w:rsid w:val="0016565D"/>
    <w:rsid w:val="00165776"/>
    <w:rsid w:val="0016586A"/>
    <w:rsid w:val="0016589B"/>
    <w:rsid w:val="00165A21"/>
    <w:rsid w:val="00165A60"/>
    <w:rsid w:val="00165A71"/>
    <w:rsid w:val="00165A7B"/>
    <w:rsid w:val="00165C36"/>
    <w:rsid w:val="00165D64"/>
    <w:rsid w:val="00165F70"/>
    <w:rsid w:val="00166179"/>
    <w:rsid w:val="001661BF"/>
    <w:rsid w:val="001662BD"/>
    <w:rsid w:val="001663C5"/>
    <w:rsid w:val="0016658F"/>
    <w:rsid w:val="00166598"/>
    <w:rsid w:val="00166652"/>
    <w:rsid w:val="0016669D"/>
    <w:rsid w:val="001666BA"/>
    <w:rsid w:val="001666FC"/>
    <w:rsid w:val="001667B5"/>
    <w:rsid w:val="001668C8"/>
    <w:rsid w:val="001668F3"/>
    <w:rsid w:val="00166933"/>
    <w:rsid w:val="00166953"/>
    <w:rsid w:val="001669E2"/>
    <w:rsid w:val="00166A7B"/>
    <w:rsid w:val="00166B80"/>
    <w:rsid w:val="00166BA9"/>
    <w:rsid w:val="00166CB4"/>
    <w:rsid w:val="00166DCD"/>
    <w:rsid w:val="00166E28"/>
    <w:rsid w:val="00166F15"/>
    <w:rsid w:val="00166F1B"/>
    <w:rsid w:val="0016712D"/>
    <w:rsid w:val="00167271"/>
    <w:rsid w:val="001672DF"/>
    <w:rsid w:val="0016737B"/>
    <w:rsid w:val="00167397"/>
    <w:rsid w:val="0016741B"/>
    <w:rsid w:val="0016747D"/>
    <w:rsid w:val="001674DB"/>
    <w:rsid w:val="001675AE"/>
    <w:rsid w:val="00167769"/>
    <w:rsid w:val="00167968"/>
    <w:rsid w:val="00167A2F"/>
    <w:rsid w:val="00167BC8"/>
    <w:rsid w:val="00167D42"/>
    <w:rsid w:val="00167DC9"/>
    <w:rsid w:val="00167EE3"/>
    <w:rsid w:val="00167F0A"/>
    <w:rsid w:val="00167F58"/>
    <w:rsid w:val="00167F8A"/>
    <w:rsid w:val="00170000"/>
    <w:rsid w:val="00170079"/>
    <w:rsid w:val="00170111"/>
    <w:rsid w:val="001701F9"/>
    <w:rsid w:val="0017027F"/>
    <w:rsid w:val="001702F3"/>
    <w:rsid w:val="001703B0"/>
    <w:rsid w:val="001703C3"/>
    <w:rsid w:val="001703E3"/>
    <w:rsid w:val="00170412"/>
    <w:rsid w:val="00170488"/>
    <w:rsid w:val="001704D3"/>
    <w:rsid w:val="0017051A"/>
    <w:rsid w:val="0017056D"/>
    <w:rsid w:val="001705FC"/>
    <w:rsid w:val="00170662"/>
    <w:rsid w:val="00170664"/>
    <w:rsid w:val="001706AA"/>
    <w:rsid w:val="001707AA"/>
    <w:rsid w:val="001707AB"/>
    <w:rsid w:val="00170855"/>
    <w:rsid w:val="00170861"/>
    <w:rsid w:val="001708AB"/>
    <w:rsid w:val="001708B1"/>
    <w:rsid w:val="0017090F"/>
    <w:rsid w:val="0017096A"/>
    <w:rsid w:val="00170974"/>
    <w:rsid w:val="0017099E"/>
    <w:rsid w:val="001709C0"/>
    <w:rsid w:val="00170A60"/>
    <w:rsid w:val="00170A73"/>
    <w:rsid w:val="00170A86"/>
    <w:rsid w:val="00170DC8"/>
    <w:rsid w:val="00170DE4"/>
    <w:rsid w:val="00170DF5"/>
    <w:rsid w:val="00170E50"/>
    <w:rsid w:val="00170E6A"/>
    <w:rsid w:val="00170EC4"/>
    <w:rsid w:val="00170ED7"/>
    <w:rsid w:val="00170FDA"/>
    <w:rsid w:val="00171034"/>
    <w:rsid w:val="00171065"/>
    <w:rsid w:val="001710A1"/>
    <w:rsid w:val="001710D1"/>
    <w:rsid w:val="00171151"/>
    <w:rsid w:val="00171207"/>
    <w:rsid w:val="00171279"/>
    <w:rsid w:val="001713D6"/>
    <w:rsid w:val="00171407"/>
    <w:rsid w:val="0017145B"/>
    <w:rsid w:val="0017147F"/>
    <w:rsid w:val="00171513"/>
    <w:rsid w:val="00171569"/>
    <w:rsid w:val="0017157E"/>
    <w:rsid w:val="001716F2"/>
    <w:rsid w:val="00171774"/>
    <w:rsid w:val="0017189E"/>
    <w:rsid w:val="001719C6"/>
    <w:rsid w:val="001719E1"/>
    <w:rsid w:val="00171B21"/>
    <w:rsid w:val="00171B3E"/>
    <w:rsid w:val="00171B94"/>
    <w:rsid w:val="00171BD1"/>
    <w:rsid w:val="00171C15"/>
    <w:rsid w:val="00171C6A"/>
    <w:rsid w:val="00171F4E"/>
    <w:rsid w:val="00171FCE"/>
    <w:rsid w:val="00172054"/>
    <w:rsid w:val="0017206F"/>
    <w:rsid w:val="001720AE"/>
    <w:rsid w:val="00172162"/>
    <w:rsid w:val="00172183"/>
    <w:rsid w:val="00172196"/>
    <w:rsid w:val="001721CD"/>
    <w:rsid w:val="0017220E"/>
    <w:rsid w:val="00172282"/>
    <w:rsid w:val="00172289"/>
    <w:rsid w:val="00172297"/>
    <w:rsid w:val="001723A3"/>
    <w:rsid w:val="001724A2"/>
    <w:rsid w:val="001724CA"/>
    <w:rsid w:val="001724E0"/>
    <w:rsid w:val="001726FB"/>
    <w:rsid w:val="00172730"/>
    <w:rsid w:val="001727DF"/>
    <w:rsid w:val="001727E8"/>
    <w:rsid w:val="0017280F"/>
    <w:rsid w:val="00172843"/>
    <w:rsid w:val="00172906"/>
    <w:rsid w:val="00172964"/>
    <w:rsid w:val="0017296A"/>
    <w:rsid w:val="001729B3"/>
    <w:rsid w:val="00172AF8"/>
    <w:rsid w:val="00172BBA"/>
    <w:rsid w:val="00172BF4"/>
    <w:rsid w:val="00172C62"/>
    <w:rsid w:val="00172DDD"/>
    <w:rsid w:val="00172FFC"/>
    <w:rsid w:val="00173008"/>
    <w:rsid w:val="00173042"/>
    <w:rsid w:val="001730F6"/>
    <w:rsid w:val="0017312E"/>
    <w:rsid w:val="00173361"/>
    <w:rsid w:val="00173369"/>
    <w:rsid w:val="00173377"/>
    <w:rsid w:val="001733B8"/>
    <w:rsid w:val="0017345C"/>
    <w:rsid w:val="001735C6"/>
    <w:rsid w:val="001736E3"/>
    <w:rsid w:val="0017371A"/>
    <w:rsid w:val="0017371B"/>
    <w:rsid w:val="001737BD"/>
    <w:rsid w:val="001737DB"/>
    <w:rsid w:val="0017386D"/>
    <w:rsid w:val="001738C7"/>
    <w:rsid w:val="001739BA"/>
    <w:rsid w:val="001739F6"/>
    <w:rsid w:val="00173AE5"/>
    <w:rsid w:val="00173B3B"/>
    <w:rsid w:val="00173C39"/>
    <w:rsid w:val="00173C52"/>
    <w:rsid w:val="00173C83"/>
    <w:rsid w:val="00173C97"/>
    <w:rsid w:val="00173CA3"/>
    <w:rsid w:val="00173D43"/>
    <w:rsid w:val="00173D4A"/>
    <w:rsid w:val="00173D5D"/>
    <w:rsid w:val="00173F36"/>
    <w:rsid w:val="00174098"/>
    <w:rsid w:val="001741D9"/>
    <w:rsid w:val="0017420D"/>
    <w:rsid w:val="001742B4"/>
    <w:rsid w:val="0017449B"/>
    <w:rsid w:val="0017449E"/>
    <w:rsid w:val="001744AA"/>
    <w:rsid w:val="00174694"/>
    <w:rsid w:val="00174698"/>
    <w:rsid w:val="001746D2"/>
    <w:rsid w:val="00174800"/>
    <w:rsid w:val="001748B2"/>
    <w:rsid w:val="00174999"/>
    <w:rsid w:val="001749B2"/>
    <w:rsid w:val="00174A06"/>
    <w:rsid w:val="00174A38"/>
    <w:rsid w:val="00174A3B"/>
    <w:rsid w:val="00174A8F"/>
    <w:rsid w:val="00174C3B"/>
    <w:rsid w:val="00174C42"/>
    <w:rsid w:val="00174C99"/>
    <w:rsid w:val="00174D6D"/>
    <w:rsid w:val="00174E0C"/>
    <w:rsid w:val="00174E47"/>
    <w:rsid w:val="00174E5B"/>
    <w:rsid w:val="00174EE6"/>
    <w:rsid w:val="00174F03"/>
    <w:rsid w:val="00174F5E"/>
    <w:rsid w:val="00174FE4"/>
    <w:rsid w:val="0017507D"/>
    <w:rsid w:val="001750DA"/>
    <w:rsid w:val="00175130"/>
    <w:rsid w:val="0017518C"/>
    <w:rsid w:val="00175199"/>
    <w:rsid w:val="00175237"/>
    <w:rsid w:val="001752C8"/>
    <w:rsid w:val="00175357"/>
    <w:rsid w:val="0017544B"/>
    <w:rsid w:val="001754B2"/>
    <w:rsid w:val="001754BB"/>
    <w:rsid w:val="00175501"/>
    <w:rsid w:val="00175510"/>
    <w:rsid w:val="0017556E"/>
    <w:rsid w:val="00175692"/>
    <w:rsid w:val="001757D8"/>
    <w:rsid w:val="001758AF"/>
    <w:rsid w:val="001758F4"/>
    <w:rsid w:val="00175B56"/>
    <w:rsid w:val="00175B58"/>
    <w:rsid w:val="00175B86"/>
    <w:rsid w:val="00175BFE"/>
    <w:rsid w:val="00175C43"/>
    <w:rsid w:val="00175CBD"/>
    <w:rsid w:val="00175CC7"/>
    <w:rsid w:val="00175D60"/>
    <w:rsid w:val="00175D73"/>
    <w:rsid w:val="00175EF2"/>
    <w:rsid w:val="00175FA7"/>
    <w:rsid w:val="00175FB5"/>
    <w:rsid w:val="00175FC8"/>
    <w:rsid w:val="00175FDA"/>
    <w:rsid w:val="0017619D"/>
    <w:rsid w:val="001761DA"/>
    <w:rsid w:val="0017623B"/>
    <w:rsid w:val="00176279"/>
    <w:rsid w:val="001762BA"/>
    <w:rsid w:val="001762EF"/>
    <w:rsid w:val="0017639F"/>
    <w:rsid w:val="0017645B"/>
    <w:rsid w:val="00176481"/>
    <w:rsid w:val="00176525"/>
    <w:rsid w:val="001765C8"/>
    <w:rsid w:val="00176602"/>
    <w:rsid w:val="00176668"/>
    <w:rsid w:val="0017671E"/>
    <w:rsid w:val="00176938"/>
    <w:rsid w:val="0017693B"/>
    <w:rsid w:val="00176A1D"/>
    <w:rsid w:val="00176A31"/>
    <w:rsid w:val="00176A6C"/>
    <w:rsid w:val="00176B10"/>
    <w:rsid w:val="00176B6F"/>
    <w:rsid w:val="00176B8A"/>
    <w:rsid w:val="00176B9D"/>
    <w:rsid w:val="00176CAE"/>
    <w:rsid w:val="00176D36"/>
    <w:rsid w:val="00176D82"/>
    <w:rsid w:val="00176D89"/>
    <w:rsid w:val="00176E27"/>
    <w:rsid w:val="00177030"/>
    <w:rsid w:val="00177032"/>
    <w:rsid w:val="001771CD"/>
    <w:rsid w:val="001771F9"/>
    <w:rsid w:val="00177236"/>
    <w:rsid w:val="001772B0"/>
    <w:rsid w:val="00177315"/>
    <w:rsid w:val="00177348"/>
    <w:rsid w:val="0017741B"/>
    <w:rsid w:val="0017746E"/>
    <w:rsid w:val="001774C7"/>
    <w:rsid w:val="00177574"/>
    <w:rsid w:val="001777A4"/>
    <w:rsid w:val="001777F5"/>
    <w:rsid w:val="0017781E"/>
    <w:rsid w:val="00177874"/>
    <w:rsid w:val="00177A1B"/>
    <w:rsid w:val="00177AE3"/>
    <w:rsid w:val="00177B7D"/>
    <w:rsid w:val="00177D1B"/>
    <w:rsid w:val="00177E12"/>
    <w:rsid w:val="00177FB3"/>
    <w:rsid w:val="001800A2"/>
    <w:rsid w:val="001800D9"/>
    <w:rsid w:val="001801ED"/>
    <w:rsid w:val="00180373"/>
    <w:rsid w:val="00180528"/>
    <w:rsid w:val="00180712"/>
    <w:rsid w:val="00180729"/>
    <w:rsid w:val="00180774"/>
    <w:rsid w:val="001807CE"/>
    <w:rsid w:val="00180886"/>
    <w:rsid w:val="00180984"/>
    <w:rsid w:val="00180987"/>
    <w:rsid w:val="001809E7"/>
    <w:rsid w:val="00180A61"/>
    <w:rsid w:val="00180ACF"/>
    <w:rsid w:val="00180AF8"/>
    <w:rsid w:val="00180B4D"/>
    <w:rsid w:val="00180DE5"/>
    <w:rsid w:val="00180F8F"/>
    <w:rsid w:val="001810B6"/>
    <w:rsid w:val="0018112C"/>
    <w:rsid w:val="0018125E"/>
    <w:rsid w:val="001812C4"/>
    <w:rsid w:val="001812D6"/>
    <w:rsid w:val="001813C0"/>
    <w:rsid w:val="00181460"/>
    <w:rsid w:val="00181477"/>
    <w:rsid w:val="00181482"/>
    <w:rsid w:val="001814FE"/>
    <w:rsid w:val="00181556"/>
    <w:rsid w:val="0018155F"/>
    <w:rsid w:val="001815F9"/>
    <w:rsid w:val="0018163C"/>
    <w:rsid w:val="0018170C"/>
    <w:rsid w:val="00181739"/>
    <w:rsid w:val="001817D1"/>
    <w:rsid w:val="001818E9"/>
    <w:rsid w:val="00181943"/>
    <w:rsid w:val="00181A09"/>
    <w:rsid w:val="00181A7E"/>
    <w:rsid w:val="00181AFD"/>
    <w:rsid w:val="00181B75"/>
    <w:rsid w:val="00181B83"/>
    <w:rsid w:val="00181C04"/>
    <w:rsid w:val="00181C10"/>
    <w:rsid w:val="00181C2B"/>
    <w:rsid w:val="00181C48"/>
    <w:rsid w:val="00181CC8"/>
    <w:rsid w:val="00181CDC"/>
    <w:rsid w:val="00181E08"/>
    <w:rsid w:val="00181E1D"/>
    <w:rsid w:val="00181E45"/>
    <w:rsid w:val="00181E52"/>
    <w:rsid w:val="00181F27"/>
    <w:rsid w:val="00181F6A"/>
    <w:rsid w:val="00181F6D"/>
    <w:rsid w:val="00182107"/>
    <w:rsid w:val="00182128"/>
    <w:rsid w:val="00182139"/>
    <w:rsid w:val="001822A3"/>
    <w:rsid w:val="001822D2"/>
    <w:rsid w:val="00182345"/>
    <w:rsid w:val="0018237D"/>
    <w:rsid w:val="00182391"/>
    <w:rsid w:val="001824A1"/>
    <w:rsid w:val="00182503"/>
    <w:rsid w:val="001825D2"/>
    <w:rsid w:val="001826E3"/>
    <w:rsid w:val="0018272A"/>
    <w:rsid w:val="0018276B"/>
    <w:rsid w:val="001827E5"/>
    <w:rsid w:val="001827F3"/>
    <w:rsid w:val="001828F7"/>
    <w:rsid w:val="0018296B"/>
    <w:rsid w:val="00182A02"/>
    <w:rsid w:val="00182A45"/>
    <w:rsid w:val="00182A54"/>
    <w:rsid w:val="00182AA5"/>
    <w:rsid w:val="00182ACA"/>
    <w:rsid w:val="00182B22"/>
    <w:rsid w:val="00182B53"/>
    <w:rsid w:val="00182B6B"/>
    <w:rsid w:val="00182BBC"/>
    <w:rsid w:val="00182BF3"/>
    <w:rsid w:val="00182D62"/>
    <w:rsid w:val="00182E4C"/>
    <w:rsid w:val="00182F76"/>
    <w:rsid w:val="00182F77"/>
    <w:rsid w:val="00182F8F"/>
    <w:rsid w:val="00182FFF"/>
    <w:rsid w:val="00183038"/>
    <w:rsid w:val="00183166"/>
    <w:rsid w:val="00183167"/>
    <w:rsid w:val="0018325D"/>
    <w:rsid w:val="0018328C"/>
    <w:rsid w:val="001832E3"/>
    <w:rsid w:val="0018335A"/>
    <w:rsid w:val="00183383"/>
    <w:rsid w:val="0018342A"/>
    <w:rsid w:val="00183595"/>
    <w:rsid w:val="00183603"/>
    <w:rsid w:val="00183638"/>
    <w:rsid w:val="00183743"/>
    <w:rsid w:val="00183791"/>
    <w:rsid w:val="00183852"/>
    <w:rsid w:val="001838EA"/>
    <w:rsid w:val="001838EF"/>
    <w:rsid w:val="00183919"/>
    <w:rsid w:val="00183986"/>
    <w:rsid w:val="001839A5"/>
    <w:rsid w:val="001839E1"/>
    <w:rsid w:val="00183A1A"/>
    <w:rsid w:val="00183A9E"/>
    <w:rsid w:val="00183AB2"/>
    <w:rsid w:val="00183B09"/>
    <w:rsid w:val="00183B73"/>
    <w:rsid w:val="00183B9F"/>
    <w:rsid w:val="00183C62"/>
    <w:rsid w:val="00183D8C"/>
    <w:rsid w:val="00183E2C"/>
    <w:rsid w:val="00183E6C"/>
    <w:rsid w:val="00183EBF"/>
    <w:rsid w:val="00183F26"/>
    <w:rsid w:val="00183F94"/>
    <w:rsid w:val="001840A8"/>
    <w:rsid w:val="001840BE"/>
    <w:rsid w:val="001840E0"/>
    <w:rsid w:val="0018413F"/>
    <w:rsid w:val="00184208"/>
    <w:rsid w:val="0018421B"/>
    <w:rsid w:val="00184322"/>
    <w:rsid w:val="00184360"/>
    <w:rsid w:val="001844C3"/>
    <w:rsid w:val="001844E6"/>
    <w:rsid w:val="001845BA"/>
    <w:rsid w:val="0018475D"/>
    <w:rsid w:val="00184936"/>
    <w:rsid w:val="00184A19"/>
    <w:rsid w:val="00184AAF"/>
    <w:rsid w:val="00184B66"/>
    <w:rsid w:val="00184B6B"/>
    <w:rsid w:val="00184B93"/>
    <w:rsid w:val="00184C05"/>
    <w:rsid w:val="00184C98"/>
    <w:rsid w:val="00184CEF"/>
    <w:rsid w:val="00184DE4"/>
    <w:rsid w:val="00184E7E"/>
    <w:rsid w:val="00184EB7"/>
    <w:rsid w:val="00184F6A"/>
    <w:rsid w:val="00184F6B"/>
    <w:rsid w:val="00184FED"/>
    <w:rsid w:val="00185091"/>
    <w:rsid w:val="00185108"/>
    <w:rsid w:val="001851A2"/>
    <w:rsid w:val="001851AF"/>
    <w:rsid w:val="00185226"/>
    <w:rsid w:val="00185310"/>
    <w:rsid w:val="0018537C"/>
    <w:rsid w:val="00185387"/>
    <w:rsid w:val="00185429"/>
    <w:rsid w:val="001854A2"/>
    <w:rsid w:val="001854B0"/>
    <w:rsid w:val="00185673"/>
    <w:rsid w:val="00185679"/>
    <w:rsid w:val="0018568B"/>
    <w:rsid w:val="001856DB"/>
    <w:rsid w:val="001857CF"/>
    <w:rsid w:val="001857DA"/>
    <w:rsid w:val="001857F3"/>
    <w:rsid w:val="00185810"/>
    <w:rsid w:val="00185859"/>
    <w:rsid w:val="0018592E"/>
    <w:rsid w:val="00185996"/>
    <w:rsid w:val="0018599E"/>
    <w:rsid w:val="00185A14"/>
    <w:rsid w:val="00185AC5"/>
    <w:rsid w:val="00185AE5"/>
    <w:rsid w:val="00185CD4"/>
    <w:rsid w:val="00185DB2"/>
    <w:rsid w:val="00185FE2"/>
    <w:rsid w:val="00186029"/>
    <w:rsid w:val="00186140"/>
    <w:rsid w:val="00186158"/>
    <w:rsid w:val="00186174"/>
    <w:rsid w:val="001861F7"/>
    <w:rsid w:val="001862F7"/>
    <w:rsid w:val="00186392"/>
    <w:rsid w:val="00186522"/>
    <w:rsid w:val="0018653C"/>
    <w:rsid w:val="00186790"/>
    <w:rsid w:val="00186889"/>
    <w:rsid w:val="001868B7"/>
    <w:rsid w:val="00186A72"/>
    <w:rsid w:val="00186B67"/>
    <w:rsid w:val="00186BA5"/>
    <w:rsid w:val="00186C71"/>
    <w:rsid w:val="00186CF8"/>
    <w:rsid w:val="00186DE4"/>
    <w:rsid w:val="00186F00"/>
    <w:rsid w:val="00186F75"/>
    <w:rsid w:val="00186FD9"/>
    <w:rsid w:val="0018709A"/>
    <w:rsid w:val="001870D5"/>
    <w:rsid w:val="001870FA"/>
    <w:rsid w:val="00187270"/>
    <w:rsid w:val="001872FA"/>
    <w:rsid w:val="0018737E"/>
    <w:rsid w:val="00187384"/>
    <w:rsid w:val="00187386"/>
    <w:rsid w:val="0018746D"/>
    <w:rsid w:val="00187496"/>
    <w:rsid w:val="00187587"/>
    <w:rsid w:val="001875EB"/>
    <w:rsid w:val="001876E4"/>
    <w:rsid w:val="00187763"/>
    <w:rsid w:val="0018778E"/>
    <w:rsid w:val="001877D6"/>
    <w:rsid w:val="001878DF"/>
    <w:rsid w:val="00187920"/>
    <w:rsid w:val="001879B9"/>
    <w:rsid w:val="001879CD"/>
    <w:rsid w:val="00187A79"/>
    <w:rsid w:val="00187A94"/>
    <w:rsid w:val="00187C31"/>
    <w:rsid w:val="00187CFC"/>
    <w:rsid w:val="00187D83"/>
    <w:rsid w:val="00187DAC"/>
    <w:rsid w:val="00187E57"/>
    <w:rsid w:val="00187EA9"/>
    <w:rsid w:val="00187F5E"/>
    <w:rsid w:val="00187FBC"/>
    <w:rsid w:val="0019003C"/>
    <w:rsid w:val="00190062"/>
    <w:rsid w:val="001900C0"/>
    <w:rsid w:val="00190153"/>
    <w:rsid w:val="00190189"/>
    <w:rsid w:val="001901FF"/>
    <w:rsid w:val="001902FB"/>
    <w:rsid w:val="00190319"/>
    <w:rsid w:val="00190467"/>
    <w:rsid w:val="001904F3"/>
    <w:rsid w:val="00190527"/>
    <w:rsid w:val="00190529"/>
    <w:rsid w:val="001905DD"/>
    <w:rsid w:val="00190639"/>
    <w:rsid w:val="0019063A"/>
    <w:rsid w:val="0019068B"/>
    <w:rsid w:val="00190761"/>
    <w:rsid w:val="00190832"/>
    <w:rsid w:val="001908D2"/>
    <w:rsid w:val="00190922"/>
    <w:rsid w:val="00190939"/>
    <w:rsid w:val="001909B5"/>
    <w:rsid w:val="00190A03"/>
    <w:rsid w:val="00190A2A"/>
    <w:rsid w:val="00190AB7"/>
    <w:rsid w:val="00190AC2"/>
    <w:rsid w:val="00190B32"/>
    <w:rsid w:val="00190B9C"/>
    <w:rsid w:val="00190C3E"/>
    <w:rsid w:val="00190CC7"/>
    <w:rsid w:val="00190D21"/>
    <w:rsid w:val="00190D30"/>
    <w:rsid w:val="00190F94"/>
    <w:rsid w:val="00190FAC"/>
    <w:rsid w:val="00190FAF"/>
    <w:rsid w:val="0019103D"/>
    <w:rsid w:val="00191062"/>
    <w:rsid w:val="001911F1"/>
    <w:rsid w:val="00191275"/>
    <w:rsid w:val="00191454"/>
    <w:rsid w:val="00191680"/>
    <w:rsid w:val="00191693"/>
    <w:rsid w:val="001919A3"/>
    <w:rsid w:val="00191A20"/>
    <w:rsid w:val="00191AA3"/>
    <w:rsid w:val="00191B35"/>
    <w:rsid w:val="00191B92"/>
    <w:rsid w:val="00191BC6"/>
    <w:rsid w:val="00191D3B"/>
    <w:rsid w:val="00191D62"/>
    <w:rsid w:val="00191E08"/>
    <w:rsid w:val="00191E32"/>
    <w:rsid w:val="00191E6D"/>
    <w:rsid w:val="00191F04"/>
    <w:rsid w:val="00191FB1"/>
    <w:rsid w:val="0019203C"/>
    <w:rsid w:val="001922B2"/>
    <w:rsid w:val="0019235A"/>
    <w:rsid w:val="00192410"/>
    <w:rsid w:val="00192419"/>
    <w:rsid w:val="001924A9"/>
    <w:rsid w:val="00192525"/>
    <w:rsid w:val="00192533"/>
    <w:rsid w:val="001925E9"/>
    <w:rsid w:val="00192763"/>
    <w:rsid w:val="001927FF"/>
    <w:rsid w:val="00192902"/>
    <w:rsid w:val="00192B05"/>
    <w:rsid w:val="00192B06"/>
    <w:rsid w:val="00192DDC"/>
    <w:rsid w:val="00192F2D"/>
    <w:rsid w:val="00192F90"/>
    <w:rsid w:val="00192FBB"/>
    <w:rsid w:val="00192FE1"/>
    <w:rsid w:val="00193143"/>
    <w:rsid w:val="001931A4"/>
    <w:rsid w:val="0019322A"/>
    <w:rsid w:val="001932B3"/>
    <w:rsid w:val="00193377"/>
    <w:rsid w:val="001933B0"/>
    <w:rsid w:val="0019344B"/>
    <w:rsid w:val="001934C4"/>
    <w:rsid w:val="001934E9"/>
    <w:rsid w:val="00193532"/>
    <w:rsid w:val="00193601"/>
    <w:rsid w:val="0019368D"/>
    <w:rsid w:val="001936D4"/>
    <w:rsid w:val="00193829"/>
    <w:rsid w:val="0019398F"/>
    <w:rsid w:val="001939C9"/>
    <w:rsid w:val="00193A58"/>
    <w:rsid w:val="00193B5F"/>
    <w:rsid w:val="00193B91"/>
    <w:rsid w:val="00193B92"/>
    <w:rsid w:val="00193BB9"/>
    <w:rsid w:val="00193BF4"/>
    <w:rsid w:val="00193C79"/>
    <w:rsid w:val="00193CFA"/>
    <w:rsid w:val="00193E72"/>
    <w:rsid w:val="00193FB5"/>
    <w:rsid w:val="00194029"/>
    <w:rsid w:val="001940F9"/>
    <w:rsid w:val="00194105"/>
    <w:rsid w:val="0019411D"/>
    <w:rsid w:val="00194175"/>
    <w:rsid w:val="001941BE"/>
    <w:rsid w:val="001942A0"/>
    <w:rsid w:val="001942FB"/>
    <w:rsid w:val="0019431B"/>
    <w:rsid w:val="00194454"/>
    <w:rsid w:val="001944B1"/>
    <w:rsid w:val="0019450E"/>
    <w:rsid w:val="001945C5"/>
    <w:rsid w:val="00194650"/>
    <w:rsid w:val="00194652"/>
    <w:rsid w:val="0019472E"/>
    <w:rsid w:val="0019483B"/>
    <w:rsid w:val="00194878"/>
    <w:rsid w:val="001948FE"/>
    <w:rsid w:val="00194960"/>
    <w:rsid w:val="00194977"/>
    <w:rsid w:val="00194A4A"/>
    <w:rsid w:val="00194AE7"/>
    <w:rsid w:val="00194AF9"/>
    <w:rsid w:val="00194B37"/>
    <w:rsid w:val="00194BAB"/>
    <w:rsid w:val="00194C70"/>
    <w:rsid w:val="00194D01"/>
    <w:rsid w:val="00194E41"/>
    <w:rsid w:val="00194EDB"/>
    <w:rsid w:val="00195014"/>
    <w:rsid w:val="0019507B"/>
    <w:rsid w:val="001951AD"/>
    <w:rsid w:val="001951BC"/>
    <w:rsid w:val="001952B2"/>
    <w:rsid w:val="001952D7"/>
    <w:rsid w:val="00195367"/>
    <w:rsid w:val="00195380"/>
    <w:rsid w:val="001953DF"/>
    <w:rsid w:val="001953E5"/>
    <w:rsid w:val="001953EB"/>
    <w:rsid w:val="001954A7"/>
    <w:rsid w:val="001955D3"/>
    <w:rsid w:val="001956B8"/>
    <w:rsid w:val="00195783"/>
    <w:rsid w:val="001958B7"/>
    <w:rsid w:val="0019594F"/>
    <w:rsid w:val="00195978"/>
    <w:rsid w:val="001959D4"/>
    <w:rsid w:val="00195A91"/>
    <w:rsid w:val="00195B75"/>
    <w:rsid w:val="00195C3F"/>
    <w:rsid w:val="00195DBA"/>
    <w:rsid w:val="00195E5E"/>
    <w:rsid w:val="00195E7F"/>
    <w:rsid w:val="00196115"/>
    <w:rsid w:val="00196163"/>
    <w:rsid w:val="001961B9"/>
    <w:rsid w:val="0019626A"/>
    <w:rsid w:val="00196274"/>
    <w:rsid w:val="0019627A"/>
    <w:rsid w:val="001962F4"/>
    <w:rsid w:val="00196344"/>
    <w:rsid w:val="001963FB"/>
    <w:rsid w:val="0019641F"/>
    <w:rsid w:val="001964C6"/>
    <w:rsid w:val="00196784"/>
    <w:rsid w:val="00196856"/>
    <w:rsid w:val="00196869"/>
    <w:rsid w:val="0019688D"/>
    <w:rsid w:val="0019692F"/>
    <w:rsid w:val="001969C0"/>
    <w:rsid w:val="001969C3"/>
    <w:rsid w:val="00196A67"/>
    <w:rsid w:val="00196AAA"/>
    <w:rsid w:val="00196AF9"/>
    <w:rsid w:val="00196B6C"/>
    <w:rsid w:val="00196BD3"/>
    <w:rsid w:val="00196C75"/>
    <w:rsid w:val="00196CAA"/>
    <w:rsid w:val="00196CF3"/>
    <w:rsid w:val="00196DC5"/>
    <w:rsid w:val="00196E2A"/>
    <w:rsid w:val="00196E62"/>
    <w:rsid w:val="00196EDB"/>
    <w:rsid w:val="00196F59"/>
    <w:rsid w:val="00196FFD"/>
    <w:rsid w:val="00197017"/>
    <w:rsid w:val="0019705F"/>
    <w:rsid w:val="001970D8"/>
    <w:rsid w:val="001971ED"/>
    <w:rsid w:val="0019721A"/>
    <w:rsid w:val="0019721C"/>
    <w:rsid w:val="0019743D"/>
    <w:rsid w:val="001974C5"/>
    <w:rsid w:val="001975A1"/>
    <w:rsid w:val="001975FD"/>
    <w:rsid w:val="00197681"/>
    <w:rsid w:val="001976FC"/>
    <w:rsid w:val="0019778A"/>
    <w:rsid w:val="00197806"/>
    <w:rsid w:val="00197850"/>
    <w:rsid w:val="00197905"/>
    <w:rsid w:val="0019795E"/>
    <w:rsid w:val="001979A3"/>
    <w:rsid w:val="00197A86"/>
    <w:rsid w:val="00197B8B"/>
    <w:rsid w:val="00197BA2"/>
    <w:rsid w:val="00197BD0"/>
    <w:rsid w:val="00197BD9"/>
    <w:rsid w:val="00197BDF"/>
    <w:rsid w:val="00197D3D"/>
    <w:rsid w:val="00197DEE"/>
    <w:rsid w:val="00197E9D"/>
    <w:rsid w:val="00197EBE"/>
    <w:rsid w:val="00197EE0"/>
    <w:rsid w:val="00197F64"/>
    <w:rsid w:val="00197F73"/>
    <w:rsid w:val="001A01B7"/>
    <w:rsid w:val="001A025E"/>
    <w:rsid w:val="001A02CC"/>
    <w:rsid w:val="001A043F"/>
    <w:rsid w:val="001A047F"/>
    <w:rsid w:val="001A0499"/>
    <w:rsid w:val="001A0517"/>
    <w:rsid w:val="001A05BD"/>
    <w:rsid w:val="001A0605"/>
    <w:rsid w:val="001A06F0"/>
    <w:rsid w:val="001A06FE"/>
    <w:rsid w:val="001A0794"/>
    <w:rsid w:val="001A07C4"/>
    <w:rsid w:val="001A07C5"/>
    <w:rsid w:val="001A084B"/>
    <w:rsid w:val="001A08C5"/>
    <w:rsid w:val="001A092C"/>
    <w:rsid w:val="001A09D1"/>
    <w:rsid w:val="001A0B5F"/>
    <w:rsid w:val="001A0B8F"/>
    <w:rsid w:val="001A0C3E"/>
    <w:rsid w:val="001A0C45"/>
    <w:rsid w:val="001A0CC6"/>
    <w:rsid w:val="001A0CF6"/>
    <w:rsid w:val="001A0D11"/>
    <w:rsid w:val="001A0D9B"/>
    <w:rsid w:val="001A0E7F"/>
    <w:rsid w:val="001A0F11"/>
    <w:rsid w:val="001A0F9E"/>
    <w:rsid w:val="001A1004"/>
    <w:rsid w:val="001A1059"/>
    <w:rsid w:val="001A12A4"/>
    <w:rsid w:val="001A12AC"/>
    <w:rsid w:val="001A12E8"/>
    <w:rsid w:val="001A14B1"/>
    <w:rsid w:val="001A14E9"/>
    <w:rsid w:val="001A1506"/>
    <w:rsid w:val="001A157F"/>
    <w:rsid w:val="001A15A9"/>
    <w:rsid w:val="001A15D8"/>
    <w:rsid w:val="001A1710"/>
    <w:rsid w:val="001A17E8"/>
    <w:rsid w:val="001A188D"/>
    <w:rsid w:val="001A1912"/>
    <w:rsid w:val="001A1985"/>
    <w:rsid w:val="001A1997"/>
    <w:rsid w:val="001A19E1"/>
    <w:rsid w:val="001A1A2A"/>
    <w:rsid w:val="001A1B4B"/>
    <w:rsid w:val="001A1BE6"/>
    <w:rsid w:val="001A1C6A"/>
    <w:rsid w:val="001A1CA4"/>
    <w:rsid w:val="001A1D21"/>
    <w:rsid w:val="001A1E92"/>
    <w:rsid w:val="001A1EA1"/>
    <w:rsid w:val="001A1EE2"/>
    <w:rsid w:val="001A1F2D"/>
    <w:rsid w:val="001A1F85"/>
    <w:rsid w:val="001A200A"/>
    <w:rsid w:val="001A2094"/>
    <w:rsid w:val="001A20B5"/>
    <w:rsid w:val="001A2146"/>
    <w:rsid w:val="001A2275"/>
    <w:rsid w:val="001A22AB"/>
    <w:rsid w:val="001A22AC"/>
    <w:rsid w:val="001A2314"/>
    <w:rsid w:val="001A2391"/>
    <w:rsid w:val="001A2427"/>
    <w:rsid w:val="001A24F7"/>
    <w:rsid w:val="001A2534"/>
    <w:rsid w:val="001A25B4"/>
    <w:rsid w:val="001A25BC"/>
    <w:rsid w:val="001A2630"/>
    <w:rsid w:val="001A2653"/>
    <w:rsid w:val="001A268F"/>
    <w:rsid w:val="001A26B5"/>
    <w:rsid w:val="001A2781"/>
    <w:rsid w:val="001A2855"/>
    <w:rsid w:val="001A29CB"/>
    <w:rsid w:val="001A2AEF"/>
    <w:rsid w:val="001A2B26"/>
    <w:rsid w:val="001A2BD8"/>
    <w:rsid w:val="001A2BE7"/>
    <w:rsid w:val="001A2CEF"/>
    <w:rsid w:val="001A2DAE"/>
    <w:rsid w:val="001A2E97"/>
    <w:rsid w:val="001A2EE4"/>
    <w:rsid w:val="001A2F3F"/>
    <w:rsid w:val="001A3030"/>
    <w:rsid w:val="001A31F1"/>
    <w:rsid w:val="001A327A"/>
    <w:rsid w:val="001A32C8"/>
    <w:rsid w:val="001A330D"/>
    <w:rsid w:val="001A3311"/>
    <w:rsid w:val="001A34A2"/>
    <w:rsid w:val="001A359E"/>
    <w:rsid w:val="001A35B4"/>
    <w:rsid w:val="001A360C"/>
    <w:rsid w:val="001A3631"/>
    <w:rsid w:val="001A3642"/>
    <w:rsid w:val="001A3659"/>
    <w:rsid w:val="001A368A"/>
    <w:rsid w:val="001A3714"/>
    <w:rsid w:val="001A3998"/>
    <w:rsid w:val="001A3A05"/>
    <w:rsid w:val="001A3A70"/>
    <w:rsid w:val="001A3ADF"/>
    <w:rsid w:val="001A3AEE"/>
    <w:rsid w:val="001A3B97"/>
    <w:rsid w:val="001A3D2C"/>
    <w:rsid w:val="001A3D3F"/>
    <w:rsid w:val="001A3D4B"/>
    <w:rsid w:val="001A3D70"/>
    <w:rsid w:val="001A3D75"/>
    <w:rsid w:val="001A3DBC"/>
    <w:rsid w:val="001A3DEB"/>
    <w:rsid w:val="001A3DF0"/>
    <w:rsid w:val="001A40A0"/>
    <w:rsid w:val="001A40C7"/>
    <w:rsid w:val="001A40E9"/>
    <w:rsid w:val="001A41CA"/>
    <w:rsid w:val="001A41D2"/>
    <w:rsid w:val="001A4367"/>
    <w:rsid w:val="001A4409"/>
    <w:rsid w:val="001A4420"/>
    <w:rsid w:val="001A4481"/>
    <w:rsid w:val="001A44A6"/>
    <w:rsid w:val="001A44E4"/>
    <w:rsid w:val="001A454A"/>
    <w:rsid w:val="001A45B3"/>
    <w:rsid w:val="001A45C9"/>
    <w:rsid w:val="001A47CC"/>
    <w:rsid w:val="001A47FD"/>
    <w:rsid w:val="001A4897"/>
    <w:rsid w:val="001A4959"/>
    <w:rsid w:val="001A498E"/>
    <w:rsid w:val="001A4A23"/>
    <w:rsid w:val="001A4A67"/>
    <w:rsid w:val="001A4B04"/>
    <w:rsid w:val="001A4B77"/>
    <w:rsid w:val="001A4CF3"/>
    <w:rsid w:val="001A4E12"/>
    <w:rsid w:val="001A4E4C"/>
    <w:rsid w:val="001A4EEC"/>
    <w:rsid w:val="001A4F00"/>
    <w:rsid w:val="001A4F01"/>
    <w:rsid w:val="001A5021"/>
    <w:rsid w:val="001A5112"/>
    <w:rsid w:val="001A52A0"/>
    <w:rsid w:val="001A52EF"/>
    <w:rsid w:val="001A53A7"/>
    <w:rsid w:val="001A53E6"/>
    <w:rsid w:val="001A559E"/>
    <w:rsid w:val="001A55A8"/>
    <w:rsid w:val="001A55CD"/>
    <w:rsid w:val="001A5651"/>
    <w:rsid w:val="001A5771"/>
    <w:rsid w:val="001A5A56"/>
    <w:rsid w:val="001A5A59"/>
    <w:rsid w:val="001A5A72"/>
    <w:rsid w:val="001A5BA1"/>
    <w:rsid w:val="001A5BB3"/>
    <w:rsid w:val="001A5C4D"/>
    <w:rsid w:val="001A5D91"/>
    <w:rsid w:val="001A5DD3"/>
    <w:rsid w:val="001A5E02"/>
    <w:rsid w:val="001A5E11"/>
    <w:rsid w:val="001A5FAF"/>
    <w:rsid w:val="001A5FBF"/>
    <w:rsid w:val="001A610C"/>
    <w:rsid w:val="001A6117"/>
    <w:rsid w:val="001A6135"/>
    <w:rsid w:val="001A6153"/>
    <w:rsid w:val="001A6212"/>
    <w:rsid w:val="001A6246"/>
    <w:rsid w:val="001A634E"/>
    <w:rsid w:val="001A64A6"/>
    <w:rsid w:val="001A6580"/>
    <w:rsid w:val="001A65E5"/>
    <w:rsid w:val="001A65E6"/>
    <w:rsid w:val="001A66B4"/>
    <w:rsid w:val="001A66D3"/>
    <w:rsid w:val="001A670C"/>
    <w:rsid w:val="001A672A"/>
    <w:rsid w:val="001A6788"/>
    <w:rsid w:val="001A67C2"/>
    <w:rsid w:val="001A681A"/>
    <w:rsid w:val="001A682E"/>
    <w:rsid w:val="001A6850"/>
    <w:rsid w:val="001A6973"/>
    <w:rsid w:val="001A69B1"/>
    <w:rsid w:val="001A69C6"/>
    <w:rsid w:val="001A6A53"/>
    <w:rsid w:val="001A6A6B"/>
    <w:rsid w:val="001A6A7A"/>
    <w:rsid w:val="001A6A92"/>
    <w:rsid w:val="001A6AD1"/>
    <w:rsid w:val="001A6AF8"/>
    <w:rsid w:val="001A6CE1"/>
    <w:rsid w:val="001A6D63"/>
    <w:rsid w:val="001A6D71"/>
    <w:rsid w:val="001A6E2F"/>
    <w:rsid w:val="001A6E94"/>
    <w:rsid w:val="001A6FBC"/>
    <w:rsid w:val="001A7035"/>
    <w:rsid w:val="001A70A8"/>
    <w:rsid w:val="001A71FD"/>
    <w:rsid w:val="001A720B"/>
    <w:rsid w:val="001A7264"/>
    <w:rsid w:val="001A7371"/>
    <w:rsid w:val="001A745D"/>
    <w:rsid w:val="001A747B"/>
    <w:rsid w:val="001A7495"/>
    <w:rsid w:val="001A7597"/>
    <w:rsid w:val="001A75AB"/>
    <w:rsid w:val="001A765D"/>
    <w:rsid w:val="001A7686"/>
    <w:rsid w:val="001A770D"/>
    <w:rsid w:val="001A785A"/>
    <w:rsid w:val="001A78A1"/>
    <w:rsid w:val="001A78EF"/>
    <w:rsid w:val="001A7914"/>
    <w:rsid w:val="001A7952"/>
    <w:rsid w:val="001A798C"/>
    <w:rsid w:val="001A7AAE"/>
    <w:rsid w:val="001A7AC8"/>
    <w:rsid w:val="001A7AE9"/>
    <w:rsid w:val="001A7B24"/>
    <w:rsid w:val="001A7B6F"/>
    <w:rsid w:val="001A7D8A"/>
    <w:rsid w:val="001A7DB0"/>
    <w:rsid w:val="001A7DC9"/>
    <w:rsid w:val="001A7E0E"/>
    <w:rsid w:val="001A7ED5"/>
    <w:rsid w:val="001A7F18"/>
    <w:rsid w:val="001A7F2F"/>
    <w:rsid w:val="001A7FA3"/>
    <w:rsid w:val="001B0084"/>
    <w:rsid w:val="001B008F"/>
    <w:rsid w:val="001B01D7"/>
    <w:rsid w:val="001B027F"/>
    <w:rsid w:val="001B02BF"/>
    <w:rsid w:val="001B02CC"/>
    <w:rsid w:val="001B0330"/>
    <w:rsid w:val="001B0357"/>
    <w:rsid w:val="001B0383"/>
    <w:rsid w:val="001B0398"/>
    <w:rsid w:val="001B03B4"/>
    <w:rsid w:val="001B041E"/>
    <w:rsid w:val="001B0433"/>
    <w:rsid w:val="001B0575"/>
    <w:rsid w:val="001B059B"/>
    <w:rsid w:val="001B063A"/>
    <w:rsid w:val="001B08E1"/>
    <w:rsid w:val="001B093A"/>
    <w:rsid w:val="001B0B32"/>
    <w:rsid w:val="001B0B78"/>
    <w:rsid w:val="001B0C06"/>
    <w:rsid w:val="001B0C6B"/>
    <w:rsid w:val="001B0CB2"/>
    <w:rsid w:val="001B0CF5"/>
    <w:rsid w:val="001B0D94"/>
    <w:rsid w:val="001B0E18"/>
    <w:rsid w:val="001B0E63"/>
    <w:rsid w:val="001B0FEA"/>
    <w:rsid w:val="001B10A6"/>
    <w:rsid w:val="001B11AE"/>
    <w:rsid w:val="001B1205"/>
    <w:rsid w:val="001B1288"/>
    <w:rsid w:val="001B12CE"/>
    <w:rsid w:val="001B12F2"/>
    <w:rsid w:val="001B130F"/>
    <w:rsid w:val="001B132C"/>
    <w:rsid w:val="001B1340"/>
    <w:rsid w:val="001B1538"/>
    <w:rsid w:val="001B1694"/>
    <w:rsid w:val="001B18AF"/>
    <w:rsid w:val="001B18E8"/>
    <w:rsid w:val="001B18FC"/>
    <w:rsid w:val="001B19CB"/>
    <w:rsid w:val="001B19CD"/>
    <w:rsid w:val="001B1A5B"/>
    <w:rsid w:val="001B1A67"/>
    <w:rsid w:val="001B1A89"/>
    <w:rsid w:val="001B1B15"/>
    <w:rsid w:val="001B1C0B"/>
    <w:rsid w:val="001B1C1C"/>
    <w:rsid w:val="001B1DE0"/>
    <w:rsid w:val="001B1DE4"/>
    <w:rsid w:val="001B1DFB"/>
    <w:rsid w:val="001B1DFE"/>
    <w:rsid w:val="001B1E62"/>
    <w:rsid w:val="001B2012"/>
    <w:rsid w:val="001B2047"/>
    <w:rsid w:val="001B2122"/>
    <w:rsid w:val="001B2201"/>
    <w:rsid w:val="001B2263"/>
    <w:rsid w:val="001B2271"/>
    <w:rsid w:val="001B22A0"/>
    <w:rsid w:val="001B239B"/>
    <w:rsid w:val="001B23E7"/>
    <w:rsid w:val="001B23ED"/>
    <w:rsid w:val="001B2505"/>
    <w:rsid w:val="001B2507"/>
    <w:rsid w:val="001B250D"/>
    <w:rsid w:val="001B2571"/>
    <w:rsid w:val="001B25D7"/>
    <w:rsid w:val="001B2645"/>
    <w:rsid w:val="001B26CE"/>
    <w:rsid w:val="001B26D4"/>
    <w:rsid w:val="001B2785"/>
    <w:rsid w:val="001B27A0"/>
    <w:rsid w:val="001B284A"/>
    <w:rsid w:val="001B289A"/>
    <w:rsid w:val="001B2904"/>
    <w:rsid w:val="001B2920"/>
    <w:rsid w:val="001B2942"/>
    <w:rsid w:val="001B29B8"/>
    <w:rsid w:val="001B29C9"/>
    <w:rsid w:val="001B2B59"/>
    <w:rsid w:val="001B2BBD"/>
    <w:rsid w:val="001B2BC0"/>
    <w:rsid w:val="001B2C1D"/>
    <w:rsid w:val="001B2E7D"/>
    <w:rsid w:val="001B2F4E"/>
    <w:rsid w:val="001B2F54"/>
    <w:rsid w:val="001B2F8E"/>
    <w:rsid w:val="001B2F9F"/>
    <w:rsid w:val="001B3087"/>
    <w:rsid w:val="001B315D"/>
    <w:rsid w:val="001B317C"/>
    <w:rsid w:val="001B31DA"/>
    <w:rsid w:val="001B3430"/>
    <w:rsid w:val="001B3579"/>
    <w:rsid w:val="001B35A4"/>
    <w:rsid w:val="001B365E"/>
    <w:rsid w:val="001B3690"/>
    <w:rsid w:val="001B3718"/>
    <w:rsid w:val="001B3737"/>
    <w:rsid w:val="001B386B"/>
    <w:rsid w:val="001B393C"/>
    <w:rsid w:val="001B39B5"/>
    <w:rsid w:val="001B3A06"/>
    <w:rsid w:val="001B3A09"/>
    <w:rsid w:val="001B3A7D"/>
    <w:rsid w:val="001B3A93"/>
    <w:rsid w:val="001B3AFF"/>
    <w:rsid w:val="001B3B91"/>
    <w:rsid w:val="001B3BB2"/>
    <w:rsid w:val="001B3BCD"/>
    <w:rsid w:val="001B3C0F"/>
    <w:rsid w:val="001B3C41"/>
    <w:rsid w:val="001B3C89"/>
    <w:rsid w:val="001B3D5A"/>
    <w:rsid w:val="001B3EBB"/>
    <w:rsid w:val="001B4069"/>
    <w:rsid w:val="001B408D"/>
    <w:rsid w:val="001B4227"/>
    <w:rsid w:val="001B4309"/>
    <w:rsid w:val="001B4363"/>
    <w:rsid w:val="001B437A"/>
    <w:rsid w:val="001B43B2"/>
    <w:rsid w:val="001B447B"/>
    <w:rsid w:val="001B44C2"/>
    <w:rsid w:val="001B4545"/>
    <w:rsid w:val="001B4552"/>
    <w:rsid w:val="001B4593"/>
    <w:rsid w:val="001B45D0"/>
    <w:rsid w:val="001B463B"/>
    <w:rsid w:val="001B46DD"/>
    <w:rsid w:val="001B4772"/>
    <w:rsid w:val="001B479D"/>
    <w:rsid w:val="001B488C"/>
    <w:rsid w:val="001B48CC"/>
    <w:rsid w:val="001B490C"/>
    <w:rsid w:val="001B497F"/>
    <w:rsid w:val="001B4A5D"/>
    <w:rsid w:val="001B4A81"/>
    <w:rsid w:val="001B4B08"/>
    <w:rsid w:val="001B4BBF"/>
    <w:rsid w:val="001B4C11"/>
    <w:rsid w:val="001B4D3B"/>
    <w:rsid w:val="001B4D53"/>
    <w:rsid w:val="001B4D5A"/>
    <w:rsid w:val="001B4DD4"/>
    <w:rsid w:val="001B4DF3"/>
    <w:rsid w:val="001B4E37"/>
    <w:rsid w:val="001B4EAE"/>
    <w:rsid w:val="001B4ECB"/>
    <w:rsid w:val="001B4FCB"/>
    <w:rsid w:val="001B5044"/>
    <w:rsid w:val="001B50D8"/>
    <w:rsid w:val="001B5120"/>
    <w:rsid w:val="001B515F"/>
    <w:rsid w:val="001B5276"/>
    <w:rsid w:val="001B5388"/>
    <w:rsid w:val="001B53BB"/>
    <w:rsid w:val="001B5555"/>
    <w:rsid w:val="001B581E"/>
    <w:rsid w:val="001B5862"/>
    <w:rsid w:val="001B5896"/>
    <w:rsid w:val="001B58C9"/>
    <w:rsid w:val="001B58DC"/>
    <w:rsid w:val="001B5908"/>
    <w:rsid w:val="001B595F"/>
    <w:rsid w:val="001B5A15"/>
    <w:rsid w:val="001B5A2D"/>
    <w:rsid w:val="001B5A30"/>
    <w:rsid w:val="001B5B1D"/>
    <w:rsid w:val="001B5C62"/>
    <w:rsid w:val="001B5CBC"/>
    <w:rsid w:val="001B5D8E"/>
    <w:rsid w:val="001B5DAB"/>
    <w:rsid w:val="001B5EA4"/>
    <w:rsid w:val="001B5F03"/>
    <w:rsid w:val="001B605F"/>
    <w:rsid w:val="001B607B"/>
    <w:rsid w:val="001B6133"/>
    <w:rsid w:val="001B616B"/>
    <w:rsid w:val="001B628C"/>
    <w:rsid w:val="001B62BF"/>
    <w:rsid w:val="001B62CC"/>
    <w:rsid w:val="001B632B"/>
    <w:rsid w:val="001B632F"/>
    <w:rsid w:val="001B635C"/>
    <w:rsid w:val="001B63FE"/>
    <w:rsid w:val="001B6427"/>
    <w:rsid w:val="001B6440"/>
    <w:rsid w:val="001B644A"/>
    <w:rsid w:val="001B64D8"/>
    <w:rsid w:val="001B6645"/>
    <w:rsid w:val="001B6878"/>
    <w:rsid w:val="001B687A"/>
    <w:rsid w:val="001B68DF"/>
    <w:rsid w:val="001B69AF"/>
    <w:rsid w:val="001B6AA4"/>
    <w:rsid w:val="001B6ADC"/>
    <w:rsid w:val="001B6B0B"/>
    <w:rsid w:val="001B6B33"/>
    <w:rsid w:val="001B6B5D"/>
    <w:rsid w:val="001B6B90"/>
    <w:rsid w:val="001B6C8A"/>
    <w:rsid w:val="001B6D23"/>
    <w:rsid w:val="001B6E84"/>
    <w:rsid w:val="001B6F0F"/>
    <w:rsid w:val="001B6FE1"/>
    <w:rsid w:val="001B7016"/>
    <w:rsid w:val="001B70B5"/>
    <w:rsid w:val="001B7178"/>
    <w:rsid w:val="001B71F8"/>
    <w:rsid w:val="001B7231"/>
    <w:rsid w:val="001B739B"/>
    <w:rsid w:val="001B747E"/>
    <w:rsid w:val="001B756A"/>
    <w:rsid w:val="001B7574"/>
    <w:rsid w:val="001B7586"/>
    <w:rsid w:val="001B7587"/>
    <w:rsid w:val="001B7589"/>
    <w:rsid w:val="001B75A5"/>
    <w:rsid w:val="001B75B1"/>
    <w:rsid w:val="001B75C0"/>
    <w:rsid w:val="001B763F"/>
    <w:rsid w:val="001B765C"/>
    <w:rsid w:val="001B7779"/>
    <w:rsid w:val="001B77A9"/>
    <w:rsid w:val="001B77B0"/>
    <w:rsid w:val="001B77CD"/>
    <w:rsid w:val="001B77CF"/>
    <w:rsid w:val="001B780F"/>
    <w:rsid w:val="001B788D"/>
    <w:rsid w:val="001B7960"/>
    <w:rsid w:val="001B797A"/>
    <w:rsid w:val="001B7A26"/>
    <w:rsid w:val="001B7B64"/>
    <w:rsid w:val="001B7BC4"/>
    <w:rsid w:val="001B7DBB"/>
    <w:rsid w:val="001B7DF8"/>
    <w:rsid w:val="001B7E3C"/>
    <w:rsid w:val="001B7F21"/>
    <w:rsid w:val="001B7FA3"/>
    <w:rsid w:val="001C002C"/>
    <w:rsid w:val="001C01A9"/>
    <w:rsid w:val="001C021A"/>
    <w:rsid w:val="001C0224"/>
    <w:rsid w:val="001C029C"/>
    <w:rsid w:val="001C02C5"/>
    <w:rsid w:val="001C031A"/>
    <w:rsid w:val="001C0434"/>
    <w:rsid w:val="001C0491"/>
    <w:rsid w:val="001C0566"/>
    <w:rsid w:val="001C05E1"/>
    <w:rsid w:val="001C06A7"/>
    <w:rsid w:val="001C06BC"/>
    <w:rsid w:val="001C0809"/>
    <w:rsid w:val="001C0837"/>
    <w:rsid w:val="001C08A7"/>
    <w:rsid w:val="001C0969"/>
    <w:rsid w:val="001C0998"/>
    <w:rsid w:val="001C09CF"/>
    <w:rsid w:val="001C0AB2"/>
    <w:rsid w:val="001C0B6F"/>
    <w:rsid w:val="001C0B98"/>
    <w:rsid w:val="001C0BC2"/>
    <w:rsid w:val="001C0CA8"/>
    <w:rsid w:val="001C0CF7"/>
    <w:rsid w:val="001C0D74"/>
    <w:rsid w:val="001C0E48"/>
    <w:rsid w:val="001C0E6F"/>
    <w:rsid w:val="001C0EEC"/>
    <w:rsid w:val="001C0FC1"/>
    <w:rsid w:val="001C101A"/>
    <w:rsid w:val="001C1087"/>
    <w:rsid w:val="001C117B"/>
    <w:rsid w:val="001C1190"/>
    <w:rsid w:val="001C122D"/>
    <w:rsid w:val="001C1326"/>
    <w:rsid w:val="001C134D"/>
    <w:rsid w:val="001C13B9"/>
    <w:rsid w:val="001C13E5"/>
    <w:rsid w:val="001C148D"/>
    <w:rsid w:val="001C152C"/>
    <w:rsid w:val="001C15F7"/>
    <w:rsid w:val="001C1631"/>
    <w:rsid w:val="001C1648"/>
    <w:rsid w:val="001C1696"/>
    <w:rsid w:val="001C16D1"/>
    <w:rsid w:val="001C173D"/>
    <w:rsid w:val="001C17C4"/>
    <w:rsid w:val="001C17D1"/>
    <w:rsid w:val="001C1883"/>
    <w:rsid w:val="001C189D"/>
    <w:rsid w:val="001C18FA"/>
    <w:rsid w:val="001C19F2"/>
    <w:rsid w:val="001C1A39"/>
    <w:rsid w:val="001C1A6A"/>
    <w:rsid w:val="001C1BA4"/>
    <w:rsid w:val="001C1BED"/>
    <w:rsid w:val="001C1E6C"/>
    <w:rsid w:val="001C1F33"/>
    <w:rsid w:val="001C1F71"/>
    <w:rsid w:val="001C1FA0"/>
    <w:rsid w:val="001C201E"/>
    <w:rsid w:val="001C2045"/>
    <w:rsid w:val="001C209B"/>
    <w:rsid w:val="001C20D5"/>
    <w:rsid w:val="001C2130"/>
    <w:rsid w:val="001C219F"/>
    <w:rsid w:val="001C2287"/>
    <w:rsid w:val="001C228C"/>
    <w:rsid w:val="001C2458"/>
    <w:rsid w:val="001C24B6"/>
    <w:rsid w:val="001C256B"/>
    <w:rsid w:val="001C25B4"/>
    <w:rsid w:val="001C2736"/>
    <w:rsid w:val="001C273D"/>
    <w:rsid w:val="001C27B6"/>
    <w:rsid w:val="001C2806"/>
    <w:rsid w:val="001C288D"/>
    <w:rsid w:val="001C2891"/>
    <w:rsid w:val="001C28B6"/>
    <w:rsid w:val="001C299D"/>
    <w:rsid w:val="001C2ACA"/>
    <w:rsid w:val="001C2AEA"/>
    <w:rsid w:val="001C2C76"/>
    <w:rsid w:val="001C2C7A"/>
    <w:rsid w:val="001C2DE9"/>
    <w:rsid w:val="001C2EC0"/>
    <w:rsid w:val="001C2F4C"/>
    <w:rsid w:val="001C2FC1"/>
    <w:rsid w:val="001C2FD0"/>
    <w:rsid w:val="001C2FEF"/>
    <w:rsid w:val="001C301B"/>
    <w:rsid w:val="001C3079"/>
    <w:rsid w:val="001C307C"/>
    <w:rsid w:val="001C312D"/>
    <w:rsid w:val="001C3291"/>
    <w:rsid w:val="001C32C2"/>
    <w:rsid w:val="001C32D4"/>
    <w:rsid w:val="001C32EB"/>
    <w:rsid w:val="001C3370"/>
    <w:rsid w:val="001C34D3"/>
    <w:rsid w:val="001C35FA"/>
    <w:rsid w:val="001C360D"/>
    <w:rsid w:val="001C3622"/>
    <w:rsid w:val="001C380D"/>
    <w:rsid w:val="001C38BF"/>
    <w:rsid w:val="001C3951"/>
    <w:rsid w:val="001C398A"/>
    <w:rsid w:val="001C3A2A"/>
    <w:rsid w:val="001C3A67"/>
    <w:rsid w:val="001C3B16"/>
    <w:rsid w:val="001C3BBA"/>
    <w:rsid w:val="001C3CE2"/>
    <w:rsid w:val="001C3D5F"/>
    <w:rsid w:val="001C3EA9"/>
    <w:rsid w:val="001C3F34"/>
    <w:rsid w:val="001C405F"/>
    <w:rsid w:val="001C4127"/>
    <w:rsid w:val="001C4196"/>
    <w:rsid w:val="001C41C5"/>
    <w:rsid w:val="001C4276"/>
    <w:rsid w:val="001C42FD"/>
    <w:rsid w:val="001C42FF"/>
    <w:rsid w:val="001C430F"/>
    <w:rsid w:val="001C4426"/>
    <w:rsid w:val="001C444C"/>
    <w:rsid w:val="001C4471"/>
    <w:rsid w:val="001C44F7"/>
    <w:rsid w:val="001C4542"/>
    <w:rsid w:val="001C4553"/>
    <w:rsid w:val="001C4586"/>
    <w:rsid w:val="001C45D3"/>
    <w:rsid w:val="001C466C"/>
    <w:rsid w:val="001C47F4"/>
    <w:rsid w:val="001C47F6"/>
    <w:rsid w:val="001C485F"/>
    <w:rsid w:val="001C487E"/>
    <w:rsid w:val="001C49E4"/>
    <w:rsid w:val="001C4A26"/>
    <w:rsid w:val="001C4AB2"/>
    <w:rsid w:val="001C4ACC"/>
    <w:rsid w:val="001C4AD3"/>
    <w:rsid w:val="001C4CC5"/>
    <w:rsid w:val="001C4CFA"/>
    <w:rsid w:val="001C4DA6"/>
    <w:rsid w:val="001C4F8C"/>
    <w:rsid w:val="001C5017"/>
    <w:rsid w:val="001C50CF"/>
    <w:rsid w:val="001C5100"/>
    <w:rsid w:val="001C514A"/>
    <w:rsid w:val="001C5160"/>
    <w:rsid w:val="001C519C"/>
    <w:rsid w:val="001C520B"/>
    <w:rsid w:val="001C5282"/>
    <w:rsid w:val="001C5316"/>
    <w:rsid w:val="001C5352"/>
    <w:rsid w:val="001C543A"/>
    <w:rsid w:val="001C5511"/>
    <w:rsid w:val="001C553C"/>
    <w:rsid w:val="001C5558"/>
    <w:rsid w:val="001C55CF"/>
    <w:rsid w:val="001C5609"/>
    <w:rsid w:val="001C5683"/>
    <w:rsid w:val="001C5792"/>
    <w:rsid w:val="001C5801"/>
    <w:rsid w:val="001C59A0"/>
    <w:rsid w:val="001C59AC"/>
    <w:rsid w:val="001C5A02"/>
    <w:rsid w:val="001C5A33"/>
    <w:rsid w:val="001C5B1C"/>
    <w:rsid w:val="001C5C52"/>
    <w:rsid w:val="001C5D24"/>
    <w:rsid w:val="001C5F12"/>
    <w:rsid w:val="001C5F26"/>
    <w:rsid w:val="001C601E"/>
    <w:rsid w:val="001C6022"/>
    <w:rsid w:val="001C6092"/>
    <w:rsid w:val="001C60FD"/>
    <w:rsid w:val="001C6113"/>
    <w:rsid w:val="001C61D5"/>
    <w:rsid w:val="001C6260"/>
    <w:rsid w:val="001C6493"/>
    <w:rsid w:val="001C64D9"/>
    <w:rsid w:val="001C65C4"/>
    <w:rsid w:val="001C65D6"/>
    <w:rsid w:val="001C65E4"/>
    <w:rsid w:val="001C662A"/>
    <w:rsid w:val="001C6718"/>
    <w:rsid w:val="001C6820"/>
    <w:rsid w:val="001C68BA"/>
    <w:rsid w:val="001C693F"/>
    <w:rsid w:val="001C697C"/>
    <w:rsid w:val="001C6CC8"/>
    <w:rsid w:val="001C6CF1"/>
    <w:rsid w:val="001C6D1B"/>
    <w:rsid w:val="001C6DD2"/>
    <w:rsid w:val="001C6E03"/>
    <w:rsid w:val="001C6E26"/>
    <w:rsid w:val="001C6F78"/>
    <w:rsid w:val="001C700E"/>
    <w:rsid w:val="001C7153"/>
    <w:rsid w:val="001C71E9"/>
    <w:rsid w:val="001C7200"/>
    <w:rsid w:val="001C72D3"/>
    <w:rsid w:val="001C72F8"/>
    <w:rsid w:val="001C7336"/>
    <w:rsid w:val="001C7531"/>
    <w:rsid w:val="001C7534"/>
    <w:rsid w:val="001C75C3"/>
    <w:rsid w:val="001C75F4"/>
    <w:rsid w:val="001C763D"/>
    <w:rsid w:val="001C765C"/>
    <w:rsid w:val="001C7670"/>
    <w:rsid w:val="001C7729"/>
    <w:rsid w:val="001C7843"/>
    <w:rsid w:val="001C7899"/>
    <w:rsid w:val="001C79AE"/>
    <w:rsid w:val="001C7A67"/>
    <w:rsid w:val="001C7AFA"/>
    <w:rsid w:val="001C7B8E"/>
    <w:rsid w:val="001C7BCB"/>
    <w:rsid w:val="001C7C0F"/>
    <w:rsid w:val="001C7CC1"/>
    <w:rsid w:val="001C7CDB"/>
    <w:rsid w:val="001C7DFE"/>
    <w:rsid w:val="001C7E03"/>
    <w:rsid w:val="001C7E4A"/>
    <w:rsid w:val="001C7E67"/>
    <w:rsid w:val="001C7E76"/>
    <w:rsid w:val="001C7F26"/>
    <w:rsid w:val="001C7FA4"/>
    <w:rsid w:val="001C7FAD"/>
    <w:rsid w:val="001D01E5"/>
    <w:rsid w:val="001D0413"/>
    <w:rsid w:val="001D0426"/>
    <w:rsid w:val="001D048C"/>
    <w:rsid w:val="001D0592"/>
    <w:rsid w:val="001D05D9"/>
    <w:rsid w:val="001D0724"/>
    <w:rsid w:val="001D07A1"/>
    <w:rsid w:val="001D07C4"/>
    <w:rsid w:val="001D0933"/>
    <w:rsid w:val="001D0A97"/>
    <w:rsid w:val="001D0AA3"/>
    <w:rsid w:val="001D0BB1"/>
    <w:rsid w:val="001D0BB5"/>
    <w:rsid w:val="001D0E04"/>
    <w:rsid w:val="001D0EA4"/>
    <w:rsid w:val="001D0FDA"/>
    <w:rsid w:val="001D1043"/>
    <w:rsid w:val="001D107C"/>
    <w:rsid w:val="001D10AF"/>
    <w:rsid w:val="001D1279"/>
    <w:rsid w:val="001D12D0"/>
    <w:rsid w:val="001D12D9"/>
    <w:rsid w:val="001D12FA"/>
    <w:rsid w:val="001D134D"/>
    <w:rsid w:val="001D148D"/>
    <w:rsid w:val="001D14F3"/>
    <w:rsid w:val="001D14F4"/>
    <w:rsid w:val="001D15C8"/>
    <w:rsid w:val="001D1638"/>
    <w:rsid w:val="001D1678"/>
    <w:rsid w:val="001D167E"/>
    <w:rsid w:val="001D16B7"/>
    <w:rsid w:val="001D16E9"/>
    <w:rsid w:val="001D1746"/>
    <w:rsid w:val="001D1767"/>
    <w:rsid w:val="001D178B"/>
    <w:rsid w:val="001D18B7"/>
    <w:rsid w:val="001D18CE"/>
    <w:rsid w:val="001D1A5D"/>
    <w:rsid w:val="001D1A63"/>
    <w:rsid w:val="001D1AE0"/>
    <w:rsid w:val="001D1B47"/>
    <w:rsid w:val="001D1CF1"/>
    <w:rsid w:val="001D1D13"/>
    <w:rsid w:val="001D1DD9"/>
    <w:rsid w:val="001D1E5A"/>
    <w:rsid w:val="001D1E5F"/>
    <w:rsid w:val="001D1EA5"/>
    <w:rsid w:val="001D1F55"/>
    <w:rsid w:val="001D1FDA"/>
    <w:rsid w:val="001D2005"/>
    <w:rsid w:val="001D208A"/>
    <w:rsid w:val="001D20BF"/>
    <w:rsid w:val="001D20D3"/>
    <w:rsid w:val="001D213A"/>
    <w:rsid w:val="001D21A9"/>
    <w:rsid w:val="001D2204"/>
    <w:rsid w:val="001D2268"/>
    <w:rsid w:val="001D22A2"/>
    <w:rsid w:val="001D2447"/>
    <w:rsid w:val="001D2580"/>
    <w:rsid w:val="001D25C3"/>
    <w:rsid w:val="001D264C"/>
    <w:rsid w:val="001D265B"/>
    <w:rsid w:val="001D2673"/>
    <w:rsid w:val="001D26BB"/>
    <w:rsid w:val="001D2788"/>
    <w:rsid w:val="001D2819"/>
    <w:rsid w:val="001D28BE"/>
    <w:rsid w:val="001D28D2"/>
    <w:rsid w:val="001D28E8"/>
    <w:rsid w:val="001D2932"/>
    <w:rsid w:val="001D296C"/>
    <w:rsid w:val="001D299E"/>
    <w:rsid w:val="001D2A92"/>
    <w:rsid w:val="001D2A96"/>
    <w:rsid w:val="001D2C0D"/>
    <w:rsid w:val="001D2C0E"/>
    <w:rsid w:val="001D2CE0"/>
    <w:rsid w:val="001D2CE5"/>
    <w:rsid w:val="001D2DC9"/>
    <w:rsid w:val="001D2DE8"/>
    <w:rsid w:val="001D2E8F"/>
    <w:rsid w:val="001D2EC4"/>
    <w:rsid w:val="001D2F2E"/>
    <w:rsid w:val="001D2F58"/>
    <w:rsid w:val="001D3070"/>
    <w:rsid w:val="001D30F0"/>
    <w:rsid w:val="001D310C"/>
    <w:rsid w:val="001D3152"/>
    <w:rsid w:val="001D3215"/>
    <w:rsid w:val="001D3234"/>
    <w:rsid w:val="001D323B"/>
    <w:rsid w:val="001D333D"/>
    <w:rsid w:val="001D33CD"/>
    <w:rsid w:val="001D34C1"/>
    <w:rsid w:val="001D34C7"/>
    <w:rsid w:val="001D370B"/>
    <w:rsid w:val="001D3758"/>
    <w:rsid w:val="001D3836"/>
    <w:rsid w:val="001D3931"/>
    <w:rsid w:val="001D39E6"/>
    <w:rsid w:val="001D39F0"/>
    <w:rsid w:val="001D3A52"/>
    <w:rsid w:val="001D3CA7"/>
    <w:rsid w:val="001D3CDD"/>
    <w:rsid w:val="001D3D47"/>
    <w:rsid w:val="001D3D7D"/>
    <w:rsid w:val="001D3D98"/>
    <w:rsid w:val="001D3E5C"/>
    <w:rsid w:val="001D3EBA"/>
    <w:rsid w:val="001D3EEF"/>
    <w:rsid w:val="001D412B"/>
    <w:rsid w:val="001D4149"/>
    <w:rsid w:val="001D4247"/>
    <w:rsid w:val="001D4277"/>
    <w:rsid w:val="001D42A0"/>
    <w:rsid w:val="001D42A4"/>
    <w:rsid w:val="001D4352"/>
    <w:rsid w:val="001D471D"/>
    <w:rsid w:val="001D479F"/>
    <w:rsid w:val="001D47DE"/>
    <w:rsid w:val="001D482F"/>
    <w:rsid w:val="001D490B"/>
    <w:rsid w:val="001D496B"/>
    <w:rsid w:val="001D49A9"/>
    <w:rsid w:val="001D4A38"/>
    <w:rsid w:val="001D4A54"/>
    <w:rsid w:val="001D4A5A"/>
    <w:rsid w:val="001D4B28"/>
    <w:rsid w:val="001D4B67"/>
    <w:rsid w:val="001D4BAF"/>
    <w:rsid w:val="001D4CB0"/>
    <w:rsid w:val="001D4CFE"/>
    <w:rsid w:val="001D4D3E"/>
    <w:rsid w:val="001D4D66"/>
    <w:rsid w:val="001D4D96"/>
    <w:rsid w:val="001D4DBB"/>
    <w:rsid w:val="001D4E0B"/>
    <w:rsid w:val="001D4E29"/>
    <w:rsid w:val="001D4E36"/>
    <w:rsid w:val="001D4E79"/>
    <w:rsid w:val="001D4FCC"/>
    <w:rsid w:val="001D507D"/>
    <w:rsid w:val="001D50EF"/>
    <w:rsid w:val="001D50F9"/>
    <w:rsid w:val="001D512D"/>
    <w:rsid w:val="001D5177"/>
    <w:rsid w:val="001D51F8"/>
    <w:rsid w:val="001D5204"/>
    <w:rsid w:val="001D5227"/>
    <w:rsid w:val="001D525D"/>
    <w:rsid w:val="001D529C"/>
    <w:rsid w:val="001D545E"/>
    <w:rsid w:val="001D5491"/>
    <w:rsid w:val="001D549C"/>
    <w:rsid w:val="001D555A"/>
    <w:rsid w:val="001D55A8"/>
    <w:rsid w:val="001D5613"/>
    <w:rsid w:val="001D5693"/>
    <w:rsid w:val="001D56BB"/>
    <w:rsid w:val="001D5751"/>
    <w:rsid w:val="001D5809"/>
    <w:rsid w:val="001D5810"/>
    <w:rsid w:val="001D5831"/>
    <w:rsid w:val="001D58A2"/>
    <w:rsid w:val="001D58B3"/>
    <w:rsid w:val="001D590C"/>
    <w:rsid w:val="001D59E9"/>
    <w:rsid w:val="001D5A51"/>
    <w:rsid w:val="001D5AC6"/>
    <w:rsid w:val="001D5AD7"/>
    <w:rsid w:val="001D5AF4"/>
    <w:rsid w:val="001D5B16"/>
    <w:rsid w:val="001D5B4B"/>
    <w:rsid w:val="001D5B73"/>
    <w:rsid w:val="001D5BB7"/>
    <w:rsid w:val="001D5BBF"/>
    <w:rsid w:val="001D5CAE"/>
    <w:rsid w:val="001D5CAF"/>
    <w:rsid w:val="001D5D07"/>
    <w:rsid w:val="001D5D34"/>
    <w:rsid w:val="001D5EC8"/>
    <w:rsid w:val="001D6030"/>
    <w:rsid w:val="001D60B8"/>
    <w:rsid w:val="001D6124"/>
    <w:rsid w:val="001D6166"/>
    <w:rsid w:val="001D6272"/>
    <w:rsid w:val="001D6363"/>
    <w:rsid w:val="001D6598"/>
    <w:rsid w:val="001D6669"/>
    <w:rsid w:val="001D66CD"/>
    <w:rsid w:val="001D6810"/>
    <w:rsid w:val="001D6830"/>
    <w:rsid w:val="001D68B2"/>
    <w:rsid w:val="001D68C0"/>
    <w:rsid w:val="001D68DA"/>
    <w:rsid w:val="001D6A7A"/>
    <w:rsid w:val="001D6A99"/>
    <w:rsid w:val="001D6B10"/>
    <w:rsid w:val="001D6BDC"/>
    <w:rsid w:val="001D6C5E"/>
    <w:rsid w:val="001D6CC7"/>
    <w:rsid w:val="001D6E26"/>
    <w:rsid w:val="001D6E59"/>
    <w:rsid w:val="001D6F95"/>
    <w:rsid w:val="001D6FB5"/>
    <w:rsid w:val="001D6FF4"/>
    <w:rsid w:val="001D6FF7"/>
    <w:rsid w:val="001D7098"/>
    <w:rsid w:val="001D70D0"/>
    <w:rsid w:val="001D7116"/>
    <w:rsid w:val="001D713C"/>
    <w:rsid w:val="001D71F0"/>
    <w:rsid w:val="001D7224"/>
    <w:rsid w:val="001D7280"/>
    <w:rsid w:val="001D72B5"/>
    <w:rsid w:val="001D733A"/>
    <w:rsid w:val="001D735B"/>
    <w:rsid w:val="001D76F3"/>
    <w:rsid w:val="001D7716"/>
    <w:rsid w:val="001D7773"/>
    <w:rsid w:val="001D77DA"/>
    <w:rsid w:val="001D7890"/>
    <w:rsid w:val="001D7954"/>
    <w:rsid w:val="001D7999"/>
    <w:rsid w:val="001D79FC"/>
    <w:rsid w:val="001D7AF0"/>
    <w:rsid w:val="001D7B5B"/>
    <w:rsid w:val="001D7B99"/>
    <w:rsid w:val="001D7CE2"/>
    <w:rsid w:val="001D7D65"/>
    <w:rsid w:val="001D7E6D"/>
    <w:rsid w:val="001D7E77"/>
    <w:rsid w:val="001D7E89"/>
    <w:rsid w:val="001D7EEA"/>
    <w:rsid w:val="001D7FD9"/>
    <w:rsid w:val="001E001F"/>
    <w:rsid w:val="001E01A3"/>
    <w:rsid w:val="001E01BC"/>
    <w:rsid w:val="001E01C9"/>
    <w:rsid w:val="001E01E3"/>
    <w:rsid w:val="001E0274"/>
    <w:rsid w:val="001E054F"/>
    <w:rsid w:val="001E0578"/>
    <w:rsid w:val="001E0589"/>
    <w:rsid w:val="001E05F9"/>
    <w:rsid w:val="001E0694"/>
    <w:rsid w:val="001E07D4"/>
    <w:rsid w:val="001E0840"/>
    <w:rsid w:val="001E0866"/>
    <w:rsid w:val="001E0890"/>
    <w:rsid w:val="001E09F2"/>
    <w:rsid w:val="001E0AA3"/>
    <w:rsid w:val="001E0AE5"/>
    <w:rsid w:val="001E0B1D"/>
    <w:rsid w:val="001E0B21"/>
    <w:rsid w:val="001E0CCB"/>
    <w:rsid w:val="001E0DBB"/>
    <w:rsid w:val="001E0DF8"/>
    <w:rsid w:val="001E0E45"/>
    <w:rsid w:val="001E0E7C"/>
    <w:rsid w:val="001E0EA1"/>
    <w:rsid w:val="001E0F53"/>
    <w:rsid w:val="001E0F89"/>
    <w:rsid w:val="001E0FDD"/>
    <w:rsid w:val="001E1235"/>
    <w:rsid w:val="001E1307"/>
    <w:rsid w:val="001E1316"/>
    <w:rsid w:val="001E1332"/>
    <w:rsid w:val="001E1369"/>
    <w:rsid w:val="001E1381"/>
    <w:rsid w:val="001E1623"/>
    <w:rsid w:val="001E164D"/>
    <w:rsid w:val="001E1720"/>
    <w:rsid w:val="001E1724"/>
    <w:rsid w:val="001E1822"/>
    <w:rsid w:val="001E1833"/>
    <w:rsid w:val="001E1980"/>
    <w:rsid w:val="001E1987"/>
    <w:rsid w:val="001E19C8"/>
    <w:rsid w:val="001E19DD"/>
    <w:rsid w:val="001E1A03"/>
    <w:rsid w:val="001E1A12"/>
    <w:rsid w:val="001E1A94"/>
    <w:rsid w:val="001E1B4D"/>
    <w:rsid w:val="001E1B54"/>
    <w:rsid w:val="001E1B70"/>
    <w:rsid w:val="001E1B84"/>
    <w:rsid w:val="001E1BBB"/>
    <w:rsid w:val="001E1C31"/>
    <w:rsid w:val="001E1CE3"/>
    <w:rsid w:val="001E1D5A"/>
    <w:rsid w:val="001E1DF1"/>
    <w:rsid w:val="001E1E64"/>
    <w:rsid w:val="001E1E68"/>
    <w:rsid w:val="001E1E6A"/>
    <w:rsid w:val="001E1FB8"/>
    <w:rsid w:val="001E204F"/>
    <w:rsid w:val="001E2063"/>
    <w:rsid w:val="001E2118"/>
    <w:rsid w:val="001E21D5"/>
    <w:rsid w:val="001E21F9"/>
    <w:rsid w:val="001E22D9"/>
    <w:rsid w:val="001E23D3"/>
    <w:rsid w:val="001E23E7"/>
    <w:rsid w:val="001E2465"/>
    <w:rsid w:val="001E2541"/>
    <w:rsid w:val="001E2564"/>
    <w:rsid w:val="001E258A"/>
    <w:rsid w:val="001E2605"/>
    <w:rsid w:val="001E274E"/>
    <w:rsid w:val="001E2788"/>
    <w:rsid w:val="001E28A0"/>
    <w:rsid w:val="001E28CF"/>
    <w:rsid w:val="001E2939"/>
    <w:rsid w:val="001E2A9C"/>
    <w:rsid w:val="001E2B85"/>
    <w:rsid w:val="001E2C41"/>
    <w:rsid w:val="001E2C52"/>
    <w:rsid w:val="001E2C8D"/>
    <w:rsid w:val="001E2CBD"/>
    <w:rsid w:val="001E2D08"/>
    <w:rsid w:val="001E2D0E"/>
    <w:rsid w:val="001E2D26"/>
    <w:rsid w:val="001E2D27"/>
    <w:rsid w:val="001E2D7F"/>
    <w:rsid w:val="001E2D97"/>
    <w:rsid w:val="001E2DFE"/>
    <w:rsid w:val="001E2E58"/>
    <w:rsid w:val="001E2E66"/>
    <w:rsid w:val="001E2F50"/>
    <w:rsid w:val="001E2FBA"/>
    <w:rsid w:val="001E30FE"/>
    <w:rsid w:val="001E317A"/>
    <w:rsid w:val="001E31B4"/>
    <w:rsid w:val="001E31CE"/>
    <w:rsid w:val="001E32EA"/>
    <w:rsid w:val="001E3333"/>
    <w:rsid w:val="001E33EB"/>
    <w:rsid w:val="001E3487"/>
    <w:rsid w:val="001E34EF"/>
    <w:rsid w:val="001E3549"/>
    <w:rsid w:val="001E35F4"/>
    <w:rsid w:val="001E366F"/>
    <w:rsid w:val="001E3760"/>
    <w:rsid w:val="001E37B2"/>
    <w:rsid w:val="001E38BD"/>
    <w:rsid w:val="001E38C7"/>
    <w:rsid w:val="001E3915"/>
    <w:rsid w:val="001E39CA"/>
    <w:rsid w:val="001E3A09"/>
    <w:rsid w:val="001E3A7F"/>
    <w:rsid w:val="001E3B44"/>
    <w:rsid w:val="001E3B5B"/>
    <w:rsid w:val="001E3BF1"/>
    <w:rsid w:val="001E3C42"/>
    <w:rsid w:val="001E3CCC"/>
    <w:rsid w:val="001E3DFE"/>
    <w:rsid w:val="001E3E94"/>
    <w:rsid w:val="001E3F2D"/>
    <w:rsid w:val="001E40AD"/>
    <w:rsid w:val="001E40CC"/>
    <w:rsid w:val="001E425B"/>
    <w:rsid w:val="001E42EB"/>
    <w:rsid w:val="001E42EC"/>
    <w:rsid w:val="001E431D"/>
    <w:rsid w:val="001E4323"/>
    <w:rsid w:val="001E4367"/>
    <w:rsid w:val="001E43FA"/>
    <w:rsid w:val="001E441B"/>
    <w:rsid w:val="001E455D"/>
    <w:rsid w:val="001E476E"/>
    <w:rsid w:val="001E477F"/>
    <w:rsid w:val="001E48D4"/>
    <w:rsid w:val="001E4962"/>
    <w:rsid w:val="001E4A37"/>
    <w:rsid w:val="001E4B9F"/>
    <w:rsid w:val="001E4BDC"/>
    <w:rsid w:val="001E4BE0"/>
    <w:rsid w:val="001E4C65"/>
    <w:rsid w:val="001E4E81"/>
    <w:rsid w:val="001E4F44"/>
    <w:rsid w:val="001E5088"/>
    <w:rsid w:val="001E50C0"/>
    <w:rsid w:val="001E50D1"/>
    <w:rsid w:val="001E50FB"/>
    <w:rsid w:val="001E5143"/>
    <w:rsid w:val="001E51AD"/>
    <w:rsid w:val="001E5238"/>
    <w:rsid w:val="001E5286"/>
    <w:rsid w:val="001E55EE"/>
    <w:rsid w:val="001E56C4"/>
    <w:rsid w:val="001E571B"/>
    <w:rsid w:val="001E57B4"/>
    <w:rsid w:val="001E57F1"/>
    <w:rsid w:val="001E57F3"/>
    <w:rsid w:val="001E594B"/>
    <w:rsid w:val="001E595F"/>
    <w:rsid w:val="001E5B5B"/>
    <w:rsid w:val="001E5D91"/>
    <w:rsid w:val="001E5DD0"/>
    <w:rsid w:val="001E5EA3"/>
    <w:rsid w:val="001E5FFC"/>
    <w:rsid w:val="001E6001"/>
    <w:rsid w:val="001E60BD"/>
    <w:rsid w:val="001E618C"/>
    <w:rsid w:val="001E622E"/>
    <w:rsid w:val="001E625E"/>
    <w:rsid w:val="001E62BF"/>
    <w:rsid w:val="001E62D2"/>
    <w:rsid w:val="001E636C"/>
    <w:rsid w:val="001E6396"/>
    <w:rsid w:val="001E6466"/>
    <w:rsid w:val="001E68D2"/>
    <w:rsid w:val="001E69E8"/>
    <w:rsid w:val="001E6A26"/>
    <w:rsid w:val="001E6B5D"/>
    <w:rsid w:val="001E6BA6"/>
    <w:rsid w:val="001E6E2B"/>
    <w:rsid w:val="001E6EFD"/>
    <w:rsid w:val="001E6FC1"/>
    <w:rsid w:val="001E70BD"/>
    <w:rsid w:val="001E70F6"/>
    <w:rsid w:val="001E719C"/>
    <w:rsid w:val="001E71E7"/>
    <w:rsid w:val="001E7230"/>
    <w:rsid w:val="001E7385"/>
    <w:rsid w:val="001E74A6"/>
    <w:rsid w:val="001E7618"/>
    <w:rsid w:val="001E7623"/>
    <w:rsid w:val="001E766A"/>
    <w:rsid w:val="001E7671"/>
    <w:rsid w:val="001E7737"/>
    <w:rsid w:val="001E7764"/>
    <w:rsid w:val="001E78AF"/>
    <w:rsid w:val="001E78CD"/>
    <w:rsid w:val="001E79C0"/>
    <w:rsid w:val="001E7A95"/>
    <w:rsid w:val="001E7AB4"/>
    <w:rsid w:val="001E7C1C"/>
    <w:rsid w:val="001E7C1E"/>
    <w:rsid w:val="001E7D71"/>
    <w:rsid w:val="001E7D8F"/>
    <w:rsid w:val="001E7E94"/>
    <w:rsid w:val="001E7F34"/>
    <w:rsid w:val="001E7F4A"/>
    <w:rsid w:val="001E7F88"/>
    <w:rsid w:val="001F005B"/>
    <w:rsid w:val="001F00D0"/>
    <w:rsid w:val="001F01A8"/>
    <w:rsid w:val="001F01B5"/>
    <w:rsid w:val="001F01DD"/>
    <w:rsid w:val="001F01EC"/>
    <w:rsid w:val="001F02C4"/>
    <w:rsid w:val="001F02EB"/>
    <w:rsid w:val="001F0315"/>
    <w:rsid w:val="001F0325"/>
    <w:rsid w:val="001F0389"/>
    <w:rsid w:val="001F03B7"/>
    <w:rsid w:val="001F03F5"/>
    <w:rsid w:val="001F03FF"/>
    <w:rsid w:val="001F052F"/>
    <w:rsid w:val="001F0579"/>
    <w:rsid w:val="001F0675"/>
    <w:rsid w:val="001F0686"/>
    <w:rsid w:val="001F071F"/>
    <w:rsid w:val="001F08F2"/>
    <w:rsid w:val="001F099B"/>
    <w:rsid w:val="001F09C5"/>
    <w:rsid w:val="001F0CAA"/>
    <w:rsid w:val="001F0D8C"/>
    <w:rsid w:val="001F0E14"/>
    <w:rsid w:val="001F0E40"/>
    <w:rsid w:val="001F0F55"/>
    <w:rsid w:val="001F0F7D"/>
    <w:rsid w:val="001F0FC5"/>
    <w:rsid w:val="001F1033"/>
    <w:rsid w:val="001F1053"/>
    <w:rsid w:val="001F122A"/>
    <w:rsid w:val="001F12C1"/>
    <w:rsid w:val="001F12CE"/>
    <w:rsid w:val="001F12F3"/>
    <w:rsid w:val="001F1517"/>
    <w:rsid w:val="001F1581"/>
    <w:rsid w:val="001F1613"/>
    <w:rsid w:val="001F1626"/>
    <w:rsid w:val="001F16D3"/>
    <w:rsid w:val="001F1910"/>
    <w:rsid w:val="001F19E0"/>
    <w:rsid w:val="001F1A13"/>
    <w:rsid w:val="001F1A41"/>
    <w:rsid w:val="001F1ACF"/>
    <w:rsid w:val="001F1ADC"/>
    <w:rsid w:val="001F1BD4"/>
    <w:rsid w:val="001F1C08"/>
    <w:rsid w:val="001F1CA3"/>
    <w:rsid w:val="001F1D1F"/>
    <w:rsid w:val="001F1DE0"/>
    <w:rsid w:val="001F1E40"/>
    <w:rsid w:val="001F1E54"/>
    <w:rsid w:val="001F1EB1"/>
    <w:rsid w:val="001F1F23"/>
    <w:rsid w:val="001F1FE2"/>
    <w:rsid w:val="001F2137"/>
    <w:rsid w:val="001F2260"/>
    <w:rsid w:val="001F2290"/>
    <w:rsid w:val="001F2425"/>
    <w:rsid w:val="001F24C4"/>
    <w:rsid w:val="001F250F"/>
    <w:rsid w:val="001F2548"/>
    <w:rsid w:val="001F25A0"/>
    <w:rsid w:val="001F25E0"/>
    <w:rsid w:val="001F2639"/>
    <w:rsid w:val="001F26E6"/>
    <w:rsid w:val="001F274C"/>
    <w:rsid w:val="001F275F"/>
    <w:rsid w:val="001F2774"/>
    <w:rsid w:val="001F287D"/>
    <w:rsid w:val="001F288B"/>
    <w:rsid w:val="001F28AF"/>
    <w:rsid w:val="001F2932"/>
    <w:rsid w:val="001F298D"/>
    <w:rsid w:val="001F2B0C"/>
    <w:rsid w:val="001F2B75"/>
    <w:rsid w:val="001F2BA5"/>
    <w:rsid w:val="001F2C87"/>
    <w:rsid w:val="001F2D7F"/>
    <w:rsid w:val="001F2FD4"/>
    <w:rsid w:val="001F2FF1"/>
    <w:rsid w:val="001F303A"/>
    <w:rsid w:val="001F3059"/>
    <w:rsid w:val="001F306A"/>
    <w:rsid w:val="001F30A9"/>
    <w:rsid w:val="001F30E9"/>
    <w:rsid w:val="001F310E"/>
    <w:rsid w:val="001F3211"/>
    <w:rsid w:val="001F3280"/>
    <w:rsid w:val="001F3695"/>
    <w:rsid w:val="001F36AE"/>
    <w:rsid w:val="001F38D3"/>
    <w:rsid w:val="001F38FB"/>
    <w:rsid w:val="001F3930"/>
    <w:rsid w:val="001F39E0"/>
    <w:rsid w:val="001F39F4"/>
    <w:rsid w:val="001F3A0F"/>
    <w:rsid w:val="001F3AE3"/>
    <w:rsid w:val="001F3B68"/>
    <w:rsid w:val="001F3BA5"/>
    <w:rsid w:val="001F3C6C"/>
    <w:rsid w:val="001F3D85"/>
    <w:rsid w:val="001F3E50"/>
    <w:rsid w:val="001F3F77"/>
    <w:rsid w:val="001F3F99"/>
    <w:rsid w:val="001F3F9A"/>
    <w:rsid w:val="001F403C"/>
    <w:rsid w:val="001F404B"/>
    <w:rsid w:val="001F40F9"/>
    <w:rsid w:val="001F4179"/>
    <w:rsid w:val="001F42AE"/>
    <w:rsid w:val="001F4476"/>
    <w:rsid w:val="001F44CA"/>
    <w:rsid w:val="001F4616"/>
    <w:rsid w:val="001F46CE"/>
    <w:rsid w:val="001F46CF"/>
    <w:rsid w:val="001F4767"/>
    <w:rsid w:val="001F479F"/>
    <w:rsid w:val="001F47B0"/>
    <w:rsid w:val="001F497D"/>
    <w:rsid w:val="001F4A94"/>
    <w:rsid w:val="001F4AB9"/>
    <w:rsid w:val="001F4B75"/>
    <w:rsid w:val="001F4DB3"/>
    <w:rsid w:val="001F4EE9"/>
    <w:rsid w:val="001F4F2A"/>
    <w:rsid w:val="001F4F92"/>
    <w:rsid w:val="001F5065"/>
    <w:rsid w:val="001F509B"/>
    <w:rsid w:val="001F509C"/>
    <w:rsid w:val="001F512D"/>
    <w:rsid w:val="001F51C1"/>
    <w:rsid w:val="001F5293"/>
    <w:rsid w:val="001F540C"/>
    <w:rsid w:val="001F545F"/>
    <w:rsid w:val="001F54A0"/>
    <w:rsid w:val="001F54A9"/>
    <w:rsid w:val="001F54C8"/>
    <w:rsid w:val="001F555A"/>
    <w:rsid w:val="001F5609"/>
    <w:rsid w:val="001F560B"/>
    <w:rsid w:val="001F5614"/>
    <w:rsid w:val="001F563A"/>
    <w:rsid w:val="001F56C2"/>
    <w:rsid w:val="001F56EB"/>
    <w:rsid w:val="001F5842"/>
    <w:rsid w:val="001F585E"/>
    <w:rsid w:val="001F58F7"/>
    <w:rsid w:val="001F59AC"/>
    <w:rsid w:val="001F59E8"/>
    <w:rsid w:val="001F5A66"/>
    <w:rsid w:val="001F5ADD"/>
    <w:rsid w:val="001F5B17"/>
    <w:rsid w:val="001F5B1F"/>
    <w:rsid w:val="001F5B56"/>
    <w:rsid w:val="001F5BCE"/>
    <w:rsid w:val="001F5C0C"/>
    <w:rsid w:val="001F5CB7"/>
    <w:rsid w:val="001F5D57"/>
    <w:rsid w:val="001F5DE9"/>
    <w:rsid w:val="001F5E19"/>
    <w:rsid w:val="001F5ED6"/>
    <w:rsid w:val="001F5F3C"/>
    <w:rsid w:val="001F5F8F"/>
    <w:rsid w:val="001F6159"/>
    <w:rsid w:val="001F6267"/>
    <w:rsid w:val="001F6581"/>
    <w:rsid w:val="001F65D7"/>
    <w:rsid w:val="001F6630"/>
    <w:rsid w:val="001F6645"/>
    <w:rsid w:val="001F6649"/>
    <w:rsid w:val="001F6696"/>
    <w:rsid w:val="001F6731"/>
    <w:rsid w:val="001F6751"/>
    <w:rsid w:val="001F6793"/>
    <w:rsid w:val="001F681E"/>
    <w:rsid w:val="001F6823"/>
    <w:rsid w:val="001F68EA"/>
    <w:rsid w:val="001F6A4B"/>
    <w:rsid w:val="001F6A65"/>
    <w:rsid w:val="001F6C72"/>
    <w:rsid w:val="001F6D59"/>
    <w:rsid w:val="001F6E11"/>
    <w:rsid w:val="001F6E71"/>
    <w:rsid w:val="001F6F17"/>
    <w:rsid w:val="001F6FDD"/>
    <w:rsid w:val="001F70D3"/>
    <w:rsid w:val="001F7114"/>
    <w:rsid w:val="001F71A0"/>
    <w:rsid w:val="001F71E1"/>
    <w:rsid w:val="001F725B"/>
    <w:rsid w:val="001F74DA"/>
    <w:rsid w:val="001F74E1"/>
    <w:rsid w:val="001F74F8"/>
    <w:rsid w:val="001F7508"/>
    <w:rsid w:val="001F75A3"/>
    <w:rsid w:val="001F7669"/>
    <w:rsid w:val="001F7675"/>
    <w:rsid w:val="001F783B"/>
    <w:rsid w:val="001F7890"/>
    <w:rsid w:val="001F78EF"/>
    <w:rsid w:val="001F7933"/>
    <w:rsid w:val="001F7936"/>
    <w:rsid w:val="001F7958"/>
    <w:rsid w:val="001F796B"/>
    <w:rsid w:val="001F79DA"/>
    <w:rsid w:val="001F7A7C"/>
    <w:rsid w:val="001F7B39"/>
    <w:rsid w:val="001F7B5A"/>
    <w:rsid w:val="001F7B71"/>
    <w:rsid w:val="001F7BA3"/>
    <w:rsid w:val="001F7BE1"/>
    <w:rsid w:val="001F7BEB"/>
    <w:rsid w:val="001F7C13"/>
    <w:rsid w:val="001F7C92"/>
    <w:rsid w:val="001F7DC3"/>
    <w:rsid w:val="001F7EAC"/>
    <w:rsid w:val="001F7ED4"/>
    <w:rsid w:val="0020000B"/>
    <w:rsid w:val="00200097"/>
    <w:rsid w:val="0020021A"/>
    <w:rsid w:val="0020024F"/>
    <w:rsid w:val="00200253"/>
    <w:rsid w:val="0020028B"/>
    <w:rsid w:val="00200318"/>
    <w:rsid w:val="0020032E"/>
    <w:rsid w:val="002003AC"/>
    <w:rsid w:val="002003B4"/>
    <w:rsid w:val="002003F1"/>
    <w:rsid w:val="00200424"/>
    <w:rsid w:val="00200431"/>
    <w:rsid w:val="0020048C"/>
    <w:rsid w:val="002004C4"/>
    <w:rsid w:val="00200597"/>
    <w:rsid w:val="002007B0"/>
    <w:rsid w:val="002008C1"/>
    <w:rsid w:val="00200924"/>
    <w:rsid w:val="00200930"/>
    <w:rsid w:val="00200A10"/>
    <w:rsid w:val="00200A9C"/>
    <w:rsid w:val="00200AE4"/>
    <w:rsid w:val="00200B31"/>
    <w:rsid w:val="00200B77"/>
    <w:rsid w:val="00200BB2"/>
    <w:rsid w:val="00200C35"/>
    <w:rsid w:val="00200C77"/>
    <w:rsid w:val="00200C8C"/>
    <w:rsid w:val="00200CA8"/>
    <w:rsid w:val="00200D72"/>
    <w:rsid w:val="00200E18"/>
    <w:rsid w:val="00200F1F"/>
    <w:rsid w:val="00200F35"/>
    <w:rsid w:val="00201052"/>
    <w:rsid w:val="00201069"/>
    <w:rsid w:val="0020114B"/>
    <w:rsid w:val="0020115B"/>
    <w:rsid w:val="0020122F"/>
    <w:rsid w:val="00201273"/>
    <w:rsid w:val="00201334"/>
    <w:rsid w:val="0020136D"/>
    <w:rsid w:val="0020136E"/>
    <w:rsid w:val="0020139D"/>
    <w:rsid w:val="002013E3"/>
    <w:rsid w:val="00201400"/>
    <w:rsid w:val="00201472"/>
    <w:rsid w:val="00201502"/>
    <w:rsid w:val="0020150E"/>
    <w:rsid w:val="00201596"/>
    <w:rsid w:val="00201606"/>
    <w:rsid w:val="00201717"/>
    <w:rsid w:val="002017B0"/>
    <w:rsid w:val="0020180A"/>
    <w:rsid w:val="00201816"/>
    <w:rsid w:val="002018D0"/>
    <w:rsid w:val="0020197E"/>
    <w:rsid w:val="0020197F"/>
    <w:rsid w:val="002019DB"/>
    <w:rsid w:val="00201ABF"/>
    <w:rsid w:val="00201AEB"/>
    <w:rsid w:val="00201AFD"/>
    <w:rsid w:val="00201B19"/>
    <w:rsid w:val="00201BA8"/>
    <w:rsid w:val="00201C06"/>
    <w:rsid w:val="00201D82"/>
    <w:rsid w:val="00201E30"/>
    <w:rsid w:val="00201E6A"/>
    <w:rsid w:val="00201EB8"/>
    <w:rsid w:val="00201F0E"/>
    <w:rsid w:val="00201FB3"/>
    <w:rsid w:val="0020217C"/>
    <w:rsid w:val="002021E1"/>
    <w:rsid w:val="00202287"/>
    <w:rsid w:val="0020229B"/>
    <w:rsid w:val="0020231B"/>
    <w:rsid w:val="0020232C"/>
    <w:rsid w:val="00202480"/>
    <w:rsid w:val="0020253C"/>
    <w:rsid w:val="0020258B"/>
    <w:rsid w:val="002025E7"/>
    <w:rsid w:val="0020261D"/>
    <w:rsid w:val="00202636"/>
    <w:rsid w:val="00202711"/>
    <w:rsid w:val="0020272C"/>
    <w:rsid w:val="00202746"/>
    <w:rsid w:val="0020278D"/>
    <w:rsid w:val="002027A9"/>
    <w:rsid w:val="002028D5"/>
    <w:rsid w:val="00202A77"/>
    <w:rsid w:val="00202AB5"/>
    <w:rsid w:val="00202AEF"/>
    <w:rsid w:val="00202B95"/>
    <w:rsid w:val="00202BAC"/>
    <w:rsid w:val="00202C60"/>
    <w:rsid w:val="00202CE5"/>
    <w:rsid w:val="00202D4A"/>
    <w:rsid w:val="00202DA6"/>
    <w:rsid w:val="00202E3A"/>
    <w:rsid w:val="00202E51"/>
    <w:rsid w:val="00202EBA"/>
    <w:rsid w:val="00202F96"/>
    <w:rsid w:val="00202FBF"/>
    <w:rsid w:val="00202FDA"/>
    <w:rsid w:val="00203033"/>
    <w:rsid w:val="00203098"/>
    <w:rsid w:val="002030F6"/>
    <w:rsid w:val="002031EE"/>
    <w:rsid w:val="00203203"/>
    <w:rsid w:val="0020320E"/>
    <w:rsid w:val="00203296"/>
    <w:rsid w:val="00203491"/>
    <w:rsid w:val="002034CC"/>
    <w:rsid w:val="00203534"/>
    <w:rsid w:val="00203571"/>
    <w:rsid w:val="002035CD"/>
    <w:rsid w:val="002035F4"/>
    <w:rsid w:val="0020364A"/>
    <w:rsid w:val="0020386F"/>
    <w:rsid w:val="00203946"/>
    <w:rsid w:val="002039A3"/>
    <w:rsid w:val="002039C4"/>
    <w:rsid w:val="00203AE6"/>
    <w:rsid w:val="00203BBC"/>
    <w:rsid w:val="00203D25"/>
    <w:rsid w:val="00203D29"/>
    <w:rsid w:val="00203DDE"/>
    <w:rsid w:val="00203E42"/>
    <w:rsid w:val="00203F99"/>
    <w:rsid w:val="002041A0"/>
    <w:rsid w:val="0020423B"/>
    <w:rsid w:val="0020445E"/>
    <w:rsid w:val="00204466"/>
    <w:rsid w:val="00204476"/>
    <w:rsid w:val="002044CF"/>
    <w:rsid w:val="0020461F"/>
    <w:rsid w:val="00204664"/>
    <w:rsid w:val="002046C3"/>
    <w:rsid w:val="00204730"/>
    <w:rsid w:val="002047D5"/>
    <w:rsid w:val="00204851"/>
    <w:rsid w:val="0020486D"/>
    <w:rsid w:val="0020491B"/>
    <w:rsid w:val="00204945"/>
    <w:rsid w:val="002049AD"/>
    <w:rsid w:val="00204A57"/>
    <w:rsid w:val="00204AF9"/>
    <w:rsid w:val="00204B05"/>
    <w:rsid w:val="00204B24"/>
    <w:rsid w:val="00204B61"/>
    <w:rsid w:val="00204B95"/>
    <w:rsid w:val="00204DC7"/>
    <w:rsid w:val="00204E8F"/>
    <w:rsid w:val="00204F83"/>
    <w:rsid w:val="00204F95"/>
    <w:rsid w:val="00204FAA"/>
    <w:rsid w:val="00204FC4"/>
    <w:rsid w:val="00205042"/>
    <w:rsid w:val="0020506A"/>
    <w:rsid w:val="00205095"/>
    <w:rsid w:val="0020509E"/>
    <w:rsid w:val="0020509F"/>
    <w:rsid w:val="002050A4"/>
    <w:rsid w:val="00205119"/>
    <w:rsid w:val="00205133"/>
    <w:rsid w:val="00205199"/>
    <w:rsid w:val="00205242"/>
    <w:rsid w:val="00205281"/>
    <w:rsid w:val="002052B0"/>
    <w:rsid w:val="002052D6"/>
    <w:rsid w:val="002052D8"/>
    <w:rsid w:val="002053C8"/>
    <w:rsid w:val="00205485"/>
    <w:rsid w:val="00205533"/>
    <w:rsid w:val="00205583"/>
    <w:rsid w:val="002055B7"/>
    <w:rsid w:val="002056CE"/>
    <w:rsid w:val="002056F4"/>
    <w:rsid w:val="00205828"/>
    <w:rsid w:val="0020584B"/>
    <w:rsid w:val="0020594C"/>
    <w:rsid w:val="0020596B"/>
    <w:rsid w:val="002059C5"/>
    <w:rsid w:val="00205A05"/>
    <w:rsid w:val="00205A5F"/>
    <w:rsid w:val="00205D48"/>
    <w:rsid w:val="00205D5D"/>
    <w:rsid w:val="00205E69"/>
    <w:rsid w:val="00205F4C"/>
    <w:rsid w:val="00205FF3"/>
    <w:rsid w:val="00205FF4"/>
    <w:rsid w:val="0020600E"/>
    <w:rsid w:val="00206015"/>
    <w:rsid w:val="00206089"/>
    <w:rsid w:val="002060AD"/>
    <w:rsid w:val="002060EF"/>
    <w:rsid w:val="002061DE"/>
    <w:rsid w:val="002061ED"/>
    <w:rsid w:val="0020622F"/>
    <w:rsid w:val="0020627E"/>
    <w:rsid w:val="00206359"/>
    <w:rsid w:val="002063ED"/>
    <w:rsid w:val="0020641B"/>
    <w:rsid w:val="00206422"/>
    <w:rsid w:val="002065E1"/>
    <w:rsid w:val="0020667E"/>
    <w:rsid w:val="00206765"/>
    <w:rsid w:val="0020678D"/>
    <w:rsid w:val="002067B5"/>
    <w:rsid w:val="002067C5"/>
    <w:rsid w:val="0020687E"/>
    <w:rsid w:val="0020692D"/>
    <w:rsid w:val="002069C7"/>
    <w:rsid w:val="002069EF"/>
    <w:rsid w:val="00206AF1"/>
    <w:rsid w:val="00206B4B"/>
    <w:rsid w:val="00206D5B"/>
    <w:rsid w:val="00206DD4"/>
    <w:rsid w:val="00206DEF"/>
    <w:rsid w:val="0020718D"/>
    <w:rsid w:val="002071E5"/>
    <w:rsid w:val="00207323"/>
    <w:rsid w:val="0020739A"/>
    <w:rsid w:val="00207475"/>
    <w:rsid w:val="002074EE"/>
    <w:rsid w:val="00207516"/>
    <w:rsid w:val="0020761A"/>
    <w:rsid w:val="0020766D"/>
    <w:rsid w:val="002076EF"/>
    <w:rsid w:val="00207796"/>
    <w:rsid w:val="002077AB"/>
    <w:rsid w:val="00207916"/>
    <w:rsid w:val="00207A35"/>
    <w:rsid w:val="00207B4A"/>
    <w:rsid w:val="00207C04"/>
    <w:rsid w:val="00207D31"/>
    <w:rsid w:val="00207D4D"/>
    <w:rsid w:val="00207F44"/>
    <w:rsid w:val="00207F9B"/>
    <w:rsid w:val="0021005F"/>
    <w:rsid w:val="00210099"/>
    <w:rsid w:val="002100BF"/>
    <w:rsid w:val="002100C6"/>
    <w:rsid w:val="00210160"/>
    <w:rsid w:val="00210178"/>
    <w:rsid w:val="00210180"/>
    <w:rsid w:val="002101C9"/>
    <w:rsid w:val="00210273"/>
    <w:rsid w:val="002102C7"/>
    <w:rsid w:val="00210350"/>
    <w:rsid w:val="0021044B"/>
    <w:rsid w:val="002104A5"/>
    <w:rsid w:val="00210532"/>
    <w:rsid w:val="00210546"/>
    <w:rsid w:val="002105FC"/>
    <w:rsid w:val="00210720"/>
    <w:rsid w:val="00210755"/>
    <w:rsid w:val="002107CA"/>
    <w:rsid w:val="0021088F"/>
    <w:rsid w:val="002108B6"/>
    <w:rsid w:val="002108BA"/>
    <w:rsid w:val="00210925"/>
    <w:rsid w:val="00210A4F"/>
    <w:rsid w:val="00210A5B"/>
    <w:rsid w:val="00210A7F"/>
    <w:rsid w:val="00210A95"/>
    <w:rsid w:val="00210AF0"/>
    <w:rsid w:val="00210B24"/>
    <w:rsid w:val="00210BBA"/>
    <w:rsid w:val="00210C30"/>
    <w:rsid w:val="00210D33"/>
    <w:rsid w:val="00210D46"/>
    <w:rsid w:val="00210D6F"/>
    <w:rsid w:val="00210DAF"/>
    <w:rsid w:val="00210E55"/>
    <w:rsid w:val="00210EB3"/>
    <w:rsid w:val="00210EE6"/>
    <w:rsid w:val="00210EEA"/>
    <w:rsid w:val="00210F18"/>
    <w:rsid w:val="00210F35"/>
    <w:rsid w:val="0021108F"/>
    <w:rsid w:val="002110CA"/>
    <w:rsid w:val="00211143"/>
    <w:rsid w:val="00211229"/>
    <w:rsid w:val="002112F6"/>
    <w:rsid w:val="00211334"/>
    <w:rsid w:val="00211363"/>
    <w:rsid w:val="00211487"/>
    <w:rsid w:val="002114A6"/>
    <w:rsid w:val="002114E8"/>
    <w:rsid w:val="00211523"/>
    <w:rsid w:val="00211559"/>
    <w:rsid w:val="00211649"/>
    <w:rsid w:val="002116B0"/>
    <w:rsid w:val="00211740"/>
    <w:rsid w:val="0021175C"/>
    <w:rsid w:val="00211804"/>
    <w:rsid w:val="0021186D"/>
    <w:rsid w:val="00211877"/>
    <w:rsid w:val="0021188B"/>
    <w:rsid w:val="002118D8"/>
    <w:rsid w:val="002118DA"/>
    <w:rsid w:val="002118E8"/>
    <w:rsid w:val="00211925"/>
    <w:rsid w:val="002119C2"/>
    <w:rsid w:val="00211A4B"/>
    <w:rsid w:val="00211AC6"/>
    <w:rsid w:val="00211BA4"/>
    <w:rsid w:val="00211C2F"/>
    <w:rsid w:val="00211D03"/>
    <w:rsid w:val="00211DA8"/>
    <w:rsid w:val="00211DB9"/>
    <w:rsid w:val="00211E77"/>
    <w:rsid w:val="00211E99"/>
    <w:rsid w:val="00211ED8"/>
    <w:rsid w:val="00211F0F"/>
    <w:rsid w:val="00211F45"/>
    <w:rsid w:val="00211F66"/>
    <w:rsid w:val="00211FB3"/>
    <w:rsid w:val="002120B1"/>
    <w:rsid w:val="002121F7"/>
    <w:rsid w:val="0021221E"/>
    <w:rsid w:val="0021228E"/>
    <w:rsid w:val="002123FA"/>
    <w:rsid w:val="0021251D"/>
    <w:rsid w:val="0021258D"/>
    <w:rsid w:val="0021259A"/>
    <w:rsid w:val="002125CF"/>
    <w:rsid w:val="002125F6"/>
    <w:rsid w:val="00212693"/>
    <w:rsid w:val="0021272C"/>
    <w:rsid w:val="00212745"/>
    <w:rsid w:val="002127B0"/>
    <w:rsid w:val="002127ED"/>
    <w:rsid w:val="0021281A"/>
    <w:rsid w:val="0021291F"/>
    <w:rsid w:val="00212AE6"/>
    <w:rsid w:val="00212C1C"/>
    <w:rsid w:val="00212E76"/>
    <w:rsid w:val="00212E97"/>
    <w:rsid w:val="00212ED1"/>
    <w:rsid w:val="00212F61"/>
    <w:rsid w:val="00212FAE"/>
    <w:rsid w:val="00213002"/>
    <w:rsid w:val="00213252"/>
    <w:rsid w:val="00213418"/>
    <w:rsid w:val="0021348A"/>
    <w:rsid w:val="00213552"/>
    <w:rsid w:val="00213555"/>
    <w:rsid w:val="002135C1"/>
    <w:rsid w:val="00213621"/>
    <w:rsid w:val="0021369A"/>
    <w:rsid w:val="002137C1"/>
    <w:rsid w:val="002137C3"/>
    <w:rsid w:val="00213A70"/>
    <w:rsid w:val="00213A9D"/>
    <w:rsid w:val="00213C9C"/>
    <w:rsid w:val="00213C9D"/>
    <w:rsid w:val="00213D35"/>
    <w:rsid w:val="00213D47"/>
    <w:rsid w:val="00213E1D"/>
    <w:rsid w:val="00213E45"/>
    <w:rsid w:val="002140B3"/>
    <w:rsid w:val="002140C2"/>
    <w:rsid w:val="00214121"/>
    <w:rsid w:val="00214218"/>
    <w:rsid w:val="0021475C"/>
    <w:rsid w:val="00214807"/>
    <w:rsid w:val="00214824"/>
    <w:rsid w:val="002148B0"/>
    <w:rsid w:val="00214913"/>
    <w:rsid w:val="0021492E"/>
    <w:rsid w:val="0021495D"/>
    <w:rsid w:val="00214A26"/>
    <w:rsid w:val="00214A2A"/>
    <w:rsid w:val="00214A92"/>
    <w:rsid w:val="00214AAC"/>
    <w:rsid w:val="00214B6D"/>
    <w:rsid w:val="00214CDC"/>
    <w:rsid w:val="00214F6A"/>
    <w:rsid w:val="00214F6E"/>
    <w:rsid w:val="00214FAF"/>
    <w:rsid w:val="00214FE4"/>
    <w:rsid w:val="00215024"/>
    <w:rsid w:val="00215073"/>
    <w:rsid w:val="0021514E"/>
    <w:rsid w:val="002151D2"/>
    <w:rsid w:val="0021521D"/>
    <w:rsid w:val="00215409"/>
    <w:rsid w:val="00215431"/>
    <w:rsid w:val="002154EA"/>
    <w:rsid w:val="00215562"/>
    <w:rsid w:val="002155D2"/>
    <w:rsid w:val="002155D8"/>
    <w:rsid w:val="0021562B"/>
    <w:rsid w:val="002156A7"/>
    <w:rsid w:val="002156D1"/>
    <w:rsid w:val="00215711"/>
    <w:rsid w:val="0021571B"/>
    <w:rsid w:val="0021573F"/>
    <w:rsid w:val="0021579C"/>
    <w:rsid w:val="002157AF"/>
    <w:rsid w:val="002157D5"/>
    <w:rsid w:val="002158AD"/>
    <w:rsid w:val="002158B2"/>
    <w:rsid w:val="002158FA"/>
    <w:rsid w:val="0021594A"/>
    <w:rsid w:val="00215A01"/>
    <w:rsid w:val="00215A41"/>
    <w:rsid w:val="00215A49"/>
    <w:rsid w:val="00215B2B"/>
    <w:rsid w:val="00215C00"/>
    <w:rsid w:val="00215C14"/>
    <w:rsid w:val="00215C60"/>
    <w:rsid w:val="00215CD7"/>
    <w:rsid w:val="00215D24"/>
    <w:rsid w:val="00215D6D"/>
    <w:rsid w:val="00215DAD"/>
    <w:rsid w:val="00215DB9"/>
    <w:rsid w:val="00215E32"/>
    <w:rsid w:val="00215E3C"/>
    <w:rsid w:val="00215EA3"/>
    <w:rsid w:val="00215FD0"/>
    <w:rsid w:val="00215FD3"/>
    <w:rsid w:val="00215FDB"/>
    <w:rsid w:val="0021604D"/>
    <w:rsid w:val="00216087"/>
    <w:rsid w:val="002160CA"/>
    <w:rsid w:val="002160CB"/>
    <w:rsid w:val="00216106"/>
    <w:rsid w:val="00216112"/>
    <w:rsid w:val="00216169"/>
    <w:rsid w:val="002162E0"/>
    <w:rsid w:val="00216352"/>
    <w:rsid w:val="00216459"/>
    <w:rsid w:val="00216481"/>
    <w:rsid w:val="0021654E"/>
    <w:rsid w:val="00216581"/>
    <w:rsid w:val="0021659A"/>
    <w:rsid w:val="002165C2"/>
    <w:rsid w:val="002167F8"/>
    <w:rsid w:val="00216801"/>
    <w:rsid w:val="00216840"/>
    <w:rsid w:val="002168D3"/>
    <w:rsid w:val="00216934"/>
    <w:rsid w:val="00216AC4"/>
    <w:rsid w:val="00216BD7"/>
    <w:rsid w:val="00216BE7"/>
    <w:rsid w:val="00216C73"/>
    <w:rsid w:val="00216CC2"/>
    <w:rsid w:val="00216CE6"/>
    <w:rsid w:val="00216D1C"/>
    <w:rsid w:val="00216D28"/>
    <w:rsid w:val="00216DA9"/>
    <w:rsid w:val="00216F81"/>
    <w:rsid w:val="00216F9D"/>
    <w:rsid w:val="00216FAA"/>
    <w:rsid w:val="00216FBA"/>
    <w:rsid w:val="00216FBB"/>
    <w:rsid w:val="0021705C"/>
    <w:rsid w:val="0021709F"/>
    <w:rsid w:val="002170A7"/>
    <w:rsid w:val="00217190"/>
    <w:rsid w:val="00217218"/>
    <w:rsid w:val="002173A5"/>
    <w:rsid w:val="00217409"/>
    <w:rsid w:val="00217558"/>
    <w:rsid w:val="0021756A"/>
    <w:rsid w:val="00217576"/>
    <w:rsid w:val="0021758A"/>
    <w:rsid w:val="002175A1"/>
    <w:rsid w:val="0021775C"/>
    <w:rsid w:val="00217799"/>
    <w:rsid w:val="00217828"/>
    <w:rsid w:val="002178D3"/>
    <w:rsid w:val="002178DF"/>
    <w:rsid w:val="00217914"/>
    <w:rsid w:val="0021791F"/>
    <w:rsid w:val="00217950"/>
    <w:rsid w:val="002179FA"/>
    <w:rsid w:val="00217A09"/>
    <w:rsid w:val="00217A3A"/>
    <w:rsid w:val="00217A66"/>
    <w:rsid w:val="00217A76"/>
    <w:rsid w:val="00217B83"/>
    <w:rsid w:val="00217DCF"/>
    <w:rsid w:val="00217E77"/>
    <w:rsid w:val="00217E79"/>
    <w:rsid w:val="00217F68"/>
    <w:rsid w:val="002202CB"/>
    <w:rsid w:val="002202CE"/>
    <w:rsid w:val="00220315"/>
    <w:rsid w:val="0022039A"/>
    <w:rsid w:val="002203EA"/>
    <w:rsid w:val="0022044C"/>
    <w:rsid w:val="00220469"/>
    <w:rsid w:val="00220690"/>
    <w:rsid w:val="0022072B"/>
    <w:rsid w:val="002207C4"/>
    <w:rsid w:val="002207C6"/>
    <w:rsid w:val="00220800"/>
    <w:rsid w:val="00220860"/>
    <w:rsid w:val="0022087B"/>
    <w:rsid w:val="00220905"/>
    <w:rsid w:val="00220916"/>
    <w:rsid w:val="00220956"/>
    <w:rsid w:val="002209EC"/>
    <w:rsid w:val="00220B47"/>
    <w:rsid w:val="00220B49"/>
    <w:rsid w:val="00220BB1"/>
    <w:rsid w:val="00220C04"/>
    <w:rsid w:val="00220C13"/>
    <w:rsid w:val="00220C86"/>
    <w:rsid w:val="00220CC5"/>
    <w:rsid w:val="00220D17"/>
    <w:rsid w:val="00220D34"/>
    <w:rsid w:val="00220D81"/>
    <w:rsid w:val="00220DB5"/>
    <w:rsid w:val="00220E01"/>
    <w:rsid w:val="00220FB6"/>
    <w:rsid w:val="00220FBB"/>
    <w:rsid w:val="0022104D"/>
    <w:rsid w:val="002210F9"/>
    <w:rsid w:val="00221241"/>
    <w:rsid w:val="0022128D"/>
    <w:rsid w:val="002212AB"/>
    <w:rsid w:val="00221392"/>
    <w:rsid w:val="00221430"/>
    <w:rsid w:val="00221438"/>
    <w:rsid w:val="00221593"/>
    <w:rsid w:val="0022159F"/>
    <w:rsid w:val="0022164D"/>
    <w:rsid w:val="0022167B"/>
    <w:rsid w:val="0022170C"/>
    <w:rsid w:val="002217AB"/>
    <w:rsid w:val="002217D3"/>
    <w:rsid w:val="002217DB"/>
    <w:rsid w:val="002218EE"/>
    <w:rsid w:val="002219C7"/>
    <w:rsid w:val="00221A04"/>
    <w:rsid w:val="00221A63"/>
    <w:rsid w:val="00221A6C"/>
    <w:rsid w:val="00221B4C"/>
    <w:rsid w:val="00221CF2"/>
    <w:rsid w:val="00221D23"/>
    <w:rsid w:val="00221D47"/>
    <w:rsid w:val="00221DAD"/>
    <w:rsid w:val="00221E65"/>
    <w:rsid w:val="00221E75"/>
    <w:rsid w:val="00221E7D"/>
    <w:rsid w:val="00221EE9"/>
    <w:rsid w:val="00221F2C"/>
    <w:rsid w:val="00221FA8"/>
    <w:rsid w:val="0022211A"/>
    <w:rsid w:val="002221B1"/>
    <w:rsid w:val="002221B5"/>
    <w:rsid w:val="002222B1"/>
    <w:rsid w:val="002222B6"/>
    <w:rsid w:val="002222E2"/>
    <w:rsid w:val="002222F0"/>
    <w:rsid w:val="00222360"/>
    <w:rsid w:val="0022236B"/>
    <w:rsid w:val="0022249B"/>
    <w:rsid w:val="00222566"/>
    <w:rsid w:val="0022262F"/>
    <w:rsid w:val="00222637"/>
    <w:rsid w:val="002226B2"/>
    <w:rsid w:val="00222702"/>
    <w:rsid w:val="0022272A"/>
    <w:rsid w:val="00222874"/>
    <w:rsid w:val="002228B3"/>
    <w:rsid w:val="00222909"/>
    <w:rsid w:val="00222941"/>
    <w:rsid w:val="00222A7B"/>
    <w:rsid w:val="00222AD4"/>
    <w:rsid w:val="00222AD5"/>
    <w:rsid w:val="00222B22"/>
    <w:rsid w:val="00222C49"/>
    <w:rsid w:val="00222C8B"/>
    <w:rsid w:val="00222CB8"/>
    <w:rsid w:val="00222D13"/>
    <w:rsid w:val="00222DF4"/>
    <w:rsid w:val="00222E31"/>
    <w:rsid w:val="00222F80"/>
    <w:rsid w:val="00222F8F"/>
    <w:rsid w:val="00222FA7"/>
    <w:rsid w:val="00222FD9"/>
    <w:rsid w:val="00222FFA"/>
    <w:rsid w:val="0022302E"/>
    <w:rsid w:val="0022304B"/>
    <w:rsid w:val="002234B0"/>
    <w:rsid w:val="002235E0"/>
    <w:rsid w:val="002236F9"/>
    <w:rsid w:val="002237F4"/>
    <w:rsid w:val="002237FD"/>
    <w:rsid w:val="00223801"/>
    <w:rsid w:val="00223832"/>
    <w:rsid w:val="0022385A"/>
    <w:rsid w:val="0022387D"/>
    <w:rsid w:val="0022390B"/>
    <w:rsid w:val="00223978"/>
    <w:rsid w:val="0022397B"/>
    <w:rsid w:val="00223987"/>
    <w:rsid w:val="00223A6D"/>
    <w:rsid w:val="00223A98"/>
    <w:rsid w:val="00223B71"/>
    <w:rsid w:val="00223E3E"/>
    <w:rsid w:val="00223EA6"/>
    <w:rsid w:val="00223F82"/>
    <w:rsid w:val="00223FDD"/>
    <w:rsid w:val="002241A1"/>
    <w:rsid w:val="00224223"/>
    <w:rsid w:val="0022423F"/>
    <w:rsid w:val="00224322"/>
    <w:rsid w:val="0022432E"/>
    <w:rsid w:val="00224533"/>
    <w:rsid w:val="00224556"/>
    <w:rsid w:val="00224589"/>
    <w:rsid w:val="002245CF"/>
    <w:rsid w:val="00224655"/>
    <w:rsid w:val="00224679"/>
    <w:rsid w:val="0022469A"/>
    <w:rsid w:val="0022471A"/>
    <w:rsid w:val="00224864"/>
    <w:rsid w:val="002248BF"/>
    <w:rsid w:val="002248EF"/>
    <w:rsid w:val="00224A91"/>
    <w:rsid w:val="00224AF5"/>
    <w:rsid w:val="00224B19"/>
    <w:rsid w:val="00224BA8"/>
    <w:rsid w:val="00224C23"/>
    <w:rsid w:val="00224C84"/>
    <w:rsid w:val="00224D9F"/>
    <w:rsid w:val="00224E1B"/>
    <w:rsid w:val="00224F81"/>
    <w:rsid w:val="00224F87"/>
    <w:rsid w:val="00224FD1"/>
    <w:rsid w:val="00224FE6"/>
    <w:rsid w:val="00225095"/>
    <w:rsid w:val="0022519A"/>
    <w:rsid w:val="002251DB"/>
    <w:rsid w:val="002252A3"/>
    <w:rsid w:val="002252EE"/>
    <w:rsid w:val="00225378"/>
    <w:rsid w:val="0022540B"/>
    <w:rsid w:val="00225410"/>
    <w:rsid w:val="00225431"/>
    <w:rsid w:val="0022548E"/>
    <w:rsid w:val="0022572E"/>
    <w:rsid w:val="002257AA"/>
    <w:rsid w:val="00225812"/>
    <w:rsid w:val="0022589F"/>
    <w:rsid w:val="00225949"/>
    <w:rsid w:val="00225992"/>
    <w:rsid w:val="002259B8"/>
    <w:rsid w:val="00225A50"/>
    <w:rsid w:val="00225B55"/>
    <w:rsid w:val="00225B70"/>
    <w:rsid w:val="00225BE3"/>
    <w:rsid w:val="00225C16"/>
    <w:rsid w:val="00225D31"/>
    <w:rsid w:val="00225D79"/>
    <w:rsid w:val="00225D92"/>
    <w:rsid w:val="00225E91"/>
    <w:rsid w:val="00225F32"/>
    <w:rsid w:val="00225F8D"/>
    <w:rsid w:val="00225FA7"/>
    <w:rsid w:val="00226026"/>
    <w:rsid w:val="00226091"/>
    <w:rsid w:val="00226093"/>
    <w:rsid w:val="002260E2"/>
    <w:rsid w:val="00226189"/>
    <w:rsid w:val="002261EA"/>
    <w:rsid w:val="00226243"/>
    <w:rsid w:val="00226304"/>
    <w:rsid w:val="002263FC"/>
    <w:rsid w:val="002263FE"/>
    <w:rsid w:val="00226523"/>
    <w:rsid w:val="0022652F"/>
    <w:rsid w:val="0022657E"/>
    <w:rsid w:val="0022658F"/>
    <w:rsid w:val="0022665D"/>
    <w:rsid w:val="002266C2"/>
    <w:rsid w:val="002267EA"/>
    <w:rsid w:val="002268F3"/>
    <w:rsid w:val="00226945"/>
    <w:rsid w:val="002269B8"/>
    <w:rsid w:val="002269BA"/>
    <w:rsid w:val="00226A07"/>
    <w:rsid w:val="00226AD2"/>
    <w:rsid w:val="00226EF9"/>
    <w:rsid w:val="00226EFB"/>
    <w:rsid w:val="00226F7A"/>
    <w:rsid w:val="00226F87"/>
    <w:rsid w:val="0022705D"/>
    <w:rsid w:val="0022711B"/>
    <w:rsid w:val="00227162"/>
    <w:rsid w:val="002272B3"/>
    <w:rsid w:val="002272CD"/>
    <w:rsid w:val="0022735A"/>
    <w:rsid w:val="002274A7"/>
    <w:rsid w:val="00227547"/>
    <w:rsid w:val="0022754B"/>
    <w:rsid w:val="0022755E"/>
    <w:rsid w:val="00227603"/>
    <w:rsid w:val="002276EC"/>
    <w:rsid w:val="002276F8"/>
    <w:rsid w:val="002279F1"/>
    <w:rsid w:val="00227A1C"/>
    <w:rsid w:val="00227B8E"/>
    <w:rsid w:val="00227C78"/>
    <w:rsid w:val="00227C90"/>
    <w:rsid w:val="00227E70"/>
    <w:rsid w:val="00227E7D"/>
    <w:rsid w:val="00227E83"/>
    <w:rsid w:val="00227EF2"/>
    <w:rsid w:val="00227F6F"/>
    <w:rsid w:val="00227F79"/>
    <w:rsid w:val="00227F9E"/>
    <w:rsid w:val="002300AF"/>
    <w:rsid w:val="002300C5"/>
    <w:rsid w:val="002300F3"/>
    <w:rsid w:val="00230223"/>
    <w:rsid w:val="00230224"/>
    <w:rsid w:val="00230238"/>
    <w:rsid w:val="00230257"/>
    <w:rsid w:val="002302BB"/>
    <w:rsid w:val="002302CD"/>
    <w:rsid w:val="00230322"/>
    <w:rsid w:val="0023037F"/>
    <w:rsid w:val="002304E0"/>
    <w:rsid w:val="002304FC"/>
    <w:rsid w:val="0023056A"/>
    <w:rsid w:val="002305E3"/>
    <w:rsid w:val="00230695"/>
    <w:rsid w:val="0023075E"/>
    <w:rsid w:val="002308D7"/>
    <w:rsid w:val="002308D9"/>
    <w:rsid w:val="002308DE"/>
    <w:rsid w:val="0023096D"/>
    <w:rsid w:val="00230988"/>
    <w:rsid w:val="002309A6"/>
    <w:rsid w:val="00230AA9"/>
    <w:rsid w:val="00230B33"/>
    <w:rsid w:val="00230B83"/>
    <w:rsid w:val="00230B84"/>
    <w:rsid w:val="00230BD6"/>
    <w:rsid w:val="00230BE0"/>
    <w:rsid w:val="00230CF2"/>
    <w:rsid w:val="00230D19"/>
    <w:rsid w:val="00230E01"/>
    <w:rsid w:val="00230E43"/>
    <w:rsid w:val="002311C9"/>
    <w:rsid w:val="0023124C"/>
    <w:rsid w:val="00231284"/>
    <w:rsid w:val="00231298"/>
    <w:rsid w:val="002312CF"/>
    <w:rsid w:val="00231320"/>
    <w:rsid w:val="0023140C"/>
    <w:rsid w:val="00231511"/>
    <w:rsid w:val="00231518"/>
    <w:rsid w:val="00231559"/>
    <w:rsid w:val="00231575"/>
    <w:rsid w:val="0023158C"/>
    <w:rsid w:val="0023165F"/>
    <w:rsid w:val="00231797"/>
    <w:rsid w:val="002317A1"/>
    <w:rsid w:val="00231801"/>
    <w:rsid w:val="00231815"/>
    <w:rsid w:val="00231914"/>
    <w:rsid w:val="0023191D"/>
    <w:rsid w:val="00231923"/>
    <w:rsid w:val="0023192A"/>
    <w:rsid w:val="00231994"/>
    <w:rsid w:val="00231A41"/>
    <w:rsid w:val="00231AA6"/>
    <w:rsid w:val="00231AB7"/>
    <w:rsid w:val="00231C02"/>
    <w:rsid w:val="00231C0D"/>
    <w:rsid w:val="00231C2A"/>
    <w:rsid w:val="00231CCD"/>
    <w:rsid w:val="00231E01"/>
    <w:rsid w:val="00231F71"/>
    <w:rsid w:val="00231FE6"/>
    <w:rsid w:val="002321F3"/>
    <w:rsid w:val="0023227B"/>
    <w:rsid w:val="002322EF"/>
    <w:rsid w:val="002322FB"/>
    <w:rsid w:val="002323C6"/>
    <w:rsid w:val="00232453"/>
    <w:rsid w:val="00232567"/>
    <w:rsid w:val="0023257B"/>
    <w:rsid w:val="002325B9"/>
    <w:rsid w:val="002325D5"/>
    <w:rsid w:val="0023264A"/>
    <w:rsid w:val="00232671"/>
    <w:rsid w:val="002326AF"/>
    <w:rsid w:val="002326BD"/>
    <w:rsid w:val="002326CF"/>
    <w:rsid w:val="002326EE"/>
    <w:rsid w:val="00232721"/>
    <w:rsid w:val="00232798"/>
    <w:rsid w:val="002327E8"/>
    <w:rsid w:val="0023283D"/>
    <w:rsid w:val="00232841"/>
    <w:rsid w:val="0023287A"/>
    <w:rsid w:val="00232885"/>
    <w:rsid w:val="002329B6"/>
    <w:rsid w:val="002329D8"/>
    <w:rsid w:val="002329DE"/>
    <w:rsid w:val="00232A9E"/>
    <w:rsid w:val="00232B8B"/>
    <w:rsid w:val="00232B8E"/>
    <w:rsid w:val="00232C31"/>
    <w:rsid w:val="00232D48"/>
    <w:rsid w:val="00232E09"/>
    <w:rsid w:val="00232E26"/>
    <w:rsid w:val="00232E4C"/>
    <w:rsid w:val="00232E65"/>
    <w:rsid w:val="00232EE6"/>
    <w:rsid w:val="00232F2B"/>
    <w:rsid w:val="002330A1"/>
    <w:rsid w:val="00233118"/>
    <w:rsid w:val="00233190"/>
    <w:rsid w:val="002331D8"/>
    <w:rsid w:val="0023327E"/>
    <w:rsid w:val="002333A3"/>
    <w:rsid w:val="002333E5"/>
    <w:rsid w:val="002334EC"/>
    <w:rsid w:val="002334ED"/>
    <w:rsid w:val="00233507"/>
    <w:rsid w:val="00233552"/>
    <w:rsid w:val="00233589"/>
    <w:rsid w:val="002335AE"/>
    <w:rsid w:val="002336C2"/>
    <w:rsid w:val="002336DC"/>
    <w:rsid w:val="00233757"/>
    <w:rsid w:val="002337A2"/>
    <w:rsid w:val="002337C7"/>
    <w:rsid w:val="002337D5"/>
    <w:rsid w:val="002337F0"/>
    <w:rsid w:val="002337FB"/>
    <w:rsid w:val="00233846"/>
    <w:rsid w:val="00233872"/>
    <w:rsid w:val="002338DA"/>
    <w:rsid w:val="002338EC"/>
    <w:rsid w:val="0023393B"/>
    <w:rsid w:val="00233A4F"/>
    <w:rsid w:val="00233A5A"/>
    <w:rsid w:val="00233A7D"/>
    <w:rsid w:val="00233B99"/>
    <w:rsid w:val="00233BD6"/>
    <w:rsid w:val="00233C72"/>
    <w:rsid w:val="00233C78"/>
    <w:rsid w:val="00233CE9"/>
    <w:rsid w:val="00233D3A"/>
    <w:rsid w:val="00233DFA"/>
    <w:rsid w:val="00233F84"/>
    <w:rsid w:val="00234061"/>
    <w:rsid w:val="0023407B"/>
    <w:rsid w:val="0023424F"/>
    <w:rsid w:val="00234456"/>
    <w:rsid w:val="00234498"/>
    <w:rsid w:val="002344CA"/>
    <w:rsid w:val="002344DC"/>
    <w:rsid w:val="00234579"/>
    <w:rsid w:val="002345AB"/>
    <w:rsid w:val="00234680"/>
    <w:rsid w:val="002346B9"/>
    <w:rsid w:val="002349B2"/>
    <w:rsid w:val="00234A4E"/>
    <w:rsid w:val="00234AF6"/>
    <w:rsid w:val="00234B9F"/>
    <w:rsid w:val="00234BF6"/>
    <w:rsid w:val="00234C4B"/>
    <w:rsid w:val="00234CEB"/>
    <w:rsid w:val="00234D8C"/>
    <w:rsid w:val="00234DAA"/>
    <w:rsid w:val="00234E6E"/>
    <w:rsid w:val="00234FA8"/>
    <w:rsid w:val="00235078"/>
    <w:rsid w:val="002351A3"/>
    <w:rsid w:val="00235238"/>
    <w:rsid w:val="00235254"/>
    <w:rsid w:val="00235279"/>
    <w:rsid w:val="002352AB"/>
    <w:rsid w:val="002352B7"/>
    <w:rsid w:val="00235334"/>
    <w:rsid w:val="0023535C"/>
    <w:rsid w:val="00235421"/>
    <w:rsid w:val="002355EE"/>
    <w:rsid w:val="0023562C"/>
    <w:rsid w:val="00235737"/>
    <w:rsid w:val="00235753"/>
    <w:rsid w:val="0023578C"/>
    <w:rsid w:val="002357D2"/>
    <w:rsid w:val="002357E6"/>
    <w:rsid w:val="00235810"/>
    <w:rsid w:val="00235812"/>
    <w:rsid w:val="0023587C"/>
    <w:rsid w:val="002358D2"/>
    <w:rsid w:val="00235BF7"/>
    <w:rsid w:val="00235CB5"/>
    <w:rsid w:val="00235E0C"/>
    <w:rsid w:val="00235E26"/>
    <w:rsid w:val="00235E6F"/>
    <w:rsid w:val="00235E9F"/>
    <w:rsid w:val="00235EB4"/>
    <w:rsid w:val="00235EB7"/>
    <w:rsid w:val="00235EB9"/>
    <w:rsid w:val="00235F67"/>
    <w:rsid w:val="00235FEF"/>
    <w:rsid w:val="00236072"/>
    <w:rsid w:val="00236265"/>
    <w:rsid w:val="002362A6"/>
    <w:rsid w:val="0023646C"/>
    <w:rsid w:val="002364B3"/>
    <w:rsid w:val="00236529"/>
    <w:rsid w:val="00236613"/>
    <w:rsid w:val="00236692"/>
    <w:rsid w:val="002366A3"/>
    <w:rsid w:val="0023672A"/>
    <w:rsid w:val="00236824"/>
    <w:rsid w:val="0023689D"/>
    <w:rsid w:val="002369CF"/>
    <w:rsid w:val="00236ADF"/>
    <w:rsid w:val="00236AF1"/>
    <w:rsid w:val="00236BB1"/>
    <w:rsid w:val="00236C49"/>
    <w:rsid w:val="00236CBA"/>
    <w:rsid w:val="00236D2D"/>
    <w:rsid w:val="00236DBC"/>
    <w:rsid w:val="00236E35"/>
    <w:rsid w:val="00236EE2"/>
    <w:rsid w:val="00236EF6"/>
    <w:rsid w:val="00236F93"/>
    <w:rsid w:val="00237079"/>
    <w:rsid w:val="002370A5"/>
    <w:rsid w:val="0023721C"/>
    <w:rsid w:val="0023724D"/>
    <w:rsid w:val="00237264"/>
    <w:rsid w:val="00237302"/>
    <w:rsid w:val="0023734A"/>
    <w:rsid w:val="00237374"/>
    <w:rsid w:val="0023743C"/>
    <w:rsid w:val="0023757F"/>
    <w:rsid w:val="00237736"/>
    <w:rsid w:val="00237775"/>
    <w:rsid w:val="002377CF"/>
    <w:rsid w:val="002377D1"/>
    <w:rsid w:val="0023787B"/>
    <w:rsid w:val="002379A2"/>
    <w:rsid w:val="002379CE"/>
    <w:rsid w:val="002379EB"/>
    <w:rsid w:val="00237A1A"/>
    <w:rsid w:val="00237A51"/>
    <w:rsid w:val="00237A71"/>
    <w:rsid w:val="00237A78"/>
    <w:rsid w:val="00237A99"/>
    <w:rsid w:val="00237B7E"/>
    <w:rsid w:val="00237C7F"/>
    <w:rsid w:val="00237DB1"/>
    <w:rsid w:val="00237DD0"/>
    <w:rsid w:val="00237DD9"/>
    <w:rsid w:val="00237E45"/>
    <w:rsid w:val="00237E48"/>
    <w:rsid w:val="00237EB4"/>
    <w:rsid w:val="00237EB9"/>
    <w:rsid w:val="00237EFF"/>
    <w:rsid w:val="00237FB0"/>
    <w:rsid w:val="00240072"/>
    <w:rsid w:val="0024039B"/>
    <w:rsid w:val="002404AD"/>
    <w:rsid w:val="002404CA"/>
    <w:rsid w:val="002404D3"/>
    <w:rsid w:val="002404FB"/>
    <w:rsid w:val="00240530"/>
    <w:rsid w:val="00240592"/>
    <w:rsid w:val="00240647"/>
    <w:rsid w:val="00240660"/>
    <w:rsid w:val="00240727"/>
    <w:rsid w:val="00240770"/>
    <w:rsid w:val="002407FD"/>
    <w:rsid w:val="00240844"/>
    <w:rsid w:val="0024089D"/>
    <w:rsid w:val="0024099C"/>
    <w:rsid w:val="002409E3"/>
    <w:rsid w:val="00240BC0"/>
    <w:rsid w:val="00240BF1"/>
    <w:rsid w:val="00240D0C"/>
    <w:rsid w:val="00240D3C"/>
    <w:rsid w:val="00240D63"/>
    <w:rsid w:val="00240ED7"/>
    <w:rsid w:val="00240EEE"/>
    <w:rsid w:val="00240F04"/>
    <w:rsid w:val="00240F8F"/>
    <w:rsid w:val="002411FE"/>
    <w:rsid w:val="0024126C"/>
    <w:rsid w:val="00241273"/>
    <w:rsid w:val="00241275"/>
    <w:rsid w:val="0024127D"/>
    <w:rsid w:val="002412BD"/>
    <w:rsid w:val="002412EE"/>
    <w:rsid w:val="0024138F"/>
    <w:rsid w:val="00241472"/>
    <w:rsid w:val="00241577"/>
    <w:rsid w:val="0024168D"/>
    <w:rsid w:val="00241707"/>
    <w:rsid w:val="00241742"/>
    <w:rsid w:val="00241B1D"/>
    <w:rsid w:val="00241B2B"/>
    <w:rsid w:val="00241BB0"/>
    <w:rsid w:val="00241BB2"/>
    <w:rsid w:val="00241BEE"/>
    <w:rsid w:val="00241C25"/>
    <w:rsid w:val="00241CA7"/>
    <w:rsid w:val="00241DE1"/>
    <w:rsid w:val="00241E08"/>
    <w:rsid w:val="00241E45"/>
    <w:rsid w:val="00241E7B"/>
    <w:rsid w:val="00241EB8"/>
    <w:rsid w:val="00242026"/>
    <w:rsid w:val="0024209B"/>
    <w:rsid w:val="0024216A"/>
    <w:rsid w:val="00242186"/>
    <w:rsid w:val="00242190"/>
    <w:rsid w:val="002421DB"/>
    <w:rsid w:val="002421EA"/>
    <w:rsid w:val="00242226"/>
    <w:rsid w:val="00242472"/>
    <w:rsid w:val="0024247C"/>
    <w:rsid w:val="0024256A"/>
    <w:rsid w:val="002425A5"/>
    <w:rsid w:val="002427E6"/>
    <w:rsid w:val="00242831"/>
    <w:rsid w:val="00242832"/>
    <w:rsid w:val="00242848"/>
    <w:rsid w:val="0024289A"/>
    <w:rsid w:val="002428F4"/>
    <w:rsid w:val="002428F5"/>
    <w:rsid w:val="002429A0"/>
    <w:rsid w:val="002429CB"/>
    <w:rsid w:val="00242A48"/>
    <w:rsid w:val="00242A4C"/>
    <w:rsid w:val="00242A6B"/>
    <w:rsid w:val="00242AD0"/>
    <w:rsid w:val="00242AE1"/>
    <w:rsid w:val="00242AE5"/>
    <w:rsid w:val="00242C20"/>
    <w:rsid w:val="00242CCF"/>
    <w:rsid w:val="00242D42"/>
    <w:rsid w:val="00242D44"/>
    <w:rsid w:val="00242D78"/>
    <w:rsid w:val="00242DDE"/>
    <w:rsid w:val="00242E0E"/>
    <w:rsid w:val="00242F8E"/>
    <w:rsid w:val="00242FFF"/>
    <w:rsid w:val="00243035"/>
    <w:rsid w:val="00243087"/>
    <w:rsid w:val="002430F2"/>
    <w:rsid w:val="0024311F"/>
    <w:rsid w:val="0024315A"/>
    <w:rsid w:val="0024325C"/>
    <w:rsid w:val="0024329E"/>
    <w:rsid w:val="00243301"/>
    <w:rsid w:val="00243516"/>
    <w:rsid w:val="002435A3"/>
    <w:rsid w:val="00243617"/>
    <w:rsid w:val="002436C1"/>
    <w:rsid w:val="00243817"/>
    <w:rsid w:val="0024381E"/>
    <w:rsid w:val="00243878"/>
    <w:rsid w:val="00243892"/>
    <w:rsid w:val="002438A5"/>
    <w:rsid w:val="00243901"/>
    <w:rsid w:val="00243AD0"/>
    <w:rsid w:val="00243C2D"/>
    <w:rsid w:val="00243C50"/>
    <w:rsid w:val="00243CB8"/>
    <w:rsid w:val="00243E9E"/>
    <w:rsid w:val="00243EDF"/>
    <w:rsid w:val="00243F41"/>
    <w:rsid w:val="00243F78"/>
    <w:rsid w:val="00243FC6"/>
    <w:rsid w:val="00244048"/>
    <w:rsid w:val="002440CC"/>
    <w:rsid w:val="00244155"/>
    <w:rsid w:val="00244236"/>
    <w:rsid w:val="002442FD"/>
    <w:rsid w:val="002443EC"/>
    <w:rsid w:val="002443EE"/>
    <w:rsid w:val="00244400"/>
    <w:rsid w:val="002444F0"/>
    <w:rsid w:val="00244618"/>
    <w:rsid w:val="00244665"/>
    <w:rsid w:val="002447A9"/>
    <w:rsid w:val="00244824"/>
    <w:rsid w:val="002448B8"/>
    <w:rsid w:val="002448EF"/>
    <w:rsid w:val="002448FC"/>
    <w:rsid w:val="0024494E"/>
    <w:rsid w:val="00244A0F"/>
    <w:rsid w:val="00244A1B"/>
    <w:rsid w:val="00244A1E"/>
    <w:rsid w:val="00244A1F"/>
    <w:rsid w:val="00244A7E"/>
    <w:rsid w:val="00244A89"/>
    <w:rsid w:val="00244A9B"/>
    <w:rsid w:val="00244AA9"/>
    <w:rsid w:val="00244AF0"/>
    <w:rsid w:val="00244B44"/>
    <w:rsid w:val="00244C61"/>
    <w:rsid w:val="00244C81"/>
    <w:rsid w:val="00244CA0"/>
    <w:rsid w:val="00244DD6"/>
    <w:rsid w:val="00244E6C"/>
    <w:rsid w:val="00244E88"/>
    <w:rsid w:val="00244F53"/>
    <w:rsid w:val="00244F5F"/>
    <w:rsid w:val="00245018"/>
    <w:rsid w:val="00245093"/>
    <w:rsid w:val="00245140"/>
    <w:rsid w:val="0024517E"/>
    <w:rsid w:val="002451CE"/>
    <w:rsid w:val="00245333"/>
    <w:rsid w:val="00245388"/>
    <w:rsid w:val="002453D0"/>
    <w:rsid w:val="0024540F"/>
    <w:rsid w:val="002454AE"/>
    <w:rsid w:val="002454E4"/>
    <w:rsid w:val="00245574"/>
    <w:rsid w:val="002455DC"/>
    <w:rsid w:val="00245611"/>
    <w:rsid w:val="00245655"/>
    <w:rsid w:val="00245694"/>
    <w:rsid w:val="0024571B"/>
    <w:rsid w:val="00245754"/>
    <w:rsid w:val="0024579F"/>
    <w:rsid w:val="002457DC"/>
    <w:rsid w:val="002457F1"/>
    <w:rsid w:val="00245809"/>
    <w:rsid w:val="00245858"/>
    <w:rsid w:val="0024586D"/>
    <w:rsid w:val="0024596A"/>
    <w:rsid w:val="0024596E"/>
    <w:rsid w:val="00245972"/>
    <w:rsid w:val="002459FE"/>
    <w:rsid w:val="00245B2D"/>
    <w:rsid w:val="00245B61"/>
    <w:rsid w:val="00245C3C"/>
    <w:rsid w:val="00245C68"/>
    <w:rsid w:val="00245C75"/>
    <w:rsid w:val="00245C86"/>
    <w:rsid w:val="00245CAD"/>
    <w:rsid w:val="00245CD7"/>
    <w:rsid w:val="00245D6A"/>
    <w:rsid w:val="00245E4E"/>
    <w:rsid w:val="00245EC4"/>
    <w:rsid w:val="00245F2C"/>
    <w:rsid w:val="00245F64"/>
    <w:rsid w:val="00245F85"/>
    <w:rsid w:val="00245F88"/>
    <w:rsid w:val="00245FCE"/>
    <w:rsid w:val="0024614F"/>
    <w:rsid w:val="0024621C"/>
    <w:rsid w:val="00246261"/>
    <w:rsid w:val="00246269"/>
    <w:rsid w:val="00246385"/>
    <w:rsid w:val="002464B8"/>
    <w:rsid w:val="002464BF"/>
    <w:rsid w:val="002465CD"/>
    <w:rsid w:val="002465FE"/>
    <w:rsid w:val="0024663B"/>
    <w:rsid w:val="0024684D"/>
    <w:rsid w:val="00246943"/>
    <w:rsid w:val="00246960"/>
    <w:rsid w:val="00246A09"/>
    <w:rsid w:val="00246A94"/>
    <w:rsid w:val="00246AC8"/>
    <w:rsid w:val="00246BAB"/>
    <w:rsid w:val="00246CB8"/>
    <w:rsid w:val="00246D14"/>
    <w:rsid w:val="00246D66"/>
    <w:rsid w:val="00246D8F"/>
    <w:rsid w:val="00246EF0"/>
    <w:rsid w:val="00246F89"/>
    <w:rsid w:val="0024702F"/>
    <w:rsid w:val="002471B6"/>
    <w:rsid w:val="00247253"/>
    <w:rsid w:val="00247310"/>
    <w:rsid w:val="002473C5"/>
    <w:rsid w:val="0024742D"/>
    <w:rsid w:val="00247443"/>
    <w:rsid w:val="002474F3"/>
    <w:rsid w:val="002475CB"/>
    <w:rsid w:val="00247690"/>
    <w:rsid w:val="002476B0"/>
    <w:rsid w:val="002476ED"/>
    <w:rsid w:val="00247770"/>
    <w:rsid w:val="002477A7"/>
    <w:rsid w:val="002477E5"/>
    <w:rsid w:val="002478D3"/>
    <w:rsid w:val="002479AA"/>
    <w:rsid w:val="00247AAE"/>
    <w:rsid w:val="00247AEB"/>
    <w:rsid w:val="00247BFB"/>
    <w:rsid w:val="00247C9D"/>
    <w:rsid w:val="00247D48"/>
    <w:rsid w:val="00247DF4"/>
    <w:rsid w:val="00247ECE"/>
    <w:rsid w:val="00247EDD"/>
    <w:rsid w:val="00247FDC"/>
    <w:rsid w:val="00250000"/>
    <w:rsid w:val="00250041"/>
    <w:rsid w:val="00250043"/>
    <w:rsid w:val="00250094"/>
    <w:rsid w:val="0025009E"/>
    <w:rsid w:val="00250149"/>
    <w:rsid w:val="0025014D"/>
    <w:rsid w:val="00250167"/>
    <w:rsid w:val="002501A2"/>
    <w:rsid w:val="00250204"/>
    <w:rsid w:val="002502BE"/>
    <w:rsid w:val="00250341"/>
    <w:rsid w:val="0025058E"/>
    <w:rsid w:val="002505B2"/>
    <w:rsid w:val="00250628"/>
    <w:rsid w:val="00250713"/>
    <w:rsid w:val="00250738"/>
    <w:rsid w:val="0025073D"/>
    <w:rsid w:val="00250757"/>
    <w:rsid w:val="00250779"/>
    <w:rsid w:val="002507C9"/>
    <w:rsid w:val="0025081D"/>
    <w:rsid w:val="00250861"/>
    <w:rsid w:val="002509D4"/>
    <w:rsid w:val="002509F6"/>
    <w:rsid w:val="00250ABD"/>
    <w:rsid w:val="00250ACB"/>
    <w:rsid w:val="00250B97"/>
    <w:rsid w:val="00250CAB"/>
    <w:rsid w:val="00250CCE"/>
    <w:rsid w:val="00250EA1"/>
    <w:rsid w:val="00250FAB"/>
    <w:rsid w:val="002510D3"/>
    <w:rsid w:val="00251109"/>
    <w:rsid w:val="00251125"/>
    <w:rsid w:val="00251151"/>
    <w:rsid w:val="002511F3"/>
    <w:rsid w:val="002512CE"/>
    <w:rsid w:val="002512F6"/>
    <w:rsid w:val="00251348"/>
    <w:rsid w:val="0025134F"/>
    <w:rsid w:val="0025143E"/>
    <w:rsid w:val="0025145B"/>
    <w:rsid w:val="00251489"/>
    <w:rsid w:val="002514D1"/>
    <w:rsid w:val="002515B0"/>
    <w:rsid w:val="0025171E"/>
    <w:rsid w:val="002517B0"/>
    <w:rsid w:val="002517EB"/>
    <w:rsid w:val="00251810"/>
    <w:rsid w:val="00251827"/>
    <w:rsid w:val="002518B7"/>
    <w:rsid w:val="002519B6"/>
    <w:rsid w:val="002519D1"/>
    <w:rsid w:val="00251A04"/>
    <w:rsid w:val="00251AC4"/>
    <w:rsid w:val="00251BA6"/>
    <w:rsid w:val="00251CF6"/>
    <w:rsid w:val="00251DD8"/>
    <w:rsid w:val="00251E1C"/>
    <w:rsid w:val="00251EAA"/>
    <w:rsid w:val="00251ED5"/>
    <w:rsid w:val="00251FE1"/>
    <w:rsid w:val="00252051"/>
    <w:rsid w:val="00252068"/>
    <w:rsid w:val="002520B8"/>
    <w:rsid w:val="00252101"/>
    <w:rsid w:val="0025213B"/>
    <w:rsid w:val="00252284"/>
    <w:rsid w:val="002522E1"/>
    <w:rsid w:val="00252349"/>
    <w:rsid w:val="00252434"/>
    <w:rsid w:val="00252531"/>
    <w:rsid w:val="0025257D"/>
    <w:rsid w:val="00252591"/>
    <w:rsid w:val="002525AB"/>
    <w:rsid w:val="0025262F"/>
    <w:rsid w:val="002526F7"/>
    <w:rsid w:val="0025270D"/>
    <w:rsid w:val="0025272F"/>
    <w:rsid w:val="00252733"/>
    <w:rsid w:val="00252740"/>
    <w:rsid w:val="00252745"/>
    <w:rsid w:val="002527C2"/>
    <w:rsid w:val="002527D7"/>
    <w:rsid w:val="00252848"/>
    <w:rsid w:val="0025285D"/>
    <w:rsid w:val="002528B2"/>
    <w:rsid w:val="002529B4"/>
    <w:rsid w:val="00252A5E"/>
    <w:rsid w:val="00252A73"/>
    <w:rsid w:val="00252A9E"/>
    <w:rsid w:val="00252B47"/>
    <w:rsid w:val="00252BC6"/>
    <w:rsid w:val="00252C41"/>
    <w:rsid w:val="00252C71"/>
    <w:rsid w:val="00252CCC"/>
    <w:rsid w:val="00252D54"/>
    <w:rsid w:val="00252DED"/>
    <w:rsid w:val="00252E00"/>
    <w:rsid w:val="00252E44"/>
    <w:rsid w:val="00252EE4"/>
    <w:rsid w:val="00252F76"/>
    <w:rsid w:val="00252FD7"/>
    <w:rsid w:val="00252FE8"/>
    <w:rsid w:val="00253008"/>
    <w:rsid w:val="0025300E"/>
    <w:rsid w:val="002530F9"/>
    <w:rsid w:val="00253103"/>
    <w:rsid w:val="00253104"/>
    <w:rsid w:val="002531BB"/>
    <w:rsid w:val="0025355F"/>
    <w:rsid w:val="002535AA"/>
    <w:rsid w:val="00253633"/>
    <w:rsid w:val="0025380F"/>
    <w:rsid w:val="002538E7"/>
    <w:rsid w:val="00253919"/>
    <w:rsid w:val="002539CF"/>
    <w:rsid w:val="00253B2B"/>
    <w:rsid w:val="00253C04"/>
    <w:rsid w:val="00253C13"/>
    <w:rsid w:val="00253C15"/>
    <w:rsid w:val="00253C7E"/>
    <w:rsid w:val="00253D00"/>
    <w:rsid w:val="00253D6C"/>
    <w:rsid w:val="00253D7C"/>
    <w:rsid w:val="00253EBB"/>
    <w:rsid w:val="00253EED"/>
    <w:rsid w:val="00253FD8"/>
    <w:rsid w:val="00254062"/>
    <w:rsid w:val="00254315"/>
    <w:rsid w:val="00254356"/>
    <w:rsid w:val="002543B2"/>
    <w:rsid w:val="00254439"/>
    <w:rsid w:val="00254441"/>
    <w:rsid w:val="0025454B"/>
    <w:rsid w:val="002545BD"/>
    <w:rsid w:val="00254607"/>
    <w:rsid w:val="0025464E"/>
    <w:rsid w:val="0025470E"/>
    <w:rsid w:val="0025482A"/>
    <w:rsid w:val="002548AB"/>
    <w:rsid w:val="002548AD"/>
    <w:rsid w:val="002548BA"/>
    <w:rsid w:val="002548D5"/>
    <w:rsid w:val="002548E3"/>
    <w:rsid w:val="002549E4"/>
    <w:rsid w:val="002549EF"/>
    <w:rsid w:val="002549F7"/>
    <w:rsid w:val="00254A20"/>
    <w:rsid w:val="00254A81"/>
    <w:rsid w:val="00254BE9"/>
    <w:rsid w:val="00254C75"/>
    <w:rsid w:val="00254C92"/>
    <w:rsid w:val="00254D2A"/>
    <w:rsid w:val="00254D6B"/>
    <w:rsid w:val="00254E4C"/>
    <w:rsid w:val="002550FD"/>
    <w:rsid w:val="0025515B"/>
    <w:rsid w:val="00255255"/>
    <w:rsid w:val="00255258"/>
    <w:rsid w:val="00255261"/>
    <w:rsid w:val="00255347"/>
    <w:rsid w:val="0025553A"/>
    <w:rsid w:val="002555BC"/>
    <w:rsid w:val="002555DC"/>
    <w:rsid w:val="002556A3"/>
    <w:rsid w:val="002556E3"/>
    <w:rsid w:val="0025577D"/>
    <w:rsid w:val="00255899"/>
    <w:rsid w:val="002558D4"/>
    <w:rsid w:val="002558E1"/>
    <w:rsid w:val="002559AA"/>
    <w:rsid w:val="00255B2F"/>
    <w:rsid w:val="00255B30"/>
    <w:rsid w:val="00255BAE"/>
    <w:rsid w:val="00255C29"/>
    <w:rsid w:val="00255C4A"/>
    <w:rsid w:val="00255C90"/>
    <w:rsid w:val="00255CB7"/>
    <w:rsid w:val="00255D05"/>
    <w:rsid w:val="00255DD1"/>
    <w:rsid w:val="00255E57"/>
    <w:rsid w:val="00255E5A"/>
    <w:rsid w:val="00255E7A"/>
    <w:rsid w:val="00255EEB"/>
    <w:rsid w:val="00255F30"/>
    <w:rsid w:val="00255F45"/>
    <w:rsid w:val="00255FA3"/>
    <w:rsid w:val="00256078"/>
    <w:rsid w:val="002560C2"/>
    <w:rsid w:val="002560E5"/>
    <w:rsid w:val="00256132"/>
    <w:rsid w:val="00256140"/>
    <w:rsid w:val="0025615E"/>
    <w:rsid w:val="002561B6"/>
    <w:rsid w:val="00256240"/>
    <w:rsid w:val="0025624B"/>
    <w:rsid w:val="002562A8"/>
    <w:rsid w:val="002563D8"/>
    <w:rsid w:val="0025646C"/>
    <w:rsid w:val="00256484"/>
    <w:rsid w:val="00256816"/>
    <w:rsid w:val="0025687E"/>
    <w:rsid w:val="002568B2"/>
    <w:rsid w:val="0025692A"/>
    <w:rsid w:val="0025697A"/>
    <w:rsid w:val="00256987"/>
    <w:rsid w:val="002569C3"/>
    <w:rsid w:val="002569D5"/>
    <w:rsid w:val="00256A1D"/>
    <w:rsid w:val="00256A30"/>
    <w:rsid w:val="00256A87"/>
    <w:rsid w:val="00256B49"/>
    <w:rsid w:val="00256BBD"/>
    <w:rsid w:val="00256BEB"/>
    <w:rsid w:val="00256BF6"/>
    <w:rsid w:val="00256C5A"/>
    <w:rsid w:val="00256C90"/>
    <w:rsid w:val="00256C97"/>
    <w:rsid w:val="00256CB1"/>
    <w:rsid w:val="00256D93"/>
    <w:rsid w:val="00256E42"/>
    <w:rsid w:val="00256E7F"/>
    <w:rsid w:val="00256F01"/>
    <w:rsid w:val="00256F66"/>
    <w:rsid w:val="00256F7F"/>
    <w:rsid w:val="00256FA5"/>
    <w:rsid w:val="00257060"/>
    <w:rsid w:val="0025715B"/>
    <w:rsid w:val="00257245"/>
    <w:rsid w:val="00257359"/>
    <w:rsid w:val="002573EA"/>
    <w:rsid w:val="0025747C"/>
    <w:rsid w:val="00257480"/>
    <w:rsid w:val="002574EC"/>
    <w:rsid w:val="002575BD"/>
    <w:rsid w:val="002576C0"/>
    <w:rsid w:val="0025773F"/>
    <w:rsid w:val="00257827"/>
    <w:rsid w:val="002578A1"/>
    <w:rsid w:val="0025790B"/>
    <w:rsid w:val="0025791B"/>
    <w:rsid w:val="00257B6F"/>
    <w:rsid w:val="00257B9D"/>
    <w:rsid w:val="00257C0D"/>
    <w:rsid w:val="00257C34"/>
    <w:rsid w:val="00257C57"/>
    <w:rsid w:val="00257CAC"/>
    <w:rsid w:val="00257D15"/>
    <w:rsid w:val="00257D6F"/>
    <w:rsid w:val="00257EA8"/>
    <w:rsid w:val="00257EE1"/>
    <w:rsid w:val="00260284"/>
    <w:rsid w:val="002602AE"/>
    <w:rsid w:val="002603FB"/>
    <w:rsid w:val="00260497"/>
    <w:rsid w:val="002604D6"/>
    <w:rsid w:val="0026063E"/>
    <w:rsid w:val="0026069D"/>
    <w:rsid w:val="00260752"/>
    <w:rsid w:val="00260793"/>
    <w:rsid w:val="00260883"/>
    <w:rsid w:val="00260A54"/>
    <w:rsid w:val="00260B1B"/>
    <w:rsid w:val="00260B3C"/>
    <w:rsid w:val="00260C54"/>
    <w:rsid w:val="00260C77"/>
    <w:rsid w:val="00260C8B"/>
    <w:rsid w:val="00260D30"/>
    <w:rsid w:val="00260D5E"/>
    <w:rsid w:val="00260D8C"/>
    <w:rsid w:val="00260D97"/>
    <w:rsid w:val="00260DF8"/>
    <w:rsid w:val="00260E19"/>
    <w:rsid w:val="00260E99"/>
    <w:rsid w:val="00260EF5"/>
    <w:rsid w:val="00260FC7"/>
    <w:rsid w:val="00261149"/>
    <w:rsid w:val="00261183"/>
    <w:rsid w:val="002613B3"/>
    <w:rsid w:val="00261421"/>
    <w:rsid w:val="002614C4"/>
    <w:rsid w:val="00261527"/>
    <w:rsid w:val="00261530"/>
    <w:rsid w:val="002615EF"/>
    <w:rsid w:val="0026160C"/>
    <w:rsid w:val="0026161C"/>
    <w:rsid w:val="002616CF"/>
    <w:rsid w:val="00261714"/>
    <w:rsid w:val="00261718"/>
    <w:rsid w:val="0026177A"/>
    <w:rsid w:val="00261790"/>
    <w:rsid w:val="0026179E"/>
    <w:rsid w:val="0026179F"/>
    <w:rsid w:val="002617FF"/>
    <w:rsid w:val="002618EA"/>
    <w:rsid w:val="002619F8"/>
    <w:rsid w:val="00261A59"/>
    <w:rsid w:val="00261B3C"/>
    <w:rsid w:val="00261D16"/>
    <w:rsid w:val="00261DE8"/>
    <w:rsid w:val="00261E96"/>
    <w:rsid w:val="00261EA5"/>
    <w:rsid w:val="00261EFA"/>
    <w:rsid w:val="00261F4C"/>
    <w:rsid w:val="00261FB8"/>
    <w:rsid w:val="002620A7"/>
    <w:rsid w:val="00262181"/>
    <w:rsid w:val="00262203"/>
    <w:rsid w:val="002622A8"/>
    <w:rsid w:val="00262326"/>
    <w:rsid w:val="0026236A"/>
    <w:rsid w:val="00262370"/>
    <w:rsid w:val="00262381"/>
    <w:rsid w:val="002623AE"/>
    <w:rsid w:val="002623EE"/>
    <w:rsid w:val="0026248B"/>
    <w:rsid w:val="0026250F"/>
    <w:rsid w:val="00262522"/>
    <w:rsid w:val="002625F6"/>
    <w:rsid w:val="0026272C"/>
    <w:rsid w:val="0026274A"/>
    <w:rsid w:val="0026274C"/>
    <w:rsid w:val="002627ED"/>
    <w:rsid w:val="00262806"/>
    <w:rsid w:val="0026282A"/>
    <w:rsid w:val="00262892"/>
    <w:rsid w:val="002628DA"/>
    <w:rsid w:val="00262922"/>
    <w:rsid w:val="002629D2"/>
    <w:rsid w:val="00262AC4"/>
    <w:rsid w:val="00262D3A"/>
    <w:rsid w:val="00262D76"/>
    <w:rsid w:val="00262DAC"/>
    <w:rsid w:val="00262DE7"/>
    <w:rsid w:val="00262E9B"/>
    <w:rsid w:val="00262ED1"/>
    <w:rsid w:val="00263009"/>
    <w:rsid w:val="00263039"/>
    <w:rsid w:val="00263046"/>
    <w:rsid w:val="002630AD"/>
    <w:rsid w:val="002631F0"/>
    <w:rsid w:val="00263227"/>
    <w:rsid w:val="0026324D"/>
    <w:rsid w:val="002632E0"/>
    <w:rsid w:val="002632F2"/>
    <w:rsid w:val="002634CE"/>
    <w:rsid w:val="0026352B"/>
    <w:rsid w:val="00263669"/>
    <w:rsid w:val="002636F8"/>
    <w:rsid w:val="002637D1"/>
    <w:rsid w:val="00263934"/>
    <w:rsid w:val="00263958"/>
    <w:rsid w:val="00263A5D"/>
    <w:rsid w:val="00263A6C"/>
    <w:rsid w:val="00263BB3"/>
    <w:rsid w:val="00263C8F"/>
    <w:rsid w:val="00263DCC"/>
    <w:rsid w:val="00263DDD"/>
    <w:rsid w:val="00263EE3"/>
    <w:rsid w:val="00263F23"/>
    <w:rsid w:val="00263FFF"/>
    <w:rsid w:val="0026408A"/>
    <w:rsid w:val="002640C4"/>
    <w:rsid w:val="002640CC"/>
    <w:rsid w:val="0026410C"/>
    <w:rsid w:val="002641CD"/>
    <w:rsid w:val="0026423E"/>
    <w:rsid w:val="0026434E"/>
    <w:rsid w:val="002643B4"/>
    <w:rsid w:val="002643E9"/>
    <w:rsid w:val="00264490"/>
    <w:rsid w:val="00264534"/>
    <w:rsid w:val="0026454E"/>
    <w:rsid w:val="0026459A"/>
    <w:rsid w:val="002645F9"/>
    <w:rsid w:val="0026470E"/>
    <w:rsid w:val="0026477B"/>
    <w:rsid w:val="0026480A"/>
    <w:rsid w:val="00264850"/>
    <w:rsid w:val="0026486B"/>
    <w:rsid w:val="002648B7"/>
    <w:rsid w:val="002648D5"/>
    <w:rsid w:val="0026494E"/>
    <w:rsid w:val="00264959"/>
    <w:rsid w:val="002649BF"/>
    <w:rsid w:val="002649E7"/>
    <w:rsid w:val="00264A0F"/>
    <w:rsid w:val="00264A32"/>
    <w:rsid w:val="00264AD3"/>
    <w:rsid w:val="00264B20"/>
    <w:rsid w:val="00264B27"/>
    <w:rsid w:val="00264B7A"/>
    <w:rsid w:val="00264D93"/>
    <w:rsid w:val="00264DEF"/>
    <w:rsid w:val="00264F32"/>
    <w:rsid w:val="00264F9B"/>
    <w:rsid w:val="0026506E"/>
    <w:rsid w:val="002650CB"/>
    <w:rsid w:val="00265164"/>
    <w:rsid w:val="0026517F"/>
    <w:rsid w:val="00265180"/>
    <w:rsid w:val="00265250"/>
    <w:rsid w:val="00265307"/>
    <w:rsid w:val="0026531E"/>
    <w:rsid w:val="0026533F"/>
    <w:rsid w:val="00265342"/>
    <w:rsid w:val="0026548F"/>
    <w:rsid w:val="00265518"/>
    <w:rsid w:val="0026551E"/>
    <w:rsid w:val="00265590"/>
    <w:rsid w:val="002655D8"/>
    <w:rsid w:val="002655E4"/>
    <w:rsid w:val="0026563A"/>
    <w:rsid w:val="00265664"/>
    <w:rsid w:val="002657AF"/>
    <w:rsid w:val="002658E8"/>
    <w:rsid w:val="002659A5"/>
    <w:rsid w:val="00265AA7"/>
    <w:rsid w:val="00265AF0"/>
    <w:rsid w:val="00265B06"/>
    <w:rsid w:val="00265BCA"/>
    <w:rsid w:val="00265BE6"/>
    <w:rsid w:val="00265C48"/>
    <w:rsid w:val="00265CA3"/>
    <w:rsid w:val="00265CC3"/>
    <w:rsid w:val="00265CDF"/>
    <w:rsid w:val="00265D16"/>
    <w:rsid w:val="00265D70"/>
    <w:rsid w:val="00265E0B"/>
    <w:rsid w:val="00265EB3"/>
    <w:rsid w:val="00265EEE"/>
    <w:rsid w:val="00265EFC"/>
    <w:rsid w:val="00265F5C"/>
    <w:rsid w:val="00266007"/>
    <w:rsid w:val="002661CB"/>
    <w:rsid w:val="002661DF"/>
    <w:rsid w:val="0026629B"/>
    <w:rsid w:val="002662D0"/>
    <w:rsid w:val="002662D8"/>
    <w:rsid w:val="0026638A"/>
    <w:rsid w:val="00266429"/>
    <w:rsid w:val="002665F6"/>
    <w:rsid w:val="0026669A"/>
    <w:rsid w:val="00266732"/>
    <w:rsid w:val="002667A2"/>
    <w:rsid w:val="002668D5"/>
    <w:rsid w:val="00266906"/>
    <w:rsid w:val="00266A49"/>
    <w:rsid w:val="00266AF7"/>
    <w:rsid w:val="00266B5F"/>
    <w:rsid w:val="00266BE2"/>
    <w:rsid w:val="00266C5D"/>
    <w:rsid w:val="00266CE6"/>
    <w:rsid w:val="00266CF2"/>
    <w:rsid w:val="00266D12"/>
    <w:rsid w:val="00266D4C"/>
    <w:rsid w:val="00266DC4"/>
    <w:rsid w:val="00266E2A"/>
    <w:rsid w:val="00266E62"/>
    <w:rsid w:val="00266EA6"/>
    <w:rsid w:val="00266FA4"/>
    <w:rsid w:val="00266FF4"/>
    <w:rsid w:val="002670DC"/>
    <w:rsid w:val="002670EA"/>
    <w:rsid w:val="002670EB"/>
    <w:rsid w:val="002671D2"/>
    <w:rsid w:val="00267201"/>
    <w:rsid w:val="0026723E"/>
    <w:rsid w:val="0026734C"/>
    <w:rsid w:val="00267402"/>
    <w:rsid w:val="0026742D"/>
    <w:rsid w:val="0026746D"/>
    <w:rsid w:val="00267569"/>
    <w:rsid w:val="0026761C"/>
    <w:rsid w:val="0026766F"/>
    <w:rsid w:val="00267695"/>
    <w:rsid w:val="002676A8"/>
    <w:rsid w:val="002676D5"/>
    <w:rsid w:val="0026774B"/>
    <w:rsid w:val="0026776B"/>
    <w:rsid w:val="0026783C"/>
    <w:rsid w:val="0026788E"/>
    <w:rsid w:val="0026793C"/>
    <w:rsid w:val="00267994"/>
    <w:rsid w:val="002679EE"/>
    <w:rsid w:val="00267B71"/>
    <w:rsid w:val="00267BCD"/>
    <w:rsid w:val="00267D01"/>
    <w:rsid w:val="00267D1D"/>
    <w:rsid w:val="00267D86"/>
    <w:rsid w:val="00267DA1"/>
    <w:rsid w:val="00267E0A"/>
    <w:rsid w:val="00267E2F"/>
    <w:rsid w:val="00267E7C"/>
    <w:rsid w:val="00267E96"/>
    <w:rsid w:val="00267F09"/>
    <w:rsid w:val="002700D9"/>
    <w:rsid w:val="00270135"/>
    <w:rsid w:val="00270172"/>
    <w:rsid w:val="00270188"/>
    <w:rsid w:val="002701FD"/>
    <w:rsid w:val="00270240"/>
    <w:rsid w:val="00270289"/>
    <w:rsid w:val="002703EE"/>
    <w:rsid w:val="00270454"/>
    <w:rsid w:val="0027055F"/>
    <w:rsid w:val="002705AB"/>
    <w:rsid w:val="002705F5"/>
    <w:rsid w:val="00270607"/>
    <w:rsid w:val="00270643"/>
    <w:rsid w:val="00270672"/>
    <w:rsid w:val="00270699"/>
    <w:rsid w:val="0027073D"/>
    <w:rsid w:val="00270867"/>
    <w:rsid w:val="00270896"/>
    <w:rsid w:val="0027090B"/>
    <w:rsid w:val="0027098F"/>
    <w:rsid w:val="002709EF"/>
    <w:rsid w:val="00270A20"/>
    <w:rsid w:val="00270DCE"/>
    <w:rsid w:val="00270E0E"/>
    <w:rsid w:val="00270E33"/>
    <w:rsid w:val="00270F63"/>
    <w:rsid w:val="00270FF7"/>
    <w:rsid w:val="0027100E"/>
    <w:rsid w:val="00271122"/>
    <w:rsid w:val="002711A4"/>
    <w:rsid w:val="002712C3"/>
    <w:rsid w:val="00271341"/>
    <w:rsid w:val="002713CB"/>
    <w:rsid w:val="002713E2"/>
    <w:rsid w:val="0027156B"/>
    <w:rsid w:val="0027157C"/>
    <w:rsid w:val="00271788"/>
    <w:rsid w:val="002717B1"/>
    <w:rsid w:val="002717C4"/>
    <w:rsid w:val="00271827"/>
    <w:rsid w:val="0027187A"/>
    <w:rsid w:val="002718F8"/>
    <w:rsid w:val="002718F9"/>
    <w:rsid w:val="00271A42"/>
    <w:rsid w:val="00271A90"/>
    <w:rsid w:val="00271AF0"/>
    <w:rsid w:val="00271B81"/>
    <w:rsid w:val="00271BF7"/>
    <w:rsid w:val="00271C84"/>
    <w:rsid w:val="00271CB2"/>
    <w:rsid w:val="00271EDE"/>
    <w:rsid w:val="00271F1C"/>
    <w:rsid w:val="00271FB5"/>
    <w:rsid w:val="00271FBE"/>
    <w:rsid w:val="0027203C"/>
    <w:rsid w:val="00272044"/>
    <w:rsid w:val="00272066"/>
    <w:rsid w:val="00272174"/>
    <w:rsid w:val="0027217F"/>
    <w:rsid w:val="002721AB"/>
    <w:rsid w:val="00272231"/>
    <w:rsid w:val="00272244"/>
    <w:rsid w:val="002722F4"/>
    <w:rsid w:val="00272314"/>
    <w:rsid w:val="00272364"/>
    <w:rsid w:val="002723DA"/>
    <w:rsid w:val="002723F8"/>
    <w:rsid w:val="0027256D"/>
    <w:rsid w:val="0027262E"/>
    <w:rsid w:val="00272653"/>
    <w:rsid w:val="0027265F"/>
    <w:rsid w:val="002726EE"/>
    <w:rsid w:val="00272725"/>
    <w:rsid w:val="002727E3"/>
    <w:rsid w:val="00272808"/>
    <w:rsid w:val="0027282F"/>
    <w:rsid w:val="002728D4"/>
    <w:rsid w:val="002728FD"/>
    <w:rsid w:val="00272979"/>
    <w:rsid w:val="00272986"/>
    <w:rsid w:val="002729FA"/>
    <w:rsid w:val="00272A53"/>
    <w:rsid w:val="00272C45"/>
    <w:rsid w:val="00272CD0"/>
    <w:rsid w:val="00272DE5"/>
    <w:rsid w:val="00272E96"/>
    <w:rsid w:val="00272EA5"/>
    <w:rsid w:val="00272EEA"/>
    <w:rsid w:val="00272FC2"/>
    <w:rsid w:val="00272FC3"/>
    <w:rsid w:val="00273154"/>
    <w:rsid w:val="002731A0"/>
    <w:rsid w:val="002731E9"/>
    <w:rsid w:val="00273204"/>
    <w:rsid w:val="0027330B"/>
    <w:rsid w:val="002733A2"/>
    <w:rsid w:val="002733D0"/>
    <w:rsid w:val="002734DF"/>
    <w:rsid w:val="0027354A"/>
    <w:rsid w:val="002735BB"/>
    <w:rsid w:val="002736D7"/>
    <w:rsid w:val="00273762"/>
    <w:rsid w:val="002738E4"/>
    <w:rsid w:val="00273A37"/>
    <w:rsid w:val="00273A66"/>
    <w:rsid w:val="00273DBD"/>
    <w:rsid w:val="00273DD2"/>
    <w:rsid w:val="00273E10"/>
    <w:rsid w:val="00273EEA"/>
    <w:rsid w:val="00273FF1"/>
    <w:rsid w:val="002740EB"/>
    <w:rsid w:val="00274155"/>
    <w:rsid w:val="00274210"/>
    <w:rsid w:val="00274231"/>
    <w:rsid w:val="00274291"/>
    <w:rsid w:val="002743E3"/>
    <w:rsid w:val="002743F3"/>
    <w:rsid w:val="00274440"/>
    <w:rsid w:val="00274555"/>
    <w:rsid w:val="002746B1"/>
    <w:rsid w:val="00274756"/>
    <w:rsid w:val="002748F8"/>
    <w:rsid w:val="002749D3"/>
    <w:rsid w:val="00274A0B"/>
    <w:rsid w:val="00274A3D"/>
    <w:rsid w:val="00274B8A"/>
    <w:rsid w:val="00274EF6"/>
    <w:rsid w:val="00274F17"/>
    <w:rsid w:val="00274FFF"/>
    <w:rsid w:val="00275026"/>
    <w:rsid w:val="002750B4"/>
    <w:rsid w:val="002750C8"/>
    <w:rsid w:val="002751B4"/>
    <w:rsid w:val="002751D1"/>
    <w:rsid w:val="00275209"/>
    <w:rsid w:val="00275228"/>
    <w:rsid w:val="002752D2"/>
    <w:rsid w:val="002752EA"/>
    <w:rsid w:val="00275346"/>
    <w:rsid w:val="00275495"/>
    <w:rsid w:val="00275533"/>
    <w:rsid w:val="0027559C"/>
    <w:rsid w:val="002755DD"/>
    <w:rsid w:val="00275614"/>
    <w:rsid w:val="0027562A"/>
    <w:rsid w:val="002756ED"/>
    <w:rsid w:val="0027571A"/>
    <w:rsid w:val="0027575E"/>
    <w:rsid w:val="0027578E"/>
    <w:rsid w:val="002757C9"/>
    <w:rsid w:val="002758C7"/>
    <w:rsid w:val="00275924"/>
    <w:rsid w:val="00275A12"/>
    <w:rsid w:val="00275A23"/>
    <w:rsid w:val="00275C08"/>
    <w:rsid w:val="00275D0D"/>
    <w:rsid w:val="00275D2A"/>
    <w:rsid w:val="00275DBB"/>
    <w:rsid w:val="00275E25"/>
    <w:rsid w:val="002760AE"/>
    <w:rsid w:val="00276150"/>
    <w:rsid w:val="002762D3"/>
    <w:rsid w:val="002762D9"/>
    <w:rsid w:val="00276500"/>
    <w:rsid w:val="00276566"/>
    <w:rsid w:val="002765B3"/>
    <w:rsid w:val="002765B5"/>
    <w:rsid w:val="002765E3"/>
    <w:rsid w:val="00276618"/>
    <w:rsid w:val="00276623"/>
    <w:rsid w:val="0027670C"/>
    <w:rsid w:val="00276714"/>
    <w:rsid w:val="002767C2"/>
    <w:rsid w:val="00276809"/>
    <w:rsid w:val="00276826"/>
    <w:rsid w:val="002768CB"/>
    <w:rsid w:val="00276A45"/>
    <w:rsid w:val="00276A72"/>
    <w:rsid w:val="00276AE9"/>
    <w:rsid w:val="00276B80"/>
    <w:rsid w:val="00276D93"/>
    <w:rsid w:val="00276E93"/>
    <w:rsid w:val="00276F89"/>
    <w:rsid w:val="00276FA1"/>
    <w:rsid w:val="00276FAA"/>
    <w:rsid w:val="0027700A"/>
    <w:rsid w:val="00277039"/>
    <w:rsid w:val="0027714C"/>
    <w:rsid w:val="00277234"/>
    <w:rsid w:val="002772B6"/>
    <w:rsid w:val="00277309"/>
    <w:rsid w:val="0027738A"/>
    <w:rsid w:val="002773C6"/>
    <w:rsid w:val="002774A5"/>
    <w:rsid w:val="002774EE"/>
    <w:rsid w:val="0027768A"/>
    <w:rsid w:val="00277757"/>
    <w:rsid w:val="002777EF"/>
    <w:rsid w:val="00277807"/>
    <w:rsid w:val="00277894"/>
    <w:rsid w:val="0027791C"/>
    <w:rsid w:val="0027798E"/>
    <w:rsid w:val="0027799D"/>
    <w:rsid w:val="00277A29"/>
    <w:rsid w:val="00277B38"/>
    <w:rsid w:val="00277B4D"/>
    <w:rsid w:val="00277BCA"/>
    <w:rsid w:val="00277D66"/>
    <w:rsid w:val="00277D84"/>
    <w:rsid w:val="00277D88"/>
    <w:rsid w:val="00277DAF"/>
    <w:rsid w:val="00277EF7"/>
    <w:rsid w:val="00277F68"/>
    <w:rsid w:val="00277FD1"/>
    <w:rsid w:val="00280034"/>
    <w:rsid w:val="002800DB"/>
    <w:rsid w:val="002800E6"/>
    <w:rsid w:val="002800EE"/>
    <w:rsid w:val="002800FF"/>
    <w:rsid w:val="00280155"/>
    <w:rsid w:val="002801F5"/>
    <w:rsid w:val="00280260"/>
    <w:rsid w:val="00280350"/>
    <w:rsid w:val="00280404"/>
    <w:rsid w:val="00280509"/>
    <w:rsid w:val="002806B7"/>
    <w:rsid w:val="002807F7"/>
    <w:rsid w:val="00280801"/>
    <w:rsid w:val="00280A43"/>
    <w:rsid w:val="00280B36"/>
    <w:rsid w:val="00280B9A"/>
    <w:rsid w:val="00280BBF"/>
    <w:rsid w:val="00280CC4"/>
    <w:rsid w:val="00280E6C"/>
    <w:rsid w:val="00280E7F"/>
    <w:rsid w:val="00280F64"/>
    <w:rsid w:val="00280F7A"/>
    <w:rsid w:val="002810D1"/>
    <w:rsid w:val="002810E1"/>
    <w:rsid w:val="002811B6"/>
    <w:rsid w:val="002811C4"/>
    <w:rsid w:val="002811E7"/>
    <w:rsid w:val="00281215"/>
    <w:rsid w:val="002812A3"/>
    <w:rsid w:val="002812A9"/>
    <w:rsid w:val="0028134E"/>
    <w:rsid w:val="0028142E"/>
    <w:rsid w:val="00281544"/>
    <w:rsid w:val="0028156F"/>
    <w:rsid w:val="00281577"/>
    <w:rsid w:val="00281696"/>
    <w:rsid w:val="002816D0"/>
    <w:rsid w:val="0028184D"/>
    <w:rsid w:val="00281865"/>
    <w:rsid w:val="002818CC"/>
    <w:rsid w:val="002818D3"/>
    <w:rsid w:val="00281B23"/>
    <w:rsid w:val="00281B25"/>
    <w:rsid w:val="00281B69"/>
    <w:rsid w:val="00281BBB"/>
    <w:rsid w:val="00281BCD"/>
    <w:rsid w:val="00281C59"/>
    <w:rsid w:val="00281CC8"/>
    <w:rsid w:val="00281D5E"/>
    <w:rsid w:val="00281DA6"/>
    <w:rsid w:val="00281DF8"/>
    <w:rsid w:val="00281E37"/>
    <w:rsid w:val="00281EEF"/>
    <w:rsid w:val="00281EF2"/>
    <w:rsid w:val="00281FA0"/>
    <w:rsid w:val="00281FA4"/>
    <w:rsid w:val="00281FA6"/>
    <w:rsid w:val="002820EB"/>
    <w:rsid w:val="00282129"/>
    <w:rsid w:val="00282146"/>
    <w:rsid w:val="0028222F"/>
    <w:rsid w:val="0028223E"/>
    <w:rsid w:val="00282257"/>
    <w:rsid w:val="0028228E"/>
    <w:rsid w:val="00282312"/>
    <w:rsid w:val="00282456"/>
    <w:rsid w:val="002824A5"/>
    <w:rsid w:val="002824EB"/>
    <w:rsid w:val="00282508"/>
    <w:rsid w:val="00282595"/>
    <w:rsid w:val="002826A5"/>
    <w:rsid w:val="0028273A"/>
    <w:rsid w:val="002827F0"/>
    <w:rsid w:val="00282946"/>
    <w:rsid w:val="0028299C"/>
    <w:rsid w:val="002829D2"/>
    <w:rsid w:val="00282A43"/>
    <w:rsid w:val="00282BE5"/>
    <w:rsid w:val="00282BF2"/>
    <w:rsid w:val="00282D5F"/>
    <w:rsid w:val="00282D9F"/>
    <w:rsid w:val="00282E3E"/>
    <w:rsid w:val="00282E75"/>
    <w:rsid w:val="00282F4D"/>
    <w:rsid w:val="00283121"/>
    <w:rsid w:val="00283175"/>
    <w:rsid w:val="002831D9"/>
    <w:rsid w:val="00283219"/>
    <w:rsid w:val="00283288"/>
    <w:rsid w:val="0028341B"/>
    <w:rsid w:val="002834B1"/>
    <w:rsid w:val="002834D1"/>
    <w:rsid w:val="00283541"/>
    <w:rsid w:val="00283547"/>
    <w:rsid w:val="00283565"/>
    <w:rsid w:val="002835ED"/>
    <w:rsid w:val="00283610"/>
    <w:rsid w:val="00283749"/>
    <w:rsid w:val="00283764"/>
    <w:rsid w:val="002837BC"/>
    <w:rsid w:val="0028391E"/>
    <w:rsid w:val="00283927"/>
    <w:rsid w:val="00283938"/>
    <w:rsid w:val="0028393B"/>
    <w:rsid w:val="00283984"/>
    <w:rsid w:val="002839A1"/>
    <w:rsid w:val="00283B49"/>
    <w:rsid w:val="00283B9F"/>
    <w:rsid w:val="00283BE8"/>
    <w:rsid w:val="00283CA7"/>
    <w:rsid w:val="00283D6A"/>
    <w:rsid w:val="00283E2A"/>
    <w:rsid w:val="00283EBA"/>
    <w:rsid w:val="00283ECB"/>
    <w:rsid w:val="00283EEF"/>
    <w:rsid w:val="00283F19"/>
    <w:rsid w:val="00283F4D"/>
    <w:rsid w:val="00284000"/>
    <w:rsid w:val="002840E8"/>
    <w:rsid w:val="002842C0"/>
    <w:rsid w:val="002842D7"/>
    <w:rsid w:val="002842E4"/>
    <w:rsid w:val="002842F6"/>
    <w:rsid w:val="00284314"/>
    <w:rsid w:val="002843AE"/>
    <w:rsid w:val="00284497"/>
    <w:rsid w:val="0028449F"/>
    <w:rsid w:val="002844C0"/>
    <w:rsid w:val="002844CC"/>
    <w:rsid w:val="002845BD"/>
    <w:rsid w:val="0028461F"/>
    <w:rsid w:val="00284679"/>
    <w:rsid w:val="002846AC"/>
    <w:rsid w:val="0028470B"/>
    <w:rsid w:val="002848D2"/>
    <w:rsid w:val="00284933"/>
    <w:rsid w:val="0028497B"/>
    <w:rsid w:val="002849F7"/>
    <w:rsid w:val="00284B54"/>
    <w:rsid w:val="00284C76"/>
    <w:rsid w:val="00284E2F"/>
    <w:rsid w:val="00284F0E"/>
    <w:rsid w:val="00284F49"/>
    <w:rsid w:val="002850A1"/>
    <w:rsid w:val="00285110"/>
    <w:rsid w:val="00285142"/>
    <w:rsid w:val="00285191"/>
    <w:rsid w:val="0028521D"/>
    <w:rsid w:val="00285379"/>
    <w:rsid w:val="002853A5"/>
    <w:rsid w:val="0028541C"/>
    <w:rsid w:val="00285421"/>
    <w:rsid w:val="00285431"/>
    <w:rsid w:val="00285498"/>
    <w:rsid w:val="002854FA"/>
    <w:rsid w:val="00285523"/>
    <w:rsid w:val="00285591"/>
    <w:rsid w:val="00285658"/>
    <w:rsid w:val="0028565F"/>
    <w:rsid w:val="00285696"/>
    <w:rsid w:val="002856B8"/>
    <w:rsid w:val="002857F5"/>
    <w:rsid w:val="00285929"/>
    <w:rsid w:val="00285940"/>
    <w:rsid w:val="00285953"/>
    <w:rsid w:val="00285954"/>
    <w:rsid w:val="00285A32"/>
    <w:rsid w:val="00285AD9"/>
    <w:rsid w:val="00285AF8"/>
    <w:rsid w:val="00285BEE"/>
    <w:rsid w:val="00285C43"/>
    <w:rsid w:val="00285CD0"/>
    <w:rsid w:val="00285D0F"/>
    <w:rsid w:val="00285D40"/>
    <w:rsid w:val="00285D6E"/>
    <w:rsid w:val="00285D6F"/>
    <w:rsid w:val="00285DE2"/>
    <w:rsid w:val="00285EB2"/>
    <w:rsid w:val="00285F80"/>
    <w:rsid w:val="00285FC0"/>
    <w:rsid w:val="00285FD0"/>
    <w:rsid w:val="00286042"/>
    <w:rsid w:val="0028604C"/>
    <w:rsid w:val="00286102"/>
    <w:rsid w:val="0028613A"/>
    <w:rsid w:val="002862CC"/>
    <w:rsid w:val="002862ED"/>
    <w:rsid w:val="00286319"/>
    <w:rsid w:val="00286337"/>
    <w:rsid w:val="00286395"/>
    <w:rsid w:val="002863C6"/>
    <w:rsid w:val="00286403"/>
    <w:rsid w:val="0028652E"/>
    <w:rsid w:val="002865B2"/>
    <w:rsid w:val="0028668E"/>
    <w:rsid w:val="00286695"/>
    <w:rsid w:val="00286699"/>
    <w:rsid w:val="002866F3"/>
    <w:rsid w:val="00286808"/>
    <w:rsid w:val="00286A9A"/>
    <w:rsid w:val="00286AD2"/>
    <w:rsid w:val="00286BE3"/>
    <w:rsid w:val="00286C14"/>
    <w:rsid w:val="00286C75"/>
    <w:rsid w:val="00286C9B"/>
    <w:rsid w:val="00286D32"/>
    <w:rsid w:val="00286DAA"/>
    <w:rsid w:val="00286E45"/>
    <w:rsid w:val="00286E7E"/>
    <w:rsid w:val="00286F6D"/>
    <w:rsid w:val="00287078"/>
    <w:rsid w:val="0028708C"/>
    <w:rsid w:val="00287173"/>
    <w:rsid w:val="0028717F"/>
    <w:rsid w:val="0028718A"/>
    <w:rsid w:val="002871A2"/>
    <w:rsid w:val="002871F2"/>
    <w:rsid w:val="002872EF"/>
    <w:rsid w:val="00287350"/>
    <w:rsid w:val="002873CC"/>
    <w:rsid w:val="00287637"/>
    <w:rsid w:val="002876A7"/>
    <w:rsid w:val="002876DD"/>
    <w:rsid w:val="0028781C"/>
    <w:rsid w:val="0028782C"/>
    <w:rsid w:val="00287867"/>
    <w:rsid w:val="00287911"/>
    <w:rsid w:val="002879A9"/>
    <w:rsid w:val="002879C3"/>
    <w:rsid w:val="00287A77"/>
    <w:rsid w:val="00287BD1"/>
    <w:rsid w:val="00287CBD"/>
    <w:rsid w:val="00287D22"/>
    <w:rsid w:val="00287D3D"/>
    <w:rsid w:val="00287D68"/>
    <w:rsid w:val="00287F94"/>
    <w:rsid w:val="00287FAF"/>
    <w:rsid w:val="00287FC8"/>
    <w:rsid w:val="00290025"/>
    <w:rsid w:val="00290038"/>
    <w:rsid w:val="0029016A"/>
    <w:rsid w:val="002901CC"/>
    <w:rsid w:val="002901DB"/>
    <w:rsid w:val="00290219"/>
    <w:rsid w:val="00290360"/>
    <w:rsid w:val="00290470"/>
    <w:rsid w:val="00290490"/>
    <w:rsid w:val="00290511"/>
    <w:rsid w:val="002906AB"/>
    <w:rsid w:val="002906ED"/>
    <w:rsid w:val="002906F4"/>
    <w:rsid w:val="00290757"/>
    <w:rsid w:val="002907F6"/>
    <w:rsid w:val="0029084A"/>
    <w:rsid w:val="0029085B"/>
    <w:rsid w:val="00290B01"/>
    <w:rsid w:val="00290B7E"/>
    <w:rsid w:val="00290B90"/>
    <w:rsid w:val="00290DFC"/>
    <w:rsid w:val="00290E78"/>
    <w:rsid w:val="00290F49"/>
    <w:rsid w:val="00290F51"/>
    <w:rsid w:val="00290FB0"/>
    <w:rsid w:val="00290FE8"/>
    <w:rsid w:val="00290FFD"/>
    <w:rsid w:val="0029100E"/>
    <w:rsid w:val="00291092"/>
    <w:rsid w:val="00291187"/>
    <w:rsid w:val="00291239"/>
    <w:rsid w:val="002912E4"/>
    <w:rsid w:val="002912FB"/>
    <w:rsid w:val="0029132B"/>
    <w:rsid w:val="0029133B"/>
    <w:rsid w:val="00291343"/>
    <w:rsid w:val="00291427"/>
    <w:rsid w:val="00291518"/>
    <w:rsid w:val="00291698"/>
    <w:rsid w:val="002916C6"/>
    <w:rsid w:val="00291700"/>
    <w:rsid w:val="00291713"/>
    <w:rsid w:val="00291772"/>
    <w:rsid w:val="0029185B"/>
    <w:rsid w:val="002918AE"/>
    <w:rsid w:val="00291928"/>
    <w:rsid w:val="00291A50"/>
    <w:rsid w:val="00291A71"/>
    <w:rsid w:val="00291A92"/>
    <w:rsid w:val="00291B48"/>
    <w:rsid w:val="00291E7A"/>
    <w:rsid w:val="00291EB5"/>
    <w:rsid w:val="00291FEA"/>
    <w:rsid w:val="0029206C"/>
    <w:rsid w:val="00292132"/>
    <w:rsid w:val="00292143"/>
    <w:rsid w:val="00292235"/>
    <w:rsid w:val="00292333"/>
    <w:rsid w:val="002923F1"/>
    <w:rsid w:val="0029243F"/>
    <w:rsid w:val="00292464"/>
    <w:rsid w:val="00292478"/>
    <w:rsid w:val="002925FD"/>
    <w:rsid w:val="002926C2"/>
    <w:rsid w:val="002926F1"/>
    <w:rsid w:val="00292797"/>
    <w:rsid w:val="002927F3"/>
    <w:rsid w:val="00292916"/>
    <w:rsid w:val="0029295E"/>
    <w:rsid w:val="00292A54"/>
    <w:rsid w:val="00292B68"/>
    <w:rsid w:val="00292C2E"/>
    <w:rsid w:val="00292C5F"/>
    <w:rsid w:val="00292C72"/>
    <w:rsid w:val="00292C85"/>
    <w:rsid w:val="00292CF5"/>
    <w:rsid w:val="00292D3A"/>
    <w:rsid w:val="00292D87"/>
    <w:rsid w:val="00292DF1"/>
    <w:rsid w:val="00292E63"/>
    <w:rsid w:val="00292FEB"/>
    <w:rsid w:val="00293114"/>
    <w:rsid w:val="00293129"/>
    <w:rsid w:val="002931B9"/>
    <w:rsid w:val="002931C9"/>
    <w:rsid w:val="00293219"/>
    <w:rsid w:val="00293235"/>
    <w:rsid w:val="00293290"/>
    <w:rsid w:val="002932D0"/>
    <w:rsid w:val="00293443"/>
    <w:rsid w:val="0029350D"/>
    <w:rsid w:val="00293527"/>
    <w:rsid w:val="00293533"/>
    <w:rsid w:val="00293574"/>
    <w:rsid w:val="0029360A"/>
    <w:rsid w:val="002937FD"/>
    <w:rsid w:val="0029383F"/>
    <w:rsid w:val="00293920"/>
    <w:rsid w:val="002939A1"/>
    <w:rsid w:val="002939A5"/>
    <w:rsid w:val="002939C4"/>
    <w:rsid w:val="00293ADF"/>
    <w:rsid w:val="00293C42"/>
    <w:rsid w:val="00293C47"/>
    <w:rsid w:val="00293E6B"/>
    <w:rsid w:val="00293EBB"/>
    <w:rsid w:val="00293F43"/>
    <w:rsid w:val="0029402F"/>
    <w:rsid w:val="002940CB"/>
    <w:rsid w:val="00294189"/>
    <w:rsid w:val="00294267"/>
    <w:rsid w:val="0029426D"/>
    <w:rsid w:val="0029433D"/>
    <w:rsid w:val="00294369"/>
    <w:rsid w:val="00294449"/>
    <w:rsid w:val="002944A9"/>
    <w:rsid w:val="002944D1"/>
    <w:rsid w:val="00294523"/>
    <w:rsid w:val="00294569"/>
    <w:rsid w:val="0029461E"/>
    <w:rsid w:val="00294667"/>
    <w:rsid w:val="002946B5"/>
    <w:rsid w:val="002946C3"/>
    <w:rsid w:val="002946F2"/>
    <w:rsid w:val="00294724"/>
    <w:rsid w:val="0029473A"/>
    <w:rsid w:val="00294795"/>
    <w:rsid w:val="0029480C"/>
    <w:rsid w:val="00294832"/>
    <w:rsid w:val="002948C1"/>
    <w:rsid w:val="00294989"/>
    <w:rsid w:val="00294A46"/>
    <w:rsid w:val="00294C9E"/>
    <w:rsid w:val="00294CEA"/>
    <w:rsid w:val="00294D24"/>
    <w:rsid w:val="00294D2A"/>
    <w:rsid w:val="00294EB8"/>
    <w:rsid w:val="00294EBE"/>
    <w:rsid w:val="00294F1A"/>
    <w:rsid w:val="00294F32"/>
    <w:rsid w:val="00294F6C"/>
    <w:rsid w:val="002950BA"/>
    <w:rsid w:val="002950C6"/>
    <w:rsid w:val="002950DC"/>
    <w:rsid w:val="002951B4"/>
    <w:rsid w:val="00295345"/>
    <w:rsid w:val="0029538B"/>
    <w:rsid w:val="00295487"/>
    <w:rsid w:val="002954AC"/>
    <w:rsid w:val="002954C3"/>
    <w:rsid w:val="002954DD"/>
    <w:rsid w:val="00295533"/>
    <w:rsid w:val="002955DC"/>
    <w:rsid w:val="002956DA"/>
    <w:rsid w:val="0029574D"/>
    <w:rsid w:val="00295750"/>
    <w:rsid w:val="00295812"/>
    <w:rsid w:val="002958F9"/>
    <w:rsid w:val="00295A2C"/>
    <w:rsid w:val="00295B6A"/>
    <w:rsid w:val="00295CC5"/>
    <w:rsid w:val="00295D7B"/>
    <w:rsid w:val="00295DC3"/>
    <w:rsid w:val="00295E64"/>
    <w:rsid w:val="002960D6"/>
    <w:rsid w:val="002961F3"/>
    <w:rsid w:val="002961FC"/>
    <w:rsid w:val="00296214"/>
    <w:rsid w:val="00296226"/>
    <w:rsid w:val="00296237"/>
    <w:rsid w:val="00296283"/>
    <w:rsid w:val="00296450"/>
    <w:rsid w:val="00296509"/>
    <w:rsid w:val="0029650D"/>
    <w:rsid w:val="0029663E"/>
    <w:rsid w:val="002966F1"/>
    <w:rsid w:val="00296845"/>
    <w:rsid w:val="002968A1"/>
    <w:rsid w:val="0029690E"/>
    <w:rsid w:val="0029693A"/>
    <w:rsid w:val="0029696F"/>
    <w:rsid w:val="00296A38"/>
    <w:rsid w:val="00296A5E"/>
    <w:rsid w:val="00296DA3"/>
    <w:rsid w:val="00296DEC"/>
    <w:rsid w:val="00296DF8"/>
    <w:rsid w:val="00296E31"/>
    <w:rsid w:val="00296FCB"/>
    <w:rsid w:val="00296FE1"/>
    <w:rsid w:val="00297084"/>
    <w:rsid w:val="00297087"/>
    <w:rsid w:val="0029717D"/>
    <w:rsid w:val="00297214"/>
    <w:rsid w:val="00297221"/>
    <w:rsid w:val="00297235"/>
    <w:rsid w:val="002972BB"/>
    <w:rsid w:val="00297351"/>
    <w:rsid w:val="0029739D"/>
    <w:rsid w:val="00297511"/>
    <w:rsid w:val="00297555"/>
    <w:rsid w:val="0029756A"/>
    <w:rsid w:val="0029757B"/>
    <w:rsid w:val="002976AA"/>
    <w:rsid w:val="002977EC"/>
    <w:rsid w:val="002977FC"/>
    <w:rsid w:val="002977FD"/>
    <w:rsid w:val="0029780C"/>
    <w:rsid w:val="0029786E"/>
    <w:rsid w:val="002978B9"/>
    <w:rsid w:val="002979A4"/>
    <w:rsid w:val="002979F5"/>
    <w:rsid w:val="00297ADA"/>
    <w:rsid w:val="00297AF7"/>
    <w:rsid w:val="00297B65"/>
    <w:rsid w:val="00297D57"/>
    <w:rsid w:val="00297D88"/>
    <w:rsid w:val="00297DD5"/>
    <w:rsid w:val="00297EC3"/>
    <w:rsid w:val="00297F35"/>
    <w:rsid w:val="00297F53"/>
    <w:rsid w:val="00297FD5"/>
    <w:rsid w:val="002A0087"/>
    <w:rsid w:val="002A01AB"/>
    <w:rsid w:val="002A02EE"/>
    <w:rsid w:val="002A037A"/>
    <w:rsid w:val="002A03AB"/>
    <w:rsid w:val="002A048B"/>
    <w:rsid w:val="002A04D9"/>
    <w:rsid w:val="002A04DF"/>
    <w:rsid w:val="002A0526"/>
    <w:rsid w:val="002A0631"/>
    <w:rsid w:val="002A06B1"/>
    <w:rsid w:val="002A0732"/>
    <w:rsid w:val="002A08AF"/>
    <w:rsid w:val="002A08E7"/>
    <w:rsid w:val="002A08EC"/>
    <w:rsid w:val="002A0910"/>
    <w:rsid w:val="002A0A2D"/>
    <w:rsid w:val="002A0A59"/>
    <w:rsid w:val="002A0ACA"/>
    <w:rsid w:val="002A0ADB"/>
    <w:rsid w:val="002A0AFA"/>
    <w:rsid w:val="002A0B5F"/>
    <w:rsid w:val="002A0B91"/>
    <w:rsid w:val="002A0BF6"/>
    <w:rsid w:val="002A0C57"/>
    <w:rsid w:val="002A0CE0"/>
    <w:rsid w:val="002A0CF2"/>
    <w:rsid w:val="002A0CF4"/>
    <w:rsid w:val="002A0D32"/>
    <w:rsid w:val="002A0DEA"/>
    <w:rsid w:val="002A0DF8"/>
    <w:rsid w:val="002A0E18"/>
    <w:rsid w:val="002A0E2D"/>
    <w:rsid w:val="002A1076"/>
    <w:rsid w:val="002A10AE"/>
    <w:rsid w:val="002A1166"/>
    <w:rsid w:val="002A116D"/>
    <w:rsid w:val="002A11F2"/>
    <w:rsid w:val="002A1250"/>
    <w:rsid w:val="002A133E"/>
    <w:rsid w:val="002A13BA"/>
    <w:rsid w:val="002A13C1"/>
    <w:rsid w:val="002A1675"/>
    <w:rsid w:val="002A1828"/>
    <w:rsid w:val="002A1976"/>
    <w:rsid w:val="002A1A0B"/>
    <w:rsid w:val="002A1B16"/>
    <w:rsid w:val="002A1B4A"/>
    <w:rsid w:val="002A1BD1"/>
    <w:rsid w:val="002A1BF8"/>
    <w:rsid w:val="002A1C13"/>
    <w:rsid w:val="002A1D0B"/>
    <w:rsid w:val="002A1D4C"/>
    <w:rsid w:val="002A1DAF"/>
    <w:rsid w:val="002A1E3D"/>
    <w:rsid w:val="002A1EFB"/>
    <w:rsid w:val="002A2033"/>
    <w:rsid w:val="002A2051"/>
    <w:rsid w:val="002A20E1"/>
    <w:rsid w:val="002A221E"/>
    <w:rsid w:val="002A224B"/>
    <w:rsid w:val="002A226D"/>
    <w:rsid w:val="002A2459"/>
    <w:rsid w:val="002A24D4"/>
    <w:rsid w:val="002A252E"/>
    <w:rsid w:val="002A25B3"/>
    <w:rsid w:val="002A2626"/>
    <w:rsid w:val="002A26FB"/>
    <w:rsid w:val="002A2720"/>
    <w:rsid w:val="002A27EE"/>
    <w:rsid w:val="002A2880"/>
    <w:rsid w:val="002A28AC"/>
    <w:rsid w:val="002A28E4"/>
    <w:rsid w:val="002A2901"/>
    <w:rsid w:val="002A2A02"/>
    <w:rsid w:val="002A2A20"/>
    <w:rsid w:val="002A2A2C"/>
    <w:rsid w:val="002A2A84"/>
    <w:rsid w:val="002A2AFA"/>
    <w:rsid w:val="002A2B51"/>
    <w:rsid w:val="002A2B58"/>
    <w:rsid w:val="002A2B83"/>
    <w:rsid w:val="002A2C47"/>
    <w:rsid w:val="002A2C62"/>
    <w:rsid w:val="002A2C91"/>
    <w:rsid w:val="002A2D29"/>
    <w:rsid w:val="002A2ED8"/>
    <w:rsid w:val="002A3000"/>
    <w:rsid w:val="002A3096"/>
    <w:rsid w:val="002A30C1"/>
    <w:rsid w:val="002A3105"/>
    <w:rsid w:val="002A3186"/>
    <w:rsid w:val="002A31AC"/>
    <w:rsid w:val="002A326C"/>
    <w:rsid w:val="002A337E"/>
    <w:rsid w:val="002A356F"/>
    <w:rsid w:val="002A359F"/>
    <w:rsid w:val="002A36C1"/>
    <w:rsid w:val="002A37B0"/>
    <w:rsid w:val="002A37C9"/>
    <w:rsid w:val="002A3819"/>
    <w:rsid w:val="002A38AB"/>
    <w:rsid w:val="002A38FC"/>
    <w:rsid w:val="002A3922"/>
    <w:rsid w:val="002A397A"/>
    <w:rsid w:val="002A39C5"/>
    <w:rsid w:val="002A3A86"/>
    <w:rsid w:val="002A3AE3"/>
    <w:rsid w:val="002A3B07"/>
    <w:rsid w:val="002A3B90"/>
    <w:rsid w:val="002A3B92"/>
    <w:rsid w:val="002A3C35"/>
    <w:rsid w:val="002A3E4D"/>
    <w:rsid w:val="002A3E5D"/>
    <w:rsid w:val="002A3E7B"/>
    <w:rsid w:val="002A3EB3"/>
    <w:rsid w:val="002A3EE8"/>
    <w:rsid w:val="002A3FD3"/>
    <w:rsid w:val="002A3FD4"/>
    <w:rsid w:val="002A4043"/>
    <w:rsid w:val="002A40F1"/>
    <w:rsid w:val="002A41D9"/>
    <w:rsid w:val="002A4295"/>
    <w:rsid w:val="002A4311"/>
    <w:rsid w:val="002A437D"/>
    <w:rsid w:val="002A43BF"/>
    <w:rsid w:val="002A4412"/>
    <w:rsid w:val="002A465C"/>
    <w:rsid w:val="002A4709"/>
    <w:rsid w:val="002A479D"/>
    <w:rsid w:val="002A47A3"/>
    <w:rsid w:val="002A481A"/>
    <w:rsid w:val="002A4821"/>
    <w:rsid w:val="002A48BB"/>
    <w:rsid w:val="002A4A30"/>
    <w:rsid w:val="002A4AA5"/>
    <w:rsid w:val="002A4B66"/>
    <w:rsid w:val="002A4B9E"/>
    <w:rsid w:val="002A4BE2"/>
    <w:rsid w:val="002A4C3B"/>
    <w:rsid w:val="002A4D17"/>
    <w:rsid w:val="002A4DD2"/>
    <w:rsid w:val="002A4DF7"/>
    <w:rsid w:val="002A4E4C"/>
    <w:rsid w:val="002A4E92"/>
    <w:rsid w:val="002A4EDF"/>
    <w:rsid w:val="002A4F46"/>
    <w:rsid w:val="002A4FCA"/>
    <w:rsid w:val="002A5001"/>
    <w:rsid w:val="002A5094"/>
    <w:rsid w:val="002A509C"/>
    <w:rsid w:val="002A5123"/>
    <w:rsid w:val="002A5188"/>
    <w:rsid w:val="002A518B"/>
    <w:rsid w:val="002A519E"/>
    <w:rsid w:val="002A519F"/>
    <w:rsid w:val="002A5247"/>
    <w:rsid w:val="002A52E3"/>
    <w:rsid w:val="002A52F6"/>
    <w:rsid w:val="002A53A6"/>
    <w:rsid w:val="002A544F"/>
    <w:rsid w:val="002A54A4"/>
    <w:rsid w:val="002A5527"/>
    <w:rsid w:val="002A555D"/>
    <w:rsid w:val="002A55A8"/>
    <w:rsid w:val="002A55AF"/>
    <w:rsid w:val="002A574C"/>
    <w:rsid w:val="002A5771"/>
    <w:rsid w:val="002A59D3"/>
    <w:rsid w:val="002A5A02"/>
    <w:rsid w:val="002A5A3B"/>
    <w:rsid w:val="002A5B2F"/>
    <w:rsid w:val="002A5B3B"/>
    <w:rsid w:val="002A5BA6"/>
    <w:rsid w:val="002A5E43"/>
    <w:rsid w:val="002A5ECA"/>
    <w:rsid w:val="002A6102"/>
    <w:rsid w:val="002A6129"/>
    <w:rsid w:val="002A625C"/>
    <w:rsid w:val="002A6438"/>
    <w:rsid w:val="002A662B"/>
    <w:rsid w:val="002A665A"/>
    <w:rsid w:val="002A67D6"/>
    <w:rsid w:val="002A67D8"/>
    <w:rsid w:val="002A6846"/>
    <w:rsid w:val="002A684B"/>
    <w:rsid w:val="002A6884"/>
    <w:rsid w:val="002A68CE"/>
    <w:rsid w:val="002A6903"/>
    <w:rsid w:val="002A693D"/>
    <w:rsid w:val="002A69CD"/>
    <w:rsid w:val="002A6A02"/>
    <w:rsid w:val="002A6A15"/>
    <w:rsid w:val="002A6A34"/>
    <w:rsid w:val="002A6CC6"/>
    <w:rsid w:val="002A6CDE"/>
    <w:rsid w:val="002A6D33"/>
    <w:rsid w:val="002A6DA4"/>
    <w:rsid w:val="002A6DD7"/>
    <w:rsid w:val="002A6E01"/>
    <w:rsid w:val="002A6E6C"/>
    <w:rsid w:val="002A6ED1"/>
    <w:rsid w:val="002A6EEC"/>
    <w:rsid w:val="002A6F80"/>
    <w:rsid w:val="002A6FE6"/>
    <w:rsid w:val="002A7010"/>
    <w:rsid w:val="002A7027"/>
    <w:rsid w:val="002A707B"/>
    <w:rsid w:val="002A7092"/>
    <w:rsid w:val="002A72A3"/>
    <w:rsid w:val="002A72B5"/>
    <w:rsid w:val="002A7329"/>
    <w:rsid w:val="002A74FF"/>
    <w:rsid w:val="002A75EC"/>
    <w:rsid w:val="002A76C9"/>
    <w:rsid w:val="002A76EA"/>
    <w:rsid w:val="002A7700"/>
    <w:rsid w:val="002A775E"/>
    <w:rsid w:val="002A7841"/>
    <w:rsid w:val="002A78F2"/>
    <w:rsid w:val="002A7A00"/>
    <w:rsid w:val="002A7A27"/>
    <w:rsid w:val="002A7A8C"/>
    <w:rsid w:val="002A7C7D"/>
    <w:rsid w:val="002A7CF2"/>
    <w:rsid w:val="002A7D34"/>
    <w:rsid w:val="002A7D71"/>
    <w:rsid w:val="002A7EAD"/>
    <w:rsid w:val="002A7EC8"/>
    <w:rsid w:val="002A7EDB"/>
    <w:rsid w:val="002B007D"/>
    <w:rsid w:val="002B00CD"/>
    <w:rsid w:val="002B0104"/>
    <w:rsid w:val="002B0120"/>
    <w:rsid w:val="002B0153"/>
    <w:rsid w:val="002B015D"/>
    <w:rsid w:val="002B01D4"/>
    <w:rsid w:val="002B023D"/>
    <w:rsid w:val="002B02C3"/>
    <w:rsid w:val="002B040B"/>
    <w:rsid w:val="002B040E"/>
    <w:rsid w:val="002B0446"/>
    <w:rsid w:val="002B0640"/>
    <w:rsid w:val="002B084D"/>
    <w:rsid w:val="002B0860"/>
    <w:rsid w:val="002B0894"/>
    <w:rsid w:val="002B0962"/>
    <w:rsid w:val="002B098A"/>
    <w:rsid w:val="002B0A72"/>
    <w:rsid w:val="002B0B61"/>
    <w:rsid w:val="002B0C1C"/>
    <w:rsid w:val="002B0C48"/>
    <w:rsid w:val="002B0C4B"/>
    <w:rsid w:val="002B0C97"/>
    <w:rsid w:val="002B0CC1"/>
    <w:rsid w:val="002B0CD7"/>
    <w:rsid w:val="002B0D4D"/>
    <w:rsid w:val="002B0DB3"/>
    <w:rsid w:val="002B0DB7"/>
    <w:rsid w:val="002B0DD9"/>
    <w:rsid w:val="002B0F10"/>
    <w:rsid w:val="002B0F77"/>
    <w:rsid w:val="002B1016"/>
    <w:rsid w:val="002B1125"/>
    <w:rsid w:val="002B1243"/>
    <w:rsid w:val="002B1267"/>
    <w:rsid w:val="002B13DF"/>
    <w:rsid w:val="002B1455"/>
    <w:rsid w:val="002B156A"/>
    <w:rsid w:val="002B158B"/>
    <w:rsid w:val="002B16A3"/>
    <w:rsid w:val="002B1752"/>
    <w:rsid w:val="002B17A1"/>
    <w:rsid w:val="002B18EA"/>
    <w:rsid w:val="002B1931"/>
    <w:rsid w:val="002B19DA"/>
    <w:rsid w:val="002B19E7"/>
    <w:rsid w:val="002B1A07"/>
    <w:rsid w:val="002B1A5A"/>
    <w:rsid w:val="002B1A73"/>
    <w:rsid w:val="002B1AE6"/>
    <w:rsid w:val="002B1C14"/>
    <w:rsid w:val="002B1CE8"/>
    <w:rsid w:val="002B1E1D"/>
    <w:rsid w:val="002B1F0A"/>
    <w:rsid w:val="002B1F4A"/>
    <w:rsid w:val="002B2024"/>
    <w:rsid w:val="002B20D2"/>
    <w:rsid w:val="002B20DB"/>
    <w:rsid w:val="002B21B7"/>
    <w:rsid w:val="002B21D1"/>
    <w:rsid w:val="002B221B"/>
    <w:rsid w:val="002B225A"/>
    <w:rsid w:val="002B2394"/>
    <w:rsid w:val="002B2469"/>
    <w:rsid w:val="002B2485"/>
    <w:rsid w:val="002B24B4"/>
    <w:rsid w:val="002B24D1"/>
    <w:rsid w:val="002B251D"/>
    <w:rsid w:val="002B25F6"/>
    <w:rsid w:val="002B2748"/>
    <w:rsid w:val="002B27AC"/>
    <w:rsid w:val="002B27AE"/>
    <w:rsid w:val="002B2806"/>
    <w:rsid w:val="002B2826"/>
    <w:rsid w:val="002B2837"/>
    <w:rsid w:val="002B2848"/>
    <w:rsid w:val="002B28E8"/>
    <w:rsid w:val="002B290F"/>
    <w:rsid w:val="002B29F4"/>
    <w:rsid w:val="002B2AA2"/>
    <w:rsid w:val="002B2AA9"/>
    <w:rsid w:val="002B2AF5"/>
    <w:rsid w:val="002B2C0C"/>
    <w:rsid w:val="002B2D12"/>
    <w:rsid w:val="002B2E00"/>
    <w:rsid w:val="002B2F00"/>
    <w:rsid w:val="002B2FDB"/>
    <w:rsid w:val="002B31F3"/>
    <w:rsid w:val="002B3269"/>
    <w:rsid w:val="002B3370"/>
    <w:rsid w:val="002B339C"/>
    <w:rsid w:val="002B3476"/>
    <w:rsid w:val="002B3491"/>
    <w:rsid w:val="002B3559"/>
    <w:rsid w:val="002B36BC"/>
    <w:rsid w:val="002B3792"/>
    <w:rsid w:val="002B39DC"/>
    <w:rsid w:val="002B3A24"/>
    <w:rsid w:val="002B3A6B"/>
    <w:rsid w:val="002B3AB3"/>
    <w:rsid w:val="002B3ABA"/>
    <w:rsid w:val="002B3B2D"/>
    <w:rsid w:val="002B3B53"/>
    <w:rsid w:val="002B3BD4"/>
    <w:rsid w:val="002B3D9E"/>
    <w:rsid w:val="002B3EB1"/>
    <w:rsid w:val="002B4051"/>
    <w:rsid w:val="002B41A6"/>
    <w:rsid w:val="002B41DD"/>
    <w:rsid w:val="002B41FF"/>
    <w:rsid w:val="002B4250"/>
    <w:rsid w:val="002B42BC"/>
    <w:rsid w:val="002B43A2"/>
    <w:rsid w:val="002B442F"/>
    <w:rsid w:val="002B463C"/>
    <w:rsid w:val="002B46DB"/>
    <w:rsid w:val="002B4786"/>
    <w:rsid w:val="002B47AA"/>
    <w:rsid w:val="002B486A"/>
    <w:rsid w:val="002B488E"/>
    <w:rsid w:val="002B48F5"/>
    <w:rsid w:val="002B4916"/>
    <w:rsid w:val="002B49BB"/>
    <w:rsid w:val="002B49E4"/>
    <w:rsid w:val="002B49FC"/>
    <w:rsid w:val="002B4C0E"/>
    <w:rsid w:val="002B4CA2"/>
    <w:rsid w:val="002B4E12"/>
    <w:rsid w:val="002B4E4B"/>
    <w:rsid w:val="002B4E54"/>
    <w:rsid w:val="002B4E6D"/>
    <w:rsid w:val="002B4EFF"/>
    <w:rsid w:val="002B4F70"/>
    <w:rsid w:val="002B4FBE"/>
    <w:rsid w:val="002B4FF4"/>
    <w:rsid w:val="002B5026"/>
    <w:rsid w:val="002B50A5"/>
    <w:rsid w:val="002B50D8"/>
    <w:rsid w:val="002B5114"/>
    <w:rsid w:val="002B51EA"/>
    <w:rsid w:val="002B525C"/>
    <w:rsid w:val="002B52AC"/>
    <w:rsid w:val="002B530E"/>
    <w:rsid w:val="002B5314"/>
    <w:rsid w:val="002B5388"/>
    <w:rsid w:val="002B5435"/>
    <w:rsid w:val="002B54CB"/>
    <w:rsid w:val="002B5623"/>
    <w:rsid w:val="002B5681"/>
    <w:rsid w:val="002B578C"/>
    <w:rsid w:val="002B5811"/>
    <w:rsid w:val="002B5A4B"/>
    <w:rsid w:val="002B5B65"/>
    <w:rsid w:val="002B5B70"/>
    <w:rsid w:val="002B5C31"/>
    <w:rsid w:val="002B5C44"/>
    <w:rsid w:val="002B5C63"/>
    <w:rsid w:val="002B5C6C"/>
    <w:rsid w:val="002B5CFB"/>
    <w:rsid w:val="002B5DED"/>
    <w:rsid w:val="002B5E14"/>
    <w:rsid w:val="002B5E2D"/>
    <w:rsid w:val="002B5FD0"/>
    <w:rsid w:val="002B5FFF"/>
    <w:rsid w:val="002B6184"/>
    <w:rsid w:val="002B6221"/>
    <w:rsid w:val="002B623A"/>
    <w:rsid w:val="002B62D2"/>
    <w:rsid w:val="002B636D"/>
    <w:rsid w:val="002B6371"/>
    <w:rsid w:val="002B63AA"/>
    <w:rsid w:val="002B63E7"/>
    <w:rsid w:val="002B6445"/>
    <w:rsid w:val="002B6499"/>
    <w:rsid w:val="002B64F5"/>
    <w:rsid w:val="002B65C7"/>
    <w:rsid w:val="002B65E0"/>
    <w:rsid w:val="002B67A8"/>
    <w:rsid w:val="002B6845"/>
    <w:rsid w:val="002B68BC"/>
    <w:rsid w:val="002B694B"/>
    <w:rsid w:val="002B6982"/>
    <w:rsid w:val="002B6A18"/>
    <w:rsid w:val="002B6BC3"/>
    <w:rsid w:val="002B6C31"/>
    <w:rsid w:val="002B6C36"/>
    <w:rsid w:val="002B6D63"/>
    <w:rsid w:val="002B6DDC"/>
    <w:rsid w:val="002B6DF6"/>
    <w:rsid w:val="002B6E0B"/>
    <w:rsid w:val="002B6E18"/>
    <w:rsid w:val="002B702C"/>
    <w:rsid w:val="002B7080"/>
    <w:rsid w:val="002B70B9"/>
    <w:rsid w:val="002B70BF"/>
    <w:rsid w:val="002B7151"/>
    <w:rsid w:val="002B7167"/>
    <w:rsid w:val="002B7176"/>
    <w:rsid w:val="002B71A9"/>
    <w:rsid w:val="002B725D"/>
    <w:rsid w:val="002B73DB"/>
    <w:rsid w:val="002B7402"/>
    <w:rsid w:val="002B7454"/>
    <w:rsid w:val="002B745F"/>
    <w:rsid w:val="002B7579"/>
    <w:rsid w:val="002B7587"/>
    <w:rsid w:val="002B77CF"/>
    <w:rsid w:val="002B7877"/>
    <w:rsid w:val="002B7896"/>
    <w:rsid w:val="002B7906"/>
    <w:rsid w:val="002B7991"/>
    <w:rsid w:val="002B799D"/>
    <w:rsid w:val="002B7B0F"/>
    <w:rsid w:val="002B7B64"/>
    <w:rsid w:val="002B7B8F"/>
    <w:rsid w:val="002B7BCC"/>
    <w:rsid w:val="002B7C67"/>
    <w:rsid w:val="002B7CDC"/>
    <w:rsid w:val="002B7DDA"/>
    <w:rsid w:val="002B7E44"/>
    <w:rsid w:val="002B7E78"/>
    <w:rsid w:val="002B7ED7"/>
    <w:rsid w:val="002B7F83"/>
    <w:rsid w:val="002B7FF0"/>
    <w:rsid w:val="002C005A"/>
    <w:rsid w:val="002C01C1"/>
    <w:rsid w:val="002C01E1"/>
    <w:rsid w:val="002C027D"/>
    <w:rsid w:val="002C037A"/>
    <w:rsid w:val="002C045E"/>
    <w:rsid w:val="002C04BB"/>
    <w:rsid w:val="002C050F"/>
    <w:rsid w:val="002C0588"/>
    <w:rsid w:val="002C05B3"/>
    <w:rsid w:val="002C05BE"/>
    <w:rsid w:val="002C0833"/>
    <w:rsid w:val="002C087A"/>
    <w:rsid w:val="002C08EF"/>
    <w:rsid w:val="002C09A3"/>
    <w:rsid w:val="002C09C3"/>
    <w:rsid w:val="002C0A79"/>
    <w:rsid w:val="002C0AEA"/>
    <w:rsid w:val="002C0B73"/>
    <w:rsid w:val="002C0B9E"/>
    <w:rsid w:val="002C0C0C"/>
    <w:rsid w:val="002C0C2F"/>
    <w:rsid w:val="002C0C99"/>
    <w:rsid w:val="002C104F"/>
    <w:rsid w:val="002C116F"/>
    <w:rsid w:val="002C11EC"/>
    <w:rsid w:val="002C1278"/>
    <w:rsid w:val="002C12BE"/>
    <w:rsid w:val="002C12F0"/>
    <w:rsid w:val="002C1301"/>
    <w:rsid w:val="002C1325"/>
    <w:rsid w:val="002C1479"/>
    <w:rsid w:val="002C14FC"/>
    <w:rsid w:val="002C15DB"/>
    <w:rsid w:val="002C1673"/>
    <w:rsid w:val="002C16A1"/>
    <w:rsid w:val="002C1710"/>
    <w:rsid w:val="002C1866"/>
    <w:rsid w:val="002C18AC"/>
    <w:rsid w:val="002C19AD"/>
    <w:rsid w:val="002C1AAF"/>
    <w:rsid w:val="002C1B6F"/>
    <w:rsid w:val="002C1C60"/>
    <w:rsid w:val="002C1C8B"/>
    <w:rsid w:val="002C1CD1"/>
    <w:rsid w:val="002C1CD2"/>
    <w:rsid w:val="002C1CEB"/>
    <w:rsid w:val="002C1D25"/>
    <w:rsid w:val="002C1DE5"/>
    <w:rsid w:val="002C1DF8"/>
    <w:rsid w:val="002C200A"/>
    <w:rsid w:val="002C2056"/>
    <w:rsid w:val="002C20A8"/>
    <w:rsid w:val="002C20CA"/>
    <w:rsid w:val="002C20D7"/>
    <w:rsid w:val="002C2204"/>
    <w:rsid w:val="002C2208"/>
    <w:rsid w:val="002C224D"/>
    <w:rsid w:val="002C22BA"/>
    <w:rsid w:val="002C22F2"/>
    <w:rsid w:val="002C2518"/>
    <w:rsid w:val="002C252D"/>
    <w:rsid w:val="002C25AA"/>
    <w:rsid w:val="002C2801"/>
    <w:rsid w:val="002C286B"/>
    <w:rsid w:val="002C28F6"/>
    <w:rsid w:val="002C28FB"/>
    <w:rsid w:val="002C2991"/>
    <w:rsid w:val="002C29E9"/>
    <w:rsid w:val="002C2ABB"/>
    <w:rsid w:val="002C2B20"/>
    <w:rsid w:val="002C2B2C"/>
    <w:rsid w:val="002C2B30"/>
    <w:rsid w:val="002C2B49"/>
    <w:rsid w:val="002C2BEC"/>
    <w:rsid w:val="002C2D06"/>
    <w:rsid w:val="002C2D2A"/>
    <w:rsid w:val="002C2F6C"/>
    <w:rsid w:val="002C30AC"/>
    <w:rsid w:val="002C326B"/>
    <w:rsid w:val="002C3351"/>
    <w:rsid w:val="002C33BF"/>
    <w:rsid w:val="002C3410"/>
    <w:rsid w:val="002C348A"/>
    <w:rsid w:val="002C34AA"/>
    <w:rsid w:val="002C3520"/>
    <w:rsid w:val="002C3553"/>
    <w:rsid w:val="002C3621"/>
    <w:rsid w:val="002C36A5"/>
    <w:rsid w:val="002C36A9"/>
    <w:rsid w:val="002C375F"/>
    <w:rsid w:val="002C37CE"/>
    <w:rsid w:val="002C37F6"/>
    <w:rsid w:val="002C381C"/>
    <w:rsid w:val="002C38F3"/>
    <w:rsid w:val="002C38F4"/>
    <w:rsid w:val="002C3940"/>
    <w:rsid w:val="002C39DD"/>
    <w:rsid w:val="002C3B0E"/>
    <w:rsid w:val="002C3B87"/>
    <w:rsid w:val="002C3BA4"/>
    <w:rsid w:val="002C3CEC"/>
    <w:rsid w:val="002C3D76"/>
    <w:rsid w:val="002C3D84"/>
    <w:rsid w:val="002C3DC7"/>
    <w:rsid w:val="002C3E45"/>
    <w:rsid w:val="002C3E82"/>
    <w:rsid w:val="002C3EF2"/>
    <w:rsid w:val="002C3F05"/>
    <w:rsid w:val="002C410D"/>
    <w:rsid w:val="002C416C"/>
    <w:rsid w:val="002C419A"/>
    <w:rsid w:val="002C41AB"/>
    <w:rsid w:val="002C4362"/>
    <w:rsid w:val="002C4528"/>
    <w:rsid w:val="002C4587"/>
    <w:rsid w:val="002C458D"/>
    <w:rsid w:val="002C462D"/>
    <w:rsid w:val="002C46D0"/>
    <w:rsid w:val="002C4736"/>
    <w:rsid w:val="002C4974"/>
    <w:rsid w:val="002C49D4"/>
    <w:rsid w:val="002C49F0"/>
    <w:rsid w:val="002C4A5F"/>
    <w:rsid w:val="002C4AED"/>
    <w:rsid w:val="002C4BD7"/>
    <w:rsid w:val="002C4E3C"/>
    <w:rsid w:val="002C4ED4"/>
    <w:rsid w:val="002C4FB3"/>
    <w:rsid w:val="002C5091"/>
    <w:rsid w:val="002C51A3"/>
    <w:rsid w:val="002C5212"/>
    <w:rsid w:val="002C52D3"/>
    <w:rsid w:val="002C52FE"/>
    <w:rsid w:val="002C5513"/>
    <w:rsid w:val="002C5528"/>
    <w:rsid w:val="002C5531"/>
    <w:rsid w:val="002C5559"/>
    <w:rsid w:val="002C55CD"/>
    <w:rsid w:val="002C55DE"/>
    <w:rsid w:val="002C5679"/>
    <w:rsid w:val="002C567D"/>
    <w:rsid w:val="002C5698"/>
    <w:rsid w:val="002C57A8"/>
    <w:rsid w:val="002C57B9"/>
    <w:rsid w:val="002C5818"/>
    <w:rsid w:val="002C5919"/>
    <w:rsid w:val="002C5966"/>
    <w:rsid w:val="002C59D6"/>
    <w:rsid w:val="002C5B14"/>
    <w:rsid w:val="002C5B7D"/>
    <w:rsid w:val="002C5C08"/>
    <w:rsid w:val="002C5C5B"/>
    <w:rsid w:val="002C5C5F"/>
    <w:rsid w:val="002C5C73"/>
    <w:rsid w:val="002C5D77"/>
    <w:rsid w:val="002C5DF1"/>
    <w:rsid w:val="002C5F2C"/>
    <w:rsid w:val="002C5F7F"/>
    <w:rsid w:val="002C5FB8"/>
    <w:rsid w:val="002C6004"/>
    <w:rsid w:val="002C603D"/>
    <w:rsid w:val="002C6067"/>
    <w:rsid w:val="002C6325"/>
    <w:rsid w:val="002C636C"/>
    <w:rsid w:val="002C6377"/>
    <w:rsid w:val="002C63A0"/>
    <w:rsid w:val="002C643D"/>
    <w:rsid w:val="002C647C"/>
    <w:rsid w:val="002C6510"/>
    <w:rsid w:val="002C66E0"/>
    <w:rsid w:val="002C676E"/>
    <w:rsid w:val="002C678D"/>
    <w:rsid w:val="002C6810"/>
    <w:rsid w:val="002C6955"/>
    <w:rsid w:val="002C6972"/>
    <w:rsid w:val="002C6A08"/>
    <w:rsid w:val="002C6AA3"/>
    <w:rsid w:val="002C6AEB"/>
    <w:rsid w:val="002C6B09"/>
    <w:rsid w:val="002C6D1C"/>
    <w:rsid w:val="002C6D96"/>
    <w:rsid w:val="002C6DD4"/>
    <w:rsid w:val="002C6E01"/>
    <w:rsid w:val="002C6F5B"/>
    <w:rsid w:val="002C6F9D"/>
    <w:rsid w:val="002C706F"/>
    <w:rsid w:val="002C720B"/>
    <w:rsid w:val="002C736F"/>
    <w:rsid w:val="002C7660"/>
    <w:rsid w:val="002C7683"/>
    <w:rsid w:val="002C76E5"/>
    <w:rsid w:val="002C7718"/>
    <w:rsid w:val="002C7752"/>
    <w:rsid w:val="002C776F"/>
    <w:rsid w:val="002C77FC"/>
    <w:rsid w:val="002C78D2"/>
    <w:rsid w:val="002C78FE"/>
    <w:rsid w:val="002C7984"/>
    <w:rsid w:val="002C79AB"/>
    <w:rsid w:val="002C7A64"/>
    <w:rsid w:val="002C7AB0"/>
    <w:rsid w:val="002C7AB7"/>
    <w:rsid w:val="002C7ACE"/>
    <w:rsid w:val="002C7D00"/>
    <w:rsid w:val="002C7D13"/>
    <w:rsid w:val="002C7D54"/>
    <w:rsid w:val="002C7E00"/>
    <w:rsid w:val="002C7E47"/>
    <w:rsid w:val="002C7E9B"/>
    <w:rsid w:val="002C7E9D"/>
    <w:rsid w:val="002C7EBD"/>
    <w:rsid w:val="002C7F49"/>
    <w:rsid w:val="002C7F4D"/>
    <w:rsid w:val="002C7FE3"/>
    <w:rsid w:val="002D003B"/>
    <w:rsid w:val="002D0049"/>
    <w:rsid w:val="002D007F"/>
    <w:rsid w:val="002D00B8"/>
    <w:rsid w:val="002D00D2"/>
    <w:rsid w:val="002D0151"/>
    <w:rsid w:val="002D02B7"/>
    <w:rsid w:val="002D0353"/>
    <w:rsid w:val="002D03C4"/>
    <w:rsid w:val="002D03E1"/>
    <w:rsid w:val="002D044E"/>
    <w:rsid w:val="002D0467"/>
    <w:rsid w:val="002D0493"/>
    <w:rsid w:val="002D04BF"/>
    <w:rsid w:val="002D0640"/>
    <w:rsid w:val="002D0691"/>
    <w:rsid w:val="002D071E"/>
    <w:rsid w:val="002D076E"/>
    <w:rsid w:val="002D082E"/>
    <w:rsid w:val="002D0925"/>
    <w:rsid w:val="002D0A23"/>
    <w:rsid w:val="002D0A34"/>
    <w:rsid w:val="002D0A9B"/>
    <w:rsid w:val="002D0C5B"/>
    <w:rsid w:val="002D0C7B"/>
    <w:rsid w:val="002D0D53"/>
    <w:rsid w:val="002D0D61"/>
    <w:rsid w:val="002D0D89"/>
    <w:rsid w:val="002D0F31"/>
    <w:rsid w:val="002D0FD5"/>
    <w:rsid w:val="002D1016"/>
    <w:rsid w:val="002D1060"/>
    <w:rsid w:val="002D10A8"/>
    <w:rsid w:val="002D10DB"/>
    <w:rsid w:val="002D112C"/>
    <w:rsid w:val="002D120F"/>
    <w:rsid w:val="002D123A"/>
    <w:rsid w:val="002D12F5"/>
    <w:rsid w:val="002D158A"/>
    <w:rsid w:val="002D15B5"/>
    <w:rsid w:val="002D15F5"/>
    <w:rsid w:val="002D15F7"/>
    <w:rsid w:val="002D1800"/>
    <w:rsid w:val="002D182E"/>
    <w:rsid w:val="002D1830"/>
    <w:rsid w:val="002D1860"/>
    <w:rsid w:val="002D1873"/>
    <w:rsid w:val="002D18F1"/>
    <w:rsid w:val="002D190E"/>
    <w:rsid w:val="002D198D"/>
    <w:rsid w:val="002D1999"/>
    <w:rsid w:val="002D1A0D"/>
    <w:rsid w:val="002D1BA7"/>
    <w:rsid w:val="002D1BC3"/>
    <w:rsid w:val="002D1BDA"/>
    <w:rsid w:val="002D1D09"/>
    <w:rsid w:val="002D1D9F"/>
    <w:rsid w:val="002D1DEE"/>
    <w:rsid w:val="002D1DFB"/>
    <w:rsid w:val="002D1F19"/>
    <w:rsid w:val="002D1F2C"/>
    <w:rsid w:val="002D1FB3"/>
    <w:rsid w:val="002D1FC7"/>
    <w:rsid w:val="002D211D"/>
    <w:rsid w:val="002D221D"/>
    <w:rsid w:val="002D22C0"/>
    <w:rsid w:val="002D2319"/>
    <w:rsid w:val="002D2371"/>
    <w:rsid w:val="002D23A2"/>
    <w:rsid w:val="002D23B9"/>
    <w:rsid w:val="002D2455"/>
    <w:rsid w:val="002D2684"/>
    <w:rsid w:val="002D29E9"/>
    <w:rsid w:val="002D29FE"/>
    <w:rsid w:val="002D2A27"/>
    <w:rsid w:val="002D2A8C"/>
    <w:rsid w:val="002D2AF4"/>
    <w:rsid w:val="002D2B79"/>
    <w:rsid w:val="002D2BBD"/>
    <w:rsid w:val="002D2C0C"/>
    <w:rsid w:val="002D2C87"/>
    <w:rsid w:val="002D2CE3"/>
    <w:rsid w:val="002D2D1B"/>
    <w:rsid w:val="002D2D38"/>
    <w:rsid w:val="002D2D7E"/>
    <w:rsid w:val="002D2E0C"/>
    <w:rsid w:val="002D2EB7"/>
    <w:rsid w:val="002D2ECA"/>
    <w:rsid w:val="002D2FC6"/>
    <w:rsid w:val="002D302E"/>
    <w:rsid w:val="002D3069"/>
    <w:rsid w:val="002D30BA"/>
    <w:rsid w:val="002D324C"/>
    <w:rsid w:val="002D327D"/>
    <w:rsid w:val="002D32C9"/>
    <w:rsid w:val="002D32D1"/>
    <w:rsid w:val="002D32DE"/>
    <w:rsid w:val="002D32F9"/>
    <w:rsid w:val="002D33C4"/>
    <w:rsid w:val="002D3411"/>
    <w:rsid w:val="002D3431"/>
    <w:rsid w:val="002D34C5"/>
    <w:rsid w:val="002D34CB"/>
    <w:rsid w:val="002D35A9"/>
    <w:rsid w:val="002D35BE"/>
    <w:rsid w:val="002D3684"/>
    <w:rsid w:val="002D36B5"/>
    <w:rsid w:val="002D3719"/>
    <w:rsid w:val="002D37CF"/>
    <w:rsid w:val="002D39B7"/>
    <w:rsid w:val="002D3A1F"/>
    <w:rsid w:val="002D3A2C"/>
    <w:rsid w:val="002D3A41"/>
    <w:rsid w:val="002D3C38"/>
    <w:rsid w:val="002D3C91"/>
    <w:rsid w:val="002D3F47"/>
    <w:rsid w:val="002D3FD5"/>
    <w:rsid w:val="002D3FD9"/>
    <w:rsid w:val="002D3FE4"/>
    <w:rsid w:val="002D403D"/>
    <w:rsid w:val="002D4059"/>
    <w:rsid w:val="002D4075"/>
    <w:rsid w:val="002D40D6"/>
    <w:rsid w:val="002D4159"/>
    <w:rsid w:val="002D4172"/>
    <w:rsid w:val="002D41D8"/>
    <w:rsid w:val="002D41E1"/>
    <w:rsid w:val="002D41F1"/>
    <w:rsid w:val="002D4280"/>
    <w:rsid w:val="002D4413"/>
    <w:rsid w:val="002D45A0"/>
    <w:rsid w:val="002D45A4"/>
    <w:rsid w:val="002D45BD"/>
    <w:rsid w:val="002D46F8"/>
    <w:rsid w:val="002D472C"/>
    <w:rsid w:val="002D47FB"/>
    <w:rsid w:val="002D4872"/>
    <w:rsid w:val="002D48CD"/>
    <w:rsid w:val="002D495A"/>
    <w:rsid w:val="002D4969"/>
    <w:rsid w:val="002D4AC2"/>
    <w:rsid w:val="002D4ADF"/>
    <w:rsid w:val="002D4B38"/>
    <w:rsid w:val="002D4B4B"/>
    <w:rsid w:val="002D4B69"/>
    <w:rsid w:val="002D4C23"/>
    <w:rsid w:val="002D4C2F"/>
    <w:rsid w:val="002D4F65"/>
    <w:rsid w:val="002D4FAC"/>
    <w:rsid w:val="002D5064"/>
    <w:rsid w:val="002D5097"/>
    <w:rsid w:val="002D509A"/>
    <w:rsid w:val="002D50CF"/>
    <w:rsid w:val="002D511D"/>
    <w:rsid w:val="002D51D2"/>
    <w:rsid w:val="002D53C7"/>
    <w:rsid w:val="002D5464"/>
    <w:rsid w:val="002D54B5"/>
    <w:rsid w:val="002D54E6"/>
    <w:rsid w:val="002D55AE"/>
    <w:rsid w:val="002D55B1"/>
    <w:rsid w:val="002D55DE"/>
    <w:rsid w:val="002D562B"/>
    <w:rsid w:val="002D56E4"/>
    <w:rsid w:val="002D570A"/>
    <w:rsid w:val="002D576D"/>
    <w:rsid w:val="002D5786"/>
    <w:rsid w:val="002D5791"/>
    <w:rsid w:val="002D5799"/>
    <w:rsid w:val="002D582D"/>
    <w:rsid w:val="002D5858"/>
    <w:rsid w:val="002D5982"/>
    <w:rsid w:val="002D5A6E"/>
    <w:rsid w:val="002D5B4F"/>
    <w:rsid w:val="002D5B6C"/>
    <w:rsid w:val="002D5BAF"/>
    <w:rsid w:val="002D5E1A"/>
    <w:rsid w:val="002D5E2B"/>
    <w:rsid w:val="002D5E48"/>
    <w:rsid w:val="002D5E53"/>
    <w:rsid w:val="002D5F1F"/>
    <w:rsid w:val="002D5F76"/>
    <w:rsid w:val="002D5FD8"/>
    <w:rsid w:val="002D60DC"/>
    <w:rsid w:val="002D6140"/>
    <w:rsid w:val="002D6153"/>
    <w:rsid w:val="002D6219"/>
    <w:rsid w:val="002D62C4"/>
    <w:rsid w:val="002D63CF"/>
    <w:rsid w:val="002D63D8"/>
    <w:rsid w:val="002D63E2"/>
    <w:rsid w:val="002D64F6"/>
    <w:rsid w:val="002D651A"/>
    <w:rsid w:val="002D65FE"/>
    <w:rsid w:val="002D6793"/>
    <w:rsid w:val="002D67AB"/>
    <w:rsid w:val="002D68B3"/>
    <w:rsid w:val="002D68DB"/>
    <w:rsid w:val="002D6A51"/>
    <w:rsid w:val="002D6A9F"/>
    <w:rsid w:val="002D6AC3"/>
    <w:rsid w:val="002D6BC0"/>
    <w:rsid w:val="002D6BD6"/>
    <w:rsid w:val="002D6C29"/>
    <w:rsid w:val="002D6D11"/>
    <w:rsid w:val="002D6EBC"/>
    <w:rsid w:val="002D70A5"/>
    <w:rsid w:val="002D7171"/>
    <w:rsid w:val="002D71B1"/>
    <w:rsid w:val="002D7245"/>
    <w:rsid w:val="002D72D4"/>
    <w:rsid w:val="002D734A"/>
    <w:rsid w:val="002D741B"/>
    <w:rsid w:val="002D74AD"/>
    <w:rsid w:val="002D74E9"/>
    <w:rsid w:val="002D750E"/>
    <w:rsid w:val="002D75B7"/>
    <w:rsid w:val="002D76A6"/>
    <w:rsid w:val="002D78E9"/>
    <w:rsid w:val="002D7925"/>
    <w:rsid w:val="002D797A"/>
    <w:rsid w:val="002D7984"/>
    <w:rsid w:val="002D79F7"/>
    <w:rsid w:val="002D7AD2"/>
    <w:rsid w:val="002D7B01"/>
    <w:rsid w:val="002D7BE6"/>
    <w:rsid w:val="002D7BEB"/>
    <w:rsid w:val="002D7D00"/>
    <w:rsid w:val="002D7D3D"/>
    <w:rsid w:val="002D7D9C"/>
    <w:rsid w:val="002D7DD1"/>
    <w:rsid w:val="002D7DD4"/>
    <w:rsid w:val="002D7DED"/>
    <w:rsid w:val="002D7DF8"/>
    <w:rsid w:val="002D7E8B"/>
    <w:rsid w:val="002D7F94"/>
    <w:rsid w:val="002E0034"/>
    <w:rsid w:val="002E003C"/>
    <w:rsid w:val="002E006A"/>
    <w:rsid w:val="002E0075"/>
    <w:rsid w:val="002E016F"/>
    <w:rsid w:val="002E0256"/>
    <w:rsid w:val="002E028D"/>
    <w:rsid w:val="002E038A"/>
    <w:rsid w:val="002E06C7"/>
    <w:rsid w:val="002E0704"/>
    <w:rsid w:val="002E0724"/>
    <w:rsid w:val="002E0754"/>
    <w:rsid w:val="002E098B"/>
    <w:rsid w:val="002E09AE"/>
    <w:rsid w:val="002E09FB"/>
    <w:rsid w:val="002E0ABE"/>
    <w:rsid w:val="002E0C08"/>
    <w:rsid w:val="002E0CBC"/>
    <w:rsid w:val="002E0D24"/>
    <w:rsid w:val="002E0D46"/>
    <w:rsid w:val="002E0D6C"/>
    <w:rsid w:val="002E0D75"/>
    <w:rsid w:val="002E0DC4"/>
    <w:rsid w:val="002E0E3F"/>
    <w:rsid w:val="002E0E93"/>
    <w:rsid w:val="002E0F3B"/>
    <w:rsid w:val="002E0F73"/>
    <w:rsid w:val="002E0FE4"/>
    <w:rsid w:val="002E1306"/>
    <w:rsid w:val="002E143F"/>
    <w:rsid w:val="002E14F0"/>
    <w:rsid w:val="002E15CC"/>
    <w:rsid w:val="002E161A"/>
    <w:rsid w:val="002E16A4"/>
    <w:rsid w:val="002E16AF"/>
    <w:rsid w:val="002E175E"/>
    <w:rsid w:val="002E17AA"/>
    <w:rsid w:val="002E17F7"/>
    <w:rsid w:val="002E185F"/>
    <w:rsid w:val="002E188E"/>
    <w:rsid w:val="002E1917"/>
    <w:rsid w:val="002E1932"/>
    <w:rsid w:val="002E1944"/>
    <w:rsid w:val="002E197A"/>
    <w:rsid w:val="002E1AA6"/>
    <w:rsid w:val="002E1B07"/>
    <w:rsid w:val="002E1B2B"/>
    <w:rsid w:val="002E1BA6"/>
    <w:rsid w:val="002E1BA7"/>
    <w:rsid w:val="002E1C61"/>
    <w:rsid w:val="002E1C8D"/>
    <w:rsid w:val="002E1D03"/>
    <w:rsid w:val="002E1D66"/>
    <w:rsid w:val="002E1D85"/>
    <w:rsid w:val="002E1E3D"/>
    <w:rsid w:val="002E1F47"/>
    <w:rsid w:val="002E1F92"/>
    <w:rsid w:val="002E1FF6"/>
    <w:rsid w:val="002E2010"/>
    <w:rsid w:val="002E20B4"/>
    <w:rsid w:val="002E2152"/>
    <w:rsid w:val="002E2198"/>
    <w:rsid w:val="002E221A"/>
    <w:rsid w:val="002E221F"/>
    <w:rsid w:val="002E229B"/>
    <w:rsid w:val="002E229D"/>
    <w:rsid w:val="002E2365"/>
    <w:rsid w:val="002E2375"/>
    <w:rsid w:val="002E23AC"/>
    <w:rsid w:val="002E23BC"/>
    <w:rsid w:val="002E246E"/>
    <w:rsid w:val="002E248D"/>
    <w:rsid w:val="002E24A0"/>
    <w:rsid w:val="002E24AE"/>
    <w:rsid w:val="002E2510"/>
    <w:rsid w:val="002E251C"/>
    <w:rsid w:val="002E2849"/>
    <w:rsid w:val="002E284A"/>
    <w:rsid w:val="002E2884"/>
    <w:rsid w:val="002E2913"/>
    <w:rsid w:val="002E2959"/>
    <w:rsid w:val="002E2A18"/>
    <w:rsid w:val="002E2AA7"/>
    <w:rsid w:val="002E2ABC"/>
    <w:rsid w:val="002E2ACD"/>
    <w:rsid w:val="002E2C41"/>
    <w:rsid w:val="002E2C79"/>
    <w:rsid w:val="002E2C89"/>
    <w:rsid w:val="002E2D21"/>
    <w:rsid w:val="002E2D4F"/>
    <w:rsid w:val="002E2DCA"/>
    <w:rsid w:val="002E2DCF"/>
    <w:rsid w:val="002E2EB0"/>
    <w:rsid w:val="002E2F39"/>
    <w:rsid w:val="002E2F87"/>
    <w:rsid w:val="002E317C"/>
    <w:rsid w:val="002E3198"/>
    <w:rsid w:val="002E31AE"/>
    <w:rsid w:val="002E31FE"/>
    <w:rsid w:val="002E33D2"/>
    <w:rsid w:val="002E348E"/>
    <w:rsid w:val="002E34D6"/>
    <w:rsid w:val="002E353F"/>
    <w:rsid w:val="002E358A"/>
    <w:rsid w:val="002E35DB"/>
    <w:rsid w:val="002E370D"/>
    <w:rsid w:val="002E37E5"/>
    <w:rsid w:val="002E3820"/>
    <w:rsid w:val="002E386B"/>
    <w:rsid w:val="002E38D8"/>
    <w:rsid w:val="002E3929"/>
    <w:rsid w:val="002E3957"/>
    <w:rsid w:val="002E3A7A"/>
    <w:rsid w:val="002E3BBF"/>
    <w:rsid w:val="002E3BF1"/>
    <w:rsid w:val="002E3C64"/>
    <w:rsid w:val="002E3EA6"/>
    <w:rsid w:val="002E3F16"/>
    <w:rsid w:val="002E3F41"/>
    <w:rsid w:val="002E3F47"/>
    <w:rsid w:val="002E40A1"/>
    <w:rsid w:val="002E40A2"/>
    <w:rsid w:val="002E40D7"/>
    <w:rsid w:val="002E41CA"/>
    <w:rsid w:val="002E4245"/>
    <w:rsid w:val="002E4284"/>
    <w:rsid w:val="002E4335"/>
    <w:rsid w:val="002E43AD"/>
    <w:rsid w:val="002E4411"/>
    <w:rsid w:val="002E442E"/>
    <w:rsid w:val="002E4478"/>
    <w:rsid w:val="002E4524"/>
    <w:rsid w:val="002E4693"/>
    <w:rsid w:val="002E46C4"/>
    <w:rsid w:val="002E472B"/>
    <w:rsid w:val="002E4749"/>
    <w:rsid w:val="002E4806"/>
    <w:rsid w:val="002E4936"/>
    <w:rsid w:val="002E497D"/>
    <w:rsid w:val="002E4A41"/>
    <w:rsid w:val="002E4A6A"/>
    <w:rsid w:val="002E4AA6"/>
    <w:rsid w:val="002E4B94"/>
    <w:rsid w:val="002E4C68"/>
    <w:rsid w:val="002E4D0E"/>
    <w:rsid w:val="002E4D30"/>
    <w:rsid w:val="002E4E6A"/>
    <w:rsid w:val="002E4F94"/>
    <w:rsid w:val="002E5079"/>
    <w:rsid w:val="002E516B"/>
    <w:rsid w:val="002E51B8"/>
    <w:rsid w:val="002E520D"/>
    <w:rsid w:val="002E5414"/>
    <w:rsid w:val="002E54BB"/>
    <w:rsid w:val="002E54D3"/>
    <w:rsid w:val="002E55F0"/>
    <w:rsid w:val="002E56B4"/>
    <w:rsid w:val="002E5717"/>
    <w:rsid w:val="002E573D"/>
    <w:rsid w:val="002E5873"/>
    <w:rsid w:val="002E589D"/>
    <w:rsid w:val="002E592D"/>
    <w:rsid w:val="002E5A95"/>
    <w:rsid w:val="002E5BD5"/>
    <w:rsid w:val="002E5C73"/>
    <w:rsid w:val="002E5C76"/>
    <w:rsid w:val="002E5C85"/>
    <w:rsid w:val="002E5D34"/>
    <w:rsid w:val="002E5D57"/>
    <w:rsid w:val="002E5DE8"/>
    <w:rsid w:val="002E5E13"/>
    <w:rsid w:val="002E5EB9"/>
    <w:rsid w:val="002E5EBA"/>
    <w:rsid w:val="002E5ECE"/>
    <w:rsid w:val="002E5ED9"/>
    <w:rsid w:val="002E5F71"/>
    <w:rsid w:val="002E5FDE"/>
    <w:rsid w:val="002E5FE2"/>
    <w:rsid w:val="002E622E"/>
    <w:rsid w:val="002E62C4"/>
    <w:rsid w:val="002E647C"/>
    <w:rsid w:val="002E64FC"/>
    <w:rsid w:val="002E65AB"/>
    <w:rsid w:val="002E65BC"/>
    <w:rsid w:val="002E65C1"/>
    <w:rsid w:val="002E6725"/>
    <w:rsid w:val="002E67FD"/>
    <w:rsid w:val="002E6856"/>
    <w:rsid w:val="002E6AAE"/>
    <w:rsid w:val="002E6AF9"/>
    <w:rsid w:val="002E6B32"/>
    <w:rsid w:val="002E6BFB"/>
    <w:rsid w:val="002E6C9F"/>
    <w:rsid w:val="002E70B5"/>
    <w:rsid w:val="002E7147"/>
    <w:rsid w:val="002E71B2"/>
    <w:rsid w:val="002E7361"/>
    <w:rsid w:val="002E73FD"/>
    <w:rsid w:val="002E740A"/>
    <w:rsid w:val="002E743F"/>
    <w:rsid w:val="002E7447"/>
    <w:rsid w:val="002E760B"/>
    <w:rsid w:val="002E7662"/>
    <w:rsid w:val="002E76DB"/>
    <w:rsid w:val="002E770B"/>
    <w:rsid w:val="002E7791"/>
    <w:rsid w:val="002E77E9"/>
    <w:rsid w:val="002E7833"/>
    <w:rsid w:val="002E795D"/>
    <w:rsid w:val="002E79A1"/>
    <w:rsid w:val="002E7B53"/>
    <w:rsid w:val="002E7B7F"/>
    <w:rsid w:val="002E7B81"/>
    <w:rsid w:val="002E7D1B"/>
    <w:rsid w:val="002E7D85"/>
    <w:rsid w:val="002E7DC6"/>
    <w:rsid w:val="002E7EE0"/>
    <w:rsid w:val="002E7EF1"/>
    <w:rsid w:val="002E7F44"/>
    <w:rsid w:val="002E7F99"/>
    <w:rsid w:val="002E7F9C"/>
    <w:rsid w:val="002E7FEA"/>
    <w:rsid w:val="002F00BF"/>
    <w:rsid w:val="002F012B"/>
    <w:rsid w:val="002F0169"/>
    <w:rsid w:val="002F022C"/>
    <w:rsid w:val="002F0282"/>
    <w:rsid w:val="002F02A2"/>
    <w:rsid w:val="002F0390"/>
    <w:rsid w:val="002F046B"/>
    <w:rsid w:val="002F04F4"/>
    <w:rsid w:val="002F0503"/>
    <w:rsid w:val="002F0505"/>
    <w:rsid w:val="002F060A"/>
    <w:rsid w:val="002F066C"/>
    <w:rsid w:val="002F0740"/>
    <w:rsid w:val="002F0748"/>
    <w:rsid w:val="002F0800"/>
    <w:rsid w:val="002F086F"/>
    <w:rsid w:val="002F08BF"/>
    <w:rsid w:val="002F090D"/>
    <w:rsid w:val="002F098A"/>
    <w:rsid w:val="002F09D0"/>
    <w:rsid w:val="002F09E5"/>
    <w:rsid w:val="002F0A15"/>
    <w:rsid w:val="002F0A19"/>
    <w:rsid w:val="002F0A52"/>
    <w:rsid w:val="002F0B0C"/>
    <w:rsid w:val="002F0B36"/>
    <w:rsid w:val="002F0BE2"/>
    <w:rsid w:val="002F0C8B"/>
    <w:rsid w:val="002F0CC3"/>
    <w:rsid w:val="002F0CC8"/>
    <w:rsid w:val="002F0D1D"/>
    <w:rsid w:val="002F0E36"/>
    <w:rsid w:val="002F0ECF"/>
    <w:rsid w:val="002F0F3D"/>
    <w:rsid w:val="002F0FE6"/>
    <w:rsid w:val="002F1020"/>
    <w:rsid w:val="002F10B2"/>
    <w:rsid w:val="002F10D1"/>
    <w:rsid w:val="002F1102"/>
    <w:rsid w:val="002F11AE"/>
    <w:rsid w:val="002F12A6"/>
    <w:rsid w:val="002F133C"/>
    <w:rsid w:val="002F134F"/>
    <w:rsid w:val="002F147D"/>
    <w:rsid w:val="002F149C"/>
    <w:rsid w:val="002F14DD"/>
    <w:rsid w:val="002F1557"/>
    <w:rsid w:val="002F157B"/>
    <w:rsid w:val="002F15FA"/>
    <w:rsid w:val="002F1601"/>
    <w:rsid w:val="002F16D9"/>
    <w:rsid w:val="002F17AB"/>
    <w:rsid w:val="002F182E"/>
    <w:rsid w:val="002F18C8"/>
    <w:rsid w:val="002F18E3"/>
    <w:rsid w:val="002F1A17"/>
    <w:rsid w:val="002F1A44"/>
    <w:rsid w:val="002F1AAC"/>
    <w:rsid w:val="002F1AC4"/>
    <w:rsid w:val="002F1B11"/>
    <w:rsid w:val="002F1B92"/>
    <w:rsid w:val="002F1C9F"/>
    <w:rsid w:val="002F1CA7"/>
    <w:rsid w:val="002F1D68"/>
    <w:rsid w:val="002F1F22"/>
    <w:rsid w:val="002F1F8C"/>
    <w:rsid w:val="002F1FBF"/>
    <w:rsid w:val="002F2004"/>
    <w:rsid w:val="002F2011"/>
    <w:rsid w:val="002F2035"/>
    <w:rsid w:val="002F2074"/>
    <w:rsid w:val="002F20B6"/>
    <w:rsid w:val="002F2190"/>
    <w:rsid w:val="002F226D"/>
    <w:rsid w:val="002F22A9"/>
    <w:rsid w:val="002F2322"/>
    <w:rsid w:val="002F23FE"/>
    <w:rsid w:val="002F2433"/>
    <w:rsid w:val="002F2461"/>
    <w:rsid w:val="002F24C1"/>
    <w:rsid w:val="002F24E7"/>
    <w:rsid w:val="002F265D"/>
    <w:rsid w:val="002F269D"/>
    <w:rsid w:val="002F27F5"/>
    <w:rsid w:val="002F2883"/>
    <w:rsid w:val="002F292C"/>
    <w:rsid w:val="002F296C"/>
    <w:rsid w:val="002F29E8"/>
    <w:rsid w:val="002F2A73"/>
    <w:rsid w:val="002F2A9E"/>
    <w:rsid w:val="002F2AE4"/>
    <w:rsid w:val="002F2B5D"/>
    <w:rsid w:val="002F2BBA"/>
    <w:rsid w:val="002F2BCE"/>
    <w:rsid w:val="002F2CBE"/>
    <w:rsid w:val="002F2E44"/>
    <w:rsid w:val="002F3014"/>
    <w:rsid w:val="002F306A"/>
    <w:rsid w:val="002F3087"/>
    <w:rsid w:val="002F30A0"/>
    <w:rsid w:val="002F30A8"/>
    <w:rsid w:val="002F3108"/>
    <w:rsid w:val="002F3245"/>
    <w:rsid w:val="002F326A"/>
    <w:rsid w:val="002F3283"/>
    <w:rsid w:val="002F32B7"/>
    <w:rsid w:val="002F32CD"/>
    <w:rsid w:val="002F3349"/>
    <w:rsid w:val="002F33F7"/>
    <w:rsid w:val="002F359A"/>
    <w:rsid w:val="002F3653"/>
    <w:rsid w:val="002F3682"/>
    <w:rsid w:val="002F36A4"/>
    <w:rsid w:val="002F36AF"/>
    <w:rsid w:val="002F37F6"/>
    <w:rsid w:val="002F38EB"/>
    <w:rsid w:val="002F391F"/>
    <w:rsid w:val="002F3948"/>
    <w:rsid w:val="002F39B2"/>
    <w:rsid w:val="002F3A7B"/>
    <w:rsid w:val="002F3B88"/>
    <w:rsid w:val="002F3C23"/>
    <w:rsid w:val="002F3CE7"/>
    <w:rsid w:val="002F3D2F"/>
    <w:rsid w:val="002F3D85"/>
    <w:rsid w:val="002F3DCD"/>
    <w:rsid w:val="002F3E70"/>
    <w:rsid w:val="002F3F0E"/>
    <w:rsid w:val="002F4009"/>
    <w:rsid w:val="002F411F"/>
    <w:rsid w:val="002F418F"/>
    <w:rsid w:val="002F41D2"/>
    <w:rsid w:val="002F43CC"/>
    <w:rsid w:val="002F4413"/>
    <w:rsid w:val="002F45BF"/>
    <w:rsid w:val="002F465D"/>
    <w:rsid w:val="002F46FA"/>
    <w:rsid w:val="002F4751"/>
    <w:rsid w:val="002F47D3"/>
    <w:rsid w:val="002F4907"/>
    <w:rsid w:val="002F496E"/>
    <w:rsid w:val="002F4A13"/>
    <w:rsid w:val="002F4A3F"/>
    <w:rsid w:val="002F4A40"/>
    <w:rsid w:val="002F4A4C"/>
    <w:rsid w:val="002F4CE9"/>
    <w:rsid w:val="002F4D6F"/>
    <w:rsid w:val="002F4DC6"/>
    <w:rsid w:val="002F4EDA"/>
    <w:rsid w:val="002F4F2B"/>
    <w:rsid w:val="002F4F34"/>
    <w:rsid w:val="002F4FCE"/>
    <w:rsid w:val="002F5099"/>
    <w:rsid w:val="002F50E1"/>
    <w:rsid w:val="002F5143"/>
    <w:rsid w:val="002F5176"/>
    <w:rsid w:val="002F5185"/>
    <w:rsid w:val="002F5189"/>
    <w:rsid w:val="002F51C7"/>
    <w:rsid w:val="002F53D1"/>
    <w:rsid w:val="002F53EF"/>
    <w:rsid w:val="002F542F"/>
    <w:rsid w:val="002F5466"/>
    <w:rsid w:val="002F546D"/>
    <w:rsid w:val="002F5511"/>
    <w:rsid w:val="002F5568"/>
    <w:rsid w:val="002F556C"/>
    <w:rsid w:val="002F5609"/>
    <w:rsid w:val="002F563F"/>
    <w:rsid w:val="002F5676"/>
    <w:rsid w:val="002F56CF"/>
    <w:rsid w:val="002F5747"/>
    <w:rsid w:val="002F5799"/>
    <w:rsid w:val="002F5800"/>
    <w:rsid w:val="002F5825"/>
    <w:rsid w:val="002F5913"/>
    <w:rsid w:val="002F5989"/>
    <w:rsid w:val="002F5A32"/>
    <w:rsid w:val="002F5A5A"/>
    <w:rsid w:val="002F5A87"/>
    <w:rsid w:val="002F5AB5"/>
    <w:rsid w:val="002F5BAA"/>
    <w:rsid w:val="002F5C30"/>
    <w:rsid w:val="002F5CAD"/>
    <w:rsid w:val="002F5CDE"/>
    <w:rsid w:val="002F5E20"/>
    <w:rsid w:val="002F5E8B"/>
    <w:rsid w:val="002F5F00"/>
    <w:rsid w:val="002F5FC1"/>
    <w:rsid w:val="002F600B"/>
    <w:rsid w:val="002F608E"/>
    <w:rsid w:val="002F612B"/>
    <w:rsid w:val="002F623A"/>
    <w:rsid w:val="002F62CE"/>
    <w:rsid w:val="002F6344"/>
    <w:rsid w:val="002F63E8"/>
    <w:rsid w:val="002F649B"/>
    <w:rsid w:val="002F64D0"/>
    <w:rsid w:val="002F64D7"/>
    <w:rsid w:val="002F6510"/>
    <w:rsid w:val="002F65B3"/>
    <w:rsid w:val="002F6613"/>
    <w:rsid w:val="002F6621"/>
    <w:rsid w:val="002F6695"/>
    <w:rsid w:val="002F66D1"/>
    <w:rsid w:val="002F6850"/>
    <w:rsid w:val="002F6868"/>
    <w:rsid w:val="002F68D8"/>
    <w:rsid w:val="002F6B9E"/>
    <w:rsid w:val="002F6BC9"/>
    <w:rsid w:val="002F6C08"/>
    <w:rsid w:val="002F6C2E"/>
    <w:rsid w:val="002F6CFD"/>
    <w:rsid w:val="002F6DD0"/>
    <w:rsid w:val="002F6DE7"/>
    <w:rsid w:val="002F6EBC"/>
    <w:rsid w:val="002F6F13"/>
    <w:rsid w:val="002F6F65"/>
    <w:rsid w:val="002F7079"/>
    <w:rsid w:val="002F70AB"/>
    <w:rsid w:val="002F71E2"/>
    <w:rsid w:val="002F726B"/>
    <w:rsid w:val="002F7272"/>
    <w:rsid w:val="002F72EC"/>
    <w:rsid w:val="002F7368"/>
    <w:rsid w:val="002F73AF"/>
    <w:rsid w:val="002F741D"/>
    <w:rsid w:val="002F74F5"/>
    <w:rsid w:val="002F7658"/>
    <w:rsid w:val="002F785A"/>
    <w:rsid w:val="002F78A0"/>
    <w:rsid w:val="002F78BA"/>
    <w:rsid w:val="002F78EF"/>
    <w:rsid w:val="002F7907"/>
    <w:rsid w:val="002F7938"/>
    <w:rsid w:val="002F7B36"/>
    <w:rsid w:val="002F7B4B"/>
    <w:rsid w:val="002F7D72"/>
    <w:rsid w:val="002F7DAE"/>
    <w:rsid w:val="002F7DE4"/>
    <w:rsid w:val="002F7DEF"/>
    <w:rsid w:val="002F7E97"/>
    <w:rsid w:val="002F7ECF"/>
    <w:rsid w:val="002F7EE6"/>
    <w:rsid w:val="002F7EEB"/>
    <w:rsid w:val="002F7F2A"/>
    <w:rsid w:val="002F7F32"/>
    <w:rsid w:val="002F7F85"/>
    <w:rsid w:val="002F7FC6"/>
    <w:rsid w:val="00300050"/>
    <w:rsid w:val="00300058"/>
    <w:rsid w:val="003000C0"/>
    <w:rsid w:val="0030011A"/>
    <w:rsid w:val="00300238"/>
    <w:rsid w:val="00300328"/>
    <w:rsid w:val="00300409"/>
    <w:rsid w:val="0030041F"/>
    <w:rsid w:val="00300428"/>
    <w:rsid w:val="0030052D"/>
    <w:rsid w:val="003005C6"/>
    <w:rsid w:val="00300619"/>
    <w:rsid w:val="0030064D"/>
    <w:rsid w:val="003006E2"/>
    <w:rsid w:val="003007C5"/>
    <w:rsid w:val="0030092B"/>
    <w:rsid w:val="00300ACD"/>
    <w:rsid w:val="00300B5C"/>
    <w:rsid w:val="00300B7F"/>
    <w:rsid w:val="00300B93"/>
    <w:rsid w:val="00300BCF"/>
    <w:rsid w:val="00300CBB"/>
    <w:rsid w:val="00300CDF"/>
    <w:rsid w:val="00300EAC"/>
    <w:rsid w:val="00300EDD"/>
    <w:rsid w:val="00300F38"/>
    <w:rsid w:val="00300F50"/>
    <w:rsid w:val="003010C7"/>
    <w:rsid w:val="0030117F"/>
    <w:rsid w:val="003011F0"/>
    <w:rsid w:val="00301375"/>
    <w:rsid w:val="00301458"/>
    <w:rsid w:val="003014A1"/>
    <w:rsid w:val="003014CB"/>
    <w:rsid w:val="003014D9"/>
    <w:rsid w:val="00301590"/>
    <w:rsid w:val="003015C5"/>
    <w:rsid w:val="00301637"/>
    <w:rsid w:val="00301647"/>
    <w:rsid w:val="0030164B"/>
    <w:rsid w:val="0030167D"/>
    <w:rsid w:val="003016C2"/>
    <w:rsid w:val="003018E6"/>
    <w:rsid w:val="00301A00"/>
    <w:rsid w:val="00301A75"/>
    <w:rsid w:val="00301AE9"/>
    <w:rsid w:val="00301BCB"/>
    <w:rsid w:val="00301C1A"/>
    <w:rsid w:val="00301C68"/>
    <w:rsid w:val="00301CA6"/>
    <w:rsid w:val="00301D15"/>
    <w:rsid w:val="00301D70"/>
    <w:rsid w:val="00301DAF"/>
    <w:rsid w:val="00301E60"/>
    <w:rsid w:val="00301EA3"/>
    <w:rsid w:val="00301F22"/>
    <w:rsid w:val="00301F72"/>
    <w:rsid w:val="00301FA4"/>
    <w:rsid w:val="00301FE4"/>
    <w:rsid w:val="00302052"/>
    <w:rsid w:val="003020B5"/>
    <w:rsid w:val="003020C7"/>
    <w:rsid w:val="00302182"/>
    <w:rsid w:val="00302198"/>
    <w:rsid w:val="003021BB"/>
    <w:rsid w:val="00302282"/>
    <w:rsid w:val="0030235F"/>
    <w:rsid w:val="003024C8"/>
    <w:rsid w:val="0030261D"/>
    <w:rsid w:val="0030273A"/>
    <w:rsid w:val="00302887"/>
    <w:rsid w:val="0030291C"/>
    <w:rsid w:val="00302987"/>
    <w:rsid w:val="003029B8"/>
    <w:rsid w:val="00302AE1"/>
    <w:rsid w:val="00302E36"/>
    <w:rsid w:val="00302EF4"/>
    <w:rsid w:val="00302FE1"/>
    <w:rsid w:val="00303087"/>
    <w:rsid w:val="00303102"/>
    <w:rsid w:val="00303310"/>
    <w:rsid w:val="00303417"/>
    <w:rsid w:val="003034F3"/>
    <w:rsid w:val="0030354C"/>
    <w:rsid w:val="00303557"/>
    <w:rsid w:val="00303610"/>
    <w:rsid w:val="0030366F"/>
    <w:rsid w:val="003036E4"/>
    <w:rsid w:val="00303703"/>
    <w:rsid w:val="003037BE"/>
    <w:rsid w:val="003037C9"/>
    <w:rsid w:val="0030382C"/>
    <w:rsid w:val="00303839"/>
    <w:rsid w:val="00303889"/>
    <w:rsid w:val="00303916"/>
    <w:rsid w:val="003039B1"/>
    <w:rsid w:val="00303AA5"/>
    <w:rsid w:val="00303AAF"/>
    <w:rsid w:val="00303B11"/>
    <w:rsid w:val="00303BDA"/>
    <w:rsid w:val="00303C24"/>
    <w:rsid w:val="00303C28"/>
    <w:rsid w:val="00303D1B"/>
    <w:rsid w:val="00303D82"/>
    <w:rsid w:val="00303DC4"/>
    <w:rsid w:val="003041A8"/>
    <w:rsid w:val="003042B5"/>
    <w:rsid w:val="00304316"/>
    <w:rsid w:val="00304362"/>
    <w:rsid w:val="0030439E"/>
    <w:rsid w:val="00304416"/>
    <w:rsid w:val="003044B7"/>
    <w:rsid w:val="00304527"/>
    <w:rsid w:val="0030468B"/>
    <w:rsid w:val="003047CF"/>
    <w:rsid w:val="0030483E"/>
    <w:rsid w:val="003048AA"/>
    <w:rsid w:val="0030495C"/>
    <w:rsid w:val="003049C2"/>
    <w:rsid w:val="00304BFE"/>
    <w:rsid w:val="00304CE6"/>
    <w:rsid w:val="00304EEC"/>
    <w:rsid w:val="00304F2A"/>
    <w:rsid w:val="00304FB2"/>
    <w:rsid w:val="00305027"/>
    <w:rsid w:val="00305098"/>
    <w:rsid w:val="00305121"/>
    <w:rsid w:val="003052EA"/>
    <w:rsid w:val="00305301"/>
    <w:rsid w:val="00305508"/>
    <w:rsid w:val="003056DF"/>
    <w:rsid w:val="00305719"/>
    <w:rsid w:val="00305780"/>
    <w:rsid w:val="003058B5"/>
    <w:rsid w:val="0030598A"/>
    <w:rsid w:val="00305A50"/>
    <w:rsid w:val="00305BE9"/>
    <w:rsid w:val="00305D02"/>
    <w:rsid w:val="00305E46"/>
    <w:rsid w:val="00305E4B"/>
    <w:rsid w:val="00305F37"/>
    <w:rsid w:val="00305FAD"/>
    <w:rsid w:val="0030609F"/>
    <w:rsid w:val="003060D7"/>
    <w:rsid w:val="00306188"/>
    <w:rsid w:val="003061E6"/>
    <w:rsid w:val="00306268"/>
    <w:rsid w:val="003062AA"/>
    <w:rsid w:val="00306322"/>
    <w:rsid w:val="0030636D"/>
    <w:rsid w:val="003063CC"/>
    <w:rsid w:val="003063F5"/>
    <w:rsid w:val="0030648F"/>
    <w:rsid w:val="0030657B"/>
    <w:rsid w:val="003065FC"/>
    <w:rsid w:val="00306641"/>
    <w:rsid w:val="00306724"/>
    <w:rsid w:val="0030672C"/>
    <w:rsid w:val="003067A7"/>
    <w:rsid w:val="003067B6"/>
    <w:rsid w:val="0030680D"/>
    <w:rsid w:val="0030684E"/>
    <w:rsid w:val="003068DE"/>
    <w:rsid w:val="00306951"/>
    <w:rsid w:val="00306A19"/>
    <w:rsid w:val="00306A49"/>
    <w:rsid w:val="00306ABE"/>
    <w:rsid w:val="00306AC2"/>
    <w:rsid w:val="00306AF7"/>
    <w:rsid w:val="00306B6D"/>
    <w:rsid w:val="00306B8B"/>
    <w:rsid w:val="00306BA5"/>
    <w:rsid w:val="00306BF1"/>
    <w:rsid w:val="00306C00"/>
    <w:rsid w:val="00306C0B"/>
    <w:rsid w:val="00306CBA"/>
    <w:rsid w:val="00306EC0"/>
    <w:rsid w:val="00306EDA"/>
    <w:rsid w:val="00306EF8"/>
    <w:rsid w:val="00306FE4"/>
    <w:rsid w:val="00306FF8"/>
    <w:rsid w:val="00307058"/>
    <w:rsid w:val="00307095"/>
    <w:rsid w:val="003070B4"/>
    <w:rsid w:val="00307157"/>
    <w:rsid w:val="0030726B"/>
    <w:rsid w:val="00307294"/>
    <w:rsid w:val="0030748F"/>
    <w:rsid w:val="003074F5"/>
    <w:rsid w:val="0030755C"/>
    <w:rsid w:val="003075D0"/>
    <w:rsid w:val="003075F7"/>
    <w:rsid w:val="0030776E"/>
    <w:rsid w:val="003077AB"/>
    <w:rsid w:val="003077B8"/>
    <w:rsid w:val="00307819"/>
    <w:rsid w:val="0030792D"/>
    <w:rsid w:val="00307A6D"/>
    <w:rsid w:val="00307A8E"/>
    <w:rsid w:val="00307BB7"/>
    <w:rsid w:val="00307BDC"/>
    <w:rsid w:val="00307C4C"/>
    <w:rsid w:val="00307D2A"/>
    <w:rsid w:val="00307E40"/>
    <w:rsid w:val="00307E57"/>
    <w:rsid w:val="00307E7C"/>
    <w:rsid w:val="00307F01"/>
    <w:rsid w:val="003100B6"/>
    <w:rsid w:val="00310121"/>
    <w:rsid w:val="0031016F"/>
    <w:rsid w:val="0031019E"/>
    <w:rsid w:val="003101E6"/>
    <w:rsid w:val="0031023D"/>
    <w:rsid w:val="0031024A"/>
    <w:rsid w:val="0031028A"/>
    <w:rsid w:val="0031055F"/>
    <w:rsid w:val="00310655"/>
    <w:rsid w:val="00310677"/>
    <w:rsid w:val="0031068D"/>
    <w:rsid w:val="00310714"/>
    <w:rsid w:val="003107BD"/>
    <w:rsid w:val="0031080C"/>
    <w:rsid w:val="00310841"/>
    <w:rsid w:val="00310997"/>
    <w:rsid w:val="003109AD"/>
    <w:rsid w:val="003109E7"/>
    <w:rsid w:val="00310A47"/>
    <w:rsid w:val="00310ADB"/>
    <w:rsid w:val="00310B92"/>
    <w:rsid w:val="00310BC0"/>
    <w:rsid w:val="00310CD5"/>
    <w:rsid w:val="00310DED"/>
    <w:rsid w:val="00310EEE"/>
    <w:rsid w:val="00310FA4"/>
    <w:rsid w:val="00311025"/>
    <w:rsid w:val="0031107A"/>
    <w:rsid w:val="003110E2"/>
    <w:rsid w:val="00311106"/>
    <w:rsid w:val="00311131"/>
    <w:rsid w:val="0031122A"/>
    <w:rsid w:val="0031125F"/>
    <w:rsid w:val="003113C7"/>
    <w:rsid w:val="00311418"/>
    <w:rsid w:val="00311474"/>
    <w:rsid w:val="00311662"/>
    <w:rsid w:val="00311670"/>
    <w:rsid w:val="0031167B"/>
    <w:rsid w:val="00311764"/>
    <w:rsid w:val="003117C4"/>
    <w:rsid w:val="0031181E"/>
    <w:rsid w:val="00311C39"/>
    <w:rsid w:val="00311C9D"/>
    <w:rsid w:val="00311CF7"/>
    <w:rsid w:val="00311E06"/>
    <w:rsid w:val="00311F32"/>
    <w:rsid w:val="00312045"/>
    <w:rsid w:val="003120DC"/>
    <w:rsid w:val="00312140"/>
    <w:rsid w:val="0031215D"/>
    <w:rsid w:val="003121AD"/>
    <w:rsid w:val="003121AF"/>
    <w:rsid w:val="003121DC"/>
    <w:rsid w:val="00312252"/>
    <w:rsid w:val="00312282"/>
    <w:rsid w:val="00312299"/>
    <w:rsid w:val="003122B4"/>
    <w:rsid w:val="003122FF"/>
    <w:rsid w:val="0031240E"/>
    <w:rsid w:val="00312413"/>
    <w:rsid w:val="00312439"/>
    <w:rsid w:val="003125BC"/>
    <w:rsid w:val="0031271C"/>
    <w:rsid w:val="00312802"/>
    <w:rsid w:val="0031284D"/>
    <w:rsid w:val="003128C0"/>
    <w:rsid w:val="003128D0"/>
    <w:rsid w:val="00312932"/>
    <w:rsid w:val="003129BE"/>
    <w:rsid w:val="003129EA"/>
    <w:rsid w:val="00312A19"/>
    <w:rsid w:val="00312AD1"/>
    <w:rsid w:val="00312AEB"/>
    <w:rsid w:val="00312B37"/>
    <w:rsid w:val="00312B88"/>
    <w:rsid w:val="00312D43"/>
    <w:rsid w:val="00312DBD"/>
    <w:rsid w:val="00312E2C"/>
    <w:rsid w:val="00312F67"/>
    <w:rsid w:val="00312FD6"/>
    <w:rsid w:val="003130AC"/>
    <w:rsid w:val="003130BA"/>
    <w:rsid w:val="003131AA"/>
    <w:rsid w:val="003131D1"/>
    <w:rsid w:val="003132A0"/>
    <w:rsid w:val="003132C1"/>
    <w:rsid w:val="0031330C"/>
    <w:rsid w:val="00313571"/>
    <w:rsid w:val="00313577"/>
    <w:rsid w:val="00313630"/>
    <w:rsid w:val="0031367D"/>
    <w:rsid w:val="003136FA"/>
    <w:rsid w:val="00313707"/>
    <w:rsid w:val="0031374E"/>
    <w:rsid w:val="0031383E"/>
    <w:rsid w:val="00313851"/>
    <w:rsid w:val="00313852"/>
    <w:rsid w:val="003138A3"/>
    <w:rsid w:val="003139B7"/>
    <w:rsid w:val="003139BD"/>
    <w:rsid w:val="00313A28"/>
    <w:rsid w:val="00313AC2"/>
    <w:rsid w:val="00313AFD"/>
    <w:rsid w:val="00313B2D"/>
    <w:rsid w:val="00313B38"/>
    <w:rsid w:val="00313BC0"/>
    <w:rsid w:val="00313C04"/>
    <w:rsid w:val="00313D3F"/>
    <w:rsid w:val="00313D4B"/>
    <w:rsid w:val="00313D82"/>
    <w:rsid w:val="00313F81"/>
    <w:rsid w:val="00313FE4"/>
    <w:rsid w:val="00314070"/>
    <w:rsid w:val="003140E5"/>
    <w:rsid w:val="003140EC"/>
    <w:rsid w:val="0031412A"/>
    <w:rsid w:val="003141DD"/>
    <w:rsid w:val="0031426F"/>
    <w:rsid w:val="0031427F"/>
    <w:rsid w:val="00314409"/>
    <w:rsid w:val="0031451E"/>
    <w:rsid w:val="0031457A"/>
    <w:rsid w:val="0031458C"/>
    <w:rsid w:val="003146EE"/>
    <w:rsid w:val="003146F5"/>
    <w:rsid w:val="00314779"/>
    <w:rsid w:val="00314786"/>
    <w:rsid w:val="0031479C"/>
    <w:rsid w:val="00314833"/>
    <w:rsid w:val="0031486D"/>
    <w:rsid w:val="003148C3"/>
    <w:rsid w:val="003149C4"/>
    <w:rsid w:val="003149E5"/>
    <w:rsid w:val="00314A68"/>
    <w:rsid w:val="00314AE0"/>
    <w:rsid w:val="00314B53"/>
    <w:rsid w:val="00314B6A"/>
    <w:rsid w:val="00314B9F"/>
    <w:rsid w:val="00314BB9"/>
    <w:rsid w:val="00314C62"/>
    <w:rsid w:val="00314CA8"/>
    <w:rsid w:val="00314CE3"/>
    <w:rsid w:val="00314F1D"/>
    <w:rsid w:val="0031510A"/>
    <w:rsid w:val="00315116"/>
    <w:rsid w:val="00315157"/>
    <w:rsid w:val="0031517A"/>
    <w:rsid w:val="003153CF"/>
    <w:rsid w:val="003153FB"/>
    <w:rsid w:val="003153FF"/>
    <w:rsid w:val="0031547B"/>
    <w:rsid w:val="003154D5"/>
    <w:rsid w:val="003154ED"/>
    <w:rsid w:val="00315549"/>
    <w:rsid w:val="0031555D"/>
    <w:rsid w:val="00315670"/>
    <w:rsid w:val="003156EE"/>
    <w:rsid w:val="00315784"/>
    <w:rsid w:val="003157C3"/>
    <w:rsid w:val="0031580F"/>
    <w:rsid w:val="00315885"/>
    <w:rsid w:val="00315938"/>
    <w:rsid w:val="003159DD"/>
    <w:rsid w:val="00315B26"/>
    <w:rsid w:val="00315C1A"/>
    <w:rsid w:val="00315C61"/>
    <w:rsid w:val="00315D74"/>
    <w:rsid w:val="00315D7F"/>
    <w:rsid w:val="00315DAF"/>
    <w:rsid w:val="00315E85"/>
    <w:rsid w:val="00315EF7"/>
    <w:rsid w:val="00315F71"/>
    <w:rsid w:val="0031600C"/>
    <w:rsid w:val="00316025"/>
    <w:rsid w:val="0031615A"/>
    <w:rsid w:val="00316192"/>
    <w:rsid w:val="0031622F"/>
    <w:rsid w:val="00316283"/>
    <w:rsid w:val="003162F0"/>
    <w:rsid w:val="00316416"/>
    <w:rsid w:val="0031643D"/>
    <w:rsid w:val="0031658E"/>
    <w:rsid w:val="003166D0"/>
    <w:rsid w:val="003168A0"/>
    <w:rsid w:val="00316929"/>
    <w:rsid w:val="00316957"/>
    <w:rsid w:val="0031696C"/>
    <w:rsid w:val="00316975"/>
    <w:rsid w:val="00316A29"/>
    <w:rsid w:val="00316A46"/>
    <w:rsid w:val="00316A7D"/>
    <w:rsid w:val="00316B11"/>
    <w:rsid w:val="00316B80"/>
    <w:rsid w:val="00316BC5"/>
    <w:rsid w:val="00316E0C"/>
    <w:rsid w:val="00316E33"/>
    <w:rsid w:val="00316E68"/>
    <w:rsid w:val="00316F6A"/>
    <w:rsid w:val="00316FBA"/>
    <w:rsid w:val="00316FBB"/>
    <w:rsid w:val="003170E4"/>
    <w:rsid w:val="00317145"/>
    <w:rsid w:val="00317193"/>
    <w:rsid w:val="00317195"/>
    <w:rsid w:val="00317243"/>
    <w:rsid w:val="0031729B"/>
    <w:rsid w:val="003173E8"/>
    <w:rsid w:val="003173F2"/>
    <w:rsid w:val="003174C3"/>
    <w:rsid w:val="003175C6"/>
    <w:rsid w:val="003175FF"/>
    <w:rsid w:val="0031763A"/>
    <w:rsid w:val="00317733"/>
    <w:rsid w:val="0031773B"/>
    <w:rsid w:val="00317769"/>
    <w:rsid w:val="003177C1"/>
    <w:rsid w:val="0031785F"/>
    <w:rsid w:val="00317886"/>
    <w:rsid w:val="003178B2"/>
    <w:rsid w:val="003178CD"/>
    <w:rsid w:val="003178D5"/>
    <w:rsid w:val="003178D7"/>
    <w:rsid w:val="00317927"/>
    <w:rsid w:val="00317962"/>
    <w:rsid w:val="00317A1A"/>
    <w:rsid w:val="00317A43"/>
    <w:rsid w:val="00317C47"/>
    <w:rsid w:val="00317C9A"/>
    <w:rsid w:val="00317C9C"/>
    <w:rsid w:val="00317D15"/>
    <w:rsid w:val="00317D25"/>
    <w:rsid w:val="00317DE6"/>
    <w:rsid w:val="00317E92"/>
    <w:rsid w:val="00317EBA"/>
    <w:rsid w:val="00317ED2"/>
    <w:rsid w:val="00320006"/>
    <w:rsid w:val="0032007C"/>
    <w:rsid w:val="003200C6"/>
    <w:rsid w:val="00320119"/>
    <w:rsid w:val="00320274"/>
    <w:rsid w:val="003202C3"/>
    <w:rsid w:val="003203AD"/>
    <w:rsid w:val="00320493"/>
    <w:rsid w:val="003204A7"/>
    <w:rsid w:val="003204EE"/>
    <w:rsid w:val="00320596"/>
    <w:rsid w:val="003206D2"/>
    <w:rsid w:val="003206EE"/>
    <w:rsid w:val="00320705"/>
    <w:rsid w:val="003207C1"/>
    <w:rsid w:val="00320852"/>
    <w:rsid w:val="003208B1"/>
    <w:rsid w:val="003208E8"/>
    <w:rsid w:val="00320950"/>
    <w:rsid w:val="003209AB"/>
    <w:rsid w:val="003209F2"/>
    <w:rsid w:val="00320A17"/>
    <w:rsid w:val="00320AAC"/>
    <w:rsid w:val="00320BE2"/>
    <w:rsid w:val="00320BED"/>
    <w:rsid w:val="00320C39"/>
    <w:rsid w:val="00320F79"/>
    <w:rsid w:val="00320FB8"/>
    <w:rsid w:val="00321069"/>
    <w:rsid w:val="003210E7"/>
    <w:rsid w:val="0032112F"/>
    <w:rsid w:val="00321137"/>
    <w:rsid w:val="003211B4"/>
    <w:rsid w:val="003211D2"/>
    <w:rsid w:val="0032125B"/>
    <w:rsid w:val="0032140D"/>
    <w:rsid w:val="00321421"/>
    <w:rsid w:val="0032144C"/>
    <w:rsid w:val="003214ED"/>
    <w:rsid w:val="003216B6"/>
    <w:rsid w:val="003216D5"/>
    <w:rsid w:val="00321705"/>
    <w:rsid w:val="00321731"/>
    <w:rsid w:val="0032175F"/>
    <w:rsid w:val="003217ED"/>
    <w:rsid w:val="003218AC"/>
    <w:rsid w:val="003218AD"/>
    <w:rsid w:val="003218C6"/>
    <w:rsid w:val="00321998"/>
    <w:rsid w:val="003219BF"/>
    <w:rsid w:val="003219F6"/>
    <w:rsid w:val="00321A18"/>
    <w:rsid w:val="00321A49"/>
    <w:rsid w:val="00321A80"/>
    <w:rsid w:val="00321AA6"/>
    <w:rsid w:val="00321AF9"/>
    <w:rsid w:val="00321B5E"/>
    <w:rsid w:val="00321B6C"/>
    <w:rsid w:val="00321BD6"/>
    <w:rsid w:val="00321C1A"/>
    <w:rsid w:val="00321C9B"/>
    <w:rsid w:val="00321CF2"/>
    <w:rsid w:val="00321DDB"/>
    <w:rsid w:val="00321E0D"/>
    <w:rsid w:val="00321EC8"/>
    <w:rsid w:val="00321F44"/>
    <w:rsid w:val="00321FD9"/>
    <w:rsid w:val="0032202F"/>
    <w:rsid w:val="0032205A"/>
    <w:rsid w:val="003222A6"/>
    <w:rsid w:val="003222C8"/>
    <w:rsid w:val="00322368"/>
    <w:rsid w:val="003223FB"/>
    <w:rsid w:val="0032254E"/>
    <w:rsid w:val="00322599"/>
    <w:rsid w:val="003225AA"/>
    <w:rsid w:val="00322684"/>
    <w:rsid w:val="00322707"/>
    <w:rsid w:val="00322788"/>
    <w:rsid w:val="003228FD"/>
    <w:rsid w:val="0032299C"/>
    <w:rsid w:val="00322C66"/>
    <w:rsid w:val="00322CF8"/>
    <w:rsid w:val="00322D33"/>
    <w:rsid w:val="00322D63"/>
    <w:rsid w:val="00322E41"/>
    <w:rsid w:val="00322ED8"/>
    <w:rsid w:val="00322F16"/>
    <w:rsid w:val="00322F34"/>
    <w:rsid w:val="00323016"/>
    <w:rsid w:val="0032301C"/>
    <w:rsid w:val="0032301E"/>
    <w:rsid w:val="0032315A"/>
    <w:rsid w:val="00323204"/>
    <w:rsid w:val="003232CF"/>
    <w:rsid w:val="003233FF"/>
    <w:rsid w:val="003234AA"/>
    <w:rsid w:val="003234C1"/>
    <w:rsid w:val="00323646"/>
    <w:rsid w:val="00323688"/>
    <w:rsid w:val="003238B4"/>
    <w:rsid w:val="003238BF"/>
    <w:rsid w:val="0032393B"/>
    <w:rsid w:val="00323954"/>
    <w:rsid w:val="00323A92"/>
    <w:rsid w:val="00323C06"/>
    <w:rsid w:val="00323C1B"/>
    <w:rsid w:val="00323C53"/>
    <w:rsid w:val="00323DCE"/>
    <w:rsid w:val="00323DD2"/>
    <w:rsid w:val="00323E80"/>
    <w:rsid w:val="00323E9E"/>
    <w:rsid w:val="00323EEE"/>
    <w:rsid w:val="0032400B"/>
    <w:rsid w:val="00324039"/>
    <w:rsid w:val="0032409E"/>
    <w:rsid w:val="00324105"/>
    <w:rsid w:val="0032418B"/>
    <w:rsid w:val="0032418F"/>
    <w:rsid w:val="00324229"/>
    <w:rsid w:val="0032429D"/>
    <w:rsid w:val="0032431D"/>
    <w:rsid w:val="003243B4"/>
    <w:rsid w:val="00324484"/>
    <w:rsid w:val="00324485"/>
    <w:rsid w:val="00324737"/>
    <w:rsid w:val="00324806"/>
    <w:rsid w:val="0032485F"/>
    <w:rsid w:val="00324939"/>
    <w:rsid w:val="00324A0F"/>
    <w:rsid w:val="00324A83"/>
    <w:rsid w:val="00324B15"/>
    <w:rsid w:val="00324B2A"/>
    <w:rsid w:val="00324B37"/>
    <w:rsid w:val="00324BC3"/>
    <w:rsid w:val="00324C67"/>
    <w:rsid w:val="00324C7A"/>
    <w:rsid w:val="00324C7F"/>
    <w:rsid w:val="00324EC5"/>
    <w:rsid w:val="00324F17"/>
    <w:rsid w:val="00324F35"/>
    <w:rsid w:val="00324FB4"/>
    <w:rsid w:val="00324FE6"/>
    <w:rsid w:val="003250B3"/>
    <w:rsid w:val="003250EB"/>
    <w:rsid w:val="00325109"/>
    <w:rsid w:val="003251EA"/>
    <w:rsid w:val="0032523C"/>
    <w:rsid w:val="0032529F"/>
    <w:rsid w:val="00325300"/>
    <w:rsid w:val="003253A5"/>
    <w:rsid w:val="003253CC"/>
    <w:rsid w:val="003253E5"/>
    <w:rsid w:val="0032546C"/>
    <w:rsid w:val="003254E9"/>
    <w:rsid w:val="00325556"/>
    <w:rsid w:val="00325635"/>
    <w:rsid w:val="00325726"/>
    <w:rsid w:val="00325809"/>
    <w:rsid w:val="00325860"/>
    <w:rsid w:val="003258F3"/>
    <w:rsid w:val="00325973"/>
    <w:rsid w:val="003259BE"/>
    <w:rsid w:val="00325A55"/>
    <w:rsid w:val="00325A67"/>
    <w:rsid w:val="00325A9C"/>
    <w:rsid w:val="00325C12"/>
    <w:rsid w:val="00325C9C"/>
    <w:rsid w:val="00325CBD"/>
    <w:rsid w:val="00325D16"/>
    <w:rsid w:val="00325D28"/>
    <w:rsid w:val="00325D45"/>
    <w:rsid w:val="00325D4F"/>
    <w:rsid w:val="00325DBE"/>
    <w:rsid w:val="00325EB3"/>
    <w:rsid w:val="00325ED2"/>
    <w:rsid w:val="00325F10"/>
    <w:rsid w:val="00325F46"/>
    <w:rsid w:val="00325F55"/>
    <w:rsid w:val="00325F80"/>
    <w:rsid w:val="00325F99"/>
    <w:rsid w:val="0032607A"/>
    <w:rsid w:val="00326249"/>
    <w:rsid w:val="0032630B"/>
    <w:rsid w:val="00326332"/>
    <w:rsid w:val="0032639B"/>
    <w:rsid w:val="0032648E"/>
    <w:rsid w:val="003264D5"/>
    <w:rsid w:val="00326504"/>
    <w:rsid w:val="0032651B"/>
    <w:rsid w:val="0032653A"/>
    <w:rsid w:val="0032655B"/>
    <w:rsid w:val="00326563"/>
    <w:rsid w:val="00326593"/>
    <w:rsid w:val="0032661E"/>
    <w:rsid w:val="003267A7"/>
    <w:rsid w:val="003268BD"/>
    <w:rsid w:val="003269B3"/>
    <w:rsid w:val="00326AE5"/>
    <w:rsid w:val="00326AE6"/>
    <w:rsid w:val="00326B64"/>
    <w:rsid w:val="00326BCB"/>
    <w:rsid w:val="00326BDE"/>
    <w:rsid w:val="00326D6E"/>
    <w:rsid w:val="00326DED"/>
    <w:rsid w:val="00326E3C"/>
    <w:rsid w:val="00326E9E"/>
    <w:rsid w:val="00327091"/>
    <w:rsid w:val="0032709D"/>
    <w:rsid w:val="00327142"/>
    <w:rsid w:val="0032732C"/>
    <w:rsid w:val="00327414"/>
    <w:rsid w:val="003274EF"/>
    <w:rsid w:val="0032751F"/>
    <w:rsid w:val="00327684"/>
    <w:rsid w:val="003276EE"/>
    <w:rsid w:val="003276F4"/>
    <w:rsid w:val="00327831"/>
    <w:rsid w:val="003278C9"/>
    <w:rsid w:val="00327942"/>
    <w:rsid w:val="003279A2"/>
    <w:rsid w:val="003279C0"/>
    <w:rsid w:val="00327A5B"/>
    <w:rsid w:val="00327AD8"/>
    <w:rsid w:val="00327BD1"/>
    <w:rsid w:val="00327BE0"/>
    <w:rsid w:val="00327C4F"/>
    <w:rsid w:val="00327D19"/>
    <w:rsid w:val="00330064"/>
    <w:rsid w:val="003300C8"/>
    <w:rsid w:val="003300F8"/>
    <w:rsid w:val="0033017D"/>
    <w:rsid w:val="00330181"/>
    <w:rsid w:val="00330185"/>
    <w:rsid w:val="00330190"/>
    <w:rsid w:val="00330301"/>
    <w:rsid w:val="0033035C"/>
    <w:rsid w:val="003303FC"/>
    <w:rsid w:val="003304ED"/>
    <w:rsid w:val="00330570"/>
    <w:rsid w:val="0033058F"/>
    <w:rsid w:val="00330642"/>
    <w:rsid w:val="0033067F"/>
    <w:rsid w:val="003306B9"/>
    <w:rsid w:val="003306F6"/>
    <w:rsid w:val="00330746"/>
    <w:rsid w:val="0033091D"/>
    <w:rsid w:val="00330960"/>
    <w:rsid w:val="00330BB8"/>
    <w:rsid w:val="00330D47"/>
    <w:rsid w:val="00330EC4"/>
    <w:rsid w:val="00330F79"/>
    <w:rsid w:val="00330FE7"/>
    <w:rsid w:val="00331051"/>
    <w:rsid w:val="00331225"/>
    <w:rsid w:val="00331263"/>
    <w:rsid w:val="0033127D"/>
    <w:rsid w:val="0033128A"/>
    <w:rsid w:val="003312B3"/>
    <w:rsid w:val="003313C6"/>
    <w:rsid w:val="003313E3"/>
    <w:rsid w:val="00331424"/>
    <w:rsid w:val="00331431"/>
    <w:rsid w:val="003314E4"/>
    <w:rsid w:val="0033153C"/>
    <w:rsid w:val="00331783"/>
    <w:rsid w:val="0033180B"/>
    <w:rsid w:val="003318C2"/>
    <w:rsid w:val="003318C3"/>
    <w:rsid w:val="003318F6"/>
    <w:rsid w:val="003319DA"/>
    <w:rsid w:val="00331A04"/>
    <w:rsid w:val="00331B0B"/>
    <w:rsid w:val="00331B80"/>
    <w:rsid w:val="00331D02"/>
    <w:rsid w:val="00331DA4"/>
    <w:rsid w:val="00331DC5"/>
    <w:rsid w:val="00331E4E"/>
    <w:rsid w:val="00331EB4"/>
    <w:rsid w:val="00331F4D"/>
    <w:rsid w:val="00332110"/>
    <w:rsid w:val="0033212D"/>
    <w:rsid w:val="00332162"/>
    <w:rsid w:val="003321D6"/>
    <w:rsid w:val="003321E3"/>
    <w:rsid w:val="0033223E"/>
    <w:rsid w:val="00332312"/>
    <w:rsid w:val="003323EC"/>
    <w:rsid w:val="003324F2"/>
    <w:rsid w:val="00332567"/>
    <w:rsid w:val="003325BD"/>
    <w:rsid w:val="00332625"/>
    <w:rsid w:val="00332695"/>
    <w:rsid w:val="003326C0"/>
    <w:rsid w:val="003326D1"/>
    <w:rsid w:val="00332847"/>
    <w:rsid w:val="0033289E"/>
    <w:rsid w:val="00332926"/>
    <w:rsid w:val="00332944"/>
    <w:rsid w:val="00332A00"/>
    <w:rsid w:val="00332A0D"/>
    <w:rsid w:val="00332A3A"/>
    <w:rsid w:val="00332A47"/>
    <w:rsid w:val="00332AF1"/>
    <w:rsid w:val="00332BD6"/>
    <w:rsid w:val="00332BFE"/>
    <w:rsid w:val="00332C12"/>
    <w:rsid w:val="00332C40"/>
    <w:rsid w:val="00332C9B"/>
    <w:rsid w:val="00332DEA"/>
    <w:rsid w:val="00332E42"/>
    <w:rsid w:val="00332F07"/>
    <w:rsid w:val="00332F8A"/>
    <w:rsid w:val="00333062"/>
    <w:rsid w:val="0033308D"/>
    <w:rsid w:val="0033318D"/>
    <w:rsid w:val="00333222"/>
    <w:rsid w:val="0033332F"/>
    <w:rsid w:val="00333333"/>
    <w:rsid w:val="0033334A"/>
    <w:rsid w:val="0033355E"/>
    <w:rsid w:val="00333591"/>
    <w:rsid w:val="00333593"/>
    <w:rsid w:val="00333594"/>
    <w:rsid w:val="00333598"/>
    <w:rsid w:val="00333601"/>
    <w:rsid w:val="0033360A"/>
    <w:rsid w:val="0033361D"/>
    <w:rsid w:val="00333786"/>
    <w:rsid w:val="00333842"/>
    <w:rsid w:val="00333851"/>
    <w:rsid w:val="0033398C"/>
    <w:rsid w:val="00333A13"/>
    <w:rsid w:val="00333A23"/>
    <w:rsid w:val="00333A3A"/>
    <w:rsid w:val="00333AC1"/>
    <w:rsid w:val="00333B47"/>
    <w:rsid w:val="00333BA0"/>
    <w:rsid w:val="00333C18"/>
    <w:rsid w:val="00333CD5"/>
    <w:rsid w:val="00333D76"/>
    <w:rsid w:val="00333E90"/>
    <w:rsid w:val="00333F48"/>
    <w:rsid w:val="00333F4E"/>
    <w:rsid w:val="00333F56"/>
    <w:rsid w:val="00333FB7"/>
    <w:rsid w:val="00333FFB"/>
    <w:rsid w:val="00334015"/>
    <w:rsid w:val="0033405D"/>
    <w:rsid w:val="0033409D"/>
    <w:rsid w:val="003340D6"/>
    <w:rsid w:val="003340E1"/>
    <w:rsid w:val="00334146"/>
    <w:rsid w:val="00334192"/>
    <w:rsid w:val="003341A6"/>
    <w:rsid w:val="00334274"/>
    <w:rsid w:val="00334326"/>
    <w:rsid w:val="00334342"/>
    <w:rsid w:val="003343E5"/>
    <w:rsid w:val="0033442D"/>
    <w:rsid w:val="00334457"/>
    <w:rsid w:val="003345D4"/>
    <w:rsid w:val="0033466F"/>
    <w:rsid w:val="00334736"/>
    <w:rsid w:val="00334743"/>
    <w:rsid w:val="00334754"/>
    <w:rsid w:val="0033478E"/>
    <w:rsid w:val="003347FE"/>
    <w:rsid w:val="0033480C"/>
    <w:rsid w:val="00334918"/>
    <w:rsid w:val="00334A91"/>
    <w:rsid w:val="00334AD0"/>
    <w:rsid w:val="00334C40"/>
    <w:rsid w:val="00334C95"/>
    <w:rsid w:val="00334CA1"/>
    <w:rsid w:val="00334D23"/>
    <w:rsid w:val="00334E0E"/>
    <w:rsid w:val="00334E12"/>
    <w:rsid w:val="00334E70"/>
    <w:rsid w:val="0033501B"/>
    <w:rsid w:val="00335034"/>
    <w:rsid w:val="0033504B"/>
    <w:rsid w:val="0033525D"/>
    <w:rsid w:val="003352D8"/>
    <w:rsid w:val="0033542F"/>
    <w:rsid w:val="003354F4"/>
    <w:rsid w:val="00335568"/>
    <w:rsid w:val="00335665"/>
    <w:rsid w:val="003356AE"/>
    <w:rsid w:val="003356D7"/>
    <w:rsid w:val="003357C6"/>
    <w:rsid w:val="00335802"/>
    <w:rsid w:val="00335851"/>
    <w:rsid w:val="003358DE"/>
    <w:rsid w:val="003359ED"/>
    <w:rsid w:val="00335A37"/>
    <w:rsid w:val="00335AB1"/>
    <w:rsid w:val="00335B59"/>
    <w:rsid w:val="00335B6F"/>
    <w:rsid w:val="00335B9E"/>
    <w:rsid w:val="00335BA0"/>
    <w:rsid w:val="00335C31"/>
    <w:rsid w:val="00335C49"/>
    <w:rsid w:val="00335C5B"/>
    <w:rsid w:val="00335D4D"/>
    <w:rsid w:val="00335E58"/>
    <w:rsid w:val="00335E62"/>
    <w:rsid w:val="00335E9C"/>
    <w:rsid w:val="00335EE2"/>
    <w:rsid w:val="00336093"/>
    <w:rsid w:val="0033609A"/>
    <w:rsid w:val="003360CA"/>
    <w:rsid w:val="003360E2"/>
    <w:rsid w:val="00336139"/>
    <w:rsid w:val="003361E2"/>
    <w:rsid w:val="003361F7"/>
    <w:rsid w:val="0033624D"/>
    <w:rsid w:val="00336343"/>
    <w:rsid w:val="003363D3"/>
    <w:rsid w:val="00336411"/>
    <w:rsid w:val="003365B5"/>
    <w:rsid w:val="00336630"/>
    <w:rsid w:val="00336640"/>
    <w:rsid w:val="0033664B"/>
    <w:rsid w:val="00336686"/>
    <w:rsid w:val="0033669F"/>
    <w:rsid w:val="00336824"/>
    <w:rsid w:val="00336972"/>
    <w:rsid w:val="003369B5"/>
    <w:rsid w:val="00336A70"/>
    <w:rsid w:val="00336CC4"/>
    <w:rsid w:val="00336D29"/>
    <w:rsid w:val="00336DAA"/>
    <w:rsid w:val="00336DF4"/>
    <w:rsid w:val="00336E53"/>
    <w:rsid w:val="00336E82"/>
    <w:rsid w:val="00336F14"/>
    <w:rsid w:val="00336FB8"/>
    <w:rsid w:val="00336FDC"/>
    <w:rsid w:val="0033704C"/>
    <w:rsid w:val="003370AB"/>
    <w:rsid w:val="003371B1"/>
    <w:rsid w:val="003371BE"/>
    <w:rsid w:val="00337214"/>
    <w:rsid w:val="00337242"/>
    <w:rsid w:val="00337262"/>
    <w:rsid w:val="00337283"/>
    <w:rsid w:val="00337349"/>
    <w:rsid w:val="003373DD"/>
    <w:rsid w:val="003374B2"/>
    <w:rsid w:val="00337571"/>
    <w:rsid w:val="003375D0"/>
    <w:rsid w:val="003376AE"/>
    <w:rsid w:val="003376CB"/>
    <w:rsid w:val="003377E7"/>
    <w:rsid w:val="0033780E"/>
    <w:rsid w:val="00337846"/>
    <w:rsid w:val="0033789C"/>
    <w:rsid w:val="003378A8"/>
    <w:rsid w:val="003378AE"/>
    <w:rsid w:val="003379F1"/>
    <w:rsid w:val="00337AB7"/>
    <w:rsid w:val="00337B0E"/>
    <w:rsid w:val="00337BF3"/>
    <w:rsid w:val="00337C6B"/>
    <w:rsid w:val="00337CE5"/>
    <w:rsid w:val="00337D51"/>
    <w:rsid w:val="00337DAE"/>
    <w:rsid w:val="00337DBE"/>
    <w:rsid w:val="00337E88"/>
    <w:rsid w:val="00337ECC"/>
    <w:rsid w:val="00337F4F"/>
    <w:rsid w:val="003400B2"/>
    <w:rsid w:val="003400C0"/>
    <w:rsid w:val="0034010A"/>
    <w:rsid w:val="00340190"/>
    <w:rsid w:val="003403E6"/>
    <w:rsid w:val="003403EB"/>
    <w:rsid w:val="00340683"/>
    <w:rsid w:val="00340684"/>
    <w:rsid w:val="003407B2"/>
    <w:rsid w:val="003407E6"/>
    <w:rsid w:val="0034081D"/>
    <w:rsid w:val="0034087A"/>
    <w:rsid w:val="0034094A"/>
    <w:rsid w:val="00340A22"/>
    <w:rsid w:val="00340AC1"/>
    <w:rsid w:val="00340B39"/>
    <w:rsid w:val="00340BC5"/>
    <w:rsid w:val="00340C75"/>
    <w:rsid w:val="00340CC4"/>
    <w:rsid w:val="00340D07"/>
    <w:rsid w:val="00340D15"/>
    <w:rsid w:val="00340D26"/>
    <w:rsid w:val="00340DB2"/>
    <w:rsid w:val="00340DC1"/>
    <w:rsid w:val="00340DD5"/>
    <w:rsid w:val="00340DE1"/>
    <w:rsid w:val="00340E28"/>
    <w:rsid w:val="00340E9A"/>
    <w:rsid w:val="00340ED3"/>
    <w:rsid w:val="00340F0C"/>
    <w:rsid w:val="00340FE7"/>
    <w:rsid w:val="0034112E"/>
    <w:rsid w:val="00341175"/>
    <w:rsid w:val="003411EB"/>
    <w:rsid w:val="0034120F"/>
    <w:rsid w:val="00341257"/>
    <w:rsid w:val="003412A4"/>
    <w:rsid w:val="003413B4"/>
    <w:rsid w:val="003413C9"/>
    <w:rsid w:val="003413D5"/>
    <w:rsid w:val="00341419"/>
    <w:rsid w:val="00341594"/>
    <w:rsid w:val="003415A6"/>
    <w:rsid w:val="0034160E"/>
    <w:rsid w:val="00341633"/>
    <w:rsid w:val="00341694"/>
    <w:rsid w:val="00341859"/>
    <w:rsid w:val="00341867"/>
    <w:rsid w:val="00341936"/>
    <w:rsid w:val="00341970"/>
    <w:rsid w:val="003419BA"/>
    <w:rsid w:val="003419F5"/>
    <w:rsid w:val="00341A57"/>
    <w:rsid w:val="00341AF0"/>
    <w:rsid w:val="00341CBD"/>
    <w:rsid w:val="00341D29"/>
    <w:rsid w:val="00341D6D"/>
    <w:rsid w:val="00341EDB"/>
    <w:rsid w:val="00341EF8"/>
    <w:rsid w:val="00341F2C"/>
    <w:rsid w:val="00341F52"/>
    <w:rsid w:val="00341FA1"/>
    <w:rsid w:val="00341FFC"/>
    <w:rsid w:val="00342074"/>
    <w:rsid w:val="00342166"/>
    <w:rsid w:val="0034219E"/>
    <w:rsid w:val="00342256"/>
    <w:rsid w:val="00342258"/>
    <w:rsid w:val="00342294"/>
    <w:rsid w:val="003422A3"/>
    <w:rsid w:val="003422B1"/>
    <w:rsid w:val="003422F9"/>
    <w:rsid w:val="00342353"/>
    <w:rsid w:val="0034240D"/>
    <w:rsid w:val="0034242C"/>
    <w:rsid w:val="00342472"/>
    <w:rsid w:val="0034254E"/>
    <w:rsid w:val="00342597"/>
    <w:rsid w:val="003425C1"/>
    <w:rsid w:val="00342601"/>
    <w:rsid w:val="003426EF"/>
    <w:rsid w:val="003427C4"/>
    <w:rsid w:val="003427F3"/>
    <w:rsid w:val="00342824"/>
    <w:rsid w:val="00342842"/>
    <w:rsid w:val="003428B0"/>
    <w:rsid w:val="00342951"/>
    <w:rsid w:val="00342AFA"/>
    <w:rsid w:val="00342BAF"/>
    <w:rsid w:val="00342D0D"/>
    <w:rsid w:val="00342E10"/>
    <w:rsid w:val="00342EA0"/>
    <w:rsid w:val="00342EE4"/>
    <w:rsid w:val="00342F02"/>
    <w:rsid w:val="00342F43"/>
    <w:rsid w:val="00343077"/>
    <w:rsid w:val="00343095"/>
    <w:rsid w:val="0034309E"/>
    <w:rsid w:val="00343177"/>
    <w:rsid w:val="003431F5"/>
    <w:rsid w:val="0034320E"/>
    <w:rsid w:val="0034329C"/>
    <w:rsid w:val="003432AE"/>
    <w:rsid w:val="0034338C"/>
    <w:rsid w:val="00343394"/>
    <w:rsid w:val="00343433"/>
    <w:rsid w:val="0034350B"/>
    <w:rsid w:val="00343546"/>
    <w:rsid w:val="00343553"/>
    <w:rsid w:val="0034356D"/>
    <w:rsid w:val="00343579"/>
    <w:rsid w:val="00343687"/>
    <w:rsid w:val="00343796"/>
    <w:rsid w:val="0034390B"/>
    <w:rsid w:val="0034395F"/>
    <w:rsid w:val="003439F5"/>
    <w:rsid w:val="00343A55"/>
    <w:rsid w:val="00343A83"/>
    <w:rsid w:val="00343B54"/>
    <w:rsid w:val="00343BA8"/>
    <w:rsid w:val="00343C0B"/>
    <w:rsid w:val="00343C36"/>
    <w:rsid w:val="00343C7D"/>
    <w:rsid w:val="00343DB9"/>
    <w:rsid w:val="00343E70"/>
    <w:rsid w:val="00343E7A"/>
    <w:rsid w:val="00343E80"/>
    <w:rsid w:val="00343F7B"/>
    <w:rsid w:val="00343F95"/>
    <w:rsid w:val="00343FB6"/>
    <w:rsid w:val="00344037"/>
    <w:rsid w:val="003440B7"/>
    <w:rsid w:val="00344104"/>
    <w:rsid w:val="00344174"/>
    <w:rsid w:val="00344196"/>
    <w:rsid w:val="00344265"/>
    <w:rsid w:val="00344287"/>
    <w:rsid w:val="003442FF"/>
    <w:rsid w:val="00344351"/>
    <w:rsid w:val="003443E7"/>
    <w:rsid w:val="003445CF"/>
    <w:rsid w:val="0034462D"/>
    <w:rsid w:val="0034477C"/>
    <w:rsid w:val="00344800"/>
    <w:rsid w:val="00344883"/>
    <w:rsid w:val="0034488F"/>
    <w:rsid w:val="00344898"/>
    <w:rsid w:val="00344904"/>
    <w:rsid w:val="00344987"/>
    <w:rsid w:val="00344A3C"/>
    <w:rsid w:val="00344B19"/>
    <w:rsid w:val="00344B75"/>
    <w:rsid w:val="00344B76"/>
    <w:rsid w:val="00344BCD"/>
    <w:rsid w:val="00344C08"/>
    <w:rsid w:val="00344CAF"/>
    <w:rsid w:val="00344E11"/>
    <w:rsid w:val="00344E32"/>
    <w:rsid w:val="00344EB4"/>
    <w:rsid w:val="00344F82"/>
    <w:rsid w:val="00344FD3"/>
    <w:rsid w:val="00344FE1"/>
    <w:rsid w:val="00344FF6"/>
    <w:rsid w:val="0034506F"/>
    <w:rsid w:val="00345125"/>
    <w:rsid w:val="00345209"/>
    <w:rsid w:val="00345248"/>
    <w:rsid w:val="003452AD"/>
    <w:rsid w:val="003452C4"/>
    <w:rsid w:val="003452C8"/>
    <w:rsid w:val="00345337"/>
    <w:rsid w:val="003454E1"/>
    <w:rsid w:val="00345504"/>
    <w:rsid w:val="0034559B"/>
    <w:rsid w:val="00345698"/>
    <w:rsid w:val="003456A1"/>
    <w:rsid w:val="00345733"/>
    <w:rsid w:val="0034574E"/>
    <w:rsid w:val="0034581A"/>
    <w:rsid w:val="00345850"/>
    <w:rsid w:val="00345887"/>
    <w:rsid w:val="003458CC"/>
    <w:rsid w:val="003458FA"/>
    <w:rsid w:val="00345A59"/>
    <w:rsid w:val="00345AAD"/>
    <w:rsid w:val="00345AEA"/>
    <w:rsid w:val="00345B90"/>
    <w:rsid w:val="00345C46"/>
    <w:rsid w:val="00345D6C"/>
    <w:rsid w:val="00345E32"/>
    <w:rsid w:val="00345E47"/>
    <w:rsid w:val="00345F61"/>
    <w:rsid w:val="00345FBA"/>
    <w:rsid w:val="0034600E"/>
    <w:rsid w:val="00346031"/>
    <w:rsid w:val="003460B2"/>
    <w:rsid w:val="003461B6"/>
    <w:rsid w:val="00346254"/>
    <w:rsid w:val="003462B7"/>
    <w:rsid w:val="00346300"/>
    <w:rsid w:val="00346362"/>
    <w:rsid w:val="003463EB"/>
    <w:rsid w:val="0034641C"/>
    <w:rsid w:val="00346446"/>
    <w:rsid w:val="00346475"/>
    <w:rsid w:val="0034655F"/>
    <w:rsid w:val="00346583"/>
    <w:rsid w:val="003465F4"/>
    <w:rsid w:val="00346724"/>
    <w:rsid w:val="003467B4"/>
    <w:rsid w:val="003467FD"/>
    <w:rsid w:val="00346822"/>
    <w:rsid w:val="003468E2"/>
    <w:rsid w:val="00346984"/>
    <w:rsid w:val="003469E5"/>
    <w:rsid w:val="00346A1B"/>
    <w:rsid w:val="00346A5C"/>
    <w:rsid w:val="00346C14"/>
    <w:rsid w:val="00346C1F"/>
    <w:rsid w:val="00346C52"/>
    <w:rsid w:val="00346CA2"/>
    <w:rsid w:val="00346DBE"/>
    <w:rsid w:val="00346E53"/>
    <w:rsid w:val="00346FCC"/>
    <w:rsid w:val="0034706E"/>
    <w:rsid w:val="0034708C"/>
    <w:rsid w:val="0034711A"/>
    <w:rsid w:val="00347193"/>
    <w:rsid w:val="003471B8"/>
    <w:rsid w:val="00347261"/>
    <w:rsid w:val="00347286"/>
    <w:rsid w:val="003473DE"/>
    <w:rsid w:val="00347437"/>
    <w:rsid w:val="00347485"/>
    <w:rsid w:val="0034749B"/>
    <w:rsid w:val="003474AC"/>
    <w:rsid w:val="0034768A"/>
    <w:rsid w:val="003477B7"/>
    <w:rsid w:val="003477F4"/>
    <w:rsid w:val="00347978"/>
    <w:rsid w:val="00347A51"/>
    <w:rsid w:val="00347A82"/>
    <w:rsid w:val="00347AA8"/>
    <w:rsid w:val="00347AFC"/>
    <w:rsid w:val="00347B6F"/>
    <w:rsid w:val="00347B9C"/>
    <w:rsid w:val="00347C6A"/>
    <w:rsid w:val="00347D7C"/>
    <w:rsid w:val="00347E0D"/>
    <w:rsid w:val="00347EA4"/>
    <w:rsid w:val="0035003D"/>
    <w:rsid w:val="00350064"/>
    <w:rsid w:val="0035013E"/>
    <w:rsid w:val="00350172"/>
    <w:rsid w:val="0035026F"/>
    <w:rsid w:val="00350280"/>
    <w:rsid w:val="0035034B"/>
    <w:rsid w:val="0035043A"/>
    <w:rsid w:val="00350493"/>
    <w:rsid w:val="003504A6"/>
    <w:rsid w:val="003504D8"/>
    <w:rsid w:val="0035054A"/>
    <w:rsid w:val="003505DE"/>
    <w:rsid w:val="003508CF"/>
    <w:rsid w:val="00350931"/>
    <w:rsid w:val="00350948"/>
    <w:rsid w:val="0035094B"/>
    <w:rsid w:val="00350952"/>
    <w:rsid w:val="00350972"/>
    <w:rsid w:val="003509C0"/>
    <w:rsid w:val="00350A0A"/>
    <w:rsid w:val="00350AEE"/>
    <w:rsid w:val="00350BE8"/>
    <w:rsid w:val="00350C02"/>
    <w:rsid w:val="00350DBE"/>
    <w:rsid w:val="00350F14"/>
    <w:rsid w:val="00351007"/>
    <w:rsid w:val="0035107A"/>
    <w:rsid w:val="00351080"/>
    <w:rsid w:val="003510D1"/>
    <w:rsid w:val="0035110A"/>
    <w:rsid w:val="00351158"/>
    <w:rsid w:val="0035127A"/>
    <w:rsid w:val="00351298"/>
    <w:rsid w:val="003512D9"/>
    <w:rsid w:val="00351366"/>
    <w:rsid w:val="003515AB"/>
    <w:rsid w:val="0035166C"/>
    <w:rsid w:val="003516F4"/>
    <w:rsid w:val="00351737"/>
    <w:rsid w:val="003517C9"/>
    <w:rsid w:val="003518DF"/>
    <w:rsid w:val="00351B83"/>
    <w:rsid w:val="00351CAE"/>
    <w:rsid w:val="00351CDB"/>
    <w:rsid w:val="00351D7B"/>
    <w:rsid w:val="00351F53"/>
    <w:rsid w:val="00351F61"/>
    <w:rsid w:val="00352109"/>
    <w:rsid w:val="00352189"/>
    <w:rsid w:val="003521F5"/>
    <w:rsid w:val="00352256"/>
    <w:rsid w:val="003523CA"/>
    <w:rsid w:val="003524B2"/>
    <w:rsid w:val="003526DD"/>
    <w:rsid w:val="003526E9"/>
    <w:rsid w:val="00352753"/>
    <w:rsid w:val="003527DE"/>
    <w:rsid w:val="00352843"/>
    <w:rsid w:val="00352923"/>
    <w:rsid w:val="00352A52"/>
    <w:rsid w:val="00352A96"/>
    <w:rsid w:val="00352B33"/>
    <w:rsid w:val="00352C33"/>
    <w:rsid w:val="00352D93"/>
    <w:rsid w:val="00352E01"/>
    <w:rsid w:val="00352E60"/>
    <w:rsid w:val="00352F2A"/>
    <w:rsid w:val="00352F7B"/>
    <w:rsid w:val="00352FA2"/>
    <w:rsid w:val="0035305F"/>
    <w:rsid w:val="003530E7"/>
    <w:rsid w:val="00353143"/>
    <w:rsid w:val="0035316A"/>
    <w:rsid w:val="003531C5"/>
    <w:rsid w:val="00353226"/>
    <w:rsid w:val="003532E8"/>
    <w:rsid w:val="003532F8"/>
    <w:rsid w:val="0035332F"/>
    <w:rsid w:val="00353384"/>
    <w:rsid w:val="00353487"/>
    <w:rsid w:val="00353571"/>
    <w:rsid w:val="003535D0"/>
    <w:rsid w:val="00353669"/>
    <w:rsid w:val="003536A7"/>
    <w:rsid w:val="003536D3"/>
    <w:rsid w:val="003536EB"/>
    <w:rsid w:val="00353725"/>
    <w:rsid w:val="00353830"/>
    <w:rsid w:val="00353950"/>
    <w:rsid w:val="00353999"/>
    <w:rsid w:val="00353A3C"/>
    <w:rsid w:val="00353A6B"/>
    <w:rsid w:val="00353A92"/>
    <w:rsid w:val="00353AF5"/>
    <w:rsid w:val="00353BD7"/>
    <w:rsid w:val="00353BED"/>
    <w:rsid w:val="00353C54"/>
    <w:rsid w:val="00353D4D"/>
    <w:rsid w:val="00353D85"/>
    <w:rsid w:val="00353DCB"/>
    <w:rsid w:val="00353E55"/>
    <w:rsid w:val="00353E58"/>
    <w:rsid w:val="00353E8C"/>
    <w:rsid w:val="00353EA3"/>
    <w:rsid w:val="00353EC7"/>
    <w:rsid w:val="00353ECC"/>
    <w:rsid w:val="00353ED9"/>
    <w:rsid w:val="00353F44"/>
    <w:rsid w:val="00354110"/>
    <w:rsid w:val="00354158"/>
    <w:rsid w:val="0035418B"/>
    <w:rsid w:val="003541AE"/>
    <w:rsid w:val="003541D5"/>
    <w:rsid w:val="00354238"/>
    <w:rsid w:val="00354306"/>
    <w:rsid w:val="0035433C"/>
    <w:rsid w:val="0035440D"/>
    <w:rsid w:val="00354450"/>
    <w:rsid w:val="0035448E"/>
    <w:rsid w:val="003544CE"/>
    <w:rsid w:val="003544F6"/>
    <w:rsid w:val="0035455D"/>
    <w:rsid w:val="003545D5"/>
    <w:rsid w:val="0035467E"/>
    <w:rsid w:val="003547D4"/>
    <w:rsid w:val="0035482D"/>
    <w:rsid w:val="00354855"/>
    <w:rsid w:val="00354909"/>
    <w:rsid w:val="00354927"/>
    <w:rsid w:val="00354A62"/>
    <w:rsid w:val="00354AF2"/>
    <w:rsid w:val="00354B35"/>
    <w:rsid w:val="00354BBE"/>
    <w:rsid w:val="00354BCB"/>
    <w:rsid w:val="00354D22"/>
    <w:rsid w:val="00354D8D"/>
    <w:rsid w:val="00354E69"/>
    <w:rsid w:val="00354E92"/>
    <w:rsid w:val="00354F33"/>
    <w:rsid w:val="00354F69"/>
    <w:rsid w:val="00355069"/>
    <w:rsid w:val="003550B4"/>
    <w:rsid w:val="00355109"/>
    <w:rsid w:val="00355164"/>
    <w:rsid w:val="00355201"/>
    <w:rsid w:val="00355218"/>
    <w:rsid w:val="0035531A"/>
    <w:rsid w:val="00355392"/>
    <w:rsid w:val="003553D6"/>
    <w:rsid w:val="00355404"/>
    <w:rsid w:val="0035549A"/>
    <w:rsid w:val="0035553F"/>
    <w:rsid w:val="00355625"/>
    <w:rsid w:val="0035571A"/>
    <w:rsid w:val="00355842"/>
    <w:rsid w:val="0035590B"/>
    <w:rsid w:val="00355951"/>
    <w:rsid w:val="00355A08"/>
    <w:rsid w:val="00355AF3"/>
    <w:rsid w:val="00355B6D"/>
    <w:rsid w:val="00355C1B"/>
    <w:rsid w:val="00355C53"/>
    <w:rsid w:val="00355C8B"/>
    <w:rsid w:val="00355D44"/>
    <w:rsid w:val="00355DD6"/>
    <w:rsid w:val="00355EA6"/>
    <w:rsid w:val="00356035"/>
    <w:rsid w:val="0035605C"/>
    <w:rsid w:val="0035607D"/>
    <w:rsid w:val="00356112"/>
    <w:rsid w:val="003561BA"/>
    <w:rsid w:val="00356218"/>
    <w:rsid w:val="00356249"/>
    <w:rsid w:val="003562D7"/>
    <w:rsid w:val="00356358"/>
    <w:rsid w:val="003563AF"/>
    <w:rsid w:val="00356454"/>
    <w:rsid w:val="003564B5"/>
    <w:rsid w:val="003565B9"/>
    <w:rsid w:val="003565F3"/>
    <w:rsid w:val="0035666A"/>
    <w:rsid w:val="0035673D"/>
    <w:rsid w:val="0035674A"/>
    <w:rsid w:val="0035683A"/>
    <w:rsid w:val="00356847"/>
    <w:rsid w:val="0035695D"/>
    <w:rsid w:val="00356B67"/>
    <w:rsid w:val="00356C13"/>
    <w:rsid w:val="00356D9D"/>
    <w:rsid w:val="00356E0B"/>
    <w:rsid w:val="00356E21"/>
    <w:rsid w:val="00356EE6"/>
    <w:rsid w:val="00356EF5"/>
    <w:rsid w:val="00356F84"/>
    <w:rsid w:val="00356FFA"/>
    <w:rsid w:val="00357013"/>
    <w:rsid w:val="00357024"/>
    <w:rsid w:val="003570D1"/>
    <w:rsid w:val="003570EC"/>
    <w:rsid w:val="0035716D"/>
    <w:rsid w:val="0035745A"/>
    <w:rsid w:val="00357536"/>
    <w:rsid w:val="00357538"/>
    <w:rsid w:val="00357595"/>
    <w:rsid w:val="003575DE"/>
    <w:rsid w:val="003575F1"/>
    <w:rsid w:val="0035767F"/>
    <w:rsid w:val="0035768A"/>
    <w:rsid w:val="00357804"/>
    <w:rsid w:val="0035786B"/>
    <w:rsid w:val="00357910"/>
    <w:rsid w:val="00357985"/>
    <w:rsid w:val="003579D5"/>
    <w:rsid w:val="00357ABD"/>
    <w:rsid w:val="00357ADC"/>
    <w:rsid w:val="00357AFE"/>
    <w:rsid w:val="00357B11"/>
    <w:rsid w:val="00357B4D"/>
    <w:rsid w:val="00357BEF"/>
    <w:rsid w:val="00357CFC"/>
    <w:rsid w:val="00357EB5"/>
    <w:rsid w:val="00357EE3"/>
    <w:rsid w:val="0036005C"/>
    <w:rsid w:val="003600A9"/>
    <w:rsid w:val="003601EE"/>
    <w:rsid w:val="00360203"/>
    <w:rsid w:val="00360291"/>
    <w:rsid w:val="00360377"/>
    <w:rsid w:val="003604DA"/>
    <w:rsid w:val="0036051C"/>
    <w:rsid w:val="00360624"/>
    <w:rsid w:val="00360740"/>
    <w:rsid w:val="0036076C"/>
    <w:rsid w:val="00360860"/>
    <w:rsid w:val="003608DA"/>
    <w:rsid w:val="00360929"/>
    <w:rsid w:val="00360950"/>
    <w:rsid w:val="00360991"/>
    <w:rsid w:val="003609C9"/>
    <w:rsid w:val="003609F3"/>
    <w:rsid w:val="00360A80"/>
    <w:rsid w:val="00360AA3"/>
    <w:rsid w:val="00360ADF"/>
    <w:rsid w:val="00360B55"/>
    <w:rsid w:val="00360C53"/>
    <w:rsid w:val="00360C69"/>
    <w:rsid w:val="00360CA2"/>
    <w:rsid w:val="00360CCD"/>
    <w:rsid w:val="00360D50"/>
    <w:rsid w:val="00360D70"/>
    <w:rsid w:val="00360EE5"/>
    <w:rsid w:val="00361080"/>
    <w:rsid w:val="003610FD"/>
    <w:rsid w:val="0036137B"/>
    <w:rsid w:val="003613A1"/>
    <w:rsid w:val="003613DF"/>
    <w:rsid w:val="003614AA"/>
    <w:rsid w:val="003614B0"/>
    <w:rsid w:val="0036153D"/>
    <w:rsid w:val="00361602"/>
    <w:rsid w:val="0036162B"/>
    <w:rsid w:val="003616CC"/>
    <w:rsid w:val="003617FD"/>
    <w:rsid w:val="003618FD"/>
    <w:rsid w:val="00361941"/>
    <w:rsid w:val="00361988"/>
    <w:rsid w:val="003619ED"/>
    <w:rsid w:val="00361AFC"/>
    <w:rsid w:val="00361C62"/>
    <w:rsid w:val="00361D41"/>
    <w:rsid w:val="00361D8E"/>
    <w:rsid w:val="00361E80"/>
    <w:rsid w:val="00361F9F"/>
    <w:rsid w:val="00362001"/>
    <w:rsid w:val="00362077"/>
    <w:rsid w:val="00362155"/>
    <w:rsid w:val="0036228E"/>
    <w:rsid w:val="003622E3"/>
    <w:rsid w:val="00362345"/>
    <w:rsid w:val="00362346"/>
    <w:rsid w:val="003623B9"/>
    <w:rsid w:val="0036246B"/>
    <w:rsid w:val="0036249F"/>
    <w:rsid w:val="00362521"/>
    <w:rsid w:val="00362546"/>
    <w:rsid w:val="00362547"/>
    <w:rsid w:val="003626AD"/>
    <w:rsid w:val="00362709"/>
    <w:rsid w:val="0036278C"/>
    <w:rsid w:val="00362825"/>
    <w:rsid w:val="00362854"/>
    <w:rsid w:val="00362863"/>
    <w:rsid w:val="003629F6"/>
    <w:rsid w:val="00362A0C"/>
    <w:rsid w:val="00362A40"/>
    <w:rsid w:val="00362AA3"/>
    <w:rsid w:val="00362B03"/>
    <w:rsid w:val="00362B1F"/>
    <w:rsid w:val="00362BCE"/>
    <w:rsid w:val="00362C1B"/>
    <w:rsid w:val="00362CD9"/>
    <w:rsid w:val="00362D84"/>
    <w:rsid w:val="00362E02"/>
    <w:rsid w:val="00362ED1"/>
    <w:rsid w:val="00362F2D"/>
    <w:rsid w:val="00362F43"/>
    <w:rsid w:val="00363025"/>
    <w:rsid w:val="0036303F"/>
    <w:rsid w:val="00363061"/>
    <w:rsid w:val="00363095"/>
    <w:rsid w:val="003630D9"/>
    <w:rsid w:val="0036334A"/>
    <w:rsid w:val="0036336A"/>
    <w:rsid w:val="003633AE"/>
    <w:rsid w:val="0036344E"/>
    <w:rsid w:val="003634E4"/>
    <w:rsid w:val="003635C4"/>
    <w:rsid w:val="00363633"/>
    <w:rsid w:val="0036366A"/>
    <w:rsid w:val="0036368E"/>
    <w:rsid w:val="00363770"/>
    <w:rsid w:val="00363790"/>
    <w:rsid w:val="003637E9"/>
    <w:rsid w:val="0036382E"/>
    <w:rsid w:val="0036383F"/>
    <w:rsid w:val="00363894"/>
    <w:rsid w:val="00363934"/>
    <w:rsid w:val="00363989"/>
    <w:rsid w:val="003639EC"/>
    <w:rsid w:val="003639FC"/>
    <w:rsid w:val="00363A72"/>
    <w:rsid w:val="00363A84"/>
    <w:rsid w:val="00363ACF"/>
    <w:rsid w:val="00363B5B"/>
    <w:rsid w:val="00363BEF"/>
    <w:rsid w:val="00363C27"/>
    <w:rsid w:val="00363C5C"/>
    <w:rsid w:val="00363D32"/>
    <w:rsid w:val="00363D48"/>
    <w:rsid w:val="00363E87"/>
    <w:rsid w:val="00363ED1"/>
    <w:rsid w:val="00363F24"/>
    <w:rsid w:val="00363F5B"/>
    <w:rsid w:val="00363F8A"/>
    <w:rsid w:val="0036404B"/>
    <w:rsid w:val="003640A0"/>
    <w:rsid w:val="003640E1"/>
    <w:rsid w:val="00364113"/>
    <w:rsid w:val="00364246"/>
    <w:rsid w:val="003642DC"/>
    <w:rsid w:val="00364316"/>
    <w:rsid w:val="0036432F"/>
    <w:rsid w:val="00364334"/>
    <w:rsid w:val="00364385"/>
    <w:rsid w:val="0036445B"/>
    <w:rsid w:val="003644CF"/>
    <w:rsid w:val="003645AE"/>
    <w:rsid w:val="003645BC"/>
    <w:rsid w:val="003645E7"/>
    <w:rsid w:val="003646B1"/>
    <w:rsid w:val="003646CD"/>
    <w:rsid w:val="00364801"/>
    <w:rsid w:val="00364881"/>
    <w:rsid w:val="003648F4"/>
    <w:rsid w:val="00364A83"/>
    <w:rsid w:val="00364AB1"/>
    <w:rsid w:val="00364AE8"/>
    <w:rsid w:val="00364B5A"/>
    <w:rsid w:val="00364D1B"/>
    <w:rsid w:val="00364D52"/>
    <w:rsid w:val="00364D7F"/>
    <w:rsid w:val="00364DD2"/>
    <w:rsid w:val="00364E05"/>
    <w:rsid w:val="00364E88"/>
    <w:rsid w:val="00364E99"/>
    <w:rsid w:val="00364F2D"/>
    <w:rsid w:val="00364F7E"/>
    <w:rsid w:val="0036514A"/>
    <w:rsid w:val="0036516E"/>
    <w:rsid w:val="003651F8"/>
    <w:rsid w:val="00365255"/>
    <w:rsid w:val="00365412"/>
    <w:rsid w:val="0036545F"/>
    <w:rsid w:val="003654E6"/>
    <w:rsid w:val="003655BD"/>
    <w:rsid w:val="003655E6"/>
    <w:rsid w:val="00365605"/>
    <w:rsid w:val="00365619"/>
    <w:rsid w:val="0036572F"/>
    <w:rsid w:val="00365748"/>
    <w:rsid w:val="0036592D"/>
    <w:rsid w:val="0036599A"/>
    <w:rsid w:val="00365A17"/>
    <w:rsid w:val="00365A92"/>
    <w:rsid w:val="00365AEE"/>
    <w:rsid w:val="00365B45"/>
    <w:rsid w:val="00365B5C"/>
    <w:rsid w:val="00365B67"/>
    <w:rsid w:val="00365C05"/>
    <w:rsid w:val="00365D2A"/>
    <w:rsid w:val="00365E76"/>
    <w:rsid w:val="00365F67"/>
    <w:rsid w:val="00365F7B"/>
    <w:rsid w:val="0036613A"/>
    <w:rsid w:val="00366160"/>
    <w:rsid w:val="003661E8"/>
    <w:rsid w:val="00366251"/>
    <w:rsid w:val="00366253"/>
    <w:rsid w:val="00366312"/>
    <w:rsid w:val="003663F3"/>
    <w:rsid w:val="003664A5"/>
    <w:rsid w:val="003664C6"/>
    <w:rsid w:val="003664DD"/>
    <w:rsid w:val="003664F2"/>
    <w:rsid w:val="0036654E"/>
    <w:rsid w:val="003665AC"/>
    <w:rsid w:val="00366623"/>
    <w:rsid w:val="003667DD"/>
    <w:rsid w:val="00366804"/>
    <w:rsid w:val="0036680F"/>
    <w:rsid w:val="0036685E"/>
    <w:rsid w:val="00366924"/>
    <w:rsid w:val="00366927"/>
    <w:rsid w:val="003669A9"/>
    <w:rsid w:val="00366A1E"/>
    <w:rsid w:val="00366AEA"/>
    <w:rsid w:val="00366C58"/>
    <w:rsid w:val="00366D51"/>
    <w:rsid w:val="00366D98"/>
    <w:rsid w:val="00366DE1"/>
    <w:rsid w:val="00366F21"/>
    <w:rsid w:val="00366FB0"/>
    <w:rsid w:val="00367015"/>
    <w:rsid w:val="003670B2"/>
    <w:rsid w:val="003670F4"/>
    <w:rsid w:val="00367169"/>
    <w:rsid w:val="00367197"/>
    <w:rsid w:val="00367199"/>
    <w:rsid w:val="0036733F"/>
    <w:rsid w:val="0036736F"/>
    <w:rsid w:val="00367398"/>
    <w:rsid w:val="00367533"/>
    <w:rsid w:val="00367537"/>
    <w:rsid w:val="0036778E"/>
    <w:rsid w:val="0036787D"/>
    <w:rsid w:val="00367913"/>
    <w:rsid w:val="00367975"/>
    <w:rsid w:val="003679BD"/>
    <w:rsid w:val="003679CA"/>
    <w:rsid w:val="003679CB"/>
    <w:rsid w:val="003679D4"/>
    <w:rsid w:val="003679FB"/>
    <w:rsid w:val="00367A27"/>
    <w:rsid w:val="00367A82"/>
    <w:rsid w:val="00367A97"/>
    <w:rsid w:val="00367BB5"/>
    <w:rsid w:val="00367BC2"/>
    <w:rsid w:val="00367BC6"/>
    <w:rsid w:val="00367BD2"/>
    <w:rsid w:val="00367C27"/>
    <w:rsid w:val="00367C2B"/>
    <w:rsid w:val="00367CC8"/>
    <w:rsid w:val="00367DB2"/>
    <w:rsid w:val="00367E0A"/>
    <w:rsid w:val="00367E1B"/>
    <w:rsid w:val="00367F54"/>
    <w:rsid w:val="00370179"/>
    <w:rsid w:val="0037020E"/>
    <w:rsid w:val="0037026C"/>
    <w:rsid w:val="003702E5"/>
    <w:rsid w:val="003702F8"/>
    <w:rsid w:val="00370370"/>
    <w:rsid w:val="003704FF"/>
    <w:rsid w:val="003705B0"/>
    <w:rsid w:val="0037072B"/>
    <w:rsid w:val="00370756"/>
    <w:rsid w:val="00370866"/>
    <w:rsid w:val="003708A3"/>
    <w:rsid w:val="003708E8"/>
    <w:rsid w:val="00370934"/>
    <w:rsid w:val="00370A60"/>
    <w:rsid w:val="00370A6A"/>
    <w:rsid w:val="00370A71"/>
    <w:rsid w:val="00370BB3"/>
    <w:rsid w:val="00370BBE"/>
    <w:rsid w:val="00370BC2"/>
    <w:rsid w:val="00370BC8"/>
    <w:rsid w:val="00370CF4"/>
    <w:rsid w:val="00370D81"/>
    <w:rsid w:val="00370F52"/>
    <w:rsid w:val="00370FC5"/>
    <w:rsid w:val="00370FDD"/>
    <w:rsid w:val="00370FE3"/>
    <w:rsid w:val="0037105D"/>
    <w:rsid w:val="00371115"/>
    <w:rsid w:val="003712A2"/>
    <w:rsid w:val="00371378"/>
    <w:rsid w:val="00371399"/>
    <w:rsid w:val="003713A6"/>
    <w:rsid w:val="003714C1"/>
    <w:rsid w:val="0037153D"/>
    <w:rsid w:val="0037156F"/>
    <w:rsid w:val="0037179B"/>
    <w:rsid w:val="003717B1"/>
    <w:rsid w:val="00371827"/>
    <w:rsid w:val="00371935"/>
    <w:rsid w:val="00371963"/>
    <w:rsid w:val="0037196C"/>
    <w:rsid w:val="003719C2"/>
    <w:rsid w:val="00371A63"/>
    <w:rsid w:val="00371B3F"/>
    <w:rsid w:val="00371B95"/>
    <w:rsid w:val="00371D38"/>
    <w:rsid w:val="00371D61"/>
    <w:rsid w:val="00371E43"/>
    <w:rsid w:val="00371EBA"/>
    <w:rsid w:val="00371FA1"/>
    <w:rsid w:val="00371FB1"/>
    <w:rsid w:val="003720A5"/>
    <w:rsid w:val="003720D1"/>
    <w:rsid w:val="003721D7"/>
    <w:rsid w:val="003721F7"/>
    <w:rsid w:val="00372281"/>
    <w:rsid w:val="00372321"/>
    <w:rsid w:val="0037243D"/>
    <w:rsid w:val="0037255A"/>
    <w:rsid w:val="00372564"/>
    <w:rsid w:val="00372644"/>
    <w:rsid w:val="003726EC"/>
    <w:rsid w:val="003727F8"/>
    <w:rsid w:val="00372887"/>
    <w:rsid w:val="00372965"/>
    <w:rsid w:val="003729CD"/>
    <w:rsid w:val="00372A07"/>
    <w:rsid w:val="00372A3A"/>
    <w:rsid w:val="00372A4A"/>
    <w:rsid w:val="00372AFA"/>
    <w:rsid w:val="00372B0E"/>
    <w:rsid w:val="00372BB7"/>
    <w:rsid w:val="00372C18"/>
    <w:rsid w:val="00372C23"/>
    <w:rsid w:val="00372D24"/>
    <w:rsid w:val="00372D9D"/>
    <w:rsid w:val="00372E6F"/>
    <w:rsid w:val="00372ECD"/>
    <w:rsid w:val="00372F40"/>
    <w:rsid w:val="00372FA4"/>
    <w:rsid w:val="00373085"/>
    <w:rsid w:val="00373147"/>
    <w:rsid w:val="0037314B"/>
    <w:rsid w:val="00373170"/>
    <w:rsid w:val="00373284"/>
    <w:rsid w:val="003732B2"/>
    <w:rsid w:val="00373374"/>
    <w:rsid w:val="00373431"/>
    <w:rsid w:val="00373460"/>
    <w:rsid w:val="0037354E"/>
    <w:rsid w:val="003735BA"/>
    <w:rsid w:val="0037370F"/>
    <w:rsid w:val="003739EB"/>
    <w:rsid w:val="00373AD9"/>
    <w:rsid w:val="00373B25"/>
    <w:rsid w:val="00373CFF"/>
    <w:rsid w:val="00373D93"/>
    <w:rsid w:val="00373E15"/>
    <w:rsid w:val="00373EF2"/>
    <w:rsid w:val="00373F2A"/>
    <w:rsid w:val="00373F40"/>
    <w:rsid w:val="00373F81"/>
    <w:rsid w:val="00373FD5"/>
    <w:rsid w:val="00374118"/>
    <w:rsid w:val="0037412B"/>
    <w:rsid w:val="00374249"/>
    <w:rsid w:val="00374257"/>
    <w:rsid w:val="003742AE"/>
    <w:rsid w:val="003742DF"/>
    <w:rsid w:val="00374364"/>
    <w:rsid w:val="00374380"/>
    <w:rsid w:val="00374430"/>
    <w:rsid w:val="0037455B"/>
    <w:rsid w:val="003745ED"/>
    <w:rsid w:val="0037462D"/>
    <w:rsid w:val="0037467B"/>
    <w:rsid w:val="00374706"/>
    <w:rsid w:val="0037473D"/>
    <w:rsid w:val="0037474A"/>
    <w:rsid w:val="0037474C"/>
    <w:rsid w:val="00374750"/>
    <w:rsid w:val="003747DF"/>
    <w:rsid w:val="00374BCD"/>
    <w:rsid w:val="00374CEB"/>
    <w:rsid w:val="00374D14"/>
    <w:rsid w:val="00374D72"/>
    <w:rsid w:val="00374DA1"/>
    <w:rsid w:val="00374E59"/>
    <w:rsid w:val="00374E70"/>
    <w:rsid w:val="00374EDD"/>
    <w:rsid w:val="00375133"/>
    <w:rsid w:val="00375144"/>
    <w:rsid w:val="00375150"/>
    <w:rsid w:val="0037528A"/>
    <w:rsid w:val="003753F4"/>
    <w:rsid w:val="00375446"/>
    <w:rsid w:val="0037548A"/>
    <w:rsid w:val="003754B9"/>
    <w:rsid w:val="003755E2"/>
    <w:rsid w:val="003755E4"/>
    <w:rsid w:val="00375632"/>
    <w:rsid w:val="00375736"/>
    <w:rsid w:val="0037577F"/>
    <w:rsid w:val="0037584D"/>
    <w:rsid w:val="00375905"/>
    <w:rsid w:val="00375A54"/>
    <w:rsid w:val="00375AAC"/>
    <w:rsid w:val="00375AD4"/>
    <w:rsid w:val="00375B30"/>
    <w:rsid w:val="00375B53"/>
    <w:rsid w:val="00375B67"/>
    <w:rsid w:val="00375BB4"/>
    <w:rsid w:val="00375D08"/>
    <w:rsid w:val="00375D6E"/>
    <w:rsid w:val="00375D7D"/>
    <w:rsid w:val="00375E1B"/>
    <w:rsid w:val="00375F28"/>
    <w:rsid w:val="00375F73"/>
    <w:rsid w:val="00375F98"/>
    <w:rsid w:val="00375FA4"/>
    <w:rsid w:val="00376006"/>
    <w:rsid w:val="0037608E"/>
    <w:rsid w:val="003760D0"/>
    <w:rsid w:val="00376153"/>
    <w:rsid w:val="0037616C"/>
    <w:rsid w:val="00376227"/>
    <w:rsid w:val="00376286"/>
    <w:rsid w:val="003762DE"/>
    <w:rsid w:val="003762E2"/>
    <w:rsid w:val="00376334"/>
    <w:rsid w:val="0037636A"/>
    <w:rsid w:val="00376394"/>
    <w:rsid w:val="003764AA"/>
    <w:rsid w:val="003764D3"/>
    <w:rsid w:val="00376636"/>
    <w:rsid w:val="00376667"/>
    <w:rsid w:val="00376678"/>
    <w:rsid w:val="00376745"/>
    <w:rsid w:val="00376778"/>
    <w:rsid w:val="003769CD"/>
    <w:rsid w:val="00376A6D"/>
    <w:rsid w:val="00376AAE"/>
    <w:rsid w:val="00376AFE"/>
    <w:rsid w:val="00376CBE"/>
    <w:rsid w:val="00376D53"/>
    <w:rsid w:val="00376DCD"/>
    <w:rsid w:val="00376E4F"/>
    <w:rsid w:val="00376F2C"/>
    <w:rsid w:val="00376F5B"/>
    <w:rsid w:val="00376FCB"/>
    <w:rsid w:val="003770AD"/>
    <w:rsid w:val="003770E9"/>
    <w:rsid w:val="003770FE"/>
    <w:rsid w:val="0037714B"/>
    <w:rsid w:val="003771ED"/>
    <w:rsid w:val="00377274"/>
    <w:rsid w:val="003772E1"/>
    <w:rsid w:val="003772F0"/>
    <w:rsid w:val="0037732F"/>
    <w:rsid w:val="00377357"/>
    <w:rsid w:val="00377381"/>
    <w:rsid w:val="00377410"/>
    <w:rsid w:val="0037749F"/>
    <w:rsid w:val="003774EE"/>
    <w:rsid w:val="0037755E"/>
    <w:rsid w:val="00377562"/>
    <w:rsid w:val="00377583"/>
    <w:rsid w:val="00377594"/>
    <w:rsid w:val="003775A8"/>
    <w:rsid w:val="003775D5"/>
    <w:rsid w:val="0037760C"/>
    <w:rsid w:val="003777BD"/>
    <w:rsid w:val="003777D8"/>
    <w:rsid w:val="0037780F"/>
    <w:rsid w:val="00377927"/>
    <w:rsid w:val="0037793C"/>
    <w:rsid w:val="00377A4C"/>
    <w:rsid w:val="00377A8F"/>
    <w:rsid w:val="00377AC8"/>
    <w:rsid w:val="00377AFD"/>
    <w:rsid w:val="00377B3C"/>
    <w:rsid w:val="00377B9C"/>
    <w:rsid w:val="00377BCA"/>
    <w:rsid w:val="00377C8C"/>
    <w:rsid w:val="00377D1B"/>
    <w:rsid w:val="00377D7D"/>
    <w:rsid w:val="00377E0B"/>
    <w:rsid w:val="00377EA8"/>
    <w:rsid w:val="00377FC5"/>
    <w:rsid w:val="0038000C"/>
    <w:rsid w:val="00380111"/>
    <w:rsid w:val="003801BD"/>
    <w:rsid w:val="003801F4"/>
    <w:rsid w:val="00380281"/>
    <w:rsid w:val="003802AA"/>
    <w:rsid w:val="00380340"/>
    <w:rsid w:val="00380387"/>
    <w:rsid w:val="003803DC"/>
    <w:rsid w:val="003803F5"/>
    <w:rsid w:val="0038042F"/>
    <w:rsid w:val="003804C1"/>
    <w:rsid w:val="003804FF"/>
    <w:rsid w:val="00380637"/>
    <w:rsid w:val="00380690"/>
    <w:rsid w:val="00380748"/>
    <w:rsid w:val="0038076A"/>
    <w:rsid w:val="00380857"/>
    <w:rsid w:val="00380876"/>
    <w:rsid w:val="00380895"/>
    <w:rsid w:val="003809A3"/>
    <w:rsid w:val="00380A16"/>
    <w:rsid w:val="00380AAB"/>
    <w:rsid w:val="00380B0D"/>
    <w:rsid w:val="00380C03"/>
    <w:rsid w:val="00380C29"/>
    <w:rsid w:val="00380C47"/>
    <w:rsid w:val="00380CD5"/>
    <w:rsid w:val="00380E0E"/>
    <w:rsid w:val="00380ED1"/>
    <w:rsid w:val="00380EE3"/>
    <w:rsid w:val="00380F88"/>
    <w:rsid w:val="00380FEA"/>
    <w:rsid w:val="00381138"/>
    <w:rsid w:val="003812B9"/>
    <w:rsid w:val="0038132D"/>
    <w:rsid w:val="00381492"/>
    <w:rsid w:val="003814FF"/>
    <w:rsid w:val="0038165C"/>
    <w:rsid w:val="0038174C"/>
    <w:rsid w:val="00381764"/>
    <w:rsid w:val="003818B4"/>
    <w:rsid w:val="0038191D"/>
    <w:rsid w:val="00381A42"/>
    <w:rsid w:val="00381A4B"/>
    <w:rsid w:val="00381BB1"/>
    <w:rsid w:val="00381BD3"/>
    <w:rsid w:val="00381C2D"/>
    <w:rsid w:val="00381D25"/>
    <w:rsid w:val="00381D50"/>
    <w:rsid w:val="00381DA9"/>
    <w:rsid w:val="00381E66"/>
    <w:rsid w:val="00381FB0"/>
    <w:rsid w:val="00381FE4"/>
    <w:rsid w:val="003820DB"/>
    <w:rsid w:val="003820E9"/>
    <w:rsid w:val="0038212A"/>
    <w:rsid w:val="00382214"/>
    <w:rsid w:val="003822CF"/>
    <w:rsid w:val="003822D6"/>
    <w:rsid w:val="003822F7"/>
    <w:rsid w:val="00382366"/>
    <w:rsid w:val="003823F4"/>
    <w:rsid w:val="00382433"/>
    <w:rsid w:val="003824CE"/>
    <w:rsid w:val="0038252D"/>
    <w:rsid w:val="00382538"/>
    <w:rsid w:val="0038271D"/>
    <w:rsid w:val="00382731"/>
    <w:rsid w:val="0038281E"/>
    <w:rsid w:val="00382908"/>
    <w:rsid w:val="00382917"/>
    <w:rsid w:val="0038291A"/>
    <w:rsid w:val="00382928"/>
    <w:rsid w:val="003829FB"/>
    <w:rsid w:val="00382A62"/>
    <w:rsid w:val="00382ACF"/>
    <w:rsid w:val="00382C4D"/>
    <w:rsid w:val="00382D1E"/>
    <w:rsid w:val="00382D39"/>
    <w:rsid w:val="00382E0B"/>
    <w:rsid w:val="00382E91"/>
    <w:rsid w:val="00382EEC"/>
    <w:rsid w:val="00382FB8"/>
    <w:rsid w:val="00382FBA"/>
    <w:rsid w:val="00383030"/>
    <w:rsid w:val="00383032"/>
    <w:rsid w:val="0038305C"/>
    <w:rsid w:val="00383063"/>
    <w:rsid w:val="00383081"/>
    <w:rsid w:val="003830E3"/>
    <w:rsid w:val="00383171"/>
    <w:rsid w:val="003831D6"/>
    <w:rsid w:val="00383247"/>
    <w:rsid w:val="00383263"/>
    <w:rsid w:val="00383325"/>
    <w:rsid w:val="003833C3"/>
    <w:rsid w:val="0038349A"/>
    <w:rsid w:val="00383561"/>
    <w:rsid w:val="0038366F"/>
    <w:rsid w:val="0038376A"/>
    <w:rsid w:val="00383814"/>
    <w:rsid w:val="0038392D"/>
    <w:rsid w:val="00383947"/>
    <w:rsid w:val="0038398F"/>
    <w:rsid w:val="003839EA"/>
    <w:rsid w:val="00383B24"/>
    <w:rsid w:val="00383B2D"/>
    <w:rsid w:val="00383B3A"/>
    <w:rsid w:val="00383B76"/>
    <w:rsid w:val="00383BEC"/>
    <w:rsid w:val="00383C2F"/>
    <w:rsid w:val="00383D35"/>
    <w:rsid w:val="00383DB4"/>
    <w:rsid w:val="00383E86"/>
    <w:rsid w:val="00383EDA"/>
    <w:rsid w:val="00383F1C"/>
    <w:rsid w:val="00383F96"/>
    <w:rsid w:val="00383FB4"/>
    <w:rsid w:val="00383FC5"/>
    <w:rsid w:val="00383FD9"/>
    <w:rsid w:val="0038417F"/>
    <w:rsid w:val="003841D4"/>
    <w:rsid w:val="003841FC"/>
    <w:rsid w:val="00384238"/>
    <w:rsid w:val="0038424C"/>
    <w:rsid w:val="00384265"/>
    <w:rsid w:val="00384271"/>
    <w:rsid w:val="003842B9"/>
    <w:rsid w:val="003842C3"/>
    <w:rsid w:val="00384324"/>
    <w:rsid w:val="00384326"/>
    <w:rsid w:val="003843DE"/>
    <w:rsid w:val="00384402"/>
    <w:rsid w:val="00384438"/>
    <w:rsid w:val="0038444B"/>
    <w:rsid w:val="003844DC"/>
    <w:rsid w:val="003845B3"/>
    <w:rsid w:val="003848E3"/>
    <w:rsid w:val="003849A6"/>
    <w:rsid w:val="00384A8C"/>
    <w:rsid w:val="00384B04"/>
    <w:rsid w:val="00384B12"/>
    <w:rsid w:val="00384B51"/>
    <w:rsid w:val="00384B83"/>
    <w:rsid w:val="00384C17"/>
    <w:rsid w:val="00384C9C"/>
    <w:rsid w:val="00384CDC"/>
    <w:rsid w:val="00384D0E"/>
    <w:rsid w:val="00384D1B"/>
    <w:rsid w:val="00384DEA"/>
    <w:rsid w:val="00384E9B"/>
    <w:rsid w:val="00384F44"/>
    <w:rsid w:val="00384F6A"/>
    <w:rsid w:val="00384F76"/>
    <w:rsid w:val="00385009"/>
    <w:rsid w:val="0038503B"/>
    <w:rsid w:val="00385109"/>
    <w:rsid w:val="0038511C"/>
    <w:rsid w:val="00385155"/>
    <w:rsid w:val="0038521B"/>
    <w:rsid w:val="00385447"/>
    <w:rsid w:val="00385456"/>
    <w:rsid w:val="00385477"/>
    <w:rsid w:val="0038550F"/>
    <w:rsid w:val="00385519"/>
    <w:rsid w:val="003855A7"/>
    <w:rsid w:val="00385619"/>
    <w:rsid w:val="0038562B"/>
    <w:rsid w:val="00385670"/>
    <w:rsid w:val="003857C4"/>
    <w:rsid w:val="003858A3"/>
    <w:rsid w:val="003858A7"/>
    <w:rsid w:val="003858FD"/>
    <w:rsid w:val="00385925"/>
    <w:rsid w:val="003859DF"/>
    <w:rsid w:val="003859E2"/>
    <w:rsid w:val="00385AEB"/>
    <w:rsid w:val="00385B97"/>
    <w:rsid w:val="00385D25"/>
    <w:rsid w:val="00385D3B"/>
    <w:rsid w:val="00385D8B"/>
    <w:rsid w:val="00385EE6"/>
    <w:rsid w:val="00385F1B"/>
    <w:rsid w:val="00385F2E"/>
    <w:rsid w:val="00385FF3"/>
    <w:rsid w:val="0038604D"/>
    <w:rsid w:val="00386071"/>
    <w:rsid w:val="0038613C"/>
    <w:rsid w:val="003861EC"/>
    <w:rsid w:val="00386248"/>
    <w:rsid w:val="00386259"/>
    <w:rsid w:val="00386369"/>
    <w:rsid w:val="003863AA"/>
    <w:rsid w:val="00386475"/>
    <w:rsid w:val="0038649A"/>
    <w:rsid w:val="003864B4"/>
    <w:rsid w:val="003864CC"/>
    <w:rsid w:val="003865A0"/>
    <w:rsid w:val="003865ED"/>
    <w:rsid w:val="003865F3"/>
    <w:rsid w:val="00386631"/>
    <w:rsid w:val="0038665F"/>
    <w:rsid w:val="003866AA"/>
    <w:rsid w:val="0038672A"/>
    <w:rsid w:val="0038676E"/>
    <w:rsid w:val="00386773"/>
    <w:rsid w:val="0038682F"/>
    <w:rsid w:val="00386942"/>
    <w:rsid w:val="003869A0"/>
    <w:rsid w:val="00386A89"/>
    <w:rsid w:val="00386AA7"/>
    <w:rsid w:val="00386B2F"/>
    <w:rsid w:val="00386B7E"/>
    <w:rsid w:val="00386B99"/>
    <w:rsid w:val="00386C4C"/>
    <w:rsid w:val="00386C7A"/>
    <w:rsid w:val="00386D50"/>
    <w:rsid w:val="00386DDE"/>
    <w:rsid w:val="00386E1B"/>
    <w:rsid w:val="00386EC0"/>
    <w:rsid w:val="00386ECE"/>
    <w:rsid w:val="00386F14"/>
    <w:rsid w:val="00386FEA"/>
    <w:rsid w:val="003870EA"/>
    <w:rsid w:val="003871A8"/>
    <w:rsid w:val="00387261"/>
    <w:rsid w:val="00387263"/>
    <w:rsid w:val="003872BD"/>
    <w:rsid w:val="003875AF"/>
    <w:rsid w:val="00387602"/>
    <w:rsid w:val="00387658"/>
    <w:rsid w:val="00387693"/>
    <w:rsid w:val="003876E1"/>
    <w:rsid w:val="00387884"/>
    <w:rsid w:val="003879BE"/>
    <w:rsid w:val="003879FF"/>
    <w:rsid w:val="00387A35"/>
    <w:rsid w:val="00387A6D"/>
    <w:rsid w:val="00387ACB"/>
    <w:rsid w:val="00387BCD"/>
    <w:rsid w:val="00387CB5"/>
    <w:rsid w:val="00387E19"/>
    <w:rsid w:val="00387E73"/>
    <w:rsid w:val="00387EE8"/>
    <w:rsid w:val="00387F80"/>
    <w:rsid w:val="003900B7"/>
    <w:rsid w:val="0039014B"/>
    <w:rsid w:val="00390171"/>
    <w:rsid w:val="003901DB"/>
    <w:rsid w:val="003901F6"/>
    <w:rsid w:val="0039027B"/>
    <w:rsid w:val="003902FC"/>
    <w:rsid w:val="003904B2"/>
    <w:rsid w:val="00390514"/>
    <w:rsid w:val="003905FF"/>
    <w:rsid w:val="003906A9"/>
    <w:rsid w:val="0039076B"/>
    <w:rsid w:val="003907E3"/>
    <w:rsid w:val="0039092A"/>
    <w:rsid w:val="00390931"/>
    <w:rsid w:val="00390942"/>
    <w:rsid w:val="0039099D"/>
    <w:rsid w:val="003909EF"/>
    <w:rsid w:val="00390A40"/>
    <w:rsid w:val="00390A46"/>
    <w:rsid w:val="00390A6C"/>
    <w:rsid w:val="00390A6F"/>
    <w:rsid w:val="00390C33"/>
    <w:rsid w:val="00390CE1"/>
    <w:rsid w:val="00390D55"/>
    <w:rsid w:val="00390DD8"/>
    <w:rsid w:val="00390F5A"/>
    <w:rsid w:val="00391013"/>
    <w:rsid w:val="00391038"/>
    <w:rsid w:val="003910BD"/>
    <w:rsid w:val="003910E9"/>
    <w:rsid w:val="003911ED"/>
    <w:rsid w:val="00391237"/>
    <w:rsid w:val="00391243"/>
    <w:rsid w:val="00391278"/>
    <w:rsid w:val="00391286"/>
    <w:rsid w:val="003912BD"/>
    <w:rsid w:val="0039131F"/>
    <w:rsid w:val="00391320"/>
    <w:rsid w:val="003913E5"/>
    <w:rsid w:val="00391412"/>
    <w:rsid w:val="003914C8"/>
    <w:rsid w:val="0039157C"/>
    <w:rsid w:val="00391624"/>
    <w:rsid w:val="00391648"/>
    <w:rsid w:val="0039194D"/>
    <w:rsid w:val="003919EC"/>
    <w:rsid w:val="00391ADD"/>
    <w:rsid w:val="00391B04"/>
    <w:rsid w:val="00391B1A"/>
    <w:rsid w:val="00391B21"/>
    <w:rsid w:val="00391BC2"/>
    <w:rsid w:val="00391C27"/>
    <w:rsid w:val="00391D3B"/>
    <w:rsid w:val="00391D61"/>
    <w:rsid w:val="00391D8F"/>
    <w:rsid w:val="00391DC9"/>
    <w:rsid w:val="00391F5D"/>
    <w:rsid w:val="00391F71"/>
    <w:rsid w:val="00391F90"/>
    <w:rsid w:val="003920EC"/>
    <w:rsid w:val="00392139"/>
    <w:rsid w:val="0039218D"/>
    <w:rsid w:val="00392218"/>
    <w:rsid w:val="0039223F"/>
    <w:rsid w:val="003922E5"/>
    <w:rsid w:val="00392377"/>
    <w:rsid w:val="00392397"/>
    <w:rsid w:val="003923C0"/>
    <w:rsid w:val="003924EB"/>
    <w:rsid w:val="003925BD"/>
    <w:rsid w:val="0039260E"/>
    <w:rsid w:val="00392616"/>
    <w:rsid w:val="00392644"/>
    <w:rsid w:val="003927D8"/>
    <w:rsid w:val="00392882"/>
    <w:rsid w:val="00392948"/>
    <w:rsid w:val="00392971"/>
    <w:rsid w:val="00392978"/>
    <w:rsid w:val="00392A23"/>
    <w:rsid w:val="00392B11"/>
    <w:rsid w:val="00392B7C"/>
    <w:rsid w:val="00392CD0"/>
    <w:rsid w:val="00392DB6"/>
    <w:rsid w:val="00392E18"/>
    <w:rsid w:val="00392E3A"/>
    <w:rsid w:val="00392ED8"/>
    <w:rsid w:val="00392F88"/>
    <w:rsid w:val="00392FC0"/>
    <w:rsid w:val="00392FCB"/>
    <w:rsid w:val="0039303E"/>
    <w:rsid w:val="003930B1"/>
    <w:rsid w:val="00393151"/>
    <w:rsid w:val="0039322F"/>
    <w:rsid w:val="003932CF"/>
    <w:rsid w:val="0039330D"/>
    <w:rsid w:val="00393354"/>
    <w:rsid w:val="003933F2"/>
    <w:rsid w:val="00393557"/>
    <w:rsid w:val="00393581"/>
    <w:rsid w:val="0039363F"/>
    <w:rsid w:val="0039376B"/>
    <w:rsid w:val="00393780"/>
    <w:rsid w:val="0039386D"/>
    <w:rsid w:val="00393A38"/>
    <w:rsid w:val="00393AC4"/>
    <w:rsid w:val="00393B07"/>
    <w:rsid w:val="00393B0A"/>
    <w:rsid w:val="00393B71"/>
    <w:rsid w:val="00393C03"/>
    <w:rsid w:val="00393C68"/>
    <w:rsid w:val="00393CB8"/>
    <w:rsid w:val="00393E0A"/>
    <w:rsid w:val="00393E38"/>
    <w:rsid w:val="00393F3D"/>
    <w:rsid w:val="00393F56"/>
    <w:rsid w:val="0039402E"/>
    <w:rsid w:val="003940EE"/>
    <w:rsid w:val="0039428A"/>
    <w:rsid w:val="003942AB"/>
    <w:rsid w:val="0039433D"/>
    <w:rsid w:val="00394366"/>
    <w:rsid w:val="00394370"/>
    <w:rsid w:val="00394390"/>
    <w:rsid w:val="003943F5"/>
    <w:rsid w:val="00394641"/>
    <w:rsid w:val="003946BD"/>
    <w:rsid w:val="00394746"/>
    <w:rsid w:val="003947C4"/>
    <w:rsid w:val="0039489F"/>
    <w:rsid w:val="00394B1F"/>
    <w:rsid w:val="00394B23"/>
    <w:rsid w:val="00394BC5"/>
    <w:rsid w:val="00394C9F"/>
    <w:rsid w:val="00394D30"/>
    <w:rsid w:val="00394D9D"/>
    <w:rsid w:val="00394EFB"/>
    <w:rsid w:val="00394F8F"/>
    <w:rsid w:val="00395141"/>
    <w:rsid w:val="00395260"/>
    <w:rsid w:val="00395267"/>
    <w:rsid w:val="00395283"/>
    <w:rsid w:val="0039534F"/>
    <w:rsid w:val="00395388"/>
    <w:rsid w:val="003953F8"/>
    <w:rsid w:val="00395490"/>
    <w:rsid w:val="003954D0"/>
    <w:rsid w:val="0039555F"/>
    <w:rsid w:val="00395576"/>
    <w:rsid w:val="003956CC"/>
    <w:rsid w:val="0039571F"/>
    <w:rsid w:val="00395897"/>
    <w:rsid w:val="00395944"/>
    <w:rsid w:val="00395973"/>
    <w:rsid w:val="00395A43"/>
    <w:rsid w:val="00395AF8"/>
    <w:rsid w:val="00395D1C"/>
    <w:rsid w:val="00395D51"/>
    <w:rsid w:val="00395DBC"/>
    <w:rsid w:val="00395EB7"/>
    <w:rsid w:val="00395F5E"/>
    <w:rsid w:val="00395F5F"/>
    <w:rsid w:val="00395F97"/>
    <w:rsid w:val="00396040"/>
    <w:rsid w:val="003960D1"/>
    <w:rsid w:val="003961AF"/>
    <w:rsid w:val="003961B1"/>
    <w:rsid w:val="003961C5"/>
    <w:rsid w:val="003962E8"/>
    <w:rsid w:val="003964B9"/>
    <w:rsid w:val="00396538"/>
    <w:rsid w:val="0039654A"/>
    <w:rsid w:val="00396607"/>
    <w:rsid w:val="003966B6"/>
    <w:rsid w:val="00396767"/>
    <w:rsid w:val="00396779"/>
    <w:rsid w:val="0039687E"/>
    <w:rsid w:val="0039688F"/>
    <w:rsid w:val="00396933"/>
    <w:rsid w:val="00396995"/>
    <w:rsid w:val="003969B6"/>
    <w:rsid w:val="00396A03"/>
    <w:rsid w:val="00396A1E"/>
    <w:rsid w:val="00396AC0"/>
    <w:rsid w:val="00396B20"/>
    <w:rsid w:val="00396B22"/>
    <w:rsid w:val="00396C5B"/>
    <w:rsid w:val="00396C78"/>
    <w:rsid w:val="00396D50"/>
    <w:rsid w:val="00396EBF"/>
    <w:rsid w:val="00396F99"/>
    <w:rsid w:val="00396FBD"/>
    <w:rsid w:val="003970CC"/>
    <w:rsid w:val="00397139"/>
    <w:rsid w:val="003971AC"/>
    <w:rsid w:val="00397204"/>
    <w:rsid w:val="00397208"/>
    <w:rsid w:val="00397213"/>
    <w:rsid w:val="003972CD"/>
    <w:rsid w:val="0039734D"/>
    <w:rsid w:val="003973B5"/>
    <w:rsid w:val="00397434"/>
    <w:rsid w:val="00397452"/>
    <w:rsid w:val="00397493"/>
    <w:rsid w:val="003974BC"/>
    <w:rsid w:val="00397651"/>
    <w:rsid w:val="003977BB"/>
    <w:rsid w:val="0039786A"/>
    <w:rsid w:val="00397926"/>
    <w:rsid w:val="00397968"/>
    <w:rsid w:val="00397AA0"/>
    <w:rsid w:val="00397B49"/>
    <w:rsid w:val="00397BDC"/>
    <w:rsid w:val="00397C40"/>
    <w:rsid w:val="00397C53"/>
    <w:rsid w:val="00397CC6"/>
    <w:rsid w:val="00397CC9"/>
    <w:rsid w:val="00397D01"/>
    <w:rsid w:val="00397D0E"/>
    <w:rsid w:val="00397DE3"/>
    <w:rsid w:val="00397DFD"/>
    <w:rsid w:val="00397E3D"/>
    <w:rsid w:val="00397ED0"/>
    <w:rsid w:val="00397ED8"/>
    <w:rsid w:val="00397F60"/>
    <w:rsid w:val="00397F8C"/>
    <w:rsid w:val="00397FE0"/>
    <w:rsid w:val="003A0041"/>
    <w:rsid w:val="003A00C3"/>
    <w:rsid w:val="003A00D7"/>
    <w:rsid w:val="003A0103"/>
    <w:rsid w:val="003A019F"/>
    <w:rsid w:val="003A01BB"/>
    <w:rsid w:val="003A03D8"/>
    <w:rsid w:val="003A05E2"/>
    <w:rsid w:val="003A05EA"/>
    <w:rsid w:val="003A060E"/>
    <w:rsid w:val="003A069F"/>
    <w:rsid w:val="003A0861"/>
    <w:rsid w:val="003A0872"/>
    <w:rsid w:val="003A0886"/>
    <w:rsid w:val="003A0890"/>
    <w:rsid w:val="003A0A6F"/>
    <w:rsid w:val="003A0B27"/>
    <w:rsid w:val="003A0BCE"/>
    <w:rsid w:val="003A0BCF"/>
    <w:rsid w:val="003A0C30"/>
    <w:rsid w:val="003A0C4A"/>
    <w:rsid w:val="003A0D60"/>
    <w:rsid w:val="003A0E97"/>
    <w:rsid w:val="003A0EDF"/>
    <w:rsid w:val="003A0F0D"/>
    <w:rsid w:val="003A103F"/>
    <w:rsid w:val="003A10FA"/>
    <w:rsid w:val="003A1190"/>
    <w:rsid w:val="003A1193"/>
    <w:rsid w:val="003A11EE"/>
    <w:rsid w:val="003A125E"/>
    <w:rsid w:val="003A12A8"/>
    <w:rsid w:val="003A12D5"/>
    <w:rsid w:val="003A12E1"/>
    <w:rsid w:val="003A1328"/>
    <w:rsid w:val="003A134D"/>
    <w:rsid w:val="003A1385"/>
    <w:rsid w:val="003A154A"/>
    <w:rsid w:val="003A15A1"/>
    <w:rsid w:val="003A1642"/>
    <w:rsid w:val="003A1660"/>
    <w:rsid w:val="003A16BA"/>
    <w:rsid w:val="003A173C"/>
    <w:rsid w:val="003A17BB"/>
    <w:rsid w:val="003A17DD"/>
    <w:rsid w:val="003A17EA"/>
    <w:rsid w:val="003A1848"/>
    <w:rsid w:val="003A186D"/>
    <w:rsid w:val="003A187B"/>
    <w:rsid w:val="003A19A4"/>
    <w:rsid w:val="003A19B9"/>
    <w:rsid w:val="003A19F2"/>
    <w:rsid w:val="003A1A5D"/>
    <w:rsid w:val="003A1B6E"/>
    <w:rsid w:val="003A1B96"/>
    <w:rsid w:val="003A1C41"/>
    <w:rsid w:val="003A1C66"/>
    <w:rsid w:val="003A1D13"/>
    <w:rsid w:val="003A1D79"/>
    <w:rsid w:val="003A1D87"/>
    <w:rsid w:val="003A1D88"/>
    <w:rsid w:val="003A1DD4"/>
    <w:rsid w:val="003A1E04"/>
    <w:rsid w:val="003A1F17"/>
    <w:rsid w:val="003A1F1D"/>
    <w:rsid w:val="003A1F88"/>
    <w:rsid w:val="003A1FAB"/>
    <w:rsid w:val="003A2111"/>
    <w:rsid w:val="003A21AD"/>
    <w:rsid w:val="003A2219"/>
    <w:rsid w:val="003A2235"/>
    <w:rsid w:val="003A22ED"/>
    <w:rsid w:val="003A2305"/>
    <w:rsid w:val="003A23FE"/>
    <w:rsid w:val="003A2443"/>
    <w:rsid w:val="003A2474"/>
    <w:rsid w:val="003A24AE"/>
    <w:rsid w:val="003A2555"/>
    <w:rsid w:val="003A257F"/>
    <w:rsid w:val="003A2583"/>
    <w:rsid w:val="003A2596"/>
    <w:rsid w:val="003A25A5"/>
    <w:rsid w:val="003A2677"/>
    <w:rsid w:val="003A280D"/>
    <w:rsid w:val="003A2814"/>
    <w:rsid w:val="003A2933"/>
    <w:rsid w:val="003A29B5"/>
    <w:rsid w:val="003A2A1A"/>
    <w:rsid w:val="003A2A92"/>
    <w:rsid w:val="003A2AD7"/>
    <w:rsid w:val="003A2B17"/>
    <w:rsid w:val="003A2B99"/>
    <w:rsid w:val="003A2BDA"/>
    <w:rsid w:val="003A2C07"/>
    <w:rsid w:val="003A2C48"/>
    <w:rsid w:val="003A2CD3"/>
    <w:rsid w:val="003A2D65"/>
    <w:rsid w:val="003A2DCF"/>
    <w:rsid w:val="003A2EEE"/>
    <w:rsid w:val="003A2F50"/>
    <w:rsid w:val="003A3028"/>
    <w:rsid w:val="003A306A"/>
    <w:rsid w:val="003A3122"/>
    <w:rsid w:val="003A318D"/>
    <w:rsid w:val="003A319E"/>
    <w:rsid w:val="003A328E"/>
    <w:rsid w:val="003A3292"/>
    <w:rsid w:val="003A32A7"/>
    <w:rsid w:val="003A33D6"/>
    <w:rsid w:val="003A33DD"/>
    <w:rsid w:val="003A364A"/>
    <w:rsid w:val="003A36F1"/>
    <w:rsid w:val="003A372A"/>
    <w:rsid w:val="003A3757"/>
    <w:rsid w:val="003A3782"/>
    <w:rsid w:val="003A3852"/>
    <w:rsid w:val="003A39DA"/>
    <w:rsid w:val="003A3A61"/>
    <w:rsid w:val="003A3A67"/>
    <w:rsid w:val="003A3C0E"/>
    <w:rsid w:val="003A3DFC"/>
    <w:rsid w:val="003A3E37"/>
    <w:rsid w:val="003A3E7F"/>
    <w:rsid w:val="003A3EFC"/>
    <w:rsid w:val="003A3F4F"/>
    <w:rsid w:val="003A403C"/>
    <w:rsid w:val="003A41F8"/>
    <w:rsid w:val="003A43B7"/>
    <w:rsid w:val="003A43F5"/>
    <w:rsid w:val="003A4406"/>
    <w:rsid w:val="003A4439"/>
    <w:rsid w:val="003A44FA"/>
    <w:rsid w:val="003A456A"/>
    <w:rsid w:val="003A459B"/>
    <w:rsid w:val="003A45D0"/>
    <w:rsid w:val="003A45E2"/>
    <w:rsid w:val="003A45EB"/>
    <w:rsid w:val="003A45F1"/>
    <w:rsid w:val="003A474D"/>
    <w:rsid w:val="003A4751"/>
    <w:rsid w:val="003A47CE"/>
    <w:rsid w:val="003A4964"/>
    <w:rsid w:val="003A4A24"/>
    <w:rsid w:val="003A4A55"/>
    <w:rsid w:val="003A4AA2"/>
    <w:rsid w:val="003A4AA5"/>
    <w:rsid w:val="003A4AE8"/>
    <w:rsid w:val="003A4C0A"/>
    <w:rsid w:val="003A4C84"/>
    <w:rsid w:val="003A4E4D"/>
    <w:rsid w:val="003A50B2"/>
    <w:rsid w:val="003A514B"/>
    <w:rsid w:val="003A51BD"/>
    <w:rsid w:val="003A51D5"/>
    <w:rsid w:val="003A526A"/>
    <w:rsid w:val="003A5282"/>
    <w:rsid w:val="003A5319"/>
    <w:rsid w:val="003A53B3"/>
    <w:rsid w:val="003A544D"/>
    <w:rsid w:val="003A5484"/>
    <w:rsid w:val="003A54A7"/>
    <w:rsid w:val="003A54BA"/>
    <w:rsid w:val="003A54C4"/>
    <w:rsid w:val="003A5557"/>
    <w:rsid w:val="003A57DD"/>
    <w:rsid w:val="003A5A7F"/>
    <w:rsid w:val="003A5B00"/>
    <w:rsid w:val="003A5B63"/>
    <w:rsid w:val="003A5C74"/>
    <w:rsid w:val="003A5D28"/>
    <w:rsid w:val="003A5D5B"/>
    <w:rsid w:val="003A5DC7"/>
    <w:rsid w:val="003A5E16"/>
    <w:rsid w:val="003A5E69"/>
    <w:rsid w:val="003A5F11"/>
    <w:rsid w:val="003A5FC8"/>
    <w:rsid w:val="003A6017"/>
    <w:rsid w:val="003A607B"/>
    <w:rsid w:val="003A608B"/>
    <w:rsid w:val="003A6242"/>
    <w:rsid w:val="003A62A2"/>
    <w:rsid w:val="003A631F"/>
    <w:rsid w:val="003A6488"/>
    <w:rsid w:val="003A64CD"/>
    <w:rsid w:val="003A65C9"/>
    <w:rsid w:val="003A67E1"/>
    <w:rsid w:val="003A67F5"/>
    <w:rsid w:val="003A6889"/>
    <w:rsid w:val="003A68D8"/>
    <w:rsid w:val="003A696A"/>
    <w:rsid w:val="003A6A7B"/>
    <w:rsid w:val="003A6AC8"/>
    <w:rsid w:val="003A6C1B"/>
    <w:rsid w:val="003A6D10"/>
    <w:rsid w:val="003A6D65"/>
    <w:rsid w:val="003A6D73"/>
    <w:rsid w:val="003A6ED9"/>
    <w:rsid w:val="003A6F03"/>
    <w:rsid w:val="003A7012"/>
    <w:rsid w:val="003A7060"/>
    <w:rsid w:val="003A715C"/>
    <w:rsid w:val="003A740E"/>
    <w:rsid w:val="003A744E"/>
    <w:rsid w:val="003A747C"/>
    <w:rsid w:val="003A74D0"/>
    <w:rsid w:val="003A75EA"/>
    <w:rsid w:val="003A7606"/>
    <w:rsid w:val="003A766E"/>
    <w:rsid w:val="003A76BA"/>
    <w:rsid w:val="003A7870"/>
    <w:rsid w:val="003A7971"/>
    <w:rsid w:val="003A7BD8"/>
    <w:rsid w:val="003A7C5F"/>
    <w:rsid w:val="003A7C71"/>
    <w:rsid w:val="003A7CB5"/>
    <w:rsid w:val="003A7DD3"/>
    <w:rsid w:val="003A7E21"/>
    <w:rsid w:val="003A7E57"/>
    <w:rsid w:val="003A7EFD"/>
    <w:rsid w:val="003A7F0A"/>
    <w:rsid w:val="003A7F5A"/>
    <w:rsid w:val="003A7FAF"/>
    <w:rsid w:val="003B000A"/>
    <w:rsid w:val="003B009A"/>
    <w:rsid w:val="003B00AC"/>
    <w:rsid w:val="003B00F7"/>
    <w:rsid w:val="003B0106"/>
    <w:rsid w:val="003B0161"/>
    <w:rsid w:val="003B01AC"/>
    <w:rsid w:val="003B028F"/>
    <w:rsid w:val="003B0405"/>
    <w:rsid w:val="003B0450"/>
    <w:rsid w:val="003B0455"/>
    <w:rsid w:val="003B046B"/>
    <w:rsid w:val="003B0474"/>
    <w:rsid w:val="003B047C"/>
    <w:rsid w:val="003B04A3"/>
    <w:rsid w:val="003B0504"/>
    <w:rsid w:val="003B0585"/>
    <w:rsid w:val="003B05B8"/>
    <w:rsid w:val="003B0628"/>
    <w:rsid w:val="003B066F"/>
    <w:rsid w:val="003B075A"/>
    <w:rsid w:val="003B07A1"/>
    <w:rsid w:val="003B080D"/>
    <w:rsid w:val="003B08B9"/>
    <w:rsid w:val="003B0925"/>
    <w:rsid w:val="003B094C"/>
    <w:rsid w:val="003B098C"/>
    <w:rsid w:val="003B09A6"/>
    <w:rsid w:val="003B0A71"/>
    <w:rsid w:val="003B0ABF"/>
    <w:rsid w:val="003B0ACC"/>
    <w:rsid w:val="003B0AD0"/>
    <w:rsid w:val="003B0AFE"/>
    <w:rsid w:val="003B0C6D"/>
    <w:rsid w:val="003B0D68"/>
    <w:rsid w:val="003B0DAD"/>
    <w:rsid w:val="003B0DCA"/>
    <w:rsid w:val="003B0EB9"/>
    <w:rsid w:val="003B0EF2"/>
    <w:rsid w:val="003B0F31"/>
    <w:rsid w:val="003B0F60"/>
    <w:rsid w:val="003B0F86"/>
    <w:rsid w:val="003B0F98"/>
    <w:rsid w:val="003B0FB8"/>
    <w:rsid w:val="003B10FF"/>
    <w:rsid w:val="003B1127"/>
    <w:rsid w:val="003B127A"/>
    <w:rsid w:val="003B12C4"/>
    <w:rsid w:val="003B1358"/>
    <w:rsid w:val="003B1392"/>
    <w:rsid w:val="003B1451"/>
    <w:rsid w:val="003B1473"/>
    <w:rsid w:val="003B1484"/>
    <w:rsid w:val="003B1490"/>
    <w:rsid w:val="003B1494"/>
    <w:rsid w:val="003B16CE"/>
    <w:rsid w:val="003B17F7"/>
    <w:rsid w:val="003B18CB"/>
    <w:rsid w:val="003B1907"/>
    <w:rsid w:val="003B1962"/>
    <w:rsid w:val="003B1972"/>
    <w:rsid w:val="003B1A0F"/>
    <w:rsid w:val="003B1AD1"/>
    <w:rsid w:val="003B1B8B"/>
    <w:rsid w:val="003B1B96"/>
    <w:rsid w:val="003B1C89"/>
    <w:rsid w:val="003B1C97"/>
    <w:rsid w:val="003B1CE0"/>
    <w:rsid w:val="003B1DDC"/>
    <w:rsid w:val="003B208A"/>
    <w:rsid w:val="003B20D6"/>
    <w:rsid w:val="003B217E"/>
    <w:rsid w:val="003B21D1"/>
    <w:rsid w:val="003B21E2"/>
    <w:rsid w:val="003B2490"/>
    <w:rsid w:val="003B24B9"/>
    <w:rsid w:val="003B24C0"/>
    <w:rsid w:val="003B24EF"/>
    <w:rsid w:val="003B24F7"/>
    <w:rsid w:val="003B2576"/>
    <w:rsid w:val="003B25FC"/>
    <w:rsid w:val="003B25FD"/>
    <w:rsid w:val="003B260D"/>
    <w:rsid w:val="003B29EE"/>
    <w:rsid w:val="003B2AB1"/>
    <w:rsid w:val="003B2AF1"/>
    <w:rsid w:val="003B2BEC"/>
    <w:rsid w:val="003B2D61"/>
    <w:rsid w:val="003B2F29"/>
    <w:rsid w:val="003B2F2C"/>
    <w:rsid w:val="003B2FDB"/>
    <w:rsid w:val="003B3025"/>
    <w:rsid w:val="003B3069"/>
    <w:rsid w:val="003B3096"/>
    <w:rsid w:val="003B30CB"/>
    <w:rsid w:val="003B31F2"/>
    <w:rsid w:val="003B3240"/>
    <w:rsid w:val="003B325E"/>
    <w:rsid w:val="003B326B"/>
    <w:rsid w:val="003B3278"/>
    <w:rsid w:val="003B3458"/>
    <w:rsid w:val="003B348B"/>
    <w:rsid w:val="003B3565"/>
    <w:rsid w:val="003B37F3"/>
    <w:rsid w:val="003B38F1"/>
    <w:rsid w:val="003B3B9D"/>
    <w:rsid w:val="003B3C39"/>
    <w:rsid w:val="003B3CC5"/>
    <w:rsid w:val="003B3E19"/>
    <w:rsid w:val="003B3E75"/>
    <w:rsid w:val="003B3F55"/>
    <w:rsid w:val="003B3F77"/>
    <w:rsid w:val="003B3FD8"/>
    <w:rsid w:val="003B4028"/>
    <w:rsid w:val="003B4039"/>
    <w:rsid w:val="003B404F"/>
    <w:rsid w:val="003B40D6"/>
    <w:rsid w:val="003B413E"/>
    <w:rsid w:val="003B4186"/>
    <w:rsid w:val="003B423C"/>
    <w:rsid w:val="003B4310"/>
    <w:rsid w:val="003B43B8"/>
    <w:rsid w:val="003B43D1"/>
    <w:rsid w:val="003B4421"/>
    <w:rsid w:val="003B44E0"/>
    <w:rsid w:val="003B4575"/>
    <w:rsid w:val="003B462F"/>
    <w:rsid w:val="003B4673"/>
    <w:rsid w:val="003B477B"/>
    <w:rsid w:val="003B47D4"/>
    <w:rsid w:val="003B4804"/>
    <w:rsid w:val="003B4849"/>
    <w:rsid w:val="003B48B8"/>
    <w:rsid w:val="003B4964"/>
    <w:rsid w:val="003B4965"/>
    <w:rsid w:val="003B4A26"/>
    <w:rsid w:val="003B4A69"/>
    <w:rsid w:val="003B4B5C"/>
    <w:rsid w:val="003B4B77"/>
    <w:rsid w:val="003B4CBC"/>
    <w:rsid w:val="003B4D45"/>
    <w:rsid w:val="003B4DB9"/>
    <w:rsid w:val="003B4DF3"/>
    <w:rsid w:val="003B50B9"/>
    <w:rsid w:val="003B5164"/>
    <w:rsid w:val="003B5172"/>
    <w:rsid w:val="003B5199"/>
    <w:rsid w:val="003B5269"/>
    <w:rsid w:val="003B52B0"/>
    <w:rsid w:val="003B52F4"/>
    <w:rsid w:val="003B5447"/>
    <w:rsid w:val="003B549E"/>
    <w:rsid w:val="003B54B8"/>
    <w:rsid w:val="003B552A"/>
    <w:rsid w:val="003B5626"/>
    <w:rsid w:val="003B56AC"/>
    <w:rsid w:val="003B56BE"/>
    <w:rsid w:val="003B56D7"/>
    <w:rsid w:val="003B56DF"/>
    <w:rsid w:val="003B58BA"/>
    <w:rsid w:val="003B5933"/>
    <w:rsid w:val="003B5938"/>
    <w:rsid w:val="003B5959"/>
    <w:rsid w:val="003B5974"/>
    <w:rsid w:val="003B5A18"/>
    <w:rsid w:val="003B5ADF"/>
    <w:rsid w:val="003B5AFC"/>
    <w:rsid w:val="003B5BB9"/>
    <w:rsid w:val="003B5BE6"/>
    <w:rsid w:val="003B5C57"/>
    <w:rsid w:val="003B5CAA"/>
    <w:rsid w:val="003B5D0A"/>
    <w:rsid w:val="003B5F6E"/>
    <w:rsid w:val="003B5FD0"/>
    <w:rsid w:val="003B604A"/>
    <w:rsid w:val="003B613A"/>
    <w:rsid w:val="003B620D"/>
    <w:rsid w:val="003B63DE"/>
    <w:rsid w:val="003B654D"/>
    <w:rsid w:val="003B6580"/>
    <w:rsid w:val="003B65B7"/>
    <w:rsid w:val="003B660B"/>
    <w:rsid w:val="003B662C"/>
    <w:rsid w:val="003B6691"/>
    <w:rsid w:val="003B6794"/>
    <w:rsid w:val="003B6802"/>
    <w:rsid w:val="003B6833"/>
    <w:rsid w:val="003B689F"/>
    <w:rsid w:val="003B693B"/>
    <w:rsid w:val="003B69DE"/>
    <w:rsid w:val="003B6A0B"/>
    <w:rsid w:val="003B6AA9"/>
    <w:rsid w:val="003B6B42"/>
    <w:rsid w:val="003B6BC6"/>
    <w:rsid w:val="003B6C43"/>
    <w:rsid w:val="003B6D92"/>
    <w:rsid w:val="003B6D9F"/>
    <w:rsid w:val="003B6DFD"/>
    <w:rsid w:val="003B6E50"/>
    <w:rsid w:val="003B6E66"/>
    <w:rsid w:val="003B6ED8"/>
    <w:rsid w:val="003B6F73"/>
    <w:rsid w:val="003B6F98"/>
    <w:rsid w:val="003B7065"/>
    <w:rsid w:val="003B70CE"/>
    <w:rsid w:val="003B70E2"/>
    <w:rsid w:val="003B70F5"/>
    <w:rsid w:val="003B7172"/>
    <w:rsid w:val="003B727E"/>
    <w:rsid w:val="003B735E"/>
    <w:rsid w:val="003B73E9"/>
    <w:rsid w:val="003B740A"/>
    <w:rsid w:val="003B7468"/>
    <w:rsid w:val="003B74B2"/>
    <w:rsid w:val="003B74CD"/>
    <w:rsid w:val="003B761F"/>
    <w:rsid w:val="003B76AF"/>
    <w:rsid w:val="003B772C"/>
    <w:rsid w:val="003B7793"/>
    <w:rsid w:val="003B7829"/>
    <w:rsid w:val="003B785E"/>
    <w:rsid w:val="003B78B7"/>
    <w:rsid w:val="003B79AE"/>
    <w:rsid w:val="003B79E6"/>
    <w:rsid w:val="003B7AD6"/>
    <w:rsid w:val="003B7AFC"/>
    <w:rsid w:val="003B7B4C"/>
    <w:rsid w:val="003B7B5A"/>
    <w:rsid w:val="003B7C07"/>
    <w:rsid w:val="003B7C52"/>
    <w:rsid w:val="003B7CFA"/>
    <w:rsid w:val="003B7D36"/>
    <w:rsid w:val="003B7D5F"/>
    <w:rsid w:val="003B7D92"/>
    <w:rsid w:val="003B7E24"/>
    <w:rsid w:val="003B7E86"/>
    <w:rsid w:val="003B7F6B"/>
    <w:rsid w:val="003C00F3"/>
    <w:rsid w:val="003C0157"/>
    <w:rsid w:val="003C01BE"/>
    <w:rsid w:val="003C01C4"/>
    <w:rsid w:val="003C02CE"/>
    <w:rsid w:val="003C0382"/>
    <w:rsid w:val="003C0410"/>
    <w:rsid w:val="003C0450"/>
    <w:rsid w:val="003C0577"/>
    <w:rsid w:val="003C0677"/>
    <w:rsid w:val="003C06F7"/>
    <w:rsid w:val="003C0845"/>
    <w:rsid w:val="003C08C4"/>
    <w:rsid w:val="003C095C"/>
    <w:rsid w:val="003C0ABD"/>
    <w:rsid w:val="003C0AC3"/>
    <w:rsid w:val="003C0AC4"/>
    <w:rsid w:val="003C0BDE"/>
    <w:rsid w:val="003C0C77"/>
    <w:rsid w:val="003C0CAE"/>
    <w:rsid w:val="003C0CC7"/>
    <w:rsid w:val="003C0D0F"/>
    <w:rsid w:val="003C0D1A"/>
    <w:rsid w:val="003C0D4F"/>
    <w:rsid w:val="003C0D65"/>
    <w:rsid w:val="003C0D6F"/>
    <w:rsid w:val="003C0DA8"/>
    <w:rsid w:val="003C0E80"/>
    <w:rsid w:val="003C0F8E"/>
    <w:rsid w:val="003C0F94"/>
    <w:rsid w:val="003C1008"/>
    <w:rsid w:val="003C1157"/>
    <w:rsid w:val="003C12AF"/>
    <w:rsid w:val="003C12B0"/>
    <w:rsid w:val="003C12BB"/>
    <w:rsid w:val="003C1327"/>
    <w:rsid w:val="003C1422"/>
    <w:rsid w:val="003C14D3"/>
    <w:rsid w:val="003C15E7"/>
    <w:rsid w:val="003C169A"/>
    <w:rsid w:val="003C173F"/>
    <w:rsid w:val="003C178A"/>
    <w:rsid w:val="003C17BA"/>
    <w:rsid w:val="003C17DC"/>
    <w:rsid w:val="003C193D"/>
    <w:rsid w:val="003C193E"/>
    <w:rsid w:val="003C194B"/>
    <w:rsid w:val="003C19E2"/>
    <w:rsid w:val="003C1A04"/>
    <w:rsid w:val="003C1A15"/>
    <w:rsid w:val="003C1A9E"/>
    <w:rsid w:val="003C1A9F"/>
    <w:rsid w:val="003C1ADD"/>
    <w:rsid w:val="003C1B2E"/>
    <w:rsid w:val="003C1BF7"/>
    <w:rsid w:val="003C1C45"/>
    <w:rsid w:val="003C1C65"/>
    <w:rsid w:val="003C1CA8"/>
    <w:rsid w:val="003C1CF9"/>
    <w:rsid w:val="003C1D49"/>
    <w:rsid w:val="003C1DC3"/>
    <w:rsid w:val="003C1DD2"/>
    <w:rsid w:val="003C1DF2"/>
    <w:rsid w:val="003C1E14"/>
    <w:rsid w:val="003C1F14"/>
    <w:rsid w:val="003C1F89"/>
    <w:rsid w:val="003C1FC3"/>
    <w:rsid w:val="003C1FDB"/>
    <w:rsid w:val="003C2013"/>
    <w:rsid w:val="003C2032"/>
    <w:rsid w:val="003C20F1"/>
    <w:rsid w:val="003C2136"/>
    <w:rsid w:val="003C2166"/>
    <w:rsid w:val="003C21AD"/>
    <w:rsid w:val="003C2250"/>
    <w:rsid w:val="003C226D"/>
    <w:rsid w:val="003C22BA"/>
    <w:rsid w:val="003C2420"/>
    <w:rsid w:val="003C2430"/>
    <w:rsid w:val="003C24CF"/>
    <w:rsid w:val="003C25DA"/>
    <w:rsid w:val="003C268F"/>
    <w:rsid w:val="003C26E5"/>
    <w:rsid w:val="003C26E9"/>
    <w:rsid w:val="003C277B"/>
    <w:rsid w:val="003C2797"/>
    <w:rsid w:val="003C27D9"/>
    <w:rsid w:val="003C2824"/>
    <w:rsid w:val="003C29A9"/>
    <w:rsid w:val="003C29B7"/>
    <w:rsid w:val="003C29C7"/>
    <w:rsid w:val="003C29E2"/>
    <w:rsid w:val="003C2A30"/>
    <w:rsid w:val="003C2AB5"/>
    <w:rsid w:val="003C2AF7"/>
    <w:rsid w:val="003C2B4B"/>
    <w:rsid w:val="003C2B6F"/>
    <w:rsid w:val="003C2C8E"/>
    <w:rsid w:val="003C2CF3"/>
    <w:rsid w:val="003C2D31"/>
    <w:rsid w:val="003C2D53"/>
    <w:rsid w:val="003C2D8F"/>
    <w:rsid w:val="003C2E76"/>
    <w:rsid w:val="003C2E7B"/>
    <w:rsid w:val="003C2ECA"/>
    <w:rsid w:val="003C2EE7"/>
    <w:rsid w:val="003C2F15"/>
    <w:rsid w:val="003C2F86"/>
    <w:rsid w:val="003C2FD1"/>
    <w:rsid w:val="003C3061"/>
    <w:rsid w:val="003C308B"/>
    <w:rsid w:val="003C30E2"/>
    <w:rsid w:val="003C30EE"/>
    <w:rsid w:val="003C311B"/>
    <w:rsid w:val="003C3168"/>
    <w:rsid w:val="003C317F"/>
    <w:rsid w:val="003C31DB"/>
    <w:rsid w:val="003C32D9"/>
    <w:rsid w:val="003C3643"/>
    <w:rsid w:val="003C37E9"/>
    <w:rsid w:val="003C3843"/>
    <w:rsid w:val="003C3887"/>
    <w:rsid w:val="003C38C2"/>
    <w:rsid w:val="003C38DB"/>
    <w:rsid w:val="003C393C"/>
    <w:rsid w:val="003C3961"/>
    <w:rsid w:val="003C39AA"/>
    <w:rsid w:val="003C39D4"/>
    <w:rsid w:val="003C39F8"/>
    <w:rsid w:val="003C3A14"/>
    <w:rsid w:val="003C3B10"/>
    <w:rsid w:val="003C3BF8"/>
    <w:rsid w:val="003C3CAC"/>
    <w:rsid w:val="003C3CDB"/>
    <w:rsid w:val="003C3D41"/>
    <w:rsid w:val="003C3DBC"/>
    <w:rsid w:val="003C3E3C"/>
    <w:rsid w:val="003C407A"/>
    <w:rsid w:val="003C40D2"/>
    <w:rsid w:val="003C40FF"/>
    <w:rsid w:val="003C4118"/>
    <w:rsid w:val="003C432A"/>
    <w:rsid w:val="003C4366"/>
    <w:rsid w:val="003C4372"/>
    <w:rsid w:val="003C4484"/>
    <w:rsid w:val="003C44CA"/>
    <w:rsid w:val="003C44CC"/>
    <w:rsid w:val="003C4516"/>
    <w:rsid w:val="003C45ED"/>
    <w:rsid w:val="003C46B8"/>
    <w:rsid w:val="003C47B3"/>
    <w:rsid w:val="003C47D7"/>
    <w:rsid w:val="003C4886"/>
    <w:rsid w:val="003C4967"/>
    <w:rsid w:val="003C4ACC"/>
    <w:rsid w:val="003C4AF8"/>
    <w:rsid w:val="003C4B0C"/>
    <w:rsid w:val="003C4B33"/>
    <w:rsid w:val="003C4B79"/>
    <w:rsid w:val="003C4BDF"/>
    <w:rsid w:val="003C4C15"/>
    <w:rsid w:val="003C4D77"/>
    <w:rsid w:val="003C4D78"/>
    <w:rsid w:val="003C4D79"/>
    <w:rsid w:val="003C4D91"/>
    <w:rsid w:val="003C4EA1"/>
    <w:rsid w:val="003C4ECA"/>
    <w:rsid w:val="003C4F11"/>
    <w:rsid w:val="003C4F1A"/>
    <w:rsid w:val="003C4F28"/>
    <w:rsid w:val="003C4FBC"/>
    <w:rsid w:val="003C4FC1"/>
    <w:rsid w:val="003C4FCD"/>
    <w:rsid w:val="003C5103"/>
    <w:rsid w:val="003C51B9"/>
    <w:rsid w:val="003C5247"/>
    <w:rsid w:val="003C5313"/>
    <w:rsid w:val="003C5500"/>
    <w:rsid w:val="003C5595"/>
    <w:rsid w:val="003C59F9"/>
    <w:rsid w:val="003C5A01"/>
    <w:rsid w:val="003C5A33"/>
    <w:rsid w:val="003C5A41"/>
    <w:rsid w:val="003C5AF9"/>
    <w:rsid w:val="003C5B5F"/>
    <w:rsid w:val="003C5B87"/>
    <w:rsid w:val="003C5BA3"/>
    <w:rsid w:val="003C5CED"/>
    <w:rsid w:val="003C5D12"/>
    <w:rsid w:val="003C5D88"/>
    <w:rsid w:val="003C5DAB"/>
    <w:rsid w:val="003C5F0A"/>
    <w:rsid w:val="003C5F96"/>
    <w:rsid w:val="003C5FEA"/>
    <w:rsid w:val="003C610E"/>
    <w:rsid w:val="003C6149"/>
    <w:rsid w:val="003C6173"/>
    <w:rsid w:val="003C62B6"/>
    <w:rsid w:val="003C62F7"/>
    <w:rsid w:val="003C6363"/>
    <w:rsid w:val="003C64FE"/>
    <w:rsid w:val="003C65A3"/>
    <w:rsid w:val="003C65AE"/>
    <w:rsid w:val="003C66FE"/>
    <w:rsid w:val="003C6722"/>
    <w:rsid w:val="003C685D"/>
    <w:rsid w:val="003C692A"/>
    <w:rsid w:val="003C69F3"/>
    <w:rsid w:val="003C6AE9"/>
    <w:rsid w:val="003C6B14"/>
    <w:rsid w:val="003C6CC7"/>
    <w:rsid w:val="003C6CCD"/>
    <w:rsid w:val="003C6D26"/>
    <w:rsid w:val="003C6D76"/>
    <w:rsid w:val="003C6DA4"/>
    <w:rsid w:val="003C6EBC"/>
    <w:rsid w:val="003C6EC0"/>
    <w:rsid w:val="003C7033"/>
    <w:rsid w:val="003C7076"/>
    <w:rsid w:val="003C70AC"/>
    <w:rsid w:val="003C718D"/>
    <w:rsid w:val="003C724B"/>
    <w:rsid w:val="003C725E"/>
    <w:rsid w:val="003C725F"/>
    <w:rsid w:val="003C72C1"/>
    <w:rsid w:val="003C72C6"/>
    <w:rsid w:val="003C7380"/>
    <w:rsid w:val="003C7460"/>
    <w:rsid w:val="003C753E"/>
    <w:rsid w:val="003C75D0"/>
    <w:rsid w:val="003C75E7"/>
    <w:rsid w:val="003C7628"/>
    <w:rsid w:val="003C767A"/>
    <w:rsid w:val="003C768C"/>
    <w:rsid w:val="003C775A"/>
    <w:rsid w:val="003C7870"/>
    <w:rsid w:val="003C7912"/>
    <w:rsid w:val="003C7964"/>
    <w:rsid w:val="003C7990"/>
    <w:rsid w:val="003C79C5"/>
    <w:rsid w:val="003C7A5F"/>
    <w:rsid w:val="003C7A64"/>
    <w:rsid w:val="003C7A8A"/>
    <w:rsid w:val="003C7AC4"/>
    <w:rsid w:val="003C7B5A"/>
    <w:rsid w:val="003C7B6A"/>
    <w:rsid w:val="003C7C31"/>
    <w:rsid w:val="003C7D9F"/>
    <w:rsid w:val="003C7DE7"/>
    <w:rsid w:val="003D007D"/>
    <w:rsid w:val="003D01A8"/>
    <w:rsid w:val="003D01B1"/>
    <w:rsid w:val="003D01DA"/>
    <w:rsid w:val="003D0310"/>
    <w:rsid w:val="003D036D"/>
    <w:rsid w:val="003D0461"/>
    <w:rsid w:val="003D04FE"/>
    <w:rsid w:val="003D0528"/>
    <w:rsid w:val="003D05AF"/>
    <w:rsid w:val="003D066C"/>
    <w:rsid w:val="003D06C4"/>
    <w:rsid w:val="003D0727"/>
    <w:rsid w:val="003D07AC"/>
    <w:rsid w:val="003D07F3"/>
    <w:rsid w:val="003D0839"/>
    <w:rsid w:val="003D08E8"/>
    <w:rsid w:val="003D092D"/>
    <w:rsid w:val="003D0A34"/>
    <w:rsid w:val="003D0A76"/>
    <w:rsid w:val="003D0AAE"/>
    <w:rsid w:val="003D0B85"/>
    <w:rsid w:val="003D0B91"/>
    <w:rsid w:val="003D0BA1"/>
    <w:rsid w:val="003D0C9E"/>
    <w:rsid w:val="003D0CDF"/>
    <w:rsid w:val="003D0D06"/>
    <w:rsid w:val="003D0E0F"/>
    <w:rsid w:val="003D0E53"/>
    <w:rsid w:val="003D0EFD"/>
    <w:rsid w:val="003D0F19"/>
    <w:rsid w:val="003D0FD4"/>
    <w:rsid w:val="003D0FE4"/>
    <w:rsid w:val="003D100D"/>
    <w:rsid w:val="003D1072"/>
    <w:rsid w:val="003D112A"/>
    <w:rsid w:val="003D124E"/>
    <w:rsid w:val="003D12C3"/>
    <w:rsid w:val="003D12C4"/>
    <w:rsid w:val="003D1435"/>
    <w:rsid w:val="003D146B"/>
    <w:rsid w:val="003D14B2"/>
    <w:rsid w:val="003D14F2"/>
    <w:rsid w:val="003D1532"/>
    <w:rsid w:val="003D1790"/>
    <w:rsid w:val="003D1855"/>
    <w:rsid w:val="003D1951"/>
    <w:rsid w:val="003D1A62"/>
    <w:rsid w:val="003D1B29"/>
    <w:rsid w:val="003D1B35"/>
    <w:rsid w:val="003D1B89"/>
    <w:rsid w:val="003D1BB3"/>
    <w:rsid w:val="003D1BC3"/>
    <w:rsid w:val="003D1CA3"/>
    <w:rsid w:val="003D1E3C"/>
    <w:rsid w:val="003D1EB8"/>
    <w:rsid w:val="003D1EF2"/>
    <w:rsid w:val="003D219A"/>
    <w:rsid w:val="003D219E"/>
    <w:rsid w:val="003D2303"/>
    <w:rsid w:val="003D24D6"/>
    <w:rsid w:val="003D2516"/>
    <w:rsid w:val="003D254F"/>
    <w:rsid w:val="003D25C2"/>
    <w:rsid w:val="003D26B8"/>
    <w:rsid w:val="003D2789"/>
    <w:rsid w:val="003D27BF"/>
    <w:rsid w:val="003D27C0"/>
    <w:rsid w:val="003D281E"/>
    <w:rsid w:val="003D2830"/>
    <w:rsid w:val="003D28FB"/>
    <w:rsid w:val="003D295D"/>
    <w:rsid w:val="003D29A7"/>
    <w:rsid w:val="003D29D2"/>
    <w:rsid w:val="003D2A53"/>
    <w:rsid w:val="003D2B0B"/>
    <w:rsid w:val="003D2B41"/>
    <w:rsid w:val="003D2B5B"/>
    <w:rsid w:val="003D2C6F"/>
    <w:rsid w:val="003D2DCD"/>
    <w:rsid w:val="003D2E92"/>
    <w:rsid w:val="003D2F91"/>
    <w:rsid w:val="003D3017"/>
    <w:rsid w:val="003D3049"/>
    <w:rsid w:val="003D3114"/>
    <w:rsid w:val="003D315D"/>
    <w:rsid w:val="003D316D"/>
    <w:rsid w:val="003D326D"/>
    <w:rsid w:val="003D345C"/>
    <w:rsid w:val="003D3505"/>
    <w:rsid w:val="003D357B"/>
    <w:rsid w:val="003D363F"/>
    <w:rsid w:val="003D3778"/>
    <w:rsid w:val="003D37CD"/>
    <w:rsid w:val="003D3844"/>
    <w:rsid w:val="003D3869"/>
    <w:rsid w:val="003D386D"/>
    <w:rsid w:val="003D38C5"/>
    <w:rsid w:val="003D39F3"/>
    <w:rsid w:val="003D3A06"/>
    <w:rsid w:val="003D3AA4"/>
    <w:rsid w:val="003D3B82"/>
    <w:rsid w:val="003D3BD1"/>
    <w:rsid w:val="003D3BDD"/>
    <w:rsid w:val="003D3BE1"/>
    <w:rsid w:val="003D3CAC"/>
    <w:rsid w:val="003D3CE1"/>
    <w:rsid w:val="003D3D2C"/>
    <w:rsid w:val="003D3E21"/>
    <w:rsid w:val="003D3EFC"/>
    <w:rsid w:val="003D3F68"/>
    <w:rsid w:val="003D3F69"/>
    <w:rsid w:val="003D3FAC"/>
    <w:rsid w:val="003D3FEF"/>
    <w:rsid w:val="003D400D"/>
    <w:rsid w:val="003D40E8"/>
    <w:rsid w:val="003D40EC"/>
    <w:rsid w:val="003D4121"/>
    <w:rsid w:val="003D4264"/>
    <w:rsid w:val="003D4372"/>
    <w:rsid w:val="003D4378"/>
    <w:rsid w:val="003D43C2"/>
    <w:rsid w:val="003D4461"/>
    <w:rsid w:val="003D447A"/>
    <w:rsid w:val="003D4494"/>
    <w:rsid w:val="003D456D"/>
    <w:rsid w:val="003D45EC"/>
    <w:rsid w:val="003D4725"/>
    <w:rsid w:val="003D4763"/>
    <w:rsid w:val="003D47E3"/>
    <w:rsid w:val="003D4825"/>
    <w:rsid w:val="003D4896"/>
    <w:rsid w:val="003D4998"/>
    <w:rsid w:val="003D4AAD"/>
    <w:rsid w:val="003D4AE0"/>
    <w:rsid w:val="003D4AEB"/>
    <w:rsid w:val="003D4B1D"/>
    <w:rsid w:val="003D4B6F"/>
    <w:rsid w:val="003D4C38"/>
    <w:rsid w:val="003D4CAD"/>
    <w:rsid w:val="003D4DB8"/>
    <w:rsid w:val="003D4DD0"/>
    <w:rsid w:val="003D4DE8"/>
    <w:rsid w:val="003D4E01"/>
    <w:rsid w:val="003D4E1C"/>
    <w:rsid w:val="003D4E3D"/>
    <w:rsid w:val="003D4E6C"/>
    <w:rsid w:val="003D506B"/>
    <w:rsid w:val="003D508C"/>
    <w:rsid w:val="003D5096"/>
    <w:rsid w:val="003D519F"/>
    <w:rsid w:val="003D5265"/>
    <w:rsid w:val="003D529D"/>
    <w:rsid w:val="003D52A5"/>
    <w:rsid w:val="003D5399"/>
    <w:rsid w:val="003D54A5"/>
    <w:rsid w:val="003D5536"/>
    <w:rsid w:val="003D5590"/>
    <w:rsid w:val="003D571B"/>
    <w:rsid w:val="003D5727"/>
    <w:rsid w:val="003D577A"/>
    <w:rsid w:val="003D57BA"/>
    <w:rsid w:val="003D5835"/>
    <w:rsid w:val="003D5861"/>
    <w:rsid w:val="003D58EA"/>
    <w:rsid w:val="003D5A01"/>
    <w:rsid w:val="003D5A48"/>
    <w:rsid w:val="003D5A5A"/>
    <w:rsid w:val="003D5A5C"/>
    <w:rsid w:val="003D5A74"/>
    <w:rsid w:val="003D5AB3"/>
    <w:rsid w:val="003D5B6F"/>
    <w:rsid w:val="003D5BCA"/>
    <w:rsid w:val="003D5CC4"/>
    <w:rsid w:val="003D5D84"/>
    <w:rsid w:val="003D5DE6"/>
    <w:rsid w:val="003D5E3E"/>
    <w:rsid w:val="003D5EAE"/>
    <w:rsid w:val="003D5EB6"/>
    <w:rsid w:val="003D5F32"/>
    <w:rsid w:val="003D6020"/>
    <w:rsid w:val="003D6051"/>
    <w:rsid w:val="003D60C1"/>
    <w:rsid w:val="003D60CD"/>
    <w:rsid w:val="003D60EF"/>
    <w:rsid w:val="003D6146"/>
    <w:rsid w:val="003D62BA"/>
    <w:rsid w:val="003D62EB"/>
    <w:rsid w:val="003D6309"/>
    <w:rsid w:val="003D65F6"/>
    <w:rsid w:val="003D6629"/>
    <w:rsid w:val="003D6694"/>
    <w:rsid w:val="003D66BA"/>
    <w:rsid w:val="003D66F6"/>
    <w:rsid w:val="003D673D"/>
    <w:rsid w:val="003D68DC"/>
    <w:rsid w:val="003D6915"/>
    <w:rsid w:val="003D695B"/>
    <w:rsid w:val="003D6A13"/>
    <w:rsid w:val="003D6C8F"/>
    <w:rsid w:val="003D6DE4"/>
    <w:rsid w:val="003D6ECF"/>
    <w:rsid w:val="003D6F4B"/>
    <w:rsid w:val="003D70E4"/>
    <w:rsid w:val="003D71C8"/>
    <w:rsid w:val="003D737B"/>
    <w:rsid w:val="003D738F"/>
    <w:rsid w:val="003D73C4"/>
    <w:rsid w:val="003D740D"/>
    <w:rsid w:val="003D747F"/>
    <w:rsid w:val="003D7631"/>
    <w:rsid w:val="003D764D"/>
    <w:rsid w:val="003D7662"/>
    <w:rsid w:val="003D7702"/>
    <w:rsid w:val="003D7722"/>
    <w:rsid w:val="003D7756"/>
    <w:rsid w:val="003D77D8"/>
    <w:rsid w:val="003D7850"/>
    <w:rsid w:val="003D799A"/>
    <w:rsid w:val="003D79C4"/>
    <w:rsid w:val="003D7A03"/>
    <w:rsid w:val="003D7AAE"/>
    <w:rsid w:val="003D7AF1"/>
    <w:rsid w:val="003D7AF3"/>
    <w:rsid w:val="003D7B91"/>
    <w:rsid w:val="003D7BA7"/>
    <w:rsid w:val="003D7E43"/>
    <w:rsid w:val="003D7E86"/>
    <w:rsid w:val="003D7EBC"/>
    <w:rsid w:val="003D7ECD"/>
    <w:rsid w:val="003D7F14"/>
    <w:rsid w:val="003D7F40"/>
    <w:rsid w:val="003D7F47"/>
    <w:rsid w:val="003D7FE1"/>
    <w:rsid w:val="003E00D4"/>
    <w:rsid w:val="003E00E7"/>
    <w:rsid w:val="003E018A"/>
    <w:rsid w:val="003E0224"/>
    <w:rsid w:val="003E023D"/>
    <w:rsid w:val="003E0338"/>
    <w:rsid w:val="003E0425"/>
    <w:rsid w:val="003E0476"/>
    <w:rsid w:val="003E047D"/>
    <w:rsid w:val="003E049D"/>
    <w:rsid w:val="003E04A0"/>
    <w:rsid w:val="003E04B6"/>
    <w:rsid w:val="003E0567"/>
    <w:rsid w:val="003E06D5"/>
    <w:rsid w:val="003E0787"/>
    <w:rsid w:val="003E07E0"/>
    <w:rsid w:val="003E07E7"/>
    <w:rsid w:val="003E0974"/>
    <w:rsid w:val="003E097B"/>
    <w:rsid w:val="003E09E6"/>
    <w:rsid w:val="003E0A1F"/>
    <w:rsid w:val="003E0A7E"/>
    <w:rsid w:val="003E0AD5"/>
    <w:rsid w:val="003E0D77"/>
    <w:rsid w:val="003E1017"/>
    <w:rsid w:val="003E12DE"/>
    <w:rsid w:val="003E134B"/>
    <w:rsid w:val="003E1491"/>
    <w:rsid w:val="003E14DD"/>
    <w:rsid w:val="003E17DE"/>
    <w:rsid w:val="003E17FE"/>
    <w:rsid w:val="003E184E"/>
    <w:rsid w:val="003E18AA"/>
    <w:rsid w:val="003E193D"/>
    <w:rsid w:val="003E1949"/>
    <w:rsid w:val="003E19F8"/>
    <w:rsid w:val="003E1A02"/>
    <w:rsid w:val="003E1A08"/>
    <w:rsid w:val="003E1A0F"/>
    <w:rsid w:val="003E1ABA"/>
    <w:rsid w:val="003E1BFB"/>
    <w:rsid w:val="003E1E86"/>
    <w:rsid w:val="003E1F88"/>
    <w:rsid w:val="003E1F9E"/>
    <w:rsid w:val="003E2025"/>
    <w:rsid w:val="003E2096"/>
    <w:rsid w:val="003E20E3"/>
    <w:rsid w:val="003E210E"/>
    <w:rsid w:val="003E220C"/>
    <w:rsid w:val="003E2304"/>
    <w:rsid w:val="003E23D3"/>
    <w:rsid w:val="003E246E"/>
    <w:rsid w:val="003E2499"/>
    <w:rsid w:val="003E2537"/>
    <w:rsid w:val="003E2957"/>
    <w:rsid w:val="003E2976"/>
    <w:rsid w:val="003E29B1"/>
    <w:rsid w:val="003E29B7"/>
    <w:rsid w:val="003E2A12"/>
    <w:rsid w:val="003E2A67"/>
    <w:rsid w:val="003E2A80"/>
    <w:rsid w:val="003E2B2A"/>
    <w:rsid w:val="003E2B8E"/>
    <w:rsid w:val="003E2C6B"/>
    <w:rsid w:val="003E2C7C"/>
    <w:rsid w:val="003E2E9E"/>
    <w:rsid w:val="003E2F9C"/>
    <w:rsid w:val="003E3037"/>
    <w:rsid w:val="003E30D6"/>
    <w:rsid w:val="003E30F4"/>
    <w:rsid w:val="003E31BF"/>
    <w:rsid w:val="003E31D6"/>
    <w:rsid w:val="003E3219"/>
    <w:rsid w:val="003E3230"/>
    <w:rsid w:val="003E3233"/>
    <w:rsid w:val="003E3245"/>
    <w:rsid w:val="003E32C5"/>
    <w:rsid w:val="003E3385"/>
    <w:rsid w:val="003E3556"/>
    <w:rsid w:val="003E35C0"/>
    <w:rsid w:val="003E3689"/>
    <w:rsid w:val="003E36EE"/>
    <w:rsid w:val="003E3757"/>
    <w:rsid w:val="003E387F"/>
    <w:rsid w:val="003E3882"/>
    <w:rsid w:val="003E38D7"/>
    <w:rsid w:val="003E3902"/>
    <w:rsid w:val="003E3994"/>
    <w:rsid w:val="003E39BF"/>
    <w:rsid w:val="003E3A07"/>
    <w:rsid w:val="003E3A4A"/>
    <w:rsid w:val="003E3A78"/>
    <w:rsid w:val="003E3ACF"/>
    <w:rsid w:val="003E3AF8"/>
    <w:rsid w:val="003E3B90"/>
    <w:rsid w:val="003E3BA0"/>
    <w:rsid w:val="003E3BC9"/>
    <w:rsid w:val="003E3D9E"/>
    <w:rsid w:val="003E3DFA"/>
    <w:rsid w:val="003E3E6F"/>
    <w:rsid w:val="003E3EE1"/>
    <w:rsid w:val="003E3F9C"/>
    <w:rsid w:val="003E40B3"/>
    <w:rsid w:val="003E426D"/>
    <w:rsid w:val="003E42AE"/>
    <w:rsid w:val="003E42EA"/>
    <w:rsid w:val="003E4415"/>
    <w:rsid w:val="003E4449"/>
    <w:rsid w:val="003E4478"/>
    <w:rsid w:val="003E44F6"/>
    <w:rsid w:val="003E45C2"/>
    <w:rsid w:val="003E4611"/>
    <w:rsid w:val="003E466B"/>
    <w:rsid w:val="003E46EA"/>
    <w:rsid w:val="003E4743"/>
    <w:rsid w:val="003E4817"/>
    <w:rsid w:val="003E482A"/>
    <w:rsid w:val="003E4848"/>
    <w:rsid w:val="003E484A"/>
    <w:rsid w:val="003E4856"/>
    <w:rsid w:val="003E4884"/>
    <w:rsid w:val="003E49C6"/>
    <w:rsid w:val="003E4A1E"/>
    <w:rsid w:val="003E4A5A"/>
    <w:rsid w:val="003E4A73"/>
    <w:rsid w:val="003E4A7F"/>
    <w:rsid w:val="003E4C1C"/>
    <w:rsid w:val="003E4C30"/>
    <w:rsid w:val="003E4C64"/>
    <w:rsid w:val="003E4C89"/>
    <w:rsid w:val="003E4E02"/>
    <w:rsid w:val="003E4F40"/>
    <w:rsid w:val="003E4FB1"/>
    <w:rsid w:val="003E5008"/>
    <w:rsid w:val="003E5082"/>
    <w:rsid w:val="003E5117"/>
    <w:rsid w:val="003E538C"/>
    <w:rsid w:val="003E541A"/>
    <w:rsid w:val="003E5530"/>
    <w:rsid w:val="003E5555"/>
    <w:rsid w:val="003E5697"/>
    <w:rsid w:val="003E5758"/>
    <w:rsid w:val="003E5780"/>
    <w:rsid w:val="003E58BE"/>
    <w:rsid w:val="003E59CA"/>
    <w:rsid w:val="003E5B18"/>
    <w:rsid w:val="003E5BB0"/>
    <w:rsid w:val="003E5BDD"/>
    <w:rsid w:val="003E5C3D"/>
    <w:rsid w:val="003E5C6B"/>
    <w:rsid w:val="003E5CA0"/>
    <w:rsid w:val="003E5CAA"/>
    <w:rsid w:val="003E5CF8"/>
    <w:rsid w:val="003E5D11"/>
    <w:rsid w:val="003E5DA0"/>
    <w:rsid w:val="003E5DE5"/>
    <w:rsid w:val="003E5E27"/>
    <w:rsid w:val="003E5E68"/>
    <w:rsid w:val="003E5E92"/>
    <w:rsid w:val="003E5F78"/>
    <w:rsid w:val="003E601B"/>
    <w:rsid w:val="003E60BA"/>
    <w:rsid w:val="003E6176"/>
    <w:rsid w:val="003E61DB"/>
    <w:rsid w:val="003E631A"/>
    <w:rsid w:val="003E6570"/>
    <w:rsid w:val="003E6578"/>
    <w:rsid w:val="003E65BC"/>
    <w:rsid w:val="003E6658"/>
    <w:rsid w:val="003E6669"/>
    <w:rsid w:val="003E6672"/>
    <w:rsid w:val="003E66B1"/>
    <w:rsid w:val="003E66C0"/>
    <w:rsid w:val="003E66C7"/>
    <w:rsid w:val="003E673D"/>
    <w:rsid w:val="003E6747"/>
    <w:rsid w:val="003E67D8"/>
    <w:rsid w:val="003E6848"/>
    <w:rsid w:val="003E6970"/>
    <w:rsid w:val="003E6AB0"/>
    <w:rsid w:val="003E6B27"/>
    <w:rsid w:val="003E6B8A"/>
    <w:rsid w:val="003E6C34"/>
    <w:rsid w:val="003E6DD6"/>
    <w:rsid w:val="003E6E16"/>
    <w:rsid w:val="003E6E34"/>
    <w:rsid w:val="003E6E35"/>
    <w:rsid w:val="003E6EA3"/>
    <w:rsid w:val="003E6FC6"/>
    <w:rsid w:val="003E7003"/>
    <w:rsid w:val="003E7049"/>
    <w:rsid w:val="003E7074"/>
    <w:rsid w:val="003E7135"/>
    <w:rsid w:val="003E71FE"/>
    <w:rsid w:val="003E7296"/>
    <w:rsid w:val="003E72DA"/>
    <w:rsid w:val="003E7465"/>
    <w:rsid w:val="003E7591"/>
    <w:rsid w:val="003E75C2"/>
    <w:rsid w:val="003E7667"/>
    <w:rsid w:val="003E768B"/>
    <w:rsid w:val="003E76BD"/>
    <w:rsid w:val="003E76FE"/>
    <w:rsid w:val="003E775F"/>
    <w:rsid w:val="003E776E"/>
    <w:rsid w:val="003E77A1"/>
    <w:rsid w:val="003E782B"/>
    <w:rsid w:val="003E78B3"/>
    <w:rsid w:val="003E78B9"/>
    <w:rsid w:val="003E791A"/>
    <w:rsid w:val="003E7A0A"/>
    <w:rsid w:val="003E7B05"/>
    <w:rsid w:val="003E7B0E"/>
    <w:rsid w:val="003E7B49"/>
    <w:rsid w:val="003E7B7C"/>
    <w:rsid w:val="003E7C5C"/>
    <w:rsid w:val="003E7D06"/>
    <w:rsid w:val="003E7D20"/>
    <w:rsid w:val="003E7E41"/>
    <w:rsid w:val="003E7E62"/>
    <w:rsid w:val="003E7E88"/>
    <w:rsid w:val="003E7E8F"/>
    <w:rsid w:val="003E7EC7"/>
    <w:rsid w:val="003E7F4B"/>
    <w:rsid w:val="003E7F6A"/>
    <w:rsid w:val="003E7F83"/>
    <w:rsid w:val="003F00A9"/>
    <w:rsid w:val="003F0150"/>
    <w:rsid w:val="003F0158"/>
    <w:rsid w:val="003F016B"/>
    <w:rsid w:val="003F01ED"/>
    <w:rsid w:val="003F0205"/>
    <w:rsid w:val="003F0247"/>
    <w:rsid w:val="003F027F"/>
    <w:rsid w:val="003F0289"/>
    <w:rsid w:val="003F0327"/>
    <w:rsid w:val="003F0328"/>
    <w:rsid w:val="003F0363"/>
    <w:rsid w:val="003F0455"/>
    <w:rsid w:val="003F066C"/>
    <w:rsid w:val="003F069B"/>
    <w:rsid w:val="003F070D"/>
    <w:rsid w:val="003F0734"/>
    <w:rsid w:val="003F0762"/>
    <w:rsid w:val="003F077E"/>
    <w:rsid w:val="003F07C0"/>
    <w:rsid w:val="003F08DC"/>
    <w:rsid w:val="003F08EA"/>
    <w:rsid w:val="003F0972"/>
    <w:rsid w:val="003F098A"/>
    <w:rsid w:val="003F0A94"/>
    <w:rsid w:val="003F0A9D"/>
    <w:rsid w:val="003F0AF2"/>
    <w:rsid w:val="003F0B0F"/>
    <w:rsid w:val="003F0BD2"/>
    <w:rsid w:val="003F0CE8"/>
    <w:rsid w:val="003F0D92"/>
    <w:rsid w:val="003F0DBD"/>
    <w:rsid w:val="003F0E1E"/>
    <w:rsid w:val="003F0E4D"/>
    <w:rsid w:val="003F0E7D"/>
    <w:rsid w:val="003F0F88"/>
    <w:rsid w:val="003F100E"/>
    <w:rsid w:val="003F115E"/>
    <w:rsid w:val="003F12F5"/>
    <w:rsid w:val="003F13E7"/>
    <w:rsid w:val="003F1492"/>
    <w:rsid w:val="003F1525"/>
    <w:rsid w:val="003F159A"/>
    <w:rsid w:val="003F15FA"/>
    <w:rsid w:val="003F1622"/>
    <w:rsid w:val="003F165D"/>
    <w:rsid w:val="003F16B0"/>
    <w:rsid w:val="003F16D7"/>
    <w:rsid w:val="003F1759"/>
    <w:rsid w:val="003F18B5"/>
    <w:rsid w:val="003F1928"/>
    <w:rsid w:val="003F1951"/>
    <w:rsid w:val="003F19F6"/>
    <w:rsid w:val="003F1A41"/>
    <w:rsid w:val="003F1B1D"/>
    <w:rsid w:val="003F1B44"/>
    <w:rsid w:val="003F1C1F"/>
    <w:rsid w:val="003F1C88"/>
    <w:rsid w:val="003F1D51"/>
    <w:rsid w:val="003F1D6E"/>
    <w:rsid w:val="003F1E27"/>
    <w:rsid w:val="003F2028"/>
    <w:rsid w:val="003F2051"/>
    <w:rsid w:val="003F20F2"/>
    <w:rsid w:val="003F220C"/>
    <w:rsid w:val="003F236C"/>
    <w:rsid w:val="003F236D"/>
    <w:rsid w:val="003F2372"/>
    <w:rsid w:val="003F23A6"/>
    <w:rsid w:val="003F2448"/>
    <w:rsid w:val="003F2474"/>
    <w:rsid w:val="003F24A3"/>
    <w:rsid w:val="003F24B3"/>
    <w:rsid w:val="003F25A3"/>
    <w:rsid w:val="003F2626"/>
    <w:rsid w:val="003F26AC"/>
    <w:rsid w:val="003F26E5"/>
    <w:rsid w:val="003F26FA"/>
    <w:rsid w:val="003F271C"/>
    <w:rsid w:val="003F2752"/>
    <w:rsid w:val="003F27AD"/>
    <w:rsid w:val="003F27BA"/>
    <w:rsid w:val="003F2835"/>
    <w:rsid w:val="003F2851"/>
    <w:rsid w:val="003F2A76"/>
    <w:rsid w:val="003F2AFB"/>
    <w:rsid w:val="003F2B91"/>
    <w:rsid w:val="003F2BFB"/>
    <w:rsid w:val="003F2C3E"/>
    <w:rsid w:val="003F2CFA"/>
    <w:rsid w:val="003F2D07"/>
    <w:rsid w:val="003F2E43"/>
    <w:rsid w:val="003F2E66"/>
    <w:rsid w:val="003F2F5B"/>
    <w:rsid w:val="003F30B6"/>
    <w:rsid w:val="003F31EC"/>
    <w:rsid w:val="003F330E"/>
    <w:rsid w:val="003F3312"/>
    <w:rsid w:val="003F3338"/>
    <w:rsid w:val="003F3349"/>
    <w:rsid w:val="003F33C8"/>
    <w:rsid w:val="003F35DE"/>
    <w:rsid w:val="003F3649"/>
    <w:rsid w:val="003F3669"/>
    <w:rsid w:val="003F366A"/>
    <w:rsid w:val="003F3774"/>
    <w:rsid w:val="003F3867"/>
    <w:rsid w:val="003F38E0"/>
    <w:rsid w:val="003F392B"/>
    <w:rsid w:val="003F39F1"/>
    <w:rsid w:val="003F3A4A"/>
    <w:rsid w:val="003F3B09"/>
    <w:rsid w:val="003F3BA4"/>
    <w:rsid w:val="003F3C00"/>
    <w:rsid w:val="003F3C7C"/>
    <w:rsid w:val="003F3C92"/>
    <w:rsid w:val="003F3C9E"/>
    <w:rsid w:val="003F3CAC"/>
    <w:rsid w:val="003F3E55"/>
    <w:rsid w:val="003F3E97"/>
    <w:rsid w:val="003F3ECE"/>
    <w:rsid w:val="003F3EE2"/>
    <w:rsid w:val="003F3F46"/>
    <w:rsid w:val="003F4062"/>
    <w:rsid w:val="003F40C8"/>
    <w:rsid w:val="003F4156"/>
    <w:rsid w:val="003F417C"/>
    <w:rsid w:val="003F4231"/>
    <w:rsid w:val="003F430D"/>
    <w:rsid w:val="003F43AD"/>
    <w:rsid w:val="003F4459"/>
    <w:rsid w:val="003F44C8"/>
    <w:rsid w:val="003F450F"/>
    <w:rsid w:val="003F452D"/>
    <w:rsid w:val="003F4583"/>
    <w:rsid w:val="003F461B"/>
    <w:rsid w:val="003F46A5"/>
    <w:rsid w:val="003F47F6"/>
    <w:rsid w:val="003F48D8"/>
    <w:rsid w:val="003F4926"/>
    <w:rsid w:val="003F49D8"/>
    <w:rsid w:val="003F49EA"/>
    <w:rsid w:val="003F4A12"/>
    <w:rsid w:val="003F4BDA"/>
    <w:rsid w:val="003F4BF3"/>
    <w:rsid w:val="003F4C05"/>
    <w:rsid w:val="003F4C11"/>
    <w:rsid w:val="003F4C18"/>
    <w:rsid w:val="003F4E00"/>
    <w:rsid w:val="003F4E1B"/>
    <w:rsid w:val="003F4FA6"/>
    <w:rsid w:val="003F5000"/>
    <w:rsid w:val="003F5042"/>
    <w:rsid w:val="003F504A"/>
    <w:rsid w:val="003F508C"/>
    <w:rsid w:val="003F539A"/>
    <w:rsid w:val="003F5467"/>
    <w:rsid w:val="003F54BB"/>
    <w:rsid w:val="003F5590"/>
    <w:rsid w:val="003F55C8"/>
    <w:rsid w:val="003F561E"/>
    <w:rsid w:val="003F5635"/>
    <w:rsid w:val="003F567F"/>
    <w:rsid w:val="003F56BB"/>
    <w:rsid w:val="003F571B"/>
    <w:rsid w:val="003F575E"/>
    <w:rsid w:val="003F5777"/>
    <w:rsid w:val="003F5813"/>
    <w:rsid w:val="003F5831"/>
    <w:rsid w:val="003F58E1"/>
    <w:rsid w:val="003F5960"/>
    <w:rsid w:val="003F59F1"/>
    <w:rsid w:val="003F5A8D"/>
    <w:rsid w:val="003F5AC3"/>
    <w:rsid w:val="003F5AF4"/>
    <w:rsid w:val="003F5B42"/>
    <w:rsid w:val="003F5B60"/>
    <w:rsid w:val="003F5BDC"/>
    <w:rsid w:val="003F5C9A"/>
    <w:rsid w:val="003F5DCE"/>
    <w:rsid w:val="003F5E22"/>
    <w:rsid w:val="003F5E8A"/>
    <w:rsid w:val="003F5ECF"/>
    <w:rsid w:val="003F5EFF"/>
    <w:rsid w:val="003F5F29"/>
    <w:rsid w:val="003F5F47"/>
    <w:rsid w:val="003F5F77"/>
    <w:rsid w:val="003F6028"/>
    <w:rsid w:val="003F6046"/>
    <w:rsid w:val="003F60C7"/>
    <w:rsid w:val="003F60E8"/>
    <w:rsid w:val="003F61EB"/>
    <w:rsid w:val="003F6248"/>
    <w:rsid w:val="003F6298"/>
    <w:rsid w:val="003F62B5"/>
    <w:rsid w:val="003F6306"/>
    <w:rsid w:val="003F6350"/>
    <w:rsid w:val="003F6432"/>
    <w:rsid w:val="003F65D3"/>
    <w:rsid w:val="003F65E1"/>
    <w:rsid w:val="003F65FE"/>
    <w:rsid w:val="003F663B"/>
    <w:rsid w:val="003F6685"/>
    <w:rsid w:val="003F66B6"/>
    <w:rsid w:val="003F6765"/>
    <w:rsid w:val="003F689A"/>
    <w:rsid w:val="003F6A59"/>
    <w:rsid w:val="003F6AB1"/>
    <w:rsid w:val="003F6B3A"/>
    <w:rsid w:val="003F6B47"/>
    <w:rsid w:val="003F6B5F"/>
    <w:rsid w:val="003F6BAB"/>
    <w:rsid w:val="003F6C04"/>
    <w:rsid w:val="003F6C91"/>
    <w:rsid w:val="003F6CE8"/>
    <w:rsid w:val="003F6CEF"/>
    <w:rsid w:val="003F6CFD"/>
    <w:rsid w:val="003F6DE5"/>
    <w:rsid w:val="003F6E05"/>
    <w:rsid w:val="003F6E8A"/>
    <w:rsid w:val="003F6EA0"/>
    <w:rsid w:val="003F6EB9"/>
    <w:rsid w:val="003F6FA0"/>
    <w:rsid w:val="003F6FD3"/>
    <w:rsid w:val="003F70A9"/>
    <w:rsid w:val="003F7202"/>
    <w:rsid w:val="003F7236"/>
    <w:rsid w:val="003F72B8"/>
    <w:rsid w:val="003F72F0"/>
    <w:rsid w:val="003F731A"/>
    <w:rsid w:val="003F73E0"/>
    <w:rsid w:val="003F7403"/>
    <w:rsid w:val="003F747F"/>
    <w:rsid w:val="003F74A5"/>
    <w:rsid w:val="003F74D0"/>
    <w:rsid w:val="003F7572"/>
    <w:rsid w:val="003F76E7"/>
    <w:rsid w:val="003F786E"/>
    <w:rsid w:val="003F789B"/>
    <w:rsid w:val="003F7949"/>
    <w:rsid w:val="003F796B"/>
    <w:rsid w:val="003F79DA"/>
    <w:rsid w:val="003F79FE"/>
    <w:rsid w:val="003F7A11"/>
    <w:rsid w:val="003F7A2E"/>
    <w:rsid w:val="003F7A99"/>
    <w:rsid w:val="003F7AD6"/>
    <w:rsid w:val="003F7AFF"/>
    <w:rsid w:val="003F7B18"/>
    <w:rsid w:val="003F7B28"/>
    <w:rsid w:val="003F7BDC"/>
    <w:rsid w:val="003F7C7C"/>
    <w:rsid w:val="003F7D3C"/>
    <w:rsid w:val="00400197"/>
    <w:rsid w:val="00400250"/>
    <w:rsid w:val="004002A0"/>
    <w:rsid w:val="004002CD"/>
    <w:rsid w:val="00400354"/>
    <w:rsid w:val="004003DC"/>
    <w:rsid w:val="0040049B"/>
    <w:rsid w:val="0040056F"/>
    <w:rsid w:val="00400791"/>
    <w:rsid w:val="004007AD"/>
    <w:rsid w:val="00400806"/>
    <w:rsid w:val="00400827"/>
    <w:rsid w:val="00400948"/>
    <w:rsid w:val="004009B4"/>
    <w:rsid w:val="00400B76"/>
    <w:rsid w:val="00400BD2"/>
    <w:rsid w:val="00400C2D"/>
    <w:rsid w:val="00400DCE"/>
    <w:rsid w:val="00400E0E"/>
    <w:rsid w:val="00400E25"/>
    <w:rsid w:val="00400EF8"/>
    <w:rsid w:val="00400F2A"/>
    <w:rsid w:val="0040101E"/>
    <w:rsid w:val="004010A5"/>
    <w:rsid w:val="004010CC"/>
    <w:rsid w:val="004010DB"/>
    <w:rsid w:val="0040125D"/>
    <w:rsid w:val="00401294"/>
    <w:rsid w:val="004012CE"/>
    <w:rsid w:val="00401314"/>
    <w:rsid w:val="004013BC"/>
    <w:rsid w:val="004013FA"/>
    <w:rsid w:val="00401451"/>
    <w:rsid w:val="004014A9"/>
    <w:rsid w:val="004014D5"/>
    <w:rsid w:val="004014F4"/>
    <w:rsid w:val="0040150B"/>
    <w:rsid w:val="00401546"/>
    <w:rsid w:val="004015B6"/>
    <w:rsid w:val="0040178C"/>
    <w:rsid w:val="004017C6"/>
    <w:rsid w:val="004017CB"/>
    <w:rsid w:val="0040181D"/>
    <w:rsid w:val="00401825"/>
    <w:rsid w:val="004018A0"/>
    <w:rsid w:val="004018CC"/>
    <w:rsid w:val="00401A82"/>
    <w:rsid w:val="00401AC1"/>
    <w:rsid w:val="00401AC8"/>
    <w:rsid w:val="00401D64"/>
    <w:rsid w:val="00401E21"/>
    <w:rsid w:val="00401EA7"/>
    <w:rsid w:val="00401ED0"/>
    <w:rsid w:val="0040203B"/>
    <w:rsid w:val="00402153"/>
    <w:rsid w:val="004021E3"/>
    <w:rsid w:val="004023B8"/>
    <w:rsid w:val="004024A6"/>
    <w:rsid w:val="00402510"/>
    <w:rsid w:val="004025D3"/>
    <w:rsid w:val="0040268D"/>
    <w:rsid w:val="0040269B"/>
    <w:rsid w:val="00402735"/>
    <w:rsid w:val="0040273A"/>
    <w:rsid w:val="00402790"/>
    <w:rsid w:val="00402792"/>
    <w:rsid w:val="004028A9"/>
    <w:rsid w:val="00402907"/>
    <w:rsid w:val="004029A6"/>
    <w:rsid w:val="00402A13"/>
    <w:rsid w:val="00402B3A"/>
    <w:rsid w:val="00402BD7"/>
    <w:rsid w:val="00402D00"/>
    <w:rsid w:val="00402D45"/>
    <w:rsid w:val="00402DCA"/>
    <w:rsid w:val="00402E21"/>
    <w:rsid w:val="00402E52"/>
    <w:rsid w:val="00402E9F"/>
    <w:rsid w:val="00402F97"/>
    <w:rsid w:val="00402FCF"/>
    <w:rsid w:val="00403075"/>
    <w:rsid w:val="00403203"/>
    <w:rsid w:val="00403380"/>
    <w:rsid w:val="004033AD"/>
    <w:rsid w:val="004033DD"/>
    <w:rsid w:val="0040344A"/>
    <w:rsid w:val="00403479"/>
    <w:rsid w:val="00403536"/>
    <w:rsid w:val="00403566"/>
    <w:rsid w:val="00403574"/>
    <w:rsid w:val="004035B4"/>
    <w:rsid w:val="004035BC"/>
    <w:rsid w:val="004035D7"/>
    <w:rsid w:val="0040360C"/>
    <w:rsid w:val="0040373F"/>
    <w:rsid w:val="00403771"/>
    <w:rsid w:val="0040381D"/>
    <w:rsid w:val="00403854"/>
    <w:rsid w:val="004039DA"/>
    <w:rsid w:val="004039F4"/>
    <w:rsid w:val="00403A78"/>
    <w:rsid w:val="00403B83"/>
    <w:rsid w:val="00403CA3"/>
    <w:rsid w:val="00403D59"/>
    <w:rsid w:val="00403DA3"/>
    <w:rsid w:val="00403DA7"/>
    <w:rsid w:val="00403E8B"/>
    <w:rsid w:val="00403EBC"/>
    <w:rsid w:val="00403EC5"/>
    <w:rsid w:val="00403F4A"/>
    <w:rsid w:val="00403FAF"/>
    <w:rsid w:val="004040F8"/>
    <w:rsid w:val="0040415D"/>
    <w:rsid w:val="004041A9"/>
    <w:rsid w:val="004041C5"/>
    <w:rsid w:val="00404232"/>
    <w:rsid w:val="004042A7"/>
    <w:rsid w:val="00404327"/>
    <w:rsid w:val="00404410"/>
    <w:rsid w:val="00404590"/>
    <w:rsid w:val="004045B5"/>
    <w:rsid w:val="004045D1"/>
    <w:rsid w:val="0040488A"/>
    <w:rsid w:val="004048F3"/>
    <w:rsid w:val="00404903"/>
    <w:rsid w:val="0040495C"/>
    <w:rsid w:val="00404A82"/>
    <w:rsid w:val="00404BEC"/>
    <w:rsid w:val="00404C02"/>
    <w:rsid w:val="00404CCA"/>
    <w:rsid w:val="00404D2D"/>
    <w:rsid w:val="00404D2E"/>
    <w:rsid w:val="00404D55"/>
    <w:rsid w:val="00404DBA"/>
    <w:rsid w:val="00404DDF"/>
    <w:rsid w:val="00404EB1"/>
    <w:rsid w:val="00404F09"/>
    <w:rsid w:val="00405038"/>
    <w:rsid w:val="00405041"/>
    <w:rsid w:val="00405045"/>
    <w:rsid w:val="004050C8"/>
    <w:rsid w:val="00405138"/>
    <w:rsid w:val="00405192"/>
    <w:rsid w:val="00405240"/>
    <w:rsid w:val="0040526A"/>
    <w:rsid w:val="00405366"/>
    <w:rsid w:val="0040560D"/>
    <w:rsid w:val="00405698"/>
    <w:rsid w:val="0040569A"/>
    <w:rsid w:val="004056DF"/>
    <w:rsid w:val="0040578D"/>
    <w:rsid w:val="004057E0"/>
    <w:rsid w:val="00405818"/>
    <w:rsid w:val="00405899"/>
    <w:rsid w:val="00405907"/>
    <w:rsid w:val="0040598F"/>
    <w:rsid w:val="00405ABD"/>
    <w:rsid w:val="00405BD0"/>
    <w:rsid w:val="00405CB0"/>
    <w:rsid w:val="00405D14"/>
    <w:rsid w:val="00405D4B"/>
    <w:rsid w:val="00405E84"/>
    <w:rsid w:val="00405F02"/>
    <w:rsid w:val="00405F79"/>
    <w:rsid w:val="00405FAB"/>
    <w:rsid w:val="00405FD9"/>
    <w:rsid w:val="00406012"/>
    <w:rsid w:val="004060B2"/>
    <w:rsid w:val="004061AC"/>
    <w:rsid w:val="00406276"/>
    <w:rsid w:val="0040631D"/>
    <w:rsid w:val="00406375"/>
    <w:rsid w:val="004063C4"/>
    <w:rsid w:val="0040644E"/>
    <w:rsid w:val="004064C6"/>
    <w:rsid w:val="0040654A"/>
    <w:rsid w:val="004065BC"/>
    <w:rsid w:val="004065E3"/>
    <w:rsid w:val="00406647"/>
    <w:rsid w:val="00406668"/>
    <w:rsid w:val="00406707"/>
    <w:rsid w:val="004067B7"/>
    <w:rsid w:val="0040681A"/>
    <w:rsid w:val="004068F5"/>
    <w:rsid w:val="004069E5"/>
    <w:rsid w:val="00406A25"/>
    <w:rsid w:val="00406A54"/>
    <w:rsid w:val="00406B05"/>
    <w:rsid w:val="00406B5A"/>
    <w:rsid w:val="00406B5E"/>
    <w:rsid w:val="00406BF3"/>
    <w:rsid w:val="00406D46"/>
    <w:rsid w:val="00406D59"/>
    <w:rsid w:val="00406DF7"/>
    <w:rsid w:val="00406F44"/>
    <w:rsid w:val="00406F58"/>
    <w:rsid w:val="00407031"/>
    <w:rsid w:val="0040706C"/>
    <w:rsid w:val="004070B0"/>
    <w:rsid w:val="00407112"/>
    <w:rsid w:val="00407183"/>
    <w:rsid w:val="00407202"/>
    <w:rsid w:val="00407261"/>
    <w:rsid w:val="00407385"/>
    <w:rsid w:val="004074D9"/>
    <w:rsid w:val="00407654"/>
    <w:rsid w:val="00407678"/>
    <w:rsid w:val="00407775"/>
    <w:rsid w:val="00407819"/>
    <w:rsid w:val="004079C6"/>
    <w:rsid w:val="00407A86"/>
    <w:rsid w:val="00407AF3"/>
    <w:rsid w:val="00407B3B"/>
    <w:rsid w:val="00407C2D"/>
    <w:rsid w:val="00407C52"/>
    <w:rsid w:val="00407C7A"/>
    <w:rsid w:val="00407CFE"/>
    <w:rsid w:val="00407D03"/>
    <w:rsid w:val="00407DCC"/>
    <w:rsid w:val="00407FDA"/>
    <w:rsid w:val="00410012"/>
    <w:rsid w:val="00410099"/>
    <w:rsid w:val="004101CB"/>
    <w:rsid w:val="004101EB"/>
    <w:rsid w:val="0041029D"/>
    <w:rsid w:val="004102F2"/>
    <w:rsid w:val="00410362"/>
    <w:rsid w:val="004103A2"/>
    <w:rsid w:val="004103F1"/>
    <w:rsid w:val="00410483"/>
    <w:rsid w:val="00410493"/>
    <w:rsid w:val="0041050A"/>
    <w:rsid w:val="00410534"/>
    <w:rsid w:val="00410575"/>
    <w:rsid w:val="004106BB"/>
    <w:rsid w:val="004108E8"/>
    <w:rsid w:val="00410934"/>
    <w:rsid w:val="004109EB"/>
    <w:rsid w:val="00410A10"/>
    <w:rsid w:val="00410A1A"/>
    <w:rsid w:val="00410ABA"/>
    <w:rsid w:val="00410B16"/>
    <w:rsid w:val="00410BAD"/>
    <w:rsid w:val="00410CE3"/>
    <w:rsid w:val="00410DB2"/>
    <w:rsid w:val="00410E7E"/>
    <w:rsid w:val="00410EB6"/>
    <w:rsid w:val="00410FAB"/>
    <w:rsid w:val="00410FEB"/>
    <w:rsid w:val="004110E7"/>
    <w:rsid w:val="00411233"/>
    <w:rsid w:val="00411472"/>
    <w:rsid w:val="00411534"/>
    <w:rsid w:val="00411602"/>
    <w:rsid w:val="0041161F"/>
    <w:rsid w:val="00411752"/>
    <w:rsid w:val="004117EA"/>
    <w:rsid w:val="004117F1"/>
    <w:rsid w:val="00411817"/>
    <w:rsid w:val="00411876"/>
    <w:rsid w:val="004118AD"/>
    <w:rsid w:val="00411931"/>
    <w:rsid w:val="00411A4A"/>
    <w:rsid w:val="00411B14"/>
    <w:rsid w:val="00411B7E"/>
    <w:rsid w:val="00411C78"/>
    <w:rsid w:val="00411D43"/>
    <w:rsid w:val="00411F3B"/>
    <w:rsid w:val="00411F46"/>
    <w:rsid w:val="00412008"/>
    <w:rsid w:val="004120B6"/>
    <w:rsid w:val="0041212D"/>
    <w:rsid w:val="00412195"/>
    <w:rsid w:val="0041220D"/>
    <w:rsid w:val="0041220F"/>
    <w:rsid w:val="00412250"/>
    <w:rsid w:val="00412311"/>
    <w:rsid w:val="004123C2"/>
    <w:rsid w:val="004124D1"/>
    <w:rsid w:val="004124E7"/>
    <w:rsid w:val="00412641"/>
    <w:rsid w:val="0041267E"/>
    <w:rsid w:val="0041271A"/>
    <w:rsid w:val="00412779"/>
    <w:rsid w:val="004127C8"/>
    <w:rsid w:val="0041281B"/>
    <w:rsid w:val="004128BE"/>
    <w:rsid w:val="00412963"/>
    <w:rsid w:val="004129F1"/>
    <w:rsid w:val="00412A9F"/>
    <w:rsid w:val="00412BAD"/>
    <w:rsid w:val="00412C0C"/>
    <w:rsid w:val="00412CF9"/>
    <w:rsid w:val="00412D45"/>
    <w:rsid w:val="00412D6C"/>
    <w:rsid w:val="00412D93"/>
    <w:rsid w:val="00412E66"/>
    <w:rsid w:val="00412EDB"/>
    <w:rsid w:val="00412F2A"/>
    <w:rsid w:val="00412F46"/>
    <w:rsid w:val="00412F49"/>
    <w:rsid w:val="00412F63"/>
    <w:rsid w:val="00412F6B"/>
    <w:rsid w:val="00412F7D"/>
    <w:rsid w:val="00413056"/>
    <w:rsid w:val="004130C5"/>
    <w:rsid w:val="0041315A"/>
    <w:rsid w:val="00413204"/>
    <w:rsid w:val="00413427"/>
    <w:rsid w:val="004134CC"/>
    <w:rsid w:val="00413741"/>
    <w:rsid w:val="004137FD"/>
    <w:rsid w:val="00413826"/>
    <w:rsid w:val="004139E9"/>
    <w:rsid w:val="00413BAE"/>
    <w:rsid w:val="00413BC8"/>
    <w:rsid w:val="00413C22"/>
    <w:rsid w:val="00413CA3"/>
    <w:rsid w:val="00413D1F"/>
    <w:rsid w:val="00413D5E"/>
    <w:rsid w:val="00413DD4"/>
    <w:rsid w:val="00413DEA"/>
    <w:rsid w:val="00413E11"/>
    <w:rsid w:val="00413E35"/>
    <w:rsid w:val="00413F01"/>
    <w:rsid w:val="00414035"/>
    <w:rsid w:val="0041406E"/>
    <w:rsid w:val="00414083"/>
    <w:rsid w:val="004140AC"/>
    <w:rsid w:val="004140B5"/>
    <w:rsid w:val="00414131"/>
    <w:rsid w:val="004141E2"/>
    <w:rsid w:val="0041420E"/>
    <w:rsid w:val="00414301"/>
    <w:rsid w:val="004143EE"/>
    <w:rsid w:val="004143FB"/>
    <w:rsid w:val="00414447"/>
    <w:rsid w:val="004144BB"/>
    <w:rsid w:val="004144BE"/>
    <w:rsid w:val="0041452D"/>
    <w:rsid w:val="0041464E"/>
    <w:rsid w:val="00414697"/>
    <w:rsid w:val="004146D9"/>
    <w:rsid w:val="004146E7"/>
    <w:rsid w:val="00414783"/>
    <w:rsid w:val="004148CE"/>
    <w:rsid w:val="0041491C"/>
    <w:rsid w:val="004149AC"/>
    <w:rsid w:val="004149E1"/>
    <w:rsid w:val="004149FD"/>
    <w:rsid w:val="00414A7F"/>
    <w:rsid w:val="00414AD2"/>
    <w:rsid w:val="00414B28"/>
    <w:rsid w:val="00414B79"/>
    <w:rsid w:val="00414CD0"/>
    <w:rsid w:val="00414CD2"/>
    <w:rsid w:val="00414D4B"/>
    <w:rsid w:val="00414DEB"/>
    <w:rsid w:val="00414E23"/>
    <w:rsid w:val="00414E5D"/>
    <w:rsid w:val="00414EE2"/>
    <w:rsid w:val="00414F77"/>
    <w:rsid w:val="0041510C"/>
    <w:rsid w:val="004151A9"/>
    <w:rsid w:val="004151ED"/>
    <w:rsid w:val="0041521E"/>
    <w:rsid w:val="00415226"/>
    <w:rsid w:val="00415230"/>
    <w:rsid w:val="0041529B"/>
    <w:rsid w:val="004154D3"/>
    <w:rsid w:val="0041568D"/>
    <w:rsid w:val="004156C0"/>
    <w:rsid w:val="004157A8"/>
    <w:rsid w:val="004157BF"/>
    <w:rsid w:val="0041589F"/>
    <w:rsid w:val="0041598C"/>
    <w:rsid w:val="00415A22"/>
    <w:rsid w:val="00415A61"/>
    <w:rsid w:val="00415A7A"/>
    <w:rsid w:val="00415CC6"/>
    <w:rsid w:val="00415CE4"/>
    <w:rsid w:val="00415D2B"/>
    <w:rsid w:val="00415D72"/>
    <w:rsid w:val="00415E0C"/>
    <w:rsid w:val="00415E43"/>
    <w:rsid w:val="00415E4B"/>
    <w:rsid w:val="00415E5D"/>
    <w:rsid w:val="00415E6F"/>
    <w:rsid w:val="00415F52"/>
    <w:rsid w:val="00415F63"/>
    <w:rsid w:val="004160F8"/>
    <w:rsid w:val="00416290"/>
    <w:rsid w:val="0041632A"/>
    <w:rsid w:val="00416428"/>
    <w:rsid w:val="0041643C"/>
    <w:rsid w:val="004164C0"/>
    <w:rsid w:val="004164ED"/>
    <w:rsid w:val="0041655D"/>
    <w:rsid w:val="00416561"/>
    <w:rsid w:val="00416585"/>
    <w:rsid w:val="004165B0"/>
    <w:rsid w:val="00416633"/>
    <w:rsid w:val="00416644"/>
    <w:rsid w:val="004166A7"/>
    <w:rsid w:val="0041670A"/>
    <w:rsid w:val="00416797"/>
    <w:rsid w:val="00416857"/>
    <w:rsid w:val="0041688E"/>
    <w:rsid w:val="00416A77"/>
    <w:rsid w:val="00416B0B"/>
    <w:rsid w:val="00416B6E"/>
    <w:rsid w:val="00416C03"/>
    <w:rsid w:val="00416C13"/>
    <w:rsid w:val="00416D6A"/>
    <w:rsid w:val="00416E11"/>
    <w:rsid w:val="00416F9E"/>
    <w:rsid w:val="00416FAB"/>
    <w:rsid w:val="00417100"/>
    <w:rsid w:val="00417152"/>
    <w:rsid w:val="00417166"/>
    <w:rsid w:val="00417258"/>
    <w:rsid w:val="004173BE"/>
    <w:rsid w:val="004173E9"/>
    <w:rsid w:val="00417441"/>
    <w:rsid w:val="00417606"/>
    <w:rsid w:val="004176F0"/>
    <w:rsid w:val="00417725"/>
    <w:rsid w:val="00417758"/>
    <w:rsid w:val="004178C8"/>
    <w:rsid w:val="00417927"/>
    <w:rsid w:val="00417A39"/>
    <w:rsid w:val="00417A94"/>
    <w:rsid w:val="00417B27"/>
    <w:rsid w:val="00417C23"/>
    <w:rsid w:val="00417C84"/>
    <w:rsid w:val="00417DDB"/>
    <w:rsid w:val="00417DE1"/>
    <w:rsid w:val="00417E59"/>
    <w:rsid w:val="00417F07"/>
    <w:rsid w:val="00417F4E"/>
    <w:rsid w:val="00417FB8"/>
    <w:rsid w:val="00420058"/>
    <w:rsid w:val="0042011B"/>
    <w:rsid w:val="0042028C"/>
    <w:rsid w:val="00420316"/>
    <w:rsid w:val="0042033F"/>
    <w:rsid w:val="004203D6"/>
    <w:rsid w:val="004203F8"/>
    <w:rsid w:val="00420434"/>
    <w:rsid w:val="004205D2"/>
    <w:rsid w:val="00420618"/>
    <w:rsid w:val="004206D5"/>
    <w:rsid w:val="004207D0"/>
    <w:rsid w:val="0042081E"/>
    <w:rsid w:val="00420ABA"/>
    <w:rsid w:val="00420B54"/>
    <w:rsid w:val="00420B9C"/>
    <w:rsid w:val="00420CCB"/>
    <w:rsid w:val="00420CFB"/>
    <w:rsid w:val="00420DD5"/>
    <w:rsid w:val="00420DDF"/>
    <w:rsid w:val="00420E02"/>
    <w:rsid w:val="00420E4A"/>
    <w:rsid w:val="00420E75"/>
    <w:rsid w:val="00420F24"/>
    <w:rsid w:val="00420FB3"/>
    <w:rsid w:val="00420FC6"/>
    <w:rsid w:val="0042106D"/>
    <w:rsid w:val="004210E5"/>
    <w:rsid w:val="00421150"/>
    <w:rsid w:val="00421274"/>
    <w:rsid w:val="004212A9"/>
    <w:rsid w:val="004212CC"/>
    <w:rsid w:val="00421398"/>
    <w:rsid w:val="004213A0"/>
    <w:rsid w:val="00421412"/>
    <w:rsid w:val="0042147F"/>
    <w:rsid w:val="004214A9"/>
    <w:rsid w:val="00421514"/>
    <w:rsid w:val="0042157F"/>
    <w:rsid w:val="00421619"/>
    <w:rsid w:val="00421659"/>
    <w:rsid w:val="00421665"/>
    <w:rsid w:val="004216A5"/>
    <w:rsid w:val="00421724"/>
    <w:rsid w:val="0042175E"/>
    <w:rsid w:val="0042176F"/>
    <w:rsid w:val="004217E7"/>
    <w:rsid w:val="0042180E"/>
    <w:rsid w:val="00421840"/>
    <w:rsid w:val="004218E4"/>
    <w:rsid w:val="0042197D"/>
    <w:rsid w:val="00421A59"/>
    <w:rsid w:val="00421BC5"/>
    <w:rsid w:val="00421C0B"/>
    <w:rsid w:val="00421C56"/>
    <w:rsid w:val="00421C68"/>
    <w:rsid w:val="00421C99"/>
    <w:rsid w:val="00421CB0"/>
    <w:rsid w:val="00421CE3"/>
    <w:rsid w:val="00421CEF"/>
    <w:rsid w:val="00421D84"/>
    <w:rsid w:val="00421DFB"/>
    <w:rsid w:val="00421E24"/>
    <w:rsid w:val="00421ED1"/>
    <w:rsid w:val="00421ED2"/>
    <w:rsid w:val="00421ED8"/>
    <w:rsid w:val="00421FC8"/>
    <w:rsid w:val="00422003"/>
    <w:rsid w:val="00422052"/>
    <w:rsid w:val="0042205D"/>
    <w:rsid w:val="004220D7"/>
    <w:rsid w:val="00422169"/>
    <w:rsid w:val="004221DD"/>
    <w:rsid w:val="004222F0"/>
    <w:rsid w:val="0042244A"/>
    <w:rsid w:val="004224A2"/>
    <w:rsid w:val="004224C6"/>
    <w:rsid w:val="0042267F"/>
    <w:rsid w:val="004226CD"/>
    <w:rsid w:val="00422744"/>
    <w:rsid w:val="00422789"/>
    <w:rsid w:val="004227E9"/>
    <w:rsid w:val="0042286E"/>
    <w:rsid w:val="00422899"/>
    <w:rsid w:val="0042298E"/>
    <w:rsid w:val="00422AE8"/>
    <w:rsid w:val="00422B56"/>
    <w:rsid w:val="00422D2A"/>
    <w:rsid w:val="00422D35"/>
    <w:rsid w:val="00422D39"/>
    <w:rsid w:val="00422DD9"/>
    <w:rsid w:val="00422E2E"/>
    <w:rsid w:val="00422E66"/>
    <w:rsid w:val="00422EB9"/>
    <w:rsid w:val="00422F48"/>
    <w:rsid w:val="00422F9F"/>
    <w:rsid w:val="0042305A"/>
    <w:rsid w:val="0042322C"/>
    <w:rsid w:val="00423268"/>
    <w:rsid w:val="004232C7"/>
    <w:rsid w:val="00423388"/>
    <w:rsid w:val="004233E7"/>
    <w:rsid w:val="0042343B"/>
    <w:rsid w:val="004234CF"/>
    <w:rsid w:val="00423500"/>
    <w:rsid w:val="00423507"/>
    <w:rsid w:val="0042350F"/>
    <w:rsid w:val="00423510"/>
    <w:rsid w:val="0042356F"/>
    <w:rsid w:val="0042359B"/>
    <w:rsid w:val="0042363F"/>
    <w:rsid w:val="00423707"/>
    <w:rsid w:val="00423728"/>
    <w:rsid w:val="0042373A"/>
    <w:rsid w:val="00423817"/>
    <w:rsid w:val="0042386B"/>
    <w:rsid w:val="00423884"/>
    <w:rsid w:val="00423888"/>
    <w:rsid w:val="004238EB"/>
    <w:rsid w:val="00423917"/>
    <w:rsid w:val="00423998"/>
    <w:rsid w:val="00423B38"/>
    <w:rsid w:val="00423B73"/>
    <w:rsid w:val="00423BE5"/>
    <w:rsid w:val="00423C28"/>
    <w:rsid w:val="00423D0E"/>
    <w:rsid w:val="00423E67"/>
    <w:rsid w:val="00423E80"/>
    <w:rsid w:val="00423E9F"/>
    <w:rsid w:val="00423F26"/>
    <w:rsid w:val="00423F73"/>
    <w:rsid w:val="00424063"/>
    <w:rsid w:val="004240EB"/>
    <w:rsid w:val="004241FD"/>
    <w:rsid w:val="00424497"/>
    <w:rsid w:val="00424502"/>
    <w:rsid w:val="00424539"/>
    <w:rsid w:val="0042460E"/>
    <w:rsid w:val="00424622"/>
    <w:rsid w:val="004246B4"/>
    <w:rsid w:val="0042490B"/>
    <w:rsid w:val="0042498F"/>
    <w:rsid w:val="004249EB"/>
    <w:rsid w:val="00424A0F"/>
    <w:rsid w:val="00424A89"/>
    <w:rsid w:val="00424B26"/>
    <w:rsid w:val="00424BC1"/>
    <w:rsid w:val="00424C77"/>
    <w:rsid w:val="00424D10"/>
    <w:rsid w:val="00424D20"/>
    <w:rsid w:val="00424D56"/>
    <w:rsid w:val="00424F0F"/>
    <w:rsid w:val="00424F13"/>
    <w:rsid w:val="00424F25"/>
    <w:rsid w:val="0042501E"/>
    <w:rsid w:val="00425122"/>
    <w:rsid w:val="0042514A"/>
    <w:rsid w:val="0042520B"/>
    <w:rsid w:val="00425220"/>
    <w:rsid w:val="004252D9"/>
    <w:rsid w:val="00425585"/>
    <w:rsid w:val="004255DB"/>
    <w:rsid w:val="00425716"/>
    <w:rsid w:val="0042574B"/>
    <w:rsid w:val="004257B6"/>
    <w:rsid w:val="004257C5"/>
    <w:rsid w:val="004257EC"/>
    <w:rsid w:val="004259A1"/>
    <w:rsid w:val="004259B1"/>
    <w:rsid w:val="00425B0E"/>
    <w:rsid w:val="00425C10"/>
    <w:rsid w:val="00425C15"/>
    <w:rsid w:val="00425C5B"/>
    <w:rsid w:val="00425C5C"/>
    <w:rsid w:val="00425C83"/>
    <w:rsid w:val="00425C9B"/>
    <w:rsid w:val="00425C9C"/>
    <w:rsid w:val="00425D66"/>
    <w:rsid w:val="00425E25"/>
    <w:rsid w:val="00425E37"/>
    <w:rsid w:val="00425EF6"/>
    <w:rsid w:val="00425F20"/>
    <w:rsid w:val="00425F42"/>
    <w:rsid w:val="004260D2"/>
    <w:rsid w:val="0042615C"/>
    <w:rsid w:val="00426243"/>
    <w:rsid w:val="00426246"/>
    <w:rsid w:val="00426248"/>
    <w:rsid w:val="004264CA"/>
    <w:rsid w:val="00426529"/>
    <w:rsid w:val="00426569"/>
    <w:rsid w:val="00426617"/>
    <w:rsid w:val="004266FF"/>
    <w:rsid w:val="00426799"/>
    <w:rsid w:val="004267B0"/>
    <w:rsid w:val="004267C2"/>
    <w:rsid w:val="00426854"/>
    <w:rsid w:val="004268D5"/>
    <w:rsid w:val="004269EF"/>
    <w:rsid w:val="00426AFF"/>
    <w:rsid w:val="00426BB2"/>
    <w:rsid w:val="00426C10"/>
    <w:rsid w:val="00426C1C"/>
    <w:rsid w:val="00426CE0"/>
    <w:rsid w:val="00426CEB"/>
    <w:rsid w:val="00426D57"/>
    <w:rsid w:val="00426D7E"/>
    <w:rsid w:val="00426D87"/>
    <w:rsid w:val="00426E17"/>
    <w:rsid w:val="00426E38"/>
    <w:rsid w:val="00426E56"/>
    <w:rsid w:val="00426E75"/>
    <w:rsid w:val="00426EEB"/>
    <w:rsid w:val="00426F0E"/>
    <w:rsid w:val="00426F77"/>
    <w:rsid w:val="004270CC"/>
    <w:rsid w:val="00427122"/>
    <w:rsid w:val="0042713D"/>
    <w:rsid w:val="0042714A"/>
    <w:rsid w:val="0042735A"/>
    <w:rsid w:val="00427390"/>
    <w:rsid w:val="004273AF"/>
    <w:rsid w:val="004273F9"/>
    <w:rsid w:val="00427455"/>
    <w:rsid w:val="004274CF"/>
    <w:rsid w:val="004274E5"/>
    <w:rsid w:val="0042751A"/>
    <w:rsid w:val="00427566"/>
    <w:rsid w:val="0042757E"/>
    <w:rsid w:val="004275E2"/>
    <w:rsid w:val="004275F2"/>
    <w:rsid w:val="00427676"/>
    <w:rsid w:val="00427734"/>
    <w:rsid w:val="0042773D"/>
    <w:rsid w:val="00427776"/>
    <w:rsid w:val="004277D0"/>
    <w:rsid w:val="004277FE"/>
    <w:rsid w:val="00427806"/>
    <w:rsid w:val="00427847"/>
    <w:rsid w:val="00427848"/>
    <w:rsid w:val="00427864"/>
    <w:rsid w:val="004279B2"/>
    <w:rsid w:val="004279CE"/>
    <w:rsid w:val="00427A65"/>
    <w:rsid w:val="00427A91"/>
    <w:rsid w:val="00427AD7"/>
    <w:rsid w:val="00427AD9"/>
    <w:rsid w:val="00427C55"/>
    <w:rsid w:val="00427CB7"/>
    <w:rsid w:val="00427CE7"/>
    <w:rsid w:val="00427D7C"/>
    <w:rsid w:val="00427DE4"/>
    <w:rsid w:val="00427F5F"/>
    <w:rsid w:val="00430023"/>
    <w:rsid w:val="0043010E"/>
    <w:rsid w:val="00430148"/>
    <w:rsid w:val="004301A8"/>
    <w:rsid w:val="0043026E"/>
    <w:rsid w:val="004302D1"/>
    <w:rsid w:val="004302E9"/>
    <w:rsid w:val="004303F5"/>
    <w:rsid w:val="004304EC"/>
    <w:rsid w:val="00430575"/>
    <w:rsid w:val="00430621"/>
    <w:rsid w:val="00430644"/>
    <w:rsid w:val="004306E4"/>
    <w:rsid w:val="004306F4"/>
    <w:rsid w:val="0043070F"/>
    <w:rsid w:val="00430714"/>
    <w:rsid w:val="00430880"/>
    <w:rsid w:val="004308BC"/>
    <w:rsid w:val="004308C4"/>
    <w:rsid w:val="004308D5"/>
    <w:rsid w:val="004309AD"/>
    <w:rsid w:val="004309E0"/>
    <w:rsid w:val="00430B1E"/>
    <w:rsid w:val="00430B8C"/>
    <w:rsid w:val="00430DDB"/>
    <w:rsid w:val="00430DEE"/>
    <w:rsid w:val="00430E28"/>
    <w:rsid w:val="00430ED6"/>
    <w:rsid w:val="00430F2F"/>
    <w:rsid w:val="00430F75"/>
    <w:rsid w:val="00430FBB"/>
    <w:rsid w:val="00430FE6"/>
    <w:rsid w:val="00431087"/>
    <w:rsid w:val="00431158"/>
    <w:rsid w:val="004311C4"/>
    <w:rsid w:val="00431203"/>
    <w:rsid w:val="0043120C"/>
    <w:rsid w:val="00431232"/>
    <w:rsid w:val="00431295"/>
    <w:rsid w:val="004312B3"/>
    <w:rsid w:val="0043134B"/>
    <w:rsid w:val="00431457"/>
    <w:rsid w:val="00431478"/>
    <w:rsid w:val="00431480"/>
    <w:rsid w:val="00431484"/>
    <w:rsid w:val="00431615"/>
    <w:rsid w:val="0043164A"/>
    <w:rsid w:val="00431724"/>
    <w:rsid w:val="0043173E"/>
    <w:rsid w:val="00431774"/>
    <w:rsid w:val="004317ED"/>
    <w:rsid w:val="00431802"/>
    <w:rsid w:val="004318A5"/>
    <w:rsid w:val="004318C4"/>
    <w:rsid w:val="00431975"/>
    <w:rsid w:val="00431A07"/>
    <w:rsid w:val="00431B33"/>
    <w:rsid w:val="00431B59"/>
    <w:rsid w:val="00431B6A"/>
    <w:rsid w:val="00431BBA"/>
    <w:rsid w:val="00431C03"/>
    <w:rsid w:val="00431D31"/>
    <w:rsid w:val="00431D6E"/>
    <w:rsid w:val="00431D78"/>
    <w:rsid w:val="00431F0D"/>
    <w:rsid w:val="00431FD5"/>
    <w:rsid w:val="004322CB"/>
    <w:rsid w:val="0043240C"/>
    <w:rsid w:val="00432443"/>
    <w:rsid w:val="00432490"/>
    <w:rsid w:val="0043267D"/>
    <w:rsid w:val="0043269C"/>
    <w:rsid w:val="004326D9"/>
    <w:rsid w:val="00432745"/>
    <w:rsid w:val="004327AB"/>
    <w:rsid w:val="004327F2"/>
    <w:rsid w:val="004329EB"/>
    <w:rsid w:val="00432A63"/>
    <w:rsid w:val="00432A96"/>
    <w:rsid w:val="00432AA5"/>
    <w:rsid w:val="00432AAE"/>
    <w:rsid w:val="00432AB7"/>
    <w:rsid w:val="00432D39"/>
    <w:rsid w:val="00432D4D"/>
    <w:rsid w:val="00432D56"/>
    <w:rsid w:val="00432DAE"/>
    <w:rsid w:val="00432DB4"/>
    <w:rsid w:val="00432DDE"/>
    <w:rsid w:val="00432DF0"/>
    <w:rsid w:val="00432E16"/>
    <w:rsid w:val="00432FB1"/>
    <w:rsid w:val="00432FCD"/>
    <w:rsid w:val="00433101"/>
    <w:rsid w:val="004331A4"/>
    <w:rsid w:val="00433236"/>
    <w:rsid w:val="0043329A"/>
    <w:rsid w:val="00433305"/>
    <w:rsid w:val="0043336B"/>
    <w:rsid w:val="004334BE"/>
    <w:rsid w:val="004335D2"/>
    <w:rsid w:val="004336AC"/>
    <w:rsid w:val="00433783"/>
    <w:rsid w:val="004337DB"/>
    <w:rsid w:val="00433821"/>
    <w:rsid w:val="0043382F"/>
    <w:rsid w:val="004338D5"/>
    <w:rsid w:val="004338F0"/>
    <w:rsid w:val="0043391B"/>
    <w:rsid w:val="00433C81"/>
    <w:rsid w:val="00433D95"/>
    <w:rsid w:val="00433E00"/>
    <w:rsid w:val="00433E11"/>
    <w:rsid w:val="00433E27"/>
    <w:rsid w:val="00433E86"/>
    <w:rsid w:val="00433EA5"/>
    <w:rsid w:val="00433EDA"/>
    <w:rsid w:val="00433F33"/>
    <w:rsid w:val="00433F6F"/>
    <w:rsid w:val="00433FAC"/>
    <w:rsid w:val="004340A9"/>
    <w:rsid w:val="004340E8"/>
    <w:rsid w:val="004340F9"/>
    <w:rsid w:val="00434163"/>
    <w:rsid w:val="0043416F"/>
    <w:rsid w:val="0043427C"/>
    <w:rsid w:val="00434525"/>
    <w:rsid w:val="00434546"/>
    <w:rsid w:val="004345BB"/>
    <w:rsid w:val="0043470F"/>
    <w:rsid w:val="00434761"/>
    <w:rsid w:val="004347E5"/>
    <w:rsid w:val="004348C3"/>
    <w:rsid w:val="00434901"/>
    <w:rsid w:val="0043497F"/>
    <w:rsid w:val="00434998"/>
    <w:rsid w:val="004349DF"/>
    <w:rsid w:val="00434A3B"/>
    <w:rsid w:val="00434A73"/>
    <w:rsid w:val="00434A9C"/>
    <w:rsid w:val="00434B91"/>
    <w:rsid w:val="00434CA3"/>
    <w:rsid w:val="00434CD5"/>
    <w:rsid w:val="00434CD7"/>
    <w:rsid w:val="00434CDC"/>
    <w:rsid w:val="00434D0F"/>
    <w:rsid w:val="00434D95"/>
    <w:rsid w:val="00434E22"/>
    <w:rsid w:val="00434E35"/>
    <w:rsid w:val="00434F91"/>
    <w:rsid w:val="00435043"/>
    <w:rsid w:val="004350D4"/>
    <w:rsid w:val="00435192"/>
    <w:rsid w:val="0043531E"/>
    <w:rsid w:val="00435354"/>
    <w:rsid w:val="0043536B"/>
    <w:rsid w:val="00435436"/>
    <w:rsid w:val="0043544C"/>
    <w:rsid w:val="0043549A"/>
    <w:rsid w:val="00435596"/>
    <w:rsid w:val="004355E8"/>
    <w:rsid w:val="0043574E"/>
    <w:rsid w:val="004357C4"/>
    <w:rsid w:val="004357F8"/>
    <w:rsid w:val="00435907"/>
    <w:rsid w:val="0043590E"/>
    <w:rsid w:val="0043593B"/>
    <w:rsid w:val="00435970"/>
    <w:rsid w:val="00435A01"/>
    <w:rsid w:val="00435A1B"/>
    <w:rsid w:val="00435ABC"/>
    <w:rsid w:val="00435C3E"/>
    <w:rsid w:val="00435E05"/>
    <w:rsid w:val="00435E52"/>
    <w:rsid w:val="00435EAE"/>
    <w:rsid w:val="00435F9D"/>
    <w:rsid w:val="00436131"/>
    <w:rsid w:val="0043619C"/>
    <w:rsid w:val="004361A4"/>
    <w:rsid w:val="004361C7"/>
    <w:rsid w:val="00436205"/>
    <w:rsid w:val="00436234"/>
    <w:rsid w:val="0043625B"/>
    <w:rsid w:val="0043626B"/>
    <w:rsid w:val="004362B1"/>
    <w:rsid w:val="00436314"/>
    <w:rsid w:val="0043631D"/>
    <w:rsid w:val="0043632E"/>
    <w:rsid w:val="004363A4"/>
    <w:rsid w:val="004363D4"/>
    <w:rsid w:val="0043644E"/>
    <w:rsid w:val="0043645E"/>
    <w:rsid w:val="00436481"/>
    <w:rsid w:val="00436506"/>
    <w:rsid w:val="0043655E"/>
    <w:rsid w:val="00436583"/>
    <w:rsid w:val="0043660E"/>
    <w:rsid w:val="00436617"/>
    <w:rsid w:val="004366D1"/>
    <w:rsid w:val="0043670F"/>
    <w:rsid w:val="00436952"/>
    <w:rsid w:val="0043698F"/>
    <w:rsid w:val="004369E3"/>
    <w:rsid w:val="00436A92"/>
    <w:rsid w:val="00436CF3"/>
    <w:rsid w:val="00436D75"/>
    <w:rsid w:val="00436D7D"/>
    <w:rsid w:val="00436DAA"/>
    <w:rsid w:val="00436DBC"/>
    <w:rsid w:val="00436E74"/>
    <w:rsid w:val="00436EEB"/>
    <w:rsid w:val="00436F51"/>
    <w:rsid w:val="00436F57"/>
    <w:rsid w:val="00436F8E"/>
    <w:rsid w:val="00436FC4"/>
    <w:rsid w:val="00436FC7"/>
    <w:rsid w:val="00437169"/>
    <w:rsid w:val="004371C4"/>
    <w:rsid w:val="00437465"/>
    <w:rsid w:val="004374C2"/>
    <w:rsid w:val="0043762B"/>
    <w:rsid w:val="0043768E"/>
    <w:rsid w:val="004376D0"/>
    <w:rsid w:val="004376D6"/>
    <w:rsid w:val="00437720"/>
    <w:rsid w:val="00437878"/>
    <w:rsid w:val="00437883"/>
    <w:rsid w:val="004378E3"/>
    <w:rsid w:val="0043793B"/>
    <w:rsid w:val="00437B33"/>
    <w:rsid w:val="00437B40"/>
    <w:rsid w:val="00437B6D"/>
    <w:rsid w:val="00437B94"/>
    <w:rsid w:val="00437C04"/>
    <w:rsid w:val="00437C25"/>
    <w:rsid w:val="00437C50"/>
    <w:rsid w:val="00437C57"/>
    <w:rsid w:val="00437C70"/>
    <w:rsid w:val="00437C78"/>
    <w:rsid w:val="00437DE8"/>
    <w:rsid w:val="00437F93"/>
    <w:rsid w:val="0044015E"/>
    <w:rsid w:val="004401DB"/>
    <w:rsid w:val="00440258"/>
    <w:rsid w:val="0044028A"/>
    <w:rsid w:val="004402E0"/>
    <w:rsid w:val="00440469"/>
    <w:rsid w:val="00440537"/>
    <w:rsid w:val="004405AB"/>
    <w:rsid w:val="004405EE"/>
    <w:rsid w:val="00440692"/>
    <w:rsid w:val="00440700"/>
    <w:rsid w:val="00440737"/>
    <w:rsid w:val="00440800"/>
    <w:rsid w:val="00440811"/>
    <w:rsid w:val="00440AFB"/>
    <w:rsid w:val="00440B5F"/>
    <w:rsid w:val="00440BFB"/>
    <w:rsid w:val="00440D33"/>
    <w:rsid w:val="00440DB1"/>
    <w:rsid w:val="00440DB5"/>
    <w:rsid w:val="00440DD8"/>
    <w:rsid w:val="00440F2B"/>
    <w:rsid w:val="00440F5C"/>
    <w:rsid w:val="00440FA7"/>
    <w:rsid w:val="0044106D"/>
    <w:rsid w:val="00441115"/>
    <w:rsid w:val="00441250"/>
    <w:rsid w:val="004412AA"/>
    <w:rsid w:val="00441322"/>
    <w:rsid w:val="004413C6"/>
    <w:rsid w:val="0044144A"/>
    <w:rsid w:val="0044151A"/>
    <w:rsid w:val="00441554"/>
    <w:rsid w:val="0044155C"/>
    <w:rsid w:val="00441566"/>
    <w:rsid w:val="00441749"/>
    <w:rsid w:val="00441944"/>
    <w:rsid w:val="004419EB"/>
    <w:rsid w:val="00441A19"/>
    <w:rsid w:val="00441AD0"/>
    <w:rsid w:val="00441CF4"/>
    <w:rsid w:val="00441D41"/>
    <w:rsid w:val="00441D8B"/>
    <w:rsid w:val="00441DA9"/>
    <w:rsid w:val="00441E1C"/>
    <w:rsid w:val="00441E6B"/>
    <w:rsid w:val="00441EE9"/>
    <w:rsid w:val="00442012"/>
    <w:rsid w:val="004420B5"/>
    <w:rsid w:val="00442113"/>
    <w:rsid w:val="00442181"/>
    <w:rsid w:val="0044219D"/>
    <w:rsid w:val="004421C8"/>
    <w:rsid w:val="0044232D"/>
    <w:rsid w:val="0044238A"/>
    <w:rsid w:val="0044238B"/>
    <w:rsid w:val="00442456"/>
    <w:rsid w:val="0044252D"/>
    <w:rsid w:val="00442539"/>
    <w:rsid w:val="00442586"/>
    <w:rsid w:val="0044258F"/>
    <w:rsid w:val="004425A1"/>
    <w:rsid w:val="00442624"/>
    <w:rsid w:val="00442684"/>
    <w:rsid w:val="004427A5"/>
    <w:rsid w:val="004427C3"/>
    <w:rsid w:val="004427D2"/>
    <w:rsid w:val="0044282B"/>
    <w:rsid w:val="00442876"/>
    <w:rsid w:val="004428A5"/>
    <w:rsid w:val="004428CD"/>
    <w:rsid w:val="0044293E"/>
    <w:rsid w:val="0044296F"/>
    <w:rsid w:val="00442970"/>
    <w:rsid w:val="00442980"/>
    <w:rsid w:val="00442B15"/>
    <w:rsid w:val="00442B4F"/>
    <w:rsid w:val="00442BCF"/>
    <w:rsid w:val="00442C6C"/>
    <w:rsid w:val="00442C99"/>
    <w:rsid w:val="00442CDB"/>
    <w:rsid w:val="00442CDE"/>
    <w:rsid w:val="00442D8C"/>
    <w:rsid w:val="00442EB5"/>
    <w:rsid w:val="00442EF3"/>
    <w:rsid w:val="00443068"/>
    <w:rsid w:val="00443080"/>
    <w:rsid w:val="00443095"/>
    <w:rsid w:val="004430A7"/>
    <w:rsid w:val="004430F6"/>
    <w:rsid w:val="00443169"/>
    <w:rsid w:val="004431A3"/>
    <w:rsid w:val="004431BC"/>
    <w:rsid w:val="004431ED"/>
    <w:rsid w:val="00443212"/>
    <w:rsid w:val="004432E6"/>
    <w:rsid w:val="00443305"/>
    <w:rsid w:val="00443322"/>
    <w:rsid w:val="0044337A"/>
    <w:rsid w:val="00443569"/>
    <w:rsid w:val="004435F8"/>
    <w:rsid w:val="00443753"/>
    <w:rsid w:val="0044375D"/>
    <w:rsid w:val="004438E5"/>
    <w:rsid w:val="004439CC"/>
    <w:rsid w:val="00443A8F"/>
    <w:rsid w:val="00443B3D"/>
    <w:rsid w:val="00443B94"/>
    <w:rsid w:val="00443C8B"/>
    <w:rsid w:val="00443D43"/>
    <w:rsid w:val="00443D6C"/>
    <w:rsid w:val="00443DBB"/>
    <w:rsid w:val="00443E2A"/>
    <w:rsid w:val="00443E85"/>
    <w:rsid w:val="00443F6E"/>
    <w:rsid w:val="00443F73"/>
    <w:rsid w:val="00444013"/>
    <w:rsid w:val="00444108"/>
    <w:rsid w:val="00444129"/>
    <w:rsid w:val="00444145"/>
    <w:rsid w:val="004441C5"/>
    <w:rsid w:val="004441C6"/>
    <w:rsid w:val="0044422B"/>
    <w:rsid w:val="00444250"/>
    <w:rsid w:val="0044429A"/>
    <w:rsid w:val="004442F1"/>
    <w:rsid w:val="0044437C"/>
    <w:rsid w:val="0044443C"/>
    <w:rsid w:val="00444457"/>
    <w:rsid w:val="00444598"/>
    <w:rsid w:val="004445E5"/>
    <w:rsid w:val="0044461F"/>
    <w:rsid w:val="00444978"/>
    <w:rsid w:val="00444991"/>
    <w:rsid w:val="00444A2A"/>
    <w:rsid w:val="00444A37"/>
    <w:rsid w:val="00444B3B"/>
    <w:rsid w:val="00444CB2"/>
    <w:rsid w:val="00444D8E"/>
    <w:rsid w:val="00444E21"/>
    <w:rsid w:val="00444EDB"/>
    <w:rsid w:val="00444F68"/>
    <w:rsid w:val="00444F6E"/>
    <w:rsid w:val="00444FC9"/>
    <w:rsid w:val="00445021"/>
    <w:rsid w:val="0044505B"/>
    <w:rsid w:val="0044506A"/>
    <w:rsid w:val="004450EE"/>
    <w:rsid w:val="00445127"/>
    <w:rsid w:val="00445139"/>
    <w:rsid w:val="0044529C"/>
    <w:rsid w:val="00445319"/>
    <w:rsid w:val="00445341"/>
    <w:rsid w:val="004453BF"/>
    <w:rsid w:val="004453C6"/>
    <w:rsid w:val="0044546E"/>
    <w:rsid w:val="004454AA"/>
    <w:rsid w:val="004454D2"/>
    <w:rsid w:val="00445594"/>
    <w:rsid w:val="0044565E"/>
    <w:rsid w:val="00445711"/>
    <w:rsid w:val="004457D4"/>
    <w:rsid w:val="00445842"/>
    <w:rsid w:val="00445A79"/>
    <w:rsid w:val="00445AD4"/>
    <w:rsid w:val="00445AE9"/>
    <w:rsid w:val="00445B6C"/>
    <w:rsid w:val="00445F68"/>
    <w:rsid w:val="00445F7B"/>
    <w:rsid w:val="00446001"/>
    <w:rsid w:val="00446017"/>
    <w:rsid w:val="00446125"/>
    <w:rsid w:val="0044614A"/>
    <w:rsid w:val="004461CB"/>
    <w:rsid w:val="0044621C"/>
    <w:rsid w:val="00446233"/>
    <w:rsid w:val="0044623E"/>
    <w:rsid w:val="00446425"/>
    <w:rsid w:val="0044644B"/>
    <w:rsid w:val="00446475"/>
    <w:rsid w:val="004464EA"/>
    <w:rsid w:val="0044654C"/>
    <w:rsid w:val="00446578"/>
    <w:rsid w:val="00446612"/>
    <w:rsid w:val="00446664"/>
    <w:rsid w:val="004467A3"/>
    <w:rsid w:val="004467B5"/>
    <w:rsid w:val="0044683D"/>
    <w:rsid w:val="0044697C"/>
    <w:rsid w:val="00446B7A"/>
    <w:rsid w:val="00446BE1"/>
    <w:rsid w:val="00446BF6"/>
    <w:rsid w:val="00446CDF"/>
    <w:rsid w:val="00446E37"/>
    <w:rsid w:val="00446EC2"/>
    <w:rsid w:val="00446EE6"/>
    <w:rsid w:val="0044702A"/>
    <w:rsid w:val="0044709D"/>
    <w:rsid w:val="004473D2"/>
    <w:rsid w:val="0044748A"/>
    <w:rsid w:val="004475B6"/>
    <w:rsid w:val="0044762E"/>
    <w:rsid w:val="004476AE"/>
    <w:rsid w:val="004476FA"/>
    <w:rsid w:val="00447733"/>
    <w:rsid w:val="00447855"/>
    <w:rsid w:val="00447893"/>
    <w:rsid w:val="004478CC"/>
    <w:rsid w:val="004478F4"/>
    <w:rsid w:val="0044791A"/>
    <w:rsid w:val="004479A4"/>
    <w:rsid w:val="00447A58"/>
    <w:rsid w:val="00447ACC"/>
    <w:rsid w:val="00447B16"/>
    <w:rsid w:val="00447B73"/>
    <w:rsid w:val="00447C2E"/>
    <w:rsid w:val="00447C39"/>
    <w:rsid w:val="00447C3C"/>
    <w:rsid w:val="00447C9F"/>
    <w:rsid w:val="00447CA4"/>
    <w:rsid w:val="00447D02"/>
    <w:rsid w:val="00447D18"/>
    <w:rsid w:val="00447E17"/>
    <w:rsid w:val="00447E97"/>
    <w:rsid w:val="00447EB3"/>
    <w:rsid w:val="00447ECA"/>
    <w:rsid w:val="00447F66"/>
    <w:rsid w:val="00447FC3"/>
    <w:rsid w:val="0045001A"/>
    <w:rsid w:val="00450027"/>
    <w:rsid w:val="004500A0"/>
    <w:rsid w:val="00450113"/>
    <w:rsid w:val="00450128"/>
    <w:rsid w:val="00450160"/>
    <w:rsid w:val="004501D6"/>
    <w:rsid w:val="004501F5"/>
    <w:rsid w:val="00450284"/>
    <w:rsid w:val="00450300"/>
    <w:rsid w:val="004503B5"/>
    <w:rsid w:val="0045042C"/>
    <w:rsid w:val="00450492"/>
    <w:rsid w:val="00450541"/>
    <w:rsid w:val="00450588"/>
    <w:rsid w:val="004505BE"/>
    <w:rsid w:val="0045060A"/>
    <w:rsid w:val="00450649"/>
    <w:rsid w:val="0045065C"/>
    <w:rsid w:val="0045067F"/>
    <w:rsid w:val="004506F7"/>
    <w:rsid w:val="0045088A"/>
    <w:rsid w:val="004508E2"/>
    <w:rsid w:val="0045092B"/>
    <w:rsid w:val="0045093B"/>
    <w:rsid w:val="0045098F"/>
    <w:rsid w:val="00450A22"/>
    <w:rsid w:val="00450AAD"/>
    <w:rsid w:val="00450ACE"/>
    <w:rsid w:val="00450B73"/>
    <w:rsid w:val="00450B75"/>
    <w:rsid w:val="00450C0F"/>
    <w:rsid w:val="00450C6D"/>
    <w:rsid w:val="00450CF8"/>
    <w:rsid w:val="00450D57"/>
    <w:rsid w:val="00450DA8"/>
    <w:rsid w:val="00450E01"/>
    <w:rsid w:val="00450E22"/>
    <w:rsid w:val="00450E48"/>
    <w:rsid w:val="00450E62"/>
    <w:rsid w:val="00450F8D"/>
    <w:rsid w:val="00450FAD"/>
    <w:rsid w:val="00450FCA"/>
    <w:rsid w:val="00451022"/>
    <w:rsid w:val="004510A6"/>
    <w:rsid w:val="004511DF"/>
    <w:rsid w:val="0045121B"/>
    <w:rsid w:val="00451484"/>
    <w:rsid w:val="00451520"/>
    <w:rsid w:val="004515C3"/>
    <w:rsid w:val="00451740"/>
    <w:rsid w:val="00451888"/>
    <w:rsid w:val="0045190B"/>
    <w:rsid w:val="00451911"/>
    <w:rsid w:val="00451996"/>
    <w:rsid w:val="00451A5C"/>
    <w:rsid w:val="00451B81"/>
    <w:rsid w:val="00451C74"/>
    <w:rsid w:val="00451C9C"/>
    <w:rsid w:val="00451E31"/>
    <w:rsid w:val="00451F62"/>
    <w:rsid w:val="0045203E"/>
    <w:rsid w:val="00452083"/>
    <w:rsid w:val="00452085"/>
    <w:rsid w:val="004520FD"/>
    <w:rsid w:val="0045210A"/>
    <w:rsid w:val="0045223C"/>
    <w:rsid w:val="00452264"/>
    <w:rsid w:val="004522BC"/>
    <w:rsid w:val="004522E0"/>
    <w:rsid w:val="00452328"/>
    <w:rsid w:val="00452419"/>
    <w:rsid w:val="00452561"/>
    <w:rsid w:val="004525D1"/>
    <w:rsid w:val="004525D5"/>
    <w:rsid w:val="0045268A"/>
    <w:rsid w:val="00452691"/>
    <w:rsid w:val="0045269A"/>
    <w:rsid w:val="0045269F"/>
    <w:rsid w:val="004526BA"/>
    <w:rsid w:val="004527BF"/>
    <w:rsid w:val="004527EC"/>
    <w:rsid w:val="00452865"/>
    <w:rsid w:val="004528ED"/>
    <w:rsid w:val="0045290E"/>
    <w:rsid w:val="0045291D"/>
    <w:rsid w:val="00452A02"/>
    <w:rsid w:val="00452A10"/>
    <w:rsid w:val="00452A87"/>
    <w:rsid w:val="00452AC7"/>
    <w:rsid w:val="00452BCA"/>
    <w:rsid w:val="00452BE9"/>
    <w:rsid w:val="00452C02"/>
    <w:rsid w:val="00452C1B"/>
    <w:rsid w:val="00452CDA"/>
    <w:rsid w:val="00452D03"/>
    <w:rsid w:val="00452D06"/>
    <w:rsid w:val="00452D7C"/>
    <w:rsid w:val="00452E28"/>
    <w:rsid w:val="00452E6C"/>
    <w:rsid w:val="00452EAD"/>
    <w:rsid w:val="00452FE1"/>
    <w:rsid w:val="00452FED"/>
    <w:rsid w:val="00453033"/>
    <w:rsid w:val="004530A7"/>
    <w:rsid w:val="004530BD"/>
    <w:rsid w:val="004530CD"/>
    <w:rsid w:val="004532E4"/>
    <w:rsid w:val="004532EB"/>
    <w:rsid w:val="0045334B"/>
    <w:rsid w:val="00453351"/>
    <w:rsid w:val="004533BF"/>
    <w:rsid w:val="004533E1"/>
    <w:rsid w:val="0045340A"/>
    <w:rsid w:val="0045347C"/>
    <w:rsid w:val="004534BB"/>
    <w:rsid w:val="00453585"/>
    <w:rsid w:val="0045365B"/>
    <w:rsid w:val="0045369B"/>
    <w:rsid w:val="0045370C"/>
    <w:rsid w:val="00453779"/>
    <w:rsid w:val="004537E4"/>
    <w:rsid w:val="004538A1"/>
    <w:rsid w:val="004539D2"/>
    <w:rsid w:val="00453A26"/>
    <w:rsid w:val="00453A4A"/>
    <w:rsid w:val="00453A4F"/>
    <w:rsid w:val="00453AAF"/>
    <w:rsid w:val="00453ADB"/>
    <w:rsid w:val="00453BDF"/>
    <w:rsid w:val="00453C15"/>
    <w:rsid w:val="00453C38"/>
    <w:rsid w:val="00453D46"/>
    <w:rsid w:val="00453DD8"/>
    <w:rsid w:val="00453E40"/>
    <w:rsid w:val="00453E92"/>
    <w:rsid w:val="00453F57"/>
    <w:rsid w:val="00453FC5"/>
    <w:rsid w:val="00454000"/>
    <w:rsid w:val="0045406B"/>
    <w:rsid w:val="004540DD"/>
    <w:rsid w:val="00454137"/>
    <w:rsid w:val="0045418A"/>
    <w:rsid w:val="004541FD"/>
    <w:rsid w:val="004542D6"/>
    <w:rsid w:val="004542DE"/>
    <w:rsid w:val="00454339"/>
    <w:rsid w:val="004543C1"/>
    <w:rsid w:val="0045443F"/>
    <w:rsid w:val="004544B0"/>
    <w:rsid w:val="00454504"/>
    <w:rsid w:val="0045450F"/>
    <w:rsid w:val="00454692"/>
    <w:rsid w:val="004546BC"/>
    <w:rsid w:val="0045473E"/>
    <w:rsid w:val="0045490F"/>
    <w:rsid w:val="0045495E"/>
    <w:rsid w:val="0045499C"/>
    <w:rsid w:val="004549B0"/>
    <w:rsid w:val="004549C3"/>
    <w:rsid w:val="00454A3B"/>
    <w:rsid w:val="00454A48"/>
    <w:rsid w:val="00454A7F"/>
    <w:rsid w:val="00454A99"/>
    <w:rsid w:val="00454ABE"/>
    <w:rsid w:val="00454B63"/>
    <w:rsid w:val="00454B7A"/>
    <w:rsid w:val="00454B8B"/>
    <w:rsid w:val="00454C32"/>
    <w:rsid w:val="00454CF6"/>
    <w:rsid w:val="00454D97"/>
    <w:rsid w:val="00454E25"/>
    <w:rsid w:val="00454E5F"/>
    <w:rsid w:val="00454F11"/>
    <w:rsid w:val="00454F12"/>
    <w:rsid w:val="00454F29"/>
    <w:rsid w:val="00455026"/>
    <w:rsid w:val="0045505A"/>
    <w:rsid w:val="0045506C"/>
    <w:rsid w:val="00455178"/>
    <w:rsid w:val="004551D9"/>
    <w:rsid w:val="00455212"/>
    <w:rsid w:val="0045524C"/>
    <w:rsid w:val="00455315"/>
    <w:rsid w:val="00455398"/>
    <w:rsid w:val="00455474"/>
    <w:rsid w:val="004554C1"/>
    <w:rsid w:val="004554D3"/>
    <w:rsid w:val="0045559A"/>
    <w:rsid w:val="00455639"/>
    <w:rsid w:val="0045563F"/>
    <w:rsid w:val="0045595C"/>
    <w:rsid w:val="004559FE"/>
    <w:rsid w:val="00455E55"/>
    <w:rsid w:val="00455EB3"/>
    <w:rsid w:val="00455F14"/>
    <w:rsid w:val="00456030"/>
    <w:rsid w:val="00456066"/>
    <w:rsid w:val="00456078"/>
    <w:rsid w:val="004560A4"/>
    <w:rsid w:val="00456211"/>
    <w:rsid w:val="0045627D"/>
    <w:rsid w:val="00456281"/>
    <w:rsid w:val="00456591"/>
    <w:rsid w:val="004565D4"/>
    <w:rsid w:val="004566D2"/>
    <w:rsid w:val="00456714"/>
    <w:rsid w:val="00456748"/>
    <w:rsid w:val="004567A2"/>
    <w:rsid w:val="004567BB"/>
    <w:rsid w:val="004567C3"/>
    <w:rsid w:val="004567D6"/>
    <w:rsid w:val="00456841"/>
    <w:rsid w:val="00456877"/>
    <w:rsid w:val="00456980"/>
    <w:rsid w:val="0045699B"/>
    <w:rsid w:val="00456AD0"/>
    <w:rsid w:val="00456AF8"/>
    <w:rsid w:val="00456B1E"/>
    <w:rsid w:val="00456B2A"/>
    <w:rsid w:val="00456B8B"/>
    <w:rsid w:val="00456CBC"/>
    <w:rsid w:val="00456D8C"/>
    <w:rsid w:val="00456D9D"/>
    <w:rsid w:val="00456F60"/>
    <w:rsid w:val="00456F8D"/>
    <w:rsid w:val="00457067"/>
    <w:rsid w:val="00457259"/>
    <w:rsid w:val="00457368"/>
    <w:rsid w:val="00457387"/>
    <w:rsid w:val="004574C4"/>
    <w:rsid w:val="004574C9"/>
    <w:rsid w:val="0045756F"/>
    <w:rsid w:val="004575E8"/>
    <w:rsid w:val="004575ED"/>
    <w:rsid w:val="004577FF"/>
    <w:rsid w:val="00457826"/>
    <w:rsid w:val="00457892"/>
    <w:rsid w:val="00457944"/>
    <w:rsid w:val="004579E9"/>
    <w:rsid w:val="00457A59"/>
    <w:rsid w:val="00457AA2"/>
    <w:rsid w:val="00457B47"/>
    <w:rsid w:val="00457B8D"/>
    <w:rsid w:val="00457C6F"/>
    <w:rsid w:val="00457CAD"/>
    <w:rsid w:val="00457CC7"/>
    <w:rsid w:val="00457D57"/>
    <w:rsid w:val="00457D7B"/>
    <w:rsid w:val="00457DB2"/>
    <w:rsid w:val="00457E4B"/>
    <w:rsid w:val="00457F43"/>
    <w:rsid w:val="00457FF6"/>
    <w:rsid w:val="00460079"/>
    <w:rsid w:val="004602A1"/>
    <w:rsid w:val="004602FC"/>
    <w:rsid w:val="0046035B"/>
    <w:rsid w:val="004604E6"/>
    <w:rsid w:val="004604EB"/>
    <w:rsid w:val="00460567"/>
    <w:rsid w:val="00460728"/>
    <w:rsid w:val="004608A8"/>
    <w:rsid w:val="0046095C"/>
    <w:rsid w:val="00460AFD"/>
    <w:rsid w:val="00460B91"/>
    <w:rsid w:val="00460BF3"/>
    <w:rsid w:val="00460CFE"/>
    <w:rsid w:val="00460E51"/>
    <w:rsid w:val="00460E7E"/>
    <w:rsid w:val="00460F2A"/>
    <w:rsid w:val="00460F74"/>
    <w:rsid w:val="00461083"/>
    <w:rsid w:val="004610AE"/>
    <w:rsid w:val="0046113C"/>
    <w:rsid w:val="00461397"/>
    <w:rsid w:val="004613E0"/>
    <w:rsid w:val="004614C0"/>
    <w:rsid w:val="004614D8"/>
    <w:rsid w:val="00461578"/>
    <w:rsid w:val="00461653"/>
    <w:rsid w:val="00461673"/>
    <w:rsid w:val="004616EF"/>
    <w:rsid w:val="004616FE"/>
    <w:rsid w:val="00461729"/>
    <w:rsid w:val="0046173F"/>
    <w:rsid w:val="00461740"/>
    <w:rsid w:val="004617CA"/>
    <w:rsid w:val="00461812"/>
    <w:rsid w:val="00461889"/>
    <w:rsid w:val="0046191B"/>
    <w:rsid w:val="00461954"/>
    <w:rsid w:val="00461A90"/>
    <w:rsid w:val="00461B4B"/>
    <w:rsid w:val="00461B60"/>
    <w:rsid w:val="00461B6E"/>
    <w:rsid w:val="00461B7A"/>
    <w:rsid w:val="00461C7E"/>
    <w:rsid w:val="00461CF1"/>
    <w:rsid w:val="00461DDA"/>
    <w:rsid w:val="00461E07"/>
    <w:rsid w:val="00461E24"/>
    <w:rsid w:val="00461E96"/>
    <w:rsid w:val="00461FA0"/>
    <w:rsid w:val="00461FE2"/>
    <w:rsid w:val="00462013"/>
    <w:rsid w:val="00462025"/>
    <w:rsid w:val="004620EA"/>
    <w:rsid w:val="004620EE"/>
    <w:rsid w:val="0046211C"/>
    <w:rsid w:val="0046215B"/>
    <w:rsid w:val="00462179"/>
    <w:rsid w:val="00462298"/>
    <w:rsid w:val="004622AA"/>
    <w:rsid w:val="004622AD"/>
    <w:rsid w:val="00462474"/>
    <w:rsid w:val="0046248B"/>
    <w:rsid w:val="0046254F"/>
    <w:rsid w:val="00462578"/>
    <w:rsid w:val="004625A1"/>
    <w:rsid w:val="004625C3"/>
    <w:rsid w:val="00462677"/>
    <w:rsid w:val="004626DD"/>
    <w:rsid w:val="0046278E"/>
    <w:rsid w:val="004627F0"/>
    <w:rsid w:val="004627FC"/>
    <w:rsid w:val="0046280C"/>
    <w:rsid w:val="00462831"/>
    <w:rsid w:val="00462A75"/>
    <w:rsid w:val="00462A83"/>
    <w:rsid w:val="00462ADE"/>
    <w:rsid w:val="00462AF1"/>
    <w:rsid w:val="00462BB1"/>
    <w:rsid w:val="00462D06"/>
    <w:rsid w:val="00462D36"/>
    <w:rsid w:val="00462D41"/>
    <w:rsid w:val="00462EED"/>
    <w:rsid w:val="00462F0C"/>
    <w:rsid w:val="00462F6B"/>
    <w:rsid w:val="00462FBF"/>
    <w:rsid w:val="004630BD"/>
    <w:rsid w:val="00463153"/>
    <w:rsid w:val="00463159"/>
    <w:rsid w:val="00463246"/>
    <w:rsid w:val="0046336D"/>
    <w:rsid w:val="004633D2"/>
    <w:rsid w:val="00463565"/>
    <w:rsid w:val="004635BA"/>
    <w:rsid w:val="00463695"/>
    <w:rsid w:val="00463754"/>
    <w:rsid w:val="004637A9"/>
    <w:rsid w:val="004637B7"/>
    <w:rsid w:val="004637EF"/>
    <w:rsid w:val="0046383C"/>
    <w:rsid w:val="0046385A"/>
    <w:rsid w:val="0046386F"/>
    <w:rsid w:val="004638A9"/>
    <w:rsid w:val="004638E1"/>
    <w:rsid w:val="00463943"/>
    <w:rsid w:val="004639D1"/>
    <w:rsid w:val="00463A46"/>
    <w:rsid w:val="00463A66"/>
    <w:rsid w:val="00463ABE"/>
    <w:rsid w:val="00463B0C"/>
    <w:rsid w:val="00463C0B"/>
    <w:rsid w:val="00463CAA"/>
    <w:rsid w:val="00463D22"/>
    <w:rsid w:val="00463E89"/>
    <w:rsid w:val="00463EAA"/>
    <w:rsid w:val="00463EF6"/>
    <w:rsid w:val="00463F61"/>
    <w:rsid w:val="00463F68"/>
    <w:rsid w:val="00463F9F"/>
    <w:rsid w:val="00463FB4"/>
    <w:rsid w:val="004640B1"/>
    <w:rsid w:val="004640D6"/>
    <w:rsid w:val="00464262"/>
    <w:rsid w:val="00464488"/>
    <w:rsid w:val="0046470C"/>
    <w:rsid w:val="00464805"/>
    <w:rsid w:val="0046482F"/>
    <w:rsid w:val="0046489F"/>
    <w:rsid w:val="004648CE"/>
    <w:rsid w:val="00464905"/>
    <w:rsid w:val="00464A17"/>
    <w:rsid w:val="00464A21"/>
    <w:rsid w:val="00464A8C"/>
    <w:rsid w:val="00464A9C"/>
    <w:rsid w:val="00464B19"/>
    <w:rsid w:val="00464C68"/>
    <w:rsid w:val="00464C6A"/>
    <w:rsid w:val="00464C93"/>
    <w:rsid w:val="00464D07"/>
    <w:rsid w:val="00464D6E"/>
    <w:rsid w:val="00464DCE"/>
    <w:rsid w:val="00464DF2"/>
    <w:rsid w:val="00464DFF"/>
    <w:rsid w:val="00464E76"/>
    <w:rsid w:val="00464ECE"/>
    <w:rsid w:val="00464F53"/>
    <w:rsid w:val="00465159"/>
    <w:rsid w:val="004651AE"/>
    <w:rsid w:val="00465264"/>
    <w:rsid w:val="0046527B"/>
    <w:rsid w:val="004653A8"/>
    <w:rsid w:val="00465426"/>
    <w:rsid w:val="00465445"/>
    <w:rsid w:val="0046557C"/>
    <w:rsid w:val="004655DB"/>
    <w:rsid w:val="0046563C"/>
    <w:rsid w:val="004656DA"/>
    <w:rsid w:val="004656F8"/>
    <w:rsid w:val="0046570D"/>
    <w:rsid w:val="004658CD"/>
    <w:rsid w:val="00465952"/>
    <w:rsid w:val="004659FA"/>
    <w:rsid w:val="00465AC6"/>
    <w:rsid w:val="00465B85"/>
    <w:rsid w:val="00465B95"/>
    <w:rsid w:val="00465BBB"/>
    <w:rsid w:val="00465CE6"/>
    <w:rsid w:val="00465D72"/>
    <w:rsid w:val="00465D98"/>
    <w:rsid w:val="00465ECC"/>
    <w:rsid w:val="00465EF2"/>
    <w:rsid w:val="00465F0B"/>
    <w:rsid w:val="00465FDB"/>
    <w:rsid w:val="00466194"/>
    <w:rsid w:val="004661F3"/>
    <w:rsid w:val="00466353"/>
    <w:rsid w:val="00466357"/>
    <w:rsid w:val="00466444"/>
    <w:rsid w:val="004664C1"/>
    <w:rsid w:val="00466553"/>
    <w:rsid w:val="004665A2"/>
    <w:rsid w:val="00466652"/>
    <w:rsid w:val="0046672B"/>
    <w:rsid w:val="004667D6"/>
    <w:rsid w:val="00466845"/>
    <w:rsid w:val="0046685D"/>
    <w:rsid w:val="004668A6"/>
    <w:rsid w:val="00466908"/>
    <w:rsid w:val="00466940"/>
    <w:rsid w:val="00466983"/>
    <w:rsid w:val="0046698B"/>
    <w:rsid w:val="004669E8"/>
    <w:rsid w:val="00466A75"/>
    <w:rsid w:val="00466B0B"/>
    <w:rsid w:val="00466B42"/>
    <w:rsid w:val="00466BD0"/>
    <w:rsid w:val="00466BEB"/>
    <w:rsid w:val="00466D0F"/>
    <w:rsid w:val="00466D39"/>
    <w:rsid w:val="00466E1F"/>
    <w:rsid w:val="00466E58"/>
    <w:rsid w:val="00466E95"/>
    <w:rsid w:val="00466EDD"/>
    <w:rsid w:val="00466EEF"/>
    <w:rsid w:val="00466F93"/>
    <w:rsid w:val="0046700F"/>
    <w:rsid w:val="0046711E"/>
    <w:rsid w:val="004671A5"/>
    <w:rsid w:val="00467205"/>
    <w:rsid w:val="004673A9"/>
    <w:rsid w:val="00467463"/>
    <w:rsid w:val="004674D3"/>
    <w:rsid w:val="004674EE"/>
    <w:rsid w:val="004675CC"/>
    <w:rsid w:val="00467611"/>
    <w:rsid w:val="00467617"/>
    <w:rsid w:val="0046774E"/>
    <w:rsid w:val="00467811"/>
    <w:rsid w:val="0046785F"/>
    <w:rsid w:val="004678F8"/>
    <w:rsid w:val="004678FE"/>
    <w:rsid w:val="00467A07"/>
    <w:rsid w:val="00467B74"/>
    <w:rsid w:val="00467C19"/>
    <w:rsid w:val="00467C2B"/>
    <w:rsid w:val="00467C9D"/>
    <w:rsid w:val="00467CAC"/>
    <w:rsid w:val="00467D01"/>
    <w:rsid w:val="00467F6A"/>
    <w:rsid w:val="00467FB9"/>
    <w:rsid w:val="004700A5"/>
    <w:rsid w:val="004700DF"/>
    <w:rsid w:val="004701CB"/>
    <w:rsid w:val="004701F7"/>
    <w:rsid w:val="00470272"/>
    <w:rsid w:val="004702D7"/>
    <w:rsid w:val="00470399"/>
    <w:rsid w:val="0047042B"/>
    <w:rsid w:val="00470579"/>
    <w:rsid w:val="0047069A"/>
    <w:rsid w:val="00470770"/>
    <w:rsid w:val="00470868"/>
    <w:rsid w:val="0047087C"/>
    <w:rsid w:val="00470913"/>
    <w:rsid w:val="004709AB"/>
    <w:rsid w:val="00470A1F"/>
    <w:rsid w:val="00470A59"/>
    <w:rsid w:val="00470A5D"/>
    <w:rsid w:val="00470A62"/>
    <w:rsid w:val="00470BC7"/>
    <w:rsid w:val="00470C50"/>
    <w:rsid w:val="00470CC2"/>
    <w:rsid w:val="00470D3C"/>
    <w:rsid w:val="00470D49"/>
    <w:rsid w:val="00470D54"/>
    <w:rsid w:val="00470D9A"/>
    <w:rsid w:val="00470E02"/>
    <w:rsid w:val="00470E07"/>
    <w:rsid w:val="00470EA3"/>
    <w:rsid w:val="0047101B"/>
    <w:rsid w:val="0047106B"/>
    <w:rsid w:val="00471081"/>
    <w:rsid w:val="004712AA"/>
    <w:rsid w:val="00471436"/>
    <w:rsid w:val="0047150F"/>
    <w:rsid w:val="00471604"/>
    <w:rsid w:val="00471645"/>
    <w:rsid w:val="004717FA"/>
    <w:rsid w:val="0047188C"/>
    <w:rsid w:val="0047188D"/>
    <w:rsid w:val="004718A3"/>
    <w:rsid w:val="004718F4"/>
    <w:rsid w:val="00471920"/>
    <w:rsid w:val="00471A61"/>
    <w:rsid w:val="00471B41"/>
    <w:rsid w:val="00471B5E"/>
    <w:rsid w:val="00471BA9"/>
    <w:rsid w:val="00471BAE"/>
    <w:rsid w:val="00471BAF"/>
    <w:rsid w:val="00471BD4"/>
    <w:rsid w:val="00471C1B"/>
    <w:rsid w:val="00471CDC"/>
    <w:rsid w:val="00471D15"/>
    <w:rsid w:val="00471D40"/>
    <w:rsid w:val="00471D4E"/>
    <w:rsid w:val="00471D79"/>
    <w:rsid w:val="00471DEC"/>
    <w:rsid w:val="00471E08"/>
    <w:rsid w:val="00471F74"/>
    <w:rsid w:val="00471FA0"/>
    <w:rsid w:val="00471FC3"/>
    <w:rsid w:val="0047203A"/>
    <w:rsid w:val="00472068"/>
    <w:rsid w:val="00472088"/>
    <w:rsid w:val="00472097"/>
    <w:rsid w:val="004720C8"/>
    <w:rsid w:val="004720E2"/>
    <w:rsid w:val="00472138"/>
    <w:rsid w:val="00472179"/>
    <w:rsid w:val="0047217B"/>
    <w:rsid w:val="00472240"/>
    <w:rsid w:val="0047225C"/>
    <w:rsid w:val="004722E0"/>
    <w:rsid w:val="004722F0"/>
    <w:rsid w:val="004723FB"/>
    <w:rsid w:val="0047241B"/>
    <w:rsid w:val="004724EC"/>
    <w:rsid w:val="004726DE"/>
    <w:rsid w:val="0047278C"/>
    <w:rsid w:val="00472898"/>
    <w:rsid w:val="00472930"/>
    <w:rsid w:val="00472B7E"/>
    <w:rsid w:val="00472B83"/>
    <w:rsid w:val="00472BA9"/>
    <w:rsid w:val="00472CE6"/>
    <w:rsid w:val="00472CFB"/>
    <w:rsid w:val="00472D78"/>
    <w:rsid w:val="00472DBC"/>
    <w:rsid w:val="00472FCD"/>
    <w:rsid w:val="00473033"/>
    <w:rsid w:val="004730D7"/>
    <w:rsid w:val="004730EE"/>
    <w:rsid w:val="004731EF"/>
    <w:rsid w:val="004731F0"/>
    <w:rsid w:val="00473201"/>
    <w:rsid w:val="00473205"/>
    <w:rsid w:val="0047320A"/>
    <w:rsid w:val="004732A8"/>
    <w:rsid w:val="004732C7"/>
    <w:rsid w:val="00473333"/>
    <w:rsid w:val="00473350"/>
    <w:rsid w:val="004733A8"/>
    <w:rsid w:val="004733B7"/>
    <w:rsid w:val="004733F8"/>
    <w:rsid w:val="0047343F"/>
    <w:rsid w:val="004734C2"/>
    <w:rsid w:val="0047354F"/>
    <w:rsid w:val="00473596"/>
    <w:rsid w:val="004735E4"/>
    <w:rsid w:val="00473688"/>
    <w:rsid w:val="00473719"/>
    <w:rsid w:val="0047377D"/>
    <w:rsid w:val="00473864"/>
    <w:rsid w:val="004739EF"/>
    <w:rsid w:val="00473ADD"/>
    <w:rsid w:val="00473AFD"/>
    <w:rsid w:val="00473B1F"/>
    <w:rsid w:val="00473B9E"/>
    <w:rsid w:val="00473CAC"/>
    <w:rsid w:val="00473DB0"/>
    <w:rsid w:val="00473DDB"/>
    <w:rsid w:val="00473E5A"/>
    <w:rsid w:val="00473F63"/>
    <w:rsid w:val="00473F7C"/>
    <w:rsid w:val="00473FC6"/>
    <w:rsid w:val="00473FED"/>
    <w:rsid w:val="00473FF3"/>
    <w:rsid w:val="00474221"/>
    <w:rsid w:val="004742B1"/>
    <w:rsid w:val="00474330"/>
    <w:rsid w:val="0047437B"/>
    <w:rsid w:val="0047438D"/>
    <w:rsid w:val="004743AF"/>
    <w:rsid w:val="004743BC"/>
    <w:rsid w:val="0047440D"/>
    <w:rsid w:val="0047446C"/>
    <w:rsid w:val="004744C6"/>
    <w:rsid w:val="00474538"/>
    <w:rsid w:val="004745C7"/>
    <w:rsid w:val="004745F2"/>
    <w:rsid w:val="00474718"/>
    <w:rsid w:val="00474771"/>
    <w:rsid w:val="00474813"/>
    <w:rsid w:val="00474889"/>
    <w:rsid w:val="004748A2"/>
    <w:rsid w:val="0047490D"/>
    <w:rsid w:val="0047490F"/>
    <w:rsid w:val="00474AF9"/>
    <w:rsid w:val="00474B98"/>
    <w:rsid w:val="00474C00"/>
    <w:rsid w:val="00474C2A"/>
    <w:rsid w:val="00474C59"/>
    <w:rsid w:val="00474C5F"/>
    <w:rsid w:val="00474CAE"/>
    <w:rsid w:val="00474CC0"/>
    <w:rsid w:val="00474D9A"/>
    <w:rsid w:val="00474E30"/>
    <w:rsid w:val="00474E84"/>
    <w:rsid w:val="00474FA0"/>
    <w:rsid w:val="00475002"/>
    <w:rsid w:val="00475070"/>
    <w:rsid w:val="004750DD"/>
    <w:rsid w:val="0047511D"/>
    <w:rsid w:val="00475136"/>
    <w:rsid w:val="0047514E"/>
    <w:rsid w:val="0047517D"/>
    <w:rsid w:val="004752C9"/>
    <w:rsid w:val="00475370"/>
    <w:rsid w:val="004753AF"/>
    <w:rsid w:val="004753B9"/>
    <w:rsid w:val="004753CF"/>
    <w:rsid w:val="004754D7"/>
    <w:rsid w:val="00475602"/>
    <w:rsid w:val="0047569D"/>
    <w:rsid w:val="004757BD"/>
    <w:rsid w:val="004758AB"/>
    <w:rsid w:val="00475911"/>
    <w:rsid w:val="0047597D"/>
    <w:rsid w:val="004759BC"/>
    <w:rsid w:val="00475AEA"/>
    <w:rsid w:val="00475B0E"/>
    <w:rsid w:val="00475B32"/>
    <w:rsid w:val="00475D10"/>
    <w:rsid w:val="00475D20"/>
    <w:rsid w:val="00475D8A"/>
    <w:rsid w:val="00475DB6"/>
    <w:rsid w:val="00475DEC"/>
    <w:rsid w:val="00475E0C"/>
    <w:rsid w:val="00475E7A"/>
    <w:rsid w:val="00475EDE"/>
    <w:rsid w:val="00475F43"/>
    <w:rsid w:val="00476017"/>
    <w:rsid w:val="00476043"/>
    <w:rsid w:val="00476115"/>
    <w:rsid w:val="0047613F"/>
    <w:rsid w:val="004761A1"/>
    <w:rsid w:val="0047628A"/>
    <w:rsid w:val="004762FD"/>
    <w:rsid w:val="004762FF"/>
    <w:rsid w:val="0047631D"/>
    <w:rsid w:val="0047636D"/>
    <w:rsid w:val="0047639E"/>
    <w:rsid w:val="00476434"/>
    <w:rsid w:val="00476440"/>
    <w:rsid w:val="0047648A"/>
    <w:rsid w:val="004764A5"/>
    <w:rsid w:val="004764C7"/>
    <w:rsid w:val="00476524"/>
    <w:rsid w:val="00476530"/>
    <w:rsid w:val="00476548"/>
    <w:rsid w:val="00476690"/>
    <w:rsid w:val="004766EF"/>
    <w:rsid w:val="00476742"/>
    <w:rsid w:val="004768C1"/>
    <w:rsid w:val="00476933"/>
    <w:rsid w:val="00476998"/>
    <w:rsid w:val="004769EC"/>
    <w:rsid w:val="00476AA0"/>
    <w:rsid w:val="00476B30"/>
    <w:rsid w:val="00476B52"/>
    <w:rsid w:val="00476C4B"/>
    <w:rsid w:val="00476CEB"/>
    <w:rsid w:val="00476DA8"/>
    <w:rsid w:val="00476DF8"/>
    <w:rsid w:val="00476E58"/>
    <w:rsid w:val="00476E7F"/>
    <w:rsid w:val="00476E81"/>
    <w:rsid w:val="00476FEC"/>
    <w:rsid w:val="00477086"/>
    <w:rsid w:val="00477120"/>
    <w:rsid w:val="0047721A"/>
    <w:rsid w:val="00477346"/>
    <w:rsid w:val="004773AE"/>
    <w:rsid w:val="00477476"/>
    <w:rsid w:val="004774CA"/>
    <w:rsid w:val="00477573"/>
    <w:rsid w:val="00477608"/>
    <w:rsid w:val="00477693"/>
    <w:rsid w:val="004776AE"/>
    <w:rsid w:val="0047783E"/>
    <w:rsid w:val="0047787A"/>
    <w:rsid w:val="00477926"/>
    <w:rsid w:val="004779AD"/>
    <w:rsid w:val="00477A21"/>
    <w:rsid w:val="00477A9F"/>
    <w:rsid w:val="00477AA3"/>
    <w:rsid w:val="00477ACA"/>
    <w:rsid w:val="00477AFB"/>
    <w:rsid w:val="00477B7C"/>
    <w:rsid w:val="00477C37"/>
    <w:rsid w:val="00477CC8"/>
    <w:rsid w:val="00477CE0"/>
    <w:rsid w:val="00477D01"/>
    <w:rsid w:val="00477DAE"/>
    <w:rsid w:val="00477DB3"/>
    <w:rsid w:val="00477DDB"/>
    <w:rsid w:val="00477F3E"/>
    <w:rsid w:val="00477FBD"/>
    <w:rsid w:val="00480044"/>
    <w:rsid w:val="0048004E"/>
    <w:rsid w:val="004800D6"/>
    <w:rsid w:val="00480131"/>
    <w:rsid w:val="00480170"/>
    <w:rsid w:val="00480241"/>
    <w:rsid w:val="004802B6"/>
    <w:rsid w:val="004802C5"/>
    <w:rsid w:val="004803AB"/>
    <w:rsid w:val="004803B8"/>
    <w:rsid w:val="004805AE"/>
    <w:rsid w:val="00480690"/>
    <w:rsid w:val="004806EB"/>
    <w:rsid w:val="0048072F"/>
    <w:rsid w:val="0048076C"/>
    <w:rsid w:val="00480878"/>
    <w:rsid w:val="00480881"/>
    <w:rsid w:val="00480889"/>
    <w:rsid w:val="00480910"/>
    <w:rsid w:val="00480965"/>
    <w:rsid w:val="00480996"/>
    <w:rsid w:val="00480A03"/>
    <w:rsid w:val="00480A59"/>
    <w:rsid w:val="00480B27"/>
    <w:rsid w:val="00480B3C"/>
    <w:rsid w:val="00480B5A"/>
    <w:rsid w:val="00480C41"/>
    <w:rsid w:val="00480D2E"/>
    <w:rsid w:val="00480D69"/>
    <w:rsid w:val="00480DE2"/>
    <w:rsid w:val="00480E46"/>
    <w:rsid w:val="00480E8C"/>
    <w:rsid w:val="00480ECE"/>
    <w:rsid w:val="0048111D"/>
    <w:rsid w:val="00481157"/>
    <w:rsid w:val="004811C6"/>
    <w:rsid w:val="0048120D"/>
    <w:rsid w:val="00481485"/>
    <w:rsid w:val="00481526"/>
    <w:rsid w:val="004815D4"/>
    <w:rsid w:val="004817DA"/>
    <w:rsid w:val="004818E4"/>
    <w:rsid w:val="00481949"/>
    <w:rsid w:val="0048195B"/>
    <w:rsid w:val="00481975"/>
    <w:rsid w:val="0048198B"/>
    <w:rsid w:val="00481A3A"/>
    <w:rsid w:val="00481BB0"/>
    <w:rsid w:val="00481BB5"/>
    <w:rsid w:val="00481C3B"/>
    <w:rsid w:val="00481D08"/>
    <w:rsid w:val="00481D2E"/>
    <w:rsid w:val="00481D81"/>
    <w:rsid w:val="00481F64"/>
    <w:rsid w:val="00481FA2"/>
    <w:rsid w:val="0048202B"/>
    <w:rsid w:val="004820B8"/>
    <w:rsid w:val="004821A0"/>
    <w:rsid w:val="004821B1"/>
    <w:rsid w:val="00482215"/>
    <w:rsid w:val="00482283"/>
    <w:rsid w:val="004822B3"/>
    <w:rsid w:val="004822C4"/>
    <w:rsid w:val="004824D6"/>
    <w:rsid w:val="004824E0"/>
    <w:rsid w:val="00482578"/>
    <w:rsid w:val="0048257B"/>
    <w:rsid w:val="004825B2"/>
    <w:rsid w:val="004825CB"/>
    <w:rsid w:val="004825D5"/>
    <w:rsid w:val="004825F5"/>
    <w:rsid w:val="00482604"/>
    <w:rsid w:val="0048261F"/>
    <w:rsid w:val="0048277A"/>
    <w:rsid w:val="00482782"/>
    <w:rsid w:val="0048281A"/>
    <w:rsid w:val="0048291D"/>
    <w:rsid w:val="004829FC"/>
    <w:rsid w:val="00482B20"/>
    <w:rsid w:val="00482BBD"/>
    <w:rsid w:val="00482C50"/>
    <w:rsid w:val="00482D23"/>
    <w:rsid w:val="00482D51"/>
    <w:rsid w:val="00482D96"/>
    <w:rsid w:val="00482F36"/>
    <w:rsid w:val="00482FF2"/>
    <w:rsid w:val="00483063"/>
    <w:rsid w:val="004831CE"/>
    <w:rsid w:val="004831F5"/>
    <w:rsid w:val="004831F9"/>
    <w:rsid w:val="00483281"/>
    <w:rsid w:val="00483387"/>
    <w:rsid w:val="0048352A"/>
    <w:rsid w:val="004835A0"/>
    <w:rsid w:val="004835F1"/>
    <w:rsid w:val="00483681"/>
    <w:rsid w:val="004837BB"/>
    <w:rsid w:val="00483814"/>
    <w:rsid w:val="004838ED"/>
    <w:rsid w:val="00483942"/>
    <w:rsid w:val="0048397E"/>
    <w:rsid w:val="004839B1"/>
    <w:rsid w:val="00483A13"/>
    <w:rsid w:val="00483A1A"/>
    <w:rsid w:val="00483A9E"/>
    <w:rsid w:val="00483AE0"/>
    <w:rsid w:val="00483AE2"/>
    <w:rsid w:val="00483BF8"/>
    <w:rsid w:val="00483CB5"/>
    <w:rsid w:val="00483DE9"/>
    <w:rsid w:val="00483FFB"/>
    <w:rsid w:val="0048431E"/>
    <w:rsid w:val="0048433C"/>
    <w:rsid w:val="00484364"/>
    <w:rsid w:val="0048436E"/>
    <w:rsid w:val="00484379"/>
    <w:rsid w:val="004843EB"/>
    <w:rsid w:val="00484423"/>
    <w:rsid w:val="00484460"/>
    <w:rsid w:val="004844EC"/>
    <w:rsid w:val="00484504"/>
    <w:rsid w:val="0048463A"/>
    <w:rsid w:val="00484641"/>
    <w:rsid w:val="00484656"/>
    <w:rsid w:val="00484679"/>
    <w:rsid w:val="004846A4"/>
    <w:rsid w:val="00484751"/>
    <w:rsid w:val="00484821"/>
    <w:rsid w:val="00484878"/>
    <w:rsid w:val="0048488A"/>
    <w:rsid w:val="004849FD"/>
    <w:rsid w:val="00484A99"/>
    <w:rsid w:val="00484BB7"/>
    <w:rsid w:val="00484BCF"/>
    <w:rsid w:val="00484D9A"/>
    <w:rsid w:val="00484DC2"/>
    <w:rsid w:val="00484DCE"/>
    <w:rsid w:val="00484E5F"/>
    <w:rsid w:val="00484F39"/>
    <w:rsid w:val="00484F5E"/>
    <w:rsid w:val="00484FEB"/>
    <w:rsid w:val="00484FF1"/>
    <w:rsid w:val="00485011"/>
    <w:rsid w:val="00485101"/>
    <w:rsid w:val="00485133"/>
    <w:rsid w:val="00485433"/>
    <w:rsid w:val="0048547B"/>
    <w:rsid w:val="004854F7"/>
    <w:rsid w:val="00485822"/>
    <w:rsid w:val="00485844"/>
    <w:rsid w:val="004858E8"/>
    <w:rsid w:val="004859B8"/>
    <w:rsid w:val="00485A0A"/>
    <w:rsid w:val="00485A43"/>
    <w:rsid w:val="00485AF8"/>
    <w:rsid w:val="00485AFE"/>
    <w:rsid w:val="00485BAE"/>
    <w:rsid w:val="00485CF8"/>
    <w:rsid w:val="00485D0C"/>
    <w:rsid w:val="00485D20"/>
    <w:rsid w:val="00485D6A"/>
    <w:rsid w:val="00485DB0"/>
    <w:rsid w:val="00485E1B"/>
    <w:rsid w:val="00485E9B"/>
    <w:rsid w:val="00485EA4"/>
    <w:rsid w:val="00485F98"/>
    <w:rsid w:val="00485FCC"/>
    <w:rsid w:val="004860B0"/>
    <w:rsid w:val="004860D9"/>
    <w:rsid w:val="004861B0"/>
    <w:rsid w:val="0048625F"/>
    <w:rsid w:val="0048627C"/>
    <w:rsid w:val="0048627F"/>
    <w:rsid w:val="004862E4"/>
    <w:rsid w:val="00486376"/>
    <w:rsid w:val="0048639C"/>
    <w:rsid w:val="004863B3"/>
    <w:rsid w:val="00486411"/>
    <w:rsid w:val="00486503"/>
    <w:rsid w:val="00486551"/>
    <w:rsid w:val="00486565"/>
    <w:rsid w:val="00486566"/>
    <w:rsid w:val="004865EB"/>
    <w:rsid w:val="004865F2"/>
    <w:rsid w:val="00486666"/>
    <w:rsid w:val="00486745"/>
    <w:rsid w:val="004868F8"/>
    <w:rsid w:val="0048696B"/>
    <w:rsid w:val="004869B8"/>
    <w:rsid w:val="00486BBF"/>
    <w:rsid w:val="00486CD4"/>
    <w:rsid w:val="00486D04"/>
    <w:rsid w:val="00486D66"/>
    <w:rsid w:val="00486EC3"/>
    <w:rsid w:val="00486FE0"/>
    <w:rsid w:val="0048700C"/>
    <w:rsid w:val="0048717E"/>
    <w:rsid w:val="004872EB"/>
    <w:rsid w:val="0048734F"/>
    <w:rsid w:val="004874E3"/>
    <w:rsid w:val="004874FF"/>
    <w:rsid w:val="00487533"/>
    <w:rsid w:val="00487568"/>
    <w:rsid w:val="00487637"/>
    <w:rsid w:val="0048778D"/>
    <w:rsid w:val="0048793F"/>
    <w:rsid w:val="0048799E"/>
    <w:rsid w:val="004879BA"/>
    <w:rsid w:val="00487A79"/>
    <w:rsid w:val="00487A8C"/>
    <w:rsid w:val="00487ACA"/>
    <w:rsid w:val="00487AFB"/>
    <w:rsid w:val="00487B09"/>
    <w:rsid w:val="00487CF2"/>
    <w:rsid w:val="00487DA0"/>
    <w:rsid w:val="00487DCC"/>
    <w:rsid w:val="00487DD6"/>
    <w:rsid w:val="0049000C"/>
    <w:rsid w:val="00490053"/>
    <w:rsid w:val="00490097"/>
    <w:rsid w:val="00490170"/>
    <w:rsid w:val="004901FB"/>
    <w:rsid w:val="00490288"/>
    <w:rsid w:val="004903AE"/>
    <w:rsid w:val="004904EB"/>
    <w:rsid w:val="004904FE"/>
    <w:rsid w:val="0049064A"/>
    <w:rsid w:val="004906A2"/>
    <w:rsid w:val="004906B8"/>
    <w:rsid w:val="0049077C"/>
    <w:rsid w:val="004907EC"/>
    <w:rsid w:val="00490A85"/>
    <w:rsid w:val="00490BBA"/>
    <w:rsid w:val="00490BED"/>
    <w:rsid w:val="00490D3C"/>
    <w:rsid w:val="00490D5B"/>
    <w:rsid w:val="00490DD9"/>
    <w:rsid w:val="00490EFB"/>
    <w:rsid w:val="00490F5F"/>
    <w:rsid w:val="00490FB1"/>
    <w:rsid w:val="00490FCF"/>
    <w:rsid w:val="00491047"/>
    <w:rsid w:val="0049107C"/>
    <w:rsid w:val="004910AC"/>
    <w:rsid w:val="004910F5"/>
    <w:rsid w:val="00491103"/>
    <w:rsid w:val="00491181"/>
    <w:rsid w:val="00491199"/>
    <w:rsid w:val="004911D9"/>
    <w:rsid w:val="00491356"/>
    <w:rsid w:val="00491362"/>
    <w:rsid w:val="004913F7"/>
    <w:rsid w:val="00491404"/>
    <w:rsid w:val="0049147B"/>
    <w:rsid w:val="00491525"/>
    <w:rsid w:val="004915F8"/>
    <w:rsid w:val="00491602"/>
    <w:rsid w:val="00491651"/>
    <w:rsid w:val="00491681"/>
    <w:rsid w:val="00491804"/>
    <w:rsid w:val="00491946"/>
    <w:rsid w:val="00491992"/>
    <w:rsid w:val="00491ABD"/>
    <w:rsid w:val="00491BA1"/>
    <w:rsid w:val="00491C55"/>
    <w:rsid w:val="00491C7E"/>
    <w:rsid w:val="00491CAA"/>
    <w:rsid w:val="00491CD6"/>
    <w:rsid w:val="00491CE7"/>
    <w:rsid w:val="00491D63"/>
    <w:rsid w:val="00491DCD"/>
    <w:rsid w:val="00491DDF"/>
    <w:rsid w:val="00491DEA"/>
    <w:rsid w:val="00491E68"/>
    <w:rsid w:val="00491E89"/>
    <w:rsid w:val="00491EB9"/>
    <w:rsid w:val="00491FD8"/>
    <w:rsid w:val="0049207B"/>
    <w:rsid w:val="00492161"/>
    <w:rsid w:val="004921C5"/>
    <w:rsid w:val="004921E7"/>
    <w:rsid w:val="004922EF"/>
    <w:rsid w:val="004923B6"/>
    <w:rsid w:val="004923C9"/>
    <w:rsid w:val="004923CF"/>
    <w:rsid w:val="00492419"/>
    <w:rsid w:val="00492539"/>
    <w:rsid w:val="00492556"/>
    <w:rsid w:val="00492564"/>
    <w:rsid w:val="004925D0"/>
    <w:rsid w:val="00492641"/>
    <w:rsid w:val="0049275B"/>
    <w:rsid w:val="0049276C"/>
    <w:rsid w:val="0049287B"/>
    <w:rsid w:val="0049288B"/>
    <w:rsid w:val="00492909"/>
    <w:rsid w:val="004929EF"/>
    <w:rsid w:val="00492A0D"/>
    <w:rsid w:val="00492AE2"/>
    <w:rsid w:val="00492B0E"/>
    <w:rsid w:val="00492B95"/>
    <w:rsid w:val="00492C11"/>
    <w:rsid w:val="00492C21"/>
    <w:rsid w:val="00492D38"/>
    <w:rsid w:val="00492D5E"/>
    <w:rsid w:val="00492E2A"/>
    <w:rsid w:val="00492E31"/>
    <w:rsid w:val="00492EE5"/>
    <w:rsid w:val="00492EEC"/>
    <w:rsid w:val="00492F41"/>
    <w:rsid w:val="00492F4F"/>
    <w:rsid w:val="00492F53"/>
    <w:rsid w:val="00493040"/>
    <w:rsid w:val="004930A7"/>
    <w:rsid w:val="004930CB"/>
    <w:rsid w:val="004930E3"/>
    <w:rsid w:val="004930E5"/>
    <w:rsid w:val="0049317A"/>
    <w:rsid w:val="00493181"/>
    <w:rsid w:val="00493187"/>
    <w:rsid w:val="00493234"/>
    <w:rsid w:val="00493341"/>
    <w:rsid w:val="00493367"/>
    <w:rsid w:val="00493520"/>
    <w:rsid w:val="004935D1"/>
    <w:rsid w:val="004937C4"/>
    <w:rsid w:val="004937D8"/>
    <w:rsid w:val="00493831"/>
    <w:rsid w:val="00493950"/>
    <w:rsid w:val="004939A5"/>
    <w:rsid w:val="00493A18"/>
    <w:rsid w:val="00493AF5"/>
    <w:rsid w:val="00493B88"/>
    <w:rsid w:val="00493D28"/>
    <w:rsid w:val="00493DCA"/>
    <w:rsid w:val="00493E72"/>
    <w:rsid w:val="00493EB5"/>
    <w:rsid w:val="00493F3E"/>
    <w:rsid w:val="00494090"/>
    <w:rsid w:val="004940B0"/>
    <w:rsid w:val="00494191"/>
    <w:rsid w:val="004941E8"/>
    <w:rsid w:val="00494299"/>
    <w:rsid w:val="004942AA"/>
    <w:rsid w:val="004943FD"/>
    <w:rsid w:val="00494431"/>
    <w:rsid w:val="0049451E"/>
    <w:rsid w:val="00494548"/>
    <w:rsid w:val="00494577"/>
    <w:rsid w:val="0049468B"/>
    <w:rsid w:val="00494744"/>
    <w:rsid w:val="004948E4"/>
    <w:rsid w:val="0049496C"/>
    <w:rsid w:val="00494B73"/>
    <w:rsid w:val="00494C4F"/>
    <w:rsid w:val="00494C85"/>
    <w:rsid w:val="00494CE1"/>
    <w:rsid w:val="00494CF7"/>
    <w:rsid w:val="00494DC9"/>
    <w:rsid w:val="00494E43"/>
    <w:rsid w:val="00494F10"/>
    <w:rsid w:val="00494F31"/>
    <w:rsid w:val="00494F98"/>
    <w:rsid w:val="00494FF8"/>
    <w:rsid w:val="004951B2"/>
    <w:rsid w:val="004951FC"/>
    <w:rsid w:val="0049520E"/>
    <w:rsid w:val="00495262"/>
    <w:rsid w:val="004953B0"/>
    <w:rsid w:val="004953B3"/>
    <w:rsid w:val="00495447"/>
    <w:rsid w:val="00495456"/>
    <w:rsid w:val="0049545D"/>
    <w:rsid w:val="004955E3"/>
    <w:rsid w:val="00495604"/>
    <w:rsid w:val="0049586C"/>
    <w:rsid w:val="00495918"/>
    <w:rsid w:val="00495959"/>
    <w:rsid w:val="0049599E"/>
    <w:rsid w:val="00495A1F"/>
    <w:rsid w:val="00495A8B"/>
    <w:rsid w:val="00495BC8"/>
    <w:rsid w:val="00495C9F"/>
    <w:rsid w:val="00495CA8"/>
    <w:rsid w:val="00495CB5"/>
    <w:rsid w:val="00495CFE"/>
    <w:rsid w:val="00495D06"/>
    <w:rsid w:val="00495D63"/>
    <w:rsid w:val="00495E33"/>
    <w:rsid w:val="00495F30"/>
    <w:rsid w:val="00495FA9"/>
    <w:rsid w:val="0049603A"/>
    <w:rsid w:val="00496074"/>
    <w:rsid w:val="00496078"/>
    <w:rsid w:val="004960A0"/>
    <w:rsid w:val="004960CD"/>
    <w:rsid w:val="00496204"/>
    <w:rsid w:val="0049629D"/>
    <w:rsid w:val="00496624"/>
    <w:rsid w:val="0049663F"/>
    <w:rsid w:val="0049664C"/>
    <w:rsid w:val="00496650"/>
    <w:rsid w:val="00496685"/>
    <w:rsid w:val="004966E9"/>
    <w:rsid w:val="0049686E"/>
    <w:rsid w:val="00496886"/>
    <w:rsid w:val="00496922"/>
    <w:rsid w:val="004969B0"/>
    <w:rsid w:val="00496A68"/>
    <w:rsid w:val="00496D28"/>
    <w:rsid w:val="00496E28"/>
    <w:rsid w:val="00496EAF"/>
    <w:rsid w:val="00496F18"/>
    <w:rsid w:val="00496FA2"/>
    <w:rsid w:val="00496FA4"/>
    <w:rsid w:val="00496FD0"/>
    <w:rsid w:val="0049701A"/>
    <w:rsid w:val="0049707D"/>
    <w:rsid w:val="004970E3"/>
    <w:rsid w:val="004970E7"/>
    <w:rsid w:val="0049712A"/>
    <w:rsid w:val="00497221"/>
    <w:rsid w:val="0049725D"/>
    <w:rsid w:val="00497269"/>
    <w:rsid w:val="004972B4"/>
    <w:rsid w:val="004972E4"/>
    <w:rsid w:val="00497317"/>
    <w:rsid w:val="004974D6"/>
    <w:rsid w:val="00497515"/>
    <w:rsid w:val="0049766C"/>
    <w:rsid w:val="004976A0"/>
    <w:rsid w:val="0049784D"/>
    <w:rsid w:val="00497887"/>
    <w:rsid w:val="00497993"/>
    <w:rsid w:val="004979C0"/>
    <w:rsid w:val="00497A22"/>
    <w:rsid w:val="00497AAC"/>
    <w:rsid w:val="00497B32"/>
    <w:rsid w:val="00497B68"/>
    <w:rsid w:val="00497C3E"/>
    <w:rsid w:val="00497C53"/>
    <w:rsid w:val="00497CA4"/>
    <w:rsid w:val="00497CA7"/>
    <w:rsid w:val="00497DC7"/>
    <w:rsid w:val="00497DC9"/>
    <w:rsid w:val="00497EED"/>
    <w:rsid w:val="00497F79"/>
    <w:rsid w:val="004A000E"/>
    <w:rsid w:val="004A0035"/>
    <w:rsid w:val="004A006B"/>
    <w:rsid w:val="004A0166"/>
    <w:rsid w:val="004A0181"/>
    <w:rsid w:val="004A01B8"/>
    <w:rsid w:val="004A01C0"/>
    <w:rsid w:val="004A022E"/>
    <w:rsid w:val="004A02E0"/>
    <w:rsid w:val="004A0362"/>
    <w:rsid w:val="004A038E"/>
    <w:rsid w:val="004A0584"/>
    <w:rsid w:val="004A05FE"/>
    <w:rsid w:val="004A06C7"/>
    <w:rsid w:val="004A06EA"/>
    <w:rsid w:val="004A0720"/>
    <w:rsid w:val="004A07F3"/>
    <w:rsid w:val="004A07F4"/>
    <w:rsid w:val="004A0822"/>
    <w:rsid w:val="004A082E"/>
    <w:rsid w:val="004A0891"/>
    <w:rsid w:val="004A0B0D"/>
    <w:rsid w:val="004A0B3D"/>
    <w:rsid w:val="004A0CC6"/>
    <w:rsid w:val="004A0E2B"/>
    <w:rsid w:val="004A0E2F"/>
    <w:rsid w:val="004A0E41"/>
    <w:rsid w:val="004A0EBA"/>
    <w:rsid w:val="004A0EF2"/>
    <w:rsid w:val="004A1058"/>
    <w:rsid w:val="004A1315"/>
    <w:rsid w:val="004A1327"/>
    <w:rsid w:val="004A1539"/>
    <w:rsid w:val="004A1553"/>
    <w:rsid w:val="004A159D"/>
    <w:rsid w:val="004A163E"/>
    <w:rsid w:val="004A164D"/>
    <w:rsid w:val="004A1672"/>
    <w:rsid w:val="004A167F"/>
    <w:rsid w:val="004A18D9"/>
    <w:rsid w:val="004A19F5"/>
    <w:rsid w:val="004A1A9D"/>
    <w:rsid w:val="004A1B66"/>
    <w:rsid w:val="004A1B96"/>
    <w:rsid w:val="004A1BE2"/>
    <w:rsid w:val="004A1C69"/>
    <w:rsid w:val="004A1CB7"/>
    <w:rsid w:val="004A1D2B"/>
    <w:rsid w:val="004A1E06"/>
    <w:rsid w:val="004A1E7C"/>
    <w:rsid w:val="004A1F11"/>
    <w:rsid w:val="004A1F5E"/>
    <w:rsid w:val="004A1F86"/>
    <w:rsid w:val="004A1FB0"/>
    <w:rsid w:val="004A20E8"/>
    <w:rsid w:val="004A21F5"/>
    <w:rsid w:val="004A2205"/>
    <w:rsid w:val="004A22A5"/>
    <w:rsid w:val="004A2303"/>
    <w:rsid w:val="004A2388"/>
    <w:rsid w:val="004A23A0"/>
    <w:rsid w:val="004A23D0"/>
    <w:rsid w:val="004A2438"/>
    <w:rsid w:val="004A2472"/>
    <w:rsid w:val="004A2479"/>
    <w:rsid w:val="004A24D8"/>
    <w:rsid w:val="004A2532"/>
    <w:rsid w:val="004A25C5"/>
    <w:rsid w:val="004A25D0"/>
    <w:rsid w:val="004A25E0"/>
    <w:rsid w:val="004A2641"/>
    <w:rsid w:val="004A2736"/>
    <w:rsid w:val="004A2759"/>
    <w:rsid w:val="004A278D"/>
    <w:rsid w:val="004A279C"/>
    <w:rsid w:val="004A2884"/>
    <w:rsid w:val="004A28B8"/>
    <w:rsid w:val="004A291F"/>
    <w:rsid w:val="004A2921"/>
    <w:rsid w:val="004A2950"/>
    <w:rsid w:val="004A2A01"/>
    <w:rsid w:val="004A2A7A"/>
    <w:rsid w:val="004A2AC0"/>
    <w:rsid w:val="004A2B2A"/>
    <w:rsid w:val="004A2B4B"/>
    <w:rsid w:val="004A2B83"/>
    <w:rsid w:val="004A2BA4"/>
    <w:rsid w:val="004A2BB5"/>
    <w:rsid w:val="004A2BD3"/>
    <w:rsid w:val="004A2C62"/>
    <w:rsid w:val="004A2C8B"/>
    <w:rsid w:val="004A2CB5"/>
    <w:rsid w:val="004A2CE4"/>
    <w:rsid w:val="004A2CFC"/>
    <w:rsid w:val="004A2D39"/>
    <w:rsid w:val="004A2D6A"/>
    <w:rsid w:val="004A2D80"/>
    <w:rsid w:val="004A2E18"/>
    <w:rsid w:val="004A2E7D"/>
    <w:rsid w:val="004A2ECB"/>
    <w:rsid w:val="004A30C8"/>
    <w:rsid w:val="004A30E3"/>
    <w:rsid w:val="004A30F0"/>
    <w:rsid w:val="004A3112"/>
    <w:rsid w:val="004A3139"/>
    <w:rsid w:val="004A3177"/>
    <w:rsid w:val="004A31E0"/>
    <w:rsid w:val="004A31EC"/>
    <w:rsid w:val="004A321D"/>
    <w:rsid w:val="004A3228"/>
    <w:rsid w:val="004A323E"/>
    <w:rsid w:val="004A3248"/>
    <w:rsid w:val="004A33C6"/>
    <w:rsid w:val="004A33E6"/>
    <w:rsid w:val="004A346F"/>
    <w:rsid w:val="004A357F"/>
    <w:rsid w:val="004A35C2"/>
    <w:rsid w:val="004A3668"/>
    <w:rsid w:val="004A3697"/>
    <w:rsid w:val="004A371C"/>
    <w:rsid w:val="004A3774"/>
    <w:rsid w:val="004A37D1"/>
    <w:rsid w:val="004A3849"/>
    <w:rsid w:val="004A3926"/>
    <w:rsid w:val="004A39D8"/>
    <w:rsid w:val="004A3A8A"/>
    <w:rsid w:val="004A3A99"/>
    <w:rsid w:val="004A3B68"/>
    <w:rsid w:val="004A3B7D"/>
    <w:rsid w:val="004A3BD9"/>
    <w:rsid w:val="004A3C4A"/>
    <w:rsid w:val="004A3DD1"/>
    <w:rsid w:val="004A3E02"/>
    <w:rsid w:val="004A3F25"/>
    <w:rsid w:val="004A3FD6"/>
    <w:rsid w:val="004A4062"/>
    <w:rsid w:val="004A409A"/>
    <w:rsid w:val="004A40A5"/>
    <w:rsid w:val="004A41AE"/>
    <w:rsid w:val="004A421E"/>
    <w:rsid w:val="004A4326"/>
    <w:rsid w:val="004A43E4"/>
    <w:rsid w:val="004A45E5"/>
    <w:rsid w:val="004A4601"/>
    <w:rsid w:val="004A4614"/>
    <w:rsid w:val="004A46A7"/>
    <w:rsid w:val="004A46ED"/>
    <w:rsid w:val="004A47DD"/>
    <w:rsid w:val="004A488A"/>
    <w:rsid w:val="004A490D"/>
    <w:rsid w:val="004A4939"/>
    <w:rsid w:val="004A4959"/>
    <w:rsid w:val="004A4B0E"/>
    <w:rsid w:val="004A4B89"/>
    <w:rsid w:val="004A4B8F"/>
    <w:rsid w:val="004A4BBC"/>
    <w:rsid w:val="004A4BC5"/>
    <w:rsid w:val="004A4C01"/>
    <w:rsid w:val="004A4CE5"/>
    <w:rsid w:val="004A4F18"/>
    <w:rsid w:val="004A4F58"/>
    <w:rsid w:val="004A4F6E"/>
    <w:rsid w:val="004A503B"/>
    <w:rsid w:val="004A50AF"/>
    <w:rsid w:val="004A50FF"/>
    <w:rsid w:val="004A5107"/>
    <w:rsid w:val="004A5169"/>
    <w:rsid w:val="004A51AC"/>
    <w:rsid w:val="004A51B6"/>
    <w:rsid w:val="004A52A3"/>
    <w:rsid w:val="004A532F"/>
    <w:rsid w:val="004A55BE"/>
    <w:rsid w:val="004A5625"/>
    <w:rsid w:val="004A56DE"/>
    <w:rsid w:val="004A5836"/>
    <w:rsid w:val="004A58FE"/>
    <w:rsid w:val="004A594D"/>
    <w:rsid w:val="004A5951"/>
    <w:rsid w:val="004A5971"/>
    <w:rsid w:val="004A59B7"/>
    <w:rsid w:val="004A5A15"/>
    <w:rsid w:val="004A5A90"/>
    <w:rsid w:val="004A5B0A"/>
    <w:rsid w:val="004A5B5D"/>
    <w:rsid w:val="004A5BBD"/>
    <w:rsid w:val="004A5BDF"/>
    <w:rsid w:val="004A5CD1"/>
    <w:rsid w:val="004A5CE2"/>
    <w:rsid w:val="004A5E02"/>
    <w:rsid w:val="004A5E54"/>
    <w:rsid w:val="004A5E6C"/>
    <w:rsid w:val="004A5EE5"/>
    <w:rsid w:val="004A6175"/>
    <w:rsid w:val="004A6295"/>
    <w:rsid w:val="004A6314"/>
    <w:rsid w:val="004A6322"/>
    <w:rsid w:val="004A6335"/>
    <w:rsid w:val="004A6392"/>
    <w:rsid w:val="004A63B9"/>
    <w:rsid w:val="004A6437"/>
    <w:rsid w:val="004A64D7"/>
    <w:rsid w:val="004A6502"/>
    <w:rsid w:val="004A65CF"/>
    <w:rsid w:val="004A6610"/>
    <w:rsid w:val="004A669E"/>
    <w:rsid w:val="004A676F"/>
    <w:rsid w:val="004A6807"/>
    <w:rsid w:val="004A69C5"/>
    <w:rsid w:val="004A69D7"/>
    <w:rsid w:val="004A6A3E"/>
    <w:rsid w:val="004A6A5F"/>
    <w:rsid w:val="004A6B86"/>
    <w:rsid w:val="004A6BA1"/>
    <w:rsid w:val="004A6BF5"/>
    <w:rsid w:val="004A6CC5"/>
    <w:rsid w:val="004A6CEC"/>
    <w:rsid w:val="004A6D01"/>
    <w:rsid w:val="004A6D3A"/>
    <w:rsid w:val="004A6E25"/>
    <w:rsid w:val="004A6EE6"/>
    <w:rsid w:val="004A6F44"/>
    <w:rsid w:val="004A6F65"/>
    <w:rsid w:val="004A6FF1"/>
    <w:rsid w:val="004A7017"/>
    <w:rsid w:val="004A70CD"/>
    <w:rsid w:val="004A70D7"/>
    <w:rsid w:val="004A7207"/>
    <w:rsid w:val="004A736F"/>
    <w:rsid w:val="004A73A2"/>
    <w:rsid w:val="004A73F8"/>
    <w:rsid w:val="004A748F"/>
    <w:rsid w:val="004A74BE"/>
    <w:rsid w:val="004A767A"/>
    <w:rsid w:val="004A767E"/>
    <w:rsid w:val="004A7702"/>
    <w:rsid w:val="004A7723"/>
    <w:rsid w:val="004A77CF"/>
    <w:rsid w:val="004A7841"/>
    <w:rsid w:val="004A7852"/>
    <w:rsid w:val="004A78DD"/>
    <w:rsid w:val="004A794E"/>
    <w:rsid w:val="004A79B5"/>
    <w:rsid w:val="004A7A58"/>
    <w:rsid w:val="004A7B27"/>
    <w:rsid w:val="004A7C24"/>
    <w:rsid w:val="004A7C57"/>
    <w:rsid w:val="004A7C9C"/>
    <w:rsid w:val="004A7D33"/>
    <w:rsid w:val="004A7DCB"/>
    <w:rsid w:val="004A7E4A"/>
    <w:rsid w:val="004A7EEA"/>
    <w:rsid w:val="004A7EF5"/>
    <w:rsid w:val="004A7F83"/>
    <w:rsid w:val="004B009F"/>
    <w:rsid w:val="004B00D9"/>
    <w:rsid w:val="004B01FA"/>
    <w:rsid w:val="004B023F"/>
    <w:rsid w:val="004B0279"/>
    <w:rsid w:val="004B02CA"/>
    <w:rsid w:val="004B02DF"/>
    <w:rsid w:val="004B030C"/>
    <w:rsid w:val="004B039C"/>
    <w:rsid w:val="004B0445"/>
    <w:rsid w:val="004B0456"/>
    <w:rsid w:val="004B0457"/>
    <w:rsid w:val="004B0557"/>
    <w:rsid w:val="004B0569"/>
    <w:rsid w:val="004B0580"/>
    <w:rsid w:val="004B06D4"/>
    <w:rsid w:val="004B0741"/>
    <w:rsid w:val="004B077D"/>
    <w:rsid w:val="004B07C9"/>
    <w:rsid w:val="004B0830"/>
    <w:rsid w:val="004B0867"/>
    <w:rsid w:val="004B089E"/>
    <w:rsid w:val="004B08E4"/>
    <w:rsid w:val="004B0988"/>
    <w:rsid w:val="004B09D5"/>
    <w:rsid w:val="004B0A4E"/>
    <w:rsid w:val="004B0B7C"/>
    <w:rsid w:val="004B0B93"/>
    <w:rsid w:val="004B0C38"/>
    <w:rsid w:val="004B0C9F"/>
    <w:rsid w:val="004B0DCD"/>
    <w:rsid w:val="004B0DFF"/>
    <w:rsid w:val="004B0E5D"/>
    <w:rsid w:val="004B1047"/>
    <w:rsid w:val="004B1099"/>
    <w:rsid w:val="004B10EC"/>
    <w:rsid w:val="004B1216"/>
    <w:rsid w:val="004B12A3"/>
    <w:rsid w:val="004B12C6"/>
    <w:rsid w:val="004B14E9"/>
    <w:rsid w:val="004B16C8"/>
    <w:rsid w:val="004B16FB"/>
    <w:rsid w:val="004B16FF"/>
    <w:rsid w:val="004B1968"/>
    <w:rsid w:val="004B1AB3"/>
    <w:rsid w:val="004B1B27"/>
    <w:rsid w:val="004B1CD4"/>
    <w:rsid w:val="004B1D05"/>
    <w:rsid w:val="004B1DD4"/>
    <w:rsid w:val="004B1DEC"/>
    <w:rsid w:val="004B1E28"/>
    <w:rsid w:val="004B1EBB"/>
    <w:rsid w:val="004B1ECF"/>
    <w:rsid w:val="004B1FA9"/>
    <w:rsid w:val="004B212C"/>
    <w:rsid w:val="004B2195"/>
    <w:rsid w:val="004B2216"/>
    <w:rsid w:val="004B2291"/>
    <w:rsid w:val="004B230F"/>
    <w:rsid w:val="004B23E7"/>
    <w:rsid w:val="004B249F"/>
    <w:rsid w:val="004B24BD"/>
    <w:rsid w:val="004B24EB"/>
    <w:rsid w:val="004B2500"/>
    <w:rsid w:val="004B2566"/>
    <w:rsid w:val="004B277F"/>
    <w:rsid w:val="004B27D6"/>
    <w:rsid w:val="004B2957"/>
    <w:rsid w:val="004B2B35"/>
    <w:rsid w:val="004B2C8C"/>
    <w:rsid w:val="004B2CFF"/>
    <w:rsid w:val="004B2DC6"/>
    <w:rsid w:val="004B2DF2"/>
    <w:rsid w:val="004B2DFD"/>
    <w:rsid w:val="004B2E26"/>
    <w:rsid w:val="004B2E40"/>
    <w:rsid w:val="004B2F43"/>
    <w:rsid w:val="004B3040"/>
    <w:rsid w:val="004B3131"/>
    <w:rsid w:val="004B3188"/>
    <w:rsid w:val="004B31B8"/>
    <w:rsid w:val="004B326A"/>
    <w:rsid w:val="004B32BC"/>
    <w:rsid w:val="004B331B"/>
    <w:rsid w:val="004B3324"/>
    <w:rsid w:val="004B3447"/>
    <w:rsid w:val="004B3617"/>
    <w:rsid w:val="004B370A"/>
    <w:rsid w:val="004B3775"/>
    <w:rsid w:val="004B38F0"/>
    <w:rsid w:val="004B390E"/>
    <w:rsid w:val="004B3A62"/>
    <w:rsid w:val="004B3AE9"/>
    <w:rsid w:val="004B3B1A"/>
    <w:rsid w:val="004B3B6B"/>
    <w:rsid w:val="004B3B7F"/>
    <w:rsid w:val="004B3BD5"/>
    <w:rsid w:val="004B3C75"/>
    <w:rsid w:val="004B3D6D"/>
    <w:rsid w:val="004B3DBE"/>
    <w:rsid w:val="004B3E4B"/>
    <w:rsid w:val="004B3E54"/>
    <w:rsid w:val="004B3F5F"/>
    <w:rsid w:val="004B3FB4"/>
    <w:rsid w:val="004B3FF9"/>
    <w:rsid w:val="004B4015"/>
    <w:rsid w:val="004B4081"/>
    <w:rsid w:val="004B40C6"/>
    <w:rsid w:val="004B40F8"/>
    <w:rsid w:val="004B4142"/>
    <w:rsid w:val="004B4164"/>
    <w:rsid w:val="004B418C"/>
    <w:rsid w:val="004B41B6"/>
    <w:rsid w:val="004B428C"/>
    <w:rsid w:val="004B429A"/>
    <w:rsid w:val="004B4488"/>
    <w:rsid w:val="004B44D6"/>
    <w:rsid w:val="004B4743"/>
    <w:rsid w:val="004B4744"/>
    <w:rsid w:val="004B4797"/>
    <w:rsid w:val="004B48DE"/>
    <w:rsid w:val="004B493D"/>
    <w:rsid w:val="004B493F"/>
    <w:rsid w:val="004B49B5"/>
    <w:rsid w:val="004B4B33"/>
    <w:rsid w:val="004B4B8E"/>
    <w:rsid w:val="004B4DDE"/>
    <w:rsid w:val="004B4E7A"/>
    <w:rsid w:val="004B4FAF"/>
    <w:rsid w:val="004B524E"/>
    <w:rsid w:val="004B5297"/>
    <w:rsid w:val="004B5323"/>
    <w:rsid w:val="004B5521"/>
    <w:rsid w:val="004B5544"/>
    <w:rsid w:val="004B56FC"/>
    <w:rsid w:val="004B56FE"/>
    <w:rsid w:val="004B5712"/>
    <w:rsid w:val="004B5741"/>
    <w:rsid w:val="004B5775"/>
    <w:rsid w:val="004B5827"/>
    <w:rsid w:val="004B5859"/>
    <w:rsid w:val="004B590D"/>
    <w:rsid w:val="004B599A"/>
    <w:rsid w:val="004B599F"/>
    <w:rsid w:val="004B59C8"/>
    <w:rsid w:val="004B5AB5"/>
    <w:rsid w:val="004B5B20"/>
    <w:rsid w:val="004B5C19"/>
    <w:rsid w:val="004B5C38"/>
    <w:rsid w:val="004B5C5E"/>
    <w:rsid w:val="004B5CE5"/>
    <w:rsid w:val="004B5D74"/>
    <w:rsid w:val="004B5E1F"/>
    <w:rsid w:val="004B5F4A"/>
    <w:rsid w:val="004B5F68"/>
    <w:rsid w:val="004B612E"/>
    <w:rsid w:val="004B61AE"/>
    <w:rsid w:val="004B6300"/>
    <w:rsid w:val="004B6346"/>
    <w:rsid w:val="004B65B5"/>
    <w:rsid w:val="004B66E3"/>
    <w:rsid w:val="004B6722"/>
    <w:rsid w:val="004B6751"/>
    <w:rsid w:val="004B687E"/>
    <w:rsid w:val="004B68CD"/>
    <w:rsid w:val="004B6907"/>
    <w:rsid w:val="004B698C"/>
    <w:rsid w:val="004B6BA8"/>
    <w:rsid w:val="004B6D4E"/>
    <w:rsid w:val="004B6D8D"/>
    <w:rsid w:val="004B6DBB"/>
    <w:rsid w:val="004B6DDB"/>
    <w:rsid w:val="004B6E23"/>
    <w:rsid w:val="004B6E74"/>
    <w:rsid w:val="004B6F34"/>
    <w:rsid w:val="004B7008"/>
    <w:rsid w:val="004B702B"/>
    <w:rsid w:val="004B70A2"/>
    <w:rsid w:val="004B713F"/>
    <w:rsid w:val="004B7196"/>
    <w:rsid w:val="004B71E5"/>
    <w:rsid w:val="004B71EC"/>
    <w:rsid w:val="004B7224"/>
    <w:rsid w:val="004B7263"/>
    <w:rsid w:val="004B72FB"/>
    <w:rsid w:val="004B7318"/>
    <w:rsid w:val="004B7350"/>
    <w:rsid w:val="004B7394"/>
    <w:rsid w:val="004B7405"/>
    <w:rsid w:val="004B74A3"/>
    <w:rsid w:val="004B74BC"/>
    <w:rsid w:val="004B751B"/>
    <w:rsid w:val="004B7674"/>
    <w:rsid w:val="004B76D3"/>
    <w:rsid w:val="004B76FE"/>
    <w:rsid w:val="004B7723"/>
    <w:rsid w:val="004B7797"/>
    <w:rsid w:val="004B7879"/>
    <w:rsid w:val="004B7895"/>
    <w:rsid w:val="004B7984"/>
    <w:rsid w:val="004B7A13"/>
    <w:rsid w:val="004B7AEB"/>
    <w:rsid w:val="004B7B0F"/>
    <w:rsid w:val="004B7B14"/>
    <w:rsid w:val="004B7B88"/>
    <w:rsid w:val="004B7BAD"/>
    <w:rsid w:val="004B7BB5"/>
    <w:rsid w:val="004B7DB5"/>
    <w:rsid w:val="004B7E4E"/>
    <w:rsid w:val="004B7EA8"/>
    <w:rsid w:val="004B7F03"/>
    <w:rsid w:val="004B7F65"/>
    <w:rsid w:val="004C004D"/>
    <w:rsid w:val="004C0068"/>
    <w:rsid w:val="004C00E8"/>
    <w:rsid w:val="004C0195"/>
    <w:rsid w:val="004C01BE"/>
    <w:rsid w:val="004C0264"/>
    <w:rsid w:val="004C0273"/>
    <w:rsid w:val="004C02A6"/>
    <w:rsid w:val="004C03F6"/>
    <w:rsid w:val="004C040E"/>
    <w:rsid w:val="004C0463"/>
    <w:rsid w:val="004C046B"/>
    <w:rsid w:val="004C04B3"/>
    <w:rsid w:val="004C05F2"/>
    <w:rsid w:val="004C0760"/>
    <w:rsid w:val="004C07B1"/>
    <w:rsid w:val="004C0842"/>
    <w:rsid w:val="004C0865"/>
    <w:rsid w:val="004C088F"/>
    <w:rsid w:val="004C0925"/>
    <w:rsid w:val="004C0991"/>
    <w:rsid w:val="004C0B13"/>
    <w:rsid w:val="004C0BBF"/>
    <w:rsid w:val="004C0C6D"/>
    <w:rsid w:val="004C0D04"/>
    <w:rsid w:val="004C0DF6"/>
    <w:rsid w:val="004C0E34"/>
    <w:rsid w:val="004C0EB7"/>
    <w:rsid w:val="004C0F8B"/>
    <w:rsid w:val="004C0FBA"/>
    <w:rsid w:val="004C0FD1"/>
    <w:rsid w:val="004C1064"/>
    <w:rsid w:val="004C1113"/>
    <w:rsid w:val="004C112A"/>
    <w:rsid w:val="004C11D7"/>
    <w:rsid w:val="004C11DC"/>
    <w:rsid w:val="004C1237"/>
    <w:rsid w:val="004C1324"/>
    <w:rsid w:val="004C14E9"/>
    <w:rsid w:val="004C1561"/>
    <w:rsid w:val="004C1658"/>
    <w:rsid w:val="004C166E"/>
    <w:rsid w:val="004C16F3"/>
    <w:rsid w:val="004C18A7"/>
    <w:rsid w:val="004C18AA"/>
    <w:rsid w:val="004C1A5D"/>
    <w:rsid w:val="004C1AED"/>
    <w:rsid w:val="004C1C04"/>
    <w:rsid w:val="004C1C06"/>
    <w:rsid w:val="004C1C20"/>
    <w:rsid w:val="004C1CAB"/>
    <w:rsid w:val="004C1CB6"/>
    <w:rsid w:val="004C1CC3"/>
    <w:rsid w:val="004C1CDB"/>
    <w:rsid w:val="004C1D1D"/>
    <w:rsid w:val="004C1DDE"/>
    <w:rsid w:val="004C1EED"/>
    <w:rsid w:val="004C1EF9"/>
    <w:rsid w:val="004C1F09"/>
    <w:rsid w:val="004C1F69"/>
    <w:rsid w:val="004C1F6B"/>
    <w:rsid w:val="004C202E"/>
    <w:rsid w:val="004C20D5"/>
    <w:rsid w:val="004C2230"/>
    <w:rsid w:val="004C248A"/>
    <w:rsid w:val="004C24B3"/>
    <w:rsid w:val="004C24ED"/>
    <w:rsid w:val="004C24FE"/>
    <w:rsid w:val="004C2533"/>
    <w:rsid w:val="004C26FD"/>
    <w:rsid w:val="004C2719"/>
    <w:rsid w:val="004C28C3"/>
    <w:rsid w:val="004C292E"/>
    <w:rsid w:val="004C2961"/>
    <w:rsid w:val="004C297A"/>
    <w:rsid w:val="004C299B"/>
    <w:rsid w:val="004C29DB"/>
    <w:rsid w:val="004C2B47"/>
    <w:rsid w:val="004C2BDB"/>
    <w:rsid w:val="004C2C84"/>
    <w:rsid w:val="004C2D63"/>
    <w:rsid w:val="004C2E23"/>
    <w:rsid w:val="004C2E7B"/>
    <w:rsid w:val="004C2F90"/>
    <w:rsid w:val="004C31FC"/>
    <w:rsid w:val="004C3222"/>
    <w:rsid w:val="004C3250"/>
    <w:rsid w:val="004C341D"/>
    <w:rsid w:val="004C3437"/>
    <w:rsid w:val="004C349A"/>
    <w:rsid w:val="004C34BA"/>
    <w:rsid w:val="004C3605"/>
    <w:rsid w:val="004C3655"/>
    <w:rsid w:val="004C3706"/>
    <w:rsid w:val="004C376F"/>
    <w:rsid w:val="004C387C"/>
    <w:rsid w:val="004C387E"/>
    <w:rsid w:val="004C3979"/>
    <w:rsid w:val="004C39EE"/>
    <w:rsid w:val="004C3B05"/>
    <w:rsid w:val="004C3B06"/>
    <w:rsid w:val="004C3BE2"/>
    <w:rsid w:val="004C3BF9"/>
    <w:rsid w:val="004C3DA1"/>
    <w:rsid w:val="004C3DA7"/>
    <w:rsid w:val="004C3E15"/>
    <w:rsid w:val="004C3EA9"/>
    <w:rsid w:val="004C3ED1"/>
    <w:rsid w:val="004C3FC7"/>
    <w:rsid w:val="004C4041"/>
    <w:rsid w:val="004C4293"/>
    <w:rsid w:val="004C42A6"/>
    <w:rsid w:val="004C42B7"/>
    <w:rsid w:val="004C4412"/>
    <w:rsid w:val="004C464C"/>
    <w:rsid w:val="004C46B4"/>
    <w:rsid w:val="004C46BB"/>
    <w:rsid w:val="004C478F"/>
    <w:rsid w:val="004C4792"/>
    <w:rsid w:val="004C484A"/>
    <w:rsid w:val="004C4860"/>
    <w:rsid w:val="004C4896"/>
    <w:rsid w:val="004C48FB"/>
    <w:rsid w:val="004C495A"/>
    <w:rsid w:val="004C49A5"/>
    <w:rsid w:val="004C4A1C"/>
    <w:rsid w:val="004C4A69"/>
    <w:rsid w:val="004C4A7E"/>
    <w:rsid w:val="004C4A81"/>
    <w:rsid w:val="004C4AB6"/>
    <w:rsid w:val="004C4ACF"/>
    <w:rsid w:val="004C4C38"/>
    <w:rsid w:val="004C4E41"/>
    <w:rsid w:val="004C4E6A"/>
    <w:rsid w:val="004C4E87"/>
    <w:rsid w:val="004C4EA6"/>
    <w:rsid w:val="004C4F37"/>
    <w:rsid w:val="004C5026"/>
    <w:rsid w:val="004C507D"/>
    <w:rsid w:val="004C5219"/>
    <w:rsid w:val="004C523D"/>
    <w:rsid w:val="004C5307"/>
    <w:rsid w:val="004C538D"/>
    <w:rsid w:val="004C53F5"/>
    <w:rsid w:val="004C5439"/>
    <w:rsid w:val="004C544B"/>
    <w:rsid w:val="004C561C"/>
    <w:rsid w:val="004C564E"/>
    <w:rsid w:val="004C5656"/>
    <w:rsid w:val="004C56B2"/>
    <w:rsid w:val="004C5705"/>
    <w:rsid w:val="004C57BA"/>
    <w:rsid w:val="004C57F4"/>
    <w:rsid w:val="004C5855"/>
    <w:rsid w:val="004C5889"/>
    <w:rsid w:val="004C594D"/>
    <w:rsid w:val="004C596B"/>
    <w:rsid w:val="004C5B99"/>
    <w:rsid w:val="004C5D62"/>
    <w:rsid w:val="004C5DBB"/>
    <w:rsid w:val="004C5E91"/>
    <w:rsid w:val="004C5E93"/>
    <w:rsid w:val="004C5EBC"/>
    <w:rsid w:val="004C5EC0"/>
    <w:rsid w:val="004C5FCE"/>
    <w:rsid w:val="004C5FDB"/>
    <w:rsid w:val="004C6112"/>
    <w:rsid w:val="004C617F"/>
    <w:rsid w:val="004C62FC"/>
    <w:rsid w:val="004C64A3"/>
    <w:rsid w:val="004C6644"/>
    <w:rsid w:val="004C66B1"/>
    <w:rsid w:val="004C66BC"/>
    <w:rsid w:val="004C6727"/>
    <w:rsid w:val="004C6734"/>
    <w:rsid w:val="004C6739"/>
    <w:rsid w:val="004C67CC"/>
    <w:rsid w:val="004C67D0"/>
    <w:rsid w:val="004C683E"/>
    <w:rsid w:val="004C692E"/>
    <w:rsid w:val="004C6930"/>
    <w:rsid w:val="004C6A50"/>
    <w:rsid w:val="004C6B1C"/>
    <w:rsid w:val="004C6B98"/>
    <w:rsid w:val="004C6E3F"/>
    <w:rsid w:val="004C6F3E"/>
    <w:rsid w:val="004C6F58"/>
    <w:rsid w:val="004C6F71"/>
    <w:rsid w:val="004C7063"/>
    <w:rsid w:val="004C70FD"/>
    <w:rsid w:val="004C7294"/>
    <w:rsid w:val="004C72DC"/>
    <w:rsid w:val="004C7328"/>
    <w:rsid w:val="004C7437"/>
    <w:rsid w:val="004C7465"/>
    <w:rsid w:val="004C7476"/>
    <w:rsid w:val="004C7521"/>
    <w:rsid w:val="004C76C1"/>
    <w:rsid w:val="004C76F1"/>
    <w:rsid w:val="004C777E"/>
    <w:rsid w:val="004C78A3"/>
    <w:rsid w:val="004C7B37"/>
    <w:rsid w:val="004C7C75"/>
    <w:rsid w:val="004C7C85"/>
    <w:rsid w:val="004C7CB8"/>
    <w:rsid w:val="004C7D75"/>
    <w:rsid w:val="004C7E70"/>
    <w:rsid w:val="004C7E90"/>
    <w:rsid w:val="004D00D8"/>
    <w:rsid w:val="004D011A"/>
    <w:rsid w:val="004D0296"/>
    <w:rsid w:val="004D034E"/>
    <w:rsid w:val="004D037A"/>
    <w:rsid w:val="004D0399"/>
    <w:rsid w:val="004D0546"/>
    <w:rsid w:val="004D0551"/>
    <w:rsid w:val="004D065A"/>
    <w:rsid w:val="004D0793"/>
    <w:rsid w:val="004D0910"/>
    <w:rsid w:val="004D0917"/>
    <w:rsid w:val="004D0C15"/>
    <w:rsid w:val="004D0C35"/>
    <w:rsid w:val="004D0CEB"/>
    <w:rsid w:val="004D0DAC"/>
    <w:rsid w:val="004D0DD8"/>
    <w:rsid w:val="004D0EBC"/>
    <w:rsid w:val="004D0EDB"/>
    <w:rsid w:val="004D0F35"/>
    <w:rsid w:val="004D0F3F"/>
    <w:rsid w:val="004D0F54"/>
    <w:rsid w:val="004D0F5E"/>
    <w:rsid w:val="004D0F6D"/>
    <w:rsid w:val="004D0F92"/>
    <w:rsid w:val="004D106D"/>
    <w:rsid w:val="004D10F7"/>
    <w:rsid w:val="004D116A"/>
    <w:rsid w:val="004D120B"/>
    <w:rsid w:val="004D121B"/>
    <w:rsid w:val="004D1292"/>
    <w:rsid w:val="004D1298"/>
    <w:rsid w:val="004D12FF"/>
    <w:rsid w:val="004D1371"/>
    <w:rsid w:val="004D141F"/>
    <w:rsid w:val="004D1430"/>
    <w:rsid w:val="004D14A9"/>
    <w:rsid w:val="004D1565"/>
    <w:rsid w:val="004D16BC"/>
    <w:rsid w:val="004D1757"/>
    <w:rsid w:val="004D176C"/>
    <w:rsid w:val="004D17A8"/>
    <w:rsid w:val="004D17F7"/>
    <w:rsid w:val="004D17F8"/>
    <w:rsid w:val="004D196E"/>
    <w:rsid w:val="004D19BE"/>
    <w:rsid w:val="004D19C0"/>
    <w:rsid w:val="004D1A08"/>
    <w:rsid w:val="004D1A12"/>
    <w:rsid w:val="004D1B0C"/>
    <w:rsid w:val="004D1B11"/>
    <w:rsid w:val="004D1B6A"/>
    <w:rsid w:val="004D1B84"/>
    <w:rsid w:val="004D1BF3"/>
    <w:rsid w:val="004D1C4D"/>
    <w:rsid w:val="004D1CFE"/>
    <w:rsid w:val="004D1D4A"/>
    <w:rsid w:val="004D1D7B"/>
    <w:rsid w:val="004D1D80"/>
    <w:rsid w:val="004D1D86"/>
    <w:rsid w:val="004D1E25"/>
    <w:rsid w:val="004D1EE0"/>
    <w:rsid w:val="004D206F"/>
    <w:rsid w:val="004D20A2"/>
    <w:rsid w:val="004D21E2"/>
    <w:rsid w:val="004D22AE"/>
    <w:rsid w:val="004D22D6"/>
    <w:rsid w:val="004D22EF"/>
    <w:rsid w:val="004D22F0"/>
    <w:rsid w:val="004D231D"/>
    <w:rsid w:val="004D24B7"/>
    <w:rsid w:val="004D251B"/>
    <w:rsid w:val="004D2546"/>
    <w:rsid w:val="004D25A8"/>
    <w:rsid w:val="004D266B"/>
    <w:rsid w:val="004D26E1"/>
    <w:rsid w:val="004D2735"/>
    <w:rsid w:val="004D273D"/>
    <w:rsid w:val="004D2762"/>
    <w:rsid w:val="004D280C"/>
    <w:rsid w:val="004D290D"/>
    <w:rsid w:val="004D29CC"/>
    <w:rsid w:val="004D2AEA"/>
    <w:rsid w:val="004D2B11"/>
    <w:rsid w:val="004D2B13"/>
    <w:rsid w:val="004D2B2E"/>
    <w:rsid w:val="004D2B6A"/>
    <w:rsid w:val="004D2CCC"/>
    <w:rsid w:val="004D2CD4"/>
    <w:rsid w:val="004D2D47"/>
    <w:rsid w:val="004D2D63"/>
    <w:rsid w:val="004D2F4D"/>
    <w:rsid w:val="004D2FDF"/>
    <w:rsid w:val="004D320F"/>
    <w:rsid w:val="004D321A"/>
    <w:rsid w:val="004D326C"/>
    <w:rsid w:val="004D34AF"/>
    <w:rsid w:val="004D357D"/>
    <w:rsid w:val="004D3596"/>
    <w:rsid w:val="004D363A"/>
    <w:rsid w:val="004D3689"/>
    <w:rsid w:val="004D3695"/>
    <w:rsid w:val="004D36EE"/>
    <w:rsid w:val="004D370D"/>
    <w:rsid w:val="004D3713"/>
    <w:rsid w:val="004D385B"/>
    <w:rsid w:val="004D3952"/>
    <w:rsid w:val="004D3BC1"/>
    <w:rsid w:val="004D3C71"/>
    <w:rsid w:val="004D3D54"/>
    <w:rsid w:val="004D3DFA"/>
    <w:rsid w:val="004D3E41"/>
    <w:rsid w:val="004D3F2F"/>
    <w:rsid w:val="004D3F62"/>
    <w:rsid w:val="004D3F76"/>
    <w:rsid w:val="004D3FF7"/>
    <w:rsid w:val="004D4068"/>
    <w:rsid w:val="004D40A2"/>
    <w:rsid w:val="004D40E8"/>
    <w:rsid w:val="004D41F6"/>
    <w:rsid w:val="004D4202"/>
    <w:rsid w:val="004D420F"/>
    <w:rsid w:val="004D432C"/>
    <w:rsid w:val="004D448F"/>
    <w:rsid w:val="004D44FF"/>
    <w:rsid w:val="004D4517"/>
    <w:rsid w:val="004D4537"/>
    <w:rsid w:val="004D4554"/>
    <w:rsid w:val="004D4572"/>
    <w:rsid w:val="004D45D9"/>
    <w:rsid w:val="004D476C"/>
    <w:rsid w:val="004D477F"/>
    <w:rsid w:val="004D47C6"/>
    <w:rsid w:val="004D4800"/>
    <w:rsid w:val="004D4824"/>
    <w:rsid w:val="004D489C"/>
    <w:rsid w:val="004D48EB"/>
    <w:rsid w:val="004D49A9"/>
    <w:rsid w:val="004D49E9"/>
    <w:rsid w:val="004D4A52"/>
    <w:rsid w:val="004D4ADF"/>
    <w:rsid w:val="004D4B04"/>
    <w:rsid w:val="004D4B32"/>
    <w:rsid w:val="004D4BB4"/>
    <w:rsid w:val="004D4E05"/>
    <w:rsid w:val="004D4EA1"/>
    <w:rsid w:val="004D4F5A"/>
    <w:rsid w:val="004D5016"/>
    <w:rsid w:val="004D503B"/>
    <w:rsid w:val="004D508B"/>
    <w:rsid w:val="004D50B1"/>
    <w:rsid w:val="004D52D5"/>
    <w:rsid w:val="004D52EF"/>
    <w:rsid w:val="004D530C"/>
    <w:rsid w:val="004D5331"/>
    <w:rsid w:val="004D5584"/>
    <w:rsid w:val="004D5589"/>
    <w:rsid w:val="004D56A1"/>
    <w:rsid w:val="004D5734"/>
    <w:rsid w:val="004D5740"/>
    <w:rsid w:val="004D58BB"/>
    <w:rsid w:val="004D58F0"/>
    <w:rsid w:val="004D594B"/>
    <w:rsid w:val="004D5A08"/>
    <w:rsid w:val="004D5A36"/>
    <w:rsid w:val="004D5A5E"/>
    <w:rsid w:val="004D5A6D"/>
    <w:rsid w:val="004D5B7B"/>
    <w:rsid w:val="004D5B88"/>
    <w:rsid w:val="004D5BBA"/>
    <w:rsid w:val="004D5C74"/>
    <w:rsid w:val="004D5CF2"/>
    <w:rsid w:val="004D5D66"/>
    <w:rsid w:val="004D5E24"/>
    <w:rsid w:val="004D5ED1"/>
    <w:rsid w:val="004D5F43"/>
    <w:rsid w:val="004D5FA1"/>
    <w:rsid w:val="004D5FF5"/>
    <w:rsid w:val="004D608F"/>
    <w:rsid w:val="004D6093"/>
    <w:rsid w:val="004D62DA"/>
    <w:rsid w:val="004D62EB"/>
    <w:rsid w:val="004D63A8"/>
    <w:rsid w:val="004D63CC"/>
    <w:rsid w:val="004D651D"/>
    <w:rsid w:val="004D656D"/>
    <w:rsid w:val="004D6662"/>
    <w:rsid w:val="004D67D2"/>
    <w:rsid w:val="004D6840"/>
    <w:rsid w:val="004D686D"/>
    <w:rsid w:val="004D68DD"/>
    <w:rsid w:val="004D6994"/>
    <w:rsid w:val="004D69F1"/>
    <w:rsid w:val="004D6A33"/>
    <w:rsid w:val="004D6A3C"/>
    <w:rsid w:val="004D6A75"/>
    <w:rsid w:val="004D6B3A"/>
    <w:rsid w:val="004D6B67"/>
    <w:rsid w:val="004D6C4A"/>
    <w:rsid w:val="004D6CC1"/>
    <w:rsid w:val="004D6F3B"/>
    <w:rsid w:val="004D6FD9"/>
    <w:rsid w:val="004D6FE4"/>
    <w:rsid w:val="004D70F7"/>
    <w:rsid w:val="004D715C"/>
    <w:rsid w:val="004D719A"/>
    <w:rsid w:val="004D72A6"/>
    <w:rsid w:val="004D72DD"/>
    <w:rsid w:val="004D731F"/>
    <w:rsid w:val="004D7335"/>
    <w:rsid w:val="004D73AB"/>
    <w:rsid w:val="004D742F"/>
    <w:rsid w:val="004D7479"/>
    <w:rsid w:val="004D752B"/>
    <w:rsid w:val="004D7549"/>
    <w:rsid w:val="004D7601"/>
    <w:rsid w:val="004D76E1"/>
    <w:rsid w:val="004D76FA"/>
    <w:rsid w:val="004D7713"/>
    <w:rsid w:val="004D77F0"/>
    <w:rsid w:val="004D7840"/>
    <w:rsid w:val="004D7859"/>
    <w:rsid w:val="004D7973"/>
    <w:rsid w:val="004D7A34"/>
    <w:rsid w:val="004D7A9F"/>
    <w:rsid w:val="004D7AD7"/>
    <w:rsid w:val="004D7B5D"/>
    <w:rsid w:val="004D7CE6"/>
    <w:rsid w:val="004D7D1A"/>
    <w:rsid w:val="004D7DFE"/>
    <w:rsid w:val="004D7F99"/>
    <w:rsid w:val="004E00A4"/>
    <w:rsid w:val="004E00AC"/>
    <w:rsid w:val="004E00E8"/>
    <w:rsid w:val="004E013C"/>
    <w:rsid w:val="004E0150"/>
    <w:rsid w:val="004E01EE"/>
    <w:rsid w:val="004E01FC"/>
    <w:rsid w:val="004E02FB"/>
    <w:rsid w:val="004E0374"/>
    <w:rsid w:val="004E0458"/>
    <w:rsid w:val="004E04CA"/>
    <w:rsid w:val="004E0501"/>
    <w:rsid w:val="004E0663"/>
    <w:rsid w:val="004E06E0"/>
    <w:rsid w:val="004E06F1"/>
    <w:rsid w:val="004E07CC"/>
    <w:rsid w:val="004E0807"/>
    <w:rsid w:val="004E082B"/>
    <w:rsid w:val="004E083C"/>
    <w:rsid w:val="004E0841"/>
    <w:rsid w:val="004E08D7"/>
    <w:rsid w:val="004E0938"/>
    <w:rsid w:val="004E098B"/>
    <w:rsid w:val="004E09D7"/>
    <w:rsid w:val="004E0B1D"/>
    <w:rsid w:val="004E0CC3"/>
    <w:rsid w:val="004E0E86"/>
    <w:rsid w:val="004E0F79"/>
    <w:rsid w:val="004E1063"/>
    <w:rsid w:val="004E1179"/>
    <w:rsid w:val="004E126C"/>
    <w:rsid w:val="004E1276"/>
    <w:rsid w:val="004E1298"/>
    <w:rsid w:val="004E12DC"/>
    <w:rsid w:val="004E12E8"/>
    <w:rsid w:val="004E1310"/>
    <w:rsid w:val="004E1344"/>
    <w:rsid w:val="004E13A8"/>
    <w:rsid w:val="004E15A2"/>
    <w:rsid w:val="004E15EF"/>
    <w:rsid w:val="004E1600"/>
    <w:rsid w:val="004E172E"/>
    <w:rsid w:val="004E173A"/>
    <w:rsid w:val="004E17E4"/>
    <w:rsid w:val="004E182F"/>
    <w:rsid w:val="004E18F5"/>
    <w:rsid w:val="004E1A16"/>
    <w:rsid w:val="004E1A17"/>
    <w:rsid w:val="004E1A66"/>
    <w:rsid w:val="004E1A71"/>
    <w:rsid w:val="004E1BBC"/>
    <w:rsid w:val="004E1C15"/>
    <w:rsid w:val="004E1CA7"/>
    <w:rsid w:val="004E1CD9"/>
    <w:rsid w:val="004E1D9A"/>
    <w:rsid w:val="004E1E23"/>
    <w:rsid w:val="004E1FA8"/>
    <w:rsid w:val="004E1FA9"/>
    <w:rsid w:val="004E1FC3"/>
    <w:rsid w:val="004E213A"/>
    <w:rsid w:val="004E2152"/>
    <w:rsid w:val="004E227A"/>
    <w:rsid w:val="004E227E"/>
    <w:rsid w:val="004E22F2"/>
    <w:rsid w:val="004E23BC"/>
    <w:rsid w:val="004E23DB"/>
    <w:rsid w:val="004E24E9"/>
    <w:rsid w:val="004E25A0"/>
    <w:rsid w:val="004E26E0"/>
    <w:rsid w:val="004E26F9"/>
    <w:rsid w:val="004E272E"/>
    <w:rsid w:val="004E283E"/>
    <w:rsid w:val="004E2874"/>
    <w:rsid w:val="004E2981"/>
    <w:rsid w:val="004E2A8B"/>
    <w:rsid w:val="004E2B03"/>
    <w:rsid w:val="004E2C0E"/>
    <w:rsid w:val="004E2C98"/>
    <w:rsid w:val="004E2C9F"/>
    <w:rsid w:val="004E2CE2"/>
    <w:rsid w:val="004E2D26"/>
    <w:rsid w:val="004E2DA6"/>
    <w:rsid w:val="004E2DD4"/>
    <w:rsid w:val="004E2E86"/>
    <w:rsid w:val="004E2E8B"/>
    <w:rsid w:val="004E3017"/>
    <w:rsid w:val="004E3048"/>
    <w:rsid w:val="004E304C"/>
    <w:rsid w:val="004E30AA"/>
    <w:rsid w:val="004E30B8"/>
    <w:rsid w:val="004E30E1"/>
    <w:rsid w:val="004E3132"/>
    <w:rsid w:val="004E31A3"/>
    <w:rsid w:val="004E31D2"/>
    <w:rsid w:val="004E328E"/>
    <w:rsid w:val="004E33B7"/>
    <w:rsid w:val="004E34CA"/>
    <w:rsid w:val="004E3517"/>
    <w:rsid w:val="004E3546"/>
    <w:rsid w:val="004E356F"/>
    <w:rsid w:val="004E359E"/>
    <w:rsid w:val="004E35AE"/>
    <w:rsid w:val="004E363C"/>
    <w:rsid w:val="004E36C9"/>
    <w:rsid w:val="004E36CC"/>
    <w:rsid w:val="004E371D"/>
    <w:rsid w:val="004E37B5"/>
    <w:rsid w:val="004E382E"/>
    <w:rsid w:val="004E3857"/>
    <w:rsid w:val="004E3937"/>
    <w:rsid w:val="004E3985"/>
    <w:rsid w:val="004E399A"/>
    <w:rsid w:val="004E399E"/>
    <w:rsid w:val="004E39FD"/>
    <w:rsid w:val="004E3A1E"/>
    <w:rsid w:val="004E3A6E"/>
    <w:rsid w:val="004E3B0C"/>
    <w:rsid w:val="004E3B4D"/>
    <w:rsid w:val="004E3BA0"/>
    <w:rsid w:val="004E3D03"/>
    <w:rsid w:val="004E3DAD"/>
    <w:rsid w:val="004E3E39"/>
    <w:rsid w:val="004E402F"/>
    <w:rsid w:val="004E40C4"/>
    <w:rsid w:val="004E411C"/>
    <w:rsid w:val="004E4187"/>
    <w:rsid w:val="004E41BD"/>
    <w:rsid w:val="004E42D4"/>
    <w:rsid w:val="004E42D5"/>
    <w:rsid w:val="004E4326"/>
    <w:rsid w:val="004E4332"/>
    <w:rsid w:val="004E43C4"/>
    <w:rsid w:val="004E45AC"/>
    <w:rsid w:val="004E45C4"/>
    <w:rsid w:val="004E4635"/>
    <w:rsid w:val="004E48F9"/>
    <w:rsid w:val="004E49FD"/>
    <w:rsid w:val="004E4A17"/>
    <w:rsid w:val="004E4A52"/>
    <w:rsid w:val="004E4A5D"/>
    <w:rsid w:val="004E4ACE"/>
    <w:rsid w:val="004E4AF4"/>
    <w:rsid w:val="004E4C8D"/>
    <w:rsid w:val="004E4D83"/>
    <w:rsid w:val="004E4DD0"/>
    <w:rsid w:val="004E4DD2"/>
    <w:rsid w:val="004E4DD7"/>
    <w:rsid w:val="004E4DFC"/>
    <w:rsid w:val="004E4EC9"/>
    <w:rsid w:val="004E4EEC"/>
    <w:rsid w:val="004E4EFA"/>
    <w:rsid w:val="004E4F45"/>
    <w:rsid w:val="004E4F67"/>
    <w:rsid w:val="004E4FBC"/>
    <w:rsid w:val="004E501B"/>
    <w:rsid w:val="004E510C"/>
    <w:rsid w:val="004E5137"/>
    <w:rsid w:val="004E515A"/>
    <w:rsid w:val="004E522B"/>
    <w:rsid w:val="004E5253"/>
    <w:rsid w:val="004E52AB"/>
    <w:rsid w:val="004E52D9"/>
    <w:rsid w:val="004E52F1"/>
    <w:rsid w:val="004E5335"/>
    <w:rsid w:val="004E53DE"/>
    <w:rsid w:val="004E553F"/>
    <w:rsid w:val="004E5571"/>
    <w:rsid w:val="004E56F3"/>
    <w:rsid w:val="004E586F"/>
    <w:rsid w:val="004E5A29"/>
    <w:rsid w:val="004E5BBD"/>
    <w:rsid w:val="004E5BEB"/>
    <w:rsid w:val="004E5BFF"/>
    <w:rsid w:val="004E5C00"/>
    <w:rsid w:val="004E5C60"/>
    <w:rsid w:val="004E5E59"/>
    <w:rsid w:val="004E5F44"/>
    <w:rsid w:val="004E5FB4"/>
    <w:rsid w:val="004E6041"/>
    <w:rsid w:val="004E6071"/>
    <w:rsid w:val="004E60AD"/>
    <w:rsid w:val="004E62A7"/>
    <w:rsid w:val="004E6331"/>
    <w:rsid w:val="004E63AA"/>
    <w:rsid w:val="004E63E9"/>
    <w:rsid w:val="004E6430"/>
    <w:rsid w:val="004E64B5"/>
    <w:rsid w:val="004E64F4"/>
    <w:rsid w:val="004E6564"/>
    <w:rsid w:val="004E664F"/>
    <w:rsid w:val="004E6656"/>
    <w:rsid w:val="004E6663"/>
    <w:rsid w:val="004E666B"/>
    <w:rsid w:val="004E6744"/>
    <w:rsid w:val="004E67F2"/>
    <w:rsid w:val="004E6803"/>
    <w:rsid w:val="004E68A0"/>
    <w:rsid w:val="004E68AA"/>
    <w:rsid w:val="004E68D5"/>
    <w:rsid w:val="004E6971"/>
    <w:rsid w:val="004E698D"/>
    <w:rsid w:val="004E6A0E"/>
    <w:rsid w:val="004E6ADC"/>
    <w:rsid w:val="004E6C1C"/>
    <w:rsid w:val="004E6CD5"/>
    <w:rsid w:val="004E6DE8"/>
    <w:rsid w:val="004E6E18"/>
    <w:rsid w:val="004E6E44"/>
    <w:rsid w:val="004E6E73"/>
    <w:rsid w:val="004E6E7E"/>
    <w:rsid w:val="004E6EFD"/>
    <w:rsid w:val="004E6F0B"/>
    <w:rsid w:val="004E6F79"/>
    <w:rsid w:val="004E6FD8"/>
    <w:rsid w:val="004E703E"/>
    <w:rsid w:val="004E71AC"/>
    <w:rsid w:val="004E74A0"/>
    <w:rsid w:val="004E752F"/>
    <w:rsid w:val="004E7631"/>
    <w:rsid w:val="004E76D7"/>
    <w:rsid w:val="004E771C"/>
    <w:rsid w:val="004E7728"/>
    <w:rsid w:val="004E77CB"/>
    <w:rsid w:val="004E7857"/>
    <w:rsid w:val="004E7874"/>
    <w:rsid w:val="004E7951"/>
    <w:rsid w:val="004E7A08"/>
    <w:rsid w:val="004E7A48"/>
    <w:rsid w:val="004E7AFE"/>
    <w:rsid w:val="004E7B45"/>
    <w:rsid w:val="004E7B77"/>
    <w:rsid w:val="004E7BB4"/>
    <w:rsid w:val="004E7D1B"/>
    <w:rsid w:val="004E7D53"/>
    <w:rsid w:val="004E7D71"/>
    <w:rsid w:val="004E7D80"/>
    <w:rsid w:val="004E7D8F"/>
    <w:rsid w:val="004E7DFC"/>
    <w:rsid w:val="004E7E85"/>
    <w:rsid w:val="004E7EC6"/>
    <w:rsid w:val="004E7EFD"/>
    <w:rsid w:val="004E7F01"/>
    <w:rsid w:val="004E7F2C"/>
    <w:rsid w:val="004E7F5D"/>
    <w:rsid w:val="004E7F5E"/>
    <w:rsid w:val="004E7F87"/>
    <w:rsid w:val="004E7FDB"/>
    <w:rsid w:val="004F0092"/>
    <w:rsid w:val="004F00DD"/>
    <w:rsid w:val="004F0123"/>
    <w:rsid w:val="004F01AF"/>
    <w:rsid w:val="004F01C0"/>
    <w:rsid w:val="004F0211"/>
    <w:rsid w:val="004F0345"/>
    <w:rsid w:val="004F040E"/>
    <w:rsid w:val="004F0595"/>
    <w:rsid w:val="004F0597"/>
    <w:rsid w:val="004F05E5"/>
    <w:rsid w:val="004F0626"/>
    <w:rsid w:val="004F069B"/>
    <w:rsid w:val="004F06D7"/>
    <w:rsid w:val="004F0745"/>
    <w:rsid w:val="004F07B3"/>
    <w:rsid w:val="004F07D5"/>
    <w:rsid w:val="004F07E4"/>
    <w:rsid w:val="004F0807"/>
    <w:rsid w:val="004F0855"/>
    <w:rsid w:val="004F08DE"/>
    <w:rsid w:val="004F0911"/>
    <w:rsid w:val="004F0912"/>
    <w:rsid w:val="004F092F"/>
    <w:rsid w:val="004F0971"/>
    <w:rsid w:val="004F0A2B"/>
    <w:rsid w:val="004F0AAB"/>
    <w:rsid w:val="004F0B69"/>
    <w:rsid w:val="004F0B9A"/>
    <w:rsid w:val="004F0BAF"/>
    <w:rsid w:val="004F0C4C"/>
    <w:rsid w:val="004F0DA6"/>
    <w:rsid w:val="004F0E28"/>
    <w:rsid w:val="004F0F76"/>
    <w:rsid w:val="004F0FFC"/>
    <w:rsid w:val="004F10B7"/>
    <w:rsid w:val="004F10EF"/>
    <w:rsid w:val="004F1106"/>
    <w:rsid w:val="004F1160"/>
    <w:rsid w:val="004F12E8"/>
    <w:rsid w:val="004F1418"/>
    <w:rsid w:val="004F14A4"/>
    <w:rsid w:val="004F1550"/>
    <w:rsid w:val="004F16D6"/>
    <w:rsid w:val="004F175E"/>
    <w:rsid w:val="004F176C"/>
    <w:rsid w:val="004F17AB"/>
    <w:rsid w:val="004F1843"/>
    <w:rsid w:val="004F18FD"/>
    <w:rsid w:val="004F1942"/>
    <w:rsid w:val="004F1973"/>
    <w:rsid w:val="004F1998"/>
    <w:rsid w:val="004F1AFD"/>
    <w:rsid w:val="004F1B41"/>
    <w:rsid w:val="004F1BE9"/>
    <w:rsid w:val="004F1C1D"/>
    <w:rsid w:val="004F1CF0"/>
    <w:rsid w:val="004F1D47"/>
    <w:rsid w:val="004F1D97"/>
    <w:rsid w:val="004F1DA4"/>
    <w:rsid w:val="004F1EA6"/>
    <w:rsid w:val="004F1EE6"/>
    <w:rsid w:val="004F1F0E"/>
    <w:rsid w:val="004F1F44"/>
    <w:rsid w:val="004F1F8D"/>
    <w:rsid w:val="004F2096"/>
    <w:rsid w:val="004F209C"/>
    <w:rsid w:val="004F2158"/>
    <w:rsid w:val="004F219E"/>
    <w:rsid w:val="004F21D7"/>
    <w:rsid w:val="004F220A"/>
    <w:rsid w:val="004F2280"/>
    <w:rsid w:val="004F2286"/>
    <w:rsid w:val="004F2377"/>
    <w:rsid w:val="004F23A0"/>
    <w:rsid w:val="004F2411"/>
    <w:rsid w:val="004F24F7"/>
    <w:rsid w:val="004F2510"/>
    <w:rsid w:val="004F2551"/>
    <w:rsid w:val="004F2686"/>
    <w:rsid w:val="004F2722"/>
    <w:rsid w:val="004F2744"/>
    <w:rsid w:val="004F27FB"/>
    <w:rsid w:val="004F28FA"/>
    <w:rsid w:val="004F293D"/>
    <w:rsid w:val="004F295F"/>
    <w:rsid w:val="004F29B7"/>
    <w:rsid w:val="004F29F0"/>
    <w:rsid w:val="004F2A74"/>
    <w:rsid w:val="004F2ABD"/>
    <w:rsid w:val="004F2B93"/>
    <w:rsid w:val="004F2C05"/>
    <w:rsid w:val="004F2C9B"/>
    <w:rsid w:val="004F2DC8"/>
    <w:rsid w:val="004F2EAD"/>
    <w:rsid w:val="004F2F06"/>
    <w:rsid w:val="004F2F41"/>
    <w:rsid w:val="004F302F"/>
    <w:rsid w:val="004F3207"/>
    <w:rsid w:val="004F327F"/>
    <w:rsid w:val="004F3297"/>
    <w:rsid w:val="004F3396"/>
    <w:rsid w:val="004F33F7"/>
    <w:rsid w:val="004F3413"/>
    <w:rsid w:val="004F3487"/>
    <w:rsid w:val="004F34A5"/>
    <w:rsid w:val="004F34F6"/>
    <w:rsid w:val="004F3544"/>
    <w:rsid w:val="004F35D4"/>
    <w:rsid w:val="004F35E8"/>
    <w:rsid w:val="004F371F"/>
    <w:rsid w:val="004F3743"/>
    <w:rsid w:val="004F37C2"/>
    <w:rsid w:val="004F3960"/>
    <w:rsid w:val="004F39C3"/>
    <w:rsid w:val="004F39EC"/>
    <w:rsid w:val="004F3A08"/>
    <w:rsid w:val="004F3A97"/>
    <w:rsid w:val="004F3BBB"/>
    <w:rsid w:val="004F3C4D"/>
    <w:rsid w:val="004F3E86"/>
    <w:rsid w:val="004F3EC9"/>
    <w:rsid w:val="004F3F00"/>
    <w:rsid w:val="004F3F82"/>
    <w:rsid w:val="004F4000"/>
    <w:rsid w:val="004F41C7"/>
    <w:rsid w:val="004F420C"/>
    <w:rsid w:val="004F42B0"/>
    <w:rsid w:val="004F431E"/>
    <w:rsid w:val="004F442A"/>
    <w:rsid w:val="004F44F7"/>
    <w:rsid w:val="004F4530"/>
    <w:rsid w:val="004F4566"/>
    <w:rsid w:val="004F4594"/>
    <w:rsid w:val="004F45BF"/>
    <w:rsid w:val="004F4618"/>
    <w:rsid w:val="004F4787"/>
    <w:rsid w:val="004F480D"/>
    <w:rsid w:val="004F48AD"/>
    <w:rsid w:val="004F4941"/>
    <w:rsid w:val="004F4976"/>
    <w:rsid w:val="004F49E3"/>
    <w:rsid w:val="004F4AA4"/>
    <w:rsid w:val="004F4B5B"/>
    <w:rsid w:val="004F4C32"/>
    <w:rsid w:val="004F4CB7"/>
    <w:rsid w:val="004F4D05"/>
    <w:rsid w:val="004F4D96"/>
    <w:rsid w:val="004F4D9B"/>
    <w:rsid w:val="004F4E39"/>
    <w:rsid w:val="004F4E89"/>
    <w:rsid w:val="004F4E95"/>
    <w:rsid w:val="004F4F3A"/>
    <w:rsid w:val="004F4FE0"/>
    <w:rsid w:val="004F502E"/>
    <w:rsid w:val="004F5054"/>
    <w:rsid w:val="004F5091"/>
    <w:rsid w:val="004F50FB"/>
    <w:rsid w:val="004F513A"/>
    <w:rsid w:val="004F514D"/>
    <w:rsid w:val="004F51F8"/>
    <w:rsid w:val="004F53D4"/>
    <w:rsid w:val="004F5415"/>
    <w:rsid w:val="004F542B"/>
    <w:rsid w:val="004F5485"/>
    <w:rsid w:val="004F54F5"/>
    <w:rsid w:val="004F5544"/>
    <w:rsid w:val="004F574B"/>
    <w:rsid w:val="004F574C"/>
    <w:rsid w:val="004F58CE"/>
    <w:rsid w:val="004F5928"/>
    <w:rsid w:val="004F5A91"/>
    <w:rsid w:val="004F5A9E"/>
    <w:rsid w:val="004F5AE3"/>
    <w:rsid w:val="004F5B1B"/>
    <w:rsid w:val="004F5B3B"/>
    <w:rsid w:val="004F5BAA"/>
    <w:rsid w:val="004F5BC1"/>
    <w:rsid w:val="004F5BF8"/>
    <w:rsid w:val="004F5C6D"/>
    <w:rsid w:val="004F5CB1"/>
    <w:rsid w:val="004F5CEF"/>
    <w:rsid w:val="004F5D5F"/>
    <w:rsid w:val="004F5DC9"/>
    <w:rsid w:val="004F5DFD"/>
    <w:rsid w:val="004F5F50"/>
    <w:rsid w:val="004F5F8E"/>
    <w:rsid w:val="004F6085"/>
    <w:rsid w:val="004F60DC"/>
    <w:rsid w:val="004F616F"/>
    <w:rsid w:val="004F61A9"/>
    <w:rsid w:val="004F61B9"/>
    <w:rsid w:val="004F6223"/>
    <w:rsid w:val="004F63C6"/>
    <w:rsid w:val="004F6507"/>
    <w:rsid w:val="004F654D"/>
    <w:rsid w:val="004F65DB"/>
    <w:rsid w:val="004F677A"/>
    <w:rsid w:val="004F681A"/>
    <w:rsid w:val="004F681C"/>
    <w:rsid w:val="004F68C3"/>
    <w:rsid w:val="004F68EE"/>
    <w:rsid w:val="004F6912"/>
    <w:rsid w:val="004F693C"/>
    <w:rsid w:val="004F69F0"/>
    <w:rsid w:val="004F6A5B"/>
    <w:rsid w:val="004F6AEA"/>
    <w:rsid w:val="004F6B63"/>
    <w:rsid w:val="004F6CB6"/>
    <w:rsid w:val="004F6D6B"/>
    <w:rsid w:val="004F6EE5"/>
    <w:rsid w:val="004F6F39"/>
    <w:rsid w:val="004F6F8E"/>
    <w:rsid w:val="004F6FAF"/>
    <w:rsid w:val="004F6FED"/>
    <w:rsid w:val="004F7090"/>
    <w:rsid w:val="004F70E6"/>
    <w:rsid w:val="004F7103"/>
    <w:rsid w:val="004F733D"/>
    <w:rsid w:val="004F7355"/>
    <w:rsid w:val="004F737B"/>
    <w:rsid w:val="004F7400"/>
    <w:rsid w:val="004F7415"/>
    <w:rsid w:val="004F7489"/>
    <w:rsid w:val="004F771F"/>
    <w:rsid w:val="004F7786"/>
    <w:rsid w:val="004F77D1"/>
    <w:rsid w:val="004F781C"/>
    <w:rsid w:val="004F7B14"/>
    <w:rsid w:val="004F7B73"/>
    <w:rsid w:val="004F7C3C"/>
    <w:rsid w:val="004F7C4C"/>
    <w:rsid w:val="004F7C93"/>
    <w:rsid w:val="004F7E38"/>
    <w:rsid w:val="004F7E47"/>
    <w:rsid w:val="004F7EC9"/>
    <w:rsid w:val="004F7EE7"/>
    <w:rsid w:val="004F7F3A"/>
    <w:rsid w:val="004F7F5D"/>
    <w:rsid w:val="00500011"/>
    <w:rsid w:val="0050005C"/>
    <w:rsid w:val="0050013C"/>
    <w:rsid w:val="005001E0"/>
    <w:rsid w:val="00500234"/>
    <w:rsid w:val="00500252"/>
    <w:rsid w:val="0050027F"/>
    <w:rsid w:val="00500310"/>
    <w:rsid w:val="00500328"/>
    <w:rsid w:val="005003C8"/>
    <w:rsid w:val="005003CF"/>
    <w:rsid w:val="0050043F"/>
    <w:rsid w:val="00500487"/>
    <w:rsid w:val="00500517"/>
    <w:rsid w:val="00500548"/>
    <w:rsid w:val="005005BF"/>
    <w:rsid w:val="00500720"/>
    <w:rsid w:val="005007D4"/>
    <w:rsid w:val="0050080D"/>
    <w:rsid w:val="00500946"/>
    <w:rsid w:val="005009AE"/>
    <w:rsid w:val="005009F3"/>
    <w:rsid w:val="00500A44"/>
    <w:rsid w:val="00500A93"/>
    <w:rsid w:val="00500A95"/>
    <w:rsid w:val="00500B49"/>
    <w:rsid w:val="00500D46"/>
    <w:rsid w:val="00500D5E"/>
    <w:rsid w:val="00500DD4"/>
    <w:rsid w:val="00500DD6"/>
    <w:rsid w:val="00500DF4"/>
    <w:rsid w:val="00500E17"/>
    <w:rsid w:val="00500F88"/>
    <w:rsid w:val="00500F9A"/>
    <w:rsid w:val="00501173"/>
    <w:rsid w:val="005011F2"/>
    <w:rsid w:val="005013F2"/>
    <w:rsid w:val="005013FD"/>
    <w:rsid w:val="00501442"/>
    <w:rsid w:val="005014F3"/>
    <w:rsid w:val="0050151A"/>
    <w:rsid w:val="0050157F"/>
    <w:rsid w:val="0050159C"/>
    <w:rsid w:val="00501607"/>
    <w:rsid w:val="0050169A"/>
    <w:rsid w:val="005016E4"/>
    <w:rsid w:val="00501784"/>
    <w:rsid w:val="00501788"/>
    <w:rsid w:val="005017E8"/>
    <w:rsid w:val="005018CF"/>
    <w:rsid w:val="00501A61"/>
    <w:rsid w:val="00501AC7"/>
    <w:rsid w:val="00501AFF"/>
    <w:rsid w:val="00501B14"/>
    <w:rsid w:val="00501CCF"/>
    <w:rsid w:val="00501D62"/>
    <w:rsid w:val="00501D8C"/>
    <w:rsid w:val="00501E5E"/>
    <w:rsid w:val="00501EDA"/>
    <w:rsid w:val="00501F49"/>
    <w:rsid w:val="00501F4D"/>
    <w:rsid w:val="0050200B"/>
    <w:rsid w:val="0050212F"/>
    <w:rsid w:val="0050222C"/>
    <w:rsid w:val="005022AF"/>
    <w:rsid w:val="005022C0"/>
    <w:rsid w:val="00502313"/>
    <w:rsid w:val="00502417"/>
    <w:rsid w:val="005024C1"/>
    <w:rsid w:val="00502501"/>
    <w:rsid w:val="0050255F"/>
    <w:rsid w:val="00502582"/>
    <w:rsid w:val="005025C6"/>
    <w:rsid w:val="005025D5"/>
    <w:rsid w:val="005025FF"/>
    <w:rsid w:val="00502600"/>
    <w:rsid w:val="0050265A"/>
    <w:rsid w:val="005026AC"/>
    <w:rsid w:val="00502817"/>
    <w:rsid w:val="00502957"/>
    <w:rsid w:val="005029C3"/>
    <w:rsid w:val="00502A68"/>
    <w:rsid w:val="00502B61"/>
    <w:rsid w:val="00502B62"/>
    <w:rsid w:val="00502BF2"/>
    <w:rsid w:val="00502C6A"/>
    <w:rsid w:val="00502E7D"/>
    <w:rsid w:val="00502F18"/>
    <w:rsid w:val="00502F90"/>
    <w:rsid w:val="00502FE3"/>
    <w:rsid w:val="005030C7"/>
    <w:rsid w:val="005030F0"/>
    <w:rsid w:val="00503165"/>
    <w:rsid w:val="005031F6"/>
    <w:rsid w:val="0050324D"/>
    <w:rsid w:val="0050324E"/>
    <w:rsid w:val="00503310"/>
    <w:rsid w:val="0050339F"/>
    <w:rsid w:val="005033BB"/>
    <w:rsid w:val="005033D2"/>
    <w:rsid w:val="0050340B"/>
    <w:rsid w:val="0050350F"/>
    <w:rsid w:val="005035EF"/>
    <w:rsid w:val="0050362A"/>
    <w:rsid w:val="00503794"/>
    <w:rsid w:val="005037A9"/>
    <w:rsid w:val="005037BC"/>
    <w:rsid w:val="00503803"/>
    <w:rsid w:val="00503917"/>
    <w:rsid w:val="005039A3"/>
    <w:rsid w:val="00503A16"/>
    <w:rsid w:val="00503A47"/>
    <w:rsid w:val="00503A7B"/>
    <w:rsid w:val="00503B35"/>
    <w:rsid w:val="00503C37"/>
    <w:rsid w:val="00503C57"/>
    <w:rsid w:val="00503CB6"/>
    <w:rsid w:val="00503CE1"/>
    <w:rsid w:val="00503D00"/>
    <w:rsid w:val="00503D95"/>
    <w:rsid w:val="00503DB7"/>
    <w:rsid w:val="00503EB7"/>
    <w:rsid w:val="00503FB3"/>
    <w:rsid w:val="00503FFA"/>
    <w:rsid w:val="00504022"/>
    <w:rsid w:val="005040B9"/>
    <w:rsid w:val="0050421D"/>
    <w:rsid w:val="0050421F"/>
    <w:rsid w:val="00504236"/>
    <w:rsid w:val="005042ED"/>
    <w:rsid w:val="0050438F"/>
    <w:rsid w:val="0050448B"/>
    <w:rsid w:val="005044C3"/>
    <w:rsid w:val="005044DD"/>
    <w:rsid w:val="0050450A"/>
    <w:rsid w:val="0050465B"/>
    <w:rsid w:val="005046E9"/>
    <w:rsid w:val="00504740"/>
    <w:rsid w:val="005047B3"/>
    <w:rsid w:val="005047EF"/>
    <w:rsid w:val="005048B2"/>
    <w:rsid w:val="0050497D"/>
    <w:rsid w:val="00504995"/>
    <w:rsid w:val="00504A1B"/>
    <w:rsid w:val="00504B4F"/>
    <w:rsid w:val="00504C64"/>
    <w:rsid w:val="00504D6E"/>
    <w:rsid w:val="00504DB0"/>
    <w:rsid w:val="00504E43"/>
    <w:rsid w:val="00504E6C"/>
    <w:rsid w:val="00504EAA"/>
    <w:rsid w:val="00505051"/>
    <w:rsid w:val="00505138"/>
    <w:rsid w:val="0050516E"/>
    <w:rsid w:val="00505188"/>
    <w:rsid w:val="005051C0"/>
    <w:rsid w:val="0050524F"/>
    <w:rsid w:val="00505296"/>
    <w:rsid w:val="005052D1"/>
    <w:rsid w:val="005055D2"/>
    <w:rsid w:val="00505633"/>
    <w:rsid w:val="0050564A"/>
    <w:rsid w:val="005056B7"/>
    <w:rsid w:val="0050571A"/>
    <w:rsid w:val="005059E6"/>
    <w:rsid w:val="00505B7F"/>
    <w:rsid w:val="00505BBE"/>
    <w:rsid w:val="00505C1D"/>
    <w:rsid w:val="00505C6B"/>
    <w:rsid w:val="00505DE4"/>
    <w:rsid w:val="00505DEB"/>
    <w:rsid w:val="00505E4E"/>
    <w:rsid w:val="00505F01"/>
    <w:rsid w:val="00505FF8"/>
    <w:rsid w:val="005060BB"/>
    <w:rsid w:val="005060CD"/>
    <w:rsid w:val="00506177"/>
    <w:rsid w:val="0050621D"/>
    <w:rsid w:val="00506249"/>
    <w:rsid w:val="0050626A"/>
    <w:rsid w:val="005062BD"/>
    <w:rsid w:val="005063B1"/>
    <w:rsid w:val="005063CC"/>
    <w:rsid w:val="0050643E"/>
    <w:rsid w:val="00506463"/>
    <w:rsid w:val="00506468"/>
    <w:rsid w:val="00506579"/>
    <w:rsid w:val="00506593"/>
    <w:rsid w:val="005065B7"/>
    <w:rsid w:val="005065D9"/>
    <w:rsid w:val="00506808"/>
    <w:rsid w:val="0050687E"/>
    <w:rsid w:val="005068C7"/>
    <w:rsid w:val="0050696D"/>
    <w:rsid w:val="00506993"/>
    <w:rsid w:val="00506B27"/>
    <w:rsid w:val="00506BF9"/>
    <w:rsid w:val="00506C33"/>
    <w:rsid w:val="00506C6D"/>
    <w:rsid w:val="00506C82"/>
    <w:rsid w:val="00506D47"/>
    <w:rsid w:val="00506D7C"/>
    <w:rsid w:val="00506DB8"/>
    <w:rsid w:val="00506E59"/>
    <w:rsid w:val="00506FD5"/>
    <w:rsid w:val="0050726F"/>
    <w:rsid w:val="00507305"/>
    <w:rsid w:val="0050732F"/>
    <w:rsid w:val="005073AA"/>
    <w:rsid w:val="005073D6"/>
    <w:rsid w:val="005073F3"/>
    <w:rsid w:val="005073F9"/>
    <w:rsid w:val="00507404"/>
    <w:rsid w:val="00507454"/>
    <w:rsid w:val="00507489"/>
    <w:rsid w:val="005074A6"/>
    <w:rsid w:val="005074BF"/>
    <w:rsid w:val="005074F6"/>
    <w:rsid w:val="0050763F"/>
    <w:rsid w:val="005076E3"/>
    <w:rsid w:val="0050771B"/>
    <w:rsid w:val="00507726"/>
    <w:rsid w:val="00507754"/>
    <w:rsid w:val="0050775D"/>
    <w:rsid w:val="005077B1"/>
    <w:rsid w:val="005077D1"/>
    <w:rsid w:val="0050782C"/>
    <w:rsid w:val="00507850"/>
    <w:rsid w:val="005078E4"/>
    <w:rsid w:val="005078E7"/>
    <w:rsid w:val="005078ED"/>
    <w:rsid w:val="005079A7"/>
    <w:rsid w:val="00507A25"/>
    <w:rsid w:val="00507A6B"/>
    <w:rsid w:val="00507A91"/>
    <w:rsid w:val="00507A98"/>
    <w:rsid w:val="00507AA9"/>
    <w:rsid w:val="00507CE0"/>
    <w:rsid w:val="00507DB5"/>
    <w:rsid w:val="00507E42"/>
    <w:rsid w:val="00507E47"/>
    <w:rsid w:val="00507E5B"/>
    <w:rsid w:val="00507E65"/>
    <w:rsid w:val="00507F36"/>
    <w:rsid w:val="00507F7F"/>
    <w:rsid w:val="00510056"/>
    <w:rsid w:val="00510078"/>
    <w:rsid w:val="00510096"/>
    <w:rsid w:val="005100AD"/>
    <w:rsid w:val="00510145"/>
    <w:rsid w:val="00510247"/>
    <w:rsid w:val="0051027C"/>
    <w:rsid w:val="0051028E"/>
    <w:rsid w:val="005102E2"/>
    <w:rsid w:val="0051034D"/>
    <w:rsid w:val="005104FD"/>
    <w:rsid w:val="00510512"/>
    <w:rsid w:val="00510732"/>
    <w:rsid w:val="0051074E"/>
    <w:rsid w:val="0051081B"/>
    <w:rsid w:val="00510843"/>
    <w:rsid w:val="00510849"/>
    <w:rsid w:val="005108DB"/>
    <w:rsid w:val="005109B9"/>
    <w:rsid w:val="005109BD"/>
    <w:rsid w:val="00510B23"/>
    <w:rsid w:val="00510C90"/>
    <w:rsid w:val="00510E38"/>
    <w:rsid w:val="00510EA4"/>
    <w:rsid w:val="00510EB6"/>
    <w:rsid w:val="00510F5B"/>
    <w:rsid w:val="00510F96"/>
    <w:rsid w:val="00510FC9"/>
    <w:rsid w:val="00510FFC"/>
    <w:rsid w:val="00510FFF"/>
    <w:rsid w:val="00511005"/>
    <w:rsid w:val="0051101F"/>
    <w:rsid w:val="005110F4"/>
    <w:rsid w:val="0051118B"/>
    <w:rsid w:val="00511271"/>
    <w:rsid w:val="0051128E"/>
    <w:rsid w:val="005112AA"/>
    <w:rsid w:val="005112EA"/>
    <w:rsid w:val="00511345"/>
    <w:rsid w:val="00511449"/>
    <w:rsid w:val="00511470"/>
    <w:rsid w:val="005114EB"/>
    <w:rsid w:val="00511535"/>
    <w:rsid w:val="00511537"/>
    <w:rsid w:val="005115A1"/>
    <w:rsid w:val="005115C1"/>
    <w:rsid w:val="0051168B"/>
    <w:rsid w:val="005116BC"/>
    <w:rsid w:val="0051170C"/>
    <w:rsid w:val="00511743"/>
    <w:rsid w:val="005117F5"/>
    <w:rsid w:val="00511805"/>
    <w:rsid w:val="0051198E"/>
    <w:rsid w:val="00511993"/>
    <w:rsid w:val="00511A07"/>
    <w:rsid w:val="00511C06"/>
    <w:rsid w:val="00511CE8"/>
    <w:rsid w:val="00511DDA"/>
    <w:rsid w:val="00511F12"/>
    <w:rsid w:val="00512100"/>
    <w:rsid w:val="005121A7"/>
    <w:rsid w:val="00512221"/>
    <w:rsid w:val="00512223"/>
    <w:rsid w:val="0051223B"/>
    <w:rsid w:val="005122E3"/>
    <w:rsid w:val="00512308"/>
    <w:rsid w:val="005124FB"/>
    <w:rsid w:val="005124FE"/>
    <w:rsid w:val="005125B0"/>
    <w:rsid w:val="005125B4"/>
    <w:rsid w:val="00512616"/>
    <w:rsid w:val="0051261C"/>
    <w:rsid w:val="00512631"/>
    <w:rsid w:val="005126FA"/>
    <w:rsid w:val="00512735"/>
    <w:rsid w:val="0051273F"/>
    <w:rsid w:val="00512757"/>
    <w:rsid w:val="00512902"/>
    <w:rsid w:val="00512906"/>
    <w:rsid w:val="00512B1E"/>
    <w:rsid w:val="00512B79"/>
    <w:rsid w:val="00512B7F"/>
    <w:rsid w:val="00512B98"/>
    <w:rsid w:val="00512BA2"/>
    <w:rsid w:val="00512BA9"/>
    <w:rsid w:val="00512C08"/>
    <w:rsid w:val="00512C46"/>
    <w:rsid w:val="00512C55"/>
    <w:rsid w:val="00512CBC"/>
    <w:rsid w:val="00512D00"/>
    <w:rsid w:val="00512D21"/>
    <w:rsid w:val="00512DD1"/>
    <w:rsid w:val="00512DDC"/>
    <w:rsid w:val="00512E24"/>
    <w:rsid w:val="00512E37"/>
    <w:rsid w:val="00512E5C"/>
    <w:rsid w:val="00512ECD"/>
    <w:rsid w:val="00512F19"/>
    <w:rsid w:val="00512F2B"/>
    <w:rsid w:val="00512F2C"/>
    <w:rsid w:val="00512F75"/>
    <w:rsid w:val="00512F90"/>
    <w:rsid w:val="00512FAD"/>
    <w:rsid w:val="00513010"/>
    <w:rsid w:val="005130A6"/>
    <w:rsid w:val="005130B1"/>
    <w:rsid w:val="00513103"/>
    <w:rsid w:val="0051311D"/>
    <w:rsid w:val="005132B0"/>
    <w:rsid w:val="005132BB"/>
    <w:rsid w:val="00513351"/>
    <w:rsid w:val="00513386"/>
    <w:rsid w:val="0051349F"/>
    <w:rsid w:val="005134A5"/>
    <w:rsid w:val="005134B1"/>
    <w:rsid w:val="005134D3"/>
    <w:rsid w:val="005135C2"/>
    <w:rsid w:val="005135F6"/>
    <w:rsid w:val="00513630"/>
    <w:rsid w:val="00513698"/>
    <w:rsid w:val="005136E3"/>
    <w:rsid w:val="005137A2"/>
    <w:rsid w:val="00513830"/>
    <w:rsid w:val="0051387E"/>
    <w:rsid w:val="00513A28"/>
    <w:rsid w:val="00513A7E"/>
    <w:rsid w:val="00513ACB"/>
    <w:rsid w:val="00513B12"/>
    <w:rsid w:val="00513B95"/>
    <w:rsid w:val="00513C14"/>
    <w:rsid w:val="00513D14"/>
    <w:rsid w:val="00513F7A"/>
    <w:rsid w:val="00514011"/>
    <w:rsid w:val="005140B4"/>
    <w:rsid w:val="00514173"/>
    <w:rsid w:val="0051419C"/>
    <w:rsid w:val="005142FC"/>
    <w:rsid w:val="00514377"/>
    <w:rsid w:val="005143E8"/>
    <w:rsid w:val="0051445A"/>
    <w:rsid w:val="00514470"/>
    <w:rsid w:val="00514487"/>
    <w:rsid w:val="0051452B"/>
    <w:rsid w:val="00514550"/>
    <w:rsid w:val="005145B0"/>
    <w:rsid w:val="005147A9"/>
    <w:rsid w:val="005147B5"/>
    <w:rsid w:val="005147D1"/>
    <w:rsid w:val="00514823"/>
    <w:rsid w:val="005149B7"/>
    <w:rsid w:val="005149DB"/>
    <w:rsid w:val="005149FF"/>
    <w:rsid w:val="00514A48"/>
    <w:rsid w:val="00514B5F"/>
    <w:rsid w:val="00514BC5"/>
    <w:rsid w:val="00514C3D"/>
    <w:rsid w:val="00514CD6"/>
    <w:rsid w:val="00514D9E"/>
    <w:rsid w:val="00514DB7"/>
    <w:rsid w:val="00514DC3"/>
    <w:rsid w:val="00514E38"/>
    <w:rsid w:val="00514E7C"/>
    <w:rsid w:val="00514F6A"/>
    <w:rsid w:val="00514FF4"/>
    <w:rsid w:val="00515033"/>
    <w:rsid w:val="0051505F"/>
    <w:rsid w:val="005150A7"/>
    <w:rsid w:val="00515100"/>
    <w:rsid w:val="00515115"/>
    <w:rsid w:val="00515152"/>
    <w:rsid w:val="005151B5"/>
    <w:rsid w:val="005151DC"/>
    <w:rsid w:val="005152E4"/>
    <w:rsid w:val="00515380"/>
    <w:rsid w:val="00515425"/>
    <w:rsid w:val="00515576"/>
    <w:rsid w:val="0051557C"/>
    <w:rsid w:val="00515643"/>
    <w:rsid w:val="00515648"/>
    <w:rsid w:val="0051566C"/>
    <w:rsid w:val="005156C2"/>
    <w:rsid w:val="0051570D"/>
    <w:rsid w:val="005158AA"/>
    <w:rsid w:val="0051599D"/>
    <w:rsid w:val="00515A4F"/>
    <w:rsid w:val="00515ABC"/>
    <w:rsid w:val="00515C35"/>
    <w:rsid w:val="00515E2F"/>
    <w:rsid w:val="00515EA0"/>
    <w:rsid w:val="00515F79"/>
    <w:rsid w:val="0051601B"/>
    <w:rsid w:val="00516133"/>
    <w:rsid w:val="00516187"/>
    <w:rsid w:val="0051624C"/>
    <w:rsid w:val="0051630A"/>
    <w:rsid w:val="0051638B"/>
    <w:rsid w:val="005163EB"/>
    <w:rsid w:val="00516440"/>
    <w:rsid w:val="00516489"/>
    <w:rsid w:val="0051648E"/>
    <w:rsid w:val="005164D9"/>
    <w:rsid w:val="005164E8"/>
    <w:rsid w:val="00516514"/>
    <w:rsid w:val="00516558"/>
    <w:rsid w:val="00516602"/>
    <w:rsid w:val="00516629"/>
    <w:rsid w:val="005166C1"/>
    <w:rsid w:val="005166E6"/>
    <w:rsid w:val="00516790"/>
    <w:rsid w:val="005167D8"/>
    <w:rsid w:val="00516854"/>
    <w:rsid w:val="00516909"/>
    <w:rsid w:val="0051693B"/>
    <w:rsid w:val="00516B5F"/>
    <w:rsid w:val="00516BB4"/>
    <w:rsid w:val="00516C3C"/>
    <w:rsid w:val="00516CBE"/>
    <w:rsid w:val="00516F13"/>
    <w:rsid w:val="00516F29"/>
    <w:rsid w:val="00516F8A"/>
    <w:rsid w:val="00517038"/>
    <w:rsid w:val="00517044"/>
    <w:rsid w:val="00517099"/>
    <w:rsid w:val="00517174"/>
    <w:rsid w:val="0051724C"/>
    <w:rsid w:val="005172B9"/>
    <w:rsid w:val="005172C4"/>
    <w:rsid w:val="005172E1"/>
    <w:rsid w:val="00517396"/>
    <w:rsid w:val="005173D0"/>
    <w:rsid w:val="00517407"/>
    <w:rsid w:val="0051745F"/>
    <w:rsid w:val="00517467"/>
    <w:rsid w:val="005174E7"/>
    <w:rsid w:val="00517626"/>
    <w:rsid w:val="005176C6"/>
    <w:rsid w:val="005177D7"/>
    <w:rsid w:val="005178A8"/>
    <w:rsid w:val="005178C4"/>
    <w:rsid w:val="00517925"/>
    <w:rsid w:val="00517A2E"/>
    <w:rsid w:val="00517A4F"/>
    <w:rsid w:val="00517A6A"/>
    <w:rsid w:val="00517B0D"/>
    <w:rsid w:val="00517B66"/>
    <w:rsid w:val="00517BAE"/>
    <w:rsid w:val="00517CE7"/>
    <w:rsid w:val="00517DFB"/>
    <w:rsid w:val="00517EA9"/>
    <w:rsid w:val="00517ECC"/>
    <w:rsid w:val="00517F01"/>
    <w:rsid w:val="00520001"/>
    <w:rsid w:val="0052009F"/>
    <w:rsid w:val="0052013F"/>
    <w:rsid w:val="00520174"/>
    <w:rsid w:val="0052017A"/>
    <w:rsid w:val="00520181"/>
    <w:rsid w:val="00520184"/>
    <w:rsid w:val="00520353"/>
    <w:rsid w:val="005203D0"/>
    <w:rsid w:val="00520462"/>
    <w:rsid w:val="00520556"/>
    <w:rsid w:val="005206A5"/>
    <w:rsid w:val="005206C4"/>
    <w:rsid w:val="0052073F"/>
    <w:rsid w:val="005207D5"/>
    <w:rsid w:val="00520844"/>
    <w:rsid w:val="00520863"/>
    <w:rsid w:val="005208EB"/>
    <w:rsid w:val="00520939"/>
    <w:rsid w:val="00520AEC"/>
    <w:rsid w:val="00520AF0"/>
    <w:rsid w:val="00520B0D"/>
    <w:rsid w:val="00520BCC"/>
    <w:rsid w:val="00520BDE"/>
    <w:rsid w:val="00520C98"/>
    <w:rsid w:val="00520CE1"/>
    <w:rsid w:val="00520D00"/>
    <w:rsid w:val="00520D99"/>
    <w:rsid w:val="00520E8E"/>
    <w:rsid w:val="00520EFD"/>
    <w:rsid w:val="00520F41"/>
    <w:rsid w:val="00520F5F"/>
    <w:rsid w:val="00520F81"/>
    <w:rsid w:val="00520FBC"/>
    <w:rsid w:val="005210D7"/>
    <w:rsid w:val="005211AE"/>
    <w:rsid w:val="00521218"/>
    <w:rsid w:val="00521237"/>
    <w:rsid w:val="00521273"/>
    <w:rsid w:val="005212C4"/>
    <w:rsid w:val="005212EA"/>
    <w:rsid w:val="00521323"/>
    <w:rsid w:val="00521369"/>
    <w:rsid w:val="00521384"/>
    <w:rsid w:val="0052142B"/>
    <w:rsid w:val="0052155A"/>
    <w:rsid w:val="0052169A"/>
    <w:rsid w:val="005216FF"/>
    <w:rsid w:val="00521733"/>
    <w:rsid w:val="0052180A"/>
    <w:rsid w:val="00521959"/>
    <w:rsid w:val="00521AB6"/>
    <w:rsid w:val="00521B17"/>
    <w:rsid w:val="00521C68"/>
    <w:rsid w:val="00521F28"/>
    <w:rsid w:val="00521F7F"/>
    <w:rsid w:val="00521F92"/>
    <w:rsid w:val="0052200A"/>
    <w:rsid w:val="00522018"/>
    <w:rsid w:val="00522125"/>
    <w:rsid w:val="0052213C"/>
    <w:rsid w:val="0052213D"/>
    <w:rsid w:val="00522174"/>
    <w:rsid w:val="0052222E"/>
    <w:rsid w:val="0052228A"/>
    <w:rsid w:val="005222C0"/>
    <w:rsid w:val="005222CF"/>
    <w:rsid w:val="005223F4"/>
    <w:rsid w:val="00522438"/>
    <w:rsid w:val="00522519"/>
    <w:rsid w:val="005226B5"/>
    <w:rsid w:val="005226CA"/>
    <w:rsid w:val="005226FB"/>
    <w:rsid w:val="00522714"/>
    <w:rsid w:val="00522776"/>
    <w:rsid w:val="005227B8"/>
    <w:rsid w:val="005227F0"/>
    <w:rsid w:val="005227FD"/>
    <w:rsid w:val="005228BF"/>
    <w:rsid w:val="005229F2"/>
    <w:rsid w:val="005229FA"/>
    <w:rsid w:val="00522AB1"/>
    <w:rsid w:val="00522ACE"/>
    <w:rsid w:val="00522BBF"/>
    <w:rsid w:val="00522BF5"/>
    <w:rsid w:val="00522C59"/>
    <w:rsid w:val="00522C83"/>
    <w:rsid w:val="00522CC3"/>
    <w:rsid w:val="00522D4C"/>
    <w:rsid w:val="00522D82"/>
    <w:rsid w:val="00522DC0"/>
    <w:rsid w:val="00522E94"/>
    <w:rsid w:val="00522F70"/>
    <w:rsid w:val="00522FE4"/>
    <w:rsid w:val="00522FFF"/>
    <w:rsid w:val="0052327C"/>
    <w:rsid w:val="005235C8"/>
    <w:rsid w:val="00523670"/>
    <w:rsid w:val="005236CD"/>
    <w:rsid w:val="005236DC"/>
    <w:rsid w:val="005236EB"/>
    <w:rsid w:val="005237AF"/>
    <w:rsid w:val="00523885"/>
    <w:rsid w:val="0052389E"/>
    <w:rsid w:val="005238EE"/>
    <w:rsid w:val="00523905"/>
    <w:rsid w:val="0052399B"/>
    <w:rsid w:val="005239D0"/>
    <w:rsid w:val="00523A7C"/>
    <w:rsid w:val="00523AA1"/>
    <w:rsid w:val="00523AC0"/>
    <w:rsid w:val="00523BFD"/>
    <w:rsid w:val="00523C29"/>
    <w:rsid w:val="00523CE5"/>
    <w:rsid w:val="00523CFD"/>
    <w:rsid w:val="00523D57"/>
    <w:rsid w:val="00523D95"/>
    <w:rsid w:val="00523DB7"/>
    <w:rsid w:val="00523E20"/>
    <w:rsid w:val="00523E3C"/>
    <w:rsid w:val="00523E48"/>
    <w:rsid w:val="00523F1E"/>
    <w:rsid w:val="00523F29"/>
    <w:rsid w:val="00523FE1"/>
    <w:rsid w:val="00524021"/>
    <w:rsid w:val="00524024"/>
    <w:rsid w:val="00524124"/>
    <w:rsid w:val="00524135"/>
    <w:rsid w:val="005242F7"/>
    <w:rsid w:val="00524417"/>
    <w:rsid w:val="005247BF"/>
    <w:rsid w:val="00524971"/>
    <w:rsid w:val="00524AC1"/>
    <w:rsid w:val="00524AE1"/>
    <w:rsid w:val="00524B3E"/>
    <w:rsid w:val="00524B4E"/>
    <w:rsid w:val="00524CC8"/>
    <w:rsid w:val="00524D14"/>
    <w:rsid w:val="00524D80"/>
    <w:rsid w:val="00524DA0"/>
    <w:rsid w:val="00524DA7"/>
    <w:rsid w:val="00524EA9"/>
    <w:rsid w:val="00524FC2"/>
    <w:rsid w:val="0052501C"/>
    <w:rsid w:val="00525069"/>
    <w:rsid w:val="005251A7"/>
    <w:rsid w:val="005252DE"/>
    <w:rsid w:val="0052535A"/>
    <w:rsid w:val="0052538E"/>
    <w:rsid w:val="005253A9"/>
    <w:rsid w:val="0052542C"/>
    <w:rsid w:val="00525469"/>
    <w:rsid w:val="005254FA"/>
    <w:rsid w:val="00525630"/>
    <w:rsid w:val="00525675"/>
    <w:rsid w:val="005256B8"/>
    <w:rsid w:val="00525722"/>
    <w:rsid w:val="00525770"/>
    <w:rsid w:val="005257C3"/>
    <w:rsid w:val="00525834"/>
    <w:rsid w:val="005258BA"/>
    <w:rsid w:val="005258CB"/>
    <w:rsid w:val="00525941"/>
    <w:rsid w:val="0052594E"/>
    <w:rsid w:val="005259AA"/>
    <w:rsid w:val="00525A4D"/>
    <w:rsid w:val="00525A5A"/>
    <w:rsid w:val="00525A8D"/>
    <w:rsid w:val="00525B11"/>
    <w:rsid w:val="00525C81"/>
    <w:rsid w:val="00525C96"/>
    <w:rsid w:val="00525CA8"/>
    <w:rsid w:val="00525CDD"/>
    <w:rsid w:val="00525D46"/>
    <w:rsid w:val="00525D5C"/>
    <w:rsid w:val="00525DDE"/>
    <w:rsid w:val="0052601C"/>
    <w:rsid w:val="00526083"/>
    <w:rsid w:val="005260E6"/>
    <w:rsid w:val="005260EF"/>
    <w:rsid w:val="0052644B"/>
    <w:rsid w:val="00526460"/>
    <w:rsid w:val="00526494"/>
    <w:rsid w:val="00526562"/>
    <w:rsid w:val="00526605"/>
    <w:rsid w:val="0052669B"/>
    <w:rsid w:val="005266DB"/>
    <w:rsid w:val="0052671B"/>
    <w:rsid w:val="0052675A"/>
    <w:rsid w:val="005267A6"/>
    <w:rsid w:val="005267EC"/>
    <w:rsid w:val="00526888"/>
    <w:rsid w:val="00526903"/>
    <w:rsid w:val="005269EA"/>
    <w:rsid w:val="00526BF8"/>
    <w:rsid w:val="00526C0F"/>
    <w:rsid w:val="00526C8C"/>
    <w:rsid w:val="00526CCA"/>
    <w:rsid w:val="00526CE2"/>
    <w:rsid w:val="00526CF7"/>
    <w:rsid w:val="00526D52"/>
    <w:rsid w:val="00526D57"/>
    <w:rsid w:val="00526D64"/>
    <w:rsid w:val="00526D6B"/>
    <w:rsid w:val="00526DD9"/>
    <w:rsid w:val="00526E5A"/>
    <w:rsid w:val="00526EEF"/>
    <w:rsid w:val="00526FA0"/>
    <w:rsid w:val="00526FC9"/>
    <w:rsid w:val="0052709D"/>
    <w:rsid w:val="00527121"/>
    <w:rsid w:val="00527179"/>
    <w:rsid w:val="0052718D"/>
    <w:rsid w:val="00527208"/>
    <w:rsid w:val="0052734E"/>
    <w:rsid w:val="00527354"/>
    <w:rsid w:val="00527366"/>
    <w:rsid w:val="005273BF"/>
    <w:rsid w:val="00527576"/>
    <w:rsid w:val="0052758A"/>
    <w:rsid w:val="0052772E"/>
    <w:rsid w:val="00527743"/>
    <w:rsid w:val="00527888"/>
    <w:rsid w:val="005278D6"/>
    <w:rsid w:val="005278E8"/>
    <w:rsid w:val="0052797B"/>
    <w:rsid w:val="00527A26"/>
    <w:rsid w:val="00527A50"/>
    <w:rsid w:val="00527B34"/>
    <w:rsid w:val="00527BA0"/>
    <w:rsid w:val="00527C27"/>
    <w:rsid w:val="00527C3E"/>
    <w:rsid w:val="00527D7B"/>
    <w:rsid w:val="00527DEA"/>
    <w:rsid w:val="00527E21"/>
    <w:rsid w:val="00527FD5"/>
    <w:rsid w:val="00530050"/>
    <w:rsid w:val="005300DA"/>
    <w:rsid w:val="00530229"/>
    <w:rsid w:val="0053031C"/>
    <w:rsid w:val="00530392"/>
    <w:rsid w:val="005303A7"/>
    <w:rsid w:val="0053046E"/>
    <w:rsid w:val="0053049A"/>
    <w:rsid w:val="00530635"/>
    <w:rsid w:val="00530636"/>
    <w:rsid w:val="00530652"/>
    <w:rsid w:val="005307A2"/>
    <w:rsid w:val="00530810"/>
    <w:rsid w:val="005308F4"/>
    <w:rsid w:val="00530A00"/>
    <w:rsid w:val="00530A9C"/>
    <w:rsid w:val="00530AA6"/>
    <w:rsid w:val="00530B33"/>
    <w:rsid w:val="00530B44"/>
    <w:rsid w:val="00530B4B"/>
    <w:rsid w:val="00530BB7"/>
    <w:rsid w:val="00530E30"/>
    <w:rsid w:val="00530E31"/>
    <w:rsid w:val="00530E5F"/>
    <w:rsid w:val="00530FAA"/>
    <w:rsid w:val="00530FC8"/>
    <w:rsid w:val="0053112E"/>
    <w:rsid w:val="0053113D"/>
    <w:rsid w:val="00531430"/>
    <w:rsid w:val="00531475"/>
    <w:rsid w:val="0053156C"/>
    <w:rsid w:val="0053157B"/>
    <w:rsid w:val="00531598"/>
    <w:rsid w:val="0053160D"/>
    <w:rsid w:val="00531632"/>
    <w:rsid w:val="0053167C"/>
    <w:rsid w:val="00531749"/>
    <w:rsid w:val="005317DA"/>
    <w:rsid w:val="005317DF"/>
    <w:rsid w:val="00531862"/>
    <w:rsid w:val="0053187E"/>
    <w:rsid w:val="0053199B"/>
    <w:rsid w:val="00531A3C"/>
    <w:rsid w:val="00531A69"/>
    <w:rsid w:val="00531A7F"/>
    <w:rsid w:val="00531A85"/>
    <w:rsid w:val="00531BAE"/>
    <w:rsid w:val="00531BDB"/>
    <w:rsid w:val="00531C1C"/>
    <w:rsid w:val="00531C39"/>
    <w:rsid w:val="00531C3D"/>
    <w:rsid w:val="00531C84"/>
    <w:rsid w:val="00531F2C"/>
    <w:rsid w:val="00531F2D"/>
    <w:rsid w:val="00531F96"/>
    <w:rsid w:val="00532176"/>
    <w:rsid w:val="005321A6"/>
    <w:rsid w:val="00532309"/>
    <w:rsid w:val="00532320"/>
    <w:rsid w:val="00532398"/>
    <w:rsid w:val="005323C7"/>
    <w:rsid w:val="005323F0"/>
    <w:rsid w:val="0053240D"/>
    <w:rsid w:val="00532421"/>
    <w:rsid w:val="00532494"/>
    <w:rsid w:val="005325C9"/>
    <w:rsid w:val="005325E3"/>
    <w:rsid w:val="00532739"/>
    <w:rsid w:val="005327B8"/>
    <w:rsid w:val="00532941"/>
    <w:rsid w:val="00532944"/>
    <w:rsid w:val="00532988"/>
    <w:rsid w:val="005329A9"/>
    <w:rsid w:val="00532A08"/>
    <w:rsid w:val="00532A49"/>
    <w:rsid w:val="00532A69"/>
    <w:rsid w:val="00532A93"/>
    <w:rsid w:val="00532AEC"/>
    <w:rsid w:val="00532BC7"/>
    <w:rsid w:val="00532D3D"/>
    <w:rsid w:val="00532D3F"/>
    <w:rsid w:val="00532D88"/>
    <w:rsid w:val="00532DB5"/>
    <w:rsid w:val="00532ED4"/>
    <w:rsid w:val="00532F81"/>
    <w:rsid w:val="00532FE3"/>
    <w:rsid w:val="00532FEC"/>
    <w:rsid w:val="0053304A"/>
    <w:rsid w:val="005330B4"/>
    <w:rsid w:val="005330FC"/>
    <w:rsid w:val="00533256"/>
    <w:rsid w:val="005332E0"/>
    <w:rsid w:val="00533385"/>
    <w:rsid w:val="0053338C"/>
    <w:rsid w:val="005333A7"/>
    <w:rsid w:val="0053343B"/>
    <w:rsid w:val="005334D5"/>
    <w:rsid w:val="005334EF"/>
    <w:rsid w:val="00533558"/>
    <w:rsid w:val="00533586"/>
    <w:rsid w:val="005335F6"/>
    <w:rsid w:val="005337A5"/>
    <w:rsid w:val="005338E2"/>
    <w:rsid w:val="00533918"/>
    <w:rsid w:val="00533980"/>
    <w:rsid w:val="005339F9"/>
    <w:rsid w:val="00533AA6"/>
    <w:rsid w:val="00533B75"/>
    <w:rsid w:val="00533B7B"/>
    <w:rsid w:val="00533BCB"/>
    <w:rsid w:val="00533BD6"/>
    <w:rsid w:val="00533C34"/>
    <w:rsid w:val="00533C96"/>
    <w:rsid w:val="00533D16"/>
    <w:rsid w:val="00533D1E"/>
    <w:rsid w:val="00533E58"/>
    <w:rsid w:val="00533E7E"/>
    <w:rsid w:val="00533E91"/>
    <w:rsid w:val="00533F1A"/>
    <w:rsid w:val="00533F50"/>
    <w:rsid w:val="00533F83"/>
    <w:rsid w:val="00533FA2"/>
    <w:rsid w:val="00534046"/>
    <w:rsid w:val="005341E2"/>
    <w:rsid w:val="005342F0"/>
    <w:rsid w:val="00534311"/>
    <w:rsid w:val="00534350"/>
    <w:rsid w:val="00534608"/>
    <w:rsid w:val="00534642"/>
    <w:rsid w:val="00534701"/>
    <w:rsid w:val="00534705"/>
    <w:rsid w:val="00534721"/>
    <w:rsid w:val="0053474D"/>
    <w:rsid w:val="00534B23"/>
    <w:rsid w:val="00534BEE"/>
    <w:rsid w:val="00534C06"/>
    <w:rsid w:val="00534CBD"/>
    <w:rsid w:val="00534E0D"/>
    <w:rsid w:val="00535058"/>
    <w:rsid w:val="0053509F"/>
    <w:rsid w:val="005350DA"/>
    <w:rsid w:val="00535104"/>
    <w:rsid w:val="005351AE"/>
    <w:rsid w:val="0053526B"/>
    <w:rsid w:val="00535281"/>
    <w:rsid w:val="005352C3"/>
    <w:rsid w:val="005352DE"/>
    <w:rsid w:val="00535366"/>
    <w:rsid w:val="00535492"/>
    <w:rsid w:val="005354FC"/>
    <w:rsid w:val="0053556A"/>
    <w:rsid w:val="0053557A"/>
    <w:rsid w:val="005355D5"/>
    <w:rsid w:val="00535685"/>
    <w:rsid w:val="00535994"/>
    <w:rsid w:val="00535B1B"/>
    <w:rsid w:val="00535B2E"/>
    <w:rsid w:val="00535B83"/>
    <w:rsid w:val="00535C4B"/>
    <w:rsid w:val="00535C74"/>
    <w:rsid w:val="00535CDB"/>
    <w:rsid w:val="00535CEB"/>
    <w:rsid w:val="00535D75"/>
    <w:rsid w:val="00535DB3"/>
    <w:rsid w:val="00535E93"/>
    <w:rsid w:val="00535F70"/>
    <w:rsid w:val="0053601E"/>
    <w:rsid w:val="00536082"/>
    <w:rsid w:val="005361B0"/>
    <w:rsid w:val="00536203"/>
    <w:rsid w:val="005362C6"/>
    <w:rsid w:val="005362CA"/>
    <w:rsid w:val="00536312"/>
    <w:rsid w:val="0053633E"/>
    <w:rsid w:val="005363E0"/>
    <w:rsid w:val="005363FC"/>
    <w:rsid w:val="00536413"/>
    <w:rsid w:val="005364B0"/>
    <w:rsid w:val="005365AE"/>
    <w:rsid w:val="00536624"/>
    <w:rsid w:val="005366FA"/>
    <w:rsid w:val="00536739"/>
    <w:rsid w:val="0053675F"/>
    <w:rsid w:val="00536857"/>
    <w:rsid w:val="00536943"/>
    <w:rsid w:val="00536965"/>
    <w:rsid w:val="00536A02"/>
    <w:rsid w:val="00536A09"/>
    <w:rsid w:val="00536A93"/>
    <w:rsid w:val="00536AD3"/>
    <w:rsid w:val="00536ADF"/>
    <w:rsid w:val="00536B90"/>
    <w:rsid w:val="00536B99"/>
    <w:rsid w:val="00536C05"/>
    <w:rsid w:val="00536C57"/>
    <w:rsid w:val="00536CD3"/>
    <w:rsid w:val="00536DBE"/>
    <w:rsid w:val="00536DF1"/>
    <w:rsid w:val="00536E99"/>
    <w:rsid w:val="00536ED3"/>
    <w:rsid w:val="00537040"/>
    <w:rsid w:val="0053708F"/>
    <w:rsid w:val="00537204"/>
    <w:rsid w:val="0053734C"/>
    <w:rsid w:val="005373DB"/>
    <w:rsid w:val="00537485"/>
    <w:rsid w:val="005374F1"/>
    <w:rsid w:val="00537506"/>
    <w:rsid w:val="0053751C"/>
    <w:rsid w:val="00537584"/>
    <w:rsid w:val="005375F0"/>
    <w:rsid w:val="0053764B"/>
    <w:rsid w:val="00537771"/>
    <w:rsid w:val="0053783A"/>
    <w:rsid w:val="00537916"/>
    <w:rsid w:val="00537920"/>
    <w:rsid w:val="005379E6"/>
    <w:rsid w:val="00537A13"/>
    <w:rsid w:val="00537A19"/>
    <w:rsid w:val="00537AFC"/>
    <w:rsid w:val="00537B43"/>
    <w:rsid w:val="00537C2E"/>
    <w:rsid w:val="00537D6F"/>
    <w:rsid w:val="00537DA8"/>
    <w:rsid w:val="00537DF0"/>
    <w:rsid w:val="00537E87"/>
    <w:rsid w:val="00537F12"/>
    <w:rsid w:val="00537F5F"/>
    <w:rsid w:val="005400C0"/>
    <w:rsid w:val="00540219"/>
    <w:rsid w:val="005402ED"/>
    <w:rsid w:val="0054035E"/>
    <w:rsid w:val="0054036F"/>
    <w:rsid w:val="00540557"/>
    <w:rsid w:val="00540643"/>
    <w:rsid w:val="0054075D"/>
    <w:rsid w:val="0054076B"/>
    <w:rsid w:val="005407EC"/>
    <w:rsid w:val="00540882"/>
    <w:rsid w:val="005408A2"/>
    <w:rsid w:val="005408B6"/>
    <w:rsid w:val="00540968"/>
    <w:rsid w:val="00540AA0"/>
    <w:rsid w:val="00540B03"/>
    <w:rsid w:val="00540D01"/>
    <w:rsid w:val="00540DEB"/>
    <w:rsid w:val="00540E65"/>
    <w:rsid w:val="00540E7C"/>
    <w:rsid w:val="00540F73"/>
    <w:rsid w:val="00541112"/>
    <w:rsid w:val="0054112E"/>
    <w:rsid w:val="00541146"/>
    <w:rsid w:val="0054117D"/>
    <w:rsid w:val="00541183"/>
    <w:rsid w:val="005411E6"/>
    <w:rsid w:val="00541206"/>
    <w:rsid w:val="0054138E"/>
    <w:rsid w:val="0054139D"/>
    <w:rsid w:val="005413ED"/>
    <w:rsid w:val="0054147B"/>
    <w:rsid w:val="0054147C"/>
    <w:rsid w:val="005414E2"/>
    <w:rsid w:val="00541564"/>
    <w:rsid w:val="00541593"/>
    <w:rsid w:val="00541620"/>
    <w:rsid w:val="0054164E"/>
    <w:rsid w:val="00541685"/>
    <w:rsid w:val="005416D7"/>
    <w:rsid w:val="005417CC"/>
    <w:rsid w:val="00541830"/>
    <w:rsid w:val="00541883"/>
    <w:rsid w:val="005418AD"/>
    <w:rsid w:val="0054193B"/>
    <w:rsid w:val="00541946"/>
    <w:rsid w:val="00541A6A"/>
    <w:rsid w:val="00541A8B"/>
    <w:rsid w:val="00541AB3"/>
    <w:rsid w:val="00541B25"/>
    <w:rsid w:val="00541BB6"/>
    <w:rsid w:val="00541C67"/>
    <w:rsid w:val="00541CB7"/>
    <w:rsid w:val="00541D1B"/>
    <w:rsid w:val="00541D9F"/>
    <w:rsid w:val="00541DDD"/>
    <w:rsid w:val="00541E95"/>
    <w:rsid w:val="00541F8B"/>
    <w:rsid w:val="00541FAF"/>
    <w:rsid w:val="00541FB4"/>
    <w:rsid w:val="00542040"/>
    <w:rsid w:val="005420C2"/>
    <w:rsid w:val="00542154"/>
    <w:rsid w:val="005421F3"/>
    <w:rsid w:val="0054229E"/>
    <w:rsid w:val="0054255E"/>
    <w:rsid w:val="005425E8"/>
    <w:rsid w:val="00542706"/>
    <w:rsid w:val="0054275F"/>
    <w:rsid w:val="0054278B"/>
    <w:rsid w:val="00542847"/>
    <w:rsid w:val="00542881"/>
    <w:rsid w:val="005428B0"/>
    <w:rsid w:val="005428D2"/>
    <w:rsid w:val="00542906"/>
    <w:rsid w:val="00542A2A"/>
    <w:rsid w:val="00542A9F"/>
    <w:rsid w:val="00542B07"/>
    <w:rsid w:val="00542BC7"/>
    <w:rsid w:val="00542CC3"/>
    <w:rsid w:val="00542ECB"/>
    <w:rsid w:val="00542F0B"/>
    <w:rsid w:val="00542F3F"/>
    <w:rsid w:val="00542FF1"/>
    <w:rsid w:val="00543018"/>
    <w:rsid w:val="005430C0"/>
    <w:rsid w:val="005430F1"/>
    <w:rsid w:val="00543160"/>
    <w:rsid w:val="005432E1"/>
    <w:rsid w:val="005434A8"/>
    <w:rsid w:val="00543603"/>
    <w:rsid w:val="00543739"/>
    <w:rsid w:val="0054377E"/>
    <w:rsid w:val="00543799"/>
    <w:rsid w:val="0054388F"/>
    <w:rsid w:val="005438D4"/>
    <w:rsid w:val="00543954"/>
    <w:rsid w:val="005439B6"/>
    <w:rsid w:val="00543A73"/>
    <w:rsid w:val="00543AD9"/>
    <w:rsid w:val="00543AED"/>
    <w:rsid w:val="00543B8A"/>
    <w:rsid w:val="00543C20"/>
    <w:rsid w:val="00543C64"/>
    <w:rsid w:val="00543C9C"/>
    <w:rsid w:val="00543CA4"/>
    <w:rsid w:val="00543E68"/>
    <w:rsid w:val="00543F21"/>
    <w:rsid w:val="00543FE7"/>
    <w:rsid w:val="0054403B"/>
    <w:rsid w:val="00544088"/>
    <w:rsid w:val="0054411C"/>
    <w:rsid w:val="005441A0"/>
    <w:rsid w:val="005441D6"/>
    <w:rsid w:val="005442CF"/>
    <w:rsid w:val="00544349"/>
    <w:rsid w:val="005443B4"/>
    <w:rsid w:val="00544417"/>
    <w:rsid w:val="005444DC"/>
    <w:rsid w:val="00544618"/>
    <w:rsid w:val="00544691"/>
    <w:rsid w:val="005446B4"/>
    <w:rsid w:val="00544809"/>
    <w:rsid w:val="005448E6"/>
    <w:rsid w:val="005449CD"/>
    <w:rsid w:val="00544A11"/>
    <w:rsid w:val="00544B12"/>
    <w:rsid w:val="00544B36"/>
    <w:rsid w:val="00544B8A"/>
    <w:rsid w:val="00544BD7"/>
    <w:rsid w:val="00544EC3"/>
    <w:rsid w:val="00544EF3"/>
    <w:rsid w:val="00544F2F"/>
    <w:rsid w:val="00545001"/>
    <w:rsid w:val="0054500C"/>
    <w:rsid w:val="00545093"/>
    <w:rsid w:val="00545109"/>
    <w:rsid w:val="00545281"/>
    <w:rsid w:val="005452B2"/>
    <w:rsid w:val="00545305"/>
    <w:rsid w:val="005453A9"/>
    <w:rsid w:val="0054551F"/>
    <w:rsid w:val="00545761"/>
    <w:rsid w:val="0054586F"/>
    <w:rsid w:val="00545A48"/>
    <w:rsid w:val="00545B66"/>
    <w:rsid w:val="00545B6D"/>
    <w:rsid w:val="00545C27"/>
    <w:rsid w:val="00545C88"/>
    <w:rsid w:val="00545EDB"/>
    <w:rsid w:val="00545F30"/>
    <w:rsid w:val="00545F47"/>
    <w:rsid w:val="00545F75"/>
    <w:rsid w:val="00545F95"/>
    <w:rsid w:val="00545FB7"/>
    <w:rsid w:val="00546014"/>
    <w:rsid w:val="0054606A"/>
    <w:rsid w:val="00546093"/>
    <w:rsid w:val="005460FA"/>
    <w:rsid w:val="00546339"/>
    <w:rsid w:val="0054633C"/>
    <w:rsid w:val="00546363"/>
    <w:rsid w:val="005463DF"/>
    <w:rsid w:val="005464E7"/>
    <w:rsid w:val="0054650E"/>
    <w:rsid w:val="005466F0"/>
    <w:rsid w:val="005467A3"/>
    <w:rsid w:val="005467C5"/>
    <w:rsid w:val="0054687C"/>
    <w:rsid w:val="0054691E"/>
    <w:rsid w:val="0054692E"/>
    <w:rsid w:val="005469B6"/>
    <w:rsid w:val="00546B18"/>
    <w:rsid w:val="00546B4A"/>
    <w:rsid w:val="00546D2D"/>
    <w:rsid w:val="00546D4E"/>
    <w:rsid w:val="00546D92"/>
    <w:rsid w:val="00546E05"/>
    <w:rsid w:val="00546E7C"/>
    <w:rsid w:val="00547041"/>
    <w:rsid w:val="005470C2"/>
    <w:rsid w:val="005470E3"/>
    <w:rsid w:val="005470E5"/>
    <w:rsid w:val="00547154"/>
    <w:rsid w:val="00547204"/>
    <w:rsid w:val="0054727D"/>
    <w:rsid w:val="005472DD"/>
    <w:rsid w:val="005473AB"/>
    <w:rsid w:val="005473B1"/>
    <w:rsid w:val="005473CD"/>
    <w:rsid w:val="0054751E"/>
    <w:rsid w:val="00547537"/>
    <w:rsid w:val="005475AE"/>
    <w:rsid w:val="005476DA"/>
    <w:rsid w:val="00547718"/>
    <w:rsid w:val="0054777B"/>
    <w:rsid w:val="00547832"/>
    <w:rsid w:val="0054795A"/>
    <w:rsid w:val="00547963"/>
    <w:rsid w:val="005479CE"/>
    <w:rsid w:val="005479F0"/>
    <w:rsid w:val="00547B09"/>
    <w:rsid w:val="00547B39"/>
    <w:rsid w:val="00547B3D"/>
    <w:rsid w:val="00547B48"/>
    <w:rsid w:val="00547B56"/>
    <w:rsid w:val="00547B94"/>
    <w:rsid w:val="00547C2B"/>
    <w:rsid w:val="00547C90"/>
    <w:rsid w:val="00547CD2"/>
    <w:rsid w:val="00547DA6"/>
    <w:rsid w:val="00547E4E"/>
    <w:rsid w:val="00547EF9"/>
    <w:rsid w:val="00547F18"/>
    <w:rsid w:val="00547F62"/>
    <w:rsid w:val="00547FAA"/>
    <w:rsid w:val="00550116"/>
    <w:rsid w:val="00550122"/>
    <w:rsid w:val="00550149"/>
    <w:rsid w:val="0055018B"/>
    <w:rsid w:val="005502AA"/>
    <w:rsid w:val="00550355"/>
    <w:rsid w:val="00550420"/>
    <w:rsid w:val="005504FD"/>
    <w:rsid w:val="005506C3"/>
    <w:rsid w:val="0055080F"/>
    <w:rsid w:val="00550A09"/>
    <w:rsid w:val="00550A4B"/>
    <w:rsid w:val="00550A4D"/>
    <w:rsid w:val="00550B50"/>
    <w:rsid w:val="00550B68"/>
    <w:rsid w:val="00550B70"/>
    <w:rsid w:val="00550CC4"/>
    <w:rsid w:val="00550D98"/>
    <w:rsid w:val="00550DB7"/>
    <w:rsid w:val="00550E70"/>
    <w:rsid w:val="00550EFC"/>
    <w:rsid w:val="00550F04"/>
    <w:rsid w:val="00550F25"/>
    <w:rsid w:val="00550F61"/>
    <w:rsid w:val="00550FC7"/>
    <w:rsid w:val="005510D6"/>
    <w:rsid w:val="00551145"/>
    <w:rsid w:val="00551191"/>
    <w:rsid w:val="00551198"/>
    <w:rsid w:val="00551199"/>
    <w:rsid w:val="00551214"/>
    <w:rsid w:val="00551315"/>
    <w:rsid w:val="00551352"/>
    <w:rsid w:val="00551394"/>
    <w:rsid w:val="0055139D"/>
    <w:rsid w:val="00551432"/>
    <w:rsid w:val="00551601"/>
    <w:rsid w:val="0055167B"/>
    <w:rsid w:val="005516D4"/>
    <w:rsid w:val="0055174B"/>
    <w:rsid w:val="005517C4"/>
    <w:rsid w:val="005518A7"/>
    <w:rsid w:val="005518D8"/>
    <w:rsid w:val="005519FE"/>
    <w:rsid w:val="00551BCE"/>
    <w:rsid w:val="00551C13"/>
    <w:rsid w:val="00551C22"/>
    <w:rsid w:val="00551D94"/>
    <w:rsid w:val="00551DF2"/>
    <w:rsid w:val="00551E8B"/>
    <w:rsid w:val="00552005"/>
    <w:rsid w:val="0055201E"/>
    <w:rsid w:val="00552064"/>
    <w:rsid w:val="0055206E"/>
    <w:rsid w:val="00552078"/>
    <w:rsid w:val="005520AF"/>
    <w:rsid w:val="005520B7"/>
    <w:rsid w:val="005520CE"/>
    <w:rsid w:val="00552200"/>
    <w:rsid w:val="005522CB"/>
    <w:rsid w:val="00552354"/>
    <w:rsid w:val="005523E4"/>
    <w:rsid w:val="0055240F"/>
    <w:rsid w:val="0055242A"/>
    <w:rsid w:val="00552517"/>
    <w:rsid w:val="005525FE"/>
    <w:rsid w:val="0055263E"/>
    <w:rsid w:val="0055266A"/>
    <w:rsid w:val="005526C1"/>
    <w:rsid w:val="00552707"/>
    <w:rsid w:val="0055271E"/>
    <w:rsid w:val="00552747"/>
    <w:rsid w:val="005527B6"/>
    <w:rsid w:val="00552842"/>
    <w:rsid w:val="00552871"/>
    <w:rsid w:val="005528AB"/>
    <w:rsid w:val="005528DE"/>
    <w:rsid w:val="005529E8"/>
    <w:rsid w:val="005529F5"/>
    <w:rsid w:val="00552AE5"/>
    <w:rsid w:val="00552B10"/>
    <w:rsid w:val="00552B60"/>
    <w:rsid w:val="00552BF2"/>
    <w:rsid w:val="00552C37"/>
    <w:rsid w:val="00552EB4"/>
    <w:rsid w:val="00552EC3"/>
    <w:rsid w:val="00552EE2"/>
    <w:rsid w:val="00552FCE"/>
    <w:rsid w:val="0055314F"/>
    <w:rsid w:val="00553176"/>
    <w:rsid w:val="00553280"/>
    <w:rsid w:val="005532FF"/>
    <w:rsid w:val="005533AA"/>
    <w:rsid w:val="00553463"/>
    <w:rsid w:val="005534B0"/>
    <w:rsid w:val="005535E7"/>
    <w:rsid w:val="00553627"/>
    <w:rsid w:val="005537AA"/>
    <w:rsid w:val="00553846"/>
    <w:rsid w:val="00553872"/>
    <w:rsid w:val="00553890"/>
    <w:rsid w:val="00553977"/>
    <w:rsid w:val="00553981"/>
    <w:rsid w:val="005539FA"/>
    <w:rsid w:val="00553A2B"/>
    <w:rsid w:val="00553A66"/>
    <w:rsid w:val="00553A7F"/>
    <w:rsid w:val="00553B7E"/>
    <w:rsid w:val="00553B8F"/>
    <w:rsid w:val="00553C1D"/>
    <w:rsid w:val="00553C36"/>
    <w:rsid w:val="00553C74"/>
    <w:rsid w:val="00553D6A"/>
    <w:rsid w:val="00553D6F"/>
    <w:rsid w:val="00553E33"/>
    <w:rsid w:val="00553FFD"/>
    <w:rsid w:val="00554025"/>
    <w:rsid w:val="00554061"/>
    <w:rsid w:val="005540CC"/>
    <w:rsid w:val="005541D5"/>
    <w:rsid w:val="005541FC"/>
    <w:rsid w:val="005542E0"/>
    <w:rsid w:val="005542F7"/>
    <w:rsid w:val="00554314"/>
    <w:rsid w:val="0055433C"/>
    <w:rsid w:val="00554394"/>
    <w:rsid w:val="005543B1"/>
    <w:rsid w:val="0055447B"/>
    <w:rsid w:val="005544EA"/>
    <w:rsid w:val="005544FB"/>
    <w:rsid w:val="0055451F"/>
    <w:rsid w:val="0055458F"/>
    <w:rsid w:val="005546CA"/>
    <w:rsid w:val="0055473A"/>
    <w:rsid w:val="0055486B"/>
    <w:rsid w:val="005548D2"/>
    <w:rsid w:val="00554987"/>
    <w:rsid w:val="005549EB"/>
    <w:rsid w:val="00554A18"/>
    <w:rsid w:val="00554C80"/>
    <w:rsid w:val="00554D56"/>
    <w:rsid w:val="00554E65"/>
    <w:rsid w:val="00554EF1"/>
    <w:rsid w:val="00554F41"/>
    <w:rsid w:val="00554F6B"/>
    <w:rsid w:val="00554FAA"/>
    <w:rsid w:val="00554FAB"/>
    <w:rsid w:val="00554FCE"/>
    <w:rsid w:val="0055506D"/>
    <w:rsid w:val="005550E1"/>
    <w:rsid w:val="0055516C"/>
    <w:rsid w:val="005551BC"/>
    <w:rsid w:val="00555248"/>
    <w:rsid w:val="00555351"/>
    <w:rsid w:val="00555422"/>
    <w:rsid w:val="0055557D"/>
    <w:rsid w:val="005555A5"/>
    <w:rsid w:val="005556D4"/>
    <w:rsid w:val="00555791"/>
    <w:rsid w:val="00555849"/>
    <w:rsid w:val="00555878"/>
    <w:rsid w:val="005558C6"/>
    <w:rsid w:val="005558D2"/>
    <w:rsid w:val="005558F1"/>
    <w:rsid w:val="005559E4"/>
    <w:rsid w:val="00555A2F"/>
    <w:rsid w:val="00555AB6"/>
    <w:rsid w:val="00555B3B"/>
    <w:rsid w:val="00555B66"/>
    <w:rsid w:val="00555BB7"/>
    <w:rsid w:val="00555D47"/>
    <w:rsid w:val="00555D5A"/>
    <w:rsid w:val="00555DCB"/>
    <w:rsid w:val="00555DD2"/>
    <w:rsid w:val="00555E8C"/>
    <w:rsid w:val="00555F4F"/>
    <w:rsid w:val="00555FE9"/>
    <w:rsid w:val="00556074"/>
    <w:rsid w:val="00556097"/>
    <w:rsid w:val="005560E1"/>
    <w:rsid w:val="00556161"/>
    <w:rsid w:val="0055618B"/>
    <w:rsid w:val="0055628C"/>
    <w:rsid w:val="005562D6"/>
    <w:rsid w:val="0055643C"/>
    <w:rsid w:val="00556568"/>
    <w:rsid w:val="005565F9"/>
    <w:rsid w:val="005566A3"/>
    <w:rsid w:val="005566CC"/>
    <w:rsid w:val="005567AA"/>
    <w:rsid w:val="005567D0"/>
    <w:rsid w:val="00556804"/>
    <w:rsid w:val="00556822"/>
    <w:rsid w:val="005568C4"/>
    <w:rsid w:val="005568F5"/>
    <w:rsid w:val="00556940"/>
    <w:rsid w:val="0055694A"/>
    <w:rsid w:val="005569B7"/>
    <w:rsid w:val="00556A1E"/>
    <w:rsid w:val="00556A27"/>
    <w:rsid w:val="00556A4F"/>
    <w:rsid w:val="00556B7C"/>
    <w:rsid w:val="00556BE6"/>
    <w:rsid w:val="00556C92"/>
    <w:rsid w:val="00556C9E"/>
    <w:rsid w:val="00556CAD"/>
    <w:rsid w:val="00556CCF"/>
    <w:rsid w:val="00556CDB"/>
    <w:rsid w:val="00556D4B"/>
    <w:rsid w:val="00556E1E"/>
    <w:rsid w:val="00556E6D"/>
    <w:rsid w:val="00556EFC"/>
    <w:rsid w:val="00556F18"/>
    <w:rsid w:val="00556F23"/>
    <w:rsid w:val="0055709E"/>
    <w:rsid w:val="005570CF"/>
    <w:rsid w:val="005570E0"/>
    <w:rsid w:val="00557178"/>
    <w:rsid w:val="005571C3"/>
    <w:rsid w:val="005572EE"/>
    <w:rsid w:val="0055732B"/>
    <w:rsid w:val="00557360"/>
    <w:rsid w:val="005573D5"/>
    <w:rsid w:val="005573FB"/>
    <w:rsid w:val="00557539"/>
    <w:rsid w:val="005575B0"/>
    <w:rsid w:val="0055764D"/>
    <w:rsid w:val="005576CF"/>
    <w:rsid w:val="005576EF"/>
    <w:rsid w:val="00557810"/>
    <w:rsid w:val="0055781E"/>
    <w:rsid w:val="00557876"/>
    <w:rsid w:val="005578EC"/>
    <w:rsid w:val="0055790E"/>
    <w:rsid w:val="005579C5"/>
    <w:rsid w:val="005579F9"/>
    <w:rsid w:val="00557A8A"/>
    <w:rsid w:val="00557B3E"/>
    <w:rsid w:val="00557BA6"/>
    <w:rsid w:val="00557BBC"/>
    <w:rsid w:val="00557C98"/>
    <w:rsid w:val="00557CDA"/>
    <w:rsid w:val="00557E01"/>
    <w:rsid w:val="00557E0B"/>
    <w:rsid w:val="00557F7A"/>
    <w:rsid w:val="005600A5"/>
    <w:rsid w:val="005600DF"/>
    <w:rsid w:val="005601F4"/>
    <w:rsid w:val="00560266"/>
    <w:rsid w:val="005602AF"/>
    <w:rsid w:val="00560408"/>
    <w:rsid w:val="0056040C"/>
    <w:rsid w:val="0056045D"/>
    <w:rsid w:val="0056045E"/>
    <w:rsid w:val="005604D5"/>
    <w:rsid w:val="0056055D"/>
    <w:rsid w:val="00560573"/>
    <w:rsid w:val="005605CA"/>
    <w:rsid w:val="0056065E"/>
    <w:rsid w:val="0056067A"/>
    <w:rsid w:val="00560698"/>
    <w:rsid w:val="00560732"/>
    <w:rsid w:val="005607B9"/>
    <w:rsid w:val="0056084F"/>
    <w:rsid w:val="0056085B"/>
    <w:rsid w:val="0056087A"/>
    <w:rsid w:val="0056088F"/>
    <w:rsid w:val="00560932"/>
    <w:rsid w:val="00560B5E"/>
    <w:rsid w:val="00560DF3"/>
    <w:rsid w:val="00560E57"/>
    <w:rsid w:val="00560F92"/>
    <w:rsid w:val="00560FC9"/>
    <w:rsid w:val="00560FD0"/>
    <w:rsid w:val="00561020"/>
    <w:rsid w:val="00561031"/>
    <w:rsid w:val="00561066"/>
    <w:rsid w:val="005610D0"/>
    <w:rsid w:val="00561108"/>
    <w:rsid w:val="0056110A"/>
    <w:rsid w:val="00561277"/>
    <w:rsid w:val="00561381"/>
    <w:rsid w:val="00561420"/>
    <w:rsid w:val="005614D4"/>
    <w:rsid w:val="00561571"/>
    <w:rsid w:val="005615DC"/>
    <w:rsid w:val="00561644"/>
    <w:rsid w:val="00561791"/>
    <w:rsid w:val="005617D4"/>
    <w:rsid w:val="005618CA"/>
    <w:rsid w:val="00561B0F"/>
    <w:rsid w:val="00561B21"/>
    <w:rsid w:val="00561BA5"/>
    <w:rsid w:val="00561BED"/>
    <w:rsid w:val="00561C67"/>
    <w:rsid w:val="00561CE5"/>
    <w:rsid w:val="00561E1D"/>
    <w:rsid w:val="00561E2F"/>
    <w:rsid w:val="00561E8D"/>
    <w:rsid w:val="00561EEB"/>
    <w:rsid w:val="00561F30"/>
    <w:rsid w:val="00561FB5"/>
    <w:rsid w:val="0056215C"/>
    <w:rsid w:val="00562275"/>
    <w:rsid w:val="00562285"/>
    <w:rsid w:val="005622C0"/>
    <w:rsid w:val="0056231D"/>
    <w:rsid w:val="005624F9"/>
    <w:rsid w:val="0056260F"/>
    <w:rsid w:val="00562626"/>
    <w:rsid w:val="0056269B"/>
    <w:rsid w:val="00562756"/>
    <w:rsid w:val="0056276D"/>
    <w:rsid w:val="005627F1"/>
    <w:rsid w:val="0056281F"/>
    <w:rsid w:val="00562834"/>
    <w:rsid w:val="005628E8"/>
    <w:rsid w:val="0056290C"/>
    <w:rsid w:val="00562A69"/>
    <w:rsid w:val="00562AD9"/>
    <w:rsid w:val="00562BB9"/>
    <w:rsid w:val="00562D43"/>
    <w:rsid w:val="00562D7D"/>
    <w:rsid w:val="00562F3E"/>
    <w:rsid w:val="00562FF3"/>
    <w:rsid w:val="00563024"/>
    <w:rsid w:val="0056307A"/>
    <w:rsid w:val="005630BE"/>
    <w:rsid w:val="005631D4"/>
    <w:rsid w:val="005631F0"/>
    <w:rsid w:val="00563296"/>
    <w:rsid w:val="005632FE"/>
    <w:rsid w:val="0056333C"/>
    <w:rsid w:val="00563385"/>
    <w:rsid w:val="00563394"/>
    <w:rsid w:val="005633D0"/>
    <w:rsid w:val="00563424"/>
    <w:rsid w:val="005634B7"/>
    <w:rsid w:val="005634F8"/>
    <w:rsid w:val="0056360A"/>
    <w:rsid w:val="00563669"/>
    <w:rsid w:val="005636D6"/>
    <w:rsid w:val="00563760"/>
    <w:rsid w:val="005637F0"/>
    <w:rsid w:val="00563862"/>
    <w:rsid w:val="00563930"/>
    <w:rsid w:val="00563973"/>
    <w:rsid w:val="00563A88"/>
    <w:rsid w:val="00563AA0"/>
    <w:rsid w:val="00563B3B"/>
    <w:rsid w:val="00563BA0"/>
    <w:rsid w:val="00563C0A"/>
    <w:rsid w:val="00563CBA"/>
    <w:rsid w:val="00563CF0"/>
    <w:rsid w:val="00563D2A"/>
    <w:rsid w:val="00563D69"/>
    <w:rsid w:val="00563E31"/>
    <w:rsid w:val="00563E76"/>
    <w:rsid w:val="00563E92"/>
    <w:rsid w:val="00563F7A"/>
    <w:rsid w:val="00564147"/>
    <w:rsid w:val="005642B0"/>
    <w:rsid w:val="0056469C"/>
    <w:rsid w:val="005646BF"/>
    <w:rsid w:val="0056474B"/>
    <w:rsid w:val="0056477D"/>
    <w:rsid w:val="005647C4"/>
    <w:rsid w:val="00564850"/>
    <w:rsid w:val="00564912"/>
    <w:rsid w:val="005649A5"/>
    <w:rsid w:val="00564AB4"/>
    <w:rsid w:val="00564B50"/>
    <w:rsid w:val="00564CAE"/>
    <w:rsid w:val="00564D0C"/>
    <w:rsid w:val="00564D35"/>
    <w:rsid w:val="00564F9B"/>
    <w:rsid w:val="00564FCE"/>
    <w:rsid w:val="0056504A"/>
    <w:rsid w:val="0056528B"/>
    <w:rsid w:val="00565305"/>
    <w:rsid w:val="00565384"/>
    <w:rsid w:val="005653CD"/>
    <w:rsid w:val="00565415"/>
    <w:rsid w:val="00565446"/>
    <w:rsid w:val="0056546C"/>
    <w:rsid w:val="00565634"/>
    <w:rsid w:val="00565695"/>
    <w:rsid w:val="00565784"/>
    <w:rsid w:val="005658F0"/>
    <w:rsid w:val="00565B7B"/>
    <w:rsid w:val="00565BEF"/>
    <w:rsid w:val="00565C4A"/>
    <w:rsid w:val="00565C7A"/>
    <w:rsid w:val="00565D8C"/>
    <w:rsid w:val="00565DAC"/>
    <w:rsid w:val="00565DED"/>
    <w:rsid w:val="00566009"/>
    <w:rsid w:val="00566093"/>
    <w:rsid w:val="005660FD"/>
    <w:rsid w:val="0056616E"/>
    <w:rsid w:val="00566173"/>
    <w:rsid w:val="00566214"/>
    <w:rsid w:val="00566282"/>
    <w:rsid w:val="00566312"/>
    <w:rsid w:val="0056636B"/>
    <w:rsid w:val="005664B1"/>
    <w:rsid w:val="005664E2"/>
    <w:rsid w:val="00566547"/>
    <w:rsid w:val="0056654A"/>
    <w:rsid w:val="005665EC"/>
    <w:rsid w:val="00566751"/>
    <w:rsid w:val="00566756"/>
    <w:rsid w:val="0056692A"/>
    <w:rsid w:val="00566A46"/>
    <w:rsid w:val="00566AAC"/>
    <w:rsid w:val="00566ADE"/>
    <w:rsid w:val="00566BD4"/>
    <w:rsid w:val="00566BDB"/>
    <w:rsid w:val="00566C22"/>
    <w:rsid w:val="00566C4A"/>
    <w:rsid w:val="00566CB9"/>
    <w:rsid w:val="00566DB4"/>
    <w:rsid w:val="00566E5A"/>
    <w:rsid w:val="00566E99"/>
    <w:rsid w:val="00566EC7"/>
    <w:rsid w:val="00566F63"/>
    <w:rsid w:val="005670DD"/>
    <w:rsid w:val="005672FE"/>
    <w:rsid w:val="0056733B"/>
    <w:rsid w:val="005675F6"/>
    <w:rsid w:val="00567604"/>
    <w:rsid w:val="00567647"/>
    <w:rsid w:val="00567687"/>
    <w:rsid w:val="005676BF"/>
    <w:rsid w:val="00567765"/>
    <w:rsid w:val="005678A1"/>
    <w:rsid w:val="005678AB"/>
    <w:rsid w:val="00567912"/>
    <w:rsid w:val="005679EE"/>
    <w:rsid w:val="00567A81"/>
    <w:rsid w:val="00567B3E"/>
    <w:rsid w:val="00567D9C"/>
    <w:rsid w:val="00567DAD"/>
    <w:rsid w:val="00567E20"/>
    <w:rsid w:val="00567E30"/>
    <w:rsid w:val="00567E4C"/>
    <w:rsid w:val="00567E6F"/>
    <w:rsid w:val="00567E76"/>
    <w:rsid w:val="00567FCE"/>
    <w:rsid w:val="00567FFD"/>
    <w:rsid w:val="0057004C"/>
    <w:rsid w:val="005701A7"/>
    <w:rsid w:val="005701C0"/>
    <w:rsid w:val="00570273"/>
    <w:rsid w:val="0057029D"/>
    <w:rsid w:val="0057031A"/>
    <w:rsid w:val="0057037C"/>
    <w:rsid w:val="00570385"/>
    <w:rsid w:val="005703EE"/>
    <w:rsid w:val="0057040D"/>
    <w:rsid w:val="0057049C"/>
    <w:rsid w:val="0057059B"/>
    <w:rsid w:val="00570637"/>
    <w:rsid w:val="00570695"/>
    <w:rsid w:val="005706DA"/>
    <w:rsid w:val="0057070B"/>
    <w:rsid w:val="0057072A"/>
    <w:rsid w:val="0057093D"/>
    <w:rsid w:val="0057097D"/>
    <w:rsid w:val="005709C1"/>
    <w:rsid w:val="005709EF"/>
    <w:rsid w:val="00570A25"/>
    <w:rsid w:val="00570A7B"/>
    <w:rsid w:val="00570C2D"/>
    <w:rsid w:val="00570C7A"/>
    <w:rsid w:val="00570D7A"/>
    <w:rsid w:val="00570D8B"/>
    <w:rsid w:val="00570DE8"/>
    <w:rsid w:val="00570E54"/>
    <w:rsid w:val="00570EF1"/>
    <w:rsid w:val="00570EFB"/>
    <w:rsid w:val="005710F7"/>
    <w:rsid w:val="0057112E"/>
    <w:rsid w:val="005711DD"/>
    <w:rsid w:val="00571232"/>
    <w:rsid w:val="005712F8"/>
    <w:rsid w:val="0057131B"/>
    <w:rsid w:val="00571465"/>
    <w:rsid w:val="005714BE"/>
    <w:rsid w:val="005714F4"/>
    <w:rsid w:val="00571529"/>
    <w:rsid w:val="00571566"/>
    <w:rsid w:val="005715F5"/>
    <w:rsid w:val="00571607"/>
    <w:rsid w:val="0057164D"/>
    <w:rsid w:val="00571663"/>
    <w:rsid w:val="00571685"/>
    <w:rsid w:val="005717A7"/>
    <w:rsid w:val="005717E7"/>
    <w:rsid w:val="005718F8"/>
    <w:rsid w:val="0057190B"/>
    <w:rsid w:val="005719ED"/>
    <w:rsid w:val="00571A67"/>
    <w:rsid w:val="00571B33"/>
    <w:rsid w:val="00571B40"/>
    <w:rsid w:val="00571C0A"/>
    <w:rsid w:val="00571E2F"/>
    <w:rsid w:val="00571F4E"/>
    <w:rsid w:val="005721A0"/>
    <w:rsid w:val="005722C6"/>
    <w:rsid w:val="0057238F"/>
    <w:rsid w:val="0057249C"/>
    <w:rsid w:val="005725AA"/>
    <w:rsid w:val="005725D2"/>
    <w:rsid w:val="005726BC"/>
    <w:rsid w:val="005726F2"/>
    <w:rsid w:val="00572724"/>
    <w:rsid w:val="0057275B"/>
    <w:rsid w:val="0057279B"/>
    <w:rsid w:val="005727ED"/>
    <w:rsid w:val="005729C0"/>
    <w:rsid w:val="00572A77"/>
    <w:rsid w:val="00572AEC"/>
    <w:rsid w:val="00572B1D"/>
    <w:rsid w:val="00572B95"/>
    <w:rsid w:val="00572BC8"/>
    <w:rsid w:val="00572CAB"/>
    <w:rsid w:val="00572D13"/>
    <w:rsid w:val="00572E0B"/>
    <w:rsid w:val="00572E9A"/>
    <w:rsid w:val="00572F33"/>
    <w:rsid w:val="00572FD1"/>
    <w:rsid w:val="00573012"/>
    <w:rsid w:val="00573091"/>
    <w:rsid w:val="005730B5"/>
    <w:rsid w:val="005730BB"/>
    <w:rsid w:val="005730E1"/>
    <w:rsid w:val="005730E4"/>
    <w:rsid w:val="0057310B"/>
    <w:rsid w:val="00573121"/>
    <w:rsid w:val="0057316B"/>
    <w:rsid w:val="00573262"/>
    <w:rsid w:val="00573280"/>
    <w:rsid w:val="005732B5"/>
    <w:rsid w:val="00573319"/>
    <w:rsid w:val="00573353"/>
    <w:rsid w:val="005733C6"/>
    <w:rsid w:val="005734C7"/>
    <w:rsid w:val="0057374C"/>
    <w:rsid w:val="00573833"/>
    <w:rsid w:val="00573862"/>
    <w:rsid w:val="0057397E"/>
    <w:rsid w:val="00573A86"/>
    <w:rsid w:val="00573AB0"/>
    <w:rsid w:val="00573B1A"/>
    <w:rsid w:val="00573C35"/>
    <w:rsid w:val="00573C50"/>
    <w:rsid w:val="00573CF3"/>
    <w:rsid w:val="00573D3D"/>
    <w:rsid w:val="00573FDC"/>
    <w:rsid w:val="0057404B"/>
    <w:rsid w:val="0057412F"/>
    <w:rsid w:val="00574331"/>
    <w:rsid w:val="00574368"/>
    <w:rsid w:val="00574398"/>
    <w:rsid w:val="00574449"/>
    <w:rsid w:val="0057444D"/>
    <w:rsid w:val="005746BB"/>
    <w:rsid w:val="005747B7"/>
    <w:rsid w:val="00574894"/>
    <w:rsid w:val="005748BF"/>
    <w:rsid w:val="00574ABD"/>
    <w:rsid w:val="00574AC6"/>
    <w:rsid w:val="00574C5E"/>
    <w:rsid w:val="00574C89"/>
    <w:rsid w:val="00574D24"/>
    <w:rsid w:val="00574D44"/>
    <w:rsid w:val="00574D68"/>
    <w:rsid w:val="00574DBE"/>
    <w:rsid w:val="00574E26"/>
    <w:rsid w:val="00574F77"/>
    <w:rsid w:val="00574FB3"/>
    <w:rsid w:val="005750FE"/>
    <w:rsid w:val="0057521C"/>
    <w:rsid w:val="005752D8"/>
    <w:rsid w:val="005752F7"/>
    <w:rsid w:val="00575318"/>
    <w:rsid w:val="00575433"/>
    <w:rsid w:val="0057543C"/>
    <w:rsid w:val="00575440"/>
    <w:rsid w:val="00575643"/>
    <w:rsid w:val="00575672"/>
    <w:rsid w:val="0057567F"/>
    <w:rsid w:val="005756B0"/>
    <w:rsid w:val="005756D3"/>
    <w:rsid w:val="005756E4"/>
    <w:rsid w:val="005757BE"/>
    <w:rsid w:val="005757DE"/>
    <w:rsid w:val="00575850"/>
    <w:rsid w:val="005758B9"/>
    <w:rsid w:val="00575A0D"/>
    <w:rsid w:val="00575A24"/>
    <w:rsid w:val="00575A3A"/>
    <w:rsid w:val="00575AD8"/>
    <w:rsid w:val="00575ADF"/>
    <w:rsid w:val="00575B28"/>
    <w:rsid w:val="00575B84"/>
    <w:rsid w:val="00575BEC"/>
    <w:rsid w:val="00575D1D"/>
    <w:rsid w:val="00575DEC"/>
    <w:rsid w:val="00575F55"/>
    <w:rsid w:val="00575F5F"/>
    <w:rsid w:val="00575FD5"/>
    <w:rsid w:val="0057605D"/>
    <w:rsid w:val="00576117"/>
    <w:rsid w:val="0057621E"/>
    <w:rsid w:val="0057636C"/>
    <w:rsid w:val="0057641E"/>
    <w:rsid w:val="005764A4"/>
    <w:rsid w:val="0057656B"/>
    <w:rsid w:val="00576650"/>
    <w:rsid w:val="00576697"/>
    <w:rsid w:val="005766E1"/>
    <w:rsid w:val="00576763"/>
    <w:rsid w:val="0057679B"/>
    <w:rsid w:val="0057679F"/>
    <w:rsid w:val="005767E2"/>
    <w:rsid w:val="0057682F"/>
    <w:rsid w:val="00576869"/>
    <w:rsid w:val="00576A28"/>
    <w:rsid w:val="00576B36"/>
    <w:rsid w:val="00576BAF"/>
    <w:rsid w:val="00576BC3"/>
    <w:rsid w:val="00576C5A"/>
    <w:rsid w:val="00576D1C"/>
    <w:rsid w:val="00576F6B"/>
    <w:rsid w:val="00576FBD"/>
    <w:rsid w:val="005770BC"/>
    <w:rsid w:val="0057714C"/>
    <w:rsid w:val="0057716C"/>
    <w:rsid w:val="005771C8"/>
    <w:rsid w:val="00577254"/>
    <w:rsid w:val="00577295"/>
    <w:rsid w:val="005773B1"/>
    <w:rsid w:val="005774CE"/>
    <w:rsid w:val="00577564"/>
    <w:rsid w:val="0057757B"/>
    <w:rsid w:val="005775A0"/>
    <w:rsid w:val="00577602"/>
    <w:rsid w:val="0057775D"/>
    <w:rsid w:val="0057778C"/>
    <w:rsid w:val="005779E8"/>
    <w:rsid w:val="00577A05"/>
    <w:rsid w:val="00577AFD"/>
    <w:rsid w:val="00577B97"/>
    <w:rsid w:val="00577BD8"/>
    <w:rsid w:val="00577CAB"/>
    <w:rsid w:val="00577CF6"/>
    <w:rsid w:val="00577D68"/>
    <w:rsid w:val="00577DF1"/>
    <w:rsid w:val="00577E9C"/>
    <w:rsid w:val="00577F77"/>
    <w:rsid w:val="0058004B"/>
    <w:rsid w:val="0058009A"/>
    <w:rsid w:val="005801BF"/>
    <w:rsid w:val="005801F3"/>
    <w:rsid w:val="00580201"/>
    <w:rsid w:val="00580257"/>
    <w:rsid w:val="0058032B"/>
    <w:rsid w:val="00580334"/>
    <w:rsid w:val="005803A0"/>
    <w:rsid w:val="005803B0"/>
    <w:rsid w:val="00580419"/>
    <w:rsid w:val="0058051F"/>
    <w:rsid w:val="00580595"/>
    <w:rsid w:val="00580655"/>
    <w:rsid w:val="00580679"/>
    <w:rsid w:val="0058072F"/>
    <w:rsid w:val="00580870"/>
    <w:rsid w:val="005808A7"/>
    <w:rsid w:val="00580944"/>
    <w:rsid w:val="00580A31"/>
    <w:rsid w:val="00580AC4"/>
    <w:rsid w:val="00580B29"/>
    <w:rsid w:val="00580C83"/>
    <w:rsid w:val="00580E16"/>
    <w:rsid w:val="00580E1A"/>
    <w:rsid w:val="00580E75"/>
    <w:rsid w:val="00580E7F"/>
    <w:rsid w:val="00580EA7"/>
    <w:rsid w:val="00580F09"/>
    <w:rsid w:val="00580FD2"/>
    <w:rsid w:val="00580FE3"/>
    <w:rsid w:val="00581021"/>
    <w:rsid w:val="00581097"/>
    <w:rsid w:val="005810B8"/>
    <w:rsid w:val="00581118"/>
    <w:rsid w:val="005811C2"/>
    <w:rsid w:val="00581223"/>
    <w:rsid w:val="00581267"/>
    <w:rsid w:val="0058126E"/>
    <w:rsid w:val="005812AA"/>
    <w:rsid w:val="005812BF"/>
    <w:rsid w:val="005812F4"/>
    <w:rsid w:val="005813CA"/>
    <w:rsid w:val="00581488"/>
    <w:rsid w:val="0058154D"/>
    <w:rsid w:val="0058162E"/>
    <w:rsid w:val="0058164C"/>
    <w:rsid w:val="00581681"/>
    <w:rsid w:val="00581784"/>
    <w:rsid w:val="00581A48"/>
    <w:rsid w:val="00581B81"/>
    <w:rsid w:val="00581BAC"/>
    <w:rsid w:val="00581BFA"/>
    <w:rsid w:val="00581C39"/>
    <w:rsid w:val="00581C44"/>
    <w:rsid w:val="00581E66"/>
    <w:rsid w:val="00581F70"/>
    <w:rsid w:val="00581FA7"/>
    <w:rsid w:val="00582005"/>
    <w:rsid w:val="00582057"/>
    <w:rsid w:val="0058217D"/>
    <w:rsid w:val="00582186"/>
    <w:rsid w:val="00582277"/>
    <w:rsid w:val="00582296"/>
    <w:rsid w:val="005822F0"/>
    <w:rsid w:val="00582324"/>
    <w:rsid w:val="0058235A"/>
    <w:rsid w:val="0058237F"/>
    <w:rsid w:val="00582443"/>
    <w:rsid w:val="005824C7"/>
    <w:rsid w:val="0058251F"/>
    <w:rsid w:val="00582714"/>
    <w:rsid w:val="00582715"/>
    <w:rsid w:val="00582742"/>
    <w:rsid w:val="00582818"/>
    <w:rsid w:val="005829A6"/>
    <w:rsid w:val="005829D3"/>
    <w:rsid w:val="00582A93"/>
    <w:rsid w:val="00582AAB"/>
    <w:rsid w:val="00582AB4"/>
    <w:rsid w:val="00582AC4"/>
    <w:rsid w:val="00582BE2"/>
    <w:rsid w:val="00582CF7"/>
    <w:rsid w:val="00582DCF"/>
    <w:rsid w:val="00582E1E"/>
    <w:rsid w:val="00582EF9"/>
    <w:rsid w:val="00582F5B"/>
    <w:rsid w:val="0058302B"/>
    <w:rsid w:val="005830C5"/>
    <w:rsid w:val="005830CF"/>
    <w:rsid w:val="0058311C"/>
    <w:rsid w:val="00583176"/>
    <w:rsid w:val="0058338A"/>
    <w:rsid w:val="005833F5"/>
    <w:rsid w:val="00583409"/>
    <w:rsid w:val="0058340A"/>
    <w:rsid w:val="00583428"/>
    <w:rsid w:val="00583453"/>
    <w:rsid w:val="00583477"/>
    <w:rsid w:val="00583481"/>
    <w:rsid w:val="00583495"/>
    <w:rsid w:val="005834B4"/>
    <w:rsid w:val="005834CC"/>
    <w:rsid w:val="00583502"/>
    <w:rsid w:val="0058351C"/>
    <w:rsid w:val="00583603"/>
    <w:rsid w:val="00583A70"/>
    <w:rsid w:val="00583C0E"/>
    <w:rsid w:val="00583C7A"/>
    <w:rsid w:val="00583CB8"/>
    <w:rsid w:val="00583D03"/>
    <w:rsid w:val="00583DEB"/>
    <w:rsid w:val="00583DF1"/>
    <w:rsid w:val="00583EC0"/>
    <w:rsid w:val="00583EDF"/>
    <w:rsid w:val="0058400B"/>
    <w:rsid w:val="005840AE"/>
    <w:rsid w:val="0058412A"/>
    <w:rsid w:val="00584158"/>
    <w:rsid w:val="0058418D"/>
    <w:rsid w:val="005842F9"/>
    <w:rsid w:val="00584308"/>
    <w:rsid w:val="00584390"/>
    <w:rsid w:val="0058443C"/>
    <w:rsid w:val="005844ED"/>
    <w:rsid w:val="005845CC"/>
    <w:rsid w:val="005845FB"/>
    <w:rsid w:val="005845FE"/>
    <w:rsid w:val="005846BD"/>
    <w:rsid w:val="00584763"/>
    <w:rsid w:val="00584764"/>
    <w:rsid w:val="0058478D"/>
    <w:rsid w:val="0058489F"/>
    <w:rsid w:val="00584947"/>
    <w:rsid w:val="00584BBD"/>
    <w:rsid w:val="00584C19"/>
    <w:rsid w:val="00584C1A"/>
    <w:rsid w:val="00584C5A"/>
    <w:rsid w:val="00584CE8"/>
    <w:rsid w:val="00584D09"/>
    <w:rsid w:val="00584D22"/>
    <w:rsid w:val="00584D2D"/>
    <w:rsid w:val="00584D3A"/>
    <w:rsid w:val="00584D4F"/>
    <w:rsid w:val="00584D54"/>
    <w:rsid w:val="00584D8C"/>
    <w:rsid w:val="00584DA6"/>
    <w:rsid w:val="00584E55"/>
    <w:rsid w:val="00584E76"/>
    <w:rsid w:val="00584EE2"/>
    <w:rsid w:val="00584EEF"/>
    <w:rsid w:val="00584F56"/>
    <w:rsid w:val="00584F9A"/>
    <w:rsid w:val="00584FF0"/>
    <w:rsid w:val="00584FF9"/>
    <w:rsid w:val="00585028"/>
    <w:rsid w:val="00585076"/>
    <w:rsid w:val="0058513A"/>
    <w:rsid w:val="005851AA"/>
    <w:rsid w:val="005851B7"/>
    <w:rsid w:val="005851F3"/>
    <w:rsid w:val="00585206"/>
    <w:rsid w:val="005853B8"/>
    <w:rsid w:val="00585400"/>
    <w:rsid w:val="0058543B"/>
    <w:rsid w:val="0058544E"/>
    <w:rsid w:val="005855BF"/>
    <w:rsid w:val="00585770"/>
    <w:rsid w:val="005857CE"/>
    <w:rsid w:val="005858E2"/>
    <w:rsid w:val="00585964"/>
    <w:rsid w:val="00585965"/>
    <w:rsid w:val="00585A58"/>
    <w:rsid w:val="00585AA4"/>
    <w:rsid w:val="00585C39"/>
    <w:rsid w:val="00585C3A"/>
    <w:rsid w:val="00585EAA"/>
    <w:rsid w:val="00585F9F"/>
    <w:rsid w:val="00586006"/>
    <w:rsid w:val="00586050"/>
    <w:rsid w:val="00586092"/>
    <w:rsid w:val="005860A9"/>
    <w:rsid w:val="005861D1"/>
    <w:rsid w:val="0058630D"/>
    <w:rsid w:val="005863EA"/>
    <w:rsid w:val="005864EC"/>
    <w:rsid w:val="005864FF"/>
    <w:rsid w:val="0058683F"/>
    <w:rsid w:val="00586983"/>
    <w:rsid w:val="00586A03"/>
    <w:rsid w:val="00586A63"/>
    <w:rsid w:val="00586A8D"/>
    <w:rsid w:val="00586B40"/>
    <w:rsid w:val="00586BB2"/>
    <w:rsid w:val="00586D17"/>
    <w:rsid w:val="00586DF8"/>
    <w:rsid w:val="00586E9F"/>
    <w:rsid w:val="00586F22"/>
    <w:rsid w:val="00587042"/>
    <w:rsid w:val="00587046"/>
    <w:rsid w:val="005870AE"/>
    <w:rsid w:val="00587281"/>
    <w:rsid w:val="005872B4"/>
    <w:rsid w:val="00587331"/>
    <w:rsid w:val="005873C4"/>
    <w:rsid w:val="0058742A"/>
    <w:rsid w:val="00587484"/>
    <w:rsid w:val="00587619"/>
    <w:rsid w:val="00587642"/>
    <w:rsid w:val="005876F8"/>
    <w:rsid w:val="0058772B"/>
    <w:rsid w:val="005878C1"/>
    <w:rsid w:val="005879D1"/>
    <w:rsid w:val="00587A70"/>
    <w:rsid w:val="00587AB7"/>
    <w:rsid w:val="00587B88"/>
    <w:rsid w:val="00587CCC"/>
    <w:rsid w:val="00587D1E"/>
    <w:rsid w:val="00587E9B"/>
    <w:rsid w:val="00587EA9"/>
    <w:rsid w:val="00587EC4"/>
    <w:rsid w:val="00587F57"/>
    <w:rsid w:val="00587FD3"/>
    <w:rsid w:val="00587FFC"/>
    <w:rsid w:val="00590056"/>
    <w:rsid w:val="00590123"/>
    <w:rsid w:val="0059016A"/>
    <w:rsid w:val="005901ED"/>
    <w:rsid w:val="00590241"/>
    <w:rsid w:val="00590277"/>
    <w:rsid w:val="005902B9"/>
    <w:rsid w:val="005902FD"/>
    <w:rsid w:val="0059035E"/>
    <w:rsid w:val="00590433"/>
    <w:rsid w:val="005904A9"/>
    <w:rsid w:val="005904FE"/>
    <w:rsid w:val="0059050B"/>
    <w:rsid w:val="00590654"/>
    <w:rsid w:val="005906E8"/>
    <w:rsid w:val="0059074C"/>
    <w:rsid w:val="00590820"/>
    <w:rsid w:val="0059085D"/>
    <w:rsid w:val="00590926"/>
    <w:rsid w:val="00590B96"/>
    <w:rsid w:val="00590C3E"/>
    <w:rsid w:val="00590D49"/>
    <w:rsid w:val="00590E96"/>
    <w:rsid w:val="00590ECC"/>
    <w:rsid w:val="00590ED5"/>
    <w:rsid w:val="00590EF3"/>
    <w:rsid w:val="00590F76"/>
    <w:rsid w:val="00590F91"/>
    <w:rsid w:val="00591007"/>
    <w:rsid w:val="005911EC"/>
    <w:rsid w:val="005911FC"/>
    <w:rsid w:val="00591203"/>
    <w:rsid w:val="00591206"/>
    <w:rsid w:val="00591207"/>
    <w:rsid w:val="00591224"/>
    <w:rsid w:val="00591273"/>
    <w:rsid w:val="00591456"/>
    <w:rsid w:val="00591476"/>
    <w:rsid w:val="005914EB"/>
    <w:rsid w:val="00591500"/>
    <w:rsid w:val="00591552"/>
    <w:rsid w:val="00591592"/>
    <w:rsid w:val="005915B5"/>
    <w:rsid w:val="005917E2"/>
    <w:rsid w:val="0059183E"/>
    <w:rsid w:val="00591931"/>
    <w:rsid w:val="005919B8"/>
    <w:rsid w:val="00591C9C"/>
    <w:rsid w:val="00591CA6"/>
    <w:rsid w:val="00591CDF"/>
    <w:rsid w:val="00591D71"/>
    <w:rsid w:val="00591F51"/>
    <w:rsid w:val="00591F67"/>
    <w:rsid w:val="0059202E"/>
    <w:rsid w:val="00592220"/>
    <w:rsid w:val="00592239"/>
    <w:rsid w:val="00592290"/>
    <w:rsid w:val="005923A2"/>
    <w:rsid w:val="005923F6"/>
    <w:rsid w:val="005923FB"/>
    <w:rsid w:val="00592456"/>
    <w:rsid w:val="00592547"/>
    <w:rsid w:val="00592589"/>
    <w:rsid w:val="00592799"/>
    <w:rsid w:val="0059282C"/>
    <w:rsid w:val="00592851"/>
    <w:rsid w:val="00592893"/>
    <w:rsid w:val="0059289B"/>
    <w:rsid w:val="0059289C"/>
    <w:rsid w:val="00592926"/>
    <w:rsid w:val="0059295A"/>
    <w:rsid w:val="00592980"/>
    <w:rsid w:val="00592A32"/>
    <w:rsid w:val="00592ADB"/>
    <w:rsid w:val="00592BE6"/>
    <w:rsid w:val="00592D8A"/>
    <w:rsid w:val="00592DED"/>
    <w:rsid w:val="00592E46"/>
    <w:rsid w:val="00592EAC"/>
    <w:rsid w:val="00592EDC"/>
    <w:rsid w:val="00592EF5"/>
    <w:rsid w:val="00592F70"/>
    <w:rsid w:val="00593013"/>
    <w:rsid w:val="005930AE"/>
    <w:rsid w:val="00593151"/>
    <w:rsid w:val="0059320D"/>
    <w:rsid w:val="00593381"/>
    <w:rsid w:val="005935CA"/>
    <w:rsid w:val="005935FA"/>
    <w:rsid w:val="00593615"/>
    <w:rsid w:val="0059362E"/>
    <w:rsid w:val="00593661"/>
    <w:rsid w:val="005936A4"/>
    <w:rsid w:val="005936BF"/>
    <w:rsid w:val="005936D7"/>
    <w:rsid w:val="00593712"/>
    <w:rsid w:val="00593776"/>
    <w:rsid w:val="0059377E"/>
    <w:rsid w:val="00593810"/>
    <w:rsid w:val="0059385A"/>
    <w:rsid w:val="00593879"/>
    <w:rsid w:val="00593907"/>
    <w:rsid w:val="0059390A"/>
    <w:rsid w:val="0059396B"/>
    <w:rsid w:val="0059398C"/>
    <w:rsid w:val="005939EB"/>
    <w:rsid w:val="00593ACB"/>
    <w:rsid w:val="00593AF7"/>
    <w:rsid w:val="00593C62"/>
    <w:rsid w:val="00593D65"/>
    <w:rsid w:val="00593DB0"/>
    <w:rsid w:val="00593DBD"/>
    <w:rsid w:val="00593DE8"/>
    <w:rsid w:val="00593DEA"/>
    <w:rsid w:val="00594049"/>
    <w:rsid w:val="005942B8"/>
    <w:rsid w:val="005942C9"/>
    <w:rsid w:val="005942FC"/>
    <w:rsid w:val="005942FF"/>
    <w:rsid w:val="00594457"/>
    <w:rsid w:val="00594590"/>
    <w:rsid w:val="00594764"/>
    <w:rsid w:val="00594793"/>
    <w:rsid w:val="00594843"/>
    <w:rsid w:val="0059497A"/>
    <w:rsid w:val="00594A2D"/>
    <w:rsid w:val="00594A81"/>
    <w:rsid w:val="00594AB7"/>
    <w:rsid w:val="00594AE6"/>
    <w:rsid w:val="00594BFE"/>
    <w:rsid w:val="00594C1A"/>
    <w:rsid w:val="00594C6C"/>
    <w:rsid w:val="00594ECB"/>
    <w:rsid w:val="00594F04"/>
    <w:rsid w:val="00594FD4"/>
    <w:rsid w:val="0059508A"/>
    <w:rsid w:val="0059513D"/>
    <w:rsid w:val="00595190"/>
    <w:rsid w:val="0059519D"/>
    <w:rsid w:val="00595213"/>
    <w:rsid w:val="00595219"/>
    <w:rsid w:val="00595277"/>
    <w:rsid w:val="00595379"/>
    <w:rsid w:val="0059542E"/>
    <w:rsid w:val="00595470"/>
    <w:rsid w:val="005954FA"/>
    <w:rsid w:val="00595599"/>
    <w:rsid w:val="005955B5"/>
    <w:rsid w:val="00595699"/>
    <w:rsid w:val="005956AE"/>
    <w:rsid w:val="005956CF"/>
    <w:rsid w:val="005956D5"/>
    <w:rsid w:val="005956F7"/>
    <w:rsid w:val="0059577A"/>
    <w:rsid w:val="005957B4"/>
    <w:rsid w:val="005957B7"/>
    <w:rsid w:val="00595932"/>
    <w:rsid w:val="005959BE"/>
    <w:rsid w:val="00595A27"/>
    <w:rsid w:val="00595A29"/>
    <w:rsid w:val="00595A57"/>
    <w:rsid w:val="00595AD6"/>
    <w:rsid w:val="00595BCF"/>
    <w:rsid w:val="00595BE0"/>
    <w:rsid w:val="00595C20"/>
    <w:rsid w:val="00595D93"/>
    <w:rsid w:val="00595DBD"/>
    <w:rsid w:val="00595E2B"/>
    <w:rsid w:val="00595E59"/>
    <w:rsid w:val="00595E9B"/>
    <w:rsid w:val="00595EDD"/>
    <w:rsid w:val="00595F5B"/>
    <w:rsid w:val="00595F60"/>
    <w:rsid w:val="00596028"/>
    <w:rsid w:val="005960C5"/>
    <w:rsid w:val="005960D0"/>
    <w:rsid w:val="00596117"/>
    <w:rsid w:val="0059611A"/>
    <w:rsid w:val="005961E6"/>
    <w:rsid w:val="00596282"/>
    <w:rsid w:val="0059634D"/>
    <w:rsid w:val="00596370"/>
    <w:rsid w:val="00596404"/>
    <w:rsid w:val="0059648E"/>
    <w:rsid w:val="005964C5"/>
    <w:rsid w:val="0059650A"/>
    <w:rsid w:val="00596595"/>
    <w:rsid w:val="00596658"/>
    <w:rsid w:val="005966CE"/>
    <w:rsid w:val="00596757"/>
    <w:rsid w:val="0059683B"/>
    <w:rsid w:val="005968D5"/>
    <w:rsid w:val="00596943"/>
    <w:rsid w:val="00596A2E"/>
    <w:rsid w:val="00596B38"/>
    <w:rsid w:val="00596B79"/>
    <w:rsid w:val="00596B9F"/>
    <w:rsid w:val="00596C4A"/>
    <w:rsid w:val="00596C8E"/>
    <w:rsid w:val="00596D10"/>
    <w:rsid w:val="00596D42"/>
    <w:rsid w:val="00596DFA"/>
    <w:rsid w:val="00596E00"/>
    <w:rsid w:val="00596E59"/>
    <w:rsid w:val="00596EA6"/>
    <w:rsid w:val="00596EBC"/>
    <w:rsid w:val="00596FFB"/>
    <w:rsid w:val="00597027"/>
    <w:rsid w:val="005970D1"/>
    <w:rsid w:val="0059710A"/>
    <w:rsid w:val="005972BF"/>
    <w:rsid w:val="00597306"/>
    <w:rsid w:val="00597514"/>
    <w:rsid w:val="005976E1"/>
    <w:rsid w:val="005977E5"/>
    <w:rsid w:val="005977FB"/>
    <w:rsid w:val="00597881"/>
    <w:rsid w:val="00597A83"/>
    <w:rsid w:val="00597BA8"/>
    <w:rsid w:val="00597C41"/>
    <w:rsid w:val="00597CFA"/>
    <w:rsid w:val="00597DAE"/>
    <w:rsid w:val="00597E31"/>
    <w:rsid w:val="00597F7C"/>
    <w:rsid w:val="00597FA5"/>
    <w:rsid w:val="00597FB3"/>
    <w:rsid w:val="005A001C"/>
    <w:rsid w:val="005A00A2"/>
    <w:rsid w:val="005A017E"/>
    <w:rsid w:val="005A023A"/>
    <w:rsid w:val="005A0381"/>
    <w:rsid w:val="005A0394"/>
    <w:rsid w:val="005A0397"/>
    <w:rsid w:val="005A04D2"/>
    <w:rsid w:val="005A062E"/>
    <w:rsid w:val="005A0689"/>
    <w:rsid w:val="005A06E1"/>
    <w:rsid w:val="005A077D"/>
    <w:rsid w:val="005A078C"/>
    <w:rsid w:val="005A07A8"/>
    <w:rsid w:val="005A07C0"/>
    <w:rsid w:val="005A09A0"/>
    <w:rsid w:val="005A09AD"/>
    <w:rsid w:val="005A0AE1"/>
    <w:rsid w:val="005A0AE9"/>
    <w:rsid w:val="005A0B06"/>
    <w:rsid w:val="005A0B73"/>
    <w:rsid w:val="005A0BF5"/>
    <w:rsid w:val="005A0C7B"/>
    <w:rsid w:val="005A0C96"/>
    <w:rsid w:val="005A0CA1"/>
    <w:rsid w:val="005A0D65"/>
    <w:rsid w:val="005A0EE3"/>
    <w:rsid w:val="005A0F24"/>
    <w:rsid w:val="005A1013"/>
    <w:rsid w:val="005A1018"/>
    <w:rsid w:val="005A10A2"/>
    <w:rsid w:val="005A10D2"/>
    <w:rsid w:val="005A110F"/>
    <w:rsid w:val="005A1123"/>
    <w:rsid w:val="005A1218"/>
    <w:rsid w:val="005A1271"/>
    <w:rsid w:val="005A1287"/>
    <w:rsid w:val="005A1291"/>
    <w:rsid w:val="005A12E9"/>
    <w:rsid w:val="005A13E1"/>
    <w:rsid w:val="005A1400"/>
    <w:rsid w:val="005A1408"/>
    <w:rsid w:val="005A1436"/>
    <w:rsid w:val="005A1458"/>
    <w:rsid w:val="005A14BC"/>
    <w:rsid w:val="005A1538"/>
    <w:rsid w:val="005A1643"/>
    <w:rsid w:val="005A1697"/>
    <w:rsid w:val="005A1760"/>
    <w:rsid w:val="005A1896"/>
    <w:rsid w:val="005A18AF"/>
    <w:rsid w:val="005A18E2"/>
    <w:rsid w:val="005A198D"/>
    <w:rsid w:val="005A1A7B"/>
    <w:rsid w:val="005A1ACB"/>
    <w:rsid w:val="005A1BD7"/>
    <w:rsid w:val="005A1C1A"/>
    <w:rsid w:val="005A1CAD"/>
    <w:rsid w:val="005A1DA2"/>
    <w:rsid w:val="005A1F26"/>
    <w:rsid w:val="005A1FB2"/>
    <w:rsid w:val="005A2110"/>
    <w:rsid w:val="005A21A7"/>
    <w:rsid w:val="005A2258"/>
    <w:rsid w:val="005A2327"/>
    <w:rsid w:val="005A23D5"/>
    <w:rsid w:val="005A2400"/>
    <w:rsid w:val="005A2514"/>
    <w:rsid w:val="005A2592"/>
    <w:rsid w:val="005A2709"/>
    <w:rsid w:val="005A2722"/>
    <w:rsid w:val="005A27EC"/>
    <w:rsid w:val="005A2836"/>
    <w:rsid w:val="005A2894"/>
    <w:rsid w:val="005A292B"/>
    <w:rsid w:val="005A29D7"/>
    <w:rsid w:val="005A29DA"/>
    <w:rsid w:val="005A2A7D"/>
    <w:rsid w:val="005A2BF4"/>
    <w:rsid w:val="005A2BFD"/>
    <w:rsid w:val="005A2CC5"/>
    <w:rsid w:val="005A2CCC"/>
    <w:rsid w:val="005A2DE1"/>
    <w:rsid w:val="005A2E1F"/>
    <w:rsid w:val="005A2FEA"/>
    <w:rsid w:val="005A3021"/>
    <w:rsid w:val="005A30CA"/>
    <w:rsid w:val="005A3174"/>
    <w:rsid w:val="005A3247"/>
    <w:rsid w:val="005A33AD"/>
    <w:rsid w:val="005A33C8"/>
    <w:rsid w:val="005A33F6"/>
    <w:rsid w:val="005A3426"/>
    <w:rsid w:val="005A3483"/>
    <w:rsid w:val="005A3584"/>
    <w:rsid w:val="005A366B"/>
    <w:rsid w:val="005A3794"/>
    <w:rsid w:val="005A37C1"/>
    <w:rsid w:val="005A37C9"/>
    <w:rsid w:val="005A38D2"/>
    <w:rsid w:val="005A3982"/>
    <w:rsid w:val="005A39AB"/>
    <w:rsid w:val="005A3C26"/>
    <w:rsid w:val="005A3CA5"/>
    <w:rsid w:val="005A3EFE"/>
    <w:rsid w:val="005A3F5B"/>
    <w:rsid w:val="005A4038"/>
    <w:rsid w:val="005A41B5"/>
    <w:rsid w:val="005A41E4"/>
    <w:rsid w:val="005A422E"/>
    <w:rsid w:val="005A4336"/>
    <w:rsid w:val="005A440C"/>
    <w:rsid w:val="005A4480"/>
    <w:rsid w:val="005A44ED"/>
    <w:rsid w:val="005A463D"/>
    <w:rsid w:val="005A466E"/>
    <w:rsid w:val="005A468B"/>
    <w:rsid w:val="005A46B8"/>
    <w:rsid w:val="005A47F5"/>
    <w:rsid w:val="005A48A4"/>
    <w:rsid w:val="005A49A3"/>
    <w:rsid w:val="005A49ED"/>
    <w:rsid w:val="005A4BF7"/>
    <w:rsid w:val="005A4C17"/>
    <w:rsid w:val="005A4C69"/>
    <w:rsid w:val="005A4D1A"/>
    <w:rsid w:val="005A4D6E"/>
    <w:rsid w:val="005A4DB1"/>
    <w:rsid w:val="005A4F24"/>
    <w:rsid w:val="005A516A"/>
    <w:rsid w:val="005A5197"/>
    <w:rsid w:val="005A523D"/>
    <w:rsid w:val="005A5270"/>
    <w:rsid w:val="005A52F7"/>
    <w:rsid w:val="005A5453"/>
    <w:rsid w:val="005A5539"/>
    <w:rsid w:val="005A5556"/>
    <w:rsid w:val="005A5576"/>
    <w:rsid w:val="005A56C2"/>
    <w:rsid w:val="005A56EB"/>
    <w:rsid w:val="005A5769"/>
    <w:rsid w:val="005A576E"/>
    <w:rsid w:val="005A579C"/>
    <w:rsid w:val="005A5862"/>
    <w:rsid w:val="005A586D"/>
    <w:rsid w:val="005A589C"/>
    <w:rsid w:val="005A58A4"/>
    <w:rsid w:val="005A591C"/>
    <w:rsid w:val="005A5B90"/>
    <w:rsid w:val="005A5C29"/>
    <w:rsid w:val="005A5C6F"/>
    <w:rsid w:val="005A5CC7"/>
    <w:rsid w:val="005A5F60"/>
    <w:rsid w:val="005A5F7A"/>
    <w:rsid w:val="005A601D"/>
    <w:rsid w:val="005A60FD"/>
    <w:rsid w:val="005A6152"/>
    <w:rsid w:val="005A6175"/>
    <w:rsid w:val="005A6186"/>
    <w:rsid w:val="005A61C1"/>
    <w:rsid w:val="005A6218"/>
    <w:rsid w:val="005A6235"/>
    <w:rsid w:val="005A6249"/>
    <w:rsid w:val="005A63BF"/>
    <w:rsid w:val="005A6420"/>
    <w:rsid w:val="005A6504"/>
    <w:rsid w:val="005A6635"/>
    <w:rsid w:val="005A66A0"/>
    <w:rsid w:val="005A670E"/>
    <w:rsid w:val="005A67A5"/>
    <w:rsid w:val="005A6871"/>
    <w:rsid w:val="005A68E3"/>
    <w:rsid w:val="005A68F1"/>
    <w:rsid w:val="005A690D"/>
    <w:rsid w:val="005A6915"/>
    <w:rsid w:val="005A6932"/>
    <w:rsid w:val="005A6937"/>
    <w:rsid w:val="005A69C0"/>
    <w:rsid w:val="005A69CB"/>
    <w:rsid w:val="005A6A43"/>
    <w:rsid w:val="005A6A74"/>
    <w:rsid w:val="005A6C05"/>
    <w:rsid w:val="005A6CEE"/>
    <w:rsid w:val="005A6D3E"/>
    <w:rsid w:val="005A6D41"/>
    <w:rsid w:val="005A6E59"/>
    <w:rsid w:val="005A6F36"/>
    <w:rsid w:val="005A703D"/>
    <w:rsid w:val="005A7049"/>
    <w:rsid w:val="005A708A"/>
    <w:rsid w:val="005A7095"/>
    <w:rsid w:val="005A7099"/>
    <w:rsid w:val="005A70A2"/>
    <w:rsid w:val="005A7164"/>
    <w:rsid w:val="005A717F"/>
    <w:rsid w:val="005A7297"/>
    <w:rsid w:val="005A7301"/>
    <w:rsid w:val="005A7377"/>
    <w:rsid w:val="005A73BD"/>
    <w:rsid w:val="005A74C5"/>
    <w:rsid w:val="005A752B"/>
    <w:rsid w:val="005A7578"/>
    <w:rsid w:val="005A75C4"/>
    <w:rsid w:val="005A75E0"/>
    <w:rsid w:val="005A75E9"/>
    <w:rsid w:val="005A764E"/>
    <w:rsid w:val="005A7657"/>
    <w:rsid w:val="005A7672"/>
    <w:rsid w:val="005A76E9"/>
    <w:rsid w:val="005A7795"/>
    <w:rsid w:val="005A77A0"/>
    <w:rsid w:val="005A77C8"/>
    <w:rsid w:val="005A78DE"/>
    <w:rsid w:val="005A7940"/>
    <w:rsid w:val="005A79A0"/>
    <w:rsid w:val="005A7B8A"/>
    <w:rsid w:val="005A7B8D"/>
    <w:rsid w:val="005A7D36"/>
    <w:rsid w:val="005A7D46"/>
    <w:rsid w:val="005A7D76"/>
    <w:rsid w:val="005A7D78"/>
    <w:rsid w:val="005A7DD9"/>
    <w:rsid w:val="005A7E6F"/>
    <w:rsid w:val="005A7EF3"/>
    <w:rsid w:val="005A7F29"/>
    <w:rsid w:val="005A7F2C"/>
    <w:rsid w:val="005A7F2E"/>
    <w:rsid w:val="005A7F6F"/>
    <w:rsid w:val="005A7F89"/>
    <w:rsid w:val="005B0031"/>
    <w:rsid w:val="005B0048"/>
    <w:rsid w:val="005B004D"/>
    <w:rsid w:val="005B00FD"/>
    <w:rsid w:val="005B0253"/>
    <w:rsid w:val="005B0254"/>
    <w:rsid w:val="005B028A"/>
    <w:rsid w:val="005B02EE"/>
    <w:rsid w:val="005B02FB"/>
    <w:rsid w:val="005B047E"/>
    <w:rsid w:val="005B051A"/>
    <w:rsid w:val="005B066D"/>
    <w:rsid w:val="005B0684"/>
    <w:rsid w:val="005B075B"/>
    <w:rsid w:val="005B07E4"/>
    <w:rsid w:val="005B07FA"/>
    <w:rsid w:val="005B087B"/>
    <w:rsid w:val="005B08EA"/>
    <w:rsid w:val="005B0907"/>
    <w:rsid w:val="005B09BD"/>
    <w:rsid w:val="005B0A0D"/>
    <w:rsid w:val="005B0AF8"/>
    <w:rsid w:val="005B0CEA"/>
    <w:rsid w:val="005B0E06"/>
    <w:rsid w:val="005B0E8F"/>
    <w:rsid w:val="005B1036"/>
    <w:rsid w:val="005B1038"/>
    <w:rsid w:val="005B1048"/>
    <w:rsid w:val="005B115F"/>
    <w:rsid w:val="005B11F5"/>
    <w:rsid w:val="005B121A"/>
    <w:rsid w:val="005B125B"/>
    <w:rsid w:val="005B127D"/>
    <w:rsid w:val="005B12CC"/>
    <w:rsid w:val="005B134F"/>
    <w:rsid w:val="005B1351"/>
    <w:rsid w:val="005B1388"/>
    <w:rsid w:val="005B13F2"/>
    <w:rsid w:val="005B14EF"/>
    <w:rsid w:val="005B164E"/>
    <w:rsid w:val="005B1699"/>
    <w:rsid w:val="005B169E"/>
    <w:rsid w:val="005B16D7"/>
    <w:rsid w:val="005B1815"/>
    <w:rsid w:val="005B18A7"/>
    <w:rsid w:val="005B18EC"/>
    <w:rsid w:val="005B19CA"/>
    <w:rsid w:val="005B1A49"/>
    <w:rsid w:val="005B1A4D"/>
    <w:rsid w:val="005B1A83"/>
    <w:rsid w:val="005B1C01"/>
    <w:rsid w:val="005B1C2F"/>
    <w:rsid w:val="005B1CD7"/>
    <w:rsid w:val="005B1D05"/>
    <w:rsid w:val="005B1D33"/>
    <w:rsid w:val="005B1D3A"/>
    <w:rsid w:val="005B1EB9"/>
    <w:rsid w:val="005B212F"/>
    <w:rsid w:val="005B232D"/>
    <w:rsid w:val="005B239F"/>
    <w:rsid w:val="005B23F2"/>
    <w:rsid w:val="005B2493"/>
    <w:rsid w:val="005B24CD"/>
    <w:rsid w:val="005B2528"/>
    <w:rsid w:val="005B27A9"/>
    <w:rsid w:val="005B2837"/>
    <w:rsid w:val="005B284B"/>
    <w:rsid w:val="005B2867"/>
    <w:rsid w:val="005B28D9"/>
    <w:rsid w:val="005B28DE"/>
    <w:rsid w:val="005B2973"/>
    <w:rsid w:val="005B29D6"/>
    <w:rsid w:val="005B2A68"/>
    <w:rsid w:val="005B2AB6"/>
    <w:rsid w:val="005B2AE5"/>
    <w:rsid w:val="005B2B1C"/>
    <w:rsid w:val="005B2D1B"/>
    <w:rsid w:val="005B2D85"/>
    <w:rsid w:val="005B2DC8"/>
    <w:rsid w:val="005B2E04"/>
    <w:rsid w:val="005B3000"/>
    <w:rsid w:val="005B3080"/>
    <w:rsid w:val="005B3089"/>
    <w:rsid w:val="005B30BF"/>
    <w:rsid w:val="005B30DC"/>
    <w:rsid w:val="005B30FC"/>
    <w:rsid w:val="005B3102"/>
    <w:rsid w:val="005B3137"/>
    <w:rsid w:val="005B32B9"/>
    <w:rsid w:val="005B337C"/>
    <w:rsid w:val="005B339B"/>
    <w:rsid w:val="005B33D4"/>
    <w:rsid w:val="005B33FB"/>
    <w:rsid w:val="005B3413"/>
    <w:rsid w:val="005B343A"/>
    <w:rsid w:val="005B35A2"/>
    <w:rsid w:val="005B3628"/>
    <w:rsid w:val="005B3648"/>
    <w:rsid w:val="005B36D7"/>
    <w:rsid w:val="005B3703"/>
    <w:rsid w:val="005B3756"/>
    <w:rsid w:val="005B3762"/>
    <w:rsid w:val="005B3933"/>
    <w:rsid w:val="005B3940"/>
    <w:rsid w:val="005B3A1B"/>
    <w:rsid w:val="005B3A5B"/>
    <w:rsid w:val="005B3ADC"/>
    <w:rsid w:val="005B3B8B"/>
    <w:rsid w:val="005B3D57"/>
    <w:rsid w:val="005B3D5C"/>
    <w:rsid w:val="005B3F20"/>
    <w:rsid w:val="005B4190"/>
    <w:rsid w:val="005B41D3"/>
    <w:rsid w:val="005B4240"/>
    <w:rsid w:val="005B4266"/>
    <w:rsid w:val="005B4295"/>
    <w:rsid w:val="005B42AA"/>
    <w:rsid w:val="005B42D1"/>
    <w:rsid w:val="005B4353"/>
    <w:rsid w:val="005B4384"/>
    <w:rsid w:val="005B43FE"/>
    <w:rsid w:val="005B4561"/>
    <w:rsid w:val="005B456D"/>
    <w:rsid w:val="005B4572"/>
    <w:rsid w:val="005B4710"/>
    <w:rsid w:val="005B475F"/>
    <w:rsid w:val="005B4778"/>
    <w:rsid w:val="005B47AB"/>
    <w:rsid w:val="005B48BB"/>
    <w:rsid w:val="005B48FF"/>
    <w:rsid w:val="005B4901"/>
    <w:rsid w:val="005B4936"/>
    <w:rsid w:val="005B4939"/>
    <w:rsid w:val="005B4A14"/>
    <w:rsid w:val="005B4A45"/>
    <w:rsid w:val="005B4CA9"/>
    <w:rsid w:val="005B4D80"/>
    <w:rsid w:val="005B4D95"/>
    <w:rsid w:val="005B4DD0"/>
    <w:rsid w:val="005B4DE6"/>
    <w:rsid w:val="005B4E18"/>
    <w:rsid w:val="005B4E1D"/>
    <w:rsid w:val="005B4FDD"/>
    <w:rsid w:val="005B509C"/>
    <w:rsid w:val="005B50F0"/>
    <w:rsid w:val="005B52BB"/>
    <w:rsid w:val="005B52BC"/>
    <w:rsid w:val="005B5335"/>
    <w:rsid w:val="005B5514"/>
    <w:rsid w:val="005B5557"/>
    <w:rsid w:val="005B5614"/>
    <w:rsid w:val="005B5735"/>
    <w:rsid w:val="005B574A"/>
    <w:rsid w:val="005B583D"/>
    <w:rsid w:val="005B592A"/>
    <w:rsid w:val="005B596E"/>
    <w:rsid w:val="005B59BE"/>
    <w:rsid w:val="005B5AA4"/>
    <w:rsid w:val="005B5B5B"/>
    <w:rsid w:val="005B5BFF"/>
    <w:rsid w:val="005B5CC8"/>
    <w:rsid w:val="005B5D9B"/>
    <w:rsid w:val="005B5DE4"/>
    <w:rsid w:val="005B5E8A"/>
    <w:rsid w:val="005B5F22"/>
    <w:rsid w:val="005B5FDA"/>
    <w:rsid w:val="005B6052"/>
    <w:rsid w:val="005B6132"/>
    <w:rsid w:val="005B6508"/>
    <w:rsid w:val="005B658C"/>
    <w:rsid w:val="005B659F"/>
    <w:rsid w:val="005B65BB"/>
    <w:rsid w:val="005B65DB"/>
    <w:rsid w:val="005B664A"/>
    <w:rsid w:val="005B678F"/>
    <w:rsid w:val="005B6924"/>
    <w:rsid w:val="005B69A5"/>
    <w:rsid w:val="005B6B97"/>
    <w:rsid w:val="005B6BCD"/>
    <w:rsid w:val="005B6E49"/>
    <w:rsid w:val="005B6E71"/>
    <w:rsid w:val="005B6F56"/>
    <w:rsid w:val="005B6F9D"/>
    <w:rsid w:val="005B6FC6"/>
    <w:rsid w:val="005B6FDB"/>
    <w:rsid w:val="005B7060"/>
    <w:rsid w:val="005B708D"/>
    <w:rsid w:val="005B7093"/>
    <w:rsid w:val="005B7191"/>
    <w:rsid w:val="005B7207"/>
    <w:rsid w:val="005B7267"/>
    <w:rsid w:val="005B739C"/>
    <w:rsid w:val="005B73C5"/>
    <w:rsid w:val="005B73DF"/>
    <w:rsid w:val="005B73F8"/>
    <w:rsid w:val="005B7472"/>
    <w:rsid w:val="005B74C2"/>
    <w:rsid w:val="005B7730"/>
    <w:rsid w:val="005B77DE"/>
    <w:rsid w:val="005B784D"/>
    <w:rsid w:val="005B7854"/>
    <w:rsid w:val="005B7866"/>
    <w:rsid w:val="005B789C"/>
    <w:rsid w:val="005B79DA"/>
    <w:rsid w:val="005B7BDD"/>
    <w:rsid w:val="005B7BF7"/>
    <w:rsid w:val="005B7BFE"/>
    <w:rsid w:val="005B7C1B"/>
    <w:rsid w:val="005B7D71"/>
    <w:rsid w:val="005B7DCF"/>
    <w:rsid w:val="005B7E57"/>
    <w:rsid w:val="005B7EF2"/>
    <w:rsid w:val="005B7F22"/>
    <w:rsid w:val="005C001F"/>
    <w:rsid w:val="005C00D3"/>
    <w:rsid w:val="005C00F8"/>
    <w:rsid w:val="005C0184"/>
    <w:rsid w:val="005C01D3"/>
    <w:rsid w:val="005C025C"/>
    <w:rsid w:val="005C031D"/>
    <w:rsid w:val="005C037B"/>
    <w:rsid w:val="005C03A4"/>
    <w:rsid w:val="005C04ED"/>
    <w:rsid w:val="005C0504"/>
    <w:rsid w:val="005C05A2"/>
    <w:rsid w:val="005C06D0"/>
    <w:rsid w:val="005C06F1"/>
    <w:rsid w:val="005C0747"/>
    <w:rsid w:val="005C0751"/>
    <w:rsid w:val="005C07E8"/>
    <w:rsid w:val="005C080B"/>
    <w:rsid w:val="005C0889"/>
    <w:rsid w:val="005C0896"/>
    <w:rsid w:val="005C08DE"/>
    <w:rsid w:val="005C0940"/>
    <w:rsid w:val="005C0A86"/>
    <w:rsid w:val="005C0BCF"/>
    <w:rsid w:val="005C0C73"/>
    <w:rsid w:val="005C0C87"/>
    <w:rsid w:val="005C0E68"/>
    <w:rsid w:val="005C0F68"/>
    <w:rsid w:val="005C0FA5"/>
    <w:rsid w:val="005C10AE"/>
    <w:rsid w:val="005C10C7"/>
    <w:rsid w:val="005C11A7"/>
    <w:rsid w:val="005C11E3"/>
    <w:rsid w:val="005C1254"/>
    <w:rsid w:val="005C12C8"/>
    <w:rsid w:val="005C130E"/>
    <w:rsid w:val="005C1352"/>
    <w:rsid w:val="005C13F2"/>
    <w:rsid w:val="005C1402"/>
    <w:rsid w:val="005C1405"/>
    <w:rsid w:val="005C144D"/>
    <w:rsid w:val="005C1562"/>
    <w:rsid w:val="005C1583"/>
    <w:rsid w:val="005C15FB"/>
    <w:rsid w:val="005C18CD"/>
    <w:rsid w:val="005C191E"/>
    <w:rsid w:val="005C19A3"/>
    <w:rsid w:val="005C1A27"/>
    <w:rsid w:val="005C1A42"/>
    <w:rsid w:val="005C1ABC"/>
    <w:rsid w:val="005C1AF1"/>
    <w:rsid w:val="005C1B1F"/>
    <w:rsid w:val="005C1C08"/>
    <w:rsid w:val="005C1CE4"/>
    <w:rsid w:val="005C1E44"/>
    <w:rsid w:val="005C1E9B"/>
    <w:rsid w:val="005C1E9E"/>
    <w:rsid w:val="005C1EF6"/>
    <w:rsid w:val="005C1F05"/>
    <w:rsid w:val="005C1F77"/>
    <w:rsid w:val="005C210B"/>
    <w:rsid w:val="005C210D"/>
    <w:rsid w:val="005C2156"/>
    <w:rsid w:val="005C219D"/>
    <w:rsid w:val="005C21DD"/>
    <w:rsid w:val="005C21E6"/>
    <w:rsid w:val="005C21F3"/>
    <w:rsid w:val="005C2215"/>
    <w:rsid w:val="005C2377"/>
    <w:rsid w:val="005C2426"/>
    <w:rsid w:val="005C2520"/>
    <w:rsid w:val="005C252C"/>
    <w:rsid w:val="005C2583"/>
    <w:rsid w:val="005C2857"/>
    <w:rsid w:val="005C2862"/>
    <w:rsid w:val="005C2872"/>
    <w:rsid w:val="005C2969"/>
    <w:rsid w:val="005C2A20"/>
    <w:rsid w:val="005C2AC0"/>
    <w:rsid w:val="005C2B3F"/>
    <w:rsid w:val="005C2BC5"/>
    <w:rsid w:val="005C2BCB"/>
    <w:rsid w:val="005C2C1D"/>
    <w:rsid w:val="005C2CAC"/>
    <w:rsid w:val="005C2CBB"/>
    <w:rsid w:val="005C2D12"/>
    <w:rsid w:val="005C2DE5"/>
    <w:rsid w:val="005C2DED"/>
    <w:rsid w:val="005C3012"/>
    <w:rsid w:val="005C3174"/>
    <w:rsid w:val="005C3259"/>
    <w:rsid w:val="005C3333"/>
    <w:rsid w:val="005C335F"/>
    <w:rsid w:val="005C33D8"/>
    <w:rsid w:val="005C34BE"/>
    <w:rsid w:val="005C34C4"/>
    <w:rsid w:val="005C34DE"/>
    <w:rsid w:val="005C34ED"/>
    <w:rsid w:val="005C357B"/>
    <w:rsid w:val="005C3613"/>
    <w:rsid w:val="005C362E"/>
    <w:rsid w:val="005C3695"/>
    <w:rsid w:val="005C370C"/>
    <w:rsid w:val="005C3773"/>
    <w:rsid w:val="005C37CC"/>
    <w:rsid w:val="005C37DC"/>
    <w:rsid w:val="005C3906"/>
    <w:rsid w:val="005C3922"/>
    <w:rsid w:val="005C39B9"/>
    <w:rsid w:val="005C39D0"/>
    <w:rsid w:val="005C3AC4"/>
    <w:rsid w:val="005C3B75"/>
    <w:rsid w:val="005C3C0B"/>
    <w:rsid w:val="005C3C71"/>
    <w:rsid w:val="005C3D13"/>
    <w:rsid w:val="005C3DD2"/>
    <w:rsid w:val="005C3E80"/>
    <w:rsid w:val="005C3E9F"/>
    <w:rsid w:val="005C3F1D"/>
    <w:rsid w:val="005C3F35"/>
    <w:rsid w:val="005C410C"/>
    <w:rsid w:val="005C4179"/>
    <w:rsid w:val="005C432E"/>
    <w:rsid w:val="005C4422"/>
    <w:rsid w:val="005C4434"/>
    <w:rsid w:val="005C454E"/>
    <w:rsid w:val="005C467E"/>
    <w:rsid w:val="005C4749"/>
    <w:rsid w:val="005C477E"/>
    <w:rsid w:val="005C47E6"/>
    <w:rsid w:val="005C48A0"/>
    <w:rsid w:val="005C48A5"/>
    <w:rsid w:val="005C48C6"/>
    <w:rsid w:val="005C495C"/>
    <w:rsid w:val="005C4AC6"/>
    <w:rsid w:val="005C4B57"/>
    <w:rsid w:val="005C4B9C"/>
    <w:rsid w:val="005C4BF6"/>
    <w:rsid w:val="005C4D4E"/>
    <w:rsid w:val="005C4DC0"/>
    <w:rsid w:val="005C4EE0"/>
    <w:rsid w:val="005C5028"/>
    <w:rsid w:val="005C504B"/>
    <w:rsid w:val="005C50E3"/>
    <w:rsid w:val="005C528F"/>
    <w:rsid w:val="005C52A7"/>
    <w:rsid w:val="005C5404"/>
    <w:rsid w:val="005C5438"/>
    <w:rsid w:val="005C5442"/>
    <w:rsid w:val="005C5460"/>
    <w:rsid w:val="005C55E3"/>
    <w:rsid w:val="005C56C2"/>
    <w:rsid w:val="005C5717"/>
    <w:rsid w:val="005C572B"/>
    <w:rsid w:val="005C5809"/>
    <w:rsid w:val="005C58AA"/>
    <w:rsid w:val="005C591D"/>
    <w:rsid w:val="005C5B10"/>
    <w:rsid w:val="005C5B7E"/>
    <w:rsid w:val="005C5BB9"/>
    <w:rsid w:val="005C5C2F"/>
    <w:rsid w:val="005C5C78"/>
    <w:rsid w:val="005C5D0B"/>
    <w:rsid w:val="005C5D48"/>
    <w:rsid w:val="005C5E51"/>
    <w:rsid w:val="005C5ED8"/>
    <w:rsid w:val="005C5EE7"/>
    <w:rsid w:val="005C5F87"/>
    <w:rsid w:val="005C6055"/>
    <w:rsid w:val="005C60D1"/>
    <w:rsid w:val="005C6187"/>
    <w:rsid w:val="005C61B5"/>
    <w:rsid w:val="005C61D6"/>
    <w:rsid w:val="005C61F9"/>
    <w:rsid w:val="005C6294"/>
    <w:rsid w:val="005C6338"/>
    <w:rsid w:val="005C6353"/>
    <w:rsid w:val="005C6415"/>
    <w:rsid w:val="005C6484"/>
    <w:rsid w:val="005C64E1"/>
    <w:rsid w:val="005C65B4"/>
    <w:rsid w:val="005C66FC"/>
    <w:rsid w:val="005C675E"/>
    <w:rsid w:val="005C67E5"/>
    <w:rsid w:val="005C690F"/>
    <w:rsid w:val="005C699B"/>
    <w:rsid w:val="005C6A5E"/>
    <w:rsid w:val="005C6B3A"/>
    <w:rsid w:val="005C6B96"/>
    <w:rsid w:val="005C6C81"/>
    <w:rsid w:val="005C6D5A"/>
    <w:rsid w:val="005C6F27"/>
    <w:rsid w:val="005C6FE3"/>
    <w:rsid w:val="005C7099"/>
    <w:rsid w:val="005C710A"/>
    <w:rsid w:val="005C7126"/>
    <w:rsid w:val="005C7166"/>
    <w:rsid w:val="005C718A"/>
    <w:rsid w:val="005C72BB"/>
    <w:rsid w:val="005C72FA"/>
    <w:rsid w:val="005C74B1"/>
    <w:rsid w:val="005C74ED"/>
    <w:rsid w:val="005C7592"/>
    <w:rsid w:val="005C7628"/>
    <w:rsid w:val="005C763D"/>
    <w:rsid w:val="005C7669"/>
    <w:rsid w:val="005C76DF"/>
    <w:rsid w:val="005C7738"/>
    <w:rsid w:val="005C7773"/>
    <w:rsid w:val="005C78B2"/>
    <w:rsid w:val="005C78CD"/>
    <w:rsid w:val="005C7A2A"/>
    <w:rsid w:val="005C7A61"/>
    <w:rsid w:val="005C7A89"/>
    <w:rsid w:val="005C7B49"/>
    <w:rsid w:val="005C7CFB"/>
    <w:rsid w:val="005C7D1B"/>
    <w:rsid w:val="005C7D3D"/>
    <w:rsid w:val="005C7D85"/>
    <w:rsid w:val="005C7DE3"/>
    <w:rsid w:val="005C7E94"/>
    <w:rsid w:val="005C7F46"/>
    <w:rsid w:val="005D000C"/>
    <w:rsid w:val="005D00A2"/>
    <w:rsid w:val="005D02DA"/>
    <w:rsid w:val="005D0356"/>
    <w:rsid w:val="005D038A"/>
    <w:rsid w:val="005D03F6"/>
    <w:rsid w:val="005D04E6"/>
    <w:rsid w:val="005D05B4"/>
    <w:rsid w:val="005D0646"/>
    <w:rsid w:val="005D0695"/>
    <w:rsid w:val="005D07FA"/>
    <w:rsid w:val="005D080C"/>
    <w:rsid w:val="005D087E"/>
    <w:rsid w:val="005D0930"/>
    <w:rsid w:val="005D0A75"/>
    <w:rsid w:val="005D0A7E"/>
    <w:rsid w:val="005D0AE4"/>
    <w:rsid w:val="005D0B03"/>
    <w:rsid w:val="005D0B76"/>
    <w:rsid w:val="005D0CD8"/>
    <w:rsid w:val="005D0CD9"/>
    <w:rsid w:val="005D0D0A"/>
    <w:rsid w:val="005D0DB9"/>
    <w:rsid w:val="005D0E5E"/>
    <w:rsid w:val="005D0E7D"/>
    <w:rsid w:val="005D0EE1"/>
    <w:rsid w:val="005D0F83"/>
    <w:rsid w:val="005D0FA4"/>
    <w:rsid w:val="005D0FDF"/>
    <w:rsid w:val="005D1085"/>
    <w:rsid w:val="005D1137"/>
    <w:rsid w:val="005D1202"/>
    <w:rsid w:val="005D122A"/>
    <w:rsid w:val="005D1272"/>
    <w:rsid w:val="005D1379"/>
    <w:rsid w:val="005D137A"/>
    <w:rsid w:val="005D1411"/>
    <w:rsid w:val="005D143E"/>
    <w:rsid w:val="005D14B2"/>
    <w:rsid w:val="005D1590"/>
    <w:rsid w:val="005D15B1"/>
    <w:rsid w:val="005D1668"/>
    <w:rsid w:val="005D1A89"/>
    <w:rsid w:val="005D1B14"/>
    <w:rsid w:val="005D1BB5"/>
    <w:rsid w:val="005D1C2A"/>
    <w:rsid w:val="005D1CA6"/>
    <w:rsid w:val="005D1D7F"/>
    <w:rsid w:val="005D1D9F"/>
    <w:rsid w:val="005D1E58"/>
    <w:rsid w:val="005D1FBA"/>
    <w:rsid w:val="005D1FEA"/>
    <w:rsid w:val="005D204E"/>
    <w:rsid w:val="005D20F8"/>
    <w:rsid w:val="005D217B"/>
    <w:rsid w:val="005D220D"/>
    <w:rsid w:val="005D259C"/>
    <w:rsid w:val="005D25D6"/>
    <w:rsid w:val="005D269C"/>
    <w:rsid w:val="005D272C"/>
    <w:rsid w:val="005D2746"/>
    <w:rsid w:val="005D28A1"/>
    <w:rsid w:val="005D2913"/>
    <w:rsid w:val="005D2A4A"/>
    <w:rsid w:val="005D2B20"/>
    <w:rsid w:val="005D2B76"/>
    <w:rsid w:val="005D2BEB"/>
    <w:rsid w:val="005D2BFD"/>
    <w:rsid w:val="005D2C25"/>
    <w:rsid w:val="005D2D04"/>
    <w:rsid w:val="005D2D08"/>
    <w:rsid w:val="005D2D61"/>
    <w:rsid w:val="005D2DC3"/>
    <w:rsid w:val="005D2DE2"/>
    <w:rsid w:val="005D2F3C"/>
    <w:rsid w:val="005D2F55"/>
    <w:rsid w:val="005D2FB6"/>
    <w:rsid w:val="005D2FCC"/>
    <w:rsid w:val="005D2FD6"/>
    <w:rsid w:val="005D3004"/>
    <w:rsid w:val="005D302B"/>
    <w:rsid w:val="005D305B"/>
    <w:rsid w:val="005D3090"/>
    <w:rsid w:val="005D3124"/>
    <w:rsid w:val="005D3236"/>
    <w:rsid w:val="005D3254"/>
    <w:rsid w:val="005D3343"/>
    <w:rsid w:val="005D3385"/>
    <w:rsid w:val="005D338F"/>
    <w:rsid w:val="005D345B"/>
    <w:rsid w:val="005D34EC"/>
    <w:rsid w:val="005D3590"/>
    <w:rsid w:val="005D3591"/>
    <w:rsid w:val="005D3629"/>
    <w:rsid w:val="005D3637"/>
    <w:rsid w:val="005D367C"/>
    <w:rsid w:val="005D36BB"/>
    <w:rsid w:val="005D3774"/>
    <w:rsid w:val="005D388C"/>
    <w:rsid w:val="005D3A9D"/>
    <w:rsid w:val="005D3B25"/>
    <w:rsid w:val="005D3B7D"/>
    <w:rsid w:val="005D3B9A"/>
    <w:rsid w:val="005D3BC2"/>
    <w:rsid w:val="005D3BF6"/>
    <w:rsid w:val="005D3C35"/>
    <w:rsid w:val="005D3C43"/>
    <w:rsid w:val="005D3D33"/>
    <w:rsid w:val="005D3DF7"/>
    <w:rsid w:val="005D3E54"/>
    <w:rsid w:val="005D400D"/>
    <w:rsid w:val="005D408E"/>
    <w:rsid w:val="005D4090"/>
    <w:rsid w:val="005D41B2"/>
    <w:rsid w:val="005D42AE"/>
    <w:rsid w:val="005D42F0"/>
    <w:rsid w:val="005D43EE"/>
    <w:rsid w:val="005D43EF"/>
    <w:rsid w:val="005D4407"/>
    <w:rsid w:val="005D4466"/>
    <w:rsid w:val="005D44BD"/>
    <w:rsid w:val="005D4628"/>
    <w:rsid w:val="005D471F"/>
    <w:rsid w:val="005D4891"/>
    <w:rsid w:val="005D4958"/>
    <w:rsid w:val="005D4A11"/>
    <w:rsid w:val="005D4A85"/>
    <w:rsid w:val="005D4AB0"/>
    <w:rsid w:val="005D4B40"/>
    <w:rsid w:val="005D4B64"/>
    <w:rsid w:val="005D4BAC"/>
    <w:rsid w:val="005D4CE8"/>
    <w:rsid w:val="005D4E52"/>
    <w:rsid w:val="005D4E97"/>
    <w:rsid w:val="005D4F58"/>
    <w:rsid w:val="005D4FE4"/>
    <w:rsid w:val="005D504C"/>
    <w:rsid w:val="005D5095"/>
    <w:rsid w:val="005D5224"/>
    <w:rsid w:val="005D5225"/>
    <w:rsid w:val="005D5325"/>
    <w:rsid w:val="005D5335"/>
    <w:rsid w:val="005D534B"/>
    <w:rsid w:val="005D53F4"/>
    <w:rsid w:val="005D540C"/>
    <w:rsid w:val="005D5479"/>
    <w:rsid w:val="005D547C"/>
    <w:rsid w:val="005D556F"/>
    <w:rsid w:val="005D563A"/>
    <w:rsid w:val="005D5641"/>
    <w:rsid w:val="005D57A5"/>
    <w:rsid w:val="005D57CB"/>
    <w:rsid w:val="005D587C"/>
    <w:rsid w:val="005D58D1"/>
    <w:rsid w:val="005D58E3"/>
    <w:rsid w:val="005D58F1"/>
    <w:rsid w:val="005D594B"/>
    <w:rsid w:val="005D59DD"/>
    <w:rsid w:val="005D5AC5"/>
    <w:rsid w:val="005D5AF4"/>
    <w:rsid w:val="005D5B39"/>
    <w:rsid w:val="005D5B56"/>
    <w:rsid w:val="005D5B65"/>
    <w:rsid w:val="005D5B7F"/>
    <w:rsid w:val="005D5BA6"/>
    <w:rsid w:val="005D5BAC"/>
    <w:rsid w:val="005D5E9F"/>
    <w:rsid w:val="005D5EB3"/>
    <w:rsid w:val="005D5F59"/>
    <w:rsid w:val="005D6194"/>
    <w:rsid w:val="005D61ED"/>
    <w:rsid w:val="005D626D"/>
    <w:rsid w:val="005D6290"/>
    <w:rsid w:val="005D63FA"/>
    <w:rsid w:val="005D644F"/>
    <w:rsid w:val="005D64FA"/>
    <w:rsid w:val="005D6588"/>
    <w:rsid w:val="005D65B3"/>
    <w:rsid w:val="005D662A"/>
    <w:rsid w:val="005D6783"/>
    <w:rsid w:val="005D67D7"/>
    <w:rsid w:val="005D67E5"/>
    <w:rsid w:val="005D67F3"/>
    <w:rsid w:val="005D6831"/>
    <w:rsid w:val="005D684F"/>
    <w:rsid w:val="005D68ED"/>
    <w:rsid w:val="005D6996"/>
    <w:rsid w:val="005D69E5"/>
    <w:rsid w:val="005D6BD6"/>
    <w:rsid w:val="005D6C5D"/>
    <w:rsid w:val="005D6CAE"/>
    <w:rsid w:val="005D6CC7"/>
    <w:rsid w:val="005D6D58"/>
    <w:rsid w:val="005D6D8E"/>
    <w:rsid w:val="005D6EB3"/>
    <w:rsid w:val="005D6EBC"/>
    <w:rsid w:val="005D6F94"/>
    <w:rsid w:val="005D6F95"/>
    <w:rsid w:val="005D6FCC"/>
    <w:rsid w:val="005D6FFC"/>
    <w:rsid w:val="005D70BB"/>
    <w:rsid w:val="005D71C6"/>
    <w:rsid w:val="005D727C"/>
    <w:rsid w:val="005D72F9"/>
    <w:rsid w:val="005D7347"/>
    <w:rsid w:val="005D7374"/>
    <w:rsid w:val="005D7444"/>
    <w:rsid w:val="005D7497"/>
    <w:rsid w:val="005D75F5"/>
    <w:rsid w:val="005D76E9"/>
    <w:rsid w:val="005D78F0"/>
    <w:rsid w:val="005D7910"/>
    <w:rsid w:val="005D7B4A"/>
    <w:rsid w:val="005D7BBB"/>
    <w:rsid w:val="005D7BF5"/>
    <w:rsid w:val="005D7CAD"/>
    <w:rsid w:val="005D7CFB"/>
    <w:rsid w:val="005D7EEC"/>
    <w:rsid w:val="005D7F48"/>
    <w:rsid w:val="005E0063"/>
    <w:rsid w:val="005E0076"/>
    <w:rsid w:val="005E009B"/>
    <w:rsid w:val="005E010E"/>
    <w:rsid w:val="005E01A6"/>
    <w:rsid w:val="005E0217"/>
    <w:rsid w:val="005E0288"/>
    <w:rsid w:val="005E02AD"/>
    <w:rsid w:val="005E02EB"/>
    <w:rsid w:val="005E04C6"/>
    <w:rsid w:val="005E081E"/>
    <w:rsid w:val="005E097A"/>
    <w:rsid w:val="005E09BC"/>
    <w:rsid w:val="005E09CD"/>
    <w:rsid w:val="005E09F3"/>
    <w:rsid w:val="005E0A61"/>
    <w:rsid w:val="005E0A9E"/>
    <w:rsid w:val="005E0AC7"/>
    <w:rsid w:val="005E0B89"/>
    <w:rsid w:val="005E0BC9"/>
    <w:rsid w:val="005E0BED"/>
    <w:rsid w:val="005E0C49"/>
    <w:rsid w:val="005E0CDC"/>
    <w:rsid w:val="005E0D7D"/>
    <w:rsid w:val="005E0DBE"/>
    <w:rsid w:val="005E0DE3"/>
    <w:rsid w:val="005E0F1F"/>
    <w:rsid w:val="005E1116"/>
    <w:rsid w:val="005E11A5"/>
    <w:rsid w:val="005E137F"/>
    <w:rsid w:val="005E13B3"/>
    <w:rsid w:val="005E146D"/>
    <w:rsid w:val="005E147F"/>
    <w:rsid w:val="005E14D0"/>
    <w:rsid w:val="005E155B"/>
    <w:rsid w:val="005E158A"/>
    <w:rsid w:val="005E1677"/>
    <w:rsid w:val="005E1700"/>
    <w:rsid w:val="005E17DF"/>
    <w:rsid w:val="005E1847"/>
    <w:rsid w:val="005E1878"/>
    <w:rsid w:val="005E18C8"/>
    <w:rsid w:val="005E1972"/>
    <w:rsid w:val="005E1992"/>
    <w:rsid w:val="005E1A5E"/>
    <w:rsid w:val="005E1B57"/>
    <w:rsid w:val="005E1B67"/>
    <w:rsid w:val="005E1C57"/>
    <w:rsid w:val="005E1D06"/>
    <w:rsid w:val="005E1D40"/>
    <w:rsid w:val="005E1E45"/>
    <w:rsid w:val="005E1FC3"/>
    <w:rsid w:val="005E1FF1"/>
    <w:rsid w:val="005E2054"/>
    <w:rsid w:val="005E20D5"/>
    <w:rsid w:val="005E23F4"/>
    <w:rsid w:val="005E250E"/>
    <w:rsid w:val="005E256A"/>
    <w:rsid w:val="005E2668"/>
    <w:rsid w:val="005E2841"/>
    <w:rsid w:val="005E2890"/>
    <w:rsid w:val="005E2A83"/>
    <w:rsid w:val="005E2AC7"/>
    <w:rsid w:val="005E2AFB"/>
    <w:rsid w:val="005E2AFC"/>
    <w:rsid w:val="005E2C22"/>
    <w:rsid w:val="005E2C47"/>
    <w:rsid w:val="005E2C48"/>
    <w:rsid w:val="005E2EB1"/>
    <w:rsid w:val="005E2F46"/>
    <w:rsid w:val="005E2F55"/>
    <w:rsid w:val="005E2FBA"/>
    <w:rsid w:val="005E2FE2"/>
    <w:rsid w:val="005E3231"/>
    <w:rsid w:val="005E33AC"/>
    <w:rsid w:val="005E33DA"/>
    <w:rsid w:val="005E3418"/>
    <w:rsid w:val="005E3482"/>
    <w:rsid w:val="005E34DB"/>
    <w:rsid w:val="005E34E1"/>
    <w:rsid w:val="005E34E7"/>
    <w:rsid w:val="005E359A"/>
    <w:rsid w:val="005E3718"/>
    <w:rsid w:val="005E3846"/>
    <w:rsid w:val="005E391F"/>
    <w:rsid w:val="005E3994"/>
    <w:rsid w:val="005E3A86"/>
    <w:rsid w:val="005E3B02"/>
    <w:rsid w:val="005E3B66"/>
    <w:rsid w:val="005E3B7C"/>
    <w:rsid w:val="005E3B7D"/>
    <w:rsid w:val="005E3C3D"/>
    <w:rsid w:val="005E3D4D"/>
    <w:rsid w:val="005E3DCE"/>
    <w:rsid w:val="005E3E0C"/>
    <w:rsid w:val="005E3E24"/>
    <w:rsid w:val="005E3E43"/>
    <w:rsid w:val="005E3E90"/>
    <w:rsid w:val="005E3EE1"/>
    <w:rsid w:val="005E3EFE"/>
    <w:rsid w:val="005E3FE8"/>
    <w:rsid w:val="005E3FF1"/>
    <w:rsid w:val="005E405D"/>
    <w:rsid w:val="005E4064"/>
    <w:rsid w:val="005E40A2"/>
    <w:rsid w:val="005E4157"/>
    <w:rsid w:val="005E41C1"/>
    <w:rsid w:val="005E428D"/>
    <w:rsid w:val="005E43DA"/>
    <w:rsid w:val="005E4414"/>
    <w:rsid w:val="005E45CE"/>
    <w:rsid w:val="005E45F1"/>
    <w:rsid w:val="005E45FD"/>
    <w:rsid w:val="005E4669"/>
    <w:rsid w:val="005E4694"/>
    <w:rsid w:val="005E469A"/>
    <w:rsid w:val="005E46E1"/>
    <w:rsid w:val="005E4773"/>
    <w:rsid w:val="005E4827"/>
    <w:rsid w:val="005E489E"/>
    <w:rsid w:val="005E489F"/>
    <w:rsid w:val="005E48E6"/>
    <w:rsid w:val="005E4BD5"/>
    <w:rsid w:val="005E4BEA"/>
    <w:rsid w:val="005E4BFB"/>
    <w:rsid w:val="005E4C89"/>
    <w:rsid w:val="005E4CC4"/>
    <w:rsid w:val="005E4CF8"/>
    <w:rsid w:val="005E4DBC"/>
    <w:rsid w:val="005E4DE4"/>
    <w:rsid w:val="005E4E17"/>
    <w:rsid w:val="005E4E3B"/>
    <w:rsid w:val="005E4E71"/>
    <w:rsid w:val="005E4F30"/>
    <w:rsid w:val="005E4F39"/>
    <w:rsid w:val="005E4F71"/>
    <w:rsid w:val="005E4F86"/>
    <w:rsid w:val="005E4FF1"/>
    <w:rsid w:val="005E5020"/>
    <w:rsid w:val="005E503C"/>
    <w:rsid w:val="005E50AB"/>
    <w:rsid w:val="005E5178"/>
    <w:rsid w:val="005E5208"/>
    <w:rsid w:val="005E522F"/>
    <w:rsid w:val="005E52BD"/>
    <w:rsid w:val="005E533A"/>
    <w:rsid w:val="005E538E"/>
    <w:rsid w:val="005E544C"/>
    <w:rsid w:val="005E5515"/>
    <w:rsid w:val="005E568A"/>
    <w:rsid w:val="005E5707"/>
    <w:rsid w:val="005E57B8"/>
    <w:rsid w:val="005E5A3D"/>
    <w:rsid w:val="005E5A78"/>
    <w:rsid w:val="005E5AC4"/>
    <w:rsid w:val="005E5B22"/>
    <w:rsid w:val="005E5B71"/>
    <w:rsid w:val="005E5B96"/>
    <w:rsid w:val="005E5CEE"/>
    <w:rsid w:val="005E5DD5"/>
    <w:rsid w:val="005E5E17"/>
    <w:rsid w:val="005E5E9F"/>
    <w:rsid w:val="005E5EB7"/>
    <w:rsid w:val="005E5F34"/>
    <w:rsid w:val="005E5F6F"/>
    <w:rsid w:val="005E5F81"/>
    <w:rsid w:val="005E6050"/>
    <w:rsid w:val="005E6096"/>
    <w:rsid w:val="005E60D4"/>
    <w:rsid w:val="005E60D7"/>
    <w:rsid w:val="005E6111"/>
    <w:rsid w:val="005E6131"/>
    <w:rsid w:val="005E614C"/>
    <w:rsid w:val="005E61C3"/>
    <w:rsid w:val="005E623A"/>
    <w:rsid w:val="005E6269"/>
    <w:rsid w:val="005E6274"/>
    <w:rsid w:val="005E6367"/>
    <w:rsid w:val="005E6424"/>
    <w:rsid w:val="005E6488"/>
    <w:rsid w:val="005E64E8"/>
    <w:rsid w:val="005E659F"/>
    <w:rsid w:val="005E65E2"/>
    <w:rsid w:val="005E65F0"/>
    <w:rsid w:val="005E6633"/>
    <w:rsid w:val="005E6695"/>
    <w:rsid w:val="005E66C9"/>
    <w:rsid w:val="005E67A5"/>
    <w:rsid w:val="005E684C"/>
    <w:rsid w:val="005E6854"/>
    <w:rsid w:val="005E6855"/>
    <w:rsid w:val="005E6971"/>
    <w:rsid w:val="005E6AB1"/>
    <w:rsid w:val="005E6AD7"/>
    <w:rsid w:val="005E6AE2"/>
    <w:rsid w:val="005E6B1B"/>
    <w:rsid w:val="005E6B35"/>
    <w:rsid w:val="005E6B36"/>
    <w:rsid w:val="005E6CBD"/>
    <w:rsid w:val="005E6D6A"/>
    <w:rsid w:val="005E6DBB"/>
    <w:rsid w:val="005E6DC1"/>
    <w:rsid w:val="005E6DE2"/>
    <w:rsid w:val="005E6E56"/>
    <w:rsid w:val="005E6E6E"/>
    <w:rsid w:val="005E6F44"/>
    <w:rsid w:val="005E702D"/>
    <w:rsid w:val="005E7151"/>
    <w:rsid w:val="005E71BF"/>
    <w:rsid w:val="005E72B6"/>
    <w:rsid w:val="005E73B1"/>
    <w:rsid w:val="005E73BE"/>
    <w:rsid w:val="005E73C5"/>
    <w:rsid w:val="005E73D2"/>
    <w:rsid w:val="005E744A"/>
    <w:rsid w:val="005E7481"/>
    <w:rsid w:val="005E7549"/>
    <w:rsid w:val="005E7667"/>
    <w:rsid w:val="005E76FB"/>
    <w:rsid w:val="005E772C"/>
    <w:rsid w:val="005E77A8"/>
    <w:rsid w:val="005E7813"/>
    <w:rsid w:val="005E786E"/>
    <w:rsid w:val="005E795B"/>
    <w:rsid w:val="005E7A84"/>
    <w:rsid w:val="005E7AB3"/>
    <w:rsid w:val="005E7AFD"/>
    <w:rsid w:val="005E7B87"/>
    <w:rsid w:val="005E7C83"/>
    <w:rsid w:val="005E7CDD"/>
    <w:rsid w:val="005E7CEA"/>
    <w:rsid w:val="005E7D53"/>
    <w:rsid w:val="005E7E96"/>
    <w:rsid w:val="005F003E"/>
    <w:rsid w:val="005F0107"/>
    <w:rsid w:val="005F01C0"/>
    <w:rsid w:val="005F026B"/>
    <w:rsid w:val="005F0348"/>
    <w:rsid w:val="005F043D"/>
    <w:rsid w:val="005F045A"/>
    <w:rsid w:val="005F0488"/>
    <w:rsid w:val="005F04DB"/>
    <w:rsid w:val="005F05C8"/>
    <w:rsid w:val="005F05DA"/>
    <w:rsid w:val="005F05FB"/>
    <w:rsid w:val="005F0623"/>
    <w:rsid w:val="005F07EF"/>
    <w:rsid w:val="005F08E6"/>
    <w:rsid w:val="005F0911"/>
    <w:rsid w:val="005F095E"/>
    <w:rsid w:val="005F09FD"/>
    <w:rsid w:val="005F0AFB"/>
    <w:rsid w:val="005F0C1A"/>
    <w:rsid w:val="005F0C1D"/>
    <w:rsid w:val="005F0C72"/>
    <w:rsid w:val="005F0CAF"/>
    <w:rsid w:val="005F0D2E"/>
    <w:rsid w:val="005F0D95"/>
    <w:rsid w:val="005F0DBC"/>
    <w:rsid w:val="005F0DF0"/>
    <w:rsid w:val="005F0E76"/>
    <w:rsid w:val="005F0E89"/>
    <w:rsid w:val="005F0EF7"/>
    <w:rsid w:val="005F0F07"/>
    <w:rsid w:val="005F0FB3"/>
    <w:rsid w:val="005F1107"/>
    <w:rsid w:val="005F114B"/>
    <w:rsid w:val="005F11CB"/>
    <w:rsid w:val="005F11F5"/>
    <w:rsid w:val="005F135F"/>
    <w:rsid w:val="005F13B8"/>
    <w:rsid w:val="005F13C4"/>
    <w:rsid w:val="005F13EB"/>
    <w:rsid w:val="005F1508"/>
    <w:rsid w:val="005F1520"/>
    <w:rsid w:val="005F154E"/>
    <w:rsid w:val="005F163F"/>
    <w:rsid w:val="005F1679"/>
    <w:rsid w:val="005F16E6"/>
    <w:rsid w:val="005F1851"/>
    <w:rsid w:val="005F1A86"/>
    <w:rsid w:val="005F1B74"/>
    <w:rsid w:val="005F1D04"/>
    <w:rsid w:val="005F1D43"/>
    <w:rsid w:val="005F1DCD"/>
    <w:rsid w:val="005F1EAF"/>
    <w:rsid w:val="005F1F76"/>
    <w:rsid w:val="005F2023"/>
    <w:rsid w:val="005F218E"/>
    <w:rsid w:val="005F21FE"/>
    <w:rsid w:val="005F2289"/>
    <w:rsid w:val="005F23A1"/>
    <w:rsid w:val="005F243A"/>
    <w:rsid w:val="005F244B"/>
    <w:rsid w:val="005F2454"/>
    <w:rsid w:val="005F24D1"/>
    <w:rsid w:val="005F24FC"/>
    <w:rsid w:val="005F2515"/>
    <w:rsid w:val="005F2661"/>
    <w:rsid w:val="005F2699"/>
    <w:rsid w:val="005F28E4"/>
    <w:rsid w:val="005F28E5"/>
    <w:rsid w:val="005F291C"/>
    <w:rsid w:val="005F29AF"/>
    <w:rsid w:val="005F29F3"/>
    <w:rsid w:val="005F2A2F"/>
    <w:rsid w:val="005F2A3F"/>
    <w:rsid w:val="005F2AAF"/>
    <w:rsid w:val="005F2AC2"/>
    <w:rsid w:val="005F2AE0"/>
    <w:rsid w:val="005F2DD0"/>
    <w:rsid w:val="005F2E3B"/>
    <w:rsid w:val="005F2E75"/>
    <w:rsid w:val="005F2FBF"/>
    <w:rsid w:val="005F3024"/>
    <w:rsid w:val="005F304B"/>
    <w:rsid w:val="005F3070"/>
    <w:rsid w:val="005F307E"/>
    <w:rsid w:val="005F307F"/>
    <w:rsid w:val="005F3138"/>
    <w:rsid w:val="005F3143"/>
    <w:rsid w:val="005F314E"/>
    <w:rsid w:val="005F31AC"/>
    <w:rsid w:val="005F31E6"/>
    <w:rsid w:val="005F3270"/>
    <w:rsid w:val="005F331B"/>
    <w:rsid w:val="005F3399"/>
    <w:rsid w:val="005F33E1"/>
    <w:rsid w:val="005F33E6"/>
    <w:rsid w:val="005F3498"/>
    <w:rsid w:val="005F34FD"/>
    <w:rsid w:val="005F353C"/>
    <w:rsid w:val="005F3574"/>
    <w:rsid w:val="005F3607"/>
    <w:rsid w:val="005F3671"/>
    <w:rsid w:val="005F36A2"/>
    <w:rsid w:val="005F36A6"/>
    <w:rsid w:val="005F3763"/>
    <w:rsid w:val="005F3796"/>
    <w:rsid w:val="005F3823"/>
    <w:rsid w:val="005F3842"/>
    <w:rsid w:val="005F384C"/>
    <w:rsid w:val="005F389E"/>
    <w:rsid w:val="005F3952"/>
    <w:rsid w:val="005F3962"/>
    <w:rsid w:val="005F39CE"/>
    <w:rsid w:val="005F39D1"/>
    <w:rsid w:val="005F3AC2"/>
    <w:rsid w:val="005F3B24"/>
    <w:rsid w:val="005F3BA1"/>
    <w:rsid w:val="005F3C2D"/>
    <w:rsid w:val="005F3C60"/>
    <w:rsid w:val="005F3CB1"/>
    <w:rsid w:val="005F3CF8"/>
    <w:rsid w:val="005F3D10"/>
    <w:rsid w:val="005F3E0F"/>
    <w:rsid w:val="005F3FED"/>
    <w:rsid w:val="005F403D"/>
    <w:rsid w:val="005F411D"/>
    <w:rsid w:val="005F412C"/>
    <w:rsid w:val="005F4158"/>
    <w:rsid w:val="005F415F"/>
    <w:rsid w:val="005F4176"/>
    <w:rsid w:val="005F41FB"/>
    <w:rsid w:val="005F4214"/>
    <w:rsid w:val="005F4220"/>
    <w:rsid w:val="005F4260"/>
    <w:rsid w:val="005F4326"/>
    <w:rsid w:val="005F43C8"/>
    <w:rsid w:val="005F4429"/>
    <w:rsid w:val="005F4473"/>
    <w:rsid w:val="005F450F"/>
    <w:rsid w:val="005F4557"/>
    <w:rsid w:val="005F4560"/>
    <w:rsid w:val="005F45CB"/>
    <w:rsid w:val="005F45E9"/>
    <w:rsid w:val="005F47A9"/>
    <w:rsid w:val="005F487D"/>
    <w:rsid w:val="005F48EE"/>
    <w:rsid w:val="005F4A1E"/>
    <w:rsid w:val="005F4A59"/>
    <w:rsid w:val="005F4ACF"/>
    <w:rsid w:val="005F4B4E"/>
    <w:rsid w:val="005F4D95"/>
    <w:rsid w:val="005F4DB4"/>
    <w:rsid w:val="005F4F01"/>
    <w:rsid w:val="005F4F29"/>
    <w:rsid w:val="005F4F31"/>
    <w:rsid w:val="005F50A3"/>
    <w:rsid w:val="005F5137"/>
    <w:rsid w:val="005F521C"/>
    <w:rsid w:val="005F5294"/>
    <w:rsid w:val="005F52D0"/>
    <w:rsid w:val="005F532F"/>
    <w:rsid w:val="005F537D"/>
    <w:rsid w:val="005F5431"/>
    <w:rsid w:val="005F54AA"/>
    <w:rsid w:val="005F54C0"/>
    <w:rsid w:val="005F54D6"/>
    <w:rsid w:val="005F55F3"/>
    <w:rsid w:val="005F568C"/>
    <w:rsid w:val="005F5695"/>
    <w:rsid w:val="005F56FB"/>
    <w:rsid w:val="005F57DA"/>
    <w:rsid w:val="005F59B6"/>
    <w:rsid w:val="005F59FB"/>
    <w:rsid w:val="005F5A22"/>
    <w:rsid w:val="005F5A49"/>
    <w:rsid w:val="005F5C97"/>
    <w:rsid w:val="005F5CF2"/>
    <w:rsid w:val="005F5F17"/>
    <w:rsid w:val="005F6077"/>
    <w:rsid w:val="005F6187"/>
    <w:rsid w:val="005F6190"/>
    <w:rsid w:val="005F61E1"/>
    <w:rsid w:val="005F61F4"/>
    <w:rsid w:val="005F6323"/>
    <w:rsid w:val="005F6455"/>
    <w:rsid w:val="005F64A0"/>
    <w:rsid w:val="005F652E"/>
    <w:rsid w:val="005F655D"/>
    <w:rsid w:val="005F657A"/>
    <w:rsid w:val="005F65AD"/>
    <w:rsid w:val="005F6627"/>
    <w:rsid w:val="005F6634"/>
    <w:rsid w:val="005F66E1"/>
    <w:rsid w:val="005F66EE"/>
    <w:rsid w:val="005F66F7"/>
    <w:rsid w:val="005F6748"/>
    <w:rsid w:val="005F6965"/>
    <w:rsid w:val="005F6A03"/>
    <w:rsid w:val="005F6A3E"/>
    <w:rsid w:val="005F6AAC"/>
    <w:rsid w:val="005F6BD0"/>
    <w:rsid w:val="005F6BEA"/>
    <w:rsid w:val="005F6C6A"/>
    <w:rsid w:val="005F6CBF"/>
    <w:rsid w:val="005F6DD4"/>
    <w:rsid w:val="005F6E12"/>
    <w:rsid w:val="005F6E3C"/>
    <w:rsid w:val="005F6EAD"/>
    <w:rsid w:val="005F6EF7"/>
    <w:rsid w:val="005F6F19"/>
    <w:rsid w:val="005F6FB2"/>
    <w:rsid w:val="005F6FDF"/>
    <w:rsid w:val="005F712C"/>
    <w:rsid w:val="005F71A4"/>
    <w:rsid w:val="005F71B9"/>
    <w:rsid w:val="005F720F"/>
    <w:rsid w:val="005F72B4"/>
    <w:rsid w:val="005F72DC"/>
    <w:rsid w:val="005F7331"/>
    <w:rsid w:val="005F7574"/>
    <w:rsid w:val="005F76AC"/>
    <w:rsid w:val="005F7765"/>
    <w:rsid w:val="005F7790"/>
    <w:rsid w:val="005F77A0"/>
    <w:rsid w:val="005F7865"/>
    <w:rsid w:val="005F78A4"/>
    <w:rsid w:val="005F78C6"/>
    <w:rsid w:val="005F78E3"/>
    <w:rsid w:val="005F791E"/>
    <w:rsid w:val="005F7924"/>
    <w:rsid w:val="005F793F"/>
    <w:rsid w:val="005F79CD"/>
    <w:rsid w:val="005F7AB9"/>
    <w:rsid w:val="005F7B60"/>
    <w:rsid w:val="005F7BBB"/>
    <w:rsid w:val="005F7C29"/>
    <w:rsid w:val="005F7EFD"/>
    <w:rsid w:val="005F7F6B"/>
    <w:rsid w:val="00600046"/>
    <w:rsid w:val="00600096"/>
    <w:rsid w:val="0060019E"/>
    <w:rsid w:val="006001AA"/>
    <w:rsid w:val="006002CC"/>
    <w:rsid w:val="0060031B"/>
    <w:rsid w:val="0060031C"/>
    <w:rsid w:val="00600358"/>
    <w:rsid w:val="0060046F"/>
    <w:rsid w:val="006004FF"/>
    <w:rsid w:val="00600539"/>
    <w:rsid w:val="006005C1"/>
    <w:rsid w:val="006005E4"/>
    <w:rsid w:val="00600665"/>
    <w:rsid w:val="00600672"/>
    <w:rsid w:val="006006BB"/>
    <w:rsid w:val="006007A0"/>
    <w:rsid w:val="006007D4"/>
    <w:rsid w:val="00600914"/>
    <w:rsid w:val="0060097F"/>
    <w:rsid w:val="00600AED"/>
    <w:rsid w:val="00600B55"/>
    <w:rsid w:val="00600B57"/>
    <w:rsid w:val="00600CED"/>
    <w:rsid w:val="00600CFB"/>
    <w:rsid w:val="00600D41"/>
    <w:rsid w:val="00600DA3"/>
    <w:rsid w:val="00600DFF"/>
    <w:rsid w:val="00600EC2"/>
    <w:rsid w:val="00600FE6"/>
    <w:rsid w:val="00601019"/>
    <w:rsid w:val="006010A0"/>
    <w:rsid w:val="00601129"/>
    <w:rsid w:val="0060113D"/>
    <w:rsid w:val="006012E2"/>
    <w:rsid w:val="006013DD"/>
    <w:rsid w:val="0060146C"/>
    <w:rsid w:val="00601515"/>
    <w:rsid w:val="00601547"/>
    <w:rsid w:val="00601581"/>
    <w:rsid w:val="006016C9"/>
    <w:rsid w:val="0060170B"/>
    <w:rsid w:val="006017DB"/>
    <w:rsid w:val="006018E2"/>
    <w:rsid w:val="00601A83"/>
    <w:rsid w:val="00601AE7"/>
    <w:rsid w:val="00601B92"/>
    <w:rsid w:val="00601D10"/>
    <w:rsid w:val="00601D24"/>
    <w:rsid w:val="00602009"/>
    <w:rsid w:val="0060217F"/>
    <w:rsid w:val="006021B5"/>
    <w:rsid w:val="0060221B"/>
    <w:rsid w:val="0060222A"/>
    <w:rsid w:val="00602234"/>
    <w:rsid w:val="0060226D"/>
    <w:rsid w:val="00602348"/>
    <w:rsid w:val="0060240D"/>
    <w:rsid w:val="006024AB"/>
    <w:rsid w:val="006024E1"/>
    <w:rsid w:val="006026E2"/>
    <w:rsid w:val="0060286C"/>
    <w:rsid w:val="00602877"/>
    <w:rsid w:val="00602887"/>
    <w:rsid w:val="00602904"/>
    <w:rsid w:val="00602959"/>
    <w:rsid w:val="00602964"/>
    <w:rsid w:val="0060299D"/>
    <w:rsid w:val="00602A84"/>
    <w:rsid w:val="00602B53"/>
    <w:rsid w:val="00602C0D"/>
    <w:rsid w:val="00602C40"/>
    <w:rsid w:val="00602C8B"/>
    <w:rsid w:val="00602C9D"/>
    <w:rsid w:val="00602D70"/>
    <w:rsid w:val="00602DC9"/>
    <w:rsid w:val="00602E56"/>
    <w:rsid w:val="00602EB5"/>
    <w:rsid w:val="00602F14"/>
    <w:rsid w:val="00602F6A"/>
    <w:rsid w:val="00602FFD"/>
    <w:rsid w:val="00603059"/>
    <w:rsid w:val="006031C8"/>
    <w:rsid w:val="006032C0"/>
    <w:rsid w:val="006032C9"/>
    <w:rsid w:val="006032D5"/>
    <w:rsid w:val="00603389"/>
    <w:rsid w:val="00603433"/>
    <w:rsid w:val="006034BF"/>
    <w:rsid w:val="006034EA"/>
    <w:rsid w:val="00603697"/>
    <w:rsid w:val="00603799"/>
    <w:rsid w:val="00603848"/>
    <w:rsid w:val="006038D2"/>
    <w:rsid w:val="00603941"/>
    <w:rsid w:val="00603AA3"/>
    <w:rsid w:val="00603AC1"/>
    <w:rsid w:val="00603B73"/>
    <w:rsid w:val="00603C3A"/>
    <w:rsid w:val="00603C53"/>
    <w:rsid w:val="00603C78"/>
    <w:rsid w:val="00603C7D"/>
    <w:rsid w:val="00603CF8"/>
    <w:rsid w:val="00603E46"/>
    <w:rsid w:val="00603F8F"/>
    <w:rsid w:val="00604025"/>
    <w:rsid w:val="0060405D"/>
    <w:rsid w:val="00604104"/>
    <w:rsid w:val="0060412E"/>
    <w:rsid w:val="00604170"/>
    <w:rsid w:val="00604234"/>
    <w:rsid w:val="00604258"/>
    <w:rsid w:val="006042E1"/>
    <w:rsid w:val="006043A7"/>
    <w:rsid w:val="00604422"/>
    <w:rsid w:val="006044A2"/>
    <w:rsid w:val="0060458D"/>
    <w:rsid w:val="00604838"/>
    <w:rsid w:val="00604913"/>
    <w:rsid w:val="00604928"/>
    <w:rsid w:val="00604949"/>
    <w:rsid w:val="00604A02"/>
    <w:rsid w:val="00604B25"/>
    <w:rsid w:val="00604D46"/>
    <w:rsid w:val="00604D53"/>
    <w:rsid w:val="00604D8B"/>
    <w:rsid w:val="00604E45"/>
    <w:rsid w:val="00604FA3"/>
    <w:rsid w:val="00604FD7"/>
    <w:rsid w:val="0060507A"/>
    <w:rsid w:val="00605166"/>
    <w:rsid w:val="006051FD"/>
    <w:rsid w:val="00605209"/>
    <w:rsid w:val="00605229"/>
    <w:rsid w:val="0060527F"/>
    <w:rsid w:val="006052C8"/>
    <w:rsid w:val="00605388"/>
    <w:rsid w:val="006053E0"/>
    <w:rsid w:val="00605432"/>
    <w:rsid w:val="006054B1"/>
    <w:rsid w:val="006054CC"/>
    <w:rsid w:val="006054ED"/>
    <w:rsid w:val="00605567"/>
    <w:rsid w:val="00605633"/>
    <w:rsid w:val="006056AA"/>
    <w:rsid w:val="006057AF"/>
    <w:rsid w:val="006057CB"/>
    <w:rsid w:val="00605999"/>
    <w:rsid w:val="0060599D"/>
    <w:rsid w:val="006059D3"/>
    <w:rsid w:val="006059E1"/>
    <w:rsid w:val="00605A19"/>
    <w:rsid w:val="00605ACD"/>
    <w:rsid w:val="00605AFB"/>
    <w:rsid w:val="00605BB0"/>
    <w:rsid w:val="00605CA2"/>
    <w:rsid w:val="00605D6D"/>
    <w:rsid w:val="00605DBF"/>
    <w:rsid w:val="00605E3F"/>
    <w:rsid w:val="00605F87"/>
    <w:rsid w:val="006060E2"/>
    <w:rsid w:val="0060617D"/>
    <w:rsid w:val="00606202"/>
    <w:rsid w:val="00606283"/>
    <w:rsid w:val="006062ED"/>
    <w:rsid w:val="00606382"/>
    <w:rsid w:val="0060639F"/>
    <w:rsid w:val="006063C3"/>
    <w:rsid w:val="00606452"/>
    <w:rsid w:val="006064C6"/>
    <w:rsid w:val="006065BE"/>
    <w:rsid w:val="0060664E"/>
    <w:rsid w:val="006066B2"/>
    <w:rsid w:val="00606814"/>
    <w:rsid w:val="00606887"/>
    <w:rsid w:val="006068C0"/>
    <w:rsid w:val="006068C8"/>
    <w:rsid w:val="006068DF"/>
    <w:rsid w:val="00606B70"/>
    <w:rsid w:val="00606C7F"/>
    <w:rsid w:val="00606CDC"/>
    <w:rsid w:val="00606D9F"/>
    <w:rsid w:val="00606EF5"/>
    <w:rsid w:val="00606FBF"/>
    <w:rsid w:val="00607033"/>
    <w:rsid w:val="00607064"/>
    <w:rsid w:val="0060710E"/>
    <w:rsid w:val="00607184"/>
    <w:rsid w:val="00607199"/>
    <w:rsid w:val="0060721B"/>
    <w:rsid w:val="00607223"/>
    <w:rsid w:val="0060725F"/>
    <w:rsid w:val="0060726B"/>
    <w:rsid w:val="0060727C"/>
    <w:rsid w:val="00607347"/>
    <w:rsid w:val="0060739A"/>
    <w:rsid w:val="006073C6"/>
    <w:rsid w:val="00607424"/>
    <w:rsid w:val="00607559"/>
    <w:rsid w:val="006075F6"/>
    <w:rsid w:val="00607660"/>
    <w:rsid w:val="006076DC"/>
    <w:rsid w:val="00607754"/>
    <w:rsid w:val="00607815"/>
    <w:rsid w:val="00607851"/>
    <w:rsid w:val="006078DD"/>
    <w:rsid w:val="006078F0"/>
    <w:rsid w:val="006078F2"/>
    <w:rsid w:val="00607907"/>
    <w:rsid w:val="0060793F"/>
    <w:rsid w:val="00607959"/>
    <w:rsid w:val="006079DE"/>
    <w:rsid w:val="00607B69"/>
    <w:rsid w:val="00607B82"/>
    <w:rsid w:val="00607BCC"/>
    <w:rsid w:val="00607BD2"/>
    <w:rsid w:val="00607BF6"/>
    <w:rsid w:val="00607C2D"/>
    <w:rsid w:val="00607D00"/>
    <w:rsid w:val="00607D7C"/>
    <w:rsid w:val="00607D8D"/>
    <w:rsid w:val="00607D9E"/>
    <w:rsid w:val="00607E64"/>
    <w:rsid w:val="00607E92"/>
    <w:rsid w:val="00607F07"/>
    <w:rsid w:val="00607F17"/>
    <w:rsid w:val="00607FF1"/>
    <w:rsid w:val="006100D2"/>
    <w:rsid w:val="00610137"/>
    <w:rsid w:val="00610160"/>
    <w:rsid w:val="006101D9"/>
    <w:rsid w:val="00610214"/>
    <w:rsid w:val="00610350"/>
    <w:rsid w:val="0061038E"/>
    <w:rsid w:val="006103B8"/>
    <w:rsid w:val="006103EA"/>
    <w:rsid w:val="006104E9"/>
    <w:rsid w:val="00610558"/>
    <w:rsid w:val="006106F7"/>
    <w:rsid w:val="006108EA"/>
    <w:rsid w:val="00610A0A"/>
    <w:rsid w:val="00610A14"/>
    <w:rsid w:val="00610A30"/>
    <w:rsid w:val="00610A52"/>
    <w:rsid w:val="00610B20"/>
    <w:rsid w:val="00610C5D"/>
    <w:rsid w:val="00610C72"/>
    <w:rsid w:val="00610FB4"/>
    <w:rsid w:val="00611009"/>
    <w:rsid w:val="00611057"/>
    <w:rsid w:val="0061107F"/>
    <w:rsid w:val="00611367"/>
    <w:rsid w:val="006113A5"/>
    <w:rsid w:val="006113BD"/>
    <w:rsid w:val="0061148E"/>
    <w:rsid w:val="00611503"/>
    <w:rsid w:val="00611539"/>
    <w:rsid w:val="006115F7"/>
    <w:rsid w:val="006116AD"/>
    <w:rsid w:val="006116C0"/>
    <w:rsid w:val="0061170B"/>
    <w:rsid w:val="0061173D"/>
    <w:rsid w:val="00611839"/>
    <w:rsid w:val="0061186C"/>
    <w:rsid w:val="00611992"/>
    <w:rsid w:val="006119E5"/>
    <w:rsid w:val="006119E7"/>
    <w:rsid w:val="00611A6F"/>
    <w:rsid w:val="00611ADB"/>
    <w:rsid w:val="00611AF3"/>
    <w:rsid w:val="00611C7F"/>
    <w:rsid w:val="00611CA0"/>
    <w:rsid w:val="00611CD3"/>
    <w:rsid w:val="00611D56"/>
    <w:rsid w:val="00611DAB"/>
    <w:rsid w:val="00611EA8"/>
    <w:rsid w:val="00611F3F"/>
    <w:rsid w:val="00611FAF"/>
    <w:rsid w:val="0061204D"/>
    <w:rsid w:val="0061205A"/>
    <w:rsid w:val="006120A2"/>
    <w:rsid w:val="006120F3"/>
    <w:rsid w:val="006121EC"/>
    <w:rsid w:val="00612208"/>
    <w:rsid w:val="00612264"/>
    <w:rsid w:val="00612381"/>
    <w:rsid w:val="006123AA"/>
    <w:rsid w:val="00612409"/>
    <w:rsid w:val="006124FE"/>
    <w:rsid w:val="006125CB"/>
    <w:rsid w:val="006125EE"/>
    <w:rsid w:val="006126AB"/>
    <w:rsid w:val="00612716"/>
    <w:rsid w:val="00612851"/>
    <w:rsid w:val="00612946"/>
    <w:rsid w:val="00612999"/>
    <w:rsid w:val="00612A05"/>
    <w:rsid w:val="00612AB5"/>
    <w:rsid w:val="00612BBD"/>
    <w:rsid w:val="00612C4D"/>
    <w:rsid w:val="00612C6E"/>
    <w:rsid w:val="00612C74"/>
    <w:rsid w:val="00612C75"/>
    <w:rsid w:val="00612D45"/>
    <w:rsid w:val="00612D8F"/>
    <w:rsid w:val="00612DFA"/>
    <w:rsid w:val="00612E31"/>
    <w:rsid w:val="00612F2E"/>
    <w:rsid w:val="00612F36"/>
    <w:rsid w:val="00613000"/>
    <w:rsid w:val="00613185"/>
    <w:rsid w:val="00613240"/>
    <w:rsid w:val="00613332"/>
    <w:rsid w:val="00613443"/>
    <w:rsid w:val="00613544"/>
    <w:rsid w:val="006135CD"/>
    <w:rsid w:val="00613742"/>
    <w:rsid w:val="00613743"/>
    <w:rsid w:val="00613879"/>
    <w:rsid w:val="00613920"/>
    <w:rsid w:val="00613A89"/>
    <w:rsid w:val="00613AB9"/>
    <w:rsid w:val="00613B7C"/>
    <w:rsid w:val="00613CE8"/>
    <w:rsid w:val="00613DA7"/>
    <w:rsid w:val="00613DFD"/>
    <w:rsid w:val="00613E8D"/>
    <w:rsid w:val="00613ED0"/>
    <w:rsid w:val="00613F1A"/>
    <w:rsid w:val="00613F1B"/>
    <w:rsid w:val="00613F2D"/>
    <w:rsid w:val="00613FA7"/>
    <w:rsid w:val="006140A6"/>
    <w:rsid w:val="006140CB"/>
    <w:rsid w:val="00614177"/>
    <w:rsid w:val="00614211"/>
    <w:rsid w:val="00614216"/>
    <w:rsid w:val="00614255"/>
    <w:rsid w:val="006142C5"/>
    <w:rsid w:val="0061433F"/>
    <w:rsid w:val="0061438A"/>
    <w:rsid w:val="006144C9"/>
    <w:rsid w:val="00614598"/>
    <w:rsid w:val="006145BC"/>
    <w:rsid w:val="006145CF"/>
    <w:rsid w:val="006147EB"/>
    <w:rsid w:val="00614862"/>
    <w:rsid w:val="0061486A"/>
    <w:rsid w:val="0061487B"/>
    <w:rsid w:val="006148BF"/>
    <w:rsid w:val="006148E3"/>
    <w:rsid w:val="00614944"/>
    <w:rsid w:val="006149DD"/>
    <w:rsid w:val="00614A0E"/>
    <w:rsid w:val="00614A94"/>
    <w:rsid w:val="00614B3B"/>
    <w:rsid w:val="00614B40"/>
    <w:rsid w:val="00614B94"/>
    <w:rsid w:val="00614BD7"/>
    <w:rsid w:val="00614C2C"/>
    <w:rsid w:val="00614C62"/>
    <w:rsid w:val="00614C7B"/>
    <w:rsid w:val="00614C82"/>
    <w:rsid w:val="00614CE5"/>
    <w:rsid w:val="00614CF7"/>
    <w:rsid w:val="00614D67"/>
    <w:rsid w:val="00614D81"/>
    <w:rsid w:val="00614EA6"/>
    <w:rsid w:val="00614EC6"/>
    <w:rsid w:val="00614FA8"/>
    <w:rsid w:val="00614FDA"/>
    <w:rsid w:val="00615178"/>
    <w:rsid w:val="006151F2"/>
    <w:rsid w:val="00615290"/>
    <w:rsid w:val="006152F2"/>
    <w:rsid w:val="00615352"/>
    <w:rsid w:val="00615394"/>
    <w:rsid w:val="00615436"/>
    <w:rsid w:val="006154FF"/>
    <w:rsid w:val="0061552F"/>
    <w:rsid w:val="0061580C"/>
    <w:rsid w:val="0061586D"/>
    <w:rsid w:val="00615920"/>
    <w:rsid w:val="00615924"/>
    <w:rsid w:val="0061594D"/>
    <w:rsid w:val="00615B30"/>
    <w:rsid w:val="00615B39"/>
    <w:rsid w:val="00615D4E"/>
    <w:rsid w:val="00615E6E"/>
    <w:rsid w:val="00615E80"/>
    <w:rsid w:val="00615E94"/>
    <w:rsid w:val="00615F6D"/>
    <w:rsid w:val="00616078"/>
    <w:rsid w:val="00616258"/>
    <w:rsid w:val="006162D4"/>
    <w:rsid w:val="00616329"/>
    <w:rsid w:val="0061638A"/>
    <w:rsid w:val="006163DA"/>
    <w:rsid w:val="0061641B"/>
    <w:rsid w:val="006164B2"/>
    <w:rsid w:val="006164FF"/>
    <w:rsid w:val="00616598"/>
    <w:rsid w:val="006165AD"/>
    <w:rsid w:val="0061678E"/>
    <w:rsid w:val="00616847"/>
    <w:rsid w:val="00616850"/>
    <w:rsid w:val="00616859"/>
    <w:rsid w:val="0061696C"/>
    <w:rsid w:val="006169DC"/>
    <w:rsid w:val="00616A34"/>
    <w:rsid w:val="00616B3C"/>
    <w:rsid w:val="00616BE4"/>
    <w:rsid w:val="00616C1E"/>
    <w:rsid w:val="00616C8C"/>
    <w:rsid w:val="00616CBC"/>
    <w:rsid w:val="00616D37"/>
    <w:rsid w:val="00616E54"/>
    <w:rsid w:val="00616EA3"/>
    <w:rsid w:val="00616EE8"/>
    <w:rsid w:val="00616F02"/>
    <w:rsid w:val="00616FF8"/>
    <w:rsid w:val="00617010"/>
    <w:rsid w:val="00617047"/>
    <w:rsid w:val="00617185"/>
    <w:rsid w:val="006171F5"/>
    <w:rsid w:val="00617434"/>
    <w:rsid w:val="0061746A"/>
    <w:rsid w:val="00617491"/>
    <w:rsid w:val="006174B1"/>
    <w:rsid w:val="0061765C"/>
    <w:rsid w:val="0061770D"/>
    <w:rsid w:val="00617715"/>
    <w:rsid w:val="00617718"/>
    <w:rsid w:val="00617817"/>
    <w:rsid w:val="006178EE"/>
    <w:rsid w:val="00617A32"/>
    <w:rsid w:val="00617B01"/>
    <w:rsid w:val="00617BCF"/>
    <w:rsid w:val="00617C0A"/>
    <w:rsid w:val="00617D04"/>
    <w:rsid w:val="00617D38"/>
    <w:rsid w:val="00617E8A"/>
    <w:rsid w:val="00617F27"/>
    <w:rsid w:val="00617F83"/>
    <w:rsid w:val="00617FBC"/>
    <w:rsid w:val="0061CAB2"/>
    <w:rsid w:val="0062004F"/>
    <w:rsid w:val="0062011D"/>
    <w:rsid w:val="00620139"/>
    <w:rsid w:val="0062014C"/>
    <w:rsid w:val="00620160"/>
    <w:rsid w:val="00620204"/>
    <w:rsid w:val="006202F6"/>
    <w:rsid w:val="00620320"/>
    <w:rsid w:val="0062038D"/>
    <w:rsid w:val="0062047B"/>
    <w:rsid w:val="006204CB"/>
    <w:rsid w:val="006204FC"/>
    <w:rsid w:val="00620570"/>
    <w:rsid w:val="006205C1"/>
    <w:rsid w:val="006205CF"/>
    <w:rsid w:val="006206D6"/>
    <w:rsid w:val="00620770"/>
    <w:rsid w:val="0062080A"/>
    <w:rsid w:val="006208AC"/>
    <w:rsid w:val="00620917"/>
    <w:rsid w:val="00620937"/>
    <w:rsid w:val="00620980"/>
    <w:rsid w:val="00620A11"/>
    <w:rsid w:val="00620A4B"/>
    <w:rsid w:val="00620A81"/>
    <w:rsid w:val="00620ACF"/>
    <w:rsid w:val="00620C90"/>
    <w:rsid w:val="00620CC2"/>
    <w:rsid w:val="00620D44"/>
    <w:rsid w:val="00620DB1"/>
    <w:rsid w:val="00620DCF"/>
    <w:rsid w:val="00620DF2"/>
    <w:rsid w:val="00620F4D"/>
    <w:rsid w:val="00620F76"/>
    <w:rsid w:val="006210AF"/>
    <w:rsid w:val="00621349"/>
    <w:rsid w:val="00621361"/>
    <w:rsid w:val="0062145C"/>
    <w:rsid w:val="0062157E"/>
    <w:rsid w:val="00621591"/>
    <w:rsid w:val="0062162C"/>
    <w:rsid w:val="006216DE"/>
    <w:rsid w:val="0062179F"/>
    <w:rsid w:val="006217E0"/>
    <w:rsid w:val="0062188D"/>
    <w:rsid w:val="0062189A"/>
    <w:rsid w:val="006219C4"/>
    <w:rsid w:val="00621CB9"/>
    <w:rsid w:val="00621D93"/>
    <w:rsid w:val="00621F3C"/>
    <w:rsid w:val="00621F9E"/>
    <w:rsid w:val="00621FA6"/>
    <w:rsid w:val="00622035"/>
    <w:rsid w:val="00622042"/>
    <w:rsid w:val="00622126"/>
    <w:rsid w:val="0062223B"/>
    <w:rsid w:val="00622440"/>
    <w:rsid w:val="00622496"/>
    <w:rsid w:val="006225AD"/>
    <w:rsid w:val="00622610"/>
    <w:rsid w:val="00622689"/>
    <w:rsid w:val="00622882"/>
    <w:rsid w:val="006228B5"/>
    <w:rsid w:val="0062290E"/>
    <w:rsid w:val="006229A1"/>
    <w:rsid w:val="00622A22"/>
    <w:rsid w:val="00622AD5"/>
    <w:rsid w:val="00622BE4"/>
    <w:rsid w:val="00622C0C"/>
    <w:rsid w:val="00622CAC"/>
    <w:rsid w:val="00622D47"/>
    <w:rsid w:val="00622DB1"/>
    <w:rsid w:val="00622E9E"/>
    <w:rsid w:val="00622F93"/>
    <w:rsid w:val="00622FC2"/>
    <w:rsid w:val="00622FCD"/>
    <w:rsid w:val="00623003"/>
    <w:rsid w:val="006231D9"/>
    <w:rsid w:val="00623469"/>
    <w:rsid w:val="00623484"/>
    <w:rsid w:val="006234E1"/>
    <w:rsid w:val="0062356B"/>
    <w:rsid w:val="006236C2"/>
    <w:rsid w:val="006236FC"/>
    <w:rsid w:val="00623728"/>
    <w:rsid w:val="0062378D"/>
    <w:rsid w:val="0062390A"/>
    <w:rsid w:val="00623953"/>
    <w:rsid w:val="00623A0E"/>
    <w:rsid w:val="00623ACC"/>
    <w:rsid w:val="00623AF2"/>
    <w:rsid w:val="00623C0C"/>
    <w:rsid w:val="00623C68"/>
    <w:rsid w:val="00623D10"/>
    <w:rsid w:val="00623D76"/>
    <w:rsid w:val="00623F6B"/>
    <w:rsid w:val="00624054"/>
    <w:rsid w:val="0062408A"/>
    <w:rsid w:val="00624175"/>
    <w:rsid w:val="00624185"/>
    <w:rsid w:val="006241C8"/>
    <w:rsid w:val="0062443A"/>
    <w:rsid w:val="0062444D"/>
    <w:rsid w:val="006244A3"/>
    <w:rsid w:val="006244D4"/>
    <w:rsid w:val="006244E1"/>
    <w:rsid w:val="0062453B"/>
    <w:rsid w:val="0062458A"/>
    <w:rsid w:val="00624624"/>
    <w:rsid w:val="006246A6"/>
    <w:rsid w:val="006246F6"/>
    <w:rsid w:val="00624714"/>
    <w:rsid w:val="00624747"/>
    <w:rsid w:val="006247A9"/>
    <w:rsid w:val="00624849"/>
    <w:rsid w:val="0062491A"/>
    <w:rsid w:val="00624959"/>
    <w:rsid w:val="00624A0B"/>
    <w:rsid w:val="00624ACD"/>
    <w:rsid w:val="00624AF3"/>
    <w:rsid w:val="00624B0F"/>
    <w:rsid w:val="00624C6D"/>
    <w:rsid w:val="00624D31"/>
    <w:rsid w:val="00624E1A"/>
    <w:rsid w:val="00624E89"/>
    <w:rsid w:val="00624FB2"/>
    <w:rsid w:val="0062506F"/>
    <w:rsid w:val="00625176"/>
    <w:rsid w:val="00625215"/>
    <w:rsid w:val="0062521F"/>
    <w:rsid w:val="00625226"/>
    <w:rsid w:val="0062553A"/>
    <w:rsid w:val="006255FF"/>
    <w:rsid w:val="006256F5"/>
    <w:rsid w:val="00625714"/>
    <w:rsid w:val="00625785"/>
    <w:rsid w:val="00625818"/>
    <w:rsid w:val="0062587A"/>
    <w:rsid w:val="00625928"/>
    <w:rsid w:val="00625974"/>
    <w:rsid w:val="00625A00"/>
    <w:rsid w:val="00625A27"/>
    <w:rsid w:val="00625B09"/>
    <w:rsid w:val="00625BDF"/>
    <w:rsid w:val="00625CD0"/>
    <w:rsid w:val="00625DA1"/>
    <w:rsid w:val="00625DF9"/>
    <w:rsid w:val="00625EBB"/>
    <w:rsid w:val="00625F9B"/>
    <w:rsid w:val="00625FD4"/>
    <w:rsid w:val="006260A6"/>
    <w:rsid w:val="00626154"/>
    <w:rsid w:val="0062629C"/>
    <w:rsid w:val="006262D1"/>
    <w:rsid w:val="00626304"/>
    <w:rsid w:val="00626328"/>
    <w:rsid w:val="0062635B"/>
    <w:rsid w:val="00626370"/>
    <w:rsid w:val="00626434"/>
    <w:rsid w:val="00626536"/>
    <w:rsid w:val="0062662C"/>
    <w:rsid w:val="00626641"/>
    <w:rsid w:val="00626681"/>
    <w:rsid w:val="006266FF"/>
    <w:rsid w:val="0062673C"/>
    <w:rsid w:val="00626908"/>
    <w:rsid w:val="00626AA9"/>
    <w:rsid w:val="00626EED"/>
    <w:rsid w:val="00626EFD"/>
    <w:rsid w:val="00626F5D"/>
    <w:rsid w:val="00627031"/>
    <w:rsid w:val="00627040"/>
    <w:rsid w:val="006270DF"/>
    <w:rsid w:val="00627132"/>
    <w:rsid w:val="0062713B"/>
    <w:rsid w:val="006271BF"/>
    <w:rsid w:val="006271F8"/>
    <w:rsid w:val="0062733F"/>
    <w:rsid w:val="00627704"/>
    <w:rsid w:val="00627766"/>
    <w:rsid w:val="006277F1"/>
    <w:rsid w:val="0062786D"/>
    <w:rsid w:val="00627935"/>
    <w:rsid w:val="006279C7"/>
    <w:rsid w:val="00627B47"/>
    <w:rsid w:val="00627C29"/>
    <w:rsid w:val="00627CC5"/>
    <w:rsid w:val="00627CF0"/>
    <w:rsid w:val="00627E0B"/>
    <w:rsid w:val="00627E71"/>
    <w:rsid w:val="00627F24"/>
    <w:rsid w:val="00627FE6"/>
    <w:rsid w:val="006300A1"/>
    <w:rsid w:val="006300C2"/>
    <w:rsid w:val="00630158"/>
    <w:rsid w:val="006302D4"/>
    <w:rsid w:val="00630353"/>
    <w:rsid w:val="006303D7"/>
    <w:rsid w:val="00630519"/>
    <w:rsid w:val="006305F4"/>
    <w:rsid w:val="006306AE"/>
    <w:rsid w:val="006306B2"/>
    <w:rsid w:val="006307F6"/>
    <w:rsid w:val="0063082D"/>
    <w:rsid w:val="00630842"/>
    <w:rsid w:val="006308BA"/>
    <w:rsid w:val="00630989"/>
    <w:rsid w:val="00630A81"/>
    <w:rsid w:val="00630B1F"/>
    <w:rsid w:val="00630B3C"/>
    <w:rsid w:val="00630BA7"/>
    <w:rsid w:val="00630BCC"/>
    <w:rsid w:val="00630C9E"/>
    <w:rsid w:val="00630DAE"/>
    <w:rsid w:val="00630DF5"/>
    <w:rsid w:val="00630E93"/>
    <w:rsid w:val="00630ED8"/>
    <w:rsid w:val="00630F2B"/>
    <w:rsid w:val="006310D0"/>
    <w:rsid w:val="00631165"/>
    <w:rsid w:val="00631230"/>
    <w:rsid w:val="0063123B"/>
    <w:rsid w:val="0063125C"/>
    <w:rsid w:val="00631325"/>
    <w:rsid w:val="006314EB"/>
    <w:rsid w:val="00631569"/>
    <w:rsid w:val="006315AF"/>
    <w:rsid w:val="0063164D"/>
    <w:rsid w:val="0063166E"/>
    <w:rsid w:val="006316E8"/>
    <w:rsid w:val="006317F1"/>
    <w:rsid w:val="00631925"/>
    <w:rsid w:val="00631A23"/>
    <w:rsid w:val="00631A24"/>
    <w:rsid w:val="00631A58"/>
    <w:rsid w:val="00631A9E"/>
    <w:rsid w:val="00631B68"/>
    <w:rsid w:val="00631B8E"/>
    <w:rsid w:val="00631BF2"/>
    <w:rsid w:val="00631DBD"/>
    <w:rsid w:val="00631E5F"/>
    <w:rsid w:val="00631E78"/>
    <w:rsid w:val="00631E9A"/>
    <w:rsid w:val="00631ECF"/>
    <w:rsid w:val="00631F3C"/>
    <w:rsid w:val="00631F98"/>
    <w:rsid w:val="00631FC6"/>
    <w:rsid w:val="00632093"/>
    <w:rsid w:val="006320CD"/>
    <w:rsid w:val="006320DB"/>
    <w:rsid w:val="00632135"/>
    <w:rsid w:val="00632146"/>
    <w:rsid w:val="0063217C"/>
    <w:rsid w:val="006322E7"/>
    <w:rsid w:val="0063241A"/>
    <w:rsid w:val="00632474"/>
    <w:rsid w:val="00632490"/>
    <w:rsid w:val="00632548"/>
    <w:rsid w:val="006325F4"/>
    <w:rsid w:val="00632643"/>
    <w:rsid w:val="006326B6"/>
    <w:rsid w:val="006326B8"/>
    <w:rsid w:val="00632708"/>
    <w:rsid w:val="00632796"/>
    <w:rsid w:val="006327DE"/>
    <w:rsid w:val="006327E5"/>
    <w:rsid w:val="006327F8"/>
    <w:rsid w:val="00632872"/>
    <w:rsid w:val="00632892"/>
    <w:rsid w:val="00632A6A"/>
    <w:rsid w:val="00632A8C"/>
    <w:rsid w:val="00632AD7"/>
    <w:rsid w:val="00632B70"/>
    <w:rsid w:val="00632B81"/>
    <w:rsid w:val="00632CCF"/>
    <w:rsid w:val="00632DB3"/>
    <w:rsid w:val="00632ED9"/>
    <w:rsid w:val="00632FC0"/>
    <w:rsid w:val="00632FD6"/>
    <w:rsid w:val="00632FFF"/>
    <w:rsid w:val="00633132"/>
    <w:rsid w:val="00633140"/>
    <w:rsid w:val="00633172"/>
    <w:rsid w:val="006331D6"/>
    <w:rsid w:val="006332F6"/>
    <w:rsid w:val="0063337F"/>
    <w:rsid w:val="006333D1"/>
    <w:rsid w:val="00633555"/>
    <w:rsid w:val="006335B1"/>
    <w:rsid w:val="0063361A"/>
    <w:rsid w:val="006336D2"/>
    <w:rsid w:val="0063377B"/>
    <w:rsid w:val="0063381A"/>
    <w:rsid w:val="0063385A"/>
    <w:rsid w:val="0063389C"/>
    <w:rsid w:val="006338D1"/>
    <w:rsid w:val="006338E5"/>
    <w:rsid w:val="006338EF"/>
    <w:rsid w:val="00633995"/>
    <w:rsid w:val="00633AA0"/>
    <w:rsid w:val="00633B41"/>
    <w:rsid w:val="00633B98"/>
    <w:rsid w:val="00633C34"/>
    <w:rsid w:val="00633C43"/>
    <w:rsid w:val="00633CD5"/>
    <w:rsid w:val="00633D59"/>
    <w:rsid w:val="00633D7B"/>
    <w:rsid w:val="00633E0F"/>
    <w:rsid w:val="00633EA7"/>
    <w:rsid w:val="00633F27"/>
    <w:rsid w:val="00633FB5"/>
    <w:rsid w:val="0063405C"/>
    <w:rsid w:val="00634117"/>
    <w:rsid w:val="006341F1"/>
    <w:rsid w:val="0063422B"/>
    <w:rsid w:val="006342A8"/>
    <w:rsid w:val="006343A8"/>
    <w:rsid w:val="00634468"/>
    <w:rsid w:val="00634612"/>
    <w:rsid w:val="0063465B"/>
    <w:rsid w:val="006346FC"/>
    <w:rsid w:val="00634703"/>
    <w:rsid w:val="00634717"/>
    <w:rsid w:val="0063480C"/>
    <w:rsid w:val="00634861"/>
    <w:rsid w:val="0063490D"/>
    <w:rsid w:val="00634AB8"/>
    <w:rsid w:val="00634AD6"/>
    <w:rsid w:val="00634BC3"/>
    <w:rsid w:val="00634C57"/>
    <w:rsid w:val="00634C8E"/>
    <w:rsid w:val="00634CC4"/>
    <w:rsid w:val="00634CF9"/>
    <w:rsid w:val="00634D44"/>
    <w:rsid w:val="00634E14"/>
    <w:rsid w:val="00634E67"/>
    <w:rsid w:val="00634F2F"/>
    <w:rsid w:val="00635044"/>
    <w:rsid w:val="00635114"/>
    <w:rsid w:val="0063528E"/>
    <w:rsid w:val="006352C6"/>
    <w:rsid w:val="006353EE"/>
    <w:rsid w:val="00635418"/>
    <w:rsid w:val="0063554E"/>
    <w:rsid w:val="00635561"/>
    <w:rsid w:val="00635562"/>
    <w:rsid w:val="0063557D"/>
    <w:rsid w:val="00635623"/>
    <w:rsid w:val="006357B7"/>
    <w:rsid w:val="006357CA"/>
    <w:rsid w:val="00635878"/>
    <w:rsid w:val="006358B9"/>
    <w:rsid w:val="006358DE"/>
    <w:rsid w:val="00635940"/>
    <w:rsid w:val="0063599C"/>
    <w:rsid w:val="00635A0A"/>
    <w:rsid w:val="00635AB1"/>
    <w:rsid w:val="00635B07"/>
    <w:rsid w:val="00635B87"/>
    <w:rsid w:val="00635BB3"/>
    <w:rsid w:val="00635CCD"/>
    <w:rsid w:val="00635D40"/>
    <w:rsid w:val="00635EF7"/>
    <w:rsid w:val="00635F62"/>
    <w:rsid w:val="00635FEE"/>
    <w:rsid w:val="0063603A"/>
    <w:rsid w:val="0063608E"/>
    <w:rsid w:val="00636202"/>
    <w:rsid w:val="0063625C"/>
    <w:rsid w:val="006362B3"/>
    <w:rsid w:val="006362C3"/>
    <w:rsid w:val="0063632F"/>
    <w:rsid w:val="0063638F"/>
    <w:rsid w:val="006364A7"/>
    <w:rsid w:val="0063651C"/>
    <w:rsid w:val="00636594"/>
    <w:rsid w:val="006365BA"/>
    <w:rsid w:val="00636678"/>
    <w:rsid w:val="00636743"/>
    <w:rsid w:val="00636769"/>
    <w:rsid w:val="006367E4"/>
    <w:rsid w:val="00636810"/>
    <w:rsid w:val="0063686A"/>
    <w:rsid w:val="006368FA"/>
    <w:rsid w:val="0063693C"/>
    <w:rsid w:val="00636B83"/>
    <w:rsid w:val="00636BF9"/>
    <w:rsid w:val="00636C47"/>
    <w:rsid w:val="00636C60"/>
    <w:rsid w:val="00636D21"/>
    <w:rsid w:val="00636D78"/>
    <w:rsid w:val="00636F53"/>
    <w:rsid w:val="00636F81"/>
    <w:rsid w:val="00636FBA"/>
    <w:rsid w:val="00637264"/>
    <w:rsid w:val="006372E2"/>
    <w:rsid w:val="00637397"/>
    <w:rsid w:val="006373FB"/>
    <w:rsid w:val="006375D7"/>
    <w:rsid w:val="006377FE"/>
    <w:rsid w:val="00637875"/>
    <w:rsid w:val="006378B2"/>
    <w:rsid w:val="006378BF"/>
    <w:rsid w:val="006378C4"/>
    <w:rsid w:val="00637909"/>
    <w:rsid w:val="006379A3"/>
    <w:rsid w:val="006379E6"/>
    <w:rsid w:val="00637A75"/>
    <w:rsid w:val="00637BB8"/>
    <w:rsid w:val="00637BE1"/>
    <w:rsid w:val="00637C27"/>
    <w:rsid w:val="00637D5E"/>
    <w:rsid w:val="00637E4C"/>
    <w:rsid w:val="00637E56"/>
    <w:rsid w:val="00637F36"/>
    <w:rsid w:val="00637F48"/>
    <w:rsid w:val="00637FBB"/>
    <w:rsid w:val="00637FDA"/>
    <w:rsid w:val="00640026"/>
    <w:rsid w:val="0064002C"/>
    <w:rsid w:val="006400B8"/>
    <w:rsid w:val="0064018C"/>
    <w:rsid w:val="00640226"/>
    <w:rsid w:val="00640275"/>
    <w:rsid w:val="006402C9"/>
    <w:rsid w:val="00640308"/>
    <w:rsid w:val="00640322"/>
    <w:rsid w:val="0064032C"/>
    <w:rsid w:val="006404BF"/>
    <w:rsid w:val="00640507"/>
    <w:rsid w:val="00640511"/>
    <w:rsid w:val="0064056F"/>
    <w:rsid w:val="00640585"/>
    <w:rsid w:val="006405ED"/>
    <w:rsid w:val="006405F0"/>
    <w:rsid w:val="00640615"/>
    <w:rsid w:val="00640670"/>
    <w:rsid w:val="0064076B"/>
    <w:rsid w:val="006407D2"/>
    <w:rsid w:val="00640804"/>
    <w:rsid w:val="00640837"/>
    <w:rsid w:val="00640881"/>
    <w:rsid w:val="0064098B"/>
    <w:rsid w:val="00640AA1"/>
    <w:rsid w:val="00640ED3"/>
    <w:rsid w:val="00640EF9"/>
    <w:rsid w:val="00640F27"/>
    <w:rsid w:val="00641065"/>
    <w:rsid w:val="006410A6"/>
    <w:rsid w:val="00641183"/>
    <w:rsid w:val="006411F7"/>
    <w:rsid w:val="00641263"/>
    <w:rsid w:val="00641460"/>
    <w:rsid w:val="006414A1"/>
    <w:rsid w:val="00641557"/>
    <w:rsid w:val="006415A0"/>
    <w:rsid w:val="0064160B"/>
    <w:rsid w:val="0064165E"/>
    <w:rsid w:val="00641699"/>
    <w:rsid w:val="00641758"/>
    <w:rsid w:val="00641778"/>
    <w:rsid w:val="006419AC"/>
    <w:rsid w:val="006419F3"/>
    <w:rsid w:val="00641A01"/>
    <w:rsid w:val="00641A97"/>
    <w:rsid w:val="00641ACA"/>
    <w:rsid w:val="00641B7F"/>
    <w:rsid w:val="00641C3E"/>
    <w:rsid w:val="00641D78"/>
    <w:rsid w:val="00641DC0"/>
    <w:rsid w:val="00641E02"/>
    <w:rsid w:val="00641F08"/>
    <w:rsid w:val="00641F92"/>
    <w:rsid w:val="00641FFD"/>
    <w:rsid w:val="00642161"/>
    <w:rsid w:val="006421EF"/>
    <w:rsid w:val="006425EC"/>
    <w:rsid w:val="0064265C"/>
    <w:rsid w:val="006426C2"/>
    <w:rsid w:val="006426C6"/>
    <w:rsid w:val="0064271D"/>
    <w:rsid w:val="006427AC"/>
    <w:rsid w:val="006427E8"/>
    <w:rsid w:val="00642851"/>
    <w:rsid w:val="006428BE"/>
    <w:rsid w:val="006428F2"/>
    <w:rsid w:val="00642B28"/>
    <w:rsid w:val="00642B80"/>
    <w:rsid w:val="00642B92"/>
    <w:rsid w:val="00642C71"/>
    <w:rsid w:val="00642DD7"/>
    <w:rsid w:val="00642E12"/>
    <w:rsid w:val="00642E2A"/>
    <w:rsid w:val="00642EC8"/>
    <w:rsid w:val="00642FB7"/>
    <w:rsid w:val="00642FE4"/>
    <w:rsid w:val="0064300A"/>
    <w:rsid w:val="00643028"/>
    <w:rsid w:val="0064302B"/>
    <w:rsid w:val="00643185"/>
    <w:rsid w:val="00643193"/>
    <w:rsid w:val="006431B3"/>
    <w:rsid w:val="006431F9"/>
    <w:rsid w:val="00643207"/>
    <w:rsid w:val="006432E1"/>
    <w:rsid w:val="0064336B"/>
    <w:rsid w:val="006433A3"/>
    <w:rsid w:val="00643461"/>
    <w:rsid w:val="0064347D"/>
    <w:rsid w:val="006434CB"/>
    <w:rsid w:val="006434CE"/>
    <w:rsid w:val="00643578"/>
    <w:rsid w:val="00643635"/>
    <w:rsid w:val="006436A8"/>
    <w:rsid w:val="006436D8"/>
    <w:rsid w:val="006437B9"/>
    <w:rsid w:val="00643837"/>
    <w:rsid w:val="00643896"/>
    <w:rsid w:val="0064389E"/>
    <w:rsid w:val="006438C7"/>
    <w:rsid w:val="006438F6"/>
    <w:rsid w:val="006439C0"/>
    <w:rsid w:val="00643A61"/>
    <w:rsid w:val="00643AE5"/>
    <w:rsid w:val="00643C44"/>
    <w:rsid w:val="00643C4B"/>
    <w:rsid w:val="00643C6F"/>
    <w:rsid w:val="00643C97"/>
    <w:rsid w:val="00643CC6"/>
    <w:rsid w:val="00643DCA"/>
    <w:rsid w:val="00643EEC"/>
    <w:rsid w:val="0064401A"/>
    <w:rsid w:val="00644049"/>
    <w:rsid w:val="0064404B"/>
    <w:rsid w:val="00644143"/>
    <w:rsid w:val="006441A4"/>
    <w:rsid w:val="0064431C"/>
    <w:rsid w:val="00644327"/>
    <w:rsid w:val="00644353"/>
    <w:rsid w:val="00644389"/>
    <w:rsid w:val="0064445C"/>
    <w:rsid w:val="006444D8"/>
    <w:rsid w:val="00644522"/>
    <w:rsid w:val="00644546"/>
    <w:rsid w:val="0064455E"/>
    <w:rsid w:val="0064475C"/>
    <w:rsid w:val="00644844"/>
    <w:rsid w:val="006448DF"/>
    <w:rsid w:val="00644913"/>
    <w:rsid w:val="00644A17"/>
    <w:rsid w:val="00644AB4"/>
    <w:rsid w:val="00644BE5"/>
    <w:rsid w:val="00644BF7"/>
    <w:rsid w:val="00644C5A"/>
    <w:rsid w:val="00644D9E"/>
    <w:rsid w:val="00644DAF"/>
    <w:rsid w:val="00644DEF"/>
    <w:rsid w:val="00644E28"/>
    <w:rsid w:val="00644E56"/>
    <w:rsid w:val="00644EDA"/>
    <w:rsid w:val="00644EF6"/>
    <w:rsid w:val="00644F1E"/>
    <w:rsid w:val="00645020"/>
    <w:rsid w:val="00645033"/>
    <w:rsid w:val="00645057"/>
    <w:rsid w:val="0064513F"/>
    <w:rsid w:val="00645266"/>
    <w:rsid w:val="006452BE"/>
    <w:rsid w:val="00645365"/>
    <w:rsid w:val="00645503"/>
    <w:rsid w:val="0064551A"/>
    <w:rsid w:val="00645526"/>
    <w:rsid w:val="0064552D"/>
    <w:rsid w:val="006455A7"/>
    <w:rsid w:val="006455B7"/>
    <w:rsid w:val="00645643"/>
    <w:rsid w:val="0064571E"/>
    <w:rsid w:val="00645791"/>
    <w:rsid w:val="006457D3"/>
    <w:rsid w:val="0064588B"/>
    <w:rsid w:val="00645938"/>
    <w:rsid w:val="00645AF2"/>
    <w:rsid w:val="00645B30"/>
    <w:rsid w:val="00645C11"/>
    <w:rsid w:val="00645C1B"/>
    <w:rsid w:val="00645CF1"/>
    <w:rsid w:val="00645D2A"/>
    <w:rsid w:val="00645E0E"/>
    <w:rsid w:val="00645E51"/>
    <w:rsid w:val="00645E62"/>
    <w:rsid w:val="00645EA4"/>
    <w:rsid w:val="00645ED2"/>
    <w:rsid w:val="00645EE2"/>
    <w:rsid w:val="00645FDD"/>
    <w:rsid w:val="00646040"/>
    <w:rsid w:val="006460AD"/>
    <w:rsid w:val="00646142"/>
    <w:rsid w:val="006462EC"/>
    <w:rsid w:val="0064630A"/>
    <w:rsid w:val="0064641A"/>
    <w:rsid w:val="0064644C"/>
    <w:rsid w:val="006464BF"/>
    <w:rsid w:val="00646562"/>
    <w:rsid w:val="00646618"/>
    <w:rsid w:val="0064662A"/>
    <w:rsid w:val="00646689"/>
    <w:rsid w:val="0064669A"/>
    <w:rsid w:val="006466E0"/>
    <w:rsid w:val="006466F8"/>
    <w:rsid w:val="00646772"/>
    <w:rsid w:val="006467A5"/>
    <w:rsid w:val="0064682F"/>
    <w:rsid w:val="0064687D"/>
    <w:rsid w:val="006469A5"/>
    <w:rsid w:val="00646AB2"/>
    <w:rsid w:val="00646B2F"/>
    <w:rsid w:val="00646B3A"/>
    <w:rsid w:val="00646BD3"/>
    <w:rsid w:val="00646C48"/>
    <w:rsid w:val="00646E61"/>
    <w:rsid w:val="00646F84"/>
    <w:rsid w:val="00646F88"/>
    <w:rsid w:val="00646FC2"/>
    <w:rsid w:val="00646FF0"/>
    <w:rsid w:val="006470AE"/>
    <w:rsid w:val="006470D7"/>
    <w:rsid w:val="00647110"/>
    <w:rsid w:val="00647393"/>
    <w:rsid w:val="006473A1"/>
    <w:rsid w:val="006476A6"/>
    <w:rsid w:val="006476B3"/>
    <w:rsid w:val="006476FE"/>
    <w:rsid w:val="00647795"/>
    <w:rsid w:val="0064779A"/>
    <w:rsid w:val="006477CB"/>
    <w:rsid w:val="0064786F"/>
    <w:rsid w:val="006478AC"/>
    <w:rsid w:val="006478B1"/>
    <w:rsid w:val="006478F5"/>
    <w:rsid w:val="006479FE"/>
    <w:rsid w:val="00647B00"/>
    <w:rsid w:val="00647B49"/>
    <w:rsid w:val="00647B6A"/>
    <w:rsid w:val="00647D33"/>
    <w:rsid w:val="00647EA8"/>
    <w:rsid w:val="00647EF5"/>
    <w:rsid w:val="00647F2A"/>
    <w:rsid w:val="00647F3F"/>
    <w:rsid w:val="00647F76"/>
    <w:rsid w:val="00647FC3"/>
    <w:rsid w:val="00650057"/>
    <w:rsid w:val="00650157"/>
    <w:rsid w:val="006502B8"/>
    <w:rsid w:val="00650351"/>
    <w:rsid w:val="00650385"/>
    <w:rsid w:val="0065038E"/>
    <w:rsid w:val="00650404"/>
    <w:rsid w:val="00650407"/>
    <w:rsid w:val="0065052B"/>
    <w:rsid w:val="0065056E"/>
    <w:rsid w:val="00650575"/>
    <w:rsid w:val="006505D0"/>
    <w:rsid w:val="00650617"/>
    <w:rsid w:val="006507E8"/>
    <w:rsid w:val="0065081B"/>
    <w:rsid w:val="0065096E"/>
    <w:rsid w:val="006509A7"/>
    <w:rsid w:val="006509BD"/>
    <w:rsid w:val="00650B2A"/>
    <w:rsid w:val="00650B7F"/>
    <w:rsid w:val="00650BE7"/>
    <w:rsid w:val="00650C37"/>
    <w:rsid w:val="00650D06"/>
    <w:rsid w:val="00650D44"/>
    <w:rsid w:val="00650DA4"/>
    <w:rsid w:val="00650E7A"/>
    <w:rsid w:val="00650E82"/>
    <w:rsid w:val="00650EB8"/>
    <w:rsid w:val="00650F05"/>
    <w:rsid w:val="0065102A"/>
    <w:rsid w:val="00651048"/>
    <w:rsid w:val="006510E6"/>
    <w:rsid w:val="0065114D"/>
    <w:rsid w:val="0065119F"/>
    <w:rsid w:val="006511CD"/>
    <w:rsid w:val="006512B6"/>
    <w:rsid w:val="00651303"/>
    <w:rsid w:val="0065140C"/>
    <w:rsid w:val="0065144A"/>
    <w:rsid w:val="00651513"/>
    <w:rsid w:val="0065156C"/>
    <w:rsid w:val="006515F8"/>
    <w:rsid w:val="006516E4"/>
    <w:rsid w:val="0065185F"/>
    <w:rsid w:val="00651860"/>
    <w:rsid w:val="00651867"/>
    <w:rsid w:val="006518B2"/>
    <w:rsid w:val="00651995"/>
    <w:rsid w:val="006519AB"/>
    <w:rsid w:val="00651BB5"/>
    <w:rsid w:val="00651BE3"/>
    <w:rsid w:val="00651BF1"/>
    <w:rsid w:val="00651C31"/>
    <w:rsid w:val="00651C81"/>
    <w:rsid w:val="00651CA4"/>
    <w:rsid w:val="00651D0A"/>
    <w:rsid w:val="00651F0C"/>
    <w:rsid w:val="00651F98"/>
    <w:rsid w:val="00652003"/>
    <w:rsid w:val="00652010"/>
    <w:rsid w:val="00652066"/>
    <w:rsid w:val="00652111"/>
    <w:rsid w:val="006521B4"/>
    <w:rsid w:val="006521D9"/>
    <w:rsid w:val="00652210"/>
    <w:rsid w:val="0065223C"/>
    <w:rsid w:val="006522D8"/>
    <w:rsid w:val="00652304"/>
    <w:rsid w:val="00652318"/>
    <w:rsid w:val="006523BE"/>
    <w:rsid w:val="00652489"/>
    <w:rsid w:val="00652534"/>
    <w:rsid w:val="00652641"/>
    <w:rsid w:val="00652644"/>
    <w:rsid w:val="006526F3"/>
    <w:rsid w:val="00652836"/>
    <w:rsid w:val="0065285E"/>
    <w:rsid w:val="00652871"/>
    <w:rsid w:val="00652874"/>
    <w:rsid w:val="0065289A"/>
    <w:rsid w:val="006528F8"/>
    <w:rsid w:val="00652A31"/>
    <w:rsid w:val="00652A39"/>
    <w:rsid w:val="00652BD1"/>
    <w:rsid w:val="00652BF9"/>
    <w:rsid w:val="00652C7B"/>
    <w:rsid w:val="00652C8D"/>
    <w:rsid w:val="00652D04"/>
    <w:rsid w:val="00652D67"/>
    <w:rsid w:val="00652E2F"/>
    <w:rsid w:val="00652E60"/>
    <w:rsid w:val="00652F1F"/>
    <w:rsid w:val="006531BB"/>
    <w:rsid w:val="00653205"/>
    <w:rsid w:val="00653224"/>
    <w:rsid w:val="00653329"/>
    <w:rsid w:val="006533E2"/>
    <w:rsid w:val="006533E9"/>
    <w:rsid w:val="0065341B"/>
    <w:rsid w:val="00653435"/>
    <w:rsid w:val="00653531"/>
    <w:rsid w:val="0065358F"/>
    <w:rsid w:val="00653722"/>
    <w:rsid w:val="0065373C"/>
    <w:rsid w:val="0065378E"/>
    <w:rsid w:val="0065389F"/>
    <w:rsid w:val="006538C9"/>
    <w:rsid w:val="006539C2"/>
    <w:rsid w:val="00653A34"/>
    <w:rsid w:val="00653A82"/>
    <w:rsid w:val="00653A97"/>
    <w:rsid w:val="00653AEB"/>
    <w:rsid w:val="00653B08"/>
    <w:rsid w:val="00653BA2"/>
    <w:rsid w:val="00653D13"/>
    <w:rsid w:val="00653D7A"/>
    <w:rsid w:val="00653DAC"/>
    <w:rsid w:val="00653DD3"/>
    <w:rsid w:val="00653E42"/>
    <w:rsid w:val="00653F67"/>
    <w:rsid w:val="00653FD8"/>
    <w:rsid w:val="00654021"/>
    <w:rsid w:val="006540AA"/>
    <w:rsid w:val="006540B4"/>
    <w:rsid w:val="0065410D"/>
    <w:rsid w:val="00654139"/>
    <w:rsid w:val="006541A3"/>
    <w:rsid w:val="006541BD"/>
    <w:rsid w:val="006541C0"/>
    <w:rsid w:val="006541C6"/>
    <w:rsid w:val="0065424B"/>
    <w:rsid w:val="006542EA"/>
    <w:rsid w:val="006543E3"/>
    <w:rsid w:val="00654523"/>
    <w:rsid w:val="0065454F"/>
    <w:rsid w:val="00654638"/>
    <w:rsid w:val="006546D9"/>
    <w:rsid w:val="006547A3"/>
    <w:rsid w:val="00654854"/>
    <w:rsid w:val="006548E0"/>
    <w:rsid w:val="00654933"/>
    <w:rsid w:val="006549B1"/>
    <w:rsid w:val="00654A4A"/>
    <w:rsid w:val="00654AC8"/>
    <w:rsid w:val="00654AE0"/>
    <w:rsid w:val="00654B5B"/>
    <w:rsid w:val="00654C16"/>
    <w:rsid w:val="00654C4F"/>
    <w:rsid w:val="00654D5E"/>
    <w:rsid w:val="00654E58"/>
    <w:rsid w:val="00654E92"/>
    <w:rsid w:val="00654EC1"/>
    <w:rsid w:val="00654FE5"/>
    <w:rsid w:val="00654FE8"/>
    <w:rsid w:val="00655180"/>
    <w:rsid w:val="00655286"/>
    <w:rsid w:val="00655420"/>
    <w:rsid w:val="00655436"/>
    <w:rsid w:val="0065558B"/>
    <w:rsid w:val="006555D0"/>
    <w:rsid w:val="0065562E"/>
    <w:rsid w:val="0065564D"/>
    <w:rsid w:val="0065568C"/>
    <w:rsid w:val="006556F4"/>
    <w:rsid w:val="00655753"/>
    <w:rsid w:val="006558E9"/>
    <w:rsid w:val="0065593D"/>
    <w:rsid w:val="0065598E"/>
    <w:rsid w:val="00655993"/>
    <w:rsid w:val="006559C6"/>
    <w:rsid w:val="006559E3"/>
    <w:rsid w:val="00655A56"/>
    <w:rsid w:val="00655AB0"/>
    <w:rsid w:val="00655ACC"/>
    <w:rsid w:val="00655AEA"/>
    <w:rsid w:val="00655C78"/>
    <w:rsid w:val="00655D16"/>
    <w:rsid w:val="00655DB5"/>
    <w:rsid w:val="00655DFF"/>
    <w:rsid w:val="00655EB5"/>
    <w:rsid w:val="00655F36"/>
    <w:rsid w:val="00655F5C"/>
    <w:rsid w:val="00655FE9"/>
    <w:rsid w:val="00656007"/>
    <w:rsid w:val="00656012"/>
    <w:rsid w:val="006560FD"/>
    <w:rsid w:val="00656187"/>
    <w:rsid w:val="006561AB"/>
    <w:rsid w:val="00656225"/>
    <w:rsid w:val="0065626B"/>
    <w:rsid w:val="00656410"/>
    <w:rsid w:val="0065641E"/>
    <w:rsid w:val="006564C3"/>
    <w:rsid w:val="006564E1"/>
    <w:rsid w:val="0065652D"/>
    <w:rsid w:val="00656586"/>
    <w:rsid w:val="006565B0"/>
    <w:rsid w:val="00656608"/>
    <w:rsid w:val="0065672E"/>
    <w:rsid w:val="0065679D"/>
    <w:rsid w:val="0065687E"/>
    <w:rsid w:val="0065688C"/>
    <w:rsid w:val="006568D9"/>
    <w:rsid w:val="006569A8"/>
    <w:rsid w:val="00656AD1"/>
    <w:rsid w:val="00656B4B"/>
    <w:rsid w:val="00656BB3"/>
    <w:rsid w:val="00656C18"/>
    <w:rsid w:val="00656C35"/>
    <w:rsid w:val="00656C75"/>
    <w:rsid w:val="00656D62"/>
    <w:rsid w:val="00656EE0"/>
    <w:rsid w:val="00656F1E"/>
    <w:rsid w:val="00656FB1"/>
    <w:rsid w:val="00656FD0"/>
    <w:rsid w:val="006570C4"/>
    <w:rsid w:val="00657168"/>
    <w:rsid w:val="006572C9"/>
    <w:rsid w:val="006573DE"/>
    <w:rsid w:val="006573E2"/>
    <w:rsid w:val="006574F1"/>
    <w:rsid w:val="00657517"/>
    <w:rsid w:val="00657526"/>
    <w:rsid w:val="0065755B"/>
    <w:rsid w:val="00657683"/>
    <w:rsid w:val="006576A5"/>
    <w:rsid w:val="0065774B"/>
    <w:rsid w:val="006579C9"/>
    <w:rsid w:val="00657C1F"/>
    <w:rsid w:val="00657C51"/>
    <w:rsid w:val="00657D11"/>
    <w:rsid w:val="00657D4B"/>
    <w:rsid w:val="00657D6C"/>
    <w:rsid w:val="00657F18"/>
    <w:rsid w:val="00657FEA"/>
    <w:rsid w:val="0066017F"/>
    <w:rsid w:val="006602D1"/>
    <w:rsid w:val="00660354"/>
    <w:rsid w:val="0066035F"/>
    <w:rsid w:val="00660370"/>
    <w:rsid w:val="00660408"/>
    <w:rsid w:val="0066045D"/>
    <w:rsid w:val="00660659"/>
    <w:rsid w:val="0066096E"/>
    <w:rsid w:val="00660A0D"/>
    <w:rsid w:val="00660A43"/>
    <w:rsid w:val="00660A81"/>
    <w:rsid w:val="00660DAB"/>
    <w:rsid w:val="00660E27"/>
    <w:rsid w:val="00660E35"/>
    <w:rsid w:val="00660E6B"/>
    <w:rsid w:val="00660F51"/>
    <w:rsid w:val="00661017"/>
    <w:rsid w:val="0066106F"/>
    <w:rsid w:val="006610D4"/>
    <w:rsid w:val="006610D7"/>
    <w:rsid w:val="006611F9"/>
    <w:rsid w:val="00661203"/>
    <w:rsid w:val="00661224"/>
    <w:rsid w:val="00661253"/>
    <w:rsid w:val="00661304"/>
    <w:rsid w:val="006613F3"/>
    <w:rsid w:val="006614CC"/>
    <w:rsid w:val="006614CD"/>
    <w:rsid w:val="006614FB"/>
    <w:rsid w:val="00661517"/>
    <w:rsid w:val="006615A3"/>
    <w:rsid w:val="006615C7"/>
    <w:rsid w:val="00661654"/>
    <w:rsid w:val="00661687"/>
    <w:rsid w:val="006616B3"/>
    <w:rsid w:val="00661721"/>
    <w:rsid w:val="00661999"/>
    <w:rsid w:val="00661BD1"/>
    <w:rsid w:val="00661BFD"/>
    <w:rsid w:val="00661CFF"/>
    <w:rsid w:val="00661D75"/>
    <w:rsid w:val="00661E67"/>
    <w:rsid w:val="00662002"/>
    <w:rsid w:val="0066205A"/>
    <w:rsid w:val="006620C9"/>
    <w:rsid w:val="00662138"/>
    <w:rsid w:val="0066219D"/>
    <w:rsid w:val="006621D9"/>
    <w:rsid w:val="00662218"/>
    <w:rsid w:val="00662353"/>
    <w:rsid w:val="00662381"/>
    <w:rsid w:val="00662496"/>
    <w:rsid w:val="00662590"/>
    <w:rsid w:val="0066259B"/>
    <w:rsid w:val="0066269A"/>
    <w:rsid w:val="00662705"/>
    <w:rsid w:val="00662863"/>
    <w:rsid w:val="00662A5C"/>
    <w:rsid w:val="00662AD6"/>
    <w:rsid w:val="00662B3D"/>
    <w:rsid w:val="00662B61"/>
    <w:rsid w:val="00662B86"/>
    <w:rsid w:val="00662BE2"/>
    <w:rsid w:val="00662BF5"/>
    <w:rsid w:val="00662C72"/>
    <w:rsid w:val="00662CFF"/>
    <w:rsid w:val="00662D3D"/>
    <w:rsid w:val="00662E0F"/>
    <w:rsid w:val="00662E47"/>
    <w:rsid w:val="00662ED6"/>
    <w:rsid w:val="00662FD1"/>
    <w:rsid w:val="00663057"/>
    <w:rsid w:val="00663083"/>
    <w:rsid w:val="00663131"/>
    <w:rsid w:val="00663148"/>
    <w:rsid w:val="00663199"/>
    <w:rsid w:val="006631AF"/>
    <w:rsid w:val="0066324D"/>
    <w:rsid w:val="0066328F"/>
    <w:rsid w:val="0066337A"/>
    <w:rsid w:val="00663403"/>
    <w:rsid w:val="006634C3"/>
    <w:rsid w:val="00663503"/>
    <w:rsid w:val="00663542"/>
    <w:rsid w:val="0066354F"/>
    <w:rsid w:val="006635BC"/>
    <w:rsid w:val="006635E8"/>
    <w:rsid w:val="00663743"/>
    <w:rsid w:val="006637B8"/>
    <w:rsid w:val="006637CD"/>
    <w:rsid w:val="00663821"/>
    <w:rsid w:val="0066382F"/>
    <w:rsid w:val="0066387C"/>
    <w:rsid w:val="006638F2"/>
    <w:rsid w:val="00663905"/>
    <w:rsid w:val="006639E2"/>
    <w:rsid w:val="006639F1"/>
    <w:rsid w:val="00663A33"/>
    <w:rsid w:val="00663A3F"/>
    <w:rsid w:val="00663AA5"/>
    <w:rsid w:val="00663ABE"/>
    <w:rsid w:val="00663B79"/>
    <w:rsid w:val="00663BEE"/>
    <w:rsid w:val="00663C05"/>
    <w:rsid w:val="00663D8F"/>
    <w:rsid w:val="00663DDC"/>
    <w:rsid w:val="00663E01"/>
    <w:rsid w:val="00663E0E"/>
    <w:rsid w:val="00663E90"/>
    <w:rsid w:val="00663F3F"/>
    <w:rsid w:val="00663FE3"/>
    <w:rsid w:val="00663FE7"/>
    <w:rsid w:val="00664021"/>
    <w:rsid w:val="006640DA"/>
    <w:rsid w:val="006641A1"/>
    <w:rsid w:val="006641F7"/>
    <w:rsid w:val="0066425D"/>
    <w:rsid w:val="00664393"/>
    <w:rsid w:val="00664521"/>
    <w:rsid w:val="006647CC"/>
    <w:rsid w:val="006647D7"/>
    <w:rsid w:val="006647E0"/>
    <w:rsid w:val="0066486A"/>
    <w:rsid w:val="00664886"/>
    <w:rsid w:val="00664922"/>
    <w:rsid w:val="0066494E"/>
    <w:rsid w:val="00664979"/>
    <w:rsid w:val="00664A7E"/>
    <w:rsid w:val="00664AE6"/>
    <w:rsid w:val="00664BFB"/>
    <w:rsid w:val="00664BFF"/>
    <w:rsid w:val="00664CD2"/>
    <w:rsid w:val="00664CE2"/>
    <w:rsid w:val="00664D7C"/>
    <w:rsid w:val="00664E49"/>
    <w:rsid w:val="00664EA6"/>
    <w:rsid w:val="00664F8F"/>
    <w:rsid w:val="00664FC7"/>
    <w:rsid w:val="0066513D"/>
    <w:rsid w:val="006651D9"/>
    <w:rsid w:val="0066529E"/>
    <w:rsid w:val="0066532A"/>
    <w:rsid w:val="006655C7"/>
    <w:rsid w:val="00665625"/>
    <w:rsid w:val="006656AB"/>
    <w:rsid w:val="006657F6"/>
    <w:rsid w:val="00665947"/>
    <w:rsid w:val="00665A36"/>
    <w:rsid w:val="00665B90"/>
    <w:rsid w:val="00665BD0"/>
    <w:rsid w:val="00665E2D"/>
    <w:rsid w:val="00665E5C"/>
    <w:rsid w:val="00665EBF"/>
    <w:rsid w:val="00665EE5"/>
    <w:rsid w:val="00665F31"/>
    <w:rsid w:val="00665F42"/>
    <w:rsid w:val="00665F97"/>
    <w:rsid w:val="00665FEF"/>
    <w:rsid w:val="006660B2"/>
    <w:rsid w:val="00666163"/>
    <w:rsid w:val="00666294"/>
    <w:rsid w:val="006662D0"/>
    <w:rsid w:val="006662D4"/>
    <w:rsid w:val="0066638F"/>
    <w:rsid w:val="006663A5"/>
    <w:rsid w:val="00666418"/>
    <w:rsid w:val="0066645A"/>
    <w:rsid w:val="006664EC"/>
    <w:rsid w:val="006665A5"/>
    <w:rsid w:val="006665AE"/>
    <w:rsid w:val="006666B0"/>
    <w:rsid w:val="00666708"/>
    <w:rsid w:val="00666721"/>
    <w:rsid w:val="00666726"/>
    <w:rsid w:val="00666732"/>
    <w:rsid w:val="0066688E"/>
    <w:rsid w:val="006668BE"/>
    <w:rsid w:val="006668CE"/>
    <w:rsid w:val="006668E3"/>
    <w:rsid w:val="006668E5"/>
    <w:rsid w:val="006668EC"/>
    <w:rsid w:val="0066691A"/>
    <w:rsid w:val="00666B02"/>
    <w:rsid w:val="00666B3D"/>
    <w:rsid w:val="00666B53"/>
    <w:rsid w:val="00666B6C"/>
    <w:rsid w:val="00666CDB"/>
    <w:rsid w:val="00666CFE"/>
    <w:rsid w:val="00666D13"/>
    <w:rsid w:val="00666D66"/>
    <w:rsid w:val="00666D89"/>
    <w:rsid w:val="00666E30"/>
    <w:rsid w:val="00666E44"/>
    <w:rsid w:val="00666EB4"/>
    <w:rsid w:val="00666EBF"/>
    <w:rsid w:val="00666F68"/>
    <w:rsid w:val="0066703E"/>
    <w:rsid w:val="00667066"/>
    <w:rsid w:val="0066709E"/>
    <w:rsid w:val="006670D3"/>
    <w:rsid w:val="006672C1"/>
    <w:rsid w:val="00667312"/>
    <w:rsid w:val="0066736B"/>
    <w:rsid w:val="006673CB"/>
    <w:rsid w:val="00667440"/>
    <w:rsid w:val="0066744F"/>
    <w:rsid w:val="006674B7"/>
    <w:rsid w:val="0066751F"/>
    <w:rsid w:val="00667545"/>
    <w:rsid w:val="006675C6"/>
    <w:rsid w:val="006675D5"/>
    <w:rsid w:val="0066760D"/>
    <w:rsid w:val="006676C3"/>
    <w:rsid w:val="006676D4"/>
    <w:rsid w:val="006676D5"/>
    <w:rsid w:val="00667795"/>
    <w:rsid w:val="00667898"/>
    <w:rsid w:val="0066793D"/>
    <w:rsid w:val="00667ACF"/>
    <w:rsid w:val="00667AE8"/>
    <w:rsid w:val="00667D33"/>
    <w:rsid w:val="00667E0B"/>
    <w:rsid w:val="00667E23"/>
    <w:rsid w:val="00667E3E"/>
    <w:rsid w:val="00667E6C"/>
    <w:rsid w:val="00667E80"/>
    <w:rsid w:val="00667EB4"/>
    <w:rsid w:val="00667F55"/>
    <w:rsid w:val="00667FB7"/>
    <w:rsid w:val="00667FCC"/>
    <w:rsid w:val="00667FD1"/>
    <w:rsid w:val="006700AD"/>
    <w:rsid w:val="006700DA"/>
    <w:rsid w:val="00670129"/>
    <w:rsid w:val="0067017A"/>
    <w:rsid w:val="00670195"/>
    <w:rsid w:val="006703A2"/>
    <w:rsid w:val="006703C2"/>
    <w:rsid w:val="006703FD"/>
    <w:rsid w:val="00670527"/>
    <w:rsid w:val="0067053B"/>
    <w:rsid w:val="0067057E"/>
    <w:rsid w:val="006707E2"/>
    <w:rsid w:val="0067082B"/>
    <w:rsid w:val="0067087B"/>
    <w:rsid w:val="00670927"/>
    <w:rsid w:val="00670970"/>
    <w:rsid w:val="0067099D"/>
    <w:rsid w:val="00670A5B"/>
    <w:rsid w:val="00670AC3"/>
    <w:rsid w:val="00670C08"/>
    <w:rsid w:val="00670C37"/>
    <w:rsid w:val="00670C4D"/>
    <w:rsid w:val="00670CBF"/>
    <w:rsid w:val="00670CE4"/>
    <w:rsid w:val="00670D55"/>
    <w:rsid w:val="00670DD5"/>
    <w:rsid w:val="00670E5A"/>
    <w:rsid w:val="00670EBE"/>
    <w:rsid w:val="00670EE7"/>
    <w:rsid w:val="0067104E"/>
    <w:rsid w:val="006710E8"/>
    <w:rsid w:val="0067114F"/>
    <w:rsid w:val="00671361"/>
    <w:rsid w:val="006714FE"/>
    <w:rsid w:val="0067163D"/>
    <w:rsid w:val="00671656"/>
    <w:rsid w:val="006716A2"/>
    <w:rsid w:val="006716B4"/>
    <w:rsid w:val="00671793"/>
    <w:rsid w:val="006717F7"/>
    <w:rsid w:val="00671A08"/>
    <w:rsid w:val="00671AC6"/>
    <w:rsid w:val="00671ADA"/>
    <w:rsid w:val="00671AEA"/>
    <w:rsid w:val="00671B29"/>
    <w:rsid w:val="00671B3B"/>
    <w:rsid w:val="00671C54"/>
    <w:rsid w:val="00671C88"/>
    <w:rsid w:val="00671CD2"/>
    <w:rsid w:val="00671D8E"/>
    <w:rsid w:val="00671DB8"/>
    <w:rsid w:val="00671E28"/>
    <w:rsid w:val="00671E37"/>
    <w:rsid w:val="00671E92"/>
    <w:rsid w:val="00671F05"/>
    <w:rsid w:val="00671F32"/>
    <w:rsid w:val="00671FDC"/>
    <w:rsid w:val="00671FE4"/>
    <w:rsid w:val="00671FE9"/>
    <w:rsid w:val="00672047"/>
    <w:rsid w:val="006721AE"/>
    <w:rsid w:val="0067234B"/>
    <w:rsid w:val="00672352"/>
    <w:rsid w:val="00672390"/>
    <w:rsid w:val="00672392"/>
    <w:rsid w:val="006723F6"/>
    <w:rsid w:val="0067243B"/>
    <w:rsid w:val="006726C1"/>
    <w:rsid w:val="006726C7"/>
    <w:rsid w:val="006726DA"/>
    <w:rsid w:val="0067275A"/>
    <w:rsid w:val="006727CB"/>
    <w:rsid w:val="0067283E"/>
    <w:rsid w:val="0067287F"/>
    <w:rsid w:val="006728E9"/>
    <w:rsid w:val="00672903"/>
    <w:rsid w:val="0067291F"/>
    <w:rsid w:val="006729AE"/>
    <w:rsid w:val="006729C6"/>
    <w:rsid w:val="00672A14"/>
    <w:rsid w:val="00672AB5"/>
    <w:rsid w:val="00672BC4"/>
    <w:rsid w:val="00672D33"/>
    <w:rsid w:val="00672DF8"/>
    <w:rsid w:val="00672EB5"/>
    <w:rsid w:val="00672EEC"/>
    <w:rsid w:val="00672F79"/>
    <w:rsid w:val="0067305A"/>
    <w:rsid w:val="00673173"/>
    <w:rsid w:val="006733AB"/>
    <w:rsid w:val="00673413"/>
    <w:rsid w:val="0067343D"/>
    <w:rsid w:val="006734D5"/>
    <w:rsid w:val="00673514"/>
    <w:rsid w:val="00673560"/>
    <w:rsid w:val="00673589"/>
    <w:rsid w:val="00673651"/>
    <w:rsid w:val="0067366D"/>
    <w:rsid w:val="0067368C"/>
    <w:rsid w:val="0067386C"/>
    <w:rsid w:val="00673879"/>
    <w:rsid w:val="00673882"/>
    <w:rsid w:val="00673947"/>
    <w:rsid w:val="00673A9D"/>
    <w:rsid w:val="00673BBA"/>
    <w:rsid w:val="00673BF7"/>
    <w:rsid w:val="00673D0F"/>
    <w:rsid w:val="00673D1D"/>
    <w:rsid w:val="00673D48"/>
    <w:rsid w:val="00673D5B"/>
    <w:rsid w:val="00673E1D"/>
    <w:rsid w:val="00673E8D"/>
    <w:rsid w:val="00674264"/>
    <w:rsid w:val="00674286"/>
    <w:rsid w:val="006744FA"/>
    <w:rsid w:val="00674504"/>
    <w:rsid w:val="00674597"/>
    <w:rsid w:val="006745CD"/>
    <w:rsid w:val="006745DF"/>
    <w:rsid w:val="006746FE"/>
    <w:rsid w:val="0067474A"/>
    <w:rsid w:val="0067474F"/>
    <w:rsid w:val="0067481E"/>
    <w:rsid w:val="0067483F"/>
    <w:rsid w:val="006748E0"/>
    <w:rsid w:val="006748EF"/>
    <w:rsid w:val="00674A0F"/>
    <w:rsid w:val="00674A56"/>
    <w:rsid w:val="00674B03"/>
    <w:rsid w:val="00674B5E"/>
    <w:rsid w:val="00674C00"/>
    <w:rsid w:val="00674C1B"/>
    <w:rsid w:val="00674C28"/>
    <w:rsid w:val="00674DE7"/>
    <w:rsid w:val="00674EDE"/>
    <w:rsid w:val="00674F02"/>
    <w:rsid w:val="00674F46"/>
    <w:rsid w:val="0067507A"/>
    <w:rsid w:val="006750A1"/>
    <w:rsid w:val="0067510C"/>
    <w:rsid w:val="006751CE"/>
    <w:rsid w:val="006751F6"/>
    <w:rsid w:val="00675215"/>
    <w:rsid w:val="0067521C"/>
    <w:rsid w:val="006752A4"/>
    <w:rsid w:val="006752CE"/>
    <w:rsid w:val="006753F0"/>
    <w:rsid w:val="0067576C"/>
    <w:rsid w:val="0067578E"/>
    <w:rsid w:val="006757C6"/>
    <w:rsid w:val="0067592B"/>
    <w:rsid w:val="00675987"/>
    <w:rsid w:val="00675A33"/>
    <w:rsid w:val="00675A57"/>
    <w:rsid w:val="00675A6B"/>
    <w:rsid w:val="00675A79"/>
    <w:rsid w:val="00675AE7"/>
    <w:rsid w:val="00675AEF"/>
    <w:rsid w:val="00675B09"/>
    <w:rsid w:val="00675B0B"/>
    <w:rsid w:val="00675BA3"/>
    <w:rsid w:val="00675C5F"/>
    <w:rsid w:val="00675CE6"/>
    <w:rsid w:val="00675D05"/>
    <w:rsid w:val="00675D1D"/>
    <w:rsid w:val="00675D34"/>
    <w:rsid w:val="00675DC1"/>
    <w:rsid w:val="00675DEE"/>
    <w:rsid w:val="00675E1C"/>
    <w:rsid w:val="00675EEC"/>
    <w:rsid w:val="00675EFA"/>
    <w:rsid w:val="00675F10"/>
    <w:rsid w:val="00675F3E"/>
    <w:rsid w:val="00675FCA"/>
    <w:rsid w:val="00676031"/>
    <w:rsid w:val="00676086"/>
    <w:rsid w:val="006760AA"/>
    <w:rsid w:val="006760D7"/>
    <w:rsid w:val="0067619A"/>
    <w:rsid w:val="006761FA"/>
    <w:rsid w:val="00676350"/>
    <w:rsid w:val="006764C4"/>
    <w:rsid w:val="0067650F"/>
    <w:rsid w:val="00676530"/>
    <w:rsid w:val="0067656B"/>
    <w:rsid w:val="00676651"/>
    <w:rsid w:val="006766F5"/>
    <w:rsid w:val="006767AF"/>
    <w:rsid w:val="006767BF"/>
    <w:rsid w:val="0067694D"/>
    <w:rsid w:val="0067698B"/>
    <w:rsid w:val="006769DA"/>
    <w:rsid w:val="00676A20"/>
    <w:rsid w:val="00676AD3"/>
    <w:rsid w:val="00676B38"/>
    <w:rsid w:val="00676B70"/>
    <w:rsid w:val="00676B8E"/>
    <w:rsid w:val="00676C00"/>
    <w:rsid w:val="00676CB9"/>
    <w:rsid w:val="00676D9F"/>
    <w:rsid w:val="00676E8C"/>
    <w:rsid w:val="006772D6"/>
    <w:rsid w:val="00677310"/>
    <w:rsid w:val="0067736B"/>
    <w:rsid w:val="00677454"/>
    <w:rsid w:val="006774C8"/>
    <w:rsid w:val="00677541"/>
    <w:rsid w:val="00677556"/>
    <w:rsid w:val="0067757A"/>
    <w:rsid w:val="00677826"/>
    <w:rsid w:val="00677828"/>
    <w:rsid w:val="00677864"/>
    <w:rsid w:val="0067794C"/>
    <w:rsid w:val="006779B8"/>
    <w:rsid w:val="00677A22"/>
    <w:rsid w:val="00677A6D"/>
    <w:rsid w:val="00677A9E"/>
    <w:rsid w:val="00677AB9"/>
    <w:rsid w:val="00677AFF"/>
    <w:rsid w:val="00677BD9"/>
    <w:rsid w:val="00677BDE"/>
    <w:rsid w:val="00677BF7"/>
    <w:rsid w:val="00677C1A"/>
    <w:rsid w:val="00677C61"/>
    <w:rsid w:val="00677CF2"/>
    <w:rsid w:val="00677D38"/>
    <w:rsid w:val="0068003A"/>
    <w:rsid w:val="006800D1"/>
    <w:rsid w:val="006800FE"/>
    <w:rsid w:val="00680193"/>
    <w:rsid w:val="006801D6"/>
    <w:rsid w:val="006801FC"/>
    <w:rsid w:val="0068036F"/>
    <w:rsid w:val="0068044D"/>
    <w:rsid w:val="00680467"/>
    <w:rsid w:val="006804A9"/>
    <w:rsid w:val="00680551"/>
    <w:rsid w:val="00680642"/>
    <w:rsid w:val="006807C5"/>
    <w:rsid w:val="00680845"/>
    <w:rsid w:val="00680899"/>
    <w:rsid w:val="0068089B"/>
    <w:rsid w:val="006808C8"/>
    <w:rsid w:val="006809EC"/>
    <w:rsid w:val="00680A6B"/>
    <w:rsid w:val="00680B38"/>
    <w:rsid w:val="00680C4D"/>
    <w:rsid w:val="00680CA0"/>
    <w:rsid w:val="00680D2C"/>
    <w:rsid w:val="00680D43"/>
    <w:rsid w:val="00680D5A"/>
    <w:rsid w:val="00680D6A"/>
    <w:rsid w:val="00680E58"/>
    <w:rsid w:val="00680EB3"/>
    <w:rsid w:val="00680F2E"/>
    <w:rsid w:val="00680F57"/>
    <w:rsid w:val="00680FBC"/>
    <w:rsid w:val="00681073"/>
    <w:rsid w:val="006810EB"/>
    <w:rsid w:val="0068116B"/>
    <w:rsid w:val="0068126E"/>
    <w:rsid w:val="006812DD"/>
    <w:rsid w:val="0068132C"/>
    <w:rsid w:val="00681333"/>
    <w:rsid w:val="00681409"/>
    <w:rsid w:val="00681458"/>
    <w:rsid w:val="0068145C"/>
    <w:rsid w:val="00681471"/>
    <w:rsid w:val="00681682"/>
    <w:rsid w:val="00681693"/>
    <w:rsid w:val="006816C7"/>
    <w:rsid w:val="0068175B"/>
    <w:rsid w:val="00681817"/>
    <w:rsid w:val="00681829"/>
    <w:rsid w:val="00681867"/>
    <w:rsid w:val="006818B8"/>
    <w:rsid w:val="00681917"/>
    <w:rsid w:val="00681963"/>
    <w:rsid w:val="0068196C"/>
    <w:rsid w:val="00681B59"/>
    <w:rsid w:val="00681C5F"/>
    <w:rsid w:val="00681D00"/>
    <w:rsid w:val="00681D4E"/>
    <w:rsid w:val="00681DAD"/>
    <w:rsid w:val="00681E33"/>
    <w:rsid w:val="00681E34"/>
    <w:rsid w:val="00681E55"/>
    <w:rsid w:val="00681E99"/>
    <w:rsid w:val="00681F10"/>
    <w:rsid w:val="00681F15"/>
    <w:rsid w:val="00681FC2"/>
    <w:rsid w:val="006820A3"/>
    <w:rsid w:val="006822A4"/>
    <w:rsid w:val="00682376"/>
    <w:rsid w:val="006823C8"/>
    <w:rsid w:val="00682409"/>
    <w:rsid w:val="0068252E"/>
    <w:rsid w:val="006825B0"/>
    <w:rsid w:val="0068274A"/>
    <w:rsid w:val="00682778"/>
    <w:rsid w:val="00682898"/>
    <w:rsid w:val="00682910"/>
    <w:rsid w:val="00682913"/>
    <w:rsid w:val="00682981"/>
    <w:rsid w:val="006829E5"/>
    <w:rsid w:val="00682A85"/>
    <w:rsid w:val="00682B0A"/>
    <w:rsid w:val="00682B4D"/>
    <w:rsid w:val="00682B71"/>
    <w:rsid w:val="00682B9B"/>
    <w:rsid w:val="00682EAB"/>
    <w:rsid w:val="00682EBC"/>
    <w:rsid w:val="00682EDD"/>
    <w:rsid w:val="00682FB3"/>
    <w:rsid w:val="00682FB4"/>
    <w:rsid w:val="00683052"/>
    <w:rsid w:val="00683095"/>
    <w:rsid w:val="006830AF"/>
    <w:rsid w:val="00683103"/>
    <w:rsid w:val="00683138"/>
    <w:rsid w:val="00683194"/>
    <w:rsid w:val="006831B1"/>
    <w:rsid w:val="006831DE"/>
    <w:rsid w:val="00683265"/>
    <w:rsid w:val="00683289"/>
    <w:rsid w:val="00683362"/>
    <w:rsid w:val="00683458"/>
    <w:rsid w:val="0068345D"/>
    <w:rsid w:val="00683474"/>
    <w:rsid w:val="006834EB"/>
    <w:rsid w:val="00683551"/>
    <w:rsid w:val="00683561"/>
    <w:rsid w:val="006835D7"/>
    <w:rsid w:val="00683607"/>
    <w:rsid w:val="00683784"/>
    <w:rsid w:val="0068385B"/>
    <w:rsid w:val="00683950"/>
    <w:rsid w:val="00683999"/>
    <w:rsid w:val="006839D4"/>
    <w:rsid w:val="00683A5B"/>
    <w:rsid w:val="00683AF0"/>
    <w:rsid w:val="00683B66"/>
    <w:rsid w:val="00683B68"/>
    <w:rsid w:val="00683B93"/>
    <w:rsid w:val="00683C15"/>
    <w:rsid w:val="00683C40"/>
    <w:rsid w:val="00683D09"/>
    <w:rsid w:val="00683D27"/>
    <w:rsid w:val="00683D4D"/>
    <w:rsid w:val="00683D89"/>
    <w:rsid w:val="00683D9A"/>
    <w:rsid w:val="00683E2A"/>
    <w:rsid w:val="00683ED7"/>
    <w:rsid w:val="00683F3B"/>
    <w:rsid w:val="00683F93"/>
    <w:rsid w:val="00683FC8"/>
    <w:rsid w:val="00684110"/>
    <w:rsid w:val="00684148"/>
    <w:rsid w:val="00684151"/>
    <w:rsid w:val="00684160"/>
    <w:rsid w:val="006841AB"/>
    <w:rsid w:val="00684279"/>
    <w:rsid w:val="0068427E"/>
    <w:rsid w:val="00684293"/>
    <w:rsid w:val="006843B6"/>
    <w:rsid w:val="006843C1"/>
    <w:rsid w:val="0068453C"/>
    <w:rsid w:val="00684688"/>
    <w:rsid w:val="006846DC"/>
    <w:rsid w:val="00684777"/>
    <w:rsid w:val="00684843"/>
    <w:rsid w:val="00684853"/>
    <w:rsid w:val="006848B0"/>
    <w:rsid w:val="006848E6"/>
    <w:rsid w:val="006848EE"/>
    <w:rsid w:val="00684916"/>
    <w:rsid w:val="006849A4"/>
    <w:rsid w:val="006849E6"/>
    <w:rsid w:val="00684A99"/>
    <w:rsid w:val="00684B08"/>
    <w:rsid w:val="00684B67"/>
    <w:rsid w:val="00684C4A"/>
    <w:rsid w:val="00684D69"/>
    <w:rsid w:val="00684D8F"/>
    <w:rsid w:val="00684DB7"/>
    <w:rsid w:val="00684DB8"/>
    <w:rsid w:val="00684E6C"/>
    <w:rsid w:val="00684EE5"/>
    <w:rsid w:val="00684F31"/>
    <w:rsid w:val="00684F62"/>
    <w:rsid w:val="00685069"/>
    <w:rsid w:val="00685076"/>
    <w:rsid w:val="00685258"/>
    <w:rsid w:val="00685263"/>
    <w:rsid w:val="00685554"/>
    <w:rsid w:val="006855AB"/>
    <w:rsid w:val="00685616"/>
    <w:rsid w:val="0068564E"/>
    <w:rsid w:val="0068566D"/>
    <w:rsid w:val="006856A3"/>
    <w:rsid w:val="00685725"/>
    <w:rsid w:val="006857C0"/>
    <w:rsid w:val="006857E7"/>
    <w:rsid w:val="0068586A"/>
    <w:rsid w:val="006858D5"/>
    <w:rsid w:val="006859CA"/>
    <w:rsid w:val="00685A79"/>
    <w:rsid w:val="00685A91"/>
    <w:rsid w:val="00685A9E"/>
    <w:rsid w:val="00685B08"/>
    <w:rsid w:val="00685B27"/>
    <w:rsid w:val="00685BBF"/>
    <w:rsid w:val="00685BF7"/>
    <w:rsid w:val="00685C3B"/>
    <w:rsid w:val="00685C54"/>
    <w:rsid w:val="00685CD9"/>
    <w:rsid w:val="00685F52"/>
    <w:rsid w:val="00685FF7"/>
    <w:rsid w:val="00686066"/>
    <w:rsid w:val="006860E1"/>
    <w:rsid w:val="00686183"/>
    <w:rsid w:val="006861DE"/>
    <w:rsid w:val="006863E9"/>
    <w:rsid w:val="0068640B"/>
    <w:rsid w:val="00686513"/>
    <w:rsid w:val="00686527"/>
    <w:rsid w:val="00686586"/>
    <w:rsid w:val="006865A0"/>
    <w:rsid w:val="00686677"/>
    <w:rsid w:val="006866A0"/>
    <w:rsid w:val="00686767"/>
    <w:rsid w:val="006867A6"/>
    <w:rsid w:val="006867BE"/>
    <w:rsid w:val="00686820"/>
    <w:rsid w:val="0068687B"/>
    <w:rsid w:val="006868E3"/>
    <w:rsid w:val="006868F8"/>
    <w:rsid w:val="00686902"/>
    <w:rsid w:val="006869E4"/>
    <w:rsid w:val="00686A33"/>
    <w:rsid w:val="00686BD9"/>
    <w:rsid w:val="00686BDD"/>
    <w:rsid w:val="00686C1C"/>
    <w:rsid w:val="00686C1D"/>
    <w:rsid w:val="00686CDC"/>
    <w:rsid w:val="00686CDD"/>
    <w:rsid w:val="00686DC3"/>
    <w:rsid w:val="0068701C"/>
    <w:rsid w:val="00687024"/>
    <w:rsid w:val="0068707A"/>
    <w:rsid w:val="006870EA"/>
    <w:rsid w:val="00687129"/>
    <w:rsid w:val="0068715A"/>
    <w:rsid w:val="006871A0"/>
    <w:rsid w:val="006871AE"/>
    <w:rsid w:val="0068742E"/>
    <w:rsid w:val="0068753E"/>
    <w:rsid w:val="00687661"/>
    <w:rsid w:val="00687696"/>
    <w:rsid w:val="00687742"/>
    <w:rsid w:val="00687753"/>
    <w:rsid w:val="00687801"/>
    <w:rsid w:val="0068792A"/>
    <w:rsid w:val="00687944"/>
    <w:rsid w:val="00687B93"/>
    <w:rsid w:val="00687BA6"/>
    <w:rsid w:val="00687BCF"/>
    <w:rsid w:val="00687CF9"/>
    <w:rsid w:val="00687D91"/>
    <w:rsid w:val="00687E75"/>
    <w:rsid w:val="00687FE4"/>
    <w:rsid w:val="00690094"/>
    <w:rsid w:val="006900EB"/>
    <w:rsid w:val="00690119"/>
    <w:rsid w:val="00690256"/>
    <w:rsid w:val="0069025C"/>
    <w:rsid w:val="006902B7"/>
    <w:rsid w:val="0069035A"/>
    <w:rsid w:val="0069038E"/>
    <w:rsid w:val="00690628"/>
    <w:rsid w:val="006906C0"/>
    <w:rsid w:val="006907A4"/>
    <w:rsid w:val="0069085E"/>
    <w:rsid w:val="0069088B"/>
    <w:rsid w:val="00690940"/>
    <w:rsid w:val="00690977"/>
    <w:rsid w:val="006909C4"/>
    <w:rsid w:val="00690A2C"/>
    <w:rsid w:val="00690CCA"/>
    <w:rsid w:val="00690D5F"/>
    <w:rsid w:val="00690E10"/>
    <w:rsid w:val="00690E16"/>
    <w:rsid w:val="00690EDE"/>
    <w:rsid w:val="00690F70"/>
    <w:rsid w:val="00690FBE"/>
    <w:rsid w:val="00691121"/>
    <w:rsid w:val="006911AA"/>
    <w:rsid w:val="006911CC"/>
    <w:rsid w:val="0069124B"/>
    <w:rsid w:val="006912BE"/>
    <w:rsid w:val="006912EB"/>
    <w:rsid w:val="00691393"/>
    <w:rsid w:val="006913EE"/>
    <w:rsid w:val="006914DF"/>
    <w:rsid w:val="006914E0"/>
    <w:rsid w:val="006914F0"/>
    <w:rsid w:val="00691538"/>
    <w:rsid w:val="006915C4"/>
    <w:rsid w:val="00691748"/>
    <w:rsid w:val="006917C1"/>
    <w:rsid w:val="0069184E"/>
    <w:rsid w:val="00691860"/>
    <w:rsid w:val="0069194D"/>
    <w:rsid w:val="006919BA"/>
    <w:rsid w:val="00691A08"/>
    <w:rsid w:val="00691ACF"/>
    <w:rsid w:val="00691BE2"/>
    <w:rsid w:val="00691C7B"/>
    <w:rsid w:val="00691D10"/>
    <w:rsid w:val="00691D33"/>
    <w:rsid w:val="00691D3D"/>
    <w:rsid w:val="00691D66"/>
    <w:rsid w:val="00691E20"/>
    <w:rsid w:val="00691F58"/>
    <w:rsid w:val="00691F7B"/>
    <w:rsid w:val="00691F9C"/>
    <w:rsid w:val="00691FA1"/>
    <w:rsid w:val="006920B9"/>
    <w:rsid w:val="00692116"/>
    <w:rsid w:val="00692256"/>
    <w:rsid w:val="00692259"/>
    <w:rsid w:val="006922AA"/>
    <w:rsid w:val="006923A6"/>
    <w:rsid w:val="006923CE"/>
    <w:rsid w:val="00692408"/>
    <w:rsid w:val="00692541"/>
    <w:rsid w:val="00692647"/>
    <w:rsid w:val="006926CC"/>
    <w:rsid w:val="006926F2"/>
    <w:rsid w:val="00692729"/>
    <w:rsid w:val="006927B6"/>
    <w:rsid w:val="006927BB"/>
    <w:rsid w:val="0069280B"/>
    <w:rsid w:val="0069284A"/>
    <w:rsid w:val="006928AC"/>
    <w:rsid w:val="006929A1"/>
    <w:rsid w:val="006929BE"/>
    <w:rsid w:val="006929F1"/>
    <w:rsid w:val="00692B21"/>
    <w:rsid w:val="00692B76"/>
    <w:rsid w:val="00692BB7"/>
    <w:rsid w:val="00692BDB"/>
    <w:rsid w:val="00692BF9"/>
    <w:rsid w:val="00692C88"/>
    <w:rsid w:val="00692D01"/>
    <w:rsid w:val="00692D07"/>
    <w:rsid w:val="00692D80"/>
    <w:rsid w:val="00692DF6"/>
    <w:rsid w:val="00692E07"/>
    <w:rsid w:val="00692E30"/>
    <w:rsid w:val="00692EF3"/>
    <w:rsid w:val="006930B5"/>
    <w:rsid w:val="006930FC"/>
    <w:rsid w:val="00693156"/>
    <w:rsid w:val="00693259"/>
    <w:rsid w:val="00693279"/>
    <w:rsid w:val="006932FF"/>
    <w:rsid w:val="0069347D"/>
    <w:rsid w:val="00693558"/>
    <w:rsid w:val="00693559"/>
    <w:rsid w:val="006935BF"/>
    <w:rsid w:val="006938AC"/>
    <w:rsid w:val="006939C7"/>
    <w:rsid w:val="00693A22"/>
    <w:rsid w:val="00693A53"/>
    <w:rsid w:val="00693B21"/>
    <w:rsid w:val="00693C29"/>
    <w:rsid w:val="00693C78"/>
    <w:rsid w:val="00693DEC"/>
    <w:rsid w:val="00693E22"/>
    <w:rsid w:val="00693E29"/>
    <w:rsid w:val="00693F86"/>
    <w:rsid w:val="00693FF6"/>
    <w:rsid w:val="00694007"/>
    <w:rsid w:val="006940AF"/>
    <w:rsid w:val="0069412D"/>
    <w:rsid w:val="00694305"/>
    <w:rsid w:val="00694383"/>
    <w:rsid w:val="006943B2"/>
    <w:rsid w:val="006943DA"/>
    <w:rsid w:val="006943FB"/>
    <w:rsid w:val="0069442B"/>
    <w:rsid w:val="0069443D"/>
    <w:rsid w:val="00694463"/>
    <w:rsid w:val="00694507"/>
    <w:rsid w:val="00694543"/>
    <w:rsid w:val="00694621"/>
    <w:rsid w:val="00694669"/>
    <w:rsid w:val="006946F4"/>
    <w:rsid w:val="0069474B"/>
    <w:rsid w:val="00694781"/>
    <w:rsid w:val="006947DE"/>
    <w:rsid w:val="0069486E"/>
    <w:rsid w:val="00694929"/>
    <w:rsid w:val="00694AD6"/>
    <w:rsid w:val="00694AFD"/>
    <w:rsid w:val="00694B25"/>
    <w:rsid w:val="00694B34"/>
    <w:rsid w:val="00694C0F"/>
    <w:rsid w:val="00694C6C"/>
    <w:rsid w:val="00694D5C"/>
    <w:rsid w:val="00694DE3"/>
    <w:rsid w:val="00694E82"/>
    <w:rsid w:val="0069501F"/>
    <w:rsid w:val="0069502A"/>
    <w:rsid w:val="0069504C"/>
    <w:rsid w:val="006951E6"/>
    <w:rsid w:val="006953C0"/>
    <w:rsid w:val="0069545A"/>
    <w:rsid w:val="00695460"/>
    <w:rsid w:val="006954C5"/>
    <w:rsid w:val="006954F1"/>
    <w:rsid w:val="0069563F"/>
    <w:rsid w:val="006956CC"/>
    <w:rsid w:val="006956D3"/>
    <w:rsid w:val="006957C2"/>
    <w:rsid w:val="006957F1"/>
    <w:rsid w:val="0069583F"/>
    <w:rsid w:val="006958BE"/>
    <w:rsid w:val="00695924"/>
    <w:rsid w:val="00695A5F"/>
    <w:rsid w:val="00695AB5"/>
    <w:rsid w:val="00695AD6"/>
    <w:rsid w:val="00695B37"/>
    <w:rsid w:val="00695BAB"/>
    <w:rsid w:val="00695BB3"/>
    <w:rsid w:val="00695C8D"/>
    <w:rsid w:val="00695D9E"/>
    <w:rsid w:val="00695E95"/>
    <w:rsid w:val="00695F49"/>
    <w:rsid w:val="00695FDA"/>
    <w:rsid w:val="0069609E"/>
    <w:rsid w:val="006961F2"/>
    <w:rsid w:val="00696201"/>
    <w:rsid w:val="00696344"/>
    <w:rsid w:val="00696369"/>
    <w:rsid w:val="006963C4"/>
    <w:rsid w:val="00696456"/>
    <w:rsid w:val="006965FE"/>
    <w:rsid w:val="0069671A"/>
    <w:rsid w:val="006967D8"/>
    <w:rsid w:val="006968C1"/>
    <w:rsid w:val="00696954"/>
    <w:rsid w:val="006969B4"/>
    <w:rsid w:val="006969E0"/>
    <w:rsid w:val="00696A1A"/>
    <w:rsid w:val="00696B5B"/>
    <w:rsid w:val="00696B60"/>
    <w:rsid w:val="00696BAE"/>
    <w:rsid w:val="00696C1B"/>
    <w:rsid w:val="00696E6E"/>
    <w:rsid w:val="00696ECC"/>
    <w:rsid w:val="00696FA5"/>
    <w:rsid w:val="00697048"/>
    <w:rsid w:val="0069706B"/>
    <w:rsid w:val="00697094"/>
    <w:rsid w:val="006970BE"/>
    <w:rsid w:val="006971DF"/>
    <w:rsid w:val="006973F7"/>
    <w:rsid w:val="00697442"/>
    <w:rsid w:val="00697484"/>
    <w:rsid w:val="00697489"/>
    <w:rsid w:val="0069752F"/>
    <w:rsid w:val="00697559"/>
    <w:rsid w:val="006975E6"/>
    <w:rsid w:val="0069768B"/>
    <w:rsid w:val="006976FB"/>
    <w:rsid w:val="00697752"/>
    <w:rsid w:val="006977AA"/>
    <w:rsid w:val="00697862"/>
    <w:rsid w:val="0069796D"/>
    <w:rsid w:val="00697983"/>
    <w:rsid w:val="00697987"/>
    <w:rsid w:val="006979AD"/>
    <w:rsid w:val="00697AC4"/>
    <w:rsid w:val="00697B1C"/>
    <w:rsid w:val="00697B55"/>
    <w:rsid w:val="00697B64"/>
    <w:rsid w:val="00697BFB"/>
    <w:rsid w:val="00697C3F"/>
    <w:rsid w:val="00697C5E"/>
    <w:rsid w:val="00697C96"/>
    <w:rsid w:val="00697CB0"/>
    <w:rsid w:val="00697CBF"/>
    <w:rsid w:val="00697E47"/>
    <w:rsid w:val="00697E4B"/>
    <w:rsid w:val="00697EA6"/>
    <w:rsid w:val="006A0006"/>
    <w:rsid w:val="006A006E"/>
    <w:rsid w:val="006A00CE"/>
    <w:rsid w:val="006A0106"/>
    <w:rsid w:val="006A01AA"/>
    <w:rsid w:val="006A0200"/>
    <w:rsid w:val="006A0231"/>
    <w:rsid w:val="006A0257"/>
    <w:rsid w:val="006A036B"/>
    <w:rsid w:val="006A036C"/>
    <w:rsid w:val="006A0396"/>
    <w:rsid w:val="006A03CB"/>
    <w:rsid w:val="006A043A"/>
    <w:rsid w:val="006A04CD"/>
    <w:rsid w:val="006A0624"/>
    <w:rsid w:val="006A06B9"/>
    <w:rsid w:val="006A0713"/>
    <w:rsid w:val="006A0761"/>
    <w:rsid w:val="006A0869"/>
    <w:rsid w:val="006A0874"/>
    <w:rsid w:val="006A09C7"/>
    <w:rsid w:val="006A0A70"/>
    <w:rsid w:val="006A0C42"/>
    <w:rsid w:val="006A0C66"/>
    <w:rsid w:val="006A0D6D"/>
    <w:rsid w:val="006A0E05"/>
    <w:rsid w:val="006A0F66"/>
    <w:rsid w:val="006A10EC"/>
    <w:rsid w:val="006A11CE"/>
    <w:rsid w:val="006A123F"/>
    <w:rsid w:val="006A13EB"/>
    <w:rsid w:val="006A14A4"/>
    <w:rsid w:val="006A14E2"/>
    <w:rsid w:val="006A1525"/>
    <w:rsid w:val="006A1565"/>
    <w:rsid w:val="006A15EB"/>
    <w:rsid w:val="006A162D"/>
    <w:rsid w:val="006A1643"/>
    <w:rsid w:val="006A16AE"/>
    <w:rsid w:val="006A187C"/>
    <w:rsid w:val="006A189F"/>
    <w:rsid w:val="006A1919"/>
    <w:rsid w:val="006A1975"/>
    <w:rsid w:val="006A1AA4"/>
    <w:rsid w:val="006A1B90"/>
    <w:rsid w:val="006A1C5F"/>
    <w:rsid w:val="006A1C88"/>
    <w:rsid w:val="006A1CA0"/>
    <w:rsid w:val="006A1D01"/>
    <w:rsid w:val="006A1D0D"/>
    <w:rsid w:val="006A1DC9"/>
    <w:rsid w:val="006A1E0C"/>
    <w:rsid w:val="006A1E5C"/>
    <w:rsid w:val="006A1EBD"/>
    <w:rsid w:val="006A1F16"/>
    <w:rsid w:val="006A1F29"/>
    <w:rsid w:val="006A1F34"/>
    <w:rsid w:val="006A1F65"/>
    <w:rsid w:val="006A1FA9"/>
    <w:rsid w:val="006A2037"/>
    <w:rsid w:val="006A20AD"/>
    <w:rsid w:val="006A20C2"/>
    <w:rsid w:val="006A20F8"/>
    <w:rsid w:val="006A2282"/>
    <w:rsid w:val="006A2320"/>
    <w:rsid w:val="006A24FA"/>
    <w:rsid w:val="006A2595"/>
    <w:rsid w:val="006A2622"/>
    <w:rsid w:val="006A2863"/>
    <w:rsid w:val="006A2898"/>
    <w:rsid w:val="006A2A35"/>
    <w:rsid w:val="006A2A50"/>
    <w:rsid w:val="006A2A76"/>
    <w:rsid w:val="006A2B0F"/>
    <w:rsid w:val="006A2BA9"/>
    <w:rsid w:val="006A2D19"/>
    <w:rsid w:val="006A2DDD"/>
    <w:rsid w:val="006A2E58"/>
    <w:rsid w:val="006A2F17"/>
    <w:rsid w:val="006A2F6A"/>
    <w:rsid w:val="006A2FC8"/>
    <w:rsid w:val="006A3070"/>
    <w:rsid w:val="006A3145"/>
    <w:rsid w:val="006A3193"/>
    <w:rsid w:val="006A31C1"/>
    <w:rsid w:val="006A323B"/>
    <w:rsid w:val="006A3295"/>
    <w:rsid w:val="006A32F3"/>
    <w:rsid w:val="006A33E1"/>
    <w:rsid w:val="006A3453"/>
    <w:rsid w:val="006A34A5"/>
    <w:rsid w:val="006A34EC"/>
    <w:rsid w:val="006A34F1"/>
    <w:rsid w:val="006A3563"/>
    <w:rsid w:val="006A358F"/>
    <w:rsid w:val="006A36EA"/>
    <w:rsid w:val="006A374A"/>
    <w:rsid w:val="006A3859"/>
    <w:rsid w:val="006A3963"/>
    <w:rsid w:val="006A3A0C"/>
    <w:rsid w:val="006A3A69"/>
    <w:rsid w:val="006A3A8C"/>
    <w:rsid w:val="006A3AE3"/>
    <w:rsid w:val="006A3C7D"/>
    <w:rsid w:val="006A3D14"/>
    <w:rsid w:val="006A3D2C"/>
    <w:rsid w:val="006A3D38"/>
    <w:rsid w:val="006A3D92"/>
    <w:rsid w:val="006A3D9A"/>
    <w:rsid w:val="006A3E54"/>
    <w:rsid w:val="006A3F2A"/>
    <w:rsid w:val="006A404E"/>
    <w:rsid w:val="006A40F2"/>
    <w:rsid w:val="006A40FD"/>
    <w:rsid w:val="006A4210"/>
    <w:rsid w:val="006A4244"/>
    <w:rsid w:val="006A4263"/>
    <w:rsid w:val="006A446E"/>
    <w:rsid w:val="006A44B5"/>
    <w:rsid w:val="006A4549"/>
    <w:rsid w:val="006A45BB"/>
    <w:rsid w:val="006A46DD"/>
    <w:rsid w:val="006A473D"/>
    <w:rsid w:val="006A47C1"/>
    <w:rsid w:val="006A4813"/>
    <w:rsid w:val="006A4863"/>
    <w:rsid w:val="006A48E5"/>
    <w:rsid w:val="006A4B19"/>
    <w:rsid w:val="006A4B70"/>
    <w:rsid w:val="006A4D33"/>
    <w:rsid w:val="006A4DCF"/>
    <w:rsid w:val="006A4E7B"/>
    <w:rsid w:val="006A4F8B"/>
    <w:rsid w:val="006A4F96"/>
    <w:rsid w:val="006A4FC6"/>
    <w:rsid w:val="006A5012"/>
    <w:rsid w:val="006A5134"/>
    <w:rsid w:val="006A51E5"/>
    <w:rsid w:val="006A523B"/>
    <w:rsid w:val="006A5279"/>
    <w:rsid w:val="006A5297"/>
    <w:rsid w:val="006A52AB"/>
    <w:rsid w:val="006A5345"/>
    <w:rsid w:val="006A53B3"/>
    <w:rsid w:val="006A53C0"/>
    <w:rsid w:val="006A53EA"/>
    <w:rsid w:val="006A55A4"/>
    <w:rsid w:val="006A55A9"/>
    <w:rsid w:val="006A561B"/>
    <w:rsid w:val="006A5688"/>
    <w:rsid w:val="006A5689"/>
    <w:rsid w:val="006A57A3"/>
    <w:rsid w:val="006A57F4"/>
    <w:rsid w:val="006A58CB"/>
    <w:rsid w:val="006A58E9"/>
    <w:rsid w:val="006A5968"/>
    <w:rsid w:val="006A598B"/>
    <w:rsid w:val="006A599B"/>
    <w:rsid w:val="006A5A14"/>
    <w:rsid w:val="006A5A9F"/>
    <w:rsid w:val="006A5AC1"/>
    <w:rsid w:val="006A5B18"/>
    <w:rsid w:val="006A5C12"/>
    <w:rsid w:val="006A5C33"/>
    <w:rsid w:val="006A5D82"/>
    <w:rsid w:val="006A5DA0"/>
    <w:rsid w:val="006A5DB1"/>
    <w:rsid w:val="006A5DBC"/>
    <w:rsid w:val="006A5DD3"/>
    <w:rsid w:val="006A5DD6"/>
    <w:rsid w:val="006A5DF9"/>
    <w:rsid w:val="006A5E52"/>
    <w:rsid w:val="006A5F77"/>
    <w:rsid w:val="006A5FDA"/>
    <w:rsid w:val="006A6050"/>
    <w:rsid w:val="006A6118"/>
    <w:rsid w:val="006A6200"/>
    <w:rsid w:val="006A628B"/>
    <w:rsid w:val="006A62EA"/>
    <w:rsid w:val="006A663B"/>
    <w:rsid w:val="006A66D5"/>
    <w:rsid w:val="006A6707"/>
    <w:rsid w:val="006A6762"/>
    <w:rsid w:val="006A6794"/>
    <w:rsid w:val="006A67C8"/>
    <w:rsid w:val="006A68BE"/>
    <w:rsid w:val="006A68D7"/>
    <w:rsid w:val="006A68E7"/>
    <w:rsid w:val="006A6939"/>
    <w:rsid w:val="006A6A8E"/>
    <w:rsid w:val="006A6D49"/>
    <w:rsid w:val="006A6E22"/>
    <w:rsid w:val="006A6EBE"/>
    <w:rsid w:val="006A6FFE"/>
    <w:rsid w:val="006A6FFF"/>
    <w:rsid w:val="006A7133"/>
    <w:rsid w:val="006A7169"/>
    <w:rsid w:val="006A717F"/>
    <w:rsid w:val="006A71D7"/>
    <w:rsid w:val="006A723F"/>
    <w:rsid w:val="006A7268"/>
    <w:rsid w:val="006A72C6"/>
    <w:rsid w:val="006A7360"/>
    <w:rsid w:val="006A73EA"/>
    <w:rsid w:val="006A7431"/>
    <w:rsid w:val="006A748F"/>
    <w:rsid w:val="006A74DA"/>
    <w:rsid w:val="006A75A9"/>
    <w:rsid w:val="006A768E"/>
    <w:rsid w:val="006A76B6"/>
    <w:rsid w:val="006A770B"/>
    <w:rsid w:val="006A77A5"/>
    <w:rsid w:val="006A7832"/>
    <w:rsid w:val="006A7836"/>
    <w:rsid w:val="006A79BD"/>
    <w:rsid w:val="006A7B04"/>
    <w:rsid w:val="006A7C9F"/>
    <w:rsid w:val="006A7D3A"/>
    <w:rsid w:val="006A7D73"/>
    <w:rsid w:val="006A7DE7"/>
    <w:rsid w:val="006A7F70"/>
    <w:rsid w:val="006A7FAF"/>
    <w:rsid w:val="006B0054"/>
    <w:rsid w:val="006B0088"/>
    <w:rsid w:val="006B01A0"/>
    <w:rsid w:val="006B034B"/>
    <w:rsid w:val="006B037A"/>
    <w:rsid w:val="006B03FC"/>
    <w:rsid w:val="006B042A"/>
    <w:rsid w:val="006B0434"/>
    <w:rsid w:val="006B0443"/>
    <w:rsid w:val="006B04EA"/>
    <w:rsid w:val="006B0508"/>
    <w:rsid w:val="006B058A"/>
    <w:rsid w:val="006B06B6"/>
    <w:rsid w:val="006B07D6"/>
    <w:rsid w:val="006B0845"/>
    <w:rsid w:val="006B08B7"/>
    <w:rsid w:val="006B08DB"/>
    <w:rsid w:val="006B0925"/>
    <w:rsid w:val="006B092F"/>
    <w:rsid w:val="006B09F0"/>
    <w:rsid w:val="006B0A32"/>
    <w:rsid w:val="006B0A39"/>
    <w:rsid w:val="006B0AC7"/>
    <w:rsid w:val="006B0ACD"/>
    <w:rsid w:val="006B0AF2"/>
    <w:rsid w:val="006B0C48"/>
    <w:rsid w:val="006B0CF4"/>
    <w:rsid w:val="006B0F84"/>
    <w:rsid w:val="006B101D"/>
    <w:rsid w:val="006B104F"/>
    <w:rsid w:val="006B10C5"/>
    <w:rsid w:val="006B10E2"/>
    <w:rsid w:val="006B11E1"/>
    <w:rsid w:val="006B1376"/>
    <w:rsid w:val="006B1419"/>
    <w:rsid w:val="006B1494"/>
    <w:rsid w:val="006B14CE"/>
    <w:rsid w:val="006B14FB"/>
    <w:rsid w:val="006B15BB"/>
    <w:rsid w:val="006B15F6"/>
    <w:rsid w:val="006B16EF"/>
    <w:rsid w:val="006B17C2"/>
    <w:rsid w:val="006B189B"/>
    <w:rsid w:val="006B18A7"/>
    <w:rsid w:val="006B193E"/>
    <w:rsid w:val="006B19C5"/>
    <w:rsid w:val="006B19EA"/>
    <w:rsid w:val="006B1B12"/>
    <w:rsid w:val="006B1B70"/>
    <w:rsid w:val="006B1C76"/>
    <w:rsid w:val="006B1E50"/>
    <w:rsid w:val="006B1F28"/>
    <w:rsid w:val="006B1F48"/>
    <w:rsid w:val="006B1FA3"/>
    <w:rsid w:val="006B1FD7"/>
    <w:rsid w:val="006B1FE4"/>
    <w:rsid w:val="006B2019"/>
    <w:rsid w:val="006B2041"/>
    <w:rsid w:val="006B210F"/>
    <w:rsid w:val="006B2158"/>
    <w:rsid w:val="006B216F"/>
    <w:rsid w:val="006B21F9"/>
    <w:rsid w:val="006B22BA"/>
    <w:rsid w:val="006B2373"/>
    <w:rsid w:val="006B2444"/>
    <w:rsid w:val="006B246F"/>
    <w:rsid w:val="006B2585"/>
    <w:rsid w:val="006B258D"/>
    <w:rsid w:val="006B25A0"/>
    <w:rsid w:val="006B25DC"/>
    <w:rsid w:val="006B267D"/>
    <w:rsid w:val="006B2704"/>
    <w:rsid w:val="006B2751"/>
    <w:rsid w:val="006B2795"/>
    <w:rsid w:val="006B27D4"/>
    <w:rsid w:val="006B2909"/>
    <w:rsid w:val="006B293C"/>
    <w:rsid w:val="006B2A81"/>
    <w:rsid w:val="006B2BC4"/>
    <w:rsid w:val="006B2C77"/>
    <w:rsid w:val="006B2CA1"/>
    <w:rsid w:val="006B2D02"/>
    <w:rsid w:val="006B2D80"/>
    <w:rsid w:val="006B2DCD"/>
    <w:rsid w:val="006B2E09"/>
    <w:rsid w:val="006B2E97"/>
    <w:rsid w:val="006B2F34"/>
    <w:rsid w:val="006B2F91"/>
    <w:rsid w:val="006B2FAC"/>
    <w:rsid w:val="006B3004"/>
    <w:rsid w:val="006B30EB"/>
    <w:rsid w:val="006B31AA"/>
    <w:rsid w:val="006B31C2"/>
    <w:rsid w:val="006B3216"/>
    <w:rsid w:val="006B3261"/>
    <w:rsid w:val="006B3312"/>
    <w:rsid w:val="006B3340"/>
    <w:rsid w:val="006B346D"/>
    <w:rsid w:val="006B34C2"/>
    <w:rsid w:val="006B34E8"/>
    <w:rsid w:val="006B34F8"/>
    <w:rsid w:val="006B3554"/>
    <w:rsid w:val="006B364B"/>
    <w:rsid w:val="006B3674"/>
    <w:rsid w:val="006B385D"/>
    <w:rsid w:val="006B388E"/>
    <w:rsid w:val="006B38C2"/>
    <w:rsid w:val="006B3A62"/>
    <w:rsid w:val="006B3AEE"/>
    <w:rsid w:val="006B3B19"/>
    <w:rsid w:val="006B3B52"/>
    <w:rsid w:val="006B3BA7"/>
    <w:rsid w:val="006B3BE8"/>
    <w:rsid w:val="006B3D15"/>
    <w:rsid w:val="006B3D77"/>
    <w:rsid w:val="006B3E29"/>
    <w:rsid w:val="006B3E67"/>
    <w:rsid w:val="006B3F4F"/>
    <w:rsid w:val="006B3F69"/>
    <w:rsid w:val="006B3FFF"/>
    <w:rsid w:val="006B409D"/>
    <w:rsid w:val="006B4120"/>
    <w:rsid w:val="006B41B6"/>
    <w:rsid w:val="006B41EE"/>
    <w:rsid w:val="006B42ED"/>
    <w:rsid w:val="006B4344"/>
    <w:rsid w:val="006B439E"/>
    <w:rsid w:val="006B43EF"/>
    <w:rsid w:val="006B4413"/>
    <w:rsid w:val="006B4559"/>
    <w:rsid w:val="006B4578"/>
    <w:rsid w:val="006B457E"/>
    <w:rsid w:val="006B45CC"/>
    <w:rsid w:val="006B460B"/>
    <w:rsid w:val="006B4614"/>
    <w:rsid w:val="006B4634"/>
    <w:rsid w:val="006B4664"/>
    <w:rsid w:val="006B470E"/>
    <w:rsid w:val="006B47B6"/>
    <w:rsid w:val="006B47BC"/>
    <w:rsid w:val="006B4A03"/>
    <w:rsid w:val="006B4A18"/>
    <w:rsid w:val="006B4A79"/>
    <w:rsid w:val="006B4AA5"/>
    <w:rsid w:val="006B4B49"/>
    <w:rsid w:val="006B4B54"/>
    <w:rsid w:val="006B4BCD"/>
    <w:rsid w:val="006B4E35"/>
    <w:rsid w:val="006B4F1F"/>
    <w:rsid w:val="006B51C5"/>
    <w:rsid w:val="006B522E"/>
    <w:rsid w:val="006B5232"/>
    <w:rsid w:val="006B53EF"/>
    <w:rsid w:val="006B53F0"/>
    <w:rsid w:val="006B5409"/>
    <w:rsid w:val="006B5416"/>
    <w:rsid w:val="006B55C6"/>
    <w:rsid w:val="006B55EE"/>
    <w:rsid w:val="006B5645"/>
    <w:rsid w:val="006B5796"/>
    <w:rsid w:val="006B59B2"/>
    <w:rsid w:val="006B5A9B"/>
    <w:rsid w:val="006B5BF7"/>
    <w:rsid w:val="006B5D49"/>
    <w:rsid w:val="006B5EB9"/>
    <w:rsid w:val="006B5EF1"/>
    <w:rsid w:val="006B5F61"/>
    <w:rsid w:val="006B605A"/>
    <w:rsid w:val="006B61CF"/>
    <w:rsid w:val="006B629E"/>
    <w:rsid w:val="006B6342"/>
    <w:rsid w:val="006B6374"/>
    <w:rsid w:val="006B6396"/>
    <w:rsid w:val="006B6495"/>
    <w:rsid w:val="006B64B9"/>
    <w:rsid w:val="006B65FA"/>
    <w:rsid w:val="006B6621"/>
    <w:rsid w:val="006B6676"/>
    <w:rsid w:val="006B68DB"/>
    <w:rsid w:val="006B6ACA"/>
    <w:rsid w:val="006B6C37"/>
    <w:rsid w:val="006B6CF8"/>
    <w:rsid w:val="006B6CFA"/>
    <w:rsid w:val="006B6F17"/>
    <w:rsid w:val="006B6F95"/>
    <w:rsid w:val="006B71F1"/>
    <w:rsid w:val="006B7231"/>
    <w:rsid w:val="006B7274"/>
    <w:rsid w:val="006B7357"/>
    <w:rsid w:val="006B7408"/>
    <w:rsid w:val="006B7535"/>
    <w:rsid w:val="006B7723"/>
    <w:rsid w:val="006B77CC"/>
    <w:rsid w:val="006B7925"/>
    <w:rsid w:val="006B797A"/>
    <w:rsid w:val="006B7990"/>
    <w:rsid w:val="006B79C8"/>
    <w:rsid w:val="006B79D6"/>
    <w:rsid w:val="006B7AFC"/>
    <w:rsid w:val="006B7B91"/>
    <w:rsid w:val="006B7CAF"/>
    <w:rsid w:val="006B7CE8"/>
    <w:rsid w:val="006B7D4C"/>
    <w:rsid w:val="006B7DD3"/>
    <w:rsid w:val="006B7DDA"/>
    <w:rsid w:val="006B7EA2"/>
    <w:rsid w:val="006B7FBB"/>
    <w:rsid w:val="006C000F"/>
    <w:rsid w:val="006C0089"/>
    <w:rsid w:val="006C00D6"/>
    <w:rsid w:val="006C00F6"/>
    <w:rsid w:val="006C021B"/>
    <w:rsid w:val="006C026D"/>
    <w:rsid w:val="006C02EA"/>
    <w:rsid w:val="006C02F6"/>
    <w:rsid w:val="006C0306"/>
    <w:rsid w:val="006C0407"/>
    <w:rsid w:val="006C0435"/>
    <w:rsid w:val="006C0507"/>
    <w:rsid w:val="006C058F"/>
    <w:rsid w:val="006C0849"/>
    <w:rsid w:val="006C0A85"/>
    <w:rsid w:val="006C0A88"/>
    <w:rsid w:val="006C0A8D"/>
    <w:rsid w:val="006C0A99"/>
    <w:rsid w:val="006C0B30"/>
    <w:rsid w:val="006C0B7C"/>
    <w:rsid w:val="006C0BB5"/>
    <w:rsid w:val="006C0BFE"/>
    <w:rsid w:val="006C0C46"/>
    <w:rsid w:val="006C0D58"/>
    <w:rsid w:val="006C0D80"/>
    <w:rsid w:val="006C0E64"/>
    <w:rsid w:val="006C0EA3"/>
    <w:rsid w:val="006C0F43"/>
    <w:rsid w:val="006C0FB3"/>
    <w:rsid w:val="006C1016"/>
    <w:rsid w:val="006C1111"/>
    <w:rsid w:val="006C1141"/>
    <w:rsid w:val="006C1146"/>
    <w:rsid w:val="006C115C"/>
    <w:rsid w:val="006C11D2"/>
    <w:rsid w:val="006C125D"/>
    <w:rsid w:val="006C12DD"/>
    <w:rsid w:val="006C1337"/>
    <w:rsid w:val="006C1500"/>
    <w:rsid w:val="006C1520"/>
    <w:rsid w:val="006C1574"/>
    <w:rsid w:val="006C1616"/>
    <w:rsid w:val="006C1621"/>
    <w:rsid w:val="006C1791"/>
    <w:rsid w:val="006C18FC"/>
    <w:rsid w:val="006C1933"/>
    <w:rsid w:val="006C1939"/>
    <w:rsid w:val="006C1947"/>
    <w:rsid w:val="006C1CE0"/>
    <w:rsid w:val="006C1E01"/>
    <w:rsid w:val="006C1EDF"/>
    <w:rsid w:val="006C1FA7"/>
    <w:rsid w:val="006C1FAF"/>
    <w:rsid w:val="006C203E"/>
    <w:rsid w:val="006C2079"/>
    <w:rsid w:val="006C208B"/>
    <w:rsid w:val="006C20D4"/>
    <w:rsid w:val="006C2286"/>
    <w:rsid w:val="006C2292"/>
    <w:rsid w:val="006C22D6"/>
    <w:rsid w:val="006C233F"/>
    <w:rsid w:val="006C23C4"/>
    <w:rsid w:val="006C243A"/>
    <w:rsid w:val="006C2549"/>
    <w:rsid w:val="006C25FE"/>
    <w:rsid w:val="006C2685"/>
    <w:rsid w:val="006C2694"/>
    <w:rsid w:val="006C26E1"/>
    <w:rsid w:val="006C2737"/>
    <w:rsid w:val="006C2749"/>
    <w:rsid w:val="006C2759"/>
    <w:rsid w:val="006C2764"/>
    <w:rsid w:val="006C27BD"/>
    <w:rsid w:val="006C27C9"/>
    <w:rsid w:val="006C28B3"/>
    <w:rsid w:val="006C2921"/>
    <w:rsid w:val="006C2A49"/>
    <w:rsid w:val="006C2A91"/>
    <w:rsid w:val="006C2ABA"/>
    <w:rsid w:val="006C2B18"/>
    <w:rsid w:val="006C2BB6"/>
    <w:rsid w:val="006C2BB8"/>
    <w:rsid w:val="006C2C96"/>
    <w:rsid w:val="006C2CCB"/>
    <w:rsid w:val="006C2D29"/>
    <w:rsid w:val="006C2D78"/>
    <w:rsid w:val="006C2DC3"/>
    <w:rsid w:val="006C2E7E"/>
    <w:rsid w:val="006C2F02"/>
    <w:rsid w:val="006C2FB9"/>
    <w:rsid w:val="006C2FD2"/>
    <w:rsid w:val="006C2FD5"/>
    <w:rsid w:val="006C2FFD"/>
    <w:rsid w:val="006C300C"/>
    <w:rsid w:val="006C30E1"/>
    <w:rsid w:val="006C319F"/>
    <w:rsid w:val="006C32F4"/>
    <w:rsid w:val="006C34E6"/>
    <w:rsid w:val="006C3676"/>
    <w:rsid w:val="006C36BD"/>
    <w:rsid w:val="006C36D6"/>
    <w:rsid w:val="006C3725"/>
    <w:rsid w:val="006C3762"/>
    <w:rsid w:val="006C376B"/>
    <w:rsid w:val="006C382A"/>
    <w:rsid w:val="006C3837"/>
    <w:rsid w:val="006C3A61"/>
    <w:rsid w:val="006C3A76"/>
    <w:rsid w:val="006C3ACA"/>
    <w:rsid w:val="006C3BAD"/>
    <w:rsid w:val="006C3C06"/>
    <w:rsid w:val="006C3C6D"/>
    <w:rsid w:val="006C3D6D"/>
    <w:rsid w:val="006C3DCC"/>
    <w:rsid w:val="006C3E13"/>
    <w:rsid w:val="006C3EC4"/>
    <w:rsid w:val="006C3EE9"/>
    <w:rsid w:val="006C3F7D"/>
    <w:rsid w:val="006C4026"/>
    <w:rsid w:val="006C404B"/>
    <w:rsid w:val="006C40DF"/>
    <w:rsid w:val="006C4179"/>
    <w:rsid w:val="006C4187"/>
    <w:rsid w:val="006C4199"/>
    <w:rsid w:val="006C4289"/>
    <w:rsid w:val="006C42C4"/>
    <w:rsid w:val="006C430C"/>
    <w:rsid w:val="006C4371"/>
    <w:rsid w:val="006C43DA"/>
    <w:rsid w:val="006C43FC"/>
    <w:rsid w:val="006C45BC"/>
    <w:rsid w:val="006C45C4"/>
    <w:rsid w:val="006C45E9"/>
    <w:rsid w:val="006C465B"/>
    <w:rsid w:val="006C4740"/>
    <w:rsid w:val="006C47B7"/>
    <w:rsid w:val="006C47F6"/>
    <w:rsid w:val="006C48BC"/>
    <w:rsid w:val="006C48D5"/>
    <w:rsid w:val="006C4901"/>
    <w:rsid w:val="006C4A31"/>
    <w:rsid w:val="006C4A81"/>
    <w:rsid w:val="006C4B00"/>
    <w:rsid w:val="006C4B08"/>
    <w:rsid w:val="006C4B8D"/>
    <w:rsid w:val="006C4C0E"/>
    <w:rsid w:val="006C4C7E"/>
    <w:rsid w:val="006C4D24"/>
    <w:rsid w:val="006C4E2B"/>
    <w:rsid w:val="006C4EAD"/>
    <w:rsid w:val="006C4FB1"/>
    <w:rsid w:val="006C5051"/>
    <w:rsid w:val="006C5062"/>
    <w:rsid w:val="006C5082"/>
    <w:rsid w:val="006C50B2"/>
    <w:rsid w:val="006C513C"/>
    <w:rsid w:val="006C513D"/>
    <w:rsid w:val="006C515F"/>
    <w:rsid w:val="006C523F"/>
    <w:rsid w:val="006C52BC"/>
    <w:rsid w:val="006C52E9"/>
    <w:rsid w:val="006C53EF"/>
    <w:rsid w:val="006C540E"/>
    <w:rsid w:val="006C550C"/>
    <w:rsid w:val="006C5680"/>
    <w:rsid w:val="006C5774"/>
    <w:rsid w:val="006C5821"/>
    <w:rsid w:val="006C5873"/>
    <w:rsid w:val="006C5879"/>
    <w:rsid w:val="006C58A9"/>
    <w:rsid w:val="006C59D0"/>
    <w:rsid w:val="006C5A8E"/>
    <w:rsid w:val="006C5BEC"/>
    <w:rsid w:val="006C5D57"/>
    <w:rsid w:val="006C5E74"/>
    <w:rsid w:val="006C5EB3"/>
    <w:rsid w:val="006C5F4E"/>
    <w:rsid w:val="006C5F60"/>
    <w:rsid w:val="006C5F97"/>
    <w:rsid w:val="006C5FBA"/>
    <w:rsid w:val="006C61E2"/>
    <w:rsid w:val="006C62A2"/>
    <w:rsid w:val="006C6416"/>
    <w:rsid w:val="006C64A4"/>
    <w:rsid w:val="006C654C"/>
    <w:rsid w:val="006C658F"/>
    <w:rsid w:val="006C65C9"/>
    <w:rsid w:val="006C65CE"/>
    <w:rsid w:val="006C6620"/>
    <w:rsid w:val="006C6740"/>
    <w:rsid w:val="006C6795"/>
    <w:rsid w:val="006C679A"/>
    <w:rsid w:val="006C67A7"/>
    <w:rsid w:val="006C6850"/>
    <w:rsid w:val="006C69A7"/>
    <w:rsid w:val="006C6AB7"/>
    <w:rsid w:val="006C6AE8"/>
    <w:rsid w:val="006C6B14"/>
    <w:rsid w:val="006C6B34"/>
    <w:rsid w:val="006C6BA8"/>
    <w:rsid w:val="006C6C37"/>
    <w:rsid w:val="006C6C39"/>
    <w:rsid w:val="006C6CB4"/>
    <w:rsid w:val="006C6EA6"/>
    <w:rsid w:val="006C6F41"/>
    <w:rsid w:val="006C6F44"/>
    <w:rsid w:val="006C6FF1"/>
    <w:rsid w:val="006C6FF9"/>
    <w:rsid w:val="006C7009"/>
    <w:rsid w:val="006C70E5"/>
    <w:rsid w:val="006C70EA"/>
    <w:rsid w:val="006C713F"/>
    <w:rsid w:val="006C71A8"/>
    <w:rsid w:val="006C7212"/>
    <w:rsid w:val="006C72D2"/>
    <w:rsid w:val="006C7309"/>
    <w:rsid w:val="006C743C"/>
    <w:rsid w:val="006C7504"/>
    <w:rsid w:val="006C75A8"/>
    <w:rsid w:val="006C75A9"/>
    <w:rsid w:val="006C75DC"/>
    <w:rsid w:val="006C76CD"/>
    <w:rsid w:val="006C7702"/>
    <w:rsid w:val="006C7804"/>
    <w:rsid w:val="006C780C"/>
    <w:rsid w:val="006C78A6"/>
    <w:rsid w:val="006C7970"/>
    <w:rsid w:val="006C798F"/>
    <w:rsid w:val="006C7AEB"/>
    <w:rsid w:val="006C7BE4"/>
    <w:rsid w:val="006C7C29"/>
    <w:rsid w:val="006C7C46"/>
    <w:rsid w:val="006C7D12"/>
    <w:rsid w:val="006C7D1F"/>
    <w:rsid w:val="006C7DF1"/>
    <w:rsid w:val="006C7DFD"/>
    <w:rsid w:val="006C7ECC"/>
    <w:rsid w:val="006C7EF7"/>
    <w:rsid w:val="006C7F66"/>
    <w:rsid w:val="006C7FD2"/>
    <w:rsid w:val="006D0066"/>
    <w:rsid w:val="006D00C6"/>
    <w:rsid w:val="006D00CF"/>
    <w:rsid w:val="006D0188"/>
    <w:rsid w:val="006D0293"/>
    <w:rsid w:val="006D02D6"/>
    <w:rsid w:val="006D02D7"/>
    <w:rsid w:val="006D0410"/>
    <w:rsid w:val="006D0436"/>
    <w:rsid w:val="006D044D"/>
    <w:rsid w:val="006D05D8"/>
    <w:rsid w:val="006D0620"/>
    <w:rsid w:val="006D0636"/>
    <w:rsid w:val="006D0888"/>
    <w:rsid w:val="006D08DA"/>
    <w:rsid w:val="006D08E2"/>
    <w:rsid w:val="006D0961"/>
    <w:rsid w:val="006D0B22"/>
    <w:rsid w:val="006D0C9D"/>
    <w:rsid w:val="006D0CDD"/>
    <w:rsid w:val="006D0CDF"/>
    <w:rsid w:val="006D0D7A"/>
    <w:rsid w:val="006D0DCB"/>
    <w:rsid w:val="006D0E96"/>
    <w:rsid w:val="006D0EAE"/>
    <w:rsid w:val="006D0F19"/>
    <w:rsid w:val="006D0FFD"/>
    <w:rsid w:val="006D10B5"/>
    <w:rsid w:val="006D1101"/>
    <w:rsid w:val="006D126D"/>
    <w:rsid w:val="006D1288"/>
    <w:rsid w:val="006D12F7"/>
    <w:rsid w:val="006D1304"/>
    <w:rsid w:val="006D1314"/>
    <w:rsid w:val="006D13F0"/>
    <w:rsid w:val="006D1458"/>
    <w:rsid w:val="006D158B"/>
    <w:rsid w:val="006D15E5"/>
    <w:rsid w:val="006D16AE"/>
    <w:rsid w:val="006D17BF"/>
    <w:rsid w:val="006D17FD"/>
    <w:rsid w:val="006D1892"/>
    <w:rsid w:val="006D190F"/>
    <w:rsid w:val="006D1930"/>
    <w:rsid w:val="006D1A59"/>
    <w:rsid w:val="006D1AE2"/>
    <w:rsid w:val="006D1B05"/>
    <w:rsid w:val="006D1B32"/>
    <w:rsid w:val="006D1B58"/>
    <w:rsid w:val="006D1BB3"/>
    <w:rsid w:val="006D1BBB"/>
    <w:rsid w:val="006D1BD5"/>
    <w:rsid w:val="006D1BFF"/>
    <w:rsid w:val="006D1C37"/>
    <w:rsid w:val="006D1D06"/>
    <w:rsid w:val="006D1E2F"/>
    <w:rsid w:val="006D1E96"/>
    <w:rsid w:val="006D1F4D"/>
    <w:rsid w:val="006D1F6B"/>
    <w:rsid w:val="006D20E1"/>
    <w:rsid w:val="006D2211"/>
    <w:rsid w:val="006D229A"/>
    <w:rsid w:val="006D22B2"/>
    <w:rsid w:val="006D2403"/>
    <w:rsid w:val="006D241F"/>
    <w:rsid w:val="006D250F"/>
    <w:rsid w:val="006D2524"/>
    <w:rsid w:val="006D253A"/>
    <w:rsid w:val="006D2556"/>
    <w:rsid w:val="006D2560"/>
    <w:rsid w:val="006D25AF"/>
    <w:rsid w:val="006D2630"/>
    <w:rsid w:val="006D26AD"/>
    <w:rsid w:val="006D2735"/>
    <w:rsid w:val="006D2745"/>
    <w:rsid w:val="006D278C"/>
    <w:rsid w:val="006D2829"/>
    <w:rsid w:val="006D2898"/>
    <w:rsid w:val="006D28FA"/>
    <w:rsid w:val="006D2A0D"/>
    <w:rsid w:val="006D2A4A"/>
    <w:rsid w:val="006D2AA8"/>
    <w:rsid w:val="006D2F34"/>
    <w:rsid w:val="006D2F88"/>
    <w:rsid w:val="006D2FA3"/>
    <w:rsid w:val="006D2FC5"/>
    <w:rsid w:val="006D30A4"/>
    <w:rsid w:val="006D30E8"/>
    <w:rsid w:val="006D3168"/>
    <w:rsid w:val="006D31CE"/>
    <w:rsid w:val="006D3210"/>
    <w:rsid w:val="006D3371"/>
    <w:rsid w:val="006D337D"/>
    <w:rsid w:val="006D33A7"/>
    <w:rsid w:val="006D3424"/>
    <w:rsid w:val="006D3480"/>
    <w:rsid w:val="006D3481"/>
    <w:rsid w:val="006D3507"/>
    <w:rsid w:val="006D3620"/>
    <w:rsid w:val="006D3685"/>
    <w:rsid w:val="006D3696"/>
    <w:rsid w:val="006D36CF"/>
    <w:rsid w:val="006D3756"/>
    <w:rsid w:val="006D3779"/>
    <w:rsid w:val="006D38F9"/>
    <w:rsid w:val="006D39AD"/>
    <w:rsid w:val="006D3A9C"/>
    <w:rsid w:val="006D3AA2"/>
    <w:rsid w:val="006D3AE7"/>
    <w:rsid w:val="006D3BD9"/>
    <w:rsid w:val="006D3C95"/>
    <w:rsid w:val="006D3D98"/>
    <w:rsid w:val="006D3E2E"/>
    <w:rsid w:val="006D3F54"/>
    <w:rsid w:val="006D3F55"/>
    <w:rsid w:val="006D3F98"/>
    <w:rsid w:val="006D3FA7"/>
    <w:rsid w:val="006D3FBD"/>
    <w:rsid w:val="006D4058"/>
    <w:rsid w:val="006D4064"/>
    <w:rsid w:val="006D4219"/>
    <w:rsid w:val="006D426F"/>
    <w:rsid w:val="006D4318"/>
    <w:rsid w:val="006D4440"/>
    <w:rsid w:val="006D44D5"/>
    <w:rsid w:val="006D4603"/>
    <w:rsid w:val="006D463A"/>
    <w:rsid w:val="006D4661"/>
    <w:rsid w:val="006D479D"/>
    <w:rsid w:val="006D480D"/>
    <w:rsid w:val="006D483C"/>
    <w:rsid w:val="006D48A7"/>
    <w:rsid w:val="006D4A69"/>
    <w:rsid w:val="006D4B7D"/>
    <w:rsid w:val="006D4BD4"/>
    <w:rsid w:val="006D4CB5"/>
    <w:rsid w:val="006D4D01"/>
    <w:rsid w:val="006D4F70"/>
    <w:rsid w:val="006D4F86"/>
    <w:rsid w:val="006D5057"/>
    <w:rsid w:val="006D51B2"/>
    <w:rsid w:val="006D51B9"/>
    <w:rsid w:val="006D51D9"/>
    <w:rsid w:val="006D51F6"/>
    <w:rsid w:val="006D5400"/>
    <w:rsid w:val="006D5449"/>
    <w:rsid w:val="006D546F"/>
    <w:rsid w:val="006D54A2"/>
    <w:rsid w:val="006D5565"/>
    <w:rsid w:val="006D558A"/>
    <w:rsid w:val="006D55A9"/>
    <w:rsid w:val="006D55BB"/>
    <w:rsid w:val="006D56A3"/>
    <w:rsid w:val="006D580F"/>
    <w:rsid w:val="006D58DF"/>
    <w:rsid w:val="006D5A25"/>
    <w:rsid w:val="006D5A2C"/>
    <w:rsid w:val="006D5A82"/>
    <w:rsid w:val="006D5B1B"/>
    <w:rsid w:val="006D5B35"/>
    <w:rsid w:val="006D5BAA"/>
    <w:rsid w:val="006D5C23"/>
    <w:rsid w:val="006D5D3D"/>
    <w:rsid w:val="006D5D46"/>
    <w:rsid w:val="006D5DB2"/>
    <w:rsid w:val="006D5DC2"/>
    <w:rsid w:val="006D5E25"/>
    <w:rsid w:val="006D5E88"/>
    <w:rsid w:val="006D5EDA"/>
    <w:rsid w:val="006D5EF3"/>
    <w:rsid w:val="006D5F95"/>
    <w:rsid w:val="006D600F"/>
    <w:rsid w:val="006D60A1"/>
    <w:rsid w:val="006D60B9"/>
    <w:rsid w:val="006D60D5"/>
    <w:rsid w:val="006D60E6"/>
    <w:rsid w:val="006D614A"/>
    <w:rsid w:val="006D6189"/>
    <w:rsid w:val="006D61FE"/>
    <w:rsid w:val="006D6203"/>
    <w:rsid w:val="006D6228"/>
    <w:rsid w:val="006D62A2"/>
    <w:rsid w:val="006D6332"/>
    <w:rsid w:val="006D6389"/>
    <w:rsid w:val="006D642E"/>
    <w:rsid w:val="006D654F"/>
    <w:rsid w:val="006D6584"/>
    <w:rsid w:val="006D6597"/>
    <w:rsid w:val="006D6717"/>
    <w:rsid w:val="006D672D"/>
    <w:rsid w:val="006D677F"/>
    <w:rsid w:val="006D67F4"/>
    <w:rsid w:val="006D683E"/>
    <w:rsid w:val="006D6852"/>
    <w:rsid w:val="006D68D4"/>
    <w:rsid w:val="006D6982"/>
    <w:rsid w:val="006D6A26"/>
    <w:rsid w:val="006D6A6E"/>
    <w:rsid w:val="006D6B03"/>
    <w:rsid w:val="006D6B23"/>
    <w:rsid w:val="006D6B98"/>
    <w:rsid w:val="006D6BE1"/>
    <w:rsid w:val="006D6C55"/>
    <w:rsid w:val="006D6CF0"/>
    <w:rsid w:val="006D6E13"/>
    <w:rsid w:val="006D6E87"/>
    <w:rsid w:val="006D6FD6"/>
    <w:rsid w:val="006D6FEA"/>
    <w:rsid w:val="006D7051"/>
    <w:rsid w:val="006D70B9"/>
    <w:rsid w:val="006D70CC"/>
    <w:rsid w:val="006D70D2"/>
    <w:rsid w:val="006D71EF"/>
    <w:rsid w:val="006D71FF"/>
    <w:rsid w:val="006D7216"/>
    <w:rsid w:val="006D725B"/>
    <w:rsid w:val="006D72B7"/>
    <w:rsid w:val="006D7375"/>
    <w:rsid w:val="006D7411"/>
    <w:rsid w:val="006D744D"/>
    <w:rsid w:val="006D7463"/>
    <w:rsid w:val="006D7507"/>
    <w:rsid w:val="006D7559"/>
    <w:rsid w:val="006D756A"/>
    <w:rsid w:val="006D771B"/>
    <w:rsid w:val="006D7754"/>
    <w:rsid w:val="006D7B3A"/>
    <w:rsid w:val="006D7BFC"/>
    <w:rsid w:val="006D7C24"/>
    <w:rsid w:val="006D7D1B"/>
    <w:rsid w:val="006D7D25"/>
    <w:rsid w:val="006D7D82"/>
    <w:rsid w:val="006D7F8E"/>
    <w:rsid w:val="006E0011"/>
    <w:rsid w:val="006E0022"/>
    <w:rsid w:val="006E0038"/>
    <w:rsid w:val="006E006D"/>
    <w:rsid w:val="006E0094"/>
    <w:rsid w:val="006E00A8"/>
    <w:rsid w:val="006E00F6"/>
    <w:rsid w:val="006E0114"/>
    <w:rsid w:val="006E0127"/>
    <w:rsid w:val="006E0144"/>
    <w:rsid w:val="006E01D3"/>
    <w:rsid w:val="006E0232"/>
    <w:rsid w:val="006E023A"/>
    <w:rsid w:val="006E037C"/>
    <w:rsid w:val="006E03B2"/>
    <w:rsid w:val="006E0518"/>
    <w:rsid w:val="006E0614"/>
    <w:rsid w:val="006E0632"/>
    <w:rsid w:val="006E064B"/>
    <w:rsid w:val="006E0665"/>
    <w:rsid w:val="006E067B"/>
    <w:rsid w:val="006E06A2"/>
    <w:rsid w:val="006E07CD"/>
    <w:rsid w:val="006E080A"/>
    <w:rsid w:val="006E090E"/>
    <w:rsid w:val="006E0A0A"/>
    <w:rsid w:val="006E0B36"/>
    <w:rsid w:val="006E0B46"/>
    <w:rsid w:val="006E0BD9"/>
    <w:rsid w:val="006E0BED"/>
    <w:rsid w:val="006E0C27"/>
    <w:rsid w:val="006E0F7E"/>
    <w:rsid w:val="006E105D"/>
    <w:rsid w:val="006E10E6"/>
    <w:rsid w:val="006E124A"/>
    <w:rsid w:val="006E12D0"/>
    <w:rsid w:val="006E13E5"/>
    <w:rsid w:val="006E142A"/>
    <w:rsid w:val="006E1581"/>
    <w:rsid w:val="006E16C6"/>
    <w:rsid w:val="006E171C"/>
    <w:rsid w:val="006E17AC"/>
    <w:rsid w:val="006E18ED"/>
    <w:rsid w:val="006E190F"/>
    <w:rsid w:val="006E1A7D"/>
    <w:rsid w:val="006E1AD4"/>
    <w:rsid w:val="006E1AF8"/>
    <w:rsid w:val="006E1B4D"/>
    <w:rsid w:val="006E1BC5"/>
    <w:rsid w:val="006E1BF5"/>
    <w:rsid w:val="006E1D1B"/>
    <w:rsid w:val="006E1DC3"/>
    <w:rsid w:val="006E1DEA"/>
    <w:rsid w:val="006E1E4D"/>
    <w:rsid w:val="006E1EC5"/>
    <w:rsid w:val="006E1FEC"/>
    <w:rsid w:val="006E20EF"/>
    <w:rsid w:val="006E2102"/>
    <w:rsid w:val="006E2227"/>
    <w:rsid w:val="006E2295"/>
    <w:rsid w:val="006E22F9"/>
    <w:rsid w:val="006E2338"/>
    <w:rsid w:val="006E23B2"/>
    <w:rsid w:val="006E2405"/>
    <w:rsid w:val="006E2444"/>
    <w:rsid w:val="006E2475"/>
    <w:rsid w:val="006E2501"/>
    <w:rsid w:val="006E26CA"/>
    <w:rsid w:val="006E2743"/>
    <w:rsid w:val="006E2886"/>
    <w:rsid w:val="006E289F"/>
    <w:rsid w:val="006E28BF"/>
    <w:rsid w:val="006E28D2"/>
    <w:rsid w:val="006E2950"/>
    <w:rsid w:val="006E29BD"/>
    <w:rsid w:val="006E2A69"/>
    <w:rsid w:val="006E2D40"/>
    <w:rsid w:val="006E2E0E"/>
    <w:rsid w:val="006E2E55"/>
    <w:rsid w:val="006E2EF6"/>
    <w:rsid w:val="006E2EF9"/>
    <w:rsid w:val="006E2F54"/>
    <w:rsid w:val="006E309C"/>
    <w:rsid w:val="006E312A"/>
    <w:rsid w:val="006E3157"/>
    <w:rsid w:val="006E31BA"/>
    <w:rsid w:val="006E3221"/>
    <w:rsid w:val="006E32B4"/>
    <w:rsid w:val="006E3500"/>
    <w:rsid w:val="006E3590"/>
    <w:rsid w:val="006E367A"/>
    <w:rsid w:val="006E371E"/>
    <w:rsid w:val="006E38D1"/>
    <w:rsid w:val="006E398C"/>
    <w:rsid w:val="006E39B6"/>
    <w:rsid w:val="006E39D3"/>
    <w:rsid w:val="006E3AD4"/>
    <w:rsid w:val="006E3AFB"/>
    <w:rsid w:val="006E3B96"/>
    <w:rsid w:val="006E3D79"/>
    <w:rsid w:val="006E3DA6"/>
    <w:rsid w:val="006E3EE6"/>
    <w:rsid w:val="006E3F3B"/>
    <w:rsid w:val="006E3F61"/>
    <w:rsid w:val="006E3FFF"/>
    <w:rsid w:val="006E4122"/>
    <w:rsid w:val="006E412D"/>
    <w:rsid w:val="006E41D0"/>
    <w:rsid w:val="006E4270"/>
    <w:rsid w:val="006E42D9"/>
    <w:rsid w:val="006E4325"/>
    <w:rsid w:val="006E4537"/>
    <w:rsid w:val="006E4621"/>
    <w:rsid w:val="006E4693"/>
    <w:rsid w:val="006E4740"/>
    <w:rsid w:val="006E4812"/>
    <w:rsid w:val="006E4882"/>
    <w:rsid w:val="006E48CB"/>
    <w:rsid w:val="006E4AB8"/>
    <w:rsid w:val="006E4AE2"/>
    <w:rsid w:val="006E4B40"/>
    <w:rsid w:val="006E4C35"/>
    <w:rsid w:val="006E4CCA"/>
    <w:rsid w:val="006E4CF0"/>
    <w:rsid w:val="006E4D13"/>
    <w:rsid w:val="006E4D1D"/>
    <w:rsid w:val="006E4D50"/>
    <w:rsid w:val="006E4E1E"/>
    <w:rsid w:val="006E4EB6"/>
    <w:rsid w:val="006E4F95"/>
    <w:rsid w:val="006E4FE7"/>
    <w:rsid w:val="006E508C"/>
    <w:rsid w:val="006E5223"/>
    <w:rsid w:val="006E525E"/>
    <w:rsid w:val="006E52CD"/>
    <w:rsid w:val="006E5348"/>
    <w:rsid w:val="006E535C"/>
    <w:rsid w:val="006E541B"/>
    <w:rsid w:val="006E5699"/>
    <w:rsid w:val="006E57C2"/>
    <w:rsid w:val="006E5870"/>
    <w:rsid w:val="006E58A7"/>
    <w:rsid w:val="006E58BE"/>
    <w:rsid w:val="006E595C"/>
    <w:rsid w:val="006E59F5"/>
    <w:rsid w:val="006E5A53"/>
    <w:rsid w:val="006E5AAD"/>
    <w:rsid w:val="006E5B1D"/>
    <w:rsid w:val="006E5BB9"/>
    <w:rsid w:val="006E5EAE"/>
    <w:rsid w:val="006E5FEC"/>
    <w:rsid w:val="006E60B2"/>
    <w:rsid w:val="006E6226"/>
    <w:rsid w:val="006E63FE"/>
    <w:rsid w:val="006E6418"/>
    <w:rsid w:val="006E644C"/>
    <w:rsid w:val="006E6503"/>
    <w:rsid w:val="006E6530"/>
    <w:rsid w:val="006E65F7"/>
    <w:rsid w:val="006E678C"/>
    <w:rsid w:val="006E6856"/>
    <w:rsid w:val="006E68BD"/>
    <w:rsid w:val="006E695E"/>
    <w:rsid w:val="006E6997"/>
    <w:rsid w:val="006E6A9C"/>
    <w:rsid w:val="006E6C68"/>
    <w:rsid w:val="006E6DBE"/>
    <w:rsid w:val="006E6DBF"/>
    <w:rsid w:val="006E6F14"/>
    <w:rsid w:val="006E6F43"/>
    <w:rsid w:val="006E6F68"/>
    <w:rsid w:val="006E703D"/>
    <w:rsid w:val="006E706D"/>
    <w:rsid w:val="006E70B2"/>
    <w:rsid w:val="006E70B7"/>
    <w:rsid w:val="006E7139"/>
    <w:rsid w:val="006E7199"/>
    <w:rsid w:val="006E71DD"/>
    <w:rsid w:val="006E71FF"/>
    <w:rsid w:val="006E7230"/>
    <w:rsid w:val="006E7313"/>
    <w:rsid w:val="006E735E"/>
    <w:rsid w:val="006E7416"/>
    <w:rsid w:val="006E754D"/>
    <w:rsid w:val="006E75F6"/>
    <w:rsid w:val="006E7A13"/>
    <w:rsid w:val="006E7B00"/>
    <w:rsid w:val="006E7B3A"/>
    <w:rsid w:val="006E7D5B"/>
    <w:rsid w:val="006E7D74"/>
    <w:rsid w:val="006E7DA7"/>
    <w:rsid w:val="006E7E0A"/>
    <w:rsid w:val="006E7E13"/>
    <w:rsid w:val="006E7ED3"/>
    <w:rsid w:val="006E7F16"/>
    <w:rsid w:val="006E7F7B"/>
    <w:rsid w:val="006E7FBB"/>
    <w:rsid w:val="006EDDAC"/>
    <w:rsid w:val="006F0032"/>
    <w:rsid w:val="006F0042"/>
    <w:rsid w:val="006F007C"/>
    <w:rsid w:val="006F00F5"/>
    <w:rsid w:val="006F01C6"/>
    <w:rsid w:val="006F0224"/>
    <w:rsid w:val="006F028C"/>
    <w:rsid w:val="006F0422"/>
    <w:rsid w:val="006F043C"/>
    <w:rsid w:val="006F04B0"/>
    <w:rsid w:val="006F051C"/>
    <w:rsid w:val="006F069E"/>
    <w:rsid w:val="006F06CC"/>
    <w:rsid w:val="006F07F9"/>
    <w:rsid w:val="006F0872"/>
    <w:rsid w:val="006F08C9"/>
    <w:rsid w:val="006F09E0"/>
    <w:rsid w:val="006F0A25"/>
    <w:rsid w:val="006F0A39"/>
    <w:rsid w:val="006F0AA9"/>
    <w:rsid w:val="006F0B6D"/>
    <w:rsid w:val="006F0CF1"/>
    <w:rsid w:val="006F0CFC"/>
    <w:rsid w:val="006F0E38"/>
    <w:rsid w:val="006F0EF5"/>
    <w:rsid w:val="006F10C8"/>
    <w:rsid w:val="006F1143"/>
    <w:rsid w:val="006F1146"/>
    <w:rsid w:val="006F11E1"/>
    <w:rsid w:val="006F11EF"/>
    <w:rsid w:val="006F121E"/>
    <w:rsid w:val="006F1292"/>
    <w:rsid w:val="006F1325"/>
    <w:rsid w:val="006F138C"/>
    <w:rsid w:val="006F14DA"/>
    <w:rsid w:val="006F159C"/>
    <w:rsid w:val="006F15B2"/>
    <w:rsid w:val="006F15C9"/>
    <w:rsid w:val="006F16D4"/>
    <w:rsid w:val="006F17C1"/>
    <w:rsid w:val="006F182E"/>
    <w:rsid w:val="006F185F"/>
    <w:rsid w:val="006F18A9"/>
    <w:rsid w:val="006F18F2"/>
    <w:rsid w:val="006F19B3"/>
    <w:rsid w:val="006F19C7"/>
    <w:rsid w:val="006F1A6A"/>
    <w:rsid w:val="006F1B17"/>
    <w:rsid w:val="006F1BC4"/>
    <w:rsid w:val="006F1CAD"/>
    <w:rsid w:val="006F1D2E"/>
    <w:rsid w:val="006F1D3B"/>
    <w:rsid w:val="006F1DB3"/>
    <w:rsid w:val="006F1E22"/>
    <w:rsid w:val="006F1E6C"/>
    <w:rsid w:val="006F1EC7"/>
    <w:rsid w:val="006F2177"/>
    <w:rsid w:val="006F2253"/>
    <w:rsid w:val="006F2267"/>
    <w:rsid w:val="006F2312"/>
    <w:rsid w:val="006F2408"/>
    <w:rsid w:val="006F25C3"/>
    <w:rsid w:val="006F2644"/>
    <w:rsid w:val="006F276E"/>
    <w:rsid w:val="006F2771"/>
    <w:rsid w:val="006F2800"/>
    <w:rsid w:val="006F2810"/>
    <w:rsid w:val="006F2814"/>
    <w:rsid w:val="006F2873"/>
    <w:rsid w:val="006F295B"/>
    <w:rsid w:val="006F29FA"/>
    <w:rsid w:val="006F2A8E"/>
    <w:rsid w:val="006F2ACB"/>
    <w:rsid w:val="006F2B08"/>
    <w:rsid w:val="006F2B16"/>
    <w:rsid w:val="006F2B3A"/>
    <w:rsid w:val="006F2B45"/>
    <w:rsid w:val="006F2B99"/>
    <w:rsid w:val="006F2BCE"/>
    <w:rsid w:val="006F2BD7"/>
    <w:rsid w:val="006F2C5C"/>
    <w:rsid w:val="006F2CDC"/>
    <w:rsid w:val="006F2D54"/>
    <w:rsid w:val="006F2D5A"/>
    <w:rsid w:val="006F2D87"/>
    <w:rsid w:val="006F2E04"/>
    <w:rsid w:val="006F2E2D"/>
    <w:rsid w:val="006F2F41"/>
    <w:rsid w:val="006F2FC2"/>
    <w:rsid w:val="006F2FFF"/>
    <w:rsid w:val="006F302E"/>
    <w:rsid w:val="006F307A"/>
    <w:rsid w:val="006F3085"/>
    <w:rsid w:val="006F3153"/>
    <w:rsid w:val="006F3154"/>
    <w:rsid w:val="006F3175"/>
    <w:rsid w:val="006F31F3"/>
    <w:rsid w:val="006F320D"/>
    <w:rsid w:val="006F32F7"/>
    <w:rsid w:val="006F3307"/>
    <w:rsid w:val="006F3370"/>
    <w:rsid w:val="006F3431"/>
    <w:rsid w:val="006F3506"/>
    <w:rsid w:val="006F3589"/>
    <w:rsid w:val="006F35C3"/>
    <w:rsid w:val="006F3611"/>
    <w:rsid w:val="006F364E"/>
    <w:rsid w:val="006F36ED"/>
    <w:rsid w:val="006F3759"/>
    <w:rsid w:val="006F3778"/>
    <w:rsid w:val="006F3791"/>
    <w:rsid w:val="006F388A"/>
    <w:rsid w:val="006F399A"/>
    <w:rsid w:val="006F39B6"/>
    <w:rsid w:val="006F3A30"/>
    <w:rsid w:val="006F3C39"/>
    <w:rsid w:val="006F3CB9"/>
    <w:rsid w:val="006F3CEC"/>
    <w:rsid w:val="006F3E4E"/>
    <w:rsid w:val="006F3E52"/>
    <w:rsid w:val="006F3F29"/>
    <w:rsid w:val="006F40AB"/>
    <w:rsid w:val="006F4120"/>
    <w:rsid w:val="006F4130"/>
    <w:rsid w:val="006F4297"/>
    <w:rsid w:val="006F42A4"/>
    <w:rsid w:val="006F43B9"/>
    <w:rsid w:val="006F4427"/>
    <w:rsid w:val="006F44B0"/>
    <w:rsid w:val="006F44F7"/>
    <w:rsid w:val="006F47B2"/>
    <w:rsid w:val="006F480B"/>
    <w:rsid w:val="006F48F0"/>
    <w:rsid w:val="006F4915"/>
    <w:rsid w:val="006F49E9"/>
    <w:rsid w:val="006F4B7C"/>
    <w:rsid w:val="006F4F4C"/>
    <w:rsid w:val="006F503B"/>
    <w:rsid w:val="006F5098"/>
    <w:rsid w:val="006F50C2"/>
    <w:rsid w:val="006F517A"/>
    <w:rsid w:val="006F520A"/>
    <w:rsid w:val="006F53D7"/>
    <w:rsid w:val="006F55C3"/>
    <w:rsid w:val="006F55D6"/>
    <w:rsid w:val="006F58D1"/>
    <w:rsid w:val="006F5904"/>
    <w:rsid w:val="006F5936"/>
    <w:rsid w:val="006F5949"/>
    <w:rsid w:val="006F5A58"/>
    <w:rsid w:val="006F5A72"/>
    <w:rsid w:val="006F5AB1"/>
    <w:rsid w:val="006F5AB5"/>
    <w:rsid w:val="006F5B27"/>
    <w:rsid w:val="006F5B37"/>
    <w:rsid w:val="006F5C11"/>
    <w:rsid w:val="006F5D49"/>
    <w:rsid w:val="006F5DB1"/>
    <w:rsid w:val="006F5DCD"/>
    <w:rsid w:val="006F5EA4"/>
    <w:rsid w:val="006F5ED2"/>
    <w:rsid w:val="006F6156"/>
    <w:rsid w:val="006F6192"/>
    <w:rsid w:val="006F629C"/>
    <w:rsid w:val="006F62C8"/>
    <w:rsid w:val="006F639B"/>
    <w:rsid w:val="006F639C"/>
    <w:rsid w:val="006F6495"/>
    <w:rsid w:val="006F64CA"/>
    <w:rsid w:val="006F6584"/>
    <w:rsid w:val="006F65AB"/>
    <w:rsid w:val="006F665F"/>
    <w:rsid w:val="006F6797"/>
    <w:rsid w:val="006F67BA"/>
    <w:rsid w:val="006F67DE"/>
    <w:rsid w:val="006F680F"/>
    <w:rsid w:val="006F686B"/>
    <w:rsid w:val="006F6883"/>
    <w:rsid w:val="006F68BB"/>
    <w:rsid w:val="006F68CD"/>
    <w:rsid w:val="006F6927"/>
    <w:rsid w:val="006F6AC8"/>
    <w:rsid w:val="006F6B5D"/>
    <w:rsid w:val="006F6B65"/>
    <w:rsid w:val="006F6BA9"/>
    <w:rsid w:val="006F6DAC"/>
    <w:rsid w:val="006F6DB1"/>
    <w:rsid w:val="006F6E09"/>
    <w:rsid w:val="006F6E4A"/>
    <w:rsid w:val="006F6F46"/>
    <w:rsid w:val="006F6F51"/>
    <w:rsid w:val="006F6FD8"/>
    <w:rsid w:val="006F701B"/>
    <w:rsid w:val="006F7115"/>
    <w:rsid w:val="006F711C"/>
    <w:rsid w:val="006F7160"/>
    <w:rsid w:val="006F719C"/>
    <w:rsid w:val="006F7206"/>
    <w:rsid w:val="006F7282"/>
    <w:rsid w:val="006F73DA"/>
    <w:rsid w:val="006F746E"/>
    <w:rsid w:val="006F786D"/>
    <w:rsid w:val="006F7983"/>
    <w:rsid w:val="006F79BB"/>
    <w:rsid w:val="006F7A75"/>
    <w:rsid w:val="006F7A8D"/>
    <w:rsid w:val="006F7B43"/>
    <w:rsid w:val="006F7BB9"/>
    <w:rsid w:val="006F7D76"/>
    <w:rsid w:val="006F7D87"/>
    <w:rsid w:val="006F7DCF"/>
    <w:rsid w:val="006F7E6E"/>
    <w:rsid w:val="006F7F88"/>
    <w:rsid w:val="006F7FF7"/>
    <w:rsid w:val="00700066"/>
    <w:rsid w:val="007000DB"/>
    <w:rsid w:val="007001C7"/>
    <w:rsid w:val="007003E7"/>
    <w:rsid w:val="007003FF"/>
    <w:rsid w:val="007005A4"/>
    <w:rsid w:val="007005A9"/>
    <w:rsid w:val="00700639"/>
    <w:rsid w:val="00700726"/>
    <w:rsid w:val="0070078F"/>
    <w:rsid w:val="007007E6"/>
    <w:rsid w:val="0070081B"/>
    <w:rsid w:val="0070084D"/>
    <w:rsid w:val="0070087A"/>
    <w:rsid w:val="0070087C"/>
    <w:rsid w:val="007008BA"/>
    <w:rsid w:val="007008E3"/>
    <w:rsid w:val="00700918"/>
    <w:rsid w:val="0070094B"/>
    <w:rsid w:val="007009A3"/>
    <w:rsid w:val="007009E5"/>
    <w:rsid w:val="00700A22"/>
    <w:rsid w:val="00700B15"/>
    <w:rsid w:val="00700C7A"/>
    <w:rsid w:val="00700D54"/>
    <w:rsid w:val="00700DA0"/>
    <w:rsid w:val="00700E20"/>
    <w:rsid w:val="00700EAD"/>
    <w:rsid w:val="00700FFD"/>
    <w:rsid w:val="0070119E"/>
    <w:rsid w:val="0070128D"/>
    <w:rsid w:val="00701298"/>
    <w:rsid w:val="0070129D"/>
    <w:rsid w:val="007012A6"/>
    <w:rsid w:val="007013D5"/>
    <w:rsid w:val="007013D8"/>
    <w:rsid w:val="00701404"/>
    <w:rsid w:val="00701425"/>
    <w:rsid w:val="007014C1"/>
    <w:rsid w:val="0070155B"/>
    <w:rsid w:val="00701598"/>
    <w:rsid w:val="007015B5"/>
    <w:rsid w:val="007015F1"/>
    <w:rsid w:val="0070164E"/>
    <w:rsid w:val="0070169E"/>
    <w:rsid w:val="007016A8"/>
    <w:rsid w:val="007016F5"/>
    <w:rsid w:val="00701715"/>
    <w:rsid w:val="0070184D"/>
    <w:rsid w:val="00701857"/>
    <w:rsid w:val="00701882"/>
    <w:rsid w:val="007018E2"/>
    <w:rsid w:val="00701922"/>
    <w:rsid w:val="00701929"/>
    <w:rsid w:val="007019D2"/>
    <w:rsid w:val="00701A29"/>
    <w:rsid w:val="00701ABE"/>
    <w:rsid w:val="00701ADF"/>
    <w:rsid w:val="00701B4A"/>
    <w:rsid w:val="00701C4F"/>
    <w:rsid w:val="00702013"/>
    <w:rsid w:val="007020B4"/>
    <w:rsid w:val="00702176"/>
    <w:rsid w:val="00702183"/>
    <w:rsid w:val="007022BE"/>
    <w:rsid w:val="007023C1"/>
    <w:rsid w:val="007023C7"/>
    <w:rsid w:val="0070255E"/>
    <w:rsid w:val="007025AD"/>
    <w:rsid w:val="007025FF"/>
    <w:rsid w:val="0070262F"/>
    <w:rsid w:val="0070267B"/>
    <w:rsid w:val="00702750"/>
    <w:rsid w:val="00702868"/>
    <w:rsid w:val="00702901"/>
    <w:rsid w:val="00702902"/>
    <w:rsid w:val="00702948"/>
    <w:rsid w:val="00702AF6"/>
    <w:rsid w:val="00702B8B"/>
    <w:rsid w:val="00702C44"/>
    <w:rsid w:val="00702C95"/>
    <w:rsid w:val="00702C9C"/>
    <w:rsid w:val="00702CAD"/>
    <w:rsid w:val="00702CE0"/>
    <w:rsid w:val="00702CE5"/>
    <w:rsid w:val="00702CE8"/>
    <w:rsid w:val="00702D06"/>
    <w:rsid w:val="00702E23"/>
    <w:rsid w:val="00702E64"/>
    <w:rsid w:val="00702EDB"/>
    <w:rsid w:val="0070302C"/>
    <w:rsid w:val="007030F5"/>
    <w:rsid w:val="007032DB"/>
    <w:rsid w:val="007032EA"/>
    <w:rsid w:val="00703366"/>
    <w:rsid w:val="0070343A"/>
    <w:rsid w:val="0070347B"/>
    <w:rsid w:val="007035FC"/>
    <w:rsid w:val="007035FE"/>
    <w:rsid w:val="0070361E"/>
    <w:rsid w:val="00703666"/>
    <w:rsid w:val="0070367D"/>
    <w:rsid w:val="007037F3"/>
    <w:rsid w:val="0070383E"/>
    <w:rsid w:val="00703852"/>
    <w:rsid w:val="00703877"/>
    <w:rsid w:val="0070388B"/>
    <w:rsid w:val="007038D8"/>
    <w:rsid w:val="007038E1"/>
    <w:rsid w:val="0070394A"/>
    <w:rsid w:val="00703954"/>
    <w:rsid w:val="00703988"/>
    <w:rsid w:val="00703A90"/>
    <w:rsid w:val="00703B5C"/>
    <w:rsid w:val="00703B70"/>
    <w:rsid w:val="00703BB8"/>
    <w:rsid w:val="00703C13"/>
    <w:rsid w:val="00703C71"/>
    <w:rsid w:val="00703C78"/>
    <w:rsid w:val="00703E44"/>
    <w:rsid w:val="00703EDD"/>
    <w:rsid w:val="00703F37"/>
    <w:rsid w:val="00703FAF"/>
    <w:rsid w:val="0070409E"/>
    <w:rsid w:val="007040F4"/>
    <w:rsid w:val="0070411C"/>
    <w:rsid w:val="007041CC"/>
    <w:rsid w:val="007042C0"/>
    <w:rsid w:val="007042FA"/>
    <w:rsid w:val="007044DC"/>
    <w:rsid w:val="00704547"/>
    <w:rsid w:val="0070464B"/>
    <w:rsid w:val="007046A2"/>
    <w:rsid w:val="00704770"/>
    <w:rsid w:val="0070485D"/>
    <w:rsid w:val="00704A39"/>
    <w:rsid w:val="00704AA8"/>
    <w:rsid w:val="00704D63"/>
    <w:rsid w:val="00704DB0"/>
    <w:rsid w:val="00704DC0"/>
    <w:rsid w:val="00704DE8"/>
    <w:rsid w:val="00704E7B"/>
    <w:rsid w:val="00705048"/>
    <w:rsid w:val="007050A5"/>
    <w:rsid w:val="007050D1"/>
    <w:rsid w:val="00705308"/>
    <w:rsid w:val="00705410"/>
    <w:rsid w:val="00705412"/>
    <w:rsid w:val="00705504"/>
    <w:rsid w:val="00705649"/>
    <w:rsid w:val="007056AA"/>
    <w:rsid w:val="007056AC"/>
    <w:rsid w:val="007056E1"/>
    <w:rsid w:val="007057AB"/>
    <w:rsid w:val="007057BC"/>
    <w:rsid w:val="00705830"/>
    <w:rsid w:val="0070583D"/>
    <w:rsid w:val="007058BF"/>
    <w:rsid w:val="00705907"/>
    <w:rsid w:val="0070595B"/>
    <w:rsid w:val="007059EA"/>
    <w:rsid w:val="00705B45"/>
    <w:rsid w:val="00705B8C"/>
    <w:rsid w:val="00705BC0"/>
    <w:rsid w:val="00705BD9"/>
    <w:rsid w:val="00705C13"/>
    <w:rsid w:val="00705C29"/>
    <w:rsid w:val="00705CC9"/>
    <w:rsid w:val="00705CD1"/>
    <w:rsid w:val="00705D00"/>
    <w:rsid w:val="00705E1F"/>
    <w:rsid w:val="00705E65"/>
    <w:rsid w:val="00705EFF"/>
    <w:rsid w:val="00705F3C"/>
    <w:rsid w:val="00705FA8"/>
    <w:rsid w:val="00705FD1"/>
    <w:rsid w:val="0070602D"/>
    <w:rsid w:val="00706066"/>
    <w:rsid w:val="00706106"/>
    <w:rsid w:val="00706150"/>
    <w:rsid w:val="00706186"/>
    <w:rsid w:val="00706241"/>
    <w:rsid w:val="007062B9"/>
    <w:rsid w:val="0070630E"/>
    <w:rsid w:val="0070639D"/>
    <w:rsid w:val="00706458"/>
    <w:rsid w:val="0070648A"/>
    <w:rsid w:val="007065E0"/>
    <w:rsid w:val="0070672F"/>
    <w:rsid w:val="0070674C"/>
    <w:rsid w:val="00706778"/>
    <w:rsid w:val="00706848"/>
    <w:rsid w:val="00706858"/>
    <w:rsid w:val="00706874"/>
    <w:rsid w:val="007068BC"/>
    <w:rsid w:val="007068DC"/>
    <w:rsid w:val="0070694D"/>
    <w:rsid w:val="00706AF9"/>
    <w:rsid w:val="00706B92"/>
    <w:rsid w:val="00706C08"/>
    <w:rsid w:val="00706CF1"/>
    <w:rsid w:val="00706D78"/>
    <w:rsid w:val="00706EE7"/>
    <w:rsid w:val="00707012"/>
    <w:rsid w:val="007070D8"/>
    <w:rsid w:val="00707199"/>
    <w:rsid w:val="0070732C"/>
    <w:rsid w:val="00707353"/>
    <w:rsid w:val="00707357"/>
    <w:rsid w:val="00707421"/>
    <w:rsid w:val="00707460"/>
    <w:rsid w:val="007074CB"/>
    <w:rsid w:val="00707505"/>
    <w:rsid w:val="007075B2"/>
    <w:rsid w:val="007075E5"/>
    <w:rsid w:val="0070762A"/>
    <w:rsid w:val="00707703"/>
    <w:rsid w:val="00707748"/>
    <w:rsid w:val="007079C8"/>
    <w:rsid w:val="00707B47"/>
    <w:rsid w:val="00707B96"/>
    <w:rsid w:val="00707B9A"/>
    <w:rsid w:val="00707BEC"/>
    <w:rsid w:val="00707CAC"/>
    <w:rsid w:val="00707D3B"/>
    <w:rsid w:val="00707DE2"/>
    <w:rsid w:val="00707DFB"/>
    <w:rsid w:val="00707E30"/>
    <w:rsid w:val="00707E6F"/>
    <w:rsid w:val="00707E9A"/>
    <w:rsid w:val="00707EAF"/>
    <w:rsid w:val="00707F17"/>
    <w:rsid w:val="00707F69"/>
    <w:rsid w:val="00707F9B"/>
    <w:rsid w:val="00710041"/>
    <w:rsid w:val="00710084"/>
    <w:rsid w:val="007101D4"/>
    <w:rsid w:val="00710203"/>
    <w:rsid w:val="00710251"/>
    <w:rsid w:val="0071025C"/>
    <w:rsid w:val="0071033C"/>
    <w:rsid w:val="00710370"/>
    <w:rsid w:val="00710510"/>
    <w:rsid w:val="00710564"/>
    <w:rsid w:val="00710645"/>
    <w:rsid w:val="0071067B"/>
    <w:rsid w:val="007106C6"/>
    <w:rsid w:val="0071080A"/>
    <w:rsid w:val="0071084C"/>
    <w:rsid w:val="00710868"/>
    <w:rsid w:val="007109CB"/>
    <w:rsid w:val="00710AF4"/>
    <w:rsid w:val="00710B29"/>
    <w:rsid w:val="00710B40"/>
    <w:rsid w:val="00710BA0"/>
    <w:rsid w:val="00710BB5"/>
    <w:rsid w:val="00710BDA"/>
    <w:rsid w:val="00710D51"/>
    <w:rsid w:val="00710E08"/>
    <w:rsid w:val="00710E09"/>
    <w:rsid w:val="00710E25"/>
    <w:rsid w:val="00710E59"/>
    <w:rsid w:val="007110CD"/>
    <w:rsid w:val="00711218"/>
    <w:rsid w:val="0071125B"/>
    <w:rsid w:val="00711342"/>
    <w:rsid w:val="007113B2"/>
    <w:rsid w:val="00711445"/>
    <w:rsid w:val="00711546"/>
    <w:rsid w:val="00711633"/>
    <w:rsid w:val="00711640"/>
    <w:rsid w:val="00711747"/>
    <w:rsid w:val="00711807"/>
    <w:rsid w:val="0071182C"/>
    <w:rsid w:val="00711997"/>
    <w:rsid w:val="007119B2"/>
    <w:rsid w:val="00711A47"/>
    <w:rsid w:val="00711AA8"/>
    <w:rsid w:val="00711ADA"/>
    <w:rsid w:val="00711F1C"/>
    <w:rsid w:val="00711FDA"/>
    <w:rsid w:val="0071203E"/>
    <w:rsid w:val="0071211B"/>
    <w:rsid w:val="007121A0"/>
    <w:rsid w:val="00712268"/>
    <w:rsid w:val="00712299"/>
    <w:rsid w:val="0071237C"/>
    <w:rsid w:val="007123EA"/>
    <w:rsid w:val="00712411"/>
    <w:rsid w:val="00712523"/>
    <w:rsid w:val="0071265D"/>
    <w:rsid w:val="0071276B"/>
    <w:rsid w:val="00712873"/>
    <w:rsid w:val="007129B1"/>
    <w:rsid w:val="00712A0D"/>
    <w:rsid w:val="00712A21"/>
    <w:rsid w:val="00712A27"/>
    <w:rsid w:val="00712A8B"/>
    <w:rsid w:val="00712A96"/>
    <w:rsid w:val="00712AC8"/>
    <w:rsid w:val="00712B14"/>
    <w:rsid w:val="00712C9C"/>
    <w:rsid w:val="00712CC0"/>
    <w:rsid w:val="00712CD9"/>
    <w:rsid w:val="00712E12"/>
    <w:rsid w:val="00712ECE"/>
    <w:rsid w:val="00712EE1"/>
    <w:rsid w:val="00712EF8"/>
    <w:rsid w:val="00712F13"/>
    <w:rsid w:val="00712F1C"/>
    <w:rsid w:val="00712F36"/>
    <w:rsid w:val="00712F6A"/>
    <w:rsid w:val="00712F8A"/>
    <w:rsid w:val="00712FCA"/>
    <w:rsid w:val="00712FDA"/>
    <w:rsid w:val="0071317B"/>
    <w:rsid w:val="007131C1"/>
    <w:rsid w:val="00713253"/>
    <w:rsid w:val="007132AD"/>
    <w:rsid w:val="0071335F"/>
    <w:rsid w:val="007133C3"/>
    <w:rsid w:val="00713430"/>
    <w:rsid w:val="00713524"/>
    <w:rsid w:val="00713582"/>
    <w:rsid w:val="007136B6"/>
    <w:rsid w:val="007137A7"/>
    <w:rsid w:val="007137FB"/>
    <w:rsid w:val="0071382D"/>
    <w:rsid w:val="0071384E"/>
    <w:rsid w:val="00713865"/>
    <w:rsid w:val="0071398C"/>
    <w:rsid w:val="007139D0"/>
    <w:rsid w:val="00713AFE"/>
    <w:rsid w:val="00713B65"/>
    <w:rsid w:val="00713B95"/>
    <w:rsid w:val="00713C3B"/>
    <w:rsid w:val="00713DA5"/>
    <w:rsid w:val="00713DD3"/>
    <w:rsid w:val="00713E24"/>
    <w:rsid w:val="00713ECB"/>
    <w:rsid w:val="0071406A"/>
    <w:rsid w:val="0071413C"/>
    <w:rsid w:val="007142C0"/>
    <w:rsid w:val="007143F3"/>
    <w:rsid w:val="0071446A"/>
    <w:rsid w:val="00714485"/>
    <w:rsid w:val="00714652"/>
    <w:rsid w:val="00714723"/>
    <w:rsid w:val="00714819"/>
    <w:rsid w:val="00714851"/>
    <w:rsid w:val="007148DF"/>
    <w:rsid w:val="00714A2A"/>
    <w:rsid w:val="00714B49"/>
    <w:rsid w:val="00714B7C"/>
    <w:rsid w:val="00714BB4"/>
    <w:rsid w:val="00714BFC"/>
    <w:rsid w:val="00714C22"/>
    <w:rsid w:val="00714D3F"/>
    <w:rsid w:val="00714D7D"/>
    <w:rsid w:val="00714D8E"/>
    <w:rsid w:val="00714DC5"/>
    <w:rsid w:val="00714DF3"/>
    <w:rsid w:val="00714ECE"/>
    <w:rsid w:val="00714F0C"/>
    <w:rsid w:val="00714F0F"/>
    <w:rsid w:val="007150BE"/>
    <w:rsid w:val="0071514F"/>
    <w:rsid w:val="0071528E"/>
    <w:rsid w:val="0071537C"/>
    <w:rsid w:val="0071555C"/>
    <w:rsid w:val="0071556C"/>
    <w:rsid w:val="007155C2"/>
    <w:rsid w:val="007155C8"/>
    <w:rsid w:val="007155D4"/>
    <w:rsid w:val="00715663"/>
    <w:rsid w:val="0071579D"/>
    <w:rsid w:val="007157A3"/>
    <w:rsid w:val="00715854"/>
    <w:rsid w:val="00715891"/>
    <w:rsid w:val="0071592F"/>
    <w:rsid w:val="007159F9"/>
    <w:rsid w:val="00715A23"/>
    <w:rsid w:val="00715AE0"/>
    <w:rsid w:val="00715AEF"/>
    <w:rsid w:val="00715B8C"/>
    <w:rsid w:val="00715DAB"/>
    <w:rsid w:val="00715E23"/>
    <w:rsid w:val="00715E63"/>
    <w:rsid w:val="00715F23"/>
    <w:rsid w:val="00715FDA"/>
    <w:rsid w:val="0071608E"/>
    <w:rsid w:val="007162CB"/>
    <w:rsid w:val="0071631B"/>
    <w:rsid w:val="0071636D"/>
    <w:rsid w:val="0071637F"/>
    <w:rsid w:val="00716493"/>
    <w:rsid w:val="00716563"/>
    <w:rsid w:val="007165D7"/>
    <w:rsid w:val="007166D3"/>
    <w:rsid w:val="00716795"/>
    <w:rsid w:val="0071693A"/>
    <w:rsid w:val="00716941"/>
    <w:rsid w:val="00716981"/>
    <w:rsid w:val="00716A68"/>
    <w:rsid w:val="00716C14"/>
    <w:rsid w:val="00716C68"/>
    <w:rsid w:val="00716CFC"/>
    <w:rsid w:val="00716D19"/>
    <w:rsid w:val="00716D67"/>
    <w:rsid w:val="00716D7E"/>
    <w:rsid w:val="00716F16"/>
    <w:rsid w:val="00716F6F"/>
    <w:rsid w:val="00717044"/>
    <w:rsid w:val="007170C4"/>
    <w:rsid w:val="00717196"/>
    <w:rsid w:val="007171A9"/>
    <w:rsid w:val="007171CD"/>
    <w:rsid w:val="007171ED"/>
    <w:rsid w:val="0071725A"/>
    <w:rsid w:val="007172B9"/>
    <w:rsid w:val="007172C0"/>
    <w:rsid w:val="00717323"/>
    <w:rsid w:val="00717360"/>
    <w:rsid w:val="007173AB"/>
    <w:rsid w:val="0071741C"/>
    <w:rsid w:val="007174CE"/>
    <w:rsid w:val="007175CD"/>
    <w:rsid w:val="00717618"/>
    <w:rsid w:val="00717625"/>
    <w:rsid w:val="007176AE"/>
    <w:rsid w:val="007177A4"/>
    <w:rsid w:val="00717805"/>
    <w:rsid w:val="00717819"/>
    <w:rsid w:val="0071787E"/>
    <w:rsid w:val="007178B6"/>
    <w:rsid w:val="007178D2"/>
    <w:rsid w:val="007178E4"/>
    <w:rsid w:val="00717A50"/>
    <w:rsid w:val="00717A9F"/>
    <w:rsid w:val="00717B9E"/>
    <w:rsid w:val="00717C00"/>
    <w:rsid w:val="00717C64"/>
    <w:rsid w:val="00717CFA"/>
    <w:rsid w:val="00717D1A"/>
    <w:rsid w:val="00717D26"/>
    <w:rsid w:val="00717D42"/>
    <w:rsid w:val="00717D45"/>
    <w:rsid w:val="00717DB3"/>
    <w:rsid w:val="00717E5E"/>
    <w:rsid w:val="00717E7B"/>
    <w:rsid w:val="00717F18"/>
    <w:rsid w:val="00717F9D"/>
    <w:rsid w:val="007203C0"/>
    <w:rsid w:val="007203D9"/>
    <w:rsid w:val="00720434"/>
    <w:rsid w:val="0072047E"/>
    <w:rsid w:val="00720516"/>
    <w:rsid w:val="00720535"/>
    <w:rsid w:val="007206E9"/>
    <w:rsid w:val="00720832"/>
    <w:rsid w:val="00720958"/>
    <w:rsid w:val="0072098F"/>
    <w:rsid w:val="007209B6"/>
    <w:rsid w:val="007209D8"/>
    <w:rsid w:val="00720A48"/>
    <w:rsid w:val="00720A86"/>
    <w:rsid w:val="00720B64"/>
    <w:rsid w:val="00720BD9"/>
    <w:rsid w:val="00720BDB"/>
    <w:rsid w:val="00720C0F"/>
    <w:rsid w:val="00720D71"/>
    <w:rsid w:val="00720E7D"/>
    <w:rsid w:val="00720F54"/>
    <w:rsid w:val="00721043"/>
    <w:rsid w:val="007212B5"/>
    <w:rsid w:val="00721300"/>
    <w:rsid w:val="00721304"/>
    <w:rsid w:val="0072135C"/>
    <w:rsid w:val="007213A4"/>
    <w:rsid w:val="00721416"/>
    <w:rsid w:val="007214AC"/>
    <w:rsid w:val="007214F2"/>
    <w:rsid w:val="00721545"/>
    <w:rsid w:val="007215C5"/>
    <w:rsid w:val="00721619"/>
    <w:rsid w:val="007216A6"/>
    <w:rsid w:val="007216D2"/>
    <w:rsid w:val="00721706"/>
    <w:rsid w:val="007217DA"/>
    <w:rsid w:val="00721981"/>
    <w:rsid w:val="00721A97"/>
    <w:rsid w:val="00721A9B"/>
    <w:rsid w:val="00721AF1"/>
    <w:rsid w:val="00721B4D"/>
    <w:rsid w:val="00721B93"/>
    <w:rsid w:val="00721CAA"/>
    <w:rsid w:val="00721DD9"/>
    <w:rsid w:val="00721E03"/>
    <w:rsid w:val="00721F6F"/>
    <w:rsid w:val="00722236"/>
    <w:rsid w:val="0072223D"/>
    <w:rsid w:val="0072224E"/>
    <w:rsid w:val="00722261"/>
    <w:rsid w:val="0072227F"/>
    <w:rsid w:val="00722310"/>
    <w:rsid w:val="0072236F"/>
    <w:rsid w:val="007223AB"/>
    <w:rsid w:val="00722471"/>
    <w:rsid w:val="007224F3"/>
    <w:rsid w:val="00722686"/>
    <w:rsid w:val="007226BE"/>
    <w:rsid w:val="0072271B"/>
    <w:rsid w:val="00722724"/>
    <w:rsid w:val="0072277B"/>
    <w:rsid w:val="007227A1"/>
    <w:rsid w:val="007227C6"/>
    <w:rsid w:val="007227EB"/>
    <w:rsid w:val="0072283A"/>
    <w:rsid w:val="0072292C"/>
    <w:rsid w:val="00722A5B"/>
    <w:rsid w:val="00722A5D"/>
    <w:rsid w:val="00722A66"/>
    <w:rsid w:val="00722A6A"/>
    <w:rsid w:val="00722B13"/>
    <w:rsid w:val="00722B59"/>
    <w:rsid w:val="00722BE6"/>
    <w:rsid w:val="00722DC9"/>
    <w:rsid w:val="00722E21"/>
    <w:rsid w:val="00722F23"/>
    <w:rsid w:val="00722FF3"/>
    <w:rsid w:val="0072302E"/>
    <w:rsid w:val="0072304A"/>
    <w:rsid w:val="00723087"/>
    <w:rsid w:val="00723146"/>
    <w:rsid w:val="00723147"/>
    <w:rsid w:val="0072322F"/>
    <w:rsid w:val="007234EA"/>
    <w:rsid w:val="00723502"/>
    <w:rsid w:val="00723576"/>
    <w:rsid w:val="007235D1"/>
    <w:rsid w:val="0072367A"/>
    <w:rsid w:val="007236BB"/>
    <w:rsid w:val="00723718"/>
    <w:rsid w:val="00723803"/>
    <w:rsid w:val="007238C8"/>
    <w:rsid w:val="0072390A"/>
    <w:rsid w:val="00723A03"/>
    <w:rsid w:val="00723A30"/>
    <w:rsid w:val="00723A8A"/>
    <w:rsid w:val="00723A95"/>
    <w:rsid w:val="00723AE0"/>
    <w:rsid w:val="00723B22"/>
    <w:rsid w:val="00723B67"/>
    <w:rsid w:val="00723C0B"/>
    <w:rsid w:val="00723C86"/>
    <w:rsid w:val="00723D49"/>
    <w:rsid w:val="00723DC1"/>
    <w:rsid w:val="00723DF7"/>
    <w:rsid w:val="00723E1C"/>
    <w:rsid w:val="00723E91"/>
    <w:rsid w:val="00723F35"/>
    <w:rsid w:val="00723F9C"/>
    <w:rsid w:val="00723FF8"/>
    <w:rsid w:val="0072402B"/>
    <w:rsid w:val="007240F9"/>
    <w:rsid w:val="0072418C"/>
    <w:rsid w:val="00724193"/>
    <w:rsid w:val="007242FE"/>
    <w:rsid w:val="00724339"/>
    <w:rsid w:val="0072433E"/>
    <w:rsid w:val="007243AB"/>
    <w:rsid w:val="007243C2"/>
    <w:rsid w:val="007244CA"/>
    <w:rsid w:val="00724555"/>
    <w:rsid w:val="00724745"/>
    <w:rsid w:val="007247E6"/>
    <w:rsid w:val="00724801"/>
    <w:rsid w:val="0072487C"/>
    <w:rsid w:val="007248A6"/>
    <w:rsid w:val="007248D6"/>
    <w:rsid w:val="007249DF"/>
    <w:rsid w:val="00724A9E"/>
    <w:rsid w:val="00724C1A"/>
    <w:rsid w:val="00724C3F"/>
    <w:rsid w:val="00724C5D"/>
    <w:rsid w:val="00724D19"/>
    <w:rsid w:val="00724D53"/>
    <w:rsid w:val="00724E19"/>
    <w:rsid w:val="00724E28"/>
    <w:rsid w:val="00724EA6"/>
    <w:rsid w:val="00724EDB"/>
    <w:rsid w:val="00724F5B"/>
    <w:rsid w:val="00725069"/>
    <w:rsid w:val="0072521F"/>
    <w:rsid w:val="00725251"/>
    <w:rsid w:val="00725288"/>
    <w:rsid w:val="0072529F"/>
    <w:rsid w:val="007252C3"/>
    <w:rsid w:val="0072531E"/>
    <w:rsid w:val="00725374"/>
    <w:rsid w:val="007253E1"/>
    <w:rsid w:val="00725411"/>
    <w:rsid w:val="00725537"/>
    <w:rsid w:val="00725580"/>
    <w:rsid w:val="00725684"/>
    <w:rsid w:val="007256F5"/>
    <w:rsid w:val="0072570C"/>
    <w:rsid w:val="00725712"/>
    <w:rsid w:val="00725902"/>
    <w:rsid w:val="00725BBA"/>
    <w:rsid w:val="00725C16"/>
    <w:rsid w:val="00725C66"/>
    <w:rsid w:val="00725CAE"/>
    <w:rsid w:val="00725DA6"/>
    <w:rsid w:val="00725E69"/>
    <w:rsid w:val="00725E8B"/>
    <w:rsid w:val="00725EC2"/>
    <w:rsid w:val="00725F05"/>
    <w:rsid w:val="00725F5B"/>
    <w:rsid w:val="00726084"/>
    <w:rsid w:val="007260B0"/>
    <w:rsid w:val="007260D1"/>
    <w:rsid w:val="00726102"/>
    <w:rsid w:val="00726106"/>
    <w:rsid w:val="00726135"/>
    <w:rsid w:val="007261C4"/>
    <w:rsid w:val="007261CB"/>
    <w:rsid w:val="007261E7"/>
    <w:rsid w:val="00726232"/>
    <w:rsid w:val="007262B2"/>
    <w:rsid w:val="007262C9"/>
    <w:rsid w:val="00726307"/>
    <w:rsid w:val="007263E3"/>
    <w:rsid w:val="00726455"/>
    <w:rsid w:val="00726490"/>
    <w:rsid w:val="007265F3"/>
    <w:rsid w:val="00726613"/>
    <w:rsid w:val="007266C9"/>
    <w:rsid w:val="00726799"/>
    <w:rsid w:val="007267B3"/>
    <w:rsid w:val="00726A74"/>
    <w:rsid w:val="00726A95"/>
    <w:rsid w:val="00726AD4"/>
    <w:rsid w:val="00726B93"/>
    <w:rsid w:val="00726BA0"/>
    <w:rsid w:val="00726D1F"/>
    <w:rsid w:val="00726E79"/>
    <w:rsid w:val="00726EBA"/>
    <w:rsid w:val="00726EF3"/>
    <w:rsid w:val="00726FDE"/>
    <w:rsid w:val="00727036"/>
    <w:rsid w:val="007270A4"/>
    <w:rsid w:val="00727292"/>
    <w:rsid w:val="007272BE"/>
    <w:rsid w:val="007273A1"/>
    <w:rsid w:val="0072740B"/>
    <w:rsid w:val="00727575"/>
    <w:rsid w:val="00727601"/>
    <w:rsid w:val="0072761A"/>
    <w:rsid w:val="0072762F"/>
    <w:rsid w:val="00727827"/>
    <w:rsid w:val="007278DD"/>
    <w:rsid w:val="00727969"/>
    <w:rsid w:val="007279CB"/>
    <w:rsid w:val="007279F3"/>
    <w:rsid w:val="00727B08"/>
    <w:rsid w:val="00727B0D"/>
    <w:rsid w:val="00727B26"/>
    <w:rsid w:val="00727BF3"/>
    <w:rsid w:val="00727C68"/>
    <w:rsid w:val="00727CAD"/>
    <w:rsid w:val="00727CBC"/>
    <w:rsid w:val="00727D28"/>
    <w:rsid w:val="00727D2F"/>
    <w:rsid w:val="00727D61"/>
    <w:rsid w:val="00727DEC"/>
    <w:rsid w:val="00727DF2"/>
    <w:rsid w:val="00727E38"/>
    <w:rsid w:val="00727E72"/>
    <w:rsid w:val="00727EAA"/>
    <w:rsid w:val="0073004A"/>
    <w:rsid w:val="00730216"/>
    <w:rsid w:val="00730223"/>
    <w:rsid w:val="00730232"/>
    <w:rsid w:val="007302E0"/>
    <w:rsid w:val="007303CE"/>
    <w:rsid w:val="00730439"/>
    <w:rsid w:val="00730465"/>
    <w:rsid w:val="007304B1"/>
    <w:rsid w:val="0073056D"/>
    <w:rsid w:val="0073077C"/>
    <w:rsid w:val="007307EA"/>
    <w:rsid w:val="00730A27"/>
    <w:rsid w:val="00730ADF"/>
    <w:rsid w:val="00730BD5"/>
    <w:rsid w:val="00730CB8"/>
    <w:rsid w:val="00730E6B"/>
    <w:rsid w:val="00730EF9"/>
    <w:rsid w:val="00730F74"/>
    <w:rsid w:val="00731014"/>
    <w:rsid w:val="00731183"/>
    <w:rsid w:val="007312F6"/>
    <w:rsid w:val="007312FC"/>
    <w:rsid w:val="007313EE"/>
    <w:rsid w:val="007313FF"/>
    <w:rsid w:val="00731420"/>
    <w:rsid w:val="0073149B"/>
    <w:rsid w:val="007315D0"/>
    <w:rsid w:val="00731622"/>
    <w:rsid w:val="0073162B"/>
    <w:rsid w:val="007316A5"/>
    <w:rsid w:val="00731703"/>
    <w:rsid w:val="0073176D"/>
    <w:rsid w:val="00731776"/>
    <w:rsid w:val="0073191B"/>
    <w:rsid w:val="0073194F"/>
    <w:rsid w:val="00731988"/>
    <w:rsid w:val="00731B40"/>
    <w:rsid w:val="00731B73"/>
    <w:rsid w:val="00731BC2"/>
    <w:rsid w:val="00731C6D"/>
    <w:rsid w:val="00731CA8"/>
    <w:rsid w:val="00731CB7"/>
    <w:rsid w:val="00731CE7"/>
    <w:rsid w:val="00731CED"/>
    <w:rsid w:val="00731CF8"/>
    <w:rsid w:val="00731DF8"/>
    <w:rsid w:val="00731E32"/>
    <w:rsid w:val="00731E35"/>
    <w:rsid w:val="00731E41"/>
    <w:rsid w:val="00731FB6"/>
    <w:rsid w:val="00732039"/>
    <w:rsid w:val="00732055"/>
    <w:rsid w:val="0073224D"/>
    <w:rsid w:val="00732275"/>
    <w:rsid w:val="0073228B"/>
    <w:rsid w:val="007322EA"/>
    <w:rsid w:val="007323FA"/>
    <w:rsid w:val="00732419"/>
    <w:rsid w:val="0073242F"/>
    <w:rsid w:val="00732431"/>
    <w:rsid w:val="00732460"/>
    <w:rsid w:val="0073248D"/>
    <w:rsid w:val="007324AB"/>
    <w:rsid w:val="007324E6"/>
    <w:rsid w:val="00732520"/>
    <w:rsid w:val="0073254C"/>
    <w:rsid w:val="00732563"/>
    <w:rsid w:val="00732581"/>
    <w:rsid w:val="00732620"/>
    <w:rsid w:val="0073272E"/>
    <w:rsid w:val="0073273F"/>
    <w:rsid w:val="0073278F"/>
    <w:rsid w:val="007327FE"/>
    <w:rsid w:val="00732833"/>
    <w:rsid w:val="00732847"/>
    <w:rsid w:val="0073291E"/>
    <w:rsid w:val="0073293A"/>
    <w:rsid w:val="00732A07"/>
    <w:rsid w:val="00732A74"/>
    <w:rsid w:val="00732A8F"/>
    <w:rsid w:val="00732C0B"/>
    <w:rsid w:val="00732CAA"/>
    <w:rsid w:val="00732D00"/>
    <w:rsid w:val="00732D32"/>
    <w:rsid w:val="00732DA7"/>
    <w:rsid w:val="00732EAF"/>
    <w:rsid w:val="00732F73"/>
    <w:rsid w:val="0073303F"/>
    <w:rsid w:val="007330D4"/>
    <w:rsid w:val="0073310D"/>
    <w:rsid w:val="0073329B"/>
    <w:rsid w:val="007333BF"/>
    <w:rsid w:val="0073345D"/>
    <w:rsid w:val="0073365B"/>
    <w:rsid w:val="0073365C"/>
    <w:rsid w:val="00733918"/>
    <w:rsid w:val="00733966"/>
    <w:rsid w:val="00733A4D"/>
    <w:rsid w:val="00733AAE"/>
    <w:rsid w:val="00733B1F"/>
    <w:rsid w:val="00733B3D"/>
    <w:rsid w:val="00733BAC"/>
    <w:rsid w:val="00733BB0"/>
    <w:rsid w:val="00733C2D"/>
    <w:rsid w:val="00733DD4"/>
    <w:rsid w:val="00733E3E"/>
    <w:rsid w:val="00733E74"/>
    <w:rsid w:val="00733F62"/>
    <w:rsid w:val="00733FB0"/>
    <w:rsid w:val="00733FED"/>
    <w:rsid w:val="007341B0"/>
    <w:rsid w:val="007341BE"/>
    <w:rsid w:val="00734216"/>
    <w:rsid w:val="0073432F"/>
    <w:rsid w:val="00734340"/>
    <w:rsid w:val="0073455F"/>
    <w:rsid w:val="007345A9"/>
    <w:rsid w:val="007345E8"/>
    <w:rsid w:val="0073463F"/>
    <w:rsid w:val="00734671"/>
    <w:rsid w:val="00734726"/>
    <w:rsid w:val="0073478E"/>
    <w:rsid w:val="0073483A"/>
    <w:rsid w:val="007349B0"/>
    <w:rsid w:val="007349C0"/>
    <w:rsid w:val="007349F4"/>
    <w:rsid w:val="00734A18"/>
    <w:rsid w:val="00734A9D"/>
    <w:rsid w:val="00734AC8"/>
    <w:rsid w:val="00734ADF"/>
    <w:rsid w:val="00734B59"/>
    <w:rsid w:val="00734C82"/>
    <w:rsid w:val="00734E75"/>
    <w:rsid w:val="00734F05"/>
    <w:rsid w:val="00734F69"/>
    <w:rsid w:val="00734F91"/>
    <w:rsid w:val="00734FC1"/>
    <w:rsid w:val="00735055"/>
    <w:rsid w:val="0073505A"/>
    <w:rsid w:val="00735097"/>
    <w:rsid w:val="00735123"/>
    <w:rsid w:val="00735178"/>
    <w:rsid w:val="007352DB"/>
    <w:rsid w:val="00735354"/>
    <w:rsid w:val="00735381"/>
    <w:rsid w:val="0073538B"/>
    <w:rsid w:val="00735424"/>
    <w:rsid w:val="00735549"/>
    <w:rsid w:val="0073556F"/>
    <w:rsid w:val="0073558D"/>
    <w:rsid w:val="00735605"/>
    <w:rsid w:val="00735718"/>
    <w:rsid w:val="0073572E"/>
    <w:rsid w:val="00735749"/>
    <w:rsid w:val="00735910"/>
    <w:rsid w:val="00735961"/>
    <w:rsid w:val="00735A2A"/>
    <w:rsid w:val="00735AE1"/>
    <w:rsid w:val="00735AEA"/>
    <w:rsid w:val="00735B6C"/>
    <w:rsid w:val="00735B6E"/>
    <w:rsid w:val="00735CC7"/>
    <w:rsid w:val="00735D46"/>
    <w:rsid w:val="00735DE0"/>
    <w:rsid w:val="00735E95"/>
    <w:rsid w:val="00735F95"/>
    <w:rsid w:val="00736031"/>
    <w:rsid w:val="00736063"/>
    <w:rsid w:val="0073608F"/>
    <w:rsid w:val="0073615A"/>
    <w:rsid w:val="007362AC"/>
    <w:rsid w:val="007363CC"/>
    <w:rsid w:val="00736444"/>
    <w:rsid w:val="00736448"/>
    <w:rsid w:val="007364BC"/>
    <w:rsid w:val="007365A4"/>
    <w:rsid w:val="007365A9"/>
    <w:rsid w:val="007365AD"/>
    <w:rsid w:val="007365E7"/>
    <w:rsid w:val="0073661A"/>
    <w:rsid w:val="007366BE"/>
    <w:rsid w:val="007366CE"/>
    <w:rsid w:val="007367ED"/>
    <w:rsid w:val="00736814"/>
    <w:rsid w:val="007368AE"/>
    <w:rsid w:val="00736983"/>
    <w:rsid w:val="00736999"/>
    <w:rsid w:val="00736BE8"/>
    <w:rsid w:val="00736C96"/>
    <w:rsid w:val="00736D62"/>
    <w:rsid w:val="00736E2E"/>
    <w:rsid w:val="00736E4C"/>
    <w:rsid w:val="00736E98"/>
    <w:rsid w:val="00736F32"/>
    <w:rsid w:val="0073701A"/>
    <w:rsid w:val="00737106"/>
    <w:rsid w:val="00737240"/>
    <w:rsid w:val="00737284"/>
    <w:rsid w:val="00737346"/>
    <w:rsid w:val="007373BC"/>
    <w:rsid w:val="00737442"/>
    <w:rsid w:val="00737484"/>
    <w:rsid w:val="00737592"/>
    <w:rsid w:val="0073774E"/>
    <w:rsid w:val="00737785"/>
    <w:rsid w:val="00737974"/>
    <w:rsid w:val="00737A4E"/>
    <w:rsid w:val="00737B0D"/>
    <w:rsid w:val="00737B34"/>
    <w:rsid w:val="00737BC2"/>
    <w:rsid w:val="00737C4F"/>
    <w:rsid w:val="00737C65"/>
    <w:rsid w:val="00737D5D"/>
    <w:rsid w:val="00737F2A"/>
    <w:rsid w:val="00737F2F"/>
    <w:rsid w:val="00737F63"/>
    <w:rsid w:val="00737F81"/>
    <w:rsid w:val="0074006E"/>
    <w:rsid w:val="00740212"/>
    <w:rsid w:val="00740216"/>
    <w:rsid w:val="0074025B"/>
    <w:rsid w:val="007402F5"/>
    <w:rsid w:val="0074033E"/>
    <w:rsid w:val="007403B9"/>
    <w:rsid w:val="00740453"/>
    <w:rsid w:val="00740459"/>
    <w:rsid w:val="00740557"/>
    <w:rsid w:val="00740560"/>
    <w:rsid w:val="00740584"/>
    <w:rsid w:val="007405A2"/>
    <w:rsid w:val="007406B6"/>
    <w:rsid w:val="007406BD"/>
    <w:rsid w:val="007407D9"/>
    <w:rsid w:val="0074081E"/>
    <w:rsid w:val="0074082A"/>
    <w:rsid w:val="007409CC"/>
    <w:rsid w:val="007409E8"/>
    <w:rsid w:val="00740A4D"/>
    <w:rsid w:val="00740AE4"/>
    <w:rsid w:val="00740B34"/>
    <w:rsid w:val="00740B35"/>
    <w:rsid w:val="00740BB6"/>
    <w:rsid w:val="00740C28"/>
    <w:rsid w:val="00740E88"/>
    <w:rsid w:val="00740ED1"/>
    <w:rsid w:val="007410A0"/>
    <w:rsid w:val="007411A1"/>
    <w:rsid w:val="007411FE"/>
    <w:rsid w:val="00741281"/>
    <w:rsid w:val="0074138F"/>
    <w:rsid w:val="00741467"/>
    <w:rsid w:val="00741504"/>
    <w:rsid w:val="00741519"/>
    <w:rsid w:val="007415BA"/>
    <w:rsid w:val="00741651"/>
    <w:rsid w:val="0074169F"/>
    <w:rsid w:val="0074173C"/>
    <w:rsid w:val="00741873"/>
    <w:rsid w:val="00741901"/>
    <w:rsid w:val="00741A2E"/>
    <w:rsid w:val="00741A89"/>
    <w:rsid w:val="00741BA8"/>
    <w:rsid w:val="00741BD2"/>
    <w:rsid w:val="00741C89"/>
    <w:rsid w:val="00741D91"/>
    <w:rsid w:val="00741E99"/>
    <w:rsid w:val="00741FEB"/>
    <w:rsid w:val="00742042"/>
    <w:rsid w:val="0074218A"/>
    <w:rsid w:val="0074249B"/>
    <w:rsid w:val="007425FC"/>
    <w:rsid w:val="00742617"/>
    <w:rsid w:val="0074270F"/>
    <w:rsid w:val="0074272D"/>
    <w:rsid w:val="0074276B"/>
    <w:rsid w:val="007428DC"/>
    <w:rsid w:val="007428F5"/>
    <w:rsid w:val="007428FA"/>
    <w:rsid w:val="00742964"/>
    <w:rsid w:val="00742A81"/>
    <w:rsid w:val="00742BA0"/>
    <w:rsid w:val="00742C3D"/>
    <w:rsid w:val="00742C57"/>
    <w:rsid w:val="00742EE9"/>
    <w:rsid w:val="00742F46"/>
    <w:rsid w:val="00742F92"/>
    <w:rsid w:val="00742FAB"/>
    <w:rsid w:val="00743050"/>
    <w:rsid w:val="007430D4"/>
    <w:rsid w:val="007430E8"/>
    <w:rsid w:val="007431FA"/>
    <w:rsid w:val="0074328D"/>
    <w:rsid w:val="0074331C"/>
    <w:rsid w:val="0074335F"/>
    <w:rsid w:val="0074350C"/>
    <w:rsid w:val="00743626"/>
    <w:rsid w:val="00743675"/>
    <w:rsid w:val="00743689"/>
    <w:rsid w:val="00743724"/>
    <w:rsid w:val="007438DF"/>
    <w:rsid w:val="007438EA"/>
    <w:rsid w:val="007438FA"/>
    <w:rsid w:val="007438FB"/>
    <w:rsid w:val="00743902"/>
    <w:rsid w:val="00743971"/>
    <w:rsid w:val="00743985"/>
    <w:rsid w:val="00743AA7"/>
    <w:rsid w:val="00743B65"/>
    <w:rsid w:val="00743B98"/>
    <w:rsid w:val="00743C2E"/>
    <w:rsid w:val="00743CE7"/>
    <w:rsid w:val="00743D12"/>
    <w:rsid w:val="00743DBE"/>
    <w:rsid w:val="0074419A"/>
    <w:rsid w:val="007441F0"/>
    <w:rsid w:val="0074420B"/>
    <w:rsid w:val="0074433F"/>
    <w:rsid w:val="00744390"/>
    <w:rsid w:val="0074441E"/>
    <w:rsid w:val="007444A4"/>
    <w:rsid w:val="007444EF"/>
    <w:rsid w:val="007445B0"/>
    <w:rsid w:val="007445BB"/>
    <w:rsid w:val="007445D3"/>
    <w:rsid w:val="0074461B"/>
    <w:rsid w:val="00744721"/>
    <w:rsid w:val="0074476D"/>
    <w:rsid w:val="00744797"/>
    <w:rsid w:val="00744843"/>
    <w:rsid w:val="007448EE"/>
    <w:rsid w:val="00744917"/>
    <w:rsid w:val="00744A7C"/>
    <w:rsid w:val="00744B15"/>
    <w:rsid w:val="00744BF1"/>
    <w:rsid w:val="00744C92"/>
    <w:rsid w:val="00744CD4"/>
    <w:rsid w:val="00744D6F"/>
    <w:rsid w:val="00744ECA"/>
    <w:rsid w:val="00744ECD"/>
    <w:rsid w:val="00744F48"/>
    <w:rsid w:val="00744FF7"/>
    <w:rsid w:val="007451DC"/>
    <w:rsid w:val="0074521A"/>
    <w:rsid w:val="00745267"/>
    <w:rsid w:val="0074532D"/>
    <w:rsid w:val="00745363"/>
    <w:rsid w:val="00745542"/>
    <w:rsid w:val="00745609"/>
    <w:rsid w:val="0074560D"/>
    <w:rsid w:val="0074571B"/>
    <w:rsid w:val="0074586B"/>
    <w:rsid w:val="0074599D"/>
    <w:rsid w:val="007459F6"/>
    <w:rsid w:val="00745A1F"/>
    <w:rsid w:val="00745A29"/>
    <w:rsid w:val="00745C4C"/>
    <w:rsid w:val="00745C4E"/>
    <w:rsid w:val="00745C82"/>
    <w:rsid w:val="00745CE8"/>
    <w:rsid w:val="00745DB2"/>
    <w:rsid w:val="00745DD2"/>
    <w:rsid w:val="00745E37"/>
    <w:rsid w:val="00745EC9"/>
    <w:rsid w:val="00745F23"/>
    <w:rsid w:val="00746015"/>
    <w:rsid w:val="0074601D"/>
    <w:rsid w:val="0074602C"/>
    <w:rsid w:val="00746081"/>
    <w:rsid w:val="007462C9"/>
    <w:rsid w:val="007463DD"/>
    <w:rsid w:val="00746492"/>
    <w:rsid w:val="0074651E"/>
    <w:rsid w:val="007465BC"/>
    <w:rsid w:val="007467D6"/>
    <w:rsid w:val="0074695D"/>
    <w:rsid w:val="007469F2"/>
    <w:rsid w:val="00746A96"/>
    <w:rsid w:val="00746B28"/>
    <w:rsid w:val="00746B30"/>
    <w:rsid w:val="00746B49"/>
    <w:rsid w:val="00746B62"/>
    <w:rsid w:val="00746B9B"/>
    <w:rsid w:val="00746C6B"/>
    <w:rsid w:val="00746D96"/>
    <w:rsid w:val="00746E1F"/>
    <w:rsid w:val="00746E52"/>
    <w:rsid w:val="00746EAF"/>
    <w:rsid w:val="00746FD2"/>
    <w:rsid w:val="00747112"/>
    <w:rsid w:val="007471F4"/>
    <w:rsid w:val="007472A5"/>
    <w:rsid w:val="00747354"/>
    <w:rsid w:val="00747372"/>
    <w:rsid w:val="00747402"/>
    <w:rsid w:val="00747406"/>
    <w:rsid w:val="00747464"/>
    <w:rsid w:val="0074746D"/>
    <w:rsid w:val="0074762C"/>
    <w:rsid w:val="00747697"/>
    <w:rsid w:val="007476D9"/>
    <w:rsid w:val="00747726"/>
    <w:rsid w:val="0074783C"/>
    <w:rsid w:val="00747875"/>
    <w:rsid w:val="007478F3"/>
    <w:rsid w:val="00747906"/>
    <w:rsid w:val="00747926"/>
    <w:rsid w:val="007479B1"/>
    <w:rsid w:val="00747A6E"/>
    <w:rsid w:val="00747B3A"/>
    <w:rsid w:val="00747BFD"/>
    <w:rsid w:val="00747C07"/>
    <w:rsid w:val="00747CB6"/>
    <w:rsid w:val="00747D4A"/>
    <w:rsid w:val="00747FBB"/>
    <w:rsid w:val="00747FC9"/>
    <w:rsid w:val="0075001F"/>
    <w:rsid w:val="00750047"/>
    <w:rsid w:val="007500E4"/>
    <w:rsid w:val="007500FB"/>
    <w:rsid w:val="007502CC"/>
    <w:rsid w:val="0075035D"/>
    <w:rsid w:val="007503A4"/>
    <w:rsid w:val="007504E1"/>
    <w:rsid w:val="0075051D"/>
    <w:rsid w:val="00750686"/>
    <w:rsid w:val="007506F8"/>
    <w:rsid w:val="0075070D"/>
    <w:rsid w:val="00750745"/>
    <w:rsid w:val="00750821"/>
    <w:rsid w:val="00750857"/>
    <w:rsid w:val="0075094F"/>
    <w:rsid w:val="00750973"/>
    <w:rsid w:val="007509EC"/>
    <w:rsid w:val="00750A53"/>
    <w:rsid w:val="00750C7F"/>
    <w:rsid w:val="00750D9C"/>
    <w:rsid w:val="00750DEF"/>
    <w:rsid w:val="00750DF7"/>
    <w:rsid w:val="00750E48"/>
    <w:rsid w:val="00750EF0"/>
    <w:rsid w:val="00750F6B"/>
    <w:rsid w:val="00751084"/>
    <w:rsid w:val="007510E5"/>
    <w:rsid w:val="00751153"/>
    <w:rsid w:val="0075128F"/>
    <w:rsid w:val="00751314"/>
    <w:rsid w:val="0075135B"/>
    <w:rsid w:val="00751459"/>
    <w:rsid w:val="0075149B"/>
    <w:rsid w:val="00751583"/>
    <w:rsid w:val="00751688"/>
    <w:rsid w:val="007517EB"/>
    <w:rsid w:val="007518D2"/>
    <w:rsid w:val="007518E6"/>
    <w:rsid w:val="00751907"/>
    <w:rsid w:val="0075193A"/>
    <w:rsid w:val="00751973"/>
    <w:rsid w:val="007519AA"/>
    <w:rsid w:val="007519C8"/>
    <w:rsid w:val="007519D8"/>
    <w:rsid w:val="007519DC"/>
    <w:rsid w:val="00751ABA"/>
    <w:rsid w:val="00751ACF"/>
    <w:rsid w:val="00751AE0"/>
    <w:rsid w:val="00751B22"/>
    <w:rsid w:val="00751B52"/>
    <w:rsid w:val="00751B83"/>
    <w:rsid w:val="00751C55"/>
    <w:rsid w:val="00751DCC"/>
    <w:rsid w:val="00751DEA"/>
    <w:rsid w:val="00751F16"/>
    <w:rsid w:val="00751F3B"/>
    <w:rsid w:val="00752054"/>
    <w:rsid w:val="00752188"/>
    <w:rsid w:val="007521B1"/>
    <w:rsid w:val="0075229D"/>
    <w:rsid w:val="007522ED"/>
    <w:rsid w:val="007522FA"/>
    <w:rsid w:val="007523FE"/>
    <w:rsid w:val="0075262E"/>
    <w:rsid w:val="00752712"/>
    <w:rsid w:val="007527A2"/>
    <w:rsid w:val="007527DC"/>
    <w:rsid w:val="00752899"/>
    <w:rsid w:val="00752B81"/>
    <w:rsid w:val="00752BC3"/>
    <w:rsid w:val="00752CA7"/>
    <w:rsid w:val="00752CE4"/>
    <w:rsid w:val="00752DE1"/>
    <w:rsid w:val="00752E2E"/>
    <w:rsid w:val="00752E42"/>
    <w:rsid w:val="00752EB5"/>
    <w:rsid w:val="007530D4"/>
    <w:rsid w:val="0075311F"/>
    <w:rsid w:val="0075314A"/>
    <w:rsid w:val="0075314F"/>
    <w:rsid w:val="00753181"/>
    <w:rsid w:val="00753186"/>
    <w:rsid w:val="007531BC"/>
    <w:rsid w:val="00753282"/>
    <w:rsid w:val="007532F8"/>
    <w:rsid w:val="00753354"/>
    <w:rsid w:val="007533A9"/>
    <w:rsid w:val="007533D6"/>
    <w:rsid w:val="007533EA"/>
    <w:rsid w:val="00753506"/>
    <w:rsid w:val="0075360E"/>
    <w:rsid w:val="00753686"/>
    <w:rsid w:val="007536AE"/>
    <w:rsid w:val="0075372D"/>
    <w:rsid w:val="007538A7"/>
    <w:rsid w:val="0075390D"/>
    <w:rsid w:val="0075393C"/>
    <w:rsid w:val="00753974"/>
    <w:rsid w:val="00753A00"/>
    <w:rsid w:val="00753A7D"/>
    <w:rsid w:val="00753B56"/>
    <w:rsid w:val="00753B6A"/>
    <w:rsid w:val="00753BB8"/>
    <w:rsid w:val="00753BD8"/>
    <w:rsid w:val="00753C55"/>
    <w:rsid w:val="00753C93"/>
    <w:rsid w:val="00753CA2"/>
    <w:rsid w:val="00753CFD"/>
    <w:rsid w:val="00753DAA"/>
    <w:rsid w:val="00753E7E"/>
    <w:rsid w:val="00753EF3"/>
    <w:rsid w:val="00753F3E"/>
    <w:rsid w:val="00754031"/>
    <w:rsid w:val="00754034"/>
    <w:rsid w:val="0075412C"/>
    <w:rsid w:val="00754242"/>
    <w:rsid w:val="007542B4"/>
    <w:rsid w:val="00754345"/>
    <w:rsid w:val="007543B7"/>
    <w:rsid w:val="00754482"/>
    <w:rsid w:val="00754541"/>
    <w:rsid w:val="007545BB"/>
    <w:rsid w:val="007546D5"/>
    <w:rsid w:val="00754729"/>
    <w:rsid w:val="0075474C"/>
    <w:rsid w:val="00754826"/>
    <w:rsid w:val="0075491E"/>
    <w:rsid w:val="00754963"/>
    <w:rsid w:val="00754A3B"/>
    <w:rsid w:val="00754A71"/>
    <w:rsid w:val="00754ABE"/>
    <w:rsid w:val="00754B8E"/>
    <w:rsid w:val="00754BAA"/>
    <w:rsid w:val="00754BF1"/>
    <w:rsid w:val="00754C08"/>
    <w:rsid w:val="00754C23"/>
    <w:rsid w:val="00754C9C"/>
    <w:rsid w:val="00754D19"/>
    <w:rsid w:val="00754E0C"/>
    <w:rsid w:val="00754E80"/>
    <w:rsid w:val="00754E99"/>
    <w:rsid w:val="00754FAF"/>
    <w:rsid w:val="00755015"/>
    <w:rsid w:val="00755109"/>
    <w:rsid w:val="00755153"/>
    <w:rsid w:val="00755218"/>
    <w:rsid w:val="00755263"/>
    <w:rsid w:val="007553A4"/>
    <w:rsid w:val="00755430"/>
    <w:rsid w:val="007555A4"/>
    <w:rsid w:val="007555DE"/>
    <w:rsid w:val="007555E6"/>
    <w:rsid w:val="0075563B"/>
    <w:rsid w:val="00755650"/>
    <w:rsid w:val="0075569E"/>
    <w:rsid w:val="007556B6"/>
    <w:rsid w:val="0075570E"/>
    <w:rsid w:val="00755757"/>
    <w:rsid w:val="00755766"/>
    <w:rsid w:val="007557B1"/>
    <w:rsid w:val="007557C3"/>
    <w:rsid w:val="007557FA"/>
    <w:rsid w:val="00755896"/>
    <w:rsid w:val="007558C4"/>
    <w:rsid w:val="007559B1"/>
    <w:rsid w:val="00755A8C"/>
    <w:rsid w:val="00755C47"/>
    <w:rsid w:val="00755D0D"/>
    <w:rsid w:val="00755DFC"/>
    <w:rsid w:val="00755EBF"/>
    <w:rsid w:val="00755EF4"/>
    <w:rsid w:val="00755FA4"/>
    <w:rsid w:val="007560E8"/>
    <w:rsid w:val="00756164"/>
    <w:rsid w:val="00756249"/>
    <w:rsid w:val="00756291"/>
    <w:rsid w:val="0075632A"/>
    <w:rsid w:val="007563BA"/>
    <w:rsid w:val="00756421"/>
    <w:rsid w:val="0075648A"/>
    <w:rsid w:val="00756505"/>
    <w:rsid w:val="0075650A"/>
    <w:rsid w:val="0075659E"/>
    <w:rsid w:val="007565B0"/>
    <w:rsid w:val="007565D6"/>
    <w:rsid w:val="007566DC"/>
    <w:rsid w:val="007566EE"/>
    <w:rsid w:val="0075677C"/>
    <w:rsid w:val="007567D6"/>
    <w:rsid w:val="0075681C"/>
    <w:rsid w:val="007568BF"/>
    <w:rsid w:val="00756A6F"/>
    <w:rsid w:val="00756AEE"/>
    <w:rsid w:val="00756B61"/>
    <w:rsid w:val="00756BC4"/>
    <w:rsid w:val="00756C15"/>
    <w:rsid w:val="00756C86"/>
    <w:rsid w:val="00756CE2"/>
    <w:rsid w:val="00756D47"/>
    <w:rsid w:val="00756D49"/>
    <w:rsid w:val="00756E3F"/>
    <w:rsid w:val="00756F45"/>
    <w:rsid w:val="00757055"/>
    <w:rsid w:val="00757093"/>
    <w:rsid w:val="007570D0"/>
    <w:rsid w:val="007571FC"/>
    <w:rsid w:val="0075722B"/>
    <w:rsid w:val="0075727F"/>
    <w:rsid w:val="007572AA"/>
    <w:rsid w:val="007574B1"/>
    <w:rsid w:val="007574EA"/>
    <w:rsid w:val="00757595"/>
    <w:rsid w:val="00757648"/>
    <w:rsid w:val="00757657"/>
    <w:rsid w:val="007576C5"/>
    <w:rsid w:val="007576E7"/>
    <w:rsid w:val="0075795F"/>
    <w:rsid w:val="00757A1A"/>
    <w:rsid w:val="00757AD6"/>
    <w:rsid w:val="00757AF9"/>
    <w:rsid w:val="00757B3D"/>
    <w:rsid w:val="00757C26"/>
    <w:rsid w:val="00757E6E"/>
    <w:rsid w:val="00757FB4"/>
    <w:rsid w:val="007600A7"/>
    <w:rsid w:val="0076015E"/>
    <w:rsid w:val="0076017E"/>
    <w:rsid w:val="00760222"/>
    <w:rsid w:val="00760359"/>
    <w:rsid w:val="007603D3"/>
    <w:rsid w:val="007604EA"/>
    <w:rsid w:val="007606E8"/>
    <w:rsid w:val="007606F6"/>
    <w:rsid w:val="007607AA"/>
    <w:rsid w:val="007607DB"/>
    <w:rsid w:val="007607FA"/>
    <w:rsid w:val="0076083D"/>
    <w:rsid w:val="00760BA8"/>
    <w:rsid w:val="00760BBD"/>
    <w:rsid w:val="00760BF1"/>
    <w:rsid w:val="00760DF2"/>
    <w:rsid w:val="00760E02"/>
    <w:rsid w:val="00760E53"/>
    <w:rsid w:val="00760EA5"/>
    <w:rsid w:val="00760ECC"/>
    <w:rsid w:val="00760F76"/>
    <w:rsid w:val="00760F9A"/>
    <w:rsid w:val="00761015"/>
    <w:rsid w:val="00761112"/>
    <w:rsid w:val="00761212"/>
    <w:rsid w:val="00761287"/>
    <w:rsid w:val="007612A4"/>
    <w:rsid w:val="007612DD"/>
    <w:rsid w:val="007613E5"/>
    <w:rsid w:val="007614BF"/>
    <w:rsid w:val="00761538"/>
    <w:rsid w:val="00761572"/>
    <w:rsid w:val="00761605"/>
    <w:rsid w:val="00761618"/>
    <w:rsid w:val="0076164A"/>
    <w:rsid w:val="0076175F"/>
    <w:rsid w:val="00761A19"/>
    <w:rsid w:val="00761B6C"/>
    <w:rsid w:val="00761C0A"/>
    <w:rsid w:val="00761C16"/>
    <w:rsid w:val="00761D8F"/>
    <w:rsid w:val="00761EBD"/>
    <w:rsid w:val="00761EC3"/>
    <w:rsid w:val="00761F0B"/>
    <w:rsid w:val="00761F23"/>
    <w:rsid w:val="00761F34"/>
    <w:rsid w:val="00762010"/>
    <w:rsid w:val="007620F9"/>
    <w:rsid w:val="0076212B"/>
    <w:rsid w:val="00762159"/>
    <w:rsid w:val="007621A0"/>
    <w:rsid w:val="007621CE"/>
    <w:rsid w:val="00762205"/>
    <w:rsid w:val="00762229"/>
    <w:rsid w:val="0076229F"/>
    <w:rsid w:val="00762382"/>
    <w:rsid w:val="00762411"/>
    <w:rsid w:val="007624A4"/>
    <w:rsid w:val="00762547"/>
    <w:rsid w:val="007625DA"/>
    <w:rsid w:val="00762644"/>
    <w:rsid w:val="00762701"/>
    <w:rsid w:val="00762724"/>
    <w:rsid w:val="007627F2"/>
    <w:rsid w:val="0076286A"/>
    <w:rsid w:val="007628EA"/>
    <w:rsid w:val="00762A4F"/>
    <w:rsid w:val="00762A6D"/>
    <w:rsid w:val="00762AE5"/>
    <w:rsid w:val="00762B4F"/>
    <w:rsid w:val="00762C9F"/>
    <w:rsid w:val="00762D60"/>
    <w:rsid w:val="00762E11"/>
    <w:rsid w:val="00762EDC"/>
    <w:rsid w:val="00762FD1"/>
    <w:rsid w:val="0076309E"/>
    <w:rsid w:val="007630E7"/>
    <w:rsid w:val="0076317E"/>
    <w:rsid w:val="007631A4"/>
    <w:rsid w:val="007631FB"/>
    <w:rsid w:val="00763299"/>
    <w:rsid w:val="00763371"/>
    <w:rsid w:val="007633D6"/>
    <w:rsid w:val="0076352A"/>
    <w:rsid w:val="00763574"/>
    <w:rsid w:val="007635D9"/>
    <w:rsid w:val="007636E8"/>
    <w:rsid w:val="00763791"/>
    <w:rsid w:val="0076379F"/>
    <w:rsid w:val="00763860"/>
    <w:rsid w:val="00763981"/>
    <w:rsid w:val="00763982"/>
    <w:rsid w:val="00763984"/>
    <w:rsid w:val="00763A64"/>
    <w:rsid w:val="00763A68"/>
    <w:rsid w:val="00763AB5"/>
    <w:rsid w:val="00763C81"/>
    <w:rsid w:val="00763CA6"/>
    <w:rsid w:val="00763D53"/>
    <w:rsid w:val="00763D55"/>
    <w:rsid w:val="00763D7D"/>
    <w:rsid w:val="00763DB4"/>
    <w:rsid w:val="00763DCC"/>
    <w:rsid w:val="00763E4F"/>
    <w:rsid w:val="00763E6D"/>
    <w:rsid w:val="00763ED6"/>
    <w:rsid w:val="00763F8E"/>
    <w:rsid w:val="007640AB"/>
    <w:rsid w:val="007640E2"/>
    <w:rsid w:val="0076411B"/>
    <w:rsid w:val="00764139"/>
    <w:rsid w:val="007641FE"/>
    <w:rsid w:val="00764286"/>
    <w:rsid w:val="00764288"/>
    <w:rsid w:val="007642EF"/>
    <w:rsid w:val="00764309"/>
    <w:rsid w:val="00764396"/>
    <w:rsid w:val="007643E6"/>
    <w:rsid w:val="00764419"/>
    <w:rsid w:val="00764444"/>
    <w:rsid w:val="0076445A"/>
    <w:rsid w:val="00764493"/>
    <w:rsid w:val="007644EA"/>
    <w:rsid w:val="007644F2"/>
    <w:rsid w:val="00764699"/>
    <w:rsid w:val="00764801"/>
    <w:rsid w:val="00764815"/>
    <w:rsid w:val="00764837"/>
    <w:rsid w:val="00764958"/>
    <w:rsid w:val="007649B3"/>
    <w:rsid w:val="00764AC0"/>
    <w:rsid w:val="00764B32"/>
    <w:rsid w:val="00764B8E"/>
    <w:rsid w:val="00764BDA"/>
    <w:rsid w:val="00764C03"/>
    <w:rsid w:val="00764C44"/>
    <w:rsid w:val="00764CF6"/>
    <w:rsid w:val="00764D57"/>
    <w:rsid w:val="00764D76"/>
    <w:rsid w:val="00764FD9"/>
    <w:rsid w:val="00764FE6"/>
    <w:rsid w:val="0076507C"/>
    <w:rsid w:val="007650BD"/>
    <w:rsid w:val="007651AE"/>
    <w:rsid w:val="00765254"/>
    <w:rsid w:val="00765291"/>
    <w:rsid w:val="00765339"/>
    <w:rsid w:val="00765404"/>
    <w:rsid w:val="0076545C"/>
    <w:rsid w:val="007654D3"/>
    <w:rsid w:val="007654F5"/>
    <w:rsid w:val="007655E4"/>
    <w:rsid w:val="00765608"/>
    <w:rsid w:val="007657DB"/>
    <w:rsid w:val="00765804"/>
    <w:rsid w:val="00765849"/>
    <w:rsid w:val="00765899"/>
    <w:rsid w:val="007659F5"/>
    <w:rsid w:val="007659F9"/>
    <w:rsid w:val="00765A47"/>
    <w:rsid w:val="00765A62"/>
    <w:rsid w:val="00765A7A"/>
    <w:rsid w:val="00765B78"/>
    <w:rsid w:val="00765BE3"/>
    <w:rsid w:val="00765CC7"/>
    <w:rsid w:val="00765DB0"/>
    <w:rsid w:val="00765F49"/>
    <w:rsid w:val="00765F4A"/>
    <w:rsid w:val="00766024"/>
    <w:rsid w:val="0076606B"/>
    <w:rsid w:val="00766077"/>
    <w:rsid w:val="00766159"/>
    <w:rsid w:val="0076615F"/>
    <w:rsid w:val="007661EA"/>
    <w:rsid w:val="0076623E"/>
    <w:rsid w:val="0076624A"/>
    <w:rsid w:val="007662C3"/>
    <w:rsid w:val="0076631A"/>
    <w:rsid w:val="00766457"/>
    <w:rsid w:val="007664C1"/>
    <w:rsid w:val="0076652B"/>
    <w:rsid w:val="00766620"/>
    <w:rsid w:val="00766633"/>
    <w:rsid w:val="00766651"/>
    <w:rsid w:val="00766653"/>
    <w:rsid w:val="007666E9"/>
    <w:rsid w:val="00766810"/>
    <w:rsid w:val="00766836"/>
    <w:rsid w:val="00766A0C"/>
    <w:rsid w:val="00766A39"/>
    <w:rsid w:val="00766A3B"/>
    <w:rsid w:val="00766A92"/>
    <w:rsid w:val="00766B07"/>
    <w:rsid w:val="00766B28"/>
    <w:rsid w:val="00766BCA"/>
    <w:rsid w:val="00766BEB"/>
    <w:rsid w:val="00766C75"/>
    <w:rsid w:val="00766D15"/>
    <w:rsid w:val="00766D6F"/>
    <w:rsid w:val="00766F0C"/>
    <w:rsid w:val="00766F11"/>
    <w:rsid w:val="00766FD3"/>
    <w:rsid w:val="00766FEB"/>
    <w:rsid w:val="00766FF9"/>
    <w:rsid w:val="0076703D"/>
    <w:rsid w:val="00767101"/>
    <w:rsid w:val="00767116"/>
    <w:rsid w:val="0076713B"/>
    <w:rsid w:val="0076717F"/>
    <w:rsid w:val="00767199"/>
    <w:rsid w:val="00767267"/>
    <w:rsid w:val="00767340"/>
    <w:rsid w:val="00767342"/>
    <w:rsid w:val="00767367"/>
    <w:rsid w:val="00767371"/>
    <w:rsid w:val="007673BC"/>
    <w:rsid w:val="007673E7"/>
    <w:rsid w:val="00767400"/>
    <w:rsid w:val="00767421"/>
    <w:rsid w:val="0076745C"/>
    <w:rsid w:val="0076758A"/>
    <w:rsid w:val="007675AC"/>
    <w:rsid w:val="007675B6"/>
    <w:rsid w:val="007675E9"/>
    <w:rsid w:val="007675FF"/>
    <w:rsid w:val="00767677"/>
    <w:rsid w:val="00767720"/>
    <w:rsid w:val="007677F3"/>
    <w:rsid w:val="0076784D"/>
    <w:rsid w:val="007678F3"/>
    <w:rsid w:val="0076796B"/>
    <w:rsid w:val="0076797C"/>
    <w:rsid w:val="00767AC1"/>
    <w:rsid w:val="00767B47"/>
    <w:rsid w:val="00767B6F"/>
    <w:rsid w:val="00767C3F"/>
    <w:rsid w:val="007700AD"/>
    <w:rsid w:val="007700EC"/>
    <w:rsid w:val="00770106"/>
    <w:rsid w:val="007702E0"/>
    <w:rsid w:val="00770348"/>
    <w:rsid w:val="00770399"/>
    <w:rsid w:val="00770425"/>
    <w:rsid w:val="00770482"/>
    <w:rsid w:val="007704B6"/>
    <w:rsid w:val="00770557"/>
    <w:rsid w:val="0077056E"/>
    <w:rsid w:val="0077058D"/>
    <w:rsid w:val="007705C1"/>
    <w:rsid w:val="007705E8"/>
    <w:rsid w:val="007706BF"/>
    <w:rsid w:val="007706F0"/>
    <w:rsid w:val="00770791"/>
    <w:rsid w:val="007707BC"/>
    <w:rsid w:val="007707EF"/>
    <w:rsid w:val="007708C5"/>
    <w:rsid w:val="00770AD1"/>
    <w:rsid w:val="00770B10"/>
    <w:rsid w:val="00770B5E"/>
    <w:rsid w:val="00770B6B"/>
    <w:rsid w:val="00770B72"/>
    <w:rsid w:val="00770BC8"/>
    <w:rsid w:val="00770C07"/>
    <w:rsid w:val="00770C0D"/>
    <w:rsid w:val="00770CEC"/>
    <w:rsid w:val="00770CF5"/>
    <w:rsid w:val="00770DBA"/>
    <w:rsid w:val="00770DBD"/>
    <w:rsid w:val="00770E38"/>
    <w:rsid w:val="00770E67"/>
    <w:rsid w:val="00770E8D"/>
    <w:rsid w:val="00770ECD"/>
    <w:rsid w:val="00770EFA"/>
    <w:rsid w:val="00770F00"/>
    <w:rsid w:val="00770F9B"/>
    <w:rsid w:val="00771095"/>
    <w:rsid w:val="0077109F"/>
    <w:rsid w:val="007710B1"/>
    <w:rsid w:val="007710DE"/>
    <w:rsid w:val="00771262"/>
    <w:rsid w:val="0077126A"/>
    <w:rsid w:val="0077128A"/>
    <w:rsid w:val="007712A6"/>
    <w:rsid w:val="007713F4"/>
    <w:rsid w:val="0077145B"/>
    <w:rsid w:val="0077157E"/>
    <w:rsid w:val="0077163D"/>
    <w:rsid w:val="0077184C"/>
    <w:rsid w:val="007718E5"/>
    <w:rsid w:val="0077196C"/>
    <w:rsid w:val="00771978"/>
    <w:rsid w:val="00771979"/>
    <w:rsid w:val="007719E5"/>
    <w:rsid w:val="00771A12"/>
    <w:rsid w:val="00771A64"/>
    <w:rsid w:val="00771ACA"/>
    <w:rsid w:val="00771BC4"/>
    <w:rsid w:val="00771BE9"/>
    <w:rsid w:val="00771C07"/>
    <w:rsid w:val="00771C19"/>
    <w:rsid w:val="00771D68"/>
    <w:rsid w:val="00771DB1"/>
    <w:rsid w:val="00771DE5"/>
    <w:rsid w:val="00771ED5"/>
    <w:rsid w:val="00771FD1"/>
    <w:rsid w:val="00772024"/>
    <w:rsid w:val="00772055"/>
    <w:rsid w:val="00772115"/>
    <w:rsid w:val="0077222B"/>
    <w:rsid w:val="00772269"/>
    <w:rsid w:val="007723AD"/>
    <w:rsid w:val="0077241C"/>
    <w:rsid w:val="00772560"/>
    <w:rsid w:val="007725C4"/>
    <w:rsid w:val="00772631"/>
    <w:rsid w:val="00772785"/>
    <w:rsid w:val="007727B9"/>
    <w:rsid w:val="007728BF"/>
    <w:rsid w:val="007728EC"/>
    <w:rsid w:val="007728FB"/>
    <w:rsid w:val="00772956"/>
    <w:rsid w:val="00772974"/>
    <w:rsid w:val="00772A82"/>
    <w:rsid w:val="00772B10"/>
    <w:rsid w:val="00772B5A"/>
    <w:rsid w:val="00772C41"/>
    <w:rsid w:val="00772C91"/>
    <w:rsid w:val="00772D00"/>
    <w:rsid w:val="00772D9C"/>
    <w:rsid w:val="00772FAA"/>
    <w:rsid w:val="00772FFD"/>
    <w:rsid w:val="007730CF"/>
    <w:rsid w:val="007731FF"/>
    <w:rsid w:val="007733D7"/>
    <w:rsid w:val="0077342E"/>
    <w:rsid w:val="0077343B"/>
    <w:rsid w:val="007734C2"/>
    <w:rsid w:val="007734D5"/>
    <w:rsid w:val="00773555"/>
    <w:rsid w:val="00773665"/>
    <w:rsid w:val="00773728"/>
    <w:rsid w:val="0077389E"/>
    <w:rsid w:val="00773A07"/>
    <w:rsid w:val="00773AFA"/>
    <w:rsid w:val="00773B58"/>
    <w:rsid w:val="00773C47"/>
    <w:rsid w:val="00773C91"/>
    <w:rsid w:val="00773D9B"/>
    <w:rsid w:val="00773EA7"/>
    <w:rsid w:val="007740E4"/>
    <w:rsid w:val="00774167"/>
    <w:rsid w:val="007742BC"/>
    <w:rsid w:val="0077432C"/>
    <w:rsid w:val="0077448B"/>
    <w:rsid w:val="00774492"/>
    <w:rsid w:val="007744A2"/>
    <w:rsid w:val="007745A6"/>
    <w:rsid w:val="0077464E"/>
    <w:rsid w:val="00774664"/>
    <w:rsid w:val="007746E6"/>
    <w:rsid w:val="007747B5"/>
    <w:rsid w:val="007747F0"/>
    <w:rsid w:val="007747FE"/>
    <w:rsid w:val="00774820"/>
    <w:rsid w:val="0077485F"/>
    <w:rsid w:val="007748D8"/>
    <w:rsid w:val="0077493E"/>
    <w:rsid w:val="00774951"/>
    <w:rsid w:val="00774B23"/>
    <w:rsid w:val="00774B34"/>
    <w:rsid w:val="00774C7C"/>
    <w:rsid w:val="00774C91"/>
    <w:rsid w:val="00774E1E"/>
    <w:rsid w:val="00774E76"/>
    <w:rsid w:val="00774E9C"/>
    <w:rsid w:val="00774F02"/>
    <w:rsid w:val="00774FEE"/>
    <w:rsid w:val="00775067"/>
    <w:rsid w:val="00775085"/>
    <w:rsid w:val="007750A1"/>
    <w:rsid w:val="007750DE"/>
    <w:rsid w:val="00775102"/>
    <w:rsid w:val="00775181"/>
    <w:rsid w:val="00775405"/>
    <w:rsid w:val="0077542C"/>
    <w:rsid w:val="0077545E"/>
    <w:rsid w:val="00775462"/>
    <w:rsid w:val="00775488"/>
    <w:rsid w:val="007754BB"/>
    <w:rsid w:val="007754F1"/>
    <w:rsid w:val="00775611"/>
    <w:rsid w:val="0077564E"/>
    <w:rsid w:val="0077565A"/>
    <w:rsid w:val="007756F1"/>
    <w:rsid w:val="00775702"/>
    <w:rsid w:val="00775922"/>
    <w:rsid w:val="00775972"/>
    <w:rsid w:val="007759B6"/>
    <w:rsid w:val="007759E2"/>
    <w:rsid w:val="00775A7B"/>
    <w:rsid w:val="00775B16"/>
    <w:rsid w:val="00775B9A"/>
    <w:rsid w:val="00775C89"/>
    <w:rsid w:val="00775CDA"/>
    <w:rsid w:val="00775CFF"/>
    <w:rsid w:val="00775E16"/>
    <w:rsid w:val="00775E84"/>
    <w:rsid w:val="00775F10"/>
    <w:rsid w:val="00775F2F"/>
    <w:rsid w:val="00776067"/>
    <w:rsid w:val="00776072"/>
    <w:rsid w:val="00776128"/>
    <w:rsid w:val="0077616D"/>
    <w:rsid w:val="007763F6"/>
    <w:rsid w:val="00776438"/>
    <w:rsid w:val="00776594"/>
    <w:rsid w:val="007765A3"/>
    <w:rsid w:val="007765A5"/>
    <w:rsid w:val="00776607"/>
    <w:rsid w:val="0077664F"/>
    <w:rsid w:val="00776655"/>
    <w:rsid w:val="00776727"/>
    <w:rsid w:val="007767AC"/>
    <w:rsid w:val="00776841"/>
    <w:rsid w:val="00776A8C"/>
    <w:rsid w:val="00776AF8"/>
    <w:rsid w:val="00776B1E"/>
    <w:rsid w:val="00776BFB"/>
    <w:rsid w:val="00776C28"/>
    <w:rsid w:val="00776D91"/>
    <w:rsid w:val="00776F3E"/>
    <w:rsid w:val="00776FA7"/>
    <w:rsid w:val="00776FE5"/>
    <w:rsid w:val="0077702D"/>
    <w:rsid w:val="00777046"/>
    <w:rsid w:val="00777071"/>
    <w:rsid w:val="0077713E"/>
    <w:rsid w:val="00777251"/>
    <w:rsid w:val="0077728C"/>
    <w:rsid w:val="0077737A"/>
    <w:rsid w:val="0077748E"/>
    <w:rsid w:val="007775BE"/>
    <w:rsid w:val="007776A4"/>
    <w:rsid w:val="0077771F"/>
    <w:rsid w:val="0077780D"/>
    <w:rsid w:val="007778CB"/>
    <w:rsid w:val="00777A35"/>
    <w:rsid w:val="00777B40"/>
    <w:rsid w:val="00777CDF"/>
    <w:rsid w:val="00777D17"/>
    <w:rsid w:val="00777D81"/>
    <w:rsid w:val="00777EB2"/>
    <w:rsid w:val="00777EDC"/>
    <w:rsid w:val="00777FB2"/>
    <w:rsid w:val="00780036"/>
    <w:rsid w:val="0078004C"/>
    <w:rsid w:val="007800C8"/>
    <w:rsid w:val="00780113"/>
    <w:rsid w:val="00780153"/>
    <w:rsid w:val="007801A2"/>
    <w:rsid w:val="00780252"/>
    <w:rsid w:val="00780268"/>
    <w:rsid w:val="007802CE"/>
    <w:rsid w:val="007803DB"/>
    <w:rsid w:val="00780525"/>
    <w:rsid w:val="00780567"/>
    <w:rsid w:val="00780597"/>
    <w:rsid w:val="00780727"/>
    <w:rsid w:val="007807AC"/>
    <w:rsid w:val="007807E6"/>
    <w:rsid w:val="00780910"/>
    <w:rsid w:val="00780A00"/>
    <w:rsid w:val="00780A39"/>
    <w:rsid w:val="00780A3F"/>
    <w:rsid w:val="00780A4A"/>
    <w:rsid w:val="00780A52"/>
    <w:rsid w:val="00780A94"/>
    <w:rsid w:val="00780AAC"/>
    <w:rsid w:val="00780B5C"/>
    <w:rsid w:val="00780BDB"/>
    <w:rsid w:val="00780BFC"/>
    <w:rsid w:val="00780C50"/>
    <w:rsid w:val="00780C90"/>
    <w:rsid w:val="00780D4E"/>
    <w:rsid w:val="00780EF2"/>
    <w:rsid w:val="00781011"/>
    <w:rsid w:val="0078101A"/>
    <w:rsid w:val="00781044"/>
    <w:rsid w:val="00781181"/>
    <w:rsid w:val="007811C7"/>
    <w:rsid w:val="0078120B"/>
    <w:rsid w:val="00781265"/>
    <w:rsid w:val="00781296"/>
    <w:rsid w:val="0078131A"/>
    <w:rsid w:val="007813EA"/>
    <w:rsid w:val="0078140C"/>
    <w:rsid w:val="007814B9"/>
    <w:rsid w:val="00781523"/>
    <w:rsid w:val="00781532"/>
    <w:rsid w:val="00781556"/>
    <w:rsid w:val="00781629"/>
    <w:rsid w:val="0078166A"/>
    <w:rsid w:val="007816FD"/>
    <w:rsid w:val="007817A0"/>
    <w:rsid w:val="007817E8"/>
    <w:rsid w:val="007817F5"/>
    <w:rsid w:val="007818B6"/>
    <w:rsid w:val="0078193E"/>
    <w:rsid w:val="007819DE"/>
    <w:rsid w:val="00781A11"/>
    <w:rsid w:val="00781A88"/>
    <w:rsid w:val="00781AA9"/>
    <w:rsid w:val="00781BBD"/>
    <w:rsid w:val="00781BBF"/>
    <w:rsid w:val="00781D48"/>
    <w:rsid w:val="00781D90"/>
    <w:rsid w:val="00781E45"/>
    <w:rsid w:val="00781E7D"/>
    <w:rsid w:val="00781E9D"/>
    <w:rsid w:val="0078207A"/>
    <w:rsid w:val="00782085"/>
    <w:rsid w:val="007820DA"/>
    <w:rsid w:val="0078225C"/>
    <w:rsid w:val="0078236B"/>
    <w:rsid w:val="007823B2"/>
    <w:rsid w:val="0078241F"/>
    <w:rsid w:val="0078249A"/>
    <w:rsid w:val="00782603"/>
    <w:rsid w:val="00782861"/>
    <w:rsid w:val="0078286D"/>
    <w:rsid w:val="007828A0"/>
    <w:rsid w:val="007828BB"/>
    <w:rsid w:val="007828D1"/>
    <w:rsid w:val="007828F1"/>
    <w:rsid w:val="00782BCD"/>
    <w:rsid w:val="00782BE2"/>
    <w:rsid w:val="00782CE3"/>
    <w:rsid w:val="00782D46"/>
    <w:rsid w:val="00782D52"/>
    <w:rsid w:val="00782DFB"/>
    <w:rsid w:val="00782E0E"/>
    <w:rsid w:val="00782E15"/>
    <w:rsid w:val="00782EE1"/>
    <w:rsid w:val="00782F60"/>
    <w:rsid w:val="00782FCE"/>
    <w:rsid w:val="00782FDF"/>
    <w:rsid w:val="00782FF8"/>
    <w:rsid w:val="00783107"/>
    <w:rsid w:val="007831B5"/>
    <w:rsid w:val="0078321D"/>
    <w:rsid w:val="0078322B"/>
    <w:rsid w:val="0078325B"/>
    <w:rsid w:val="007832C1"/>
    <w:rsid w:val="00783323"/>
    <w:rsid w:val="00783473"/>
    <w:rsid w:val="007834A7"/>
    <w:rsid w:val="0078351B"/>
    <w:rsid w:val="0078355C"/>
    <w:rsid w:val="00783571"/>
    <w:rsid w:val="00783686"/>
    <w:rsid w:val="007836AD"/>
    <w:rsid w:val="007836E1"/>
    <w:rsid w:val="0078384A"/>
    <w:rsid w:val="007838D6"/>
    <w:rsid w:val="0078394C"/>
    <w:rsid w:val="00783988"/>
    <w:rsid w:val="007839CB"/>
    <w:rsid w:val="00783A0F"/>
    <w:rsid w:val="00783AEF"/>
    <w:rsid w:val="00783B62"/>
    <w:rsid w:val="00783BA3"/>
    <w:rsid w:val="00783BCA"/>
    <w:rsid w:val="00783D19"/>
    <w:rsid w:val="00783DD7"/>
    <w:rsid w:val="00783E0F"/>
    <w:rsid w:val="00783E54"/>
    <w:rsid w:val="00783EC8"/>
    <w:rsid w:val="00783F09"/>
    <w:rsid w:val="00784070"/>
    <w:rsid w:val="0078418C"/>
    <w:rsid w:val="0078425D"/>
    <w:rsid w:val="007842B3"/>
    <w:rsid w:val="00784420"/>
    <w:rsid w:val="00784431"/>
    <w:rsid w:val="007845D9"/>
    <w:rsid w:val="00784620"/>
    <w:rsid w:val="0078479C"/>
    <w:rsid w:val="007847E1"/>
    <w:rsid w:val="007848B5"/>
    <w:rsid w:val="00784998"/>
    <w:rsid w:val="00784AA0"/>
    <w:rsid w:val="00784ADE"/>
    <w:rsid w:val="00784BAA"/>
    <w:rsid w:val="00784D9F"/>
    <w:rsid w:val="00784DD1"/>
    <w:rsid w:val="00784E10"/>
    <w:rsid w:val="00784E40"/>
    <w:rsid w:val="00784E75"/>
    <w:rsid w:val="00784E91"/>
    <w:rsid w:val="00784F90"/>
    <w:rsid w:val="007850B8"/>
    <w:rsid w:val="007852BC"/>
    <w:rsid w:val="00785534"/>
    <w:rsid w:val="00785574"/>
    <w:rsid w:val="0078560E"/>
    <w:rsid w:val="00785776"/>
    <w:rsid w:val="007857A9"/>
    <w:rsid w:val="007857CF"/>
    <w:rsid w:val="007857F5"/>
    <w:rsid w:val="0078592B"/>
    <w:rsid w:val="0078596C"/>
    <w:rsid w:val="00785A08"/>
    <w:rsid w:val="00785A32"/>
    <w:rsid w:val="00785AF6"/>
    <w:rsid w:val="00785B48"/>
    <w:rsid w:val="00785B4D"/>
    <w:rsid w:val="00785B9B"/>
    <w:rsid w:val="00785C42"/>
    <w:rsid w:val="00785E6D"/>
    <w:rsid w:val="00785F5C"/>
    <w:rsid w:val="00785FC0"/>
    <w:rsid w:val="007860A9"/>
    <w:rsid w:val="007860B8"/>
    <w:rsid w:val="00786277"/>
    <w:rsid w:val="007862A4"/>
    <w:rsid w:val="007862B9"/>
    <w:rsid w:val="007862CD"/>
    <w:rsid w:val="00786304"/>
    <w:rsid w:val="00786383"/>
    <w:rsid w:val="007863FA"/>
    <w:rsid w:val="007864E7"/>
    <w:rsid w:val="0078650F"/>
    <w:rsid w:val="00786574"/>
    <w:rsid w:val="0078657C"/>
    <w:rsid w:val="007865C2"/>
    <w:rsid w:val="007865DE"/>
    <w:rsid w:val="007866F6"/>
    <w:rsid w:val="0078680B"/>
    <w:rsid w:val="0078682F"/>
    <w:rsid w:val="00786865"/>
    <w:rsid w:val="007868AF"/>
    <w:rsid w:val="00786A71"/>
    <w:rsid w:val="00786B35"/>
    <w:rsid w:val="00786B5C"/>
    <w:rsid w:val="00786BDB"/>
    <w:rsid w:val="00786BEB"/>
    <w:rsid w:val="00786C36"/>
    <w:rsid w:val="00786C78"/>
    <w:rsid w:val="00786D05"/>
    <w:rsid w:val="00786D31"/>
    <w:rsid w:val="00786EA0"/>
    <w:rsid w:val="00786F70"/>
    <w:rsid w:val="00786F86"/>
    <w:rsid w:val="00787061"/>
    <w:rsid w:val="00787090"/>
    <w:rsid w:val="007870BC"/>
    <w:rsid w:val="00787131"/>
    <w:rsid w:val="00787162"/>
    <w:rsid w:val="00787280"/>
    <w:rsid w:val="007872C2"/>
    <w:rsid w:val="0078730D"/>
    <w:rsid w:val="007873CD"/>
    <w:rsid w:val="00787511"/>
    <w:rsid w:val="0078755A"/>
    <w:rsid w:val="00787619"/>
    <w:rsid w:val="00787674"/>
    <w:rsid w:val="00787794"/>
    <w:rsid w:val="007877AA"/>
    <w:rsid w:val="0078786A"/>
    <w:rsid w:val="007878AF"/>
    <w:rsid w:val="00787A88"/>
    <w:rsid w:val="00787B11"/>
    <w:rsid w:val="00787B15"/>
    <w:rsid w:val="00787BB5"/>
    <w:rsid w:val="00787BC1"/>
    <w:rsid w:val="00787C2E"/>
    <w:rsid w:val="00787C76"/>
    <w:rsid w:val="00787CCD"/>
    <w:rsid w:val="00787F6F"/>
    <w:rsid w:val="00790023"/>
    <w:rsid w:val="0079007E"/>
    <w:rsid w:val="0079009C"/>
    <w:rsid w:val="007901B0"/>
    <w:rsid w:val="007901D9"/>
    <w:rsid w:val="00790298"/>
    <w:rsid w:val="007902B7"/>
    <w:rsid w:val="0079033D"/>
    <w:rsid w:val="00790480"/>
    <w:rsid w:val="0079057E"/>
    <w:rsid w:val="0079058E"/>
    <w:rsid w:val="007905D4"/>
    <w:rsid w:val="0079072C"/>
    <w:rsid w:val="00790732"/>
    <w:rsid w:val="007907A4"/>
    <w:rsid w:val="007907A7"/>
    <w:rsid w:val="007907AA"/>
    <w:rsid w:val="00790948"/>
    <w:rsid w:val="00790983"/>
    <w:rsid w:val="00790A3B"/>
    <w:rsid w:val="00790A6E"/>
    <w:rsid w:val="00790A73"/>
    <w:rsid w:val="00790A87"/>
    <w:rsid w:val="00790C46"/>
    <w:rsid w:val="00790CCB"/>
    <w:rsid w:val="00790D7A"/>
    <w:rsid w:val="00790DA4"/>
    <w:rsid w:val="00790E76"/>
    <w:rsid w:val="00790E8E"/>
    <w:rsid w:val="00790ED8"/>
    <w:rsid w:val="00790F0D"/>
    <w:rsid w:val="0079102F"/>
    <w:rsid w:val="0079103E"/>
    <w:rsid w:val="00791118"/>
    <w:rsid w:val="007911C4"/>
    <w:rsid w:val="00791224"/>
    <w:rsid w:val="00791386"/>
    <w:rsid w:val="0079139D"/>
    <w:rsid w:val="00791427"/>
    <w:rsid w:val="007915FE"/>
    <w:rsid w:val="0079167E"/>
    <w:rsid w:val="0079170F"/>
    <w:rsid w:val="0079173E"/>
    <w:rsid w:val="007918B8"/>
    <w:rsid w:val="0079190A"/>
    <w:rsid w:val="0079194E"/>
    <w:rsid w:val="00791996"/>
    <w:rsid w:val="00791A91"/>
    <w:rsid w:val="00791B39"/>
    <w:rsid w:val="00791B50"/>
    <w:rsid w:val="00791C0F"/>
    <w:rsid w:val="00791D78"/>
    <w:rsid w:val="00791DA2"/>
    <w:rsid w:val="00791DBD"/>
    <w:rsid w:val="00791E61"/>
    <w:rsid w:val="00791F69"/>
    <w:rsid w:val="00791FBB"/>
    <w:rsid w:val="00791FE8"/>
    <w:rsid w:val="00792111"/>
    <w:rsid w:val="0079217B"/>
    <w:rsid w:val="00792229"/>
    <w:rsid w:val="00792284"/>
    <w:rsid w:val="007923C4"/>
    <w:rsid w:val="00792483"/>
    <w:rsid w:val="007924AE"/>
    <w:rsid w:val="0079250B"/>
    <w:rsid w:val="007925AB"/>
    <w:rsid w:val="007925F4"/>
    <w:rsid w:val="007926D2"/>
    <w:rsid w:val="007926D6"/>
    <w:rsid w:val="00792719"/>
    <w:rsid w:val="007927F4"/>
    <w:rsid w:val="00792936"/>
    <w:rsid w:val="0079293D"/>
    <w:rsid w:val="007929DC"/>
    <w:rsid w:val="00792A02"/>
    <w:rsid w:val="00792B2A"/>
    <w:rsid w:val="00792B76"/>
    <w:rsid w:val="00792BC8"/>
    <w:rsid w:val="00792E2C"/>
    <w:rsid w:val="00792EFC"/>
    <w:rsid w:val="00792F17"/>
    <w:rsid w:val="00792F3A"/>
    <w:rsid w:val="00792F88"/>
    <w:rsid w:val="00793261"/>
    <w:rsid w:val="007932D4"/>
    <w:rsid w:val="007932F4"/>
    <w:rsid w:val="0079350C"/>
    <w:rsid w:val="00793567"/>
    <w:rsid w:val="007936CD"/>
    <w:rsid w:val="0079370C"/>
    <w:rsid w:val="0079374E"/>
    <w:rsid w:val="0079379A"/>
    <w:rsid w:val="0079388C"/>
    <w:rsid w:val="00793ACF"/>
    <w:rsid w:val="00793BAD"/>
    <w:rsid w:val="00793BDD"/>
    <w:rsid w:val="00793CFD"/>
    <w:rsid w:val="00793D7D"/>
    <w:rsid w:val="00793D88"/>
    <w:rsid w:val="00793D9B"/>
    <w:rsid w:val="00793E73"/>
    <w:rsid w:val="00793EEA"/>
    <w:rsid w:val="00793EF6"/>
    <w:rsid w:val="00793F45"/>
    <w:rsid w:val="007940A2"/>
    <w:rsid w:val="007940A9"/>
    <w:rsid w:val="007940C6"/>
    <w:rsid w:val="00794105"/>
    <w:rsid w:val="007941E4"/>
    <w:rsid w:val="0079428C"/>
    <w:rsid w:val="0079431B"/>
    <w:rsid w:val="00794348"/>
    <w:rsid w:val="007943A2"/>
    <w:rsid w:val="0079440C"/>
    <w:rsid w:val="00794554"/>
    <w:rsid w:val="00794667"/>
    <w:rsid w:val="007946E1"/>
    <w:rsid w:val="007946F6"/>
    <w:rsid w:val="007946FB"/>
    <w:rsid w:val="00794752"/>
    <w:rsid w:val="007947CD"/>
    <w:rsid w:val="00794857"/>
    <w:rsid w:val="00794862"/>
    <w:rsid w:val="007948B5"/>
    <w:rsid w:val="007949A0"/>
    <w:rsid w:val="00794ABF"/>
    <w:rsid w:val="00794ACE"/>
    <w:rsid w:val="00794B28"/>
    <w:rsid w:val="00794BB0"/>
    <w:rsid w:val="00794BFB"/>
    <w:rsid w:val="00794CE2"/>
    <w:rsid w:val="00794D80"/>
    <w:rsid w:val="00794DBE"/>
    <w:rsid w:val="00794E25"/>
    <w:rsid w:val="00794E43"/>
    <w:rsid w:val="00794E71"/>
    <w:rsid w:val="00794F29"/>
    <w:rsid w:val="00794FFB"/>
    <w:rsid w:val="007950DA"/>
    <w:rsid w:val="00795150"/>
    <w:rsid w:val="00795154"/>
    <w:rsid w:val="0079523B"/>
    <w:rsid w:val="0079526D"/>
    <w:rsid w:val="007952B1"/>
    <w:rsid w:val="0079530F"/>
    <w:rsid w:val="00795428"/>
    <w:rsid w:val="007954A1"/>
    <w:rsid w:val="00795518"/>
    <w:rsid w:val="00795547"/>
    <w:rsid w:val="00795570"/>
    <w:rsid w:val="0079558A"/>
    <w:rsid w:val="007955AA"/>
    <w:rsid w:val="0079561E"/>
    <w:rsid w:val="0079562C"/>
    <w:rsid w:val="0079582E"/>
    <w:rsid w:val="007958D2"/>
    <w:rsid w:val="007958D7"/>
    <w:rsid w:val="00795A02"/>
    <w:rsid w:val="00795A9E"/>
    <w:rsid w:val="00795B22"/>
    <w:rsid w:val="00795B33"/>
    <w:rsid w:val="00795C00"/>
    <w:rsid w:val="00795D30"/>
    <w:rsid w:val="00795D6C"/>
    <w:rsid w:val="00795DD8"/>
    <w:rsid w:val="00795ED2"/>
    <w:rsid w:val="00795F28"/>
    <w:rsid w:val="00795F38"/>
    <w:rsid w:val="00795FDB"/>
    <w:rsid w:val="00796076"/>
    <w:rsid w:val="0079617D"/>
    <w:rsid w:val="007961F2"/>
    <w:rsid w:val="00796267"/>
    <w:rsid w:val="007962C7"/>
    <w:rsid w:val="00796496"/>
    <w:rsid w:val="0079650B"/>
    <w:rsid w:val="007965BC"/>
    <w:rsid w:val="007967A3"/>
    <w:rsid w:val="007967F1"/>
    <w:rsid w:val="00796863"/>
    <w:rsid w:val="007969AE"/>
    <w:rsid w:val="007969BC"/>
    <w:rsid w:val="007969EB"/>
    <w:rsid w:val="007969F9"/>
    <w:rsid w:val="00796AD1"/>
    <w:rsid w:val="00796B10"/>
    <w:rsid w:val="00796B37"/>
    <w:rsid w:val="00796B92"/>
    <w:rsid w:val="00796D20"/>
    <w:rsid w:val="00796DB6"/>
    <w:rsid w:val="00796FCB"/>
    <w:rsid w:val="0079703E"/>
    <w:rsid w:val="00797055"/>
    <w:rsid w:val="007970D8"/>
    <w:rsid w:val="00797191"/>
    <w:rsid w:val="0079719D"/>
    <w:rsid w:val="007971F0"/>
    <w:rsid w:val="00797276"/>
    <w:rsid w:val="007972AF"/>
    <w:rsid w:val="007972C1"/>
    <w:rsid w:val="00797302"/>
    <w:rsid w:val="00797345"/>
    <w:rsid w:val="007974D5"/>
    <w:rsid w:val="00797588"/>
    <w:rsid w:val="0079758A"/>
    <w:rsid w:val="007975DF"/>
    <w:rsid w:val="00797644"/>
    <w:rsid w:val="007976E1"/>
    <w:rsid w:val="007977FC"/>
    <w:rsid w:val="00797905"/>
    <w:rsid w:val="00797A45"/>
    <w:rsid w:val="00797A5E"/>
    <w:rsid w:val="00797AFE"/>
    <w:rsid w:val="00797BA6"/>
    <w:rsid w:val="00797BBA"/>
    <w:rsid w:val="00797D09"/>
    <w:rsid w:val="00797D15"/>
    <w:rsid w:val="00797D95"/>
    <w:rsid w:val="00797DC1"/>
    <w:rsid w:val="007A0018"/>
    <w:rsid w:val="007A0170"/>
    <w:rsid w:val="007A029F"/>
    <w:rsid w:val="007A02C2"/>
    <w:rsid w:val="007A02F1"/>
    <w:rsid w:val="007A0358"/>
    <w:rsid w:val="007A03CB"/>
    <w:rsid w:val="007A03F4"/>
    <w:rsid w:val="007A046B"/>
    <w:rsid w:val="007A04D5"/>
    <w:rsid w:val="007A05A5"/>
    <w:rsid w:val="007A0650"/>
    <w:rsid w:val="007A0654"/>
    <w:rsid w:val="007A06F8"/>
    <w:rsid w:val="007A06FD"/>
    <w:rsid w:val="007A0751"/>
    <w:rsid w:val="007A07C7"/>
    <w:rsid w:val="007A07D8"/>
    <w:rsid w:val="007A0832"/>
    <w:rsid w:val="007A0846"/>
    <w:rsid w:val="007A08A4"/>
    <w:rsid w:val="007A0A28"/>
    <w:rsid w:val="007A0AD5"/>
    <w:rsid w:val="007A0AE1"/>
    <w:rsid w:val="007A0B72"/>
    <w:rsid w:val="007A0B84"/>
    <w:rsid w:val="007A0B8E"/>
    <w:rsid w:val="007A0B9D"/>
    <w:rsid w:val="007A0BE8"/>
    <w:rsid w:val="007A0CA0"/>
    <w:rsid w:val="007A0CEB"/>
    <w:rsid w:val="007A0D4F"/>
    <w:rsid w:val="007A0E50"/>
    <w:rsid w:val="007A0EC8"/>
    <w:rsid w:val="007A0F30"/>
    <w:rsid w:val="007A0F67"/>
    <w:rsid w:val="007A1063"/>
    <w:rsid w:val="007A1135"/>
    <w:rsid w:val="007A11E2"/>
    <w:rsid w:val="007A122A"/>
    <w:rsid w:val="007A12BC"/>
    <w:rsid w:val="007A12EE"/>
    <w:rsid w:val="007A1340"/>
    <w:rsid w:val="007A135B"/>
    <w:rsid w:val="007A1403"/>
    <w:rsid w:val="007A1445"/>
    <w:rsid w:val="007A14CE"/>
    <w:rsid w:val="007A14D9"/>
    <w:rsid w:val="007A1507"/>
    <w:rsid w:val="007A1565"/>
    <w:rsid w:val="007A15FC"/>
    <w:rsid w:val="007A1606"/>
    <w:rsid w:val="007A1673"/>
    <w:rsid w:val="007A1742"/>
    <w:rsid w:val="007A1861"/>
    <w:rsid w:val="007A1875"/>
    <w:rsid w:val="007A18BA"/>
    <w:rsid w:val="007A18C8"/>
    <w:rsid w:val="007A193E"/>
    <w:rsid w:val="007A19A3"/>
    <w:rsid w:val="007A1A5C"/>
    <w:rsid w:val="007A1AB2"/>
    <w:rsid w:val="007A1AE7"/>
    <w:rsid w:val="007A1C03"/>
    <w:rsid w:val="007A1C93"/>
    <w:rsid w:val="007A1D2D"/>
    <w:rsid w:val="007A1E00"/>
    <w:rsid w:val="007A1E0E"/>
    <w:rsid w:val="007A1E49"/>
    <w:rsid w:val="007A1E8D"/>
    <w:rsid w:val="007A1F03"/>
    <w:rsid w:val="007A1FEF"/>
    <w:rsid w:val="007A20B9"/>
    <w:rsid w:val="007A2248"/>
    <w:rsid w:val="007A229C"/>
    <w:rsid w:val="007A22CE"/>
    <w:rsid w:val="007A2364"/>
    <w:rsid w:val="007A23F9"/>
    <w:rsid w:val="007A2402"/>
    <w:rsid w:val="007A2528"/>
    <w:rsid w:val="007A253E"/>
    <w:rsid w:val="007A2633"/>
    <w:rsid w:val="007A2636"/>
    <w:rsid w:val="007A2643"/>
    <w:rsid w:val="007A2684"/>
    <w:rsid w:val="007A27D5"/>
    <w:rsid w:val="007A281B"/>
    <w:rsid w:val="007A2AA5"/>
    <w:rsid w:val="007A2AD0"/>
    <w:rsid w:val="007A2AFB"/>
    <w:rsid w:val="007A2BAC"/>
    <w:rsid w:val="007A2BD7"/>
    <w:rsid w:val="007A2BE0"/>
    <w:rsid w:val="007A2C0A"/>
    <w:rsid w:val="007A2D28"/>
    <w:rsid w:val="007A2D5F"/>
    <w:rsid w:val="007A2D74"/>
    <w:rsid w:val="007A2E0B"/>
    <w:rsid w:val="007A2E1C"/>
    <w:rsid w:val="007A2F50"/>
    <w:rsid w:val="007A30E6"/>
    <w:rsid w:val="007A3196"/>
    <w:rsid w:val="007A31EB"/>
    <w:rsid w:val="007A3356"/>
    <w:rsid w:val="007A3393"/>
    <w:rsid w:val="007A33B7"/>
    <w:rsid w:val="007A33E4"/>
    <w:rsid w:val="007A350A"/>
    <w:rsid w:val="007A3525"/>
    <w:rsid w:val="007A35C9"/>
    <w:rsid w:val="007A361A"/>
    <w:rsid w:val="007A364F"/>
    <w:rsid w:val="007A36D1"/>
    <w:rsid w:val="007A36FC"/>
    <w:rsid w:val="007A3755"/>
    <w:rsid w:val="007A377B"/>
    <w:rsid w:val="007A38AD"/>
    <w:rsid w:val="007A38BF"/>
    <w:rsid w:val="007A3B7A"/>
    <w:rsid w:val="007A3BCF"/>
    <w:rsid w:val="007A3C89"/>
    <w:rsid w:val="007A3D89"/>
    <w:rsid w:val="007A3D94"/>
    <w:rsid w:val="007A3EA7"/>
    <w:rsid w:val="007A3EDC"/>
    <w:rsid w:val="007A3F05"/>
    <w:rsid w:val="007A3F7D"/>
    <w:rsid w:val="007A3FB8"/>
    <w:rsid w:val="007A403D"/>
    <w:rsid w:val="007A4127"/>
    <w:rsid w:val="007A415B"/>
    <w:rsid w:val="007A417F"/>
    <w:rsid w:val="007A41A4"/>
    <w:rsid w:val="007A42E3"/>
    <w:rsid w:val="007A42F8"/>
    <w:rsid w:val="007A4420"/>
    <w:rsid w:val="007A45BB"/>
    <w:rsid w:val="007A4651"/>
    <w:rsid w:val="007A468A"/>
    <w:rsid w:val="007A46A3"/>
    <w:rsid w:val="007A4771"/>
    <w:rsid w:val="007A4B33"/>
    <w:rsid w:val="007A4B83"/>
    <w:rsid w:val="007A4BA2"/>
    <w:rsid w:val="007A4BD2"/>
    <w:rsid w:val="007A4E26"/>
    <w:rsid w:val="007A4E5A"/>
    <w:rsid w:val="007A4E8C"/>
    <w:rsid w:val="007A500B"/>
    <w:rsid w:val="007A5025"/>
    <w:rsid w:val="007A503A"/>
    <w:rsid w:val="007A5042"/>
    <w:rsid w:val="007A50F9"/>
    <w:rsid w:val="007A52BC"/>
    <w:rsid w:val="007A52EE"/>
    <w:rsid w:val="007A543D"/>
    <w:rsid w:val="007A552F"/>
    <w:rsid w:val="007A5552"/>
    <w:rsid w:val="007A55A9"/>
    <w:rsid w:val="007A55C1"/>
    <w:rsid w:val="007A5621"/>
    <w:rsid w:val="007A567C"/>
    <w:rsid w:val="007A5714"/>
    <w:rsid w:val="007A5843"/>
    <w:rsid w:val="007A586E"/>
    <w:rsid w:val="007A5896"/>
    <w:rsid w:val="007A58B2"/>
    <w:rsid w:val="007A58B3"/>
    <w:rsid w:val="007A58CB"/>
    <w:rsid w:val="007A58E8"/>
    <w:rsid w:val="007A5953"/>
    <w:rsid w:val="007A595B"/>
    <w:rsid w:val="007A59D8"/>
    <w:rsid w:val="007A5A3A"/>
    <w:rsid w:val="007A5AB8"/>
    <w:rsid w:val="007A5ADE"/>
    <w:rsid w:val="007A5BE2"/>
    <w:rsid w:val="007A5C7C"/>
    <w:rsid w:val="007A5C84"/>
    <w:rsid w:val="007A5CD0"/>
    <w:rsid w:val="007A5D30"/>
    <w:rsid w:val="007A5D60"/>
    <w:rsid w:val="007A5D65"/>
    <w:rsid w:val="007A5E81"/>
    <w:rsid w:val="007A5E82"/>
    <w:rsid w:val="007A5F08"/>
    <w:rsid w:val="007A5F59"/>
    <w:rsid w:val="007A6052"/>
    <w:rsid w:val="007A60B5"/>
    <w:rsid w:val="007A619F"/>
    <w:rsid w:val="007A61EC"/>
    <w:rsid w:val="007A62A8"/>
    <w:rsid w:val="007A62CA"/>
    <w:rsid w:val="007A6426"/>
    <w:rsid w:val="007A6457"/>
    <w:rsid w:val="007A65B9"/>
    <w:rsid w:val="007A65FD"/>
    <w:rsid w:val="007A6636"/>
    <w:rsid w:val="007A663D"/>
    <w:rsid w:val="007A66B2"/>
    <w:rsid w:val="007A66B6"/>
    <w:rsid w:val="007A66E7"/>
    <w:rsid w:val="007A6755"/>
    <w:rsid w:val="007A6883"/>
    <w:rsid w:val="007A6888"/>
    <w:rsid w:val="007A6898"/>
    <w:rsid w:val="007A68A7"/>
    <w:rsid w:val="007A695B"/>
    <w:rsid w:val="007A6994"/>
    <w:rsid w:val="007A6A8F"/>
    <w:rsid w:val="007A6B61"/>
    <w:rsid w:val="007A6B77"/>
    <w:rsid w:val="007A6BD5"/>
    <w:rsid w:val="007A6C0E"/>
    <w:rsid w:val="007A6CAE"/>
    <w:rsid w:val="007A6CB2"/>
    <w:rsid w:val="007A6CD4"/>
    <w:rsid w:val="007A6EA9"/>
    <w:rsid w:val="007A6F1B"/>
    <w:rsid w:val="007A6F88"/>
    <w:rsid w:val="007A704D"/>
    <w:rsid w:val="007A7062"/>
    <w:rsid w:val="007A7167"/>
    <w:rsid w:val="007A7227"/>
    <w:rsid w:val="007A722B"/>
    <w:rsid w:val="007A7340"/>
    <w:rsid w:val="007A736E"/>
    <w:rsid w:val="007A7388"/>
    <w:rsid w:val="007A73D7"/>
    <w:rsid w:val="007A742D"/>
    <w:rsid w:val="007A74EC"/>
    <w:rsid w:val="007A7593"/>
    <w:rsid w:val="007A7594"/>
    <w:rsid w:val="007A7689"/>
    <w:rsid w:val="007A769D"/>
    <w:rsid w:val="007A76EF"/>
    <w:rsid w:val="007A7769"/>
    <w:rsid w:val="007A7805"/>
    <w:rsid w:val="007A781F"/>
    <w:rsid w:val="007A78E5"/>
    <w:rsid w:val="007A7930"/>
    <w:rsid w:val="007A7945"/>
    <w:rsid w:val="007A797F"/>
    <w:rsid w:val="007A798B"/>
    <w:rsid w:val="007A79BF"/>
    <w:rsid w:val="007A7A69"/>
    <w:rsid w:val="007A7AB2"/>
    <w:rsid w:val="007A7AC0"/>
    <w:rsid w:val="007A7B02"/>
    <w:rsid w:val="007A7B22"/>
    <w:rsid w:val="007A7BBB"/>
    <w:rsid w:val="007A7C1F"/>
    <w:rsid w:val="007A7C8B"/>
    <w:rsid w:val="007A7CD2"/>
    <w:rsid w:val="007A7D78"/>
    <w:rsid w:val="007A7DB5"/>
    <w:rsid w:val="007A7DF9"/>
    <w:rsid w:val="007A7E92"/>
    <w:rsid w:val="007A7F29"/>
    <w:rsid w:val="007A7F4C"/>
    <w:rsid w:val="007A7FC0"/>
    <w:rsid w:val="007A7FFD"/>
    <w:rsid w:val="007A7FFE"/>
    <w:rsid w:val="007B0072"/>
    <w:rsid w:val="007B0099"/>
    <w:rsid w:val="007B00FD"/>
    <w:rsid w:val="007B01AA"/>
    <w:rsid w:val="007B023A"/>
    <w:rsid w:val="007B02E6"/>
    <w:rsid w:val="007B033E"/>
    <w:rsid w:val="007B04F3"/>
    <w:rsid w:val="007B0550"/>
    <w:rsid w:val="007B05E4"/>
    <w:rsid w:val="007B0759"/>
    <w:rsid w:val="007B07A3"/>
    <w:rsid w:val="007B07D7"/>
    <w:rsid w:val="007B07EE"/>
    <w:rsid w:val="007B089B"/>
    <w:rsid w:val="007B08BF"/>
    <w:rsid w:val="007B08DE"/>
    <w:rsid w:val="007B08FF"/>
    <w:rsid w:val="007B0960"/>
    <w:rsid w:val="007B09F8"/>
    <w:rsid w:val="007B0B40"/>
    <w:rsid w:val="007B0C08"/>
    <w:rsid w:val="007B0C25"/>
    <w:rsid w:val="007B0D2A"/>
    <w:rsid w:val="007B0DC4"/>
    <w:rsid w:val="007B0F26"/>
    <w:rsid w:val="007B10CE"/>
    <w:rsid w:val="007B114D"/>
    <w:rsid w:val="007B118A"/>
    <w:rsid w:val="007B11E6"/>
    <w:rsid w:val="007B1241"/>
    <w:rsid w:val="007B1309"/>
    <w:rsid w:val="007B1336"/>
    <w:rsid w:val="007B13ED"/>
    <w:rsid w:val="007B1646"/>
    <w:rsid w:val="007B169D"/>
    <w:rsid w:val="007B16DD"/>
    <w:rsid w:val="007B16EB"/>
    <w:rsid w:val="007B16F5"/>
    <w:rsid w:val="007B1709"/>
    <w:rsid w:val="007B173F"/>
    <w:rsid w:val="007B179E"/>
    <w:rsid w:val="007B17C9"/>
    <w:rsid w:val="007B1835"/>
    <w:rsid w:val="007B1980"/>
    <w:rsid w:val="007B19FB"/>
    <w:rsid w:val="007B1A8D"/>
    <w:rsid w:val="007B1C5F"/>
    <w:rsid w:val="007B1C68"/>
    <w:rsid w:val="007B1C73"/>
    <w:rsid w:val="007B1CAC"/>
    <w:rsid w:val="007B1D04"/>
    <w:rsid w:val="007B1D0E"/>
    <w:rsid w:val="007B1D56"/>
    <w:rsid w:val="007B1D7B"/>
    <w:rsid w:val="007B1DB0"/>
    <w:rsid w:val="007B1DE6"/>
    <w:rsid w:val="007B1DE8"/>
    <w:rsid w:val="007B1F95"/>
    <w:rsid w:val="007B2086"/>
    <w:rsid w:val="007B21B1"/>
    <w:rsid w:val="007B21E5"/>
    <w:rsid w:val="007B221B"/>
    <w:rsid w:val="007B2233"/>
    <w:rsid w:val="007B226E"/>
    <w:rsid w:val="007B22A0"/>
    <w:rsid w:val="007B22DA"/>
    <w:rsid w:val="007B2353"/>
    <w:rsid w:val="007B238D"/>
    <w:rsid w:val="007B23D9"/>
    <w:rsid w:val="007B2498"/>
    <w:rsid w:val="007B24AE"/>
    <w:rsid w:val="007B24C2"/>
    <w:rsid w:val="007B24F4"/>
    <w:rsid w:val="007B254D"/>
    <w:rsid w:val="007B25E0"/>
    <w:rsid w:val="007B2668"/>
    <w:rsid w:val="007B2689"/>
    <w:rsid w:val="007B276F"/>
    <w:rsid w:val="007B27EC"/>
    <w:rsid w:val="007B284F"/>
    <w:rsid w:val="007B2858"/>
    <w:rsid w:val="007B2868"/>
    <w:rsid w:val="007B294B"/>
    <w:rsid w:val="007B2B4F"/>
    <w:rsid w:val="007B2BB7"/>
    <w:rsid w:val="007B2BD2"/>
    <w:rsid w:val="007B2C3A"/>
    <w:rsid w:val="007B2C4B"/>
    <w:rsid w:val="007B2D00"/>
    <w:rsid w:val="007B2D15"/>
    <w:rsid w:val="007B2D3A"/>
    <w:rsid w:val="007B2D58"/>
    <w:rsid w:val="007B2E90"/>
    <w:rsid w:val="007B2FA9"/>
    <w:rsid w:val="007B3022"/>
    <w:rsid w:val="007B3033"/>
    <w:rsid w:val="007B3069"/>
    <w:rsid w:val="007B3088"/>
    <w:rsid w:val="007B3098"/>
    <w:rsid w:val="007B30AD"/>
    <w:rsid w:val="007B30FC"/>
    <w:rsid w:val="007B31CD"/>
    <w:rsid w:val="007B31E4"/>
    <w:rsid w:val="007B31E9"/>
    <w:rsid w:val="007B31F4"/>
    <w:rsid w:val="007B3237"/>
    <w:rsid w:val="007B328B"/>
    <w:rsid w:val="007B33D9"/>
    <w:rsid w:val="007B3483"/>
    <w:rsid w:val="007B34DA"/>
    <w:rsid w:val="007B34E5"/>
    <w:rsid w:val="007B3515"/>
    <w:rsid w:val="007B35C7"/>
    <w:rsid w:val="007B36FA"/>
    <w:rsid w:val="007B384D"/>
    <w:rsid w:val="007B384E"/>
    <w:rsid w:val="007B3892"/>
    <w:rsid w:val="007B3951"/>
    <w:rsid w:val="007B3964"/>
    <w:rsid w:val="007B39E9"/>
    <w:rsid w:val="007B39EA"/>
    <w:rsid w:val="007B3AA2"/>
    <w:rsid w:val="007B3ADF"/>
    <w:rsid w:val="007B3B05"/>
    <w:rsid w:val="007B3BC4"/>
    <w:rsid w:val="007B3C32"/>
    <w:rsid w:val="007B3C33"/>
    <w:rsid w:val="007B3CC6"/>
    <w:rsid w:val="007B3CDA"/>
    <w:rsid w:val="007B3D42"/>
    <w:rsid w:val="007B3D8D"/>
    <w:rsid w:val="007B3E6E"/>
    <w:rsid w:val="007B3F00"/>
    <w:rsid w:val="007B3FE2"/>
    <w:rsid w:val="007B4057"/>
    <w:rsid w:val="007B40B6"/>
    <w:rsid w:val="007B40D1"/>
    <w:rsid w:val="007B4179"/>
    <w:rsid w:val="007B41A6"/>
    <w:rsid w:val="007B41CF"/>
    <w:rsid w:val="007B41E3"/>
    <w:rsid w:val="007B41FE"/>
    <w:rsid w:val="007B4214"/>
    <w:rsid w:val="007B4285"/>
    <w:rsid w:val="007B431D"/>
    <w:rsid w:val="007B4328"/>
    <w:rsid w:val="007B4352"/>
    <w:rsid w:val="007B4363"/>
    <w:rsid w:val="007B465A"/>
    <w:rsid w:val="007B4AA6"/>
    <w:rsid w:val="007B4ACB"/>
    <w:rsid w:val="007B4B34"/>
    <w:rsid w:val="007B4C1E"/>
    <w:rsid w:val="007B4C2C"/>
    <w:rsid w:val="007B4C4F"/>
    <w:rsid w:val="007B4D37"/>
    <w:rsid w:val="007B4E01"/>
    <w:rsid w:val="007B4E51"/>
    <w:rsid w:val="007B4EC7"/>
    <w:rsid w:val="007B4ECA"/>
    <w:rsid w:val="007B4ED6"/>
    <w:rsid w:val="007B4F04"/>
    <w:rsid w:val="007B4F35"/>
    <w:rsid w:val="007B4FF2"/>
    <w:rsid w:val="007B5022"/>
    <w:rsid w:val="007B5025"/>
    <w:rsid w:val="007B5319"/>
    <w:rsid w:val="007B534D"/>
    <w:rsid w:val="007B538D"/>
    <w:rsid w:val="007B542F"/>
    <w:rsid w:val="007B545A"/>
    <w:rsid w:val="007B545B"/>
    <w:rsid w:val="007B550E"/>
    <w:rsid w:val="007B55B6"/>
    <w:rsid w:val="007B5609"/>
    <w:rsid w:val="007B563A"/>
    <w:rsid w:val="007B5680"/>
    <w:rsid w:val="007B56F1"/>
    <w:rsid w:val="007B5704"/>
    <w:rsid w:val="007B571D"/>
    <w:rsid w:val="007B57C3"/>
    <w:rsid w:val="007B5842"/>
    <w:rsid w:val="007B5888"/>
    <w:rsid w:val="007B5990"/>
    <w:rsid w:val="007B5A00"/>
    <w:rsid w:val="007B5AC6"/>
    <w:rsid w:val="007B5ADD"/>
    <w:rsid w:val="007B5AF5"/>
    <w:rsid w:val="007B5B12"/>
    <w:rsid w:val="007B5BA6"/>
    <w:rsid w:val="007B5BF7"/>
    <w:rsid w:val="007B5E6D"/>
    <w:rsid w:val="007B5F1C"/>
    <w:rsid w:val="007B5F30"/>
    <w:rsid w:val="007B6036"/>
    <w:rsid w:val="007B6084"/>
    <w:rsid w:val="007B6087"/>
    <w:rsid w:val="007B61F7"/>
    <w:rsid w:val="007B6251"/>
    <w:rsid w:val="007B6292"/>
    <w:rsid w:val="007B63B7"/>
    <w:rsid w:val="007B63C0"/>
    <w:rsid w:val="007B64D3"/>
    <w:rsid w:val="007B6633"/>
    <w:rsid w:val="007B67C1"/>
    <w:rsid w:val="007B6812"/>
    <w:rsid w:val="007B6850"/>
    <w:rsid w:val="007B6936"/>
    <w:rsid w:val="007B6997"/>
    <w:rsid w:val="007B69EE"/>
    <w:rsid w:val="007B6A3E"/>
    <w:rsid w:val="007B6BE2"/>
    <w:rsid w:val="007B6C01"/>
    <w:rsid w:val="007B6C2A"/>
    <w:rsid w:val="007B6C33"/>
    <w:rsid w:val="007B6C6A"/>
    <w:rsid w:val="007B6C84"/>
    <w:rsid w:val="007B6D3B"/>
    <w:rsid w:val="007B6D7C"/>
    <w:rsid w:val="007B6DBA"/>
    <w:rsid w:val="007B6E24"/>
    <w:rsid w:val="007B6E3C"/>
    <w:rsid w:val="007B6EB8"/>
    <w:rsid w:val="007B6F3D"/>
    <w:rsid w:val="007B6F66"/>
    <w:rsid w:val="007B7093"/>
    <w:rsid w:val="007B71ED"/>
    <w:rsid w:val="007B722E"/>
    <w:rsid w:val="007B72C6"/>
    <w:rsid w:val="007B72CB"/>
    <w:rsid w:val="007B731C"/>
    <w:rsid w:val="007B7457"/>
    <w:rsid w:val="007B7486"/>
    <w:rsid w:val="007B74D5"/>
    <w:rsid w:val="007B75A2"/>
    <w:rsid w:val="007B780C"/>
    <w:rsid w:val="007B7976"/>
    <w:rsid w:val="007B79EB"/>
    <w:rsid w:val="007B7A09"/>
    <w:rsid w:val="007B7A1A"/>
    <w:rsid w:val="007B7A3B"/>
    <w:rsid w:val="007B7B57"/>
    <w:rsid w:val="007B7BD6"/>
    <w:rsid w:val="007B7CCD"/>
    <w:rsid w:val="007B7D1E"/>
    <w:rsid w:val="007B7D20"/>
    <w:rsid w:val="007B7D50"/>
    <w:rsid w:val="007B7D62"/>
    <w:rsid w:val="007B7DDD"/>
    <w:rsid w:val="007B7DE3"/>
    <w:rsid w:val="007B7E83"/>
    <w:rsid w:val="007B7ED7"/>
    <w:rsid w:val="007B7F4C"/>
    <w:rsid w:val="007B7F66"/>
    <w:rsid w:val="007B7FB9"/>
    <w:rsid w:val="007B7FBA"/>
    <w:rsid w:val="007C013A"/>
    <w:rsid w:val="007C01E2"/>
    <w:rsid w:val="007C01E3"/>
    <w:rsid w:val="007C0207"/>
    <w:rsid w:val="007C0295"/>
    <w:rsid w:val="007C02B0"/>
    <w:rsid w:val="007C02F2"/>
    <w:rsid w:val="007C041A"/>
    <w:rsid w:val="007C0471"/>
    <w:rsid w:val="007C04F3"/>
    <w:rsid w:val="007C04FA"/>
    <w:rsid w:val="007C0550"/>
    <w:rsid w:val="007C05AB"/>
    <w:rsid w:val="007C05CE"/>
    <w:rsid w:val="007C05E0"/>
    <w:rsid w:val="007C05F5"/>
    <w:rsid w:val="007C0608"/>
    <w:rsid w:val="007C0633"/>
    <w:rsid w:val="007C0708"/>
    <w:rsid w:val="007C077C"/>
    <w:rsid w:val="007C082B"/>
    <w:rsid w:val="007C0850"/>
    <w:rsid w:val="007C08A6"/>
    <w:rsid w:val="007C098A"/>
    <w:rsid w:val="007C09A2"/>
    <w:rsid w:val="007C0A05"/>
    <w:rsid w:val="007C0A53"/>
    <w:rsid w:val="007C0AC7"/>
    <w:rsid w:val="007C0ACE"/>
    <w:rsid w:val="007C0B84"/>
    <w:rsid w:val="007C0BCE"/>
    <w:rsid w:val="007C0C1B"/>
    <w:rsid w:val="007C0CEE"/>
    <w:rsid w:val="007C0E02"/>
    <w:rsid w:val="007C0F6F"/>
    <w:rsid w:val="007C0FD6"/>
    <w:rsid w:val="007C102B"/>
    <w:rsid w:val="007C108C"/>
    <w:rsid w:val="007C11FB"/>
    <w:rsid w:val="007C1258"/>
    <w:rsid w:val="007C125A"/>
    <w:rsid w:val="007C1338"/>
    <w:rsid w:val="007C14A3"/>
    <w:rsid w:val="007C150F"/>
    <w:rsid w:val="007C166C"/>
    <w:rsid w:val="007C168A"/>
    <w:rsid w:val="007C17C8"/>
    <w:rsid w:val="007C17F5"/>
    <w:rsid w:val="007C182B"/>
    <w:rsid w:val="007C183D"/>
    <w:rsid w:val="007C190C"/>
    <w:rsid w:val="007C1974"/>
    <w:rsid w:val="007C1B50"/>
    <w:rsid w:val="007C1BD0"/>
    <w:rsid w:val="007C1BD4"/>
    <w:rsid w:val="007C1BF7"/>
    <w:rsid w:val="007C1D4C"/>
    <w:rsid w:val="007C1D69"/>
    <w:rsid w:val="007C1EEF"/>
    <w:rsid w:val="007C1EF7"/>
    <w:rsid w:val="007C1EFA"/>
    <w:rsid w:val="007C2136"/>
    <w:rsid w:val="007C2165"/>
    <w:rsid w:val="007C21DD"/>
    <w:rsid w:val="007C2382"/>
    <w:rsid w:val="007C2492"/>
    <w:rsid w:val="007C24DD"/>
    <w:rsid w:val="007C252B"/>
    <w:rsid w:val="007C2538"/>
    <w:rsid w:val="007C262A"/>
    <w:rsid w:val="007C2686"/>
    <w:rsid w:val="007C270D"/>
    <w:rsid w:val="007C2781"/>
    <w:rsid w:val="007C2802"/>
    <w:rsid w:val="007C28DA"/>
    <w:rsid w:val="007C290A"/>
    <w:rsid w:val="007C2917"/>
    <w:rsid w:val="007C2950"/>
    <w:rsid w:val="007C29C7"/>
    <w:rsid w:val="007C2AF2"/>
    <w:rsid w:val="007C2B61"/>
    <w:rsid w:val="007C2BCC"/>
    <w:rsid w:val="007C2C36"/>
    <w:rsid w:val="007C2C70"/>
    <w:rsid w:val="007C2CC6"/>
    <w:rsid w:val="007C2CDD"/>
    <w:rsid w:val="007C2D57"/>
    <w:rsid w:val="007C2D5F"/>
    <w:rsid w:val="007C2E55"/>
    <w:rsid w:val="007C2EB2"/>
    <w:rsid w:val="007C31BF"/>
    <w:rsid w:val="007C32BE"/>
    <w:rsid w:val="007C333A"/>
    <w:rsid w:val="007C3393"/>
    <w:rsid w:val="007C3395"/>
    <w:rsid w:val="007C33DC"/>
    <w:rsid w:val="007C33F7"/>
    <w:rsid w:val="007C3481"/>
    <w:rsid w:val="007C34AB"/>
    <w:rsid w:val="007C3786"/>
    <w:rsid w:val="007C384C"/>
    <w:rsid w:val="007C385E"/>
    <w:rsid w:val="007C3868"/>
    <w:rsid w:val="007C3B98"/>
    <w:rsid w:val="007C3C93"/>
    <w:rsid w:val="007C3DD5"/>
    <w:rsid w:val="007C3DD9"/>
    <w:rsid w:val="007C3E36"/>
    <w:rsid w:val="007C3EB2"/>
    <w:rsid w:val="007C3F9C"/>
    <w:rsid w:val="007C400B"/>
    <w:rsid w:val="007C4186"/>
    <w:rsid w:val="007C4206"/>
    <w:rsid w:val="007C4294"/>
    <w:rsid w:val="007C42D5"/>
    <w:rsid w:val="007C436E"/>
    <w:rsid w:val="007C436F"/>
    <w:rsid w:val="007C4396"/>
    <w:rsid w:val="007C4473"/>
    <w:rsid w:val="007C452C"/>
    <w:rsid w:val="007C453C"/>
    <w:rsid w:val="007C4567"/>
    <w:rsid w:val="007C4602"/>
    <w:rsid w:val="007C46FD"/>
    <w:rsid w:val="007C4733"/>
    <w:rsid w:val="007C47BD"/>
    <w:rsid w:val="007C47CB"/>
    <w:rsid w:val="007C47EB"/>
    <w:rsid w:val="007C49D5"/>
    <w:rsid w:val="007C49E1"/>
    <w:rsid w:val="007C4C32"/>
    <w:rsid w:val="007C4CA2"/>
    <w:rsid w:val="007C4D4A"/>
    <w:rsid w:val="007C4DBE"/>
    <w:rsid w:val="007C4E37"/>
    <w:rsid w:val="007C4EDB"/>
    <w:rsid w:val="007C4F3C"/>
    <w:rsid w:val="007C509E"/>
    <w:rsid w:val="007C5147"/>
    <w:rsid w:val="007C517D"/>
    <w:rsid w:val="007C51A0"/>
    <w:rsid w:val="007C51E3"/>
    <w:rsid w:val="007C5219"/>
    <w:rsid w:val="007C527E"/>
    <w:rsid w:val="007C52EE"/>
    <w:rsid w:val="007C5367"/>
    <w:rsid w:val="007C53B3"/>
    <w:rsid w:val="007C53E4"/>
    <w:rsid w:val="007C54C9"/>
    <w:rsid w:val="007C54D2"/>
    <w:rsid w:val="007C55CF"/>
    <w:rsid w:val="007C5654"/>
    <w:rsid w:val="007C566D"/>
    <w:rsid w:val="007C56A1"/>
    <w:rsid w:val="007C584C"/>
    <w:rsid w:val="007C58BB"/>
    <w:rsid w:val="007C5AA4"/>
    <w:rsid w:val="007C5C6E"/>
    <w:rsid w:val="007C5EC9"/>
    <w:rsid w:val="007C5EEC"/>
    <w:rsid w:val="007C5F0A"/>
    <w:rsid w:val="007C5FB9"/>
    <w:rsid w:val="007C603B"/>
    <w:rsid w:val="007C6060"/>
    <w:rsid w:val="007C6133"/>
    <w:rsid w:val="007C6143"/>
    <w:rsid w:val="007C6162"/>
    <w:rsid w:val="007C6186"/>
    <w:rsid w:val="007C61C2"/>
    <w:rsid w:val="007C62A1"/>
    <w:rsid w:val="007C630E"/>
    <w:rsid w:val="007C6423"/>
    <w:rsid w:val="007C6439"/>
    <w:rsid w:val="007C64A6"/>
    <w:rsid w:val="007C6557"/>
    <w:rsid w:val="007C65C1"/>
    <w:rsid w:val="007C669D"/>
    <w:rsid w:val="007C66E2"/>
    <w:rsid w:val="007C671B"/>
    <w:rsid w:val="007C67E5"/>
    <w:rsid w:val="007C6826"/>
    <w:rsid w:val="007C683F"/>
    <w:rsid w:val="007C6894"/>
    <w:rsid w:val="007C690C"/>
    <w:rsid w:val="007C697B"/>
    <w:rsid w:val="007C69CC"/>
    <w:rsid w:val="007C6A49"/>
    <w:rsid w:val="007C6A77"/>
    <w:rsid w:val="007C6D2A"/>
    <w:rsid w:val="007C6D81"/>
    <w:rsid w:val="007C6E4E"/>
    <w:rsid w:val="007C6E86"/>
    <w:rsid w:val="007C6FFB"/>
    <w:rsid w:val="007C70D9"/>
    <w:rsid w:val="007C7121"/>
    <w:rsid w:val="007C713B"/>
    <w:rsid w:val="007C71CA"/>
    <w:rsid w:val="007C7229"/>
    <w:rsid w:val="007C7230"/>
    <w:rsid w:val="007C724B"/>
    <w:rsid w:val="007C72E0"/>
    <w:rsid w:val="007C732A"/>
    <w:rsid w:val="007C734F"/>
    <w:rsid w:val="007C74D0"/>
    <w:rsid w:val="007C755D"/>
    <w:rsid w:val="007C75F9"/>
    <w:rsid w:val="007C7600"/>
    <w:rsid w:val="007C7668"/>
    <w:rsid w:val="007C7714"/>
    <w:rsid w:val="007C7740"/>
    <w:rsid w:val="007C77C3"/>
    <w:rsid w:val="007C782C"/>
    <w:rsid w:val="007C7876"/>
    <w:rsid w:val="007C790C"/>
    <w:rsid w:val="007C79B1"/>
    <w:rsid w:val="007C7A53"/>
    <w:rsid w:val="007C7A93"/>
    <w:rsid w:val="007C7B85"/>
    <w:rsid w:val="007C7B8D"/>
    <w:rsid w:val="007C7BAB"/>
    <w:rsid w:val="007C7C99"/>
    <w:rsid w:val="007C7CE6"/>
    <w:rsid w:val="007C7D6C"/>
    <w:rsid w:val="007C7DC3"/>
    <w:rsid w:val="007C7E9A"/>
    <w:rsid w:val="007C7F79"/>
    <w:rsid w:val="007C7F86"/>
    <w:rsid w:val="007D00D3"/>
    <w:rsid w:val="007D010E"/>
    <w:rsid w:val="007D02B3"/>
    <w:rsid w:val="007D03B5"/>
    <w:rsid w:val="007D0400"/>
    <w:rsid w:val="007D0435"/>
    <w:rsid w:val="007D04A7"/>
    <w:rsid w:val="007D04F6"/>
    <w:rsid w:val="007D0547"/>
    <w:rsid w:val="007D05E6"/>
    <w:rsid w:val="007D066D"/>
    <w:rsid w:val="007D06B9"/>
    <w:rsid w:val="007D06F0"/>
    <w:rsid w:val="007D072A"/>
    <w:rsid w:val="007D07D3"/>
    <w:rsid w:val="007D0847"/>
    <w:rsid w:val="007D08BE"/>
    <w:rsid w:val="007D08CA"/>
    <w:rsid w:val="007D0944"/>
    <w:rsid w:val="007D0995"/>
    <w:rsid w:val="007D09B2"/>
    <w:rsid w:val="007D0A05"/>
    <w:rsid w:val="007D0B9D"/>
    <w:rsid w:val="007D0CA1"/>
    <w:rsid w:val="007D0DC4"/>
    <w:rsid w:val="007D0EE9"/>
    <w:rsid w:val="007D0F18"/>
    <w:rsid w:val="007D0F37"/>
    <w:rsid w:val="007D10CA"/>
    <w:rsid w:val="007D10D1"/>
    <w:rsid w:val="007D1149"/>
    <w:rsid w:val="007D11C3"/>
    <w:rsid w:val="007D126C"/>
    <w:rsid w:val="007D12A4"/>
    <w:rsid w:val="007D1353"/>
    <w:rsid w:val="007D1428"/>
    <w:rsid w:val="007D1452"/>
    <w:rsid w:val="007D146B"/>
    <w:rsid w:val="007D1473"/>
    <w:rsid w:val="007D14B6"/>
    <w:rsid w:val="007D14D1"/>
    <w:rsid w:val="007D14FE"/>
    <w:rsid w:val="007D1550"/>
    <w:rsid w:val="007D157D"/>
    <w:rsid w:val="007D171A"/>
    <w:rsid w:val="007D18DA"/>
    <w:rsid w:val="007D192B"/>
    <w:rsid w:val="007D193B"/>
    <w:rsid w:val="007D19CC"/>
    <w:rsid w:val="007D1A23"/>
    <w:rsid w:val="007D1A52"/>
    <w:rsid w:val="007D1A87"/>
    <w:rsid w:val="007D1B49"/>
    <w:rsid w:val="007D1B68"/>
    <w:rsid w:val="007D1B8E"/>
    <w:rsid w:val="007D1BE8"/>
    <w:rsid w:val="007D1CFA"/>
    <w:rsid w:val="007D1DE2"/>
    <w:rsid w:val="007D1E68"/>
    <w:rsid w:val="007D1EAB"/>
    <w:rsid w:val="007D1EF5"/>
    <w:rsid w:val="007D1F00"/>
    <w:rsid w:val="007D1FCC"/>
    <w:rsid w:val="007D20E7"/>
    <w:rsid w:val="007D2133"/>
    <w:rsid w:val="007D21CD"/>
    <w:rsid w:val="007D21FF"/>
    <w:rsid w:val="007D2209"/>
    <w:rsid w:val="007D226A"/>
    <w:rsid w:val="007D22FB"/>
    <w:rsid w:val="007D2331"/>
    <w:rsid w:val="007D236B"/>
    <w:rsid w:val="007D2413"/>
    <w:rsid w:val="007D248F"/>
    <w:rsid w:val="007D24BA"/>
    <w:rsid w:val="007D24C1"/>
    <w:rsid w:val="007D24E7"/>
    <w:rsid w:val="007D25EE"/>
    <w:rsid w:val="007D2611"/>
    <w:rsid w:val="007D269E"/>
    <w:rsid w:val="007D2716"/>
    <w:rsid w:val="007D272F"/>
    <w:rsid w:val="007D2789"/>
    <w:rsid w:val="007D289E"/>
    <w:rsid w:val="007D28BE"/>
    <w:rsid w:val="007D2A72"/>
    <w:rsid w:val="007D2A97"/>
    <w:rsid w:val="007D2AC0"/>
    <w:rsid w:val="007D2B14"/>
    <w:rsid w:val="007D2B25"/>
    <w:rsid w:val="007D2B26"/>
    <w:rsid w:val="007D2B4B"/>
    <w:rsid w:val="007D2C11"/>
    <w:rsid w:val="007D2C3B"/>
    <w:rsid w:val="007D2CEA"/>
    <w:rsid w:val="007D2DD9"/>
    <w:rsid w:val="007D2E6A"/>
    <w:rsid w:val="007D2ED4"/>
    <w:rsid w:val="007D2F0E"/>
    <w:rsid w:val="007D30F6"/>
    <w:rsid w:val="007D311D"/>
    <w:rsid w:val="007D32B8"/>
    <w:rsid w:val="007D3381"/>
    <w:rsid w:val="007D3387"/>
    <w:rsid w:val="007D3412"/>
    <w:rsid w:val="007D3466"/>
    <w:rsid w:val="007D3469"/>
    <w:rsid w:val="007D3478"/>
    <w:rsid w:val="007D350E"/>
    <w:rsid w:val="007D35FB"/>
    <w:rsid w:val="007D3729"/>
    <w:rsid w:val="007D376F"/>
    <w:rsid w:val="007D3879"/>
    <w:rsid w:val="007D3985"/>
    <w:rsid w:val="007D3A9B"/>
    <w:rsid w:val="007D3ACD"/>
    <w:rsid w:val="007D3B20"/>
    <w:rsid w:val="007D3C6E"/>
    <w:rsid w:val="007D3DFD"/>
    <w:rsid w:val="007D3F1B"/>
    <w:rsid w:val="007D3F52"/>
    <w:rsid w:val="007D3F7C"/>
    <w:rsid w:val="007D3FB5"/>
    <w:rsid w:val="007D4093"/>
    <w:rsid w:val="007D41BC"/>
    <w:rsid w:val="007D41D1"/>
    <w:rsid w:val="007D4241"/>
    <w:rsid w:val="007D4352"/>
    <w:rsid w:val="007D4358"/>
    <w:rsid w:val="007D44E3"/>
    <w:rsid w:val="007D4641"/>
    <w:rsid w:val="007D4658"/>
    <w:rsid w:val="007D4727"/>
    <w:rsid w:val="007D4758"/>
    <w:rsid w:val="007D47C3"/>
    <w:rsid w:val="007D4842"/>
    <w:rsid w:val="007D4876"/>
    <w:rsid w:val="007D4958"/>
    <w:rsid w:val="007D4974"/>
    <w:rsid w:val="007D49B1"/>
    <w:rsid w:val="007D4AA9"/>
    <w:rsid w:val="007D4B0E"/>
    <w:rsid w:val="007D4D3E"/>
    <w:rsid w:val="007D4D85"/>
    <w:rsid w:val="007D4DCB"/>
    <w:rsid w:val="007D4E3E"/>
    <w:rsid w:val="007D4E93"/>
    <w:rsid w:val="007D4EA5"/>
    <w:rsid w:val="007D4EF4"/>
    <w:rsid w:val="007D5041"/>
    <w:rsid w:val="007D508F"/>
    <w:rsid w:val="007D50C1"/>
    <w:rsid w:val="007D5159"/>
    <w:rsid w:val="007D515A"/>
    <w:rsid w:val="007D51BF"/>
    <w:rsid w:val="007D51FF"/>
    <w:rsid w:val="007D5265"/>
    <w:rsid w:val="007D52AB"/>
    <w:rsid w:val="007D52B8"/>
    <w:rsid w:val="007D5302"/>
    <w:rsid w:val="007D5335"/>
    <w:rsid w:val="007D55A0"/>
    <w:rsid w:val="007D55FA"/>
    <w:rsid w:val="007D5624"/>
    <w:rsid w:val="007D5668"/>
    <w:rsid w:val="007D56A5"/>
    <w:rsid w:val="007D56C7"/>
    <w:rsid w:val="007D57D2"/>
    <w:rsid w:val="007D595A"/>
    <w:rsid w:val="007D599D"/>
    <w:rsid w:val="007D59C2"/>
    <w:rsid w:val="007D5B35"/>
    <w:rsid w:val="007D5C7D"/>
    <w:rsid w:val="007D5D1A"/>
    <w:rsid w:val="007D5D96"/>
    <w:rsid w:val="007D5DF9"/>
    <w:rsid w:val="007D5FBE"/>
    <w:rsid w:val="007D5FEF"/>
    <w:rsid w:val="007D6026"/>
    <w:rsid w:val="007D6057"/>
    <w:rsid w:val="007D60E5"/>
    <w:rsid w:val="007D6165"/>
    <w:rsid w:val="007D623B"/>
    <w:rsid w:val="007D6266"/>
    <w:rsid w:val="007D62DE"/>
    <w:rsid w:val="007D631D"/>
    <w:rsid w:val="007D6380"/>
    <w:rsid w:val="007D639A"/>
    <w:rsid w:val="007D63CE"/>
    <w:rsid w:val="007D641A"/>
    <w:rsid w:val="007D6440"/>
    <w:rsid w:val="007D64E2"/>
    <w:rsid w:val="007D6514"/>
    <w:rsid w:val="007D656C"/>
    <w:rsid w:val="007D657E"/>
    <w:rsid w:val="007D65AF"/>
    <w:rsid w:val="007D65E6"/>
    <w:rsid w:val="007D6604"/>
    <w:rsid w:val="007D67E1"/>
    <w:rsid w:val="007D68B8"/>
    <w:rsid w:val="007D6950"/>
    <w:rsid w:val="007D69C6"/>
    <w:rsid w:val="007D6B5D"/>
    <w:rsid w:val="007D6BBE"/>
    <w:rsid w:val="007D6C26"/>
    <w:rsid w:val="007D6CB9"/>
    <w:rsid w:val="007D6E3E"/>
    <w:rsid w:val="007D6E91"/>
    <w:rsid w:val="007D6EB0"/>
    <w:rsid w:val="007D6EF0"/>
    <w:rsid w:val="007D700E"/>
    <w:rsid w:val="007D701C"/>
    <w:rsid w:val="007D702E"/>
    <w:rsid w:val="007D713E"/>
    <w:rsid w:val="007D718C"/>
    <w:rsid w:val="007D7239"/>
    <w:rsid w:val="007D725C"/>
    <w:rsid w:val="007D728D"/>
    <w:rsid w:val="007D72B6"/>
    <w:rsid w:val="007D72B8"/>
    <w:rsid w:val="007D72E2"/>
    <w:rsid w:val="007D733D"/>
    <w:rsid w:val="007D73D7"/>
    <w:rsid w:val="007D73E4"/>
    <w:rsid w:val="007D7438"/>
    <w:rsid w:val="007D7560"/>
    <w:rsid w:val="007D772E"/>
    <w:rsid w:val="007D7738"/>
    <w:rsid w:val="007D7746"/>
    <w:rsid w:val="007D777C"/>
    <w:rsid w:val="007D77AB"/>
    <w:rsid w:val="007D77C8"/>
    <w:rsid w:val="007D781F"/>
    <w:rsid w:val="007D783E"/>
    <w:rsid w:val="007D7889"/>
    <w:rsid w:val="007D78E7"/>
    <w:rsid w:val="007D7989"/>
    <w:rsid w:val="007D79F2"/>
    <w:rsid w:val="007D7C4E"/>
    <w:rsid w:val="007D7C54"/>
    <w:rsid w:val="007D7CB8"/>
    <w:rsid w:val="007D7D8A"/>
    <w:rsid w:val="007D7DD7"/>
    <w:rsid w:val="007D7E2C"/>
    <w:rsid w:val="007D7E55"/>
    <w:rsid w:val="007D7EED"/>
    <w:rsid w:val="007E00B6"/>
    <w:rsid w:val="007E00EC"/>
    <w:rsid w:val="007E015C"/>
    <w:rsid w:val="007E01E3"/>
    <w:rsid w:val="007E02DD"/>
    <w:rsid w:val="007E02DF"/>
    <w:rsid w:val="007E04A6"/>
    <w:rsid w:val="007E0522"/>
    <w:rsid w:val="007E0532"/>
    <w:rsid w:val="007E057B"/>
    <w:rsid w:val="007E0580"/>
    <w:rsid w:val="007E05D2"/>
    <w:rsid w:val="007E074F"/>
    <w:rsid w:val="007E076A"/>
    <w:rsid w:val="007E07FA"/>
    <w:rsid w:val="007E0968"/>
    <w:rsid w:val="007E09A5"/>
    <w:rsid w:val="007E09A8"/>
    <w:rsid w:val="007E09EA"/>
    <w:rsid w:val="007E0AD3"/>
    <w:rsid w:val="007E0AEA"/>
    <w:rsid w:val="007E0B26"/>
    <w:rsid w:val="007E0B2E"/>
    <w:rsid w:val="007E0B55"/>
    <w:rsid w:val="007E0BC9"/>
    <w:rsid w:val="007E0C79"/>
    <w:rsid w:val="007E0C8E"/>
    <w:rsid w:val="007E0CBA"/>
    <w:rsid w:val="007E0D5A"/>
    <w:rsid w:val="007E0D64"/>
    <w:rsid w:val="007E0D78"/>
    <w:rsid w:val="007E0DAC"/>
    <w:rsid w:val="007E0DD2"/>
    <w:rsid w:val="007E0DF0"/>
    <w:rsid w:val="007E0E28"/>
    <w:rsid w:val="007E0F64"/>
    <w:rsid w:val="007E0F8D"/>
    <w:rsid w:val="007E0FBB"/>
    <w:rsid w:val="007E100E"/>
    <w:rsid w:val="007E106F"/>
    <w:rsid w:val="007E1153"/>
    <w:rsid w:val="007E120A"/>
    <w:rsid w:val="007E12B3"/>
    <w:rsid w:val="007E1312"/>
    <w:rsid w:val="007E13B6"/>
    <w:rsid w:val="007E13FA"/>
    <w:rsid w:val="007E149E"/>
    <w:rsid w:val="007E1692"/>
    <w:rsid w:val="007E16A1"/>
    <w:rsid w:val="007E16E6"/>
    <w:rsid w:val="007E17A9"/>
    <w:rsid w:val="007E1896"/>
    <w:rsid w:val="007E1944"/>
    <w:rsid w:val="007E1993"/>
    <w:rsid w:val="007E1A14"/>
    <w:rsid w:val="007E1BC4"/>
    <w:rsid w:val="007E1D0B"/>
    <w:rsid w:val="007E1DB8"/>
    <w:rsid w:val="007E1DC2"/>
    <w:rsid w:val="007E1DE2"/>
    <w:rsid w:val="007E1ED2"/>
    <w:rsid w:val="007E1EDA"/>
    <w:rsid w:val="007E1FDC"/>
    <w:rsid w:val="007E2058"/>
    <w:rsid w:val="007E205C"/>
    <w:rsid w:val="007E20C3"/>
    <w:rsid w:val="007E20F3"/>
    <w:rsid w:val="007E2100"/>
    <w:rsid w:val="007E2167"/>
    <w:rsid w:val="007E21FA"/>
    <w:rsid w:val="007E2242"/>
    <w:rsid w:val="007E2284"/>
    <w:rsid w:val="007E228D"/>
    <w:rsid w:val="007E22AF"/>
    <w:rsid w:val="007E2313"/>
    <w:rsid w:val="007E2318"/>
    <w:rsid w:val="007E2369"/>
    <w:rsid w:val="007E245B"/>
    <w:rsid w:val="007E252E"/>
    <w:rsid w:val="007E25B0"/>
    <w:rsid w:val="007E2617"/>
    <w:rsid w:val="007E2664"/>
    <w:rsid w:val="007E275A"/>
    <w:rsid w:val="007E27C5"/>
    <w:rsid w:val="007E27D9"/>
    <w:rsid w:val="007E2913"/>
    <w:rsid w:val="007E2984"/>
    <w:rsid w:val="007E29A6"/>
    <w:rsid w:val="007E2A65"/>
    <w:rsid w:val="007E2ADC"/>
    <w:rsid w:val="007E2B15"/>
    <w:rsid w:val="007E2B51"/>
    <w:rsid w:val="007E2D95"/>
    <w:rsid w:val="007E2D9D"/>
    <w:rsid w:val="007E2DA3"/>
    <w:rsid w:val="007E2DD6"/>
    <w:rsid w:val="007E2E01"/>
    <w:rsid w:val="007E2E73"/>
    <w:rsid w:val="007E2E8E"/>
    <w:rsid w:val="007E2ECE"/>
    <w:rsid w:val="007E300B"/>
    <w:rsid w:val="007E309F"/>
    <w:rsid w:val="007E313B"/>
    <w:rsid w:val="007E3181"/>
    <w:rsid w:val="007E325A"/>
    <w:rsid w:val="007E3463"/>
    <w:rsid w:val="007E349A"/>
    <w:rsid w:val="007E358A"/>
    <w:rsid w:val="007E35F8"/>
    <w:rsid w:val="007E3789"/>
    <w:rsid w:val="007E37AA"/>
    <w:rsid w:val="007E3856"/>
    <w:rsid w:val="007E38AC"/>
    <w:rsid w:val="007E3B13"/>
    <w:rsid w:val="007E3C5B"/>
    <w:rsid w:val="007E3C89"/>
    <w:rsid w:val="007E3D08"/>
    <w:rsid w:val="007E3D6B"/>
    <w:rsid w:val="007E3D70"/>
    <w:rsid w:val="007E3E16"/>
    <w:rsid w:val="007E3EA2"/>
    <w:rsid w:val="007E3F1B"/>
    <w:rsid w:val="007E3F41"/>
    <w:rsid w:val="007E3F7A"/>
    <w:rsid w:val="007E4208"/>
    <w:rsid w:val="007E4287"/>
    <w:rsid w:val="007E42E9"/>
    <w:rsid w:val="007E4384"/>
    <w:rsid w:val="007E4406"/>
    <w:rsid w:val="007E4559"/>
    <w:rsid w:val="007E4566"/>
    <w:rsid w:val="007E456A"/>
    <w:rsid w:val="007E4636"/>
    <w:rsid w:val="007E476F"/>
    <w:rsid w:val="007E4799"/>
    <w:rsid w:val="007E47E9"/>
    <w:rsid w:val="007E4818"/>
    <w:rsid w:val="007E4847"/>
    <w:rsid w:val="007E4882"/>
    <w:rsid w:val="007E4996"/>
    <w:rsid w:val="007E4AA9"/>
    <w:rsid w:val="007E4B40"/>
    <w:rsid w:val="007E4E7B"/>
    <w:rsid w:val="007E4EB3"/>
    <w:rsid w:val="007E4F2E"/>
    <w:rsid w:val="007E5155"/>
    <w:rsid w:val="007E5162"/>
    <w:rsid w:val="007E51BE"/>
    <w:rsid w:val="007E51EE"/>
    <w:rsid w:val="007E5444"/>
    <w:rsid w:val="007E5562"/>
    <w:rsid w:val="007E55AB"/>
    <w:rsid w:val="007E561E"/>
    <w:rsid w:val="007E562C"/>
    <w:rsid w:val="007E5637"/>
    <w:rsid w:val="007E56C1"/>
    <w:rsid w:val="007E56EA"/>
    <w:rsid w:val="007E5719"/>
    <w:rsid w:val="007E57BD"/>
    <w:rsid w:val="007E57FD"/>
    <w:rsid w:val="007E5855"/>
    <w:rsid w:val="007E590D"/>
    <w:rsid w:val="007E5974"/>
    <w:rsid w:val="007E598B"/>
    <w:rsid w:val="007E5A61"/>
    <w:rsid w:val="007E5A95"/>
    <w:rsid w:val="007E5AB8"/>
    <w:rsid w:val="007E5AE9"/>
    <w:rsid w:val="007E5BD0"/>
    <w:rsid w:val="007E5C2E"/>
    <w:rsid w:val="007E5C33"/>
    <w:rsid w:val="007E5C40"/>
    <w:rsid w:val="007E5C52"/>
    <w:rsid w:val="007E5C80"/>
    <w:rsid w:val="007E5CA5"/>
    <w:rsid w:val="007E5CF5"/>
    <w:rsid w:val="007E5DE7"/>
    <w:rsid w:val="007E5E98"/>
    <w:rsid w:val="007E5EBB"/>
    <w:rsid w:val="007E5EC6"/>
    <w:rsid w:val="007E6045"/>
    <w:rsid w:val="007E60DD"/>
    <w:rsid w:val="007E614A"/>
    <w:rsid w:val="007E616A"/>
    <w:rsid w:val="007E61CB"/>
    <w:rsid w:val="007E61F9"/>
    <w:rsid w:val="007E6296"/>
    <w:rsid w:val="007E638E"/>
    <w:rsid w:val="007E63EA"/>
    <w:rsid w:val="007E6407"/>
    <w:rsid w:val="007E6440"/>
    <w:rsid w:val="007E6533"/>
    <w:rsid w:val="007E6584"/>
    <w:rsid w:val="007E65B4"/>
    <w:rsid w:val="007E667D"/>
    <w:rsid w:val="007E66F7"/>
    <w:rsid w:val="007E66FD"/>
    <w:rsid w:val="007E674E"/>
    <w:rsid w:val="007E6760"/>
    <w:rsid w:val="007E6770"/>
    <w:rsid w:val="007E677F"/>
    <w:rsid w:val="007E67BF"/>
    <w:rsid w:val="007E6815"/>
    <w:rsid w:val="007E68C0"/>
    <w:rsid w:val="007E6930"/>
    <w:rsid w:val="007E695A"/>
    <w:rsid w:val="007E6A69"/>
    <w:rsid w:val="007E6A96"/>
    <w:rsid w:val="007E6B0F"/>
    <w:rsid w:val="007E6B15"/>
    <w:rsid w:val="007E6B37"/>
    <w:rsid w:val="007E6C79"/>
    <w:rsid w:val="007E6C8E"/>
    <w:rsid w:val="007E6E9C"/>
    <w:rsid w:val="007E6EE5"/>
    <w:rsid w:val="007E6F15"/>
    <w:rsid w:val="007E6FD7"/>
    <w:rsid w:val="007E703A"/>
    <w:rsid w:val="007E70B5"/>
    <w:rsid w:val="007E70BF"/>
    <w:rsid w:val="007E713A"/>
    <w:rsid w:val="007E7188"/>
    <w:rsid w:val="007E7288"/>
    <w:rsid w:val="007E7359"/>
    <w:rsid w:val="007E73B8"/>
    <w:rsid w:val="007E7577"/>
    <w:rsid w:val="007E75AA"/>
    <w:rsid w:val="007E7663"/>
    <w:rsid w:val="007E7678"/>
    <w:rsid w:val="007E76DE"/>
    <w:rsid w:val="007E7707"/>
    <w:rsid w:val="007E772C"/>
    <w:rsid w:val="007E777A"/>
    <w:rsid w:val="007E77B7"/>
    <w:rsid w:val="007E78C2"/>
    <w:rsid w:val="007E7928"/>
    <w:rsid w:val="007E7937"/>
    <w:rsid w:val="007E7A68"/>
    <w:rsid w:val="007E7AA8"/>
    <w:rsid w:val="007E7AE0"/>
    <w:rsid w:val="007E7BD3"/>
    <w:rsid w:val="007E7C69"/>
    <w:rsid w:val="007E7CD5"/>
    <w:rsid w:val="007E7D23"/>
    <w:rsid w:val="007E7D6D"/>
    <w:rsid w:val="007E7E8A"/>
    <w:rsid w:val="007E7F77"/>
    <w:rsid w:val="007E7F9C"/>
    <w:rsid w:val="007F0128"/>
    <w:rsid w:val="007F01AE"/>
    <w:rsid w:val="007F01D6"/>
    <w:rsid w:val="007F02B5"/>
    <w:rsid w:val="007F03C5"/>
    <w:rsid w:val="007F04A0"/>
    <w:rsid w:val="007F0569"/>
    <w:rsid w:val="007F05A8"/>
    <w:rsid w:val="007F05F0"/>
    <w:rsid w:val="007F05F5"/>
    <w:rsid w:val="007F0677"/>
    <w:rsid w:val="007F06A0"/>
    <w:rsid w:val="007F06ED"/>
    <w:rsid w:val="007F071C"/>
    <w:rsid w:val="007F0755"/>
    <w:rsid w:val="007F07F1"/>
    <w:rsid w:val="007F0870"/>
    <w:rsid w:val="007F0876"/>
    <w:rsid w:val="007F0879"/>
    <w:rsid w:val="007F0957"/>
    <w:rsid w:val="007F096E"/>
    <w:rsid w:val="007F0977"/>
    <w:rsid w:val="007F09A2"/>
    <w:rsid w:val="007F0BBD"/>
    <w:rsid w:val="007F0C9C"/>
    <w:rsid w:val="007F0D04"/>
    <w:rsid w:val="007F0D91"/>
    <w:rsid w:val="007F0E3C"/>
    <w:rsid w:val="007F0F1D"/>
    <w:rsid w:val="007F100A"/>
    <w:rsid w:val="007F10B1"/>
    <w:rsid w:val="007F10E7"/>
    <w:rsid w:val="007F112A"/>
    <w:rsid w:val="007F11AA"/>
    <w:rsid w:val="007F11DD"/>
    <w:rsid w:val="007F1234"/>
    <w:rsid w:val="007F123C"/>
    <w:rsid w:val="007F1241"/>
    <w:rsid w:val="007F129B"/>
    <w:rsid w:val="007F134A"/>
    <w:rsid w:val="007F1543"/>
    <w:rsid w:val="007F1579"/>
    <w:rsid w:val="007F1581"/>
    <w:rsid w:val="007F15DF"/>
    <w:rsid w:val="007F1604"/>
    <w:rsid w:val="007F1657"/>
    <w:rsid w:val="007F1774"/>
    <w:rsid w:val="007F1813"/>
    <w:rsid w:val="007F1852"/>
    <w:rsid w:val="007F186D"/>
    <w:rsid w:val="007F1892"/>
    <w:rsid w:val="007F18D7"/>
    <w:rsid w:val="007F1A29"/>
    <w:rsid w:val="007F1A74"/>
    <w:rsid w:val="007F1AEE"/>
    <w:rsid w:val="007F1B35"/>
    <w:rsid w:val="007F1BC6"/>
    <w:rsid w:val="007F1BDA"/>
    <w:rsid w:val="007F1BE9"/>
    <w:rsid w:val="007F1C47"/>
    <w:rsid w:val="007F1C57"/>
    <w:rsid w:val="007F1CEF"/>
    <w:rsid w:val="007F1D4D"/>
    <w:rsid w:val="007F1D66"/>
    <w:rsid w:val="007F1D71"/>
    <w:rsid w:val="007F1DAE"/>
    <w:rsid w:val="007F1E2B"/>
    <w:rsid w:val="007F1EDA"/>
    <w:rsid w:val="007F1F11"/>
    <w:rsid w:val="007F1F28"/>
    <w:rsid w:val="007F2020"/>
    <w:rsid w:val="007F21D5"/>
    <w:rsid w:val="007F21F6"/>
    <w:rsid w:val="007F2277"/>
    <w:rsid w:val="007F22D6"/>
    <w:rsid w:val="007F2552"/>
    <w:rsid w:val="007F2563"/>
    <w:rsid w:val="007F258E"/>
    <w:rsid w:val="007F26B8"/>
    <w:rsid w:val="007F27F6"/>
    <w:rsid w:val="007F2934"/>
    <w:rsid w:val="007F2A95"/>
    <w:rsid w:val="007F2A9B"/>
    <w:rsid w:val="007F2B0B"/>
    <w:rsid w:val="007F2B0F"/>
    <w:rsid w:val="007F2B49"/>
    <w:rsid w:val="007F2C3E"/>
    <w:rsid w:val="007F2D91"/>
    <w:rsid w:val="007F2D9A"/>
    <w:rsid w:val="007F2EBC"/>
    <w:rsid w:val="007F2ECC"/>
    <w:rsid w:val="007F2F0D"/>
    <w:rsid w:val="007F2FA5"/>
    <w:rsid w:val="007F3036"/>
    <w:rsid w:val="007F3048"/>
    <w:rsid w:val="007F30C6"/>
    <w:rsid w:val="007F30DF"/>
    <w:rsid w:val="007F31F0"/>
    <w:rsid w:val="007F3399"/>
    <w:rsid w:val="007F33DF"/>
    <w:rsid w:val="007F3466"/>
    <w:rsid w:val="007F346C"/>
    <w:rsid w:val="007F34BC"/>
    <w:rsid w:val="007F34DB"/>
    <w:rsid w:val="007F37C9"/>
    <w:rsid w:val="007F380A"/>
    <w:rsid w:val="007F384E"/>
    <w:rsid w:val="007F38E0"/>
    <w:rsid w:val="007F3940"/>
    <w:rsid w:val="007F39EF"/>
    <w:rsid w:val="007F39F8"/>
    <w:rsid w:val="007F39FE"/>
    <w:rsid w:val="007F3A02"/>
    <w:rsid w:val="007F3A74"/>
    <w:rsid w:val="007F3B07"/>
    <w:rsid w:val="007F3B2E"/>
    <w:rsid w:val="007F3BF5"/>
    <w:rsid w:val="007F3C15"/>
    <w:rsid w:val="007F3C1F"/>
    <w:rsid w:val="007F3C3C"/>
    <w:rsid w:val="007F3D9D"/>
    <w:rsid w:val="007F3E65"/>
    <w:rsid w:val="007F3E7F"/>
    <w:rsid w:val="007F3F1B"/>
    <w:rsid w:val="007F415F"/>
    <w:rsid w:val="007F418B"/>
    <w:rsid w:val="007F418C"/>
    <w:rsid w:val="007F423E"/>
    <w:rsid w:val="007F4280"/>
    <w:rsid w:val="007F4292"/>
    <w:rsid w:val="007F45B3"/>
    <w:rsid w:val="007F45DF"/>
    <w:rsid w:val="007F45E7"/>
    <w:rsid w:val="007F45FE"/>
    <w:rsid w:val="007F463B"/>
    <w:rsid w:val="007F4695"/>
    <w:rsid w:val="007F46F8"/>
    <w:rsid w:val="007F472E"/>
    <w:rsid w:val="007F4828"/>
    <w:rsid w:val="007F4836"/>
    <w:rsid w:val="007F4874"/>
    <w:rsid w:val="007F48DF"/>
    <w:rsid w:val="007F491D"/>
    <w:rsid w:val="007F4998"/>
    <w:rsid w:val="007F49AC"/>
    <w:rsid w:val="007F4A77"/>
    <w:rsid w:val="007F4BAE"/>
    <w:rsid w:val="007F4BB7"/>
    <w:rsid w:val="007F4C77"/>
    <w:rsid w:val="007F4C8A"/>
    <w:rsid w:val="007F4CA3"/>
    <w:rsid w:val="007F4D37"/>
    <w:rsid w:val="007F4D3C"/>
    <w:rsid w:val="007F4D62"/>
    <w:rsid w:val="007F4DAB"/>
    <w:rsid w:val="007F4E28"/>
    <w:rsid w:val="007F4E98"/>
    <w:rsid w:val="007F4EBF"/>
    <w:rsid w:val="007F4FAF"/>
    <w:rsid w:val="007F4FF6"/>
    <w:rsid w:val="007F4FFA"/>
    <w:rsid w:val="007F50BB"/>
    <w:rsid w:val="007F50F2"/>
    <w:rsid w:val="007F518B"/>
    <w:rsid w:val="007F5225"/>
    <w:rsid w:val="007F5230"/>
    <w:rsid w:val="007F524A"/>
    <w:rsid w:val="007F5313"/>
    <w:rsid w:val="007F53BD"/>
    <w:rsid w:val="007F5413"/>
    <w:rsid w:val="007F545F"/>
    <w:rsid w:val="007F548D"/>
    <w:rsid w:val="007F54E4"/>
    <w:rsid w:val="007F556D"/>
    <w:rsid w:val="007F558E"/>
    <w:rsid w:val="007F5698"/>
    <w:rsid w:val="007F575B"/>
    <w:rsid w:val="007F5826"/>
    <w:rsid w:val="007F58E5"/>
    <w:rsid w:val="007F5953"/>
    <w:rsid w:val="007F59B2"/>
    <w:rsid w:val="007F59B6"/>
    <w:rsid w:val="007F5ACA"/>
    <w:rsid w:val="007F5B79"/>
    <w:rsid w:val="007F5BDF"/>
    <w:rsid w:val="007F5BE1"/>
    <w:rsid w:val="007F5C2B"/>
    <w:rsid w:val="007F5C49"/>
    <w:rsid w:val="007F5C88"/>
    <w:rsid w:val="007F5CEB"/>
    <w:rsid w:val="007F5DA8"/>
    <w:rsid w:val="007F5DE6"/>
    <w:rsid w:val="007F5E14"/>
    <w:rsid w:val="007F5F17"/>
    <w:rsid w:val="007F5F6B"/>
    <w:rsid w:val="007F5F93"/>
    <w:rsid w:val="007F5F9F"/>
    <w:rsid w:val="007F6007"/>
    <w:rsid w:val="007F600A"/>
    <w:rsid w:val="007F6020"/>
    <w:rsid w:val="007F607B"/>
    <w:rsid w:val="007F6092"/>
    <w:rsid w:val="007F6162"/>
    <w:rsid w:val="007F6211"/>
    <w:rsid w:val="007F62D8"/>
    <w:rsid w:val="007F6306"/>
    <w:rsid w:val="007F64B8"/>
    <w:rsid w:val="007F659E"/>
    <w:rsid w:val="007F66F3"/>
    <w:rsid w:val="007F6732"/>
    <w:rsid w:val="007F6750"/>
    <w:rsid w:val="007F6824"/>
    <w:rsid w:val="007F6906"/>
    <w:rsid w:val="007F6915"/>
    <w:rsid w:val="007F691C"/>
    <w:rsid w:val="007F69AD"/>
    <w:rsid w:val="007F6AC3"/>
    <w:rsid w:val="007F6B11"/>
    <w:rsid w:val="007F6B7A"/>
    <w:rsid w:val="007F6BE1"/>
    <w:rsid w:val="007F6C10"/>
    <w:rsid w:val="007F6C2E"/>
    <w:rsid w:val="007F6C2F"/>
    <w:rsid w:val="007F6C31"/>
    <w:rsid w:val="007F6C60"/>
    <w:rsid w:val="007F6DDC"/>
    <w:rsid w:val="007F6E8E"/>
    <w:rsid w:val="007F6EC5"/>
    <w:rsid w:val="007F6FB6"/>
    <w:rsid w:val="007F7108"/>
    <w:rsid w:val="007F7166"/>
    <w:rsid w:val="007F71AF"/>
    <w:rsid w:val="007F722A"/>
    <w:rsid w:val="007F7361"/>
    <w:rsid w:val="007F74A1"/>
    <w:rsid w:val="007F75AE"/>
    <w:rsid w:val="007F7623"/>
    <w:rsid w:val="007F762D"/>
    <w:rsid w:val="007F76D5"/>
    <w:rsid w:val="007F774A"/>
    <w:rsid w:val="007F77C9"/>
    <w:rsid w:val="007F77F3"/>
    <w:rsid w:val="007F79EA"/>
    <w:rsid w:val="007F7A39"/>
    <w:rsid w:val="007F7A97"/>
    <w:rsid w:val="007F7B22"/>
    <w:rsid w:val="007F7B29"/>
    <w:rsid w:val="007F7B2E"/>
    <w:rsid w:val="007F7B3C"/>
    <w:rsid w:val="007F7BA7"/>
    <w:rsid w:val="007F7CEB"/>
    <w:rsid w:val="007F7D28"/>
    <w:rsid w:val="007F7D6E"/>
    <w:rsid w:val="007F7D7D"/>
    <w:rsid w:val="007F7F08"/>
    <w:rsid w:val="007F7F5C"/>
    <w:rsid w:val="007F7F6D"/>
    <w:rsid w:val="007F7F9F"/>
    <w:rsid w:val="0080005E"/>
    <w:rsid w:val="008000A7"/>
    <w:rsid w:val="00800214"/>
    <w:rsid w:val="0080022A"/>
    <w:rsid w:val="00800273"/>
    <w:rsid w:val="00800397"/>
    <w:rsid w:val="00800419"/>
    <w:rsid w:val="0080041F"/>
    <w:rsid w:val="008004AE"/>
    <w:rsid w:val="00800526"/>
    <w:rsid w:val="00800626"/>
    <w:rsid w:val="0080063D"/>
    <w:rsid w:val="008006DC"/>
    <w:rsid w:val="0080080B"/>
    <w:rsid w:val="008008C5"/>
    <w:rsid w:val="008008CB"/>
    <w:rsid w:val="00800908"/>
    <w:rsid w:val="00800BB5"/>
    <w:rsid w:val="00800BCD"/>
    <w:rsid w:val="00800C18"/>
    <w:rsid w:val="00800C2D"/>
    <w:rsid w:val="00800C83"/>
    <w:rsid w:val="00800D03"/>
    <w:rsid w:val="00800D4C"/>
    <w:rsid w:val="00800D5F"/>
    <w:rsid w:val="00800DD3"/>
    <w:rsid w:val="00800EE9"/>
    <w:rsid w:val="00800F35"/>
    <w:rsid w:val="00800F9F"/>
    <w:rsid w:val="00800FC1"/>
    <w:rsid w:val="00801177"/>
    <w:rsid w:val="008011D4"/>
    <w:rsid w:val="008011E1"/>
    <w:rsid w:val="008011F1"/>
    <w:rsid w:val="00801274"/>
    <w:rsid w:val="00801295"/>
    <w:rsid w:val="008012F6"/>
    <w:rsid w:val="0080134A"/>
    <w:rsid w:val="0080139D"/>
    <w:rsid w:val="0080148F"/>
    <w:rsid w:val="008014B1"/>
    <w:rsid w:val="00801529"/>
    <w:rsid w:val="008015C4"/>
    <w:rsid w:val="008015FC"/>
    <w:rsid w:val="0080167B"/>
    <w:rsid w:val="008016D3"/>
    <w:rsid w:val="00801787"/>
    <w:rsid w:val="0080182E"/>
    <w:rsid w:val="008019A0"/>
    <w:rsid w:val="008019C7"/>
    <w:rsid w:val="00801ADF"/>
    <w:rsid w:val="00801B05"/>
    <w:rsid w:val="00801B67"/>
    <w:rsid w:val="00801B88"/>
    <w:rsid w:val="00801BA9"/>
    <w:rsid w:val="00801BFA"/>
    <w:rsid w:val="00801BFD"/>
    <w:rsid w:val="00801C2E"/>
    <w:rsid w:val="00801C3E"/>
    <w:rsid w:val="00801C9A"/>
    <w:rsid w:val="00801CEF"/>
    <w:rsid w:val="00801E23"/>
    <w:rsid w:val="00801ED4"/>
    <w:rsid w:val="00801EE5"/>
    <w:rsid w:val="00801EF5"/>
    <w:rsid w:val="00801FE3"/>
    <w:rsid w:val="0080200B"/>
    <w:rsid w:val="00802019"/>
    <w:rsid w:val="0080211D"/>
    <w:rsid w:val="0080213D"/>
    <w:rsid w:val="00802281"/>
    <w:rsid w:val="00802385"/>
    <w:rsid w:val="008024AB"/>
    <w:rsid w:val="008025A1"/>
    <w:rsid w:val="008025B5"/>
    <w:rsid w:val="00802661"/>
    <w:rsid w:val="0080273D"/>
    <w:rsid w:val="0080277C"/>
    <w:rsid w:val="008027D0"/>
    <w:rsid w:val="00802887"/>
    <w:rsid w:val="00802900"/>
    <w:rsid w:val="00802981"/>
    <w:rsid w:val="008029D5"/>
    <w:rsid w:val="008029EE"/>
    <w:rsid w:val="00802C5A"/>
    <w:rsid w:val="00802CD0"/>
    <w:rsid w:val="00802D09"/>
    <w:rsid w:val="00802E07"/>
    <w:rsid w:val="00802E3A"/>
    <w:rsid w:val="00802F33"/>
    <w:rsid w:val="00802F92"/>
    <w:rsid w:val="00802F99"/>
    <w:rsid w:val="00802F9D"/>
    <w:rsid w:val="00802FAF"/>
    <w:rsid w:val="00803003"/>
    <w:rsid w:val="008030D5"/>
    <w:rsid w:val="008030FD"/>
    <w:rsid w:val="008031BC"/>
    <w:rsid w:val="008031F8"/>
    <w:rsid w:val="008031FC"/>
    <w:rsid w:val="0080325E"/>
    <w:rsid w:val="0080326A"/>
    <w:rsid w:val="0080326B"/>
    <w:rsid w:val="0080329D"/>
    <w:rsid w:val="008032EB"/>
    <w:rsid w:val="00803355"/>
    <w:rsid w:val="00803464"/>
    <w:rsid w:val="008035B5"/>
    <w:rsid w:val="008035D0"/>
    <w:rsid w:val="00803614"/>
    <w:rsid w:val="008036D4"/>
    <w:rsid w:val="008036E7"/>
    <w:rsid w:val="0080379F"/>
    <w:rsid w:val="008038B8"/>
    <w:rsid w:val="008038D0"/>
    <w:rsid w:val="00803971"/>
    <w:rsid w:val="00803C36"/>
    <w:rsid w:val="00803DA3"/>
    <w:rsid w:val="00803E1A"/>
    <w:rsid w:val="00803EC0"/>
    <w:rsid w:val="00803F99"/>
    <w:rsid w:val="00803FE4"/>
    <w:rsid w:val="00803FF3"/>
    <w:rsid w:val="0080400F"/>
    <w:rsid w:val="0080405B"/>
    <w:rsid w:val="0080406B"/>
    <w:rsid w:val="008040DA"/>
    <w:rsid w:val="00804209"/>
    <w:rsid w:val="008042A0"/>
    <w:rsid w:val="0080431F"/>
    <w:rsid w:val="00804425"/>
    <w:rsid w:val="00804518"/>
    <w:rsid w:val="00804559"/>
    <w:rsid w:val="008045B5"/>
    <w:rsid w:val="00804716"/>
    <w:rsid w:val="00804AD0"/>
    <w:rsid w:val="00804B58"/>
    <w:rsid w:val="00804B6D"/>
    <w:rsid w:val="00804B97"/>
    <w:rsid w:val="00804BAF"/>
    <w:rsid w:val="00804D39"/>
    <w:rsid w:val="00804DF2"/>
    <w:rsid w:val="00804EB0"/>
    <w:rsid w:val="00804EE6"/>
    <w:rsid w:val="00804F6D"/>
    <w:rsid w:val="0080513F"/>
    <w:rsid w:val="00805218"/>
    <w:rsid w:val="00805232"/>
    <w:rsid w:val="00805276"/>
    <w:rsid w:val="008052B6"/>
    <w:rsid w:val="00805505"/>
    <w:rsid w:val="0080557F"/>
    <w:rsid w:val="00805688"/>
    <w:rsid w:val="008056BB"/>
    <w:rsid w:val="008056F6"/>
    <w:rsid w:val="00805701"/>
    <w:rsid w:val="00805CD1"/>
    <w:rsid w:val="00805D65"/>
    <w:rsid w:val="00805D71"/>
    <w:rsid w:val="00805D77"/>
    <w:rsid w:val="00805DE2"/>
    <w:rsid w:val="00805E22"/>
    <w:rsid w:val="00805E61"/>
    <w:rsid w:val="00805FE5"/>
    <w:rsid w:val="00805FEF"/>
    <w:rsid w:val="008060B7"/>
    <w:rsid w:val="008061D5"/>
    <w:rsid w:val="008061FC"/>
    <w:rsid w:val="00806307"/>
    <w:rsid w:val="00806366"/>
    <w:rsid w:val="0080641C"/>
    <w:rsid w:val="00806431"/>
    <w:rsid w:val="0080649C"/>
    <w:rsid w:val="008064DC"/>
    <w:rsid w:val="00806517"/>
    <w:rsid w:val="00806564"/>
    <w:rsid w:val="008065A5"/>
    <w:rsid w:val="0080660A"/>
    <w:rsid w:val="008067CE"/>
    <w:rsid w:val="008067D1"/>
    <w:rsid w:val="008067D4"/>
    <w:rsid w:val="00806874"/>
    <w:rsid w:val="0080688F"/>
    <w:rsid w:val="008068A3"/>
    <w:rsid w:val="008068B5"/>
    <w:rsid w:val="00806A08"/>
    <w:rsid w:val="00806A14"/>
    <w:rsid w:val="00806A70"/>
    <w:rsid w:val="00806BE5"/>
    <w:rsid w:val="00806C14"/>
    <w:rsid w:val="00806D76"/>
    <w:rsid w:val="00806DBE"/>
    <w:rsid w:val="00806DDB"/>
    <w:rsid w:val="00806E1D"/>
    <w:rsid w:val="00806F13"/>
    <w:rsid w:val="0080705F"/>
    <w:rsid w:val="0080713E"/>
    <w:rsid w:val="0080716E"/>
    <w:rsid w:val="008071C7"/>
    <w:rsid w:val="008072A6"/>
    <w:rsid w:val="00807332"/>
    <w:rsid w:val="00807388"/>
    <w:rsid w:val="008073B8"/>
    <w:rsid w:val="00807435"/>
    <w:rsid w:val="00807493"/>
    <w:rsid w:val="00807495"/>
    <w:rsid w:val="0080762B"/>
    <w:rsid w:val="0080766C"/>
    <w:rsid w:val="008077FC"/>
    <w:rsid w:val="008078A0"/>
    <w:rsid w:val="008078C9"/>
    <w:rsid w:val="00807906"/>
    <w:rsid w:val="0080793C"/>
    <w:rsid w:val="00807A07"/>
    <w:rsid w:val="00807A75"/>
    <w:rsid w:val="00807AE5"/>
    <w:rsid w:val="00807BD1"/>
    <w:rsid w:val="00807C59"/>
    <w:rsid w:val="00807CD7"/>
    <w:rsid w:val="00807D20"/>
    <w:rsid w:val="00807DDA"/>
    <w:rsid w:val="00807DE9"/>
    <w:rsid w:val="00807DFA"/>
    <w:rsid w:val="00807E0A"/>
    <w:rsid w:val="00807E17"/>
    <w:rsid w:val="00807E95"/>
    <w:rsid w:val="00807F1D"/>
    <w:rsid w:val="00807F73"/>
    <w:rsid w:val="00807F82"/>
    <w:rsid w:val="0081001D"/>
    <w:rsid w:val="00810029"/>
    <w:rsid w:val="0081009C"/>
    <w:rsid w:val="008100B0"/>
    <w:rsid w:val="00810504"/>
    <w:rsid w:val="0081054F"/>
    <w:rsid w:val="0081057D"/>
    <w:rsid w:val="008107BF"/>
    <w:rsid w:val="008107E3"/>
    <w:rsid w:val="0081084B"/>
    <w:rsid w:val="008108AB"/>
    <w:rsid w:val="00810909"/>
    <w:rsid w:val="00810983"/>
    <w:rsid w:val="00810ACC"/>
    <w:rsid w:val="00810AE6"/>
    <w:rsid w:val="00810B53"/>
    <w:rsid w:val="00810B77"/>
    <w:rsid w:val="00810D22"/>
    <w:rsid w:val="00810D7B"/>
    <w:rsid w:val="00810DF5"/>
    <w:rsid w:val="00810EFC"/>
    <w:rsid w:val="00811039"/>
    <w:rsid w:val="00811071"/>
    <w:rsid w:val="008111B8"/>
    <w:rsid w:val="0081130B"/>
    <w:rsid w:val="00811335"/>
    <w:rsid w:val="00811372"/>
    <w:rsid w:val="0081145A"/>
    <w:rsid w:val="00811598"/>
    <w:rsid w:val="008115B7"/>
    <w:rsid w:val="0081167A"/>
    <w:rsid w:val="00811752"/>
    <w:rsid w:val="008117AE"/>
    <w:rsid w:val="008117D2"/>
    <w:rsid w:val="0081181E"/>
    <w:rsid w:val="00811855"/>
    <w:rsid w:val="008118A5"/>
    <w:rsid w:val="008119C2"/>
    <w:rsid w:val="008119C7"/>
    <w:rsid w:val="00811A78"/>
    <w:rsid w:val="00811AEF"/>
    <w:rsid w:val="00811C26"/>
    <w:rsid w:val="00811C68"/>
    <w:rsid w:val="00811CC2"/>
    <w:rsid w:val="00811DA6"/>
    <w:rsid w:val="00811DC9"/>
    <w:rsid w:val="00811EA3"/>
    <w:rsid w:val="00811EC0"/>
    <w:rsid w:val="00811F7F"/>
    <w:rsid w:val="00812008"/>
    <w:rsid w:val="00812079"/>
    <w:rsid w:val="008120B4"/>
    <w:rsid w:val="0081239E"/>
    <w:rsid w:val="0081246E"/>
    <w:rsid w:val="0081246F"/>
    <w:rsid w:val="00812567"/>
    <w:rsid w:val="0081257A"/>
    <w:rsid w:val="0081279C"/>
    <w:rsid w:val="008127B5"/>
    <w:rsid w:val="0081283E"/>
    <w:rsid w:val="00812865"/>
    <w:rsid w:val="008128B5"/>
    <w:rsid w:val="00812922"/>
    <w:rsid w:val="00812994"/>
    <w:rsid w:val="0081299D"/>
    <w:rsid w:val="00812A27"/>
    <w:rsid w:val="00812A55"/>
    <w:rsid w:val="00812B52"/>
    <w:rsid w:val="00812BE4"/>
    <w:rsid w:val="00812D47"/>
    <w:rsid w:val="00812D67"/>
    <w:rsid w:val="00812D76"/>
    <w:rsid w:val="00812D9C"/>
    <w:rsid w:val="00812DFC"/>
    <w:rsid w:val="00812E5B"/>
    <w:rsid w:val="00812F79"/>
    <w:rsid w:val="00812F87"/>
    <w:rsid w:val="00812FED"/>
    <w:rsid w:val="0081325C"/>
    <w:rsid w:val="00813270"/>
    <w:rsid w:val="008132A2"/>
    <w:rsid w:val="00813428"/>
    <w:rsid w:val="00813472"/>
    <w:rsid w:val="00813486"/>
    <w:rsid w:val="008134AB"/>
    <w:rsid w:val="008134B2"/>
    <w:rsid w:val="008134C7"/>
    <w:rsid w:val="008134E1"/>
    <w:rsid w:val="0081355D"/>
    <w:rsid w:val="0081358B"/>
    <w:rsid w:val="0081359B"/>
    <w:rsid w:val="00813675"/>
    <w:rsid w:val="00813678"/>
    <w:rsid w:val="00813739"/>
    <w:rsid w:val="00813766"/>
    <w:rsid w:val="00813779"/>
    <w:rsid w:val="008138FA"/>
    <w:rsid w:val="00813919"/>
    <w:rsid w:val="0081395E"/>
    <w:rsid w:val="008139C9"/>
    <w:rsid w:val="00813A2C"/>
    <w:rsid w:val="00813A49"/>
    <w:rsid w:val="00813A8D"/>
    <w:rsid w:val="00813B32"/>
    <w:rsid w:val="00813C3E"/>
    <w:rsid w:val="00813C4E"/>
    <w:rsid w:val="00813C7F"/>
    <w:rsid w:val="00813CCF"/>
    <w:rsid w:val="00813CD1"/>
    <w:rsid w:val="00813DF0"/>
    <w:rsid w:val="00813DF1"/>
    <w:rsid w:val="0081405D"/>
    <w:rsid w:val="00814063"/>
    <w:rsid w:val="008140C7"/>
    <w:rsid w:val="00814114"/>
    <w:rsid w:val="00814251"/>
    <w:rsid w:val="008142E2"/>
    <w:rsid w:val="00814347"/>
    <w:rsid w:val="00814409"/>
    <w:rsid w:val="00814467"/>
    <w:rsid w:val="00814493"/>
    <w:rsid w:val="0081459B"/>
    <w:rsid w:val="0081466F"/>
    <w:rsid w:val="008146CD"/>
    <w:rsid w:val="00814770"/>
    <w:rsid w:val="00814783"/>
    <w:rsid w:val="008147C9"/>
    <w:rsid w:val="008147FB"/>
    <w:rsid w:val="00814911"/>
    <w:rsid w:val="00814938"/>
    <w:rsid w:val="00814A9F"/>
    <w:rsid w:val="00814AFD"/>
    <w:rsid w:val="00814B98"/>
    <w:rsid w:val="00814BAA"/>
    <w:rsid w:val="00814C94"/>
    <w:rsid w:val="00814DBC"/>
    <w:rsid w:val="00814EA0"/>
    <w:rsid w:val="00814EFC"/>
    <w:rsid w:val="00814F35"/>
    <w:rsid w:val="00814FA0"/>
    <w:rsid w:val="00814FB1"/>
    <w:rsid w:val="00815091"/>
    <w:rsid w:val="00815165"/>
    <w:rsid w:val="008152A0"/>
    <w:rsid w:val="00815359"/>
    <w:rsid w:val="00815428"/>
    <w:rsid w:val="00815465"/>
    <w:rsid w:val="00815543"/>
    <w:rsid w:val="0081555F"/>
    <w:rsid w:val="0081557D"/>
    <w:rsid w:val="008155BA"/>
    <w:rsid w:val="008156C5"/>
    <w:rsid w:val="008156FC"/>
    <w:rsid w:val="00815888"/>
    <w:rsid w:val="008158B2"/>
    <w:rsid w:val="00815917"/>
    <w:rsid w:val="00815924"/>
    <w:rsid w:val="00815989"/>
    <w:rsid w:val="00815B3B"/>
    <w:rsid w:val="00815D35"/>
    <w:rsid w:val="00815E4C"/>
    <w:rsid w:val="00815F6C"/>
    <w:rsid w:val="00815F6D"/>
    <w:rsid w:val="00815FDC"/>
    <w:rsid w:val="00816017"/>
    <w:rsid w:val="00816022"/>
    <w:rsid w:val="008161DA"/>
    <w:rsid w:val="008161DF"/>
    <w:rsid w:val="00816277"/>
    <w:rsid w:val="008162A0"/>
    <w:rsid w:val="00816300"/>
    <w:rsid w:val="0081635F"/>
    <w:rsid w:val="0081642E"/>
    <w:rsid w:val="00816489"/>
    <w:rsid w:val="0081649B"/>
    <w:rsid w:val="008164DB"/>
    <w:rsid w:val="008165D6"/>
    <w:rsid w:val="008165F6"/>
    <w:rsid w:val="00816648"/>
    <w:rsid w:val="0081664D"/>
    <w:rsid w:val="008166C3"/>
    <w:rsid w:val="008166CA"/>
    <w:rsid w:val="00816849"/>
    <w:rsid w:val="00816942"/>
    <w:rsid w:val="00816A6E"/>
    <w:rsid w:val="00816B3D"/>
    <w:rsid w:val="00816BA3"/>
    <w:rsid w:val="00816CEB"/>
    <w:rsid w:val="00816CFA"/>
    <w:rsid w:val="00816D11"/>
    <w:rsid w:val="00816DB5"/>
    <w:rsid w:val="00816E85"/>
    <w:rsid w:val="00816EA7"/>
    <w:rsid w:val="00816EBF"/>
    <w:rsid w:val="00817010"/>
    <w:rsid w:val="00817049"/>
    <w:rsid w:val="0081705B"/>
    <w:rsid w:val="00817102"/>
    <w:rsid w:val="008171F8"/>
    <w:rsid w:val="008172DE"/>
    <w:rsid w:val="008174AA"/>
    <w:rsid w:val="008176C6"/>
    <w:rsid w:val="008178C1"/>
    <w:rsid w:val="008178EB"/>
    <w:rsid w:val="0081797D"/>
    <w:rsid w:val="00817998"/>
    <w:rsid w:val="008179F6"/>
    <w:rsid w:val="00817ABE"/>
    <w:rsid w:val="00817C69"/>
    <w:rsid w:val="00817D7D"/>
    <w:rsid w:val="00817DB3"/>
    <w:rsid w:val="00817E1E"/>
    <w:rsid w:val="00817E6B"/>
    <w:rsid w:val="00817F2F"/>
    <w:rsid w:val="00817FC6"/>
    <w:rsid w:val="00820013"/>
    <w:rsid w:val="0082008E"/>
    <w:rsid w:val="00820228"/>
    <w:rsid w:val="00820275"/>
    <w:rsid w:val="008202DB"/>
    <w:rsid w:val="0082030C"/>
    <w:rsid w:val="00820334"/>
    <w:rsid w:val="008203D4"/>
    <w:rsid w:val="008204E5"/>
    <w:rsid w:val="008204FD"/>
    <w:rsid w:val="0082050B"/>
    <w:rsid w:val="0082064C"/>
    <w:rsid w:val="008206CF"/>
    <w:rsid w:val="0082075D"/>
    <w:rsid w:val="00820798"/>
    <w:rsid w:val="0082081B"/>
    <w:rsid w:val="00820836"/>
    <w:rsid w:val="0082085F"/>
    <w:rsid w:val="0082088F"/>
    <w:rsid w:val="008208D1"/>
    <w:rsid w:val="0082096E"/>
    <w:rsid w:val="00820A5C"/>
    <w:rsid w:val="00820A6C"/>
    <w:rsid w:val="00820A89"/>
    <w:rsid w:val="00820ACF"/>
    <w:rsid w:val="00820B52"/>
    <w:rsid w:val="00820C13"/>
    <w:rsid w:val="00820C6A"/>
    <w:rsid w:val="00820D05"/>
    <w:rsid w:val="00820F03"/>
    <w:rsid w:val="00820F0D"/>
    <w:rsid w:val="00820F44"/>
    <w:rsid w:val="00820FB0"/>
    <w:rsid w:val="008210AF"/>
    <w:rsid w:val="008211AB"/>
    <w:rsid w:val="0082124A"/>
    <w:rsid w:val="008212B5"/>
    <w:rsid w:val="008212B6"/>
    <w:rsid w:val="008213E8"/>
    <w:rsid w:val="00821476"/>
    <w:rsid w:val="00821547"/>
    <w:rsid w:val="0082156C"/>
    <w:rsid w:val="00821639"/>
    <w:rsid w:val="008216BC"/>
    <w:rsid w:val="00821734"/>
    <w:rsid w:val="0082174E"/>
    <w:rsid w:val="008217C7"/>
    <w:rsid w:val="00821963"/>
    <w:rsid w:val="0082197A"/>
    <w:rsid w:val="0082198A"/>
    <w:rsid w:val="00821B52"/>
    <w:rsid w:val="00821BDA"/>
    <w:rsid w:val="00821CB6"/>
    <w:rsid w:val="00821CEA"/>
    <w:rsid w:val="00821D0F"/>
    <w:rsid w:val="00821E3C"/>
    <w:rsid w:val="00821EF5"/>
    <w:rsid w:val="00821F2C"/>
    <w:rsid w:val="00821F49"/>
    <w:rsid w:val="00821F75"/>
    <w:rsid w:val="00821FC1"/>
    <w:rsid w:val="00821FD4"/>
    <w:rsid w:val="0082201E"/>
    <w:rsid w:val="0082203F"/>
    <w:rsid w:val="00822052"/>
    <w:rsid w:val="008220EA"/>
    <w:rsid w:val="0082222B"/>
    <w:rsid w:val="008222E4"/>
    <w:rsid w:val="008223A3"/>
    <w:rsid w:val="0082240C"/>
    <w:rsid w:val="008224B0"/>
    <w:rsid w:val="00822511"/>
    <w:rsid w:val="0082255F"/>
    <w:rsid w:val="00822688"/>
    <w:rsid w:val="00822785"/>
    <w:rsid w:val="008227A1"/>
    <w:rsid w:val="00822818"/>
    <w:rsid w:val="0082281E"/>
    <w:rsid w:val="0082289C"/>
    <w:rsid w:val="008228B1"/>
    <w:rsid w:val="008228C2"/>
    <w:rsid w:val="008228EE"/>
    <w:rsid w:val="00822B08"/>
    <w:rsid w:val="00822B31"/>
    <w:rsid w:val="00822B4B"/>
    <w:rsid w:val="00822B6F"/>
    <w:rsid w:val="00822BAF"/>
    <w:rsid w:val="00822C36"/>
    <w:rsid w:val="00822D99"/>
    <w:rsid w:val="00822E21"/>
    <w:rsid w:val="00822F59"/>
    <w:rsid w:val="00822F60"/>
    <w:rsid w:val="00822F84"/>
    <w:rsid w:val="00822FE0"/>
    <w:rsid w:val="0082302E"/>
    <w:rsid w:val="0082308E"/>
    <w:rsid w:val="00823158"/>
    <w:rsid w:val="008231A4"/>
    <w:rsid w:val="0082323E"/>
    <w:rsid w:val="00823246"/>
    <w:rsid w:val="00823247"/>
    <w:rsid w:val="008232D2"/>
    <w:rsid w:val="00823308"/>
    <w:rsid w:val="00823342"/>
    <w:rsid w:val="008233BB"/>
    <w:rsid w:val="008233D8"/>
    <w:rsid w:val="0082351B"/>
    <w:rsid w:val="00823729"/>
    <w:rsid w:val="008237DE"/>
    <w:rsid w:val="00823A1C"/>
    <w:rsid w:val="00823A32"/>
    <w:rsid w:val="00823A71"/>
    <w:rsid w:val="00823AAD"/>
    <w:rsid w:val="00823AF4"/>
    <w:rsid w:val="00823B18"/>
    <w:rsid w:val="00823B4D"/>
    <w:rsid w:val="00823D0A"/>
    <w:rsid w:val="00823D53"/>
    <w:rsid w:val="00823E14"/>
    <w:rsid w:val="00823E90"/>
    <w:rsid w:val="00823F27"/>
    <w:rsid w:val="00823F98"/>
    <w:rsid w:val="00823FA4"/>
    <w:rsid w:val="00824072"/>
    <w:rsid w:val="00824085"/>
    <w:rsid w:val="008240BE"/>
    <w:rsid w:val="008240E7"/>
    <w:rsid w:val="008243F3"/>
    <w:rsid w:val="00824439"/>
    <w:rsid w:val="0082445A"/>
    <w:rsid w:val="00824465"/>
    <w:rsid w:val="008244D4"/>
    <w:rsid w:val="00824543"/>
    <w:rsid w:val="00824554"/>
    <w:rsid w:val="008245CC"/>
    <w:rsid w:val="00824637"/>
    <w:rsid w:val="00824747"/>
    <w:rsid w:val="008247A5"/>
    <w:rsid w:val="008247D7"/>
    <w:rsid w:val="0082489D"/>
    <w:rsid w:val="0082490B"/>
    <w:rsid w:val="00824969"/>
    <w:rsid w:val="008249B5"/>
    <w:rsid w:val="00824AF0"/>
    <w:rsid w:val="00824B38"/>
    <w:rsid w:val="00824BE7"/>
    <w:rsid w:val="00824CA7"/>
    <w:rsid w:val="00824D1D"/>
    <w:rsid w:val="00824D9E"/>
    <w:rsid w:val="00824DC4"/>
    <w:rsid w:val="00824DEB"/>
    <w:rsid w:val="00824EBF"/>
    <w:rsid w:val="00824F33"/>
    <w:rsid w:val="00824F79"/>
    <w:rsid w:val="00825062"/>
    <w:rsid w:val="008251C1"/>
    <w:rsid w:val="008251D0"/>
    <w:rsid w:val="008251DA"/>
    <w:rsid w:val="0082524D"/>
    <w:rsid w:val="008252EA"/>
    <w:rsid w:val="0082530F"/>
    <w:rsid w:val="00825369"/>
    <w:rsid w:val="0082536C"/>
    <w:rsid w:val="0082537C"/>
    <w:rsid w:val="008254A4"/>
    <w:rsid w:val="0082555E"/>
    <w:rsid w:val="00825564"/>
    <w:rsid w:val="008255D8"/>
    <w:rsid w:val="00825638"/>
    <w:rsid w:val="00825764"/>
    <w:rsid w:val="008257AC"/>
    <w:rsid w:val="008257C7"/>
    <w:rsid w:val="00825AFC"/>
    <w:rsid w:val="00825CCE"/>
    <w:rsid w:val="00825D34"/>
    <w:rsid w:val="00825ECD"/>
    <w:rsid w:val="00825F23"/>
    <w:rsid w:val="00825FE3"/>
    <w:rsid w:val="008260C3"/>
    <w:rsid w:val="008260DE"/>
    <w:rsid w:val="0082611C"/>
    <w:rsid w:val="008262A7"/>
    <w:rsid w:val="008262DE"/>
    <w:rsid w:val="00826374"/>
    <w:rsid w:val="008263F5"/>
    <w:rsid w:val="00826401"/>
    <w:rsid w:val="00826438"/>
    <w:rsid w:val="008265CA"/>
    <w:rsid w:val="00826685"/>
    <w:rsid w:val="00826711"/>
    <w:rsid w:val="00826749"/>
    <w:rsid w:val="008267A2"/>
    <w:rsid w:val="008267FF"/>
    <w:rsid w:val="008268C9"/>
    <w:rsid w:val="00826B82"/>
    <w:rsid w:val="00826B8E"/>
    <w:rsid w:val="00826B9B"/>
    <w:rsid w:val="00826BBE"/>
    <w:rsid w:val="00826C0E"/>
    <w:rsid w:val="00826D1F"/>
    <w:rsid w:val="00826EEA"/>
    <w:rsid w:val="00827010"/>
    <w:rsid w:val="008271E2"/>
    <w:rsid w:val="00827208"/>
    <w:rsid w:val="00827219"/>
    <w:rsid w:val="0082735B"/>
    <w:rsid w:val="008273B3"/>
    <w:rsid w:val="008274C6"/>
    <w:rsid w:val="008274C7"/>
    <w:rsid w:val="0082761F"/>
    <w:rsid w:val="00827647"/>
    <w:rsid w:val="00827683"/>
    <w:rsid w:val="008276AD"/>
    <w:rsid w:val="008278C9"/>
    <w:rsid w:val="00827932"/>
    <w:rsid w:val="00827955"/>
    <w:rsid w:val="008279EF"/>
    <w:rsid w:val="00827A10"/>
    <w:rsid w:val="00827A6E"/>
    <w:rsid w:val="00827B77"/>
    <w:rsid w:val="00827D3A"/>
    <w:rsid w:val="00827D76"/>
    <w:rsid w:val="00827DB3"/>
    <w:rsid w:val="00827E9E"/>
    <w:rsid w:val="00827F18"/>
    <w:rsid w:val="00827FB0"/>
    <w:rsid w:val="00827FD4"/>
    <w:rsid w:val="0083009E"/>
    <w:rsid w:val="008301C7"/>
    <w:rsid w:val="0083037E"/>
    <w:rsid w:val="008304B3"/>
    <w:rsid w:val="0083050F"/>
    <w:rsid w:val="00830546"/>
    <w:rsid w:val="00830556"/>
    <w:rsid w:val="0083055E"/>
    <w:rsid w:val="0083056D"/>
    <w:rsid w:val="008305E0"/>
    <w:rsid w:val="0083061E"/>
    <w:rsid w:val="0083069E"/>
    <w:rsid w:val="0083070F"/>
    <w:rsid w:val="008307AE"/>
    <w:rsid w:val="008308F3"/>
    <w:rsid w:val="0083091D"/>
    <w:rsid w:val="00830B14"/>
    <w:rsid w:val="00830B49"/>
    <w:rsid w:val="00830B7D"/>
    <w:rsid w:val="00830C5A"/>
    <w:rsid w:val="00830C86"/>
    <w:rsid w:val="00830CE9"/>
    <w:rsid w:val="00830D81"/>
    <w:rsid w:val="00830D8D"/>
    <w:rsid w:val="00830DC4"/>
    <w:rsid w:val="00830E85"/>
    <w:rsid w:val="00830EF0"/>
    <w:rsid w:val="00830EF4"/>
    <w:rsid w:val="00831039"/>
    <w:rsid w:val="008310AF"/>
    <w:rsid w:val="008310F4"/>
    <w:rsid w:val="00831170"/>
    <w:rsid w:val="00831238"/>
    <w:rsid w:val="00831245"/>
    <w:rsid w:val="008312CA"/>
    <w:rsid w:val="00831371"/>
    <w:rsid w:val="008313A5"/>
    <w:rsid w:val="008314F5"/>
    <w:rsid w:val="0083158D"/>
    <w:rsid w:val="00831703"/>
    <w:rsid w:val="00831759"/>
    <w:rsid w:val="0083185B"/>
    <w:rsid w:val="008318E6"/>
    <w:rsid w:val="0083193E"/>
    <w:rsid w:val="0083194D"/>
    <w:rsid w:val="0083196F"/>
    <w:rsid w:val="00831B07"/>
    <w:rsid w:val="00831C05"/>
    <w:rsid w:val="00831C16"/>
    <w:rsid w:val="00831CE1"/>
    <w:rsid w:val="00831E2C"/>
    <w:rsid w:val="00831F49"/>
    <w:rsid w:val="00831FB4"/>
    <w:rsid w:val="00831FE1"/>
    <w:rsid w:val="00832022"/>
    <w:rsid w:val="00832124"/>
    <w:rsid w:val="008321DA"/>
    <w:rsid w:val="008321DE"/>
    <w:rsid w:val="0083224D"/>
    <w:rsid w:val="00832294"/>
    <w:rsid w:val="00832379"/>
    <w:rsid w:val="0083247B"/>
    <w:rsid w:val="008324CB"/>
    <w:rsid w:val="008324E2"/>
    <w:rsid w:val="0083252E"/>
    <w:rsid w:val="00832550"/>
    <w:rsid w:val="008325F2"/>
    <w:rsid w:val="00832695"/>
    <w:rsid w:val="0083279E"/>
    <w:rsid w:val="008327C6"/>
    <w:rsid w:val="00832833"/>
    <w:rsid w:val="008328D7"/>
    <w:rsid w:val="00832984"/>
    <w:rsid w:val="00832A65"/>
    <w:rsid w:val="00832AC2"/>
    <w:rsid w:val="00832ACC"/>
    <w:rsid w:val="00832B8D"/>
    <w:rsid w:val="00832BA0"/>
    <w:rsid w:val="00832C3D"/>
    <w:rsid w:val="00832C6E"/>
    <w:rsid w:val="00832CC9"/>
    <w:rsid w:val="00832D05"/>
    <w:rsid w:val="00832D4E"/>
    <w:rsid w:val="00832D98"/>
    <w:rsid w:val="00832F5E"/>
    <w:rsid w:val="00832F96"/>
    <w:rsid w:val="00832FAE"/>
    <w:rsid w:val="00832FBE"/>
    <w:rsid w:val="00832FC5"/>
    <w:rsid w:val="00833068"/>
    <w:rsid w:val="008330BA"/>
    <w:rsid w:val="008331E8"/>
    <w:rsid w:val="0083321A"/>
    <w:rsid w:val="0083322E"/>
    <w:rsid w:val="008332E2"/>
    <w:rsid w:val="0083339C"/>
    <w:rsid w:val="00833432"/>
    <w:rsid w:val="00833458"/>
    <w:rsid w:val="0083354E"/>
    <w:rsid w:val="008335AA"/>
    <w:rsid w:val="00833608"/>
    <w:rsid w:val="00833634"/>
    <w:rsid w:val="0083366A"/>
    <w:rsid w:val="008336AB"/>
    <w:rsid w:val="008339A7"/>
    <w:rsid w:val="008339AB"/>
    <w:rsid w:val="008339F1"/>
    <w:rsid w:val="00833A78"/>
    <w:rsid w:val="00833B27"/>
    <w:rsid w:val="00833B4F"/>
    <w:rsid w:val="00833B72"/>
    <w:rsid w:val="00833C8B"/>
    <w:rsid w:val="00833CD8"/>
    <w:rsid w:val="00833D61"/>
    <w:rsid w:val="00833ECF"/>
    <w:rsid w:val="00833F64"/>
    <w:rsid w:val="00833F96"/>
    <w:rsid w:val="00833FF9"/>
    <w:rsid w:val="0083402E"/>
    <w:rsid w:val="008340C7"/>
    <w:rsid w:val="008340EE"/>
    <w:rsid w:val="00834192"/>
    <w:rsid w:val="008341C3"/>
    <w:rsid w:val="00834237"/>
    <w:rsid w:val="00834294"/>
    <w:rsid w:val="008342ED"/>
    <w:rsid w:val="00834316"/>
    <w:rsid w:val="0083433B"/>
    <w:rsid w:val="0083441A"/>
    <w:rsid w:val="008344BC"/>
    <w:rsid w:val="008348A0"/>
    <w:rsid w:val="00834927"/>
    <w:rsid w:val="00834951"/>
    <w:rsid w:val="0083499B"/>
    <w:rsid w:val="008349F1"/>
    <w:rsid w:val="00834B70"/>
    <w:rsid w:val="00834C6D"/>
    <w:rsid w:val="00834CB1"/>
    <w:rsid w:val="00834CD5"/>
    <w:rsid w:val="00834D18"/>
    <w:rsid w:val="00834E34"/>
    <w:rsid w:val="00834F14"/>
    <w:rsid w:val="00834F53"/>
    <w:rsid w:val="00834F70"/>
    <w:rsid w:val="00835051"/>
    <w:rsid w:val="0083510F"/>
    <w:rsid w:val="0083514F"/>
    <w:rsid w:val="0083521D"/>
    <w:rsid w:val="00835280"/>
    <w:rsid w:val="008352AF"/>
    <w:rsid w:val="00835374"/>
    <w:rsid w:val="00835498"/>
    <w:rsid w:val="0083549F"/>
    <w:rsid w:val="008354D8"/>
    <w:rsid w:val="008354E1"/>
    <w:rsid w:val="00835539"/>
    <w:rsid w:val="00835926"/>
    <w:rsid w:val="00835953"/>
    <w:rsid w:val="00835A95"/>
    <w:rsid w:val="00835AE9"/>
    <w:rsid w:val="00835BF6"/>
    <w:rsid w:val="00835D35"/>
    <w:rsid w:val="00835D91"/>
    <w:rsid w:val="00835DD6"/>
    <w:rsid w:val="00835E37"/>
    <w:rsid w:val="00835E48"/>
    <w:rsid w:val="00835E8A"/>
    <w:rsid w:val="00835E95"/>
    <w:rsid w:val="00835EBB"/>
    <w:rsid w:val="00835F00"/>
    <w:rsid w:val="00835F38"/>
    <w:rsid w:val="00835FBD"/>
    <w:rsid w:val="00835FD4"/>
    <w:rsid w:val="00835FDE"/>
    <w:rsid w:val="0083601E"/>
    <w:rsid w:val="0083607C"/>
    <w:rsid w:val="008361CD"/>
    <w:rsid w:val="0083626D"/>
    <w:rsid w:val="008362DB"/>
    <w:rsid w:val="00836345"/>
    <w:rsid w:val="0083637A"/>
    <w:rsid w:val="008363B3"/>
    <w:rsid w:val="008363D4"/>
    <w:rsid w:val="0083643D"/>
    <w:rsid w:val="0083650A"/>
    <w:rsid w:val="00836511"/>
    <w:rsid w:val="00836515"/>
    <w:rsid w:val="00836528"/>
    <w:rsid w:val="0083654B"/>
    <w:rsid w:val="0083655D"/>
    <w:rsid w:val="00836590"/>
    <w:rsid w:val="0083665D"/>
    <w:rsid w:val="00836772"/>
    <w:rsid w:val="0083684F"/>
    <w:rsid w:val="00836906"/>
    <w:rsid w:val="00836A58"/>
    <w:rsid w:val="00836CA6"/>
    <w:rsid w:val="00836CB5"/>
    <w:rsid w:val="00836D49"/>
    <w:rsid w:val="00836DC4"/>
    <w:rsid w:val="00836E59"/>
    <w:rsid w:val="008370A7"/>
    <w:rsid w:val="0083711F"/>
    <w:rsid w:val="0083715E"/>
    <w:rsid w:val="008371C2"/>
    <w:rsid w:val="00837285"/>
    <w:rsid w:val="00837316"/>
    <w:rsid w:val="00837413"/>
    <w:rsid w:val="00837490"/>
    <w:rsid w:val="008375AB"/>
    <w:rsid w:val="008375C0"/>
    <w:rsid w:val="00837694"/>
    <w:rsid w:val="00837759"/>
    <w:rsid w:val="0083775E"/>
    <w:rsid w:val="00837760"/>
    <w:rsid w:val="00837831"/>
    <w:rsid w:val="008378A8"/>
    <w:rsid w:val="008379C0"/>
    <w:rsid w:val="00837A6B"/>
    <w:rsid w:val="00837BBC"/>
    <w:rsid w:val="00837DCA"/>
    <w:rsid w:val="00837F1D"/>
    <w:rsid w:val="0084018E"/>
    <w:rsid w:val="00840193"/>
    <w:rsid w:val="008401EA"/>
    <w:rsid w:val="008402AB"/>
    <w:rsid w:val="008402C6"/>
    <w:rsid w:val="008402DA"/>
    <w:rsid w:val="00840395"/>
    <w:rsid w:val="008403F3"/>
    <w:rsid w:val="008404B9"/>
    <w:rsid w:val="00840583"/>
    <w:rsid w:val="00840620"/>
    <w:rsid w:val="0084065D"/>
    <w:rsid w:val="008406D6"/>
    <w:rsid w:val="008407D2"/>
    <w:rsid w:val="00840820"/>
    <w:rsid w:val="0084085E"/>
    <w:rsid w:val="008409A8"/>
    <w:rsid w:val="00840B9A"/>
    <w:rsid w:val="00840DA7"/>
    <w:rsid w:val="00840ED4"/>
    <w:rsid w:val="00840F73"/>
    <w:rsid w:val="008410E5"/>
    <w:rsid w:val="0084119D"/>
    <w:rsid w:val="0084121F"/>
    <w:rsid w:val="0084124A"/>
    <w:rsid w:val="0084126C"/>
    <w:rsid w:val="0084126E"/>
    <w:rsid w:val="008412DA"/>
    <w:rsid w:val="008413F6"/>
    <w:rsid w:val="00841427"/>
    <w:rsid w:val="0084149A"/>
    <w:rsid w:val="00841512"/>
    <w:rsid w:val="00841551"/>
    <w:rsid w:val="008415F5"/>
    <w:rsid w:val="0084161F"/>
    <w:rsid w:val="00841677"/>
    <w:rsid w:val="00841693"/>
    <w:rsid w:val="008416B0"/>
    <w:rsid w:val="0084173E"/>
    <w:rsid w:val="008417C7"/>
    <w:rsid w:val="008417DA"/>
    <w:rsid w:val="008417EA"/>
    <w:rsid w:val="0084196E"/>
    <w:rsid w:val="008419B4"/>
    <w:rsid w:val="008419DA"/>
    <w:rsid w:val="00841A82"/>
    <w:rsid w:val="00841B01"/>
    <w:rsid w:val="00841B45"/>
    <w:rsid w:val="00841C14"/>
    <w:rsid w:val="00841C29"/>
    <w:rsid w:val="00841CB5"/>
    <w:rsid w:val="00841D9B"/>
    <w:rsid w:val="00841DF8"/>
    <w:rsid w:val="00841F15"/>
    <w:rsid w:val="00841FF7"/>
    <w:rsid w:val="0084204A"/>
    <w:rsid w:val="0084204C"/>
    <w:rsid w:val="0084208D"/>
    <w:rsid w:val="0084211C"/>
    <w:rsid w:val="0084227D"/>
    <w:rsid w:val="00842319"/>
    <w:rsid w:val="00842386"/>
    <w:rsid w:val="008423FF"/>
    <w:rsid w:val="008424AC"/>
    <w:rsid w:val="00842565"/>
    <w:rsid w:val="00842601"/>
    <w:rsid w:val="00842651"/>
    <w:rsid w:val="00842668"/>
    <w:rsid w:val="0084272F"/>
    <w:rsid w:val="008427D1"/>
    <w:rsid w:val="00842850"/>
    <w:rsid w:val="008428F6"/>
    <w:rsid w:val="00842AC7"/>
    <w:rsid w:val="00842B32"/>
    <w:rsid w:val="00842C6F"/>
    <w:rsid w:val="00842D11"/>
    <w:rsid w:val="00842DA7"/>
    <w:rsid w:val="00842E96"/>
    <w:rsid w:val="00842EBB"/>
    <w:rsid w:val="00842FC4"/>
    <w:rsid w:val="00842FDC"/>
    <w:rsid w:val="00843113"/>
    <w:rsid w:val="00843151"/>
    <w:rsid w:val="0084319D"/>
    <w:rsid w:val="0084325B"/>
    <w:rsid w:val="0084334B"/>
    <w:rsid w:val="00843358"/>
    <w:rsid w:val="0084337C"/>
    <w:rsid w:val="00843457"/>
    <w:rsid w:val="008434B1"/>
    <w:rsid w:val="0084359C"/>
    <w:rsid w:val="00843627"/>
    <w:rsid w:val="008436B7"/>
    <w:rsid w:val="008436C0"/>
    <w:rsid w:val="008436C1"/>
    <w:rsid w:val="0084377E"/>
    <w:rsid w:val="008437EF"/>
    <w:rsid w:val="008437FF"/>
    <w:rsid w:val="008439D5"/>
    <w:rsid w:val="00843B58"/>
    <w:rsid w:val="00843B75"/>
    <w:rsid w:val="00843B99"/>
    <w:rsid w:val="00843C09"/>
    <w:rsid w:val="00843CBF"/>
    <w:rsid w:val="00843CCD"/>
    <w:rsid w:val="00843DD2"/>
    <w:rsid w:val="00843E4E"/>
    <w:rsid w:val="00843F0C"/>
    <w:rsid w:val="00843F8F"/>
    <w:rsid w:val="00843F93"/>
    <w:rsid w:val="00843FF5"/>
    <w:rsid w:val="0084400C"/>
    <w:rsid w:val="008440BF"/>
    <w:rsid w:val="00844162"/>
    <w:rsid w:val="00844187"/>
    <w:rsid w:val="008441C6"/>
    <w:rsid w:val="00844317"/>
    <w:rsid w:val="0084434E"/>
    <w:rsid w:val="008443B0"/>
    <w:rsid w:val="008444DB"/>
    <w:rsid w:val="00844503"/>
    <w:rsid w:val="0084453E"/>
    <w:rsid w:val="0084454C"/>
    <w:rsid w:val="008445AB"/>
    <w:rsid w:val="008445BB"/>
    <w:rsid w:val="008445DA"/>
    <w:rsid w:val="0084463F"/>
    <w:rsid w:val="008446BB"/>
    <w:rsid w:val="008448E5"/>
    <w:rsid w:val="00844963"/>
    <w:rsid w:val="00844986"/>
    <w:rsid w:val="00844993"/>
    <w:rsid w:val="00844A0C"/>
    <w:rsid w:val="00844A48"/>
    <w:rsid w:val="00844D0D"/>
    <w:rsid w:val="00844DF3"/>
    <w:rsid w:val="00844E0D"/>
    <w:rsid w:val="00844E15"/>
    <w:rsid w:val="00844EF3"/>
    <w:rsid w:val="00844F26"/>
    <w:rsid w:val="00845036"/>
    <w:rsid w:val="00845039"/>
    <w:rsid w:val="0084504E"/>
    <w:rsid w:val="008450DB"/>
    <w:rsid w:val="0084515E"/>
    <w:rsid w:val="008451FD"/>
    <w:rsid w:val="00845211"/>
    <w:rsid w:val="0084527F"/>
    <w:rsid w:val="008452CC"/>
    <w:rsid w:val="008452F6"/>
    <w:rsid w:val="008453CD"/>
    <w:rsid w:val="00845401"/>
    <w:rsid w:val="008454AC"/>
    <w:rsid w:val="00845502"/>
    <w:rsid w:val="00845508"/>
    <w:rsid w:val="0084550B"/>
    <w:rsid w:val="0084552F"/>
    <w:rsid w:val="0084553F"/>
    <w:rsid w:val="008455B8"/>
    <w:rsid w:val="00845611"/>
    <w:rsid w:val="00845651"/>
    <w:rsid w:val="008456A7"/>
    <w:rsid w:val="008456CC"/>
    <w:rsid w:val="00845769"/>
    <w:rsid w:val="00845781"/>
    <w:rsid w:val="0084578B"/>
    <w:rsid w:val="0084588C"/>
    <w:rsid w:val="008458B9"/>
    <w:rsid w:val="00845917"/>
    <w:rsid w:val="0084594F"/>
    <w:rsid w:val="00845956"/>
    <w:rsid w:val="00845AC3"/>
    <w:rsid w:val="00845B4B"/>
    <w:rsid w:val="00845C8F"/>
    <w:rsid w:val="00845CDB"/>
    <w:rsid w:val="00845D1D"/>
    <w:rsid w:val="00845E8E"/>
    <w:rsid w:val="00845EB5"/>
    <w:rsid w:val="00845F95"/>
    <w:rsid w:val="00845FD1"/>
    <w:rsid w:val="0084601E"/>
    <w:rsid w:val="00846101"/>
    <w:rsid w:val="0084615C"/>
    <w:rsid w:val="00846163"/>
    <w:rsid w:val="00846198"/>
    <w:rsid w:val="0084632E"/>
    <w:rsid w:val="00846562"/>
    <w:rsid w:val="008465F6"/>
    <w:rsid w:val="0084660D"/>
    <w:rsid w:val="00846663"/>
    <w:rsid w:val="008468AA"/>
    <w:rsid w:val="008468D2"/>
    <w:rsid w:val="008468E3"/>
    <w:rsid w:val="00846907"/>
    <w:rsid w:val="00846991"/>
    <w:rsid w:val="00846A13"/>
    <w:rsid w:val="00846A8A"/>
    <w:rsid w:val="00846A8B"/>
    <w:rsid w:val="00846AB3"/>
    <w:rsid w:val="00846B53"/>
    <w:rsid w:val="00846B87"/>
    <w:rsid w:val="00846CA0"/>
    <w:rsid w:val="00846D05"/>
    <w:rsid w:val="00846D19"/>
    <w:rsid w:val="00846D96"/>
    <w:rsid w:val="00846DF7"/>
    <w:rsid w:val="00846E12"/>
    <w:rsid w:val="00846E48"/>
    <w:rsid w:val="00846EBA"/>
    <w:rsid w:val="00846EE6"/>
    <w:rsid w:val="00847023"/>
    <w:rsid w:val="00847208"/>
    <w:rsid w:val="00847413"/>
    <w:rsid w:val="0084754F"/>
    <w:rsid w:val="0084761E"/>
    <w:rsid w:val="00847790"/>
    <w:rsid w:val="008477A6"/>
    <w:rsid w:val="008478E4"/>
    <w:rsid w:val="00847A30"/>
    <w:rsid w:val="00847A37"/>
    <w:rsid w:val="00847A6D"/>
    <w:rsid w:val="00847B2A"/>
    <w:rsid w:val="00847B9B"/>
    <w:rsid w:val="00847BB7"/>
    <w:rsid w:val="00847BD5"/>
    <w:rsid w:val="00847BFD"/>
    <w:rsid w:val="00847CB0"/>
    <w:rsid w:val="00847CC9"/>
    <w:rsid w:val="00847CE8"/>
    <w:rsid w:val="00847CFA"/>
    <w:rsid w:val="00847EE2"/>
    <w:rsid w:val="00847FF4"/>
    <w:rsid w:val="008500AD"/>
    <w:rsid w:val="008500D7"/>
    <w:rsid w:val="00850289"/>
    <w:rsid w:val="00850393"/>
    <w:rsid w:val="00850420"/>
    <w:rsid w:val="008504A4"/>
    <w:rsid w:val="00850505"/>
    <w:rsid w:val="00850544"/>
    <w:rsid w:val="0085059C"/>
    <w:rsid w:val="008505F2"/>
    <w:rsid w:val="008505FC"/>
    <w:rsid w:val="00850627"/>
    <w:rsid w:val="00850638"/>
    <w:rsid w:val="008506ED"/>
    <w:rsid w:val="00850783"/>
    <w:rsid w:val="0085087F"/>
    <w:rsid w:val="008508DE"/>
    <w:rsid w:val="00850920"/>
    <w:rsid w:val="00850938"/>
    <w:rsid w:val="008509B1"/>
    <w:rsid w:val="00850A2D"/>
    <w:rsid w:val="00850B18"/>
    <w:rsid w:val="00850B23"/>
    <w:rsid w:val="00850B5A"/>
    <w:rsid w:val="00850B94"/>
    <w:rsid w:val="00850CE6"/>
    <w:rsid w:val="00850D3D"/>
    <w:rsid w:val="00850E24"/>
    <w:rsid w:val="00850E7F"/>
    <w:rsid w:val="00850EB0"/>
    <w:rsid w:val="00850FA8"/>
    <w:rsid w:val="00851040"/>
    <w:rsid w:val="008510E5"/>
    <w:rsid w:val="008510F1"/>
    <w:rsid w:val="0085116D"/>
    <w:rsid w:val="008512CD"/>
    <w:rsid w:val="00851340"/>
    <w:rsid w:val="0085139F"/>
    <w:rsid w:val="00851400"/>
    <w:rsid w:val="0085152C"/>
    <w:rsid w:val="00851545"/>
    <w:rsid w:val="0085155B"/>
    <w:rsid w:val="0085161E"/>
    <w:rsid w:val="0085168D"/>
    <w:rsid w:val="0085169B"/>
    <w:rsid w:val="008516C0"/>
    <w:rsid w:val="008516D5"/>
    <w:rsid w:val="00851895"/>
    <w:rsid w:val="008518A1"/>
    <w:rsid w:val="008519E7"/>
    <w:rsid w:val="00851A0B"/>
    <w:rsid w:val="00851A1C"/>
    <w:rsid w:val="00851A2B"/>
    <w:rsid w:val="00851A6F"/>
    <w:rsid w:val="00851AA7"/>
    <w:rsid w:val="00851BEC"/>
    <w:rsid w:val="00851C81"/>
    <w:rsid w:val="00851D92"/>
    <w:rsid w:val="00851DFE"/>
    <w:rsid w:val="00851E52"/>
    <w:rsid w:val="00851E8D"/>
    <w:rsid w:val="0085206D"/>
    <w:rsid w:val="00852080"/>
    <w:rsid w:val="0085213D"/>
    <w:rsid w:val="008521E5"/>
    <w:rsid w:val="008521EF"/>
    <w:rsid w:val="008521FC"/>
    <w:rsid w:val="008522DA"/>
    <w:rsid w:val="00852348"/>
    <w:rsid w:val="008523B6"/>
    <w:rsid w:val="008524BE"/>
    <w:rsid w:val="008524FE"/>
    <w:rsid w:val="0085255A"/>
    <w:rsid w:val="0085278D"/>
    <w:rsid w:val="0085285C"/>
    <w:rsid w:val="00852913"/>
    <w:rsid w:val="0085297A"/>
    <w:rsid w:val="008529A7"/>
    <w:rsid w:val="008529AD"/>
    <w:rsid w:val="00852A45"/>
    <w:rsid w:val="00852A83"/>
    <w:rsid w:val="00852AF3"/>
    <w:rsid w:val="00852B8E"/>
    <w:rsid w:val="00852C2F"/>
    <w:rsid w:val="00852C6D"/>
    <w:rsid w:val="00852C7C"/>
    <w:rsid w:val="00852DBA"/>
    <w:rsid w:val="00852DF5"/>
    <w:rsid w:val="00852E86"/>
    <w:rsid w:val="00852F25"/>
    <w:rsid w:val="00853082"/>
    <w:rsid w:val="008530AD"/>
    <w:rsid w:val="008530B9"/>
    <w:rsid w:val="008530BC"/>
    <w:rsid w:val="008530CB"/>
    <w:rsid w:val="008531AA"/>
    <w:rsid w:val="008531CF"/>
    <w:rsid w:val="008532DC"/>
    <w:rsid w:val="00853404"/>
    <w:rsid w:val="00853407"/>
    <w:rsid w:val="00853532"/>
    <w:rsid w:val="0085361D"/>
    <w:rsid w:val="0085365E"/>
    <w:rsid w:val="0085367F"/>
    <w:rsid w:val="008536DD"/>
    <w:rsid w:val="008538A5"/>
    <w:rsid w:val="008538D5"/>
    <w:rsid w:val="008539C9"/>
    <w:rsid w:val="00853A59"/>
    <w:rsid w:val="00853B15"/>
    <w:rsid w:val="00853BBF"/>
    <w:rsid w:val="00853C20"/>
    <w:rsid w:val="00853D31"/>
    <w:rsid w:val="00853D4D"/>
    <w:rsid w:val="00853D5A"/>
    <w:rsid w:val="00853DF2"/>
    <w:rsid w:val="00853EAD"/>
    <w:rsid w:val="00853F36"/>
    <w:rsid w:val="00853FAC"/>
    <w:rsid w:val="00854040"/>
    <w:rsid w:val="00854082"/>
    <w:rsid w:val="008541DD"/>
    <w:rsid w:val="00854208"/>
    <w:rsid w:val="008543A7"/>
    <w:rsid w:val="008543B8"/>
    <w:rsid w:val="008543CD"/>
    <w:rsid w:val="008543FC"/>
    <w:rsid w:val="00854466"/>
    <w:rsid w:val="008546BE"/>
    <w:rsid w:val="008546FB"/>
    <w:rsid w:val="0085477A"/>
    <w:rsid w:val="00854940"/>
    <w:rsid w:val="0085497E"/>
    <w:rsid w:val="00854A2C"/>
    <w:rsid w:val="00854B3F"/>
    <w:rsid w:val="00854B8F"/>
    <w:rsid w:val="00854C77"/>
    <w:rsid w:val="00854D33"/>
    <w:rsid w:val="00854DAD"/>
    <w:rsid w:val="00854E6D"/>
    <w:rsid w:val="00854E89"/>
    <w:rsid w:val="00854E8C"/>
    <w:rsid w:val="00854FBF"/>
    <w:rsid w:val="00855082"/>
    <w:rsid w:val="0085509B"/>
    <w:rsid w:val="0085511F"/>
    <w:rsid w:val="0085513B"/>
    <w:rsid w:val="00855180"/>
    <w:rsid w:val="0085526F"/>
    <w:rsid w:val="00855312"/>
    <w:rsid w:val="0085541F"/>
    <w:rsid w:val="008554F3"/>
    <w:rsid w:val="0085551D"/>
    <w:rsid w:val="0085552C"/>
    <w:rsid w:val="00855581"/>
    <w:rsid w:val="00855582"/>
    <w:rsid w:val="008555DF"/>
    <w:rsid w:val="00855696"/>
    <w:rsid w:val="008556A3"/>
    <w:rsid w:val="00855705"/>
    <w:rsid w:val="00855723"/>
    <w:rsid w:val="00855766"/>
    <w:rsid w:val="00855767"/>
    <w:rsid w:val="00855806"/>
    <w:rsid w:val="008558D3"/>
    <w:rsid w:val="008558F4"/>
    <w:rsid w:val="00855911"/>
    <w:rsid w:val="00855912"/>
    <w:rsid w:val="0085596B"/>
    <w:rsid w:val="00855999"/>
    <w:rsid w:val="008559B4"/>
    <w:rsid w:val="00855B43"/>
    <w:rsid w:val="00855C61"/>
    <w:rsid w:val="00855CC3"/>
    <w:rsid w:val="00855D6C"/>
    <w:rsid w:val="00855D9F"/>
    <w:rsid w:val="00855DCC"/>
    <w:rsid w:val="00855DDE"/>
    <w:rsid w:val="00855EB3"/>
    <w:rsid w:val="00855FAD"/>
    <w:rsid w:val="00855FE8"/>
    <w:rsid w:val="0085606D"/>
    <w:rsid w:val="0085610D"/>
    <w:rsid w:val="008561CB"/>
    <w:rsid w:val="00856282"/>
    <w:rsid w:val="0085639C"/>
    <w:rsid w:val="008563BF"/>
    <w:rsid w:val="008564A3"/>
    <w:rsid w:val="0085664D"/>
    <w:rsid w:val="00856662"/>
    <w:rsid w:val="00856684"/>
    <w:rsid w:val="00856690"/>
    <w:rsid w:val="008569AA"/>
    <w:rsid w:val="008569FE"/>
    <w:rsid w:val="00856B8F"/>
    <w:rsid w:val="00856C14"/>
    <w:rsid w:val="00856C46"/>
    <w:rsid w:val="00856C69"/>
    <w:rsid w:val="00856CCB"/>
    <w:rsid w:val="00856CD1"/>
    <w:rsid w:val="00856CF1"/>
    <w:rsid w:val="00856D07"/>
    <w:rsid w:val="00856DAD"/>
    <w:rsid w:val="00856F63"/>
    <w:rsid w:val="00857126"/>
    <w:rsid w:val="008571A2"/>
    <w:rsid w:val="008571BB"/>
    <w:rsid w:val="00857205"/>
    <w:rsid w:val="00857296"/>
    <w:rsid w:val="00857341"/>
    <w:rsid w:val="00857395"/>
    <w:rsid w:val="00857443"/>
    <w:rsid w:val="00857451"/>
    <w:rsid w:val="008575F8"/>
    <w:rsid w:val="0085764A"/>
    <w:rsid w:val="00857699"/>
    <w:rsid w:val="008577F2"/>
    <w:rsid w:val="008577F9"/>
    <w:rsid w:val="00857851"/>
    <w:rsid w:val="0085790D"/>
    <w:rsid w:val="00857926"/>
    <w:rsid w:val="008579BC"/>
    <w:rsid w:val="00857A64"/>
    <w:rsid w:val="00857AA6"/>
    <w:rsid w:val="00857ADA"/>
    <w:rsid w:val="00857BC9"/>
    <w:rsid w:val="00857C03"/>
    <w:rsid w:val="00857C0F"/>
    <w:rsid w:val="00857CB2"/>
    <w:rsid w:val="00857D29"/>
    <w:rsid w:val="00857DE8"/>
    <w:rsid w:val="00857DEC"/>
    <w:rsid w:val="00857E82"/>
    <w:rsid w:val="00860068"/>
    <w:rsid w:val="008602CB"/>
    <w:rsid w:val="00860456"/>
    <w:rsid w:val="0086046F"/>
    <w:rsid w:val="008604D2"/>
    <w:rsid w:val="008605C6"/>
    <w:rsid w:val="008605F0"/>
    <w:rsid w:val="008605FB"/>
    <w:rsid w:val="00860732"/>
    <w:rsid w:val="008608C4"/>
    <w:rsid w:val="00860990"/>
    <w:rsid w:val="008609EA"/>
    <w:rsid w:val="00860A46"/>
    <w:rsid w:val="00860B6E"/>
    <w:rsid w:val="00860BCF"/>
    <w:rsid w:val="00860CCB"/>
    <w:rsid w:val="00860DD1"/>
    <w:rsid w:val="00860E55"/>
    <w:rsid w:val="00860F24"/>
    <w:rsid w:val="00860FDE"/>
    <w:rsid w:val="00860FEB"/>
    <w:rsid w:val="00861018"/>
    <w:rsid w:val="00861135"/>
    <w:rsid w:val="00861171"/>
    <w:rsid w:val="008611C2"/>
    <w:rsid w:val="008611DD"/>
    <w:rsid w:val="00861266"/>
    <w:rsid w:val="0086127F"/>
    <w:rsid w:val="008612A2"/>
    <w:rsid w:val="008612EA"/>
    <w:rsid w:val="008612F4"/>
    <w:rsid w:val="008613CB"/>
    <w:rsid w:val="0086150F"/>
    <w:rsid w:val="0086170E"/>
    <w:rsid w:val="0086177B"/>
    <w:rsid w:val="00861800"/>
    <w:rsid w:val="00861817"/>
    <w:rsid w:val="00861911"/>
    <w:rsid w:val="008619BE"/>
    <w:rsid w:val="00861AC7"/>
    <w:rsid w:val="00861BFE"/>
    <w:rsid w:val="00861D01"/>
    <w:rsid w:val="00861E5E"/>
    <w:rsid w:val="00861F72"/>
    <w:rsid w:val="00861FEF"/>
    <w:rsid w:val="00862071"/>
    <w:rsid w:val="008620B0"/>
    <w:rsid w:val="00862286"/>
    <w:rsid w:val="00862326"/>
    <w:rsid w:val="008623A6"/>
    <w:rsid w:val="008623D0"/>
    <w:rsid w:val="008623E4"/>
    <w:rsid w:val="00862469"/>
    <w:rsid w:val="00862486"/>
    <w:rsid w:val="0086249E"/>
    <w:rsid w:val="0086261B"/>
    <w:rsid w:val="008626AB"/>
    <w:rsid w:val="008626C2"/>
    <w:rsid w:val="008627A1"/>
    <w:rsid w:val="00862872"/>
    <w:rsid w:val="00862981"/>
    <w:rsid w:val="00862AA2"/>
    <w:rsid w:val="00862ADB"/>
    <w:rsid w:val="00862C33"/>
    <w:rsid w:val="00862CB2"/>
    <w:rsid w:val="00862E62"/>
    <w:rsid w:val="00862F07"/>
    <w:rsid w:val="00863034"/>
    <w:rsid w:val="0086305D"/>
    <w:rsid w:val="008630D7"/>
    <w:rsid w:val="008630D8"/>
    <w:rsid w:val="0086328D"/>
    <w:rsid w:val="008632AE"/>
    <w:rsid w:val="0086330E"/>
    <w:rsid w:val="0086332D"/>
    <w:rsid w:val="00863398"/>
    <w:rsid w:val="008634C5"/>
    <w:rsid w:val="008634C6"/>
    <w:rsid w:val="0086354F"/>
    <w:rsid w:val="008635AA"/>
    <w:rsid w:val="0086360D"/>
    <w:rsid w:val="0086361C"/>
    <w:rsid w:val="0086366B"/>
    <w:rsid w:val="008636E4"/>
    <w:rsid w:val="00863736"/>
    <w:rsid w:val="00863878"/>
    <w:rsid w:val="008638F1"/>
    <w:rsid w:val="008639E1"/>
    <w:rsid w:val="00863A8D"/>
    <w:rsid w:val="00863BE9"/>
    <w:rsid w:val="00863CBC"/>
    <w:rsid w:val="00863D27"/>
    <w:rsid w:val="00863F3B"/>
    <w:rsid w:val="00864005"/>
    <w:rsid w:val="00864041"/>
    <w:rsid w:val="00864064"/>
    <w:rsid w:val="0086411C"/>
    <w:rsid w:val="00864224"/>
    <w:rsid w:val="0086425A"/>
    <w:rsid w:val="0086427E"/>
    <w:rsid w:val="0086434F"/>
    <w:rsid w:val="008643B6"/>
    <w:rsid w:val="008643BE"/>
    <w:rsid w:val="008643F2"/>
    <w:rsid w:val="0086444E"/>
    <w:rsid w:val="0086452C"/>
    <w:rsid w:val="00864553"/>
    <w:rsid w:val="008645C0"/>
    <w:rsid w:val="008645F6"/>
    <w:rsid w:val="00864602"/>
    <w:rsid w:val="00864679"/>
    <w:rsid w:val="008647D2"/>
    <w:rsid w:val="008647F4"/>
    <w:rsid w:val="008647F7"/>
    <w:rsid w:val="00864802"/>
    <w:rsid w:val="00864828"/>
    <w:rsid w:val="00864836"/>
    <w:rsid w:val="008648A8"/>
    <w:rsid w:val="008648AD"/>
    <w:rsid w:val="00864A69"/>
    <w:rsid w:val="00864AAD"/>
    <w:rsid w:val="00864CA4"/>
    <w:rsid w:val="00864CC7"/>
    <w:rsid w:val="00864D21"/>
    <w:rsid w:val="00864D3F"/>
    <w:rsid w:val="00864E2E"/>
    <w:rsid w:val="00864E47"/>
    <w:rsid w:val="00864E8F"/>
    <w:rsid w:val="00864EA8"/>
    <w:rsid w:val="00864EF5"/>
    <w:rsid w:val="00864EF6"/>
    <w:rsid w:val="00864FD3"/>
    <w:rsid w:val="00864FDB"/>
    <w:rsid w:val="008650C1"/>
    <w:rsid w:val="008651AC"/>
    <w:rsid w:val="008651AD"/>
    <w:rsid w:val="008651BA"/>
    <w:rsid w:val="00865219"/>
    <w:rsid w:val="0086521B"/>
    <w:rsid w:val="0086536F"/>
    <w:rsid w:val="00865429"/>
    <w:rsid w:val="0086547A"/>
    <w:rsid w:val="0086549C"/>
    <w:rsid w:val="00865538"/>
    <w:rsid w:val="00865547"/>
    <w:rsid w:val="008655C9"/>
    <w:rsid w:val="00865665"/>
    <w:rsid w:val="008656B7"/>
    <w:rsid w:val="0086578C"/>
    <w:rsid w:val="008657BA"/>
    <w:rsid w:val="00865813"/>
    <w:rsid w:val="00865941"/>
    <w:rsid w:val="008659CD"/>
    <w:rsid w:val="008659D4"/>
    <w:rsid w:val="008659D5"/>
    <w:rsid w:val="00865A07"/>
    <w:rsid w:val="00865A48"/>
    <w:rsid w:val="00865A4C"/>
    <w:rsid w:val="00865A67"/>
    <w:rsid w:val="00865AF7"/>
    <w:rsid w:val="00865B81"/>
    <w:rsid w:val="00865C2C"/>
    <w:rsid w:val="00865C43"/>
    <w:rsid w:val="00865CB9"/>
    <w:rsid w:val="00865CF7"/>
    <w:rsid w:val="00865E22"/>
    <w:rsid w:val="00865EBE"/>
    <w:rsid w:val="00865EF5"/>
    <w:rsid w:val="00865F2C"/>
    <w:rsid w:val="00865F5A"/>
    <w:rsid w:val="00865F60"/>
    <w:rsid w:val="00865FB3"/>
    <w:rsid w:val="0086608D"/>
    <w:rsid w:val="00866123"/>
    <w:rsid w:val="008661F9"/>
    <w:rsid w:val="008662AA"/>
    <w:rsid w:val="008662B3"/>
    <w:rsid w:val="008662FE"/>
    <w:rsid w:val="00866351"/>
    <w:rsid w:val="008663BD"/>
    <w:rsid w:val="008663CB"/>
    <w:rsid w:val="00866466"/>
    <w:rsid w:val="008664EB"/>
    <w:rsid w:val="00866576"/>
    <w:rsid w:val="008665A1"/>
    <w:rsid w:val="008665C9"/>
    <w:rsid w:val="008666A9"/>
    <w:rsid w:val="0086684D"/>
    <w:rsid w:val="00866935"/>
    <w:rsid w:val="0086693B"/>
    <w:rsid w:val="008669AA"/>
    <w:rsid w:val="00866B0C"/>
    <w:rsid w:val="00866B52"/>
    <w:rsid w:val="00866B58"/>
    <w:rsid w:val="00866BE6"/>
    <w:rsid w:val="00866BF7"/>
    <w:rsid w:val="00866C1A"/>
    <w:rsid w:val="00866C93"/>
    <w:rsid w:val="00866CCA"/>
    <w:rsid w:val="00866E9F"/>
    <w:rsid w:val="00866EB7"/>
    <w:rsid w:val="00866FB8"/>
    <w:rsid w:val="0086704B"/>
    <w:rsid w:val="008670DE"/>
    <w:rsid w:val="00867177"/>
    <w:rsid w:val="008672EE"/>
    <w:rsid w:val="00867345"/>
    <w:rsid w:val="008673EA"/>
    <w:rsid w:val="008674B2"/>
    <w:rsid w:val="00867589"/>
    <w:rsid w:val="008676DC"/>
    <w:rsid w:val="008676FA"/>
    <w:rsid w:val="00867869"/>
    <w:rsid w:val="0086788E"/>
    <w:rsid w:val="00867A2E"/>
    <w:rsid w:val="00867C42"/>
    <w:rsid w:val="00867C57"/>
    <w:rsid w:val="00867C99"/>
    <w:rsid w:val="00867D4C"/>
    <w:rsid w:val="00867DD5"/>
    <w:rsid w:val="00867DF1"/>
    <w:rsid w:val="00867E51"/>
    <w:rsid w:val="00867EA7"/>
    <w:rsid w:val="00867F2D"/>
    <w:rsid w:val="00867FA1"/>
    <w:rsid w:val="00870036"/>
    <w:rsid w:val="0087013D"/>
    <w:rsid w:val="008701F0"/>
    <w:rsid w:val="00870381"/>
    <w:rsid w:val="00870391"/>
    <w:rsid w:val="008704D1"/>
    <w:rsid w:val="008705AE"/>
    <w:rsid w:val="008705EE"/>
    <w:rsid w:val="00870614"/>
    <w:rsid w:val="0087061A"/>
    <w:rsid w:val="0087061B"/>
    <w:rsid w:val="0087067B"/>
    <w:rsid w:val="00870705"/>
    <w:rsid w:val="00870709"/>
    <w:rsid w:val="00870745"/>
    <w:rsid w:val="008707B9"/>
    <w:rsid w:val="008709C3"/>
    <w:rsid w:val="00870A09"/>
    <w:rsid w:val="00870A1F"/>
    <w:rsid w:val="00870A3B"/>
    <w:rsid w:val="00870A52"/>
    <w:rsid w:val="00870AB7"/>
    <w:rsid w:val="00870B59"/>
    <w:rsid w:val="00870B77"/>
    <w:rsid w:val="00870C1A"/>
    <w:rsid w:val="00870C56"/>
    <w:rsid w:val="00870C68"/>
    <w:rsid w:val="00870C9A"/>
    <w:rsid w:val="00870CF1"/>
    <w:rsid w:val="00870D06"/>
    <w:rsid w:val="00870D1A"/>
    <w:rsid w:val="00870DB8"/>
    <w:rsid w:val="00870DC2"/>
    <w:rsid w:val="00870DE4"/>
    <w:rsid w:val="00870E05"/>
    <w:rsid w:val="00870E36"/>
    <w:rsid w:val="00870EA9"/>
    <w:rsid w:val="00870F55"/>
    <w:rsid w:val="00870FCA"/>
    <w:rsid w:val="00871075"/>
    <w:rsid w:val="008710C6"/>
    <w:rsid w:val="00871115"/>
    <w:rsid w:val="008713F0"/>
    <w:rsid w:val="0087152E"/>
    <w:rsid w:val="008715E3"/>
    <w:rsid w:val="008716B4"/>
    <w:rsid w:val="00871737"/>
    <w:rsid w:val="0087178A"/>
    <w:rsid w:val="008717D4"/>
    <w:rsid w:val="00871819"/>
    <w:rsid w:val="00871825"/>
    <w:rsid w:val="00871871"/>
    <w:rsid w:val="00871A74"/>
    <w:rsid w:val="00871B6A"/>
    <w:rsid w:val="00871CA5"/>
    <w:rsid w:val="00871DCB"/>
    <w:rsid w:val="0087206D"/>
    <w:rsid w:val="008720D7"/>
    <w:rsid w:val="008720EF"/>
    <w:rsid w:val="00872121"/>
    <w:rsid w:val="0087215F"/>
    <w:rsid w:val="00872160"/>
    <w:rsid w:val="00872166"/>
    <w:rsid w:val="008722F2"/>
    <w:rsid w:val="008723A9"/>
    <w:rsid w:val="008723AC"/>
    <w:rsid w:val="00872531"/>
    <w:rsid w:val="0087274E"/>
    <w:rsid w:val="008727CE"/>
    <w:rsid w:val="00872972"/>
    <w:rsid w:val="00872A7F"/>
    <w:rsid w:val="00872A91"/>
    <w:rsid w:val="00872B42"/>
    <w:rsid w:val="00872B95"/>
    <w:rsid w:val="00872BAF"/>
    <w:rsid w:val="00872BE6"/>
    <w:rsid w:val="00872CBA"/>
    <w:rsid w:val="00872D7C"/>
    <w:rsid w:val="00872DF1"/>
    <w:rsid w:val="00872E91"/>
    <w:rsid w:val="00872EC0"/>
    <w:rsid w:val="00872FEB"/>
    <w:rsid w:val="0087301A"/>
    <w:rsid w:val="0087301B"/>
    <w:rsid w:val="00873116"/>
    <w:rsid w:val="00873161"/>
    <w:rsid w:val="00873345"/>
    <w:rsid w:val="0087335E"/>
    <w:rsid w:val="008733A8"/>
    <w:rsid w:val="008733B6"/>
    <w:rsid w:val="008733D4"/>
    <w:rsid w:val="008733E4"/>
    <w:rsid w:val="00873434"/>
    <w:rsid w:val="00873456"/>
    <w:rsid w:val="00873534"/>
    <w:rsid w:val="008735C7"/>
    <w:rsid w:val="00873634"/>
    <w:rsid w:val="0087364E"/>
    <w:rsid w:val="0087374A"/>
    <w:rsid w:val="00873799"/>
    <w:rsid w:val="008737CB"/>
    <w:rsid w:val="008737FC"/>
    <w:rsid w:val="00873854"/>
    <w:rsid w:val="00873927"/>
    <w:rsid w:val="00873986"/>
    <w:rsid w:val="0087399D"/>
    <w:rsid w:val="008739D8"/>
    <w:rsid w:val="00873A26"/>
    <w:rsid w:val="00873B06"/>
    <w:rsid w:val="00873B88"/>
    <w:rsid w:val="00873D10"/>
    <w:rsid w:val="00873DBC"/>
    <w:rsid w:val="00873E2E"/>
    <w:rsid w:val="00873E35"/>
    <w:rsid w:val="00873F0F"/>
    <w:rsid w:val="00873FF4"/>
    <w:rsid w:val="00874014"/>
    <w:rsid w:val="00874045"/>
    <w:rsid w:val="0087406A"/>
    <w:rsid w:val="0087419D"/>
    <w:rsid w:val="008741AC"/>
    <w:rsid w:val="00874292"/>
    <w:rsid w:val="0087430E"/>
    <w:rsid w:val="0087434C"/>
    <w:rsid w:val="00874426"/>
    <w:rsid w:val="00874436"/>
    <w:rsid w:val="008745A7"/>
    <w:rsid w:val="00874683"/>
    <w:rsid w:val="008746DF"/>
    <w:rsid w:val="0087472C"/>
    <w:rsid w:val="00874752"/>
    <w:rsid w:val="00874777"/>
    <w:rsid w:val="0087477E"/>
    <w:rsid w:val="008747AC"/>
    <w:rsid w:val="008747EF"/>
    <w:rsid w:val="0087484E"/>
    <w:rsid w:val="00874991"/>
    <w:rsid w:val="008749DB"/>
    <w:rsid w:val="008749F9"/>
    <w:rsid w:val="00874A58"/>
    <w:rsid w:val="00874A9A"/>
    <w:rsid w:val="00874B1A"/>
    <w:rsid w:val="00874BC2"/>
    <w:rsid w:val="00874C8E"/>
    <w:rsid w:val="00874D2E"/>
    <w:rsid w:val="00874DF5"/>
    <w:rsid w:val="00874F59"/>
    <w:rsid w:val="00874F6E"/>
    <w:rsid w:val="00875014"/>
    <w:rsid w:val="008751A4"/>
    <w:rsid w:val="008751C8"/>
    <w:rsid w:val="0087532E"/>
    <w:rsid w:val="0087536B"/>
    <w:rsid w:val="008753CA"/>
    <w:rsid w:val="008754A7"/>
    <w:rsid w:val="0087551B"/>
    <w:rsid w:val="0087558E"/>
    <w:rsid w:val="0087562F"/>
    <w:rsid w:val="008756A2"/>
    <w:rsid w:val="008756F2"/>
    <w:rsid w:val="008756F3"/>
    <w:rsid w:val="00875759"/>
    <w:rsid w:val="008757C0"/>
    <w:rsid w:val="008758D5"/>
    <w:rsid w:val="0087591A"/>
    <w:rsid w:val="008759AA"/>
    <w:rsid w:val="00875B07"/>
    <w:rsid w:val="00875BD4"/>
    <w:rsid w:val="00875C6E"/>
    <w:rsid w:val="00875C8B"/>
    <w:rsid w:val="00875CA4"/>
    <w:rsid w:val="00875D1D"/>
    <w:rsid w:val="00875E97"/>
    <w:rsid w:val="00875FD0"/>
    <w:rsid w:val="0087609F"/>
    <w:rsid w:val="008760A5"/>
    <w:rsid w:val="008760C7"/>
    <w:rsid w:val="008760E0"/>
    <w:rsid w:val="008762CD"/>
    <w:rsid w:val="008762ED"/>
    <w:rsid w:val="0087666D"/>
    <w:rsid w:val="0087679E"/>
    <w:rsid w:val="00876887"/>
    <w:rsid w:val="00876952"/>
    <w:rsid w:val="0087698C"/>
    <w:rsid w:val="008769CD"/>
    <w:rsid w:val="00876B5E"/>
    <w:rsid w:val="00876D01"/>
    <w:rsid w:val="00876D52"/>
    <w:rsid w:val="00876D63"/>
    <w:rsid w:val="00876E2B"/>
    <w:rsid w:val="00876E71"/>
    <w:rsid w:val="00876F3D"/>
    <w:rsid w:val="0087705C"/>
    <w:rsid w:val="008770B4"/>
    <w:rsid w:val="0087714A"/>
    <w:rsid w:val="0087714E"/>
    <w:rsid w:val="00877246"/>
    <w:rsid w:val="00877302"/>
    <w:rsid w:val="0087733E"/>
    <w:rsid w:val="0087750C"/>
    <w:rsid w:val="00877543"/>
    <w:rsid w:val="0087754E"/>
    <w:rsid w:val="008776FE"/>
    <w:rsid w:val="00877756"/>
    <w:rsid w:val="00877828"/>
    <w:rsid w:val="008778CC"/>
    <w:rsid w:val="00877940"/>
    <w:rsid w:val="00877968"/>
    <w:rsid w:val="008779FA"/>
    <w:rsid w:val="00877A17"/>
    <w:rsid w:val="00877A1B"/>
    <w:rsid w:val="00877A4C"/>
    <w:rsid w:val="00877AB0"/>
    <w:rsid w:val="00877BA9"/>
    <w:rsid w:val="00877BE8"/>
    <w:rsid w:val="00877C2C"/>
    <w:rsid w:val="00877EEE"/>
    <w:rsid w:val="00877FBF"/>
    <w:rsid w:val="008800CD"/>
    <w:rsid w:val="00880102"/>
    <w:rsid w:val="00880212"/>
    <w:rsid w:val="00880228"/>
    <w:rsid w:val="008802DE"/>
    <w:rsid w:val="008802F3"/>
    <w:rsid w:val="008803B3"/>
    <w:rsid w:val="00880414"/>
    <w:rsid w:val="00880508"/>
    <w:rsid w:val="00880517"/>
    <w:rsid w:val="00880583"/>
    <w:rsid w:val="00880672"/>
    <w:rsid w:val="008806AD"/>
    <w:rsid w:val="008806B0"/>
    <w:rsid w:val="00880775"/>
    <w:rsid w:val="008807D4"/>
    <w:rsid w:val="008808B8"/>
    <w:rsid w:val="008809B7"/>
    <w:rsid w:val="00880AD8"/>
    <w:rsid w:val="00880C44"/>
    <w:rsid w:val="00880C56"/>
    <w:rsid w:val="00880E16"/>
    <w:rsid w:val="00880EB9"/>
    <w:rsid w:val="00880EE4"/>
    <w:rsid w:val="00880EF4"/>
    <w:rsid w:val="00880FB4"/>
    <w:rsid w:val="00881048"/>
    <w:rsid w:val="008811C1"/>
    <w:rsid w:val="008811C4"/>
    <w:rsid w:val="00881237"/>
    <w:rsid w:val="00881283"/>
    <w:rsid w:val="008812A1"/>
    <w:rsid w:val="008812AD"/>
    <w:rsid w:val="00881313"/>
    <w:rsid w:val="008813C4"/>
    <w:rsid w:val="008814AD"/>
    <w:rsid w:val="0088150F"/>
    <w:rsid w:val="00881528"/>
    <w:rsid w:val="00881535"/>
    <w:rsid w:val="008815B5"/>
    <w:rsid w:val="0088162F"/>
    <w:rsid w:val="00881668"/>
    <w:rsid w:val="00881687"/>
    <w:rsid w:val="00881697"/>
    <w:rsid w:val="008816CC"/>
    <w:rsid w:val="008816DF"/>
    <w:rsid w:val="00881771"/>
    <w:rsid w:val="00881827"/>
    <w:rsid w:val="00881849"/>
    <w:rsid w:val="0088186F"/>
    <w:rsid w:val="00881885"/>
    <w:rsid w:val="0088188B"/>
    <w:rsid w:val="008818F9"/>
    <w:rsid w:val="00881972"/>
    <w:rsid w:val="00881A25"/>
    <w:rsid w:val="00881B02"/>
    <w:rsid w:val="00881B46"/>
    <w:rsid w:val="00881C7A"/>
    <w:rsid w:val="00881CB8"/>
    <w:rsid w:val="00881E4F"/>
    <w:rsid w:val="00881E81"/>
    <w:rsid w:val="00881EE5"/>
    <w:rsid w:val="00881EF2"/>
    <w:rsid w:val="00882011"/>
    <w:rsid w:val="00882029"/>
    <w:rsid w:val="008820D7"/>
    <w:rsid w:val="008820F7"/>
    <w:rsid w:val="00882159"/>
    <w:rsid w:val="00882253"/>
    <w:rsid w:val="0088242B"/>
    <w:rsid w:val="00882547"/>
    <w:rsid w:val="008825D2"/>
    <w:rsid w:val="008825D7"/>
    <w:rsid w:val="0088266C"/>
    <w:rsid w:val="00882683"/>
    <w:rsid w:val="00882A16"/>
    <w:rsid w:val="00882A1F"/>
    <w:rsid w:val="00882B07"/>
    <w:rsid w:val="00882BE3"/>
    <w:rsid w:val="00882E0D"/>
    <w:rsid w:val="00883029"/>
    <w:rsid w:val="00883072"/>
    <w:rsid w:val="0088318D"/>
    <w:rsid w:val="00883219"/>
    <w:rsid w:val="008832C7"/>
    <w:rsid w:val="008833C6"/>
    <w:rsid w:val="008833D3"/>
    <w:rsid w:val="0088340B"/>
    <w:rsid w:val="008834A1"/>
    <w:rsid w:val="008834F1"/>
    <w:rsid w:val="00883518"/>
    <w:rsid w:val="00883592"/>
    <w:rsid w:val="00883598"/>
    <w:rsid w:val="008835E6"/>
    <w:rsid w:val="00883656"/>
    <w:rsid w:val="0088372F"/>
    <w:rsid w:val="00883785"/>
    <w:rsid w:val="00883873"/>
    <w:rsid w:val="008838E1"/>
    <w:rsid w:val="008839A4"/>
    <w:rsid w:val="00883A23"/>
    <w:rsid w:val="00883A68"/>
    <w:rsid w:val="00883AFC"/>
    <w:rsid w:val="00883BBF"/>
    <w:rsid w:val="00883C12"/>
    <w:rsid w:val="00883C50"/>
    <w:rsid w:val="00883CFF"/>
    <w:rsid w:val="00883D8B"/>
    <w:rsid w:val="00883DD1"/>
    <w:rsid w:val="00883DD3"/>
    <w:rsid w:val="00883EB0"/>
    <w:rsid w:val="00883ED9"/>
    <w:rsid w:val="00883F61"/>
    <w:rsid w:val="00884109"/>
    <w:rsid w:val="00884131"/>
    <w:rsid w:val="008841B4"/>
    <w:rsid w:val="0088423E"/>
    <w:rsid w:val="0088423F"/>
    <w:rsid w:val="00884241"/>
    <w:rsid w:val="00884278"/>
    <w:rsid w:val="00884416"/>
    <w:rsid w:val="00884417"/>
    <w:rsid w:val="008844CD"/>
    <w:rsid w:val="00884557"/>
    <w:rsid w:val="00884604"/>
    <w:rsid w:val="00884699"/>
    <w:rsid w:val="008846C1"/>
    <w:rsid w:val="008846D4"/>
    <w:rsid w:val="00884711"/>
    <w:rsid w:val="00884718"/>
    <w:rsid w:val="008847B5"/>
    <w:rsid w:val="0088482C"/>
    <w:rsid w:val="00884885"/>
    <w:rsid w:val="00884947"/>
    <w:rsid w:val="008849C4"/>
    <w:rsid w:val="00884A79"/>
    <w:rsid w:val="00884BA2"/>
    <w:rsid w:val="00884BB4"/>
    <w:rsid w:val="00884C01"/>
    <w:rsid w:val="00884C0C"/>
    <w:rsid w:val="00884D50"/>
    <w:rsid w:val="00884E84"/>
    <w:rsid w:val="00884EAB"/>
    <w:rsid w:val="00884F7A"/>
    <w:rsid w:val="00884FB2"/>
    <w:rsid w:val="0088507A"/>
    <w:rsid w:val="008850A9"/>
    <w:rsid w:val="008850BA"/>
    <w:rsid w:val="0088513A"/>
    <w:rsid w:val="0088522D"/>
    <w:rsid w:val="0088536D"/>
    <w:rsid w:val="00885427"/>
    <w:rsid w:val="0088547C"/>
    <w:rsid w:val="00885620"/>
    <w:rsid w:val="008856A2"/>
    <w:rsid w:val="0088572D"/>
    <w:rsid w:val="008858E2"/>
    <w:rsid w:val="0088594F"/>
    <w:rsid w:val="008859E0"/>
    <w:rsid w:val="008859EB"/>
    <w:rsid w:val="008859F8"/>
    <w:rsid w:val="00885B37"/>
    <w:rsid w:val="00885BA8"/>
    <w:rsid w:val="00885BD7"/>
    <w:rsid w:val="00885C45"/>
    <w:rsid w:val="00885CAE"/>
    <w:rsid w:val="00885CE9"/>
    <w:rsid w:val="00885D75"/>
    <w:rsid w:val="00885DBC"/>
    <w:rsid w:val="00885DC9"/>
    <w:rsid w:val="00885DF8"/>
    <w:rsid w:val="00885DFC"/>
    <w:rsid w:val="00885E46"/>
    <w:rsid w:val="00885E8A"/>
    <w:rsid w:val="00885EC0"/>
    <w:rsid w:val="00885EF2"/>
    <w:rsid w:val="00886075"/>
    <w:rsid w:val="008860EF"/>
    <w:rsid w:val="00886130"/>
    <w:rsid w:val="00886189"/>
    <w:rsid w:val="00886224"/>
    <w:rsid w:val="00886228"/>
    <w:rsid w:val="008862FF"/>
    <w:rsid w:val="0088631C"/>
    <w:rsid w:val="008863ED"/>
    <w:rsid w:val="00886424"/>
    <w:rsid w:val="0088643A"/>
    <w:rsid w:val="00886455"/>
    <w:rsid w:val="00886515"/>
    <w:rsid w:val="00886537"/>
    <w:rsid w:val="00886560"/>
    <w:rsid w:val="008866E5"/>
    <w:rsid w:val="00886722"/>
    <w:rsid w:val="0088675C"/>
    <w:rsid w:val="00886840"/>
    <w:rsid w:val="008869BE"/>
    <w:rsid w:val="008869D9"/>
    <w:rsid w:val="00886ACA"/>
    <w:rsid w:val="00886B74"/>
    <w:rsid w:val="00886B7A"/>
    <w:rsid w:val="00886B7D"/>
    <w:rsid w:val="00886C74"/>
    <w:rsid w:val="00886CF6"/>
    <w:rsid w:val="00886CFA"/>
    <w:rsid w:val="00886D65"/>
    <w:rsid w:val="00886D76"/>
    <w:rsid w:val="00886DB0"/>
    <w:rsid w:val="00886DD2"/>
    <w:rsid w:val="00886DE9"/>
    <w:rsid w:val="00886EAE"/>
    <w:rsid w:val="00886F73"/>
    <w:rsid w:val="0088701E"/>
    <w:rsid w:val="00887027"/>
    <w:rsid w:val="008870B4"/>
    <w:rsid w:val="00887196"/>
    <w:rsid w:val="008871FE"/>
    <w:rsid w:val="00887261"/>
    <w:rsid w:val="0088726C"/>
    <w:rsid w:val="00887279"/>
    <w:rsid w:val="008872F2"/>
    <w:rsid w:val="00887412"/>
    <w:rsid w:val="0088748F"/>
    <w:rsid w:val="00887492"/>
    <w:rsid w:val="00887497"/>
    <w:rsid w:val="008874CE"/>
    <w:rsid w:val="00887790"/>
    <w:rsid w:val="00887808"/>
    <w:rsid w:val="0088781D"/>
    <w:rsid w:val="00887931"/>
    <w:rsid w:val="00887A51"/>
    <w:rsid w:val="00887A9B"/>
    <w:rsid w:val="00887ABD"/>
    <w:rsid w:val="00887ACE"/>
    <w:rsid w:val="00887BDB"/>
    <w:rsid w:val="00887CB2"/>
    <w:rsid w:val="00887E00"/>
    <w:rsid w:val="00887E1E"/>
    <w:rsid w:val="00887E63"/>
    <w:rsid w:val="00890046"/>
    <w:rsid w:val="008900FE"/>
    <w:rsid w:val="00890192"/>
    <w:rsid w:val="008901A5"/>
    <w:rsid w:val="00890262"/>
    <w:rsid w:val="008902E9"/>
    <w:rsid w:val="0089034C"/>
    <w:rsid w:val="00890478"/>
    <w:rsid w:val="00890571"/>
    <w:rsid w:val="00890576"/>
    <w:rsid w:val="00890657"/>
    <w:rsid w:val="008906FE"/>
    <w:rsid w:val="00890798"/>
    <w:rsid w:val="008907FD"/>
    <w:rsid w:val="008909D0"/>
    <w:rsid w:val="00890A82"/>
    <w:rsid w:val="00890A8F"/>
    <w:rsid w:val="00890AAB"/>
    <w:rsid w:val="00890EE1"/>
    <w:rsid w:val="00890EEF"/>
    <w:rsid w:val="00890FDD"/>
    <w:rsid w:val="008910C0"/>
    <w:rsid w:val="00891104"/>
    <w:rsid w:val="00891109"/>
    <w:rsid w:val="008912D0"/>
    <w:rsid w:val="00891483"/>
    <w:rsid w:val="0089149C"/>
    <w:rsid w:val="008914FA"/>
    <w:rsid w:val="00891549"/>
    <w:rsid w:val="00891653"/>
    <w:rsid w:val="0089168B"/>
    <w:rsid w:val="008918A8"/>
    <w:rsid w:val="00891963"/>
    <w:rsid w:val="00891A08"/>
    <w:rsid w:val="00891A25"/>
    <w:rsid w:val="00891A66"/>
    <w:rsid w:val="00891A77"/>
    <w:rsid w:val="00891AC9"/>
    <w:rsid w:val="00891B0D"/>
    <w:rsid w:val="00891C87"/>
    <w:rsid w:val="00891CBE"/>
    <w:rsid w:val="00891D89"/>
    <w:rsid w:val="00891E00"/>
    <w:rsid w:val="00891E08"/>
    <w:rsid w:val="00891EBF"/>
    <w:rsid w:val="0089201A"/>
    <w:rsid w:val="0089211F"/>
    <w:rsid w:val="00892239"/>
    <w:rsid w:val="0089233A"/>
    <w:rsid w:val="00892360"/>
    <w:rsid w:val="008923D7"/>
    <w:rsid w:val="00892475"/>
    <w:rsid w:val="008924E4"/>
    <w:rsid w:val="00892508"/>
    <w:rsid w:val="00892531"/>
    <w:rsid w:val="008925DC"/>
    <w:rsid w:val="00892616"/>
    <w:rsid w:val="0089280C"/>
    <w:rsid w:val="0089288E"/>
    <w:rsid w:val="00892B7F"/>
    <w:rsid w:val="00892D75"/>
    <w:rsid w:val="00892E45"/>
    <w:rsid w:val="00892EBB"/>
    <w:rsid w:val="00892EBF"/>
    <w:rsid w:val="00892EC9"/>
    <w:rsid w:val="00892FD7"/>
    <w:rsid w:val="00892FDF"/>
    <w:rsid w:val="00893060"/>
    <w:rsid w:val="008932FC"/>
    <w:rsid w:val="0089330C"/>
    <w:rsid w:val="008933F9"/>
    <w:rsid w:val="0089340D"/>
    <w:rsid w:val="00893493"/>
    <w:rsid w:val="008935AF"/>
    <w:rsid w:val="008935DF"/>
    <w:rsid w:val="0089369A"/>
    <w:rsid w:val="008936B3"/>
    <w:rsid w:val="0089372D"/>
    <w:rsid w:val="00893747"/>
    <w:rsid w:val="00893790"/>
    <w:rsid w:val="008938A4"/>
    <w:rsid w:val="00893934"/>
    <w:rsid w:val="0089394E"/>
    <w:rsid w:val="008939C0"/>
    <w:rsid w:val="00893AC2"/>
    <w:rsid w:val="00893DFF"/>
    <w:rsid w:val="00893E20"/>
    <w:rsid w:val="00893F59"/>
    <w:rsid w:val="008940FF"/>
    <w:rsid w:val="00894144"/>
    <w:rsid w:val="008941F9"/>
    <w:rsid w:val="008942C5"/>
    <w:rsid w:val="00894361"/>
    <w:rsid w:val="0089439A"/>
    <w:rsid w:val="008943F0"/>
    <w:rsid w:val="00894496"/>
    <w:rsid w:val="0089449E"/>
    <w:rsid w:val="008944C3"/>
    <w:rsid w:val="008944FC"/>
    <w:rsid w:val="0089450C"/>
    <w:rsid w:val="00894523"/>
    <w:rsid w:val="00894646"/>
    <w:rsid w:val="0089475D"/>
    <w:rsid w:val="00894779"/>
    <w:rsid w:val="008947BB"/>
    <w:rsid w:val="0089480E"/>
    <w:rsid w:val="008949DF"/>
    <w:rsid w:val="00894ACB"/>
    <w:rsid w:val="00894B53"/>
    <w:rsid w:val="00894C1A"/>
    <w:rsid w:val="00894CD5"/>
    <w:rsid w:val="00894D6A"/>
    <w:rsid w:val="00894E0E"/>
    <w:rsid w:val="00894E29"/>
    <w:rsid w:val="00894EA3"/>
    <w:rsid w:val="00894EFB"/>
    <w:rsid w:val="00894F54"/>
    <w:rsid w:val="00894FE6"/>
    <w:rsid w:val="008950B5"/>
    <w:rsid w:val="0089538E"/>
    <w:rsid w:val="0089541F"/>
    <w:rsid w:val="008954D0"/>
    <w:rsid w:val="008954D5"/>
    <w:rsid w:val="00895577"/>
    <w:rsid w:val="008956D8"/>
    <w:rsid w:val="00895867"/>
    <w:rsid w:val="008958F5"/>
    <w:rsid w:val="00895A8B"/>
    <w:rsid w:val="00895AC8"/>
    <w:rsid w:val="00895B3B"/>
    <w:rsid w:val="00895BC5"/>
    <w:rsid w:val="00895C01"/>
    <w:rsid w:val="00895D19"/>
    <w:rsid w:val="00895DCE"/>
    <w:rsid w:val="00895E6A"/>
    <w:rsid w:val="00895E79"/>
    <w:rsid w:val="00895F1C"/>
    <w:rsid w:val="00895FB8"/>
    <w:rsid w:val="00896007"/>
    <w:rsid w:val="00896036"/>
    <w:rsid w:val="0089606C"/>
    <w:rsid w:val="00896098"/>
    <w:rsid w:val="0089624D"/>
    <w:rsid w:val="008962A2"/>
    <w:rsid w:val="008962DC"/>
    <w:rsid w:val="0089636D"/>
    <w:rsid w:val="008963D5"/>
    <w:rsid w:val="008964B7"/>
    <w:rsid w:val="00896600"/>
    <w:rsid w:val="0089662C"/>
    <w:rsid w:val="0089665E"/>
    <w:rsid w:val="00896754"/>
    <w:rsid w:val="00896758"/>
    <w:rsid w:val="00896928"/>
    <w:rsid w:val="0089694C"/>
    <w:rsid w:val="008969EE"/>
    <w:rsid w:val="00896AEC"/>
    <w:rsid w:val="00896B7E"/>
    <w:rsid w:val="00896BB1"/>
    <w:rsid w:val="00896C0C"/>
    <w:rsid w:val="00896C2F"/>
    <w:rsid w:val="00896C77"/>
    <w:rsid w:val="00896C81"/>
    <w:rsid w:val="00896D4D"/>
    <w:rsid w:val="00896D53"/>
    <w:rsid w:val="00896E6D"/>
    <w:rsid w:val="00896EC2"/>
    <w:rsid w:val="00897001"/>
    <w:rsid w:val="00897182"/>
    <w:rsid w:val="0089724F"/>
    <w:rsid w:val="008972B0"/>
    <w:rsid w:val="00897384"/>
    <w:rsid w:val="00897438"/>
    <w:rsid w:val="00897498"/>
    <w:rsid w:val="008974A8"/>
    <w:rsid w:val="0089753B"/>
    <w:rsid w:val="008976B5"/>
    <w:rsid w:val="008976E9"/>
    <w:rsid w:val="008977DD"/>
    <w:rsid w:val="00897828"/>
    <w:rsid w:val="00897871"/>
    <w:rsid w:val="00897900"/>
    <w:rsid w:val="00897962"/>
    <w:rsid w:val="00897A6A"/>
    <w:rsid w:val="00897A70"/>
    <w:rsid w:val="00897AE9"/>
    <w:rsid w:val="00897B1E"/>
    <w:rsid w:val="00897B73"/>
    <w:rsid w:val="00897B7B"/>
    <w:rsid w:val="00897BA6"/>
    <w:rsid w:val="00897C36"/>
    <w:rsid w:val="00897D68"/>
    <w:rsid w:val="00897DDE"/>
    <w:rsid w:val="00897E20"/>
    <w:rsid w:val="00897E35"/>
    <w:rsid w:val="00897E88"/>
    <w:rsid w:val="008A003A"/>
    <w:rsid w:val="008A005D"/>
    <w:rsid w:val="008A005E"/>
    <w:rsid w:val="008A0109"/>
    <w:rsid w:val="008A0139"/>
    <w:rsid w:val="008A024A"/>
    <w:rsid w:val="008A031C"/>
    <w:rsid w:val="008A0436"/>
    <w:rsid w:val="008A04BD"/>
    <w:rsid w:val="008A04D8"/>
    <w:rsid w:val="008A04E5"/>
    <w:rsid w:val="008A0509"/>
    <w:rsid w:val="008A0568"/>
    <w:rsid w:val="008A0616"/>
    <w:rsid w:val="008A065B"/>
    <w:rsid w:val="008A06D9"/>
    <w:rsid w:val="008A070B"/>
    <w:rsid w:val="008A094F"/>
    <w:rsid w:val="008A0985"/>
    <w:rsid w:val="008A09D8"/>
    <w:rsid w:val="008A0A6D"/>
    <w:rsid w:val="008A0B93"/>
    <w:rsid w:val="008A0BED"/>
    <w:rsid w:val="008A0C5C"/>
    <w:rsid w:val="008A0CC1"/>
    <w:rsid w:val="008A0D23"/>
    <w:rsid w:val="008A0D67"/>
    <w:rsid w:val="008A0DD8"/>
    <w:rsid w:val="008A0DE5"/>
    <w:rsid w:val="008A0E6B"/>
    <w:rsid w:val="008A0ED9"/>
    <w:rsid w:val="008A0EE1"/>
    <w:rsid w:val="008A0F21"/>
    <w:rsid w:val="008A0F74"/>
    <w:rsid w:val="008A0FB5"/>
    <w:rsid w:val="008A1002"/>
    <w:rsid w:val="008A10C8"/>
    <w:rsid w:val="008A10F7"/>
    <w:rsid w:val="008A11CE"/>
    <w:rsid w:val="008A120B"/>
    <w:rsid w:val="008A121C"/>
    <w:rsid w:val="008A123C"/>
    <w:rsid w:val="008A125A"/>
    <w:rsid w:val="008A12B9"/>
    <w:rsid w:val="008A12C3"/>
    <w:rsid w:val="008A1388"/>
    <w:rsid w:val="008A13F9"/>
    <w:rsid w:val="008A14D0"/>
    <w:rsid w:val="008A158D"/>
    <w:rsid w:val="008A15DC"/>
    <w:rsid w:val="008A1604"/>
    <w:rsid w:val="008A162E"/>
    <w:rsid w:val="008A1678"/>
    <w:rsid w:val="008A1689"/>
    <w:rsid w:val="008A16A9"/>
    <w:rsid w:val="008A16C7"/>
    <w:rsid w:val="008A17F7"/>
    <w:rsid w:val="008A17FC"/>
    <w:rsid w:val="008A1939"/>
    <w:rsid w:val="008A1A0F"/>
    <w:rsid w:val="008A1A30"/>
    <w:rsid w:val="008A1A38"/>
    <w:rsid w:val="008A1AB7"/>
    <w:rsid w:val="008A1ADF"/>
    <w:rsid w:val="008A1B7E"/>
    <w:rsid w:val="008A1B98"/>
    <w:rsid w:val="008A1BB2"/>
    <w:rsid w:val="008A1C36"/>
    <w:rsid w:val="008A1D54"/>
    <w:rsid w:val="008A1D6A"/>
    <w:rsid w:val="008A1E56"/>
    <w:rsid w:val="008A2079"/>
    <w:rsid w:val="008A2101"/>
    <w:rsid w:val="008A2149"/>
    <w:rsid w:val="008A2272"/>
    <w:rsid w:val="008A22E9"/>
    <w:rsid w:val="008A239E"/>
    <w:rsid w:val="008A2429"/>
    <w:rsid w:val="008A264D"/>
    <w:rsid w:val="008A2695"/>
    <w:rsid w:val="008A27DC"/>
    <w:rsid w:val="008A28F4"/>
    <w:rsid w:val="008A2964"/>
    <w:rsid w:val="008A29A2"/>
    <w:rsid w:val="008A29D3"/>
    <w:rsid w:val="008A2A2F"/>
    <w:rsid w:val="008A2A77"/>
    <w:rsid w:val="008A2AC5"/>
    <w:rsid w:val="008A2AE7"/>
    <w:rsid w:val="008A2B16"/>
    <w:rsid w:val="008A2B47"/>
    <w:rsid w:val="008A2C4F"/>
    <w:rsid w:val="008A2C62"/>
    <w:rsid w:val="008A2C92"/>
    <w:rsid w:val="008A2CC3"/>
    <w:rsid w:val="008A2D47"/>
    <w:rsid w:val="008A2D7A"/>
    <w:rsid w:val="008A2D9C"/>
    <w:rsid w:val="008A2DE4"/>
    <w:rsid w:val="008A3024"/>
    <w:rsid w:val="008A30D5"/>
    <w:rsid w:val="008A30E4"/>
    <w:rsid w:val="008A31E2"/>
    <w:rsid w:val="008A32BC"/>
    <w:rsid w:val="008A3370"/>
    <w:rsid w:val="008A337C"/>
    <w:rsid w:val="008A3458"/>
    <w:rsid w:val="008A3468"/>
    <w:rsid w:val="008A34BA"/>
    <w:rsid w:val="008A34F4"/>
    <w:rsid w:val="008A35B9"/>
    <w:rsid w:val="008A36F7"/>
    <w:rsid w:val="008A38DC"/>
    <w:rsid w:val="008A39AF"/>
    <w:rsid w:val="008A3A6A"/>
    <w:rsid w:val="008A3B53"/>
    <w:rsid w:val="008A3B82"/>
    <w:rsid w:val="008A3D64"/>
    <w:rsid w:val="008A3D71"/>
    <w:rsid w:val="008A3DE6"/>
    <w:rsid w:val="008A3E1B"/>
    <w:rsid w:val="008A3E96"/>
    <w:rsid w:val="008A3EC0"/>
    <w:rsid w:val="008A3EFC"/>
    <w:rsid w:val="008A3F6C"/>
    <w:rsid w:val="008A3FC0"/>
    <w:rsid w:val="008A4006"/>
    <w:rsid w:val="008A413D"/>
    <w:rsid w:val="008A416D"/>
    <w:rsid w:val="008A4178"/>
    <w:rsid w:val="008A4183"/>
    <w:rsid w:val="008A419C"/>
    <w:rsid w:val="008A4205"/>
    <w:rsid w:val="008A425D"/>
    <w:rsid w:val="008A4393"/>
    <w:rsid w:val="008A43B2"/>
    <w:rsid w:val="008A43FE"/>
    <w:rsid w:val="008A4442"/>
    <w:rsid w:val="008A47B0"/>
    <w:rsid w:val="008A4851"/>
    <w:rsid w:val="008A48AB"/>
    <w:rsid w:val="008A48F2"/>
    <w:rsid w:val="008A493D"/>
    <w:rsid w:val="008A4A5C"/>
    <w:rsid w:val="008A4ACA"/>
    <w:rsid w:val="008A4B09"/>
    <w:rsid w:val="008A4BB7"/>
    <w:rsid w:val="008A4BF6"/>
    <w:rsid w:val="008A4C6D"/>
    <w:rsid w:val="008A4C9E"/>
    <w:rsid w:val="008A4CEE"/>
    <w:rsid w:val="008A4D1B"/>
    <w:rsid w:val="008A4D73"/>
    <w:rsid w:val="008A4E1F"/>
    <w:rsid w:val="008A4E63"/>
    <w:rsid w:val="008A4E71"/>
    <w:rsid w:val="008A4F8F"/>
    <w:rsid w:val="008A4FDC"/>
    <w:rsid w:val="008A501D"/>
    <w:rsid w:val="008A5056"/>
    <w:rsid w:val="008A505E"/>
    <w:rsid w:val="008A5153"/>
    <w:rsid w:val="008A51D4"/>
    <w:rsid w:val="008A5207"/>
    <w:rsid w:val="008A5231"/>
    <w:rsid w:val="008A52D8"/>
    <w:rsid w:val="008A52E3"/>
    <w:rsid w:val="008A5305"/>
    <w:rsid w:val="008A5351"/>
    <w:rsid w:val="008A5425"/>
    <w:rsid w:val="008A5525"/>
    <w:rsid w:val="008A5614"/>
    <w:rsid w:val="008A5677"/>
    <w:rsid w:val="008A5698"/>
    <w:rsid w:val="008A581E"/>
    <w:rsid w:val="008A583D"/>
    <w:rsid w:val="008A583E"/>
    <w:rsid w:val="008A58A6"/>
    <w:rsid w:val="008A5921"/>
    <w:rsid w:val="008A5946"/>
    <w:rsid w:val="008A59AD"/>
    <w:rsid w:val="008A59D3"/>
    <w:rsid w:val="008A5A67"/>
    <w:rsid w:val="008A5B25"/>
    <w:rsid w:val="008A5B3E"/>
    <w:rsid w:val="008A5C13"/>
    <w:rsid w:val="008A5C29"/>
    <w:rsid w:val="008A5C72"/>
    <w:rsid w:val="008A5CA8"/>
    <w:rsid w:val="008A5CF9"/>
    <w:rsid w:val="008A5D0A"/>
    <w:rsid w:val="008A5DED"/>
    <w:rsid w:val="008A5DFD"/>
    <w:rsid w:val="008A5F05"/>
    <w:rsid w:val="008A6093"/>
    <w:rsid w:val="008A60B5"/>
    <w:rsid w:val="008A6178"/>
    <w:rsid w:val="008A61E4"/>
    <w:rsid w:val="008A61F6"/>
    <w:rsid w:val="008A620D"/>
    <w:rsid w:val="008A622C"/>
    <w:rsid w:val="008A6370"/>
    <w:rsid w:val="008A63A3"/>
    <w:rsid w:val="008A63EA"/>
    <w:rsid w:val="008A63FC"/>
    <w:rsid w:val="008A64A6"/>
    <w:rsid w:val="008A64BD"/>
    <w:rsid w:val="008A652F"/>
    <w:rsid w:val="008A6557"/>
    <w:rsid w:val="008A65DA"/>
    <w:rsid w:val="008A66C7"/>
    <w:rsid w:val="008A66FB"/>
    <w:rsid w:val="008A676E"/>
    <w:rsid w:val="008A6783"/>
    <w:rsid w:val="008A67D8"/>
    <w:rsid w:val="008A67E5"/>
    <w:rsid w:val="008A686A"/>
    <w:rsid w:val="008A688B"/>
    <w:rsid w:val="008A68E3"/>
    <w:rsid w:val="008A6903"/>
    <w:rsid w:val="008A6B7C"/>
    <w:rsid w:val="008A6BBB"/>
    <w:rsid w:val="008A6BCA"/>
    <w:rsid w:val="008A6C28"/>
    <w:rsid w:val="008A6C29"/>
    <w:rsid w:val="008A6D51"/>
    <w:rsid w:val="008A6DDE"/>
    <w:rsid w:val="008A6F5F"/>
    <w:rsid w:val="008A6F71"/>
    <w:rsid w:val="008A7060"/>
    <w:rsid w:val="008A71A6"/>
    <w:rsid w:val="008A727C"/>
    <w:rsid w:val="008A72F0"/>
    <w:rsid w:val="008A7308"/>
    <w:rsid w:val="008A7356"/>
    <w:rsid w:val="008A73F7"/>
    <w:rsid w:val="008A7411"/>
    <w:rsid w:val="008A7597"/>
    <w:rsid w:val="008A75A1"/>
    <w:rsid w:val="008A75E4"/>
    <w:rsid w:val="008A760B"/>
    <w:rsid w:val="008A76B1"/>
    <w:rsid w:val="008A76EB"/>
    <w:rsid w:val="008A7787"/>
    <w:rsid w:val="008A780A"/>
    <w:rsid w:val="008A7820"/>
    <w:rsid w:val="008A7928"/>
    <w:rsid w:val="008A7979"/>
    <w:rsid w:val="008A7A5E"/>
    <w:rsid w:val="008A7A7A"/>
    <w:rsid w:val="008A7ADB"/>
    <w:rsid w:val="008A7B23"/>
    <w:rsid w:val="008A7B7B"/>
    <w:rsid w:val="008A7CB7"/>
    <w:rsid w:val="008A7EE7"/>
    <w:rsid w:val="008A7F26"/>
    <w:rsid w:val="008A7F5A"/>
    <w:rsid w:val="008A7FA5"/>
    <w:rsid w:val="008B005B"/>
    <w:rsid w:val="008B00C3"/>
    <w:rsid w:val="008B00D6"/>
    <w:rsid w:val="008B0280"/>
    <w:rsid w:val="008B028D"/>
    <w:rsid w:val="008B02B2"/>
    <w:rsid w:val="008B02E8"/>
    <w:rsid w:val="008B03B5"/>
    <w:rsid w:val="008B03BC"/>
    <w:rsid w:val="008B042B"/>
    <w:rsid w:val="008B05C6"/>
    <w:rsid w:val="008B0619"/>
    <w:rsid w:val="008B0A15"/>
    <w:rsid w:val="008B0AD3"/>
    <w:rsid w:val="008B0B45"/>
    <w:rsid w:val="008B0DBC"/>
    <w:rsid w:val="008B0E64"/>
    <w:rsid w:val="008B0E8C"/>
    <w:rsid w:val="008B0F02"/>
    <w:rsid w:val="008B0F0E"/>
    <w:rsid w:val="008B0F61"/>
    <w:rsid w:val="008B100E"/>
    <w:rsid w:val="008B107B"/>
    <w:rsid w:val="008B11CD"/>
    <w:rsid w:val="008B1277"/>
    <w:rsid w:val="008B1281"/>
    <w:rsid w:val="008B1322"/>
    <w:rsid w:val="008B142A"/>
    <w:rsid w:val="008B143E"/>
    <w:rsid w:val="008B14F4"/>
    <w:rsid w:val="008B1521"/>
    <w:rsid w:val="008B1539"/>
    <w:rsid w:val="008B1598"/>
    <w:rsid w:val="008B15E4"/>
    <w:rsid w:val="008B16B4"/>
    <w:rsid w:val="008B17B6"/>
    <w:rsid w:val="008B187F"/>
    <w:rsid w:val="008B1898"/>
    <w:rsid w:val="008B18E3"/>
    <w:rsid w:val="008B18FC"/>
    <w:rsid w:val="008B197E"/>
    <w:rsid w:val="008B19CB"/>
    <w:rsid w:val="008B1A60"/>
    <w:rsid w:val="008B1AB6"/>
    <w:rsid w:val="008B1AF7"/>
    <w:rsid w:val="008B1CB6"/>
    <w:rsid w:val="008B1CBC"/>
    <w:rsid w:val="008B1DB6"/>
    <w:rsid w:val="008B1F03"/>
    <w:rsid w:val="008B2166"/>
    <w:rsid w:val="008B2297"/>
    <w:rsid w:val="008B22FE"/>
    <w:rsid w:val="008B2300"/>
    <w:rsid w:val="008B23D1"/>
    <w:rsid w:val="008B2498"/>
    <w:rsid w:val="008B251D"/>
    <w:rsid w:val="008B252F"/>
    <w:rsid w:val="008B256C"/>
    <w:rsid w:val="008B258F"/>
    <w:rsid w:val="008B264A"/>
    <w:rsid w:val="008B26F2"/>
    <w:rsid w:val="008B2738"/>
    <w:rsid w:val="008B2739"/>
    <w:rsid w:val="008B27E0"/>
    <w:rsid w:val="008B28AE"/>
    <w:rsid w:val="008B2948"/>
    <w:rsid w:val="008B29E5"/>
    <w:rsid w:val="008B2ACB"/>
    <w:rsid w:val="008B2AD8"/>
    <w:rsid w:val="008B2BB3"/>
    <w:rsid w:val="008B2C04"/>
    <w:rsid w:val="008B2C7D"/>
    <w:rsid w:val="008B2DC6"/>
    <w:rsid w:val="008B2EB2"/>
    <w:rsid w:val="008B2F5E"/>
    <w:rsid w:val="008B2F7C"/>
    <w:rsid w:val="008B2F89"/>
    <w:rsid w:val="008B2F8F"/>
    <w:rsid w:val="008B30CF"/>
    <w:rsid w:val="008B30ED"/>
    <w:rsid w:val="008B31B9"/>
    <w:rsid w:val="008B31BD"/>
    <w:rsid w:val="008B3292"/>
    <w:rsid w:val="008B32CE"/>
    <w:rsid w:val="008B3462"/>
    <w:rsid w:val="008B3636"/>
    <w:rsid w:val="008B3663"/>
    <w:rsid w:val="008B36C5"/>
    <w:rsid w:val="008B3768"/>
    <w:rsid w:val="008B379D"/>
    <w:rsid w:val="008B38ED"/>
    <w:rsid w:val="008B38F7"/>
    <w:rsid w:val="008B39D0"/>
    <w:rsid w:val="008B3AAA"/>
    <w:rsid w:val="008B3C37"/>
    <w:rsid w:val="008B3C4C"/>
    <w:rsid w:val="008B3CE3"/>
    <w:rsid w:val="008B3D04"/>
    <w:rsid w:val="008B3D4A"/>
    <w:rsid w:val="008B3D4C"/>
    <w:rsid w:val="008B3DBB"/>
    <w:rsid w:val="008B3DE1"/>
    <w:rsid w:val="008B3E0D"/>
    <w:rsid w:val="008B3EDF"/>
    <w:rsid w:val="008B3F0D"/>
    <w:rsid w:val="008B40C5"/>
    <w:rsid w:val="008B4199"/>
    <w:rsid w:val="008B41D2"/>
    <w:rsid w:val="008B41D5"/>
    <w:rsid w:val="008B4243"/>
    <w:rsid w:val="008B425B"/>
    <w:rsid w:val="008B427A"/>
    <w:rsid w:val="008B42E5"/>
    <w:rsid w:val="008B439E"/>
    <w:rsid w:val="008B43CD"/>
    <w:rsid w:val="008B43FF"/>
    <w:rsid w:val="008B4441"/>
    <w:rsid w:val="008B4449"/>
    <w:rsid w:val="008B4479"/>
    <w:rsid w:val="008B453B"/>
    <w:rsid w:val="008B45AD"/>
    <w:rsid w:val="008B45B3"/>
    <w:rsid w:val="008B45F8"/>
    <w:rsid w:val="008B4621"/>
    <w:rsid w:val="008B4633"/>
    <w:rsid w:val="008B47DF"/>
    <w:rsid w:val="008B4897"/>
    <w:rsid w:val="008B491A"/>
    <w:rsid w:val="008B491E"/>
    <w:rsid w:val="008B49ED"/>
    <w:rsid w:val="008B49FD"/>
    <w:rsid w:val="008B4A17"/>
    <w:rsid w:val="008B4A21"/>
    <w:rsid w:val="008B4A27"/>
    <w:rsid w:val="008B4A75"/>
    <w:rsid w:val="008B4B3E"/>
    <w:rsid w:val="008B4C1E"/>
    <w:rsid w:val="008B4C67"/>
    <w:rsid w:val="008B4C77"/>
    <w:rsid w:val="008B4C79"/>
    <w:rsid w:val="008B4CFB"/>
    <w:rsid w:val="008B4D16"/>
    <w:rsid w:val="008B4DC1"/>
    <w:rsid w:val="008B4DC2"/>
    <w:rsid w:val="008B4DF3"/>
    <w:rsid w:val="008B4E7C"/>
    <w:rsid w:val="008B4E8A"/>
    <w:rsid w:val="008B4EB3"/>
    <w:rsid w:val="008B4F49"/>
    <w:rsid w:val="008B4FB9"/>
    <w:rsid w:val="008B508F"/>
    <w:rsid w:val="008B511B"/>
    <w:rsid w:val="008B517A"/>
    <w:rsid w:val="008B5196"/>
    <w:rsid w:val="008B51D9"/>
    <w:rsid w:val="008B520F"/>
    <w:rsid w:val="008B5271"/>
    <w:rsid w:val="008B52D5"/>
    <w:rsid w:val="008B5315"/>
    <w:rsid w:val="008B536E"/>
    <w:rsid w:val="008B53A4"/>
    <w:rsid w:val="008B543A"/>
    <w:rsid w:val="008B5462"/>
    <w:rsid w:val="008B553A"/>
    <w:rsid w:val="008B55B2"/>
    <w:rsid w:val="008B5636"/>
    <w:rsid w:val="008B56B9"/>
    <w:rsid w:val="008B5723"/>
    <w:rsid w:val="008B5734"/>
    <w:rsid w:val="008B57A2"/>
    <w:rsid w:val="008B58C3"/>
    <w:rsid w:val="008B590A"/>
    <w:rsid w:val="008B5926"/>
    <w:rsid w:val="008B59BA"/>
    <w:rsid w:val="008B5A5E"/>
    <w:rsid w:val="008B5BDE"/>
    <w:rsid w:val="008B5C2A"/>
    <w:rsid w:val="008B5C5E"/>
    <w:rsid w:val="008B5C81"/>
    <w:rsid w:val="008B5CF6"/>
    <w:rsid w:val="008B5D17"/>
    <w:rsid w:val="008B5DE7"/>
    <w:rsid w:val="008B5E4D"/>
    <w:rsid w:val="008B5E55"/>
    <w:rsid w:val="008B5E83"/>
    <w:rsid w:val="008B5EE0"/>
    <w:rsid w:val="008B5F0A"/>
    <w:rsid w:val="008B5F28"/>
    <w:rsid w:val="008B6079"/>
    <w:rsid w:val="008B6196"/>
    <w:rsid w:val="008B61A3"/>
    <w:rsid w:val="008B61DF"/>
    <w:rsid w:val="008B61F7"/>
    <w:rsid w:val="008B62C8"/>
    <w:rsid w:val="008B6380"/>
    <w:rsid w:val="008B650D"/>
    <w:rsid w:val="008B6541"/>
    <w:rsid w:val="008B6550"/>
    <w:rsid w:val="008B6657"/>
    <w:rsid w:val="008B6687"/>
    <w:rsid w:val="008B6718"/>
    <w:rsid w:val="008B689C"/>
    <w:rsid w:val="008B68B7"/>
    <w:rsid w:val="008B68FC"/>
    <w:rsid w:val="008B69CC"/>
    <w:rsid w:val="008B6A3D"/>
    <w:rsid w:val="008B6A40"/>
    <w:rsid w:val="008B6A47"/>
    <w:rsid w:val="008B6A96"/>
    <w:rsid w:val="008B6B2C"/>
    <w:rsid w:val="008B6B90"/>
    <w:rsid w:val="008B6BCA"/>
    <w:rsid w:val="008B6D27"/>
    <w:rsid w:val="008B6DE7"/>
    <w:rsid w:val="008B6F01"/>
    <w:rsid w:val="008B6F27"/>
    <w:rsid w:val="008B70B7"/>
    <w:rsid w:val="008B7109"/>
    <w:rsid w:val="008B7169"/>
    <w:rsid w:val="008B7585"/>
    <w:rsid w:val="008B75CC"/>
    <w:rsid w:val="008B76AC"/>
    <w:rsid w:val="008B77A4"/>
    <w:rsid w:val="008B7950"/>
    <w:rsid w:val="008B7ABB"/>
    <w:rsid w:val="008B7AE3"/>
    <w:rsid w:val="008B7B89"/>
    <w:rsid w:val="008B7BC6"/>
    <w:rsid w:val="008B7BF6"/>
    <w:rsid w:val="008B7CF5"/>
    <w:rsid w:val="008B7D18"/>
    <w:rsid w:val="008B7DC4"/>
    <w:rsid w:val="008B7DDB"/>
    <w:rsid w:val="008B7DF6"/>
    <w:rsid w:val="008B7DFB"/>
    <w:rsid w:val="008B7E35"/>
    <w:rsid w:val="008B7ECB"/>
    <w:rsid w:val="008B7F9A"/>
    <w:rsid w:val="008C0006"/>
    <w:rsid w:val="008C003B"/>
    <w:rsid w:val="008C00B5"/>
    <w:rsid w:val="008C0202"/>
    <w:rsid w:val="008C024E"/>
    <w:rsid w:val="008C028B"/>
    <w:rsid w:val="008C031A"/>
    <w:rsid w:val="008C03A9"/>
    <w:rsid w:val="008C03AF"/>
    <w:rsid w:val="008C046C"/>
    <w:rsid w:val="008C04B6"/>
    <w:rsid w:val="008C053E"/>
    <w:rsid w:val="008C05B4"/>
    <w:rsid w:val="008C067F"/>
    <w:rsid w:val="008C088B"/>
    <w:rsid w:val="008C0954"/>
    <w:rsid w:val="008C0A5A"/>
    <w:rsid w:val="008C0B54"/>
    <w:rsid w:val="008C0B7B"/>
    <w:rsid w:val="008C0B89"/>
    <w:rsid w:val="008C0B8A"/>
    <w:rsid w:val="008C0BDF"/>
    <w:rsid w:val="008C0CC0"/>
    <w:rsid w:val="008C0CFC"/>
    <w:rsid w:val="008C0D14"/>
    <w:rsid w:val="008C0D92"/>
    <w:rsid w:val="008C0D99"/>
    <w:rsid w:val="008C0E5F"/>
    <w:rsid w:val="008C0E7D"/>
    <w:rsid w:val="008C0EC0"/>
    <w:rsid w:val="008C0FAE"/>
    <w:rsid w:val="008C0FBF"/>
    <w:rsid w:val="008C13CC"/>
    <w:rsid w:val="008C1468"/>
    <w:rsid w:val="008C152F"/>
    <w:rsid w:val="008C158F"/>
    <w:rsid w:val="008C15B2"/>
    <w:rsid w:val="008C15E4"/>
    <w:rsid w:val="008C15F8"/>
    <w:rsid w:val="008C171C"/>
    <w:rsid w:val="008C17D9"/>
    <w:rsid w:val="008C185A"/>
    <w:rsid w:val="008C18C5"/>
    <w:rsid w:val="008C1943"/>
    <w:rsid w:val="008C1AE2"/>
    <w:rsid w:val="008C1B0A"/>
    <w:rsid w:val="008C1B61"/>
    <w:rsid w:val="008C1BB9"/>
    <w:rsid w:val="008C1C35"/>
    <w:rsid w:val="008C1C3C"/>
    <w:rsid w:val="008C1C4E"/>
    <w:rsid w:val="008C1D9C"/>
    <w:rsid w:val="008C1F45"/>
    <w:rsid w:val="008C1F91"/>
    <w:rsid w:val="008C2063"/>
    <w:rsid w:val="008C2125"/>
    <w:rsid w:val="008C222F"/>
    <w:rsid w:val="008C22CD"/>
    <w:rsid w:val="008C247D"/>
    <w:rsid w:val="008C24EC"/>
    <w:rsid w:val="008C25CB"/>
    <w:rsid w:val="008C26A6"/>
    <w:rsid w:val="008C2857"/>
    <w:rsid w:val="008C2B6B"/>
    <w:rsid w:val="008C2B82"/>
    <w:rsid w:val="008C2D78"/>
    <w:rsid w:val="008C2E08"/>
    <w:rsid w:val="008C2E8B"/>
    <w:rsid w:val="008C2EBB"/>
    <w:rsid w:val="008C2F38"/>
    <w:rsid w:val="008C2F3E"/>
    <w:rsid w:val="008C308D"/>
    <w:rsid w:val="008C3282"/>
    <w:rsid w:val="008C3352"/>
    <w:rsid w:val="008C340D"/>
    <w:rsid w:val="008C34CF"/>
    <w:rsid w:val="008C355F"/>
    <w:rsid w:val="008C35FA"/>
    <w:rsid w:val="008C3608"/>
    <w:rsid w:val="008C3635"/>
    <w:rsid w:val="008C366E"/>
    <w:rsid w:val="008C367D"/>
    <w:rsid w:val="008C3694"/>
    <w:rsid w:val="008C36D2"/>
    <w:rsid w:val="008C36EC"/>
    <w:rsid w:val="008C37FC"/>
    <w:rsid w:val="008C395D"/>
    <w:rsid w:val="008C398E"/>
    <w:rsid w:val="008C3A35"/>
    <w:rsid w:val="008C3A4B"/>
    <w:rsid w:val="008C3AD3"/>
    <w:rsid w:val="008C3BEA"/>
    <w:rsid w:val="008C3C28"/>
    <w:rsid w:val="008C3C6D"/>
    <w:rsid w:val="008C3CF3"/>
    <w:rsid w:val="008C3D04"/>
    <w:rsid w:val="008C3D4E"/>
    <w:rsid w:val="008C3DBD"/>
    <w:rsid w:val="008C3E35"/>
    <w:rsid w:val="008C3E36"/>
    <w:rsid w:val="008C3F54"/>
    <w:rsid w:val="008C3FD0"/>
    <w:rsid w:val="008C3FEF"/>
    <w:rsid w:val="008C4102"/>
    <w:rsid w:val="008C41A0"/>
    <w:rsid w:val="008C4240"/>
    <w:rsid w:val="008C42FD"/>
    <w:rsid w:val="008C433F"/>
    <w:rsid w:val="008C435D"/>
    <w:rsid w:val="008C442D"/>
    <w:rsid w:val="008C4492"/>
    <w:rsid w:val="008C4495"/>
    <w:rsid w:val="008C45DF"/>
    <w:rsid w:val="008C4684"/>
    <w:rsid w:val="008C4728"/>
    <w:rsid w:val="008C478C"/>
    <w:rsid w:val="008C47F8"/>
    <w:rsid w:val="008C49B6"/>
    <w:rsid w:val="008C4B8F"/>
    <w:rsid w:val="008C4C0E"/>
    <w:rsid w:val="008C4C28"/>
    <w:rsid w:val="008C4CC2"/>
    <w:rsid w:val="008C4D84"/>
    <w:rsid w:val="008C4DA4"/>
    <w:rsid w:val="008C500D"/>
    <w:rsid w:val="008C505E"/>
    <w:rsid w:val="008C506A"/>
    <w:rsid w:val="008C50B7"/>
    <w:rsid w:val="008C5118"/>
    <w:rsid w:val="008C5127"/>
    <w:rsid w:val="008C516A"/>
    <w:rsid w:val="008C51C0"/>
    <w:rsid w:val="008C5219"/>
    <w:rsid w:val="008C5246"/>
    <w:rsid w:val="008C52C9"/>
    <w:rsid w:val="008C5338"/>
    <w:rsid w:val="008C540C"/>
    <w:rsid w:val="008C5437"/>
    <w:rsid w:val="008C54DF"/>
    <w:rsid w:val="008C54F4"/>
    <w:rsid w:val="008C5557"/>
    <w:rsid w:val="008C55C2"/>
    <w:rsid w:val="008C5604"/>
    <w:rsid w:val="008C5621"/>
    <w:rsid w:val="008C571C"/>
    <w:rsid w:val="008C57CC"/>
    <w:rsid w:val="008C5852"/>
    <w:rsid w:val="008C586E"/>
    <w:rsid w:val="008C58C7"/>
    <w:rsid w:val="008C58FA"/>
    <w:rsid w:val="008C591B"/>
    <w:rsid w:val="008C597D"/>
    <w:rsid w:val="008C59D3"/>
    <w:rsid w:val="008C59D9"/>
    <w:rsid w:val="008C5AAF"/>
    <w:rsid w:val="008C5CE5"/>
    <w:rsid w:val="008C5D3A"/>
    <w:rsid w:val="008C5DF9"/>
    <w:rsid w:val="008C5E12"/>
    <w:rsid w:val="008C5EBE"/>
    <w:rsid w:val="008C5EEA"/>
    <w:rsid w:val="008C5F6B"/>
    <w:rsid w:val="008C5F83"/>
    <w:rsid w:val="008C5FA9"/>
    <w:rsid w:val="008C5FB0"/>
    <w:rsid w:val="008C5FD2"/>
    <w:rsid w:val="008C60BD"/>
    <w:rsid w:val="008C61D3"/>
    <w:rsid w:val="008C62CF"/>
    <w:rsid w:val="008C6430"/>
    <w:rsid w:val="008C64B5"/>
    <w:rsid w:val="008C6730"/>
    <w:rsid w:val="008C67F8"/>
    <w:rsid w:val="008C6882"/>
    <w:rsid w:val="008C6898"/>
    <w:rsid w:val="008C696B"/>
    <w:rsid w:val="008C6AEE"/>
    <w:rsid w:val="008C6B4A"/>
    <w:rsid w:val="008C6BCB"/>
    <w:rsid w:val="008C6BFF"/>
    <w:rsid w:val="008C6C59"/>
    <w:rsid w:val="008C6DD4"/>
    <w:rsid w:val="008C6E78"/>
    <w:rsid w:val="008C6EF5"/>
    <w:rsid w:val="008C6F39"/>
    <w:rsid w:val="008C6F83"/>
    <w:rsid w:val="008C7001"/>
    <w:rsid w:val="008C7035"/>
    <w:rsid w:val="008C7247"/>
    <w:rsid w:val="008C749B"/>
    <w:rsid w:val="008C750F"/>
    <w:rsid w:val="008C7537"/>
    <w:rsid w:val="008C7538"/>
    <w:rsid w:val="008C75F5"/>
    <w:rsid w:val="008C7603"/>
    <w:rsid w:val="008C7674"/>
    <w:rsid w:val="008C768D"/>
    <w:rsid w:val="008C775B"/>
    <w:rsid w:val="008C77CB"/>
    <w:rsid w:val="008C77FE"/>
    <w:rsid w:val="008C784F"/>
    <w:rsid w:val="008C78B3"/>
    <w:rsid w:val="008C7AAA"/>
    <w:rsid w:val="008C7B0B"/>
    <w:rsid w:val="008C7B2C"/>
    <w:rsid w:val="008C7B34"/>
    <w:rsid w:val="008C7B46"/>
    <w:rsid w:val="008C7C4B"/>
    <w:rsid w:val="008C7CE9"/>
    <w:rsid w:val="008C7CF9"/>
    <w:rsid w:val="008C7D13"/>
    <w:rsid w:val="008C7D39"/>
    <w:rsid w:val="008C7F4C"/>
    <w:rsid w:val="008C8355"/>
    <w:rsid w:val="008D0051"/>
    <w:rsid w:val="008D00B8"/>
    <w:rsid w:val="008D00E6"/>
    <w:rsid w:val="008D0185"/>
    <w:rsid w:val="008D0216"/>
    <w:rsid w:val="008D025C"/>
    <w:rsid w:val="008D04DB"/>
    <w:rsid w:val="008D05D2"/>
    <w:rsid w:val="008D05DB"/>
    <w:rsid w:val="008D0617"/>
    <w:rsid w:val="008D06BF"/>
    <w:rsid w:val="008D06E1"/>
    <w:rsid w:val="008D06FB"/>
    <w:rsid w:val="008D09DB"/>
    <w:rsid w:val="008D09F4"/>
    <w:rsid w:val="008D0A29"/>
    <w:rsid w:val="008D0A62"/>
    <w:rsid w:val="008D0A7A"/>
    <w:rsid w:val="008D0AD2"/>
    <w:rsid w:val="008D0BA1"/>
    <w:rsid w:val="008D0C7E"/>
    <w:rsid w:val="008D0C93"/>
    <w:rsid w:val="008D0D25"/>
    <w:rsid w:val="008D0D77"/>
    <w:rsid w:val="008D0E76"/>
    <w:rsid w:val="008D0E90"/>
    <w:rsid w:val="008D0F08"/>
    <w:rsid w:val="008D0F71"/>
    <w:rsid w:val="008D1027"/>
    <w:rsid w:val="008D1042"/>
    <w:rsid w:val="008D107F"/>
    <w:rsid w:val="008D10D9"/>
    <w:rsid w:val="008D10E8"/>
    <w:rsid w:val="008D1214"/>
    <w:rsid w:val="008D131A"/>
    <w:rsid w:val="008D1354"/>
    <w:rsid w:val="008D1420"/>
    <w:rsid w:val="008D142E"/>
    <w:rsid w:val="008D1454"/>
    <w:rsid w:val="008D1487"/>
    <w:rsid w:val="008D1543"/>
    <w:rsid w:val="008D15C2"/>
    <w:rsid w:val="008D1600"/>
    <w:rsid w:val="008D1709"/>
    <w:rsid w:val="008D17A1"/>
    <w:rsid w:val="008D17AD"/>
    <w:rsid w:val="008D17C0"/>
    <w:rsid w:val="008D1821"/>
    <w:rsid w:val="008D18B9"/>
    <w:rsid w:val="008D18C7"/>
    <w:rsid w:val="008D190E"/>
    <w:rsid w:val="008D19D1"/>
    <w:rsid w:val="008D19DB"/>
    <w:rsid w:val="008D1B1F"/>
    <w:rsid w:val="008D1BFF"/>
    <w:rsid w:val="008D1CA6"/>
    <w:rsid w:val="008D1CC0"/>
    <w:rsid w:val="008D1D4C"/>
    <w:rsid w:val="008D1D85"/>
    <w:rsid w:val="008D1EE8"/>
    <w:rsid w:val="008D2083"/>
    <w:rsid w:val="008D20C9"/>
    <w:rsid w:val="008D2132"/>
    <w:rsid w:val="008D2179"/>
    <w:rsid w:val="008D218B"/>
    <w:rsid w:val="008D2238"/>
    <w:rsid w:val="008D229C"/>
    <w:rsid w:val="008D2385"/>
    <w:rsid w:val="008D23D2"/>
    <w:rsid w:val="008D2460"/>
    <w:rsid w:val="008D24A5"/>
    <w:rsid w:val="008D25B4"/>
    <w:rsid w:val="008D2778"/>
    <w:rsid w:val="008D2895"/>
    <w:rsid w:val="008D2A74"/>
    <w:rsid w:val="008D2A85"/>
    <w:rsid w:val="008D2AD7"/>
    <w:rsid w:val="008D2B01"/>
    <w:rsid w:val="008D2B16"/>
    <w:rsid w:val="008D2B9B"/>
    <w:rsid w:val="008D2BCC"/>
    <w:rsid w:val="008D2C2A"/>
    <w:rsid w:val="008D2C98"/>
    <w:rsid w:val="008D2D01"/>
    <w:rsid w:val="008D2D0D"/>
    <w:rsid w:val="008D2D31"/>
    <w:rsid w:val="008D2D5E"/>
    <w:rsid w:val="008D2D8B"/>
    <w:rsid w:val="008D2E1C"/>
    <w:rsid w:val="008D2E94"/>
    <w:rsid w:val="008D2F17"/>
    <w:rsid w:val="008D2F87"/>
    <w:rsid w:val="008D2F9D"/>
    <w:rsid w:val="008D30B3"/>
    <w:rsid w:val="008D30BD"/>
    <w:rsid w:val="008D30F3"/>
    <w:rsid w:val="008D3228"/>
    <w:rsid w:val="008D32CD"/>
    <w:rsid w:val="008D32FA"/>
    <w:rsid w:val="008D3331"/>
    <w:rsid w:val="008D333E"/>
    <w:rsid w:val="008D339C"/>
    <w:rsid w:val="008D34E1"/>
    <w:rsid w:val="008D354B"/>
    <w:rsid w:val="008D3551"/>
    <w:rsid w:val="008D3567"/>
    <w:rsid w:val="008D366D"/>
    <w:rsid w:val="008D3698"/>
    <w:rsid w:val="008D36C9"/>
    <w:rsid w:val="008D3706"/>
    <w:rsid w:val="008D373D"/>
    <w:rsid w:val="008D376B"/>
    <w:rsid w:val="008D3800"/>
    <w:rsid w:val="008D3840"/>
    <w:rsid w:val="008D38A6"/>
    <w:rsid w:val="008D39AF"/>
    <w:rsid w:val="008D39D7"/>
    <w:rsid w:val="008D3A39"/>
    <w:rsid w:val="008D3AD6"/>
    <w:rsid w:val="008D3AF5"/>
    <w:rsid w:val="008D3B1F"/>
    <w:rsid w:val="008D3BE5"/>
    <w:rsid w:val="008D3CF0"/>
    <w:rsid w:val="008D3CF5"/>
    <w:rsid w:val="008D3CF6"/>
    <w:rsid w:val="008D3D4F"/>
    <w:rsid w:val="008D3DB3"/>
    <w:rsid w:val="008D3E38"/>
    <w:rsid w:val="008D3EBF"/>
    <w:rsid w:val="008D3EC1"/>
    <w:rsid w:val="008D3F2D"/>
    <w:rsid w:val="008D3F4A"/>
    <w:rsid w:val="008D3FC4"/>
    <w:rsid w:val="008D41B2"/>
    <w:rsid w:val="008D422D"/>
    <w:rsid w:val="008D4292"/>
    <w:rsid w:val="008D42C7"/>
    <w:rsid w:val="008D42D2"/>
    <w:rsid w:val="008D4301"/>
    <w:rsid w:val="008D430B"/>
    <w:rsid w:val="008D43CF"/>
    <w:rsid w:val="008D43DB"/>
    <w:rsid w:val="008D4416"/>
    <w:rsid w:val="008D4488"/>
    <w:rsid w:val="008D451B"/>
    <w:rsid w:val="008D4566"/>
    <w:rsid w:val="008D4604"/>
    <w:rsid w:val="008D46A0"/>
    <w:rsid w:val="008D4866"/>
    <w:rsid w:val="008D4A50"/>
    <w:rsid w:val="008D4A92"/>
    <w:rsid w:val="008D4AED"/>
    <w:rsid w:val="008D4B17"/>
    <w:rsid w:val="008D4B76"/>
    <w:rsid w:val="008D4BE1"/>
    <w:rsid w:val="008D4D54"/>
    <w:rsid w:val="008D4D62"/>
    <w:rsid w:val="008D4D6C"/>
    <w:rsid w:val="008D4E1E"/>
    <w:rsid w:val="008D4E6C"/>
    <w:rsid w:val="008D4E93"/>
    <w:rsid w:val="008D4EFF"/>
    <w:rsid w:val="008D4F86"/>
    <w:rsid w:val="008D5007"/>
    <w:rsid w:val="008D5297"/>
    <w:rsid w:val="008D52CF"/>
    <w:rsid w:val="008D5504"/>
    <w:rsid w:val="008D5576"/>
    <w:rsid w:val="008D55A7"/>
    <w:rsid w:val="008D563D"/>
    <w:rsid w:val="008D5651"/>
    <w:rsid w:val="008D56B6"/>
    <w:rsid w:val="008D5792"/>
    <w:rsid w:val="008D57D5"/>
    <w:rsid w:val="008D5851"/>
    <w:rsid w:val="008D5A1D"/>
    <w:rsid w:val="008D5A45"/>
    <w:rsid w:val="008D5A55"/>
    <w:rsid w:val="008D5A5D"/>
    <w:rsid w:val="008D5AEA"/>
    <w:rsid w:val="008D5B20"/>
    <w:rsid w:val="008D5B31"/>
    <w:rsid w:val="008D5B54"/>
    <w:rsid w:val="008D5BCA"/>
    <w:rsid w:val="008D5D5B"/>
    <w:rsid w:val="008D5E1E"/>
    <w:rsid w:val="008D5E65"/>
    <w:rsid w:val="008D603D"/>
    <w:rsid w:val="008D60E5"/>
    <w:rsid w:val="008D610A"/>
    <w:rsid w:val="008D620D"/>
    <w:rsid w:val="008D63D5"/>
    <w:rsid w:val="008D643F"/>
    <w:rsid w:val="008D65AB"/>
    <w:rsid w:val="008D65FC"/>
    <w:rsid w:val="008D667A"/>
    <w:rsid w:val="008D66BC"/>
    <w:rsid w:val="008D66C4"/>
    <w:rsid w:val="008D6712"/>
    <w:rsid w:val="008D67ED"/>
    <w:rsid w:val="008D684E"/>
    <w:rsid w:val="008D6850"/>
    <w:rsid w:val="008D68D6"/>
    <w:rsid w:val="008D68F8"/>
    <w:rsid w:val="008D69F1"/>
    <w:rsid w:val="008D6A47"/>
    <w:rsid w:val="008D6BAD"/>
    <w:rsid w:val="008D6BDB"/>
    <w:rsid w:val="008D6D2C"/>
    <w:rsid w:val="008D6D87"/>
    <w:rsid w:val="008D6F09"/>
    <w:rsid w:val="008D6FA5"/>
    <w:rsid w:val="008D7017"/>
    <w:rsid w:val="008D71FC"/>
    <w:rsid w:val="008D7305"/>
    <w:rsid w:val="008D7349"/>
    <w:rsid w:val="008D7370"/>
    <w:rsid w:val="008D7422"/>
    <w:rsid w:val="008D7462"/>
    <w:rsid w:val="008D7463"/>
    <w:rsid w:val="008D74A2"/>
    <w:rsid w:val="008D74B3"/>
    <w:rsid w:val="008D7523"/>
    <w:rsid w:val="008D755C"/>
    <w:rsid w:val="008D757A"/>
    <w:rsid w:val="008D76D3"/>
    <w:rsid w:val="008D76D7"/>
    <w:rsid w:val="008D76DE"/>
    <w:rsid w:val="008D78B6"/>
    <w:rsid w:val="008D7AEE"/>
    <w:rsid w:val="008D7B19"/>
    <w:rsid w:val="008D7B26"/>
    <w:rsid w:val="008D7C6C"/>
    <w:rsid w:val="008D7CD5"/>
    <w:rsid w:val="008D7D53"/>
    <w:rsid w:val="008D7DA4"/>
    <w:rsid w:val="008D7DB7"/>
    <w:rsid w:val="008D7EA3"/>
    <w:rsid w:val="008D7F1F"/>
    <w:rsid w:val="008D7F32"/>
    <w:rsid w:val="008D7F48"/>
    <w:rsid w:val="008D7F7A"/>
    <w:rsid w:val="008E0091"/>
    <w:rsid w:val="008E0145"/>
    <w:rsid w:val="008E0156"/>
    <w:rsid w:val="008E0179"/>
    <w:rsid w:val="008E01FA"/>
    <w:rsid w:val="008E0238"/>
    <w:rsid w:val="008E02A7"/>
    <w:rsid w:val="008E02B0"/>
    <w:rsid w:val="008E02D2"/>
    <w:rsid w:val="008E0359"/>
    <w:rsid w:val="008E03A6"/>
    <w:rsid w:val="008E0462"/>
    <w:rsid w:val="008E055B"/>
    <w:rsid w:val="008E077E"/>
    <w:rsid w:val="008E0815"/>
    <w:rsid w:val="008E081A"/>
    <w:rsid w:val="008E0872"/>
    <w:rsid w:val="008E088E"/>
    <w:rsid w:val="008E0935"/>
    <w:rsid w:val="008E0B81"/>
    <w:rsid w:val="008E0B9B"/>
    <w:rsid w:val="008E0C1C"/>
    <w:rsid w:val="008E0C2A"/>
    <w:rsid w:val="008E0C5B"/>
    <w:rsid w:val="008E0D70"/>
    <w:rsid w:val="008E0E10"/>
    <w:rsid w:val="008E0E24"/>
    <w:rsid w:val="008E0EAB"/>
    <w:rsid w:val="008E0FFF"/>
    <w:rsid w:val="008E1022"/>
    <w:rsid w:val="008E10EA"/>
    <w:rsid w:val="008E1212"/>
    <w:rsid w:val="008E13B2"/>
    <w:rsid w:val="008E13FE"/>
    <w:rsid w:val="008E1442"/>
    <w:rsid w:val="008E145D"/>
    <w:rsid w:val="008E14AB"/>
    <w:rsid w:val="008E14D7"/>
    <w:rsid w:val="008E1505"/>
    <w:rsid w:val="008E1532"/>
    <w:rsid w:val="008E161C"/>
    <w:rsid w:val="008E1964"/>
    <w:rsid w:val="008E1997"/>
    <w:rsid w:val="008E1B72"/>
    <w:rsid w:val="008E1B99"/>
    <w:rsid w:val="008E1BCF"/>
    <w:rsid w:val="008E1BED"/>
    <w:rsid w:val="008E1C0A"/>
    <w:rsid w:val="008E1C3B"/>
    <w:rsid w:val="008E1D0D"/>
    <w:rsid w:val="008E1D55"/>
    <w:rsid w:val="008E1E1E"/>
    <w:rsid w:val="008E1E4C"/>
    <w:rsid w:val="008E1E7A"/>
    <w:rsid w:val="008E1F4B"/>
    <w:rsid w:val="008E1F6F"/>
    <w:rsid w:val="008E2053"/>
    <w:rsid w:val="008E2068"/>
    <w:rsid w:val="008E20E6"/>
    <w:rsid w:val="008E210F"/>
    <w:rsid w:val="008E2143"/>
    <w:rsid w:val="008E2186"/>
    <w:rsid w:val="008E2187"/>
    <w:rsid w:val="008E21D4"/>
    <w:rsid w:val="008E22F4"/>
    <w:rsid w:val="008E2332"/>
    <w:rsid w:val="008E23B3"/>
    <w:rsid w:val="008E23CF"/>
    <w:rsid w:val="008E241D"/>
    <w:rsid w:val="008E2445"/>
    <w:rsid w:val="008E25EC"/>
    <w:rsid w:val="008E268A"/>
    <w:rsid w:val="008E26E3"/>
    <w:rsid w:val="008E27DD"/>
    <w:rsid w:val="008E2909"/>
    <w:rsid w:val="008E298D"/>
    <w:rsid w:val="008E2A3D"/>
    <w:rsid w:val="008E2B3E"/>
    <w:rsid w:val="008E2BC5"/>
    <w:rsid w:val="008E2D05"/>
    <w:rsid w:val="008E2D1B"/>
    <w:rsid w:val="008E2D8F"/>
    <w:rsid w:val="008E2DCE"/>
    <w:rsid w:val="008E2ECF"/>
    <w:rsid w:val="008E2EE1"/>
    <w:rsid w:val="008E2F40"/>
    <w:rsid w:val="008E2F61"/>
    <w:rsid w:val="008E3044"/>
    <w:rsid w:val="008E304A"/>
    <w:rsid w:val="008E3064"/>
    <w:rsid w:val="008E3089"/>
    <w:rsid w:val="008E313F"/>
    <w:rsid w:val="008E316E"/>
    <w:rsid w:val="008E319B"/>
    <w:rsid w:val="008E32FE"/>
    <w:rsid w:val="008E3315"/>
    <w:rsid w:val="008E3339"/>
    <w:rsid w:val="008E3358"/>
    <w:rsid w:val="008E3382"/>
    <w:rsid w:val="008E3437"/>
    <w:rsid w:val="008E34A2"/>
    <w:rsid w:val="008E3526"/>
    <w:rsid w:val="008E3623"/>
    <w:rsid w:val="008E36D2"/>
    <w:rsid w:val="008E374C"/>
    <w:rsid w:val="008E3787"/>
    <w:rsid w:val="008E381D"/>
    <w:rsid w:val="008E39A6"/>
    <w:rsid w:val="008E39E4"/>
    <w:rsid w:val="008E39F0"/>
    <w:rsid w:val="008E3A30"/>
    <w:rsid w:val="008E3B97"/>
    <w:rsid w:val="008E3C90"/>
    <w:rsid w:val="008E3C98"/>
    <w:rsid w:val="008E3CA1"/>
    <w:rsid w:val="008E3CF2"/>
    <w:rsid w:val="008E3D23"/>
    <w:rsid w:val="008E3D9B"/>
    <w:rsid w:val="008E3EB5"/>
    <w:rsid w:val="008E3FB7"/>
    <w:rsid w:val="008E4092"/>
    <w:rsid w:val="008E40E1"/>
    <w:rsid w:val="008E40F4"/>
    <w:rsid w:val="008E4236"/>
    <w:rsid w:val="008E4260"/>
    <w:rsid w:val="008E429A"/>
    <w:rsid w:val="008E435F"/>
    <w:rsid w:val="008E4365"/>
    <w:rsid w:val="008E4405"/>
    <w:rsid w:val="008E4444"/>
    <w:rsid w:val="008E44D5"/>
    <w:rsid w:val="008E464E"/>
    <w:rsid w:val="008E46DC"/>
    <w:rsid w:val="008E46F0"/>
    <w:rsid w:val="008E4749"/>
    <w:rsid w:val="008E4861"/>
    <w:rsid w:val="008E48D8"/>
    <w:rsid w:val="008E48EB"/>
    <w:rsid w:val="008E4970"/>
    <w:rsid w:val="008E4A5E"/>
    <w:rsid w:val="008E4AA3"/>
    <w:rsid w:val="008E4BA8"/>
    <w:rsid w:val="008E4BAC"/>
    <w:rsid w:val="008E4BAD"/>
    <w:rsid w:val="008E4C70"/>
    <w:rsid w:val="008E4DC5"/>
    <w:rsid w:val="008E4E1E"/>
    <w:rsid w:val="008E4F42"/>
    <w:rsid w:val="008E4FE3"/>
    <w:rsid w:val="008E50FF"/>
    <w:rsid w:val="008E51F3"/>
    <w:rsid w:val="008E5208"/>
    <w:rsid w:val="008E53D9"/>
    <w:rsid w:val="008E5493"/>
    <w:rsid w:val="008E5594"/>
    <w:rsid w:val="008E55A0"/>
    <w:rsid w:val="008E55E4"/>
    <w:rsid w:val="008E55F7"/>
    <w:rsid w:val="008E5632"/>
    <w:rsid w:val="008E5780"/>
    <w:rsid w:val="008E5804"/>
    <w:rsid w:val="008E5997"/>
    <w:rsid w:val="008E5A36"/>
    <w:rsid w:val="008E5AB6"/>
    <w:rsid w:val="008E5B93"/>
    <w:rsid w:val="008E5B99"/>
    <w:rsid w:val="008E5C1A"/>
    <w:rsid w:val="008E5C29"/>
    <w:rsid w:val="008E5E38"/>
    <w:rsid w:val="008E5EB4"/>
    <w:rsid w:val="008E5EF8"/>
    <w:rsid w:val="008E5F67"/>
    <w:rsid w:val="008E60A7"/>
    <w:rsid w:val="008E6234"/>
    <w:rsid w:val="008E626A"/>
    <w:rsid w:val="008E6345"/>
    <w:rsid w:val="008E63C1"/>
    <w:rsid w:val="008E656C"/>
    <w:rsid w:val="008E65A1"/>
    <w:rsid w:val="008E663A"/>
    <w:rsid w:val="008E6705"/>
    <w:rsid w:val="008E67F2"/>
    <w:rsid w:val="008E687B"/>
    <w:rsid w:val="008E68F7"/>
    <w:rsid w:val="008E697B"/>
    <w:rsid w:val="008E6A4A"/>
    <w:rsid w:val="008E6B3C"/>
    <w:rsid w:val="008E6B86"/>
    <w:rsid w:val="008E6B95"/>
    <w:rsid w:val="008E6C7F"/>
    <w:rsid w:val="008E6DBA"/>
    <w:rsid w:val="008E6E8F"/>
    <w:rsid w:val="008E6F22"/>
    <w:rsid w:val="008E6FBF"/>
    <w:rsid w:val="008E6FCF"/>
    <w:rsid w:val="008E7026"/>
    <w:rsid w:val="008E708F"/>
    <w:rsid w:val="008E7116"/>
    <w:rsid w:val="008E71E7"/>
    <w:rsid w:val="008E748F"/>
    <w:rsid w:val="008E75AC"/>
    <w:rsid w:val="008E76B2"/>
    <w:rsid w:val="008E76E6"/>
    <w:rsid w:val="008E77C6"/>
    <w:rsid w:val="008E77FA"/>
    <w:rsid w:val="008E7814"/>
    <w:rsid w:val="008E78ED"/>
    <w:rsid w:val="008E7A3A"/>
    <w:rsid w:val="008E7A4A"/>
    <w:rsid w:val="008E7B48"/>
    <w:rsid w:val="008E7BAA"/>
    <w:rsid w:val="008E7CBB"/>
    <w:rsid w:val="008E7D81"/>
    <w:rsid w:val="008E7ED9"/>
    <w:rsid w:val="008E7F1F"/>
    <w:rsid w:val="008E7F84"/>
    <w:rsid w:val="008F0105"/>
    <w:rsid w:val="008F0113"/>
    <w:rsid w:val="008F013A"/>
    <w:rsid w:val="008F0156"/>
    <w:rsid w:val="008F01BE"/>
    <w:rsid w:val="008F021D"/>
    <w:rsid w:val="008F0288"/>
    <w:rsid w:val="008F02CE"/>
    <w:rsid w:val="008F02F8"/>
    <w:rsid w:val="008F03C0"/>
    <w:rsid w:val="008F0466"/>
    <w:rsid w:val="008F04BF"/>
    <w:rsid w:val="008F0577"/>
    <w:rsid w:val="008F074A"/>
    <w:rsid w:val="008F08B0"/>
    <w:rsid w:val="008F08B4"/>
    <w:rsid w:val="008F0A96"/>
    <w:rsid w:val="008F0B75"/>
    <w:rsid w:val="008F0C1F"/>
    <w:rsid w:val="008F0C49"/>
    <w:rsid w:val="008F0DAB"/>
    <w:rsid w:val="008F0EB6"/>
    <w:rsid w:val="008F0EBA"/>
    <w:rsid w:val="008F0F83"/>
    <w:rsid w:val="008F0FDD"/>
    <w:rsid w:val="008F106E"/>
    <w:rsid w:val="008F1076"/>
    <w:rsid w:val="008F1196"/>
    <w:rsid w:val="008F1296"/>
    <w:rsid w:val="008F12C9"/>
    <w:rsid w:val="008F1314"/>
    <w:rsid w:val="008F148F"/>
    <w:rsid w:val="008F164C"/>
    <w:rsid w:val="008F1675"/>
    <w:rsid w:val="008F1745"/>
    <w:rsid w:val="008F175C"/>
    <w:rsid w:val="008F1807"/>
    <w:rsid w:val="008F182E"/>
    <w:rsid w:val="008F1891"/>
    <w:rsid w:val="008F18C9"/>
    <w:rsid w:val="008F18D5"/>
    <w:rsid w:val="008F18E0"/>
    <w:rsid w:val="008F198D"/>
    <w:rsid w:val="008F19AE"/>
    <w:rsid w:val="008F1A43"/>
    <w:rsid w:val="008F1A95"/>
    <w:rsid w:val="008F1B10"/>
    <w:rsid w:val="008F1C79"/>
    <w:rsid w:val="008F1C83"/>
    <w:rsid w:val="008F1EA0"/>
    <w:rsid w:val="008F1ED1"/>
    <w:rsid w:val="008F1F09"/>
    <w:rsid w:val="008F1F30"/>
    <w:rsid w:val="008F1FA3"/>
    <w:rsid w:val="008F1FF6"/>
    <w:rsid w:val="008F2085"/>
    <w:rsid w:val="008F20B3"/>
    <w:rsid w:val="008F20BC"/>
    <w:rsid w:val="008F21A7"/>
    <w:rsid w:val="008F222C"/>
    <w:rsid w:val="008F224C"/>
    <w:rsid w:val="008F22EC"/>
    <w:rsid w:val="008F231E"/>
    <w:rsid w:val="008F243E"/>
    <w:rsid w:val="008F2441"/>
    <w:rsid w:val="008F244B"/>
    <w:rsid w:val="008F246B"/>
    <w:rsid w:val="008F2493"/>
    <w:rsid w:val="008F24ED"/>
    <w:rsid w:val="008F25EB"/>
    <w:rsid w:val="008F284B"/>
    <w:rsid w:val="008F2880"/>
    <w:rsid w:val="008F28B2"/>
    <w:rsid w:val="008F2924"/>
    <w:rsid w:val="008F2936"/>
    <w:rsid w:val="008F2969"/>
    <w:rsid w:val="008F29C1"/>
    <w:rsid w:val="008F2A19"/>
    <w:rsid w:val="008F2A36"/>
    <w:rsid w:val="008F2A5D"/>
    <w:rsid w:val="008F2A68"/>
    <w:rsid w:val="008F2B98"/>
    <w:rsid w:val="008F2BDA"/>
    <w:rsid w:val="008F2C41"/>
    <w:rsid w:val="008F2CFB"/>
    <w:rsid w:val="008F2D1B"/>
    <w:rsid w:val="008F2DB4"/>
    <w:rsid w:val="008F2ED0"/>
    <w:rsid w:val="008F2ED1"/>
    <w:rsid w:val="008F2FD7"/>
    <w:rsid w:val="008F3058"/>
    <w:rsid w:val="008F3089"/>
    <w:rsid w:val="008F3160"/>
    <w:rsid w:val="008F3249"/>
    <w:rsid w:val="008F32E5"/>
    <w:rsid w:val="008F3342"/>
    <w:rsid w:val="008F337B"/>
    <w:rsid w:val="008F343D"/>
    <w:rsid w:val="008F349B"/>
    <w:rsid w:val="008F34F7"/>
    <w:rsid w:val="008F3516"/>
    <w:rsid w:val="008F3593"/>
    <w:rsid w:val="008F3771"/>
    <w:rsid w:val="008F3783"/>
    <w:rsid w:val="008F3848"/>
    <w:rsid w:val="008F384B"/>
    <w:rsid w:val="008F3865"/>
    <w:rsid w:val="008F3893"/>
    <w:rsid w:val="008F38D2"/>
    <w:rsid w:val="008F38DF"/>
    <w:rsid w:val="008F38EE"/>
    <w:rsid w:val="008F38F6"/>
    <w:rsid w:val="008F3977"/>
    <w:rsid w:val="008F39F7"/>
    <w:rsid w:val="008F39FF"/>
    <w:rsid w:val="008F3AA2"/>
    <w:rsid w:val="008F3AB4"/>
    <w:rsid w:val="008F3B66"/>
    <w:rsid w:val="008F3C61"/>
    <w:rsid w:val="008F3CE3"/>
    <w:rsid w:val="008F3D55"/>
    <w:rsid w:val="008F3D66"/>
    <w:rsid w:val="008F3DB7"/>
    <w:rsid w:val="008F3E0C"/>
    <w:rsid w:val="008F3F21"/>
    <w:rsid w:val="008F3FB3"/>
    <w:rsid w:val="008F3FD8"/>
    <w:rsid w:val="008F3FDA"/>
    <w:rsid w:val="008F400D"/>
    <w:rsid w:val="008F4038"/>
    <w:rsid w:val="008F4052"/>
    <w:rsid w:val="008F4099"/>
    <w:rsid w:val="008F40A8"/>
    <w:rsid w:val="008F40DF"/>
    <w:rsid w:val="008F4297"/>
    <w:rsid w:val="008F42E6"/>
    <w:rsid w:val="008F434A"/>
    <w:rsid w:val="008F4380"/>
    <w:rsid w:val="008F439F"/>
    <w:rsid w:val="008F43D4"/>
    <w:rsid w:val="008F440E"/>
    <w:rsid w:val="008F4423"/>
    <w:rsid w:val="008F4572"/>
    <w:rsid w:val="008F4584"/>
    <w:rsid w:val="008F4616"/>
    <w:rsid w:val="008F4650"/>
    <w:rsid w:val="008F466C"/>
    <w:rsid w:val="008F46A4"/>
    <w:rsid w:val="008F473F"/>
    <w:rsid w:val="008F4785"/>
    <w:rsid w:val="008F4801"/>
    <w:rsid w:val="008F48A5"/>
    <w:rsid w:val="008F4935"/>
    <w:rsid w:val="008F495E"/>
    <w:rsid w:val="008F498B"/>
    <w:rsid w:val="008F49E7"/>
    <w:rsid w:val="008F4C51"/>
    <w:rsid w:val="008F4CB5"/>
    <w:rsid w:val="008F4D4B"/>
    <w:rsid w:val="008F4D97"/>
    <w:rsid w:val="008F4DBA"/>
    <w:rsid w:val="008F4E8E"/>
    <w:rsid w:val="008F4E99"/>
    <w:rsid w:val="008F4EFD"/>
    <w:rsid w:val="008F4F82"/>
    <w:rsid w:val="008F4FC7"/>
    <w:rsid w:val="008F5033"/>
    <w:rsid w:val="008F507F"/>
    <w:rsid w:val="008F532D"/>
    <w:rsid w:val="008F53ED"/>
    <w:rsid w:val="008F543D"/>
    <w:rsid w:val="008F560F"/>
    <w:rsid w:val="008F592E"/>
    <w:rsid w:val="008F5959"/>
    <w:rsid w:val="008F599B"/>
    <w:rsid w:val="008F5A20"/>
    <w:rsid w:val="008F5B10"/>
    <w:rsid w:val="008F5BCF"/>
    <w:rsid w:val="008F5C11"/>
    <w:rsid w:val="008F5C14"/>
    <w:rsid w:val="008F5CFC"/>
    <w:rsid w:val="008F5E1E"/>
    <w:rsid w:val="008F5E36"/>
    <w:rsid w:val="008F5ED5"/>
    <w:rsid w:val="008F5F71"/>
    <w:rsid w:val="008F5FB5"/>
    <w:rsid w:val="008F5FB7"/>
    <w:rsid w:val="008F6077"/>
    <w:rsid w:val="008F6111"/>
    <w:rsid w:val="008F6202"/>
    <w:rsid w:val="008F628B"/>
    <w:rsid w:val="008F62C9"/>
    <w:rsid w:val="008F6352"/>
    <w:rsid w:val="008F6381"/>
    <w:rsid w:val="008F63D4"/>
    <w:rsid w:val="008F64A5"/>
    <w:rsid w:val="008F6532"/>
    <w:rsid w:val="008F6582"/>
    <w:rsid w:val="008F668F"/>
    <w:rsid w:val="008F6720"/>
    <w:rsid w:val="008F673F"/>
    <w:rsid w:val="008F6767"/>
    <w:rsid w:val="008F6836"/>
    <w:rsid w:val="008F6862"/>
    <w:rsid w:val="008F697E"/>
    <w:rsid w:val="008F6AA8"/>
    <w:rsid w:val="008F6B45"/>
    <w:rsid w:val="008F6C04"/>
    <w:rsid w:val="008F6C61"/>
    <w:rsid w:val="008F6C6F"/>
    <w:rsid w:val="008F6D30"/>
    <w:rsid w:val="008F6DBE"/>
    <w:rsid w:val="008F6E74"/>
    <w:rsid w:val="008F6E93"/>
    <w:rsid w:val="008F6EF9"/>
    <w:rsid w:val="008F6FC2"/>
    <w:rsid w:val="008F6FE6"/>
    <w:rsid w:val="008F706B"/>
    <w:rsid w:val="008F7131"/>
    <w:rsid w:val="008F74A6"/>
    <w:rsid w:val="008F7508"/>
    <w:rsid w:val="008F7606"/>
    <w:rsid w:val="008F7615"/>
    <w:rsid w:val="008F763D"/>
    <w:rsid w:val="008F76B8"/>
    <w:rsid w:val="008F772C"/>
    <w:rsid w:val="008F785C"/>
    <w:rsid w:val="008F7890"/>
    <w:rsid w:val="008F7951"/>
    <w:rsid w:val="008F7A7E"/>
    <w:rsid w:val="008F7ADA"/>
    <w:rsid w:val="008F7B03"/>
    <w:rsid w:val="008F7B20"/>
    <w:rsid w:val="008F7C2C"/>
    <w:rsid w:val="008F7D5A"/>
    <w:rsid w:val="008F7E8E"/>
    <w:rsid w:val="008F7FB7"/>
    <w:rsid w:val="00900092"/>
    <w:rsid w:val="0090017D"/>
    <w:rsid w:val="0090020D"/>
    <w:rsid w:val="0090021B"/>
    <w:rsid w:val="00900254"/>
    <w:rsid w:val="0090025E"/>
    <w:rsid w:val="00900278"/>
    <w:rsid w:val="009002A5"/>
    <w:rsid w:val="009002E4"/>
    <w:rsid w:val="00900385"/>
    <w:rsid w:val="0090040E"/>
    <w:rsid w:val="0090055F"/>
    <w:rsid w:val="009006FB"/>
    <w:rsid w:val="00900708"/>
    <w:rsid w:val="00900735"/>
    <w:rsid w:val="009007A2"/>
    <w:rsid w:val="009007AA"/>
    <w:rsid w:val="0090085C"/>
    <w:rsid w:val="009008FD"/>
    <w:rsid w:val="00900912"/>
    <w:rsid w:val="009009B5"/>
    <w:rsid w:val="00900AEE"/>
    <w:rsid w:val="00900B84"/>
    <w:rsid w:val="00900DF6"/>
    <w:rsid w:val="00900E21"/>
    <w:rsid w:val="00900E62"/>
    <w:rsid w:val="00900E7E"/>
    <w:rsid w:val="00900E98"/>
    <w:rsid w:val="00900ED0"/>
    <w:rsid w:val="00900EF3"/>
    <w:rsid w:val="00900F4E"/>
    <w:rsid w:val="00901060"/>
    <w:rsid w:val="009010D7"/>
    <w:rsid w:val="009012E5"/>
    <w:rsid w:val="00901333"/>
    <w:rsid w:val="0090134F"/>
    <w:rsid w:val="00901360"/>
    <w:rsid w:val="00901391"/>
    <w:rsid w:val="009013EF"/>
    <w:rsid w:val="00901477"/>
    <w:rsid w:val="009014C3"/>
    <w:rsid w:val="00901521"/>
    <w:rsid w:val="0090158B"/>
    <w:rsid w:val="0090162B"/>
    <w:rsid w:val="0090169E"/>
    <w:rsid w:val="009016BB"/>
    <w:rsid w:val="0090174F"/>
    <w:rsid w:val="0090177F"/>
    <w:rsid w:val="00901787"/>
    <w:rsid w:val="009017D8"/>
    <w:rsid w:val="009017F2"/>
    <w:rsid w:val="00901811"/>
    <w:rsid w:val="009018A7"/>
    <w:rsid w:val="009018AE"/>
    <w:rsid w:val="00901902"/>
    <w:rsid w:val="009019B9"/>
    <w:rsid w:val="009019D5"/>
    <w:rsid w:val="00901A84"/>
    <w:rsid w:val="00901ACF"/>
    <w:rsid w:val="00901B02"/>
    <w:rsid w:val="00901B4E"/>
    <w:rsid w:val="00901B78"/>
    <w:rsid w:val="00901E1A"/>
    <w:rsid w:val="00901EBB"/>
    <w:rsid w:val="00901EC2"/>
    <w:rsid w:val="00901FAC"/>
    <w:rsid w:val="00901FFD"/>
    <w:rsid w:val="00901FFE"/>
    <w:rsid w:val="00902166"/>
    <w:rsid w:val="00902192"/>
    <w:rsid w:val="009021DA"/>
    <w:rsid w:val="009021DF"/>
    <w:rsid w:val="00902266"/>
    <w:rsid w:val="00902285"/>
    <w:rsid w:val="0090233D"/>
    <w:rsid w:val="009023F9"/>
    <w:rsid w:val="0090241F"/>
    <w:rsid w:val="00902433"/>
    <w:rsid w:val="00902466"/>
    <w:rsid w:val="009024B4"/>
    <w:rsid w:val="009024DC"/>
    <w:rsid w:val="009024FE"/>
    <w:rsid w:val="00902519"/>
    <w:rsid w:val="009025C8"/>
    <w:rsid w:val="009026B2"/>
    <w:rsid w:val="009026E3"/>
    <w:rsid w:val="0090273B"/>
    <w:rsid w:val="00902854"/>
    <w:rsid w:val="009028EA"/>
    <w:rsid w:val="00902933"/>
    <w:rsid w:val="00902BFB"/>
    <w:rsid w:val="00902C2C"/>
    <w:rsid w:val="00902D00"/>
    <w:rsid w:val="00902D7B"/>
    <w:rsid w:val="00902D84"/>
    <w:rsid w:val="00902DD7"/>
    <w:rsid w:val="00902F27"/>
    <w:rsid w:val="00903042"/>
    <w:rsid w:val="0090315F"/>
    <w:rsid w:val="00903216"/>
    <w:rsid w:val="00903312"/>
    <w:rsid w:val="00903325"/>
    <w:rsid w:val="00903341"/>
    <w:rsid w:val="00903462"/>
    <w:rsid w:val="00903499"/>
    <w:rsid w:val="009034D3"/>
    <w:rsid w:val="00903574"/>
    <w:rsid w:val="009035C0"/>
    <w:rsid w:val="00903704"/>
    <w:rsid w:val="0090370F"/>
    <w:rsid w:val="0090386C"/>
    <w:rsid w:val="009038A9"/>
    <w:rsid w:val="00903907"/>
    <w:rsid w:val="00903908"/>
    <w:rsid w:val="00903960"/>
    <w:rsid w:val="009039EA"/>
    <w:rsid w:val="00903A1D"/>
    <w:rsid w:val="00903A4F"/>
    <w:rsid w:val="00903A73"/>
    <w:rsid w:val="00903AB0"/>
    <w:rsid w:val="00903AB8"/>
    <w:rsid w:val="00903AC3"/>
    <w:rsid w:val="00903BBC"/>
    <w:rsid w:val="00903BFD"/>
    <w:rsid w:val="00903C92"/>
    <w:rsid w:val="00903CB8"/>
    <w:rsid w:val="00903CC4"/>
    <w:rsid w:val="00903D43"/>
    <w:rsid w:val="00903E1B"/>
    <w:rsid w:val="00903E49"/>
    <w:rsid w:val="00903E7F"/>
    <w:rsid w:val="00903F70"/>
    <w:rsid w:val="00903FE7"/>
    <w:rsid w:val="009040BB"/>
    <w:rsid w:val="009041F8"/>
    <w:rsid w:val="00904276"/>
    <w:rsid w:val="00904298"/>
    <w:rsid w:val="009042A4"/>
    <w:rsid w:val="009042AE"/>
    <w:rsid w:val="009042B2"/>
    <w:rsid w:val="009042BC"/>
    <w:rsid w:val="0090439B"/>
    <w:rsid w:val="009044BD"/>
    <w:rsid w:val="009044C9"/>
    <w:rsid w:val="00904524"/>
    <w:rsid w:val="00904625"/>
    <w:rsid w:val="0090473C"/>
    <w:rsid w:val="00904741"/>
    <w:rsid w:val="009047F6"/>
    <w:rsid w:val="00904808"/>
    <w:rsid w:val="00904814"/>
    <w:rsid w:val="00904819"/>
    <w:rsid w:val="00904875"/>
    <w:rsid w:val="009048D8"/>
    <w:rsid w:val="00904902"/>
    <w:rsid w:val="00904A12"/>
    <w:rsid w:val="00904AA2"/>
    <w:rsid w:val="00904C7D"/>
    <w:rsid w:val="00904D77"/>
    <w:rsid w:val="00904D81"/>
    <w:rsid w:val="00904DD4"/>
    <w:rsid w:val="00904E0E"/>
    <w:rsid w:val="00904E3D"/>
    <w:rsid w:val="00904E4F"/>
    <w:rsid w:val="00904E92"/>
    <w:rsid w:val="00904EC1"/>
    <w:rsid w:val="00904F4E"/>
    <w:rsid w:val="0090500F"/>
    <w:rsid w:val="00905038"/>
    <w:rsid w:val="00905048"/>
    <w:rsid w:val="009050B4"/>
    <w:rsid w:val="0090517C"/>
    <w:rsid w:val="00905222"/>
    <w:rsid w:val="00905265"/>
    <w:rsid w:val="009052DF"/>
    <w:rsid w:val="0090535C"/>
    <w:rsid w:val="0090543F"/>
    <w:rsid w:val="009054E5"/>
    <w:rsid w:val="00905583"/>
    <w:rsid w:val="009055AC"/>
    <w:rsid w:val="00905615"/>
    <w:rsid w:val="009057D4"/>
    <w:rsid w:val="00905897"/>
    <w:rsid w:val="00905926"/>
    <w:rsid w:val="00905A26"/>
    <w:rsid w:val="00905B67"/>
    <w:rsid w:val="00905C35"/>
    <w:rsid w:val="00905C72"/>
    <w:rsid w:val="00905D8B"/>
    <w:rsid w:val="00905F03"/>
    <w:rsid w:val="00905F4B"/>
    <w:rsid w:val="00905F97"/>
    <w:rsid w:val="00905FD0"/>
    <w:rsid w:val="0090602D"/>
    <w:rsid w:val="0090619B"/>
    <w:rsid w:val="009062B6"/>
    <w:rsid w:val="00906331"/>
    <w:rsid w:val="009063F6"/>
    <w:rsid w:val="00906470"/>
    <w:rsid w:val="00906497"/>
    <w:rsid w:val="009066A2"/>
    <w:rsid w:val="00906794"/>
    <w:rsid w:val="00906822"/>
    <w:rsid w:val="00906876"/>
    <w:rsid w:val="0090689E"/>
    <w:rsid w:val="0090691C"/>
    <w:rsid w:val="00906A0C"/>
    <w:rsid w:val="00906B35"/>
    <w:rsid w:val="00906B37"/>
    <w:rsid w:val="00906B83"/>
    <w:rsid w:val="00906C11"/>
    <w:rsid w:val="00906C23"/>
    <w:rsid w:val="00906CCA"/>
    <w:rsid w:val="00906D6B"/>
    <w:rsid w:val="00906D70"/>
    <w:rsid w:val="00906E42"/>
    <w:rsid w:val="00906ED6"/>
    <w:rsid w:val="00906EE0"/>
    <w:rsid w:val="00906FF9"/>
    <w:rsid w:val="00907029"/>
    <w:rsid w:val="0090707F"/>
    <w:rsid w:val="009071F3"/>
    <w:rsid w:val="00907215"/>
    <w:rsid w:val="00907250"/>
    <w:rsid w:val="0090726C"/>
    <w:rsid w:val="00907359"/>
    <w:rsid w:val="0090749B"/>
    <w:rsid w:val="0090751D"/>
    <w:rsid w:val="009075A5"/>
    <w:rsid w:val="009075D6"/>
    <w:rsid w:val="009075E1"/>
    <w:rsid w:val="00907618"/>
    <w:rsid w:val="00907667"/>
    <w:rsid w:val="009076D4"/>
    <w:rsid w:val="00907724"/>
    <w:rsid w:val="00907769"/>
    <w:rsid w:val="00907794"/>
    <w:rsid w:val="0090781F"/>
    <w:rsid w:val="00907820"/>
    <w:rsid w:val="00907860"/>
    <w:rsid w:val="009078BB"/>
    <w:rsid w:val="009078C2"/>
    <w:rsid w:val="00907918"/>
    <w:rsid w:val="00907927"/>
    <w:rsid w:val="009079C1"/>
    <w:rsid w:val="009079EA"/>
    <w:rsid w:val="00907AD0"/>
    <w:rsid w:val="00907CE4"/>
    <w:rsid w:val="00907DC2"/>
    <w:rsid w:val="00907E21"/>
    <w:rsid w:val="00907E8E"/>
    <w:rsid w:val="00907EFF"/>
    <w:rsid w:val="00907F3B"/>
    <w:rsid w:val="00907FA4"/>
    <w:rsid w:val="00907FC1"/>
    <w:rsid w:val="0091000F"/>
    <w:rsid w:val="00910023"/>
    <w:rsid w:val="009100E5"/>
    <w:rsid w:val="00910133"/>
    <w:rsid w:val="0091016A"/>
    <w:rsid w:val="00910225"/>
    <w:rsid w:val="0091033E"/>
    <w:rsid w:val="00910388"/>
    <w:rsid w:val="0091041D"/>
    <w:rsid w:val="0091049C"/>
    <w:rsid w:val="009105AD"/>
    <w:rsid w:val="00910757"/>
    <w:rsid w:val="00910882"/>
    <w:rsid w:val="0091094B"/>
    <w:rsid w:val="00910A02"/>
    <w:rsid w:val="00910AE9"/>
    <w:rsid w:val="00910B14"/>
    <w:rsid w:val="00910B34"/>
    <w:rsid w:val="00910C1B"/>
    <w:rsid w:val="00910C60"/>
    <w:rsid w:val="00910CA4"/>
    <w:rsid w:val="00910CCC"/>
    <w:rsid w:val="00910DBA"/>
    <w:rsid w:val="00910E3C"/>
    <w:rsid w:val="00910E47"/>
    <w:rsid w:val="00910EA1"/>
    <w:rsid w:val="00910FC3"/>
    <w:rsid w:val="00910FD9"/>
    <w:rsid w:val="009111EB"/>
    <w:rsid w:val="009112DA"/>
    <w:rsid w:val="009112F8"/>
    <w:rsid w:val="009114D9"/>
    <w:rsid w:val="00911504"/>
    <w:rsid w:val="00911627"/>
    <w:rsid w:val="00911847"/>
    <w:rsid w:val="00911A0D"/>
    <w:rsid w:val="00911A9A"/>
    <w:rsid w:val="00911AB3"/>
    <w:rsid w:val="00911AD3"/>
    <w:rsid w:val="00911B9F"/>
    <w:rsid w:val="00911BB1"/>
    <w:rsid w:val="00911D7A"/>
    <w:rsid w:val="00911E0E"/>
    <w:rsid w:val="00911E74"/>
    <w:rsid w:val="00911EEF"/>
    <w:rsid w:val="00911F08"/>
    <w:rsid w:val="00911F90"/>
    <w:rsid w:val="00912070"/>
    <w:rsid w:val="00912078"/>
    <w:rsid w:val="009121C1"/>
    <w:rsid w:val="009121D8"/>
    <w:rsid w:val="00912318"/>
    <w:rsid w:val="009123B7"/>
    <w:rsid w:val="00912441"/>
    <w:rsid w:val="00912443"/>
    <w:rsid w:val="009125A3"/>
    <w:rsid w:val="009125E7"/>
    <w:rsid w:val="0091260E"/>
    <w:rsid w:val="00912734"/>
    <w:rsid w:val="009127FA"/>
    <w:rsid w:val="00912897"/>
    <w:rsid w:val="0091292A"/>
    <w:rsid w:val="009129A6"/>
    <w:rsid w:val="00912A36"/>
    <w:rsid w:val="00912BB9"/>
    <w:rsid w:val="00912C03"/>
    <w:rsid w:val="00912C21"/>
    <w:rsid w:val="00912C5A"/>
    <w:rsid w:val="00912C98"/>
    <w:rsid w:val="00912CE2"/>
    <w:rsid w:val="00912CFA"/>
    <w:rsid w:val="00912D7C"/>
    <w:rsid w:val="00912E5F"/>
    <w:rsid w:val="00912E86"/>
    <w:rsid w:val="00912FF0"/>
    <w:rsid w:val="0091304D"/>
    <w:rsid w:val="00913087"/>
    <w:rsid w:val="00913090"/>
    <w:rsid w:val="00913120"/>
    <w:rsid w:val="00913175"/>
    <w:rsid w:val="00913214"/>
    <w:rsid w:val="00913247"/>
    <w:rsid w:val="009132A9"/>
    <w:rsid w:val="0091332C"/>
    <w:rsid w:val="00913384"/>
    <w:rsid w:val="00913399"/>
    <w:rsid w:val="009133B2"/>
    <w:rsid w:val="009133C5"/>
    <w:rsid w:val="00913465"/>
    <w:rsid w:val="00913492"/>
    <w:rsid w:val="009134BC"/>
    <w:rsid w:val="00913520"/>
    <w:rsid w:val="00913578"/>
    <w:rsid w:val="0091362F"/>
    <w:rsid w:val="00913659"/>
    <w:rsid w:val="009136D2"/>
    <w:rsid w:val="009136D3"/>
    <w:rsid w:val="009136E3"/>
    <w:rsid w:val="0091373A"/>
    <w:rsid w:val="0091375F"/>
    <w:rsid w:val="009137D2"/>
    <w:rsid w:val="00913989"/>
    <w:rsid w:val="0091398E"/>
    <w:rsid w:val="009139B7"/>
    <w:rsid w:val="009139E3"/>
    <w:rsid w:val="00913A8C"/>
    <w:rsid w:val="00913AEF"/>
    <w:rsid w:val="00913C36"/>
    <w:rsid w:val="00913D44"/>
    <w:rsid w:val="00913E57"/>
    <w:rsid w:val="00913E9F"/>
    <w:rsid w:val="00913EFE"/>
    <w:rsid w:val="00913F2F"/>
    <w:rsid w:val="00913F5D"/>
    <w:rsid w:val="00913FBF"/>
    <w:rsid w:val="0091407D"/>
    <w:rsid w:val="00914093"/>
    <w:rsid w:val="0091413A"/>
    <w:rsid w:val="009141AB"/>
    <w:rsid w:val="009141E8"/>
    <w:rsid w:val="00914286"/>
    <w:rsid w:val="009144E0"/>
    <w:rsid w:val="00914561"/>
    <w:rsid w:val="009145BE"/>
    <w:rsid w:val="009145E6"/>
    <w:rsid w:val="009146EB"/>
    <w:rsid w:val="00914715"/>
    <w:rsid w:val="009147F5"/>
    <w:rsid w:val="0091485F"/>
    <w:rsid w:val="0091489B"/>
    <w:rsid w:val="00914AC0"/>
    <w:rsid w:val="00914ACD"/>
    <w:rsid w:val="00914B93"/>
    <w:rsid w:val="00914C1A"/>
    <w:rsid w:val="00914C31"/>
    <w:rsid w:val="00914CBE"/>
    <w:rsid w:val="00914CD5"/>
    <w:rsid w:val="00914D74"/>
    <w:rsid w:val="00914DA0"/>
    <w:rsid w:val="00914DE1"/>
    <w:rsid w:val="00914E4F"/>
    <w:rsid w:val="00914E99"/>
    <w:rsid w:val="00914F31"/>
    <w:rsid w:val="00914F49"/>
    <w:rsid w:val="00914FA2"/>
    <w:rsid w:val="0091501F"/>
    <w:rsid w:val="00915033"/>
    <w:rsid w:val="0091506D"/>
    <w:rsid w:val="00915174"/>
    <w:rsid w:val="00915201"/>
    <w:rsid w:val="009153C0"/>
    <w:rsid w:val="009154A6"/>
    <w:rsid w:val="009154F9"/>
    <w:rsid w:val="009155A3"/>
    <w:rsid w:val="009156B6"/>
    <w:rsid w:val="009156BF"/>
    <w:rsid w:val="009156CF"/>
    <w:rsid w:val="009156E5"/>
    <w:rsid w:val="009157FC"/>
    <w:rsid w:val="00915839"/>
    <w:rsid w:val="00915899"/>
    <w:rsid w:val="00915951"/>
    <w:rsid w:val="009159BF"/>
    <w:rsid w:val="00915B77"/>
    <w:rsid w:val="00915BDA"/>
    <w:rsid w:val="00915C19"/>
    <w:rsid w:val="00915C42"/>
    <w:rsid w:val="00915C6A"/>
    <w:rsid w:val="00915CB8"/>
    <w:rsid w:val="00915D47"/>
    <w:rsid w:val="00915D6D"/>
    <w:rsid w:val="00915D82"/>
    <w:rsid w:val="00915DD9"/>
    <w:rsid w:val="00915E73"/>
    <w:rsid w:val="009160CF"/>
    <w:rsid w:val="0091610B"/>
    <w:rsid w:val="00916172"/>
    <w:rsid w:val="009161F9"/>
    <w:rsid w:val="009164B6"/>
    <w:rsid w:val="009164C5"/>
    <w:rsid w:val="00916539"/>
    <w:rsid w:val="009165E5"/>
    <w:rsid w:val="0091660B"/>
    <w:rsid w:val="009167D3"/>
    <w:rsid w:val="00916853"/>
    <w:rsid w:val="009168C9"/>
    <w:rsid w:val="00916915"/>
    <w:rsid w:val="0091691B"/>
    <w:rsid w:val="00916983"/>
    <w:rsid w:val="00916AA5"/>
    <w:rsid w:val="00916B33"/>
    <w:rsid w:val="00916B83"/>
    <w:rsid w:val="00916BB1"/>
    <w:rsid w:val="00916D02"/>
    <w:rsid w:val="00916D36"/>
    <w:rsid w:val="00916DE9"/>
    <w:rsid w:val="00916E0B"/>
    <w:rsid w:val="00916EDE"/>
    <w:rsid w:val="00916EE6"/>
    <w:rsid w:val="00916F69"/>
    <w:rsid w:val="00917147"/>
    <w:rsid w:val="0091719B"/>
    <w:rsid w:val="009172C2"/>
    <w:rsid w:val="009172DB"/>
    <w:rsid w:val="00917439"/>
    <w:rsid w:val="009174D8"/>
    <w:rsid w:val="00917547"/>
    <w:rsid w:val="009175AB"/>
    <w:rsid w:val="00917606"/>
    <w:rsid w:val="0091762C"/>
    <w:rsid w:val="0091764B"/>
    <w:rsid w:val="00917687"/>
    <w:rsid w:val="009176E4"/>
    <w:rsid w:val="009176ED"/>
    <w:rsid w:val="0091775B"/>
    <w:rsid w:val="009178EB"/>
    <w:rsid w:val="00917AC0"/>
    <w:rsid w:val="00917ADA"/>
    <w:rsid w:val="00917B27"/>
    <w:rsid w:val="00917C00"/>
    <w:rsid w:val="00917C20"/>
    <w:rsid w:val="00917C9B"/>
    <w:rsid w:val="00917D2D"/>
    <w:rsid w:val="00917D90"/>
    <w:rsid w:val="00917DB4"/>
    <w:rsid w:val="00917DEC"/>
    <w:rsid w:val="00917EE3"/>
    <w:rsid w:val="00917F09"/>
    <w:rsid w:val="00920100"/>
    <w:rsid w:val="00920125"/>
    <w:rsid w:val="00920177"/>
    <w:rsid w:val="009202D4"/>
    <w:rsid w:val="009202D6"/>
    <w:rsid w:val="00920431"/>
    <w:rsid w:val="009204F7"/>
    <w:rsid w:val="009205C4"/>
    <w:rsid w:val="0092070D"/>
    <w:rsid w:val="009207D1"/>
    <w:rsid w:val="009207FE"/>
    <w:rsid w:val="009208DC"/>
    <w:rsid w:val="009208FA"/>
    <w:rsid w:val="00920945"/>
    <w:rsid w:val="00920991"/>
    <w:rsid w:val="009209CF"/>
    <w:rsid w:val="00920A42"/>
    <w:rsid w:val="00920AD2"/>
    <w:rsid w:val="00920B68"/>
    <w:rsid w:val="00920B80"/>
    <w:rsid w:val="00920BA4"/>
    <w:rsid w:val="00920BE2"/>
    <w:rsid w:val="00920D45"/>
    <w:rsid w:val="00920DA1"/>
    <w:rsid w:val="00920DA2"/>
    <w:rsid w:val="00920E40"/>
    <w:rsid w:val="00920E84"/>
    <w:rsid w:val="00920E89"/>
    <w:rsid w:val="00920F20"/>
    <w:rsid w:val="00920F36"/>
    <w:rsid w:val="00920FEA"/>
    <w:rsid w:val="0092106E"/>
    <w:rsid w:val="009210BC"/>
    <w:rsid w:val="00921148"/>
    <w:rsid w:val="009211A5"/>
    <w:rsid w:val="00921202"/>
    <w:rsid w:val="009212BC"/>
    <w:rsid w:val="0092133A"/>
    <w:rsid w:val="009213E7"/>
    <w:rsid w:val="00921406"/>
    <w:rsid w:val="00921453"/>
    <w:rsid w:val="00921473"/>
    <w:rsid w:val="00921629"/>
    <w:rsid w:val="00921718"/>
    <w:rsid w:val="009217D7"/>
    <w:rsid w:val="009217F6"/>
    <w:rsid w:val="00921841"/>
    <w:rsid w:val="00921858"/>
    <w:rsid w:val="0092187E"/>
    <w:rsid w:val="009218E7"/>
    <w:rsid w:val="00921905"/>
    <w:rsid w:val="00921981"/>
    <w:rsid w:val="00921A2D"/>
    <w:rsid w:val="00921A5A"/>
    <w:rsid w:val="00921A66"/>
    <w:rsid w:val="00921A7A"/>
    <w:rsid w:val="00921B97"/>
    <w:rsid w:val="00921F40"/>
    <w:rsid w:val="00921F52"/>
    <w:rsid w:val="00921F64"/>
    <w:rsid w:val="00921F6C"/>
    <w:rsid w:val="00921FE9"/>
    <w:rsid w:val="00922001"/>
    <w:rsid w:val="00922151"/>
    <w:rsid w:val="00922172"/>
    <w:rsid w:val="00922217"/>
    <w:rsid w:val="009223C0"/>
    <w:rsid w:val="0092248A"/>
    <w:rsid w:val="0092251F"/>
    <w:rsid w:val="00922524"/>
    <w:rsid w:val="009225B0"/>
    <w:rsid w:val="00922608"/>
    <w:rsid w:val="009226F9"/>
    <w:rsid w:val="0092275A"/>
    <w:rsid w:val="009227A8"/>
    <w:rsid w:val="00922824"/>
    <w:rsid w:val="0092282F"/>
    <w:rsid w:val="0092289A"/>
    <w:rsid w:val="009228A1"/>
    <w:rsid w:val="0092290A"/>
    <w:rsid w:val="009229DA"/>
    <w:rsid w:val="009229EF"/>
    <w:rsid w:val="00922A22"/>
    <w:rsid w:val="00922B9B"/>
    <w:rsid w:val="00922C0E"/>
    <w:rsid w:val="00922CB2"/>
    <w:rsid w:val="00922D48"/>
    <w:rsid w:val="00922DA7"/>
    <w:rsid w:val="00922DAC"/>
    <w:rsid w:val="00922DFF"/>
    <w:rsid w:val="00922E72"/>
    <w:rsid w:val="00922F6F"/>
    <w:rsid w:val="00923061"/>
    <w:rsid w:val="00923090"/>
    <w:rsid w:val="00923095"/>
    <w:rsid w:val="00923124"/>
    <w:rsid w:val="009233CE"/>
    <w:rsid w:val="0092346D"/>
    <w:rsid w:val="009235BD"/>
    <w:rsid w:val="00923685"/>
    <w:rsid w:val="00923687"/>
    <w:rsid w:val="00923715"/>
    <w:rsid w:val="009238B6"/>
    <w:rsid w:val="00923942"/>
    <w:rsid w:val="00923ABC"/>
    <w:rsid w:val="00923ACC"/>
    <w:rsid w:val="00923BED"/>
    <w:rsid w:val="00923C23"/>
    <w:rsid w:val="00923C56"/>
    <w:rsid w:val="00923D23"/>
    <w:rsid w:val="00923D26"/>
    <w:rsid w:val="00923D8C"/>
    <w:rsid w:val="00923DEF"/>
    <w:rsid w:val="00923E71"/>
    <w:rsid w:val="00924060"/>
    <w:rsid w:val="00924075"/>
    <w:rsid w:val="009241F8"/>
    <w:rsid w:val="0092422A"/>
    <w:rsid w:val="0092427E"/>
    <w:rsid w:val="0092431D"/>
    <w:rsid w:val="00924393"/>
    <w:rsid w:val="009243C9"/>
    <w:rsid w:val="009243CE"/>
    <w:rsid w:val="009243DD"/>
    <w:rsid w:val="009243F0"/>
    <w:rsid w:val="0092452A"/>
    <w:rsid w:val="009245FD"/>
    <w:rsid w:val="0092462F"/>
    <w:rsid w:val="00924744"/>
    <w:rsid w:val="009247E2"/>
    <w:rsid w:val="00924A28"/>
    <w:rsid w:val="00924AD4"/>
    <w:rsid w:val="00924C90"/>
    <w:rsid w:val="00924CCE"/>
    <w:rsid w:val="00924D78"/>
    <w:rsid w:val="00924D8E"/>
    <w:rsid w:val="00924DBC"/>
    <w:rsid w:val="00924DD8"/>
    <w:rsid w:val="00924E04"/>
    <w:rsid w:val="00924F34"/>
    <w:rsid w:val="00924F65"/>
    <w:rsid w:val="00925026"/>
    <w:rsid w:val="009250AB"/>
    <w:rsid w:val="009250F9"/>
    <w:rsid w:val="0092520A"/>
    <w:rsid w:val="00925229"/>
    <w:rsid w:val="0092536E"/>
    <w:rsid w:val="00925396"/>
    <w:rsid w:val="00925425"/>
    <w:rsid w:val="0092543A"/>
    <w:rsid w:val="0092544C"/>
    <w:rsid w:val="0092562A"/>
    <w:rsid w:val="009256B4"/>
    <w:rsid w:val="009256C3"/>
    <w:rsid w:val="009258B1"/>
    <w:rsid w:val="009258FE"/>
    <w:rsid w:val="0092594F"/>
    <w:rsid w:val="0092595D"/>
    <w:rsid w:val="00925B33"/>
    <w:rsid w:val="00925C56"/>
    <w:rsid w:val="00925D52"/>
    <w:rsid w:val="00925DB6"/>
    <w:rsid w:val="00925E45"/>
    <w:rsid w:val="00925EEE"/>
    <w:rsid w:val="00925FD9"/>
    <w:rsid w:val="00926152"/>
    <w:rsid w:val="009261B9"/>
    <w:rsid w:val="0092621D"/>
    <w:rsid w:val="00926228"/>
    <w:rsid w:val="0092624F"/>
    <w:rsid w:val="00926337"/>
    <w:rsid w:val="009263CA"/>
    <w:rsid w:val="00926450"/>
    <w:rsid w:val="009264B9"/>
    <w:rsid w:val="00926506"/>
    <w:rsid w:val="00926535"/>
    <w:rsid w:val="009265BE"/>
    <w:rsid w:val="00926621"/>
    <w:rsid w:val="009266E6"/>
    <w:rsid w:val="009266F9"/>
    <w:rsid w:val="0092672F"/>
    <w:rsid w:val="00926788"/>
    <w:rsid w:val="00926796"/>
    <w:rsid w:val="009267D4"/>
    <w:rsid w:val="0092686E"/>
    <w:rsid w:val="00926963"/>
    <w:rsid w:val="00926964"/>
    <w:rsid w:val="00926985"/>
    <w:rsid w:val="00926999"/>
    <w:rsid w:val="009269C6"/>
    <w:rsid w:val="009269C9"/>
    <w:rsid w:val="009269E9"/>
    <w:rsid w:val="00926A01"/>
    <w:rsid w:val="00926A71"/>
    <w:rsid w:val="00926B70"/>
    <w:rsid w:val="00926BA8"/>
    <w:rsid w:val="00926C0A"/>
    <w:rsid w:val="00926C13"/>
    <w:rsid w:val="00926C87"/>
    <w:rsid w:val="00926CD8"/>
    <w:rsid w:val="00926CE8"/>
    <w:rsid w:val="00926CEF"/>
    <w:rsid w:val="00926D85"/>
    <w:rsid w:val="00926EF0"/>
    <w:rsid w:val="00926F07"/>
    <w:rsid w:val="00926FCB"/>
    <w:rsid w:val="00926FE1"/>
    <w:rsid w:val="00927043"/>
    <w:rsid w:val="00927061"/>
    <w:rsid w:val="00927080"/>
    <w:rsid w:val="009270B2"/>
    <w:rsid w:val="00927128"/>
    <w:rsid w:val="009271A9"/>
    <w:rsid w:val="009271C3"/>
    <w:rsid w:val="009271E7"/>
    <w:rsid w:val="00927372"/>
    <w:rsid w:val="00927379"/>
    <w:rsid w:val="0092745F"/>
    <w:rsid w:val="00927490"/>
    <w:rsid w:val="00927492"/>
    <w:rsid w:val="00927533"/>
    <w:rsid w:val="00927586"/>
    <w:rsid w:val="00927640"/>
    <w:rsid w:val="0092771E"/>
    <w:rsid w:val="00927731"/>
    <w:rsid w:val="0092779C"/>
    <w:rsid w:val="009277D0"/>
    <w:rsid w:val="00927ADF"/>
    <w:rsid w:val="00927B87"/>
    <w:rsid w:val="00927C1B"/>
    <w:rsid w:val="00927C44"/>
    <w:rsid w:val="00927C60"/>
    <w:rsid w:val="00927C74"/>
    <w:rsid w:val="00927CB3"/>
    <w:rsid w:val="00927CEA"/>
    <w:rsid w:val="00927D0C"/>
    <w:rsid w:val="00927D81"/>
    <w:rsid w:val="00927D90"/>
    <w:rsid w:val="00927F3C"/>
    <w:rsid w:val="00927F95"/>
    <w:rsid w:val="00927F99"/>
    <w:rsid w:val="00927FFB"/>
    <w:rsid w:val="009300C7"/>
    <w:rsid w:val="009301B2"/>
    <w:rsid w:val="00930214"/>
    <w:rsid w:val="009302E5"/>
    <w:rsid w:val="0093030E"/>
    <w:rsid w:val="009304D7"/>
    <w:rsid w:val="0093050A"/>
    <w:rsid w:val="0093053B"/>
    <w:rsid w:val="00930541"/>
    <w:rsid w:val="0093057A"/>
    <w:rsid w:val="00930640"/>
    <w:rsid w:val="0093068C"/>
    <w:rsid w:val="009306EF"/>
    <w:rsid w:val="00930745"/>
    <w:rsid w:val="009307EC"/>
    <w:rsid w:val="0093081D"/>
    <w:rsid w:val="0093089D"/>
    <w:rsid w:val="009308E5"/>
    <w:rsid w:val="009309B8"/>
    <w:rsid w:val="00930A3D"/>
    <w:rsid w:val="00930AFF"/>
    <w:rsid w:val="00930C01"/>
    <w:rsid w:val="00930C20"/>
    <w:rsid w:val="00930C24"/>
    <w:rsid w:val="00930CF7"/>
    <w:rsid w:val="00930DCC"/>
    <w:rsid w:val="00930F1B"/>
    <w:rsid w:val="009311A5"/>
    <w:rsid w:val="009311CB"/>
    <w:rsid w:val="00931275"/>
    <w:rsid w:val="00931401"/>
    <w:rsid w:val="0093144A"/>
    <w:rsid w:val="0093146B"/>
    <w:rsid w:val="009314DF"/>
    <w:rsid w:val="0093151B"/>
    <w:rsid w:val="009315CB"/>
    <w:rsid w:val="00931618"/>
    <w:rsid w:val="0093169C"/>
    <w:rsid w:val="009316D8"/>
    <w:rsid w:val="009317FF"/>
    <w:rsid w:val="00931890"/>
    <w:rsid w:val="009318AF"/>
    <w:rsid w:val="00931A3A"/>
    <w:rsid w:val="00931B91"/>
    <w:rsid w:val="00931BCE"/>
    <w:rsid w:val="00931C30"/>
    <w:rsid w:val="00931DB3"/>
    <w:rsid w:val="00931DDE"/>
    <w:rsid w:val="00931EC2"/>
    <w:rsid w:val="00931F44"/>
    <w:rsid w:val="009321F8"/>
    <w:rsid w:val="00932254"/>
    <w:rsid w:val="00932265"/>
    <w:rsid w:val="009325A1"/>
    <w:rsid w:val="009325D3"/>
    <w:rsid w:val="0093263E"/>
    <w:rsid w:val="009326A8"/>
    <w:rsid w:val="009326B9"/>
    <w:rsid w:val="009326F2"/>
    <w:rsid w:val="009327D1"/>
    <w:rsid w:val="009328AE"/>
    <w:rsid w:val="009328F1"/>
    <w:rsid w:val="009328F7"/>
    <w:rsid w:val="0093290E"/>
    <w:rsid w:val="00932959"/>
    <w:rsid w:val="0093297F"/>
    <w:rsid w:val="009329A8"/>
    <w:rsid w:val="00932A1D"/>
    <w:rsid w:val="00932A9D"/>
    <w:rsid w:val="00932AE5"/>
    <w:rsid w:val="00932BE4"/>
    <w:rsid w:val="00932BFA"/>
    <w:rsid w:val="00932C33"/>
    <w:rsid w:val="00932C42"/>
    <w:rsid w:val="00932D21"/>
    <w:rsid w:val="00932E17"/>
    <w:rsid w:val="00932E61"/>
    <w:rsid w:val="00932EB5"/>
    <w:rsid w:val="00932F19"/>
    <w:rsid w:val="00932F4E"/>
    <w:rsid w:val="00932F52"/>
    <w:rsid w:val="00932F8A"/>
    <w:rsid w:val="00932FB7"/>
    <w:rsid w:val="00933015"/>
    <w:rsid w:val="009331FE"/>
    <w:rsid w:val="0093320A"/>
    <w:rsid w:val="0093323C"/>
    <w:rsid w:val="0093326C"/>
    <w:rsid w:val="009332F3"/>
    <w:rsid w:val="0093332D"/>
    <w:rsid w:val="009333A8"/>
    <w:rsid w:val="009333F1"/>
    <w:rsid w:val="0093369A"/>
    <w:rsid w:val="009336C1"/>
    <w:rsid w:val="009336E3"/>
    <w:rsid w:val="00933710"/>
    <w:rsid w:val="00933766"/>
    <w:rsid w:val="009337B8"/>
    <w:rsid w:val="00933854"/>
    <w:rsid w:val="0093387B"/>
    <w:rsid w:val="00933884"/>
    <w:rsid w:val="0093389A"/>
    <w:rsid w:val="009338F5"/>
    <w:rsid w:val="009338FF"/>
    <w:rsid w:val="00933913"/>
    <w:rsid w:val="00933A65"/>
    <w:rsid w:val="00933A83"/>
    <w:rsid w:val="00933B0F"/>
    <w:rsid w:val="00933B28"/>
    <w:rsid w:val="00933D30"/>
    <w:rsid w:val="00933ECD"/>
    <w:rsid w:val="00933F78"/>
    <w:rsid w:val="00933F8B"/>
    <w:rsid w:val="00933FA0"/>
    <w:rsid w:val="00933FC4"/>
    <w:rsid w:val="00934085"/>
    <w:rsid w:val="00934095"/>
    <w:rsid w:val="009340D6"/>
    <w:rsid w:val="0093412D"/>
    <w:rsid w:val="00934166"/>
    <w:rsid w:val="00934265"/>
    <w:rsid w:val="00934447"/>
    <w:rsid w:val="0093449F"/>
    <w:rsid w:val="009345A2"/>
    <w:rsid w:val="009345EF"/>
    <w:rsid w:val="00934657"/>
    <w:rsid w:val="0093473E"/>
    <w:rsid w:val="0093478D"/>
    <w:rsid w:val="00934793"/>
    <w:rsid w:val="009347D4"/>
    <w:rsid w:val="009347F0"/>
    <w:rsid w:val="0093486A"/>
    <w:rsid w:val="00934889"/>
    <w:rsid w:val="009348A6"/>
    <w:rsid w:val="00934923"/>
    <w:rsid w:val="009349D6"/>
    <w:rsid w:val="00934A0E"/>
    <w:rsid w:val="00934A4C"/>
    <w:rsid w:val="00934AD6"/>
    <w:rsid w:val="00934B24"/>
    <w:rsid w:val="00934BAB"/>
    <w:rsid w:val="00934BC2"/>
    <w:rsid w:val="00934BE2"/>
    <w:rsid w:val="00934CAE"/>
    <w:rsid w:val="00934EE4"/>
    <w:rsid w:val="00934EE7"/>
    <w:rsid w:val="00934F71"/>
    <w:rsid w:val="00934F9A"/>
    <w:rsid w:val="00935012"/>
    <w:rsid w:val="0093507E"/>
    <w:rsid w:val="009350DA"/>
    <w:rsid w:val="00935172"/>
    <w:rsid w:val="00935222"/>
    <w:rsid w:val="009352ED"/>
    <w:rsid w:val="009352F2"/>
    <w:rsid w:val="0093534D"/>
    <w:rsid w:val="009353E1"/>
    <w:rsid w:val="00935530"/>
    <w:rsid w:val="0093567D"/>
    <w:rsid w:val="009356AE"/>
    <w:rsid w:val="009356D2"/>
    <w:rsid w:val="0093576D"/>
    <w:rsid w:val="009357E8"/>
    <w:rsid w:val="009357F9"/>
    <w:rsid w:val="0093588E"/>
    <w:rsid w:val="009359B7"/>
    <w:rsid w:val="009359D4"/>
    <w:rsid w:val="009359E6"/>
    <w:rsid w:val="00935D52"/>
    <w:rsid w:val="00935D7D"/>
    <w:rsid w:val="00935EC8"/>
    <w:rsid w:val="00935F69"/>
    <w:rsid w:val="00935FB0"/>
    <w:rsid w:val="0093613B"/>
    <w:rsid w:val="00936253"/>
    <w:rsid w:val="00936265"/>
    <w:rsid w:val="009362F2"/>
    <w:rsid w:val="009362F4"/>
    <w:rsid w:val="009363C7"/>
    <w:rsid w:val="009363D4"/>
    <w:rsid w:val="009363D9"/>
    <w:rsid w:val="0093651E"/>
    <w:rsid w:val="00936527"/>
    <w:rsid w:val="00936557"/>
    <w:rsid w:val="0093666D"/>
    <w:rsid w:val="009366FE"/>
    <w:rsid w:val="00936700"/>
    <w:rsid w:val="00936730"/>
    <w:rsid w:val="0093676C"/>
    <w:rsid w:val="009367A3"/>
    <w:rsid w:val="009367AC"/>
    <w:rsid w:val="009367AE"/>
    <w:rsid w:val="009367FD"/>
    <w:rsid w:val="009368BF"/>
    <w:rsid w:val="009368F5"/>
    <w:rsid w:val="009369CD"/>
    <w:rsid w:val="00936A09"/>
    <w:rsid w:val="00936A2E"/>
    <w:rsid w:val="00936D74"/>
    <w:rsid w:val="00936F1A"/>
    <w:rsid w:val="00936F55"/>
    <w:rsid w:val="009370E4"/>
    <w:rsid w:val="0093710F"/>
    <w:rsid w:val="009371D5"/>
    <w:rsid w:val="009371F6"/>
    <w:rsid w:val="009371FE"/>
    <w:rsid w:val="00937202"/>
    <w:rsid w:val="0093720C"/>
    <w:rsid w:val="00937261"/>
    <w:rsid w:val="00937669"/>
    <w:rsid w:val="009377FB"/>
    <w:rsid w:val="0093785F"/>
    <w:rsid w:val="00937902"/>
    <w:rsid w:val="00937987"/>
    <w:rsid w:val="009379F3"/>
    <w:rsid w:val="00937A79"/>
    <w:rsid w:val="00937AF1"/>
    <w:rsid w:val="00937C14"/>
    <w:rsid w:val="00937C6E"/>
    <w:rsid w:val="00937C91"/>
    <w:rsid w:val="00937C99"/>
    <w:rsid w:val="00937CCD"/>
    <w:rsid w:val="00937D08"/>
    <w:rsid w:val="00937D4E"/>
    <w:rsid w:val="00937EB6"/>
    <w:rsid w:val="00937EEB"/>
    <w:rsid w:val="0094000A"/>
    <w:rsid w:val="00940067"/>
    <w:rsid w:val="00940099"/>
    <w:rsid w:val="009401BD"/>
    <w:rsid w:val="009401CF"/>
    <w:rsid w:val="00940230"/>
    <w:rsid w:val="00940298"/>
    <w:rsid w:val="00940405"/>
    <w:rsid w:val="0094052F"/>
    <w:rsid w:val="0094056E"/>
    <w:rsid w:val="00940645"/>
    <w:rsid w:val="0094064D"/>
    <w:rsid w:val="00940682"/>
    <w:rsid w:val="009407D5"/>
    <w:rsid w:val="00940831"/>
    <w:rsid w:val="00940877"/>
    <w:rsid w:val="009408EE"/>
    <w:rsid w:val="009409C2"/>
    <w:rsid w:val="00940A2B"/>
    <w:rsid w:val="00940A7C"/>
    <w:rsid w:val="00940B11"/>
    <w:rsid w:val="00940C09"/>
    <w:rsid w:val="00940C15"/>
    <w:rsid w:val="00940C57"/>
    <w:rsid w:val="00940C5F"/>
    <w:rsid w:val="00940C74"/>
    <w:rsid w:val="00940D80"/>
    <w:rsid w:val="00940DA9"/>
    <w:rsid w:val="00940DAD"/>
    <w:rsid w:val="00940E70"/>
    <w:rsid w:val="00940F09"/>
    <w:rsid w:val="00940F3B"/>
    <w:rsid w:val="00940FCD"/>
    <w:rsid w:val="00941009"/>
    <w:rsid w:val="009410D3"/>
    <w:rsid w:val="00941120"/>
    <w:rsid w:val="009411BA"/>
    <w:rsid w:val="009411CE"/>
    <w:rsid w:val="009411F2"/>
    <w:rsid w:val="00941369"/>
    <w:rsid w:val="00941374"/>
    <w:rsid w:val="00941387"/>
    <w:rsid w:val="0094138E"/>
    <w:rsid w:val="009413EC"/>
    <w:rsid w:val="0094140D"/>
    <w:rsid w:val="00941582"/>
    <w:rsid w:val="009415D5"/>
    <w:rsid w:val="00941628"/>
    <w:rsid w:val="00941656"/>
    <w:rsid w:val="0094172D"/>
    <w:rsid w:val="00941769"/>
    <w:rsid w:val="00941848"/>
    <w:rsid w:val="0094184C"/>
    <w:rsid w:val="009418E2"/>
    <w:rsid w:val="009419FE"/>
    <w:rsid w:val="00941A28"/>
    <w:rsid w:val="00941A4F"/>
    <w:rsid w:val="00941B83"/>
    <w:rsid w:val="00941C87"/>
    <w:rsid w:val="00941CB4"/>
    <w:rsid w:val="00941CD4"/>
    <w:rsid w:val="00941CF2"/>
    <w:rsid w:val="00941D2F"/>
    <w:rsid w:val="00941D64"/>
    <w:rsid w:val="00941E17"/>
    <w:rsid w:val="00941E38"/>
    <w:rsid w:val="00941EE7"/>
    <w:rsid w:val="00941F0B"/>
    <w:rsid w:val="00941F6F"/>
    <w:rsid w:val="00941F96"/>
    <w:rsid w:val="00941FAD"/>
    <w:rsid w:val="00942124"/>
    <w:rsid w:val="009421E8"/>
    <w:rsid w:val="009421F2"/>
    <w:rsid w:val="00942310"/>
    <w:rsid w:val="0094236C"/>
    <w:rsid w:val="009425AB"/>
    <w:rsid w:val="00942726"/>
    <w:rsid w:val="009427AC"/>
    <w:rsid w:val="00942884"/>
    <w:rsid w:val="00942967"/>
    <w:rsid w:val="00942986"/>
    <w:rsid w:val="00942AF7"/>
    <w:rsid w:val="00942C2D"/>
    <w:rsid w:val="00942C6A"/>
    <w:rsid w:val="00942D30"/>
    <w:rsid w:val="00942E42"/>
    <w:rsid w:val="00942E54"/>
    <w:rsid w:val="00942F36"/>
    <w:rsid w:val="00942FD1"/>
    <w:rsid w:val="00942FD2"/>
    <w:rsid w:val="00942FEA"/>
    <w:rsid w:val="009431F1"/>
    <w:rsid w:val="00943207"/>
    <w:rsid w:val="00943330"/>
    <w:rsid w:val="0094338C"/>
    <w:rsid w:val="009433DB"/>
    <w:rsid w:val="009434A7"/>
    <w:rsid w:val="009434E1"/>
    <w:rsid w:val="00943511"/>
    <w:rsid w:val="0094351A"/>
    <w:rsid w:val="00943688"/>
    <w:rsid w:val="009436FE"/>
    <w:rsid w:val="00943876"/>
    <w:rsid w:val="0094387C"/>
    <w:rsid w:val="00943949"/>
    <w:rsid w:val="009439C4"/>
    <w:rsid w:val="00943A56"/>
    <w:rsid w:val="00943AC5"/>
    <w:rsid w:val="00943BCD"/>
    <w:rsid w:val="00943C2B"/>
    <w:rsid w:val="00943CCD"/>
    <w:rsid w:val="00943CEB"/>
    <w:rsid w:val="00943E4E"/>
    <w:rsid w:val="00943F70"/>
    <w:rsid w:val="00943FBA"/>
    <w:rsid w:val="00943FD8"/>
    <w:rsid w:val="00944177"/>
    <w:rsid w:val="009441A4"/>
    <w:rsid w:val="009441BF"/>
    <w:rsid w:val="009441F6"/>
    <w:rsid w:val="00944227"/>
    <w:rsid w:val="009442EF"/>
    <w:rsid w:val="009443EE"/>
    <w:rsid w:val="0094451D"/>
    <w:rsid w:val="00944528"/>
    <w:rsid w:val="009445A4"/>
    <w:rsid w:val="0094460B"/>
    <w:rsid w:val="0094469F"/>
    <w:rsid w:val="0094474C"/>
    <w:rsid w:val="00944779"/>
    <w:rsid w:val="009447DC"/>
    <w:rsid w:val="0094484D"/>
    <w:rsid w:val="0094486F"/>
    <w:rsid w:val="00944930"/>
    <w:rsid w:val="009449E0"/>
    <w:rsid w:val="00944B0A"/>
    <w:rsid w:val="00944B36"/>
    <w:rsid w:val="00944CE6"/>
    <w:rsid w:val="00944D1E"/>
    <w:rsid w:val="00944DA8"/>
    <w:rsid w:val="00944E2E"/>
    <w:rsid w:val="00944EB5"/>
    <w:rsid w:val="00944F17"/>
    <w:rsid w:val="00944FD8"/>
    <w:rsid w:val="00944FF6"/>
    <w:rsid w:val="00945026"/>
    <w:rsid w:val="009450F7"/>
    <w:rsid w:val="009450F8"/>
    <w:rsid w:val="0094510A"/>
    <w:rsid w:val="00945161"/>
    <w:rsid w:val="00945199"/>
    <w:rsid w:val="009451A4"/>
    <w:rsid w:val="00945247"/>
    <w:rsid w:val="009452CE"/>
    <w:rsid w:val="00945356"/>
    <w:rsid w:val="00945360"/>
    <w:rsid w:val="009453D8"/>
    <w:rsid w:val="0094552E"/>
    <w:rsid w:val="00945584"/>
    <w:rsid w:val="00945592"/>
    <w:rsid w:val="009456A4"/>
    <w:rsid w:val="009456CE"/>
    <w:rsid w:val="0094577D"/>
    <w:rsid w:val="009457DA"/>
    <w:rsid w:val="009458AA"/>
    <w:rsid w:val="00945933"/>
    <w:rsid w:val="00945957"/>
    <w:rsid w:val="00945977"/>
    <w:rsid w:val="0094599B"/>
    <w:rsid w:val="009459BB"/>
    <w:rsid w:val="00945A0A"/>
    <w:rsid w:val="00945A77"/>
    <w:rsid w:val="00945AF3"/>
    <w:rsid w:val="00945AFC"/>
    <w:rsid w:val="00945B36"/>
    <w:rsid w:val="00945B43"/>
    <w:rsid w:val="00945B7C"/>
    <w:rsid w:val="00945BE7"/>
    <w:rsid w:val="00945CA5"/>
    <w:rsid w:val="00945CCF"/>
    <w:rsid w:val="00945CD3"/>
    <w:rsid w:val="00945D3D"/>
    <w:rsid w:val="00945EC4"/>
    <w:rsid w:val="00945FC2"/>
    <w:rsid w:val="00945FE5"/>
    <w:rsid w:val="00946174"/>
    <w:rsid w:val="009461C5"/>
    <w:rsid w:val="00946225"/>
    <w:rsid w:val="0094624F"/>
    <w:rsid w:val="0094627B"/>
    <w:rsid w:val="009462CD"/>
    <w:rsid w:val="009462DF"/>
    <w:rsid w:val="00946355"/>
    <w:rsid w:val="0094638B"/>
    <w:rsid w:val="009463F4"/>
    <w:rsid w:val="00946402"/>
    <w:rsid w:val="00946428"/>
    <w:rsid w:val="009464CD"/>
    <w:rsid w:val="009465FB"/>
    <w:rsid w:val="0094668B"/>
    <w:rsid w:val="00946784"/>
    <w:rsid w:val="009467D4"/>
    <w:rsid w:val="0094696D"/>
    <w:rsid w:val="009469C8"/>
    <w:rsid w:val="00946A03"/>
    <w:rsid w:val="00946C52"/>
    <w:rsid w:val="00946C81"/>
    <w:rsid w:val="00946CED"/>
    <w:rsid w:val="00946D04"/>
    <w:rsid w:val="00946D4D"/>
    <w:rsid w:val="00946ED1"/>
    <w:rsid w:val="00946F63"/>
    <w:rsid w:val="00946FE8"/>
    <w:rsid w:val="0094722F"/>
    <w:rsid w:val="0094726E"/>
    <w:rsid w:val="0094729E"/>
    <w:rsid w:val="00947423"/>
    <w:rsid w:val="0094754E"/>
    <w:rsid w:val="0094769D"/>
    <w:rsid w:val="0094786A"/>
    <w:rsid w:val="00947887"/>
    <w:rsid w:val="0094796E"/>
    <w:rsid w:val="009479E4"/>
    <w:rsid w:val="009479FF"/>
    <w:rsid w:val="00947A8C"/>
    <w:rsid w:val="00947A92"/>
    <w:rsid w:val="00947A99"/>
    <w:rsid w:val="00947BD9"/>
    <w:rsid w:val="00947C10"/>
    <w:rsid w:val="00947C50"/>
    <w:rsid w:val="00947C5E"/>
    <w:rsid w:val="00947D84"/>
    <w:rsid w:val="00947D8C"/>
    <w:rsid w:val="00947E43"/>
    <w:rsid w:val="00947EC2"/>
    <w:rsid w:val="00947F22"/>
    <w:rsid w:val="0095003C"/>
    <w:rsid w:val="009500BB"/>
    <w:rsid w:val="00950117"/>
    <w:rsid w:val="0095021E"/>
    <w:rsid w:val="00950235"/>
    <w:rsid w:val="009503AB"/>
    <w:rsid w:val="009503DD"/>
    <w:rsid w:val="00950442"/>
    <w:rsid w:val="009505C1"/>
    <w:rsid w:val="009506D3"/>
    <w:rsid w:val="009506E1"/>
    <w:rsid w:val="0095080F"/>
    <w:rsid w:val="00950849"/>
    <w:rsid w:val="009508A9"/>
    <w:rsid w:val="009508EC"/>
    <w:rsid w:val="0095096C"/>
    <w:rsid w:val="009509C8"/>
    <w:rsid w:val="00950B33"/>
    <w:rsid w:val="00950BE3"/>
    <w:rsid w:val="00950C12"/>
    <w:rsid w:val="00950C1F"/>
    <w:rsid w:val="00950C2B"/>
    <w:rsid w:val="00950C87"/>
    <w:rsid w:val="00950E57"/>
    <w:rsid w:val="00950F45"/>
    <w:rsid w:val="00950F76"/>
    <w:rsid w:val="00950FD4"/>
    <w:rsid w:val="00950FE5"/>
    <w:rsid w:val="0095101E"/>
    <w:rsid w:val="0095105B"/>
    <w:rsid w:val="0095118E"/>
    <w:rsid w:val="0095127D"/>
    <w:rsid w:val="0095133C"/>
    <w:rsid w:val="00951391"/>
    <w:rsid w:val="00951456"/>
    <w:rsid w:val="00951467"/>
    <w:rsid w:val="0095152D"/>
    <w:rsid w:val="00951681"/>
    <w:rsid w:val="009516D2"/>
    <w:rsid w:val="00951828"/>
    <w:rsid w:val="00951853"/>
    <w:rsid w:val="00951879"/>
    <w:rsid w:val="009518B9"/>
    <w:rsid w:val="00951A3C"/>
    <w:rsid w:val="00951A4F"/>
    <w:rsid w:val="00951AB7"/>
    <w:rsid w:val="00951BAD"/>
    <w:rsid w:val="00951CB1"/>
    <w:rsid w:val="00951D18"/>
    <w:rsid w:val="00951F2A"/>
    <w:rsid w:val="00951F39"/>
    <w:rsid w:val="00951F3D"/>
    <w:rsid w:val="00952078"/>
    <w:rsid w:val="0095207B"/>
    <w:rsid w:val="00952148"/>
    <w:rsid w:val="00952150"/>
    <w:rsid w:val="009521EE"/>
    <w:rsid w:val="0095228C"/>
    <w:rsid w:val="009522B6"/>
    <w:rsid w:val="009522D6"/>
    <w:rsid w:val="00952323"/>
    <w:rsid w:val="0095237C"/>
    <w:rsid w:val="00952391"/>
    <w:rsid w:val="00952398"/>
    <w:rsid w:val="00952426"/>
    <w:rsid w:val="00952441"/>
    <w:rsid w:val="009524ED"/>
    <w:rsid w:val="00952557"/>
    <w:rsid w:val="0095255F"/>
    <w:rsid w:val="009525A6"/>
    <w:rsid w:val="0095263F"/>
    <w:rsid w:val="0095264F"/>
    <w:rsid w:val="009526C2"/>
    <w:rsid w:val="0095270F"/>
    <w:rsid w:val="00952753"/>
    <w:rsid w:val="009527F7"/>
    <w:rsid w:val="0095281C"/>
    <w:rsid w:val="00952953"/>
    <w:rsid w:val="00952992"/>
    <w:rsid w:val="0095299B"/>
    <w:rsid w:val="0095299C"/>
    <w:rsid w:val="00952A87"/>
    <w:rsid w:val="00952BFE"/>
    <w:rsid w:val="00952C62"/>
    <w:rsid w:val="00952D35"/>
    <w:rsid w:val="00952D46"/>
    <w:rsid w:val="00952DBE"/>
    <w:rsid w:val="00952E4B"/>
    <w:rsid w:val="00952EAB"/>
    <w:rsid w:val="00952EB0"/>
    <w:rsid w:val="00952F30"/>
    <w:rsid w:val="00953076"/>
    <w:rsid w:val="00953128"/>
    <w:rsid w:val="009531BA"/>
    <w:rsid w:val="00953217"/>
    <w:rsid w:val="0095326E"/>
    <w:rsid w:val="0095330F"/>
    <w:rsid w:val="009533BA"/>
    <w:rsid w:val="009533BE"/>
    <w:rsid w:val="009533D2"/>
    <w:rsid w:val="009533EB"/>
    <w:rsid w:val="0095341A"/>
    <w:rsid w:val="0095345F"/>
    <w:rsid w:val="009534C3"/>
    <w:rsid w:val="0095364A"/>
    <w:rsid w:val="0095367E"/>
    <w:rsid w:val="009536E0"/>
    <w:rsid w:val="00953701"/>
    <w:rsid w:val="00953729"/>
    <w:rsid w:val="0095382A"/>
    <w:rsid w:val="00953845"/>
    <w:rsid w:val="00953922"/>
    <w:rsid w:val="0095394C"/>
    <w:rsid w:val="00953ABF"/>
    <w:rsid w:val="00953B0B"/>
    <w:rsid w:val="00953B23"/>
    <w:rsid w:val="00953B29"/>
    <w:rsid w:val="00953B93"/>
    <w:rsid w:val="00953CF1"/>
    <w:rsid w:val="00953D7D"/>
    <w:rsid w:val="00953DB8"/>
    <w:rsid w:val="00953DDF"/>
    <w:rsid w:val="00953E2F"/>
    <w:rsid w:val="00953F50"/>
    <w:rsid w:val="00953FEA"/>
    <w:rsid w:val="00954011"/>
    <w:rsid w:val="0095402A"/>
    <w:rsid w:val="009540BD"/>
    <w:rsid w:val="00954327"/>
    <w:rsid w:val="0095432C"/>
    <w:rsid w:val="0095437F"/>
    <w:rsid w:val="00954493"/>
    <w:rsid w:val="009544DE"/>
    <w:rsid w:val="00954599"/>
    <w:rsid w:val="00954602"/>
    <w:rsid w:val="009547C9"/>
    <w:rsid w:val="009547E8"/>
    <w:rsid w:val="00954961"/>
    <w:rsid w:val="0095499B"/>
    <w:rsid w:val="00954A04"/>
    <w:rsid w:val="00954AB8"/>
    <w:rsid w:val="00954B32"/>
    <w:rsid w:val="00954BA3"/>
    <w:rsid w:val="00954BFA"/>
    <w:rsid w:val="00954DF5"/>
    <w:rsid w:val="00954E15"/>
    <w:rsid w:val="00954E59"/>
    <w:rsid w:val="00954EC0"/>
    <w:rsid w:val="00954EF1"/>
    <w:rsid w:val="00954F5F"/>
    <w:rsid w:val="00954FFD"/>
    <w:rsid w:val="0095502C"/>
    <w:rsid w:val="00955031"/>
    <w:rsid w:val="0095503C"/>
    <w:rsid w:val="009550BB"/>
    <w:rsid w:val="009550DE"/>
    <w:rsid w:val="00955132"/>
    <w:rsid w:val="0095515F"/>
    <w:rsid w:val="009552DF"/>
    <w:rsid w:val="009553AF"/>
    <w:rsid w:val="00955431"/>
    <w:rsid w:val="00955439"/>
    <w:rsid w:val="009554DA"/>
    <w:rsid w:val="00955580"/>
    <w:rsid w:val="00955585"/>
    <w:rsid w:val="009557A0"/>
    <w:rsid w:val="00955817"/>
    <w:rsid w:val="00955863"/>
    <w:rsid w:val="009558A6"/>
    <w:rsid w:val="009558B9"/>
    <w:rsid w:val="009558C2"/>
    <w:rsid w:val="00955976"/>
    <w:rsid w:val="00955AEB"/>
    <w:rsid w:val="00955B8A"/>
    <w:rsid w:val="00955C73"/>
    <w:rsid w:val="00955C75"/>
    <w:rsid w:val="00955D0A"/>
    <w:rsid w:val="00955DA9"/>
    <w:rsid w:val="00955E6F"/>
    <w:rsid w:val="00955E91"/>
    <w:rsid w:val="00955EB4"/>
    <w:rsid w:val="00955EC2"/>
    <w:rsid w:val="00955EF9"/>
    <w:rsid w:val="0095608D"/>
    <w:rsid w:val="009560D9"/>
    <w:rsid w:val="00956109"/>
    <w:rsid w:val="00956183"/>
    <w:rsid w:val="0095626C"/>
    <w:rsid w:val="00956281"/>
    <w:rsid w:val="009562DE"/>
    <w:rsid w:val="00956406"/>
    <w:rsid w:val="00956487"/>
    <w:rsid w:val="0095658F"/>
    <w:rsid w:val="009565CF"/>
    <w:rsid w:val="00956780"/>
    <w:rsid w:val="009567D2"/>
    <w:rsid w:val="00956899"/>
    <w:rsid w:val="009568D6"/>
    <w:rsid w:val="00956992"/>
    <w:rsid w:val="00956A18"/>
    <w:rsid w:val="00956A3E"/>
    <w:rsid w:val="00956AC8"/>
    <w:rsid w:val="00956C47"/>
    <w:rsid w:val="00956C6A"/>
    <w:rsid w:val="00956CC3"/>
    <w:rsid w:val="00956E39"/>
    <w:rsid w:val="00956EAD"/>
    <w:rsid w:val="00956EBB"/>
    <w:rsid w:val="00957178"/>
    <w:rsid w:val="0095719C"/>
    <w:rsid w:val="00957223"/>
    <w:rsid w:val="00957233"/>
    <w:rsid w:val="009572E7"/>
    <w:rsid w:val="00957319"/>
    <w:rsid w:val="00957356"/>
    <w:rsid w:val="00957373"/>
    <w:rsid w:val="009573FC"/>
    <w:rsid w:val="0095746F"/>
    <w:rsid w:val="0095752F"/>
    <w:rsid w:val="009575DC"/>
    <w:rsid w:val="00957700"/>
    <w:rsid w:val="00957753"/>
    <w:rsid w:val="009577C2"/>
    <w:rsid w:val="009577C5"/>
    <w:rsid w:val="009577C6"/>
    <w:rsid w:val="009577D9"/>
    <w:rsid w:val="00957997"/>
    <w:rsid w:val="009579F5"/>
    <w:rsid w:val="009579F8"/>
    <w:rsid w:val="00957A31"/>
    <w:rsid w:val="00957A38"/>
    <w:rsid w:val="00957B37"/>
    <w:rsid w:val="00957BFB"/>
    <w:rsid w:val="00957C88"/>
    <w:rsid w:val="00957C90"/>
    <w:rsid w:val="00957CF2"/>
    <w:rsid w:val="00957D42"/>
    <w:rsid w:val="00957E3E"/>
    <w:rsid w:val="00957E66"/>
    <w:rsid w:val="00957FDF"/>
    <w:rsid w:val="00957FE7"/>
    <w:rsid w:val="00960102"/>
    <w:rsid w:val="009601FD"/>
    <w:rsid w:val="00960284"/>
    <w:rsid w:val="0096045E"/>
    <w:rsid w:val="00960478"/>
    <w:rsid w:val="00960486"/>
    <w:rsid w:val="009604D0"/>
    <w:rsid w:val="00960565"/>
    <w:rsid w:val="009605B5"/>
    <w:rsid w:val="009605CE"/>
    <w:rsid w:val="00960608"/>
    <w:rsid w:val="0096064F"/>
    <w:rsid w:val="00960720"/>
    <w:rsid w:val="0096074C"/>
    <w:rsid w:val="00960842"/>
    <w:rsid w:val="00960886"/>
    <w:rsid w:val="0096094A"/>
    <w:rsid w:val="009609B8"/>
    <w:rsid w:val="00960B03"/>
    <w:rsid w:val="00960B76"/>
    <w:rsid w:val="00960BBC"/>
    <w:rsid w:val="00960C29"/>
    <w:rsid w:val="00960DC5"/>
    <w:rsid w:val="00960E24"/>
    <w:rsid w:val="00960EDF"/>
    <w:rsid w:val="00960F48"/>
    <w:rsid w:val="009610BB"/>
    <w:rsid w:val="009610E9"/>
    <w:rsid w:val="0096111F"/>
    <w:rsid w:val="009613AF"/>
    <w:rsid w:val="00961602"/>
    <w:rsid w:val="0096160E"/>
    <w:rsid w:val="0096167A"/>
    <w:rsid w:val="009616CF"/>
    <w:rsid w:val="009616E2"/>
    <w:rsid w:val="0096170F"/>
    <w:rsid w:val="00961758"/>
    <w:rsid w:val="0096178F"/>
    <w:rsid w:val="009617B1"/>
    <w:rsid w:val="00961876"/>
    <w:rsid w:val="009618CF"/>
    <w:rsid w:val="009618F2"/>
    <w:rsid w:val="0096190F"/>
    <w:rsid w:val="0096196B"/>
    <w:rsid w:val="00961A02"/>
    <w:rsid w:val="00961A03"/>
    <w:rsid w:val="00961A3B"/>
    <w:rsid w:val="00961BD4"/>
    <w:rsid w:val="00961BEA"/>
    <w:rsid w:val="00961C77"/>
    <w:rsid w:val="00961DCE"/>
    <w:rsid w:val="00961E0B"/>
    <w:rsid w:val="00961E3E"/>
    <w:rsid w:val="00961EF3"/>
    <w:rsid w:val="00961F7A"/>
    <w:rsid w:val="00961FB4"/>
    <w:rsid w:val="00961FC8"/>
    <w:rsid w:val="00962132"/>
    <w:rsid w:val="00962192"/>
    <w:rsid w:val="00962278"/>
    <w:rsid w:val="009622DF"/>
    <w:rsid w:val="00962313"/>
    <w:rsid w:val="0096238C"/>
    <w:rsid w:val="009623B0"/>
    <w:rsid w:val="009623BC"/>
    <w:rsid w:val="00962406"/>
    <w:rsid w:val="00962448"/>
    <w:rsid w:val="009624C1"/>
    <w:rsid w:val="009624C7"/>
    <w:rsid w:val="009624F7"/>
    <w:rsid w:val="00962650"/>
    <w:rsid w:val="0096267A"/>
    <w:rsid w:val="0096268B"/>
    <w:rsid w:val="009626AF"/>
    <w:rsid w:val="009626C7"/>
    <w:rsid w:val="00962721"/>
    <w:rsid w:val="00962723"/>
    <w:rsid w:val="009627FD"/>
    <w:rsid w:val="00962A3D"/>
    <w:rsid w:val="00962A60"/>
    <w:rsid w:val="00962AC4"/>
    <w:rsid w:val="00962BA6"/>
    <w:rsid w:val="00962C6A"/>
    <w:rsid w:val="00962C6B"/>
    <w:rsid w:val="00962C93"/>
    <w:rsid w:val="00962DC8"/>
    <w:rsid w:val="00962E63"/>
    <w:rsid w:val="00962E8C"/>
    <w:rsid w:val="00962FB4"/>
    <w:rsid w:val="00962FBA"/>
    <w:rsid w:val="00962FC1"/>
    <w:rsid w:val="009630B0"/>
    <w:rsid w:val="009630F5"/>
    <w:rsid w:val="00963111"/>
    <w:rsid w:val="00963213"/>
    <w:rsid w:val="00963262"/>
    <w:rsid w:val="009632F5"/>
    <w:rsid w:val="00963327"/>
    <w:rsid w:val="00963342"/>
    <w:rsid w:val="009634BB"/>
    <w:rsid w:val="009634C5"/>
    <w:rsid w:val="00963733"/>
    <w:rsid w:val="00963740"/>
    <w:rsid w:val="0096374C"/>
    <w:rsid w:val="009637A4"/>
    <w:rsid w:val="009638D8"/>
    <w:rsid w:val="009638F9"/>
    <w:rsid w:val="00963901"/>
    <w:rsid w:val="0096390A"/>
    <w:rsid w:val="00963A74"/>
    <w:rsid w:val="00963A86"/>
    <w:rsid w:val="00963BD9"/>
    <w:rsid w:val="00963CA7"/>
    <w:rsid w:val="00963D45"/>
    <w:rsid w:val="00963E78"/>
    <w:rsid w:val="009640A2"/>
    <w:rsid w:val="009640BF"/>
    <w:rsid w:val="009640D6"/>
    <w:rsid w:val="009641E0"/>
    <w:rsid w:val="00964325"/>
    <w:rsid w:val="00964340"/>
    <w:rsid w:val="0096442D"/>
    <w:rsid w:val="009645AE"/>
    <w:rsid w:val="009645C4"/>
    <w:rsid w:val="009645EE"/>
    <w:rsid w:val="00964671"/>
    <w:rsid w:val="00964731"/>
    <w:rsid w:val="009648E6"/>
    <w:rsid w:val="00964954"/>
    <w:rsid w:val="009649FA"/>
    <w:rsid w:val="00964A6D"/>
    <w:rsid w:val="00964AE2"/>
    <w:rsid w:val="00964B79"/>
    <w:rsid w:val="00964C7A"/>
    <w:rsid w:val="00964DA0"/>
    <w:rsid w:val="00964DCA"/>
    <w:rsid w:val="00964F1F"/>
    <w:rsid w:val="009650D2"/>
    <w:rsid w:val="009650E0"/>
    <w:rsid w:val="00965156"/>
    <w:rsid w:val="009651B1"/>
    <w:rsid w:val="009651CD"/>
    <w:rsid w:val="009651E0"/>
    <w:rsid w:val="00965241"/>
    <w:rsid w:val="009652FA"/>
    <w:rsid w:val="00965342"/>
    <w:rsid w:val="0096536F"/>
    <w:rsid w:val="009653C1"/>
    <w:rsid w:val="0096545B"/>
    <w:rsid w:val="00965485"/>
    <w:rsid w:val="00965541"/>
    <w:rsid w:val="00965773"/>
    <w:rsid w:val="00965794"/>
    <w:rsid w:val="00965855"/>
    <w:rsid w:val="00965936"/>
    <w:rsid w:val="009659B4"/>
    <w:rsid w:val="009659B5"/>
    <w:rsid w:val="00965A21"/>
    <w:rsid w:val="00965ABF"/>
    <w:rsid w:val="00965AD8"/>
    <w:rsid w:val="00965C1F"/>
    <w:rsid w:val="00965C3A"/>
    <w:rsid w:val="00965C70"/>
    <w:rsid w:val="00965CC0"/>
    <w:rsid w:val="00965D38"/>
    <w:rsid w:val="00965DBF"/>
    <w:rsid w:val="00965EAF"/>
    <w:rsid w:val="00965ECD"/>
    <w:rsid w:val="00965EDC"/>
    <w:rsid w:val="00965F4E"/>
    <w:rsid w:val="00965F9C"/>
    <w:rsid w:val="00965FBC"/>
    <w:rsid w:val="0096600D"/>
    <w:rsid w:val="00966170"/>
    <w:rsid w:val="009661EA"/>
    <w:rsid w:val="0096627B"/>
    <w:rsid w:val="009662E6"/>
    <w:rsid w:val="00966356"/>
    <w:rsid w:val="0096640D"/>
    <w:rsid w:val="0096646F"/>
    <w:rsid w:val="0096648E"/>
    <w:rsid w:val="009664B5"/>
    <w:rsid w:val="00966547"/>
    <w:rsid w:val="009665B2"/>
    <w:rsid w:val="0096669D"/>
    <w:rsid w:val="009666D3"/>
    <w:rsid w:val="009667F0"/>
    <w:rsid w:val="0096688C"/>
    <w:rsid w:val="00966899"/>
    <w:rsid w:val="0096689F"/>
    <w:rsid w:val="0096691E"/>
    <w:rsid w:val="00966981"/>
    <w:rsid w:val="009669FD"/>
    <w:rsid w:val="00966A49"/>
    <w:rsid w:val="00966A53"/>
    <w:rsid w:val="00966A81"/>
    <w:rsid w:val="00966B38"/>
    <w:rsid w:val="00966BE9"/>
    <w:rsid w:val="00966BF5"/>
    <w:rsid w:val="00966CC2"/>
    <w:rsid w:val="00966D06"/>
    <w:rsid w:val="00966E8C"/>
    <w:rsid w:val="00966E8E"/>
    <w:rsid w:val="00966FBD"/>
    <w:rsid w:val="00966FCF"/>
    <w:rsid w:val="00967051"/>
    <w:rsid w:val="0096706D"/>
    <w:rsid w:val="00967268"/>
    <w:rsid w:val="009672F3"/>
    <w:rsid w:val="009672FB"/>
    <w:rsid w:val="0096730B"/>
    <w:rsid w:val="00967379"/>
    <w:rsid w:val="00967384"/>
    <w:rsid w:val="0096739E"/>
    <w:rsid w:val="0096745A"/>
    <w:rsid w:val="009674F7"/>
    <w:rsid w:val="009675BA"/>
    <w:rsid w:val="009675C9"/>
    <w:rsid w:val="0096763C"/>
    <w:rsid w:val="0096764B"/>
    <w:rsid w:val="00967741"/>
    <w:rsid w:val="009677BF"/>
    <w:rsid w:val="009677F9"/>
    <w:rsid w:val="00967833"/>
    <w:rsid w:val="0096796B"/>
    <w:rsid w:val="00967B44"/>
    <w:rsid w:val="00967B5C"/>
    <w:rsid w:val="00967C22"/>
    <w:rsid w:val="00967C5B"/>
    <w:rsid w:val="00967C74"/>
    <w:rsid w:val="00967D7C"/>
    <w:rsid w:val="00967DE5"/>
    <w:rsid w:val="00967EC1"/>
    <w:rsid w:val="00970021"/>
    <w:rsid w:val="00970037"/>
    <w:rsid w:val="00970050"/>
    <w:rsid w:val="009703A4"/>
    <w:rsid w:val="0097041A"/>
    <w:rsid w:val="0097047C"/>
    <w:rsid w:val="00970549"/>
    <w:rsid w:val="00970760"/>
    <w:rsid w:val="009707AF"/>
    <w:rsid w:val="0097081F"/>
    <w:rsid w:val="0097084F"/>
    <w:rsid w:val="00970886"/>
    <w:rsid w:val="009709DD"/>
    <w:rsid w:val="009709FD"/>
    <w:rsid w:val="00970A93"/>
    <w:rsid w:val="00970AAD"/>
    <w:rsid w:val="00970AB3"/>
    <w:rsid w:val="00970B93"/>
    <w:rsid w:val="00970BAB"/>
    <w:rsid w:val="00970C59"/>
    <w:rsid w:val="00970ECB"/>
    <w:rsid w:val="00970F81"/>
    <w:rsid w:val="00970FF4"/>
    <w:rsid w:val="00970FFE"/>
    <w:rsid w:val="0097107C"/>
    <w:rsid w:val="0097109F"/>
    <w:rsid w:val="009710A0"/>
    <w:rsid w:val="00971219"/>
    <w:rsid w:val="00971257"/>
    <w:rsid w:val="009712C6"/>
    <w:rsid w:val="0097130B"/>
    <w:rsid w:val="00971343"/>
    <w:rsid w:val="009713A8"/>
    <w:rsid w:val="009713E4"/>
    <w:rsid w:val="00971528"/>
    <w:rsid w:val="00971538"/>
    <w:rsid w:val="00971602"/>
    <w:rsid w:val="0097180E"/>
    <w:rsid w:val="0097186B"/>
    <w:rsid w:val="009718AD"/>
    <w:rsid w:val="0097199F"/>
    <w:rsid w:val="00971A26"/>
    <w:rsid w:val="00971B29"/>
    <w:rsid w:val="00971B44"/>
    <w:rsid w:val="00971BC9"/>
    <w:rsid w:val="00971BD1"/>
    <w:rsid w:val="00971D51"/>
    <w:rsid w:val="00971E12"/>
    <w:rsid w:val="00971E37"/>
    <w:rsid w:val="00971F64"/>
    <w:rsid w:val="00971F81"/>
    <w:rsid w:val="009720DD"/>
    <w:rsid w:val="00972164"/>
    <w:rsid w:val="0097218B"/>
    <w:rsid w:val="009721CC"/>
    <w:rsid w:val="009721DE"/>
    <w:rsid w:val="0097226E"/>
    <w:rsid w:val="009722E7"/>
    <w:rsid w:val="0097242B"/>
    <w:rsid w:val="009724D4"/>
    <w:rsid w:val="009725CF"/>
    <w:rsid w:val="009726B0"/>
    <w:rsid w:val="009726E5"/>
    <w:rsid w:val="009727A2"/>
    <w:rsid w:val="009727B6"/>
    <w:rsid w:val="009728C9"/>
    <w:rsid w:val="009728D1"/>
    <w:rsid w:val="009728F3"/>
    <w:rsid w:val="00972924"/>
    <w:rsid w:val="00972951"/>
    <w:rsid w:val="0097299B"/>
    <w:rsid w:val="00972A7B"/>
    <w:rsid w:val="00972A87"/>
    <w:rsid w:val="00972AD0"/>
    <w:rsid w:val="00972B44"/>
    <w:rsid w:val="00972B88"/>
    <w:rsid w:val="00972BDC"/>
    <w:rsid w:val="00972C87"/>
    <w:rsid w:val="00972E51"/>
    <w:rsid w:val="00972E55"/>
    <w:rsid w:val="00972EAF"/>
    <w:rsid w:val="00972F25"/>
    <w:rsid w:val="00972F4C"/>
    <w:rsid w:val="00972FEF"/>
    <w:rsid w:val="0097300B"/>
    <w:rsid w:val="0097307C"/>
    <w:rsid w:val="009730D4"/>
    <w:rsid w:val="0097311E"/>
    <w:rsid w:val="009731E0"/>
    <w:rsid w:val="009732A0"/>
    <w:rsid w:val="009732EC"/>
    <w:rsid w:val="00973376"/>
    <w:rsid w:val="00973380"/>
    <w:rsid w:val="009733C9"/>
    <w:rsid w:val="0097341F"/>
    <w:rsid w:val="00973445"/>
    <w:rsid w:val="00973523"/>
    <w:rsid w:val="00973632"/>
    <w:rsid w:val="00973659"/>
    <w:rsid w:val="009736B7"/>
    <w:rsid w:val="009736DE"/>
    <w:rsid w:val="009737FF"/>
    <w:rsid w:val="00973833"/>
    <w:rsid w:val="00973BC9"/>
    <w:rsid w:val="00973CF2"/>
    <w:rsid w:val="00973D19"/>
    <w:rsid w:val="00973D52"/>
    <w:rsid w:val="00973F17"/>
    <w:rsid w:val="00973F1E"/>
    <w:rsid w:val="00973F6A"/>
    <w:rsid w:val="00973F7A"/>
    <w:rsid w:val="00973FD4"/>
    <w:rsid w:val="00973FEE"/>
    <w:rsid w:val="0097400A"/>
    <w:rsid w:val="00974176"/>
    <w:rsid w:val="00974252"/>
    <w:rsid w:val="009742AA"/>
    <w:rsid w:val="009742B4"/>
    <w:rsid w:val="009742F9"/>
    <w:rsid w:val="0097443E"/>
    <w:rsid w:val="00974452"/>
    <w:rsid w:val="009744DD"/>
    <w:rsid w:val="009746A7"/>
    <w:rsid w:val="0097489A"/>
    <w:rsid w:val="0097489D"/>
    <w:rsid w:val="00974916"/>
    <w:rsid w:val="00974979"/>
    <w:rsid w:val="009749E4"/>
    <w:rsid w:val="00974A61"/>
    <w:rsid w:val="00974AAB"/>
    <w:rsid w:val="00974B50"/>
    <w:rsid w:val="00974BB2"/>
    <w:rsid w:val="00974BCC"/>
    <w:rsid w:val="00974C8E"/>
    <w:rsid w:val="00974CF4"/>
    <w:rsid w:val="00974D08"/>
    <w:rsid w:val="00974D17"/>
    <w:rsid w:val="00974E69"/>
    <w:rsid w:val="00974E75"/>
    <w:rsid w:val="00974F1E"/>
    <w:rsid w:val="00974F94"/>
    <w:rsid w:val="00974FE7"/>
    <w:rsid w:val="00975113"/>
    <w:rsid w:val="00975149"/>
    <w:rsid w:val="00975159"/>
    <w:rsid w:val="0097525A"/>
    <w:rsid w:val="009752FC"/>
    <w:rsid w:val="00975363"/>
    <w:rsid w:val="00975537"/>
    <w:rsid w:val="00975566"/>
    <w:rsid w:val="009755B2"/>
    <w:rsid w:val="009755B5"/>
    <w:rsid w:val="009756FE"/>
    <w:rsid w:val="00975756"/>
    <w:rsid w:val="00975771"/>
    <w:rsid w:val="009757C3"/>
    <w:rsid w:val="009757FF"/>
    <w:rsid w:val="0097583E"/>
    <w:rsid w:val="0097588E"/>
    <w:rsid w:val="009759FB"/>
    <w:rsid w:val="00975A1A"/>
    <w:rsid w:val="00975A41"/>
    <w:rsid w:val="00975AAC"/>
    <w:rsid w:val="00975C50"/>
    <w:rsid w:val="00975C92"/>
    <w:rsid w:val="00975C96"/>
    <w:rsid w:val="00975D63"/>
    <w:rsid w:val="00975D9C"/>
    <w:rsid w:val="00975E71"/>
    <w:rsid w:val="00975F22"/>
    <w:rsid w:val="00976032"/>
    <w:rsid w:val="0097603E"/>
    <w:rsid w:val="009760D7"/>
    <w:rsid w:val="00976119"/>
    <w:rsid w:val="009762F8"/>
    <w:rsid w:val="0097634C"/>
    <w:rsid w:val="00976372"/>
    <w:rsid w:val="009763A6"/>
    <w:rsid w:val="009763DA"/>
    <w:rsid w:val="00976497"/>
    <w:rsid w:val="009764AC"/>
    <w:rsid w:val="0097655D"/>
    <w:rsid w:val="009765FA"/>
    <w:rsid w:val="0097676B"/>
    <w:rsid w:val="009767FE"/>
    <w:rsid w:val="00976849"/>
    <w:rsid w:val="00976866"/>
    <w:rsid w:val="009769AE"/>
    <w:rsid w:val="00976AA6"/>
    <w:rsid w:val="00976AC5"/>
    <w:rsid w:val="00976AE2"/>
    <w:rsid w:val="00976B4A"/>
    <w:rsid w:val="00976B90"/>
    <w:rsid w:val="00976BD0"/>
    <w:rsid w:val="00976C92"/>
    <w:rsid w:val="00976D12"/>
    <w:rsid w:val="00976D3F"/>
    <w:rsid w:val="00976D9F"/>
    <w:rsid w:val="00976F38"/>
    <w:rsid w:val="00976FD9"/>
    <w:rsid w:val="00976FEE"/>
    <w:rsid w:val="009770EB"/>
    <w:rsid w:val="009771B0"/>
    <w:rsid w:val="009772AF"/>
    <w:rsid w:val="009772D0"/>
    <w:rsid w:val="009774C4"/>
    <w:rsid w:val="009775FB"/>
    <w:rsid w:val="00977686"/>
    <w:rsid w:val="009776CE"/>
    <w:rsid w:val="009776F5"/>
    <w:rsid w:val="00977739"/>
    <w:rsid w:val="0097778C"/>
    <w:rsid w:val="009777EB"/>
    <w:rsid w:val="009778AC"/>
    <w:rsid w:val="00977AD6"/>
    <w:rsid w:val="00977AF9"/>
    <w:rsid w:val="00977D6C"/>
    <w:rsid w:val="00977D97"/>
    <w:rsid w:val="00977DC2"/>
    <w:rsid w:val="00977E02"/>
    <w:rsid w:val="00977E0C"/>
    <w:rsid w:val="00977E28"/>
    <w:rsid w:val="00977EBE"/>
    <w:rsid w:val="00977ED3"/>
    <w:rsid w:val="009800F1"/>
    <w:rsid w:val="00980155"/>
    <w:rsid w:val="009802E3"/>
    <w:rsid w:val="00980473"/>
    <w:rsid w:val="009806B3"/>
    <w:rsid w:val="009806C0"/>
    <w:rsid w:val="009806DA"/>
    <w:rsid w:val="009806F8"/>
    <w:rsid w:val="00980758"/>
    <w:rsid w:val="009807A3"/>
    <w:rsid w:val="00980803"/>
    <w:rsid w:val="0098085F"/>
    <w:rsid w:val="009808CA"/>
    <w:rsid w:val="00980941"/>
    <w:rsid w:val="00980A3E"/>
    <w:rsid w:val="00980DB2"/>
    <w:rsid w:val="00980DD0"/>
    <w:rsid w:val="00980E21"/>
    <w:rsid w:val="00980E7D"/>
    <w:rsid w:val="00980E87"/>
    <w:rsid w:val="00980F1B"/>
    <w:rsid w:val="00980F5D"/>
    <w:rsid w:val="00981044"/>
    <w:rsid w:val="00981085"/>
    <w:rsid w:val="009810BC"/>
    <w:rsid w:val="0098115C"/>
    <w:rsid w:val="009811D3"/>
    <w:rsid w:val="00981241"/>
    <w:rsid w:val="0098128C"/>
    <w:rsid w:val="009812F0"/>
    <w:rsid w:val="00981319"/>
    <w:rsid w:val="0098132D"/>
    <w:rsid w:val="009814E7"/>
    <w:rsid w:val="00981617"/>
    <w:rsid w:val="009816BB"/>
    <w:rsid w:val="009816BC"/>
    <w:rsid w:val="00981717"/>
    <w:rsid w:val="0098196E"/>
    <w:rsid w:val="00981A44"/>
    <w:rsid w:val="00981A5D"/>
    <w:rsid w:val="00981AA9"/>
    <w:rsid w:val="00981B0C"/>
    <w:rsid w:val="00981BA4"/>
    <w:rsid w:val="00981BC8"/>
    <w:rsid w:val="00981BD9"/>
    <w:rsid w:val="00981BDE"/>
    <w:rsid w:val="00981C67"/>
    <w:rsid w:val="00981D81"/>
    <w:rsid w:val="00981DAD"/>
    <w:rsid w:val="00981E97"/>
    <w:rsid w:val="00981E9E"/>
    <w:rsid w:val="00981ED3"/>
    <w:rsid w:val="00981F60"/>
    <w:rsid w:val="00981FC9"/>
    <w:rsid w:val="00981FF9"/>
    <w:rsid w:val="009822C2"/>
    <w:rsid w:val="009822EE"/>
    <w:rsid w:val="00982368"/>
    <w:rsid w:val="009824B9"/>
    <w:rsid w:val="009824D0"/>
    <w:rsid w:val="00982508"/>
    <w:rsid w:val="0098253A"/>
    <w:rsid w:val="0098255E"/>
    <w:rsid w:val="00982581"/>
    <w:rsid w:val="00982586"/>
    <w:rsid w:val="009825A0"/>
    <w:rsid w:val="009825F6"/>
    <w:rsid w:val="00982647"/>
    <w:rsid w:val="0098285D"/>
    <w:rsid w:val="009828E8"/>
    <w:rsid w:val="00982996"/>
    <w:rsid w:val="00982AD6"/>
    <w:rsid w:val="00982ADC"/>
    <w:rsid w:val="00982C02"/>
    <w:rsid w:val="00982CF8"/>
    <w:rsid w:val="00982E57"/>
    <w:rsid w:val="00982E6E"/>
    <w:rsid w:val="00983086"/>
    <w:rsid w:val="0098322C"/>
    <w:rsid w:val="00983291"/>
    <w:rsid w:val="0098335C"/>
    <w:rsid w:val="009833FD"/>
    <w:rsid w:val="0098352D"/>
    <w:rsid w:val="0098355F"/>
    <w:rsid w:val="009835E0"/>
    <w:rsid w:val="00983679"/>
    <w:rsid w:val="009836A2"/>
    <w:rsid w:val="00983846"/>
    <w:rsid w:val="0098389A"/>
    <w:rsid w:val="009838C8"/>
    <w:rsid w:val="00983978"/>
    <w:rsid w:val="00983AB2"/>
    <w:rsid w:val="00983B1D"/>
    <w:rsid w:val="00983B93"/>
    <w:rsid w:val="00983CA4"/>
    <w:rsid w:val="00983D6F"/>
    <w:rsid w:val="00983E18"/>
    <w:rsid w:val="00983EAF"/>
    <w:rsid w:val="00983ED2"/>
    <w:rsid w:val="00983F70"/>
    <w:rsid w:val="00983FA1"/>
    <w:rsid w:val="0098402A"/>
    <w:rsid w:val="0098403E"/>
    <w:rsid w:val="00984059"/>
    <w:rsid w:val="009840B9"/>
    <w:rsid w:val="009840CA"/>
    <w:rsid w:val="009840E0"/>
    <w:rsid w:val="009840E6"/>
    <w:rsid w:val="00984117"/>
    <w:rsid w:val="00984165"/>
    <w:rsid w:val="00984394"/>
    <w:rsid w:val="00984399"/>
    <w:rsid w:val="00984413"/>
    <w:rsid w:val="00984588"/>
    <w:rsid w:val="0098469C"/>
    <w:rsid w:val="0098474A"/>
    <w:rsid w:val="00984799"/>
    <w:rsid w:val="009847EB"/>
    <w:rsid w:val="0098482B"/>
    <w:rsid w:val="00984887"/>
    <w:rsid w:val="009848A7"/>
    <w:rsid w:val="009848EC"/>
    <w:rsid w:val="00984926"/>
    <w:rsid w:val="0098492B"/>
    <w:rsid w:val="009849B7"/>
    <w:rsid w:val="009849E4"/>
    <w:rsid w:val="00984A23"/>
    <w:rsid w:val="00984A37"/>
    <w:rsid w:val="00984A3E"/>
    <w:rsid w:val="00984A9E"/>
    <w:rsid w:val="00984AA2"/>
    <w:rsid w:val="00984AD0"/>
    <w:rsid w:val="00984AD2"/>
    <w:rsid w:val="00984ADF"/>
    <w:rsid w:val="00984AF5"/>
    <w:rsid w:val="00984CA4"/>
    <w:rsid w:val="00984D56"/>
    <w:rsid w:val="00984D69"/>
    <w:rsid w:val="00984DCA"/>
    <w:rsid w:val="00984DFF"/>
    <w:rsid w:val="00984E3A"/>
    <w:rsid w:val="00984EA2"/>
    <w:rsid w:val="00984EDC"/>
    <w:rsid w:val="00984F9E"/>
    <w:rsid w:val="00984FB7"/>
    <w:rsid w:val="00985034"/>
    <w:rsid w:val="00985097"/>
    <w:rsid w:val="0098513F"/>
    <w:rsid w:val="00985346"/>
    <w:rsid w:val="00985436"/>
    <w:rsid w:val="009854A6"/>
    <w:rsid w:val="009854AE"/>
    <w:rsid w:val="009854C2"/>
    <w:rsid w:val="009854F0"/>
    <w:rsid w:val="00985539"/>
    <w:rsid w:val="00985555"/>
    <w:rsid w:val="0098555A"/>
    <w:rsid w:val="00985622"/>
    <w:rsid w:val="00985655"/>
    <w:rsid w:val="009856BC"/>
    <w:rsid w:val="0098574A"/>
    <w:rsid w:val="0098576A"/>
    <w:rsid w:val="009857C2"/>
    <w:rsid w:val="009857E3"/>
    <w:rsid w:val="00985A08"/>
    <w:rsid w:val="00985AAC"/>
    <w:rsid w:val="00985B79"/>
    <w:rsid w:val="00985BCC"/>
    <w:rsid w:val="00985C76"/>
    <w:rsid w:val="00985D2E"/>
    <w:rsid w:val="00985E03"/>
    <w:rsid w:val="00985ECA"/>
    <w:rsid w:val="00985F8D"/>
    <w:rsid w:val="00986033"/>
    <w:rsid w:val="0098606D"/>
    <w:rsid w:val="00986105"/>
    <w:rsid w:val="00986123"/>
    <w:rsid w:val="0098614D"/>
    <w:rsid w:val="009861A6"/>
    <w:rsid w:val="009861B2"/>
    <w:rsid w:val="00986448"/>
    <w:rsid w:val="009864C7"/>
    <w:rsid w:val="00986548"/>
    <w:rsid w:val="009865B7"/>
    <w:rsid w:val="009865D4"/>
    <w:rsid w:val="00986753"/>
    <w:rsid w:val="00986785"/>
    <w:rsid w:val="009867B9"/>
    <w:rsid w:val="0098683D"/>
    <w:rsid w:val="00986AAF"/>
    <w:rsid w:val="00986AEF"/>
    <w:rsid w:val="00986C36"/>
    <w:rsid w:val="00986D29"/>
    <w:rsid w:val="00987054"/>
    <w:rsid w:val="0098708A"/>
    <w:rsid w:val="00987116"/>
    <w:rsid w:val="00987187"/>
    <w:rsid w:val="0098719D"/>
    <w:rsid w:val="00987235"/>
    <w:rsid w:val="009872D3"/>
    <w:rsid w:val="00987460"/>
    <w:rsid w:val="00987462"/>
    <w:rsid w:val="009874E4"/>
    <w:rsid w:val="0098752D"/>
    <w:rsid w:val="0098754A"/>
    <w:rsid w:val="00987568"/>
    <w:rsid w:val="009875F3"/>
    <w:rsid w:val="009876B1"/>
    <w:rsid w:val="00987716"/>
    <w:rsid w:val="00987749"/>
    <w:rsid w:val="00987803"/>
    <w:rsid w:val="00987871"/>
    <w:rsid w:val="00987901"/>
    <w:rsid w:val="009879AD"/>
    <w:rsid w:val="009879E4"/>
    <w:rsid w:val="00987B8D"/>
    <w:rsid w:val="00987C34"/>
    <w:rsid w:val="00987C3B"/>
    <w:rsid w:val="00987C57"/>
    <w:rsid w:val="00987D87"/>
    <w:rsid w:val="00987D8B"/>
    <w:rsid w:val="00987FAE"/>
    <w:rsid w:val="00990020"/>
    <w:rsid w:val="0099016E"/>
    <w:rsid w:val="009902CC"/>
    <w:rsid w:val="00990310"/>
    <w:rsid w:val="00990540"/>
    <w:rsid w:val="00990583"/>
    <w:rsid w:val="009905BB"/>
    <w:rsid w:val="009905D9"/>
    <w:rsid w:val="009906EA"/>
    <w:rsid w:val="0099079E"/>
    <w:rsid w:val="009907C8"/>
    <w:rsid w:val="009908C0"/>
    <w:rsid w:val="0099090D"/>
    <w:rsid w:val="00990970"/>
    <w:rsid w:val="009909AD"/>
    <w:rsid w:val="00990A50"/>
    <w:rsid w:val="00990A83"/>
    <w:rsid w:val="00990B4A"/>
    <w:rsid w:val="00990B82"/>
    <w:rsid w:val="00990C29"/>
    <w:rsid w:val="00990C44"/>
    <w:rsid w:val="00990C6C"/>
    <w:rsid w:val="00990C8A"/>
    <w:rsid w:val="00990E78"/>
    <w:rsid w:val="00990EDF"/>
    <w:rsid w:val="00990F20"/>
    <w:rsid w:val="00990F58"/>
    <w:rsid w:val="0099108C"/>
    <w:rsid w:val="009910EE"/>
    <w:rsid w:val="009911A1"/>
    <w:rsid w:val="009911D1"/>
    <w:rsid w:val="00991240"/>
    <w:rsid w:val="009912C3"/>
    <w:rsid w:val="009912C8"/>
    <w:rsid w:val="00991396"/>
    <w:rsid w:val="009915CB"/>
    <w:rsid w:val="009916F2"/>
    <w:rsid w:val="00991784"/>
    <w:rsid w:val="009917F2"/>
    <w:rsid w:val="00991909"/>
    <w:rsid w:val="00991955"/>
    <w:rsid w:val="00991970"/>
    <w:rsid w:val="009919BE"/>
    <w:rsid w:val="00991A00"/>
    <w:rsid w:val="00991A4D"/>
    <w:rsid w:val="00991C6E"/>
    <w:rsid w:val="00991CBB"/>
    <w:rsid w:val="00991D62"/>
    <w:rsid w:val="00991DA9"/>
    <w:rsid w:val="00991DE6"/>
    <w:rsid w:val="0099205C"/>
    <w:rsid w:val="00992073"/>
    <w:rsid w:val="00992081"/>
    <w:rsid w:val="009920AF"/>
    <w:rsid w:val="0099214D"/>
    <w:rsid w:val="009921EA"/>
    <w:rsid w:val="00992203"/>
    <w:rsid w:val="0099229C"/>
    <w:rsid w:val="009922DC"/>
    <w:rsid w:val="009922FA"/>
    <w:rsid w:val="00992371"/>
    <w:rsid w:val="00992489"/>
    <w:rsid w:val="0099255B"/>
    <w:rsid w:val="0099257A"/>
    <w:rsid w:val="009925F1"/>
    <w:rsid w:val="009925F3"/>
    <w:rsid w:val="00992617"/>
    <w:rsid w:val="0099262D"/>
    <w:rsid w:val="0099278E"/>
    <w:rsid w:val="009927CA"/>
    <w:rsid w:val="00992975"/>
    <w:rsid w:val="00992A01"/>
    <w:rsid w:val="00992A1E"/>
    <w:rsid w:val="00992A70"/>
    <w:rsid w:val="00992AD9"/>
    <w:rsid w:val="00992B24"/>
    <w:rsid w:val="00992B81"/>
    <w:rsid w:val="00992CEA"/>
    <w:rsid w:val="00992CFA"/>
    <w:rsid w:val="00992D05"/>
    <w:rsid w:val="00992D21"/>
    <w:rsid w:val="00992D42"/>
    <w:rsid w:val="00992D5C"/>
    <w:rsid w:val="00992D9E"/>
    <w:rsid w:val="00992EF7"/>
    <w:rsid w:val="0099307A"/>
    <w:rsid w:val="00993122"/>
    <w:rsid w:val="0099315D"/>
    <w:rsid w:val="0099325B"/>
    <w:rsid w:val="009933F8"/>
    <w:rsid w:val="009934BD"/>
    <w:rsid w:val="00993666"/>
    <w:rsid w:val="009936AA"/>
    <w:rsid w:val="009936B1"/>
    <w:rsid w:val="00993751"/>
    <w:rsid w:val="00993805"/>
    <w:rsid w:val="00993883"/>
    <w:rsid w:val="009938AE"/>
    <w:rsid w:val="009939F5"/>
    <w:rsid w:val="00993A46"/>
    <w:rsid w:val="00993B8A"/>
    <w:rsid w:val="00993BF3"/>
    <w:rsid w:val="00993D54"/>
    <w:rsid w:val="00993E19"/>
    <w:rsid w:val="00993EBF"/>
    <w:rsid w:val="00993F9A"/>
    <w:rsid w:val="009940EF"/>
    <w:rsid w:val="00994129"/>
    <w:rsid w:val="0099424A"/>
    <w:rsid w:val="00994259"/>
    <w:rsid w:val="009942E8"/>
    <w:rsid w:val="00994375"/>
    <w:rsid w:val="00994430"/>
    <w:rsid w:val="00994451"/>
    <w:rsid w:val="009944C5"/>
    <w:rsid w:val="009945E9"/>
    <w:rsid w:val="009946B6"/>
    <w:rsid w:val="00994750"/>
    <w:rsid w:val="00994770"/>
    <w:rsid w:val="0099484A"/>
    <w:rsid w:val="009948C4"/>
    <w:rsid w:val="00994910"/>
    <w:rsid w:val="00994935"/>
    <w:rsid w:val="0099499D"/>
    <w:rsid w:val="009949E8"/>
    <w:rsid w:val="009949FC"/>
    <w:rsid w:val="00994AAE"/>
    <w:rsid w:val="00994B7C"/>
    <w:rsid w:val="00994C41"/>
    <w:rsid w:val="00994D40"/>
    <w:rsid w:val="00994DAE"/>
    <w:rsid w:val="00994DDC"/>
    <w:rsid w:val="00994DF5"/>
    <w:rsid w:val="00994E6E"/>
    <w:rsid w:val="00995050"/>
    <w:rsid w:val="00995085"/>
    <w:rsid w:val="009950D8"/>
    <w:rsid w:val="009951DE"/>
    <w:rsid w:val="00995364"/>
    <w:rsid w:val="009953B1"/>
    <w:rsid w:val="009953F7"/>
    <w:rsid w:val="00995499"/>
    <w:rsid w:val="00995557"/>
    <w:rsid w:val="009955B5"/>
    <w:rsid w:val="00995775"/>
    <w:rsid w:val="00995785"/>
    <w:rsid w:val="00995945"/>
    <w:rsid w:val="009959AA"/>
    <w:rsid w:val="00995A6E"/>
    <w:rsid w:val="00995A8A"/>
    <w:rsid w:val="00995AC7"/>
    <w:rsid w:val="00995B45"/>
    <w:rsid w:val="00995B76"/>
    <w:rsid w:val="00995C1F"/>
    <w:rsid w:val="00995CB1"/>
    <w:rsid w:val="00995CF1"/>
    <w:rsid w:val="00995D11"/>
    <w:rsid w:val="00995D6E"/>
    <w:rsid w:val="00995DAD"/>
    <w:rsid w:val="00995E35"/>
    <w:rsid w:val="00995E42"/>
    <w:rsid w:val="00995E8C"/>
    <w:rsid w:val="00995E97"/>
    <w:rsid w:val="00995EC5"/>
    <w:rsid w:val="00995ED3"/>
    <w:rsid w:val="00995F0C"/>
    <w:rsid w:val="00995F28"/>
    <w:rsid w:val="00995F7A"/>
    <w:rsid w:val="0099610E"/>
    <w:rsid w:val="009961B4"/>
    <w:rsid w:val="009961E9"/>
    <w:rsid w:val="009961F0"/>
    <w:rsid w:val="00996535"/>
    <w:rsid w:val="009965C4"/>
    <w:rsid w:val="00996610"/>
    <w:rsid w:val="00996656"/>
    <w:rsid w:val="0099669E"/>
    <w:rsid w:val="009968FE"/>
    <w:rsid w:val="009969EA"/>
    <w:rsid w:val="00996A10"/>
    <w:rsid w:val="00996A68"/>
    <w:rsid w:val="00996B61"/>
    <w:rsid w:val="00996BDE"/>
    <w:rsid w:val="00996CC7"/>
    <w:rsid w:val="00996DB2"/>
    <w:rsid w:val="00996EBA"/>
    <w:rsid w:val="00997037"/>
    <w:rsid w:val="009970D3"/>
    <w:rsid w:val="0099715A"/>
    <w:rsid w:val="0099715C"/>
    <w:rsid w:val="009971F5"/>
    <w:rsid w:val="0099722D"/>
    <w:rsid w:val="00997246"/>
    <w:rsid w:val="009972B1"/>
    <w:rsid w:val="00997303"/>
    <w:rsid w:val="009973EE"/>
    <w:rsid w:val="00997425"/>
    <w:rsid w:val="00997615"/>
    <w:rsid w:val="009976CD"/>
    <w:rsid w:val="009976EB"/>
    <w:rsid w:val="0099774E"/>
    <w:rsid w:val="0099788D"/>
    <w:rsid w:val="00997917"/>
    <w:rsid w:val="00997924"/>
    <w:rsid w:val="00997A98"/>
    <w:rsid w:val="00997BAD"/>
    <w:rsid w:val="00997BB2"/>
    <w:rsid w:val="00997C9D"/>
    <w:rsid w:val="00997CB3"/>
    <w:rsid w:val="00997CCD"/>
    <w:rsid w:val="00997D25"/>
    <w:rsid w:val="00997D26"/>
    <w:rsid w:val="00997DB8"/>
    <w:rsid w:val="00997E92"/>
    <w:rsid w:val="00997F5F"/>
    <w:rsid w:val="009A00F4"/>
    <w:rsid w:val="009A0160"/>
    <w:rsid w:val="009A01FC"/>
    <w:rsid w:val="009A0251"/>
    <w:rsid w:val="009A0275"/>
    <w:rsid w:val="009A02FF"/>
    <w:rsid w:val="009A0447"/>
    <w:rsid w:val="009A0468"/>
    <w:rsid w:val="009A046E"/>
    <w:rsid w:val="009A0540"/>
    <w:rsid w:val="009A05C8"/>
    <w:rsid w:val="009A060C"/>
    <w:rsid w:val="009A0679"/>
    <w:rsid w:val="009A081B"/>
    <w:rsid w:val="009A0990"/>
    <w:rsid w:val="009A09D1"/>
    <w:rsid w:val="009A0ABC"/>
    <w:rsid w:val="009A0AC2"/>
    <w:rsid w:val="009A0AD2"/>
    <w:rsid w:val="009A0B79"/>
    <w:rsid w:val="009A0BBE"/>
    <w:rsid w:val="009A0EB1"/>
    <w:rsid w:val="009A0EE7"/>
    <w:rsid w:val="009A0F10"/>
    <w:rsid w:val="009A0F38"/>
    <w:rsid w:val="009A0F53"/>
    <w:rsid w:val="009A1051"/>
    <w:rsid w:val="009A113C"/>
    <w:rsid w:val="009A114E"/>
    <w:rsid w:val="009A130B"/>
    <w:rsid w:val="009A14C7"/>
    <w:rsid w:val="009A15A0"/>
    <w:rsid w:val="009A162D"/>
    <w:rsid w:val="009A1683"/>
    <w:rsid w:val="009A16B1"/>
    <w:rsid w:val="009A1738"/>
    <w:rsid w:val="009A17B5"/>
    <w:rsid w:val="009A18E2"/>
    <w:rsid w:val="009A18EC"/>
    <w:rsid w:val="009A198F"/>
    <w:rsid w:val="009A19AA"/>
    <w:rsid w:val="009A19F6"/>
    <w:rsid w:val="009A1A44"/>
    <w:rsid w:val="009A1A47"/>
    <w:rsid w:val="009A1B5E"/>
    <w:rsid w:val="009A1BF4"/>
    <w:rsid w:val="009A1C00"/>
    <w:rsid w:val="009A1C28"/>
    <w:rsid w:val="009A1D5F"/>
    <w:rsid w:val="009A1DC5"/>
    <w:rsid w:val="009A1E27"/>
    <w:rsid w:val="009A1F14"/>
    <w:rsid w:val="009A1F8C"/>
    <w:rsid w:val="009A2078"/>
    <w:rsid w:val="009A208C"/>
    <w:rsid w:val="009A208E"/>
    <w:rsid w:val="009A2093"/>
    <w:rsid w:val="009A219C"/>
    <w:rsid w:val="009A224C"/>
    <w:rsid w:val="009A2398"/>
    <w:rsid w:val="009A262A"/>
    <w:rsid w:val="009A2671"/>
    <w:rsid w:val="009A26A0"/>
    <w:rsid w:val="009A26A3"/>
    <w:rsid w:val="009A2876"/>
    <w:rsid w:val="009A287F"/>
    <w:rsid w:val="009A2924"/>
    <w:rsid w:val="009A292B"/>
    <w:rsid w:val="009A295C"/>
    <w:rsid w:val="009A2964"/>
    <w:rsid w:val="009A29A8"/>
    <w:rsid w:val="009A29E5"/>
    <w:rsid w:val="009A29EE"/>
    <w:rsid w:val="009A2A12"/>
    <w:rsid w:val="009A2A92"/>
    <w:rsid w:val="009A2BDB"/>
    <w:rsid w:val="009A2D18"/>
    <w:rsid w:val="009A2D72"/>
    <w:rsid w:val="009A2DAA"/>
    <w:rsid w:val="009A2DD6"/>
    <w:rsid w:val="009A2EBA"/>
    <w:rsid w:val="009A2ED4"/>
    <w:rsid w:val="009A2FAB"/>
    <w:rsid w:val="009A30B9"/>
    <w:rsid w:val="009A3117"/>
    <w:rsid w:val="009A315B"/>
    <w:rsid w:val="009A316C"/>
    <w:rsid w:val="009A3177"/>
    <w:rsid w:val="009A3198"/>
    <w:rsid w:val="009A31FB"/>
    <w:rsid w:val="009A322F"/>
    <w:rsid w:val="009A329F"/>
    <w:rsid w:val="009A32D7"/>
    <w:rsid w:val="009A32EC"/>
    <w:rsid w:val="009A337F"/>
    <w:rsid w:val="009A3388"/>
    <w:rsid w:val="009A3573"/>
    <w:rsid w:val="009A3583"/>
    <w:rsid w:val="009A35BB"/>
    <w:rsid w:val="009A35CE"/>
    <w:rsid w:val="009A35E0"/>
    <w:rsid w:val="009A35F3"/>
    <w:rsid w:val="009A36E4"/>
    <w:rsid w:val="009A37FD"/>
    <w:rsid w:val="009A399A"/>
    <w:rsid w:val="009A3A46"/>
    <w:rsid w:val="009A3A7D"/>
    <w:rsid w:val="009A3AF6"/>
    <w:rsid w:val="009A3B38"/>
    <w:rsid w:val="009A3B8C"/>
    <w:rsid w:val="009A3BB7"/>
    <w:rsid w:val="009A3C19"/>
    <w:rsid w:val="009A3D17"/>
    <w:rsid w:val="009A3D44"/>
    <w:rsid w:val="009A3D66"/>
    <w:rsid w:val="009A3E2C"/>
    <w:rsid w:val="009A3E96"/>
    <w:rsid w:val="009A3F53"/>
    <w:rsid w:val="009A3F8B"/>
    <w:rsid w:val="009A405C"/>
    <w:rsid w:val="009A407A"/>
    <w:rsid w:val="009A40E4"/>
    <w:rsid w:val="009A4255"/>
    <w:rsid w:val="009A4259"/>
    <w:rsid w:val="009A4280"/>
    <w:rsid w:val="009A42DE"/>
    <w:rsid w:val="009A4376"/>
    <w:rsid w:val="009A43BD"/>
    <w:rsid w:val="009A442B"/>
    <w:rsid w:val="009A4490"/>
    <w:rsid w:val="009A44A9"/>
    <w:rsid w:val="009A44B5"/>
    <w:rsid w:val="009A453B"/>
    <w:rsid w:val="009A45C2"/>
    <w:rsid w:val="009A4694"/>
    <w:rsid w:val="009A4742"/>
    <w:rsid w:val="009A4765"/>
    <w:rsid w:val="009A4859"/>
    <w:rsid w:val="009A4944"/>
    <w:rsid w:val="009A494D"/>
    <w:rsid w:val="009A49E5"/>
    <w:rsid w:val="009A4A14"/>
    <w:rsid w:val="009A4B0F"/>
    <w:rsid w:val="009A4B2F"/>
    <w:rsid w:val="009A4B4C"/>
    <w:rsid w:val="009A4B50"/>
    <w:rsid w:val="009A4C19"/>
    <w:rsid w:val="009A4C4C"/>
    <w:rsid w:val="009A4D21"/>
    <w:rsid w:val="009A4D32"/>
    <w:rsid w:val="009A4D8E"/>
    <w:rsid w:val="009A4DEB"/>
    <w:rsid w:val="009A4F44"/>
    <w:rsid w:val="009A4FDD"/>
    <w:rsid w:val="009A5002"/>
    <w:rsid w:val="009A5099"/>
    <w:rsid w:val="009A511C"/>
    <w:rsid w:val="009A51F1"/>
    <w:rsid w:val="009A52A2"/>
    <w:rsid w:val="009A52A9"/>
    <w:rsid w:val="009A5321"/>
    <w:rsid w:val="009A5324"/>
    <w:rsid w:val="009A53DF"/>
    <w:rsid w:val="009A5493"/>
    <w:rsid w:val="009A549A"/>
    <w:rsid w:val="009A54BF"/>
    <w:rsid w:val="009A54F2"/>
    <w:rsid w:val="009A54F9"/>
    <w:rsid w:val="009A54FF"/>
    <w:rsid w:val="009A551E"/>
    <w:rsid w:val="009A56C5"/>
    <w:rsid w:val="009A56C8"/>
    <w:rsid w:val="009A57B9"/>
    <w:rsid w:val="009A57FE"/>
    <w:rsid w:val="009A5881"/>
    <w:rsid w:val="009A58B7"/>
    <w:rsid w:val="009A58F4"/>
    <w:rsid w:val="009A5930"/>
    <w:rsid w:val="009A59A1"/>
    <w:rsid w:val="009A5A11"/>
    <w:rsid w:val="009A5AB3"/>
    <w:rsid w:val="009A5B19"/>
    <w:rsid w:val="009A5B23"/>
    <w:rsid w:val="009A5B4C"/>
    <w:rsid w:val="009A5B4E"/>
    <w:rsid w:val="009A5BDF"/>
    <w:rsid w:val="009A5C93"/>
    <w:rsid w:val="009A5CAB"/>
    <w:rsid w:val="009A5D8E"/>
    <w:rsid w:val="009A5E04"/>
    <w:rsid w:val="009A6265"/>
    <w:rsid w:val="009A62F4"/>
    <w:rsid w:val="009A6314"/>
    <w:rsid w:val="009A641E"/>
    <w:rsid w:val="009A6480"/>
    <w:rsid w:val="009A6489"/>
    <w:rsid w:val="009A658E"/>
    <w:rsid w:val="009A663C"/>
    <w:rsid w:val="009A66F2"/>
    <w:rsid w:val="009A6781"/>
    <w:rsid w:val="009A6791"/>
    <w:rsid w:val="009A67B3"/>
    <w:rsid w:val="009A686C"/>
    <w:rsid w:val="009A68EF"/>
    <w:rsid w:val="009A697A"/>
    <w:rsid w:val="009A69BA"/>
    <w:rsid w:val="009A6A2A"/>
    <w:rsid w:val="009A6A71"/>
    <w:rsid w:val="009A6AA2"/>
    <w:rsid w:val="009A6C9D"/>
    <w:rsid w:val="009A6E84"/>
    <w:rsid w:val="009A6F4E"/>
    <w:rsid w:val="009A6F73"/>
    <w:rsid w:val="009A70B3"/>
    <w:rsid w:val="009A70C2"/>
    <w:rsid w:val="009A70D5"/>
    <w:rsid w:val="009A7107"/>
    <w:rsid w:val="009A71B5"/>
    <w:rsid w:val="009A71E2"/>
    <w:rsid w:val="009A72C0"/>
    <w:rsid w:val="009A7319"/>
    <w:rsid w:val="009A73CA"/>
    <w:rsid w:val="009A752D"/>
    <w:rsid w:val="009A75A9"/>
    <w:rsid w:val="009A75CD"/>
    <w:rsid w:val="009A76FF"/>
    <w:rsid w:val="009A777C"/>
    <w:rsid w:val="009A7937"/>
    <w:rsid w:val="009A7A2B"/>
    <w:rsid w:val="009A7B8E"/>
    <w:rsid w:val="009A7C51"/>
    <w:rsid w:val="009A7C63"/>
    <w:rsid w:val="009A7D38"/>
    <w:rsid w:val="009A7F33"/>
    <w:rsid w:val="009A7FDB"/>
    <w:rsid w:val="009A7FF6"/>
    <w:rsid w:val="009B015D"/>
    <w:rsid w:val="009B01A3"/>
    <w:rsid w:val="009B02DE"/>
    <w:rsid w:val="009B03D7"/>
    <w:rsid w:val="009B046C"/>
    <w:rsid w:val="009B04F4"/>
    <w:rsid w:val="009B0517"/>
    <w:rsid w:val="009B0627"/>
    <w:rsid w:val="009B0668"/>
    <w:rsid w:val="009B067F"/>
    <w:rsid w:val="009B068E"/>
    <w:rsid w:val="009B0713"/>
    <w:rsid w:val="009B081D"/>
    <w:rsid w:val="009B08FF"/>
    <w:rsid w:val="009B09D5"/>
    <w:rsid w:val="009B0A3E"/>
    <w:rsid w:val="009B0A65"/>
    <w:rsid w:val="009B0A97"/>
    <w:rsid w:val="009B0ADC"/>
    <w:rsid w:val="009B0C7B"/>
    <w:rsid w:val="009B0CE8"/>
    <w:rsid w:val="009B0DEC"/>
    <w:rsid w:val="009B0EB5"/>
    <w:rsid w:val="009B0F41"/>
    <w:rsid w:val="009B114B"/>
    <w:rsid w:val="009B1172"/>
    <w:rsid w:val="009B118D"/>
    <w:rsid w:val="009B122A"/>
    <w:rsid w:val="009B1248"/>
    <w:rsid w:val="009B12F7"/>
    <w:rsid w:val="009B13C1"/>
    <w:rsid w:val="009B13D5"/>
    <w:rsid w:val="009B13D7"/>
    <w:rsid w:val="009B146F"/>
    <w:rsid w:val="009B14DD"/>
    <w:rsid w:val="009B151F"/>
    <w:rsid w:val="009B15AC"/>
    <w:rsid w:val="009B15C6"/>
    <w:rsid w:val="009B1600"/>
    <w:rsid w:val="009B16C6"/>
    <w:rsid w:val="009B17D0"/>
    <w:rsid w:val="009B1810"/>
    <w:rsid w:val="009B1870"/>
    <w:rsid w:val="009B18F6"/>
    <w:rsid w:val="009B19B4"/>
    <w:rsid w:val="009B1AB5"/>
    <w:rsid w:val="009B1AD3"/>
    <w:rsid w:val="009B1C4C"/>
    <w:rsid w:val="009B1C5A"/>
    <w:rsid w:val="009B1C96"/>
    <w:rsid w:val="009B1D70"/>
    <w:rsid w:val="009B1D95"/>
    <w:rsid w:val="009B1F20"/>
    <w:rsid w:val="009B1F7B"/>
    <w:rsid w:val="009B1FB3"/>
    <w:rsid w:val="009B1FF8"/>
    <w:rsid w:val="009B20C9"/>
    <w:rsid w:val="009B214F"/>
    <w:rsid w:val="009B21F9"/>
    <w:rsid w:val="009B2200"/>
    <w:rsid w:val="009B2233"/>
    <w:rsid w:val="009B2235"/>
    <w:rsid w:val="009B235A"/>
    <w:rsid w:val="009B23C0"/>
    <w:rsid w:val="009B23CE"/>
    <w:rsid w:val="009B23FE"/>
    <w:rsid w:val="009B249E"/>
    <w:rsid w:val="009B25B0"/>
    <w:rsid w:val="009B2665"/>
    <w:rsid w:val="009B2667"/>
    <w:rsid w:val="009B26B1"/>
    <w:rsid w:val="009B275B"/>
    <w:rsid w:val="009B28CE"/>
    <w:rsid w:val="009B2950"/>
    <w:rsid w:val="009B2968"/>
    <w:rsid w:val="009B2977"/>
    <w:rsid w:val="009B2A78"/>
    <w:rsid w:val="009B2B06"/>
    <w:rsid w:val="009B2B69"/>
    <w:rsid w:val="009B2BEF"/>
    <w:rsid w:val="009B2C5B"/>
    <w:rsid w:val="009B2CEE"/>
    <w:rsid w:val="009B2D1C"/>
    <w:rsid w:val="009B2DD3"/>
    <w:rsid w:val="009B2E64"/>
    <w:rsid w:val="009B2E77"/>
    <w:rsid w:val="009B2F05"/>
    <w:rsid w:val="009B2F21"/>
    <w:rsid w:val="009B2F58"/>
    <w:rsid w:val="009B2FBF"/>
    <w:rsid w:val="009B2FC5"/>
    <w:rsid w:val="009B303F"/>
    <w:rsid w:val="009B326A"/>
    <w:rsid w:val="009B35E5"/>
    <w:rsid w:val="009B36C8"/>
    <w:rsid w:val="009B37A6"/>
    <w:rsid w:val="009B37B2"/>
    <w:rsid w:val="009B37BC"/>
    <w:rsid w:val="009B37D0"/>
    <w:rsid w:val="009B37F8"/>
    <w:rsid w:val="009B3811"/>
    <w:rsid w:val="009B382C"/>
    <w:rsid w:val="009B3852"/>
    <w:rsid w:val="009B3874"/>
    <w:rsid w:val="009B39E1"/>
    <w:rsid w:val="009B3A1F"/>
    <w:rsid w:val="009B3AD8"/>
    <w:rsid w:val="009B3C62"/>
    <w:rsid w:val="009B3C6B"/>
    <w:rsid w:val="009B3D15"/>
    <w:rsid w:val="009B3D41"/>
    <w:rsid w:val="009B3EBB"/>
    <w:rsid w:val="009B40F6"/>
    <w:rsid w:val="009B410E"/>
    <w:rsid w:val="009B4154"/>
    <w:rsid w:val="009B424D"/>
    <w:rsid w:val="009B42FB"/>
    <w:rsid w:val="009B4406"/>
    <w:rsid w:val="009B44EC"/>
    <w:rsid w:val="009B4592"/>
    <w:rsid w:val="009B45A4"/>
    <w:rsid w:val="009B45C3"/>
    <w:rsid w:val="009B4680"/>
    <w:rsid w:val="009B4899"/>
    <w:rsid w:val="009B48B1"/>
    <w:rsid w:val="009B49DA"/>
    <w:rsid w:val="009B49E9"/>
    <w:rsid w:val="009B4A63"/>
    <w:rsid w:val="009B4B52"/>
    <w:rsid w:val="009B4B81"/>
    <w:rsid w:val="009B4BA4"/>
    <w:rsid w:val="009B4BA6"/>
    <w:rsid w:val="009B4CAD"/>
    <w:rsid w:val="009B4E91"/>
    <w:rsid w:val="009B4EF9"/>
    <w:rsid w:val="009B4F7A"/>
    <w:rsid w:val="009B4F93"/>
    <w:rsid w:val="009B4F9C"/>
    <w:rsid w:val="009B4FEC"/>
    <w:rsid w:val="009B4FF2"/>
    <w:rsid w:val="009B5027"/>
    <w:rsid w:val="009B505D"/>
    <w:rsid w:val="009B50F3"/>
    <w:rsid w:val="009B526F"/>
    <w:rsid w:val="009B5273"/>
    <w:rsid w:val="009B5389"/>
    <w:rsid w:val="009B54AB"/>
    <w:rsid w:val="009B552B"/>
    <w:rsid w:val="009B5547"/>
    <w:rsid w:val="009B5703"/>
    <w:rsid w:val="009B5784"/>
    <w:rsid w:val="009B5807"/>
    <w:rsid w:val="009B583C"/>
    <w:rsid w:val="009B5A61"/>
    <w:rsid w:val="009B5A96"/>
    <w:rsid w:val="009B5ABB"/>
    <w:rsid w:val="009B5BCC"/>
    <w:rsid w:val="009B5E17"/>
    <w:rsid w:val="009B5E29"/>
    <w:rsid w:val="009B5FBA"/>
    <w:rsid w:val="009B5FE2"/>
    <w:rsid w:val="009B603D"/>
    <w:rsid w:val="009B6082"/>
    <w:rsid w:val="009B6107"/>
    <w:rsid w:val="009B6167"/>
    <w:rsid w:val="009B6194"/>
    <w:rsid w:val="009B6224"/>
    <w:rsid w:val="009B6392"/>
    <w:rsid w:val="009B6591"/>
    <w:rsid w:val="009B659B"/>
    <w:rsid w:val="009B65BF"/>
    <w:rsid w:val="009B6843"/>
    <w:rsid w:val="009B68DA"/>
    <w:rsid w:val="009B6AEF"/>
    <w:rsid w:val="009B6B9C"/>
    <w:rsid w:val="009B6BE1"/>
    <w:rsid w:val="009B6C31"/>
    <w:rsid w:val="009B6E11"/>
    <w:rsid w:val="009B6EB2"/>
    <w:rsid w:val="009B6F49"/>
    <w:rsid w:val="009B6FEF"/>
    <w:rsid w:val="009B7063"/>
    <w:rsid w:val="009B7090"/>
    <w:rsid w:val="009B70C0"/>
    <w:rsid w:val="009B70DF"/>
    <w:rsid w:val="009B7195"/>
    <w:rsid w:val="009B71D9"/>
    <w:rsid w:val="009B7236"/>
    <w:rsid w:val="009B723E"/>
    <w:rsid w:val="009B7362"/>
    <w:rsid w:val="009B74C3"/>
    <w:rsid w:val="009B7529"/>
    <w:rsid w:val="009B76E1"/>
    <w:rsid w:val="009B78A5"/>
    <w:rsid w:val="009B79F5"/>
    <w:rsid w:val="009B7B74"/>
    <w:rsid w:val="009B7D60"/>
    <w:rsid w:val="009B7DC4"/>
    <w:rsid w:val="009B7EFC"/>
    <w:rsid w:val="009B7FE9"/>
    <w:rsid w:val="009C001D"/>
    <w:rsid w:val="009C00A7"/>
    <w:rsid w:val="009C0177"/>
    <w:rsid w:val="009C02B5"/>
    <w:rsid w:val="009C03B6"/>
    <w:rsid w:val="009C03DB"/>
    <w:rsid w:val="009C0411"/>
    <w:rsid w:val="009C0472"/>
    <w:rsid w:val="009C0495"/>
    <w:rsid w:val="009C04AA"/>
    <w:rsid w:val="009C04B1"/>
    <w:rsid w:val="009C06EE"/>
    <w:rsid w:val="009C070C"/>
    <w:rsid w:val="009C079E"/>
    <w:rsid w:val="009C07D1"/>
    <w:rsid w:val="009C07E0"/>
    <w:rsid w:val="009C080A"/>
    <w:rsid w:val="009C0A97"/>
    <w:rsid w:val="009C0B0C"/>
    <w:rsid w:val="009C0B29"/>
    <w:rsid w:val="009C0B8D"/>
    <w:rsid w:val="009C0BCA"/>
    <w:rsid w:val="009C0C2D"/>
    <w:rsid w:val="009C0DC5"/>
    <w:rsid w:val="009C0E4D"/>
    <w:rsid w:val="009C0FFB"/>
    <w:rsid w:val="009C1016"/>
    <w:rsid w:val="009C111E"/>
    <w:rsid w:val="009C1176"/>
    <w:rsid w:val="009C13F2"/>
    <w:rsid w:val="009C1435"/>
    <w:rsid w:val="009C1439"/>
    <w:rsid w:val="009C160F"/>
    <w:rsid w:val="009C161E"/>
    <w:rsid w:val="009C1621"/>
    <w:rsid w:val="009C1674"/>
    <w:rsid w:val="009C167F"/>
    <w:rsid w:val="009C1794"/>
    <w:rsid w:val="009C1813"/>
    <w:rsid w:val="009C1869"/>
    <w:rsid w:val="009C18F2"/>
    <w:rsid w:val="009C191E"/>
    <w:rsid w:val="009C19F4"/>
    <w:rsid w:val="009C1AC0"/>
    <w:rsid w:val="009C1BD6"/>
    <w:rsid w:val="009C1DB6"/>
    <w:rsid w:val="009C1DBD"/>
    <w:rsid w:val="009C1E95"/>
    <w:rsid w:val="009C1EF7"/>
    <w:rsid w:val="009C22CC"/>
    <w:rsid w:val="009C2362"/>
    <w:rsid w:val="009C26E1"/>
    <w:rsid w:val="009C2702"/>
    <w:rsid w:val="009C271F"/>
    <w:rsid w:val="009C2928"/>
    <w:rsid w:val="009C2AFF"/>
    <w:rsid w:val="009C2B4A"/>
    <w:rsid w:val="009C2C28"/>
    <w:rsid w:val="009C2D10"/>
    <w:rsid w:val="009C2D86"/>
    <w:rsid w:val="009C2E08"/>
    <w:rsid w:val="009C2F08"/>
    <w:rsid w:val="009C2F09"/>
    <w:rsid w:val="009C306A"/>
    <w:rsid w:val="009C30BD"/>
    <w:rsid w:val="009C3215"/>
    <w:rsid w:val="009C3252"/>
    <w:rsid w:val="009C32BE"/>
    <w:rsid w:val="009C3350"/>
    <w:rsid w:val="009C33BB"/>
    <w:rsid w:val="009C3409"/>
    <w:rsid w:val="009C357E"/>
    <w:rsid w:val="009C359B"/>
    <w:rsid w:val="009C35D4"/>
    <w:rsid w:val="009C36A8"/>
    <w:rsid w:val="009C373D"/>
    <w:rsid w:val="009C37C4"/>
    <w:rsid w:val="009C37EA"/>
    <w:rsid w:val="009C3810"/>
    <w:rsid w:val="009C38EA"/>
    <w:rsid w:val="009C3961"/>
    <w:rsid w:val="009C3A03"/>
    <w:rsid w:val="009C3B1B"/>
    <w:rsid w:val="009C3BBF"/>
    <w:rsid w:val="009C3C69"/>
    <w:rsid w:val="009C3DFD"/>
    <w:rsid w:val="009C3EF2"/>
    <w:rsid w:val="009C3F2A"/>
    <w:rsid w:val="009C410B"/>
    <w:rsid w:val="009C41D8"/>
    <w:rsid w:val="009C41F7"/>
    <w:rsid w:val="009C4229"/>
    <w:rsid w:val="009C422F"/>
    <w:rsid w:val="009C42BB"/>
    <w:rsid w:val="009C4303"/>
    <w:rsid w:val="009C437E"/>
    <w:rsid w:val="009C43E0"/>
    <w:rsid w:val="009C440C"/>
    <w:rsid w:val="009C4419"/>
    <w:rsid w:val="009C445C"/>
    <w:rsid w:val="009C453B"/>
    <w:rsid w:val="009C454A"/>
    <w:rsid w:val="009C45F0"/>
    <w:rsid w:val="009C45F4"/>
    <w:rsid w:val="009C460B"/>
    <w:rsid w:val="009C4708"/>
    <w:rsid w:val="009C486A"/>
    <w:rsid w:val="009C4976"/>
    <w:rsid w:val="009C4A0B"/>
    <w:rsid w:val="009C4A75"/>
    <w:rsid w:val="009C4AA6"/>
    <w:rsid w:val="009C4AB5"/>
    <w:rsid w:val="009C4B19"/>
    <w:rsid w:val="009C4BAA"/>
    <w:rsid w:val="009C4E9C"/>
    <w:rsid w:val="009C4EE2"/>
    <w:rsid w:val="009C4F61"/>
    <w:rsid w:val="009C4FC3"/>
    <w:rsid w:val="009C50AB"/>
    <w:rsid w:val="009C5100"/>
    <w:rsid w:val="009C5163"/>
    <w:rsid w:val="009C519D"/>
    <w:rsid w:val="009C532B"/>
    <w:rsid w:val="009C539D"/>
    <w:rsid w:val="009C5461"/>
    <w:rsid w:val="009C54E1"/>
    <w:rsid w:val="009C5712"/>
    <w:rsid w:val="009C5713"/>
    <w:rsid w:val="009C5866"/>
    <w:rsid w:val="009C58A6"/>
    <w:rsid w:val="009C5923"/>
    <w:rsid w:val="009C5A2E"/>
    <w:rsid w:val="009C5AB5"/>
    <w:rsid w:val="009C5B2D"/>
    <w:rsid w:val="009C5BDF"/>
    <w:rsid w:val="009C5C84"/>
    <w:rsid w:val="009C5CC2"/>
    <w:rsid w:val="009C5CE3"/>
    <w:rsid w:val="009C5D2E"/>
    <w:rsid w:val="009C5D60"/>
    <w:rsid w:val="009C5E4C"/>
    <w:rsid w:val="009C5F11"/>
    <w:rsid w:val="009C6078"/>
    <w:rsid w:val="009C61A3"/>
    <w:rsid w:val="009C61AF"/>
    <w:rsid w:val="009C62F2"/>
    <w:rsid w:val="009C63BC"/>
    <w:rsid w:val="009C646F"/>
    <w:rsid w:val="009C6542"/>
    <w:rsid w:val="009C656E"/>
    <w:rsid w:val="009C65DD"/>
    <w:rsid w:val="009C66A4"/>
    <w:rsid w:val="009C6708"/>
    <w:rsid w:val="009C6714"/>
    <w:rsid w:val="009C67A9"/>
    <w:rsid w:val="009C690B"/>
    <w:rsid w:val="009C6A5A"/>
    <w:rsid w:val="009C6BD9"/>
    <w:rsid w:val="009C6CF4"/>
    <w:rsid w:val="009C6D82"/>
    <w:rsid w:val="009C6DA3"/>
    <w:rsid w:val="009C6E1A"/>
    <w:rsid w:val="009C6F96"/>
    <w:rsid w:val="009C6FEC"/>
    <w:rsid w:val="009C7000"/>
    <w:rsid w:val="009C7068"/>
    <w:rsid w:val="009C7264"/>
    <w:rsid w:val="009C72D1"/>
    <w:rsid w:val="009C7314"/>
    <w:rsid w:val="009C7446"/>
    <w:rsid w:val="009C7587"/>
    <w:rsid w:val="009C75F4"/>
    <w:rsid w:val="009C7608"/>
    <w:rsid w:val="009C7632"/>
    <w:rsid w:val="009C7658"/>
    <w:rsid w:val="009C768D"/>
    <w:rsid w:val="009C76E8"/>
    <w:rsid w:val="009C7850"/>
    <w:rsid w:val="009C78CE"/>
    <w:rsid w:val="009C78DE"/>
    <w:rsid w:val="009C793A"/>
    <w:rsid w:val="009C79A8"/>
    <w:rsid w:val="009C7A31"/>
    <w:rsid w:val="009C7B4F"/>
    <w:rsid w:val="009C7B5F"/>
    <w:rsid w:val="009C7B95"/>
    <w:rsid w:val="009C7BFC"/>
    <w:rsid w:val="009C7C48"/>
    <w:rsid w:val="009C7D43"/>
    <w:rsid w:val="009C7D4E"/>
    <w:rsid w:val="009C7E8D"/>
    <w:rsid w:val="009C7EDC"/>
    <w:rsid w:val="009D008A"/>
    <w:rsid w:val="009D01CA"/>
    <w:rsid w:val="009D04F0"/>
    <w:rsid w:val="009D05CE"/>
    <w:rsid w:val="009D05D1"/>
    <w:rsid w:val="009D06A4"/>
    <w:rsid w:val="009D0701"/>
    <w:rsid w:val="009D097A"/>
    <w:rsid w:val="009D0982"/>
    <w:rsid w:val="009D0A1E"/>
    <w:rsid w:val="009D0A6A"/>
    <w:rsid w:val="009D0AF5"/>
    <w:rsid w:val="009D0B86"/>
    <w:rsid w:val="009D0BD6"/>
    <w:rsid w:val="009D0BF8"/>
    <w:rsid w:val="009D0C3A"/>
    <w:rsid w:val="009D0D05"/>
    <w:rsid w:val="009D0D40"/>
    <w:rsid w:val="009D0DFC"/>
    <w:rsid w:val="009D0DFD"/>
    <w:rsid w:val="009D0E71"/>
    <w:rsid w:val="009D0F01"/>
    <w:rsid w:val="009D0F1F"/>
    <w:rsid w:val="009D0F98"/>
    <w:rsid w:val="009D0FB1"/>
    <w:rsid w:val="009D0FE7"/>
    <w:rsid w:val="009D1035"/>
    <w:rsid w:val="009D1049"/>
    <w:rsid w:val="009D105C"/>
    <w:rsid w:val="009D10CE"/>
    <w:rsid w:val="009D10F0"/>
    <w:rsid w:val="009D12F2"/>
    <w:rsid w:val="009D131E"/>
    <w:rsid w:val="009D13CA"/>
    <w:rsid w:val="009D13D7"/>
    <w:rsid w:val="009D1413"/>
    <w:rsid w:val="009D141A"/>
    <w:rsid w:val="009D171E"/>
    <w:rsid w:val="009D17A4"/>
    <w:rsid w:val="009D17A5"/>
    <w:rsid w:val="009D17E6"/>
    <w:rsid w:val="009D17F6"/>
    <w:rsid w:val="009D182E"/>
    <w:rsid w:val="009D18B7"/>
    <w:rsid w:val="009D18BF"/>
    <w:rsid w:val="009D194D"/>
    <w:rsid w:val="009D1A3C"/>
    <w:rsid w:val="009D1B00"/>
    <w:rsid w:val="009D1B4E"/>
    <w:rsid w:val="009D1C7B"/>
    <w:rsid w:val="009D1C85"/>
    <w:rsid w:val="009D1C99"/>
    <w:rsid w:val="009D1DD4"/>
    <w:rsid w:val="009D1E84"/>
    <w:rsid w:val="009D1EF5"/>
    <w:rsid w:val="009D1FF7"/>
    <w:rsid w:val="009D2007"/>
    <w:rsid w:val="009D200A"/>
    <w:rsid w:val="009D2012"/>
    <w:rsid w:val="009D201C"/>
    <w:rsid w:val="009D203F"/>
    <w:rsid w:val="009D2065"/>
    <w:rsid w:val="009D20EE"/>
    <w:rsid w:val="009D2147"/>
    <w:rsid w:val="009D2191"/>
    <w:rsid w:val="009D22A9"/>
    <w:rsid w:val="009D23A3"/>
    <w:rsid w:val="009D248C"/>
    <w:rsid w:val="009D24E1"/>
    <w:rsid w:val="009D2576"/>
    <w:rsid w:val="009D262E"/>
    <w:rsid w:val="009D2691"/>
    <w:rsid w:val="009D26D2"/>
    <w:rsid w:val="009D270C"/>
    <w:rsid w:val="009D271C"/>
    <w:rsid w:val="009D2908"/>
    <w:rsid w:val="009D2934"/>
    <w:rsid w:val="009D2A03"/>
    <w:rsid w:val="009D2A53"/>
    <w:rsid w:val="009D2A9B"/>
    <w:rsid w:val="009D2C12"/>
    <w:rsid w:val="009D2C23"/>
    <w:rsid w:val="009D2CD9"/>
    <w:rsid w:val="009D2DF9"/>
    <w:rsid w:val="009D2E40"/>
    <w:rsid w:val="009D2E46"/>
    <w:rsid w:val="009D2FA9"/>
    <w:rsid w:val="009D307A"/>
    <w:rsid w:val="009D30D7"/>
    <w:rsid w:val="009D3120"/>
    <w:rsid w:val="009D3162"/>
    <w:rsid w:val="009D3183"/>
    <w:rsid w:val="009D326B"/>
    <w:rsid w:val="009D3373"/>
    <w:rsid w:val="009D33BC"/>
    <w:rsid w:val="009D33E9"/>
    <w:rsid w:val="009D372D"/>
    <w:rsid w:val="009D373C"/>
    <w:rsid w:val="009D3788"/>
    <w:rsid w:val="009D384B"/>
    <w:rsid w:val="009D39C0"/>
    <w:rsid w:val="009D3A00"/>
    <w:rsid w:val="009D3A48"/>
    <w:rsid w:val="009D3AE7"/>
    <w:rsid w:val="009D3B9F"/>
    <w:rsid w:val="009D3BCF"/>
    <w:rsid w:val="009D3BD4"/>
    <w:rsid w:val="009D3BEC"/>
    <w:rsid w:val="009D3C06"/>
    <w:rsid w:val="009D3C6D"/>
    <w:rsid w:val="009D3D8D"/>
    <w:rsid w:val="009D3DE9"/>
    <w:rsid w:val="009D3E67"/>
    <w:rsid w:val="009D3EF0"/>
    <w:rsid w:val="009D3F90"/>
    <w:rsid w:val="009D411C"/>
    <w:rsid w:val="009D4170"/>
    <w:rsid w:val="009D4177"/>
    <w:rsid w:val="009D4247"/>
    <w:rsid w:val="009D425D"/>
    <w:rsid w:val="009D42CE"/>
    <w:rsid w:val="009D43C4"/>
    <w:rsid w:val="009D4417"/>
    <w:rsid w:val="009D44B5"/>
    <w:rsid w:val="009D44E1"/>
    <w:rsid w:val="009D4595"/>
    <w:rsid w:val="009D46CB"/>
    <w:rsid w:val="009D4788"/>
    <w:rsid w:val="009D484C"/>
    <w:rsid w:val="009D4875"/>
    <w:rsid w:val="009D487C"/>
    <w:rsid w:val="009D4A8C"/>
    <w:rsid w:val="009D4BA8"/>
    <w:rsid w:val="009D4BDA"/>
    <w:rsid w:val="009D4CC6"/>
    <w:rsid w:val="009D4D6A"/>
    <w:rsid w:val="009D4DB9"/>
    <w:rsid w:val="009D4E19"/>
    <w:rsid w:val="009D4E26"/>
    <w:rsid w:val="009D4E5F"/>
    <w:rsid w:val="009D4FF8"/>
    <w:rsid w:val="009D501D"/>
    <w:rsid w:val="009D5069"/>
    <w:rsid w:val="009D5078"/>
    <w:rsid w:val="009D50C4"/>
    <w:rsid w:val="009D51A5"/>
    <w:rsid w:val="009D5280"/>
    <w:rsid w:val="009D5294"/>
    <w:rsid w:val="009D53DC"/>
    <w:rsid w:val="009D5481"/>
    <w:rsid w:val="009D5550"/>
    <w:rsid w:val="009D5677"/>
    <w:rsid w:val="009D56BA"/>
    <w:rsid w:val="009D57CD"/>
    <w:rsid w:val="009D5857"/>
    <w:rsid w:val="009D5890"/>
    <w:rsid w:val="009D58F0"/>
    <w:rsid w:val="009D5952"/>
    <w:rsid w:val="009D599F"/>
    <w:rsid w:val="009D59D4"/>
    <w:rsid w:val="009D5A4C"/>
    <w:rsid w:val="009D5A81"/>
    <w:rsid w:val="009D5ADD"/>
    <w:rsid w:val="009D5B44"/>
    <w:rsid w:val="009D5B64"/>
    <w:rsid w:val="009D5BB2"/>
    <w:rsid w:val="009D5C2B"/>
    <w:rsid w:val="009D5C69"/>
    <w:rsid w:val="009D5CA6"/>
    <w:rsid w:val="009D5CFD"/>
    <w:rsid w:val="009D5D99"/>
    <w:rsid w:val="009D5D9C"/>
    <w:rsid w:val="009D5E91"/>
    <w:rsid w:val="009D5F18"/>
    <w:rsid w:val="009D5F65"/>
    <w:rsid w:val="009D60E7"/>
    <w:rsid w:val="009D60F6"/>
    <w:rsid w:val="009D61D6"/>
    <w:rsid w:val="009D61EC"/>
    <w:rsid w:val="009D6226"/>
    <w:rsid w:val="009D6324"/>
    <w:rsid w:val="009D6335"/>
    <w:rsid w:val="009D640C"/>
    <w:rsid w:val="009D6424"/>
    <w:rsid w:val="009D647C"/>
    <w:rsid w:val="009D64C0"/>
    <w:rsid w:val="009D64D5"/>
    <w:rsid w:val="009D65F2"/>
    <w:rsid w:val="009D6668"/>
    <w:rsid w:val="009D667C"/>
    <w:rsid w:val="009D670E"/>
    <w:rsid w:val="009D6721"/>
    <w:rsid w:val="009D6779"/>
    <w:rsid w:val="009D6914"/>
    <w:rsid w:val="009D6A33"/>
    <w:rsid w:val="009D6A34"/>
    <w:rsid w:val="009D6A6D"/>
    <w:rsid w:val="009D6B38"/>
    <w:rsid w:val="009D6BB9"/>
    <w:rsid w:val="009D6BE8"/>
    <w:rsid w:val="009D6C33"/>
    <w:rsid w:val="009D6CE3"/>
    <w:rsid w:val="009D6D7D"/>
    <w:rsid w:val="009D6DA8"/>
    <w:rsid w:val="009D6DC8"/>
    <w:rsid w:val="009D6DD2"/>
    <w:rsid w:val="009D6E3B"/>
    <w:rsid w:val="009D6E6C"/>
    <w:rsid w:val="009D6EBE"/>
    <w:rsid w:val="009D6F86"/>
    <w:rsid w:val="009D700B"/>
    <w:rsid w:val="009D7217"/>
    <w:rsid w:val="009D728F"/>
    <w:rsid w:val="009D72D5"/>
    <w:rsid w:val="009D730D"/>
    <w:rsid w:val="009D7350"/>
    <w:rsid w:val="009D73E8"/>
    <w:rsid w:val="009D73F3"/>
    <w:rsid w:val="009D747F"/>
    <w:rsid w:val="009D74F3"/>
    <w:rsid w:val="009D7555"/>
    <w:rsid w:val="009D75D6"/>
    <w:rsid w:val="009D768A"/>
    <w:rsid w:val="009D76AC"/>
    <w:rsid w:val="009D76CD"/>
    <w:rsid w:val="009D76E8"/>
    <w:rsid w:val="009D7841"/>
    <w:rsid w:val="009D7944"/>
    <w:rsid w:val="009D7957"/>
    <w:rsid w:val="009D798C"/>
    <w:rsid w:val="009D79D9"/>
    <w:rsid w:val="009D79F4"/>
    <w:rsid w:val="009D7A02"/>
    <w:rsid w:val="009D7A77"/>
    <w:rsid w:val="009D7AB0"/>
    <w:rsid w:val="009D7AD2"/>
    <w:rsid w:val="009D7C55"/>
    <w:rsid w:val="009D7CD5"/>
    <w:rsid w:val="009D7D2C"/>
    <w:rsid w:val="009D7E9E"/>
    <w:rsid w:val="009D7EF0"/>
    <w:rsid w:val="009D7F4E"/>
    <w:rsid w:val="009D7FA4"/>
    <w:rsid w:val="009D7FA8"/>
    <w:rsid w:val="009D7FE8"/>
    <w:rsid w:val="009E00CD"/>
    <w:rsid w:val="009E0120"/>
    <w:rsid w:val="009E0164"/>
    <w:rsid w:val="009E0169"/>
    <w:rsid w:val="009E017C"/>
    <w:rsid w:val="009E01B5"/>
    <w:rsid w:val="009E0327"/>
    <w:rsid w:val="009E0427"/>
    <w:rsid w:val="009E051D"/>
    <w:rsid w:val="009E0540"/>
    <w:rsid w:val="009E05BE"/>
    <w:rsid w:val="009E0611"/>
    <w:rsid w:val="009E062B"/>
    <w:rsid w:val="009E0719"/>
    <w:rsid w:val="009E0831"/>
    <w:rsid w:val="009E08B4"/>
    <w:rsid w:val="009E0986"/>
    <w:rsid w:val="009E09DD"/>
    <w:rsid w:val="009E0AB7"/>
    <w:rsid w:val="009E0ABE"/>
    <w:rsid w:val="009E0AD6"/>
    <w:rsid w:val="009E0B2D"/>
    <w:rsid w:val="009E0B85"/>
    <w:rsid w:val="009E0CF6"/>
    <w:rsid w:val="009E0E5C"/>
    <w:rsid w:val="009E1029"/>
    <w:rsid w:val="009E10B2"/>
    <w:rsid w:val="009E10C4"/>
    <w:rsid w:val="009E113A"/>
    <w:rsid w:val="009E1186"/>
    <w:rsid w:val="009E1197"/>
    <w:rsid w:val="009E1316"/>
    <w:rsid w:val="009E1329"/>
    <w:rsid w:val="009E137A"/>
    <w:rsid w:val="009E1578"/>
    <w:rsid w:val="009E1586"/>
    <w:rsid w:val="009E160B"/>
    <w:rsid w:val="009E1683"/>
    <w:rsid w:val="009E16E9"/>
    <w:rsid w:val="009E1814"/>
    <w:rsid w:val="009E1848"/>
    <w:rsid w:val="009E193D"/>
    <w:rsid w:val="009E199D"/>
    <w:rsid w:val="009E1B5E"/>
    <w:rsid w:val="009E1C6F"/>
    <w:rsid w:val="009E1C81"/>
    <w:rsid w:val="009E1CD5"/>
    <w:rsid w:val="009E1D51"/>
    <w:rsid w:val="009E1DCF"/>
    <w:rsid w:val="009E1E44"/>
    <w:rsid w:val="009E1F2B"/>
    <w:rsid w:val="009E1F36"/>
    <w:rsid w:val="009E1F4E"/>
    <w:rsid w:val="009E1F54"/>
    <w:rsid w:val="009E1F6B"/>
    <w:rsid w:val="009E2010"/>
    <w:rsid w:val="009E20D9"/>
    <w:rsid w:val="009E20F1"/>
    <w:rsid w:val="009E214B"/>
    <w:rsid w:val="009E2174"/>
    <w:rsid w:val="009E2179"/>
    <w:rsid w:val="009E2209"/>
    <w:rsid w:val="009E228F"/>
    <w:rsid w:val="009E22BB"/>
    <w:rsid w:val="009E22E5"/>
    <w:rsid w:val="009E235A"/>
    <w:rsid w:val="009E24E6"/>
    <w:rsid w:val="009E2616"/>
    <w:rsid w:val="009E2688"/>
    <w:rsid w:val="009E2818"/>
    <w:rsid w:val="009E286B"/>
    <w:rsid w:val="009E288B"/>
    <w:rsid w:val="009E2908"/>
    <w:rsid w:val="009E2915"/>
    <w:rsid w:val="009E2A67"/>
    <w:rsid w:val="009E2AC2"/>
    <w:rsid w:val="009E2B68"/>
    <w:rsid w:val="009E2BE3"/>
    <w:rsid w:val="009E2BF2"/>
    <w:rsid w:val="009E2CE9"/>
    <w:rsid w:val="009E2D02"/>
    <w:rsid w:val="009E2DBB"/>
    <w:rsid w:val="009E2E27"/>
    <w:rsid w:val="009E2F1B"/>
    <w:rsid w:val="009E2F1E"/>
    <w:rsid w:val="009E2F23"/>
    <w:rsid w:val="009E2FE5"/>
    <w:rsid w:val="009E2FF9"/>
    <w:rsid w:val="009E3028"/>
    <w:rsid w:val="009E30A2"/>
    <w:rsid w:val="009E30B9"/>
    <w:rsid w:val="009E3105"/>
    <w:rsid w:val="009E315B"/>
    <w:rsid w:val="009E31B1"/>
    <w:rsid w:val="009E32E5"/>
    <w:rsid w:val="009E3310"/>
    <w:rsid w:val="009E336F"/>
    <w:rsid w:val="009E33BB"/>
    <w:rsid w:val="009E3423"/>
    <w:rsid w:val="009E34C8"/>
    <w:rsid w:val="009E3515"/>
    <w:rsid w:val="009E3576"/>
    <w:rsid w:val="009E362E"/>
    <w:rsid w:val="009E364B"/>
    <w:rsid w:val="009E364D"/>
    <w:rsid w:val="009E367A"/>
    <w:rsid w:val="009E36C8"/>
    <w:rsid w:val="009E3854"/>
    <w:rsid w:val="009E3967"/>
    <w:rsid w:val="009E3A7B"/>
    <w:rsid w:val="009E3B7A"/>
    <w:rsid w:val="009E3C3F"/>
    <w:rsid w:val="009E3C5E"/>
    <w:rsid w:val="009E3D51"/>
    <w:rsid w:val="009E3F13"/>
    <w:rsid w:val="009E3F53"/>
    <w:rsid w:val="009E3F92"/>
    <w:rsid w:val="009E407A"/>
    <w:rsid w:val="009E4130"/>
    <w:rsid w:val="009E41D0"/>
    <w:rsid w:val="009E428A"/>
    <w:rsid w:val="009E42CB"/>
    <w:rsid w:val="009E42E8"/>
    <w:rsid w:val="009E4525"/>
    <w:rsid w:val="009E46D7"/>
    <w:rsid w:val="009E46DE"/>
    <w:rsid w:val="009E4704"/>
    <w:rsid w:val="009E4764"/>
    <w:rsid w:val="009E4766"/>
    <w:rsid w:val="009E47B7"/>
    <w:rsid w:val="009E47D1"/>
    <w:rsid w:val="009E4884"/>
    <w:rsid w:val="009E48A8"/>
    <w:rsid w:val="009E4946"/>
    <w:rsid w:val="009E49C0"/>
    <w:rsid w:val="009E4A31"/>
    <w:rsid w:val="009E4A82"/>
    <w:rsid w:val="009E4AB3"/>
    <w:rsid w:val="009E4B03"/>
    <w:rsid w:val="009E4D3B"/>
    <w:rsid w:val="009E4D3C"/>
    <w:rsid w:val="009E4D59"/>
    <w:rsid w:val="009E4E0A"/>
    <w:rsid w:val="009E4EE6"/>
    <w:rsid w:val="009E4EF7"/>
    <w:rsid w:val="009E4F3E"/>
    <w:rsid w:val="009E502C"/>
    <w:rsid w:val="009E50F7"/>
    <w:rsid w:val="009E51EE"/>
    <w:rsid w:val="009E51FA"/>
    <w:rsid w:val="009E5250"/>
    <w:rsid w:val="009E52C8"/>
    <w:rsid w:val="009E5306"/>
    <w:rsid w:val="009E5398"/>
    <w:rsid w:val="009E545E"/>
    <w:rsid w:val="009E558A"/>
    <w:rsid w:val="009E5599"/>
    <w:rsid w:val="009E5623"/>
    <w:rsid w:val="009E5695"/>
    <w:rsid w:val="009E5828"/>
    <w:rsid w:val="009E583D"/>
    <w:rsid w:val="009E5959"/>
    <w:rsid w:val="009E59C2"/>
    <w:rsid w:val="009E5A25"/>
    <w:rsid w:val="009E5ABA"/>
    <w:rsid w:val="009E5C1F"/>
    <w:rsid w:val="009E5C47"/>
    <w:rsid w:val="009E5D7E"/>
    <w:rsid w:val="009E5DC1"/>
    <w:rsid w:val="009E5DE0"/>
    <w:rsid w:val="009E6045"/>
    <w:rsid w:val="009E607E"/>
    <w:rsid w:val="009E6090"/>
    <w:rsid w:val="009E60CC"/>
    <w:rsid w:val="009E60E6"/>
    <w:rsid w:val="009E614C"/>
    <w:rsid w:val="009E62A0"/>
    <w:rsid w:val="009E62C3"/>
    <w:rsid w:val="009E6597"/>
    <w:rsid w:val="009E6601"/>
    <w:rsid w:val="009E670D"/>
    <w:rsid w:val="009E6834"/>
    <w:rsid w:val="009E683A"/>
    <w:rsid w:val="009E689E"/>
    <w:rsid w:val="009E68B1"/>
    <w:rsid w:val="009E68DE"/>
    <w:rsid w:val="009E6936"/>
    <w:rsid w:val="009E6A16"/>
    <w:rsid w:val="009E6AD3"/>
    <w:rsid w:val="009E6B67"/>
    <w:rsid w:val="009E6D91"/>
    <w:rsid w:val="009E6E6E"/>
    <w:rsid w:val="009E6F4A"/>
    <w:rsid w:val="009E6F7F"/>
    <w:rsid w:val="009E6FDF"/>
    <w:rsid w:val="009E705F"/>
    <w:rsid w:val="009E70AC"/>
    <w:rsid w:val="009E71C8"/>
    <w:rsid w:val="009E7205"/>
    <w:rsid w:val="009E72F2"/>
    <w:rsid w:val="009E74A2"/>
    <w:rsid w:val="009E7515"/>
    <w:rsid w:val="009E765A"/>
    <w:rsid w:val="009E7855"/>
    <w:rsid w:val="009E7875"/>
    <w:rsid w:val="009E7934"/>
    <w:rsid w:val="009E7A09"/>
    <w:rsid w:val="009E7AA6"/>
    <w:rsid w:val="009E7B79"/>
    <w:rsid w:val="009E7CB0"/>
    <w:rsid w:val="009E7D68"/>
    <w:rsid w:val="009E7E05"/>
    <w:rsid w:val="009E7EAA"/>
    <w:rsid w:val="009E7F4B"/>
    <w:rsid w:val="009E7F52"/>
    <w:rsid w:val="009E7FA9"/>
    <w:rsid w:val="009F0041"/>
    <w:rsid w:val="009F02BB"/>
    <w:rsid w:val="009F02DB"/>
    <w:rsid w:val="009F02F3"/>
    <w:rsid w:val="009F03AC"/>
    <w:rsid w:val="009F03CB"/>
    <w:rsid w:val="009F0498"/>
    <w:rsid w:val="009F0517"/>
    <w:rsid w:val="009F05AE"/>
    <w:rsid w:val="009F06CB"/>
    <w:rsid w:val="009F072D"/>
    <w:rsid w:val="009F0838"/>
    <w:rsid w:val="009F0872"/>
    <w:rsid w:val="009F08A8"/>
    <w:rsid w:val="009F0C6E"/>
    <w:rsid w:val="009F0C77"/>
    <w:rsid w:val="009F0CDA"/>
    <w:rsid w:val="009F0DF5"/>
    <w:rsid w:val="009F0EC6"/>
    <w:rsid w:val="009F0EF6"/>
    <w:rsid w:val="009F0EFE"/>
    <w:rsid w:val="009F0F5B"/>
    <w:rsid w:val="009F1054"/>
    <w:rsid w:val="009F1065"/>
    <w:rsid w:val="009F107E"/>
    <w:rsid w:val="009F1125"/>
    <w:rsid w:val="009F12ED"/>
    <w:rsid w:val="009F15DF"/>
    <w:rsid w:val="009F163E"/>
    <w:rsid w:val="009F1688"/>
    <w:rsid w:val="009F16F3"/>
    <w:rsid w:val="009F1718"/>
    <w:rsid w:val="009F1809"/>
    <w:rsid w:val="009F1812"/>
    <w:rsid w:val="009F183F"/>
    <w:rsid w:val="009F18B4"/>
    <w:rsid w:val="009F19F6"/>
    <w:rsid w:val="009F1A76"/>
    <w:rsid w:val="009F1B78"/>
    <w:rsid w:val="009F1BC0"/>
    <w:rsid w:val="009F1BE8"/>
    <w:rsid w:val="009F1D86"/>
    <w:rsid w:val="009F1E03"/>
    <w:rsid w:val="009F1E48"/>
    <w:rsid w:val="009F1F4E"/>
    <w:rsid w:val="009F1FCF"/>
    <w:rsid w:val="009F1FE1"/>
    <w:rsid w:val="009F2076"/>
    <w:rsid w:val="009F208A"/>
    <w:rsid w:val="009F20EC"/>
    <w:rsid w:val="009F2195"/>
    <w:rsid w:val="009F21F4"/>
    <w:rsid w:val="009F224A"/>
    <w:rsid w:val="009F2300"/>
    <w:rsid w:val="009F232B"/>
    <w:rsid w:val="009F239D"/>
    <w:rsid w:val="009F2526"/>
    <w:rsid w:val="009F25DA"/>
    <w:rsid w:val="009F25F6"/>
    <w:rsid w:val="009F2631"/>
    <w:rsid w:val="009F279E"/>
    <w:rsid w:val="009F2872"/>
    <w:rsid w:val="009F289B"/>
    <w:rsid w:val="009F28F0"/>
    <w:rsid w:val="009F292C"/>
    <w:rsid w:val="009F2A1B"/>
    <w:rsid w:val="009F2A70"/>
    <w:rsid w:val="009F2B37"/>
    <w:rsid w:val="009F2B63"/>
    <w:rsid w:val="009F2C0C"/>
    <w:rsid w:val="009F2CB4"/>
    <w:rsid w:val="009F2D43"/>
    <w:rsid w:val="009F2D4B"/>
    <w:rsid w:val="009F2DCC"/>
    <w:rsid w:val="009F2E7B"/>
    <w:rsid w:val="009F2F71"/>
    <w:rsid w:val="009F2F90"/>
    <w:rsid w:val="009F304A"/>
    <w:rsid w:val="009F3094"/>
    <w:rsid w:val="009F30D5"/>
    <w:rsid w:val="009F314C"/>
    <w:rsid w:val="009F3292"/>
    <w:rsid w:val="009F33D4"/>
    <w:rsid w:val="009F3458"/>
    <w:rsid w:val="009F345E"/>
    <w:rsid w:val="009F34AD"/>
    <w:rsid w:val="009F3513"/>
    <w:rsid w:val="009F369C"/>
    <w:rsid w:val="009F36FA"/>
    <w:rsid w:val="009F373A"/>
    <w:rsid w:val="009F373B"/>
    <w:rsid w:val="009F38B4"/>
    <w:rsid w:val="009F391C"/>
    <w:rsid w:val="009F3A31"/>
    <w:rsid w:val="009F3A3F"/>
    <w:rsid w:val="009F3A75"/>
    <w:rsid w:val="009F3B8B"/>
    <w:rsid w:val="009F3BA6"/>
    <w:rsid w:val="009F3BC4"/>
    <w:rsid w:val="009F3BD5"/>
    <w:rsid w:val="009F3C9C"/>
    <w:rsid w:val="009F3E12"/>
    <w:rsid w:val="009F3EDB"/>
    <w:rsid w:val="009F4001"/>
    <w:rsid w:val="009F40C7"/>
    <w:rsid w:val="009F40E8"/>
    <w:rsid w:val="009F4176"/>
    <w:rsid w:val="009F41B7"/>
    <w:rsid w:val="009F431D"/>
    <w:rsid w:val="009F434D"/>
    <w:rsid w:val="009F4415"/>
    <w:rsid w:val="009F446B"/>
    <w:rsid w:val="009F447B"/>
    <w:rsid w:val="009F44A5"/>
    <w:rsid w:val="009F4646"/>
    <w:rsid w:val="009F46C4"/>
    <w:rsid w:val="009F46F6"/>
    <w:rsid w:val="009F472F"/>
    <w:rsid w:val="009F473C"/>
    <w:rsid w:val="009F480A"/>
    <w:rsid w:val="009F491C"/>
    <w:rsid w:val="009F49F9"/>
    <w:rsid w:val="009F4CE4"/>
    <w:rsid w:val="009F4D46"/>
    <w:rsid w:val="009F4E0F"/>
    <w:rsid w:val="009F4E33"/>
    <w:rsid w:val="009F51FF"/>
    <w:rsid w:val="009F5284"/>
    <w:rsid w:val="009F5316"/>
    <w:rsid w:val="009F5333"/>
    <w:rsid w:val="009F533D"/>
    <w:rsid w:val="009F537E"/>
    <w:rsid w:val="009F5466"/>
    <w:rsid w:val="009F547B"/>
    <w:rsid w:val="009F54B9"/>
    <w:rsid w:val="009F54DE"/>
    <w:rsid w:val="009F5537"/>
    <w:rsid w:val="009F59A0"/>
    <w:rsid w:val="009F5A33"/>
    <w:rsid w:val="009F5A3A"/>
    <w:rsid w:val="009F5AA4"/>
    <w:rsid w:val="009F5ADD"/>
    <w:rsid w:val="009F5B5C"/>
    <w:rsid w:val="009F5B90"/>
    <w:rsid w:val="009F5EF7"/>
    <w:rsid w:val="009F5F95"/>
    <w:rsid w:val="009F6107"/>
    <w:rsid w:val="009F6178"/>
    <w:rsid w:val="009F61FE"/>
    <w:rsid w:val="009F62CE"/>
    <w:rsid w:val="009F64FE"/>
    <w:rsid w:val="009F657B"/>
    <w:rsid w:val="009F6584"/>
    <w:rsid w:val="009F66FD"/>
    <w:rsid w:val="009F675F"/>
    <w:rsid w:val="009F68AD"/>
    <w:rsid w:val="009F68BD"/>
    <w:rsid w:val="009F6914"/>
    <w:rsid w:val="009F698D"/>
    <w:rsid w:val="009F6A10"/>
    <w:rsid w:val="009F6A55"/>
    <w:rsid w:val="009F6AC2"/>
    <w:rsid w:val="009F6B3B"/>
    <w:rsid w:val="009F6B74"/>
    <w:rsid w:val="009F6C51"/>
    <w:rsid w:val="009F6C7B"/>
    <w:rsid w:val="009F6DBC"/>
    <w:rsid w:val="009F6E19"/>
    <w:rsid w:val="009F6F78"/>
    <w:rsid w:val="009F6F79"/>
    <w:rsid w:val="009F6FAA"/>
    <w:rsid w:val="009F7092"/>
    <w:rsid w:val="009F70D4"/>
    <w:rsid w:val="009F70E1"/>
    <w:rsid w:val="009F70F9"/>
    <w:rsid w:val="009F71B5"/>
    <w:rsid w:val="009F7322"/>
    <w:rsid w:val="009F7374"/>
    <w:rsid w:val="009F7375"/>
    <w:rsid w:val="009F73B1"/>
    <w:rsid w:val="009F7544"/>
    <w:rsid w:val="009F7616"/>
    <w:rsid w:val="009F7750"/>
    <w:rsid w:val="009F775A"/>
    <w:rsid w:val="009F77D7"/>
    <w:rsid w:val="009F7824"/>
    <w:rsid w:val="009F784A"/>
    <w:rsid w:val="009F785A"/>
    <w:rsid w:val="009F7864"/>
    <w:rsid w:val="009F792E"/>
    <w:rsid w:val="009F7984"/>
    <w:rsid w:val="009F7A56"/>
    <w:rsid w:val="009F7B1F"/>
    <w:rsid w:val="009F7BCF"/>
    <w:rsid w:val="009F7BE6"/>
    <w:rsid w:val="009F7C69"/>
    <w:rsid w:val="009F7C99"/>
    <w:rsid w:val="009F7CB0"/>
    <w:rsid w:val="009F7D2A"/>
    <w:rsid w:val="009F7DCC"/>
    <w:rsid w:val="009F7DCF"/>
    <w:rsid w:val="009F7E87"/>
    <w:rsid w:val="009F7F6B"/>
    <w:rsid w:val="00A00071"/>
    <w:rsid w:val="00A00096"/>
    <w:rsid w:val="00A000A6"/>
    <w:rsid w:val="00A00107"/>
    <w:rsid w:val="00A00258"/>
    <w:rsid w:val="00A00265"/>
    <w:rsid w:val="00A0031C"/>
    <w:rsid w:val="00A00377"/>
    <w:rsid w:val="00A003D8"/>
    <w:rsid w:val="00A003EA"/>
    <w:rsid w:val="00A0044C"/>
    <w:rsid w:val="00A00540"/>
    <w:rsid w:val="00A005FF"/>
    <w:rsid w:val="00A0062B"/>
    <w:rsid w:val="00A006A7"/>
    <w:rsid w:val="00A006E7"/>
    <w:rsid w:val="00A00802"/>
    <w:rsid w:val="00A00941"/>
    <w:rsid w:val="00A0094F"/>
    <w:rsid w:val="00A00AD9"/>
    <w:rsid w:val="00A00BD0"/>
    <w:rsid w:val="00A00C4B"/>
    <w:rsid w:val="00A00CC8"/>
    <w:rsid w:val="00A00CEF"/>
    <w:rsid w:val="00A00D1C"/>
    <w:rsid w:val="00A00D6F"/>
    <w:rsid w:val="00A00EB9"/>
    <w:rsid w:val="00A00F0A"/>
    <w:rsid w:val="00A00F1F"/>
    <w:rsid w:val="00A00F91"/>
    <w:rsid w:val="00A00FA7"/>
    <w:rsid w:val="00A00FAB"/>
    <w:rsid w:val="00A01080"/>
    <w:rsid w:val="00A01199"/>
    <w:rsid w:val="00A012AA"/>
    <w:rsid w:val="00A01384"/>
    <w:rsid w:val="00A01475"/>
    <w:rsid w:val="00A01501"/>
    <w:rsid w:val="00A01544"/>
    <w:rsid w:val="00A01697"/>
    <w:rsid w:val="00A0169C"/>
    <w:rsid w:val="00A016F5"/>
    <w:rsid w:val="00A01783"/>
    <w:rsid w:val="00A01791"/>
    <w:rsid w:val="00A017D5"/>
    <w:rsid w:val="00A01829"/>
    <w:rsid w:val="00A018B4"/>
    <w:rsid w:val="00A018E9"/>
    <w:rsid w:val="00A0199D"/>
    <w:rsid w:val="00A01A0A"/>
    <w:rsid w:val="00A01A7B"/>
    <w:rsid w:val="00A01AB3"/>
    <w:rsid w:val="00A01AB9"/>
    <w:rsid w:val="00A01AE5"/>
    <w:rsid w:val="00A01B50"/>
    <w:rsid w:val="00A01B92"/>
    <w:rsid w:val="00A01BCA"/>
    <w:rsid w:val="00A01BDA"/>
    <w:rsid w:val="00A01C68"/>
    <w:rsid w:val="00A01DB8"/>
    <w:rsid w:val="00A01E7C"/>
    <w:rsid w:val="00A01EEB"/>
    <w:rsid w:val="00A01F89"/>
    <w:rsid w:val="00A020DC"/>
    <w:rsid w:val="00A02174"/>
    <w:rsid w:val="00A0219A"/>
    <w:rsid w:val="00A021BE"/>
    <w:rsid w:val="00A02205"/>
    <w:rsid w:val="00A022A7"/>
    <w:rsid w:val="00A022FA"/>
    <w:rsid w:val="00A0230B"/>
    <w:rsid w:val="00A0234E"/>
    <w:rsid w:val="00A0236A"/>
    <w:rsid w:val="00A02422"/>
    <w:rsid w:val="00A026C1"/>
    <w:rsid w:val="00A026FE"/>
    <w:rsid w:val="00A0270A"/>
    <w:rsid w:val="00A02752"/>
    <w:rsid w:val="00A0277D"/>
    <w:rsid w:val="00A028E4"/>
    <w:rsid w:val="00A0290B"/>
    <w:rsid w:val="00A02932"/>
    <w:rsid w:val="00A02969"/>
    <w:rsid w:val="00A029DC"/>
    <w:rsid w:val="00A02B2E"/>
    <w:rsid w:val="00A02BB3"/>
    <w:rsid w:val="00A02C01"/>
    <w:rsid w:val="00A02C1D"/>
    <w:rsid w:val="00A02C5F"/>
    <w:rsid w:val="00A02CCF"/>
    <w:rsid w:val="00A02E76"/>
    <w:rsid w:val="00A02EED"/>
    <w:rsid w:val="00A02F0C"/>
    <w:rsid w:val="00A02F9B"/>
    <w:rsid w:val="00A02FCB"/>
    <w:rsid w:val="00A03028"/>
    <w:rsid w:val="00A03045"/>
    <w:rsid w:val="00A030A6"/>
    <w:rsid w:val="00A030AE"/>
    <w:rsid w:val="00A0310C"/>
    <w:rsid w:val="00A03123"/>
    <w:rsid w:val="00A0316D"/>
    <w:rsid w:val="00A031E8"/>
    <w:rsid w:val="00A032C5"/>
    <w:rsid w:val="00A03305"/>
    <w:rsid w:val="00A03349"/>
    <w:rsid w:val="00A0337A"/>
    <w:rsid w:val="00A0339A"/>
    <w:rsid w:val="00A033A1"/>
    <w:rsid w:val="00A033EE"/>
    <w:rsid w:val="00A033F5"/>
    <w:rsid w:val="00A03576"/>
    <w:rsid w:val="00A0366B"/>
    <w:rsid w:val="00A03772"/>
    <w:rsid w:val="00A037D8"/>
    <w:rsid w:val="00A038FB"/>
    <w:rsid w:val="00A03912"/>
    <w:rsid w:val="00A03AAD"/>
    <w:rsid w:val="00A03ADA"/>
    <w:rsid w:val="00A03AEB"/>
    <w:rsid w:val="00A03BDA"/>
    <w:rsid w:val="00A03CBB"/>
    <w:rsid w:val="00A03CE5"/>
    <w:rsid w:val="00A03DEB"/>
    <w:rsid w:val="00A03F54"/>
    <w:rsid w:val="00A041A9"/>
    <w:rsid w:val="00A041F0"/>
    <w:rsid w:val="00A0429A"/>
    <w:rsid w:val="00A042C1"/>
    <w:rsid w:val="00A0443A"/>
    <w:rsid w:val="00A04519"/>
    <w:rsid w:val="00A04524"/>
    <w:rsid w:val="00A04567"/>
    <w:rsid w:val="00A0458A"/>
    <w:rsid w:val="00A04599"/>
    <w:rsid w:val="00A045B2"/>
    <w:rsid w:val="00A047E2"/>
    <w:rsid w:val="00A04953"/>
    <w:rsid w:val="00A049F2"/>
    <w:rsid w:val="00A04A6A"/>
    <w:rsid w:val="00A04A9D"/>
    <w:rsid w:val="00A04B0E"/>
    <w:rsid w:val="00A04B24"/>
    <w:rsid w:val="00A04B8C"/>
    <w:rsid w:val="00A04BB6"/>
    <w:rsid w:val="00A04C97"/>
    <w:rsid w:val="00A04CE6"/>
    <w:rsid w:val="00A04DF3"/>
    <w:rsid w:val="00A04F17"/>
    <w:rsid w:val="00A04F1C"/>
    <w:rsid w:val="00A04F4A"/>
    <w:rsid w:val="00A04F74"/>
    <w:rsid w:val="00A04FD2"/>
    <w:rsid w:val="00A04FD3"/>
    <w:rsid w:val="00A0513E"/>
    <w:rsid w:val="00A052C7"/>
    <w:rsid w:val="00A052DD"/>
    <w:rsid w:val="00A05301"/>
    <w:rsid w:val="00A05414"/>
    <w:rsid w:val="00A054B0"/>
    <w:rsid w:val="00A0551F"/>
    <w:rsid w:val="00A0556F"/>
    <w:rsid w:val="00A0558B"/>
    <w:rsid w:val="00A055E7"/>
    <w:rsid w:val="00A055F0"/>
    <w:rsid w:val="00A055FA"/>
    <w:rsid w:val="00A056FF"/>
    <w:rsid w:val="00A0571E"/>
    <w:rsid w:val="00A057E6"/>
    <w:rsid w:val="00A0586C"/>
    <w:rsid w:val="00A05930"/>
    <w:rsid w:val="00A05976"/>
    <w:rsid w:val="00A05A6E"/>
    <w:rsid w:val="00A05B32"/>
    <w:rsid w:val="00A05BF2"/>
    <w:rsid w:val="00A05C6F"/>
    <w:rsid w:val="00A05D8C"/>
    <w:rsid w:val="00A05E0A"/>
    <w:rsid w:val="00A05F58"/>
    <w:rsid w:val="00A06007"/>
    <w:rsid w:val="00A0608F"/>
    <w:rsid w:val="00A060EE"/>
    <w:rsid w:val="00A06260"/>
    <w:rsid w:val="00A062E1"/>
    <w:rsid w:val="00A0637D"/>
    <w:rsid w:val="00A063C4"/>
    <w:rsid w:val="00A0649C"/>
    <w:rsid w:val="00A0660D"/>
    <w:rsid w:val="00A0669D"/>
    <w:rsid w:val="00A0672E"/>
    <w:rsid w:val="00A067D0"/>
    <w:rsid w:val="00A0682F"/>
    <w:rsid w:val="00A069A3"/>
    <w:rsid w:val="00A069AE"/>
    <w:rsid w:val="00A069F7"/>
    <w:rsid w:val="00A06A55"/>
    <w:rsid w:val="00A06AA8"/>
    <w:rsid w:val="00A06D78"/>
    <w:rsid w:val="00A06E26"/>
    <w:rsid w:val="00A06E91"/>
    <w:rsid w:val="00A06F9B"/>
    <w:rsid w:val="00A06FC3"/>
    <w:rsid w:val="00A0704C"/>
    <w:rsid w:val="00A07158"/>
    <w:rsid w:val="00A07173"/>
    <w:rsid w:val="00A07251"/>
    <w:rsid w:val="00A0730F"/>
    <w:rsid w:val="00A07345"/>
    <w:rsid w:val="00A073F3"/>
    <w:rsid w:val="00A0741B"/>
    <w:rsid w:val="00A07470"/>
    <w:rsid w:val="00A07487"/>
    <w:rsid w:val="00A074AC"/>
    <w:rsid w:val="00A0764D"/>
    <w:rsid w:val="00A076E5"/>
    <w:rsid w:val="00A07714"/>
    <w:rsid w:val="00A0779C"/>
    <w:rsid w:val="00A077DC"/>
    <w:rsid w:val="00A078F6"/>
    <w:rsid w:val="00A078F7"/>
    <w:rsid w:val="00A07924"/>
    <w:rsid w:val="00A07A08"/>
    <w:rsid w:val="00A07B17"/>
    <w:rsid w:val="00A07C60"/>
    <w:rsid w:val="00A07C61"/>
    <w:rsid w:val="00A07CD2"/>
    <w:rsid w:val="00A07D5A"/>
    <w:rsid w:val="00A07EB5"/>
    <w:rsid w:val="00A07ED1"/>
    <w:rsid w:val="00A07F6B"/>
    <w:rsid w:val="00A10076"/>
    <w:rsid w:val="00A1011D"/>
    <w:rsid w:val="00A1022C"/>
    <w:rsid w:val="00A102EF"/>
    <w:rsid w:val="00A10300"/>
    <w:rsid w:val="00A104C7"/>
    <w:rsid w:val="00A1067B"/>
    <w:rsid w:val="00A10695"/>
    <w:rsid w:val="00A106F7"/>
    <w:rsid w:val="00A10738"/>
    <w:rsid w:val="00A109A4"/>
    <w:rsid w:val="00A10B58"/>
    <w:rsid w:val="00A10D8F"/>
    <w:rsid w:val="00A10E39"/>
    <w:rsid w:val="00A10FD6"/>
    <w:rsid w:val="00A10FDB"/>
    <w:rsid w:val="00A11061"/>
    <w:rsid w:val="00A110EB"/>
    <w:rsid w:val="00A11107"/>
    <w:rsid w:val="00A11200"/>
    <w:rsid w:val="00A1134E"/>
    <w:rsid w:val="00A11354"/>
    <w:rsid w:val="00A113B6"/>
    <w:rsid w:val="00A113D4"/>
    <w:rsid w:val="00A113F9"/>
    <w:rsid w:val="00A113FE"/>
    <w:rsid w:val="00A11470"/>
    <w:rsid w:val="00A11515"/>
    <w:rsid w:val="00A118B2"/>
    <w:rsid w:val="00A118C6"/>
    <w:rsid w:val="00A11929"/>
    <w:rsid w:val="00A119A6"/>
    <w:rsid w:val="00A11B19"/>
    <w:rsid w:val="00A11E2B"/>
    <w:rsid w:val="00A11E38"/>
    <w:rsid w:val="00A11E81"/>
    <w:rsid w:val="00A11F07"/>
    <w:rsid w:val="00A12010"/>
    <w:rsid w:val="00A120FC"/>
    <w:rsid w:val="00A12251"/>
    <w:rsid w:val="00A12400"/>
    <w:rsid w:val="00A12453"/>
    <w:rsid w:val="00A1258A"/>
    <w:rsid w:val="00A1264A"/>
    <w:rsid w:val="00A12661"/>
    <w:rsid w:val="00A127D2"/>
    <w:rsid w:val="00A1291C"/>
    <w:rsid w:val="00A12A1E"/>
    <w:rsid w:val="00A12A2F"/>
    <w:rsid w:val="00A12A72"/>
    <w:rsid w:val="00A12AB8"/>
    <w:rsid w:val="00A12B0C"/>
    <w:rsid w:val="00A12B44"/>
    <w:rsid w:val="00A12BA0"/>
    <w:rsid w:val="00A12BED"/>
    <w:rsid w:val="00A12C3D"/>
    <w:rsid w:val="00A12C9A"/>
    <w:rsid w:val="00A12DB4"/>
    <w:rsid w:val="00A12DD8"/>
    <w:rsid w:val="00A12E0B"/>
    <w:rsid w:val="00A12F30"/>
    <w:rsid w:val="00A12F88"/>
    <w:rsid w:val="00A12FA7"/>
    <w:rsid w:val="00A12FC9"/>
    <w:rsid w:val="00A130E9"/>
    <w:rsid w:val="00A131B9"/>
    <w:rsid w:val="00A131CC"/>
    <w:rsid w:val="00A13233"/>
    <w:rsid w:val="00A13298"/>
    <w:rsid w:val="00A132AE"/>
    <w:rsid w:val="00A13308"/>
    <w:rsid w:val="00A134A5"/>
    <w:rsid w:val="00A1358A"/>
    <w:rsid w:val="00A13628"/>
    <w:rsid w:val="00A13668"/>
    <w:rsid w:val="00A13688"/>
    <w:rsid w:val="00A136A9"/>
    <w:rsid w:val="00A13704"/>
    <w:rsid w:val="00A13747"/>
    <w:rsid w:val="00A137D0"/>
    <w:rsid w:val="00A13837"/>
    <w:rsid w:val="00A13870"/>
    <w:rsid w:val="00A1396F"/>
    <w:rsid w:val="00A139B7"/>
    <w:rsid w:val="00A13A7C"/>
    <w:rsid w:val="00A13AFF"/>
    <w:rsid w:val="00A13B14"/>
    <w:rsid w:val="00A13B61"/>
    <w:rsid w:val="00A13CB9"/>
    <w:rsid w:val="00A13CEF"/>
    <w:rsid w:val="00A13D56"/>
    <w:rsid w:val="00A13D7E"/>
    <w:rsid w:val="00A13DA1"/>
    <w:rsid w:val="00A13E03"/>
    <w:rsid w:val="00A13E7C"/>
    <w:rsid w:val="00A13EB8"/>
    <w:rsid w:val="00A13EC9"/>
    <w:rsid w:val="00A13F6E"/>
    <w:rsid w:val="00A13F78"/>
    <w:rsid w:val="00A13FEA"/>
    <w:rsid w:val="00A14070"/>
    <w:rsid w:val="00A14126"/>
    <w:rsid w:val="00A141FD"/>
    <w:rsid w:val="00A143F8"/>
    <w:rsid w:val="00A14410"/>
    <w:rsid w:val="00A1442D"/>
    <w:rsid w:val="00A144CA"/>
    <w:rsid w:val="00A14620"/>
    <w:rsid w:val="00A14641"/>
    <w:rsid w:val="00A1467E"/>
    <w:rsid w:val="00A147C2"/>
    <w:rsid w:val="00A147E9"/>
    <w:rsid w:val="00A1489B"/>
    <w:rsid w:val="00A1491E"/>
    <w:rsid w:val="00A14D91"/>
    <w:rsid w:val="00A14E00"/>
    <w:rsid w:val="00A14EA9"/>
    <w:rsid w:val="00A1506D"/>
    <w:rsid w:val="00A150D9"/>
    <w:rsid w:val="00A150EF"/>
    <w:rsid w:val="00A15199"/>
    <w:rsid w:val="00A152AC"/>
    <w:rsid w:val="00A152CF"/>
    <w:rsid w:val="00A15413"/>
    <w:rsid w:val="00A1548A"/>
    <w:rsid w:val="00A1559F"/>
    <w:rsid w:val="00A1560A"/>
    <w:rsid w:val="00A1560D"/>
    <w:rsid w:val="00A1567F"/>
    <w:rsid w:val="00A156E3"/>
    <w:rsid w:val="00A157D8"/>
    <w:rsid w:val="00A1586E"/>
    <w:rsid w:val="00A15A00"/>
    <w:rsid w:val="00A15A54"/>
    <w:rsid w:val="00A15A88"/>
    <w:rsid w:val="00A15AA9"/>
    <w:rsid w:val="00A15B59"/>
    <w:rsid w:val="00A15D14"/>
    <w:rsid w:val="00A15EC2"/>
    <w:rsid w:val="00A15F2F"/>
    <w:rsid w:val="00A15FA5"/>
    <w:rsid w:val="00A15FB2"/>
    <w:rsid w:val="00A15FFA"/>
    <w:rsid w:val="00A16139"/>
    <w:rsid w:val="00A161CC"/>
    <w:rsid w:val="00A161CD"/>
    <w:rsid w:val="00A162EF"/>
    <w:rsid w:val="00A16377"/>
    <w:rsid w:val="00A164AD"/>
    <w:rsid w:val="00A1653A"/>
    <w:rsid w:val="00A1654B"/>
    <w:rsid w:val="00A1664B"/>
    <w:rsid w:val="00A167BC"/>
    <w:rsid w:val="00A1683B"/>
    <w:rsid w:val="00A16843"/>
    <w:rsid w:val="00A16869"/>
    <w:rsid w:val="00A16880"/>
    <w:rsid w:val="00A168F8"/>
    <w:rsid w:val="00A16900"/>
    <w:rsid w:val="00A16912"/>
    <w:rsid w:val="00A1698B"/>
    <w:rsid w:val="00A16A26"/>
    <w:rsid w:val="00A16A42"/>
    <w:rsid w:val="00A16AF1"/>
    <w:rsid w:val="00A16B1D"/>
    <w:rsid w:val="00A16BB2"/>
    <w:rsid w:val="00A16C27"/>
    <w:rsid w:val="00A16C7F"/>
    <w:rsid w:val="00A16CC8"/>
    <w:rsid w:val="00A16E60"/>
    <w:rsid w:val="00A16F19"/>
    <w:rsid w:val="00A16F87"/>
    <w:rsid w:val="00A17017"/>
    <w:rsid w:val="00A170AB"/>
    <w:rsid w:val="00A170C4"/>
    <w:rsid w:val="00A17191"/>
    <w:rsid w:val="00A172A1"/>
    <w:rsid w:val="00A173B9"/>
    <w:rsid w:val="00A17526"/>
    <w:rsid w:val="00A17568"/>
    <w:rsid w:val="00A17582"/>
    <w:rsid w:val="00A1765C"/>
    <w:rsid w:val="00A1771A"/>
    <w:rsid w:val="00A17735"/>
    <w:rsid w:val="00A17748"/>
    <w:rsid w:val="00A1774E"/>
    <w:rsid w:val="00A177E8"/>
    <w:rsid w:val="00A17873"/>
    <w:rsid w:val="00A17883"/>
    <w:rsid w:val="00A178F8"/>
    <w:rsid w:val="00A17960"/>
    <w:rsid w:val="00A17A7E"/>
    <w:rsid w:val="00A17C3F"/>
    <w:rsid w:val="00A17CC0"/>
    <w:rsid w:val="00A17CF8"/>
    <w:rsid w:val="00A17DA6"/>
    <w:rsid w:val="00A17DD4"/>
    <w:rsid w:val="00A17EE8"/>
    <w:rsid w:val="00A17F11"/>
    <w:rsid w:val="00A17F65"/>
    <w:rsid w:val="00A17F9A"/>
    <w:rsid w:val="00A20050"/>
    <w:rsid w:val="00A2022E"/>
    <w:rsid w:val="00A2026B"/>
    <w:rsid w:val="00A2031E"/>
    <w:rsid w:val="00A2034A"/>
    <w:rsid w:val="00A203A8"/>
    <w:rsid w:val="00A20466"/>
    <w:rsid w:val="00A2049A"/>
    <w:rsid w:val="00A204CA"/>
    <w:rsid w:val="00A2050D"/>
    <w:rsid w:val="00A205BE"/>
    <w:rsid w:val="00A206B3"/>
    <w:rsid w:val="00A206E0"/>
    <w:rsid w:val="00A2070B"/>
    <w:rsid w:val="00A2076C"/>
    <w:rsid w:val="00A20858"/>
    <w:rsid w:val="00A2086A"/>
    <w:rsid w:val="00A208F6"/>
    <w:rsid w:val="00A20A01"/>
    <w:rsid w:val="00A20AE5"/>
    <w:rsid w:val="00A20B8E"/>
    <w:rsid w:val="00A20BA7"/>
    <w:rsid w:val="00A20BEA"/>
    <w:rsid w:val="00A20C47"/>
    <w:rsid w:val="00A20C51"/>
    <w:rsid w:val="00A20CC2"/>
    <w:rsid w:val="00A20D89"/>
    <w:rsid w:val="00A20EB4"/>
    <w:rsid w:val="00A20EDA"/>
    <w:rsid w:val="00A20EF7"/>
    <w:rsid w:val="00A20FB2"/>
    <w:rsid w:val="00A20FD5"/>
    <w:rsid w:val="00A20FF5"/>
    <w:rsid w:val="00A21027"/>
    <w:rsid w:val="00A21029"/>
    <w:rsid w:val="00A210BB"/>
    <w:rsid w:val="00A2116E"/>
    <w:rsid w:val="00A211FA"/>
    <w:rsid w:val="00A2131F"/>
    <w:rsid w:val="00A213DD"/>
    <w:rsid w:val="00A213DE"/>
    <w:rsid w:val="00A2147F"/>
    <w:rsid w:val="00A214C2"/>
    <w:rsid w:val="00A214D3"/>
    <w:rsid w:val="00A218B0"/>
    <w:rsid w:val="00A218F0"/>
    <w:rsid w:val="00A21979"/>
    <w:rsid w:val="00A21985"/>
    <w:rsid w:val="00A21A35"/>
    <w:rsid w:val="00A21C93"/>
    <w:rsid w:val="00A21CD5"/>
    <w:rsid w:val="00A21DE0"/>
    <w:rsid w:val="00A21DE1"/>
    <w:rsid w:val="00A21E7C"/>
    <w:rsid w:val="00A21FAB"/>
    <w:rsid w:val="00A22055"/>
    <w:rsid w:val="00A2210D"/>
    <w:rsid w:val="00A22218"/>
    <w:rsid w:val="00A22219"/>
    <w:rsid w:val="00A22275"/>
    <w:rsid w:val="00A222B5"/>
    <w:rsid w:val="00A222BA"/>
    <w:rsid w:val="00A223B4"/>
    <w:rsid w:val="00A22517"/>
    <w:rsid w:val="00A2254B"/>
    <w:rsid w:val="00A22579"/>
    <w:rsid w:val="00A22586"/>
    <w:rsid w:val="00A225B1"/>
    <w:rsid w:val="00A225EE"/>
    <w:rsid w:val="00A2276B"/>
    <w:rsid w:val="00A227A8"/>
    <w:rsid w:val="00A229A4"/>
    <w:rsid w:val="00A229A8"/>
    <w:rsid w:val="00A22B0E"/>
    <w:rsid w:val="00A22B5F"/>
    <w:rsid w:val="00A22BA9"/>
    <w:rsid w:val="00A22CB8"/>
    <w:rsid w:val="00A22D36"/>
    <w:rsid w:val="00A22D5A"/>
    <w:rsid w:val="00A22D84"/>
    <w:rsid w:val="00A22F04"/>
    <w:rsid w:val="00A22F99"/>
    <w:rsid w:val="00A22FDD"/>
    <w:rsid w:val="00A23224"/>
    <w:rsid w:val="00A23244"/>
    <w:rsid w:val="00A232A2"/>
    <w:rsid w:val="00A2338F"/>
    <w:rsid w:val="00A233EB"/>
    <w:rsid w:val="00A234D5"/>
    <w:rsid w:val="00A2351B"/>
    <w:rsid w:val="00A23646"/>
    <w:rsid w:val="00A2368A"/>
    <w:rsid w:val="00A237B1"/>
    <w:rsid w:val="00A237D2"/>
    <w:rsid w:val="00A23821"/>
    <w:rsid w:val="00A23850"/>
    <w:rsid w:val="00A238EF"/>
    <w:rsid w:val="00A239C4"/>
    <w:rsid w:val="00A23A63"/>
    <w:rsid w:val="00A23B3D"/>
    <w:rsid w:val="00A23BAE"/>
    <w:rsid w:val="00A23C3D"/>
    <w:rsid w:val="00A23C68"/>
    <w:rsid w:val="00A23CDE"/>
    <w:rsid w:val="00A23D35"/>
    <w:rsid w:val="00A23E32"/>
    <w:rsid w:val="00A23E42"/>
    <w:rsid w:val="00A23E95"/>
    <w:rsid w:val="00A23EA1"/>
    <w:rsid w:val="00A23ED2"/>
    <w:rsid w:val="00A23ED3"/>
    <w:rsid w:val="00A23EE0"/>
    <w:rsid w:val="00A23FFF"/>
    <w:rsid w:val="00A240BA"/>
    <w:rsid w:val="00A243D6"/>
    <w:rsid w:val="00A2445E"/>
    <w:rsid w:val="00A2446B"/>
    <w:rsid w:val="00A244D5"/>
    <w:rsid w:val="00A24598"/>
    <w:rsid w:val="00A245C5"/>
    <w:rsid w:val="00A24727"/>
    <w:rsid w:val="00A24767"/>
    <w:rsid w:val="00A247C8"/>
    <w:rsid w:val="00A248A6"/>
    <w:rsid w:val="00A249A1"/>
    <w:rsid w:val="00A249AC"/>
    <w:rsid w:val="00A249B0"/>
    <w:rsid w:val="00A24A76"/>
    <w:rsid w:val="00A24BED"/>
    <w:rsid w:val="00A24C8F"/>
    <w:rsid w:val="00A24CD0"/>
    <w:rsid w:val="00A24D5A"/>
    <w:rsid w:val="00A24DB9"/>
    <w:rsid w:val="00A24DE1"/>
    <w:rsid w:val="00A24F60"/>
    <w:rsid w:val="00A2502A"/>
    <w:rsid w:val="00A2508F"/>
    <w:rsid w:val="00A25162"/>
    <w:rsid w:val="00A2523D"/>
    <w:rsid w:val="00A25389"/>
    <w:rsid w:val="00A2539E"/>
    <w:rsid w:val="00A253CB"/>
    <w:rsid w:val="00A25403"/>
    <w:rsid w:val="00A2552E"/>
    <w:rsid w:val="00A255C2"/>
    <w:rsid w:val="00A2563D"/>
    <w:rsid w:val="00A25692"/>
    <w:rsid w:val="00A256F9"/>
    <w:rsid w:val="00A25755"/>
    <w:rsid w:val="00A25797"/>
    <w:rsid w:val="00A2585A"/>
    <w:rsid w:val="00A258E1"/>
    <w:rsid w:val="00A258E5"/>
    <w:rsid w:val="00A25926"/>
    <w:rsid w:val="00A25A1B"/>
    <w:rsid w:val="00A25A92"/>
    <w:rsid w:val="00A25B52"/>
    <w:rsid w:val="00A25C8D"/>
    <w:rsid w:val="00A25D45"/>
    <w:rsid w:val="00A25E2F"/>
    <w:rsid w:val="00A25F41"/>
    <w:rsid w:val="00A25F73"/>
    <w:rsid w:val="00A26095"/>
    <w:rsid w:val="00A260D7"/>
    <w:rsid w:val="00A260E5"/>
    <w:rsid w:val="00A260FE"/>
    <w:rsid w:val="00A2616A"/>
    <w:rsid w:val="00A26196"/>
    <w:rsid w:val="00A261C5"/>
    <w:rsid w:val="00A26222"/>
    <w:rsid w:val="00A2646F"/>
    <w:rsid w:val="00A26477"/>
    <w:rsid w:val="00A26510"/>
    <w:rsid w:val="00A26591"/>
    <w:rsid w:val="00A265C1"/>
    <w:rsid w:val="00A266BC"/>
    <w:rsid w:val="00A266C9"/>
    <w:rsid w:val="00A2685E"/>
    <w:rsid w:val="00A268BE"/>
    <w:rsid w:val="00A268C0"/>
    <w:rsid w:val="00A268F7"/>
    <w:rsid w:val="00A26992"/>
    <w:rsid w:val="00A26A39"/>
    <w:rsid w:val="00A26B9C"/>
    <w:rsid w:val="00A26BCA"/>
    <w:rsid w:val="00A26D84"/>
    <w:rsid w:val="00A26DA2"/>
    <w:rsid w:val="00A26DEA"/>
    <w:rsid w:val="00A26F83"/>
    <w:rsid w:val="00A26FA2"/>
    <w:rsid w:val="00A26FD5"/>
    <w:rsid w:val="00A2702F"/>
    <w:rsid w:val="00A27044"/>
    <w:rsid w:val="00A270C6"/>
    <w:rsid w:val="00A27149"/>
    <w:rsid w:val="00A27256"/>
    <w:rsid w:val="00A272B9"/>
    <w:rsid w:val="00A272C6"/>
    <w:rsid w:val="00A27331"/>
    <w:rsid w:val="00A2741E"/>
    <w:rsid w:val="00A27479"/>
    <w:rsid w:val="00A275DC"/>
    <w:rsid w:val="00A275F6"/>
    <w:rsid w:val="00A2764F"/>
    <w:rsid w:val="00A276D6"/>
    <w:rsid w:val="00A2775C"/>
    <w:rsid w:val="00A27788"/>
    <w:rsid w:val="00A27858"/>
    <w:rsid w:val="00A278E8"/>
    <w:rsid w:val="00A27A3E"/>
    <w:rsid w:val="00A27ADE"/>
    <w:rsid w:val="00A27B26"/>
    <w:rsid w:val="00A27B4B"/>
    <w:rsid w:val="00A27C81"/>
    <w:rsid w:val="00A27D44"/>
    <w:rsid w:val="00A27DAB"/>
    <w:rsid w:val="00A27E95"/>
    <w:rsid w:val="00A27F34"/>
    <w:rsid w:val="00A27FA3"/>
    <w:rsid w:val="00A30084"/>
    <w:rsid w:val="00A300A0"/>
    <w:rsid w:val="00A300B4"/>
    <w:rsid w:val="00A3021A"/>
    <w:rsid w:val="00A30246"/>
    <w:rsid w:val="00A30272"/>
    <w:rsid w:val="00A302A1"/>
    <w:rsid w:val="00A302A9"/>
    <w:rsid w:val="00A3038F"/>
    <w:rsid w:val="00A30499"/>
    <w:rsid w:val="00A3059E"/>
    <w:rsid w:val="00A305F3"/>
    <w:rsid w:val="00A3060E"/>
    <w:rsid w:val="00A30688"/>
    <w:rsid w:val="00A30737"/>
    <w:rsid w:val="00A30746"/>
    <w:rsid w:val="00A3077D"/>
    <w:rsid w:val="00A3081F"/>
    <w:rsid w:val="00A308D7"/>
    <w:rsid w:val="00A308F6"/>
    <w:rsid w:val="00A3091E"/>
    <w:rsid w:val="00A3093A"/>
    <w:rsid w:val="00A30960"/>
    <w:rsid w:val="00A309ED"/>
    <w:rsid w:val="00A30A60"/>
    <w:rsid w:val="00A30AD5"/>
    <w:rsid w:val="00A30B95"/>
    <w:rsid w:val="00A30C04"/>
    <w:rsid w:val="00A30C0A"/>
    <w:rsid w:val="00A30C3A"/>
    <w:rsid w:val="00A30C3C"/>
    <w:rsid w:val="00A30C5F"/>
    <w:rsid w:val="00A30D93"/>
    <w:rsid w:val="00A30E17"/>
    <w:rsid w:val="00A30E64"/>
    <w:rsid w:val="00A30F66"/>
    <w:rsid w:val="00A30F84"/>
    <w:rsid w:val="00A30FA0"/>
    <w:rsid w:val="00A312F1"/>
    <w:rsid w:val="00A3130B"/>
    <w:rsid w:val="00A313AF"/>
    <w:rsid w:val="00A31474"/>
    <w:rsid w:val="00A314BD"/>
    <w:rsid w:val="00A31506"/>
    <w:rsid w:val="00A3162D"/>
    <w:rsid w:val="00A316AC"/>
    <w:rsid w:val="00A316FD"/>
    <w:rsid w:val="00A317F4"/>
    <w:rsid w:val="00A3183F"/>
    <w:rsid w:val="00A31847"/>
    <w:rsid w:val="00A31918"/>
    <w:rsid w:val="00A31956"/>
    <w:rsid w:val="00A31A26"/>
    <w:rsid w:val="00A31A41"/>
    <w:rsid w:val="00A31AC4"/>
    <w:rsid w:val="00A31AC6"/>
    <w:rsid w:val="00A31BA8"/>
    <w:rsid w:val="00A31BED"/>
    <w:rsid w:val="00A31C09"/>
    <w:rsid w:val="00A31C29"/>
    <w:rsid w:val="00A31C2D"/>
    <w:rsid w:val="00A31C7C"/>
    <w:rsid w:val="00A31C86"/>
    <w:rsid w:val="00A31DAC"/>
    <w:rsid w:val="00A31E16"/>
    <w:rsid w:val="00A31E59"/>
    <w:rsid w:val="00A31EFE"/>
    <w:rsid w:val="00A32073"/>
    <w:rsid w:val="00A3211E"/>
    <w:rsid w:val="00A321A7"/>
    <w:rsid w:val="00A32248"/>
    <w:rsid w:val="00A322ED"/>
    <w:rsid w:val="00A322F9"/>
    <w:rsid w:val="00A324A5"/>
    <w:rsid w:val="00A324D3"/>
    <w:rsid w:val="00A3258B"/>
    <w:rsid w:val="00A325AE"/>
    <w:rsid w:val="00A325BC"/>
    <w:rsid w:val="00A325EB"/>
    <w:rsid w:val="00A32616"/>
    <w:rsid w:val="00A326C5"/>
    <w:rsid w:val="00A32708"/>
    <w:rsid w:val="00A32878"/>
    <w:rsid w:val="00A328A7"/>
    <w:rsid w:val="00A328E2"/>
    <w:rsid w:val="00A32A31"/>
    <w:rsid w:val="00A32AD6"/>
    <w:rsid w:val="00A32B3B"/>
    <w:rsid w:val="00A32BBB"/>
    <w:rsid w:val="00A32BF4"/>
    <w:rsid w:val="00A32C1F"/>
    <w:rsid w:val="00A32C6E"/>
    <w:rsid w:val="00A32C84"/>
    <w:rsid w:val="00A32CA7"/>
    <w:rsid w:val="00A32CB2"/>
    <w:rsid w:val="00A32CD8"/>
    <w:rsid w:val="00A32DD2"/>
    <w:rsid w:val="00A32E28"/>
    <w:rsid w:val="00A32EA4"/>
    <w:rsid w:val="00A32EF7"/>
    <w:rsid w:val="00A32F8B"/>
    <w:rsid w:val="00A32FAA"/>
    <w:rsid w:val="00A3312C"/>
    <w:rsid w:val="00A33179"/>
    <w:rsid w:val="00A3328A"/>
    <w:rsid w:val="00A3333E"/>
    <w:rsid w:val="00A3336C"/>
    <w:rsid w:val="00A333CA"/>
    <w:rsid w:val="00A334CC"/>
    <w:rsid w:val="00A334E0"/>
    <w:rsid w:val="00A334F4"/>
    <w:rsid w:val="00A334FB"/>
    <w:rsid w:val="00A33529"/>
    <w:rsid w:val="00A33697"/>
    <w:rsid w:val="00A336A1"/>
    <w:rsid w:val="00A336F0"/>
    <w:rsid w:val="00A3375B"/>
    <w:rsid w:val="00A33764"/>
    <w:rsid w:val="00A337C0"/>
    <w:rsid w:val="00A337F6"/>
    <w:rsid w:val="00A338AD"/>
    <w:rsid w:val="00A33AD5"/>
    <w:rsid w:val="00A33ADA"/>
    <w:rsid w:val="00A33B2A"/>
    <w:rsid w:val="00A33B65"/>
    <w:rsid w:val="00A33CC2"/>
    <w:rsid w:val="00A33D63"/>
    <w:rsid w:val="00A33D97"/>
    <w:rsid w:val="00A33DD1"/>
    <w:rsid w:val="00A33E93"/>
    <w:rsid w:val="00A33F07"/>
    <w:rsid w:val="00A33F8A"/>
    <w:rsid w:val="00A33F92"/>
    <w:rsid w:val="00A33FD0"/>
    <w:rsid w:val="00A34007"/>
    <w:rsid w:val="00A341E3"/>
    <w:rsid w:val="00A34219"/>
    <w:rsid w:val="00A3425A"/>
    <w:rsid w:val="00A34371"/>
    <w:rsid w:val="00A34399"/>
    <w:rsid w:val="00A344C9"/>
    <w:rsid w:val="00A344ED"/>
    <w:rsid w:val="00A34522"/>
    <w:rsid w:val="00A345B2"/>
    <w:rsid w:val="00A34602"/>
    <w:rsid w:val="00A34626"/>
    <w:rsid w:val="00A34698"/>
    <w:rsid w:val="00A346CD"/>
    <w:rsid w:val="00A3470E"/>
    <w:rsid w:val="00A347AE"/>
    <w:rsid w:val="00A347DA"/>
    <w:rsid w:val="00A3484B"/>
    <w:rsid w:val="00A34928"/>
    <w:rsid w:val="00A349AC"/>
    <w:rsid w:val="00A349B9"/>
    <w:rsid w:val="00A34A96"/>
    <w:rsid w:val="00A34AF3"/>
    <w:rsid w:val="00A34B8A"/>
    <w:rsid w:val="00A34BC0"/>
    <w:rsid w:val="00A34C7C"/>
    <w:rsid w:val="00A34CC4"/>
    <w:rsid w:val="00A34CDD"/>
    <w:rsid w:val="00A34E25"/>
    <w:rsid w:val="00A34E72"/>
    <w:rsid w:val="00A34E7A"/>
    <w:rsid w:val="00A34F0D"/>
    <w:rsid w:val="00A34F38"/>
    <w:rsid w:val="00A34F8E"/>
    <w:rsid w:val="00A35009"/>
    <w:rsid w:val="00A350BD"/>
    <w:rsid w:val="00A3522D"/>
    <w:rsid w:val="00A35266"/>
    <w:rsid w:val="00A35268"/>
    <w:rsid w:val="00A35299"/>
    <w:rsid w:val="00A35381"/>
    <w:rsid w:val="00A3539F"/>
    <w:rsid w:val="00A3541E"/>
    <w:rsid w:val="00A35427"/>
    <w:rsid w:val="00A3554B"/>
    <w:rsid w:val="00A355EE"/>
    <w:rsid w:val="00A355FC"/>
    <w:rsid w:val="00A356CF"/>
    <w:rsid w:val="00A35876"/>
    <w:rsid w:val="00A35964"/>
    <w:rsid w:val="00A3599F"/>
    <w:rsid w:val="00A359DC"/>
    <w:rsid w:val="00A35B31"/>
    <w:rsid w:val="00A35C4C"/>
    <w:rsid w:val="00A35CFF"/>
    <w:rsid w:val="00A35D07"/>
    <w:rsid w:val="00A35D0A"/>
    <w:rsid w:val="00A35DA9"/>
    <w:rsid w:val="00A35E11"/>
    <w:rsid w:val="00A35ED0"/>
    <w:rsid w:val="00A35F7A"/>
    <w:rsid w:val="00A35FC9"/>
    <w:rsid w:val="00A35FFD"/>
    <w:rsid w:val="00A36044"/>
    <w:rsid w:val="00A360BD"/>
    <w:rsid w:val="00A36219"/>
    <w:rsid w:val="00A36226"/>
    <w:rsid w:val="00A3648F"/>
    <w:rsid w:val="00A364CC"/>
    <w:rsid w:val="00A365B5"/>
    <w:rsid w:val="00A365F9"/>
    <w:rsid w:val="00A366E3"/>
    <w:rsid w:val="00A36723"/>
    <w:rsid w:val="00A36727"/>
    <w:rsid w:val="00A3677B"/>
    <w:rsid w:val="00A367AF"/>
    <w:rsid w:val="00A367C2"/>
    <w:rsid w:val="00A36856"/>
    <w:rsid w:val="00A368D7"/>
    <w:rsid w:val="00A368E0"/>
    <w:rsid w:val="00A3695D"/>
    <w:rsid w:val="00A3696C"/>
    <w:rsid w:val="00A369AB"/>
    <w:rsid w:val="00A36A85"/>
    <w:rsid w:val="00A36AB6"/>
    <w:rsid w:val="00A36ADC"/>
    <w:rsid w:val="00A36B6E"/>
    <w:rsid w:val="00A36BEC"/>
    <w:rsid w:val="00A36C41"/>
    <w:rsid w:val="00A36C9E"/>
    <w:rsid w:val="00A36D90"/>
    <w:rsid w:val="00A36E7E"/>
    <w:rsid w:val="00A36F95"/>
    <w:rsid w:val="00A37047"/>
    <w:rsid w:val="00A37165"/>
    <w:rsid w:val="00A371B0"/>
    <w:rsid w:val="00A37203"/>
    <w:rsid w:val="00A373C8"/>
    <w:rsid w:val="00A37422"/>
    <w:rsid w:val="00A37429"/>
    <w:rsid w:val="00A37479"/>
    <w:rsid w:val="00A374CD"/>
    <w:rsid w:val="00A37571"/>
    <w:rsid w:val="00A375CA"/>
    <w:rsid w:val="00A375F4"/>
    <w:rsid w:val="00A37641"/>
    <w:rsid w:val="00A3769D"/>
    <w:rsid w:val="00A376F3"/>
    <w:rsid w:val="00A377EF"/>
    <w:rsid w:val="00A3783C"/>
    <w:rsid w:val="00A3789E"/>
    <w:rsid w:val="00A379B1"/>
    <w:rsid w:val="00A37BBC"/>
    <w:rsid w:val="00A37BE8"/>
    <w:rsid w:val="00A37C30"/>
    <w:rsid w:val="00A37CC4"/>
    <w:rsid w:val="00A37CF3"/>
    <w:rsid w:val="00A37D52"/>
    <w:rsid w:val="00A37E95"/>
    <w:rsid w:val="00A37FC1"/>
    <w:rsid w:val="00A4001C"/>
    <w:rsid w:val="00A4008B"/>
    <w:rsid w:val="00A40099"/>
    <w:rsid w:val="00A400B3"/>
    <w:rsid w:val="00A4015E"/>
    <w:rsid w:val="00A4016D"/>
    <w:rsid w:val="00A4022C"/>
    <w:rsid w:val="00A40492"/>
    <w:rsid w:val="00A40551"/>
    <w:rsid w:val="00A405AC"/>
    <w:rsid w:val="00A405D9"/>
    <w:rsid w:val="00A4067D"/>
    <w:rsid w:val="00A40750"/>
    <w:rsid w:val="00A40796"/>
    <w:rsid w:val="00A4097F"/>
    <w:rsid w:val="00A409F9"/>
    <w:rsid w:val="00A40A7F"/>
    <w:rsid w:val="00A40AA1"/>
    <w:rsid w:val="00A40AA5"/>
    <w:rsid w:val="00A40AF7"/>
    <w:rsid w:val="00A40B33"/>
    <w:rsid w:val="00A40B40"/>
    <w:rsid w:val="00A40B5C"/>
    <w:rsid w:val="00A40BCA"/>
    <w:rsid w:val="00A40CC1"/>
    <w:rsid w:val="00A40CD8"/>
    <w:rsid w:val="00A40DCC"/>
    <w:rsid w:val="00A40E1B"/>
    <w:rsid w:val="00A40EA8"/>
    <w:rsid w:val="00A40F61"/>
    <w:rsid w:val="00A40F7C"/>
    <w:rsid w:val="00A410A5"/>
    <w:rsid w:val="00A4127E"/>
    <w:rsid w:val="00A412FE"/>
    <w:rsid w:val="00A4130A"/>
    <w:rsid w:val="00A413B4"/>
    <w:rsid w:val="00A413FC"/>
    <w:rsid w:val="00A4149C"/>
    <w:rsid w:val="00A41572"/>
    <w:rsid w:val="00A41573"/>
    <w:rsid w:val="00A4157F"/>
    <w:rsid w:val="00A4178D"/>
    <w:rsid w:val="00A417CA"/>
    <w:rsid w:val="00A41965"/>
    <w:rsid w:val="00A419C3"/>
    <w:rsid w:val="00A41B6F"/>
    <w:rsid w:val="00A41C9D"/>
    <w:rsid w:val="00A41D4F"/>
    <w:rsid w:val="00A41E85"/>
    <w:rsid w:val="00A41F3F"/>
    <w:rsid w:val="00A41FAB"/>
    <w:rsid w:val="00A41FB7"/>
    <w:rsid w:val="00A41FED"/>
    <w:rsid w:val="00A42003"/>
    <w:rsid w:val="00A4203C"/>
    <w:rsid w:val="00A4203D"/>
    <w:rsid w:val="00A420D2"/>
    <w:rsid w:val="00A421AE"/>
    <w:rsid w:val="00A421D9"/>
    <w:rsid w:val="00A42230"/>
    <w:rsid w:val="00A422A1"/>
    <w:rsid w:val="00A42334"/>
    <w:rsid w:val="00A42382"/>
    <w:rsid w:val="00A424A1"/>
    <w:rsid w:val="00A42527"/>
    <w:rsid w:val="00A4257E"/>
    <w:rsid w:val="00A42640"/>
    <w:rsid w:val="00A426F0"/>
    <w:rsid w:val="00A427B7"/>
    <w:rsid w:val="00A4295D"/>
    <w:rsid w:val="00A42A63"/>
    <w:rsid w:val="00A42B54"/>
    <w:rsid w:val="00A42B8A"/>
    <w:rsid w:val="00A42C1A"/>
    <w:rsid w:val="00A42C39"/>
    <w:rsid w:val="00A42D56"/>
    <w:rsid w:val="00A42E21"/>
    <w:rsid w:val="00A42EB8"/>
    <w:rsid w:val="00A42EEB"/>
    <w:rsid w:val="00A42EF1"/>
    <w:rsid w:val="00A42F31"/>
    <w:rsid w:val="00A42F65"/>
    <w:rsid w:val="00A42FF4"/>
    <w:rsid w:val="00A43121"/>
    <w:rsid w:val="00A43145"/>
    <w:rsid w:val="00A43230"/>
    <w:rsid w:val="00A432B9"/>
    <w:rsid w:val="00A432C5"/>
    <w:rsid w:val="00A4337C"/>
    <w:rsid w:val="00A4339B"/>
    <w:rsid w:val="00A43403"/>
    <w:rsid w:val="00A43428"/>
    <w:rsid w:val="00A434F7"/>
    <w:rsid w:val="00A43581"/>
    <w:rsid w:val="00A43601"/>
    <w:rsid w:val="00A438AA"/>
    <w:rsid w:val="00A438D8"/>
    <w:rsid w:val="00A43997"/>
    <w:rsid w:val="00A439BC"/>
    <w:rsid w:val="00A43A33"/>
    <w:rsid w:val="00A43A79"/>
    <w:rsid w:val="00A43A82"/>
    <w:rsid w:val="00A43B05"/>
    <w:rsid w:val="00A43B6D"/>
    <w:rsid w:val="00A43BFB"/>
    <w:rsid w:val="00A43CBB"/>
    <w:rsid w:val="00A43CD6"/>
    <w:rsid w:val="00A43CDD"/>
    <w:rsid w:val="00A43D13"/>
    <w:rsid w:val="00A43DE5"/>
    <w:rsid w:val="00A43E52"/>
    <w:rsid w:val="00A43E62"/>
    <w:rsid w:val="00A43F0A"/>
    <w:rsid w:val="00A440D2"/>
    <w:rsid w:val="00A441D4"/>
    <w:rsid w:val="00A441D7"/>
    <w:rsid w:val="00A4432D"/>
    <w:rsid w:val="00A4433D"/>
    <w:rsid w:val="00A443B0"/>
    <w:rsid w:val="00A4444E"/>
    <w:rsid w:val="00A44464"/>
    <w:rsid w:val="00A44613"/>
    <w:rsid w:val="00A44663"/>
    <w:rsid w:val="00A446DE"/>
    <w:rsid w:val="00A44778"/>
    <w:rsid w:val="00A44795"/>
    <w:rsid w:val="00A44844"/>
    <w:rsid w:val="00A448D8"/>
    <w:rsid w:val="00A449A4"/>
    <w:rsid w:val="00A44A01"/>
    <w:rsid w:val="00A44A19"/>
    <w:rsid w:val="00A44C31"/>
    <w:rsid w:val="00A44CAD"/>
    <w:rsid w:val="00A44CBA"/>
    <w:rsid w:val="00A44DD6"/>
    <w:rsid w:val="00A44E0B"/>
    <w:rsid w:val="00A44E1D"/>
    <w:rsid w:val="00A44EAC"/>
    <w:rsid w:val="00A44EFA"/>
    <w:rsid w:val="00A44F3E"/>
    <w:rsid w:val="00A44F9C"/>
    <w:rsid w:val="00A44FF2"/>
    <w:rsid w:val="00A45137"/>
    <w:rsid w:val="00A451E8"/>
    <w:rsid w:val="00A4521C"/>
    <w:rsid w:val="00A452DA"/>
    <w:rsid w:val="00A453D8"/>
    <w:rsid w:val="00A45447"/>
    <w:rsid w:val="00A45486"/>
    <w:rsid w:val="00A454C4"/>
    <w:rsid w:val="00A454E0"/>
    <w:rsid w:val="00A45558"/>
    <w:rsid w:val="00A45628"/>
    <w:rsid w:val="00A45656"/>
    <w:rsid w:val="00A45670"/>
    <w:rsid w:val="00A457BD"/>
    <w:rsid w:val="00A45879"/>
    <w:rsid w:val="00A458C6"/>
    <w:rsid w:val="00A458D7"/>
    <w:rsid w:val="00A45929"/>
    <w:rsid w:val="00A459D2"/>
    <w:rsid w:val="00A45A68"/>
    <w:rsid w:val="00A45B35"/>
    <w:rsid w:val="00A45B8B"/>
    <w:rsid w:val="00A45BFB"/>
    <w:rsid w:val="00A45C38"/>
    <w:rsid w:val="00A45C4E"/>
    <w:rsid w:val="00A45C5B"/>
    <w:rsid w:val="00A45E1F"/>
    <w:rsid w:val="00A45E78"/>
    <w:rsid w:val="00A46095"/>
    <w:rsid w:val="00A461DD"/>
    <w:rsid w:val="00A46289"/>
    <w:rsid w:val="00A46390"/>
    <w:rsid w:val="00A46488"/>
    <w:rsid w:val="00A4655D"/>
    <w:rsid w:val="00A46576"/>
    <w:rsid w:val="00A465A2"/>
    <w:rsid w:val="00A46659"/>
    <w:rsid w:val="00A46770"/>
    <w:rsid w:val="00A467CB"/>
    <w:rsid w:val="00A4681C"/>
    <w:rsid w:val="00A4683D"/>
    <w:rsid w:val="00A468BD"/>
    <w:rsid w:val="00A469A5"/>
    <w:rsid w:val="00A46A2E"/>
    <w:rsid w:val="00A46A48"/>
    <w:rsid w:val="00A46A6A"/>
    <w:rsid w:val="00A46A78"/>
    <w:rsid w:val="00A46ABB"/>
    <w:rsid w:val="00A46B40"/>
    <w:rsid w:val="00A46B45"/>
    <w:rsid w:val="00A46C5A"/>
    <w:rsid w:val="00A46CE7"/>
    <w:rsid w:val="00A46DFD"/>
    <w:rsid w:val="00A46E05"/>
    <w:rsid w:val="00A46E62"/>
    <w:rsid w:val="00A46F16"/>
    <w:rsid w:val="00A46F50"/>
    <w:rsid w:val="00A46F5D"/>
    <w:rsid w:val="00A46F95"/>
    <w:rsid w:val="00A47047"/>
    <w:rsid w:val="00A470CA"/>
    <w:rsid w:val="00A4712D"/>
    <w:rsid w:val="00A471CF"/>
    <w:rsid w:val="00A472F5"/>
    <w:rsid w:val="00A47311"/>
    <w:rsid w:val="00A4732C"/>
    <w:rsid w:val="00A4735B"/>
    <w:rsid w:val="00A47497"/>
    <w:rsid w:val="00A475F2"/>
    <w:rsid w:val="00A476B5"/>
    <w:rsid w:val="00A47824"/>
    <w:rsid w:val="00A4782F"/>
    <w:rsid w:val="00A4786B"/>
    <w:rsid w:val="00A47887"/>
    <w:rsid w:val="00A479F9"/>
    <w:rsid w:val="00A47A62"/>
    <w:rsid w:val="00A47BC1"/>
    <w:rsid w:val="00A47BE7"/>
    <w:rsid w:val="00A47D79"/>
    <w:rsid w:val="00A47DCC"/>
    <w:rsid w:val="00A47E1C"/>
    <w:rsid w:val="00A47E58"/>
    <w:rsid w:val="00A47E5D"/>
    <w:rsid w:val="00A47E62"/>
    <w:rsid w:val="00A47EE1"/>
    <w:rsid w:val="00A47F4B"/>
    <w:rsid w:val="00A47F95"/>
    <w:rsid w:val="00A47FEB"/>
    <w:rsid w:val="00A5003E"/>
    <w:rsid w:val="00A500B0"/>
    <w:rsid w:val="00A50182"/>
    <w:rsid w:val="00A503EF"/>
    <w:rsid w:val="00A50409"/>
    <w:rsid w:val="00A50436"/>
    <w:rsid w:val="00A5048B"/>
    <w:rsid w:val="00A505E5"/>
    <w:rsid w:val="00A50621"/>
    <w:rsid w:val="00A50659"/>
    <w:rsid w:val="00A507ED"/>
    <w:rsid w:val="00A5081C"/>
    <w:rsid w:val="00A5082A"/>
    <w:rsid w:val="00A508E1"/>
    <w:rsid w:val="00A5091A"/>
    <w:rsid w:val="00A509B8"/>
    <w:rsid w:val="00A509DF"/>
    <w:rsid w:val="00A509E1"/>
    <w:rsid w:val="00A50A2A"/>
    <w:rsid w:val="00A50B65"/>
    <w:rsid w:val="00A50E59"/>
    <w:rsid w:val="00A50E76"/>
    <w:rsid w:val="00A51020"/>
    <w:rsid w:val="00A510DB"/>
    <w:rsid w:val="00A51151"/>
    <w:rsid w:val="00A5123F"/>
    <w:rsid w:val="00A5124D"/>
    <w:rsid w:val="00A51435"/>
    <w:rsid w:val="00A514C4"/>
    <w:rsid w:val="00A514C9"/>
    <w:rsid w:val="00A515AD"/>
    <w:rsid w:val="00A5164D"/>
    <w:rsid w:val="00A517A3"/>
    <w:rsid w:val="00A517A4"/>
    <w:rsid w:val="00A517B3"/>
    <w:rsid w:val="00A517DE"/>
    <w:rsid w:val="00A5181A"/>
    <w:rsid w:val="00A51822"/>
    <w:rsid w:val="00A5182C"/>
    <w:rsid w:val="00A51884"/>
    <w:rsid w:val="00A519C5"/>
    <w:rsid w:val="00A51A6B"/>
    <w:rsid w:val="00A51AC5"/>
    <w:rsid w:val="00A51B21"/>
    <w:rsid w:val="00A51B57"/>
    <w:rsid w:val="00A51BB1"/>
    <w:rsid w:val="00A51C08"/>
    <w:rsid w:val="00A51C2A"/>
    <w:rsid w:val="00A51C2B"/>
    <w:rsid w:val="00A51C65"/>
    <w:rsid w:val="00A51CFD"/>
    <w:rsid w:val="00A51E87"/>
    <w:rsid w:val="00A51EAF"/>
    <w:rsid w:val="00A51FAE"/>
    <w:rsid w:val="00A52040"/>
    <w:rsid w:val="00A52074"/>
    <w:rsid w:val="00A52121"/>
    <w:rsid w:val="00A521D7"/>
    <w:rsid w:val="00A524C2"/>
    <w:rsid w:val="00A524C5"/>
    <w:rsid w:val="00A524EB"/>
    <w:rsid w:val="00A52550"/>
    <w:rsid w:val="00A525BA"/>
    <w:rsid w:val="00A52634"/>
    <w:rsid w:val="00A526C3"/>
    <w:rsid w:val="00A52712"/>
    <w:rsid w:val="00A52751"/>
    <w:rsid w:val="00A52779"/>
    <w:rsid w:val="00A5283D"/>
    <w:rsid w:val="00A52851"/>
    <w:rsid w:val="00A528D1"/>
    <w:rsid w:val="00A529A7"/>
    <w:rsid w:val="00A529CF"/>
    <w:rsid w:val="00A52A0F"/>
    <w:rsid w:val="00A52A79"/>
    <w:rsid w:val="00A52B23"/>
    <w:rsid w:val="00A52B55"/>
    <w:rsid w:val="00A52BCD"/>
    <w:rsid w:val="00A52BFE"/>
    <w:rsid w:val="00A52CA5"/>
    <w:rsid w:val="00A52CEB"/>
    <w:rsid w:val="00A52CF6"/>
    <w:rsid w:val="00A52D16"/>
    <w:rsid w:val="00A52DB9"/>
    <w:rsid w:val="00A52EFE"/>
    <w:rsid w:val="00A52F5A"/>
    <w:rsid w:val="00A52F9B"/>
    <w:rsid w:val="00A5303E"/>
    <w:rsid w:val="00A5310C"/>
    <w:rsid w:val="00A531A4"/>
    <w:rsid w:val="00A53253"/>
    <w:rsid w:val="00A534B9"/>
    <w:rsid w:val="00A5353B"/>
    <w:rsid w:val="00A5356C"/>
    <w:rsid w:val="00A535B2"/>
    <w:rsid w:val="00A5360F"/>
    <w:rsid w:val="00A53693"/>
    <w:rsid w:val="00A537FD"/>
    <w:rsid w:val="00A53856"/>
    <w:rsid w:val="00A53AD2"/>
    <w:rsid w:val="00A53B3B"/>
    <w:rsid w:val="00A53CF8"/>
    <w:rsid w:val="00A53D13"/>
    <w:rsid w:val="00A53D4E"/>
    <w:rsid w:val="00A53E01"/>
    <w:rsid w:val="00A53E0A"/>
    <w:rsid w:val="00A53E24"/>
    <w:rsid w:val="00A53E84"/>
    <w:rsid w:val="00A53EBA"/>
    <w:rsid w:val="00A5407F"/>
    <w:rsid w:val="00A5426A"/>
    <w:rsid w:val="00A5429E"/>
    <w:rsid w:val="00A54302"/>
    <w:rsid w:val="00A543FD"/>
    <w:rsid w:val="00A54402"/>
    <w:rsid w:val="00A54582"/>
    <w:rsid w:val="00A545ED"/>
    <w:rsid w:val="00A545F3"/>
    <w:rsid w:val="00A546A2"/>
    <w:rsid w:val="00A54807"/>
    <w:rsid w:val="00A549BC"/>
    <w:rsid w:val="00A549C5"/>
    <w:rsid w:val="00A54AA5"/>
    <w:rsid w:val="00A54ABC"/>
    <w:rsid w:val="00A54AC0"/>
    <w:rsid w:val="00A54AD5"/>
    <w:rsid w:val="00A54BD6"/>
    <w:rsid w:val="00A54C43"/>
    <w:rsid w:val="00A54C78"/>
    <w:rsid w:val="00A54CBD"/>
    <w:rsid w:val="00A54CE9"/>
    <w:rsid w:val="00A54D0E"/>
    <w:rsid w:val="00A54E36"/>
    <w:rsid w:val="00A54E39"/>
    <w:rsid w:val="00A54E9F"/>
    <w:rsid w:val="00A54EE9"/>
    <w:rsid w:val="00A54FDF"/>
    <w:rsid w:val="00A550D2"/>
    <w:rsid w:val="00A5525E"/>
    <w:rsid w:val="00A55276"/>
    <w:rsid w:val="00A55389"/>
    <w:rsid w:val="00A553BF"/>
    <w:rsid w:val="00A553F9"/>
    <w:rsid w:val="00A554D7"/>
    <w:rsid w:val="00A554E9"/>
    <w:rsid w:val="00A555AF"/>
    <w:rsid w:val="00A555B2"/>
    <w:rsid w:val="00A55617"/>
    <w:rsid w:val="00A55851"/>
    <w:rsid w:val="00A558B7"/>
    <w:rsid w:val="00A558EC"/>
    <w:rsid w:val="00A559FB"/>
    <w:rsid w:val="00A55A56"/>
    <w:rsid w:val="00A55A7B"/>
    <w:rsid w:val="00A55A97"/>
    <w:rsid w:val="00A55B43"/>
    <w:rsid w:val="00A55C1F"/>
    <w:rsid w:val="00A55C7D"/>
    <w:rsid w:val="00A55C83"/>
    <w:rsid w:val="00A55D0A"/>
    <w:rsid w:val="00A55DC9"/>
    <w:rsid w:val="00A55E0D"/>
    <w:rsid w:val="00A55E69"/>
    <w:rsid w:val="00A55EEE"/>
    <w:rsid w:val="00A55F73"/>
    <w:rsid w:val="00A55FA3"/>
    <w:rsid w:val="00A56158"/>
    <w:rsid w:val="00A5616D"/>
    <w:rsid w:val="00A56183"/>
    <w:rsid w:val="00A56199"/>
    <w:rsid w:val="00A56251"/>
    <w:rsid w:val="00A5627A"/>
    <w:rsid w:val="00A562E7"/>
    <w:rsid w:val="00A5630E"/>
    <w:rsid w:val="00A5632D"/>
    <w:rsid w:val="00A5634C"/>
    <w:rsid w:val="00A563C6"/>
    <w:rsid w:val="00A563DE"/>
    <w:rsid w:val="00A56481"/>
    <w:rsid w:val="00A56556"/>
    <w:rsid w:val="00A56582"/>
    <w:rsid w:val="00A56653"/>
    <w:rsid w:val="00A566C5"/>
    <w:rsid w:val="00A566FE"/>
    <w:rsid w:val="00A56701"/>
    <w:rsid w:val="00A56827"/>
    <w:rsid w:val="00A56861"/>
    <w:rsid w:val="00A568AC"/>
    <w:rsid w:val="00A5699B"/>
    <w:rsid w:val="00A569FC"/>
    <w:rsid w:val="00A569FE"/>
    <w:rsid w:val="00A56AC2"/>
    <w:rsid w:val="00A56B91"/>
    <w:rsid w:val="00A56B97"/>
    <w:rsid w:val="00A56BE7"/>
    <w:rsid w:val="00A56C71"/>
    <w:rsid w:val="00A56D9F"/>
    <w:rsid w:val="00A56E16"/>
    <w:rsid w:val="00A56E6F"/>
    <w:rsid w:val="00A57068"/>
    <w:rsid w:val="00A570A8"/>
    <w:rsid w:val="00A570AB"/>
    <w:rsid w:val="00A570DD"/>
    <w:rsid w:val="00A57171"/>
    <w:rsid w:val="00A57199"/>
    <w:rsid w:val="00A571C1"/>
    <w:rsid w:val="00A571D0"/>
    <w:rsid w:val="00A573C8"/>
    <w:rsid w:val="00A57435"/>
    <w:rsid w:val="00A57439"/>
    <w:rsid w:val="00A5746E"/>
    <w:rsid w:val="00A574A9"/>
    <w:rsid w:val="00A57502"/>
    <w:rsid w:val="00A5754E"/>
    <w:rsid w:val="00A575DB"/>
    <w:rsid w:val="00A576BD"/>
    <w:rsid w:val="00A57747"/>
    <w:rsid w:val="00A5774C"/>
    <w:rsid w:val="00A577E3"/>
    <w:rsid w:val="00A57B6A"/>
    <w:rsid w:val="00A57BB9"/>
    <w:rsid w:val="00A57BD6"/>
    <w:rsid w:val="00A57C07"/>
    <w:rsid w:val="00A57CF3"/>
    <w:rsid w:val="00A57DD6"/>
    <w:rsid w:val="00A57E09"/>
    <w:rsid w:val="00A57E6C"/>
    <w:rsid w:val="00A57EFE"/>
    <w:rsid w:val="00A57F3D"/>
    <w:rsid w:val="00A6014D"/>
    <w:rsid w:val="00A60222"/>
    <w:rsid w:val="00A6031C"/>
    <w:rsid w:val="00A603E4"/>
    <w:rsid w:val="00A604C5"/>
    <w:rsid w:val="00A604C7"/>
    <w:rsid w:val="00A604EA"/>
    <w:rsid w:val="00A6065A"/>
    <w:rsid w:val="00A6066C"/>
    <w:rsid w:val="00A6071B"/>
    <w:rsid w:val="00A607E9"/>
    <w:rsid w:val="00A60917"/>
    <w:rsid w:val="00A60BAD"/>
    <w:rsid w:val="00A60BDB"/>
    <w:rsid w:val="00A60BDE"/>
    <w:rsid w:val="00A60BE6"/>
    <w:rsid w:val="00A60C54"/>
    <w:rsid w:val="00A60D28"/>
    <w:rsid w:val="00A60D71"/>
    <w:rsid w:val="00A60D8F"/>
    <w:rsid w:val="00A60F11"/>
    <w:rsid w:val="00A61096"/>
    <w:rsid w:val="00A6109C"/>
    <w:rsid w:val="00A61262"/>
    <w:rsid w:val="00A61277"/>
    <w:rsid w:val="00A61278"/>
    <w:rsid w:val="00A612B6"/>
    <w:rsid w:val="00A61324"/>
    <w:rsid w:val="00A6135E"/>
    <w:rsid w:val="00A61453"/>
    <w:rsid w:val="00A61517"/>
    <w:rsid w:val="00A61551"/>
    <w:rsid w:val="00A615CE"/>
    <w:rsid w:val="00A615F0"/>
    <w:rsid w:val="00A61624"/>
    <w:rsid w:val="00A61642"/>
    <w:rsid w:val="00A616C9"/>
    <w:rsid w:val="00A617FD"/>
    <w:rsid w:val="00A6186C"/>
    <w:rsid w:val="00A61946"/>
    <w:rsid w:val="00A61A1C"/>
    <w:rsid w:val="00A61ACE"/>
    <w:rsid w:val="00A61BD0"/>
    <w:rsid w:val="00A61C48"/>
    <w:rsid w:val="00A61C61"/>
    <w:rsid w:val="00A61CEC"/>
    <w:rsid w:val="00A61DAC"/>
    <w:rsid w:val="00A61DE5"/>
    <w:rsid w:val="00A61F04"/>
    <w:rsid w:val="00A61F08"/>
    <w:rsid w:val="00A61F29"/>
    <w:rsid w:val="00A61FA5"/>
    <w:rsid w:val="00A62034"/>
    <w:rsid w:val="00A6208B"/>
    <w:rsid w:val="00A62119"/>
    <w:rsid w:val="00A6220B"/>
    <w:rsid w:val="00A62220"/>
    <w:rsid w:val="00A6242C"/>
    <w:rsid w:val="00A6244C"/>
    <w:rsid w:val="00A6249C"/>
    <w:rsid w:val="00A62500"/>
    <w:rsid w:val="00A6256B"/>
    <w:rsid w:val="00A62678"/>
    <w:rsid w:val="00A626EC"/>
    <w:rsid w:val="00A627D9"/>
    <w:rsid w:val="00A628FD"/>
    <w:rsid w:val="00A62931"/>
    <w:rsid w:val="00A6293C"/>
    <w:rsid w:val="00A62979"/>
    <w:rsid w:val="00A629A4"/>
    <w:rsid w:val="00A62A7A"/>
    <w:rsid w:val="00A62B1B"/>
    <w:rsid w:val="00A62B1D"/>
    <w:rsid w:val="00A62BCB"/>
    <w:rsid w:val="00A62D59"/>
    <w:rsid w:val="00A62D63"/>
    <w:rsid w:val="00A62D78"/>
    <w:rsid w:val="00A62D94"/>
    <w:rsid w:val="00A62E86"/>
    <w:rsid w:val="00A62F44"/>
    <w:rsid w:val="00A63081"/>
    <w:rsid w:val="00A6313F"/>
    <w:rsid w:val="00A63239"/>
    <w:rsid w:val="00A632BA"/>
    <w:rsid w:val="00A633D5"/>
    <w:rsid w:val="00A6346F"/>
    <w:rsid w:val="00A6347C"/>
    <w:rsid w:val="00A634B6"/>
    <w:rsid w:val="00A634C2"/>
    <w:rsid w:val="00A634C4"/>
    <w:rsid w:val="00A634FE"/>
    <w:rsid w:val="00A63521"/>
    <w:rsid w:val="00A635B5"/>
    <w:rsid w:val="00A63733"/>
    <w:rsid w:val="00A6373E"/>
    <w:rsid w:val="00A63758"/>
    <w:rsid w:val="00A63846"/>
    <w:rsid w:val="00A63980"/>
    <w:rsid w:val="00A63A3B"/>
    <w:rsid w:val="00A63A5F"/>
    <w:rsid w:val="00A63ADD"/>
    <w:rsid w:val="00A63B30"/>
    <w:rsid w:val="00A63BD4"/>
    <w:rsid w:val="00A63BEA"/>
    <w:rsid w:val="00A63C2A"/>
    <w:rsid w:val="00A63C50"/>
    <w:rsid w:val="00A63C7E"/>
    <w:rsid w:val="00A63D34"/>
    <w:rsid w:val="00A63D8A"/>
    <w:rsid w:val="00A63E49"/>
    <w:rsid w:val="00A63EB0"/>
    <w:rsid w:val="00A63F9C"/>
    <w:rsid w:val="00A63FA7"/>
    <w:rsid w:val="00A63FB0"/>
    <w:rsid w:val="00A63FCB"/>
    <w:rsid w:val="00A63FF8"/>
    <w:rsid w:val="00A64043"/>
    <w:rsid w:val="00A6411F"/>
    <w:rsid w:val="00A64146"/>
    <w:rsid w:val="00A641E3"/>
    <w:rsid w:val="00A6425D"/>
    <w:rsid w:val="00A642F0"/>
    <w:rsid w:val="00A64408"/>
    <w:rsid w:val="00A644F8"/>
    <w:rsid w:val="00A645F7"/>
    <w:rsid w:val="00A645F8"/>
    <w:rsid w:val="00A6473C"/>
    <w:rsid w:val="00A64849"/>
    <w:rsid w:val="00A6489D"/>
    <w:rsid w:val="00A64923"/>
    <w:rsid w:val="00A64958"/>
    <w:rsid w:val="00A649B1"/>
    <w:rsid w:val="00A649E9"/>
    <w:rsid w:val="00A64A76"/>
    <w:rsid w:val="00A64A99"/>
    <w:rsid w:val="00A64AF9"/>
    <w:rsid w:val="00A64C28"/>
    <w:rsid w:val="00A64D1B"/>
    <w:rsid w:val="00A64D99"/>
    <w:rsid w:val="00A64F37"/>
    <w:rsid w:val="00A64FF5"/>
    <w:rsid w:val="00A6513B"/>
    <w:rsid w:val="00A652DD"/>
    <w:rsid w:val="00A65348"/>
    <w:rsid w:val="00A653E1"/>
    <w:rsid w:val="00A65457"/>
    <w:rsid w:val="00A65463"/>
    <w:rsid w:val="00A65480"/>
    <w:rsid w:val="00A6549A"/>
    <w:rsid w:val="00A6559A"/>
    <w:rsid w:val="00A65625"/>
    <w:rsid w:val="00A65819"/>
    <w:rsid w:val="00A65821"/>
    <w:rsid w:val="00A65861"/>
    <w:rsid w:val="00A65895"/>
    <w:rsid w:val="00A65909"/>
    <w:rsid w:val="00A65925"/>
    <w:rsid w:val="00A65A4D"/>
    <w:rsid w:val="00A65B3D"/>
    <w:rsid w:val="00A65BAF"/>
    <w:rsid w:val="00A65CA3"/>
    <w:rsid w:val="00A65CA9"/>
    <w:rsid w:val="00A65CC0"/>
    <w:rsid w:val="00A65CE1"/>
    <w:rsid w:val="00A65D01"/>
    <w:rsid w:val="00A65D33"/>
    <w:rsid w:val="00A65D44"/>
    <w:rsid w:val="00A65E09"/>
    <w:rsid w:val="00A65E0E"/>
    <w:rsid w:val="00A65EA9"/>
    <w:rsid w:val="00A65ED4"/>
    <w:rsid w:val="00A65FC8"/>
    <w:rsid w:val="00A66086"/>
    <w:rsid w:val="00A66113"/>
    <w:rsid w:val="00A66138"/>
    <w:rsid w:val="00A66183"/>
    <w:rsid w:val="00A66338"/>
    <w:rsid w:val="00A663D5"/>
    <w:rsid w:val="00A66502"/>
    <w:rsid w:val="00A66524"/>
    <w:rsid w:val="00A66586"/>
    <w:rsid w:val="00A665E9"/>
    <w:rsid w:val="00A66648"/>
    <w:rsid w:val="00A6688A"/>
    <w:rsid w:val="00A66A2E"/>
    <w:rsid w:val="00A66A5F"/>
    <w:rsid w:val="00A66A64"/>
    <w:rsid w:val="00A66A66"/>
    <w:rsid w:val="00A66A7B"/>
    <w:rsid w:val="00A66A7C"/>
    <w:rsid w:val="00A66B2C"/>
    <w:rsid w:val="00A66C22"/>
    <w:rsid w:val="00A66D68"/>
    <w:rsid w:val="00A66E90"/>
    <w:rsid w:val="00A66F87"/>
    <w:rsid w:val="00A66F8F"/>
    <w:rsid w:val="00A6706F"/>
    <w:rsid w:val="00A67082"/>
    <w:rsid w:val="00A670C8"/>
    <w:rsid w:val="00A67208"/>
    <w:rsid w:val="00A67229"/>
    <w:rsid w:val="00A67257"/>
    <w:rsid w:val="00A67276"/>
    <w:rsid w:val="00A672F0"/>
    <w:rsid w:val="00A67393"/>
    <w:rsid w:val="00A673B7"/>
    <w:rsid w:val="00A673C9"/>
    <w:rsid w:val="00A673E3"/>
    <w:rsid w:val="00A673FA"/>
    <w:rsid w:val="00A6758E"/>
    <w:rsid w:val="00A675AC"/>
    <w:rsid w:val="00A675C4"/>
    <w:rsid w:val="00A676BC"/>
    <w:rsid w:val="00A676CF"/>
    <w:rsid w:val="00A676DF"/>
    <w:rsid w:val="00A67798"/>
    <w:rsid w:val="00A6781B"/>
    <w:rsid w:val="00A67820"/>
    <w:rsid w:val="00A6790F"/>
    <w:rsid w:val="00A679D2"/>
    <w:rsid w:val="00A679E7"/>
    <w:rsid w:val="00A67A85"/>
    <w:rsid w:val="00A67AE0"/>
    <w:rsid w:val="00A67B33"/>
    <w:rsid w:val="00A67B6C"/>
    <w:rsid w:val="00A67BBD"/>
    <w:rsid w:val="00A67BF2"/>
    <w:rsid w:val="00A67C4F"/>
    <w:rsid w:val="00A67D38"/>
    <w:rsid w:val="00A67DEE"/>
    <w:rsid w:val="00A67F2D"/>
    <w:rsid w:val="00A67F6C"/>
    <w:rsid w:val="00A701AF"/>
    <w:rsid w:val="00A7021B"/>
    <w:rsid w:val="00A70227"/>
    <w:rsid w:val="00A70255"/>
    <w:rsid w:val="00A70300"/>
    <w:rsid w:val="00A70315"/>
    <w:rsid w:val="00A7044B"/>
    <w:rsid w:val="00A7047B"/>
    <w:rsid w:val="00A7065A"/>
    <w:rsid w:val="00A7065D"/>
    <w:rsid w:val="00A7075A"/>
    <w:rsid w:val="00A707B3"/>
    <w:rsid w:val="00A707ED"/>
    <w:rsid w:val="00A707F2"/>
    <w:rsid w:val="00A708D3"/>
    <w:rsid w:val="00A708F1"/>
    <w:rsid w:val="00A70A21"/>
    <w:rsid w:val="00A70B52"/>
    <w:rsid w:val="00A70BC5"/>
    <w:rsid w:val="00A70C5E"/>
    <w:rsid w:val="00A70C7F"/>
    <w:rsid w:val="00A70C97"/>
    <w:rsid w:val="00A70E82"/>
    <w:rsid w:val="00A70EAD"/>
    <w:rsid w:val="00A70EF0"/>
    <w:rsid w:val="00A70F20"/>
    <w:rsid w:val="00A70FB6"/>
    <w:rsid w:val="00A71006"/>
    <w:rsid w:val="00A71064"/>
    <w:rsid w:val="00A71076"/>
    <w:rsid w:val="00A71117"/>
    <w:rsid w:val="00A711BF"/>
    <w:rsid w:val="00A711FA"/>
    <w:rsid w:val="00A71284"/>
    <w:rsid w:val="00A712F1"/>
    <w:rsid w:val="00A71344"/>
    <w:rsid w:val="00A714EA"/>
    <w:rsid w:val="00A7159C"/>
    <w:rsid w:val="00A715D1"/>
    <w:rsid w:val="00A715D6"/>
    <w:rsid w:val="00A715FB"/>
    <w:rsid w:val="00A7167A"/>
    <w:rsid w:val="00A716BA"/>
    <w:rsid w:val="00A7174B"/>
    <w:rsid w:val="00A717B5"/>
    <w:rsid w:val="00A71859"/>
    <w:rsid w:val="00A71864"/>
    <w:rsid w:val="00A7190F"/>
    <w:rsid w:val="00A719A5"/>
    <w:rsid w:val="00A71A10"/>
    <w:rsid w:val="00A71A40"/>
    <w:rsid w:val="00A71AAA"/>
    <w:rsid w:val="00A71AB5"/>
    <w:rsid w:val="00A71B2A"/>
    <w:rsid w:val="00A71C13"/>
    <w:rsid w:val="00A71D04"/>
    <w:rsid w:val="00A71D1D"/>
    <w:rsid w:val="00A71D3A"/>
    <w:rsid w:val="00A71DE4"/>
    <w:rsid w:val="00A71F50"/>
    <w:rsid w:val="00A71F80"/>
    <w:rsid w:val="00A7202C"/>
    <w:rsid w:val="00A72042"/>
    <w:rsid w:val="00A72066"/>
    <w:rsid w:val="00A72093"/>
    <w:rsid w:val="00A7216F"/>
    <w:rsid w:val="00A721CA"/>
    <w:rsid w:val="00A721DE"/>
    <w:rsid w:val="00A721E0"/>
    <w:rsid w:val="00A722F7"/>
    <w:rsid w:val="00A7244A"/>
    <w:rsid w:val="00A72461"/>
    <w:rsid w:val="00A724B0"/>
    <w:rsid w:val="00A726E5"/>
    <w:rsid w:val="00A727F5"/>
    <w:rsid w:val="00A72819"/>
    <w:rsid w:val="00A72849"/>
    <w:rsid w:val="00A7286F"/>
    <w:rsid w:val="00A72996"/>
    <w:rsid w:val="00A72998"/>
    <w:rsid w:val="00A729E4"/>
    <w:rsid w:val="00A729F3"/>
    <w:rsid w:val="00A72B07"/>
    <w:rsid w:val="00A72B64"/>
    <w:rsid w:val="00A72C26"/>
    <w:rsid w:val="00A72D34"/>
    <w:rsid w:val="00A72DEF"/>
    <w:rsid w:val="00A72E8B"/>
    <w:rsid w:val="00A73005"/>
    <w:rsid w:val="00A73099"/>
    <w:rsid w:val="00A730D5"/>
    <w:rsid w:val="00A73245"/>
    <w:rsid w:val="00A73284"/>
    <w:rsid w:val="00A732EF"/>
    <w:rsid w:val="00A7333C"/>
    <w:rsid w:val="00A733F4"/>
    <w:rsid w:val="00A7342A"/>
    <w:rsid w:val="00A7348A"/>
    <w:rsid w:val="00A7349D"/>
    <w:rsid w:val="00A735D3"/>
    <w:rsid w:val="00A7364C"/>
    <w:rsid w:val="00A736B4"/>
    <w:rsid w:val="00A736BD"/>
    <w:rsid w:val="00A73768"/>
    <w:rsid w:val="00A737C7"/>
    <w:rsid w:val="00A738E0"/>
    <w:rsid w:val="00A73918"/>
    <w:rsid w:val="00A7391F"/>
    <w:rsid w:val="00A7399D"/>
    <w:rsid w:val="00A739E3"/>
    <w:rsid w:val="00A73A18"/>
    <w:rsid w:val="00A73AE4"/>
    <w:rsid w:val="00A73B98"/>
    <w:rsid w:val="00A73BFC"/>
    <w:rsid w:val="00A73D6C"/>
    <w:rsid w:val="00A73E09"/>
    <w:rsid w:val="00A73E66"/>
    <w:rsid w:val="00A74069"/>
    <w:rsid w:val="00A740C5"/>
    <w:rsid w:val="00A741AB"/>
    <w:rsid w:val="00A74254"/>
    <w:rsid w:val="00A74390"/>
    <w:rsid w:val="00A743C3"/>
    <w:rsid w:val="00A7441B"/>
    <w:rsid w:val="00A74526"/>
    <w:rsid w:val="00A74574"/>
    <w:rsid w:val="00A74583"/>
    <w:rsid w:val="00A745AB"/>
    <w:rsid w:val="00A746FE"/>
    <w:rsid w:val="00A7473E"/>
    <w:rsid w:val="00A74791"/>
    <w:rsid w:val="00A74845"/>
    <w:rsid w:val="00A74992"/>
    <w:rsid w:val="00A74A01"/>
    <w:rsid w:val="00A74A05"/>
    <w:rsid w:val="00A74A49"/>
    <w:rsid w:val="00A74AB1"/>
    <w:rsid w:val="00A74AD3"/>
    <w:rsid w:val="00A74B9F"/>
    <w:rsid w:val="00A74BA5"/>
    <w:rsid w:val="00A74C33"/>
    <w:rsid w:val="00A74C69"/>
    <w:rsid w:val="00A74D7D"/>
    <w:rsid w:val="00A74E81"/>
    <w:rsid w:val="00A74F29"/>
    <w:rsid w:val="00A74FB4"/>
    <w:rsid w:val="00A7509B"/>
    <w:rsid w:val="00A75154"/>
    <w:rsid w:val="00A7531D"/>
    <w:rsid w:val="00A753C2"/>
    <w:rsid w:val="00A754AF"/>
    <w:rsid w:val="00A754C0"/>
    <w:rsid w:val="00A755B1"/>
    <w:rsid w:val="00A75634"/>
    <w:rsid w:val="00A756E4"/>
    <w:rsid w:val="00A75702"/>
    <w:rsid w:val="00A75721"/>
    <w:rsid w:val="00A75729"/>
    <w:rsid w:val="00A75794"/>
    <w:rsid w:val="00A7579E"/>
    <w:rsid w:val="00A75832"/>
    <w:rsid w:val="00A75875"/>
    <w:rsid w:val="00A758B3"/>
    <w:rsid w:val="00A758C6"/>
    <w:rsid w:val="00A75903"/>
    <w:rsid w:val="00A75905"/>
    <w:rsid w:val="00A75A77"/>
    <w:rsid w:val="00A75B5B"/>
    <w:rsid w:val="00A75C0C"/>
    <w:rsid w:val="00A75C23"/>
    <w:rsid w:val="00A75C4E"/>
    <w:rsid w:val="00A75E18"/>
    <w:rsid w:val="00A75E22"/>
    <w:rsid w:val="00A75F5D"/>
    <w:rsid w:val="00A75FEA"/>
    <w:rsid w:val="00A760C1"/>
    <w:rsid w:val="00A760EF"/>
    <w:rsid w:val="00A7617C"/>
    <w:rsid w:val="00A761F2"/>
    <w:rsid w:val="00A7631B"/>
    <w:rsid w:val="00A7632D"/>
    <w:rsid w:val="00A763A1"/>
    <w:rsid w:val="00A764A1"/>
    <w:rsid w:val="00A76562"/>
    <w:rsid w:val="00A765F1"/>
    <w:rsid w:val="00A7671F"/>
    <w:rsid w:val="00A769CF"/>
    <w:rsid w:val="00A769E9"/>
    <w:rsid w:val="00A76A30"/>
    <w:rsid w:val="00A76A39"/>
    <w:rsid w:val="00A76B8A"/>
    <w:rsid w:val="00A76C24"/>
    <w:rsid w:val="00A76DE6"/>
    <w:rsid w:val="00A76E9A"/>
    <w:rsid w:val="00A76E9C"/>
    <w:rsid w:val="00A76E9F"/>
    <w:rsid w:val="00A76F17"/>
    <w:rsid w:val="00A77038"/>
    <w:rsid w:val="00A7707B"/>
    <w:rsid w:val="00A7710C"/>
    <w:rsid w:val="00A771ED"/>
    <w:rsid w:val="00A7726C"/>
    <w:rsid w:val="00A772DD"/>
    <w:rsid w:val="00A7732A"/>
    <w:rsid w:val="00A773AF"/>
    <w:rsid w:val="00A77424"/>
    <w:rsid w:val="00A7744C"/>
    <w:rsid w:val="00A7750E"/>
    <w:rsid w:val="00A77535"/>
    <w:rsid w:val="00A77563"/>
    <w:rsid w:val="00A775D1"/>
    <w:rsid w:val="00A77787"/>
    <w:rsid w:val="00A77890"/>
    <w:rsid w:val="00A778F5"/>
    <w:rsid w:val="00A7795A"/>
    <w:rsid w:val="00A779CF"/>
    <w:rsid w:val="00A77A77"/>
    <w:rsid w:val="00A77AF7"/>
    <w:rsid w:val="00A77B1C"/>
    <w:rsid w:val="00A77BA8"/>
    <w:rsid w:val="00A77D06"/>
    <w:rsid w:val="00A77EF7"/>
    <w:rsid w:val="00A80018"/>
    <w:rsid w:val="00A801A6"/>
    <w:rsid w:val="00A801E6"/>
    <w:rsid w:val="00A80237"/>
    <w:rsid w:val="00A80320"/>
    <w:rsid w:val="00A80426"/>
    <w:rsid w:val="00A804DD"/>
    <w:rsid w:val="00A804EB"/>
    <w:rsid w:val="00A80567"/>
    <w:rsid w:val="00A80573"/>
    <w:rsid w:val="00A80579"/>
    <w:rsid w:val="00A806DF"/>
    <w:rsid w:val="00A80759"/>
    <w:rsid w:val="00A807DD"/>
    <w:rsid w:val="00A8085E"/>
    <w:rsid w:val="00A808AA"/>
    <w:rsid w:val="00A808C5"/>
    <w:rsid w:val="00A80A3F"/>
    <w:rsid w:val="00A80A54"/>
    <w:rsid w:val="00A80A5C"/>
    <w:rsid w:val="00A80A5F"/>
    <w:rsid w:val="00A80B5B"/>
    <w:rsid w:val="00A80BB5"/>
    <w:rsid w:val="00A80C03"/>
    <w:rsid w:val="00A80C5E"/>
    <w:rsid w:val="00A80C73"/>
    <w:rsid w:val="00A80C8B"/>
    <w:rsid w:val="00A80C97"/>
    <w:rsid w:val="00A80D4B"/>
    <w:rsid w:val="00A80D89"/>
    <w:rsid w:val="00A80EB5"/>
    <w:rsid w:val="00A80F3F"/>
    <w:rsid w:val="00A80F47"/>
    <w:rsid w:val="00A80FA5"/>
    <w:rsid w:val="00A80FAD"/>
    <w:rsid w:val="00A81000"/>
    <w:rsid w:val="00A8105D"/>
    <w:rsid w:val="00A81111"/>
    <w:rsid w:val="00A811DA"/>
    <w:rsid w:val="00A81271"/>
    <w:rsid w:val="00A812AD"/>
    <w:rsid w:val="00A8139E"/>
    <w:rsid w:val="00A81479"/>
    <w:rsid w:val="00A81487"/>
    <w:rsid w:val="00A8150E"/>
    <w:rsid w:val="00A8156C"/>
    <w:rsid w:val="00A815D2"/>
    <w:rsid w:val="00A81733"/>
    <w:rsid w:val="00A81760"/>
    <w:rsid w:val="00A817EE"/>
    <w:rsid w:val="00A8183C"/>
    <w:rsid w:val="00A8187B"/>
    <w:rsid w:val="00A8188C"/>
    <w:rsid w:val="00A8198A"/>
    <w:rsid w:val="00A819E0"/>
    <w:rsid w:val="00A81BAD"/>
    <w:rsid w:val="00A81CDD"/>
    <w:rsid w:val="00A81D99"/>
    <w:rsid w:val="00A81E10"/>
    <w:rsid w:val="00A81E5A"/>
    <w:rsid w:val="00A81E75"/>
    <w:rsid w:val="00A81EE8"/>
    <w:rsid w:val="00A81F2A"/>
    <w:rsid w:val="00A81F92"/>
    <w:rsid w:val="00A81FB5"/>
    <w:rsid w:val="00A81FD6"/>
    <w:rsid w:val="00A82024"/>
    <w:rsid w:val="00A82207"/>
    <w:rsid w:val="00A8225F"/>
    <w:rsid w:val="00A822C1"/>
    <w:rsid w:val="00A8251B"/>
    <w:rsid w:val="00A82547"/>
    <w:rsid w:val="00A8258B"/>
    <w:rsid w:val="00A825C2"/>
    <w:rsid w:val="00A8260A"/>
    <w:rsid w:val="00A82706"/>
    <w:rsid w:val="00A82768"/>
    <w:rsid w:val="00A82975"/>
    <w:rsid w:val="00A82988"/>
    <w:rsid w:val="00A82B16"/>
    <w:rsid w:val="00A82C02"/>
    <w:rsid w:val="00A82C51"/>
    <w:rsid w:val="00A82C87"/>
    <w:rsid w:val="00A82C89"/>
    <w:rsid w:val="00A82D16"/>
    <w:rsid w:val="00A82DA7"/>
    <w:rsid w:val="00A82DD5"/>
    <w:rsid w:val="00A82DF8"/>
    <w:rsid w:val="00A82E07"/>
    <w:rsid w:val="00A82EB8"/>
    <w:rsid w:val="00A82F84"/>
    <w:rsid w:val="00A82FB8"/>
    <w:rsid w:val="00A83090"/>
    <w:rsid w:val="00A83112"/>
    <w:rsid w:val="00A8315B"/>
    <w:rsid w:val="00A8317C"/>
    <w:rsid w:val="00A832B2"/>
    <w:rsid w:val="00A83372"/>
    <w:rsid w:val="00A834EC"/>
    <w:rsid w:val="00A83591"/>
    <w:rsid w:val="00A835C0"/>
    <w:rsid w:val="00A835ED"/>
    <w:rsid w:val="00A8363D"/>
    <w:rsid w:val="00A8373E"/>
    <w:rsid w:val="00A83849"/>
    <w:rsid w:val="00A83855"/>
    <w:rsid w:val="00A8385E"/>
    <w:rsid w:val="00A8389C"/>
    <w:rsid w:val="00A838EC"/>
    <w:rsid w:val="00A83909"/>
    <w:rsid w:val="00A839BC"/>
    <w:rsid w:val="00A83A8A"/>
    <w:rsid w:val="00A83B58"/>
    <w:rsid w:val="00A83C2D"/>
    <w:rsid w:val="00A83C46"/>
    <w:rsid w:val="00A83DA6"/>
    <w:rsid w:val="00A83E16"/>
    <w:rsid w:val="00A83EA9"/>
    <w:rsid w:val="00A83EE8"/>
    <w:rsid w:val="00A83EF9"/>
    <w:rsid w:val="00A84307"/>
    <w:rsid w:val="00A84389"/>
    <w:rsid w:val="00A843DD"/>
    <w:rsid w:val="00A84454"/>
    <w:rsid w:val="00A84462"/>
    <w:rsid w:val="00A844D3"/>
    <w:rsid w:val="00A845E4"/>
    <w:rsid w:val="00A84678"/>
    <w:rsid w:val="00A84777"/>
    <w:rsid w:val="00A847AF"/>
    <w:rsid w:val="00A848AF"/>
    <w:rsid w:val="00A8498C"/>
    <w:rsid w:val="00A849F3"/>
    <w:rsid w:val="00A84B12"/>
    <w:rsid w:val="00A84BBA"/>
    <w:rsid w:val="00A84BEB"/>
    <w:rsid w:val="00A84C19"/>
    <w:rsid w:val="00A84DC4"/>
    <w:rsid w:val="00A84EC7"/>
    <w:rsid w:val="00A84F71"/>
    <w:rsid w:val="00A84F98"/>
    <w:rsid w:val="00A85077"/>
    <w:rsid w:val="00A850CF"/>
    <w:rsid w:val="00A85187"/>
    <w:rsid w:val="00A85236"/>
    <w:rsid w:val="00A85283"/>
    <w:rsid w:val="00A852F1"/>
    <w:rsid w:val="00A8537D"/>
    <w:rsid w:val="00A853A7"/>
    <w:rsid w:val="00A853D7"/>
    <w:rsid w:val="00A854E2"/>
    <w:rsid w:val="00A854EC"/>
    <w:rsid w:val="00A855B4"/>
    <w:rsid w:val="00A855C4"/>
    <w:rsid w:val="00A85610"/>
    <w:rsid w:val="00A85680"/>
    <w:rsid w:val="00A856DA"/>
    <w:rsid w:val="00A857F0"/>
    <w:rsid w:val="00A8581E"/>
    <w:rsid w:val="00A85842"/>
    <w:rsid w:val="00A85AEE"/>
    <w:rsid w:val="00A85C94"/>
    <w:rsid w:val="00A85C98"/>
    <w:rsid w:val="00A85D7F"/>
    <w:rsid w:val="00A85DA3"/>
    <w:rsid w:val="00A85DE6"/>
    <w:rsid w:val="00A85E69"/>
    <w:rsid w:val="00A85EED"/>
    <w:rsid w:val="00A85F0B"/>
    <w:rsid w:val="00A860BF"/>
    <w:rsid w:val="00A86119"/>
    <w:rsid w:val="00A8622B"/>
    <w:rsid w:val="00A86240"/>
    <w:rsid w:val="00A86388"/>
    <w:rsid w:val="00A863E1"/>
    <w:rsid w:val="00A8646D"/>
    <w:rsid w:val="00A86506"/>
    <w:rsid w:val="00A8657B"/>
    <w:rsid w:val="00A86590"/>
    <w:rsid w:val="00A86716"/>
    <w:rsid w:val="00A8681F"/>
    <w:rsid w:val="00A86917"/>
    <w:rsid w:val="00A869DF"/>
    <w:rsid w:val="00A86A52"/>
    <w:rsid w:val="00A86B3D"/>
    <w:rsid w:val="00A86C36"/>
    <w:rsid w:val="00A86C57"/>
    <w:rsid w:val="00A86CB3"/>
    <w:rsid w:val="00A86CFB"/>
    <w:rsid w:val="00A86D6B"/>
    <w:rsid w:val="00A86D94"/>
    <w:rsid w:val="00A86E2A"/>
    <w:rsid w:val="00A86EB6"/>
    <w:rsid w:val="00A86ED5"/>
    <w:rsid w:val="00A86F81"/>
    <w:rsid w:val="00A8717F"/>
    <w:rsid w:val="00A871CE"/>
    <w:rsid w:val="00A87242"/>
    <w:rsid w:val="00A872BF"/>
    <w:rsid w:val="00A872EE"/>
    <w:rsid w:val="00A87352"/>
    <w:rsid w:val="00A87379"/>
    <w:rsid w:val="00A8746A"/>
    <w:rsid w:val="00A8747D"/>
    <w:rsid w:val="00A874DD"/>
    <w:rsid w:val="00A874E7"/>
    <w:rsid w:val="00A87503"/>
    <w:rsid w:val="00A87532"/>
    <w:rsid w:val="00A8759D"/>
    <w:rsid w:val="00A87600"/>
    <w:rsid w:val="00A876E6"/>
    <w:rsid w:val="00A8774B"/>
    <w:rsid w:val="00A8778B"/>
    <w:rsid w:val="00A87843"/>
    <w:rsid w:val="00A87844"/>
    <w:rsid w:val="00A8786A"/>
    <w:rsid w:val="00A87875"/>
    <w:rsid w:val="00A87881"/>
    <w:rsid w:val="00A879A7"/>
    <w:rsid w:val="00A87A1F"/>
    <w:rsid w:val="00A87A20"/>
    <w:rsid w:val="00A87A45"/>
    <w:rsid w:val="00A87B1F"/>
    <w:rsid w:val="00A87B41"/>
    <w:rsid w:val="00A87C9B"/>
    <w:rsid w:val="00A87D1E"/>
    <w:rsid w:val="00A87E7A"/>
    <w:rsid w:val="00A87E7C"/>
    <w:rsid w:val="00A87F9A"/>
    <w:rsid w:val="00A900A3"/>
    <w:rsid w:val="00A901A2"/>
    <w:rsid w:val="00A901FD"/>
    <w:rsid w:val="00A902B3"/>
    <w:rsid w:val="00A902BD"/>
    <w:rsid w:val="00A902D3"/>
    <w:rsid w:val="00A90331"/>
    <w:rsid w:val="00A903C3"/>
    <w:rsid w:val="00A903C8"/>
    <w:rsid w:val="00A903D1"/>
    <w:rsid w:val="00A903F3"/>
    <w:rsid w:val="00A90443"/>
    <w:rsid w:val="00A90491"/>
    <w:rsid w:val="00A90502"/>
    <w:rsid w:val="00A90531"/>
    <w:rsid w:val="00A905AF"/>
    <w:rsid w:val="00A90730"/>
    <w:rsid w:val="00A907D2"/>
    <w:rsid w:val="00A90861"/>
    <w:rsid w:val="00A9086D"/>
    <w:rsid w:val="00A90966"/>
    <w:rsid w:val="00A90A42"/>
    <w:rsid w:val="00A90AC2"/>
    <w:rsid w:val="00A90B28"/>
    <w:rsid w:val="00A90C10"/>
    <w:rsid w:val="00A90D27"/>
    <w:rsid w:val="00A90E3F"/>
    <w:rsid w:val="00A90E62"/>
    <w:rsid w:val="00A90E94"/>
    <w:rsid w:val="00A90F06"/>
    <w:rsid w:val="00A90F2D"/>
    <w:rsid w:val="00A90F78"/>
    <w:rsid w:val="00A90FE7"/>
    <w:rsid w:val="00A9100A"/>
    <w:rsid w:val="00A9107C"/>
    <w:rsid w:val="00A910AF"/>
    <w:rsid w:val="00A910DC"/>
    <w:rsid w:val="00A91131"/>
    <w:rsid w:val="00A91196"/>
    <w:rsid w:val="00A91198"/>
    <w:rsid w:val="00A91334"/>
    <w:rsid w:val="00A9138F"/>
    <w:rsid w:val="00A913C0"/>
    <w:rsid w:val="00A913F3"/>
    <w:rsid w:val="00A9144B"/>
    <w:rsid w:val="00A914A4"/>
    <w:rsid w:val="00A914CA"/>
    <w:rsid w:val="00A915DA"/>
    <w:rsid w:val="00A915DE"/>
    <w:rsid w:val="00A91611"/>
    <w:rsid w:val="00A91616"/>
    <w:rsid w:val="00A9164C"/>
    <w:rsid w:val="00A916F4"/>
    <w:rsid w:val="00A917BF"/>
    <w:rsid w:val="00A9184A"/>
    <w:rsid w:val="00A91996"/>
    <w:rsid w:val="00A91A5D"/>
    <w:rsid w:val="00A91AE3"/>
    <w:rsid w:val="00A91B46"/>
    <w:rsid w:val="00A91C23"/>
    <w:rsid w:val="00A91C55"/>
    <w:rsid w:val="00A91CA2"/>
    <w:rsid w:val="00A91CB1"/>
    <w:rsid w:val="00A91CD3"/>
    <w:rsid w:val="00A91DE4"/>
    <w:rsid w:val="00A91E64"/>
    <w:rsid w:val="00A91ECB"/>
    <w:rsid w:val="00A91FE0"/>
    <w:rsid w:val="00A92020"/>
    <w:rsid w:val="00A92083"/>
    <w:rsid w:val="00A9213B"/>
    <w:rsid w:val="00A9217F"/>
    <w:rsid w:val="00A92202"/>
    <w:rsid w:val="00A9231E"/>
    <w:rsid w:val="00A92328"/>
    <w:rsid w:val="00A92385"/>
    <w:rsid w:val="00A92390"/>
    <w:rsid w:val="00A923D7"/>
    <w:rsid w:val="00A92424"/>
    <w:rsid w:val="00A92431"/>
    <w:rsid w:val="00A92484"/>
    <w:rsid w:val="00A924EC"/>
    <w:rsid w:val="00A9258B"/>
    <w:rsid w:val="00A92681"/>
    <w:rsid w:val="00A926B2"/>
    <w:rsid w:val="00A926FD"/>
    <w:rsid w:val="00A92703"/>
    <w:rsid w:val="00A92775"/>
    <w:rsid w:val="00A9288C"/>
    <w:rsid w:val="00A928D6"/>
    <w:rsid w:val="00A9294E"/>
    <w:rsid w:val="00A92CCA"/>
    <w:rsid w:val="00A92CEF"/>
    <w:rsid w:val="00A92E19"/>
    <w:rsid w:val="00A92F2D"/>
    <w:rsid w:val="00A92F70"/>
    <w:rsid w:val="00A92F92"/>
    <w:rsid w:val="00A93010"/>
    <w:rsid w:val="00A93067"/>
    <w:rsid w:val="00A9318E"/>
    <w:rsid w:val="00A9325C"/>
    <w:rsid w:val="00A933BD"/>
    <w:rsid w:val="00A93458"/>
    <w:rsid w:val="00A9357C"/>
    <w:rsid w:val="00A935A6"/>
    <w:rsid w:val="00A935A8"/>
    <w:rsid w:val="00A9363A"/>
    <w:rsid w:val="00A9367F"/>
    <w:rsid w:val="00A9383F"/>
    <w:rsid w:val="00A938F9"/>
    <w:rsid w:val="00A939F3"/>
    <w:rsid w:val="00A93A6F"/>
    <w:rsid w:val="00A93D73"/>
    <w:rsid w:val="00A93DB0"/>
    <w:rsid w:val="00A93E88"/>
    <w:rsid w:val="00A93ECB"/>
    <w:rsid w:val="00A93EDA"/>
    <w:rsid w:val="00A93FA5"/>
    <w:rsid w:val="00A9408D"/>
    <w:rsid w:val="00A940B3"/>
    <w:rsid w:val="00A940D9"/>
    <w:rsid w:val="00A941B5"/>
    <w:rsid w:val="00A941CC"/>
    <w:rsid w:val="00A941D4"/>
    <w:rsid w:val="00A942AE"/>
    <w:rsid w:val="00A94311"/>
    <w:rsid w:val="00A94414"/>
    <w:rsid w:val="00A944E8"/>
    <w:rsid w:val="00A9451F"/>
    <w:rsid w:val="00A946B8"/>
    <w:rsid w:val="00A94737"/>
    <w:rsid w:val="00A9487D"/>
    <w:rsid w:val="00A94895"/>
    <w:rsid w:val="00A94A26"/>
    <w:rsid w:val="00A94B7A"/>
    <w:rsid w:val="00A94B91"/>
    <w:rsid w:val="00A94CB7"/>
    <w:rsid w:val="00A94F3E"/>
    <w:rsid w:val="00A94F92"/>
    <w:rsid w:val="00A94FAB"/>
    <w:rsid w:val="00A950DA"/>
    <w:rsid w:val="00A95118"/>
    <w:rsid w:val="00A9511B"/>
    <w:rsid w:val="00A9511E"/>
    <w:rsid w:val="00A95124"/>
    <w:rsid w:val="00A95196"/>
    <w:rsid w:val="00A951EB"/>
    <w:rsid w:val="00A9525D"/>
    <w:rsid w:val="00A95270"/>
    <w:rsid w:val="00A9537E"/>
    <w:rsid w:val="00A953C9"/>
    <w:rsid w:val="00A953F9"/>
    <w:rsid w:val="00A95414"/>
    <w:rsid w:val="00A954C0"/>
    <w:rsid w:val="00A954E2"/>
    <w:rsid w:val="00A95534"/>
    <w:rsid w:val="00A95595"/>
    <w:rsid w:val="00A955A4"/>
    <w:rsid w:val="00A957DF"/>
    <w:rsid w:val="00A95954"/>
    <w:rsid w:val="00A9599A"/>
    <w:rsid w:val="00A95B09"/>
    <w:rsid w:val="00A95BD1"/>
    <w:rsid w:val="00A95C76"/>
    <w:rsid w:val="00A95C88"/>
    <w:rsid w:val="00A95CDC"/>
    <w:rsid w:val="00A95D00"/>
    <w:rsid w:val="00A95E68"/>
    <w:rsid w:val="00A95EE2"/>
    <w:rsid w:val="00A95F0A"/>
    <w:rsid w:val="00A95FD2"/>
    <w:rsid w:val="00A960DC"/>
    <w:rsid w:val="00A96109"/>
    <w:rsid w:val="00A9632A"/>
    <w:rsid w:val="00A96338"/>
    <w:rsid w:val="00A9635E"/>
    <w:rsid w:val="00A9639C"/>
    <w:rsid w:val="00A963E6"/>
    <w:rsid w:val="00A9652D"/>
    <w:rsid w:val="00A965C1"/>
    <w:rsid w:val="00A9665C"/>
    <w:rsid w:val="00A96667"/>
    <w:rsid w:val="00A96677"/>
    <w:rsid w:val="00A96726"/>
    <w:rsid w:val="00A96750"/>
    <w:rsid w:val="00A967C5"/>
    <w:rsid w:val="00A9685C"/>
    <w:rsid w:val="00A968B9"/>
    <w:rsid w:val="00A96958"/>
    <w:rsid w:val="00A969B4"/>
    <w:rsid w:val="00A96A34"/>
    <w:rsid w:val="00A96B22"/>
    <w:rsid w:val="00A96CF7"/>
    <w:rsid w:val="00A96DCE"/>
    <w:rsid w:val="00A96E93"/>
    <w:rsid w:val="00A96F02"/>
    <w:rsid w:val="00A96F47"/>
    <w:rsid w:val="00A96FF5"/>
    <w:rsid w:val="00A97049"/>
    <w:rsid w:val="00A9708B"/>
    <w:rsid w:val="00A9710B"/>
    <w:rsid w:val="00A9711B"/>
    <w:rsid w:val="00A9718C"/>
    <w:rsid w:val="00A97243"/>
    <w:rsid w:val="00A9728F"/>
    <w:rsid w:val="00A97319"/>
    <w:rsid w:val="00A9732E"/>
    <w:rsid w:val="00A97348"/>
    <w:rsid w:val="00A97380"/>
    <w:rsid w:val="00A9738B"/>
    <w:rsid w:val="00A9748C"/>
    <w:rsid w:val="00A974CC"/>
    <w:rsid w:val="00A975BC"/>
    <w:rsid w:val="00A976C7"/>
    <w:rsid w:val="00A976CF"/>
    <w:rsid w:val="00A97711"/>
    <w:rsid w:val="00A9778D"/>
    <w:rsid w:val="00A97795"/>
    <w:rsid w:val="00A977A0"/>
    <w:rsid w:val="00A9786A"/>
    <w:rsid w:val="00A978FA"/>
    <w:rsid w:val="00A97998"/>
    <w:rsid w:val="00A979A2"/>
    <w:rsid w:val="00A97A4E"/>
    <w:rsid w:val="00A97B41"/>
    <w:rsid w:val="00A97B48"/>
    <w:rsid w:val="00A97BE3"/>
    <w:rsid w:val="00A97C26"/>
    <w:rsid w:val="00A97C54"/>
    <w:rsid w:val="00A97C67"/>
    <w:rsid w:val="00A97CC5"/>
    <w:rsid w:val="00A97CF7"/>
    <w:rsid w:val="00A97D2D"/>
    <w:rsid w:val="00A97E32"/>
    <w:rsid w:val="00A97E9C"/>
    <w:rsid w:val="00A97F37"/>
    <w:rsid w:val="00A97F56"/>
    <w:rsid w:val="00A97FD8"/>
    <w:rsid w:val="00AA00AF"/>
    <w:rsid w:val="00AA00BD"/>
    <w:rsid w:val="00AA016B"/>
    <w:rsid w:val="00AA01CC"/>
    <w:rsid w:val="00AA026D"/>
    <w:rsid w:val="00AA027B"/>
    <w:rsid w:val="00AA029E"/>
    <w:rsid w:val="00AA03D4"/>
    <w:rsid w:val="00AA03D7"/>
    <w:rsid w:val="00AA03E7"/>
    <w:rsid w:val="00AA0409"/>
    <w:rsid w:val="00AA04B4"/>
    <w:rsid w:val="00AA057E"/>
    <w:rsid w:val="00AA05F0"/>
    <w:rsid w:val="00AA0602"/>
    <w:rsid w:val="00AA063B"/>
    <w:rsid w:val="00AA06B6"/>
    <w:rsid w:val="00AA0753"/>
    <w:rsid w:val="00AA0797"/>
    <w:rsid w:val="00AA0955"/>
    <w:rsid w:val="00AA0979"/>
    <w:rsid w:val="00AA0993"/>
    <w:rsid w:val="00AA0A24"/>
    <w:rsid w:val="00AA0A41"/>
    <w:rsid w:val="00AA0A56"/>
    <w:rsid w:val="00AA0B24"/>
    <w:rsid w:val="00AA0C47"/>
    <w:rsid w:val="00AA0C4F"/>
    <w:rsid w:val="00AA0C51"/>
    <w:rsid w:val="00AA0D00"/>
    <w:rsid w:val="00AA0D1D"/>
    <w:rsid w:val="00AA0DF4"/>
    <w:rsid w:val="00AA0E54"/>
    <w:rsid w:val="00AA0ED3"/>
    <w:rsid w:val="00AA0EED"/>
    <w:rsid w:val="00AA0FF7"/>
    <w:rsid w:val="00AA1089"/>
    <w:rsid w:val="00AA10F8"/>
    <w:rsid w:val="00AA119A"/>
    <w:rsid w:val="00AA11A5"/>
    <w:rsid w:val="00AA12A1"/>
    <w:rsid w:val="00AA1457"/>
    <w:rsid w:val="00AA1466"/>
    <w:rsid w:val="00AA1475"/>
    <w:rsid w:val="00AA14EE"/>
    <w:rsid w:val="00AA1546"/>
    <w:rsid w:val="00AA1757"/>
    <w:rsid w:val="00AA18DC"/>
    <w:rsid w:val="00AA1979"/>
    <w:rsid w:val="00AA1997"/>
    <w:rsid w:val="00AA1A9A"/>
    <w:rsid w:val="00AA1AA4"/>
    <w:rsid w:val="00AA1AAC"/>
    <w:rsid w:val="00AA1B42"/>
    <w:rsid w:val="00AA1C04"/>
    <w:rsid w:val="00AA1C13"/>
    <w:rsid w:val="00AA1C6E"/>
    <w:rsid w:val="00AA1CBC"/>
    <w:rsid w:val="00AA1D5D"/>
    <w:rsid w:val="00AA1D81"/>
    <w:rsid w:val="00AA1EF2"/>
    <w:rsid w:val="00AA1F08"/>
    <w:rsid w:val="00AA1F16"/>
    <w:rsid w:val="00AA1F51"/>
    <w:rsid w:val="00AA1F77"/>
    <w:rsid w:val="00AA21C1"/>
    <w:rsid w:val="00AA249E"/>
    <w:rsid w:val="00AA24FF"/>
    <w:rsid w:val="00AA25CC"/>
    <w:rsid w:val="00AA265D"/>
    <w:rsid w:val="00AA26CF"/>
    <w:rsid w:val="00AA270F"/>
    <w:rsid w:val="00AA276A"/>
    <w:rsid w:val="00AA27E5"/>
    <w:rsid w:val="00AA2830"/>
    <w:rsid w:val="00AA2896"/>
    <w:rsid w:val="00AA289E"/>
    <w:rsid w:val="00AA28A0"/>
    <w:rsid w:val="00AA29DD"/>
    <w:rsid w:val="00AA2A84"/>
    <w:rsid w:val="00AA2AB4"/>
    <w:rsid w:val="00AA2B0E"/>
    <w:rsid w:val="00AA2B34"/>
    <w:rsid w:val="00AA2B59"/>
    <w:rsid w:val="00AA2BA3"/>
    <w:rsid w:val="00AA2C3A"/>
    <w:rsid w:val="00AA2CD2"/>
    <w:rsid w:val="00AA2E12"/>
    <w:rsid w:val="00AA2F83"/>
    <w:rsid w:val="00AA2FA9"/>
    <w:rsid w:val="00AA306A"/>
    <w:rsid w:val="00AA3270"/>
    <w:rsid w:val="00AA3273"/>
    <w:rsid w:val="00AA32C0"/>
    <w:rsid w:val="00AA33F0"/>
    <w:rsid w:val="00AA33F2"/>
    <w:rsid w:val="00AA3495"/>
    <w:rsid w:val="00AA3580"/>
    <w:rsid w:val="00AA3582"/>
    <w:rsid w:val="00AA3639"/>
    <w:rsid w:val="00AA36F4"/>
    <w:rsid w:val="00AA3725"/>
    <w:rsid w:val="00AA375E"/>
    <w:rsid w:val="00AA3841"/>
    <w:rsid w:val="00AA3957"/>
    <w:rsid w:val="00AA397B"/>
    <w:rsid w:val="00AA3A85"/>
    <w:rsid w:val="00AA3AE7"/>
    <w:rsid w:val="00AA3AEF"/>
    <w:rsid w:val="00AA3B2F"/>
    <w:rsid w:val="00AA3B79"/>
    <w:rsid w:val="00AA3B9D"/>
    <w:rsid w:val="00AA3CAB"/>
    <w:rsid w:val="00AA3CD3"/>
    <w:rsid w:val="00AA3D59"/>
    <w:rsid w:val="00AA3ED4"/>
    <w:rsid w:val="00AA3F2E"/>
    <w:rsid w:val="00AA3F46"/>
    <w:rsid w:val="00AA3FE5"/>
    <w:rsid w:val="00AA402D"/>
    <w:rsid w:val="00AA4070"/>
    <w:rsid w:val="00AA41F4"/>
    <w:rsid w:val="00AA4220"/>
    <w:rsid w:val="00AA423C"/>
    <w:rsid w:val="00AA4293"/>
    <w:rsid w:val="00AA4445"/>
    <w:rsid w:val="00AA44CD"/>
    <w:rsid w:val="00AA451F"/>
    <w:rsid w:val="00AA4610"/>
    <w:rsid w:val="00AA4630"/>
    <w:rsid w:val="00AA46D6"/>
    <w:rsid w:val="00AA47F8"/>
    <w:rsid w:val="00AA487E"/>
    <w:rsid w:val="00AA489F"/>
    <w:rsid w:val="00AA48FE"/>
    <w:rsid w:val="00AA4912"/>
    <w:rsid w:val="00AA4A08"/>
    <w:rsid w:val="00AA4A91"/>
    <w:rsid w:val="00AA4B46"/>
    <w:rsid w:val="00AA4B74"/>
    <w:rsid w:val="00AA4BAD"/>
    <w:rsid w:val="00AA4C36"/>
    <w:rsid w:val="00AA4CBE"/>
    <w:rsid w:val="00AA4D89"/>
    <w:rsid w:val="00AA4DC5"/>
    <w:rsid w:val="00AA4DE1"/>
    <w:rsid w:val="00AA4DFF"/>
    <w:rsid w:val="00AA4E66"/>
    <w:rsid w:val="00AA4F16"/>
    <w:rsid w:val="00AA4F9F"/>
    <w:rsid w:val="00AA4FA5"/>
    <w:rsid w:val="00AA5048"/>
    <w:rsid w:val="00AA520B"/>
    <w:rsid w:val="00AA52D7"/>
    <w:rsid w:val="00AA52F0"/>
    <w:rsid w:val="00AA5315"/>
    <w:rsid w:val="00AA5321"/>
    <w:rsid w:val="00AA5372"/>
    <w:rsid w:val="00AA5380"/>
    <w:rsid w:val="00AA55A1"/>
    <w:rsid w:val="00AA5610"/>
    <w:rsid w:val="00AA567F"/>
    <w:rsid w:val="00AA57E8"/>
    <w:rsid w:val="00AA5827"/>
    <w:rsid w:val="00AA58BE"/>
    <w:rsid w:val="00AA58CA"/>
    <w:rsid w:val="00AA5985"/>
    <w:rsid w:val="00AA59E3"/>
    <w:rsid w:val="00AA5A0B"/>
    <w:rsid w:val="00AA5A9F"/>
    <w:rsid w:val="00AA5ABD"/>
    <w:rsid w:val="00AA5AE7"/>
    <w:rsid w:val="00AA5B06"/>
    <w:rsid w:val="00AA5C41"/>
    <w:rsid w:val="00AA5D08"/>
    <w:rsid w:val="00AA5D9F"/>
    <w:rsid w:val="00AA5DC3"/>
    <w:rsid w:val="00AA5DF8"/>
    <w:rsid w:val="00AA5E01"/>
    <w:rsid w:val="00AA5E36"/>
    <w:rsid w:val="00AA5E78"/>
    <w:rsid w:val="00AA5E9B"/>
    <w:rsid w:val="00AA5EB9"/>
    <w:rsid w:val="00AA5F3A"/>
    <w:rsid w:val="00AA6085"/>
    <w:rsid w:val="00AA6246"/>
    <w:rsid w:val="00AA63B5"/>
    <w:rsid w:val="00AA6441"/>
    <w:rsid w:val="00AA644F"/>
    <w:rsid w:val="00AA64B4"/>
    <w:rsid w:val="00AA65A5"/>
    <w:rsid w:val="00AA6705"/>
    <w:rsid w:val="00AA6740"/>
    <w:rsid w:val="00AA67A0"/>
    <w:rsid w:val="00AA67AC"/>
    <w:rsid w:val="00AA6976"/>
    <w:rsid w:val="00AA69B4"/>
    <w:rsid w:val="00AA6B1F"/>
    <w:rsid w:val="00AA6B52"/>
    <w:rsid w:val="00AA6B74"/>
    <w:rsid w:val="00AA6BBC"/>
    <w:rsid w:val="00AA6BDC"/>
    <w:rsid w:val="00AA6C34"/>
    <w:rsid w:val="00AA6DC4"/>
    <w:rsid w:val="00AA6E5E"/>
    <w:rsid w:val="00AA6F04"/>
    <w:rsid w:val="00AA6FBF"/>
    <w:rsid w:val="00AA6FDD"/>
    <w:rsid w:val="00AA7097"/>
    <w:rsid w:val="00AA71D5"/>
    <w:rsid w:val="00AA7234"/>
    <w:rsid w:val="00AA7259"/>
    <w:rsid w:val="00AA72B5"/>
    <w:rsid w:val="00AA7409"/>
    <w:rsid w:val="00AA7439"/>
    <w:rsid w:val="00AA74F1"/>
    <w:rsid w:val="00AA753D"/>
    <w:rsid w:val="00AA7580"/>
    <w:rsid w:val="00AA7602"/>
    <w:rsid w:val="00AA763F"/>
    <w:rsid w:val="00AA7652"/>
    <w:rsid w:val="00AA7680"/>
    <w:rsid w:val="00AA77D9"/>
    <w:rsid w:val="00AA77F1"/>
    <w:rsid w:val="00AA780F"/>
    <w:rsid w:val="00AA7814"/>
    <w:rsid w:val="00AA794C"/>
    <w:rsid w:val="00AA79C4"/>
    <w:rsid w:val="00AA79F9"/>
    <w:rsid w:val="00AA7A04"/>
    <w:rsid w:val="00AA7AD8"/>
    <w:rsid w:val="00AA7B69"/>
    <w:rsid w:val="00AA7B77"/>
    <w:rsid w:val="00AA7C22"/>
    <w:rsid w:val="00AA7CA8"/>
    <w:rsid w:val="00AA7DC1"/>
    <w:rsid w:val="00AA7E21"/>
    <w:rsid w:val="00AA7E35"/>
    <w:rsid w:val="00AA7E77"/>
    <w:rsid w:val="00AA7F25"/>
    <w:rsid w:val="00AA7F82"/>
    <w:rsid w:val="00AA7FD9"/>
    <w:rsid w:val="00AA7FF8"/>
    <w:rsid w:val="00AB0065"/>
    <w:rsid w:val="00AB00A0"/>
    <w:rsid w:val="00AB00E0"/>
    <w:rsid w:val="00AB0116"/>
    <w:rsid w:val="00AB0269"/>
    <w:rsid w:val="00AB044B"/>
    <w:rsid w:val="00AB04CA"/>
    <w:rsid w:val="00AB04E8"/>
    <w:rsid w:val="00AB068C"/>
    <w:rsid w:val="00AB0804"/>
    <w:rsid w:val="00AB08E2"/>
    <w:rsid w:val="00AB0977"/>
    <w:rsid w:val="00AB0AAB"/>
    <w:rsid w:val="00AB0AFE"/>
    <w:rsid w:val="00AB0C34"/>
    <w:rsid w:val="00AB0C81"/>
    <w:rsid w:val="00AB0CDF"/>
    <w:rsid w:val="00AB0F74"/>
    <w:rsid w:val="00AB0FBB"/>
    <w:rsid w:val="00AB104B"/>
    <w:rsid w:val="00AB10C8"/>
    <w:rsid w:val="00AB116C"/>
    <w:rsid w:val="00AB12F1"/>
    <w:rsid w:val="00AB1313"/>
    <w:rsid w:val="00AB1415"/>
    <w:rsid w:val="00AB14D3"/>
    <w:rsid w:val="00AB1660"/>
    <w:rsid w:val="00AB16C1"/>
    <w:rsid w:val="00AB16D5"/>
    <w:rsid w:val="00AB1708"/>
    <w:rsid w:val="00AB185E"/>
    <w:rsid w:val="00AB1945"/>
    <w:rsid w:val="00AB19C6"/>
    <w:rsid w:val="00AB1A82"/>
    <w:rsid w:val="00AB1A95"/>
    <w:rsid w:val="00AB1B6A"/>
    <w:rsid w:val="00AB1C34"/>
    <w:rsid w:val="00AB1CC1"/>
    <w:rsid w:val="00AB1D00"/>
    <w:rsid w:val="00AB1D12"/>
    <w:rsid w:val="00AB1D14"/>
    <w:rsid w:val="00AB1DA4"/>
    <w:rsid w:val="00AB1E6D"/>
    <w:rsid w:val="00AB1EBA"/>
    <w:rsid w:val="00AB1F01"/>
    <w:rsid w:val="00AB1F5B"/>
    <w:rsid w:val="00AB1FC4"/>
    <w:rsid w:val="00AB21D4"/>
    <w:rsid w:val="00AB2323"/>
    <w:rsid w:val="00AB2330"/>
    <w:rsid w:val="00AB2339"/>
    <w:rsid w:val="00AB23D9"/>
    <w:rsid w:val="00AB240E"/>
    <w:rsid w:val="00AB245F"/>
    <w:rsid w:val="00AB2526"/>
    <w:rsid w:val="00AB25F0"/>
    <w:rsid w:val="00AB2600"/>
    <w:rsid w:val="00AB2691"/>
    <w:rsid w:val="00AB2917"/>
    <w:rsid w:val="00AB2B24"/>
    <w:rsid w:val="00AB2BC1"/>
    <w:rsid w:val="00AB2BE2"/>
    <w:rsid w:val="00AB2C6F"/>
    <w:rsid w:val="00AB2C87"/>
    <w:rsid w:val="00AB2CDE"/>
    <w:rsid w:val="00AB2E0E"/>
    <w:rsid w:val="00AB2F7E"/>
    <w:rsid w:val="00AB3016"/>
    <w:rsid w:val="00AB3060"/>
    <w:rsid w:val="00AB30B3"/>
    <w:rsid w:val="00AB3184"/>
    <w:rsid w:val="00AB31A7"/>
    <w:rsid w:val="00AB31EB"/>
    <w:rsid w:val="00AB3293"/>
    <w:rsid w:val="00AB3295"/>
    <w:rsid w:val="00AB32BA"/>
    <w:rsid w:val="00AB3392"/>
    <w:rsid w:val="00AB33FC"/>
    <w:rsid w:val="00AB3465"/>
    <w:rsid w:val="00AB347D"/>
    <w:rsid w:val="00AB348B"/>
    <w:rsid w:val="00AB34CD"/>
    <w:rsid w:val="00AB3622"/>
    <w:rsid w:val="00AB365B"/>
    <w:rsid w:val="00AB365E"/>
    <w:rsid w:val="00AB3699"/>
    <w:rsid w:val="00AB36DF"/>
    <w:rsid w:val="00AB3786"/>
    <w:rsid w:val="00AB3835"/>
    <w:rsid w:val="00AB38FE"/>
    <w:rsid w:val="00AB3923"/>
    <w:rsid w:val="00AB392B"/>
    <w:rsid w:val="00AB396D"/>
    <w:rsid w:val="00AB3A88"/>
    <w:rsid w:val="00AB3A89"/>
    <w:rsid w:val="00AB3AC6"/>
    <w:rsid w:val="00AB3B61"/>
    <w:rsid w:val="00AB3CCE"/>
    <w:rsid w:val="00AB3D39"/>
    <w:rsid w:val="00AB3E29"/>
    <w:rsid w:val="00AB3E38"/>
    <w:rsid w:val="00AB3FC5"/>
    <w:rsid w:val="00AB40FA"/>
    <w:rsid w:val="00AB42A2"/>
    <w:rsid w:val="00AB42F4"/>
    <w:rsid w:val="00AB4527"/>
    <w:rsid w:val="00AB455F"/>
    <w:rsid w:val="00AB45A9"/>
    <w:rsid w:val="00AB45DE"/>
    <w:rsid w:val="00AB4640"/>
    <w:rsid w:val="00AB466A"/>
    <w:rsid w:val="00AB46CA"/>
    <w:rsid w:val="00AB4807"/>
    <w:rsid w:val="00AB4889"/>
    <w:rsid w:val="00AB492C"/>
    <w:rsid w:val="00AB49B4"/>
    <w:rsid w:val="00AB4B7B"/>
    <w:rsid w:val="00AB4C69"/>
    <w:rsid w:val="00AB4DDF"/>
    <w:rsid w:val="00AB4DE9"/>
    <w:rsid w:val="00AB4EBC"/>
    <w:rsid w:val="00AB4F31"/>
    <w:rsid w:val="00AB4F7A"/>
    <w:rsid w:val="00AB5032"/>
    <w:rsid w:val="00AB50F8"/>
    <w:rsid w:val="00AB5457"/>
    <w:rsid w:val="00AB5519"/>
    <w:rsid w:val="00AB5526"/>
    <w:rsid w:val="00AB553E"/>
    <w:rsid w:val="00AB5589"/>
    <w:rsid w:val="00AB561A"/>
    <w:rsid w:val="00AB5696"/>
    <w:rsid w:val="00AB5828"/>
    <w:rsid w:val="00AB5838"/>
    <w:rsid w:val="00AB58BA"/>
    <w:rsid w:val="00AB594D"/>
    <w:rsid w:val="00AB5AC0"/>
    <w:rsid w:val="00AB5BFA"/>
    <w:rsid w:val="00AB5C3D"/>
    <w:rsid w:val="00AB5C72"/>
    <w:rsid w:val="00AB5D1F"/>
    <w:rsid w:val="00AB5D39"/>
    <w:rsid w:val="00AB5D7C"/>
    <w:rsid w:val="00AB5D8F"/>
    <w:rsid w:val="00AB5E8F"/>
    <w:rsid w:val="00AB5FC6"/>
    <w:rsid w:val="00AB5FD1"/>
    <w:rsid w:val="00AB6134"/>
    <w:rsid w:val="00AB61E4"/>
    <w:rsid w:val="00AB6237"/>
    <w:rsid w:val="00AB6292"/>
    <w:rsid w:val="00AB6351"/>
    <w:rsid w:val="00AB63B5"/>
    <w:rsid w:val="00AB63FB"/>
    <w:rsid w:val="00AB641B"/>
    <w:rsid w:val="00AB6432"/>
    <w:rsid w:val="00AB646E"/>
    <w:rsid w:val="00AB6490"/>
    <w:rsid w:val="00AB65BA"/>
    <w:rsid w:val="00AB6699"/>
    <w:rsid w:val="00AB6700"/>
    <w:rsid w:val="00AB67A8"/>
    <w:rsid w:val="00AB696A"/>
    <w:rsid w:val="00AB6A37"/>
    <w:rsid w:val="00AB6A45"/>
    <w:rsid w:val="00AB6B13"/>
    <w:rsid w:val="00AB6B6E"/>
    <w:rsid w:val="00AB6CFD"/>
    <w:rsid w:val="00AB6D2D"/>
    <w:rsid w:val="00AB6D59"/>
    <w:rsid w:val="00AB70D0"/>
    <w:rsid w:val="00AB70E3"/>
    <w:rsid w:val="00AB711E"/>
    <w:rsid w:val="00AB7283"/>
    <w:rsid w:val="00AB7455"/>
    <w:rsid w:val="00AB747F"/>
    <w:rsid w:val="00AB7554"/>
    <w:rsid w:val="00AB7564"/>
    <w:rsid w:val="00AB75F5"/>
    <w:rsid w:val="00AB7664"/>
    <w:rsid w:val="00AB76F6"/>
    <w:rsid w:val="00AB7710"/>
    <w:rsid w:val="00AB7740"/>
    <w:rsid w:val="00AB78C0"/>
    <w:rsid w:val="00AB7947"/>
    <w:rsid w:val="00AB7964"/>
    <w:rsid w:val="00AB79FA"/>
    <w:rsid w:val="00AB7B73"/>
    <w:rsid w:val="00AB7B75"/>
    <w:rsid w:val="00AB7BEC"/>
    <w:rsid w:val="00AB7E46"/>
    <w:rsid w:val="00AB7FBF"/>
    <w:rsid w:val="00AB7FF3"/>
    <w:rsid w:val="00AC01D8"/>
    <w:rsid w:val="00AC01DA"/>
    <w:rsid w:val="00AC0210"/>
    <w:rsid w:val="00AC023C"/>
    <w:rsid w:val="00AC028E"/>
    <w:rsid w:val="00AC02D2"/>
    <w:rsid w:val="00AC0301"/>
    <w:rsid w:val="00AC0307"/>
    <w:rsid w:val="00AC032C"/>
    <w:rsid w:val="00AC0365"/>
    <w:rsid w:val="00AC0375"/>
    <w:rsid w:val="00AC03A3"/>
    <w:rsid w:val="00AC03AC"/>
    <w:rsid w:val="00AC05EB"/>
    <w:rsid w:val="00AC05F9"/>
    <w:rsid w:val="00AC060B"/>
    <w:rsid w:val="00AC063B"/>
    <w:rsid w:val="00AC065B"/>
    <w:rsid w:val="00AC0727"/>
    <w:rsid w:val="00AC09A2"/>
    <w:rsid w:val="00AC09B7"/>
    <w:rsid w:val="00AC0A18"/>
    <w:rsid w:val="00AC0A61"/>
    <w:rsid w:val="00AC0A8B"/>
    <w:rsid w:val="00AC0B1C"/>
    <w:rsid w:val="00AC0B51"/>
    <w:rsid w:val="00AC0CB8"/>
    <w:rsid w:val="00AC0CCD"/>
    <w:rsid w:val="00AC0E10"/>
    <w:rsid w:val="00AC0ED7"/>
    <w:rsid w:val="00AC1090"/>
    <w:rsid w:val="00AC11AB"/>
    <w:rsid w:val="00AC1204"/>
    <w:rsid w:val="00AC120C"/>
    <w:rsid w:val="00AC1271"/>
    <w:rsid w:val="00AC12E9"/>
    <w:rsid w:val="00AC1302"/>
    <w:rsid w:val="00AC1305"/>
    <w:rsid w:val="00AC132E"/>
    <w:rsid w:val="00AC1385"/>
    <w:rsid w:val="00AC1417"/>
    <w:rsid w:val="00AC152C"/>
    <w:rsid w:val="00AC15BB"/>
    <w:rsid w:val="00AC15CE"/>
    <w:rsid w:val="00AC161C"/>
    <w:rsid w:val="00AC1624"/>
    <w:rsid w:val="00AC1668"/>
    <w:rsid w:val="00AC1716"/>
    <w:rsid w:val="00AC1742"/>
    <w:rsid w:val="00AC1775"/>
    <w:rsid w:val="00AC17F0"/>
    <w:rsid w:val="00AC18B5"/>
    <w:rsid w:val="00AC18E5"/>
    <w:rsid w:val="00AC1945"/>
    <w:rsid w:val="00AC19DA"/>
    <w:rsid w:val="00AC1BE4"/>
    <w:rsid w:val="00AC1CF9"/>
    <w:rsid w:val="00AC1E36"/>
    <w:rsid w:val="00AC1E5F"/>
    <w:rsid w:val="00AC1E97"/>
    <w:rsid w:val="00AC2055"/>
    <w:rsid w:val="00AC211F"/>
    <w:rsid w:val="00AC2283"/>
    <w:rsid w:val="00AC238D"/>
    <w:rsid w:val="00AC249F"/>
    <w:rsid w:val="00AC24FA"/>
    <w:rsid w:val="00AC251D"/>
    <w:rsid w:val="00AC25B2"/>
    <w:rsid w:val="00AC25C5"/>
    <w:rsid w:val="00AC2600"/>
    <w:rsid w:val="00AC2653"/>
    <w:rsid w:val="00AC265F"/>
    <w:rsid w:val="00AC26CF"/>
    <w:rsid w:val="00AC2861"/>
    <w:rsid w:val="00AC2882"/>
    <w:rsid w:val="00AC2BCB"/>
    <w:rsid w:val="00AC2C02"/>
    <w:rsid w:val="00AC2C14"/>
    <w:rsid w:val="00AC2C24"/>
    <w:rsid w:val="00AC2C51"/>
    <w:rsid w:val="00AC2D7E"/>
    <w:rsid w:val="00AC2D87"/>
    <w:rsid w:val="00AC2DDB"/>
    <w:rsid w:val="00AC2E46"/>
    <w:rsid w:val="00AC2F17"/>
    <w:rsid w:val="00AC302F"/>
    <w:rsid w:val="00AC307A"/>
    <w:rsid w:val="00AC309F"/>
    <w:rsid w:val="00AC31E7"/>
    <w:rsid w:val="00AC3220"/>
    <w:rsid w:val="00AC325B"/>
    <w:rsid w:val="00AC32E2"/>
    <w:rsid w:val="00AC3351"/>
    <w:rsid w:val="00AC342F"/>
    <w:rsid w:val="00AC3471"/>
    <w:rsid w:val="00AC367C"/>
    <w:rsid w:val="00AC36DA"/>
    <w:rsid w:val="00AC371A"/>
    <w:rsid w:val="00AC3735"/>
    <w:rsid w:val="00AC3792"/>
    <w:rsid w:val="00AC38AC"/>
    <w:rsid w:val="00AC3915"/>
    <w:rsid w:val="00AC3A56"/>
    <w:rsid w:val="00AC3A75"/>
    <w:rsid w:val="00AC3A99"/>
    <w:rsid w:val="00AC3A9C"/>
    <w:rsid w:val="00AC3AC5"/>
    <w:rsid w:val="00AC3B7A"/>
    <w:rsid w:val="00AC3BFE"/>
    <w:rsid w:val="00AC3C02"/>
    <w:rsid w:val="00AC3D1E"/>
    <w:rsid w:val="00AC3D32"/>
    <w:rsid w:val="00AC3DB1"/>
    <w:rsid w:val="00AC3EB0"/>
    <w:rsid w:val="00AC3EDA"/>
    <w:rsid w:val="00AC3F5A"/>
    <w:rsid w:val="00AC3FA6"/>
    <w:rsid w:val="00AC3FD8"/>
    <w:rsid w:val="00AC4027"/>
    <w:rsid w:val="00AC4065"/>
    <w:rsid w:val="00AC40A2"/>
    <w:rsid w:val="00AC4298"/>
    <w:rsid w:val="00AC4307"/>
    <w:rsid w:val="00AC442B"/>
    <w:rsid w:val="00AC4445"/>
    <w:rsid w:val="00AC4558"/>
    <w:rsid w:val="00AC45B7"/>
    <w:rsid w:val="00AC45E5"/>
    <w:rsid w:val="00AC4649"/>
    <w:rsid w:val="00AC4685"/>
    <w:rsid w:val="00AC4724"/>
    <w:rsid w:val="00AC4820"/>
    <w:rsid w:val="00AC487F"/>
    <w:rsid w:val="00AC4995"/>
    <w:rsid w:val="00AC4ABC"/>
    <w:rsid w:val="00AC4BCE"/>
    <w:rsid w:val="00AC4D0C"/>
    <w:rsid w:val="00AC4D49"/>
    <w:rsid w:val="00AC4DB5"/>
    <w:rsid w:val="00AC4E00"/>
    <w:rsid w:val="00AC4E87"/>
    <w:rsid w:val="00AC4EA5"/>
    <w:rsid w:val="00AC4FFC"/>
    <w:rsid w:val="00AC5086"/>
    <w:rsid w:val="00AC508E"/>
    <w:rsid w:val="00AC50FD"/>
    <w:rsid w:val="00AC5146"/>
    <w:rsid w:val="00AC534E"/>
    <w:rsid w:val="00AC53DB"/>
    <w:rsid w:val="00AC53E5"/>
    <w:rsid w:val="00AC53EE"/>
    <w:rsid w:val="00AC54DC"/>
    <w:rsid w:val="00AC5541"/>
    <w:rsid w:val="00AC55AE"/>
    <w:rsid w:val="00AC55D0"/>
    <w:rsid w:val="00AC55E6"/>
    <w:rsid w:val="00AC5645"/>
    <w:rsid w:val="00AC58AB"/>
    <w:rsid w:val="00AC5B58"/>
    <w:rsid w:val="00AC5BC0"/>
    <w:rsid w:val="00AC5CE2"/>
    <w:rsid w:val="00AC5D26"/>
    <w:rsid w:val="00AC5DCD"/>
    <w:rsid w:val="00AC5E73"/>
    <w:rsid w:val="00AC5E85"/>
    <w:rsid w:val="00AC5EEF"/>
    <w:rsid w:val="00AC5F01"/>
    <w:rsid w:val="00AC5F72"/>
    <w:rsid w:val="00AC60C0"/>
    <w:rsid w:val="00AC6125"/>
    <w:rsid w:val="00AC6142"/>
    <w:rsid w:val="00AC6209"/>
    <w:rsid w:val="00AC62A5"/>
    <w:rsid w:val="00AC63A6"/>
    <w:rsid w:val="00AC63C6"/>
    <w:rsid w:val="00AC643C"/>
    <w:rsid w:val="00AC657E"/>
    <w:rsid w:val="00AC6637"/>
    <w:rsid w:val="00AC6710"/>
    <w:rsid w:val="00AC679A"/>
    <w:rsid w:val="00AC6879"/>
    <w:rsid w:val="00AC6898"/>
    <w:rsid w:val="00AC689E"/>
    <w:rsid w:val="00AC68A7"/>
    <w:rsid w:val="00AC6D77"/>
    <w:rsid w:val="00AC6DC7"/>
    <w:rsid w:val="00AC6DEA"/>
    <w:rsid w:val="00AC6EE5"/>
    <w:rsid w:val="00AC6EED"/>
    <w:rsid w:val="00AC6F4E"/>
    <w:rsid w:val="00AC6F6A"/>
    <w:rsid w:val="00AC6FD3"/>
    <w:rsid w:val="00AC7011"/>
    <w:rsid w:val="00AC7086"/>
    <w:rsid w:val="00AC70BB"/>
    <w:rsid w:val="00AC7234"/>
    <w:rsid w:val="00AC72F2"/>
    <w:rsid w:val="00AC7361"/>
    <w:rsid w:val="00AC73EF"/>
    <w:rsid w:val="00AC744C"/>
    <w:rsid w:val="00AC7501"/>
    <w:rsid w:val="00AC7542"/>
    <w:rsid w:val="00AC7714"/>
    <w:rsid w:val="00AC77BD"/>
    <w:rsid w:val="00AC77D1"/>
    <w:rsid w:val="00AC781E"/>
    <w:rsid w:val="00AC7845"/>
    <w:rsid w:val="00AC785B"/>
    <w:rsid w:val="00AC7885"/>
    <w:rsid w:val="00AC7886"/>
    <w:rsid w:val="00AC7907"/>
    <w:rsid w:val="00AC7AAE"/>
    <w:rsid w:val="00AC7B9C"/>
    <w:rsid w:val="00AC7BF3"/>
    <w:rsid w:val="00AC7C0F"/>
    <w:rsid w:val="00AC7C12"/>
    <w:rsid w:val="00AC7C5B"/>
    <w:rsid w:val="00AC7D4A"/>
    <w:rsid w:val="00AC7DD5"/>
    <w:rsid w:val="00AC7E1A"/>
    <w:rsid w:val="00AC7FAD"/>
    <w:rsid w:val="00AD017C"/>
    <w:rsid w:val="00AD0246"/>
    <w:rsid w:val="00AD025B"/>
    <w:rsid w:val="00AD028B"/>
    <w:rsid w:val="00AD0397"/>
    <w:rsid w:val="00AD0400"/>
    <w:rsid w:val="00AD046E"/>
    <w:rsid w:val="00AD0484"/>
    <w:rsid w:val="00AD048C"/>
    <w:rsid w:val="00AD0638"/>
    <w:rsid w:val="00AD0696"/>
    <w:rsid w:val="00AD06DF"/>
    <w:rsid w:val="00AD0734"/>
    <w:rsid w:val="00AD0813"/>
    <w:rsid w:val="00AD0940"/>
    <w:rsid w:val="00AD09DC"/>
    <w:rsid w:val="00AD0A28"/>
    <w:rsid w:val="00AD0ACE"/>
    <w:rsid w:val="00AD0B7F"/>
    <w:rsid w:val="00AD0C89"/>
    <w:rsid w:val="00AD0D16"/>
    <w:rsid w:val="00AD0D61"/>
    <w:rsid w:val="00AD0E1C"/>
    <w:rsid w:val="00AD0E77"/>
    <w:rsid w:val="00AD0E8B"/>
    <w:rsid w:val="00AD0E90"/>
    <w:rsid w:val="00AD0F3A"/>
    <w:rsid w:val="00AD0F6E"/>
    <w:rsid w:val="00AD0FD3"/>
    <w:rsid w:val="00AD1003"/>
    <w:rsid w:val="00AD1025"/>
    <w:rsid w:val="00AD115A"/>
    <w:rsid w:val="00AD123F"/>
    <w:rsid w:val="00AD1257"/>
    <w:rsid w:val="00AD13A7"/>
    <w:rsid w:val="00AD1403"/>
    <w:rsid w:val="00AD1410"/>
    <w:rsid w:val="00AD1416"/>
    <w:rsid w:val="00AD164C"/>
    <w:rsid w:val="00AD178F"/>
    <w:rsid w:val="00AD17B8"/>
    <w:rsid w:val="00AD186B"/>
    <w:rsid w:val="00AD1872"/>
    <w:rsid w:val="00AD1969"/>
    <w:rsid w:val="00AD198D"/>
    <w:rsid w:val="00AD1ADA"/>
    <w:rsid w:val="00AD1B8B"/>
    <w:rsid w:val="00AD1CA3"/>
    <w:rsid w:val="00AD1CA8"/>
    <w:rsid w:val="00AD1CD7"/>
    <w:rsid w:val="00AD1D52"/>
    <w:rsid w:val="00AD1E4B"/>
    <w:rsid w:val="00AD1F34"/>
    <w:rsid w:val="00AD1F4F"/>
    <w:rsid w:val="00AD1F7B"/>
    <w:rsid w:val="00AD2012"/>
    <w:rsid w:val="00AD2042"/>
    <w:rsid w:val="00AD2170"/>
    <w:rsid w:val="00AD21FD"/>
    <w:rsid w:val="00AD22A9"/>
    <w:rsid w:val="00AD22E6"/>
    <w:rsid w:val="00AD2320"/>
    <w:rsid w:val="00AD23F9"/>
    <w:rsid w:val="00AD242C"/>
    <w:rsid w:val="00AD2547"/>
    <w:rsid w:val="00AD25C4"/>
    <w:rsid w:val="00AD277B"/>
    <w:rsid w:val="00AD2782"/>
    <w:rsid w:val="00AD2889"/>
    <w:rsid w:val="00AD2B3C"/>
    <w:rsid w:val="00AD2B47"/>
    <w:rsid w:val="00AD2C23"/>
    <w:rsid w:val="00AD2CAD"/>
    <w:rsid w:val="00AD2D47"/>
    <w:rsid w:val="00AD2D7B"/>
    <w:rsid w:val="00AD2E16"/>
    <w:rsid w:val="00AD2E1C"/>
    <w:rsid w:val="00AD2E98"/>
    <w:rsid w:val="00AD2F30"/>
    <w:rsid w:val="00AD2F83"/>
    <w:rsid w:val="00AD3043"/>
    <w:rsid w:val="00AD3112"/>
    <w:rsid w:val="00AD3160"/>
    <w:rsid w:val="00AD323C"/>
    <w:rsid w:val="00AD3287"/>
    <w:rsid w:val="00AD3322"/>
    <w:rsid w:val="00AD3394"/>
    <w:rsid w:val="00AD343E"/>
    <w:rsid w:val="00AD34EF"/>
    <w:rsid w:val="00AD354C"/>
    <w:rsid w:val="00AD3582"/>
    <w:rsid w:val="00AD35AD"/>
    <w:rsid w:val="00AD3620"/>
    <w:rsid w:val="00AD38BE"/>
    <w:rsid w:val="00AD38EF"/>
    <w:rsid w:val="00AD390E"/>
    <w:rsid w:val="00AD3955"/>
    <w:rsid w:val="00AD396C"/>
    <w:rsid w:val="00AD3B72"/>
    <w:rsid w:val="00AD3B7A"/>
    <w:rsid w:val="00AD3D13"/>
    <w:rsid w:val="00AD3D17"/>
    <w:rsid w:val="00AD3D25"/>
    <w:rsid w:val="00AD3D2C"/>
    <w:rsid w:val="00AD3DC3"/>
    <w:rsid w:val="00AD3E30"/>
    <w:rsid w:val="00AD405A"/>
    <w:rsid w:val="00AD40CB"/>
    <w:rsid w:val="00AD40E2"/>
    <w:rsid w:val="00AD40EC"/>
    <w:rsid w:val="00AD40FE"/>
    <w:rsid w:val="00AD415F"/>
    <w:rsid w:val="00AD41DC"/>
    <w:rsid w:val="00AD41FC"/>
    <w:rsid w:val="00AD427C"/>
    <w:rsid w:val="00AD4497"/>
    <w:rsid w:val="00AD4550"/>
    <w:rsid w:val="00AD459E"/>
    <w:rsid w:val="00AD45FC"/>
    <w:rsid w:val="00AD4658"/>
    <w:rsid w:val="00AD471E"/>
    <w:rsid w:val="00AD474A"/>
    <w:rsid w:val="00AD4798"/>
    <w:rsid w:val="00AD47D3"/>
    <w:rsid w:val="00AD486C"/>
    <w:rsid w:val="00AD4901"/>
    <w:rsid w:val="00AD4AE5"/>
    <w:rsid w:val="00AD4B30"/>
    <w:rsid w:val="00AD4B89"/>
    <w:rsid w:val="00AD4BAB"/>
    <w:rsid w:val="00AD4C00"/>
    <w:rsid w:val="00AD4D0F"/>
    <w:rsid w:val="00AD4E75"/>
    <w:rsid w:val="00AD4F2F"/>
    <w:rsid w:val="00AD51A0"/>
    <w:rsid w:val="00AD51A5"/>
    <w:rsid w:val="00AD51BF"/>
    <w:rsid w:val="00AD524A"/>
    <w:rsid w:val="00AD5281"/>
    <w:rsid w:val="00AD5290"/>
    <w:rsid w:val="00AD52EC"/>
    <w:rsid w:val="00AD52F7"/>
    <w:rsid w:val="00AD533D"/>
    <w:rsid w:val="00AD539C"/>
    <w:rsid w:val="00AD54AF"/>
    <w:rsid w:val="00AD5530"/>
    <w:rsid w:val="00AD5610"/>
    <w:rsid w:val="00AD56A9"/>
    <w:rsid w:val="00AD56FD"/>
    <w:rsid w:val="00AD577B"/>
    <w:rsid w:val="00AD579D"/>
    <w:rsid w:val="00AD594E"/>
    <w:rsid w:val="00AD5A22"/>
    <w:rsid w:val="00AD5B01"/>
    <w:rsid w:val="00AD5B3A"/>
    <w:rsid w:val="00AD5B3D"/>
    <w:rsid w:val="00AD5B70"/>
    <w:rsid w:val="00AD5B8E"/>
    <w:rsid w:val="00AD5CBF"/>
    <w:rsid w:val="00AD5CC3"/>
    <w:rsid w:val="00AD5D0F"/>
    <w:rsid w:val="00AD5DA5"/>
    <w:rsid w:val="00AD60C3"/>
    <w:rsid w:val="00AD619F"/>
    <w:rsid w:val="00AD61A0"/>
    <w:rsid w:val="00AD61A3"/>
    <w:rsid w:val="00AD61FC"/>
    <w:rsid w:val="00AD620C"/>
    <w:rsid w:val="00AD6235"/>
    <w:rsid w:val="00AD62BF"/>
    <w:rsid w:val="00AD62D8"/>
    <w:rsid w:val="00AD6356"/>
    <w:rsid w:val="00AD6388"/>
    <w:rsid w:val="00AD63B5"/>
    <w:rsid w:val="00AD643F"/>
    <w:rsid w:val="00AD6634"/>
    <w:rsid w:val="00AD66DD"/>
    <w:rsid w:val="00AD672B"/>
    <w:rsid w:val="00AD674A"/>
    <w:rsid w:val="00AD675C"/>
    <w:rsid w:val="00AD6848"/>
    <w:rsid w:val="00AD6A16"/>
    <w:rsid w:val="00AD6B07"/>
    <w:rsid w:val="00AD6B17"/>
    <w:rsid w:val="00AD6B69"/>
    <w:rsid w:val="00AD6C12"/>
    <w:rsid w:val="00AD6C97"/>
    <w:rsid w:val="00AD6D85"/>
    <w:rsid w:val="00AD6D86"/>
    <w:rsid w:val="00AD6D96"/>
    <w:rsid w:val="00AD6E83"/>
    <w:rsid w:val="00AD6F8E"/>
    <w:rsid w:val="00AD6FC5"/>
    <w:rsid w:val="00AD709B"/>
    <w:rsid w:val="00AD709F"/>
    <w:rsid w:val="00AD7125"/>
    <w:rsid w:val="00AD71F4"/>
    <w:rsid w:val="00AD720A"/>
    <w:rsid w:val="00AD725F"/>
    <w:rsid w:val="00AD72F7"/>
    <w:rsid w:val="00AD730F"/>
    <w:rsid w:val="00AD7339"/>
    <w:rsid w:val="00AD7388"/>
    <w:rsid w:val="00AD7451"/>
    <w:rsid w:val="00AD74FF"/>
    <w:rsid w:val="00AD75CE"/>
    <w:rsid w:val="00AD75F9"/>
    <w:rsid w:val="00AD7668"/>
    <w:rsid w:val="00AD76BD"/>
    <w:rsid w:val="00AD76E3"/>
    <w:rsid w:val="00AD7991"/>
    <w:rsid w:val="00AD7996"/>
    <w:rsid w:val="00AD799C"/>
    <w:rsid w:val="00AD79A6"/>
    <w:rsid w:val="00AD7AC9"/>
    <w:rsid w:val="00AD7ADB"/>
    <w:rsid w:val="00AD7B1C"/>
    <w:rsid w:val="00AD7B1E"/>
    <w:rsid w:val="00AD7B5F"/>
    <w:rsid w:val="00AD7B7C"/>
    <w:rsid w:val="00AD7B9C"/>
    <w:rsid w:val="00AD7BB6"/>
    <w:rsid w:val="00AD7C7B"/>
    <w:rsid w:val="00AD7C9E"/>
    <w:rsid w:val="00AD7CC1"/>
    <w:rsid w:val="00AD7CE0"/>
    <w:rsid w:val="00AD7DB8"/>
    <w:rsid w:val="00AD7DFC"/>
    <w:rsid w:val="00AD7E67"/>
    <w:rsid w:val="00AD7E77"/>
    <w:rsid w:val="00AD7EB3"/>
    <w:rsid w:val="00AD7EC1"/>
    <w:rsid w:val="00AD7F52"/>
    <w:rsid w:val="00AD7F7A"/>
    <w:rsid w:val="00AD7F9F"/>
    <w:rsid w:val="00AD7FC5"/>
    <w:rsid w:val="00AE0097"/>
    <w:rsid w:val="00AE00C6"/>
    <w:rsid w:val="00AE0138"/>
    <w:rsid w:val="00AE0253"/>
    <w:rsid w:val="00AE029E"/>
    <w:rsid w:val="00AE02B0"/>
    <w:rsid w:val="00AE0302"/>
    <w:rsid w:val="00AE0303"/>
    <w:rsid w:val="00AE0327"/>
    <w:rsid w:val="00AE038B"/>
    <w:rsid w:val="00AE0403"/>
    <w:rsid w:val="00AE040E"/>
    <w:rsid w:val="00AE04FD"/>
    <w:rsid w:val="00AE0529"/>
    <w:rsid w:val="00AE06A4"/>
    <w:rsid w:val="00AE079A"/>
    <w:rsid w:val="00AE0818"/>
    <w:rsid w:val="00AE08BD"/>
    <w:rsid w:val="00AE08C6"/>
    <w:rsid w:val="00AE098D"/>
    <w:rsid w:val="00AE0A99"/>
    <w:rsid w:val="00AE0AC7"/>
    <w:rsid w:val="00AE0B17"/>
    <w:rsid w:val="00AE0B9C"/>
    <w:rsid w:val="00AE0C18"/>
    <w:rsid w:val="00AE0DAC"/>
    <w:rsid w:val="00AE0F87"/>
    <w:rsid w:val="00AE1053"/>
    <w:rsid w:val="00AE10F4"/>
    <w:rsid w:val="00AE11AE"/>
    <w:rsid w:val="00AE11FA"/>
    <w:rsid w:val="00AE12AC"/>
    <w:rsid w:val="00AE13F1"/>
    <w:rsid w:val="00AE1467"/>
    <w:rsid w:val="00AE149F"/>
    <w:rsid w:val="00AE1520"/>
    <w:rsid w:val="00AE1537"/>
    <w:rsid w:val="00AE15C9"/>
    <w:rsid w:val="00AE1633"/>
    <w:rsid w:val="00AE174A"/>
    <w:rsid w:val="00AE17A1"/>
    <w:rsid w:val="00AE17FE"/>
    <w:rsid w:val="00AE1821"/>
    <w:rsid w:val="00AE1833"/>
    <w:rsid w:val="00AE1845"/>
    <w:rsid w:val="00AE1873"/>
    <w:rsid w:val="00AE19F7"/>
    <w:rsid w:val="00AE1A4F"/>
    <w:rsid w:val="00AE1B16"/>
    <w:rsid w:val="00AE1B63"/>
    <w:rsid w:val="00AE1BE5"/>
    <w:rsid w:val="00AE1C0A"/>
    <w:rsid w:val="00AE1C87"/>
    <w:rsid w:val="00AE1D5E"/>
    <w:rsid w:val="00AE1E0E"/>
    <w:rsid w:val="00AE1E7C"/>
    <w:rsid w:val="00AE1E8F"/>
    <w:rsid w:val="00AE1EA3"/>
    <w:rsid w:val="00AE1EB2"/>
    <w:rsid w:val="00AE1F42"/>
    <w:rsid w:val="00AE1FA7"/>
    <w:rsid w:val="00AE201A"/>
    <w:rsid w:val="00AE2026"/>
    <w:rsid w:val="00AE202F"/>
    <w:rsid w:val="00AE207E"/>
    <w:rsid w:val="00AE20B1"/>
    <w:rsid w:val="00AE212B"/>
    <w:rsid w:val="00AE2156"/>
    <w:rsid w:val="00AE2176"/>
    <w:rsid w:val="00AE233E"/>
    <w:rsid w:val="00AE2433"/>
    <w:rsid w:val="00AE245C"/>
    <w:rsid w:val="00AE246C"/>
    <w:rsid w:val="00AE2478"/>
    <w:rsid w:val="00AE24EF"/>
    <w:rsid w:val="00AE2748"/>
    <w:rsid w:val="00AE2795"/>
    <w:rsid w:val="00AE27F2"/>
    <w:rsid w:val="00AE2818"/>
    <w:rsid w:val="00AE282A"/>
    <w:rsid w:val="00AE2891"/>
    <w:rsid w:val="00AE28A9"/>
    <w:rsid w:val="00AE293B"/>
    <w:rsid w:val="00AE29A3"/>
    <w:rsid w:val="00AE29D2"/>
    <w:rsid w:val="00AE2A07"/>
    <w:rsid w:val="00AE2A29"/>
    <w:rsid w:val="00AE2A73"/>
    <w:rsid w:val="00AE2ABE"/>
    <w:rsid w:val="00AE2AD4"/>
    <w:rsid w:val="00AE2B12"/>
    <w:rsid w:val="00AE2B8E"/>
    <w:rsid w:val="00AE2B8F"/>
    <w:rsid w:val="00AE2C26"/>
    <w:rsid w:val="00AE2C27"/>
    <w:rsid w:val="00AE2D91"/>
    <w:rsid w:val="00AE2DB7"/>
    <w:rsid w:val="00AE2DE6"/>
    <w:rsid w:val="00AE2E2E"/>
    <w:rsid w:val="00AE2FA8"/>
    <w:rsid w:val="00AE3168"/>
    <w:rsid w:val="00AE31A3"/>
    <w:rsid w:val="00AE320F"/>
    <w:rsid w:val="00AE327B"/>
    <w:rsid w:val="00AE32DC"/>
    <w:rsid w:val="00AE336F"/>
    <w:rsid w:val="00AE3398"/>
    <w:rsid w:val="00AE3459"/>
    <w:rsid w:val="00AE3484"/>
    <w:rsid w:val="00AE3608"/>
    <w:rsid w:val="00AE362F"/>
    <w:rsid w:val="00AE3692"/>
    <w:rsid w:val="00AE3739"/>
    <w:rsid w:val="00AE3769"/>
    <w:rsid w:val="00AE3846"/>
    <w:rsid w:val="00AE38E0"/>
    <w:rsid w:val="00AE3948"/>
    <w:rsid w:val="00AE3949"/>
    <w:rsid w:val="00AE3966"/>
    <w:rsid w:val="00AE396A"/>
    <w:rsid w:val="00AE3AED"/>
    <w:rsid w:val="00AE3AFD"/>
    <w:rsid w:val="00AE3B06"/>
    <w:rsid w:val="00AE3B4D"/>
    <w:rsid w:val="00AE3BE6"/>
    <w:rsid w:val="00AE3C69"/>
    <w:rsid w:val="00AE3C74"/>
    <w:rsid w:val="00AE3C8C"/>
    <w:rsid w:val="00AE3D9B"/>
    <w:rsid w:val="00AE3F49"/>
    <w:rsid w:val="00AE3F94"/>
    <w:rsid w:val="00AE3FEF"/>
    <w:rsid w:val="00AE3FFA"/>
    <w:rsid w:val="00AE401C"/>
    <w:rsid w:val="00AE4064"/>
    <w:rsid w:val="00AE40B5"/>
    <w:rsid w:val="00AE4105"/>
    <w:rsid w:val="00AE4111"/>
    <w:rsid w:val="00AE4124"/>
    <w:rsid w:val="00AE4141"/>
    <w:rsid w:val="00AE4152"/>
    <w:rsid w:val="00AE4181"/>
    <w:rsid w:val="00AE4185"/>
    <w:rsid w:val="00AE4297"/>
    <w:rsid w:val="00AE42DB"/>
    <w:rsid w:val="00AE4332"/>
    <w:rsid w:val="00AE43C4"/>
    <w:rsid w:val="00AE4413"/>
    <w:rsid w:val="00AE4416"/>
    <w:rsid w:val="00AE444C"/>
    <w:rsid w:val="00AE4454"/>
    <w:rsid w:val="00AE4567"/>
    <w:rsid w:val="00AE462C"/>
    <w:rsid w:val="00AE46DB"/>
    <w:rsid w:val="00AE4747"/>
    <w:rsid w:val="00AE47BC"/>
    <w:rsid w:val="00AE4803"/>
    <w:rsid w:val="00AE4819"/>
    <w:rsid w:val="00AE4964"/>
    <w:rsid w:val="00AE49B7"/>
    <w:rsid w:val="00AE4A70"/>
    <w:rsid w:val="00AE4AA2"/>
    <w:rsid w:val="00AE4AF2"/>
    <w:rsid w:val="00AE4B1A"/>
    <w:rsid w:val="00AE4C68"/>
    <w:rsid w:val="00AE4D88"/>
    <w:rsid w:val="00AE4E22"/>
    <w:rsid w:val="00AE4E4F"/>
    <w:rsid w:val="00AE4E52"/>
    <w:rsid w:val="00AE4EE4"/>
    <w:rsid w:val="00AE4F4A"/>
    <w:rsid w:val="00AE4F58"/>
    <w:rsid w:val="00AE4F60"/>
    <w:rsid w:val="00AE50AB"/>
    <w:rsid w:val="00AE5176"/>
    <w:rsid w:val="00AE5230"/>
    <w:rsid w:val="00AE52A4"/>
    <w:rsid w:val="00AE52B5"/>
    <w:rsid w:val="00AE536E"/>
    <w:rsid w:val="00AE54F1"/>
    <w:rsid w:val="00AE552E"/>
    <w:rsid w:val="00AE563A"/>
    <w:rsid w:val="00AE5960"/>
    <w:rsid w:val="00AE5990"/>
    <w:rsid w:val="00AE59F9"/>
    <w:rsid w:val="00AE5AA3"/>
    <w:rsid w:val="00AE5B3B"/>
    <w:rsid w:val="00AE5B4A"/>
    <w:rsid w:val="00AE5BF0"/>
    <w:rsid w:val="00AE5C40"/>
    <w:rsid w:val="00AE5C9C"/>
    <w:rsid w:val="00AE5DF9"/>
    <w:rsid w:val="00AE5E3A"/>
    <w:rsid w:val="00AE5ED3"/>
    <w:rsid w:val="00AE5F0A"/>
    <w:rsid w:val="00AE6042"/>
    <w:rsid w:val="00AE60B9"/>
    <w:rsid w:val="00AE6151"/>
    <w:rsid w:val="00AE6155"/>
    <w:rsid w:val="00AE6162"/>
    <w:rsid w:val="00AE62ED"/>
    <w:rsid w:val="00AE6312"/>
    <w:rsid w:val="00AE6320"/>
    <w:rsid w:val="00AE6338"/>
    <w:rsid w:val="00AE6495"/>
    <w:rsid w:val="00AE6552"/>
    <w:rsid w:val="00AE6667"/>
    <w:rsid w:val="00AE6756"/>
    <w:rsid w:val="00AE67E7"/>
    <w:rsid w:val="00AE68AB"/>
    <w:rsid w:val="00AE68E0"/>
    <w:rsid w:val="00AE69E9"/>
    <w:rsid w:val="00AE6A50"/>
    <w:rsid w:val="00AE6A66"/>
    <w:rsid w:val="00AE6AA1"/>
    <w:rsid w:val="00AE6C32"/>
    <w:rsid w:val="00AE6C33"/>
    <w:rsid w:val="00AE6C53"/>
    <w:rsid w:val="00AE6C60"/>
    <w:rsid w:val="00AE6C73"/>
    <w:rsid w:val="00AE6C9D"/>
    <w:rsid w:val="00AE6CDA"/>
    <w:rsid w:val="00AE6E4D"/>
    <w:rsid w:val="00AE6EBC"/>
    <w:rsid w:val="00AE6EC2"/>
    <w:rsid w:val="00AE6EC7"/>
    <w:rsid w:val="00AE6ED1"/>
    <w:rsid w:val="00AE6F82"/>
    <w:rsid w:val="00AE6F9B"/>
    <w:rsid w:val="00AE7019"/>
    <w:rsid w:val="00AE7086"/>
    <w:rsid w:val="00AE70AC"/>
    <w:rsid w:val="00AE71F1"/>
    <w:rsid w:val="00AE7278"/>
    <w:rsid w:val="00AE72A2"/>
    <w:rsid w:val="00AE741B"/>
    <w:rsid w:val="00AE746A"/>
    <w:rsid w:val="00AE7496"/>
    <w:rsid w:val="00AE74A4"/>
    <w:rsid w:val="00AE74BC"/>
    <w:rsid w:val="00AE7657"/>
    <w:rsid w:val="00AE7743"/>
    <w:rsid w:val="00AE7767"/>
    <w:rsid w:val="00AE78A1"/>
    <w:rsid w:val="00AE78E7"/>
    <w:rsid w:val="00AE7964"/>
    <w:rsid w:val="00AE7A0D"/>
    <w:rsid w:val="00AE7A89"/>
    <w:rsid w:val="00AE7C0A"/>
    <w:rsid w:val="00AE7C0B"/>
    <w:rsid w:val="00AE7C27"/>
    <w:rsid w:val="00AE7CA7"/>
    <w:rsid w:val="00AE7D1D"/>
    <w:rsid w:val="00AE7D3C"/>
    <w:rsid w:val="00AE7E1D"/>
    <w:rsid w:val="00AE7EAD"/>
    <w:rsid w:val="00AE7FB9"/>
    <w:rsid w:val="00AF0042"/>
    <w:rsid w:val="00AF00B9"/>
    <w:rsid w:val="00AF00FC"/>
    <w:rsid w:val="00AF01A3"/>
    <w:rsid w:val="00AF01B3"/>
    <w:rsid w:val="00AF01BB"/>
    <w:rsid w:val="00AF02B9"/>
    <w:rsid w:val="00AF0444"/>
    <w:rsid w:val="00AF04CF"/>
    <w:rsid w:val="00AF05AB"/>
    <w:rsid w:val="00AF0649"/>
    <w:rsid w:val="00AF064B"/>
    <w:rsid w:val="00AF067A"/>
    <w:rsid w:val="00AF070A"/>
    <w:rsid w:val="00AF093D"/>
    <w:rsid w:val="00AF0951"/>
    <w:rsid w:val="00AF0989"/>
    <w:rsid w:val="00AF0A27"/>
    <w:rsid w:val="00AF0A80"/>
    <w:rsid w:val="00AF0AFA"/>
    <w:rsid w:val="00AF0BBA"/>
    <w:rsid w:val="00AF0C41"/>
    <w:rsid w:val="00AF0C55"/>
    <w:rsid w:val="00AF0E11"/>
    <w:rsid w:val="00AF0EA8"/>
    <w:rsid w:val="00AF0EAF"/>
    <w:rsid w:val="00AF0F2F"/>
    <w:rsid w:val="00AF0F7C"/>
    <w:rsid w:val="00AF101B"/>
    <w:rsid w:val="00AF105B"/>
    <w:rsid w:val="00AF10A2"/>
    <w:rsid w:val="00AF10A6"/>
    <w:rsid w:val="00AF10F7"/>
    <w:rsid w:val="00AF1184"/>
    <w:rsid w:val="00AF1284"/>
    <w:rsid w:val="00AF12F4"/>
    <w:rsid w:val="00AF131A"/>
    <w:rsid w:val="00AF1336"/>
    <w:rsid w:val="00AF1475"/>
    <w:rsid w:val="00AF149D"/>
    <w:rsid w:val="00AF1515"/>
    <w:rsid w:val="00AF151B"/>
    <w:rsid w:val="00AF1558"/>
    <w:rsid w:val="00AF1590"/>
    <w:rsid w:val="00AF1618"/>
    <w:rsid w:val="00AF1966"/>
    <w:rsid w:val="00AF19CA"/>
    <w:rsid w:val="00AF1A7C"/>
    <w:rsid w:val="00AF1ACE"/>
    <w:rsid w:val="00AF1C3D"/>
    <w:rsid w:val="00AF1C8C"/>
    <w:rsid w:val="00AF1D7E"/>
    <w:rsid w:val="00AF1E47"/>
    <w:rsid w:val="00AF1E59"/>
    <w:rsid w:val="00AF1E62"/>
    <w:rsid w:val="00AF1EEC"/>
    <w:rsid w:val="00AF1F0A"/>
    <w:rsid w:val="00AF1F12"/>
    <w:rsid w:val="00AF1F46"/>
    <w:rsid w:val="00AF2015"/>
    <w:rsid w:val="00AF210B"/>
    <w:rsid w:val="00AF219A"/>
    <w:rsid w:val="00AF21D7"/>
    <w:rsid w:val="00AF22BE"/>
    <w:rsid w:val="00AF235A"/>
    <w:rsid w:val="00AF2444"/>
    <w:rsid w:val="00AF2447"/>
    <w:rsid w:val="00AF2492"/>
    <w:rsid w:val="00AF2508"/>
    <w:rsid w:val="00AF2519"/>
    <w:rsid w:val="00AF26A6"/>
    <w:rsid w:val="00AF26EE"/>
    <w:rsid w:val="00AF27C3"/>
    <w:rsid w:val="00AF281D"/>
    <w:rsid w:val="00AF2885"/>
    <w:rsid w:val="00AF28BB"/>
    <w:rsid w:val="00AF291E"/>
    <w:rsid w:val="00AF2934"/>
    <w:rsid w:val="00AF2967"/>
    <w:rsid w:val="00AF2AC6"/>
    <w:rsid w:val="00AF2AF7"/>
    <w:rsid w:val="00AF2B06"/>
    <w:rsid w:val="00AF2BE6"/>
    <w:rsid w:val="00AF2C40"/>
    <w:rsid w:val="00AF2C58"/>
    <w:rsid w:val="00AF2CAF"/>
    <w:rsid w:val="00AF2CE5"/>
    <w:rsid w:val="00AF2CFF"/>
    <w:rsid w:val="00AF2DDD"/>
    <w:rsid w:val="00AF2E59"/>
    <w:rsid w:val="00AF2E79"/>
    <w:rsid w:val="00AF2EFD"/>
    <w:rsid w:val="00AF2F04"/>
    <w:rsid w:val="00AF2F5B"/>
    <w:rsid w:val="00AF2F8A"/>
    <w:rsid w:val="00AF308E"/>
    <w:rsid w:val="00AF30A4"/>
    <w:rsid w:val="00AF3118"/>
    <w:rsid w:val="00AF3157"/>
    <w:rsid w:val="00AF3266"/>
    <w:rsid w:val="00AF330C"/>
    <w:rsid w:val="00AF332A"/>
    <w:rsid w:val="00AF332F"/>
    <w:rsid w:val="00AF3371"/>
    <w:rsid w:val="00AF338C"/>
    <w:rsid w:val="00AF33A4"/>
    <w:rsid w:val="00AF33AC"/>
    <w:rsid w:val="00AF35A9"/>
    <w:rsid w:val="00AF3784"/>
    <w:rsid w:val="00AF3786"/>
    <w:rsid w:val="00AF3909"/>
    <w:rsid w:val="00AF3976"/>
    <w:rsid w:val="00AF39AA"/>
    <w:rsid w:val="00AF3C15"/>
    <w:rsid w:val="00AF3C69"/>
    <w:rsid w:val="00AF3D9A"/>
    <w:rsid w:val="00AF3E52"/>
    <w:rsid w:val="00AF3FA2"/>
    <w:rsid w:val="00AF4025"/>
    <w:rsid w:val="00AF4099"/>
    <w:rsid w:val="00AF40A7"/>
    <w:rsid w:val="00AF40CA"/>
    <w:rsid w:val="00AF4146"/>
    <w:rsid w:val="00AF432C"/>
    <w:rsid w:val="00AF4366"/>
    <w:rsid w:val="00AF43E9"/>
    <w:rsid w:val="00AF4454"/>
    <w:rsid w:val="00AF4465"/>
    <w:rsid w:val="00AF44E6"/>
    <w:rsid w:val="00AF4587"/>
    <w:rsid w:val="00AF459F"/>
    <w:rsid w:val="00AF45DC"/>
    <w:rsid w:val="00AF45EF"/>
    <w:rsid w:val="00AF462B"/>
    <w:rsid w:val="00AF46C1"/>
    <w:rsid w:val="00AF4793"/>
    <w:rsid w:val="00AF481E"/>
    <w:rsid w:val="00AF4823"/>
    <w:rsid w:val="00AF4837"/>
    <w:rsid w:val="00AF492D"/>
    <w:rsid w:val="00AF4B49"/>
    <w:rsid w:val="00AF4B64"/>
    <w:rsid w:val="00AF4B74"/>
    <w:rsid w:val="00AF4C75"/>
    <w:rsid w:val="00AF4C9C"/>
    <w:rsid w:val="00AF4CDE"/>
    <w:rsid w:val="00AF4CF8"/>
    <w:rsid w:val="00AF4D1E"/>
    <w:rsid w:val="00AF4D36"/>
    <w:rsid w:val="00AF4D44"/>
    <w:rsid w:val="00AF4D99"/>
    <w:rsid w:val="00AF4DC6"/>
    <w:rsid w:val="00AF4EA1"/>
    <w:rsid w:val="00AF4F15"/>
    <w:rsid w:val="00AF4FF4"/>
    <w:rsid w:val="00AF5011"/>
    <w:rsid w:val="00AF507A"/>
    <w:rsid w:val="00AF50EA"/>
    <w:rsid w:val="00AF5169"/>
    <w:rsid w:val="00AF51B5"/>
    <w:rsid w:val="00AF5264"/>
    <w:rsid w:val="00AF5300"/>
    <w:rsid w:val="00AF5337"/>
    <w:rsid w:val="00AF536D"/>
    <w:rsid w:val="00AF55B8"/>
    <w:rsid w:val="00AF55DC"/>
    <w:rsid w:val="00AF56F2"/>
    <w:rsid w:val="00AF5745"/>
    <w:rsid w:val="00AF58BC"/>
    <w:rsid w:val="00AF58CC"/>
    <w:rsid w:val="00AF59B7"/>
    <w:rsid w:val="00AF59BA"/>
    <w:rsid w:val="00AF59F9"/>
    <w:rsid w:val="00AF5A0B"/>
    <w:rsid w:val="00AF5A15"/>
    <w:rsid w:val="00AF5A9E"/>
    <w:rsid w:val="00AF5AD6"/>
    <w:rsid w:val="00AF5D4F"/>
    <w:rsid w:val="00AF5E09"/>
    <w:rsid w:val="00AF5E14"/>
    <w:rsid w:val="00AF5E61"/>
    <w:rsid w:val="00AF5EA9"/>
    <w:rsid w:val="00AF5F28"/>
    <w:rsid w:val="00AF5F7A"/>
    <w:rsid w:val="00AF5F98"/>
    <w:rsid w:val="00AF617E"/>
    <w:rsid w:val="00AF625E"/>
    <w:rsid w:val="00AF628C"/>
    <w:rsid w:val="00AF62DC"/>
    <w:rsid w:val="00AF6420"/>
    <w:rsid w:val="00AF6590"/>
    <w:rsid w:val="00AF65C4"/>
    <w:rsid w:val="00AF66AF"/>
    <w:rsid w:val="00AF673E"/>
    <w:rsid w:val="00AF6779"/>
    <w:rsid w:val="00AF697A"/>
    <w:rsid w:val="00AF6991"/>
    <w:rsid w:val="00AF6A0F"/>
    <w:rsid w:val="00AF6BFE"/>
    <w:rsid w:val="00AF6C45"/>
    <w:rsid w:val="00AF6C76"/>
    <w:rsid w:val="00AF6CC0"/>
    <w:rsid w:val="00AF6ED3"/>
    <w:rsid w:val="00AF6F90"/>
    <w:rsid w:val="00AF6FBD"/>
    <w:rsid w:val="00AF6FFE"/>
    <w:rsid w:val="00AF7035"/>
    <w:rsid w:val="00AF7040"/>
    <w:rsid w:val="00AF7089"/>
    <w:rsid w:val="00AF7122"/>
    <w:rsid w:val="00AF7165"/>
    <w:rsid w:val="00AF7319"/>
    <w:rsid w:val="00AF7434"/>
    <w:rsid w:val="00AF7504"/>
    <w:rsid w:val="00AF7536"/>
    <w:rsid w:val="00AF75F8"/>
    <w:rsid w:val="00AF7635"/>
    <w:rsid w:val="00AF76AB"/>
    <w:rsid w:val="00AF76DF"/>
    <w:rsid w:val="00AF77E1"/>
    <w:rsid w:val="00AF7804"/>
    <w:rsid w:val="00AF782A"/>
    <w:rsid w:val="00AF7995"/>
    <w:rsid w:val="00AF79F4"/>
    <w:rsid w:val="00AF7A54"/>
    <w:rsid w:val="00AF7A5B"/>
    <w:rsid w:val="00AF7A6F"/>
    <w:rsid w:val="00AF7B13"/>
    <w:rsid w:val="00AF7B6A"/>
    <w:rsid w:val="00AF7B8E"/>
    <w:rsid w:val="00AF7B99"/>
    <w:rsid w:val="00AF7C10"/>
    <w:rsid w:val="00AF7CBB"/>
    <w:rsid w:val="00AF7D1D"/>
    <w:rsid w:val="00AF7F14"/>
    <w:rsid w:val="00AF7F26"/>
    <w:rsid w:val="00AF7F69"/>
    <w:rsid w:val="00AF7FC6"/>
    <w:rsid w:val="00AF7FD2"/>
    <w:rsid w:val="00AF7FD6"/>
    <w:rsid w:val="00B00057"/>
    <w:rsid w:val="00B000AC"/>
    <w:rsid w:val="00B00100"/>
    <w:rsid w:val="00B00166"/>
    <w:rsid w:val="00B00189"/>
    <w:rsid w:val="00B001B5"/>
    <w:rsid w:val="00B001E0"/>
    <w:rsid w:val="00B001E4"/>
    <w:rsid w:val="00B00258"/>
    <w:rsid w:val="00B0026A"/>
    <w:rsid w:val="00B002A4"/>
    <w:rsid w:val="00B0030B"/>
    <w:rsid w:val="00B0031E"/>
    <w:rsid w:val="00B0040C"/>
    <w:rsid w:val="00B00527"/>
    <w:rsid w:val="00B00530"/>
    <w:rsid w:val="00B005E3"/>
    <w:rsid w:val="00B006FD"/>
    <w:rsid w:val="00B007EF"/>
    <w:rsid w:val="00B0081E"/>
    <w:rsid w:val="00B008AF"/>
    <w:rsid w:val="00B00A19"/>
    <w:rsid w:val="00B00BD0"/>
    <w:rsid w:val="00B00C27"/>
    <w:rsid w:val="00B00E35"/>
    <w:rsid w:val="00B00E41"/>
    <w:rsid w:val="00B00F93"/>
    <w:rsid w:val="00B0101B"/>
    <w:rsid w:val="00B010C2"/>
    <w:rsid w:val="00B011B9"/>
    <w:rsid w:val="00B011EE"/>
    <w:rsid w:val="00B01263"/>
    <w:rsid w:val="00B012C1"/>
    <w:rsid w:val="00B01322"/>
    <w:rsid w:val="00B013B7"/>
    <w:rsid w:val="00B013DC"/>
    <w:rsid w:val="00B013EE"/>
    <w:rsid w:val="00B01432"/>
    <w:rsid w:val="00B01436"/>
    <w:rsid w:val="00B0144A"/>
    <w:rsid w:val="00B0144C"/>
    <w:rsid w:val="00B01532"/>
    <w:rsid w:val="00B0153F"/>
    <w:rsid w:val="00B01630"/>
    <w:rsid w:val="00B01660"/>
    <w:rsid w:val="00B01678"/>
    <w:rsid w:val="00B016E2"/>
    <w:rsid w:val="00B01725"/>
    <w:rsid w:val="00B017B8"/>
    <w:rsid w:val="00B01816"/>
    <w:rsid w:val="00B01863"/>
    <w:rsid w:val="00B018BE"/>
    <w:rsid w:val="00B0195D"/>
    <w:rsid w:val="00B019C4"/>
    <w:rsid w:val="00B01AB0"/>
    <w:rsid w:val="00B01B80"/>
    <w:rsid w:val="00B01BA2"/>
    <w:rsid w:val="00B01CD6"/>
    <w:rsid w:val="00B01CE1"/>
    <w:rsid w:val="00B01D1B"/>
    <w:rsid w:val="00B01D1F"/>
    <w:rsid w:val="00B01D3C"/>
    <w:rsid w:val="00B01D86"/>
    <w:rsid w:val="00B01E82"/>
    <w:rsid w:val="00B01EEE"/>
    <w:rsid w:val="00B01FF6"/>
    <w:rsid w:val="00B0200E"/>
    <w:rsid w:val="00B0205A"/>
    <w:rsid w:val="00B0217C"/>
    <w:rsid w:val="00B0219F"/>
    <w:rsid w:val="00B02228"/>
    <w:rsid w:val="00B02286"/>
    <w:rsid w:val="00B0229D"/>
    <w:rsid w:val="00B02545"/>
    <w:rsid w:val="00B02609"/>
    <w:rsid w:val="00B0260A"/>
    <w:rsid w:val="00B02613"/>
    <w:rsid w:val="00B027AF"/>
    <w:rsid w:val="00B027B7"/>
    <w:rsid w:val="00B027ED"/>
    <w:rsid w:val="00B028E5"/>
    <w:rsid w:val="00B029C4"/>
    <w:rsid w:val="00B029D1"/>
    <w:rsid w:val="00B02A42"/>
    <w:rsid w:val="00B02A46"/>
    <w:rsid w:val="00B02A4D"/>
    <w:rsid w:val="00B02B48"/>
    <w:rsid w:val="00B02DE6"/>
    <w:rsid w:val="00B02EE0"/>
    <w:rsid w:val="00B02F1E"/>
    <w:rsid w:val="00B02FD7"/>
    <w:rsid w:val="00B030D0"/>
    <w:rsid w:val="00B0320E"/>
    <w:rsid w:val="00B03264"/>
    <w:rsid w:val="00B032BC"/>
    <w:rsid w:val="00B032FC"/>
    <w:rsid w:val="00B03364"/>
    <w:rsid w:val="00B0342F"/>
    <w:rsid w:val="00B03471"/>
    <w:rsid w:val="00B035B7"/>
    <w:rsid w:val="00B0360C"/>
    <w:rsid w:val="00B037A3"/>
    <w:rsid w:val="00B037C6"/>
    <w:rsid w:val="00B037C9"/>
    <w:rsid w:val="00B03A13"/>
    <w:rsid w:val="00B03A20"/>
    <w:rsid w:val="00B03B31"/>
    <w:rsid w:val="00B03B38"/>
    <w:rsid w:val="00B03B44"/>
    <w:rsid w:val="00B03B5C"/>
    <w:rsid w:val="00B03CE6"/>
    <w:rsid w:val="00B03CEA"/>
    <w:rsid w:val="00B03D7F"/>
    <w:rsid w:val="00B03D95"/>
    <w:rsid w:val="00B03DBE"/>
    <w:rsid w:val="00B03FE1"/>
    <w:rsid w:val="00B04133"/>
    <w:rsid w:val="00B0419F"/>
    <w:rsid w:val="00B0426D"/>
    <w:rsid w:val="00B04294"/>
    <w:rsid w:val="00B0429E"/>
    <w:rsid w:val="00B04411"/>
    <w:rsid w:val="00B044FD"/>
    <w:rsid w:val="00B045E4"/>
    <w:rsid w:val="00B04609"/>
    <w:rsid w:val="00B0460E"/>
    <w:rsid w:val="00B04672"/>
    <w:rsid w:val="00B0477A"/>
    <w:rsid w:val="00B047C0"/>
    <w:rsid w:val="00B04934"/>
    <w:rsid w:val="00B04990"/>
    <w:rsid w:val="00B04B94"/>
    <w:rsid w:val="00B04C01"/>
    <w:rsid w:val="00B04C45"/>
    <w:rsid w:val="00B04D03"/>
    <w:rsid w:val="00B04E20"/>
    <w:rsid w:val="00B04E5F"/>
    <w:rsid w:val="00B04E84"/>
    <w:rsid w:val="00B04E9E"/>
    <w:rsid w:val="00B04EED"/>
    <w:rsid w:val="00B04F9A"/>
    <w:rsid w:val="00B04FA2"/>
    <w:rsid w:val="00B04FEE"/>
    <w:rsid w:val="00B05077"/>
    <w:rsid w:val="00B050A7"/>
    <w:rsid w:val="00B050CC"/>
    <w:rsid w:val="00B0516F"/>
    <w:rsid w:val="00B051BA"/>
    <w:rsid w:val="00B051F3"/>
    <w:rsid w:val="00B05216"/>
    <w:rsid w:val="00B0522F"/>
    <w:rsid w:val="00B0528B"/>
    <w:rsid w:val="00B052B3"/>
    <w:rsid w:val="00B05309"/>
    <w:rsid w:val="00B05393"/>
    <w:rsid w:val="00B0545C"/>
    <w:rsid w:val="00B05516"/>
    <w:rsid w:val="00B05615"/>
    <w:rsid w:val="00B0564F"/>
    <w:rsid w:val="00B05651"/>
    <w:rsid w:val="00B05679"/>
    <w:rsid w:val="00B056B1"/>
    <w:rsid w:val="00B059D0"/>
    <w:rsid w:val="00B05AA4"/>
    <w:rsid w:val="00B05AEF"/>
    <w:rsid w:val="00B05BA0"/>
    <w:rsid w:val="00B05BB0"/>
    <w:rsid w:val="00B05BDA"/>
    <w:rsid w:val="00B05CBD"/>
    <w:rsid w:val="00B05CBE"/>
    <w:rsid w:val="00B05CE8"/>
    <w:rsid w:val="00B05D3B"/>
    <w:rsid w:val="00B05D42"/>
    <w:rsid w:val="00B05D98"/>
    <w:rsid w:val="00B05D99"/>
    <w:rsid w:val="00B05E1E"/>
    <w:rsid w:val="00B05EBC"/>
    <w:rsid w:val="00B05F57"/>
    <w:rsid w:val="00B05FEB"/>
    <w:rsid w:val="00B06092"/>
    <w:rsid w:val="00B060A9"/>
    <w:rsid w:val="00B060AB"/>
    <w:rsid w:val="00B060C2"/>
    <w:rsid w:val="00B06145"/>
    <w:rsid w:val="00B0617A"/>
    <w:rsid w:val="00B06208"/>
    <w:rsid w:val="00B06219"/>
    <w:rsid w:val="00B06306"/>
    <w:rsid w:val="00B063DB"/>
    <w:rsid w:val="00B06474"/>
    <w:rsid w:val="00B0648F"/>
    <w:rsid w:val="00B0651E"/>
    <w:rsid w:val="00B06540"/>
    <w:rsid w:val="00B06604"/>
    <w:rsid w:val="00B06639"/>
    <w:rsid w:val="00B06653"/>
    <w:rsid w:val="00B06683"/>
    <w:rsid w:val="00B06750"/>
    <w:rsid w:val="00B0677C"/>
    <w:rsid w:val="00B067AF"/>
    <w:rsid w:val="00B067C2"/>
    <w:rsid w:val="00B06844"/>
    <w:rsid w:val="00B069AF"/>
    <w:rsid w:val="00B069E2"/>
    <w:rsid w:val="00B06B67"/>
    <w:rsid w:val="00B06B84"/>
    <w:rsid w:val="00B06BE5"/>
    <w:rsid w:val="00B06C3B"/>
    <w:rsid w:val="00B06C54"/>
    <w:rsid w:val="00B06CC2"/>
    <w:rsid w:val="00B06CD8"/>
    <w:rsid w:val="00B06D18"/>
    <w:rsid w:val="00B06D49"/>
    <w:rsid w:val="00B06D72"/>
    <w:rsid w:val="00B06D7F"/>
    <w:rsid w:val="00B06E77"/>
    <w:rsid w:val="00B06EFF"/>
    <w:rsid w:val="00B06F2A"/>
    <w:rsid w:val="00B06F48"/>
    <w:rsid w:val="00B070E5"/>
    <w:rsid w:val="00B070F9"/>
    <w:rsid w:val="00B07108"/>
    <w:rsid w:val="00B0714D"/>
    <w:rsid w:val="00B0729F"/>
    <w:rsid w:val="00B07441"/>
    <w:rsid w:val="00B07463"/>
    <w:rsid w:val="00B075F6"/>
    <w:rsid w:val="00B07654"/>
    <w:rsid w:val="00B07731"/>
    <w:rsid w:val="00B077B7"/>
    <w:rsid w:val="00B07801"/>
    <w:rsid w:val="00B07823"/>
    <w:rsid w:val="00B07916"/>
    <w:rsid w:val="00B07928"/>
    <w:rsid w:val="00B07932"/>
    <w:rsid w:val="00B07A90"/>
    <w:rsid w:val="00B07AB9"/>
    <w:rsid w:val="00B07B05"/>
    <w:rsid w:val="00B07B27"/>
    <w:rsid w:val="00B07BAC"/>
    <w:rsid w:val="00B07BE2"/>
    <w:rsid w:val="00B07C67"/>
    <w:rsid w:val="00B07C79"/>
    <w:rsid w:val="00B07DF6"/>
    <w:rsid w:val="00B07EC2"/>
    <w:rsid w:val="00B07F55"/>
    <w:rsid w:val="00B07FD9"/>
    <w:rsid w:val="00B1012C"/>
    <w:rsid w:val="00B101F9"/>
    <w:rsid w:val="00B10277"/>
    <w:rsid w:val="00B10326"/>
    <w:rsid w:val="00B10445"/>
    <w:rsid w:val="00B104E1"/>
    <w:rsid w:val="00B1074C"/>
    <w:rsid w:val="00B107D7"/>
    <w:rsid w:val="00B107F4"/>
    <w:rsid w:val="00B1080B"/>
    <w:rsid w:val="00B10814"/>
    <w:rsid w:val="00B10A35"/>
    <w:rsid w:val="00B10A6D"/>
    <w:rsid w:val="00B10C45"/>
    <w:rsid w:val="00B10C6B"/>
    <w:rsid w:val="00B10CC8"/>
    <w:rsid w:val="00B10D1F"/>
    <w:rsid w:val="00B10DD2"/>
    <w:rsid w:val="00B10E11"/>
    <w:rsid w:val="00B10E19"/>
    <w:rsid w:val="00B10E49"/>
    <w:rsid w:val="00B10E9C"/>
    <w:rsid w:val="00B10EC7"/>
    <w:rsid w:val="00B10F3E"/>
    <w:rsid w:val="00B10F73"/>
    <w:rsid w:val="00B10FCE"/>
    <w:rsid w:val="00B1103F"/>
    <w:rsid w:val="00B11095"/>
    <w:rsid w:val="00B110C4"/>
    <w:rsid w:val="00B11156"/>
    <w:rsid w:val="00B1115C"/>
    <w:rsid w:val="00B111E9"/>
    <w:rsid w:val="00B11206"/>
    <w:rsid w:val="00B11222"/>
    <w:rsid w:val="00B11251"/>
    <w:rsid w:val="00B11339"/>
    <w:rsid w:val="00B11385"/>
    <w:rsid w:val="00B113C8"/>
    <w:rsid w:val="00B113CF"/>
    <w:rsid w:val="00B113D1"/>
    <w:rsid w:val="00B1144A"/>
    <w:rsid w:val="00B11479"/>
    <w:rsid w:val="00B11641"/>
    <w:rsid w:val="00B11654"/>
    <w:rsid w:val="00B11737"/>
    <w:rsid w:val="00B117A6"/>
    <w:rsid w:val="00B117AB"/>
    <w:rsid w:val="00B11885"/>
    <w:rsid w:val="00B1188D"/>
    <w:rsid w:val="00B1195F"/>
    <w:rsid w:val="00B1198E"/>
    <w:rsid w:val="00B119A4"/>
    <w:rsid w:val="00B11A50"/>
    <w:rsid w:val="00B11A75"/>
    <w:rsid w:val="00B11A84"/>
    <w:rsid w:val="00B11ABF"/>
    <w:rsid w:val="00B11B83"/>
    <w:rsid w:val="00B11C5F"/>
    <w:rsid w:val="00B11C81"/>
    <w:rsid w:val="00B11DA4"/>
    <w:rsid w:val="00B11DB0"/>
    <w:rsid w:val="00B11DFE"/>
    <w:rsid w:val="00B11E3E"/>
    <w:rsid w:val="00B11E71"/>
    <w:rsid w:val="00B11E73"/>
    <w:rsid w:val="00B11EDC"/>
    <w:rsid w:val="00B12013"/>
    <w:rsid w:val="00B121D0"/>
    <w:rsid w:val="00B121D9"/>
    <w:rsid w:val="00B12200"/>
    <w:rsid w:val="00B1239C"/>
    <w:rsid w:val="00B123CE"/>
    <w:rsid w:val="00B124CB"/>
    <w:rsid w:val="00B124EE"/>
    <w:rsid w:val="00B12597"/>
    <w:rsid w:val="00B125C4"/>
    <w:rsid w:val="00B1262B"/>
    <w:rsid w:val="00B1264D"/>
    <w:rsid w:val="00B126A5"/>
    <w:rsid w:val="00B126DE"/>
    <w:rsid w:val="00B1274F"/>
    <w:rsid w:val="00B12800"/>
    <w:rsid w:val="00B12943"/>
    <w:rsid w:val="00B1294D"/>
    <w:rsid w:val="00B12976"/>
    <w:rsid w:val="00B129CF"/>
    <w:rsid w:val="00B12AE0"/>
    <w:rsid w:val="00B12BB5"/>
    <w:rsid w:val="00B12C48"/>
    <w:rsid w:val="00B12C64"/>
    <w:rsid w:val="00B12CCA"/>
    <w:rsid w:val="00B12D7E"/>
    <w:rsid w:val="00B12D82"/>
    <w:rsid w:val="00B12E0E"/>
    <w:rsid w:val="00B12E16"/>
    <w:rsid w:val="00B12E4A"/>
    <w:rsid w:val="00B12F9A"/>
    <w:rsid w:val="00B1301D"/>
    <w:rsid w:val="00B1307A"/>
    <w:rsid w:val="00B130BE"/>
    <w:rsid w:val="00B13117"/>
    <w:rsid w:val="00B13152"/>
    <w:rsid w:val="00B13194"/>
    <w:rsid w:val="00B131C2"/>
    <w:rsid w:val="00B1320D"/>
    <w:rsid w:val="00B13336"/>
    <w:rsid w:val="00B1336A"/>
    <w:rsid w:val="00B135BF"/>
    <w:rsid w:val="00B135ED"/>
    <w:rsid w:val="00B13798"/>
    <w:rsid w:val="00B13803"/>
    <w:rsid w:val="00B13823"/>
    <w:rsid w:val="00B138D7"/>
    <w:rsid w:val="00B138EA"/>
    <w:rsid w:val="00B13ABD"/>
    <w:rsid w:val="00B13AE6"/>
    <w:rsid w:val="00B13C5F"/>
    <w:rsid w:val="00B13CC0"/>
    <w:rsid w:val="00B13CDF"/>
    <w:rsid w:val="00B13DCF"/>
    <w:rsid w:val="00B13DFA"/>
    <w:rsid w:val="00B13F8B"/>
    <w:rsid w:val="00B13FC3"/>
    <w:rsid w:val="00B13FCD"/>
    <w:rsid w:val="00B1416F"/>
    <w:rsid w:val="00B141EA"/>
    <w:rsid w:val="00B141F2"/>
    <w:rsid w:val="00B142E5"/>
    <w:rsid w:val="00B142E8"/>
    <w:rsid w:val="00B14342"/>
    <w:rsid w:val="00B144CE"/>
    <w:rsid w:val="00B14509"/>
    <w:rsid w:val="00B14566"/>
    <w:rsid w:val="00B145A3"/>
    <w:rsid w:val="00B14669"/>
    <w:rsid w:val="00B146A9"/>
    <w:rsid w:val="00B14719"/>
    <w:rsid w:val="00B1473A"/>
    <w:rsid w:val="00B147EE"/>
    <w:rsid w:val="00B1481D"/>
    <w:rsid w:val="00B14A2C"/>
    <w:rsid w:val="00B14A52"/>
    <w:rsid w:val="00B14B30"/>
    <w:rsid w:val="00B14BAE"/>
    <w:rsid w:val="00B14C68"/>
    <w:rsid w:val="00B14DC0"/>
    <w:rsid w:val="00B14EDD"/>
    <w:rsid w:val="00B14F22"/>
    <w:rsid w:val="00B1506D"/>
    <w:rsid w:val="00B1512D"/>
    <w:rsid w:val="00B15140"/>
    <w:rsid w:val="00B15159"/>
    <w:rsid w:val="00B1515F"/>
    <w:rsid w:val="00B15231"/>
    <w:rsid w:val="00B15253"/>
    <w:rsid w:val="00B152D3"/>
    <w:rsid w:val="00B152F4"/>
    <w:rsid w:val="00B15302"/>
    <w:rsid w:val="00B153C6"/>
    <w:rsid w:val="00B15410"/>
    <w:rsid w:val="00B15452"/>
    <w:rsid w:val="00B15511"/>
    <w:rsid w:val="00B155CC"/>
    <w:rsid w:val="00B15601"/>
    <w:rsid w:val="00B1575C"/>
    <w:rsid w:val="00B157F3"/>
    <w:rsid w:val="00B158E4"/>
    <w:rsid w:val="00B15905"/>
    <w:rsid w:val="00B1596C"/>
    <w:rsid w:val="00B15A0E"/>
    <w:rsid w:val="00B15A13"/>
    <w:rsid w:val="00B15A49"/>
    <w:rsid w:val="00B15B2F"/>
    <w:rsid w:val="00B15B63"/>
    <w:rsid w:val="00B15BEA"/>
    <w:rsid w:val="00B15C3E"/>
    <w:rsid w:val="00B15C71"/>
    <w:rsid w:val="00B15CFE"/>
    <w:rsid w:val="00B15D23"/>
    <w:rsid w:val="00B15E86"/>
    <w:rsid w:val="00B15E9C"/>
    <w:rsid w:val="00B15F09"/>
    <w:rsid w:val="00B15FC5"/>
    <w:rsid w:val="00B15FCC"/>
    <w:rsid w:val="00B16047"/>
    <w:rsid w:val="00B160C7"/>
    <w:rsid w:val="00B16176"/>
    <w:rsid w:val="00B16298"/>
    <w:rsid w:val="00B162C5"/>
    <w:rsid w:val="00B16322"/>
    <w:rsid w:val="00B163F7"/>
    <w:rsid w:val="00B1640A"/>
    <w:rsid w:val="00B16479"/>
    <w:rsid w:val="00B16508"/>
    <w:rsid w:val="00B16545"/>
    <w:rsid w:val="00B16556"/>
    <w:rsid w:val="00B16601"/>
    <w:rsid w:val="00B16678"/>
    <w:rsid w:val="00B1676D"/>
    <w:rsid w:val="00B16811"/>
    <w:rsid w:val="00B16815"/>
    <w:rsid w:val="00B16831"/>
    <w:rsid w:val="00B16867"/>
    <w:rsid w:val="00B1686E"/>
    <w:rsid w:val="00B16888"/>
    <w:rsid w:val="00B1688F"/>
    <w:rsid w:val="00B168F5"/>
    <w:rsid w:val="00B16905"/>
    <w:rsid w:val="00B1694D"/>
    <w:rsid w:val="00B16958"/>
    <w:rsid w:val="00B1695E"/>
    <w:rsid w:val="00B16967"/>
    <w:rsid w:val="00B169F6"/>
    <w:rsid w:val="00B16AE4"/>
    <w:rsid w:val="00B16BFF"/>
    <w:rsid w:val="00B16C86"/>
    <w:rsid w:val="00B16CA6"/>
    <w:rsid w:val="00B16DB1"/>
    <w:rsid w:val="00B16DCF"/>
    <w:rsid w:val="00B16E3B"/>
    <w:rsid w:val="00B16E43"/>
    <w:rsid w:val="00B16E56"/>
    <w:rsid w:val="00B16E7A"/>
    <w:rsid w:val="00B16E83"/>
    <w:rsid w:val="00B16EF0"/>
    <w:rsid w:val="00B1705F"/>
    <w:rsid w:val="00B17095"/>
    <w:rsid w:val="00B170AC"/>
    <w:rsid w:val="00B171FD"/>
    <w:rsid w:val="00B17279"/>
    <w:rsid w:val="00B172B4"/>
    <w:rsid w:val="00B172D6"/>
    <w:rsid w:val="00B17321"/>
    <w:rsid w:val="00B17332"/>
    <w:rsid w:val="00B17365"/>
    <w:rsid w:val="00B17489"/>
    <w:rsid w:val="00B174CC"/>
    <w:rsid w:val="00B1756D"/>
    <w:rsid w:val="00B175B3"/>
    <w:rsid w:val="00B175D2"/>
    <w:rsid w:val="00B176E4"/>
    <w:rsid w:val="00B177F7"/>
    <w:rsid w:val="00B178EB"/>
    <w:rsid w:val="00B179B5"/>
    <w:rsid w:val="00B17AC2"/>
    <w:rsid w:val="00B17AC4"/>
    <w:rsid w:val="00B17B54"/>
    <w:rsid w:val="00B17C03"/>
    <w:rsid w:val="00B17C27"/>
    <w:rsid w:val="00B17C9A"/>
    <w:rsid w:val="00B17EAA"/>
    <w:rsid w:val="00B17EDC"/>
    <w:rsid w:val="00B17F3E"/>
    <w:rsid w:val="00B17F6C"/>
    <w:rsid w:val="00B17FF2"/>
    <w:rsid w:val="00B200CB"/>
    <w:rsid w:val="00B200D7"/>
    <w:rsid w:val="00B200E2"/>
    <w:rsid w:val="00B200FE"/>
    <w:rsid w:val="00B201F7"/>
    <w:rsid w:val="00B20260"/>
    <w:rsid w:val="00B20343"/>
    <w:rsid w:val="00B2041A"/>
    <w:rsid w:val="00B20437"/>
    <w:rsid w:val="00B2046F"/>
    <w:rsid w:val="00B20483"/>
    <w:rsid w:val="00B204F5"/>
    <w:rsid w:val="00B2051F"/>
    <w:rsid w:val="00B2052B"/>
    <w:rsid w:val="00B2057B"/>
    <w:rsid w:val="00B20629"/>
    <w:rsid w:val="00B2064C"/>
    <w:rsid w:val="00B206D5"/>
    <w:rsid w:val="00B20706"/>
    <w:rsid w:val="00B20784"/>
    <w:rsid w:val="00B207EC"/>
    <w:rsid w:val="00B2083D"/>
    <w:rsid w:val="00B20872"/>
    <w:rsid w:val="00B208E3"/>
    <w:rsid w:val="00B20948"/>
    <w:rsid w:val="00B2096A"/>
    <w:rsid w:val="00B209D8"/>
    <w:rsid w:val="00B20A63"/>
    <w:rsid w:val="00B20ACC"/>
    <w:rsid w:val="00B20B05"/>
    <w:rsid w:val="00B20B3A"/>
    <w:rsid w:val="00B20BCE"/>
    <w:rsid w:val="00B20BD5"/>
    <w:rsid w:val="00B20C13"/>
    <w:rsid w:val="00B20C66"/>
    <w:rsid w:val="00B20C73"/>
    <w:rsid w:val="00B20D72"/>
    <w:rsid w:val="00B20D8C"/>
    <w:rsid w:val="00B20E6E"/>
    <w:rsid w:val="00B21012"/>
    <w:rsid w:val="00B21018"/>
    <w:rsid w:val="00B210B2"/>
    <w:rsid w:val="00B211DA"/>
    <w:rsid w:val="00B212C0"/>
    <w:rsid w:val="00B21319"/>
    <w:rsid w:val="00B21371"/>
    <w:rsid w:val="00B21395"/>
    <w:rsid w:val="00B213EF"/>
    <w:rsid w:val="00B2140F"/>
    <w:rsid w:val="00B2143A"/>
    <w:rsid w:val="00B2149B"/>
    <w:rsid w:val="00B215BC"/>
    <w:rsid w:val="00B215EC"/>
    <w:rsid w:val="00B21604"/>
    <w:rsid w:val="00B216A0"/>
    <w:rsid w:val="00B216B3"/>
    <w:rsid w:val="00B21806"/>
    <w:rsid w:val="00B218AF"/>
    <w:rsid w:val="00B218E7"/>
    <w:rsid w:val="00B2199D"/>
    <w:rsid w:val="00B219A9"/>
    <w:rsid w:val="00B21A7E"/>
    <w:rsid w:val="00B21A8B"/>
    <w:rsid w:val="00B21AD7"/>
    <w:rsid w:val="00B21ADF"/>
    <w:rsid w:val="00B21BC9"/>
    <w:rsid w:val="00B21BF9"/>
    <w:rsid w:val="00B21C5A"/>
    <w:rsid w:val="00B21C99"/>
    <w:rsid w:val="00B21CB0"/>
    <w:rsid w:val="00B21CF3"/>
    <w:rsid w:val="00B21CF9"/>
    <w:rsid w:val="00B21E98"/>
    <w:rsid w:val="00B21EA5"/>
    <w:rsid w:val="00B21F8A"/>
    <w:rsid w:val="00B220C8"/>
    <w:rsid w:val="00B2212D"/>
    <w:rsid w:val="00B22208"/>
    <w:rsid w:val="00B22212"/>
    <w:rsid w:val="00B22247"/>
    <w:rsid w:val="00B222C1"/>
    <w:rsid w:val="00B2243B"/>
    <w:rsid w:val="00B22522"/>
    <w:rsid w:val="00B22538"/>
    <w:rsid w:val="00B225C5"/>
    <w:rsid w:val="00B22685"/>
    <w:rsid w:val="00B226C0"/>
    <w:rsid w:val="00B227FD"/>
    <w:rsid w:val="00B2288B"/>
    <w:rsid w:val="00B2289B"/>
    <w:rsid w:val="00B228FF"/>
    <w:rsid w:val="00B229D3"/>
    <w:rsid w:val="00B229DE"/>
    <w:rsid w:val="00B22B1E"/>
    <w:rsid w:val="00B22BAB"/>
    <w:rsid w:val="00B22C28"/>
    <w:rsid w:val="00B22C29"/>
    <w:rsid w:val="00B22DE8"/>
    <w:rsid w:val="00B22DF0"/>
    <w:rsid w:val="00B22EBE"/>
    <w:rsid w:val="00B22ED7"/>
    <w:rsid w:val="00B22F40"/>
    <w:rsid w:val="00B230F2"/>
    <w:rsid w:val="00B231BC"/>
    <w:rsid w:val="00B23254"/>
    <w:rsid w:val="00B2334F"/>
    <w:rsid w:val="00B23357"/>
    <w:rsid w:val="00B23362"/>
    <w:rsid w:val="00B2338A"/>
    <w:rsid w:val="00B233D9"/>
    <w:rsid w:val="00B23403"/>
    <w:rsid w:val="00B234B9"/>
    <w:rsid w:val="00B2355B"/>
    <w:rsid w:val="00B2358E"/>
    <w:rsid w:val="00B235F8"/>
    <w:rsid w:val="00B2362E"/>
    <w:rsid w:val="00B236AF"/>
    <w:rsid w:val="00B2386F"/>
    <w:rsid w:val="00B23870"/>
    <w:rsid w:val="00B23881"/>
    <w:rsid w:val="00B2390B"/>
    <w:rsid w:val="00B2392E"/>
    <w:rsid w:val="00B23A1A"/>
    <w:rsid w:val="00B23A3D"/>
    <w:rsid w:val="00B23A5C"/>
    <w:rsid w:val="00B23ADF"/>
    <w:rsid w:val="00B23B13"/>
    <w:rsid w:val="00B23B67"/>
    <w:rsid w:val="00B23C02"/>
    <w:rsid w:val="00B23CD0"/>
    <w:rsid w:val="00B23D2F"/>
    <w:rsid w:val="00B23D66"/>
    <w:rsid w:val="00B23DB4"/>
    <w:rsid w:val="00B23E74"/>
    <w:rsid w:val="00B23E9D"/>
    <w:rsid w:val="00B23EC2"/>
    <w:rsid w:val="00B23F33"/>
    <w:rsid w:val="00B23F5B"/>
    <w:rsid w:val="00B240C5"/>
    <w:rsid w:val="00B24246"/>
    <w:rsid w:val="00B24248"/>
    <w:rsid w:val="00B242B8"/>
    <w:rsid w:val="00B24398"/>
    <w:rsid w:val="00B243FF"/>
    <w:rsid w:val="00B2457A"/>
    <w:rsid w:val="00B245A0"/>
    <w:rsid w:val="00B245F0"/>
    <w:rsid w:val="00B24641"/>
    <w:rsid w:val="00B24678"/>
    <w:rsid w:val="00B246DC"/>
    <w:rsid w:val="00B246F6"/>
    <w:rsid w:val="00B2479B"/>
    <w:rsid w:val="00B24950"/>
    <w:rsid w:val="00B249C2"/>
    <w:rsid w:val="00B249C9"/>
    <w:rsid w:val="00B249E2"/>
    <w:rsid w:val="00B24A4E"/>
    <w:rsid w:val="00B24AC1"/>
    <w:rsid w:val="00B24B12"/>
    <w:rsid w:val="00B24B20"/>
    <w:rsid w:val="00B24B5F"/>
    <w:rsid w:val="00B24B8C"/>
    <w:rsid w:val="00B24B97"/>
    <w:rsid w:val="00B24BBC"/>
    <w:rsid w:val="00B24BE2"/>
    <w:rsid w:val="00B24C0A"/>
    <w:rsid w:val="00B24D04"/>
    <w:rsid w:val="00B24D26"/>
    <w:rsid w:val="00B2502A"/>
    <w:rsid w:val="00B25030"/>
    <w:rsid w:val="00B250D8"/>
    <w:rsid w:val="00B2514F"/>
    <w:rsid w:val="00B251D7"/>
    <w:rsid w:val="00B2520A"/>
    <w:rsid w:val="00B25251"/>
    <w:rsid w:val="00B252DE"/>
    <w:rsid w:val="00B252EF"/>
    <w:rsid w:val="00B25342"/>
    <w:rsid w:val="00B25516"/>
    <w:rsid w:val="00B2554E"/>
    <w:rsid w:val="00B25607"/>
    <w:rsid w:val="00B25616"/>
    <w:rsid w:val="00B25661"/>
    <w:rsid w:val="00B25681"/>
    <w:rsid w:val="00B257E5"/>
    <w:rsid w:val="00B258C1"/>
    <w:rsid w:val="00B2590B"/>
    <w:rsid w:val="00B25913"/>
    <w:rsid w:val="00B25931"/>
    <w:rsid w:val="00B2594A"/>
    <w:rsid w:val="00B25997"/>
    <w:rsid w:val="00B259DB"/>
    <w:rsid w:val="00B25A51"/>
    <w:rsid w:val="00B25A61"/>
    <w:rsid w:val="00B25B25"/>
    <w:rsid w:val="00B25B4B"/>
    <w:rsid w:val="00B25B6E"/>
    <w:rsid w:val="00B25B72"/>
    <w:rsid w:val="00B25BE5"/>
    <w:rsid w:val="00B25C19"/>
    <w:rsid w:val="00B25C55"/>
    <w:rsid w:val="00B25D51"/>
    <w:rsid w:val="00B25DD7"/>
    <w:rsid w:val="00B25E34"/>
    <w:rsid w:val="00B25F28"/>
    <w:rsid w:val="00B2607C"/>
    <w:rsid w:val="00B26154"/>
    <w:rsid w:val="00B26160"/>
    <w:rsid w:val="00B261CD"/>
    <w:rsid w:val="00B261E5"/>
    <w:rsid w:val="00B261F0"/>
    <w:rsid w:val="00B2623F"/>
    <w:rsid w:val="00B26281"/>
    <w:rsid w:val="00B262CA"/>
    <w:rsid w:val="00B26473"/>
    <w:rsid w:val="00B2649F"/>
    <w:rsid w:val="00B264B7"/>
    <w:rsid w:val="00B264BC"/>
    <w:rsid w:val="00B26514"/>
    <w:rsid w:val="00B265C3"/>
    <w:rsid w:val="00B265E9"/>
    <w:rsid w:val="00B26668"/>
    <w:rsid w:val="00B2683F"/>
    <w:rsid w:val="00B268CD"/>
    <w:rsid w:val="00B26907"/>
    <w:rsid w:val="00B26975"/>
    <w:rsid w:val="00B269BA"/>
    <w:rsid w:val="00B26C92"/>
    <w:rsid w:val="00B26CB9"/>
    <w:rsid w:val="00B26D29"/>
    <w:rsid w:val="00B26D57"/>
    <w:rsid w:val="00B26D59"/>
    <w:rsid w:val="00B26D6C"/>
    <w:rsid w:val="00B26E88"/>
    <w:rsid w:val="00B26E98"/>
    <w:rsid w:val="00B26F42"/>
    <w:rsid w:val="00B27029"/>
    <w:rsid w:val="00B270D8"/>
    <w:rsid w:val="00B2732F"/>
    <w:rsid w:val="00B2744C"/>
    <w:rsid w:val="00B27463"/>
    <w:rsid w:val="00B27464"/>
    <w:rsid w:val="00B27474"/>
    <w:rsid w:val="00B2749D"/>
    <w:rsid w:val="00B2751F"/>
    <w:rsid w:val="00B27536"/>
    <w:rsid w:val="00B27562"/>
    <w:rsid w:val="00B2758A"/>
    <w:rsid w:val="00B275CB"/>
    <w:rsid w:val="00B27659"/>
    <w:rsid w:val="00B276DF"/>
    <w:rsid w:val="00B27734"/>
    <w:rsid w:val="00B27743"/>
    <w:rsid w:val="00B277BD"/>
    <w:rsid w:val="00B27921"/>
    <w:rsid w:val="00B27A34"/>
    <w:rsid w:val="00B27A81"/>
    <w:rsid w:val="00B27B10"/>
    <w:rsid w:val="00B27C3F"/>
    <w:rsid w:val="00B27D26"/>
    <w:rsid w:val="00B27D38"/>
    <w:rsid w:val="00B27F3B"/>
    <w:rsid w:val="00B27F86"/>
    <w:rsid w:val="00B30002"/>
    <w:rsid w:val="00B30084"/>
    <w:rsid w:val="00B301DE"/>
    <w:rsid w:val="00B30204"/>
    <w:rsid w:val="00B3020F"/>
    <w:rsid w:val="00B30216"/>
    <w:rsid w:val="00B3025B"/>
    <w:rsid w:val="00B3038D"/>
    <w:rsid w:val="00B30484"/>
    <w:rsid w:val="00B304C7"/>
    <w:rsid w:val="00B304F0"/>
    <w:rsid w:val="00B30526"/>
    <w:rsid w:val="00B3059A"/>
    <w:rsid w:val="00B305ED"/>
    <w:rsid w:val="00B3060F"/>
    <w:rsid w:val="00B306C6"/>
    <w:rsid w:val="00B306E7"/>
    <w:rsid w:val="00B306E9"/>
    <w:rsid w:val="00B306F7"/>
    <w:rsid w:val="00B307BA"/>
    <w:rsid w:val="00B30959"/>
    <w:rsid w:val="00B309D7"/>
    <w:rsid w:val="00B30AB1"/>
    <w:rsid w:val="00B30ADF"/>
    <w:rsid w:val="00B30B48"/>
    <w:rsid w:val="00B30B59"/>
    <w:rsid w:val="00B30C45"/>
    <w:rsid w:val="00B30D6A"/>
    <w:rsid w:val="00B30D6D"/>
    <w:rsid w:val="00B30DAE"/>
    <w:rsid w:val="00B30E3E"/>
    <w:rsid w:val="00B30E70"/>
    <w:rsid w:val="00B30EBB"/>
    <w:rsid w:val="00B30F07"/>
    <w:rsid w:val="00B30F56"/>
    <w:rsid w:val="00B3115F"/>
    <w:rsid w:val="00B311F4"/>
    <w:rsid w:val="00B312A8"/>
    <w:rsid w:val="00B312BF"/>
    <w:rsid w:val="00B31338"/>
    <w:rsid w:val="00B3138A"/>
    <w:rsid w:val="00B313DB"/>
    <w:rsid w:val="00B31406"/>
    <w:rsid w:val="00B3140A"/>
    <w:rsid w:val="00B31434"/>
    <w:rsid w:val="00B31460"/>
    <w:rsid w:val="00B31521"/>
    <w:rsid w:val="00B315CB"/>
    <w:rsid w:val="00B316E2"/>
    <w:rsid w:val="00B3174C"/>
    <w:rsid w:val="00B3196F"/>
    <w:rsid w:val="00B31995"/>
    <w:rsid w:val="00B319B9"/>
    <w:rsid w:val="00B319E6"/>
    <w:rsid w:val="00B31A3B"/>
    <w:rsid w:val="00B31AAB"/>
    <w:rsid w:val="00B31BEA"/>
    <w:rsid w:val="00B31C7F"/>
    <w:rsid w:val="00B31CDF"/>
    <w:rsid w:val="00B31E14"/>
    <w:rsid w:val="00B31EBA"/>
    <w:rsid w:val="00B31F7C"/>
    <w:rsid w:val="00B3205F"/>
    <w:rsid w:val="00B3209E"/>
    <w:rsid w:val="00B320FD"/>
    <w:rsid w:val="00B32115"/>
    <w:rsid w:val="00B32118"/>
    <w:rsid w:val="00B3213C"/>
    <w:rsid w:val="00B3214C"/>
    <w:rsid w:val="00B3215B"/>
    <w:rsid w:val="00B3217F"/>
    <w:rsid w:val="00B3221C"/>
    <w:rsid w:val="00B32231"/>
    <w:rsid w:val="00B3229F"/>
    <w:rsid w:val="00B323D8"/>
    <w:rsid w:val="00B3262E"/>
    <w:rsid w:val="00B32705"/>
    <w:rsid w:val="00B32712"/>
    <w:rsid w:val="00B32773"/>
    <w:rsid w:val="00B327A9"/>
    <w:rsid w:val="00B327D9"/>
    <w:rsid w:val="00B327E2"/>
    <w:rsid w:val="00B3289D"/>
    <w:rsid w:val="00B32908"/>
    <w:rsid w:val="00B329E6"/>
    <w:rsid w:val="00B32A1E"/>
    <w:rsid w:val="00B32A34"/>
    <w:rsid w:val="00B32AAE"/>
    <w:rsid w:val="00B32AD1"/>
    <w:rsid w:val="00B32CA1"/>
    <w:rsid w:val="00B32D04"/>
    <w:rsid w:val="00B32D07"/>
    <w:rsid w:val="00B32D52"/>
    <w:rsid w:val="00B32D68"/>
    <w:rsid w:val="00B32D86"/>
    <w:rsid w:val="00B32E4C"/>
    <w:rsid w:val="00B32E73"/>
    <w:rsid w:val="00B32EAA"/>
    <w:rsid w:val="00B32F6E"/>
    <w:rsid w:val="00B33218"/>
    <w:rsid w:val="00B3333C"/>
    <w:rsid w:val="00B33420"/>
    <w:rsid w:val="00B33448"/>
    <w:rsid w:val="00B334A0"/>
    <w:rsid w:val="00B335AE"/>
    <w:rsid w:val="00B335D4"/>
    <w:rsid w:val="00B33698"/>
    <w:rsid w:val="00B336FE"/>
    <w:rsid w:val="00B33754"/>
    <w:rsid w:val="00B33948"/>
    <w:rsid w:val="00B339F5"/>
    <w:rsid w:val="00B339FA"/>
    <w:rsid w:val="00B33A50"/>
    <w:rsid w:val="00B33A6F"/>
    <w:rsid w:val="00B33B6B"/>
    <w:rsid w:val="00B33B88"/>
    <w:rsid w:val="00B33D4D"/>
    <w:rsid w:val="00B33DE0"/>
    <w:rsid w:val="00B33E5A"/>
    <w:rsid w:val="00B33ECB"/>
    <w:rsid w:val="00B33FAB"/>
    <w:rsid w:val="00B3400B"/>
    <w:rsid w:val="00B34143"/>
    <w:rsid w:val="00B341B1"/>
    <w:rsid w:val="00B3424C"/>
    <w:rsid w:val="00B3430D"/>
    <w:rsid w:val="00B34334"/>
    <w:rsid w:val="00B34366"/>
    <w:rsid w:val="00B34367"/>
    <w:rsid w:val="00B3436A"/>
    <w:rsid w:val="00B3441E"/>
    <w:rsid w:val="00B34427"/>
    <w:rsid w:val="00B34502"/>
    <w:rsid w:val="00B34610"/>
    <w:rsid w:val="00B346E3"/>
    <w:rsid w:val="00B34763"/>
    <w:rsid w:val="00B347AD"/>
    <w:rsid w:val="00B34808"/>
    <w:rsid w:val="00B34861"/>
    <w:rsid w:val="00B34868"/>
    <w:rsid w:val="00B34884"/>
    <w:rsid w:val="00B34982"/>
    <w:rsid w:val="00B349B0"/>
    <w:rsid w:val="00B34A6E"/>
    <w:rsid w:val="00B34A89"/>
    <w:rsid w:val="00B34BC5"/>
    <w:rsid w:val="00B34C05"/>
    <w:rsid w:val="00B34C96"/>
    <w:rsid w:val="00B34CAC"/>
    <w:rsid w:val="00B34CDC"/>
    <w:rsid w:val="00B34D12"/>
    <w:rsid w:val="00B34D67"/>
    <w:rsid w:val="00B34E07"/>
    <w:rsid w:val="00B34E4F"/>
    <w:rsid w:val="00B34EB6"/>
    <w:rsid w:val="00B34ED4"/>
    <w:rsid w:val="00B350D5"/>
    <w:rsid w:val="00B350EB"/>
    <w:rsid w:val="00B35184"/>
    <w:rsid w:val="00B35324"/>
    <w:rsid w:val="00B3541A"/>
    <w:rsid w:val="00B354D1"/>
    <w:rsid w:val="00B35578"/>
    <w:rsid w:val="00B359C3"/>
    <w:rsid w:val="00B35A06"/>
    <w:rsid w:val="00B35AD4"/>
    <w:rsid w:val="00B35AF9"/>
    <w:rsid w:val="00B35BA5"/>
    <w:rsid w:val="00B35C49"/>
    <w:rsid w:val="00B35D15"/>
    <w:rsid w:val="00B35D17"/>
    <w:rsid w:val="00B35D71"/>
    <w:rsid w:val="00B35E2D"/>
    <w:rsid w:val="00B35F5C"/>
    <w:rsid w:val="00B35F5E"/>
    <w:rsid w:val="00B35F73"/>
    <w:rsid w:val="00B35F85"/>
    <w:rsid w:val="00B3603E"/>
    <w:rsid w:val="00B360B5"/>
    <w:rsid w:val="00B361EA"/>
    <w:rsid w:val="00B3621E"/>
    <w:rsid w:val="00B362DE"/>
    <w:rsid w:val="00B3631C"/>
    <w:rsid w:val="00B36394"/>
    <w:rsid w:val="00B36474"/>
    <w:rsid w:val="00B364AD"/>
    <w:rsid w:val="00B365F8"/>
    <w:rsid w:val="00B36618"/>
    <w:rsid w:val="00B366C8"/>
    <w:rsid w:val="00B366CE"/>
    <w:rsid w:val="00B366EA"/>
    <w:rsid w:val="00B3681A"/>
    <w:rsid w:val="00B36877"/>
    <w:rsid w:val="00B36904"/>
    <w:rsid w:val="00B36952"/>
    <w:rsid w:val="00B36964"/>
    <w:rsid w:val="00B36B06"/>
    <w:rsid w:val="00B36B2E"/>
    <w:rsid w:val="00B36C16"/>
    <w:rsid w:val="00B36C2B"/>
    <w:rsid w:val="00B36C99"/>
    <w:rsid w:val="00B36CB3"/>
    <w:rsid w:val="00B36E3C"/>
    <w:rsid w:val="00B36EB5"/>
    <w:rsid w:val="00B36F0A"/>
    <w:rsid w:val="00B37009"/>
    <w:rsid w:val="00B37074"/>
    <w:rsid w:val="00B371D8"/>
    <w:rsid w:val="00B37294"/>
    <w:rsid w:val="00B372B1"/>
    <w:rsid w:val="00B372C4"/>
    <w:rsid w:val="00B3734A"/>
    <w:rsid w:val="00B37398"/>
    <w:rsid w:val="00B373DA"/>
    <w:rsid w:val="00B374D3"/>
    <w:rsid w:val="00B3754D"/>
    <w:rsid w:val="00B3755F"/>
    <w:rsid w:val="00B37576"/>
    <w:rsid w:val="00B375D8"/>
    <w:rsid w:val="00B3761B"/>
    <w:rsid w:val="00B37637"/>
    <w:rsid w:val="00B3766F"/>
    <w:rsid w:val="00B37855"/>
    <w:rsid w:val="00B3789B"/>
    <w:rsid w:val="00B3795A"/>
    <w:rsid w:val="00B37B25"/>
    <w:rsid w:val="00B37B98"/>
    <w:rsid w:val="00B37CBB"/>
    <w:rsid w:val="00B37CF0"/>
    <w:rsid w:val="00B37DCE"/>
    <w:rsid w:val="00B37EC5"/>
    <w:rsid w:val="00B4006E"/>
    <w:rsid w:val="00B40126"/>
    <w:rsid w:val="00B4012C"/>
    <w:rsid w:val="00B401A0"/>
    <w:rsid w:val="00B401A9"/>
    <w:rsid w:val="00B401D3"/>
    <w:rsid w:val="00B401ED"/>
    <w:rsid w:val="00B4026F"/>
    <w:rsid w:val="00B402D0"/>
    <w:rsid w:val="00B40323"/>
    <w:rsid w:val="00B403D8"/>
    <w:rsid w:val="00B403DF"/>
    <w:rsid w:val="00B4046D"/>
    <w:rsid w:val="00B40473"/>
    <w:rsid w:val="00B4048A"/>
    <w:rsid w:val="00B404D8"/>
    <w:rsid w:val="00B404DC"/>
    <w:rsid w:val="00B404FF"/>
    <w:rsid w:val="00B40550"/>
    <w:rsid w:val="00B405CC"/>
    <w:rsid w:val="00B405E5"/>
    <w:rsid w:val="00B406A6"/>
    <w:rsid w:val="00B406B3"/>
    <w:rsid w:val="00B406CB"/>
    <w:rsid w:val="00B406D4"/>
    <w:rsid w:val="00B4076B"/>
    <w:rsid w:val="00B408CA"/>
    <w:rsid w:val="00B409DC"/>
    <w:rsid w:val="00B40A06"/>
    <w:rsid w:val="00B40BB1"/>
    <w:rsid w:val="00B40BC8"/>
    <w:rsid w:val="00B40BD5"/>
    <w:rsid w:val="00B40CCF"/>
    <w:rsid w:val="00B40CD1"/>
    <w:rsid w:val="00B40CD8"/>
    <w:rsid w:val="00B40D98"/>
    <w:rsid w:val="00B40DE8"/>
    <w:rsid w:val="00B40E6C"/>
    <w:rsid w:val="00B410EA"/>
    <w:rsid w:val="00B4113A"/>
    <w:rsid w:val="00B411F3"/>
    <w:rsid w:val="00B412C2"/>
    <w:rsid w:val="00B41472"/>
    <w:rsid w:val="00B41479"/>
    <w:rsid w:val="00B4147A"/>
    <w:rsid w:val="00B41561"/>
    <w:rsid w:val="00B41593"/>
    <w:rsid w:val="00B415AE"/>
    <w:rsid w:val="00B415C7"/>
    <w:rsid w:val="00B415E3"/>
    <w:rsid w:val="00B4172C"/>
    <w:rsid w:val="00B4175C"/>
    <w:rsid w:val="00B41773"/>
    <w:rsid w:val="00B41812"/>
    <w:rsid w:val="00B41853"/>
    <w:rsid w:val="00B41884"/>
    <w:rsid w:val="00B418F9"/>
    <w:rsid w:val="00B41974"/>
    <w:rsid w:val="00B419F5"/>
    <w:rsid w:val="00B41A3A"/>
    <w:rsid w:val="00B41AAC"/>
    <w:rsid w:val="00B41AB7"/>
    <w:rsid w:val="00B41B11"/>
    <w:rsid w:val="00B41BCF"/>
    <w:rsid w:val="00B41C31"/>
    <w:rsid w:val="00B41C47"/>
    <w:rsid w:val="00B41CBF"/>
    <w:rsid w:val="00B41CD6"/>
    <w:rsid w:val="00B41DA4"/>
    <w:rsid w:val="00B41DBA"/>
    <w:rsid w:val="00B41DE6"/>
    <w:rsid w:val="00B41E15"/>
    <w:rsid w:val="00B41E6D"/>
    <w:rsid w:val="00B41E97"/>
    <w:rsid w:val="00B41F1F"/>
    <w:rsid w:val="00B4202F"/>
    <w:rsid w:val="00B4212D"/>
    <w:rsid w:val="00B42141"/>
    <w:rsid w:val="00B4215D"/>
    <w:rsid w:val="00B42202"/>
    <w:rsid w:val="00B422D8"/>
    <w:rsid w:val="00B422FF"/>
    <w:rsid w:val="00B42335"/>
    <w:rsid w:val="00B42344"/>
    <w:rsid w:val="00B42471"/>
    <w:rsid w:val="00B424E9"/>
    <w:rsid w:val="00B42595"/>
    <w:rsid w:val="00B425D1"/>
    <w:rsid w:val="00B42625"/>
    <w:rsid w:val="00B42697"/>
    <w:rsid w:val="00B426F5"/>
    <w:rsid w:val="00B426F8"/>
    <w:rsid w:val="00B427A7"/>
    <w:rsid w:val="00B427CB"/>
    <w:rsid w:val="00B42861"/>
    <w:rsid w:val="00B4293E"/>
    <w:rsid w:val="00B4295F"/>
    <w:rsid w:val="00B429B3"/>
    <w:rsid w:val="00B42A5E"/>
    <w:rsid w:val="00B42A8C"/>
    <w:rsid w:val="00B42B4B"/>
    <w:rsid w:val="00B42B6D"/>
    <w:rsid w:val="00B42B88"/>
    <w:rsid w:val="00B42B96"/>
    <w:rsid w:val="00B42C0E"/>
    <w:rsid w:val="00B42DC1"/>
    <w:rsid w:val="00B42E2E"/>
    <w:rsid w:val="00B42E65"/>
    <w:rsid w:val="00B42F0D"/>
    <w:rsid w:val="00B4300B"/>
    <w:rsid w:val="00B43022"/>
    <w:rsid w:val="00B4306F"/>
    <w:rsid w:val="00B43117"/>
    <w:rsid w:val="00B4313A"/>
    <w:rsid w:val="00B432A8"/>
    <w:rsid w:val="00B432C7"/>
    <w:rsid w:val="00B43365"/>
    <w:rsid w:val="00B43434"/>
    <w:rsid w:val="00B4343D"/>
    <w:rsid w:val="00B4344A"/>
    <w:rsid w:val="00B434BF"/>
    <w:rsid w:val="00B43526"/>
    <w:rsid w:val="00B43603"/>
    <w:rsid w:val="00B43634"/>
    <w:rsid w:val="00B4364F"/>
    <w:rsid w:val="00B43694"/>
    <w:rsid w:val="00B436C4"/>
    <w:rsid w:val="00B43764"/>
    <w:rsid w:val="00B4382F"/>
    <w:rsid w:val="00B439DA"/>
    <w:rsid w:val="00B43A2D"/>
    <w:rsid w:val="00B43A36"/>
    <w:rsid w:val="00B43B29"/>
    <w:rsid w:val="00B43B7E"/>
    <w:rsid w:val="00B43C37"/>
    <w:rsid w:val="00B43C5F"/>
    <w:rsid w:val="00B43CD2"/>
    <w:rsid w:val="00B43D1C"/>
    <w:rsid w:val="00B43D48"/>
    <w:rsid w:val="00B43D6C"/>
    <w:rsid w:val="00B43DA6"/>
    <w:rsid w:val="00B43DCB"/>
    <w:rsid w:val="00B43E05"/>
    <w:rsid w:val="00B43E15"/>
    <w:rsid w:val="00B43E31"/>
    <w:rsid w:val="00B43FC6"/>
    <w:rsid w:val="00B4402C"/>
    <w:rsid w:val="00B440AB"/>
    <w:rsid w:val="00B440F1"/>
    <w:rsid w:val="00B44254"/>
    <w:rsid w:val="00B4432E"/>
    <w:rsid w:val="00B4434B"/>
    <w:rsid w:val="00B44358"/>
    <w:rsid w:val="00B44432"/>
    <w:rsid w:val="00B44658"/>
    <w:rsid w:val="00B44723"/>
    <w:rsid w:val="00B44730"/>
    <w:rsid w:val="00B448AC"/>
    <w:rsid w:val="00B448FB"/>
    <w:rsid w:val="00B44A14"/>
    <w:rsid w:val="00B44A67"/>
    <w:rsid w:val="00B44B1F"/>
    <w:rsid w:val="00B44C83"/>
    <w:rsid w:val="00B44CD4"/>
    <w:rsid w:val="00B44D38"/>
    <w:rsid w:val="00B44DC3"/>
    <w:rsid w:val="00B44E47"/>
    <w:rsid w:val="00B44F67"/>
    <w:rsid w:val="00B452E8"/>
    <w:rsid w:val="00B45353"/>
    <w:rsid w:val="00B453F8"/>
    <w:rsid w:val="00B45406"/>
    <w:rsid w:val="00B454C2"/>
    <w:rsid w:val="00B454FB"/>
    <w:rsid w:val="00B45539"/>
    <w:rsid w:val="00B455E0"/>
    <w:rsid w:val="00B455EC"/>
    <w:rsid w:val="00B45620"/>
    <w:rsid w:val="00B45687"/>
    <w:rsid w:val="00B456CE"/>
    <w:rsid w:val="00B45737"/>
    <w:rsid w:val="00B457AB"/>
    <w:rsid w:val="00B457F1"/>
    <w:rsid w:val="00B4588C"/>
    <w:rsid w:val="00B45A64"/>
    <w:rsid w:val="00B45A7A"/>
    <w:rsid w:val="00B45B04"/>
    <w:rsid w:val="00B45BB6"/>
    <w:rsid w:val="00B45C6F"/>
    <w:rsid w:val="00B45D39"/>
    <w:rsid w:val="00B45D6E"/>
    <w:rsid w:val="00B45D75"/>
    <w:rsid w:val="00B45DD9"/>
    <w:rsid w:val="00B45E91"/>
    <w:rsid w:val="00B45F26"/>
    <w:rsid w:val="00B45F3B"/>
    <w:rsid w:val="00B46056"/>
    <w:rsid w:val="00B460F4"/>
    <w:rsid w:val="00B4617B"/>
    <w:rsid w:val="00B46185"/>
    <w:rsid w:val="00B4625F"/>
    <w:rsid w:val="00B463B6"/>
    <w:rsid w:val="00B463BC"/>
    <w:rsid w:val="00B46427"/>
    <w:rsid w:val="00B464C9"/>
    <w:rsid w:val="00B46515"/>
    <w:rsid w:val="00B46549"/>
    <w:rsid w:val="00B46579"/>
    <w:rsid w:val="00B467A8"/>
    <w:rsid w:val="00B467E5"/>
    <w:rsid w:val="00B4687B"/>
    <w:rsid w:val="00B4687C"/>
    <w:rsid w:val="00B468AC"/>
    <w:rsid w:val="00B468CB"/>
    <w:rsid w:val="00B46A03"/>
    <w:rsid w:val="00B46A7C"/>
    <w:rsid w:val="00B46AA1"/>
    <w:rsid w:val="00B46B83"/>
    <w:rsid w:val="00B46B91"/>
    <w:rsid w:val="00B46C32"/>
    <w:rsid w:val="00B46C70"/>
    <w:rsid w:val="00B46D29"/>
    <w:rsid w:val="00B46E0F"/>
    <w:rsid w:val="00B46F6D"/>
    <w:rsid w:val="00B46F95"/>
    <w:rsid w:val="00B46FD1"/>
    <w:rsid w:val="00B4704D"/>
    <w:rsid w:val="00B47083"/>
    <w:rsid w:val="00B470C7"/>
    <w:rsid w:val="00B4712D"/>
    <w:rsid w:val="00B47193"/>
    <w:rsid w:val="00B473DA"/>
    <w:rsid w:val="00B47439"/>
    <w:rsid w:val="00B47455"/>
    <w:rsid w:val="00B47474"/>
    <w:rsid w:val="00B474B5"/>
    <w:rsid w:val="00B47510"/>
    <w:rsid w:val="00B47594"/>
    <w:rsid w:val="00B47629"/>
    <w:rsid w:val="00B476B9"/>
    <w:rsid w:val="00B4776E"/>
    <w:rsid w:val="00B477D2"/>
    <w:rsid w:val="00B477F7"/>
    <w:rsid w:val="00B4784C"/>
    <w:rsid w:val="00B47939"/>
    <w:rsid w:val="00B4799A"/>
    <w:rsid w:val="00B479B4"/>
    <w:rsid w:val="00B47A04"/>
    <w:rsid w:val="00B47AD2"/>
    <w:rsid w:val="00B47AFE"/>
    <w:rsid w:val="00B47B41"/>
    <w:rsid w:val="00B47B8F"/>
    <w:rsid w:val="00B47BA7"/>
    <w:rsid w:val="00B47C68"/>
    <w:rsid w:val="00B47CF5"/>
    <w:rsid w:val="00B47CFD"/>
    <w:rsid w:val="00B47D3D"/>
    <w:rsid w:val="00B47DB1"/>
    <w:rsid w:val="00B47F75"/>
    <w:rsid w:val="00B47F84"/>
    <w:rsid w:val="00B47FAB"/>
    <w:rsid w:val="00B500B1"/>
    <w:rsid w:val="00B50320"/>
    <w:rsid w:val="00B5040F"/>
    <w:rsid w:val="00B504A1"/>
    <w:rsid w:val="00B506BD"/>
    <w:rsid w:val="00B50784"/>
    <w:rsid w:val="00B507B2"/>
    <w:rsid w:val="00B50819"/>
    <w:rsid w:val="00B50938"/>
    <w:rsid w:val="00B509E7"/>
    <w:rsid w:val="00B50A96"/>
    <w:rsid w:val="00B50AEB"/>
    <w:rsid w:val="00B50B51"/>
    <w:rsid w:val="00B50B85"/>
    <w:rsid w:val="00B50C1B"/>
    <w:rsid w:val="00B50C52"/>
    <w:rsid w:val="00B50C98"/>
    <w:rsid w:val="00B50CA0"/>
    <w:rsid w:val="00B50CAE"/>
    <w:rsid w:val="00B50CCF"/>
    <w:rsid w:val="00B50D45"/>
    <w:rsid w:val="00B50DAF"/>
    <w:rsid w:val="00B50EE0"/>
    <w:rsid w:val="00B50F7E"/>
    <w:rsid w:val="00B51042"/>
    <w:rsid w:val="00B51048"/>
    <w:rsid w:val="00B51055"/>
    <w:rsid w:val="00B510DA"/>
    <w:rsid w:val="00B51174"/>
    <w:rsid w:val="00B511CA"/>
    <w:rsid w:val="00B5122C"/>
    <w:rsid w:val="00B51260"/>
    <w:rsid w:val="00B51280"/>
    <w:rsid w:val="00B51315"/>
    <w:rsid w:val="00B513A7"/>
    <w:rsid w:val="00B514E8"/>
    <w:rsid w:val="00B5157A"/>
    <w:rsid w:val="00B515B0"/>
    <w:rsid w:val="00B51636"/>
    <w:rsid w:val="00B5165E"/>
    <w:rsid w:val="00B51676"/>
    <w:rsid w:val="00B516EF"/>
    <w:rsid w:val="00B5175D"/>
    <w:rsid w:val="00B51787"/>
    <w:rsid w:val="00B51829"/>
    <w:rsid w:val="00B51917"/>
    <w:rsid w:val="00B51B09"/>
    <w:rsid w:val="00B51B45"/>
    <w:rsid w:val="00B51B56"/>
    <w:rsid w:val="00B51B6C"/>
    <w:rsid w:val="00B51BAC"/>
    <w:rsid w:val="00B51CF8"/>
    <w:rsid w:val="00B51DBA"/>
    <w:rsid w:val="00B51E01"/>
    <w:rsid w:val="00B51E63"/>
    <w:rsid w:val="00B51E6E"/>
    <w:rsid w:val="00B51F7A"/>
    <w:rsid w:val="00B52036"/>
    <w:rsid w:val="00B52072"/>
    <w:rsid w:val="00B52092"/>
    <w:rsid w:val="00B5209E"/>
    <w:rsid w:val="00B52193"/>
    <w:rsid w:val="00B52288"/>
    <w:rsid w:val="00B52330"/>
    <w:rsid w:val="00B52334"/>
    <w:rsid w:val="00B5233F"/>
    <w:rsid w:val="00B524C4"/>
    <w:rsid w:val="00B5250C"/>
    <w:rsid w:val="00B52530"/>
    <w:rsid w:val="00B52580"/>
    <w:rsid w:val="00B5259F"/>
    <w:rsid w:val="00B525F5"/>
    <w:rsid w:val="00B5264D"/>
    <w:rsid w:val="00B52669"/>
    <w:rsid w:val="00B5276B"/>
    <w:rsid w:val="00B5282C"/>
    <w:rsid w:val="00B52888"/>
    <w:rsid w:val="00B5299D"/>
    <w:rsid w:val="00B529CF"/>
    <w:rsid w:val="00B529E3"/>
    <w:rsid w:val="00B52AB7"/>
    <w:rsid w:val="00B52B1D"/>
    <w:rsid w:val="00B52B95"/>
    <w:rsid w:val="00B52C07"/>
    <w:rsid w:val="00B52C8E"/>
    <w:rsid w:val="00B52D18"/>
    <w:rsid w:val="00B52D63"/>
    <w:rsid w:val="00B52E31"/>
    <w:rsid w:val="00B52E4A"/>
    <w:rsid w:val="00B52E4F"/>
    <w:rsid w:val="00B52E5B"/>
    <w:rsid w:val="00B52EBB"/>
    <w:rsid w:val="00B52EE1"/>
    <w:rsid w:val="00B52EF4"/>
    <w:rsid w:val="00B52F26"/>
    <w:rsid w:val="00B530A6"/>
    <w:rsid w:val="00B530A9"/>
    <w:rsid w:val="00B530CA"/>
    <w:rsid w:val="00B530FA"/>
    <w:rsid w:val="00B53170"/>
    <w:rsid w:val="00B53180"/>
    <w:rsid w:val="00B5319C"/>
    <w:rsid w:val="00B531A2"/>
    <w:rsid w:val="00B531B6"/>
    <w:rsid w:val="00B53247"/>
    <w:rsid w:val="00B532B6"/>
    <w:rsid w:val="00B5335F"/>
    <w:rsid w:val="00B5336F"/>
    <w:rsid w:val="00B5347C"/>
    <w:rsid w:val="00B5348B"/>
    <w:rsid w:val="00B53690"/>
    <w:rsid w:val="00B5369C"/>
    <w:rsid w:val="00B53732"/>
    <w:rsid w:val="00B537A6"/>
    <w:rsid w:val="00B5381E"/>
    <w:rsid w:val="00B53858"/>
    <w:rsid w:val="00B538C7"/>
    <w:rsid w:val="00B53AA0"/>
    <w:rsid w:val="00B53C23"/>
    <w:rsid w:val="00B53C40"/>
    <w:rsid w:val="00B53CEF"/>
    <w:rsid w:val="00B53CF0"/>
    <w:rsid w:val="00B53CFB"/>
    <w:rsid w:val="00B53E3A"/>
    <w:rsid w:val="00B53E4E"/>
    <w:rsid w:val="00B53E9E"/>
    <w:rsid w:val="00B53FC7"/>
    <w:rsid w:val="00B540A5"/>
    <w:rsid w:val="00B5412A"/>
    <w:rsid w:val="00B54153"/>
    <w:rsid w:val="00B5415F"/>
    <w:rsid w:val="00B5417D"/>
    <w:rsid w:val="00B5418C"/>
    <w:rsid w:val="00B54223"/>
    <w:rsid w:val="00B54316"/>
    <w:rsid w:val="00B54335"/>
    <w:rsid w:val="00B543AC"/>
    <w:rsid w:val="00B543C1"/>
    <w:rsid w:val="00B544D8"/>
    <w:rsid w:val="00B544FD"/>
    <w:rsid w:val="00B5455A"/>
    <w:rsid w:val="00B545CD"/>
    <w:rsid w:val="00B54607"/>
    <w:rsid w:val="00B546B3"/>
    <w:rsid w:val="00B54798"/>
    <w:rsid w:val="00B547C8"/>
    <w:rsid w:val="00B5481A"/>
    <w:rsid w:val="00B54832"/>
    <w:rsid w:val="00B549AF"/>
    <w:rsid w:val="00B54A27"/>
    <w:rsid w:val="00B54ABD"/>
    <w:rsid w:val="00B54BA2"/>
    <w:rsid w:val="00B54BDD"/>
    <w:rsid w:val="00B54C5F"/>
    <w:rsid w:val="00B54CD9"/>
    <w:rsid w:val="00B54D82"/>
    <w:rsid w:val="00B54D85"/>
    <w:rsid w:val="00B54D88"/>
    <w:rsid w:val="00B54DEC"/>
    <w:rsid w:val="00B54E3C"/>
    <w:rsid w:val="00B54ED3"/>
    <w:rsid w:val="00B54ED6"/>
    <w:rsid w:val="00B54EE5"/>
    <w:rsid w:val="00B54F01"/>
    <w:rsid w:val="00B54F06"/>
    <w:rsid w:val="00B54F55"/>
    <w:rsid w:val="00B54F66"/>
    <w:rsid w:val="00B54FE0"/>
    <w:rsid w:val="00B5509E"/>
    <w:rsid w:val="00B550EC"/>
    <w:rsid w:val="00B551E9"/>
    <w:rsid w:val="00B5521C"/>
    <w:rsid w:val="00B55242"/>
    <w:rsid w:val="00B552A3"/>
    <w:rsid w:val="00B552F5"/>
    <w:rsid w:val="00B553D6"/>
    <w:rsid w:val="00B553DC"/>
    <w:rsid w:val="00B55406"/>
    <w:rsid w:val="00B5545E"/>
    <w:rsid w:val="00B55472"/>
    <w:rsid w:val="00B55499"/>
    <w:rsid w:val="00B554B3"/>
    <w:rsid w:val="00B554F3"/>
    <w:rsid w:val="00B556C3"/>
    <w:rsid w:val="00B557D8"/>
    <w:rsid w:val="00B55984"/>
    <w:rsid w:val="00B559FC"/>
    <w:rsid w:val="00B55A60"/>
    <w:rsid w:val="00B55ABD"/>
    <w:rsid w:val="00B55ACC"/>
    <w:rsid w:val="00B55ADB"/>
    <w:rsid w:val="00B55B35"/>
    <w:rsid w:val="00B55D6A"/>
    <w:rsid w:val="00B55ECA"/>
    <w:rsid w:val="00B55FD1"/>
    <w:rsid w:val="00B560C0"/>
    <w:rsid w:val="00B56141"/>
    <w:rsid w:val="00B5637D"/>
    <w:rsid w:val="00B56387"/>
    <w:rsid w:val="00B563F4"/>
    <w:rsid w:val="00B564D1"/>
    <w:rsid w:val="00B56590"/>
    <w:rsid w:val="00B565CC"/>
    <w:rsid w:val="00B565CD"/>
    <w:rsid w:val="00B56606"/>
    <w:rsid w:val="00B56645"/>
    <w:rsid w:val="00B5666E"/>
    <w:rsid w:val="00B56683"/>
    <w:rsid w:val="00B566B3"/>
    <w:rsid w:val="00B566BD"/>
    <w:rsid w:val="00B56736"/>
    <w:rsid w:val="00B56753"/>
    <w:rsid w:val="00B5678F"/>
    <w:rsid w:val="00B56869"/>
    <w:rsid w:val="00B568DA"/>
    <w:rsid w:val="00B569A9"/>
    <w:rsid w:val="00B569B3"/>
    <w:rsid w:val="00B569B6"/>
    <w:rsid w:val="00B56A39"/>
    <w:rsid w:val="00B56A61"/>
    <w:rsid w:val="00B56B28"/>
    <w:rsid w:val="00B56B9B"/>
    <w:rsid w:val="00B56BB8"/>
    <w:rsid w:val="00B56BD1"/>
    <w:rsid w:val="00B56BF5"/>
    <w:rsid w:val="00B56C7F"/>
    <w:rsid w:val="00B56CA3"/>
    <w:rsid w:val="00B56D06"/>
    <w:rsid w:val="00B56D6D"/>
    <w:rsid w:val="00B56E94"/>
    <w:rsid w:val="00B56EBC"/>
    <w:rsid w:val="00B56EED"/>
    <w:rsid w:val="00B56F40"/>
    <w:rsid w:val="00B56FE5"/>
    <w:rsid w:val="00B5701B"/>
    <w:rsid w:val="00B570F4"/>
    <w:rsid w:val="00B57109"/>
    <w:rsid w:val="00B5721C"/>
    <w:rsid w:val="00B5725C"/>
    <w:rsid w:val="00B57327"/>
    <w:rsid w:val="00B57333"/>
    <w:rsid w:val="00B5733C"/>
    <w:rsid w:val="00B57465"/>
    <w:rsid w:val="00B574B7"/>
    <w:rsid w:val="00B57538"/>
    <w:rsid w:val="00B57540"/>
    <w:rsid w:val="00B575A0"/>
    <w:rsid w:val="00B575A1"/>
    <w:rsid w:val="00B57647"/>
    <w:rsid w:val="00B576BB"/>
    <w:rsid w:val="00B576BE"/>
    <w:rsid w:val="00B576C6"/>
    <w:rsid w:val="00B57725"/>
    <w:rsid w:val="00B577C6"/>
    <w:rsid w:val="00B578D8"/>
    <w:rsid w:val="00B57980"/>
    <w:rsid w:val="00B57985"/>
    <w:rsid w:val="00B579BB"/>
    <w:rsid w:val="00B57AA2"/>
    <w:rsid w:val="00B57BCB"/>
    <w:rsid w:val="00B57C24"/>
    <w:rsid w:val="00B57CB8"/>
    <w:rsid w:val="00B57CF0"/>
    <w:rsid w:val="00B57D04"/>
    <w:rsid w:val="00B57D98"/>
    <w:rsid w:val="00B57DD4"/>
    <w:rsid w:val="00B57DDD"/>
    <w:rsid w:val="00B57DEC"/>
    <w:rsid w:val="00B57E38"/>
    <w:rsid w:val="00B57EEA"/>
    <w:rsid w:val="00B57EF2"/>
    <w:rsid w:val="00B57F1B"/>
    <w:rsid w:val="00B57FD7"/>
    <w:rsid w:val="00B57FF5"/>
    <w:rsid w:val="00B57FFC"/>
    <w:rsid w:val="00B600A8"/>
    <w:rsid w:val="00B6010A"/>
    <w:rsid w:val="00B601AF"/>
    <w:rsid w:val="00B60246"/>
    <w:rsid w:val="00B60299"/>
    <w:rsid w:val="00B602F3"/>
    <w:rsid w:val="00B60345"/>
    <w:rsid w:val="00B60465"/>
    <w:rsid w:val="00B6047D"/>
    <w:rsid w:val="00B60509"/>
    <w:rsid w:val="00B60547"/>
    <w:rsid w:val="00B60580"/>
    <w:rsid w:val="00B60766"/>
    <w:rsid w:val="00B607F1"/>
    <w:rsid w:val="00B60855"/>
    <w:rsid w:val="00B6086E"/>
    <w:rsid w:val="00B60886"/>
    <w:rsid w:val="00B6092F"/>
    <w:rsid w:val="00B60A60"/>
    <w:rsid w:val="00B60B3D"/>
    <w:rsid w:val="00B60B77"/>
    <w:rsid w:val="00B60E21"/>
    <w:rsid w:val="00B60E49"/>
    <w:rsid w:val="00B60EDA"/>
    <w:rsid w:val="00B60F3B"/>
    <w:rsid w:val="00B60F4D"/>
    <w:rsid w:val="00B60F4E"/>
    <w:rsid w:val="00B61005"/>
    <w:rsid w:val="00B61071"/>
    <w:rsid w:val="00B610EE"/>
    <w:rsid w:val="00B6114E"/>
    <w:rsid w:val="00B6118E"/>
    <w:rsid w:val="00B612D6"/>
    <w:rsid w:val="00B6134E"/>
    <w:rsid w:val="00B61368"/>
    <w:rsid w:val="00B613A0"/>
    <w:rsid w:val="00B613D7"/>
    <w:rsid w:val="00B6143F"/>
    <w:rsid w:val="00B61467"/>
    <w:rsid w:val="00B614A0"/>
    <w:rsid w:val="00B614CB"/>
    <w:rsid w:val="00B614CC"/>
    <w:rsid w:val="00B6177B"/>
    <w:rsid w:val="00B617AD"/>
    <w:rsid w:val="00B617DA"/>
    <w:rsid w:val="00B61807"/>
    <w:rsid w:val="00B618FF"/>
    <w:rsid w:val="00B61905"/>
    <w:rsid w:val="00B619AC"/>
    <w:rsid w:val="00B61A30"/>
    <w:rsid w:val="00B61AFB"/>
    <w:rsid w:val="00B61B35"/>
    <w:rsid w:val="00B61C09"/>
    <w:rsid w:val="00B61D49"/>
    <w:rsid w:val="00B61D86"/>
    <w:rsid w:val="00B61DE3"/>
    <w:rsid w:val="00B61DE6"/>
    <w:rsid w:val="00B61E36"/>
    <w:rsid w:val="00B61F06"/>
    <w:rsid w:val="00B61F51"/>
    <w:rsid w:val="00B62017"/>
    <w:rsid w:val="00B620CE"/>
    <w:rsid w:val="00B620D8"/>
    <w:rsid w:val="00B621B8"/>
    <w:rsid w:val="00B62274"/>
    <w:rsid w:val="00B622D4"/>
    <w:rsid w:val="00B623BB"/>
    <w:rsid w:val="00B62478"/>
    <w:rsid w:val="00B62603"/>
    <w:rsid w:val="00B62619"/>
    <w:rsid w:val="00B6261C"/>
    <w:rsid w:val="00B6267B"/>
    <w:rsid w:val="00B6269B"/>
    <w:rsid w:val="00B62758"/>
    <w:rsid w:val="00B62764"/>
    <w:rsid w:val="00B627D0"/>
    <w:rsid w:val="00B627EA"/>
    <w:rsid w:val="00B628F3"/>
    <w:rsid w:val="00B62A2C"/>
    <w:rsid w:val="00B62A42"/>
    <w:rsid w:val="00B62AA5"/>
    <w:rsid w:val="00B62BB9"/>
    <w:rsid w:val="00B62E63"/>
    <w:rsid w:val="00B62ECB"/>
    <w:rsid w:val="00B62F15"/>
    <w:rsid w:val="00B62F3F"/>
    <w:rsid w:val="00B62FCF"/>
    <w:rsid w:val="00B63099"/>
    <w:rsid w:val="00B63202"/>
    <w:rsid w:val="00B632F6"/>
    <w:rsid w:val="00B6335B"/>
    <w:rsid w:val="00B63385"/>
    <w:rsid w:val="00B63416"/>
    <w:rsid w:val="00B6345F"/>
    <w:rsid w:val="00B63473"/>
    <w:rsid w:val="00B634EC"/>
    <w:rsid w:val="00B635D9"/>
    <w:rsid w:val="00B635E7"/>
    <w:rsid w:val="00B63674"/>
    <w:rsid w:val="00B6369E"/>
    <w:rsid w:val="00B6372E"/>
    <w:rsid w:val="00B63736"/>
    <w:rsid w:val="00B637A2"/>
    <w:rsid w:val="00B637E2"/>
    <w:rsid w:val="00B638CE"/>
    <w:rsid w:val="00B63928"/>
    <w:rsid w:val="00B63942"/>
    <w:rsid w:val="00B63953"/>
    <w:rsid w:val="00B639C1"/>
    <w:rsid w:val="00B639E7"/>
    <w:rsid w:val="00B63C76"/>
    <w:rsid w:val="00B63CF8"/>
    <w:rsid w:val="00B63D83"/>
    <w:rsid w:val="00B63DFD"/>
    <w:rsid w:val="00B63E99"/>
    <w:rsid w:val="00B63E9A"/>
    <w:rsid w:val="00B63EDE"/>
    <w:rsid w:val="00B641EB"/>
    <w:rsid w:val="00B6422A"/>
    <w:rsid w:val="00B642B6"/>
    <w:rsid w:val="00B6433C"/>
    <w:rsid w:val="00B64366"/>
    <w:rsid w:val="00B6439F"/>
    <w:rsid w:val="00B644C8"/>
    <w:rsid w:val="00B644E4"/>
    <w:rsid w:val="00B6459A"/>
    <w:rsid w:val="00B645F5"/>
    <w:rsid w:val="00B64622"/>
    <w:rsid w:val="00B6464B"/>
    <w:rsid w:val="00B64686"/>
    <w:rsid w:val="00B646E9"/>
    <w:rsid w:val="00B64723"/>
    <w:rsid w:val="00B64742"/>
    <w:rsid w:val="00B64758"/>
    <w:rsid w:val="00B64805"/>
    <w:rsid w:val="00B6487F"/>
    <w:rsid w:val="00B6488B"/>
    <w:rsid w:val="00B648F9"/>
    <w:rsid w:val="00B64964"/>
    <w:rsid w:val="00B649CB"/>
    <w:rsid w:val="00B649F8"/>
    <w:rsid w:val="00B64B0C"/>
    <w:rsid w:val="00B64B1F"/>
    <w:rsid w:val="00B64B51"/>
    <w:rsid w:val="00B64B69"/>
    <w:rsid w:val="00B64B95"/>
    <w:rsid w:val="00B64BF2"/>
    <w:rsid w:val="00B64CB0"/>
    <w:rsid w:val="00B64CBD"/>
    <w:rsid w:val="00B64D97"/>
    <w:rsid w:val="00B64EE7"/>
    <w:rsid w:val="00B64FDC"/>
    <w:rsid w:val="00B65004"/>
    <w:rsid w:val="00B6506B"/>
    <w:rsid w:val="00B65071"/>
    <w:rsid w:val="00B6509F"/>
    <w:rsid w:val="00B650B2"/>
    <w:rsid w:val="00B651D6"/>
    <w:rsid w:val="00B651ED"/>
    <w:rsid w:val="00B65285"/>
    <w:rsid w:val="00B652C4"/>
    <w:rsid w:val="00B652D4"/>
    <w:rsid w:val="00B653F7"/>
    <w:rsid w:val="00B65446"/>
    <w:rsid w:val="00B65462"/>
    <w:rsid w:val="00B6548F"/>
    <w:rsid w:val="00B6553B"/>
    <w:rsid w:val="00B65594"/>
    <w:rsid w:val="00B65652"/>
    <w:rsid w:val="00B6567A"/>
    <w:rsid w:val="00B6570F"/>
    <w:rsid w:val="00B65747"/>
    <w:rsid w:val="00B65882"/>
    <w:rsid w:val="00B658AF"/>
    <w:rsid w:val="00B658D9"/>
    <w:rsid w:val="00B65946"/>
    <w:rsid w:val="00B65991"/>
    <w:rsid w:val="00B65996"/>
    <w:rsid w:val="00B659DC"/>
    <w:rsid w:val="00B65A41"/>
    <w:rsid w:val="00B65AB1"/>
    <w:rsid w:val="00B65C1C"/>
    <w:rsid w:val="00B65C2B"/>
    <w:rsid w:val="00B65D21"/>
    <w:rsid w:val="00B65D22"/>
    <w:rsid w:val="00B65D9D"/>
    <w:rsid w:val="00B65DBA"/>
    <w:rsid w:val="00B65E04"/>
    <w:rsid w:val="00B65E8A"/>
    <w:rsid w:val="00B65ECC"/>
    <w:rsid w:val="00B66024"/>
    <w:rsid w:val="00B6603C"/>
    <w:rsid w:val="00B6606C"/>
    <w:rsid w:val="00B6616D"/>
    <w:rsid w:val="00B661A0"/>
    <w:rsid w:val="00B66254"/>
    <w:rsid w:val="00B6635A"/>
    <w:rsid w:val="00B6646A"/>
    <w:rsid w:val="00B6648A"/>
    <w:rsid w:val="00B6670E"/>
    <w:rsid w:val="00B66777"/>
    <w:rsid w:val="00B66967"/>
    <w:rsid w:val="00B66A33"/>
    <w:rsid w:val="00B66ACD"/>
    <w:rsid w:val="00B66BA3"/>
    <w:rsid w:val="00B66BD5"/>
    <w:rsid w:val="00B66C0B"/>
    <w:rsid w:val="00B66C7C"/>
    <w:rsid w:val="00B66D7B"/>
    <w:rsid w:val="00B66D93"/>
    <w:rsid w:val="00B66E04"/>
    <w:rsid w:val="00B66E1F"/>
    <w:rsid w:val="00B66F5A"/>
    <w:rsid w:val="00B66F6A"/>
    <w:rsid w:val="00B66FBF"/>
    <w:rsid w:val="00B66FC9"/>
    <w:rsid w:val="00B67011"/>
    <w:rsid w:val="00B67057"/>
    <w:rsid w:val="00B6719A"/>
    <w:rsid w:val="00B671BF"/>
    <w:rsid w:val="00B671ED"/>
    <w:rsid w:val="00B67211"/>
    <w:rsid w:val="00B67308"/>
    <w:rsid w:val="00B6749B"/>
    <w:rsid w:val="00B675D2"/>
    <w:rsid w:val="00B67693"/>
    <w:rsid w:val="00B67726"/>
    <w:rsid w:val="00B677F2"/>
    <w:rsid w:val="00B6787B"/>
    <w:rsid w:val="00B67884"/>
    <w:rsid w:val="00B678C5"/>
    <w:rsid w:val="00B679BD"/>
    <w:rsid w:val="00B679CD"/>
    <w:rsid w:val="00B67A1B"/>
    <w:rsid w:val="00B67AE3"/>
    <w:rsid w:val="00B67AFB"/>
    <w:rsid w:val="00B67B0C"/>
    <w:rsid w:val="00B67BA2"/>
    <w:rsid w:val="00B67BC7"/>
    <w:rsid w:val="00B67BFE"/>
    <w:rsid w:val="00B67C2B"/>
    <w:rsid w:val="00B67D71"/>
    <w:rsid w:val="00B67D76"/>
    <w:rsid w:val="00B67DDD"/>
    <w:rsid w:val="00B67E82"/>
    <w:rsid w:val="00B67E94"/>
    <w:rsid w:val="00B67EB4"/>
    <w:rsid w:val="00B67F03"/>
    <w:rsid w:val="00B67F2C"/>
    <w:rsid w:val="00B67F41"/>
    <w:rsid w:val="00B67F52"/>
    <w:rsid w:val="00B67FA0"/>
    <w:rsid w:val="00B7005B"/>
    <w:rsid w:val="00B70266"/>
    <w:rsid w:val="00B70275"/>
    <w:rsid w:val="00B7029B"/>
    <w:rsid w:val="00B702D7"/>
    <w:rsid w:val="00B702DD"/>
    <w:rsid w:val="00B70309"/>
    <w:rsid w:val="00B703EE"/>
    <w:rsid w:val="00B7063D"/>
    <w:rsid w:val="00B70642"/>
    <w:rsid w:val="00B70731"/>
    <w:rsid w:val="00B7075E"/>
    <w:rsid w:val="00B70842"/>
    <w:rsid w:val="00B7088A"/>
    <w:rsid w:val="00B708AB"/>
    <w:rsid w:val="00B708DF"/>
    <w:rsid w:val="00B70918"/>
    <w:rsid w:val="00B7092C"/>
    <w:rsid w:val="00B709A2"/>
    <w:rsid w:val="00B70A55"/>
    <w:rsid w:val="00B70A88"/>
    <w:rsid w:val="00B70AB9"/>
    <w:rsid w:val="00B70B39"/>
    <w:rsid w:val="00B70C5B"/>
    <w:rsid w:val="00B70C78"/>
    <w:rsid w:val="00B70CC1"/>
    <w:rsid w:val="00B70D12"/>
    <w:rsid w:val="00B70D9A"/>
    <w:rsid w:val="00B70DAC"/>
    <w:rsid w:val="00B70E00"/>
    <w:rsid w:val="00B70E05"/>
    <w:rsid w:val="00B70EE4"/>
    <w:rsid w:val="00B70EFA"/>
    <w:rsid w:val="00B70F17"/>
    <w:rsid w:val="00B70F2F"/>
    <w:rsid w:val="00B70F9D"/>
    <w:rsid w:val="00B7102D"/>
    <w:rsid w:val="00B7121D"/>
    <w:rsid w:val="00B71282"/>
    <w:rsid w:val="00B71312"/>
    <w:rsid w:val="00B71328"/>
    <w:rsid w:val="00B71373"/>
    <w:rsid w:val="00B71514"/>
    <w:rsid w:val="00B71579"/>
    <w:rsid w:val="00B715D6"/>
    <w:rsid w:val="00B7163E"/>
    <w:rsid w:val="00B71710"/>
    <w:rsid w:val="00B71735"/>
    <w:rsid w:val="00B71805"/>
    <w:rsid w:val="00B71848"/>
    <w:rsid w:val="00B718EF"/>
    <w:rsid w:val="00B71937"/>
    <w:rsid w:val="00B71AC5"/>
    <w:rsid w:val="00B71B4C"/>
    <w:rsid w:val="00B71BBB"/>
    <w:rsid w:val="00B71C27"/>
    <w:rsid w:val="00B71CBD"/>
    <w:rsid w:val="00B71CF4"/>
    <w:rsid w:val="00B71D1F"/>
    <w:rsid w:val="00B71D2F"/>
    <w:rsid w:val="00B71D4D"/>
    <w:rsid w:val="00B71D9D"/>
    <w:rsid w:val="00B71E25"/>
    <w:rsid w:val="00B71E27"/>
    <w:rsid w:val="00B71EB3"/>
    <w:rsid w:val="00B71FDE"/>
    <w:rsid w:val="00B720E9"/>
    <w:rsid w:val="00B721AD"/>
    <w:rsid w:val="00B721B3"/>
    <w:rsid w:val="00B7220C"/>
    <w:rsid w:val="00B722E9"/>
    <w:rsid w:val="00B72315"/>
    <w:rsid w:val="00B7259D"/>
    <w:rsid w:val="00B725CA"/>
    <w:rsid w:val="00B725FA"/>
    <w:rsid w:val="00B7279C"/>
    <w:rsid w:val="00B727B4"/>
    <w:rsid w:val="00B727D0"/>
    <w:rsid w:val="00B727F9"/>
    <w:rsid w:val="00B7282C"/>
    <w:rsid w:val="00B729D8"/>
    <w:rsid w:val="00B72A11"/>
    <w:rsid w:val="00B72A46"/>
    <w:rsid w:val="00B72BDC"/>
    <w:rsid w:val="00B72DC7"/>
    <w:rsid w:val="00B72DD1"/>
    <w:rsid w:val="00B72E09"/>
    <w:rsid w:val="00B72F08"/>
    <w:rsid w:val="00B72F51"/>
    <w:rsid w:val="00B72F9F"/>
    <w:rsid w:val="00B73006"/>
    <w:rsid w:val="00B7307B"/>
    <w:rsid w:val="00B73115"/>
    <w:rsid w:val="00B731E9"/>
    <w:rsid w:val="00B73220"/>
    <w:rsid w:val="00B733DE"/>
    <w:rsid w:val="00B7343E"/>
    <w:rsid w:val="00B7352A"/>
    <w:rsid w:val="00B735B8"/>
    <w:rsid w:val="00B7360C"/>
    <w:rsid w:val="00B73665"/>
    <w:rsid w:val="00B736F3"/>
    <w:rsid w:val="00B737ED"/>
    <w:rsid w:val="00B7396C"/>
    <w:rsid w:val="00B739BC"/>
    <w:rsid w:val="00B73A03"/>
    <w:rsid w:val="00B73B5D"/>
    <w:rsid w:val="00B73C68"/>
    <w:rsid w:val="00B73CC9"/>
    <w:rsid w:val="00B73E2E"/>
    <w:rsid w:val="00B74034"/>
    <w:rsid w:val="00B7403E"/>
    <w:rsid w:val="00B7407D"/>
    <w:rsid w:val="00B74171"/>
    <w:rsid w:val="00B7433B"/>
    <w:rsid w:val="00B74362"/>
    <w:rsid w:val="00B744C0"/>
    <w:rsid w:val="00B744F2"/>
    <w:rsid w:val="00B74540"/>
    <w:rsid w:val="00B74693"/>
    <w:rsid w:val="00B747FC"/>
    <w:rsid w:val="00B74940"/>
    <w:rsid w:val="00B74A40"/>
    <w:rsid w:val="00B74ABA"/>
    <w:rsid w:val="00B74BE2"/>
    <w:rsid w:val="00B74C28"/>
    <w:rsid w:val="00B74E1A"/>
    <w:rsid w:val="00B74E68"/>
    <w:rsid w:val="00B74E89"/>
    <w:rsid w:val="00B74EE5"/>
    <w:rsid w:val="00B74EFE"/>
    <w:rsid w:val="00B74F3C"/>
    <w:rsid w:val="00B74F9E"/>
    <w:rsid w:val="00B75042"/>
    <w:rsid w:val="00B750EF"/>
    <w:rsid w:val="00B75311"/>
    <w:rsid w:val="00B75328"/>
    <w:rsid w:val="00B75485"/>
    <w:rsid w:val="00B754FB"/>
    <w:rsid w:val="00B75523"/>
    <w:rsid w:val="00B755CC"/>
    <w:rsid w:val="00B7561A"/>
    <w:rsid w:val="00B7574B"/>
    <w:rsid w:val="00B7578B"/>
    <w:rsid w:val="00B75875"/>
    <w:rsid w:val="00B758A1"/>
    <w:rsid w:val="00B758BD"/>
    <w:rsid w:val="00B7596E"/>
    <w:rsid w:val="00B759DC"/>
    <w:rsid w:val="00B75A3F"/>
    <w:rsid w:val="00B75A5A"/>
    <w:rsid w:val="00B75AB8"/>
    <w:rsid w:val="00B75AEF"/>
    <w:rsid w:val="00B75BCB"/>
    <w:rsid w:val="00B75D2A"/>
    <w:rsid w:val="00B75D56"/>
    <w:rsid w:val="00B75EBE"/>
    <w:rsid w:val="00B75F89"/>
    <w:rsid w:val="00B760D6"/>
    <w:rsid w:val="00B761F0"/>
    <w:rsid w:val="00B76284"/>
    <w:rsid w:val="00B762CA"/>
    <w:rsid w:val="00B762F9"/>
    <w:rsid w:val="00B763CD"/>
    <w:rsid w:val="00B764CF"/>
    <w:rsid w:val="00B76583"/>
    <w:rsid w:val="00B7661E"/>
    <w:rsid w:val="00B76640"/>
    <w:rsid w:val="00B7680E"/>
    <w:rsid w:val="00B76834"/>
    <w:rsid w:val="00B7685A"/>
    <w:rsid w:val="00B7686A"/>
    <w:rsid w:val="00B7688C"/>
    <w:rsid w:val="00B768A8"/>
    <w:rsid w:val="00B768E0"/>
    <w:rsid w:val="00B769DA"/>
    <w:rsid w:val="00B76ACB"/>
    <w:rsid w:val="00B76B7D"/>
    <w:rsid w:val="00B76BE6"/>
    <w:rsid w:val="00B76C03"/>
    <w:rsid w:val="00B76C43"/>
    <w:rsid w:val="00B76CA3"/>
    <w:rsid w:val="00B76CFE"/>
    <w:rsid w:val="00B76E46"/>
    <w:rsid w:val="00B76E68"/>
    <w:rsid w:val="00B76F0F"/>
    <w:rsid w:val="00B76F8A"/>
    <w:rsid w:val="00B770CB"/>
    <w:rsid w:val="00B77127"/>
    <w:rsid w:val="00B7713E"/>
    <w:rsid w:val="00B77147"/>
    <w:rsid w:val="00B771D1"/>
    <w:rsid w:val="00B77243"/>
    <w:rsid w:val="00B772C3"/>
    <w:rsid w:val="00B772E0"/>
    <w:rsid w:val="00B773A2"/>
    <w:rsid w:val="00B77489"/>
    <w:rsid w:val="00B774A6"/>
    <w:rsid w:val="00B77547"/>
    <w:rsid w:val="00B77630"/>
    <w:rsid w:val="00B77646"/>
    <w:rsid w:val="00B7765A"/>
    <w:rsid w:val="00B77699"/>
    <w:rsid w:val="00B776D1"/>
    <w:rsid w:val="00B7772B"/>
    <w:rsid w:val="00B777CF"/>
    <w:rsid w:val="00B77839"/>
    <w:rsid w:val="00B77868"/>
    <w:rsid w:val="00B778B7"/>
    <w:rsid w:val="00B778CD"/>
    <w:rsid w:val="00B77929"/>
    <w:rsid w:val="00B77983"/>
    <w:rsid w:val="00B779B9"/>
    <w:rsid w:val="00B77AA1"/>
    <w:rsid w:val="00B77C6E"/>
    <w:rsid w:val="00B77CC5"/>
    <w:rsid w:val="00B77CE8"/>
    <w:rsid w:val="00B77D95"/>
    <w:rsid w:val="00B77DB9"/>
    <w:rsid w:val="00B77E0D"/>
    <w:rsid w:val="00B77E6A"/>
    <w:rsid w:val="00B77ED0"/>
    <w:rsid w:val="00B800B2"/>
    <w:rsid w:val="00B800DB"/>
    <w:rsid w:val="00B80160"/>
    <w:rsid w:val="00B801B7"/>
    <w:rsid w:val="00B80225"/>
    <w:rsid w:val="00B80272"/>
    <w:rsid w:val="00B802B4"/>
    <w:rsid w:val="00B8036C"/>
    <w:rsid w:val="00B80554"/>
    <w:rsid w:val="00B805E6"/>
    <w:rsid w:val="00B805F8"/>
    <w:rsid w:val="00B80830"/>
    <w:rsid w:val="00B8087F"/>
    <w:rsid w:val="00B8088C"/>
    <w:rsid w:val="00B8097B"/>
    <w:rsid w:val="00B80A32"/>
    <w:rsid w:val="00B80A61"/>
    <w:rsid w:val="00B80A99"/>
    <w:rsid w:val="00B80A9B"/>
    <w:rsid w:val="00B80C5D"/>
    <w:rsid w:val="00B80C75"/>
    <w:rsid w:val="00B80CA5"/>
    <w:rsid w:val="00B80FA1"/>
    <w:rsid w:val="00B80FE0"/>
    <w:rsid w:val="00B8104F"/>
    <w:rsid w:val="00B810C4"/>
    <w:rsid w:val="00B810EF"/>
    <w:rsid w:val="00B8111C"/>
    <w:rsid w:val="00B811A2"/>
    <w:rsid w:val="00B81262"/>
    <w:rsid w:val="00B812BD"/>
    <w:rsid w:val="00B81341"/>
    <w:rsid w:val="00B8142C"/>
    <w:rsid w:val="00B81571"/>
    <w:rsid w:val="00B8166A"/>
    <w:rsid w:val="00B81679"/>
    <w:rsid w:val="00B8172F"/>
    <w:rsid w:val="00B817A6"/>
    <w:rsid w:val="00B817F1"/>
    <w:rsid w:val="00B81875"/>
    <w:rsid w:val="00B8193D"/>
    <w:rsid w:val="00B819C1"/>
    <w:rsid w:val="00B819E4"/>
    <w:rsid w:val="00B81A9D"/>
    <w:rsid w:val="00B81AA4"/>
    <w:rsid w:val="00B81ADD"/>
    <w:rsid w:val="00B81BD1"/>
    <w:rsid w:val="00B81BE2"/>
    <w:rsid w:val="00B81CEF"/>
    <w:rsid w:val="00B81D30"/>
    <w:rsid w:val="00B81D9C"/>
    <w:rsid w:val="00B81DE7"/>
    <w:rsid w:val="00B81E2B"/>
    <w:rsid w:val="00B81E71"/>
    <w:rsid w:val="00B81F23"/>
    <w:rsid w:val="00B81F27"/>
    <w:rsid w:val="00B820FE"/>
    <w:rsid w:val="00B82113"/>
    <w:rsid w:val="00B82281"/>
    <w:rsid w:val="00B82295"/>
    <w:rsid w:val="00B822E3"/>
    <w:rsid w:val="00B825D0"/>
    <w:rsid w:val="00B825DC"/>
    <w:rsid w:val="00B8267B"/>
    <w:rsid w:val="00B826D3"/>
    <w:rsid w:val="00B82719"/>
    <w:rsid w:val="00B82769"/>
    <w:rsid w:val="00B8279B"/>
    <w:rsid w:val="00B828C6"/>
    <w:rsid w:val="00B82910"/>
    <w:rsid w:val="00B829BA"/>
    <w:rsid w:val="00B82A1C"/>
    <w:rsid w:val="00B82A9E"/>
    <w:rsid w:val="00B82B2B"/>
    <w:rsid w:val="00B82CD0"/>
    <w:rsid w:val="00B82D40"/>
    <w:rsid w:val="00B82D82"/>
    <w:rsid w:val="00B82DC2"/>
    <w:rsid w:val="00B82E55"/>
    <w:rsid w:val="00B82E5C"/>
    <w:rsid w:val="00B82E85"/>
    <w:rsid w:val="00B830AF"/>
    <w:rsid w:val="00B831F6"/>
    <w:rsid w:val="00B83212"/>
    <w:rsid w:val="00B8334F"/>
    <w:rsid w:val="00B83453"/>
    <w:rsid w:val="00B835E2"/>
    <w:rsid w:val="00B8360C"/>
    <w:rsid w:val="00B8377E"/>
    <w:rsid w:val="00B837AC"/>
    <w:rsid w:val="00B83838"/>
    <w:rsid w:val="00B839C5"/>
    <w:rsid w:val="00B839E2"/>
    <w:rsid w:val="00B83A13"/>
    <w:rsid w:val="00B83A42"/>
    <w:rsid w:val="00B83A9E"/>
    <w:rsid w:val="00B83AA6"/>
    <w:rsid w:val="00B83AC1"/>
    <w:rsid w:val="00B83AE8"/>
    <w:rsid w:val="00B83BA0"/>
    <w:rsid w:val="00B83BA4"/>
    <w:rsid w:val="00B83C11"/>
    <w:rsid w:val="00B83E6D"/>
    <w:rsid w:val="00B83EB0"/>
    <w:rsid w:val="00B83FE4"/>
    <w:rsid w:val="00B83FFF"/>
    <w:rsid w:val="00B8400E"/>
    <w:rsid w:val="00B84177"/>
    <w:rsid w:val="00B8419E"/>
    <w:rsid w:val="00B84373"/>
    <w:rsid w:val="00B84398"/>
    <w:rsid w:val="00B84408"/>
    <w:rsid w:val="00B84416"/>
    <w:rsid w:val="00B8448E"/>
    <w:rsid w:val="00B844BA"/>
    <w:rsid w:val="00B845B2"/>
    <w:rsid w:val="00B8468F"/>
    <w:rsid w:val="00B846B6"/>
    <w:rsid w:val="00B84724"/>
    <w:rsid w:val="00B847FC"/>
    <w:rsid w:val="00B84872"/>
    <w:rsid w:val="00B848A4"/>
    <w:rsid w:val="00B84940"/>
    <w:rsid w:val="00B849BF"/>
    <w:rsid w:val="00B84AC6"/>
    <w:rsid w:val="00B84B05"/>
    <w:rsid w:val="00B84BB8"/>
    <w:rsid w:val="00B84D26"/>
    <w:rsid w:val="00B84D3F"/>
    <w:rsid w:val="00B84D70"/>
    <w:rsid w:val="00B84D88"/>
    <w:rsid w:val="00B84E09"/>
    <w:rsid w:val="00B84EDA"/>
    <w:rsid w:val="00B84F06"/>
    <w:rsid w:val="00B85173"/>
    <w:rsid w:val="00B851A6"/>
    <w:rsid w:val="00B851DE"/>
    <w:rsid w:val="00B8522B"/>
    <w:rsid w:val="00B8526D"/>
    <w:rsid w:val="00B8526F"/>
    <w:rsid w:val="00B85351"/>
    <w:rsid w:val="00B85403"/>
    <w:rsid w:val="00B854A5"/>
    <w:rsid w:val="00B85735"/>
    <w:rsid w:val="00B857AC"/>
    <w:rsid w:val="00B857B0"/>
    <w:rsid w:val="00B858FD"/>
    <w:rsid w:val="00B8599F"/>
    <w:rsid w:val="00B859A3"/>
    <w:rsid w:val="00B859CF"/>
    <w:rsid w:val="00B859E1"/>
    <w:rsid w:val="00B859EC"/>
    <w:rsid w:val="00B85A3A"/>
    <w:rsid w:val="00B85CBF"/>
    <w:rsid w:val="00B85D18"/>
    <w:rsid w:val="00B85D1E"/>
    <w:rsid w:val="00B85DE4"/>
    <w:rsid w:val="00B85E9D"/>
    <w:rsid w:val="00B85FA1"/>
    <w:rsid w:val="00B8605B"/>
    <w:rsid w:val="00B86071"/>
    <w:rsid w:val="00B86091"/>
    <w:rsid w:val="00B8611A"/>
    <w:rsid w:val="00B86201"/>
    <w:rsid w:val="00B864A2"/>
    <w:rsid w:val="00B864EC"/>
    <w:rsid w:val="00B86632"/>
    <w:rsid w:val="00B8663D"/>
    <w:rsid w:val="00B86651"/>
    <w:rsid w:val="00B8668A"/>
    <w:rsid w:val="00B86759"/>
    <w:rsid w:val="00B867A4"/>
    <w:rsid w:val="00B8682A"/>
    <w:rsid w:val="00B86862"/>
    <w:rsid w:val="00B868EA"/>
    <w:rsid w:val="00B868F5"/>
    <w:rsid w:val="00B86967"/>
    <w:rsid w:val="00B86A14"/>
    <w:rsid w:val="00B86A48"/>
    <w:rsid w:val="00B86A8F"/>
    <w:rsid w:val="00B86AA5"/>
    <w:rsid w:val="00B86AB3"/>
    <w:rsid w:val="00B86D25"/>
    <w:rsid w:val="00B86D46"/>
    <w:rsid w:val="00B86E0B"/>
    <w:rsid w:val="00B86E76"/>
    <w:rsid w:val="00B86EBF"/>
    <w:rsid w:val="00B8707D"/>
    <w:rsid w:val="00B870B1"/>
    <w:rsid w:val="00B87113"/>
    <w:rsid w:val="00B8712B"/>
    <w:rsid w:val="00B87274"/>
    <w:rsid w:val="00B872B5"/>
    <w:rsid w:val="00B872F3"/>
    <w:rsid w:val="00B87740"/>
    <w:rsid w:val="00B87744"/>
    <w:rsid w:val="00B8774A"/>
    <w:rsid w:val="00B8776E"/>
    <w:rsid w:val="00B87790"/>
    <w:rsid w:val="00B87829"/>
    <w:rsid w:val="00B87847"/>
    <w:rsid w:val="00B878B7"/>
    <w:rsid w:val="00B8799B"/>
    <w:rsid w:val="00B87AAD"/>
    <w:rsid w:val="00B87AE2"/>
    <w:rsid w:val="00B87B95"/>
    <w:rsid w:val="00B87B9C"/>
    <w:rsid w:val="00B87BA3"/>
    <w:rsid w:val="00B87BFF"/>
    <w:rsid w:val="00B87C81"/>
    <w:rsid w:val="00B87D41"/>
    <w:rsid w:val="00B87DA5"/>
    <w:rsid w:val="00B87DBA"/>
    <w:rsid w:val="00B90111"/>
    <w:rsid w:val="00B90118"/>
    <w:rsid w:val="00B90134"/>
    <w:rsid w:val="00B901BC"/>
    <w:rsid w:val="00B901BE"/>
    <w:rsid w:val="00B901F6"/>
    <w:rsid w:val="00B90219"/>
    <w:rsid w:val="00B90221"/>
    <w:rsid w:val="00B90235"/>
    <w:rsid w:val="00B902A6"/>
    <w:rsid w:val="00B90315"/>
    <w:rsid w:val="00B903E7"/>
    <w:rsid w:val="00B90401"/>
    <w:rsid w:val="00B904EA"/>
    <w:rsid w:val="00B904F1"/>
    <w:rsid w:val="00B90526"/>
    <w:rsid w:val="00B90538"/>
    <w:rsid w:val="00B90554"/>
    <w:rsid w:val="00B9061C"/>
    <w:rsid w:val="00B90648"/>
    <w:rsid w:val="00B90661"/>
    <w:rsid w:val="00B9069A"/>
    <w:rsid w:val="00B906F8"/>
    <w:rsid w:val="00B90743"/>
    <w:rsid w:val="00B9077D"/>
    <w:rsid w:val="00B907CD"/>
    <w:rsid w:val="00B907D7"/>
    <w:rsid w:val="00B907EC"/>
    <w:rsid w:val="00B9089C"/>
    <w:rsid w:val="00B908C2"/>
    <w:rsid w:val="00B908EE"/>
    <w:rsid w:val="00B9092B"/>
    <w:rsid w:val="00B909FB"/>
    <w:rsid w:val="00B90A5E"/>
    <w:rsid w:val="00B90A8C"/>
    <w:rsid w:val="00B90AF4"/>
    <w:rsid w:val="00B90B56"/>
    <w:rsid w:val="00B90B9D"/>
    <w:rsid w:val="00B90BE4"/>
    <w:rsid w:val="00B90C31"/>
    <w:rsid w:val="00B90D68"/>
    <w:rsid w:val="00B90EBE"/>
    <w:rsid w:val="00B90F3C"/>
    <w:rsid w:val="00B90F59"/>
    <w:rsid w:val="00B90FA8"/>
    <w:rsid w:val="00B90FD7"/>
    <w:rsid w:val="00B91000"/>
    <w:rsid w:val="00B91153"/>
    <w:rsid w:val="00B91160"/>
    <w:rsid w:val="00B9119C"/>
    <w:rsid w:val="00B911C8"/>
    <w:rsid w:val="00B91223"/>
    <w:rsid w:val="00B91231"/>
    <w:rsid w:val="00B912B2"/>
    <w:rsid w:val="00B912BC"/>
    <w:rsid w:val="00B913A5"/>
    <w:rsid w:val="00B9143E"/>
    <w:rsid w:val="00B91453"/>
    <w:rsid w:val="00B9146A"/>
    <w:rsid w:val="00B9147B"/>
    <w:rsid w:val="00B914B0"/>
    <w:rsid w:val="00B914B7"/>
    <w:rsid w:val="00B91581"/>
    <w:rsid w:val="00B915E3"/>
    <w:rsid w:val="00B915EF"/>
    <w:rsid w:val="00B9168F"/>
    <w:rsid w:val="00B916BA"/>
    <w:rsid w:val="00B9175D"/>
    <w:rsid w:val="00B9199A"/>
    <w:rsid w:val="00B91AE5"/>
    <w:rsid w:val="00B91B91"/>
    <w:rsid w:val="00B91BDB"/>
    <w:rsid w:val="00B91C6C"/>
    <w:rsid w:val="00B91C92"/>
    <w:rsid w:val="00B91CD6"/>
    <w:rsid w:val="00B91CE1"/>
    <w:rsid w:val="00B91D7A"/>
    <w:rsid w:val="00B91DB2"/>
    <w:rsid w:val="00B91DF3"/>
    <w:rsid w:val="00B91EAD"/>
    <w:rsid w:val="00B91FB2"/>
    <w:rsid w:val="00B9202B"/>
    <w:rsid w:val="00B92121"/>
    <w:rsid w:val="00B9229F"/>
    <w:rsid w:val="00B92306"/>
    <w:rsid w:val="00B9242A"/>
    <w:rsid w:val="00B92436"/>
    <w:rsid w:val="00B924F7"/>
    <w:rsid w:val="00B9250B"/>
    <w:rsid w:val="00B9251A"/>
    <w:rsid w:val="00B92563"/>
    <w:rsid w:val="00B92582"/>
    <w:rsid w:val="00B92619"/>
    <w:rsid w:val="00B9275F"/>
    <w:rsid w:val="00B92765"/>
    <w:rsid w:val="00B92779"/>
    <w:rsid w:val="00B92829"/>
    <w:rsid w:val="00B928D1"/>
    <w:rsid w:val="00B928DD"/>
    <w:rsid w:val="00B92984"/>
    <w:rsid w:val="00B92BA5"/>
    <w:rsid w:val="00B92C5F"/>
    <w:rsid w:val="00B92D03"/>
    <w:rsid w:val="00B92E9D"/>
    <w:rsid w:val="00B92EE3"/>
    <w:rsid w:val="00B92EE6"/>
    <w:rsid w:val="00B92EEC"/>
    <w:rsid w:val="00B9304C"/>
    <w:rsid w:val="00B9324A"/>
    <w:rsid w:val="00B9324E"/>
    <w:rsid w:val="00B93285"/>
    <w:rsid w:val="00B932BE"/>
    <w:rsid w:val="00B932E8"/>
    <w:rsid w:val="00B9339E"/>
    <w:rsid w:val="00B933BC"/>
    <w:rsid w:val="00B933EF"/>
    <w:rsid w:val="00B934AA"/>
    <w:rsid w:val="00B934EE"/>
    <w:rsid w:val="00B93567"/>
    <w:rsid w:val="00B935B8"/>
    <w:rsid w:val="00B935D9"/>
    <w:rsid w:val="00B93638"/>
    <w:rsid w:val="00B93679"/>
    <w:rsid w:val="00B936E6"/>
    <w:rsid w:val="00B93700"/>
    <w:rsid w:val="00B93717"/>
    <w:rsid w:val="00B93757"/>
    <w:rsid w:val="00B937C4"/>
    <w:rsid w:val="00B93822"/>
    <w:rsid w:val="00B93829"/>
    <w:rsid w:val="00B9388E"/>
    <w:rsid w:val="00B938ED"/>
    <w:rsid w:val="00B939E2"/>
    <w:rsid w:val="00B93B05"/>
    <w:rsid w:val="00B93C4F"/>
    <w:rsid w:val="00B93C67"/>
    <w:rsid w:val="00B93D0A"/>
    <w:rsid w:val="00B93D20"/>
    <w:rsid w:val="00B93F4D"/>
    <w:rsid w:val="00B94005"/>
    <w:rsid w:val="00B940E1"/>
    <w:rsid w:val="00B94109"/>
    <w:rsid w:val="00B94246"/>
    <w:rsid w:val="00B94387"/>
    <w:rsid w:val="00B94462"/>
    <w:rsid w:val="00B94499"/>
    <w:rsid w:val="00B94582"/>
    <w:rsid w:val="00B945D8"/>
    <w:rsid w:val="00B94671"/>
    <w:rsid w:val="00B94698"/>
    <w:rsid w:val="00B946BE"/>
    <w:rsid w:val="00B946DC"/>
    <w:rsid w:val="00B94753"/>
    <w:rsid w:val="00B94763"/>
    <w:rsid w:val="00B9480C"/>
    <w:rsid w:val="00B9488D"/>
    <w:rsid w:val="00B94A5F"/>
    <w:rsid w:val="00B94B0F"/>
    <w:rsid w:val="00B94BED"/>
    <w:rsid w:val="00B94C66"/>
    <w:rsid w:val="00B94CBD"/>
    <w:rsid w:val="00B94CE2"/>
    <w:rsid w:val="00B94D34"/>
    <w:rsid w:val="00B94D5C"/>
    <w:rsid w:val="00B94D70"/>
    <w:rsid w:val="00B94E29"/>
    <w:rsid w:val="00B94EEA"/>
    <w:rsid w:val="00B94F14"/>
    <w:rsid w:val="00B94F31"/>
    <w:rsid w:val="00B94F35"/>
    <w:rsid w:val="00B94FFD"/>
    <w:rsid w:val="00B950CA"/>
    <w:rsid w:val="00B95139"/>
    <w:rsid w:val="00B952A3"/>
    <w:rsid w:val="00B952B5"/>
    <w:rsid w:val="00B952D3"/>
    <w:rsid w:val="00B952E8"/>
    <w:rsid w:val="00B95350"/>
    <w:rsid w:val="00B953ED"/>
    <w:rsid w:val="00B953FA"/>
    <w:rsid w:val="00B95429"/>
    <w:rsid w:val="00B954B4"/>
    <w:rsid w:val="00B954C4"/>
    <w:rsid w:val="00B95503"/>
    <w:rsid w:val="00B95614"/>
    <w:rsid w:val="00B956DE"/>
    <w:rsid w:val="00B95733"/>
    <w:rsid w:val="00B95775"/>
    <w:rsid w:val="00B957C1"/>
    <w:rsid w:val="00B957CE"/>
    <w:rsid w:val="00B957D2"/>
    <w:rsid w:val="00B957E2"/>
    <w:rsid w:val="00B957ED"/>
    <w:rsid w:val="00B95864"/>
    <w:rsid w:val="00B95883"/>
    <w:rsid w:val="00B95931"/>
    <w:rsid w:val="00B95950"/>
    <w:rsid w:val="00B95951"/>
    <w:rsid w:val="00B9597D"/>
    <w:rsid w:val="00B959E2"/>
    <w:rsid w:val="00B95A0E"/>
    <w:rsid w:val="00B95ABB"/>
    <w:rsid w:val="00B95B38"/>
    <w:rsid w:val="00B95BBB"/>
    <w:rsid w:val="00B95C02"/>
    <w:rsid w:val="00B95C06"/>
    <w:rsid w:val="00B95C0D"/>
    <w:rsid w:val="00B95C3F"/>
    <w:rsid w:val="00B95CC2"/>
    <w:rsid w:val="00B95CC4"/>
    <w:rsid w:val="00B95D72"/>
    <w:rsid w:val="00B95D7A"/>
    <w:rsid w:val="00B95DEA"/>
    <w:rsid w:val="00B9603D"/>
    <w:rsid w:val="00B96080"/>
    <w:rsid w:val="00B9618F"/>
    <w:rsid w:val="00B961DF"/>
    <w:rsid w:val="00B962B5"/>
    <w:rsid w:val="00B96310"/>
    <w:rsid w:val="00B96406"/>
    <w:rsid w:val="00B964B7"/>
    <w:rsid w:val="00B9651D"/>
    <w:rsid w:val="00B965B8"/>
    <w:rsid w:val="00B96614"/>
    <w:rsid w:val="00B96620"/>
    <w:rsid w:val="00B966BB"/>
    <w:rsid w:val="00B96728"/>
    <w:rsid w:val="00B9673B"/>
    <w:rsid w:val="00B9677B"/>
    <w:rsid w:val="00B96806"/>
    <w:rsid w:val="00B96844"/>
    <w:rsid w:val="00B968CA"/>
    <w:rsid w:val="00B9694B"/>
    <w:rsid w:val="00B96A26"/>
    <w:rsid w:val="00B96AAF"/>
    <w:rsid w:val="00B96BB4"/>
    <w:rsid w:val="00B96DB9"/>
    <w:rsid w:val="00B96E3C"/>
    <w:rsid w:val="00B96E6F"/>
    <w:rsid w:val="00B96F8C"/>
    <w:rsid w:val="00B97004"/>
    <w:rsid w:val="00B97108"/>
    <w:rsid w:val="00B972FC"/>
    <w:rsid w:val="00B97365"/>
    <w:rsid w:val="00B97475"/>
    <w:rsid w:val="00B97562"/>
    <w:rsid w:val="00B97665"/>
    <w:rsid w:val="00B976C7"/>
    <w:rsid w:val="00B97799"/>
    <w:rsid w:val="00B977EB"/>
    <w:rsid w:val="00B97871"/>
    <w:rsid w:val="00B97A0C"/>
    <w:rsid w:val="00B97A1E"/>
    <w:rsid w:val="00B97A72"/>
    <w:rsid w:val="00B97B49"/>
    <w:rsid w:val="00B97BB4"/>
    <w:rsid w:val="00B97BE7"/>
    <w:rsid w:val="00B97D6A"/>
    <w:rsid w:val="00B97D7B"/>
    <w:rsid w:val="00B97DE9"/>
    <w:rsid w:val="00B97E02"/>
    <w:rsid w:val="00B97E07"/>
    <w:rsid w:val="00B97E31"/>
    <w:rsid w:val="00B97E48"/>
    <w:rsid w:val="00B97E6A"/>
    <w:rsid w:val="00B97EC3"/>
    <w:rsid w:val="00B97F3F"/>
    <w:rsid w:val="00B97FD7"/>
    <w:rsid w:val="00BA0021"/>
    <w:rsid w:val="00BA0030"/>
    <w:rsid w:val="00BA0271"/>
    <w:rsid w:val="00BA02FE"/>
    <w:rsid w:val="00BA0508"/>
    <w:rsid w:val="00BA05CC"/>
    <w:rsid w:val="00BA0647"/>
    <w:rsid w:val="00BA0658"/>
    <w:rsid w:val="00BA06DD"/>
    <w:rsid w:val="00BA06E7"/>
    <w:rsid w:val="00BA0735"/>
    <w:rsid w:val="00BA089E"/>
    <w:rsid w:val="00BA08B6"/>
    <w:rsid w:val="00BA08F4"/>
    <w:rsid w:val="00BA09C4"/>
    <w:rsid w:val="00BA09F0"/>
    <w:rsid w:val="00BA0A2B"/>
    <w:rsid w:val="00BA0A49"/>
    <w:rsid w:val="00BA0A7F"/>
    <w:rsid w:val="00BA0A8B"/>
    <w:rsid w:val="00BA0B07"/>
    <w:rsid w:val="00BA0C1D"/>
    <w:rsid w:val="00BA0C58"/>
    <w:rsid w:val="00BA0CB1"/>
    <w:rsid w:val="00BA0CB5"/>
    <w:rsid w:val="00BA0D82"/>
    <w:rsid w:val="00BA0DF7"/>
    <w:rsid w:val="00BA0F40"/>
    <w:rsid w:val="00BA107A"/>
    <w:rsid w:val="00BA110E"/>
    <w:rsid w:val="00BA1165"/>
    <w:rsid w:val="00BA1284"/>
    <w:rsid w:val="00BA1420"/>
    <w:rsid w:val="00BA1440"/>
    <w:rsid w:val="00BA1456"/>
    <w:rsid w:val="00BA14B3"/>
    <w:rsid w:val="00BA14F7"/>
    <w:rsid w:val="00BA1587"/>
    <w:rsid w:val="00BA15EE"/>
    <w:rsid w:val="00BA166A"/>
    <w:rsid w:val="00BA1704"/>
    <w:rsid w:val="00BA1807"/>
    <w:rsid w:val="00BA180C"/>
    <w:rsid w:val="00BA1892"/>
    <w:rsid w:val="00BA1AB3"/>
    <w:rsid w:val="00BA1B3B"/>
    <w:rsid w:val="00BA1B9C"/>
    <w:rsid w:val="00BA1BBC"/>
    <w:rsid w:val="00BA1C69"/>
    <w:rsid w:val="00BA1D29"/>
    <w:rsid w:val="00BA1DBA"/>
    <w:rsid w:val="00BA1F5E"/>
    <w:rsid w:val="00BA202C"/>
    <w:rsid w:val="00BA209E"/>
    <w:rsid w:val="00BA20C0"/>
    <w:rsid w:val="00BA21BD"/>
    <w:rsid w:val="00BA2244"/>
    <w:rsid w:val="00BA22B5"/>
    <w:rsid w:val="00BA22D7"/>
    <w:rsid w:val="00BA232C"/>
    <w:rsid w:val="00BA23AB"/>
    <w:rsid w:val="00BA23B7"/>
    <w:rsid w:val="00BA24BE"/>
    <w:rsid w:val="00BA24E2"/>
    <w:rsid w:val="00BA2539"/>
    <w:rsid w:val="00BA25F8"/>
    <w:rsid w:val="00BA2654"/>
    <w:rsid w:val="00BA26CE"/>
    <w:rsid w:val="00BA27C5"/>
    <w:rsid w:val="00BA2948"/>
    <w:rsid w:val="00BA2973"/>
    <w:rsid w:val="00BA29A4"/>
    <w:rsid w:val="00BA29B9"/>
    <w:rsid w:val="00BA29DC"/>
    <w:rsid w:val="00BA29EF"/>
    <w:rsid w:val="00BA2A12"/>
    <w:rsid w:val="00BA2A36"/>
    <w:rsid w:val="00BA2A7C"/>
    <w:rsid w:val="00BA2BA8"/>
    <w:rsid w:val="00BA2C17"/>
    <w:rsid w:val="00BA2D46"/>
    <w:rsid w:val="00BA2D80"/>
    <w:rsid w:val="00BA2E41"/>
    <w:rsid w:val="00BA2EA0"/>
    <w:rsid w:val="00BA2FF7"/>
    <w:rsid w:val="00BA304F"/>
    <w:rsid w:val="00BA305A"/>
    <w:rsid w:val="00BA3138"/>
    <w:rsid w:val="00BA31E9"/>
    <w:rsid w:val="00BA3325"/>
    <w:rsid w:val="00BA3332"/>
    <w:rsid w:val="00BA352C"/>
    <w:rsid w:val="00BA3595"/>
    <w:rsid w:val="00BA361C"/>
    <w:rsid w:val="00BA362D"/>
    <w:rsid w:val="00BA36DB"/>
    <w:rsid w:val="00BA36DE"/>
    <w:rsid w:val="00BA36E0"/>
    <w:rsid w:val="00BA36EE"/>
    <w:rsid w:val="00BA36F9"/>
    <w:rsid w:val="00BA375A"/>
    <w:rsid w:val="00BA37B5"/>
    <w:rsid w:val="00BA37BC"/>
    <w:rsid w:val="00BA3865"/>
    <w:rsid w:val="00BA38D5"/>
    <w:rsid w:val="00BA394E"/>
    <w:rsid w:val="00BA3986"/>
    <w:rsid w:val="00BA39FF"/>
    <w:rsid w:val="00BA3A1C"/>
    <w:rsid w:val="00BA3A2E"/>
    <w:rsid w:val="00BA3AB9"/>
    <w:rsid w:val="00BA3B8A"/>
    <w:rsid w:val="00BA3B99"/>
    <w:rsid w:val="00BA3BD7"/>
    <w:rsid w:val="00BA3BD9"/>
    <w:rsid w:val="00BA3C2E"/>
    <w:rsid w:val="00BA3E41"/>
    <w:rsid w:val="00BA3ECC"/>
    <w:rsid w:val="00BA3F3C"/>
    <w:rsid w:val="00BA3F5C"/>
    <w:rsid w:val="00BA3FBA"/>
    <w:rsid w:val="00BA4008"/>
    <w:rsid w:val="00BA4068"/>
    <w:rsid w:val="00BA40B0"/>
    <w:rsid w:val="00BA412F"/>
    <w:rsid w:val="00BA413B"/>
    <w:rsid w:val="00BA4208"/>
    <w:rsid w:val="00BA424E"/>
    <w:rsid w:val="00BA4328"/>
    <w:rsid w:val="00BA433F"/>
    <w:rsid w:val="00BA43C8"/>
    <w:rsid w:val="00BA43CB"/>
    <w:rsid w:val="00BA43D2"/>
    <w:rsid w:val="00BA43E9"/>
    <w:rsid w:val="00BA43FA"/>
    <w:rsid w:val="00BA4487"/>
    <w:rsid w:val="00BA44F3"/>
    <w:rsid w:val="00BA45B9"/>
    <w:rsid w:val="00BA4660"/>
    <w:rsid w:val="00BA4765"/>
    <w:rsid w:val="00BA4770"/>
    <w:rsid w:val="00BA47CD"/>
    <w:rsid w:val="00BA47DD"/>
    <w:rsid w:val="00BA48CD"/>
    <w:rsid w:val="00BA49DE"/>
    <w:rsid w:val="00BA49F1"/>
    <w:rsid w:val="00BA4A27"/>
    <w:rsid w:val="00BA4A45"/>
    <w:rsid w:val="00BA4A67"/>
    <w:rsid w:val="00BA4A77"/>
    <w:rsid w:val="00BA4AB7"/>
    <w:rsid w:val="00BA4AF9"/>
    <w:rsid w:val="00BA4B05"/>
    <w:rsid w:val="00BA4B7A"/>
    <w:rsid w:val="00BA4C61"/>
    <w:rsid w:val="00BA4C75"/>
    <w:rsid w:val="00BA4CBB"/>
    <w:rsid w:val="00BA4DCD"/>
    <w:rsid w:val="00BA4E08"/>
    <w:rsid w:val="00BA4F67"/>
    <w:rsid w:val="00BA505C"/>
    <w:rsid w:val="00BA50BE"/>
    <w:rsid w:val="00BA50DE"/>
    <w:rsid w:val="00BA5166"/>
    <w:rsid w:val="00BA5263"/>
    <w:rsid w:val="00BA5298"/>
    <w:rsid w:val="00BA53E6"/>
    <w:rsid w:val="00BA53E8"/>
    <w:rsid w:val="00BA541B"/>
    <w:rsid w:val="00BA545B"/>
    <w:rsid w:val="00BA5498"/>
    <w:rsid w:val="00BA54C7"/>
    <w:rsid w:val="00BA5537"/>
    <w:rsid w:val="00BA5586"/>
    <w:rsid w:val="00BA55D2"/>
    <w:rsid w:val="00BA561F"/>
    <w:rsid w:val="00BA56FC"/>
    <w:rsid w:val="00BA57DC"/>
    <w:rsid w:val="00BA5911"/>
    <w:rsid w:val="00BA5A07"/>
    <w:rsid w:val="00BA5A25"/>
    <w:rsid w:val="00BA5C82"/>
    <w:rsid w:val="00BA5D15"/>
    <w:rsid w:val="00BA5D78"/>
    <w:rsid w:val="00BA5DB4"/>
    <w:rsid w:val="00BA5DE2"/>
    <w:rsid w:val="00BA5DE9"/>
    <w:rsid w:val="00BA5E82"/>
    <w:rsid w:val="00BA5F14"/>
    <w:rsid w:val="00BA5F9C"/>
    <w:rsid w:val="00BA5FBE"/>
    <w:rsid w:val="00BA61D1"/>
    <w:rsid w:val="00BA623D"/>
    <w:rsid w:val="00BA62B7"/>
    <w:rsid w:val="00BA6362"/>
    <w:rsid w:val="00BA63C2"/>
    <w:rsid w:val="00BA6456"/>
    <w:rsid w:val="00BA64BE"/>
    <w:rsid w:val="00BA655C"/>
    <w:rsid w:val="00BA6607"/>
    <w:rsid w:val="00BA66D2"/>
    <w:rsid w:val="00BA66D3"/>
    <w:rsid w:val="00BA66F5"/>
    <w:rsid w:val="00BA6702"/>
    <w:rsid w:val="00BA6919"/>
    <w:rsid w:val="00BA69A3"/>
    <w:rsid w:val="00BA6A64"/>
    <w:rsid w:val="00BA6A67"/>
    <w:rsid w:val="00BA6B1B"/>
    <w:rsid w:val="00BA6B55"/>
    <w:rsid w:val="00BA6BD7"/>
    <w:rsid w:val="00BA6C74"/>
    <w:rsid w:val="00BA6E44"/>
    <w:rsid w:val="00BA6EAF"/>
    <w:rsid w:val="00BA6EFB"/>
    <w:rsid w:val="00BA6F16"/>
    <w:rsid w:val="00BA7017"/>
    <w:rsid w:val="00BA70B8"/>
    <w:rsid w:val="00BA70C3"/>
    <w:rsid w:val="00BA7109"/>
    <w:rsid w:val="00BA7116"/>
    <w:rsid w:val="00BA71DD"/>
    <w:rsid w:val="00BA71FE"/>
    <w:rsid w:val="00BA722B"/>
    <w:rsid w:val="00BA72D1"/>
    <w:rsid w:val="00BA7580"/>
    <w:rsid w:val="00BA760A"/>
    <w:rsid w:val="00BA7615"/>
    <w:rsid w:val="00BA7678"/>
    <w:rsid w:val="00BA7710"/>
    <w:rsid w:val="00BA7819"/>
    <w:rsid w:val="00BA784A"/>
    <w:rsid w:val="00BA7882"/>
    <w:rsid w:val="00BA791A"/>
    <w:rsid w:val="00BA794C"/>
    <w:rsid w:val="00BA7979"/>
    <w:rsid w:val="00BA7A78"/>
    <w:rsid w:val="00BA7AE7"/>
    <w:rsid w:val="00BA7B12"/>
    <w:rsid w:val="00BA7B4E"/>
    <w:rsid w:val="00BA7C50"/>
    <w:rsid w:val="00BA7D08"/>
    <w:rsid w:val="00BA7D16"/>
    <w:rsid w:val="00BA7D54"/>
    <w:rsid w:val="00BA7FEA"/>
    <w:rsid w:val="00BB0022"/>
    <w:rsid w:val="00BB00CF"/>
    <w:rsid w:val="00BB0211"/>
    <w:rsid w:val="00BB026B"/>
    <w:rsid w:val="00BB0364"/>
    <w:rsid w:val="00BB0376"/>
    <w:rsid w:val="00BB0443"/>
    <w:rsid w:val="00BB0482"/>
    <w:rsid w:val="00BB04D7"/>
    <w:rsid w:val="00BB04E3"/>
    <w:rsid w:val="00BB0516"/>
    <w:rsid w:val="00BB05AF"/>
    <w:rsid w:val="00BB05E4"/>
    <w:rsid w:val="00BB0626"/>
    <w:rsid w:val="00BB0634"/>
    <w:rsid w:val="00BB067E"/>
    <w:rsid w:val="00BB067F"/>
    <w:rsid w:val="00BB0699"/>
    <w:rsid w:val="00BB06AA"/>
    <w:rsid w:val="00BB06ED"/>
    <w:rsid w:val="00BB07D9"/>
    <w:rsid w:val="00BB089C"/>
    <w:rsid w:val="00BB0ADA"/>
    <w:rsid w:val="00BB0B4A"/>
    <w:rsid w:val="00BB0C5B"/>
    <w:rsid w:val="00BB0C68"/>
    <w:rsid w:val="00BB0CB5"/>
    <w:rsid w:val="00BB0CC4"/>
    <w:rsid w:val="00BB0CE0"/>
    <w:rsid w:val="00BB0D79"/>
    <w:rsid w:val="00BB0E15"/>
    <w:rsid w:val="00BB0E1D"/>
    <w:rsid w:val="00BB0E76"/>
    <w:rsid w:val="00BB0F0F"/>
    <w:rsid w:val="00BB0F49"/>
    <w:rsid w:val="00BB101E"/>
    <w:rsid w:val="00BB105A"/>
    <w:rsid w:val="00BB10D2"/>
    <w:rsid w:val="00BB10F0"/>
    <w:rsid w:val="00BB1114"/>
    <w:rsid w:val="00BB11AE"/>
    <w:rsid w:val="00BB11DA"/>
    <w:rsid w:val="00BB1260"/>
    <w:rsid w:val="00BB1286"/>
    <w:rsid w:val="00BB1343"/>
    <w:rsid w:val="00BB13D9"/>
    <w:rsid w:val="00BB13EE"/>
    <w:rsid w:val="00BB13F7"/>
    <w:rsid w:val="00BB15E0"/>
    <w:rsid w:val="00BB18B5"/>
    <w:rsid w:val="00BB191F"/>
    <w:rsid w:val="00BB1A41"/>
    <w:rsid w:val="00BB1A4F"/>
    <w:rsid w:val="00BB1B58"/>
    <w:rsid w:val="00BB1B8B"/>
    <w:rsid w:val="00BB1C1B"/>
    <w:rsid w:val="00BB1D3B"/>
    <w:rsid w:val="00BB1D86"/>
    <w:rsid w:val="00BB1DC5"/>
    <w:rsid w:val="00BB1E70"/>
    <w:rsid w:val="00BB2176"/>
    <w:rsid w:val="00BB21F2"/>
    <w:rsid w:val="00BB21FE"/>
    <w:rsid w:val="00BB2225"/>
    <w:rsid w:val="00BB226C"/>
    <w:rsid w:val="00BB2293"/>
    <w:rsid w:val="00BB22CC"/>
    <w:rsid w:val="00BB235D"/>
    <w:rsid w:val="00BB2476"/>
    <w:rsid w:val="00BB247F"/>
    <w:rsid w:val="00BB249F"/>
    <w:rsid w:val="00BB2567"/>
    <w:rsid w:val="00BB2640"/>
    <w:rsid w:val="00BB26AD"/>
    <w:rsid w:val="00BB26D1"/>
    <w:rsid w:val="00BB2719"/>
    <w:rsid w:val="00BB272B"/>
    <w:rsid w:val="00BB27D5"/>
    <w:rsid w:val="00BB27FB"/>
    <w:rsid w:val="00BB2803"/>
    <w:rsid w:val="00BB2824"/>
    <w:rsid w:val="00BB28F8"/>
    <w:rsid w:val="00BB2A6A"/>
    <w:rsid w:val="00BB2AAC"/>
    <w:rsid w:val="00BB2AE1"/>
    <w:rsid w:val="00BB2AE9"/>
    <w:rsid w:val="00BB2B2A"/>
    <w:rsid w:val="00BB2B64"/>
    <w:rsid w:val="00BB2B84"/>
    <w:rsid w:val="00BB2C78"/>
    <w:rsid w:val="00BB2CE3"/>
    <w:rsid w:val="00BB2D35"/>
    <w:rsid w:val="00BB2D98"/>
    <w:rsid w:val="00BB2DA8"/>
    <w:rsid w:val="00BB2E57"/>
    <w:rsid w:val="00BB301E"/>
    <w:rsid w:val="00BB30B7"/>
    <w:rsid w:val="00BB30DF"/>
    <w:rsid w:val="00BB30E5"/>
    <w:rsid w:val="00BB3202"/>
    <w:rsid w:val="00BB3214"/>
    <w:rsid w:val="00BB323D"/>
    <w:rsid w:val="00BB32C9"/>
    <w:rsid w:val="00BB32CC"/>
    <w:rsid w:val="00BB3333"/>
    <w:rsid w:val="00BB3336"/>
    <w:rsid w:val="00BB338F"/>
    <w:rsid w:val="00BB339B"/>
    <w:rsid w:val="00BB33A9"/>
    <w:rsid w:val="00BB3443"/>
    <w:rsid w:val="00BB3463"/>
    <w:rsid w:val="00BB34D5"/>
    <w:rsid w:val="00BB35FF"/>
    <w:rsid w:val="00BB361F"/>
    <w:rsid w:val="00BB379C"/>
    <w:rsid w:val="00BB37B9"/>
    <w:rsid w:val="00BB388D"/>
    <w:rsid w:val="00BB38C5"/>
    <w:rsid w:val="00BB38D6"/>
    <w:rsid w:val="00BB394C"/>
    <w:rsid w:val="00BB399C"/>
    <w:rsid w:val="00BB3A91"/>
    <w:rsid w:val="00BB3F57"/>
    <w:rsid w:val="00BB405A"/>
    <w:rsid w:val="00BB4076"/>
    <w:rsid w:val="00BB40C7"/>
    <w:rsid w:val="00BB4109"/>
    <w:rsid w:val="00BB412A"/>
    <w:rsid w:val="00BB41DF"/>
    <w:rsid w:val="00BB41EF"/>
    <w:rsid w:val="00BB4239"/>
    <w:rsid w:val="00BB4280"/>
    <w:rsid w:val="00BB4314"/>
    <w:rsid w:val="00BB435B"/>
    <w:rsid w:val="00BB43B7"/>
    <w:rsid w:val="00BB440B"/>
    <w:rsid w:val="00BB44A3"/>
    <w:rsid w:val="00BB4570"/>
    <w:rsid w:val="00BB4671"/>
    <w:rsid w:val="00BB4755"/>
    <w:rsid w:val="00BB47F5"/>
    <w:rsid w:val="00BB4855"/>
    <w:rsid w:val="00BB488E"/>
    <w:rsid w:val="00BB48C9"/>
    <w:rsid w:val="00BB494F"/>
    <w:rsid w:val="00BB4968"/>
    <w:rsid w:val="00BB4969"/>
    <w:rsid w:val="00BB499C"/>
    <w:rsid w:val="00BB4A5D"/>
    <w:rsid w:val="00BB4A94"/>
    <w:rsid w:val="00BB4AF4"/>
    <w:rsid w:val="00BB4B08"/>
    <w:rsid w:val="00BB4B53"/>
    <w:rsid w:val="00BB4B74"/>
    <w:rsid w:val="00BB4B82"/>
    <w:rsid w:val="00BB4BE2"/>
    <w:rsid w:val="00BB4C32"/>
    <w:rsid w:val="00BB4C73"/>
    <w:rsid w:val="00BB4C98"/>
    <w:rsid w:val="00BB4DCB"/>
    <w:rsid w:val="00BB4F3D"/>
    <w:rsid w:val="00BB519A"/>
    <w:rsid w:val="00BB51D5"/>
    <w:rsid w:val="00BB51FB"/>
    <w:rsid w:val="00BB5248"/>
    <w:rsid w:val="00BB52A9"/>
    <w:rsid w:val="00BB52FA"/>
    <w:rsid w:val="00BB544E"/>
    <w:rsid w:val="00BB54F9"/>
    <w:rsid w:val="00BB555A"/>
    <w:rsid w:val="00BB55DE"/>
    <w:rsid w:val="00BB56E2"/>
    <w:rsid w:val="00BB5762"/>
    <w:rsid w:val="00BB5804"/>
    <w:rsid w:val="00BB5927"/>
    <w:rsid w:val="00BB5949"/>
    <w:rsid w:val="00BB594B"/>
    <w:rsid w:val="00BB5953"/>
    <w:rsid w:val="00BB59FE"/>
    <w:rsid w:val="00BB5B15"/>
    <w:rsid w:val="00BB5BAA"/>
    <w:rsid w:val="00BB5D88"/>
    <w:rsid w:val="00BB5E39"/>
    <w:rsid w:val="00BB5ECC"/>
    <w:rsid w:val="00BB5EE2"/>
    <w:rsid w:val="00BB5F77"/>
    <w:rsid w:val="00BB5FBC"/>
    <w:rsid w:val="00BB611B"/>
    <w:rsid w:val="00BB6150"/>
    <w:rsid w:val="00BB61FD"/>
    <w:rsid w:val="00BB62C6"/>
    <w:rsid w:val="00BB6343"/>
    <w:rsid w:val="00BB6465"/>
    <w:rsid w:val="00BB6479"/>
    <w:rsid w:val="00BB64DB"/>
    <w:rsid w:val="00BB6571"/>
    <w:rsid w:val="00BB657F"/>
    <w:rsid w:val="00BB6726"/>
    <w:rsid w:val="00BB67FB"/>
    <w:rsid w:val="00BB68EF"/>
    <w:rsid w:val="00BB6932"/>
    <w:rsid w:val="00BB6961"/>
    <w:rsid w:val="00BB69E1"/>
    <w:rsid w:val="00BB6B27"/>
    <w:rsid w:val="00BB6B86"/>
    <w:rsid w:val="00BB6C03"/>
    <w:rsid w:val="00BB6D13"/>
    <w:rsid w:val="00BB6DC2"/>
    <w:rsid w:val="00BB6DDA"/>
    <w:rsid w:val="00BB6E35"/>
    <w:rsid w:val="00BB6E79"/>
    <w:rsid w:val="00BB6EB7"/>
    <w:rsid w:val="00BB6ED6"/>
    <w:rsid w:val="00BB7002"/>
    <w:rsid w:val="00BB7049"/>
    <w:rsid w:val="00BB7051"/>
    <w:rsid w:val="00BB70A0"/>
    <w:rsid w:val="00BB7157"/>
    <w:rsid w:val="00BB72E3"/>
    <w:rsid w:val="00BB7314"/>
    <w:rsid w:val="00BB7423"/>
    <w:rsid w:val="00BB7433"/>
    <w:rsid w:val="00BB74CD"/>
    <w:rsid w:val="00BB75C6"/>
    <w:rsid w:val="00BB76F8"/>
    <w:rsid w:val="00BB7724"/>
    <w:rsid w:val="00BB7751"/>
    <w:rsid w:val="00BB775C"/>
    <w:rsid w:val="00BB7779"/>
    <w:rsid w:val="00BB7802"/>
    <w:rsid w:val="00BB7983"/>
    <w:rsid w:val="00BB799B"/>
    <w:rsid w:val="00BB79BC"/>
    <w:rsid w:val="00BB79E7"/>
    <w:rsid w:val="00BB7A28"/>
    <w:rsid w:val="00BB7A70"/>
    <w:rsid w:val="00BB7AA3"/>
    <w:rsid w:val="00BB7AD7"/>
    <w:rsid w:val="00BB7B2C"/>
    <w:rsid w:val="00BB7B56"/>
    <w:rsid w:val="00BB7C76"/>
    <w:rsid w:val="00BB7D0C"/>
    <w:rsid w:val="00BB7D80"/>
    <w:rsid w:val="00BB7D95"/>
    <w:rsid w:val="00BB7E12"/>
    <w:rsid w:val="00BB7E97"/>
    <w:rsid w:val="00BB7F43"/>
    <w:rsid w:val="00BB7F90"/>
    <w:rsid w:val="00BC013A"/>
    <w:rsid w:val="00BC01AD"/>
    <w:rsid w:val="00BC01E6"/>
    <w:rsid w:val="00BC045D"/>
    <w:rsid w:val="00BC0488"/>
    <w:rsid w:val="00BC04D8"/>
    <w:rsid w:val="00BC078B"/>
    <w:rsid w:val="00BC081C"/>
    <w:rsid w:val="00BC08D2"/>
    <w:rsid w:val="00BC091C"/>
    <w:rsid w:val="00BC091E"/>
    <w:rsid w:val="00BC0A5B"/>
    <w:rsid w:val="00BC0CFB"/>
    <w:rsid w:val="00BC0D67"/>
    <w:rsid w:val="00BC0D76"/>
    <w:rsid w:val="00BC0E53"/>
    <w:rsid w:val="00BC0E79"/>
    <w:rsid w:val="00BC0EB5"/>
    <w:rsid w:val="00BC0EF3"/>
    <w:rsid w:val="00BC0F13"/>
    <w:rsid w:val="00BC0F8E"/>
    <w:rsid w:val="00BC1028"/>
    <w:rsid w:val="00BC1086"/>
    <w:rsid w:val="00BC10F4"/>
    <w:rsid w:val="00BC125D"/>
    <w:rsid w:val="00BC126A"/>
    <w:rsid w:val="00BC12AE"/>
    <w:rsid w:val="00BC12BF"/>
    <w:rsid w:val="00BC1333"/>
    <w:rsid w:val="00BC13A2"/>
    <w:rsid w:val="00BC146B"/>
    <w:rsid w:val="00BC1536"/>
    <w:rsid w:val="00BC15B6"/>
    <w:rsid w:val="00BC15C3"/>
    <w:rsid w:val="00BC1649"/>
    <w:rsid w:val="00BC16C4"/>
    <w:rsid w:val="00BC171E"/>
    <w:rsid w:val="00BC1753"/>
    <w:rsid w:val="00BC1754"/>
    <w:rsid w:val="00BC17C8"/>
    <w:rsid w:val="00BC181B"/>
    <w:rsid w:val="00BC18D3"/>
    <w:rsid w:val="00BC1B9E"/>
    <w:rsid w:val="00BC1C05"/>
    <w:rsid w:val="00BC1C50"/>
    <w:rsid w:val="00BC1CA0"/>
    <w:rsid w:val="00BC1D40"/>
    <w:rsid w:val="00BC1E8F"/>
    <w:rsid w:val="00BC1E95"/>
    <w:rsid w:val="00BC1EA1"/>
    <w:rsid w:val="00BC1FC4"/>
    <w:rsid w:val="00BC205B"/>
    <w:rsid w:val="00BC20DF"/>
    <w:rsid w:val="00BC21AA"/>
    <w:rsid w:val="00BC2200"/>
    <w:rsid w:val="00BC2214"/>
    <w:rsid w:val="00BC228D"/>
    <w:rsid w:val="00BC22D2"/>
    <w:rsid w:val="00BC24EE"/>
    <w:rsid w:val="00BC24FA"/>
    <w:rsid w:val="00BC2565"/>
    <w:rsid w:val="00BC25F7"/>
    <w:rsid w:val="00BC2698"/>
    <w:rsid w:val="00BC26E3"/>
    <w:rsid w:val="00BC272A"/>
    <w:rsid w:val="00BC27B1"/>
    <w:rsid w:val="00BC27C2"/>
    <w:rsid w:val="00BC2818"/>
    <w:rsid w:val="00BC294E"/>
    <w:rsid w:val="00BC295E"/>
    <w:rsid w:val="00BC29BD"/>
    <w:rsid w:val="00BC2A78"/>
    <w:rsid w:val="00BC2BCF"/>
    <w:rsid w:val="00BC2BD4"/>
    <w:rsid w:val="00BC2C4E"/>
    <w:rsid w:val="00BC2C8E"/>
    <w:rsid w:val="00BC2CEB"/>
    <w:rsid w:val="00BC2DA6"/>
    <w:rsid w:val="00BC2DA9"/>
    <w:rsid w:val="00BC2DBC"/>
    <w:rsid w:val="00BC2F06"/>
    <w:rsid w:val="00BC2F8D"/>
    <w:rsid w:val="00BC2F90"/>
    <w:rsid w:val="00BC2FB6"/>
    <w:rsid w:val="00BC2FF7"/>
    <w:rsid w:val="00BC300B"/>
    <w:rsid w:val="00BC31C9"/>
    <w:rsid w:val="00BC31D4"/>
    <w:rsid w:val="00BC3289"/>
    <w:rsid w:val="00BC3304"/>
    <w:rsid w:val="00BC330D"/>
    <w:rsid w:val="00BC335D"/>
    <w:rsid w:val="00BC33CB"/>
    <w:rsid w:val="00BC3450"/>
    <w:rsid w:val="00BC34BA"/>
    <w:rsid w:val="00BC35B7"/>
    <w:rsid w:val="00BC35EE"/>
    <w:rsid w:val="00BC3680"/>
    <w:rsid w:val="00BC37F9"/>
    <w:rsid w:val="00BC3818"/>
    <w:rsid w:val="00BC3888"/>
    <w:rsid w:val="00BC3957"/>
    <w:rsid w:val="00BC397C"/>
    <w:rsid w:val="00BC39B7"/>
    <w:rsid w:val="00BC3B88"/>
    <w:rsid w:val="00BC3C96"/>
    <w:rsid w:val="00BC3F40"/>
    <w:rsid w:val="00BC3FF9"/>
    <w:rsid w:val="00BC404D"/>
    <w:rsid w:val="00BC4059"/>
    <w:rsid w:val="00BC4190"/>
    <w:rsid w:val="00BC428C"/>
    <w:rsid w:val="00BC4689"/>
    <w:rsid w:val="00BC46B3"/>
    <w:rsid w:val="00BC480F"/>
    <w:rsid w:val="00BC4836"/>
    <w:rsid w:val="00BC4852"/>
    <w:rsid w:val="00BC4899"/>
    <w:rsid w:val="00BC489E"/>
    <w:rsid w:val="00BC48C2"/>
    <w:rsid w:val="00BC48FE"/>
    <w:rsid w:val="00BC4936"/>
    <w:rsid w:val="00BC4939"/>
    <w:rsid w:val="00BC4976"/>
    <w:rsid w:val="00BC49B5"/>
    <w:rsid w:val="00BC49B6"/>
    <w:rsid w:val="00BC49CC"/>
    <w:rsid w:val="00BC4A56"/>
    <w:rsid w:val="00BC4A79"/>
    <w:rsid w:val="00BC4B53"/>
    <w:rsid w:val="00BC4B79"/>
    <w:rsid w:val="00BC4BE8"/>
    <w:rsid w:val="00BC4C02"/>
    <w:rsid w:val="00BC4D2F"/>
    <w:rsid w:val="00BC4E28"/>
    <w:rsid w:val="00BC4E5B"/>
    <w:rsid w:val="00BC4FAE"/>
    <w:rsid w:val="00BC4FFC"/>
    <w:rsid w:val="00BC5036"/>
    <w:rsid w:val="00BC50E2"/>
    <w:rsid w:val="00BC511E"/>
    <w:rsid w:val="00BC51DA"/>
    <w:rsid w:val="00BC52D2"/>
    <w:rsid w:val="00BC5302"/>
    <w:rsid w:val="00BC533D"/>
    <w:rsid w:val="00BC535E"/>
    <w:rsid w:val="00BC5435"/>
    <w:rsid w:val="00BC5476"/>
    <w:rsid w:val="00BC54BF"/>
    <w:rsid w:val="00BC5510"/>
    <w:rsid w:val="00BC5545"/>
    <w:rsid w:val="00BC55B9"/>
    <w:rsid w:val="00BC560B"/>
    <w:rsid w:val="00BC5618"/>
    <w:rsid w:val="00BC5644"/>
    <w:rsid w:val="00BC56CD"/>
    <w:rsid w:val="00BC58B9"/>
    <w:rsid w:val="00BC5935"/>
    <w:rsid w:val="00BC5945"/>
    <w:rsid w:val="00BC59B0"/>
    <w:rsid w:val="00BC5A57"/>
    <w:rsid w:val="00BC5A5E"/>
    <w:rsid w:val="00BC5AB7"/>
    <w:rsid w:val="00BC5B46"/>
    <w:rsid w:val="00BC5C31"/>
    <w:rsid w:val="00BC5C4E"/>
    <w:rsid w:val="00BC5D9B"/>
    <w:rsid w:val="00BC5DA2"/>
    <w:rsid w:val="00BC5E27"/>
    <w:rsid w:val="00BC5E50"/>
    <w:rsid w:val="00BC6003"/>
    <w:rsid w:val="00BC607C"/>
    <w:rsid w:val="00BC6100"/>
    <w:rsid w:val="00BC6167"/>
    <w:rsid w:val="00BC616A"/>
    <w:rsid w:val="00BC616F"/>
    <w:rsid w:val="00BC61A0"/>
    <w:rsid w:val="00BC61C8"/>
    <w:rsid w:val="00BC61DA"/>
    <w:rsid w:val="00BC621F"/>
    <w:rsid w:val="00BC6233"/>
    <w:rsid w:val="00BC62E2"/>
    <w:rsid w:val="00BC6382"/>
    <w:rsid w:val="00BC63BF"/>
    <w:rsid w:val="00BC6425"/>
    <w:rsid w:val="00BC64F7"/>
    <w:rsid w:val="00BC64F9"/>
    <w:rsid w:val="00BC6578"/>
    <w:rsid w:val="00BC6618"/>
    <w:rsid w:val="00BC668A"/>
    <w:rsid w:val="00BC66B4"/>
    <w:rsid w:val="00BC67E5"/>
    <w:rsid w:val="00BC6867"/>
    <w:rsid w:val="00BC6891"/>
    <w:rsid w:val="00BC69E6"/>
    <w:rsid w:val="00BC6A1A"/>
    <w:rsid w:val="00BC6AF4"/>
    <w:rsid w:val="00BC6BC7"/>
    <w:rsid w:val="00BC6C09"/>
    <w:rsid w:val="00BC6C92"/>
    <w:rsid w:val="00BC6D3F"/>
    <w:rsid w:val="00BC6DAC"/>
    <w:rsid w:val="00BC6DC8"/>
    <w:rsid w:val="00BC6F78"/>
    <w:rsid w:val="00BC6F81"/>
    <w:rsid w:val="00BC7017"/>
    <w:rsid w:val="00BC708A"/>
    <w:rsid w:val="00BC716F"/>
    <w:rsid w:val="00BC71E6"/>
    <w:rsid w:val="00BC728C"/>
    <w:rsid w:val="00BC72E2"/>
    <w:rsid w:val="00BC731E"/>
    <w:rsid w:val="00BC737F"/>
    <w:rsid w:val="00BC73B3"/>
    <w:rsid w:val="00BC73C8"/>
    <w:rsid w:val="00BC73EF"/>
    <w:rsid w:val="00BC74E4"/>
    <w:rsid w:val="00BC7554"/>
    <w:rsid w:val="00BC7668"/>
    <w:rsid w:val="00BC7676"/>
    <w:rsid w:val="00BC76C0"/>
    <w:rsid w:val="00BC779C"/>
    <w:rsid w:val="00BC781D"/>
    <w:rsid w:val="00BC786B"/>
    <w:rsid w:val="00BC7999"/>
    <w:rsid w:val="00BC7B2E"/>
    <w:rsid w:val="00BC7B36"/>
    <w:rsid w:val="00BC7C6F"/>
    <w:rsid w:val="00BC7CA2"/>
    <w:rsid w:val="00BC7E16"/>
    <w:rsid w:val="00BC7E65"/>
    <w:rsid w:val="00BC7EA2"/>
    <w:rsid w:val="00BC7F03"/>
    <w:rsid w:val="00BD00C0"/>
    <w:rsid w:val="00BD00C1"/>
    <w:rsid w:val="00BD01E7"/>
    <w:rsid w:val="00BD0234"/>
    <w:rsid w:val="00BD02A5"/>
    <w:rsid w:val="00BD02BD"/>
    <w:rsid w:val="00BD02D2"/>
    <w:rsid w:val="00BD0373"/>
    <w:rsid w:val="00BD0405"/>
    <w:rsid w:val="00BD0477"/>
    <w:rsid w:val="00BD047B"/>
    <w:rsid w:val="00BD054C"/>
    <w:rsid w:val="00BD0647"/>
    <w:rsid w:val="00BD0710"/>
    <w:rsid w:val="00BD07D6"/>
    <w:rsid w:val="00BD09BD"/>
    <w:rsid w:val="00BD0A84"/>
    <w:rsid w:val="00BD0B03"/>
    <w:rsid w:val="00BD0B21"/>
    <w:rsid w:val="00BD0CFC"/>
    <w:rsid w:val="00BD0DD9"/>
    <w:rsid w:val="00BD0E8B"/>
    <w:rsid w:val="00BD0F41"/>
    <w:rsid w:val="00BD114A"/>
    <w:rsid w:val="00BD11FA"/>
    <w:rsid w:val="00BD123C"/>
    <w:rsid w:val="00BD123E"/>
    <w:rsid w:val="00BD129E"/>
    <w:rsid w:val="00BD12F6"/>
    <w:rsid w:val="00BD13E8"/>
    <w:rsid w:val="00BD149F"/>
    <w:rsid w:val="00BD160E"/>
    <w:rsid w:val="00BD163C"/>
    <w:rsid w:val="00BD17D3"/>
    <w:rsid w:val="00BD1916"/>
    <w:rsid w:val="00BD1978"/>
    <w:rsid w:val="00BD1990"/>
    <w:rsid w:val="00BD1A5F"/>
    <w:rsid w:val="00BD1B20"/>
    <w:rsid w:val="00BD1B61"/>
    <w:rsid w:val="00BD1BB3"/>
    <w:rsid w:val="00BD1C12"/>
    <w:rsid w:val="00BD1C18"/>
    <w:rsid w:val="00BD1C54"/>
    <w:rsid w:val="00BD1C77"/>
    <w:rsid w:val="00BD1C82"/>
    <w:rsid w:val="00BD1E1A"/>
    <w:rsid w:val="00BD1E48"/>
    <w:rsid w:val="00BD1F12"/>
    <w:rsid w:val="00BD1F34"/>
    <w:rsid w:val="00BD1F98"/>
    <w:rsid w:val="00BD2030"/>
    <w:rsid w:val="00BD2066"/>
    <w:rsid w:val="00BD2093"/>
    <w:rsid w:val="00BD20C2"/>
    <w:rsid w:val="00BD2125"/>
    <w:rsid w:val="00BD2159"/>
    <w:rsid w:val="00BD2166"/>
    <w:rsid w:val="00BD22D7"/>
    <w:rsid w:val="00BD2339"/>
    <w:rsid w:val="00BD23B5"/>
    <w:rsid w:val="00BD23D6"/>
    <w:rsid w:val="00BD2526"/>
    <w:rsid w:val="00BD2565"/>
    <w:rsid w:val="00BD2568"/>
    <w:rsid w:val="00BD25D3"/>
    <w:rsid w:val="00BD26C6"/>
    <w:rsid w:val="00BD27B4"/>
    <w:rsid w:val="00BD289E"/>
    <w:rsid w:val="00BD290A"/>
    <w:rsid w:val="00BD2980"/>
    <w:rsid w:val="00BD2BA3"/>
    <w:rsid w:val="00BD2C7B"/>
    <w:rsid w:val="00BD2D86"/>
    <w:rsid w:val="00BD2E90"/>
    <w:rsid w:val="00BD2F14"/>
    <w:rsid w:val="00BD2FE8"/>
    <w:rsid w:val="00BD3074"/>
    <w:rsid w:val="00BD3093"/>
    <w:rsid w:val="00BD30C0"/>
    <w:rsid w:val="00BD316E"/>
    <w:rsid w:val="00BD31D5"/>
    <w:rsid w:val="00BD320B"/>
    <w:rsid w:val="00BD322B"/>
    <w:rsid w:val="00BD32B5"/>
    <w:rsid w:val="00BD332D"/>
    <w:rsid w:val="00BD3393"/>
    <w:rsid w:val="00BD33FD"/>
    <w:rsid w:val="00BD3447"/>
    <w:rsid w:val="00BD3456"/>
    <w:rsid w:val="00BD34D7"/>
    <w:rsid w:val="00BD3531"/>
    <w:rsid w:val="00BD35F5"/>
    <w:rsid w:val="00BD3600"/>
    <w:rsid w:val="00BD3606"/>
    <w:rsid w:val="00BD365A"/>
    <w:rsid w:val="00BD36E9"/>
    <w:rsid w:val="00BD38DB"/>
    <w:rsid w:val="00BD3915"/>
    <w:rsid w:val="00BD3A3C"/>
    <w:rsid w:val="00BD3BAE"/>
    <w:rsid w:val="00BD3BE3"/>
    <w:rsid w:val="00BD3C07"/>
    <w:rsid w:val="00BD3C38"/>
    <w:rsid w:val="00BD3CB6"/>
    <w:rsid w:val="00BD3D3A"/>
    <w:rsid w:val="00BD3DE3"/>
    <w:rsid w:val="00BD3E3A"/>
    <w:rsid w:val="00BD3EB7"/>
    <w:rsid w:val="00BD3F6F"/>
    <w:rsid w:val="00BD409E"/>
    <w:rsid w:val="00BD41D8"/>
    <w:rsid w:val="00BD433F"/>
    <w:rsid w:val="00BD434A"/>
    <w:rsid w:val="00BD4372"/>
    <w:rsid w:val="00BD4499"/>
    <w:rsid w:val="00BD44CA"/>
    <w:rsid w:val="00BD44D2"/>
    <w:rsid w:val="00BD44D3"/>
    <w:rsid w:val="00BD4570"/>
    <w:rsid w:val="00BD46F6"/>
    <w:rsid w:val="00BD4798"/>
    <w:rsid w:val="00BD47BA"/>
    <w:rsid w:val="00BD4993"/>
    <w:rsid w:val="00BD4A32"/>
    <w:rsid w:val="00BD4A47"/>
    <w:rsid w:val="00BD4A5D"/>
    <w:rsid w:val="00BD4A69"/>
    <w:rsid w:val="00BD4D8F"/>
    <w:rsid w:val="00BD4E5C"/>
    <w:rsid w:val="00BD4E78"/>
    <w:rsid w:val="00BD4EC7"/>
    <w:rsid w:val="00BD4ECC"/>
    <w:rsid w:val="00BD4F23"/>
    <w:rsid w:val="00BD50F3"/>
    <w:rsid w:val="00BD51BD"/>
    <w:rsid w:val="00BD51D0"/>
    <w:rsid w:val="00BD5212"/>
    <w:rsid w:val="00BD523D"/>
    <w:rsid w:val="00BD5282"/>
    <w:rsid w:val="00BD52AA"/>
    <w:rsid w:val="00BD52EA"/>
    <w:rsid w:val="00BD5396"/>
    <w:rsid w:val="00BD5504"/>
    <w:rsid w:val="00BD5574"/>
    <w:rsid w:val="00BD558A"/>
    <w:rsid w:val="00BD55C9"/>
    <w:rsid w:val="00BD55E3"/>
    <w:rsid w:val="00BD5642"/>
    <w:rsid w:val="00BD5666"/>
    <w:rsid w:val="00BD56AF"/>
    <w:rsid w:val="00BD5827"/>
    <w:rsid w:val="00BD5845"/>
    <w:rsid w:val="00BD5866"/>
    <w:rsid w:val="00BD58F5"/>
    <w:rsid w:val="00BD5941"/>
    <w:rsid w:val="00BD5A80"/>
    <w:rsid w:val="00BD5AAE"/>
    <w:rsid w:val="00BD5B4F"/>
    <w:rsid w:val="00BD5B5A"/>
    <w:rsid w:val="00BD5C8F"/>
    <w:rsid w:val="00BD5CA1"/>
    <w:rsid w:val="00BD5D03"/>
    <w:rsid w:val="00BD6063"/>
    <w:rsid w:val="00BD607B"/>
    <w:rsid w:val="00BD6086"/>
    <w:rsid w:val="00BD60E3"/>
    <w:rsid w:val="00BD61B2"/>
    <w:rsid w:val="00BD61FD"/>
    <w:rsid w:val="00BD632C"/>
    <w:rsid w:val="00BD6434"/>
    <w:rsid w:val="00BD643A"/>
    <w:rsid w:val="00BD65C7"/>
    <w:rsid w:val="00BD66E7"/>
    <w:rsid w:val="00BD6747"/>
    <w:rsid w:val="00BD689A"/>
    <w:rsid w:val="00BD68FD"/>
    <w:rsid w:val="00BD6AD5"/>
    <w:rsid w:val="00BD6AFB"/>
    <w:rsid w:val="00BD6BB8"/>
    <w:rsid w:val="00BD6BC6"/>
    <w:rsid w:val="00BD6C7B"/>
    <w:rsid w:val="00BD6D9C"/>
    <w:rsid w:val="00BD6DF7"/>
    <w:rsid w:val="00BD6E49"/>
    <w:rsid w:val="00BD6E5F"/>
    <w:rsid w:val="00BD6EA4"/>
    <w:rsid w:val="00BD6ED3"/>
    <w:rsid w:val="00BD6F99"/>
    <w:rsid w:val="00BD6FB4"/>
    <w:rsid w:val="00BD708B"/>
    <w:rsid w:val="00BD714F"/>
    <w:rsid w:val="00BD72D3"/>
    <w:rsid w:val="00BD732B"/>
    <w:rsid w:val="00BD735C"/>
    <w:rsid w:val="00BD7406"/>
    <w:rsid w:val="00BD7506"/>
    <w:rsid w:val="00BD760B"/>
    <w:rsid w:val="00BD761A"/>
    <w:rsid w:val="00BD761F"/>
    <w:rsid w:val="00BD7622"/>
    <w:rsid w:val="00BD76A9"/>
    <w:rsid w:val="00BD76EC"/>
    <w:rsid w:val="00BD772E"/>
    <w:rsid w:val="00BD7741"/>
    <w:rsid w:val="00BD7772"/>
    <w:rsid w:val="00BD781F"/>
    <w:rsid w:val="00BD7824"/>
    <w:rsid w:val="00BD7853"/>
    <w:rsid w:val="00BD791C"/>
    <w:rsid w:val="00BD7939"/>
    <w:rsid w:val="00BD7A5F"/>
    <w:rsid w:val="00BD7B3A"/>
    <w:rsid w:val="00BD7C2E"/>
    <w:rsid w:val="00BD7CDE"/>
    <w:rsid w:val="00BD7DB7"/>
    <w:rsid w:val="00BD7ECF"/>
    <w:rsid w:val="00BD7F85"/>
    <w:rsid w:val="00BD7FAD"/>
    <w:rsid w:val="00BE007B"/>
    <w:rsid w:val="00BE00D0"/>
    <w:rsid w:val="00BE00D8"/>
    <w:rsid w:val="00BE0188"/>
    <w:rsid w:val="00BE0201"/>
    <w:rsid w:val="00BE0267"/>
    <w:rsid w:val="00BE02DD"/>
    <w:rsid w:val="00BE02EC"/>
    <w:rsid w:val="00BE033D"/>
    <w:rsid w:val="00BE043F"/>
    <w:rsid w:val="00BE0451"/>
    <w:rsid w:val="00BE0495"/>
    <w:rsid w:val="00BE0510"/>
    <w:rsid w:val="00BE0575"/>
    <w:rsid w:val="00BE059F"/>
    <w:rsid w:val="00BE0611"/>
    <w:rsid w:val="00BE07F5"/>
    <w:rsid w:val="00BE080A"/>
    <w:rsid w:val="00BE085C"/>
    <w:rsid w:val="00BE0872"/>
    <w:rsid w:val="00BE09ED"/>
    <w:rsid w:val="00BE0A33"/>
    <w:rsid w:val="00BE0A4B"/>
    <w:rsid w:val="00BE0AA3"/>
    <w:rsid w:val="00BE0B24"/>
    <w:rsid w:val="00BE0B9A"/>
    <w:rsid w:val="00BE0C0D"/>
    <w:rsid w:val="00BE0F6E"/>
    <w:rsid w:val="00BE0FA9"/>
    <w:rsid w:val="00BE0FEE"/>
    <w:rsid w:val="00BE1188"/>
    <w:rsid w:val="00BE123F"/>
    <w:rsid w:val="00BE13AA"/>
    <w:rsid w:val="00BE144B"/>
    <w:rsid w:val="00BE1508"/>
    <w:rsid w:val="00BE1553"/>
    <w:rsid w:val="00BE15D9"/>
    <w:rsid w:val="00BE1647"/>
    <w:rsid w:val="00BE166A"/>
    <w:rsid w:val="00BE16BE"/>
    <w:rsid w:val="00BE1782"/>
    <w:rsid w:val="00BE1793"/>
    <w:rsid w:val="00BE17D2"/>
    <w:rsid w:val="00BE18B7"/>
    <w:rsid w:val="00BE192A"/>
    <w:rsid w:val="00BE193F"/>
    <w:rsid w:val="00BE1996"/>
    <w:rsid w:val="00BE1A47"/>
    <w:rsid w:val="00BE1B0B"/>
    <w:rsid w:val="00BE1D5A"/>
    <w:rsid w:val="00BE1F4E"/>
    <w:rsid w:val="00BE1FB0"/>
    <w:rsid w:val="00BE1FE9"/>
    <w:rsid w:val="00BE201F"/>
    <w:rsid w:val="00BE2150"/>
    <w:rsid w:val="00BE2220"/>
    <w:rsid w:val="00BE2272"/>
    <w:rsid w:val="00BE22E8"/>
    <w:rsid w:val="00BE233F"/>
    <w:rsid w:val="00BE23C1"/>
    <w:rsid w:val="00BE242E"/>
    <w:rsid w:val="00BE2447"/>
    <w:rsid w:val="00BE2513"/>
    <w:rsid w:val="00BE2535"/>
    <w:rsid w:val="00BE254E"/>
    <w:rsid w:val="00BE25B7"/>
    <w:rsid w:val="00BE2698"/>
    <w:rsid w:val="00BE26B1"/>
    <w:rsid w:val="00BE2738"/>
    <w:rsid w:val="00BE28E4"/>
    <w:rsid w:val="00BE2A74"/>
    <w:rsid w:val="00BE2AA9"/>
    <w:rsid w:val="00BE2DD9"/>
    <w:rsid w:val="00BE2E29"/>
    <w:rsid w:val="00BE2EA0"/>
    <w:rsid w:val="00BE2EA7"/>
    <w:rsid w:val="00BE2F3F"/>
    <w:rsid w:val="00BE2F96"/>
    <w:rsid w:val="00BE3067"/>
    <w:rsid w:val="00BE307D"/>
    <w:rsid w:val="00BE30A3"/>
    <w:rsid w:val="00BE3103"/>
    <w:rsid w:val="00BE3194"/>
    <w:rsid w:val="00BE31F5"/>
    <w:rsid w:val="00BE334A"/>
    <w:rsid w:val="00BE33A8"/>
    <w:rsid w:val="00BE3443"/>
    <w:rsid w:val="00BE3517"/>
    <w:rsid w:val="00BE353D"/>
    <w:rsid w:val="00BE37B8"/>
    <w:rsid w:val="00BE3842"/>
    <w:rsid w:val="00BE3962"/>
    <w:rsid w:val="00BE3995"/>
    <w:rsid w:val="00BE3AA2"/>
    <w:rsid w:val="00BE3B9C"/>
    <w:rsid w:val="00BE3BA2"/>
    <w:rsid w:val="00BE3C1B"/>
    <w:rsid w:val="00BE3C29"/>
    <w:rsid w:val="00BE3C50"/>
    <w:rsid w:val="00BE3C67"/>
    <w:rsid w:val="00BE3E08"/>
    <w:rsid w:val="00BE3E67"/>
    <w:rsid w:val="00BE3EC6"/>
    <w:rsid w:val="00BE3F48"/>
    <w:rsid w:val="00BE3FE7"/>
    <w:rsid w:val="00BE406F"/>
    <w:rsid w:val="00BE4135"/>
    <w:rsid w:val="00BE41B8"/>
    <w:rsid w:val="00BE421D"/>
    <w:rsid w:val="00BE4258"/>
    <w:rsid w:val="00BE42A8"/>
    <w:rsid w:val="00BE4338"/>
    <w:rsid w:val="00BE4354"/>
    <w:rsid w:val="00BE43E7"/>
    <w:rsid w:val="00BE44C0"/>
    <w:rsid w:val="00BE4692"/>
    <w:rsid w:val="00BE46BC"/>
    <w:rsid w:val="00BE476C"/>
    <w:rsid w:val="00BE47D4"/>
    <w:rsid w:val="00BE47F7"/>
    <w:rsid w:val="00BE4857"/>
    <w:rsid w:val="00BE48C0"/>
    <w:rsid w:val="00BE4A21"/>
    <w:rsid w:val="00BE4A67"/>
    <w:rsid w:val="00BE4C05"/>
    <w:rsid w:val="00BE4CB7"/>
    <w:rsid w:val="00BE4E6D"/>
    <w:rsid w:val="00BE4F54"/>
    <w:rsid w:val="00BE5035"/>
    <w:rsid w:val="00BE514C"/>
    <w:rsid w:val="00BE5177"/>
    <w:rsid w:val="00BE522E"/>
    <w:rsid w:val="00BE527B"/>
    <w:rsid w:val="00BE5325"/>
    <w:rsid w:val="00BE5327"/>
    <w:rsid w:val="00BE539E"/>
    <w:rsid w:val="00BE53BE"/>
    <w:rsid w:val="00BE53EA"/>
    <w:rsid w:val="00BE5469"/>
    <w:rsid w:val="00BE5644"/>
    <w:rsid w:val="00BE566A"/>
    <w:rsid w:val="00BE5743"/>
    <w:rsid w:val="00BE57A0"/>
    <w:rsid w:val="00BE57EF"/>
    <w:rsid w:val="00BE5800"/>
    <w:rsid w:val="00BE5857"/>
    <w:rsid w:val="00BE58A7"/>
    <w:rsid w:val="00BE5997"/>
    <w:rsid w:val="00BE5A12"/>
    <w:rsid w:val="00BE5AAA"/>
    <w:rsid w:val="00BE5C3D"/>
    <w:rsid w:val="00BE5C9D"/>
    <w:rsid w:val="00BE5CD3"/>
    <w:rsid w:val="00BE5D3E"/>
    <w:rsid w:val="00BE5DD1"/>
    <w:rsid w:val="00BE5E07"/>
    <w:rsid w:val="00BE5EC9"/>
    <w:rsid w:val="00BE5F58"/>
    <w:rsid w:val="00BE602C"/>
    <w:rsid w:val="00BE6160"/>
    <w:rsid w:val="00BE62E7"/>
    <w:rsid w:val="00BE631B"/>
    <w:rsid w:val="00BE6330"/>
    <w:rsid w:val="00BE6349"/>
    <w:rsid w:val="00BE6560"/>
    <w:rsid w:val="00BE65A4"/>
    <w:rsid w:val="00BE65DB"/>
    <w:rsid w:val="00BE65FE"/>
    <w:rsid w:val="00BE664B"/>
    <w:rsid w:val="00BE6674"/>
    <w:rsid w:val="00BE668C"/>
    <w:rsid w:val="00BE6706"/>
    <w:rsid w:val="00BE67D2"/>
    <w:rsid w:val="00BE67FE"/>
    <w:rsid w:val="00BE6805"/>
    <w:rsid w:val="00BE6903"/>
    <w:rsid w:val="00BE692A"/>
    <w:rsid w:val="00BE6973"/>
    <w:rsid w:val="00BE6A8C"/>
    <w:rsid w:val="00BE6B45"/>
    <w:rsid w:val="00BE6C2D"/>
    <w:rsid w:val="00BE6E1D"/>
    <w:rsid w:val="00BE6E5E"/>
    <w:rsid w:val="00BE70C0"/>
    <w:rsid w:val="00BE70D5"/>
    <w:rsid w:val="00BE70F6"/>
    <w:rsid w:val="00BE73DD"/>
    <w:rsid w:val="00BE761D"/>
    <w:rsid w:val="00BE765B"/>
    <w:rsid w:val="00BE774E"/>
    <w:rsid w:val="00BE778A"/>
    <w:rsid w:val="00BE77FB"/>
    <w:rsid w:val="00BE781B"/>
    <w:rsid w:val="00BE781C"/>
    <w:rsid w:val="00BE78AB"/>
    <w:rsid w:val="00BE7950"/>
    <w:rsid w:val="00BE79D9"/>
    <w:rsid w:val="00BE7A61"/>
    <w:rsid w:val="00BE7B72"/>
    <w:rsid w:val="00BE7C7F"/>
    <w:rsid w:val="00BE7C82"/>
    <w:rsid w:val="00BE7C89"/>
    <w:rsid w:val="00BE7EE3"/>
    <w:rsid w:val="00BF0000"/>
    <w:rsid w:val="00BF003D"/>
    <w:rsid w:val="00BF00C2"/>
    <w:rsid w:val="00BF0126"/>
    <w:rsid w:val="00BF01AE"/>
    <w:rsid w:val="00BF01D7"/>
    <w:rsid w:val="00BF021A"/>
    <w:rsid w:val="00BF0244"/>
    <w:rsid w:val="00BF0333"/>
    <w:rsid w:val="00BF040D"/>
    <w:rsid w:val="00BF044A"/>
    <w:rsid w:val="00BF04A1"/>
    <w:rsid w:val="00BF0517"/>
    <w:rsid w:val="00BF059F"/>
    <w:rsid w:val="00BF05F1"/>
    <w:rsid w:val="00BF06BA"/>
    <w:rsid w:val="00BF06CC"/>
    <w:rsid w:val="00BF070C"/>
    <w:rsid w:val="00BF0736"/>
    <w:rsid w:val="00BF0A86"/>
    <w:rsid w:val="00BF0B72"/>
    <w:rsid w:val="00BF0B95"/>
    <w:rsid w:val="00BF0C20"/>
    <w:rsid w:val="00BF0CE7"/>
    <w:rsid w:val="00BF0DF6"/>
    <w:rsid w:val="00BF0E09"/>
    <w:rsid w:val="00BF0EC2"/>
    <w:rsid w:val="00BF0EDC"/>
    <w:rsid w:val="00BF0F17"/>
    <w:rsid w:val="00BF0FEC"/>
    <w:rsid w:val="00BF0FF9"/>
    <w:rsid w:val="00BF106F"/>
    <w:rsid w:val="00BF107D"/>
    <w:rsid w:val="00BF12EF"/>
    <w:rsid w:val="00BF1383"/>
    <w:rsid w:val="00BF139E"/>
    <w:rsid w:val="00BF1483"/>
    <w:rsid w:val="00BF14C5"/>
    <w:rsid w:val="00BF152E"/>
    <w:rsid w:val="00BF1564"/>
    <w:rsid w:val="00BF1604"/>
    <w:rsid w:val="00BF17DC"/>
    <w:rsid w:val="00BF17ED"/>
    <w:rsid w:val="00BF1827"/>
    <w:rsid w:val="00BF18A3"/>
    <w:rsid w:val="00BF1928"/>
    <w:rsid w:val="00BF196F"/>
    <w:rsid w:val="00BF19B1"/>
    <w:rsid w:val="00BF19B8"/>
    <w:rsid w:val="00BF1A3A"/>
    <w:rsid w:val="00BF1A3E"/>
    <w:rsid w:val="00BF1AE7"/>
    <w:rsid w:val="00BF1B03"/>
    <w:rsid w:val="00BF1B04"/>
    <w:rsid w:val="00BF1B9E"/>
    <w:rsid w:val="00BF1C8A"/>
    <w:rsid w:val="00BF1CF3"/>
    <w:rsid w:val="00BF1D87"/>
    <w:rsid w:val="00BF1E2B"/>
    <w:rsid w:val="00BF1E3E"/>
    <w:rsid w:val="00BF1F57"/>
    <w:rsid w:val="00BF1F71"/>
    <w:rsid w:val="00BF1FCE"/>
    <w:rsid w:val="00BF20CA"/>
    <w:rsid w:val="00BF211B"/>
    <w:rsid w:val="00BF2121"/>
    <w:rsid w:val="00BF229A"/>
    <w:rsid w:val="00BF22CE"/>
    <w:rsid w:val="00BF22E2"/>
    <w:rsid w:val="00BF2337"/>
    <w:rsid w:val="00BF2354"/>
    <w:rsid w:val="00BF23C4"/>
    <w:rsid w:val="00BF2471"/>
    <w:rsid w:val="00BF24F1"/>
    <w:rsid w:val="00BF2554"/>
    <w:rsid w:val="00BF255A"/>
    <w:rsid w:val="00BF25F4"/>
    <w:rsid w:val="00BF267E"/>
    <w:rsid w:val="00BF26B6"/>
    <w:rsid w:val="00BF26D0"/>
    <w:rsid w:val="00BF26DA"/>
    <w:rsid w:val="00BF2725"/>
    <w:rsid w:val="00BF274C"/>
    <w:rsid w:val="00BF27B7"/>
    <w:rsid w:val="00BF2940"/>
    <w:rsid w:val="00BF2951"/>
    <w:rsid w:val="00BF29C5"/>
    <w:rsid w:val="00BF2ACE"/>
    <w:rsid w:val="00BF2AD3"/>
    <w:rsid w:val="00BF2AF8"/>
    <w:rsid w:val="00BF2CE0"/>
    <w:rsid w:val="00BF2D60"/>
    <w:rsid w:val="00BF2E0F"/>
    <w:rsid w:val="00BF2E30"/>
    <w:rsid w:val="00BF307E"/>
    <w:rsid w:val="00BF30E1"/>
    <w:rsid w:val="00BF3122"/>
    <w:rsid w:val="00BF31B8"/>
    <w:rsid w:val="00BF31D5"/>
    <w:rsid w:val="00BF3202"/>
    <w:rsid w:val="00BF3204"/>
    <w:rsid w:val="00BF320A"/>
    <w:rsid w:val="00BF329B"/>
    <w:rsid w:val="00BF3362"/>
    <w:rsid w:val="00BF33D9"/>
    <w:rsid w:val="00BF33F4"/>
    <w:rsid w:val="00BF3407"/>
    <w:rsid w:val="00BF3438"/>
    <w:rsid w:val="00BF3448"/>
    <w:rsid w:val="00BF34B7"/>
    <w:rsid w:val="00BF34D7"/>
    <w:rsid w:val="00BF358C"/>
    <w:rsid w:val="00BF35BF"/>
    <w:rsid w:val="00BF3689"/>
    <w:rsid w:val="00BF371A"/>
    <w:rsid w:val="00BF378C"/>
    <w:rsid w:val="00BF37BC"/>
    <w:rsid w:val="00BF3820"/>
    <w:rsid w:val="00BF3867"/>
    <w:rsid w:val="00BF3899"/>
    <w:rsid w:val="00BF3952"/>
    <w:rsid w:val="00BF3955"/>
    <w:rsid w:val="00BF39A1"/>
    <w:rsid w:val="00BF39F9"/>
    <w:rsid w:val="00BF3A08"/>
    <w:rsid w:val="00BF3A1B"/>
    <w:rsid w:val="00BF3A38"/>
    <w:rsid w:val="00BF3A9A"/>
    <w:rsid w:val="00BF3BD4"/>
    <w:rsid w:val="00BF3C0A"/>
    <w:rsid w:val="00BF3C14"/>
    <w:rsid w:val="00BF3D02"/>
    <w:rsid w:val="00BF3D39"/>
    <w:rsid w:val="00BF3D62"/>
    <w:rsid w:val="00BF3DE8"/>
    <w:rsid w:val="00BF3E28"/>
    <w:rsid w:val="00BF3E4A"/>
    <w:rsid w:val="00BF3E8B"/>
    <w:rsid w:val="00BF3F4F"/>
    <w:rsid w:val="00BF3F7E"/>
    <w:rsid w:val="00BF4048"/>
    <w:rsid w:val="00BF40C4"/>
    <w:rsid w:val="00BF40D5"/>
    <w:rsid w:val="00BF4181"/>
    <w:rsid w:val="00BF4280"/>
    <w:rsid w:val="00BF4282"/>
    <w:rsid w:val="00BF4296"/>
    <w:rsid w:val="00BF432F"/>
    <w:rsid w:val="00BF433B"/>
    <w:rsid w:val="00BF4361"/>
    <w:rsid w:val="00BF4387"/>
    <w:rsid w:val="00BF43A8"/>
    <w:rsid w:val="00BF44A8"/>
    <w:rsid w:val="00BF44CE"/>
    <w:rsid w:val="00BF465E"/>
    <w:rsid w:val="00BF4665"/>
    <w:rsid w:val="00BF46EA"/>
    <w:rsid w:val="00BF4777"/>
    <w:rsid w:val="00BF479B"/>
    <w:rsid w:val="00BF47C8"/>
    <w:rsid w:val="00BF484C"/>
    <w:rsid w:val="00BF48AD"/>
    <w:rsid w:val="00BF48CD"/>
    <w:rsid w:val="00BF49A7"/>
    <w:rsid w:val="00BF4A0E"/>
    <w:rsid w:val="00BF4A11"/>
    <w:rsid w:val="00BF4AA4"/>
    <w:rsid w:val="00BF4AF4"/>
    <w:rsid w:val="00BF4B6F"/>
    <w:rsid w:val="00BF4BEF"/>
    <w:rsid w:val="00BF4CA1"/>
    <w:rsid w:val="00BF4DA7"/>
    <w:rsid w:val="00BF4DD1"/>
    <w:rsid w:val="00BF4F47"/>
    <w:rsid w:val="00BF4F58"/>
    <w:rsid w:val="00BF4FA1"/>
    <w:rsid w:val="00BF4FE2"/>
    <w:rsid w:val="00BF50ED"/>
    <w:rsid w:val="00BF5183"/>
    <w:rsid w:val="00BF51D3"/>
    <w:rsid w:val="00BF521A"/>
    <w:rsid w:val="00BF5236"/>
    <w:rsid w:val="00BF524F"/>
    <w:rsid w:val="00BF5258"/>
    <w:rsid w:val="00BF52E3"/>
    <w:rsid w:val="00BF530A"/>
    <w:rsid w:val="00BF5325"/>
    <w:rsid w:val="00BF536B"/>
    <w:rsid w:val="00BF5370"/>
    <w:rsid w:val="00BF537A"/>
    <w:rsid w:val="00BF538B"/>
    <w:rsid w:val="00BF53F8"/>
    <w:rsid w:val="00BF5506"/>
    <w:rsid w:val="00BF551D"/>
    <w:rsid w:val="00BF558B"/>
    <w:rsid w:val="00BF55A5"/>
    <w:rsid w:val="00BF55E7"/>
    <w:rsid w:val="00BF55F0"/>
    <w:rsid w:val="00BF568C"/>
    <w:rsid w:val="00BF56E3"/>
    <w:rsid w:val="00BF5816"/>
    <w:rsid w:val="00BF5854"/>
    <w:rsid w:val="00BF587C"/>
    <w:rsid w:val="00BF5962"/>
    <w:rsid w:val="00BF5987"/>
    <w:rsid w:val="00BF5B15"/>
    <w:rsid w:val="00BF5B21"/>
    <w:rsid w:val="00BF5BAC"/>
    <w:rsid w:val="00BF5BE9"/>
    <w:rsid w:val="00BF5C0F"/>
    <w:rsid w:val="00BF5C7B"/>
    <w:rsid w:val="00BF5CC5"/>
    <w:rsid w:val="00BF5E65"/>
    <w:rsid w:val="00BF5EB4"/>
    <w:rsid w:val="00BF5F89"/>
    <w:rsid w:val="00BF5F8F"/>
    <w:rsid w:val="00BF60D1"/>
    <w:rsid w:val="00BF610A"/>
    <w:rsid w:val="00BF6153"/>
    <w:rsid w:val="00BF61C5"/>
    <w:rsid w:val="00BF62A6"/>
    <w:rsid w:val="00BF635B"/>
    <w:rsid w:val="00BF635C"/>
    <w:rsid w:val="00BF635F"/>
    <w:rsid w:val="00BF640C"/>
    <w:rsid w:val="00BF6414"/>
    <w:rsid w:val="00BF642F"/>
    <w:rsid w:val="00BF64AE"/>
    <w:rsid w:val="00BF64C3"/>
    <w:rsid w:val="00BF6514"/>
    <w:rsid w:val="00BF6519"/>
    <w:rsid w:val="00BF6572"/>
    <w:rsid w:val="00BF6592"/>
    <w:rsid w:val="00BF65C6"/>
    <w:rsid w:val="00BF6616"/>
    <w:rsid w:val="00BF6683"/>
    <w:rsid w:val="00BF66EE"/>
    <w:rsid w:val="00BF676F"/>
    <w:rsid w:val="00BF6813"/>
    <w:rsid w:val="00BF6874"/>
    <w:rsid w:val="00BF68D9"/>
    <w:rsid w:val="00BF69B3"/>
    <w:rsid w:val="00BF69B4"/>
    <w:rsid w:val="00BF6A44"/>
    <w:rsid w:val="00BF6AF3"/>
    <w:rsid w:val="00BF6B34"/>
    <w:rsid w:val="00BF6B3F"/>
    <w:rsid w:val="00BF6C08"/>
    <w:rsid w:val="00BF6CAB"/>
    <w:rsid w:val="00BF6D22"/>
    <w:rsid w:val="00BF6E11"/>
    <w:rsid w:val="00BF6E68"/>
    <w:rsid w:val="00BF6EC7"/>
    <w:rsid w:val="00BF6EFC"/>
    <w:rsid w:val="00BF71F7"/>
    <w:rsid w:val="00BF71FA"/>
    <w:rsid w:val="00BF722B"/>
    <w:rsid w:val="00BF734B"/>
    <w:rsid w:val="00BF739C"/>
    <w:rsid w:val="00BF73AA"/>
    <w:rsid w:val="00BF73CC"/>
    <w:rsid w:val="00BF749C"/>
    <w:rsid w:val="00BF749F"/>
    <w:rsid w:val="00BF7577"/>
    <w:rsid w:val="00BF75B2"/>
    <w:rsid w:val="00BF774D"/>
    <w:rsid w:val="00BF778F"/>
    <w:rsid w:val="00BF78D9"/>
    <w:rsid w:val="00BF7995"/>
    <w:rsid w:val="00BF799B"/>
    <w:rsid w:val="00BF7A8C"/>
    <w:rsid w:val="00BF7B0A"/>
    <w:rsid w:val="00BF7B55"/>
    <w:rsid w:val="00BF7BAA"/>
    <w:rsid w:val="00BF7C04"/>
    <w:rsid w:val="00BF7D3E"/>
    <w:rsid w:val="00BF7E63"/>
    <w:rsid w:val="00BF7E8F"/>
    <w:rsid w:val="00BF7EEA"/>
    <w:rsid w:val="00BF7EEE"/>
    <w:rsid w:val="00BF7F4E"/>
    <w:rsid w:val="00C00060"/>
    <w:rsid w:val="00C0006B"/>
    <w:rsid w:val="00C0007F"/>
    <w:rsid w:val="00C000F1"/>
    <w:rsid w:val="00C0012A"/>
    <w:rsid w:val="00C0014C"/>
    <w:rsid w:val="00C001D0"/>
    <w:rsid w:val="00C001E7"/>
    <w:rsid w:val="00C0023B"/>
    <w:rsid w:val="00C0025D"/>
    <w:rsid w:val="00C00262"/>
    <w:rsid w:val="00C002DA"/>
    <w:rsid w:val="00C00301"/>
    <w:rsid w:val="00C0031A"/>
    <w:rsid w:val="00C00510"/>
    <w:rsid w:val="00C0061E"/>
    <w:rsid w:val="00C00641"/>
    <w:rsid w:val="00C006B2"/>
    <w:rsid w:val="00C006E7"/>
    <w:rsid w:val="00C00731"/>
    <w:rsid w:val="00C00756"/>
    <w:rsid w:val="00C0078B"/>
    <w:rsid w:val="00C007DD"/>
    <w:rsid w:val="00C00813"/>
    <w:rsid w:val="00C00884"/>
    <w:rsid w:val="00C008CE"/>
    <w:rsid w:val="00C008D3"/>
    <w:rsid w:val="00C00910"/>
    <w:rsid w:val="00C00917"/>
    <w:rsid w:val="00C00A21"/>
    <w:rsid w:val="00C00B0B"/>
    <w:rsid w:val="00C00B89"/>
    <w:rsid w:val="00C00C57"/>
    <w:rsid w:val="00C00C95"/>
    <w:rsid w:val="00C00CBD"/>
    <w:rsid w:val="00C00D98"/>
    <w:rsid w:val="00C00E17"/>
    <w:rsid w:val="00C00E84"/>
    <w:rsid w:val="00C01011"/>
    <w:rsid w:val="00C0104F"/>
    <w:rsid w:val="00C01064"/>
    <w:rsid w:val="00C0108B"/>
    <w:rsid w:val="00C010FB"/>
    <w:rsid w:val="00C01178"/>
    <w:rsid w:val="00C0117F"/>
    <w:rsid w:val="00C011D2"/>
    <w:rsid w:val="00C011D6"/>
    <w:rsid w:val="00C01242"/>
    <w:rsid w:val="00C0124C"/>
    <w:rsid w:val="00C012D4"/>
    <w:rsid w:val="00C012FC"/>
    <w:rsid w:val="00C01315"/>
    <w:rsid w:val="00C013B1"/>
    <w:rsid w:val="00C0140C"/>
    <w:rsid w:val="00C0146B"/>
    <w:rsid w:val="00C014C0"/>
    <w:rsid w:val="00C014DA"/>
    <w:rsid w:val="00C01557"/>
    <w:rsid w:val="00C01609"/>
    <w:rsid w:val="00C01710"/>
    <w:rsid w:val="00C01723"/>
    <w:rsid w:val="00C0178F"/>
    <w:rsid w:val="00C01838"/>
    <w:rsid w:val="00C01866"/>
    <w:rsid w:val="00C01869"/>
    <w:rsid w:val="00C0188D"/>
    <w:rsid w:val="00C018A2"/>
    <w:rsid w:val="00C019FF"/>
    <w:rsid w:val="00C01B37"/>
    <w:rsid w:val="00C01BB4"/>
    <w:rsid w:val="00C01BF5"/>
    <w:rsid w:val="00C01C40"/>
    <w:rsid w:val="00C01D18"/>
    <w:rsid w:val="00C01D72"/>
    <w:rsid w:val="00C01EB0"/>
    <w:rsid w:val="00C02068"/>
    <w:rsid w:val="00C0211C"/>
    <w:rsid w:val="00C02138"/>
    <w:rsid w:val="00C02172"/>
    <w:rsid w:val="00C0221C"/>
    <w:rsid w:val="00C023D4"/>
    <w:rsid w:val="00C02468"/>
    <w:rsid w:val="00C02471"/>
    <w:rsid w:val="00C024E0"/>
    <w:rsid w:val="00C024F8"/>
    <w:rsid w:val="00C0256C"/>
    <w:rsid w:val="00C025CF"/>
    <w:rsid w:val="00C025E6"/>
    <w:rsid w:val="00C0260D"/>
    <w:rsid w:val="00C0261A"/>
    <w:rsid w:val="00C0261B"/>
    <w:rsid w:val="00C0262E"/>
    <w:rsid w:val="00C0275B"/>
    <w:rsid w:val="00C02889"/>
    <w:rsid w:val="00C028BB"/>
    <w:rsid w:val="00C028F7"/>
    <w:rsid w:val="00C0292B"/>
    <w:rsid w:val="00C0297C"/>
    <w:rsid w:val="00C029DF"/>
    <w:rsid w:val="00C02A55"/>
    <w:rsid w:val="00C02AB8"/>
    <w:rsid w:val="00C02AD3"/>
    <w:rsid w:val="00C02B68"/>
    <w:rsid w:val="00C02B87"/>
    <w:rsid w:val="00C02BEF"/>
    <w:rsid w:val="00C02BF9"/>
    <w:rsid w:val="00C02C67"/>
    <w:rsid w:val="00C02D01"/>
    <w:rsid w:val="00C02E4A"/>
    <w:rsid w:val="00C02F34"/>
    <w:rsid w:val="00C02F73"/>
    <w:rsid w:val="00C02F87"/>
    <w:rsid w:val="00C02F91"/>
    <w:rsid w:val="00C0303D"/>
    <w:rsid w:val="00C030B0"/>
    <w:rsid w:val="00C031B9"/>
    <w:rsid w:val="00C032C9"/>
    <w:rsid w:val="00C0335C"/>
    <w:rsid w:val="00C0339C"/>
    <w:rsid w:val="00C03537"/>
    <w:rsid w:val="00C035B0"/>
    <w:rsid w:val="00C036B3"/>
    <w:rsid w:val="00C03709"/>
    <w:rsid w:val="00C03796"/>
    <w:rsid w:val="00C038F2"/>
    <w:rsid w:val="00C03921"/>
    <w:rsid w:val="00C03A88"/>
    <w:rsid w:val="00C03AE8"/>
    <w:rsid w:val="00C03BF8"/>
    <w:rsid w:val="00C03C19"/>
    <w:rsid w:val="00C03C2F"/>
    <w:rsid w:val="00C03C89"/>
    <w:rsid w:val="00C03CA9"/>
    <w:rsid w:val="00C03D71"/>
    <w:rsid w:val="00C03DCB"/>
    <w:rsid w:val="00C03DFB"/>
    <w:rsid w:val="00C03EFE"/>
    <w:rsid w:val="00C04089"/>
    <w:rsid w:val="00C040A8"/>
    <w:rsid w:val="00C04114"/>
    <w:rsid w:val="00C04453"/>
    <w:rsid w:val="00C04474"/>
    <w:rsid w:val="00C04595"/>
    <w:rsid w:val="00C04647"/>
    <w:rsid w:val="00C04673"/>
    <w:rsid w:val="00C0475D"/>
    <w:rsid w:val="00C0485F"/>
    <w:rsid w:val="00C048F3"/>
    <w:rsid w:val="00C0495C"/>
    <w:rsid w:val="00C04976"/>
    <w:rsid w:val="00C049EA"/>
    <w:rsid w:val="00C04A09"/>
    <w:rsid w:val="00C04A1C"/>
    <w:rsid w:val="00C04A70"/>
    <w:rsid w:val="00C04BD3"/>
    <w:rsid w:val="00C04C40"/>
    <w:rsid w:val="00C04CF7"/>
    <w:rsid w:val="00C04D9B"/>
    <w:rsid w:val="00C04D9F"/>
    <w:rsid w:val="00C04E04"/>
    <w:rsid w:val="00C04F15"/>
    <w:rsid w:val="00C04F49"/>
    <w:rsid w:val="00C04FB0"/>
    <w:rsid w:val="00C04FD0"/>
    <w:rsid w:val="00C04FD6"/>
    <w:rsid w:val="00C0507B"/>
    <w:rsid w:val="00C050F3"/>
    <w:rsid w:val="00C0513C"/>
    <w:rsid w:val="00C05187"/>
    <w:rsid w:val="00C05203"/>
    <w:rsid w:val="00C052BF"/>
    <w:rsid w:val="00C052CF"/>
    <w:rsid w:val="00C052DE"/>
    <w:rsid w:val="00C05336"/>
    <w:rsid w:val="00C0533E"/>
    <w:rsid w:val="00C0546E"/>
    <w:rsid w:val="00C054A3"/>
    <w:rsid w:val="00C054B5"/>
    <w:rsid w:val="00C05543"/>
    <w:rsid w:val="00C056AE"/>
    <w:rsid w:val="00C05710"/>
    <w:rsid w:val="00C05850"/>
    <w:rsid w:val="00C05855"/>
    <w:rsid w:val="00C058D3"/>
    <w:rsid w:val="00C0591B"/>
    <w:rsid w:val="00C05C09"/>
    <w:rsid w:val="00C05C37"/>
    <w:rsid w:val="00C05DA7"/>
    <w:rsid w:val="00C05E37"/>
    <w:rsid w:val="00C05E5A"/>
    <w:rsid w:val="00C05EB5"/>
    <w:rsid w:val="00C05EC1"/>
    <w:rsid w:val="00C05F4F"/>
    <w:rsid w:val="00C05F71"/>
    <w:rsid w:val="00C05F83"/>
    <w:rsid w:val="00C05F95"/>
    <w:rsid w:val="00C06015"/>
    <w:rsid w:val="00C0603D"/>
    <w:rsid w:val="00C060C7"/>
    <w:rsid w:val="00C060E6"/>
    <w:rsid w:val="00C060EF"/>
    <w:rsid w:val="00C0614B"/>
    <w:rsid w:val="00C06185"/>
    <w:rsid w:val="00C06212"/>
    <w:rsid w:val="00C06299"/>
    <w:rsid w:val="00C0629E"/>
    <w:rsid w:val="00C062B5"/>
    <w:rsid w:val="00C06336"/>
    <w:rsid w:val="00C06375"/>
    <w:rsid w:val="00C063B9"/>
    <w:rsid w:val="00C063EB"/>
    <w:rsid w:val="00C06463"/>
    <w:rsid w:val="00C064EB"/>
    <w:rsid w:val="00C0654C"/>
    <w:rsid w:val="00C06560"/>
    <w:rsid w:val="00C0659F"/>
    <w:rsid w:val="00C065CC"/>
    <w:rsid w:val="00C0662E"/>
    <w:rsid w:val="00C0666D"/>
    <w:rsid w:val="00C06795"/>
    <w:rsid w:val="00C06852"/>
    <w:rsid w:val="00C06909"/>
    <w:rsid w:val="00C0693E"/>
    <w:rsid w:val="00C06A08"/>
    <w:rsid w:val="00C06A76"/>
    <w:rsid w:val="00C06AD2"/>
    <w:rsid w:val="00C06BDD"/>
    <w:rsid w:val="00C06C48"/>
    <w:rsid w:val="00C06D67"/>
    <w:rsid w:val="00C06F18"/>
    <w:rsid w:val="00C06F5B"/>
    <w:rsid w:val="00C06F8B"/>
    <w:rsid w:val="00C0706C"/>
    <w:rsid w:val="00C0714A"/>
    <w:rsid w:val="00C071BA"/>
    <w:rsid w:val="00C07266"/>
    <w:rsid w:val="00C0746F"/>
    <w:rsid w:val="00C074BB"/>
    <w:rsid w:val="00C07532"/>
    <w:rsid w:val="00C07538"/>
    <w:rsid w:val="00C0756B"/>
    <w:rsid w:val="00C075AB"/>
    <w:rsid w:val="00C07640"/>
    <w:rsid w:val="00C07753"/>
    <w:rsid w:val="00C077C8"/>
    <w:rsid w:val="00C07884"/>
    <w:rsid w:val="00C07893"/>
    <w:rsid w:val="00C078F6"/>
    <w:rsid w:val="00C07A2E"/>
    <w:rsid w:val="00C07AAE"/>
    <w:rsid w:val="00C07B90"/>
    <w:rsid w:val="00C07BB4"/>
    <w:rsid w:val="00C07BD7"/>
    <w:rsid w:val="00C07C12"/>
    <w:rsid w:val="00C07C24"/>
    <w:rsid w:val="00C07C70"/>
    <w:rsid w:val="00C07CE5"/>
    <w:rsid w:val="00C07D47"/>
    <w:rsid w:val="00C07DB7"/>
    <w:rsid w:val="00C07DFB"/>
    <w:rsid w:val="00C07E67"/>
    <w:rsid w:val="00C07E83"/>
    <w:rsid w:val="00C07ECA"/>
    <w:rsid w:val="00C10070"/>
    <w:rsid w:val="00C100E3"/>
    <w:rsid w:val="00C102AD"/>
    <w:rsid w:val="00C10358"/>
    <w:rsid w:val="00C104A9"/>
    <w:rsid w:val="00C1054B"/>
    <w:rsid w:val="00C105A8"/>
    <w:rsid w:val="00C1065F"/>
    <w:rsid w:val="00C1073F"/>
    <w:rsid w:val="00C10768"/>
    <w:rsid w:val="00C108B6"/>
    <w:rsid w:val="00C108C9"/>
    <w:rsid w:val="00C108E3"/>
    <w:rsid w:val="00C10AAE"/>
    <w:rsid w:val="00C10B3C"/>
    <w:rsid w:val="00C10BD3"/>
    <w:rsid w:val="00C10C90"/>
    <w:rsid w:val="00C10CCC"/>
    <w:rsid w:val="00C10CDE"/>
    <w:rsid w:val="00C10D0F"/>
    <w:rsid w:val="00C10D7C"/>
    <w:rsid w:val="00C10ECA"/>
    <w:rsid w:val="00C10F6F"/>
    <w:rsid w:val="00C10FE5"/>
    <w:rsid w:val="00C10FFD"/>
    <w:rsid w:val="00C11036"/>
    <w:rsid w:val="00C110D9"/>
    <w:rsid w:val="00C11110"/>
    <w:rsid w:val="00C11181"/>
    <w:rsid w:val="00C111B3"/>
    <w:rsid w:val="00C111FC"/>
    <w:rsid w:val="00C11228"/>
    <w:rsid w:val="00C1122B"/>
    <w:rsid w:val="00C11351"/>
    <w:rsid w:val="00C1136D"/>
    <w:rsid w:val="00C113B9"/>
    <w:rsid w:val="00C1145D"/>
    <w:rsid w:val="00C11470"/>
    <w:rsid w:val="00C11471"/>
    <w:rsid w:val="00C11508"/>
    <w:rsid w:val="00C11512"/>
    <w:rsid w:val="00C11564"/>
    <w:rsid w:val="00C11588"/>
    <w:rsid w:val="00C115B0"/>
    <w:rsid w:val="00C1164F"/>
    <w:rsid w:val="00C11651"/>
    <w:rsid w:val="00C1165C"/>
    <w:rsid w:val="00C11693"/>
    <w:rsid w:val="00C116C1"/>
    <w:rsid w:val="00C116CF"/>
    <w:rsid w:val="00C117A3"/>
    <w:rsid w:val="00C117E5"/>
    <w:rsid w:val="00C117EB"/>
    <w:rsid w:val="00C11810"/>
    <w:rsid w:val="00C118FA"/>
    <w:rsid w:val="00C11986"/>
    <w:rsid w:val="00C119A6"/>
    <w:rsid w:val="00C11A34"/>
    <w:rsid w:val="00C11A66"/>
    <w:rsid w:val="00C11CB9"/>
    <w:rsid w:val="00C11CD1"/>
    <w:rsid w:val="00C11D16"/>
    <w:rsid w:val="00C11D6E"/>
    <w:rsid w:val="00C11E5F"/>
    <w:rsid w:val="00C11F42"/>
    <w:rsid w:val="00C1208D"/>
    <w:rsid w:val="00C12223"/>
    <w:rsid w:val="00C12236"/>
    <w:rsid w:val="00C12262"/>
    <w:rsid w:val="00C1227F"/>
    <w:rsid w:val="00C1228A"/>
    <w:rsid w:val="00C122E1"/>
    <w:rsid w:val="00C12320"/>
    <w:rsid w:val="00C12323"/>
    <w:rsid w:val="00C123B0"/>
    <w:rsid w:val="00C1241C"/>
    <w:rsid w:val="00C124E2"/>
    <w:rsid w:val="00C124FC"/>
    <w:rsid w:val="00C126CE"/>
    <w:rsid w:val="00C12832"/>
    <w:rsid w:val="00C12869"/>
    <w:rsid w:val="00C129C8"/>
    <w:rsid w:val="00C12A13"/>
    <w:rsid w:val="00C12AE8"/>
    <w:rsid w:val="00C12B18"/>
    <w:rsid w:val="00C12C49"/>
    <w:rsid w:val="00C12C8E"/>
    <w:rsid w:val="00C12D4F"/>
    <w:rsid w:val="00C12E1F"/>
    <w:rsid w:val="00C12FD5"/>
    <w:rsid w:val="00C12FE6"/>
    <w:rsid w:val="00C12FE7"/>
    <w:rsid w:val="00C13044"/>
    <w:rsid w:val="00C1305E"/>
    <w:rsid w:val="00C13087"/>
    <w:rsid w:val="00C131E1"/>
    <w:rsid w:val="00C131EA"/>
    <w:rsid w:val="00C13221"/>
    <w:rsid w:val="00C132C1"/>
    <w:rsid w:val="00C1330D"/>
    <w:rsid w:val="00C13342"/>
    <w:rsid w:val="00C1335A"/>
    <w:rsid w:val="00C1336A"/>
    <w:rsid w:val="00C1338D"/>
    <w:rsid w:val="00C13532"/>
    <w:rsid w:val="00C1358E"/>
    <w:rsid w:val="00C1361C"/>
    <w:rsid w:val="00C13790"/>
    <w:rsid w:val="00C13794"/>
    <w:rsid w:val="00C137B3"/>
    <w:rsid w:val="00C138A0"/>
    <w:rsid w:val="00C138FA"/>
    <w:rsid w:val="00C13977"/>
    <w:rsid w:val="00C13A33"/>
    <w:rsid w:val="00C13A7A"/>
    <w:rsid w:val="00C13AD3"/>
    <w:rsid w:val="00C13AF5"/>
    <w:rsid w:val="00C13C81"/>
    <w:rsid w:val="00C13CB0"/>
    <w:rsid w:val="00C13CDB"/>
    <w:rsid w:val="00C13E21"/>
    <w:rsid w:val="00C13E72"/>
    <w:rsid w:val="00C13F24"/>
    <w:rsid w:val="00C13F43"/>
    <w:rsid w:val="00C13FFC"/>
    <w:rsid w:val="00C1413A"/>
    <w:rsid w:val="00C1419A"/>
    <w:rsid w:val="00C141CB"/>
    <w:rsid w:val="00C1426C"/>
    <w:rsid w:val="00C142C0"/>
    <w:rsid w:val="00C1432C"/>
    <w:rsid w:val="00C14399"/>
    <w:rsid w:val="00C143C8"/>
    <w:rsid w:val="00C143E1"/>
    <w:rsid w:val="00C14436"/>
    <w:rsid w:val="00C14486"/>
    <w:rsid w:val="00C1459B"/>
    <w:rsid w:val="00C145DC"/>
    <w:rsid w:val="00C145DD"/>
    <w:rsid w:val="00C146E6"/>
    <w:rsid w:val="00C14770"/>
    <w:rsid w:val="00C147DD"/>
    <w:rsid w:val="00C14805"/>
    <w:rsid w:val="00C1492F"/>
    <w:rsid w:val="00C1496D"/>
    <w:rsid w:val="00C1497F"/>
    <w:rsid w:val="00C14987"/>
    <w:rsid w:val="00C1499C"/>
    <w:rsid w:val="00C14A1D"/>
    <w:rsid w:val="00C14A1E"/>
    <w:rsid w:val="00C14BCD"/>
    <w:rsid w:val="00C14C45"/>
    <w:rsid w:val="00C14D0D"/>
    <w:rsid w:val="00C14D25"/>
    <w:rsid w:val="00C14D4C"/>
    <w:rsid w:val="00C14DAA"/>
    <w:rsid w:val="00C14DFB"/>
    <w:rsid w:val="00C14EAE"/>
    <w:rsid w:val="00C14EFA"/>
    <w:rsid w:val="00C14FE7"/>
    <w:rsid w:val="00C15035"/>
    <w:rsid w:val="00C15089"/>
    <w:rsid w:val="00C151E3"/>
    <w:rsid w:val="00C15280"/>
    <w:rsid w:val="00C1532F"/>
    <w:rsid w:val="00C1537D"/>
    <w:rsid w:val="00C15419"/>
    <w:rsid w:val="00C15488"/>
    <w:rsid w:val="00C155AD"/>
    <w:rsid w:val="00C155C2"/>
    <w:rsid w:val="00C156B5"/>
    <w:rsid w:val="00C15732"/>
    <w:rsid w:val="00C15763"/>
    <w:rsid w:val="00C157A8"/>
    <w:rsid w:val="00C157C7"/>
    <w:rsid w:val="00C15848"/>
    <w:rsid w:val="00C158CD"/>
    <w:rsid w:val="00C15996"/>
    <w:rsid w:val="00C15A43"/>
    <w:rsid w:val="00C15B21"/>
    <w:rsid w:val="00C15B2B"/>
    <w:rsid w:val="00C15B5A"/>
    <w:rsid w:val="00C15B69"/>
    <w:rsid w:val="00C15B86"/>
    <w:rsid w:val="00C15BBB"/>
    <w:rsid w:val="00C15BD2"/>
    <w:rsid w:val="00C15CE3"/>
    <w:rsid w:val="00C15D0D"/>
    <w:rsid w:val="00C15F24"/>
    <w:rsid w:val="00C15FEC"/>
    <w:rsid w:val="00C16097"/>
    <w:rsid w:val="00C16173"/>
    <w:rsid w:val="00C16195"/>
    <w:rsid w:val="00C16278"/>
    <w:rsid w:val="00C1632E"/>
    <w:rsid w:val="00C1649C"/>
    <w:rsid w:val="00C1649D"/>
    <w:rsid w:val="00C164A7"/>
    <w:rsid w:val="00C16515"/>
    <w:rsid w:val="00C16578"/>
    <w:rsid w:val="00C16639"/>
    <w:rsid w:val="00C16703"/>
    <w:rsid w:val="00C167BC"/>
    <w:rsid w:val="00C16861"/>
    <w:rsid w:val="00C168D2"/>
    <w:rsid w:val="00C16935"/>
    <w:rsid w:val="00C169F2"/>
    <w:rsid w:val="00C16AC1"/>
    <w:rsid w:val="00C16B05"/>
    <w:rsid w:val="00C16C28"/>
    <w:rsid w:val="00C16C5E"/>
    <w:rsid w:val="00C16CB3"/>
    <w:rsid w:val="00C16F23"/>
    <w:rsid w:val="00C16FED"/>
    <w:rsid w:val="00C1702C"/>
    <w:rsid w:val="00C17038"/>
    <w:rsid w:val="00C17095"/>
    <w:rsid w:val="00C170B1"/>
    <w:rsid w:val="00C170E6"/>
    <w:rsid w:val="00C17193"/>
    <w:rsid w:val="00C171C1"/>
    <w:rsid w:val="00C17219"/>
    <w:rsid w:val="00C17262"/>
    <w:rsid w:val="00C1726D"/>
    <w:rsid w:val="00C172A7"/>
    <w:rsid w:val="00C172CC"/>
    <w:rsid w:val="00C17403"/>
    <w:rsid w:val="00C17460"/>
    <w:rsid w:val="00C17552"/>
    <w:rsid w:val="00C176A4"/>
    <w:rsid w:val="00C176CD"/>
    <w:rsid w:val="00C176ED"/>
    <w:rsid w:val="00C177E3"/>
    <w:rsid w:val="00C17816"/>
    <w:rsid w:val="00C178EA"/>
    <w:rsid w:val="00C17A96"/>
    <w:rsid w:val="00C17B5B"/>
    <w:rsid w:val="00C17C42"/>
    <w:rsid w:val="00C17D81"/>
    <w:rsid w:val="00C17DFF"/>
    <w:rsid w:val="00C17E37"/>
    <w:rsid w:val="00C2000E"/>
    <w:rsid w:val="00C200C4"/>
    <w:rsid w:val="00C2017E"/>
    <w:rsid w:val="00C201D1"/>
    <w:rsid w:val="00C201E5"/>
    <w:rsid w:val="00C20260"/>
    <w:rsid w:val="00C2026C"/>
    <w:rsid w:val="00C202ED"/>
    <w:rsid w:val="00C202F9"/>
    <w:rsid w:val="00C2034D"/>
    <w:rsid w:val="00C20438"/>
    <w:rsid w:val="00C20484"/>
    <w:rsid w:val="00C2052D"/>
    <w:rsid w:val="00C2065E"/>
    <w:rsid w:val="00C207A7"/>
    <w:rsid w:val="00C20847"/>
    <w:rsid w:val="00C20A52"/>
    <w:rsid w:val="00C20AE4"/>
    <w:rsid w:val="00C20B76"/>
    <w:rsid w:val="00C20C1C"/>
    <w:rsid w:val="00C20D6C"/>
    <w:rsid w:val="00C20DF3"/>
    <w:rsid w:val="00C20E2E"/>
    <w:rsid w:val="00C20FF7"/>
    <w:rsid w:val="00C2108C"/>
    <w:rsid w:val="00C210D4"/>
    <w:rsid w:val="00C210E4"/>
    <w:rsid w:val="00C21156"/>
    <w:rsid w:val="00C211DB"/>
    <w:rsid w:val="00C21208"/>
    <w:rsid w:val="00C213C2"/>
    <w:rsid w:val="00C213FB"/>
    <w:rsid w:val="00C2149F"/>
    <w:rsid w:val="00C214D8"/>
    <w:rsid w:val="00C2153B"/>
    <w:rsid w:val="00C2165B"/>
    <w:rsid w:val="00C216DC"/>
    <w:rsid w:val="00C21702"/>
    <w:rsid w:val="00C21704"/>
    <w:rsid w:val="00C21719"/>
    <w:rsid w:val="00C21752"/>
    <w:rsid w:val="00C2177B"/>
    <w:rsid w:val="00C217A3"/>
    <w:rsid w:val="00C2185F"/>
    <w:rsid w:val="00C21920"/>
    <w:rsid w:val="00C219C3"/>
    <w:rsid w:val="00C21AF1"/>
    <w:rsid w:val="00C21B03"/>
    <w:rsid w:val="00C21BA9"/>
    <w:rsid w:val="00C21BE3"/>
    <w:rsid w:val="00C21C0A"/>
    <w:rsid w:val="00C21C4A"/>
    <w:rsid w:val="00C21CA3"/>
    <w:rsid w:val="00C21D4F"/>
    <w:rsid w:val="00C21D90"/>
    <w:rsid w:val="00C21E6B"/>
    <w:rsid w:val="00C21E8C"/>
    <w:rsid w:val="00C221D6"/>
    <w:rsid w:val="00C2223A"/>
    <w:rsid w:val="00C2226D"/>
    <w:rsid w:val="00C2232B"/>
    <w:rsid w:val="00C2233D"/>
    <w:rsid w:val="00C2240C"/>
    <w:rsid w:val="00C22420"/>
    <w:rsid w:val="00C22450"/>
    <w:rsid w:val="00C2250D"/>
    <w:rsid w:val="00C226B7"/>
    <w:rsid w:val="00C226C6"/>
    <w:rsid w:val="00C2277A"/>
    <w:rsid w:val="00C227D1"/>
    <w:rsid w:val="00C22804"/>
    <w:rsid w:val="00C228DB"/>
    <w:rsid w:val="00C2290B"/>
    <w:rsid w:val="00C22984"/>
    <w:rsid w:val="00C229D6"/>
    <w:rsid w:val="00C22A00"/>
    <w:rsid w:val="00C22B37"/>
    <w:rsid w:val="00C22BF9"/>
    <w:rsid w:val="00C22C86"/>
    <w:rsid w:val="00C22CF4"/>
    <w:rsid w:val="00C22E0C"/>
    <w:rsid w:val="00C22E73"/>
    <w:rsid w:val="00C22E79"/>
    <w:rsid w:val="00C22E84"/>
    <w:rsid w:val="00C22F23"/>
    <w:rsid w:val="00C22F57"/>
    <w:rsid w:val="00C22F7E"/>
    <w:rsid w:val="00C22FC5"/>
    <w:rsid w:val="00C2302A"/>
    <w:rsid w:val="00C230C0"/>
    <w:rsid w:val="00C230F3"/>
    <w:rsid w:val="00C23143"/>
    <w:rsid w:val="00C233BD"/>
    <w:rsid w:val="00C233DF"/>
    <w:rsid w:val="00C235A3"/>
    <w:rsid w:val="00C236C8"/>
    <w:rsid w:val="00C238E0"/>
    <w:rsid w:val="00C238ED"/>
    <w:rsid w:val="00C23982"/>
    <w:rsid w:val="00C239ED"/>
    <w:rsid w:val="00C23ABF"/>
    <w:rsid w:val="00C23C5B"/>
    <w:rsid w:val="00C23C6D"/>
    <w:rsid w:val="00C23D86"/>
    <w:rsid w:val="00C23DC9"/>
    <w:rsid w:val="00C23EB3"/>
    <w:rsid w:val="00C23EF8"/>
    <w:rsid w:val="00C23F4D"/>
    <w:rsid w:val="00C23F73"/>
    <w:rsid w:val="00C23F96"/>
    <w:rsid w:val="00C23FE1"/>
    <w:rsid w:val="00C24003"/>
    <w:rsid w:val="00C2403A"/>
    <w:rsid w:val="00C24052"/>
    <w:rsid w:val="00C240E6"/>
    <w:rsid w:val="00C24194"/>
    <w:rsid w:val="00C241C8"/>
    <w:rsid w:val="00C24257"/>
    <w:rsid w:val="00C242DA"/>
    <w:rsid w:val="00C24301"/>
    <w:rsid w:val="00C24374"/>
    <w:rsid w:val="00C243B2"/>
    <w:rsid w:val="00C243B6"/>
    <w:rsid w:val="00C24462"/>
    <w:rsid w:val="00C24489"/>
    <w:rsid w:val="00C244CB"/>
    <w:rsid w:val="00C24623"/>
    <w:rsid w:val="00C246A5"/>
    <w:rsid w:val="00C246B6"/>
    <w:rsid w:val="00C2472A"/>
    <w:rsid w:val="00C24730"/>
    <w:rsid w:val="00C24740"/>
    <w:rsid w:val="00C247CC"/>
    <w:rsid w:val="00C24878"/>
    <w:rsid w:val="00C2489F"/>
    <w:rsid w:val="00C248A6"/>
    <w:rsid w:val="00C248DC"/>
    <w:rsid w:val="00C24960"/>
    <w:rsid w:val="00C24978"/>
    <w:rsid w:val="00C24A60"/>
    <w:rsid w:val="00C24ADD"/>
    <w:rsid w:val="00C24D0E"/>
    <w:rsid w:val="00C24D18"/>
    <w:rsid w:val="00C24E1D"/>
    <w:rsid w:val="00C24E97"/>
    <w:rsid w:val="00C24EFA"/>
    <w:rsid w:val="00C24F88"/>
    <w:rsid w:val="00C2501D"/>
    <w:rsid w:val="00C25053"/>
    <w:rsid w:val="00C25071"/>
    <w:rsid w:val="00C251BC"/>
    <w:rsid w:val="00C252D1"/>
    <w:rsid w:val="00C25415"/>
    <w:rsid w:val="00C25446"/>
    <w:rsid w:val="00C25476"/>
    <w:rsid w:val="00C254B5"/>
    <w:rsid w:val="00C256F8"/>
    <w:rsid w:val="00C25766"/>
    <w:rsid w:val="00C2584C"/>
    <w:rsid w:val="00C2588D"/>
    <w:rsid w:val="00C25907"/>
    <w:rsid w:val="00C25B65"/>
    <w:rsid w:val="00C25BB2"/>
    <w:rsid w:val="00C25BD7"/>
    <w:rsid w:val="00C25C05"/>
    <w:rsid w:val="00C25D15"/>
    <w:rsid w:val="00C25D30"/>
    <w:rsid w:val="00C25D36"/>
    <w:rsid w:val="00C25D59"/>
    <w:rsid w:val="00C25DEC"/>
    <w:rsid w:val="00C25E15"/>
    <w:rsid w:val="00C25EC3"/>
    <w:rsid w:val="00C25EF9"/>
    <w:rsid w:val="00C26058"/>
    <w:rsid w:val="00C26117"/>
    <w:rsid w:val="00C26151"/>
    <w:rsid w:val="00C261AF"/>
    <w:rsid w:val="00C263B8"/>
    <w:rsid w:val="00C263C3"/>
    <w:rsid w:val="00C26496"/>
    <w:rsid w:val="00C26591"/>
    <w:rsid w:val="00C265ED"/>
    <w:rsid w:val="00C26626"/>
    <w:rsid w:val="00C2662D"/>
    <w:rsid w:val="00C26666"/>
    <w:rsid w:val="00C26747"/>
    <w:rsid w:val="00C267AC"/>
    <w:rsid w:val="00C26890"/>
    <w:rsid w:val="00C268A8"/>
    <w:rsid w:val="00C26965"/>
    <w:rsid w:val="00C269CB"/>
    <w:rsid w:val="00C26A49"/>
    <w:rsid w:val="00C26AEA"/>
    <w:rsid w:val="00C26B5A"/>
    <w:rsid w:val="00C26B6B"/>
    <w:rsid w:val="00C26B83"/>
    <w:rsid w:val="00C26BAF"/>
    <w:rsid w:val="00C26BBC"/>
    <w:rsid w:val="00C26C2E"/>
    <w:rsid w:val="00C26C4F"/>
    <w:rsid w:val="00C26DEE"/>
    <w:rsid w:val="00C26E4E"/>
    <w:rsid w:val="00C26FD9"/>
    <w:rsid w:val="00C26FDD"/>
    <w:rsid w:val="00C27054"/>
    <w:rsid w:val="00C270B8"/>
    <w:rsid w:val="00C270E2"/>
    <w:rsid w:val="00C27150"/>
    <w:rsid w:val="00C27218"/>
    <w:rsid w:val="00C273A0"/>
    <w:rsid w:val="00C27460"/>
    <w:rsid w:val="00C27509"/>
    <w:rsid w:val="00C27570"/>
    <w:rsid w:val="00C27621"/>
    <w:rsid w:val="00C2763B"/>
    <w:rsid w:val="00C27647"/>
    <w:rsid w:val="00C27687"/>
    <w:rsid w:val="00C27751"/>
    <w:rsid w:val="00C27777"/>
    <w:rsid w:val="00C27864"/>
    <w:rsid w:val="00C27A52"/>
    <w:rsid w:val="00C27A8F"/>
    <w:rsid w:val="00C27AAF"/>
    <w:rsid w:val="00C27B04"/>
    <w:rsid w:val="00C27B17"/>
    <w:rsid w:val="00C27B9F"/>
    <w:rsid w:val="00C27BF9"/>
    <w:rsid w:val="00C27C03"/>
    <w:rsid w:val="00C27C1F"/>
    <w:rsid w:val="00C27C75"/>
    <w:rsid w:val="00C27C94"/>
    <w:rsid w:val="00C27CEC"/>
    <w:rsid w:val="00C27D20"/>
    <w:rsid w:val="00C27D60"/>
    <w:rsid w:val="00C27E08"/>
    <w:rsid w:val="00C27EA9"/>
    <w:rsid w:val="00C27F13"/>
    <w:rsid w:val="00C30015"/>
    <w:rsid w:val="00C3001E"/>
    <w:rsid w:val="00C3004F"/>
    <w:rsid w:val="00C3007A"/>
    <w:rsid w:val="00C30095"/>
    <w:rsid w:val="00C300FF"/>
    <w:rsid w:val="00C30166"/>
    <w:rsid w:val="00C301E9"/>
    <w:rsid w:val="00C30325"/>
    <w:rsid w:val="00C30394"/>
    <w:rsid w:val="00C3050C"/>
    <w:rsid w:val="00C3051A"/>
    <w:rsid w:val="00C3053F"/>
    <w:rsid w:val="00C30556"/>
    <w:rsid w:val="00C30583"/>
    <w:rsid w:val="00C305E5"/>
    <w:rsid w:val="00C3064E"/>
    <w:rsid w:val="00C30791"/>
    <w:rsid w:val="00C30794"/>
    <w:rsid w:val="00C307E7"/>
    <w:rsid w:val="00C3084F"/>
    <w:rsid w:val="00C30852"/>
    <w:rsid w:val="00C30934"/>
    <w:rsid w:val="00C30B2A"/>
    <w:rsid w:val="00C30B3D"/>
    <w:rsid w:val="00C30B55"/>
    <w:rsid w:val="00C30C28"/>
    <w:rsid w:val="00C30C3D"/>
    <w:rsid w:val="00C30C41"/>
    <w:rsid w:val="00C30C7B"/>
    <w:rsid w:val="00C30CB1"/>
    <w:rsid w:val="00C30D98"/>
    <w:rsid w:val="00C30E5C"/>
    <w:rsid w:val="00C30FAC"/>
    <w:rsid w:val="00C31058"/>
    <w:rsid w:val="00C31092"/>
    <w:rsid w:val="00C31195"/>
    <w:rsid w:val="00C311BF"/>
    <w:rsid w:val="00C312D2"/>
    <w:rsid w:val="00C3132D"/>
    <w:rsid w:val="00C31457"/>
    <w:rsid w:val="00C3146D"/>
    <w:rsid w:val="00C3147C"/>
    <w:rsid w:val="00C31490"/>
    <w:rsid w:val="00C31501"/>
    <w:rsid w:val="00C31534"/>
    <w:rsid w:val="00C3156B"/>
    <w:rsid w:val="00C315C1"/>
    <w:rsid w:val="00C31615"/>
    <w:rsid w:val="00C3163E"/>
    <w:rsid w:val="00C31693"/>
    <w:rsid w:val="00C31718"/>
    <w:rsid w:val="00C3172C"/>
    <w:rsid w:val="00C3177A"/>
    <w:rsid w:val="00C318FB"/>
    <w:rsid w:val="00C3191D"/>
    <w:rsid w:val="00C3192D"/>
    <w:rsid w:val="00C31A29"/>
    <w:rsid w:val="00C31AEB"/>
    <w:rsid w:val="00C31B51"/>
    <w:rsid w:val="00C31B73"/>
    <w:rsid w:val="00C31BD9"/>
    <w:rsid w:val="00C31C79"/>
    <w:rsid w:val="00C31D15"/>
    <w:rsid w:val="00C31DC6"/>
    <w:rsid w:val="00C31E2C"/>
    <w:rsid w:val="00C31EC5"/>
    <w:rsid w:val="00C31EEB"/>
    <w:rsid w:val="00C31FB6"/>
    <w:rsid w:val="00C32155"/>
    <w:rsid w:val="00C3216E"/>
    <w:rsid w:val="00C321C4"/>
    <w:rsid w:val="00C32306"/>
    <w:rsid w:val="00C3232B"/>
    <w:rsid w:val="00C3235C"/>
    <w:rsid w:val="00C32375"/>
    <w:rsid w:val="00C32447"/>
    <w:rsid w:val="00C32514"/>
    <w:rsid w:val="00C32542"/>
    <w:rsid w:val="00C3259A"/>
    <w:rsid w:val="00C32636"/>
    <w:rsid w:val="00C327BD"/>
    <w:rsid w:val="00C327F5"/>
    <w:rsid w:val="00C32816"/>
    <w:rsid w:val="00C328A0"/>
    <w:rsid w:val="00C328BC"/>
    <w:rsid w:val="00C32973"/>
    <w:rsid w:val="00C32986"/>
    <w:rsid w:val="00C32A37"/>
    <w:rsid w:val="00C32BD1"/>
    <w:rsid w:val="00C32CE5"/>
    <w:rsid w:val="00C32D46"/>
    <w:rsid w:val="00C32DD8"/>
    <w:rsid w:val="00C32DDE"/>
    <w:rsid w:val="00C32E89"/>
    <w:rsid w:val="00C32EE3"/>
    <w:rsid w:val="00C32F24"/>
    <w:rsid w:val="00C32F30"/>
    <w:rsid w:val="00C32F34"/>
    <w:rsid w:val="00C32F42"/>
    <w:rsid w:val="00C32FC8"/>
    <w:rsid w:val="00C330A6"/>
    <w:rsid w:val="00C330D3"/>
    <w:rsid w:val="00C331DB"/>
    <w:rsid w:val="00C332CF"/>
    <w:rsid w:val="00C332D9"/>
    <w:rsid w:val="00C3332C"/>
    <w:rsid w:val="00C33376"/>
    <w:rsid w:val="00C333D0"/>
    <w:rsid w:val="00C33408"/>
    <w:rsid w:val="00C33485"/>
    <w:rsid w:val="00C334CF"/>
    <w:rsid w:val="00C334E8"/>
    <w:rsid w:val="00C33567"/>
    <w:rsid w:val="00C335D0"/>
    <w:rsid w:val="00C335F8"/>
    <w:rsid w:val="00C33611"/>
    <w:rsid w:val="00C3364F"/>
    <w:rsid w:val="00C336D9"/>
    <w:rsid w:val="00C338C9"/>
    <w:rsid w:val="00C338F7"/>
    <w:rsid w:val="00C33A9B"/>
    <w:rsid w:val="00C33B7C"/>
    <w:rsid w:val="00C33C32"/>
    <w:rsid w:val="00C33CDC"/>
    <w:rsid w:val="00C33CF3"/>
    <w:rsid w:val="00C33D37"/>
    <w:rsid w:val="00C33DFD"/>
    <w:rsid w:val="00C33E33"/>
    <w:rsid w:val="00C33EF2"/>
    <w:rsid w:val="00C33F10"/>
    <w:rsid w:val="00C33F15"/>
    <w:rsid w:val="00C33FDC"/>
    <w:rsid w:val="00C34055"/>
    <w:rsid w:val="00C340D5"/>
    <w:rsid w:val="00C34136"/>
    <w:rsid w:val="00C341D6"/>
    <w:rsid w:val="00C34228"/>
    <w:rsid w:val="00C343B5"/>
    <w:rsid w:val="00C3447B"/>
    <w:rsid w:val="00C344D9"/>
    <w:rsid w:val="00C344EC"/>
    <w:rsid w:val="00C34521"/>
    <w:rsid w:val="00C34548"/>
    <w:rsid w:val="00C3457A"/>
    <w:rsid w:val="00C345DD"/>
    <w:rsid w:val="00C345FF"/>
    <w:rsid w:val="00C34604"/>
    <w:rsid w:val="00C3463C"/>
    <w:rsid w:val="00C34642"/>
    <w:rsid w:val="00C3471B"/>
    <w:rsid w:val="00C3477E"/>
    <w:rsid w:val="00C347A3"/>
    <w:rsid w:val="00C347D9"/>
    <w:rsid w:val="00C3493C"/>
    <w:rsid w:val="00C349B5"/>
    <w:rsid w:val="00C34AAD"/>
    <w:rsid w:val="00C34AF5"/>
    <w:rsid w:val="00C34B3D"/>
    <w:rsid w:val="00C34C45"/>
    <w:rsid w:val="00C34C51"/>
    <w:rsid w:val="00C34C65"/>
    <w:rsid w:val="00C34D74"/>
    <w:rsid w:val="00C34DA5"/>
    <w:rsid w:val="00C34DF8"/>
    <w:rsid w:val="00C34E2A"/>
    <w:rsid w:val="00C34F48"/>
    <w:rsid w:val="00C34F8C"/>
    <w:rsid w:val="00C350C0"/>
    <w:rsid w:val="00C350F2"/>
    <w:rsid w:val="00C3511B"/>
    <w:rsid w:val="00C3511E"/>
    <w:rsid w:val="00C35149"/>
    <w:rsid w:val="00C3516C"/>
    <w:rsid w:val="00C3524B"/>
    <w:rsid w:val="00C35267"/>
    <w:rsid w:val="00C352D7"/>
    <w:rsid w:val="00C35320"/>
    <w:rsid w:val="00C353B9"/>
    <w:rsid w:val="00C353BF"/>
    <w:rsid w:val="00C35538"/>
    <w:rsid w:val="00C35574"/>
    <w:rsid w:val="00C355A0"/>
    <w:rsid w:val="00C355E4"/>
    <w:rsid w:val="00C356D0"/>
    <w:rsid w:val="00C35775"/>
    <w:rsid w:val="00C357D5"/>
    <w:rsid w:val="00C358A3"/>
    <w:rsid w:val="00C35A4A"/>
    <w:rsid w:val="00C35A9A"/>
    <w:rsid w:val="00C35B00"/>
    <w:rsid w:val="00C35B6B"/>
    <w:rsid w:val="00C35C29"/>
    <w:rsid w:val="00C35C5D"/>
    <w:rsid w:val="00C35C88"/>
    <w:rsid w:val="00C35D1B"/>
    <w:rsid w:val="00C35D39"/>
    <w:rsid w:val="00C35E4B"/>
    <w:rsid w:val="00C35E57"/>
    <w:rsid w:val="00C35E80"/>
    <w:rsid w:val="00C35ED3"/>
    <w:rsid w:val="00C36116"/>
    <w:rsid w:val="00C36135"/>
    <w:rsid w:val="00C3618B"/>
    <w:rsid w:val="00C361AC"/>
    <w:rsid w:val="00C362C0"/>
    <w:rsid w:val="00C3632E"/>
    <w:rsid w:val="00C363CA"/>
    <w:rsid w:val="00C363CC"/>
    <w:rsid w:val="00C3645D"/>
    <w:rsid w:val="00C36498"/>
    <w:rsid w:val="00C36576"/>
    <w:rsid w:val="00C3667A"/>
    <w:rsid w:val="00C366AA"/>
    <w:rsid w:val="00C368D5"/>
    <w:rsid w:val="00C369DD"/>
    <w:rsid w:val="00C36ABD"/>
    <w:rsid w:val="00C36AEF"/>
    <w:rsid w:val="00C36AFE"/>
    <w:rsid w:val="00C36B42"/>
    <w:rsid w:val="00C36C17"/>
    <w:rsid w:val="00C36D06"/>
    <w:rsid w:val="00C36DD3"/>
    <w:rsid w:val="00C36DDB"/>
    <w:rsid w:val="00C36E12"/>
    <w:rsid w:val="00C36E20"/>
    <w:rsid w:val="00C36F44"/>
    <w:rsid w:val="00C36F82"/>
    <w:rsid w:val="00C3709E"/>
    <w:rsid w:val="00C370C0"/>
    <w:rsid w:val="00C371A0"/>
    <w:rsid w:val="00C371D8"/>
    <w:rsid w:val="00C37243"/>
    <w:rsid w:val="00C37251"/>
    <w:rsid w:val="00C37284"/>
    <w:rsid w:val="00C3739A"/>
    <w:rsid w:val="00C374DE"/>
    <w:rsid w:val="00C374E2"/>
    <w:rsid w:val="00C374F9"/>
    <w:rsid w:val="00C37586"/>
    <w:rsid w:val="00C375E2"/>
    <w:rsid w:val="00C3761C"/>
    <w:rsid w:val="00C37675"/>
    <w:rsid w:val="00C37689"/>
    <w:rsid w:val="00C3771F"/>
    <w:rsid w:val="00C3774C"/>
    <w:rsid w:val="00C37816"/>
    <w:rsid w:val="00C37A23"/>
    <w:rsid w:val="00C37B09"/>
    <w:rsid w:val="00C37B63"/>
    <w:rsid w:val="00C37D19"/>
    <w:rsid w:val="00C37D7F"/>
    <w:rsid w:val="00C37DFB"/>
    <w:rsid w:val="00C37E4B"/>
    <w:rsid w:val="00C40012"/>
    <w:rsid w:val="00C4001B"/>
    <w:rsid w:val="00C40037"/>
    <w:rsid w:val="00C4005E"/>
    <w:rsid w:val="00C40060"/>
    <w:rsid w:val="00C400A3"/>
    <w:rsid w:val="00C400E1"/>
    <w:rsid w:val="00C400EC"/>
    <w:rsid w:val="00C40303"/>
    <w:rsid w:val="00C40401"/>
    <w:rsid w:val="00C40494"/>
    <w:rsid w:val="00C40533"/>
    <w:rsid w:val="00C4057E"/>
    <w:rsid w:val="00C405C4"/>
    <w:rsid w:val="00C40634"/>
    <w:rsid w:val="00C406A0"/>
    <w:rsid w:val="00C40732"/>
    <w:rsid w:val="00C4073D"/>
    <w:rsid w:val="00C40822"/>
    <w:rsid w:val="00C408C9"/>
    <w:rsid w:val="00C40993"/>
    <w:rsid w:val="00C409C7"/>
    <w:rsid w:val="00C40AB0"/>
    <w:rsid w:val="00C40B36"/>
    <w:rsid w:val="00C40D26"/>
    <w:rsid w:val="00C40D69"/>
    <w:rsid w:val="00C40DAE"/>
    <w:rsid w:val="00C40E2D"/>
    <w:rsid w:val="00C40F47"/>
    <w:rsid w:val="00C40F88"/>
    <w:rsid w:val="00C4104F"/>
    <w:rsid w:val="00C41175"/>
    <w:rsid w:val="00C411B4"/>
    <w:rsid w:val="00C4122E"/>
    <w:rsid w:val="00C4136C"/>
    <w:rsid w:val="00C41380"/>
    <w:rsid w:val="00C41386"/>
    <w:rsid w:val="00C4159C"/>
    <w:rsid w:val="00C415DA"/>
    <w:rsid w:val="00C41692"/>
    <w:rsid w:val="00C4169C"/>
    <w:rsid w:val="00C416FA"/>
    <w:rsid w:val="00C41867"/>
    <w:rsid w:val="00C418B1"/>
    <w:rsid w:val="00C41A91"/>
    <w:rsid w:val="00C41B0E"/>
    <w:rsid w:val="00C41CDC"/>
    <w:rsid w:val="00C41D4C"/>
    <w:rsid w:val="00C41D73"/>
    <w:rsid w:val="00C41DEA"/>
    <w:rsid w:val="00C41E44"/>
    <w:rsid w:val="00C41FA1"/>
    <w:rsid w:val="00C41FC5"/>
    <w:rsid w:val="00C420AF"/>
    <w:rsid w:val="00C420B3"/>
    <w:rsid w:val="00C42129"/>
    <w:rsid w:val="00C4216C"/>
    <w:rsid w:val="00C42228"/>
    <w:rsid w:val="00C4223D"/>
    <w:rsid w:val="00C422A9"/>
    <w:rsid w:val="00C4236D"/>
    <w:rsid w:val="00C42397"/>
    <w:rsid w:val="00C42448"/>
    <w:rsid w:val="00C424B1"/>
    <w:rsid w:val="00C424FE"/>
    <w:rsid w:val="00C42513"/>
    <w:rsid w:val="00C425AC"/>
    <w:rsid w:val="00C425CB"/>
    <w:rsid w:val="00C427B3"/>
    <w:rsid w:val="00C427BB"/>
    <w:rsid w:val="00C427C7"/>
    <w:rsid w:val="00C428B4"/>
    <w:rsid w:val="00C428DF"/>
    <w:rsid w:val="00C42920"/>
    <w:rsid w:val="00C42927"/>
    <w:rsid w:val="00C42950"/>
    <w:rsid w:val="00C42A44"/>
    <w:rsid w:val="00C42A4B"/>
    <w:rsid w:val="00C42A82"/>
    <w:rsid w:val="00C42ACC"/>
    <w:rsid w:val="00C42BE5"/>
    <w:rsid w:val="00C42CF7"/>
    <w:rsid w:val="00C42D1E"/>
    <w:rsid w:val="00C42D8A"/>
    <w:rsid w:val="00C42DAE"/>
    <w:rsid w:val="00C42E29"/>
    <w:rsid w:val="00C42E67"/>
    <w:rsid w:val="00C42EA6"/>
    <w:rsid w:val="00C42F37"/>
    <w:rsid w:val="00C43032"/>
    <w:rsid w:val="00C43110"/>
    <w:rsid w:val="00C43146"/>
    <w:rsid w:val="00C431BB"/>
    <w:rsid w:val="00C431D0"/>
    <w:rsid w:val="00C43286"/>
    <w:rsid w:val="00C43311"/>
    <w:rsid w:val="00C43335"/>
    <w:rsid w:val="00C43423"/>
    <w:rsid w:val="00C4342D"/>
    <w:rsid w:val="00C4344C"/>
    <w:rsid w:val="00C43531"/>
    <w:rsid w:val="00C4359F"/>
    <w:rsid w:val="00C435F4"/>
    <w:rsid w:val="00C43615"/>
    <w:rsid w:val="00C43620"/>
    <w:rsid w:val="00C43631"/>
    <w:rsid w:val="00C4363E"/>
    <w:rsid w:val="00C43695"/>
    <w:rsid w:val="00C43791"/>
    <w:rsid w:val="00C437B4"/>
    <w:rsid w:val="00C43866"/>
    <w:rsid w:val="00C43999"/>
    <w:rsid w:val="00C43BEE"/>
    <w:rsid w:val="00C43C14"/>
    <w:rsid w:val="00C43C99"/>
    <w:rsid w:val="00C43CEC"/>
    <w:rsid w:val="00C43D97"/>
    <w:rsid w:val="00C43DB1"/>
    <w:rsid w:val="00C43DFA"/>
    <w:rsid w:val="00C43EAF"/>
    <w:rsid w:val="00C43F9A"/>
    <w:rsid w:val="00C43FAC"/>
    <w:rsid w:val="00C43FC4"/>
    <w:rsid w:val="00C440B5"/>
    <w:rsid w:val="00C4414C"/>
    <w:rsid w:val="00C44163"/>
    <w:rsid w:val="00C441D7"/>
    <w:rsid w:val="00C44204"/>
    <w:rsid w:val="00C44265"/>
    <w:rsid w:val="00C44335"/>
    <w:rsid w:val="00C4445E"/>
    <w:rsid w:val="00C444F1"/>
    <w:rsid w:val="00C44620"/>
    <w:rsid w:val="00C44646"/>
    <w:rsid w:val="00C44681"/>
    <w:rsid w:val="00C44766"/>
    <w:rsid w:val="00C449A3"/>
    <w:rsid w:val="00C449C0"/>
    <w:rsid w:val="00C44AD4"/>
    <w:rsid w:val="00C44B51"/>
    <w:rsid w:val="00C44C02"/>
    <w:rsid w:val="00C44C10"/>
    <w:rsid w:val="00C44CF0"/>
    <w:rsid w:val="00C44D3E"/>
    <w:rsid w:val="00C44DEA"/>
    <w:rsid w:val="00C44E31"/>
    <w:rsid w:val="00C44FCB"/>
    <w:rsid w:val="00C4500C"/>
    <w:rsid w:val="00C45016"/>
    <w:rsid w:val="00C45037"/>
    <w:rsid w:val="00C45058"/>
    <w:rsid w:val="00C45063"/>
    <w:rsid w:val="00C45069"/>
    <w:rsid w:val="00C45133"/>
    <w:rsid w:val="00C4515C"/>
    <w:rsid w:val="00C45161"/>
    <w:rsid w:val="00C45173"/>
    <w:rsid w:val="00C4521F"/>
    <w:rsid w:val="00C452A5"/>
    <w:rsid w:val="00C452D6"/>
    <w:rsid w:val="00C452D9"/>
    <w:rsid w:val="00C453D1"/>
    <w:rsid w:val="00C4547B"/>
    <w:rsid w:val="00C4565A"/>
    <w:rsid w:val="00C45693"/>
    <w:rsid w:val="00C45698"/>
    <w:rsid w:val="00C456A1"/>
    <w:rsid w:val="00C456E9"/>
    <w:rsid w:val="00C45701"/>
    <w:rsid w:val="00C4577D"/>
    <w:rsid w:val="00C457CF"/>
    <w:rsid w:val="00C45877"/>
    <w:rsid w:val="00C4587F"/>
    <w:rsid w:val="00C458CE"/>
    <w:rsid w:val="00C459AD"/>
    <w:rsid w:val="00C45A65"/>
    <w:rsid w:val="00C45A9B"/>
    <w:rsid w:val="00C45AA8"/>
    <w:rsid w:val="00C45CE5"/>
    <w:rsid w:val="00C45D6C"/>
    <w:rsid w:val="00C45EC6"/>
    <w:rsid w:val="00C45F83"/>
    <w:rsid w:val="00C45FD3"/>
    <w:rsid w:val="00C4601B"/>
    <w:rsid w:val="00C4604F"/>
    <w:rsid w:val="00C4608F"/>
    <w:rsid w:val="00C460F6"/>
    <w:rsid w:val="00C460FA"/>
    <w:rsid w:val="00C460FE"/>
    <w:rsid w:val="00C4617A"/>
    <w:rsid w:val="00C4618A"/>
    <w:rsid w:val="00C4623E"/>
    <w:rsid w:val="00C46315"/>
    <w:rsid w:val="00C463D7"/>
    <w:rsid w:val="00C46487"/>
    <w:rsid w:val="00C464BF"/>
    <w:rsid w:val="00C464C7"/>
    <w:rsid w:val="00C46522"/>
    <w:rsid w:val="00C46555"/>
    <w:rsid w:val="00C465FF"/>
    <w:rsid w:val="00C46768"/>
    <w:rsid w:val="00C467C0"/>
    <w:rsid w:val="00C467C3"/>
    <w:rsid w:val="00C46854"/>
    <w:rsid w:val="00C468E4"/>
    <w:rsid w:val="00C4691F"/>
    <w:rsid w:val="00C469DC"/>
    <w:rsid w:val="00C46AC5"/>
    <w:rsid w:val="00C46B01"/>
    <w:rsid w:val="00C46B4C"/>
    <w:rsid w:val="00C46B61"/>
    <w:rsid w:val="00C46C3D"/>
    <w:rsid w:val="00C46E0C"/>
    <w:rsid w:val="00C46ECB"/>
    <w:rsid w:val="00C46F89"/>
    <w:rsid w:val="00C46F90"/>
    <w:rsid w:val="00C46FA0"/>
    <w:rsid w:val="00C46FC6"/>
    <w:rsid w:val="00C47071"/>
    <w:rsid w:val="00C471DD"/>
    <w:rsid w:val="00C4720C"/>
    <w:rsid w:val="00C47346"/>
    <w:rsid w:val="00C47358"/>
    <w:rsid w:val="00C473BC"/>
    <w:rsid w:val="00C47426"/>
    <w:rsid w:val="00C4748F"/>
    <w:rsid w:val="00C47565"/>
    <w:rsid w:val="00C47570"/>
    <w:rsid w:val="00C47684"/>
    <w:rsid w:val="00C477FC"/>
    <w:rsid w:val="00C47819"/>
    <w:rsid w:val="00C478CF"/>
    <w:rsid w:val="00C47950"/>
    <w:rsid w:val="00C47973"/>
    <w:rsid w:val="00C47A80"/>
    <w:rsid w:val="00C47B5D"/>
    <w:rsid w:val="00C47C1F"/>
    <w:rsid w:val="00C47C6C"/>
    <w:rsid w:val="00C47CD8"/>
    <w:rsid w:val="00C47D6C"/>
    <w:rsid w:val="00C47DB4"/>
    <w:rsid w:val="00C47DB9"/>
    <w:rsid w:val="00C47DF1"/>
    <w:rsid w:val="00C47E1A"/>
    <w:rsid w:val="00C47E27"/>
    <w:rsid w:val="00C47E68"/>
    <w:rsid w:val="00C47FB4"/>
    <w:rsid w:val="00C47FCE"/>
    <w:rsid w:val="00C47FE8"/>
    <w:rsid w:val="00C5001A"/>
    <w:rsid w:val="00C5008B"/>
    <w:rsid w:val="00C5012A"/>
    <w:rsid w:val="00C50158"/>
    <w:rsid w:val="00C501B1"/>
    <w:rsid w:val="00C50250"/>
    <w:rsid w:val="00C5029C"/>
    <w:rsid w:val="00C5029E"/>
    <w:rsid w:val="00C5031E"/>
    <w:rsid w:val="00C50342"/>
    <w:rsid w:val="00C50371"/>
    <w:rsid w:val="00C50399"/>
    <w:rsid w:val="00C50465"/>
    <w:rsid w:val="00C50506"/>
    <w:rsid w:val="00C50536"/>
    <w:rsid w:val="00C505AD"/>
    <w:rsid w:val="00C505EA"/>
    <w:rsid w:val="00C50630"/>
    <w:rsid w:val="00C506E4"/>
    <w:rsid w:val="00C506FB"/>
    <w:rsid w:val="00C507EB"/>
    <w:rsid w:val="00C508F6"/>
    <w:rsid w:val="00C50941"/>
    <w:rsid w:val="00C50ADC"/>
    <w:rsid w:val="00C50B13"/>
    <w:rsid w:val="00C50B66"/>
    <w:rsid w:val="00C50D70"/>
    <w:rsid w:val="00C50FE1"/>
    <w:rsid w:val="00C5101A"/>
    <w:rsid w:val="00C510C8"/>
    <w:rsid w:val="00C51139"/>
    <w:rsid w:val="00C5116F"/>
    <w:rsid w:val="00C511A3"/>
    <w:rsid w:val="00C511B6"/>
    <w:rsid w:val="00C511ED"/>
    <w:rsid w:val="00C51213"/>
    <w:rsid w:val="00C51350"/>
    <w:rsid w:val="00C513A8"/>
    <w:rsid w:val="00C513BB"/>
    <w:rsid w:val="00C513C5"/>
    <w:rsid w:val="00C51434"/>
    <w:rsid w:val="00C5152C"/>
    <w:rsid w:val="00C51571"/>
    <w:rsid w:val="00C51592"/>
    <w:rsid w:val="00C51669"/>
    <w:rsid w:val="00C51697"/>
    <w:rsid w:val="00C516F4"/>
    <w:rsid w:val="00C5177C"/>
    <w:rsid w:val="00C5177E"/>
    <w:rsid w:val="00C51843"/>
    <w:rsid w:val="00C5187A"/>
    <w:rsid w:val="00C5187C"/>
    <w:rsid w:val="00C51922"/>
    <w:rsid w:val="00C51960"/>
    <w:rsid w:val="00C5197F"/>
    <w:rsid w:val="00C51C1F"/>
    <w:rsid w:val="00C51C7C"/>
    <w:rsid w:val="00C51C85"/>
    <w:rsid w:val="00C51D77"/>
    <w:rsid w:val="00C51DE1"/>
    <w:rsid w:val="00C51E42"/>
    <w:rsid w:val="00C51E74"/>
    <w:rsid w:val="00C52078"/>
    <w:rsid w:val="00C52125"/>
    <w:rsid w:val="00C521C2"/>
    <w:rsid w:val="00C52213"/>
    <w:rsid w:val="00C52228"/>
    <w:rsid w:val="00C52281"/>
    <w:rsid w:val="00C522F0"/>
    <w:rsid w:val="00C5230E"/>
    <w:rsid w:val="00C524EF"/>
    <w:rsid w:val="00C525B6"/>
    <w:rsid w:val="00C526A1"/>
    <w:rsid w:val="00C526A5"/>
    <w:rsid w:val="00C526FF"/>
    <w:rsid w:val="00C5272C"/>
    <w:rsid w:val="00C527E4"/>
    <w:rsid w:val="00C52881"/>
    <w:rsid w:val="00C528B6"/>
    <w:rsid w:val="00C528C9"/>
    <w:rsid w:val="00C52994"/>
    <w:rsid w:val="00C529A2"/>
    <w:rsid w:val="00C52AAF"/>
    <w:rsid w:val="00C52AFE"/>
    <w:rsid w:val="00C52B19"/>
    <w:rsid w:val="00C52C06"/>
    <w:rsid w:val="00C52C32"/>
    <w:rsid w:val="00C52C59"/>
    <w:rsid w:val="00C52CA8"/>
    <w:rsid w:val="00C52D0D"/>
    <w:rsid w:val="00C52DE5"/>
    <w:rsid w:val="00C52DEF"/>
    <w:rsid w:val="00C52E80"/>
    <w:rsid w:val="00C53073"/>
    <w:rsid w:val="00C5321C"/>
    <w:rsid w:val="00C53227"/>
    <w:rsid w:val="00C532D9"/>
    <w:rsid w:val="00C53435"/>
    <w:rsid w:val="00C535C1"/>
    <w:rsid w:val="00C536AA"/>
    <w:rsid w:val="00C5376C"/>
    <w:rsid w:val="00C537B8"/>
    <w:rsid w:val="00C53861"/>
    <w:rsid w:val="00C53882"/>
    <w:rsid w:val="00C53ACB"/>
    <w:rsid w:val="00C53AD6"/>
    <w:rsid w:val="00C53AF8"/>
    <w:rsid w:val="00C53C0A"/>
    <w:rsid w:val="00C53C0E"/>
    <w:rsid w:val="00C53C42"/>
    <w:rsid w:val="00C53E33"/>
    <w:rsid w:val="00C53EE9"/>
    <w:rsid w:val="00C53F03"/>
    <w:rsid w:val="00C5408B"/>
    <w:rsid w:val="00C5418E"/>
    <w:rsid w:val="00C5422D"/>
    <w:rsid w:val="00C54337"/>
    <w:rsid w:val="00C54449"/>
    <w:rsid w:val="00C544F2"/>
    <w:rsid w:val="00C544F3"/>
    <w:rsid w:val="00C54543"/>
    <w:rsid w:val="00C545CC"/>
    <w:rsid w:val="00C545F2"/>
    <w:rsid w:val="00C5466C"/>
    <w:rsid w:val="00C546A9"/>
    <w:rsid w:val="00C546AD"/>
    <w:rsid w:val="00C54723"/>
    <w:rsid w:val="00C547E5"/>
    <w:rsid w:val="00C54852"/>
    <w:rsid w:val="00C548FF"/>
    <w:rsid w:val="00C54946"/>
    <w:rsid w:val="00C54966"/>
    <w:rsid w:val="00C549D0"/>
    <w:rsid w:val="00C54B0B"/>
    <w:rsid w:val="00C54BE9"/>
    <w:rsid w:val="00C54C03"/>
    <w:rsid w:val="00C54CA9"/>
    <w:rsid w:val="00C54CBD"/>
    <w:rsid w:val="00C54D80"/>
    <w:rsid w:val="00C54D8B"/>
    <w:rsid w:val="00C54E45"/>
    <w:rsid w:val="00C54EA1"/>
    <w:rsid w:val="00C54F63"/>
    <w:rsid w:val="00C5500C"/>
    <w:rsid w:val="00C550DB"/>
    <w:rsid w:val="00C550E8"/>
    <w:rsid w:val="00C5525A"/>
    <w:rsid w:val="00C552F5"/>
    <w:rsid w:val="00C552FC"/>
    <w:rsid w:val="00C553DC"/>
    <w:rsid w:val="00C55470"/>
    <w:rsid w:val="00C554EB"/>
    <w:rsid w:val="00C55586"/>
    <w:rsid w:val="00C55690"/>
    <w:rsid w:val="00C5573F"/>
    <w:rsid w:val="00C55958"/>
    <w:rsid w:val="00C559EC"/>
    <w:rsid w:val="00C55A68"/>
    <w:rsid w:val="00C55AED"/>
    <w:rsid w:val="00C55B30"/>
    <w:rsid w:val="00C55C10"/>
    <w:rsid w:val="00C55C47"/>
    <w:rsid w:val="00C55C69"/>
    <w:rsid w:val="00C55D97"/>
    <w:rsid w:val="00C55E31"/>
    <w:rsid w:val="00C55EE9"/>
    <w:rsid w:val="00C55EF3"/>
    <w:rsid w:val="00C55F31"/>
    <w:rsid w:val="00C55FD0"/>
    <w:rsid w:val="00C55FF0"/>
    <w:rsid w:val="00C56032"/>
    <w:rsid w:val="00C56105"/>
    <w:rsid w:val="00C5617E"/>
    <w:rsid w:val="00C562AF"/>
    <w:rsid w:val="00C564DA"/>
    <w:rsid w:val="00C5656C"/>
    <w:rsid w:val="00C565EA"/>
    <w:rsid w:val="00C566BC"/>
    <w:rsid w:val="00C566E6"/>
    <w:rsid w:val="00C567C3"/>
    <w:rsid w:val="00C567CE"/>
    <w:rsid w:val="00C56947"/>
    <w:rsid w:val="00C56A0C"/>
    <w:rsid w:val="00C56C07"/>
    <w:rsid w:val="00C56C2D"/>
    <w:rsid w:val="00C56DC3"/>
    <w:rsid w:val="00C56DCA"/>
    <w:rsid w:val="00C56F61"/>
    <w:rsid w:val="00C56FC0"/>
    <w:rsid w:val="00C57045"/>
    <w:rsid w:val="00C570B2"/>
    <w:rsid w:val="00C570CC"/>
    <w:rsid w:val="00C570F8"/>
    <w:rsid w:val="00C571E2"/>
    <w:rsid w:val="00C5726E"/>
    <w:rsid w:val="00C572AD"/>
    <w:rsid w:val="00C572FB"/>
    <w:rsid w:val="00C572FE"/>
    <w:rsid w:val="00C5731C"/>
    <w:rsid w:val="00C5736D"/>
    <w:rsid w:val="00C573EF"/>
    <w:rsid w:val="00C57414"/>
    <w:rsid w:val="00C5745C"/>
    <w:rsid w:val="00C574FB"/>
    <w:rsid w:val="00C57535"/>
    <w:rsid w:val="00C5758F"/>
    <w:rsid w:val="00C575F9"/>
    <w:rsid w:val="00C5761A"/>
    <w:rsid w:val="00C5768C"/>
    <w:rsid w:val="00C577C6"/>
    <w:rsid w:val="00C5788F"/>
    <w:rsid w:val="00C57905"/>
    <w:rsid w:val="00C57915"/>
    <w:rsid w:val="00C57A4B"/>
    <w:rsid w:val="00C57A7E"/>
    <w:rsid w:val="00C57A8A"/>
    <w:rsid w:val="00C57B15"/>
    <w:rsid w:val="00C57B16"/>
    <w:rsid w:val="00C57B9E"/>
    <w:rsid w:val="00C57BF4"/>
    <w:rsid w:val="00C57D1F"/>
    <w:rsid w:val="00C57D74"/>
    <w:rsid w:val="00C57E0D"/>
    <w:rsid w:val="00C57FE6"/>
    <w:rsid w:val="00C60138"/>
    <w:rsid w:val="00C602CC"/>
    <w:rsid w:val="00C60329"/>
    <w:rsid w:val="00C60354"/>
    <w:rsid w:val="00C6036D"/>
    <w:rsid w:val="00C603D5"/>
    <w:rsid w:val="00C6045E"/>
    <w:rsid w:val="00C604D5"/>
    <w:rsid w:val="00C604E2"/>
    <w:rsid w:val="00C6050E"/>
    <w:rsid w:val="00C60539"/>
    <w:rsid w:val="00C60549"/>
    <w:rsid w:val="00C605C8"/>
    <w:rsid w:val="00C60813"/>
    <w:rsid w:val="00C608AC"/>
    <w:rsid w:val="00C60930"/>
    <w:rsid w:val="00C60961"/>
    <w:rsid w:val="00C609BC"/>
    <w:rsid w:val="00C609C0"/>
    <w:rsid w:val="00C60A04"/>
    <w:rsid w:val="00C60A29"/>
    <w:rsid w:val="00C60A69"/>
    <w:rsid w:val="00C60ACD"/>
    <w:rsid w:val="00C60B4A"/>
    <w:rsid w:val="00C60BED"/>
    <w:rsid w:val="00C60C13"/>
    <w:rsid w:val="00C60C6A"/>
    <w:rsid w:val="00C60D0C"/>
    <w:rsid w:val="00C60D3B"/>
    <w:rsid w:val="00C60D81"/>
    <w:rsid w:val="00C60D91"/>
    <w:rsid w:val="00C60E16"/>
    <w:rsid w:val="00C60F7E"/>
    <w:rsid w:val="00C60FF0"/>
    <w:rsid w:val="00C61069"/>
    <w:rsid w:val="00C610BE"/>
    <w:rsid w:val="00C6110A"/>
    <w:rsid w:val="00C6122D"/>
    <w:rsid w:val="00C61305"/>
    <w:rsid w:val="00C61335"/>
    <w:rsid w:val="00C61387"/>
    <w:rsid w:val="00C613CB"/>
    <w:rsid w:val="00C61402"/>
    <w:rsid w:val="00C61512"/>
    <w:rsid w:val="00C6158F"/>
    <w:rsid w:val="00C61591"/>
    <w:rsid w:val="00C615C4"/>
    <w:rsid w:val="00C61600"/>
    <w:rsid w:val="00C616AE"/>
    <w:rsid w:val="00C616F5"/>
    <w:rsid w:val="00C6172B"/>
    <w:rsid w:val="00C61822"/>
    <w:rsid w:val="00C6185C"/>
    <w:rsid w:val="00C61894"/>
    <w:rsid w:val="00C618A9"/>
    <w:rsid w:val="00C618F4"/>
    <w:rsid w:val="00C6196E"/>
    <w:rsid w:val="00C619B9"/>
    <w:rsid w:val="00C61AA1"/>
    <w:rsid w:val="00C61AAC"/>
    <w:rsid w:val="00C61C0C"/>
    <w:rsid w:val="00C61C45"/>
    <w:rsid w:val="00C61D9F"/>
    <w:rsid w:val="00C61F48"/>
    <w:rsid w:val="00C61FA5"/>
    <w:rsid w:val="00C61FD9"/>
    <w:rsid w:val="00C62138"/>
    <w:rsid w:val="00C6215D"/>
    <w:rsid w:val="00C62213"/>
    <w:rsid w:val="00C62395"/>
    <w:rsid w:val="00C623CE"/>
    <w:rsid w:val="00C623E3"/>
    <w:rsid w:val="00C6253D"/>
    <w:rsid w:val="00C626F5"/>
    <w:rsid w:val="00C62708"/>
    <w:rsid w:val="00C62725"/>
    <w:rsid w:val="00C62756"/>
    <w:rsid w:val="00C62786"/>
    <w:rsid w:val="00C627E4"/>
    <w:rsid w:val="00C6293B"/>
    <w:rsid w:val="00C629B9"/>
    <w:rsid w:val="00C62AD6"/>
    <w:rsid w:val="00C62B30"/>
    <w:rsid w:val="00C62C10"/>
    <w:rsid w:val="00C62C6B"/>
    <w:rsid w:val="00C62CB1"/>
    <w:rsid w:val="00C62CF1"/>
    <w:rsid w:val="00C62DD6"/>
    <w:rsid w:val="00C62E25"/>
    <w:rsid w:val="00C62F2F"/>
    <w:rsid w:val="00C62F81"/>
    <w:rsid w:val="00C63042"/>
    <w:rsid w:val="00C6306A"/>
    <w:rsid w:val="00C6308B"/>
    <w:rsid w:val="00C63094"/>
    <w:rsid w:val="00C630AB"/>
    <w:rsid w:val="00C630D1"/>
    <w:rsid w:val="00C630FB"/>
    <w:rsid w:val="00C63273"/>
    <w:rsid w:val="00C6331B"/>
    <w:rsid w:val="00C63405"/>
    <w:rsid w:val="00C63421"/>
    <w:rsid w:val="00C63428"/>
    <w:rsid w:val="00C6345F"/>
    <w:rsid w:val="00C63594"/>
    <w:rsid w:val="00C63607"/>
    <w:rsid w:val="00C636BA"/>
    <w:rsid w:val="00C6371A"/>
    <w:rsid w:val="00C6375A"/>
    <w:rsid w:val="00C63866"/>
    <w:rsid w:val="00C638A3"/>
    <w:rsid w:val="00C638C7"/>
    <w:rsid w:val="00C639CE"/>
    <w:rsid w:val="00C639E3"/>
    <w:rsid w:val="00C63A08"/>
    <w:rsid w:val="00C63B28"/>
    <w:rsid w:val="00C63B9B"/>
    <w:rsid w:val="00C63C7C"/>
    <w:rsid w:val="00C63D9F"/>
    <w:rsid w:val="00C63DE4"/>
    <w:rsid w:val="00C63EE3"/>
    <w:rsid w:val="00C63EEF"/>
    <w:rsid w:val="00C63FF4"/>
    <w:rsid w:val="00C64056"/>
    <w:rsid w:val="00C640C6"/>
    <w:rsid w:val="00C6411C"/>
    <w:rsid w:val="00C64168"/>
    <w:rsid w:val="00C641DF"/>
    <w:rsid w:val="00C64292"/>
    <w:rsid w:val="00C64387"/>
    <w:rsid w:val="00C643E4"/>
    <w:rsid w:val="00C6441B"/>
    <w:rsid w:val="00C64588"/>
    <w:rsid w:val="00C6460D"/>
    <w:rsid w:val="00C6469D"/>
    <w:rsid w:val="00C646B2"/>
    <w:rsid w:val="00C64722"/>
    <w:rsid w:val="00C64727"/>
    <w:rsid w:val="00C64847"/>
    <w:rsid w:val="00C648B0"/>
    <w:rsid w:val="00C649B8"/>
    <w:rsid w:val="00C64AED"/>
    <w:rsid w:val="00C64B0A"/>
    <w:rsid w:val="00C64B66"/>
    <w:rsid w:val="00C64BC5"/>
    <w:rsid w:val="00C64BFB"/>
    <w:rsid w:val="00C64D15"/>
    <w:rsid w:val="00C64D1E"/>
    <w:rsid w:val="00C64DA7"/>
    <w:rsid w:val="00C64ED9"/>
    <w:rsid w:val="00C64FB2"/>
    <w:rsid w:val="00C64FE2"/>
    <w:rsid w:val="00C650CD"/>
    <w:rsid w:val="00C65136"/>
    <w:rsid w:val="00C65695"/>
    <w:rsid w:val="00C656B9"/>
    <w:rsid w:val="00C65752"/>
    <w:rsid w:val="00C657C9"/>
    <w:rsid w:val="00C657D7"/>
    <w:rsid w:val="00C65805"/>
    <w:rsid w:val="00C65971"/>
    <w:rsid w:val="00C65A9C"/>
    <w:rsid w:val="00C65B1C"/>
    <w:rsid w:val="00C65B92"/>
    <w:rsid w:val="00C65BA4"/>
    <w:rsid w:val="00C65C01"/>
    <w:rsid w:val="00C65C82"/>
    <w:rsid w:val="00C65CB6"/>
    <w:rsid w:val="00C65EC9"/>
    <w:rsid w:val="00C65FA6"/>
    <w:rsid w:val="00C66069"/>
    <w:rsid w:val="00C660B6"/>
    <w:rsid w:val="00C660E7"/>
    <w:rsid w:val="00C66152"/>
    <w:rsid w:val="00C6618D"/>
    <w:rsid w:val="00C661A3"/>
    <w:rsid w:val="00C662A3"/>
    <w:rsid w:val="00C664D2"/>
    <w:rsid w:val="00C66563"/>
    <w:rsid w:val="00C66685"/>
    <w:rsid w:val="00C6671E"/>
    <w:rsid w:val="00C6672B"/>
    <w:rsid w:val="00C6673A"/>
    <w:rsid w:val="00C667EF"/>
    <w:rsid w:val="00C66994"/>
    <w:rsid w:val="00C66A4B"/>
    <w:rsid w:val="00C66AF6"/>
    <w:rsid w:val="00C66D00"/>
    <w:rsid w:val="00C66D1D"/>
    <w:rsid w:val="00C66D92"/>
    <w:rsid w:val="00C66E7E"/>
    <w:rsid w:val="00C66EE7"/>
    <w:rsid w:val="00C66F6F"/>
    <w:rsid w:val="00C66F89"/>
    <w:rsid w:val="00C6709D"/>
    <w:rsid w:val="00C6713F"/>
    <w:rsid w:val="00C673D3"/>
    <w:rsid w:val="00C67412"/>
    <w:rsid w:val="00C67495"/>
    <w:rsid w:val="00C67522"/>
    <w:rsid w:val="00C67551"/>
    <w:rsid w:val="00C67583"/>
    <w:rsid w:val="00C67625"/>
    <w:rsid w:val="00C6766A"/>
    <w:rsid w:val="00C67676"/>
    <w:rsid w:val="00C67679"/>
    <w:rsid w:val="00C676F6"/>
    <w:rsid w:val="00C67706"/>
    <w:rsid w:val="00C6778C"/>
    <w:rsid w:val="00C677C6"/>
    <w:rsid w:val="00C67897"/>
    <w:rsid w:val="00C6791A"/>
    <w:rsid w:val="00C6799F"/>
    <w:rsid w:val="00C679C4"/>
    <w:rsid w:val="00C679D1"/>
    <w:rsid w:val="00C67A60"/>
    <w:rsid w:val="00C67BBE"/>
    <w:rsid w:val="00C67BFF"/>
    <w:rsid w:val="00C67C0D"/>
    <w:rsid w:val="00C67CD9"/>
    <w:rsid w:val="00C67E76"/>
    <w:rsid w:val="00C67FF5"/>
    <w:rsid w:val="00C701B4"/>
    <w:rsid w:val="00C70230"/>
    <w:rsid w:val="00C702D5"/>
    <w:rsid w:val="00C70301"/>
    <w:rsid w:val="00C7032F"/>
    <w:rsid w:val="00C70346"/>
    <w:rsid w:val="00C70445"/>
    <w:rsid w:val="00C704B0"/>
    <w:rsid w:val="00C705E5"/>
    <w:rsid w:val="00C7069D"/>
    <w:rsid w:val="00C70773"/>
    <w:rsid w:val="00C7090C"/>
    <w:rsid w:val="00C70938"/>
    <w:rsid w:val="00C70A45"/>
    <w:rsid w:val="00C70B1D"/>
    <w:rsid w:val="00C70B2E"/>
    <w:rsid w:val="00C70B3E"/>
    <w:rsid w:val="00C70B7E"/>
    <w:rsid w:val="00C70B9C"/>
    <w:rsid w:val="00C70BFD"/>
    <w:rsid w:val="00C70CFF"/>
    <w:rsid w:val="00C70E30"/>
    <w:rsid w:val="00C70E4E"/>
    <w:rsid w:val="00C70F2B"/>
    <w:rsid w:val="00C70F7C"/>
    <w:rsid w:val="00C710F8"/>
    <w:rsid w:val="00C7115F"/>
    <w:rsid w:val="00C711B3"/>
    <w:rsid w:val="00C711D7"/>
    <w:rsid w:val="00C7129B"/>
    <w:rsid w:val="00C712BB"/>
    <w:rsid w:val="00C712E6"/>
    <w:rsid w:val="00C7138D"/>
    <w:rsid w:val="00C714CC"/>
    <w:rsid w:val="00C714EA"/>
    <w:rsid w:val="00C714FC"/>
    <w:rsid w:val="00C7153A"/>
    <w:rsid w:val="00C7156B"/>
    <w:rsid w:val="00C715A7"/>
    <w:rsid w:val="00C715D4"/>
    <w:rsid w:val="00C71661"/>
    <w:rsid w:val="00C716BB"/>
    <w:rsid w:val="00C7178B"/>
    <w:rsid w:val="00C717A4"/>
    <w:rsid w:val="00C717CB"/>
    <w:rsid w:val="00C7188E"/>
    <w:rsid w:val="00C719CD"/>
    <w:rsid w:val="00C71A08"/>
    <w:rsid w:val="00C71A38"/>
    <w:rsid w:val="00C71A42"/>
    <w:rsid w:val="00C71B18"/>
    <w:rsid w:val="00C71BD5"/>
    <w:rsid w:val="00C71C2C"/>
    <w:rsid w:val="00C71CC6"/>
    <w:rsid w:val="00C71D30"/>
    <w:rsid w:val="00C71D69"/>
    <w:rsid w:val="00C71DFC"/>
    <w:rsid w:val="00C7207D"/>
    <w:rsid w:val="00C72193"/>
    <w:rsid w:val="00C721DD"/>
    <w:rsid w:val="00C721F2"/>
    <w:rsid w:val="00C7221E"/>
    <w:rsid w:val="00C722A7"/>
    <w:rsid w:val="00C72343"/>
    <w:rsid w:val="00C724D9"/>
    <w:rsid w:val="00C724E6"/>
    <w:rsid w:val="00C72562"/>
    <w:rsid w:val="00C72656"/>
    <w:rsid w:val="00C72795"/>
    <w:rsid w:val="00C727DA"/>
    <w:rsid w:val="00C7282E"/>
    <w:rsid w:val="00C72900"/>
    <w:rsid w:val="00C72933"/>
    <w:rsid w:val="00C72939"/>
    <w:rsid w:val="00C7298B"/>
    <w:rsid w:val="00C729BF"/>
    <w:rsid w:val="00C729C4"/>
    <w:rsid w:val="00C729C8"/>
    <w:rsid w:val="00C729D9"/>
    <w:rsid w:val="00C729E6"/>
    <w:rsid w:val="00C72A5D"/>
    <w:rsid w:val="00C72A6C"/>
    <w:rsid w:val="00C72AC5"/>
    <w:rsid w:val="00C72BFC"/>
    <w:rsid w:val="00C72C6F"/>
    <w:rsid w:val="00C72D52"/>
    <w:rsid w:val="00C72F21"/>
    <w:rsid w:val="00C7303C"/>
    <w:rsid w:val="00C7304E"/>
    <w:rsid w:val="00C731DE"/>
    <w:rsid w:val="00C73251"/>
    <w:rsid w:val="00C7329F"/>
    <w:rsid w:val="00C732FA"/>
    <w:rsid w:val="00C73387"/>
    <w:rsid w:val="00C733B7"/>
    <w:rsid w:val="00C733F0"/>
    <w:rsid w:val="00C73591"/>
    <w:rsid w:val="00C73756"/>
    <w:rsid w:val="00C7375F"/>
    <w:rsid w:val="00C737BF"/>
    <w:rsid w:val="00C737E7"/>
    <w:rsid w:val="00C73849"/>
    <w:rsid w:val="00C73878"/>
    <w:rsid w:val="00C73921"/>
    <w:rsid w:val="00C73993"/>
    <w:rsid w:val="00C739E6"/>
    <w:rsid w:val="00C739EC"/>
    <w:rsid w:val="00C73A88"/>
    <w:rsid w:val="00C73AD6"/>
    <w:rsid w:val="00C73C54"/>
    <w:rsid w:val="00C73C9D"/>
    <w:rsid w:val="00C73CD5"/>
    <w:rsid w:val="00C73CF7"/>
    <w:rsid w:val="00C73D27"/>
    <w:rsid w:val="00C73D74"/>
    <w:rsid w:val="00C73D86"/>
    <w:rsid w:val="00C73DB6"/>
    <w:rsid w:val="00C73EAA"/>
    <w:rsid w:val="00C73EAC"/>
    <w:rsid w:val="00C73F16"/>
    <w:rsid w:val="00C74073"/>
    <w:rsid w:val="00C7407A"/>
    <w:rsid w:val="00C740B0"/>
    <w:rsid w:val="00C740EC"/>
    <w:rsid w:val="00C741D4"/>
    <w:rsid w:val="00C7439D"/>
    <w:rsid w:val="00C743D0"/>
    <w:rsid w:val="00C743E5"/>
    <w:rsid w:val="00C744DF"/>
    <w:rsid w:val="00C744E2"/>
    <w:rsid w:val="00C74561"/>
    <w:rsid w:val="00C74757"/>
    <w:rsid w:val="00C747DC"/>
    <w:rsid w:val="00C7484D"/>
    <w:rsid w:val="00C749B1"/>
    <w:rsid w:val="00C74B81"/>
    <w:rsid w:val="00C74C20"/>
    <w:rsid w:val="00C74C67"/>
    <w:rsid w:val="00C74C91"/>
    <w:rsid w:val="00C74D34"/>
    <w:rsid w:val="00C74E5D"/>
    <w:rsid w:val="00C74F1F"/>
    <w:rsid w:val="00C74F54"/>
    <w:rsid w:val="00C74FDB"/>
    <w:rsid w:val="00C7501D"/>
    <w:rsid w:val="00C7508E"/>
    <w:rsid w:val="00C750D7"/>
    <w:rsid w:val="00C7511C"/>
    <w:rsid w:val="00C7518C"/>
    <w:rsid w:val="00C75310"/>
    <w:rsid w:val="00C75317"/>
    <w:rsid w:val="00C7547B"/>
    <w:rsid w:val="00C7550A"/>
    <w:rsid w:val="00C7568F"/>
    <w:rsid w:val="00C7578B"/>
    <w:rsid w:val="00C757CF"/>
    <w:rsid w:val="00C758AA"/>
    <w:rsid w:val="00C75911"/>
    <w:rsid w:val="00C75927"/>
    <w:rsid w:val="00C759CC"/>
    <w:rsid w:val="00C759F3"/>
    <w:rsid w:val="00C75A81"/>
    <w:rsid w:val="00C75A82"/>
    <w:rsid w:val="00C75ABE"/>
    <w:rsid w:val="00C75ADC"/>
    <w:rsid w:val="00C75C9B"/>
    <w:rsid w:val="00C75D7E"/>
    <w:rsid w:val="00C75EA9"/>
    <w:rsid w:val="00C75F2E"/>
    <w:rsid w:val="00C75F86"/>
    <w:rsid w:val="00C76013"/>
    <w:rsid w:val="00C76215"/>
    <w:rsid w:val="00C7621D"/>
    <w:rsid w:val="00C7626A"/>
    <w:rsid w:val="00C7627A"/>
    <w:rsid w:val="00C762EA"/>
    <w:rsid w:val="00C7637F"/>
    <w:rsid w:val="00C7638D"/>
    <w:rsid w:val="00C76439"/>
    <w:rsid w:val="00C7649C"/>
    <w:rsid w:val="00C764CC"/>
    <w:rsid w:val="00C76581"/>
    <w:rsid w:val="00C765C5"/>
    <w:rsid w:val="00C76671"/>
    <w:rsid w:val="00C76689"/>
    <w:rsid w:val="00C766F6"/>
    <w:rsid w:val="00C76747"/>
    <w:rsid w:val="00C76794"/>
    <w:rsid w:val="00C7679E"/>
    <w:rsid w:val="00C767C2"/>
    <w:rsid w:val="00C7682F"/>
    <w:rsid w:val="00C76971"/>
    <w:rsid w:val="00C76B43"/>
    <w:rsid w:val="00C76C8B"/>
    <w:rsid w:val="00C76C9F"/>
    <w:rsid w:val="00C76CF3"/>
    <w:rsid w:val="00C76D0A"/>
    <w:rsid w:val="00C76E26"/>
    <w:rsid w:val="00C76ECE"/>
    <w:rsid w:val="00C76F0D"/>
    <w:rsid w:val="00C76F7D"/>
    <w:rsid w:val="00C76F9E"/>
    <w:rsid w:val="00C77070"/>
    <w:rsid w:val="00C770BD"/>
    <w:rsid w:val="00C7711E"/>
    <w:rsid w:val="00C77264"/>
    <w:rsid w:val="00C772F0"/>
    <w:rsid w:val="00C77381"/>
    <w:rsid w:val="00C775A6"/>
    <w:rsid w:val="00C7763E"/>
    <w:rsid w:val="00C7763F"/>
    <w:rsid w:val="00C776D9"/>
    <w:rsid w:val="00C77708"/>
    <w:rsid w:val="00C7775E"/>
    <w:rsid w:val="00C777B1"/>
    <w:rsid w:val="00C77889"/>
    <w:rsid w:val="00C778B8"/>
    <w:rsid w:val="00C7790A"/>
    <w:rsid w:val="00C77A1F"/>
    <w:rsid w:val="00C77AB2"/>
    <w:rsid w:val="00C77B07"/>
    <w:rsid w:val="00C77B40"/>
    <w:rsid w:val="00C77B53"/>
    <w:rsid w:val="00C77BE8"/>
    <w:rsid w:val="00C77C04"/>
    <w:rsid w:val="00C77CA1"/>
    <w:rsid w:val="00C77D01"/>
    <w:rsid w:val="00C77DFD"/>
    <w:rsid w:val="00C77E39"/>
    <w:rsid w:val="00C77E9D"/>
    <w:rsid w:val="00C77F09"/>
    <w:rsid w:val="00C80158"/>
    <w:rsid w:val="00C8028D"/>
    <w:rsid w:val="00C80297"/>
    <w:rsid w:val="00C802BF"/>
    <w:rsid w:val="00C802C8"/>
    <w:rsid w:val="00C80310"/>
    <w:rsid w:val="00C80340"/>
    <w:rsid w:val="00C8037F"/>
    <w:rsid w:val="00C80449"/>
    <w:rsid w:val="00C804EC"/>
    <w:rsid w:val="00C80539"/>
    <w:rsid w:val="00C805AA"/>
    <w:rsid w:val="00C8072A"/>
    <w:rsid w:val="00C80747"/>
    <w:rsid w:val="00C807B7"/>
    <w:rsid w:val="00C807DE"/>
    <w:rsid w:val="00C80889"/>
    <w:rsid w:val="00C8090E"/>
    <w:rsid w:val="00C80937"/>
    <w:rsid w:val="00C8094A"/>
    <w:rsid w:val="00C80A3E"/>
    <w:rsid w:val="00C80A53"/>
    <w:rsid w:val="00C80A99"/>
    <w:rsid w:val="00C80C51"/>
    <w:rsid w:val="00C80CB0"/>
    <w:rsid w:val="00C80D37"/>
    <w:rsid w:val="00C80EB5"/>
    <w:rsid w:val="00C80EED"/>
    <w:rsid w:val="00C80F16"/>
    <w:rsid w:val="00C80F28"/>
    <w:rsid w:val="00C80F94"/>
    <w:rsid w:val="00C80FCA"/>
    <w:rsid w:val="00C81192"/>
    <w:rsid w:val="00C812AD"/>
    <w:rsid w:val="00C812C3"/>
    <w:rsid w:val="00C812F6"/>
    <w:rsid w:val="00C81314"/>
    <w:rsid w:val="00C81344"/>
    <w:rsid w:val="00C813AF"/>
    <w:rsid w:val="00C815AD"/>
    <w:rsid w:val="00C81600"/>
    <w:rsid w:val="00C81740"/>
    <w:rsid w:val="00C817CE"/>
    <w:rsid w:val="00C81877"/>
    <w:rsid w:val="00C8189C"/>
    <w:rsid w:val="00C818AA"/>
    <w:rsid w:val="00C8197B"/>
    <w:rsid w:val="00C819AF"/>
    <w:rsid w:val="00C81A07"/>
    <w:rsid w:val="00C81AA4"/>
    <w:rsid w:val="00C81BFF"/>
    <w:rsid w:val="00C81C18"/>
    <w:rsid w:val="00C81C98"/>
    <w:rsid w:val="00C81D4D"/>
    <w:rsid w:val="00C81DA9"/>
    <w:rsid w:val="00C81DCF"/>
    <w:rsid w:val="00C81DE0"/>
    <w:rsid w:val="00C81E01"/>
    <w:rsid w:val="00C81E7D"/>
    <w:rsid w:val="00C81E8B"/>
    <w:rsid w:val="00C81F6B"/>
    <w:rsid w:val="00C81FCB"/>
    <w:rsid w:val="00C82200"/>
    <w:rsid w:val="00C8225D"/>
    <w:rsid w:val="00C82367"/>
    <w:rsid w:val="00C82489"/>
    <w:rsid w:val="00C824BF"/>
    <w:rsid w:val="00C82570"/>
    <w:rsid w:val="00C8270B"/>
    <w:rsid w:val="00C827A2"/>
    <w:rsid w:val="00C8282F"/>
    <w:rsid w:val="00C82912"/>
    <w:rsid w:val="00C82973"/>
    <w:rsid w:val="00C829CF"/>
    <w:rsid w:val="00C82A21"/>
    <w:rsid w:val="00C82A2C"/>
    <w:rsid w:val="00C82AE3"/>
    <w:rsid w:val="00C82AF3"/>
    <w:rsid w:val="00C82B16"/>
    <w:rsid w:val="00C82BB4"/>
    <w:rsid w:val="00C82CC4"/>
    <w:rsid w:val="00C82D83"/>
    <w:rsid w:val="00C82DE0"/>
    <w:rsid w:val="00C82E03"/>
    <w:rsid w:val="00C82EEA"/>
    <w:rsid w:val="00C82F8B"/>
    <w:rsid w:val="00C82FF0"/>
    <w:rsid w:val="00C8312A"/>
    <w:rsid w:val="00C83286"/>
    <w:rsid w:val="00C8330B"/>
    <w:rsid w:val="00C83366"/>
    <w:rsid w:val="00C833C7"/>
    <w:rsid w:val="00C834C5"/>
    <w:rsid w:val="00C835E5"/>
    <w:rsid w:val="00C83600"/>
    <w:rsid w:val="00C8364D"/>
    <w:rsid w:val="00C83701"/>
    <w:rsid w:val="00C83774"/>
    <w:rsid w:val="00C8380B"/>
    <w:rsid w:val="00C83855"/>
    <w:rsid w:val="00C83922"/>
    <w:rsid w:val="00C839DE"/>
    <w:rsid w:val="00C839EF"/>
    <w:rsid w:val="00C83A64"/>
    <w:rsid w:val="00C83A76"/>
    <w:rsid w:val="00C83C66"/>
    <w:rsid w:val="00C83C9D"/>
    <w:rsid w:val="00C83E11"/>
    <w:rsid w:val="00C83E33"/>
    <w:rsid w:val="00C83E65"/>
    <w:rsid w:val="00C83E80"/>
    <w:rsid w:val="00C83EC7"/>
    <w:rsid w:val="00C84046"/>
    <w:rsid w:val="00C840C2"/>
    <w:rsid w:val="00C84222"/>
    <w:rsid w:val="00C84314"/>
    <w:rsid w:val="00C843E5"/>
    <w:rsid w:val="00C8445B"/>
    <w:rsid w:val="00C844E5"/>
    <w:rsid w:val="00C84503"/>
    <w:rsid w:val="00C84512"/>
    <w:rsid w:val="00C8461C"/>
    <w:rsid w:val="00C8461D"/>
    <w:rsid w:val="00C8466D"/>
    <w:rsid w:val="00C8478E"/>
    <w:rsid w:val="00C847B7"/>
    <w:rsid w:val="00C847EA"/>
    <w:rsid w:val="00C84872"/>
    <w:rsid w:val="00C84889"/>
    <w:rsid w:val="00C848FB"/>
    <w:rsid w:val="00C849F4"/>
    <w:rsid w:val="00C84A55"/>
    <w:rsid w:val="00C84A92"/>
    <w:rsid w:val="00C84AF6"/>
    <w:rsid w:val="00C84B5B"/>
    <w:rsid w:val="00C84CBF"/>
    <w:rsid w:val="00C84CE8"/>
    <w:rsid w:val="00C84D42"/>
    <w:rsid w:val="00C84DC1"/>
    <w:rsid w:val="00C84E9C"/>
    <w:rsid w:val="00C84EE6"/>
    <w:rsid w:val="00C85029"/>
    <w:rsid w:val="00C85057"/>
    <w:rsid w:val="00C850A9"/>
    <w:rsid w:val="00C850D2"/>
    <w:rsid w:val="00C850D4"/>
    <w:rsid w:val="00C85178"/>
    <w:rsid w:val="00C851A0"/>
    <w:rsid w:val="00C8537C"/>
    <w:rsid w:val="00C854FE"/>
    <w:rsid w:val="00C85540"/>
    <w:rsid w:val="00C85546"/>
    <w:rsid w:val="00C855A3"/>
    <w:rsid w:val="00C85645"/>
    <w:rsid w:val="00C8566F"/>
    <w:rsid w:val="00C85763"/>
    <w:rsid w:val="00C857F8"/>
    <w:rsid w:val="00C8588E"/>
    <w:rsid w:val="00C858BB"/>
    <w:rsid w:val="00C858D8"/>
    <w:rsid w:val="00C85900"/>
    <w:rsid w:val="00C859CC"/>
    <w:rsid w:val="00C85A07"/>
    <w:rsid w:val="00C85AD1"/>
    <w:rsid w:val="00C85B94"/>
    <w:rsid w:val="00C85BF8"/>
    <w:rsid w:val="00C85C33"/>
    <w:rsid w:val="00C85C5B"/>
    <w:rsid w:val="00C85DBA"/>
    <w:rsid w:val="00C85ED6"/>
    <w:rsid w:val="00C85F1B"/>
    <w:rsid w:val="00C85F4A"/>
    <w:rsid w:val="00C860C7"/>
    <w:rsid w:val="00C86121"/>
    <w:rsid w:val="00C861D3"/>
    <w:rsid w:val="00C862BA"/>
    <w:rsid w:val="00C863E6"/>
    <w:rsid w:val="00C8641A"/>
    <w:rsid w:val="00C86428"/>
    <w:rsid w:val="00C86468"/>
    <w:rsid w:val="00C8655B"/>
    <w:rsid w:val="00C865DD"/>
    <w:rsid w:val="00C865ED"/>
    <w:rsid w:val="00C86641"/>
    <w:rsid w:val="00C86642"/>
    <w:rsid w:val="00C86658"/>
    <w:rsid w:val="00C866EC"/>
    <w:rsid w:val="00C86725"/>
    <w:rsid w:val="00C86759"/>
    <w:rsid w:val="00C8679F"/>
    <w:rsid w:val="00C867F5"/>
    <w:rsid w:val="00C8682E"/>
    <w:rsid w:val="00C869BC"/>
    <w:rsid w:val="00C869C2"/>
    <w:rsid w:val="00C86A44"/>
    <w:rsid w:val="00C86A7F"/>
    <w:rsid w:val="00C86AB3"/>
    <w:rsid w:val="00C86C2D"/>
    <w:rsid w:val="00C86D00"/>
    <w:rsid w:val="00C86D3B"/>
    <w:rsid w:val="00C86D7A"/>
    <w:rsid w:val="00C86E56"/>
    <w:rsid w:val="00C86E94"/>
    <w:rsid w:val="00C86EDE"/>
    <w:rsid w:val="00C86F37"/>
    <w:rsid w:val="00C86F51"/>
    <w:rsid w:val="00C86FBB"/>
    <w:rsid w:val="00C8701C"/>
    <w:rsid w:val="00C87090"/>
    <w:rsid w:val="00C87222"/>
    <w:rsid w:val="00C8722C"/>
    <w:rsid w:val="00C8726A"/>
    <w:rsid w:val="00C8728B"/>
    <w:rsid w:val="00C87396"/>
    <w:rsid w:val="00C87472"/>
    <w:rsid w:val="00C87494"/>
    <w:rsid w:val="00C875B0"/>
    <w:rsid w:val="00C87646"/>
    <w:rsid w:val="00C87679"/>
    <w:rsid w:val="00C876C3"/>
    <w:rsid w:val="00C87704"/>
    <w:rsid w:val="00C8772A"/>
    <w:rsid w:val="00C87742"/>
    <w:rsid w:val="00C87754"/>
    <w:rsid w:val="00C87872"/>
    <w:rsid w:val="00C878BF"/>
    <w:rsid w:val="00C87A16"/>
    <w:rsid w:val="00C87A80"/>
    <w:rsid w:val="00C87AB9"/>
    <w:rsid w:val="00C87B60"/>
    <w:rsid w:val="00C87B6E"/>
    <w:rsid w:val="00C87B98"/>
    <w:rsid w:val="00C87BBB"/>
    <w:rsid w:val="00C87CB2"/>
    <w:rsid w:val="00C87CB4"/>
    <w:rsid w:val="00C87CDD"/>
    <w:rsid w:val="00C87CFA"/>
    <w:rsid w:val="00C87D40"/>
    <w:rsid w:val="00C87E4C"/>
    <w:rsid w:val="00C87ED3"/>
    <w:rsid w:val="00C87EFB"/>
    <w:rsid w:val="00C87F1D"/>
    <w:rsid w:val="00C87F2B"/>
    <w:rsid w:val="00C87F52"/>
    <w:rsid w:val="00C87FEB"/>
    <w:rsid w:val="00C90080"/>
    <w:rsid w:val="00C9016C"/>
    <w:rsid w:val="00C901C2"/>
    <w:rsid w:val="00C9025A"/>
    <w:rsid w:val="00C90260"/>
    <w:rsid w:val="00C90301"/>
    <w:rsid w:val="00C90319"/>
    <w:rsid w:val="00C903E2"/>
    <w:rsid w:val="00C9043B"/>
    <w:rsid w:val="00C904C8"/>
    <w:rsid w:val="00C90531"/>
    <w:rsid w:val="00C90546"/>
    <w:rsid w:val="00C90576"/>
    <w:rsid w:val="00C90674"/>
    <w:rsid w:val="00C906E1"/>
    <w:rsid w:val="00C907EC"/>
    <w:rsid w:val="00C907F5"/>
    <w:rsid w:val="00C908CC"/>
    <w:rsid w:val="00C909D9"/>
    <w:rsid w:val="00C90A23"/>
    <w:rsid w:val="00C90AC9"/>
    <w:rsid w:val="00C90C34"/>
    <w:rsid w:val="00C90C63"/>
    <w:rsid w:val="00C90D1D"/>
    <w:rsid w:val="00C90D34"/>
    <w:rsid w:val="00C90DEF"/>
    <w:rsid w:val="00C90E3E"/>
    <w:rsid w:val="00C90E82"/>
    <w:rsid w:val="00C90F89"/>
    <w:rsid w:val="00C90FE3"/>
    <w:rsid w:val="00C9104F"/>
    <w:rsid w:val="00C91145"/>
    <w:rsid w:val="00C91182"/>
    <w:rsid w:val="00C91300"/>
    <w:rsid w:val="00C91392"/>
    <w:rsid w:val="00C913AD"/>
    <w:rsid w:val="00C913B9"/>
    <w:rsid w:val="00C9148C"/>
    <w:rsid w:val="00C914EC"/>
    <w:rsid w:val="00C91510"/>
    <w:rsid w:val="00C9154A"/>
    <w:rsid w:val="00C91680"/>
    <w:rsid w:val="00C916DB"/>
    <w:rsid w:val="00C91719"/>
    <w:rsid w:val="00C91857"/>
    <w:rsid w:val="00C91A03"/>
    <w:rsid w:val="00C91A57"/>
    <w:rsid w:val="00C91B82"/>
    <w:rsid w:val="00C91B85"/>
    <w:rsid w:val="00C91BC3"/>
    <w:rsid w:val="00C91C82"/>
    <w:rsid w:val="00C91C92"/>
    <w:rsid w:val="00C91CEE"/>
    <w:rsid w:val="00C91D3D"/>
    <w:rsid w:val="00C91D9C"/>
    <w:rsid w:val="00C91EA8"/>
    <w:rsid w:val="00C91FA1"/>
    <w:rsid w:val="00C92018"/>
    <w:rsid w:val="00C9205A"/>
    <w:rsid w:val="00C920EC"/>
    <w:rsid w:val="00C92199"/>
    <w:rsid w:val="00C92267"/>
    <w:rsid w:val="00C922AC"/>
    <w:rsid w:val="00C92300"/>
    <w:rsid w:val="00C92451"/>
    <w:rsid w:val="00C92530"/>
    <w:rsid w:val="00C92630"/>
    <w:rsid w:val="00C9274A"/>
    <w:rsid w:val="00C9280D"/>
    <w:rsid w:val="00C92825"/>
    <w:rsid w:val="00C92842"/>
    <w:rsid w:val="00C928A5"/>
    <w:rsid w:val="00C9291C"/>
    <w:rsid w:val="00C92A6A"/>
    <w:rsid w:val="00C92A71"/>
    <w:rsid w:val="00C92A77"/>
    <w:rsid w:val="00C92B29"/>
    <w:rsid w:val="00C92B53"/>
    <w:rsid w:val="00C92C5C"/>
    <w:rsid w:val="00C92CBC"/>
    <w:rsid w:val="00C92D9E"/>
    <w:rsid w:val="00C92DBB"/>
    <w:rsid w:val="00C92E1E"/>
    <w:rsid w:val="00C92E54"/>
    <w:rsid w:val="00C92EA6"/>
    <w:rsid w:val="00C92F15"/>
    <w:rsid w:val="00C92F8D"/>
    <w:rsid w:val="00C93031"/>
    <w:rsid w:val="00C93061"/>
    <w:rsid w:val="00C93230"/>
    <w:rsid w:val="00C93273"/>
    <w:rsid w:val="00C932AE"/>
    <w:rsid w:val="00C932C9"/>
    <w:rsid w:val="00C9347C"/>
    <w:rsid w:val="00C93585"/>
    <w:rsid w:val="00C935D4"/>
    <w:rsid w:val="00C9361E"/>
    <w:rsid w:val="00C93651"/>
    <w:rsid w:val="00C936E7"/>
    <w:rsid w:val="00C93703"/>
    <w:rsid w:val="00C9371B"/>
    <w:rsid w:val="00C93822"/>
    <w:rsid w:val="00C9385E"/>
    <w:rsid w:val="00C938A5"/>
    <w:rsid w:val="00C93B8E"/>
    <w:rsid w:val="00C93BD3"/>
    <w:rsid w:val="00C93BF0"/>
    <w:rsid w:val="00C93CB5"/>
    <w:rsid w:val="00C93D94"/>
    <w:rsid w:val="00C93DBA"/>
    <w:rsid w:val="00C93ECA"/>
    <w:rsid w:val="00C93EF9"/>
    <w:rsid w:val="00C93F7E"/>
    <w:rsid w:val="00C93FCC"/>
    <w:rsid w:val="00C94047"/>
    <w:rsid w:val="00C940D0"/>
    <w:rsid w:val="00C94196"/>
    <w:rsid w:val="00C941C4"/>
    <w:rsid w:val="00C941EA"/>
    <w:rsid w:val="00C9421E"/>
    <w:rsid w:val="00C94242"/>
    <w:rsid w:val="00C942F3"/>
    <w:rsid w:val="00C943A4"/>
    <w:rsid w:val="00C943F6"/>
    <w:rsid w:val="00C94456"/>
    <w:rsid w:val="00C94468"/>
    <w:rsid w:val="00C944D3"/>
    <w:rsid w:val="00C94541"/>
    <w:rsid w:val="00C9461E"/>
    <w:rsid w:val="00C9466B"/>
    <w:rsid w:val="00C946A9"/>
    <w:rsid w:val="00C9470B"/>
    <w:rsid w:val="00C9477B"/>
    <w:rsid w:val="00C94785"/>
    <w:rsid w:val="00C94794"/>
    <w:rsid w:val="00C947C9"/>
    <w:rsid w:val="00C94803"/>
    <w:rsid w:val="00C9480E"/>
    <w:rsid w:val="00C94978"/>
    <w:rsid w:val="00C94A35"/>
    <w:rsid w:val="00C94A61"/>
    <w:rsid w:val="00C94AD0"/>
    <w:rsid w:val="00C94BC3"/>
    <w:rsid w:val="00C94BE4"/>
    <w:rsid w:val="00C94C49"/>
    <w:rsid w:val="00C94C99"/>
    <w:rsid w:val="00C94C9C"/>
    <w:rsid w:val="00C94D06"/>
    <w:rsid w:val="00C94D8A"/>
    <w:rsid w:val="00C94DAA"/>
    <w:rsid w:val="00C94E1C"/>
    <w:rsid w:val="00C95042"/>
    <w:rsid w:val="00C95116"/>
    <w:rsid w:val="00C95157"/>
    <w:rsid w:val="00C9515C"/>
    <w:rsid w:val="00C951A5"/>
    <w:rsid w:val="00C951A9"/>
    <w:rsid w:val="00C951DF"/>
    <w:rsid w:val="00C951F9"/>
    <w:rsid w:val="00C95254"/>
    <w:rsid w:val="00C95283"/>
    <w:rsid w:val="00C9528D"/>
    <w:rsid w:val="00C952FE"/>
    <w:rsid w:val="00C95344"/>
    <w:rsid w:val="00C95421"/>
    <w:rsid w:val="00C95452"/>
    <w:rsid w:val="00C955D4"/>
    <w:rsid w:val="00C955DC"/>
    <w:rsid w:val="00C95670"/>
    <w:rsid w:val="00C9568E"/>
    <w:rsid w:val="00C95774"/>
    <w:rsid w:val="00C95802"/>
    <w:rsid w:val="00C9581E"/>
    <w:rsid w:val="00C95AA6"/>
    <w:rsid w:val="00C95B26"/>
    <w:rsid w:val="00C95C21"/>
    <w:rsid w:val="00C95CD7"/>
    <w:rsid w:val="00C95CE8"/>
    <w:rsid w:val="00C95D63"/>
    <w:rsid w:val="00C95D75"/>
    <w:rsid w:val="00C95DA5"/>
    <w:rsid w:val="00C95FA7"/>
    <w:rsid w:val="00C95FB3"/>
    <w:rsid w:val="00C95FC3"/>
    <w:rsid w:val="00C96058"/>
    <w:rsid w:val="00C96093"/>
    <w:rsid w:val="00C96142"/>
    <w:rsid w:val="00C96189"/>
    <w:rsid w:val="00C961DE"/>
    <w:rsid w:val="00C96223"/>
    <w:rsid w:val="00C9631E"/>
    <w:rsid w:val="00C963A1"/>
    <w:rsid w:val="00C963E5"/>
    <w:rsid w:val="00C96519"/>
    <w:rsid w:val="00C96563"/>
    <w:rsid w:val="00C96574"/>
    <w:rsid w:val="00C96697"/>
    <w:rsid w:val="00C966C4"/>
    <w:rsid w:val="00C96767"/>
    <w:rsid w:val="00C969E3"/>
    <w:rsid w:val="00C96CB2"/>
    <w:rsid w:val="00C96D74"/>
    <w:rsid w:val="00C96DBD"/>
    <w:rsid w:val="00C96E0F"/>
    <w:rsid w:val="00C96E14"/>
    <w:rsid w:val="00C96E5A"/>
    <w:rsid w:val="00C96EA7"/>
    <w:rsid w:val="00C96EB3"/>
    <w:rsid w:val="00C96ECE"/>
    <w:rsid w:val="00C9702E"/>
    <w:rsid w:val="00C971EC"/>
    <w:rsid w:val="00C9764F"/>
    <w:rsid w:val="00C97668"/>
    <w:rsid w:val="00C97875"/>
    <w:rsid w:val="00C97922"/>
    <w:rsid w:val="00C97996"/>
    <w:rsid w:val="00C97B0E"/>
    <w:rsid w:val="00C97B13"/>
    <w:rsid w:val="00C97B34"/>
    <w:rsid w:val="00C97B4B"/>
    <w:rsid w:val="00C97BBD"/>
    <w:rsid w:val="00C97BE0"/>
    <w:rsid w:val="00C97C0A"/>
    <w:rsid w:val="00C97C19"/>
    <w:rsid w:val="00C97C2C"/>
    <w:rsid w:val="00C97C7B"/>
    <w:rsid w:val="00C97D45"/>
    <w:rsid w:val="00C97E9B"/>
    <w:rsid w:val="00C97F4E"/>
    <w:rsid w:val="00C97FE6"/>
    <w:rsid w:val="00CA007F"/>
    <w:rsid w:val="00CA0232"/>
    <w:rsid w:val="00CA0241"/>
    <w:rsid w:val="00CA046D"/>
    <w:rsid w:val="00CA04C6"/>
    <w:rsid w:val="00CA04FF"/>
    <w:rsid w:val="00CA05A0"/>
    <w:rsid w:val="00CA05F4"/>
    <w:rsid w:val="00CA061C"/>
    <w:rsid w:val="00CA06F6"/>
    <w:rsid w:val="00CA0727"/>
    <w:rsid w:val="00CA08F0"/>
    <w:rsid w:val="00CA0B57"/>
    <w:rsid w:val="00CA0BEA"/>
    <w:rsid w:val="00CA0D33"/>
    <w:rsid w:val="00CA0DCF"/>
    <w:rsid w:val="00CA0DD1"/>
    <w:rsid w:val="00CA0E95"/>
    <w:rsid w:val="00CA0F34"/>
    <w:rsid w:val="00CA0F8E"/>
    <w:rsid w:val="00CA1008"/>
    <w:rsid w:val="00CA12AF"/>
    <w:rsid w:val="00CA130D"/>
    <w:rsid w:val="00CA1345"/>
    <w:rsid w:val="00CA1409"/>
    <w:rsid w:val="00CA148C"/>
    <w:rsid w:val="00CA14E3"/>
    <w:rsid w:val="00CA1513"/>
    <w:rsid w:val="00CA154E"/>
    <w:rsid w:val="00CA1623"/>
    <w:rsid w:val="00CA16CB"/>
    <w:rsid w:val="00CA1719"/>
    <w:rsid w:val="00CA176D"/>
    <w:rsid w:val="00CA178A"/>
    <w:rsid w:val="00CA17A6"/>
    <w:rsid w:val="00CA184C"/>
    <w:rsid w:val="00CA1856"/>
    <w:rsid w:val="00CA1866"/>
    <w:rsid w:val="00CA193E"/>
    <w:rsid w:val="00CA19F7"/>
    <w:rsid w:val="00CA19FA"/>
    <w:rsid w:val="00CA1AA5"/>
    <w:rsid w:val="00CA1B58"/>
    <w:rsid w:val="00CA1C1F"/>
    <w:rsid w:val="00CA1D0B"/>
    <w:rsid w:val="00CA1D62"/>
    <w:rsid w:val="00CA1E56"/>
    <w:rsid w:val="00CA1E58"/>
    <w:rsid w:val="00CA1EEC"/>
    <w:rsid w:val="00CA1F23"/>
    <w:rsid w:val="00CA1F45"/>
    <w:rsid w:val="00CA211D"/>
    <w:rsid w:val="00CA21BB"/>
    <w:rsid w:val="00CA2259"/>
    <w:rsid w:val="00CA2346"/>
    <w:rsid w:val="00CA257F"/>
    <w:rsid w:val="00CA26DE"/>
    <w:rsid w:val="00CA27A9"/>
    <w:rsid w:val="00CA291E"/>
    <w:rsid w:val="00CA297E"/>
    <w:rsid w:val="00CA29B9"/>
    <w:rsid w:val="00CA2A47"/>
    <w:rsid w:val="00CA2A88"/>
    <w:rsid w:val="00CA2C8F"/>
    <w:rsid w:val="00CA2E18"/>
    <w:rsid w:val="00CA2FD2"/>
    <w:rsid w:val="00CA3156"/>
    <w:rsid w:val="00CA31D1"/>
    <w:rsid w:val="00CA3222"/>
    <w:rsid w:val="00CA331F"/>
    <w:rsid w:val="00CA3368"/>
    <w:rsid w:val="00CA349C"/>
    <w:rsid w:val="00CA34D7"/>
    <w:rsid w:val="00CA3511"/>
    <w:rsid w:val="00CA351A"/>
    <w:rsid w:val="00CA3547"/>
    <w:rsid w:val="00CA3624"/>
    <w:rsid w:val="00CA383E"/>
    <w:rsid w:val="00CA3854"/>
    <w:rsid w:val="00CA38E3"/>
    <w:rsid w:val="00CA39F4"/>
    <w:rsid w:val="00CA3B4E"/>
    <w:rsid w:val="00CA3B81"/>
    <w:rsid w:val="00CA3BF8"/>
    <w:rsid w:val="00CA3C64"/>
    <w:rsid w:val="00CA3CCC"/>
    <w:rsid w:val="00CA3D65"/>
    <w:rsid w:val="00CA3DDA"/>
    <w:rsid w:val="00CA3DF9"/>
    <w:rsid w:val="00CA3E22"/>
    <w:rsid w:val="00CA3F81"/>
    <w:rsid w:val="00CA3FD9"/>
    <w:rsid w:val="00CA4122"/>
    <w:rsid w:val="00CA4124"/>
    <w:rsid w:val="00CA418F"/>
    <w:rsid w:val="00CA41D2"/>
    <w:rsid w:val="00CA41DE"/>
    <w:rsid w:val="00CA434C"/>
    <w:rsid w:val="00CA4578"/>
    <w:rsid w:val="00CA45BB"/>
    <w:rsid w:val="00CA4636"/>
    <w:rsid w:val="00CA46DB"/>
    <w:rsid w:val="00CA472A"/>
    <w:rsid w:val="00CA4737"/>
    <w:rsid w:val="00CA47E4"/>
    <w:rsid w:val="00CA4803"/>
    <w:rsid w:val="00CA487C"/>
    <w:rsid w:val="00CA4953"/>
    <w:rsid w:val="00CA4A19"/>
    <w:rsid w:val="00CA4A64"/>
    <w:rsid w:val="00CA4AB0"/>
    <w:rsid w:val="00CA4B54"/>
    <w:rsid w:val="00CA4BDF"/>
    <w:rsid w:val="00CA4C0C"/>
    <w:rsid w:val="00CA4C43"/>
    <w:rsid w:val="00CA4C67"/>
    <w:rsid w:val="00CA4C6E"/>
    <w:rsid w:val="00CA4C80"/>
    <w:rsid w:val="00CA4CAD"/>
    <w:rsid w:val="00CA4D16"/>
    <w:rsid w:val="00CA4D39"/>
    <w:rsid w:val="00CA4D3F"/>
    <w:rsid w:val="00CA4D78"/>
    <w:rsid w:val="00CA4EFF"/>
    <w:rsid w:val="00CA4F7C"/>
    <w:rsid w:val="00CA4FA4"/>
    <w:rsid w:val="00CA4FBD"/>
    <w:rsid w:val="00CA503E"/>
    <w:rsid w:val="00CA5064"/>
    <w:rsid w:val="00CA50A1"/>
    <w:rsid w:val="00CA50BF"/>
    <w:rsid w:val="00CA50FE"/>
    <w:rsid w:val="00CA5135"/>
    <w:rsid w:val="00CA51C4"/>
    <w:rsid w:val="00CA51D4"/>
    <w:rsid w:val="00CA5213"/>
    <w:rsid w:val="00CA5261"/>
    <w:rsid w:val="00CA52B5"/>
    <w:rsid w:val="00CA5393"/>
    <w:rsid w:val="00CA53B9"/>
    <w:rsid w:val="00CA53E6"/>
    <w:rsid w:val="00CA55B6"/>
    <w:rsid w:val="00CA56A2"/>
    <w:rsid w:val="00CA56B2"/>
    <w:rsid w:val="00CA5747"/>
    <w:rsid w:val="00CA5790"/>
    <w:rsid w:val="00CA5795"/>
    <w:rsid w:val="00CA5843"/>
    <w:rsid w:val="00CA5927"/>
    <w:rsid w:val="00CA5982"/>
    <w:rsid w:val="00CA5A82"/>
    <w:rsid w:val="00CA5AE3"/>
    <w:rsid w:val="00CA5B40"/>
    <w:rsid w:val="00CA5CFD"/>
    <w:rsid w:val="00CA5D2A"/>
    <w:rsid w:val="00CA5D7E"/>
    <w:rsid w:val="00CA5EBB"/>
    <w:rsid w:val="00CA5F4B"/>
    <w:rsid w:val="00CA5F54"/>
    <w:rsid w:val="00CA5F9E"/>
    <w:rsid w:val="00CA5FAC"/>
    <w:rsid w:val="00CA6016"/>
    <w:rsid w:val="00CA6056"/>
    <w:rsid w:val="00CA606A"/>
    <w:rsid w:val="00CA6113"/>
    <w:rsid w:val="00CA61EB"/>
    <w:rsid w:val="00CA624C"/>
    <w:rsid w:val="00CA62F1"/>
    <w:rsid w:val="00CA6449"/>
    <w:rsid w:val="00CA6491"/>
    <w:rsid w:val="00CA6496"/>
    <w:rsid w:val="00CA64A9"/>
    <w:rsid w:val="00CA6524"/>
    <w:rsid w:val="00CA6556"/>
    <w:rsid w:val="00CA669B"/>
    <w:rsid w:val="00CA66DD"/>
    <w:rsid w:val="00CA6701"/>
    <w:rsid w:val="00CA6853"/>
    <w:rsid w:val="00CA68A6"/>
    <w:rsid w:val="00CA694F"/>
    <w:rsid w:val="00CA6A5C"/>
    <w:rsid w:val="00CA6A8B"/>
    <w:rsid w:val="00CA6B01"/>
    <w:rsid w:val="00CA6BCD"/>
    <w:rsid w:val="00CA6C49"/>
    <w:rsid w:val="00CA6CA4"/>
    <w:rsid w:val="00CA6CD0"/>
    <w:rsid w:val="00CA6CD9"/>
    <w:rsid w:val="00CA6D20"/>
    <w:rsid w:val="00CA6EEC"/>
    <w:rsid w:val="00CA6F6D"/>
    <w:rsid w:val="00CA6FCB"/>
    <w:rsid w:val="00CA71A0"/>
    <w:rsid w:val="00CA71E1"/>
    <w:rsid w:val="00CA72B4"/>
    <w:rsid w:val="00CA72D0"/>
    <w:rsid w:val="00CA72EF"/>
    <w:rsid w:val="00CA7321"/>
    <w:rsid w:val="00CA73A1"/>
    <w:rsid w:val="00CA7557"/>
    <w:rsid w:val="00CA75D3"/>
    <w:rsid w:val="00CA7605"/>
    <w:rsid w:val="00CA76CE"/>
    <w:rsid w:val="00CA7762"/>
    <w:rsid w:val="00CA7826"/>
    <w:rsid w:val="00CA7865"/>
    <w:rsid w:val="00CA7895"/>
    <w:rsid w:val="00CA78EE"/>
    <w:rsid w:val="00CA793D"/>
    <w:rsid w:val="00CA7C1C"/>
    <w:rsid w:val="00CA7C54"/>
    <w:rsid w:val="00CA7C5E"/>
    <w:rsid w:val="00CA7CDA"/>
    <w:rsid w:val="00CA7CF0"/>
    <w:rsid w:val="00CA7D31"/>
    <w:rsid w:val="00CA7DF0"/>
    <w:rsid w:val="00CA7F1D"/>
    <w:rsid w:val="00CA7F33"/>
    <w:rsid w:val="00CA7F60"/>
    <w:rsid w:val="00CA7F85"/>
    <w:rsid w:val="00CA7FB3"/>
    <w:rsid w:val="00CB003B"/>
    <w:rsid w:val="00CB00A0"/>
    <w:rsid w:val="00CB01F0"/>
    <w:rsid w:val="00CB02C8"/>
    <w:rsid w:val="00CB0400"/>
    <w:rsid w:val="00CB0527"/>
    <w:rsid w:val="00CB052F"/>
    <w:rsid w:val="00CB072E"/>
    <w:rsid w:val="00CB07A0"/>
    <w:rsid w:val="00CB07B2"/>
    <w:rsid w:val="00CB085B"/>
    <w:rsid w:val="00CB0860"/>
    <w:rsid w:val="00CB0997"/>
    <w:rsid w:val="00CB09A9"/>
    <w:rsid w:val="00CB09BA"/>
    <w:rsid w:val="00CB0A15"/>
    <w:rsid w:val="00CB0A6D"/>
    <w:rsid w:val="00CB0B3A"/>
    <w:rsid w:val="00CB0BDC"/>
    <w:rsid w:val="00CB0C2C"/>
    <w:rsid w:val="00CB0C38"/>
    <w:rsid w:val="00CB0C8A"/>
    <w:rsid w:val="00CB0CDA"/>
    <w:rsid w:val="00CB0D6E"/>
    <w:rsid w:val="00CB0EA1"/>
    <w:rsid w:val="00CB0EC5"/>
    <w:rsid w:val="00CB0FAC"/>
    <w:rsid w:val="00CB1043"/>
    <w:rsid w:val="00CB104C"/>
    <w:rsid w:val="00CB1053"/>
    <w:rsid w:val="00CB111A"/>
    <w:rsid w:val="00CB11AB"/>
    <w:rsid w:val="00CB1253"/>
    <w:rsid w:val="00CB125B"/>
    <w:rsid w:val="00CB12F7"/>
    <w:rsid w:val="00CB151B"/>
    <w:rsid w:val="00CB153D"/>
    <w:rsid w:val="00CB155A"/>
    <w:rsid w:val="00CB168F"/>
    <w:rsid w:val="00CB16A7"/>
    <w:rsid w:val="00CB16CD"/>
    <w:rsid w:val="00CB16F4"/>
    <w:rsid w:val="00CB17E3"/>
    <w:rsid w:val="00CB184F"/>
    <w:rsid w:val="00CB18B7"/>
    <w:rsid w:val="00CB18F0"/>
    <w:rsid w:val="00CB1905"/>
    <w:rsid w:val="00CB192A"/>
    <w:rsid w:val="00CB1946"/>
    <w:rsid w:val="00CB19D5"/>
    <w:rsid w:val="00CB1A4B"/>
    <w:rsid w:val="00CB1B2E"/>
    <w:rsid w:val="00CB1C0A"/>
    <w:rsid w:val="00CB1C65"/>
    <w:rsid w:val="00CB1D52"/>
    <w:rsid w:val="00CB1DCC"/>
    <w:rsid w:val="00CB1F8B"/>
    <w:rsid w:val="00CB1F92"/>
    <w:rsid w:val="00CB1F97"/>
    <w:rsid w:val="00CB1FDC"/>
    <w:rsid w:val="00CB207E"/>
    <w:rsid w:val="00CB20AB"/>
    <w:rsid w:val="00CB2145"/>
    <w:rsid w:val="00CB21D4"/>
    <w:rsid w:val="00CB21E5"/>
    <w:rsid w:val="00CB2224"/>
    <w:rsid w:val="00CB233B"/>
    <w:rsid w:val="00CB2347"/>
    <w:rsid w:val="00CB23F5"/>
    <w:rsid w:val="00CB2409"/>
    <w:rsid w:val="00CB2432"/>
    <w:rsid w:val="00CB249E"/>
    <w:rsid w:val="00CB2670"/>
    <w:rsid w:val="00CB274F"/>
    <w:rsid w:val="00CB2774"/>
    <w:rsid w:val="00CB2833"/>
    <w:rsid w:val="00CB292D"/>
    <w:rsid w:val="00CB2A1E"/>
    <w:rsid w:val="00CB2AD0"/>
    <w:rsid w:val="00CB2C73"/>
    <w:rsid w:val="00CB2C75"/>
    <w:rsid w:val="00CB2C78"/>
    <w:rsid w:val="00CB2CA4"/>
    <w:rsid w:val="00CB2CBA"/>
    <w:rsid w:val="00CB2D6F"/>
    <w:rsid w:val="00CB2DA8"/>
    <w:rsid w:val="00CB2E95"/>
    <w:rsid w:val="00CB2EDD"/>
    <w:rsid w:val="00CB2EF2"/>
    <w:rsid w:val="00CB2F11"/>
    <w:rsid w:val="00CB2F24"/>
    <w:rsid w:val="00CB3075"/>
    <w:rsid w:val="00CB30C9"/>
    <w:rsid w:val="00CB3111"/>
    <w:rsid w:val="00CB311F"/>
    <w:rsid w:val="00CB315B"/>
    <w:rsid w:val="00CB31C3"/>
    <w:rsid w:val="00CB32F9"/>
    <w:rsid w:val="00CB3300"/>
    <w:rsid w:val="00CB3351"/>
    <w:rsid w:val="00CB3363"/>
    <w:rsid w:val="00CB33DC"/>
    <w:rsid w:val="00CB3453"/>
    <w:rsid w:val="00CB3486"/>
    <w:rsid w:val="00CB3563"/>
    <w:rsid w:val="00CB35D9"/>
    <w:rsid w:val="00CB362B"/>
    <w:rsid w:val="00CB3647"/>
    <w:rsid w:val="00CB3685"/>
    <w:rsid w:val="00CB36B7"/>
    <w:rsid w:val="00CB36E3"/>
    <w:rsid w:val="00CB37FC"/>
    <w:rsid w:val="00CB380F"/>
    <w:rsid w:val="00CB382E"/>
    <w:rsid w:val="00CB38E1"/>
    <w:rsid w:val="00CB397A"/>
    <w:rsid w:val="00CB3A0F"/>
    <w:rsid w:val="00CB3A1E"/>
    <w:rsid w:val="00CB3A82"/>
    <w:rsid w:val="00CB3AC1"/>
    <w:rsid w:val="00CB3B38"/>
    <w:rsid w:val="00CB3CF4"/>
    <w:rsid w:val="00CB3F35"/>
    <w:rsid w:val="00CB4068"/>
    <w:rsid w:val="00CB40CF"/>
    <w:rsid w:val="00CB4264"/>
    <w:rsid w:val="00CB4325"/>
    <w:rsid w:val="00CB4330"/>
    <w:rsid w:val="00CB4514"/>
    <w:rsid w:val="00CB4555"/>
    <w:rsid w:val="00CB4580"/>
    <w:rsid w:val="00CB4593"/>
    <w:rsid w:val="00CB45B6"/>
    <w:rsid w:val="00CB461A"/>
    <w:rsid w:val="00CB4658"/>
    <w:rsid w:val="00CB4776"/>
    <w:rsid w:val="00CB47A9"/>
    <w:rsid w:val="00CB47FE"/>
    <w:rsid w:val="00CB4814"/>
    <w:rsid w:val="00CB481E"/>
    <w:rsid w:val="00CB484A"/>
    <w:rsid w:val="00CB48B8"/>
    <w:rsid w:val="00CB49B0"/>
    <w:rsid w:val="00CB49DF"/>
    <w:rsid w:val="00CB4A2F"/>
    <w:rsid w:val="00CB4AA6"/>
    <w:rsid w:val="00CB4B4B"/>
    <w:rsid w:val="00CB4C5A"/>
    <w:rsid w:val="00CB4D79"/>
    <w:rsid w:val="00CB4DA2"/>
    <w:rsid w:val="00CB4E04"/>
    <w:rsid w:val="00CB4E9D"/>
    <w:rsid w:val="00CB4F5A"/>
    <w:rsid w:val="00CB4FED"/>
    <w:rsid w:val="00CB4FF0"/>
    <w:rsid w:val="00CB505A"/>
    <w:rsid w:val="00CB50A5"/>
    <w:rsid w:val="00CB50B3"/>
    <w:rsid w:val="00CB5124"/>
    <w:rsid w:val="00CB5264"/>
    <w:rsid w:val="00CB52DE"/>
    <w:rsid w:val="00CB53F8"/>
    <w:rsid w:val="00CB5409"/>
    <w:rsid w:val="00CB547D"/>
    <w:rsid w:val="00CB54AD"/>
    <w:rsid w:val="00CB54B8"/>
    <w:rsid w:val="00CB5675"/>
    <w:rsid w:val="00CB56CA"/>
    <w:rsid w:val="00CB574B"/>
    <w:rsid w:val="00CB575A"/>
    <w:rsid w:val="00CB57A2"/>
    <w:rsid w:val="00CB582F"/>
    <w:rsid w:val="00CB5843"/>
    <w:rsid w:val="00CB5B71"/>
    <w:rsid w:val="00CB5B7C"/>
    <w:rsid w:val="00CB5C01"/>
    <w:rsid w:val="00CB5D5E"/>
    <w:rsid w:val="00CB5D82"/>
    <w:rsid w:val="00CB5EBA"/>
    <w:rsid w:val="00CB5F40"/>
    <w:rsid w:val="00CB5FB4"/>
    <w:rsid w:val="00CB60E0"/>
    <w:rsid w:val="00CB61F7"/>
    <w:rsid w:val="00CB6201"/>
    <w:rsid w:val="00CB639B"/>
    <w:rsid w:val="00CB63E1"/>
    <w:rsid w:val="00CB642C"/>
    <w:rsid w:val="00CB64D7"/>
    <w:rsid w:val="00CB6577"/>
    <w:rsid w:val="00CB6612"/>
    <w:rsid w:val="00CB66AE"/>
    <w:rsid w:val="00CB66FB"/>
    <w:rsid w:val="00CB6748"/>
    <w:rsid w:val="00CB67ED"/>
    <w:rsid w:val="00CB6809"/>
    <w:rsid w:val="00CB6819"/>
    <w:rsid w:val="00CB6899"/>
    <w:rsid w:val="00CB6951"/>
    <w:rsid w:val="00CB6953"/>
    <w:rsid w:val="00CB69AC"/>
    <w:rsid w:val="00CB6AFA"/>
    <w:rsid w:val="00CB6B4A"/>
    <w:rsid w:val="00CB6B95"/>
    <w:rsid w:val="00CB6BD5"/>
    <w:rsid w:val="00CB6BE6"/>
    <w:rsid w:val="00CB6CF1"/>
    <w:rsid w:val="00CB6E00"/>
    <w:rsid w:val="00CB6E24"/>
    <w:rsid w:val="00CB6FD6"/>
    <w:rsid w:val="00CB6FD7"/>
    <w:rsid w:val="00CB707F"/>
    <w:rsid w:val="00CB711A"/>
    <w:rsid w:val="00CB71A0"/>
    <w:rsid w:val="00CB71EA"/>
    <w:rsid w:val="00CB7217"/>
    <w:rsid w:val="00CB72A2"/>
    <w:rsid w:val="00CB7396"/>
    <w:rsid w:val="00CB7439"/>
    <w:rsid w:val="00CB74F9"/>
    <w:rsid w:val="00CB754F"/>
    <w:rsid w:val="00CB7557"/>
    <w:rsid w:val="00CB7583"/>
    <w:rsid w:val="00CB7598"/>
    <w:rsid w:val="00CB766F"/>
    <w:rsid w:val="00CB7695"/>
    <w:rsid w:val="00CB769F"/>
    <w:rsid w:val="00CB76FB"/>
    <w:rsid w:val="00CB7764"/>
    <w:rsid w:val="00CB7793"/>
    <w:rsid w:val="00CB7870"/>
    <w:rsid w:val="00CB7882"/>
    <w:rsid w:val="00CB78A8"/>
    <w:rsid w:val="00CB78F2"/>
    <w:rsid w:val="00CB7A6E"/>
    <w:rsid w:val="00CB7A8E"/>
    <w:rsid w:val="00CB7B71"/>
    <w:rsid w:val="00CB7C3B"/>
    <w:rsid w:val="00CB7C71"/>
    <w:rsid w:val="00CB7D84"/>
    <w:rsid w:val="00CB7D9C"/>
    <w:rsid w:val="00CB7DCF"/>
    <w:rsid w:val="00CB7DFE"/>
    <w:rsid w:val="00CB7E14"/>
    <w:rsid w:val="00CB7E2E"/>
    <w:rsid w:val="00CB7FB9"/>
    <w:rsid w:val="00CC02A0"/>
    <w:rsid w:val="00CC0303"/>
    <w:rsid w:val="00CC05E6"/>
    <w:rsid w:val="00CC05F2"/>
    <w:rsid w:val="00CC0655"/>
    <w:rsid w:val="00CC0666"/>
    <w:rsid w:val="00CC0689"/>
    <w:rsid w:val="00CC070F"/>
    <w:rsid w:val="00CC0762"/>
    <w:rsid w:val="00CC07DB"/>
    <w:rsid w:val="00CC0815"/>
    <w:rsid w:val="00CC088C"/>
    <w:rsid w:val="00CC092E"/>
    <w:rsid w:val="00CC0960"/>
    <w:rsid w:val="00CC0A14"/>
    <w:rsid w:val="00CC0A74"/>
    <w:rsid w:val="00CC0AD7"/>
    <w:rsid w:val="00CC0AE5"/>
    <w:rsid w:val="00CC0BAD"/>
    <w:rsid w:val="00CC0C4F"/>
    <w:rsid w:val="00CC0C59"/>
    <w:rsid w:val="00CC0D58"/>
    <w:rsid w:val="00CC0D68"/>
    <w:rsid w:val="00CC0D8E"/>
    <w:rsid w:val="00CC0E26"/>
    <w:rsid w:val="00CC0F6E"/>
    <w:rsid w:val="00CC0FBE"/>
    <w:rsid w:val="00CC1063"/>
    <w:rsid w:val="00CC1089"/>
    <w:rsid w:val="00CC1163"/>
    <w:rsid w:val="00CC1270"/>
    <w:rsid w:val="00CC1285"/>
    <w:rsid w:val="00CC12B5"/>
    <w:rsid w:val="00CC1322"/>
    <w:rsid w:val="00CC1343"/>
    <w:rsid w:val="00CC137D"/>
    <w:rsid w:val="00CC1400"/>
    <w:rsid w:val="00CC1471"/>
    <w:rsid w:val="00CC16B7"/>
    <w:rsid w:val="00CC177C"/>
    <w:rsid w:val="00CC1835"/>
    <w:rsid w:val="00CC18B6"/>
    <w:rsid w:val="00CC18FD"/>
    <w:rsid w:val="00CC1907"/>
    <w:rsid w:val="00CC1908"/>
    <w:rsid w:val="00CC1A4A"/>
    <w:rsid w:val="00CC1A76"/>
    <w:rsid w:val="00CC1AAE"/>
    <w:rsid w:val="00CC1AD4"/>
    <w:rsid w:val="00CC1AFC"/>
    <w:rsid w:val="00CC1B10"/>
    <w:rsid w:val="00CC1C78"/>
    <w:rsid w:val="00CC1CBD"/>
    <w:rsid w:val="00CC1D55"/>
    <w:rsid w:val="00CC1E0D"/>
    <w:rsid w:val="00CC1E5B"/>
    <w:rsid w:val="00CC1E8F"/>
    <w:rsid w:val="00CC1EDD"/>
    <w:rsid w:val="00CC1F16"/>
    <w:rsid w:val="00CC2020"/>
    <w:rsid w:val="00CC2091"/>
    <w:rsid w:val="00CC20B9"/>
    <w:rsid w:val="00CC2122"/>
    <w:rsid w:val="00CC229D"/>
    <w:rsid w:val="00CC22AC"/>
    <w:rsid w:val="00CC2358"/>
    <w:rsid w:val="00CC237C"/>
    <w:rsid w:val="00CC2395"/>
    <w:rsid w:val="00CC2436"/>
    <w:rsid w:val="00CC244E"/>
    <w:rsid w:val="00CC2482"/>
    <w:rsid w:val="00CC257A"/>
    <w:rsid w:val="00CC2598"/>
    <w:rsid w:val="00CC263A"/>
    <w:rsid w:val="00CC270D"/>
    <w:rsid w:val="00CC275C"/>
    <w:rsid w:val="00CC2772"/>
    <w:rsid w:val="00CC27BA"/>
    <w:rsid w:val="00CC2811"/>
    <w:rsid w:val="00CC2994"/>
    <w:rsid w:val="00CC29D8"/>
    <w:rsid w:val="00CC2A2E"/>
    <w:rsid w:val="00CC2A40"/>
    <w:rsid w:val="00CC2A54"/>
    <w:rsid w:val="00CC2B3D"/>
    <w:rsid w:val="00CC2C00"/>
    <w:rsid w:val="00CC2C7C"/>
    <w:rsid w:val="00CC2CE9"/>
    <w:rsid w:val="00CC2CF4"/>
    <w:rsid w:val="00CC2D0B"/>
    <w:rsid w:val="00CC2E55"/>
    <w:rsid w:val="00CC2F0D"/>
    <w:rsid w:val="00CC2F63"/>
    <w:rsid w:val="00CC2FB9"/>
    <w:rsid w:val="00CC2FD6"/>
    <w:rsid w:val="00CC2FD8"/>
    <w:rsid w:val="00CC31B5"/>
    <w:rsid w:val="00CC321F"/>
    <w:rsid w:val="00CC3461"/>
    <w:rsid w:val="00CC34EF"/>
    <w:rsid w:val="00CC3551"/>
    <w:rsid w:val="00CC3557"/>
    <w:rsid w:val="00CC369B"/>
    <w:rsid w:val="00CC3796"/>
    <w:rsid w:val="00CC3816"/>
    <w:rsid w:val="00CC385B"/>
    <w:rsid w:val="00CC3874"/>
    <w:rsid w:val="00CC38BF"/>
    <w:rsid w:val="00CC38D6"/>
    <w:rsid w:val="00CC3902"/>
    <w:rsid w:val="00CC3937"/>
    <w:rsid w:val="00CC3A57"/>
    <w:rsid w:val="00CC3ADD"/>
    <w:rsid w:val="00CC3B40"/>
    <w:rsid w:val="00CC3B81"/>
    <w:rsid w:val="00CC3C02"/>
    <w:rsid w:val="00CC3DB9"/>
    <w:rsid w:val="00CC3DC1"/>
    <w:rsid w:val="00CC3F49"/>
    <w:rsid w:val="00CC3F7A"/>
    <w:rsid w:val="00CC3FF6"/>
    <w:rsid w:val="00CC406C"/>
    <w:rsid w:val="00CC4094"/>
    <w:rsid w:val="00CC40FB"/>
    <w:rsid w:val="00CC41DE"/>
    <w:rsid w:val="00CC41E0"/>
    <w:rsid w:val="00CC4224"/>
    <w:rsid w:val="00CC4232"/>
    <w:rsid w:val="00CC4294"/>
    <w:rsid w:val="00CC4373"/>
    <w:rsid w:val="00CC445A"/>
    <w:rsid w:val="00CC44A2"/>
    <w:rsid w:val="00CC4626"/>
    <w:rsid w:val="00CC46F5"/>
    <w:rsid w:val="00CC4767"/>
    <w:rsid w:val="00CC4859"/>
    <w:rsid w:val="00CC486D"/>
    <w:rsid w:val="00CC48A2"/>
    <w:rsid w:val="00CC4977"/>
    <w:rsid w:val="00CC4992"/>
    <w:rsid w:val="00CC49E9"/>
    <w:rsid w:val="00CC4AB6"/>
    <w:rsid w:val="00CC4B06"/>
    <w:rsid w:val="00CC4B73"/>
    <w:rsid w:val="00CC4D7C"/>
    <w:rsid w:val="00CC4DD0"/>
    <w:rsid w:val="00CC4EC3"/>
    <w:rsid w:val="00CC4EF2"/>
    <w:rsid w:val="00CC51BA"/>
    <w:rsid w:val="00CC51D4"/>
    <w:rsid w:val="00CC51D7"/>
    <w:rsid w:val="00CC526A"/>
    <w:rsid w:val="00CC534E"/>
    <w:rsid w:val="00CC53CF"/>
    <w:rsid w:val="00CC548C"/>
    <w:rsid w:val="00CC54D9"/>
    <w:rsid w:val="00CC54E2"/>
    <w:rsid w:val="00CC54E5"/>
    <w:rsid w:val="00CC5587"/>
    <w:rsid w:val="00CC55AC"/>
    <w:rsid w:val="00CC55B7"/>
    <w:rsid w:val="00CC5634"/>
    <w:rsid w:val="00CC57CA"/>
    <w:rsid w:val="00CC57E7"/>
    <w:rsid w:val="00CC5881"/>
    <w:rsid w:val="00CC58EB"/>
    <w:rsid w:val="00CC5942"/>
    <w:rsid w:val="00CC5950"/>
    <w:rsid w:val="00CC5A47"/>
    <w:rsid w:val="00CC5A82"/>
    <w:rsid w:val="00CC5B13"/>
    <w:rsid w:val="00CC5B2D"/>
    <w:rsid w:val="00CC5B44"/>
    <w:rsid w:val="00CC5C17"/>
    <w:rsid w:val="00CC5C99"/>
    <w:rsid w:val="00CC5D63"/>
    <w:rsid w:val="00CC5D88"/>
    <w:rsid w:val="00CC5E8D"/>
    <w:rsid w:val="00CC5E98"/>
    <w:rsid w:val="00CC6038"/>
    <w:rsid w:val="00CC6040"/>
    <w:rsid w:val="00CC6137"/>
    <w:rsid w:val="00CC62A9"/>
    <w:rsid w:val="00CC62AD"/>
    <w:rsid w:val="00CC6385"/>
    <w:rsid w:val="00CC640E"/>
    <w:rsid w:val="00CC65DB"/>
    <w:rsid w:val="00CC666B"/>
    <w:rsid w:val="00CC668D"/>
    <w:rsid w:val="00CC6784"/>
    <w:rsid w:val="00CC67F2"/>
    <w:rsid w:val="00CC6841"/>
    <w:rsid w:val="00CC68A8"/>
    <w:rsid w:val="00CC68E0"/>
    <w:rsid w:val="00CC68E4"/>
    <w:rsid w:val="00CC6977"/>
    <w:rsid w:val="00CC69D7"/>
    <w:rsid w:val="00CC69FD"/>
    <w:rsid w:val="00CC6AFA"/>
    <w:rsid w:val="00CC6B35"/>
    <w:rsid w:val="00CC6B69"/>
    <w:rsid w:val="00CC6BF7"/>
    <w:rsid w:val="00CC6C29"/>
    <w:rsid w:val="00CC6D00"/>
    <w:rsid w:val="00CC6DA3"/>
    <w:rsid w:val="00CC6DDA"/>
    <w:rsid w:val="00CC6DDB"/>
    <w:rsid w:val="00CC6E03"/>
    <w:rsid w:val="00CC6E3F"/>
    <w:rsid w:val="00CC6EB3"/>
    <w:rsid w:val="00CC6ED0"/>
    <w:rsid w:val="00CC6F19"/>
    <w:rsid w:val="00CC703D"/>
    <w:rsid w:val="00CC7196"/>
    <w:rsid w:val="00CC71DB"/>
    <w:rsid w:val="00CC7247"/>
    <w:rsid w:val="00CC72D0"/>
    <w:rsid w:val="00CC7361"/>
    <w:rsid w:val="00CC7388"/>
    <w:rsid w:val="00CC7395"/>
    <w:rsid w:val="00CC739A"/>
    <w:rsid w:val="00CC73D6"/>
    <w:rsid w:val="00CC73E4"/>
    <w:rsid w:val="00CC753E"/>
    <w:rsid w:val="00CC7556"/>
    <w:rsid w:val="00CC75D2"/>
    <w:rsid w:val="00CC7684"/>
    <w:rsid w:val="00CC76E7"/>
    <w:rsid w:val="00CC77AD"/>
    <w:rsid w:val="00CC77E9"/>
    <w:rsid w:val="00CC7810"/>
    <w:rsid w:val="00CC78AD"/>
    <w:rsid w:val="00CC78B2"/>
    <w:rsid w:val="00CC78D1"/>
    <w:rsid w:val="00CC7A32"/>
    <w:rsid w:val="00CC7B2A"/>
    <w:rsid w:val="00CC7B91"/>
    <w:rsid w:val="00CC7BA3"/>
    <w:rsid w:val="00CC7BB1"/>
    <w:rsid w:val="00CC7C44"/>
    <w:rsid w:val="00CC7C6F"/>
    <w:rsid w:val="00CC7C81"/>
    <w:rsid w:val="00CC7D60"/>
    <w:rsid w:val="00CC7DAD"/>
    <w:rsid w:val="00CC7DF5"/>
    <w:rsid w:val="00CC7E4C"/>
    <w:rsid w:val="00CC7E7B"/>
    <w:rsid w:val="00CC7EDC"/>
    <w:rsid w:val="00CC7FA7"/>
    <w:rsid w:val="00CC7FB8"/>
    <w:rsid w:val="00CC7FEC"/>
    <w:rsid w:val="00CD0097"/>
    <w:rsid w:val="00CD00DB"/>
    <w:rsid w:val="00CD0184"/>
    <w:rsid w:val="00CD02A5"/>
    <w:rsid w:val="00CD02B6"/>
    <w:rsid w:val="00CD02E6"/>
    <w:rsid w:val="00CD03F9"/>
    <w:rsid w:val="00CD0477"/>
    <w:rsid w:val="00CD0481"/>
    <w:rsid w:val="00CD04C3"/>
    <w:rsid w:val="00CD059D"/>
    <w:rsid w:val="00CD064C"/>
    <w:rsid w:val="00CD06DC"/>
    <w:rsid w:val="00CD071C"/>
    <w:rsid w:val="00CD0733"/>
    <w:rsid w:val="00CD0899"/>
    <w:rsid w:val="00CD08F1"/>
    <w:rsid w:val="00CD0975"/>
    <w:rsid w:val="00CD0996"/>
    <w:rsid w:val="00CD0A73"/>
    <w:rsid w:val="00CD0AC6"/>
    <w:rsid w:val="00CD0AD2"/>
    <w:rsid w:val="00CD0BB9"/>
    <w:rsid w:val="00CD0BE2"/>
    <w:rsid w:val="00CD0C5E"/>
    <w:rsid w:val="00CD0D51"/>
    <w:rsid w:val="00CD0E99"/>
    <w:rsid w:val="00CD0F8D"/>
    <w:rsid w:val="00CD0FA7"/>
    <w:rsid w:val="00CD0FBE"/>
    <w:rsid w:val="00CD0FC0"/>
    <w:rsid w:val="00CD0FFF"/>
    <w:rsid w:val="00CD1007"/>
    <w:rsid w:val="00CD11BB"/>
    <w:rsid w:val="00CD11EF"/>
    <w:rsid w:val="00CD12D5"/>
    <w:rsid w:val="00CD12E4"/>
    <w:rsid w:val="00CD12EA"/>
    <w:rsid w:val="00CD1307"/>
    <w:rsid w:val="00CD1335"/>
    <w:rsid w:val="00CD136D"/>
    <w:rsid w:val="00CD1378"/>
    <w:rsid w:val="00CD13D6"/>
    <w:rsid w:val="00CD13DB"/>
    <w:rsid w:val="00CD13EA"/>
    <w:rsid w:val="00CD1458"/>
    <w:rsid w:val="00CD15BC"/>
    <w:rsid w:val="00CD1621"/>
    <w:rsid w:val="00CD1622"/>
    <w:rsid w:val="00CD1626"/>
    <w:rsid w:val="00CD1777"/>
    <w:rsid w:val="00CD18EC"/>
    <w:rsid w:val="00CD19A3"/>
    <w:rsid w:val="00CD19A8"/>
    <w:rsid w:val="00CD19A9"/>
    <w:rsid w:val="00CD19FF"/>
    <w:rsid w:val="00CD1A02"/>
    <w:rsid w:val="00CD1ABD"/>
    <w:rsid w:val="00CD1B41"/>
    <w:rsid w:val="00CD1B91"/>
    <w:rsid w:val="00CD1CCF"/>
    <w:rsid w:val="00CD1CE4"/>
    <w:rsid w:val="00CD1D6C"/>
    <w:rsid w:val="00CD1E42"/>
    <w:rsid w:val="00CD1E7B"/>
    <w:rsid w:val="00CD1F1C"/>
    <w:rsid w:val="00CD1FAE"/>
    <w:rsid w:val="00CD2125"/>
    <w:rsid w:val="00CD2310"/>
    <w:rsid w:val="00CD23AB"/>
    <w:rsid w:val="00CD2425"/>
    <w:rsid w:val="00CD244A"/>
    <w:rsid w:val="00CD24C8"/>
    <w:rsid w:val="00CD24FE"/>
    <w:rsid w:val="00CD2574"/>
    <w:rsid w:val="00CD2593"/>
    <w:rsid w:val="00CD25DC"/>
    <w:rsid w:val="00CD2627"/>
    <w:rsid w:val="00CD2680"/>
    <w:rsid w:val="00CD268E"/>
    <w:rsid w:val="00CD26DC"/>
    <w:rsid w:val="00CD2789"/>
    <w:rsid w:val="00CD2837"/>
    <w:rsid w:val="00CD2896"/>
    <w:rsid w:val="00CD28AF"/>
    <w:rsid w:val="00CD2A66"/>
    <w:rsid w:val="00CD2A7D"/>
    <w:rsid w:val="00CD2AAA"/>
    <w:rsid w:val="00CD2B65"/>
    <w:rsid w:val="00CD2C17"/>
    <w:rsid w:val="00CD2C19"/>
    <w:rsid w:val="00CD2C93"/>
    <w:rsid w:val="00CD2C98"/>
    <w:rsid w:val="00CD2CCE"/>
    <w:rsid w:val="00CD2D41"/>
    <w:rsid w:val="00CD2DF9"/>
    <w:rsid w:val="00CD2EE4"/>
    <w:rsid w:val="00CD2F5D"/>
    <w:rsid w:val="00CD2F6B"/>
    <w:rsid w:val="00CD3065"/>
    <w:rsid w:val="00CD3097"/>
    <w:rsid w:val="00CD30EF"/>
    <w:rsid w:val="00CD3173"/>
    <w:rsid w:val="00CD3180"/>
    <w:rsid w:val="00CD331A"/>
    <w:rsid w:val="00CD334B"/>
    <w:rsid w:val="00CD33BE"/>
    <w:rsid w:val="00CD33C7"/>
    <w:rsid w:val="00CD3527"/>
    <w:rsid w:val="00CD35BB"/>
    <w:rsid w:val="00CD35D4"/>
    <w:rsid w:val="00CD35E6"/>
    <w:rsid w:val="00CD3703"/>
    <w:rsid w:val="00CD37E1"/>
    <w:rsid w:val="00CD3810"/>
    <w:rsid w:val="00CD3835"/>
    <w:rsid w:val="00CD385B"/>
    <w:rsid w:val="00CD39C2"/>
    <w:rsid w:val="00CD3A8D"/>
    <w:rsid w:val="00CD3A91"/>
    <w:rsid w:val="00CD3C57"/>
    <w:rsid w:val="00CD3D41"/>
    <w:rsid w:val="00CD3DA9"/>
    <w:rsid w:val="00CD3E17"/>
    <w:rsid w:val="00CD3E2A"/>
    <w:rsid w:val="00CD3E3C"/>
    <w:rsid w:val="00CD3EE4"/>
    <w:rsid w:val="00CD3EF3"/>
    <w:rsid w:val="00CD3EFD"/>
    <w:rsid w:val="00CD3EFF"/>
    <w:rsid w:val="00CD3FAB"/>
    <w:rsid w:val="00CD4054"/>
    <w:rsid w:val="00CD415C"/>
    <w:rsid w:val="00CD4181"/>
    <w:rsid w:val="00CD419C"/>
    <w:rsid w:val="00CD41FE"/>
    <w:rsid w:val="00CD4284"/>
    <w:rsid w:val="00CD433C"/>
    <w:rsid w:val="00CD4371"/>
    <w:rsid w:val="00CD44D4"/>
    <w:rsid w:val="00CD4507"/>
    <w:rsid w:val="00CD45AA"/>
    <w:rsid w:val="00CD46C8"/>
    <w:rsid w:val="00CD46CF"/>
    <w:rsid w:val="00CD46E8"/>
    <w:rsid w:val="00CD46EC"/>
    <w:rsid w:val="00CD4706"/>
    <w:rsid w:val="00CD4738"/>
    <w:rsid w:val="00CD474B"/>
    <w:rsid w:val="00CD4778"/>
    <w:rsid w:val="00CD47FD"/>
    <w:rsid w:val="00CD489E"/>
    <w:rsid w:val="00CD48AB"/>
    <w:rsid w:val="00CD48AD"/>
    <w:rsid w:val="00CD48F2"/>
    <w:rsid w:val="00CD4904"/>
    <w:rsid w:val="00CD4966"/>
    <w:rsid w:val="00CD4B9F"/>
    <w:rsid w:val="00CD4C05"/>
    <w:rsid w:val="00CD4C78"/>
    <w:rsid w:val="00CD4C8F"/>
    <w:rsid w:val="00CD4CA6"/>
    <w:rsid w:val="00CD4CDF"/>
    <w:rsid w:val="00CD4CF0"/>
    <w:rsid w:val="00CD4D41"/>
    <w:rsid w:val="00CD4D7C"/>
    <w:rsid w:val="00CD4DB9"/>
    <w:rsid w:val="00CD4DBB"/>
    <w:rsid w:val="00CD4DC0"/>
    <w:rsid w:val="00CD4EFE"/>
    <w:rsid w:val="00CD4FD5"/>
    <w:rsid w:val="00CD4FDA"/>
    <w:rsid w:val="00CD4FDE"/>
    <w:rsid w:val="00CD50AD"/>
    <w:rsid w:val="00CD517D"/>
    <w:rsid w:val="00CD51D1"/>
    <w:rsid w:val="00CD525B"/>
    <w:rsid w:val="00CD5331"/>
    <w:rsid w:val="00CD547B"/>
    <w:rsid w:val="00CD54A6"/>
    <w:rsid w:val="00CD54A9"/>
    <w:rsid w:val="00CD54B2"/>
    <w:rsid w:val="00CD5585"/>
    <w:rsid w:val="00CD55B6"/>
    <w:rsid w:val="00CD5698"/>
    <w:rsid w:val="00CD56AE"/>
    <w:rsid w:val="00CD56EF"/>
    <w:rsid w:val="00CD57E6"/>
    <w:rsid w:val="00CD58E8"/>
    <w:rsid w:val="00CD599D"/>
    <w:rsid w:val="00CD59FF"/>
    <w:rsid w:val="00CD5B24"/>
    <w:rsid w:val="00CD5B6F"/>
    <w:rsid w:val="00CD5BDC"/>
    <w:rsid w:val="00CD5C58"/>
    <w:rsid w:val="00CD5DED"/>
    <w:rsid w:val="00CD604F"/>
    <w:rsid w:val="00CD6055"/>
    <w:rsid w:val="00CD60D3"/>
    <w:rsid w:val="00CD61F2"/>
    <w:rsid w:val="00CD6272"/>
    <w:rsid w:val="00CD6290"/>
    <w:rsid w:val="00CD62B4"/>
    <w:rsid w:val="00CD62C0"/>
    <w:rsid w:val="00CD62E0"/>
    <w:rsid w:val="00CD6374"/>
    <w:rsid w:val="00CD63EE"/>
    <w:rsid w:val="00CD6457"/>
    <w:rsid w:val="00CD648E"/>
    <w:rsid w:val="00CD64CE"/>
    <w:rsid w:val="00CD64D3"/>
    <w:rsid w:val="00CD65FB"/>
    <w:rsid w:val="00CD65FD"/>
    <w:rsid w:val="00CD6612"/>
    <w:rsid w:val="00CD66C9"/>
    <w:rsid w:val="00CD67B3"/>
    <w:rsid w:val="00CD67DD"/>
    <w:rsid w:val="00CD6835"/>
    <w:rsid w:val="00CD68A1"/>
    <w:rsid w:val="00CD69E3"/>
    <w:rsid w:val="00CD6A30"/>
    <w:rsid w:val="00CD6A68"/>
    <w:rsid w:val="00CD6B05"/>
    <w:rsid w:val="00CD6B55"/>
    <w:rsid w:val="00CD6C31"/>
    <w:rsid w:val="00CD6CA2"/>
    <w:rsid w:val="00CD6DBF"/>
    <w:rsid w:val="00CD6DF7"/>
    <w:rsid w:val="00CD6E3D"/>
    <w:rsid w:val="00CD6E9D"/>
    <w:rsid w:val="00CD6F3F"/>
    <w:rsid w:val="00CD6FDB"/>
    <w:rsid w:val="00CD7049"/>
    <w:rsid w:val="00CD70F7"/>
    <w:rsid w:val="00CD7140"/>
    <w:rsid w:val="00CD723F"/>
    <w:rsid w:val="00CD7241"/>
    <w:rsid w:val="00CD72A4"/>
    <w:rsid w:val="00CD742C"/>
    <w:rsid w:val="00CD744C"/>
    <w:rsid w:val="00CD7503"/>
    <w:rsid w:val="00CD751E"/>
    <w:rsid w:val="00CD7555"/>
    <w:rsid w:val="00CD75A2"/>
    <w:rsid w:val="00CD75D3"/>
    <w:rsid w:val="00CD7617"/>
    <w:rsid w:val="00CD7622"/>
    <w:rsid w:val="00CD7685"/>
    <w:rsid w:val="00CD7687"/>
    <w:rsid w:val="00CD7723"/>
    <w:rsid w:val="00CD78B1"/>
    <w:rsid w:val="00CD796C"/>
    <w:rsid w:val="00CD79BF"/>
    <w:rsid w:val="00CD79DE"/>
    <w:rsid w:val="00CD7A58"/>
    <w:rsid w:val="00CD7AA3"/>
    <w:rsid w:val="00CD7AF2"/>
    <w:rsid w:val="00CD7B93"/>
    <w:rsid w:val="00CD7C9C"/>
    <w:rsid w:val="00CD7CE5"/>
    <w:rsid w:val="00CD7E39"/>
    <w:rsid w:val="00CD7E71"/>
    <w:rsid w:val="00CD7EB1"/>
    <w:rsid w:val="00CD7FB6"/>
    <w:rsid w:val="00CD7FD4"/>
    <w:rsid w:val="00CE0210"/>
    <w:rsid w:val="00CE044B"/>
    <w:rsid w:val="00CE04B3"/>
    <w:rsid w:val="00CE04D2"/>
    <w:rsid w:val="00CE050C"/>
    <w:rsid w:val="00CE05DC"/>
    <w:rsid w:val="00CE0682"/>
    <w:rsid w:val="00CE06E7"/>
    <w:rsid w:val="00CE073C"/>
    <w:rsid w:val="00CE0746"/>
    <w:rsid w:val="00CE0756"/>
    <w:rsid w:val="00CE0789"/>
    <w:rsid w:val="00CE07D2"/>
    <w:rsid w:val="00CE080C"/>
    <w:rsid w:val="00CE0847"/>
    <w:rsid w:val="00CE084B"/>
    <w:rsid w:val="00CE08CF"/>
    <w:rsid w:val="00CE09BA"/>
    <w:rsid w:val="00CE0A6D"/>
    <w:rsid w:val="00CE0B01"/>
    <w:rsid w:val="00CE0BA6"/>
    <w:rsid w:val="00CE0DC6"/>
    <w:rsid w:val="00CE0E7D"/>
    <w:rsid w:val="00CE0ED8"/>
    <w:rsid w:val="00CE100A"/>
    <w:rsid w:val="00CE1062"/>
    <w:rsid w:val="00CE10F2"/>
    <w:rsid w:val="00CE1229"/>
    <w:rsid w:val="00CE130A"/>
    <w:rsid w:val="00CE130E"/>
    <w:rsid w:val="00CE13BD"/>
    <w:rsid w:val="00CE142E"/>
    <w:rsid w:val="00CE146A"/>
    <w:rsid w:val="00CE1477"/>
    <w:rsid w:val="00CE14A0"/>
    <w:rsid w:val="00CE14F6"/>
    <w:rsid w:val="00CE14F7"/>
    <w:rsid w:val="00CE1536"/>
    <w:rsid w:val="00CE15CF"/>
    <w:rsid w:val="00CE15E8"/>
    <w:rsid w:val="00CE1614"/>
    <w:rsid w:val="00CE16FB"/>
    <w:rsid w:val="00CE1787"/>
    <w:rsid w:val="00CE180F"/>
    <w:rsid w:val="00CE1812"/>
    <w:rsid w:val="00CE185E"/>
    <w:rsid w:val="00CE18E5"/>
    <w:rsid w:val="00CE19E2"/>
    <w:rsid w:val="00CE1A4D"/>
    <w:rsid w:val="00CE1C18"/>
    <w:rsid w:val="00CE1E15"/>
    <w:rsid w:val="00CE1E19"/>
    <w:rsid w:val="00CE1E9E"/>
    <w:rsid w:val="00CE1F54"/>
    <w:rsid w:val="00CE1F8F"/>
    <w:rsid w:val="00CE2078"/>
    <w:rsid w:val="00CE20B6"/>
    <w:rsid w:val="00CE2140"/>
    <w:rsid w:val="00CE21A9"/>
    <w:rsid w:val="00CE2236"/>
    <w:rsid w:val="00CE22C7"/>
    <w:rsid w:val="00CE22F2"/>
    <w:rsid w:val="00CE230C"/>
    <w:rsid w:val="00CE2328"/>
    <w:rsid w:val="00CE239C"/>
    <w:rsid w:val="00CE24E4"/>
    <w:rsid w:val="00CE2535"/>
    <w:rsid w:val="00CE257C"/>
    <w:rsid w:val="00CE2640"/>
    <w:rsid w:val="00CE2724"/>
    <w:rsid w:val="00CE27C6"/>
    <w:rsid w:val="00CE287B"/>
    <w:rsid w:val="00CE29A7"/>
    <w:rsid w:val="00CE2B44"/>
    <w:rsid w:val="00CE2BA8"/>
    <w:rsid w:val="00CE2C4A"/>
    <w:rsid w:val="00CE2C66"/>
    <w:rsid w:val="00CE2C81"/>
    <w:rsid w:val="00CE2C9A"/>
    <w:rsid w:val="00CE2CF8"/>
    <w:rsid w:val="00CE2FA7"/>
    <w:rsid w:val="00CE2FD3"/>
    <w:rsid w:val="00CE2FD4"/>
    <w:rsid w:val="00CE3044"/>
    <w:rsid w:val="00CE3081"/>
    <w:rsid w:val="00CE3100"/>
    <w:rsid w:val="00CE3126"/>
    <w:rsid w:val="00CE3132"/>
    <w:rsid w:val="00CE32AD"/>
    <w:rsid w:val="00CE3411"/>
    <w:rsid w:val="00CE347F"/>
    <w:rsid w:val="00CE34F6"/>
    <w:rsid w:val="00CE355C"/>
    <w:rsid w:val="00CE3584"/>
    <w:rsid w:val="00CE3599"/>
    <w:rsid w:val="00CE3727"/>
    <w:rsid w:val="00CE3764"/>
    <w:rsid w:val="00CE3799"/>
    <w:rsid w:val="00CE379F"/>
    <w:rsid w:val="00CE381A"/>
    <w:rsid w:val="00CE3832"/>
    <w:rsid w:val="00CE3869"/>
    <w:rsid w:val="00CE38E9"/>
    <w:rsid w:val="00CE3A05"/>
    <w:rsid w:val="00CE3AE8"/>
    <w:rsid w:val="00CE3B3E"/>
    <w:rsid w:val="00CE3C6C"/>
    <w:rsid w:val="00CE3D5B"/>
    <w:rsid w:val="00CE3E04"/>
    <w:rsid w:val="00CE3F34"/>
    <w:rsid w:val="00CE3F6D"/>
    <w:rsid w:val="00CE3F88"/>
    <w:rsid w:val="00CE3FCC"/>
    <w:rsid w:val="00CE3FD5"/>
    <w:rsid w:val="00CE405C"/>
    <w:rsid w:val="00CE4124"/>
    <w:rsid w:val="00CE4138"/>
    <w:rsid w:val="00CE4198"/>
    <w:rsid w:val="00CE42A3"/>
    <w:rsid w:val="00CE4457"/>
    <w:rsid w:val="00CE4475"/>
    <w:rsid w:val="00CE4504"/>
    <w:rsid w:val="00CE4599"/>
    <w:rsid w:val="00CE45E6"/>
    <w:rsid w:val="00CE4619"/>
    <w:rsid w:val="00CE4708"/>
    <w:rsid w:val="00CE47A4"/>
    <w:rsid w:val="00CE47B9"/>
    <w:rsid w:val="00CE47D9"/>
    <w:rsid w:val="00CE4805"/>
    <w:rsid w:val="00CE48E1"/>
    <w:rsid w:val="00CE48E3"/>
    <w:rsid w:val="00CE4909"/>
    <w:rsid w:val="00CE49A1"/>
    <w:rsid w:val="00CE4A08"/>
    <w:rsid w:val="00CE4A97"/>
    <w:rsid w:val="00CE4AB3"/>
    <w:rsid w:val="00CE4B1F"/>
    <w:rsid w:val="00CE4BD3"/>
    <w:rsid w:val="00CE4C10"/>
    <w:rsid w:val="00CE4C80"/>
    <w:rsid w:val="00CE4C95"/>
    <w:rsid w:val="00CE4CD5"/>
    <w:rsid w:val="00CE4D19"/>
    <w:rsid w:val="00CE4DF4"/>
    <w:rsid w:val="00CE4E03"/>
    <w:rsid w:val="00CE4E80"/>
    <w:rsid w:val="00CE4E95"/>
    <w:rsid w:val="00CE4EA5"/>
    <w:rsid w:val="00CE4EC8"/>
    <w:rsid w:val="00CE4F5F"/>
    <w:rsid w:val="00CE504A"/>
    <w:rsid w:val="00CE50AF"/>
    <w:rsid w:val="00CE50D3"/>
    <w:rsid w:val="00CE51EE"/>
    <w:rsid w:val="00CE539A"/>
    <w:rsid w:val="00CE53AA"/>
    <w:rsid w:val="00CE5410"/>
    <w:rsid w:val="00CE555A"/>
    <w:rsid w:val="00CE565C"/>
    <w:rsid w:val="00CE5714"/>
    <w:rsid w:val="00CE57C2"/>
    <w:rsid w:val="00CE5859"/>
    <w:rsid w:val="00CE5894"/>
    <w:rsid w:val="00CE58A1"/>
    <w:rsid w:val="00CE58C5"/>
    <w:rsid w:val="00CE5945"/>
    <w:rsid w:val="00CE5B13"/>
    <w:rsid w:val="00CE5B83"/>
    <w:rsid w:val="00CE5C50"/>
    <w:rsid w:val="00CE5C94"/>
    <w:rsid w:val="00CE5E23"/>
    <w:rsid w:val="00CE5F24"/>
    <w:rsid w:val="00CE602E"/>
    <w:rsid w:val="00CE612F"/>
    <w:rsid w:val="00CE61AC"/>
    <w:rsid w:val="00CE61EC"/>
    <w:rsid w:val="00CE621C"/>
    <w:rsid w:val="00CE6302"/>
    <w:rsid w:val="00CE649F"/>
    <w:rsid w:val="00CE6591"/>
    <w:rsid w:val="00CE66B2"/>
    <w:rsid w:val="00CE6701"/>
    <w:rsid w:val="00CE67A9"/>
    <w:rsid w:val="00CE6803"/>
    <w:rsid w:val="00CE680D"/>
    <w:rsid w:val="00CE6832"/>
    <w:rsid w:val="00CE6864"/>
    <w:rsid w:val="00CE69D9"/>
    <w:rsid w:val="00CE6A6C"/>
    <w:rsid w:val="00CE6A7F"/>
    <w:rsid w:val="00CE6AE7"/>
    <w:rsid w:val="00CE6C38"/>
    <w:rsid w:val="00CE6C5A"/>
    <w:rsid w:val="00CE6CA1"/>
    <w:rsid w:val="00CE6D0B"/>
    <w:rsid w:val="00CE6D4B"/>
    <w:rsid w:val="00CE6DBA"/>
    <w:rsid w:val="00CE6FED"/>
    <w:rsid w:val="00CE706B"/>
    <w:rsid w:val="00CE713F"/>
    <w:rsid w:val="00CE724F"/>
    <w:rsid w:val="00CE72F9"/>
    <w:rsid w:val="00CE732A"/>
    <w:rsid w:val="00CE73E8"/>
    <w:rsid w:val="00CE754A"/>
    <w:rsid w:val="00CE7618"/>
    <w:rsid w:val="00CE7638"/>
    <w:rsid w:val="00CE77A4"/>
    <w:rsid w:val="00CE77A8"/>
    <w:rsid w:val="00CE77D3"/>
    <w:rsid w:val="00CE78AC"/>
    <w:rsid w:val="00CE78B6"/>
    <w:rsid w:val="00CE794C"/>
    <w:rsid w:val="00CE7966"/>
    <w:rsid w:val="00CE79BB"/>
    <w:rsid w:val="00CE79F5"/>
    <w:rsid w:val="00CE7BB6"/>
    <w:rsid w:val="00CE7BBA"/>
    <w:rsid w:val="00CE7C1C"/>
    <w:rsid w:val="00CE7C4E"/>
    <w:rsid w:val="00CE7C5A"/>
    <w:rsid w:val="00CE7CF6"/>
    <w:rsid w:val="00CE7DDB"/>
    <w:rsid w:val="00CE7E6C"/>
    <w:rsid w:val="00CF0110"/>
    <w:rsid w:val="00CF0134"/>
    <w:rsid w:val="00CF016E"/>
    <w:rsid w:val="00CF020C"/>
    <w:rsid w:val="00CF029C"/>
    <w:rsid w:val="00CF03E1"/>
    <w:rsid w:val="00CF0537"/>
    <w:rsid w:val="00CF057E"/>
    <w:rsid w:val="00CF05BE"/>
    <w:rsid w:val="00CF066E"/>
    <w:rsid w:val="00CF06B4"/>
    <w:rsid w:val="00CF07FF"/>
    <w:rsid w:val="00CF080E"/>
    <w:rsid w:val="00CF0892"/>
    <w:rsid w:val="00CF0994"/>
    <w:rsid w:val="00CF09D4"/>
    <w:rsid w:val="00CF09D7"/>
    <w:rsid w:val="00CF0AB9"/>
    <w:rsid w:val="00CF0B18"/>
    <w:rsid w:val="00CF0C5F"/>
    <w:rsid w:val="00CF0CF0"/>
    <w:rsid w:val="00CF0D22"/>
    <w:rsid w:val="00CF0E76"/>
    <w:rsid w:val="00CF100C"/>
    <w:rsid w:val="00CF102A"/>
    <w:rsid w:val="00CF10B3"/>
    <w:rsid w:val="00CF1140"/>
    <w:rsid w:val="00CF116C"/>
    <w:rsid w:val="00CF1176"/>
    <w:rsid w:val="00CF1178"/>
    <w:rsid w:val="00CF1239"/>
    <w:rsid w:val="00CF128F"/>
    <w:rsid w:val="00CF12CA"/>
    <w:rsid w:val="00CF12CF"/>
    <w:rsid w:val="00CF138B"/>
    <w:rsid w:val="00CF13D2"/>
    <w:rsid w:val="00CF1488"/>
    <w:rsid w:val="00CF15F9"/>
    <w:rsid w:val="00CF162B"/>
    <w:rsid w:val="00CF172D"/>
    <w:rsid w:val="00CF1796"/>
    <w:rsid w:val="00CF184B"/>
    <w:rsid w:val="00CF19AF"/>
    <w:rsid w:val="00CF19BD"/>
    <w:rsid w:val="00CF1B04"/>
    <w:rsid w:val="00CF1B41"/>
    <w:rsid w:val="00CF1BBF"/>
    <w:rsid w:val="00CF1BD3"/>
    <w:rsid w:val="00CF1D60"/>
    <w:rsid w:val="00CF1F15"/>
    <w:rsid w:val="00CF1F41"/>
    <w:rsid w:val="00CF1FF2"/>
    <w:rsid w:val="00CF2059"/>
    <w:rsid w:val="00CF2087"/>
    <w:rsid w:val="00CF2205"/>
    <w:rsid w:val="00CF22C9"/>
    <w:rsid w:val="00CF22E9"/>
    <w:rsid w:val="00CF2383"/>
    <w:rsid w:val="00CF238B"/>
    <w:rsid w:val="00CF2487"/>
    <w:rsid w:val="00CF249C"/>
    <w:rsid w:val="00CF251A"/>
    <w:rsid w:val="00CF2529"/>
    <w:rsid w:val="00CF259D"/>
    <w:rsid w:val="00CF25F8"/>
    <w:rsid w:val="00CF2610"/>
    <w:rsid w:val="00CF27BF"/>
    <w:rsid w:val="00CF2833"/>
    <w:rsid w:val="00CF28D2"/>
    <w:rsid w:val="00CF2982"/>
    <w:rsid w:val="00CF299B"/>
    <w:rsid w:val="00CF2A59"/>
    <w:rsid w:val="00CF2AD3"/>
    <w:rsid w:val="00CF2C25"/>
    <w:rsid w:val="00CF2C92"/>
    <w:rsid w:val="00CF2D19"/>
    <w:rsid w:val="00CF2F8A"/>
    <w:rsid w:val="00CF2FF3"/>
    <w:rsid w:val="00CF3060"/>
    <w:rsid w:val="00CF309B"/>
    <w:rsid w:val="00CF30B6"/>
    <w:rsid w:val="00CF311E"/>
    <w:rsid w:val="00CF313D"/>
    <w:rsid w:val="00CF3140"/>
    <w:rsid w:val="00CF3158"/>
    <w:rsid w:val="00CF31A0"/>
    <w:rsid w:val="00CF31EF"/>
    <w:rsid w:val="00CF320D"/>
    <w:rsid w:val="00CF3346"/>
    <w:rsid w:val="00CF33C3"/>
    <w:rsid w:val="00CF33E6"/>
    <w:rsid w:val="00CF343A"/>
    <w:rsid w:val="00CF34AD"/>
    <w:rsid w:val="00CF3616"/>
    <w:rsid w:val="00CF3635"/>
    <w:rsid w:val="00CF3638"/>
    <w:rsid w:val="00CF3719"/>
    <w:rsid w:val="00CF3735"/>
    <w:rsid w:val="00CF37CB"/>
    <w:rsid w:val="00CF3846"/>
    <w:rsid w:val="00CF388E"/>
    <w:rsid w:val="00CF3929"/>
    <w:rsid w:val="00CF396C"/>
    <w:rsid w:val="00CF3A9D"/>
    <w:rsid w:val="00CF3B64"/>
    <w:rsid w:val="00CF3B7B"/>
    <w:rsid w:val="00CF3D0D"/>
    <w:rsid w:val="00CF3D11"/>
    <w:rsid w:val="00CF3D12"/>
    <w:rsid w:val="00CF3D66"/>
    <w:rsid w:val="00CF3DDC"/>
    <w:rsid w:val="00CF3EE9"/>
    <w:rsid w:val="00CF3F4B"/>
    <w:rsid w:val="00CF3F74"/>
    <w:rsid w:val="00CF3F7F"/>
    <w:rsid w:val="00CF405A"/>
    <w:rsid w:val="00CF4095"/>
    <w:rsid w:val="00CF42DB"/>
    <w:rsid w:val="00CF4340"/>
    <w:rsid w:val="00CF434D"/>
    <w:rsid w:val="00CF43CC"/>
    <w:rsid w:val="00CF43FE"/>
    <w:rsid w:val="00CF4420"/>
    <w:rsid w:val="00CF4476"/>
    <w:rsid w:val="00CF4579"/>
    <w:rsid w:val="00CF476F"/>
    <w:rsid w:val="00CF47CC"/>
    <w:rsid w:val="00CF4854"/>
    <w:rsid w:val="00CF4872"/>
    <w:rsid w:val="00CF48E6"/>
    <w:rsid w:val="00CF48FE"/>
    <w:rsid w:val="00CF49C9"/>
    <w:rsid w:val="00CF4A3C"/>
    <w:rsid w:val="00CF4AAF"/>
    <w:rsid w:val="00CF4AE3"/>
    <w:rsid w:val="00CF4AF4"/>
    <w:rsid w:val="00CF4B7C"/>
    <w:rsid w:val="00CF4E93"/>
    <w:rsid w:val="00CF4EF0"/>
    <w:rsid w:val="00CF4EF4"/>
    <w:rsid w:val="00CF4F07"/>
    <w:rsid w:val="00CF4F2D"/>
    <w:rsid w:val="00CF501B"/>
    <w:rsid w:val="00CF5086"/>
    <w:rsid w:val="00CF5266"/>
    <w:rsid w:val="00CF5308"/>
    <w:rsid w:val="00CF542F"/>
    <w:rsid w:val="00CF54F4"/>
    <w:rsid w:val="00CF55E2"/>
    <w:rsid w:val="00CF56B3"/>
    <w:rsid w:val="00CF575B"/>
    <w:rsid w:val="00CF57C2"/>
    <w:rsid w:val="00CF58D1"/>
    <w:rsid w:val="00CF58F3"/>
    <w:rsid w:val="00CF5901"/>
    <w:rsid w:val="00CF594C"/>
    <w:rsid w:val="00CF59CB"/>
    <w:rsid w:val="00CF5B27"/>
    <w:rsid w:val="00CF5C55"/>
    <w:rsid w:val="00CF5CB4"/>
    <w:rsid w:val="00CF5CC1"/>
    <w:rsid w:val="00CF5D96"/>
    <w:rsid w:val="00CF5DB6"/>
    <w:rsid w:val="00CF5E75"/>
    <w:rsid w:val="00CF5E80"/>
    <w:rsid w:val="00CF5F67"/>
    <w:rsid w:val="00CF5F82"/>
    <w:rsid w:val="00CF5F98"/>
    <w:rsid w:val="00CF5FEE"/>
    <w:rsid w:val="00CF601F"/>
    <w:rsid w:val="00CF613D"/>
    <w:rsid w:val="00CF61FE"/>
    <w:rsid w:val="00CF6348"/>
    <w:rsid w:val="00CF6389"/>
    <w:rsid w:val="00CF6468"/>
    <w:rsid w:val="00CF646B"/>
    <w:rsid w:val="00CF64C5"/>
    <w:rsid w:val="00CF6512"/>
    <w:rsid w:val="00CF6565"/>
    <w:rsid w:val="00CF65F0"/>
    <w:rsid w:val="00CF6720"/>
    <w:rsid w:val="00CF67CF"/>
    <w:rsid w:val="00CF68E3"/>
    <w:rsid w:val="00CF6900"/>
    <w:rsid w:val="00CF691A"/>
    <w:rsid w:val="00CF6936"/>
    <w:rsid w:val="00CF69B5"/>
    <w:rsid w:val="00CF69E0"/>
    <w:rsid w:val="00CF6A76"/>
    <w:rsid w:val="00CF6A7D"/>
    <w:rsid w:val="00CF6C5B"/>
    <w:rsid w:val="00CF6C99"/>
    <w:rsid w:val="00CF6D43"/>
    <w:rsid w:val="00CF6E84"/>
    <w:rsid w:val="00CF6E85"/>
    <w:rsid w:val="00CF6EA3"/>
    <w:rsid w:val="00CF6EB1"/>
    <w:rsid w:val="00CF6F69"/>
    <w:rsid w:val="00CF6F91"/>
    <w:rsid w:val="00CF707D"/>
    <w:rsid w:val="00CF723E"/>
    <w:rsid w:val="00CF7304"/>
    <w:rsid w:val="00CF733E"/>
    <w:rsid w:val="00CF73E3"/>
    <w:rsid w:val="00CF742A"/>
    <w:rsid w:val="00CF74A1"/>
    <w:rsid w:val="00CF7710"/>
    <w:rsid w:val="00CF7718"/>
    <w:rsid w:val="00CF77BF"/>
    <w:rsid w:val="00CF7937"/>
    <w:rsid w:val="00CF798C"/>
    <w:rsid w:val="00CF79A7"/>
    <w:rsid w:val="00CF79C4"/>
    <w:rsid w:val="00CF7A7D"/>
    <w:rsid w:val="00CF7A84"/>
    <w:rsid w:val="00CF7AF6"/>
    <w:rsid w:val="00CF7BAC"/>
    <w:rsid w:val="00CF7F6C"/>
    <w:rsid w:val="00CF7FD0"/>
    <w:rsid w:val="00CF7FDC"/>
    <w:rsid w:val="00D001E4"/>
    <w:rsid w:val="00D00213"/>
    <w:rsid w:val="00D00282"/>
    <w:rsid w:val="00D002D7"/>
    <w:rsid w:val="00D002FC"/>
    <w:rsid w:val="00D0032F"/>
    <w:rsid w:val="00D0035A"/>
    <w:rsid w:val="00D003D0"/>
    <w:rsid w:val="00D003FA"/>
    <w:rsid w:val="00D00429"/>
    <w:rsid w:val="00D00498"/>
    <w:rsid w:val="00D004B4"/>
    <w:rsid w:val="00D00523"/>
    <w:rsid w:val="00D005C3"/>
    <w:rsid w:val="00D00614"/>
    <w:rsid w:val="00D006A9"/>
    <w:rsid w:val="00D006B2"/>
    <w:rsid w:val="00D0071C"/>
    <w:rsid w:val="00D007B5"/>
    <w:rsid w:val="00D007FF"/>
    <w:rsid w:val="00D0095F"/>
    <w:rsid w:val="00D00A1A"/>
    <w:rsid w:val="00D00AF2"/>
    <w:rsid w:val="00D00B3D"/>
    <w:rsid w:val="00D00B69"/>
    <w:rsid w:val="00D00C80"/>
    <w:rsid w:val="00D00D35"/>
    <w:rsid w:val="00D00E8A"/>
    <w:rsid w:val="00D00F42"/>
    <w:rsid w:val="00D00F53"/>
    <w:rsid w:val="00D01016"/>
    <w:rsid w:val="00D01026"/>
    <w:rsid w:val="00D0102A"/>
    <w:rsid w:val="00D0104B"/>
    <w:rsid w:val="00D01073"/>
    <w:rsid w:val="00D01144"/>
    <w:rsid w:val="00D01217"/>
    <w:rsid w:val="00D01243"/>
    <w:rsid w:val="00D012A4"/>
    <w:rsid w:val="00D013CB"/>
    <w:rsid w:val="00D013FC"/>
    <w:rsid w:val="00D0141E"/>
    <w:rsid w:val="00D014A4"/>
    <w:rsid w:val="00D014ED"/>
    <w:rsid w:val="00D01591"/>
    <w:rsid w:val="00D016CB"/>
    <w:rsid w:val="00D01797"/>
    <w:rsid w:val="00D01AA3"/>
    <w:rsid w:val="00D01D06"/>
    <w:rsid w:val="00D01D5B"/>
    <w:rsid w:val="00D01DF2"/>
    <w:rsid w:val="00D01E33"/>
    <w:rsid w:val="00D01E72"/>
    <w:rsid w:val="00D01E74"/>
    <w:rsid w:val="00D01E8F"/>
    <w:rsid w:val="00D021D2"/>
    <w:rsid w:val="00D021D5"/>
    <w:rsid w:val="00D02230"/>
    <w:rsid w:val="00D02287"/>
    <w:rsid w:val="00D02294"/>
    <w:rsid w:val="00D02343"/>
    <w:rsid w:val="00D023A2"/>
    <w:rsid w:val="00D024DC"/>
    <w:rsid w:val="00D0254E"/>
    <w:rsid w:val="00D025C0"/>
    <w:rsid w:val="00D025E4"/>
    <w:rsid w:val="00D025F0"/>
    <w:rsid w:val="00D02827"/>
    <w:rsid w:val="00D0283A"/>
    <w:rsid w:val="00D028B5"/>
    <w:rsid w:val="00D0291C"/>
    <w:rsid w:val="00D02939"/>
    <w:rsid w:val="00D029BB"/>
    <w:rsid w:val="00D029EA"/>
    <w:rsid w:val="00D02AAD"/>
    <w:rsid w:val="00D02B5D"/>
    <w:rsid w:val="00D02CED"/>
    <w:rsid w:val="00D02D2D"/>
    <w:rsid w:val="00D02E15"/>
    <w:rsid w:val="00D02EFE"/>
    <w:rsid w:val="00D02F62"/>
    <w:rsid w:val="00D0309E"/>
    <w:rsid w:val="00D030A9"/>
    <w:rsid w:val="00D030B3"/>
    <w:rsid w:val="00D0313A"/>
    <w:rsid w:val="00D031EF"/>
    <w:rsid w:val="00D032E8"/>
    <w:rsid w:val="00D03390"/>
    <w:rsid w:val="00D03396"/>
    <w:rsid w:val="00D033C5"/>
    <w:rsid w:val="00D034AA"/>
    <w:rsid w:val="00D03513"/>
    <w:rsid w:val="00D03591"/>
    <w:rsid w:val="00D035CA"/>
    <w:rsid w:val="00D036DB"/>
    <w:rsid w:val="00D03726"/>
    <w:rsid w:val="00D0376E"/>
    <w:rsid w:val="00D037CF"/>
    <w:rsid w:val="00D03803"/>
    <w:rsid w:val="00D03850"/>
    <w:rsid w:val="00D038AC"/>
    <w:rsid w:val="00D038C3"/>
    <w:rsid w:val="00D03A2C"/>
    <w:rsid w:val="00D03A6F"/>
    <w:rsid w:val="00D03B32"/>
    <w:rsid w:val="00D03B73"/>
    <w:rsid w:val="00D03D62"/>
    <w:rsid w:val="00D03D72"/>
    <w:rsid w:val="00D03E7A"/>
    <w:rsid w:val="00D03E8A"/>
    <w:rsid w:val="00D03E8B"/>
    <w:rsid w:val="00D03EDF"/>
    <w:rsid w:val="00D03FAA"/>
    <w:rsid w:val="00D04129"/>
    <w:rsid w:val="00D0413B"/>
    <w:rsid w:val="00D0429D"/>
    <w:rsid w:val="00D042AE"/>
    <w:rsid w:val="00D042FF"/>
    <w:rsid w:val="00D0439B"/>
    <w:rsid w:val="00D043C1"/>
    <w:rsid w:val="00D04421"/>
    <w:rsid w:val="00D04564"/>
    <w:rsid w:val="00D045BD"/>
    <w:rsid w:val="00D045E6"/>
    <w:rsid w:val="00D045E9"/>
    <w:rsid w:val="00D046F6"/>
    <w:rsid w:val="00D04703"/>
    <w:rsid w:val="00D0472A"/>
    <w:rsid w:val="00D04815"/>
    <w:rsid w:val="00D04858"/>
    <w:rsid w:val="00D048BC"/>
    <w:rsid w:val="00D0493C"/>
    <w:rsid w:val="00D04983"/>
    <w:rsid w:val="00D04AB0"/>
    <w:rsid w:val="00D04B71"/>
    <w:rsid w:val="00D04C2B"/>
    <w:rsid w:val="00D04CB9"/>
    <w:rsid w:val="00D04D6F"/>
    <w:rsid w:val="00D04E60"/>
    <w:rsid w:val="00D04ED3"/>
    <w:rsid w:val="00D04F03"/>
    <w:rsid w:val="00D04F5F"/>
    <w:rsid w:val="00D04F81"/>
    <w:rsid w:val="00D04FE6"/>
    <w:rsid w:val="00D05056"/>
    <w:rsid w:val="00D050BC"/>
    <w:rsid w:val="00D0519F"/>
    <w:rsid w:val="00D051E7"/>
    <w:rsid w:val="00D05202"/>
    <w:rsid w:val="00D0529B"/>
    <w:rsid w:val="00D052E5"/>
    <w:rsid w:val="00D053DA"/>
    <w:rsid w:val="00D053F6"/>
    <w:rsid w:val="00D0542B"/>
    <w:rsid w:val="00D0542F"/>
    <w:rsid w:val="00D054FB"/>
    <w:rsid w:val="00D05518"/>
    <w:rsid w:val="00D05737"/>
    <w:rsid w:val="00D05839"/>
    <w:rsid w:val="00D058CC"/>
    <w:rsid w:val="00D058DF"/>
    <w:rsid w:val="00D05996"/>
    <w:rsid w:val="00D05B35"/>
    <w:rsid w:val="00D05B3B"/>
    <w:rsid w:val="00D05BC7"/>
    <w:rsid w:val="00D05C13"/>
    <w:rsid w:val="00D05C20"/>
    <w:rsid w:val="00D05C6F"/>
    <w:rsid w:val="00D05D5B"/>
    <w:rsid w:val="00D05D96"/>
    <w:rsid w:val="00D05ECB"/>
    <w:rsid w:val="00D05F8F"/>
    <w:rsid w:val="00D05FCC"/>
    <w:rsid w:val="00D05FD7"/>
    <w:rsid w:val="00D0616F"/>
    <w:rsid w:val="00D06361"/>
    <w:rsid w:val="00D06475"/>
    <w:rsid w:val="00D064DA"/>
    <w:rsid w:val="00D064FD"/>
    <w:rsid w:val="00D06537"/>
    <w:rsid w:val="00D06566"/>
    <w:rsid w:val="00D0661B"/>
    <w:rsid w:val="00D06725"/>
    <w:rsid w:val="00D06779"/>
    <w:rsid w:val="00D068A6"/>
    <w:rsid w:val="00D06930"/>
    <w:rsid w:val="00D06A37"/>
    <w:rsid w:val="00D06A6C"/>
    <w:rsid w:val="00D06ADB"/>
    <w:rsid w:val="00D06AEF"/>
    <w:rsid w:val="00D06B0B"/>
    <w:rsid w:val="00D06B30"/>
    <w:rsid w:val="00D06C61"/>
    <w:rsid w:val="00D06C63"/>
    <w:rsid w:val="00D06C73"/>
    <w:rsid w:val="00D06CA6"/>
    <w:rsid w:val="00D06DD4"/>
    <w:rsid w:val="00D06E9E"/>
    <w:rsid w:val="00D06ECD"/>
    <w:rsid w:val="00D06EEE"/>
    <w:rsid w:val="00D06FBB"/>
    <w:rsid w:val="00D07003"/>
    <w:rsid w:val="00D07040"/>
    <w:rsid w:val="00D070C9"/>
    <w:rsid w:val="00D071DA"/>
    <w:rsid w:val="00D07208"/>
    <w:rsid w:val="00D0720A"/>
    <w:rsid w:val="00D072D9"/>
    <w:rsid w:val="00D07323"/>
    <w:rsid w:val="00D07354"/>
    <w:rsid w:val="00D07358"/>
    <w:rsid w:val="00D0736C"/>
    <w:rsid w:val="00D07638"/>
    <w:rsid w:val="00D076CE"/>
    <w:rsid w:val="00D07752"/>
    <w:rsid w:val="00D07786"/>
    <w:rsid w:val="00D07791"/>
    <w:rsid w:val="00D077D1"/>
    <w:rsid w:val="00D077D4"/>
    <w:rsid w:val="00D078E3"/>
    <w:rsid w:val="00D0793F"/>
    <w:rsid w:val="00D079C2"/>
    <w:rsid w:val="00D07A16"/>
    <w:rsid w:val="00D07BA2"/>
    <w:rsid w:val="00D07BF1"/>
    <w:rsid w:val="00D07C33"/>
    <w:rsid w:val="00D07C5C"/>
    <w:rsid w:val="00D07D01"/>
    <w:rsid w:val="00D07DCC"/>
    <w:rsid w:val="00D07E4E"/>
    <w:rsid w:val="00D07E9F"/>
    <w:rsid w:val="00D07EDB"/>
    <w:rsid w:val="00D07F70"/>
    <w:rsid w:val="00D100DB"/>
    <w:rsid w:val="00D100DD"/>
    <w:rsid w:val="00D10182"/>
    <w:rsid w:val="00D101B1"/>
    <w:rsid w:val="00D101E8"/>
    <w:rsid w:val="00D101F5"/>
    <w:rsid w:val="00D102B5"/>
    <w:rsid w:val="00D103B3"/>
    <w:rsid w:val="00D103D1"/>
    <w:rsid w:val="00D104AC"/>
    <w:rsid w:val="00D104CE"/>
    <w:rsid w:val="00D10554"/>
    <w:rsid w:val="00D1056D"/>
    <w:rsid w:val="00D105A2"/>
    <w:rsid w:val="00D1071E"/>
    <w:rsid w:val="00D107A7"/>
    <w:rsid w:val="00D10802"/>
    <w:rsid w:val="00D108F6"/>
    <w:rsid w:val="00D10913"/>
    <w:rsid w:val="00D10940"/>
    <w:rsid w:val="00D109AB"/>
    <w:rsid w:val="00D109F3"/>
    <w:rsid w:val="00D109FC"/>
    <w:rsid w:val="00D10A2C"/>
    <w:rsid w:val="00D10A66"/>
    <w:rsid w:val="00D10B59"/>
    <w:rsid w:val="00D10CD8"/>
    <w:rsid w:val="00D10D36"/>
    <w:rsid w:val="00D10FA0"/>
    <w:rsid w:val="00D10FB7"/>
    <w:rsid w:val="00D1109E"/>
    <w:rsid w:val="00D11165"/>
    <w:rsid w:val="00D11191"/>
    <w:rsid w:val="00D11342"/>
    <w:rsid w:val="00D113D4"/>
    <w:rsid w:val="00D113DF"/>
    <w:rsid w:val="00D11566"/>
    <w:rsid w:val="00D11595"/>
    <w:rsid w:val="00D115A7"/>
    <w:rsid w:val="00D115D6"/>
    <w:rsid w:val="00D116ED"/>
    <w:rsid w:val="00D1171D"/>
    <w:rsid w:val="00D117C4"/>
    <w:rsid w:val="00D1181B"/>
    <w:rsid w:val="00D11837"/>
    <w:rsid w:val="00D11889"/>
    <w:rsid w:val="00D1188A"/>
    <w:rsid w:val="00D118BA"/>
    <w:rsid w:val="00D119AC"/>
    <w:rsid w:val="00D11A00"/>
    <w:rsid w:val="00D11A9D"/>
    <w:rsid w:val="00D11BEA"/>
    <w:rsid w:val="00D11C49"/>
    <w:rsid w:val="00D11CA4"/>
    <w:rsid w:val="00D11CB2"/>
    <w:rsid w:val="00D11CB8"/>
    <w:rsid w:val="00D11DEF"/>
    <w:rsid w:val="00D11E32"/>
    <w:rsid w:val="00D11E55"/>
    <w:rsid w:val="00D11EC6"/>
    <w:rsid w:val="00D11F1E"/>
    <w:rsid w:val="00D11F28"/>
    <w:rsid w:val="00D11F46"/>
    <w:rsid w:val="00D12026"/>
    <w:rsid w:val="00D121E9"/>
    <w:rsid w:val="00D1225A"/>
    <w:rsid w:val="00D12355"/>
    <w:rsid w:val="00D1247D"/>
    <w:rsid w:val="00D1261A"/>
    <w:rsid w:val="00D126D6"/>
    <w:rsid w:val="00D12772"/>
    <w:rsid w:val="00D128F8"/>
    <w:rsid w:val="00D1292B"/>
    <w:rsid w:val="00D12994"/>
    <w:rsid w:val="00D12A50"/>
    <w:rsid w:val="00D12AE9"/>
    <w:rsid w:val="00D12B8C"/>
    <w:rsid w:val="00D12C3D"/>
    <w:rsid w:val="00D12D1C"/>
    <w:rsid w:val="00D12D7A"/>
    <w:rsid w:val="00D12DC1"/>
    <w:rsid w:val="00D12DD4"/>
    <w:rsid w:val="00D12E13"/>
    <w:rsid w:val="00D12E21"/>
    <w:rsid w:val="00D12EF9"/>
    <w:rsid w:val="00D12FBC"/>
    <w:rsid w:val="00D13017"/>
    <w:rsid w:val="00D13084"/>
    <w:rsid w:val="00D1308C"/>
    <w:rsid w:val="00D130CD"/>
    <w:rsid w:val="00D13171"/>
    <w:rsid w:val="00D13323"/>
    <w:rsid w:val="00D1334A"/>
    <w:rsid w:val="00D133B9"/>
    <w:rsid w:val="00D13452"/>
    <w:rsid w:val="00D134D7"/>
    <w:rsid w:val="00D134F2"/>
    <w:rsid w:val="00D134FF"/>
    <w:rsid w:val="00D1350F"/>
    <w:rsid w:val="00D13522"/>
    <w:rsid w:val="00D135AC"/>
    <w:rsid w:val="00D13614"/>
    <w:rsid w:val="00D1362F"/>
    <w:rsid w:val="00D13636"/>
    <w:rsid w:val="00D1363A"/>
    <w:rsid w:val="00D136A3"/>
    <w:rsid w:val="00D136B6"/>
    <w:rsid w:val="00D137DF"/>
    <w:rsid w:val="00D137E5"/>
    <w:rsid w:val="00D1385D"/>
    <w:rsid w:val="00D1386A"/>
    <w:rsid w:val="00D138A4"/>
    <w:rsid w:val="00D1393A"/>
    <w:rsid w:val="00D13A65"/>
    <w:rsid w:val="00D13B4A"/>
    <w:rsid w:val="00D13B5D"/>
    <w:rsid w:val="00D13B67"/>
    <w:rsid w:val="00D13BCC"/>
    <w:rsid w:val="00D13CC8"/>
    <w:rsid w:val="00D13D5C"/>
    <w:rsid w:val="00D13EBE"/>
    <w:rsid w:val="00D13EC1"/>
    <w:rsid w:val="00D13F64"/>
    <w:rsid w:val="00D14080"/>
    <w:rsid w:val="00D1416C"/>
    <w:rsid w:val="00D1418E"/>
    <w:rsid w:val="00D141CF"/>
    <w:rsid w:val="00D14256"/>
    <w:rsid w:val="00D1426F"/>
    <w:rsid w:val="00D143FA"/>
    <w:rsid w:val="00D1459F"/>
    <w:rsid w:val="00D14618"/>
    <w:rsid w:val="00D146ED"/>
    <w:rsid w:val="00D1488B"/>
    <w:rsid w:val="00D1494C"/>
    <w:rsid w:val="00D14A53"/>
    <w:rsid w:val="00D14A84"/>
    <w:rsid w:val="00D14C6B"/>
    <w:rsid w:val="00D14C7C"/>
    <w:rsid w:val="00D14D1F"/>
    <w:rsid w:val="00D14D39"/>
    <w:rsid w:val="00D14D8F"/>
    <w:rsid w:val="00D14E7D"/>
    <w:rsid w:val="00D14ED7"/>
    <w:rsid w:val="00D14EDA"/>
    <w:rsid w:val="00D15030"/>
    <w:rsid w:val="00D15093"/>
    <w:rsid w:val="00D15133"/>
    <w:rsid w:val="00D1527C"/>
    <w:rsid w:val="00D1528A"/>
    <w:rsid w:val="00D1533F"/>
    <w:rsid w:val="00D1540B"/>
    <w:rsid w:val="00D1543A"/>
    <w:rsid w:val="00D1548A"/>
    <w:rsid w:val="00D155A5"/>
    <w:rsid w:val="00D1560E"/>
    <w:rsid w:val="00D1571C"/>
    <w:rsid w:val="00D15751"/>
    <w:rsid w:val="00D1582F"/>
    <w:rsid w:val="00D15833"/>
    <w:rsid w:val="00D15857"/>
    <w:rsid w:val="00D1591E"/>
    <w:rsid w:val="00D15934"/>
    <w:rsid w:val="00D15AC4"/>
    <w:rsid w:val="00D15C91"/>
    <w:rsid w:val="00D15D31"/>
    <w:rsid w:val="00D15DE8"/>
    <w:rsid w:val="00D15F15"/>
    <w:rsid w:val="00D15FE5"/>
    <w:rsid w:val="00D161E4"/>
    <w:rsid w:val="00D161EF"/>
    <w:rsid w:val="00D1624D"/>
    <w:rsid w:val="00D162A7"/>
    <w:rsid w:val="00D162BE"/>
    <w:rsid w:val="00D162E3"/>
    <w:rsid w:val="00D16302"/>
    <w:rsid w:val="00D16361"/>
    <w:rsid w:val="00D16379"/>
    <w:rsid w:val="00D16437"/>
    <w:rsid w:val="00D16495"/>
    <w:rsid w:val="00D16500"/>
    <w:rsid w:val="00D16549"/>
    <w:rsid w:val="00D16553"/>
    <w:rsid w:val="00D16753"/>
    <w:rsid w:val="00D167B9"/>
    <w:rsid w:val="00D16827"/>
    <w:rsid w:val="00D1693A"/>
    <w:rsid w:val="00D16C27"/>
    <w:rsid w:val="00D16C71"/>
    <w:rsid w:val="00D16CA6"/>
    <w:rsid w:val="00D16D8D"/>
    <w:rsid w:val="00D16E33"/>
    <w:rsid w:val="00D17003"/>
    <w:rsid w:val="00D17030"/>
    <w:rsid w:val="00D17080"/>
    <w:rsid w:val="00D17088"/>
    <w:rsid w:val="00D170AA"/>
    <w:rsid w:val="00D17114"/>
    <w:rsid w:val="00D172DA"/>
    <w:rsid w:val="00D1734D"/>
    <w:rsid w:val="00D173E4"/>
    <w:rsid w:val="00D174EB"/>
    <w:rsid w:val="00D1780D"/>
    <w:rsid w:val="00D17865"/>
    <w:rsid w:val="00D17868"/>
    <w:rsid w:val="00D17964"/>
    <w:rsid w:val="00D179C3"/>
    <w:rsid w:val="00D17A45"/>
    <w:rsid w:val="00D17A53"/>
    <w:rsid w:val="00D17B28"/>
    <w:rsid w:val="00D17B3D"/>
    <w:rsid w:val="00D17BD9"/>
    <w:rsid w:val="00D17C56"/>
    <w:rsid w:val="00D17DE7"/>
    <w:rsid w:val="00D17E02"/>
    <w:rsid w:val="00D17E12"/>
    <w:rsid w:val="00D17E15"/>
    <w:rsid w:val="00D17F57"/>
    <w:rsid w:val="00D17FD3"/>
    <w:rsid w:val="00D17FE7"/>
    <w:rsid w:val="00D17FED"/>
    <w:rsid w:val="00D20017"/>
    <w:rsid w:val="00D2008B"/>
    <w:rsid w:val="00D2014A"/>
    <w:rsid w:val="00D20192"/>
    <w:rsid w:val="00D201AB"/>
    <w:rsid w:val="00D20251"/>
    <w:rsid w:val="00D20270"/>
    <w:rsid w:val="00D2046B"/>
    <w:rsid w:val="00D20473"/>
    <w:rsid w:val="00D2053D"/>
    <w:rsid w:val="00D20573"/>
    <w:rsid w:val="00D20590"/>
    <w:rsid w:val="00D205C3"/>
    <w:rsid w:val="00D20610"/>
    <w:rsid w:val="00D20658"/>
    <w:rsid w:val="00D2075B"/>
    <w:rsid w:val="00D207D7"/>
    <w:rsid w:val="00D2083A"/>
    <w:rsid w:val="00D208D6"/>
    <w:rsid w:val="00D20942"/>
    <w:rsid w:val="00D20947"/>
    <w:rsid w:val="00D20979"/>
    <w:rsid w:val="00D2097C"/>
    <w:rsid w:val="00D20A43"/>
    <w:rsid w:val="00D20AAD"/>
    <w:rsid w:val="00D20BF5"/>
    <w:rsid w:val="00D20C23"/>
    <w:rsid w:val="00D20CA7"/>
    <w:rsid w:val="00D20DAD"/>
    <w:rsid w:val="00D20E03"/>
    <w:rsid w:val="00D20EA1"/>
    <w:rsid w:val="00D20F17"/>
    <w:rsid w:val="00D20F71"/>
    <w:rsid w:val="00D20FC3"/>
    <w:rsid w:val="00D21178"/>
    <w:rsid w:val="00D212D4"/>
    <w:rsid w:val="00D21303"/>
    <w:rsid w:val="00D2130E"/>
    <w:rsid w:val="00D2135C"/>
    <w:rsid w:val="00D21396"/>
    <w:rsid w:val="00D2139B"/>
    <w:rsid w:val="00D213B3"/>
    <w:rsid w:val="00D213BE"/>
    <w:rsid w:val="00D213F4"/>
    <w:rsid w:val="00D21501"/>
    <w:rsid w:val="00D21560"/>
    <w:rsid w:val="00D21668"/>
    <w:rsid w:val="00D216F5"/>
    <w:rsid w:val="00D2178E"/>
    <w:rsid w:val="00D2188E"/>
    <w:rsid w:val="00D21891"/>
    <w:rsid w:val="00D218CD"/>
    <w:rsid w:val="00D21975"/>
    <w:rsid w:val="00D21A1A"/>
    <w:rsid w:val="00D21A2A"/>
    <w:rsid w:val="00D21AF8"/>
    <w:rsid w:val="00D21B24"/>
    <w:rsid w:val="00D21C2E"/>
    <w:rsid w:val="00D21C4B"/>
    <w:rsid w:val="00D21CF6"/>
    <w:rsid w:val="00D21D6E"/>
    <w:rsid w:val="00D21E15"/>
    <w:rsid w:val="00D2200B"/>
    <w:rsid w:val="00D22088"/>
    <w:rsid w:val="00D22150"/>
    <w:rsid w:val="00D22308"/>
    <w:rsid w:val="00D22340"/>
    <w:rsid w:val="00D22343"/>
    <w:rsid w:val="00D22346"/>
    <w:rsid w:val="00D22357"/>
    <w:rsid w:val="00D223D0"/>
    <w:rsid w:val="00D223EE"/>
    <w:rsid w:val="00D223FE"/>
    <w:rsid w:val="00D22525"/>
    <w:rsid w:val="00D22567"/>
    <w:rsid w:val="00D22572"/>
    <w:rsid w:val="00D22682"/>
    <w:rsid w:val="00D22959"/>
    <w:rsid w:val="00D22A64"/>
    <w:rsid w:val="00D22B7B"/>
    <w:rsid w:val="00D22C16"/>
    <w:rsid w:val="00D22C4A"/>
    <w:rsid w:val="00D22CA5"/>
    <w:rsid w:val="00D22D0C"/>
    <w:rsid w:val="00D22E5A"/>
    <w:rsid w:val="00D22E9D"/>
    <w:rsid w:val="00D23029"/>
    <w:rsid w:val="00D23051"/>
    <w:rsid w:val="00D23100"/>
    <w:rsid w:val="00D2312E"/>
    <w:rsid w:val="00D23175"/>
    <w:rsid w:val="00D23179"/>
    <w:rsid w:val="00D23216"/>
    <w:rsid w:val="00D232A0"/>
    <w:rsid w:val="00D2336C"/>
    <w:rsid w:val="00D233CD"/>
    <w:rsid w:val="00D2340F"/>
    <w:rsid w:val="00D23438"/>
    <w:rsid w:val="00D234D7"/>
    <w:rsid w:val="00D235D2"/>
    <w:rsid w:val="00D23644"/>
    <w:rsid w:val="00D2373C"/>
    <w:rsid w:val="00D23896"/>
    <w:rsid w:val="00D238A2"/>
    <w:rsid w:val="00D238A8"/>
    <w:rsid w:val="00D23986"/>
    <w:rsid w:val="00D23A09"/>
    <w:rsid w:val="00D23AE9"/>
    <w:rsid w:val="00D23B35"/>
    <w:rsid w:val="00D23C01"/>
    <w:rsid w:val="00D23CD2"/>
    <w:rsid w:val="00D23E75"/>
    <w:rsid w:val="00D23EA1"/>
    <w:rsid w:val="00D23EA3"/>
    <w:rsid w:val="00D23F90"/>
    <w:rsid w:val="00D2420C"/>
    <w:rsid w:val="00D24311"/>
    <w:rsid w:val="00D244BF"/>
    <w:rsid w:val="00D24652"/>
    <w:rsid w:val="00D247B7"/>
    <w:rsid w:val="00D247DE"/>
    <w:rsid w:val="00D24817"/>
    <w:rsid w:val="00D24865"/>
    <w:rsid w:val="00D249F9"/>
    <w:rsid w:val="00D24A38"/>
    <w:rsid w:val="00D24BB9"/>
    <w:rsid w:val="00D24BD0"/>
    <w:rsid w:val="00D24BD5"/>
    <w:rsid w:val="00D24C61"/>
    <w:rsid w:val="00D24C95"/>
    <w:rsid w:val="00D24CA9"/>
    <w:rsid w:val="00D24D2C"/>
    <w:rsid w:val="00D24D8C"/>
    <w:rsid w:val="00D24EF3"/>
    <w:rsid w:val="00D24FEA"/>
    <w:rsid w:val="00D2506D"/>
    <w:rsid w:val="00D25161"/>
    <w:rsid w:val="00D251B8"/>
    <w:rsid w:val="00D251E6"/>
    <w:rsid w:val="00D252F9"/>
    <w:rsid w:val="00D25347"/>
    <w:rsid w:val="00D25349"/>
    <w:rsid w:val="00D25354"/>
    <w:rsid w:val="00D2559B"/>
    <w:rsid w:val="00D2564C"/>
    <w:rsid w:val="00D25663"/>
    <w:rsid w:val="00D25697"/>
    <w:rsid w:val="00D256DF"/>
    <w:rsid w:val="00D25864"/>
    <w:rsid w:val="00D258DD"/>
    <w:rsid w:val="00D258F8"/>
    <w:rsid w:val="00D25984"/>
    <w:rsid w:val="00D259BC"/>
    <w:rsid w:val="00D25A3E"/>
    <w:rsid w:val="00D25B39"/>
    <w:rsid w:val="00D25BC4"/>
    <w:rsid w:val="00D25C35"/>
    <w:rsid w:val="00D25C4F"/>
    <w:rsid w:val="00D25C51"/>
    <w:rsid w:val="00D25C85"/>
    <w:rsid w:val="00D25D62"/>
    <w:rsid w:val="00D25DDD"/>
    <w:rsid w:val="00D25DE3"/>
    <w:rsid w:val="00D25DE7"/>
    <w:rsid w:val="00D25E40"/>
    <w:rsid w:val="00D25E90"/>
    <w:rsid w:val="00D25F6E"/>
    <w:rsid w:val="00D25FD1"/>
    <w:rsid w:val="00D25FF5"/>
    <w:rsid w:val="00D26032"/>
    <w:rsid w:val="00D2606D"/>
    <w:rsid w:val="00D260D2"/>
    <w:rsid w:val="00D2615C"/>
    <w:rsid w:val="00D2615F"/>
    <w:rsid w:val="00D261AC"/>
    <w:rsid w:val="00D261D8"/>
    <w:rsid w:val="00D26226"/>
    <w:rsid w:val="00D2632D"/>
    <w:rsid w:val="00D263EA"/>
    <w:rsid w:val="00D26413"/>
    <w:rsid w:val="00D264C6"/>
    <w:rsid w:val="00D264E4"/>
    <w:rsid w:val="00D26515"/>
    <w:rsid w:val="00D26619"/>
    <w:rsid w:val="00D26626"/>
    <w:rsid w:val="00D26689"/>
    <w:rsid w:val="00D2678A"/>
    <w:rsid w:val="00D267E6"/>
    <w:rsid w:val="00D2686D"/>
    <w:rsid w:val="00D26933"/>
    <w:rsid w:val="00D269E4"/>
    <w:rsid w:val="00D26A75"/>
    <w:rsid w:val="00D26AA0"/>
    <w:rsid w:val="00D26AA9"/>
    <w:rsid w:val="00D26B7A"/>
    <w:rsid w:val="00D26C55"/>
    <w:rsid w:val="00D26CAD"/>
    <w:rsid w:val="00D26CF4"/>
    <w:rsid w:val="00D26E99"/>
    <w:rsid w:val="00D26EF7"/>
    <w:rsid w:val="00D2704C"/>
    <w:rsid w:val="00D2705B"/>
    <w:rsid w:val="00D27094"/>
    <w:rsid w:val="00D270FD"/>
    <w:rsid w:val="00D2715F"/>
    <w:rsid w:val="00D27182"/>
    <w:rsid w:val="00D2719C"/>
    <w:rsid w:val="00D271A8"/>
    <w:rsid w:val="00D27243"/>
    <w:rsid w:val="00D27313"/>
    <w:rsid w:val="00D273E6"/>
    <w:rsid w:val="00D27414"/>
    <w:rsid w:val="00D2748A"/>
    <w:rsid w:val="00D274B1"/>
    <w:rsid w:val="00D275D7"/>
    <w:rsid w:val="00D275E6"/>
    <w:rsid w:val="00D2763F"/>
    <w:rsid w:val="00D27664"/>
    <w:rsid w:val="00D276F8"/>
    <w:rsid w:val="00D27735"/>
    <w:rsid w:val="00D27750"/>
    <w:rsid w:val="00D27776"/>
    <w:rsid w:val="00D277C5"/>
    <w:rsid w:val="00D2781B"/>
    <w:rsid w:val="00D2783F"/>
    <w:rsid w:val="00D27859"/>
    <w:rsid w:val="00D27911"/>
    <w:rsid w:val="00D279CF"/>
    <w:rsid w:val="00D27A78"/>
    <w:rsid w:val="00D27BD8"/>
    <w:rsid w:val="00D27CBB"/>
    <w:rsid w:val="00D27CEE"/>
    <w:rsid w:val="00D27D71"/>
    <w:rsid w:val="00D27E69"/>
    <w:rsid w:val="00D27EB4"/>
    <w:rsid w:val="00D27EE1"/>
    <w:rsid w:val="00D27F15"/>
    <w:rsid w:val="00D27F1D"/>
    <w:rsid w:val="00D27FC8"/>
    <w:rsid w:val="00D3012B"/>
    <w:rsid w:val="00D30160"/>
    <w:rsid w:val="00D301E1"/>
    <w:rsid w:val="00D3044D"/>
    <w:rsid w:val="00D304A2"/>
    <w:rsid w:val="00D304D5"/>
    <w:rsid w:val="00D3052B"/>
    <w:rsid w:val="00D30683"/>
    <w:rsid w:val="00D3074B"/>
    <w:rsid w:val="00D3077F"/>
    <w:rsid w:val="00D30809"/>
    <w:rsid w:val="00D30879"/>
    <w:rsid w:val="00D308C5"/>
    <w:rsid w:val="00D308FB"/>
    <w:rsid w:val="00D3091C"/>
    <w:rsid w:val="00D30A42"/>
    <w:rsid w:val="00D30A9D"/>
    <w:rsid w:val="00D30AC5"/>
    <w:rsid w:val="00D30B5F"/>
    <w:rsid w:val="00D30C71"/>
    <w:rsid w:val="00D30CA1"/>
    <w:rsid w:val="00D30CF2"/>
    <w:rsid w:val="00D30D1B"/>
    <w:rsid w:val="00D30D5C"/>
    <w:rsid w:val="00D30DCB"/>
    <w:rsid w:val="00D30E14"/>
    <w:rsid w:val="00D30E1B"/>
    <w:rsid w:val="00D30E78"/>
    <w:rsid w:val="00D30F36"/>
    <w:rsid w:val="00D31065"/>
    <w:rsid w:val="00D3109C"/>
    <w:rsid w:val="00D310B8"/>
    <w:rsid w:val="00D310D2"/>
    <w:rsid w:val="00D3115F"/>
    <w:rsid w:val="00D311F5"/>
    <w:rsid w:val="00D31225"/>
    <w:rsid w:val="00D3124A"/>
    <w:rsid w:val="00D31255"/>
    <w:rsid w:val="00D31291"/>
    <w:rsid w:val="00D31464"/>
    <w:rsid w:val="00D314D6"/>
    <w:rsid w:val="00D3154E"/>
    <w:rsid w:val="00D31585"/>
    <w:rsid w:val="00D315D6"/>
    <w:rsid w:val="00D315E3"/>
    <w:rsid w:val="00D3164D"/>
    <w:rsid w:val="00D316D5"/>
    <w:rsid w:val="00D316F5"/>
    <w:rsid w:val="00D31729"/>
    <w:rsid w:val="00D31759"/>
    <w:rsid w:val="00D31777"/>
    <w:rsid w:val="00D31837"/>
    <w:rsid w:val="00D3189A"/>
    <w:rsid w:val="00D318AD"/>
    <w:rsid w:val="00D319D6"/>
    <w:rsid w:val="00D319F1"/>
    <w:rsid w:val="00D31A99"/>
    <w:rsid w:val="00D31B59"/>
    <w:rsid w:val="00D31B70"/>
    <w:rsid w:val="00D31C28"/>
    <w:rsid w:val="00D31C80"/>
    <w:rsid w:val="00D31CEE"/>
    <w:rsid w:val="00D31D67"/>
    <w:rsid w:val="00D31E80"/>
    <w:rsid w:val="00D31E92"/>
    <w:rsid w:val="00D31F50"/>
    <w:rsid w:val="00D31F55"/>
    <w:rsid w:val="00D31F68"/>
    <w:rsid w:val="00D31FE2"/>
    <w:rsid w:val="00D320C9"/>
    <w:rsid w:val="00D320FB"/>
    <w:rsid w:val="00D322E6"/>
    <w:rsid w:val="00D32303"/>
    <w:rsid w:val="00D32728"/>
    <w:rsid w:val="00D32757"/>
    <w:rsid w:val="00D328BF"/>
    <w:rsid w:val="00D32A3D"/>
    <w:rsid w:val="00D32A61"/>
    <w:rsid w:val="00D32AFF"/>
    <w:rsid w:val="00D32C27"/>
    <w:rsid w:val="00D32C7D"/>
    <w:rsid w:val="00D32DF1"/>
    <w:rsid w:val="00D32E04"/>
    <w:rsid w:val="00D32ED2"/>
    <w:rsid w:val="00D32F51"/>
    <w:rsid w:val="00D32F9E"/>
    <w:rsid w:val="00D33068"/>
    <w:rsid w:val="00D33075"/>
    <w:rsid w:val="00D33174"/>
    <w:rsid w:val="00D33269"/>
    <w:rsid w:val="00D3330F"/>
    <w:rsid w:val="00D33319"/>
    <w:rsid w:val="00D3339E"/>
    <w:rsid w:val="00D334CF"/>
    <w:rsid w:val="00D33507"/>
    <w:rsid w:val="00D3371C"/>
    <w:rsid w:val="00D33768"/>
    <w:rsid w:val="00D337EB"/>
    <w:rsid w:val="00D3383E"/>
    <w:rsid w:val="00D339A0"/>
    <w:rsid w:val="00D33A14"/>
    <w:rsid w:val="00D33BA1"/>
    <w:rsid w:val="00D33C08"/>
    <w:rsid w:val="00D33CF7"/>
    <w:rsid w:val="00D33D30"/>
    <w:rsid w:val="00D33D5B"/>
    <w:rsid w:val="00D33D9C"/>
    <w:rsid w:val="00D33DF8"/>
    <w:rsid w:val="00D33E74"/>
    <w:rsid w:val="00D33E9B"/>
    <w:rsid w:val="00D33EB8"/>
    <w:rsid w:val="00D33F77"/>
    <w:rsid w:val="00D33F85"/>
    <w:rsid w:val="00D33F97"/>
    <w:rsid w:val="00D34078"/>
    <w:rsid w:val="00D34129"/>
    <w:rsid w:val="00D3415F"/>
    <w:rsid w:val="00D34161"/>
    <w:rsid w:val="00D34201"/>
    <w:rsid w:val="00D34211"/>
    <w:rsid w:val="00D34272"/>
    <w:rsid w:val="00D34284"/>
    <w:rsid w:val="00D342C7"/>
    <w:rsid w:val="00D34328"/>
    <w:rsid w:val="00D3434B"/>
    <w:rsid w:val="00D34371"/>
    <w:rsid w:val="00D343AC"/>
    <w:rsid w:val="00D343EE"/>
    <w:rsid w:val="00D346F6"/>
    <w:rsid w:val="00D34733"/>
    <w:rsid w:val="00D34753"/>
    <w:rsid w:val="00D34949"/>
    <w:rsid w:val="00D3496E"/>
    <w:rsid w:val="00D34A14"/>
    <w:rsid w:val="00D34A31"/>
    <w:rsid w:val="00D34AAB"/>
    <w:rsid w:val="00D34B83"/>
    <w:rsid w:val="00D34BF5"/>
    <w:rsid w:val="00D34BFD"/>
    <w:rsid w:val="00D34DD7"/>
    <w:rsid w:val="00D34E0E"/>
    <w:rsid w:val="00D34E40"/>
    <w:rsid w:val="00D34EFA"/>
    <w:rsid w:val="00D34FE0"/>
    <w:rsid w:val="00D35010"/>
    <w:rsid w:val="00D35037"/>
    <w:rsid w:val="00D35046"/>
    <w:rsid w:val="00D3504B"/>
    <w:rsid w:val="00D35057"/>
    <w:rsid w:val="00D35092"/>
    <w:rsid w:val="00D350DC"/>
    <w:rsid w:val="00D3510F"/>
    <w:rsid w:val="00D35191"/>
    <w:rsid w:val="00D351EF"/>
    <w:rsid w:val="00D3520B"/>
    <w:rsid w:val="00D35227"/>
    <w:rsid w:val="00D35249"/>
    <w:rsid w:val="00D35301"/>
    <w:rsid w:val="00D3534B"/>
    <w:rsid w:val="00D3541B"/>
    <w:rsid w:val="00D35676"/>
    <w:rsid w:val="00D35690"/>
    <w:rsid w:val="00D3579D"/>
    <w:rsid w:val="00D357B0"/>
    <w:rsid w:val="00D357F2"/>
    <w:rsid w:val="00D35898"/>
    <w:rsid w:val="00D35923"/>
    <w:rsid w:val="00D35928"/>
    <w:rsid w:val="00D3594A"/>
    <w:rsid w:val="00D359BB"/>
    <w:rsid w:val="00D35A57"/>
    <w:rsid w:val="00D35A6E"/>
    <w:rsid w:val="00D35AF2"/>
    <w:rsid w:val="00D35C5A"/>
    <w:rsid w:val="00D35C6B"/>
    <w:rsid w:val="00D35D32"/>
    <w:rsid w:val="00D35D9F"/>
    <w:rsid w:val="00D35E01"/>
    <w:rsid w:val="00D35F83"/>
    <w:rsid w:val="00D35FEC"/>
    <w:rsid w:val="00D35FFE"/>
    <w:rsid w:val="00D3611C"/>
    <w:rsid w:val="00D36152"/>
    <w:rsid w:val="00D361F8"/>
    <w:rsid w:val="00D36295"/>
    <w:rsid w:val="00D36330"/>
    <w:rsid w:val="00D36347"/>
    <w:rsid w:val="00D3634F"/>
    <w:rsid w:val="00D363EC"/>
    <w:rsid w:val="00D365BB"/>
    <w:rsid w:val="00D36604"/>
    <w:rsid w:val="00D36678"/>
    <w:rsid w:val="00D366A0"/>
    <w:rsid w:val="00D3680B"/>
    <w:rsid w:val="00D368EC"/>
    <w:rsid w:val="00D3699E"/>
    <w:rsid w:val="00D36A60"/>
    <w:rsid w:val="00D36AE4"/>
    <w:rsid w:val="00D36B1A"/>
    <w:rsid w:val="00D36B28"/>
    <w:rsid w:val="00D36B85"/>
    <w:rsid w:val="00D36B8B"/>
    <w:rsid w:val="00D36D8D"/>
    <w:rsid w:val="00D36DEF"/>
    <w:rsid w:val="00D36EAE"/>
    <w:rsid w:val="00D36ED1"/>
    <w:rsid w:val="00D36EFC"/>
    <w:rsid w:val="00D36F21"/>
    <w:rsid w:val="00D36F2D"/>
    <w:rsid w:val="00D36F41"/>
    <w:rsid w:val="00D36FAF"/>
    <w:rsid w:val="00D3705F"/>
    <w:rsid w:val="00D371C0"/>
    <w:rsid w:val="00D37277"/>
    <w:rsid w:val="00D372DC"/>
    <w:rsid w:val="00D372F5"/>
    <w:rsid w:val="00D373BA"/>
    <w:rsid w:val="00D37459"/>
    <w:rsid w:val="00D374AC"/>
    <w:rsid w:val="00D374F1"/>
    <w:rsid w:val="00D377EC"/>
    <w:rsid w:val="00D379CF"/>
    <w:rsid w:val="00D37A14"/>
    <w:rsid w:val="00D37AB7"/>
    <w:rsid w:val="00D37ABA"/>
    <w:rsid w:val="00D37AF4"/>
    <w:rsid w:val="00D37B02"/>
    <w:rsid w:val="00D37B8A"/>
    <w:rsid w:val="00D37C5A"/>
    <w:rsid w:val="00D37C6D"/>
    <w:rsid w:val="00D37DD5"/>
    <w:rsid w:val="00D37E76"/>
    <w:rsid w:val="00D4002C"/>
    <w:rsid w:val="00D40042"/>
    <w:rsid w:val="00D40096"/>
    <w:rsid w:val="00D40299"/>
    <w:rsid w:val="00D402B7"/>
    <w:rsid w:val="00D403A0"/>
    <w:rsid w:val="00D405CC"/>
    <w:rsid w:val="00D406AF"/>
    <w:rsid w:val="00D406D2"/>
    <w:rsid w:val="00D406D6"/>
    <w:rsid w:val="00D406FA"/>
    <w:rsid w:val="00D40783"/>
    <w:rsid w:val="00D4094E"/>
    <w:rsid w:val="00D409D4"/>
    <w:rsid w:val="00D40AED"/>
    <w:rsid w:val="00D40B4B"/>
    <w:rsid w:val="00D40C69"/>
    <w:rsid w:val="00D40CF3"/>
    <w:rsid w:val="00D40D35"/>
    <w:rsid w:val="00D40DF1"/>
    <w:rsid w:val="00D40F82"/>
    <w:rsid w:val="00D40FA1"/>
    <w:rsid w:val="00D41009"/>
    <w:rsid w:val="00D41167"/>
    <w:rsid w:val="00D41176"/>
    <w:rsid w:val="00D41197"/>
    <w:rsid w:val="00D411A3"/>
    <w:rsid w:val="00D413D3"/>
    <w:rsid w:val="00D414BF"/>
    <w:rsid w:val="00D414D5"/>
    <w:rsid w:val="00D4154E"/>
    <w:rsid w:val="00D417C9"/>
    <w:rsid w:val="00D417E3"/>
    <w:rsid w:val="00D4185E"/>
    <w:rsid w:val="00D4185F"/>
    <w:rsid w:val="00D4187D"/>
    <w:rsid w:val="00D41882"/>
    <w:rsid w:val="00D418B2"/>
    <w:rsid w:val="00D41911"/>
    <w:rsid w:val="00D419BF"/>
    <w:rsid w:val="00D41A5D"/>
    <w:rsid w:val="00D41B97"/>
    <w:rsid w:val="00D41B9E"/>
    <w:rsid w:val="00D41BD2"/>
    <w:rsid w:val="00D41C5B"/>
    <w:rsid w:val="00D41D61"/>
    <w:rsid w:val="00D41E23"/>
    <w:rsid w:val="00D41FF5"/>
    <w:rsid w:val="00D4210E"/>
    <w:rsid w:val="00D42148"/>
    <w:rsid w:val="00D421F7"/>
    <w:rsid w:val="00D4223F"/>
    <w:rsid w:val="00D422BB"/>
    <w:rsid w:val="00D423F4"/>
    <w:rsid w:val="00D42412"/>
    <w:rsid w:val="00D4245C"/>
    <w:rsid w:val="00D425B5"/>
    <w:rsid w:val="00D425BA"/>
    <w:rsid w:val="00D426C3"/>
    <w:rsid w:val="00D4275C"/>
    <w:rsid w:val="00D427F2"/>
    <w:rsid w:val="00D42887"/>
    <w:rsid w:val="00D428CD"/>
    <w:rsid w:val="00D428EB"/>
    <w:rsid w:val="00D4290C"/>
    <w:rsid w:val="00D42911"/>
    <w:rsid w:val="00D42976"/>
    <w:rsid w:val="00D42A93"/>
    <w:rsid w:val="00D42BD1"/>
    <w:rsid w:val="00D42C09"/>
    <w:rsid w:val="00D42C10"/>
    <w:rsid w:val="00D42D14"/>
    <w:rsid w:val="00D42DE1"/>
    <w:rsid w:val="00D42F61"/>
    <w:rsid w:val="00D43082"/>
    <w:rsid w:val="00D430A7"/>
    <w:rsid w:val="00D43197"/>
    <w:rsid w:val="00D431DA"/>
    <w:rsid w:val="00D431DC"/>
    <w:rsid w:val="00D431E4"/>
    <w:rsid w:val="00D432C3"/>
    <w:rsid w:val="00D43692"/>
    <w:rsid w:val="00D437C6"/>
    <w:rsid w:val="00D43813"/>
    <w:rsid w:val="00D439EB"/>
    <w:rsid w:val="00D43AD2"/>
    <w:rsid w:val="00D43B73"/>
    <w:rsid w:val="00D43EB8"/>
    <w:rsid w:val="00D43EED"/>
    <w:rsid w:val="00D43EFD"/>
    <w:rsid w:val="00D43F03"/>
    <w:rsid w:val="00D43F1D"/>
    <w:rsid w:val="00D43F3C"/>
    <w:rsid w:val="00D44011"/>
    <w:rsid w:val="00D44185"/>
    <w:rsid w:val="00D441BD"/>
    <w:rsid w:val="00D441F3"/>
    <w:rsid w:val="00D44203"/>
    <w:rsid w:val="00D44209"/>
    <w:rsid w:val="00D4423C"/>
    <w:rsid w:val="00D442DB"/>
    <w:rsid w:val="00D4446F"/>
    <w:rsid w:val="00D4447D"/>
    <w:rsid w:val="00D444D7"/>
    <w:rsid w:val="00D4455E"/>
    <w:rsid w:val="00D44571"/>
    <w:rsid w:val="00D4475B"/>
    <w:rsid w:val="00D447AD"/>
    <w:rsid w:val="00D44823"/>
    <w:rsid w:val="00D44858"/>
    <w:rsid w:val="00D448BE"/>
    <w:rsid w:val="00D449A5"/>
    <w:rsid w:val="00D449CA"/>
    <w:rsid w:val="00D44A1D"/>
    <w:rsid w:val="00D44B1C"/>
    <w:rsid w:val="00D44BD8"/>
    <w:rsid w:val="00D44CAA"/>
    <w:rsid w:val="00D44D9E"/>
    <w:rsid w:val="00D44DA8"/>
    <w:rsid w:val="00D45080"/>
    <w:rsid w:val="00D450A7"/>
    <w:rsid w:val="00D45147"/>
    <w:rsid w:val="00D45151"/>
    <w:rsid w:val="00D451B8"/>
    <w:rsid w:val="00D451D3"/>
    <w:rsid w:val="00D4532C"/>
    <w:rsid w:val="00D45338"/>
    <w:rsid w:val="00D4536A"/>
    <w:rsid w:val="00D4543C"/>
    <w:rsid w:val="00D45491"/>
    <w:rsid w:val="00D455A2"/>
    <w:rsid w:val="00D455A5"/>
    <w:rsid w:val="00D45703"/>
    <w:rsid w:val="00D4572C"/>
    <w:rsid w:val="00D45742"/>
    <w:rsid w:val="00D4579D"/>
    <w:rsid w:val="00D45954"/>
    <w:rsid w:val="00D45A1F"/>
    <w:rsid w:val="00D45C17"/>
    <w:rsid w:val="00D45C22"/>
    <w:rsid w:val="00D45CB4"/>
    <w:rsid w:val="00D45E17"/>
    <w:rsid w:val="00D45E97"/>
    <w:rsid w:val="00D45F52"/>
    <w:rsid w:val="00D45FB6"/>
    <w:rsid w:val="00D45FE6"/>
    <w:rsid w:val="00D4606B"/>
    <w:rsid w:val="00D46072"/>
    <w:rsid w:val="00D462BE"/>
    <w:rsid w:val="00D4633E"/>
    <w:rsid w:val="00D4636B"/>
    <w:rsid w:val="00D46382"/>
    <w:rsid w:val="00D463E0"/>
    <w:rsid w:val="00D4640B"/>
    <w:rsid w:val="00D464AB"/>
    <w:rsid w:val="00D464D0"/>
    <w:rsid w:val="00D4654B"/>
    <w:rsid w:val="00D4660F"/>
    <w:rsid w:val="00D46642"/>
    <w:rsid w:val="00D466FC"/>
    <w:rsid w:val="00D467A1"/>
    <w:rsid w:val="00D467E2"/>
    <w:rsid w:val="00D4684E"/>
    <w:rsid w:val="00D469E8"/>
    <w:rsid w:val="00D46A75"/>
    <w:rsid w:val="00D46A90"/>
    <w:rsid w:val="00D46AA3"/>
    <w:rsid w:val="00D46B02"/>
    <w:rsid w:val="00D46B12"/>
    <w:rsid w:val="00D46B59"/>
    <w:rsid w:val="00D46B7A"/>
    <w:rsid w:val="00D46BB1"/>
    <w:rsid w:val="00D46C6F"/>
    <w:rsid w:val="00D46CC7"/>
    <w:rsid w:val="00D46D5D"/>
    <w:rsid w:val="00D46DE5"/>
    <w:rsid w:val="00D46E82"/>
    <w:rsid w:val="00D46F54"/>
    <w:rsid w:val="00D47025"/>
    <w:rsid w:val="00D47098"/>
    <w:rsid w:val="00D4726A"/>
    <w:rsid w:val="00D4727B"/>
    <w:rsid w:val="00D472D9"/>
    <w:rsid w:val="00D47464"/>
    <w:rsid w:val="00D47559"/>
    <w:rsid w:val="00D4756E"/>
    <w:rsid w:val="00D4758D"/>
    <w:rsid w:val="00D47741"/>
    <w:rsid w:val="00D477FE"/>
    <w:rsid w:val="00D47826"/>
    <w:rsid w:val="00D478BC"/>
    <w:rsid w:val="00D4793C"/>
    <w:rsid w:val="00D4796C"/>
    <w:rsid w:val="00D479C5"/>
    <w:rsid w:val="00D47A72"/>
    <w:rsid w:val="00D47ACA"/>
    <w:rsid w:val="00D47BB4"/>
    <w:rsid w:val="00D47BE6"/>
    <w:rsid w:val="00D47C1C"/>
    <w:rsid w:val="00D47CA8"/>
    <w:rsid w:val="00D47CAE"/>
    <w:rsid w:val="00D47DAF"/>
    <w:rsid w:val="00D47E0A"/>
    <w:rsid w:val="00D47E1F"/>
    <w:rsid w:val="00D47EED"/>
    <w:rsid w:val="00D47F29"/>
    <w:rsid w:val="00D47F37"/>
    <w:rsid w:val="00D47FFB"/>
    <w:rsid w:val="00D501AC"/>
    <w:rsid w:val="00D5023A"/>
    <w:rsid w:val="00D50260"/>
    <w:rsid w:val="00D50354"/>
    <w:rsid w:val="00D5035E"/>
    <w:rsid w:val="00D503D9"/>
    <w:rsid w:val="00D50488"/>
    <w:rsid w:val="00D5048C"/>
    <w:rsid w:val="00D50575"/>
    <w:rsid w:val="00D5064B"/>
    <w:rsid w:val="00D5065B"/>
    <w:rsid w:val="00D506F7"/>
    <w:rsid w:val="00D507BC"/>
    <w:rsid w:val="00D50810"/>
    <w:rsid w:val="00D5081B"/>
    <w:rsid w:val="00D5095A"/>
    <w:rsid w:val="00D50A49"/>
    <w:rsid w:val="00D50A7C"/>
    <w:rsid w:val="00D50B31"/>
    <w:rsid w:val="00D50B3E"/>
    <w:rsid w:val="00D50DE0"/>
    <w:rsid w:val="00D50E18"/>
    <w:rsid w:val="00D50EBC"/>
    <w:rsid w:val="00D50F0F"/>
    <w:rsid w:val="00D51092"/>
    <w:rsid w:val="00D510AD"/>
    <w:rsid w:val="00D5110C"/>
    <w:rsid w:val="00D5115F"/>
    <w:rsid w:val="00D51185"/>
    <w:rsid w:val="00D512D5"/>
    <w:rsid w:val="00D51314"/>
    <w:rsid w:val="00D51421"/>
    <w:rsid w:val="00D5145C"/>
    <w:rsid w:val="00D51538"/>
    <w:rsid w:val="00D5157F"/>
    <w:rsid w:val="00D5159C"/>
    <w:rsid w:val="00D515A5"/>
    <w:rsid w:val="00D51708"/>
    <w:rsid w:val="00D51744"/>
    <w:rsid w:val="00D51785"/>
    <w:rsid w:val="00D5183A"/>
    <w:rsid w:val="00D51900"/>
    <w:rsid w:val="00D51AB0"/>
    <w:rsid w:val="00D51AB3"/>
    <w:rsid w:val="00D51BC9"/>
    <w:rsid w:val="00D51C12"/>
    <w:rsid w:val="00D51C85"/>
    <w:rsid w:val="00D51CA0"/>
    <w:rsid w:val="00D51CBB"/>
    <w:rsid w:val="00D51D7A"/>
    <w:rsid w:val="00D51E20"/>
    <w:rsid w:val="00D51F3D"/>
    <w:rsid w:val="00D52026"/>
    <w:rsid w:val="00D520C4"/>
    <w:rsid w:val="00D520EB"/>
    <w:rsid w:val="00D52107"/>
    <w:rsid w:val="00D521C3"/>
    <w:rsid w:val="00D521C5"/>
    <w:rsid w:val="00D52215"/>
    <w:rsid w:val="00D5228D"/>
    <w:rsid w:val="00D52336"/>
    <w:rsid w:val="00D5239F"/>
    <w:rsid w:val="00D52486"/>
    <w:rsid w:val="00D52529"/>
    <w:rsid w:val="00D5258F"/>
    <w:rsid w:val="00D525D1"/>
    <w:rsid w:val="00D52752"/>
    <w:rsid w:val="00D527A7"/>
    <w:rsid w:val="00D527E3"/>
    <w:rsid w:val="00D5282B"/>
    <w:rsid w:val="00D5289C"/>
    <w:rsid w:val="00D52908"/>
    <w:rsid w:val="00D52963"/>
    <w:rsid w:val="00D529A2"/>
    <w:rsid w:val="00D52B33"/>
    <w:rsid w:val="00D52C2A"/>
    <w:rsid w:val="00D52C55"/>
    <w:rsid w:val="00D52EC9"/>
    <w:rsid w:val="00D52F28"/>
    <w:rsid w:val="00D53064"/>
    <w:rsid w:val="00D530D4"/>
    <w:rsid w:val="00D5325C"/>
    <w:rsid w:val="00D532B4"/>
    <w:rsid w:val="00D532F5"/>
    <w:rsid w:val="00D53378"/>
    <w:rsid w:val="00D53425"/>
    <w:rsid w:val="00D53489"/>
    <w:rsid w:val="00D535B7"/>
    <w:rsid w:val="00D5364D"/>
    <w:rsid w:val="00D536B0"/>
    <w:rsid w:val="00D5376F"/>
    <w:rsid w:val="00D53817"/>
    <w:rsid w:val="00D538B7"/>
    <w:rsid w:val="00D5396D"/>
    <w:rsid w:val="00D53A8A"/>
    <w:rsid w:val="00D53B35"/>
    <w:rsid w:val="00D53D28"/>
    <w:rsid w:val="00D53D39"/>
    <w:rsid w:val="00D53F1B"/>
    <w:rsid w:val="00D53F92"/>
    <w:rsid w:val="00D53FE0"/>
    <w:rsid w:val="00D53FE5"/>
    <w:rsid w:val="00D542B4"/>
    <w:rsid w:val="00D54343"/>
    <w:rsid w:val="00D543F3"/>
    <w:rsid w:val="00D5443F"/>
    <w:rsid w:val="00D544BD"/>
    <w:rsid w:val="00D54871"/>
    <w:rsid w:val="00D5490D"/>
    <w:rsid w:val="00D54A3A"/>
    <w:rsid w:val="00D54B59"/>
    <w:rsid w:val="00D54B81"/>
    <w:rsid w:val="00D54C5F"/>
    <w:rsid w:val="00D54CC0"/>
    <w:rsid w:val="00D54CCD"/>
    <w:rsid w:val="00D54D9E"/>
    <w:rsid w:val="00D54F1F"/>
    <w:rsid w:val="00D54F48"/>
    <w:rsid w:val="00D5501B"/>
    <w:rsid w:val="00D55051"/>
    <w:rsid w:val="00D55144"/>
    <w:rsid w:val="00D55194"/>
    <w:rsid w:val="00D551E4"/>
    <w:rsid w:val="00D551EA"/>
    <w:rsid w:val="00D552A5"/>
    <w:rsid w:val="00D552DC"/>
    <w:rsid w:val="00D55438"/>
    <w:rsid w:val="00D55469"/>
    <w:rsid w:val="00D5551A"/>
    <w:rsid w:val="00D55540"/>
    <w:rsid w:val="00D55589"/>
    <w:rsid w:val="00D5564E"/>
    <w:rsid w:val="00D55668"/>
    <w:rsid w:val="00D5567B"/>
    <w:rsid w:val="00D5569D"/>
    <w:rsid w:val="00D5574B"/>
    <w:rsid w:val="00D5577F"/>
    <w:rsid w:val="00D55881"/>
    <w:rsid w:val="00D558CA"/>
    <w:rsid w:val="00D558FD"/>
    <w:rsid w:val="00D55953"/>
    <w:rsid w:val="00D55999"/>
    <w:rsid w:val="00D55ABF"/>
    <w:rsid w:val="00D55BDD"/>
    <w:rsid w:val="00D55D8E"/>
    <w:rsid w:val="00D55DA9"/>
    <w:rsid w:val="00D55E6E"/>
    <w:rsid w:val="00D55E79"/>
    <w:rsid w:val="00D55ED6"/>
    <w:rsid w:val="00D5609D"/>
    <w:rsid w:val="00D56122"/>
    <w:rsid w:val="00D561E9"/>
    <w:rsid w:val="00D562D0"/>
    <w:rsid w:val="00D56662"/>
    <w:rsid w:val="00D5666D"/>
    <w:rsid w:val="00D5667B"/>
    <w:rsid w:val="00D566C2"/>
    <w:rsid w:val="00D56789"/>
    <w:rsid w:val="00D567F0"/>
    <w:rsid w:val="00D5686C"/>
    <w:rsid w:val="00D568CF"/>
    <w:rsid w:val="00D56908"/>
    <w:rsid w:val="00D56909"/>
    <w:rsid w:val="00D569DB"/>
    <w:rsid w:val="00D56A6D"/>
    <w:rsid w:val="00D56A88"/>
    <w:rsid w:val="00D56AB0"/>
    <w:rsid w:val="00D56C71"/>
    <w:rsid w:val="00D56CA3"/>
    <w:rsid w:val="00D56D0D"/>
    <w:rsid w:val="00D56D88"/>
    <w:rsid w:val="00D56E3D"/>
    <w:rsid w:val="00D56E6B"/>
    <w:rsid w:val="00D56E6F"/>
    <w:rsid w:val="00D56EC6"/>
    <w:rsid w:val="00D56F3D"/>
    <w:rsid w:val="00D571B0"/>
    <w:rsid w:val="00D57257"/>
    <w:rsid w:val="00D5728E"/>
    <w:rsid w:val="00D572DC"/>
    <w:rsid w:val="00D572F1"/>
    <w:rsid w:val="00D57393"/>
    <w:rsid w:val="00D573BC"/>
    <w:rsid w:val="00D574B6"/>
    <w:rsid w:val="00D574D9"/>
    <w:rsid w:val="00D574E3"/>
    <w:rsid w:val="00D576EB"/>
    <w:rsid w:val="00D57747"/>
    <w:rsid w:val="00D577E5"/>
    <w:rsid w:val="00D5786E"/>
    <w:rsid w:val="00D578C4"/>
    <w:rsid w:val="00D578EB"/>
    <w:rsid w:val="00D5797D"/>
    <w:rsid w:val="00D5797F"/>
    <w:rsid w:val="00D579EA"/>
    <w:rsid w:val="00D579F8"/>
    <w:rsid w:val="00D57AAD"/>
    <w:rsid w:val="00D57AD6"/>
    <w:rsid w:val="00D57B65"/>
    <w:rsid w:val="00D57B77"/>
    <w:rsid w:val="00D57BEB"/>
    <w:rsid w:val="00D57C03"/>
    <w:rsid w:val="00D57C85"/>
    <w:rsid w:val="00D57C9A"/>
    <w:rsid w:val="00D57C9F"/>
    <w:rsid w:val="00D57CDA"/>
    <w:rsid w:val="00D57CDF"/>
    <w:rsid w:val="00D57D28"/>
    <w:rsid w:val="00D57E32"/>
    <w:rsid w:val="00D57E4B"/>
    <w:rsid w:val="00D57E63"/>
    <w:rsid w:val="00D6009D"/>
    <w:rsid w:val="00D600CB"/>
    <w:rsid w:val="00D60178"/>
    <w:rsid w:val="00D60239"/>
    <w:rsid w:val="00D602BC"/>
    <w:rsid w:val="00D602BD"/>
    <w:rsid w:val="00D602DE"/>
    <w:rsid w:val="00D60370"/>
    <w:rsid w:val="00D60426"/>
    <w:rsid w:val="00D60459"/>
    <w:rsid w:val="00D60510"/>
    <w:rsid w:val="00D6053C"/>
    <w:rsid w:val="00D60723"/>
    <w:rsid w:val="00D60736"/>
    <w:rsid w:val="00D60792"/>
    <w:rsid w:val="00D607BC"/>
    <w:rsid w:val="00D607E3"/>
    <w:rsid w:val="00D607E4"/>
    <w:rsid w:val="00D6088C"/>
    <w:rsid w:val="00D608C3"/>
    <w:rsid w:val="00D60900"/>
    <w:rsid w:val="00D609EC"/>
    <w:rsid w:val="00D60A1A"/>
    <w:rsid w:val="00D60BF2"/>
    <w:rsid w:val="00D60CE2"/>
    <w:rsid w:val="00D60D7E"/>
    <w:rsid w:val="00D60DF4"/>
    <w:rsid w:val="00D60E2D"/>
    <w:rsid w:val="00D60E3F"/>
    <w:rsid w:val="00D60E48"/>
    <w:rsid w:val="00D60E76"/>
    <w:rsid w:val="00D60FFA"/>
    <w:rsid w:val="00D61184"/>
    <w:rsid w:val="00D6118C"/>
    <w:rsid w:val="00D6122B"/>
    <w:rsid w:val="00D612DE"/>
    <w:rsid w:val="00D612FF"/>
    <w:rsid w:val="00D613AC"/>
    <w:rsid w:val="00D6140E"/>
    <w:rsid w:val="00D6147C"/>
    <w:rsid w:val="00D61557"/>
    <w:rsid w:val="00D615A6"/>
    <w:rsid w:val="00D615FD"/>
    <w:rsid w:val="00D61640"/>
    <w:rsid w:val="00D616C8"/>
    <w:rsid w:val="00D61778"/>
    <w:rsid w:val="00D61784"/>
    <w:rsid w:val="00D61788"/>
    <w:rsid w:val="00D6181F"/>
    <w:rsid w:val="00D61866"/>
    <w:rsid w:val="00D618E7"/>
    <w:rsid w:val="00D61C33"/>
    <w:rsid w:val="00D61CE9"/>
    <w:rsid w:val="00D61CF1"/>
    <w:rsid w:val="00D61CF7"/>
    <w:rsid w:val="00D61CFB"/>
    <w:rsid w:val="00D61D04"/>
    <w:rsid w:val="00D61D05"/>
    <w:rsid w:val="00D61DAE"/>
    <w:rsid w:val="00D61EBC"/>
    <w:rsid w:val="00D61FF7"/>
    <w:rsid w:val="00D620A0"/>
    <w:rsid w:val="00D620A1"/>
    <w:rsid w:val="00D621DC"/>
    <w:rsid w:val="00D622D0"/>
    <w:rsid w:val="00D622EA"/>
    <w:rsid w:val="00D6232F"/>
    <w:rsid w:val="00D62364"/>
    <w:rsid w:val="00D623BC"/>
    <w:rsid w:val="00D62476"/>
    <w:rsid w:val="00D62527"/>
    <w:rsid w:val="00D62583"/>
    <w:rsid w:val="00D6259E"/>
    <w:rsid w:val="00D625F3"/>
    <w:rsid w:val="00D62615"/>
    <w:rsid w:val="00D627C0"/>
    <w:rsid w:val="00D627FA"/>
    <w:rsid w:val="00D62831"/>
    <w:rsid w:val="00D6283B"/>
    <w:rsid w:val="00D6286D"/>
    <w:rsid w:val="00D628A2"/>
    <w:rsid w:val="00D6292C"/>
    <w:rsid w:val="00D62A6A"/>
    <w:rsid w:val="00D62AA2"/>
    <w:rsid w:val="00D62B2D"/>
    <w:rsid w:val="00D62B8B"/>
    <w:rsid w:val="00D62BAC"/>
    <w:rsid w:val="00D62C10"/>
    <w:rsid w:val="00D62C18"/>
    <w:rsid w:val="00D62C3D"/>
    <w:rsid w:val="00D62CE1"/>
    <w:rsid w:val="00D62D84"/>
    <w:rsid w:val="00D62D9A"/>
    <w:rsid w:val="00D62D9D"/>
    <w:rsid w:val="00D62DC3"/>
    <w:rsid w:val="00D62E64"/>
    <w:rsid w:val="00D62E87"/>
    <w:rsid w:val="00D62F7E"/>
    <w:rsid w:val="00D62F93"/>
    <w:rsid w:val="00D62FA2"/>
    <w:rsid w:val="00D630ED"/>
    <w:rsid w:val="00D63136"/>
    <w:rsid w:val="00D632B1"/>
    <w:rsid w:val="00D63371"/>
    <w:rsid w:val="00D63395"/>
    <w:rsid w:val="00D633A2"/>
    <w:rsid w:val="00D633CB"/>
    <w:rsid w:val="00D633E9"/>
    <w:rsid w:val="00D6342A"/>
    <w:rsid w:val="00D63488"/>
    <w:rsid w:val="00D634BA"/>
    <w:rsid w:val="00D6355B"/>
    <w:rsid w:val="00D635A4"/>
    <w:rsid w:val="00D635E3"/>
    <w:rsid w:val="00D63662"/>
    <w:rsid w:val="00D6367A"/>
    <w:rsid w:val="00D636F9"/>
    <w:rsid w:val="00D6370F"/>
    <w:rsid w:val="00D637DD"/>
    <w:rsid w:val="00D638F1"/>
    <w:rsid w:val="00D63938"/>
    <w:rsid w:val="00D6395D"/>
    <w:rsid w:val="00D639DC"/>
    <w:rsid w:val="00D63ACD"/>
    <w:rsid w:val="00D63B40"/>
    <w:rsid w:val="00D63C02"/>
    <w:rsid w:val="00D63CC8"/>
    <w:rsid w:val="00D63CDD"/>
    <w:rsid w:val="00D63D68"/>
    <w:rsid w:val="00D63D6E"/>
    <w:rsid w:val="00D63EF1"/>
    <w:rsid w:val="00D63FDB"/>
    <w:rsid w:val="00D63FE2"/>
    <w:rsid w:val="00D64017"/>
    <w:rsid w:val="00D64149"/>
    <w:rsid w:val="00D6419C"/>
    <w:rsid w:val="00D641C1"/>
    <w:rsid w:val="00D6426E"/>
    <w:rsid w:val="00D642BB"/>
    <w:rsid w:val="00D642BE"/>
    <w:rsid w:val="00D642F6"/>
    <w:rsid w:val="00D643D2"/>
    <w:rsid w:val="00D643D4"/>
    <w:rsid w:val="00D644CF"/>
    <w:rsid w:val="00D645B3"/>
    <w:rsid w:val="00D64606"/>
    <w:rsid w:val="00D64626"/>
    <w:rsid w:val="00D64728"/>
    <w:rsid w:val="00D64751"/>
    <w:rsid w:val="00D64774"/>
    <w:rsid w:val="00D64775"/>
    <w:rsid w:val="00D64779"/>
    <w:rsid w:val="00D6481E"/>
    <w:rsid w:val="00D64935"/>
    <w:rsid w:val="00D64953"/>
    <w:rsid w:val="00D64999"/>
    <w:rsid w:val="00D64A07"/>
    <w:rsid w:val="00D64A8B"/>
    <w:rsid w:val="00D64B50"/>
    <w:rsid w:val="00D64CF3"/>
    <w:rsid w:val="00D64D20"/>
    <w:rsid w:val="00D64D49"/>
    <w:rsid w:val="00D64D5F"/>
    <w:rsid w:val="00D64DFF"/>
    <w:rsid w:val="00D64E29"/>
    <w:rsid w:val="00D64E53"/>
    <w:rsid w:val="00D64E76"/>
    <w:rsid w:val="00D64EB8"/>
    <w:rsid w:val="00D64F35"/>
    <w:rsid w:val="00D64FC9"/>
    <w:rsid w:val="00D65100"/>
    <w:rsid w:val="00D6514E"/>
    <w:rsid w:val="00D65287"/>
    <w:rsid w:val="00D65289"/>
    <w:rsid w:val="00D652EA"/>
    <w:rsid w:val="00D6536F"/>
    <w:rsid w:val="00D653F0"/>
    <w:rsid w:val="00D6540E"/>
    <w:rsid w:val="00D6545A"/>
    <w:rsid w:val="00D655A4"/>
    <w:rsid w:val="00D655A6"/>
    <w:rsid w:val="00D655D6"/>
    <w:rsid w:val="00D6563B"/>
    <w:rsid w:val="00D65642"/>
    <w:rsid w:val="00D656D5"/>
    <w:rsid w:val="00D656E0"/>
    <w:rsid w:val="00D65735"/>
    <w:rsid w:val="00D65761"/>
    <w:rsid w:val="00D6577A"/>
    <w:rsid w:val="00D6579C"/>
    <w:rsid w:val="00D657A9"/>
    <w:rsid w:val="00D65832"/>
    <w:rsid w:val="00D65A6D"/>
    <w:rsid w:val="00D65ACD"/>
    <w:rsid w:val="00D65B84"/>
    <w:rsid w:val="00D65BB2"/>
    <w:rsid w:val="00D65BD9"/>
    <w:rsid w:val="00D65C30"/>
    <w:rsid w:val="00D65CA7"/>
    <w:rsid w:val="00D65D8F"/>
    <w:rsid w:val="00D65E7E"/>
    <w:rsid w:val="00D65F17"/>
    <w:rsid w:val="00D65F71"/>
    <w:rsid w:val="00D65F77"/>
    <w:rsid w:val="00D6600F"/>
    <w:rsid w:val="00D66174"/>
    <w:rsid w:val="00D6618C"/>
    <w:rsid w:val="00D661F1"/>
    <w:rsid w:val="00D662AF"/>
    <w:rsid w:val="00D662CC"/>
    <w:rsid w:val="00D662E3"/>
    <w:rsid w:val="00D663B3"/>
    <w:rsid w:val="00D663C8"/>
    <w:rsid w:val="00D663DA"/>
    <w:rsid w:val="00D66569"/>
    <w:rsid w:val="00D66571"/>
    <w:rsid w:val="00D665A0"/>
    <w:rsid w:val="00D66608"/>
    <w:rsid w:val="00D66635"/>
    <w:rsid w:val="00D66710"/>
    <w:rsid w:val="00D66724"/>
    <w:rsid w:val="00D66764"/>
    <w:rsid w:val="00D66774"/>
    <w:rsid w:val="00D66792"/>
    <w:rsid w:val="00D66818"/>
    <w:rsid w:val="00D6686A"/>
    <w:rsid w:val="00D669BC"/>
    <w:rsid w:val="00D66A1E"/>
    <w:rsid w:val="00D66AC3"/>
    <w:rsid w:val="00D66B3F"/>
    <w:rsid w:val="00D66B9D"/>
    <w:rsid w:val="00D66C01"/>
    <w:rsid w:val="00D66CEC"/>
    <w:rsid w:val="00D66D1B"/>
    <w:rsid w:val="00D66D83"/>
    <w:rsid w:val="00D66EC9"/>
    <w:rsid w:val="00D66F15"/>
    <w:rsid w:val="00D66F85"/>
    <w:rsid w:val="00D67001"/>
    <w:rsid w:val="00D67075"/>
    <w:rsid w:val="00D67079"/>
    <w:rsid w:val="00D67199"/>
    <w:rsid w:val="00D671D8"/>
    <w:rsid w:val="00D67287"/>
    <w:rsid w:val="00D673DE"/>
    <w:rsid w:val="00D67466"/>
    <w:rsid w:val="00D6749D"/>
    <w:rsid w:val="00D674F4"/>
    <w:rsid w:val="00D67544"/>
    <w:rsid w:val="00D675E6"/>
    <w:rsid w:val="00D67690"/>
    <w:rsid w:val="00D67776"/>
    <w:rsid w:val="00D677CE"/>
    <w:rsid w:val="00D678A9"/>
    <w:rsid w:val="00D678C2"/>
    <w:rsid w:val="00D678D3"/>
    <w:rsid w:val="00D678E2"/>
    <w:rsid w:val="00D67960"/>
    <w:rsid w:val="00D679D6"/>
    <w:rsid w:val="00D679DD"/>
    <w:rsid w:val="00D67A7A"/>
    <w:rsid w:val="00D67AA4"/>
    <w:rsid w:val="00D67B53"/>
    <w:rsid w:val="00D67D6F"/>
    <w:rsid w:val="00D67E7F"/>
    <w:rsid w:val="00D67F2E"/>
    <w:rsid w:val="00D67F94"/>
    <w:rsid w:val="00D67FE4"/>
    <w:rsid w:val="00D700AF"/>
    <w:rsid w:val="00D70164"/>
    <w:rsid w:val="00D701CB"/>
    <w:rsid w:val="00D702B3"/>
    <w:rsid w:val="00D7030D"/>
    <w:rsid w:val="00D70510"/>
    <w:rsid w:val="00D7051B"/>
    <w:rsid w:val="00D70571"/>
    <w:rsid w:val="00D7059B"/>
    <w:rsid w:val="00D705EC"/>
    <w:rsid w:val="00D706EF"/>
    <w:rsid w:val="00D70718"/>
    <w:rsid w:val="00D70785"/>
    <w:rsid w:val="00D70870"/>
    <w:rsid w:val="00D70887"/>
    <w:rsid w:val="00D708D7"/>
    <w:rsid w:val="00D70A28"/>
    <w:rsid w:val="00D70AF8"/>
    <w:rsid w:val="00D70B92"/>
    <w:rsid w:val="00D70B95"/>
    <w:rsid w:val="00D70C2F"/>
    <w:rsid w:val="00D70D0B"/>
    <w:rsid w:val="00D70D5E"/>
    <w:rsid w:val="00D70D6F"/>
    <w:rsid w:val="00D70D8B"/>
    <w:rsid w:val="00D70DA1"/>
    <w:rsid w:val="00D70EE3"/>
    <w:rsid w:val="00D70F0F"/>
    <w:rsid w:val="00D70F74"/>
    <w:rsid w:val="00D70FCB"/>
    <w:rsid w:val="00D71023"/>
    <w:rsid w:val="00D710C0"/>
    <w:rsid w:val="00D7116F"/>
    <w:rsid w:val="00D71212"/>
    <w:rsid w:val="00D71234"/>
    <w:rsid w:val="00D712C1"/>
    <w:rsid w:val="00D71304"/>
    <w:rsid w:val="00D713DC"/>
    <w:rsid w:val="00D71430"/>
    <w:rsid w:val="00D71587"/>
    <w:rsid w:val="00D71590"/>
    <w:rsid w:val="00D715D7"/>
    <w:rsid w:val="00D7163C"/>
    <w:rsid w:val="00D716FE"/>
    <w:rsid w:val="00D71739"/>
    <w:rsid w:val="00D717BA"/>
    <w:rsid w:val="00D7183C"/>
    <w:rsid w:val="00D71892"/>
    <w:rsid w:val="00D718CB"/>
    <w:rsid w:val="00D71950"/>
    <w:rsid w:val="00D7196D"/>
    <w:rsid w:val="00D71A0D"/>
    <w:rsid w:val="00D71AA4"/>
    <w:rsid w:val="00D71BFD"/>
    <w:rsid w:val="00D71C2D"/>
    <w:rsid w:val="00D71C8E"/>
    <w:rsid w:val="00D71D24"/>
    <w:rsid w:val="00D71DC9"/>
    <w:rsid w:val="00D71DEE"/>
    <w:rsid w:val="00D71E3D"/>
    <w:rsid w:val="00D71E94"/>
    <w:rsid w:val="00D71EAA"/>
    <w:rsid w:val="00D71F82"/>
    <w:rsid w:val="00D71FA4"/>
    <w:rsid w:val="00D72061"/>
    <w:rsid w:val="00D720D7"/>
    <w:rsid w:val="00D7216C"/>
    <w:rsid w:val="00D72283"/>
    <w:rsid w:val="00D7234D"/>
    <w:rsid w:val="00D72351"/>
    <w:rsid w:val="00D7237B"/>
    <w:rsid w:val="00D72530"/>
    <w:rsid w:val="00D72549"/>
    <w:rsid w:val="00D727C4"/>
    <w:rsid w:val="00D72841"/>
    <w:rsid w:val="00D72844"/>
    <w:rsid w:val="00D72888"/>
    <w:rsid w:val="00D72923"/>
    <w:rsid w:val="00D7299B"/>
    <w:rsid w:val="00D729F3"/>
    <w:rsid w:val="00D72BFC"/>
    <w:rsid w:val="00D72C9A"/>
    <w:rsid w:val="00D72D21"/>
    <w:rsid w:val="00D72D24"/>
    <w:rsid w:val="00D72D33"/>
    <w:rsid w:val="00D72E16"/>
    <w:rsid w:val="00D72E2F"/>
    <w:rsid w:val="00D72E6C"/>
    <w:rsid w:val="00D72F30"/>
    <w:rsid w:val="00D72F9A"/>
    <w:rsid w:val="00D73076"/>
    <w:rsid w:val="00D7310B"/>
    <w:rsid w:val="00D732CD"/>
    <w:rsid w:val="00D732EC"/>
    <w:rsid w:val="00D732FB"/>
    <w:rsid w:val="00D73308"/>
    <w:rsid w:val="00D73460"/>
    <w:rsid w:val="00D735E9"/>
    <w:rsid w:val="00D736B5"/>
    <w:rsid w:val="00D7384B"/>
    <w:rsid w:val="00D738D5"/>
    <w:rsid w:val="00D738E7"/>
    <w:rsid w:val="00D73A25"/>
    <w:rsid w:val="00D73A62"/>
    <w:rsid w:val="00D73AE6"/>
    <w:rsid w:val="00D73B38"/>
    <w:rsid w:val="00D73BCB"/>
    <w:rsid w:val="00D73D4E"/>
    <w:rsid w:val="00D73E45"/>
    <w:rsid w:val="00D73F48"/>
    <w:rsid w:val="00D73F53"/>
    <w:rsid w:val="00D7414A"/>
    <w:rsid w:val="00D741C8"/>
    <w:rsid w:val="00D741EB"/>
    <w:rsid w:val="00D74320"/>
    <w:rsid w:val="00D74561"/>
    <w:rsid w:val="00D74564"/>
    <w:rsid w:val="00D74581"/>
    <w:rsid w:val="00D745C8"/>
    <w:rsid w:val="00D74677"/>
    <w:rsid w:val="00D74698"/>
    <w:rsid w:val="00D746A3"/>
    <w:rsid w:val="00D74730"/>
    <w:rsid w:val="00D74810"/>
    <w:rsid w:val="00D7494D"/>
    <w:rsid w:val="00D74959"/>
    <w:rsid w:val="00D749B1"/>
    <w:rsid w:val="00D74BD0"/>
    <w:rsid w:val="00D74C9F"/>
    <w:rsid w:val="00D74DA1"/>
    <w:rsid w:val="00D74DF5"/>
    <w:rsid w:val="00D74E3F"/>
    <w:rsid w:val="00D74EEF"/>
    <w:rsid w:val="00D74F7B"/>
    <w:rsid w:val="00D74F7C"/>
    <w:rsid w:val="00D74FFC"/>
    <w:rsid w:val="00D7505C"/>
    <w:rsid w:val="00D751B0"/>
    <w:rsid w:val="00D751D4"/>
    <w:rsid w:val="00D75224"/>
    <w:rsid w:val="00D75227"/>
    <w:rsid w:val="00D75242"/>
    <w:rsid w:val="00D7527E"/>
    <w:rsid w:val="00D752A0"/>
    <w:rsid w:val="00D753D7"/>
    <w:rsid w:val="00D75471"/>
    <w:rsid w:val="00D75488"/>
    <w:rsid w:val="00D75631"/>
    <w:rsid w:val="00D7567C"/>
    <w:rsid w:val="00D756A0"/>
    <w:rsid w:val="00D756BE"/>
    <w:rsid w:val="00D75707"/>
    <w:rsid w:val="00D7585C"/>
    <w:rsid w:val="00D758DD"/>
    <w:rsid w:val="00D75A10"/>
    <w:rsid w:val="00D75A2D"/>
    <w:rsid w:val="00D75A6F"/>
    <w:rsid w:val="00D75AFE"/>
    <w:rsid w:val="00D75B16"/>
    <w:rsid w:val="00D75BEC"/>
    <w:rsid w:val="00D75C06"/>
    <w:rsid w:val="00D75C7E"/>
    <w:rsid w:val="00D75C9A"/>
    <w:rsid w:val="00D75DC9"/>
    <w:rsid w:val="00D75E0E"/>
    <w:rsid w:val="00D75FBA"/>
    <w:rsid w:val="00D75FCE"/>
    <w:rsid w:val="00D75FDD"/>
    <w:rsid w:val="00D76011"/>
    <w:rsid w:val="00D7609F"/>
    <w:rsid w:val="00D76101"/>
    <w:rsid w:val="00D76201"/>
    <w:rsid w:val="00D7622F"/>
    <w:rsid w:val="00D762D5"/>
    <w:rsid w:val="00D76347"/>
    <w:rsid w:val="00D76349"/>
    <w:rsid w:val="00D76355"/>
    <w:rsid w:val="00D76395"/>
    <w:rsid w:val="00D7643E"/>
    <w:rsid w:val="00D76460"/>
    <w:rsid w:val="00D765CC"/>
    <w:rsid w:val="00D765D8"/>
    <w:rsid w:val="00D765F9"/>
    <w:rsid w:val="00D7661E"/>
    <w:rsid w:val="00D76653"/>
    <w:rsid w:val="00D766AD"/>
    <w:rsid w:val="00D766DE"/>
    <w:rsid w:val="00D766DF"/>
    <w:rsid w:val="00D766E5"/>
    <w:rsid w:val="00D767FB"/>
    <w:rsid w:val="00D76808"/>
    <w:rsid w:val="00D768AA"/>
    <w:rsid w:val="00D768BF"/>
    <w:rsid w:val="00D768FD"/>
    <w:rsid w:val="00D76929"/>
    <w:rsid w:val="00D769D0"/>
    <w:rsid w:val="00D76A11"/>
    <w:rsid w:val="00D76A5C"/>
    <w:rsid w:val="00D76C55"/>
    <w:rsid w:val="00D76CA9"/>
    <w:rsid w:val="00D76CB2"/>
    <w:rsid w:val="00D76CBE"/>
    <w:rsid w:val="00D76E13"/>
    <w:rsid w:val="00D76EB4"/>
    <w:rsid w:val="00D76F30"/>
    <w:rsid w:val="00D76F89"/>
    <w:rsid w:val="00D76F9D"/>
    <w:rsid w:val="00D76FAE"/>
    <w:rsid w:val="00D76FF5"/>
    <w:rsid w:val="00D770A6"/>
    <w:rsid w:val="00D770D9"/>
    <w:rsid w:val="00D771C4"/>
    <w:rsid w:val="00D77288"/>
    <w:rsid w:val="00D772C5"/>
    <w:rsid w:val="00D772E0"/>
    <w:rsid w:val="00D7734A"/>
    <w:rsid w:val="00D77588"/>
    <w:rsid w:val="00D775A1"/>
    <w:rsid w:val="00D7763C"/>
    <w:rsid w:val="00D7765D"/>
    <w:rsid w:val="00D77752"/>
    <w:rsid w:val="00D7775C"/>
    <w:rsid w:val="00D7786C"/>
    <w:rsid w:val="00D778F0"/>
    <w:rsid w:val="00D77948"/>
    <w:rsid w:val="00D77958"/>
    <w:rsid w:val="00D77B20"/>
    <w:rsid w:val="00D77B3F"/>
    <w:rsid w:val="00D77BA3"/>
    <w:rsid w:val="00D77C33"/>
    <w:rsid w:val="00D77D03"/>
    <w:rsid w:val="00D77D4A"/>
    <w:rsid w:val="00D77DB1"/>
    <w:rsid w:val="00D77F45"/>
    <w:rsid w:val="00D77F68"/>
    <w:rsid w:val="00D77FA8"/>
    <w:rsid w:val="00D80050"/>
    <w:rsid w:val="00D800A3"/>
    <w:rsid w:val="00D801A5"/>
    <w:rsid w:val="00D8025B"/>
    <w:rsid w:val="00D802B1"/>
    <w:rsid w:val="00D8034E"/>
    <w:rsid w:val="00D80393"/>
    <w:rsid w:val="00D803A3"/>
    <w:rsid w:val="00D804E2"/>
    <w:rsid w:val="00D8055F"/>
    <w:rsid w:val="00D805FD"/>
    <w:rsid w:val="00D80603"/>
    <w:rsid w:val="00D806E3"/>
    <w:rsid w:val="00D80703"/>
    <w:rsid w:val="00D807A4"/>
    <w:rsid w:val="00D807B9"/>
    <w:rsid w:val="00D807D5"/>
    <w:rsid w:val="00D80807"/>
    <w:rsid w:val="00D8089A"/>
    <w:rsid w:val="00D808C1"/>
    <w:rsid w:val="00D80A08"/>
    <w:rsid w:val="00D80A1C"/>
    <w:rsid w:val="00D80A55"/>
    <w:rsid w:val="00D80AF4"/>
    <w:rsid w:val="00D80B1D"/>
    <w:rsid w:val="00D80B62"/>
    <w:rsid w:val="00D80BBC"/>
    <w:rsid w:val="00D80BE2"/>
    <w:rsid w:val="00D80C54"/>
    <w:rsid w:val="00D80C87"/>
    <w:rsid w:val="00D80CA1"/>
    <w:rsid w:val="00D80CB2"/>
    <w:rsid w:val="00D80D1F"/>
    <w:rsid w:val="00D80DB4"/>
    <w:rsid w:val="00D80E04"/>
    <w:rsid w:val="00D80FF0"/>
    <w:rsid w:val="00D8106F"/>
    <w:rsid w:val="00D8117D"/>
    <w:rsid w:val="00D81334"/>
    <w:rsid w:val="00D813BC"/>
    <w:rsid w:val="00D813D4"/>
    <w:rsid w:val="00D81473"/>
    <w:rsid w:val="00D815C9"/>
    <w:rsid w:val="00D8160B"/>
    <w:rsid w:val="00D81613"/>
    <w:rsid w:val="00D81680"/>
    <w:rsid w:val="00D81786"/>
    <w:rsid w:val="00D81856"/>
    <w:rsid w:val="00D8193A"/>
    <w:rsid w:val="00D81A13"/>
    <w:rsid w:val="00D81A29"/>
    <w:rsid w:val="00D81A70"/>
    <w:rsid w:val="00D81ABC"/>
    <w:rsid w:val="00D81AF7"/>
    <w:rsid w:val="00D81B10"/>
    <w:rsid w:val="00D81B3C"/>
    <w:rsid w:val="00D81C98"/>
    <w:rsid w:val="00D81DE9"/>
    <w:rsid w:val="00D81F37"/>
    <w:rsid w:val="00D81FB9"/>
    <w:rsid w:val="00D81FE4"/>
    <w:rsid w:val="00D82005"/>
    <w:rsid w:val="00D8201A"/>
    <w:rsid w:val="00D82053"/>
    <w:rsid w:val="00D8205E"/>
    <w:rsid w:val="00D82136"/>
    <w:rsid w:val="00D821A6"/>
    <w:rsid w:val="00D821C8"/>
    <w:rsid w:val="00D8238C"/>
    <w:rsid w:val="00D82391"/>
    <w:rsid w:val="00D82414"/>
    <w:rsid w:val="00D8242F"/>
    <w:rsid w:val="00D8245A"/>
    <w:rsid w:val="00D825B3"/>
    <w:rsid w:val="00D825F5"/>
    <w:rsid w:val="00D826D3"/>
    <w:rsid w:val="00D828B2"/>
    <w:rsid w:val="00D82962"/>
    <w:rsid w:val="00D82987"/>
    <w:rsid w:val="00D82A22"/>
    <w:rsid w:val="00D82AD9"/>
    <w:rsid w:val="00D82B13"/>
    <w:rsid w:val="00D82B92"/>
    <w:rsid w:val="00D82BD8"/>
    <w:rsid w:val="00D82C24"/>
    <w:rsid w:val="00D82D53"/>
    <w:rsid w:val="00D82D55"/>
    <w:rsid w:val="00D82D8D"/>
    <w:rsid w:val="00D82E76"/>
    <w:rsid w:val="00D82E83"/>
    <w:rsid w:val="00D82EA2"/>
    <w:rsid w:val="00D82EB7"/>
    <w:rsid w:val="00D82FE2"/>
    <w:rsid w:val="00D82FF9"/>
    <w:rsid w:val="00D831A2"/>
    <w:rsid w:val="00D831A6"/>
    <w:rsid w:val="00D831ED"/>
    <w:rsid w:val="00D83280"/>
    <w:rsid w:val="00D83394"/>
    <w:rsid w:val="00D83454"/>
    <w:rsid w:val="00D834AC"/>
    <w:rsid w:val="00D835B2"/>
    <w:rsid w:val="00D8364E"/>
    <w:rsid w:val="00D8376F"/>
    <w:rsid w:val="00D837A0"/>
    <w:rsid w:val="00D837C7"/>
    <w:rsid w:val="00D839E3"/>
    <w:rsid w:val="00D83A04"/>
    <w:rsid w:val="00D83A1C"/>
    <w:rsid w:val="00D83A25"/>
    <w:rsid w:val="00D83B58"/>
    <w:rsid w:val="00D83B8E"/>
    <w:rsid w:val="00D83E56"/>
    <w:rsid w:val="00D83E5F"/>
    <w:rsid w:val="00D83F02"/>
    <w:rsid w:val="00D84005"/>
    <w:rsid w:val="00D8405B"/>
    <w:rsid w:val="00D84076"/>
    <w:rsid w:val="00D840EE"/>
    <w:rsid w:val="00D840FF"/>
    <w:rsid w:val="00D84116"/>
    <w:rsid w:val="00D8411D"/>
    <w:rsid w:val="00D8417E"/>
    <w:rsid w:val="00D8422F"/>
    <w:rsid w:val="00D84234"/>
    <w:rsid w:val="00D84266"/>
    <w:rsid w:val="00D84274"/>
    <w:rsid w:val="00D84323"/>
    <w:rsid w:val="00D84353"/>
    <w:rsid w:val="00D84393"/>
    <w:rsid w:val="00D84486"/>
    <w:rsid w:val="00D844A5"/>
    <w:rsid w:val="00D845F4"/>
    <w:rsid w:val="00D8461A"/>
    <w:rsid w:val="00D84639"/>
    <w:rsid w:val="00D8466E"/>
    <w:rsid w:val="00D84721"/>
    <w:rsid w:val="00D8472B"/>
    <w:rsid w:val="00D84793"/>
    <w:rsid w:val="00D847B1"/>
    <w:rsid w:val="00D847FC"/>
    <w:rsid w:val="00D84879"/>
    <w:rsid w:val="00D848A8"/>
    <w:rsid w:val="00D849B4"/>
    <w:rsid w:val="00D849E3"/>
    <w:rsid w:val="00D84A19"/>
    <w:rsid w:val="00D84BF0"/>
    <w:rsid w:val="00D84CA1"/>
    <w:rsid w:val="00D84D27"/>
    <w:rsid w:val="00D84DF1"/>
    <w:rsid w:val="00D84E14"/>
    <w:rsid w:val="00D84F22"/>
    <w:rsid w:val="00D84F24"/>
    <w:rsid w:val="00D84F6F"/>
    <w:rsid w:val="00D85003"/>
    <w:rsid w:val="00D8508F"/>
    <w:rsid w:val="00D85215"/>
    <w:rsid w:val="00D853AF"/>
    <w:rsid w:val="00D85526"/>
    <w:rsid w:val="00D8554D"/>
    <w:rsid w:val="00D8562D"/>
    <w:rsid w:val="00D856C5"/>
    <w:rsid w:val="00D85726"/>
    <w:rsid w:val="00D857E0"/>
    <w:rsid w:val="00D85833"/>
    <w:rsid w:val="00D85852"/>
    <w:rsid w:val="00D8590F"/>
    <w:rsid w:val="00D8597E"/>
    <w:rsid w:val="00D85A1C"/>
    <w:rsid w:val="00D85A3F"/>
    <w:rsid w:val="00D85A8D"/>
    <w:rsid w:val="00D85AC2"/>
    <w:rsid w:val="00D85AE5"/>
    <w:rsid w:val="00D85CB8"/>
    <w:rsid w:val="00D85CE6"/>
    <w:rsid w:val="00D85D74"/>
    <w:rsid w:val="00D85D99"/>
    <w:rsid w:val="00D85F5F"/>
    <w:rsid w:val="00D86010"/>
    <w:rsid w:val="00D8612D"/>
    <w:rsid w:val="00D86230"/>
    <w:rsid w:val="00D8626F"/>
    <w:rsid w:val="00D8635E"/>
    <w:rsid w:val="00D863E2"/>
    <w:rsid w:val="00D8657B"/>
    <w:rsid w:val="00D865AD"/>
    <w:rsid w:val="00D866E8"/>
    <w:rsid w:val="00D867D3"/>
    <w:rsid w:val="00D8680C"/>
    <w:rsid w:val="00D86816"/>
    <w:rsid w:val="00D86857"/>
    <w:rsid w:val="00D868E3"/>
    <w:rsid w:val="00D8692A"/>
    <w:rsid w:val="00D869B8"/>
    <w:rsid w:val="00D869C1"/>
    <w:rsid w:val="00D86A53"/>
    <w:rsid w:val="00D86A5A"/>
    <w:rsid w:val="00D86ACE"/>
    <w:rsid w:val="00D86B0F"/>
    <w:rsid w:val="00D86BF0"/>
    <w:rsid w:val="00D86C09"/>
    <w:rsid w:val="00D86C8E"/>
    <w:rsid w:val="00D86CF6"/>
    <w:rsid w:val="00D86D3A"/>
    <w:rsid w:val="00D86EA0"/>
    <w:rsid w:val="00D86EB0"/>
    <w:rsid w:val="00D86EE3"/>
    <w:rsid w:val="00D87005"/>
    <w:rsid w:val="00D87160"/>
    <w:rsid w:val="00D871E1"/>
    <w:rsid w:val="00D871E6"/>
    <w:rsid w:val="00D8734F"/>
    <w:rsid w:val="00D87364"/>
    <w:rsid w:val="00D87480"/>
    <w:rsid w:val="00D874EF"/>
    <w:rsid w:val="00D875E2"/>
    <w:rsid w:val="00D87621"/>
    <w:rsid w:val="00D876D7"/>
    <w:rsid w:val="00D8778C"/>
    <w:rsid w:val="00D87821"/>
    <w:rsid w:val="00D87876"/>
    <w:rsid w:val="00D8787F"/>
    <w:rsid w:val="00D879E6"/>
    <w:rsid w:val="00D87A35"/>
    <w:rsid w:val="00D87AFE"/>
    <w:rsid w:val="00D87B19"/>
    <w:rsid w:val="00D87B23"/>
    <w:rsid w:val="00D87B53"/>
    <w:rsid w:val="00D87B75"/>
    <w:rsid w:val="00D87B90"/>
    <w:rsid w:val="00D87C40"/>
    <w:rsid w:val="00D87C5E"/>
    <w:rsid w:val="00D87C94"/>
    <w:rsid w:val="00D87E44"/>
    <w:rsid w:val="00D87F7D"/>
    <w:rsid w:val="00D87FA6"/>
    <w:rsid w:val="00D87FF5"/>
    <w:rsid w:val="00D900E5"/>
    <w:rsid w:val="00D9015D"/>
    <w:rsid w:val="00D901D5"/>
    <w:rsid w:val="00D901DE"/>
    <w:rsid w:val="00D90291"/>
    <w:rsid w:val="00D90298"/>
    <w:rsid w:val="00D9029D"/>
    <w:rsid w:val="00D9035F"/>
    <w:rsid w:val="00D9042F"/>
    <w:rsid w:val="00D904FE"/>
    <w:rsid w:val="00D9050E"/>
    <w:rsid w:val="00D906FC"/>
    <w:rsid w:val="00D90746"/>
    <w:rsid w:val="00D9076B"/>
    <w:rsid w:val="00D907AE"/>
    <w:rsid w:val="00D909E0"/>
    <w:rsid w:val="00D90A30"/>
    <w:rsid w:val="00D90ADD"/>
    <w:rsid w:val="00D90ADE"/>
    <w:rsid w:val="00D90B3A"/>
    <w:rsid w:val="00D90B6D"/>
    <w:rsid w:val="00D90BBD"/>
    <w:rsid w:val="00D90C4D"/>
    <w:rsid w:val="00D90CF0"/>
    <w:rsid w:val="00D90D6F"/>
    <w:rsid w:val="00D90DC6"/>
    <w:rsid w:val="00D90E49"/>
    <w:rsid w:val="00D90E9A"/>
    <w:rsid w:val="00D90F39"/>
    <w:rsid w:val="00D90F5C"/>
    <w:rsid w:val="00D90F96"/>
    <w:rsid w:val="00D90FBF"/>
    <w:rsid w:val="00D911A9"/>
    <w:rsid w:val="00D911DC"/>
    <w:rsid w:val="00D912D3"/>
    <w:rsid w:val="00D913A4"/>
    <w:rsid w:val="00D913E0"/>
    <w:rsid w:val="00D91472"/>
    <w:rsid w:val="00D914AF"/>
    <w:rsid w:val="00D914F9"/>
    <w:rsid w:val="00D9151A"/>
    <w:rsid w:val="00D91544"/>
    <w:rsid w:val="00D9157F"/>
    <w:rsid w:val="00D91663"/>
    <w:rsid w:val="00D916AB"/>
    <w:rsid w:val="00D916AD"/>
    <w:rsid w:val="00D9175D"/>
    <w:rsid w:val="00D9194A"/>
    <w:rsid w:val="00D91A08"/>
    <w:rsid w:val="00D91A78"/>
    <w:rsid w:val="00D91BAD"/>
    <w:rsid w:val="00D91BF6"/>
    <w:rsid w:val="00D91DEB"/>
    <w:rsid w:val="00D91E47"/>
    <w:rsid w:val="00D91E67"/>
    <w:rsid w:val="00D91E6A"/>
    <w:rsid w:val="00D91E8E"/>
    <w:rsid w:val="00D91F98"/>
    <w:rsid w:val="00D9202B"/>
    <w:rsid w:val="00D921FB"/>
    <w:rsid w:val="00D922C2"/>
    <w:rsid w:val="00D923C3"/>
    <w:rsid w:val="00D9247C"/>
    <w:rsid w:val="00D924E5"/>
    <w:rsid w:val="00D924FF"/>
    <w:rsid w:val="00D92550"/>
    <w:rsid w:val="00D925AF"/>
    <w:rsid w:val="00D927A2"/>
    <w:rsid w:val="00D92904"/>
    <w:rsid w:val="00D9295F"/>
    <w:rsid w:val="00D92966"/>
    <w:rsid w:val="00D929D0"/>
    <w:rsid w:val="00D92A49"/>
    <w:rsid w:val="00D92AAA"/>
    <w:rsid w:val="00D92AB0"/>
    <w:rsid w:val="00D92B05"/>
    <w:rsid w:val="00D92C44"/>
    <w:rsid w:val="00D92CC9"/>
    <w:rsid w:val="00D92CF7"/>
    <w:rsid w:val="00D92D0C"/>
    <w:rsid w:val="00D92D4E"/>
    <w:rsid w:val="00D92DEF"/>
    <w:rsid w:val="00D92FCE"/>
    <w:rsid w:val="00D93048"/>
    <w:rsid w:val="00D93118"/>
    <w:rsid w:val="00D931F9"/>
    <w:rsid w:val="00D931FF"/>
    <w:rsid w:val="00D93275"/>
    <w:rsid w:val="00D93360"/>
    <w:rsid w:val="00D934C1"/>
    <w:rsid w:val="00D935BE"/>
    <w:rsid w:val="00D9365C"/>
    <w:rsid w:val="00D936F8"/>
    <w:rsid w:val="00D936FC"/>
    <w:rsid w:val="00D93704"/>
    <w:rsid w:val="00D93706"/>
    <w:rsid w:val="00D93745"/>
    <w:rsid w:val="00D937BB"/>
    <w:rsid w:val="00D9383D"/>
    <w:rsid w:val="00D93879"/>
    <w:rsid w:val="00D9395B"/>
    <w:rsid w:val="00D939D6"/>
    <w:rsid w:val="00D93A20"/>
    <w:rsid w:val="00D93AA3"/>
    <w:rsid w:val="00D93B37"/>
    <w:rsid w:val="00D93B63"/>
    <w:rsid w:val="00D93B66"/>
    <w:rsid w:val="00D93BF0"/>
    <w:rsid w:val="00D93C3D"/>
    <w:rsid w:val="00D93C67"/>
    <w:rsid w:val="00D93CCA"/>
    <w:rsid w:val="00D93D0D"/>
    <w:rsid w:val="00D93D2A"/>
    <w:rsid w:val="00D93D2B"/>
    <w:rsid w:val="00D93D47"/>
    <w:rsid w:val="00D93E04"/>
    <w:rsid w:val="00D93E7B"/>
    <w:rsid w:val="00D93F5C"/>
    <w:rsid w:val="00D93FE7"/>
    <w:rsid w:val="00D94042"/>
    <w:rsid w:val="00D940C8"/>
    <w:rsid w:val="00D9412D"/>
    <w:rsid w:val="00D941A2"/>
    <w:rsid w:val="00D94218"/>
    <w:rsid w:val="00D94219"/>
    <w:rsid w:val="00D9436D"/>
    <w:rsid w:val="00D943F3"/>
    <w:rsid w:val="00D94423"/>
    <w:rsid w:val="00D9455F"/>
    <w:rsid w:val="00D94562"/>
    <w:rsid w:val="00D945AA"/>
    <w:rsid w:val="00D945AC"/>
    <w:rsid w:val="00D94616"/>
    <w:rsid w:val="00D946CB"/>
    <w:rsid w:val="00D947B9"/>
    <w:rsid w:val="00D9498D"/>
    <w:rsid w:val="00D94AAB"/>
    <w:rsid w:val="00D94B05"/>
    <w:rsid w:val="00D94B65"/>
    <w:rsid w:val="00D94C16"/>
    <w:rsid w:val="00D94CBC"/>
    <w:rsid w:val="00D94E41"/>
    <w:rsid w:val="00D94E60"/>
    <w:rsid w:val="00D94FBA"/>
    <w:rsid w:val="00D9509A"/>
    <w:rsid w:val="00D950E3"/>
    <w:rsid w:val="00D950F3"/>
    <w:rsid w:val="00D950FC"/>
    <w:rsid w:val="00D9511E"/>
    <w:rsid w:val="00D95149"/>
    <w:rsid w:val="00D95162"/>
    <w:rsid w:val="00D95269"/>
    <w:rsid w:val="00D95279"/>
    <w:rsid w:val="00D953C0"/>
    <w:rsid w:val="00D953CC"/>
    <w:rsid w:val="00D953E3"/>
    <w:rsid w:val="00D95479"/>
    <w:rsid w:val="00D9549F"/>
    <w:rsid w:val="00D95521"/>
    <w:rsid w:val="00D955F4"/>
    <w:rsid w:val="00D95688"/>
    <w:rsid w:val="00D95760"/>
    <w:rsid w:val="00D9581A"/>
    <w:rsid w:val="00D95862"/>
    <w:rsid w:val="00D95880"/>
    <w:rsid w:val="00D958FA"/>
    <w:rsid w:val="00D95948"/>
    <w:rsid w:val="00D959E8"/>
    <w:rsid w:val="00D959F0"/>
    <w:rsid w:val="00D95A2D"/>
    <w:rsid w:val="00D95A53"/>
    <w:rsid w:val="00D95AB2"/>
    <w:rsid w:val="00D95B4C"/>
    <w:rsid w:val="00D95B71"/>
    <w:rsid w:val="00D95D84"/>
    <w:rsid w:val="00D95E23"/>
    <w:rsid w:val="00D95E51"/>
    <w:rsid w:val="00D95E5A"/>
    <w:rsid w:val="00D95FDC"/>
    <w:rsid w:val="00D95FF8"/>
    <w:rsid w:val="00D96077"/>
    <w:rsid w:val="00D96099"/>
    <w:rsid w:val="00D960A7"/>
    <w:rsid w:val="00D960AD"/>
    <w:rsid w:val="00D9614B"/>
    <w:rsid w:val="00D961AF"/>
    <w:rsid w:val="00D9627F"/>
    <w:rsid w:val="00D962BF"/>
    <w:rsid w:val="00D963B5"/>
    <w:rsid w:val="00D964A0"/>
    <w:rsid w:val="00D96589"/>
    <w:rsid w:val="00D96709"/>
    <w:rsid w:val="00D9675E"/>
    <w:rsid w:val="00D96824"/>
    <w:rsid w:val="00D96830"/>
    <w:rsid w:val="00D968A3"/>
    <w:rsid w:val="00D968B0"/>
    <w:rsid w:val="00D96902"/>
    <w:rsid w:val="00D96970"/>
    <w:rsid w:val="00D96A15"/>
    <w:rsid w:val="00D96AEB"/>
    <w:rsid w:val="00D96C16"/>
    <w:rsid w:val="00D96C3D"/>
    <w:rsid w:val="00D96C8F"/>
    <w:rsid w:val="00D96D72"/>
    <w:rsid w:val="00D96DB9"/>
    <w:rsid w:val="00D96E5E"/>
    <w:rsid w:val="00D96E95"/>
    <w:rsid w:val="00D96EBF"/>
    <w:rsid w:val="00D96EFE"/>
    <w:rsid w:val="00D96EFF"/>
    <w:rsid w:val="00D97061"/>
    <w:rsid w:val="00D970B2"/>
    <w:rsid w:val="00D9712A"/>
    <w:rsid w:val="00D9722A"/>
    <w:rsid w:val="00D97233"/>
    <w:rsid w:val="00D97275"/>
    <w:rsid w:val="00D97434"/>
    <w:rsid w:val="00D97438"/>
    <w:rsid w:val="00D974C5"/>
    <w:rsid w:val="00D974E6"/>
    <w:rsid w:val="00D97512"/>
    <w:rsid w:val="00D975D9"/>
    <w:rsid w:val="00D97603"/>
    <w:rsid w:val="00D9764F"/>
    <w:rsid w:val="00D976B0"/>
    <w:rsid w:val="00D97726"/>
    <w:rsid w:val="00D97743"/>
    <w:rsid w:val="00D97788"/>
    <w:rsid w:val="00D977BF"/>
    <w:rsid w:val="00D97830"/>
    <w:rsid w:val="00D97909"/>
    <w:rsid w:val="00D979D2"/>
    <w:rsid w:val="00D979FB"/>
    <w:rsid w:val="00D97A7D"/>
    <w:rsid w:val="00D97ABD"/>
    <w:rsid w:val="00D97B22"/>
    <w:rsid w:val="00D97BC6"/>
    <w:rsid w:val="00D97BEA"/>
    <w:rsid w:val="00D97CB9"/>
    <w:rsid w:val="00D97CC6"/>
    <w:rsid w:val="00D97D35"/>
    <w:rsid w:val="00D97D47"/>
    <w:rsid w:val="00D97D82"/>
    <w:rsid w:val="00D97E9B"/>
    <w:rsid w:val="00D97EFD"/>
    <w:rsid w:val="00D97F1F"/>
    <w:rsid w:val="00D97FA0"/>
    <w:rsid w:val="00DA0115"/>
    <w:rsid w:val="00DA0124"/>
    <w:rsid w:val="00DA016B"/>
    <w:rsid w:val="00DA01F8"/>
    <w:rsid w:val="00DA02F6"/>
    <w:rsid w:val="00DA0360"/>
    <w:rsid w:val="00DA039C"/>
    <w:rsid w:val="00DA045F"/>
    <w:rsid w:val="00DA0472"/>
    <w:rsid w:val="00DA051C"/>
    <w:rsid w:val="00DA0529"/>
    <w:rsid w:val="00DA0538"/>
    <w:rsid w:val="00DA054D"/>
    <w:rsid w:val="00DA0550"/>
    <w:rsid w:val="00DA056E"/>
    <w:rsid w:val="00DA05C0"/>
    <w:rsid w:val="00DA05E6"/>
    <w:rsid w:val="00DA05FC"/>
    <w:rsid w:val="00DA0621"/>
    <w:rsid w:val="00DA0686"/>
    <w:rsid w:val="00DA06E1"/>
    <w:rsid w:val="00DA07DB"/>
    <w:rsid w:val="00DA0890"/>
    <w:rsid w:val="00DA08E3"/>
    <w:rsid w:val="00DA092E"/>
    <w:rsid w:val="00DA0A18"/>
    <w:rsid w:val="00DA0A3C"/>
    <w:rsid w:val="00DA0B10"/>
    <w:rsid w:val="00DA0B87"/>
    <w:rsid w:val="00DA0BC1"/>
    <w:rsid w:val="00DA0C10"/>
    <w:rsid w:val="00DA0C28"/>
    <w:rsid w:val="00DA0CBB"/>
    <w:rsid w:val="00DA0CF6"/>
    <w:rsid w:val="00DA0D4C"/>
    <w:rsid w:val="00DA0E8B"/>
    <w:rsid w:val="00DA0EBD"/>
    <w:rsid w:val="00DA0F4F"/>
    <w:rsid w:val="00DA0F59"/>
    <w:rsid w:val="00DA0F96"/>
    <w:rsid w:val="00DA0FCF"/>
    <w:rsid w:val="00DA110F"/>
    <w:rsid w:val="00DA1204"/>
    <w:rsid w:val="00DA12FF"/>
    <w:rsid w:val="00DA13A1"/>
    <w:rsid w:val="00DA13B6"/>
    <w:rsid w:val="00DA13F4"/>
    <w:rsid w:val="00DA1459"/>
    <w:rsid w:val="00DA147F"/>
    <w:rsid w:val="00DA1609"/>
    <w:rsid w:val="00DA1782"/>
    <w:rsid w:val="00DA180E"/>
    <w:rsid w:val="00DA1818"/>
    <w:rsid w:val="00DA196C"/>
    <w:rsid w:val="00DA19B0"/>
    <w:rsid w:val="00DA1A5C"/>
    <w:rsid w:val="00DA1B50"/>
    <w:rsid w:val="00DA1BB9"/>
    <w:rsid w:val="00DA1C8F"/>
    <w:rsid w:val="00DA1E02"/>
    <w:rsid w:val="00DA1E25"/>
    <w:rsid w:val="00DA1EBB"/>
    <w:rsid w:val="00DA1F3E"/>
    <w:rsid w:val="00DA203F"/>
    <w:rsid w:val="00DA2192"/>
    <w:rsid w:val="00DA22AC"/>
    <w:rsid w:val="00DA23CE"/>
    <w:rsid w:val="00DA2474"/>
    <w:rsid w:val="00DA2626"/>
    <w:rsid w:val="00DA26A6"/>
    <w:rsid w:val="00DA26E8"/>
    <w:rsid w:val="00DA276A"/>
    <w:rsid w:val="00DA28D5"/>
    <w:rsid w:val="00DA28E3"/>
    <w:rsid w:val="00DA293D"/>
    <w:rsid w:val="00DA2A2D"/>
    <w:rsid w:val="00DA2ADD"/>
    <w:rsid w:val="00DA2B8D"/>
    <w:rsid w:val="00DA2BA8"/>
    <w:rsid w:val="00DA2BEE"/>
    <w:rsid w:val="00DA2BF8"/>
    <w:rsid w:val="00DA2D28"/>
    <w:rsid w:val="00DA2E01"/>
    <w:rsid w:val="00DA2E35"/>
    <w:rsid w:val="00DA2ED9"/>
    <w:rsid w:val="00DA2F49"/>
    <w:rsid w:val="00DA2F5E"/>
    <w:rsid w:val="00DA2FCE"/>
    <w:rsid w:val="00DA3036"/>
    <w:rsid w:val="00DA30B9"/>
    <w:rsid w:val="00DA30E8"/>
    <w:rsid w:val="00DA31D8"/>
    <w:rsid w:val="00DA32B2"/>
    <w:rsid w:val="00DA3366"/>
    <w:rsid w:val="00DA33B4"/>
    <w:rsid w:val="00DA357E"/>
    <w:rsid w:val="00DA365F"/>
    <w:rsid w:val="00DA36F6"/>
    <w:rsid w:val="00DA374D"/>
    <w:rsid w:val="00DA3795"/>
    <w:rsid w:val="00DA37D3"/>
    <w:rsid w:val="00DA3886"/>
    <w:rsid w:val="00DA3910"/>
    <w:rsid w:val="00DA3911"/>
    <w:rsid w:val="00DA3A16"/>
    <w:rsid w:val="00DA3AE6"/>
    <w:rsid w:val="00DA3B0B"/>
    <w:rsid w:val="00DA3B40"/>
    <w:rsid w:val="00DA3C0D"/>
    <w:rsid w:val="00DA3CEC"/>
    <w:rsid w:val="00DA3DB3"/>
    <w:rsid w:val="00DA3DED"/>
    <w:rsid w:val="00DA3DF0"/>
    <w:rsid w:val="00DA3E25"/>
    <w:rsid w:val="00DA3E5A"/>
    <w:rsid w:val="00DA3EAE"/>
    <w:rsid w:val="00DA3EC9"/>
    <w:rsid w:val="00DA3ECA"/>
    <w:rsid w:val="00DA3EDE"/>
    <w:rsid w:val="00DA3F82"/>
    <w:rsid w:val="00DA4007"/>
    <w:rsid w:val="00DA404B"/>
    <w:rsid w:val="00DA40A5"/>
    <w:rsid w:val="00DA4188"/>
    <w:rsid w:val="00DA41D0"/>
    <w:rsid w:val="00DA42A9"/>
    <w:rsid w:val="00DA42EB"/>
    <w:rsid w:val="00DA4324"/>
    <w:rsid w:val="00DA43AC"/>
    <w:rsid w:val="00DA457B"/>
    <w:rsid w:val="00DA46BF"/>
    <w:rsid w:val="00DA4772"/>
    <w:rsid w:val="00DA47A5"/>
    <w:rsid w:val="00DA4A47"/>
    <w:rsid w:val="00DA4A9D"/>
    <w:rsid w:val="00DA4C90"/>
    <w:rsid w:val="00DA4CAD"/>
    <w:rsid w:val="00DA4CF0"/>
    <w:rsid w:val="00DA4CFE"/>
    <w:rsid w:val="00DA4D58"/>
    <w:rsid w:val="00DA4D6E"/>
    <w:rsid w:val="00DA4E36"/>
    <w:rsid w:val="00DA4EE7"/>
    <w:rsid w:val="00DA4F50"/>
    <w:rsid w:val="00DA4FA2"/>
    <w:rsid w:val="00DA4FB3"/>
    <w:rsid w:val="00DA4FF8"/>
    <w:rsid w:val="00DA5026"/>
    <w:rsid w:val="00DA5129"/>
    <w:rsid w:val="00DA514D"/>
    <w:rsid w:val="00DA51C1"/>
    <w:rsid w:val="00DA527E"/>
    <w:rsid w:val="00DA52CA"/>
    <w:rsid w:val="00DA536B"/>
    <w:rsid w:val="00DA53C0"/>
    <w:rsid w:val="00DA53F2"/>
    <w:rsid w:val="00DA547C"/>
    <w:rsid w:val="00DA5487"/>
    <w:rsid w:val="00DA552A"/>
    <w:rsid w:val="00DA559B"/>
    <w:rsid w:val="00DA55BD"/>
    <w:rsid w:val="00DA56AD"/>
    <w:rsid w:val="00DA5709"/>
    <w:rsid w:val="00DA578E"/>
    <w:rsid w:val="00DA582F"/>
    <w:rsid w:val="00DA5912"/>
    <w:rsid w:val="00DA593C"/>
    <w:rsid w:val="00DA5970"/>
    <w:rsid w:val="00DA5984"/>
    <w:rsid w:val="00DA5A2D"/>
    <w:rsid w:val="00DA5A35"/>
    <w:rsid w:val="00DA5AD1"/>
    <w:rsid w:val="00DA5C0D"/>
    <w:rsid w:val="00DA5C37"/>
    <w:rsid w:val="00DA5D41"/>
    <w:rsid w:val="00DA5DCB"/>
    <w:rsid w:val="00DA5E84"/>
    <w:rsid w:val="00DA5FEA"/>
    <w:rsid w:val="00DA6044"/>
    <w:rsid w:val="00DA6063"/>
    <w:rsid w:val="00DA60F0"/>
    <w:rsid w:val="00DA60F9"/>
    <w:rsid w:val="00DA617B"/>
    <w:rsid w:val="00DA61BC"/>
    <w:rsid w:val="00DA622D"/>
    <w:rsid w:val="00DA635C"/>
    <w:rsid w:val="00DA6365"/>
    <w:rsid w:val="00DA6416"/>
    <w:rsid w:val="00DA6463"/>
    <w:rsid w:val="00DA648F"/>
    <w:rsid w:val="00DA650B"/>
    <w:rsid w:val="00DA674F"/>
    <w:rsid w:val="00DA689F"/>
    <w:rsid w:val="00DA6962"/>
    <w:rsid w:val="00DA698F"/>
    <w:rsid w:val="00DA6A41"/>
    <w:rsid w:val="00DA6A93"/>
    <w:rsid w:val="00DA6AA2"/>
    <w:rsid w:val="00DA6AD7"/>
    <w:rsid w:val="00DA6C7A"/>
    <w:rsid w:val="00DA6CCD"/>
    <w:rsid w:val="00DA6D1E"/>
    <w:rsid w:val="00DA6D83"/>
    <w:rsid w:val="00DA6DE6"/>
    <w:rsid w:val="00DA6EA0"/>
    <w:rsid w:val="00DA6F30"/>
    <w:rsid w:val="00DA70B7"/>
    <w:rsid w:val="00DA713F"/>
    <w:rsid w:val="00DA7169"/>
    <w:rsid w:val="00DA72CD"/>
    <w:rsid w:val="00DA730A"/>
    <w:rsid w:val="00DA7318"/>
    <w:rsid w:val="00DA73B8"/>
    <w:rsid w:val="00DA754D"/>
    <w:rsid w:val="00DA75A2"/>
    <w:rsid w:val="00DA75B0"/>
    <w:rsid w:val="00DA7605"/>
    <w:rsid w:val="00DA76F9"/>
    <w:rsid w:val="00DA775D"/>
    <w:rsid w:val="00DA7873"/>
    <w:rsid w:val="00DA78AC"/>
    <w:rsid w:val="00DA78EF"/>
    <w:rsid w:val="00DA7912"/>
    <w:rsid w:val="00DA79DE"/>
    <w:rsid w:val="00DA7A5B"/>
    <w:rsid w:val="00DA7A62"/>
    <w:rsid w:val="00DA7ACE"/>
    <w:rsid w:val="00DA7AD2"/>
    <w:rsid w:val="00DA7B0B"/>
    <w:rsid w:val="00DA7B79"/>
    <w:rsid w:val="00DA7C06"/>
    <w:rsid w:val="00DA7CA0"/>
    <w:rsid w:val="00DA7CBB"/>
    <w:rsid w:val="00DA7CCE"/>
    <w:rsid w:val="00DA7DEA"/>
    <w:rsid w:val="00DA7E41"/>
    <w:rsid w:val="00DA7F0D"/>
    <w:rsid w:val="00DA7F12"/>
    <w:rsid w:val="00DA7F21"/>
    <w:rsid w:val="00DA7F34"/>
    <w:rsid w:val="00DA7F6B"/>
    <w:rsid w:val="00DA7F81"/>
    <w:rsid w:val="00DB00FE"/>
    <w:rsid w:val="00DB01CE"/>
    <w:rsid w:val="00DB0208"/>
    <w:rsid w:val="00DB0264"/>
    <w:rsid w:val="00DB0322"/>
    <w:rsid w:val="00DB0355"/>
    <w:rsid w:val="00DB047D"/>
    <w:rsid w:val="00DB048B"/>
    <w:rsid w:val="00DB048D"/>
    <w:rsid w:val="00DB04B8"/>
    <w:rsid w:val="00DB04C3"/>
    <w:rsid w:val="00DB04C4"/>
    <w:rsid w:val="00DB04E3"/>
    <w:rsid w:val="00DB05E7"/>
    <w:rsid w:val="00DB0630"/>
    <w:rsid w:val="00DB0676"/>
    <w:rsid w:val="00DB0680"/>
    <w:rsid w:val="00DB06A4"/>
    <w:rsid w:val="00DB06ED"/>
    <w:rsid w:val="00DB0735"/>
    <w:rsid w:val="00DB084E"/>
    <w:rsid w:val="00DB08BF"/>
    <w:rsid w:val="00DB08F0"/>
    <w:rsid w:val="00DB0925"/>
    <w:rsid w:val="00DB09F8"/>
    <w:rsid w:val="00DB0AE8"/>
    <w:rsid w:val="00DB0B22"/>
    <w:rsid w:val="00DB0B32"/>
    <w:rsid w:val="00DB0BFE"/>
    <w:rsid w:val="00DB0C02"/>
    <w:rsid w:val="00DB0C95"/>
    <w:rsid w:val="00DB0CEE"/>
    <w:rsid w:val="00DB0D0C"/>
    <w:rsid w:val="00DB0D5B"/>
    <w:rsid w:val="00DB0D6F"/>
    <w:rsid w:val="00DB0D91"/>
    <w:rsid w:val="00DB0DE0"/>
    <w:rsid w:val="00DB0EEB"/>
    <w:rsid w:val="00DB0F79"/>
    <w:rsid w:val="00DB1007"/>
    <w:rsid w:val="00DB100A"/>
    <w:rsid w:val="00DB1036"/>
    <w:rsid w:val="00DB104A"/>
    <w:rsid w:val="00DB1103"/>
    <w:rsid w:val="00DB1149"/>
    <w:rsid w:val="00DB117E"/>
    <w:rsid w:val="00DB11E3"/>
    <w:rsid w:val="00DB13A2"/>
    <w:rsid w:val="00DB13DB"/>
    <w:rsid w:val="00DB13F7"/>
    <w:rsid w:val="00DB13FC"/>
    <w:rsid w:val="00DB1458"/>
    <w:rsid w:val="00DB1475"/>
    <w:rsid w:val="00DB14B1"/>
    <w:rsid w:val="00DB14C1"/>
    <w:rsid w:val="00DB1524"/>
    <w:rsid w:val="00DB15EE"/>
    <w:rsid w:val="00DB1694"/>
    <w:rsid w:val="00DB16E9"/>
    <w:rsid w:val="00DB173B"/>
    <w:rsid w:val="00DB180D"/>
    <w:rsid w:val="00DB192D"/>
    <w:rsid w:val="00DB1A48"/>
    <w:rsid w:val="00DB1A85"/>
    <w:rsid w:val="00DB1A97"/>
    <w:rsid w:val="00DB1BB1"/>
    <w:rsid w:val="00DB1CA8"/>
    <w:rsid w:val="00DB1D3B"/>
    <w:rsid w:val="00DB1D54"/>
    <w:rsid w:val="00DB1D8C"/>
    <w:rsid w:val="00DB1D97"/>
    <w:rsid w:val="00DB1DA0"/>
    <w:rsid w:val="00DB1DA1"/>
    <w:rsid w:val="00DB1DF7"/>
    <w:rsid w:val="00DB1E3E"/>
    <w:rsid w:val="00DB1E46"/>
    <w:rsid w:val="00DB1E58"/>
    <w:rsid w:val="00DB1F2D"/>
    <w:rsid w:val="00DB1FB3"/>
    <w:rsid w:val="00DB1FE2"/>
    <w:rsid w:val="00DB2051"/>
    <w:rsid w:val="00DB21F7"/>
    <w:rsid w:val="00DB2241"/>
    <w:rsid w:val="00DB225F"/>
    <w:rsid w:val="00DB2297"/>
    <w:rsid w:val="00DB2372"/>
    <w:rsid w:val="00DB23B4"/>
    <w:rsid w:val="00DB23CC"/>
    <w:rsid w:val="00DB240C"/>
    <w:rsid w:val="00DB24B8"/>
    <w:rsid w:val="00DB2549"/>
    <w:rsid w:val="00DB26CC"/>
    <w:rsid w:val="00DB276B"/>
    <w:rsid w:val="00DB2770"/>
    <w:rsid w:val="00DB27CB"/>
    <w:rsid w:val="00DB2A34"/>
    <w:rsid w:val="00DB2B0E"/>
    <w:rsid w:val="00DB2B2E"/>
    <w:rsid w:val="00DB2B6D"/>
    <w:rsid w:val="00DB2BCF"/>
    <w:rsid w:val="00DB2BF9"/>
    <w:rsid w:val="00DB2BFE"/>
    <w:rsid w:val="00DB2C51"/>
    <w:rsid w:val="00DB2CB1"/>
    <w:rsid w:val="00DB2D09"/>
    <w:rsid w:val="00DB2DDE"/>
    <w:rsid w:val="00DB2DFB"/>
    <w:rsid w:val="00DB2E0B"/>
    <w:rsid w:val="00DB2EF0"/>
    <w:rsid w:val="00DB2FF3"/>
    <w:rsid w:val="00DB2FF7"/>
    <w:rsid w:val="00DB3040"/>
    <w:rsid w:val="00DB3074"/>
    <w:rsid w:val="00DB3091"/>
    <w:rsid w:val="00DB3176"/>
    <w:rsid w:val="00DB3284"/>
    <w:rsid w:val="00DB3347"/>
    <w:rsid w:val="00DB33FE"/>
    <w:rsid w:val="00DB3416"/>
    <w:rsid w:val="00DB3478"/>
    <w:rsid w:val="00DB3552"/>
    <w:rsid w:val="00DB3657"/>
    <w:rsid w:val="00DB3670"/>
    <w:rsid w:val="00DB381F"/>
    <w:rsid w:val="00DB3876"/>
    <w:rsid w:val="00DB397F"/>
    <w:rsid w:val="00DB39C4"/>
    <w:rsid w:val="00DB39CF"/>
    <w:rsid w:val="00DB3A00"/>
    <w:rsid w:val="00DB3B7D"/>
    <w:rsid w:val="00DB3C0E"/>
    <w:rsid w:val="00DB3C23"/>
    <w:rsid w:val="00DB3C93"/>
    <w:rsid w:val="00DB3D3C"/>
    <w:rsid w:val="00DB3D51"/>
    <w:rsid w:val="00DB3D9F"/>
    <w:rsid w:val="00DB3DF2"/>
    <w:rsid w:val="00DB3DFC"/>
    <w:rsid w:val="00DB3E7C"/>
    <w:rsid w:val="00DB3EFE"/>
    <w:rsid w:val="00DB3F59"/>
    <w:rsid w:val="00DB3FAC"/>
    <w:rsid w:val="00DB4008"/>
    <w:rsid w:val="00DB40A3"/>
    <w:rsid w:val="00DB4108"/>
    <w:rsid w:val="00DB42FC"/>
    <w:rsid w:val="00DB4382"/>
    <w:rsid w:val="00DB4395"/>
    <w:rsid w:val="00DB4507"/>
    <w:rsid w:val="00DB4511"/>
    <w:rsid w:val="00DB4528"/>
    <w:rsid w:val="00DB45AC"/>
    <w:rsid w:val="00DB47A3"/>
    <w:rsid w:val="00DB47C5"/>
    <w:rsid w:val="00DB49A5"/>
    <w:rsid w:val="00DB49B9"/>
    <w:rsid w:val="00DB4A14"/>
    <w:rsid w:val="00DB4AB3"/>
    <w:rsid w:val="00DB4C89"/>
    <w:rsid w:val="00DB4EA7"/>
    <w:rsid w:val="00DB4F32"/>
    <w:rsid w:val="00DB4F4E"/>
    <w:rsid w:val="00DB4FFD"/>
    <w:rsid w:val="00DB5077"/>
    <w:rsid w:val="00DB50A9"/>
    <w:rsid w:val="00DB5191"/>
    <w:rsid w:val="00DB51A3"/>
    <w:rsid w:val="00DB51BC"/>
    <w:rsid w:val="00DB51ED"/>
    <w:rsid w:val="00DB52C0"/>
    <w:rsid w:val="00DB5328"/>
    <w:rsid w:val="00DB53C6"/>
    <w:rsid w:val="00DB5410"/>
    <w:rsid w:val="00DB5420"/>
    <w:rsid w:val="00DB543C"/>
    <w:rsid w:val="00DB547A"/>
    <w:rsid w:val="00DB5799"/>
    <w:rsid w:val="00DB57BB"/>
    <w:rsid w:val="00DB57E9"/>
    <w:rsid w:val="00DB58F4"/>
    <w:rsid w:val="00DB5927"/>
    <w:rsid w:val="00DB5978"/>
    <w:rsid w:val="00DB59B0"/>
    <w:rsid w:val="00DB5A6C"/>
    <w:rsid w:val="00DB5A8D"/>
    <w:rsid w:val="00DB5A97"/>
    <w:rsid w:val="00DB5ACE"/>
    <w:rsid w:val="00DB5B13"/>
    <w:rsid w:val="00DB5B6C"/>
    <w:rsid w:val="00DB5C5C"/>
    <w:rsid w:val="00DB5C69"/>
    <w:rsid w:val="00DB5C8E"/>
    <w:rsid w:val="00DB5C9E"/>
    <w:rsid w:val="00DB5D07"/>
    <w:rsid w:val="00DB5D4B"/>
    <w:rsid w:val="00DB5D5D"/>
    <w:rsid w:val="00DB5D7D"/>
    <w:rsid w:val="00DB5D94"/>
    <w:rsid w:val="00DB5DE2"/>
    <w:rsid w:val="00DB5E18"/>
    <w:rsid w:val="00DB6047"/>
    <w:rsid w:val="00DB6169"/>
    <w:rsid w:val="00DB62C4"/>
    <w:rsid w:val="00DB6406"/>
    <w:rsid w:val="00DB6441"/>
    <w:rsid w:val="00DB651D"/>
    <w:rsid w:val="00DB65D7"/>
    <w:rsid w:val="00DB66DA"/>
    <w:rsid w:val="00DB6726"/>
    <w:rsid w:val="00DB6743"/>
    <w:rsid w:val="00DB6754"/>
    <w:rsid w:val="00DB678F"/>
    <w:rsid w:val="00DB67F0"/>
    <w:rsid w:val="00DB6881"/>
    <w:rsid w:val="00DB69A9"/>
    <w:rsid w:val="00DB69F7"/>
    <w:rsid w:val="00DB6AA4"/>
    <w:rsid w:val="00DB6EA0"/>
    <w:rsid w:val="00DB6EEA"/>
    <w:rsid w:val="00DB6FF6"/>
    <w:rsid w:val="00DB717D"/>
    <w:rsid w:val="00DB71CC"/>
    <w:rsid w:val="00DB72AF"/>
    <w:rsid w:val="00DB72DD"/>
    <w:rsid w:val="00DB7350"/>
    <w:rsid w:val="00DB7473"/>
    <w:rsid w:val="00DB7508"/>
    <w:rsid w:val="00DB77C7"/>
    <w:rsid w:val="00DB77D1"/>
    <w:rsid w:val="00DB77DF"/>
    <w:rsid w:val="00DB78A1"/>
    <w:rsid w:val="00DB7993"/>
    <w:rsid w:val="00DB7AA5"/>
    <w:rsid w:val="00DB7B27"/>
    <w:rsid w:val="00DB7BB9"/>
    <w:rsid w:val="00DB7C19"/>
    <w:rsid w:val="00DB7C31"/>
    <w:rsid w:val="00DB7C7D"/>
    <w:rsid w:val="00DB7C93"/>
    <w:rsid w:val="00DB7CB8"/>
    <w:rsid w:val="00DB7CBC"/>
    <w:rsid w:val="00DB7D06"/>
    <w:rsid w:val="00DB7D94"/>
    <w:rsid w:val="00DB7E0A"/>
    <w:rsid w:val="00DB7E1E"/>
    <w:rsid w:val="00DB7EAD"/>
    <w:rsid w:val="00DB7F27"/>
    <w:rsid w:val="00DB7FDF"/>
    <w:rsid w:val="00DB7FE9"/>
    <w:rsid w:val="00DB7FEC"/>
    <w:rsid w:val="00DC0010"/>
    <w:rsid w:val="00DC005B"/>
    <w:rsid w:val="00DC023D"/>
    <w:rsid w:val="00DC034B"/>
    <w:rsid w:val="00DC036A"/>
    <w:rsid w:val="00DC0546"/>
    <w:rsid w:val="00DC0571"/>
    <w:rsid w:val="00DC0595"/>
    <w:rsid w:val="00DC0658"/>
    <w:rsid w:val="00DC0693"/>
    <w:rsid w:val="00DC072A"/>
    <w:rsid w:val="00DC077A"/>
    <w:rsid w:val="00DC083A"/>
    <w:rsid w:val="00DC094C"/>
    <w:rsid w:val="00DC0A47"/>
    <w:rsid w:val="00DC0B75"/>
    <w:rsid w:val="00DC0B89"/>
    <w:rsid w:val="00DC0BBD"/>
    <w:rsid w:val="00DC0C82"/>
    <w:rsid w:val="00DC0CA5"/>
    <w:rsid w:val="00DC0E30"/>
    <w:rsid w:val="00DC0EDA"/>
    <w:rsid w:val="00DC0FD1"/>
    <w:rsid w:val="00DC0FDE"/>
    <w:rsid w:val="00DC10EA"/>
    <w:rsid w:val="00DC112E"/>
    <w:rsid w:val="00DC119A"/>
    <w:rsid w:val="00DC12A2"/>
    <w:rsid w:val="00DC1374"/>
    <w:rsid w:val="00DC13DF"/>
    <w:rsid w:val="00DC14E4"/>
    <w:rsid w:val="00DC1545"/>
    <w:rsid w:val="00DC1684"/>
    <w:rsid w:val="00DC170C"/>
    <w:rsid w:val="00DC1764"/>
    <w:rsid w:val="00DC17A6"/>
    <w:rsid w:val="00DC17FF"/>
    <w:rsid w:val="00DC1842"/>
    <w:rsid w:val="00DC185E"/>
    <w:rsid w:val="00DC1A00"/>
    <w:rsid w:val="00DC1A5B"/>
    <w:rsid w:val="00DC1B57"/>
    <w:rsid w:val="00DC1C4C"/>
    <w:rsid w:val="00DC1D38"/>
    <w:rsid w:val="00DC1D6E"/>
    <w:rsid w:val="00DC1E15"/>
    <w:rsid w:val="00DC1E8C"/>
    <w:rsid w:val="00DC1EBC"/>
    <w:rsid w:val="00DC1F34"/>
    <w:rsid w:val="00DC1FA4"/>
    <w:rsid w:val="00DC1FE5"/>
    <w:rsid w:val="00DC1FE9"/>
    <w:rsid w:val="00DC2021"/>
    <w:rsid w:val="00DC2308"/>
    <w:rsid w:val="00DC2329"/>
    <w:rsid w:val="00DC23DD"/>
    <w:rsid w:val="00DC23E7"/>
    <w:rsid w:val="00DC24F6"/>
    <w:rsid w:val="00DC2533"/>
    <w:rsid w:val="00DC255B"/>
    <w:rsid w:val="00DC25B9"/>
    <w:rsid w:val="00DC25DC"/>
    <w:rsid w:val="00DC262C"/>
    <w:rsid w:val="00DC26BF"/>
    <w:rsid w:val="00DC2738"/>
    <w:rsid w:val="00DC27D3"/>
    <w:rsid w:val="00DC2892"/>
    <w:rsid w:val="00DC28A9"/>
    <w:rsid w:val="00DC2948"/>
    <w:rsid w:val="00DC2A3C"/>
    <w:rsid w:val="00DC2AB0"/>
    <w:rsid w:val="00DC2B70"/>
    <w:rsid w:val="00DC2B87"/>
    <w:rsid w:val="00DC2BE4"/>
    <w:rsid w:val="00DC2C4D"/>
    <w:rsid w:val="00DC2C85"/>
    <w:rsid w:val="00DC2CA6"/>
    <w:rsid w:val="00DC2CB7"/>
    <w:rsid w:val="00DC2E46"/>
    <w:rsid w:val="00DC2E6F"/>
    <w:rsid w:val="00DC2F2C"/>
    <w:rsid w:val="00DC2F71"/>
    <w:rsid w:val="00DC2F7B"/>
    <w:rsid w:val="00DC3013"/>
    <w:rsid w:val="00DC3054"/>
    <w:rsid w:val="00DC30A2"/>
    <w:rsid w:val="00DC30AC"/>
    <w:rsid w:val="00DC3273"/>
    <w:rsid w:val="00DC333B"/>
    <w:rsid w:val="00DC341D"/>
    <w:rsid w:val="00DC3454"/>
    <w:rsid w:val="00DC3497"/>
    <w:rsid w:val="00DC3573"/>
    <w:rsid w:val="00DC35BE"/>
    <w:rsid w:val="00DC363F"/>
    <w:rsid w:val="00DC367F"/>
    <w:rsid w:val="00DC36E8"/>
    <w:rsid w:val="00DC37AE"/>
    <w:rsid w:val="00DC3857"/>
    <w:rsid w:val="00DC38B2"/>
    <w:rsid w:val="00DC38B6"/>
    <w:rsid w:val="00DC397E"/>
    <w:rsid w:val="00DC39FE"/>
    <w:rsid w:val="00DC3BA4"/>
    <w:rsid w:val="00DC3BC3"/>
    <w:rsid w:val="00DC3C04"/>
    <w:rsid w:val="00DC3C6A"/>
    <w:rsid w:val="00DC3C7A"/>
    <w:rsid w:val="00DC3D7F"/>
    <w:rsid w:val="00DC3D8F"/>
    <w:rsid w:val="00DC3E0C"/>
    <w:rsid w:val="00DC3EA7"/>
    <w:rsid w:val="00DC3F0D"/>
    <w:rsid w:val="00DC3F9F"/>
    <w:rsid w:val="00DC3FDE"/>
    <w:rsid w:val="00DC3FED"/>
    <w:rsid w:val="00DC402A"/>
    <w:rsid w:val="00DC406F"/>
    <w:rsid w:val="00DC419C"/>
    <w:rsid w:val="00DC4228"/>
    <w:rsid w:val="00DC422E"/>
    <w:rsid w:val="00DC426D"/>
    <w:rsid w:val="00DC42FB"/>
    <w:rsid w:val="00DC4388"/>
    <w:rsid w:val="00DC44E9"/>
    <w:rsid w:val="00DC44EF"/>
    <w:rsid w:val="00DC455B"/>
    <w:rsid w:val="00DC4601"/>
    <w:rsid w:val="00DC4682"/>
    <w:rsid w:val="00DC4683"/>
    <w:rsid w:val="00DC46A1"/>
    <w:rsid w:val="00DC47B1"/>
    <w:rsid w:val="00DC47C9"/>
    <w:rsid w:val="00DC47FC"/>
    <w:rsid w:val="00DC4800"/>
    <w:rsid w:val="00DC4991"/>
    <w:rsid w:val="00DC4AB1"/>
    <w:rsid w:val="00DC4D1A"/>
    <w:rsid w:val="00DC4D7E"/>
    <w:rsid w:val="00DC4D99"/>
    <w:rsid w:val="00DC4FCE"/>
    <w:rsid w:val="00DC5074"/>
    <w:rsid w:val="00DC50B5"/>
    <w:rsid w:val="00DC522E"/>
    <w:rsid w:val="00DC522F"/>
    <w:rsid w:val="00DC523B"/>
    <w:rsid w:val="00DC52AC"/>
    <w:rsid w:val="00DC5334"/>
    <w:rsid w:val="00DC55B9"/>
    <w:rsid w:val="00DC55E0"/>
    <w:rsid w:val="00DC56EF"/>
    <w:rsid w:val="00DC570C"/>
    <w:rsid w:val="00DC5716"/>
    <w:rsid w:val="00DC5722"/>
    <w:rsid w:val="00DC572F"/>
    <w:rsid w:val="00DC579B"/>
    <w:rsid w:val="00DC5883"/>
    <w:rsid w:val="00DC592E"/>
    <w:rsid w:val="00DC59B3"/>
    <w:rsid w:val="00DC59E6"/>
    <w:rsid w:val="00DC5AB0"/>
    <w:rsid w:val="00DC5AFF"/>
    <w:rsid w:val="00DC5B4D"/>
    <w:rsid w:val="00DC5B74"/>
    <w:rsid w:val="00DC5C26"/>
    <w:rsid w:val="00DC5D4E"/>
    <w:rsid w:val="00DC5DE0"/>
    <w:rsid w:val="00DC5E86"/>
    <w:rsid w:val="00DC5EA8"/>
    <w:rsid w:val="00DC5EC3"/>
    <w:rsid w:val="00DC5EFF"/>
    <w:rsid w:val="00DC5F79"/>
    <w:rsid w:val="00DC5FE0"/>
    <w:rsid w:val="00DC6047"/>
    <w:rsid w:val="00DC6073"/>
    <w:rsid w:val="00DC60CC"/>
    <w:rsid w:val="00DC6113"/>
    <w:rsid w:val="00DC6197"/>
    <w:rsid w:val="00DC619F"/>
    <w:rsid w:val="00DC63A9"/>
    <w:rsid w:val="00DC6410"/>
    <w:rsid w:val="00DC6426"/>
    <w:rsid w:val="00DC658B"/>
    <w:rsid w:val="00DC65C3"/>
    <w:rsid w:val="00DC6614"/>
    <w:rsid w:val="00DC6622"/>
    <w:rsid w:val="00DC6698"/>
    <w:rsid w:val="00DC67D6"/>
    <w:rsid w:val="00DC6823"/>
    <w:rsid w:val="00DC69F0"/>
    <w:rsid w:val="00DC6A07"/>
    <w:rsid w:val="00DC6AAF"/>
    <w:rsid w:val="00DC6B11"/>
    <w:rsid w:val="00DC6BF3"/>
    <w:rsid w:val="00DC6C25"/>
    <w:rsid w:val="00DC6D08"/>
    <w:rsid w:val="00DC6D6B"/>
    <w:rsid w:val="00DC6E99"/>
    <w:rsid w:val="00DC6EC0"/>
    <w:rsid w:val="00DC6F05"/>
    <w:rsid w:val="00DC70A1"/>
    <w:rsid w:val="00DC71F6"/>
    <w:rsid w:val="00DC722C"/>
    <w:rsid w:val="00DC7241"/>
    <w:rsid w:val="00DC7295"/>
    <w:rsid w:val="00DC72B5"/>
    <w:rsid w:val="00DC74B3"/>
    <w:rsid w:val="00DC74D5"/>
    <w:rsid w:val="00DC754D"/>
    <w:rsid w:val="00DC7599"/>
    <w:rsid w:val="00DC766E"/>
    <w:rsid w:val="00DC7702"/>
    <w:rsid w:val="00DC7744"/>
    <w:rsid w:val="00DC775E"/>
    <w:rsid w:val="00DC796B"/>
    <w:rsid w:val="00DC79F2"/>
    <w:rsid w:val="00DC7B43"/>
    <w:rsid w:val="00DC7B49"/>
    <w:rsid w:val="00DC7BB1"/>
    <w:rsid w:val="00DC7BB6"/>
    <w:rsid w:val="00DC7BEE"/>
    <w:rsid w:val="00DC7C50"/>
    <w:rsid w:val="00DC7C98"/>
    <w:rsid w:val="00DC7CB6"/>
    <w:rsid w:val="00DC7CBC"/>
    <w:rsid w:val="00DC7D6C"/>
    <w:rsid w:val="00DC7DB5"/>
    <w:rsid w:val="00DC7EB1"/>
    <w:rsid w:val="00DC7FB4"/>
    <w:rsid w:val="00DC7FD4"/>
    <w:rsid w:val="00DD0036"/>
    <w:rsid w:val="00DD00A1"/>
    <w:rsid w:val="00DD0172"/>
    <w:rsid w:val="00DD01E4"/>
    <w:rsid w:val="00DD0293"/>
    <w:rsid w:val="00DD0401"/>
    <w:rsid w:val="00DD0417"/>
    <w:rsid w:val="00DD0482"/>
    <w:rsid w:val="00DD0649"/>
    <w:rsid w:val="00DD0651"/>
    <w:rsid w:val="00DD06B4"/>
    <w:rsid w:val="00DD06E1"/>
    <w:rsid w:val="00DD079E"/>
    <w:rsid w:val="00DD07E2"/>
    <w:rsid w:val="00DD0860"/>
    <w:rsid w:val="00DD0932"/>
    <w:rsid w:val="00DD09CA"/>
    <w:rsid w:val="00DD0A26"/>
    <w:rsid w:val="00DD0BB2"/>
    <w:rsid w:val="00DD0BF9"/>
    <w:rsid w:val="00DD0C0A"/>
    <w:rsid w:val="00DD0C76"/>
    <w:rsid w:val="00DD0D60"/>
    <w:rsid w:val="00DD0E77"/>
    <w:rsid w:val="00DD0EBA"/>
    <w:rsid w:val="00DD0EF7"/>
    <w:rsid w:val="00DD0F4A"/>
    <w:rsid w:val="00DD1073"/>
    <w:rsid w:val="00DD1193"/>
    <w:rsid w:val="00DD1205"/>
    <w:rsid w:val="00DD12D0"/>
    <w:rsid w:val="00DD12E2"/>
    <w:rsid w:val="00DD14A1"/>
    <w:rsid w:val="00DD14CC"/>
    <w:rsid w:val="00DD1643"/>
    <w:rsid w:val="00DD1761"/>
    <w:rsid w:val="00DD178A"/>
    <w:rsid w:val="00DD1826"/>
    <w:rsid w:val="00DD1916"/>
    <w:rsid w:val="00DD19A0"/>
    <w:rsid w:val="00DD19CB"/>
    <w:rsid w:val="00DD1A01"/>
    <w:rsid w:val="00DD1A77"/>
    <w:rsid w:val="00DD1AC0"/>
    <w:rsid w:val="00DD1B44"/>
    <w:rsid w:val="00DD1B4B"/>
    <w:rsid w:val="00DD1BC8"/>
    <w:rsid w:val="00DD1C5F"/>
    <w:rsid w:val="00DD1D2F"/>
    <w:rsid w:val="00DD1D4D"/>
    <w:rsid w:val="00DD1ED9"/>
    <w:rsid w:val="00DD1EF1"/>
    <w:rsid w:val="00DD1FE6"/>
    <w:rsid w:val="00DD1FEC"/>
    <w:rsid w:val="00DD203E"/>
    <w:rsid w:val="00DD2054"/>
    <w:rsid w:val="00DD20A0"/>
    <w:rsid w:val="00DD2147"/>
    <w:rsid w:val="00DD2179"/>
    <w:rsid w:val="00DD21A8"/>
    <w:rsid w:val="00DD2213"/>
    <w:rsid w:val="00DD223A"/>
    <w:rsid w:val="00DD22E1"/>
    <w:rsid w:val="00DD235A"/>
    <w:rsid w:val="00DD23A9"/>
    <w:rsid w:val="00DD240E"/>
    <w:rsid w:val="00DD2473"/>
    <w:rsid w:val="00DD259F"/>
    <w:rsid w:val="00DD25EC"/>
    <w:rsid w:val="00DD26ED"/>
    <w:rsid w:val="00DD27A6"/>
    <w:rsid w:val="00DD280A"/>
    <w:rsid w:val="00DD2884"/>
    <w:rsid w:val="00DD2904"/>
    <w:rsid w:val="00DD292A"/>
    <w:rsid w:val="00DD294F"/>
    <w:rsid w:val="00DD2979"/>
    <w:rsid w:val="00DD298D"/>
    <w:rsid w:val="00DD29EE"/>
    <w:rsid w:val="00DD29F1"/>
    <w:rsid w:val="00DD2A16"/>
    <w:rsid w:val="00DD2A38"/>
    <w:rsid w:val="00DD2B14"/>
    <w:rsid w:val="00DD2B63"/>
    <w:rsid w:val="00DD2B6C"/>
    <w:rsid w:val="00DD2C9F"/>
    <w:rsid w:val="00DD2D59"/>
    <w:rsid w:val="00DD2DF8"/>
    <w:rsid w:val="00DD2E85"/>
    <w:rsid w:val="00DD2E93"/>
    <w:rsid w:val="00DD3046"/>
    <w:rsid w:val="00DD30B8"/>
    <w:rsid w:val="00DD3172"/>
    <w:rsid w:val="00DD31C5"/>
    <w:rsid w:val="00DD32DC"/>
    <w:rsid w:val="00DD341F"/>
    <w:rsid w:val="00DD3505"/>
    <w:rsid w:val="00DD35E9"/>
    <w:rsid w:val="00DD36C2"/>
    <w:rsid w:val="00DD3717"/>
    <w:rsid w:val="00DD371B"/>
    <w:rsid w:val="00DD3868"/>
    <w:rsid w:val="00DD3887"/>
    <w:rsid w:val="00DD38B5"/>
    <w:rsid w:val="00DD38E1"/>
    <w:rsid w:val="00DD38F4"/>
    <w:rsid w:val="00DD398C"/>
    <w:rsid w:val="00DD39E9"/>
    <w:rsid w:val="00DD3AFB"/>
    <w:rsid w:val="00DD3B47"/>
    <w:rsid w:val="00DD3B66"/>
    <w:rsid w:val="00DD3B90"/>
    <w:rsid w:val="00DD3BCC"/>
    <w:rsid w:val="00DD3BEF"/>
    <w:rsid w:val="00DD3C52"/>
    <w:rsid w:val="00DD3C5D"/>
    <w:rsid w:val="00DD3C7C"/>
    <w:rsid w:val="00DD3CE1"/>
    <w:rsid w:val="00DD3D7A"/>
    <w:rsid w:val="00DD3E0D"/>
    <w:rsid w:val="00DD3F02"/>
    <w:rsid w:val="00DD3F84"/>
    <w:rsid w:val="00DD40AB"/>
    <w:rsid w:val="00DD40D1"/>
    <w:rsid w:val="00DD4260"/>
    <w:rsid w:val="00DD4326"/>
    <w:rsid w:val="00DD4432"/>
    <w:rsid w:val="00DD4484"/>
    <w:rsid w:val="00DD449F"/>
    <w:rsid w:val="00DD44A5"/>
    <w:rsid w:val="00DD44D9"/>
    <w:rsid w:val="00DD44FB"/>
    <w:rsid w:val="00DD452D"/>
    <w:rsid w:val="00DD456F"/>
    <w:rsid w:val="00DD45D2"/>
    <w:rsid w:val="00DD47A9"/>
    <w:rsid w:val="00DD4871"/>
    <w:rsid w:val="00DD48B2"/>
    <w:rsid w:val="00DD49F9"/>
    <w:rsid w:val="00DD4A67"/>
    <w:rsid w:val="00DD4A77"/>
    <w:rsid w:val="00DD4BB4"/>
    <w:rsid w:val="00DD4BD2"/>
    <w:rsid w:val="00DD4C33"/>
    <w:rsid w:val="00DD4C55"/>
    <w:rsid w:val="00DD4CA5"/>
    <w:rsid w:val="00DD4CDF"/>
    <w:rsid w:val="00DD4DD0"/>
    <w:rsid w:val="00DD4DE9"/>
    <w:rsid w:val="00DD50BF"/>
    <w:rsid w:val="00DD5105"/>
    <w:rsid w:val="00DD5209"/>
    <w:rsid w:val="00DD53D9"/>
    <w:rsid w:val="00DD53DE"/>
    <w:rsid w:val="00DD5451"/>
    <w:rsid w:val="00DD549C"/>
    <w:rsid w:val="00DD54AB"/>
    <w:rsid w:val="00DD55F0"/>
    <w:rsid w:val="00DD565F"/>
    <w:rsid w:val="00DD566C"/>
    <w:rsid w:val="00DD5778"/>
    <w:rsid w:val="00DD578F"/>
    <w:rsid w:val="00DD57D7"/>
    <w:rsid w:val="00DD57DA"/>
    <w:rsid w:val="00DD57F1"/>
    <w:rsid w:val="00DD585C"/>
    <w:rsid w:val="00DD5875"/>
    <w:rsid w:val="00DD58B9"/>
    <w:rsid w:val="00DD5988"/>
    <w:rsid w:val="00DD59B9"/>
    <w:rsid w:val="00DD5A86"/>
    <w:rsid w:val="00DD5C49"/>
    <w:rsid w:val="00DD5D72"/>
    <w:rsid w:val="00DD5DA9"/>
    <w:rsid w:val="00DD5E32"/>
    <w:rsid w:val="00DD5E65"/>
    <w:rsid w:val="00DD5ECC"/>
    <w:rsid w:val="00DD5EF2"/>
    <w:rsid w:val="00DD5FA2"/>
    <w:rsid w:val="00DD5FA7"/>
    <w:rsid w:val="00DD603C"/>
    <w:rsid w:val="00DD6049"/>
    <w:rsid w:val="00DD606C"/>
    <w:rsid w:val="00DD606D"/>
    <w:rsid w:val="00DD6101"/>
    <w:rsid w:val="00DD6196"/>
    <w:rsid w:val="00DD61E0"/>
    <w:rsid w:val="00DD61EE"/>
    <w:rsid w:val="00DD62EB"/>
    <w:rsid w:val="00DD644C"/>
    <w:rsid w:val="00DD6468"/>
    <w:rsid w:val="00DD651D"/>
    <w:rsid w:val="00DD65B3"/>
    <w:rsid w:val="00DD671B"/>
    <w:rsid w:val="00DD675C"/>
    <w:rsid w:val="00DD6819"/>
    <w:rsid w:val="00DD68DF"/>
    <w:rsid w:val="00DD695C"/>
    <w:rsid w:val="00DD695D"/>
    <w:rsid w:val="00DD697A"/>
    <w:rsid w:val="00DD69B2"/>
    <w:rsid w:val="00DD6B5A"/>
    <w:rsid w:val="00DD6BBD"/>
    <w:rsid w:val="00DD6D43"/>
    <w:rsid w:val="00DD6DDB"/>
    <w:rsid w:val="00DD6E13"/>
    <w:rsid w:val="00DD6E22"/>
    <w:rsid w:val="00DD6FB2"/>
    <w:rsid w:val="00DD6FB8"/>
    <w:rsid w:val="00DD6FBA"/>
    <w:rsid w:val="00DD7093"/>
    <w:rsid w:val="00DD70A3"/>
    <w:rsid w:val="00DD71B1"/>
    <w:rsid w:val="00DD7228"/>
    <w:rsid w:val="00DD725A"/>
    <w:rsid w:val="00DD728E"/>
    <w:rsid w:val="00DD72D9"/>
    <w:rsid w:val="00DD7374"/>
    <w:rsid w:val="00DD7422"/>
    <w:rsid w:val="00DD744F"/>
    <w:rsid w:val="00DD7678"/>
    <w:rsid w:val="00DD76BB"/>
    <w:rsid w:val="00DD7784"/>
    <w:rsid w:val="00DD7817"/>
    <w:rsid w:val="00DD7829"/>
    <w:rsid w:val="00DD78C7"/>
    <w:rsid w:val="00DD7985"/>
    <w:rsid w:val="00DD7986"/>
    <w:rsid w:val="00DD79B0"/>
    <w:rsid w:val="00DD79C1"/>
    <w:rsid w:val="00DD79FD"/>
    <w:rsid w:val="00DD7B70"/>
    <w:rsid w:val="00DD7BEB"/>
    <w:rsid w:val="00DD7C94"/>
    <w:rsid w:val="00DD7D9F"/>
    <w:rsid w:val="00DD7DBA"/>
    <w:rsid w:val="00DD7EE7"/>
    <w:rsid w:val="00DD7F18"/>
    <w:rsid w:val="00DE0010"/>
    <w:rsid w:val="00DE0142"/>
    <w:rsid w:val="00DE0176"/>
    <w:rsid w:val="00DE01C0"/>
    <w:rsid w:val="00DE020E"/>
    <w:rsid w:val="00DE021C"/>
    <w:rsid w:val="00DE03C5"/>
    <w:rsid w:val="00DE061A"/>
    <w:rsid w:val="00DE062D"/>
    <w:rsid w:val="00DE0760"/>
    <w:rsid w:val="00DE08C7"/>
    <w:rsid w:val="00DE08D4"/>
    <w:rsid w:val="00DE09CF"/>
    <w:rsid w:val="00DE0A73"/>
    <w:rsid w:val="00DE0A87"/>
    <w:rsid w:val="00DE0ABC"/>
    <w:rsid w:val="00DE0B49"/>
    <w:rsid w:val="00DE0B8E"/>
    <w:rsid w:val="00DE0B9D"/>
    <w:rsid w:val="00DE0BEC"/>
    <w:rsid w:val="00DE0CD9"/>
    <w:rsid w:val="00DE0D40"/>
    <w:rsid w:val="00DE0D78"/>
    <w:rsid w:val="00DE0DC7"/>
    <w:rsid w:val="00DE0DC8"/>
    <w:rsid w:val="00DE0E5A"/>
    <w:rsid w:val="00DE0F24"/>
    <w:rsid w:val="00DE1158"/>
    <w:rsid w:val="00DE1159"/>
    <w:rsid w:val="00DE1360"/>
    <w:rsid w:val="00DE13BA"/>
    <w:rsid w:val="00DE1436"/>
    <w:rsid w:val="00DE143F"/>
    <w:rsid w:val="00DE1452"/>
    <w:rsid w:val="00DE145A"/>
    <w:rsid w:val="00DE181A"/>
    <w:rsid w:val="00DE181E"/>
    <w:rsid w:val="00DE18C2"/>
    <w:rsid w:val="00DE1901"/>
    <w:rsid w:val="00DE1A27"/>
    <w:rsid w:val="00DE1E18"/>
    <w:rsid w:val="00DE1E84"/>
    <w:rsid w:val="00DE1EA4"/>
    <w:rsid w:val="00DE1EED"/>
    <w:rsid w:val="00DE1F28"/>
    <w:rsid w:val="00DE2008"/>
    <w:rsid w:val="00DE21FA"/>
    <w:rsid w:val="00DE22BA"/>
    <w:rsid w:val="00DE23C0"/>
    <w:rsid w:val="00DE2559"/>
    <w:rsid w:val="00DE25D0"/>
    <w:rsid w:val="00DE265C"/>
    <w:rsid w:val="00DE26E9"/>
    <w:rsid w:val="00DE2750"/>
    <w:rsid w:val="00DE27C4"/>
    <w:rsid w:val="00DE27EE"/>
    <w:rsid w:val="00DE2833"/>
    <w:rsid w:val="00DE2878"/>
    <w:rsid w:val="00DE28BF"/>
    <w:rsid w:val="00DE2990"/>
    <w:rsid w:val="00DE29C3"/>
    <w:rsid w:val="00DE2A49"/>
    <w:rsid w:val="00DE2A8E"/>
    <w:rsid w:val="00DE2AC3"/>
    <w:rsid w:val="00DE2D52"/>
    <w:rsid w:val="00DE2E65"/>
    <w:rsid w:val="00DE2E9F"/>
    <w:rsid w:val="00DE2F42"/>
    <w:rsid w:val="00DE2F65"/>
    <w:rsid w:val="00DE2FA1"/>
    <w:rsid w:val="00DE2FC9"/>
    <w:rsid w:val="00DE312F"/>
    <w:rsid w:val="00DE315F"/>
    <w:rsid w:val="00DE3164"/>
    <w:rsid w:val="00DE326E"/>
    <w:rsid w:val="00DE3287"/>
    <w:rsid w:val="00DE3374"/>
    <w:rsid w:val="00DE338C"/>
    <w:rsid w:val="00DE33B2"/>
    <w:rsid w:val="00DE342F"/>
    <w:rsid w:val="00DE3481"/>
    <w:rsid w:val="00DE34D7"/>
    <w:rsid w:val="00DE351E"/>
    <w:rsid w:val="00DE356A"/>
    <w:rsid w:val="00DE35C9"/>
    <w:rsid w:val="00DE3694"/>
    <w:rsid w:val="00DE36E2"/>
    <w:rsid w:val="00DE36FB"/>
    <w:rsid w:val="00DE3705"/>
    <w:rsid w:val="00DE3807"/>
    <w:rsid w:val="00DE380F"/>
    <w:rsid w:val="00DE3816"/>
    <w:rsid w:val="00DE38F5"/>
    <w:rsid w:val="00DE392F"/>
    <w:rsid w:val="00DE3988"/>
    <w:rsid w:val="00DE3AF4"/>
    <w:rsid w:val="00DE3B0D"/>
    <w:rsid w:val="00DE3BC9"/>
    <w:rsid w:val="00DE3D27"/>
    <w:rsid w:val="00DE3D6A"/>
    <w:rsid w:val="00DE3D6C"/>
    <w:rsid w:val="00DE3DB5"/>
    <w:rsid w:val="00DE3DC1"/>
    <w:rsid w:val="00DE3DED"/>
    <w:rsid w:val="00DE3DFB"/>
    <w:rsid w:val="00DE3E92"/>
    <w:rsid w:val="00DE3EF5"/>
    <w:rsid w:val="00DE3EFB"/>
    <w:rsid w:val="00DE3FE1"/>
    <w:rsid w:val="00DE3FFE"/>
    <w:rsid w:val="00DE40B1"/>
    <w:rsid w:val="00DE41E0"/>
    <w:rsid w:val="00DE41FC"/>
    <w:rsid w:val="00DE4202"/>
    <w:rsid w:val="00DE4366"/>
    <w:rsid w:val="00DE4388"/>
    <w:rsid w:val="00DE43AA"/>
    <w:rsid w:val="00DE43E2"/>
    <w:rsid w:val="00DE44C7"/>
    <w:rsid w:val="00DE4546"/>
    <w:rsid w:val="00DE45CE"/>
    <w:rsid w:val="00DE45ED"/>
    <w:rsid w:val="00DE4697"/>
    <w:rsid w:val="00DE46B6"/>
    <w:rsid w:val="00DE46C7"/>
    <w:rsid w:val="00DE46EB"/>
    <w:rsid w:val="00DE4901"/>
    <w:rsid w:val="00DE49CA"/>
    <w:rsid w:val="00DE49D4"/>
    <w:rsid w:val="00DE49D8"/>
    <w:rsid w:val="00DE4A03"/>
    <w:rsid w:val="00DE4A1E"/>
    <w:rsid w:val="00DE4B84"/>
    <w:rsid w:val="00DE4CCD"/>
    <w:rsid w:val="00DE4D03"/>
    <w:rsid w:val="00DE4D57"/>
    <w:rsid w:val="00DE4D9A"/>
    <w:rsid w:val="00DE4E5F"/>
    <w:rsid w:val="00DE4E6C"/>
    <w:rsid w:val="00DE4E77"/>
    <w:rsid w:val="00DE4F06"/>
    <w:rsid w:val="00DE4F29"/>
    <w:rsid w:val="00DE4F6B"/>
    <w:rsid w:val="00DE4FA6"/>
    <w:rsid w:val="00DE5027"/>
    <w:rsid w:val="00DE5167"/>
    <w:rsid w:val="00DE5214"/>
    <w:rsid w:val="00DE52F4"/>
    <w:rsid w:val="00DE53A4"/>
    <w:rsid w:val="00DE54C0"/>
    <w:rsid w:val="00DE5573"/>
    <w:rsid w:val="00DE55EA"/>
    <w:rsid w:val="00DE5643"/>
    <w:rsid w:val="00DE576A"/>
    <w:rsid w:val="00DE57F2"/>
    <w:rsid w:val="00DE5858"/>
    <w:rsid w:val="00DE5A38"/>
    <w:rsid w:val="00DE5A41"/>
    <w:rsid w:val="00DE5AF6"/>
    <w:rsid w:val="00DE5B7E"/>
    <w:rsid w:val="00DE5BC1"/>
    <w:rsid w:val="00DE5C43"/>
    <w:rsid w:val="00DE5C48"/>
    <w:rsid w:val="00DE5D15"/>
    <w:rsid w:val="00DE5D80"/>
    <w:rsid w:val="00DE5E3E"/>
    <w:rsid w:val="00DE5E49"/>
    <w:rsid w:val="00DE5E4D"/>
    <w:rsid w:val="00DE5EBD"/>
    <w:rsid w:val="00DE5FDD"/>
    <w:rsid w:val="00DE6056"/>
    <w:rsid w:val="00DE609E"/>
    <w:rsid w:val="00DE60D6"/>
    <w:rsid w:val="00DE628B"/>
    <w:rsid w:val="00DE6295"/>
    <w:rsid w:val="00DE6300"/>
    <w:rsid w:val="00DE630B"/>
    <w:rsid w:val="00DE634C"/>
    <w:rsid w:val="00DE6439"/>
    <w:rsid w:val="00DE6450"/>
    <w:rsid w:val="00DE6564"/>
    <w:rsid w:val="00DE6806"/>
    <w:rsid w:val="00DE6866"/>
    <w:rsid w:val="00DE68A6"/>
    <w:rsid w:val="00DE6C3A"/>
    <w:rsid w:val="00DE6C5E"/>
    <w:rsid w:val="00DE6C64"/>
    <w:rsid w:val="00DE6D85"/>
    <w:rsid w:val="00DE6DAC"/>
    <w:rsid w:val="00DE6DDC"/>
    <w:rsid w:val="00DE6E2C"/>
    <w:rsid w:val="00DE6EBF"/>
    <w:rsid w:val="00DE6F0A"/>
    <w:rsid w:val="00DE6F29"/>
    <w:rsid w:val="00DE6FBB"/>
    <w:rsid w:val="00DE7229"/>
    <w:rsid w:val="00DE72A5"/>
    <w:rsid w:val="00DE73C9"/>
    <w:rsid w:val="00DE7418"/>
    <w:rsid w:val="00DE744A"/>
    <w:rsid w:val="00DE74B7"/>
    <w:rsid w:val="00DE74F7"/>
    <w:rsid w:val="00DE74F8"/>
    <w:rsid w:val="00DE751A"/>
    <w:rsid w:val="00DE7599"/>
    <w:rsid w:val="00DE77C6"/>
    <w:rsid w:val="00DE796F"/>
    <w:rsid w:val="00DE7B32"/>
    <w:rsid w:val="00DE7B3D"/>
    <w:rsid w:val="00DE7B77"/>
    <w:rsid w:val="00DE7CC0"/>
    <w:rsid w:val="00DE7CC7"/>
    <w:rsid w:val="00DE7DB2"/>
    <w:rsid w:val="00DE7DCB"/>
    <w:rsid w:val="00DE7E1F"/>
    <w:rsid w:val="00DE7E9B"/>
    <w:rsid w:val="00DE7F5F"/>
    <w:rsid w:val="00DF006F"/>
    <w:rsid w:val="00DF00A8"/>
    <w:rsid w:val="00DF0138"/>
    <w:rsid w:val="00DF027F"/>
    <w:rsid w:val="00DF03B2"/>
    <w:rsid w:val="00DF03E9"/>
    <w:rsid w:val="00DF0402"/>
    <w:rsid w:val="00DF0432"/>
    <w:rsid w:val="00DF0439"/>
    <w:rsid w:val="00DF04CC"/>
    <w:rsid w:val="00DF0524"/>
    <w:rsid w:val="00DF0599"/>
    <w:rsid w:val="00DF0656"/>
    <w:rsid w:val="00DF079F"/>
    <w:rsid w:val="00DF084E"/>
    <w:rsid w:val="00DF08FC"/>
    <w:rsid w:val="00DF093D"/>
    <w:rsid w:val="00DF0A47"/>
    <w:rsid w:val="00DF0A98"/>
    <w:rsid w:val="00DF0ADC"/>
    <w:rsid w:val="00DF0B2B"/>
    <w:rsid w:val="00DF0BB7"/>
    <w:rsid w:val="00DF0BD8"/>
    <w:rsid w:val="00DF0BEA"/>
    <w:rsid w:val="00DF0D7C"/>
    <w:rsid w:val="00DF0DEE"/>
    <w:rsid w:val="00DF0E62"/>
    <w:rsid w:val="00DF0EA8"/>
    <w:rsid w:val="00DF0F6D"/>
    <w:rsid w:val="00DF0FD0"/>
    <w:rsid w:val="00DF0FD9"/>
    <w:rsid w:val="00DF1201"/>
    <w:rsid w:val="00DF1234"/>
    <w:rsid w:val="00DF14C8"/>
    <w:rsid w:val="00DF160F"/>
    <w:rsid w:val="00DF16C2"/>
    <w:rsid w:val="00DF17DA"/>
    <w:rsid w:val="00DF17E8"/>
    <w:rsid w:val="00DF189F"/>
    <w:rsid w:val="00DF1918"/>
    <w:rsid w:val="00DF191E"/>
    <w:rsid w:val="00DF192A"/>
    <w:rsid w:val="00DF1B30"/>
    <w:rsid w:val="00DF1BCE"/>
    <w:rsid w:val="00DF1C1A"/>
    <w:rsid w:val="00DF1C2F"/>
    <w:rsid w:val="00DF1CC4"/>
    <w:rsid w:val="00DF1CF6"/>
    <w:rsid w:val="00DF1E45"/>
    <w:rsid w:val="00DF1EA3"/>
    <w:rsid w:val="00DF1EF9"/>
    <w:rsid w:val="00DF1F13"/>
    <w:rsid w:val="00DF1F17"/>
    <w:rsid w:val="00DF1F55"/>
    <w:rsid w:val="00DF20E3"/>
    <w:rsid w:val="00DF20F4"/>
    <w:rsid w:val="00DF2217"/>
    <w:rsid w:val="00DF2271"/>
    <w:rsid w:val="00DF23BD"/>
    <w:rsid w:val="00DF2447"/>
    <w:rsid w:val="00DF24CF"/>
    <w:rsid w:val="00DF26E6"/>
    <w:rsid w:val="00DF2726"/>
    <w:rsid w:val="00DF273E"/>
    <w:rsid w:val="00DF290E"/>
    <w:rsid w:val="00DF2912"/>
    <w:rsid w:val="00DF2A55"/>
    <w:rsid w:val="00DF2AAF"/>
    <w:rsid w:val="00DF2C25"/>
    <w:rsid w:val="00DF2C5C"/>
    <w:rsid w:val="00DF2E6B"/>
    <w:rsid w:val="00DF2F22"/>
    <w:rsid w:val="00DF2FA2"/>
    <w:rsid w:val="00DF3037"/>
    <w:rsid w:val="00DF30B3"/>
    <w:rsid w:val="00DF30F7"/>
    <w:rsid w:val="00DF30FD"/>
    <w:rsid w:val="00DF311B"/>
    <w:rsid w:val="00DF3147"/>
    <w:rsid w:val="00DF31A4"/>
    <w:rsid w:val="00DF31F7"/>
    <w:rsid w:val="00DF327A"/>
    <w:rsid w:val="00DF32B8"/>
    <w:rsid w:val="00DF32D3"/>
    <w:rsid w:val="00DF332E"/>
    <w:rsid w:val="00DF3359"/>
    <w:rsid w:val="00DF335F"/>
    <w:rsid w:val="00DF3580"/>
    <w:rsid w:val="00DF358E"/>
    <w:rsid w:val="00DF3672"/>
    <w:rsid w:val="00DF36F2"/>
    <w:rsid w:val="00DF3717"/>
    <w:rsid w:val="00DF37C5"/>
    <w:rsid w:val="00DF3829"/>
    <w:rsid w:val="00DF38C0"/>
    <w:rsid w:val="00DF3934"/>
    <w:rsid w:val="00DF3B26"/>
    <w:rsid w:val="00DF3B85"/>
    <w:rsid w:val="00DF3BE3"/>
    <w:rsid w:val="00DF3C1B"/>
    <w:rsid w:val="00DF3D29"/>
    <w:rsid w:val="00DF3D41"/>
    <w:rsid w:val="00DF3DB7"/>
    <w:rsid w:val="00DF3E2D"/>
    <w:rsid w:val="00DF3E7E"/>
    <w:rsid w:val="00DF3F49"/>
    <w:rsid w:val="00DF3F52"/>
    <w:rsid w:val="00DF3F79"/>
    <w:rsid w:val="00DF3FB1"/>
    <w:rsid w:val="00DF3FE4"/>
    <w:rsid w:val="00DF4004"/>
    <w:rsid w:val="00DF4017"/>
    <w:rsid w:val="00DF40E6"/>
    <w:rsid w:val="00DF40ED"/>
    <w:rsid w:val="00DF4144"/>
    <w:rsid w:val="00DF419D"/>
    <w:rsid w:val="00DF41F6"/>
    <w:rsid w:val="00DF428E"/>
    <w:rsid w:val="00DF4366"/>
    <w:rsid w:val="00DF442F"/>
    <w:rsid w:val="00DF4518"/>
    <w:rsid w:val="00DF4579"/>
    <w:rsid w:val="00DF4724"/>
    <w:rsid w:val="00DF4736"/>
    <w:rsid w:val="00DF47EB"/>
    <w:rsid w:val="00DF4878"/>
    <w:rsid w:val="00DF4918"/>
    <w:rsid w:val="00DF4920"/>
    <w:rsid w:val="00DF495E"/>
    <w:rsid w:val="00DF498B"/>
    <w:rsid w:val="00DF4A05"/>
    <w:rsid w:val="00DF4A0B"/>
    <w:rsid w:val="00DF4AD6"/>
    <w:rsid w:val="00DF4D78"/>
    <w:rsid w:val="00DF4DFC"/>
    <w:rsid w:val="00DF50A4"/>
    <w:rsid w:val="00DF529B"/>
    <w:rsid w:val="00DF52F5"/>
    <w:rsid w:val="00DF5344"/>
    <w:rsid w:val="00DF5364"/>
    <w:rsid w:val="00DF542D"/>
    <w:rsid w:val="00DF5477"/>
    <w:rsid w:val="00DF548F"/>
    <w:rsid w:val="00DF550C"/>
    <w:rsid w:val="00DF5560"/>
    <w:rsid w:val="00DF5602"/>
    <w:rsid w:val="00DF56CF"/>
    <w:rsid w:val="00DF574D"/>
    <w:rsid w:val="00DF5868"/>
    <w:rsid w:val="00DF58E7"/>
    <w:rsid w:val="00DF58EE"/>
    <w:rsid w:val="00DF5931"/>
    <w:rsid w:val="00DF59CF"/>
    <w:rsid w:val="00DF59D6"/>
    <w:rsid w:val="00DF59DA"/>
    <w:rsid w:val="00DF59FF"/>
    <w:rsid w:val="00DF5A19"/>
    <w:rsid w:val="00DF5B01"/>
    <w:rsid w:val="00DF5B32"/>
    <w:rsid w:val="00DF5B6D"/>
    <w:rsid w:val="00DF5C2E"/>
    <w:rsid w:val="00DF5C71"/>
    <w:rsid w:val="00DF5CAD"/>
    <w:rsid w:val="00DF5D0B"/>
    <w:rsid w:val="00DF5DA6"/>
    <w:rsid w:val="00DF5F23"/>
    <w:rsid w:val="00DF5F8C"/>
    <w:rsid w:val="00DF6040"/>
    <w:rsid w:val="00DF60B4"/>
    <w:rsid w:val="00DF61B8"/>
    <w:rsid w:val="00DF6293"/>
    <w:rsid w:val="00DF62FE"/>
    <w:rsid w:val="00DF6363"/>
    <w:rsid w:val="00DF63D8"/>
    <w:rsid w:val="00DF64B0"/>
    <w:rsid w:val="00DF6517"/>
    <w:rsid w:val="00DF6528"/>
    <w:rsid w:val="00DF655B"/>
    <w:rsid w:val="00DF65DF"/>
    <w:rsid w:val="00DF65FD"/>
    <w:rsid w:val="00DF6690"/>
    <w:rsid w:val="00DF6737"/>
    <w:rsid w:val="00DF67D6"/>
    <w:rsid w:val="00DF67FD"/>
    <w:rsid w:val="00DF6883"/>
    <w:rsid w:val="00DF68EE"/>
    <w:rsid w:val="00DF6925"/>
    <w:rsid w:val="00DF692D"/>
    <w:rsid w:val="00DF69DB"/>
    <w:rsid w:val="00DF6A21"/>
    <w:rsid w:val="00DF6A30"/>
    <w:rsid w:val="00DF6A33"/>
    <w:rsid w:val="00DF6AD4"/>
    <w:rsid w:val="00DF6B2A"/>
    <w:rsid w:val="00DF6B60"/>
    <w:rsid w:val="00DF6CD2"/>
    <w:rsid w:val="00DF6D87"/>
    <w:rsid w:val="00DF6E76"/>
    <w:rsid w:val="00DF6EA3"/>
    <w:rsid w:val="00DF7179"/>
    <w:rsid w:val="00DF7181"/>
    <w:rsid w:val="00DF71BF"/>
    <w:rsid w:val="00DF71E8"/>
    <w:rsid w:val="00DF71F2"/>
    <w:rsid w:val="00DF7485"/>
    <w:rsid w:val="00DF74A0"/>
    <w:rsid w:val="00DF74C2"/>
    <w:rsid w:val="00DF7570"/>
    <w:rsid w:val="00DF7593"/>
    <w:rsid w:val="00DF7599"/>
    <w:rsid w:val="00DF766A"/>
    <w:rsid w:val="00DF7692"/>
    <w:rsid w:val="00DF76C9"/>
    <w:rsid w:val="00DF7764"/>
    <w:rsid w:val="00DF77A5"/>
    <w:rsid w:val="00DF77B8"/>
    <w:rsid w:val="00DF7A40"/>
    <w:rsid w:val="00DF7AA3"/>
    <w:rsid w:val="00DF7B53"/>
    <w:rsid w:val="00DF7B8B"/>
    <w:rsid w:val="00DF7CA7"/>
    <w:rsid w:val="00DF7D01"/>
    <w:rsid w:val="00DF7DA3"/>
    <w:rsid w:val="00DF7E44"/>
    <w:rsid w:val="00DF7EAB"/>
    <w:rsid w:val="00DF7F49"/>
    <w:rsid w:val="00E0001C"/>
    <w:rsid w:val="00E00129"/>
    <w:rsid w:val="00E00164"/>
    <w:rsid w:val="00E0024F"/>
    <w:rsid w:val="00E002BE"/>
    <w:rsid w:val="00E0031D"/>
    <w:rsid w:val="00E0032D"/>
    <w:rsid w:val="00E00395"/>
    <w:rsid w:val="00E00487"/>
    <w:rsid w:val="00E004DD"/>
    <w:rsid w:val="00E004FD"/>
    <w:rsid w:val="00E00549"/>
    <w:rsid w:val="00E00571"/>
    <w:rsid w:val="00E005BC"/>
    <w:rsid w:val="00E005DD"/>
    <w:rsid w:val="00E0068E"/>
    <w:rsid w:val="00E006C2"/>
    <w:rsid w:val="00E00848"/>
    <w:rsid w:val="00E00852"/>
    <w:rsid w:val="00E008F1"/>
    <w:rsid w:val="00E00973"/>
    <w:rsid w:val="00E00A4E"/>
    <w:rsid w:val="00E00ADB"/>
    <w:rsid w:val="00E00D0B"/>
    <w:rsid w:val="00E00D90"/>
    <w:rsid w:val="00E00DED"/>
    <w:rsid w:val="00E00E19"/>
    <w:rsid w:val="00E00E2D"/>
    <w:rsid w:val="00E00F4F"/>
    <w:rsid w:val="00E00F80"/>
    <w:rsid w:val="00E0101E"/>
    <w:rsid w:val="00E01034"/>
    <w:rsid w:val="00E010A6"/>
    <w:rsid w:val="00E010C7"/>
    <w:rsid w:val="00E01106"/>
    <w:rsid w:val="00E012F4"/>
    <w:rsid w:val="00E0144E"/>
    <w:rsid w:val="00E01473"/>
    <w:rsid w:val="00E01484"/>
    <w:rsid w:val="00E01496"/>
    <w:rsid w:val="00E0151F"/>
    <w:rsid w:val="00E0175A"/>
    <w:rsid w:val="00E017E5"/>
    <w:rsid w:val="00E01835"/>
    <w:rsid w:val="00E018D1"/>
    <w:rsid w:val="00E01915"/>
    <w:rsid w:val="00E019D6"/>
    <w:rsid w:val="00E01A09"/>
    <w:rsid w:val="00E01B19"/>
    <w:rsid w:val="00E01B2E"/>
    <w:rsid w:val="00E01BFE"/>
    <w:rsid w:val="00E01C44"/>
    <w:rsid w:val="00E01CB5"/>
    <w:rsid w:val="00E01CF5"/>
    <w:rsid w:val="00E01DE8"/>
    <w:rsid w:val="00E01E3D"/>
    <w:rsid w:val="00E01E88"/>
    <w:rsid w:val="00E02040"/>
    <w:rsid w:val="00E02075"/>
    <w:rsid w:val="00E0210B"/>
    <w:rsid w:val="00E02131"/>
    <w:rsid w:val="00E021D8"/>
    <w:rsid w:val="00E022D6"/>
    <w:rsid w:val="00E023A5"/>
    <w:rsid w:val="00E024D2"/>
    <w:rsid w:val="00E025E6"/>
    <w:rsid w:val="00E02605"/>
    <w:rsid w:val="00E0266A"/>
    <w:rsid w:val="00E026D2"/>
    <w:rsid w:val="00E027DA"/>
    <w:rsid w:val="00E0281C"/>
    <w:rsid w:val="00E02826"/>
    <w:rsid w:val="00E028C0"/>
    <w:rsid w:val="00E02988"/>
    <w:rsid w:val="00E02A62"/>
    <w:rsid w:val="00E02B1F"/>
    <w:rsid w:val="00E02B89"/>
    <w:rsid w:val="00E02CCA"/>
    <w:rsid w:val="00E02CD3"/>
    <w:rsid w:val="00E02DA9"/>
    <w:rsid w:val="00E02E1A"/>
    <w:rsid w:val="00E02E20"/>
    <w:rsid w:val="00E02ED8"/>
    <w:rsid w:val="00E0324F"/>
    <w:rsid w:val="00E0330B"/>
    <w:rsid w:val="00E0332D"/>
    <w:rsid w:val="00E03386"/>
    <w:rsid w:val="00E033C4"/>
    <w:rsid w:val="00E03412"/>
    <w:rsid w:val="00E03530"/>
    <w:rsid w:val="00E0356A"/>
    <w:rsid w:val="00E035CB"/>
    <w:rsid w:val="00E03695"/>
    <w:rsid w:val="00E03775"/>
    <w:rsid w:val="00E037BC"/>
    <w:rsid w:val="00E037F0"/>
    <w:rsid w:val="00E03886"/>
    <w:rsid w:val="00E03897"/>
    <w:rsid w:val="00E038E9"/>
    <w:rsid w:val="00E03994"/>
    <w:rsid w:val="00E039CE"/>
    <w:rsid w:val="00E039FB"/>
    <w:rsid w:val="00E03A1E"/>
    <w:rsid w:val="00E03A6C"/>
    <w:rsid w:val="00E03A7E"/>
    <w:rsid w:val="00E03BD2"/>
    <w:rsid w:val="00E03CC2"/>
    <w:rsid w:val="00E03D18"/>
    <w:rsid w:val="00E03D28"/>
    <w:rsid w:val="00E03DDC"/>
    <w:rsid w:val="00E03DF8"/>
    <w:rsid w:val="00E0403A"/>
    <w:rsid w:val="00E04186"/>
    <w:rsid w:val="00E041AF"/>
    <w:rsid w:val="00E041B2"/>
    <w:rsid w:val="00E041D3"/>
    <w:rsid w:val="00E041D4"/>
    <w:rsid w:val="00E041DA"/>
    <w:rsid w:val="00E0432A"/>
    <w:rsid w:val="00E0447D"/>
    <w:rsid w:val="00E045DB"/>
    <w:rsid w:val="00E045F8"/>
    <w:rsid w:val="00E0460F"/>
    <w:rsid w:val="00E04621"/>
    <w:rsid w:val="00E046AB"/>
    <w:rsid w:val="00E04717"/>
    <w:rsid w:val="00E0488C"/>
    <w:rsid w:val="00E049C1"/>
    <w:rsid w:val="00E049EC"/>
    <w:rsid w:val="00E04B0D"/>
    <w:rsid w:val="00E04BB3"/>
    <w:rsid w:val="00E04CCD"/>
    <w:rsid w:val="00E04D11"/>
    <w:rsid w:val="00E04D31"/>
    <w:rsid w:val="00E04D44"/>
    <w:rsid w:val="00E04EA0"/>
    <w:rsid w:val="00E04F5A"/>
    <w:rsid w:val="00E05236"/>
    <w:rsid w:val="00E05247"/>
    <w:rsid w:val="00E053D3"/>
    <w:rsid w:val="00E054C0"/>
    <w:rsid w:val="00E054D2"/>
    <w:rsid w:val="00E055A2"/>
    <w:rsid w:val="00E05601"/>
    <w:rsid w:val="00E05609"/>
    <w:rsid w:val="00E05660"/>
    <w:rsid w:val="00E0575C"/>
    <w:rsid w:val="00E058FC"/>
    <w:rsid w:val="00E0591E"/>
    <w:rsid w:val="00E05ADB"/>
    <w:rsid w:val="00E05C0A"/>
    <w:rsid w:val="00E05C2B"/>
    <w:rsid w:val="00E05D1F"/>
    <w:rsid w:val="00E05EB6"/>
    <w:rsid w:val="00E05FEA"/>
    <w:rsid w:val="00E0603D"/>
    <w:rsid w:val="00E0606A"/>
    <w:rsid w:val="00E06138"/>
    <w:rsid w:val="00E061D3"/>
    <w:rsid w:val="00E06253"/>
    <w:rsid w:val="00E0626F"/>
    <w:rsid w:val="00E062DA"/>
    <w:rsid w:val="00E06397"/>
    <w:rsid w:val="00E0645A"/>
    <w:rsid w:val="00E0656F"/>
    <w:rsid w:val="00E065F8"/>
    <w:rsid w:val="00E0660A"/>
    <w:rsid w:val="00E06610"/>
    <w:rsid w:val="00E0668C"/>
    <w:rsid w:val="00E06694"/>
    <w:rsid w:val="00E06728"/>
    <w:rsid w:val="00E0679C"/>
    <w:rsid w:val="00E06819"/>
    <w:rsid w:val="00E06894"/>
    <w:rsid w:val="00E06978"/>
    <w:rsid w:val="00E06A7E"/>
    <w:rsid w:val="00E06B50"/>
    <w:rsid w:val="00E06C16"/>
    <w:rsid w:val="00E06E18"/>
    <w:rsid w:val="00E06ED5"/>
    <w:rsid w:val="00E06F0B"/>
    <w:rsid w:val="00E06F99"/>
    <w:rsid w:val="00E070CA"/>
    <w:rsid w:val="00E07149"/>
    <w:rsid w:val="00E0714B"/>
    <w:rsid w:val="00E071DF"/>
    <w:rsid w:val="00E0720D"/>
    <w:rsid w:val="00E0723A"/>
    <w:rsid w:val="00E072FB"/>
    <w:rsid w:val="00E072FE"/>
    <w:rsid w:val="00E0730F"/>
    <w:rsid w:val="00E0737F"/>
    <w:rsid w:val="00E07554"/>
    <w:rsid w:val="00E07555"/>
    <w:rsid w:val="00E0763B"/>
    <w:rsid w:val="00E07680"/>
    <w:rsid w:val="00E077FB"/>
    <w:rsid w:val="00E077FD"/>
    <w:rsid w:val="00E0788F"/>
    <w:rsid w:val="00E078D3"/>
    <w:rsid w:val="00E07A3D"/>
    <w:rsid w:val="00E07A51"/>
    <w:rsid w:val="00E07A9C"/>
    <w:rsid w:val="00E07B0F"/>
    <w:rsid w:val="00E07BA1"/>
    <w:rsid w:val="00E07C6E"/>
    <w:rsid w:val="00E07C82"/>
    <w:rsid w:val="00E07CD9"/>
    <w:rsid w:val="00E07CE3"/>
    <w:rsid w:val="00E07D61"/>
    <w:rsid w:val="00E07E0D"/>
    <w:rsid w:val="00E07E66"/>
    <w:rsid w:val="00E07EB1"/>
    <w:rsid w:val="00E07EF8"/>
    <w:rsid w:val="00E07F12"/>
    <w:rsid w:val="00E07F57"/>
    <w:rsid w:val="00E07F6A"/>
    <w:rsid w:val="00E07FDE"/>
    <w:rsid w:val="00E07FF6"/>
    <w:rsid w:val="00E10022"/>
    <w:rsid w:val="00E1002D"/>
    <w:rsid w:val="00E100D7"/>
    <w:rsid w:val="00E10103"/>
    <w:rsid w:val="00E101B8"/>
    <w:rsid w:val="00E101F0"/>
    <w:rsid w:val="00E1020D"/>
    <w:rsid w:val="00E10223"/>
    <w:rsid w:val="00E10279"/>
    <w:rsid w:val="00E1031F"/>
    <w:rsid w:val="00E1037A"/>
    <w:rsid w:val="00E1047A"/>
    <w:rsid w:val="00E104F2"/>
    <w:rsid w:val="00E10533"/>
    <w:rsid w:val="00E1054F"/>
    <w:rsid w:val="00E10594"/>
    <w:rsid w:val="00E105AF"/>
    <w:rsid w:val="00E10675"/>
    <w:rsid w:val="00E106B6"/>
    <w:rsid w:val="00E10728"/>
    <w:rsid w:val="00E10732"/>
    <w:rsid w:val="00E1077E"/>
    <w:rsid w:val="00E107B9"/>
    <w:rsid w:val="00E10950"/>
    <w:rsid w:val="00E10A13"/>
    <w:rsid w:val="00E10A69"/>
    <w:rsid w:val="00E10BE0"/>
    <w:rsid w:val="00E10DEE"/>
    <w:rsid w:val="00E10E36"/>
    <w:rsid w:val="00E10ED7"/>
    <w:rsid w:val="00E10F52"/>
    <w:rsid w:val="00E10F5B"/>
    <w:rsid w:val="00E10F5C"/>
    <w:rsid w:val="00E1114D"/>
    <w:rsid w:val="00E111E9"/>
    <w:rsid w:val="00E11270"/>
    <w:rsid w:val="00E112E6"/>
    <w:rsid w:val="00E112F1"/>
    <w:rsid w:val="00E1133B"/>
    <w:rsid w:val="00E11407"/>
    <w:rsid w:val="00E1141F"/>
    <w:rsid w:val="00E1147F"/>
    <w:rsid w:val="00E114BB"/>
    <w:rsid w:val="00E116E5"/>
    <w:rsid w:val="00E11747"/>
    <w:rsid w:val="00E118B2"/>
    <w:rsid w:val="00E11901"/>
    <w:rsid w:val="00E1190F"/>
    <w:rsid w:val="00E1194D"/>
    <w:rsid w:val="00E119A2"/>
    <w:rsid w:val="00E11A32"/>
    <w:rsid w:val="00E11AA7"/>
    <w:rsid w:val="00E11B21"/>
    <w:rsid w:val="00E11C0A"/>
    <w:rsid w:val="00E11C49"/>
    <w:rsid w:val="00E11CCA"/>
    <w:rsid w:val="00E11D09"/>
    <w:rsid w:val="00E11D29"/>
    <w:rsid w:val="00E11E18"/>
    <w:rsid w:val="00E11F44"/>
    <w:rsid w:val="00E11F5C"/>
    <w:rsid w:val="00E11F5E"/>
    <w:rsid w:val="00E120CE"/>
    <w:rsid w:val="00E121CA"/>
    <w:rsid w:val="00E121F6"/>
    <w:rsid w:val="00E12233"/>
    <w:rsid w:val="00E122D8"/>
    <w:rsid w:val="00E12324"/>
    <w:rsid w:val="00E123D6"/>
    <w:rsid w:val="00E1249C"/>
    <w:rsid w:val="00E125D3"/>
    <w:rsid w:val="00E12718"/>
    <w:rsid w:val="00E12728"/>
    <w:rsid w:val="00E127E4"/>
    <w:rsid w:val="00E127FE"/>
    <w:rsid w:val="00E128B0"/>
    <w:rsid w:val="00E129AB"/>
    <w:rsid w:val="00E12A7E"/>
    <w:rsid w:val="00E12AD5"/>
    <w:rsid w:val="00E12C19"/>
    <w:rsid w:val="00E12C94"/>
    <w:rsid w:val="00E12D08"/>
    <w:rsid w:val="00E12D2B"/>
    <w:rsid w:val="00E12DF9"/>
    <w:rsid w:val="00E12E21"/>
    <w:rsid w:val="00E12E39"/>
    <w:rsid w:val="00E12E75"/>
    <w:rsid w:val="00E12EA8"/>
    <w:rsid w:val="00E12F15"/>
    <w:rsid w:val="00E12F98"/>
    <w:rsid w:val="00E13014"/>
    <w:rsid w:val="00E130EE"/>
    <w:rsid w:val="00E13309"/>
    <w:rsid w:val="00E13421"/>
    <w:rsid w:val="00E13445"/>
    <w:rsid w:val="00E13450"/>
    <w:rsid w:val="00E13571"/>
    <w:rsid w:val="00E135B9"/>
    <w:rsid w:val="00E136F4"/>
    <w:rsid w:val="00E13733"/>
    <w:rsid w:val="00E1377B"/>
    <w:rsid w:val="00E137A2"/>
    <w:rsid w:val="00E138CF"/>
    <w:rsid w:val="00E138EA"/>
    <w:rsid w:val="00E1397A"/>
    <w:rsid w:val="00E13A11"/>
    <w:rsid w:val="00E13A5D"/>
    <w:rsid w:val="00E13B3F"/>
    <w:rsid w:val="00E13B86"/>
    <w:rsid w:val="00E13C19"/>
    <w:rsid w:val="00E13C4C"/>
    <w:rsid w:val="00E13D3B"/>
    <w:rsid w:val="00E13D92"/>
    <w:rsid w:val="00E13E11"/>
    <w:rsid w:val="00E13E95"/>
    <w:rsid w:val="00E13EF7"/>
    <w:rsid w:val="00E13FA7"/>
    <w:rsid w:val="00E1401D"/>
    <w:rsid w:val="00E14087"/>
    <w:rsid w:val="00E14092"/>
    <w:rsid w:val="00E140C1"/>
    <w:rsid w:val="00E140EB"/>
    <w:rsid w:val="00E14170"/>
    <w:rsid w:val="00E141FC"/>
    <w:rsid w:val="00E14257"/>
    <w:rsid w:val="00E14478"/>
    <w:rsid w:val="00E14527"/>
    <w:rsid w:val="00E1459E"/>
    <w:rsid w:val="00E145DE"/>
    <w:rsid w:val="00E14602"/>
    <w:rsid w:val="00E14626"/>
    <w:rsid w:val="00E14645"/>
    <w:rsid w:val="00E14683"/>
    <w:rsid w:val="00E1470E"/>
    <w:rsid w:val="00E14725"/>
    <w:rsid w:val="00E14771"/>
    <w:rsid w:val="00E14772"/>
    <w:rsid w:val="00E14867"/>
    <w:rsid w:val="00E14868"/>
    <w:rsid w:val="00E148C1"/>
    <w:rsid w:val="00E1490E"/>
    <w:rsid w:val="00E1491B"/>
    <w:rsid w:val="00E1497D"/>
    <w:rsid w:val="00E14A26"/>
    <w:rsid w:val="00E14AB6"/>
    <w:rsid w:val="00E14B87"/>
    <w:rsid w:val="00E14BDD"/>
    <w:rsid w:val="00E14C21"/>
    <w:rsid w:val="00E14C3B"/>
    <w:rsid w:val="00E14CC9"/>
    <w:rsid w:val="00E14D31"/>
    <w:rsid w:val="00E14D72"/>
    <w:rsid w:val="00E14E00"/>
    <w:rsid w:val="00E14E3A"/>
    <w:rsid w:val="00E14E49"/>
    <w:rsid w:val="00E14E6E"/>
    <w:rsid w:val="00E14E9A"/>
    <w:rsid w:val="00E14EA6"/>
    <w:rsid w:val="00E14F7F"/>
    <w:rsid w:val="00E15008"/>
    <w:rsid w:val="00E150A1"/>
    <w:rsid w:val="00E150E8"/>
    <w:rsid w:val="00E1511F"/>
    <w:rsid w:val="00E15135"/>
    <w:rsid w:val="00E15219"/>
    <w:rsid w:val="00E15221"/>
    <w:rsid w:val="00E15234"/>
    <w:rsid w:val="00E15260"/>
    <w:rsid w:val="00E1526E"/>
    <w:rsid w:val="00E152D7"/>
    <w:rsid w:val="00E152FC"/>
    <w:rsid w:val="00E15407"/>
    <w:rsid w:val="00E15474"/>
    <w:rsid w:val="00E1548D"/>
    <w:rsid w:val="00E154FC"/>
    <w:rsid w:val="00E15581"/>
    <w:rsid w:val="00E15803"/>
    <w:rsid w:val="00E15804"/>
    <w:rsid w:val="00E158A6"/>
    <w:rsid w:val="00E158BA"/>
    <w:rsid w:val="00E158BC"/>
    <w:rsid w:val="00E159FB"/>
    <w:rsid w:val="00E15A85"/>
    <w:rsid w:val="00E15B0D"/>
    <w:rsid w:val="00E15B85"/>
    <w:rsid w:val="00E15C81"/>
    <w:rsid w:val="00E15C83"/>
    <w:rsid w:val="00E15CA0"/>
    <w:rsid w:val="00E15CE3"/>
    <w:rsid w:val="00E15D8F"/>
    <w:rsid w:val="00E15E26"/>
    <w:rsid w:val="00E15E67"/>
    <w:rsid w:val="00E15F29"/>
    <w:rsid w:val="00E16086"/>
    <w:rsid w:val="00E160C9"/>
    <w:rsid w:val="00E160D0"/>
    <w:rsid w:val="00E1614D"/>
    <w:rsid w:val="00E16154"/>
    <w:rsid w:val="00E162F7"/>
    <w:rsid w:val="00E163AB"/>
    <w:rsid w:val="00E1641B"/>
    <w:rsid w:val="00E16487"/>
    <w:rsid w:val="00E1679A"/>
    <w:rsid w:val="00E1682C"/>
    <w:rsid w:val="00E16A37"/>
    <w:rsid w:val="00E16A88"/>
    <w:rsid w:val="00E16AED"/>
    <w:rsid w:val="00E16C17"/>
    <w:rsid w:val="00E16CF5"/>
    <w:rsid w:val="00E16E92"/>
    <w:rsid w:val="00E16FF9"/>
    <w:rsid w:val="00E17021"/>
    <w:rsid w:val="00E170BD"/>
    <w:rsid w:val="00E170E0"/>
    <w:rsid w:val="00E171B6"/>
    <w:rsid w:val="00E171C5"/>
    <w:rsid w:val="00E1721E"/>
    <w:rsid w:val="00E172C6"/>
    <w:rsid w:val="00E173B4"/>
    <w:rsid w:val="00E173D5"/>
    <w:rsid w:val="00E17466"/>
    <w:rsid w:val="00E1748A"/>
    <w:rsid w:val="00E1752A"/>
    <w:rsid w:val="00E1757F"/>
    <w:rsid w:val="00E17581"/>
    <w:rsid w:val="00E17596"/>
    <w:rsid w:val="00E175E4"/>
    <w:rsid w:val="00E175FE"/>
    <w:rsid w:val="00E17610"/>
    <w:rsid w:val="00E17670"/>
    <w:rsid w:val="00E176A8"/>
    <w:rsid w:val="00E178E5"/>
    <w:rsid w:val="00E178F7"/>
    <w:rsid w:val="00E179DD"/>
    <w:rsid w:val="00E17A3C"/>
    <w:rsid w:val="00E17AF4"/>
    <w:rsid w:val="00E17AF9"/>
    <w:rsid w:val="00E17B23"/>
    <w:rsid w:val="00E17B24"/>
    <w:rsid w:val="00E17B91"/>
    <w:rsid w:val="00E17C60"/>
    <w:rsid w:val="00E17C77"/>
    <w:rsid w:val="00E17C8A"/>
    <w:rsid w:val="00E17CD8"/>
    <w:rsid w:val="00E17D31"/>
    <w:rsid w:val="00E17DA7"/>
    <w:rsid w:val="00E17E0A"/>
    <w:rsid w:val="00E17E19"/>
    <w:rsid w:val="00E17E30"/>
    <w:rsid w:val="00E17E7B"/>
    <w:rsid w:val="00E17FA1"/>
    <w:rsid w:val="00E17FAC"/>
    <w:rsid w:val="00E200AF"/>
    <w:rsid w:val="00E200BA"/>
    <w:rsid w:val="00E200E3"/>
    <w:rsid w:val="00E20127"/>
    <w:rsid w:val="00E2015B"/>
    <w:rsid w:val="00E2021E"/>
    <w:rsid w:val="00E20228"/>
    <w:rsid w:val="00E2022E"/>
    <w:rsid w:val="00E20244"/>
    <w:rsid w:val="00E203AF"/>
    <w:rsid w:val="00E204C8"/>
    <w:rsid w:val="00E204F0"/>
    <w:rsid w:val="00E20579"/>
    <w:rsid w:val="00E205BD"/>
    <w:rsid w:val="00E205C0"/>
    <w:rsid w:val="00E205C9"/>
    <w:rsid w:val="00E20620"/>
    <w:rsid w:val="00E2062B"/>
    <w:rsid w:val="00E20674"/>
    <w:rsid w:val="00E20726"/>
    <w:rsid w:val="00E20747"/>
    <w:rsid w:val="00E207A4"/>
    <w:rsid w:val="00E2087E"/>
    <w:rsid w:val="00E208E6"/>
    <w:rsid w:val="00E209AD"/>
    <w:rsid w:val="00E20A64"/>
    <w:rsid w:val="00E20CD6"/>
    <w:rsid w:val="00E20D62"/>
    <w:rsid w:val="00E20EE3"/>
    <w:rsid w:val="00E20F39"/>
    <w:rsid w:val="00E20F91"/>
    <w:rsid w:val="00E20FB9"/>
    <w:rsid w:val="00E2108C"/>
    <w:rsid w:val="00E21120"/>
    <w:rsid w:val="00E211F5"/>
    <w:rsid w:val="00E2124B"/>
    <w:rsid w:val="00E21309"/>
    <w:rsid w:val="00E2132F"/>
    <w:rsid w:val="00E21405"/>
    <w:rsid w:val="00E2142E"/>
    <w:rsid w:val="00E2145F"/>
    <w:rsid w:val="00E2151B"/>
    <w:rsid w:val="00E215E3"/>
    <w:rsid w:val="00E215EB"/>
    <w:rsid w:val="00E21605"/>
    <w:rsid w:val="00E216B6"/>
    <w:rsid w:val="00E21754"/>
    <w:rsid w:val="00E21910"/>
    <w:rsid w:val="00E21AEE"/>
    <w:rsid w:val="00E21BFD"/>
    <w:rsid w:val="00E21C1A"/>
    <w:rsid w:val="00E21CD0"/>
    <w:rsid w:val="00E21D6D"/>
    <w:rsid w:val="00E21EF7"/>
    <w:rsid w:val="00E21F3B"/>
    <w:rsid w:val="00E21FCF"/>
    <w:rsid w:val="00E2202A"/>
    <w:rsid w:val="00E22035"/>
    <w:rsid w:val="00E22106"/>
    <w:rsid w:val="00E2214F"/>
    <w:rsid w:val="00E221AD"/>
    <w:rsid w:val="00E2225A"/>
    <w:rsid w:val="00E2227F"/>
    <w:rsid w:val="00E22308"/>
    <w:rsid w:val="00E22361"/>
    <w:rsid w:val="00E223D8"/>
    <w:rsid w:val="00E223FD"/>
    <w:rsid w:val="00E22487"/>
    <w:rsid w:val="00E225B4"/>
    <w:rsid w:val="00E225DD"/>
    <w:rsid w:val="00E2266E"/>
    <w:rsid w:val="00E22689"/>
    <w:rsid w:val="00E22796"/>
    <w:rsid w:val="00E227C4"/>
    <w:rsid w:val="00E227FE"/>
    <w:rsid w:val="00E22983"/>
    <w:rsid w:val="00E22A0F"/>
    <w:rsid w:val="00E22A53"/>
    <w:rsid w:val="00E22B32"/>
    <w:rsid w:val="00E22CC2"/>
    <w:rsid w:val="00E22D8E"/>
    <w:rsid w:val="00E22E36"/>
    <w:rsid w:val="00E22EC8"/>
    <w:rsid w:val="00E22F51"/>
    <w:rsid w:val="00E22F57"/>
    <w:rsid w:val="00E22F5A"/>
    <w:rsid w:val="00E22F83"/>
    <w:rsid w:val="00E22FB2"/>
    <w:rsid w:val="00E23004"/>
    <w:rsid w:val="00E23030"/>
    <w:rsid w:val="00E2309D"/>
    <w:rsid w:val="00E230AC"/>
    <w:rsid w:val="00E230DB"/>
    <w:rsid w:val="00E23109"/>
    <w:rsid w:val="00E2319A"/>
    <w:rsid w:val="00E23382"/>
    <w:rsid w:val="00E23407"/>
    <w:rsid w:val="00E23453"/>
    <w:rsid w:val="00E234AA"/>
    <w:rsid w:val="00E23531"/>
    <w:rsid w:val="00E23646"/>
    <w:rsid w:val="00E2367E"/>
    <w:rsid w:val="00E23697"/>
    <w:rsid w:val="00E23747"/>
    <w:rsid w:val="00E237A1"/>
    <w:rsid w:val="00E237CD"/>
    <w:rsid w:val="00E23846"/>
    <w:rsid w:val="00E238C4"/>
    <w:rsid w:val="00E23909"/>
    <w:rsid w:val="00E23AE1"/>
    <w:rsid w:val="00E23B43"/>
    <w:rsid w:val="00E23BFE"/>
    <w:rsid w:val="00E23C18"/>
    <w:rsid w:val="00E23C2A"/>
    <w:rsid w:val="00E23E20"/>
    <w:rsid w:val="00E24054"/>
    <w:rsid w:val="00E24069"/>
    <w:rsid w:val="00E240B0"/>
    <w:rsid w:val="00E24123"/>
    <w:rsid w:val="00E24193"/>
    <w:rsid w:val="00E24311"/>
    <w:rsid w:val="00E2438D"/>
    <w:rsid w:val="00E24460"/>
    <w:rsid w:val="00E245A7"/>
    <w:rsid w:val="00E2466F"/>
    <w:rsid w:val="00E24688"/>
    <w:rsid w:val="00E2479E"/>
    <w:rsid w:val="00E247C1"/>
    <w:rsid w:val="00E2485B"/>
    <w:rsid w:val="00E24898"/>
    <w:rsid w:val="00E24901"/>
    <w:rsid w:val="00E24966"/>
    <w:rsid w:val="00E2498E"/>
    <w:rsid w:val="00E249A7"/>
    <w:rsid w:val="00E24B32"/>
    <w:rsid w:val="00E24B89"/>
    <w:rsid w:val="00E24BD8"/>
    <w:rsid w:val="00E24C97"/>
    <w:rsid w:val="00E24D08"/>
    <w:rsid w:val="00E24D1A"/>
    <w:rsid w:val="00E24D23"/>
    <w:rsid w:val="00E24D36"/>
    <w:rsid w:val="00E24E8F"/>
    <w:rsid w:val="00E24E93"/>
    <w:rsid w:val="00E24F25"/>
    <w:rsid w:val="00E2500C"/>
    <w:rsid w:val="00E250FC"/>
    <w:rsid w:val="00E25136"/>
    <w:rsid w:val="00E2515D"/>
    <w:rsid w:val="00E251A1"/>
    <w:rsid w:val="00E252BF"/>
    <w:rsid w:val="00E2539B"/>
    <w:rsid w:val="00E253BC"/>
    <w:rsid w:val="00E253CD"/>
    <w:rsid w:val="00E2553D"/>
    <w:rsid w:val="00E25659"/>
    <w:rsid w:val="00E25761"/>
    <w:rsid w:val="00E257E3"/>
    <w:rsid w:val="00E2599F"/>
    <w:rsid w:val="00E259EE"/>
    <w:rsid w:val="00E25B98"/>
    <w:rsid w:val="00E25C72"/>
    <w:rsid w:val="00E25CD5"/>
    <w:rsid w:val="00E25E40"/>
    <w:rsid w:val="00E25E7F"/>
    <w:rsid w:val="00E25F4B"/>
    <w:rsid w:val="00E25F7C"/>
    <w:rsid w:val="00E2608B"/>
    <w:rsid w:val="00E26191"/>
    <w:rsid w:val="00E261DE"/>
    <w:rsid w:val="00E261FC"/>
    <w:rsid w:val="00E2628E"/>
    <w:rsid w:val="00E262A1"/>
    <w:rsid w:val="00E262A7"/>
    <w:rsid w:val="00E262B9"/>
    <w:rsid w:val="00E262FC"/>
    <w:rsid w:val="00E2630C"/>
    <w:rsid w:val="00E26348"/>
    <w:rsid w:val="00E263E4"/>
    <w:rsid w:val="00E2649E"/>
    <w:rsid w:val="00E2651E"/>
    <w:rsid w:val="00E265D1"/>
    <w:rsid w:val="00E266B2"/>
    <w:rsid w:val="00E266D7"/>
    <w:rsid w:val="00E26731"/>
    <w:rsid w:val="00E26754"/>
    <w:rsid w:val="00E267B5"/>
    <w:rsid w:val="00E267B6"/>
    <w:rsid w:val="00E268CB"/>
    <w:rsid w:val="00E268E9"/>
    <w:rsid w:val="00E26907"/>
    <w:rsid w:val="00E26A05"/>
    <w:rsid w:val="00E26A19"/>
    <w:rsid w:val="00E26BA8"/>
    <w:rsid w:val="00E26C64"/>
    <w:rsid w:val="00E26C87"/>
    <w:rsid w:val="00E26CD6"/>
    <w:rsid w:val="00E26D0A"/>
    <w:rsid w:val="00E26D93"/>
    <w:rsid w:val="00E26E46"/>
    <w:rsid w:val="00E26F02"/>
    <w:rsid w:val="00E26F2E"/>
    <w:rsid w:val="00E26F7D"/>
    <w:rsid w:val="00E26FCC"/>
    <w:rsid w:val="00E27195"/>
    <w:rsid w:val="00E27247"/>
    <w:rsid w:val="00E27250"/>
    <w:rsid w:val="00E27455"/>
    <w:rsid w:val="00E2745F"/>
    <w:rsid w:val="00E27476"/>
    <w:rsid w:val="00E274C7"/>
    <w:rsid w:val="00E2758B"/>
    <w:rsid w:val="00E27596"/>
    <w:rsid w:val="00E275D7"/>
    <w:rsid w:val="00E27716"/>
    <w:rsid w:val="00E2777F"/>
    <w:rsid w:val="00E2782F"/>
    <w:rsid w:val="00E27893"/>
    <w:rsid w:val="00E278B1"/>
    <w:rsid w:val="00E278C7"/>
    <w:rsid w:val="00E27918"/>
    <w:rsid w:val="00E27978"/>
    <w:rsid w:val="00E279E1"/>
    <w:rsid w:val="00E27A58"/>
    <w:rsid w:val="00E27A79"/>
    <w:rsid w:val="00E27AAD"/>
    <w:rsid w:val="00E27B0B"/>
    <w:rsid w:val="00E27B22"/>
    <w:rsid w:val="00E27BB7"/>
    <w:rsid w:val="00E27C9C"/>
    <w:rsid w:val="00E27D1B"/>
    <w:rsid w:val="00E27D9C"/>
    <w:rsid w:val="00E27E50"/>
    <w:rsid w:val="00E27E5C"/>
    <w:rsid w:val="00E27E89"/>
    <w:rsid w:val="00E27F71"/>
    <w:rsid w:val="00E27FC6"/>
    <w:rsid w:val="00E300BD"/>
    <w:rsid w:val="00E30124"/>
    <w:rsid w:val="00E3018D"/>
    <w:rsid w:val="00E301A4"/>
    <w:rsid w:val="00E302FC"/>
    <w:rsid w:val="00E3034F"/>
    <w:rsid w:val="00E30366"/>
    <w:rsid w:val="00E3036B"/>
    <w:rsid w:val="00E3054A"/>
    <w:rsid w:val="00E305BF"/>
    <w:rsid w:val="00E3067C"/>
    <w:rsid w:val="00E306AD"/>
    <w:rsid w:val="00E306F4"/>
    <w:rsid w:val="00E3087D"/>
    <w:rsid w:val="00E30892"/>
    <w:rsid w:val="00E308CB"/>
    <w:rsid w:val="00E3091A"/>
    <w:rsid w:val="00E3097B"/>
    <w:rsid w:val="00E309E2"/>
    <w:rsid w:val="00E30AE7"/>
    <w:rsid w:val="00E30B47"/>
    <w:rsid w:val="00E30B68"/>
    <w:rsid w:val="00E30B89"/>
    <w:rsid w:val="00E30BB2"/>
    <w:rsid w:val="00E30BE0"/>
    <w:rsid w:val="00E30CAB"/>
    <w:rsid w:val="00E30CC6"/>
    <w:rsid w:val="00E30E52"/>
    <w:rsid w:val="00E30FAC"/>
    <w:rsid w:val="00E31002"/>
    <w:rsid w:val="00E31071"/>
    <w:rsid w:val="00E310B3"/>
    <w:rsid w:val="00E311AD"/>
    <w:rsid w:val="00E312C8"/>
    <w:rsid w:val="00E31321"/>
    <w:rsid w:val="00E3134E"/>
    <w:rsid w:val="00E31366"/>
    <w:rsid w:val="00E31408"/>
    <w:rsid w:val="00E314CD"/>
    <w:rsid w:val="00E31507"/>
    <w:rsid w:val="00E316E8"/>
    <w:rsid w:val="00E3170D"/>
    <w:rsid w:val="00E3174F"/>
    <w:rsid w:val="00E31759"/>
    <w:rsid w:val="00E31769"/>
    <w:rsid w:val="00E317A2"/>
    <w:rsid w:val="00E317CB"/>
    <w:rsid w:val="00E3186B"/>
    <w:rsid w:val="00E31873"/>
    <w:rsid w:val="00E31AC8"/>
    <w:rsid w:val="00E31C9E"/>
    <w:rsid w:val="00E31D33"/>
    <w:rsid w:val="00E31E19"/>
    <w:rsid w:val="00E31EE8"/>
    <w:rsid w:val="00E31F8C"/>
    <w:rsid w:val="00E32016"/>
    <w:rsid w:val="00E3201C"/>
    <w:rsid w:val="00E32025"/>
    <w:rsid w:val="00E3214C"/>
    <w:rsid w:val="00E32197"/>
    <w:rsid w:val="00E321C2"/>
    <w:rsid w:val="00E322BA"/>
    <w:rsid w:val="00E322CB"/>
    <w:rsid w:val="00E32303"/>
    <w:rsid w:val="00E32316"/>
    <w:rsid w:val="00E323CF"/>
    <w:rsid w:val="00E323D0"/>
    <w:rsid w:val="00E323FC"/>
    <w:rsid w:val="00E3243F"/>
    <w:rsid w:val="00E324AC"/>
    <w:rsid w:val="00E324D4"/>
    <w:rsid w:val="00E32521"/>
    <w:rsid w:val="00E32539"/>
    <w:rsid w:val="00E32562"/>
    <w:rsid w:val="00E32687"/>
    <w:rsid w:val="00E326D1"/>
    <w:rsid w:val="00E32751"/>
    <w:rsid w:val="00E32759"/>
    <w:rsid w:val="00E328FF"/>
    <w:rsid w:val="00E3296F"/>
    <w:rsid w:val="00E3297E"/>
    <w:rsid w:val="00E32AC8"/>
    <w:rsid w:val="00E32CE0"/>
    <w:rsid w:val="00E32D5D"/>
    <w:rsid w:val="00E32E5D"/>
    <w:rsid w:val="00E32EEE"/>
    <w:rsid w:val="00E330AB"/>
    <w:rsid w:val="00E33103"/>
    <w:rsid w:val="00E3312E"/>
    <w:rsid w:val="00E331C8"/>
    <w:rsid w:val="00E33230"/>
    <w:rsid w:val="00E3333E"/>
    <w:rsid w:val="00E33349"/>
    <w:rsid w:val="00E33354"/>
    <w:rsid w:val="00E3336A"/>
    <w:rsid w:val="00E333C4"/>
    <w:rsid w:val="00E333D9"/>
    <w:rsid w:val="00E3349B"/>
    <w:rsid w:val="00E334F5"/>
    <w:rsid w:val="00E33644"/>
    <w:rsid w:val="00E33681"/>
    <w:rsid w:val="00E33691"/>
    <w:rsid w:val="00E33787"/>
    <w:rsid w:val="00E33797"/>
    <w:rsid w:val="00E337C8"/>
    <w:rsid w:val="00E33848"/>
    <w:rsid w:val="00E338D6"/>
    <w:rsid w:val="00E33988"/>
    <w:rsid w:val="00E339C3"/>
    <w:rsid w:val="00E339CC"/>
    <w:rsid w:val="00E33A1B"/>
    <w:rsid w:val="00E33A28"/>
    <w:rsid w:val="00E33B1D"/>
    <w:rsid w:val="00E33B7E"/>
    <w:rsid w:val="00E33B8D"/>
    <w:rsid w:val="00E33C4C"/>
    <w:rsid w:val="00E33D64"/>
    <w:rsid w:val="00E33E65"/>
    <w:rsid w:val="00E33EBA"/>
    <w:rsid w:val="00E33EE4"/>
    <w:rsid w:val="00E33F1F"/>
    <w:rsid w:val="00E33FB6"/>
    <w:rsid w:val="00E33FC6"/>
    <w:rsid w:val="00E34184"/>
    <w:rsid w:val="00E34191"/>
    <w:rsid w:val="00E341B1"/>
    <w:rsid w:val="00E341C1"/>
    <w:rsid w:val="00E341C9"/>
    <w:rsid w:val="00E341EC"/>
    <w:rsid w:val="00E34205"/>
    <w:rsid w:val="00E34229"/>
    <w:rsid w:val="00E34285"/>
    <w:rsid w:val="00E342A9"/>
    <w:rsid w:val="00E3434B"/>
    <w:rsid w:val="00E34389"/>
    <w:rsid w:val="00E343F4"/>
    <w:rsid w:val="00E34460"/>
    <w:rsid w:val="00E34494"/>
    <w:rsid w:val="00E34640"/>
    <w:rsid w:val="00E346CB"/>
    <w:rsid w:val="00E34703"/>
    <w:rsid w:val="00E34761"/>
    <w:rsid w:val="00E34895"/>
    <w:rsid w:val="00E34896"/>
    <w:rsid w:val="00E34938"/>
    <w:rsid w:val="00E34960"/>
    <w:rsid w:val="00E34963"/>
    <w:rsid w:val="00E34A20"/>
    <w:rsid w:val="00E34AA2"/>
    <w:rsid w:val="00E34B86"/>
    <w:rsid w:val="00E34BEA"/>
    <w:rsid w:val="00E34C34"/>
    <w:rsid w:val="00E34D34"/>
    <w:rsid w:val="00E34D6E"/>
    <w:rsid w:val="00E34DC4"/>
    <w:rsid w:val="00E34E93"/>
    <w:rsid w:val="00E34F22"/>
    <w:rsid w:val="00E34F6E"/>
    <w:rsid w:val="00E34F96"/>
    <w:rsid w:val="00E350C4"/>
    <w:rsid w:val="00E3514B"/>
    <w:rsid w:val="00E351BB"/>
    <w:rsid w:val="00E35299"/>
    <w:rsid w:val="00E352A5"/>
    <w:rsid w:val="00E352C2"/>
    <w:rsid w:val="00E352F0"/>
    <w:rsid w:val="00E35406"/>
    <w:rsid w:val="00E3540B"/>
    <w:rsid w:val="00E355D4"/>
    <w:rsid w:val="00E355D6"/>
    <w:rsid w:val="00E3563F"/>
    <w:rsid w:val="00E35643"/>
    <w:rsid w:val="00E356F1"/>
    <w:rsid w:val="00E3589B"/>
    <w:rsid w:val="00E358C3"/>
    <w:rsid w:val="00E359E7"/>
    <w:rsid w:val="00E35A00"/>
    <w:rsid w:val="00E35A20"/>
    <w:rsid w:val="00E35A51"/>
    <w:rsid w:val="00E35ABF"/>
    <w:rsid w:val="00E35B00"/>
    <w:rsid w:val="00E35C2A"/>
    <w:rsid w:val="00E35CFD"/>
    <w:rsid w:val="00E35DF7"/>
    <w:rsid w:val="00E35E7F"/>
    <w:rsid w:val="00E35E82"/>
    <w:rsid w:val="00E35E88"/>
    <w:rsid w:val="00E35F10"/>
    <w:rsid w:val="00E361D6"/>
    <w:rsid w:val="00E361E8"/>
    <w:rsid w:val="00E3649B"/>
    <w:rsid w:val="00E364F8"/>
    <w:rsid w:val="00E367AD"/>
    <w:rsid w:val="00E367B4"/>
    <w:rsid w:val="00E367DD"/>
    <w:rsid w:val="00E36872"/>
    <w:rsid w:val="00E369D8"/>
    <w:rsid w:val="00E36A06"/>
    <w:rsid w:val="00E36A4D"/>
    <w:rsid w:val="00E36AB2"/>
    <w:rsid w:val="00E36ADA"/>
    <w:rsid w:val="00E36B87"/>
    <w:rsid w:val="00E36B8F"/>
    <w:rsid w:val="00E36C3F"/>
    <w:rsid w:val="00E36C8A"/>
    <w:rsid w:val="00E36D53"/>
    <w:rsid w:val="00E36DB7"/>
    <w:rsid w:val="00E36E3C"/>
    <w:rsid w:val="00E36F40"/>
    <w:rsid w:val="00E36F48"/>
    <w:rsid w:val="00E36F7E"/>
    <w:rsid w:val="00E3707B"/>
    <w:rsid w:val="00E371D1"/>
    <w:rsid w:val="00E371DC"/>
    <w:rsid w:val="00E3730D"/>
    <w:rsid w:val="00E3733E"/>
    <w:rsid w:val="00E3736A"/>
    <w:rsid w:val="00E37397"/>
    <w:rsid w:val="00E379DF"/>
    <w:rsid w:val="00E37B82"/>
    <w:rsid w:val="00E37BF9"/>
    <w:rsid w:val="00E37C54"/>
    <w:rsid w:val="00E37CAC"/>
    <w:rsid w:val="00E37DE1"/>
    <w:rsid w:val="00E37E7D"/>
    <w:rsid w:val="00E37E97"/>
    <w:rsid w:val="00E37EE5"/>
    <w:rsid w:val="00E37F02"/>
    <w:rsid w:val="00E40049"/>
    <w:rsid w:val="00E4026B"/>
    <w:rsid w:val="00E402B2"/>
    <w:rsid w:val="00E4037F"/>
    <w:rsid w:val="00E403E0"/>
    <w:rsid w:val="00E404AE"/>
    <w:rsid w:val="00E404DD"/>
    <w:rsid w:val="00E4054B"/>
    <w:rsid w:val="00E40551"/>
    <w:rsid w:val="00E40584"/>
    <w:rsid w:val="00E4058A"/>
    <w:rsid w:val="00E40890"/>
    <w:rsid w:val="00E408DB"/>
    <w:rsid w:val="00E40920"/>
    <w:rsid w:val="00E409B5"/>
    <w:rsid w:val="00E40B4B"/>
    <w:rsid w:val="00E40B62"/>
    <w:rsid w:val="00E40B6B"/>
    <w:rsid w:val="00E40BC9"/>
    <w:rsid w:val="00E40D68"/>
    <w:rsid w:val="00E40DFD"/>
    <w:rsid w:val="00E40F4D"/>
    <w:rsid w:val="00E40FBF"/>
    <w:rsid w:val="00E41037"/>
    <w:rsid w:val="00E410D5"/>
    <w:rsid w:val="00E410DC"/>
    <w:rsid w:val="00E410F2"/>
    <w:rsid w:val="00E4110F"/>
    <w:rsid w:val="00E41389"/>
    <w:rsid w:val="00E413BD"/>
    <w:rsid w:val="00E413FC"/>
    <w:rsid w:val="00E41412"/>
    <w:rsid w:val="00E41416"/>
    <w:rsid w:val="00E414AD"/>
    <w:rsid w:val="00E414CD"/>
    <w:rsid w:val="00E41561"/>
    <w:rsid w:val="00E41566"/>
    <w:rsid w:val="00E415C4"/>
    <w:rsid w:val="00E415E4"/>
    <w:rsid w:val="00E417FE"/>
    <w:rsid w:val="00E41903"/>
    <w:rsid w:val="00E41948"/>
    <w:rsid w:val="00E419C4"/>
    <w:rsid w:val="00E41A3F"/>
    <w:rsid w:val="00E41AAA"/>
    <w:rsid w:val="00E41ABA"/>
    <w:rsid w:val="00E41B0B"/>
    <w:rsid w:val="00E41B5B"/>
    <w:rsid w:val="00E41C6E"/>
    <w:rsid w:val="00E41D05"/>
    <w:rsid w:val="00E41D13"/>
    <w:rsid w:val="00E41D8E"/>
    <w:rsid w:val="00E41E3D"/>
    <w:rsid w:val="00E41E55"/>
    <w:rsid w:val="00E42276"/>
    <w:rsid w:val="00E423EF"/>
    <w:rsid w:val="00E4259C"/>
    <w:rsid w:val="00E425B9"/>
    <w:rsid w:val="00E425FD"/>
    <w:rsid w:val="00E42629"/>
    <w:rsid w:val="00E426DE"/>
    <w:rsid w:val="00E427A4"/>
    <w:rsid w:val="00E42A81"/>
    <w:rsid w:val="00E42AF6"/>
    <w:rsid w:val="00E42B35"/>
    <w:rsid w:val="00E42B8B"/>
    <w:rsid w:val="00E42BDB"/>
    <w:rsid w:val="00E42BEF"/>
    <w:rsid w:val="00E42BFC"/>
    <w:rsid w:val="00E42C34"/>
    <w:rsid w:val="00E42D15"/>
    <w:rsid w:val="00E42D67"/>
    <w:rsid w:val="00E42FC9"/>
    <w:rsid w:val="00E42FE3"/>
    <w:rsid w:val="00E4304B"/>
    <w:rsid w:val="00E43106"/>
    <w:rsid w:val="00E4310F"/>
    <w:rsid w:val="00E4311F"/>
    <w:rsid w:val="00E4312C"/>
    <w:rsid w:val="00E4313E"/>
    <w:rsid w:val="00E431CF"/>
    <w:rsid w:val="00E43389"/>
    <w:rsid w:val="00E433C9"/>
    <w:rsid w:val="00E433E5"/>
    <w:rsid w:val="00E43718"/>
    <w:rsid w:val="00E4376C"/>
    <w:rsid w:val="00E43782"/>
    <w:rsid w:val="00E43794"/>
    <w:rsid w:val="00E4381E"/>
    <w:rsid w:val="00E4384E"/>
    <w:rsid w:val="00E43873"/>
    <w:rsid w:val="00E4390A"/>
    <w:rsid w:val="00E4395A"/>
    <w:rsid w:val="00E43ABC"/>
    <w:rsid w:val="00E43B72"/>
    <w:rsid w:val="00E43BBD"/>
    <w:rsid w:val="00E43C0C"/>
    <w:rsid w:val="00E43C61"/>
    <w:rsid w:val="00E43CC4"/>
    <w:rsid w:val="00E43D55"/>
    <w:rsid w:val="00E43DA6"/>
    <w:rsid w:val="00E43DBC"/>
    <w:rsid w:val="00E43DC8"/>
    <w:rsid w:val="00E43DD4"/>
    <w:rsid w:val="00E43E41"/>
    <w:rsid w:val="00E43E58"/>
    <w:rsid w:val="00E43E61"/>
    <w:rsid w:val="00E43EF2"/>
    <w:rsid w:val="00E43F8C"/>
    <w:rsid w:val="00E43F9B"/>
    <w:rsid w:val="00E43FAE"/>
    <w:rsid w:val="00E440BE"/>
    <w:rsid w:val="00E440C5"/>
    <w:rsid w:val="00E4413A"/>
    <w:rsid w:val="00E4418C"/>
    <w:rsid w:val="00E4423A"/>
    <w:rsid w:val="00E4429F"/>
    <w:rsid w:val="00E443B1"/>
    <w:rsid w:val="00E443B6"/>
    <w:rsid w:val="00E443D6"/>
    <w:rsid w:val="00E44400"/>
    <w:rsid w:val="00E4446E"/>
    <w:rsid w:val="00E4448C"/>
    <w:rsid w:val="00E4449E"/>
    <w:rsid w:val="00E444B7"/>
    <w:rsid w:val="00E444D8"/>
    <w:rsid w:val="00E44601"/>
    <w:rsid w:val="00E44655"/>
    <w:rsid w:val="00E4467A"/>
    <w:rsid w:val="00E4473E"/>
    <w:rsid w:val="00E447AA"/>
    <w:rsid w:val="00E448A1"/>
    <w:rsid w:val="00E44B12"/>
    <w:rsid w:val="00E44B1B"/>
    <w:rsid w:val="00E44B4C"/>
    <w:rsid w:val="00E4512E"/>
    <w:rsid w:val="00E451D3"/>
    <w:rsid w:val="00E45245"/>
    <w:rsid w:val="00E45248"/>
    <w:rsid w:val="00E452A5"/>
    <w:rsid w:val="00E452C0"/>
    <w:rsid w:val="00E45302"/>
    <w:rsid w:val="00E45373"/>
    <w:rsid w:val="00E45442"/>
    <w:rsid w:val="00E4551F"/>
    <w:rsid w:val="00E45554"/>
    <w:rsid w:val="00E457B0"/>
    <w:rsid w:val="00E457B3"/>
    <w:rsid w:val="00E457DB"/>
    <w:rsid w:val="00E45836"/>
    <w:rsid w:val="00E4589E"/>
    <w:rsid w:val="00E458C9"/>
    <w:rsid w:val="00E45919"/>
    <w:rsid w:val="00E45981"/>
    <w:rsid w:val="00E45B1A"/>
    <w:rsid w:val="00E45B45"/>
    <w:rsid w:val="00E45B8C"/>
    <w:rsid w:val="00E45BC7"/>
    <w:rsid w:val="00E45D84"/>
    <w:rsid w:val="00E45E44"/>
    <w:rsid w:val="00E45F18"/>
    <w:rsid w:val="00E45F2A"/>
    <w:rsid w:val="00E45F6A"/>
    <w:rsid w:val="00E45FB9"/>
    <w:rsid w:val="00E460B9"/>
    <w:rsid w:val="00E46191"/>
    <w:rsid w:val="00E46239"/>
    <w:rsid w:val="00E4629F"/>
    <w:rsid w:val="00E4630F"/>
    <w:rsid w:val="00E464CC"/>
    <w:rsid w:val="00E464D5"/>
    <w:rsid w:val="00E46512"/>
    <w:rsid w:val="00E46601"/>
    <w:rsid w:val="00E466F7"/>
    <w:rsid w:val="00E467FB"/>
    <w:rsid w:val="00E46812"/>
    <w:rsid w:val="00E4698F"/>
    <w:rsid w:val="00E46A7F"/>
    <w:rsid w:val="00E46BF9"/>
    <w:rsid w:val="00E46C11"/>
    <w:rsid w:val="00E46CAB"/>
    <w:rsid w:val="00E46CAE"/>
    <w:rsid w:val="00E46D1E"/>
    <w:rsid w:val="00E46D72"/>
    <w:rsid w:val="00E46DA9"/>
    <w:rsid w:val="00E46EDA"/>
    <w:rsid w:val="00E46F54"/>
    <w:rsid w:val="00E46FC1"/>
    <w:rsid w:val="00E46FDA"/>
    <w:rsid w:val="00E46FDE"/>
    <w:rsid w:val="00E4704A"/>
    <w:rsid w:val="00E470DD"/>
    <w:rsid w:val="00E4712D"/>
    <w:rsid w:val="00E47259"/>
    <w:rsid w:val="00E473E6"/>
    <w:rsid w:val="00E4748A"/>
    <w:rsid w:val="00E474AC"/>
    <w:rsid w:val="00E4750C"/>
    <w:rsid w:val="00E47576"/>
    <w:rsid w:val="00E47581"/>
    <w:rsid w:val="00E47697"/>
    <w:rsid w:val="00E476C3"/>
    <w:rsid w:val="00E476D7"/>
    <w:rsid w:val="00E4775E"/>
    <w:rsid w:val="00E47768"/>
    <w:rsid w:val="00E47836"/>
    <w:rsid w:val="00E47913"/>
    <w:rsid w:val="00E479C6"/>
    <w:rsid w:val="00E479E5"/>
    <w:rsid w:val="00E479FE"/>
    <w:rsid w:val="00E47A7E"/>
    <w:rsid w:val="00E47B3F"/>
    <w:rsid w:val="00E47B7A"/>
    <w:rsid w:val="00E47BBE"/>
    <w:rsid w:val="00E47BCA"/>
    <w:rsid w:val="00E47C50"/>
    <w:rsid w:val="00E47E2D"/>
    <w:rsid w:val="00E47E32"/>
    <w:rsid w:val="00E47E42"/>
    <w:rsid w:val="00E47EA0"/>
    <w:rsid w:val="00E47EFC"/>
    <w:rsid w:val="00E47F2B"/>
    <w:rsid w:val="00E47F44"/>
    <w:rsid w:val="00E47FAC"/>
    <w:rsid w:val="00E500E8"/>
    <w:rsid w:val="00E50213"/>
    <w:rsid w:val="00E50289"/>
    <w:rsid w:val="00E5030B"/>
    <w:rsid w:val="00E5031C"/>
    <w:rsid w:val="00E50381"/>
    <w:rsid w:val="00E5038A"/>
    <w:rsid w:val="00E50420"/>
    <w:rsid w:val="00E504A3"/>
    <w:rsid w:val="00E504D3"/>
    <w:rsid w:val="00E5052E"/>
    <w:rsid w:val="00E5060C"/>
    <w:rsid w:val="00E506F5"/>
    <w:rsid w:val="00E5073A"/>
    <w:rsid w:val="00E5087C"/>
    <w:rsid w:val="00E50883"/>
    <w:rsid w:val="00E50A5A"/>
    <w:rsid w:val="00E50A7A"/>
    <w:rsid w:val="00E50AF0"/>
    <w:rsid w:val="00E50B3A"/>
    <w:rsid w:val="00E50B3F"/>
    <w:rsid w:val="00E50BCD"/>
    <w:rsid w:val="00E50CC9"/>
    <w:rsid w:val="00E50D0E"/>
    <w:rsid w:val="00E50D1D"/>
    <w:rsid w:val="00E50D86"/>
    <w:rsid w:val="00E50DB4"/>
    <w:rsid w:val="00E50E60"/>
    <w:rsid w:val="00E50F3B"/>
    <w:rsid w:val="00E50F51"/>
    <w:rsid w:val="00E50F6E"/>
    <w:rsid w:val="00E512C0"/>
    <w:rsid w:val="00E51441"/>
    <w:rsid w:val="00E515BE"/>
    <w:rsid w:val="00E51610"/>
    <w:rsid w:val="00E5166A"/>
    <w:rsid w:val="00E51881"/>
    <w:rsid w:val="00E518D2"/>
    <w:rsid w:val="00E51A5A"/>
    <w:rsid w:val="00E51A5D"/>
    <w:rsid w:val="00E51AA0"/>
    <w:rsid w:val="00E51C10"/>
    <w:rsid w:val="00E51C8E"/>
    <w:rsid w:val="00E51C9D"/>
    <w:rsid w:val="00E51CA0"/>
    <w:rsid w:val="00E51D14"/>
    <w:rsid w:val="00E51D1B"/>
    <w:rsid w:val="00E51E06"/>
    <w:rsid w:val="00E51EBD"/>
    <w:rsid w:val="00E51F45"/>
    <w:rsid w:val="00E51FFF"/>
    <w:rsid w:val="00E52030"/>
    <w:rsid w:val="00E5203E"/>
    <w:rsid w:val="00E520F2"/>
    <w:rsid w:val="00E52251"/>
    <w:rsid w:val="00E5225F"/>
    <w:rsid w:val="00E522D0"/>
    <w:rsid w:val="00E52314"/>
    <w:rsid w:val="00E5239B"/>
    <w:rsid w:val="00E523B7"/>
    <w:rsid w:val="00E523FB"/>
    <w:rsid w:val="00E52523"/>
    <w:rsid w:val="00E525E0"/>
    <w:rsid w:val="00E52664"/>
    <w:rsid w:val="00E52703"/>
    <w:rsid w:val="00E52704"/>
    <w:rsid w:val="00E528CE"/>
    <w:rsid w:val="00E529B2"/>
    <w:rsid w:val="00E52B2B"/>
    <w:rsid w:val="00E52B44"/>
    <w:rsid w:val="00E52B50"/>
    <w:rsid w:val="00E52BA2"/>
    <w:rsid w:val="00E52BC3"/>
    <w:rsid w:val="00E52C4E"/>
    <w:rsid w:val="00E52C8A"/>
    <w:rsid w:val="00E52CCD"/>
    <w:rsid w:val="00E52D86"/>
    <w:rsid w:val="00E52DCD"/>
    <w:rsid w:val="00E52DE1"/>
    <w:rsid w:val="00E52DE7"/>
    <w:rsid w:val="00E52EE4"/>
    <w:rsid w:val="00E52EFE"/>
    <w:rsid w:val="00E5308A"/>
    <w:rsid w:val="00E53140"/>
    <w:rsid w:val="00E531D6"/>
    <w:rsid w:val="00E53249"/>
    <w:rsid w:val="00E53357"/>
    <w:rsid w:val="00E5339C"/>
    <w:rsid w:val="00E533A9"/>
    <w:rsid w:val="00E53473"/>
    <w:rsid w:val="00E534A0"/>
    <w:rsid w:val="00E534B9"/>
    <w:rsid w:val="00E535F0"/>
    <w:rsid w:val="00E53641"/>
    <w:rsid w:val="00E5367C"/>
    <w:rsid w:val="00E53680"/>
    <w:rsid w:val="00E536D8"/>
    <w:rsid w:val="00E53925"/>
    <w:rsid w:val="00E53972"/>
    <w:rsid w:val="00E53985"/>
    <w:rsid w:val="00E539D4"/>
    <w:rsid w:val="00E539EC"/>
    <w:rsid w:val="00E53A4C"/>
    <w:rsid w:val="00E53BDB"/>
    <w:rsid w:val="00E53C3B"/>
    <w:rsid w:val="00E53D0C"/>
    <w:rsid w:val="00E53D49"/>
    <w:rsid w:val="00E53D62"/>
    <w:rsid w:val="00E53DD5"/>
    <w:rsid w:val="00E53E2B"/>
    <w:rsid w:val="00E53EC3"/>
    <w:rsid w:val="00E53ED2"/>
    <w:rsid w:val="00E53FFA"/>
    <w:rsid w:val="00E5405A"/>
    <w:rsid w:val="00E54124"/>
    <w:rsid w:val="00E54165"/>
    <w:rsid w:val="00E54196"/>
    <w:rsid w:val="00E5419B"/>
    <w:rsid w:val="00E541D4"/>
    <w:rsid w:val="00E5423F"/>
    <w:rsid w:val="00E5427E"/>
    <w:rsid w:val="00E543A8"/>
    <w:rsid w:val="00E54436"/>
    <w:rsid w:val="00E54496"/>
    <w:rsid w:val="00E545D2"/>
    <w:rsid w:val="00E54621"/>
    <w:rsid w:val="00E5465D"/>
    <w:rsid w:val="00E54687"/>
    <w:rsid w:val="00E5477F"/>
    <w:rsid w:val="00E549AA"/>
    <w:rsid w:val="00E54A27"/>
    <w:rsid w:val="00E54B59"/>
    <w:rsid w:val="00E54B62"/>
    <w:rsid w:val="00E54C95"/>
    <w:rsid w:val="00E54E97"/>
    <w:rsid w:val="00E54EF3"/>
    <w:rsid w:val="00E54F65"/>
    <w:rsid w:val="00E55019"/>
    <w:rsid w:val="00E55134"/>
    <w:rsid w:val="00E551DC"/>
    <w:rsid w:val="00E5537C"/>
    <w:rsid w:val="00E553B0"/>
    <w:rsid w:val="00E55403"/>
    <w:rsid w:val="00E5543C"/>
    <w:rsid w:val="00E555E6"/>
    <w:rsid w:val="00E555E9"/>
    <w:rsid w:val="00E55674"/>
    <w:rsid w:val="00E556F3"/>
    <w:rsid w:val="00E5578A"/>
    <w:rsid w:val="00E55797"/>
    <w:rsid w:val="00E55835"/>
    <w:rsid w:val="00E55856"/>
    <w:rsid w:val="00E558D8"/>
    <w:rsid w:val="00E55966"/>
    <w:rsid w:val="00E55A7A"/>
    <w:rsid w:val="00E55AA7"/>
    <w:rsid w:val="00E55AF0"/>
    <w:rsid w:val="00E55B58"/>
    <w:rsid w:val="00E55BC9"/>
    <w:rsid w:val="00E55C1D"/>
    <w:rsid w:val="00E55C41"/>
    <w:rsid w:val="00E55CAA"/>
    <w:rsid w:val="00E55D29"/>
    <w:rsid w:val="00E55EC5"/>
    <w:rsid w:val="00E55EC9"/>
    <w:rsid w:val="00E55FC6"/>
    <w:rsid w:val="00E5602E"/>
    <w:rsid w:val="00E56065"/>
    <w:rsid w:val="00E561B6"/>
    <w:rsid w:val="00E561CA"/>
    <w:rsid w:val="00E56272"/>
    <w:rsid w:val="00E56279"/>
    <w:rsid w:val="00E56497"/>
    <w:rsid w:val="00E5651B"/>
    <w:rsid w:val="00E5658F"/>
    <w:rsid w:val="00E565EE"/>
    <w:rsid w:val="00E56633"/>
    <w:rsid w:val="00E56643"/>
    <w:rsid w:val="00E56784"/>
    <w:rsid w:val="00E567E7"/>
    <w:rsid w:val="00E5689C"/>
    <w:rsid w:val="00E568BD"/>
    <w:rsid w:val="00E56954"/>
    <w:rsid w:val="00E56969"/>
    <w:rsid w:val="00E56A24"/>
    <w:rsid w:val="00E56B48"/>
    <w:rsid w:val="00E56C01"/>
    <w:rsid w:val="00E56C10"/>
    <w:rsid w:val="00E56C22"/>
    <w:rsid w:val="00E56C2B"/>
    <w:rsid w:val="00E56C57"/>
    <w:rsid w:val="00E56DA6"/>
    <w:rsid w:val="00E56DD8"/>
    <w:rsid w:val="00E56E0E"/>
    <w:rsid w:val="00E56FA0"/>
    <w:rsid w:val="00E57045"/>
    <w:rsid w:val="00E5705C"/>
    <w:rsid w:val="00E57109"/>
    <w:rsid w:val="00E57129"/>
    <w:rsid w:val="00E571E6"/>
    <w:rsid w:val="00E572F6"/>
    <w:rsid w:val="00E57392"/>
    <w:rsid w:val="00E573E9"/>
    <w:rsid w:val="00E57408"/>
    <w:rsid w:val="00E5741D"/>
    <w:rsid w:val="00E5746E"/>
    <w:rsid w:val="00E574C7"/>
    <w:rsid w:val="00E574D8"/>
    <w:rsid w:val="00E574EB"/>
    <w:rsid w:val="00E57563"/>
    <w:rsid w:val="00E5761B"/>
    <w:rsid w:val="00E576A2"/>
    <w:rsid w:val="00E5773A"/>
    <w:rsid w:val="00E57872"/>
    <w:rsid w:val="00E57918"/>
    <w:rsid w:val="00E57A98"/>
    <w:rsid w:val="00E57AE9"/>
    <w:rsid w:val="00E57B06"/>
    <w:rsid w:val="00E57C62"/>
    <w:rsid w:val="00E57DD2"/>
    <w:rsid w:val="00E57E25"/>
    <w:rsid w:val="00E57EAB"/>
    <w:rsid w:val="00E57F20"/>
    <w:rsid w:val="00E57F2E"/>
    <w:rsid w:val="00E57F9E"/>
    <w:rsid w:val="00E6000F"/>
    <w:rsid w:val="00E6004C"/>
    <w:rsid w:val="00E600D3"/>
    <w:rsid w:val="00E6010C"/>
    <w:rsid w:val="00E602D9"/>
    <w:rsid w:val="00E602FF"/>
    <w:rsid w:val="00E603C8"/>
    <w:rsid w:val="00E6042A"/>
    <w:rsid w:val="00E6046F"/>
    <w:rsid w:val="00E6071E"/>
    <w:rsid w:val="00E607AD"/>
    <w:rsid w:val="00E607D7"/>
    <w:rsid w:val="00E6081F"/>
    <w:rsid w:val="00E60832"/>
    <w:rsid w:val="00E608B8"/>
    <w:rsid w:val="00E608E7"/>
    <w:rsid w:val="00E60AD5"/>
    <w:rsid w:val="00E60B31"/>
    <w:rsid w:val="00E60BAF"/>
    <w:rsid w:val="00E60C55"/>
    <w:rsid w:val="00E60C63"/>
    <w:rsid w:val="00E60DB7"/>
    <w:rsid w:val="00E60DE4"/>
    <w:rsid w:val="00E60E64"/>
    <w:rsid w:val="00E61013"/>
    <w:rsid w:val="00E61025"/>
    <w:rsid w:val="00E6124C"/>
    <w:rsid w:val="00E6124F"/>
    <w:rsid w:val="00E6139E"/>
    <w:rsid w:val="00E61572"/>
    <w:rsid w:val="00E61582"/>
    <w:rsid w:val="00E615A3"/>
    <w:rsid w:val="00E615B9"/>
    <w:rsid w:val="00E6166A"/>
    <w:rsid w:val="00E6176E"/>
    <w:rsid w:val="00E618B1"/>
    <w:rsid w:val="00E618E9"/>
    <w:rsid w:val="00E618FE"/>
    <w:rsid w:val="00E61FBE"/>
    <w:rsid w:val="00E620A7"/>
    <w:rsid w:val="00E620B8"/>
    <w:rsid w:val="00E6211C"/>
    <w:rsid w:val="00E62144"/>
    <w:rsid w:val="00E62233"/>
    <w:rsid w:val="00E6229F"/>
    <w:rsid w:val="00E622F0"/>
    <w:rsid w:val="00E622F4"/>
    <w:rsid w:val="00E623A4"/>
    <w:rsid w:val="00E623DF"/>
    <w:rsid w:val="00E62742"/>
    <w:rsid w:val="00E627CB"/>
    <w:rsid w:val="00E628A0"/>
    <w:rsid w:val="00E62963"/>
    <w:rsid w:val="00E62A1B"/>
    <w:rsid w:val="00E62A32"/>
    <w:rsid w:val="00E62A4F"/>
    <w:rsid w:val="00E62AA1"/>
    <w:rsid w:val="00E62BB1"/>
    <w:rsid w:val="00E62C82"/>
    <w:rsid w:val="00E62CAB"/>
    <w:rsid w:val="00E62D41"/>
    <w:rsid w:val="00E62D63"/>
    <w:rsid w:val="00E62E02"/>
    <w:rsid w:val="00E62E4B"/>
    <w:rsid w:val="00E62F88"/>
    <w:rsid w:val="00E631E6"/>
    <w:rsid w:val="00E632C2"/>
    <w:rsid w:val="00E632E6"/>
    <w:rsid w:val="00E63309"/>
    <w:rsid w:val="00E63517"/>
    <w:rsid w:val="00E63558"/>
    <w:rsid w:val="00E635F5"/>
    <w:rsid w:val="00E63651"/>
    <w:rsid w:val="00E636F6"/>
    <w:rsid w:val="00E6374A"/>
    <w:rsid w:val="00E637FE"/>
    <w:rsid w:val="00E6389A"/>
    <w:rsid w:val="00E638E9"/>
    <w:rsid w:val="00E63914"/>
    <w:rsid w:val="00E63A37"/>
    <w:rsid w:val="00E63B8C"/>
    <w:rsid w:val="00E63C1C"/>
    <w:rsid w:val="00E63C96"/>
    <w:rsid w:val="00E63D0F"/>
    <w:rsid w:val="00E63D6F"/>
    <w:rsid w:val="00E63DE6"/>
    <w:rsid w:val="00E63F0B"/>
    <w:rsid w:val="00E63F38"/>
    <w:rsid w:val="00E63F6B"/>
    <w:rsid w:val="00E63FF8"/>
    <w:rsid w:val="00E64046"/>
    <w:rsid w:val="00E64080"/>
    <w:rsid w:val="00E64094"/>
    <w:rsid w:val="00E6412A"/>
    <w:rsid w:val="00E642D1"/>
    <w:rsid w:val="00E6430E"/>
    <w:rsid w:val="00E64312"/>
    <w:rsid w:val="00E643E7"/>
    <w:rsid w:val="00E64455"/>
    <w:rsid w:val="00E64521"/>
    <w:rsid w:val="00E64571"/>
    <w:rsid w:val="00E64620"/>
    <w:rsid w:val="00E64712"/>
    <w:rsid w:val="00E6479C"/>
    <w:rsid w:val="00E648CD"/>
    <w:rsid w:val="00E64939"/>
    <w:rsid w:val="00E64981"/>
    <w:rsid w:val="00E64A0D"/>
    <w:rsid w:val="00E64E76"/>
    <w:rsid w:val="00E64F43"/>
    <w:rsid w:val="00E64F77"/>
    <w:rsid w:val="00E64FC2"/>
    <w:rsid w:val="00E6508C"/>
    <w:rsid w:val="00E650AD"/>
    <w:rsid w:val="00E652AC"/>
    <w:rsid w:val="00E652DC"/>
    <w:rsid w:val="00E652E4"/>
    <w:rsid w:val="00E65362"/>
    <w:rsid w:val="00E6540D"/>
    <w:rsid w:val="00E65472"/>
    <w:rsid w:val="00E6559F"/>
    <w:rsid w:val="00E655B8"/>
    <w:rsid w:val="00E6568C"/>
    <w:rsid w:val="00E657A2"/>
    <w:rsid w:val="00E657EB"/>
    <w:rsid w:val="00E657F9"/>
    <w:rsid w:val="00E65876"/>
    <w:rsid w:val="00E658B6"/>
    <w:rsid w:val="00E65904"/>
    <w:rsid w:val="00E6597A"/>
    <w:rsid w:val="00E659F6"/>
    <w:rsid w:val="00E65A13"/>
    <w:rsid w:val="00E65A23"/>
    <w:rsid w:val="00E65A41"/>
    <w:rsid w:val="00E65A69"/>
    <w:rsid w:val="00E65AB1"/>
    <w:rsid w:val="00E65ADC"/>
    <w:rsid w:val="00E65B0A"/>
    <w:rsid w:val="00E65B75"/>
    <w:rsid w:val="00E65D8B"/>
    <w:rsid w:val="00E65DC4"/>
    <w:rsid w:val="00E66000"/>
    <w:rsid w:val="00E66006"/>
    <w:rsid w:val="00E66013"/>
    <w:rsid w:val="00E66019"/>
    <w:rsid w:val="00E66020"/>
    <w:rsid w:val="00E66032"/>
    <w:rsid w:val="00E660DE"/>
    <w:rsid w:val="00E66118"/>
    <w:rsid w:val="00E66138"/>
    <w:rsid w:val="00E66246"/>
    <w:rsid w:val="00E662BB"/>
    <w:rsid w:val="00E66394"/>
    <w:rsid w:val="00E66414"/>
    <w:rsid w:val="00E6650D"/>
    <w:rsid w:val="00E66560"/>
    <w:rsid w:val="00E6663B"/>
    <w:rsid w:val="00E66665"/>
    <w:rsid w:val="00E66791"/>
    <w:rsid w:val="00E667CD"/>
    <w:rsid w:val="00E668D4"/>
    <w:rsid w:val="00E66976"/>
    <w:rsid w:val="00E6699D"/>
    <w:rsid w:val="00E669B1"/>
    <w:rsid w:val="00E669EF"/>
    <w:rsid w:val="00E66A09"/>
    <w:rsid w:val="00E66A47"/>
    <w:rsid w:val="00E66A80"/>
    <w:rsid w:val="00E66B39"/>
    <w:rsid w:val="00E66C3C"/>
    <w:rsid w:val="00E66D42"/>
    <w:rsid w:val="00E66D79"/>
    <w:rsid w:val="00E66FF3"/>
    <w:rsid w:val="00E6704A"/>
    <w:rsid w:val="00E670C1"/>
    <w:rsid w:val="00E671D2"/>
    <w:rsid w:val="00E67210"/>
    <w:rsid w:val="00E67413"/>
    <w:rsid w:val="00E6759C"/>
    <w:rsid w:val="00E67613"/>
    <w:rsid w:val="00E676D6"/>
    <w:rsid w:val="00E677A5"/>
    <w:rsid w:val="00E677B3"/>
    <w:rsid w:val="00E677E6"/>
    <w:rsid w:val="00E67890"/>
    <w:rsid w:val="00E67909"/>
    <w:rsid w:val="00E67912"/>
    <w:rsid w:val="00E679CE"/>
    <w:rsid w:val="00E679D9"/>
    <w:rsid w:val="00E67A29"/>
    <w:rsid w:val="00E67A4D"/>
    <w:rsid w:val="00E67A87"/>
    <w:rsid w:val="00E67AB7"/>
    <w:rsid w:val="00E67D0E"/>
    <w:rsid w:val="00E67D6A"/>
    <w:rsid w:val="00E67E33"/>
    <w:rsid w:val="00E67E6F"/>
    <w:rsid w:val="00E67E8E"/>
    <w:rsid w:val="00E701F3"/>
    <w:rsid w:val="00E70248"/>
    <w:rsid w:val="00E70252"/>
    <w:rsid w:val="00E702A8"/>
    <w:rsid w:val="00E702F6"/>
    <w:rsid w:val="00E70344"/>
    <w:rsid w:val="00E70355"/>
    <w:rsid w:val="00E703BC"/>
    <w:rsid w:val="00E70473"/>
    <w:rsid w:val="00E70493"/>
    <w:rsid w:val="00E704B0"/>
    <w:rsid w:val="00E705DD"/>
    <w:rsid w:val="00E706EA"/>
    <w:rsid w:val="00E707BE"/>
    <w:rsid w:val="00E70832"/>
    <w:rsid w:val="00E70910"/>
    <w:rsid w:val="00E70959"/>
    <w:rsid w:val="00E709EF"/>
    <w:rsid w:val="00E70A78"/>
    <w:rsid w:val="00E70ACE"/>
    <w:rsid w:val="00E70C44"/>
    <w:rsid w:val="00E70C56"/>
    <w:rsid w:val="00E70CA3"/>
    <w:rsid w:val="00E70CCF"/>
    <w:rsid w:val="00E70CE0"/>
    <w:rsid w:val="00E70DAF"/>
    <w:rsid w:val="00E70F0E"/>
    <w:rsid w:val="00E70F21"/>
    <w:rsid w:val="00E70F78"/>
    <w:rsid w:val="00E70F7F"/>
    <w:rsid w:val="00E70FF2"/>
    <w:rsid w:val="00E71014"/>
    <w:rsid w:val="00E710B6"/>
    <w:rsid w:val="00E710C5"/>
    <w:rsid w:val="00E710F7"/>
    <w:rsid w:val="00E71118"/>
    <w:rsid w:val="00E7112E"/>
    <w:rsid w:val="00E711B1"/>
    <w:rsid w:val="00E711BE"/>
    <w:rsid w:val="00E711D1"/>
    <w:rsid w:val="00E71236"/>
    <w:rsid w:val="00E712CC"/>
    <w:rsid w:val="00E712CD"/>
    <w:rsid w:val="00E712F7"/>
    <w:rsid w:val="00E71333"/>
    <w:rsid w:val="00E713D5"/>
    <w:rsid w:val="00E714B4"/>
    <w:rsid w:val="00E71546"/>
    <w:rsid w:val="00E7179A"/>
    <w:rsid w:val="00E718C7"/>
    <w:rsid w:val="00E7197F"/>
    <w:rsid w:val="00E7199D"/>
    <w:rsid w:val="00E71A35"/>
    <w:rsid w:val="00E71AA7"/>
    <w:rsid w:val="00E71B34"/>
    <w:rsid w:val="00E71B7B"/>
    <w:rsid w:val="00E71B86"/>
    <w:rsid w:val="00E71B9A"/>
    <w:rsid w:val="00E71C5C"/>
    <w:rsid w:val="00E71CC3"/>
    <w:rsid w:val="00E71CC8"/>
    <w:rsid w:val="00E71D2B"/>
    <w:rsid w:val="00E71D3D"/>
    <w:rsid w:val="00E71DCD"/>
    <w:rsid w:val="00E71DEB"/>
    <w:rsid w:val="00E71E1D"/>
    <w:rsid w:val="00E71E1F"/>
    <w:rsid w:val="00E71E29"/>
    <w:rsid w:val="00E71E35"/>
    <w:rsid w:val="00E71E40"/>
    <w:rsid w:val="00E72038"/>
    <w:rsid w:val="00E720BE"/>
    <w:rsid w:val="00E7212F"/>
    <w:rsid w:val="00E722C3"/>
    <w:rsid w:val="00E72313"/>
    <w:rsid w:val="00E72325"/>
    <w:rsid w:val="00E723B3"/>
    <w:rsid w:val="00E72492"/>
    <w:rsid w:val="00E724AA"/>
    <w:rsid w:val="00E72543"/>
    <w:rsid w:val="00E72568"/>
    <w:rsid w:val="00E72679"/>
    <w:rsid w:val="00E7267F"/>
    <w:rsid w:val="00E72876"/>
    <w:rsid w:val="00E728AC"/>
    <w:rsid w:val="00E728B7"/>
    <w:rsid w:val="00E728BC"/>
    <w:rsid w:val="00E72A08"/>
    <w:rsid w:val="00E72A45"/>
    <w:rsid w:val="00E72A61"/>
    <w:rsid w:val="00E72A89"/>
    <w:rsid w:val="00E72B94"/>
    <w:rsid w:val="00E72C0D"/>
    <w:rsid w:val="00E72C38"/>
    <w:rsid w:val="00E72C6E"/>
    <w:rsid w:val="00E72C80"/>
    <w:rsid w:val="00E72D2E"/>
    <w:rsid w:val="00E72E6E"/>
    <w:rsid w:val="00E72E99"/>
    <w:rsid w:val="00E72F73"/>
    <w:rsid w:val="00E72FB6"/>
    <w:rsid w:val="00E72FD7"/>
    <w:rsid w:val="00E73029"/>
    <w:rsid w:val="00E73083"/>
    <w:rsid w:val="00E73103"/>
    <w:rsid w:val="00E732FE"/>
    <w:rsid w:val="00E73318"/>
    <w:rsid w:val="00E73331"/>
    <w:rsid w:val="00E7339F"/>
    <w:rsid w:val="00E7346D"/>
    <w:rsid w:val="00E7360C"/>
    <w:rsid w:val="00E73696"/>
    <w:rsid w:val="00E73817"/>
    <w:rsid w:val="00E739BF"/>
    <w:rsid w:val="00E73BCD"/>
    <w:rsid w:val="00E73BCE"/>
    <w:rsid w:val="00E73C81"/>
    <w:rsid w:val="00E73C8C"/>
    <w:rsid w:val="00E73D39"/>
    <w:rsid w:val="00E73D55"/>
    <w:rsid w:val="00E73D68"/>
    <w:rsid w:val="00E73EDF"/>
    <w:rsid w:val="00E73F09"/>
    <w:rsid w:val="00E73F12"/>
    <w:rsid w:val="00E74041"/>
    <w:rsid w:val="00E740B8"/>
    <w:rsid w:val="00E740E3"/>
    <w:rsid w:val="00E7415D"/>
    <w:rsid w:val="00E74226"/>
    <w:rsid w:val="00E742A8"/>
    <w:rsid w:val="00E7436A"/>
    <w:rsid w:val="00E744E4"/>
    <w:rsid w:val="00E74513"/>
    <w:rsid w:val="00E74539"/>
    <w:rsid w:val="00E745AF"/>
    <w:rsid w:val="00E74630"/>
    <w:rsid w:val="00E746C3"/>
    <w:rsid w:val="00E74746"/>
    <w:rsid w:val="00E7492C"/>
    <w:rsid w:val="00E74944"/>
    <w:rsid w:val="00E749F1"/>
    <w:rsid w:val="00E74A8B"/>
    <w:rsid w:val="00E74A90"/>
    <w:rsid w:val="00E74AE6"/>
    <w:rsid w:val="00E74B12"/>
    <w:rsid w:val="00E74C6B"/>
    <w:rsid w:val="00E74CFE"/>
    <w:rsid w:val="00E74D11"/>
    <w:rsid w:val="00E74D4F"/>
    <w:rsid w:val="00E74D56"/>
    <w:rsid w:val="00E74D87"/>
    <w:rsid w:val="00E74EED"/>
    <w:rsid w:val="00E74F64"/>
    <w:rsid w:val="00E74FB8"/>
    <w:rsid w:val="00E75193"/>
    <w:rsid w:val="00E752C0"/>
    <w:rsid w:val="00E7544F"/>
    <w:rsid w:val="00E75519"/>
    <w:rsid w:val="00E75531"/>
    <w:rsid w:val="00E75538"/>
    <w:rsid w:val="00E7558A"/>
    <w:rsid w:val="00E756AE"/>
    <w:rsid w:val="00E75726"/>
    <w:rsid w:val="00E7572E"/>
    <w:rsid w:val="00E757C9"/>
    <w:rsid w:val="00E757E5"/>
    <w:rsid w:val="00E757FF"/>
    <w:rsid w:val="00E7584E"/>
    <w:rsid w:val="00E759EE"/>
    <w:rsid w:val="00E75A39"/>
    <w:rsid w:val="00E75A46"/>
    <w:rsid w:val="00E75ABB"/>
    <w:rsid w:val="00E75B79"/>
    <w:rsid w:val="00E75CE9"/>
    <w:rsid w:val="00E75D15"/>
    <w:rsid w:val="00E75D53"/>
    <w:rsid w:val="00E75D67"/>
    <w:rsid w:val="00E75ED3"/>
    <w:rsid w:val="00E75F65"/>
    <w:rsid w:val="00E75FD5"/>
    <w:rsid w:val="00E76028"/>
    <w:rsid w:val="00E7631D"/>
    <w:rsid w:val="00E76321"/>
    <w:rsid w:val="00E76437"/>
    <w:rsid w:val="00E76450"/>
    <w:rsid w:val="00E765A9"/>
    <w:rsid w:val="00E765C7"/>
    <w:rsid w:val="00E76697"/>
    <w:rsid w:val="00E766B8"/>
    <w:rsid w:val="00E766D7"/>
    <w:rsid w:val="00E76701"/>
    <w:rsid w:val="00E7676E"/>
    <w:rsid w:val="00E7677B"/>
    <w:rsid w:val="00E767BE"/>
    <w:rsid w:val="00E767C0"/>
    <w:rsid w:val="00E76971"/>
    <w:rsid w:val="00E769E2"/>
    <w:rsid w:val="00E76AB8"/>
    <w:rsid w:val="00E76ABB"/>
    <w:rsid w:val="00E76AC2"/>
    <w:rsid w:val="00E76C05"/>
    <w:rsid w:val="00E76C08"/>
    <w:rsid w:val="00E76CA2"/>
    <w:rsid w:val="00E76D4B"/>
    <w:rsid w:val="00E76DF2"/>
    <w:rsid w:val="00E76EBE"/>
    <w:rsid w:val="00E76FC6"/>
    <w:rsid w:val="00E77011"/>
    <w:rsid w:val="00E7713F"/>
    <w:rsid w:val="00E7718A"/>
    <w:rsid w:val="00E771C8"/>
    <w:rsid w:val="00E771FB"/>
    <w:rsid w:val="00E77209"/>
    <w:rsid w:val="00E772D5"/>
    <w:rsid w:val="00E7734E"/>
    <w:rsid w:val="00E77375"/>
    <w:rsid w:val="00E7773E"/>
    <w:rsid w:val="00E7784D"/>
    <w:rsid w:val="00E77851"/>
    <w:rsid w:val="00E77886"/>
    <w:rsid w:val="00E778C9"/>
    <w:rsid w:val="00E77A10"/>
    <w:rsid w:val="00E77A5D"/>
    <w:rsid w:val="00E77B66"/>
    <w:rsid w:val="00E77D7F"/>
    <w:rsid w:val="00E77DED"/>
    <w:rsid w:val="00E77E1B"/>
    <w:rsid w:val="00E77E76"/>
    <w:rsid w:val="00E77EF4"/>
    <w:rsid w:val="00E77F2F"/>
    <w:rsid w:val="00E77FD3"/>
    <w:rsid w:val="00E80000"/>
    <w:rsid w:val="00E80116"/>
    <w:rsid w:val="00E80135"/>
    <w:rsid w:val="00E802F6"/>
    <w:rsid w:val="00E80329"/>
    <w:rsid w:val="00E80351"/>
    <w:rsid w:val="00E803D8"/>
    <w:rsid w:val="00E80419"/>
    <w:rsid w:val="00E80445"/>
    <w:rsid w:val="00E80474"/>
    <w:rsid w:val="00E8063A"/>
    <w:rsid w:val="00E80676"/>
    <w:rsid w:val="00E8081D"/>
    <w:rsid w:val="00E808B6"/>
    <w:rsid w:val="00E808FF"/>
    <w:rsid w:val="00E8096F"/>
    <w:rsid w:val="00E809C9"/>
    <w:rsid w:val="00E80C4B"/>
    <w:rsid w:val="00E80C84"/>
    <w:rsid w:val="00E80C9F"/>
    <w:rsid w:val="00E80D04"/>
    <w:rsid w:val="00E80D27"/>
    <w:rsid w:val="00E80E1E"/>
    <w:rsid w:val="00E80EB0"/>
    <w:rsid w:val="00E80ECD"/>
    <w:rsid w:val="00E80F62"/>
    <w:rsid w:val="00E81059"/>
    <w:rsid w:val="00E810FC"/>
    <w:rsid w:val="00E811A5"/>
    <w:rsid w:val="00E81277"/>
    <w:rsid w:val="00E81287"/>
    <w:rsid w:val="00E812CA"/>
    <w:rsid w:val="00E812DF"/>
    <w:rsid w:val="00E812E4"/>
    <w:rsid w:val="00E812F0"/>
    <w:rsid w:val="00E81435"/>
    <w:rsid w:val="00E81490"/>
    <w:rsid w:val="00E81504"/>
    <w:rsid w:val="00E81567"/>
    <w:rsid w:val="00E81569"/>
    <w:rsid w:val="00E816A5"/>
    <w:rsid w:val="00E816B8"/>
    <w:rsid w:val="00E816DB"/>
    <w:rsid w:val="00E81700"/>
    <w:rsid w:val="00E8171B"/>
    <w:rsid w:val="00E81835"/>
    <w:rsid w:val="00E81872"/>
    <w:rsid w:val="00E818F9"/>
    <w:rsid w:val="00E819D1"/>
    <w:rsid w:val="00E81A71"/>
    <w:rsid w:val="00E81C89"/>
    <w:rsid w:val="00E81D0A"/>
    <w:rsid w:val="00E81E1F"/>
    <w:rsid w:val="00E81F1A"/>
    <w:rsid w:val="00E81F65"/>
    <w:rsid w:val="00E81FEC"/>
    <w:rsid w:val="00E8202E"/>
    <w:rsid w:val="00E820F8"/>
    <w:rsid w:val="00E821EE"/>
    <w:rsid w:val="00E82225"/>
    <w:rsid w:val="00E82236"/>
    <w:rsid w:val="00E82244"/>
    <w:rsid w:val="00E822B2"/>
    <w:rsid w:val="00E8233A"/>
    <w:rsid w:val="00E8256E"/>
    <w:rsid w:val="00E825C4"/>
    <w:rsid w:val="00E825D7"/>
    <w:rsid w:val="00E8261D"/>
    <w:rsid w:val="00E82642"/>
    <w:rsid w:val="00E82694"/>
    <w:rsid w:val="00E82730"/>
    <w:rsid w:val="00E82733"/>
    <w:rsid w:val="00E827AB"/>
    <w:rsid w:val="00E82821"/>
    <w:rsid w:val="00E828AE"/>
    <w:rsid w:val="00E82A28"/>
    <w:rsid w:val="00E82A42"/>
    <w:rsid w:val="00E82A6C"/>
    <w:rsid w:val="00E82A93"/>
    <w:rsid w:val="00E82AA0"/>
    <w:rsid w:val="00E82C42"/>
    <w:rsid w:val="00E82D2D"/>
    <w:rsid w:val="00E8310B"/>
    <w:rsid w:val="00E83169"/>
    <w:rsid w:val="00E831AB"/>
    <w:rsid w:val="00E832FF"/>
    <w:rsid w:val="00E83323"/>
    <w:rsid w:val="00E834F0"/>
    <w:rsid w:val="00E83562"/>
    <w:rsid w:val="00E8359E"/>
    <w:rsid w:val="00E835B5"/>
    <w:rsid w:val="00E835C6"/>
    <w:rsid w:val="00E836A0"/>
    <w:rsid w:val="00E836A4"/>
    <w:rsid w:val="00E837E2"/>
    <w:rsid w:val="00E8380A"/>
    <w:rsid w:val="00E839D3"/>
    <w:rsid w:val="00E83A40"/>
    <w:rsid w:val="00E83AD7"/>
    <w:rsid w:val="00E83C69"/>
    <w:rsid w:val="00E83F3F"/>
    <w:rsid w:val="00E83F62"/>
    <w:rsid w:val="00E83F82"/>
    <w:rsid w:val="00E840AF"/>
    <w:rsid w:val="00E84252"/>
    <w:rsid w:val="00E84419"/>
    <w:rsid w:val="00E84481"/>
    <w:rsid w:val="00E84512"/>
    <w:rsid w:val="00E8454E"/>
    <w:rsid w:val="00E84621"/>
    <w:rsid w:val="00E84623"/>
    <w:rsid w:val="00E8468A"/>
    <w:rsid w:val="00E846E4"/>
    <w:rsid w:val="00E84717"/>
    <w:rsid w:val="00E84728"/>
    <w:rsid w:val="00E847CD"/>
    <w:rsid w:val="00E8482A"/>
    <w:rsid w:val="00E84880"/>
    <w:rsid w:val="00E8490D"/>
    <w:rsid w:val="00E84922"/>
    <w:rsid w:val="00E84927"/>
    <w:rsid w:val="00E84ACD"/>
    <w:rsid w:val="00E84AF4"/>
    <w:rsid w:val="00E84B5B"/>
    <w:rsid w:val="00E84C16"/>
    <w:rsid w:val="00E84C66"/>
    <w:rsid w:val="00E84CAD"/>
    <w:rsid w:val="00E84CEF"/>
    <w:rsid w:val="00E84D1A"/>
    <w:rsid w:val="00E84E1B"/>
    <w:rsid w:val="00E84EC4"/>
    <w:rsid w:val="00E84F01"/>
    <w:rsid w:val="00E84FBB"/>
    <w:rsid w:val="00E85136"/>
    <w:rsid w:val="00E8514C"/>
    <w:rsid w:val="00E85181"/>
    <w:rsid w:val="00E8526B"/>
    <w:rsid w:val="00E8527E"/>
    <w:rsid w:val="00E85320"/>
    <w:rsid w:val="00E8533E"/>
    <w:rsid w:val="00E853BE"/>
    <w:rsid w:val="00E8541C"/>
    <w:rsid w:val="00E8545A"/>
    <w:rsid w:val="00E854A9"/>
    <w:rsid w:val="00E854B8"/>
    <w:rsid w:val="00E85566"/>
    <w:rsid w:val="00E85577"/>
    <w:rsid w:val="00E855C0"/>
    <w:rsid w:val="00E8577F"/>
    <w:rsid w:val="00E857B0"/>
    <w:rsid w:val="00E857C9"/>
    <w:rsid w:val="00E857D0"/>
    <w:rsid w:val="00E857EF"/>
    <w:rsid w:val="00E8587A"/>
    <w:rsid w:val="00E858CF"/>
    <w:rsid w:val="00E85909"/>
    <w:rsid w:val="00E85919"/>
    <w:rsid w:val="00E859D4"/>
    <w:rsid w:val="00E859D8"/>
    <w:rsid w:val="00E85A4D"/>
    <w:rsid w:val="00E85A6A"/>
    <w:rsid w:val="00E85AAD"/>
    <w:rsid w:val="00E85AFA"/>
    <w:rsid w:val="00E85B08"/>
    <w:rsid w:val="00E85B34"/>
    <w:rsid w:val="00E85D7F"/>
    <w:rsid w:val="00E85D95"/>
    <w:rsid w:val="00E85F5A"/>
    <w:rsid w:val="00E85F78"/>
    <w:rsid w:val="00E85F87"/>
    <w:rsid w:val="00E85FD7"/>
    <w:rsid w:val="00E86023"/>
    <w:rsid w:val="00E860CF"/>
    <w:rsid w:val="00E86108"/>
    <w:rsid w:val="00E8615B"/>
    <w:rsid w:val="00E8617E"/>
    <w:rsid w:val="00E8617F"/>
    <w:rsid w:val="00E8618A"/>
    <w:rsid w:val="00E862B4"/>
    <w:rsid w:val="00E863B5"/>
    <w:rsid w:val="00E86414"/>
    <w:rsid w:val="00E86485"/>
    <w:rsid w:val="00E864BE"/>
    <w:rsid w:val="00E86522"/>
    <w:rsid w:val="00E86566"/>
    <w:rsid w:val="00E865A3"/>
    <w:rsid w:val="00E86752"/>
    <w:rsid w:val="00E86758"/>
    <w:rsid w:val="00E8675E"/>
    <w:rsid w:val="00E867EB"/>
    <w:rsid w:val="00E868B0"/>
    <w:rsid w:val="00E8697D"/>
    <w:rsid w:val="00E86A71"/>
    <w:rsid w:val="00E86AB0"/>
    <w:rsid w:val="00E86C57"/>
    <w:rsid w:val="00E86D30"/>
    <w:rsid w:val="00E87070"/>
    <w:rsid w:val="00E870F1"/>
    <w:rsid w:val="00E871F8"/>
    <w:rsid w:val="00E872A0"/>
    <w:rsid w:val="00E872EB"/>
    <w:rsid w:val="00E8739E"/>
    <w:rsid w:val="00E873B2"/>
    <w:rsid w:val="00E873DE"/>
    <w:rsid w:val="00E873F4"/>
    <w:rsid w:val="00E873FB"/>
    <w:rsid w:val="00E874C2"/>
    <w:rsid w:val="00E8755D"/>
    <w:rsid w:val="00E875B8"/>
    <w:rsid w:val="00E875F6"/>
    <w:rsid w:val="00E876B8"/>
    <w:rsid w:val="00E8777F"/>
    <w:rsid w:val="00E877C6"/>
    <w:rsid w:val="00E877D8"/>
    <w:rsid w:val="00E877FD"/>
    <w:rsid w:val="00E8789A"/>
    <w:rsid w:val="00E87951"/>
    <w:rsid w:val="00E879CB"/>
    <w:rsid w:val="00E87AEA"/>
    <w:rsid w:val="00E87AF7"/>
    <w:rsid w:val="00E87B42"/>
    <w:rsid w:val="00E87BF7"/>
    <w:rsid w:val="00E87C10"/>
    <w:rsid w:val="00E87D98"/>
    <w:rsid w:val="00E87DAD"/>
    <w:rsid w:val="00E87DBB"/>
    <w:rsid w:val="00E87F7C"/>
    <w:rsid w:val="00E87FBA"/>
    <w:rsid w:val="00E9002A"/>
    <w:rsid w:val="00E90091"/>
    <w:rsid w:val="00E900AD"/>
    <w:rsid w:val="00E900B1"/>
    <w:rsid w:val="00E900BC"/>
    <w:rsid w:val="00E900CF"/>
    <w:rsid w:val="00E90157"/>
    <w:rsid w:val="00E90160"/>
    <w:rsid w:val="00E90384"/>
    <w:rsid w:val="00E903D1"/>
    <w:rsid w:val="00E90475"/>
    <w:rsid w:val="00E9050B"/>
    <w:rsid w:val="00E9052F"/>
    <w:rsid w:val="00E9057E"/>
    <w:rsid w:val="00E90711"/>
    <w:rsid w:val="00E90811"/>
    <w:rsid w:val="00E90842"/>
    <w:rsid w:val="00E90944"/>
    <w:rsid w:val="00E90990"/>
    <w:rsid w:val="00E909AE"/>
    <w:rsid w:val="00E90B16"/>
    <w:rsid w:val="00E90D45"/>
    <w:rsid w:val="00E90D84"/>
    <w:rsid w:val="00E90D87"/>
    <w:rsid w:val="00E90DA5"/>
    <w:rsid w:val="00E90DB6"/>
    <w:rsid w:val="00E90DC3"/>
    <w:rsid w:val="00E90E57"/>
    <w:rsid w:val="00E90F77"/>
    <w:rsid w:val="00E91008"/>
    <w:rsid w:val="00E9112F"/>
    <w:rsid w:val="00E911B3"/>
    <w:rsid w:val="00E91250"/>
    <w:rsid w:val="00E912B0"/>
    <w:rsid w:val="00E91358"/>
    <w:rsid w:val="00E91363"/>
    <w:rsid w:val="00E9138E"/>
    <w:rsid w:val="00E913A6"/>
    <w:rsid w:val="00E9142C"/>
    <w:rsid w:val="00E91434"/>
    <w:rsid w:val="00E914A7"/>
    <w:rsid w:val="00E9151A"/>
    <w:rsid w:val="00E91566"/>
    <w:rsid w:val="00E91698"/>
    <w:rsid w:val="00E9188C"/>
    <w:rsid w:val="00E91B01"/>
    <w:rsid w:val="00E91B32"/>
    <w:rsid w:val="00E91B9D"/>
    <w:rsid w:val="00E91BA9"/>
    <w:rsid w:val="00E91C03"/>
    <w:rsid w:val="00E91D1D"/>
    <w:rsid w:val="00E91D43"/>
    <w:rsid w:val="00E91DF0"/>
    <w:rsid w:val="00E91E1D"/>
    <w:rsid w:val="00E91E69"/>
    <w:rsid w:val="00E91F0C"/>
    <w:rsid w:val="00E91FB6"/>
    <w:rsid w:val="00E91FEE"/>
    <w:rsid w:val="00E92026"/>
    <w:rsid w:val="00E9234F"/>
    <w:rsid w:val="00E92383"/>
    <w:rsid w:val="00E923AD"/>
    <w:rsid w:val="00E92568"/>
    <w:rsid w:val="00E925F8"/>
    <w:rsid w:val="00E92625"/>
    <w:rsid w:val="00E926CF"/>
    <w:rsid w:val="00E926ED"/>
    <w:rsid w:val="00E927DD"/>
    <w:rsid w:val="00E92841"/>
    <w:rsid w:val="00E9284D"/>
    <w:rsid w:val="00E92850"/>
    <w:rsid w:val="00E92A0D"/>
    <w:rsid w:val="00E92A2F"/>
    <w:rsid w:val="00E92AE8"/>
    <w:rsid w:val="00E92B62"/>
    <w:rsid w:val="00E92B6A"/>
    <w:rsid w:val="00E92C1A"/>
    <w:rsid w:val="00E92C26"/>
    <w:rsid w:val="00E92CB8"/>
    <w:rsid w:val="00E92CCB"/>
    <w:rsid w:val="00E92CE6"/>
    <w:rsid w:val="00E92D0E"/>
    <w:rsid w:val="00E92DD3"/>
    <w:rsid w:val="00E92E38"/>
    <w:rsid w:val="00E92E39"/>
    <w:rsid w:val="00E92E82"/>
    <w:rsid w:val="00E93066"/>
    <w:rsid w:val="00E9314F"/>
    <w:rsid w:val="00E93228"/>
    <w:rsid w:val="00E9328F"/>
    <w:rsid w:val="00E932C0"/>
    <w:rsid w:val="00E93334"/>
    <w:rsid w:val="00E93360"/>
    <w:rsid w:val="00E933D1"/>
    <w:rsid w:val="00E933E0"/>
    <w:rsid w:val="00E93517"/>
    <w:rsid w:val="00E93536"/>
    <w:rsid w:val="00E935ED"/>
    <w:rsid w:val="00E935F8"/>
    <w:rsid w:val="00E93618"/>
    <w:rsid w:val="00E93640"/>
    <w:rsid w:val="00E9369A"/>
    <w:rsid w:val="00E93726"/>
    <w:rsid w:val="00E938BC"/>
    <w:rsid w:val="00E93937"/>
    <w:rsid w:val="00E9396F"/>
    <w:rsid w:val="00E93AD0"/>
    <w:rsid w:val="00E93D72"/>
    <w:rsid w:val="00E93DF3"/>
    <w:rsid w:val="00E93E6A"/>
    <w:rsid w:val="00E93EB8"/>
    <w:rsid w:val="00E93EC1"/>
    <w:rsid w:val="00E93F5B"/>
    <w:rsid w:val="00E93FC3"/>
    <w:rsid w:val="00E93FE8"/>
    <w:rsid w:val="00E943E2"/>
    <w:rsid w:val="00E9440C"/>
    <w:rsid w:val="00E94467"/>
    <w:rsid w:val="00E945E0"/>
    <w:rsid w:val="00E9466C"/>
    <w:rsid w:val="00E946FF"/>
    <w:rsid w:val="00E94700"/>
    <w:rsid w:val="00E9474E"/>
    <w:rsid w:val="00E94840"/>
    <w:rsid w:val="00E94853"/>
    <w:rsid w:val="00E948B2"/>
    <w:rsid w:val="00E9492D"/>
    <w:rsid w:val="00E94959"/>
    <w:rsid w:val="00E94963"/>
    <w:rsid w:val="00E949AA"/>
    <w:rsid w:val="00E94AC7"/>
    <w:rsid w:val="00E94BD2"/>
    <w:rsid w:val="00E94CD9"/>
    <w:rsid w:val="00E94CEE"/>
    <w:rsid w:val="00E94D31"/>
    <w:rsid w:val="00E94E01"/>
    <w:rsid w:val="00E94E7A"/>
    <w:rsid w:val="00E94EF6"/>
    <w:rsid w:val="00E951FF"/>
    <w:rsid w:val="00E95243"/>
    <w:rsid w:val="00E9525C"/>
    <w:rsid w:val="00E95272"/>
    <w:rsid w:val="00E95341"/>
    <w:rsid w:val="00E9538B"/>
    <w:rsid w:val="00E953C0"/>
    <w:rsid w:val="00E95475"/>
    <w:rsid w:val="00E95493"/>
    <w:rsid w:val="00E95585"/>
    <w:rsid w:val="00E955DA"/>
    <w:rsid w:val="00E9564D"/>
    <w:rsid w:val="00E956A2"/>
    <w:rsid w:val="00E95789"/>
    <w:rsid w:val="00E957B2"/>
    <w:rsid w:val="00E957E5"/>
    <w:rsid w:val="00E959E6"/>
    <w:rsid w:val="00E95AC0"/>
    <w:rsid w:val="00E95B2F"/>
    <w:rsid w:val="00E95D17"/>
    <w:rsid w:val="00E95DCD"/>
    <w:rsid w:val="00E95DD5"/>
    <w:rsid w:val="00E95E36"/>
    <w:rsid w:val="00E95EC3"/>
    <w:rsid w:val="00E95EF1"/>
    <w:rsid w:val="00E95F3C"/>
    <w:rsid w:val="00E95F40"/>
    <w:rsid w:val="00E95F77"/>
    <w:rsid w:val="00E95F7E"/>
    <w:rsid w:val="00E96091"/>
    <w:rsid w:val="00E960C9"/>
    <w:rsid w:val="00E96114"/>
    <w:rsid w:val="00E962B7"/>
    <w:rsid w:val="00E96324"/>
    <w:rsid w:val="00E96367"/>
    <w:rsid w:val="00E96388"/>
    <w:rsid w:val="00E96404"/>
    <w:rsid w:val="00E96461"/>
    <w:rsid w:val="00E964CF"/>
    <w:rsid w:val="00E965E0"/>
    <w:rsid w:val="00E966C4"/>
    <w:rsid w:val="00E966DC"/>
    <w:rsid w:val="00E9671F"/>
    <w:rsid w:val="00E96739"/>
    <w:rsid w:val="00E967EB"/>
    <w:rsid w:val="00E9685F"/>
    <w:rsid w:val="00E9692A"/>
    <w:rsid w:val="00E96A0B"/>
    <w:rsid w:val="00E96EC7"/>
    <w:rsid w:val="00E96F2F"/>
    <w:rsid w:val="00E96FC4"/>
    <w:rsid w:val="00E970A2"/>
    <w:rsid w:val="00E971AC"/>
    <w:rsid w:val="00E971AE"/>
    <w:rsid w:val="00E972C8"/>
    <w:rsid w:val="00E973EC"/>
    <w:rsid w:val="00E97409"/>
    <w:rsid w:val="00E974E4"/>
    <w:rsid w:val="00E9750A"/>
    <w:rsid w:val="00E97544"/>
    <w:rsid w:val="00E975AA"/>
    <w:rsid w:val="00E975D3"/>
    <w:rsid w:val="00E97608"/>
    <w:rsid w:val="00E9761B"/>
    <w:rsid w:val="00E9769A"/>
    <w:rsid w:val="00E9769C"/>
    <w:rsid w:val="00E976D9"/>
    <w:rsid w:val="00E97724"/>
    <w:rsid w:val="00E97761"/>
    <w:rsid w:val="00E977B4"/>
    <w:rsid w:val="00E977D6"/>
    <w:rsid w:val="00E97856"/>
    <w:rsid w:val="00E97879"/>
    <w:rsid w:val="00E978C1"/>
    <w:rsid w:val="00E979DC"/>
    <w:rsid w:val="00E97A0C"/>
    <w:rsid w:val="00E97A3B"/>
    <w:rsid w:val="00E97C1A"/>
    <w:rsid w:val="00E97CDA"/>
    <w:rsid w:val="00E97CE1"/>
    <w:rsid w:val="00E97D23"/>
    <w:rsid w:val="00E97E12"/>
    <w:rsid w:val="00E97E85"/>
    <w:rsid w:val="00E97ED2"/>
    <w:rsid w:val="00E97F44"/>
    <w:rsid w:val="00E97FF8"/>
    <w:rsid w:val="00E97FFE"/>
    <w:rsid w:val="00EA00BF"/>
    <w:rsid w:val="00EA00CC"/>
    <w:rsid w:val="00EA0144"/>
    <w:rsid w:val="00EA01A1"/>
    <w:rsid w:val="00EA023F"/>
    <w:rsid w:val="00EA02C9"/>
    <w:rsid w:val="00EA046E"/>
    <w:rsid w:val="00EA04AB"/>
    <w:rsid w:val="00EA05B8"/>
    <w:rsid w:val="00EA0602"/>
    <w:rsid w:val="00EA0686"/>
    <w:rsid w:val="00EA06B5"/>
    <w:rsid w:val="00EA0707"/>
    <w:rsid w:val="00EA076B"/>
    <w:rsid w:val="00EA07D8"/>
    <w:rsid w:val="00EA07F1"/>
    <w:rsid w:val="00EA0878"/>
    <w:rsid w:val="00EA08C2"/>
    <w:rsid w:val="00EA09D3"/>
    <w:rsid w:val="00EA0AB5"/>
    <w:rsid w:val="00EA0AE4"/>
    <w:rsid w:val="00EA0B41"/>
    <w:rsid w:val="00EA0B4B"/>
    <w:rsid w:val="00EA0B64"/>
    <w:rsid w:val="00EA0BEA"/>
    <w:rsid w:val="00EA0CC2"/>
    <w:rsid w:val="00EA0D16"/>
    <w:rsid w:val="00EA0D57"/>
    <w:rsid w:val="00EA0E40"/>
    <w:rsid w:val="00EA0E54"/>
    <w:rsid w:val="00EA0E83"/>
    <w:rsid w:val="00EA0EC6"/>
    <w:rsid w:val="00EA0ECE"/>
    <w:rsid w:val="00EA0F22"/>
    <w:rsid w:val="00EA0FBA"/>
    <w:rsid w:val="00EA1026"/>
    <w:rsid w:val="00EA1060"/>
    <w:rsid w:val="00EA10C5"/>
    <w:rsid w:val="00EA121A"/>
    <w:rsid w:val="00EA145B"/>
    <w:rsid w:val="00EA14A1"/>
    <w:rsid w:val="00EA152A"/>
    <w:rsid w:val="00EA155E"/>
    <w:rsid w:val="00EA15C3"/>
    <w:rsid w:val="00EA1607"/>
    <w:rsid w:val="00EA1674"/>
    <w:rsid w:val="00EA1699"/>
    <w:rsid w:val="00EA16EF"/>
    <w:rsid w:val="00EA1727"/>
    <w:rsid w:val="00EA17F2"/>
    <w:rsid w:val="00EA1815"/>
    <w:rsid w:val="00EA18AD"/>
    <w:rsid w:val="00EA1944"/>
    <w:rsid w:val="00EA199E"/>
    <w:rsid w:val="00EA1A36"/>
    <w:rsid w:val="00EA1A6D"/>
    <w:rsid w:val="00EA1ABE"/>
    <w:rsid w:val="00EA1BEB"/>
    <w:rsid w:val="00EA1C8A"/>
    <w:rsid w:val="00EA1DBC"/>
    <w:rsid w:val="00EA1E4C"/>
    <w:rsid w:val="00EA1E5C"/>
    <w:rsid w:val="00EA1EC0"/>
    <w:rsid w:val="00EA1EF2"/>
    <w:rsid w:val="00EA1FDA"/>
    <w:rsid w:val="00EA1FE6"/>
    <w:rsid w:val="00EA20A9"/>
    <w:rsid w:val="00EA20B2"/>
    <w:rsid w:val="00EA20EA"/>
    <w:rsid w:val="00EA247C"/>
    <w:rsid w:val="00EA24C2"/>
    <w:rsid w:val="00EA2527"/>
    <w:rsid w:val="00EA256F"/>
    <w:rsid w:val="00EA25A3"/>
    <w:rsid w:val="00EA264D"/>
    <w:rsid w:val="00EA269A"/>
    <w:rsid w:val="00EA27EF"/>
    <w:rsid w:val="00EA283E"/>
    <w:rsid w:val="00EA2893"/>
    <w:rsid w:val="00EA28E0"/>
    <w:rsid w:val="00EA2981"/>
    <w:rsid w:val="00EA298E"/>
    <w:rsid w:val="00EA2B98"/>
    <w:rsid w:val="00EA2C50"/>
    <w:rsid w:val="00EA2E5D"/>
    <w:rsid w:val="00EA2E67"/>
    <w:rsid w:val="00EA2EC6"/>
    <w:rsid w:val="00EA2EE9"/>
    <w:rsid w:val="00EA2F03"/>
    <w:rsid w:val="00EA2FBB"/>
    <w:rsid w:val="00EA2FBD"/>
    <w:rsid w:val="00EA3064"/>
    <w:rsid w:val="00EA30BA"/>
    <w:rsid w:val="00EA30C1"/>
    <w:rsid w:val="00EA30DE"/>
    <w:rsid w:val="00EA31CD"/>
    <w:rsid w:val="00EA321A"/>
    <w:rsid w:val="00EA3294"/>
    <w:rsid w:val="00EA32BB"/>
    <w:rsid w:val="00EA3346"/>
    <w:rsid w:val="00EA3432"/>
    <w:rsid w:val="00EA3451"/>
    <w:rsid w:val="00EA3598"/>
    <w:rsid w:val="00EA35D4"/>
    <w:rsid w:val="00EA360C"/>
    <w:rsid w:val="00EA366A"/>
    <w:rsid w:val="00EA369E"/>
    <w:rsid w:val="00EA375D"/>
    <w:rsid w:val="00EA3898"/>
    <w:rsid w:val="00EA389F"/>
    <w:rsid w:val="00EA39C6"/>
    <w:rsid w:val="00EA39CB"/>
    <w:rsid w:val="00EA3ADA"/>
    <w:rsid w:val="00EA3AFB"/>
    <w:rsid w:val="00EA3B6D"/>
    <w:rsid w:val="00EA3C0F"/>
    <w:rsid w:val="00EA3D99"/>
    <w:rsid w:val="00EA3DCD"/>
    <w:rsid w:val="00EA3DE3"/>
    <w:rsid w:val="00EA3FD0"/>
    <w:rsid w:val="00EA4008"/>
    <w:rsid w:val="00EA402B"/>
    <w:rsid w:val="00EA40C0"/>
    <w:rsid w:val="00EA4110"/>
    <w:rsid w:val="00EA4179"/>
    <w:rsid w:val="00EA418E"/>
    <w:rsid w:val="00EA434E"/>
    <w:rsid w:val="00EA435D"/>
    <w:rsid w:val="00EA4364"/>
    <w:rsid w:val="00EA4401"/>
    <w:rsid w:val="00EA4475"/>
    <w:rsid w:val="00EA44B7"/>
    <w:rsid w:val="00EA44D3"/>
    <w:rsid w:val="00EA44EF"/>
    <w:rsid w:val="00EA4551"/>
    <w:rsid w:val="00EA457E"/>
    <w:rsid w:val="00EA45CD"/>
    <w:rsid w:val="00EA48BB"/>
    <w:rsid w:val="00EA4A4B"/>
    <w:rsid w:val="00EA4AA8"/>
    <w:rsid w:val="00EA4AAC"/>
    <w:rsid w:val="00EA4C04"/>
    <w:rsid w:val="00EA4C42"/>
    <w:rsid w:val="00EA4C6F"/>
    <w:rsid w:val="00EA4D04"/>
    <w:rsid w:val="00EA4D3A"/>
    <w:rsid w:val="00EA4D4B"/>
    <w:rsid w:val="00EA4D54"/>
    <w:rsid w:val="00EA4D78"/>
    <w:rsid w:val="00EA4EAB"/>
    <w:rsid w:val="00EA4F18"/>
    <w:rsid w:val="00EA4F9F"/>
    <w:rsid w:val="00EA4FD9"/>
    <w:rsid w:val="00EA5059"/>
    <w:rsid w:val="00EA50B9"/>
    <w:rsid w:val="00EA5115"/>
    <w:rsid w:val="00EA5277"/>
    <w:rsid w:val="00EA52BA"/>
    <w:rsid w:val="00EA52FD"/>
    <w:rsid w:val="00EA5312"/>
    <w:rsid w:val="00EA5336"/>
    <w:rsid w:val="00EA5365"/>
    <w:rsid w:val="00EA5440"/>
    <w:rsid w:val="00EA5498"/>
    <w:rsid w:val="00EA5538"/>
    <w:rsid w:val="00EA55AB"/>
    <w:rsid w:val="00EA55DC"/>
    <w:rsid w:val="00EA5623"/>
    <w:rsid w:val="00EA563F"/>
    <w:rsid w:val="00EA5643"/>
    <w:rsid w:val="00EA567A"/>
    <w:rsid w:val="00EA568F"/>
    <w:rsid w:val="00EA578D"/>
    <w:rsid w:val="00EA580B"/>
    <w:rsid w:val="00EA58E8"/>
    <w:rsid w:val="00EA5907"/>
    <w:rsid w:val="00EA5A37"/>
    <w:rsid w:val="00EA5A86"/>
    <w:rsid w:val="00EA5B62"/>
    <w:rsid w:val="00EA5BB5"/>
    <w:rsid w:val="00EA5BFC"/>
    <w:rsid w:val="00EA5C82"/>
    <w:rsid w:val="00EA5CDB"/>
    <w:rsid w:val="00EA5D49"/>
    <w:rsid w:val="00EA5DCF"/>
    <w:rsid w:val="00EA5DF3"/>
    <w:rsid w:val="00EA5E8B"/>
    <w:rsid w:val="00EA5EEE"/>
    <w:rsid w:val="00EA5F8A"/>
    <w:rsid w:val="00EA601B"/>
    <w:rsid w:val="00EA6035"/>
    <w:rsid w:val="00EA60EE"/>
    <w:rsid w:val="00EA60F1"/>
    <w:rsid w:val="00EA6143"/>
    <w:rsid w:val="00EA6172"/>
    <w:rsid w:val="00EA61CA"/>
    <w:rsid w:val="00EA61FB"/>
    <w:rsid w:val="00EA62F6"/>
    <w:rsid w:val="00EA6316"/>
    <w:rsid w:val="00EA645F"/>
    <w:rsid w:val="00EA65BD"/>
    <w:rsid w:val="00EA6691"/>
    <w:rsid w:val="00EA66A6"/>
    <w:rsid w:val="00EA674A"/>
    <w:rsid w:val="00EA6784"/>
    <w:rsid w:val="00EA6785"/>
    <w:rsid w:val="00EA688C"/>
    <w:rsid w:val="00EA68AF"/>
    <w:rsid w:val="00EA68ED"/>
    <w:rsid w:val="00EA6A3D"/>
    <w:rsid w:val="00EA6C01"/>
    <w:rsid w:val="00EA6D14"/>
    <w:rsid w:val="00EA6DD9"/>
    <w:rsid w:val="00EA6E38"/>
    <w:rsid w:val="00EA6E56"/>
    <w:rsid w:val="00EA6FC1"/>
    <w:rsid w:val="00EA7007"/>
    <w:rsid w:val="00EA723B"/>
    <w:rsid w:val="00EA7247"/>
    <w:rsid w:val="00EA7301"/>
    <w:rsid w:val="00EA7367"/>
    <w:rsid w:val="00EA7434"/>
    <w:rsid w:val="00EA744A"/>
    <w:rsid w:val="00EA746B"/>
    <w:rsid w:val="00EA7489"/>
    <w:rsid w:val="00EA74C0"/>
    <w:rsid w:val="00EA74D5"/>
    <w:rsid w:val="00EA7517"/>
    <w:rsid w:val="00EA754E"/>
    <w:rsid w:val="00EA7576"/>
    <w:rsid w:val="00EA7688"/>
    <w:rsid w:val="00EA76E6"/>
    <w:rsid w:val="00EA78FC"/>
    <w:rsid w:val="00EA7961"/>
    <w:rsid w:val="00EA7967"/>
    <w:rsid w:val="00EA79E8"/>
    <w:rsid w:val="00EA7AC6"/>
    <w:rsid w:val="00EA7B78"/>
    <w:rsid w:val="00EA7C2C"/>
    <w:rsid w:val="00EA7CD9"/>
    <w:rsid w:val="00EA7DBB"/>
    <w:rsid w:val="00EA7DC4"/>
    <w:rsid w:val="00EA7E08"/>
    <w:rsid w:val="00EA7F5B"/>
    <w:rsid w:val="00EA7FB4"/>
    <w:rsid w:val="00EA7FD5"/>
    <w:rsid w:val="00EB00C1"/>
    <w:rsid w:val="00EB0180"/>
    <w:rsid w:val="00EB0200"/>
    <w:rsid w:val="00EB0204"/>
    <w:rsid w:val="00EB0212"/>
    <w:rsid w:val="00EB0243"/>
    <w:rsid w:val="00EB0305"/>
    <w:rsid w:val="00EB033D"/>
    <w:rsid w:val="00EB035A"/>
    <w:rsid w:val="00EB0399"/>
    <w:rsid w:val="00EB03D2"/>
    <w:rsid w:val="00EB03DC"/>
    <w:rsid w:val="00EB0414"/>
    <w:rsid w:val="00EB042B"/>
    <w:rsid w:val="00EB044A"/>
    <w:rsid w:val="00EB04D4"/>
    <w:rsid w:val="00EB04E0"/>
    <w:rsid w:val="00EB0515"/>
    <w:rsid w:val="00EB05CE"/>
    <w:rsid w:val="00EB05D6"/>
    <w:rsid w:val="00EB062E"/>
    <w:rsid w:val="00EB0694"/>
    <w:rsid w:val="00EB07C1"/>
    <w:rsid w:val="00EB0872"/>
    <w:rsid w:val="00EB096F"/>
    <w:rsid w:val="00EB0997"/>
    <w:rsid w:val="00EB0B4A"/>
    <w:rsid w:val="00EB0D66"/>
    <w:rsid w:val="00EB0D74"/>
    <w:rsid w:val="00EB0DAA"/>
    <w:rsid w:val="00EB0DFB"/>
    <w:rsid w:val="00EB0E32"/>
    <w:rsid w:val="00EB0E8C"/>
    <w:rsid w:val="00EB0FD4"/>
    <w:rsid w:val="00EB1029"/>
    <w:rsid w:val="00EB10B5"/>
    <w:rsid w:val="00EB1149"/>
    <w:rsid w:val="00EB1259"/>
    <w:rsid w:val="00EB1313"/>
    <w:rsid w:val="00EB1347"/>
    <w:rsid w:val="00EB1354"/>
    <w:rsid w:val="00EB13C1"/>
    <w:rsid w:val="00EB14E4"/>
    <w:rsid w:val="00EB157C"/>
    <w:rsid w:val="00EB1631"/>
    <w:rsid w:val="00EB1654"/>
    <w:rsid w:val="00EB1688"/>
    <w:rsid w:val="00EB16D6"/>
    <w:rsid w:val="00EB173E"/>
    <w:rsid w:val="00EB1789"/>
    <w:rsid w:val="00EB182D"/>
    <w:rsid w:val="00EB1A9D"/>
    <w:rsid w:val="00EB1B5C"/>
    <w:rsid w:val="00EB1C4A"/>
    <w:rsid w:val="00EB1D28"/>
    <w:rsid w:val="00EB1D9D"/>
    <w:rsid w:val="00EB1DF7"/>
    <w:rsid w:val="00EB1E8B"/>
    <w:rsid w:val="00EB1F94"/>
    <w:rsid w:val="00EB2120"/>
    <w:rsid w:val="00EB213C"/>
    <w:rsid w:val="00EB2162"/>
    <w:rsid w:val="00EB22FE"/>
    <w:rsid w:val="00EB2307"/>
    <w:rsid w:val="00EB23F1"/>
    <w:rsid w:val="00EB2432"/>
    <w:rsid w:val="00EB2494"/>
    <w:rsid w:val="00EB256B"/>
    <w:rsid w:val="00EB2587"/>
    <w:rsid w:val="00EB25AD"/>
    <w:rsid w:val="00EB260F"/>
    <w:rsid w:val="00EB265E"/>
    <w:rsid w:val="00EB2668"/>
    <w:rsid w:val="00EB2721"/>
    <w:rsid w:val="00EB274D"/>
    <w:rsid w:val="00EB2872"/>
    <w:rsid w:val="00EB28E1"/>
    <w:rsid w:val="00EB28ED"/>
    <w:rsid w:val="00EB2964"/>
    <w:rsid w:val="00EB2A13"/>
    <w:rsid w:val="00EB2AEE"/>
    <w:rsid w:val="00EB2B61"/>
    <w:rsid w:val="00EB2BCE"/>
    <w:rsid w:val="00EB2C1A"/>
    <w:rsid w:val="00EB2C56"/>
    <w:rsid w:val="00EB2C85"/>
    <w:rsid w:val="00EB2CAC"/>
    <w:rsid w:val="00EB2E04"/>
    <w:rsid w:val="00EB2E5A"/>
    <w:rsid w:val="00EB2E88"/>
    <w:rsid w:val="00EB3024"/>
    <w:rsid w:val="00EB30E5"/>
    <w:rsid w:val="00EB30F9"/>
    <w:rsid w:val="00EB31AD"/>
    <w:rsid w:val="00EB322E"/>
    <w:rsid w:val="00EB323A"/>
    <w:rsid w:val="00EB3347"/>
    <w:rsid w:val="00EB336D"/>
    <w:rsid w:val="00EB33A1"/>
    <w:rsid w:val="00EB34FB"/>
    <w:rsid w:val="00EB3598"/>
    <w:rsid w:val="00EB35C3"/>
    <w:rsid w:val="00EB3627"/>
    <w:rsid w:val="00EB362F"/>
    <w:rsid w:val="00EB3738"/>
    <w:rsid w:val="00EB3749"/>
    <w:rsid w:val="00EB37EF"/>
    <w:rsid w:val="00EB3833"/>
    <w:rsid w:val="00EB3B97"/>
    <w:rsid w:val="00EB3BCB"/>
    <w:rsid w:val="00EB3C91"/>
    <w:rsid w:val="00EB3D61"/>
    <w:rsid w:val="00EB3E07"/>
    <w:rsid w:val="00EB3E62"/>
    <w:rsid w:val="00EB3F21"/>
    <w:rsid w:val="00EB3F91"/>
    <w:rsid w:val="00EB3FF3"/>
    <w:rsid w:val="00EB4039"/>
    <w:rsid w:val="00EB408E"/>
    <w:rsid w:val="00EB40D9"/>
    <w:rsid w:val="00EB40F4"/>
    <w:rsid w:val="00EB412C"/>
    <w:rsid w:val="00EB4181"/>
    <w:rsid w:val="00EB4248"/>
    <w:rsid w:val="00EB42E3"/>
    <w:rsid w:val="00EB4408"/>
    <w:rsid w:val="00EB4429"/>
    <w:rsid w:val="00EB4696"/>
    <w:rsid w:val="00EB46EB"/>
    <w:rsid w:val="00EB47D4"/>
    <w:rsid w:val="00EB4838"/>
    <w:rsid w:val="00EB489B"/>
    <w:rsid w:val="00EB48DB"/>
    <w:rsid w:val="00EB4990"/>
    <w:rsid w:val="00EB4A27"/>
    <w:rsid w:val="00EB4A6E"/>
    <w:rsid w:val="00EB4B1A"/>
    <w:rsid w:val="00EB4B4D"/>
    <w:rsid w:val="00EB4BF9"/>
    <w:rsid w:val="00EB4CCD"/>
    <w:rsid w:val="00EB4CDD"/>
    <w:rsid w:val="00EB4CFE"/>
    <w:rsid w:val="00EB4E6A"/>
    <w:rsid w:val="00EB4E90"/>
    <w:rsid w:val="00EB4F02"/>
    <w:rsid w:val="00EB4F3B"/>
    <w:rsid w:val="00EB4FA3"/>
    <w:rsid w:val="00EB5044"/>
    <w:rsid w:val="00EB5049"/>
    <w:rsid w:val="00EB508F"/>
    <w:rsid w:val="00EB5291"/>
    <w:rsid w:val="00EB5337"/>
    <w:rsid w:val="00EB545C"/>
    <w:rsid w:val="00EB5465"/>
    <w:rsid w:val="00EB54E6"/>
    <w:rsid w:val="00EB5505"/>
    <w:rsid w:val="00EB55BE"/>
    <w:rsid w:val="00EB5602"/>
    <w:rsid w:val="00EB562C"/>
    <w:rsid w:val="00EB562E"/>
    <w:rsid w:val="00EB5668"/>
    <w:rsid w:val="00EB5687"/>
    <w:rsid w:val="00EB57C0"/>
    <w:rsid w:val="00EB5817"/>
    <w:rsid w:val="00EB58D0"/>
    <w:rsid w:val="00EB5942"/>
    <w:rsid w:val="00EB597A"/>
    <w:rsid w:val="00EB59D8"/>
    <w:rsid w:val="00EB59DD"/>
    <w:rsid w:val="00EB5A2D"/>
    <w:rsid w:val="00EB5AB3"/>
    <w:rsid w:val="00EB5B6E"/>
    <w:rsid w:val="00EB5BBB"/>
    <w:rsid w:val="00EB5D4C"/>
    <w:rsid w:val="00EB5D63"/>
    <w:rsid w:val="00EB5D70"/>
    <w:rsid w:val="00EB5E0C"/>
    <w:rsid w:val="00EB5E84"/>
    <w:rsid w:val="00EB5F8A"/>
    <w:rsid w:val="00EB6023"/>
    <w:rsid w:val="00EB6072"/>
    <w:rsid w:val="00EB6211"/>
    <w:rsid w:val="00EB6243"/>
    <w:rsid w:val="00EB6251"/>
    <w:rsid w:val="00EB62FE"/>
    <w:rsid w:val="00EB6309"/>
    <w:rsid w:val="00EB6346"/>
    <w:rsid w:val="00EB639A"/>
    <w:rsid w:val="00EB63B9"/>
    <w:rsid w:val="00EB668F"/>
    <w:rsid w:val="00EB6732"/>
    <w:rsid w:val="00EB6751"/>
    <w:rsid w:val="00EB6790"/>
    <w:rsid w:val="00EB68C3"/>
    <w:rsid w:val="00EB6A34"/>
    <w:rsid w:val="00EB6A8A"/>
    <w:rsid w:val="00EB6C31"/>
    <w:rsid w:val="00EB6D24"/>
    <w:rsid w:val="00EB6D42"/>
    <w:rsid w:val="00EB6D43"/>
    <w:rsid w:val="00EB6DA0"/>
    <w:rsid w:val="00EB6DC5"/>
    <w:rsid w:val="00EB6F58"/>
    <w:rsid w:val="00EB6FFE"/>
    <w:rsid w:val="00EB7000"/>
    <w:rsid w:val="00EB700E"/>
    <w:rsid w:val="00EB746B"/>
    <w:rsid w:val="00EB74D6"/>
    <w:rsid w:val="00EB75B0"/>
    <w:rsid w:val="00EB75BC"/>
    <w:rsid w:val="00EB75D4"/>
    <w:rsid w:val="00EB7647"/>
    <w:rsid w:val="00EB776F"/>
    <w:rsid w:val="00EB77BE"/>
    <w:rsid w:val="00EB788F"/>
    <w:rsid w:val="00EB7938"/>
    <w:rsid w:val="00EB795F"/>
    <w:rsid w:val="00EB7AF5"/>
    <w:rsid w:val="00EB7B77"/>
    <w:rsid w:val="00EB7B81"/>
    <w:rsid w:val="00EB7BA5"/>
    <w:rsid w:val="00EB7BC5"/>
    <w:rsid w:val="00EB7C5E"/>
    <w:rsid w:val="00EB7D5E"/>
    <w:rsid w:val="00EB7DE1"/>
    <w:rsid w:val="00EB7E27"/>
    <w:rsid w:val="00EB7E65"/>
    <w:rsid w:val="00EB7F15"/>
    <w:rsid w:val="00EB7FD5"/>
    <w:rsid w:val="00EB7FD6"/>
    <w:rsid w:val="00EC00AC"/>
    <w:rsid w:val="00EC00E0"/>
    <w:rsid w:val="00EC013E"/>
    <w:rsid w:val="00EC014C"/>
    <w:rsid w:val="00EC01E5"/>
    <w:rsid w:val="00EC029E"/>
    <w:rsid w:val="00EC02CF"/>
    <w:rsid w:val="00EC034C"/>
    <w:rsid w:val="00EC042D"/>
    <w:rsid w:val="00EC0486"/>
    <w:rsid w:val="00EC051D"/>
    <w:rsid w:val="00EC055C"/>
    <w:rsid w:val="00EC0566"/>
    <w:rsid w:val="00EC0577"/>
    <w:rsid w:val="00EC057C"/>
    <w:rsid w:val="00EC0620"/>
    <w:rsid w:val="00EC06A8"/>
    <w:rsid w:val="00EC06F5"/>
    <w:rsid w:val="00EC0750"/>
    <w:rsid w:val="00EC07E2"/>
    <w:rsid w:val="00EC087B"/>
    <w:rsid w:val="00EC088F"/>
    <w:rsid w:val="00EC0964"/>
    <w:rsid w:val="00EC0988"/>
    <w:rsid w:val="00EC0AE3"/>
    <w:rsid w:val="00EC0B01"/>
    <w:rsid w:val="00EC0B54"/>
    <w:rsid w:val="00EC0BB0"/>
    <w:rsid w:val="00EC0C04"/>
    <w:rsid w:val="00EC0C8C"/>
    <w:rsid w:val="00EC0CB7"/>
    <w:rsid w:val="00EC0D15"/>
    <w:rsid w:val="00EC0E95"/>
    <w:rsid w:val="00EC0FB1"/>
    <w:rsid w:val="00EC0FB7"/>
    <w:rsid w:val="00EC1043"/>
    <w:rsid w:val="00EC104F"/>
    <w:rsid w:val="00EC1054"/>
    <w:rsid w:val="00EC10A6"/>
    <w:rsid w:val="00EC10F1"/>
    <w:rsid w:val="00EC118E"/>
    <w:rsid w:val="00EC137A"/>
    <w:rsid w:val="00EC13DD"/>
    <w:rsid w:val="00EC14E5"/>
    <w:rsid w:val="00EC1553"/>
    <w:rsid w:val="00EC1637"/>
    <w:rsid w:val="00EC1754"/>
    <w:rsid w:val="00EC17B1"/>
    <w:rsid w:val="00EC18F2"/>
    <w:rsid w:val="00EC1963"/>
    <w:rsid w:val="00EC19B5"/>
    <w:rsid w:val="00EC1A16"/>
    <w:rsid w:val="00EC1A5E"/>
    <w:rsid w:val="00EC1AB8"/>
    <w:rsid w:val="00EC1C56"/>
    <w:rsid w:val="00EC1CBA"/>
    <w:rsid w:val="00EC1E20"/>
    <w:rsid w:val="00EC1E53"/>
    <w:rsid w:val="00EC1E93"/>
    <w:rsid w:val="00EC1F05"/>
    <w:rsid w:val="00EC1F5B"/>
    <w:rsid w:val="00EC1FF6"/>
    <w:rsid w:val="00EC1FFE"/>
    <w:rsid w:val="00EC20C8"/>
    <w:rsid w:val="00EC2183"/>
    <w:rsid w:val="00EC226D"/>
    <w:rsid w:val="00EC2295"/>
    <w:rsid w:val="00EC22F9"/>
    <w:rsid w:val="00EC2389"/>
    <w:rsid w:val="00EC2408"/>
    <w:rsid w:val="00EC2429"/>
    <w:rsid w:val="00EC2433"/>
    <w:rsid w:val="00EC2457"/>
    <w:rsid w:val="00EC24D2"/>
    <w:rsid w:val="00EC24DD"/>
    <w:rsid w:val="00EC267F"/>
    <w:rsid w:val="00EC272B"/>
    <w:rsid w:val="00EC282C"/>
    <w:rsid w:val="00EC28B4"/>
    <w:rsid w:val="00EC28B6"/>
    <w:rsid w:val="00EC28F2"/>
    <w:rsid w:val="00EC2951"/>
    <w:rsid w:val="00EC2A1A"/>
    <w:rsid w:val="00EC2A3B"/>
    <w:rsid w:val="00EC2BD0"/>
    <w:rsid w:val="00EC2BD8"/>
    <w:rsid w:val="00EC2C21"/>
    <w:rsid w:val="00EC2D5E"/>
    <w:rsid w:val="00EC2D72"/>
    <w:rsid w:val="00EC2E9A"/>
    <w:rsid w:val="00EC30F0"/>
    <w:rsid w:val="00EC31CD"/>
    <w:rsid w:val="00EC326A"/>
    <w:rsid w:val="00EC333E"/>
    <w:rsid w:val="00EC3465"/>
    <w:rsid w:val="00EC356D"/>
    <w:rsid w:val="00EC357C"/>
    <w:rsid w:val="00EC35D5"/>
    <w:rsid w:val="00EC3641"/>
    <w:rsid w:val="00EC36C9"/>
    <w:rsid w:val="00EC36E1"/>
    <w:rsid w:val="00EC3756"/>
    <w:rsid w:val="00EC3794"/>
    <w:rsid w:val="00EC385E"/>
    <w:rsid w:val="00EC3938"/>
    <w:rsid w:val="00EC3A8C"/>
    <w:rsid w:val="00EC3AA0"/>
    <w:rsid w:val="00EC3B0C"/>
    <w:rsid w:val="00EC3B87"/>
    <w:rsid w:val="00EC3BB5"/>
    <w:rsid w:val="00EC3C5E"/>
    <w:rsid w:val="00EC3CBE"/>
    <w:rsid w:val="00EC3D20"/>
    <w:rsid w:val="00EC3D25"/>
    <w:rsid w:val="00EC3DD1"/>
    <w:rsid w:val="00EC3E25"/>
    <w:rsid w:val="00EC3F99"/>
    <w:rsid w:val="00EC3F9D"/>
    <w:rsid w:val="00EC3FD6"/>
    <w:rsid w:val="00EC3FFE"/>
    <w:rsid w:val="00EC401F"/>
    <w:rsid w:val="00EC402A"/>
    <w:rsid w:val="00EC403D"/>
    <w:rsid w:val="00EC40A2"/>
    <w:rsid w:val="00EC4285"/>
    <w:rsid w:val="00EC4450"/>
    <w:rsid w:val="00EC44E1"/>
    <w:rsid w:val="00EC4547"/>
    <w:rsid w:val="00EC462C"/>
    <w:rsid w:val="00EC4648"/>
    <w:rsid w:val="00EC464D"/>
    <w:rsid w:val="00EC4972"/>
    <w:rsid w:val="00EC4A66"/>
    <w:rsid w:val="00EC4B21"/>
    <w:rsid w:val="00EC4BD1"/>
    <w:rsid w:val="00EC4C7F"/>
    <w:rsid w:val="00EC4C81"/>
    <w:rsid w:val="00EC4C87"/>
    <w:rsid w:val="00EC4C98"/>
    <w:rsid w:val="00EC4D1C"/>
    <w:rsid w:val="00EC4D68"/>
    <w:rsid w:val="00EC4D80"/>
    <w:rsid w:val="00EC4D8C"/>
    <w:rsid w:val="00EC4E02"/>
    <w:rsid w:val="00EC4E57"/>
    <w:rsid w:val="00EC4F9F"/>
    <w:rsid w:val="00EC4FA6"/>
    <w:rsid w:val="00EC5055"/>
    <w:rsid w:val="00EC5092"/>
    <w:rsid w:val="00EC5094"/>
    <w:rsid w:val="00EC51B5"/>
    <w:rsid w:val="00EC51C9"/>
    <w:rsid w:val="00EC5215"/>
    <w:rsid w:val="00EC5264"/>
    <w:rsid w:val="00EC52EC"/>
    <w:rsid w:val="00EC52F4"/>
    <w:rsid w:val="00EC5389"/>
    <w:rsid w:val="00EC542B"/>
    <w:rsid w:val="00EC54C2"/>
    <w:rsid w:val="00EC54C7"/>
    <w:rsid w:val="00EC5608"/>
    <w:rsid w:val="00EC56B8"/>
    <w:rsid w:val="00EC56BA"/>
    <w:rsid w:val="00EC570D"/>
    <w:rsid w:val="00EC574A"/>
    <w:rsid w:val="00EC57A3"/>
    <w:rsid w:val="00EC57AD"/>
    <w:rsid w:val="00EC581D"/>
    <w:rsid w:val="00EC59FA"/>
    <w:rsid w:val="00EC5A0A"/>
    <w:rsid w:val="00EC5A14"/>
    <w:rsid w:val="00EC5AED"/>
    <w:rsid w:val="00EC5B5E"/>
    <w:rsid w:val="00EC5BB8"/>
    <w:rsid w:val="00EC5CBF"/>
    <w:rsid w:val="00EC5DDB"/>
    <w:rsid w:val="00EC5E1C"/>
    <w:rsid w:val="00EC5E6A"/>
    <w:rsid w:val="00EC5E9A"/>
    <w:rsid w:val="00EC5F24"/>
    <w:rsid w:val="00EC5F6A"/>
    <w:rsid w:val="00EC5FC4"/>
    <w:rsid w:val="00EC610B"/>
    <w:rsid w:val="00EC61AF"/>
    <w:rsid w:val="00EC61B0"/>
    <w:rsid w:val="00EC622D"/>
    <w:rsid w:val="00EC6348"/>
    <w:rsid w:val="00EC6349"/>
    <w:rsid w:val="00EC6361"/>
    <w:rsid w:val="00EC6403"/>
    <w:rsid w:val="00EC6451"/>
    <w:rsid w:val="00EC645C"/>
    <w:rsid w:val="00EC6516"/>
    <w:rsid w:val="00EC65CC"/>
    <w:rsid w:val="00EC65DE"/>
    <w:rsid w:val="00EC664C"/>
    <w:rsid w:val="00EC6696"/>
    <w:rsid w:val="00EC66DA"/>
    <w:rsid w:val="00EC6716"/>
    <w:rsid w:val="00EC673C"/>
    <w:rsid w:val="00EC6770"/>
    <w:rsid w:val="00EC67D3"/>
    <w:rsid w:val="00EC6821"/>
    <w:rsid w:val="00EC6823"/>
    <w:rsid w:val="00EC69CB"/>
    <w:rsid w:val="00EC6A5B"/>
    <w:rsid w:val="00EC6AB7"/>
    <w:rsid w:val="00EC6B22"/>
    <w:rsid w:val="00EC6BB0"/>
    <w:rsid w:val="00EC6CDD"/>
    <w:rsid w:val="00EC6D59"/>
    <w:rsid w:val="00EC6DA8"/>
    <w:rsid w:val="00EC6DD0"/>
    <w:rsid w:val="00EC6DD5"/>
    <w:rsid w:val="00EC6E58"/>
    <w:rsid w:val="00EC707C"/>
    <w:rsid w:val="00EC70ED"/>
    <w:rsid w:val="00EC7194"/>
    <w:rsid w:val="00EC71AD"/>
    <w:rsid w:val="00EC7301"/>
    <w:rsid w:val="00EC7346"/>
    <w:rsid w:val="00EC7391"/>
    <w:rsid w:val="00EC7392"/>
    <w:rsid w:val="00EC7450"/>
    <w:rsid w:val="00EC7489"/>
    <w:rsid w:val="00EC74D9"/>
    <w:rsid w:val="00EC74EF"/>
    <w:rsid w:val="00EC755E"/>
    <w:rsid w:val="00EC75B9"/>
    <w:rsid w:val="00EC75C1"/>
    <w:rsid w:val="00EC76E6"/>
    <w:rsid w:val="00EC7850"/>
    <w:rsid w:val="00EC7867"/>
    <w:rsid w:val="00EC794C"/>
    <w:rsid w:val="00EC7980"/>
    <w:rsid w:val="00EC7A66"/>
    <w:rsid w:val="00EC7A99"/>
    <w:rsid w:val="00EC7ACF"/>
    <w:rsid w:val="00EC7ADA"/>
    <w:rsid w:val="00EC7B17"/>
    <w:rsid w:val="00EC7B46"/>
    <w:rsid w:val="00EC7C80"/>
    <w:rsid w:val="00EC7D0D"/>
    <w:rsid w:val="00EC7EAF"/>
    <w:rsid w:val="00EC7F04"/>
    <w:rsid w:val="00EC7F1F"/>
    <w:rsid w:val="00EC7FAD"/>
    <w:rsid w:val="00EC7FC2"/>
    <w:rsid w:val="00ED007A"/>
    <w:rsid w:val="00ED0273"/>
    <w:rsid w:val="00ED035A"/>
    <w:rsid w:val="00ED039E"/>
    <w:rsid w:val="00ED03AB"/>
    <w:rsid w:val="00ED0576"/>
    <w:rsid w:val="00ED05C3"/>
    <w:rsid w:val="00ED0643"/>
    <w:rsid w:val="00ED0663"/>
    <w:rsid w:val="00ED06DD"/>
    <w:rsid w:val="00ED0741"/>
    <w:rsid w:val="00ED075F"/>
    <w:rsid w:val="00ED0815"/>
    <w:rsid w:val="00ED088C"/>
    <w:rsid w:val="00ED08BA"/>
    <w:rsid w:val="00ED09D4"/>
    <w:rsid w:val="00ED0B72"/>
    <w:rsid w:val="00ED0BD3"/>
    <w:rsid w:val="00ED0C78"/>
    <w:rsid w:val="00ED0CCA"/>
    <w:rsid w:val="00ED0CE5"/>
    <w:rsid w:val="00ED0D0C"/>
    <w:rsid w:val="00ED0ED6"/>
    <w:rsid w:val="00ED0F44"/>
    <w:rsid w:val="00ED0F4E"/>
    <w:rsid w:val="00ED0F54"/>
    <w:rsid w:val="00ED0FC5"/>
    <w:rsid w:val="00ED1016"/>
    <w:rsid w:val="00ED109F"/>
    <w:rsid w:val="00ED123D"/>
    <w:rsid w:val="00ED1260"/>
    <w:rsid w:val="00ED1275"/>
    <w:rsid w:val="00ED127E"/>
    <w:rsid w:val="00ED12A5"/>
    <w:rsid w:val="00ED137D"/>
    <w:rsid w:val="00ED1399"/>
    <w:rsid w:val="00ED13F5"/>
    <w:rsid w:val="00ED1458"/>
    <w:rsid w:val="00ED14DF"/>
    <w:rsid w:val="00ED1541"/>
    <w:rsid w:val="00ED157D"/>
    <w:rsid w:val="00ED168C"/>
    <w:rsid w:val="00ED16C9"/>
    <w:rsid w:val="00ED16F0"/>
    <w:rsid w:val="00ED1899"/>
    <w:rsid w:val="00ED18B3"/>
    <w:rsid w:val="00ED18CB"/>
    <w:rsid w:val="00ED1944"/>
    <w:rsid w:val="00ED1A4E"/>
    <w:rsid w:val="00ED1A7E"/>
    <w:rsid w:val="00ED1AF2"/>
    <w:rsid w:val="00ED1B95"/>
    <w:rsid w:val="00ED1BFB"/>
    <w:rsid w:val="00ED1C21"/>
    <w:rsid w:val="00ED1C37"/>
    <w:rsid w:val="00ED1C43"/>
    <w:rsid w:val="00ED1CAC"/>
    <w:rsid w:val="00ED1D07"/>
    <w:rsid w:val="00ED1D57"/>
    <w:rsid w:val="00ED1D83"/>
    <w:rsid w:val="00ED1D8F"/>
    <w:rsid w:val="00ED1DAB"/>
    <w:rsid w:val="00ED1DC0"/>
    <w:rsid w:val="00ED1DEB"/>
    <w:rsid w:val="00ED1F31"/>
    <w:rsid w:val="00ED20AD"/>
    <w:rsid w:val="00ED20DB"/>
    <w:rsid w:val="00ED2186"/>
    <w:rsid w:val="00ED2187"/>
    <w:rsid w:val="00ED21CE"/>
    <w:rsid w:val="00ED2277"/>
    <w:rsid w:val="00ED22E1"/>
    <w:rsid w:val="00ED2315"/>
    <w:rsid w:val="00ED233F"/>
    <w:rsid w:val="00ED23B4"/>
    <w:rsid w:val="00ED248D"/>
    <w:rsid w:val="00ED2576"/>
    <w:rsid w:val="00ED25D4"/>
    <w:rsid w:val="00ED2681"/>
    <w:rsid w:val="00ED2704"/>
    <w:rsid w:val="00ED27B5"/>
    <w:rsid w:val="00ED2804"/>
    <w:rsid w:val="00ED28A9"/>
    <w:rsid w:val="00ED2A11"/>
    <w:rsid w:val="00ED2B8C"/>
    <w:rsid w:val="00ED2DDE"/>
    <w:rsid w:val="00ED2E27"/>
    <w:rsid w:val="00ED2F41"/>
    <w:rsid w:val="00ED2F81"/>
    <w:rsid w:val="00ED2FC8"/>
    <w:rsid w:val="00ED30B6"/>
    <w:rsid w:val="00ED3116"/>
    <w:rsid w:val="00ED318D"/>
    <w:rsid w:val="00ED31A2"/>
    <w:rsid w:val="00ED31D8"/>
    <w:rsid w:val="00ED31EB"/>
    <w:rsid w:val="00ED31F5"/>
    <w:rsid w:val="00ED33B4"/>
    <w:rsid w:val="00ED33CE"/>
    <w:rsid w:val="00ED33DF"/>
    <w:rsid w:val="00ED33F2"/>
    <w:rsid w:val="00ED33F3"/>
    <w:rsid w:val="00ED350C"/>
    <w:rsid w:val="00ED353B"/>
    <w:rsid w:val="00ED353E"/>
    <w:rsid w:val="00ED35BA"/>
    <w:rsid w:val="00ED36D3"/>
    <w:rsid w:val="00ED36E8"/>
    <w:rsid w:val="00ED398A"/>
    <w:rsid w:val="00ED3AA3"/>
    <w:rsid w:val="00ED3B4D"/>
    <w:rsid w:val="00ED3BAB"/>
    <w:rsid w:val="00ED3C6F"/>
    <w:rsid w:val="00ED3E14"/>
    <w:rsid w:val="00ED3E8A"/>
    <w:rsid w:val="00ED3E8D"/>
    <w:rsid w:val="00ED3EF0"/>
    <w:rsid w:val="00ED3F5E"/>
    <w:rsid w:val="00ED3F6E"/>
    <w:rsid w:val="00ED3FFC"/>
    <w:rsid w:val="00ED402D"/>
    <w:rsid w:val="00ED405E"/>
    <w:rsid w:val="00ED40C6"/>
    <w:rsid w:val="00ED412E"/>
    <w:rsid w:val="00ED4252"/>
    <w:rsid w:val="00ED4281"/>
    <w:rsid w:val="00ED42DA"/>
    <w:rsid w:val="00ED431E"/>
    <w:rsid w:val="00ED4362"/>
    <w:rsid w:val="00ED4371"/>
    <w:rsid w:val="00ED4479"/>
    <w:rsid w:val="00ED455A"/>
    <w:rsid w:val="00ED4563"/>
    <w:rsid w:val="00ED4575"/>
    <w:rsid w:val="00ED457A"/>
    <w:rsid w:val="00ED458C"/>
    <w:rsid w:val="00ED45C1"/>
    <w:rsid w:val="00ED461C"/>
    <w:rsid w:val="00ED46B1"/>
    <w:rsid w:val="00ED47A9"/>
    <w:rsid w:val="00ED4822"/>
    <w:rsid w:val="00ED48CA"/>
    <w:rsid w:val="00ED48D5"/>
    <w:rsid w:val="00ED48E5"/>
    <w:rsid w:val="00ED493C"/>
    <w:rsid w:val="00ED4A4C"/>
    <w:rsid w:val="00ED4A55"/>
    <w:rsid w:val="00ED4A92"/>
    <w:rsid w:val="00ED4AFE"/>
    <w:rsid w:val="00ED4C1F"/>
    <w:rsid w:val="00ED4D3C"/>
    <w:rsid w:val="00ED4E20"/>
    <w:rsid w:val="00ED4EDB"/>
    <w:rsid w:val="00ED4FA2"/>
    <w:rsid w:val="00ED4FC5"/>
    <w:rsid w:val="00ED4FF5"/>
    <w:rsid w:val="00ED5048"/>
    <w:rsid w:val="00ED504B"/>
    <w:rsid w:val="00ED50AC"/>
    <w:rsid w:val="00ED50BE"/>
    <w:rsid w:val="00ED514E"/>
    <w:rsid w:val="00ED5155"/>
    <w:rsid w:val="00ED5226"/>
    <w:rsid w:val="00ED524E"/>
    <w:rsid w:val="00ED5258"/>
    <w:rsid w:val="00ED52D4"/>
    <w:rsid w:val="00ED52E3"/>
    <w:rsid w:val="00ED538C"/>
    <w:rsid w:val="00ED538D"/>
    <w:rsid w:val="00ED53B4"/>
    <w:rsid w:val="00ED53F1"/>
    <w:rsid w:val="00ED549D"/>
    <w:rsid w:val="00ED54AF"/>
    <w:rsid w:val="00ED54BE"/>
    <w:rsid w:val="00ED551D"/>
    <w:rsid w:val="00ED5545"/>
    <w:rsid w:val="00ED555C"/>
    <w:rsid w:val="00ED55E8"/>
    <w:rsid w:val="00ED5691"/>
    <w:rsid w:val="00ED57AB"/>
    <w:rsid w:val="00ED5893"/>
    <w:rsid w:val="00ED5900"/>
    <w:rsid w:val="00ED5A9D"/>
    <w:rsid w:val="00ED5CD9"/>
    <w:rsid w:val="00ED5DDB"/>
    <w:rsid w:val="00ED5EA0"/>
    <w:rsid w:val="00ED5F30"/>
    <w:rsid w:val="00ED5FE9"/>
    <w:rsid w:val="00ED601C"/>
    <w:rsid w:val="00ED606D"/>
    <w:rsid w:val="00ED619F"/>
    <w:rsid w:val="00ED62D0"/>
    <w:rsid w:val="00ED6554"/>
    <w:rsid w:val="00ED6584"/>
    <w:rsid w:val="00ED65DB"/>
    <w:rsid w:val="00ED6605"/>
    <w:rsid w:val="00ED661E"/>
    <w:rsid w:val="00ED6737"/>
    <w:rsid w:val="00ED6753"/>
    <w:rsid w:val="00ED6780"/>
    <w:rsid w:val="00ED67E0"/>
    <w:rsid w:val="00ED67F5"/>
    <w:rsid w:val="00ED6838"/>
    <w:rsid w:val="00ED68CF"/>
    <w:rsid w:val="00ED68E3"/>
    <w:rsid w:val="00ED6905"/>
    <w:rsid w:val="00ED6913"/>
    <w:rsid w:val="00ED696F"/>
    <w:rsid w:val="00ED69DB"/>
    <w:rsid w:val="00ED6B24"/>
    <w:rsid w:val="00ED6B8E"/>
    <w:rsid w:val="00ED6E5F"/>
    <w:rsid w:val="00ED6EDA"/>
    <w:rsid w:val="00ED6EF7"/>
    <w:rsid w:val="00ED7195"/>
    <w:rsid w:val="00ED71A9"/>
    <w:rsid w:val="00ED71D1"/>
    <w:rsid w:val="00ED72D8"/>
    <w:rsid w:val="00ED732D"/>
    <w:rsid w:val="00ED737B"/>
    <w:rsid w:val="00ED73DC"/>
    <w:rsid w:val="00ED7495"/>
    <w:rsid w:val="00ED7604"/>
    <w:rsid w:val="00ED7683"/>
    <w:rsid w:val="00ED7716"/>
    <w:rsid w:val="00ED782D"/>
    <w:rsid w:val="00ED783B"/>
    <w:rsid w:val="00ED784D"/>
    <w:rsid w:val="00ED789E"/>
    <w:rsid w:val="00ED79C1"/>
    <w:rsid w:val="00ED7A48"/>
    <w:rsid w:val="00ED7C3E"/>
    <w:rsid w:val="00ED7D19"/>
    <w:rsid w:val="00ED7D61"/>
    <w:rsid w:val="00ED7DFF"/>
    <w:rsid w:val="00ED7EEC"/>
    <w:rsid w:val="00ED7F1B"/>
    <w:rsid w:val="00ED7FAC"/>
    <w:rsid w:val="00ED7FC1"/>
    <w:rsid w:val="00EE0087"/>
    <w:rsid w:val="00EE0109"/>
    <w:rsid w:val="00EE022A"/>
    <w:rsid w:val="00EE0239"/>
    <w:rsid w:val="00EE024E"/>
    <w:rsid w:val="00EE0260"/>
    <w:rsid w:val="00EE02C3"/>
    <w:rsid w:val="00EE02C5"/>
    <w:rsid w:val="00EE02DC"/>
    <w:rsid w:val="00EE03BA"/>
    <w:rsid w:val="00EE0402"/>
    <w:rsid w:val="00EE04B2"/>
    <w:rsid w:val="00EE0600"/>
    <w:rsid w:val="00EE07C9"/>
    <w:rsid w:val="00EE07DC"/>
    <w:rsid w:val="00EE080D"/>
    <w:rsid w:val="00EE0869"/>
    <w:rsid w:val="00EE087E"/>
    <w:rsid w:val="00EE08DF"/>
    <w:rsid w:val="00EE0916"/>
    <w:rsid w:val="00EE09ED"/>
    <w:rsid w:val="00EE0A6C"/>
    <w:rsid w:val="00EE0B2F"/>
    <w:rsid w:val="00EE0B3F"/>
    <w:rsid w:val="00EE0B53"/>
    <w:rsid w:val="00EE0B5E"/>
    <w:rsid w:val="00EE0D1C"/>
    <w:rsid w:val="00EE0D51"/>
    <w:rsid w:val="00EE0E03"/>
    <w:rsid w:val="00EE0ED1"/>
    <w:rsid w:val="00EE0EEE"/>
    <w:rsid w:val="00EE0FB7"/>
    <w:rsid w:val="00EE0FD4"/>
    <w:rsid w:val="00EE1034"/>
    <w:rsid w:val="00EE1041"/>
    <w:rsid w:val="00EE106A"/>
    <w:rsid w:val="00EE10CC"/>
    <w:rsid w:val="00EE112A"/>
    <w:rsid w:val="00EE112F"/>
    <w:rsid w:val="00EE12B1"/>
    <w:rsid w:val="00EE12E6"/>
    <w:rsid w:val="00EE135C"/>
    <w:rsid w:val="00EE1416"/>
    <w:rsid w:val="00EE143A"/>
    <w:rsid w:val="00EE14FA"/>
    <w:rsid w:val="00EE154A"/>
    <w:rsid w:val="00EE1609"/>
    <w:rsid w:val="00EE1662"/>
    <w:rsid w:val="00EE16D4"/>
    <w:rsid w:val="00EE1870"/>
    <w:rsid w:val="00EE189D"/>
    <w:rsid w:val="00EE1B2F"/>
    <w:rsid w:val="00EE1B47"/>
    <w:rsid w:val="00EE1B9C"/>
    <w:rsid w:val="00EE1BBF"/>
    <w:rsid w:val="00EE1BC1"/>
    <w:rsid w:val="00EE1C02"/>
    <w:rsid w:val="00EE1D38"/>
    <w:rsid w:val="00EE1DA9"/>
    <w:rsid w:val="00EE1E25"/>
    <w:rsid w:val="00EE1E3D"/>
    <w:rsid w:val="00EE1FAB"/>
    <w:rsid w:val="00EE1FC0"/>
    <w:rsid w:val="00EE2081"/>
    <w:rsid w:val="00EE20F4"/>
    <w:rsid w:val="00EE2119"/>
    <w:rsid w:val="00EE21DA"/>
    <w:rsid w:val="00EE2282"/>
    <w:rsid w:val="00EE22AE"/>
    <w:rsid w:val="00EE23CE"/>
    <w:rsid w:val="00EE2407"/>
    <w:rsid w:val="00EE249F"/>
    <w:rsid w:val="00EE24A0"/>
    <w:rsid w:val="00EE2678"/>
    <w:rsid w:val="00EE273C"/>
    <w:rsid w:val="00EE2741"/>
    <w:rsid w:val="00EE27A1"/>
    <w:rsid w:val="00EE27B4"/>
    <w:rsid w:val="00EE284C"/>
    <w:rsid w:val="00EE288B"/>
    <w:rsid w:val="00EE29CD"/>
    <w:rsid w:val="00EE2A95"/>
    <w:rsid w:val="00EE2AA1"/>
    <w:rsid w:val="00EE2B8C"/>
    <w:rsid w:val="00EE2C09"/>
    <w:rsid w:val="00EE2D0A"/>
    <w:rsid w:val="00EE2D99"/>
    <w:rsid w:val="00EE2DB9"/>
    <w:rsid w:val="00EE2E82"/>
    <w:rsid w:val="00EE2EC6"/>
    <w:rsid w:val="00EE2F4B"/>
    <w:rsid w:val="00EE2F4F"/>
    <w:rsid w:val="00EE2F59"/>
    <w:rsid w:val="00EE2F63"/>
    <w:rsid w:val="00EE3067"/>
    <w:rsid w:val="00EE314A"/>
    <w:rsid w:val="00EE32C8"/>
    <w:rsid w:val="00EE32CA"/>
    <w:rsid w:val="00EE32E6"/>
    <w:rsid w:val="00EE3319"/>
    <w:rsid w:val="00EE3321"/>
    <w:rsid w:val="00EE3401"/>
    <w:rsid w:val="00EE357A"/>
    <w:rsid w:val="00EE35E3"/>
    <w:rsid w:val="00EE366F"/>
    <w:rsid w:val="00EE36C5"/>
    <w:rsid w:val="00EE36E0"/>
    <w:rsid w:val="00EE374D"/>
    <w:rsid w:val="00EE377E"/>
    <w:rsid w:val="00EE37FC"/>
    <w:rsid w:val="00EE381C"/>
    <w:rsid w:val="00EE382C"/>
    <w:rsid w:val="00EE38BF"/>
    <w:rsid w:val="00EE3931"/>
    <w:rsid w:val="00EE3A11"/>
    <w:rsid w:val="00EE3A32"/>
    <w:rsid w:val="00EE3CD0"/>
    <w:rsid w:val="00EE3CD8"/>
    <w:rsid w:val="00EE3CEC"/>
    <w:rsid w:val="00EE3D6B"/>
    <w:rsid w:val="00EE4111"/>
    <w:rsid w:val="00EE41B5"/>
    <w:rsid w:val="00EE4225"/>
    <w:rsid w:val="00EE428E"/>
    <w:rsid w:val="00EE433D"/>
    <w:rsid w:val="00EE444D"/>
    <w:rsid w:val="00EE44CF"/>
    <w:rsid w:val="00EE456D"/>
    <w:rsid w:val="00EE4587"/>
    <w:rsid w:val="00EE4609"/>
    <w:rsid w:val="00EE4711"/>
    <w:rsid w:val="00EE47AF"/>
    <w:rsid w:val="00EE482E"/>
    <w:rsid w:val="00EE48C6"/>
    <w:rsid w:val="00EE4914"/>
    <w:rsid w:val="00EE4933"/>
    <w:rsid w:val="00EE4BC4"/>
    <w:rsid w:val="00EE4C1E"/>
    <w:rsid w:val="00EE4C6A"/>
    <w:rsid w:val="00EE4DD6"/>
    <w:rsid w:val="00EE4E50"/>
    <w:rsid w:val="00EE4F96"/>
    <w:rsid w:val="00EE5018"/>
    <w:rsid w:val="00EE516D"/>
    <w:rsid w:val="00EE51CD"/>
    <w:rsid w:val="00EE5335"/>
    <w:rsid w:val="00EE5353"/>
    <w:rsid w:val="00EE541E"/>
    <w:rsid w:val="00EE5485"/>
    <w:rsid w:val="00EE54A8"/>
    <w:rsid w:val="00EE54E0"/>
    <w:rsid w:val="00EE54EA"/>
    <w:rsid w:val="00EE5549"/>
    <w:rsid w:val="00EE5564"/>
    <w:rsid w:val="00EE563A"/>
    <w:rsid w:val="00EE572A"/>
    <w:rsid w:val="00EE575A"/>
    <w:rsid w:val="00EE57C6"/>
    <w:rsid w:val="00EE585C"/>
    <w:rsid w:val="00EE5889"/>
    <w:rsid w:val="00EE590A"/>
    <w:rsid w:val="00EE5A1F"/>
    <w:rsid w:val="00EE5A38"/>
    <w:rsid w:val="00EE5BFE"/>
    <w:rsid w:val="00EE5C6C"/>
    <w:rsid w:val="00EE5CB3"/>
    <w:rsid w:val="00EE5D06"/>
    <w:rsid w:val="00EE5D34"/>
    <w:rsid w:val="00EE5E0B"/>
    <w:rsid w:val="00EE5E91"/>
    <w:rsid w:val="00EE5F41"/>
    <w:rsid w:val="00EE623A"/>
    <w:rsid w:val="00EE6314"/>
    <w:rsid w:val="00EE63D4"/>
    <w:rsid w:val="00EE642F"/>
    <w:rsid w:val="00EE64A5"/>
    <w:rsid w:val="00EE64B5"/>
    <w:rsid w:val="00EE64E2"/>
    <w:rsid w:val="00EE654A"/>
    <w:rsid w:val="00EE6571"/>
    <w:rsid w:val="00EE65B5"/>
    <w:rsid w:val="00EE662C"/>
    <w:rsid w:val="00EE666C"/>
    <w:rsid w:val="00EE66ED"/>
    <w:rsid w:val="00EE6710"/>
    <w:rsid w:val="00EE676D"/>
    <w:rsid w:val="00EE677C"/>
    <w:rsid w:val="00EE67B1"/>
    <w:rsid w:val="00EE685B"/>
    <w:rsid w:val="00EE6870"/>
    <w:rsid w:val="00EE6930"/>
    <w:rsid w:val="00EE695D"/>
    <w:rsid w:val="00EE69BF"/>
    <w:rsid w:val="00EE6B10"/>
    <w:rsid w:val="00EE6B8E"/>
    <w:rsid w:val="00EE6BED"/>
    <w:rsid w:val="00EE6C19"/>
    <w:rsid w:val="00EE6D2C"/>
    <w:rsid w:val="00EE6D53"/>
    <w:rsid w:val="00EE6E73"/>
    <w:rsid w:val="00EE7000"/>
    <w:rsid w:val="00EE7043"/>
    <w:rsid w:val="00EE706D"/>
    <w:rsid w:val="00EE7072"/>
    <w:rsid w:val="00EE71B4"/>
    <w:rsid w:val="00EE7200"/>
    <w:rsid w:val="00EE727D"/>
    <w:rsid w:val="00EE74ED"/>
    <w:rsid w:val="00EE7533"/>
    <w:rsid w:val="00EE75F8"/>
    <w:rsid w:val="00EE7793"/>
    <w:rsid w:val="00EE77AC"/>
    <w:rsid w:val="00EE77B8"/>
    <w:rsid w:val="00EE77FC"/>
    <w:rsid w:val="00EE7901"/>
    <w:rsid w:val="00EE7969"/>
    <w:rsid w:val="00EE79D6"/>
    <w:rsid w:val="00EE7A4D"/>
    <w:rsid w:val="00EE7AFE"/>
    <w:rsid w:val="00EE7B31"/>
    <w:rsid w:val="00EE7B61"/>
    <w:rsid w:val="00EE7C6A"/>
    <w:rsid w:val="00EE7CD2"/>
    <w:rsid w:val="00EE7D16"/>
    <w:rsid w:val="00EE7D30"/>
    <w:rsid w:val="00EE7E16"/>
    <w:rsid w:val="00EE7EA7"/>
    <w:rsid w:val="00EE7EFE"/>
    <w:rsid w:val="00EF00AE"/>
    <w:rsid w:val="00EF0110"/>
    <w:rsid w:val="00EF0129"/>
    <w:rsid w:val="00EF0142"/>
    <w:rsid w:val="00EF01DC"/>
    <w:rsid w:val="00EF02A7"/>
    <w:rsid w:val="00EF0370"/>
    <w:rsid w:val="00EF03AD"/>
    <w:rsid w:val="00EF0403"/>
    <w:rsid w:val="00EF0455"/>
    <w:rsid w:val="00EF0477"/>
    <w:rsid w:val="00EF048E"/>
    <w:rsid w:val="00EF04DE"/>
    <w:rsid w:val="00EF054F"/>
    <w:rsid w:val="00EF0580"/>
    <w:rsid w:val="00EF062F"/>
    <w:rsid w:val="00EF0652"/>
    <w:rsid w:val="00EF0680"/>
    <w:rsid w:val="00EF06DC"/>
    <w:rsid w:val="00EF0783"/>
    <w:rsid w:val="00EF08AB"/>
    <w:rsid w:val="00EF090A"/>
    <w:rsid w:val="00EF09AB"/>
    <w:rsid w:val="00EF0A40"/>
    <w:rsid w:val="00EF0A4A"/>
    <w:rsid w:val="00EF0B5D"/>
    <w:rsid w:val="00EF0B7D"/>
    <w:rsid w:val="00EF0C15"/>
    <w:rsid w:val="00EF0CA5"/>
    <w:rsid w:val="00EF0CEA"/>
    <w:rsid w:val="00EF0D74"/>
    <w:rsid w:val="00EF0E3C"/>
    <w:rsid w:val="00EF0E5F"/>
    <w:rsid w:val="00EF0EBD"/>
    <w:rsid w:val="00EF0ECF"/>
    <w:rsid w:val="00EF0F25"/>
    <w:rsid w:val="00EF0F35"/>
    <w:rsid w:val="00EF0FEE"/>
    <w:rsid w:val="00EF1026"/>
    <w:rsid w:val="00EF10AF"/>
    <w:rsid w:val="00EF1180"/>
    <w:rsid w:val="00EF11A6"/>
    <w:rsid w:val="00EF11AD"/>
    <w:rsid w:val="00EF11F4"/>
    <w:rsid w:val="00EF126D"/>
    <w:rsid w:val="00EF1290"/>
    <w:rsid w:val="00EF13D3"/>
    <w:rsid w:val="00EF14D0"/>
    <w:rsid w:val="00EF1501"/>
    <w:rsid w:val="00EF1550"/>
    <w:rsid w:val="00EF169D"/>
    <w:rsid w:val="00EF1715"/>
    <w:rsid w:val="00EF171B"/>
    <w:rsid w:val="00EF17E9"/>
    <w:rsid w:val="00EF17F0"/>
    <w:rsid w:val="00EF1861"/>
    <w:rsid w:val="00EF189B"/>
    <w:rsid w:val="00EF1924"/>
    <w:rsid w:val="00EF196D"/>
    <w:rsid w:val="00EF19D9"/>
    <w:rsid w:val="00EF1B28"/>
    <w:rsid w:val="00EF1B4F"/>
    <w:rsid w:val="00EF1BF9"/>
    <w:rsid w:val="00EF1CD3"/>
    <w:rsid w:val="00EF1D6A"/>
    <w:rsid w:val="00EF1D94"/>
    <w:rsid w:val="00EF1DE7"/>
    <w:rsid w:val="00EF1E0A"/>
    <w:rsid w:val="00EF1E43"/>
    <w:rsid w:val="00EF1E89"/>
    <w:rsid w:val="00EF1EE0"/>
    <w:rsid w:val="00EF1F36"/>
    <w:rsid w:val="00EF1F84"/>
    <w:rsid w:val="00EF1F98"/>
    <w:rsid w:val="00EF1FC9"/>
    <w:rsid w:val="00EF2016"/>
    <w:rsid w:val="00EF2196"/>
    <w:rsid w:val="00EF21B8"/>
    <w:rsid w:val="00EF21C1"/>
    <w:rsid w:val="00EF21EF"/>
    <w:rsid w:val="00EF229D"/>
    <w:rsid w:val="00EF235C"/>
    <w:rsid w:val="00EF23A1"/>
    <w:rsid w:val="00EF2408"/>
    <w:rsid w:val="00EF2569"/>
    <w:rsid w:val="00EF2653"/>
    <w:rsid w:val="00EF26DF"/>
    <w:rsid w:val="00EF2709"/>
    <w:rsid w:val="00EF27B1"/>
    <w:rsid w:val="00EF27E3"/>
    <w:rsid w:val="00EF282D"/>
    <w:rsid w:val="00EF28CE"/>
    <w:rsid w:val="00EF2974"/>
    <w:rsid w:val="00EF2B52"/>
    <w:rsid w:val="00EF2B6D"/>
    <w:rsid w:val="00EF2B9E"/>
    <w:rsid w:val="00EF2C0B"/>
    <w:rsid w:val="00EF2C34"/>
    <w:rsid w:val="00EF2C40"/>
    <w:rsid w:val="00EF2C5B"/>
    <w:rsid w:val="00EF2C74"/>
    <w:rsid w:val="00EF2CAB"/>
    <w:rsid w:val="00EF2D18"/>
    <w:rsid w:val="00EF2D5B"/>
    <w:rsid w:val="00EF2DFF"/>
    <w:rsid w:val="00EF2E6E"/>
    <w:rsid w:val="00EF2E75"/>
    <w:rsid w:val="00EF2E93"/>
    <w:rsid w:val="00EF315F"/>
    <w:rsid w:val="00EF331C"/>
    <w:rsid w:val="00EF336D"/>
    <w:rsid w:val="00EF336E"/>
    <w:rsid w:val="00EF33C8"/>
    <w:rsid w:val="00EF33CB"/>
    <w:rsid w:val="00EF33E2"/>
    <w:rsid w:val="00EF33FA"/>
    <w:rsid w:val="00EF3446"/>
    <w:rsid w:val="00EF355B"/>
    <w:rsid w:val="00EF3614"/>
    <w:rsid w:val="00EF3678"/>
    <w:rsid w:val="00EF36EA"/>
    <w:rsid w:val="00EF372C"/>
    <w:rsid w:val="00EF373B"/>
    <w:rsid w:val="00EF38DF"/>
    <w:rsid w:val="00EF3925"/>
    <w:rsid w:val="00EF394A"/>
    <w:rsid w:val="00EF3958"/>
    <w:rsid w:val="00EF3A60"/>
    <w:rsid w:val="00EF3AD7"/>
    <w:rsid w:val="00EF3BBF"/>
    <w:rsid w:val="00EF3BCC"/>
    <w:rsid w:val="00EF3BD7"/>
    <w:rsid w:val="00EF3D1A"/>
    <w:rsid w:val="00EF3D5E"/>
    <w:rsid w:val="00EF3D7A"/>
    <w:rsid w:val="00EF4079"/>
    <w:rsid w:val="00EF426A"/>
    <w:rsid w:val="00EF42A4"/>
    <w:rsid w:val="00EF43D1"/>
    <w:rsid w:val="00EF446A"/>
    <w:rsid w:val="00EF44EA"/>
    <w:rsid w:val="00EF453E"/>
    <w:rsid w:val="00EF4780"/>
    <w:rsid w:val="00EF47C9"/>
    <w:rsid w:val="00EF4835"/>
    <w:rsid w:val="00EF485D"/>
    <w:rsid w:val="00EF489C"/>
    <w:rsid w:val="00EF4963"/>
    <w:rsid w:val="00EF499E"/>
    <w:rsid w:val="00EF4A9C"/>
    <w:rsid w:val="00EF4AB6"/>
    <w:rsid w:val="00EF4AE7"/>
    <w:rsid w:val="00EF4B03"/>
    <w:rsid w:val="00EF4B19"/>
    <w:rsid w:val="00EF4C3B"/>
    <w:rsid w:val="00EF4C55"/>
    <w:rsid w:val="00EF4CD6"/>
    <w:rsid w:val="00EF4CF8"/>
    <w:rsid w:val="00EF4E66"/>
    <w:rsid w:val="00EF4E82"/>
    <w:rsid w:val="00EF5006"/>
    <w:rsid w:val="00EF511A"/>
    <w:rsid w:val="00EF5142"/>
    <w:rsid w:val="00EF522D"/>
    <w:rsid w:val="00EF52C3"/>
    <w:rsid w:val="00EF5377"/>
    <w:rsid w:val="00EF541E"/>
    <w:rsid w:val="00EF5452"/>
    <w:rsid w:val="00EF5609"/>
    <w:rsid w:val="00EF577C"/>
    <w:rsid w:val="00EF579B"/>
    <w:rsid w:val="00EF5843"/>
    <w:rsid w:val="00EF58DF"/>
    <w:rsid w:val="00EF5942"/>
    <w:rsid w:val="00EF59E0"/>
    <w:rsid w:val="00EF5A4A"/>
    <w:rsid w:val="00EF5A9B"/>
    <w:rsid w:val="00EF5AA2"/>
    <w:rsid w:val="00EF5AFE"/>
    <w:rsid w:val="00EF5AFF"/>
    <w:rsid w:val="00EF5B2A"/>
    <w:rsid w:val="00EF5B6C"/>
    <w:rsid w:val="00EF5B78"/>
    <w:rsid w:val="00EF5D06"/>
    <w:rsid w:val="00EF5E9E"/>
    <w:rsid w:val="00EF5EFD"/>
    <w:rsid w:val="00EF5F76"/>
    <w:rsid w:val="00EF5F81"/>
    <w:rsid w:val="00EF6030"/>
    <w:rsid w:val="00EF603D"/>
    <w:rsid w:val="00EF6093"/>
    <w:rsid w:val="00EF60ED"/>
    <w:rsid w:val="00EF6119"/>
    <w:rsid w:val="00EF6195"/>
    <w:rsid w:val="00EF628D"/>
    <w:rsid w:val="00EF633A"/>
    <w:rsid w:val="00EF635A"/>
    <w:rsid w:val="00EF643D"/>
    <w:rsid w:val="00EF6489"/>
    <w:rsid w:val="00EF64B2"/>
    <w:rsid w:val="00EF64D8"/>
    <w:rsid w:val="00EF64E8"/>
    <w:rsid w:val="00EF64FE"/>
    <w:rsid w:val="00EF6614"/>
    <w:rsid w:val="00EF667F"/>
    <w:rsid w:val="00EF670C"/>
    <w:rsid w:val="00EF6767"/>
    <w:rsid w:val="00EF6828"/>
    <w:rsid w:val="00EF682A"/>
    <w:rsid w:val="00EF6845"/>
    <w:rsid w:val="00EF69E0"/>
    <w:rsid w:val="00EF6A2F"/>
    <w:rsid w:val="00EF6A67"/>
    <w:rsid w:val="00EF6AE7"/>
    <w:rsid w:val="00EF6B23"/>
    <w:rsid w:val="00EF6B48"/>
    <w:rsid w:val="00EF6BA7"/>
    <w:rsid w:val="00EF6BC1"/>
    <w:rsid w:val="00EF6C44"/>
    <w:rsid w:val="00EF6C69"/>
    <w:rsid w:val="00EF6CAA"/>
    <w:rsid w:val="00EF6D0D"/>
    <w:rsid w:val="00EF6D2D"/>
    <w:rsid w:val="00EF6D6A"/>
    <w:rsid w:val="00EF6E32"/>
    <w:rsid w:val="00EF6E33"/>
    <w:rsid w:val="00EF6EFD"/>
    <w:rsid w:val="00EF6F7B"/>
    <w:rsid w:val="00EF6F80"/>
    <w:rsid w:val="00EF701E"/>
    <w:rsid w:val="00EF7060"/>
    <w:rsid w:val="00EF70E2"/>
    <w:rsid w:val="00EF70F1"/>
    <w:rsid w:val="00EF7159"/>
    <w:rsid w:val="00EF739F"/>
    <w:rsid w:val="00EF7481"/>
    <w:rsid w:val="00EF74F2"/>
    <w:rsid w:val="00EF756B"/>
    <w:rsid w:val="00EF7574"/>
    <w:rsid w:val="00EF768E"/>
    <w:rsid w:val="00EF7697"/>
    <w:rsid w:val="00EF769D"/>
    <w:rsid w:val="00EF76F5"/>
    <w:rsid w:val="00EF7839"/>
    <w:rsid w:val="00EF788D"/>
    <w:rsid w:val="00EF79AA"/>
    <w:rsid w:val="00EF79E4"/>
    <w:rsid w:val="00EF7A2A"/>
    <w:rsid w:val="00EF7A6D"/>
    <w:rsid w:val="00EF7BD2"/>
    <w:rsid w:val="00EF7C0A"/>
    <w:rsid w:val="00EF7D4B"/>
    <w:rsid w:val="00EF7DFE"/>
    <w:rsid w:val="00EF7E07"/>
    <w:rsid w:val="00EF7E67"/>
    <w:rsid w:val="00EF7E6B"/>
    <w:rsid w:val="00EF7F08"/>
    <w:rsid w:val="00EF7F1F"/>
    <w:rsid w:val="00EF7F2F"/>
    <w:rsid w:val="00EF7FC4"/>
    <w:rsid w:val="00F000C2"/>
    <w:rsid w:val="00F00113"/>
    <w:rsid w:val="00F001F1"/>
    <w:rsid w:val="00F0020F"/>
    <w:rsid w:val="00F0028F"/>
    <w:rsid w:val="00F002D0"/>
    <w:rsid w:val="00F002F2"/>
    <w:rsid w:val="00F0031F"/>
    <w:rsid w:val="00F0032A"/>
    <w:rsid w:val="00F00366"/>
    <w:rsid w:val="00F004B6"/>
    <w:rsid w:val="00F0054C"/>
    <w:rsid w:val="00F005F4"/>
    <w:rsid w:val="00F00602"/>
    <w:rsid w:val="00F00671"/>
    <w:rsid w:val="00F006A3"/>
    <w:rsid w:val="00F006D9"/>
    <w:rsid w:val="00F006EC"/>
    <w:rsid w:val="00F00765"/>
    <w:rsid w:val="00F0086B"/>
    <w:rsid w:val="00F00889"/>
    <w:rsid w:val="00F00895"/>
    <w:rsid w:val="00F008A6"/>
    <w:rsid w:val="00F00944"/>
    <w:rsid w:val="00F009C1"/>
    <w:rsid w:val="00F00A47"/>
    <w:rsid w:val="00F00A63"/>
    <w:rsid w:val="00F00A9D"/>
    <w:rsid w:val="00F00AF9"/>
    <w:rsid w:val="00F00B7A"/>
    <w:rsid w:val="00F00BB0"/>
    <w:rsid w:val="00F00BC5"/>
    <w:rsid w:val="00F00C22"/>
    <w:rsid w:val="00F00C31"/>
    <w:rsid w:val="00F00CBC"/>
    <w:rsid w:val="00F00D8F"/>
    <w:rsid w:val="00F00F89"/>
    <w:rsid w:val="00F00FE0"/>
    <w:rsid w:val="00F0113B"/>
    <w:rsid w:val="00F011AF"/>
    <w:rsid w:val="00F01201"/>
    <w:rsid w:val="00F0124B"/>
    <w:rsid w:val="00F01330"/>
    <w:rsid w:val="00F01399"/>
    <w:rsid w:val="00F01474"/>
    <w:rsid w:val="00F015C0"/>
    <w:rsid w:val="00F01691"/>
    <w:rsid w:val="00F016DD"/>
    <w:rsid w:val="00F01893"/>
    <w:rsid w:val="00F018A0"/>
    <w:rsid w:val="00F01929"/>
    <w:rsid w:val="00F01A3A"/>
    <w:rsid w:val="00F01A54"/>
    <w:rsid w:val="00F01B3B"/>
    <w:rsid w:val="00F01B51"/>
    <w:rsid w:val="00F01CA0"/>
    <w:rsid w:val="00F01E87"/>
    <w:rsid w:val="00F01E8E"/>
    <w:rsid w:val="00F02036"/>
    <w:rsid w:val="00F02126"/>
    <w:rsid w:val="00F0219D"/>
    <w:rsid w:val="00F022E0"/>
    <w:rsid w:val="00F0235C"/>
    <w:rsid w:val="00F02383"/>
    <w:rsid w:val="00F024B8"/>
    <w:rsid w:val="00F0259A"/>
    <w:rsid w:val="00F02612"/>
    <w:rsid w:val="00F0264A"/>
    <w:rsid w:val="00F026AA"/>
    <w:rsid w:val="00F0279A"/>
    <w:rsid w:val="00F027C3"/>
    <w:rsid w:val="00F02833"/>
    <w:rsid w:val="00F028D9"/>
    <w:rsid w:val="00F02937"/>
    <w:rsid w:val="00F02B6A"/>
    <w:rsid w:val="00F02BDC"/>
    <w:rsid w:val="00F02D3F"/>
    <w:rsid w:val="00F02D8E"/>
    <w:rsid w:val="00F02D91"/>
    <w:rsid w:val="00F02DC6"/>
    <w:rsid w:val="00F02E92"/>
    <w:rsid w:val="00F02EDB"/>
    <w:rsid w:val="00F02FD8"/>
    <w:rsid w:val="00F02FE8"/>
    <w:rsid w:val="00F03056"/>
    <w:rsid w:val="00F030EB"/>
    <w:rsid w:val="00F03194"/>
    <w:rsid w:val="00F0320F"/>
    <w:rsid w:val="00F033AE"/>
    <w:rsid w:val="00F0344A"/>
    <w:rsid w:val="00F034ED"/>
    <w:rsid w:val="00F03548"/>
    <w:rsid w:val="00F03559"/>
    <w:rsid w:val="00F03588"/>
    <w:rsid w:val="00F035DF"/>
    <w:rsid w:val="00F0362F"/>
    <w:rsid w:val="00F037C1"/>
    <w:rsid w:val="00F0381B"/>
    <w:rsid w:val="00F03A73"/>
    <w:rsid w:val="00F03A8D"/>
    <w:rsid w:val="00F03D19"/>
    <w:rsid w:val="00F03DD4"/>
    <w:rsid w:val="00F03E6F"/>
    <w:rsid w:val="00F04033"/>
    <w:rsid w:val="00F0408F"/>
    <w:rsid w:val="00F040B1"/>
    <w:rsid w:val="00F040E3"/>
    <w:rsid w:val="00F04183"/>
    <w:rsid w:val="00F041B3"/>
    <w:rsid w:val="00F04202"/>
    <w:rsid w:val="00F04206"/>
    <w:rsid w:val="00F042AB"/>
    <w:rsid w:val="00F04328"/>
    <w:rsid w:val="00F04377"/>
    <w:rsid w:val="00F04411"/>
    <w:rsid w:val="00F04422"/>
    <w:rsid w:val="00F04552"/>
    <w:rsid w:val="00F04727"/>
    <w:rsid w:val="00F047D0"/>
    <w:rsid w:val="00F047DF"/>
    <w:rsid w:val="00F0481E"/>
    <w:rsid w:val="00F04828"/>
    <w:rsid w:val="00F0488F"/>
    <w:rsid w:val="00F0489D"/>
    <w:rsid w:val="00F048F0"/>
    <w:rsid w:val="00F04952"/>
    <w:rsid w:val="00F04A7E"/>
    <w:rsid w:val="00F04A9F"/>
    <w:rsid w:val="00F04AF0"/>
    <w:rsid w:val="00F04BC3"/>
    <w:rsid w:val="00F04CEA"/>
    <w:rsid w:val="00F04DFE"/>
    <w:rsid w:val="00F0512F"/>
    <w:rsid w:val="00F05146"/>
    <w:rsid w:val="00F05192"/>
    <w:rsid w:val="00F05204"/>
    <w:rsid w:val="00F052C6"/>
    <w:rsid w:val="00F0536C"/>
    <w:rsid w:val="00F053B1"/>
    <w:rsid w:val="00F05462"/>
    <w:rsid w:val="00F05487"/>
    <w:rsid w:val="00F0549A"/>
    <w:rsid w:val="00F05535"/>
    <w:rsid w:val="00F05550"/>
    <w:rsid w:val="00F05650"/>
    <w:rsid w:val="00F0566F"/>
    <w:rsid w:val="00F056AE"/>
    <w:rsid w:val="00F05716"/>
    <w:rsid w:val="00F05732"/>
    <w:rsid w:val="00F0585C"/>
    <w:rsid w:val="00F0585E"/>
    <w:rsid w:val="00F0590E"/>
    <w:rsid w:val="00F05AC4"/>
    <w:rsid w:val="00F05B40"/>
    <w:rsid w:val="00F05B4E"/>
    <w:rsid w:val="00F05C00"/>
    <w:rsid w:val="00F05C0A"/>
    <w:rsid w:val="00F05C4A"/>
    <w:rsid w:val="00F05D28"/>
    <w:rsid w:val="00F05DC7"/>
    <w:rsid w:val="00F05DED"/>
    <w:rsid w:val="00F05E1B"/>
    <w:rsid w:val="00F05E47"/>
    <w:rsid w:val="00F05ECF"/>
    <w:rsid w:val="00F05FA5"/>
    <w:rsid w:val="00F06096"/>
    <w:rsid w:val="00F06284"/>
    <w:rsid w:val="00F06304"/>
    <w:rsid w:val="00F0636C"/>
    <w:rsid w:val="00F0642F"/>
    <w:rsid w:val="00F06497"/>
    <w:rsid w:val="00F065A7"/>
    <w:rsid w:val="00F065DE"/>
    <w:rsid w:val="00F06639"/>
    <w:rsid w:val="00F066BB"/>
    <w:rsid w:val="00F066D3"/>
    <w:rsid w:val="00F066EC"/>
    <w:rsid w:val="00F0689A"/>
    <w:rsid w:val="00F069B2"/>
    <w:rsid w:val="00F06B1D"/>
    <w:rsid w:val="00F06B51"/>
    <w:rsid w:val="00F06BDA"/>
    <w:rsid w:val="00F06BF5"/>
    <w:rsid w:val="00F06C27"/>
    <w:rsid w:val="00F06C5B"/>
    <w:rsid w:val="00F06C63"/>
    <w:rsid w:val="00F06C98"/>
    <w:rsid w:val="00F06D37"/>
    <w:rsid w:val="00F06D70"/>
    <w:rsid w:val="00F06E62"/>
    <w:rsid w:val="00F06EA7"/>
    <w:rsid w:val="00F06ECC"/>
    <w:rsid w:val="00F06ED4"/>
    <w:rsid w:val="00F06F6A"/>
    <w:rsid w:val="00F06FD7"/>
    <w:rsid w:val="00F06FDC"/>
    <w:rsid w:val="00F070C8"/>
    <w:rsid w:val="00F07215"/>
    <w:rsid w:val="00F07268"/>
    <w:rsid w:val="00F0736C"/>
    <w:rsid w:val="00F0739E"/>
    <w:rsid w:val="00F07553"/>
    <w:rsid w:val="00F075FB"/>
    <w:rsid w:val="00F07687"/>
    <w:rsid w:val="00F076BD"/>
    <w:rsid w:val="00F076DE"/>
    <w:rsid w:val="00F07723"/>
    <w:rsid w:val="00F07738"/>
    <w:rsid w:val="00F07856"/>
    <w:rsid w:val="00F0791D"/>
    <w:rsid w:val="00F079C3"/>
    <w:rsid w:val="00F079E7"/>
    <w:rsid w:val="00F07A3F"/>
    <w:rsid w:val="00F07CDA"/>
    <w:rsid w:val="00F07D4F"/>
    <w:rsid w:val="00F07D91"/>
    <w:rsid w:val="00F07E54"/>
    <w:rsid w:val="00F07EA7"/>
    <w:rsid w:val="00F07F98"/>
    <w:rsid w:val="00F10006"/>
    <w:rsid w:val="00F10031"/>
    <w:rsid w:val="00F100EE"/>
    <w:rsid w:val="00F10168"/>
    <w:rsid w:val="00F10178"/>
    <w:rsid w:val="00F103CC"/>
    <w:rsid w:val="00F10410"/>
    <w:rsid w:val="00F10581"/>
    <w:rsid w:val="00F1060A"/>
    <w:rsid w:val="00F10632"/>
    <w:rsid w:val="00F106B6"/>
    <w:rsid w:val="00F106E5"/>
    <w:rsid w:val="00F10792"/>
    <w:rsid w:val="00F10865"/>
    <w:rsid w:val="00F1089F"/>
    <w:rsid w:val="00F10965"/>
    <w:rsid w:val="00F109B2"/>
    <w:rsid w:val="00F10ABE"/>
    <w:rsid w:val="00F10AC5"/>
    <w:rsid w:val="00F10B5A"/>
    <w:rsid w:val="00F10CEE"/>
    <w:rsid w:val="00F10D48"/>
    <w:rsid w:val="00F10ED3"/>
    <w:rsid w:val="00F10FD4"/>
    <w:rsid w:val="00F1101E"/>
    <w:rsid w:val="00F11025"/>
    <w:rsid w:val="00F1110A"/>
    <w:rsid w:val="00F111D0"/>
    <w:rsid w:val="00F11208"/>
    <w:rsid w:val="00F11315"/>
    <w:rsid w:val="00F11405"/>
    <w:rsid w:val="00F11419"/>
    <w:rsid w:val="00F1151C"/>
    <w:rsid w:val="00F11557"/>
    <w:rsid w:val="00F115AF"/>
    <w:rsid w:val="00F1166A"/>
    <w:rsid w:val="00F1166D"/>
    <w:rsid w:val="00F11675"/>
    <w:rsid w:val="00F117E4"/>
    <w:rsid w:val="00F11896"/>
    <w:rsid w:val="00F118B6"/>
    <w:rsid w:val="00F118F4"/>
    <w:rsid w:val="00F1192B"/>
    <w:rsid w:val="00F11954"/>
    <w:rsid w:val="00F11A3A"/>
    <w:rsid w:val="00F11ACC"/>
    <w:rsid w:val="00F11AE5"/>
    <w:rsid w:val="00F11BC1"/>
    <w:rsid w:val="00F11C42"/>
    <w:rsid w:val="00F11C61"/>
    <w:rsid w:val="00F11D50"/>
    <w:rsid w:val="00F120EB"/>
    <w:rsid w:val="00F12118"/>
    <w:rsid w:val="00F12153"/>
    <w:rsid w:val="00F1217E"/>
    <w:rsid w:val="00F12368"/>
    <w:rsid w:val="00F123CD"/>
    <w:rsid w:val="00F1243F"/>
    <w:rsid w:val="00F12465"/>
    <w:rsid w:val="00F1253B"/>
    <w:rsid w:val="00F1257A"/>
    <w:rsid w:val="00F1258A"/>
    <w:rsid w:val="00F12634"/>
    <w:rsid w:val="00F1268B"/>
    <w:rsid w:val="00F126A4"/>
    <w:rsid w:val="00F126E3"/>
    <w:rsid w:val="00F12722"/>
    <w:rsid w:val="00F1272D"/>
    <w:rsid w:val="00F12829"/>
    <w:rsid w:val="00F1283B"/>
    <w:rsid w:val="00F1284F"/>
    <w:rsid w:val="00F1289D"/>
    <w:rsid w:val="00F1296E"/>
    <w:rsid w:val="00F12BCF"/>
    <w:rsid w:val="00F12BF2"/>
    <w:rsid w:val="00F12D30"/>
    <w:rsid w:val="00F12D85"/>
    <w:rsid w:val="00F12E13"/>
    <w:rsid w:val="00F12E6E"/>
    <w:rsid w:val="00F12F18"/>
    <w:rsid w:val="00F12F47"/>
    <w:rsid w:val="00F12F83"/>
    <w:rsid w:val="00F13131"/>
    <w:rsid w:val="00F1319C"/>
    <w:rsid w:val="00F1328C"/>
    <w:rsid w:val="00F13295"/>
    <w:rsid w:val="00F13309"/>
    <w:rsid w:val="00F13319"/>
    <w:rsid w:val="00F13334"/>
    <w:rsid w:val="00F13348"/>
    <w:rsid w:val="00F1347D"/>
    <w:rsid w:val="00F1347E"/>
    <w:rsid w:val="00F134E3"/>
    <w:rsid w:val="00F13501"/>
    <w:rsid w:val="00F13550"/>
    <w:rsid w:val="00F1371D"/>
    <w:rsid w:val="00F1377D"/>
    <w:rsid w:val="00F1380B"/>
    <w:rsid w:val="00F1385D"/>
    <w:rsid w:val="00F13A5D"/>
    <w:rsid w:val="00F13AA9"/>
    <w:rsid w:val="00F13B5B"/>
    <w:rsid w:val="00F13BC0"/>
    <w:rsid w:val="00F13C29"/>
    <w:rsid w:val="00F13CF0"/>
    <w:rsid w:val="00F13D96"/>
    <w:rsid w:val="00F13E86"/>
    <w:rsid w:val="00F13EF7"/>
    <w:rsid w:val="00F13F95"/>
    <w:rsid w:val="00F1420D"/>
    <w:rsid w:val="00F14231"/>
    <w:rsid w:val="00F142D5"/>
    <w:rsid w:val="00F14300"/>
    <w:rsid w:val="00F143C9"/>
    <w:rsid w:val="00F143D4"/>
    <w:rsid w:val="00F1449E"/>
    <w:rsid w:val="00F144CA"/>
    <w:rsid w:val="00F1458A"/>
    <w:rsid w:val="00F14597"/>
    <w:rsid w:val="00F146C2"/>
    <w:rsid w:val="00F1470D"/>
    <w:rsid w:val="00F1487F"/>
    <w:rsid w:val="00F1492A"/>
    <w:rsid w:val="00F14960"/>
    <w:rsid w:val="00F14BB9"/>
    <w:rsid w:val="00F14CA0"/>
    <w:rsid w:val="00F14D47"/>
    <w:rsid w:val="00F14E54"/>
    <w:rsid w:val="00F14E7C"/>
    <w:rsid w:val="00F14E97"/>
    <w:rsid w:val="00F14EFF"/>
    <w:rsid w:val="00F14F7F"/>
    <w:rsid w:val="00F151E7"/>
    <w:rsid w:val="00F1525A"/>
    <w:rsid w:val="00F152B7"/>
    <w:rsid w:val="00F153B8"/>
    <w:rsid w:val="00F15429"/>
    <w:rsid w:val="00F154FD"/>
    <w:rsid w:val="00F15541"/>
    <w:rsid w:val="00F1558A"/>
    <w:rsid w:val="00F15794"/>
    <w:rsid w:val="00F15801"/>
    <w:rsid w:val="00F15887"/>
    <w:rsid w:val="00F158A1"/>
    <w:rsid w:val="00F1597A"/>
    <w:rsid w:val="00F159F0"/>
    <w:rsid w:val="00F15A02"/>
    <w:rsid w:val="00F15B35"/>
    <w:rsid w:val="00F15B3D"/>
    <w:rsid w:val="00F15B5F"/>
    <w:rsid w:val="00F15B8C"/>
    <w:rsid w:val="00F15CA7"/>
    <w:rsid w:val="00F15D47"/>
    <w:rsid w:val="00F15DF1"/>
    <w:rsid w:val="00F15F11"/>
    <w:rsid w:val="00F15F94"/>
    <w:rsid w:val="00F1612C"/>
    <w:rsid w:val="00F16160"/>
    <w:rsid w:val="00F161FD"/>
    <w:rsid w:val="00F1620B"/>
    <w:rsid w:val="00F16210"/>
    <w:rsid w:val="00F16257"/>
    <w:rsid w:val="00F162CF"/>
    <w:rsid w:val="00F16377"/>
    <w:rsid w:val="00F1648B"/>
    <w:rsid w:val="00F16656"/>
    <w:rsid w:val="00F16864"/>
    <w:rsid w:val="00F16920"/>
    <w:rsid w:val="00F16945"/>
    <w:rsid w:val="00F16A0B"/>
    <w:rsid w:val="00F16AE8"/>
    <w:rsid w:val="00F16C6B"/>
    <w:rsid w:val="00F16C7A"/>
    <w:rsid w:val="00F16C92"/>
    <w:rsid w:val="00F16D11"/>
    <w:rsid w:val="00F16D32"/>
    <w:rsid w:val="00F16D88"/>
    <w:rsid w:val="00F16E48"/>
    <w:rsid w:val="00F170C8"/>
    <w:rsid w:val="00F170D7"/>
    <w:rsid w:val="00F17132"/>
    <w:rsid w:val="00F17188"/>
    <w:rsid w:val="00F171C2"/>
    <w:rsid w:val="00F171E1"/>
    <w:rsid w:val="00F17250"/>
    <w:rsid w:val="00F172C2"/>
    <w:rsid w:val="00F17386"/>
    <w:rsid w:val="00F1740C"/>
    <w:rsid w:val="00F17469"/>
    <w:rsid w:val="00F1749C"/>
    <w:rsid w:val="00F17564"/>
    <w:rsid w:val="00F17575"/>
    <w:rsid w:val="00F17582"/>
    <w:rsid w:val="00F1759F"/>
    <w:rsid w:val="00F175B0"/>
    <w:rsid w:val="00F17644"/>
    <w:rsid w:val="00F1770F"/>
    <w:rsid w:val="00F177ED"/>
    <w:rsid w:val="00F178C6"/>
    <w:rsid w:val="00F17938"/>
    <w:rsid w:val="00F17945"/>
    <w:rsid w:val="00F17BBA"/>
    <w:rsid w:val="00F17BF6"/>
    <w:rsid w:val="00F17CAA"/>
    <w:rsid w:val="00F17D7D"/>
    <w:rsid w:val="00F17EAF"/>
    <w:rsid w:val="00F201DD"/>
    <w:rsid w:val="00F202DA"/>
    <w:rsid w:val="00F2032E"/>
    <w:rsid w:val="00F2039C"/>
    <w:rsid w:val="00F203AB"/>
    <w:rsid w:val="00F2042A"/>
    <w:rsid w:val="00F20471"/>
    <w:rsid w:val="00F204D7"/>
    <w:rsid w:val="00F20511"/>
    <w:rsid w:val="00F205BA"/>
    <w:rsid w:val="00F20685"/>
    <w:rsid w:val="00F20697"/>
    <w:rsid w:val="00F206C4"/>
    <w:rsid w:val="00F207EF"/>
    <w:rsid w:val="00F20820"/>
    <w:rsid w:val="00F20881"/>
    <w:rsid w:val="00F20987"/>
    <w:rsid w:val="00F2098E"/>
    <w:rsid w:val="00F20A61"/>
    <w:rsid w:val="00F20AF4"/>
    <w:rsid w:val="00F20AFC"/>
    <w:rsid w:val="00F20B43"/>
    <w:rsid w:val="00F20B79"/>
    <w:rsid w:val="00F20C3E"/>
    <w:rsid w:val="00F20D21"/>
    <w:rsid w:val="00F20DE5"/>
    <w:rsid w:val="00F20EB4"/>
    <w:rsid w:val="00F20F67"/>
    <w:rsid w:val="00F20FF8"/>
    <w:rsid w:val="00F21042"/>
    <w:rsid w:val="00F21156"/>
    <w:rsid w:val="00F2124A"/>
    <w:rsid w:val="00F21270"/>
    <w:rsid w:val="00F212E7"/>
    <w:rsid w:val="00F21350"/>
    <w:rsid w:val="00F21369"/>
    <w:rsid w:val="00F215FA"/>
    <w:rsid w:val="00F2163C"/>
    <w:rsid w:val="00F216C4"/>
    <w:rsid w:val="00F21876"/>
    <w:rsid w:val="00F2189F"/>
    <w:rsid w:val="00F21961"/>
    <w:rsid w:val="00F21973"/>
    <w:rsid w:val="00F21996"/>
    <w:rsid w:val="00F21A0A"/>
    <w:rsid w:val="00F21AAB"/>
    <w:rsid w:val="00F21AFC"/>
    <w:rsid w:val="00F21B57"/>
    <w:rsid w:val="00F21CAD"/>
    <w:rsid w:val="00F21E02"/>
    <w:rsid w:val="00F21E66"/>
    <w:rsid w:val="00F21E9F"/>
    <w:rsid w:val="00F21EE5"/>
    <w:rsid w:val="00F21EE7"/>
    <w:rsid w:val="00F21F4B"/>
    <w:rsid w:val="00F220C4"/>
    <w:rsid w:val="00F22112"/>
    <w:rsid w:val="00F22167"/>
    <w:rsid w:val="00F22199"/>
    <w:rsid w:val="00F222DD"/>
    <w:rsid w:val="00F2233E"/>
    <w:rsid w:val="00F223B4"/>
    <w:rsid w:val="00F223F7"/>
    <w:rsid w:val="00F22431"/>
    <w:rsid w:val="00F224BA"/>
    <w:rsid w:val="00F225E6"/>
    <w:rsid w:val="00F226C3"/>
    <w:rsid w:val="00F22722"/>
    <w:rsid w:val="00F22805"/>
    <w:rsid w:val="00F228A1"/>
    <w:rsid w:val="00F22934"/>
    <w:rsid w:val="00F22974"/>
    <w:rsid w:val="00F22A56"/>
    <w:rsid w:val="00F22AA2"/>
    <w:rsid w:val="00F22AD5"/>
    <w:rsid w:val="00F22AFA"/>
    <w:rsid w:val="00F22B70"/>
    <w:rsid w:val="00F22B8A"/>
    <w:rsid w:val="00F22C09"/>
    <w:rsid w:val="00F22D47"/>
    <w:rsid w:val="00F22D60"/>
    <w:rsid w:val="00F22D85"/>
    <w:rsid w:val="00F22FE2"/>
    <w:rsid w:val="00F231E8"/>
    <w:rsid w:val="00F231E9"/>
    <w:rsid w:val="00F231FF"/>
    <w:rsid w:val="00F23366"/>
    <w:rsid w:val="00F234A3"/>
    <w:rsid w:val="00F2357B"/>
    <w:rsid w:val="00F23643"/>
    <w:rsid w:val="00F236A7"/>
    <w:rsid w:val="00F237CE"/>
    <w:rsid w:val="00F2382C"/>
    <w:rsid w:val="00F2384D"/>
    <w:rsid w:val="00F238BA"/>
    <w:rsid w:val="00F23976"/>
    <w:rsid w:val="00F239D9"/>
    <w:rsid w:val="00F23B18"/>
    <w:rsid w:val="00F23BB6"/>
    <w:rsid w:val="00F23BE9"/>
    <w:rsid w:val="00F23C77"/>
    <w:rsid w:val="00F23CFC"/>
    <w:rsid w:val="00F23DA1"/>
    <w:rsid w:val="00F23E09"/>
    <w:rsid w:val="00F23F07"/>
    <w:rsid w:val="00F23F23"/>
    <w:rsid w:val="00F23FB6"/>
    <w:rsid w:val="00F24021"/>
    <w:rsid w:val="00F240B2"/>
    <w:rsid w:val="00F2410B"/>
    <w:rsid w:val="00F24131"/>
    <w:rsid w:val="00F242B9"/>
    <w:rsid w:val="00F24378"/>
    <w:rsid w:val="00F24574"/>
    <w:rsid w:val="00F24578"/>
    <w:rsid w:val="00F2459A"/>
    <w:rsid w:val="00F24663"/>
    <w:rsid w:val="00F24692"/>
    <w:rsid w:val="00F24819"/>
    <w:rsid w:val="00F2486A"/>
    <w:rsid w:val="00F248D3"/>
    <w:rsid w:val="00F24966"/>
    <w:rsid w:val="00F249A5"/>
    <w:rsid w:val="00F24A61"/>
    <w:rsid w:val="00F24AB5"/>
    <w:rsid w:val="00F24AB7"/>
    <w:rsid w:val="00F24ACF"/>
    <w:rsid w:val="00F24B99"/>
    <w:rsid w:val="00F24BBF"/>
    <w:rsid w:val="00F24C1A"/>
    <w:rsid w:val="00F24CB6"/>
    <w:rsid w:val="00F24D73"/>
    <w:rsid w:val="00F24E51"/>
    <w:rsid w:val="00F24E99"/>
    <w:rsid w:val="00F24EA1"/>
    <w:rsid w:val="00F24F97"/>
    <w:rsid w:val="00F25012"/>
    <w:rsid w:val="00F25051"/>
    <w:rsid w:val="00F25070"/>
    <w:rsid w:val="00F2510A"/>
    <w:rsid w:val="00F2516E"/>
    <w:rsid w:val="00F251B6"/>
    <w:rsid w:val="00F252D0"/>
    <w:rsid w:val="00F252E0"/>
    <w:rsid w:val="00F2531D"/>
    <w:rsid w:val="00F25327"/>
    <w:rsid w:val="00F25342"/>
    <w:rsid w:val="00F25580"/>
    <w:rsid w:val="00F255A1"/>
    <w:rsid w:val="00F2584C"/>
    <w:rsid w:val="00F25872"/>
    <w:rsid w:val="00F25915"/>
    <w:rsid w:val="00F25918"/>
    <w:rsid w:val="00F25961"/>
    <w:rsid w:val="00F259EA"/>
    <w:rsid w:val="00F259FC"/>
    <w:rsid w:val="00F25A29"/>
    <w:rsid w:val="00F25AE9"/>
    <w:rsid w:val="00F25B16"/>
    <w:rsid w:val="00F25B63"/>
    <w:rsid w:val="00F25C07"/>
    <w:rsid w:val="00F25C0F"/>
    <w:rsid w:val="00F25C40"/>
    <w:rsid w:val="00F25C5C"/>
    <w:rsid w:val="00F25F3F"/>
    <w:rsid w:val="00F25FF0"/>
    <w:rsid w:val="00F26058"/>
    <w:rsid w:val="00F260B4"/>
    <w:rsid w:val="00F2610F"/>
    <w:rsid w:val="00F261BF"/>
    <w:rsid w:val="00F261DA"/>
    <w:rsid w:val="00F2639F"/>
    <w:rsid w:val="00F26447"/>
    <w:rsid w:val="00F26496"/>
    <w:rsid w:val="00F265F5"/>
    <w:rsid w:val="00F266BA"/>
    <w:rsid w:val="00F26792"/>
    <w:rsid w:val="00F26850"/>
    <w:rsid w:val="00F26858"/>
    <w:rsid w:val="00F26889"/>
    <w:rsid w:val="00F269A3"/>
    <w:rsid w:val="00F26A0E"/>
    <w:rsid w:val="00F26A59"/>
    <w:rsid w:val="00F26A8A"/>
    <w:rsid w:val="00F26AF3"/>
    <w:rsid w:val="00F26BB3"/>
    <w:rsid w:val="00F26BDC"/>
    <w:rsid w:val="00F26C82"/>
    <w:rsid w:val="00F26E98"/>
    <w:rsid w:val="00F26F59"/>
    <w:rsid w:val="00F26F6E"/>
    <w:rsid w:val="00F26F78"/>
    <w:rsid w:val="00F270A0"/>
    <w:rsid w:val="00F270ED"/>
    <w:rsid w:val="00F2710F"/>
    <w:rsid w:val="00F271DE"/>
    <w:rsid w:val="00F273BD"/>
    <w:rsid w:val="00F274FF"/>
    <w:rsid w:val="00F275A3"/>
    <w:rsid w:val="00F275B1"/>
    <w:rsid w:val="00F275CB"/>
    <w:rsid w:val="00F275EA"/>
    <w:rsid w:val="00F2775D"/>
    <w:rsid w:val="00F2776D"/>
    <w:rsid w:val="00F2779B"/>
    <w:rsid w:val="00F2783D"/>
    <w:rsid w:val="00F27888"/>
    <w:rsid w:val="00F2792C"/>
    <w:rsid w:val="00F279CA"/>
    <w:rsid w:val="00F27A28"/>
    <w:rsid w:val="00F27A69"/>
    <w:rsid w:val="00F27A85"/>
    <w:rsid w:val="00F27B57"/>
    <w:rsid w:val="00F27B75"/>
    <w:rsid w:val="00F27B9F"/>
    <w:rsid w:val="00F27BAB"/>
    <w:rsid w:val="00F27BED"/>
    <w:rsid w:val="00F27CDB"/>
    <w:rsid w:val="00F27D2A"/>
    <w:rsid w:val="00F27DA0"/>
    <w:rsid w:val="00F27E93"/>
    <w:rsid w:val="00F3002F"/>
    <w:rsid w:val="00F300EB"/>
    <w:rsid w:val="00F30241"/>
    <w:rsid w:val="00F302B2"/>
    <w:rsid w:val="00F30329"/>
    <w:rsid w:val="00F304A3"/>
    <w:rsid w:val="00F304C8"/>
    <w:rsid w:val="00F30519"/>
    <w:rsid w:val="00F30536"/>
    <w:rsid w:val="00F3063C"/>
    <w:rsid w:val="00F3065D"/>
    <w:rsid w:val="00F307A0"/>
    <w:rsid w:val="00F307A5"/>
    <w:rsid w:val="00F307D8"/>
    <w:rsid w:val="00F3084B"/>
    <w:rsid w:val="00F30893"/>
    <w:rsid w:val="00F3095E"/>
    <w:rsid w:val="00F3096C"/>
    <w:rsid w:val="00F30A91"/>
    <w:rsid w:val="00F30B84"/>
    <w:rsid w:val="00F30BE1"/>
    <w:rsid w:val="00F30D4D"/>
    <w:rsid w:val="00F30D76"/>
    <w:rsid w:val="00F30DC2"/>
    <w:rsid w:val="00F30E0B"/>
    <w:rsid w:val="00F30E7E"/>
    <w:rsid w:val="00F30EB6"/>
    <w:rsid w:val="00F31038"/>
    <w:rsid w:val="00F3111B"/>
    <w:rsid w:val="00F31148"/>
    <w:rsid w:val="00F3139B"/>
    <w:rsid w:val="00F313CB"/>
    <w:rsid w:val="00F313E4"/>
    <w:rsid w:val="00F31434"/>
    <w:rsid w:val="00F31471"/>
    <w:rsid w:val="00F314D4"/>
    <w:rsid w:val="00F31511"/>
    <w:rsid w:val="00F315C0"/>
    <w:rsid w:val="00F315C3"/>
    <w:rsid w:val="00F31709"/>
    <w:rsid w:val="00F31889"/>
    <w:rsid w:val="00F318F4"/>
    <w:rsid w:val="00F31912"/>
    <w:rsid w:val="00F319A7"/>
    <w:rsid w:val="00F31A6B"/>
    <w:rsid w:val="00F31A78"/>
    <w:rsid w:val="00F31BF7"/>
    <w:rsid w:val="00F31D65"/>
    <w:rsid w:val="00F31DC7"/>
    <w:rsid w:val="00F32033"/>
    <w:rsid w:val="00F32090"/>
    <w:rsid w:val="00F3212C"/>
    <w:rsid w:val="00F3214B"/>
    <w:rsid w:val="00F3215F"/>
    <w:rsid w:val="00F32160"/>
    <w:rsid w:val="00F3219B"/>
    <w:rsid w:val="00F321E1"/>
    <w:rsid w:val="00F3220C"/>
    <w:rsid w:val="00F3223A"/>
    <w:rsid w:val="00F32254"/>
    <w:rsid w:val="00F322A9"/>
    <w:rsid w:val="00F32330"/>
    <w:rsid w:val="00F32332"/>
    <w:rsid w:val="00F323E6"/>
    <w:rsid w:val="00F3243F"/>
    <w:rsid w:val="00F32451"/>
    <w:rsid w:val="00F32560"/>
    <w:rsid w:val="00F325F2"/>
    <w:rsid w:val="00F32690"/>
    <w:rsid w:val="00F326B2"/>
    <w:rsid w:val="00F327C1"/>
    <w:rsid w:val="00F3281C"/>
    <w:rsid w:val="00F328F9"/>
    <w:rsid w:val="00F3293B"/>
    <w:rsid w:val="00F329DE"/>
    <w:rsid w:val="00F32AE5"/>
    <w:rsid w:val="00F32B0F"/>
    <w:rsid w:val="00F32B54"/>
    <w:rsid w:val="00F32B61"/>
    <w:rsid w:val="00F32B6F"/>
    <w:rsid w:val="00F32C35"/>
    <w:rsid w:val="00F32C8B"/>
    <w:rsid w:val="00F32D45"/>
    <w:rsid w:val="00F32D76"/>
    <w:rsid w:val="00F32DD5"/>
    <w:rsid w:val="00F32EE0"/>
    <w:rsid w:val="00F32F30"/>
    <w:rsid w:val="00F32F80"/>
    <w:rsid w:val="00F330CB"/>
    <w:rsid w:val="00F33201"/>
    <w:rsid w:val="00F33271"/>
    <w:rsid w:val="00F332CF"/>
    <w:rsid w:val="00F333C3"/>
    <w:rsid w:val="00F3344B"/>
    <w:rsid w:val="00F33461"/>
    <w:rsid w:val="00F334CB"/>
    <w:rsid w:val="00F3365C"/>
    <w:rsid w:val="00F33660"/>
    <w:rsid w:val="00F336C7"/>
    <w:rsid w:val="00F3376B"/>
    <w:rsid w:val="00F337C2"/>
    <w:rsid w:val="00F33989"/>
    <w:rsid w:val="00F33993"/>
    <w:rsid w:val="00F339E7"/>
    <w:rsid w:val="00F33A79"/>
    <w:rsid w:val="00F33B02"/>
    <w:rsid w:val="00F33C2D"/>
    <w:rsid w:val="00F33C7E"/>
    <w:rsid w:val="00F33CE9"/>
    <w:rsid w:val="00F33D91"/>
    <w:rsid w:val="00F33EA5"/>
    <w:rsid w:val="00F33EE5"/>
    <w:rsid w:val="00F33EFF"/>
    <w:rsid w:val="00F33FB4"/>
    <w:rsid w:val="00F33FE6"/>
    <w:rsid w:val="00F340A9"/>
    <w:rsid w:val="00F34152"/>
    <w:rsid w:val="00F341BF"/>
    <w:rsid w:val="00F34227"/>
    <w:rsid w:val="00F34289"/>
    <w:rsid w:val="00F342D2"/>
    <w:rsid w:val="00F34323"/>
    <w:rsid w:val="00F34355"/>
    <w:rsid w:val="00F34361"/>
    <w:rsid w:val="00F34546"/>
    <w:rsid w:val="00F3455F"/>
    <w:rsid w:val="00F34581"/>
    <w:rsid w:val="00F345AD"/>
    <w:rsid w:val="00F34615"/>
    <w:rsid w:val="00F34637"/>
    <w:rsid w:val="00F34704"/>
    <w:rsid w:val="00F34875"/>
    <w:rsid w:val="00F3497B"/>
    <w:rsid w:val="00F349E0"/>
    <w:rsid w:val="00F349E5"/>
    <w:rsid w:val="00F34A06"/>
    <w:rsid w:val="00F34AAA"/>
    <w:rsid w:val="00F34AAF"/>
    <w:rsid w:val="00F34BBC"/>
    <w:rsid w:val="00F34C9F"/>
    <w:rsid w:val="00F34D5C"/>
    <w:rsid w:val="00F34D5F"/>
    <w:rsid w:val="00F34E3E"/>
    <w:rsid w:val="00F34E73"/>
    <w:rsid w:val="00F35069"/>
    <w:rsid w:val="00F3507F"/>
    <w:rsid w:val="00F35097"/>
    <w:rsid w:val="00F350D0"/>
    <w:rsid w:val="00F3511B"/>
    <w:rsid w:val="00F3516F"/>
    <w:rsid w:val="00F35187"/>
    <w:rsid w:val="00F352A1"/>
    <w:rsid w:val="00F352F7"/>
    <w:rsid w:val="00F354BC"/>
    <w:rsid w:val="00F3557A"/>
    <w:rsid w:val="00F35582"/>
    <w:rsid w:val="00F35768"/>
    <w:rsid w:val="00F35822"/>
    <w:rsid w:val="00F35853"/>
    <w:rsid w:val="00F3586F"/>
    <w:rsid w:val="00F358DD"/>
    <w:rsid w:val="00F358F5"/>
    <w:rsid w:val="00F35904"/>
    <w:rsid w:val="00F35A7E"/>
    <w:rsid w:val="00F35AA4"/>
    <w:rsid w:val="00F35AF2"/>
    <w:rsid w:val="00F35B72"/>
    <w:rsid w:val="00F35B9A"/>
    <w:rsid w:val="00F35BB0"/>
    <w:rsid w:val="00F35D9D"/>
    <w:rsid w:val="00F35DD0"/>
    <w:rsid w:val="00F35DDC"/>
    <w:rsid w:val="00F35DE5"/>
    <w:rsid w:val="00F35E30"/>
    <w:rsid w:val="00F35EE6"/>
    <w:rsid w:val="00F35F07"/>
    <w:rsid w:val="00F3604E"/>
    <w:rsid w:val="00F361D3"/>
    <w:rsid w:val="00F3627A"/>
    <w:rsid w:val="00F3628B"/>
    <w:rsid w:val="00F362DD"/>
    <w:rsid w:val="00F36392"/>
    <w:rsid w:val="00F36396"/>
    <w:rsid w:val="00F36462"/>
    <w:rsid w:val="00F364DF"/>
    <w:rsid w:val="00F3650F"/>
    <w:rsid w:val="00F36548"/>
    <w:rsid w:val="00F3657D"/>
    <w:rsid w:val="00F365CE"/>
    <w:rsid w:val="00F36607"/>
    <w:rsid w:val="00F3669D"/>
    <w:rsid w:val="00F366BB"/>
    <w:rsid w:val="00F366D6"/>
    <w:rsid w:val="00F3674F"/>
    <w:rsid w:val="00F3677D"/>
    <w:rsid w:val="00F3678F"/>
    <w:rsid w:val="00F36821"/>
    <w:rsid w:val="00F368CA"/>
    <w:rsid w:val="00F368EB"/>
    <w:rsid w:val="00F36970"/>
    <w:rsid w:val="00F36974"/>
    <w:rsid w:val="00F36978"/>
    <w:rsid w:val="00F3698D"/>
    <w:rsid w:val="00F369C3"/>
    <w:rsid w:val="00F36A51"/>
    <w:rsid w:val="00F36A60"/>
    <w:rsid w:val="00F36B34"/>
    <w:rsid w:val="00F36B8A"/>
    <w:rsid w:val="00F36BB4"/>
    <w:rsid w:val="00F36C54"/>
    <w:rsid w:val="00F36E30"/>
    <w:rsid w:val="00F36F29"/>
    <w:rsid w:val="00F36FAF"/>
    <w:rsid w:val="00F3713A"/>
    <w:rsid w:val="00F371A7"/>
    <w:rsid w:val="00F371CA"/>
    <w:rsid w:val="00F371E5"/>
    <w:rsid w:val="00F37227"/>
    <w:rsid w:val="00F3722A"/>
    <w:rsid w:val="00F3722F"/>
    <w:rsid w:val="00F37240"/>
    <w:rsid w:val="00F37258"/>
    <w:rsid w:val="00F372AC"/>
    <w:rsid w:val="00F372BE"/>
    <w:rsid w:val="00F373FE"/>
    <w:rsid w:val="00F37406"/>
    <w:rsid w:val="00F3745F"/>
    <w:rsid w:val="00F37559"/>
    <w:rsid w:val="00F3756D"/>
    <w:rsid w:val="00F3762C"/>
    <w:rsid w:val="00F37654"/>
    <w:rsid w:val="00F37664"/>
    <w:rsid w:val="00F3768C"/>
    <w:rsid w:val="00F376B9"/>
    <w:rsid w:val="00F37752"/>
    <w:rsid w:val="00F378CA"/>
    <w:rsid w:val="00F378D1"/>
    <w:rsid w:val="00F3797F"/>
    <w:rsid w:val="00F3798F"/>
    <w:rsid w:val="00F3799B"/>
    <w:rsid w:val="00F379EF"/>
    <w:rsid w:val="00F37A52"/>
    <w:rsid w:val="00F37A88"/>
    <w:rsid w:val="00F37B06"/>
    <w:rsid w:val="00F37B6E"/>
    <w:rsid w:val="00F37B86"/>
    <w:rsid w:val="00F37BCE"/>
    <w:rsid w:val="00F37C1E"/>
    <w:rsid w:val="00F37C56"/>
    <w:rsid w:val="00F37C96"/>
    <w:rsid w:val="00F37D13"/>
    <w:rsid w:val="00F37D69"/>
    <w:rsid w:val="00F37DC7"/>
    <w:rsid w:val="00F37F92"/>
    <w:rsid w:val="00F40022"/>
    <w:rsid w:val="00F40025"/>
    <w:rsid w:val="00F4006D"/>
    <w:rsid w:val="00F4008E"/>
    <w:rsid w:val="00F400B4"/>
    <w:rsid w:val="00F4029A"/>
    <w:rsid w:val="00F402F5"/>
    <w:rsid w:val="00F4039C"/>
    <w:rsid w:val="00F403A8"/>
    <w:rsid w:val="00F403EF"/>
    <w:rsid w:val="00F4048B"/>
    <w:rsid w:val="00F4052E"/>
    <w:rsid w:val="00F4059D"/>
    <w:rsid w:val="00F40660"/>
    <w:rsid w:val="00F40707"/>
    <w:rsid w:val="00F40711"/>
    <w:rsid w:val="00F4074D"/>
    <w:rsid w:val="00F40801"/>
    <w:rsid w:val="00F408E9"/>
    <w:rsid w:val="00F408F8"/>
    <w:rsid w:val="00F4094D"/>
    <w:rsid w:val="00F4098C"/>
    <w:rsid w:val="00F40A9B"/>
    <w:rsid w:val="00F40B84"/>
    <w:rsid w:val="00F40C38"/>
    <w:rsid w:val="00F40D19"/>
    <w:rsid w:val="00F40DE0"/>
    <w:rsid w:val="00F40E20"/>
    <w:rsid w:val="00F40E6E"/>
    <w:rsid w:val="00F40EA7"/>
    <w:rsid w:val="00F40FAE"/>
    <w:rsid w:val="00F41095"/>
    <w:rsid w:val="00F410A7"/>
    <w:rsid w:val="00F41165"/>
    <w:rsid w:val="00F41311"/>
    <w:rsid w:val="00F4132C"/>
    <w:rsid w:val="00F4146D"/>
    <w:rsid w:val="00F414E8"/>
    <w:rsid w:val="00F414EA"/>
    <w:rsid w:val="00F41541"/>
    <w:rsid w:val="00F41581"/>
    <w:rsid w:val="00F415FB"/>
    <w:rsid w:val="00F41613"/>
    <w:rsid w:val="00F41772"/>
    <w:rsid w:val="00F41814"/>
    <w:rsid w:val="00F418BD"/>
    <w:rsid w:val="00F418C7"/>
    <w:rsid w:val="00F41BC2"/>
    <w:rsid w:val="00F41C04"/>
    <w:rsid w:val="00F41C06"/>
    <w:rsid w:val="00F41CB6"/>
    <w:rsid w:val="00F41CC7"/>
    <w:rsid w:val="00F41D38"/>
    <w:rsid w:val="00F41D71"/>
    <w:rsid w:val="00F41ECB"/>
    <w:rsid w:val="00F41F01"/>
    <w:rsid w:val="00F41F3E"/>
    <w:rsid w:val="00F41F44"/>
    <w:rsid w:val="00F41F78"/>
    <w:rsid w:val="00F42003"/>
    <w:rsid w:val="00F4206B"/>
    <w:rsid w:val="00F420B7"/>
    <w:rsid w:val="00F42121"/>
    <w:rsid w:val="00F421C4"/>
    <w:rsid w:val="00F42209"/>
    <w:rsid w:val="00F42276"/>
    <w:rsid w:val="00F423EC"/>
    <w:rsid w:val="00F423FA"/>
    <w:rsid w:val="00F4257E"/>
    <w:rsid w:val="00F425C5"/>
    <w:rsid w:val="00F426A7"/>
    <w:rsid w:val="00F426AD"/>
    <w:rsid w:val="00F42721"/>
    <w:rsid w:val="00F42726"/>
    <w:rsid w:val="00F42800"/>
    <w:rsid w:val="00F428EB"/>
    <w:rsid w:val="00F42921"/>
    <w:rsid w:val="00F429DF"/>
    <w:rsid w:val="00F42B2F"/>
    <w:rsid w:val="00F42B95"/>
    <w:rsid w:val="00F42BDE"/>
    <w:rsid w:val="00F42CB9"/>
    <w:rsid w:val="00F42D6B"/>
    <w:rsid w:val="00F42D89"/>
    <w:rsid w:val="00F42DC4"/>
    <w:rsid w:val="00F42DC5"/>
    <w:rsid w:val="00F42F20"/>
    <w:rsid w:val="00F42F84"/>
    <w:rsid w:val="00F42FAE"/>
    <w:rsid w:val="00F42FD7"/>
    <w:rsid w:val="00F43079"/>
    <w:rsid w:val="00F430C1"/>
    <w:rsid w:val="00F4315E"/>
    <w:rsid w:val="00F43342"/>
    <w:rsid w:val="00F43363"/>
    <w:rsid w:val="00F43370"/>
    <w:rsid w:val="00F43396"/>
    <w:rsid w:val="00F4346A"/>
    <w:rsid w:val="00F43492"/>
    <w:rsid w:val="00F43529"/>
    <w:rsid w:val="00F4364B"/>
    <w:rsid w:val="00F436A1"/>
    <w:rsid w:val="00F436C2"/>
    <w:rsid w:val="00F43711"/>
    <w:rsid w:val="00F4384A"/>
    <w:rsid w:val="00F43858"/>
    <w:rsid w:val="00F438B4"/>
    <w:rsid w:val="00F438E8"/>
    <w:rsid w:val="00F439B6"/>
    <w:rsid w:val="00F43A19"/>
    <w:rsid w:val="00F43A3A"/>
    <w:rsid w:val="00F43B11"/>
    <w:rsid w:val="00F43B61"/>
    <w:rsid w:val="00F43C32"/>
    <w:rsid w:val="00F43C81"/>
    <w:rsid w:val="00F43CB8"/>
    <w:rsid w:val="00F43CE5"/>
    <w:rsid w:val="00F43E4C"/>
    <w:rsid w:val="00F43E90"/>
    <w:rsid w:val="00F43F0B"/>
    <w:rsid w:val="00F44038"/>
    <w:rsid w:val="00F4404C"/>
    <w:rsid w:val="00F440E8"/>
    <w:rsid w:val="00F44141"/>
    <w:rsid w:val="00F44153"/>
    <w:rsid w:val="00F441E1"/>
    <w:rsid w:val="00F441FB"/>
    <w:rsid w:val="00F44224"/>
    <w:rsid w:val="00F4422A"/>
    <w:rsid w:val="00F442FA"/>
    <w:rsid w:val="00F443A5"/>
    <w:rsid w:val="00F4440C"/>
    <w:rsid w:val="00F4449A"/>
    <w:rsid w:val="00F444B4"/>
    <w:rsid w:val="00F444EC"/>
    <w:rsid w:val="00F4458E"/>
    <w:rsid w:val="00F44642"/>
    <w:rsid w:val="00F446DC"/>
    <w:rsid w:val="00F44719"/>
    <w:rsid w:val="00F4471E"/>
    <w:rsid w:val="00F44757"/>
    <w:rsid w:val="00F4475C"/>
    <w:rsid w:val="00F447BC"/>
    <w:rsid w:val="00F447D7"/>
    <w:rsid w:val="00F4488A"/>
    <w:rsid w:val="00F448D7"/>
    <w:rsid w:val="00F448DC"/>
    <w:rsid w:val="00F44911"/>
    <w:rsid w:val="00F44A5B"/>
    <w:rsid w:val="00F44B10"/>
    <w:rsid w:val="00F44C90"/>
    <w:rsid w:val="00F44CCA"/>
    <w:rsid w:val="00F44D1A"/>
    <w:rsid w:val="00F44D53"/>
    <w:rsid w:val="00F44D7D"/>
    <w:rsid w:val="00F44EC3"/>
    <w:rsid w:val="00F44ED5"/>
    <w:rsid w:val="00F44F6E"/>
    <w:rsid w:val="00F44F81"/>
    <w:rsid w:val="00F45010"/>
    <w:rsid w:val="00F45033"/>
    <w:rsid w:val="00F450B6"/>
    <w:rsid w:val="00F45224"/>
    <w:rsid w:val="00F4525D"/>
    <w:rsid w:val="00F452DE"/>
    <w:rsid w:val="00F4533C"/>
    <w:rsid w:val="00F45356"/>
    <w:rsid w:val="00F4539D"/>
    <w:rsid w:val="00F453E5"/>
    <w:rsid w:val="00F45473"/>
    <w:rsid w:val="00F454CC"/>
    <w:rsid w:val="00F455CB"/>
    <w:rsid w:val="00F45657"/>
    <w:rsid w:val="00F45741"/>
    <w:rsid w:val="00F457EA"/>
    <w:rsid w:val="00F45858"/>
    <w:rsid w:val="00F45876"/>
    <w:rsid w:val="00F459BD"/>
    <w:rsid w:val="00F45B47"/>
    <w:rsid w:val="00F45BE3"/>
    <w:rsid w:val="00F45C8E"/>
    <w:rsid w:val="00F45D7C"/>
    <w:rsid w:val="00F45DEE"/>
    <w:rsid w:val="00F45DF3"/>
    <w:rsid w:val="00F45E46"/>
    <w:rsid w:val="00F45E9C"/>
    <w:rsid w:val="00F45EA5"/>
    <w:rsid w:val="00F45ED2"/>
    <w:rsid w:val="00F45F94"/>
    <w:rsid w:val="00F46055"/>
    <w:rsid w:val="00F4621B"/>
    <w:rsid w:val="00F462F9"/>
    <w:rsid w:val="00F46470"/>
    <w:rsid w:val="00F46528"/>
    <w:rsid w:val="00F46727"/>
    <w:rsid w:val="00F46784"/>
    <w:rsid w:val="00F467BF"/>
    <w:rsid w:val="00F46831"/>
    <w:rsid w:val="00F46885"/>
    <w:rsid w:val="00F46888"/>
    <w:rsid w:val="00F468FD"/>
    <w:rsid w:val="00F4699D"/>
    <w:rsid w:val="00F469E7"/>
    <w:rsid w:val="00F469EA"/>
    <w:rsid w:val="00F469FC"/>
    <w:rsid w:val="00F46ADA"/>
    <w:rsid w:val="00F46C50"/>
    <w:rsid w:val="00F46D88"/>
    <w:rsid w:val="00F46D9D"/>
    <w:rsid w:val="00F46E3B"/>
    <w:rsid w:val="00F46E5C"/>
    <w:rsid w:val="00F46EA4"/>
    <w:rsid w:val="00F46EF7"/>
    <w:rsid w:val="00F46FE0"/>
    <w:rsid w:val="00F47001"/>
    <w:rsid w:val="00F47004"/>
    <w:rsid w:val="00F470D3"/>
    <w:rsid w:val="00F47264"/>
    <w:rsid w:val="00F47285"/>
    <w:rsid w:val="00F472D3"/>
    <w:rsid w:val="00F47366"/>
    <w:rsid w:val="00F47380"/>
    <w:rsid w:val="00F473CD"/>
    <w:rsid w:val="00F47438"/>
    <w:rsid w:val="00F4746C"/>
    <w:rsid w:val="00F47484"/>
    <w:rsid w:val="00F47505"/>
    <w:rsid w:val="00F475BC"/>
    <w:rsid w:val="00F475C0"/>
    <w:rsid w:val="00F47789"/>
    <w:rsid w:val="00F47839"/>
    <w:rsid w:val="00F478B7"/>
    <w:rsid w:val="00F47A08"/>
    <w:rsid w:val="00F47A90"/>
    <w:rsid w:val="00F47AE2"/>
    <w:rsid w:val="00F47AFE"/>
    <w:rsid w:val="00F47C63"/>
    <w:rsid w:val="00F47CC6"/>
    <w:rsid w:val="00F47D2F"/>
    <w:rsid w:val="00F47D88"/>
    <w:rsid w:val="00F47E77"/>
    <w:rsid w:val="00F47FA8"/>
    <w:rsid w:val="00F5004C"/>
    <w:rsid w:val="00F500A6"/>
    <w:rsid w:val="00F50127"/>
    <w:rsid w:val="00F50150"/>
    <w:rsid w:val="00F5018F"/>
    <w:rsid w:val="00F501A3"/>
    <w:rsid w:val="00F501D3"/>
    <w:rsid w:val="00F502D0"/>
    <w:rsid w:val="00F50368"/>
    <w:rsid w:val="00F503AD"/>
    <w:rsid w:val="00F503CC"/>
    <w:rsid w:val="00F5041F"/>
    <w:rsid w:val="00F5049C"/>
    <w:rsid w:val="00F50577"/>
    <w:rsid w:val="00F5061E"/>
    <w:rsid w:val="00F506CF"/>
    <w:rsid w:val="00F50724"/>
    <w:rsid w:val="00F5074A"/>
    <w:rsid w:val="00F507E7"/>
    <w:rsid w:val="00F507FD"/>
    <w:rsid w:val="00F508CE"/>
    <w:rsid w:val="00F50965"/>
    <w:rsid w:val="00F5099E"/>
    <w:rsid w:val="00F50A46"/>
    <w:rsid w:val="00F50AD3"/>
    <w:rsid w:val="00F50B66"/>
    <w:rsid w:val="00F50D0C"/>
    <w:rsid w:val="00F50D89"/>
    <w:rsid w:val="00F50E26"/>
    <w:rsid w:val="00F50EAD"/>
    <w:rsid w:val="00F50EE9"/>
    <w:rsid w:val="00F50FB9"/>
    <w:rsid w:val="00F51008"/>
    <w:rsid w:val="00F51184"/>
    <w:rsid w:val="00F5119A"/>
    <w:rsid w:val="00F511B8"/>
    <w:rsid w:val="00F51288"/>
    <w:rsid w:val="00F51322"/>
    <w:rsid w:val="00F513EA"/>
    <w:rsid w:val="00F51457"/>
    <w:rsid w:val="00F514B8"/>
    <w:rsid w:val="00F514F2"/>
    <w:rsid w:val="00F51524"/>
    <w:rsid w:val="00F51536"/>
    <w:rsid w:val="00F517B5"/>
    <w:rsid w:val="00F517C1"/>
    <w:rsid w:val="00F517ED"/>
    <w:rsid w:val="00F5184B"/>
    <w:rsid w:val="00F51855"/>
    <w:rsid w:val="00F518B8"/>
    <w:rsid w:val="00F5191F"/>
    <w:rsid w:val="00F519E4"/>
    <w:rsid w:val="00F51BE7"/>
    <w:rsid w:val="00F51C0B"/>
    <w:rsid w:val="00F51C86"/>
    <w:rsid w:val="00F51CB0"/>
    <w:rsid w:val="00F51CD4"/>
    <w:rsid w:val="00F51CF8"/>
    <w:rsid w:val="00F51DF5"/>
    <w:rsid w:val="00F51DF8"/>
    <w:rsid w:val="00F51E70"/>
    <w:rsid w:val="00F51EAA"/>
    <w:rsid w:val="00F51EAB"/>
    <w:rsid w:val="00F51F4C"/>
    <w:rsid w:val="00F51FA1"/>
    <w:rsid w:val="00F51FF9"/>
    <w:rsid w:val="00F52025"/>
    <w:rsid w:val="00F52062"/>
    <w:rsid w:val="00F5215C"/>
    <w:rsid w:val="00F521E9"/>
    <w:rsid w:val="00F5221A"/>
    <w:rsid w:val="00F522B4"/>
    <w:rsid w:val="00F52303"/>
    <w:rsid w:val="00F52376"/>
    <w:rsid w:val="00F52385"/>
    <w:rsid w:val="00F52585"/>
    <w:rsid w:val="00F525B2"/>
    <w:rsid w:val="00F525CE"/>
    <w:rsid w:val="00F52663"/>
    <w:rsid w:val="00F526A4"/>
    <w:rsid w:val="00F5270A"/>
    <w:rsid w:val="00F5273B"/>
    <w:rsid w:val="00F52766"/>
    <w:rsid w:val="00F527A5"/>
    <w:rsid w:val="00F527C7"/>
    <w:rsid w:val="00F52809"/>
    <w:rsid w:val="00F52865"/>
    <w:rsid w:val="00F528E7"/>
    <w:rsid w:val="00F52A8A"/>
    <w:rsid w:val="00F52AA4"/>
    <w:rsid w:val="00F52AE3"/>
    <w:rsid w:val="00F52BD4"/>
    <w:rsid w:val="00F52BF5"/>
    <w:rsid w:val="00F52E46"/>
    <w:rsid w:val="00F52F97"/>
    <w:rsid w:val="00F530C4"/>
    <w:rsid w:val="00F530EC"/>
    <w:rsid w:val="00F531E7"/>
    <w:rsid w:val="00F53225"/>
    <w:rsid w:val="00F53325"/>
    <w:rsid w:val="00F5334B"/>
    <w:rsid w:val="00F533CA"/>
    <w:rsid w:val="00F533E3"/>
    <w:rsid w:val="00F535B3"/>
    <w:rsid w:val="00F53688"/>
    <w:rsid w:val="00F53885"/>
    <w:rsid w:val="00F539AE"/>
    <w:rsid w:val="00F539B8"/>
    <w:rsid w:val="00F53A71"/>
    <w:rsid w:val="00F53AC8"/>
    <w:rsid w:val="00F53BA6"/>
    <w:rsid w:val="00F53BB7"/>
    <w:rsid w:val="00F53C2E"/>
    <w:rsid w:val="00F53E0F"/>
    <w:rsid w:val="00F53EBC"/>
    <w:rsid w:val="00F53ECB"/>
    <w:rsid w:val="00F53EDE"/>
    <w:rsid w:val="00F53F03"/>
    <w:rsid w:val="00F53F0A"/>
    <w:rsid w:val="00F53FA8"/>
    <w:rsid w:val="00F53FB5"/>
    <w:rsid w:val="00F53FE5"/>
    <w:rsid w:val="00F54016"/>
    <w:rsid w:val="00F54043"/>
    <w:rsid w:val="00F5413F"/>
    <w:rsid w:val="00F5415B"/>
    <w:rsid w:val="00F5426A"/>
    <w:rsid w:val="00F5428F"/>
    <w:rsid w:val="00F542CE"/>
    <w:rsid w:val="00F5430D"/>
    <w:rsid w:val="00F54325"/>
    <w:rsid w:val="00F54411"/>
    <w:rsid w:val="00F544E9"/>
    <w:rsid w:val="00F54511"/>
    <w:rsid w:val="00F54566"/>
    <w:rsid w:val="00F5456E"/>
    <w:rsid w:val="00F545DF"/>
    <w:rsid w:val="00F546CB"/>
    <w:rsid w:val="00F547BB"/>
    <w:rsid w:val="00F547DD"/>
    <w:rsid w:val="00F54816"/>
    <w:rsid w:val="00F5482D"/>
    <w:rsid w:val="00F548D8"/>
    <w:rsid w:val="00F5496A"/>
    <w:rsid w:val="00F549C1"/>
    <w:rsid w:val="00F54AE2"/>
    <w:rsid w:val="00F54AFC"/>
    <w:rsid w:val="00F54B25"/>
    <w:rsid w:val="00F54BAE"/>
    <w:rsid w:val="00F54BF6"/>
    <w:rsid w:val="00F54C30"/>
    <w:rsid w:val="00F54C46"/>
    <w:rsid w:val="00F54F56"/>
    <w:rsid w:val="00F54FED"/>
    <w:rsid w:val="00F55010"/>
    <w:rsid w:val="00F5504E"/>
    <w:rsid w:val="00F550D8"/>
    <w:rsid w:val="00F55186"/>
    <w:rsid w:val="00F551B6"/>
    <w:rsid w:val="00F551ED"/>
    <w:rsid w:val="00F5523F"/>
    <w:rsid w:val="00F552D0"/>
    <w:rsid w:val="00F55318"/>
    <w:rsid w:val="00F553BB"/>
    <w:rsid w:val="00F5541E"/>
    <w:rsid w:val="00F55434"/>
    <w:rsid w:val="00F554A4"/>
    <w:rsid w:val="00F55548"/>
    <w:rsid w:val="00F55588"/>
    <w:rsid w:val="00F5558A"/>
    <w:rsid w:val="00F5561B"/>
    <w:rsid w:val="00F55644"/>
    <w:rsid w:val="00F55772"/>
    <w:rsid w:val="00F55790"/>
    <w:rsid w:val="00F55851"/>
    <w:rsid w:val="00F55886"/>
    <w:rsid w:val="00F558BE"/>
    <w:rsid w:val="00F55A70"/>
    <w:rsid w:val="00F55A81"/>
    <w:rsid w:val="00F55CB9"/>
    <w:rsid w:val="00F55F5C"/>
    <w:rsid w:val="00F5600D"/>
    <w:rsid w:val="00F56141"/>
    <w:rsid w:val="00F5622A"/>
    <w:rsid w:val="00F56249"/>
    <w:rsid w:val="00F56378"/>
    <w:rsid w:val="00F56462"/>
    <w:rsid w:val="00F564D2"/>
    <w:rsid w:val="00F564F6"/>
    <w:rsid w:val="00F56519"/>
    <w:rsid w:val="00F5652D"/>
    <w:rsid w:val="00F56637"/>
    <w:rsid w:val="00F5666B"/>
    <w:rsid w:val="00F566A4"/>
    <w:rsid w:val="00F566F3"/>
    <w:rsid w:val="00F567F7"/>
    <w:rsid w:val="00F56857"/>
    <w:rsid w:val="00F568D5"/>
    <w:rsid w:val="00F569AD"/>
    <w:rsid w:val="00F56A24"/>
    <w:rsid w:val="00F56AAE"/>
    <w:rsid w:val="00F56AC9"/>
    <w:rsid w:val="00F56B1D"/>
    <w:rsid w:val="00F56C81"/>
    <w:rsid w:val="00F56C83"/>
    <w:rsid w:val="00F56DEE"/>
    <w:rsid w:val="00F56E08"/>
    <w:rsid w:val="00F56E0D"/>
    <w:rsid w:val="00F56E20"/>
    <w:rsid w:val="00F56EC9"/>
    <w:rsid w:val="00F56FDB"/>
    <w:rsid w:val="00F57011"/>
    <w:rsid w:val="00F57020"/>
    <w:rsid w:val="00F57092"/>
    <w:rsid w:val="00F570EC"/>
    <w:rsid w:val="00F57137"/>
    <w:rsid w:val="00F57193"/>
    <w:rsid w:val="00F571E6"/>
    <w:rsid w:val="00F57212"/>
    <w:rsid w:val="00F57269"/>
    <w:rsid w:val="00F57321"/>
    <w:rsid w:val="00F573C8"/>
    <w:rsid w:val="00F5744C"/>
    <w:rsid w:val="00F574F8"/>
    <w:rsid w:val="00F5756A"/>
    <w:rsid w:val="00F576AF"/>
    <w:rsid w:val="00F57700"/>
    <w:rsid w:val="00F577B5"/>
    <w:rsid w:val="00F577C5"/>
    <w:rsid w:val="00F5781F"/>
    <w:rsid w:val="00F578BF"/>
    <w:rsid w:val="00F57927"/>
    <w:rsid w:val="00F5792F"/>
    <w:rsid w:val="00F57997"/>
    <w:rsid w:val="00F579C3"/>
    <w:rsid w:val="00F579EA"/>
    <w:rsid w:val="00F57A61"/>
    <w:rsid w:val="00F57AAF"/>
    <w:rsid w:val="00F57B65"/>
    <w:rsid w:val="00F57B86"/>
    <w:rsid w:val="00F57C91"/>
    <w:rsid w:val="00F57C97"/>
    <w:rsid w:val="00F57CD0"/>
    <w:rsid w:val="00F57E61"/>
    <w:rsid w:val="00F57E9F"/>
    <w:rsid w:val="00F57F41"/>
    <w:rsid w:val="00F57FAC"/>
    <w:rsid w:val="00F60006"/>
    <w:rsid w:val="00F60051"/>
    <w:rsid w:val="00F60283"/>
    <w:rsid w:val="00F602E4"/>
    <w:rsid w:val="00F60354"/>
    <w:rsid w:val="00F60420"/>
    <w:rsid w:val="00F6042D"/>
    <w:rsid w:val="00F6046A"/>
    <w:rsid w:val="00F604AE"/>
    <w:rsid w:val="00F604F0"/>
    <w:rsid w:val="00F6054A"/>
    <w:rsid w:val="00F60576"/>
    <w:rsid w:val="00F6058C"/>
    <w:rsid w:val="00F606C1"/>
    <w:rsid w:val="00F606E8"/>
    <w:rsid w:val="00F6074B"/>
    <w:rsid w:val="00F60796"/>
    <w:rsid w:val="00F60818"/>
    <w:rsid w:val="00F60C23"/>
    <w:rsid w:val="00F60C7B"/>
    <w:rsid w:val="00F60C94"/>
    <w:rsid w:val="00F60CD9"/>
    <w:rsid w:val="00F60D20"/>
    <w:rsid w:val="00F60D37"/>
    <w:rsid w:val="00F60D6F"/>
    <w:rsid w:val="00F60E25"/>
    <w:rsid w:val="00F60E4B"/>
    <w:rsid w:val="00F60F31"/>
    <w:rsid w:val="00F60F4C"/>
    <w:rsid w:val="00F60F96"/>
    <w:rsid w:val="00F61044"/>
    <w:rsid w:val="00F6105B"/>
    <w:rsid w:val="00F610B7"/>
    <w:rsid w:val="00F610FB"/>
    <w:rsid w:val="00F61147"/>
    <w:rsid w:val="00F61190"/>
    <w:rsid w:val="00F611AE"/>
    <w:rsid w:val="00F61239"/>
    <w:rsid w:val="00F61285"/>
    <w:rsid w:val="00F615E7"/>
    <w:rsid w:val="00F616D2"/>
    <w:rsid w:val="00F61744"/>
    <w:rsid w:val="00F6183C"/>
    <w:rsid w:val="00F61981"/>
    <w:rsid w:val="00F61A53"/>
    <w:rsid w:val="00F61AC8"/>
    <w:rsid w:val="00F61C00"/>
    <w:rsid w:val="00F61C03"/>
    <w:rsid w:val="00F61DD6"/>
    <w:rsid w:val="00F61DEE"/>
    <w:rsid w:val="00F61E38"/>
    <w:rsid w:val="00F61E65"/>
    <w:rsid w:val="00F61E6E"/>
    <w:rsid w:val="00F61F0F"/>
    <w:rsid w:val="00F61F1F"/>
    <w:rsid w:val="00F62051"/>
    <w:rsid w:val="00F620E2"/>
    <w:rsid w:val="00F62206"/>
    <w:rsid w:val="00F622AA"/>
    <w:rsid w:val="00F62309"/>
    <w:rsid w:val="00F62337"/>
    <w:rsid w:val="00F6236C"/>
    <w:rsid w:val="00F623EF"/>
    <w:rsid w:val="00F62568"/>
    <w:rsid w:val="00F625B3"/>
    <w:rsid w:val="00F625D4"/>
    <w:rsid w:val="00F625EF"/>
    <w:rsid w:val="00F626BB"/>
    <w:rsid w:val="00F626F4"/>
    <w:rsid w:val="00F6277B"/>
    <w:rsid w:val="00F627D5"/>
    <w:rsid w:val="00F627F1"/>
    <w:rsid w:val="00F6283F"/>
    <w:rsid w:val="00F62887"/>
    <w:rsid w:val="00F62A18"/>
    <w:rsid w:val="00F62A6B"/>
    <w:rsid w:val="00F62B9B"/>
    <w:rsid w:val="00F62C8E"/>
    <w:rsid w:val="00F62DC0"/>
    <w:rsid w:val="00F62E93"/>
    <w:rsid w:val="00F62F03"/>
    <w:rsid w:val="00F62F4E"/>
    <w:rsid w:val="00F62FD1"/>
    <w:rsid w:val="00F62FDC"/>
    <w:rsid w:val="00F62FFE"/>
    <w:rsid w:val="00F6304D"/>
    <w:rsid w:val="00F63052"/>
    <w:rsid w:val="00F63130"/>
    <w:rsid w:val="00F63133"/>
    <w:rsid w:val="00F631C2"/>
    <w:rsid w:val="00F631CA"/>
    <w:rsid w:val="00F63265"/>
    <w:rsid w:val="00F63367"/>
    <w:rsid w:val="00F63446"/>
    <w:rsid w:val="00F636C7"/>
    <w:rsid w:val="00F636D3"/>
    <w:rsid w:val="00F63770"/>
    <w:rsid w:val="00F6378A"/>
    <w:rsid w:val="00F6389A"/>
    <w:rsid w:val="00F638B9"/>
    <w:rsid w:val="00F638E7"/>
    <w:rsid w:val="00F6397F"/>
    <w:rsid w:val="00F63B34"/>
    <w:rsid w:val="00F63B67"/>
    <w:rsid w:val="00F63C28"/>
    <w:rsid w:val="00F63CCB"/>
    <w:rsid w:val="00F63D65"/>
    <w:rsid w:val="00F63DB2"/>
    <w:rsid w:val="00F63E82"/>
    <w:rsid w:val="00F63EB5"/>
    <w:rsid w:val="00F63F10"/>
    <w:rsid w:val="00F63F3A"/>
    <w:rsid w:val="00F63F63"/>
    <w:rsid w:val="00F642C6"/>
    <w:rsid w:val="00F642E1"/>
    <w:rsid w:val="00F64464"/>
    <w:rsid w:val="00F644CD"/>
    <w:rsid w:val="00F647B0"/>
    <w:rsid w:val="00F64824"/>
    <w:rsid w:val="00F6489E"/>
    <w:rsid w:val="00F64A03"/>
    <w:rsid w:val="00F64A0D"/>
    <w:rsid w:val="00F64A3E"/>
    <w:rsid w:val="00F64ABA"/>
    <w:rsid w:val="00F64B4C"/>
    <w:rsid w:val="00F64B9D"/>
    <w:rsid w:val="00F64BEC"/>
    <w:rsid w:val="00F64CDC"/>
    <w:rsid w:val="00F64E78"/>
    <w:rsid w:val="00F65035"/>
    <w:rsid w:val="00F65188"/>
    <w:rsid w:val="00F6522D"/>
    <w:rsid w:val="00F652A1"/>
    <w:rsid w:val="00F652C2"/>
    <w:rsid w:val="00F65613"/>
    <w:rsid w:val="00F65614"/>
    <w:rsid w:val="00F656CD"/>
    <w:rsid w:val="00F65720"/>
    <w:rsid w:val="00F65736"/>
    <w:rsid w:val="00F6580A"/>
    <w:rsid w:val="00F6582F"/>
    <w:rsid w:val="00F65833"/>
    <w:rsid w:val="00F65859"/>
    <w:rsid w:val="00F65915"/>
    <w:rsid w:val="00F65922"/>
    <w:rsid w:val="00F65A27"/>
    <w:rsid w:val="00F65A5E"/>
    <w:rsid w:val="00F65AFF"/>
    <w:rsid w:val="00F65BCB"/>
    <w:rsid w:val="00F65BDC"/>
    <w:rsid w:val="00F65C19"/>
    <w:rsid w:val="00F65C48"/>
    <w:rsid w:val="00F65C54"/>
    <w:rsid w:val="00F65D28"/>
    <w:rsid w:val="00F65D60"/>
    <w:rsid w:val="00F65F23"/>
    <w:rsid w:val="00F65F25"/>
    <w:rsid w:val="00F65F8D"/>
    <w:rsid w:val="00F65FFC"/>
    <w:rsid w:val="00F66041"/>
    <w:rsid w:val="00F66069"/>
    <w:rsid w:val="00F66158"/>
    <w:rsid w:val="00F6617B"/>
    <w:rsid w:val="00F66211"/>
    <w:rsid w:val="00F662A2"/>
    <w:rsid w:val="00F66332"/>
    <w:rsid w:val="00F6636A"/>
    <w:rsid w:val="00F663C7"/>
    <w:rsid w:val="00F663D8"/>
    <w:rsid w:val="00F663DB"/>
    <w:rsid w:val="00F664BD"/>
    <w:rsid w:val="00F664D1"/>
    <w:rsid w:val="00F66538"/>
    <w:rsid w:val="00F66551"/>
    <w:rsid w:val="00F665CC"/>
    <w:rsid w:val="00F666C9"/>
    <w:rsid w:val="00F66776"/>
    <w:rsid w:val="00F668EE"/>
    <w:rsid w:val="00F66905"/>
    <w:rsid w:val="00F66911"/>
    <w:rsid w:val="00F66AAA"/>
    <w:rsid w:val="00F66B5F"/>
    <w:rsid w:val="00F66BBA"/>
    <w:rsid w:val="00F66BEF"/>
    <w:rsid w:val="00F66C17"/>
    <w:rsid w:val="00F66CED"/>
    <w:rsid w:val="00F66D95"/>
    <w:rsid w:val="00F66DB2"/>
    <w:rsid w:val="00F66DBC"/>
    <w:rsid w:val="00F66E2D"/>
    <w:rsid w:val="00F66EE9"/>
    <w:rsid w:val="00F66F54"/>
    <w:rsid w:val="00F66F78"/>
    <w:rsid w:val="00F66F89"/>
    <w:rsid w:val="00F67040"/>
    <w:rsid w:val="00F67060"/>
    <w:rsid w:val="00F670B0"/>
    <w:rsid w:val="00F670BA"/>
    <w:rsid w:val="00F6713E"/>
    <w:rsid w:val="00F67158"/>
    <w:rsid w:val="00F671D8"/>
    <w:rsid w:val="00F67200"/>
    <w:rsid w:val="00F67222"/>
    <w:rsid w:val="00F6723A"/>
    <w:rsid w:val="00F67257"/>
    <w:rsid w:val="00F67269"/>
    <w:rsid w:val="00F67597"/>
    <w:rsid w:val="00F67757"/>
    <w:rsid w:val="00F6778F"/>
    <w:rsid w:val="00F677B3"/>
    <w:rsid w:val="00F67913"/>
    <w:rsid w:val="00F6791B"/>
    <w:rsid w:val="00F67978"/>
    <w:rsid w:val="00F679BE"/>
    <w:rsid w:val="00F67A20"/>
    <w:rsid w:val="00F67B04"/>
    <w:rsid w:val="00F67BB0"/>
    <w:rsid w:val="00F67BE4"/>
    <w:rsid w:val="00F67CC1"/>
    <w:rsid w:val="00F67CE8"/>
    <w:rsid w:val="00F67D8D"/>
    <w:rsid w:val="00F67EE9"/>
    <w:rsid w:val="00F700B2"/>
    <w:rsid w:val="00F70136"/>
    <w:rsid w:val="00F70232"/>
    <w:rsid w:val="00F70322"/>
    <w:rsid w:val="00F703B7"/>
    <w:rsid w:val="00F70440"/>
    <w:rsid w:val="00F704A4"/>
    <w:rsid w:val="00F7061D"/>
    <w:rsid w:val="00F706A9"/>
    <w:rsid w:val="00F7075B"/>
    <w:rsid w:val="00F70775"/>
    <w:rsid w:val="00F70834"/>
    <w:rsid w:val="00F708E8"/>
    <w:rsid w:val="00F70937"/>
    <w:rsid w:val="00F70957"/>
    <w:rsid w:val="00F7096E"/>
    <w:rsid w:val="00F709BB"/>
    <w:rsid w:val="00F709F5"/>
    <w:rsid w:val="00F70A31"/>
    <w:rsid w:val="00F70A80"/>
    <w:rsid w:val="00F70A9E"/>
    <w:rsid w:val="00F70AA9"/>
    <w:rsid w:val="00F70AB5"/>
    <w:rsid w:val="00F70BA6"/>
    <w:rsid w:val="00F70BE5"/>
    <w:rsid w:val="00F70BF1"/>
    <w:rsid w:val="00F70EB3"/>
    <w:rsid w:val="00F70F06"/>
    <w:rsid w:val="00F70F5D"/>
    <w:rsid w:val="00F70FAD"/>
    <w:rsid w:val="00F70FBC"/>
    <w:rsid w:val="00F7100C"/>
    <w:rsid w:val="00F71065"/>
    <w:rsid w:val="00F71193"/>
    <w:rsid w:val="00F711B2"/>
    <w:rsid w:val="00F71281"/>
    <w:rsid w:val="00F712A5"/>
    <w:rsid w:val="00F712D7"/>
    <w:rsid w:val="00F712E1"/>
    <w:rsid w:val="00F712E8"/>
    <w:rsid w:val="00F71370"/>
    <w:rsid w:val="00F713F7"/>
    <w:rsid w:val="00F71487"/>
    <w:rsid w:val="00F714D2"/>
    <w:rsid w:val="00F714E3"/>
    <w:rsid w:val="00F7150F"/>
    <w:rsid w:val="00F715FA"/>
    <w:rsid w:val="00F7167E"/>
    <w:rsid w:val="00F716C6"/>
    <w:rsid w:val="00F716E5"/>
    <w:rsid w:val="00F717AB"/>
    <w:rsid w:val="00F71866"/>
    <w:rsid w:val="00F71928"/>
    <w:rsid w:val="00F719B6"/>
    <w:rsid w:val="00F719BA"/>
    <w:rsid w:val="00F71A7F"/>
    <w:rsid w:val="00F71C0E"/>
    <w:rsid w:val="00F71C55"/>
    <w:rsid w:val="00F71D6B"/>
    <w:rsid w:val="00F71DA7"/>
    <w:rsid w:val="00F71DD0"/>
    <w:rsid w:val="00F71E0D"/>
    <w:rsid w:val="00F71E49"/>
    <w:rsid w:val="00F71E55"/>
    <w:rsid w:val="00F71F8A"/>
    <w:rsid w:val="00F71FDA"/>
    <w:rsid w:val="00F720C6"/>
    <w:rsid w:val="00F720EE"/>
    <w:rsid w:val="00F72247"/>
    <w:rsid w:val="00F7235D"/>
    <w:rsid w:val="00F723D1"/>
    <w:rsid w:val="00F7241D"/>
    <w:rsid w:val="00F724ED"/>
    <w:rsid w:val="00F724F1"/>
    <w:rsid w:val="00F72552"/>
    <w:rsid w:val="00F7259E"/>
    <w:rsid w:val="00F725D9"/>
    <w:rsid w:val="00F725E8"/>
    <w:rsid w:val="00F7260E"/>
    <w:rsid w:val="00F726BE"/>
    <w:rsid w:val="00F72700"/>
    <w:rsid w:val="00F72786"/>
    <w:rsid w:val="00F727B8"/>
    <w:rsid w:val="00F728F9"/>
    <w:rsid w:val="00F72AD6"/>
    <w:rsid w:val="00F72B8A"/>
    <w:rsid w:val="00F72C04"/>
    <w:rsid w:val="00F72C0C"/>
    <w:rsid w:val="00F72CA3"/>
    <w:rsid w:val="00F72CAC"/>
    <w:rsid w:val="00F72D2D"/>
    <w:rsid w:val="00F72D31"/>
    <w:rsid w:val="00F72D76"/>
    <w:rsid w:val="00F72D7B"/>
    <w:rsid w:val="00F72F56"/>
    <w:rsid w:val="00F72F63"/>
    <w:rsid w:val="00F72FD1"/>
    <w:rsid w:val="00F73038"/>
    <w:rsid w:val="00F73066"/>
    <w:rsid w:val="00F730C3"/>
    <w:rsid w:val="00F730DC"/>
    <w:rsid w:val="00F73114"/>
    <w:rsid w:val="00F73158"/>
    <w:rsid w:val="00F7319F"/>
    <w:rsid w:val="00F731EA"/>
    <w:rsid w:val="00F7345C"/>
    <w:rsid w:val="00F73531"/>
    <w:rsid w:val="00F735CA"/>
    <w:rsid w:val="00F736A2"/>
    <w:rsid w:val="00F7373A"/>
    <w:rsid w:val="00F73749"/>
    <w:rsid w:val="00F73767"/>
    <w:rsid w:val="00F737F3"/>
    <w:rsid w:val="00F73809"/>
    <w:rsid w:val="00F73856"/>
    <w:rsid w:val="00F7391E"/>
    <w:rsid w:val="00F73A35"/>
    <w:rsid w:val="00F73A6F"/>
    <w:rsid w:val="00F73C02"/>
    <w:rsid w:val="00F73C39"/>
    <w:rsid w:val="00F73CD4"/>
    <w:rsid w:val="00F73CE9"/>
    <w:rsid w:val="00F73CF0"/>
    <w:rsid w:val="00F73D08"/>
    <w:rsid w:val="00F73E26"/>
    <w:rsid w:val="00F73EC2"/>
    <w:rsid w:val="00F74044"/>
    <w:rsid w:val="00F74064"/>
    <w:rsid w:val="00F74111"/>
    <w:rsid w:val="00F74149"/>
    <w:rsid w:val="00F74331"/>
    <w:rsid w:val="00F743DB"/>
    <w:rsid w:val="00F74422"/>
    <w:rsid w:val="00F7476F"/>
    <w:rsid w:val="00F747F0"/>
    <w:rsid w:val="00F74868"/>
    <w:rsid w:val="00F7486A"/>
    <w:rsid w:val="00F748E4"/>
    <w:rsid w:val="00F748FB"/>
    <w:rsid w:val="00F74962"/>
    <w:rsid w:val="00F749A3"/>
    <w:rsid w:val="00F74AA8"/>
    <w:rsid w:val="00F74AAF"/>
    <w:rsid w:val="00F74B86"/>
    <w:rsid w:val="00F74B8E"/>
    <w:rsid w:val="00F74BD8"/>
    <w:rsid w:val="00F74C2E"/>
    <w:rsid w:val="00F74C4D"/>
    <w:rsid w:val="00F74C72"/>
    <w:rsid w:val="00F74CD1"/>
    <w:rsid w:val="00F74EC5"/>
    <w:rsid w:val="00F74F8B"/>
    <w:rsid w:val="00F750BA"/>
    <w:rsid w:val="00F75126"/>
    <w:rsid w:val="00F75187"/>
    <w:rsid w:val="00F7533F"/>
    <w:rsid w:val="00F753D4"/>
    <w:rsid w:val="00F75474"/>
    <w:rsid w:val="00F754B5"/>
    <w:rsid w:val="00F754CF"/>
    <w:rsid w:val="00F75611"/>
    <w:rsid w:val="00F75642"/>
    <w:rsid w:val="00F7564C"/>
    <w:rsid w:val="00F7569B"/>
    <w:rsid w:val="00F756B8"/>
    <w:rsid w:val="00F7582E"/>
    <w:rsid w:val="00F758F8"/>
    <w:rsid w:val="00F75936"/>
    <w:rsid w:val="00F75957"/>
    <w:rsid w:val="00F75989"/>
    <w:rsid w:val="00F759AC"/>
    <w:rsid w:val="00F759FE"/>
    <w:rsid w:val="00F75A96"/>
    <w:rsid w:val="00F75B1A"/>
    <w:rsid w:val="00F75BA3"/>
    <w:rsid w:val="00F75C47"/>
    <w:rsid w:val="00F75C55"/>
    <w:rsid w:val="00F75CA8"/>
    <w:rsid w:val="00F75CAC"/>
    <w:rsid w:val="00F75D30"/>
    <w:rsid w:val="00F75D3A"/>
    <w:rsid w:val="00F75D61"/>
    <w:rsid w:val="00F75ECF"/>
    <w:rsid w:val="00F75ED5"/>
    <w:rsid w:val="00F75EDC"/>
    <w:rsid w:val="00F75EF0"/>
    <w:rsid w:val="00F75F90"/>
    <w:rsid w:val="00F75FB3"/>
    <w:rsid w:val="00F76065"/>
    <w:rsid w:val="00F76078"/>
    <w:rsid w:val="00F760E5"/>
    <w:rsid w:val="00F7611E"/>
    <w:rsid w:val="00F761B2"/>
    <w:rsid w:val="00F76270"/>
    <w:rsid w:val="00F76291"/>
    <w:rsid w:val="00F7629F"/>
    <w:rsid w:val="00F76323"/>
    <w:rsid w:val="00F763AB"/>
    <w:rsid w:val="00F765F6"/>
    <w:rsid w:val="00F76626"/>
    <w:rsid w:val="00F76644"/>
    <w:rsid w:val="00F7666B"/>
    <w:rsid w:val="00F76772"/>
    <w:rsid w:val="00F767C0"/>
    <w:rsid w:val="00F76825"/>
    <w:rsid w:val="00F7687E"/>
    <w:rsid w:val="00F769B4"/>
    <w:rsid w:val="00F769EA"/>
    <w:rsid w:val="00F76B35"/>
    <w:rsid w:val="00F76C81"/>
    <w:rsid w:val="00F76CC2"/>
    <w:rsid w:val="00F76CE8"/>
    <w:rsid w:val="00F76D83"/>
    <w:rsid w:val="00F76DF2"/>
    <w:rsid w:val="00F76F08"/>
    <w:rsid w:val="00F76F8C"/>
    <w:rsid w:val="00F76FD7"/>
    <w:rsid w:val="00F7715E"/>
    <w:rsid w:val="00F77315"/>
    <w:rsid w:val="00F77341"/>
    <w:rsid w:val="00F77435"/>
    <w:rsid w:val="00F77461"/>
    <w:rsid w:val="00F774B3"/>
    <w:rsid w:val="00F774B7"/>
    <w:rsid w:val="00F774CE"/>
    <w:rsid w:val="00F77595"/>
    <w:rsid w:val="00F7763B"/>
    <w:rsid w:val="00F7764F"/>
    <w:rsid w:val="00F7776D"/>
    <w:rsid w:val="00F77888"/>
    <w:rsid w:val="00F778CF"/>
    <w:rsid w:val="00F778EA"/>
    <w:rsid w:val="00F778F5"/>
    <w:rsid w:val="00F778F7"/>
    <w:rsid w:val="00F77AC5"/>
    <w:rsid w:val="00F77B0C"/>
    <w:rsid w:val="00F77BF8"/>
    <w:rsid w:val="00F77BFB"/>
    <w:rsid w:val="00F77C5D"/>
    <w:rsid w:val="00F77F99"/>
    <w:rsid w:val="00F80150"/>
    <w:rsid w:val="00F80181"/>
    <w:rsid w:val="00F80223"/>
    <w:rsid w:val="00F80232"/>
    <w:rsid w:val="00F80341"/>
    <w:rsid w:val="00F80398"/>
    <w:rsid w:val="00F804EA"/>
    <w:rsid w:val="00F8050A"/>
    <w:rsid w:val="00F806A4"/>
    <w:rsid w:val="00F806B1"/>
    <w:rsid w:val="00F80766"/>
    <w:rsid w:val="00F80772"/>
    <w:rsid w:val="00F807A2"/>
    <w:rsid w:val="00F80900"/>
    <w:rsid w:val="00F8095F"/>
    <w:rsid w:val="00F809B5"/>
    <w:rsid w:val="00F80A10"/>
    <w:rsid w:val="00F80A16"/>
    <w:rsid w:val="00F80A32"/>
    <w:rsid w:val="00F80A6E"/>
    <w:rsid w:val="00F80ACB"/>
    <w:rsid w:val="00F80AD1"/>
    <w:rsid w:val="00F80BA3"/>
    <w:rsid w:val="00F80C30"/>
    <w:rsid w:val="00F80C50"/>
    <w:rsid w:val="00F80C6C"/>
    <w:rsid w:val="00F80D0F"/>
    <w:rsid w:val="00F80D89"/>
    <w:rsid w:val="00F80DA2"/>
    <w:rsid w:val="00F80E34"/>
    <w:rsid w:val="00F80E59"/>
    <w:rsid w:val="00F80E8B"/>
    <w:rsid w:val="00F80EF6"/>
    <w:rsid w:val="00F80F2F"/>
    <w:rsid w:val="00F80F4F"/>
    <w:rsid w:val="00F80FC0"/>
    <w:rsid w:val="00F81100"/>
    <w:rsid w:val="00F81149"/>
    <w:rsid w:val="00F81215"/>
    <w:rsid w:val="00F81272"/>
    <w:rsid w:val="00F8134A"/>
    <w:rsid w:val="00F813EE"/>
    <w:rsid w:val="00F8142B"/>
    <w:rsid w:val="00F8150A"/>
    <w:rsid w:val="00F815D3"/>
    <w:rsid w:val="00F816E0"/>
    <w:rsid w:val="00F816E2"/>
    <w:rsid w:val="00F816E3"/>
    <w:rsid w:val="00F81786"/>
    <w:rsid w:val="00F817AB"/>
    <w:rsid w:val="00F8184D"/>
    <w:rsid w:val="00F81905"/>
    <w:rsid w:val="00F81926"/>
    <w:rsid w:val="00F81A88"/>
    <w:rsid w:val="00F81A98"/>
    <w:rsid w:val="00F81AD6"/>
    <w:rsid w:val="00F81B03"/>
    <w:rsid w:val="00F81B61"/>
    <w:rsid w:val="00F81CE7"/>
    <w:rsid w:val="00F81D11"/>
    <w:rsid w:val="00F81D19"/>
    <w:rsid w:val="00F81D81"/>
    <w:rsid w:val="00F81E4D"/>
    <w:rsid w:val="00F81E58"/>
    <w:rsid w:val="00F81F06"/>
    <w:rsid w:val="00F81FA1"/>
    <w:rsid w:val="00F82058"/>
    <w:rsid w:val="00F820D4"/>
    <w:rsid w:val="00F820FD"/>
    <w:rsid w:val="00F82141"/>
    <w:rsid w:val="00F82200"/>
    <w:rsid w:val="00F82281"/>
    <w:rsid w:val="00F822AB"/>
    <w:rsid w:val="00F8231B"/>
    <w:rsid w:val="00F82329"/>
    <w:rsid w:val="00F82401"/>
    <w:rsid w:val="00F82407"/>
    <w:rsid w:val="00F82468"/>
    <w:rsid w:val="00F8255D"/>
    <w:rsid w:val="00F82629"/>
    <w:rsid w:val="00F8265B"/>
    <w:rsid w:val="00F826C8"/>
    <w:rsid w:val="00F826CB"/>
    <w:rsid w:val="00F8276E"/>
    <w:rsid w:val="00F82830"/>
    <w:rsid w:val="00F82869"/>
    <w:rsid w:val="00F8286B"/>
    <w:rsid w:val="00F8288D"/>
    <w:rsid w:val="00F8291B"/>
    <w:rsid w:val="00F82930"/>
    <w:rsid w:val="00F8293B"/>
    <w:rsid w:val="00F82948"/>
    <w:rsid w:val="00F82A13"/>
    <w:rsid w:val="00F82AB7"/>
    <w:rsid w:val="00F82B00"/>
    <w:rsid w:val="00F82B8E"/>
    <w:rsid w:val="00F82BA5"/>
    <w:rsid w:val="00F82BCB"/>
    <w:rsid w:val="00F82BDB"/>
    <w:rsid w:val="00F82C4F"/>
    <w:rsid w:val="00F82D63"/>
    <w:rsid w:val="00F82D6F"/>
    <w:rsid w:val="00F82DAD"/>
    <w:rsid w:val="00F82E1B"/>
    <w:rsid w:val="00F82ED2"/>
    <w:rsid w:val="00F82EE7"/>
    <w:rsid w:val="00F82F18"/>
    <w:rsid w:val="00F83003"/>
    <w:rsid w:val="00F83007"/>
    <w:rsid w:val="00F8304F"/>
    <w:rsid w:val="00F830F0"/>
    <w:rsid w:val="00F8317C"/>
    <w:rsid w:val="00F8320E"/>
    <w:rsid w:val="00F8326B"/>
    <w:rsid w:val="00F832A6"/>
    <w:rsid w:val="00F832EB"/>
    <w:rsid w:val="00F83320"/>
    <w:rsid w:val="00F83326"/>
    <w:rsid w:val="00F8333B"/>
    <w:rsid w:val="00F83483"/>
    <w:rsid w:val="00F83499"/>
    <w:rsid w:val="00F834B3"/>
    <w:rsid w:val="00F834C9"/>
    <w:rsid w:val="00F834E8"/>
    <w:rsid w:val="00F8354C"/>
    <w:rsid w:val="00F835B4"/>
    <w:rsid w:val="00F837D5"/>
    <w:rsid w:val="00F83877"/>
    <w:rsid w:val="00F83950"/>
    <w:rsid w:val="00F83964"/>
    <w:rsid w:val="00F83A0E"/>
    <w:rsid w:val="00F83A17"/>
    <w:rsid w:val="00F83BA4"/>
    <w:rsid w:val="00F83BAF"/>
    <w:rsid w:val="00F83C39"/>
    <w:rsid w:val="00F83C6A"/>
    <w:rsid w:val="00F83CF5"/>
    <w:rsid w:val="00F83D02"/>
    <w:rsid w:val="00F83DF2"/>
    <w:rsid w:val="00F83EFF"/>
    <w:rsid w:val="00F83FB3"/>
    <w:rsid w:val="00F83FD0"/>
    <w:rsid w:val="00F83FF6"/>
    <w:rsid w:val="00F84033"/>
    <w:rsid w:val="00F8406B"/>
    <w:rsid w:val="00F84111"/>
    <w:rsid w:val="00F84223"/>
    <w:rsid w:val="00F8424D"/>
    <w:rsid w:val="00F84343"/>
    <w:rsid w:val="00F84376"/>
    <w:rsid w:val="00F84409"/>
    <w:rsid w:val="00F8441B"/>
    <w:rsid w:val="00F844C5"/>
    <w:rsid w:val="00F84552"/>
    <w:rsid w:val="00F84573"/>
    <w:rsid w:val="00F845B8"/>
    <w:rsid w:val="00F84617"/>
    <w:rsid w:val="00F84639"/>
    <w:rsid w:val="00F8465F"/>
    <w:rsid w:val="00F8469C"/>
    <w:rsid w:val="00F84720"/>
    <w:rsid w:val="00F847D1"/>
    <w:rsid w:val="00F84808"/>
    <w:rsid w:val="00F848A6"/>
    <w:rsid w:val="00F848B2"/>
    <w:rsid w:val="00F8496A"/>
    <w:rsid w:val="00F8496E"/>
    <w:rsid w:val="00F84A05"/>
    <w:rsid w:val="00F84AF9"/>
    <w:rsid w:val="00F84B56"/>
    <w:rsid w:val="00F84B9C"/>
    <w:rsid w:val="00F84BA0"/>
    <w:rsid w:val="00F84C91"/>
    <w:rsid w:val="00F84CA0"/>
    <w:rsid w:val="00F84CB2"/>
    <w:rsid w:val="00F84CE0"/>
    <w:rsid w:val="00F84D01"/>
    <w:rsid w:val="00F84D0B"/>
    <w:rsid w:val="00F84D1C"/>
    <w:rsid w:val="00F84DBD"/>
    <w:rsid w:val="00F84DD5"/>
    <w:rsid w:val="00F84E50"/>
    <w:rsid w:val="00F84E84"/>
    <w:rsid w:val="00F84F78"/>
    <w:rsid w:val="00F84F7C"/>
    <w:rsid w:val="00F8504B"/>
    <w:rsid w:val="00F850C2"/>
    <w:rsid w:val="00F850E9"/>
    <w:rsid w:val="00F85141"/>
    <w:rsid w:val="00F85190"/>
    <w:rsid w:val="00F851D7"/>
    <w:rsid w:val="00F85272"/>
    <w:rsid w:val="00F852CE"/>
    <w:rsid w:val="00F85301"/>
    <w:rsid w:val="00F8534E"/>
    <w:rsid w:val="00F85375"/>
    <w:rsid w:val="00F853C5"/>
    <w:rsid w:val="00F85425"/>
    <w:rsid w:val="00F8551D"/>
    <w:rsid w:val="00F855F6"/>
    <w:rsid w:val="00F85689"/>
    <w:rsid w:val="00F856B6"/>
    <w:rsid w:val="00F856C2"/>
    <w:rsid w:val="00F85747"/>
    <w:rsid w:val="00F857AA"/>
    <w:rsid w:val="00F857D0"/>
    <w:rsid w:val="00F85850"/>
    <w:rsid w:val="00F85861"/>
    <w:rsid w:val="00F85910"/>
    <w:rsid w:val="00F85A2D"/>
    <w:rsid w:val="00F85A46"/>
    <w:rsid w:val="00F85ADE"/>
    <w:rsid w:val="00F85BE7"/>
    <w:rsid w:val="00F85BED"/>
    <w:rsid w:val="00F85FCE"/>
    <w:rsid w:val="00F8602F"/>
    <w:rsid w:val="00F86030"/>
    <w:rsid w:val="00F86036"/>
    <w:rsid w:val="00F8606E"/>
    <w:rsid w:val="00F86125"/>
    <w:rsid w:val="00F862D0"/>
    <w:rsid w:val="00F8645B"/>
    <w:rsid w:val="00F86460"/>
    <w:rsid w:val="00F8659F"/>
    <w:rsid w:val="00F865C2"/>
    <w:rsid w:val="00F865D7"/>
    <w:rsid w:val="00F86747"/>
    <w:rsid w:val="00F86786"/>
    <w:rsid w:val="00F867A4"/>
    <w:rsid w:val="00F86866"/>
    <w:rsid w:val="00F868D6"/>
    <w:rsid w:val="00F86A16"/>
    <w:rsid w:val="00F86A24"/>
    <w:rsid w:val="00F86C49"/>
    <w:rsid w:val="00F86D2D"/>
    <w:rsid w:val="00F86DE1"/>
    <w:rsid w:val="00F86DE4"/>
    <w:rsid w:val="00F86E00"/>
    <w:rsid w:val="00F86ECD"/>
    <w:rsid w:val="00F86F86"/>
    <w:rsid w:val="00F86FB0"/>
    <w:rsid w:val="00F87000"/>
    <w:rsid w:val="00F8709A"/>
    <w:rsid w:val="00F870D2"/>
    <w:rsid w:val="00F87186"/>
    <w:rsid w:val="00F872E0"/>
    <w:rsid w:val="00F87340"/>
    <w:rsid w:val="00F87449"/>
    <w:rsid w:val="00F87456"/>
    <w:rsid w:val="00F875B1"/>
    <w:rsid w:val="00F87725"/>
    <w:rsid w:val="00F87748"/>
    <w:rsid w:val="00F87771"/>
    <w:rsid w:val="00F877BE"/>
    <w:rsid w:val="00F87833"/>
    <w:rsid w:val="00F87903"/>
    <w:rsid w:val="00F87948"/>
    <w:rsid w:val="00F87B17"/>
    <w:rsid w:val="00F87B97"/>
    <w:rsid w:val="00F87C53"/>
    <w:rsid w:val="00F87CCC"/>
    <w:rsid w:val="00F87CD7"/>
    <w:rsid w:val="00F87D3B"/>
    <w:rsid w:val="00F87D5C"/>
    <w:rsid w:val="00F87DAB"/>
    <w:rsid w:val="00F87DDE"/>
    <w:rsid w:val="00F87E48"/>
    <w:rsid w:val="00F87EAD"/>
    <w:rsid w:val="00F87EBC"/>
    <w:rsid w:val="00F87F72"/>
    <w:rsid w:val="00F9000B"/>
    <w:rsid w:val="00F90048"/>
    <w:rsid w:val="00F90063"/>
    <w:rsid w:val="00F900B4"/>
    <w:rsid w:val="00F90267"/>
    <w:rsid w:val="00F902B3"/>
    <w:rsid w:val="00F90392"/>
    <w:rsid w:val="00F9041E"/>
    <w:rsid w:val="00F90457"/>
    <w:rsid w:val="00F904B1"/>
    <w:rsid w:val="00F904C2"/>
    <w:rsid w:val="00F90580"/>
    <w:rsid w:val="00F90731"/>
    <w:rsid w:val="00F90803"/>
    <w:rsid w:val="00F90806"/>
    <w:rsid w:val="00F90894"/>
    <w:rsid w:val="00F908F0"/>
    <w:rsid w:val="00F909A0"/>
    <w:rsid w:val="00F909E8"/>
    <w:rsid w:val="00F90AA1"/>
    <w:rsid w:val="00F90BA2"/>
    <w:rsid w:val="00F90C18"/>
    <w:rsid w:val="00F90C44"/>
    <w:rsid w:val="00F90C50"/>
    <w:rsid w:val="00F90CC7"/>
    <w:rsid w:val="00F90CE8"/>
    <w:rsid w:val="00F90D0A"/>
    <w:rsid w:val="00F90E27"/>
    <w:rsid w:val="00F90E2E"/>
    <w:rsid w:val="00F90E95"/>
    <w:rsid w:val="00F90F45"/>
    <w:rsid w:val="00F90FA1"/>
    <w:rsid w:val="00F90FD8"/>
    <w:rsid w:val="00F91030"/>
    <w:rsid w:val="00F910B5"/>
    <w:rsid w:val="00F910DC"/>
    <w:rsid w:val="00F91115"/>
    <w:rsid w:val="00F911DF"/>
    <w:rsid w:val="00F91341"/>
    <w:rsid w:val="00F91350"/>
    <w:rsid w:val="00F913C3"/>
    <w:rsid w:val="00F91547"/>
    <w:rsid w:val="00F917AB"/>
    <w:rsid w:val="00F91809"/>
    <w:rsid w:val="00F91817"/>
    <w:rsid w:val="00F91874"/>
    <w:rsid w:val="00F9188A"/>
    <w:rsid w:val="00F91894"/>
    <w:rsid w:val="00F918B2"/>
    <w:rsid w:val="00F918F0"/>
    <w:rsid w:val="00F918FC"/>
    <w:rsid w:val="00F91A11"/>
    <w:rsid w:val="00F91AE2"/>
    <w:rsid w:val="00F91C15"/>
    <w:rsid w:val="00F91CF5"/>
    <w:rsid w:val="00F91D3F"/>
    <w:rsid w:val="00F91F65"/>
    <w:rsid w:val="00F9208D"/>
    <w:rsid w:val="00F920D8"/>
    <w:rsid w:val="00F9213D"/>
    <w:rsid w:val="00F921CA"/>
    <w:rsid w:val="00F9221E"/>
    <w:rsid w:val="00F922D3"/>
    <w:rsid w:val="00F922E6"/>
    <w:rsid w:val="00F923C4"/>
    <w:rsid w:val="00F9242F"/>
    <w:rsid w:val="00F924A9"/>
    <w:rsid w:val="00F92534"/>
    <w:rsid w:val="00F92805"/>
    <w:rsid w:val="00F92838"/>
    <w:rsid w:val="00F92884"/>
    <w:rsid w:val="00F929D6"/>
    <w:rsid w:val="00F92A3B"/>
    <w:rsid w:val="00F92A5C"/>
    <w:rsid w:val="00F92AF6"/>
    <w:rsid w:val="00F92AFE"/>
    <w:rsid w:val="00F92BA9"/>
    <w:rsid w:val="00F92CA2"/>
    <w:rsid w:val="00F92D21"/>
    <w:rsid w:val="00F92D76"/>
    <w:rsid w:val="00F92E55"/>
    <w:rsid w:val="00F92F4C"/>
    <w:rsid w:val="00F92F55"/>
    <w:rsid w:val="00F92F76"/>
    <w:rsid w:val="00F93009"/>
    <w:rsid w:val="00F93054"/>
    <w:rsid w:val="00F93144"/>
    <w:rsid w:val="00F931B3"/>
    <w:rsid w:val="00F932AA"/>
    <w:rsid w:val="00F93315"/>
    <w:rsid w:val="00F9332D"/>
    <w:rsid w:val="00F933FE"/>
    <w:rsid w:val="00F934D0"/>
    <w:rsid w:val="00F93590"/>
    <w:rsid w:val="00F935D4"/>
    <w:rsid w:val="00F936F3"/>
    <w:rsid w:val="00F93855"/>
    <w:rsid w:val="00F9385C"/>
    <w:rsid w:val="00F938DD"/>
    <w:rsid w:val="00F9393B"/>
    <w:rsid w:val="00F9394E"/>
    <w:rsid w:val="00F93A8D"/>
    <w:rsid w:val="00F93AF2"/>
    <w:rsid w:val="00F93BC9"/>
    <w:rsid w:val="00F93BEB"/>
    <w:rsid w:val="00F93BF4"/>
    <w:rsid w:val="00F93C4B"/>
    <w:rsid w:val="00F93DD5"/>
    <w:rsid w:val="00F93E51"/>
    <w:rsid w:val="00F93F37"/>
    <w:rsid w:val="00F94095"/>
    <w:rsid w:val="00F940CE"/>
    <w:rsid w:val="00F9411C"/>
    <w:rsid w:val="00F94343"/>
    <w:rsid w:val="00F94359"/>
    <w:rsid w:val="00F94361"/>
    <w:rsid w:val="00F943D0"/>
    <w:rsid w:val="00F9447B"/>
    <w:rsid w:val="00F9461A"/>
    <w:rsid w:val="00F9461B"/>
    <w:rsid w:val="00F94620"/>
    <w:rsid w:val="00F9470C"/>
    <w:rsid w:val="00F94761"/>
    <w:rsid w:val="00F947C0"/>
    <w:rsid w:val="00F948AA"/>
    <w:rsid w:val="00F94927"/>
    <w:rsid w:val="00F94A58"/>
    <w:rsid w:val="00F94A7B"/>
    <w:rsid w:val="00F94AE2"/>
    <w:rsid w:val="00F94BF3"/>
    <w:rsid w:val="00F94C16"/>
    <w:rsid w:val="00F94C73"/>
    <w:rsid w:val="00F94D91"/>
    <w:rsid w:val="00F94DAE"/>
    <w:rsid w:val="00F94E8D"/>
    <w:rsid w:val="00F94EED"/>
    <w:rsid w:val="00F94F4F"/>
    <w:rsid w:val="00F94F7D"/>
    <w:rsid w:val="00F95000"/>
    <w:rsid w:val="00F95088"/>
    <w:rsid w:val="00F95102"/>
    <w:rsid w:val="00F95352"/>
    <w:rsid w:val="00F95355"/>
    <w:rsid w:val="00F954A1"/>
    <w:rsid w:val="00F95539"/>
    <w:rsid w:val="00F955C3"/>
    <w:rsid w:val="00F95613"/>
    <w:rsid w:val="00F95962"/>
    <w:rsid w:val="00F95A83"/>
    <w:rsid w:val="00F95AAA"/>
    <w:rsid w:val="00F95AD2"/>
    <w:rsid w:val="00F95B5F"/>
    <w:rsid w:val="00F95B9A"/>
    <w:rsid w:val="00F95BAA"/>
    <w:rsid w:val="00F95BD2"/>
    <w:rsid w:val="00F95BD7"/>
    <w:rsid w:val="00F95BD8"/>
    <w:rsid w:val="00F95BEA"/>
    <w:rsid w:val="00F95D75"/>
    <w:rsid w:val="00F95DF1"/>
    <w:rsid w:val="00F95E38"/>
    <w:rsid w:val="00F95FA3"/>
    <w:rsid w:val="00F95FB3"/>
    <w:rsid w:val="00F960BF"/>
    <w:rsid w:val="00F96245"/>
    <w:rsid w:val="00F96280"/>
    <w:rsid w:val="00F96337"/>
    <w:rsid w:val="00F96392"/>
    <w:rsid w:val="00F963D0"/>
    <w:rsid w:val="00F963EE"/>
    <w:rsid w:val="00F96434"/>
    <w:rsid w:val="00F964AF"/>
    <w:rsid w:val="00F9653A"/>
    <w:rsid w:val="00F96618"/>
    <w:rsid w:val="00F96626"/>
    <w:rsid w:val="00F96665"/>
    <w:rsid w:val="00F968FC"/>
    <w:rsid w:val="00F96959"/>
    <w:rsid w:val="00F9699F"/>
    <w:rsid w:val="00F96A43"/>
    <w:rsid w:val="00F96A9B"/>
    <w:rsid w:val="00F96AF7"/>
    <w:rsid w:val="00F96B8E"/>
    <w:rsid w:val="00F96BFD"/>
    <w:rsid w:val="00F96C42"/>
    <w:rsid w:val="00F96C91"/>
    <w:rsid w:val="00F96C97"/>
    <w:rsid w:val="00F96D1B"/>
    <w:rsid w:val="00F96E2A"/>
    <w:rsid w:val="00F96EA2"/>
    <w:rsid w:val="00F96EA6"/>
    <w:rsid w:val="00F96FB6"/>
    <w:rsid w:val="00F96FEF"/>
    <w:rsid w:val="00F97054"/>
    <w:rsid w:val="00F970B6"/>
    <w:rsid w:val="00F970B8"/>
    <w:rsid w:val="00F97189"/>
    <w:rsid w:val="00F97223"/>
    <w:rsid w:val="00F973CD"/>
    <w:rsid w:val="00F973F2"/>
    <w:rsid w:val="00F973F9"/>
    <w:rsid w:val="00F97402"/>
    <w:rsid w:val="00F97448"/>
    <w:rsid w:val="00F974A2"/>
    <w:rsid w:val="00F97569"/>
    <w:rsid w:val="00F975B0"/>
    <w:rsid w:val="00F975D0"/>
    <w:rsid w:val="00F9761D"/>
    <w:rsid w:val="00F9766A"/>
    <w:rsid w:val="00F9768F"/>
    <w:rsid w:val="00F976C6"/>
    <w:rsid w:val="00F976EC"/>
    <w:rsid w:val="00F97762"/>
    <w:rsid w:val="00F97766"/>
    <w:rsid w:val="00F9793E"/>
    <w:rsid w:val="00F9795B"/>
    <w:rsid w:val="00F97988"/>
    <w:rsid w:val="00F97A1B"/>
    <w:rsid w:val="00F97A58"/>
    <w:rsid w:val="00F97BF2"/>
    <w:rsid w:val="00F97C2F"/>
    <w:rsid w:val="00F97C48"/>
    <w:rsid w:val="00F97C56"/>
    <w:rsid w:val="00F97C71"/>
    <w:rsid w:val="00F97E2C"/>
    <w:rsid w:val="00F97EBE"/>
    <w:rsid w:val="00F97F87"/>
    <w:rsid w:val="00FA0021"/>
    <w:rsid w:val="00FA00B9"/>
    <w:rsid w:val="00FA00C4"/>
    <w:rsid w:val="00FA00E6"/>
    <w:rsid w:val="00FA00ED"/>
    <w:rsid w:val="00FA0127"/>
    <w:rsid w:val="00FA0201"/>
    <w:rsid w:val="00FA0491"/>
    <w:rsid w:val="00FA04FD"/>
    <w:rsid w:val="00FA0539"/>
    <w:rsid w:val="00FA054E"/>
    <w:rsid w:val="00FA058A"/>
    <w:rsid w:val="00FA0618"/>
    <w:rsid w:val="00FA071E"/>
    <w:rsid w:val="00FA072F"/>
    <w:rsid w:val="00FA0751"/>
    <w:rsid w:val="00FA07D2"/>
    <w:rsid w:val="00FA082B"/>
    <w:rsid w:val="00FA089F"/>
    <w:rsid w:val="00FA099D"/>
    <w:rsid w:val="00FA0A53"/>
    <w:rsid w:val="00FA0AE4"/>
    <w:rsid w:val="00FA0B1E"/>
    <w:rsid w:val="00FA0C2D"/>
    <w:rsid w:val="00FA0C5F"/>
    <w:rsid w:val="00FA0CD3"/>
    <w:rsid w:val="00FA0D13"/>
    <w:rsid w:val="00FA0DA1"/>
    <w:rsid w:val="00FA0E48"/>
    <w:rsid w:val="00FA0F14"/>
    <w:rsid w:val="00FA1159"/>
    <w:rsid w:val="00FA1241"/>
    <w:rsid w:val="00FA1317"/>
    <w:rsid w:val="00FA140D"/>
    <w:rsid w:val="00FA14C5"/>
    <w:rsid w:val="00FA1561"/>
    <w:rsid w:val="00FA15A8"/>
    <w:rsid w:val="00FA162D"/>
    <w:rsid w:val="00FA165E"/>
    <w:rsid w:val="00FA168B"/>
    <w:rsid w:val="00FA1698"/>
    <w:rsid w:val="00FA170C"/>
    <w:rsid w:val="00FA176A"/>
    <w:rsid w:val="00FA17D5"/>
    <w:rsid w:val="00FA182A"/>
    <w:rsid w:val="00FA1882"/>
    <w:rsid w:val="00FA18E1"/>
    <w:rsid w:val="00FA19AD"/>
    <w:rsid w:val="00FA1A13"/>
    <w:rsid w:val="00FA1A16"/>
    <w:rsid w:val="00FA1A1B"/>
    <w:rsid w:val="00FA1A55"/>
    <w:rsid w:val="00FA1A80"/>
    <w:rsid w:val="00FA1B1E"/>
    <w:rsid w:val="00FA1B87"/>
    <w:rsid w:val="00FA1BD4"/>
    <w:rsid w:val="00FA1C1B"/>
    <w:rsid w:val="00FA1D55"/>
    <w:rsid w:val="00FA1E6B"/>
    <w:rsid w:val="00FA1FE5"/>
    <w:rsid w:val="00FA201E"/>
    <w:rsid w:val="00FA215B"/>
    <w:rsid w:val="00FA2196"/>
    <w:rsid w:val="00FA21AB"/>
    <w:rsid w:val="00FA21DC"/>
    <w:rsid w:val="00FA2208"/>
    <w:rsid w:val="00FA2247"/>
    <w:rsid w:val="00FA2308"/>
    <w:rsid w:val="00FA232E"/>
    <w:rsid w:val="00FA2348"/>
    <w:rsid w:val="00FA23AB"/>
    <w:rsid w:val="00FA2505"/>
    <w:rsid w:val="00FA25FD"/>
    <w:rsid w:val="00FA2737"/>
    <w:rsid w:val="00FA27D8"/>
    <w:rsid w:val="00FA2850"/>
    <w:rsid w:val="00FA28C4"/>
    <w:rsid w:val="00FA2920"/>
    <w:rsid w:val="00FA2A76"/>
    <w:rsid w:val="00FA2B4E"/>
    <w:rsid w:val="00FA2BC2"/>
    <w:rsid w:val="00FA2BC6"/>
    <w:rsid w:val="00FA2C26"/>
    <w:rsid w:val="00FA2D5E"/>
    <w:rsid w:val="00FA2D8D"/>
    <w:rsid w:val="00FA2D93"/>
    <w:rsid w:val="00FA2ECB"/>
    <w:rsid w:val="00FA2EFF"/>
    <w:rsid w:val="00FA3000"/>
    <w:rsid w:val="00FA3032"/>
    <w:rsid w:val="00FA3072"/>
    <w:rsid w:val="00FA30BA"/>
    <w:rsid w:val="00FA31FF"/>
    <w:rsid w:val="00FA32A4"/>
    <w:rsid w:val="00FA3390"/>
    <w:rsid w:val="00FA3417"/>
    <w:rsid w:val="00FA34C2"/>
    <w:rsid w:val="00FA34C4"/>
    <w:rsid w:val="00FA35D8"/>
    <w:rsid w:val="00FA3681"/>
    <w:rsid w:val="00FA36A1"/>
    <w:rsid w:val="00FA376D"/>
    <w:rsid w:val="00FA3870"/>
    <w:rsid w:val="00FA39A8"/>
    <w:rsid w:val="00FA39B3"/>
    <w:rsid w:val="00FA3A7B"/>
    <w:rsid w:val="00FA3ADF"/>
    <w:rsid w:val="00FA3BAD"/>
    <w:rsid w:val="00FA3BE9"/>
    <w:rsid w:val="00FA3D39"/>
    <w:rsid w:val="00FA3D3F"/>
    <w:rsid w:val="00FA3D77"/>
    <w:rsid w:val="00FA3EB4"/>
    <w:rsid w:val="00FA3F52"/>
    <w:rsid w:val="00FA4063"/>
    <w:rsid w:val="00FA41BD"/>
    <w:rsid w:val="00FA41EF"/>
    <w:rsid w:val="00FA4386"/>
    <w:rsid w:val="00FA4413"/>
    <w:rsid w:val="00FA448D"/>
    <w:rsid w:val="00FA454F"/>
    <w:rsid w:val="00FA4886"/>
    <w:rsid w:val="00FA48EC"/>
    <w:rsid w:val="00FA4901"/>
    <w:rsid w:val="00FA4977"/>
    <w:rsid w:val="00FA49E6"/>
    <w:rsid w:val="00FA4A2C"/>
    <w:rsid w:val="00FA4A60"/>
    <w:rsid w:val="00FA4ABD"/>
    <w:rsid w:val="00FA4B99"/>
    <w:rsid w:val="00FA4BBB"/>
    <w:rsid w:val="00FA4BEA"/>
    <w:rsid w:val="00FA4DF7"/>
    <w:rsid w:val="00FA4E54"/>
    <w:rsid w:val="00FA4F36"/>
    <w:rsid w:val="00FA502F"/>
    <w:rsid w:val="00FA5049"/>
    <w:rsid w:val="00FA518C"/>
    <w:rsid w:val="00FA51A2"/>
    <w:rsid w:val="00FA5316"/>
    <w:rsid w:val="00FA539F"/>
    <w:rsid w:val="00FA53DB"/>
    <w:rsid w:val="00FA5452"/>
    <w:rsid w:val="00FA548A"/>
    <w:rsid w:val="00FA54E8"/>
    <w:rsid w:val="00FA54FC"/>
    <w:rsid w:val="00FA550F"/>
    <w:rsid w:val="00FA5549"/>
    <w:rsid w:val="00FA554E"/>
    <w:rsid w:val="00FA561A"/>
    <w:rsid w:val="00FA5657"/>
    <w:rsid w:val="00FA56AA"/>
    <w:rsid w:val="00FA56DC"/>
    <w:rsid w:val="00FA5727"/>
    <w:rsid w:val="00FA5766"/>
    <w:rsid w:val="00FA585F"/>
    <w:rsid w:val="00FA588F"/>
    <w:rsid w:val="00FA58B8"/>
    <w:rsid w:val="00FA5991"/>
    <w:rsid w:val="00FA5ABC"/>
    <w:rsid w:val="00FA5C0A"/>
    <w:rsid w:val="00FA5C10"/>
    <w:rsid w:val="00FA5CF6"/>
    <w:rsid w:val="00FA5D6B"/>
    <w:rsid w:val="00FA5E0C"/>
    <w:rsid w:val="00FA5E14"/>
    <w:rsid w:val="00FA5EAD"/>
    <w:rsid w:val="00FA5F08"/>
    <w:rsid w:val="00FA5F1B"/>
    <w:rsid w:val="00FA5FA3"/>
    <w:rsid w:val="00FA6029"/>
    <w:rsid w:val="00FA602A"/>
    <w:rsid w:val="00FA61C6"/>
    <w:rsid w:val="00FA6206"/>
    <w:rsid w:val="00FA62D3"/>
    <w:rsid w:val="00FA63DA"/>
    <w:rsid w:val="00FA63E0"/>
    <w:rsid w:val="00FA6411"/>
    <w:rsid w:val="00FA64BC"/>
    <w:rsid w:val="00FA64F9"/>
    <w:rsid w:val="00FA65F0"/>
    <w:rsid w:val="00FA65FD"/>
    <w:rsid w:val="00FA6693"/>
    <w:rsid w:val="00FA66A3"/>
    <w:rsid w:val="00FA68CC"/>
    <w:rsid w:val="00FA6968"/>
    <w:rsid w:val="00FA6A07"/>
    <w:rsid w:val="00FA6B5B"/>
    <w:rsid w:val="00FA6C2F"/>
    <w:rsid w:val="00FA6C4F"/>
    <w:rsid w:val="00FA6C69"/>
    <w:rsid w:val="00FA6CE3"/>
    <w:rsid w:val="00FA6DA7"/>
    <w:rsid w:val="00FA6DAB"/>
    <w:rsid w:val="00FA6E15"/>
    <w:rsid w:val="00FA6E1E"/>
    <w:rsid w:val="00FA6E3F"/>
    <w:rsid w:val="00FA6E90"/>
    <w:rsid w:val="00FA6F2D"/>
    <w:rsid w:val="00FA6F49"/>
    <w:rsid w:val="00FA6F52"/>
    <w:rsid w:val="00FA701D"/>
    <w:rsid w:val="00FA7075"/>
    <w:rsid w:val="00FA70C2"/>
    <w:rsid w:val="00FA7134"/>
    <w:rsid w:val="00FA7149"/>
    <w:rsid w:val="00FA7248"/>
    <w:rsid w:val="00FA7307"/>
    <w:rsid w:val="00FA7308"/>
    <w:rsid w:val="00FA7389"/>
    <w:rsid w:val="00FA740A"/>
    <w:rsid w:val="00FA7581"/>
    <w:rsid w:val="00FA763C"/>
    <w:rsid w:val="00FA7667"/>
    <w:rsid w:val="00FA76DB"/>
    <w:rsid w:val="00FA76E0"/>
    <w:rsid w:val="00FA770A"/>
    <w:rsid w:val="00FA7774"/>
    <w:rsid w:val="00FA7778"/>
    <w:rsid w:val="00FA77D5"/>
    <w:rsid w:val="00FA7986"/>
    <w:rsid w:val="00FA7A00"/>
    <w:rsid w:val="00FA7AAF"/>
    <w:rsid w:val="00FA7C26"/>
    <w:rsid w:val="00FA7C55"/>
    <w:rsid w:val="00FA7D8F"/>
    <w:rsid w:val="00FA7DD6"/>
    <w:rsid w:val="00FA7E5B"/>
    <w:rsid w:val="00FA7F14"/>
    <w:rsid w:val="00FA7F48"/>
    <w:rsid w:val="00FA7F91"/>
    <w:rsid w:val="00FB0019"/>
    <w:rsid w:val="00FB00DF"/>
    <w:rsid w:val="00FB0324"/>
    <w:rsid w:val="00FB0504"/>
    <w:rsid w:val="00FB0530"/>
    <w:rsid w:val="00FB0609"/>
    <w:rsid w:val="00FB067B"/>
    <w:rsid w:val="00FB07B6"/>
    <w:rsid w:val="00FB08FA"/>
    <w:rsid w:val="00FB0955"/>
    <w:rsid w:val="00FB0989"/>
    <w:rsid w:val="00FB09E2"/>
    <w:rsid w:val="00FB0A70"/>
    <w:rsid w:val="00FB0AA3"/>
    <w:rsid w:val="00FB0AB4"/>
    <w:rsid w:val="00FB0B25"/>
    <w:rsid w:val="00FB0BAF"/>
    <w:rsid w:val="00FB0C28"/>
    <w:rsid w:val="00FB0CB8"/>
    <w:rsid w:val="00FB0DEC"/>
    <w:rsid w:val="00FB0E15"/>
    <w:rsid w:val="00FB0ED3"/>
    <w:rsid w:val="00FB0EE9"/>
    <w:rsid w:val="00FB10C5"/>
    <w:rsid w:val="00FB10F0"/>
    <w:rsid w:val="00FB12A7"/>
    <w:rsid w:val="00FB12ED"/>
    <w:rsid w:val="00FB1303"/>
    <w:rsid w:val="00FB13D5"/>
    <w:rsid w:val="00FB14D4"/>
    <w:rsid w:val="00FB1517"/>
    <w:rsid w:val="00FB1600"/>
    <w:rsid w:val="00FB1646"/>
    <w:rsid w:val="00FB165A"/>
    <w:rsid w:val="00FB16D3"/>
    <w:rsid w:val="00FB1711"/>
    <w:rsid w:val="00FB1760"/>
    <w:rsid w:val="00FB17DB"/>
    <w:rsid w:val="00FB183A"/>
    <w:rsid w:val="00FB1842"/>
    <w:rsid w:val="00FB18CB"/>
    <w:rsid w:val="00FB18ED"/>
    <w:rsid w:val="00FB1952"/>
    <w:rsid w:val="00FB1A8D"/>
    <w:rsid w:val="00FB1B4B"/>
    <w:rsid w:val="00FB1B63"/>
    <w:rsid w:val="00FB1BC6"/>
    <w:rsid w:val="00FB1C1A"/>
    <w:rsid w:val="00FB1E03"/>
    <w:rsid w:val="00FB1E50"/>
    <w:rsid w:val="00FB1E8C"/>
    <w:rsid w:val="00FB1F28"/>
    <w:rsid w:val="00FB1F52"/>
    <w:rsid w:val="00FB1FE1"/>
    <w:rsid w:val="00FB1FEB"/>
    <w:rsid w:val="00FB2063"/>
    <w:rsid w:val="00FB20A1"/>
    <w:rsid w:val="00FB2120"/>
    <w:rsid w:val="00FB2159"/>
    <w:rsid w:val="00FB21BB"/>
    <w:rsid w:val="00FB21F1"/>
    <w:rsid w:val="00FB226F"/>
    <w:rsid w:val="00FB22C9"/>
    <w:rsid w:val="00FB22FB"/>
    <w:rsid w:val="00FB230D"/>
    <w:rsid w:val="00FB2395"/>
    <w:rsid w:val="00FB24EE"/>
    <w:rsid w:val="00FB251C"/>
    <w:rsid w:val="00FB2814"/>
    <w:rsid w:val="00FB2897"/>
    <w:rsid w:val="00FB28AE"/>
    <w:rsid w:val="00FB2B2D"/>
    <w:rsid w:val="00FB2B98"/>
    <w:rsid w:val="00FB2CCD"/>
    <w:rsid w:val="00FB2D2B"/>
    <w:rsid w:val="00FB2DA9"/>
    <w:rsid w:val="00FB2DE6"/>
    <w:rsid w:val="00FB2DF0"/>
    <w:rsid w:val="00FB2E73"/>
    <w:rsid w:val="00FB2F15"/>
    <w:rsid w:val="00FB2F32"/>
    <w:rsid w:val="00FB3030"/>
    <w:rsid w:val="00FB3031"/>
    <w:rsid w:val="00FB30F7"/>
    <w:rsid w:val="00FB31E3"/>
    <w:rsid w:val="00FB3201"/>
    <w:rsid w:val="00FB33BF"/>
    <w:rsid w:val="00FB33DB"/>
    <w:rsid w:val="00FB344B"/>
    <w:rsid w:val="00FB347E"/>
    <w:rsid w:val="00FB34EC"/>
    <w:rsid w:val="00FB350F"/>
    <w:rsid w:val="00FB3738"/>
    <w:rsid w:val="00FB37B9"/>
    <w:rsid w:val="00FB395C"/>
    <w:rsid w:val="00FB3A5A"/>
    <w:rsid w:val="00FB3B5F"/>
    <w:rsid w:val="00FB3CD9"/>
    <w:rsid w:val="00FB3E42"/>
    <w:rsid w:val="00FB3F21"/>
    <w:rsid w:val="00FB4089"/>
    <w:rsid w:val="00FB4106"/>
    <w:rsid w:val="00FB4179"/>
    <w:rsid w:val="00FB42CC"/>
    <w:rsid w:val="00FB431E"/>
    <w:rsid w:val="00FB43DD"/>
    <w:rsid w:val="00FB4485"/>
    <w:rsid w:val="00FB4487"/>
    <w:rsid w:val="00FB44E5"/>
    <w:rsid w:val="00FB458F"/>
    <w:rsid w:val="00FB46F7"/>
    <w:rsid w:val="00FB475C"/>
    <w:rsid w:val="00FB4809"/>
    <w:rsid w:val="00FB4852"/>
    <w:rsid w:val="00FB4888"/>
    <w:rsid w:val="00FB489D"/>
    <w:rsid w:val="00FB48E5"/>
    <w:rsid w:val="00FB4999"/>
    <w:rsid w:val="00FB4CE1"/>
    <w:rsid w:val="00FB4D09"/>
    <w:rsid w:val="00FB4D96"/>
    <w:rsid w:val="00FB4DE6"/>
    <w:rsid w:val="00FB4F2A"/>
    <w:rsid w:val="00FB4FB3"/>
    <w:rsid w:val="00FB504A"/>
    <w:rsid w:val="00FB5090"/>
    <w:rsid w:val="00FB50A2"/>
    <w:rsid w:val="00FB5219"/>
    <w:rsid w:val="00FB527F"/>
    <w:rsid w:val="00FB5282"/>
    <w:rsid w:val="00FB528F"/>
    <w:rsid w:val="00FB5295"/>
    <w:rsid w:val="00FB52C4"/>
    <w:rsid w:val="00FB52DD"/>
    <w:rsid w:val="00FB52F5"/>
    <w:rsid w:val="00FB5489"/>
    <w:rsid w:val="00FB54D4"/>
    <w:rsid w:val="00FB5514"/>
    <w:rsid w:val="00FB5663"/>
    <w:rsid w:val="00FB579B"/>
    <w:rsid w:val="00FB589E"/>
    <w:rsid w:val="00FB58FE"/>
    <w:rsid w:val="00FB5A28"/>
    <w:rsid w:val="00FB5AA2"/>
    <w:rsid w:val="00FB5C03"/>
    <w:rsid w:val="00FB5CD8"/>
    <w:rsid w:val="00FB5D76"/>
    <w:rsid w:val="00FB5DB1"/>
    <w:rsid w:val="00FB5E7A"/>
    <w:rsid w:val="00FB5E85"/>
    <w:rsid w:val="00FB5EA9"/>
    <w:rsid w:val="00FB5EE7"/>
    <w:rsid w:val="00FB5FB5"/>
    <w:rsid w:val="00FB5FE0"/>
    <w:rsid w:val="00FB6008"/>
    <w:rsid w:val="00FB6018"/>
    <w:rsid w:val="00FB603C"/>
    <w:rsid w:val="00FB6247"/>
    <w:rsid w:val="00FB6250"/>
    <w:rsid w:val="00FB6317"/>
    <w:rsid w:val="00FB6349"/>
    <w:rsid w:val="00FB63C4"/>
    <w:rsid w:val="00FB63EA"/>
    <w:rsid w:val="00FB6557"/>
    <w:rsid w:val="00FB6567"/>
    <w:rsid w:val="00FB65AD"/>
    <w:rsid w:val="00FB66C6"/>
    <w:rsid w:val="00FB670F"/>
    <w:rsid w:val="00FB6830"/>
    <w:rsid w:val="00FB6904"/>
    <w:rsid w:val="00FB6A08"/>
    <w:rsid w:val="00FB6A9D"/>
    <w:rsid w:val="00FB6B64"/>
    <w:rsid w:val="00FB6C1F"/>
    <w:rsid w:val="00FB6CBD"/>
    <w:rsid w:val="00FB6D76"/>
    <w:rsid w:val="00FB6F4E"/>
    <w:rsid w:val="00FB6FF9"/>
    <w:rsid w:val="00FB7017"/>
    <w:rsid w:val="00FB705F"/>
    <w:rsid w:val="00FB70DE"/>
    <w:rsid w:val="00FB7228"/>
    <w:rsid w:val="00FB728B"/>
    <w:rsid w:val="00FB7297"/>
    <w:rsid w:val="00FB72E1"/>
    <w:rsid w:val="00FB72E4"/>
    <w:rsid w:val="00FB7313"/>
    <w:rsid w:val="00FB7315"/>
    <w:rsid w:val="00FB732D"/>
    <w:rsid w:val="00FB7363"/>
    <w:rsid w:val="00FB7376"/>
    <w:rsid w:val="00FB7516"/>
    <w:rsid w:val="00FB7546"/>
    <w:rsid w:val="00FB7607"/>
    <w:rsid w:val="00FB763C"/>
    <w:rsid w:val="00FB7679"/>
    <w:rsid w:val="00FB7687"/>
    <w:rsid w:val="00FB76BF"/>
    <w:rsid w:val="00FB772A"/>
    <w:rsid w:val="00FB7784"/>
    <w:rsid w:val="00FB7804"/>
    <w:rsid w:val="00FB7933"/>
    <w:rsid w:val="00FB794D"/>
    <w:rsid w:val="00FB7A7D"/>
    <w:rsid w:val="00FB7AD0"/>
    <w:rsid w:val="00FB7AE3"/>
    <w:rsid w:val="00FB7C5E"/>
    <w:rsid w:val="00FB7CC7"/>
    <w:rsid w:val="00FB7E59"/>
    <w:rsid w:val="00FB7E77"/>
    <w:rsid w:val="00FB7EEF"/>
    <w:rsid w:val="00FC0038"/>
    <w:rsid w:val="00FC00B9"/>
    <w:rsid w:val="00FC013C"/>
    <w:rsid w:val="00FC01B9"/>
    <w:rsid w:val="00FC0201"/>
    <w:rsid w:val="00FC028B"/>
    <w:rsid w:val="00FC0311"/>
    <w:rsid w:val="00FC0394"/>
    <w:rsid w:val="00FC043D"/>
    <w:rsid w:val="00FC04A1"/>
    <w:rsid w:val="00FC0644"/>
    <w:rsid w:val="00FC0667"/>
    <w:rsid w:val="00FC06D6"/>
    <w:rsid w:val="00FC06DC"/>
    <w:rsid w:val="00FC06F0"/>
    <w:rsid w:val="00FC0AA1"/>
    <w:rsid w:val="00FC0B05"/>
    <w:rsid w:val="00FC0BAD"/>
    <w:rsid w:val="00FC0BAF"/>
    <w:rsid w:val="00FC0C1F"/>
    <w:rsid w:val="00FC0C94"/>
    <w:rsid w:val="00FC0DA7"/>
    <w:rsid w:val="00FC0E33"/>
    <w:rsid w:val="00FC0E5A"/>
    <w:rsid w:val="00FC0F4D"/>
    <w:rsid w:val="00FC0FA5"/>
    <w:rsid w:val="00FC0FD2"/>
    <w:rsid w:val="00FC1015"/>
    <w:rsid w:val="00FC104B"/>
    <w:rsid w:val="00FC1129"/>
    <w:rsid w:val="00FC11FC"/>
    <w:rsid w:val="00FC120C"/>
    <w:rsid w:val="00FC1273"/>
    <w:rsid w:val="00FC130C"/>
    <w:rsid w:val="00FC148C"/>
    <w:rsid w:val="00FC1588"/>
    <w:rsid w:val="00FC162D"/>
    <w:rsid w:val="00FC16B6"/>
    <w:rsid w:val="00FC1855"/>
    <w:rsid w:val="00FC18D8"/>
    <w:rsid w:val="00FC1999"/>
    <w:rsid w:val="00FC1A05"/>
    <w:rsid w:val="00FC1A95"/>
    <w:rsid w:val="00FC1BC9"/>
    <w:rsid w:val="00FC1BF9"/>
    <w:rsid w:val="00FC1E93"/>
    <w:rsid w:val="00FC1EA7"/>
    <w:rsid w:val="00FC20CA"/>
    <w:rsid w:val="00FC2202"/>
    <w:rsid w:val="00FC22B3"/>
    <w:rsid w:val="00FC22D2"/>
    <w:rsid w:val="00FC2346"/>
    <w:rsid w:val="00FC235E"/>
    <w:rsid w:val="00FC237E"/>
    <w:rsid w:val="00FC2448"/>
    <w:rsid w:val="00FC24A6"/>
    <w:rsid w:val="00FC2515"/>
    <w:rsid w:val="00FC2559"/>
    <w:rsid w:val="00FC2577"/>
    <w:rsid w:val="00FC2605"/>
    <w:rsid w:val="00FC26A2"/>
    <w:rsid w:val="00FC26D3"/>
    <w:rsid w:val="00FC2946"/>
    <w:rsid w:val="00FC2960"/>
    <w:rsid w:val="00FC29B6"/>
    <w:rsid w:val="00FC29E7"/>
    <w:rsid w:val="00FC2A03"/>
    <w:rsid w:val="00FC2A17"/>
    <w:rsid w:val="00FC2B8A"/>
    <w:rsid w:val="00FC2BF8"/>
    <w:rsid w:val="00FC2CE6"/>
    <w:rsid w:val="00FC2DAC"/>
    <w:rsid w:val="00FC2DFF"/>
    <w:rsid w:val="00FC2E1A"/>
    <w:rsid w:val="00FC2E9D"/>
    <w:rsid w:val="00FC2EAD"/>
    <w:rsid w:val="00FC2F80"/>
    <w:rsid w:val="00FC3032"/>
    <w:rsid w:val="00FC30F3"/>
    <w:rsid w:val="00FC311A"/>
    <w:rsid w:val="00FC3151"/>
    <w:rsid w:val="00FC31B1"/>
    <w:rsid w:val="00FC31FE"/>
    <w:rsid w:val="00FC3257"/>
    <w:rsid w:val="00FC32AA"/>
    <w:rsid w:val="00FC3303"/>
    <w:rsid w:val="00FC3362"/>
    <w:rsid w:val="00FC33B0"/>
    <w:rsid w:val="00FC342D"/>
    <w:rsid w:val="00FC3473"/>
    <w:rsid w:val="00FC351C"/>
    <w:rsid w:val="00FC354B"/>
    <w:rsid w:val="00FC3642"/>
    <w:rsid w:val="00FC3645"/>
    <w:rsid w:val="00FC37B3"/>
    <w:rsid w:val="00FC37CF"/>
    <w:rsid w:val="00FC385E"/>
    <w:rsid w:val="00FC38A6"/>
    <w:rsid w:val="00FC38CD"/>
    <w:rsid w:val="00FC3A0F"/>
    <w:rsid w:val="00FC3A14"/>
    <w:rsid w:val="00FC3A46"/>
    <w:rsid w:val="00FC3A6A"/>
    <w:rsid w:val="00FC3ACB"/>
    <w:rsid w:val="00FC3AE2"/>
    <w:rsid w:val="00FC3C50"/>
    <w:rsid w:val="00FC3CD2"/>
    <w:rsid w:val="00FC3CD3"/>
    <w:rsid w:val="00FC3D33"/>
    <w:rsid w:val="00FC3D8E"/>
    <w:rsid w:val="00FC3E5D"/>
    <w:rsid w:val="00FC3F05"/>
    <w:rsid w:val="00FC3FAC"/>
    <w:rsid w:val="00FC3FC2"/>
    <w:rsid w:val="00FC403E"/>
    <w:rsid w:val="00FC4074"/>
    <w:rsid w:val="00FC4146"/>
    <w:rsid w:val="00FC4170"/>
    <w:rsid w:val="00FC4179"/>
    <w:rsid w:val="00FC4189"/>
    <w:rsid w:val="00FC41ED"/>
    <w:rsid w:val="00FC4305"/>
    <w:rsid w:val="00FC4451"/>
    <w:rsid w:val="00FC469F"/>
    <w:rsid w:val="00FC46DE"/>
    <w:rsid w:val="00FC46FE"/>
    <w:rsid w:val="00FC478D"/>
    <w:rsid w:val="00FC4930"/>
    <w:rsid w:val="00FC4A2C"/>
    <w:rsid w:val="00FC4A36"/>
    <w:rsid w:val="00FC4A7D"/>
    <w:rsid w:val="00FC4AC4"/>
    <w:rsid w:val="00FC4B66"/>
    <w:rsid w:val="00FC4BCB"/>
    <w:rsid w:val="00FC4BCF"/>
    <w:rsid w:val="00FC4C67"/>
    <w:rsid w:val="00FC4C9A"/>
    <w:rsid w:val="00FC4CAA"/>
    <w:rsid w:val="00FC4DEB"/>
    <w:rsid w:val="00FC4E1E"/>
    <w:rsid w:val="00FC4F04"/>
    <w:rsid w:val="00FC4F25"/>
    <w:rsid w:val="00FC4F8F"/>
    <w:rsid w:val="00FC512E"/>
    <w:rsid w:val="00FC5168"/>
    <w:rsid w:val="00FC51A0"/>
    <w:rsid w:val="00FC52CE"/>
    <w:rsid w:val="00FC536A"/>
    <w:rsid w:val="00FC53B6"/>
    <w:rsid w:val="00FC54C4"/>
    <w:rsid w:val="00FC54ED"/>
    <w:rsid w:val="00FC560C"/>
    <w:rsid w:val="00FC56A2"/>
    <w:rsid w:val="00FC5907"/>
    <w:rsid w:val="00FC5963"/>
    <w:rsid w:val="00FC598F"/>
    <w:rsid w:val="00FC5A53"/>
    <w:rsid w:val="00FC5AB1"/>
    <w:rsid w:val="00FC5AD8"/>
    <w:rsid w:val="00FC5AF6"/>
    <w:rsid w:val="00FC5B05"/>
    <w:rsid w:val="00FC5B0E"/>
    <w:rsid w:val="00FC5B72"/>
    <w:rsid w:val="00FC5BA4"/>
    <w:rsid w:val="00FC5C41"/>
    <w:rsid w:val="00FC5C6B"/>
    <w:rsid w:val="00FC5CF7"/>
    <w:rsid w:val="00FC5D15"/>
    <w:rsid w:val="00FC5D3A"/>
    <w:rsid w:val="00FC5D57"/>
    <w:rsid w:val="00FC5EA9"/>
    <w:rsid w:val="00FC5F0B"/>
    <w:rsid w:val="00FC5FBF"/>
    <w:rsid w:val="00FC6031"/>
    <w:rsid w:val="00FC60DD"/>
    <w:rsid w:val="00FC6157"/>
    <w:rsid w:val="00FC6261"/>
    <w:rsid w:val="00FC62AF"/>
    <w:rsid w:val="00FC62D3"/>
    <w:rsid w:val="00FC62EA"/>
    <w:rsid w:val="00FC63ED"/>
    <w:rsid w:val="00FC63FC"/>
    <w:rsid w:val="00FC650E"/>
    <w:rsid w:val="00FC6522"/>
    <w:rsid w:val="00FC65F2"/>
    <w:rsid w:val="00FC6607"/>
    <w:rsid w:val="00FC6643"/>
    <w:rsid w:val="00FC66A1"/>
    <w:rsid w:val="00FC66DF"/>
    <w:rsid w:val="00FC6951"/>
    <w:rsid w:val="00FC6A3C"/>
    <w:rsid w:val="00FC6A49"/>
    <w:rsid w:val="00FC6A95"/>
    <w:rsid w:val="00FC6A9D"/>
    <w:rsid w:val="00FC6BBB"/>
    <w:rsid w:val="00FC6BFC"/>
    <w:rsid w:val="00FC6C6B"/>
    <w:rsid w:val="00FC6C99"/>
    <w:rsid w:val="00FC6CA7"/>
    <w:rsid w:val="00FC6D0A"/>
    <w:rsid w:val="00FC6D90"/>
    <w:rsid w:val="00FC6DD8"/>
    <w:rsid w:val="00FC6E47"/>
    <w:rsid w:val="00FC6EA5"/>
    <w:rsid w:val="00FC70E1"/>
    <w:rsid w:val="00FC7272"/>
    <w:rsid w:val="00FC7401"/>
    <w:rsid w:val="00FC7461"/>
    <w:rsid w:val="00FC7515"/>
    <w:rsid w:val="00FC751E"/>
    <w:rsid w:val="00FC75AA"/>
    <w:rsid w:val="00FC75FD"/>
    <w:rsid w:val="00FC7728"/>
    <w:rsid w:val="00FC772B"/>
    <w:rsid w:val="00FC7766"/>
    <w:rsid w:val="00FC779F"/>
    <w:rsid w:val="00FC7919"/>
    <w:rsid w:val="00FC7933"/>
    <w:rsid w:val="00FC7984"/>
    <w:rsid w:val="00FC79AB"/>
    <w:rsid w:val="00FC7BD2"/>
    <w:rsid w:val="00FC7BF1"/>
    <w:rsid w:val="00FC7CFE"/>
    <w:rsid w:val="00FC7DA4"/>
    <w:rsid w:val="00FD0084"/>
    <w:rsid w:val="00FD00A0"/>
    <w:rsid w:val="00FD0140"/>
    <w:rsid w:val="00FD0155"/>
    <w:rsid w:val="00FD02DF"/>
    <w:rsid w:val="00FD049E"/>
    <w:rsid w:val="00FD0579"/>
    <w:rsid w:val="00FD0586"/>
    <w:rsid w:val="00FD05D4"/>
    <w:rsid w:val="00FD060B"/>
    <w:rsid w:val="00FD068B"/>
    <w:rsid w:val="00FD0695"/>
    <w:rsid w:val="00FD078F"/>
    <w:rsid w:val="00FD07A6"/>
    <w:rsid w:val="00FD07D5"/>
    <w:rsid w:val="00FD081C"/>
    <w:rsid w:val="00FD0A49"/>
    <w:rsid w:val="00FD0ACE"/>
    <w:rsid w:val="00FD0B0A"/>
    <w:rsid w:val="00FD0C53"/>
    <w:rsid w:val="00FD0D3E"/>
    <w:rsid w:val="00FD0DA0"/>
    <w:rsid w:val="00FD0F13"/>
    <w:rsid w:val="00FD0F7C"/>
    <w:rsid w:val="00FD0FFB"/>
    <w:rsid w:val="00FD102D"/>
    <w:rsid w:val="00FD1045"/>
    <w:rsid w:val="00FD10E7"/>
    <w:rsid w:val="00FD10FC"/>
    <w:rsid w:val="00FD111A"/>
    <w:rsid w:val="00FD11B5"/>
    <w:rsid w:val="00FD1294"/>
    <w:rsid w:val="00FD12E0"/>
    <w:rsid w:val="00FD1304"/>
    <w:rsid w:val="00FD15EA"/>
    <w:rsid w:val="00FD1600"/>
    <w:rsid w:val="00FD161C"/>
    <w:rsid w:val="00FD1641"/>
    <w:rsid w:val="00FD16B4"/>
    <w:rsid w:val="00FD16EC"/>
    <w:rsid w:val="00FD197B"/>
    <w:rsid w:val="00FD1A5C"/>
    <w:rsid w:val="00FD1BEC"/>
    <w:rsid w:val="00FD1D7C"/>
    <w:rsid w:val="00FD1E14"/>
    <w:rsid w:val="00FD1FC5"/>
    <w:rsid w:val="00FD2082"/>
    <w:rsid w:val="00FD219C"/>
    <w:rsid w:val="00FD21D5"/>
    <w:rsid w:val="00FD2203"/>
    <w:rsid w:val="00FD2226"/>
    <w:rsid w:val="00FD22AC"/>
    <w:rsid w:val="00FD22DC"/>
    <w:rsid w:val="00FD22FE"/>
    <w:rsid w:val="00FD2353"/>
    <w:rsid w:val="00FD239C"/>
    <w:rsid w:val="00FD2439"/>
    <w:rsid w:val="00FD2479"/>
    <w:rsid w:val="00FD2481"/>
    <w:rsid w:val="00FD2483"/>
    <w:rsid w:val="00FD248C"/>
    <w:rsid w:val="00FD24E9"/>
    <w:rsid w:val="00FD25F6"/>
    <w:rsid w:val="00FD26F4"/>
    <w:rsid w:val="00FD2745"/>
    <w:rsid w:val="00FD274B"/>
    <w:rsid w:val="00FD27F5"/>
    <w:rsid w:val="00FD2819"/>
    <w:rsid w:val="00FD2827"/>
    <w:rsid w:val="00FD28BE"/>
    <w:rsid w:val="00FD28F6"/>
    <w:rsid w:val="00FD298A"/>
    <w:rsid w:val="00FD2C07"/>
    <w:rsid w:val="00FD2CBD"/>
    <w:rsid w:val="00FD2CD2"/>
    <w:rsid w:val="00FD2D04"/>
    <w:rsid w:val="00FD2D0E"/>
    <w:rsid w:val="00FD2D7D"/>
    <w:rsid w:val="00FD3030"/>
    <w:rsid w:val="00FD3073"/>
    <w:rsid w:val="00FD308D"/>
    <w:rsid w:val="00FD31EC"/>
    <w:rsid w:val="00FD323A"/>
    <w:rsid w:val="00FD3240"/>
    <w:rsid w:val="00FD32A3"/>
    <w:rsid w:val="00FD3301"/>
    <w:rsid w:val="00FD330D"/>
    <w:rsid w:val="00FD344E"/>
    <w:rsid w:val="00FD3558"/>
    <w:rsid w:val="00FD3719"/>
    <w:rsid w:val="00FD3796"/>
    <w:rsid w:val="00FD38A5"/>
    <w:rsid w:val="00FD3AB0"/>
    <w:rsid w:val="00FD3D53"/>
    <w:rsid w:val="00FD3E1F"/>
    <w:rsid w:val="00FD3EC6"/>
    <w:rsid w:val="00FD3EEB"/>
    <w:rsid w:val="00FD3F49"/>
    <w:rsid w:val="00FD40E8"/>
    <w:rsid w:val="00FD40F0"/>
    <w:rsid w:val="00FD40F1"/>
    <w:rsid w:val="00FD422E"/>
    <w:rsid w:val="00FD432D"/>
    <w:rsid w:val="00FD435A"/>
    <w:rsid w:val="00FD4383"/>
    <w:rsid w:val="00FD443B"/>
    <w:rsid w:val="00FD444C"/>
    <w:rsid w:val="00FD452A"/>
    <w:rsid w:val="00FD456A"/>
    <w:rsid w:val="00FD4598"/>
    <w:rsid w:val="00FD45E9"/>
    <w:rsid w:val="00FD45F1"/>
    <w:rsid w:val="00FD4692"/>
    <w:rsid w:val="00FD4739"/>
    <w:rsid w:val="00FD481F"/>
    <w:rsid w:val="00FD48A0"/>
    <w:rsid w:val="00FD4912"/>
    <w:rsid w:val="00FD4941"/>
    <w:rsid w:val="00FD49A1"/>
    <w:rsid w:val="00FD4AC2"/>
    <w:rsid w:val="00FD4B0F"/>
    <w:rsid w:val="00FD4B21"/>
    <w:rsid w:val="00FD4B30"/>
    <w:rsid w:val="00FD4B56"/>
    <w:rsid w:val="00FD4BA4"/>
    <w:rsid w:val="00FD4C08"/>
    <w:rsid w:val="00FD4C84"/>
    <w:rsid w:val="00FD4CDC"/>
    <w:rsid w:val="00FD4D22"/>
    <w:rsid w:val="00FD4D90"/>
    <w:rsid w:val="00FD4DF1"/>
    <w:rsid w:val="00FD4E0B"/>
    <w:rsid w:val="00FD4F9C"/>
    <w:rsid w:val="00FD500B"/>
    <w:rsid w:val="00FD506C"/>
    <w:rsid w:val="00FD5091"/>
    <w:rsid w:val="00FD50B8"/>
    <w:rsid w:val="00FD51AB"/>
    <w:rsid w:val="00FD5242"/>
    <w:rsid w:val="00FD5292"/>
    <w:rsid w:val="00FD52D6"/>
    <w:rsid w:val="00FD531C"/>
    <w:rsid w:val="00FD5442"/>
    <w:rsid w:val="00FD554A"/>
    <w:rsid w:val="00FD55B4"/>
    <w:rsid w:val="00FD55DC"/>
    <w:rsid w:val="00FD57A2"/>
    <w:rsid w:val="00FD57C8"/>
    <w:rsid w:val="00FD587B"/>
    <w:rsid w:val="00FD58CD"/>
    <w:rsid w:val="00FD5979"/>
    <w:rsid w:val="00FD5B8F"/>
    <w:rsid w:val="00FD5C2B"/>
    <w:rsid w:val="00FD5C96"/>
    <w:rsid w:val="00FD5D8B"/>
    <w:rsid w:val="00FD5EE7"/>
    <w:rsid w:val="00FD5FBF"/>
    <w:rsid w:val="00FD5FFD"/>
    <w:rsid w:val="00FD603E"/>
    <w:rsid w:val="00FD615D"/>
    <w:rsid w:val="00FD61FE"/>
    <w:rsid w:val="00FD6334"/>
    <w:rsid w:val="00FD63D3"/>
    <w:rsid w:val="00FD64FB"/>
    <w:rsid w:val="00FD6544"/>
    <w:rsid w:val="00FD65C2"/>
    <w:rsid w:val="00FD65E9"/>
    <w:rsid w:val="00FD6649"/>
    <w:rsid w:val="00FD66FD"/>
    <w:rsid w:val="00FD672B"/>
    <w:rsid w:val="00FD67B4"/>
    <w:rsid w:val="00FD67FD"/>
    <w:rsid w:val="00FD6844"/>
    <w:rsid w:val="00FD6884"/>
    <w:rsid w:val="00FD691E"/>
    <w:rsid w:val="00FD69DE"/>
    <w:rsid w:val="00FD6A88"/>
    <w:rsid w:val="00FD6B53"/>
    <w:rsid w:val="00FD6B56"/>
    <w:rsid w:val="00FD6B99"/>
    <w:rsid w:val="00FD6C6F"/>
    <w:rsid w:val="00FD6C87"/>
    <w:rsid w:val="00FD6C88"/>
    <w:rsid w:val="00FD6D84"/>
    <w:rsid w:val="00FD6E33"/>
    <w:rsid w:val="00FD6E8F"/>
    <w:rsid w:val="00FD6EC1"/>
    <w:rsid w:val="00FD6F39"/>
    <w:rsid w:val="00FD6F99"/>
    <w:rsid w:val="00FD7025"/>
    <w:rsid w:val="00FD7133"/>
    <w:rsid w:val="00FD7156"/>
    <w:rsid w:val="00FD716D"/>
    <w:rsid w:val="00FD71AF"/>
    <w:rsid w:val="00FD7214"/>
    <w:rsid w:val="00FD722A"/>
    <w:rsid w:val="00FD729E"/>
    <w:rsid w:val="00FD7321"/>
    <w:rsid w:val="00FD73EF"/>
    <w:rsid w:val="00FD7458"/>
    <w:rsid w:val="00FD7585"/>
    <w:rsid w:val="00FD76A3"/>
    <w:rsid w:val="00FD7749"/>
    <w:rsid w:val="00FD783C"/>
    <w:rsid w:val="00FD7A3D"/>
    <w:rsid w:val="00FD7AF4"/>
    <w:rsid w:val="00FD7B88"/>
    <w:rsid w:val="00FD7D1F"/>
    <w:rsid w:val="00FD7D51"/>
    <w:rsid w:val="00FD7D57"/>
    <w:rsid w:val="00FD7E8F"/>
    <w:rsid w:val="00FD7F74"/>
    <w:rsid w:val="00FD7FE3"/>
    <w:rsid w:val="00FE001F"/>
    <w:rsid w:val="00FE0051"/>
    <w:rsid w:val="00FE00D1"/>
    <w:rsid w:val="00FE00DD"/>
    <w:rsid w:val="00FE01A4"/>
    <w:rsid w:val="00FE01B5"/>
    <w:rsid w:val="00FE01BA"/>
    <w:rsid w:val="00FE0266"/>
    <w:rsid w:val="00FE0499"/>
    <w:rsid w:val="00FE04FD"/>
    <w:rsid w:val="00FE053C"/>
    <w:rsid w:val="00FE057B"/>
    <w:rsid w:val="00FE0588"/>
    <w:rsid w:val="00FE0756"/>
    <w:rsid w:val="00FE079B"/>
    <w:rsid w:val="00FE089C"/>
    <w:rsid w:val="00FE08B9"/>
    <w:rsid w:val="00FE0A16"/>
    <w:rsid w:val="00FE0AE3"/>
    <w:rsid w:val="00FE0B9E"/>
    <w:rsid w:val="00FE0BA5"/>
    <w:rsid w:val="00FE0C89"/>
    <w:rsid w:val="00FE0CDB"/>
    <w:rsid w:val="00FE0DB4"/>
    <w:rsid w:val="00FE0EBB"/>
    <w:rsid w:val="00FE0EDD"/>
    <w:rsid w:val="00FE0EE3"/>
    <w:rsid w:val="00FE0F67"/>
    <w:rsid w:val="00FE0FFD"/>
    <w:rsid w:val="00FE116A"/>
    <w:rsid w:val="00FE11DE"/>
    <w:rsid w:val="00FE1256"/>
    <w:rsid w:val="00FE1261"/>
    <w:rsid w:val="00FE129A"/>
    <w:rsid w:val="00FE12CB"/>
    <w:rsid w:val="00FE1308"/>
    <w:rsid w:val="00FE134D"/>
    <w:rsid w:val="00FE1394"/>
    <w:rsid w:val="00FE142A"/>
    <w:rsid w:val="00FE147B"/>
    <w:rsid w:val="00FE1548"/>
    <w:rsid w:val="00FE16DA"/>
    <w:rsid w:val="00FE17B3"/>
    <w:rsid w:val="00FE1807"/>
    <w:rsid w:val="00FE181A"/>
    <w:rsid w:val="00FE1938"/>
    <w:rsid w:val="00FE1CB6"/>
    <w:rsid w:val="00FE1D6D"/>
    <w:rsid w:val="00FE1F0E"/>
    <w:rsid w:val="00FE1F44"/>
    <w:rsid w:val="00FE20A3"/>
    <w:rsid w:val="00FE2205"/>
    <w:rsid w:val="00FE2290"/>
    <w:rsid w:val="00FE2307"/>
    <w:rsid w:val="00FE231B"/>
    <w:rsid w:val="00FE236B"/>
    <w:rsid w:val="00FE23C9"/>
    <w:rsid w:val="00FE24F5"/>
    <w:rsid w:val="00FE259B"/>
    <w:rsid w:val="00FE25FA"/>
    <w:rsid w:val="00FE2606"/>
    <w:rsid w:val="00FE266F"/>
    <w:rsid w:val="00FE26B0"/>
    <w:rsid w:val="00FE2739"/>
    <w:rsid w:val="00FE2876"/>
    <w:rsid w:val="00FE2903"/>
    <w:rsid w:val="00FE296A"/>
    <w:rsid w:val="00FE2987"/>
    <w:rsid w:val="00FE29A7"/>
    <w:rsid w:val="00FE2AE6"/>
    <w:rsid w:val="00FE2B0B"/>
    <w:rsid w:val="00FE2B9E"/>
    <w:rsid w:val="00FE2BBC"/>
    <w:rsid w:val="00FE2C83"/>
    <w:rsid w:val="00FE2C8A"/>
    <w:rsid w:val="00FE2D8A"/>
    <w:rsid w:val="00FE2FB2"/>
    <w:rsid w:val="00FE3034"/>
    <w:rsid w:val="00FE3066"/>
    <w:rsid w:val="00FE306A"/>
    <w:rsid w:val="00FE308D"/>
    <w:rsid w:val="00FE31CC"/>
    <w:rsid w:val="00FE3336"/>
    <w:rsid w:val="00FE335E"/>
    <w:rsid w:val="00FE3426"/>
    <w:rsid w:val="00FE3449"/>
    <w:rsid w:val="00FE3493"/>
    <w:rsid w:val="00FE3509"/>
    <w:rsid w:val="00FE360D"/>
    <w:rsid w:val="00FE365B"/>
    <w:rsid w:val="00FE36A5"/>
    <w:rsid w:val="00FE3899"/>
    <w:rsid w:val="00FE38B0"/>
    <w:rsid w:val="00FE38EA"/>
    <w:rsid w:val="00FE39AE"/>
    <w:rsid w:val="00FE39F9"/>
    <w:rsid w:val="00FE3A7D"/>
    <w:rsid w:val="00FE3A8A"/>
    <w:rsid w:val="00FE3AAF"/>
    <w:rsid w:val="00FE3AE4"/>
    <w:rsid w:val="00FE3B53"/>
    <w:rsid w:val="00FE3BAA"/>
    <w:rsid w:val="00FE3C44"/>
    <w:rsid w:val="00FE3C61"/>
    <w:rsid w:val="00FE3CC5"/>
    <w:rsid w:val="00FE3CD4"/>
    <w:rsid w:val="00FE3D22"/>
    <w:rsid w:val="00FE3DB5"/>
    <w:rsid w:val="00FE3DBE"/>
    <w:rsid w:val="00FE3DEB"/>
    <w:rsid w:val="00FE3E47"/>
    <w:rsid w:val="00FE3EA2"/>
    <w:rsid w:val="00FE3FAF"/>
    <w:rsid w:val="00FE3FDB"/>
    <w:rsid w:val="00FE3FDD"/>
    <w:rsid w:val="00FE40A4"/>
    <w:rsid w:val="00FE40CB"/>
    <w:rsid w:val="00FE40D6"/>
    <w:rsid w:val="00FE4355"/>
    <w:rsid w:val="00FE4357"/>
    <w:rsid w:val="00FE447F"/>
    <w:rsid w:val="00FE4491"/>
    <w:rsid w:val="00FE4494"/>
    <w:rsid w:val="00FE44D6"/>
    <w:rsid w:val="00FE454F"/>
    <w:rsid w:val="00FE4673"/>
    <w:rsid w:val="00FE4956"/>
    <w:rsid w:val="00FE4979"/>
    <w:rsid w:val="00FE4A00"/>
    <w:rsid w:val="00FE4A39"/>
    <w:rsid w:val="00FE4A3F"/>
    <w:rsid w:val="00FE4ABF"/>
    <w:rsid w:val="00FE4B20"/>
    <w:rsid w:val="00FE4B99"/>
    <w:rsid w:val="00FE4B9A"/>
    <w:rsid w:val="00FE4CDD"/>
    <w:rsid w:val="00FE4DA2"/>
    <w:rsid w:val="00FE4E39"/>
    <w:rsid w:val="00FE4E51"/>
    <w:rsid w:val="00FE4E65"/>
    <w:rsid w:val="00FE4EF1"/>
    <w:rsid w:val="00FE4EF7"/>
    <w:rsid w:val="00FE4F9C"/>
    <w:rsid w:val="00FE4FD2"/>
    <w:rsid w:val="00FE505F"/>
    <w:rsid w:val="00FE506B"/>
    <w:rsid w:val="00FE5086"/>
    <w:rsid w:val="00FE50E3"/>
    <w:rsid w:val="00FE5117"/>
    <w:rsid w:val="00FE5158"/>
    <w:rsid w:val="00FE515E"/>
    <w:rsid w:val="00FE519F"/>
    <w:rsid w:val="00FE51AC"/>
    <w:rsid w:val="00FE52BB"/>
    <w:rsid w:val="00FE52EC"/>
    <w:rsid w:val="00FE5394"/>
    <w:rsid w:val="00FE542D"/>
    <w:rsid w:val="00FE5454"/>
    <w:rsid w:val="00FE54E6"/>
    <w:rsid w:val="00FE5641"/>
    <w:rsid w:val="00FE57FC"/>
    <w:rsid w:val="00FE5844"/>
    <w:rsid w:val="00FE5878"/>
    <w:rsid w:val="00FE5A8F"/>
    <w:rsid w:val="00FE5CA5"/>
    <w:rsid w:val="00FE5DB5"/>
    <w:rsid w:val="00FE5DBE"/>
    <w:rsid w:val="00FE5DE1"/>
    <w:rsid w:val="00FE5ED5"/>
    <w:rsid w:val="00FE5F29"/>
    <w:rsid w:val="00FE5F50"/>
    <w:rsid w:val="00FE5F97"/>
    <w:rsid w:val="00FE6010"/>
    <w:rsid w:val="00FE60C2"/>
    <w:rsid w:val="00FE610B"/>
    <w:rsid w:val="00FE6119"/>
    <w:rsid w:val="00FE612A"/>
    <w:rsid w:val="00FE6576"/>
    <w:rsid w:val="00FE6699"/>
    <w:rsid w:val="00FE66A9"/>
    <w:rsid w:val="00FE6735"/>
    <w:rsid w:val="00FE6765"/>
    <w:rsid w:val="00FE67C1"/>
    <w:rsid w:val="00FE688C"/>
    <w:rsid w:val="00FE68BA"/>
    <w:rsid w:val="00FE6922"/>
    <w:rsid w:val="00FE692E"/>
    <w:rsid w:val="00FE69BB"/>
    <w:rsid w:val="00FE69F3"/>
    <w:rsid w:val="00FE6A2D"/>
    <w:rsid w:val="00FE6A40"/>
    <w:rsid w:val="00FE6A46"/>
    <w:rsid w:val="00FE6A8B"/>
    <w:rsid w:val="00FE6AC7"/>
    <w:rsid w:val="00FE6ACB"/>
    <w:rsid w:val="00FE6B9A"/>
    <w:rsid w:val="00FE6BCB"/>
    <w:rsid w:val="00FE6DAC"/>
    <w:rsid w:val="00FE6DE7"/>
    <w:rsid w:val="00FE6FA5"/>
    <w:rsid w:val="00FE70EE"/>
    <w:rsid w:val="00FE71F3"/>
    <w:rsid w:val="00FE73A2"/>
    <w:rsid w:val="00FE73C0"/>
    <w:rsid w:val="00FE73D0"/>
    <w:rsid w:val="00FE73D1"/>
    <w:rsid w:val="00FE73E4"/>
    <w:rsid w:val="00FE7455"/>
    <w:rsid w:val="00FE74F5"/>
    <w:rsid w:val="00FE7558"/>
    <w:rsid w:val="00FE7570"/>
    <w:rsid w:val="00FE75DC"/>
    <w:rsid w:val="00FE7622"/>
    <w:rsid w:val="00FE769D"/>
    <w:rsid w:val="00FE7726"/>
    <w:rsid w:val="00FE778F"/>
    <w:rsid w:val="00FE7970"/>
    <w:rsid w:val="00FE7A03"/>
    <w:rsid w:val="00FE7A49"/>
    <w:rsid w:val="00FE7ABC"/>
    <w:rsid w:val="00FE7D62"/>
    <w:rsid w:val="00FE7D9D"/>
    <w:rsid w:val="00FE7DD8"/>
    <w:rsid w:val="00FE7E36"/>
    <w:rsid w:val="00FE7EB8"/>
    <w:rsid w:val="00FE7F8C"/>
    <w:rsid w:val="00FE7FBE"/>
    <w:rsid w:val="00FE7FC8"/>
    <w:rsid w:val="00FF00CB"/>
    <w:rsid w:val="00FF0141"/>
    <w:rsid w:val="00FF01A5"/>
    <w:rsid w:val="00FF02E2"/>
    <w:rsid w:val="00FF0346"/>
    <w:rsid w:val="00FF0378"/>
    <w:rsid w:val="00FF03A6"/>
    <w:rsid w:val="00FF03AA"/>
    <w:rsid w:val="00FF044F"/>
    <w:rsid w:val="00FF04A3"/>
    <w:rsid w:val="00FF0532"/>
    <w:rsid w:val="00FF05C4"/>
    <w:rsid w:val="00FF05DF"/>
    <w:rsid w:val="00FF05E1"/>
    <w:rsid w:val="00FF06D2"/>
    <w:rsid w:val="00FF0800"/>
    <w:rsid w:val="00FF080A"/>
    <w:rsid w:val="00FF0826"/>
    <w:rsid w:val="00FF0830"/>
    <w:rsid w:val="00FF08B6"/>
    <w:rsid w:val="00FF08C6"/>
    <w:rsid w:val="00FF0919"/>
    <w:rsid w:val="00FF0B12"/>
    <w:rsid w:val="00FF0B29"/>
    <w:rsid w:val="00FF0D5C"/>
    <w:rsid w:val="00FF0DD7"/>
    <w:rsid w:val="00FF0EF6"/>
    <w:rsid w:val="00FF0F4D"/>
    <w:rsid w:val="00FF0F7F"/>
    <w:rsid w:val="00FF10AF"/>
    <w:rsid w:val="00FF10B1"/>
    <w:rsid w:val="00FF10DE"/>
    <w:rsid w:val="00FF1143"/>
    <w:rsid w:val="00FF119D"/>
    <w:rsid w:val="00FF11B9"/>
    <w:rsid w:val="00FF1253"/>
    <w:rsid w:val="00FF130A"/>
    <w:rsid w:val="00FF1331"/>
    <w:rsid w:val="00FF1408"/>
    <w:rsid w:val="00FF1453"/>
    <w:rsid w:val="00FF1467"/>
    <w:rsid w:val="00FF14BD"/>
    <w:rsid w:val="00FF14E1"/>
    <w:rsid w:val="00FF16AB"/>
    <w:rsid w:val="00FF180C"/>
    <w:rsid w:val="00FF183D"/>
    <w:rsid w:val="00FF1866"/>
    <w:rsid w:val="00FF1899"/>
    <w:rsid w:val="00FF1930"/>
    <w:rsid w:val="00FF1AFB"/>
    <w:rsid w:val="00FF1B0B"/>
    <w:rsid w:val="00FF1C00"/>
    <w:rsid w:val="00FF1D09"/>
    <w:rsid w:val="00FF1D18"/>
    <w:rsid w:val="00FF1D43"/>
    <w:rsid w:val="00FF1E42"/>
    <w:rsid w:val="00FF1EE6"/>
    <w:rsid w:val="00FF1F3D"/>
    <w:rsid w:val="00FF1F3F"/>
    <w:rsid w:val="00FF1FAC"/>
    <w:rsid w:val="00FF2005"/>
    <w:rsid w:val="00FF2010"/>
    <w:rsid w:val="00FF207B"/>
    <w:rsid w:val="00FF20CB"/>
    <w:rsid w:val="00FF20D6"/>
    <w:rsid w:val="00FF2196"/>
    <w:rsid w:val="00FF21D1"/>
    <w:rsid w:val="00FF2280"/>
    <w:rsid w:val="00FF2304"/>
    <w:rsid w:val="00FF2367"/>
    <w:rsid w:val="00FF2540"/>
    <w:rsid w:val="00FF25D9"/>
    <w:rsid w:val="00FF2689"/>
    <w:rsid w:val="00FF26BA"/>
    <w:rsid w:val="00FF2709"/>
    <w:rsid w:val="00FF27D9"/>
    <w:rsid w:val="00FF2831"/>
    <w:rsid w:val="00FF2842"/>
    <w:rsid w:val="00FF28EF"/>
    <w:rsid w:val="00FF2906"/>
    <w:rsid w:val="00FF2A5B"/>
    <w:rsid w:val="00FF2AB9"/>
    <w:rsid w:val="00FF2B5B"/>
    <w:rsid w:val="00FF2BE7"/>
    <w:rsid w:val="00FF2CCA"/>
    <w:rsid w:val="00FF2D8E"/>
    <w:rsid w:val="00FF2D91"/>
    <w:rsid w:val="00FF2DA7"/>
    <w:rsid w:val="00FF2DF7"/>
    <w:rsid w:val="00FF2E10"/>
    <w:rsid w:val="00FF2EE7"/>
    <w:rsid w:val="00FF2F7F"/>
    <w:rsid w:val="00FF30CE"/>
    <w:rsid w:val="00FF30F9"/>
    <w:rsid w:val="00FF310F"/>
    <w:rsid w:val="00FF31CD"/>
    <w:rsid w:val="00FF3363"/>
    <w:rsid w:val="00FF3392"/>
    <w:rsid w:val="00FF3431"/>
    <w:rsid w:val="00FF345F"/>
    <w:rsid w:val="00FF34E1"/>
    <w:rsid w:val="00FF3550"/>
    <w:rsid w:val="00FF36B4"/>
    <w:rsid w:val="00FF3741"/>
    <w:rsid w:val="00FF37B9"/>
    <w:rsid w:val="00FF3876"/>
    <w:rsid w:val="00FF3921"/>
    <w:rsid w:val="00FF393E"/>
    <w:rsid w:val="00FF3A0A"/>
    <w:rsid w:val="00FF3A71"/>
    <w:rsid w:val="00FF3A85"/>
    <w:rsid w:val="00FF3AB6"/>
    <w:rsid w:val="00FF3B8E"/>
    <w:rsid w:val="00FF3BA8"/>
    <w:rsid w:val="00FF3BCB"/>
    <w:rsid w:val="00FF3C69"/>
    <w:rsid w:val="00FF3C94"/>
    <w:rsid w:val="00FF3E38"/>
    <w:rsid w:val="00FF3E91"/>
    <w:rsid w:val="00FF3F27"/>
    <w:rsid w:val="00FF3F72"/>
    <w:rsid w:val="00FF402D"/>
    <w:rsid w:val="00FF4030"/>
    <w:rsid w:val="00FF413C"/>
    <w:rsid w:val="00FF41A1"/>
    <w:rsid w:val="00FF41B8"/>
    <w:rsid w:val="00FF420C"/>
    <w:rsid w:val="00FF4293"/>
    <w:rsid w:val="00FF4393"/>
    <w:rsid w:val="00FF439D"/>
    <w:rsid w:val="00FF43F4"/>
    <w:rsid w:val="00FF43F7"/>
    <w:rsid w:val="00FF4517"/>
    <w:rsid w:val="00FF45F0"/>
    <w:rsid w:val="00FF46B0"/>
    <w:rsid w:val="00FF4770"/>
    <w:rsid w:val="00FF47AD"/>
    <w:rsid w:val="00FF485F"/>
    <w:rsid w:val="00FF4860"/>
    <w:rsid w:val="00FF4874"/>
    <w:rsid w:val="00FF4943"/>
    <w:rsid w:val="00FF494A"/>
    <w:rsid w:val="00FF495E"/>
    <w:rsid w:val="00FF49CD"/>
    <w:rsid w:val="00FF49F8"/>
    <w:rsid w:val="00FF4A2A"/>
    <w:rsid w:val="00FF4A3A"/>
    <w:rsid w:val="00FF4B43"/>
    <w:rsid w:val="00FF4B68"/>
    <w:rsid w:val="00FF4C19"/>
    <w:rsid w:val="00FF4CB0"/>
    <w:rsid w:val="00FF4CFD"/>
    <w:rsid w:val="00FF4D26"/>
    <w:rsid w:val="00FF4EFA"/>
    <w:rsid w:val="00FF4F1B"/>
    <w:rsid w:val="00FF4FD4"/>
    <w:rsid w:val="00FF50FA"/>
    <w:rsid w:val="00FF5101"/>
    <w:rsid w:val="00FF5119"/>
    <w:rsid w:val="00FF5136"/>
    <w:rsid w:val="00FF5157"/>
    <w:rsid w:val="00FF5182"/>
    <w:rsid w:val="00FF5217"/>
    <w:rsid w:val="00FF52D9"/>
    <w:rsid w:val="00FF5499"/>
    <w:rsid w:val="00FF55CC"/>
    <w:rsid w:val="00FF5628"/>
    <w:rsid w:val="00FF568F"/>
    <w:rsid w:val="00FF5693"/>
    <w:rsid w:val="00FF5711"/>
    <w:rsid w:val="00FF577F"/>
    <w:rsid w:val="00FF5831"/>
    <w:rsid w:val="00FF5834"/>
    <w:rsid w:val="00FF58CF"/>
    <w:rsid w:val="00FF591D"/>
    <w:rsid w:val="00FF5941"/>
    <w:rsid w:val="00FF5972"/>
    <w:rsid w:val="00FF5974"/>
    <w:rsid w:val="00FF5A0F"/>
    <w:rsid w:val="00FF5AE8"/>
    <w:rsid w:val="00FF5B25"/>
    <w:rsid w:val="00FF5BCB"/>
    <w:rsid w:val="00FF5C03"/>
    <w:rsid w:val="00FF5C34"/>
    <w:rsid w:val="00FF5C9C"/>
    <w:rsid w:val="00FF5EAC"/>
    <w:rsid w:val="00FF5EAE"/>
    <w:rsid w:val="00FF5F49"/>
    <w:rsid w:val="00FF5F54"/>
    <w:rsid w:val="00FF5F7A"/>
    <w:rsid w:val="00FF6012"/>
    <w:rsid w:val="00FF61EB"/>
    <w:rsid w:val="00FF621D"/>
    <w:rsid w:val="00FF62C8"/>
    <w:rsid w:val="00FF6312"/>
    <w:rsid w:val="00FF63B7"/>
    <w:rsid w:val="00FF6544"/>
    <w:rsid w:val="00FF6577"/>
    <w:rsid w:val="00FF6592"/>
    <w:rsid w:val="00FF6632"/>
    <w:rsid w:val="00FF6692"/>
    <w:rsid w:val="00FF66D0"/>
    <w:rsid w:val="00FF6796"/>
    <w:rsid w:val="00FF680E"/>
    <w:rsid w:val="00FF6880"/>
    <w:rsid w:val="00FF68EC"/>
    <w:rsid w:val="00FF6932"/>
    <w:rsid w:val="00FF6AD7"/>
    <w:rsid w:val="00FF6BEE"/>
    <w:rsid w:val="00FF6BF6"/>
    <w:rsid w:val="00FF6D44"/>
    <w:rsid w:val="00FF6DCC"/>
    <w:rsid w:val="00FF6E00"/>
    <w:rsid w:val="00FF6E08"/>
    <w:rsid w:val="00FF6EAE"/>
    <w:rsid w:val="00FF6EBB"/>
    <w:rsid w:val="00FF6EE6"/>
    <w:rsid w:val="00FF6FB9"/>
    <w:rsid w:val="00FF70A1"/>
    <w:rsid w:val="00FF7131"/>
    <w:rsid w:val="00FF720E"/>
    <w:rsid w:val="00FF7237"/>
    <w:rsid w:val="00FF72EB"/>
    <w:rsid w:val="00FF7418"/>
    <w:rsid w:val="00FF74FB"/>
    <w:rsid w:val="00FF7562"/>
    <w:rsid w:val="00FF761D"/>
    <w:rsid w:val="00FF7686"/>
    <w:rsid w:val="00FF76CF"/>
    <w:rsid w:val="00FF76DD"/>
    <w:rsid w:val="00FF77D5"/>
    <w:rsid w:val="00FF78B7"/>
    <w:rsid w:val="00FF795A"/>
    <w:rsid w:val="00FF7964"/>
    <w:rsid w:val="00FF7A6E"/>
    <w:rsid w:val="00FF7A7F"/>
    <w:rsid w:val="00FF7AB5"/>
    <w:rsid w:val="00FF7C7D"/>
    <w:rsid w:val="00FF7ECB"/>
    <w:rsid w:val="00FF7F56"/>
    <w:rsid w:val="00FF7F6C"/>
    <w:rsid w:val="00FF7FA7"/>
    <w:rsid w:val="00FF7FD8"/>
    <w:rsid w:val="01316C15"/>
    <w:rsid w:val="01550CA8"/>
    <w:rsid w:val="015E24E6"/>
    <w:rsid w:val="0176EED7"/>
    <w:rsid w:val="018F07DE"/>
    <w:rsid w:val="01948E72"/>
    <w:rsid w:val="022E9C50"/>
    <w:rsid w:val="027D7A75"/>
    <w:rsid w:val="0282AE41"/>
    <w:rsid w:val="0284D80A"/>
    <w:rsid w:val="028F5651"/>
    <w:rsid w:val="02C37CC2"/>
    <w:rsid w:val="02DE1F0A"/>
    <w:rsid w:val="032752E6"/>
    <w:rsid w:val="0371F920"/>
    <w:rsid w:val="03B498BA"/>
    <w:rsid w:val="03D0A9F1"/>
    <w:rsid w:val="03D4D41D"/>
    <w:rsid w:val="03D9855C"/>
    <w:rsid w:val="041A5385"/>
    <w:rsid w:val="04520DD1"/>
    <w:rsid w:val="04D092C2"/>
    <w:rsid w:val="04D28BAE"/>
    <w:rsid w:val="04ED6215"/>
    <w:rsid w:val="056ED05C"/>
    <w:rsid w:val="05793163"/>
    <w:rsid w:val="05D828B7"/>
    <w:rsid w:val="063D9E1E"/>
    <w:rsid w:val="066FF7A8"/>
    <w:rsid w:val="06873549"/>
    <w:rsid w:val="068ABCB0"/>
    <w:rsid w:val="06A4C0B5"/>
    <w:rsid w:val="06CEA0CB"/>
    <w:rsid w:val="06F66295"/>
    <w:rsid w:val="07680BC5"/>
    <w:rsid w:val="079B5E1C"/>
    <w:rsid w:val="07F4C5B5"/>
    <w:rsid w:val="080A12E2"/>
    <w:rsid w:val="08260CB5"/>
    <w:rsid w:val="0851183B"/>
    <w:rsid w:val="089947F9"/>
    <w:rsid w:val="08D865E3"/>
    <w:rsid w:val="09596B5F"/>
    <w:rsid w:val="09704CC1"/>
    <w:rsid w:val="09760992"/>
    <w:rsid w:val="09D19BE0"/>
    <w:rsid w:val="09DFECA0"/>
    <w:rsid w:val="0A8EC7E9"/>
    <w:rsid w:val="0AA0876E"/>
    <w:rsid w:val="0AC49679"/>
    <w:rsid w:val="0AD20397"/>
    <w:rsid w:val="0ADE76D2"/>
    <w:rsid w:val="0B2D1BF3"/>
    <w:rsid w:val="0B3D71B7"/>
    <w:rsid w:val="0B6493C0"/>
    <w:rsid w:val="0B686E54"/>
    <w:rsid w:val="0B85DF4A"/>
    <w:rsid w:val="0BA80D20"/>
    <w:rsid w:val="0BAB2E3F"/>
    <w:rsid w:val="0BD7ECD2"/>
    <w:rsid w:val="0BE483F0"/>
    <w:rsid w:val="0BF25E77"/>
    <w:rsid w:val="0BFE0480"/>
    <w:rsid w:val="0C0C09ED"/>
    <w:rsid w:val="0C209322"/>
    <w:rsid w:val="0C399C84"/>
    <w:rsid w:val="0C3D2A70"/>
    <w:rsid w:val="0C62E84D"/>
    <w:rsid w:val="0CCCD7E9"/>
    <w:rsid w:val="0CCF94A5"/>
    <w:rsid w:val="0D7797C0"/>
    <w:rsid w:val="0D9B73A9"/>
    <w:rsid w:val="0DA99D95"/>
    <w:rsid w:val="0DED2E80"/>
    <w:rsid w:val="0E29B1F9"/>
    <w:rsid w:val="0E3626E5"/>
    <w:rsid w:val="0E6A1E4F"/>
    <w:rsid w:val="0EB65D26"/>
    <w:rsid w:val="0F228E15"/>
    <w:rsid w:val="0F64F5EA"/>
    <w:rsid w:val="0F9C490F"/>
    <w:rsid w:val="0FAC131D"/>
    <w:rsid w:val="100FAB84"/>
    <w:rsid w:val="104BD161"/>
    <w:rsid w:val="1077F34B"/>
    <w:rsid w:val="10BA552F"/>
    <w:rsid w:val="10BDF2E9"/>
    <w:rsid w:val="10CE7EF2"/>
    <w:rsid w:val="10D2EA24"/>
    <w:rsid w:val="10FDEA89"/>
    <w:rsid w:val="11721A2B"/>
    <w:rsid w:val="11A86ACB"/>
    <w:rsid w:val="11BB7D0A"/>
    <w:rsid w:val="11D8CDCA"/>
    <w:rsid w:val="11E1FF01"/>
    <w:rsid w:val="120742F3"/>
    <w:rsid w:val="1232D1A8"/>
    <w:rsid w:val="1250CF23"/>
    <w:rsid w:val="129AEFC1"/>
    <w:rsid w:val="130D5294"/>
    <w:rsid w:val="1335C4E0"/>
    <w:rsid w:val="137B5C41"/>
    <w:rsid w:val="13BC7AA6"/>
    <w:rsid w:val="13D1C004"/>
    <w:rsid w:val="13FAA74A"/>
    <w:rsid w:val="144C2779"/>
    <w:rsid w:val="14726A9B"/>
    <w:rsid w:val="14888615"/>
    <w:rsid w:val="14F74752"/>
    <w:rsid w:val="1504056E"/>
    <w:rsid w:val="151ED46B"/>
    <w:rsid w:val="152285BB"/>
    <w:rsid w:val="157C9FE1"/>
    <w:rsid w:val="159B6D6F"/>
    <w:rsid w:val="15CB0746"/>
    <w:rsid w:val="15D41529"/>
    <w:rsid w:val="160003B3"/>
    <w:rsid w:val="160FAE42"/>
    <w:rsid w:val="1628E82E"/>
    <w:rsid w:val="16B90E98"/>
    <w:rsid w:val="1732DB10"/>
    <w:rsid w:val="173EE14D"/>
    <w:rsid w:val="174CACD6"/>
    <w:rsid w:val="174EDB0C"/>
    <w:rsid w:val="176D52AD"/>
    <w:rsid w:val="17AB0F67"/>
    <w:rsid w:val="17C4E2BB"/>
    <w:rsid w:val="17EA63C6"/>
    <w:rsid w:val="1818EFE7"/>
    <w:rsid w:val="18548960"/>
    <w:rsid w:val="1863E147"/>
    <w:rsid w:val="18CF5BFC"/>
    <w:rsid w:val="1956C449"/>
    <w:rsid w:val="1987D020"/>
    <w:rsid w:val="19BAF11F"/>
    <w:rsid w:val="1A0CED1D"/>
    <w:rsid w:val="1A3095AB"/>
    <w:rsid w:val="1A4B69FA"/>
    <w:rsid w:val="1AB2FFA5"/>
    <w:rsid w:val="1AB36BE5"/>
    <w:rsid w:val="1AD8FB1D"/>
    <w:rsid w:val="1B29D7F1"/>
    <w:rsid w:val="1B44CCB4"/>
    <w:rsid w:val="1B4E2673"/>
    <w:rsid w:val="1B61DA42"/>
    <w:rsid w:val="1BEDAEE0"/>
    <w:rsid w:val="1BFA4182"/>
    <w:rsid w:val="1C112ADB"/>
    <w:rsid w:val="1C673AD3"/>
    <w:rsid w:val="1C6F1EC9"/>
    <w:rsid w:val="1D7AD2C3"/>
    <w:rsid w:val="1DA46B06"/>
    <w:rsid w:val="1DEE15DD"/>
    <w:rsid w:val="1E0FA2AC"/>
    <w:rsid w:val="1E1E9B70"/>
    <w:rsid w:val="1E20A778"/>
    <w:rsid w:val="1E2530E0"/>
    <w:rsid w:val="1E566999"/>
    <w:rsid w:val="1EA7DADD"/>
    <w:rsid w:val="1F42EF40"/>
    <w:rsid w:val="1FBE3253"/>
    <w:rsid w:val="1FC054E0"/>
    <w:rsid w:val="1FC34A1C"/>
    <w:rsid w:val="1FD0872A"/>
    <w:rsid w:val="2024F7FA"/>
    <w:rsid w:val="20593DCE"/>
    <w:rsid w:val="20E1400C"/>
    <w:rsid w:val="20EF035C"/>
    <w:rsid w:val="210E7CDD"/>
    <w:rsid w:val="21434377"/>
    <w:rsid w:val="21D2C0F8"/>
    <w:rsid w:val="22113E63"/>
    <w:rsid w:val="2223510F"/>
    <w:rsid w:val="22274745"/>
    <w:rsid w:val="22806D79"/>
    <w:rsid w:val="2291AE69"/>
    <w:rsid w:val="22EDBCFB"/>
    <w:rsid w:val="2321081E"/>
    <w:rsid w:val="23689BDE"/>
    <w:rsid w:val="23D76060"/>
    <w:rsid w:val="24A9ACCC"/>
    <w:rsid w:val="24B599AD"/>
    <w:rsid w:val="250B2592"/>
    <w:rsid w:val="25A27E32"/>
    <w:rsid w:val="25CBE4FB"/>
    <w:rsid w:val="25E2E741"/>
    <w:rsid w:val="26684328"/>
    <w:rsid w:val="266A541B"/>
    <w:rsid w:val="26854948"/>
    <w:rsid w:val="268FE2F8"/>
    <w:rsid w:val="269AA142"/>
    <w:rsid w:val="26A3B86A"/>
    <w:rsid w:val="26BF42B2"/>
    <w:rsid w:val="26C4D216"/>
    <w:rsid w:val="26E6227C"/>
    <w:rsid w:val="2735EBC7"/>
    <w:rsid w:val="273B9656"/>
    <w:rsid w:val="276F03A9"/>
    <w:rsid w:val="27861DCC"/>
    <w:rsid w:val="27D14456"/>
    <w:rsid w:val="27E2D78D"/>
    <w:rsid w:val="27F5BA28"/>
    <w:rsid w:val="27FD742A"/>
    <w:rsid w:val="28760B81"/>
    <w:rsid w:val="287C44DA"/>
    <w:rsid w:val="28A079B8"/>
    <w:rsid w:val="28AA6029"/>
    <w:rsid w:val="28CF6FC6"/>
    <w:rsid w:val="2904E1A2"/>
    <w:rsid w:val="29253B44"/>
    <w:rsid w:val="292E8E9A"/>
    <w:rsid w:val="2995B6D6"/>
    <w:rsid w:val="29963D76"/>
    <w:rsid w:val="29D80129"/>
    <w:rsid w:val="2A23874D"/>
    <w:rsid w:val="2A959952"/>
    <w:rsid w:val="2B0B220D"/>
    <w:rsid w:val="2B2A3401"/>
    <w:rsid w:val="2BA62043"/>
    <w:rsid w:val="2C36DC23"/>
    <w:rsid w:val="2C552AEC"/>
    <w:rsid w:val="2C7E034F"/>
    <w:rsid w:val="2CCD83A8"/>
    <w:rsid w:val="2CD9FC9B"/>
    <w:rsid w:val="2CED1223"/>
    <w:rsid w:val="2D20E1E4"/>
    <w:rsid w:val="2D3545CE"/>
    <w:rsid w:val="2D797170"/>
    <w:rsid w:val="2DA29DB4"/>
    <w:rsid w:val="2DCB9EC4"/>
    <w:rsid w:val="2DD8C3E1"/>
    <w:rsid w:val="2DF0CEAE"/>
    <w:rsid w:val="2E07A952"/>
    <w:rsid w:val="2E09798C"/>
    <w:rsid w:val="2E0E4411"/>
    <w:rsid w:val="2E48FFFB"/>
    <w:rsid w:val="2E503C2B"/>
    <w:rsid w:val="2E76842E"/>
    <w:rsid w:val="2E8B78D3"/>
    <w:rsid w:val="2EA09FB7"/>
    <w:rsid w:val="2EA90036"/>
    <w:rsid w:val="2EEDDBB2"/>
    <w:rsid w:val="2F5F8B7C"/>
    <w:rsid w:val="2FEBD4D0"/>
    <w:rsid w:val="2FF0D42E"/>
    <w:rsid w:val="3041F8EF"/>
    <w:rsid w:val="3054B309"/>
    <w:rsid w:val="309D7066"/>
    <w:rsid w:val="30DF1D5B"/>
    <w:rsid w:val="30E1B2B8"/>
    <w:rsid w:val="30E5F6EC"/>
    <w:rsid w:val="312DB146"/>
    <w:rsid w:val="317FBCA8"/>
    <w:rsid w:val="318A73BE"/>
    <w:rsid w:val="319D965B"/>
    <w:rsid w:val="31D0F813"/>
    <w:rsid w:val="31ED8D1E"/>
    <w:rsid w:val="320AD533"/>
    <w:rsid w:val="32253CA6"/>
    <w:rsid w:val="3263B54B"/>
    <w:rsid w:val="3284B70C"/>
    <w:rsid w:val="32A311D2"/>
    <w:rsid w:val="32BAA4F4"/>
    <w:rsid w:val="32D2B42F"/>
    <w:rsid w:val="32D381C2"/>
    <w:rsid w:val="33082328"/>
    <w:rsid w:val="330D58EB"/>
    <w:rsid w:val="331D9875"/>
    <w:rsid w:val="33381F02"/>
    <w:rsid w:val="3393AB9D"/>
    <w:rsid w:val="33B317FE"/>
    <w:rsid w:val="33D2AAED"/>
    <w:rsid w:val="33E90366"/>
    <w:rsid w:val="347E0539"/>
    <w:rsid w:val="348D1E61"/>
    <w:rsid w:val="34B04DEC"/>
    <w:rsid w:val="34FACEED"/>
    <w:rsid w:val="35D734CD"/>
    <w:rsid w:val="362275A5"/>
    <w:rsid w:val="36452D26"/>
    <w:rsid w:val="36672261"/>
    <w:rsid w:val="36701952"/>
    <w:rsid w:val="36D08DE8"/>
    <w:rsid w:val="36E57866"/>
    <w:rsid w:val="36FE0784"/>
    <w:rsid w:val="370267BF"/>
    <w:rsid w:val="3776F8A4"/>
    <w:rsid w:val="37808B0C"/>
    <w:rsid w:val="37A05B0C"/>
    <w:rsid w:val="37F1D20C"/>
    <w:rsid w:val="380099D3"/>
    <w:rsid w:val="384E2E87"/>
    <w:rsid w:val="394242A3"/>
    <w:rsid w:val="39451C39"/>
    <w:rsid w:val="39D5EE6A"/>
    <w:rsid w:val="3A07F9AD"/>
    <w:rsid w:val="3AA64940"/>
    <w:rsid w:val="3AAF995F"/>
    <w:rsid w:val="3AE59DB5"/>
    <w:rsid w:val="3AEFD57A"/>
    <w:rsid w:val="3B032809"/>
    <w:rsid w:val="3B28D30D"/>
    <w:rsid w:val="3B40AD98"/>
    <w:rsid w:val="3B4BC75E"/>
    <w:rsid w:val="3BD50C81"/>
    <w:rsid w:val="3BD9BB80"/>
    <w:rsid w:val="3BDB6175"/>
    <w:rsid w:val="3BFAB421"/>
    <w:rsid w:val="3C24BE8D"/>
    <w:rsid w:val="3C375174"/>
    <w:rsid w:val="3C3A6898"/>
    <w:rsid w:val="3C7CC295"/>
    <w:rsid w:val="3C7E64CB"/>
    <w:rsid w:val="3C8BC47D"/>
    <w:rsid w:val="3D4C219F"/>
    <w:rsid w:val="3D85738B"/>
    <w:rsid w:val="3D87947D"/>
    <w:rsid w:val="3D9A9FA6"/>
    <w:rsid w:val="3DB65337"/>
    <w:rsid w:val="3DD5B605"/>
    <w:rsid w:val="3DEB66DE"/>
    <w:rsid w:val="3E01E510"/>
    <w:rsid w:val="3E098C54"/>
    <w:rsid w:val="3E1810E7"/>
    <w:rsid w:val="3E25F76C"/>
    <w:rsid w:val="3E32421A"/>
    <w:rsid w:val="3E43BF4C"/>
    <w:rsid w:val="3E62A928"/>
    <w:rsid w:val="3EAE95AD"/>
    <w:rsid w:val="3F1496A1"/>
    <w:rsid w:val="3F544ABA"/>
    <w:rsid w:val="3F5B749C"/>
    <w:rsid w:val="3F92A1C8"/>
    <w:rsid w:val="404E7D18"/>
    <w:rsid w:val="40573ECE"/>
    <w:rsid w:val="408053EC"/>
    <w:rsid w:val="4082B6D0"/>
    <w:rsid w:val="40B08C3F"/>
    <w:rsid w:val="40B2EAF3"/>
    <w:rsid w:val="4111BF40"/>
    <w:rsid w:val="4159DF2C"/>
    <w:rsid w:val="4176EEBA"/>
    <w:rsid w:val="4189FFA1"/>
    <w:rsid w:val="4197A487"/>
    <w:rsid w:val="41ABE2EC"/>
    <w:rsid w:val="41BCE4CA"/>
    <w:rsid w:val="41DE41CA"/>
    <w:rsid w:val="4211BB42"/>
    <w:rsid w:val="4267EC57"/>
    <w:rsid w:val="426A4ED3"/>
    <w:rsid w:val="42A560B7"/>
    <w:rsid w:val="430481AD"/>
    <w:rsid w:val="43120CE0"/>
    <w:rsid w:val="432B0D4A"/>
    <w:rsid w:val="434AF042"/>
    <w:rsid w:val="434CFBBC"/>
    <w:rsid w:val="4352BF5A"/>
    <w:rsid w:val="435B8D25"/>
    <w:rsid w:val="435E1B2B"/>
    <w:rsid w:val="439AE7EF"/>
    <w:rsid w:val="43C88108"/>
    <w:rsid w:val="43F4E60A"/>
    <w:rsid w:val="43FB591B"/>
    <w:rsid w:val="44127106"/>
    <w:rsid w:val="44531473"/>
    <w:rsid w:val="44565669"/>
    <w:rsid w:val="4484FE27"/>
    <w:rsid w:val="44E4E84C"/>
    <w:rsid w:val="44FD7867"/>
    <w:rsid w:val="45270131"/>
    <w:rsid w:val="458D81AD"/>
    <w:rsid w:val="4591942D"/>
    <w:rsid w:val="45C8B62E"/>
    <w:rsid w:val="45FFCE0C"/>
    <w:rsid w:val="46522DCC"/>
    <w:rsid w:val="4668ED76"/>
    <w:rsid w:val="46E5D37B"/>
    <w:rsid w:val="46F42131"/>
    <w:rsid w:val="46F7D796"/>
    <w:rsid w:val="470C81A6"/>
    <w:rsid w:val="472FB40B"/>
    <w:rsid w:val="474E1224"/>
    <w:rsid w:val="47631B02"/>
    <w:rsid w:val="4771BDE1"/>
    <w:rsid w:val="4773E855"/>
    <w:rsid w:val="47AD9C24"/>
    <w:rsid w:val="48681D6D"/>
    <w:rsid w:val="486A8F83"/>
    <w:rsid w:val="487A9E89"/>
    <w:rsid w:val="489DC065"/>
    <w:rsid w:val="48BD2C6C"/>
    <w:rsid w:val="48DBB798"/>
    <w:rsid w:val="48F96EC4"/>
    <w:rsid w:val="494DCA34"/>
    <w:rsid w:val="49627C1C"/>
    <w:rsid w:val="4988DBCA"/>
    <w:rsid w:val="49A278F3"/>
    <w:rsid w:val="49B0DCDF"/>
    <w:rsid w:val="49B49D4E"/>
    <w:rsid w:val="49CECB10"/>
    <w:rsid w:val="4A016AC6"/>
    <w:rsid w:val="4A0A1DF4"/>
    <w:rsid w:val="4A2DAC4C"/>
    <w:rsid w:val="4A3CE636"/>
    <w:rsid w:val="4A3D0ED3"/>
    <w:rsid w:val="4A6C78F9"/>
    <w:rsid w:val="4B03C6D8"/>
    <w:rsid w:val="4B8B0679"/>
    <w:rsid w:val="4BCC6333"/>
    <w:rsid w:val="4C1B55E3"/>
    <w:rsid w:val="4C1DF20D"/>
    <w:rsid w:val="4C30B6BF"/>
    <w:rsid w:val="4C590D87"/>
    <w:rsid w:val="4C652622"/>
    <w:rsid w:val="4C92424E"/>
    <w:rsid w:val="4CADB5DC"/>
    <w:rsid w:val="4CD35557"/>
    <w:rsid w:val="4CFD4031"/>
    <w:rsid w:val="4D114958"/>
    <w:rsid w:val="4D51E8BF"/>
    <w:rsid w:val="4D5D2EB0"/>
    <w:rsid w:val="4D7BB98F"/>
    <w:rsid w:val="4DC47977"/>
    <w:rsid w:val="4DC72BBB"/>
    <w:rsid w:val="4DF8647E"/>
    <w:rsid w:val="4DFCA884"/>
    <w:rsid w:val="4E4B39C4"/>
    <w:rsid w:val="4EE89985"/>
    <w:rsid w:val="4EEEB858"/>
    <w:rsid w:val="4F176BE7"/>
    <w:rsid w:val="4F83E3AD"/>
    <w:rsid w:val="4FB91B75"/>
    <w:rsid w:val="4FC8D0B8"/>
    <w:rsid w:val="4FCFF10A"/>
    <w:rsid w:val="4FD5D88F"/>
    <w:rsid w:val="4FED5549"/>
    <w:rsid w:val="5004916E"/>
    <w:rsid w:val="503566D7"/>
    <w:rsid w:val="5060BF8B"/>
    <w:rsid w:val="509ED624"/>
    <w:rsid w:val="50BE2B07"/>
    <w:rsid w:val="50C9FB5C"/>
    <w:rsid w:val="51028A4D"/>
    <w:rsid w:val="51068CC7"/>
    <w:rsid w:val="510FF428"/>
    <w:rsid w:val="5133A222"/>
    <w:rsid w:val="51507FE3"/>
    <w:rsid w:val="51B7329E"/>
    <w:rsid w:val="51C9C091"/>
    <w:rsid w:val="51E5B37D"/>
    <w:rsid w:val="51E882A4"/>
    <w:rsid w:val="529913B4"/>
    <w:rsid w:val="52CD17A4"/>
    <w:rsid w:val="530E612C"/>
    <w:rsid w:val="5313A210"/>
    <w:rsid w:val="53658574"/>
    <w:rsid w:val="5387B972"/>
    <w:rsid w:val="542C6655"/>
    <w:rsid w:val="545BC41F"/>
    <w:rsid w:val="54841DFC"/>
    <w:rsid w:val="54906B50"/>
    <w:rsid w:val="5490D78F"/>
    <w:rsid w:val="54B757FF"/>
    <w:rsid w:val="54F2949E"/>
    <w:rsid w:val="550BD687"/>
    <w:rsid w:val="550F4150"/>
    <w:rsid w:val="551216B4"/>
    <w:rsid w:val="55255EA7"/>
    <w:rsid w:val="5569494B"/>
    <w:rsid w:val="557B7037"/>
    <w:rsid w:val="55913968"/>
    <w:rsid w:val="566A92D1"/>
    <w:rsid w:val="568C322E"/>
    <w:rsid w:val="573BDC35"/>
    <w:rsid w:val="573D4687"/>
    <w:rsid w:val="57450238"/>
    <w:rsid w:val="574B9439"/>
    <w:rsid w:val="5757EE3E"/>
    <w:rsid w:val="5795B707"/>
    <w:rsid w:val="57977B5A"/>
    <w:rsid w:val="57A106C9"/>
    <w:rsid w:val="57AD73D1"/>
    <w:rsid w:val="57B371C9"/>
    <w:rsid w:val="57D27E6B"/>
    <w:rsid w:val="57DB7890"/>
    <w:rsid w:val="57E3E409"/>
    <w:rsid w:val="5818089A"/>
    <w:rsid w:val="583D01AC"/>
    <w:rsid w:val="584FA4BE"/>
    <w:rsid w:val="589C8D2C"/>
    <w:rsid w:val="58AA02BD"/>
    <w:rsid w:val="58AFE3FA"/>
    <w:rsid w:val="58F9F345"/>
    <w:rsid w:val="5923FEF4"/>
    <w:rsid w:val="593D535D"/>
    <w:rsid w:val="595FA701"/>
    <w:rsid w:val="59FA4F69"/>
    <w:rsid w:val="5A3CEB52"/>
    <w:rsid w:val="5A411D71"/>
    <w:rsid w:val="5A8B863B"/>
    <w:rsid w:val="5ABDFCFE"/>
    <w:rsid w:val="5AC0D0D1"/>
    <w:rsid w:val="5AC48F0F"/>
    <w:rsid w:val="5B1F69D4"/>
    <w:rsid w:val="5B2A5038"/>
    <w:rsid w:val="5B4FD4CA"/>
    <w:rsid w:val="5B7B14FD"/>
    <w:rsid w:val="5B82137F"/>
    <w:rsid w:val="5BB60592"/>
    <w:rsid w:val="5BEAB3ED"/>
    <w:rsid w:val="5BEE30E3"/>
    <w:rsid w:val="5BF09A2E"/>
    <w:rsid w:val="5C27BF1B"/>
    <w:rsid w:val="5C60E52D"/>
    <w:rsid w:val="5C891C0C"/>
    <w:rsid w:val="5D13138E"/>
    <w:rsid w:val="5D3E3F85"/>
    <w:rsid w:val="5D418D97"/>
    <w:rsid w:val="5D4847C6"/>
    <w:rsid w:val="5D8F0086"/>
    <w:rsid w:val="5DB17756"/>
    <w:rsid w:val="5DC5246D"/>
    <w:rsid w:val="5DEA680F"/>
    <w:rsid w:val="5E21C056"/>
    <w:rsid w:val="5E259F72"/>
    <w:rsid w:val="5E83803D"/>
    <w:rsid w:val="5E87C49E"/>
    <w:rsid w:val="5E8A2717"/>
    <w:rsid w:val="5EA79308"/>
    <w:rsid w:val="5EBB7CBA"/>
    <w:rsid w:val="5F1451AE"/>
    <w:rsid w:val="5F334A1A"/>
    <w:rsid w:val="5F5A1FFE"/>
    <w:rsid w:val="5F5CF968"/>
    <w:rsid w:val="5F5D1600"/>
    <w:rsid w:val="5F6D6BA0"/>
    <w:rsid w:val="5FB63964"/>
    <w:rsid w:val="5FC0CF38"/>
    <w:rsid w:val="5FCEC25F"/>
    <w:rsid w:val="5FD31E17"/>
    <w:rsid w:val="5FDBC9C7"/>
    <w:rsid w:val="5FFFCDB1"/>
    <w:rsid w:val="607FBB03"/>
    <w:rsid w:val="6083C1BE"/>
    <w:rsid w:val="60ACEC2D"/>
    <w:rsid w:val="6150E94E"/>
    <w:rsid w:val="616E16F1"/>
    <w:rsid w:val="6173ECFA"/>
    <w:rsid w:val="6182FE9E"/>
    <w:rsid w:val="61945B87"/>
    <w:rsid w:val="619FC136"/>
    <w:rsid w:val="61FC4410"/>
    <w:rsid w:val="621F8A4A"/>
    <w:rsid w:val="626F4A2B"/>
    <w:rsid w:val="627F40A3"/>
    <w:rsid w:val="627FAF00"/>
    <w:rsid w:val="62C610AA"/>
    <w:rsid w:val="63029EFB"/>
    <w:rsid w:val="6304416F"/>
    <w:rsid w:val="63339CEF"/>
    <w:rsid w:val="63588D35"/>
    <w:rsid w:val="639DE1A6"/>
    <w:rsid w:val="63AF6ABB"/>
    <w:rsid w:val="63E3FBB5"/>
    <w:rsid w:val="645BEC90"/>
    <w:rsid w:val="645CF789"/>
    <w:rsid w:val="645DE972"/>
    <w:rsid w:val="64D29A20"/>
    <w:rsid w:val="650192C8"/>
    <w:rsid w:val="651F05CE"/>
    <w:rsid w:val="6548C71D"/>
    <w:rsid w:val="65B617DF"/>
    <w:rsid w:val="65C3DEFE"/>
    <w:rsid w:val="65D21D96"/>
    <w:rsid w:val="665A1C89"/>
    <w:rsid w:val="665ED7A0"/>
    <w:rsid w:val="66946348"/>
    <w:rsid w:val="66B4FB8A"/>
    <w:rsid w:val="66B5CF78"/>
    <w:rsid w:val="674487A2"/>
    <w:rsid w:val="675F17ED"/>
    <w:rsid w:val="67A0D429"/>
    <w:rsid w:val="67C36801"/>
    <w:rsid w:val="680C8239"/>
    <w:rsid w:val="6830B4C3"/>
    <w:rsid w:val="68A61CE7"/>
    <w:rsid w:val="69167978"/>
    <w:rsid w:val="69355DE1"/>
    <w:rsid w:val="69517539"/>
    <w:rsid w:val="695AA214"/>
    <w:rsid w:val="695FF13E"/>
    <w:rsid w:val="697D1179"/>
    <w:rsid w:val="697F9D72"/>
    <w:rsid w:val="697FFA26"/>
    <w:rsid w:val="69C00977"/>
    <w:rsid w:val="69D03DC8"/>
    <w:rsid w:val="6A10F1CD"/>
    <w:rsid w:val="6A5F7BB0"/>
    <w:rsid w:val="6A8FF030"/>
    <w:rsid w:val="6AA69F2C"/>
    <w:rsid w:val="6AB0B83B"/>
    <w:rsid w:val="6AB8BABB"/>
    <w:rsid w:val="6ACA3D4C"/>
    <w:rsid w:val="6ACDB41B"/>
    <w:rsid w:val="6AFBD201"/>
    <w:rsid w:val="6B04C90D"/>
    <w:rsid w:val="6B4DF650"/>
    <w:rsid w:val="6B50F49E"/>
    <w:rsid w:val="6B57E1F4"/>
    <w:rsid w:val="6B5D97B0"/>
    <w:rsid w:val="6B7889EA"/>
    <w:rsid w:val="6BBEBEF3"/>
    <w:rsid w:val="6C1F328A"/>
    <w:rsid w:val="6C2A292D"/>
    <w:rsid w:val="6C5F6552"/>
    <w:rsid w:val="6C927DBC"/>
    <w:rsid w:val="6CF116E3"/>
    <w:rsid w:val="6CFEFF12"/>
    <w:rsid w:val="6D6ECF54"/>
    <w:rsid w:val="6D88D807"/>
    <w:rsid w:val="6DB3C478"/>
    <w:rsid w:val="6E324DF0"/>
    <w:rsid w:val="6E36EF97"/>
    <w:rsid w:val="6E771594"/>
    <w:rsid w:val="6EA04282"/>
    <w:rsid w:val="6F46677D"/>
    <w:rsid w:val="6F4FC63D"/>
    <w:rsid w:val="6F5EE80C"/>
    <w:rsid w:val="6FA4A04C"/>
    <w:rsid w:val="70526421"/>
    <w:rsid w:val="708D2D1B"/>
    <w:rsid w:val="70AFFB8C"/>
    <w:rsid w:val="70DC06F5"/>
    <w:rsid w:val="711D8E81"/>
    <w:rsid w:val="712E14E5"/>
    <w:rsid w:val="713EE887"/>
    <w:rsid w:val="717037A3"/>
    <w:rsid w:val="719EB40D"/>
    <w:rsid w:val="71C48A46"/>
    <w:rsid w:val="71FEE02A"/>
    <w:rsid w:val="7251843F"/>
    <w:rsid w:val="72647FCE"/>
    <w:rsid w:val="7270E675"/>
    <w:rsid w:val="72A0EBC9"/>
    <w:rsid w:val="72EBE8A1"/>
    <w:rsid w:val="72F236B7"/>
    <w:rsid w:val="72FA6A9E"/>
    <w:rsid w:val="731CB206"/>
    <w:rsid w:val="7366F0F7"/>
    <w:rsid w:val="73DF76CA"/>
    <w:rsid w:val="73EBBC0B"/>
    <w:rsid w:val="7407306F"/>
    <w:rsid w:val="74257BEE"/>
    <w:rsid w:val="74464946"/>
    <w:rsid w:val="746AEBA6"/>
    <w:rsid w:val="74AA4F67"/>
    <w:rsid w:val="74E51D20"/>
    <w:rsid w:val="75415B76"/>
    <w:rsid w:val="7607BC7D"/>
    <w:rsid w:val="76298EF0"/>
    <w:rsid w:val="76384E15"/>
    <w:rsid w:val="76DCC7CE"/>
    <w:rsid w:val="76EB2099"/>
    <w:rsid w:val="76F778FC"/>
    <w:rsid w:val="76F816C2"/>
    <w:rsid w:val="76FA92EC"/>
    <w:rsid w:val="77733465"/>
    <w:rsid w:val="777ECBA7"/>
    <w:rsid w:val="77855EFF"/>
    <w:rsid w:val="77B6B1DB"/>
    <w:rsid w:val="77DDB167"/>
    <w:rsid w:val="7889D52B"/>
    <w:rsid w:val="788C9B51"/>
    <w:rsid w:val="78CEFEB1"/>
    <w:rsid w:val="78E18AD9"/>
    <w:rsid w:val="78EB227F"/>
    <w:rsid w:val="78F70500"/>
    <w:rsid w:val="790E6058"/>
    <w:rsid w:val="7918F75D"/>
    <w:rsid w:val="796D4694"/>
    <w:rsid w:val="79943585"/>
    <w:rsid w:val="79D7AE16"/>
    <w:rsid w:val="7A21E4D6"/>
    <w:rsid w:val="7A6F10CE"/>
    <w:rsid w:val="7A708ACA"/>
    <w:rsid w:val="7A77C9C2"/>
    <w:rsid w:val="7A810682"/>
    <w:rsid w:val="7A99A6EC"/>
    <w:rsid w:val="7ACD5A7E"/>
    <w:rsid w:val="7B2095D1"/>
    <w:rsid w:val="7B244210"/>
    <w:rsid w:val="7B354194"/>
    <w:rsid w:val="7B43DF56"/>
    <w:rsid w:val="7B71894B"/>
    <w:rsid w:val="7BD87C88"/>
    <w:rsid w:val="7BFC8907"/>
    <w:rsid w:val="7D361959"/>
    <w:rsid w:val="7D778D0D"/>
    <w:rsid w:val="7D83555E"/>
    <w:rsid w:val="7DDE57CA"/>
    <w:rsid w:val="7DF854C5"/>
    <w:rsid w:val="7DF8C671"/>
    <w:rsid w:val="7E5627E1"/>
    <w:rsid w:val="7E96C3E6"/>
    <w:rsid w:val="7EBC418F"/>
    <w:rsid w:val="7EF8D58D"/>
    <w:rsid w:val="7F4C379F"/>
    <w:rsid w:val="7F56DEAB"/>
    <w:rsid w:val="7F5BDCE8"/>
    <w:rsid w:val="7F90A352"/>
    <w:rsid w:val="7FB32725"/>
    <w:rsid w:val="7FB9C57C"/>
    <w:rsid w:val="7FF466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359E98"/>
  <w15:chartTrackingRefBased/>
  <w15:docId w15:val="{4E0A7E5B-6505-4B33-A14D-66D49EC9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E76"/>
    <w:pPr>
      <w:spacing w:after="0" w:line="240" w:lineRule="auto"/>
    </w:pPr>
    <w:rPr>
      <w:rFonts w:ascii="Times New Roman" w:hAnsi="Times New Roman" w:eastAsiaTheme="minorEastAsia" w:cs="Times New Roman"/>
      <w:kern w:val="0"/>
      <w:sz w:val="24"/>
      <w:szCs w:val="24"/>
      <w14:ligatures w14:val="none"/>
    </w:rPr>
  </w:style>
  <w:style w:type="paragraph" w:styleId="Heading1">
    <w:name w:val="heading 1"/>
    <w:basedOn w:val="ListParagraph"/>
    <w:next w:val="Normal"/>
    <w:link w:val="Heading1Char"/>
    <w:uiPriority w:val="9"/>
    <w:qFormat/>
    <w:rsid w:val="008E7D81"/>
    <w:pPr>
      <w:numPr>
        <w:numId w:val="40"/>
      </w:numPr>
      <w:outlineLvl w:val="0"/>
    </w:pPr>
    <w:rPr>
      <w:rFonts w:ascii="Arial" w:hAnsi="Arial" w:cs="Arial"/>
      <w:b/>
      <w:bCs/>
      <w:sz w:val="22"/>
      <w:szCs w:val="22"/>
      <w:u w:val="single"/>
    </w:rPr>
  </w:style>
  <w:style w:type="paragraph" w:styleId="Heading2">
    <w:name w:val="heading 2"/>
    <w:basedOn w:val="ListParagraph"/>
    <w:next w:val="Normal"/>
    <w:link w:val="Heading2Char"/>
    <w:uiPriority w:val="9"/>
    <w:unhideWhenUsed/>
    <w:qFormat/>
    <w:rsid w:val="005E489E"/>
    <w:pPr>
      <w:numPr>
        <w:ilvl w:val="1"/>
        <w:numId w:val="41"/>
      </w:numPr>
      <w:tabs>
        <w:tab w:val="left" w:pos="360"/>
      </w:tabs>
      <w:spacing w:after="220"/>
      <w:ind w:left="720"/>
      <w:outlineLvl w:val="1"/>
    </w:pPr>
    <w:rPr>
      <w:rFonts w:ascii="Arial" w:hAnsi="Arial" w:cs="Arial"/>
      <w:sz w:val="22"/>
      <w:szCs w:val="22"/>
      <w:u w:val="single"/>
    </w:rPr>
  </w:style>
  <w:style w:type="paragraph" w:styleId="Heading3">
    <w:name w:val="heading 3"/>
    <w:basedOn w:val="Heading2"/>
    <w:next w:val="Normal"/>
    <w:link w:val="Heading3Char"/>
    <w:uiPriority w:val="9"/>
    <w:unhideWhenUsed/>
    <w:qFormat/>
    <w:rsid w:val="00923061"/>
    <w:pPr>
      <w:numPr>
        <w:ilvl w:val="2"/>
        <w:numId w:val="40"/>
      </w:numPr>
      <w:contextualSpacing w:val="0"/>
      <w:outlineLvl w:val="2"/>
    </w:pPr>
  </w:style>
  <w:style w:type="paragraph" w:styleId="Heading4">
    <w:name w:val="heading 4"/>
    <w:basedOn w:val="BodyText"/>
    <w:next w:val="Normal"/>
    <w:link w:val="Heading4Char"/>
    <w:uiPriority w:val="9"/>
    <w:unhideWhenUsed/>
    <w:qFormat/>
    <w:rsid w:val="003679BD"/>
    <w:pPr>
      <w:tabs>
        <w:tab w:val="left" w:pos="900"/>
      </w:tabs>
      <w:spacing w:after="240"/>
      <w:ind w:left="900" w:hanging="900"/>
      <w:outlineLvl w:val="3"/>
    </w:pPr>
    <w:rPr>
      <w:u w:val="single"/>
    </w:rPr>
  </w:style>
  <w:style w:type="paragraph" w:styleId="Heading5">
    <w:name w:val="heading 5"/>
    <w:basedOn w:val="Normal"/>
    <w:next w:val="Normal"/>
    <w:link w:val="Heading5Char"/>
    <w:uiPriority w:val="9"/>
    <w:unhideWhenUsed/>
    <w:qFormat/>
    <w:rsid w:val="00B60299"/>
    <w:pPr>
      <w:keepNext/>
      <w:keepLines/>
      <w:spacing w:before="80" w:after="40"/>
      <w:outlineLvl w:val="4"/>
    </w:pPr>
    <w:rPr>
      <w:rFonts w:ascii="Arial" w:hAnsi="Arial" w:eastAsiaTheme="majorEastAsia" w:cs="Arial"/>
      <w:b/>
      <w:bCs/>
      <w:i/>
      <w:iCs/>
      <w:color w:val="000000" w:themeColor="text1"/>
      <w:sz w:val="22"/>
      <w:szCs w:val="22"/>
      <w:lang w:eastAsia="zh-CN"/>
    </w:rPr>
  </w:style>
  <w:style w:type="paragraph" w:styleId="Heading6">
    <w:name w:val="heading 6"/>
    <w:basedOn w:val="Normal"/>
    <w:next w:val="Normal"/>
    <w:link w:val="Heading6Char"/>
    <w:uiPriority w:val="9"/>
    <w:unhideWhenUsed/>
    <w:qFormat/>
    <w:rsid w:val="00AC1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C1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C1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1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ICenteredHeading">
    <w:name w:val="EBI Centered Heading"/>
    <w:basedOn w:val="Normal"/>
    <w:qFormat/>
    <w:rsid w:val="00F726BE"/>
    <w:pPr>
      <w:spacing w:after="240"/>
      <w:jc w:val="center"/>
      <w:outlineLvl w:val="0"/>
    </w:pPr>
    <w:rPr>
      <w:rFonts w:eastAsia="Calibri"/>
      <w:b/>
      <w:sz w:val="26"/>
      <w:szCs w:val="26"/>
    </w:rPr>
  </w:style>
  <w:style w:type="paragraph" w:customStyle="1" w:styleId="EBIIssue1">
    <w:name w:val="EBI Issue 1"/>
    <w:basedOn w:val="Normal"/>
    <w:link w:val="EBIIssue1Char"/>
    <w:qFormat/>
    <w:rsid w:val="00F726BE"/>
    <w:pPr>
      <w:shd w:val="clear" w:color="auto" w:fill="DDE8FF"/>
      <w:outlineLvl w:val="0"/>
    </w:pPr>
    <w:rPr>
      <w:rFonts w:eastAsia="Times New Roman"/>
      <w:b/>
      <w:bCs/>
    </w:rPr>
  </w:style>
  <w:style w:type="character" w:customStyle="1" w:styleId="EBIIssue1Char">
    <w:name w:val="EBI Issue 1 Char"/>
    <w:basedOn w:val="DefaultParagraphFont"/>
    <w:link w:val="EBIIssue1"/>
    <w:rsid w:val="00F726BE"/>
    <w:rPr>
      <w:rFonts w:ascii="Times New Roman" w:eastAsia="Times New Roman" w:hAnsi="Times New Roman" w:cs="Times New Roman"/>
      <w:b/>
      <w:bCs/>
      <w:kern w:val="0"/>
      <w:sz w:val="24"/>
      <w:szCs w:val="24"/>
      <w:shd w:val="clear" w:color="auto" w:fill="DDE8FF"/>
      <w14:ligatures w14:val="none"/>
    </w:rPr>
  </w:style>
  <w:style w:type="paragraph" w:customStyle="1" w:styleId="EBIIssue2">
    <w:name w:val="EBI Issue 2"/>
    <w:basedOn w:val="Normal"/>
    <w:qFormat/>
    <w:rsid w:val="00F726BE"/>
    <w:pPr>
      <w:shd w:val="clear" w:color="auto" w:fill="DDE8FF"/>
      <w:outlineLvl w:val="1"/>
    </w:pPr>
    <w:rPr>
      <w:rFonts w:eastAsia="Times New Roman"/>
      <w:b/>
      <w:bCs/>
    </w:rPr>
  </w:style>
  <w:style w:type="paragraph" w:customStyle="1" w:styleId="EBIIssue3">
    <w:name w:val="EBI Issue 3"/>
    <w:basedOn w:val="Normal"/>
    <w:qFormat/>
    <w:rsid w:val="00F726BE"/>
    <w:pPr>
      <w:shd w:val="clear" w:color="auto" w:fill="DDE8FF"/>
      <w:outlineLvl w:val="2"/>
    </w:pPr>
    <w:rPr>
      <w:rFonts w:eastAsia="Times New Roman"/>
      <w:b/>
      <w:bCs/>
    </w:rPr>
  </w:style>
  <w:style w:type="paragraph" w:customStyle="1" w:styleId="EBIIssue4">
    <w:name w:val="EBI Issue 4"/>
    <w:basedOn w:val="Normal"/>
    <w:link w:val="EBIIssue4Char"/>
    <w:qFormat/>
    <w:rsid w:val="00F726BE"/>
    <w:pPr>
      <w:shd w:val="clear" w:color="auto" w:fill="DDE8FF"/>
      <w:outlineLvl w:val="3"/>
    </w:pPr>
    <w:rPr>
      <w:rFonts w:eastAsia="Times New Roman"/>
      <w:b/>
      <w:bCs/>
    </w:rPr>
  </w:style>
  <w:style w:type="character" w:customStyle="1" w:styleId="EBIIssue4Char">
    <w:name w:val="EBI Issue 4 Char"/>
    <w:link w:val="EBIIssue4"/>
    <w:rsid w:val="00F726BE"/>
    <w:rPr>
      <w:rFonts w:ascii="Times New Roman" w:eastAsia="Times New Roman" w:hAnsi="Times New Roman" w:cs="Times New Roman"/>
      <w:b/>
      <w:bCs/>
      <w:kern w:val="0"/>
      <w:szCs w:val="24"/>
      <w:shd w:val="clear" w:color="auto" w:fill="DDE8FF"/>
      <w14:ligatures w14:val="none"/>
    </w:rPr>
  </w:style>
  <w:style w:type="paragraph" w:customStyle="1" w:styleId="EBIIssue5">
    <w:name w:val="EBI Issue 5"/>
    <w:basedOn w:val="Normal"/>
    <w:link w:val="EBIIssue5Char"/>
    <w:qFormat/>
    <w:rsid w:val="00F726BE"/>
    <w:pPr>
      <w:shd w:val="clear" w:color="auto" w:fill="DDE8FF"/>
      <w:outlineLvl w:val="4"/>
    </w:pPr>
    <w:rPr>
      <w:rFonts w:eastAsia="Times New Roman"/>
      <w:b/>
      <w:bCs/>
    </w:rPr>
  </w:style>
  <w:style w:type="character" w:customStyle="1" w:styleId="EBIIssue5Char">
    <w:name w:val="EBI Issue 5 Char"/>
    <w:link w:val="EBIIssue5"/>
    <w:rsid w:val="00F726BE"/>
    <w:rPr>
      <w:rFonts w:ascii="Times New Roman" w:eastAsia="Times New Roman" w:hAnsi="Times New Roman" w:cs="Times New Roman"/>
      <w:b/>
      <w:bCs/>
      <w:kern w:val="0"/>
      <w:szCs w:val="24"/>
      <w:shd w:val="clear" w:color="auto" w:fill="DDE8FF"/>
      <w14:ligatures w14:val="none"/>
    </w:rPr>
  </w:style>
  <w:style w:type="character" w:customStyle="1" w:styleId="Heading1Char">
    <w:name w:val="Heading 1 Char"/>
    <w:basedOn w:val="DefaultParagraphFont"/>
    <w:link w:val="Heading1"/>
    <w:uiPriority w:val="9"/>
    <w:rsid w:val="008E7D81"/>
    <w:rPr>
      <w:rFonts w:ascii="Arial" w:hAnsi="Arial" w:eastAsiaTheme="minorEastAsia" w:cs="Arial"/>
      <w:b/>
      <w:bCs/>
      <w:kern w:val="0"/>
      <w:u w:val="single"/>
      <w14:ligatures w14:val="none"/>
    </w:rPr>
  </w:style>
  <w:style w:type="character" w:customStyle="1" w:styleId="Heading2Char">
    <w:name w:val="Heading 2 Char"/>
    <w:basedOn w:val="DefaultParagraphFont"/>
    <w:link w:val="Heading2"/>
    <w:uiPriority w:val="9"/>
    <w:rsid w:val="005E489E"/>
    <w:rPr>
      <w:rFonts w:ascii="Arial" w:hAnsi="Arial" w:eastAsiaTheme="minorEastAsia" w:cs="Arial"/>
      <w:kern w:val="0"/>
      <w:u w:val="single"/>
      <w14:ligatures w14:val="none"/>
    </w:rPr>
  </w:style>
  <w:style w:type="character" w:customStyle="1" w:styleId="Heading3Char">
    <w:name w:val="Heading 3 Char"/>
    <w:basedOn w:val="DefaultParagraphFont"/>
    <w:link w:val="Heading3"/>
    <w:uiPriority w:val="9"/>
    <w:rsid w:val="00AC1417"/>
    <w:rPr>
      <w:rFonts w:ascii="Arial" w:hAnsi="Arial" w:eastAsiaTheme="minorEastAsia" w:cs="Arial"/>
      <w:kern w:val="0"/>
      <w:u w:val="single"/>
      <w14:ligatures w14:val="none"/>
    </w:rPr>
  </w:style>
  <w:style w:type="character" w:customStyle="1" w:styleId="Heading4Char">
    <w:name w:val="Heading 4 Char"/>
    <w:basedOn w:val="DefaultParagraphFont"/>
    <w:link w:val="Heading4"/>
    <w:uiPriority w:val="9"/>
    <w:rsid w:val="003679BD"/>
    <w:rPr>
      <w:rFonts w:ascii="Arial" w:eastAsia="Arial" w:hAnsi="Arial"/>
      <w:kern w:val="0"/>
      <w:u w:val="single"/>
      <w14:ligatures w14:val="none"/>
    </w:rPr>
  </w:style>
  <w:style w:type="character" w:customStyle="1" w:styleId="Heading5Char">
    <w:name w:val="Heading 5 Char"/>
    <w:basedOn w:val="DefaultParagraphFont"/>
    <w:link w:val="Heading5"/>
    <w:uiPriority w:val="9"/>
    <w:rsid w:val="00AC1417"/>
    <w:rPr>
      <w:rFonts w:ascii="Arial" w:hAnsi="Arial" w:eastAsiaTheme="majorEastAsia" w:cs="Arial"/>
      <w:b/>
      <w:bCs/>
      <w:i/>
      <w:iCs/>
      <w:color w:val="000000" w:themeColor="text1"/>
      <w:kern w:val="0"/>
      <w:lang w:eastAsia="zh-CN"/>
      <w14:ligatures w14:val="none"/>
    </w:rPr>
  </w:style>
  <w:style w:type="character" w:customStyle="1" w:styleId="Heading6Char">
    <w:name w:val="Heading 6 Char"/>
    <w:basedOn w:val="DefaultParagraphFont"/>
    <w:link w:val="Heading6"/>
    <w:uiPriority w:val="9"/>
    <w:rsid w:val="00AC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C141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C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1417"/>
    <w:rPr>
      <w:rFonts w:eastAsiaTheme="majorEastAsia" w:cstheme="majorBidi"/>
      <w:color w:val="272727" w:themeColor="text1" w:themeTint="D8"/>
    </w:rPr>
  </w:style>
  <w:style w:type="paragraph" w:styleId="Title">
    <w:name w:val="Title"/>
    <w:basedOn w:val="Normal"/>
    <w:next w:val="Normal"/>
    <w:link w:val="TitleChar"/>
    <w:uiPriority w:val="10"/>
    <w:qFormat/>
    <w:rsid w:val="00AC1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417"/>
    <w:pPr>
      <w:spacing w:before="160"/>
      <w:jc w:val="center"/>
    </w:pPr>
    <w:rPr>
      <w:i/>
      <w:iCs/>
      <w:color w:val="404040" w:themeColor="text1" w:themeTint="BF"/>
    </w:rPr>
  </w:style>
  <w:style w:type="character" w:customStyle="1" w:styleId="QuoteChar">
    <w:name w:val="Quote Char"/>
    <w:basedOn w:val="DefaultParagraphFont"/>
    <w:link w:val="Quote"/>
    <w:uiPriority w:val="29"/>
    <w:rsid w:val="00AC1417"/>
    <w:rPr>
      <w:i/>
      <w:iCs/>
      <w:color w:val="404040" w:themeColor="text1" w:themeTint="BF"/>
    </w:rPr>
  </w:style>
  <w:style w:type="paragraph" w:styleId="ListParagraph">
    <w:name w:val="List Paragraph"/>
    <w:basedOn w:val="Normal"/>
    <w:uiPriority w:val="34"/>
    <w:qFormat/>
    <w:rsid w:val="00AC1417"/>
    <w:pPr>
      <w:ind w:left="720"/>
      <w:contextualSpacing/>
    </w:pPr>
  </w:style>
  <w:style w:type="character" w:styleId="IntenseEmphasis">
    <w:name w:val="Intense Emphasis"/>
    <w:basedOn w:val="DefaultParagraphFont"/>
    <w:uiPriority w:val="21"/>
    <w:qFormat/>
    <w:rsid w:val="00AC1417"/>
    <w:rPr>
      <w:i/>
      <w:iCs/>
      <w:color w:val="0F4761" w:themeColor="accent1" w:themeShade="BF"/>
    </w:rPr>
  </w:style>
  <w:style w:type="paragraph" w:styleId="IntenseQuote">
    <w:name w:val="Intense Quote"/>
    <w:basedOn w:val="Normal"/>
    <w:next w:val="Normal"/>
    <w:link w:val="IntenseQuoteChar"/>
    <w:uiPriority w:val="30"/>
    <w:qFormat/>
    <w:rsid w:val="00AC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417"/>
    <w:rPr>
      <w:i/>
      <w:iCs/>
      <w:color w:val="0F4761" w:themeColor="accent1" w:themeShade="BF"/>
    </w:rPr>
  </w:style>
  <w:style w:type="character" w:styleId="IntenseReference">
    <w:name w:val="Intense Reference"/>
    <w:basedOn w:val="DefaultParagraphFont"/>
    <w:uiPriority w:val="32"/>
    <w:qFormat/>
    <w:rsid w:val="00AC1417"/>
    <w:rPr>
      <w:b/>
      <w:bCs/>
      <w:smallCaps/>
      <w:color w:val="0F4761" w:themeColor="accent1" w:themeShade="BF"/>
      <w:spacing w:val="5"/>
    </w:rPr>
  </w:style>
  <w:style w:type="paragraph" w:styleId="Header">
    <w:name w:val="header"/>
    <w:basedOn w:val="Normal"/>
    <w:link w:val="HeaderChar"/>
    <w:uiPriority w:val="99"/>
    <w:unhideWhenUsed/>
    <w:rsid w:val="00AC1417"/>
    <w:pPr>
      <w:tabs>
        <w:tab w:val="center" w:pos="4680"/>
        <w:tab w:val="right" w:pos="9360"/>
      </w:tabs>
    </w:pPr>
  </w:style>
  <w:style w:type="character" w:customStyle="1" w:styleId="HeaderChar">
    <w:name w:val="Header Char"/>
    <w:basedOn w:val="DefaultParagraphFont"/>
    <w:link w:val="Header"/>
    <w:uiPriority w:val="99"/>
    <w:rsid w:val="00AC1417"/>
    <w:rPr>
      <w:rFonts w:ascii="Times New Roman" w:hAnsi="Times New Roman" w:eastAsiaTheme="minorEastAsia" w:cs="Times New Roman"/>
      <w:kern w:val="0"/>
      <w:sz w:val="24"/>
      <w:szCs w:val="24"/>
      <w14:ligatures w14:val="none"/>
    </w:rPr>
  </w:style>
  <w:style w:type="paragraph" w:styleId="Footer">
    <w:name w:val="footer"/>
    <w:basedOn w:val="Normal"/>
    <w:link w:val="FooterChar"/>
    <w:uiPriority w:val="99"/>
    <w:unhideWhenUsed/>
    <w:rsid w:val="00AC1417"/>
    <w:pPr>
      <w:tabs>
        <w:tab w:val="center" w:pos="4680"/>
        <w:tab w:val="right" w:pos="9360"/>
      </w:tabs>
    </w:pPr>
  </w:style>
  <w:style w:type="character" w:customStyle="1" w:styleId="FooterChar">
    <w:name w:val="Footer Char"/>
    <w:basedOn w:val="DefaultParagraphFont"/>
    <w:link w:val="Footer"/>
    <w:uiPriority w:val="99"/>
    <w:rsid w:val="00AC1417"/>
    <w:rPr>
      <w:rFonts w:ascii="Times New Roman" w:hAnsi="Times New Roman" w:eastAsiaTheme="minorEastAsia" w:cs="Times New Roman"/>
      <w:kern w:val="0"/>
      <w:sz w:val="24"/>
      <w:szCs w:val="24"/>
      <w14:ligatures w14:val="none"/>
    </w:rPr>
  </w:style>
  <w:style w:type="paragraph" w:styleId="TOC1">
    <w:name w:val="toc 1"/>
    <w:basedOn w:val="Normal"/>
    <w:next w:val="Normal"/>
    <w:autoRedefine/>
    <w:uiPriority w:val="39"/>
    <w:unhideWhenUsed/>
    <w:rsid w:val="00A30F66"/>
    <w:pPr>
      <w:tabs>
        <w:tab w:val="right" w:leader="dot" w:pos="9350"/>
      </w:tabs>
      <w:spacing w:before="120" w:after="220"/>
    </w:pPr>
    <w:rPr>
      <w:rFonts w:ascii="Arial" w:eastAsia="Arial" w:hAnsi="Arial" w:cs="Arial"/>
      <w:b/>
      <w:color w:val="000000"/>
      <w:kern w:val="2"/>
      <w:sz w:val="28"/>
      <w:szCs w:val="28"/>
      <w14:ligatures w14:val="standardContextual"/>
    </w:rPr>
  </w:style>
  <w:style w:type="paragraph" w:styleId="TOC2">
    <w:name w:val="toc 2"/>
    <w:basedOn w:val="Normal"/>
    <w:next w:val="Normal"/>
    <w:autoRedefine/>
    <w:uiPriority w:val="39"/>
    <w:unhideWhenUsed/>
    <w:rsid w:val="00AC1417"/>
    <w:pPr>
      <w:tabs>
        <w:tab w:val="right" w:leader="dot" w:pos="9350"/>
      </w:tabs>
      <w:spacing w:before="120"/>
      <w:ind w:left="245"/>
    </w:pPr>
    <w:rPr>
      <w:sz w:val="22"/>
    </w:rPr>
  </w:style>
  <w:style w:type="paragraph" w:styleId="TOC3">
    <w:name w:val="toc 3"/>
    <w:basedOn w:val="Normal"/>
    <w:next w:val="Normal"/>
    <w:autoRedefine/>
    <w:uiPriority w:val="39"/>
    <w:unhideWhenUsed/>
    <w:rsid w:val="00AC1417"/>
    <w:pPr>
      <w:spacing w:before="120"/>
      <w:ind w:left="475"/>
    </w:pPr>
    <w:rPr>
      <w:sz w:val="22"/>
    </w:rPr>
  </w:style>
  <w:style w:type="character" w:styleId="Hyperlink">
    <w:name w:val="Hyperlink"/>
    <w:basedOn w:val="DefaultParagraphFont"/>
    <w:uiPriority w:val="99"/>
    <w:unhideWhenUsed/>
    <w:rsid w:val="00AC1417"/>
    <w:rPr>
      <w:color w:val="467886" w:themeColor="hyperlink"/>
      <w:u w:val="single"/>
    </w:rPr>
  </w:style>
  <w:style w:type="numbering" w:customStyle="1" w:styleId="NoList1">
    <w:name w:val="No List1"/>
    <w:next w:val="NoList"/>
    <w:uiPriority w:val="99"/>
    <w:semiHidden/>
    <w:unhideWhenUsed/>
    <w:rsid w:val="00AC1417"/>
  </w:style>
  <w:style w:type="numbering" w:customStyle="1" w:styleId="NoList11">
    <w:name w:val="No List11"/>
    <w:next w:val="NoList"/>
    <w:uiPriority w:val="99"/>
    <w:semiHidden/>
    <w:unhideWhenUsed/>
    <w:rsid w:val="00AC1417"/>
  </w:style>
  <w:style w:type="paragraph" w:customStyle="1" w:styleId="msonormal">
    <w:name w:val="msonormal"/>
    <w:basedOn w:val="Normal"/>
    <w:rsid w:val="00AC1417"/>
    <w:pPr>
      <w:spacing w:before="100" w:beforeAutospacing="1" w:after="100" w:afterAutospacing="1"/>
    </w:pPr>
    <w:rPr>
      <w:rFonts w:eastAsia="Times New Roman"/>
      <w:lang w:eastAsia="zh-CN"/>
    </w:rPr>
  </w:style>
  <w:style w:type="paragraph" w:styleId="NormalWeb">
    <w:name w:val="Normal (Web)"/>
    <w:basedOn w:val="Normal"/>
    <w:uiPriority w:val="99"/>
    <w:semiHidden/>
    <w:unhideWhenUsed/>
    <w:rsid w:val="00AC1417"/>
    <w:pPr>
      <w:spacing w:before="100" w:beforeAutospacing="1" w:after="100" w:afterAutospacing="1"/>
    </w:pPr>
    <w:rPr>
      <w:rFonts w:eastAsia="Times New Roman"/>
      <w:lang w:eastAsia="zh-CN"/>
    </w:rPr>
  </w:style>
  <w:style w:type="character" w:customStyle="1" w:styleId="TitleChar1">
    <w:name w:val="Title Char1"/>
    <w:basedOn w:val="DefaultParagraphFont"/>
    <w:uiPriority w:val="10"/>
    <w:rsid w:val="00AC1417"/>
    <w:rPr>
      <w:rFonts w:ascii="Aptos Display" w:eastAsia="DengXian Light" w:hAnsi="Aptos Display" w:cs="Times New Roman"/>
      <w:spacing w:val="-10"/>
      <w:kern w:val="28"/>
      <w:sz w:val="56"/>
      <w:szCs w:val="56"/>
    </w:rPr>
  </w:style>
  <w:style w:type="character" w:customStyle="1" w:styleId="SubtitleChar1">
    <w:name w:val="Subtitle Char1"/>
    <w:basedOn w:val="DefaultParagraphFont"/>
    <w:uiPriority w:val="11"/>
    <w:rsid w:val="00AC1417"/>
    <w:rPr>
      <w:rFonts w:eastAsia="DengXian Light" w:cs="Times New Roman"/>
      <w:color w:val="595959"/>
      <w:spacing w:val="15"/>
      <w:sz w:val="28"/>
      <w:szCs w:val="28"/>
    </w:rPr>
  </w:style>
  <w:style w:type="character" w:customStyle="1" w:styleId="QuoteChar1">
    <w:name w:val="Quote Char1"/>
    <w:basedOn w:val="DefaultParagraphFont"/>
    <w:uiPriority w:val="29"/>
    <w:rsid w:val="00AC1417"/>
    <w:rPr>
      <w:i/>
      <w:iCs/>
      <w:color w:val="404040"/>
    </w:rPr>
  </w:style>
  <w:style w:type="character" w:customStyle="1" w:styleId="IntenseQuoteChar1">
    <w:name w:val="Intense Quote Char1"/>
    <w:basedOn w:val="DefaultParagraphFont"/>
    <w:uiPriority w:val="30"/>
    <w:rsid w:val="00AC1417"/>
    <w:rPr>
      <w:i/>
      <w:iCs/>
      <w:color w:val="0F4761"/>
    </w:rPr>
  </w:style>
  <w:style w:type="table" w:styleId="TableGrid">
    <w:name w:val="Table Grid"/>
    <w:basedOn w:val="TableNormal"/>
    <w:uiPriority w:val="39"/>
    <w:rsid w:val="00AC1417"/>
    <w:pPr>
      <w:spacing w:after="0" w:line="240" w:lineRule="auto"/>
    </w:pPr>
    <w:rPr>
      <w:kern w:val="0"/>
      <w14:ligatures w14:val="none"/>
    </w:rPr>
    <w:tblPr/>
  </w:style>
  <w:style w:type="character" w:styleId="CommentReference">
    <w:name w:val="annotation reference"/>
    <w:basedOn w:val="DefaultParagraphFont"/>
    <w:uiPriority w:val="99"/>
    <w:unhideWhenUsed/>
    <w:rsid w:val="00AC1417"/>
    <w:rPr>
      <w:sz w:val="16"/>
      <w:szCs w:val="16"/>
    </w:rPr>
  </w:style>
  <w:style w:type="paragraph" w:styleId="CommentText">
    <w:name w:val="annotation text"/>
    <w:basedOn w:val="Normal"/>
    <w:link w:val="CommentTextChar"/>
    <w:uiPriority w:val="99"/>
    <w:unhideWhenUsed/>
    <w:rsid w:val="00AC1417"/>
    <w:pPr>
      <w:spacing w:after="160"/>
    </w:pPr>
    <w:rPr>
      <w:rFonts w:eastAsia="DengXian" w:asciiTheme="minorHAnsi" w:hAnsiTheme="minorHAnsi" w:cstheme="minorBidi"/>
      <w:sz w:val="20"/>
      <w:szCs w:val="20"/>
      <w:lang w:eastAsia="ja-JP"/>
    </w:rPr>
  </w:style>
  <w:style w:type="character" w:customStyle="1" w:styleId="CommentTextChar">
    <w:name w:val="Comment Text Char"/>
    <w:basedOn w:val="DefaultParagraphFont"/>
    <w:link w:val="CommentText"/>
    <w:uiPriority w:val="99"/>
    <w:rsid w:val="00AC1417"/>
    <w:rPr>
      <w:rFonts w:eastAsia="DengXi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AC1417"/>
    <w:rPr>
      <w:b/>
      <w:bCs/>
    </w:rPr>
  </w:style>
  <w:style w:type="character" w:customStyle="1" w:styleId="CommentSubjectChar">
    <w:name w:val="Comment Subject Char"/>
    <w:basedOn w:val="CommentTextChar"/>
    <w:link w:val="CommentSubject"/>
    <w:uiPriority w:val="99"/>
    <w:semiHidden/>
    <w:rsid w:val="00AC1417"/>
    <w:rPr>
      <w:rFonts w:eastAsia="DengXian"/>
      <w:b/>
      <w:bCs/>
      <w:kern w:val="0"/>
      <w:sz w:val="20"/>
      <w:szCs w:val="20"/>
      <w:lang w:eastAsia="ja-JP"/>
      <w14:ligatures w14:val="none"/>
    </w:rPr>
  </w:style>
  <w:style w:type="table" w:customStyle="1" w:styleId="TableGrid1">
    <w:name w:val="Table Grid1"/>
    <w:basedOn w:val="TableNormal"/>
    <w:next w:val="TableGrid"/>
    <w:uiPriority w:val="59"/>
    <w:rsid w:val="00AC1417"/>
    <w:pPr>
      <w:spacing w:after="0" w:line="240" w:lineRule="auto"/>
    </w:pPr>
    <w:rPr>
      <w:kern w:val="0"/>
      <w14:ligatures w14:val="none"/>
    </w:rPr>
    <w:tblPr/>
  </w:style>
  <w:style w:type="numbering" w:customStyle="1" w:styleId="NoList2">
    <w:name w:val="No List2"/>
    <w:next w:val="NoList"/>
    <w:uiPriority w:val="99"/>
    <w:semiHidden/>
    <w:unhideWhenUsed/>
    <w:rsid w:val="00AC1417"/>
  </w:style>
  <w:style w:type="numbering" w:customStyle="1" w:styleId="NoList12">
    <w:name w:val="No List12"/>
    <w:next w:val="NoList"/>
    <w:uiPriority w:val="99"/>
    <w:semiHidden/>
    <w:unhideWhenUsed/>
    <w:rsid w:val="00AC1417"/>
  </w:style>
  <w:style w:type="table" w:customStyle="1" w:styleId="TableGrid2">
    <w:name w:val="Table Grid2"/>
    <w:basedOn w:val="TableNormal"/>
    <w:next w:val="TableGrid"/>
    <w:uiPriority w:val="39"/>
    <w:rsid w:val="00AC1417"/>
    <w:pPr>
      <w:spacing w:after="0" w:line="240" w:lineRule="auto"/>
    </w:pPr>
    <w:rPr>
      <w:sz w:val="24"/>
      <w:szCs w:val="24"/>
    </w:rPr>
    <w:tblPr/>
  </w:style>
  <w:style w:type="numbering" w:customStyle="1" w:styleId="NoList3">
    <w:name w:val="No List3"/>
    <w:next w:val="NoList"/>
    <w:uiPriority w:val="99"/>
    <w:semiHidden/>
    <w:unhideWhenUsed/>
    <w:rsid w:val="00AC1417"/>
  </w:style>
  <w:style w:type="numbering" w:customStyle="1" w:styleId="NoList13">
    <w:name w:val="No List13"/>
    <w:next w:val="NoList"/>
    <w:uiPriority w:val="99"/>
    <w:semiHidden/>
    <w:unhideWhenUsed/>
    <w:rsid w:val="00AC1417"/>
  </w:style>
  <w:style w:type="paragraph" w:styleId="NoSpacing">
    <w:name w:val="No Spacing"/>
    <w:uiPriority w:val="1"/>
    <w:qFormat/>
    <w:rsid w:val="00AC1417"/>
    <w:pPr>
      <w:spacing w:after="0" w:line="240" w:lineRule="auto"/>
    </w:pPr>
  </w:style>
  <w:style w:type="paragraph" w:styleId="TOCHeading">
    <w:name w:val="TOC Heading"/>
    <w:basedOn w:val="Heading1"/>
    <w:next w:val="Normal"/>
    <w:uiPriority w:val="39"/>
    <w:unhideWhenUsed/>
    <w:qFormat/>
    <w:rsid w:val="00AC1417"/>
    <w:pPr>
      <w:spacing w:before="240"/>
      <w:outlineLvl w:val="9"/>
    </w:pPr>
    <w:rPr>
      <w:sz w:val="32"/>
      <w:szCs w:val="32"/>
    </w:rPr>
  </w:style>
  <w:style w:type="character" w:styleId="Mention">
    <w:name w:val="Mention"/>
    <w:basedOn w:val="DefaultParagraphFont"/>
    <w:uiPriority w:val="99"/>
    <w:unhideWhenUsed/>
    <w:rsid w:val="00AC1417"/>
    <w:rPr>
      <w:color w:val="2B579A"/>
      <w:shd w:val="clear" w:color="auto" w:fill="E1DFDD"/>
    </w:rPr>
  </w:style>
  <w:style w:type="character" w:styleId="UnresolvedMention">
    <w:name w:val="Unresolved Mention"/>
    <w:basedOn w:val="DefaultParagraphFont"/>
    <w:uiPriority w:val="99"/>
    <w:unhideWhenUsed/>
    <w:rsid w:val="00AC1417"/>
    <w:rPr>
      <w:color w:val="605E5C"/>
      <w:shd w:val="clear" w:color="auto" w:fill="E1DFDD"/>
    </w:rPr>
  </w:style>
  <w:style w:type="character" w:styleId="FollowedHyperlink">
    <w:name w:val="FollowedHyperlink"/>
    <w:basedOn w:val="DefaultParagraphFont"/>
    <w:uiPriority w:val="99"/>
    <w:semiHidden/>
    <w:unhideWhenUsed/>
    <w:rsid w:val="00AC1417"/>
    <w:rPr>
      <w:color w:val="96607D" w:themeColor="followedHyperlink"/>
      <w:u w:val="single"/>
    </w:rPr>
  </w:style>
  <w:style w:type="paragraph" w:styleId="Revision">
    <w:name w:val="Revision"/>
    <w:hidden/>
    <w:uiPriority w:val="99"/>
    <w:semiHidden/>
    <w:rsid w:val="000E5B49"/>
    <w:pPr>
      <w:spacing w:after="0" w:line="240" w:lineRule="auto"/>
    </w:pPr>
  </w:style>
  <w:style w:type="paragraph" w:styleId="BodyText">
    <w:name w:val="Body Text"/>
    <w:basedOn w:val="Normal"/>
    <w:link w:val="BodyTextChar"/>
    <w:uiPriority w:val="1"/>
    <w:qFormat/>
    <w:rsid w:val="007F112A"/>
    <w:pPr>
      <w:ind w:left="139"/>
    </w:pPr>
    <w:rPr>
      <w:rFonts w:ascii="Arial" w:eastAsia="Arial" w:hAnsi="Arial" w:cstheme="minorBidi"/>
      <w:sz w:val="22"/>
      <w:szCs w:val="22"/>
    </w:rPr>
  </w:style>
  <w:style w:type="character" w:customStyle="1" w:styleId="BodyTextChar">
    <w:name w:val="Body Text Char"/>
    <w:basedOn w:val="DefaultParagraphFont"/>
    <w:link w:val="BodyText"/>
    <w:uiPriority w:val="1"/>
    <w:rsid w:val="007F112A"/>
    <w:rPr>
      <w:rFonts w:ascii="Arial" w:eastAsia="Arial" w:hAnsi="Arial"/>
      <w:kern w:val="0"/>
      <w14:ligatures w14:val="none"/>
    </w:rPr>
  </w:style>
  <w:style w:type="character" w:customStyle="1" w:styleId="CommentTextChar1">
    <w:name w:val="Comment Text Char1"/>
    <w:basedOn w:val="DefaultParagraphFont"/>
    <w:uiPriority w:val="99"/>
    <w:rsid w:val="007F112A"/>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1144A"/>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B1144A"/>
    <w:rPr>
      <w:sz w:val="20"/>
      <w:szCs w:val="20"/>
    </w:rPr>
  </w:style>
  <w:style w:type="character" w:styleId="FootnoteReference">
    <w:name w:val="footnote reference"/>
    <w:basedOn w:val="DefaultParagraphFont"/>
    <w:uiPriority w:val="99"/>
    <w:semiHidden/>
    <w:unhideWhenUsed/>
    <w:rsid w:val="00B1144A"/>
    <w:rPr>
      <w:vertAlign w:val="superscript"/>
    </w:rPr>
  </w:style>
  <w:style w:type="paragraph" w:customStyle="1" w:styleId="footnotedescription">
    <w:name w:val="footnote description"/>
    <w:next w:val="Normal"/>
    <w:link w:val="footnotedescriptionChar"/>
    <w:hidden/>
    <w:rsid w:val="009F434D"/>
    <w:pPr>
      <w:spacing w:after="15" w:line="264" w:lineRule="auto"/>
      <w:ind w:left="720" w:hanging="720"/>
    </w:pPr>
    <w:rPr>
      <w:rFonts w:ascii="Arial" w:eastAsia="Arial" w:hAnsi="Arial" w:cs="Arial"/>
      <w:color w:val="000000"/>
      <w:sz w:val="18"/>
      <w:szCs w:val="24"/>
    </w:rPr>
  </w:style>
  <w:style w:type="character" w:customStyle="1" w:styleId="footnotedescriptionChar">
    <w:name w:val="footnote description Char"/>
    <w:link w:val="footnotedescription"/>
    <w:rsid w:val="009F434D"/>
    <w:rPr>
      <w:rFonts w:ascii="Arial" w:eastAsia="Arial" w:hAnsi="Arial" w:cs="Arial"/>
      <w:color w:val="000000"/>
      <w:sz w:val="18"/>
      <w:szCs w:val="24"/>
    </w:rPr>
  </w:style>
  <w:style w:type="character" w:customStyle="1" w:styleId="footnotemark">
    <w:name w:val="footnote mark"/>
    <w:hidden/>
    <w:rsid w:val="009F434D"/>
    <w:rPr>
      <w:rFonts w:ascii="Arial" w:eastAsia="Arial" w:hAnsi="Arial" w:cs="Arial"/>
      <w:color w:val="000000"/>
      <w:sz w:val="18"/>
      <w:vertAlign w:val="superscript"/>
    </w:rPr>
  </w:style>
  <w:style w:type="table" w:customStyle="1" w:styleId="TableGrid0">
    <w:name w:val="TableGrid"/>
    <w:rsid w:val="00416290"/>
    <w:pPr>
      <w:spacing w:after="0" w:line="240" w:lineRule="auto"/>
    </w:pPr>
    <w:rPr>
      <w:rFonts w:eastAsiaTheme="minorEastAsia"/>
      <w:sz w:val="24"/>
      <w:szCs w:val="24"/>
    </w:rPr>
    <w:tblPr>
      <w:tblCellMar>
        <w:top w:w="0" w:type="dxa"/>
        <w:left w:w="0" w:type="dxa"/>
        <w:bottom w:w="0" w:type="dxa"/>
        <w:right w:w="0" w:type="dxa"/>
      </w:tblCellMar>
    </w:tblPr>
  </w:style>
  <w:style w:type="paragraph" w:customStyle="1" w:styleId="xl65">
    <w:name w:val="xl65"/>
    <w:basedOn w:val="Normal"/>
    <w:rsid w:val="0037749F"/>
    <w:pPr>
      <w:shd w:val="clear" w:color="000000" w:fill="DAF2D0"/>
      <w:spacing w:before="100" w:beforeAutospacing="1" w:after="100" w:afterAutospacing="1"/>
      <w:jc w:val="center"/>
      <w:textAlignment w:val="center"/>
    </w:pPr>
    <w:rPr>
      <w:rFonts w:ascii="Arial" w:eastAsia="Times New Roman" w:hAnsi="Arial" w:cs="Arial"/>
      <w:sz w:val="20"/>
      <w:szCs w:val="20"/>
    </w:rPr>
  </w:style>
  <w:style w:type="paragraph" w:customStyle="1" w:styleId="xl66">
    <w:name w:val="xl66"/>
    <w:basedOn w:val="Normal"/>
    <w:rsid w:val="0037749F"/>
    <w:pPr>
      <w:shd w:val="clear" w:color="000000" w:fill="DAF2D0"/>
      <w:spacing w:before="100" w:beforeAutospacing="1" w:after="100" w:afterAutospacing="1"/>
      <w:jc w:val="center"/>
    </w:pPr>
    <w:rPr>
      <w:rFonts w:ascii="Arial" w:eastAsia="Times New Roman" w:hAnsi="Arial" w:cs="Arial"/>
      <w:sz w:val="20"/>
      <w:szCs w:val="20"/>
    </w:rPr>
  </w:style>
  <w:style w:type="paragraph" w:customStyle="1" w:styleId="xl68">
    <w:name w:val="xl68"/>
    <w:basedOn w:val="Normal"/>
    <w:rsid w:val="0037749F"/>
    <w:pPr>
      <w:shd w:val="clear" w:color="000000" w:fill="DAF2D0"/>
      <w:spacing w:before="100" w:beforeAutospacing="1" w:after="100" w:afterAutospacing="1"/>
      <w:jc w:val="center"/>
      <w:textAlignment w:val="center"/>
    </w:pPr>
    <w:rPr>
      <w:rFonts w:ascii="Arial" w:eastAsia="Times New Roman" w:hAnsi="Arial" w:cs="Arial"/>
      <w:sz w:val="20"/>
      <w:szCs w:val="20"/>
    </w:rPr>
  </w:style>
  <w:style w:type="paragraph" w:customStyle="1" w:styleId="xl69">
    <w:name w:val="xl69"/>
    <w:basedOn w:val="Normal"/>
    <w:rsid w:val="0037749F"/>
    <w:pPr>
      <w:shd w:val="clear" w:color="000000" w:fill="DAF2D0"/>
      <w:spacing w:before="100" w:beforeAutospacing="1" w:after="100" w:afterAutospacing="1"/>
      <w:jc w:val="center"/>
    </w:pPr>
    <w:rPr>
      <w:rFonts w:ascii="Arial" w:eastAsia="Times New Roman" w:hAnsi="Arial" w:cs="Arial"/>
      <w:sz w:val="20"/>
      <w:szCs w:val="20"/>
    </w:rPr>
  </w:style>
  <w:style w:type="paragraph" w:customStyle="1" w:styleId="Footer1">
    <w:name w:val="Footer1"/>
    <w:basedOn w:val="Normal"/>
    <w:next w:val="Footer"/>
    <w:uiPriority w:val="99"/>
    <w:unhideWhenUsed/>
    <w:rsid w:val="00892475"/>
    <w:pPr>
      <w:tabs>
        <w:tab w:val="center" w:pos="4680"/>
        <w:tab w:val="right" w:pos="9360"/>
      </w:tabs>
    </w:pPr>
    <w:rPr>
      <w:rFonts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yperlink" Target="https://www.nrc.gov/reading-rm/basic-ref/glossary/performance-based-regulation.html" TargetMode="External" /><Relationship Id="rId18" Type="http://schemas.openxmlformats.org/officeDocument/2006/relationships/hyperlink" Target="https://www.ecfr.gov/"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DJXZ7D336C7E-259460999-5366</_dlc_DocId>
    <_dlc_DocIdPersistId xmlns="b3a34a53-9a19-47a4-8acc-4e423288e9ad" xsi:nil="true"/>
    <_dlc_DocIdUrl xmlns="b3a34a53-9a19-47a4-8acc-4e423288e9ad">
      <Url>https://usnrc.sharepoint.com/teams/OCIO-Information-Collections-Site/_layouts/15/DocIdRedir.aspx?ID=DJXZ7D336C7E-259460999-5366</Url>
      <Description>DJXZ7D336C7E-259460999-5366</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E9AC6-6A89-4D9D-B40D-F9812090BA26}">
  <ds:schemaRefs>
    <ds:schemaRef ds:uri="http://schemas.microsoft.com/sharepoint/events"/>
  </ds:schemaRefs>
</ds:datastoreItem>
</file>

<file path=customXml/itemProps2.xml><?xml version="1.0" encoding="utf-8"?>
<ds:datastoreItem xmlns:ds="http://schemas.openxmlformats.org/officeDocument/2006/customXml" ds:itemID="{8F58FBA7-4D5E-4C10-8B12-420AA16F7188}">
  <ds:schemaRefs>
    <ds:schemaRef ds:uri="http://schemas.openxmlformats.org/officeDocument/2006/bibliography"/>
  </ds:schemaRefs>
</ds:datastoreItem>
</file>

<file path=customXml/itemProps3.xml><?xml version="1.0" encoding="utf-8"?>
<ds:datastoreItem xmlns:ds="http://schemas.openxmlformats.org/officeDocument/2006/customXml" ds:itemID="{E790C29C-91CB-4924-BCA3-2B474CABB1E7}">
  <ds:schemaRefs>
    <ds:schemaRef ds:uri="http://schemas.microsoft.com/sharepoint/v3/contenttype/forms"/>
  </ds:schemaRefs>
</ds:datastoreItem>
</file>

<file path=customXml/itemProps4.xml><?xml version="1.0" encoding="utf-8"?>
<ds:datastoreItem xmlns:ds="http://schemas.openxmlformats.org/officeDocument/2006/customXml" ds:itemID="{A1265F46-A874-4B1B-BEF6-6E5EC8C53E1E}">
  <ds:schemaRefs>
    <ds:schemaRef ds:uri="http://schemas.microsoft.com/office/2006/metadata/properties"/>
    <ds:schemaRef ds:uri="http://schemas.microsoft.com/office/infopath/2007/PartnerControls"/>
    <ds:schemaRef ds:uri="c2549668-3175-44bb-ba4d-73dfdb8be4d2"/>
    <ds:schemaRef ds:uri="c9b6adfd-9c5d-4148-937b-682eaa5895dd"/>
  </ds:schemaRefs>
</ds:datastoreItem>
</file>

<file path=customXml/itemProps5.xml><?xml version="1.0" encoding="utf-8"?>
<ds:datastoreItem xmlns:ds="http://schemas.openxmlformats.org/officeDocument/2006/customXml" ds:itemID="{0ED8BC7C-B2AD-4EDD-AC55-FE2AAE5F5007}">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26</TotalTime>
  <Pages>252</Pages>
  <Words>124586</Words>
  <Characters>692699</Characters>
  <Application>Microsoft Office Word</Application>
  <DocSecurity>0</DocSecurity>
  <Lines>11740</Lines>
  <Paragraphs>3801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Fields</dc:creator>
  <cp:lastModifiedBy>Nicole Fields</cp:lastModifiedBy>
  <cp:revision>12</cp:revision>
  <cp:lastPrinted>2026-03-05T21:37:00Z</cp:lastPrinted>
  <dcterms:created xsi:type="dcterms:W3CDTF">2026-03-18T22:54:00Z</dcterms:created>
  <dcterms:modified xsi:type="dcterms:W3CDTF">2026-03-23T15:28:00Z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dbfee765-2ecf-43c1-84e8-ca1e6d5e3cc9</vt:lpwstr>
  </property>
</Properties>
</file>