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1DED" w14:paraId="7BD9F649" w14:textId="6E2124DF">
      <w:pPr>
        <w:spacing w:before="80"/>
        <w:ind w:left="4567" w:right="2613" w:hanging="1534"/>
      </w:pPr>
      <w:r>
        <w:t>FINAL</w:t>
      </w:r>
      <w:r w:rsidR="006A11E4">
        <w:rPr>
          <w:spacing w:val="-16"/>
        </w:rPr>
        <w:t xml:space="preserve"> </w:t>
      </w:r>
      <w:r w:rsidR="006A11E4">
        <w:t>SUPPORTING</w:t>
      </w:r>
      <w:r w:rsidR="006A11E4">
        <w:rPr>
          <w:spacing w:val="-15"/>
        </w:rPr>
        <w:t xml:space="preserve"> </w:t>
      </w:r>
      <w:r w:rsidR="006A11E4">
        <w:t xml:space="preserve">STATEMENT </w:t>
      </w:r>
      <w:r w:rsidR="006A11E4">
        <w:rPr>
          <w:spacing w:val="-4"/>
        </w:rPr>
        <w:t>FOR</w:t>
      </w:r>
    </w:p>
    <w:p w:rsidR="00161DED" w14:paraId="73CA4A00" w14:textId="77777777">
      <w:pPr>
        <w:ind w:left="1814" w:right="916" w:firstLine="105"/>
      </w:pPr>
      <w:r>
        <w:t>U.S. NUCLEAR REGULATORY COMMISSION FORM 327 "SPECIAL</w:t>
      </w:r>
      <w:r>
        <w:rPr>
          <w:spacing w:val="-8"/>
        </w:rPr>
        <w:t xml:space="preserve"> </w:t>
      </w:r>
      <w:r>
        <w:t>NUCLEAR</w:t>
      </w:r>
      <w:r>
        <w:rPr>
          <w:spacing w:val="-8"/>
        </w:rPr>
        <w:t xml:space="preserve"> </w:t>
      </w:r>
      <w:r>
        <w:t>MATERIAL</w:t>
      </w:r>
      <w:r>
        <w:rPr>
          <w:spacing w:val="-8"/>
        </w:rPr>
        <w:t xml:space="preserve"> </w:t>
      </w:r>
      <w:r>
        <w:t>AND</w:t>
      </w:r>
      <w:r>
        <w:rPr>
          <w:spacing w:val="-8"/>
        </w:rPr>
        <w:t xml:space="preserve"> </w:t>
      </w:r>
      <w:r>
        <w:t>SOURCE</w:t>
      </w:r>
      <w:r>
        <w:rPr>
          <w:spacing w:val="-8"/>
        </w:rPr>
        <w:t xml:space="preserve"> </w:t>
      </w:r>
      <w:r>
        <w:t>MATERIAL</w:t>
      </w:r>
    </w:p>
    <w:p w:rsidR="00161DED" w14:paraId="3285C907" w14:textId="77777777">
      <w:pPr>
        <w:ind w:left="2276" w:right="2255"/>
        <w:jc w:val="center"/>
      </w:pPr>
      <w:r>
        <w:t>PHYSICAL</w:t>
      </w:r>
      <w:r>
        <w:rPr>
          <w:spacing w:val="-14"/>
        </w:rPr>
        <w:t xml:space="preserve"> </w:t>
      </w:r>
      <w:r>
        <w:t>INVENTORY</w:t>
      </w:r>
      <w:r>
        <w:rPr>
          <w:spacing w:val="-12"/>
        </w:rPr>
        <w:t xml:space="preserve"> </w:t>
      </w:r>
      <w:r>
        <w:t>SUMMARY</w:t>
      </w:r>
      <w:r>
        <w:rPr>
          <w:spacing w:val="-12"/>
        </w:rPr>
        <w:t xml:space="preserve"> </w:t>
      </w:r>
      <w:r>
        <w:t xml:space="preserve">REPORT" </w:t>
      </w:r>
      <w:r>
        <w:rPr>
          <w:spacing w:val="-4"/>
        </w:rPr>
        <w:t>AND</w:t>
      </w:r>
    </w:p>
    <w:p w:rsidR="00161DED" w14:paraId="517DE217" w14:textId="77777777">
      <w:pPr>
        <w:ind w:left="2276" w:right="2258"/>
        <w:jc w:val="center"/>
      </w:pPr>
      <w:r>
        <w:rPr>
          <w:spacing w:val="-2"/>
        </w:rPr>
        <w:t>NUREG/BR-</w:t>
      </w:r>
      <w:r>
        <w:rPr>
          <w:spacing w:val="-4"/>
        </w:rPr>
        <w:t>0096</w:t>
      </w:r>
    </w:p>
    <w:p w:rsidR="00161DED" w14:paraId="6557704F" w14:textId="77777777">
      <w:pPr>
        <w:ind w:left="1537" w:right="1516"/>
        <w:jc w:val="center"/>
      </w:pPr>
      <w:r>
        <w:t>"INSTRUCTIONS</w:t>
      </w:r>
      <w:r>
        <w:rPr>
          <w:spacing w:val="-11"/>
        </w:rPr>
        <w:t xml:space="preserve"> </w:t>
      </w:r>
      <w:r>
        <w:t>AND</w:t>
      </w:r>
      <w:r>
        <w:rPr>
          <w:spacing w:val="-9"/>
        </w:rPr>
        <w:t xml:space="preserve"> </w:t>
      </w:r>
      <w:r>
        <w:t>GUIDANCE</w:t>
      </w:r>
      <w:r>
        <w:rPr>
          <w:spacing w:val="-9"/>
        </w:rPr>
        <w:t xml:space="preserve"> </w:t>
      </w:r>
      <w:r>
        <w:t>FOR</w:t>
      </w:r>
      <w:r>
        <w:rPr>
          <w:spacing w:val="-11"/>
        </w:rPr>
        <w:t xml:space="preserve"> </w:t>
      </w:r>
      <w:r>
        <w:t>COMPLETING PHYSICAL INVENTORY SUMMARY REPORTS"</w:t>
      </w:r>
    </w:p>
    <w:p w:rsidR="00161DED" w14:paraId="667C6C60" w14:textId="77777777">
      <w:pPr>
        <w:pStyle w:val="BodyText"/>
        <w:spacing w:line="252" w:lineRule="exact"/>
        <w:ind w:left="2276" w:right="2258"/>
        <w:jc w:val="center"/>
      </w:pPr>
      <w:r>
        <w:rPr>
          <w:spacing w:val="-2"/>
        </w:rPr>
        <w:t>(3150-0139)</w:t>
      </w:r>
    </w:p>
    <w:p w:rsidR="00161DED" w14:paraId="4E568B5F" w14:textId="77777777">
      <w:pPr>
        <w:ind w:left="4163" w:right="4143" w:hanging="1"/>
        <w:jc w:val="center"/>
      </w:pPr>
      <w:r>
        <w:rPr>
          <w:spacing w:val="-4"/>
        </w:rPr>
        <w:t xml:space="preserve">--- </w:t>
      </w:r>
      <w:r>
        <w:rPr>
          <w:spacing w:val="-2"/>
        </w:rPr>
        <w:t>EXTENSION</w:t>
      </w:r>
    </w:p>
    <w:p w:rsidR="00161DED" w14:paraId="692D95F3" w14:textId="77777777">
      <w:pPr>
        <w:pStyle w:val="BodyText"/>
      </w:pPr>
    </w:p>
    <w:p w:rsidR="00161DED" w14:paraId="14DE6E56" w14:textId="77777777">
      <w:pPr>
        <w:pStyle w:val="BodyText"/>
      </w:pPr>
    </w:p>
    <w:p w:rsidR="00161DED" w14:paraId="343B91AA" w14:textId="77777777">
      <w:pPr>
        <w:pStyle w:val="BodyText"/>
      </w:pPr>
    </w:p>
    <w:p w:rsidR="00161DED" w14:paraId="6C4FF7FA" w14:textId="77777777">
      <w:pPr>
        <w:pStyle w:val="BodyText"/>
        <w:ind w:left="119"/>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161DED" w14:paraId="52E92E20" w14:textId="77777777">
      <w:pPr>
        <w:pStyle w:val="BodyText"/>
      </w:pPr>
    </w:p>
    <w:p w:rsidR="00161DED" w14:paraId="569B68A6" w14:textId="77777777">
      <w:pPr>
        <w:pStyle w:val="BodyText"/>
        <w:spacing w:before="1"/>
        <w:ind w:left="120" w:right="101"/>
      </w:pPr>
      <w:r>
        <w:t>The U.S. Nuclear Regulatory Commission (NRC) requires facilities to conduct physical inventories of Special Nuclear Material (SNM) on a periodic basis. The NRC Form 327 is used by</w:t>
      </w:r>
      <w:r>
        <w:rPr>
          <w:spacing w:val="-3"/>
        </w:rPr>
        <w:t xml:space="preserve"> </w:t>
      </w:r>
      <w:r>
        <w:t>certain</w:t>
      </w:r>
      <w:r>
        <w:rPr>
          <w:spacing w:val="-3"/>
        </w:rPr>
        <w:t xml:space="preserve"> </w:t>
      </w:r>
      <w:r>
        <w:t>fuel</w:t>
      </w:r>
      <w:r>
        <w:rPr>
          <w:spacing w:val="-3"/>
        </w:rPr>
        <w:t xml:space="preserve"> </w:t>
      </w:r>
      <w:r>
        <w:t>facility</w:t>
      </w:r>
      <w:r>
        <w:rPr>
          <w:spacing w:val="-3"/>
        </w:rPr>
        <w:t xml:space="preserve"> </w:t>
      </w:r>
      <w:r>
        <w:t>licensees</w:t>
      </w:r>
      <w:r>
        <w:rPr>
          <w:spacing w:val="-3"/>
        </w:rPr>
        <w:t xml:space="preserve"> </w:t>
      </w:r>
      <w:r>
        <w:t>to</w:t>
      </w:r>
      <w:r>
        <w:rPr>
          <w:spacing w:val="-3"/>
        </w:rPr>
        <w:t xml:space="preserve"> </w:t>
      </w:r>
      <w:r>
        <w:t>report</w:t>
      </w:r>
      <w:r>
        <w:rPr>
          <w:spacing w:val="-3"/>
        </w:rPr>
        <w:t xml:space="preserve"> </w:t>
      </w:r>
      <w:r>
        <w:t>the</w:t>
      </w:r>
      <w:r>
        <w:rPr>
          <w:spacing w:val="-3"/>
        </w:rPr>
        <w:t xml:space="preserve"> </w:t>
      </w:r>
      <w:r>
        <w:t>physical</w:t>
      </w:r>
      <w:r>
        <w:rPr>
          <w:spacing w:val="-4"/>
        </w:rPr>
        <w:t xml:space="preserve"> </w:t>
      </w:r>
      <w:r>
        <w:t>inventories</w:t>
      </w:r>
      <w:r>
        <w:rPr>
          <w:spacing w:val="-3"/>
        </w:rPr>
        <w:t xml:space="preserve"> </w:t>
      </w:r>
      <w:r>
        <w:t>of</w:t>
      </w:r>
      <w:r>
        <w:rPr>
          <w:spacing w:val="-3"/>
        </w:rPr>
        <w:t xml:space="preserve"> </w:t>
      </w:r>
      <w:r>
        <w:t>the</w:t>
      </w:r>
      <w:r>
        <w:rPr>
          <w:spacing w:val="-3"/>
        </w:rPr>
        <w:t xml:space="preserve"> </w:t>
      </w:r>
      <w:r>
        <w:t>SNM</w:t>
      </w:r>
      <w:r>
        <w:rPr>
          <w:spacing w:val="-3"/>
        </w:rPr>
        <w:t xml:space="preserve"> </w:t>
      </w:r>
      <w:r>
        <w:t>in</w:t>
      </w:r>
      <w:r>
        <w:rPr>
          <w:spacing w:val="-3"/>
        </w:rPr>
        <w:t xml:space="preserve"> </w:t>
      </w:r>
      <w:r>
        <w:t>their</w:t>
      </w:r>
      <w:r>
        <w:rPr>
          <w:spacing w:val="-3"/>
        </w:rPr>
        <w:t xml:space="preserve"> </w:t>
      </w:r>
      <w:r>
        <w:t>possession. The data is used by the NRC to assess licensee material control and accounting programs and to confirm the absence of (or detect the occurrence of) SNM theft or diversion.</w:t>
      </w:r>
    </w:p>
    <w:p w:rsidR="00161DED" w14:paraId="230A9F25" w14:textId="77777777">
      <w:pPr>
        <w:pStyle w:val="BodyText"/>
      </w:pPr>
    </w:p>
    <w:p w:rsidR="00161DED" w14:paraId="69880510" w14:textId="77777777">
      <w:pPr>
        <w:pStyle w:val="ListParagraph"/>
        <w:numPr>
          <w:ilvl w:val="0"/>
          <w:numId w:val="2"/>
        </w:numPr>
        <w:tabs>
          <w:tab w:val="left" w:pos="840"/>
        </w:tabs>
        <w:ind w:hanging="720"/>
      </w:pPr>
      <w:r>
        <w:rPr>
          <w:spacing w:val="-2"/>
          <w:u w:val="single"/>
        </w:rPr>
        <w:t>JUSTIFICATION</w:t>
      </w:r>
    </w:p>
    <w:p w:rsidR="00161DED" w14:paraId="2237209D" w14:textId="77777777">
      <w:pPr>
        <w:pStyle w:val="ListParagraph"/>
        <w:numPr>
          <w:ilvl w:val="1"/>
          <w:numId w:val="2"/>
        </w:numPr>
        <w:tabs>
          <w:tab w:val="left" w:pos="1560"/>
        </w:tabs>
        <w:spacing w:before="252"/>
        <w:ind w:hanging="720"/>
      </w:pPr>
      <w:r>
        <w:rPr>
          <w:u w:val="single"/>
        </w:rPr>
        <w:t>Need</w:t>
      </w:r>
      <w:r>
        <w:rPr>
          <w:spacing w:val="-5"/>
          <w:u w:val="single"/>
        </w:rPr>
        <w:t xml:space="preserve"> </w:t>
      </w:r>
      <w:r>
        <w:rPr>
          <w:u w:val="single"/>
        </w:rPr>
        <w:t>for</w:t>
      </w:r>
      <w:r>
        <w:rPr>
          <w:spacing w:val="-4"/>
          <w:u w:val="single"/>
        </w:rPr>
        <w:t xml:space="preserve"> </w:t>
      </w:r>
      <w:r>
        <w:rPr>
          <w:u w:val="single"/>
        </w:rPr>
        <w:t>and</w:t>
      </w:r>
      <w:r>
        <w:rPr>
          <w:spacing w:val="-5"/>
          <w:u w:val="single"/>
        </w:rPr>
        <w:t xml:space="preserve"> </w:t>
      </w:r>
      <w:r>
        <w:rPr>
          <w:u w:val="single"/>
        </w:rPr>
        <w:t>Practical</w:t>
      </w:r>
      <w:r>
        <w:rPr>
          <w:spacing w:val="-5"/>
          <w:u w:val="single"/>
        </w:rPr>
        <w:t xml:space="preserve"> </w:t>
      </w:r>
      <w:r>
        <w:rPr>
          <w:u w:val="single"/>
        </w:rPr>
        <w:t>Utility</w:t>
      </w:r>
      <w:r>
        <w:rPr>
          <w:spacing w:val="-5"/>
          <w:u w:val="single"/>
        </w:rPr>
        <w:t xml:space="preserve"> </w:t>
      </w:r>
      <w:r>
        <w:rPr>
          <w:u w:val="single"/>
        </w:rPr>
        <w:t>of</w:t>
      </w:r>
      <w:r>
        <w:rPr>
          <w:spacing w:val="-4"/>
          <w:u w:val="single"/>
        </w:rPr>
        <w:t xml:space="preserve"> </w:t>
      </w:r>
      <w:r>
        <w:rPr>
          <w:u w:val="single"/>
        </w:rPr>
        <w:t>the</w:t>
      </w:r>
      <w:r>
        <w:rPr>
          <w:spacing w:val="-5"/>
          <w:u w:val="single"/>
        </w:rPr>
        <w:t xml:space="preserve"> </w:t>
      </w:r>
      <w:r>
        <w:rPr>
          <w:spacing w:val="-2"/>
          <w:u w:val="single"/>
        </w:rPr>
        <w:t>Information</w:t>
      </w:r>
    </w:p>
    <w:p w:rsidR="00161DED" w14:paraId="37EAECCB" w14:textId="77777777">
      <w:pPr>
        <w:pStyle w:val="BodyText"/>
      </w:pPr>
    </w:p>
    <w:p w:rsidR="00161DED" w14:paraId="4A8B05B5" w14:textId="77777777">
      <w:pPr>
        <w:pStyle w:val="BodyText"/>
        <w:ind w:left="1560" w:right="101" w:hanging="1"/>
      </w:pPr>
      <w:r>
        <w:t>Title</w:t>
      </w:r>
      <w:r>
        <w:rPr>
          <w:spacing w:val="-3"/>
        </w:rPr>
        <w:t xml:space="preserve"> </w:t>
      </w:r>
      <w:r>
        <w:t>10</w:t>
      </w:r>
      <w:r>
        <w:rPr>
          <w:spacing w:val="-3"/>
        </w:rPr>
        <w:t xml:space="preserve"> </w:t>
      </w:r>
      <w:r>
        <w:t>of</w:t>
      </w:r>
      <w:r>
        <w:rPr>
          <w:spacing w:val="-3"/>
        </w:rPr>
        <w:t xml:space="preserve"> </w:t>
      </w:r>
      <w:r>
        <w:rPr>
          <w:i/>
        </w:rPr>
        <w:t>Code</w:t>
      </w:r>
      <w:r>
        <w:rPr>
          <w:i/>
          <w:spacing w:val="-3"/>
        </w:rPr>
        <w:t xml:space="preserve"> </w:t>
      </w:r>
      <w:r>
        <w:rPr>
          <w:i/>
        </w:rPr>
        <w:t>of</w:t>
      </w:r>
      <w:r>
        <w:rPr>
          <w:i/>
          <w:spacing w:val="-3"/>
        </w:rPr>
        <w:t xml:space="preserve"> </w:t>
      </w:r>
      <w:r>
        <w:rPr>
          <w:i/>
        </w:rPr>
        <w:t>Federal</w:t>
      </w:r>
      <w:r>
        <w:rPr>
          <w:i/>
          <w:spacing w:val="-3"/>
        </w:rPr>
        <w:t xml:space="preserve"> </w:t>
      </w:r>
      <w:r>
        <w:rPr>
          <w:i/>
        </w:rPr>
        <w:t>Regulations</w:t>
      </w:r>
      <w:r>
        <w:rPr>
          <w:i/>
          <w:spacing w:val="-3"/>
        </w:rPr>
        <w:t xml:space="preserve"> </w:t>
      </w:r>
      <w:r>
        <w:t>(10</w:t>
      </w:r>
      <w:r>
        <w:rPr>
          <w:spacing w:val="-3"/>
        </w:rPr>
        <w:t xml:space="preserve"> </w:t>
      </w:r>
      <w:r>
        <w:t>CFR)</w:t>
      </w:r>
      <w:r>
        <w:rPr>
          <w:spacing w:val="-3"/>
        </w:rPr>
        <w:t xml:space="preserve"> </w:t>
      </w:r>
      <w:r>
        <w:t>74.17</w:t>
      </w:r>
      <w:r>
        <w:rPr>
          <w:spacing w:val="-3"/>
        </w:rPr>
        <w:t xml:space="preserve"> </w:t>
      </w:r>
      <w:r>
        <w:t>requires</w:t>
      </w:r>
      <w:r>
        <w:rPr>
          <w:spacing w:val="-3"/>
        </w:rPr>
        <w:t xml:space="preserve"> </w:t>
      </w:r>
      <w:r>
        <w:t>the</w:t>
      </w:r>
      <w:r>
        <w:rPr>
          <w:spacing w:val="-3"/>
        </w:rPr>
        <w:t xml:space="preserve"> </w:t>
      </w:r>
      <w:r>
        <w:t>reporting</w:t>
      </w:r>
      <w:r>
        <w:rPr>
          <w:spacing w:val="-3"/>
        </w:rPr>
        <w:t xml:space="preserve"> </w:t>
      </w:r>
      <w:r>
        <w:t>of physical inventory results on the NRC Form 327 each time that a physical inventory is conducted by any fuel facility authorized to possess and use more than one effective kilogram of SNM.</w:t>
      </w:r>
    </w:p>
    <w:p w:rsidR="00161DED" w14:paraId="5266C20D" w14:textId="77777777">
      <w:pPr>
        <w:pStyle w:val="BodyText"/>
      </w:pPr>
    </w:p>
    <w:p w:rsidR="00161DED" w14:paraId="4B2F49A2" w14:textId="77777777">
      <w:pPr>
        <w:pStyle w:val="BodyText"/>
        <w:ind w:left="1560" w:right="101"/>
      </w:pPr>
      <w:r>
        <w:t>The NRC</w:t>
      </w:r>
      <w:r>
        <w:t xml:space="preserve"> Form 327 requires that licensees submit information concerning inventory</w:t>
      </w:r>
      <w:r>
        <w:rPr>
          <w:spacing w:val="-3"/>
        </w:rPr>
        <w:t xml:space="preserve"> </w:t>
      </w:r>
      <w:r>
        <w:t>difference</w:t>
      </w:r>
      <w:r>
        <w:rPr>
          <w:spacing w:val="-3"/>
        </w:rPr>
        <w:t xml:space="preserve"> </w:t>
      </w:r>
      <w:r>
        <w:t>(ID),</w:t>
      </w:r>
      <w:r>
        <w:rPr>
          <w:spacing w:val="-3"/>
        </w:rPr>
        <w:t xml:space="preserve"> </w:t>
      </w:r>
      <w:r>
        <w:t>standard</w:t>
      </w:r>
      <w:r>
        <w:rPr>
          <w:spacing w:val="-3"/>
        </w:rPr>
        <w:t xml:space="preserve"> </w:t>
      </w:r>
      <w:r>
        <w:t>error</w:t>
      </w:r>
      <w:r>
        <w:rPr>
          <w:spacing w:val="-3"/>
        </w:rPr>
        <w:t xml:space="preserve"> </w:t>
      </w:r>
      <w:r>
        <w:t>of</w:t>
      </w:r>
      <w:r>
        <w:rPr>
          <w:spacing w:val="-3"/>
        </w:rPr>
        <w:t xml:space="preserve"> </w:t>
      </w:r>
      <w:r>
        <w:t>the</w:t>
      </w:r>
      <w:r>
        <w:rPr>
          <w:spacing w:val="-3"/>
        </w:rPr>
        <w:t xml:space="preserve"> </w:t>
      </w:r>
      <w:r>
        <w:t>ID</w:t>
      </w:r>
      <w:r>
        <w:rPr>
          <w:spacing w:val="-3"/>
        </w:rPr>
        <w:t xml:space="preserve"> </w:t>
      </w:r>
      <w:r>
        <w:t>(SEID),</w:t>
      </w:r>
      <w:r>
        <w:rPr>
          <w:spacing w:val="-3"/>
        </w:rPr>
        <w:t xml:space="preserve"> </w:t>
      </w:r>
      <w:r>
        <w:t>SEID</w:t>
      </w:r>
      <w:r>
        <w:rPr>
          <w:spacing w:val="-3"/>
        </w:rPr>
        <w:t xml:space="preserve"> </w:t>
      </w:r>
      <w:r>
        <w:t>limit,</w:t>
      </w:r>
      <w:r>
        <w:rPr>
          <w:spacing w:val="-3"/>
        </w:rPr>
        <w:t xml:space="preserve"> </w:t>
      </w:r>
      <w:r>
        <w:t>and</w:t>
      </w:r>
      <w:r>
        <w:rPr>
          <w:spacing w:val="-3"/>
        </w:rPr>
        <w:t xml:space="preserve"> </w:t>
      </w:r>
      <w:r>
        <w:t>ID</w:t>
      </w:r>
      <w:r>
        <w:rPr>
          <w:spacing w:val="-3"/>
        </w:rPr>
        <w:t xml:space="preserve"> </w:t>
      </w:r>
      <w:r>
        <w:t>limit. The information is needed to permit NRC to evaluate licensee performance and ability to provide accurate accounting for SNM and to confirm the absence of (or detect the occurrence of) SNM theft or diversion. The information provided by NRC Form 327 is used for:</w:t>
      </w:r>
    </w:p>
    <w:p w:rsidR="00161DED" w14:paraId="7028AEAE" w14:textId="77777777">
      <w:pPr>
        <w:pStyle w:val="BodyText"/>
        <w:spacing w:before="1"/>
      </w:pPr>
    </w:p>
    <w:p w:rsidR="00161DED" w14:paraId="63C23974" w14:textId="77777777">
      <w:pPr>
        <w:pStyle w:val="ListParagraph"/>
        <w:numPr>
          <w:ilvl w:val="2"/>
          <w:numId w:val="2"/>
        </w:numPr>
        <w:tabs>
          <w:tab w:val="left" w:pos="2280"/>
        </w:tabs>
        <w:ind w:hanging="720"/>
      </w:pPr>
      <w:r>
        <w:t>Determining</w:t>
      </w:r>
      <w:r>
        <w:rPr>
          <w:spacing w:val="-7"/>
        </w:rPr>
        <w:t xml:space="preserve"> </w:t>
      </w:r>
      <w:r>
        <w:t>whether</w:t>
      </w:r>
      <w:r>
        <w:rPr>
          <w:spacing w:val="-6"/>
        </w:rPr>
        <w:t xml:space="preserve"> </w:t>
      </w:r>
      <w:r>
        <w:t>SNM</w:t>
      </w:r>
      <w:r>
        <w:rPr>
          <w:spacing w:val="-6"/>
        </w:rPr>
        <w:t xml:space="preserve"> </w:t>
      </w:r>
      <w:r>
        <w:t>is</w:t>
      </w:r>
      <w:r>
        <w:rPr>
          <w:spacing w:val="-6"/>
        </w:rPr>
        <w:t xml:space="preserve"> </w:t>
      </w:r>
      <w:r>
        <w:t>lost,</w:t>
      </w:r>
      <w:r>
        <w:rPr>
          <w:spacing w:val="-7"/>
        </w:rPr>
        <w:t xml:space="preserve"> </w:t>
      </w:r>
      <w:r>
        <w:t>diverted,</w:t>
      </w:r>
      <w:r>
        <w:rPr>
          <w:spacing w:val="-6"/>
        </w:rPr>
        <w:t xml:space="preserve"> </w:t>
      </w:r>
      <w:r>
        <w:t>or</w:t>
      </w:r>
      <w:r>
        <w:rPr>
          <w:spacing w:val="-6"/>
        </w:rPr>
        <w:t xml:space="preserve"> </w:t>
      </w:r>
      <w:r>
        <w:rPr>
          <w:spacing w:val="-2"/>
        </w:rPr>
        <w:t>stolen.</w:t>
      </w:r>
    </w:p>
    <w:p w:rsidR="00161DED" w14:paraId="2D22F4E1" w14:textId="77777777">
      <w:pPr>
        <w:pStyle w:val="ListParagraph"/>
        <w:numPr>
          <w:ilvl w:val="2"/>
          <w:numId w:val="2"/>
        </w:numPr>
        <w:tabs>
          <w:tab w:val="left" w:pos="2280"/>
        </w:tabs>
        <w:spacing w:before="252"/>
        <w:ind w:right="1085" w:hanging="720"/>
      </w:pPr>
      <w:r>
        <w:t>Assessing</w:t>
      </w:r>
      <w:r>
        <w:rPr>
          <w:spacing w:val="-6"/>
        </w:rPr>
        <w:t xml:space="preserve"> </w:t>
      </w:r>
      <w:r>
        <w:t>the</w:t>
      </w:r>
      <w:r>
        <w:rPr>
          <w:spacing w:val="-5"/>
        </w:rPr>
        <w:t xml:space="preserve"> </w:t>
      </w:r>
      <w:r>
        <w:t>material</w:t>
      </w:r>
      <w:r>
        <w:rPr>
          <w:spacing w:val="-5"/>
        </w:rPr>
        <w:t xml:space="preserve"> </w:t>
      </w:r>
      <w:r>
        <w:t>control</w:t>
      </w:r>
      <w:r>
        <w:rPr>
          <w:spacing w:val="-5"/>
        </w:rPr>
        <w:t xml:space="preserve"> </w:t>
      </w:r>
      <w:r>
        <w:t>and</w:t>
      </w:r>
      <w:r>
        <w:rPr>
          <w:spacing w:val="-6"/>
        </w:rPr>
        <w:t xml:space="preserve"> </w:t>
      </w:r>
      <w:r>
        <w:t>accounting</w:t>
      </w:r>
      <w:r>
        <w:rPr>
          <w:spacing w:val="-6"/>
        </w:rPr>
        <w:t xml:space="preserve"> </w:t>
      </w:r>
      <w:r>
        <w:t>performance</w:t>
      </w:r>
      <w:r>
        <w:rPr>
          <w:spacing w:val="-5"/>
        </w:rPr>
        <w:t xml:space="preserve"> </w:t>
      </w:r>
      <w:r>
        <w:t>and compliance of SNM licensees; and</w:t>
      </w:r>
    </w:p>
    <w:p w:rsidR="00161DED" w14:paraId="31191822" w14:textId="77777777">
      <w:pPr>
        <w:pStyle w:val="BodyText"/>
      </w:pPr>
    </w:p>
    <w:p w:rsidR="00161DED" w14:paraId="2ABF9344" w14:textId="77777777">
      <w:pPr>
        <w:pStyle w:val="ListParagraph"/>
        <w:numPr>
          <w:ilvl w:val="2"/>
          <w:numId w:val="2"/>
        </w:numPr>
        <w:tabs>
          <w:tab w:val="left" w:pos="2279"/>
        </w:tabs>
        <w:spacing w:before="1"/>
        <w:ind w:left="2279" w:hanging="719"/>
      </w:pPr>
      <w:r>
        <w:t>Making</w:t>
      </w:r>
      <w:r>
        <w:rPr>
          <w:spacing w:val="-10"/>
        </w:rPr>
        <w:t xml:space="preserve"> </w:t>
      </w:r>
      <w:r>
        <w:t>safeguards</w:t>
      </w:r>
      <w:r>
        <w:rPr>
          <w:spacing w:val="-10"/>
        </w:rPr>
        <w:t xml:space="preserve"> </w:t>
      </w:r>
      <w:r>
        <w:t>regulatory</w:t>
      </w:r>
      <w:r>
        <w:rPr>
          <w:spacing w:val="-10"/>
        </w:rPr>
        <w:t xml:space="preserve"> </w:t>
      </w:r>
      <w:r>
        <w:rPr>
          <w:spacing w:val="-2"/>
        </w:rPr>
        <w:t>decisions.</w:t>
      </w:r>
    </w:p>
    <w:p w:rsidR="00161DED" w14:paraId="1281530D" w14:textId="77777777">
      <w:pPr>
        <w:pStyle w:val="BodyText"/>
        <w:spacing w:before="252"/>
        <w:ind w:left="1559" w:right="213"/>
      </w:pPr>
      <w:r>
        <w:t>NRC</w:t>
      </w:r>
      <w:r>
        <w:rPr>
          <w:spacing w:val="-6"/>
        </w:rPr>
        <w:t xml:space="preserve"> </w:t>
      </w:r>
      <w:r>
        <w:t>technical</w:t>
      </w:r>
      <w:r>
        <w:rPr>
          <w:spacing w:val="-6"/>
        </w:rPr>
        <w:t xml:space="preserve"> </w:t>
      </w:r>
      <w:r>
        <w:t>report</w:t>
      </w:r>
      <w:r>
        <w:rPr>
          <w:spacing w:val="-6"/>
        </w:rPr>
        <w:t xml:space="preserve"> </w:t>
      </w:r>
      <w:r>
        <w:t>designation</w:t>
      </w:r>
      <w:r>
        <w:rPr>
          <w:spacing w:val="-7"/>
        </w:rPr>
        <w:t xml:space="preserve"> </w:t>
      </w:r>
      <w:r>
        <w:t>brochure</w:t>
      </w:r>
      <w:r>
        <w:rPr>
          <w:spacing w:val="-7"/>
        </w:rPr>
        <w:t xml:space="preserve"> </w:t>
      </w:r>
      <w:r>
        <w:t>NUREG/BR-0096</w:t>
      </w:r>
      <w:r>
        <w:rPr>
          <w:spacing w:val="-6"/>
        </w:rPr>
        <w:t xml:space="preserve"> </w:t>
      </w:r>
      <w:r>
        <w:t>provides</w:t>
      </w:r>
      <w:r>
        <w:rPr>
          <w:spacing w:val="-6"/>
        </w:rPr>
        <w:t xml:space="preserve"> </w:t>
      </w:r>
      <w:r>
        <w:t xml:space="preserve">specific guidance and instructions for completing the form in accordance with the requirements of the </w:t>
      </w:r>
      <w:r>
        <w:t>particular regulation</w:t>
      </w:r>
      <w:r>
        <w:t xml:space="preserve"> a licensee is subject to.</w:t>
      </w:r>
    </w:p>
    <w:p w:rsidR="00161DED" w14:paraId="065BC7CF" w14:textId="77777777">
      <w:pPr>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280" w:left="1320" w:header="720" w:footer="720" w:gutter="0"/>
          <w:cols w:space="720"/>
        </w:sectPr>
      </w:pPr>
    </w:p>
    <w:p w:rsidR="00161DED" w14:paraId="0A0CF884" w14:textId="77777777">
      <w:pPr>
        <w:pStyle w:val="ListParagraph"/>
        <w:numPr>
          <w:ilvl w:val="1"/>
          <w:numId w:val="2"/>
        </w:numPr>
        <w:tabs>
          <w:tab w:val="left" w:pos="1559"/>
        </w:tabs>
        <w:spacing w:before="73"/>
        <w:ind w:left="1559" w:hanging="719"/>
      </w:pPr>
      <w:r>
        <w:rPr>
          <w:u w:val="single"/>
        </w:rPr>
        <w:t>Agency</w:t>
      </w:r>
      <w:r>
        <w:rPr>
          <w:spacing w:val="-5"/>
          <w:u w:val="single"/>
        </w:rPr>
        <w:t xml:space="preserve"> </w:t>
      </w:r>
      <w:r>
        <w:rPr>
          <w:u w:val="single"/>
        </w:rPr>
        <w:t>Use</w:t>
      </w:r>
      <w:r>
        <w:rPr>
          <w:spacing w:val="-5"/>
          <w:u w:val="single"/>
        </w:rPr>
        <w:t xml:space="preserve"> </w:t>
      </w:r>
      <w:r>
        <w:rPr>
          <w:u w:val="single"/>
        </w:rPr>
        <w:t>of</w:t>
      </w:r>
      <w:r>
        <w:rPr>
          <w:spacing w:val="-5"/>
          <w:u w:val="single"/>
        </w:rPr>
        <w:t xml:space="preserve"> </w:t>
      </w:r>
      <w:r>
        <w:rPr>
          <w:spacing w:val="-2"/>
          <w:u w:val="single"/>
        </w:rPr>
        <w:t>Information</w:t>
      </w:r>
    </w:p>
    <w:p w:rsidR="00161DED" w:rsidP="007551E9" w14:paraId="45DA86FF" w14:textId="1FDD7B78">
      <w:pPr>
        <w:pStyle w:val="BodyText"/>
        <w:spacing w:before="252"/>
        <w:ind w:left="1560" w:right="612"/>
      </w:pPr>
      <w:r>
        <w:t>The</w:t>
      </w:r>
      <w:r>
        <w:rPr>
          <w:spacing w:val="-4"/>
        </w:rPr>
        <w:t xml:space="preserve"> </w:t>
      </w:r>
      <w:r>
        <w:t>NRC</w:t>
      </w:r>
      <w:r>
        <w:rPr>
          <w:spacing w:val="-4"/>
        </w:rPr>
        <w:t xml:space="preserve"> </w:t>
      </w:r>
      <w:r>
        <w:t>uses</w:t>
      </w:r>
      <w:r>
        <w:rPr>
          <w:spacing w:val="-4"/>
        </w:rPr>
        <w:t xml:space="preserve"> </w:t>
      </w:r>
      <w:r>
        <w:t>the</w:t>
      </w:r>
      <w:r>
        <w:rPr>
          <w:spacing w:val="-4"/>
        </w:rPr>
        <w:t xml:space="preserve"> </w:t>
      </w:r>
      <w:r>
        <w:t>information</w:t>
      </w:r>
      <w:r>
        <w:rPr>
          <w:spacing w:val="-4"/>
        </w:rPr>
        <w:t xml:space="preserve"> </w:t>
      </w:r>
      <w:r>
        <w:t>to</w:t>
      </w:r>
      <w:r>
        <w:rPr>
          <w:spacing w:val="-4"/>
        </w:rPr>
        <w:t xml:space="preserve"> </w:t>
      </w:r>
      <w:r>
        <w:t>ensure</w:t>
      </w:r>
      <w:r>
        <w:rPr>
          <w:spacing w:val="-4"/>
        </w:rPr>
        <w:t xml:space="preserve"> </w:t>
      </w:r>
      <w:r>
        <w:t>that</w:t>
      </w:r>
      <w:r>
        <w:rPr>
          <w:spacing w:val="-4"/>
        </w:rPr>
        <w:t xml:space="preserve"> </w:t>
      </w:r>
      <w:r>
        <w:t>licensees</w:t>
      </w:r>
      <w:r>
        <w:rPr>
          <w:spacing w:val="-4"/>
        </w:rPr>
        <w:t xml:space="preserve"> </w:t>
      </w:r>
      <w:r>
        <w:t>are</w:t>
      </w:r>
      <w:r>
        <w:rPr>
          <w:spacing w:val="-4"/>
        </w:rPr>
        <w:t xml:space="preserve"> </w:t>
      </w:r>
      <w:r>
        <w:t>complying</w:t>
      </w:r>
      <w:r>
        <w:rPr>
          <w:spacing w:val="-4"/>
        </w:rPr>
        <w:t xml:space="preserve"> </w:t>
      </w:r>
      <w:r>
        <w:t xml:space="preserve">with 10 CFR 74.17 in a manner adequate to properly account for SNM. </w:t>
      </w:r>
      <w:r>
        <w:t>The</w:t>
      </w:r>
      <w:r w:rsidR="007551E9">
        <w:t xml:space="preserve"> </w:t>
      </w:r>
      <w:r>
        <w:t>information</w:t>
      </w:r>
      <w:r>
        <w:rPr>
          <w:spacing w:val="-4"/>
        </w:rPr>
        <w:t xml:space="preserve"> </w:t>
      </w:r>
      <w:r>
        <w:t>is</w:t>
      </w:r>
      <w:r>
        <w:rPr>
          <w:spacing w:val="-4"/>
        </w:rPr>
        <w:t xml:space="preserve"> </w:t>
      </w:r>
      <w:r>
        <w:t>also</w:t>
      </w:r>
      <w:r>
        <w:rPr>
          <w:spacing w:val="-4"/>
        </w:rPr>
        <w:t xml:space="preserve"> </w:t>
      </w:r>
      <w:r>
        <w:t>used</w:t>
      </w:r>
      <w:r>
        <w:rPr>
          <w:spacing w:val="-5"/>
        </w:rPr>
        <w:t xml:space="preserve"> </w:t>
      </w:r>
      <w:r>
        <w:t>by</w:t>
      </w:r>
      <w:r>
        <w:rPr>
          <w:spacing w:val="-4"/>
        </w:rPr>
        <w:t xml:space="preserve"> </w:t>
      </w:r>
      <w:r>
        <w:t>the</w:t>
      </w:r>
      <w:r>
        <w:rPr>
          <w:spacing w:val="-4"/>
        </w:rPr>
        <w:t xml:space="preserve"> </w:t>
      </w:r>
      <w:r>
        <w:t>NRC</w:t>
      </w:r>
      <w:r>
        <w:rPr>
          <w:spacing w:val="-4"/>
        </w:rPr>
        <w:t xml:space="preserve"> </w:t>
      </w:r>
      <w:r>
        <w:t>to</w:t>
      </w:r>
      <w:r>
        <w:rPr>
          <w:spacing w:val="-4"/>
        </w:rPr>
        <w:t xml:space="preserve"> </w:t>
      </w:r>
      <w:r>
        <w:t>evaluate</w:t>
      </w:r>
      <w:r>
        <w:rPr>
          <w:spacing w:val="-4"/>
        </w:rPr>
        <w:t xml:space="preserve"> </w:t>
      </w:r>
      <w:r>
        <w:t>licensees’</w:t>
      </w:r>
      <w:r>
        <w:rPr>
          <w:spacing w:val="-4"/>
        </w:rPr>
        <w:t xml:space="preserve"> </w:t>
      </w:r>
      <w:r>
        <w:t>operations</w:t>
      </w:r>
      <w:r>
        <w:rPr>
          <w:spacing w:val="-4"/>
        </w:rPr>
        <w:t xml:space="preserve"> </w:t>
      </w:r>
      <w:r>
        <w:t>to</w:t>
      </w:r>
      <w:r>
        <w:rPr>
          <w:spacing w:val="-4"/>
        </w:rPr>
        <w:t xml:space="preserve"> </w:t>
      </w:r>
      <w:r>
        <w:t>ensure that they are meeting the requirements of their licenses.</w:t>
      </w:r>
    </w:p>
    <w:p w:rsidR="00161DED" w14:paraId="6B79C7C4" w14:textId="77777777">
      <w:pPr>
        <w:pStyle w:val="ListParagraph"/>
        <w:numPr>
          <w:ilvl w:val="1"/>
          <w:numId w:val="2"/>
        </w:numPr>
        <w:tabs>
          <w:tab w:val="left" w:pos="1560"/>
        </w:tabs>
        <w:spacing w:before="252"/>
      </w:pPr>
      <w:r>
        <w:rPr>
          <w:u w:val="single"/>
        </w:rPr>
        <w:t>Reduction</w:t>
      </w:r>
      <w:r>
        <w:rPr>
          <w:spacing w:val="-8"/>
          <w:u w:val="single"/>
        </w:rPr>
        <w:t xml:space="preserve"> </w:t>
      </w:r>
      <w:r>
        <w:rPr>
          <w:u w:val="single"/>
        </w:rPr>
        <w:t>of</w:t>
      </w:r>
      <w:r>
        <w:rPr>
          <w:spacing w:val="-9"/>
          <w:u w:val="single"/>
        </w:rPr>
        <w:t xml:space="preserve"> </w:t>
      </w:r>
      <w:r>
        <w:rPr>
          <w:u w:val="single"/>
        </w:rPr>
        <w:t>Burden</w:t>
      </w:r>
      <w:r>
        <w:rPr>
          <w:spacing w:val="-8"/>
          <w:u w:val="single"/>
        </w:rPr>
        <w:t xml:space="preserve"> </w:t>
      </w:r>
      <w:r>
        <w:rPr>
          <w:u w:val="single"/>
        </w:rPr>
        <w:t>Through</w:t>
      </w:r>
      <w:r>
        <w:rPr>
          <w:spacing w:val="-8"/>
          <w:u w:val="single"/>
        </w:rPr>
        <w:t xml:space="preserve"> </w:t>
      </w:r>
      <w:r>
        <w:rPr>
          <w:u w:val="single"/>
        </w:rPr>
        <w:t>Information</w:t>
      </w:r>
      <w:r>
        <w:rPr>
          <w:spacing w:val="-8"/>
          <w:u w:val="single"/>
        </w:rPr>
        <w:t xml:space="preserve"> </w:t>
      </w:r>
      <w:r>
        <w:rPr>
          <w:spacing w:val="-2"/>
          <w:u w:val="single"/>
        </w:rPr>
        <w:t>Technology</w:t>
      </w:r>
    </w:p>
    <w:p w:rsidR="00161DED" w14:paraId="39F18FF5" w14:textId="77777777">
      <w:pPr>
        <w:pStyle w:val="BodyText"/>
      </w:pPr>
    </w:p>
    <w:p w:rsidR="00161DED" w14:paraId="032C7742" w14:textId="22577397">
      <w:pPr>
        <w:pStyle w:val="BodyText"/>
        <w:ind w:left="1560" w:right="101"/>
      </w:pPr>
      <w:r>
        <w:t xml:space="preserve">The NRC has issued </w:t>
      </w:r>
      <w:r>
        <w:rPr>
          <w:i/>
        </w:rPr>
        <w:t xml:space="preserve">Guidance for Electronic Submissions to the NRC </w:t>
      </w:r>
      <w:r>
        <w:t>which provides direction for the electronic transmission and submittal of documents to the NRC.</w:t>
      </w:r>
      <w:r>
        <w:rPr>
          <w:spacing w:val="40"/>
        </w:rPr>
        <w:t xml:space="preserve"> </w:t>
      </w:r>
      <w:r>
        <w:t>Electronic transmission and submittal of documents can be accomplished via the following avenues: the Electronic Information Exchange process,</w:t>
      </w:r>
      <w:r>
        <w:rPr>
          <w:spacing w:val="-4"/>
        </w:rPr>
        <w:t xml:space="preserve"> </w:t>
      </w:r>
      <w:r>
        <w:t>which</w:t>
      </w:r>
      <w:r>
        <w:rPr>
          <w:spacing w:val="-4"/>
        </w:rPr>
        <w:t xml:space="preserve"> </w:t>
      </w:r>
      <w:r>
        <w:t>is</w:t>
      </w:r>
      <w:r>
        <w:rPr>
          <w:spacing w:val="-4"/>
        </w:rPr>
        <w:t xml:space="preserve"> </w:t>
      </w:r>
      <w:r>
        <w:t>available</w:t>
      </w:r>
      <w:r>
        <w:rPr>
          <w:spacing w:val="-4"/>
        </w:rPr>
        <w:t xml:space="preserve"> </w:t>
      </w:r>
      <w:r>
        <w:t>from</w:t>
      </w:r>
      <w:r>
        <w:rPr>
          <w:spacing w:val="-4"/>
        </w:rPr>
        <w:t xml:space="preserve"> </w:t>
      </w:r>
      <w:r>
        <w:t>the</w:t>
      </w:r>
      <w:r>
        <w:rPr>
          <w:spacing w:val="-4"/>
        </w:rPr>
        <w:t xml:space="preserve"> </w:t>
      </w:r>
      <w:r>
        <w:t>NRC's</w:t>
      </w:r>
      <w:r>
        <w:rPr>
          <w:spacing w:val="-4"/>
        </w:rPr>
        <w:t xml:space="preserve"> </w:t>
      </w:r>
      <w:r>
        <w:t>“Electronic</w:t>
      </w:r>
      <w:r>
        <w:rPr>
          <w:spacing w:val="-4"/>
        </w:rPr>
        <w:t xml:space="preserve"> </w:t>
      </w:r>
      <w:r>
        <w:t>Submittals”</w:t>
      </w:r>
      <w:r>
        <w:rPr>
          <w:spacing w:val="-4"/>
        </w:rPr>
        <w:t xml:space="preserve"> </w:t>
      </w:r>
      <w:r>
        <w:t>Web</w:t>
      </w:r>
      <w:r>
        <w:rPr>
          <w:spacing w:val="-4"/>
        </w:rPr>
        <w:t xml:space="preserve"> </w:t>
      </w:r>
      <w:r>
        <w:t>page,</w:t>
      </w:r>
      <w:r>
        <w:rPr>
          <w:spacing w:val="-4"/>
        </w:rPr>
        <w:t xml:space="preserve"> </w:t>
      </w:r>
      <w:r>
        <w:t>by Optical Storage Media (e.g. CD-ROM, DVD), by facsimile or by e-mail.</w:t>
      </w:r>
      <w:r>
        <w:rPr>
          <w:spacing w:val="40"/>
        </w:rPr>
        <w:t xml:space="preserve"> </w:t>
      </w:r>
      <w:r>
        <w:t>It is estimated that approximately 8 percent of the responses are filed electronically.</w:t>
      </w:r>
    </w:p>
    <w:p w:rsidR="00161DED" w14:paraId="5BE7DCDE" w14:textId="77777777">
      <w:pPr>
        <w:pStyle w:val="BodyText"/>
      </w:pPr>
    </w:p>
    <w:p w:rsidR="00161DED" w14:paraId="69110BD6" w14:textId="77777777">
      <w:pPr>
        <w:pStyle w:val="ListParagraph"/>
        <w:numPr>
          <w:ilvl w:val="1"/>
          <w:numId w:val="2"/>
        </w:numPr>
        <w:tabs>
          <w:tab w:val="left" w:pos="1559"/>
        </w:tabs>
        <w:ind w:left="1559" w:hanging="719"/>
      </w:pPr>
      <w:r>
        <w:rPr>
          <w:u w:val="single"/>
        </w:rPr>
        <w:t>Effort</w:t>
      </w:r>
      <w:r>
        <w:rPr>
          <w:spacing w:val="-6"/>
          <w:u w:val="single"/>
        </w:rPr>
        <w:t xml:space="preserve"> </w:t>
      </w:r>
      <w:r>
        <w:rPr>
          <w:u w:val="single"/>
        </w:rPr>
        <w:t>to</w:t>
      </w:r>
      <w:r>
        <w:rPr>
          <w:spacing w:val="-6"/>
          <w:u w:val="single"/>
        </w:rPr>
        <w:t xml:space="preserve"> </w:t>
      </w:r>
      <w:r>
        <w:rPr>
          <w:u w:val="single"/>
        </w:rPr>
        <w:t>Identify</w:t>
      </w:r>
      <w:r>
        <w:rPr>
          <w:spacing w:val="-6"/>
          <w:u w:val="single"/>
        </w:rPr>
        <w:t xml:space="preserve"> </w:t>
      </w:r>
      <w:r>
        <w:rPr>
          <w:u w:val="single"/>
        </w:rPr>
        <w:t>Duplication</w:t>
      </w:r>
      <w:r>
        <w:rPr>
          <w:spacing w:val="-6"/>
          <w:u w:val="single"/>
        </w:rPr>
        <w:t xml:space="preserve"> </w:t>
      </w:r>
      <w:r>
        <w:rPr>
          <w:u w:val="single"/>
        </w:rPr>
        <w:t>and</w:t>
      </w:r>
      <w:r>
        <w:rPr>
          <w:spacing w:val="-5"/>
          <w:u w:val="single"/>
        </w:rPr>
        <w:t xml:space="preserve"> </w:t>
      </w:r>
      <w:r>
        <w:rPr>
          <w:u w:val="single"/>
        </w:rPr>
        <w:t>Use</w:t>
      </w:r>
      <w:r>
        <w:rPr>
          <w:spacing w:val="-6"/>
          <w:u w:val="single"/>
        </w:rPr>
        <w:t xml:space="preserve"> </w:t>
      </w:r>
      <w:r>
        <w:rPr>
          <w:u w:val="single"/>
        </w:rPr>
        <w:t>Similar</w:t>
      </w:r>
      <w:r>
        <w:rPr>
          <w:spacing w:val="-6"/>
          <w:u w:val="single"/>
        </w:rPr>
        <w:t xml:space="preserve"> </w:t>
      </w:r>
      <w:r>
        <w:rPr>
          <w:spacing w:val="-2"/>
          <w:u w:val="single"/>
        </w:rPr>
        <w:t>Information</w:t>
      </w:r>
    </w:p>
    <w:p w:rsidR="00161DED" w14:paraId="4E0003C2" w14:textId="77777777">
      <w:pPr>
        <w:pStyle w:val="BodyText"/>
      </w:pPr>
    </w:p>
    <w:p w:rsidR="00161DED" w14:paraId="719CFC58" w14:textId="77777777">
      <w:pPr>
        <w:pStyle w:val="BodyText"/>
        <w:ind w:left="1560" w:right="916"/>
      </w:pPr>
      <w:r>
        <w:t>No</w:t>
      </w:r>
      <w:r>
        <w:rPr>
          <w:spacing w:val="-4"/>
        </w:rPr>
        <w:t xml:space="preserve"> </w:t>
      </w:r>
      <w:r>
        <w:t>sources</w:t>
      </w:r>
      <w:r>
        <w:rPr>
          <w:spacing w:val="-5"/>
        </w:rPr>
        <w:t xml:space="preserve"> </w:t>
      </w:r>
      <w:r>
        <w:t>of</w:t>
      </w:r>
      <w:r>
        <w:rPr>
          <w:spacing w:val="-4"/>
        </w:rPr>
        <w:t xml:space="preserve"> </w:t>
      </w:r>
      <w:r>
        <w:t>similar</w:t>
      </w:r>
      <w:r>
        <w:rPr>
          <w:spacing w:val="-4"/>
        </w:rPr>
        <w:t xml:space="preserve"> </w:t>
      </w:r>
      <w:r>
        <w:t>information</w:t>
      </w:r>
      <w:r>
        <w:rPr>
          <w:spacing w:val="-4"/>
        </w:rPr>
        <w:t xml:space="preserve"> </w:t>
      </w:r>
      <w:r>
        <w:t>are</w:t>
      </w:r>
      <w:r>
        <w:rPr>
          <w:spacing w:val="-4"/>
        </w:rPr>
        <w:t xml:space="preserve"> </w:t>
      </w:r>
      <w:r>
        <w:t>available.</w:t>
      </w:r>
      <w:r>
        <w:rPr>
          <w:spacing w:val="-5"/>
        </w:rPr>
        <w:t xml:space="preserve"> </w:t>
      </w:r>
      <w:r>
        <w:t>There</w:t>
      </w:r>
      <w:r>
        <w:rPr>
          <w:spacing w:val="-4"/>
        </w:rPr>
        <w:t xml:space="preserve"> </w:t>
      </w:r>
      <w:r>
        <w:t>is</w:t>
      </w:r>
      <w:r>
        <w:rPr>
          <w:spacing w:val="-4"/>
        </w:rPr>
        <w:t xml:space="preserve"> </w:t>
      </w:r>
      <w:r>
        <w:t>no</w:t>
      </w:r>
      <w:r>
        <w:rPr>
          <w:spacing w:val="-5"/>
        </w:rPr>
        <w:t xml:space="preserve"> </w:t>
      </w:r>
      <w:r>
        <w:t>duplication</w:t>
      </w:r>
      <w:r>
        <w:rPr>
          <w:spacing w:val="-6"/>
        </w:rPr>
        <w:t xml:space="preserve"> </w:t>
      </w:r>
      <w:r>
        <w:t xml:space="preserve">of </w:t>
      </w:r>
      <w:r>
        <w:rPr>
          <w:spacing w:val="-2"/>
        </w:rPr>
        <w:t>requirements.</w:t>
      </w:r>
    </w:p>
    <w:p w:rsidR="00161DED" w14:paraId="2E89B820" w14:textId="77777777">
      <w:pPr>
        <w:pStyle w:val="BodyText"/>
        <w:spacing w:before="1"/>
      </w:pPr>
    </w:p>
    <w:p w:rsidR="00161DED" w14:paraId="74697CB6" w14:textId="77777777">
      <w:pPr>
        <w:pStyle w:val="ListParagraph"/>
        <w:numPr>
          <w:ilvl w:val="1"/>
          <w:numId w:val="2"/>
        </w:numPr>
        <w:tabs>
          <w:tab w:val="left" w:pos="1560"/>
        </w:tabs>
        <w:ind w:hanging="720"/>
      </w:pPr>
      <w:r>
        <w:rPr>
          <w:u w:val="single"/>
        </w:rPr>
        <w:t>Effort</w:t>
      </w:r>
      <w:r>
        <w:rPr>
          <w:spacing w:val="-7"/>
          <w:u w:val="single"/>
        </w:rPr>
        <w:t xml:space="preserve"> </w:t>
      </w:r>
      <w:r>
        <w:rPr>
          <w:u w:val="single"/>
        </w:rPr>
        <w:t>to</w:t>
      </w:r>
      <w:r>
        <w:rPr>
          <w:spacing w:val="-6"/>
          <w:u w:val="single"/>
        </w:rPr>
        <w:t xml:space="preserve"> </w:t>
      </w:r>
      <w:r>
        <w:rPr>
          <w:u w:val="single"/>
        </w:rPr>
        <w:t>Reduce</w:t>
      </w:r>
      <w:r>
        <w:rPr>
          <w:spacing w:val="-6"/>
          <w:u w:val="single"/>
        </w:rPr>
        <w:t xml:space="preserve"> </w:t>
      </w:r>
      <w:r>
        <w:rPr>
          <w:u w:val="single"/>
        </w:rPr>
        <w:t>Small</w:t>
      </w:r>
      <w:r>
        <w:rPr>
          <w:spacing w:val="-6"/>
          <w:u w:val="single"/>
        </w:rPr>
        <w:t xml:space="preserve"> </w:t>
      </w:r>
      <w:r>
        <w:rPr>
          <w:u w:val="single"/>
        </w:rPr>
        <w:t>Business</w:t>
      </w:r>
      <w:r>
        <w:rPr>
          <w:spacing w:val="-6"/>
          <w:u w:val="single"/>
        </w:rPr>
        <w:t xml:space="preserve"> </w:t>
      </w:r>
      <w:r>
        <w:rPr>
          <w:spacing w:val="-2"/>
          <w:u w:val="single"/>
        </w:rPr>
        <w:t>Burden</w:t>
      </w:r>
    </w:p>
    <w:p w:rsidR="00161DED" w14:paraId="0DE25133" w14:textId="77777777">
      <w:pPr>
        <w:pStyle w:val="BodyText"/>
        <w:spacing w:before="252"/>
        <w:ind w:left="1560" w:right="177"/>
      </w:pPr>
      <w:r>
        <w:t>The</w:t>
      </w:r>
      <w:r>
        <w:rPr>
          <w:spacing w:val="-4"/>
        </w:rPr>
        <w:t xml:space="preserve"> </w:t>
      </w:r>
      <w:r>
        <w:t>NRC</w:t>
      </w:r>
      <w:r>
        <w:rPr>
          <w:spacing w:val="-4"/>
        </w:rPr>
        <w:t xml:space="preserve"> </w:t>
      </w:r>
      <w:r>
        <w:t>has</w:t>
      </w:r>
      <w:r>
        <w:rPr>
          <w:spacing w:val="-4"/>
        </w:rPr>
        <w:t xml:space="preserve"> </w:t>
      </w:r>
      <w:r>
        <w:t>determined</w:t>
      </w:r>
      <w:r>
        <w:rPr>
          <w:spacing w:val="-4"/>
        </w:rPr>
        <w:t xml:space="preserve"> </w:t>
      </w:r>
      <w:r>
        <w:t>that</w:t>
      </w:r>
      <w:r>
        <w:rPr>
          <w:spacing w:val="-4"/>
        </w:rPr>
        <w:t xml:space="preserve"> </w:t>
      </w:r>
      <w:r>
        <w:t>the</w:t>
      </w:r>
      <w:r>
        <w:rPr>
          <w:spacing w:val="-4"/>
        </w:rPr>
        <w:t xml:space="preserve"> </w:t>
      </w:r>
      <w:r>
        <w:t>licensees</w:t>
      </w:r>
      <w:r>
        <w:rPr>
          <w:spacing w:val="-4"/>
        </w:rPr>
        <w:t xml:space="preserve"> </w:t>
      </w:r>
      <w:r>
        <w:t>required</w:t>
      </w:r>
      <w:r>
        <w:rPr>
          <w:spacing w:val="-4"/>
        </w:rPr>
        <w:t xml:space="preserve"> </w:t>
      </w:r>
      <w:r>
        <w:t>to</w:t>
      </w:r>
      <w:r>
        <w:rPr>
          <w:spacing w:val="-4"/>
        </w:rPr>
        <w:t xml:space="preserve"> </w:t>
      </w:r>
      <w:r>
        <w:t>submit</w:t>
      </w:r>
      <w:r>
        <w:rPr>
          <w:spacing w:val="-4"/>
        </w:rPr>
        <w:t xml:space="preserve"> </w:t>
      </w:r>
      <w:r>
        <w:t>NRC</w:t>
      </w:r>
      <w:r>
        <w:rPr>
          <w:spacing w:val="-4"/>
        </w:rPr>
        <w:t xml:space="preserve"> </w:t>
      </w:r>
      <w:r>
        <w:t>Form</w:t>
      </w:r>
      <w:r>
        <w:rPr>
          <w:spacing w:val="-4"/>
        </w:rPr>
        <w:t xml:space="preserve"> </w:t>
      </w:r>
      <w:r>
        <w:t>327 are not small entities as that term is defined in the Regulatory Flexibility Act.</w:t>
      </w:r>
    </w:p>
    <w:p w:rsidR="00161DED" w14:paraId="3E51C767" w14:textId="77777777">
      <w:pPr>
        <w:pStyle w:val="BodyText"/>
        <w:spacing w:before="1"/>
      </w:pPr>
    </w:p>
    <w:p w:rsidR="00161DED" w14:paraId="625B84E5" w14:textId="77777777">
      <w:pPr>
        <w:pStyle w:val="ListParagraph"/>
        <w:numPr>
          <w:ilvl w:val="1"/>
          <w:numId w:val="2"/>
        </w:numPr>
        <w:tabs>
          <w:tab w:val="left" w:pos="1560"/>
        </w:tabs>
        <w:ind w:right="497" w:hanging="720"/>
      </w:pPr>
      <w:r>
        <w:rPr>
          <w:u w:val="single"/>
        </w:rPr>
        <w:t>Consequences</w:t>
      </w:r>
      <w:r>
        <w:rPr>
          <w:spacing w:val="-4"/>
          <w:u w:val="single"/>
        </w:rPr>
        <w:t xml:space="preserve"> </w:t>
      </w:r>
      <w:r>
        <w:rPr>
          <w:u w:val="single"/>
        </w:rPr>
        <w:t>to</w:t>
      </w:r>
      <w:r>
        <w:rPr>
          <w:spacing w:val="-4"/>
          <w:u w:val="single"/>
        </w:rPr>
        <w:t xml:space="preserve"> </w:t>
      </w:r>
      <w:r>
        <w:rPr>
          <w:u w:val="single"/>
        </w:rPr>
        <w:t>Federal</w:t>
      </w:r>
      <w:r>
        <w:rPr>
          <w:spacing w:val="-4"/>
          <w:u w:val="single"/>
        </w:rPr>
        <w:t xml:space="preserve"> </w:t>
      </w:r>
      <w:r>
        <w:rPr>
          <w:u w:val="single"/>
        </w:rPr>
        <w:t>Programs</w:t>
      </w:r>
      <w:r>
        <w:rPr>
          <w:spacing w:val="-4"/>
          <w:u w:val="single"/>
        </w:rPr>
        <w:t xml:space="preserve"> </w:t>
      </w:r>
      <w:r>
        <w:rPr>
          <w:u w:val="single"/>
        </w:rPr>
        <w:t>or</w:t>
      </w:r>
      <w:r>
        <w:rPr>
          <w:spacing w:val="-4"/>
          <w:u w:val="single"/>
        </w:rPr>
        <w:t xml:space="preserve"> </w:t>
      </w:r>
      <w:r>
        <w:rPr>
          <w:u w:val="single"/>
        </w:rPr>
        <w:t>Policy</w:t>
      </w:r>
      <w:r>
        <w:rPr>
          <w:spacing w:val="-4"/>
          <w:u w:val="single"/>
        </w:rPr>
        <w:t xml:space="preserve"> </w:t>
      </w:r>
      <w:r>
        <w:rPr>
          <w:u w:val="single"/>
        </w:rPr>
        <w:t>Activities</w:t>
      </w:r>
      <w:r>
        <w:rPr>
          <w:spacing w:val="-4"/>
          <w:u w:val="single"/>
        </w:rPr>
        <w:t xml:space="preserve"> </w:t>
      </w:r>
      <w:r>
        <w:rPr>
          <w:u w:val="single"/>
        </w:rPr>
        <w:t>if</w:t>
      </w:r>
      <w:r>
        <w:rPr>
          <w:spacing w:val="-4"/>
          <w:u w:val="single"/>
        </w:rPr>
        <w:t xml:space="preserve"> </w:t>
      </w:r>
      <w:r>
        <w:rPr>
          <w:u w:val="single"/>
        </w:rPr>
        <w:t>the</w:t>
      </w:r>
      <w:r>
        <w:rPr>
          <w:spacing w:val="-6"/>
          <w:u w:val="single"/>
        </w:rPr>
        <w:t xml:space="preserve"> </w:t>
      </w:r>
      <w:r>
        <w:rPr>
          <w:u w:val="single"/>
        </w:rPr>
        <w:t>Collection</w:t>
      </w:r>
      <w:r>
        <w:rPr>
          <w:spacing w:val="-4"/>
          <w:u w:val="single"/>
        </w:rPr>
        <w:t xml:space="preserve"> </w:t>
      </w:r>
      <w:r>
        <w:rPr>
          <w:u w:val="single"/>
        </w:rPr>
        <w:t>is</w:t>
      </w:r>
      <w:r>
        <w:rPr>
          <w:spacing w:val="-4"/>
          <w:u w:val="single"/>
        </w:rPr>
        <w:t xml:space="preserve"> </w:t>
      </w:r>
      <w:r>
        <w:rPr>
          <w:u w:val="single"/>
        </w:rPr>
        <w:t>not</w:t>
      </w:r>
      <w:r>
        <w:t xml:space="preserve"> </w:t>
      </w:r>
      <w:r>
        <w:rPr>
          <w:u w:val="single"/>
        </w:rPr>
        <w:t>Conducted or is Conducted Less Frequently</w:t>
      </w:r>
    </w:p>
    <w:p w:rsidR="00161DED" w:rsidP="00DB681C" w14:paraId="450BE31C" w14:textId="070399F7">
      <w:pPr>
        <w:pStyle w:val="BodyText"/>
        <w:spacing w:before="252"/>
        <w:ind w:left="1560" w:right="213"/>
      </w:pPr>
      <w:r>
        <w:t>The</w:t>
      </w:r>
      <w:r>
        <w:rPr>
          <w:spacing w:val="-4"/>
        </w:rPr>
        <w:t xml:space="preserve"> </w:t>
      </w:r>
      <w:r>
        <w:t>reporting</w:t>
      </w:r>
      <w:r>
        <w:rPr>
          <w:spacing w:val="-4"/>
        </w:rPr>
        <w:t xml:space="preserve"> </w:t>
      </w:r>
      <w:r>
        <w:t>corresponds</w:t>
      </w:r>
      <w:r>
        <w:rPr>
          <w:spacing w:val="-4"/>
        </w:rPr>
        <w:t xml:space="preserve"> </w:t>
      </w:r>
      <w:r>
        <w:t>to</w:t>
      </w:r>
      <w:r>
        <w:rPr>
          <w:spacing w:val="-4"/>
        </w:rPr>
        <w:t xml:space="preserve"> </w:t>
      </w:r>
      <w:r>
        <w:t>the</w:t>
      </w:r>
      <w:r>
        <w:rPr>
          <w:spacing w:val="-4"/>
        </w:rPr>
        <w:t xml:space="preserve"> </w:t>
      </w:r>
      <w:r>
        <w:t>physical</w:t>
      </w:r>
      <w:r>
        <w:rPr>
          <w:spacing w:val="-4"/>
        </w:rPr>
        <w:t xml:space="preserve"> </w:t>
      </w:r>
      <w:r>
        <w:t>inventory</w:t>
      </w:r>
      <w:r>
        <w:rPr>
          <w:spacing w:val="-4"/>
        </w:rPr>
        <w:t xml:space="preserve"> </w:t>
      </w:r>
      <w:r>
        <w:t>frequencies</w:t>
      </w:r>
      <w:r>
        <w:rPr>
          <w:spacing w:val="-3"/>
        </w:rPr>
        <w:t xml:space="preserve"> </w:t>
      </w:r>
      <w:r>
        <w:t>required</w:t>
      </w:r>
      <w:r>
        <w:rPr>
          <w:spacing w:val="-5"/>
        </w:rPr>
        <w:t xml:space="preserve"> </w:t>
      </w:r>
      <w:r>
        <w:t>by</w:t>
      </w:r>
      <w:r>
        <w:rPr>
          <w:spacing w:val="-4"/>
        </w:rPr>
        <w:t xml:space="preserve"> </w:t>
      </w:r>
      <w:r>
        <w:t xml:space="preserve">the NRC regulations. The frequency depends on which regulation (regarding physical inventories) a licensee is subject to, which in turn depends on the category of SNM possessed by the licensee and the level of control and monitoring requirements imposed. </w:t>
      </w:r>
      <w:r w:rsidR="007415DF">
        <w:t>Not collecting the information</w:t>
      </w:r>
      <w:r w:rsidR="00DB681C">
        <w:t xml:space="preserve"> or l</w:t>
      </w:r>
      <w:r>
        <w:t>ess frequent reporting would result in:</w:t>
      </w:r>
      <w:r w:rsidR="00DB681C">
        <w:t xml:space="preserve"> </w:t>
      </w:r>
      <w:r>
        <w:t>(1)</w:t>
      </w:r>
      <w:r>
        <w:rPr>
          <w:spacing w:val="-5"/>
        </w:rPr>
        <w:t xml:space="preserve"> </w:t>
      </w:r>
      <w:r>
        <w:t>unacceptable</w:t>
      </w:r>
      <w:r>
        <w:rPr>
          <w:spacing w:val="-5"/>
        </w:rPr>
        <w:t xml:space="preserve"> </w:t>
      </w:r>
      <w:r>
        <w:t>delays</w:t>
      </w:r>
      <w:r>
        <w:rPr>
          <w:spacing w:val="-5"/>
        </w:rPr>
        <w:t xml:space="preserve"> </w:t>
      </w:r>
      <w:r>
        <w:t>in</w:t>
      </w:r>
      <w:r>
        <w:rPr>
          <w:spacing w:val="-5"/>
        </w:rPr>
        <w:t xml:space="preserve"> </w:t>
      </w:r>
      <w:r>
        <w:t>determining</w:t>
      </w:r>
      <w:r>
        <w:rPr>
          <w:spacing w:val="-5"/>
        </w:rPr>
        <w:t xml:space="preserve"> </w:t>
      </w:r>
      <w:r>
        <w:t>whether</w:t>
      </w:r>
      <w:r>
        <w:rPr>
          <w:spacing w:val="-5"/>
        </w:rPr>
        <w:t xml:space="preserve"> </w:t>
      </w:r>
      <w:r>
        <w:t>a</w:t>
      </w:r>
      <w:r>
        <w:rPr>
          <w:spacing w:val="-5"/>
        </w:rPr>
        <w:t xml:space="preserve"> </w:t>
      </w:r>
      <w:r>
        <w:t>safeguards</w:t>
      </w:r>
      <w:r>
        <w:rPr>
          <w:spacing w:val="-6"/>
        </w:rPr>
        <w:t xml:space="preserve"> </w:t>
      </w:r>
      <w:r>
        <w:t>significant</w:t>
      </w:r>
      <w:r>
        <w:rPr>
          <w:spacing w:val="-5"/>
        </w:rPr>
        <w:t xml:space="preserve"> </w:t>
      </w:r>
      <w:r>
        <w:t>quantity of SNM had been lost, diverted, or stolen; (2) inadequate NRC knowledge of a licensee's</w:t>
      </w:r>
      <w:r>
        <w:rPr>
          <w:spacing w:val="-2"/>
        </w:rPr>
        <w:t xml:space="preserve"> </w:t>
      </w:r>
      <w:r>
        <w:t>current</w:t>
      </w:r>
      <w:r>
        <w:rPr>
          <w:spacing w:val="-2"/>
        </w:rPr>
        <w:t xml:space="preserve"> </w:t>
      </w:r>
      <w:r>
        <w:t>processing</w:t>
      </w:r>
      <w:r>
        <w:rPr>
          <w:spacing w:val="-2"/>
        </w:rPr>
        <w:t xml:space="preserve"> </w:t>
      </w:r>
      <w:r>
        <w:t>throughput;</w:t>
      </w:r>
      <w:r>
        <w:rPr>
          <w:spacing w:val="-2"/>
        </w:rPr>
        <w:t xml:space="preserve"> </w:t>
      </w:r>
      <w:r>
        <w:t>and</w:t>
      </w:r>
      <w:r>
        <w:rPr>
          <w:spacing w:val="-2"/>
        </w:rPr>
        <w:t xml:space="preserve"> </w:t>
      </w:r>
      <w:r>
        <w:t>(3)</w:t>
      </w:r>
      <w:r>
        <w:rPr>
          <w:spacing w:val="-2"/>
        </w:rPr>
        <w:t xml:space="preserve"> </w:t>
      </w:r>
      <w:r>
        <w:t>inadequate</w:t>
      </w:r>
      <w:r>
        <w:rPr>
          <w:spacing w:val="-3"/>
        </w:rPr>
        <w:t xml:space="preserve"> </w:t>
      </w:r>
      <w:r>
        <w:t>NRC</w:t>
      </w:r>
      <w:r>
        <w:rPr>
          <w:spacing w:val="-2"/>
        </w:rPr>
        <w:t xml:space="preserve"> </w:t>
      </w:r>
      <w:r>
        <w:t>knowledge</w:t>
      </w:r>
      <w:r>
        <w:rPr>
          <w:spacing w:val="-2"/>
        </w:rPr>
        <w:t xml:space="preserve"> </w:t>
      </w:r>
      <w:r>
        <w:t>of a licensee's current measurement capabilities.</w:t>
      </w:r>
    </w:p>
    <w:p w:rsidR="00161DED" w14:paraId="74147752" w14:textId="77777777">
      <w:pPr>
        <w:pStyle w:val="BodyText"/>
      </w:pPr>
    </w:p>
    <w:p w:rsidR="00161DED" w14:paraId="50326FF0" w14:textId="77777777">
      <w:pPr>
        <w:pStyle w:val="ListParagraph"/>
        <w:numPr>
          <w:ilvl w:val="1"/>
          <w:numId w:val="2"/>
        </w:numPr>
        <w:tabs>
          <w:tab w:val="left" w:pos="1560"/>
        </w:tabs>
        <w:ind w:right="364" w:hanging="720"/>
      </w:pPr>
      <w:r>
        <w:rPr>
          <w:u w:val="single"/>
        </w:rPr>
        <w:t>Circumstances</w:t>
      </w:r>
      <w:r>
        <w:rPr>
          <w:spacing w:val="-5"/>
          <w:u w:val="single"/>
        </w:rPr>
        <w:t xml:space="preserve"> </w:t>
      </w:r>
      <w:r>
        <w:rPr>
          <w:u w:val="single"/>
        </w:rPr>
        <w:t>Which</w:t>
      </w:r>
      <w:r>
        <w:rPr>
          <w:spacing w:val="-6"/>
          <w:u w:val="single"/>
        </w:rPr>
        <w:t xml:space="preserve"> </w:t>
      </w:r>
      <w:r>
        <w:rPr>
          <w:u w:val="single"/>
        </w:rPr>
        <w:t>Justify</w:t>
      </w:r>
      <w:r>
        <w:rPr>
          <w:spacing w:val="-5"/>
          <w:u w:val="single"/>
        </w:rPr>
        <w:t xml:space="preserve"> </w:t>
      </w:r>
      <w:r>
        <w:rPr>
          <w:u w:val="single"/>
        </w:rPr>
        <w:t>Variation</w:t>
      </w:r>
      <w:r>
        <w:rPr>
          <w:spacing w:val="-5"/>
          <w:u w:val="single"/>
        </w:rPr>
        <w:t xml:space="preserve"> </w:t>
      </w:r>
      <w:r>
        <w:rPr>
          <w:u w:val="single"/>
        </w:rPr>
        <w:t>from</w:t>
      </w:r>
      <w:r>
        <w:rPr>
          <w:spacing w:val="-5"/>
          <w:u w:val="single"/>
        </w:rPr>
        <w:t xml:space="preserve"> </w:t>
      </w:r>
      <w:r>
        <w:rPr>
          <w:u w:val="single"/>
        </w:rPr>
        <w:t>Office</w:t>
      </w:r>
      <w:r>
        <w:rPr>
          <w:spacing w:val="-5"/>
          <w:u w:val="single"/>
        </w:rPr>
        <w:t xml:space="preserve"> </w:t>
      </w:r>
      <w:r>
        <w:rPr>
          <w:u w:val="single"/>
        </w:rPr>
        <w:t>of</w:t>
      </w:r>
      <w:r>
        <w:rPr>
          <w:spacing w:val="-5"/>
          <w:u w:val="single"/>
        </w:rPr>
        <w:t xml:space="preserve"> </w:t>
      </w:r>
      <w:r>
        <w:rPr>
          <w:u w:val="single"/>
        </w:rPr>
        <w:t>Management</w:t>
      </w:r>
      <w:r>
        <w:rPr>
          <w:spacing w:val="-5"/>
          <w:u w:val="single"/>
        </w:rPr>
        <w:t xml:space="preserve"> </w:t>
      </w:r>
      <w:r>
        <w:rPr>
          <w:u w:val="single"/>
        </w:rPr>
        <w:t>and</w:t>
      </w:r>
      <w:r>
        <w:rPr>
          <w:spacing w:val="-5"/>
          <w:u w:val="single"/>
        </w:rPr>
        <w:t xml:space="preserve"> </w:t>
      </w:r>
      <w:r>
        <w:rPr>
          <w:u w:val="single"/>
        </w:rPr>
        <w:t>Budget</w:t>
      </w:r>
      <w:r>
        <w:t xml:space="preserve"> </w:t>
      </w:r>
      <w:r>
        <w:rPr>
          <w:u w:val="single"/>
        </w:rPr>
        <w:t>(OMB) Guidelines</w:t>
      </w:r>
    </w:p>
    <w:p w:rsidR="00161DED" w14:paraId="39FD1A70" w14:textId="77777777">
      <w:pPr>
        <w:pStyle w:val="BodyText"/>
        <w:spacing w:before="1"/>
      </w:pPr>
    </w:p>
    <w:p w:rsidR="00161DED" w14:paraId="3DEC02C5" w14:textId="77777777">
      <w:pPr>
        <w:pStyle w:val="BodyText"/>
        <w:ind w:left="1560"/>
      </w:pPr>
      <w:r>
        <w:t>There</w:t>
      </w:r>
      <w:r>
        <w:rPr>
          <w:spacing w:val="-5"/>
        </w:rPr>
        <w:t xml:space="preserve"> </w:t>
      </w:r>
      <w:r>
        <w:t>is</w:t>
      </w:r>
      <w:r>
        <w:rPr>
          <w:spacing w:val="-5"/>
        </w:rPr>
        <w:t xml:space="preserve"> </w:t>
      </w:r>
      <w:r>
        <w:t>no</w:t>
      </w:r>
      <w:r>
        <w:rPr>
          <w:spacing w:val="-5"/>
        </w:rPr>
        <w:t xml:space="preserve"> </w:t>
      </w:r>
      <w:r>
        <w:t>variation</w:t>
      </w:r>
      <w:r>
        <w:rPr>
          <w:spacing w:val="-5"/>
        </w:rPr>
        <w:t xml:space="preserve"> </w:t>
      </w:r>
      <w:r>
        <w:t>from</w:t>
      </w:r>
      <w:r>
        <w:rPr>
          <w:spacing w:val="-4"/>
        </w:rPr>
        <w:t xml:space="preserve"> </w:t>
      </w:r>
      <w:r>
        <w:t>OMB</w:t>
      </w:r>
      <w:r>
        <w:rPr>
          <w:spacing w:val="-5"/>
        </w:rPr>
        <w:t xml:space="preserve"> </w:t>
      </w:r>
      <w:r>
        <w:rPr>
          <w:spacing w:val="-2"/>
        </w:rPr>
        <w:t>guidelines.</w:t>
      </w:r>
    </w:p>
    <w:p w:rsidR="00161DED" w14:paraId="22330F5E" w14:textId="77777777">
      <w:pPr>
        <w:sectPr>
          <w:footerReference w:type="default" r:id="rId13"/>
          <w:pgSz w:w="12240" w:h="15840"/>
          <w:pgMar w:top="1620" w:right="1340" w:bottom="1940" w:left="1320" w:header="0" w:footer="1758" w:gutter="0"/>
          <w:cols w:space="720"/>
        </w:sectPr>
      </w:pPr>
    </w:p>
    <w:p w:rsidR="00161DED" w14:paraId="1BE14DC9" w14:textId="77777777">
      <w:pPr>
        <w:pStyle w:val="ListParagraph"/>
        <w:numPr>
          <w:ilvl w:val="1"/>
          <w:numId w:val="2"/>
        </w:numPr>
        <w:tabs>
          <w:tab w:val="left" w:pos="1560"/>
        </w:tabs>
        <w:spacing w:before="80"/>
        <w:ind w:hanging="720"/>
      </w:pPr>
      <w:r>
        <w:rPr>
          <w:u w:val="single"/>
        </w:rPr>
        <w:t>Consultations</w:t>
      </w:r>
      <w:r>
        <w:rPr>
          <w:spacing w:val="-7"/>
          <w:u w:val="single"/>
        </w:rPr>
        <w:t xml:space="preserve"> </w:t>
      </w:r>
      <w:r>
        <w:rPr>
          <w:u w:val="single"/>
        </w:rPr>
        <w:t>Outside</w:t>
      </w:r>
      <w:r>
        <w:rPr>
          <w:spacing w:val="-7"/>
          <w:u w:val="single"/>
        </w:rPr>
        <w:t xml:space="preserve"> </w:t>
      </w:r>
      <w:r>
        <w:rPr>
          <w:u w:val="single"/>
        </w:rPr>
        <w:t>of</w:t>
      </w:r>
      <w:r>
        <w:rPr>
          <w:spacing w:val="-8"/>
          <w:u w:val="single"/>
        </w:rPr>
        <w:t xml:space="preserve"> </w:t>
      </w:r>
      <w:r>
        <w:rPr>
          <w:u w:val="single"/>
        </w:rPr>
        <w:t>the</w:t>
      </w:r>
      <w:r>
        <w:rPr>
          <w:spacing w:val="-7"/>
          <w:u w:val="single"/>
        </w:rPr>
        <w:t xml:space="preserve"> </w:t>
      </w:r>
      <w:r>
        <w:rPr>
          <w:spacing w:val="-5"/>
          <w:u w:val="single"/>
        </w:rPr>
        <w:t>NRC</w:t>
      </w:r>
    </w:p>
    <w:p w:rsidR="00161DED" w14:paraId="2D71DA2F" w14:textId="5516FB92">
      <w:pPr>
        <w:pStyle w:val="BodyText"/>
        <w:spacing w:before="252"/>
        <w:ind w:left="1560" w:right="177"/>
      </w:pPr>
      <w:r>
        <w:t>Opportunity for public comment on the information collection requirements for this</w:t>
      </w:r>
      <w:r>
        <w:rPr>
          <w:spacing w:val="-4"/>
        </w:rPr>
        <w:t xml:space="preserve"> </w:t>
      </w:r>
      <w:r>
        <w:t>clearance</w:t>
      </w:r>
      <w:r>
        <w:rPr>
          <w:spacing w:val="-4"/>
        </w:rPr>
        <w:t xml:space="preserve"> </w:t>
      </w:r>
      <w:r>
        <w:t>package</w:t>
      </w:r>
      <w:r>
        <w:rPr>
          <w:spacing w:val="-5"/>
        </w:rPr>
        <w:t xml:space="preserve"> </w:t>
      </w:r>
      <w:r w:rsidR="00B77E46">
        <w:t>has been</w:t>
      </w:r>
      <w:r>
        <w:rPr>
          <w:spacing w:val="-4"/>
        </w:rPr>
        <w:t xml:space="preserve"> </w:t>
      </w:r>
      <w:r>
        <w:t>published</w:t>
      </w:r>
      <w:r>
        <w:rPr>
          <w:spacing w:val="-4"/>
        </w:rPr>
        <w:t xml:space="preserve"> </w:t>
      </w:r>
      <w:r>
        <w:t>in</w:t>
      </w:r>
      <w:r>
        <w:rPr>
          <w:spacing w:val="-4"/>
        </w:rPr>
        <w:t xml:space="preserve"> </w:t>
      </w:r>
      <w:r>
        <w:t>the</w:t>
      </w:r>
      <w:r>
        <w:rPr>
          <w:spacing w:val="-3"/>
        </w:rPr>
        <w:t xml:space="preserve"> </w:t>
      </w:r>
      <w:r>
        <w:rPr>
          <w:i/>
        </w:rPr>
        <w:t>Federal</w:t>
      </w:r>
      <w:r>
        <w:rPr>
          <w:i/>
          <w:spacing w:val="-4"/>
        </w:rPr>
        <w:t xml:space="preserve"> </w:t>
      </w:r>
      <w:r>
        <w:rPr>
          <w:i/>
        </w:rPr>
        <w:t>Register</w:t>
      </w:r>
      <w:r w:rsidR="001D26F4">
        <w:t xml:space="preserve"> on </w:t>
      </w:r>
      <w:r w:rsidR="00F74BAE">
        <w:t>February 9, 2026</w:t>
      </w:r>
      <w:r w:rsidR="008D3C9F">
        <w:t xml:space="preserve"> (90 FR 57489). </w:t>
      </w:r>
      <w:r w:rsidR="00602431">
        <w:t>Five</w:t>
      </w:r>
      <w:r w:rsidRPr="00602431" w:rsidR="00602431">
        <w:t xml:space="preserve"> nuclear fuel cycle facilities that are </w:t>
      </w:r>
      <w:r w:rsidR="00AB1C21">
        <w:t>required to submit the NRC Form 327</w:t>
      </w:r>
      <w:r w:rsidR="00304E53">
        <w:t xml:space="preserve"> </w:t>
      </w:r>
      <w:r w:rsidRPr="00602431" w:rsidR="00602431">
        <w:t>were contacted by email as part of the public consultation process.  No comments were received in responses to these consultations.</w:t>
      </w:r>
    </w:p>
    <w:p w:rsidR="00161DED" w14:paraId="547BD4D2" w14:textId="77777777">
      <w:pPr>
        <w:pStyle w:val="ListParagraph"/>
        <w:numPr>
          <w:ilvl w:val="1"/>
          <w:numId w:val="2"/>
        </w:numPr>
        <w:tabs>
          <w:tab w:val="left" w:pos="1559"/>
        </w:tabs>
        <w:spacing w:before="252"/>
        <w:ind w:left="1559" w:hanging="719"/>
      </w:pPr>
      <w:r>
        <w:rPr>
          <w:u w:val="single"/>
        </w:rPr>
        <w:t>Payment</w:t>
      </w:r>
      <w:r>
        <w:rPr>
          <w:spacing w:val="-5"/>
          <w:u w:val="single"/>
        </w:rPr>
        <w:t xml:space="preserve"> </w:t>
      </w:r>
      <w:r>
        <w:rPr>
          <w:u w:val="single"/>
        </w:rPr>
        <w:t>or</w:t>
      </w:r>
      <w:r>
        <w:rPr>
          <w:spacing w:val="-4"/>
          <w:u w:val="single"/>
        </w:rPr>
        <w:t xml:space="preserve"> </w:t>
      </w:r>
      <w:r>
        <w:rPr>
          <w:u w:val="single"/>
        </w:rPr>
        <w:t>Gift</w:t>
      </w:r>
      <w:r>
        <w:rPr>
          <w:spacing w:val="-4"/>
          <w:u w:val="single"/>
        </w:rPr>
        <w:t xml:space="preserve"> </w:t>
      </w:r>
      <w:r>
        <w:rPr>
          <w:u w:val="single"/>
        </w:rPr>
        <w:t>to</w:t>
      </w:r>
      <w:r>
        <w:rPr>
          <w:spacing w:val="-4"/>
          <w:u w:val="single"/>
        </w:rPr>
        <w:t xml:space="preserve"> </w:t>
      </w:r>
      <w:r>
        <w:rPr>
          <w:spacing w:val="-2"/>
          <w:u w:val="single"/>
        </w:rPr>
        <w:t>Respondents</w:t>
      </w:r>
    </w:p>
    <w:p w:rsidR="00161DED" w14:paraId="2DA06EB5" w14:textId="77777777">
      <w:pPr>
        <w:pStyle w:val="BodyText"/>
        <w:spacing w:before="1"/>
      </w:pPr>
    </w:p>
    <w:p w:rsidR="00161DED" w14:paraId="7EC3D73D" w14:textId="77777777">
      <w:pPr>
        <w:pStyle w:val="BodyText"/>
        <w:ind w:left="1560"/>
      </w:pPr>
      <w:r>
        <w:t>Not</w:t>
      </w:r>
      <w:r>
        <w:rPr>
          <w:spacing w:val="-4"/>
        </w:rPr>
        <w:t xml:space="preserve"> </w:t>
      </w:r>
      <w:r>
        <w:rPr>
          <w:spacing w:val="-2"/>
        </w:rPr>
        <w:t>applicable.</w:t>
      </w:r>
    </w:p>
    <w:p w:rsidR="00161DED" w14:paraId="3A2535EC" w14:textId="77777777">
      <w:pPr>
        <w:pStyle w:val="ListParagraph"/>
        <w:numPr>
          <w:ilvl w:val="1"/>
          <w:numId w:val="2"/>
        </w:numPr>
        <w:tabs>
          <w:tab w:val="left" w:pos="1559"/>
        </w:tabs>
        <w:spacing w:before="252"/>
        <w:ind w:left="1559" w:hanging="719"/>
      </w:pPr>
      <w:r>
        <w:rPr>
          <w:u w:val="single"/>
        </w:rPr>
        <w:t>Confidentiality</w:t>
      </w:r>
      <w:r>
        <w:rPr>
          <w:spacing w:val="-9"/>
          <w:u w:val="single"/>
        </w:rPr>
        <w:t xml:space="preserve"> </w:t>
      </w:r>
      <w:r>
        <w:rPr>
          <w:u w:val="single"/>
        </w:rPr>
        <w:t>of</w:t>
      </w:r>
      <w:r>
        <w:rPr>
          <w:spacing w:val="-8"/>
          <w:u w:val="single"/>
        </w:rPr>
        <w:t xml:space="preserve"> </w:t>
      </w:r>
      <w:r>
        <w:rPr>
          <w:spacing w:val="-2"/>
          <w:u w:val="single"/>
        </w:rPr>
        <w:t>Information</w:t>
      </w:r>
    </w:p>
    <w:p w:rsidR="00161DED" w14:paraId="409274D4" w14:textId="77777777">
      <w:pPr>
        <w:pStyle w:val="BodyText"/>
      </w:pPr>
    </w:p>
    <w:p w:rsidR="00161DED" w14:paraId="4D98B78A" w14:textId="77777777">
      <w:pPr>
        <w:pStyle w:val="BodyText"/>
        <w:ind w:left="1560"/>
      </w:pPr>
      <w:r>
        <w:t>Confidential</w:t>
      </w:r>
      <w:r>
        <w:rPr>
          <w:spacing w:val="-5"/>
        </w:rPr>
        <w:t xml:space="preserve"> </w:t>
      </w:r>
      <w:r>
        <w:t>and</w:t>
      </w:r>
      <w:r>
        <w:rPr>
          <w:spacing w:val="-4"/>
        </w:rPr>
        <w:t xml:space="preserve"> </w:t>
      </w:r>
      <w:r>
        <w:t>proprietary</w:t>
      </w:r>
      <w:r>
        <w:rPr>
          <w:spacing w:val="-4"/>
        </w:rPr>
        <w:t xml:space="preserve"> </w:t>
      </w:r>
      <w:r>
        <w:t>information</w:t>
      </w:r>
      <w:r>
        <w:rPr>
          <w:spacing w:val="-4"/>
        </w:rPr>
        <w:t xml:space="preserve"> </w:t>
      </w:r>
      <w:r>
        <w:t>is</w:t>
      </w:r>
      <w:r>
        <w:rPr>
          <w:spacing w:val="-4"/>
        </w:rPr>
        <w:t xml:space="preserve"> </w:t>
      </w:r>
      <w:r>
        <w:t>protected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NRC regulation at 10 CFR 9.17(a) and 10 CFR 2.390(b).</w:t>
      </w:r>
    </w:p>
    <w:p w:rsidR="00161DED" w14:paraId="76C610C1" w14:textId="77777777">
      <w:pPr>
        <w:pStyle w:val="BodyText"/>
      </w:pPr>
    </w:p>
    <w:p w:rsidR="00161DED" w14:paraId="277DC456" w14:textId="77777777">
      <w:pPr>
        <w:pStyle w:val="ListParagraph"/>
        <w:numPr>
          <w:ilvl w:val="1"/>
          <w:numId w:val="2"/>
        </w:numPr>
        <w:tabs>
          <w:tab w:val="left" w:pos="1559"/>
        </w:tabs>
        <w:ind w:left="1559" w:hanging="719"/>
      </w:pPr>
      <w:r>
        <w:rPr>
          <w:u w:val="single"/>
        </w:rPr>
        <w:t>Justification</w:t>
      </w:r>
      <w:r>
        <w:rPr>
          <w:spacing w:val="-9"/>
          <w:u w:val="single"/>
        </w:rPr>
        <w:t xml:space="preserve"> </w:t>
      </w:r>
      <w:r>
        <w:rPr>
          <w:u w:val="single"/>
        </w:rPr>
        <w:t>for</w:t>
      </w:r>
      <w:r>
        <w:rPr>
          <w:spacing w:val="-8"/>
          <w:u w:val="single"/>
        </w:rPr>
        <w:t xml:space="preserve"> </w:t>
      </w:r>
      <w:r>
        <w:rPr>
          <w:u w:val="single"/>
        </w:rPr>
        <w:t>Sensitive</w:t>
      </w:r>
      <w:r>
        <w:rPr>
          <w:spacing w:val="-7"/>
          <w:u w:val="single"/>
        </w:rPr>
        <w:t xml:space="preserve"> </w:t>
      </w:r>
      <w:r>
        <w:rPr>
          <w:spacing w:val="-2"/>
          <w:u w:val="single"/>
        </w:rPr>
        <w:t>Questions</w:t>
      </w:r>
    </w:p>
    <w:p w:rsidR="00161DED" w14:paraId="1EE1D369" w14:textId="77777777">
      <w:pPr>
        <w:pStyle w:val="BodyText"/>
      </w:pPr>
    </w:p>
    <w:p w:rsidR="00161DED" w14:paraId="58783783" w14:textId="77777777">
      <w:pPr>
        <w:pStyle w:val="BodyText"/>
        <w:ind w:left="1560"/>
      </w:pPr>
      <w:r>
        <w:t>Not</w:t>
      </w:r>
      <w:r>
        <w:rPr>
          <w:spacing w:val="-4"/>
        </w:rPr>
        <w:t xml:space="preserve"> </w:t>
      </w:r>
      <w:r>
        <w:rPr>
          <w:spacing w:val="-2"/>
        </w:rPr>
        <w:t>applicable.</w:t>
      </w:r>
    </w:p>
    <w:p w:rsidR="00161DED" w14:paraId="16F68AAA" w14:textId="77777777">
      <w:pPr>
        <w:pStyle w:val="BodyText"/>
        <w:spacing w:before="1"/>
      </w:pPr>
    </w:p>
    <w:p w:rsidR="00161DED" w14:paraId="0B3248B8" w14:textId="77777777">
      <w:pPr>
        <w:pStyle w:val="ListParagraph"/>
        <w:numPr>
          <w:ilvl w:val="1"/>
          <w:numId w:val="2"/>
        </w:numPr>
        <w:tabs>
          <w:tab w:val="left" w:pos="1559"/>
        </w:tabs>
        <w:ind w:left="1559" w:hanging="719"/>
      </w:pPr>
      <w:r>
        <w:rPr>
          <w:u w:val="single"/>
        </w:rPr>
        <w:t>Estimate</w:t>
      </w:r>
      <w:r>
        <w:rPr>
          <w:spacing w:val="-7"/>
          <w:u w:val="single"/>
        </w:rPr>
        <w:t xml:space="preserve"> </w:t>
      </w:r>
      <w:r>
        <w:rPr>
          <w:u w:val="single"/>
        </w:rPr>
        <w:t>of</w:t>
      </w:r>
      <w:r>
        <w:rPr>
          <w:spacing w:val="-6"/>
          <w:u w:val="single"/>
        </w:rPr>
        <w:t xml:space="preserve"> </w:t>
      </w:r>
      <w:r>
        <w:rPr>
          <w:u w:val="single"/>
        </w:rPr>
        <w:t>Annualized</w:t>
      </w:r>
      <w:r>
        <w:rPr>
          <w:spacing w:val="-8"/>
          <w:u w:val="single"/>
        </w:rPr>
        <w:t xml:space="preserve"> </w:t>
      </w:r>
      <w:r>
        <w:rPr>
          <w:u w:val="single"/>
        </w:rPr>
        <w:t>Burden</w:t>
      </w:r>
      <w:r>
        <w:rPr>
          <w:spacing w:val="-6"/>
          <w:u w:val="single"/>
        </w:rPr>
        <w:t xml:space="preserve"> </w:t>
      </w:r>
      <w:r>
        <w:rPr>
          <w:u w:val="single"/>
        </w:rPr>
        <w:t>and</w:t>
      </w:r>
      <w:r>
        <w:rPr>
          <w:spacing w:val="-7"/>
          <w:u w:val="single"/>
        </w:rPr>
        <w:t xml:space="preserve"> </w:t>
      </w:r>
      <w:r>
        <w:rPr>
          <w:u w:val="single"/>
        </w:rPr>
        <w:t>Burden</w:t>
      </w:r>
      <w:r>
        <w:rPr>
          <w:spacing w:val="-6"/>
          <w:u w:val="single"/>
        </w:rPr>
        <w:t xml:space="preserve"> </w:t>
      </w:r>
      <w:r>
        <w:rPr>
          <w:u w:val="single"/>
        </w:rPr>
        <w:t>Hour</w:t>
      </w:r>
      <w:r>
        <w:rPr>
          <w:spacing w:val="-6"/>
          <w:u w:val="single"/>
        </w:rPr>
        <w:t xml:space="preserve"> </w:t>
      </w:r>
      <w:r>
        <w:rPr>
          <w:spacing w:val="-4"/>
          <w:u w:val="single"/>
        </w:rPr>
        <w:t>Cost</w:t>
      </w:r>
    </w:p>
    <w:p w:rsidR="00161DED" w14:paraId="231C6DB9" w14:textId="77777777">
      <w:pPr>
        <w:pStyle w:val="BodyText"/>
        <w:spacing w:before="252"/>
        <w:ind w:left="1560" w:right="101"/>
      </w:pPr>
      <w:r>
        <w:t>As</w:t>
      </w:r>
      <w:r>
        <w:rPr>
          <w:spacing w:val="-4"/>
        </w:rPr>
        <w:t xml:space="preserve"> </w:t>
      </w:r>
      <w:r>
        <w:t>noted</w:t>
      </w:r>
      <w:r>
        <w:rPr>
          <w:spacing w:val="-4"/>
        </w:rPr>
        <w:t xml:space="preserve"> </w:t>
      </w:r>
      <w:r>
        <w:t>above,</w:t>
      </w:r>
      <w:r>
        <w:rPr>
          <w:spacing w:val="-4"/>
        </w:rPr>
        <w:t xml:space="preserve"> </w:t>
      </w:r>
      <w:r>
        <w:t>the</w:t>
      </w:r>
      <w:r>
        <w:rPr>
          <w:spacing w:val="-4"/>
        </w:rPr>
        <w:t xml:space="preserve"> </w:t>
      </w:r>
      <w:r>
        <w:t>reporting</w:t>
      </w:r>
      <w:r>
        <w:rPr>
          <w:spacing w:val="-4"/>
        </w:rPr>
        <w:t xml:space="preserve"> </w:t>
      </w:r>
      <w:r>
        <w:t>frequency</w:t>
      </w:r>
      <w:r>
        <w:rPr>
          <w:spacing w:val="-4"/>
        </w:rPr>
        <w:t xml:space="preserve"> </w:t>
      </w:r>
      <w:r>
        <w:t>depends</w:t>
      </w:r>
      <w:r>
        <w:rPr>
          <w:spacing w:val="-4"/>
        </w:rPr>
        <w:t xml:space="preserve"> </w:t>
      </w:r>
      <w:r>
        <w:t>on</w:t>
      </w:r>
      <w:r>
        <w:rPr>
          <w:spacing w:val="-4"/>
        </w:rPr>
        <w:t xml:space="preserve"> </w:t>
      </w:r>
      <w:r>
        <w:t>which</w:t>
      </w:r>
      <w:r>
        <w:rPr>
          <w:spacing w:val="-5"/>
        </w:rPr>
        <w:t xml:space="preserve"> </w:t>
      </w:r>
      <w:r>
        <w:t>regulation</w:t>
      </w:r>
      <w:r>
        <w:rPr>
          <w:spacing w:val="-4"/>
        </w:rPr>
        <w:t xml:space="preserve"> </w:t>
      </w:r>
      <w:r>
        <w:t>(regarding physical inventories) a licensee is subject to, which in turn depends on the category of SNM possessed by the licensee and the level of control and monitoring requirements imposed. The number of forms to be received is estimated as follows:</w:t>
      </w:r>
    </w:p>
    <w:p w:rsidR="00161DED" w14:paraId="14AA1280" w14:textId="2C2D40A7">
      <w:pPr>
        <w:pStyle w:val="ListParagraph"/>
        <w:numPr>
          <w:ilvl w:val="0"/>
          <w:numId w:val="1"/>
        </w:numPr>
        <w:tabs>
          <w:tab w:val="left" w:pos="2279"/>
        </w:tabs>
        <w:spacing w:before="253"/>
        <w:ind w:right="155" w:hanging="360"/>
      </w:pPr>
      <w:r>
        <w:t>There is currently one operating uranium enrichment facility that is required to conduct dynamic physical inventories every 2 months and static physical inventories every 12 months. This facility submits 18 reports</w:t>
      </w:r>
      <w:r>
        <w:rPr>
          <w:spacing w:val="-3"/>
        </w:rPr>
        <w:t xml:space="preserve"> </w:t>
      </w:r>
      <w:r>
        <w:t>per</w:t>
      </w:r>
      <w:r>
        <w:rPr>
          <w:spacing w:val="-4"/>
        </w:rPr>
        <w:t xml:space="preserve"> </w:t>
      </w:r>
      <w:r>
        <w:t>year</w:t>
      </w:r>
      <w:r>
        <w:rPr>
          <w:spacing w:val="-3"/>
        </w:rPr>
        <w:t xml:space="preserve"> </w:t>
      </w:r>
      <w:r>
        <w:t>(6</w:t>
      </w:r>
      <w:r>
        <w:rPr>
          <w:spacing w:val="-3"/>
        </w:rPr>
        <w:t xml:space="preserve"> </w:t>
      </w:r>
      <w:r>
        <w:t>bimonthly</w:t>
      </w:r>
      <w:r>
        <w:rPr>
          <w:spacing w:val="-3"/>
        </w:rPr>
        <w:t xml:space="preserve"> </w:t>
      </w:r>
      <w:r>
        <w:t>reports</w:t>
      </w:r>
      <w:r>
        <w:rPr>
          <w:spacing w:val="-3"/>
        </w:rPr>
        <w:t xml:space="preserve"> </w:t>
      </w:r>
      <w:r>
        <w:t>plus</w:t>
      </w:r>
      <w:r>
        <w:rPr>
          <w:spacing w:val="-3"/>
        </w:rPr>
        <w:t xml:space="preserve"> </w:t>
      </w:r>
      <w:r>
        <w:t>4</w:t>
      </w:r>
      <w:r>
        <w:rPr>
          <w:spacing w:val="-3"/>
        </w:rPr>
        <w:t xml:space="preserve"> </w:t>
      </w:r>
      <w:r>
        <w:t>annual</w:t>
      </w:r>
      <w:r>
        <w:rPr>
          <w:spacing w:val="-3"/>
        </w:rPr>
        <w:t xml:space="preserve"> </w:t>
      </w:r>
      <w:r>
        <w:t>reports</w:t>
      </w:r>
      <w:r>
        <w:rPr>
          <w:spacing w:val="-3"/>
        </w:rPr>
        <w:t xml:space="preserve"> </w:t>
      </w:r>
      <w:r>
        <w:t>for</w:t>
      </w:r>
      <w:r>
        <w:rPr>
          <w:spacing w:val="-3"/>
        </w:rPr>
        <w:t xml:space="preserve"> </w:t>
      </w:r>
      <w:r>
        <w:t>each</w:t>
      </w:r>
      <w:r>
        <w:rPr>
          <w:spacing w:val="-3"/>
        </w:rPr>
        <w:t xml:space="preserve"> </w:t>
      </w:r>
      <w:r>
        <w:t>of</w:t>
      </w:r>
      <w:r>
        <w:rPr>
          <w:spacing w:val="-3"/>
        </w:rPr>
        <w:t xml:space="preserve"> </w:t>
      </w:r>
      <w:r>
        <w:t>the facility’s three material balance areas).</w:t>
      </w:r>
      <w:r w:rsidR="005217B1">
        <w:t xml:space="preserve"> </w:t>
      </w:r>
      <w:r w:rsidR="00D00899">
        <w:t xml:space="preserve">There is an additional </w:t>
      </w:r>
      <w:r w:rsidR="00FA589A">
        <w:t xml:space="preserve">operating uranium enrichment facility that </w:t>
      </w:r>
      <w:r w:rsidR="00C30316">
        <w:t xml:space="preserve">conducts </w:t>
      </w:r>
      <w:r w:rsidR="00FA589A">
        <w:t>dynamic physical inventories every 3 months and static physical inventories every 9 months. This facility submits 8 reports per year (</w:t>
      </w:r>
      <w:r w:rsidR="00A4146B">
        <w:t xml:space="preserve">4 triennial reports plus 4 annual reports for the facility’s </w:t>
      </w:r>
      <w:r w:rsidR="00D00899">
        <w:t>single</w:t>
      </w:r>
      <w:r w:rsidR="00A4146B">
        <w:t xml:space="preserve"> material balance area).</w:t>
      </w:r>
    </w:p>
    <w:p w:rsidR="00161DED" w14:paraId="5B946621" w14:textId="77777777">
      <w:pPr>
        <w:pStyle w:val="ListParagraph"/>
        <w:numPr>
          <w:ilvl w:val="0"/>
          <w:numId w:val="1"/>
        </w:numPr>
        <w:tabs>
          <w:tab w:val="left" w:pos="2279"/>
        </w:tabs>
        <w:spacing w:before="252"/>
        <w:ind w:right="169" w:hanging="360"/>
      </w:pPr>
      <w:r>
        <w:t>Two facilities that process high and low strategic SNM are required to conduct physical inventories at least every 6 months. Each facility has multiple</w:t>
      </w:r>
      <w:r>
        <w:rPr>
          <w:spacing w:val="-3"/>
        </w:rPr>
        <w:t xml:space="preserve"> </w:t>
      </w:r>
      <w:r>
        <w:t>semi-annual</w:t>
      </w:r>
      <w:r>
        <w:rPr>
          <w:spacing w:val="-3"/>
        </w:rPr>
        <w:t xml:space="preserve"> </w:t>
      </w:r>
      <w:r>
        <w:t>reports.</w:t>
      </w:r>
      <w:r>
        <w:rPr>
          <w:spacing w:val="-3"/>
        </w:rPr>
        <w:t xml:space="preserve"> </w:t>
      </w:r>
      <w:r>
        <w:t>This</w:t>
      </w:r>
      <w:r>
        <w:rPr>
          <w:spacing w:val="-3"/>
        </w:rPr>
        <w:t xml:space="preserve"> </w:t>
      </w:r>
      <w:r>
        <w:t>results</w:t>
      </w:r>
      <w:r>
        <w:rPr>
          <w:spacing w:val="-3"/>
        </w:rPr>
        <w:t xml:space="preserve"> </w:t>
      </w:r>
      <w:r>
        <w:t>in</w:t>
      </w:r>
      <w:r>
        <w:rPr>
          <w:spacing w:val="-4"/>
        </w:rPr>
        <w:t xml:space="preserve"> </w:t>
      </w:r>
      <w:r>
        <w:t>a</w:t>
      </w:r>
      <w:r>
        <w:rPr>
          <w:spacing w:val="-3"/>
        </w:rPr>
        <w:t xml:space="preserve"> </w:t>
      </w:r>
      <w:r>
        <w:t>total</w:t>
      </w:r>
      <w:r>
        <w:rPr>
          <w:spacing w:val="-3"/>
        </w:rPr>
        <w:t xml:space="preserve"> </w:t>
      </w:r>
      <w:r>
        <w:t>of</w:t>
      </w:r>
      <w:r>
        <w:rPr>
          <w:spacing w:val="-3"/>
        </w:rPr>
        <w:t xml:space="preserve"> </w:t>
      </w:r>
      <w:r>
        <w:t>42</w:t>
      </w:r>
      <w:r>
        <w:rPr>
          <w:spacing w:val="-3"/>
        </w:rPr>
        <w:t xml:space="preserve"> </w:t>
      </w:r>
      <w:r>
        <w:t>reports</w:t>
      </w:r>
      <w:r>
        <w:rPr>
          <w:spacing w:val="-3"/>
        </w:rPr>
        <w:t xml:space="preserve"> </w:t>
      </w:r>
      <w:r>
        <w:t>per</w:t>
      </w:r>
      <w:r>
        <w:rPr>
          <w:spacing w:val="-3"/>
        </w:rPr>
        <w:t xml:space="preserve"> </w:t>
      </w:r>
      <w:r>
        <w:t>year.</w:t>
      </w:r>
    </w:p>
    <w:p w:rsidR="00161DED" w:rsidP="00CC5903" w14:paraId="671EF194" w14:textId="77777777">
      <w:pPr>
        <w:pStyle w:val="ListParagraph"/>
        <w:numPr>
          <w:ilvl w:val="0"/>
          <w:numId w:val="1"/>
        </w:numPr>
        <w:tabs>
          <w:tab w:val="left" w:pos="2280"/>
        </w:tabs>
        <w:spacing w:before="253"/>
        <w:ind w:right="155" w:hanging="360"/>
      </w:pPr>
      <w:r>
        <w:t>There</w:t>
      </w:r>
      <w:r w:rsidRPr="00CC5903">
        <w:t xml:space="preserve"> </w:t>
      </w:r>
      <w:r>
        <w:t>is</w:t>
      </w:r>
      <w:r w:rsidRPr="00CC5903">
        <w:t xml:space="preserve"> </w:t>
      </w:r>
      <w:r>
        <w:t>currently</w:t>
      </w:r>
      <w:r w:rsidRPr="00CC5903">
        <w:t xml:space="preserve"> </w:t>
      </w:r>
      <w:r>
        <w:t>no</w:t>
      </w:r>
      <w:r w:rsidRPr="00CC5903">
        <w:t xml:space="preserve"> </w:t>
      </w:r>
      <w:r>
        <w:t>facility</w:t>
      </w:r>
      <w:r w:rsidRPr="00CC5903">
        <w:t xml:space="preserve"> </w:t>
      </w:r>
      <w:r>
        <w:t>that</w:t>
      </w:r>
      <w:r w:rsidRPr="00CC5903">
        <w:t xml:space="preserve"> </w:t>
      </w:r>
      <w:r>
        <w:t>processes</w:t>
      </w:r>
      <w:r w:rsidRPr="00CC5903">
        <w:t xml:space="preserve"> </w:t>
      </w:r>
      <w:r>
        <w:t>SNM</w:t>
      </w:r>
      <w:r w:rsidRPr="00CC5903">
        <w:t xml:space="preserve"> </w:t>
      </w:r>
      <w:r>
        <w:t>of</w:t>
      </w:r>
      <w:r w:rsidRPr="00CC5903">
        <w:t xml:space="preserve"> </w:t>
      </w:r>
      <w:r>
        <w:t>moderate</w:t>
      </w:r>
      <w:r w:rsidRPr="00CC5903">
        <w:t xml:space="preserve"> </w:t>
      </w:r>
      <w:r>
        <w:t>strategic significance (0 reports).</w:t>
      </w:r>
    </w:p>
    <w:p w:rsidR="00161DED" w:rsidP="00CC5903" w14:paraId="4A3C37AB" w14:textId="1100D0D7">
      <w:pPr>
        <w:pStyle w:val="ListParagraph"/>
        <w:numPr>
          <w:ilvl w:val="0"/>
          <w:numId w:val="1"/>
        </w:numPr>
        <w:tabs>
          <w:tab w:val="left" w:pos="2280"/>
        </w:tabs>
        <w:spacing w:before="253"/>
        <w:ind w:right="155" w:hanging="360"/>
      </w:pPr>
      <w:r>
        <w:t>There</w:t>
      </w:r>
      <w:r w:rsidRPr="00CC5903">
        <w:t xml:space="preserve"> </w:t>
      </w:r>
      <w:r>
        <w:t>are</w:t>
      </w:r>
      <w:r w:rsidRPr="00CC5903">
        <w:t xml:space="preserve"> </w:t>
      </w:r>
      <w:r>
        <w:t>three</w:t>
      </w:r>
      <w:r w:rsidRPr="00CC5903">
        <w:t xml:space="preserve"> </w:t>
      </w:r>
      <w:r>
        <w:t>fuel</w:t>
      </w:r>
      <w:r w:rsidRPr="00CC5903">
        <w:t xml:space="preserve"> </w:t>
      </w:r>
      <w:r>
        <w:t>fabricators</w:t>
      </w:r>
      <w:r w:rsidRPr="00CC5903">
        <w:t xml:space="preserve"> </w:t>
      </w:r>
      <w:r>
        <w:t>of</w:t>
      </w:r>
      <w:r w:rsidRPr="00CC5903">
        <w:t xml:space="preserve"> </w:t>
      </w:r>
      <w:r>
        <w:t>commercial</w:t>
      </w:r>
      <w:r w:rsidRPr="00CC5903">
        <w:t xml:space="preserve"> </w:t>
      </w:r>
      <w:r>
        <w:t>power</w:t>
      </w:r>
      <w:r w:rsidRPr="00CC5903">
        <w:t xml:space="preserve"> </w:t>
      </w:r>
      <w:r>
        <w:t>reactor</w:t>
      </w:r>
      <w:r w:rsidRPr="00CC5903">
        <w:t xml:space="preserve"> </w:t>
      </w:r>
      <w:r>
        <w:t>fuel</w:t>
      </w:r>
      <w:r w:rsidRPr="00CC5903">
        <w:t xml:space="preserve"> </w:t>
      </w:r>
      <w:r>
        <w:t>(SNM</w:t>
      </w:r>
      <w:r w:rsidRPr="00CC5903">
        <w:t xml:space="preserve"> </w:t>
      </w:r>
      <w:r>
        <w:t>of low strategic significance) that are required to perform physical inventories at least every 12 months.</w:t>
      </w:r>
      <w:r w:rsidR="00851EB9">
        <w:t xml:space="preserve"> The number of</w:t>
      </w:r>
      <w:r w:rsidR="00594E17">
        <w:t xml:space="preserve"> reports </w:t>
      </w:r>
      <w:r w:rsidR="00501B5E">
        <w:t>varies</w:t>
      </w:r>
      <w:r w:rsidR="00121F01">
        <w:t xml:space="preserve"> by facility </w:t>
      </w:r>
      <w:r w:rsidR="00602FB2">
        <w:t>commensurate with</w:t>
      </w:r>
      <w:r w:rsidR="00121F01">
        <w:t xml:space="preserve"> the number of</w:t>
      </w:r>
      <w:r w:rsidR="00851EB9">
        <w:t xml:space="preserve"> material balance areas</w:t>
      </w:r>
      <w:r w:rsidR="00602FB2">
        <w:t xml:space="preserve"> </w:t>
      </w:r>
      <w:r w:rsidR="000C47CF">
        <w:t>in each</w:t>
      </w:r>
      <w:r w:rsidR="00594E17">
        <w:t xml:space="preserve"> facility.</w:t>
      </w:r>
      <w:r>
        <w:t xml:space="preserve"> This results in a total of 9 reports per year for the three </w:t>
      </w:r>
      <w:r>
        <w:t>fabricators.</w:t>
      </w:r>
    </w:p>
    <w:p w:rsidR="00161DED" w14:paraId="73D320BF" w14:textId="6F439DC4">
      <w:pPr>
        <w:pStyle w:val="BodyText"/>
        <w:spacing w:before="80"/>
        <w:ind w:left="1560"/>
      </w:pPr>
      <w:r>
        <w:t>Overall,</w:t>
      </w:r>
      <w:r>
        <w:rPr>
          <w:spacing w:val="-4"/>
        </w:rPr>
        <w:t xml:space="preserve"> </w:t>
      </w:r>
      <w:r>
        <w:t>there</w:t>
      </w:r>
      <w:r>
        <w:rPr>
          <w:spacing w:val="-4"/>
        </w:rPr>
        <w:t xml:space="preserve"> </w:t>
      </w:r>
      <w:r>
        <w:t>will</w:t>
      </w:r>
      <w:r>
        <w:rPr>
          <w:spacing w:val="-4"/>
        </w:rPr>
        <w:t xml:space="preserve"> </w:t>
      </w:r>
      <w:r>
        <w:t>be</w:t>
      </w:r>
      <w:r>
        <w:rPr>
          <w:spacing w:val="-4"/>
        </w:rPr>
        <w:t xml:space="preserve"> </w:t>
      </w:r>
      <w:r>
        <w:t>an</w:t>
      </w:r>
      <w:r>
        <w:rPr>
          <w:spacing w:val="-5"/>
        </w:rPr>
        <w:t xml:space="preserve"> </w:t>
      </w:r>
      <w:r>
        <w:t>estimated</w:t>
      </w:r>
      <w:r>
        <w:rPr>
          <w:spacing w:val="-4"/>
        </w:rPr>
        <w:t xml:space="preserve"> </w:t>
      </w:r>
      <w:r w:rsidR="005B4C74">
        <w:t>77</w:t>
      </w:r>
      <w:r>
        <w:rPr>
          <w:spacing w:val="-4"/>
        </w:rPr>
        <w:t xml:space="preserve"> </w:t>
      </w:r>
      <w:r>
        <w:t>inventory</w:t>
      </w:r>
      <w:r>
        <w:rPr>
          <w:spacing w:val="-4"/>
        </w:rPr>
        <w:t xml:space="preserve"> </w:t>
      </w:r>
      <w:r>
        <w:t>summary</w:t>
      </w:r>
      <w:r>
        <w:rPr>
          <w:spacing w:val="-4"/>
        </w:rPr>
        <w:t xml:space="preserve"> </w:t>
      </w:r>
      <w:r>
        <w:t>reports</w:t>
      </w:r>
      <w:r>
        <w:rPr>
          <w:spacing w:val="-4"/>
        </w:rPr>
        <w:t xml:space="preserve"> </w:t>
      </w:r>
      <w:r>
        <w:t>required</w:t>
      </w:r>
      <w:r>
        <w:rPr>
          <w:spacing w:val="-4"/>
        </w:rPr>
        <w:t xml:space="preserve"> </w:t>
      </w:r>
      <w:r>
        <w:t>each year (18 +</w:t>
      </w:r>
      <w:r w:rsidR="00584EB6">
        <w:t xml:space="preserve"> </w:t>
      </w:r>
      <w:r w:rsidR="005B4C74">
        <w:t>8</w:t>
      </w:r>
      <w:r w:rsidR="00584EB6">
        <w:t xml:space="preserve"> </w:t>
      </w:r>
      <w:r w:rsidR="005B4C74">
        <w:t>+</w:t>
      </w:r>
      <w:r>
        <w:t xml:space="preserve"> 42 + 9).</w:t>
      </w:r>
    </w:p>
    <w:p w:rsidR="00161DED" w14:paraId="059C279E" w14:textId="546B2884">
      <w:pPr>
        <w:pStyle w:val="BodyText"/>
        <w:spacing w:before="252"/>
        <w:ind w:left="1559" w:right="139"/>
      </w:pPr>
      <w:r>
        <w:t>The completion of the SNM Physical Inventory Summary Report (NRC Form</w:t>
      </w:r>
      <w:r>
        <w:rPr>
          <w:spacing w:val="40"/>
        </w:rPr>
        <w:t xml:space="preserve"> </w:t>
      </w:r>
      <w:r>
        <w:t xml:space="preserve">327) will require an estimate of 4.0 staff hours per </w:t>
      </w:r>
      <w:r>
        <w:t>licensee</w:t>
      </w:r>
      <w:r>
        <w:t xml:space="preserve"> per report (including any time needed to read or review the NRC technical report designation </w:t>
      </w:r>
      <w:r>
        <w:rPr>
          <w:rFonts w:ascii="Segoe UI"/>
        </w:rPr>
        <w:t>(</w:t>
      </w:r>
      <w:r>
        <w:t xml:space="preserve">NUREG) guidance document). The total estimated burden is approximately </w:t>
      </w:r>
      <w:r w:rsidR="0065507F">
        <w:t>308</w:t>
      </w:r>
      <w:r>
        <w:t xml:space="preserve"> hours</w:t>
      </w:r>
      <w:r>
        <w:rPr>
          <w:spacing w:val="-3"/>
        </w:rPr>
        <w:t xml:space="preserve"> </w:t>
      </w:r>
      <w:r>
        <w:t>(</w:t>
      </w:r>
      <w:r w:rsidR="006747B6">
        <w:t>77</w:t>
      </w:r>
      <w:r>
        <w:rPr>
          <w:spacing w:val="-3"/>
        </w:rPr>
        <w:t xml:space="preserve"> </w:t>
      </w:r>
      <w:r>
        <w:t>reports</w:t>
      </w:r>
      <w:r>
        <w:rPr>
          <w:spacing w:val="-3"/>
        </w:rPr>
        <w:t xml:space="preserve"> </w:t>
      </w:r>
      <w:r>
        <w:t>x</w:t>
      </w:r>
      <w:r>
        <w:rPr>
          <w:spacing w:val="-3"/>
        </w:rPr>
        <w:t xml:space="preserve"> </w:t>
      </w:r>
      <w:r>
        <w:t>4.0</w:t>
      </w:r>
      <w:r>
        <w:rPr>
          <w:spacing w:val="-3"/>
        </w:rPr>
        <w:t xml:space="preserve"> </w:t>
      </w:r>
      <w:r>
        <w:t>hours/report)</w:t>
      </w:r>
      <w:r>
        <w:rPr>
          <w:spacing w:val="-4"/>
        </w:rPr>
        <w:t xml:space="preserve"> </w:t>
      </w:r>
      <w:r>
        <w:t>for</w:t>
      </w:r>
      <w:r>
        <w:rPr>
          <w:spacing w:val="-3"/>
        </w:rPr>
        <w:t xml:space="preserve"> </w:t>
      </w:r>
      <w:r>
        <w:t>current</w:t>
      </w:r>
      <w:r>
        <w:rPr>
          <w:spacing w:val="-3"/>
        </w:rPr>
        <w:t xml:space="preserve"> </w:t>
      </w:r>
      <w:r>
        <w:t>operations.</w:t>
      </w:r>
      <w:r>
        <w:rPr>
          <w:spacing w:val="40"/>
        </w:rPr>
        <w:t xml:space="preserve"> </w:t>
      </w:r>
      <w:r>
        <w:t>The</w:t>
      </w:r>
      <w:r>
        <w:rPr>
          <w:spacing w:val="-3"/>
        </w:rPr>
        <w:t xml:space="preserve"> </w:t>
      </w:r>
      <w:r>
        <w:t>total</w:t>
      </w:r>
      <w:r>
        <w:rPr>
          <w:spacing w:val="-3"/>
        </w:rPr>
        <w:t xml:space="preserve"> </w:t>
      </w:r>
      <w:r>
        <w:t>annual</w:t>
      </w:r>
      <w:r>
        <w:rPr>
          <w:spacing w:val="-3"/>
        </w:rPr>
        <w:t xml:space="preserve"> </w:t>
      </w:r>
      <w:r>
        <w:t>cost is approximately $</w:t>
      </w:r>
      <w:r w:rsidR="00BD168F">
        <w:t>97,636</w:t>
      </w:r>
      <w:r>
        <w:t xml:space="preserve"> (</w:t>
      </w:r>
      <w:r w:rsidR="0065507F">
        <w:t>308</w:t>
      </w:r>
      <w:r>
        <w:t xml:space="preserve"> hours x $</w:t>
      </w:r>
      <w:r w:rsidR="0065507F">
        <w:t>317</w:t>
      </w:r>
      <w:r>
        <w:t xml:space="preserve"> per hour)</w:t>
      </w:r>
      <w:r>
        <w:rPr>
          <w:position w:val="7"/>
          <w:sz w:val="14"/>
        </w:rPr>
        <w:t>1</w:t>
      </w:r>
      <w:r>
        <w:rPr>
          <w:spacing w:val="34"/>
          <w:position w:val="7"/>
          <w:sz w:val="14"/>
        </w:rPr>
        <w:t xml:space="preserve"> </w:t>
      </w:r>
      <w:r>
        <w:t>for current operations.</w:t>
      </w:r>
    </w:p>
    <w:p w:rsidR="00161DED" w14:paraId="52A895EA" w14:textId="77777777">
      <w:pPr>
        <w:pStyle w:val="BodyText"/>
      </w:pPr>
    </w:p>
    <w:p w:rsidR="00161DED" w14:paraId="288C10B8" w14:textId="0B5708C2">
      <w:pPr>
        <w:pStyle w:val="BodyText"/>
        <w:ind w:left="1559" w:right="101"/>
      </w:pPr>
      <w:r>
        <w:t>The $</w:t>
      </w:r>
      <w:r w:rsidR="00FA2E4A">
        <w:t>317</w:t>
      </w:r>
      <w:r>
        <w:t xml:space="preserve"> hourly rate used in the burden estimates is based on the Nuclear Regulatory Commission’s fee for hourly rates as noted in 10 CFR 170.20 “Average cost per professional staff-hour.”</w:t>
      </w:r>
      <w:r>
        <w:rPr>
          <w:spacing w:val="40"/>
        </w:rPr>
        <w:t xml:space="preserve"> </w:t>
      </w:r>
      <w:r>
        <w:t xml:space="preserve">For more information </w:t>
      </w:r>
      <w:r>
        <w:t>on the basis of</w:t>
      </w:r>
      <w:r>
        <w:t xml:space="preserve"> this</w:t>
      </w:r>
      <w:r>
        <w:rPr>
          <w:spacing w:val="-3"/>
        </w:rPr>
        <w:t xml:space="preserve"> </w:t>
      </w:r>
      <w:r>
        <w:t>rate,</w:t>
      </w:r>
      <w:r>
        <w:rPr>
          <w:spacing w:val="-3"/>
        </w:rPr>
        <w:t xml:space="preserve"> </w:t>
      </w:r>
      <w:r>
        <w:t>see</w:t>
      </w:r>
      <w:r>
        <w:rPr>
          <w:spacing w:val="-3"/>
        </w:rPr>
        <w:t xml:space="preserve"> </w:t>
      </w:r>
      <w:r>
        <w:t>the</w:t>
      </w:r>
      <w:r>
        <w:rPr>
          <w:spacing w:val="-3"/>
        </w:rPr>
        <w:t xml:space="preserve"> </w:t>
      </w:r>
      <w:r>
        <w:t>Revision</w:t>
      </w:r>
      <w:r>
        <w:rPr>
          <w:spacing w:val="-3"/>
        </w:rPr>
        <w:t xml:space="preserve"> </w:t>
      </w:r>
      <w:r>
        <w:t>of</w:t>
      </w:r>
      <w:r>
        <w:rPr>
          <w:spacing w:val="-3"/>
        </w:rPr>
        <w:t xml:space="preserve"> </w:t>
      </w:r>
      <w:r>
        <w:t>Fee</w:t>
      </w:r>
      <w:r>
        <w:rPr>
          <w:spacing w:val="-3"/>
        </w:rPr>
        <w:t xml:space="preserve"> </w:t>
      </w:r>
      <w:r>
        <w:t>Schedules;</w:t>
      </w:r>
      <w:r>
        <w:rPr>
          <w:spacing w:val="-3"/>
        </w:rPr>
        <w:t xml:space="preserve"> </w:t>
      </w:r>
      <w:r>
        <w:t>Fee</w:t>
      </w:r>
      <w:r>
        <w:rPr>
          <w:spacing w:val="-3"/>
        </w:rPr>
        <w:t xml:space="preserve"> </w:t>
      </w:r>
      <w:r>
        <w:t>Recovery</w:t>
      </w:r>
      <w:r>
        <w:rPr>
          <w:spacing w:val="-3"/>
        </w:rPr>
        <w:t xml:space="preserve"> </w:t>
      </w:r>
      <w:r>
        <w:t>for</w:t>
      </w:r>
      <w:r>
        <w:rPr>
          <w:spacing w:val="-4"/>
        </w:rPr>
        <w:t xml:space="preserve"> </w:t>
      </w:r>
      <w:r>
        <w:t>Fiscal</w:t>
      </w:r>
      <w:r>
        <w:rPr>
          <w:spacing w:val="-4"/>
        </w:rPr>
        <w:t xml:space="preserve"> </w:t>
      </w:r>
      <w:r>
        <w:t>Year</w:t>
      </w:r>
      <w:r>
        <w:rPr>
          <w:spacing w:val="-3"/>
        </w:rPr>
        <w:t xml:space="preserve"> </w:t>
      </w:r>
      <w:r>
        <w:t>202</w:t>
      </w:r>
      <w:r w:rsidR="00BB265C">
        <w:t>4</w:t>
      </w:r>
      <w:r>
        <w:t xml:space="preserve"> (8</w:t>
      </w:r>
      <w:r w:rsidR="00BB265C">
        <w:t>9</w:t>
      </w:r>
      <w:r>
        <w:t xml:space="preserve"> FR </w:t>
      </w:r>
      <w:r w:rsidR="00BB265C">
        <w:t>51789</w:t>
      </w:r>
      <w:r>
        <w:t xml:space="preserve">, June </w:t>
      </w:r>
      <w:r w:rsidR="00F919BC">
        <w:t>20</w:t>
      </w:r>
      <w:r>
        <w:t>, 202</w:t>
      </w:r>
      <w:r w:rsidR="00F919BC">
        <w:t>4</w:t>
      </w:r>
      <w:r>
        <w:t>).</w:t>
      </w:r>
    </w:p>
    <w:p w:rsidR="00161DED" w14:paraId="206A2D1A" w14:textId="77777777">
      <w:pPr>
        <w:pStyle w:val="BodyText"/>
      </w:pPr>
    </w:p>
    <w:p w:rsidR="00161DED" w14:paraId="2450F226" w14:textId="77777777">
      <w:pPr>
        <w:pStyle w:val="ListParagraph"/>
        <w:numPr>
          <w:ilvl w:val="1"/>
          <w:numId w:val="2"/>
        </w:numPr>
        <w:tabs>
          <w:tab w:val="left" w:pos="1559"/>
        </w:tabs>
        <w:spacing w:before="1"/>
        <w:ind w:left="1559" w:hanging="720"/>
      </w:pPr>
      <w:r>
        <w:rPr>
          <w:u w:val="single"/>
        </w:rPr>
        <w:t>Estimate</w:t>
      </w:r>
      <w:r>
        <w:rPr>
          <w:spacing w:val="-7"/>
          <w:u w:val="single"/>
        </w:rPr>
        <w:t xml:space="preserve"> </w:t>
      </w:r>
      <w:r>
        <w:rPr>
          <w:u w:val="single"/>
        </w:rPr>
        <w:t>of</w:t>
      </w:r>
      <w:r>
        <w:rPr>
          <w:spacing w:val="-7"/>
          <w:u w:val="single"/>
        </w:rPr>
        <w:t xml:space="preserve"> </w:t>
      </w:r>
      <w:r>
        <w:rPr>
          <w:u w:val="single"/>
        </w:rPr>
        <w:t>Other</w:t>
      </w:r>
      <w:r>
        <w:rPr>
          <w:spacing w:val="-6"/>
          <w:u w:val="single"/>
        </w:rPr>
        <w:t xml:space="preserve"> </w:t>
      </w:r>
      <w:r>
        <w:rPr>
          <w:u w:val="single"/>
        </w:rPr>
        <w:t>Additional</w:t>
      </w:r>
      <w:r>
        <w:rPr>
          <w:spacing w:val="-7"/>
          <w:u w:val="single"/>
        </w:rPr>
        <w:t xml:space="preserve"> </w:t>
      </w:r>
      <w:r>
        <w:rPr>
          <w:spacing w:val="-4"/>
          <w:u w:val="single"/>
        </w:rPr>
        <w:t>Cost</w:t>
      </w:r>
    </w:p>
    <w:p w:rsidR="00161DED" w14:paraId="50665C04" w14:textId="77777777">
      <w:pPr>
        <w:pStyle w:val="BodyText"/>
      </w:pPr>
    </w:p>
    <w:p w:rsidR="00161DED" w14:paraId="01E4F8D9" w14:textId="77777777">
      <w:pPr>
        <w:pStyle w:val="BodyText"/>
        <w:ind w:left="1560"/>
      </w:pPr>
      <w:r>
        <w:t>Not</w:t>
      </w:r>
      <w:r>
        <w:rPr>
          <w:spacing w:val="-4"/>
        </w:rPr>
        <w:t xml:space="preserve"> </w:t>
      </w:r>
      <w:r>
        <w:rPr>
          <w:spacing w:val="-2"/>
        </w:rPr>
        <w:t>applicable.</w:t>
      </w:r>
    </w:p>
    <w:p w:rsidR="00161DED" w14:paraId="482B45D1" w14:textId="77777777">
      <w:pPr>
        <w:pStyle w:val="ListParagraph"/>
        <w:numPr>
          <w:ilvl w:val="1"/>
          <w:numId w:val="2"/>
        </w:numPr>
        <w:tabs>
          <w:tab w:val="left" w:pos="1559"/>
        </w:tabs>
        <w:spacing w:before="252"/>
        <w:ind w:left="1559" w:hanging="719"/>
      </w:pPr>
      <w:r>
        <w:rPr>
          <w:u w:val="single"/>
        </w:rPr>
        <w:t>Estimated</w:t>
      </w:r>
      <w:r>
        <w:rPr>
          <w:spacing w:val="-7"/>
          <w:u w:val="single"/>
        </w:rPr>
        <w:t xml:space="preserve"> </w:t>
      </w:r>
      <w:r>
        <w:rPr>
          <w:u w:val="single"/>
        </w:rPr>
        <w:t>Annualized</w:t>
      </w:r>
      <w:r>
        <w:rPr>
          <w:spacing w:val="-7"/>
          <w:u w:val="single"/>
        </w:rPr>
        <w:t xml:space="preserve"> </w:t>
      </w:r>
      <w:r>
        <w:rPr>
          <w:u w:val="single"/>
        </w:rPr>
        <w:t>Cost</w:t>
      </w:r>
      <w:r>
        <w:rPr>
          <w:spacing w:val="-7"/>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Federal</w:t>
      </w:r>
      <w:r>
        <w:rPr>
          <w:spacing w:val="-7"/>
          <w:u w:val="single"/>
        </w:rPr>
        <w:t xml:space="preserve"> </w:t>
      </w:r>
      <w:r>
        <w:rPr>
          <w:spacing w:val="-2"/>
          <w:u w:val="single"/>
        </w:rPr>
        <w:t>Government</w:t>
      </w:r>
    </w:p>
    <w:p w:rsidR="00161DED" w14:paraId="3F224A7B" w14:textId="77777777">
      <w:pPr>
        <w:pStyle w:val="BodyText"/>
        <w:spacing w:before="1"/>
      </w:pPr>
    </w:p>
    <w:p w:rsidR="00161DED" w14:paraId="21901C37" w14:textId="77777777">
      <w:pPr>
        <w:pStyle w:val="BodyText"/>
        <w:ind w:left="1560" w:right="101"/>
      </w:pPr>
      <w:r>
        <w:t>The</w:t>
      </w:r>
      <w:r>
        <w:rPr>
          <w:spacing w:val="-4"/>
        </w:rPr>
        <w:t xml:space="preserve"> </w:t>
      </w:r>
      <w:r>
        <w:t>estimated</w:t>
      </w:r>
      <w:r>
        <w:rPr>
          <w:spacing w:val="-4"/>
        </w:rPr>
        <w:t xml:space="preserve"> </w:t>
      </w:r>
      <w:r>
        <w:t>annual</w:t>
      </w:r>
      <w:r>
        <w:rPr>
          <w:spacing w:val="-4"/>
        </w:rPr>
        <w:t xml:space="preserve"> </w:t>
      </w:r>
      <w:r>
        <w:t>cost</w:t>
      </w:r>
      <w:r>
        <w:rPr>
          <w:spacing w:val="-4"/>
        </w:rPr>
        <w:t xml:space="preserve"> </w:t>
      </w:r>
      <w:r>
        <w:t>to</w:t>
      </w:r>
      <w:r>
        <w:rPr>
          <w:spacing w:val="-4"/>
        </w:rPr>
        <w:t xml:space="preserve"> </w:t>
      </w:r>
      <w:r>
        <w:t>the</w:t>
      </w:r>
      <w:r>
        <w:rPr>
          <w:spacing w:val="-4"/>
        </w:rPr>
        <w:t xml:space="preserve"> </w:t>
      </w:r>
      <w:r>
        <w:t>Federal</w:t>
      </w:r>
      <w:r>
        <w:rPr>
          <w:spacing w:val="-4"/>
        </w:rPr>
        <w:t xml:space="preserve"> </w:t>
      </w:r>
      <w:r>
        <w:t>Government</w:t>
      </w:r>
      <w:r>
        <w:rPr>
          <w:spacing w:val="-4"/>
        </w:rPr>
        <w:t xml:space="preserve"> </w:t>
      </w:r>
      <w:r>
        <w:t>in</w:t>
      </w:r>
      <w:r>
        <w:rPr>
          <w:spacing w:val="-4"/>
        </w:rPr>
        <w:t xml:space="preserve"> </w:t>
      </w:r>
      <w:r>
        <w:t>administering</w:t>
      </w:r>
      <w:r>
        <w:rPr>
          <w:spacing w:val="-4"/>
        </w:rPr>
        <w:t xml:space="preserve"> </w:t>
      </w:r>
      <w:r>
        <w:t>the program and procedures contained in these requirements is:</w:t>
      </w:r>
    </w:p>
    <w:p w:rsidR="00161DED" w14:paraId="3097210E" w14:textId="77777777">
      <w:pPr>
        <w:pStyle w:val="BodyText"/>
        <w:spacing w:before="252"/>
        <w:ind w:left="1560"/>
      </w:pPr>
      <w:r>
        <w:t>Total</w:t>
      </w:r>
      <w:r>
        <w:rPr>
          <w:spacing w:val="-6"/>
        </w:rPr>
        <w:t xml:space="preserve"> </w:t>
      </w:r>
      <w:r>
        <w:t>annual</w:t>
      </w:r>
      <w:r>
        <w:rPr>
          <w:spacing w:val="-6"/>
        </w:rPr>
        <w:t xml:space="preserve"> </w:t>
      </w:r>
      <w:r>
        <w:t>cost</w:t>
      </w:r>
      <w:r>
        <w:rPr>
          <w:spacing w:val="-6"/>
        </w:rPr>
        <w:t xml:space="preserve"> </w:t>
      </w:r>
      <w:r>
        <w:t>-</w:t>
      </w:r>
      <w:r>
        <w:rPr>
          <w:spacing w:val="-6"/>
        </w:rPr>
        <w:t xml:space="preserve"> </w:t>
      </w:r>
      <w:r>
        <w:t>professional</w:t>
      </w:r>
      <w:r>
        <w:rPr>
          <w:spacing w:val="-6"/>
        </w:rPr>
        <w:t xml:space="preserve"> </w:t>
      </w:r>
      <w:r>
        <w:rPr>
          <w:spacing w:val="-2"/>
        </w:rPr>
        <w:t>effort</w:t>
      </w:r>
    </w:p>
    <w:p w:rsidR="00161DED" w14:paraId="30DBDCF8" w14:textId="61B18198">
      <w:pPr>
        <w:pStyle w:val="BodyText"/>
        <w:ind w:left="1560"/>
      </w:pPr>
      <w:r>
        <w:t>(</w:t>
      </w:r>
      <w:r w:rsidR="000F3282">
        <w:t>77</w:t>
      </w:r>
      <w:r>
        <w:rPr>
          <w:spacing w:val="-5"/>
        </w:rPr>
        <w:t xml:space="preserve"> </w:t>
      </w:r>
      <w:r>
        <w:t>reports</w:t>
      </w:r>
      <w:r>
        <w:rPr>
          <w:spacing w:val="-6"/>
        </w:rPr>
        <w:t xml:space="preserve"> </w:t>
      </w:r>
      <w:r>
        <w:t>x</w:t>
      </w:r>
      <w:r>
        <w:rPr>
          <w:spacing w:val="-5"/>
        </w:rPr>
        <w:t xml:space="preserve"> </w:t>
      </w:r>
      <w:r>
        <w:t>2</w:t>
      </w:r>
      <w:r>
        <w:rPr>
          <w:spacing w:val="-5"/>
        </w:rPr>
        <w:t xml:space="preserve"> </w:t>
      </w:r>
      <w:r>
        <w:t>hours/report</w:t>
      </w:r>
      <w:r>
        <w:rPr>
          <w:spacing w:val="-5"/>
        </w:rPr>
        <w:t xml:space="preserve"> </w:t>
      </w:r>
      <w:r>
        <w:t>x</w:t>
      </w:r>
      <w:r>
        <w:rPr>
          <w:spacing w:val="-5"/>
        </w:rPr>
        <w:t xml:space="preserve"> </w:t>
      </w:r>
      <w:r>
        <w:t>$</w:t>
      </w:r>
      <w:r w:rsidR="000F3282">
        <w:t>317</w:t>
      </w:r>
      <w:r>
        <w:rPr>
          <w:spacing w:val="-4"/>
        </w:rPr>
        <w:t xml:space="preserve"> </w:t>
      </w:r>
      <w:r>
        <w:t>per</w:t>
      </w:r>
      <w:r>
        <w:rPr>
          <w:spacing w:val="-5"/>
        </w:rPr>
        <w:t xml:space="preserve"> </w:t>
      </w:r>
      <w:r>
        <w:t>hour)</w:t>
      </w:r>
      <w:r>
        <w:rPr>
          <w:spacing w:val="-5"/>
        </w:rPr>
        <w:t xml:space="preserve"> </w:t>
      </w:r>
      <w:r>
        <w:t>=</w:t>
      </w:r>
      <w:r>
        <w:rPr>
          <w:spacing w:val="-4"/>
        </w:rPr>
        <w:t xml:space="preserve"> </w:t>
      </w:r>
      <w:r>
        <w:t>$</w:t>
      </w:r>
      <w:r w:rsidR="000F3282">
        <w:t>48,818</w:t>
      </w:r>
      <w:r>
        <w:rPr>
          <w:spacing w:val="-5"/>
        </w:rPr>
        <w:t xml:space="preserve"> </w:t>
      </w:r>
      <w:r>
        <w:t>(current</w:t>
      </w:r>
      <w:r>
        <w:rPr>
          <w:spacing w:val="-5"/>
        </w:rPr>
        <w:t xml:space="preserve"> </w:t>
      </w:r>
      <w:r>
        <w:rPr>
          <w:spacing w:val="-2"/>
        </w:rPr>
        <w:t>operations)</w:t>
      </w:r>
    </w:p>
    <w:p w:rsidR="00161DED" w14:paraId="7DB8E97C" w14:textId="77777777">
      <w:pPr>
        <w:pStyle w:val="BodyText"/>
        <w:spacing w:before="1"/>
      </w:pPr>
    </w:p>
    <w:p w:rsidR="00161DED" w14:paraId="39E2409E" w14:textId="77777777">
      <w:pPr>
        <w:pStyle w:val="BodyText"/>
        <w:ind w:left="1560" w:right="104"/>
      </w:pPr>
      <w:r>
        <w:t>The staff has developed estimates of annualized costs to the Federal Government related to the conduct of this collection of information.</w:t>
      </w:r>
      <w:r>
        <w:rPr>
          <w:spacing w:val="40"/>
        </w:rPr>
        <w:t xml:space="preserve"> </w:t>
      </w:r>
      <w:r>
        <w:t>These estimates</w:t>
      </w:r>
      <w:r>
        <w:rPr>
          <w:spacing w:val="-4"/>
        </w:rPr>
        <w:t xml:space="preserve"> </w:t>
      </w:r>
      <w:r>
        <w:t>are</w:t>
      </w:r>
      <w:r>
        <w:rPr>
          <w:spacing w:val="-4"/>
        </w:rPr>
        <w:t xml:space="preserve"> </w:t>
      </w:r>
      <w:r>
        <w:t>based</w:t>
      </w:r>
      <w:r>
        <w:rPr>
          <w:spacing w:val="-4"/>
        </w:rPr>
        <w:t xml:space="preserve"> </w:t>
      </w:r>
      <w:r>
        <w:t>on</w:t>
      </w:r>
      <w:r>
        <w:rPr>
          <w:spacing w:val="-5"/>
        </w:rPr>
        <w:t xml:space="preserve"> </w:t>
      </w:r>
      <w:r>
        <w:t>staff</w:t>
      </w:r>
      <w:r>
        <w:rPr>
          <w:spacing w:val="-4"/>
        </w:rPr>
        <w:t xml:space="preserve"> </w:t>
      </w:r>
      <w:r>
        <w:t>experience</w:t>
      </w:r>
      <w:r>
        <w:rPr>
          <w:spacing w:val="-4"/>
        </w:rPr>
        <w:t xml:space="preserve"> </w:t>
      </w:r>
      <w:r>
        <w:t>and</w:t>
      </w:r>
      <w:r>
        <w:rPr>
          <w:spacing w:val="-4"/>
        </w:rPr>
        <w:t xml:space="preserve"> </w:t>
      </w:r>
      <w:r>
        <w:t>subject</w:t>
      </w:r>
      <w:r>
        <w:rPr>
          <w:spacing w:val="-4"/>
        </w:rPr>
        <w:t xml:space="preserve"> </w:t>
      </w:r>
      <w:r>
        <w:t>matter</w:t>
      </w:r>
      <w:r>
        <w:rPr>
          <w:spacing w:val="-4"/>
        </w:rPr>
        <w:t xml:space="preserve"> </w:t>
      </w:r>
      <w:r>
        <w:t>expertise</w:t>
      </w:r>
      <w:r>
        <w:rPr>
          <w:spacing w:val="-4"/>
        </w:rPr>
        <w:t xml:space="preserve"> </w:t>
      </w:r>
      <w:r>
        <w:t>and</w:t>
      </w:r>
      <w:r>
        <w:rPr>
          <w:spacing w:val="-4"/>
        </w:rPr>
        <w:t xml:space="preserve"> </w:t>
      </w:r>
      <w:r>
        <w:t>include the burden needed to review, analyze, and process the collected information and any relevant operational expenses.</w:t>
      </w:r>
    </w:p>
    <w:p w:rsidR="00161DED" w14:paraId="37D5CFEE" w14:textId="77777777">
      <w:pPr>
        <w:pStyle w:val="BodyText"/>
      </w:pPr>
    </w:p>
    <w:p w:rsidR="00161DED" w14:paraId="2096B1D5" w14:textId="77777777">
      <w:pPr>
        <w:pStyle w:val="ListParagraph"/>
        <w:numPr>
          <w:ilvl w:val="1"/>
          <w:numId w:val="2"/>
        </w:numPr>
        <w:tabs>
          <w:tab w:val="left" w:pos="1559"/>
        </w:tabs>
        <w:ind w:left="1559" w:hanging="719"/>
      </w:pPr>
      <w:r>
        <w:rPr>
          <w:u w:val="single"/>
        </w:rPr>
        <w:t>Reason</w:t>
      </w:r>
      <w:r>
        <w:rPr>
          <w:spacing w:val="-5"/>
          <w:u w:val="single"/>
        </w:rPr>
        <w:t xml:space="preserve"> </w:t>
      </w:r>
      <w:r>
        <w:rPr>
          <w:u w:val="single"/>
        </w:rPr>
        <w:t>for</w:t>
      </w:r>
      <w:r>
        <w:rPr>
          <w:spacing w:val="-5"/>
          <w:u w:val="single"/>
        </w:rPr>
        <w:t xml:space="preserve"> </w:t>
      </w:r>
      <w:r>
        <w:rPr>
          <w:u w:val="single"/>
        </w:rPr>
        <w:t>Change</w:t>
      </w:r>
      <w:r>
        <w:rPr>
          <w:spacing w:val="-5"/>
          <w:u w:val="single"/>
        </w:rPr>
        <w:t xml:space="preserve"> </w:t>
      </w:r>
      <w:r>
        <w:rPr>
          <w:u w:val="single"/>
        </w:rPr>
        <w:t>in</w:t>
      </w:r>
      <w:r>
        <w:rPr>
          <w:spacing w:val="-5"/>
          <w:u w:val="single"/>
        </w:rPr>
        <w:t xml:space="preserve"> </w:t>
      </w:r>
      <w:r>
        <w:rPr>
          <w:u w:val="single"/>
        </w:rPr>
        <w:t>Burden</w:t>
      </w:r>
      <w:r>
        <w:rPr>
          <w:spacing w:val="-5"/>
          <w:u w:val="single"/>
        </w:rPr>
        <w:t xml:space="preserve"> </w:t>
      </w:r>
      <w:r>
        <w:rPr>
          <w:u w:val="single"/>
        </w:rPr>
        <w:t>or</w:t>
      </w:r>
      <w:r>
        <w:rPr>
          <w:spacing w:val="-5"/>
          <w:u w:val="single"/>
        </w:rPr>
        <w:t xml:space="preserve"> </w:t>
      </w:r>
      <w:r>
        <w:rPr>
          <w:spacing w:val="-4"/>
          <w:u w:val="single"/>
        </w:rPr>
        <w:t>Cost</w:t>
      </w:r>
    </w:p>
    <w:p w:rsidR="00161DED" w14:paraId="50310016" w14:textId="35B8A966">
      <w:pPr>
        <w:pStyle w:val="BodyText"/>
        <w:spacing w:before="252"/>
        <w:ind w:left="1560" w:right="101"/>
      </w:pPr>
      <w:r>
        <w:t xml:space="preserve">At current operations, the burden increased by </w:t>
      </w:r>
      <w:r w:rsidR="006D7635">
        <w:t>32</w:t>
      </w:r>
      <w:r>
        <w:t xml:space="preserve"> hours, from </w:t>
      </w:r>
      <w:r w:rsidR="00C53D54">
        <w:t xml:space="preserve">276 hours (69 reports x 4 hours per report) to </w:t>
      </w:r>
      <w:r w:rsidR="006D7635">
        <w:t>308</w:t>
      </w:r>
      <w:r>
        <w:t xml:space="preserve"> hours (</w:t>
      </w:r>
      <w:r w:rsidR="00C53D54">
        <w:t>77</w:t>
      </w:r>
      <w:r>
        <w:t xml:space="preserve"> reports x 4 hours per report), and the</w:t>
      </w:r>
      <w:r>
        <w:rPr>
          <w:spacing w:val="-3"/>
        </w:rPr>
        <w:t xml:space="preserve"> </w:t>
      </w:r>
      <w:r>
        <w:t>cost</w:t>
      </w:r>
      <w:r>
        <w:rPr>
          <w:spacing w:val="-3"/>
        </w:rPr>
        <w:t xml:space="preserve"> </w:t>
      </w:r>
      <w:r>
        <w:t>from</w:t>
      </w:r>
      <w:r>
        <w:rPr>
          <w:spacing w:val="-4"/>
        </w:rPr>
        <w:t xml:space="preserve"> </w:t>
      </w:r>
      <w:r>
        <w:t>$</w:t>
      </w:r>
      <w:r w:rsidR="00611DE6">
        <w:t>79,</w:t>
      </w:r>
      <w:r w:rsidR="009D2EB7">
        <w:t>4</w:t>
      </w:r>
      <w:r w:rsidR="00611DE6">
        <w:t>88</w:t>
      </w:r>
      <w:r w:rsidR="00C11D54">
        <w:t xml:space="preserve"> to</w:t>
      </w:r>
      <w:r w:rsidR="009D438B">
        <w:t xml:space="preserve"> $97,636</w:t>
      </w:r>
      <w:r>
        <w:t>.</w:t>
      </w:r>
      <w:r>
        <w:rPr>
          <w:spacing w:val="40"/>
        </w:rPr>
        <w:t xml:space="preserve"> </w:t>
      </w:r>
      <w:r>
        <w:t>This</w:t>
      </w:r>
      <w:r>
        <w:rPr>
          <w:spacing w:val="-3"/>
        </w:rPr>
        <w:t xml:space="preserve"> </w:t>
      </w:r>
      <w:r>
        <w:t>burden</w:t>
      </w:r>
      <w:r>
        <w:rPr>
          <w:spacing w:val="-4"/>
        </w:rPr>
        <w:t xml:space="preserve"> </w:t>
      </w:r>
      <w:r>
        <w:t>increase</w:t>
      </w:r>
      <w:r>
        <w:rPr>
          <w:spacing w:val="-3"/>
        </w:rPr>
        <w:t xml:space="preserve"> </w:t>
      </w:r>
      <w:r>
        <w:t>is</w:t>
      </w:r>
      <w:r>
        <w:rPr>
          <w:spacing w:val="-4"/>
        </w:rPr>
        <w:t xml:space="preserve"> </w:t>
      </w:r>
      <w:r>
        <w:t>due</w:t>
      </w:r>
      <w:r>
        <w:rPr>
          <w:spacing w:val="-3"/>
        </w:rPr>
        <w:t xml:space="preserve"> </w:t>
      </w:r>
      <w:r>
        <w:t>to</w:t>
      </w:r>
      <w:r>
        <w:rPr>
          <w:spacing w:val="-3"/>
        </w:rPr>
        <w:t xml:space="preserve"> </w:t>
      </w:r>
      <w:r>
        <w:t>a</w:t>
      </w:r>
      <w:r w:rsidR="009D438B">
        <w:t>n additional</w:t>
      </w:r>
      <w:r>
        <w:rPr>
          <w:spacing w:val="-3"/>
        </w:rPr>
        <w:t xml:space="preserve"> </w:t>
      </w:r>
      <w:r w:rsidR="00D241FF">
        <w:rPr>
          <w:spacing w:val="-3"/>
        </w:rPr>
        <w:t xml:space="preserve">uranium enrichment facility </w:t>
      </w:r>
      <w:r>
        <w:t>licensee</w:t>
      </w:r>
      <w:r w:rsidR="002546D9">
        <w:t xml:space="preserve"> </w:t>
      </w:r>
      <w:r w:rsidR="00BF6A81">
        <w:t xml:space="preserve">in current operations </w:t>
      </w:r>
      <w:r>
        <w:t xml:space="preserve">now reporting </w:t>
      </w:r>
      <w:r w:rsidR="002546D9">
        <w:t>its</w:t>
      </w:r>
      <w:r w:rsidR="002546D9">
        <w:t xml:space="preserve"> physical inventory reports</w:t>
      </w:r>
      <w:r>
        <w:t xml:space="preserve">, resulting in an increase of </w:t>
      </w:r>
      <w:r w:rsidR="00811E51">
        <w:t>8</w:t>
      </w:r>
      <w:r>
        <w:t xml:space="preserve"> report</w:t>
      </w:r>
      <w:r w:rsidR="00811E51">
        <w:t>s</w:t>
      </w:r>
      <w:r>
        <w:t xml:space="preserve"> per year.</w:t>
      </w:r>
    </w:p>
    <w:p w:rsidR="00161DED" w14:paraId="02DD1F51" w14:textId="77777777">
      <w:pPr>
        <w:pStyle w:val="BodyText"/>
      </w:pPr>
    </w:p>
    <w:p w:rsidR="00161DED" w14:paraId="7807194D" w14:textId="4BDE19FC">
      <w:pPr>
        <w:pStyle w:val="BodyText"/>
        <w:ind w:left="1560"/>
      </w:pPr>
      <w:r>
        <w:t>In</w:t>
      </w:r>
      <w:r>
        <w:rPr>
          <w:spacing w:val="-6"/>
        </w:rPr>
        <w:t xml:space="preserve"> </w:t>
      </w:r>
      <w:r>
        <w:t>addition,</w:t>
      </w:r>
      <w:r>
        <w:rPr>
          <w:spacing w:val="-6"/>
        </w:rPr>
        <w:t xml:space="preserve"> </w:t>
      </w:r>
      <w:r>
        <w:t>the</w:t>
      </w:r>
      <w:r>
        <w:rPr>
          <w:spacing w:val="-5"/>
        </w:rPr>
        <w:t xml:space="preserve"> </w:t>
      </w:r>
      <w:r>
        <w:t>cost</w:t>
      </w:r>
      <w:r>
        <w:rPr>
          <w:spacing w:val="-6"/>
        </w:rPr>
        <w:t xml:space="preserve"> </w:t>
      </w:r>
      <w:r>
        <w:t>to</w:t>
      </w:r>
      <w:r>
        <w:rPr>
          <w:spacing w:val="-5"/>
        </w:rPr>
        <w:t xml:space="preserve"> </w:t>
      </w:r>
      <w:r>
        <w:t>industry</w:t>
      </w:r>
      <w:r>
        <w:rPr>
          <w:spacing w:val="-6"/>
        </w:rPr>
        <w:t xml:space="preserve"> </w:t>
      </w:r>
      <w:r>
        <w:t>for</w:t>
      </w:r>
      <w:r>
        <w:rPr>
          <w:spacing w:val="-6"/>
        </w:rPr>
        <w:t xml:space="preserve"> </w:t>
      </w:r>
      <w:r>
        <w:t>professional</w:t>
      </w:r>
      <w:r>
        <w:rPr>
          <w:spacing w:val="-5"/>
        </w:rPr>
        <w:t xml:space="preserve"> </w:t>
      </w:r>
      <w:r>
        <w:t>effort</w:t>
      </w:r>
      <w:r>
        <w:rPr>
          <w:spacing w:val="-6"/>
        </w:rPr>
        <w:t xml:space="preserve"> </w:t>
      </w:r>
      <w:r>
        <w:t>has</w:t>
      </w:r>
      <w:r>
        <w:rPr>
          <w:spacing w:val="-5"/>
        </w:rPr>
        <w:t xml:space="preserve"> </w:t>
      </w:r>
      <w:r>
        <w:t>increased</w:t>
      </w:r>
      <w:r>
        <w:rPr>
          <w:spacing w:val="-6"/>
        </w:rPr>
        <w:t xml:space="preserve"> </w:t>
      </w:r>
      <w:r>
        <w:t>to</w:t>
      </w:r>
      <w:r>
        <w:rPr>
          <w:spacing w:val="-6"/>
        </w:rPr>
        <w:t xml:space="preserve"> </w:t>
      </w:r>
      <w:r>
        <w:rPr>
          <w:spacing w:val="-2"/>
        </w:rPr>
        <w:t>$</w:t>
      </w:r>
      <w:r w:rsidR="00811E51">
        <w:rPr>
          <w:spacing w:val="-2"/>
        </w:rPr>
        <w:t>317</w:t>
      </w:r>
      <w:r>
        <w:rPr>
          <w:spacing w:val="-2"/>
        </w:rPr>
        <w:t>/hour.</w:t>
      </w:r>
    </w:p>
    <w:p w:rsidR="00161DED" w14:paraId="436285A0" w14:textId="77777777">
      <w:pPr>
        <w:pStyle w:val="BodyText"/>
        <w:rPr>
          <w:sz w:val="20"/>
        </w:rPr>
      </w:pPr>
    </w:p>
    <w:p w:rsidR="00161DED" w14:paraId="35AD3633" w14:textId="77777777">
      <w:pPr>
        <w:pStyle w:val="BodyText"/>
        <w:rPr>
          <w:sz w:val="20"/>
        </w:rPr>
      </w:pPr>
    </w:p>
    <w:p w:rsidR="00161DED" w14:paraId="51050BA8" w14:textId="77777777">
      <w:pPr>
        <w:pStyle w:val="BodyText"/>
        <w:spacing w:before="76"/>
        <w:rPr>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209828</wp:posOffset>
                </wp:positionV>
                <wp:extent cx="1828800" cy="698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985"/>
                        </a:xfrm>
                        <a:custGeom>
                          <a:avLst/>
                          <a:gdLst/>
                          <a:rect l="l" t="t" r="r" b="b"/>
                          <a:pathLst>
                            <a:path fill="norm" h="6985" w="1828800" stroke="1">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5" style="width:2in;height:0.55pt;margin-top:16.5pt;margin-left:1in;mso-position-horizontal-relative:page;mso-wrap-distance-bottom:0;mso-wrap-distance-left:0;mso-wrap-distance-right:0;mso-wrap-distance-top:0;mso-wrap-style:square;position:absolute;visibility:visible;v-text-anchor:top;z-index:-251657216" coordsize="1828800,6985" path="m1828800,l,,,6858l1828800,6858l1828800,xe" fillcolor="black" stroked="f">
                <v:path arrowok="t"/>
                <w10:wrap type="topAndBottom"/>
              </v:shape>
            </w:pict>
          </mc:Fallback>
        </mc:AlternateContent>
      </w:r>
    </w:p>
    <w:p w:rsidR="00161DED" w14:paraId="499D10A9" w14:textId="77777777">
      <w:pPr>
        <w:spacing w:before="92"/>
        <w:ind w:left="119" w:right="213"/>
        <w:rPr>
          <w:sz w:val="20"/>
        </w:rPr>
      </w:pPr>
      <w:r>
        <w:rPr>
          <w:sz w:val="20"/>
          <w:vertAlign w:val="superscript"/>
        </w:rPr>
        <w:t>1</w:t>
      </w:r>
      <w:r>
        <w:rPr>
          <w:sz w:val="20"/>
        </w:rPr>
        <w:t xml:space="preserve"> Note that burden estimates for the NRC Form 327 do not include time for recordkeeping.</w:t>
      </w:r>
      <w:r>
        <w:rPr>
          <w:spacing w:val="40"/>
          <w:sz w:val="20"/>
        </w:rPr>
        <w:t xml:space="preserve"> </w:t>
      </w:r>
      <w:r>
        <w:rPr>
          <w:sz w:val="20"/>
        </w:rPr>
        <w:t xml:space="preserve">Sections 74.31, 74.33, 74.43, and 74.59 of 10 CFR require </w:t>
      </w:r>
      <w:r>
        <w:rPr>
          <w:sz w:val="20"/>
        </w:rPr>
        <w:t>licensees</w:t>
      </w:r>
      <w:r>
        <w:rPr>
          <w:sz w:val="20"/>
        </w:rPr>
        <w:t xml:space="preserve"> to keep records showing the receipt, </w:t>
      </w:r>
      <w:r>
        <w:rPr>
          <w:sz w:val="20"/>
        </w:rPr>
        <w:t>inventory, acquisition</w:t>
      </w:r>
      <w:r>
        <w:rPr>
          <w:sz w:val="20"/>
        </w:rPr>
        <w:t>, transfer, and disposal of all SNM in its possession regardless of its origin or method</w:t>
      </w:r>
      <w:r>
        <w:rPr>
          <w:spacing w:val="-3"/>
          <w:sz w:val="20"/>
        </w:rPr>
        <w:t xml:space="preserve"> </w:t>
      </w:r>
      <w:r>
        <w:rPr>
          <w:sz w:val="20"/>
        </w:rPr>
        <w:t>of</w:t>
      </w:r>
      <w:r>
        <w:rPr>
          <w:spacing w:val="-3"/>
          <w:sz w:val="20"/>
        </w:rPr>
        <w:t xml:space="preserve"> </w:t>
      </w:r>
      <w:r>
        <w:rPr>
          <w:sz w:val="20"/>
        </w:rPr>
        <w:t>acquisition.</w:t>
      </w:r>
      <w:r>
        <w:rPr>
          <w:spacing w:val="40"/>
          <w:sz w:val="20"/>
        </w:rPr>
        <w:t xml:space="preserve"> </w:t>
      </w:r>
      <w:r>
        <w:rPr>
          <w:sz w:val="20"/>
        </w:rPr>
        <w:t>The</w:t>
      </w:r>
      <w:r>
        <w:rPr>
          <w:spacing w:val="-3"/>
          <w:sz w:val="20"/>
        </w:rPr>
        <w:t xml:space="preserve"> </w:t>
      </w:r>
      <w:r>
        <w:rPr>
          <w:sz w:val="20"/>
        </w:rPr>
        <w:t>burden</w:t>
      </w:r>
      <w:r>
        <w:rPr>
          <w:spacing w:val="-3"/>
          <w:sz w:val="20"/>
        </w:rPr>
        <w:t xml:space="preserve"> </w:t>
      </w:r>
      <w:r>
        <w:rPr>
          <w:sz w:val="20"/>
        </w:rPr>
        <w:t>for</w:t>
      </w:r>
      <w:r>
        <w:rPr>
          <w:spacing w:val="-2"/>
          <w:sz w:val="20"/>
        </w:rPr>
        <w:t xml:space="preserve"> </w:t>
      </w:r>
      <w:r>
        <w:rPr>
          <w:sz w:val="20"/>
        </w:rPr>
        <w:t>these</w:t>
      </w:r>
      <w:r>
        <w:rPr>
          <w:spacing w:val="-2"/>
          <w:sz w:val="20"/>
        </w:rPr>
        <w:t xml:space="preserve"> </w:t>
      </w:r>
      <w:r>
        <w:rPr>
          <w:sz w:val="20"/>
        </w:rPr>
        <w:t>records</w:t>
      </w:r>
      <w:r>
        <w:rPr>
          <w:spacing w:val="-2"/>
          <w:sz w:val="20"/>
        </w:rPr>
        <w:t xml:space="preserve"> </w:t>
      </w:r>
      <w:r>
        <w:rPr>
          <w:sz w:val="20"/>
        </w:rPr>
        <w:t>is</w:t>
      </w:r>
      <w:r>
        <w:rPr>
          <w:spacing w:val="-2"/>
          <w:sz w:val="20"/>
        </w:rPr>
        <w:t xml:space="preserve"> </w:t>
      </w:r>
      <w:r>
        <w:rPr>
          <w:sz w:val="20"/>
        </w:rPr>
        <w:t>included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NRC</w:t>
      </w:r>
      <w:r>
        <w:rPr>
          <w:spacing w:val="-3"/>
          <w:sz w:val="20"/>
        </w:rPr>
        <w:t xml:space="preserve"> </w:t>
      </w:r>
      <w:r>
        <w:rPr>
          <w:sz w:val="20"/>
        </w:rPr>
        <w:t>clearance</w:t>
      </w:r>
      <w:r>
        <w:rPr>
          <w:spacing w:val="-3"/>
          <w:sz w:val="20"/>
        </w:rPr>
        <w:t xml:space="preserve"> </w:t>
      </w:r>
      <w:r>
        <w:rPr>
          <w:sz w:val="20"/>
        </w:rPr>
        <w:t>for</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Part 74, OMB clearance 3150-0123.</w:t>
      </w:r>
    </w:p>
    <w:p w:rsidR="00161DED" w14:paraId="2994FB10" w14:textId="77777777">
      <w:pPr>
        <w:rPr>
          <w:sz w:val="20"/>
        </w:rPr>
        <w:sectPr>
          <w:footerReference w:type="default" r:id="rId14"/>
          <w:pgSz w:w="12240" w:h="15840"/>
          <w:pgMar w:top="1360" w:right="1340" w:bottom="960" w:left="1320" w:header="0" w:footer="766" w:gutter="0"/>
          <w:cols w:space="720"/>
        </w:sectPr>
      </w:pPr>
    </w:p>
    <w:p w:rsidR="00161DED" w14:paraId="53705C38" w14:textId="77777777">
      <w:pPr>
        <w:pStyle w:val="ListParagraph"/>
        <w:numPr>
          <w:ilvl w:val="1"/>
          <w:numId w:val="2"/>
        </w:numPr>
        <w:tabs>
          <w:tab w:val="left" w:pos="1560"/>
        </w:tabs>
        <w:spacing w:before="80"/>
      </w:pPr>
      <w:r>
        <w:rPr>
          <w:u w:val="single"/>
        </w:rPr>
        <w:t>Publication</w:t>
      </w:r>
      <w:r>
        <w:rPr>
          <w:spacing w:val="-9"/>
          <w:u w:val="single"/>
        </w:rPr>
        <w:t xml:space="preserve"> </w:t>
      </w:r>
      <w:r>
        <w:rPr>
          <w:u w:val="single"/>
        </w:rPr>
        <w:t>for</w:t>
      </w:r>
      <w:r>
        <w:rPr>
          <w:spacing w:val="-9"/>
          <w:u w:val="single"/>
        </w:rPr>
        <w:t xml:space="preserve"> </w:t>
      </w:r>
      <w:r>
        <w:rPr>
          <w:u w:val="single"/>
        </w:rPr>
        <w:t>Statistical</w:t>
      </w:r>
      <w:r>
        <w:rPr>
          <w:spacing w:val="-8"/>
          <w:u w:val="single"/>
        </w:rPr>
        <w:t xml:space="preserve"> </w:t>
      </w:r>
      <w:r>
        <w:rPr>
          <w:spacing w:val="-5"/>
          <w:u w:val="single"/>
        </w:rPr>
        <w:t>Use</w:t>
      </w:r>
    </w:p>
    <w:p w:rsidR="00161DED" w14:paraId="188EAE28" w14:textId="77777777">
      <w:pPr>
        <w:pStyle w:val="BodyText"/>
        <w:spacing w:before="252"/>
        <w:ind w:left="1560"/>
      </w:pPr>
      <w:r>
        <w:t>Not</w:t>
      </w:r>
      <w:r>
        <w:rPr>
          <w:spacing w:val="-4"/>
        </w:rPr>
        <w:t xml:space="preserve"> </w:t>
      </w:r>
      <w:r>
        <w:rPr>
          <w:spacing w:val="-2"/>
        </w:rPr>
        <w:t>applicable.</w:t>
      </w:r>
    </w:p>
    <w:p w:rsidR="00161DED" w14:paraId="34BBF7E5" w14:textId="77777777">
      <w:pPr>
        <w:pStyle w:val="BodyText"/>
      </w:pPr>
    </w:p>
    <w:p w:rsidR="00161DED" w14:paraId="2A21CAFC" w14:textId="77777777">
      <w:pPr>
        <w:pStyle w:val="ListParagraph"/>
        <w:numPr>
          <w:ilvl w:val="1"/>
          <w:numId w:val="2"/>
        </w:numPr>
        <w:tabs>
          <w:tab w:val="left" w:pos="1559"/>
        </w:tabs>
        <w:ind w:left="1559" w:hanging="719"/>
      </w:pPr>
      <w:r>
        <w:rPr>
          <w:u w:val="single"/>
        </w:rPr>
        <w:t>Reason</w:t>
      </w:r>
      <w:r>
        <w:rPr>
          <w:spacing w:val="-7"/>
          <w:u w:val="single"/>
        </w:rPr>
        <w:t xml:space="preserve"> </w:t>
      </w:r>
      <w:r>
        <w:rPr>
          <w:u w:val="single"/>
        </w:rPr>
        <w:t>for</w:t>
      </w:r>
      <w:r>
        <w:rPr>
          <w:spacing w:val="-6"/>
          <w:u w:val="single"/>
        </w:rPr>
        <w:t xml:space="preserve"> </w:t>
      </w:r>
      <w:r>
        <w:rPr>
          <w:u w:val="single"/>
        </w:rPr>
        <w:t>Not</w:t>
      </w:r>
      <w:r>
        <w:rPr>
          <w:spacing w:val="-6"/>
          <w:u w:val="single"/>
        </w:rPr>
        <w:t xml:space="preserve"> </w:t>
      </w:r>
      <w:r>
        <w:rPr>
          <w:u w:val="single"/>
        </w:rPr>
        <w:t>Displaying</w:t>
      </w:r>
      <w:r>
        <w:rPr>
          <w:spacing w:val="-7"/>
          <w:u w:val="single"/>
        </w:rPr>
        <w:t xml:space="preserve"> </w:t>
      </w:r>
      <w:r>
        <w:rPr>
          <w:u w:val="single"/>
        </w:rPr>
        <w:t>the</w:t>
      </w:r>
      <w:r>
        <w:rPr>
          <w:spacing w:val="-6"/>
          <w:u w:val="single"/>
        </w:rPr>
        <w:t xml:space="preserve"> </w:t>
      </w:r>
      <w:r>
        <w:rPr>
          <w:u w:val="single"/>
        </w:rPr>
        <w:t>Expiration</w:t>
      </w:r>
      <w:r>
        <w:rPr>
          <w:spacing w:val="-6"/>
          <w:u w:val="single"/>
        </w:rPr>
        <w:t xml:space="preserve"> </w:t>
      </w:r>
      <w:r>
        <w:rPr>
          <w:spacing w:val="-4"/>
          <w:u w:val="single"/>
        </w:rPr>
        <w:t>Date</w:t>
      </w:r>
    </w:p>
    <w:p w:rsidR="00161DED" w14:paraId="6D74E143" w14:textId="77777777">
      <w:pPr>
        <w:pStyle w:val="BodyText"/>
        <w:spacing w:before="1"/>
      </w:pPr>
    </w:p>
    <w:p w:rsidR="00161DED" w14:paraId="37F2BEA0" w14:textId="77777777">
      <w:pPr>
        <w:pStyle w:val="BodyText"/>
        <w:ind w:left="1560"/>
      </w:pPr>
      <w:r>
        <w:t>The</w:t>
      </w:r>
      <w:r>
        <w:rPr>
          <w:spacing w:val="-5"/>
        </w:rPr>
        <w:t xml:space="preserve"> </w:t>
      </w:r>
      <w:r>
        <w:t>expiration</w:t>
      </w:r>
      <w:r>
        <w:rPr>
          <w:spacing w:val="-5"/>
        </w:rPr>
        <w:t xml:space="preserve"> </w:t>
      </w:r>
      <w:r>
        <w:t>date</w:t>
      </w:r>
      <w:r>
        <w:rPr>
          <w:spacing w:val="-5"/>
        </w:rPr>
        <w:t xml:space="preserve"> </w:t>
      </w:r>
      <w:r>
        <w:t>is</w:t>
      </w:r>
      <w:r>
        <w:rPr>
          <w:spacing w:val="-5"/>
        </w:rPr>
        <w:t xml:space="preserve"> </w:t>
      </w:r>
      <w:r>
        <w:t>displayed</w:t>
      </w:r>
      <w:r>
        <w:rPr>
          <w:spacing w:val="-4"/>
        </w:rPr>
        <w:t xml:space="preserve"> </w:t>
      </w:r>
      <w:r>
        <w:t>on</w:t>
      </w:r>
      <w:r>
        <w:rPr>
          <w:spacing w:val="-5"/>
        </w:rPr>
        <w:t xml:space="preserve"> </w:t>
      </w:r>
      <w:r>
        <w:t>the</w:t>
      </w:r>
      <w:r>
        <w:rPr>
          <w:spacing w:val="-5"/>
        </w:rPr>
        <w:t xml:space="preserve"> </w:t>
      </w:r>
      <w:r>
        <w:t>NRC</w:t>
      </w:r>
      <w:r>
        <w:rPr>
          <w:spacing w:val="-5"/>
        </w:rPr>
        <w:t xml:space="preserve"> </w:t>
      </w:r>
      <w:r>
        <w:t>Form</w:t>
      </w:r>
      <w:r>
        <w:rPr>
          <w:spacing w:val="-4"/>
        </w:rPr>
        <w:t xml:space="preserve"> 327.</w:t>
      </w:r>
    </w:p>
    <w:p w:rsidR="00161DED" w14:paraId="7687E08E" w14:textId="77777777">
      <w:pPr>
        <w:pStyle w:val="ListParagraph"/>
        <w:numPr>
          <w:ilvl w:val="1"/>
          <w:numId w:val="2"/>
        </w:numPr>
        <w:tabs>
          <w:tab w:val="left" w:pos="1559"/>
        </w:tabs>
        <w:spacing w:before="252"/>
        <w:ind w:left="1559" w:hanging="719"/>
      </w:pPr>
      <w:r>
        <w:rPr>
          <w:u w:val="single"/>
        </w:rPr>
        <w:t>Exceptions</w:t>
      </w:r>
      <w:r>
        <w:rPr>
          <w:spacing w:val="-8"/>
          <w:u w:val="single"/>
        </w:rPr>
        <w:t xml:space="preserve"> </w:t>
      </w:r>
      <w:r>
        <w:rPr>
          <w:u w:val="single"/>
        </w:rPr>
        <w:t>to</w:t>
      </w:r>
      <w:r>
        <w:rPr>
          <w:spacing w:val="-7"/>
          <w:u w:val="single"/>
        </w:rPr>
        <w:t xml:space="preserve"> </w:t>
      </w:r>
      <w:r>
        <w:rPr>
          <w:u w:val="single"/>
        </w:rPr>
        <w:t>the</w:t>
      </w:r>
      <w:r>
        <w:rPr>
          <w:spacing w:val="-7"/>
          <w:u w:val="single"/>
        </w:rPr>
        <w:t xml:space="preserve"> </w:t>
      </w:r>
      <w:r>
        <w:rPr>
          <w:u w:val="single"/>
        </w:rPr>
        <w:t>Certification</w:t>
      </w:r>
      <w:r>
        <w:rPr>
          <w:spacing w:val="-7"/>
          <w:u w:val="single"/>
        </w:rPr>
        <w:t xml:space="preserve"> </w:t>
      </w:r>
      <w:r>
        <w:rPr>
          <w:spacing w:val="-2"/>
          <w:u w:val="single"/>
        </w:rPr>
        <w:t>Statement</w:t>
      </w:r>
    </w:p>
    <w:p w:rsidR="00161DED" w14:paraId="55BE9F05" w14:textId="77777777">
      <w:pPr>
        <w:pStyle w:val="BodyText"/>
      </w:pPr>
    </w:p>
    <w:p w:rsidR="00161DED" w14:paraId="0CE77157" w14:textId="579D04A2">
      <w:pPr>
        <w:pStyle w:val="BodyText"/>
        <w:spacing w:before="1"/>
        <w:ind w:left="1559" w:right="118"/>
      </w:pPr>
      <w:r>
        <w:t>None.</w:t>
      </w:r>
    </w:p>
    <w:p w:rsidR="00161DED" w14:paraId="25F3C703" w14:textId="77777777">
      <w:pPr>
        <w:pStyle w:val="ListParagraph"/>
        <w:numPr>
          <w:ilvl w:val="0"/>
          <w:numId w:val="2"/>
        </w:numPr>
        <w:tabs>
          <w:tab w:val="left" w:pos="840"/>
        </w:tabs>
        <w:spacing w:before="252"/>
      </w:pPr>
      <w:r>
        <w:rPr>
          <w:u w:val="single"/>
        </w:rPr>
        <w:t>COLLECTION</w:t>
      </w:r>
      <w:r>
        <w:rPr>
          <w:spacing w:val="-11"/>
          <w:u w:val="single"/>
        </w:rPr>
        <w:t xml:space="preserve"> </w:t>
      </w:r>
      <w:r>
        <w:rPr>
          <w:u w:val="single"/>
        </w:rPr>
        <w:t>OF</w:t>
      </w:r>
      <w:r>
        <w:rPr>
          <w:spacing w:val="-12"/>
          <w:u w:val="single"/>
        </w:rPr>
        <w:t xml:space="preserve"> </w:t>
      </w:r>
      <w:r>
        <w:rPr>
          <w:u w:val="single"/>
        </w:rPr>
        <w:t>INFORMATION</w:t>
      </w:r>
      <w:r>
        <w:rPr>
          <w:spacing w:val="-11"/>
          <w:u w:val="single"/>
        </w:rPr>
        <w:t xml:space="preserve"> </w:t>
      </w:r>
      <w:r>
        <w:rPr>
          <w:u w:val="single"/>
        </w:rPr>
        <w:t>EMPLOYING</w:t>
      </w:r>
      <w:r>
        <w:rPr>
          <w:spacing w:val="-12"/>
          <w:u w:val="single"/>
        </w:rPr>
        <w:t xml:space="preserve"> </w:t>
      </w:r>
      <w:r>
        <w:rPr>
          <w:u w:val="single"/>
        </w:rPr>
        <w:t>STATISTICAL</w:t>
      </w:r>
      <w:r>
        <w:rPr>
          <w:spacing w:val="-11"/>
          <w:u w:val="single"/>
        </w:rPr>
        <w:t xml:space="preserve"> </w:t>
      </w:r>
      <w:r>
        <w:rPr>
          <w:spacing w:val="-2"/>
          <w:u w:val="single"/>
        </w:rPr>
        <w:t>METHODS</w:t>
      </w:r>
    </w:p>
    <w:p w:rsidR="00161DED" w14:paraId="14267E9B" w14:textId="77777777">
      <w:pPr>
        <w:pStyle w:val="BodyText"/>
        <w:spacing w:before="1"/>
      </w:pPr>
    </w:p>
    <w:p w:rsidR="00161DED" w14:paraId="23D3C2D9" w14:textId="77777777">
      <w:pPr>
        <w:pStyle w:val="BodyText"/>
        <w:ind w:left="840"/>
      </w:pPr>
      <w:r>
        <w:t>Statistical</w:t>
      </w:r>
      <w:r>
        <w:rPr>
          <w:spacing w:val="-8"/>
        </w:rPr>
        <w:t xml:space="preserve"> </w:t>
      </w:r>
      <w:r>
        <w:t>methods</w:t>
      </w:r>
      <w:r>
        <w:rPr>
          <w:spacing w:val="-5"/>
        </w:rPr>
        <w:t xml:space="preserve"> </w:t>
      </w:r>
      <w:r>
        <w:t>are</w:t>
      </w:r>
      <w:r>
        <w:rPr>
          <w:spacing w:val="-5"/>
        </w:rPr>
        <w:t xml:space="preserve"> </w:t>
      </w:r>
      <w:r>
        <w:t>not</w:t>
      </w:r>
      <w:r>
        <w:rPr>
          <w:spacing w:val="-5"/>
        </w:rPr>
        <w:t xml:space="preserve"> </w:t>
      </w:r>
      <w:r>
        <w:t>used</w:t>
      </w:r>
      <w:r>
        <w:rPr>
          <w:spacing w:val="-6"/>
        </w:rPr>
        <w:t xml:space="preserve"> </w:t>
      </w:r>
      <w:r>
        <w:t>in</w:t>
      </w:r>
      <w:r>
        <w:rPr>
          <w:spacing w:val="-5"/>
        </w:rPr>
        <w:t xml:space="preserve"> </w:t>
      </w:r>
      <w:r>
        <w:t>this</w:t>
      </w:r>
      <w:r>
        <w:rPr>
          <w:spacing w:val="-5"/>
        </w:rPr>
        <w:t xml:space="preserve"> </w:t>
      </w:r>
      <w:r>
        <w:t>collection</w:t>
      </w:r>
      <w:r>
        <w:rPr>
          <w:spacing w:val="-6"/>
        </w:rPr>
        <w:t xml:space="preserve"> </w:t>
      </w:r>
      <w:r>
        <w:t>of</w:t>
      </w:r>
      <w:r>
        <w:rPr>
          <w:spacing w:val="-5"/>
        </w:rPr>
        <w:t xml:space="preserve"> </w:t>
      </w:r>
      <w:r>
        <w:rPr>
          <w:spacing w:val="-2"/>
        </w:rPr>
        <w:t>information.</w:t>
      </w:r>
    </w:p>
    <w:sectPr>
      <w:pgSz w:w="12240" w:h="15840"/>
      <w:pgMar w:top="1360" w:right="1340" w:bottom="960" w:left="1320" w:header="0"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E5A" w14:paraId="54459F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E5A" w14:paraId="5ECF66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E5A" w14:paraId="4E40C21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DED" w14:paraId="497A8E2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3834639</wp:posOffset>
              </wp:positionH>
              <wp:positionV relativeFrom="page">
                <wp:posOffset>8802364</wp:posOffset>
              </wp:positionV>
              <wp:extent cx="103505" cy="1816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505" cy="181610"/>
                      </a:xfrm>
                      <a:prstGeom prst="rect">
                        <a:avLst/>
                      </a:prstGeom>
                    </wps:spPr>
                    <wps:txbx>
                      <w:txbxContent>
                        <w:p w:rsidR="00161DED" w14:textId="77777777">
                          <w:pPr>
                            <w:pStyle w:val="BodyText"/>
                            <w:spacing w:before="12"/>
                            <w:ind w:left="20"/>
                          </w:pPr>
                          <w:r>
                            <w:rPr>
                              <w:spacing w:val="-10"/>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15pt;height:14.3pt;margin-top:693.1pt;margin-left:301.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61DED" w14:paraId="2EFA3376" w14:textId="77777777">
                    <w:pPr>
                      <w:pStyle w:val="BodyText"/>
                      <w:spacing w:before="12"/>
                      <w:ind w:left="20"/>
                    </w:pPr>
                    <w:r>
                      <w:rPr>
                        <w:spacing w:val="-10"/>
                      </w:rPr>
                      <w:t>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DED" w14:paraId="54F3DDA1"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3834638</wp:posOffset>
              </wp:positionH>
              <wp:positionV relativeFrom="page">
                <wp:posOffset>9432545</wp:posOffset>
              </wp:positionV>
              <wp:extent cx="103505" cy="1816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505" cy="181610"/>
                      </a:xfrm>
                      <a:prstGeom prst="rect">
                        <a:avLst/>
                      </a:prstGeom>
                    </wps:spPr>
                    <wps:txbx>
                      <w:txbxContent>
                        <w:p w:rsidR="00161DED" w14:textId="77777777">
                          <w:pPr>
                            <w:pStyle w:val="BodyText"/>
                            <w:spacing w:before="12"/>
                            <w:ind w:left="20"/>
                          </w:pPr>
                          <w:r>
                            <w:rPr>
                              <w:spacing w:val="-10"/>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8.15pt;height:14.3pt;margin-top:742.7pt;margin-left:301.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61DED" w14:paraId="06005690" w14:textId="77777777">
                    <w:pPr>
                      <w:pStyle w:val="BodyText"/>
                      <w:spacing w:before="12"/>
                      <w:ind w:left="20"/>
                    </w:pPr>
                    <w:r>
                      <w:rPr>
                        <w:spacing w:val="-10"/>
                      </w:rPr>
                      <w:t>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E5A" w14:paraId="72F215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E5A" w14:paraId="653BA7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E5A" w14:paraId="51C422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C078B4"/>
    <w:multiLevelType w:val="hybridMultilevel"/>
    <w:tmpl w:val="BA6683CC"/>
    <w:lvl w:ilvl="0">
      <w:start w:val="0"/>
      <w:numFmt w:val="bullet"/>
      <w:lvlText w:val=""/>
      <w:lvlJc w:val="left"/>
      <w:pPr>
        <w:ind w:left="2279" w:hanging="36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3010" w:hanging="361"/>
      </w:pPr>
      <w:rPr>
        <w:rFonts w:hint="default"/>
        <w:lang w:val="en-US" w:eastAsia="en-US" w:bidi="ar-SA"/>
      </w:rPr>
    </w:lvl>
    <w:lvl w:ilvl="2">
      <w:start w:val="0"/>
      <w:numFmt w:val="bullet"/>
      <w:lvlText w:val="•"/>
      <w:lvlJc w:val="left"/>
      <w:pPr>
        <w:ind w:left="3740" w:hanging="361"/>
      </w:pPr>
      <w:rPr>
        <w:rFonts w:hint="default"/>
        <w:lang w:val="en-US" w:eastAsia="en-US" w:bidi="ar-SA"/>
      </w:rPr>
    </w:lvl>
    <w:lvl w:ilvl="3">
      <w:start w:val="0"/>
      <w:numFmt w:val="bullet"/>
      <w:lvlText w:val="•"/>
      <w:lvlJc w:val="left"/>
      <w:pPr>
        <w:ind w:left="4470" w:hanging="361"/>
      </w:pPr>
      <w:rPr>
        <w:rFonts w:hint="default"/>
        <w:lang w:val="en-US" w:eastAsia="en-US" w:bidi="ar-SA"/>
      </w:rPr>
    </w:lvl>
    <w:lvl w:ilvl="4">
      <w:start w:val="0"/>
      <w:numFmt w:val="bullet"/>
      <w:lvlText w:val="•"/>
      <w:lvlJc w:val="left"/>
      <w:pPr>
        <w:ind w:left="5200" w:hanging="361"/>
      </w:pPr>
      <w:rPr>
        <w:rFonts w:hint="default"/>
        <w:lang w:val="en-US" w:eastAsia="en-US" w:bidi="ar-SA"/>
      </w:rPr>
    </w:lvl>
    <w:lvl w:ilvl="5">
      <w:start w:val="0"/>
      <w:numFmt w:val="bullet"/>
      <w:lvlText w:val="•"/>
      <w:lvlJc w:val="left"/>
      <w:pPr>
        <w:ind w:left="5930" w:hanging="361"/>
      </w:pPr>
      <w:rPr>
        <w:rFonts w:hint="default"/>
        <w:lang w:val="en-US" w:eastAsia="en-US" w:bidi="ar-SA"/>
      </w:rPr>
    </w:lvl>
    <w:lvl w:ilvl="6">
      <w:start w:val="0"/>
      <w:numFmt w:val="bullet"/>
      <w:lvlText w:val="•"/>
      <w:lvlJc w:val="left"/>
      <w:pPr>
        <w:ind w:left="6660" w:hanging="361"/>
      </w:pPr>
      <w:rPr>
        <w:rFonts w:hint="default"/>
        <w:lang w:val="en-US" w:eastAsia="en-US" w:bidi="ar-SA"/>
      </w:rPr>
    </w:lvl>
    <w:lvl w:ilvl="7">
      <w:start w:val="0"/>
      <w:numFmt w:val="bullet"/>
      <w:lvlText w:val="•"/>
      <w:lvlJc w:val="left"/>
      <w:pPr>
        <w:ind w:left="7390" w:hanging="361"/>
      </w:pPr>
      <w:rPr>
        <w:rFonts w:hint="default"/>
        <w:lang w:val="en-US" w:eastAsia="en-US" w:bidi="ar-SA"/>
      </w:rPr>
    </w:lvl>
    <w:lvl w:ilvl="8">
      <w:start w:val="0"/>
      <w:numFmt w:val="bullet"/>
      <w:lvlText w:val="•"/>
      <w:lvlJc w:val="left"/>
      <w:pPr>
        <w:ind w:left="8120" w:hanging="361"/>
      </w:pPr>
      <w:rPr>
        <w:rFonts w:hint="default"/>
        <w:lang w:val="en-US" w:eastAsia="en-US" w:bidi="ar-SA"/>
      </w:rPr>
    </w:lvl>
  </w:abstractNum>
  <w:abstractNum w:abstractNumId="1">
    <w:nsid w:val="51921DE2"/>
    <w:multiLevelType w:val="hybridMultilevel"/>
    <w:tmpl w:val="334E7EFE"/>
    <w:lvl w:ilvl="0">
      <w:start w:val="1"/>
      <w:numFmt w:val="upperLetter"/>
      <w:lvlText w:val="%1."/>
      <w:lvlJc w:val="left"/>
      <w:pPr>
        <w:ind w:left="840" w:hanging="721"/>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560" w:hanging="721"/>
        <w:jc w:val="left"/>
      </w:pPr>
      <w:rPr>
        <w:rFonts w:ascii="Arial" w:eastAsia="Arial" w:hAnsi="Arial" w:cs="Arial" w:hint="default"/>
        <w:b w:val="0"/>
        <w:bCs w:val="0"/>
        <w:i w:val="0"/>
        <w:iCs w:val="0"/>
        <w:spacing w:val="0"/>
        <w:w w:val="99"/>
        <w:sz w:val="22"/>
        <w:szCs w:val="22"/>
        <w:lang w:val="en-US" w:eastAsia="en-US" w:bidi="ar-SA"/>
      </w:rPr>
    </w:lvl>
    <w:lvl w:ilvl="2">
      <w:start w:val="1"/>
      <w:numFmt w:val="lowerLetter"/>
      <w:lvlText w:val="%3)"/>
      <w:lvlJc w:val="left"/>
      <w:pPr>
        <w:ind w:left="2280" w:hanging="721"/>
        <w:jc w:val="left"/>
      </w:pPr>
      <w:rPr>
        <w:rFonts w:ascii="Arial" w:eastAsia="Arial" w:hAnsi="Arial" w:cs="Arial" w:hint="default"/>
        <w:b w:val="0"/>
        <w:bCs w:val="0"/>
        <w:i w:val="0"/>
        <w:iCs w:val="0"/>
        <w:spacing w:val="0"/>
        <w:w w:val="99"/>
        <w:sz w:val="22"/>
        <w:szCs w:val="22"/>
        <w:lang w:val="en-US" w:eastAsia="en-US" w:bidi="ar-SA"/>
      </w:rPr>
    </w:lvl>
    <w:lvl w:ilvl="3">
      <w:start w:val="0"/>
      <w:numFmt w:val="bullet"/>
      <w:lvlText w:val="•"/>
      <w:lvlJc w:val="left"/>
      <w:pPr>
        <w:ind w:left="3192" w:hanging="721"/>
      </w:pPr>
      <w:rPr>
        <w:rFonts w:hint="default"/>
        <w:lang w:val="en-US" w:eastAsia="en-US" w:bidi="ar-SA"/>
      </w:rPr>
    </w:lvl>
    <w:lvl w:ilvl="4">
      <w:start w:val="0"/>
      <w:numFmt w:val="bullet"/>
      <w:lvlText w:val="•"/>
      <w:lvlJc w:val="left"/>
      <w:pPr>
        <w:ind w:left="4105" w:hanging="721"/>
      </w:pPr>
      <w:rPr>
        <w:rFonts w:hint="default"/>
        <w:lang w:val="en-US" w:eastAsia="en-US" w:bidi="ar-SA"/>
      </w:rPr>
    </w:lvl>
    <w:lvl w:ilvl="5">
      <w:start w:val="0"/>
      <w:numFmt w:val="bullet"/>
      <w:lvlText w:val="•"/>
      <w:lvlJc w:val="left"/>
      <w:pPr>
        <w:ind w:left="5017" w:hanging="721"/>
      </w:pPr>
      <w:rPr>
        <w:rFonts w:hint="default"/>
        <w:lang w:val="en-US" w:eastAsia="en-US" w:bidi="ar-SA"/>
      </w:rPr>
    </w:lvl>
    <w:lvl w:ilvl="6">
      <w:start w:val="0"/>
      <w:numFmt w:val="bullet"/>
      <w:lvlText w:val="•"/>
      <w:lvlJc w:val="left"/>
      <w:pPr>
        <w:ind w:left="5930" w:hanging="721"/>
      </w:pPr>
      <w:rPr>
        <w:rFonts w:hint="default"/>
        <w:lang w:val="en-US" w:eastAsia="en-US" w:bidi="ar-SA"/>
      </w:rPr>
    </w:lvl>
    <w:lvl w:ilvl="7">
      <w:start w:val="0"/>
      <w:numFmt w:val="bullet"/>
      <w:lvlText w:val="•"/>
      <w:lvlJc w:val="left"/>
      <w:pPr>
        <w:ind w:left="6842" w:hanging="721"/>
      </w:pPr>
      <w:rPr>
        <w:rFonts w:hint="default"/>
        <w:lang w:val="en-US" w:eastAsia="en-US" w:bidi="ar-SA"/>
      </w:rPr>
    </w:lvl>
    <w:lvl w:ilvl="8">
      <w:start w:val="0"/>
      <w:numFmt w:val="bullet"/>
      <w:lvlText w:val="•"/>
      <w:lvlJc w:val="left"/>
      <w:pPr>
        <w:ind w:left="7755" w:hanging="721"/>
      </w:pPr>
      <w:rPr>
        <w:rFonts w:hint="default"/>
        <w:lang w:val="en-US" w:eastAsia="en-US" w:bidi="ar-SA"/>
      </w:rPr>
    </w:lvl>
  </w:abstractNum>
  <w:num w:numId="1" w16cid:durableId="2113478373">
    <w:abstractNumId w:val="0"/>
  </w:num>
  <w:num w:numId="2" w16cid:durableId="263195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ED"/>
    <w:rsid w:val="000038C0"/>
    <w:rsid w:val="000C3D20"/>
    <w:rsid w:val="000C47CF"/>
    <w:rsid w:val="000E5E71"/>
    <w:rsid w:val="000E7529"/>
    <w:rsid w:val="000F3282"/>
    <w:rsid w:val="001106A1"/>
    <w:rsid w:val="00113085"/>
    <w:rsid w:val="00121F01"/>
    <w:rsid w:val="00161DED"/>
    <w:rsid w:val="001D26F4"/>
    <w:rsid w:val="002430C8"/>
    <w:rsid w:val="002546D9"/>
    <w:rsid w:val="00304E53"/>
    <w:rsid w:val="00330148"/>
    <w:rsid w:val="00343AFE"/>
    <w:rsid w:val="003A001D"/>
    <w:rsid w:val="003A277F"/>
    <w:rsid w:val="00454E5A"/>
    <w:rsid w:val="00465177"/>
    <w:rsid w:val="004F3CE7"/>
    <w:rsid w:val="00501B5E"/>
    <w:rsid w:val="005217B1"/>
    <w:rsid w:val="00544A19"/>
    <w:rsid w:val="00584EB6"/>
    <w:rsid w:val="005879E7"/>
    <w:rsid w:val="00594E17"/>
    <w:rsid w:val="005B2FB0"/>
    <w:rsid w:val="005B4C74"/>
    <w:rsid w:val="005B4DCE"/>
    <w:rsid w:val="00602431"/>
    <w:rsid w:val="00602FB2"/>
    <w:rsid w:val="00611DE6"/>
    <w:rsid w:val="0065507F"/>
    <w:rsid w:val="00673E08"/>
    <w:rsid w:val="006747B6"/>
    <w:rsid w:val="006A11E4"/>
    <w:rsid w:val="006A78CE"/>
    <w:rsid w:val="006B00B3"/>
    <w:rsid w:val="006C3297"/>
    <w:rsid w:val="006D7635"/>
    <w:rsid w:val="007415DF"/>
    <w:rsid w:val="00743DC0"/>
    <w:rsid w:val="007551E9"/>
    <w:rsid w:val="007C640A"/>
    <w:rsid w:val="00811E51"/>
    <w:rsid w:val="00851EB9"/>
    <w:rsid w:val="008B046E"/>
    <w:rsid w:val="008D3C9F"/>
    <w:rsid w:val="00910565"/>
    <w:rsid w:val="00963C7C"/>
    <w:rsid w:val="009D2EB7"/>
    <w:rsid w:val="009D438B"/>
    <w:rsid w:val="00A14005"/>
    <w:rsid w:val="00A334C3"/>
    <w:rsid w:val="00A4146B"/>
    <w:rsid w:val="00AB1C21"/>
    <w:rsid w:val="00B3771E"/>
    <w:rsid w:val="00B77E46"/>
    <w:rsid w:val="00B83CBA"/>
    <w:rsid w:val="00BB265C"/>
    <w:rsid w:val="00BD168F"/>
    <w:rsid w:val="00BE5F5B"/>
    <w:rsid w:val="00BF6A81"/>
    <w:rsid w:val="00C01A85"/>
    <w:rsid w:val="00C11D54"/>
    <w:rsid w:val="00C22B02"/>
    <w:rsid w:val="00C24096"/>
    <w:rsid w:val="00C30316"/>
    <w:rsid w:val="00C4653F"/>
    <w:rsid w:val="00C53D54"/>
    <w:rsid w:val="00CB48ED"/>
    <w:rsid w:val="00CC5903"/>
    <w:rsid w:val="00D00899"/>
    <w:rsid w:val="00D241FF"/>
    <w:rsid w:val="00D9183F"/>
    <w:rsid w:val="00DB681C"/>
    <w:rsid w:val="00DC2B76"/>
    <w:rsid w:val="00DF7351"/>
    <w:rsid w:val="00E41278"/>
    <w:rsid w:val="00E91ECC"/>
    <w:rsid w:val="00EE5BB5"/>
    <w:rsid w:val="00F74BAE"/>
    <w:rsid w:val="00F919BC"/>
    <w:rsid w:val="00FA2E4A"/>
    <w:rsid w:val="00FA589A"/>
    <w:rsid w:val="00FB2FB4"/>
    <w:rsid w:val="00FD2B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2F74B6"/>
  <w15:docId w15:val="{903C2184-4F92-4AB1-BDC3-565432D6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7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01A85"/>
    <w:rPr>
      <w:sz w:val="16"/>
      <w:szCs w:val="16"/>
    </w:rPr>
  </w:style>
  <w:style w:type="paragraph" w:styleId="CommentText">
    <w:name w:val="annotation text"/>
    <w:basedOn w:val="Normal"/>
    <w:link w:val="CommentTextChar"/>
    <w:uiPriority w:val="99"/>
    <w:unhideWhenUsed/>
    <w:rsid w:val="00C01A85"/>
    <w:rPr>
      <w:sz w:val="20"/>
      <w:szCs w:val="20"/>
    </w:rPr>
  </w:style>
  <w:style w:type="character" w:customStyle="1" w:styleId="CommentTextChar">
    <w:name w:val="Comment Text Char"/>
    <w:basedOn w:val="DefaultParagraphFont"/>
    <w:link w:val="CommentText"/>
    <w:uiPriority w:val="99"/>
    <w:rsid w:val="00C01A8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01A85"/>
    <w:rPr>
      <w:b/>
      <w:bCs/>
    </w:rPr>
  </w:style>
  <w:style w:type="character" w:customStyle="1" w:styleId="CommentSubjectChar">
    <w:name w:val="Comment Subject Char"/>
    <w:basedOn w:val="CommentTextChar"/>
    <w:link w:val="CommentSubject"/>
    <w:uiPriority w:val="99"/>
    <w:semiHidden/>
    <w:rsid w:val="00C01A85"/>
    <w:rPr>
      <w:rFonts w:ascii="Arial" w:eastAsia="Arial" w:hAnsi="Arial" w:cs="Arial"/>
      <w:b/>
      <w:bCs/>
      <w:sz w:val="20"/>
      <w:szCs w:val="20"/>
    </w:rPr>
  </w:style>
  <w:style w:type="paragraph" w:styleId="Header">
    <w:name w:val="header"/>
    <w:basedOn w:val="Normal"/>
    <w:link w:val="HeaderChar"/>
    <w:uiPriority w:val="99"/>
    <w:unhideWhenUsed/>
    <w:rsid w:val="00454E5A"/>
    <w:pPr>
      <w:tabs>
        <w:tab w:val="center" w:pos="4680"/>
        <w:tab w:val="right" w:pos="9360"/>
      </w:tabs>
    </w:pPr>
  </w:style>
  <w:style w:type="character" w:customStyle="1" w:styleId="HeaderChar">
    <w:name w:val="Header Char"/>
    <w:basedOn w:val="DefaultParagraphFont"/>
    <w:link w:val="Header"/>
    <w:uiPriority w:val="99"/>
    <w:rsid w:val="00454E5A"/>
    <w:rPr>
      <w:rFonts w:ascii="Arial" w:eastAsia="Arial" w:hAnsi="Arial" w:cs="Arial"/>
    </w:rPr>
  </w:style>
  <w:style w:type="paragraph" w:styleId="Footer">
    <w:name w:val="footer"/>
    <w:basedOn w:val="Normal"/>
    <w:link w:val="FooterChar"/>
    <w:uiPriority w:val="99"/>
    <w:unhideWhenUsed/>
    <w:rsid w:val="00454E5A"/>
    <w:pPr>
      <w:tabs>
        <w:tab w:val="center" w:pos="4680"/>
        <w:tab w:val="right" w:pos="9360"/>
      </w:tabs>
    </w:pPr>
  </w:style>
  <w:style w:type="character" w:customStyle="1" w:styleId="FooterChar">
    <w:name w:val="Footer Char"/>
    <w:basedOn w:val="DefaultParagraphFont"/>
    <w:link w:val="Footer"/>
    <w:uiPriority w:val="99"/>
    <w:rsid w:val="00454E5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777E6-79A7-417B-A43D-D4184190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AFD1D9-4FCE-4402-8191-091B10C61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B1D5B-5218-4708-B511-B4A13A5D4063}">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7952</Characters>
  <Application>Microsoft Office Word</Application>
  <DocSecurity>0</DocSecurity>
  <Lines>194</Lines>
  <Paragraphs>65</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Ani</dc:creator>
  <cp:lastModifiedBy>Christina Malinowski</cp:lastModifiedBy>
  <cp:revision>3</cp:revision>
  <dcterms:created xsi:type="dcterms:W3CDTF">2026-04-02T21:21:00Z</dcterms:created>
  <dcterms:modified xsi:type="dcterms:W3CDTF">2026-04-02T21:22:00Z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PScript5.dll Version 5.2.2</vt:lpwstr>
  </property>
  <property fmtid="{D5CDD505-2E9C-101B-9397-08002B2CF9AE}" pid="4" name="LastSaved">
    <vt:filetime>2025-05-22T00:00:00Z</vt:filetime>
  </property>
  <property fmtid="{D5CDD505-2E9C-101B-9397-08002B2CF9AE}" pid="5" name="Producer">
    <vt:lpwstr>Acrobat Distiller 15.0 (Windows)</vt:lpwstr>
  </property>
</Properties>
</file>