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03DED" w14:paraId="1DBDCD1B" w14:textId="4F3D3B81">
      <w:pPr>
        <w:pStyle w:val="BodyText"/>
        <w:spacing w:before="77" w:line="237" w:lineRule="auto"/>
        <w:ind w:left="3784" w:right="4077" w:firstLine="80"/>
        <w:jc w:val="center"/>
      </w:pPr>
      <w:r>
        <w:rPr>
          <w:spacing w:val="-2"/>
        </w:rPr>
        <w:t xml:space="preserve">FINAL </w:t>
      </w:r>
      <w:r w:rsidR="001D4B57">
        <w:rPr>
          <w:spacing w:val="-2"/>
        </w:rPr>
        <w:t xml:space="preserve">SUPPORTING </w:t>
      </w:r>
      <w:r w:rsidR="001D4B57">
        <w:t>STATEMENT</w:t>
      </w:r>
      <w:r w:rsidR="001D4B57">
        <w:rPr>
          <w:spacing w:val="-16"/>
        </w:rPr>
        <w:t xml:space="preserve"> </w:t>
      </w:r>
      <w:r w:rsidR="001D4B57">
        <w:t xml:space="preserve">FOR </w:t>
      </w:r>
      <w:bookmarkStart w:id="0" w:name="_Hlk218594040"/>
      <w:r w:rsidR="001D4B57">
        <w:t>NRC FORM 314</w:t>
      </w:r>
    </w:p>
    <w:p w:rsidR="00403DED" w14:paraId="157239C9" w14:textId="5B4C7F38">
      <w:pPr>
        <w:pStyle w:val="BodyText"/>
        <w:spacing w:before="1"/>
        <w:ind w:left="2231" w:right="2524"/>
        <w:jc w:val="center"/>
      </w:pPr>
      <w:r>
        <w:t>CERTIFICATE</w:t>
      </w:r>
      <w:r>
        <w:rPr>
          <w:spacing w:val="-10"/>
        </w:rPr>
        <w:t xml:space="preserve"> </w:t>
      </w:r>
      <w:r>
        <w:t>OF</w:t>
      </w:r>
      <w:r>
        <w:rPr>
          <w:spacing w:val="-10"/>
        </w:rPr>
        <w:t xml:space="preserve"> </w:t>
      </w:r>
      <w:r>
        <w:t>DISPOSITION</w:t>
      </w:r>
      <w:r>
        <w:rPr>
          <w:spacing w:val="-10"/>
        </w:rPr>
        <w:t xml:space="preserve"> </w:t>
      </w:r>
      <w:r>
        <w:t>OF</w:t>
      </w:r>
      <w:r>
        <w:rPr>
          <w:spacing w:val="-10"/>
        </w:rPr>
        <w:t xml:space="preserve"> </w:t>
      </w:r>
      <w:r>
        <w:t xml:space="preserve">MATERIALS </w:t>
      </w:r>
      <w:bookmarkEnd w:id="0"/>
      <w:r>
        <w:t xml:space="preserve">(10 CFR Sections 30.36(j), 40.42(j), and 70.38(j)) </w:t>
      </w:r>
      <w:r>
        <w:rPr>
          <w:spacing w:val="-2"/>
        </w:rPr>
        <w:t>(3150-</w:t>
      </w:r>
      <w:r w:rsidR="00496EC5">
        <w:rPr>
          <w:spacing w:val="-2"/>
        </w:rPr>
        <w:t>0028</w:t>
      </w:r>
      <w:r>
        <w:rPr>
          <w:spacing w:val="-2"/>
        </w:rPr>
        <w:t>)</w:t>
      </w:r>
    </w:p>
    <w:p w:rsidR="00403DED" w14:paraId="5A1F979B" w14:textId="77777777">
      <w:pPr>
        <w:pStyle w:val="BodyText"/>
        <w:spacing w:before="1"/>
        <w:ind w:left="4077" w:right="4369" w:hanging="1"/>
        <w:jc w:val="center"/>
      </w:pPr>
      <w:r>
        <w:rPr>
          <w:spacing w:val="-4"/>
        </w:rPr>
        <w:t xml:space="preserve">--- </w:t>
      </w:r>
      <w:r>
        <w:rPr>
          <w:spacing w:val="-2"/>
        </w:rPr>
        <w:t>EXTENSION</w:t>
      </w:r>
    </w:p>
    <w:p w:rsidR="00403DED" w14:paraId="0907E902" w14:textId="77777777">
      <w:pPr>
        <w:pStyle w:val="BodyText"/>
        <w:rPr>
          <w:sz w:val="24"/>
        </w:rPr>
      </w:pPr>
    </w:p>
    <w:p w:rsidR="00403DED" w14:paraId="0F82A116" w14:textId="77777777">
      <w:pPr>
        <w:pStyle w:val="BodyText"/>
        <w:spacing w:before="11"/>
        <w:rPr>
          <w:sz w:val="23"/>
        </w:rPr>
      </w:pPr>
    </w:p>
    <w:p w:rsidR="00403DED" w14:paraId="216A74AD" w14:textId="77777777">
      <w:pPr>
        <w:pStyle w:val="BodyText"/>
        <w:ind w:left="119"/>
      </w:pPr>
      <w:r>
        <w:rPr>
          <w:u w:val="single"/>
        </w:rPr>
        <w:t>Description</w:t>
      </w:r>
      <w:r>
        <w:rPr>
          <w:spacing w:val="-9"/>
          <w:u w:val="single"/>
        </w:rPr>
        <w:t xml:space="preserve"> </w:t>
      </w:r>
      <w:r>
        <w:rPr>
          <w:u w:val="single"/>
        </w:rPr>
        <w:t>of</w:t>
      </w:r>
      <w:r>
        <w:rPr>
          <w:spacing w:val="-7"/>
          <w:u w:val="single"/>
        </w:rPr>
        <w:t xml:space="preserve"> </w:t>
      </w:r>
      <w:r>
        <w:rPr>
          <w:u w:val="single"/>
        </w:rPr>
        <w:t>the</w:t>
      </w:r>
      <w:r>
        <w:rPr>
          <w:spacing w:val="-8"/>
          <w:u w:val="single"/>
        </w:rPr>
        <w:t xml:space="preserve"> </w:t>
      </w:r>
      <w:r>
        <w:rPr>
          <w:u w:val="single"/>
        </w:rPr>
        <w:t>Information</w:t>
      </w:r>
      <w:r>
        <w:rPr>
          <w:spacing w:val="-7"/>
          <w:u w:val="single"/>
        </w:rPr>
        <w:t xml:space="preserve"> </w:t>
      </w:r>
      <w:r>
        <w:rPr>
          <w:spacing w:val="-2"/>
          <w:u w:val="single"/>
        </w:rPr>
        <w:t>Collection</w:t>
      </w:r>
    </w:p>
    <w:p w:rsidR="00403DED" w14:paraId="0C0AE6B8" w14:textId="77777777">
      <w:pPr>
        <w:pStyle w:val="BodyText"/>
        <w:rPr>
          <w:sz w:val="14"/>
        </w:rPr>
      </w:pPr>
    </w:p>
    <w:p w:rsidR="00403DED" w14:paraId="1941DA77" w14:textId="77777777">
      <w:pPr>
        <w:pStyle w:val="BodyText"/>
        <w:tabs>
          <w:tab w:val="left" w:pos="3789"/>
        </w:tabs>
        <w:spacing w:before="92"/>
        <w:ind w:left="118" w:right="735"/>
      </w:pPr>
      <w:r>
        <w:t>U.S.</w:t>
      </w:r>
      <w:r>
        <w:rPr>
          <w:spacing w:val="-4"/>
        </w:rPr>
        <w:t xml:space="preserve"> </w:t>
      </w:r>
      <w:r>
        <w:t>Nuclear</w:t>
      </w:r>
      <w:r>
        <w:rPr>
          <w:spacing w:val="-4"/>
        </w:rPr>
        <w:t xml:space="preserve"> </w:t>
      </w:r>
      <w:r>
        <w:t>Regulatory</w:t>
      </w:r>
      <w:r>
        <w:rPr>
          <w:spacing w:val="-4"/>
        </w:rPr>
        <w:t xml:space="preserve"> </w:t>
      </w:r>
      <w:r>
        <w:t>Commission</w:t>
      </w:r>
      <w:r>
        <w:rPr>
          <w:spacing w:val="-4"/>
        </w:rPr>
        <w:t xml:space="preserve"> </w:t>
      </w:r>
      <w:r>
        <w:t>(NRC)</w:t>
      </w:r>
      <w:r>
        <w:rPr>
          <w:spacing w:val="-4"/>
        </w:rPr>
        <w:t xml:space="preserve"> </w:t>
      </w:r>
      <w:r>
        <w:t>Form</w:t>
      </w:r>
      <w:r>
        <w:rPr>
          <w:spacing w:val="-4"/>
        </w:rPr>
        <w:t xml:space="preserve"> </w:t>
      </w:r>
      <w:r>
        <w:t>314</w:t>
      </w:r>
      <w:r>
        <w:rPr>
          <w:spacing w:val="-4"/>
        </w:rPr>
        <w:t xml:space="preserve"> </w:t>
      </w:r>
      <w:r>
        <w:t>is</w:t>
      </w:r>
      <w:r>
        <w:rPr>
          <w:spacing w:val="-4"/>
        </w:rPr>
        <w:t xml:space="preserve"> </w:t>
      </w:r>
      <w:r>
        <w:t>submitted</w:t>
      </w:r>
      <w:r>
        <w:rPr>
          <w:spacing w:val="-2"/>
        </w:rPr>
        <w:t xml:space="preserve"> </w:t>
      </w:r>
      <w:r>
        <w:t>by</w:t>
      </w:r>
      <w:r>
        <w:rPr>
          <w:spacing w:val="-4"/>
        </w:rPr>
        <w:t xml:space="preserve"> </w:t>
      </w:r>
      <w:r>
        <w:t>a</w:t>
      </w:r>
      <w:r>
        <w:rPr>
          <w:spacing w:val="-3"/>
        </w:rPr>
        <w:t xml:space="preserve"> </w:t>
      </w:r>
      <w:r>
        <w:t>materials</w:t>
      </w:r>
      <w:r>
        <w:rPr>
          <w:spacing w:val="-4"/>
        </w:rPr>
        <w:t xml:space="preserve"> </w:t>
      </w:r>
      <w:r>
        <w:t>licensee who wishes to terminate its license.</w:t>
      </w:r>
      <w:r>
        <w:tab/>
        <w:t>The form provides information needed by NRC to determine whether the licensee has radioactive materials on hand that must be transferred or otherwise disposed of prior to expiration or termination of the license.</w:t>
      </w:r>
    </w:p>
    <w:p w:rsidR="00403DED" w14:paraId="0E66D4DC" w14:textId="77777777">
      <w:pPr>
        <w:pStyle w:val="BodyText"/>
        <w:spacing w:before="8"/>
      </w:pPr>
    </w:p>
    <w:p w:rsidR="00403DED" w14:paraId="1A00B64B" w14:textId="77777777">
      <w:pPr>
        <w:pStyle w:val="ListParagraph"/>
        <w:numPr>
          <w:ilvl w:val="0"/>
          <w:numId w:val="1"/>
        </w:numPr>
        <w:tabs>
          <w:tab w:val="left" w:pos="1082"/>
          <w:tab w:val="left" w:pos="1083"/>
        </w:tabs>
        <w:spacing w:before="1"/>
        <w:ind w:hanging="423"/>
        <w:rPr>
          <w:u w:val="none"/>
        </w:rPr>
      </w:pPr>
      <w:r>
        <w:rPr>
          <w:spacing w:val="-2"/>
        </w:rPr>
        <w:t>Justification</w:t>
      </w:r>
    </w:p>
    <w:p w:rsidR="00403DED" w14:paraId="285E21D5" w14:textId="77777777">
      <w:pPr>
        <w:pStyle w:val="BodyText"/>
        <w:rPr>
          <w:sz w:val="20"/>
        </w:rPr>
      </w:pPr>
    </w:p>
    <w:p w:rsidR="00403DED" w14:paraId="3E449FE7" w14:textId="77777777">
      <w:pPr>
        <w:pStyle w:val="BodyText"/>
        <w:spacing w:before="2"/>
        <w:rPr>
          <w:sz w:val="19"/>
        </w:rPr>
      </w:pPr>
    </w:p>
    <w:p w:rsidR="00403DED" w14:paraId="69B72B3F" w14:textId="77777777">
      <w:pPr>
        <w:pStyle w:val="ListParagraph"/>
        <w:numPr>
          <w:ilvl w:val="1"/>
          <w:numId w:val="1"/>
        </w:numPr>
        <w:tabs>
          <w:tab w:val="left" w:pos="1921"/>
        </w:tabs>
        <w:spacing w:before="1"/>
        <w:ind w:hanging="361"/>
        <w:jc w:val="left"/>
        <w:rPr>
          <w:u w:val="none"/>
        </w:rPr>
      </w:pPr>
      <w:r>
        <w:t>Need</w:t>
      </w:r>
      <w:r>
        <w:rPr>
          <w:spacing w:val="-6"/>
        </w:rPr>
        <w:t xml:space="preserve"> </w:t>
      </w:r>
      <w:r>
        <w:t>for</w:t>
      </w:r>
      <w:r>
        <w:rPr>
          <w:spacing w:val="-5"/>
        </w:rPr>
        <w:t xml:space="preserve"> </w:t>
      </w:r>
      <w:r>
        <w:t>and</w:t>
      </w:r>
      <w:r>
        <w:rPr>
          <w:spacing w:val="-5"/>
        </w:rPr>
        <w:t xml:space="preserve"> </w:t>
      </w:r>
      <w:r>
        <w:t>Practical</w:t>
      </w:r>
      <w:r>
        <w:rPr>
          <w:spacing w:val="-7"/>
        </w:rPr>
        <w:t xml:space="preserve"> </w:t>
      </w:r>
      <w:r>
        <w:t>Utility</w:t>
      </w:r>
      <w:r>
        <w:rPr>
          <w:spacing w:val="-5"/>
        </w:rPr>
        <w:t xml:space="preserve"> </w:t>
      </w:r>
      <w:r>
        <w:t>of</w:t>
      </w:r>
      <w:r>
        <w:rPr>
          <w:spacing w:val="-5"/>
        </w:rPr>
        <w:t xml:space="preserve"> </w:t>
      </w:r>
      <w:r>
        <w:t>the</w:t>
      </w:r>
      <w:r>
        <w:rPr>
          <w:spacing w:val="-5"/>
        </w:rPr>
        <w:t xml:space="preserve"> </w:t>
      </w:r>
      <w:r>
        <w:t>Information</w:t>
      </w:r>
      <w:r>
        <w:rPr>
          <w:spacing w:val="-6"/>
        </w:rPr>
        <w:t xml:space="preserve"> </w:t>
      </w:r>
      <w:r>
        <w:rPr>
          <w:spacing w:val="-2"/>
        </w:rPr>
        <w:t>Collection</w:t>
      </w:r>
    </w:p>
    <w:p w:rsidR="00403DED" w14:paraId="3302F0EC" w14:textId="77777777">
      <w:pPr>
        <w:pStyle w:val="BodyText"/>
        <w:spacing w:before="10"/>
        <w:rPr>
          <w:sz w:val="13"/>
        </w:rPr>
      </w:pPr>
    </w:p>
    <w:p w:rsidR="00403DED" w14:paraId="12E149D4" w14:textId="00504EA7">
      <w:pPr>
        <w:pStyle w:val="BodyText"/>
        <w:tabs>
          <w:tab w:val="left" w:pos="3637"/>
          <w:tab w:val="left" w:pos="6369"/>
        </w:tabs>
        <w:spacing w:before="92"/>
        <w:ind w:left="1879" w:right="232"/>
      </w:pPr>
      <w:r>
        <w:t>NRC licenses to possess and use specified radioactive materials are</w:t>
      </w:r>
      <w:r>
        <w:rPr>
          <w:spacing w:val="-5"/>
        </w:rPr>
        <w:t xml:space="preserve"> </w:t>
      </w:r>
      <w:r>
        <w:t>issued for a fixed term.</w:t>
      </w:r>
      <w:r>
        <w:tab/>
        <w:t xml:space="preserve">A notice of expiration of a license is mailed to such licensees </w:t>
      </w:r>
      <w:r w:rsidR="003B7635">
        <w:t>6</w:t>
      </w:r>
      <w:r>
        <w:t>0 days prior to expiration of the license.</w:t>
      </w:r>
      <w:r>
        <w:rPr>
          <w:spacing w:val="76"/>
        </w:rPr>
        <w:t xml:space="preserve"> </w:t>
      </w:r>
      <w:r>
        <w:t>Included with the notice is a set of application forms for use if the licensee wishes to apply for renewal of the license, and a copy of NRC Form 314, "Certificate of Disposition of Materials," for use, if renewal is not desired.</w:t>
      </w:r>
      <w:r>
        <w:tab/>
        <w:t>If the licensee does not submit an application for renewal of the license or determines to cease its licensing operation at any time during the term of the license, NRC requires, as part of its</w:t>
      </w:r>
      <w:r>
        <w:rPr>
          <w:spacing w:val="-3"/>
        </w:rPr>
        <w:t xml:space="preserve"> </w:t>
      </w:r>
      <w:r>
        <w:t>process</w:t>
      </w:r>
      <w:r>
        <w:rPr>
          <w:spacing w:val="-3"/>
        </w:rPr>
        <w:t xml:space="preserve"> </w:t>
      </w:r>
      <w:r>
        <w:t>for</w:t>
      </w:r>
      <w:r>
        <w:rPr>
          <w:spacing w:val="-3"/>
        </w:rPr>
        <w:t xml:space="preserve"> </w:t>
      </w:r>
      <w:r>
        <w:t>terminating</w:t>
      </w:r>
      <w:r>
        <w:rPr>
          <w:spacing w:val="-3"/>
        </w:rPr>
        <w:t xml:space="preserve"> </w:t>
      </w:r>
      <w:r>
        <w:t>the</w:t>
      </w:r>
      <w:r>
        <w:rPr>
          <w:spacing w:val="-3"/>
        </w:rPr>
        <w:t xml:space="preserve"> </w:t>
      </w:r>
      <w:r>
        <w:t>license</w:t>
      </w:r>
      <w:r>
        <w:rPr>
          <w:spacing w:val="-3"/>
        </w:rPr>
        <w:t xml:space="preserve"> </w:t>
      </w:r>
      <w:r>
        <w:t>and</w:t>
      </w:r>
      <w:r>
        <w:rPr>
          <w:spacing w:val="-3"/>
        </w:rPr>
        <w:t xml:space="preserve"> </w:t>
      </w:r>
      <w:r>
        <w:t>closing</w:t>
      </w:r>
      <w:r>
        <w:rPr>
          <w:spacing w:val="-3"/>
        </w:rPr>
        <w:t xml:space="preserve"> </w:t>
      </w:r>
      <w:r>
        <w:t>out</w:t>
      </w:r>
      <w:r>
        <w:rPr>
          <w:spacing w:val="-3"/>
        </w:rPr>
        <w:t xml:space="preserve"> </w:t>
      </w:r>
      <w:r>
        <w:t>the</w:t>
      </w:r>
      <w:r>
        <w:rPr>
          <w:spacing w:val="-3"/>
        </w:rPr>
        <w:t xml:space="preserve"> </w:t>
      </w:r>
      <w:r>
        <w:t>file,</w:t>
      </w:r>
      <w:r>
        <w:rPr>
          <w:spacing w:val="-3"/>
        </w:rPr>
        <w:t xml:space="preserve"> </w:t>
      </w:r>
      <w:r>
        <w:t>that</w:t>
      </w:r>
      <w:r>
        <w:rPr>
          <w:spacing w:val="-3"/>
        </w:rPr>
        <w:t xml:space="preserve"> </w:t>
      </w:r>
      <w:r>
        <w:t>the</w:t>
      </w:r>
      <w:r>
        <w:rPr>
          <w:spacing w:val="-3"/>
        </w:rPr>
        <w:t xml:space="preserve"> </w:t>
      </w:r>
      <w:r>
        <w:t>licensee notify the Commission in writing of that termination decision (10 CFR 30.36(j), 40.42(j), 70.38(j)).</w:t>
      </w:r>
      <w:r>
        <w:rPr>
          <w:spacing w:val="40"/>
        </w:rPr>
        <w:t xml:space="preserve"> </w:t>
      </w:r>
      <w:r>
        <w:t>In connection with, but separate from that notification, licensees submit an NRC Form 314, which furnishes information regarding transfer or other disposition of the radioactive material or indicates that no materials have been procured.</w:t>
      </w:r>
    </w:p>
    <w:p w:rsidR="00403DED" w14:paraId="34C12FB3" w14:textId="77777777">
      <w:pPr>
        <w:pStyle w:val="BodyText"/>
        <w:spacing w:before="1"/>
      </w:pPr>
    </w:p>
    <w:p w:rsidR="00403DED" w14:paraId="724FB8F8" w14:textId="77777777">
      <w:pPr>
        <w:pStyle w:val="ListParagraph"/>
        <w:numPr>
          <w:ilvl w:val="1"/>
          <w:numId w:val="1"/>
        </w:numPr>
        <w:tabs>
          <w:tab w:val="left" w:pos="1942"/>
        </w:tabs>
        <w:ind w:left="1941" w:hanging="382"/>
        <w:jc w:val="left"/>
        <w:rPr>
          <w:u w:val="none"/>
        </w:rPr>
      </w:pPr>
      <w:r>
        <w:t>Agency</w:t>
      </w:r>
      <w:r>
        <w:rPr>
          <w:spacing w:val="-5"/>
        </w:rPr>
        <w:t xml:space="preserve"> </w:t>
      </w:r>
      <w:r>
        <w:t>Use</w:t>
      </w:r>
      <w:r>
        <w:rPr>
          <w:spacing w:val="-4"/>
        </w:rPr>
        <w:t xml:space="preserve"> </w:t>
      </w:r>
      <w:r>
        <w:t>of</w:t>
      </w:r>
      <w:r>
        <w:rPr>
          <w:spacing w:val="-4"/>
        </w:rPr>
        <w:t xml:space="preserve"> </w:t>
      </w:r>
      <w:r>
        <w:t>the</w:t>
      </w:r>
      <w:r>
        <w:rPr>
          <w:spacing w:val="-4"/>
        </w:rPr>
        <w:t xml:space="preserve"> </w:t>
      </w:r>
      <w:r>
        <w:rPr>
          <w:spacing w:val="-2"/>
        </w:rPr>
        <w:t>Information</w:t>
      </w:r>
    </w:p>
    <w:p w:rsidR="00403DED" w14:paraId="77780537" w14:textId="77777777">
      <w:pPr>
        <w:pStyle w:val="BodyText"/>
        <w:spacing w:before="7"/>
        <w:rPr>
          <w:sz w:val="16"/>
        </w:rPr>
      </w:pPr>
    </w:p>
    <w:p w:rsidR="00403DED" w14:paraId="526D0A63" w14:textId="77777777">
      <w:pPr>
        <w:pStyle w:val="BodyText"/>
        <w:spacing w:before="93"/>
        <w:ind w:left="1880" w:right="118"/>
      </w:pPr>
      <w:r>
        <w:t>The</w:t>
      </w:r>
      <w:r>
        <w:rPr>
          <w:spacing w:val="-4"/>
        </w:rPr>
        <w:t xml:space="preserve"> </w:t>
      </w:r>
      <w:r>
        <w:t>NRC</w:t>
      </w:r>
      <w:r>
        <w:rPr>
          <w:spacing w:val="-4"/>
        </w:rPr>
        <w:t xml:space="preserve"> </w:t>
      </w:r>
      <w:r>
        <w:t>staff</w:t>
      </w:r>
      <w:r>
        <w:rPr>
          <w:spacing w:val="-4"/>
        </w:rPr>
        <w:t xml:space="preserve"> </w:t>
      </w:r>
      <w:r>
        <w:t>reviews</w:t>
      </w:r>
      <w:r>
        <w:rPr>
          <w:spacing w:val="-4"/>
        </w:rPr>
        <w:t xml:space="preserve"> </w:t>
      </w:r>
      <w:r>
        <w:t>NRC</w:t>
      </w:r>
      <w:r>
        <w:rPr>
          <w:spacing w:val="-4"/>
        </w:rPr>
        <w:t xml:space="preserve"> </w:t>
      </w:r>
      <w:r>
        <w:t>Form</w:t>
      </w:r>
      <w:r>
        <w:rPr>
          <w:spacing w:val="-3"/>
        </w:rPr>
        <w:t xml:space="preserve"> </w:t>
      </w:r>
      <w:r>
        <w:t>314</w:t>
      </w:r>
      <w:r>
        <w:rPr>
          <w:spacing w:val="-4"/>
        </w:rPr>
        <w:t xml:space="preserve"> </w:t>
      </w:r>
      <w:r>
        <w:t>to</w:t>
      </w:r>
      <w:r>
        <w:rPr>
          <w:spacing w:val="-4"/>
        </w:rPr>
        <w:t xml:space="preserve"> </w:t>
      </w:r>
      <w:r>
        <w:t>determine</w:t>
      </w:r>
      <w:r>
        <w:rPr>
          <w:spacing w:val="-4"/>
        </w:rPr>
        <w:t xml:space="preserve"> </w:t>
      </w:r>
      <w:r>
        <w:t>whether</w:t>
      </w:r>
      <w:r>
        <w:rPr>
          <w:spacing w:val="-4"/>
        </w:rPr>
        <w:t xml:space="preserve"> </w:t>
      </w:r>
      <w:r>
        <w:t>(1)</w:t>
      </w:r>
      <w:r>
        <w:rPr>
          <w:spacing w:val="-4"/>
        </w:rPr>
        <w:t xml:space="preserve"> </w:t>
      </w:r>
      <w:r>
        <w:t>the</w:t>
      </w:r>
      <w:r>
        <w:rPr>
          <w:spacing w:val="-4"/>
        </w:rPr>
        <w:t xml:space="preserve"> </w:t>
      </w:r>
      <w:r>
        <w:t>licensee has materials on hand that must be transferred or otherwise disposed of in accordance with NRC regulations and (2) whether any remaining residual radioactivity is within the limits of 10 CFR Part 20, Subpart E and is</w:t>
      </w:r>
    </w:p>
    <w:p w:rsidR="00403DED" w14:paraId="3C345819" w14:textId="12CDFA62">
      <w:pPr>
        <w:pStyle w:val="BodyText"/>
        <w:ind w:left="1880" w:right="106" w:firstLine="1"/>
      </w:pPr>
      <w:r>
        <w:t>as</w:t>
      </w:r>
      <w:r>
        <w:rPr>
          <w:spacing w:val="-3"/>
        </w:rPr>
        <w:t xml:space="preserve"> </w:t>
      </w:r>
      <w:r>
        <w:t>low</w:t>
      </w:r>
      <w:r>
        <w:rPr>
          <w:spacing w:val="-3"/>
        </w:rPr>
        <w:t xml:space="preserve"> </w:t>
      </w:r>
      <w:r>
        <w:t>as</w:t>
      </w:r>
      <w:r>
        <w:rPr>
          <w:spacing w:val="-3"/>
        </w:rPr>
        <w:t xml:space="preserve"> </w:t>
      </w:r>
      <w:r>
        <w:t>is</w:t>
      </w:r>
      <w:r>
        <w:rPr>
          <w:spacing w:val="-4"/>
        </w:rPr>
        <w:t xml:space="preserve"> </w:t>
      </w:r>
      <w:r>
        <w:t>reasonably</w:t>
      </w:r>
      <w:r>
        <w:rPr>
          <w:spacing w:val="-3"/>
        </w:rPr>
        <w:t xml:space="preserve"> </w:t>
      </w:r>
      <w:r>
        <w:t>achievable</w:t>
      </w:r>
      <w:r>
        <w:rPr>
          <w:spacing w:val="-3"/>
        </w:rPr>
        <w:t xml:space="preserve"> </w:t>
      </w:r>
      <w:r>
        <w:t>prior</w:t>
      </w:r>
      <w:r>
        <w:rPr>
          <w:spacing w:val="-3"/>
        </w:rPr>
        <w:t xml:space="preserve"> </w:t>
      </w:r>
      <w:r>
        <w:t>to</w:t>
      </w:r>
      <w:r>
        <w:rPr>
          <w:spacing w:val="-3"/>
        </w:rPr>
        <w:t xml:space="preserve"> </w:t>
      </w:r>
      <w:r>
        <w:t>expiration</w:t>
      </w:r>
      <w:r>
        <w:rPr>
          <w:spacing w:val="-2"/>
        </w:rPr>
        <w:t xml:space="preserve"> </w:t>
      </w:r>
      <w:r>
        <w:t>or</w:t>
      </w:r>
      <w:r>
        <w:rPr>
          <w:spacing w:val="-3"/>
        </w:rPr>
        <w:t xml:space="preserve"> </w:t>
      </w:r>
      <w:r>
        <w:t>termination</w:t>
      </w:r>
      <w:r>
        <w:rPr>
          <w:spacing w:val="-3"/>
        </w:rPr>
        <w:t xml:space="preserve"> </w:t>
      </w:r>
      <w:r>
        <w:t>of the license.</w:t>
      </w:r>
      <w:r>
        <w:rPr>
          <w:spacing w:val="40"/>
        </w:rPr>
        <w:t xml:space="preserve"> </w:t>
      </w:r>
      <w:r>
        <w:t>The information submitted on Form 314 constitutes part of the basis for the determination by NRC that the facility is cleared of radioactive material before the facility is released for unrestricted use.</w:t>
      </w:r>
    </w:p>
    <w:p w:rsidR="00403DED" w14:paraId="3F2492A5" w14:textId="77777777">
      <w:pPr>
        <w:sectPr>
          <w:headerReference w:type="even" r:id="rId7"/>
          <w:headerReference w:type="default" r:id="rId8"/>
          <w:footerReference w:type="even" r:id="rId9"/>
          <w:footerReference w:type="default" r:id="rId10"/>
          <w:headerReference w:type="first" r:id="rId11"/>
          <w:footerReference w:type="first" r:id="rId12"/>
          <w:type w:val="continuous"/>
          <w:pgSz w:w="12240" w:h="15840"/>
          <w:pgMar w:top="1520" w:right="1280" w:bottom="280" w:left="1240" w:header="720" w:footer="720" w:gutter="0"/>
          <w:cols w:space="720"/>
        </w:sectPr>
      </w:pPr>
    </w:p>
    <w:p w:rsidR="00403DED" w14:paraId="791A9C6E" w14:textId="77777777">
      <w:pPr>
        <w:pStyle w:val="ListParagraph"/>
        <w:numPr>
          <w:ilvl w:val="1"/>
          <w:numId w:val="1"/>
        </w:numPr>
        <w:tabs>
          <w:tab w:val="left" w:pos="1540"/>
          <w:tab w:val="left" w:pos="1541"/>
        </w:tabs>
        <w:spacing w:before="151"/>
        <w:ind w:left="1540" w:hanging="482"/>
        <w:jc w:val="left"/>
        <w:rPr>
          <w:u w:val="none"/>
        </w:rPr>
      </w:pPr>
      <w:r>
        <w:t>Reduction</w:t>
      </w:r>
      <w:r>
        <w:rPr>
          <w:spacing w:val="-8"/>
        </w:rPr>
        <w:t xml:space="preserve"> </w:t>
      </w:r>
      <w:r>
        <w:t>of</w:t>
      </w:r>
      <w:r>
        <w:rPr>
          <w:spacing w:val="-8"/>
        </w:rPr>
        <w:t xml:space="preserve"> </w:t>
      </w:r>
      <w:r>
        <w:t>Burden</w:t>
      </w:r>
      <w:r>
        <w:rPr>
          <w:spacing w:val="-8"/>
        </w:rPr>
        <w:t xml:space="preserve"> </w:t>
      </w:r>
      <w:r>
        <w:t>Through</w:t>
      </w:r>
      <w:r>
        <w:rPr>
          <w:spacing w:val="-8"/>
        </w:rPr>
        <w:t xml:space="preserve"> </w:t>
      </w:r>
      <w:r>
        <w:t>Information</w:t>
      </w:r>
      <w:r>
        <w:rPr>
          <w:spacing w:val="-8"/>
        </w:rPr>
        <w:t xml:space="preserve"> </w:t>
      </w:r>
      <w:r>
        <w:rPr>
          <w:spacing w:val="-2"/>
        </w:rPr>
        <w:t>Technology</w:t>
      </w:r>
    </w:p>
    <w:p w:rsidR="00403DED" w14:paraId="0CF015A9" w14:textId="77777777">
      <w:pPr>
        <w:pStyle w:val="BodyText"/>
        <w:spacing w:before="6"/>
        <w:rPr>
          <w:sz w:val="16"/>
        </w:rPr>
      </w:pPr>
    </w:p>
    <w:p w:rsidR="00403DED" w14:paraId="717BA4DF" w14:textId="77777777">
      <w:pPr>
        <w:pStyle w:val="BodyText"/>
        <w:spacing w:before="93"/>
        <w:ind w:left="1540" w:right="735"/>
      </w:pPr>
      <w:r>
        <w:t>There are no legal obstacles to reducing the burden associated with this information</w:t>
      </w:r>
      <w:r>
        <w:rPr>
          <w:spacing w:val="-5"/>
        </w:rPr>
        <w:t xml:space="preserve"> </w:t>
      </w:r>
      <w:r>
        <w:t>collection.</w:t>
      </w:r>
      <w:r>
        <w:rPr>
          <w:spacing w:val="-5"/>
        </w:rPr>
        <w:t xml:space="preserve"> </w:t>
      </w:r>
      <w:r>
        <w:t>The</w:t>
      </w:r>
      <w:r>
        <w:rPr>
          <w:spacing w:val="-5"/>
        </w:rPr>
        <w:t xml:space="preserve"> </w:t>
      </w:r>
      <w:r>
        <w:t>NRC</w:t>
      </w:r>
      <w:r>
        <w:rPr>
          <w:spacing w:val="-5"/>
        </w:rPr>
        <w:t xml:space="preserve"> </w:t>
      </w:r>
      <w:r>
        <w:t>encourages</w:t>
      </w:r>
      <w:r>
        <w:rPr>
          <w:spacing w:val="-5"/>
        </w:rPr>
        <w:t xml:space="preserve"> </w:t>
      </w:r>
      <w:r>
        <w:t>respondents</w:t>
      </w:r>
      <w:r>
        <w:rPr>
          <w:spacing w:val="-5"/>
        </w:rPr>
        <w:t xml:space="preserve"> </w:t>
      </w:r>
      <w:r>
        <w:t>to</w:t>
      </w:r>
      <w:r>
        <w:rPr>
          <w:spacing w:val="-5"/>
        </w:rPr>
        <w:t xml:space="preserve"> </w:t>
      </w:r>
      <w:r>
        <w:t>use</w:t>
      </w:r>
      <w:r>
        <w:rPr>
          <w:spacing w:val="-5"/>
        </w:rPr>
        <w:t xml:space="preserve"> </w:t>
      </w:r>
      <w:r>
        <w:t>information technology when it would be beneficial to them.</w:t>
      </w:r>
      <w:r>
        <w:rPr>
          <w:spacing w:val="80"/>
        </w:rPr>
        <w:t xml:space="preserve"> </w:t>
      </w:r>
      <w:r>
        <w:t>The NRC has</w:t>
      </w:r>
    </w:p>
    <w:p w:rsidR="00403DED" w14:paraId="2F70ECDC" w14:textId="646F3358">
      <w:pPr>
        <w:pStyle w:val="BodyText"/>
        <w:ind w:left="1540" w:right="485"/>
      </w:pPr>
      <w:r>
        <w:t xml:space="preserve">issued </w:t>
      </w:r>
      <w:r>
        <w:rPr>
          <w:i/>
          <w:color w:val="0000FF"/>
          <w:u w:val="single" w:color="0000FF"/>
        </w:rPr>
        <w:t xml:space="preserve">Guidance for Electronic Submissions to the </w:t>
      </w:r>
      <w:r>
        <w:rPr>
          <w:i/>
          <w:color w:val="0000FF"/>
          <w:u w:val="single" w:color="0000FF"/>
        </w:rPr>
        <w:t>NRC</w:t>
      </w:r>
      <w:r>
        <w:rPr>
          <w:i/>
          <w:color w:val="0000FF"/>
        </w:rPr>
        <w:t xml:space="preserve"> </w:t>
      </w:r>
      <w:r w:rsidR="00D51813">
        <w:rPr>
          <w:i/>
          <w:color w:val="0000FF"/>
        </w:rPr>
        <w:t xml:space="preserve"> </w:t>
      </w:r>
      <w:r w:rsidR="003F511C">
        <w:rPr>
          <w:i/>
          <w:color w:val="0000FF"/>
        </w:rPr>
        <w:t>(</w:t>
      </w:r>
      <w:r w:rsidR="00D51813">
        <w:rPr>
          <w:i/>
          <w:color w:val="0000FF"/>
        </w:rPr>
        <w:t>ML</w:t>
      </w:r>
      <w:r w:rsidR="003F511C">
        <w:rPr>
          <w:i/>
          <w:color w:val="0000FF"/>
        </w:rPr>
        <w:t xml:space="preserve">13031A056) </w:t>
      </w:r>
      <w:r>
        <w:t>which provides direction for the electronic transmission and submittal of documents to the NRC.</w:t>
      </w:r>
      <w:r>
        <w:rPr>
          <w:spacing w:val="40"/>
        </w:rPr>
        <w:t xml:space="preserve"> </w:t>
      </w:r>
      <w:r>
        <w:t>Electronic transmission and submittal of documents can be accomplished via the following avenues: the Electronic Information Exchange) process, which is available from the NRC's “Electronic Submittals” Web page, by Optical Storage Media (OSM) (e.g., CD-ROM, DVD), or by e</w:t>
      </w:r>
      <w:r w:rsidR="00D505BC">
        <w:t>mail</w:t>
      </w:r>
      <w:r>
        <w:t>.</w:t>
      </w:r>
      <w:r>
        <w:rPr>
          <w:spacing w:val="40"/>
        </w:rPr>
        <w:t xml:space="preserve"> </w:t>
      </w:r>
      <w:r>
        <w:t xml:space="preserve">It is estimated that </w:t>
      </w:r>
      <w:r w:rsidR="00EF2AA8">
        <w:t>most</w:t>
      </w:r>
      <w:r w:rsidR="00CA091D">
        <w:t xml:space="preserve"> </w:t>
      </w:r>
      <w:r>
        <w:t xml:space="preserve">of the potential responses </w:t>
      </w:r>
      <w:r w:rsidR="00EF2AA8">
        <w:t>will</w:t>
      </w:r>
      <w:r>
        <w:t xml:space="preserve"> be filed electronically</w:t>
      </w:r>
      <w:r w:rsidR="00EF2AA8">
        <w:t>,</w:t>
      </w:r>
      <w:r>
        <w:rPr>
          <w:spacing w:val="-3"/>
        </w:rPr>
        <w:t xml:space="preserve"> </w:t>
      </w:r>
      <w:r>
        <w:t>a</w:t>
      </w:r>
      <w:r>
        <w:rPr>
          <w:spacing w:val="-3"/>
        </w:rPr>
        <w:t xml:space="preserve"> </w:t>
      </w:r>
      <w:r>
        <w:t>statement</w:t>
      </w:r>
      <w:r>
        <w:rPr>
          <w:spacing w:val="-3"/>
        </w:rPr>
        <w:t xml:space="preserve"> </w:t>
      </w:r>
      <w:r>
        <w:t>at</w:t>
      </w:r>
      <w:r>
        <w:rPr>
          <w:spacing w:val="-3"/>
        </w:rPr>
        <w:t xml:space="preserve"> </w:t>
      </w:r>
      <w:r>
        <w:t>the</w:t>
      </w:r>
      <w:r>
        <w:rPr>
          <w:spacing w:val="-3"/>
        </w:rPr>
        <w:t xml:space="preserve"> </w:t>
      </w:r>
      <w:r>
        <w:t>bottom</w:t>
      </w:r>
      <w:r>
        <w:rPr>
          <w:spacing w:val="-3"/>
        </w:rPr>
        <w:t xml:space="preserve"> </w:t>
      </w:r>
      <w:r>
        <w:t>of</w:t>
      </w:r>
      <w:r>
        <w:rPr>
          <w:spacing w:val="-3"/>
        </w:rPr>
        <w:t xml:space="preserve"> </w:t>
      </w:r>
      <w:r>
        <w:t>Form</w:t>
      </w:r>
      <w:r>
        <w:rPr>
          <w:spacing w:val="-3"/>
        </w:rPr>
        <w:t xml:space="preserve"> </w:t>
      </w:r>
      <w:r>
        <w:t>314</w:t>
      </w:r>
      <w:r>
        <w:rPr>
          <w:spacing w:val="-3"/>
        </w:rPr>
        <w:t xml:space="preserve"> </w:t>
      </w:r>
      <w:r>
        <w:t>is</w:t>
      </w:r>
      <w:r>
        <w:rPr>
          <w:spacing w:val="-3"/>
        </w:rPr>
        <w:t xml:space="preserve"> </w:t>
      </w:r>
      <w:r>
        <w:t xml:space="preserve">included to encourage </w:t>
      </w:r>
      <w:r w:rsidR="009218CC">
        <w:t xml:space="preserve">all </w:t>
      </w:r>
      <w:r>
        <w:t>submission</w:t>
      </w:r>
      <w:r w:rsidR="009218CC">
        <w:t xml:space="preserve"> to be filed electronically</w:t>
      </w:r>
      <w:r>
        <w:t>.</w:t>
      </w:r>
    </w:p>
    <w:p w:rsidR="00403DED" w14:paraId="1A3B727D" w14:textId="77777777">
      <w:pPr>
        <w:pStyle w:val="BodyText"/>
        <w:spacing w:before="10"/>
        <w:rPr>
          <w:sz w:val="21"/>
        </w:rPr>
      </w:pPr>
    </w:p>
    <w:p w:rsidR="00403DED" w14:paraId="75A3F295" w14:textId="77777777">
      <w:pPr>
        <w:pStyle w:val="ListParagraph"/>
        <w:numPr>
          <w:ilvl w:val="1"/>
          <w:numId w:val="1"/>
        </w:numPr>
        <w:tabs>
          <w:tab w:val="left" w:pos="1540"/>
          <w:tab w:val="left" w:pos="1541"/>
        </w:tabs>
        <w:ind w:left="1540" w:hanging="481"/>
        <w:jc w:val="left"/>
        <w:rPr>
          <w:u w:val="none"/>
        </w:rPr>
      </w:pPr>
      <w:r>
        <w:t>Effort</w:t>
      </w:r>
      <w:r>
        <w:rPr>
          <w:spacing w:val="-6"/>
        </w:rPr>
        <w:t xml:space="preserve"> </w:t>
      </w:r>
      <w:r>
        <w:t>to</w:t>
      </w:r>
      <w:r>
        <w:rPr>
          <w:spacing w:val="-6"/>
        </w:rPr>
        <w:t xml:space="preserve"> </w:t>
      </w:r>
      <w:r>
        <w:t>Identify</w:t>
      </w:r>
      <w:r>
        <w:rPr>
          <w:spacing w:val="-5"/>
        </w:rPr>
        <w:t xml:space="preserve"> </w:t>
      </w:r>
      <w:r>
        <w:t>Duplication</w:t>
      </w:r>
      <w:r>
        <w:rPr>
          <w:spacing w:val="-6"/>
        </w:rPr>
        <w:t xml:space="preserve"> </w:t>
      </w:r>
      <w:r>
        <w:t>and</w:t>
      </w:r>
      <w:r>
        <w:rPr>
          <w:spacing w:val="-6"/>
        </w:rPr>
        <w:t xml:space="preserve"> </w:t>
      </w:r>
      <w:r>
        <w:t>Use</w:t>
      </w:r>
      <w:r>
        <w:rPr>
          <w:spacing w:val="-5"/>
        </w:rPr>
        <w:t xml:space="preserve"> </w:t>
      </w:r>
      <w:r>
        <w:t>Similar</w:t>
      </w:r>
      <w:r>
        <w:rPr>
          <w:spacing w:val="-6"/>
        </w:rPr>
        <w:t xml:space="preserve"> </w:t>
      </w:r>
      <w:r>
        <w:rPr>
          <w:spacing w:val="-2"/>
        </w:rPr>
        <w:t>Information</w:t>
      </w:r>
    </w:p>
    <w:p w:rsidR="00403DED" w14:paraId="2D9E41C8" w14:textId="77777777">
      <w:pPr>
        <w:pStyle w:val="BodyText"/>
        <w:spacing w:before="6"/>
        <w:rPr>
          <w:sz w:val="16"/>
        </w:rPr>
      </w:pPr>
    </w:p>
    <w:p w:rsidR="00403DED" w14:paraId="2B4E4EAE" w14:textId="77777777">
      <w:pPr>
        <w:pStyle w:val="BodyText"/>
        <w:spacing w:before="93"/>
        <w:ind w:left="1540"/>
      </w:pPr>
      <w:r>
        <w:t>No</w:t>
      </w:r>
      <w:r>
        <w:rPr>
          <w:spacing w:val="-3"/>
        </w:rPr>
        <w:t xml:space="preserve"> </w:t>
      </w:r>
      <w:r>
        <w:t>sources</w:t>
      </w:r>
      <w:r>
        <w:rPr>
          <w:spacing w:val="-4"/>
        </w:rPr>
        <w:t xml:space="preserve"> </w:t>
      </w:r>
      <w:r>
        <w:t>of</w:t>
      </w:r>
      <w:r>
        <w:rPr>
          <w:spacing w:val="-3"/>
        </w:rPr>
        <w:t xml:space="preserve"> </w:t>
      </w:r>
      <w:r>
        <w:t>similar</w:t>
      </w:r>
      <w:r>
        <w:rPr>
          <w:spacing w:val="-3"/>
        </w:rPr>
        <w:t xml:space="preserve"> </w:t>
      </w:r>
      <w:r>
        <w:t>information</w:t>
      </w:r>
      <w:r>
        <w:rPr>
          <w:spacing w:val="-3"/>
        </w:rPr>
        <w:t xml:space="preserve"> </w:t>
      </w:r>
      <w:r>
        <w:t>are</w:t>
      </w:r>
      <w:r>
        <w:rPr>
          <w:spacing w:val="-3"/>
        </w:rPr>
        <w:t xml:space="preserve"> </w:t>
      </w:r>
      <w:r>
        <w:t>available.</w:t>
      </w:r>
      <w:r>
        <w:rPr>
          <w:spacing w:val="40"/>
        </w:rPr>
        <w:t xml:space="preserve"> </w:t>
      </w:r>
      <w:r>
        <w:t>There</w:t>
      </w:r>
      <w:r>
        <w:rPr>
          <w:spacing w:val="-3"/>
        </w:rPr>
        <w:t xml:space="preserve"> </w:t>
      </w:r>
      <w:r>
        <w:t>is</w:t>
      </w:r>
      <w:r>
        <w:rPr>
          <w:spacing w:val="-3"/>
        </w:rPr>
        <w:t xml:space="preserve"> </w:t>
      </w:r>
      <w:r>
        <w:t>no</w:t>
      </w:r>
      <w:r>
        <w:rPr>
          <w:spacing w:val="-4"/>
        </w:rPr>
        <w:t xml:space="preserve"> </w:t>
      </w:r>
      <w:r>
        <w:t>duplication</w:t>
      </w:r>
      <w:r>
        <w:rPr>
          <w:spacing w:val="-6"/>
        </w:rPr>
        <w:t xml:space="preserve"> </w:t>
      </w:r>
      <w:r>
        <w:t xml:space="preserve">of </w:t>
      </w:r>
      <w:r>
        <w:rPr>
          <w:spacing w:val="-2"/>
        </w:rPr>
        <w:t>requirements.</w:t>
      </w:r>
    </w:p>
    <w:p w:rsidR="00403DED" w14:paraId="762D2573" w14:textId="77777777">
      <w:pPr>
        <w:pStyle w:val="BodyText"/>
        <w:spacing w:before="10"/>
        <w:rPr>
          <w:sz w:val="21"/>
        </w:rPr>
      </w:pPr>
    </w:p>
    <w:p w:rsidR="00403DED" w14:paraId="3D02AE7B" w14:textId="77777777">
      <w:pPr>
        <w:pStyle w:val="ListParagraph"/>
        <w:numPr>
          <w:ilvl w:val="1"/>
          <w:numId w:val="1"/>
        </w:numPr>
        <w:tabs>
          <w:tab w:val="left" w:pos="1540"/>
          <w:tab w:val="left" w:pos="1541"/>
        </w:tabs>
        <w:spacing w:before="1"/>
        <w:ind w:left="1540" w:hanging="481"/>
        <w:jc w:val="left"/>
        <w:rPr>
          <w:u w:val="none"/>
        </w:rPr>
      </w:pPr>
      <w:r>
        <w:t>Effort</w:t>
      </w:r>
      <w:r>
        <w:rPr>
          <w:spacing w:val="-6"/>
        </w:rPr>
        <w:t xml:space="preserve"> </w:t>
      </w:r>
      <w:r>
        <w:t>to</w:t>
      </w:r>
      <w:r>
        <w:rPr>
          <w:spacing w:val="-6"/>
        </w:rPr>
        <w:t xml:space="preserve"> </w:t>
      </w:r>
      <w:r>
        <w:t>Reduce</w:t>
      </w:r>
      <w:r>
        <w:rPr>
          <w:spacing w:val="-6"/>
        </w:rPr>
        <w:t xml:space="preserve"> </w:t>
      </w:r>
      <w:r>
        <w:t>Small</w:t>
      </w:r>
      <w:r>
        <w:rPr>
          <w:spacing w:val="-6"/>
        </w:rPr>
        <w:t xml:space="preserve"> </w:t>
      </w:r>
      <w:r>
        <w:t>Business</w:t>
      </w:r>
      <w:r>
        <w:rPr>
          <w:spacing w:val="-6"/>
        </w:rPr>
        <w:t xml:space="preserve"> </w:t>
      </w:r>
      <w:r>
        <w:rPr>
          <w:spacing w:val="-2"/>
        </w:rPr>
        <w:t>Burden</w:t>
      </w:r>
    </w:p>
    <w:p w:rsidR="00403DED" w14:paraId="2AEC6858" w14:textId="77777777">
      <w:pPr>
        <w:pStyle w:val="BodyText"/>
        <w:spacing w:before="5"/>
        <w:rPr>
          <w:sz w:val="16"/>
        </w:rPr>
      </w:pPr>
    </w:p>
    <w:p w:rsidR="00403DED" w14:paraId="4A6BD2A2" w14:textId="4E5FAD9C">
      <w:pPr>
        <w:pStyle w:val="BodyText"/>
        <w:tabs>
          <w:tab w:val="left" w:pos="5506"/>
        </w:tabs>
        <w:spacing w:before="93"/>
        <w:ind w:left="1540" w:right="691"/>
      </w:pPr>
      <w:r>
        <w:t>The information is required from all materials licensees terminating their licenses.</w:t>
      </w:r>
      <w:r>
        <w:rPr>
          <w:spacing w:val="40"/>
        </w:rPr>
        <w:t xml:space="preserve"> </w:t>
      </w:r>
      <w:r w:rsidR="001422E3">
        <w:t>T</w:t>
      </w:r>
      <w:r>
        <w:t>he</w:t>
      </w:r>
      <w:r>
        <w:rPr>
          <w:spacing w:val="-8"/>
        </w:rPr>
        <w:t xml:space="preserve"> </w:t>
      </w:r>
      <w:r>
        <w:t>need</w:t>
      </w:r>
      <w:r>
        <w:rPr>
          <w:spacing w:val="-7"/>
        </w:rPr>
        <w:t xml:space="preserve"> </w:t>
      </w:r>
      <w:r>
        <w:t>for</w:t>
      </w:r>
      <w:r>
        <w:rPr>
          <w:spacing w:val="-7"/>
        </w:rPr>
        <w:t xml:space="preserve"> </w:t>
      </w:r>
      <w:r>
        <w:t>NRC</w:t>
      </w:r>
      <w:r>
        <w:rPr>
          <w:spacing w:val="-7"/>
        </w:rPr>
        <w:t xml:space="preserve"> </w:t>
      </w:r>
      <w:r>
        <w:t>to determine whether radioactive materials have been safely transferred or disposed of and whether the facility has been cleared of radioactive material before release is the same for large and small entities</w:t>
      </w:r>
      <w:r w:rsidR="007B5BEB">
        <w:t>.</w:t>
      </w:r>
      <w:r>
        <w:t xml:space="preserve"> </w:t>
      </w:r>
      <w:r w:rsidR="007B5BEB">
        <w:t>I</w:t>
      </w:r>
      <w:r>
        <w:t xml:space="preserve">t </w:t>
      </w:r>
      <w:r w:rsidR="007B5BEB">
        <w:t>would</w:t>
      </w:r>
      <w:r>
        <w:t xml:space="preserve"> not</w:t>
      </w:r>
      <w:r w:rsidR="00347262">
        <w:t xml:space="preserve"> be</w:t>
      </w:r>
      <w:r>
        <w:t xml:space="preserve"> possible to reduce the burden on small entities </w:t>
      </w:r>
      <w:r w:rsidR="000231A7">
        <w:t>as</w:t>
      </w:r>
      <w:r>
        <w:t xml:space="preserve"> this one-time requirement</w:t>
      </w:r>
      <w:r w:rsidR="000231A7">
        <w:t xml:space="preserve"> </w:t>
      </w:r>
      <w:r w:rsidR="00043CEB">
        <w:t>is applied to</w:t>
      </w:r>
      <w:r w:rsidR="000231A7">
        <w:t xml:space="preserve"> all entities</w:t>
      </w:r>
      <w:r w:rsidR="00043CEB">
        <w:t>, small and large</w:t>
      </w:r>
      <w:r>
        <w:t>.</w:t>
      </w:r>
    </w:p>
    <w:p w:rsidR="00403DED" w14:paraId="257C6273" w14:textId="77777777">
      <w:pPr>
        <w:pStyle w:val="BodyText"/>
      </w:pPr>
    </w:p>
    <w:p w:rsidR="00403DED" w14:paraId="2FD9A833" w14:textId="77777777">
      <w:pPr>
        <w:pStyle w:val="ListParagraph"/>
        <w:numPr>
          <w:ilvl w:val="1"/>
          <w:numId w:val="1"/>
        </w:numPr>
        <w:tabs>
          <w:tab w:val="left" w:pos="1540"/>
          <w:tab w:val="left" w:pos="1541"/>
        </w:tabs>
        <w:ind w:left="1540" w:right="767" w:hanging="480"/>
        <w:jc w:val="left"/>
        <w:rPr>
          <w:u w:val="none"/>
        </w:rPr>
      </w:pPr>
      <w:r>
        <w:t>Consequences</w:t>
      </w:r>
      <w:r>
        <w:rPr>
          <w:spacing w:val="-4"/>
        </w:rPr>
        <w:t xml:space="preserve"> </w:t>
      </w:r>
      <w:r>
        <w:t>to</w:t>
      </w:r>
      <w:r>
        <w:rPr>
          <w:spacing w:val="-4"/>
        </w:rPr>
        <w:t xml:space="preserve"> </w:t>
      </w:r>
      <w:r>
        <w:t>Federal</w:t>
      </w:r>
      <w:r>
        <w:rPr>
          <w:spacing w:val="-4"/>
        </w:rPr>
        <w:t xml:space="preserve"> </w:t>
      </w:r>
      <w:r>
        <w:t>Program</w:t>
      </w:r>
      <w:r>
        <w:rPr>
          <w:spacing w:val="-3"/>
        </w:rPr>
        <w:t xml:space="preserve"> </w:t>
      </w:r>
      <w:r>
        <w:t>or</w:t>
      </w:r>
      <w:r>
        <w:rPr>
          <w:spacing w:val="-4"/>
        </w:rPr>
        <w:t xml:space="preserve"> </w:t>
      </w:r>
      <w:r>
        <w:t>Policy</w:t>
      </w:r>
      <w:r>
        <w:rPr>
          <w:spacing w:val="-4"/>
        </w:rPr>
        <w:t xml:space="preserve"> </w:t>
      </w:r>
      <w:r>
        <w:t>Activities</w:t>
      </w:r>
      <w:r>
        <w:rPr>
          <w:spacing w:val="-4"/>
        </w:rPr>
        <w:t xml:space="preserve"> </w:t>
      </w:r>
      <w:r>
        <w:t>if</w:t>
      </w:r>
      <w:r>
        <w:rPr>
          <w:spacing w:val="-4"/>
        </w:rPr>
        <w:t xml:space="preserve"> </w:t>
      </w:r>
      <w:r>
        <w:t>the</w:t>
      </w:r>
      <w:r>
        <w:rPr>
          <w:spacing w:val="-5"/>
        </w:rPr>
        <w:t xml:space="preserve"> </w:t>
      </w:r>
      <w:r>
        <w:t>Collection</w:t>
      </w:r>
      <w:r>
        <w:rPr>
          <w:spacing w:val="-4"/>
        </w:rPr>
        <w:t xml:space="preserve"> </w:t>
      </w:r>
      <w:r>
        <w:t>is</w:t>
      </w:r>
      <w:r>
        <w:rPr>
          <w:spacing w:val="-4"/>
        </w:rPr>
        <w:t xml:space="preserve"> </w:t>
      </w:r>
      <w:r>
        <w:t>not</w:t>
      </w:r>
      <w:r>
        <w:rPr>
          <w:u w:val="none"/>
        </w:rPr>
        <w:t xml:space="preserve"> </w:t>
      </w:r>
      <w:r>
        <w:t>Conducted or is Conducted Less Frequently</w:t>
      </w:r>
    </w:p>
    <w:p w:rsidR="00403DED" w14:paraId="4C167EE0" w14:textId="77777777">
      <w:pPr>
        <w:pStyle w:val="BodyText"/>
        <w:rPr>
          <w:sz w:val="20"/>
        </w:rPr>
      </w:pPr>
    </w:p>
    <w:p w:rsidR="00403DED" w14:paraId="160E22C1" w14:textId="77777777">
      <w:pPr>
        <w:pStyle w:val="BodyText"/>
        <w:tabs>
          <w:tab w:val="left" w:pos="8233"/>
        </w:tabs>
        <w:spacing w:before="211"/>
        <w:ind w:left="1540" w:right="924"/>
      </w:pPr>
      <w:r>
        <w:t xml:space="preserve">This report is only submitted </w:t>
      </w:r>
      <w:r>
        <w:t>once,</w:t>
      </w:r>
      <w:r>
        <w:t xml:space="preserve"> upon termination of the license.</w:t>
      </w:r>
      <w:r>
        <w:tab/>
        <w:t>If the report were not submitted at that time, the NRC would not be able to determine readily whether any radioactive materials remain on the site, whether disposition of materials has been made in accordance with the regulations,</w:t>
      </w:r>
      <w:r>
        <w:rPr>
          <w:spacing w:val="-5"/>
        </w:rPr>
        <w:t xml:space="preserve"> </w:t>
      </w:r>
      <w:r>
        <w:t>and</w:t>
      </w:r>
      <w:r>
        <w:rPr>
          <w:spacing w:val="-4"/>
        </w:rPr>
        <w:t xml:space="preserve"> </w:t>
      </w:r>
      <w:r>
        <w:t>whether</w:t>
      </w:r>
      <w:r>
        <w:rPr>
          <w:spacing w:val="-4"/>
        </w:rPr>
        <w:t xml:space="preserve"> </w:t>
      </w:r>
      <w:r>
        <w:t>the</w:t>
      </w:r>
      <w:r>
        <w:rPr>
          <w:spacing w:val="-4"/>
        </w:rPr>
        <w:t xml:space="preserve"> </w:t>
      </w:r>
      <w:r>
        <w:t>site</w:t>
      </w:r>
      <w:r>
        <w:rPr>
          <w:spacing w:val="-4"/>
        </w:rPr>
        <w:t xml:space="preserve"> </w:t>
      </w:r>
      <w:r>
        <w:t>has</w:t>
      </w:r>
      <w:r>
        <w:rPr>
          <w:spacing w:val="-4"/>
        </w:rPr>
        <w:t xml:space="preserve"> </w:t>
      </w:r>
      <w:r>
        <w:t>been</w:t>
      </w:r>
      <w:r>
        <w:rPr>
          <w:spacing w:val="-4"/>
        </w:rPr>
        <w:t xml:space="preserve"> </w:t>
      </w:r>
      <w:r>
        <w:t>cleared</w:t>
      </w:r>
      <w:r>
        <w:rPr>
          <w:spacing w:val="-4"/>
        </w:rPr>
        <w:t xml:space="preserve"> </w:t>
      </w:r>
      <w:r>
        <w:t>of</w:t>
      </w:r>
      <w:r>
        <w:rPr>
          <w:spacing w:val="-4"/>
        </w:rPr>
        <w:t xml:space="preserve"> </w:t>
      </w:r>
      <w:r>
        <w:t>radioactive</w:t>
      </w:r>
      <w:r>
        <w:rPr>
          <w:spacing w:val="-4"/>
        </w:rPr>
        <w:t xml:space="preserve"> </w:t>
      </w:r>
      <w:r>
        <w:t>materials and may be released for unrestricted use.</w:t>
      </w:r>
    </w:p>
    <w:p w:rsidR="00403DED" w14:paraId="3758159D" w14:textId="77777777">
      <w:pPr>
        <w:pStyle w:val="BodyText"/>
        <w:spacing w:before="9"/>
        <w:rPr>
          <w:sz w:val="21"/>
        </w:rPr>
      </w:pPr>
    </w:p>
    <w:p w:rsidR="00403DED" w14:paraId="4941F729" w14:textId="77777777">
      <w:pPr>
        <w:pStyle w:val="ListParagraph"/>
        <w:numPr>
          <w:ilvl w:val="1"/>
          <w:numId w:val="1"/>
        </w:numPr>
        <w:tabs>
          <w:tab w:val="left" w:pos="1540"/>
          <w:tab w:val="left" w:pos="1541"/>
        </w:tabs>
        <w:ind w:left="1540" w:hanging="481"/>
        <w:jc w:val="left"/>
        <w:rPr>
          <w:u w:val="none"/>
        </w:rPr>
      </w:pPr>
      <w:r>
        <w:t>Circumstances</w:t>
      </w:r>
      <w:r>
        <w:rPr>
          <w:spacing w:val="-8"/>
        </w:rPr>
        <w:t xml:space="preserve"> </w:t>
      </w:r>
      <w:r>
        <w:t>Which</w:t>
      </w:r>
      <w:r>
        <w:rPr>
          <w:spacing w:val="-9"/>
        </w:rPr>
        <w:t xml:space="preserve"> </w:t>
      </w:r>
      <w:r>
        <w:t>Justify</w:t>
      </w:r>
      <w:r>
        <w:rPr>
          <w:spacing w:val="-8"/>
        </w:rPr>
        <w:t xml:space="preserve"> </w:t>
      </w:r>
      <w:r>
        <w:t>Variation</w:t>
      </w:r>
      <w:r>
        <w:rPr>
          <w:spacing w:val="-8"/>
        </w:rPr>
        <w:t xml:space="preserve"> </w:t>
      </w:r>
      <w:r>
        <w:t>from</w:t>
      </w:r>
      <w:r>
        <w:rPr>
          <w:spacing w:val="-8"/>
        </w:rPr>
        <w:t xml:space="preserve"> </w:t>
      </w:r>
      <w:r>
        <w:t>OMB</w:t>
      </w:r>
      <w:r>
        <w:rPr>
          <w:spacing w:val="-7"/>
        </w:rPr>
        <w:t xml:space="preserve"> </w:t>
      </w:r>
      <w:r>
        <w:rPr>
          <w:spacing w:val="-2"/>
        </w:rPr>
        <w:t>Guidelines</w:t>
      </w:r>
    </w:p>
    <w:p w:rsidR="00403DED" w14:paraId="02B3B28B" w14:textId="77777777">
      <w:pPr>
        <w:pStyle w:val="BodyText"/>
        <w:spacing w:before="3"/>
        <w:rPr>
          <w:sz w:val="28"/>
        </w:rPr>
      </w:pPr>
    </w:p>
    <w:p w:rsidR="00403DED" w14:paraId="42D53F62" w14:textId="77777777">
      <w:pPr>
        <w:pStyle w:val="BodyText"/>
        <w:spacing w:before="93"/>
        <w:ind w:left="1540"/>
      </w:pPr>
      <w:r>
        <w:t>There</w:t>
      </w:r>
      <w:r>
        <w:rPr>
          <w:spacing w:val="-6"/>
        </w:rPr>
        <w:t xml:space="preserve"> </w:t>
      </w:r>
      <w:r>
        <w:t>are</w:t>
      </w:r>
      <w:r>
        <w:rPr>
          <w:spacing w:val="-5"/>
        </w:rPr>
        <w:t xml:space="preserve"> </w:t>
      </w:r>
      <w:r>
        <w:t>no</w:t>
      </w:r>
      <w:r>
        <w:rPr>
          <w:spacing w:val="-5"/>
        </w:rPr>
        <w:t xml:space="preserve"> </w:t>
      </w:r>
      <w:r>
        <w:t>variations</w:t>
      </w:r>
      <w:r>
        <w:rPr>
          <w:spacing w:val="-6"/>
        </w:rPr>
        <w:t xml:space="preserve"> </w:t>
      </w:r>
      <w:r>
        <w:t>from</w:t>
      </w:r>
      <w:r>
        <w:rPr>
          <w:spacing w:val="-5"/>
        </w:rPr>
        <w:t xml:space="preserve"> </w:t>
      </w:r>
      <w:r>
        <w:t>OMB</w:t>
      </w:r>
      <w:r>
        <w:rPr>
          <w:spacing w:val="-4"/>
        </w:rPr>
        <w:t xml:space="preserve"> </w:t>
      </w:r>
      <w:r>
        <w:rPr>
          <w:spacing w:val="-2"/>
        </w:rPr>
        <w:t>Guidelines.</w:t>
      </w:r>
    </w:p>
    <w:p w:rsidR="00403DED" w14:paraId="09ED77FC" w14:textId="77777777">
      <w:pPr>
        <w:sectPr>
          <w:pgSz w:w="12240" w:h="15840"/>
          <w:pgMar w:top="1820" w:right="1280" w:bottom="280" w:left="1240" w:header="720" w:footer="720" w:gutter="0"/>
          <w:cols w:space="720"/>
        </w:sectPr>
      </w:pPr>
    </w:p>
    <w:p w:rsidR="00403DED" w14:paraId="7620BFCE" w14:textId="77777777">
      <w:pPr>
        <w:pStyle w:val="ListParagraph"/>
        <w:numPr>
          <w:ilvl w:val="1"/>
          <w:numId w:val="1"/>
        </w:numPr>
        <w:tabs>
          <w:tab w:val="left" w:pos="1578"/>
          <w:tab w:val="left" w:pos="1579"/>
        </w:tabs>
        <w:spacing w:before="150"/>
        <w:ind w:left="1578" w:hanging="489"/>
        <w:jc w:val="left"/>
        <w:rPr>
          <w:u w:val="none"/>
        </w:rPr>
      </w:pPr>
      <w:r>
        <w:t>Consultations</w:t>
      </w:r>
      <w:r>
        <w:rPr>
          <w:spacing w:val="-16"/>
        </w:rPr>
        <w:t xml:space="preserve"> </w:t>
      </w:r>
      <w:r>
        <w:t>Outside</w:t>
      </w:r>
      <w:r>
        <w:rPr>
          <w:spacing w:val="-10"/>
        </w:rPr>
        <w:t xml:space="preserve"> </w:t>
      </w:r>
      <w:r>
        <w:t>the</w:t>
      </w:r>
      <w:r>
        <w:rPr>
          <w:spacing w:val="-36"/>
          <w:u w:val="none"/>
        </w:rPr>
        <w:t xml:space="preserve"> </w:t>
      </w:r>
      <w:r>
        <w:rPr>
          <w:spacing w:val="-2"/>
        </w:rPr>
        <w:t>Agency</w:t>
      </w:r>
    </w:p>
    <w:p w:rsidR="00E23BBC" w:rsidP="00E23BBC" w14:paraId="1CAD4563" w14:textId="1AAC887A">
      <w:pPr>
        <w:pStyle w:val="BodyText"/>
        <w:spacing w:before="215" w:line="211" w:lineRule="auto"/>
        <w:ind w:left="1540" w:right="924"/>
        <w:rPr>
          <w:color w:val="242424"/>
          <w:shd w:val="clear" w:color="auto" w:fill="FFFFFF"/>
        </w:rPr>
      </w:pPr>
      <w:r>
        <w:rPr>
          <w:color w:val="242424"/>
          <w:shd w:val="clear" w:color="auto" w:fill="FFFFFF"/>
        </w:rPr>
        <w:t>Opportunity for public comment on the information collection requirements for this clearance package was published In the </w:t>
      </w:r>
      <w:r>
        <w:rPr>
          <w:i/>
          <w:iCs/>
          <w:color w:val="242424"/>
          <w:shd w:val="clear" w:color="auto" w:fill="FFFFFF"/>
        </w:rPr>
        <w:t>Federal Register</w:t>
      </w:r>
      <w:r>
        <w:rPr>
          <w:color w:val="242424"/>
          <w:shd w:val="clear" w:color="auto" w:fill="FFFFFF"/>
        </w:rPr>
        <w:t> </w:t>
      </w:r>
      <w:r w:rsidR="00864D0B">
        <w:rPr>
          <w:color w:val="242424"/>
          <w:shd w:val="clear" w:color="auto" w:fill="FFFFFF"/>
        </w:rPr>
        <w:t xml:space="preserve">on </w:t>
      </w:r>
      <w:r w:rsidRPr="008C0177" w:rsidR="008C0177">
        <w:rPr>
          <w:color w:val="242424"/>
          <w:shd w:val="clear" w:color="auto" w:fill="FFFFFF"/>
        </w:rPr>
        <w:t>December 11, 2025</w:t>
      </w:r>
      <w:r w:rsidR="00B13371">
        <w:rPr>
          <w:color w:val="242424"/>
          <w:shd w:val="clear" w:color="auto" w:fill="FFFFFF"/>
        </w:rPr>
        <w:t xml:space="preserve"> (</w:t>
      </w:r>
      <w:r w:rsidR="002F18BA">
        <w:rPr>
          <w:color w:val="242424"/>
          <w:shd w:val="clear" w:color="auto" w:fill="FFFFFF"/>
        </w:rPr>
        <w:t xml:space="preserve">90 </w:t>
      </w:r>
      <w:r w:rsidRPr="00B13371" w:rsidR="00B13371">
        <w:rPr>
          <w:color w:val="242424"/>
          <w:shd w:val="clear" w:color="auto" w:fill="FFFFFF"/>
        </w:rPr>
        <w:t>FR</w:t>
      </w:r>
      <w:r w:rsidR="002F18BA">
        <w:rPr>
          <w:color w:val="242424"/>
          <w:shd w:val="clear" w:color="auto" w:fill="FFFFFF"/>
        </w:rPr>
        <w:t xml:space="preserve"> 57492</w:t>
      </w:r>
      <w:r w:rsidR="00B13371">
        <w:rPr>
          <w:color w:val="242424"/>
          <w:shd w:val="clear" w:color="auto" w:fill="FFFFFF"/>
        </w:rPr>
        <w:t>)</w:t>
      </w:r>
      <w:r w:rsidR="008C0177">
        <w:rPr>
          <w:color w:val="242424"/>
          <w:shd w:val="clear" w:color="auto" w:fill="FFFFFF"/>
        </w:rPr>
        <w:t>.</w:t>
      </w:r>
    </w:p>
    <w:p w:rsidR="00D42221" w:rsidP="00E23BBC" w14:paraId="007C8B30" w14:textId="6E529929">
      <w:pPr>
        <w:pStyle w:val="BodyText"/>
        <w:spacing w:before="215" w:line="211" w:lineRule="auto"/>
        <w:ind w:left="1540" w:right="924"/>
      </w:pPr>
      <w:r>
        <w:rPr>
          <w:color w:val="242424"/>
          <w:shd w:val="clear" w:color="auto" w:fill="FFFFFF"/>
        </w:rPr>
        <w:t xml:space="preserve">The public consultation effort was </w:t>
      </w:r>
      <w:r w:rsidR="007B20C9">
        <w:rPr>
          <w:color w:val="242424"/>
          <w:shd w:val="clear" w:color="auto" w:fill="FFFFFF"/>
        </w:rPr>
        <w:t>made by contacting f</w:t>
      </w:r>
      <w:r w:rsidR="008244AF">
        <w:rPr>
          <w:color w:val="242424"/>
          <w:shd w:val="clear" w:color="auto" w:fill="FFFFFF"/>
        </w:rPr>
        <w:t xml:space="preserve">our potential </w:t>
      </w:r>
      <w:r w:rsidR="007E4C56">
        <w:rPr>
          <w:color w:val="242424"/>
          <w:shd w:val="clear" w:color="auto" w:fill="FFFFFF"/>
        </w:rPr>
        <w:t xml:space="preserve">respondents </w:t>
      </w:r>
      <w:r w:rsidR="00A429BD">
        <w:rPr>
          <w:color w:val="242424"/>
          <w:shd w:val="clear" w:color="auto" w:fill="FFFFFF"/>
        </w:rPr>
        <w:t xml:space="preserve">by email </w:t>
      </w:r>
      <w:r w:rsidR="007B20C9">
        <w:rPr>
          <w:color w:val="242424"/>
          <w:shd w:val="clear" w:color="auto" w:fill="FFFFFF"/>
        </w:rPr>
        <w:t>to</w:t>
      </w:r>
      <w:r w:rsidR="007E4C56">
        <w:rPr>
          <w:color w:val="242424"/>
          <w:shd w:val="clear" w:color="auto" w:fill="FFFFFF"/>
        </w:rPr>
        <w:t xml:space="preserve"> elicit</w:t>
      </w:r>
      <w:r w:rsidR="007B20C9">
        <w:rPr>
          <w:color w:val="242424"/>
          <w:shd w:val="clear" w:color="auto" w:fill="FFFFFF"/>
        </w:rPr>
        <w:t xml:space="preserve"> </w:t>
      </w:r>
      <w:r>
        <w:rPr>
          <w:color w:val="242424"/>
          <w:shd w:val="clear" w:color="auto" w:fill="FFFFFF"/>
        </w:rPr>
        <w:t>comments</w:t>
      </w:r>
      <w:r w:rsidR="00830E28">
        <w:rPr>
          <w:color w:val="242424"/>
          <w:shd w:val="clear" w:color="auto" w:fill="FFFFFF"/>
        </w:rPr>
        <w:t xml:space="preserve"> </w:t>
      </w:r>
      <w:r w:rsidR="00DD364A">
        <w:rPr>
          <w:color w:val="242424"/>
          <w:shd w:val="clear" w:color="auto" w:fill="FFFFFF"/>
        </w:rPr>
        <w:t>regarding</w:t>
      </w:r>
      <w:r w:rsidR="00830E28">
        <w:rPr>
          <w:color w:val="242424"/>
          <w:shd w:val="clear" w:color="auto" w:fill="FFFFFF"/>
        </w:rPr>
        <w:t xml:space="preserve"> NRC Form 314 </w:t>
      </w:r>
      <w:r w:rsidR="00DD364A">
        <w:rPr>
          <w:color w:val="242424"/>
          <w:shd w:val="clear" w:color="auto" w:fill="FFFFFF"/>
        </w:rPr>
        <w:t xml:space="preserve">burden. The </w:t>
      </w:r>
      <w:r w:rsidR="002F18BA">
        <w:rPr>
          <w:color w:val="242424"/>
          <w:shd w:val="clear" w:color="auto" w:fill="FFFFFF"/>
        </w:rPr>
        <w:t xml:space="preserve">following </w:t>
      </w:r>
      <w:r w:rsidR="002F18BA">
        <w:rPr>
          <w:color w:val="242424"/>
          <w:shd w:val="clear" w:color="auto" w:fill="FFFFFF"/>
        </w:rPr>
        <w:t>licensees</w:t>
      </w:r>
      <w:r w:rsidR="00705F5B">
        <w:rPr>
          <w:color w:val="242424"/>
          <w:shd w:val="clear" w:color="auto" w:fill="FFFFFF"/>
        </w:rPr>
        <w:t xml:space="preserve"> were </w:t>
      </w:r>
      <w:r w:rsidR="002F18BA">
        <w:rPr>
          <w:color w:val="242424"/>
          <w:shd w:val="clear" w:color="auto" w:fill="FFFFFF"/>
        </w:rPr>
        <w:t xml:space="preserve">contacted: </w:t>
      </w:r>
      <w:r w:rsidRPr="002F18BA" w:rsidR="002F18BA">
        <w:rPr>
          <w:color w:val="242424"/>
          <w:shd w:val="clear" w:color="auto" w:fill="FFFFFF"/>
        </w:rPr>
        <w:t>Christiana Healthcare Systems Inc.,</w:t>
      </w:r>
      <w:r w:rsidR="00BA2B64">
        <w:rPr>
          <w:color w:val="242424"/>
          <w:shd w:val="clear" w:color="auto" w:fill="FFFFFF"/>
        </w:rPr>
        <w:t xml:space="preserve"> </w:t>
      </w:r>
      <w:r w:rsidRPr="002F18BA" w:rsidR="002F18BA">
        <w:rPr>
          <w:color w:val="242424"/>
          <w:shd w:val="clear" w:color="auto" w:fill="FFFFFF"/>
        </w:rPr>
        <w:t>University of Maryland, College Park,</w:t>
      </w:r>
      <w:r w:rsidR="002F18BA">
        <w:rPr>
          <w:color w:val="242424"/>
          <w:shd w:val="clear" w:color="auto" w:fill="FFFFFF"/>
        </w:rPr>
        <w:t xml:space="preserve"> </w:t>
      </w:r>
      <w:r w:rsidRPr="002F18BA" w:rsidR="002F18BA">
        <w:rPr>
          <w:color w:val="242424"/>
          <w:shd w:val="clear" w:color="auto" w:fill="FFFFFF"/>
        </w:rPr>
        <w:t>Maryland</w:t>
      </w:r>
      <w:r w:rsidR="002F18BA">
        <w:rPr>
          <w:color w:val="242424"/>
          <w:shd w:val="clear" w:color="auto" w:fill="FFFFFF"/>
        </w:rPr>
        <w:t>,</w:t>
      </w:r>
      <w:r w:rsidRPr="002F18BA" w:rsidR="002F18BA">
        <w:rPr>
          <w:color w:val="242424"/>
          <w:shd w:val="clear" w:color="auto" w:fill="FFFFFF"/>
        </w:rPr>
        <w:t xml:space="preserve"> Q.C. Laboratories, Inc.,</w:t>
      </w:r>
      <w:r w:rsidR="002F18BA">
        <w:rPr>
          <w:color w:val="242424"/>
          <w:shd w:val="clear" w:color="auto" w:fill="FFFFFF"/>
        </w:rPr>
        <w:t xml:space="preserve"> and </w:t>
      </w:r>
      <w:r w:rsidRPr="002F18BA" w:rsidR="002F18BA">
        <w:rPr>
          <w:color w:val="242424"/>
          <w:shd w:val="clear" w:color="auto" w:fill="FFFFFF"/>
        </w:rPr>
        <w:t>Warde Medical Laboratory, LLC</w:t>
      </w:r>
      <w:r w:rsidR="002F18BA">
        <w:rPr>
          <w:color w:val="242424"/>
          <w:shd w:val="clear" w:color="auto" w:fill="FFFFFF"/>
        </w:rPr>
        <w:t>,</w:t>
      </w:r>
      <w:r w:rsidRPr="002F18BA" w:rsidR="002F18BA">
        <w:rPr>
          <w:color w:val="242424"/>
          <w:shd w:val="clear" w:color="auto" w:fill="FFFFFF"/>
        </w:rPr>
        <w:t xml:space="preserve"> </w:t>
      </w:r>
      <w:r w:rsidR="00A429BD">
        <w:rPr>
          <w:color w:val="242424"/>
          <w:shd w:val="clear" w:color="auto" w:fill="FFFFFF"/>
        </w:rPr>
        <w:t>no comments were received</w:t>
      </w:r>
      <w:r w:rsidR="00CC104B">
        <w:rPr>
          <w:color w:val="242424"/>
          <w:shd w:val="clear" w:color="auto" w:fill="FFFFFF"/>
        </w:rPr>
        <w:t xml:space="preserve"> in response to either this solicitation or the </w:t>
      </w:r>
      <w:r w:rsidRPr="00CC104B" w:rsidR="00CC104B">
        <w:rPr>
          <w:i/>
          <w:iCs/>
          <w:color w:val="242424"/>
          <w:shd w:val="clear" w:color="auto" w:fill="FFFFFF"/>
        </w:rPr>
        <w:t>Federal Register</w:t>
      </w:r>
      <w:r w:rsidR="00830E28">
        <w:rPr>
          <w:color w:val="242424"/>
          <w:shd w:val="clear" w:color="auto" w:fill="FFFFFF"/>
        </w:rPr>
        <w:t>.</w:t>
      </w:r>
      <w:r>
        <w:rPr>
          <w:color w:val="242424"/>
          <w:shd w:val="clear" w:color="auto" w:fill="FFFFFF"/>
        </w:rPr>
        <w:t xml:space="preserve">  </w:t>
      </w:r>
    </w:p>
    <w:p w:rsidR="00403DED" w14:paraId="6C04DD9D" w14:textId="77777777">
      <w:pPr>
        <w:pStyle w:val="BodyText"/>
        <w:spacing w:before="5"/>
      </w:pPr>
    </w:p>
    <w:p w:rsidR="00403DED" w14:paraId="11B6CAC5" w14:textId="77777777">
      <w:pPr>
        <w:pStyle w:val="ListParagraph"/>
        <w:numPr>
          <w:ilvl w:val="1"/>
          <w:numId w:val="1"/>
        </w:numPr>
        <w:tabs>
          <w:tab w:val="left" w:pos="1540"/>
          <w:tab w:val="left" w:pos="1541"/>
        </w:tabs>
        <w:ind w:left="1540" w:hanging="451"/>
        <w:jc w:val="left"/>
        <w:rPr>
          <w:u w:val="none"/>
        </w:rPr>
      </w:pPr>
      <w:r>
        <w:t>Payment</w:t>
      </w:r>
      <w:r>
        <w:rPr>
          <w:spacing w:val="-14"/>
        </w:rPr>
        <w:t xml:space="preserve"> </w:t>
      </w:r>
      <w:r>
        <w:t>or</w:t>
      </w:r>
      <w:r>
        <w:rPr>
          <w:spacing w:val="-11"/>
        </w:rPr>
        <w:t xml:space="preserve"> </w:t>
      </w:r>
      <w:r>
        <w:t>Gift</w:t>
      </w:r>
      <w:r>
        <w:rPr>
          <w:spacing w:val="-13"/>
        </w:rPr>
        <w:t xml:space="preserve"> </w:t>
      </w:r>
      <w:r>
        <w:t>to</w:t>
      </w:r>
      <w:r>
        <w:rPr>
          <w:spacing w:val="-14"/>
        </w:rPr>
        <w:t xml:space="preserve"> </w:t>
      </w:r>
      <w:r>
        <w:rPr>
          <w:spacing w:val="-2"/>
        </w:rPr>
        <w:t>Respondents</w:t>
      </w:r>
    </w:p>
    <w:p w:rsidR="00403DED" w14:paraId="2C8DAF6D" w14:textId="77777777">
      <w:pPr>
        <w:pStyle w:val="BodyText"/>
        <w:rPr>
          <w:sz w:val="14"/>
        </w:rPr>
      </w:pPr>
    </w:p>
    <w:p w:rsidR="00403DED" w14:paraId="528FA37E" w14:textId="77777777">
      <w:pPr>
        <w:pStyle w:val="BodyText"/>
        <w:spacing w:before="93"/>
        <w:ind w:left="1540"/>
      </w:pPr>
      <w:r>
        <w:rPr>
          <w:w w:val="95"/>
        </w:rPr>
        <w:t>Not</w:t>
      </w:r>
      <w:r>
        <w:rPr>
          <w:spacing w:val="-3"/>
        </w:rPr>
        <w:t xml:space="preserve"> </w:t>
      </w:r>
      <w:r>
        <w:rPr>
          <w:spacing w:val="-2"/>
        </w:rPr>
        <w:t>applicable.</w:t>
      </w:r>
    </w:p>
    <w:p w:rsidR="00403DED" w14:paraId="6B7FE9C5" w14:textId="77777777">
      <w:pPr>
        <w:pStyle w:val="BodyText"/>
        <w:spacing w:before="3"/>
      </w:pPr>
    </w:p>
    <w:p w:rsidR="00403DED" w14:paraId="253811F8" w14:textId="77777777">
      <w:pPr>
        <w:pStyle w:val="ListParagraph"/>
        <w:numPr>
          <w:ilvl w:val="1"/>
          <w:numId w:val="1"/>
        </w:numPr>
        <w:tabs>
          <w:tab w:val="left" w:pos="1580"/>
        </w:tabs>
        <w:spacing w:before="1"/>
        <w:ind w:left="1580" w:hanging="490"/>
        <w:jc w:val="left"/>
        <w:rPr>
          <w:u w:val="none"/>
        </w:rPr>
      </w:pPr>
      <w:r>
        <w:t>Confidentiality</w:t>
      </w:r>
      <w:r>
        <w:rPr>
          <w:spacing w:val="-12"/>
        </w:rPr>
        <w:t xml:space="preserve"> </w:t>
      </w:r>
      <w:r>
        <w:t>of</w:t>
      </w:r>
      <w:r>
        <w:rPr>
          <w:spacing w:val="-7"/>
        </w:rPr>
        <w:t xml:space="preserve"> </w:t>
      </w:r>
      <w:r>
        <w:t>the</w:t>
      </w:r>
      <w:r>
        <w:rPr>
          <w:spacing w:val="-30"/>
        </w:rPr>
        <w:t xml:space="preserve"> </w:t>
      </w:r>
      <w:r>
        <w:rPr>
          <w:spacing w:val="-2"/>
        </w:rPr>
        <w:t>Information</w:t>
      </w:r>
    </w:p>
    <w:p w:rsidR="00403DED" w14:paraId="7316240B" w14:textId="77777777">
      <w:pPr>
        <w:pStyle w:val="BodyText"/>
        <w:spacing w:before="10"/>
        <w:rPr>
          <w:sz w:val="13"/>
        </w:rPr>
      </w:pPr>
    </w:p>
    <w:p w:rsidR="00403DED" w14:paraId="3371A8BE" w14:textId="77777777">
      <w:pPr>
        <w:pStyle w:val="BodyText"/>
        <w:spacing w:before="92"/>
        <w:ind w:left="1540" w:right="893"/>
        <w:jc w:val="both"/>
      </w:pPr>
      <w:r>
        <w:t>Confidential and proprietary information is protected in accordance with NRC regulations at 10 CFR 9.17(a) and 10 CFR 2.390(b).</w:t>
      </w:r>
      <w:r>
        <w:rPr>
          <w:spacing w:val="40"/>
        </w:rPr>
        <w:t xml:space="preserve"> </w:t>
      </w:r>
      <w:r>
        <w:t>However, no information normally considered confidential or proprietary is requested.</w:t>
      </w:r>
    </w:p>
    <w:p w:rsidR="00403DED" w14:paraId="2A63467C" w14:textId="77777777">
      <w:pPr>
        <w:pStyle w:val="BodyText"/>
      </w:pPr>
    </w:p>
    <w:p w:rsidR="00403DED" w14:paraId="3D93C522" w14:textId="77777777">
      <w:pPr>
        <w:pStyle w:val="ListParagraph"/>
        <w:numPr>
          <w:ilvl w:val="1"/>
          <w:numId w:val="1"/>
        </w:numPr>
        <w:tabs>
          <w:tab w:val="left" w:pos="1579"/>
        </w:tabs>
        <w:ind w:left="1578" w:hanging="489"/>
        <w:jc w:val="left"/>
        <w:rPr>
          <w:u w:val="none"/>
        </w:rPr>
      </w:pPr>
      <w:r>
        <w:t>Justification</w:t>
      </w:r>
      <w:r>
        <w:rPr>
          <w:spacing w:val="-9"/>
        </w:rPr>
        <w:t xml:space="preserve"> </w:t>
      </w:r>
      <w:r>
        <w:t>for</w:t>
      </w:r>
      <w:r>
        <w:rPr>
          <w:spacing w:val="-8"/>
        </w:rPr>
        <w:t xml:space="preserve"> </w:t>
      </w:r>
      <w:r>
        <w:t>Sensitive</w:t>
      </w:r>
      <w:r>
        <w:rPr>
          <w:spacing w:val="-7"/>
        </w:rPr>
        <w:t xml:space="preserve"> </w:t>
      </w:r>
      <w:r>
        <w:rPr>
          <w:spacing w:val="-2"/>
        </w:rPr>
        <w:t>Questions</w:t>
      </w:r>
    </w:p>
    <w:p w:rsidR="00403DED" w14:paraId="68FE8B21" w14:textId="77777777">
      <w:pPr>
        <w:pStyle w:val="BodyText"/>
        <w:rPr>
          <w:sz w:val="14"/>
        </w:rPr>
      </w:pPr>
    </w:p>
    <w:p w:rsidR="00403DED" w14:paraId="082C72C5" w14:textId="77777777">
      <w:pPr>
        <w:pStyle w:val="BodyText"/>
        <w:spacing w:before="92"/>
        <w:ind w:left="1578"/>
      </w:pPr>
      <w:r>
        <w:rPr>
          <w:spacing w:val="-2"/>
        </w:rPr>
        <w:t>None.</w:t>
      </w:r>
    </w:p>
    <w:p w:rsidR="00403DED" w14:paraId="2C3B93C2" w14:textId="77777777">
      <w:pPr>
        <w:pStyle w:val="BodyText"/>
        <w:spacing w:before="6"/>
      </w:pPr>
    </w:p>
    <w:p w:rsidR="00403DED" w14:paraId="04A0490E" w14:textId="77777777">
      <w:pPr>
        <w:pStyle w:val="ListParagraph"/>
        <w:numPr>
          <w:ilvl w:val="1"/>
          <w:numId w:val="1"/>
        </w:numPr>
        <w:tabs>
          <w:tab w:val="left" w:pos="1580"/>
        </w:tabs>
        <w:ind w:left="1580" w:hanging="490"/>
        <w:jc w:val="left"/>
        <w:rPr>
          <w:u w:val="none"/>
        </w:rPr>
      </w:pPr>
      <w:r>
        <w:t>Estimated</w:t>
      </w:r>
      <w:r>
        <w:rPr>
          <w:spacing w:val="-11"/>
        </w:rPr>
        <w:t xml:space="preserve"> </w:t>
      </w:r>
      <w:r>
        <w:t>Burden</w:t>
      </w:r>
      <w:r>
        <w:rPr>
          <w:spacing w:val="-7"/>
        </w:rPr>
        <w:t xml:space="preserve"> </w:t>
      </w:r>
      <w:r>
        <w:t>and</w:t>
      </w:r>
      <w:r>
        <w:rPr>
          <w:spacing w:val="-7"/>
        </w:rPr>
        <w:t xml:space="preserve"> </w:t>
      </w:r>
      <w:r>
        <w:t>Burden</w:t>
      </w:r>
      <w:r>
        <w:rPr>
          <w:spacing w:val="-8"/>
        </w:rPr>
        <w:t xml:space="preserve"> </w:t>
      </w:r>
      <w:r>
        <w:t>Hour</w:t>
      </w:r>
      <w:r>
        <w:rPr>
          <w:spacing w:val="-39"/>
          <w:u w:val="none"/>
        </w:rPr>
        <w:t xml:space="preserve"> </w:t>
      </w:r>
      <w:r>
        <w:rPr>
          <w:spacing w:val="-4"/>
        </w:rPr>
        <w:t>Cost</w:t>
      </w:r>
    </w:p>
    <w:p w:rsidR="00403DED" w14:paraId="141F4DD1" w14:textId="77777777">
      <w:pPr>
        <w:pStyle w:val="BodyText"/>
        <w:spacing w:before="7"/>
        <w:rPr>
          <w:sz w:val="13"/>
        </w:rPr>
      </w:pPr>
    </w:p>
    <w:p w:rsidR="00403DED" w14:paraId="0FF91974" w14:textId="77777777">
      <w:pPr>
        <w:pStyle w:val="BodyText"/>
        <w:spacing w:before="93"/>
        <w:ind w:left="1540" w:right="772"/>
        <w:jc w:val="both"/>
      </w:pPr>
      <w:r>
        <w:t>Respondents are firms, institutions,</w:t>
      </w:r>
      <w:r>
        <w:rPr>
          <w:spacing w:val="-1"/>
        </w:rPr>
        <w:t xml:space="preserve"> </w:t>
      </w:r>
      <w:r>
        <w:t>and individuals holding</w:t>
      </w:r>
      <w:r>
        <w:rPr>
          <w:spacing w:val="-1"/>
        </w:rPr>
        <w:t xml:space="preserve"> </w:t>
      </w:r>
      <w:r>
        <w:t xml:space="preserve">NRC licenses to possess and use radioactive materials who do not wish to renew those </w:t>
      </w:r>
      <w:r>
        <w:rPr>
          <w:spacing w:val="-2"/>
        </w:rPr>
        <w:t>licenses.</w:t>
      </w:r>
    </w:p>
    <w:p w:rsidR="00403DED" w14:paraId="62523867" w14:textId="77777777">
      <w:pPr>
        <w:pStyle w:val="BodyText"/>
        <w:spacing w:before="7"/>
        <w:rPr>
          <w:sz w:val="21"/>
        </w:rPr>
      </w:pPr>
    </w:p>
    <w:p w:rsidR="00403DED" w14:paraId="074AA947" w14:textId="0A99A8BC">
      <w:pPr>
        <w:pStyle w:val="BodyText"/>
        <w:spacing w:before="1"/>
        <w:ind w:left="1540"/>
      </w:pPr>
      <w:r>
        <w:t>Approximately</w:t>
      </w:r>
      <w:r>
        <w:rPr>
          <w:spacing w:val="-8"/>
        </w:rPr>
        <w:t xml:space="preserve"> </w:t>
      </w:r>
      <w:r>
        <w:t>110</w:t>
      </w:r>
      <w:r>
        <w:rPr>
          <w:spacing w:val="-7"/>
        </w:rPr>
        <w:t xml:space="preserve"> </w:t>
      </w:r>
      <w:r>
        <w:t>respondents</w:t>
      </w:r>
      <w:r>
        <w:rPr>
          <w:spacing w:val="-7"/>
        </w:rPr>
        <w:t xml:space="preserve"> </w:t>
      </w:r>
      <w:r>
        <w:t>annually</w:t>
      </w:r>
      <w:r>
        <w:rPr>
          <w:spacing w:val="-7"/>
        </w:rPr>
        <w:t xml:space="preserve"> </w:t>
      </w:r>
      <w:r>
        <w:t>file</w:t>
      </w:r>
      <w:r>
        <w:rPr>
          <w:spacing w:val="-7"/>
        </w:rPr>
        <w:t xml:space="preserve"> </w:t>
      </w:r>
      <w:r>
        <w:t>NRC</w:t>
      </w:r>
      <w:r>
        <w:rPr>
          <w:spacing w:val="-7"/>
        </w:rPr>
        <w:t xml:space="preserve"> </w:t>
      </w:r>
      <w:r>
        <w:t>Form</w:t>
      </w:r>
      <w:r>
        <w:rPr>
          <w:spacing w:val="-7"/>
        </w:rPr>
        <w:t xml:space="preserve"> </w:t>
      </w:r>
      <w:r>
        <w:rPr>
          <w:spacing w:val="-4"/>
        </w:rPr>
        <w:t>314.</w:t>
      </w:r>
    </w:p>
    <w:p w:rsidR="00403DED" w14:paraId="564CC4CF" w14:textId="77777777">
      <w:pPr>
        <w:pStyle w:val="BodyText"/>
        <w:spacing w:before="8"/>
        <w:rPr>
          <w:sz w:val="21"/>
        </w:rPr>
      </w:pPr>
    </w:p>
    <w:p w:rsidR="00403DED" w14:paraId="5A2725FE" w14:textId="751534B3">
      <w:pPr>
        <w:pStyle w:val="BodyText"/>
        <w:spacing w:line="475" w:lineRule="auto"/>
        <w:ind w:left="1540" w:right="1156"/>
      </w:pPr>
      <w:r>
        <w:t>Each form requires, on average, approximately 0.</w:t>
      </w:r>
      <w:r w:rsidR="00DE5B4E">
        <w:t>5</w:t>
      </w:r>
      <w:r>
        <w:t xml:space="preserve"> hours to prepare. 110</w:t>
      </w:r>
      <w:r>
        <w:rPr>
          <w:spacing w:val="-3"/>
        </w:rPr>
        <w:t xml:space="preserve"> </w:t>
      </w:r>
      <w:r>
        <w:t>x</w:t>
      </w:r>
      <w:r>
        <w:rPr>
          <w:spacing w:val="-3"/>
        </w:rPr>
        <w:t xml:space="preserve"> </w:t>
      </w:r>
      <w:r>
        <w:t>0.5</w:t>
      </w:r>
      <w:r>
        <w:rPr>
          <w:spacing w:val="-3"/>
        </w:rPr>
        <w:t xml:space="preserve"> </w:t>
      </w:r>
      <w:r>
        <w:t>hour</w:t>
      </w:r>
      <w:r>
        <w:rPr>
          <w:spacing w:val="-3"/>
        </w:rPr>
        <w:t xml:space="preserve"> </w:t>
      </w:r>
      <w:r>
        <w:t>=</w:t>
      </w:r>
      <w:r>
        <w:rPr>
          <w:spacing w:val="-3"/>
        </w:rPr>
        <w:t xml:space="preserve"> </w:t>
      </w:r>
      <w:r>
        <w:t>a</w:t>
      </w:r>
      <w:r>
        <w:rPr>
          <w:spacing w:val="-3"/>
        </w:rPr>
        <w:t xml:space="preserve"> </w:t>
      </w:r>
      <w:r>
        <w:t>total</w:t>
      </w:r>
      <w:r>
        <w:rPr>
          <w:spacing w:val="-4"/>
        </w:rPr>
        <w:t xml:space="preserve"> </w:t>
      </w:r>
      <w:r>
        <w:t>annual</w:t>
      </w:r>
      <w:r>
        <w:rPr>
          <w:spacing w:val="-3"/>
        </w:rPr>
        <w:t xml:space="preserve"> </w:t>
      </w:r>
      <w:r>
        <w:t>burden</w:t>
      </w:r>
      <w:r>
        <w:rPr>
          <w:spacing w:val="-3"/>
        </w:rPr>
        <w:t xml:space="preserve"> </w:t>
      </w:r>
      <w:r>
        <w:t>for</w:t>
      </w:r>
      <w:r>
        <w:rPr>
          <w:spacing w:val="-3"/>
        </w:rPr>
        <w:t xml:space="preserve"> </w:t>
      </w:r>
      <w:r>
        <w:t>all</w:t>
      </w:r>
      <w:r>
        <w:rPr>
          <w:spacing w:val="-3"/>
        </w:rPr>
        <w:t xml:space="preserve"> </w:t>
      </w:r>
      <w:r>
        <w:t>respondents</w:t>
      </w:r>
      <w:r>
        <w:rPr>
          <w:spacing w:val="-3"/>
        </w:rPr>
        <w:t xml:space="preserve"> </w:t>
      </w:r>
      <w:r>
        <w:t>of</w:t>
      </w:r>
      <w:r>
        <w:rPr>
          <w:spacing w:val="-4"/>
        </w:rPr>
        <w:t xml:space="preserve"> </w:t>
      </w:r>
      <w:r>
        <w:t>55</w:t>
      </w:r>
      <w:r>
        <w:rPr>
          <w:spacing w:val="-3"/>
        </w:rPr>
        <w:t xml:space="preserve"> </w:t>
      </w:r>
      <w:r>
        <w:t>hours.</w:t>
      </w:r>
    </w:p>
    <w:p w:rsidR="00403DED" w14:paraId="2AE97796" w14:textId="796E5EE8">
      <w:pPr>
        <w:pStyle w:val="BodyText"/>
        <w:spacing w:before="3"/>
        <w:ind w:left="1540" w:right="735"/>
      </w:pPr>
      <w:r>
        <w:t>The</w:t>
      </w:r>
      <w:r>
        <w:rPr>
          <w:spacing w:val="-3"/>
        </w:rPr>
        <w:t xml:space="preserve"> </w:t>
      </w:r>
      <w:r>
        <w:t>annual</w:t>
      </w:r>
      <w:r>
        <w:rPr>
          <w:spacing w:val="-4"/>
        </w:rPr>
        <w:t xml:space="preserve"> </w:t>
      </w:r>
      <w:r>
        <w:t>cost</w:t>
      </w:r>
      <w:r>
        <w:rPr>
          <w:spacing w:val="-3"/>
        </w:rPr>
        <w:t xml:space="preserve"> </w:t>
      </w:r>
      <w:r>
        <w:t>to</w:t>
      </w:r>
      <w:r>
        <w:rPr>
          <w:spacing w:val="-3"/>
        </w:rPr>
        <w:t xml:space="preserve"> </w:t>
      </w:r>
      <w:r>
        <w:t>the</w:t>
      </w:r>
      <w:r>
        <w:rPr>
          <w:spacing w:val="-3"/>
        </w:rPr>
        <w:t xml:space="preserve"> </w:t>
      </w:r>
      <w:r>
        <w:t>public,</w:t>
      </w:r>
      <w:r>
        <w:rPr>
          <w:spacing w:val="-3"/>
        </w:rPr>
        <w:t xml:space="preserve"> </w:t>
      </w:r>
      <w:r>
        <w:t>calculated</w:t>
      </w:r>
      <w:r>
        <w:rPr>
          <w:spacing w:val="-3"/>
        </w:rPr>
        <w:t xml:space="preserve"> </w:t>
      </w:r>
      <w:r>
        <w:t>at</w:t>
      </w:r>
      <w:r>
        <w:rPr>
          <w:spacing w:val="-3"/>
        </w:rPr>
        <w:t xml:space="preserve"> </w:t>
      </w:r>
      <w:r>
        <w:t>a</w:t>
      </w:r>
      <w:r>
        <w:rPr>
          <w:spacing w:val="-3"/>
        </w:rPr>
        <w:t xml:space="preserve"> </w:t>
      </w:r>
      <w:r>
        <w:t>rate</w:t>
      </w:r>
      <w:r>
        <w:rPr>
          <w:spacing w:val="-3"/>
        </w:rPr>
        <w:t xml:space="preserve"> </w:t>
      </w:r>
      <w:r>
        <w:t>of</w:t>
      </w:r>
      <w:r>
        <w:rPr>
          <w:spacing w:val="-3"/>
        </w:rPr>
        <w:t xml:space="preserve"> </w:t>
      </w:r>
      <w:r>
        <w:t>$</w:t>
      </w:r>
      <w:r w:rsidR="008E2564">
        <w:t>317</w:t>
      </w:r>
      <w:r w:rsidR="008E2564">
        <w:rPr>
          <w:spacing w:val="-3"/>
        </w:rPr>
        <w:t xml:space="preserve"> </w:t>
      </w:r>
      <w:r>
        <w:t>per</w:t>
      </w:r>
      <w:r>
        <w:rPr>
          <w:spacing w:val="-2"/>
        </w:rPr>
        <w:t xml:space="preserve"> </w:t>
      </w:r>
      <w:r>
        <w:t>hour,</w:t>
      </w:r>
      <w:r>
        <w:rPr>
          <w:spacing w:val="-3"/>
        </w:rPr>
        <w:t xml:space="preserve"> </w:t>
      </w:r>
      <w:r>
        <w:t>is estimated to be $</w:t>
      </w:r>
      <w:r w:rsidRPr="008123C5" w:rsidR="008123C5">
        <w:t>17,435</w:t>
      </w:r>
      <w:r w:rsidRPr="008123C5" w:rsidR="008123C5">
        <w:t xml:space="preserve"> </w:t>
      </w:r>
      <w:r>
        <w:t xml:space="preserve">(55 </w:t>
      </w:r>
      <w:r>
        <w:t>hours @</w:t>
      </w:r>
      <w:r>
        <w:t xml:space="preserve"> </w:t>
      </w:r>
      <w:r w:rsidR="008E2564">
        <w:t>317</w:t>
      </w:r>
      <w:r>
        <w:t>/hour).</w:t>
      </w:r>
    </w:p>
    <w:p w:rsidR="00403DED" w14:paraId="599D8810" w14:textId="77777777">
      <w:pPr>
        <w:pStyle w:val="BodyText"/>
        <w:spacing w:before="8"/>
        <w:rPr>
          <w:sz w:val="21"/>
        </w:rPr>
      </w:pPr>
    </w:p>
    <w:p w:rsidR="008E2564" w:rsidRPr="008E2564" w:rsidP="008E2564" w14:paraId="6D2472D0" w14:textId="77777777">
      <w:pPr>
        <w:pStyle w:val="BodyText"/>
        <w:spacing w:line="276" w:lineRule="auto"/>
        <w:ind w:left="1540" w:right="415"/>
      </w:pPr>
      <w:r w:rsidRPr="008E2564">
        <w:t xml:space="preserve">The $317 hourly rate used in the burden estimates is based on the Nuclear Regulatory Commission’s fee for hourly rates as noted in 10 CFR 170.20 “Average cost per professional staff-hour.” For more information </w:t>
      </w:r>
      <w:r w:rsidRPr="008E2564">
        <w:t>on the basis of</w:t>
      </w:r>
      <w:r w:rsidRPr="008E2564">
        <w:t xml:space="preserve"> this rate, see the Revision of Fee Schedules; Fee Recovery for Fiscal Year 2024 (89 FR 51789, June 20, 2024).</w:t>
      </w:r>
    </w:p>
    <w:p w:rsidR="00403DED" w14:paraId="5618B837" w14:textId="77777777">
      <w:pPr>
        <w:spacing w:line="276" w:lineRule="auto"/>
        <w:sectPr>
          <w:pgSz w:w="12240" w:h="15840"/>
          <w:pgMar w:top="1820" w:right="1280" w:bottom="280" w:left="1240" w:header="720" w:footer="720" w:gutter="0"/>
          <w:cols w:space="720"/>
        </w:sectPr>
      </w:pPr>
    </w:p>
    <w:p w:rsidR="00403DED" w14:paraId="0D600C98" w14:textId="77777777">
      <w:pPr>
        <w:pStyle w:val="ListParagraph"/>
        <w:numPr>
          <w:ilvl w:val="1"/>
          <w:numId w:val="1"/>
        </w:numPr>
        <w:tabs>
          <w:tab w:val="left" w:pos="1899"/>
          <w:tab w:val="left" w:pos="1901"/>
        </w:tabs>
        <w:spacing w:before="70"/>
        <w:ind w:left="1900" w:hanging="721"/>
        <w:jc w:val="left"/>
        <w:rPr>
          <w:u w:val="none"/>
        </w:rPr>
      </w:pPr>
      <w:r>
        <w:t>Estimate</w:t>
      </w:r>
      <w:r>
        <w:rPr>
          <w:spacing w:val="-7"/>
        </w:rPr>
        <w:t xml:space="preserve"> </w:t>
      </w:r>
      <w:r>
        <w:t>of</w:t>
      </w:r>
      <w:r>
        <w:rPr>
          <w:spacing w:val="-6"/>
        </w:rPr>
        <w:t xml:space="preserve"> </w:t>
      </w:r>
      <w:r>
        <w:t>Other</w:t>
      </w:r>
      <w:r>
        <w:rPr>
          <w:spacing w:val="-7"/>
        </w:rPr>
        <w:t xml:space="preserve"> </w:t>
      </w:r>
      <w:r>
        <w:t>Additional</w:t>
      </w:r>
      <w:r>
        <w:rPr>
          <w:spacing w:val="-6"/>
        </w:rPr>
        <w:t xml:space="preserve"> </w:t>
      </w:r>
      <w:r>
        <w:rPr>
          <w:spacing w:val="-2"/>
        </w:rPr>
        <w:t>Costs</w:t>
      </w:r>
    </w:p>
    <w:p w:rsidR="00403DED" w14:paraId="38CFEB4D" w14:textId="77777777">
      <w:pPr>
        <w:pStyle w:val="BodyText"/>
        <w:spacing w:before="2"/>
        <w:rPr>
          <w:sz w:val="26"/>
        </w:rPr>
      </w:pPr>
    </w:p>
    <w:p w:rsidR="00403DED" w14:paraId="1B82B8C6" w14:textId="77777777">
      <w:pPr>
        <w:pStyle w:val="BodyText"/>
        <w:spacing w:before="124" w:line="204" w:lineRule="auto"/>
        <w:ind w:left="1900" w:right="485"/>
      </w:pPr>
      <w:r>
        <w:t>None.</w:t>
      </w:r>
      <w:r>
        <w:rPr>
          <w:spacing w:val="-4"/>
        </w:rPr>
        <w:t xml:space="preserve"> </w:t>
      </w:r>
      <w:r>
        <w:t>For</w:t>
      </w:r>
      <w:r>
        <w:rPr>
          <w:spacing w:val="-3"/>
        </w:rPr>
        <w:t xml:space="preserve"> </w:t>
      </w:r>
      <w:r>
        <w:t>licensees</w:t>
      </w:r>
      <w:r>
        <w:rPr>
          <w:spacing w:val="-3"/>
        </w:rPr>
        <w:t xml:space="preserve"> </w:t>
      </w:r>
      <w:r>
        <w:t>submitting</w:t>
      </w:r>
      <w:r>
        <w:rPr>
          <w:spacing w:val="-16"/>
        </w:rPr>
        <w:t xml:space="preserve"> </w:t>
      </w:r>
      <w:r>
        <w:t>NRC</w:t>
      </w:r>
      <w:r>
        <w:rPr>
          <w:spacing w:val="-2"/>
        </w:rPr>
        <w:t xml:space="preserve"> </w:t>
      </w:r>
      <w:r>
        <w:t>Form</w:t>
      </w:r>
      <w:r>
        <w:rPr>
          <w:spacing w:val="-3"/>
        </w:rPr>
        <w:t xml:space="preserve"> </w:t>
      </w:r>
      <w:r>
        <w:t>314,</w:t>
      </w:r>
      <w:r>
        <w:rPr>
          <w:spacing w:val="-3"/>
        </w:rPr>
        <w:t xml:space="preserve"> </w:t>
      </w:r>
      <w:r>
        <w:t>additional</w:t>
      </w:r>
      <w:r>
        <w:rPr>
          <w:spacing w:val="-3"/>
        </w:rPr>
        <w:t xml:space="preserve"> </w:t>
      </w:r>
      <w:r>
        <w:t>costs</w:t>
      </w:r>
      <w:r>
        <w:rPr>
          <w:spacing w:val="-3"/>
        </w:rPr>
        <w:t xml:space="preserve"> </w:t>
      </w:r>
      <w:r>
        <w:t>are</w:t>
      </w:r>
      <w:r>
        <w:rPr>
          <w:spacing w:val="-3"/>
        </w:rPr>
        <w:t xml:space="preserve"> </w:t>
      </w:r>
      <w:r>
        <w:t>most likely</w:t>
      </w:r>
      <w:r>
        <w:rPr>
          <w:spacing w:val="-5"/>
        </w:rPr>
        <w:t xml:space="preserve"> </w:t>
      </w:r>
      <w:r>
        <w:t>incurred</w:t>
      </w:r>
      <w:r>
        <w:rPr>
          <w:spacing w:val="-5"/>
        </w:rPr>
        <w:t xml:space="preserve"> </w:t>
      </w:r>
      <w:r>
        <w:t>(1)</w:t>
      </w:r>
      <w:r>
        <w:rPr>
          <w:spacing w:val="-5"/>
        </w:rPr>
        <w:t xml:space="preserve"> </w:t>
      </w:r>
      <w:r>
        <w:t>to</w:t>
      </w:r>
      <w:r>
        <w:rPr>
          <w:spacing w:val="-5"/>
        </w:rPr>
        <w:t xml:space="preserve"> </w:t>
      </w:r>
      <w:r>
        <w:t>achieve</w:t>
      </w:r>
      <w:r>
        <w:rPr>
          <w:spacing w:val="-5"/>
        </w:rPr>
        <w:t xml:space="preserve"> </w:t>
      </w:r>
      <w:r>
        <w:t>regulatory</w:t>
      </w:r>
      <w:r>
        <w:rPr>
          <w:spacing w:val="-5"/>
        </w:rPr>
        <w:t xml:space="preserve"> </w:t>
      </w:r>
      <w:r>
        <w:t>compliance</w:t>
      </w:r>
      <w:r>
        <w:rPr>
          <w:spacing w:val="-5"/>
        </w:rPr>
        <w:t xml:space="preserve"> </w:t>
      </w:r>
      <w:r>
        <w:t>with</w:t>
      </w:r>
      <w:r>
        <w:rPr>
          <w:spacing w:val="-5"/>
        </w:rPr>
        <w:t xml:space="preserve"> </w:t>
      </w:r>
      <w:r>
        <w:t>requirements</w:t>
      </w:r>
      <w:r>
        <w:rPr>
          <w:spacing w:val="-5"/>
        </w:rPr>
        <w:t xml:space="preserve"> </w:t>
      </w:r>
      <w:r>
        <w:t>not associated with the information collection, (2) for reasons other than to provide information or keep records for the government, or (3) as part of customary and usual business or private practices.</w:t>
      </w:r>
    </w:p>
    <w:p w:rsidR="00403DED" w14:paraId="00F74891" w14:textId="77777777">
      <w:pPr>
        <w:pStyle w:val="BodyText"/>
        <w:spacing w:before="5"/>
        <w:rPr>
          <w:sz w:val="32"/>
        </w:rPr>
      </w:pPr>
    </w:p>
    <w:p w:rsidR="00403DED" w14:paraId="29A7A4D7" w14:textId="77777777">
      <w:pPr>
        <w:pStyle w:val="ListParagraph"/>
        <w:numPr>
          <w:ilvl w:val="1"/>
          <w:numId w:val="1"/>
        </w:numPr>
        <w:tabs>
          <w:tab w:val="left" w:pos="1900"/>
          <w:tab w:val="left" w:pos="1901"/>
        </w:tabs>
        <w:ind w:left="1900" w:hanging="721"/>
        <w:jc w:val="left"/>
        <w:rPr>
          <w:u w:val="none"/>
        </w:rPr>
      </w:pPr>
      <w:r>
        <w:rPr>
          <w:w w:val="95"/>
        </w:rPr>
        <w:t>Estimated</w:t>
      </w:r>
      <w:r>
        <w:rPr>
          <w:spacing w:val="14"/>
        </w:rPr>
        <w:t xml:space="preserve"> </w:t>
      </w:r>
      <w:r>
        <w:rPr>
          <w:w w:val="95"/>
        </w:rPr>
        <w:t>Annualized</w:t>
      </w:r>
      <w:r>
        <w:rPr>
          <w:spacing w:val="14"/>
        </w:rPr>
        <w:t xml:space="preserve"> </w:t>
      </w:r>
      <w:r>
        <w:rPr>
          <w:w w:val="95"/>
        </w:rPr>
        <w:t>Cost</w:t>
      </w:r>
      <w:r>
        <w:rPr>
          <w:spacing w:val="13"/>
        </w:rPr>
        <w:t xml:space="preserve"> </w:t>
      </w:r>
      <w:r>
        <w:rPr>
          <w:w w:val="95"/>
        </w:rPr>
        <w:t>to</w:t>
      </w:r>
      <w:r>
        <w:rPr>
          <w:spacing w:val="15"/>
        </w:rPr>
        <w:t xml:space="preserve"> </w:t>
      </w:r>
      <w:r>
        <w:rPr>
          <w:w w:val="95"/>
        </w:rPr>
        <w:t>the</w:t>
      </w:r>
      <w:r>
        <w:rPr>
          <w:spacing w:val="13"/>
        </w:rPr>
        <w:t xml:space="preserve"> </w:t>
      </w:r>
      <w:r>
        <w:rPr>
          <w:w w:val="95"/>
        </w:rPr>
        <w:t>Federal</w:t>
      </w:r>
      <w:r>
        <w:rPr>
          <w:spacing w:val="15"/>
        </w:rPr>
        <w:t xml:space="preserve"> </w:t>
      </w:r>
      <w:r>
        <w:rPr>
          <w:spacing w:val="-2"/>
          <w:w w:val="95"/>
        </w:rPr>
        <w:t>Government</w:t>
      </w:r>
    </w:p>
    <w:p w:rsidR="00403DED" w14:paraId="1F6B8E7F" w14:textId="77777777">
      <w:pPr>
        <w:pStyle w:val="BodyText"/>
        <w:spacing w:before="2"/>
        <w:rPr>
          <w:sz w:val="27"/>
        </w:rPr>
      </w:pPr>
    </w:p>
    <w:p w:rsidR="00403DED" w14:paraId="7C465A90" w14:textId="77777777">
      <w:pPr>
        <w:pStyle w:val="BodyText"/>
        <w:spacing w:before="92" w:line="247" w:lineRule="auto"/>
        <w:ind w:left="1900" w:right="862"/>
      </w:pPr>
      <w:r>
        <w:t>Each</w:t>
      </w:r>
      <w:r>
        <w:rPr>
          <w:spacing w:val="-4"/>
        </w:rPr>
        <w:t xml:space="preserve"> </w:t>
      </w:r>
      <w:r>
        <w:t>form</w:t>
      </w:r>
      <w:r>
        <w:rPr>
          <w:spacing w:val="-4"/>
        </w:rPr>
        <w:t xml:space="preserve"> </w:t>
      </w:r>
      <w:r>
        <w:t>requires,</w:t>
      </w:r>
      <w:r>
        <w:rPr>
          <w:spacing w:val="-4"/>
        </w:rPr>
        <w:t xml:space="preserve"> </w:t>
      </w:r>
      <w:r>
        <w:t>on</w:t>
      </w:r>
      <w:r>
        <w:rPr>
          <w:spacing w:val="-5"/>
        </w:rPr>
        <w:t xml:space="preserve"> </w:t>
      </w:r>
      <w:r>
        <w:t>average,</w:t>
      </w:r>
      <w:r>
        <w:rPr>
          <w:spacing w:val="-4"/>
        </w:rPr>
        <w:t xml:space="preserve"> </w:t>
      </w:r>
      <w:r>
        <w:t>approximately</w:t>
      </w:r>
      <w:r>
        <w:rPr>
          <w:spacing w:val="-3"/>
        </w:rPr>
        <w:t xml:space="preserve"> </w:t>
      </w:r>
      <w:r>
        <w:t>0.6</w:t>
      </w:r>
      <w:r>
        <w:rPr>
          <w:spacing w:val="-4"/>
        </w:rPr>
        <w:t xml:space="preserve"> </w:t>
      </w:r>
      <w:r>
        <w:t>hours</w:t>
      </w:r>
      <w:r>
        <w:rPr>
          <w:spacing w:val="-4"/>
        </w:rPr>
        <w:t xml:space="preserve"> </w:t>
      </w:r>
      <w:r>
        <w:t>to</w:t>
      </w:r>
      <w:r>
        <w:rPr>
          <w:spacing w:val="-5"/>
        </w:rPr>
        <w:t xml:space="preserve"> </w:t>
      </w:r>
      <w:r>
        <w:t>review</w:t>
      </w:r>
      <w:r>
        <w:rPr>
          <w:spacing w:val="-4"/>
        </w:rPr>
        <w:t xml:space="preserve"> </w:t>
      </w:r>
      <w:r>
        <w:t>and process. 110 x 0.6 hours = the annual cost to the Federal government of 66 hours.</w:t>
      </w:r>
    </w:p>
    <w:p w:rsidR="00403DED" w14:paraId="320D4641" w14:textId="77777777">
      <w:pPr>
        <w:pStyle w:val="BodyText"/>
        <w:spacing w:before="11"/>
        <w:rPr>
          <w:sz w:val="34"/>
        </w:rPr>
      </w:pPr>
    </w:p>
    <w:p w:rsidR="00403DED" w14:paraId="424CF81E" w14:textId="77777777">
      <w:pPr>
        <w:pStyle w:val="BodyText"/>
        <w:ind w:left="1900"/>
      </w:pPr>
      <w:r>
        <w:t>The</w:t>
      </w:r>
      <w:r>
        <w:rPr>
          <w:spacing w:val="-6"/>
        </w:rPr>
        <w:t xml:space="preserve"> </w:t>
      </w:r>
      <w:r>
        <w:t>annual</w:t>
      </w:r>
      <w:r>
        <w:rPr>
          <w:spacing w:val="-6"/>
        </w:rPr>
        <w:t xml:space="preserve"> </w:t>
      </w:r>
      <w:r>
        <w:t>cost</w:t>
      </w:r>
      <w:r>
        <w:rPr>
          <w:spacing w:val="-6"/>
        </w:rPr>
        <w:t xml:space="preserve"> </w:t>
      </w:r>
      <w:r>
        <w:t>to</w:t>
      </w:r>
      <w:r>
        <w:rPr>
          <w:spacing w:val="-5"/>
        </w:rPr>
        <w:t xml:space="preserve"> </w:t>
      </w:r>
      <w:r>
        <w:t>the</w:t>
      </w:r>
      <w:r>
        <w:rPr>
          <w:spacing w:val="-6"/>
        </w:rPr>
        <w:t xml:space="preserve"> </w:t>
      </w:r>
      <w:r>
        <w:t>Federal</w:t>
      </w:r>
      <w:r>
        <w:rPr>
          <w:spacing w:val="-5"/>
        </w:rPr>
        <w:t xml:space="preserve"> </w:t>
      </w:r>
      <w:r>
        <w:t>government</w:t>
      </w:r>
      <w:r>
        <w:rPr>
          <w:spacing w:val="-6"/>
        </w:rPr>
        <w:t xml:space="preserve"> </w:t>
      </w:r>
      <w:r>
        <w:t>is</w:t>
      </w:r>
      <w:r>
        <w:rPr>
          <w:spacing w:val="-5"/>
        </w:rPr>
        <w:t xml:space="preserve"> </w:t>
      </w:r>
      <w:r>
        <w:t>estimated</w:t>
      </w:r>
      <w:r>
        <w:rPr>
          <w:spacing w:val="-5"/>
        </w:rPr>
        <w:t xml:space="preserve"> </w:t>
      </w:r>
      <w:r>
        <w:t>to</w:t>
      </w:r>
      <w:r>
        <w:rPr>
          <w:spacing w:val="-6"/>
        </w:rPr>
        <w:t xml:space="preserve"> </w:t>
      </w:r>
      <w:r>
        <w:rPr>
          <w:spacing w:val="-5"/>
        </w:rPr>
        <w:t>be</w:t>
      </w:r>
    </w:p>
    <w:p w:rsidR="00403DED" w14:paraId="1DD75BD6" w14:textId="0B1BEFE4">
      <w:pPr>
        <w:pStyle w:val="BodyText"/>
        <w:spacing w:before="5"/>
        <w:ind w:left="1900"/>
      </w:pPr>
      <w:r>
        <w:t>$</w:t>
      </w:r>
      <w:r w:rsidRPr="00911AE8" w:rsidR="00911AE8">
        <w:t>20,922</w:t>
      </w:r>
      <w:r w:rsidRPr="00911AE8" w:rsidR="00911AE8">
        <w:t xml:space="preserve"> </w:t>
      </w:r>
      <w:r>
        <w:t>(66</w:t>
      </w:r>
      <w:r w:rsidR="00DC1A5C">
        <w:t xml:space="preserve"> </w:t>
      </w:r>
      <w:r>
        <w:t>hours</w:t>
      </w:r>
      <w:r>
        <w:rPr>
          <w:spacing w:val="-6"/>
        </w:rPr>
        <w:t xml:space="preserve"> </w:t>
      </w:r>
      <w:r>
        <w:t>@</w:t>
      </w:r>
      <w:r>
        <w:rPr>
          <w:spacing w:val="-6"/>
        </w:rPr>
        <w:t xml:space="preserve"> </w:t>
      </w:r>
      <w:r>
        <w:rPr>
          <w:spacing w:val="-2"/>
        </w:rPr>
        <w:t>$</w:t>
      </w:r>
      <w:r w:rsidR="005E1F04">
        <w:rPr>
          <w:spacing w:val="-2"/>
        </w:rPr>
        <w:t>317</w:t>
      </w:r>
      <w:r>
        <w:rPr>
          <w:spacing w:val="-2"/>
        </w:rPr>
        <w:t>/hour).</w:t>
      </w:r>
    </w:p>
    <w:p w:rsidR="00403DED" w14:paraId="69EAD869" w14:textId="77777777">
      <w:pPr>
        <w:pStyle w:val="BodyText"/>
        <w:spacing w:before="6"/>
      </w:pPr>
    </w:p>
    <w:p w:rsidR="00403DED" w14:paraId="717D32C5" w14:textId="614D973A">
      <w:pPr>
        <w:pStyle w:val="ListParagraph"/>
        <w:numPr>
          <w:ilvl w:val="1"/>
          <w:numId w:val="1"/>
        </w:numPr>
        <w:tabs>
          <w:tab w:val="left" w:pos="1900"/>
          <w:tab w:val="left" w:pos="1901"/>
        </w:tabs>
        <w:ind w:left="1900" w:hanging="721"/>
        <w:jc w:val="left"/>
        <w:rPr>
          <w:u w:val="none"/>
        </w:rPr>
      </w:pPr>
      <w:r>
        <w:t>Reasons</w:t>
      </w:r>
      <w:r>
        <w:rPr>
          <w:spacing w:val="-8"/>
        </w:rPr>
        <w:t xml:space="preserve"> </w:t>
      </w:r>
      <w:r>
        <w:t>for</w:t>
      </w:r>
      <w:r>
        <w:rPr>
          <w:spacing w:val="-6"/>
        </w:rPr>
        <w:t xml:space="preserve"> </w:t>
      </w:r>
      <w:r>
        <w:t>Change</w:t>
      </w:r>
      <w:r>
        <w:rPr>
          <w:spacing w:val="-6"/>
        </w:rPr>
        <w:t xml:space="preserve"> </w:t>
      </w:r>
      <w:r>
        <w:t>in</w:t>
      </w:r>
      <w:r>
        <w:rPr>
          <w:spacing w:val="-6"/>
        </w:rPr>
        <w:t xml:space="preserve"> </w:t>
      </w:r>
      <w:r>
        <w:t>Burden</w:t>
      </w:r>
      <w:r>
        <w:rPr>
          <w:spacing w:val="-5"/>
        </w:rPr>
        <w:t xml:space="preserve"> </w:t>
      </w:r>
      <w:r>
        <w:t>or</w:t>
      </w:r>
      <w:r>
        <w:rPr>
          <w:spacing w:val="-41"/>
          <w:u w:val="none"/>
        </w:rPr>
        <w:t xml:space="preserve"> </w:t>
      </w:r>
      <w:r w:rsidR="00F13452">
        <w:rPr>
          <w:spacing w:val="-41"/>
          <w:u w:val="none"/>
        </w:rPr>
        <w:t xml:space="preserve"> </w:t>
      </w:r>
      <w:r>
        <w:rPr>
          <w:spacing w:val="-4"/>
        </w:rPr>
        <w:t>Cost</w:t>
      </w:r>
    </w:p>
    <w:p w:rsidR="00403DED" w14:paraId="6B11AEB8" w14:textId="77777777">
      <w:pPr>
        <w:pStyle w:val="BodyText"/>
        <w:rPr>
          <w:sz w:val="23"/>
        </w:rPr>
      </w:pPr>
    </w:p>
    <w:p w:rsidR="00403DED" w14:paraId="6AA01506" w14:textId="1AF91508">
      <w:pPr>
        <w:pStyle w:val="BodyText"/>
        <w:spacing w:before="1"/>
        <w:ind w:left="1900" w:right="862"/>
      </w:pPr>
      <w:r>
        <w:rPr>
          <w:color w:val="232323"/>
        </w:rPr>
        <w:t xml:space="preserve">The annual burden </w:t>
      </w:r>
      <w:r w:rsidR="00616A92">
        <w:rPr>
          <w:color w:val="232323"/>
        </w:rPr>
        <w:t xml:space="preserve">and cost </w:t>
      </w:r>
      <w:r w:rsidR="00E02562">
        <w:rPr>
          <w:color w:val="232323"/>
        </w:rPr>
        <w:t>in</w:t>
      </w:r>
      <w:r>
        <w:rPr>
          <w:color w:val="232323"/>
        </w:rPr>
        <w:t xml:space="preserve">creased </w:t>
      </w:r>
      <w:r w:rsidR="000D5D25">
        <w:rPr>
          <w:color w:val="232323"/>
        </w:rPr>
        <w:t xml:space="preserve">for the public and </w:t>
      </w:r>
      <w:r w:rsidR="00CD4BF1">
        <w:rPr>
          <w:color w:val="232323"/>
        </w:rPr>
        <w:t>government</w:t>
      </w:r>
      <w:r w:rsidR="00B85059">
        <w:rPr>
          <w:color w:val="232323"/>
        </w:rPr>
        <w:t xml:space="preserve"> </w:t>
      </w:r>
      <w:r w:rsidR="00E31819">
        <w:rPr>
          <w:color w:val="232323"/>
        </w:rPr>
        <w:t>annually</w:t>
      </w:r>
      <w:r w:rsidR="00546A88">
        <w:rPr>
          <w:color w:val="232323"/>
        </w:rPr>
        <w:t xml:space="preserve"> due to </w:t>
      </w:r>
      <w:r w:rsidR="00616A92">
        <w:rPr>
          <w:color w:val="232323"/>
        </w:rPr>
        <w:t>the</w:t>
      </w:r>
      <w:r w:rsidR="00A7746F">
        <w:rPr>
          <w:color w:val="232323"/>
        </w:rPr>
        <w:t xml:space="preserve"> </w:t>
      </w:r>
      <w:r w:rsidR="00DC1A5C">
        <w:rPr>
          <w:color w:val="232323"/>
        </w:rPr>
        <w:t>increase</w:t>
      </w:r>
      <w:r w:rsidR="00546A88">
        <w:rPr>
          <w:color w:val="232323"/>
        </w:rPr>
        <w:t xml:space="preserve"> </w:t>
      </w:r>
      <w:r w:rsidR="00616A92">
        <w:rPr>
          <w:color w:val="232323"/>
        </w:rPr>
        <w:t>of</w:t>
      </w:r>
      <w:r w:rsidR="00546A88">
        <w:rPr>
          <w:color w:val="232323"/>
        </w:rPr>
        <w:t xml:space="preserve"> the </w:t>
      </w:r>
      <w:r w:rsidR="00786A43">
        <w:rPr>
          <w:color w:val="232323"/>
        </w:rPr>
        <w:t>hourly rate</w:t>
      </w:r>
      <w:r w:rsidR="009E2957">
        <w:rPr>
          <w:color w:val="232323"/>
        </w:rPr>
        <w:t xml:space="preserve"> metric </w:t>
      </w:r>
      <w:r w:rsidR="009D45F5">
        <w:rPr>
          <w:color w:val="232323"/>
        </w:rPr>
        <w:t>published within</w:t>
      </w:r>
      <w:r w:rsidR="009E2957">
        <w:rPr>
          <w:color w:val="232323"/>
        </w:rPr>
        <w:t xml:space="preserve"> </w:t>
      </w:r>
      <w:r w:rsidRPr="008E2564" w:rsidR="005D386B">
        <w:t xml:space="preserve">10 CFR 170.20 </w:t>
      </w:r>
      <w:r w:rsidR="00101512">
        <w:t>of</w:t>
      </w:r>
      <w:r w:rsidR="009E2957">
        <w:rPr>
          <w:color w:val="232323"/>
        </w:rPr>
        <w:t xml:space="preserve"> </w:t>
      </w:r>
      <w:r w:rsidR="009A21C8">
        <w:rPr>
          <w:color w:val="232323"/>
        </w:rPr>
        <w:t>the revised fee schedule</w:t>
      </w:r>
      <w:r w:rsidR="00546A88">
        <w:rPr>
          <w:color w:val="232323"/>
        </w:rPr>
        <w:t xml:space="preserve">.  </w:t>
      </w:r>
      <w:r w:rsidR="00473795">
        <w:rPr>
          <w:color w:val="232323"/>
        </w:rPr>
        <w:t xml:space="preserve">The NRC staff </w:t>
      </w:r>
      <w:r w:rsidR="009A21C8">
        <w:rPr>
          <w:color w:val="232323"/>
        </w:rPr>
        <w:t xml:space="preserve">has </w:t>
      </w:r>
      <w:r w:rsidR="00A3799B">
        <w:rPr>
          <w:color w:val="232323"/>
        </w:rPr>
        <w:t>not changed</w:t>
      </w:r>
      <w:r w:rsidR="00473795">
        <w:rPr>
          <w:color w:val="232323"/>
        </w:rPr>
        <w:t xml:space="preserve"> the estimated number of annual </w:t>
      </w:r>
      <w:r w:rsidR="007A26B0">
        <w:rPr>
          <w:color w:val="232323"/>
        </w:rPr>
        <w:t>responses</w:t>
      </w:r>
      <w:r w:rsidR="00473795">
        <w:rPr>
          <w:color w:val="232323"/>
        </w:rPr>
        <w:t xml:space="preserve"> </w:t>
      </w:r>
      <w:r w:rsidR="00A52800">
        <w:rPr>
          <w:color w:val="232323"/>
        </w:rPr>
        <w:t>b</w:t>
      </w:r>
      <w:r w:rsidR="00784326">
        <w:rPr>
          <w:color w:val="232323"/>
        </w:rPr>
        <w:t xml:space="preserve">ased on data from the </w:t>
      </w:r>
      <w:r w:rsidRPr="0040046A" w:rsidR="0040046A">
        <w:rPr>
          <w:color w:val="232323"/>
        </w:rPr>
        <w:t>NRC’s Web-Based Licensing System</w:t>
      </w:r>
      <w:r w:rsidR="006A6BA4">
        <w:rPr>
          <w:color w:val="232323"/>
        </w:rPr>
        <w:t xml:space="preserve"> being consistent </w:t>
      </w:r>
      <w:r w:rsidR="006A6BA4">
        <w:rPr>
          <w:color w:val="232323"/>
        </w:rPr>
        <w:t>among</w:t>
      </w:r>
      <w:r w:rsidR="006A6BA4">
        <w:rPr>
          <w:color w:val="232323"/>
        </w:rPr>
        <w:t xml:space="preserve"> the previous 3 years</w:t>
      </w:r>
      <w:r w:rsidR="00A52800">
        <w:rPr>
          <w:color w:val="232323"/>
        </w:rPr>
        <w:t>.</w:t>
      </w:r>
      <w:r w:rsidRPr="0040046A" w:rsidR="0040046A">
        <w:rPr>
          <w:color w:val="232323"/>
        </w:rPr>
        <w:t xml:space="preserve"> </w:t>
      </w:r>
    </w:p>
    <w:p w:rsidR="00403DED" w14:paraId="1A53795F" w14:textId="7A139388">
      <w:pPr>
        <w:pStyle w:val="BodyText"/>
        <w:spacing w:before="10"/>
        <w:rPr>
          <w:sz w:val="21"/>
        </w:rPr>
      </w:pPr>
    </w:p>
    <w:p w:rsidR="00403DED" w14:paraId="0F640476" w14:textId="77777777">
      <w:pPr>
        <w:pStyle w:val="ListParagraph"/>
        <w:numPr>
          <w:ilvl w:val="1"/>
          <w:numId w:val="1"/>
        </w:numPr>
        <w:tabs>
          <w:tab w:val="left" w:pos="1900"/>
          <w:tab w:val="left" w:pos="1901"/>
        </w:tabs>
        <w:ind w:left="1900" w:hanging="720"/>
        <w:jc w:val="left"/>
        <w:rPr>
          <w:u w:val="none"/>
        </w:rPr>
      </w:pPr>
      <w:r>
        <w:t>Publication</w:t>
      </w:r>
      <w:r>
        <w:rPr>
          <w:spacing w:val="-9"/>
        </w:rPr>
        <w:t xml:space="preserve"> </w:t>
      </w:r>
      <w:r>
        <w:t>for</w:t>
      </w:r>
      <w:r>
        <w:rPr>
          <w:spacing w:val="-8"/>
        </w:rPr>
        <w:t xml:space="preserve"> </w:t>
      </w:r>
      <w:r>
        <w:t>Statistical</w:t>
      </w:r>
      <w:r>
        <w:rPr>
          <w:spacing w:val="-8"/>
        </w:rPr>
        <w:t xml:space="preserve"> </w:t>
      </w:r>
      <w:r>
        <w:rPr>
          <w:spacing w:val="-5"/>
        </w:rPr>
        <w:t>Use</w:t>
      </w:r>
    </w:p>
    <w:p w:rsidR="00403DED" w14:paraId="0B0BD945" w14:textId="77777777">
      <w:pPr>
        <w:pStyle w:val="BodyText"/>
        <w:rPr>
          <w:sz w:val="13"/>
        </w:rPr>
      </w:pPr>
    </w:p>
    <w:p w:rsidR="00403DED" w14:paraId="609ADA98" w14:textId="77777777">
      <w:pPr>
        <w:pStyle w:val="BodyText"/>
        <w:spacing w:before="93"/>
        <w:ind w:left="1900"/>
      </w:pPr>
      <w:r>
        <w:rPr>
          <w:spacing w:val="-2"/>
        </w:rPr>
        <w:t>None.</w:t>
      </w:r>
    </w:p>
    <w:p w:rsidR="00403DED" w14:paraId="2FC0F1B4" w14:textId="77777777">
      <w:pPr>
        <w:pStyle w:val="BodyText"/>
        <w:spacing w:before="9"/>
        <w:rPr>
          <w:sz w:val="26"/>
        </w:rPr>
      </w:pPr>
    </w:p>
    <w:p w:rsidR="00403DED" w14:paraId="1805633B" w14:textId="77777777">
      <w:pPr>
        <w:pStyle w:val="ListParagraph"/>
        <w:numPr>
          <w:ilvl w:val="1"/>
          <w:numId w:val="1"/>
        </w:numPr>
        <w:tabs>
          <w:tab w:val="left" w:pos="1853"/>
          <w:tab w:val="left" w:pos="1854"/>
        </w:tabs>
        <w:spacing w:before="1"/>
        <w:ind w:left="1853" w:hanging="674"/>
        <w:jc w:val="left"/>
        <w:rPr>
          <w:u w:val="none"/>
        </w:rPr>
      </w:pPr>
      <w:r>
        <w:t>Reason</w:t>
      </w:r>
      <w:r>
        <w:rPr>
          <w:spacing w:val="-7"/>
        </w:rPr>
        <w:t xml:space="preserve"> </w:t>
      </w:r>
      <w:r>
        <w:t>for</w:t>
      </w:r>
      <w:r>
        <w:rPr>
          <w:spacing w:val="-7"/>
        </w:rPr>
        <w:t xml:space="preserve"> </w:t>
      </w:r>
      <w:r>
        <w:t>Not</w:t>
      </w:r>
      <w:r>
        <w:rPr>
          <w:spacing w:val="-7"/>
        </w:rPr>
        <w:t xml:space="preserve"> </w:t>
      </w:r>
      <w:r>
        <w:t>Displaying</w:t>
      </w:r>
      <w:r>
        <w:rPr>
          <w:spacing w:val="-6"/>
        </w:rPr>
        <w:t xml:space="preserve"> </w:t>
      </w:r>
      <w:r>
        <w:t>Expiration</w:t>
      </w:r>
      <w:r>
        <w:rPr>
          <w:spacing w:val="-7"/>
        </w:rPr>
        <w:t xml:space="preserve"> </w:t>
      </w:r>
      <w:r>
        <w:rPr>
          <w:spacing w:val="-4"/>
        </w:rPr>
        <w:t>Date</w:t>
      </w:r>
    </w:p>
    <w:p w:rsidR="00403DED" w14:paraId="21BC83EF" w14:textId="77777777">
      <w:pPr>
        <w:pStyle w:val="BodyText"/>
        <w:spacing w:before="6"/>
        <w:rPr>
          <w:sz w:val="16"/>
        </w:rPr>
      </w:pPr>
    </w:p>
    <w:p w:rsidR="00403DED" w14:paraId="581E35D3" w14:textId="77777777">
      <w:pPr>
        <w:pStyle w:val="BodyText"/>
        <w:spacing w:before="93"/>
        <w:ind w:left="1882" w:right="1951"/>
        <w:jc w:val="center"/>
      </w:pPr>
      <w:r>
        <w:t>Not</w:t>
      </w:r>
      <w:r>
        <w:rPr>
          <w:spacing w:val="-5"/>
        </w:rPr>
        <w:t xml:space="preserve"> </w:t>
      </w:r>
      <w:r>
        <w:t>applicable.</w:t>
      </w:r>
      <w:r>
        <w:rPr>
          <w:spacing w:val="51"/>
        </w:rPr>
        <w:t xml:space="preserve"> </w:t>
      </w:r>
      <w:r>
        <w:t>The</w:t>
      </w:r>
      <w:r>
        <w:rPr>
          <w:spacing w:val="-5"/>
        </w:rPr>
        <w:t xml:space="preserve"> </w:t>
      </w:r>
      <w:r>
        <w:t>expiration</w:t>
      </w:r>
      <w:r>
        <w:rPr>
          <w:spacing w:val="-5"/>
        </w:rPr>
        <w:t xml:space="preserve"> </w:t>
      </w:r>
      <w:r>
        <w:t>date</w:t>
      </w:r>
      <w:r>
        <w:rPr>
          <w:spacing w:val="-6"/>
        </w:rPr>
        <w:t xml:space="preserve"> </w:t>
      </w:r>
      <w:r>
        <w:t>is</w:t>
      </w:r>
      <w:r>
        <w:rPr>
          <w:spacing w:val="-5"/>
        </w:rPr>
        <w:t xml:space="preserve"> </w:t>
      </w:r>
      <w:r>
        <w:t>displayed</w:t>
      </w:r>
      <w:r>
        <w:rPr>
          <w:spacing w:val="-5"/>
        </w:rPr>
        <w:t xml:space="preserve"> </w:t>
      </w:r>
      <w:r>
        <w:t>on</w:t>
      </w:r>
      <w:r>
        <w:rPr>
          <w:spacing w:val="-5"/>
        </w:rPr>
        <w:t xml:space="preserve"> </w:t>
      </w:r>
      <w:r>
        <w:t>the</w:t>
      </w:r>
      <w:r>
        <w:rPr>
          <w:spacing w:val="-5"/>
        </w:rPr>
        <w:t xml:space="preserve"> </w:t>
      </w:r>
      <w:r>
        <w:rPr>
          <w:spacing w:val="-2"/>
        </w:rPr>
        <w:t>form.</w:t>
      </w:r>
    </w:p>
    <w:p w:rsidR="00403DED" w14:paraId="1A03BCDE" w14:textId="77777777">
      <w:pPr>
        <w:pStyle w:val="BodyText"/>
      </w:pPr>
    </w:p>
    <w:p w:rsidR="00403DED" w14:paraId="1C7142A1" w14:textId="77777777">
      <w:pPr>
        <w:pStyle w:val="ListParagraph"/>
        <w:numPr>
          <w:ilvl w:val="1"/>
          <w:numId w:val="1"/>
        </w:numPr>
        <w:tabs>
          <w:tab w:val="left" w:pos="1853"/>
          <w:tab w:val="left" w:pos="1854"/>
        </w:tabs>
        <w:ind w:left="1853" w:hanging="674"/>
        <w:jc w:val="left"/>
        <w:rPr>
          <w:u w:val="none"/>
        </w:rPr>
      </w:pPr>
      <w:r>
        <w:t>Exceptions</w:t>
      </w:r>
      <w:r>
        <w:rPr>
          <w:spacing w:val="-7"/>
        </w:rPr>
        <w:t xml:space="preserve"> </w:t>
      </w:r>
      <w:r>
        <w:t>to</w:t>
      </w:r>
      <w:r>
        <w:rPr>
          <w:spacing w:val="-7"/>
        </w:rPr>
        <w:t xml:space="preserve"> </w:t>
      </w:r>
      <w:r>
        <w:t>the</w:t>
      </w:r>
      <w:r>
        <w:rPr>
          <w:spacing w:val="-8"/>
        </w:rPr>
        <w:t xml:space="preserve"> </w:t>
      </w:r>
      <w:r>
        <w:t>Certification</w:t>
      </w:r>
      <w:r>
        <w:rPr>
          <w:spacing w:val="-8"/>
        </w:rPr>
        <w:t xml:space="preserve"> </w:t>
      </w:r>
      <w:r>
        <w:rPr>
          <w:spacing w:val="-2"/>
        </w:rPr>
        <w:t>Statement</w:t>
      </w:r>
    </w:p>
    <w:p w:rsidR="00403DED" w14:paraId="4015D3E2" w14:textId="77777777">
      <w:pPr>
        <w:pStyle w:val="BodyText"/>
        <w:spacing w:before="1"/>
        <w:rPr>
          <w:sz w:val="13"/>
        </w:rPr>
      </w:pPr>
    </w:p>
    <w:p w:rsidR="00403DED" w14:paraId="206E6430" w14:textId="77777777">
      <w:pPr>
        <w:pStyle w:val="BodyText"/>
        <w:spacing w:before="93"/>
        <w:ind w:left="1846"/>
      </w:pPr>
      <w:r>
        <w:rPr>
          <w:spacing w:val="-2"/>
        </w:rPr>
        <w:t>None.</w:t>
      </w:r>
    </w:p>
    <w:p w:rsidR="00403DED" w14:paraId="7AA4F971" w14:textId="77777777">
      <w:pPr>
        <w:pStyle w:val="BodyText"/>
        <w:spacing w:before="1"/>
        <w:rPr>
          <w:sz w:val="24"/>
        </w:rPr>
      </w:pPr>
    </w:p>
    <w:p w:rsidR="00403DED" w14:paraId="26024C81" w14:textId="77777777">
      <w:pPr>
        <w:pStyle w:val="ListParagraph"/>
        <w:numPr>
          <w:ilvl w:val="0"/>
          <w:numId w:val="1"/>
        </w:numPr>
        <w:tabs>
          <w:tab w:val="left" w:pos="1042"/>
        </w:tabs>
        <w:ind w:left="1041" w:hanging="361"/>
        <w:rPr>
          <w:u w:val="none"/>
        </w:rPr>
      </w:pPr>
      <w:r>
        <w:t>Collection</w:t>
      </w:r>
      <w:r>
        <w:rPr>
          <w:spacing w:val="-9"/>
        </w:rPr>
        <w:t xml:space="preserve"> </w:t>
      </w:r>
      <w:r>
        <w:t>of</w:t>
      </w:r>
      <w:r>
        <w:rPr>
          <w:spacing w:val="-10"/>
        </w:rPr>
        <w:t xml:space="preserve"> </w:t>
      </w:r>
      <w:r>
        <w:t>Information</w:t>
      </w:r>
      <w:r>
        <w:rPr>
          <w:spacing w:val="-8"/>
        </w:rPr>
        <w:t xml:space="preserve"> </w:t>
      </w:r>
      <w:r>
        <w:t>Employing</w:t>
      </w:r>
      <w:r>
        <w:rPr>
          <w:spacing w:val="-8"/>
        </w:rPr>
        <w:t xml:space="preserve"> </w:t>
      </w:r>
      <w:r>
        <w:t>Statistical</w:t>
      </w:r>
      <w:r>
        <w:rPr>
          <w:spacing w:val="-9"/>
        </w:rPr>
        <w:t xml:space="preserve"> </w:t>
      </w:r>
      <w:r>
        <w:rPr>
          <w:spacing w:val="-2"/>
        </w:rPr>
        <w:t>Methods</w:t>
      </w:r>
    </w:p>
    <w:p w:rsidR="00403DED" w14:paraId="413DAC6E" w14:textId="77777777">
      <w:pPr>
        <w:pStyle w:val="BodyText"/>
        <w:spacing w:before="1"/>
        <w:rPr>
          <w:sz w:val="13"/>
        </w:rPr>
      </w:pPr>
    </w:p>
    <w:p w:rsidR="00403DED" w14:paraId="760CE14F" w14:textId="77777777">
      <w:pPr>
        <w:pStyle w:val="BodyText"/>
        <w:spacing w:before="92"/>
        <w:ind w:left="1041"/>
      </w:pPr>
      <w:r>
        <w:t>Statistical</w:t>
      </w:r>
      <w:r>
        <w:rPr>
          <w:spacing w:val="-8"/>
        </w:rPr>
        <w:t xml:space="preserve"> </w:t>
      </w:r>
      <w:r>
        <w:t>methods</w:t>
      </w:r>
      <w:r>
        <w:rPr>
          <w:spacing w:val="-5"/>
        </w:rPr>
        <w:t xml:space="preserve"> </w:t>
      </w:r>
      <w:r>
        <w:t>are</w:t>
      </w:r>
      <w:r>
        <w:rPr>
          <w:spacing w:val="-5"/>
        </w:rPr>
        <w:t xml:space="preserve"> </w:t>
      </w:r>
      <w:r>
        <w:t>not</w:t>
      </w:r>
      <w:r>
        <w:rPr>
          <w:spacing w:val="-5"/>
        </w:rPr>
        <w:t xml:space="preserve"> </w:t>
      </w:r>
      <w:r>
        <w:t>used</w:t>
      </w:r>
      <w:r>
        <w:rPr>
          <w:spacing w:val="-6"/>
        </w:rPr>
        <w:t xml:space="preserve"> </w:t>
      </w:r>
      <w:r>
        <w:t>in</w:t>
      </w:r>
      <w:r>
        <w:rPr>
          <w:spacing w:val="-5"/>
        </w:rPr>
        <w:t xml:space="preserve"> </w:t>
      </w:r>
      <w:r>
        <w:t>this</w:t>
      </w:r>
      <w:r>
        <w:rPr>
          <w:spacing w:val="-5"/>
        </w:rPr>
        <w:t xml:space="preserve"> </w:t>
      </w:r>
      <w:r>
        <w:t>collection</w:t>
      </w:r>
      <w:r>
        <w:rPr>
          <w:spacing w:val="-6"/>
        </w:rPr>
        <w:t xml:space="preserve"> </w:t>
      </w:r>
      <w:r>
        <w:t>of</w:t>
      </w:r>
      <w:r>
        <w:rPr>
          <w:spacing w:val="-5"/>
        </w:rPr>
        <w:t xml:space="preserve"> </w:t>
      </w:r>
      <w:r>
        <w:rPr>
          <w:spacing w:val="-2"/>
        </w:rPr>
        <w:t>information.</w:t>
      </w:r>
    </w:p>
    <w:sectPr>
      <w:pgSz w:w="12240" w:h="15840"/>
      <w:pgMar w:top="1520" w:right="128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1495" w14:paraId="679D0F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1495" w:rsidP="00981495" w14:paraId="3E977FA6" w14:textId="7AFE3A8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1495" w14:paraId="568743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1495" w14:paraId="4BEC050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1495" w14:paraId="048C68B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1495" w14:paraId="500487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6E5E7D"/>
    <w:multiLevelType w:val="hybridMultilevel"/>
    <w:tmpl w:val="5CEE780C"/>
    <w:lvl w:ilvl="0">
      <w:start w:val="1"/>
      <w:numFmt w:val="upperLetter"/>
      <w:lvlText w:val="%1."/>
      <w:lvlJc w:val="left"/>
      <w:pPr>
        <w:ind w:left="1082" w:hanging="422"/>
      </w:pPr>
      <w:rPr>
        <w:rFonts w:ascii="Arial" w:eastAsia="Arial" w:hAnsi="Arial" w:cs="Arial" w:hint="default"/>
        <w:b w:val="0"/>
        <w:bCs w:val="0"/>
        <w:i w:val="0"/>
        <w:iCs w:val="0"/>
        <w:w w:val="99"/>
        <w:sz w:val="22"/>
        <w:szCs w:val="22"/>
        <w:lang w:val="en-US" w:eastAsia="en-US" w:bidi="ar-SA"/>
      </w:rPr>
    </w:lvl>
    <w:lvl w:ilvl="1">
      <w:start w:val="1"/>
      <w:numFmt w:val="decimal"/>
      <w:lvlText w:val="%2."/>
      <w:lvlJc w:val="left"/>
      <w:pPr>
        <w:ind w:left="1920" w:hanging="360"/>
        <w:jc w:val="right"/>
      </w:pPr>
      <w:rPr>
        <w:rFonts w:ascii="Arial" w:eastAsia="Arial" w:hAnsi="Arial" w:cs="Arial" w:hint="default"/>
        <w:b w:val="0"/>
        <w:bCs w:val="0"/>
        <w:i w:val="0"/>
        <w:iCs w:val="0"/>
        <w:w w:val="99"/>
        <w:sz w:val="22"/>
        <w:szCs w:val="22"/>
        <w:lang w:val="en-US" w:eastAsia="en-US" w:bidi="ar-SA"/>
      </w:rPr>
    </w:lvl>
    <w:lvl w:ilvl="2">
      <w:start w:val="0"/>
      <w:numFmt w:val="bullet"/>
      <w:lvlText w:val="•"/>
      <w:lvlJc w:val="left"/>
      <w:pPr>
        <w:ind w:left="2786" w:hanging="360"/>
      </w:pPr>
      <w:rPr>
        <w:rFonts w:hint="default"/>
        <w:lang w:val="en-US" w:eastAsia="en-US" w:bidi="ar-SA"/>
      </w:rPr>
    </w:lvl>
    <w:lvl w:ilvl="3">
      <w:start w:val="0"/>
      <w:numFmt w:val="bullet"/>
      <w:lvlText w:val="•"/>
      <w:lvlJc w:val="left"/>
      <w:pPr>
        <w:ind w:left="3653" w:hanging="360"/>
      </w:pPr>
      <w:rPr>
        <w:rFonts w:hint="default"/>
        <w:lang w:val="en-US" w:eastAsia="en-US" w:bidi="ar-SA"/>
      </w:rPr>
    </w:lvl>
    <w:lvl w:ilvl="4">
      <w:start w:val="0"/>
      <w:numFmt w:val="bullet"/>
      <w:lvlText w:val="•"/>
      <w:lvlJc w:val="left"/>
      <w:pPr>
        <w:ind w:left="4520" w:hanging="360"/>
      </w:pPr>
      <w:rPr>
        <w:rFonts w:hint="default"/>
        <w:lang w:val="en-US" w:eastAsia="en-US" w:bidi="ar-SA"/>
      </w:rPr>
    </w:lvl>
    <w:lvl w:ilvl="5">
      <w:start w:val="0"/>
      <w:numFmt w:val="bullet"/>
      <w:lvlText w:val="•"/>
      <w:lvlJc w:val="left"/>
      <w:pPr>
        <w:ind w:left="5386" w:hanging="360"/>
      </w:pPr>
      <w:rPr>
        <w:rFonts w:hint="default"/>
        <w:lang w:val="en-US" w:eastAsia="en-US" w:bidi="ar-SA"/>
      </w:rPr>
    </w:lvl>
    <w:lvl w:ilvl="6">
      <w:start w:val="0"/>
      <w:numFmt w:val="bullet"/>
      <w:lvlText w:val="•"/>
      <w:lvlJc w:val="left"/>
      <w:pPr>
        <w:ind w:left="6253" w:hanging="360"/>
      </w:pPr>
      <w:rPr>
        <w:rFonts w:hint="default"/>
        <w:lang w:val="en-US" w:eastAsia="en-US" w:bidi="ar-SA"/>
      </w:rPr>
    </w:lvl>
    <w:lvl w:ilvl="7">
      <w:start w:val="0"/>
      <w:numFmt w:val="bullet"/>
      <w:lvlText w:val="•"/>
      <w:lvlJc w:val="left"/>
      <w:pPr>
        <w:ind w:left="7120" w:hanging="360"/>
      </w:pPr>
      <w:rPr>
        <w:rFonts w:hint="default"/>
        <w:lang w:val="en-US" w:eastAsia="en-US" w:bidi="ar-SA"/>
      </w:rPr>
    </w:lvl>
    <w:lvl w:ilvl="8">
      <w:start w:val="0"/>
      <w:numFmt w:val="bullet"/>
      <w:lvlText w:val="•"/>
      <w:lvlJc w:val="left"/>
      <w:pPr>
        <w:ind w:left="7986" w:hanging="360"/>
      </w:pPr>
      <w:rPr>
        <w:rFonts w:hint="default"/>
        <w:lang w:val="en-US" w:eastAsia="en-US" w:bidi="ar-SA"/>
      </w:rPr>
    </w:lvl>
  </w:abstractNum>
  <w:num w:numId="1" w16cid:durableId="30389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DED"/>
    <w:rsid w:val="000045A3"/>
    <w:rsid w:val="0000472E"/>
    <w:rsid w:val="000231A7"/>
    <w:rsid w:val="00043CEB"/>
    <w:rsid w:val="00050D85"/>
    <w:rsid w:val="00087651"/>
    <w:rsid w:val="0009016E"/>
    <w:rsid w:val="000910B7"/>
    <w:rsid w:val="000A79B9"/>
    <w:rsid w:val="000A7CFE"/>
    <w:rsid w:val="000B00D5"/>
    <w:rsid w:val="000D5D25"/>
    <w:rsid w:val="000E6454"/>
    <w:rsid w:val="00101512"/>
    <w:rsid w:val="00106EBC"/>
    <w:rsid w:val="00124066"/>
    <w:rsid w:val="001422E3"/>
    <w:rsid w:val="001513CF"/>
    <w:rsid w:val="00156AA1"/>
    <w:rsid w:val="00162864"/>
    <w:rsid w:val="001742F0"/>
    <w:rsid w:val="00176A99"/>
    <w:rsid w:val="001944F6"/>
    <w:rsid w:val="001A7DDF"/>
    <w:rsid w:val="001D240A"/>
    <w:rsid w:val="001D4B57"/>
    <w:rsid w:val="001E06A7"/>
    <w:rsid w:val="001F2F51"/>
    <w:rsid w:val="001F4364"/>
    <w:rsid w:val="002062DD"/>
    <w:rsid w:val="0021040C"/>
    <w:rsid w:val="00222944"/>
    <w:rsid w:val="00235496"/>
    <w:rsid w:val="00253B2D"/>
    <w:rsid w:val="002727F3"/>
    <w:rsid w:val="00286D3D"/>
    <w:rsid w:val="002A1D30"/>
    <w:rsid w:val="002A774B"/>
    <w:rsid w:val="002B0829"/>
    <w:rsid w:val="002D3270"/>
    <w:rsid w:val="002F00EC"/>
    <w:rsid w:val="002F18BA"/>
    <w:rsid w:val="003247C5"/>
    <w:rsid w:val="003446E8"/>
    <w:rsid w:val="00347262"/>
    <w:rsid w:val="0038537C"/>
    <w:rsid w:val="003B7635"/>
    <w:rsid w:val="003C3A18"/>
    <w:rsid w:val="003C63D4"/>
    <w:rsid w:val="003D4FF5"/>
    <w:rsid w:val="003E17ED"/>
    <w:rsid w:val="003F511C"/>
    <w:rsid w:val="0040046A"/>
    <w:rsid w:val="00402C53"/>
    <w:rsid w:val="00403DED"/>
    <w:rsid w:val="0041534B"/>
    <w:rsid w:val="00451B05"/>
    <w:rsid w:val="00463F2A"/>
    <w:rsid w:val="004717E7"/>
    <w:rsid w:val="00473795"/>
    <w:rsid w:val="00496EC5"/>
    <w:rsid w:val="004C29EB"/>
    <w:rsid w:val="004D3775"/>
    <w:rsid w:val="00517FAF"/>
    <w:rsid w:val="00546A88"/>
    <w:rsid w:val="0055545C"/>
    <w:rsid w:val="00562B09"/>
    <w:rsid w:val="005C6E79"/>
    <w:rsid w:val="005D386B"/>
    <w:rsid w:val="005D73F1"/>
    <w:rsid w:val="005E1F04"/>
    <w:rsid w:val="0061234C"/>
    <w:rsid w:val="00616A92"/>
    <w:rsid w:val="00666FD0"/>
    <w:rsid w:val="0069102D"/>
    <w:rsid w:val="006A4C7F"/>
    <w:rsid w:val="006A6BA4"/>
    <w:rsid w:val="006E0BBC"/>
    <w:rsid w:val="00705F5B"/>
    <w:rsid w:val="00736CDF"/>
    <w:rsid w:val="00767DFC"/>
    <w:rsid w:val="00771248"/>
    <w:rsid w:val="00784326"/>
    <w:rsid w:val="00786A43"/>
    <w:rsid w:val="007A26B0"/>
    <w:rsid w:val="007B20C9"/>
    <w:rsid w:val="007B5BEB"/>
    <w:rsid w:val="007E4C56"/>
    <w:rsid w:val="008123C5"/>
    <w:rsid w:val="00823493"/>
    <w:rsid w:val="008244AF"/>
    <w:rsid w:val="00826912"/>
    <w:rsid w:val="00830E28"/>
    <w:rsid w:val="00864D0B"/>
    <w:rsid w:val="008C0177"/>
    <w:rsid w:val="008C3119"/>
    <w:rsid w:val="008D1BC3"/>
    <w:rsid w:val="008E2564"/>
    <w:rsid w:val="00911AE8"/>
    <w:rsid w:val="009218CC"/>
    <w:rsid w:val="00964401"/>
    <w:rsid w:val="00964821"/>
    <w:rsid w:val="00981495"/>
    <w:rsid w:val="0098467D"/>
    <w:rsid w:val="009A21C8"/>
    <w:rsid w:val="009B5831"/>
    <w:rsid w:val="009B713D"/>
    <w:rsid w:val="009D45F5"/>
    <w:rsid w:val="009E2957"/>
    <w:rsid w:val="00A23188"/>
    <w:rsid w:val="00A3799B"/>
    <w:rsid w:val="00A429BD"/>
    <w:rsid w:val="00A52800"/>
    <w:rsid w:val="00A75EBA"/>
    <w:rsid w:val="00A772EB"/>
    <w:rsid w:val="00A7746F"/>
    <w:rsid w:val="00A93D5A"/>
    <w:rsid w:val="00AA7C6B"/>
    <w:rsid w:val="00AC7CD4"/>
    <w:rsid w:val="00B13371"/>
    <w:rsid w:val="00B20915"/>
    <w:rsid w:val="00B45754"/>
    <w:rsid w:val="00B52981"/>
    <w:rsid w:val="00B85059"/>
    <w:rsid w:val="00BA2B64"/>
    <w:rsid w:val="00C26E94"/>
    <w:rsid w:val="00CA091D"/>
    <w:rsid w:val="00CB0F06"/>
    <w:rsid w:val="00CC104B"/>
    <w:rsid w:val="00CD442D"/>
    <w:rsid w:val="00CD4BF1"/>
    <w:rsid w:val="00D12AD2"/>
    <w:rsid w:val="00D42221"/>
    <w:rsid w:val="00D505BC"/>
    <w:rsid w:val="00D51813"/>
    <w:rsid w:val="00D64A65"/>
    <w:rsid w:val="00D64F7B"/>
    <w:rsid w:val="00D76BDD"/>
    <w:rsid w:val="00DA739D"/>
    <w:rsid w:val="00DC1A5C"/>
    <w:rsid w:val="00DD364A"/>
    <w:rsid w:val="00DE5B4E"/>
    <w:rsid w:val="00E02562"/>
    <w:rsid w:val="00E23BBC"/>
    <w:rsid w:val="00E31819"/>
    <w:rsid w:val="00E40E42"/>
    <w:rsid w:val="00E77737"/>
    <w:rsid w:val="00EA217A"/>
    <w:rsid w:val="00EC07F6"/>
    <w:rsid w:val="00EF2AA8"/>
    <w:rsid w:val="00EF2EC5"/>
    <w:rsid w:val="00F13452"/>
    <w:rsid w:val="00FA2D7E"/>
    <w:rsid w:val="00FF55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AC3F46"/>
  <w15:docId w15:val="{0DA9CFF7-5E61-4643-9B67-19AAD583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40" w:hanging="721"/>
    </w:pPr>
    <w:rPr>
      <w:u w:val="single" w:color="000000"/>
    </w:rPr>
  </w:style>
  <w:style w:type="paragraph" w:customStyle="1" w:styleId="TableParagraph">
    <w:name w:val="Table Paragraph"/>
    <w:basedOn w:val="Normal"/>
    <w:uiPriority w:val="1"/>
    <w:qFormat/>
  </w:style>
  <w:style w:type="paragraph" w:styleId="Revision">
    <w:name w:val="Revision"/>
    <w:hidden/>
    <w:uiPriority w:val="99"/>
    <w:semiHidden/>
    <w:rsid w:val="00B52981"/>
    <w:pPr>
      <w:widowControl/>
      <w:autoSpaceDE/>
      <w:autoSpaceDN/>
    </w:pPr>
    <w:rPr>
      <w:rFonts w:ascii="Arial" w:eastAsia="Arial" w:hAnsi="Arial" w:cs="Arial"/>
    </w:rPr>
  </w:style>
  <w:style w:type="paragraph" w:styleId="Header">
    <w:name w:val="header"/>
    <w:basedOn w:val="Normal"/>
    <w:link w:val="HeaderChar"/>
    <w:uiPriority w:val="99"/>
    <w:unhideWhenUsed/>
    <w:rsid w:val="00981495"/>
    <w:pPr>
      <w:tabs>
        <w:tab w:val="center" w:pos="4680"/>
        <w:tab w:val="right" w:pos="9360"/>
      </w:tabs>
    </w:pPr>
  </w:style>
  <w:style w:type="character" w:customStyle="1" w:styleId="HeaderChar">
    <w:name w:val="Header Char"/>
    <w:basedOn w:val="DefaultParagraphFont"/>
    <w:link w:val="Header"/>
    <w:uiPriority w:val="99"/>
    <w:rsid w:val="00981495"/>
    <w:rPr>
      <w:rFonts w:ascii="Arial" w:eastAsia="Arial" w:hAnsi="Arial" w:cs="Arial"/>
    </w:rPr>
  </w:style>
  <w:style w:type="paragraph" w:styleId="Footer">
    <w:name w:val="footer"/>
    <w:basedOn w:val="Normal"/>
    <w:link w:val="FooterChar"/>
    <w:uiPriority w:val="99"/>
    <w:unhideWhenUsed/>
    <w:rsid w:val="00981495"/>
    <w:pPr>
      <w:tabs>
        <w:tab w:val="center" w:pos="4680"/>
        <w:tab w:val="right" w:pos="9360"/>
      </w:tabs>
    </w:pPr>
  </w:style>
  <w:style w:type="character" w:customStyle="1" w:styleId="FooterChar">
    <w:name w:val="Footer Char"/>
    <w:basedOn w:val="DefaultParagraphFont"/>
    <w:link w:val="Footer"/>
    <w:uiPriority w:val="99"/>
    <w:rsid w:val="00981495"/>
    <w:rPr>
      <w:rFonts w:ascii="Arial" w:eastAsia="Arial" w:hAnsi="Arial" w:cs="Arial"/>
    </w:rPr>
  </w:style>
  <w:style w:type="character" w:styleId="CommentReference">
    <w:name w:val="annotation reference"/>
    <w:basedOn w:val="DefaultParagraphFont"/>
    <w:uiPriority w:val="99"/>
    <w:semiHidden/>
    <w:unhideWhenUsed/>
    <w:rsid w:val="0098467D"/>
    <w:rPr>
      <w:sz w:val="16"/>
      <w:szCs w:val="16"/>
    </w:rPr>
  </w:style>
  <w:style w:type="paragraph" w:styleId="CommentText">
    <w:name w:val="annotation text"/>
    <w:basedOn w:val="Normal"/>
    <w:link w:val="CommentTextChar"/>
    <w:uiPriority w:val="99"/>
    <w:unhideWhenUsed/>
    <w:rsid w:val="0098467D"/>
    <w:rPr>
      <w:sz w:val="20"/>
      <w:szCs w:val="20"/>
    </w:rPr>
  </w:style>
  <w:style w:type="character" w:customStyle="1" w:styleId="CommentTextChar">
    <w:name w:val="Comment Text Char"/>
    <w:basedOn w:val="DefaultParagraphFont"/>
    <w:link w:val="CommentText"/>
    <w:uiPriority w:val="99"/>
    <w:rsid w:val="009846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8467D"/>
    <w:rPr>
      <w:b/>
      <w:bCs/>
    </w:rPr>
  </w:style>
  <w:style w:type="character" w:customStyle="1" w:styleId="CommentSubjectChar">
    <w:name w:val="Comment Subject Char"/>
    <w:basedOn w:val="CommentTextChar"/>
    <w:link w:val="CommentSubject"/>
    <w:uiPriority w:val="99"/>
    <w:semiHidden/>
    <w:rsid w:val="0098467D"/>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714328-8738-4CE6-A001-6886572C5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A31D97-7C6A-4F22-8CFE-2A3B5ED04D78}">
  <ds:schemaRefs>
    <ds:schemaRef ds:uri="http://schemas.microsoft.com/sharepoint/v3/contenttype/forms"/>
  </ds:schemaRefs>
</ds:datastoreItem>
</file>

<file path=customXml/itemProps3.xml><?xml version="1.0" encoding="utf-8"?>
<ds:datastoreItem xmlns:ds="http://schemas.openxmlformats.org/officeDocument/2006/customXml" ds:itemID="{F9097FB4-2F63-4A00-8949-493E251DBB1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28</TotalTime>
  <Pages>4</Pages>
  <Words>1202</Words>
  <Characters>6483</Characters>
  <Application>Microsoft Office Word</Application>
  <DocSecurity>0</DocSecurity>
  <Lines>177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 Nelson</dc:creator>
  <cp:lastModifiedBy>Lisa Fishman</cp:lastModifiedBy>
  <cp:revision>3</cp:revision>
  <dcterms:created xsi:type="dcterms:W3CDTF">2026-04-09T16:51:00Z</dcterms:created>
  <dcterms:modified xsi:type="dcterms:W3CDTF">2026-04-15T15:30:00Z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2022-08-03T00:00:00Z</vt:filetime>
  </property>
  <property fmtid="{D5CDD505-2E9C-101B-9397-08002B2CF9AE}" pid="3" name="Creator">
    <vt:lpwstr>PScript5.dll Version 5.2.2</vt:lpwstr>
  </property>
  <property fmtid="{D5CDD505-2E9C-101B-9397-08002B2CF9AE}" pid="4" name="LastSaved">
    <vt:filetime>2022-10-24T00:00:00Z</vt:filetime>
  </property>
  <property fmtid="{D5CDD505-2E9C-101B-9397-08002B2CF9AE}" pid="5" name="Producer">
    <vt:lpwstr>Acrobat Distiller 15.0 (Windows)</vt:lpwstr>
  </property>
</Properties>
</file>