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10.0 -->
  <w:body>
    <w:p w:rsidR="00116B90" w:rsidP="00116B90" w14:paraId="595DE06A" w14:textId="77777777">
      <w:pPr>
        <w:ind w:left="1440"/>
        <w:jc w:val="center"/>
        <w:rPr>
          <w:rFonts w:ascii="Times New Roman" w:eastAsia="Times New Roman" w:hAnsi="Times New Roman" w:cs="Times New Roman"/>
          <w:sz w:val="24"/>
          <w:szCs w:val="24"/>
        </w:rPr>
      </w:pPr>
    </w:p>
    <w:p w:rsidR="00116B90" w:rsidP="00116B90" w14:paraId="5178F4A6" w14:textId="77777777">
      <w:pPr>
        <w:ind w:left="1440"/>
        <w:jc w:val="center"/>
        <w:rPr>
          <w:rFonts w:ascii="Times New Roman" w:eastAsia="Times New Roman" w:hAnsi="Times New Roman" w:cs="Times New Roman"/>
          <w:sz w:val="24"/>
          <w:szCs w:val="24"/>
        </w:rPr>
      </w:pPr>
    </w:p>
    <w:p w:rsidR="00116B90" w:rsidP="00116B90" w14:paraId="6483CBC9" w14:textId="77777777">
      <w:pPr>
        <w:ind w:left="1440"/>
        <w:jc w:val="center"/>
        <w:rPr>
          <w:rFonts w:ascii="Times New Roman" w:eastAsia="Times New Roman" w:hAnsi="Times New Roman" w:cs="Times New Roman"/>
          <w:sz w:val="24"/>
          <w:szCs w:val="24"/>
        </w:rPr>
      </w:pPr>
    </w:p>
    <w:p w:rsidR="00116B90" w:rsidP="00116B90" w14:paraId="0D068A24" w14:textId="77777777">
      <w:pPr>
        <w:ind w:left="1440"/>
        <w:jc w:val="center"/>
        <w:rPr>
          <w:rFonts w:ascii="Times New Roman" w:eastAsia="Times New Roman" w:hAnsi="Times New Roman" w:cs="Times New Roman"/>
          <w:sz w:val="24"/>
          <w:szCs w:val="24"/>
        </w:rPr>
      </w:pPr>
    </w:p>
    <w:p w:rsidR="00116B90" w:rsidP="00116B90" w14:paraId="26C74E8D" w14:textId="77777777">
      <w:pPr>
        <w:ind w:left="1440"/>
        <w:jc w:val="center"/>
        <w:rPr>
          <w:rFonts w:ascii="Times New Roman" w:eastAsia="Times New Roman" w:hAnsi="Times New Roman" w:cs="Times New Roman"/>
          <w:sz w:val="24"/>
          <w:szCs w:val="24"/>
        </w:rPr>
      </w:pPr>
    </w:p>
    <w:p w:rsidR="00116B90" w:rsidP="00116B90" w14:paraId="45CADD63" w14:textId="77777777">
      <w:pPr>
        <w:ind w:left="1440"/>
        <w:jc w:val="center"/>
        <w:rPr>
          <w:rFonts w:ascii="Times New Roman" w:eastAsia="Times New Roman" w:hAnsi="Times New Roman" w:cs="Times New Roman"/>
          <w:sz w:val="24"/>
          <w:szCs w:val="24"/>
        </w:rPr>
      </w:pPr>
    </w:p>
    <w:p w:rsidR="00DE763A" w:rsidP="006E7423" w14:paraId="00000002" w14:textId="471D30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15, 2026</w:t>
      </w:r>
    </w:p>
    <w:p w:rsidR="00DE763A" w14:paraId="00000003" w14:textId="77777777">
      <w:pPr>
        <w:ind w:left="1440"/>
        <w:rPr>
          <w:rFonts w:ascii="Times New Roman" w:eastAsia="Times New Roman" w:hAnsi="Times New Roman" w:cs="Times New Roman"/>
          <w:sz w:val="24"/>
          <w:szCs w:val="24"/>
        </w:rPr>
      </w:pPr>
    </w:p>
    <w:p w:rsidR="00116B90" w14:paraId="44DF3966" w14:textId="4599CE95">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Memorandum to:     Mark Paolet</w:t>
      </w:r>
      <w:r w:rsidR="006E742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a </w:t>
      </w:r>
    </w:p>
    <w:p w:rsidR="00116B90" w:rsidP="00116B90" w14:paraId="2E5B03EA" w14:textId="654A9C4F">
      <w:pPr>
        <w:ind w:left="288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Performing the Duties of the Administrator</w:t>
      </w:r>
    </w:p>
    <w:p w:rsidR="00116B90" w14:paraId="1AF42083" w14:textId="22BDB84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Office of Information and Regulatory Affairs</w:t>
      </w:r>
    </w:p>
    <w:p w:rsidR="00116B90" w14:paraId="5337A9E5" w14:textId="197D94FA">
      <w:pPr>
        <w:ind w:left="1440"/>
        <w:rPr>
          <w:rFonts w:ascii="Times New Roman" w:eastAsia="Times New Roman" w:hAnsi="Times New Roman" w:cs="Times New Roman"/>
          <w:sz w:val="24"/>
          <w:szCs w:val="24"/>
        </w:rPr>
      </w:pPr>
    </w:p>
    <w:p w:rsidR="00116B90" w14:paraId="01C90C0C" w14:textId="209B6FC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Kevin R. Rhodes</w:t>
      </w:r>
    </w:p>
    <w:p w:rsidR="00116B90" w:rsidP="006E7423" w14:paraId="6CA74BDF" w14:textId="506A8DA1">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Administrator for Federal Procurement Policy</w:t>
      </w:r>
    </w:p>
    <w:p w:rsidR="006E7423" w:rsidP="006E7423" w14:paraId="22C82851" w14:textId="77777777">
      <w:pPr>
        <w:ind w:left="1440"/>
        <w:rPr>
          <w:rFonts w:ascii="Times New Roman" w:eastAsia="Times New Roman" w:hAnsi="Times New Roman" w:cs="Times New Roman"/>
          <w:sz w:val="24"/>
          <w:szCs w:val="24"/>
        </w:rPr>
      </w:pPr>
    </w:p>
    <w:p w:rsidR="00DE763A" w14:paraId="0000000C" w14:textId="6D5EC341">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Pursuant to </w:t>
      </w:r>
      <w:hyperlink r:id="rId5">
        <w:r>
          <w:rPr>
            <w:rFonts w:ascii="Times New Roman" w:eastAsia="Times New Roman" w:hAnsi="Times New Roman" w:cs="Times New Roman"/>
            <w:color w:val="1155CC"/>
            <w:sz w:val="24"/>
            <w:szCs w:val="24"/>
            <w:u w:val="single"/>
          </w:rPr>
          <w:t>5 CFR 1320.13</w:t>
        </w:r>
      </w:hyperlink>
      <w:r>
        <w:rPr>
          <w:rFonts w:ascii="Times New Roman" w:eastAsia="Times New Roman" w:hAnsi="Times New Roman" w:cs="Times New Roman"/>
          <w:sz w:val="24"/>
          <w:szCs w:val="24"/>
        </w:rPr>
        <w:t xml:space="preserve">, </w:t>
      </w:r>
      <w:r w:rsidRPr="00015C05" w:rsidR="00015C05">
        <w:rPr>
          <w:rFonts w:ascii="Times New Roman" w:eastAsia="Times New Roman" w:hAnsi="Times New Roman" w:cs="Times New Roman"/>
          <w:sz w:val="24"/>
          <w:szCs w:val="24"/>
        </w:rPr>
        <w:t>as Chair of the Federal Acquisition Regulatory Council (FAR Council) and on behalf of its members (i.e., the Office of Federal Procurement Policy (OFPP), Office of Management and Budget (OMB), the Department of Defense (DoD), General Services Administration (GSA), and National Aeronautics and Space Administration (NASA))</w:t>
      </w:r>
      <w:r w:rsidR="00015C05">
        <w:rPr>
          <w:rFonts w:ascii="Times New Roman" w:eastAsia="Times New Roman" w:hAnsi="Times New Roman" w:cs="Times New Roman"/>
          <w:sz w:val="24"/>
          <w:szCs w:val="24"/>
        </w:rPr>
        <w:t>,</w:t>
      </w:r>
      <w:r w:rsidRPr="00015C05" w:rsidR="00015C05">
        <w:rPr>
          <w:rFonts w:ascii="Times New Roman" w:eastAsia="Times New Roman" w:hAnsi="Times New Roman" w:cs="Times New Roman"/>
          <w:sz w:val="24"/>
          <w:szCs w:val="24"/>
        </w:rPr>
        <w:t xml:space="preserve"> </w:t>
      </w:r>
      <w:r w:rsidR="00015C05">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 xml:space="preserve">request </w:t>
      </w:r>
      <w:r>
        <w:rPr>
          <w:rFonts w:ascii="Times New Roman" w:eastAsia="Times New Roman" w:hAnsi="Times New Roman" w:cs="Times New Roman"/>
          <w:sz w:val="24"/>
          <w:szCs w:val="24"/>
        </w:rPr>
        <w:t>emergency processing under the Paperwork Red</w:t>
      </w:r>
      <w:r>
        <w:rPr>
          <w:rFonts w:ascii="Times New Roman" w:eastAsia="Times New Roman" w:hAnsi="Times New Roman" w:cs="Times New Roman"/>
          <w:sz w:val="24"/>
          <w:szCs w:val="24"/>
        </w:rPr>
        <w:t>uction Act of 1995 (PRA) of an information collection requirement (ICR) to collect information to support implementation of Executive Order (E.O.) 14398, Addressing DEI Discrimination by Federal Contractors (91 FR 16147, March 31, 2026). The FAR Council is</w:t>
      </w:r>
      <w:r>
        <w:rPr>
          <w:rFonts w:ascii="Times New Roman" w:eastAsia="Times New Roman" w:hAnsi="Times New Roman" w:cs="Times New Roman"/>
          <w:sz w:val="24"/>
          <w:szCs w:val="24"/>
        </w:rPr>
        <w:t xml:space="preserve"> implementing the requirements under a Federal Acquisition Regulation class deviation. </w:t>
      </w:r>
    </w:p>
    <w:p w:rsidR="00DE763A" w14:paraId="0000000D" w14:textId="77777777">
      <w:pPr>
        <w:ind w:left="1440" w:firstLine="1440"/>
        <w:rPr>
          <w:rFonts w:ascii="Times New Roman" w:eastAsia="Times New Roman" w:hAnsi="Times New Roman" w:cs="Times New Roman"/>
          <w:sz w:val="24"/>
          <w:szCs w:val="24"/>
        </w:rPr>
      </w:pPr>
    </w:p>
    <w:p w:rsidR="00DE763A" w14:paraId="0000000E" w14:textId="77777777">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E.O. 14398 prohibits contractors from engaging in any racially discriminatory diversity, equity, and inclusion (DEI) activities. Section 5 of E.O. 14398 directs the FA</w:t>
      </w:r>
      <w:r>
        <w:rPr>
          <w:rFonts w:ascii="Times New Roman" w:eastAsia="Times New Roman" w:hAnsi="Times New Roman" w:cs="Times New Roman"/>
          <w:sz w:val="24"/>
          <w:szCs w:val="24"/>
        </w:rPr>
        <w:t xml:space="preserve">R Council to issue a deviation regarding agency implementation of the contract clause provided in section 3 of the E.O.   </w:t>
      </w:r>
    </w:p>
    <w:p w:rsidR="00DE763A" w14:paraId="0000000F" w14:textId="77777777">
      <w:pPr>
        <w:ind w:left="1440" w:firstLine="720"/>
        <w:rPr>
          <w:rFonts w:ascii="Times New Roman" w:eastAsia="Times New Roman" w:hAnsi="Times New Roman" w:cs="Times New Roman"/>
          <w:sz w:val="24"/>
          <w:szCs w:val="24"/>
        </w:rPr>
      </w:pPr>
    </w:p>
    <w:p w:rsidR="00DE763A" w14:paraId="00000010" w14:textId="77777777">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with 5 CFR 1320.13, the FAR Council has determined the following conditions have been met:</w:t>
      </w:r>
    </w:p>
    <w:p w:rsidR="00DE763A" w14:paraId="00000011" w14:textId="77777777">
      <w:pPr>
        <w:ind w:left="1440" w:firstLine="1440"/>
        <w:rPr>
          <w:rFonts w:ascii="Times New Roman" w:eastAsia="Times New Roman" w:hAnsi="Times New Roman" w:cs="Times New Roman"/>
          <w:sz w:val="24"/>
          <w:szCs w:val="24"/>
        </w:rPr>
      </w:pPr>
    </w:p>
    <w:p w:rsidR="00DE763A" w14:paraId="00000012" w14:textId="77777777">
      <w:pPr>
        <w:ind w:left="144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a. The collection of informat</w:t>
      </w:r>
      <w:r>
        <w:rPr>
          <w:rFonts w:ascii="Times New Roman" w:eastAsia="Times New Roman" w:hAnsi="Times New Roman" w:cs="Times New Roman"/>
          <w:sz w:val="24"/>
          <w:szCs w:val="24"/>
        </w:rPr>
        <w:t>ion is needed prior to the expiration of time periods normally associated with a routine submission for review under the provisions of the PRA in accordance with the requirement in section 3 of the E.O., in which agencies must amend contracts to incorporat</w:t>
      </w:r>
      <w:r>
        <w:rPr>
          <w:rFonts w:ascii="Times New Roman" w:eastAsia="Times New Roman" w:hAnsi="Times New Roman" w:cs="Times New Roman"/>
          <w:sz w:val="24"/>
          <w:szCs w:val="24"/>
        </w:rPr>
        <w:t>e a clause within 30 days of the Order, and is essential to the mission of the agencies to ensure compliance with the E.O. (5 CFR 1320.13(a)(1)).</w:t>
      </w:r>
    </w:p>
    <w:p w:rsidR="00DE763A" w14:paraId="00000013" w14:textId="77777777">
      <w:pPr>
        <w:ind w:left="1440" w:firstLine="1440"/>
        <w:rPr>
          <w:rFonts w:ascii="Times New Roman" w:eastAsia="Times New Roman" w:hAnsi="Times New Roman" w:cs="Times New Roman"/>
          <w:sz w:val="24"/>
          <w:szCs w:val="24"/>
        </w:rPr>
      </w:pPr>
    </w:p>
    <w:p w:rsidR="00DE763A" w14:paraId="00000014" w14:textId="77777777">
      <w:pPr>
        <w:ind w:left="144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b. Delaying collection to comply with normal clearance procedures is likely to result in public harm (5 CFR 1</w:t>
      </w:r>
      <w:r>
        <w:rPr>
          <w:rFonts w:ascii="Times New Roman" w:eastAsia="Times New Roman" w:hAnsi="Times New Roman" w:cs="Times New Roman"/>
          <w:sz w:val="24"/>
          <w:szCs w:val="24"/>
        </w:rPr>
        <w:t>320.13(a)(2)).  E.O. 14398 explains the public harm in section 1:</w:t>
      </w:r>
    </w:p>
    <w:p w:rsidR="00DE763A" w14:paraId="00000015" w14:textId="77777777">
      <w:pPr>
        <w:ind w:left="1440" w:firstLine="1440"/>
        <w:rPr>
          <w:rFonts w:ascii="Times New Roman" w:eastAsia="Times New Roman" w:hAnsi="Times New Roman" w:cs="Times New Roman"/>
          <w:sz w:val="24"/>
          <w:szCs w:val="24"/>
        </w:rPr>
      </w:pPr>
    </w:p>
    <w:p w:rsidR="00DE763A" w14:paraId="00000016" w14:textId="77777777">
      <w:pPr>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Some entities continue to engage in DEI activities and often attempt to conceal their efforts to do so. DEI activities are not only unethical and often illegal, but also cause inefficiencie</w:t>
      </w:r>
      <w:r>
        <w:rPr>
          <w:rFonts w:ascii="Times New Roman" w:eastAsia="Times New Roman" w:hAnsi="Times New Roman" w:cs="Times New Roman"/>
          <w:sz w:val="24"/>
          <w:szCs w:val="24"/>
        </w:rPr>
        <w:t xml:space="preserve">s, waste, and abuse within entities that engage in such practices. Specifically, DEI activities impose artificial costs in hiring, promotion, and operations by precluding implementation of </w:t>
      </w:r>
      <w:r>
        <w:rPr>
          <w:rFonts w:ascii="Times New Roman" w:eastAsia="Times New Roman" w:hAnsi="Times New Roman" w:cs="Times New Roman"/>
          <w:sz w:val="24"/>
          <w:szCs w:val="24"/>
        </w:rPr>
        <w:t>merit-based principles; creating excessive workforce turnover by el</w:t>
      </w:r>
      <w:r>
        <w:rPr>
          <w:rFonts w:ascii="Times New Roman" w:eastAsia="Times New Roman" w:hAnsi="Times New Roman" w:cs="Times New Roman"/>
          <w:sz w:val="24"/>
          <w:szCs w:val="24"/>
        </w:rPr>
        <w:t>evating immutable characteristics over job performance; and jeopardizing the sort of employee collaboration and problem-solving that is essential to fostering efficient and high-quality work. DEI activities also create unnecessary costs by reducing the poo</w:t>
      </w:r>
      <w:r>
        <w:rPr>
          <w:rFonts w:ascii="Times New Roman" w:eastAsia="Times New Roman" w:hAnsi="Times New Roman" w:cs="Times New Roman"/>
          <w:sz w:val="24"/>
          <w:szCs w:val="24"/>
        </w:rPr>
        <w:t xml:space="preserve">l of available labor by artificially limiting companies to hiring or promoting certain individuals, suppliers, or intermediaries based on their race or ethnicity. </w:t>
      </w:r>
    </w:p>
    <w:p w:rsidR="00DE763A" w14:paraId="00000017" w14:textId="77777777">
      <w:pPr>
        <w:ind w:left="1440" w:firstLine="1440"/>
        <w:rPr>
          <w:rFonts w:ascii="Times New Roman" w:eastAsia="Times New Roman" w:hAnsi="Times New Roman" w:cs="Times New Roman"/>
          <w:sz w:val="24"/>
          <w:szCs w:val="24"/>
          <w:highlight w:val="yellow"/>
        </w:rPr>
      </w:pPr>
    </w:p>
    <w:p w:rsidR="00DE763A" w14:paraId="00000018" w14:textId="04947C4F">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view of the foregoing, the FAR Council requests emergency OMB approval for this ICR no later than April 17, 2026, to be effective immediately for the maximum period of 6 months (5 CFR 1320.13(b)). </w:t>
      </w:r>
    </w:p>
    <w:p w:rsidR="00DE763A" w14:paraId="00000019" w14:textId="77777777">
      <w:pPr>
        <w:ind w:left="1440" w:firstLine="1440"/>
        <w:rPr>
          <w:rFonts w:ascii="Times New Roman" w:eastAsia="Times New Roman" w:hAnsi="Times New Roman" w:cs="Times New Roman"/>
          <w:sz w:val="24"/>
          <w:szCs w:val="24"/>
        </w:rPr>
      </w:pPr>
    </w:p>
    <w:p w:rsidR="00DE763A" w14:paraId="0000001A" w14:textId="77777777">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FAR Council will take all practicable steps to con</w:t>
      </w:r>
      <w:r>
        <w:rPr>
          <w:rFonts w:ascii="Times New Roman" w:eastAsia="Times New Roman" w:hAnsi="Times New Roman" w:cs="Times New Roman"/>
          <w:sz w:val="24"/>
          <w:szCs w:val="24"/>
        </w:rPr>
        <w:t xml:space="preserve">sult with interested agencies and members of the public to minimize the burden of the collection of information, including responding to any comments received during the normal clearance process. Such steps will include preparing a Federal Register notice </w:t>
      </w:r>
      <w:r>
        <w:rPr>
          <w:rFonts w:ascii="Times New Roman" w:eastAsia="Times New Roman" w:hAnsi="Times New Roman" w:cs="Times New Roman"/>
          <w:sz w:val="24"/>
          <w:szCs w:val="24"/>
        </w:rPr>
        <w:t xml:space="preserve">in order to submit a permanent information collection requirement. The FAR Council will continue to engage with the public during a future rulemaking in order to minimize the burden of these efforts. </w:t>
      </w:r>
    </w:p>
    <w:p w:rsidR="00DE763A" w14:paraId="0000001B" w14:textId="77777777">
      <w:pPr>
        <w:ind w:left="1440" w:firstLine="1440"/>
        <w:rPr>
          <w:rFonts w:ascii="Times New Roman" w:eastAsia="Times New Roman" w:hAnsi="Times New Roman" w:cs="Times New Roman"/>
          <w:sz w:val="24"/>
          <w:szCs w:val="24"/>
        </w:rPr>
      </w:pPr>
    </w:p>
    <w:p w:rsidR="00DE763A" w14:paraId="0000001C" w14:textId="3610850A">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your assistance with this matter.  </w:t>
      </w:r>
    </w:p>
    <w:p w:rsidR="00DE763A" w14:paraId="0000001D" w14:textId="77777777">
      <w:pPr>
        <w:ind w:left="1440" w:firstLine="1440"/>
        <w:rPr>
          <w:rFonts w:ascii="Times New Roman" w:eastAsia="Times New Roman" w:hAnsi="Times New Roman" w:cs="Times New Roman"/>
          <w:sz w:val="24"/>
          <w:szCs w:val="24"/>
        </w:rPr>
      </w:pPr>
    </w:p>
    <w:p w:rsidR="00DE763A" w14:paraId="0000001E" w14:textId="77777777">
      <w:pPr>
        <w:ind w:left="1440" w:firstLine="1440"/>
        <w:rPr>
          <w:rFonts w:ascii="Times New Roman" w:eastAsia="Times New Roman" w:hAnsi="Times New Roman" w:cs="Times New Roman"/>
          <w:sz w:val="24"/>
          <w:szCs w:val="24"/>
        </w:rPr>
      </w:pPr>
    </w:p>
    <w:sectPr w:rsidSect="00116B90">
      <w:pgSz w:w="12240" w:h="15840"/>
      <w:pgMar w:top="187" w:right="1233" w:bottom="1091" w:left="35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029E775-ADDC-4009-9A7D-CD88A7222B2C}"/>
  </w:font>
  <w:font w:name="Calibri">
    <w:panose1 w:val="020F0502020204030204"/>
    <w:charset w:val="00"/>
    <w:family w:val="swiss"/>
    <w:pitch w:val="variable"/>
    <w:sig w:usb0="E4002EFF" w:usb1="C200247B" w:usb2="00000009" w:usb3="00000000" w:csb0="000001FF" w:csb1="00000000"/>
    <w:embedRegular r:id="rId2" w:fontKey="{CF3EB5E7-5406-4A62-8589-616E2FF56D87}"/>
  </w:font>
  <w:font w:name="Cambria">
    <w:panose1 w:val="02040503050406030204"/>
    <w:charset w:val="00"/>
    <w:family w:val="roman"/>
    <w:pitch w:val="variable"/>
    <w:sig w:usb0="E00006FF" w:usb1="420024FF" w:usb2="02000000" w:usb3="00000000" w:csb0="0000019F" w:csb1="00000000"/>
    <w:embedRegular r:id="rId3" w:fontKey="{CD153430-B62A-4D0F-9455-7C3F1F836C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63A"/>
    <w:rsid w:val="00015C05"/>
    <w:rsid w:val="00116B90"/>
    <w:rsid w:val="005A48F3"/>
    <w:rsid w:val="005D545C"/>
    <w:rsid w:val="006E7423"/>
    <w:rsid w:val="0078420D"/>
    <w:rsid w:val="00B309DB"/>
    <w:rsid w:val="00DE763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32B8029"/>
  <w15:docId w15:val="{944F8004-1C42-4B53-9D51-98846A39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015C05"/>
    <w:pPr>
      <w:spacing w:line="240" w:lineRule="auto"/>
    </w:pPr>
  </w:style>
  <w:style w:type="character" w:styleId="Hyperlink">
    <w:name w:val="Hyperlink"/>
    <w:basedOn w:val="DefaultParagraphFont"/>
    <w:uiPriority w:val="99"/>
    <w:unhideWhenUsed/>
    <w:rsid w:val="00015C05"/>
    <w:rPr>
      <w:color w:val="0000FF" w:themeColor="hyperlink"/>
      <w:u w:val="single"/>
    </w:rPr>
  </w:style>
  <w:style w:type="character" w:styleId="UnresolvedMention">
    <w:name w:val="Unresolved Mention"/>
    <w:basedOn w:val="DefaultParagraphFont"/>
    <w:uiPriority w:val="99"/>
    <w:semiHidden/>
    <w:unhideWhenUsed/>
    <w:rsid w:val="00015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ecfr.gov/current/title-5/chapter-III/subchapter-B/part-1320/section-1320.13" TargetMode="External"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QQ74npaDO/o3hYUlH9xc9m1/sw==">CgMxLjA4AHIhMVFxMVZuS250V296WmZJWm5xQjA3RVFLRFZNd1JSYm1T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Blum, Mathew C. EOP/OMB</cp:lastModifiedBy>
  <cp:revision>2</cp:revision>
  <dcterms:created xsi:type="dcterms:W3CDTF">2026-04-15T18:44:00Z</dcterms:created>
  <dcterms:modified xsi:type="dcterms:W3CDTF">2026-04-15T18:44:00Z</dcterms:modified>
</cp:coreProperties>
</file>