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C4252D" w14:paraId="00000001" w14:textId="77777777">
      <w:pPr>
        <w:pStyle w:val="Heading1"/>
        <w:spacing w:before="0"/>
        <w:ind w:left="0"/>
        <w:jc w:val="center"/>
      </w:pPr>
      <w:r>
        <w:t>SUPPORTING STATEMENT</w:t>
      </w:r>
    </w:p>
    <w:p w:rsidR="00C4252D" w14:paraId="00000002" w14:textId="77777777">
      <w:pPr>
        <w:ind w:firstLine="14"/>
        <w:jc w:val="center"/>
        <w:rPr>
          <w:b/>
          <w:bCs/>
        </w:rPr>
      </w:pPr>
      <w:r>
        <w:rPr>
          <w:b/>
          <w:bCs/>
        </w:rPr>
        <w:t>U.S. Department of Commerce</w:t>
      </w:r>
    </w:p>
    <w:p w:rsidR="00C4252D" w14:paraId="00000003" w14:textId="77777777">
      <w:pPr>
        <w:ind w:firstLine="14"/>
        <w:jc w:val="center"/>
        <w:rPr>
          <w:b/>
          <w:bCs/>
        </w:rPr>
      </w:pPr>
      <w:r>
        <w:rPr>
          <w:b/>
          <w:bCs/>
        </w:rPr>
        <w:t>National Oceanic &amp; Atmospheric Administration</w:t>
      </w:r>
    </w:p>
    <w:p w:rsidR="00C4252D" w14:paraId="00000004" w14:textId="77777777">
      <w:pPr>
        <w:widowControl/>
        <w:jc w:val="center"/>
        <w:rPr>
          <w:b/>
          <w:bCs/>
        </w:rPr>
      </w:pPr>
      <w:r>
        <w:rPr>
          <w:b/>
          <w:bCs/>
        </w:rPr>
        <w:t>Regional Coastal Observing Systems (RCOS)</w:t>
      </w:r>
    </w:p>
    <w:p w:rsidR="00C4252D" w14:paraId="00000005" w14:textId="77777777">
      <w:pPr>
        <w:ind w:hanging="6"/>
        <w:jc w:val="center"/>
        <w:rPr>
          <w:b/>
          <w:bCs/>
        </w:rPr>
      </w:pPr>
      <w:r>
        <w:rPr>
          <w:b/>
          <w:bCs/>
        </w:rPr>
        <w:t>OMB Control No. 0648-0672</w:t>
      </w:r>
    </w:p>
    <w:p w:rsidR="00C4252D" w14:paraId="00000006" w14:textId="77777777">
      <w:pPr>
        <w:spacing w:line="259" w:lineRule="auto"/>
        <w:ind w:hanging="6"/>
        <w:jc w:val="center"/>
        <w:rPr>
          <w:b/>
          <w:bCs/>
        </w:rPr>
      </w:pPr>
    </w:p>
    <w:p w:rsidR="00B312CC" w:rsidRPr="00B312CC" w14:paraId="05FC5D88" w14:textId="1F9365B2">
      <w:pPr>
        <w:pStyle w:val="Heading1"/>
        <w:spacing w:before="199"/>
        <w:ind w:left="0"/>
      </w:pPr>
      <w:r w:rsidRPr="00302F11">
        <w:rPr>
          <w:color w:val="000000"/>
        </w:rPr>
        <w:t>SUPPORTING STATEMENT PART A</w:t>
      </w:r>
    </w:p>
    <w:p w:rsidR="00C4252D" w14:paraId="00000007" w14:textId="31758F04">
      <w:pPr>
        <w:pStyle w:val="Heading1"/>
        <w:spacing w:before="199"/>
        <w:ind w:left="0"/>
      </w:pPr>
      <w:r>
        <w:t>Abstract</w:t>
      </w:r>
    </w:p>
    <w:p w:rsidR="00C4252D" w:rsidP="00302F11" w14:paraId="00000008" w14:textId="77777777">
      <w:pPr>
        <w:widowControl/>
        <w:spacing w:before="120"/>
      </w:pPr>
      <w:r>
        <w:t>This is a request for reinstatement of a previously approved information collection.</w:t>
      </w:r>
    </w:p>
    <w:p w:rsidR="00C4252D" w:rsidRPr="00302F11" w:rsidP="00302F11" w14:paraId="00000009" w14:textId="3E2FB5AA">
      <w:pPr>
        <w:widowControl/>
        <w:spacing w:before="120"/>
        <w:rPr>
          <w:highlight w:val="white"/>
        </w:rPr>
      </w:pPr>
      <w:bookmarkStart w:id="0" w:name="_Hlk226456204"/>
      <w:r w:rsidRPr="00BA1395">
        <w:t xml:space="preserve">The National Oceanic and Atmospheric Administration’s (NOAA’s) National Ocean Service (NOS) Integrated Ocean Observing System (IOOS) </w:t>
      </w:r>
      <w:r w:rsidRPr="00302F11">
        <w:t>i</w:t>
      </w:r>
      <w:r w:rsidRPr="00302F11">
        <w:rPr>
          <w:highlight w:val="white"/>
        </w:rPr>
        <w:t xml:space="preserve">s a national-regional partnership working to provide new tools and forecasts to improve safety, enhance the economy, and protect our environment. The Integrated Coastal and Ocean Observation System Act of 2009 </w:t>
      </w:r>
      <w:r w:rsidRPr="00302F11" w:rsidR="00B312CC">
        <w:rPr>
          <w:highlight w:val="white"/>
        </w:rPr>
        <w:t>(</w:t>
      </w:r>
      <w:r w:rsidRPr="00302F11">
        <w:rPr>
          <w:highlight w:val="white"/>
        </w:rPr>
        <w:t>ICOOS Act</w:t>
      </w:r>
      <w:r w:rsidRPr="00302F11" w:rsidR="00B312CC">
        <w:rPr>
          <w:highlight w:val="white"/>
        </w:rPr>
        <w:t>)</w:t>
      </w:r>
      <w:r w:rsidRPr="00302F11">
        <w:rPr>
          <w:highlight w:val="white"/>
        </w:rPr>
        <w:t>, as amended, directs NOAA, as the lead Federal agency for implementing and administering the</w:t>
      </w:r>
      <w:r w:rsidRPr="00302F11" w:rsidR="00944218">
        <w:rPr>
          <w:highlight w:val="white"/>
        </w:rPr>
        <w:t xml:space="preserve"> National Integrated Coastal and Ocean Observation System (</w:t>
      </w:r>
      <w:r w:rsidRPr="00302F11">
        <w:rPr>
          <w:highlight w:val="white"/>
        </w:rPr>
        <w:t>System</w:t>
      </w:r>
      <w:r w:rsidRPr="00302F11" w:rsidR="00944218">
        <w:rPr>
          <w:highlight w:val="white"/>
        </w:rPr>
        <w:t>)</w:t>
      </w:r>
      <w:r w:rsidRPr="00302F11">
        <w:rPr>
          <w:highlight w:val="white"/>
        </w:rPr>
        <w:t xml:space="preserve">, to “promulgate program guidelines to certify and integrate non-federal assets, including regional information coordination entities, into the System.” </w:t>
      </w:r>
    </w:p>
    <w:p w:rsidR="00C4252D" w:rsidRPr="00302F11" w:rsidP="00302F11" w14:paraId="0000000A" w14:textId="52293404">
      <w:pPr>
        <w:widowControl/>
        <w:spacing w:before="120"/>
        <w:rPr>
          <w:highlight w:val="white"/>
        </w:rPr>
      </w:pPr>
      <w:r w:rsidRPr="00302F11">
        <w:rPr>
          <w:highlight w:val="white"/>
        </w:rPr>
        <w:t xml:space="preserve">In response to the ICOOS Act mandate, NOAA developed program guidelines for the compliance procedures and requirements for certifying Regional Information Coordination Entities (RICEs), now known as Regional Coastal Observing Systems (RCOS), in a final rule RIN 0648-BC18. The program guidelines identify the process and requirements for certifying these RCOSs. Submission of an application for certification as a RCOS is voluntary, and there is no deadline for an entity to submit an application to be certified. </w:t>
      </w:r>
      <w:r w:rsidRPr="00BA1395" w:rsidR="00532EEF">
        <w:t xml:space="preserve">The organization's application is used to collect information required by IOOS's regulations in order for IOOS to certify the organization as an RCOS and integrate it into the System. </w:t>
      </w:r>
    </w:p>
    <w:p w:rsidR="00C4252D" w:rsidRPr="00302F11" w:rsidP="00302F11" w14:paraId="0000000B" w14:textId="33DFBFBE">
      <w:pPr>
        <w:widowControl/>
        <w:shd w:val="clear" w:color="auto" w:fill="FFFFFF"/>
        <w:spacing w:before="120"/>
        <w:rPr>
          <w:highlight w:val="white"/>
        </w:rPr>
      </w:pPr>
      <w:r w:rsidRPr="00302F11">
        <w:rPr>
          <w:highlight w:val="white"/>
        </w:rPr>
        <w:t>RCOSs operate regional observing networks throughout the</w:t>
      </w:r>
      <w:r w:rsidR="001D30A9">
        <w:rPr>
          <w:highlight w:val="white"/>
        </w:rPr>
        <w:t xml:space="preserve"> United States</w:t>
      </w:r>
      <w:r w:rsidRPr="00302F11">
        <w:rPr>
          <w:highlight w:val="white"/>
        </w:rPr>
        <w:t>, including the Pacific Islands and the Caribbean, and have implemented specific practices in regards to data collection, governance, and management. They must submit rigorous documentation of these practices to the IOOS offices for review and verification. This vetting process is thorough and requires a collaborative relationship between the organization and the IOOS Program staff. Once documentation is vetted and the organization is recognized as meeting NOAA standards, a Memorandum of Agreement is created, confirming the organization’s elevation to RCOS and certifying that their data can be used with the same quality assurance as federal data.</w:t>
      </w:r>
    </w:p>
    <w:p w:rsidR="00C4252D" w14:paraId="0000000C" w14:textId="77777777">
      <w:pPr>
        <w:pStyle w:val="Heading1"/>
        <w:spacing w:before="240"/>
        <w:ind w:left="0"/>
      </w:pPr>
      <w:r>
        <w:t>Justification</w:t>
      </w:r>
    </w:p>
    <w:bookmarkEnd w:id="0"/>
    <w:p w:rsidR="00C4252D" w14:paraId="0000000D" w14:textId="77777777">
      <w:pPr>
        <w:numPr>
          <w:ilvl w:val="0"/>
          <w:numId w:val="3"/>
        </w:numPr>
        <w:pBdr>
          <w:top w:val="nil"/>
          <w:left w:val="nil"/>
          <w:bottom w:val="nil"/>
          <w:right w:val="nil"/>
          <w:between w:val="nil"/>
        </w:pBdr>
        <w:tabs>
          <w:tab w:val="left" w:pos="360"/>
        </w:tabs>
        <w:spacing w:before="182" w:line="259" w:lineRule="auto"/>
        <w:ind w:left="0" w:firstLine="0"/>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C4252D" w:rsidP="00BA1395" w14:paraId="0000000E" w14:textId="0BC599AB">
      <w:pPr>
        <w:spacing w:before="120"/>
      </w:pPr>
      <w:r>
        <w:t>The</w:t>
      </w:r>
      <w:hyperlink r:id="rId7">
        <w:r>
          <w:t xml:space="preserve"> </w:t>
        </w:r>
      </w:hyperlink>
      <w:hyperlink r:id="rId8">
        <w:r>
          <w:rPr>
            <w:color w:val="1155CC"/>
            <w:u w:val="single"/>
          </w:rPr>
          <w:t>Integrated Coastal and Ocean Observation Syst</w:t>
        </w:r>
        <w:r>
          <w:rPr>
            <w:color w:val="1155CC"/>
            <w:u w:val="single"/>
          </w:rPr>
          <w:t>e</w:t>
        </w:r>
        <w:r>
          <w:rPr>
            <w:color w:val="1155CC"/>
            <w:u w:val="single"/>
          </w:rPr>
          <w:t>m Act of 2009</w:t>
        </w:r>
      </w:hyperlink>
      <w:r>
        <w:rPr>
          <w:rStyle w:val="FootnoteReference"/>
          <w:color w:val="1155CC"/>
          <w:u w:val="single"/>
        </w:rPr>
        <w:footnoteReference w:id="2"/>
      </w:r>
      <w:r>
        <w:rPr>
          <w:color w:val="1155CC"/>
          <w:u w:val="single"/>
        </w:rPr>
        <w:t xml:space="preserve"> </w:t>
      </w:r>
      <w:r>
        <w:t xml:space="preserve">(Public Law 111-11) (ICOOS Act), </w:t>
      </w:r>
      <w:r>
        <w:rPr>
          <w:color w:val="0A1626"/>
          <w:highlight w:val="white"/>
        </w:rPr>
        <w:t>as amended by Section 103 of the Coordinated Ocean Observations and Research Act of 2020 (COORA) (Public Law 116-271, Title I)</w:t>
      </w:r>
      <w:r w:rsidRPr="005F64CF" w:rsidR="005F64CF">
        <w:t xml:space="preserve"> (</w:t>
      </w:r>
      <w:hyperlink r:id="rId9" w:tgtFrame="_blank" w:history="1">
        <w:r w:rsidRPr="005F64CF" w:rsidR="005F64CF">
          <w:rPr>
            <w:color w:val="0000FF"/>
            <w:u w:val="single"/>
          </w:rPr>
          <w:t xml:space="preserve">33 </w:t>
        </w:r>
        <w:r w:rsidRPr="005F64CF" w:rsidR="005F64CF">
          <w:rPr>
            <w:color w:val="0000FF"/>
            <w:u w:val="single"/>
          </w:rPr>
          <w:t>U</w:t>
        </w:r>
        <w:r w:rsidRPr="005F64CF" w:rsidR="005F64CF">
          <w:rPr>
            <w:color w:val="0000FF"/>
            <w:u w:val="single"/>
          </w:rPr>
          <w:t>.S.C. 3</w:t>
        </w:r>
        <w:r w:rsidRPr="005F64CF" w:rsidR="005F64CF">
          <w:rPr>
            <w:color w:val="0000FF"/>
            <w:u w:val="single"/>
          </w:rPr>
          <w:t>6</w:t>
        </w:r>
        <w:r w:rsidRPr="005F64CF" w:rsidR="005F64CF">
          <w:rPr>
            <w:color w:val="0000FF"/>
            <w:u w:val="single"/>
          </w:rPr>
          <w:t>01-3610</w:t>
        </w:r>
      </w:hyperlink>
      <w:r>
        <w:rPr>
          <w:rStyle w:val="FootnoteReference"/>
          <w:color w:val="0000FF"/>
          <w:u w:val="single"/>
        </w:rPr>
        <w:footnoteReference w:id="3"/>
      </w:r>
      <w:r w:rsidRPr="005F64CF" w:rsidR="005F64CF">
        <w:t>)</w:t>
      </w:r>
      <w:r>
        <w:rPr>
          <w:color w:val="0A1626"/>
          <w:highlight w:val="white"/>
        </w:rPr>
        <w:t>,</w:t>
      </w:r>
      <w:r>
        <w:t xml:space="preserve"> directed the </w:t>
      </w:r>
      <w:r>
        <w:t xml:space="preserve">President, acting through the National Ocean Research Leadership Council, to establish a National Integrated Coastal and Ocean Observation System (System). </w:t>
      </w:r>
      <w:hyperlink r:id="rId10" w:tgtFrame="_blank" w:history="1">
        <w:r w:rsidRPr="005F64CF" w:rsidR="005F64CF">
          <w:rPr>
            <w:color w:val="0000FF"/>
            <w:u w:val="single"/>
          </w:rPr>
          <w:t>33 U.S.C. 3603(a)</w:t>
        </w:r>
      </w:hyperlink>
      <w:r w:rsidRPr="005F64CF" w:rsidR="005F64CF">
        <w:t xml:space="preserve">. </w:t>
      </w:r>
      <w:r>
        <w:t>The ICOOS Act directs NOAA, as the lead Federal agency for implementing and administering the System, to “promulgate program guidelines</w:t>
      </w:r>
      <w:r w:rsidR="005F64CF">
        <w:t>--</w:t>
      </w:r>
      <w:r>
        <w:t xml:space="preserve"> to certify and integrate regional </w:t>
      </w:r>
      <w:r w:rsidR="005F64CF">
        <w:t>associations</w:t>
      </w:r>
      <w:r>
        <w:t xml:space="preserve"> into the System.” </w:t>
      </w:r>
      <w:hyperlink r:id="rId10" w:tgtFrame="_blank" w:history="1">
        <w:r w:rsidRPr="005F64CF" w:rsidR="005F64CF">
          <w:rPr>
            <w:color w:val="0000FF"/>
            <w:u w:val="single"/>
          </w:rPr>
          <w:t>33 U.S.C. 3603(c)(3)(C)</w:t>
        </w:r>
      </w:hyperlink>
      <w:r w:rsidR="005F64CF">
        <w:t>.</w:t>
      </w:r>
      <w:r w:rsidR="00B312CC">
        <w:t xml:space="preserve"> </w:t>
      </w:r>
      <w:r>
        <w:t xml:space="preserve">These </w:t>
      </w:r>
      <w:r>
        <w:rPr>
          <w:color w:val="0A1626"/>
          <w:highlight w:val="white"/>
        </w:rPr>
        <w:t>Regional Coastal Observing Systems (RCOS)</w:t>
      </w:r>
      <w:r>
        <w:t xml:space="preserve"> are organizations that coordinate regional observing efforts; managing and operating observing assets, managing and distributing data, and engaging user groups in product development.</w:t>
      </w:r>
    </w:p>
    <w:p w:rsidR="00C4252D" w:rsidP="00302F11" w14:paraId="0000000F" w14:textId="475905B7">
      <w:pPr>
        <w:spacing w:before="120"/>
      </w:pPr>
      <w:r>
        <w:t xml:space="preserve">In response to the ICOOS Act mandate, NOAA developed program guidelines for the compliance procedures and requirements for certifying RCOSs in a Final Rule RIN 0648-BC18.  </w:t>
      </w:r>
      <w:hyperlink r:id="rId11" w:tgtFrame="_blank" w:history="1">
        <w:r w:rsidRPr="00C44433" w:rsidR="00C44433">
          <w:rPr>
            <w:color w:val="0000FF"/>
            <w:u w:val="single"/>
          </w:rPr>
          <w:t>15 CFR 997.1-</w:t>
        </w:r>
        <w:r w:rsidRPr="00C44433" w:rsidR="00C44433">
          <w:rPr>
            <w:color w:val="0000FF"/>
            <w:u w:val="single"/>
          </w:rPr>
          <w:t>9</w:t>
        </w:r>
        <w:r w:rsidRPr="00C44433" w:rsidR="00C44433">
          <w:rPr>
            <w:color w:val="0000FF"/>
            <w:u w:val="single"/>
          </w:rPr>
          <w:t>97.26</w:t>
        </w:r>
      </w:hyperlink>
      <w:r>
        <w:rPr>
          <w:rStyle w:val="FootnoteReference"/>
          <w:color w:val="0000FF"/>
          <w:u w:val="single"/>
        </w:rPr>
        <w:footnoteReference w:id="4"/>
      </w:r>
      <w:r w:rsidRPr="00C44433" w:rsidR="00C44433">
        <w:t>.</w:t>
      </w:r>
      <w:r w:rsidR="00C44433">
        <w:t xml:space="preserve"> </w:t>
      </w:r>
      <w:r>
        <w:t xml:space="preserve">The program guidelines identify the process and requirements for certifying these RCOSs. Submission of an application for certification as a RCOS is voluntary, and there is no deadline for an entity to submit an application to be certified. When certified, RCOSs are integrated into the System and for the purposes of determining liability arising from the dissemination and use of observation data shall be considered part of NOAA, and with respect to tort liability, designated employees of the RCOS will be deemed to be an employee of the Federal Government.  </w:t>
      </w:r>
    </w:p>
    <w:p w:rsidR="00C4252D" w:rsidP="00B312CC" w14:paraId="00000010" w14:textId="49A50E8B">
      <w:pPr>
        <w:spacing w:before="120"/>
      </w:pPr>
      <w:r>
        <w:t xml:space="preserve">The program guidelines require that </w:t>
      </w:r>
      <w:r w:rsidR="008F5CAB">
        <w:t xml:space="preserve">supporting information </w:t>
      </w:r>
      <w:r>
        <w:t xml:space="preserve">be provided to NOAA to demonstrate that the RCOS has met the certification requirements. NOAA must be able to ensure that the RCOS has the organizational structure and operational procedures in place to extend the civil liability provision to these entities. If a RCOS wants to be incorporated into the System, and receive the liability protection the Act authorizes, they must document </w:t>
      </w:r>
      <w:r w:rsidR="008F5CAB">
        <w:t xml:space="preserve">how </w:t>
      </w:r>
      <w:r>
        <w:t xml:space="preserve">their data collection and management practices meet the standards set out in </w:t>
      </w:r>
      <w:r w:rsidR="008F5CAB">
        <w:t>the program guidelines</w:t>
      </w:r>
      <w:r>
        <w:t>.</w:t>
      </w:r>
    </w:p>
    <w:p w:rsidR="00C4252D" w:rsidP="00302F11" w14:paraId="00000011" w14:textId="2F03F58B">
      <w:pPr>
        <w:spacing w:before="120"/>
      </w:pPr>
      <w:r>
        <w:t xml:space="preserve">It is expected that the </w:t>
      </w:r>
      <w:r w:rsidR="00B312CC">
        <w:t xml:space="preserve">11 </w:t>
      </w:r>
      <w:r>
        <w:t xml:space="preserve">entities that currently coordinate the regional ocean and coastal observing system efforts of the U.S. Integrated Ocean Observing System (IOOS) will pursue </w:t>
      </w:r>
      <w:r w:rsidR="00D8571B">
        <w:t>re-</w:t>
      </w:r>
      <w:r>
        <w:t xml:space="preserve">certification as a RCOS. These </w:t>
      </w:r>
      <w:r w:rsidR="00B312CC">
        <w:t>11</w:t>
      </w:r>
      <w:r>
        <w:t xml:space="preserve"> entities have cooperative agreements with NOAA IOOS to coordinate and manage U.S. IOOS efforts at the regional level. Some information that is provided to NOAA IOOS as part of these cooperative agreements (e.g.</w:t>
      </w:r>
      <w:r w:rsidR="00B312CC">
        <w:t>,</w:t>
      </w:r>
      <w:r>
        <w:t xml:space="preserve"> annual budgets, Principal Investigator resumes, and work priorities) will also serve as evidence for the purposes of certification.</w:t>
      </w:r>
    </w:p>
    <w:p w:rsidR="00C4252D" w14:paraId="00000012" w14:textId="77777777">
      <w:pPr>
        <w:pStyle w:val="Heading1"/>
        <w:numPr>
          <w:ilvl w:val="0"/>
          <w:numId w:val="3"/>
        </w:numPr>
        <w:tabs>
          <w:tab w:val="left" w:pos="360"/>
        </w:tabs>
        <w:spacing w:before="240"/>
        <w:ind w:left="0" w:firstLine="0"/>
      </w:pPr>
      <w:r>
        <w:t>Indicate how, by whom, and for what purpose the information is to be used. Except for a new collection, indicate the actual use the agency has made of the information received from the current collection.</w:t>
      </w:r>
    </w:p>
    <w:p w:rsidR="00C4252D" w:rsidP="00BA1395" w14:paraId="00000013" w14:textId="45EF9A6E">
      <w:pPr>
        <w:tabs>
          <w:tab w:val="left" w:pos="360"/>
        </w:tabs>
        <w:spacing w:before="120"/>
      </w:pPr>
      <w:r>
        <w:t xml:space="preserve">The information provided by an RCOS applying for certification will be used by NOAA IOOS staff to determine if the RCOS has successfully met the requirements to be certified as outlined in the program guidelines. </w:t>
      </w:r>
      <w:r w:rsidR="009C15C0">
        <w:t>15 CFR 997.20-997.26.</w:t>
      </w:r>
      <w:r>
        <w:t xml:space="preserve"> A RCOS will be asked to either document or describe how they meet the governance and management criteria necessary to coordinate non‐federal assets in order to fulfill the purposes of the ICOOS Act. There are no questions as part of the certification process, only requests to provide either a description of an existing process or procedure or documentation of an existing document (see below) that provides evidence that the RCOS has successfully demonstrated that they are in compliance with the certification requirement.</w:t>
      </w:r>
      <w:r w:rsidR="00211FB1">
        <w:t xml:space="preserve"> Responses will be submitted electronically. </w:t>
      </w:r>
    </w:p>
    <w:p w:rsidR="00C4252D" w:rsidP="00302F11" w14:paraId="00000014" w14:textId="77777777">
      <w:pPr>
        <w:tabs>
          <w:tab w:val="left" w:pos="360"/>
        </w:tabs>
        <w:spacing w:before="120"/>
      </w:pPr>
      <w:r>
        <w:t xml:space="preserve">The program guidelines specifically require information on the following from each RCOS </w:t>
      </w:r>
      <w:r>
        <w:t>pursuing certification:</w:t>
      </w:r>
    </w:p>
    <w:p w:rsidR="00C4252D" w:rsidP="00302F11" w14:paraId="00000015" w14:textId="686EF403">
      <w:pPr>
        <w:numPr>
          <w:ilvl w:val="0"/>
          <w:numId w:val="2"/>
        </w:numPr>
        <w:tabs>
          <w:tab w:val="left" w:pos="360"/>
        </w:tabs>
        <w:spacing w:before="120"/>
      </w:pPr>
      <w:r>
        <w:t>Organizational Structure</w:t>
      </w:r>
      <w:r w:rsidR="00B7732A">
        <w:t xml:space="preserve"> </w:t>
      </w:r>
      <w:bookmarkStart w:id="1" w:name="_Hlk226376543"/>
      <w:r w:rsidR="00B7732A">
        <w:t>(15 CFR 997.21)</w:t>
      </w:r>
      <w:bookmarkEnd w:id="1"/>
    </w:p>
    <w:p w:rsidR="00C4252D" w:rsidP="00302F11" w14:paraId="00000016" w14:textId="54111045">
      <w:pPr>
        <w:numPr>
          <w:ilvl w:val="1"/>
          <w:numId w:val="2"/>
        </w:numPr>
        <w:tabs>
          <w:tab w:val="left" w:pos="360"/>
        </w:tabs>
      </w:pPr>
      <w:r>
        <w:t>Membership Policy</w:t>
      </w:r>
      <w:r w:rsidR="00B7732A">
        <w:t xml:space="preserve"> (15 CFR 997.22)</w:t>
      </w:r>
    </w:p>
    <w:p w:rsidR="00C4252D" w:rsidP="00302F11" w14:paraId="00000017" w14:textId="3D6AF0ED">
      <w:pPr>
        <w:numPr>
          <w:ilvl w:val="0"/>
          <w:numId w:val="2"/>
        </w:numPr>
        <w:tabs>
          <w:tab w:val="left" w:pos="360"/>
        </w:tabs>
      </w:pPr>
      <w:r>
        <w:t>Strategic Operational Plan</w:t>
      </w:r>
      <w:r w:rsidR="00B7732A">
        <w:t xml:space="preserve"> (15 CFR 997.23)</w:t>
      </w:r>
    </w:p>
    <w:p w:rsidR="00C4252D" w:rsidP="00302F11" w14:paraId="00000018" w14:textId="77777777">
      <w:pPr>
        <w:numPr>
          <w:ilvl w:val="1"/>
          <w:numId w:val="2"/>
        </w:numPr>
        <w:tabs>
          <w:tab w:val="left" w:pos="360"/>
        </w:tabs>
      </w:pPr>
      <w:r>
        <w:t>Background and Context</w:t>
      </w:r>
    </w:p>
    <w:p w:rsidR="00C4252D" w:rsidP="00302F11" w14:paraId="00000019" w14:textId="77777777">
      <w:pPr>
        <w:numPr>
          <w:ilvl w:val="1"/>
          <w:numId w:val="2"/>
        </w:numPr>
        <w:tabs>
          <w:tab w:val="left" w:pos="360"/>
        </w:tabs>
      </w:pPr>
      <w:r>
        <w:t>Goals and Objectives</w:t>
      </w:r>
    </w:p>
    <w:p w:rsidR="00C4252D" w:rsidP="00302F11" w14:paraId="0000001A" w14:textId="77777777">
      <w:pPr>
        <w:numPr>
          <w:ilvl w:val="1"/>
          <w:numId w:val="2"/>
        </w:numPr>
        <w:tabs>
          <w:tab w:val="left" w:pos="360"/>
        </w:tabs>
      </w:pPr>
      <w:r>
        <w:t>Operational Plan for the Observing System</w:t>
      </w:r>
    </w:p>
    <w:p w:rsidR="00C4252D" w:rsidP="00302F11" w14:paraId="0000001B" w14:textId="77777777">
      <w:pPr>
        <w:numPr>
          <w:ilvl w:val="1"/>
          <w:numId w:val="2"/>
        </w:numPr>
        <w:tabs>
          <w:tab w:val="left" w:pos="360"/>
        </w:tabs>
      </w:pPr>
      <w:r>
        <w:t>Development of a Strategy to Sustain and Enhance the System</w:t>
      </w:r>
    </w:p>
    <w:p w:rsidR="00C4252D" w:rsidP="00302F11" w14:paraId="0000001C" w14:textId="77777777">
      <w:pPr>
        <w:numPr>
          <w:ilvl w:val="1"/>
          <w:numId w:val="2"/>
        </w:numPr>
        <w:tabs>
          <w:tab w:val="left" w:pos="360"/>
        </w:tabs>
      </w:pPr>
      <w:r>
        <w:t>Data Management and Communications (DMAC) Plan</w:t>
      </w:r>
    </w:p>
    <w:p w:rsidR="00C4252D" w:rsidP="00302F11" w14:paraId="0000001D" w14:textId="77777777">
      <w:pPr>
        <w:numPr>
          <w:ilvl w:val="1"/>
          <w:numId w:val="2"/>
        </w:numPr>
        <w:tabs>
          <w:tab w:val="left" w:pos="360"/>
        </w:tabs>
      </w:pPr>
      <w:r>
        <w:t>Budget Plan</w:t>
      </w:r>
    </w:p>
    <w:p w:rsidR="00C4252D" w:rsidP="00302F11" w14:paraId="0000001E" w14:textId="4E079EF5">
      <w:pPr>
        <w:numPr>
          <w:ilvl w:val="0"/>
          <w:numId w:val="2"/>
        </w:numPr>
        <w:tabs>
          <w:tab w:val="left" w:pos="360"/>
        </w:tabs>
      </w:pPr>
      <w:r>
        <w:t>Gaps Identification</w:t>
      </w:r>
      <w:r w:rsidR="00B7732A">
        <w:t xml:space="preserve"> (15 CFR 997.24)</w:t>
      </w:r>
    </w:p>
    <w:p w:rsidR="00C4252D" w:rsidP="00302F11" w14:paraId="0000001F" w14:textId="5A0FE9A2">
      <w:pPr>
        <w:numPr>
          <w:ilvl w:val="0"/>
          <w:numId w:val="2"/>
        </w:numPr>
        <w:tabs>
          <w:tab w:val="left" w:pos="360"/>
        </w:tabs>
      </w:pPr>
      <w:r>
        <w:t>Financial Oversight</w:t>
      </w:r>
      <w:r w:rsidR="00B7732A">
        <w:t xml:space="preserve"> (15 CFR 997.25)</w:t>
      </w:r>
    </w:p>
    <w:p w:rsidR="00C4252D" w:rsidP="00302F11" w14:paraId="00000020" w14:textId="77777777">
      <w:pPr>
        <w:tabs>
          <w:tab w:val="left" w:pos="360"/>
        </w:tabs>
        <w:spacing w:before="120"/>
      </w:pPr>
      <w:r>
        <w:t xml:space="preserve">The information that is submitted by the RCOS will be reviewed by NOAA IOOS staff to determine compliance with the detailed requirements of the program guidelines for each of these sections. </w:t>
      </w:r>
    </w:p>
    <w:p w:rsidR="00C4252D" w:rsidP="00302F11" w14:paraId="00000021" w14:textId="688D6FB5">
      <w:pPr>
        <w:tabs>
          <w:tab w:val="left" w:pos="360"/>
        </w:tabs>
        <w:spacing w:before="120"/>
      </w:pPr>
      <w:r>
        <w:t>Certification is for a term of five years</w:t>
      </w:r>
      <w:r w:rsidR="00B312CC">
        <w:t>;</w:t>
      </w:r>
      <w:r>
        <w:t xml:space="preserve"> after five years, the RCOS may request renewal of certification by resubmitting the application form, updating it as needed. Should an RCOS desire to remain certified, it will have to go through the application process every five years.</w:t>
      </w:r>
    </w:p>
    <w:p w:rsidR="00C4252D" w14:paraId="00000022"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C4252D" w14:paraId="00000023" w14:textId="52E9E311">
      <w:pPr>
        <w:spacing w:before="120"/>
      </w:pPr>
      <w:r>
        <w:t xml:space="preserve">The application form requesting approval as a certified RCOS is a fillable and printable pdf form that is available for download (along with related instructions) from the U.S. IOOS website at </w:t>
      </w:r>
      <w:hyperlink r:id="rId12" w:history="1">
        <w:r w:rsidRPr="00472AA9">
          <w:rPr>
            <w:rStyle w:val="Hyperlink"/>
          </w:rPr>
          <w:t>ioos.noaa.gov/certification</w:t>
        </w:r>
      </w:hyperlink>
      <w:r>
        <w:rPr>
          <w:rStyle w:val="FootnoteReference"/>
        </w:rPr>
        <w:footnoteReference w:id="5"/>
      </w:r>
      <w:r>
        <w:t>. The form includes text boxes for responses describing or demonstrating how the applicant meets each of the certification requirements. The form may be signed electronically and it and all supporting documentation are expected to be emailed.</w:t>
      </w:r>
    </w:p>
    <w:p w:rsidR="00C4252D" w14:paraId="00000024"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C4252D" w14:paraId="00000025" w14:textId="3AC19C8D">
      <w:pPr>
        <w:pBdr>
          <w:top w:val="nil"/>
          <w:left w:val="nil"/>
          <w:bottom w:val="nil"/>
          <w:right w:val="nil"/>
          <w:between w:val="nil"/>
        </w:pBdr>
        <w:spacing w:before="120"/>
      </w:pPr>
      <w:r>
        <w:t>There are no duplications in the information request; the program guidelines for the certification of RCOSs are unique requirements. The program guidelines allow the RCOS to take advantage of existing information that was provided to NOAA through their cooperative agreements</w:t>
      </w:r>
      <w:r w:rsidR="00A87087">
        <w:t xml:space="preserve">. To avoid duplication, </w:t>
      </w:r>
      <w:r w:rsidRPr="00A87087" w:rsidR="00A87087">
        <w:t>applicant</w:t>
      </w:r>
      <w:r w:rsidR="00A87087">
        <w:t>s are asked</w:t>
      </w:r>
      <w:r w:rsidRPr="00A87087" w:rsidR="00A87087">
        <w:t xml:space="preserve"> to </w:t>
      </w:r>
      <w:r w:rsidR="00A87087">
        <w:t>reference</w:t>
      </w:r>
      <w:r w:rsidRPr="00A87087" w:rsidR="00A87087">
        <w:t xml:space="preserve"> </w:t>
      </w:r>
      <w:r w:rsidR="00A87087">
        <w:t>requirements</w:t>
      </w:r>
      <w:r w:rsidRPr="00A87087" w:rsidR="00A87087">
        <w:t xml:space="preserve"> and certain elements in</w:t>
      </w:r>
      <w:r w:rsidR="00A87087">
        <w:t xml:space="preserve"> existing RCOS</w:t>
      </w:r>
      <w:r w:rsidRPr="00A87087" w:rsidR="00A87087">
        <w:t xml:space="preserve"> document</w:t>
      </w:r>
      <w:r w:rsidR="00A87087">
        <w:t>s</w:t>
      </w:r>
      <w:r>
        <w:t xml:space="preserve">. </w:t>
      </w:r>
    </w:p>
    <w:p w:rsidR="00C4252D" w14:paraId="00000026"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If the collection of information impacts small businesses or other small entities, describe any methods used to minimize burden.</w:t>
      </w:r>
    </w:p>
    <w:p w:rsidR="00C4252D" w14:paraId="00000027" w14:textId="776027EA">
      <w:pPr>
        <w:spacing w:before="120"/>
      </w:pPr>
      <w:r>
        <w:t>The information collection will not have a significant impact on a substantial number of small entities. Respondents will be not-for-profit organizations or consortiums established by Memorandum of Agreement</w:t>
      </w:r>
      <w:r w:rsidR="00BA1395">
        <w:t xml:space="preserve"> </w:t>
      </w:r>
      <w:r>
        <w:t>that represent academic, private, governmental, tribal, and non-</w:t>
      </w:r>
      <w:r>
        <w:t>governmental sectors. The minimum amount of information necessary to determine compliance with the certification requirements are requested in this information collection.</w:t>
      </w:r>
    </w:p>
    <w:p w:rsidR="00C4252D" w14:paraId="00000028"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C4252D" w14:paraId="00000029" w14:textId="02FBE069">
      <w:pPr>
        <w:spacing w:before="120"/>
      </w:pPr>
      <w:r>
        <w:t>The ICOOS Act directs NOAA, as the lead Federal agency for implementing and administering the System, to “promulgate program guidelines</w:t>
      </w:r>
      <w:r w:rsidR="00211FB1">
        <w:t xml:space="preserve"> - </w:t>
      </w:r>
      <w:r>
        <w:t xml:space="preserve">to certify and integrate </w:t>
      </w:r>
      <w:r w:rsidR="005D5447">
        <w:t>regional associations</w:t>
      </w:r>
      <w:r>
        <w:t xml:space="preserve"> into the System.” Failure to collect the necessary information from the applicants will make it impossible to determine if they are in compliance with the requirements of certification, as the ICOOS Act requires. Since certification lasts for five years, failure to collect this information at a five</w:t>
      </w:r>
      <w:r w:rsidR="00BA1395">
        <w:t>-</w:t>
      </w:r>
      <w:r>
        <w:t>year interval will result in NOAA not having the relevant information necessary to make a decision on whether to recertify an RCOS.</w:t>
      </w:r>
      <w:r w:rsidR="0048716F">
        <w:t xml:space="preserve"> Beyond the legislative requirement of the ICOOS Act, if the Regional Associations were not certified because this collection could not be conducted, NOAA would not be able to ensure that the regional data is consistent with federal standards or archive the data with </w:t>
      </w:r>
      <w:r w:rsidR="00FC3811">
        <w:t>the National Centers for Environmental Information (</w:t>
      </w:r>
      <w:r w:rsidR="0048716F">
        <w:t>NCEI</w:t>
      </w:r>
      <w:r w:rsidR="00FC3811">
        <w:t>)</w:t>
      </w:r>
      <w:r w:rsidR="0048716F">
        <w:t xml:space="preserve">. Regional Associations would also lose the federal tort liability protection, </w:t>
      </w:r>
      <w:r w:rsidR="00BA1395">
        <w:t xml:space="preserve">which could </w:t>
      </w:r>
      <w:r w:rsidR="0048716F">
        <w:t>severely limit</w:t>
      </w:r>
      <w:r w:rsidR="005A3196">
        <w:t xml:space="preserve"> their willingness to acquire and share</w:t>
      </w:r>
      <w:r w:rsidR="0048716F">
        <w:t xml:space="preserve"> their data</w:t>
      </w:r>
      <w:r w:rsidR="00E479C6">
        <w:t xml:space="preserve">, </w:t>
      </w:r>
      <w:r w:rsidR="00BA1395">
        <w:t>which would result in</w:t>
      </w:r>
      <w:r w:rsidR="00E479C6">
        <w:t xml:space="preserve"> less data be</w:t>
      </w:r>
      <w:r w:rsidR="00FC3811">
        <w:t>ing</w:t>
      </w:r>
      <w:r w:rsidR="00E479C6">
        <w:t xml:space="preserve"> available for NOAA’s use</w:t>
      </w:r>
      <w:r w:rsidR="0048716F">
        <w:t xml:space="preserve">. </w:t>
      </w:r>
    </w:p>
    <w:p w:rsidR="00C4252D" w14:paraId="0000002A"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Explain any special circumstances that would cause an information collection to be conducted in a manner inconsistent with OMB guidelines.</w:t>
      </w:r>
    </w:p>
    <w:p w:rsidR="00C4252D" w14:paraId="0000002B" w14:textId="74F98ABD">
      <w:pPr>
        <w:pBdr>
          <w:top w:val="nil"/>
          <w:left w:val="nil"/>
          <w:bottom w:val="nil"/>
          <w:right w:val="nil"/>
          <w:between w:val="nil"/>
        </w:pBdr>
        <w:spacing w:before="120" w:line="276" w:lineRule="auto"/>
      </w:pPr>
      <w:r>
        <w:t>This collection of information will be conducted in a manner consistent with OMB guidelines</w:t>
      </w:r>
      <w:r w:rsidR="00BA1395">
        <w:t>, specifically:</w:t>
      </w:r>
    </w:p>
    <w:p w:rsidR="005D5447" w:rsidRPr="00302F11" w:rsidP="005D5447" w14:paraId="2A373F75" w14:textId="33628462">
      <w:pPr>
        <w:numPr>
          <w:ilvl w:val="0"/>
          <w:numId w:val="5"/>
        </w:numPr>
        <w:spacing w:before="120"/>
        <w:ind w:left="720"/>
      </w:pPr>
      <w:r>
        <w:t>R</w:t>
      </w:r>
      <w:r w:rsidRPr="00302F11">
        <w:t xml:space="preserve">equiring respondents to report information to the agency more often than quarterly – Certification lasts for </w:t>
      </w:r>
      <w:r>
        <w:t>five</w:t>
      </w:r>
      <w:r w:rsidRPr="00302F11">
        <w:t xml:space="preserve"> </w:t>
      </w:r>
      <w:r w:rsidRPr="00302F11" w:rsidR="00472AA9">
        <w:t>years;</w:t>
      </w:r>
      <w:r w:rsidRPr="00302F11">
        <w:t xml:space="preserve"> </w:t>
      </w:r>
      <w:r w:rsidRPr="00302F11" w:rsidR="00472AA9">
        <w:t>therefore,</w:t>
      </w:r>
      <w:r w:rsidRPr="00302F11">
        <w:t xml:space="preserve"> respondents would only need to reapply once every </w:t>
      </w:r>
      <w:r>
        <w:t>five</w:t>
      </w:r>
      <w:r w:rsidRPr="00302F11">
        <w:t xml:space="preserve"> years. </w:t>
      </w:r>
    </w:p>
    <w:p w:rsidR="005D5447" w:rsidRPr="00302F11" w:rsidP="005D5447" w14:paraId="248A323D" w14:textId="5FA4465C">
      <w:pPr>
        <w:numPr>
          <w:ilvl w:val="0"/>
          <w:numId w:val="5"/>
        </w:numPr>
        <w:spacing w:before="120"/>
        <w:ind w:left="720"/>
      </w:pPr>
      <w:r>
        <w:t>R</w:t>
      </w:r>
      <w:r w:rsidRPr="00302F11">
        <w:t>equiring respondents to prepare a written response to a collection of information in fewer than 30 days after receipt of it</w:t>
      </w:r>
      <w:r w:rsidRPr="00302F11" w:rsidR="00750D49">
        <w:t xml:space="preserve"> -</w:t>
      </w:r>
      <w:r w:rsidRPr="00302F11">
        <w:t xml:space="preserve"> Respondents do not have a set time period in which to respond, as it is entirely dependent on if they wish to apply to renew their certification. </w:t>
      </w:r>
    </w:p>
    <w:p w:rsidR="005D5447" w:rsidRPr="00302F11" w:rsidP="005D5447" w14:paraId="64B6139E" w14:textId="3C2C160F">
      <w:pPr>
        <w:numPr>
          <w:ilvl w:val="0"/>
          <w:numId w:val="5"/>
        </w:numPr>
        <w:spacing w:before="120"/>
        <w:ind w:left="720"/>
      </w:pPr>
      <w:r>
        <w:t>R</w:t>
      </w:r>
      <w:r w:rsidRPr="00302F11">
        <w:t>equiring respondents to submit more than an original and two copies of any document</w:t>
      </w:r>
      <w:r w:rsidRPr="00302F11" w:rsidR="00750D49">
        <w:t xml:space="preserve"> -</w:t>
      </w:r>
      <w:r w:rsidRPr="00302F11" w:rsidR="001A436F">
        <w:t xml:space="preserve"> Respondents only need to submit one application, which may contain links to various document</w:t>
      </w:r>
      <w:r>
        <w:t>s</w:t>
      </w:r>
      <w:r w:rsidRPr="00302F11" w:rsidR="001A436F">
        <w:t xml:space="preserve">. </w:t>
      </w:r>
    </w:p>
    <w:p w:rsidR="005D5447" w:rsidRPr="00302F11" w:rsidP="005D5447" w14:paraId="381B7CD9" w14:textId="025700BD">
      <w:pPr>
        <w:numPr>
          <w:ilvl w:val="0"/>
          <w:numId w:val="5"/>
        </w:numPr>
        <w:spacing w:before="120"/>
        <w:ind w:left="720"/>
      </w:pPr>
      <w:r>
        <w:t>R</w:t>
      </w:r>
      <w:r w:rsidRPr="00302F11">
        <w:t>equiring respondents to retain records, other than health, medical, government contract, grant-in- aid, or tax records for more than three years</w:t>
      </w:r>
      <w:r w:rsidRPr="00302F11" w:rsidR="00750D49">
        <w:t xml:space="preserve"> -</w:t>
      </w:r>
      <w:r w:rsidRPr="00302F11" w:rsidR="001A436F">
        <w:t xml:space="preserve"> This collection mechanism does not require retention of records for a longer period of time.</w:t>
      </w:r>
    </w:p>
    <w:p w:rsidR="005D5447" w:rsidRPr="00302F11" w:rsidP="005D5447" w14:paraId="1191729E" w14:textId="5EC40A7B">
      <w:pPr>
        <w:numPr>
          <w:ilvl w:val="0"/>
          <w:numId w:val="5"/>
        </w:numPr>
        <w:spacing w:before="120"/>
        <w:ind w:left="720"/>
      </w:pPr>
      <w:r>
        <w:t>I</w:t>
      </w:r>
      <w:r w:rsidRPr="00302F11">
        <w:t>n connection with a statistical survey, that is not designed to produce valid and reliable results that can be generalized to the universe of study</w:t>
      </w:r>
      <w:r w:rsidRPr="00302F11" w:rsidR="00750D49">
        <w:t xml:space="preserve"> -</w:t>
      </w:r>
      <w:r w:rsidRPr="00302F11" w:rsidR="00030EA9">
        <w:t xml:space="preserve"> There is no statistical survey as part of this collection mechanism.</w:t>
      </w:r>
    </w:p>
    <w:p w:rsidR="005D5447" w:rsidRPr="00302F11" w:rsidP="005D5447" w14:paraId="13E6CC73" w14:textId="21D2F6E4">
      <w:pPr>
        <w:numPr>
          <w:ilvl w:val="0"/>
          <w:numId w:val="5"/>
        </w:numPr>
        <w:spacing w:before="120"/>
        <w:ind w:left="720"/>
      </w:pPr>
      <w:r>
        <w:t>R</w:t>
      </w:r>
      <w:r w:rsidRPr="00302F11">
        <w:t>equiring the use of a statistical data classification that has not been reviewed and approved by OMB</w:t>
      </w:r>
      <w:r w:rsidRPr="00302F11" w:rsidR="00750D49">
        <w:t xml:space="preserve"> -</w:t>
      </w:r>
      <w:r w:rsidRPr="00302F11" w:rsidR="00030EA9">
        <w:t xml:space="preserve"> There is no statistical survey as part of this collection mechanism.</w:t>
      </w:r>
    </w:p>
    <w:p w:rsidR="005D5447" w:rsidRPr="00302F11" w:rsidP="005D5447" w14:paraId="183E2255" w14:textId="35564A04">
      <w:pPr>
        <w:numPr>
          <w:ilvl w:val="0"/>
          <w:numId w:val="5"/>
        </w:numPr>
        <w:spacing w:before="120"/>
        <w:ind w:left="720"/>
      </w:pPr>
      <w:r>
        <w:t>T</w:t>
      </w:r>
      <w:r w:rsidRPr="00302F11">
        <w:t xml:space="preserve">hat includes a pledge of confidentiality that is not supported by authority established in </w:t>
      </w:r>
      <w:r w:rsidRPr="00302F11">
        <w:t>statute or regulation, that is not supported by disclosure and data security policies that are consistent with the pledge, or which unnecessarily impedes sharing of data with other agencies for compatible confidential use</w:t>
      </w:r>
      <w:r w:rsidRPr="00302F11" w:rsidR="00750D49">
        <w:t xml:space="preserve"> - </w:t>
      </w:r>
      <w:r w:rsidRPr="00302F11" w:rsidR="00030EA9">
        <w:t xml:space="preserve">This collection mechanism does not request any confidential information or a pledge of confidentiality. </w:t>
      </w:r>
    </w:p>
    <w:p w:rsidR="005D5447" w:rsidRPr="00BA1395" w:rsidP="00302F11" w14:paraId="1B751E3D" w14:textId="39972E1C">
      <w:pPr>
        <w:numPr>
          <w:ilvl w:val="0"/>
          <w:numId w:val="5"/>
        </w:numPr>
        <w:spacing w:before="120"/>
        <w:ind w:left="720"/>
      </w:pPr>
      <w:r>
        <w:t>R</w:t>
      </w:r>
      <w:r w:rsidRPr="00302F11">
        <w:t>equiring respondents to submit proprietary trade secrets, or other confidential information unless the agency can demonstrate that it has instituted procedures to protect the information's confidentiality to the extent permitted by law</w:t>
      </w:r>
      <w:r w:rsidRPr="00302F11" w:rsidR="00750D49">
        <w:t xml:space="preserve"> -</w:t>
      </w:r>
      <w:r w:rsidRPr="00302F11" w:rsidR="00030EA9">
        <w:t xml:space="preserve"> This collection mechanism does not request any proprietary or confidential information.</w:t>
      </w:r>
    </w:p>
    <w:p w:rsidR="00C4252D" w14:paraId="0000002C"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C4252D" w14:paraId="0000002D" w14:textId="77777777">
      <w:pPr>
        <w:pBdr>
          <w:top w:val="nil"/>
          <w:left w:val="nil"/>
          <w:bottom w:val="nil"/>
          <w:right w:val="nil"/>
          <w:between w:val="nil"/>
        </w:pBdr>
        <w:spacing w:before="159"/>
        <w:rPr>
          <w:i/>
          <w:iCs/>
        </w:rPr>
      </w:pPr>
      <w:r>
        <w:t xml:space="preserve">A Federal Register Notice was published on September 10, 2025 (90 FR 43584) to solicit public comment. No public comments were received. </w:t>
      </w:r>
      <w:r>
        <w:rPr>
          <w:i/>
          <w:iCs/>
        </w:rPr>
        <w:t xml:space="preserve"> </w:t>
      </w:r>
    </w:p>
    <w:p w:rsidR="00C4252D" w14:paraId="0000002E" w14:textId="77777777">
      <w:pPr>
        <w:pBdr>
          <w:top w:val="nil"/>
          <w:left w:val="nil"/>
          <w:bottom w:val="nil"/>
          <w:right w:val="nil"/>
          <w:between w:val="nil"/>
        </w:pBdr>
        <w:spacing w:before="161"/>
      </w:pPr>
      <w:r>
        <w:t xml:space="preserve">NOAA consulted with three stakeholders (Central &amp; Northern California Ocean Observing System; Northeastern Regional Association of Coastal Ocean Observing Systems; and Pacific Islands Ocean Observing System) to obtain their views on the availability of data, frequency of collection, the clarity of instructions and recordkeeping, disclosure, or reporting format (if any), and on the data elements to be recorded, disclosed, or reported. No response was received from the Central &amp; Northern California Ocean Observing System. </w:t>
      </w:r>
    </w:p>
    <w:p w:rsidR="00C4252D" w14:paraId="0000002F" w14:textId="77777777">
      <w:pPr>
        <w:pBdr>
          <w:top w:val="nil"/>
          <w:left w:val="nil"/>
          <w:bottom w:val="nil"/>
          <w:right w:val="nil"/>
          <w:between w:val="nil"/>
        </w:pBdr>
        <w:spacing w:before="161"/>
      </w:pPr>
      <w:r>
        <w:t xml:space="preserve">The Pacific Islands Ocean Observing System provided the following comments. </w:t>
      </w:r>
    </w:p>
    <w:p w:rsidR="00C4252D" w14:paraId="00000030" w14:textId="1BB8E0E8">
      <w:pPr>
        <w:numPr>
          <w:ilvl w:val="0"/>
          <w:numId w:val="1"/>
        </w:numPr>
        <w:pBdr>
          <w:top w:val="nil"/>
          <w:left w:val="nil"/>
          <w:bottom w:val="nil"/>
          <w:right w:val="nil"/>
          <w:between w:val="nil"/>
        </w:pBdr>
        <w:spacing w:before="161"/>
      </w:pPr>
      <w:r>
        <w:t>“</w:t>
      </w:r>
      <w:r w:rsidR="009744C4">
        <w:t>The form is rather clunky. I don't necessarily have a better solution to recommend, but being able to have active links in the form would help as we go through it again to double check that we provided the right links, etc. I imagine active links would also help on your end with the review, rather than having to copy and paste the URL each time.”</w:t>
      </w:r>
    </w:p>
    <w:p w:rsidR="00C4252D" w14:paraId="00000031" w14:textId="0381CFE6">
      <w:pPr>
        <w:numPr>
          <w:ilvl w:val="1"/>
          <w:numId w:val="1"/>
        </w:numPr>
        <w:pBdr>
          <w:top w:val="nil"/>
          <w:left w:val="nil"/>
          <w:bottom w:val="nil"/>
          <w:right w:val="nil"/>
          <w:between w:val="nil"/>
        </w:pBdr>
      </w:pPr>
      <w:r>
        <w:t>NOAA Response:</w:t>
      </w:r>
      <w:r w:rsidR="00BA1395">
        <w:t xml:space="preserve"> </w:t>
      </w:r>
      <w:r>
        <w:t xml:space="preserve"> NOAA agrees that having active links would be beneficial to all involved. We have added a question in the FAQ document to address how respondents can convert </w:t>
      </w:r>
      <w:r w:rsidR="00447EB5">
        <w:t>URLs</w:t>
      </w:r>
      <w:r>
        <w:t xml:space="preserve"> to active links in Adobe. To our knowledge, this is not something NOAA can add to the form to prompt automatically, but must be done by respondents.  </w:t>
      </w:r>
    </w:p>
    <w:p w:rsidR="00C4252D" w14:paraId="00000032" w14:textId="044B3F55">
      <w:pPr>
        <w:numPr>
          <w:ilvl w:val="0"/>
          <w:numId w:val="1"/>
        </w:numPr>
        <w:pBdr>
          <w:top w:val="nil"/>
          <w:left w:val="nil"/>
          <w:bottom w:val="nil"/>
          <w:right w:val="nil"/>
          <w:between w:val="nil"/>
        </w:pBdr>
      </w:pPr>
      <w:r>
        <w:t xml:space="preserve">Agreement that 50 burden hours is correct and that the </w:t>
      </w:r>
      <w:r w:rsidR="00447EB5">
        <w:t>5-year</w:t>
      </w:r>
      <w:r>
        <w:t xml:space="preserve"> application cycle is appropriate.</w:t>
      </w:r>
    </w:p>
    <w:p w:rsidR="00C4252D" w14:paraId="00000033" w14:textId="2FBAEED1">
      <w:pPr>
        <w:numPr>
          <w:ilvl w:val="1"/>
          <w:numId w:val="1"/>
        </w:numPr>
        <w:pBdr>
          <w:top w:val="nil"/>
          <w:left w:val="nil"/>
          <w:bottom w:val="nil"/>
          <w:right w:val="nil"/>
          <w:between w:val="nil"/>
        </w:pBdr>
      </w:pPr>
      <w:r>
        <w:t xml:space="preserve">NOAA Response: </w:t>
      </w:r>
      <w:r w:rsidR="00BA1395">
        <w:t xml:space="preserve"> </w:t>
      </w:r>
      <w:r>
        <w:t>No response needed.</w:t>
      </w:r>
    </w:p>
    <w:p w:rsidR="00C4252D" w14:paraId="00000034" w14:textId="77777777">
      <w:pPr>
        <w:numPr>
          <w:ilvl w:val="0"/>
          <w:numId w:val="1"/>
        </w:numPr>
        <w:pBdr>
          <w:top w:val="nil"/>
          <w:left w:val="nil"/>
          <w:bottom w:val="nil"/>
          <w:right w:val="nil"/>
          <w:between w:val="nil"/>
        </w:pBdr>
      </w:pPr>
      <w:r>
        <w:t xml:space="preserve">The application process is beneficial to them, to force them to review things on a regular basis. </w:t>
      </w:r>
    </w:p>
    <w:p w:rsidR="00C4252D" w14:paraId="00000035" w14:textId="3168A25E">
      <w:pPr>
        <w:numPr>
          <w:ilvl w:val="1"/>
          <w:numId w:val="1"/>
        </w:numPr>
      </w:pPr>
      <w:r>
        <w:t>NOAA Response:</w:t>
      </w:r>
      <w:r w:rsidR="00BA1395">
        <w:t xml:space="preserve"> </w:t>
      </w:r>
      <w:r>
        <w:t xml:space="preserve"> No response needed.</w:t>
      </w:r>
    </w:p>
    <w:p w:rsidR="00C4252D" w14:paraId="00000036" w14:textId="77777777">
      <w:pPr>
        <w:pBdr>
          <w:top w:val="nil"/>
          <w:left w:val="nil"/>
          <w:bottom w:val="nil"/>
          <w:right w:val="nil"/>
          <w:between w:val="nil"/>
        </w:pBdr>
        <w:spacing w:before="161"/>
      </w:pPr>
      <w:r>
        <w:t xml:space="preserve">The Northeastern Regional Association of Coastal Ocean Observing Systems provided the following comments: </w:t>
      </w:r>
    </w:p>
    <w:p w:rsidR="00C4252D" w14:paraId="00000037" w14:textId="77777777">
      <w:pPr>
        <w:numPr>
          <w:ilvl w:val="0"/>
          <w:numId w:val="4"/>
        </w:numPr>
        <w:pBdr>
          <w:top w:val="nil"/>
          <w:left w:val="nil"/>
          <w:bottom w:val="nil"/>
          <w:right w:val="nil"/>
          <w:between w:val="nil"/>
        </w:pBdr>
        <w:spacing w:before="161"/>
      </w:pPr>
      <w:r>
        <w:t>“Developing the original submission of the DMAC component required at least 50 hours from our DMAC manager and me, and that does not include contributions from our sub-</w:t>
      </w:r>
      <w:r>
        <w:t>awardees. The resubmission took less time, and I estimate we spent approximately 30 hours on it for the DMAC section.”</w:t>
      </w:r>
    </w:p>
    <w:p w:rsidR="00C4252D" w14:paraId="00000038" w14:textId="67BD9EB3">
      <w:pPr>
        <w:numPr>
          <w:ilvl w:val="1"/>
          <w:numId w:val="4"/>
        </w:numPr>
        <w:pBdr>
          <w:top w:val="nil"/>
          <w:left w:val="nil"/>
          <w:bottom w:val="nil"/>
          <w:right w:val="nil"/>
          <w:between w:val="nil"/>
        </w:pBdr>
      </w:pPr>
      <w:r>
        <w:t xml:space="preserve">NOAA Response: </w:t>
      </w:r>
      <w:r w:rsidR="00550C68">
        <w:t xml:space="preserve"> </w:t>
      </w:r>
      <w:r>
        <w:t xml:space="preserve">Given that the DMAC component is only a part of this application, it appears 50 hours may not be sufficient for some respondents. Therefore, NOAA has increased the number of burden hours to 75 hours.  </w:t>
      </w:r>
    </w:p>
    <w:p w:rsidR="00C4252D" w14:paraId="00000039" w14:textId="77777777">
      <w:pPr>
        <w:numPr>
          <w:ilvl w:val="0"/>
          <w:numId w:val="4"/>
        </w:numPr>
        <w:pBdr>
          <w:top w:val="nil"/>
          <w:left w:val="nil"/>
          <w:bottom w:val="nil"/>
          <w:right w:val="nil"/>
          <w:between w:val="nil"/>
        </w:pBdr>
      </w:pPr>
      <w:r>
        <w:t xml:space="preserve">For the DMAC component of the application, the instructions are clear and easy to understand. </w:t>
      </w:r>
    </w:p>
    <w:p w:rsidR="00C4252D" w14:paraId="0000003A" w14:textId="1D15C89B">
      <w:pPr>
        <w:numPr>
          <w:ilvl w:val="1"/>
          <w:numId w:val="4"/>
        </w:numPr>
      </w:pPr>
      <w:r>
        <w:t xml:space="preserve">NOAA Response: </w:t>
      </w:r>
      <w:r w:rsidR="00550C68">
        <w:t xml:space="preserve"> </w:t>
      </w:r>
      <w:r>
        <w:t>No response needed.</w:t>
      </w:r>
    </w:p>
    <w:p w:rsidR="00C4252D" w14:paraId="0000003B"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Explain any decision to provide any payment or gift to respondents, other than remuneration of contractors or grantees.</w:t>
      </w:r>
    </w:p>
    <w:p w:rsidR="00C4252D" w14:paraId="0000003C" w14:textId="77777777">
      <w:pPr>
        <w:pBdr>
          <w:top w:val="nil"/>
          <w:left w:val="nil"/>
          <w:bottom w:val="nil"/>
          <w:right w:val="nil"/>
          <w:between w:val="nil"/>
        </w:pBdr>
        <w:tabs>
          <w:tab w:val="left" w:pos="0"/>
        </w:tabs>
        <w:spacing w:before="120" w:line="276" w:lineRule="auto"/>
      </w:pPr>
      <w:r>
        <w:t>No payment or gifts will be provided to respondents.</w:t>
      </w:r>
    </w:p>
    <w:p w:rsidR="00C4252D" w14:paraId="0000003D" w14:textId="55C945A4">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C4252D" w14:paraId="0000003E" w14:textId="5A52DCFB">
      <w:pPr>
        <w:widowControl/>
        <w:spacing w:before="120"/>
      </w:pPr>
      <w:r>
        <w:t>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“records” are never retrieved except by reference to company identifier or some other nonpersonal indexing scheme (e.g., type of firm) they are not a part of a system of records. NOAA has determined that the personally identifiable information (PII) collected for purposes of recertifying or revising information related to Regional Coastal Observing Systems (RCOS) is not part of a system of record.</w:t>
      </w:r>
    </w:p>
    <w:p w:rsidR="00C4252D" w14:paraId="0000003F"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C4252D" w14:paraId="00000040" w14:textId="77777777">
      <w:pPr>
        <w:spacing w:before="120" w:line="276" w:lineRule="auto"/>
        <w:sectPr>
          <w:footerReference w:type="default" r:id="rId13"/>
          <w:pgSz w:w="12240" w:h="15840"/>
          <w:pgMar w:top="1440" w:right="1440" w:bottom="1440" w:left="1440" w:header="0" w:footer="714" w:gutter="0"/>
          <w:pgNumType w:start="1"/>
          <w:cols w:space="720"/>
        </w:sectPr>
      </w:pPr>
      <w:r>
        <w:t>No questions of a sensitive nature are asked.</w:t>
      </w:r>
    </w:p>
    <w:p w:rsidR="00C4252D" w14:paraId="00000041" w14:textId="77777777">
      <w:pPr>
        <w:numPr>
          <w:ilvl w:val="0"/>
          <w:numId w:val="3"/>
        </w:numPr>
        <w:pBdr>
          <w:top w:val="nil"/>
          <w:left w:val="nil"/>
          <w:bottom w:val="nil"/>
          <w:right w:val="nil"/>
          <w:between w:val="nil"/>
        </w:pBdr>
        <w:tabs>
          <w:tab w:val="left" w:pos="360"/>
        </w:tabs>
        <w:spacing w:before="80"/>
        <w:ind w:left="0" w:firstLine="0"/>
        <w:rPr>
          <w:b/>
          <w:bCs/>
          <w:color w:val="000000"/>
        </w:rPr>
      </w:pPr>
      <w:r>
        <w:rPr>
          <w:b/>
          <w:bCs/>
          <w:color w:val="000000"/>
        </w:rPr>
        <w:t>Provide estimates of the hour burden of the collection of information.</w:t>
      </w:r>
    </w:p>
    <w:p w:rsidR="00C4252D" w:rsidP="00302F11" w14:paraId="00000042" w14:textId="13AC57AB">
      <w:pPr>
        <w:spacing w:before="120"/>
      </w:pPr>
      <w:r>
        <w:t xml:space="preserve">There are a total of </w:t>
      </w:r>
      <w:r w:rsidR="00550C68">
        <w:t xml:space="preserve">11 </w:t>
      </w:r>
      <w:r>
        <w:t xml:space="preserve">respondents, corresponding to those entities that currently coordinate the regional ocean and coastal observing system efforts of the U.S. Integrated Ocean Observing System, that have received certification as an RCOS. Once approved, a RCOS is certified for five years, therefore, each applicant will only submit a single response to this information request over the duration of the PRA approval.  Since the PRA approval will be for three years, we estimate that the annual number of respondents will be four applicants per year.  </w:t>
      </w:r>
    </w:p>
    <w:p w:rsidR="00C4252D" w14:paraId="00000043" w14:textId="77777777">
      <w:pPr>
        <w:spacing w:line="259" w:lineRule="auto"/>
        <w:rPr>
          <w:b/>
          <w:bCs/>
          <w:color w:val="FF0000"/>
        </w:rPr>
      </w:pPr>
    </w:p>
    <w:p w:rsidR="00C4252D" w14:paraId="00000044" w14:textId="77777777">
      <w:pPr>
        <w:spacing w:line="259" w:lineRule="auto"/>
        <w:ind w:hanging="43"/>
        <w:rPr>
          <w:b/>
          <w:bCs/>
          <w:color w:val="FF0000"/>
        </w:rPr>
      </w:pPr>
    </w:p>
    <w:tbl>
      <w:tblPr>
        <w:tblStyle w:val="a6"/>
        <w:tblpPr w:leftFromText="180" w:rightFromText="180" w:topFromText="180" w:bottomFromText="180" w:vertAnchor="text" w:tblpX="-375"/>
        <w:tblW w:w="14415" w:type="dxa"/>
        <w:tblLayout w:type="fixed"/>
        <w:tblLook w:val="0400"/>
      </w:tblPr>
      <w:tblGrid>
        <w:gridCol w:w="2520"/>
        <w:gridCol w:w="1950"/>
        <w:gridCol w:w="1455"/>
        <w:gridCol w:w="1575"/>
        <w:gridCol w:w="1575"/>
        <w:gridCol w:w="1125"/>
        <w:gridCol w:w="1260"/>
        <w:gridCol w:w="1365"/>
        <w:gridCol w:w="1590"/>
      </w:tblGrid>
      <w:tr w14:paraId="09BD1AD0" w14:textId="77777777">
        <w:tblPrEx>
          <w:tblW w:w="14415" w:type="dxa"/>
          <w:tblLayout w:type="fixed"/>
          <w:tblLook w:val="0400"/>
        </w:tblPrEx>
        <w:trPr>
          <w:trHeight w:val="1365"/>
        </w:trPr>
        <w:tc>
          <w:tcPr>
            <w:tcW w:w="252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5" w14:textId="77777777">
            <w:pPr>
              <w:widowControl/>
              <w:jc w:val="center"/>
              <w:rPr>
                <w:rFonts w:ascii="Calibri" w:eastAsia="Calibri" w:hAnsi="Calibri" w:cs="Calibri"/>
                <w:b/>
                <w:bCs/>
                <w:sz w:val="20"/>
                <w:szCs w:val="20"/>
              </w:rPr>
            </w:pPr>
            <w:r>
              <w:rPr>
                <w:rFonts w:ascii="Calibri" w:eastAsia="Calibri" w:hAnsi="Calibri" w:cs="Calibri"/>
                <w:b/>
                <w:bCs/>
                <w:sz w:val="20"/>
                <w:szCs w:val="20"/>
              </w:rPr>
              <w:t>Information Collection</w:t>
            </w:r>
          </w:p>
        </w:tc>
        <w:tc>
          <w:tcPr>
            <w:tcW w:w="195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6" w14:textId="77777777">
            <w:pPr>
              <w:widowControl/>
              <w:jc w:val="center"/>
              <w:rPr>
                <w:rFonts w:ascii="Calibri" w:eastAsia="Calibri" w:hAnsi="Calibri" w:cs="Calibri"/>
                <w:b/>
                <w:bCs/>
                <w:sz w:val="20"/>
                <w:szCs w:val="20"/>
              </w:rPr>
            </w:pPr>
            <w:r>
              <w:rPr>
                <w:rFonts w:ascii="Calibri" w:eastAsia="Calibri" w:hAnsi="Calibri" w:cs="Calibri"/>
                <w:b/>
                <w:bCs/>
                <w:sz w:val="20"/>
                <w:szCs w:val="20"/>
              </w:rPr>
              <w:t>Type of Respondent (e.g., Occupational Title)</w:t>
            </w:r>
          </w:p>
        </w:tc>
        <w:tc>
          <w:tcPr>
            <w:tcW w:w="145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7" w14:textId="77777777">
            <w:pPr>
              <w:widowControl/>
              <w:jc w:val="center"/>
              <w:rPr>
                <w:rFonts w:ascii="Calibri" w:eastAsia="Calibri" w:hAnsi="Calibri" w:cs="Calibri"/>
                <w:b/>
                <w:bCs/>
                <w:sz w:val="20"/>
                <w:szCs w:val="20"/>
              </w:rPr>
            </w:pPr>
            <w:r>
              <w:rPr>
                <w:rFonts w:ascii="Calibri" w:eastAsia="Calibri" w:hAnsi="Calibri" w:cs="Calibri"/>
                <w:b/>
                <w:bCs/>
                <w:sz w:val="20"/>
                <w:szCs w:val="20"/>
              </w:rPr>
              <w:t># of Respondents /year</w:t>
            </w:r>
            <w:r>
              <w:rPr>
                <w:rFonts w:ascii="Calibri" w:eastAsia="Calibri" w:hAnsi="Calibri" w:cs="Calibri"/>
                <w:b/>
                <w:bCs/>
                <w:sz w:val="20"/>
                <w:szCs w:val="20"/>
              </w:rPr>
              <w:br/>
              <w:t>(a)</w:t>
            </w:r>
          </w:p>
        </w:tc>
        <w:tc>
          <w:tcPr>
            <w:tcW w:w="157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8" w14:textId="77777777">
            <w:pPr>
              <w:widowControl/>
              <w:jc w:val="center"/>
              <w:rPr>
                <w:rFonts w:ascii="Calibri" w:eastAsia="Calibri" w:hAnsi="Calibri" w:cs="Calibri"/>
                <w:b/>
                <w:bCs/>
                <w:sz w:val="20"/>
                <w:szCs w:val="20"/>
              </w:rPr>
            </w:pPr>
            <w:r>
              <w:rPr>
                <w:rFonts w:ascii="Calibri" w:eastAsia="Calibri" w:hAnsi="Calibri" w:cs="Calibri"/>
                <w:b/>
                <w:bCs/>
                <w:sz w:val="20"/>
                <w:szCs w:val="20"/>
              </w:rPr>
              <w:t>Annual # of Responses / Respondent</w:t>
            </w:r>
            <w:r>
              <w:rPr>
                <w:rFonts w:ascii="Calibri" w:eastAsia="Calibri" w:hAnsi="Calibri" w:cs="Calibri"/>
                <w:b/>
                <w:bCs/>
                <w:sz w:val="20"/>
                <w:szCs w:val="20"/>
              </w:rPr>
              <w:br/>
              <w:t>(b)</w:t>
            </w:r>
          </w:p>
        </w:tc>
        <w:tc>
          <w:tcPr>
            <w:tcW w:w="157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9" w14:textId="77777777">
            <w:pPr>
              <w:widowControl/>
              <w:jc w:val="center"/>
              <w:rPr>
                <w:rFonts w:ascii="Calibri" w:eastAsia="Calibri" w:hAnsi="Calibri" w:cs="Calibri"/>
                <w:b/>
                <w:bCs/>
                <w:sz w:val="20"/>
                <w:szCs w:val="20"/>
              </w:rPr>
            </w:pPr>
            <w:r>
              <w:rPr>
                <w:rFonts w:ascii="Calibri" w:eastAsia="Calibri" w:hAnsi="Calibri" w:cs="Calibri"/>
                <w:b/>
                <w:bCs/>
                <w:sz w:val="20"/>
                <w:szCs w:val="20"/>
              </w:rPr>
              <w:t xml:space="preserve"> Total # of Annual Responses</w:t>
            </w:r>
            <w:r>
              <w:rPr>
                <w:rFonts w:ascii="Calibri" w:eastAsia="Calibri" w:hAnsi="Calibri" w:cs="Calibri"/>
                <w:b/>
                <w:bCs/>
                <w:sz w:val="20"/>
                <w:szCs w:val="20"/>
              </w:rPr>
              <w:br/>
              <w:t>(c) = (a) x (b)</w:t>
            </w:r>
          </w:p>
        </w:tc>
        <w:tc>
          <w:tcPr>
            <w:tcW w:w="112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A" w14:textId="77777777">
            <w:pPr>
              <w:widowControl/>
              <w:jc w:val="center"/>
              <w:rPr>
                <w:rFonts w:ascii="Calibri" w:eastAsia="Calibri" w:hAnsi="Calibri" w:cs="Calibri"/>
                <w:b/>
                <w:bCs/>
                <w:sz w:val="20"/>
                <w:szCs w:val="20"/>
              </w:rPr>
            </w:pPr>
            <w:r>
              <w:rPr>
                <w:rFonts w:ascii="Calibri" w:eastAsia="Calibri" w:hAnsi="Calibri" w:cs="Calibri"/>
                <w:b/>
                <w:bCs/>
                <w:sz w:val="20"/>
                <w:szCs w:val="20"/>
              </w:rPr>
              <w:t>Burden Hrs / Response</w:t>
            </w:r>
            <w:r>
              <w:rPr>
                <w:rFonts w:ascii="Calibri" w:eastAsia="Calibri" w:hAnsi="Calibri" w:cs="Calibri"/>
                <w:b/>
                <w:bCs/>
                <w:sz w:val="20"/>
                <w:szCs w:val="20"/>
              </w:rPr>
              <w:br/>
              <w:t>(d)</w:t>
            </w:r>
          </w:p>
        </w:tc>
        <w:tc>
          <w:tcPr>
            <w:tcW w:w="126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B" w14:textId="77777777">
            <w:pPr>
              <w:widowControl/>
              <w:jc w:val="center"/>
              <w:rPr>
                <w:rFonts w:ascii="Calibri" w:eastAsia="Calibri" w:hAnsi="Calibri" w:cs="Calibri"/>
                <w:b/>
                <w:bCs/>
                <w:sz w:val="20"/>
                <w:szCs w:val="20"/>
              </w:rPr>
            </w:pPr>
            <w:r>
              <w:rPr>
                <w:rFonts w:ascii="Calibri" w:eastAsia="Calibri" w:hAnsi="Calibri" w:cs="Calibri"/>
                <w:b/>
                <w:bCs/>
                <w:sz w:val="20"/>
                <w:szCs w:val="20"/>
              </w:rPr>
              <w:t>Total Annual Burden Hrs</w:t>
            </w:r>
            <w:r>
              <w:rPr>
                <w:rFonts w:ascii="Calibri" w:eastAsia="Calibri" w:hAnsi="Calibri" w:cs="Calibri"/>
                <w:b/>
                <w:bCs/>
                <w:sz w:val="20"/>
                <w:szCs w:val="20"/>
              </w:rPr>
              <w:br/>
              <w:t>(</w:t>
            </w:r>
            <w:r>
              <w:rPr>
                <w:rFonts w:ascii="Calibri" w:eastAsia="Calibri" w:hAnsi="Calibri" w:cs="Calibri"/>
                <w:b/>
                <w:bCs/>
                <w:sz w:val="20"/>
                <w:szCs w:val="20"/>
              </w:rPr>
              <w:t>e)  =</w:t>
            </w:r>
            <w:r>
              <w:rPr>
                <w:rFonts w:ascii="Calibri" w:eastAsia="Calibri" w:hAnsi="Calibri" w:cs="Calibri"/>
                <w:b/>
                <w:bCs/>
                <w:sz w:val="20"/>
                <w:szCs w:val="20"/>
              </w:rPr>
              <w:t xml:space="preserve"> (c) x (d)</w:t>
            </w:r>
          </w:p>
        </w:tc>
        <w:tc>
          <w:tcPr>
            <w:tcW w:w="1365"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C" w14:textId="77777777">
            <w:pPr>
              <w:widowControl/>
              <w:jc w:val="center"/>
              <w:rPr>
                <w:rFonts w:ascii="Calibri" w:eastAsia="Calibri" w:hAnsi="Calibri" w:cs="Calibri"/>
                <w:b/>
                <w:bCs/>
                <w:sz w:val="20"/>
                <w:szCs w:val="20"/>
              </w:rPr>
            </w:pPr>
            <w:r>
              <w:rPr>
                <w:rFonts w:ascii="Calibri" w:eastAsia="Calibri" w:hAnsi="Calibri" w:cs="Calibri"/>
                <w:b/>
                <w:bCs/>
                <w:sz w:val="20"/>
                <w:szCs w:val="20"/>
              </w:rPr>
              <w:t xml:space="preserve">Hourly Wage </w:t>
            </w:r>
            <w:r>
              <w:rPr>
                <w:rFonts w:ascii="Calibri" w:eastAsia="Calibri" w:hAnsi="Calibri" w:cs="Calibri"/>
                <w:b/>
                <w:bCs/>
                <w:sz w:val="20"/>
                <w:szCs w:val="20"/>
              </w:rPr>
              <w:t>Rate  (</w:t>
            </w:r>
            <w:r>
              <w:rPr>
                <w:rFonts w:ascii="Calibri" w:eastAsia="Calibri" w:hAnsi="Calibri" w:cs="Calibri"/>
                <w:b/>
                <w:bCs/>
                <w:sz w:val="20"/>
                <w:szCs w:val="20"/>
              </w:rPr>
              <w:t>for Type of Respondent)</w:t>
            </w:r>
            <w:r>
              <w:rPr>
                <w:rFonts w:ascii="Calibri" w:eastAsia="Calibri" w:hAnsi="Calibri" w:cs="Calibri"/>
                <w:b/>
                <w:bCs/>
                <w:sz w:val="20"/>
                <w:szCs w:val="20"/>
              </w:rPr>
              <w:br/>
              <w:t>(f)</w:t>
            </w:r>
          </w:p>
        </w:tc>
        <w:tc>
          <w:tcPr>
            <w:tcW w:w="159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252D" w14:paraId="0000004D" w14:textId="77777777">
            <w:pPr>
              <w:widowControl/>
              <w:ind w:right="-30"/>
              <w:jc w:val="center"/>
              <w:rPr>
                <w:rFonts w:ascii="Calibri" w:eastAsia="Calibri" w:hAnsi="Calibri" w:cs="Calibri"/>
                <w:b/>
                <w:bCs/>
                <w:sz w:val="20"/>
                <w:szCs w:val="20"/>
              </w:rPr>
            </w:pPr>
            <w:r>
              <w:rPr>
                <w:rFonts w:ascii="Calibri" w:eastAsia="Calibri" w:hAnsi="Calibri" w:cs="Calibri"/>
                <w:b/>
                <w:bCs/>
                <w:sz w:val="20"/>
                <w:szCs w:val="20"/>
              </w:rPr>
              <w:t>Total Annual Wage Burden Costs</w:t>
            </w:r>
            <w:r>
              <w:rPr>
                <w:rFonts w:ascii="Calibri" w:eastAsia="Calibri" w:hAnsi="Calibri" w:cs="Calibri"/>
                <w:b/>
                <w:bCs/>
                <w:sz w:val="20"/>
                <w:szCs w:val="20"/>
              </w:rPr>
              <w:br/>
              <w:t>(g) = (e) x (f)</w:t>
            </w:r>
          </w:p>
        </w:tc>
      </w:tr>
      <w:tr w14:paraId="0730920F" w14:textId="77777777">
        <w:tblPrEx>
          <w:tblW w:w="14415" w:type="dxa"/>
          <w:tblLayout w:type="fixed"/>
          <w:tblLook w:val="0400"/>
        </w:tblPrEx>
        <w:trPr>
          <w:trHeight w:val="300"/>
        </w:trPr>
        <w:tc>
          <w:tcPr>
            <w:tcW w:w="2520" w:type="dxa"/>
            <w:tcBorders>
              <w:top w:val="single" w:sz="8" w:space="0" w:color="000000"/>
              <w:left w:val="single" w:sz="8" w:space="0" w:color="000000"/>
              <w:bottom w:val="single" w:sz="4" w:space="0" w:color="000000"/>
              <w:right w:val="single" w:sz="4" w:space="0" w:color="000000"/>
            </w:tcBorders>
            <w:vAlign w:val="bottom"/>
          </w:tcPr>
          <w:p w:rsidR="00C4252D" w14:paraId="0000004E" w14:textId="77777777">
            <w:pPr>
              <w:widowControl/>
              <w:rPr>
                <w:rFonts w:ascii="Calibri" w:eastAsia="Calibri" w:hAnsi="Calibri" w:cs="Calibri"/>
                <w:sz w:val="20"/>
                <w:szCs w:val="20"/>
              </w:rPr>
            </w:pPr>
            <w:r>
              <w:rPr>
                <w:rFonts w:ascii="Calibri" w:eastAsia="Calibri" w:hAnsi="Calibri" w:cs="Calibri"/>
                <w:sz w:val="20"/>
                <w:szCs w:val="20"/>
              </w:rPr>
              <w:t>Recertification as an RCOS </w:t>
            </w:r>
          </w:p>
        </w:tc>
        <w:tc>
          <w:tcPr>
            <w:tcW w:w="1950" w:type="dxa"/>
            <w:tcBorders>
              <w:top w:val="single" w:sz="8" w:space="0" w:color="000000"/>
              <w:left w:val="single" w:sz="4" w:space="0" w:color="000000"/>
              <w:bottom w:val="single" w:sz="4" w:space="0" w:color="000000"/>
              <w:right w:val="single" w:sz="4" w:space="0" w:color="000000"/>
            </w:tcBorders>
            <w:vAlign w:val="bottom"/>
          </w:tcPr>
          <w:p w:rsidR="00C4252D" w14:paraId="0000004F" w14:textId="77777777">
            <w:pPr>
              <w:widowControl/>
              <w:jc w:val="center"/>
              <w:rPr>
                <w:rFonts w:ascii="Calibri" w:eastAsia="Calibri" w:hAnsi="Calibri" w:cs="Calibri"/>
                <w:sz w:val="20"/>
                <w:szCs w:val="20"/>
              </w:rPr>
            </w:pPr>
            <w:r>
              <w:rPr>
                <w:rFonts w:ascii="Calibri" w:eastAsia="Calibri" w:hAnsi="Calibri" w:cs="Calibri"/>
                <w:sz w:val="20"/>
                <w:szCs w:val="20"/>
              </w:rPr>
              <w:t>Natural Science Managers </w:t>
            </w:r>
          </w:p>
        </w:tc>
        <w:tc>
          <w:tcPr>
            <w:tcW w:w="1455" w:type="dxa"/>
            <w:tcBorders>
              <w:top w:val="single" w:sz="8" w:space="0" w:color="000000"/>
              <w:left w:val="single" w:sz="4" w:space="0" w:color="000000"/>
              <w:bottom w:val="single" w:sz="4" w:space="0" w:color="000000"/>
              <w:right w:val="single" w:sz="4" w:space="0" w:color="000000"/>
            </w:tcBorders>
            <w:vAlign w:val="bottom"/>
          </w:tcPr>
          <w:p w:rsidR="00C4252D" w14:paraId="00000050" w14:textId="77777777">
            <w:pPr>
              <w:widowControl/>
              <w:jc w:val="center"/>
              <w:rPr>
                <w:rFonts w:ascii="Calibri" w:eastAsia="Calibri" w:hAnsi="Calibri" w:cs="Calibri"/>
                <w:sz w:val="22"/>
                <w:szCs w:val="22"/>
              </w:rPr>
            </w:pPr>
            <w:r>
              <w:rPr>
                <w:rFonts w:ascii="Calibri" w:eastAsia="Calibri" w:hAnsi="Calibri" w:cs="Calibri"/>
                <w:sz w:val="22"/>
                <w:szCs w:val="22"/>
              </w:rPr>
              <w:t>4 </w:t>
            </w:r>
          </w:p>
        </w:tc>
        <w:tc>
          <w:tcPr>
            <w:tcW w:w="1575" w:type="dxa"/>
            <w:tcBorders>
              <w:top w:val="single" w:sz="8" w:space="0" w:color="000000"/>
              <w:left w:val="single" w:sz="4" w:space="0" w:color="000000"/>
              <w:bottom w:val="single" w:sz="4" w:space="0" w:color="000000"/>
              <w:right w:val="single" w:sz="4" w:space="0" w:color="000000"/>
            </w:tcBorders>
            <w:vAlign w:val="bottom"/>
          </w:tcPr>
          <w:p w:rsidR="00C4252D" w14:paraId="00000051" w14:textId="77777777">
            <w:pPr>
              <w:widowControl/>
              <w:jc w:val="center"/>
              <w:rPr>
                <w:rFonts w:ascii="Calibri" w:eastAsia="Calibri" w:hAnsi="Calibri" w:cs="Calibri"/>
                <w:sz w:val="22"/>
                <w:szCs w:val="22"/>
              </w:rPr>
            </w:pPr>
            <w:r>
              <w:rPr>
                <w:rFonts w:ascii="Calibri" w:eastAsia="Calibri" w:hAnsi="Calibri" w:cs="Calibri"/>
                <w:sz w:val="22"/>
                <w:szCs w:val="22"/>
              </w:rPr>
              <w:t> 1</w:t>
            </w:r>
          </w:p>
        </w:tc>
        <w:tc>
          <w:tcPr>
            <w:tcW w:w="1575" w:type="dxa"/>
            <w:tcBorders>
              <w:top w:val="single" w:sz="8" w:space="0" w:color="000000"/>
              <w:left w:val="single" w:sz="4" w:space="0" w:color="000000"/>
              <w:bottom w:val="single" w:sz="4" w:space="0" w:color="000000"/>
              <w:right w:val="single" w:sz="4" w:space="0" w:color="000000"/>
            </w:tcBorders>
            <w:vAlign w:val="bottom"/>
          </w:tcPr>
          <w:p w:rsidR="00C4252D" w14:paraId="00000052" w14:textId="77777777">
            <w:pPr>
              <w:widowControl/>
              <w:jc w:val="center"/>
              <w:rPr>
                <w:rFonts w:ascii="Calibri" w:eastAsia="Calibri" w:hAnsi="Calibri" w:cs="Calibri"/>
                <w:sz w:val="22"/>
                <w:szCs w:val="22"/>
              </w:rPr>
            </w:pPr>
            <w:r>
              <w:rPr>
                <w:rFonts w:ascii="Calibri" w:eastAsia="Calibri" w:hAnsi="Calibri" w:cs="Calibri"/>
                <w:sz w:val="22"/>
                <w:szCs w:val="22"/>
              </w:rPr>
              <w:t>4 </w:t>
            </w:r>
          </w:p>
        </w:tc>
        <w:tc>
          <w:tcPr>
            <w:tcW w:w="1125" w:type="dxa"/>
            <w:tcBorders>
              <w:top w:val="single" w:sz="8" w:space="0" w:color="000000"/>
              <w:left w:val="single" w:sz="4" w:space="0" w:color="000000"/>
              <w:bottom w:val="single" w:sz="4" w:space="0" w:color="000000"/>
              <w:right w:val="single" w:sz="4" w:space="0" w:color="000000"/>
            </w:tcBorders>
            <w:vAlign w:val="bottom"/>
          </w:tcPr>
          <w:p w:rsidR="00C4252D" w14:paraId="00000053" w14:textId="77777777">
            <w:pPr>
              <w:widowControl/>
              <w:jc w:val="center"/>
              <w:rPr>
                <w:rFonts w:ascii="Calibri" w:eastAsia="Calibri" w:hAnsi="Calibri" w:cs="Calibri"/>
                <w:sz w:val="22"/>
                <w:szCs w:val="22"/>
              </w:rPr>
            </w:pPr>
            <w:r>
              <w:rPr>
                <w:rFonts w:ascii="Calibri" w:eastAsia="Calibri" w:hAnsi="Calibri" w:cs="Calibri"/>
                <w:sz w:val="22"/>
                <w:szCs w:val="22"/>
              </w:rPr>
              <w:t>75</w:t>
            </w:r>
          </w:p>
        </w:tc>
        <w:tc>
          <w:tcPr>
            <w:tcW w:w="1260" w:type="dxa"/>
            <w:tcBorders>
              <w:top w:val="single" w:sz="8" w:space="0" w:color="000000"/>
              <w:left w:val="single" w:sz="4" w:space="0" w:color="000000"/>
              <w:bottom w:val="single" w:sz="4" w:space="0" w:color="000000"/>
              <w:right w:val="single" w:sz="4" w:space="0" w:color="000000"/>
            </w:tcBorders>
            <w:vAlign w:val="bottom"/>
          </w:tcPr>
          <w:p w:rsidR="00C4252D" w14:paraId="00000054" w14:textId="77777777">
            <w:pPr>
              <w:widowControl/>
              <w:jc w:val="center"/>
              <w:rPr>
                <w:rFonts w:ascii="Calibri" w:eastAsia="Calibri" w:hAnsi="Calibri" w:cs="Calibri"/>
                <w:sz w:val="22"/>
                <w:szCs w:val="22"/>
              </w:rPr>
            </w:pPr>
            <w:r>
              <w:rPr>
                <w:rFonts w:ascii="Calibri" w:eastAsia="Calibri" w:hAnsi="Calibri" w:cs="Calibri"/>
                <w:sz w:val="22"/>
                <w:szCs w:val="22"/>
              </w:rPr>
              <w:t>300</w:t>
            </w:r>
          </w:p>
        </w:tc>
        <w:tc>
          <w:tcPr>
            <w:tcW w:w="1365" w:type="dxa"/>
            <w:tcBorders>
              <w:top w:val="single" w:sz="8" w:space="0" w:color="000000"/>
              <w:left w:val="single" w:sz="4" w:space="0" w:color="000000"/>
              <w:bottom w:val="single" w:sz="4" w:space="0" w:color="000000"/>
              <w:right w:val="single" w:sz="4" w:space="0" w:color="000000"/>
            </w:tcBorders>
            <w:vAlign w:val="bottom"/>
          </w:tcPr>
          <w:p w:rsidR="00C4252D" w14:paraId="00000055" w14:textId="64EE29C1">
            <w:pPr>
              <w:widowControl/>
              <w:jc w:val="center"/>
              <w:rPr>
                <w:rFonts w:ascii="Calibri" w:eastAsia="Calibri" w:hAnsi="Calibri" w:cs="Calibri"/>
                <w:sz w:val="22"/>
                <w:szCs w:val="22"/>
              </w:rPr>
            </w:pPr>
            <w:sdt>
              <w:sdtPr>
                <w:tag w:val="goog_rdk_0"/>
                <w:id w:val="-143566692"/>
                <w:richText/>
              </w:sdtPr>
              <w:sdtContent/>
            </w:sdt>
            <w:sdt>
              <w:sdtPr>
                <w:tag w:val="goog_rdk_1"/>
                <w:id w:val="1641176459"/>
                <w:richText/>
              </w:sdtPr>
              <w:sdtContent/>
            </w:sdt>
            <w:sdt>
              <w:sdtPr>
                <w:tag w:val="goog_rdk_2"/>
                <w:id w:val="-1731035052"/>
                <w:richText/>
              </w:sdtPr>
              <w:sdtContent/>
            </w:sdt>
            <w:r w:rsidR="009744C4">
              <w:rPr>
                <w:rFonts w:ascii="Calibri" w:eastAsia="Calibri" w:hAnsi="Calibri" w:cs="Calibri"/>
                <w:sz w:val="22"/>
                <w:szCs w:val="22"/>
              </w:rPr>
              <w:t>$</w:t>
            </w:r>
            <w:r w:rsidR="00447EB5">
              <w:rPr>
                <w:rFonts w:ascii="Calibri" w:eastAsia="Calibri" w:hAnsi="Calibri" w:cs="Calibri"/>
                <w:sz w:val="22"/>
                <w:szCs w:val="22"/>
              </w:rPr>
              <w:t>86.66</w:t>
            </w:r>
            <w:r w:rsidR="009744C4">
              <w:rPr>
                <w:rFonts w:ascii="Calibri" w:eastAsia="Calibri" w:hAnsi="Calibri" w:cs="Calibri"/>
                <w:sz w:val="22"/>
                <w:szCs w:val="22"/>
              </w:rPr>
              <w:t> </w:t>
            </w:r>
          </w:p>
        </w:tc>
        <w:tc>
          <w:tcPr>
            <w:tcW w:w="1590" w:type="dxa"/>
            <w:tcBorders>
              <w:top w:val="single" w:sz="8" w:space="0" w:color="000000"/>
              <w:left w:val="single" w:sz="4" w:space="0" w:color="000000"/>
              <w:bottom w:val="single" w:sz="4" w:space="0" w:color="000000"/>
              <w:right w:val="single" w:sz="8" w:space="0" w:color="000000"/>
            </w:tcBorders>
            <w:vAlign w:val="bottom"/>
          </w:tcPr>
          <w:p w:rsidR="00C4252D" w14:paraId="00000056" w14:textId="6180BC5D">
            <w:pPr>
              <w:widowControl/>
              <w:jc w:val="center"/>
              <w:rPr>
                <w:rFonts w:ascii="Calibri" w:eastAsia="Calibri" w:hAnsi="Calibri" w:cs="Calibri"/>
                <w:sz w:val="22"/>
                <w:szCs w:val="22"/>
              </w:rPr>
            </w:pPr>
            <w:r>
              <w:rPr>
                <w:rFonts w:ascii="Calibri" w:eastAsia="Calibri" w:hAnsi="Calibri" w:cs="Calibri"/>
                <w:sz w:val="22"/>
                <w:szCs w:val="22"/>
              </w:rPr>
              <w:t>$25,</w:t>
            </w:r>
            <w:r w:rsidR="00447EB5">
              <w:rPr>
                <w:rFonts w:ascii="Calibri" w:eastAsia="Calibri" w:hAnsi="Calibri" w:cs="Calibri"/>
                <w:sz w:val="22"/>
                <w:szCs w:val="22"/>
              </w:rPr>
              <w:t>998</w:t>
            </w:r>
          </w:p>
        </w:tc>
      </w:tr>
      <w:tr w14:paraId="6D5FF641" w14:textId="77777777">
        <w:tblPrEx>
          <w:tblW w:w="14415" w:type="dxa"/>
          <w:tblLayout w:type="fixed"/>
          <w:tblLook w:val="0400"/>
        </w:tblPrEx>
        <w:trPr>
          <w:trHeight w:val="615"/>
        </w:trPr>
        <w:tc>
          <w:tcPr>
            <w:tcW w:w="2520" w:type="dxa"/>
            <w:tcBorders>
              <w:top w:val="single" w:sz="4" w:space="0" w:color="000000"/>
              <w:left w:val="single" w:sz="8" w:space="0" w:color="000000"/>
              <w:bottom w:val="single" w:sz="8" w:space="0" w:color="000000"/>
              <w:right w:val="single" w:sz="8" w:space="0" w:color="000000"/>
            </w:tcBorders>
            <w:shd w:val="clear" w:color="auto" w:fill="DDEBF7"/>
            <w:vAlign w:val="bottom"/>
          </w:tcPr>
          <w:p w:rsidR="00C4252D" w14:paraId="00000057" w14:textId="77777777">
            <w:pPr>
              <w:widowControl/>
              <w:rPr>
                <w:rFonts w:ascii="Calibri" w:eastAsia="Calibri" w:hAnsi="Calibri" w:cs="Calibri"/>
                <w:b/>
                <w:bCs/>
                <w:sz w:val="22"/>
                <w:szCs w:val="22"/>
              </w:rPr>
            </w:pPr>
            <w:r>
              <w:rPr>
                <w:rFonts w:ascii="Calibri" w:eastAsia="Calibri" w:hAnsi="Calibri" w:cs="Calibri"/>
                <w:b/>
                <w:bCs/>
                <w:sz w:val="22"/>
                <w:szCs w:val="22"/>
              </w:rPr>
              <w:t>Totals</w:t>
            </w:r>
          </w:p>
        </w:tc>
        <w:tc>
          <w:tcPr>
            <w:tcW w:w="1950" w:type="dxa"/>
            <w:tcBorders>
              <w:top w:val="single" w:sz="4" w:space="0" w:color="000000"/>
              <w:left w:val="single" w:sz="8" w:space="0" w:color="000000"/>
              <w:bottom w:val="single" w:sz="8" w:space="0" w:color="000000"/>
              <w:right w:val="single" w:sz="8" w:space="0" w:color="000000"/>
            </w:tcBorders>
            <w:shd w:val="clear" w:color="auto" w:fill="000000"/>
            <w:vAlign w:val="bottom"/>
          </w:tcPr>
          <w:p w:rsidR="00C4252D" w14:paraId="00000058" w14:textId="77777777">
            <w:pPr>
              <w:widowControl/>
              <w:rPr>
                <w:rFonts w:ascii="Calibri" w:eastAsia="Calibri" w:hAnsi="Calibri" w:cs="Calibri"/>
                <w:b/>
                <w:bCs/>
                <w:sz w:val="22"/>
                <w:szCs w:val="22"/>
              </w:rPr>
            </w:pPr>
            <w:r>
              <w:rPr>
                <w:rFonts w:ascii="Calibri" w:eastAsia="Calibri" w:hAnsi="Calibri" w:cs="Calibri"/>
                <w:b/>
                <w:bCs/>
                <w:sz w:val="22"/>
                <w:szCs w:val="22"/>
              </w:rPr>
              <w:t> </w:t>
            </w:r>
          </w:p>
        </w:tc>
        <w:tc>
          <w:tcPr>
            <w:tcW w:w="1455" w:type="dxa"/>
            <w:tcBorders>
              <w:top w:val="single" w:sz="4" w:space="0" w:color="000000"/>
              <w:left w:val="single" w:sz="8" w:space="0" w:color="000000"/>
              <w:bottom w:val="single" w:sz="8" w:space="0" w:color="000000"/>
              <w:right w:val="single" w:sz="8" w:space="0" w:color="000000"/>
            </w:tcBorders>
            <w:shd w:val="clear" w:color="auto" w:fill="000000"/>
            <w:vAlign w:val="bottom"/>
          </w:tcPr>
          <w:p w:rsidR="00C4252D" w14:paraId="00000059" w14:textId="77777777">
            <w:pPr>
              <w:widowControl/>
              <w:jc w:val="center"/>
              <w:rPr>
                <w:rFonts w:ascii="Calibri" w:eastAsia="Calibri" w:hAnsi="Calibri" w:cs="Calibri"/>
                <w:b/>
                <w:bCs/>
                <w:sz w:val="22"/>
                <w:szCs w:val="22"/>
              </w:rPr>
            </w:pPr>
            <w:r>
              <w:rPr>
                <w:rFonts w:ascii="Calibri" w:eastAsia="Calibri" w:hAnsi="Calibri" w:cs="Calibri"/>
                <w:b/>
                <w:bCs/>
                <w:sz w:val="22"/>
                <w:szCs w:val="22"/>
              </w:rPr>
              <w:t> </w:t>
            </w:r>
          </w:p>
        </w:tc>
        <w:tc>
          <w:tcPr>
            <w:tcW w:w="1575" w:type="dxa"/>
            <w:tcBorders>
              <w:top w:val="single" w:sz="4" w:space="0" w:color="000000"/>
              <w:left w:val="single" w:sz="8" w:space="0" w:color="000000"/>
              <w:bottom w:val="single" w:sz="8" w:space="0" w:color="000000"/>
              <w:right w:val="single" w:sz="8" w:space="0" w:color="000000"/>
            </w:tcBorders>
            <w:shd w:val="clear" w:color="auto" w:fill="000000"/>
            <w:vAlign w:val="bottom"/>
          </w:tcPr>
          <w:p w:rsidR="00C4252D" w14:paraId="0000005A" w14:textId="77777777">
            <w:pPr>
              <w:widowControl/>
              <w:jc w:val="center"/>
              <w:rPr>
                <w:rFonts w:ascii="Calibri" w:eastAsia="Calibri" w:hAnsi="Calibri" w:cs="Calibri"/>
                <w:b/>
                <w:bCs/>
                <w:sz w:val="22"/>
                <w:szCs w:val="22"/>
              </w:rPr>
            </w:pPr>
            <w:r>
              <w:rPr>
                <w:rFonts w:ascii="Calibri" w:eastAsia="Calibri" w:hAnsi="Calibri" w:cs="Calibri"/>
                <w:b/>
                <w:bCs/>
                <w:sz w:val="22"/>
                <w:szCs w:val="22"/>
              </w:rPr>
              <w:t> </w:t>
            </w:r>
          </w:p>
        </w:tc>
        <w:tc>
          <w:tcPr>
            <w:tcW w:w="1575" w:type="dxa"/>
            <w:tcBorders>
              <w:top w:val="single" w:sz="4" w:space="0" w:color="000000"/>
              <w:left w:val="single" w:sz="8" w:space="0" w:color="000000"/>
              <w:bottom w:val="single" w:sz="8" w:space="0" w:color="000000"/>
              <w:right w:val="single" w:sz="8" w:space="0" w:color="000000"/>
            </w:tcBorders>
            <w:shd w:val="clear" w:color="auto" w:fill="DDEBF7"/>
            <w:vAlign w:val="bottom"/>
          </w:tcPr>
          <w:p w:rsidR="00C4252D" w14:paraId="0000005B" w14:textId="77777777">
            <w:pPr>
              <w:widowControl/>
              <w:jc w:val="center"/>
              <w:rPr>
                <w:rFonts w:ascii="Calibri" w:eastAsia="Calibri" w:hAnsi="Calibri" w:cs="Calibri"/>
                <w:b/>
                <w:bCs/>
                <w:sz w:val="22"/>
                <w:szCs w:val="22"/>
              </w:rPr>
            </w:pPr>
            <w:r>
              <w:rPr>
                <w:rFonts w:ascii="Calibri" w:eastAsia="Calibri" w:hAnsi="Calibri" w:cs="Calibri"/>
                <w:b/>
                <w:bCs/>
                <w:sz w:val="22"/>
                <w:szCs w:val="22"/>
              </w:rPr>
              <w:t>4 </w:t>
            </w:r>
          </w:p>
        </w:tc>
        <w:tc>
          <w:tcPr>
            <w:tcW w:w="1125" w:type="dxa"/>
            <w:tcBorders>
              <w:top w:val="single" w:sz="4" w:space="0" w:color="000000"/>
              <w:left w:val="single" w:sz="8" w:space="0" w:color="000000"/>
              <w:bottom w:val="single" w:sz="8" w:space="0" w:color="000000"/>
              <w:right w:val="single" w:sz="8" w:space="0" w:color="000000"/>
            </w:tcBorders>
            <w:shd w:val="clear" w:color="auto" w:fill="000000"/>
            <w:vAlign w:val="bottom"/>
          </w:tcPr>
          <w:p w:rsidR="00C4252D" w14:paraId="0000005C" w14:textId="77777777">
            <w:pPr>
              <w:widowControl/>
              <w:jc w:val="center"/>
              <w:rPr>
                <w:rFonts w:ascii="Calibri" w:eastAsia="Calibri" w:hAnsi="Calibri" w:cs="Calibri"/>
                <w:b/>
                <w:bCs/>
                <w:sz w:val="22"/>
                <w:szCs w:val="22"/>
              </w:rPr>
            </w:pPr>
            <w:r>
              <w:rPr>
                <w:rFonts w:ascii="Calibri" w:eastAsia="Calibri" w:hAnsi="Calibri" w:cs="Calibri"/>
                <w:b/>
                <w:bCs/>
                <w:sz w:val="22"/>
                <w:szCs w:val="22"/>
              </w:rPr>
              <w:t> </w:t>
            </w:r>
          </w:p>
        </w:tc>
        <w:tc>
          <w:tcPr>
            <w:tcW w:w="1260" w:type="dxa"/>
            <w:tcBorders>
              <w:top w:val="single" w:sz="4" w:space="0" w:color="000000"/>
              <w:left w:val="single" w:sz="8" w:space="0" w:color="000000"/>
              <w:bottom w:val="single" w:sz="8" w:space="0" w:color="000000"/>
              <w:right w:val="single" w:sz="8" w:space="0" w:color="000000"/>
            </w:tcBorders>
            <w:shd w:val="clear" w:color="auto" w:fill="DDEBF7"/>
            <w:vAlign w:val="bottom"/>
          </w:tcPr>
          <w:p w:rsidR="00C4252D" w14:paraId="0000005D" w14:textId="77777777">
            <w:pPr>
              <w:widowControl/>
              <w:jc w:val="center"/>
              <w:rPr>
                <w:rFonts w:ascii="Calibri" w:eastAsia="Calibri" w:hAnsi="Calibri" w:cs="Calibri"/>
                <w:b/>
                <w:bCs/>
                <w:sz w:val="22"/>
                <w:szCs w:val="22"/>
              </w:rPr>
            </w:pPr>
            <w:r>
              <w:rPr>
                <w:rFonts w:ascii="Calibri" w:eastAsia="Calibri" w:hAnsi="Calibri" w:cs="Calibri"/>
                <w:b/>
                <w:bCs/>
                <w:sz w:val="22"/>
                <w:szCs w:val="22"/>
              </w:rPr>
              <w:t>300</w:t>
            </w:r>
          </w:p>
        </w:tc>
        <w:tc>
          <w:tcPr>
            <w:tcW w:w="1365" w:type="dxa"/>
            <w:tcBorders>
              <w:top w:val="single" w:sz="4" w:space="0" w:color="000000"/>
              <w:left w:val="single" w:sz="8" w:space="0" w:color="000000"/>
              <w:bottom w:val="single" w:sz="8" w:space="0" w:color="000000"/>
              <w:right w:val="single" w:sz="8" w:space="0" w:color="000000"/>
            </w:tcBorders>
            <w:shd w:val="clear" w:color="auto" w:fill="000000"/>
            <w:vAlign w:val="bottom"/>
          </w:tcPr>
          <w:p w:rsidR="00C4252D" w14:paraId="0000005E" w14:textId="77777777">
            <w:pPr>
              <w:widowControl/>
              <w:jc w:val="center"/>
              <w:rPr>
                <w:rFonts w:ascii="Calibri" w:eastAsia="Calibri" w:hAnsi="Calibri" w:cs="Calibri"/>
                <w:b/>
                <w:bCs/>
                <w:sz w:val="22"/>
                <w:szCs w:val="22"/>
              </w:rPr>
            </w:pPr>
            <w:r>
              <w:rPr>
                <w:rFonts w:ascii="Calibri" w:eastAsia="Calibri" w:hAnsi="Calibri" w:cs="Calibri"/>
                <w:b/>
                <w:bCs/>
                <w:sz w:val="22"/>
                <w:szCs w:val="22"/>
              </w:rPr>
              <w:t> </w:t>
            </w:r>
          </w:p>
        </w:tc>
        <w:tc>
          <w:tcPr>
            <w:tcW w:w="1590" w:type="dxa"/>
            <w:tcBorders>
              <w:top w:val="single" w:sz="4" w:space="0" w:color="000000"/>
              <w:left w:val="single" w:sz="8" w:space="0" w:color="000000"/>
              <w:bottom w:val="single" w:sz="4" w:space="0" w:color="000000"/>
              <w:right w:val="single" w:sz="8" w:space="0" w:color="000000"/>
            </w:tcBorders>
            <w:shd w:val="clear" w:color="auto" w:fill="DDEBF7"/>
            <w:vAlign w:val="bottom"/>
          </w:tcPr>
          <w:p w:rsidR="00C4252D" w14:paraId="0000005F" w14:textId="7C8DD050">
            <w:pPr>
              <w:widowControl/>
              <w:jc w:val="center"/>
              <w:rPr>
                <w:rFonts w:ascii="Calibri" w:eastAsia="Calibri" w:hAnsi="Calibri" w:cs="Calibri"/>
                <w:sz w:val="22"/>
                <w:szCs w:val="22"/>
              </w:rPr>
            </w:pPr>
            <w:r>
              <w:rPr>
                <w:rFonts w:ascii="Calibri" w:eastAsia="Calibri" w:hAnsi="Calibri" w:cs="Calibri"/>
                <w:sz w:val="22"/>
                <w:szCs w:val="22"/>
              </w:rPr>
              <w:t>$25,</w:t>
            </w:r>
            <w:r w:rsidR="00447EB5">
              <w:rPr>
                <w:rFonts w:ascii="Calibri" w:eastAsia="Calibri" w:hAnsi="Calibri" w:cs="Calibri"/>
                <w:sz w:val="22"/>
                <w:szCs w:val="22"/>
              </w:rPr>
              <w:t>998</w:t>
            </w:r>
          </w:p>
        </w:tc>
      </w:tr>
    </w:tbl>
    <w:p w:rsidR="00C4252D" w14:paraId="00000060" w14:textId="1F3D0693">
      <w:pPr>
        <w:spacing w:line="259" w:lineRule="auto"/>
        <w:ind w:hanging="43"/>
        <w:sectPr>
          <w:pgSz w:w="15840" w:h="12240" w:orient="landscape"/>
          <w:pgMar w:top="1440" w:right="1440" w:bottom="1440" w:left="1440" w:header="0" w:footer="714" w:gutter="0"/>
          <w:cols w:space="720"/>
        </w:sectPr>
      </w:pPr>
      <w:r>
        <w:t xml:space="preserve">Occupational Code 11-9121, Management Occupations &gt; Natural Science Managers, was used to determine the mean hourly wage rate.  </w:t>
      </w:r>
      <w:hyperlink r:id="rId14">
        <w:r w:rsidR="00224153">
          <w:rPr>
            <w:color w:val="1155CC"/>
            <w:u w:val="single"/>
          </w:rPr>
          <w:t>https://data.bls.gov/oesprofile/?major_group=110000&amp;occupation=119121&amp;measure=01&amp;areas=INDUSTRY,STATE,MSA</w:t>
        </w:r>
      </w:hyperlink>
      <w:r>
        <w:t>.</w:t>
      </w:r>
    </w:p>
    <w:p w:rsidR="00C4252D" w14:paraId="00000061" w14:textId="77777777">
      <w:pPr>
        <w:numPr>
          <w:ilvl w:val="0"/>
          <w:numId w:val="3"/>
        </w:numPr>
        <w:pBdr>
          <w:top w:val="nil"/>
          <w:left w:val="nil"/>
          <w:bottom w:val="nil"/>
          <w:right w:val="nil"/>
          <w:between w:val="nil"/>
        </w:pBdr>
        <w:tabs>
          <w:tab w:val="left" w:pos="360"/>
        </w:tabs>
        <w:spacing w:before="80"/>
        <w:ind w:left="0" w:firstLine="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C4252D" w:rsidP="00302F11" w14:paraId="00000062" w14:textId="71A28602">
      <w:pPr>
        <w:spacing w:before="120"/>
      </w:pPr>
      <w:r>
        <w:t>There are no capital costs or operating and maintenance costs associated with this information collection. All information is submitted electronically, so there are no costs to the respondents.</w:t>
      </w:r>
    </w:p>
    <w:p w:rsidR="00C4252D" w14:paraId="00000063"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C4252D" w14:paraId="00000064" w14:textId="77777777">
      <w:pPr>
        <w:pBdr>
          <w:top w:val="nil"/>
          <w:left w:val="nil"/>
          <w:bottom w:val="nil"/>
          <w:right w:val="nil"/>
          <w:between w:val="nil"/>
        </w:pBdr>
        <w:spacing w:before="9" w:after="1"/>
        <w:rPr>
          <w:b/>
          <w:bCs/>
          <w:color w:val="000000"/>
        </w:rPr>
      </w:pPr>
    </w:p>
    <w:tbl>
      <w:tblPr>
        <w:tblStyle w:val="a7"/>
        <w:tblW w:w="8240" w:type="dxa"/>
        <w:tblInd w:w="-140" w:type="dxa"/>
        <w:tblLayout w:type="fixed"/>
        <w:tblLook w:val="0400"/>
      </w:tblPr>
      <w:tblGrid>
        <w:gridCol w:w="2280"/>
        <w:gridCol w:w="1120"/>
        <w:gridCol w:w="1140"/>
        <w:gridCol w:w="1120"/>
        <w:gridCol w:w="1280"/>
        <w:gridCol w:w="1300"/>
      </w:tblGrid>
      <w:tr w14:paraId="15770D48" w14:textId="77777777">
        <w:tblPrEx>
          <w:tblW w:w="8240" w:type="dxa"/>
          <w:tblInd w:w="-140"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C4252D" w14:paraId="0000006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20" w:type="dxa"/>
            <w:tcBorders>
              <w:top w:val="single" w:sz="8" w:space="0" w:color="000000"/>
              <w:left w:val="nil"/>
              <w:bottom w:val="nil"/>
              <w:right w:val="single" w:sz="8" w:space="0" w:color="000000"/>
            </w:tcBorders>
            <w:shd w:val="clear" w:color="auto" w:fill="BDD7EE"/>
            <w:vAlign w:val="center"/>
          </w:tcPr>
          <w:p w:rsidR="00C4252D" w14:paraId="0000006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140" w:type="dxa"/>
            <w:tcBorders>
              <w:top w:val="single" w:sz="8" w:space="0" w:color="000000"/>
              <w:left w:val="nil"/>
              <w:bottom w:val="nil"/>
              <w:right w:val="single" w:sz="8" w:space="0" w:color="000000"/>
            </w:tcBorders>
            <w:shd w:val="clear" w:color="auto" w:fill="BDD7EE"/>
            <w:vAlign w:val="center"/>
          </w:tcPr>
          <w:p w:rsidR="00C4252D" w14:paraId="0000006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20" w:type="dxa"/>
            <w:tcBorders>
              <w:top w:val="single" w:sz="8" w:space="0" w:color="000000"/>
              <w:left w:val="nil"/>
              <w:bottom w:val="nil"/>
              <w:right w:val="single" w:sz="8" w:space="0" w:color="000000"/>
            </w:tcBorders>
            <w:shd w:val="clear" w:color="auto" w:fill="BDD7EE"/>
            <w:vAlign w:val="center"/>
          </w:tcPr>
          <w:p w:rsidR="00C4252D" w14:paraId="0000006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C4252D" w14:paraId="0000006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C4252D" w14:paraId="0000006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13454BC4" w14:textId="77777777">
        <w:tblPrEx>
          <w:tblW w:w="8240" w:type="dxa"/>
          <w:tblInd w:w="-14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shd w:val="clear" w:color="auto" w:fill="auto"/>
            <w:vAlign w:val="bottom"/>
          </w:tcPr>
          <w:p w:rsidR="00C4252D" w14:paraId="0000006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C4252D" w14:paraId="0000006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4" w:space="0" w:color="000000"/>
              <w:left w:val="nil"/>
              <w:bottom w:val="single" w:sz="4" w:space="0" w:color="000000"/>
              <w:right w:val="single" w:sz="4" w:space="0" w:color="000000"/>
            </w:tcBorders>
            <w:shd w:val="clear" w:color="auto" w:fill="auto"/>
            <w:vAlign w:val="bottom"/>
          </w:tcPr>
          <w:p w:rsidR="00C4252D" w14:paraId="0000006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C4252D" w14:paraId="0000006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single" w:sz="4" w:space="0" w:color="000000"/>
              <w:left w:val="nil"/>
              <w:bottom w:val="single" w:sz="4" w:space="0" w:color="000000"/>
              <w:right w:val="single" w:sz="4" w:space="0" w:color="000000"/>
            </w:tcBorders>
            <w:shd w:val="clear" w:color="auto" w:fill="808080"/>
            <w:vAlign w:val="bottom"/>
          </w:tcPr>
          <w:p w:rsidR="00C4252D" w14:paraId="0000006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4" w:space="0" w:color="000000"/>
              <w:left w:val="nil"/>
              <w:bottom w:val="single" w:sz="4" w:space="0" w:color="000000"/>
              <w:right w:val="single" w:sz="8" w:space="0" w:color="000000"/>
            </w:tcBorders>
            <w:shd w:val="clear" w:color="auto" w:fill="auto"/>
            <w:vAlign w:val="bottom"/>
          </w:tcPr>
          <w:p w:rsidR="00C4252D" w14:paraId="0000007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6478520D"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71" w14:textId="77777777">
            <w:pPr>
              <w:widowControl/>
              <w:rPr>
                <w:rFonts w:ascii="Calibri" w:eastAsia="Calibri" w:hAnsi="Calibri" w:cs="Calibri"/>
                <w:color w:val="000000"/>
                <w:sz w:val="16"/>
                <w:szCs w:val="16"/>
              </w:rPr>
            </w:pPr>
            <w:r>
              <w:rPr>
                <w:rFonts w:ascii="Calibri" w:eastAsia="Calibri" w:hAnsi="Calibri" w:cs="Calibri"/>
                <w:sz w:val="16"/>
                <w:szCs w:val="16"/>
              </w:rPr>
              <w:t>Regional Coordinator #1</w:t>
            </w:r>
          </w:p>
        </w:tc>
        <w:tc>
          <w:tcPr>
            <w:tcW w:w="1120" w:type="dxa"/>
            <w:tcBorders>
              <w:top w:val="nil"/>
              <w:left w:val="nil"/>
              <w:bottom w:val="single" w:sz="4" w:space="0" w:color="000000"/>
              <w:right w:val="single" w:sz="4" w:space="0" w:color="000000"/>
            </w:tcBorders>
            <w:shd w:val="clear" w:color="auto" w:fill="auto"/>
            <w:vAlign w:val="bottom"/>
          </w:tcPr>
          <w:p w:rsidR="00C4252D" w14:paraId="00000072" w14:textId="77777777">
            <w:pPr>
              <w:widowControl/>
              <w:rPr>
                <w:rFonts w:ascii="Calibri" w:eastAsia="Calibri" w:hAnsi="Calibri" w:cs="Calibri"/>
                <w:color w:val="000000"/>
                <w:sz w:val="16"/>
                <w:szCs w:val="16"/>
              </w:rPr>
            </w:pPr>
            <w:r>
              <w:rPr>
                <w:rFonts w:ascii="Calibri" w:eastAsia="Calibri" w:hAnsi="Calibri" w:cs="Calibri"/>
                <w:sz w:val="16"/>
                <w:szCs w:val="16"/>
              </w:rPr>
              <w:t>ZA-0343-4</w:t>
            </w:r>
          </w:p>
        </w:tc>
        <w:tc>
          <w:tcPr>
            <w:tcW w:w="1140" w:type="dxa"/>
            <w:tcBorders>
              <w:top w:val="nil"/>
              <w:left w:val="nil"/>
              <w:bottom w:val="single" w:sz="4" w:space="0" w:color="000000"/>
              <w:right w:val="single" w:sz="4" w:space="0" w:color="000000"/>
            </w:tcBorders>
            <w:shd w:val="clear" w:color="auto" w:fill="auto"/>
            <w:vAlign w:val="bottom"/>
          </w:tcPr>
          <w:p w:rsidR="00C4252D" w14:paraId="0000007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$245,271</w:t>
            </w:r>
          </w:p>
        </w:tc>
        <w:tc>
          <w:tcPr>
            <w:tcW w:w="1120" w:type="dxa"/>
            <w:tcBorders>
              <w:top w:val="nil"/>
              <w:left w:val="nil"/>
              <w:bottom w:val="single" w:sz="4" w:space="0" w:color="000000"/>
              <w:right w:val="single" w:sz="4" w:space="0" w:color="000000"/>
            </w:tcBorders>
            <w:shd w:val="clear" w:color="auto" w:fill="auto"/>
            <w:vAlign w:val="bottom"/>
          </w:tcPr>
          <w:p w:rsidR="00C4252D" w14:paraId="0000007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1</w:t>
            </w:r>
            <w:r>
              <w:rPr>
                <w:rFonts w:ascii="Calibri" w:eastAsia="Calibri" w:hAnsi="Calibri" w:cs="Calibri"/>
                <w:sz w:val="16"/>
                <w:szCs w:val="16"/>
              </w:rPr>
              <w:t>.0%</w:t>
            </w:r>
          </w:p>
        </w:tc>
        <w:tc>
          <w:tcPr>
            <w:tcW w:w="1280" w:type="dxa"/>
            <w:tcBorders>
              <w:top w:val="nil"/>
              <w:left w:val="nil"/>
              <w:bottom w:val="single" w:sz="4" w:space="0" w:color="000000"/>
              <w:right w:val="single" w:sz="4" w:space="0" w:color="000000"/>
            </w:tcBorders>
            <w:shd w:val="clear" w:color="auto" w:fill="808080"/>
            <w:vAlign w:val="bottom"/>
          </w:tcPr>
          <w:p w:rsidR="00C4252D" w14:paraId="0000007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7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$2,453</w:t>
            </w:r>
          </w:p>
        </w:tc>
      </w:tr>
      <w:tr w14:paraId="76F0B13C"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7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Regional Coordinator #2</w:t>
            </w:r>
          </w:p>
        </w:tc>
        <w:tc>
          <w:tcPr>
            <w:tcW w:w="1120" w:type="dxa"/>
            <w:tcBorders>
              <w:top w:val="nil"/>
              <w:left w:val="nil"/>
              <w:bottom w:val="single" w:sz="4" w:space="0" w:color="000000"/>
              <w:right w:val="single" w:sz="4" w:space="0" w:color="000000"/>
            </w:tcBorders>
            <w:shd w:val="clear" w:color="auto" w:fill="auto"/>
            <w:vAlign w:val="bottom"/>
          </w:tcPr>
          <w:p w:rsidR="00C4252D" w14:paraId="0000007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ZA-0343-4</w:t>
            </w:r>
          </w:p>
        </w:tc>
        <w:tc>
          <w:tcPr>
            <w:tcW w:w="1140" w:type="dxa"/>
            <w:tcBorders>
              <w:top w:val="nil"/>
              <w:left w:val="nil"/>
              <w:bottom w:val="single" w:sz="4" w:space="0" w:color="000000"/>
              <w:right w:val="single" w:sz="4" w:space="0" w:color="000000"/>
            </w:tcBorders>
            <w:shd w:val="clear" w:color="auto" w:fill="auto"/>
            <w:vAlign w:val="bottom"/>
          </w:tcPr>
          <w:p w:rsidR="00C4252D" w14:paraId="0000007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 $245,271</w:t>
            </w:r>
          </w:p>
        </w:tc>
        <w:tc>
          <w:tcPr>
            <w:tcW w:w="1120" w:type="dxa"/>
            <w:tcBorders>
              <w:top w:val="nil"/>
              <w:left w:val="nil"/>
              <w:bottom w:val="single" w:sz="4" w:space="0" w:color="000000"/>
              <w:right w:val="single" w:sz="4" w:space="0" w:color="000000"/>
            </w:tcBorders>
            <w:shd w:val="clear" w:color="auto" w:fill="auto"/>
            <w:vAlign w:val="bottom"/>
          </w:tcPr>
          <w:p w:rsidR="00C4252D" w14:paraId="0000007A" w14:textId="77777777">
            <w:pPr>
              <w:widowControl/>
              <w:rPr>
                <w:rFonts w:ascii="Calibri" w:eastAsia="Calibri" w:hAnsi="Calibri" w:cs="Calibri"/>
                <w:color w:val="000000"/>
                <w:sz w:val="16"/>
                <w:szCs w:val="16"/>
              </w:rPr>
            </w:pPr>
            <w:r>
              <w:rPr>
                <w:rFonts w:ascii="Calibri" w:eastAsia="Calibri" w:hAnsi="Calibri" w:cs="Calibri"/>
                <w:sz w:val="16"/>
                <w:szCs w:val="16"/>
              </w:rPr>
              <w:t>1.0%</w:t>
            </w:r>
          </w:p>
        </w:tc>
        <w:tc>
          <w:tcPr>
            <w:tcW w:w="1280" w:type="dxa"/>
            <w:tcBorders>
              <w:top w:val="nil"/>
              <w:left w:val="nil"/>
              <w:bottom w:val="single" w:sz="4" w:space="0" w:color="000000"/>
              <w:right w:val="single" w:sz="4" w:space="0" w:color="000000"/>
            </w:tcBorders>
            <w:shd w:val="clear" w:color="auto" w:fill="808080"/>
            <w:vAlign w:val="bottom"/>
          </w:tcPr>
          <w:p w:rsidR="00C4252D" w14:paraId="0000007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7C" w14:textId="77777777">
            <w:pPr>
              <w:widowControl/>
              <w:rPr>
                <w:rFonts w:ascii="Calibri" w:eastAsia="Calibri" w:hAnsi="Calibri" w:cs="Calibri"/>
                <w:color w:val="000000"/>
                <w:sz w:val="16"/>
                <w:szCs w:val="16"/>
              </w:rPr>
            </w:pPr>
            <w:r>
              <w:rPr>
                <w:rFonts w:ascii="Calibri" w:eastAsia="Calibri" w:hAnsi="Calibri" w:cs="Calibri"/>
                <w:sz w:val="16"/>
                <w:szCs w:val="16"/>
              </w:rPr>
              <w:t> $2,453</w:t>
            </w:r>
          </w:p>
        </w:tc>
      </w:tr>
      <w:tr w14:paraId="0ACC35F3"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7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DMAC Reviewer #1</w:t>
            </w:r>
          </w:p>
        </w:tc>
        <w:tc>
          <w:tcPr>
            <w:tcW w:w="1120" w:type="dxa"/>
            <w:tcBorders>
              <w:top w:val="nil"/>
              <w:left w:val="nil"/>
              <w:bottom w:val="single" w:sz="4" w:space="0" w:color="000000"/>
              <w:right w:val="single" w:sz="4" w:space="0" w:color="000000"/>
            </w:tcBorders>
            <w:shd w:val="clear" w:color="auto" w:fill="auto"/>
            <w:vAlign w:val="bottom"/>
          </w:tcPr>
          <w:p w:rsidR="00C4252D" w14:paraId="0000007E" w14:textId="77777777">
            <w:pPr>
              <w:widowControl/>
              <w:rPr>
                <w:rFonts w:ascii="Calibri" w:eastAsia="Calibri" w:hAnsi="Calibri" w:cs="Calibri"/>
                <w:color w:val="000000"/>
                <w:sz w:val="16"/>
                <w:szCs w:val="16"/>
              </w:rPr>
            </w:pPr>
            <w:r>
              <w:rPr>
                <w:rFonts w:ascii="Calibri" w:eastAsia="Calibri" w:hAnsi="Calibri" w:cs="Calibri"/>
                <w:sz w:val="16"/>
                <w:szCs w:val="16"/>
              </w:rPr>
              <w:t>ZP-1301-4</w:t>
            </w:r>
          </w:p>
        </w:tc>
        <w:tc>
          <w:tcPr>
            <w:tcW w:w="1140" w:type="dxa"/>
            <w:tcBorders>
              <w:top w:val="nil"/>
              <w:left w:val="nil"/>
              <w:bottom w:val="single" w:sz="4" w:space="0" w:color="000000"/>
              <w:right w:val="single" w:sz="4" w:space="0" w:color="000000"/>
            </w:tcBorders>
            <w:shd w:val="clear" w:color="auto" w:fill="auto"/>
            <w:vAlign w:val="bottom"/>
          </w:tcPr>
          <w:p w:rsidR="00C4252D" w14:paraId="0000007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 $245,271</w:t>
            </w:r>
          </w:p>
        </w:tc>
        <w:tc>
          <w:tcPr>
            <w:tcW w:w="1120" w:type="dxa"/>
            <w:tcBorders>
              <w:top w:val="nil"/>
              <w:left w:val="nil"/>
              <w:bottom w:val="single" w:sz="4" w:space="0" w:color="000000"/>
              <w:right w:val="single" w:sz="4" w:space="0" w:color="000000"/>
            </w:tcBorders>
            <w:shd w:val="clear" w:color="auto" w:fill="auto"/>
            <w:vAlign w:val="bottom"/>
          </w:tcPr>
          <w:p w:rsidR="00C4252D" w14:paraId="00000080" w14:textId="77777777">
            <w:pPr>
              <w:widowControl/>
              <w:rPr>
                <w:rFonts w:ascii="Calibri" w:eastAsia="Calibri" w:hAnsi="Calibri" w:cs="Calibri"/>
                <w:color w:val="000000"/>
                <w:sz w:val="16"/>
                <w:szCs w:val="16"/>
              </w:rPr>
            </w:pPr>
            <w:r>
              <w:rPr>
                <w:rFonts w:ascii="Calibri" w:eastAsia="Calibri" w:hAnsi="Calibri" w:cs="Calibri"/>
                <w:sz w:val="16"/>
                <w:szCs w:val="16"/>
              </w:rPr>
              <w:t>1.0%</w:t>
            </w:r>
            <w:r>
              <w:rPr>
                <w:rFonts w:ascii="Calibri" w:eastAsia="Calibri" w:hAnsi="Calibri" w:cs="Calibri"/>
                <w:color w:val="000000"/>
                <w:sz w:val="16"/>
                <w:szCs w:val="16"/>
              </w:rPr>
              <w:t xml:space="preserve"> </w:t>
            </w:r>
          </w:p>
        </w:tc>
        <w:tc>
          <w:tcPr>
            <w:tcW w:w="1280" w:type="dxa"/>
            <w:tcBorders>
              <w:top w:val="nil"/>
              <w:left w:val="nil"/>
              <w:bottom w:val="single" w:sz="4" w:space="0" w:color="000000"/>
              <w:right w:val="single" w:sz="4" w:space="0" w:color="000000"/>
            </w:tcBorders>
            <w:shd w:val="clear" w:color="auto" w:fill="808080"/>
            <w:vAlign w:val="bottom"/>
          </w:tcPr>
          <w:p w:rsidR="00C4252D" w14:paraId="0000008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82" w14:textId="77777777">
            <w:pPr>
              <w:widowControl/>
              <w:rPr>
                <w:rFonts w:ascii="Calibri" w:eastAsia="Calibri" w:hAnsi="Calibri" w:cs="Calibri"/>
                <w:color w:val="000000"/>
                <w:sz w:val="16"/>
                <w:szCs w:val="16"/>
              </w:rPr>
            </w:pPr>
            <w:r>
              <w:rPr>
                <w:rFonts w:ascii="Calibri" w:eastAsia="Calibri" w:hAnsi="Calibri" w:cs="Calibri"/>
                <w:sz w:val="16"/>
                <w:szCs w:val="16"/>
              </w:rPr>
              <w:t> $2,453</w:t>
            </w:r>
          </w:p>
        </w:tc>
      </w:tr>
      <w:tr w14:paraId="573E5529"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83" w14:textId="77777777">
            <w:pPr>
              <w:widowControl/>
              <w:rPr>
                <w:rFonts w:ascii="Calibri" w:eastAsia="Calibri" w:hAnsi="Calibri" w:cs="Calibri"/>
                <w:color w:val="000000"/>
                <w:sz w:val="16"/>
                <w:szCs w:val="16"/>
              </w:rPr>
            </w:pPr>
            <w:r>
              <w:rPr>
                <w:rFonts w:ascii="Calibri" w:eastAsia="Calibri" w:hAnsi="Calibri" w:cs="Calibri"/>
                <w:sz w:val="16"/>
                <w:szCs w:val="16"/>
              </w:rPr>
              <w:t>DMAC Reviewer #2</w:t>
            </w:r>
          </w:p>
        </w:tc>
        <w:tc>
          <w:tcPr>
            <w:tcW w:w="1120" w:type="dxa"/>
            <w:tcBorders>
              <w:top w:val="nil"/>
              <w:left w:val="nil"/>
              <w:bottom w:val="single" w:sz="4" w:space="0" w:color="000000"/>
              <w:right w:val="single" w:sz="4" w:space="0" w:color="000000"/>
            </w:tcBorders>
            <w:shd w:val="clear" w:color="auto" w:fill="auto"/>
            <w:vAlign w:val="bottom"/>
          </w:tcPr>
          <w:p w:rsidR="00C4252D" w14:paraId="00000084" w14:textId="77777777">
            <w:pPr>
              <w:widowControl/>
              <w:rPr>
                <w:rFonts w:ascii="Calibri" w:eastAsia="Calibri" w:hAnsi="Calibri" w:cs="Calibri"/>
                <w:color w:val="000000"/>
                <w:sz w:val="16"/>
                <w:szCs w:val="16"/>
              </w:rPr>
            </w:pPr>
            <w:r>
              <w:rPr>
                <w:rFonts w:ascii="Calibri" w:eastAsia="Calibri" w:hAnsi="Calibri" w:cs="Calibri"/>
                <w:sz w:val="16"/>
                <w:szCs w:val="16"/>
              </w:rPr>
              <w:t>ZP-1301-4</w:t>
            </w:r>
          </w:p>
        </w:tc>
        <w:tc>
          <w:tcPr>
            <w:tcW w:w="1140" w:type="dxa"/>
            <w:tcBorders>
              <w:top w:val="nil"/>
              <w:left w:val="nil"/>
              <w:bottom w:val="single" w:sz="4" w:space="0" w:color="000000"/>
              <w:right w:val="single" w:sz="4" w:space="0" w:color="000000"/>
            </w:tcBorders>
            <w:shd w:val="clear" w:color="auto" w:fill="auto"/>
            <w:vAlign w:val="bottom"/>
          </w:tcPr>
          <w:p w:rsidR="00C4252D" w14:paraId="00000085" w14:textId="77777777">
            <w:pPr>
              <w:widowControl/>
              <w:rPr>
                <w:rFonts w:ascii="Calibri" w:eastAsia="Calibri" w:hAnsi="Calibri" w:cs="Calibri"/>
                <w:color w:val="000000"/>
                <w:sz w:val="16"/>
                <w:szCs w:val="16"/>
              </w:rPr>
            </w:pPr>
            <w:r>
              <w:rPr>
                <w:rFonts w:ascii="Calibri" w:eastAsia="Calibri" w:hAnsi="Calibri" w:cs="Calibri"/>
                <w:sz w:val="16"/>
                <w:szCs w:val="16"/>
              </w:rPr>
              <w:t> $245,271</w:t>
            </w:r>
          </w:p>
        </w:tc>
        <w:tc>
          <w:tcPr>
            <w:tcW w:w="1120" w:type="dxa"/>
            <w:tcBorders>
              <w:top w:val="nil"/>
              <w:left w:val="nil"/>
              <w:bottom w:val="single" w:sz="4" w:space="0" w:color="000000"/>
              <w:right w:val="single" w:sz="4" w:space="0" w:color="000000"/>
            </w:tcBorders>
            <w:shd w:val="clear" w:color="auto" w:fill="auto"/>
            <w:vAlign w:val="bottom"/>
          </w:tcPr>
          <w:p w:rsidR="00C4252D" w14:paraId="00000086" w14:textId="77777777">
            <w:pPr>
              <w:widowControl/>
              <w:rPr>
                <w:rFonts w:ascii="Calibri" w:eastAsia="Calibri" w:hAnsi="Calibri" w:cs="Calibri"/>
                <w:color w:val="000000"/>
                <w:sz w:val="16"/>
                <w:szCs w:val="16"/>
              </w:rPr>
            </w:pPr>
            <w:r>
              <w:rPr>
                <w:rFonts w:ascii="Calibri" w:eastAsia="Calibri" w:hAnsi="Calibri" w:cs="Calibri"/>
                <w:sz w:val="16"/>
                <w:szCs w:val="16"/>
              </w:rPr>
              <w:t>1.0%</w:t>
            </w:r>
          </w:p>
        </w:tc>
        <w:tc>
          <w:tcPr>
            <w:tcW w:w="1280" w:type="dxa"/>
            <w:tcBorders>
              <w:top w:val="nil"/>
              <w:left w:val="nil"/>
              <w:bottom w:val="single" w:sz="4" w:space="0" w:color="000000"/>
              <w:right w:val="single" w:sz="4" w:space="0" w:color="000000"/>
            </w:tcBorders>
            <w:shd w:val="clear" w:color="auto" w:fill="808080"/>
            <w:vAlign w:val="bottom"/>
          </w:tcPr>
          <w:p w:rsidR="00C4252D" w14:paraId="00000087" w14:textId="77777777">
            <w:pPr>
              <w:widowControl/>
              <w:rPr>
                <w:rFonts w:ascii="Calibri" w:eastAsia="Calibri" w:hAnsi="Calibri" w:cs="Calibri"/>
                <w:color w:val="000000"/>
                <w:sz w:val="16"/>
                <w:szCs w:val="16"/>
              </w:rPr>
            </w:pPr>
          </w:p>
        </w:tc>
        <w:tc>
          <w:tcPr>
            <w:tcW w:w="1300" w:type="dxa"/>
            <w:tcBorders>
              <w:top w:val="nil"/>
              <w:left w:val="nil"/>
              <w:bottom w:val="single" w:sz="4" w:space="0" w:color="000000"/>
              <w:right w:val="single" w:sz="8" w:space="0" w:color="000000"/>
            </w:tcBorders>
            <w:shd w:val="clear" w:color="auto" w:fill="auto"/>
            <w:vAlign w:val="bottom"/>
          </w:tcPr>
          <w:p w:rsidR="00C4252D" w14:paraId="00000088" w14:textId="77777777">
            <w:pPr>
              <w:widowControl/>
              <w:rPr>
                <w:rFonts w:ascii="Calibri" w:eastAsia="Calibri" w:hAnsi="Calibri" w:cs="Calibri"/>
                <w:color w:val="000000"/>
                <w:sz w:val="16"/>
                <w:szCs w:val="16"/>
              </w:rPr>
            </w:pPr>
            <w:r>
              <w:rPr>
                <w:rFonts w:ascii="Calibri" w:eastAsia="Calibri" w:hAnsi="Calibri" w:cs="Calibri"/>
                <w:sz w:val="16"/>
                <w:szCs w:val="16"/>
              </w:rPr>
              <w:t> $2,453</w:t>
            </w:r>
          </w:p>
        </w:tc>
      </w:tr>
      <w:tr w14:paraId="0D55F458" w14:textId="77777777">
        <w:tblPrEx>
          <w:tblW w:w="8240" w:type="dxa"/>
          <w:tblInd w:w="-140" w:type="dxa"/>
          <w:tblLayout w:type="fixed"/>
          <w:tblLook w:val="0400"/>
        </w:tblPrEx>
        <w:trPr>
          <w:trHeight w:val="465"/>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89"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120" w:type="dxa"/>
            <w:tcBorders>
              <w:top w:val="nil"/>
              <w:left w:val="nil"/>
              <w:bottom w:val="single" w:sz="4" w:space="0" w:color="000000"/>
              <w:right w:val="single" w:sz="4" w:space="0" w:color="000000"/>
            </w:tcBorders>
            <w:shd w:val="clear" w:color="auto" w:fill="808080"/>
            <w:vAlign w:val="bottom"/>
          </w:tcPr>
          <w:p w:rsidR="00C4252D" w14:paraId="0000008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C4252D" w14:paraId="0000008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C4252D" w14:paraId="0000008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C4252D" w14:paraId="0000008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8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358B7D68"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8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Program A</w:t>
            </w:r>
            <w:r>
              <w:rPr>
                <w:rFonts w:ascii="Calibri" w:eastAsia="Calibri" w:hAnsi="Calibri" w:cs="Calibri"/>
                <w:sz w:val="16"/>
                <w:szCs w:val="16"/>
              </w:rPr>
              <w:t>nalyst</w:t>
            </w:r>
          </w:p>
        </w:tc>
        <w:tc>
          <w:tcPr>
            <w:tcW w:w="1120" w:type="dxa"/>
            <w:tcBorders>
              <w:top w:val="nil"/>
              <w:left w:val="nil"/>
              <w:bottom w:val="single" w:sz="4" w:space="0" w:color="000000"/>
              <w:right w:val="single" w:sz="4" w:space="0" w:color="000000"/>
            </w:tcBorders>
            <w:shd w:val="clear" w:color="auto" w:fill="auto"/>
            <w:vAlign w:val="bottom"/>
          </w:tcPr>
          <w:p w:rsidR="00C4252D" w14:paraId="0000009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C4252D" w14:paraId="00000091" w14:textId="77777777">
            <w:pPr>
              <w:widowControl/>
              <w:rPr>
                <w:rFonts w:ascii="Calibri" w:eastAsia="Calibri" w:hAnsi="Calibri" w:cs="Calibri"/>
                <w:sz w:val="16"/>
                <w:szCs w:val="16"/>
              </w:rPr>
            </w:pPr>
            <w:r>
              <w:rPr>
                <w:rFonts w:ascii="Calibri" w:eastAsia="Calibri" w:hAnsi="Calibri" w:cs="Calibri"/>
                <w:sz w:val="16"/>
                <w:szCs w:val="16"/>
              </w:rPr>
              <w:t>$ 157,500</w:t>
            </w:r>
          </w:p>
        </w:tc>
        <w:tc>
          <w:tcPr>
            <w:tcW w:w="1120" w:type="dxa"/>
            <w:tcBorders>
              <w:top w:val="nil"/>
              <w:left w:val="nil"/>
              <w:bottom w:val="single" w:sz="4" w:space="0" w:color="000000"/>
              <w:right w:val="single" w:sz="4" w:space="0" w:color="000000"/>
            </w:tcBorders>
            <w:shd w:val="clear" w:color="auto" w:fill="auto"/>
            <w:vAlign w:val="bottom"/>
          </w:tcPr>
          <w:p w:rsidR="00C4252D" w14:paraId="0000009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7.5%</w:t>
            </w:r>
          </w:p>
        </w:tc>
        <w:tc>
          <w:tcPr>
            <w:tcW w:w="1280" w:type="dxa"/>
            <w:tcBorders>
              <w:top w:val="nil"/>
              <w:left w:val="nil"/>
              <w:bottom w:val="single" w:sz="4" w:space="0" w:color="000000"/>
              <w:right w:val="single" w:sz="4" w:space="0" w:color="000000"/>
            </w:tcBorders>
            <w:shd w:val="clear" w:color="auto" w:fill="auto"/>
            <w:vAlign w:val="bottom"/>
          </w:tcPr>
          <w:p w:rsidR="00C4252D" w14:paraId="0000009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9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$11,813</w:t>
            </w:r>
          </w:p>
        </w:tc>
      </w:tr>
      <w:tr w14:paraId="4356C36A"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9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C4252D" w14:paraId="0000009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C4252D" w14:paraId="0000009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C4252D" w14:paraId="0000009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C4252D" w14:paraId="0000009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9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7293A208"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C4252D" w14:paraId="0000009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120" w:type="dxa"/>
            <w:tcBorders>
              <w:top w:val="nil"/>
              <w:left w:val="nil"/>
              <w:bottom w:val="single" w:sz="4" w:space="0" w:color="000000"/>
              <w:right w:val="single" w:sz="4" w:space="0" w:color="000000"/>
            </w:tcBorders>
            <w:shd w:val="clear" w:color="auto" w:fill="808080"/>
            <w:vAlign w:val="bottom"/>
          </w:tcPr>
          <w:p w:rsidR="00C4252D" w14:paraId="0000009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C4252D" w14:paraId="0000009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C4252D" w14:paraId="0000009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C4252D" w14:paraId="0000009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A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24BBF5A8" w14:textId="77777777">
        <w:tblPrEx>
          <w:tblW w:w="8240" w:type="dxa"/>
          <w:tblInd w:w="-140" w:type="dxa"/>
          <w:tblLayout w:type="fixed"/>
          <w:tblLook w:val="0400"/>
        </w:tblPrEx>
        <w:trPr>
          <w:trHeight w:val="315"/>
        </w:trPr>
        <w:tc>
          <w:tcPr>
            <w:tcW w:w="2280" w:type="dxa"/>
            <w:tcBorders>
              <w:top w:val="nil"/>
              <w:left w:val="single" w:sz="8" w:space="0" w:color="000000"/>
              <w:bottom w:val="nil"/>
              <w:right w:val="single" w:sz="8" w:space="0" w:color="000000"/>
            </w:tcBorders>
            <w:shd w:val="clear" w:color="auto" w:fill="auto"/>
            <w:vAlign w:val="center"/>
          </w:tcPr>
          <w:p w:rsidR="00C4252D" w14:paraId="000000A1"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120" w:type="dxa"/>
            <w:tcBorders>
              <w:top w:val="nil"/>
              <w:left w:val="nil"/>
              <w:bottom w:val="single" w:sz="4" w:space="0" w:color="000000"/>
              <w:right w:val="single" w:sz="4" w:space="0" w:color="000000"/>
            </w:tcBorders>
            <w:shd w:val="clear" w:color="auto" w:fill="808080"/>
            <w:vAlign w:val="bottom"/>
          </w:tcPr>
          <w:p w:rsidR="00C4252D" w14:paraId="000000A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C4252D" w14:paraId="000000A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C4252D" w14:paraId="000000A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C4252D" w14:paraId="000000A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C4252D" w14:paraId="000000A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59CC0579" w14:textId="77777777">
        <w:tblPrEx>
          <w:tblW w:w="8240" w:type="dxa"/>
          <w:tblInd w:w="-14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C4252D" w14:paraId="000000A7"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20" w:type="dxa"/>
            <w:tcBorders>
              <w:top w:val="single" w:sz="8" w:space="0" w:color="000000"/>
              <w:left w:val="nil"/>
              <w:bottom w:val="single" w:sz="8" w:space="0" w:color="000000"/>
              <w:right w:val="single" w:sz="8" w:space="0" w:color="000000"/>
            </w:tcBorders>
            <w:shd w:val="clear" w:color="auto" w:fill="808080"/>
            <w:vAlign w:val="bottom"/>
          </w:tcPr>
          <w:p w:rsidR="00C4252D" w14:paraId="000000A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8" w:space="0" w:color="000000"/>
              <w:left w:val="nil"/>
              <w:bottom w:val="single" w:sz="8" w:space="0" w:color="000000"/>
              <w:right w:val="single" w:sz="8" w:space="0" w:color="000000"/>
            </w:tcBorders>
            <w:shd w:val="clear" w:color="auto" w:fill="808080"/>
            <w:vAlign w:val="bottom"/>
          </w:tcPr>
          <w:p w:rsidR="00C4252D" w14:paraId="000000A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single" w:sz="8" w:space="0" w:color="000000"/>
              <w:left w:val="nil"/>
              <w:bottom w:val="single" w:sz="8" w:space="0" w:color="000000"/>
              <w:right w:val="single" w:sz="8" w:space="0" w:color="000000"/>
            </w:tcBorders>
            <w:shd w:val="clear" w:color="auto" w:fill="757171"/>
            <w:vAlign w:val="bottom"/>
          </w:tcPr>
          <w:p w:rsidR="00C4252D" w14:paraId="000000A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single" w:sz="8" w:space="0" w:color="000000"/>
              <w:left w:val="nil"/>
              <w:bottom w:val="single" w:sz="8" w:space="0" w:color="000000"/>
              <w:right w:val="single" w:sz="8" w:space="0" w:color="000000"/>
            </w:tcBorders>
            <w:shd w:val="clear" w:color="auto" w:fill="DDEBF7"/>
            <w:vAlign w:val="bottom"/>
          </w:tcPr>
          <w:p w:rsidR="00C4252D" w14:paraId="000000A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DDEBF7"/>
            <w:vAlign w:val="bottom"/>
          </w:tcPr>
          <w:p w:rsidR="00C4252D" w14:paraId="000000AC" w14:textId="77777777">
            <w:pPr>
              <w:widowControl/>
              <w:rPr>
                <w:rFonts w:ascii="Calibri" w:eastAsia="Calibri" w:hAnsi="Calibri" w:cs="Calibri"/>
                <w:b/>
                <w:bCs/>
                <w:color w:val="000000"/>
                <w:sz w:val="18"/>
                <w:szCs w:val="18"/>
              </w:rPr>
            </w:pPr>
            <w:r>
              <w:rPr>
                <w:rFonts w:ascii="Calibri" w:eastAsia="Calibri" w:hAnsi="Calibri" w:cs="Calibri"/>
                <w:b/>
                <w:bCs/>
                <w:color w:val="000000"/>
                <w:sz w:val="18"/>
                <w:szCs w:val="18"/>
              </w:rPr>
              <w:t> $ 21,625</w:t>
            </w:r>
          </w:p>
        </w:tc>
      </w:tr>
    </w:tbl>
    <w:p w:rsidR="00C4252D" w14:paraId="000000AD" w14:textId="77777777">
      <w:pPr>
        <w:pBdr>
          <w:top w:val="nil"/>
          <w:left w:val="nil"/>
          <w:bottom w:val="nil"/>
          <w:right w:val="nil"/>
          <w:between w:val="nil"/>
        </w:pBdr>
        <w:spacing w:before="9" w:after="1"/>
        <w:rPr>
          <w:b/>
          <w:bCs/>
        </w:rPr>
      </w:pPr>
    </w:p>
    <w:p w:rsidR="00C4252D" w14:paraId="000000AE" w14:textId="77777777">
      <w:pPr>
        <w:pBdr>
          <w:top w:val="nil"/>
          <w:left w:val="nil"/>
          <w:bottom w:val="nil"/>
          <w:right w:val="nil"/>
          <w:between w:val="nil"/>
        </w:pBdr>
        <w:spacing w:before="9" w:after="1"/>
      </w:pPr>
      <w:r>
        <w:t>The base salary for federal employees was calculated using the upper bound for a ZA/ZP-4 interval 3 from the Commerce Alternative Personnel System (</w:t>
      </w:r>
      <w:hyperlink r:id="rId15">
        <w:r>
          <w:rPr>
            <w:color w:val="1155CC"/>
            <w:u w:val="single"/>
          </w:rPr>
          <w:t>https://www.commerce.gov/sites/default/files/2026-01/CAPS%20Standard%20Pay%20Tables%202026.pdf</w:t>
        </w:r>
      </w:hyperlink>
      <w:r>
        <w:t>) pay tables for the Rest of U.S. locality.  The Rest of U.S. locality was used since NOAA employees are geographically dispersed.  A multiplier of 1.5 was used to calculate the loaded salary.</w:t>
      </w:r>
    </w:p>
    <w:p w:rsidR="00C4252D" w14:paraId="000000AF" w14:textId="77777777">
      <w:pPr>
        <w:pBdr>
          <w:top w:val="nil"/>
          <w:left w:val="nil"/>
          <w:bottom w:val="nil"/>
          <w:right w:val="nil"/>
          <w:between w:val="nil"/>
        </w:pBdr>
        <w:spacing w:before="9" w:after="1"/>
        <w:rPr>
          <w:b/>
          <w:bCs/>
        </w:rPr>
      </w:pPr>
    </w:p>
    <w:p w:rsidR="00C4252D" w:rsidP="00302F11" w14:paraId="000000B0"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Explain the reasons for any program changes or adjustments reported in ROCIS.</w:t>
      </w:r>
    </w:p>
    <w:p w:rsidR="00C4252D" w:rsidP="00302F11" w14:paraId="000000B1" w14:textId="0331EF1A">
      <w:pPr>
        <w:pBdr>
          <w:top w:val="nil"/>
          <w:left w:val="nil"/>
          <w:bottom w:val="nil"/>
          <w:right w:val="nil"/>
          <w:between w:val="nil"/>
        </w:pBdr>
        <w:spacing w:before="120"/>
      </w:pPr>
      <w:r>
        <w:t>The number of burden hours for this collection has been reduced.  Recertification has been added to this collection in order for the respondents to retain certification.</w:t>
      </w:r>
    </w:p>
    <w:tbl>
      <w:tblPr>
        <w:tblStyle w:val="a8"/>
        <w:tblpPr w:leftFromText="180" w:rightFromText="180" w:topFromText="180" w:bottomFromText="180" w:vertAnchor="text" w:tblpX="-660" w:tblpY="8"/>
        <w:tblW w:w="11310" w:type="dxa"/>
        <w:tblLayout w:type="fixed"/>
        <w:tblLook w:val="0400"/>
      </w:tblPr>
      <w:tblGrid>
        <w:gridCol w:w="2160"/>
        <w:gridCol w:w="960"/>
        <w:gridCol w:w="1065"/>
        <w:gridCol w:w="1050"/>
        <w:gridCol w:w="990"/>
        <w:gridCol w:w="975"/>
        <w:gridCol w:w="960"/>
        <w:gridCol w:w="3150"/>
      </w:tblGrid>
      <w:tr w14:paraId="02FACBD3" w14:textId="77777777">
        <w:tblPrEx>
          <w:tblW w:w="11310" w:type="dxa"/>
          <w:tblLayout w:type="fixed"/>
          <w:tblLook w:val="0400"/>
        </w:tblPrEx>
        <w:trPr>
          <w:trHeight w:val="315"/>
        </w:trPr>
        <w:tc>
          <w:tcPr>
            <w:tcW w:w="216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C4252D" w14:paraId="000000B2" w14:textId="77777777">
            <w:pPr>
              <w:widowControl/>
              <w:rPr>
                <w:rFonts w:ascii="Calibri" w:eastAsia="Calibri" w:hAnsi="Calibri" w:cs="Calibri"/>
                <w:b/>
                <w:bCs/>
                <w:sz w:val="16"/>
                <w:szCs w:val="16"/>
              </w:rPr>
            </w:pPr>
            <w:r>
              <w:rPr>
                <w:rFonts w:ascii="Calibri" w:eastAsia="Calibri" w:hAnsi="Calibri" w:cs="Calibri"/>
                <w:b/>
                <w:bCs/>
                <w:sz w:val="16"/>
                <w:szCs w:val="16"/>
              </w:rPr>
              <w:t>Information Collection</w:t>
            </w:r>
          </w:p>
        </w:tc>
        <w:tc>
          <w:tcPr>
            <w:tcW w:w="2025" w:type="dxa"/>
            <w:gridSpan w:val="2"/>
            <w:tcBorders>
              <w:top w:val="single" w:sz="8" w:space="0" w:color="000000"/>
              <w:left w:val="single" w:sz="8" w:space="0" w:color="000000"/>
              <w:bottom w:val="single" w:sz="8" w:space="0" w:color="000000"/>
              <w:right w:val="single" w:sz="8" w:space="0" w:color="000000"/>
            </w:tcBorders>
            <w:shd w:val="clear" w:color="auto" w:fill="3D85C6"/>
            <w:vAlign w:val="center"/>
          </w:tcPr>
          <w:p w:rsidR="00C4252D" w14:paraId="000000B3" w14:textId="77777777">
            <w:pPr>
              <w:widowControl/>
              <w:jc w:val="center"/>
              <w:rPr>
                <w:rFonts w:ascii="Calibri" w:eastAsia="Calibri" w:hAnsi="Calibri" w:cs="Calibri"/>
                <w:b/>
                <w:bCs/>
                <w:sz w:val="16"/>
                <w:szCs w:val="16"/>
              </w:rPr>
            </w:pPr>
            <w:r>
              <w:rPr>
                <w:rFonts w:ascii="Calibri" w:eastAsia="Calibri" w:hAnsi="Calibri" w:cs="Calibri"/>
                <w:b/>
                <w:bCs/>
                <w:sz w:val="16"/>
                <w:szCs w:val="16"/>
              </w:rPr>
              <w:t>Respondents</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5B9BD5"/>
            <w:vAlign w:val="center"/>
          </w:tcPr>
          <w:p w:rsidR="00C4252D" w14:paraId="000000B5" w14:textId="77777777">
            <w:pPr>
              <w:widowControl/>
              <w:jc w:val="center"/>
              <w:rPr>
                <w:rFonts w:ascii="Calibri" w:eastAsia="Calibri" w:hAnsi="Calibri" w:cs="Calibri"/>
                <w:b/>
                <w:bCs/>
                <w:sz w:val="16"/>
                <w:szCs w:val="16"/>
              </w:rPr>
            </w:pPr>
            <w:r>
              <w:rPr>
                <w:rFonts w:ascii="Calibri" w:eastAsia="Calibri" w:hAnsi="Calibri" w:cs="Calibri"/>
                <w:b/>
                <w:bCs/>
                <w:sz w:val="16"/>
                <w:szCs w:val="16"/>
              </w:rPr>
              <w:t>Responses</w:t>
            </w:r>
          </w:p>
        </w:tc>
        <w:tc>
          <w:tcPr>
            <w:tcW w:w="1935" w:type="dxa"/>
            <w:gridSpan w:val="2"/>
            <w:tcBorders>
              <w:top w:val="single" w:sz="8" w:space="0" w:color="000000"/>
              <w:left w:val="single" w:sz="8" w:space="0" w:color="000000"/>
              <w:bottom w:val="single" w:sz="8" w:space="0" w:color="000000"/>
              <w:right w:val="single" w:sz="8" w:space="0" w:color="000000"/>
            </w:tcBorders>
            <w:shd w:val="clear" w:color="auto" w:fill="5B9BD5"/>
            <w:vAlign w:val="center"/>
          </w:tcPr>
          <w:p w:rsidR="00C4252D" w14:paraId="000000B7" w14:textId="77777777">
            <w:pPr>
              <w:widowControl/>
              <w:jc w:val="center"/>
              <w:rPr>
                <w:rFonts w:ascii="Calibri" w:eastAsia="Calibri" w:hAnsi="Calibri" w:cs="Calibri"/>
                <w:b/>
                <w:bCs/>
                <w:sz w:val="16"/>
                <w:szCs w:val="16"/>
              </w:rPr>
            </w:pPr>
            <w:r>
              <w:rPr>
                <w:rFonts w:ascii="Calibri" w:eastAsia="Calibri" w:hAnsi="Calibri" w:cs="Calibri"/>
                <w:b/>
                <w:bCs/>
                <w:sz w:val="16"/>
                <w:szCs w:val="16"/>
              </w:rPr>
              <w:t>Burden Hours</w:t>
            </w:r>
          </w:p>
        </w:tc>
        <w:tc>
          <w:tcPr>
            <w:tcW w:w="315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C4252D" w14:paraId="000000B9" w14:textId="77777777">
            <w:pPr>
              <w:widowControl/>
              <w:ind w:right="315"/>
              <w:jc w:val="center"/>
              <w:rPr>
                <w:rFonts w:ascii="Calibri" w:eastAsia="Calibri" w:hAnsi="Calibri" w:cs="Calibri"/>
                <w:b/>
                <w:bCs/>
                <w:sz w:val="16"/>
                <w:szCs w:val="16"/>
              </w:rPr>
            </w:pPr>
            <w:r>
              <w:rPr>
                <w:rFonts w:ascii="Calibri" w:eastAsia="Calibri" w:hAnsi="Calibri" w:cs="Calibri"/>
                <w:b/>
                <w:bCs/>
                <w:sz w:val="16"/>
                <w:szCs w:val="16"/>
              </w:rPr>
              <w:t>Reason for change or adjustment</w:t>
            </w:r>
          </w:p>
        </w:tc>
      </w:tr>
      <w:tr w14:paraId="6A6A2176" w14:textId="77777777">
        <w:tblPrEx>
          <w:tblW w:w="11310" w:type="dxa"/>
          <w:tblLayout w:type="fixed"/>
          <w:tblLook w:val="0400"/>
        </w:tblPrEx>
        <w:trPr>
          <w:trHeight w:val="690"/>
        </w:trPr>
        <w:tc>
          <w:tcPr>
            <w:tcW w:w="216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C4252D" w14:paraId="000000BA" w14:textId="77777777">
            <w:pPr>
              <w:spacing w:line="276" w:lineRule="auto"/>
              <w:rPr>
                <w:rFonts w:ascii="Calibri" w:eastAsia="Calibri" w:hAnsi="Calibri" w:cs="Calibri"/>
                <w:b/>
                <w:bCs/>
                <w:sz w:val="16"/>
                <w:szCs w:val="16"/>
              </w:rPr>
            </w:pPr>
          </w:p>
        </w:tc>
        <w:tc>
          <w:tcPr>
            <w:tcW w:w="960" w:type="dxa"/>
            <w:tcBorders>
              <w:top w:val="single" w:sz="8" w:space="0" w:color="000000"/>
              <w:left w:val="single" w:sz="8" w:space="0" w:color="000000"/>
              <w:bottom w:val="single" w:sz="8" w:space="0" w:color="000000"/>
              <w:right w:val="dashed" w:sz="8" w:space="0" w:color="000000"/>
            </w:tcBorders>
            <w:shd w:val="clear" w:color="auto" w:fill="FCE4D6"/>
            <w:vAlign w:val="center"/>
          </w:tcPr>
          <w:p w:rsidR="00C4252D" w14:paraId="000000BB" w14:textId="77777777">
            <w:pPr>
              <w:widowControl/>
              <w:jc w:val="center"/>
              <w:rPr>
                <w:rFonts w:ascii="Calibri" w:eastAsia="Calibri" w:hAnsi="Calibri" w:cs="Calibri"/>
                <w:sz w:val="16"/>
                <w:szCs w:val="16"/>
              </w:rPr>
            </w:pPr>
            <w:r>
              <w:rPr>
                <w:rFonts w:ascii="Calibri" w:eastAsia="Calibri" w:hAnsi="Calibri" w:cs="Calibri"/>
                <w:sz w:val="16"/>
                <w:szCs w:val="16"/>
              </w:rPr>
              <w:t>Current Renewal / Revision</w:t>
            </w:r>
          </w:p>
        </w:tc>
        <w:tc>
          <w:tcPr>
            <w:tcW w:w="1065" w:type="dxa"/>
            <w:tcBorders>
              <w:top w:val="single" w:sz="8" w:space="0" w:color="000000"/>
              <w:left w:val="dashed" w:sz="8" w:space="0" w:color="000000"/>
              <w:bottom w:val="single" w:sz="8" w:space="0" w:color="000000"/>
              <w:right w:val="single" w:sz="8" w:space="0" w:color="000000"/>
            </w:tcBorders>
            <w:shd w:val="clear" w:color="auto" w:fill="FBE4D5"/>
            <w:vAlign w:val="center"/>
          </w:tcPr>
          <w:p w:rsidR="00C4252D" w14:paraId="000000BC" w14:textId="77777777">
            <w:pPr>
              <w:widowControl/>
              <w:jc w:val="center"/>
              <w:rPr>
                <w:rFonts w:ascii="Calibri" w:eastAsia="Calibri" w:hAnsi="Calibri" w:cs="Calibri"/>
                <w:sz w:val="16"/>
                <w:szCs w:val="16"/>
              </w:rPr>
            </w:pPr>
            <w:r>
              <w:rPr>
                <w:rFonts w:ascii="Calibri" w:eastAsia="Calibri" w:hAnsi="Calibri" w:cs="Calibri"/>
                <w:sz w:val="16"/>
                <w:szCs w:val="16"/>
              </w:rPr>
              <w:t>Previous Renewal / Revision</w:t>
            </w:r>
          </w:p>
        </w:tc>
        <w:tc>
          <w:tcPr>
            <w:tcW w:w="1050" w:type="dxa"/>
            <w:tcBorders>
              <w:top w:val="single" w:sz="8" w:space="0" w:color="000000"/>
              <w:left w:val="single" w:sz="8" w:space="0" w:color="000000"/>
              <w:bottom w:val="single" w:sz="8" w:space="0" w:color="000000"/>
              <w:right w:val="dashed" w:sz="8" w:space="0" w:color="000000"/>
            </w:tcBorders>
            <w:shd w:val="clear" w:color="auto" w:fill="FBE4D5"/>
            <w:vAlign w:val="center"/>
          </w:tcPr>
          <w:p w:rsidR="00C4252D" w14:paraId="000000BD" w14:textId="77777777">
            <w:pPr>
              <w:widowControl/>
              <w:jc w:val="center"/>
              <w:rPr>
                <w:rFonts w:ascii="Calibri" w:eastAsia="Calibri" w:hAnsi="Calibri" w:cs="Calibri"/>
                <w:sz w:val="16"/>
                <w:szCs w:val="16"/>
              </w:rPr>
            </w:pPr>
            <w:r>
              <w:rPr>
                <w:rFonts w:ascii="Calibri" w:eastAsia="Calibri" w:hAnsi="Calibri" w:cs="Calibri"/>
                <w:sz w:val="16"/>
                <w:szCs w:val="16"/>
              </w:rPr>
              <w:t>Current Renewal / Revision</w:t>
            </w:r>
          </w:p>
        </w:tc>
        <w:tc>
          <w:tcPr>
            <w:tcW w:w="990" w:type="dxa"/>
            <w:tcBorders>
              <w:top w:val="single" w:sz="8" w:space="0" w:color="000000"/>
              <w:left w:val="dashed" w:sz="8" w:space="0" w:color="000000"/>
              <w:bottom w:val="single" w:sz="8" w:space="0" w:color="000000"/>
              <w:right w:val="single" w:sz="8" w:space="0" w:color="000000"/>
            </w:tcBorders>
            <w:shd w:val="clear" w:color="auto" w:fill="FBE4D5"/>
            <w:vAlign w:val="center"/>
          </w:tcPr>
          <w:p w:rsidR="00C4252D" w14:paraId="000000BE" w14:textId="77777777">
            <w:pPr>
              <w:widowControl/>
              <w:jc w:val="center"/>
              <w:rPr>
                <w:rFonts w:ascii="Calibri" w:eastAsia="Calibri" w:hAnsi="Calibri" w:cs="Calibri"/>
                <w:sz w:val="16"/>
                <w:szCs w:val="16"/>
              </w:rPr>
            </w:pPr>
            <w:r>
              <w:rPr>
                <w:rFonts w:ascii="Calibri" w:eastAsia="Calibri" w:hAnsi="Calibri" w:cs="Calibri"/>
                <w:sz w:val="16"/>
                <w:szCs w:val="16"/>
              </w:rPr>
              <w:t>Previous Renewal / Revision</w:t>
            </w:r>
          </w:p>
        </w:tc>
        <w:tc>
          <w:tcPr>
            <w:tcW w:w="975" w:type="dxa"/>
            <w:tcBorders>
              <w:top w:val="single" w:sz="8" w:space="0" w:color="000000"/>
              <w:left w:val="single" w:sz="8" w:space="0" w:color="000000"/>
              <w:bottom w:val="single" w:sz="8" w:space="0" w:color="000000"/>
              <w:right w:val="dashed" w:sz="8" w:space="0" w:color="000000"/>
            </w:tcBorders>
            <w:shd w:val="clear" w:color="auto" w:fill="FBE4D5"/>
            <w:vAlign w:val="center"/>
          </w:tcPr>
          <w:p w:rsidR="00C4252D" w14:paraId="000000BF" w14:textId="77777777">
            <w:pPr>
              <w:widowControl/>
              <w:jc w:val="center"/>
              <w:rPr>
                <w:rFonts w:ascii="Calibri" w:eastAsia="Calibri" w:hAnsi="Calibri" w:cs="Calibri"/>
                <w:sz w:val="16"/>
                <w:szCs w:val="16"/>
              </w:rPr>
            </w:pPr>
            <w:r>
              <w:rPr>
                <w:rFonts w:ascii="Calibri" w:eastAsia="Calibri" w:hAnsi="Calibri" w:cs="Calibri"/>
                <w:sz w:val="16"/>
                <w:szCs w:val="16"/>
              </w:rPr>
              <w:t>Current Renewal / Revision</w:t>
            </w:r>
          </w:p>
        </w:tc>
        <w:tc>
          <w:tcPr>
            <w:tcW w:w="960" w:type="dxa"/>
            <w:tcBorders>
              <w:top w:val="single" w:sz="8" w:space="0" w:color="000000"/>
              <w:left w:val="dashed" w:sz="8" w:space="0" w:color="000000"/>
              <w:bottom w:val="single" w:sz="8" w:space="0" w:color="000000"/>
              <w:right w:val="single" w:sz="8" w:space="0" w:color="000000"/>
            </w:tcBorders>
            <w:shd w:val="clear" w:color="auto" w:fill="FBE4D5"/>
            <w:vAlign w:val="center"/>
          </w:tcPr>
          <w:p w:rsidR="00C4252D" w14:paraId="000000C0" w14:textId="77777777">
            <w:pPr>
              <w:widowControl/>
              <w:jc w:val="center"/>
              <w:rPr>
                <w:rFonts w:ascii="Calibri" w:eastAsia="Calibri" w:hAnsi="Calibri" w:cs="Calibri"/>
                <w:sz w:val="16"/>
                <w:szCs w:val="16"/>
              </w:rPr>
            </w:pPr>
            <w:r>
              <w:rPr>
                <w:rFonts w:ascii="Calibri" w:eastAsia="Calibri" w:hAnsi="Calibri" w:cs="Calibri"/>
                <w:sz w:val="16"/>
                <w:szCs w:val="16"/>
              </w:rPr>
              <w:t>Previous Renewal / Revision</w:t>
            </w:r>
          </w:p>
        </w:tc>
        <w:tc>
          <w:tcPr>
            <w:tcW w:w="315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C4252D" w14:paraId="000000C1" w14:textId="77777777">
            <w:pPr>
              <w:spacing w:line="276" w:lineRule="auto"/>
              <w:rPr>
                <w:rFonts w:ascii="Calibri" w:eastAsia="Calibri" w:hAnsi="Calibri" w:cs="Calibri"/>
                <w:sz w:val="16"/>
                <w:szCs w:val="16"/>
              </w:rPr>
            </w:pPr>
          </w:p>
        </w:tc>
      </w:tr>
      <w:tr w14:paraId="04929479" w14:textId="77777777">
        <w:tblPrEx>
          <w:tblW w:w="11310" w:type="dxa"/>
          <w:tblLayout w:type="fixed"/>
          <w:tblLook w:val="0400"/>
        </w:tblPrEx>
        <w:trPr>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rsidR="00C4252D" w14:paraId="000000C2" w14:textId="77777777">
            <w:pPr>
              <w:widowControl/>
              <w:rPr>
                <w:rFonts w:ascii="Calibri" w:eastAsia="Calibri" w:hAnsi="Calibri" w:cs="Calibri"/>
                <w:sz w:val="16"/>
                <w:szCs w:val="16"/>
              </w:rPr>
            </w:pPr>
            <w:r>
              <w:rPr>
                <w:rFonts w:ascii="Calibri" w:eastAsia="Calibri" w:hAnsi="Calibri" w:cs="Calibri"/>
                <w:sz w:val="16"/>
                <w:szCs w:val="16"/>
              </w:rPr>
              <w:t>Certification Application </w:t>
            </w:r>
          </w:p>
        </w:tc>
        <w:tc>
          <w:tcPr>
            <w:tcW w:w="960" w:type="dxa"/>
            <w:tcBorders>
              <w:top w:val="single" w:sz="8" w:space="0" w:color="000000"/>
              <w:left w:val="single" w:sz="8" w:space="0" w:color="000000"/>
              <w:bottom w:val="dotted" w:sz="4" w:space="0" w:color="000000"/>
              <w:right w:val="dashed" w:sz="8" w:space="0" w:color="000000"/>
            </w:tcBorders>
            <w:vAlign w:val="center"/>
          </w:tcPr>
          <w:p w:rsidR="00C4252D" w14:paraId="000000C3" w14:textId="77777777">
            <w:pPr>
              <w:widowControl/>
              <w:jc w:val="center"/>
              <w:rPr>
                <w:rFonts w:ascii="Calibri" w:eastAsia="Calibri" w:hAnsi="Calibri" w:cs="Calibri"/>
                <w:sz w:val="16"/>
                <w:szCs w:val="16"/>
              </w:rPr>
            </w:pPr>
            <w:r>
              <w:rPr>
                <w:rFonts w:ascii="Calibri" w:eastAsia="Calibri" w:hAnsi="Calibri" w:cs="Calibri"/>
                <w:sz w:val="16"/>
                <w:szCs w:val="16"/>
              </w:rPr>
              <w:t>0 </w:t>
            </w:r>
          </w:p>
        </w:tc>
        <w:tc>
          <w:tcPr>
            <w:tcW w:w="1065" w:type="dxa"/>
            <w:tcBorders>
              <w:top w:val="single" w:sz="8" w:space="0" w:color="000000"/>
              <w:left w:val="dashed" w:sz="8" w:space="0" w:color="000000"/>
              <w:bottom w:val="dotted" w:sz="4" w:space="0" w:color="000000"/>
              <w:right w:val="single" w:sz="8" w:space="0" w:color="000000"/>
            </w:tcBorders>
            <w:vAlign w:val="center"/>
          </w:tcPr>
          <w:p w:rsidR="00C4252D" w14:paraId="000000C4" w14:textId="77777777">
            <w:pPr>
              <w:widowControl/>
              <w:jc w:val="center"/>
              <w:rPr>
                <w:rFonts w:ascii="Calibri" w:eastAsia="Calibri" w:hAnsi="Calibri" w:cs="Calibri"/>
                <w:sz w:val="16"/>
                <w:szCs w:val="16"/>
              </w:rPr>
            </w:pPr>
            <w:r>
              <w:rPr>
                <w:rFonts w:ascii="Calibri" w:eastAsia="Calibri" w:hAnsi="Calibri" w:cs="Calibri"/>
                <w:sz w:val="16"/>
                <w:szCs w:val="16"/>
              </w:rPr>
              <w:t>4</w:t>
            </w:r>
          </w:p>
        </w:tc>
        <w:tc>
          <w:tcPr>
            <w:tcW w:w="1050" w:type="dxa"/>
            <w:tcBorders>
              <w:top w:val="single" w:sz="8" w:space="0" w:color="000000"/>
              <w:left w:val="single" w:sz="8" w:space="0" w:color="000000"/>
              <w:bottom w:val="dotted" w:sz="4" w:space="0" w:color="000000"/>
              <w:right w:val="dashed" w:sz="8" w:space="0" w:color="000000"/>
            </w:tcBorders>
            <w:vAlign w:val="center"/>
          </w:tcPr>
          <w:p w:rsidR="00C4252D" w14:paraId="000000C5" w14:textId="77777777">
            <w:pPr>
              <w:widowControl/>
              <w:jc w:val="center"/>
              <w:rPr>
                <w:rFonts w:ascii="Calibri" w:eastAsia="Calibri" w:hAnsi="Calibri" w:cs="Calibri"/>
                <w:sz w:val="16"/>
                <w:szCs w:val="16"/>
              </w:rPr>
            </w:pPr>
            <w:r>
              <w:rPr>
                <w:rFonts w:ascii="Calibri" w:eastAsia="Calibri" w:hAnsi="Calibri" w:cs="Calibri"/>
                <w:sz w:val="16"/>
                <w:szCs w:val="16"/>
              </w:rPr>
              <w:t>0</w:t>
            </w:r>
          </w:p>
        </w:tc>
        <w:tc>
          <w:tcPr>
            <w:tcW w:w="990" w:type="dxa"/>
            <w:tcBorders>
              <w:top w:val="single" w:sz="8" w:space="0" w:color="000000"/>
              <w:left w:val="dashed" w:sz="8" w:space="0" w:color="000000"/>
              <w:bottom w:val="dotted" w:sz="4" w:space="0" w:color="000000"/>
              <w:right w:val="single" w:sz="8" w:space="0" w:color="000000"/>
            </w:tcBorders>
            <w:vAlign w:val="center"/>
          </w:tcPr>
          <w:p w:rsidR="00C4252D" w14:paraId="000000C6" w14:textId="77777777">
            <w:pPr>
              <w:widowControl/>
              <w:jc w:val="center"/>
              <w:rPr>
                <w:rFonts w:ascii="Calibri" w:eastAsia="Calibri" w:hAnsi="Calibri" w:cs="Calibri"/>
                <w:sz w:val="16"/>
                <w:szCs w:val="16"/>
              </w:rPr>
            </w:pPr>
            <w:r>
              <w:rPr>
                <w:rFonts w:ascii="Calibri" w:eastAsia="Calibri" w:hAnsi="Calibri" w:cs="Calibri"/>
                <w:sz w:val="16"/>
                <w:szCs w:val="16"/>
              </w:rPr>
              <w:t>4</w:t>
            </w:r>
          </w:p>
        </w:tc>
        <w:tc>
          <w:tcPr>
            <w:tcW w:w="975" w:type="dxa"/>
            <w:tcBorders>
              <w:top w:val="single" w:sz="8" w:space="0" w:color="000000"/>
              <w:left w:val="single" w:sz="8" w:space="0" w:color="000000"/>
              <w:bottom w:val="dotted" w:sz="4" w:space="0" w:color="000000"/>
              <w:right w:val="dashed" w:sz="8" w:space="0" w:color="000000"/>
            </w:tcBorders>
            <w:vAlign w:val="center"/>
          </w:tcPr>
          <w:p w:rsidR="00C4252D" w14:paraId="000000C7" w14:textId="77777777">
            <w:pPr>
              <w:widowControl/>
              <w:jc w:val="center"/>
              <w:rPr>
                <w:rFonts w:ascii="Calibri" w:eastAsia="Calibri" w:hAnsi="Calibri" w:cs="Calibri"/>
                <w:sz w:val="16"/>
                <w:szCs w:val="16"/>
              </w:rPr>
            </w:pPr>
            <w:r>
              <w:rPr>
                <w:rFonts w:ascii="Calibri" w:eastAsia="Calibri" w:hAnsi="Calibri" w:cs="Calibri"/>
                <w:sz w:val="16"/>
                <w:szCs w:val="16"/>
              </w:rPr>
              <w:t>0</w:t>
            </w:r>
          </w:p>
        </w:tc>
        <w:tc>
          <w:tcPr>
            <w:tcW w:w="960" w:type="dxa"/>
            <w:tcBorders>
              <w:top w:val="single" w:sz="8" w:space="0" w:color="000000"/>
              <w:left w:val="dashed" w:sz="8" w:space="0" w:color="000000"/>
              <w:bottom w:val="dotted" w:sz="4" w:space="0" w:color="000000"/>
              <w:right w:val="single" w:sz="8" w:space="0" w:color="000000"/>
            </w:tcBorders>
            <w:vAlign w:val="center"/>
          </w:tcPr>
          <w:p w:rsidR="00C4252D" w14:paraId="000000C8" w14:textId="77777777">
            <w:pPr>
              <w:widowControl/>
              <w:jc w:val="center"/>
              <w:rPr>
                <w:rFonts w:ascii="Calibri" w:eastAsia="Calibri" w:hAnsi="Calibri" w:cs="Calibri"/>
                <w:sz w:val="16"/>
                <w:szCs w:val="16"/>
              </w:rPr>
            </w:pPr>
            <w:r>
              <w:rPr>
                <w:rFonts w:ascii="Calibri" w:eastAsia="Calibri" w:hAnsi="Calibri" w:cs="Calibri"/>
                <w:sz w:val="16"/>
                <w:szCs w:val="16"/>
              </w:rPr>
              <w:t>1,160 </w:t>
            </w:r>
          </w:p>
        </w:tc>
        <w:tc>
          <w:tcPr>
            <w:tcW w:w="3150" w:type="dxa"/>
            <w:tcBorders>
              <w:top w:val="single" w:sz="8" w:space="0" w:color="000000"/>
              <w:left w:val="single" w:sz="8" w:space="0" w:color="000000"/>
              <w:bottom w:val="dotted" w:sz="4" w:space="0" w:color="000000"/>
              <w:right w:val="single" w:sz="8" w:space="0" w:color="000000"/>
            </w:tcBorders>
            <w:vAlign w:val="center"/>
          </w:tcPr>
          <w:p w:rsidR="00C4252D" w14:paraId="000000C9" w14:textId="77777777">
            <w:pPr>
              <w:widowControl/>
              <w:ind w:right="120"/>
              <w:rPr>
                <w:rFonts w:ascii="Calibri" w:eastAsia="Calibri" w:hAnsi="Calibri" w:cs="Calibri"/>
                <w:sz w:val="8"/>
                <w:szCs w:val="8"/>
              </w:rPr>
            </w:pPr>
            <w:r>
              <w:rPr>
                <w:rFonts w:ascii="Calibri" w:eastAsia="Calibri" w:hAnsi="Calibri" w:cs="Calibri"/>
                <w:sz w:val="16"/>
                <w:szCs w:val="16"/>
              </w:rPr>
              <w:t xml:space="preserve"> The certification application is being removed since all entities have received certification. </w:t>
            </w:r>
          </w:p>
        </w:tc>
      </w:tr>
      <w:tr w14:paraId="06569FF5" w14:textId="77777777">
        <w:tblPrEx>
          <w:tblW w:w="11310" w:type="dxa"/>
          <w:tblLayout w:type="fixed"/>
          <w:tblLook w:val="0400"/>
        </w:tblPrEx>
        <w:trPr>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rsidR="00C4252D" w14:paraId="000000CA" w14:textId="77777777">
            <w:pPr>
              <w:widowControl/>
              <w:rPr>
                <w:rFonts w:ascii="Calibri" w:eastAsia="Calibri" w:hAnsi="Calibri" w:cs="Calibri"/>
                <w:sz w:val="16"/>
                <w:szCs w:val="16"/>
              </w:rPr>
            </w:pPr>
            <w:r>
              <w:rPr>
                <w:rFonts w:ascii="Calibri" w:eastAsia="Calibri" w:hAnsi="Calibri" w:cs="Calibri"/>
                <w:sz w:val="16"/>
                <w:szCs w:val="16"/>
              </w:rPr>
              <w:t>Recertification</w:t>
            </w:r>
          </w:p>
        </w:tc>
        <w:tc>
          <w:tcPr>
            <w:tcW w:w="960" w:type="dxa"/>
            <w:tcBorders>
              <w:top w:val="dotted" w:sz="4" w:space="0" w:color="000000"/>
              <w:left w:val="single" w:sz="8" w:space="0" w:color="000000"/>
              <w:bottom w:val="dotted" w:sz="4" w:space="0" w:color="000000"/>
              <w:right w:val="dashed" w:sz="8" w:space="0" w:color="000000"/>
            </w:tcBorders>
            <w:vAlign w:val="center"/>
          </w:tcPr>
          <w:p w:rsidR="00C4252D" w14:paraId="000000CB" w14:textId="77777777">
            <w:pPr>
              <w:widowControl/>
              <w:jc w:val="center"/>
              <w:rPr>
                <w:rFonts w:ascii="Calibri" w:eastAsia="Calibri" w:hAnsi="Calibri" w:cs="Calibri"/>
                <w:sz w:val="16"/>
                <w:szCs w:val="16"/>
              </w:rPr>
            </w:pPr>
            <w:r>
              <w:rPr>
                <w:rFonts w:ascii="Calibri" w:eastAsia="Calibri" w:hAnsi="Calibri" w:cs="Calibri"/>
                <w:sz w:val="16"/>
                <w:szCs w:val="16"/>
              </w:rPr>
              <w:t>4 </w:t>
            </w:r>
          </w:p>
        </w:tc>
        <w:tc>
          <w:tcPr>
            <w:tcW w:w="1065" w:type="dxa"/>
            <w:tcBorders>
              <w:top w:val="dotted" w:sz="4" w:space="0" w:color="000000"/>
              <w:left w:val="dashed" w:sz="8" w:space="0" w:color="000000"/>
              <w:bottom w:val="dotted" w:sz="4" w:space="0" w:color="000000"/>
              <w:right w:val="single" w:sz="8" w:space="0" w:color="000000"/>
            </w:tcBorders>
            <w:vAlign w:val="center"/>
          </w:tcPr>
          <w:p w:rsidR="00C4252D" w14:paraId="000000CC" w14:textId="77777777">
            <w:pPr>
              <w:widowControl/>
              <w:jc w:val="center"/>
              <w:rPr>
                <w:rFonts w:ascii="Calibri" w:eastAsia="Calibri" w:hAnsi="Calibri" w:cs="Calibri"/>
                <w:sz w:val="16"/>
                <w:szCs w:val="16"/>
              </w:rPr>
            </w:pPr>
            <w:r>
              <w:rPr>
                <w:rFonts w:ascii="Calibri" w:eastAsia="Calibri" w:hAnsi="Calibri" w:cs="Calibri"/>
                <w:sz w:val="16"/>
                <w:szCs w:val="16"/>
              </w:rPr>
              <w:t>0</w:t>
            </w:r>
          </w:p>
        </w:tc>
        <w:tc>
          <w:tcPr>
            <w:tcW w:w="1050" w:type="dxa"/>
            <w:tcBorders>
              <w:top w:val="dotted" w:sz="4" w:space="0" w:color="000000"/>
              <w:left w:val="single" w:sz="8" w:space="0" w:color="000000"/>
              <w:bottom w:val="dotted" w:sz="4" w:space="0" w:color="000000"/>
              <w:right w:val="dashed" w:sz="8" w:space="0" w:color="000000"/>
            </w:tcBorders>
            <w:vAlign w:val="center"/>
          </w:tcPr>
          <w:p w:rsidR="00C4252D" w14:paraId="000000CD" w14:textId="77777777">
            <w:pPr>
              <w:widowControl/>
              <w:jc w:val="center"/>
              <w:rPr>
                <w:rFonts w:ascii="Calibri" w:eastAsia="Calibri" w:hAnsi="Calibri" w:cs="Calibri"/>
                <w:sz w:val="16"/>
                <w:szCs w:val="16"/>
              </w:rPr>
            </w:pPr>
            <w:r>
              <w:rPr>
                <w:rFonts w:ascii="Calibri" w:eastAsia="Calibri" w:hAnsi="Calibri" w:cs="Calibri"/>
                <w:sz w:val="16"/>
                <w:szCs w:val="16"/>
              </w:rPr>
              <w:t>4 </w:t>
            </w:r>
          </w:p>
        </w:tc>
        <w:tc>
          <w:tcPr>
            <w:tcW w:w="990" w:type="dxa"/>
            <w:tcBorders>
              <w:top w:val="dotted" w:sz="4" w:space="0" w:color="000000"/>
              <w:left w:val="dashed" w:sz="8" w:space="0" w:color="000000"/>
              <w:bottom w:val="dotted" w:sz="4" w:space="0" w:color="000000"/>
              <w:right w:val="single" w:sz="8" w:space="0" w:color="000000"/>
            </w:tcBorders>
            <w:vAlign w:val="center"/>
          </w:tcPr>
          <w:p w:rsidR="00C4252D" w14:paraId="000000CE" w14:textId="77777777">
            <w:pPr>
              <w:widowControl/>
              <w:jc w:val="center"/>
              <w:rPr>
                <w:rFonts w:ascii="Calibri" w:eastAsia="Calibri" w:hAnsi="Calibri" w:cs="Calibri"/>
                <w:sz w:val="16"/>
                <w:szCs w:val="16"/>
              </w:rPr>
            </w:pPr>
            <w:r>
              <w:rPr>
                <w:rFonts w:ascii="Calibri" w:eastAsia="Calibri" w:hAnsi="Calibri" w:cs="Calibri"/>
                <w:sz w:val="16"/>
                <w:szCs w:val="16"/>
              </w:rPr>
              <w:t>0</w:t>
            </w:r>
          </w:p>
        </w:tc>
        <w:tc>
          <w:tcPr>
            <w:tcW w:w="975" w:type="dxa"/>
            <w:tcBorders>
              <w:top w:val="dotted" w:sz="4" w:space="0" w:color="000000"/>
              <w:left w:val="single" w:sz="8" w:space="0" w:color="000000"/>
              <w:bottom w:val="dotted" w:sz="4" w:space="0" w:color="000000"/>
              <w:right w:val="dashed" w:sz="8" w:space="0" w:color="000000"/>
            </w:tcBorders>
            <w:vAlign w:val="center"/>
          </w:tcPr>
          <w:p w:rsidR="00C4252D" w14:paraId="000000CF" w14:textId="77777777">
            <w:pPr>
              <w:widowControl/>
              <w:jc w:val="center"/>
              <w:rPr>
                <w:rFonts w:ascii="Calibri" w:eastAsia="Calibri" w:hAnsi="Calibri" w:cs="Calibri"/>
                <w:sz w:val="16"/>
                <w:szCs w:val="16"/>
              </w:rPr>
            </w:pPr>
            <w:r>
              <w:rPr>
                <w:rFonts w:ascii="Calibri" w:eastAsia="Calibri" w:hAnsi="Calibri" w:cs="Calibri"/>
                <w:sz w:val="16"/>
                <w:szCs w:val="16"/>
              </w:rPr>
              <w:t>300</w:t>
            </w:r>
          </w:p>
        </w:tc>
        <w:tc>
          <w:tcPr>
            <w:tcW w:w="960" w:type="dxa"/>
            <w:tcBorders>
              <w:top w:val="dotted" w:sz="4" w:space="0" w:color="000000"/>
              <w:left w:val="dashed" w:sz="8" w:space="0" w:color="000000"/>
              <w:bottom w:val="dotted" w:sz="4" w:space="0" w:color="000000"/>
              <w:right w:val="single" w:sz="8" w:space="0" w:color="000000"/>
            </w:tcBorders>
            <w:vAlign w:val="center"/>
          </w:tcPr>
          <w:p w:rsidR="00C4252D" w14:paraId="000000D0" w14:textId="77777777">
            <w:pPr>
              <w:widowControl/>
              <w:jc w:val="center"/>
              <w:rPr>
                <w:rFonts w:ascii="Calibri" w:eastAsia="Calibri" w:hAnsi="Calibri" w:cs="Calibri"/>
                <w:sz w:val="16"/>
                <w:szCs w:val="16"/>
              </w:rPr>
            </w:pPr>
            <w:r>
              <w:rPr>
                <w:rFonts w:ascii="Calibri" w:eastAsia="Calibri" w:hAnsi="Calibri" w:cs="Calibri"/>
                <w:sz w:val="16"/>
                <w:szCs w:val="16"/>
              </w:rPr>
              <w:t>0</w:t>
            </w:r>
          </w:p>
        </w:tc>
        <w:tc>
          <w:tcPr>
            <w:tcW w:w="3150" w:type="dxa"/>
            <w:tcBorders>
              <w:top w:val="dotted" w:sz="4" w:space="0" w:color="000000"/>
              <w:left w:val="single" w:sz="8" w:space="0" w:color="000000"/>
              <w:bottom w:val="dotted" w:sz="4" w:space="0" w:color="000000"/>
              <w:right w:val="single" w:sz="8" w:space="0" w:color="000000"/>
            </w:tcBorders>
            <w:vAlign w:val="center"/>
          </w:tcPr>
          <w:p w:rsidR="00C4252D" w14:paraId="000000D1" w14:textId="185AADCA">
            <w:pPr>
              <w:widowControl/>
              <w:ind w:right="135"/>
              <w:rPr>
                <w:rFonts w:ascii="Calibri" w:eastAsia="Calibri" w:hAnsi="Calibri" w:cs="Calibri"/>
                <w:sz w:val="16"/>
                <w:szCs w:val="16"/>
              </w:rPr>
            </w:pPr>
            <w:r>
              <w:rPr>
                <w:rFonts w:ascii="Calibri" w:eastAsia="Calibri" w:hAnsi="Calibri" w:cs="Calibri"/>
                <w:sz w:val="16"/>
                <w:szCs w:val="16"/>
              </w:rPr>
              <w:t xml:space="preserve">The original </w:t>
            </w:r>
            <w:r w:rsidR="009275AB">
              <w:rPr>
                <w:rFonts w:ascii="Calibri" w:eastAsia="Calibri" w:hAnsi="Calibri" w:cs="Calibri"/>
                <w:sz w:val="16"/>
                <w:szCs w:val="16"/>
              </w:rPr>
              <w:t xml:space="preserve">certification </w:t>
            </w:r>
            <w:r>
              <w:rPr>
                <w:rFonts w:ascii="Calibri" w:eastAsia="Calibri" w:hAnsi="Calibri" w:cs="Calibri"/>
                <w:sz w:val="16"/>
                <w:szCs w:val="16"/>
              </w:rPr>
              <w:t>application was new for applicants and took more time for them to compile the information. Recertification applications will require less time, as some information has already been compiled historically and respondents are more familiar with the process.</w:t>
            </w:r>
          </w:p>
        </w:tc>
      </w:tr>
      <w:tr w14:paraId="44431DBF" w14:textId="77777777">
        <w:tblPrEx>
          <w:tblW w:w="11310" w:type="dxa"/>
          <w:tblLayout w:type="fixed"/>
          <w:tblLook w:val="0400"/>
        </w:tblPrEx>
        <w:trPr>
          <w:trHeight w:val="405"/>
        </w:trPr>
        <w:tc>
          <w:tcPr>
            <w:tcW w:w="2160"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C4252D" w14:paraId="000000D2" w14:textId="77777777">
            <w:pPr>
              <w:widowControl/>
              <w:jc w:val="center"/>
              <w:rPr>
                <w:rFonts w:ascii="Calibri" w:eastAsia="Calibri" w:hAnsi="Calibri" w:cs="Calibri"/>
                <w:b/>
                <w:bCs/>
                <w:sz w:val="16"/>
                <w:szCs w:val="16"/>
              </w:rPr>
            </w:pPr>
            <w:r>
              <w:rPr>
                <w:rFonts w:ascii="Calibri" w:eastAsia="Calibri" w:hAnsi="Calibri" w:cs="Calibri"/>
                <w:b/>
                <w:bCs/>
                <w:sz w:val="16"/>
                <w:szCs w:val="16"/>
              </w:rPr>
              <w:t>Total for Collection</w:t>
            </w:r>
          </w:p>
        </w:tc>
        <w:tc>
          <w:tcPr>
            <w:tcW w:w="960" w:type="dxa"/>
            <w:tcBorders>
              <w:top w:val="dotted" w:sz="4" w:space="0" w:color="000000"/>
              <w:left w:val="single" w:sz="8" w:space="0" w:color="000000"/>
              <w:bottom w:val="single" w:sz="8" w:space="0" w:color="000000"/>
              <w:right w:val="dashed" w:sz="8" w:space="0" w:color="000000"/>
            </w:tcBorders>
            <w:shd w:val="clear" w:color="auto" w:fill="BDD6EE"/>
            <w:vAlign w:val="center"/>
          </w:tcPr>
          <w:p w:rsidR="00C4252D" w14:paraId="000000D3" w14:textId="77777777">
            <w:pPr>
              <w:widowControl/>
              <w:jc w:val="center"/>
              <w:rPr>
                <w:rFonts w:ascii="Calibri" w:eastAsia="Calibri" w:hAnsi="Calibri" w:cs="Calibri"/>
                <w:b/>
                <w:bCs/>
                <w:sz w:val="16"/>
                <w:szCs w:val="16"/>
              </w:rPr>
            </w:pPr>
            <w:r>
              <w:rPr>
                <w:rFonts w:ascii="Calibri" w:eastAsia="Calibri" w:hAnsi="Calibri" w:cs="Calibri"/>
                <w:b/>
                <w:bCs/>
                <w:sz w:val="16"/>
                <w:szCs w:val="16"/>
              </w:rPr>
              <w:t>4 </w:t>
            </w:r>
          </w:p>
        </w:tc>
        <w:tc>
          <w:tcPr>
            <w:tcW w:w="1065" w:type="dxa"/>
            <w:tcBorders>
              <w:top w:val="dotted" w:sz="4" w:space="0" w:color="000000"/>
              <w:left w:val="dashed" w:sz="8" w:space="0" w:color="000000"/>
              <w:bottom w:val="single" w:sz="8" w:space="0" w:color="000000"/>
              <w:right w:val="single" w:sz="8" w:space="0" w:color="000000"/>
            </w:tcBorders>
            <w:shd w:val="clear" w:color="auto" w:fill="BDD6EE"/>
            <w:vAlign w:val="center"/>
          </w:tcPr>
          <w:p w:rsidR="00C4252D" w14:paraId="000000D4" w14:textId="77777777">
            <w:pPr>
              <w:widowControl/>
              <w:jc w:val="center"/>
              <w:rPr>
                <w:rFonts w:ascii="Calibri" w:eastAsia="Calibri" w:hAnsi="Calibri" w:cs="Calibri"/>
                <w:b/>
                <w:bCs/>
                <w:sz w:val="16"/>
                <w:szCs w:val="16"/>
              </w:rPr>
            </w:pPr>
            <w:r>
              <w:rPr>
                <w:rFonts w:ascii="Calibri" w:eastAsia="Calibri" w:hAnsi="Calibri" w:cs="Calibri"/>
                <w:b/>
                <w:bCs/>
                <w:sz w:val="16"/>
                <w:szCs w:val="16"/>
              </w:rPr>
              <w:t>4 </w:t>
            </w:r>
          </w:p>
        </w:tc>
        <w:tc>
          <w:tcPr>
            <w:tcW w:w="1050" w:type="dxa"/>
            <w:tcBorders>
              <w:top w:val="dotted" w:sz="4" w:space="0" w:color="000000"/>
              <w:left w:val="single" w:sz="8" w:space="0" w:color="000000"/>
              <w:bottom w:val="single" w:sz="8" w:space="0" w:color="000000"/>
              <w:right w:val="dashed" w:sz="8" w:space="0" w:color="000000"/>
            </w:tcBorders>
            <w:shd w:val="clear" w:color="auto" w:fill="BDD6EE"/>
            <w:vAlign w:val="center"/>
          </w:tcPr>
          <w:p w:rsidR="00C4252D" w14:paraId="000000D5" w14:textId="77777777">
            <w:pPr>
              <w:widowControl/>
              <w:jc w:val="center"/>
              <w:rPr>
                <w:rFonts w:ascii="Calibri" w:eastAsia="Calibri" w:hAnsi="Calibri" w:cs="Calibri"/>
                <w:b/>
                <w:bCs/>
                <w:sz w:val="16"/>
                <w:szCs w:val="16"/>
              </w:rPr>
            </w:pPr>
            <w:r>
              <w:rPr>
                <w:rFonts w:ascii="Calibri" w:eastAsia="Calibri" w:hAnsi="Calibri" w:cs="Calibri"/>
                <w:b/>
                <w:bCs/>
                <w:sz w:val="16"/>
                <w:szCs w:val="16"/>
              </w:rPr>
              <w:t>4 </w:t>
            </w:r>
          </w:p>
        </w:tc>
        <w:tc>
          <w:tcPr>
            <w:tcW w:w="990" w:type="dxa"/>
            <w:tcBorders>
              <w:top w:val="dotted" w:sz="4" w:space="0" w:color="000000"/>
              <w:left w:val="dashed" w:sz="8" w:space="0" w:color="000000"/>
              <w:bottom w:val="single" w:sz="8" w:space="0" w:color="000000"/>
              <w:right w:val="single" w:sz="8" w:space="0" w:color="000000"/>
            </w:tcBorders>
            <w:shd w:val="clear" w:color="auto" w:fill="BDD6EE"/>
            <w:vAlign w:val="center"/>
          </w:tcPr>
          <w:p w:rsidR="00C4252D" w14:paraId="000000D6" w14:textId="77777777">
            <w:pPr>
              <w:widowControl/>
              <w:jc w:val="center"/>
              <w:rPr>
                <w:rFonts w:ascii="Calibri" w:eastAsia="Calibri" w:hAnsi="Calibri" w:cs="Calibri"/>
                <w:b/>
                <w:bCs/>
                <w:sz w:val="16"/>
                <w:szCs w:val="16"/>
              </w:rPr>
            </w:pPr>
            <w:r>
              <w:rPr>
                <w:rFonts w:ascii="Calibri" w:eastAsia="Calibri" w:hAnsi="Calibri" w:cs="Calibri"/>
                <w:b/>
                <w:bCs/>
                <w:sz w:val="16"/>
                <w:szCs w:val="16"/>
              </w:rPr>
              <w:t>4 </w:t>
            </w:r>
          </w:p>
        </w:tc>
        <w:tc>
          <w:tcPr>
            <w:tcW w:w="975" w:type="dxa"/>
            <w:tcBorders>
              <w:top w:val="dotted" w:sz="4" w:space="0" w:color="000000"/>
              <w:left w:val="single" w:sz="8" w:space="0" w:color="000000"/>
              <w:bottom w:val="single" w:sz="8" w:space="0" w:color="000000"/>
              <w:right w:val="dashed" w:sz="8" w:space="0" w:color="000000"/>
            </w:tcBorders>
            <w:shd w:val="clear" w:color="auto" w:fill="BDD6EE"/>
            <w:vAlign w:val="center"/>
          </w:tcPr>
          <w:p w:rsidR="00C4252D" w14:paraId="000000D7" w14:textId="77777777">
            <w:pPr>
              <w:widowControl/>
              <w:jc w:val="center"/>
              <w:rPr>
                <w:rFonts w:ascii="Calibri" w:eastAsia="Calibri" w:hAnsi="Calibri" w:cs="Calibri"/>
                <w:b/>
                <w:bCs/>
                <w:sz w:val="16"/>
                <w:szCs w:val="16"/>
              </w:rPr>
            </w:pPr>
            <w:r>
              <w:rPr>
                <w:rFonts w:ascii="Calibri" w:eastAsia="Calibri" w:hAnsi="Calibri" w:cs="Calibri"/>
                <w:b/>
                <w:bCs/>
                <w:sz w:val="16"/>
                <w:szCs w:val="16"/>
              </w:rPr>
              <w:t>300</w:t>
            </w:r>
          </w:p>
        </w:tc>
        <w:tc>
          <w:tcPr>
            <w:tcW w:w="960" w:type="dxa"/>
            <w:tcBorders>
              <w:top w:val="dotted" w:sz="4" w:space="0" w:color="000000"/>
              <w:left w:val="dashed" w:sz="8" w:space="0" w:color="000000"/>
              <w:bottom w:val="single" w:sz="8" w:space="0" w:color="000000"/>
              <w:right w:val="single" w:sz="8" w:space="0" w:color="000000"/>
            </w:tcBorders>
            <w:shd w:val="clear" w:color="auto" w:fill="BDD6EE"/>
            <w:vAlign w:val="center"/>
          </w:tcPr>
          <w:p w:rsidR="00C4252D" w14:paraId="000000D8" w14:textId="77777777">
            <w:pPr>
              <w:widowControl/>
              <w:jc w:val="center"/>
              <w:rPr>
                <w:rFonts w:ascii="Calibri" w:eastAsia="Calibri" w:hAnsi="Calibri" w:cs="Calibri"/>
                <w:b/>
                <w:bCs/>
                <w:sz w:val="16"/>
                <w:szCs w:val="16"/>
              </w:rPr>
            </w:pPr>
            <w:r>
              <w:rPr>
                <w:rFonts w:ascii="Calibri" w:eastAsia="Calibri" w:hAnsi="Calibri" w:cs="Calibri"/>
                <w:b/>
                <w:bCs/>
                <w:sz w:val="16"/>
                <w:szCs w:val="16"/>
              </w:rPr>
              <w:t>1,160 </w:t>
            </w:r>
          </w:p>
        </w:tc>
        <w:tc>
          <w:tcPr>
            <w:tcW w:w="3150" w:type="dxa"/>
            <w:tcBorders>
              <w:top w:val="dotted" w:sz="4" w:space="0" w:color="000000"/>
              <w:left w:val="single" w:sz="8" w:space="0" w:color="000000"/>
              <w:bottom w:val="single" w:sz="8" w:space="0" w:color="000000"/>
              <w:right w:val="single" w:sz="8" w:space="0" w:color="000000"/>
            </w:tcBorders>
            <w:shd w:val="clear" w:color="auto" w:fill="000000"/>
            <w:vAlign w:val="center"/>
          </w:tcPr>
          <w:p w:rsidR="00C4252D" w14:paraId="000000D9" w14:textId="77777777">
            <w:pPr>
              <w:widowControl/>
              <w:ind w:right="2565"/>
              <w:jc w:val="center"/>
              <w:rPr>
                <w:rFonts w:ascii="Calibri" w:eastAsia="Calibri" w:hAnsi="Calibri" w:cs="Calibri"/>
                <w:b/>
                <w:bCs/>
                <w:sz w:val="16"/>
                <w:szCs w:val="16"/>
              </w:rPr>
            </w:pPr>
            <w:r>
              <w:rPr>
                <w:rFonts w:ascii="Calibri" w:eastAsia="Calibri" w:hAnsi="Calibri" w:cs="Calibri"/>
                <w:b/>
                <w:bCs/>
                <w:sz w:val="16"/>
                <w:szCs w:val="16"/>
              </w:rPr>
              <w:t> </w:t>
            </w:r>
          </w:p>
        </w:tc>
      </w:tr>
      <w:tr w14:paraId="5DD8F483" w14:textId="77777777">
        <w:tblPrEx>
          <w:tblW w:w="11310" w:type="dxa"/>
          <w:tblLayout w:type="fixed"/>
          <w:tblLook w:val="0400"/>
        </w:tblPrEx>
        <w:trPr>
          <w:trHeight w:val="315"/>
        </w:trPr>
        <w:tc>
          <w:tcPr>
            <w:tcW w:w="2160" w:type="dxa"/>
            <w:tcBorders>
              <w:top w:val="single" w:sz="8" w:space="0" w:color="000000"/>
              <w:left w:val="single" w:sz="8" w:space="0" w:color="000000"/>
              <w:bottom w:val="single" w:sz="8" w:space="0" w:color="000000"/>
              <w:right w:val="single" w:sz="8" w:space="0" w:color="000000"/>
            </w:tcBorders>
            <w:shd w:val="clear" w:color="auto" w:fill="FCE4D6"/>
            <w:vAlign w:val="bottom"/>
          </w:tcPr>
          <w:p w:rsidR="00C4252D" w14:paraId="000000DA" w14:textId="77777777">
            <w:pPr>
              <w:widowControl/>
              <w:jc w:val="center"/>
              <w:rPr>
                <w:rFonts w:ascii="Calibri" w:eastAsia="Calibri" w:hAnsi="Calibri" w:cs="Calibri"/>
                <w:b/>
                <w:bCs/>
                <w:sz w:val="16"/>
                <w:szCs w:val="16"/>
              </w:rPr>
            </w:pPr>
            <w:r>
              <w:rPr>
                <w:rFonts w:ascii="Calibri" w:eastAsia="Calibri" w:hAnsi="Calibri" w:cs="Calibri"/>
                <w:b/>
                <w:bCs/>
                <w:sz w:val="16"/>
                <w:szCs w:val="16"/>
              </w:rPr>
              <w:t>Difference</w:t>
            </w:r>
          </w:p>
        </w:tc>
        <w:tc>
          <w:tcPr>
            <w:tcW w:w="2025" w:type="dxa"/>
            <w:gridSpan w:val="2"/>
            <w:tcBorders>
              <w:top w:val="single" w:sz="8" w:space="0" w:color="000000"/>
              <w:left w:val="single" w:sz="8" w:space="0" w:color="000000"/>
              <w:bottom w:val="single" w:sz="8" w:space="0" w:color="000000"/>
              <w:right w:val="single" w:sz="8" w:space="0" w:color="000000"/>
            </w:tcBorders>
            <w:shd w:val="clear" w:color="auto" w:fill="FCE4D6"/>
            <w:vAlign w:val="bottom"/>
          </w:tcPr>
          <w:p w:rsidR="00C4252D" w14:paraId="000000DB" w14:textId="77777777">
            <w:pPr>
              <w:widowControl/>
              <w:jc w:val="center"/>
              <w:rPr>
                <w:rFonts w:ascii="Calibri" w:eastAsia="Calibri" w:hAnsi="Calibri" w:cs="Calibri"/>
              </w:rPr>
            </w:pPr>
            <w:r>
              <w:rPr>
                <w:rFonts w:ascii="Calibri" w:eastAsia="Calibri" w:hAnsi="Calibri" w:cs="Calibri"/>
              </w:rPr>
              <w:t>0 </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FCE4D6"/>
            <w:vAlign w:val="bottom"/>
          </w:tcPr>
          <w:p w:rsidR="00C4252D" w14:paraId="000000DD" w14:textId="77777777">
            <w:pPr>
              <w:widowControl/>
              <w:jc w:val="center"/>
              <w:rPr>
                <w:rFonts w:ascii="Calibri" w:eastAsia="Calibri" w:hAnsi="Calibri" w:cs="Calibri"/>
              </w:rPr>
            </w:pPr>
            <w:r>
              <w:rPr>
                <w:rFonts w:ascii="Calibri" w:eastAsia="Calibri" w:hAnsi="Calibri" w:cs="Calibri"/>
              </w:rPr>
              <w:t> 0</w:t>
            </w:r>
          </w:p>
        </w:tc>
        <w:tc>
          <w:tcPr>
            <w:tcW w:w="1935" w:type="dxa"/>
            <w:gridSpan w:val="2"/>
            <w:tcBorders>
              <w:top w:val="single" w:sz="8" w:space="0" w:color="000000"/>
              <w:left w:val="single" w:sz="8" w:space="0" w:color="000000"/>
              <w:bottom w:val="single" w:sz="8" w:space="0" w:color="000000"/>
              <w:right w:val="single" w:sz="4" w:space="0" w:color="000000"/>
            </w:tcBorders>
            <w:shd w:val="clear" w:color="auto" w:fill="FCE4D6"/>
            <w:vAlign w:val="bottom"/>
          </w:tcPr>
          <w:p w:rsidR="00C4252D" w14:paraId="000000DF" w14:textId="77777777">
            <w:pPr>
              <w:widowControl/>
              <w:jc w:val="center"/>
              <w:rPr>
                <w:rFonts w:ascii="Calibri" w:eastAsia="Calibri" w:hAnsi="Calibri" w:cs="Calibri"/>
              </w:rPr>
            </w:pPr>
            <w:r>
              <w:rPr>
                <w:rFonts w:ascii="Calibri" w:eastAsia="Calibri" w:hAnsi="Calibri" w:cs="Calibri"/>
              </w:rPr>
              <w:t>-860</w:t>
            </w:r>
          </w:p>
        </w:tc>
        <w:tc>
          <w:tcPr>
            <w:tcW w:w="3150" w:type="dxa"/>
            <w:tcBorders>
              <w:top w:val="single" w:sz="8" w:space="0" w:color="000000"/>
              <w:left w:val="single" w:sz="4" w:space="0" w:color="000000"/>
              <w:bottom w:val="single" w:sz="8" w:space="0" w:color="000000"/>
              <w:right w:val="single" w:sz="8" w:space="0" w:color="000000"/>
            </w:tcBorders>
            <w:shd w:val="clear" w:color="auto" w:fill="000000"/>
            <w:vAlign w:val="bottom"/>
          </w:tcPr>
          <w:p w:rsidR="00C4252D" w14:paraId="000000E1" w14:textId="77777777">
            <w:pPr>
              <w:widowControl/>
              <w:ind w:right="2565"/>
              <w:rPr>
                <w:rFonts w:ascii="Calibri" w:eastAsia="Calibri" w:hAnsi="Calibri" w:cs="Calibri"/>
              </w:rPr>
            </w:pPr>
            <w:r>
              <w:rPr>
                <w:rFonts w:ascii="Calibri" w:eastAsia="Calibri" w:hAnsi="Calibri" w:cs="Calibri"/>
              </w:rPr>
              <w:t> </w:t>
            </w:r>
          </w:p>
        </w:tc>
      </w:tr>
    </w:tbl>
    <w:p w:rsidR="00C4252D" w14:paraId="000000E2" w14:textId="77777777">
      <w:pPr>
        <w:pBdr>
          <w:top w:val="nil"/>
          <w:left w:val="nil"/>
          <w:bottom w:val="nil"/>
          <w:right w:val="nil"/>
          <w:between w:val="nil"/>
        </w:pBdr>
        <w:tabs>
          <w:tab w:val="left" w:pos="360"/>
        </w:tabs>
        <w:spacing w:before="80"/>
        <w:ind w:left="400"/>
        <w:rPr>
          <w:b/>
          <w:bCs/>
        </w:rPr>
      </w:pPr>
    </w:p>
    <w:p w:rsidR="00C4252D" w14:paraId="000000E3" w14:textId="77777777">
      <w:pPr>
        <w:numPr>
          <w:ilvl w:val="0"/>
          <w:numId w:val="3"/>
        </w:numPr>
        <w:pBdr>
          <w:top w:val="nil"/>
          <w:left w:val="nil"/>
          <w:bottom w:val="nil"/>
          <w:right w:val="nil"/>
          <w:between w:val="nil"/>
        </w:pBdr>
        <w:tabs>
          <w:tab w:val="left" w:pos="360"/>
        </w:tabs>
        <w:spacing w:before="8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C4252D" w:rsidP="00302F11" w14:paraId="000000E4" w14:textId="77777777">
      <w:pPr>
        <w:widowControl/>
        <w:spacing w:before="120"/>
      </w:pPr>
      <w:r>
        <w:t>NOAA IOOS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the public, results may be used in scientific, management, technical or general informational publications. Should NOAA IOOS decide to disseminate the information, it will be subject to the quality control measures and pre-dissemination review pursuant to</w:t>
      </w:r>
      <w:hyperlink r:id="rId16">
        <w:r>
          <w:t xml:space="preserve"> </w:t>
        </w:r>
      </w:hyperlink>
      <w:hyperlink r:id="rId16">
        <w:r>
          <w:rPr>
            <w:u w:val="single"/>
          </w:rPr>
          <w:t>Section 515 of Public Law 106 554</w:t>
        </w:r>
      </w:hyperlink>
      <w:r>
        <w:t>.</w:t>
      </w:r>
    </w:p>
    <w:p w:rsidR="00C4252D" w:rsidP="00302F11" w14:paraId="000000E5"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If seeking approval to not display the expiration date for OMB approval of the information collection, explain the reasons that display would be inappropriate.</w:t>
      </w:r>
    </w:p>
    <w:p w:rsidR="00C4252D" w:rsidP="00302F11" w14:paraId="000000E6" w14:textId="77777777">
      <w:pPr>
        <w:spacing w:before="120"/>
      </w:pPr>
      <w:r>
        <w:t>The agency plans to display the expiration date for OMB approval of the information collection on all instruments.</w:t>
      </w:r>
    </w:p>
    <w:p w:rsidR="00C4252D" w:rsidP="00302F11" w14:paraId="000000E7" w14:textId="77777777">
      <w:pPr>
        <w:numPr>
          <w:ilvl w:val="0"/>
          <w:numId w:val="3"/>
        </w:numPr>
        <w:pBdr>
          <w:top w:val="nil"/>
          <w:left w:val="nil"/>
          <w:bottom w:val="nil"/>
          <w:right w:val="nil"/>
          <w:between w:val="nil"/>
        </w:pBdr>
        <w:tabs>
          <w:tab w:val="left" w:pos="360"/>
        </w:tabs>
        <w:spacing w:before="240"/>
        <w:ind w:left="0" w:firstLine="0"/>
        <w:rPr>
          <w:b/>
          <w:bCs/>
          <w:color w:val="000000"/>
        </w:rPr>
      </w:pPr>
      <w:r>
        <w:rPr>
          <w:b/>
          <w:bCs/>
          <w:color w:val="000000"/>
        </w:rPr>
        <w:t>Explain each exception to the certification statement identified in “Certification for Paperwork Reduction Act Submissions."</w:t>
      </w:r>
    </w:p>
    <w:p w:rsidR="00C4252D" w:rsidP="00302F11" w14:paraId="000000E8" w14:textId="77777777">
      <w:pPr>
        <w:spacing w:before="221"/>
      </w:pPr>
      <w:r>
        <w:t xml:space="preserve">The agency certifies compliance with </w:t>
      </w:r>
      <w:hyperlink r:id="rId17">
        <w:r>
          <w:rPr>
            <w:color w:val="0563C1"/>
            <w:u w:val="single"/>
          </w:rPr>
          <w:t>5 CFR 1320.9</w:t>
        </w:r>
      </w:hyperlink>
      <w:hyperlink r:id="rId17">
        <w:r>
          <w:rPr>
            <w:color w:val="0563C1"/>
          </w:rPr>
          <w:t xml:space="preserve"> </w:t>
        </w:r>
      </w:hyperlink>
      <w:r>
        <w:t xml:space="preserve">and the related provisions of </w:t>
      </w:r>
      <w:hyperlink r:id="rId18">
        <w:r>
          <w:rPr>
            <w:color w:val="0563C1"/>
            <w:u w:val="single"/>
          </w:rPr>
          <w:t>5 CFR</w:t>
        </w:r>
      </w:hyperlink>
      <w:r>
        <w:rPr>
          <w:color w:val="0563C1"/>
        </w:rPr>
        <w:t xml:space="preserve"> </w:t>
      </w:r>
      <w:hyperlink r:id="rId18">
        <w:r>
          <w:rPr>
            <w:color w:val="0563C1"/>
            <w:u w:val="single"/>
          </w:rPr>
          <w:t>1320.8(b)(3)</w:t>
        </w:r>
      </w:hyperlink>
      <w:r>
        <w:t>.</w:t>
      </w:r>
    </w:p>
    <w:p w:rsidR="00C4252D" w14:paraId="000000E9" w14:textId="77777777">
      <w:pPr>
        <w:spacing w:before="221" w:line="259" w:lineRule="auto"/>
        <w:jc w:val="both"/>
        <w:rPr>
          <w:color w:val="1F497D"/>
        </w:rPr>
      </w:pPr>
      <w:bookmarkStart w:id="2" w:name="_heading=h.gjdgxs" w:colFirst="0" w:colLast="0"/>
      <w:bookmarkEnd w:id="2"/>
    </w:p>
    <w:sectPr>
      <w:pgSz w:w="12240" w:h="15840"/>
      <w:pgMar w:top="1440" w:right="1440" w:bottom="1440" w:left="1440"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307305BC-54FC-47C7-873C-4AD2EA930BF4}"/>
  </w:font>
  <w:font w:name="Georgia">
    <w:panose1 w:val="02040502050405020303"/>
    <w:charset w:val="00"/>
    <w:family w:val="roman"/>
    <w:pitch w:val="variable"/>
    <w:sig w:usb0="00000287" w:usb1="00000000" w:usb2="00000000" w:usb3="00000000" w:csb0="0000009F" w:csb1="00000000"/>
    <w:embedItalic r:id="rId2" w:fontKey="{218F02F0-1132-45C0-95FE-1A65A175C39E}"/>
  </w:font>
  <w:font w:name="Calibri">
    <w:panose1 w:val="020F0502020204030204"/>
    <w:charset w:val="00"/>
    <w:family w:val="swiss"/>
    <w:pitch w:val="variable"/>
    <w:sig w:usb0="E4002EFF" w:usb1="C200247B" w:usb2="00000009" w:usb3="00000000" w:csb0="000001FF" w:csb1="00000000"/>
    <w:embedRegular r:id="rId3" w:fontKey="{B63D0488-7B50-4F54-AAC8-404E0AB2CDBE}"/>
    <w:embedBold r:id="rId4" w:fontKey="{F105E428-3DA6-410E-A3F0-337DCEEACFC9}"/>
  </w:font>
  <w:font w:name="Cambria">
    <w:panose1 w:val="02040503050406030204"/>
    <w:charset w:val="00"/>
    <w:family w:val="roman"/>
    <w:pitch w:val="variable"/>
    <w:sig w:usb0="E00006FF" w:usb1="420024FF" w:usb2="02000000" w:usb3="00000000" w:csb0="0000019F" w:csb1="00000000"/>
    <w:embedRegular r:id="rId5" w:fontKey="{A51A0EDC-E636-4548-B99B-56CF8DB4A7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4252D" w14:paraId="000000EA"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84C6A" w14:paraId="3122CBDA" w14:textId="77777777">
      <w:r>
        <w:separator/>
      </w:r>
    </w:p>
  </w:footnote>
  <w:footnote w:type="continuationSeparator" w:id="1">
    <w:p w:rsidR="00984C6A" w14:paraId="74386DF1" w14:textId="77777777">
      <w:r>
        <w:continuationSeparator/>
      </w:r>
    </w:p>
  </w:footnote>
  <w:footnote w:id="2">
    <w:p w:rsidR="001D30A9" w:rsidRPr="001D30A9" w14:paraId="6A97426A" w14:textId="46FEC389">
      <w:pPr>
        <w:pStyle w:val="FootnoteText"/>
        <w:rPr>
          <w:lang w:val="en-US"/>
        </w:rPr>
      </w:pPr>
      <w:r>
        <w:rPr>
          <w:rStyle w:val="FootnoteReference"/>
        </w:rPr>
        <w:footnoteRef/>
      </w:r>
      <w:r>
        <w:t xml:space="preserve"> </w:t>
      </w:r>
      <w:r w:rsidRPr="001D30A9">
        <w:t>https://cdn.ioos.noaa.gov/media/2017/12/Public_LawNo111-11HR-146_-PassedSigned_033009.pdf</w:t>
      </w:r>
    </w:p>
  </w:footnote>
  <w:footnote w:id="3">
    <w:p w:rsidR="00472AA9" w:rsidRPr="00472AA9" w14:paraId="1B9A6490" w14:textId="1E9174D5">
      <w:pPr>
        <w:pStyle w:val="FootnoteText"/>
        <w:rPr>
          <w:lang w:val="en-US"/>
        </w:rPr>
      </w:pPr>
      <w:r>
        <w:rPr>
          <w:rStyle w:val="FootnoteReference"/>
        </w:rPr>
        <w:footnoteRef/>
      </w:r>
      <w:r>
        <w:t xml:space="preserve"> </w:t>
      </w:r>
      <w:r w:rsidRPr="00472AA9">
        <w:t>https://www.law.cornell.edu/uscode/text/33/chapter-49</w:t>
      </w:r>
    </w:p>
  </w:footnote>
  <w:footnote w:id="4">
    <w:p w:rsidR="00472AA9" w:rsidRPr="00472AA9" w14:paraId="3D3D0FD4" w14:textId="4FD4A146">
      <w:pPr>
        <w:pStyle w:val="FootnoteText"/>
        <w:rPr>
          <w:lang w:val="en-US"/>
        </w:rPr>
      </w:pPr>
      <w:r>
        <w:rPr>
          <w:rStyle w:val="FootnoteReference"/>
        </w:rPr>
        <w:footnoteRef/>
      </w:r>
      <w:r>
        <w:t xml:space="preserve"> </w:t>
      </w:r>
      <w:r w:rsidRPr="00472AA9">
        <w:t>https://www.ecfr.gov/current/title-15/subtitle-B/chapter-IX/subchapter-G/part-997?toc=1</w:t>
      </w:r>
    </w:p>
  </w:footnote>
  <w:footnote w:id="5">
    <w:p w:rsidR="00472AA9" w:rsidRPr="00472AA9" w14:paraId="71B8E4A8" w14:textId="7D462A29">
      <w:pPr>
        <w:pStyle w:val="FootnoteText"/>
        <w:rPr>
          <w:lang w:val="en-US"/>
        </w:rPr>
      </w:pPr>
      <w:r>
        <w:rPr>
          <w:rStyle w:val="FootnoteReference"/>
        </w:rPr>
        <w:footnoteRef/>
      </w:r>
      <w:r>
        <w:t xml:space="preserve"> </w:t>
      </w:r>
      <w:r w:rsidRPr="00472AA9">
        <w:t>https://ioos.noaa.gov/about/governance-and-management/certification/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83FDB"/>
    <w:multiLevelType w:val="multilevel"/>
    <w:tmpl w:val="CB144984"/>
    <w:lvl w:ilvl="0">
      <w:start w:val="1"/>
      <w:numFmt w:val="decimal"/>
      <w:lvlText w:val="%1."/>
      <w:lvlJc w:val="left"/>
      <w:pPr>
        <w:ind w:left="400" w:hanging="269"/>
      </w:pPr>
      <w:rPr>
        <w:rFonts w:ascii="Times New Roman" w:eastAsia="Arial" w:hAnsi="Times New Roman" w:cs="Times New Roman" w:hint="default"/>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1">
    <w:nsid w:val="180A6450"/>
    <w:multiLevelType w:val="multilevel"/>
    <w:tmpl w:val="3F04C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7C70F13"/>
    <w:multiLevelType w:val="multilevel"/>
    <w:tmpl w:val="F3B87144"/>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3">
    <w:nsid w:val="42A450B2"/>
    <w:multiLevelType w:val="multilevel"/>
    <w:tmpl w:val="10BA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F723DBA"/>
    <w:multiLevelType w:val="multilevel"/>
    <w:tmpl w:val="8466A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3129834">
    <w:abstractNumId w:val="1"/>
  </w:num>
  <w:num w:numId="2" w16cid:durableId="489491342">
    <w:abstractNumId w:val="3"/>
  </w:num>
  <w:num w:numId="3" w16cid:durableId="134563945">
    <w:abstractNumId w:val="0"/>
  </w:num>
  <w:num w:numId="4" w16cid:durableId="152532395">
    <w:abstractNumId w:val="4"/>
  </w:num>
  <w:num w:numId="5" w16cid:durableId="14919490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2D"/>
    <w:rsid w:val="000160B5"/>
    <w:rsid w:val="00030EA9"/>
    <w:rsid w:val="00044207"/>
    <w:rsid w:val="000A0537"/>
    <w:rsid w:val="000C1DF8"/>
    <w:rsid w:val="000D7DA0"/>
    <w:rsid w:val="00123C83"/>
    <w:rsid w:val="00140C4B"/>
    <w:rsid w:val="001A436F"/>
    <w:rsid w:val="001D30A9"/>
    <w:rsid w:val="00211FB1"/>
    <w:rsid w:val="00224153"/>
    <w:rsid w:val="00252DEF"/>
    <w:rsid w:val="002927BB"/>
    <w:rsid w:val="00302F11"/>
    <w:rsid w:val="00360466"/>
    <w:rsid w:val="003B5B6B"/>
    <w:rsid w:val="003F0C2B"/>
    <w:rsid w:val="00402465"/>
    <w:rsid w:val="00447EB5"/>
    <w:rsid w:val="00472AA9"/>
    <w:rsid w:val="00486D8C"/>
    <w:rsid w:val="0048716F"/>
    <w:rsid w:val="00515F5B"/>
    <w:rsid w:val="00532EEF"/>
    <w:rsid w:val="005337BB"/>
    <w:rsid w:val="00550C68"/>
    <w:rsid w:val="005648F2"/>
    <w:rsid w:val="005A3196"/>
    <w:rsid w:val="005C403B"/>
    <w:rsid w:val="005D5447"/>
    <w:rsid w:val="005F64CF"/>
    <w:rsid w:val="006322BF"/>
    <w:rsid w:val="006725AA"/>
    <w:rsid w:val="006C6C5A"/>
    <w:rsid w:val="00750D49"/>
    <w:rsid w:val="00837D8E"/>
    <w:rsid w:val="008F5CAB"/>
    <w:rsid w:val="009275AB"/>
    <w:rsid w:val="00944218"/>
    <w:rsid w:val="00950EAF"/>
    <w:rsid w:val="009744C4"/>
    <w:rsid w:val="0098437F"/>
    <w:rsid w:val="00984C6A"/>
    <w:rsid w:val="009C15C0"/>
    <w:rsid w:val="00A13C09"/>
    <w:rsid w:val="00A53654"/>
    <w:rsid w:val="00A62F1F"/>
    <w:rsid w:val="00A858A0"/>
    <w:rsid w:val="00A87087"/>
    <w:rsid w:val="00A967DD"/>
    <w:rsid w:val="00AD60CB"/>
    <w:rsid w:val="00AF0FC9"/>
    <w:rsid w:val="00B055C4"/>
    <w:rsid w:val="00B312CC"/>
    <w:rsid w:val="00B7732A"/>
    <w:rsid w:val="00BA1395"/>
    <w:rsid w:val="00C24917"/>
    <w:rsid w:val="00C4252D"/>
    <w:rsid w:val="00C44433"/>
    <w:rsid w:val="00C97ECE"/>
    <w:rsid w:val="00D8571B"/>
    <w:rsid w:val="00E479C6"/>
    <w:rsid w:val="00EA5C0A"/>
    <w:rsid w:val="00EC117B"/>
    <w:rsid w:val="00F02E68"/>
    <w:rsid w:val="00FC381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8280CDD"/>
  <w15:docId w15:val="{6F6A15E6-1C0A-402F-A467-3AAC2A6F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0" w:type="dxa"/>
        <w:left w:w="0" w:type="dxa"/>
        <w:bottom w:w="0" w:type="dxa"/>
        <w:right w:w="0" w:type="dxa"/>
      </w:tblCellMar>
    </w:tbl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6725AA"/>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6725AA"/>
    <w:rPr>
      <w:rFonts w:ascii="Arial" w:eastAsia="Arial" w:hAnsi="Arial" w:cs="Arial"/>
      <w:b/>
      <w:bCs/>
      <w:color w:val="2E5395"/>
      <w:sz w:val="20"/>
      <w:szCs w:val="20"/>
    </w:rPr>
  </w:style>
  <w:style w:type="paragraph" w:styleId="FootnoteText">
    <w:name w:val="footnote text"/>
    <w:basedOn w:val="Normal"/>
    <w:link w:val="FootnoteTextChar"/>
    <w:uiPriority w:val="99"/>
    <w:semiHidden/>
    <w:unhideWhenUsed/>
    <w:rsid w:val="001D30A9"/>
    <w:rPr>
      <w:sz w:val="20"/>
      <w:szCs w:val="20"/>
    </w:rPr>
  </w:style>
  <w:style w:type="character" w:customStyle="1" w:styleId="FootnoteTextChar">
    <w:name w:val="Footnote Text Char"/>
    <w:basedOn w:val="DefaultParagraphFont"/>
    <w:link w:val="FootnoteText"/>
    <w:uiPriority w:val="99"/>
    <w:semiHidden/>
    <w:rsid w:val="001D30A9"/>
    <w:rPr>
      <w:sz w:val="20"/>
      <w:szCs w:val="20"/>
    </w:rPr>
  </w:style>
  <w:style w:type="character" w:styleId="FootnoteReference">
    <w:name w:val="footnote reference"/>
    <w:basedOn w:val="DefaultParagraphFont"/>
    <w:uiPriority w:val="99"/>
    <w:semiHidden/>
    <w:unhideWhenUsed/>
    <w:rsid w:val="001D30A9"/>
    <w:rPr>
      <w:vertAlign w:val="superscript"/>
    </w:rPr>
  </w:style>
  <w:style w:type="character" w:styleId="UnresolvedMention">
    <w:name w:val="Unresolved Mention"/>
    <w:basedOn w:val="DefaultParagraphFont"/>
    <w:uiPriority w:val="99"/>
    <w:semiHidden/>
    <w:unhideWhenUsed/>
    <w:rsid w:val="00472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govinfo.gov/link/uscode/33/3603" TargetMode="External" /><Relationship Id="rId11" Type="http://schemas.openxmlformats.org/officeDocument/2006/relationships/hyperlink" Target="https://www.ecfr.gov/current/title-15/subtitle-B/chapter-IX/subchapter-G/part-997?toc=1" TargetMode="External" /><Relationship Id="rId12" Type="http://schemas.openxmlformats.org/officeDocument/2006/relationships/hyperlink" Target="https://ioos.noaa.gov/about/governance-and-management/certification/" TargetMode="External" /><Relationship Id="rId13" Type="http://schemas.openxmlformats.org/officeDocument/2006/relationships/footer" Target="footer1.xml" /><Relationship Id="rId14" Type="http://schemas.openxmlformats.org/officeDocument/2006/relationships/hyperlink" Target="https://data.bls.gov/oesprofile/?major_group=110000&amp;occupation=119121&amp;measure=01&amp;areas=INDUSTRY,STATE,MSA" TargetMode="External" /><Relationship Id="rId15" Type="http://schemas.openxmlformats.org/officeDocument/2006/relationships/hyperlink" Target="https://www.commerce.gov/sites/default/files/2026-01/CAPS%20Standard%20Pay%20Tables%202026.pdf" TargetMode="External" /><Relationship Id="rId16" Type="http://schemas.openxmlformats.org/officeDocument/2006/relationships/hyperlink" Target="http://www.fws.gov/informationquality/section515.html" TargetMode="External" /><Relationship Id="rId17" Type="http://schemas.openxmlformats.org/officeDocument/2006/relationships/hyperlink" Target="http://www.gpo.gov/fdsys/pkg/CFR-2014-title5-vol3/pdf/CFR-2014-title5-vol3-sec1320-9.pdf" TargetMode="External" /><Relationship Id="rId18" Type="http://schemas.openxmlformats.org/officeDocument/2006/relationships/hyperlink" Target="http://www.gpo.gov/fdsys/pkg/CFR-2014-title5-vol3/pdf/CFR-2014-title5-vol3-sec1320-8.pdf" TargetMode="Externa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google.com/search?client=gmail&amp;rls=gm&amp;q=Integrated%20Coastal%20and%20Ocean%20Observation%20System%20Act%20of%202009" TargetMode="External" /><Relationship Id="rId8" Type="http://schemas.openxmlformats.org/officeDocument/2006/relationships/hyperlink" Target="https://cdn.ioos.noaa.gov/media/2017/12/Public_LawNo111-11HR-146_-PassedSigned_033009.pdf" TargetMode="External" /><Relationship Id="rId9" Type="http://schemas.openxmlformats.org/officeDocument/2006/relationships/hyperlink" Target="https://www.law.cornell.edu/uscode/text/33/chapter-49"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kQLGPvXavy6nXS1nStFB5P/udQ==">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41DC09-299B-445C-8850-88E48DF6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3744</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3</cp:revision>
  <dcterms:created xsi:type="dcterms:W3CDTF">2026-05-19T19:41:00Z</dcterms:created>
  <dcterms:modified xsi:type="dcterms:W3CDTF">2026-05-19T19:43:00Z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