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P="00162A3A" w14:paraId="2BBEE34D" w14:textId="77777777">
      <w:pPr>
        <w:jc w:val="center"/>
        <w:rPr>
          <w:rFonts w:eastAsia="Calibri"/>
        </w:rPr>
      </w:pPr>
      <w:r w:rsidRPr="00357C8A">
        <w:rPr>
          <w:rFonts w:eastAsia="Calibri"/>
        </w:rPr>
        <w:t>United States Food and Drug Administration</w:t>
      </w:r>
    </w:p>
    <w:p w:rsidR="00357C8A" w:rsidP="00357C8A" w14:paraId="5522C23C" w14:textId="77777777">
      <w:pPr>
        <w:jc w:val="center"/>
        <w:rPr>
          <w:rFonts w:eastAsia="Calibri"/>
        </w:rPr>
      </w:pPr>
    </w:p>
    <w:p w:rsidR="00FD5734" w:rsidRPr="00FD5734" w:rsidP="00FD5734" w14:paraId="318259A8" w14:textId="77777777">
      <w:pPr>
        <w:jc w:val="center"/>
        <w:rPr>
          <w:rFonts w:eastAsia="Calibri"/>
        </w:rPr>
      </w:pPr>
      <w:bookmarkStart w:id="0" w:name="_Hlk215669430"/>
      <w:r w:rsidRPr="00FD5734">
        <w:rPr>
          <w:rFonts w:eastAsia="Calibri"/>
        </w:rPr>
        <w:t>Current Good Manufacturing Practice in Manufacturing,</w:t>
      </w:r>
    </w:p>
    <w:p w:rsidR="00357C8A" w:rsidP="00357C8A" w14:paraId="70B63E0C" w14:textId="77777777">
      <w:pPr>
        <w:jc w:val="center"/>
        <w:rPr>
          <w:rFonts w:eastAsia="Calibri"/>
        </w:rPr>
      </w:pPr>
      <w:r w:rsidRPr="00FD5734">
        <w:rPr>
          <w:rFonts w:eastAsia="Calibri"/>
        </w:rPr>
        <w:t>Packaging, Labeling, or Holding Operations for Dietary Supplements</w:t>
      </w:r>
    </w:p>
    <w:bookmarkEnd w:id="0"/>
    <w:p w:rsidR="007E5EF5" w:rsidP="00357C8A" w14:paraId="1A773F28" w14:textId="77777777">
      <w:pPr>
        <w:jc w:val="center"/>
        <w:rPr>
          <w:rFonts w:eastAsia="Calibri"/>
        </w:rPr>
      </w:pPr>
    </w:p>
    <w:p w:rsidR="00357C8A" w:rsidP="00357C8A" w14:paraId="6BBEB17A" w14:textId="77777777">
      <w:pPr>
        <w:jc w:val="center"/>
        <w:rPr>
          <w:rFonts w:eastAsia="Calibri"/>
        </w:rPr>
      </w:pPr>
      <w:r w:rsidRPr="00357C8A">
        <w:rPr>
          <w:rFonts w:eastAsia="Calibri"/>
        </w:rPr>
        <w:t>OMB Control No. 0910-</w:t>
      </w:r>
      <w:r w:rsidR="00FD5734">
        <w:rPr>
          <w:rFonts w:eastAsia="Calibri"/>
        </w:rPr>
        <w:t>0606</w:t>
      </w:r>
    </w:p>
    <w:p w:rsidR="00357C8A" w:rsidP="00357C8A" w14:paraId="0DAB8E42" w14:textId="77777777">
      <w:pPr>
        <w:jc w:val="center"/>
        <w:rPr>
          <w:rFonts w:eastAsia="Calibri"/>
        </w:rPr>
      </w:pPr>
    </w:p>
    <w:p w:rsidR="00357C8A" w:rsidP="00357C8A" w14:paraId="097D340D" w14:textId="77777777">
      <w:pPr>
        <w:jc w:val="center"/>
        <w:rPr>
          <w:rFonts w:eastAsia="Calibri"/>
        </w:rPr>
      </w:pPr>
      <w:r w:rsidRPr="00357C8A">
        <w:rPr>
          <w:rFonts w:eastAsia="Calibri"/>
        </w:rPr>
        <w:t>SUPPORTING STATEMENT</w:t>
      </w:r>
    </w:p>
    <w:p w:rsidR="009B4DF2" w:rsidP="00357C8A" w14:paraId="2342816F" w14:textId="77777777">
      <w:pPr>
        <w:jc w:val="center"/>
        <w:rPr>
          <w:rFonts w:eastAsia="Calibri"/>
        </w:rPr>
      </w:pPr>
    </w:p>
    <w:p w:rsidR="00357C8A" w:rsidP="000D79CC" w14:paraId="496C4754" w14:textId="77777777">
      <w:pPr>
        <w:rPr>
          <w:rFonts w:eastAsia="Calibri"/>
        </w:rPr>
      </w:pPr>
      <w:r w:rsidRPr="00357C8A">
        <w:rPr>
          <w:rFonts w:eastAsia="Calibri"/>
          <w:b/>
        </w:rPr>
        <w:t>Part A</w:t>
      </w:r>
      <w:r w:rsidRPr="00357C8A">
        <w:rPr>
          <w:rFonts w:eastAsia="Calibri"/>
          <w:b/>
        </w:rPr>
        <w:t>:  Justification</w:t>
      </w:r>
      <w:r w:rsidRPr="00357C8A">
        <w:rPr>
          <w:rFonts w:eastAsia="Calibri"/>
        </w:rPr>
        <w:t>:</w:t>
      </w:r>
    </w:p>
    <w:p w:rsidR="000D79CC" w:rsidRPr="00357C8A" w:rsidP="000D79CC" w14:paraId="59F950B5" w14:textId="77777777">
      <w:pPr>
        <w:rPr>
          <w:rFonts w:eastAsia="Calibri"/>
        </w:rPr>
      </w:pPr>
    </w:p>
    <w:p w:rsidR="00357C8A" w:rsidRPr="00357C8A" w:rsidP="006705EA" w14:paraId="4C9A1EDF"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FD5734" w:rsidP="00FD5734" w14:paraId="4F9F3929" w14:textId="77777777">
      <w:pPr>
        <w:rPr>
          <w:rFonts w:eastAsia="Calibri"/>
        </w:rPr>
      </w:pPr>
      <w:r w:rsidRPr="00FD5734">
        <w:rPr>
          <w:rFonts w:eastAsia="Calibri"/>
        </w:rPr>
        <w:t xml:space="preserve">This information collection supports Food and Drug Administration (FDA, us or we) regulations.  The Dietary Supplement Health and Education Act (Pub. L. 103-417) added section 402(g) of the Federal Food, Drug, and Cosmetic Act (FD&amp;C Act) (21 U.S.C. 342(g)), which provides, in part, that the Secretary of Health and Human Services may, by regulation, prescribe good manufacturing practice for dietary supplements.  Section 402(g) of the FD&amp;C Act also stipulates that such regulations will be modeled after current good manufacturing practice (CGMP) regulations for food and may not impose standards for which there are no current, and generally available, analytical methodology.  Section 402(g)(1) of the FD&amp;C Act states that a dietary supplement is adulterated if “it has been prepared, packed, or held under conditions that do not meet current good manufacturing practice regulations.”  </w:t>
      </w:r>
    </w:p>
    <w:p w:rsidR="007E5EF5" w:rsidRPr="00FD5734" w:rsidP="00FD5734" w14:paraId="2A60C62B" w14:textId="77777777">
      <w:pPr>
        <w:rPr>
          <w:rFonts w:eastAsia="Calibri"/>
        </w:rPr>
      </w:pPr>
    </w:p>
    <w:p w:rsidR="00FD5734" w:rsidP="00FD5734" w14:paraId="5D9F2527" w14:textId="77777777">
      <w:pPr>
        <w:rPr>
          <w:rFonts w:eastAsia="Calibri"/>
        </w:rPr>
      </w:pPr>
      <w:r w:rsidRPr="00FD5734">
        <w:rPr>
          <w:rFonts w:eastAsia="Calibri"/>
        </w:rPr>
        <w:t xml:space="preserve">Accordingly, we have promulgated regulations in part 111 (21 CFR part 111) establishing minimum CGMP requirements pertaining to the manufacturing, packaging, labeling, or holding of dietary supplements to ensure their quality.  Included among the requirements is recordkeeping, documenting, planning, control, and improvement processes of a quality control system.  Implementation of these processes in a manufacturing operation serves as the backbone to CGMP.  The records must show what is being manufactured and whether the controls in place ensure the product’s identity, purity, strength, and composition and that limits on contaminants and measures to prevent adulteration are effective.  Further, records must show whether and what deviations from control processes occurred, facilitate evaluation and corrective action concerning these deviations (including, where necessary, whether associated batches of product should be recalled from the marketplace), and enable a manufacturer to assure that the corrective action was effective.  We believe the regulations in part 111 establish the minimum manufacturing practices necessary to ensure that dietary supplements are manufactured, packaged, labeled, or held in a manner that will ensure the quality of the dietary supplements during manufacturing, packaging, labeling, or holding operations. </w:t>
      </w:r>
    </w:p>
    <w:p w:rsidR="007E5EF5" w:rsidRPr="00FD5734" w:rsidP="00FD5734" w14:paraId="3D613896" w14:textId="77777777">
      <w:pPr>
        <w:rPr>
          <w:rFonts w:eastAsia="Calibri"/>
        </w:rPr>
      </w:pPr>
    </w:p>
    <w:p w:rsidR="00FD5734" w:rsidRPr="00FD5734" w:rsidP="00FD5734" w14:paraId="55C4B027" w14:textId="77777777">
      <w:pPr>
        <w:rPr>
          <w:rFonts w:eastAsia="Calibri"/>
        </w:rPr>
      </w:pPr>
      <w:r w:rsidRPr="00FD5734">
        <w:rPr>
          <w:rFonts w:eastAsia="Calibri"/>
        </w:rPr>
        <w:t>Specifically, the recordkeeping requirements of the regulations in part 111 include establishing written procedures and maintaining records pertaining to:  (1) personnel; (2) sanitation; (3) calibration of instruments and controls; (4) calibration, inspection, or checks of automated, mechanical, or electronic equipment; (5) maintaining, cleaning, and sanitizing equipment and utensils and other contact surfaces; (6) water used that may become a component of the dietary supplement; (7) production and process controls; (8) quality control; (9) components, packaging, labels and product received for packaging and labeling; (10) master manufacturing and batch production; (11) laboratory operations; (12) manufacturing operations; (13) packaging and labeling operations; (14) holding and distributing operations; (15) returned dietary supplements; and (16) product complaints.</w:t>
      </w:r>
    </w:p>
    <w:p w:rsidR="00FD5734" w:rsidRPr="00FD5734" w:rsidP="00FD5734" w14:paraId="75A6A3F4" w14:textId="77777777">
      <w:pPr>
        <w:rPr>
          <w:rFonts w:eastAsia="Calibri"/>
        </w:rPr>
      </w:pPr>
    </w:p>
    <w:p w:rsidR="00FD5734" w:rsidRPr="00FD5734" w:rsidP="00FD5734" w14:paraId="14ECB50A" w14:textId="77777777">
      <w:pPr>
        <w:rPr>
          <w:rFonts w:eastAsia="Calibri"/>
        </w:rPr>
      </w:pPr>
      <w:r w:rsidRPr="00FD5734">
        <w:rPr>
          <w:rFonts w:eastAsia="Calibri"/>
        </w:rPr>
        <w:t xml:space="preserve">Section 111.75(a)(1) reflects FDA’s determination that manufacturers that test or examine 100 percent of the incoming dietary ingredients for identity can be assured of the identity of the ingredient.  However, we recognize that it may be possible for a manufacturer to demonstrate, through various methods and processes in use over time for its particular operation, that a system of less than 100 percent identity testing would result in no material diminution of </w:t>
      </w:r>
      <w:r w:rsidRPr="00FD5734">
        <w:rPr>
          <w:rFonts w:eastAsia="Calibri"/>
        </w:rPr>
        <w:t>assurance of the identity</w:t>
      </w:r>
      <w:r w:rsidRPr="00FD5734">
        <w:rPr>
          <w:rFonts w:eastAsia="Calibri"/>
        </w:rPr>
        <w:t xml:space="preserve"> of the dietary ingredient as compared to the assurance provided by 100 percent identity testing.  Section 111.75(a)(1) provides an opportunity for a manufacturer to make such a showing and reduce the frequency of identity testing of components that are dietary ingredients from 100 percent to some lower frequency.  Section 111.75(a)(1) also sets forth the information a manufacturer is required to submit for an exemption from the requirement of 100 percent identity testing when a manufacturer petitions the agency for such an exemption to 100 percent identity testing under 21 CFR 10.30 and the agency grants such exemption.  </w:t>
      </w:r>
    </w:p>
    <w:p w:rsidR="00FD5734" w:rsidRPr="00FD5734" w:rsidP="00FD5734" w14:paraId="57E9FB9A" w14:textId="77777777">
      <w:pPr>
        <w:rPr>
          <w:rFonts w:eastAsia="Calibri"/>
        </w:rPr>
      </w:pPr>
    </w:p>
    <w:p w:rsidR="00357C8A" w:rsidP="00FD5734" w14:paraId="46661AE9" w14:textId="77777777">
      <w:pPr>
        <w:rPr>
          <w:rFonts w:eastAsia="Calibri"/>
        </w:rPr>
      </w:pPr>
      <w:r w:rsidRPr="00FD5734">
        <w:rPr>
          <w:rFonts w:eastAsia="Calibri"/>
        </w:rPr>
        <w:t>We therefore request extension of OMB approval of the information collection provisions found in 21 CFR part 111 and discussed in this supporting statement.</w:t>
      </w:r>
    </w:p>
    <w:p w:rsidR="007E5EF5" w:rsidRPr="00744403" w:rsidP="007E5EF5" w14:paraId="56233FEC" w14:textId="77777777">
      <w:pPr>
        <w:rPr>
          <w:rFonts w:eastAsia="Calibri"/>
          <w:color w:val="000000"/>
        </w:rPr>
      </w:pPr>
    </w:p>
    <w:p w:rsidR="00357C8A" w:rsidRPr="00357C8A" w:rsidP="006705EA" w14:paraId="2158346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FD5734" w:rsidRPr="00FD5734" w:rsidP="00FD5734" w14:paraId="4FDFFE75" w14:textId="7DCB6370">
      <w:pPr>
        <w:spacing w:after="200"/>
        <w:rPr>
          <w:rFonts w:eastAsia="Calibri"/>
        </w:rPr>
      </w:pPr>
      <w:r w:rsidRPr="00FD5734">
        <w:rPr>
          <w:rFonts w:eastAsia="Calibri"/>
        </w:rPr>
        <w:t>Recordkeeping is an indispensable component of CGMP.  The records required by FDA’s regulations in part 111 provide the foundation for the planning, control, and improvement processes that constitute a quality control system.  Implementation of these processes in a manufacturing operation shows what is to be manufactured; what was manufactured; and whether the manufacturing controls ensure the identity, purity, strength, and composition of the product and effectively limit contaminants and prevent adulteration.  Further, records show whether and what deviations from control processes occurred, facilitate evaluation and corrective action concerning these deviations (including, where necessary, whether associated batches of product should be recalled from the marketplace) and enable a manufacturer to assure that the corrective action was effective.  In addition, recordkeeping requirements help to ensure industry adherence to CGMP.  The regulations in part 111 establish what we believe are the minimum manufacturing practices necessary to ensure that dietary supplements are manufactured, packaged, labeled, or held in a manner that will ensure the quality of the dietary supplements during manufacturing, packaging, labeling, or holding operations.</w:t>
      </w:r>
    </w:p>
    <w:p w:rsidR="00FD5734" w:rsidRPr="00FD5734" w:rsidP="00FD5734" w14:paraId="5F31A592" w14:textId="74A30203">
      <w:pPr>
        <w:spacing w:after="200"/>
        <w:rPr>
          <w:rFonts w:eastAsia="Calibri"/>
        </w:rPr>
      </w:pPr>
      <w:r w:rsidRPr="00FD5734">
        <w:rPr>
          <w:rFonts w:eastAsia="Calibri"/>
        </w:rPr>
        <w:t xml:space="preserve">The recordkeeping requirements provide for written procedures and maintaining records pertaining to: </w:t>
      </w:r>
      <w:r w:rsidR="000E3D81">
        <w:rPr>
          <w:rFonts w:eastAsia="Calibri"/>
        </w:rPr>
        <w:t xml:space="preserve"> </w:t>
      </w:r>
      <w:r w:rsidRPr="00FD5734">
        <w:rPr>
          <w:rFonts w:eastAsia="Calibri"/>
        </w:rPr>
        <w:t>(1) personnel; (2) sanitation; (3) calibration of instruments and controls; (4) calibration, inspection, or checks of automated, mechanical, or electronic equipment; (5) maintaining, cleaning, and sanitizing equipment and utensils and other contact surfaces; (6) water used that may become a component of the dietary supplement; (7) production and process controls; (8) quality control; (9) components, packaging, labels, and product received for packaging and labeling; (10) master manufacturing and batch production; (11) laboratory operations; (12) manufacturing operations; (13) packaging and labeling operations; (14) holding and distributing operations; (15) returned dietary supplements; and (16) product complaints.</w:t>
      </w:r>
    </w:p>
    <w:p w:rsidR="00FD5734" w:rsidRPr="00FD5734" w:rsidP="00FD5734" w14:paraId="0EA9AE6E" w14:textId="77777777">
      <w:pPr>
        <w:spacing w:after="200"/>
        <w:rPr>
          <w:rFonts w:eastAsia="Calibri"/>
        </w:rPr>
      </w:pPr>
      <w:r w:rsidRPr="00FD5734">
        <w:rPr>
          <w:rFonts w:eastAsia="Calibri"/>
        </w:rPr>
        <w:t xml:space="preserve">The reporting is used to show whether a particular manufacturer of dietary supplements has successfully, or unsuccessfully, petitioned FDA for an exemption from 100 percent identity testing for ingredients used in supplement manufacture.  </w:t>
      </w:r>
    </w:p>
    <w:p w:rsidR="00357C8A" w:rsidRPr="00744403" w:rsidP="0022425B" w14:paraId="1E956404" w14:textId="77777777">
      <w:pPr>
        <w:spacing w:after="200"/>
        <w:rPr>
          <w:rFonts w:eastAsia="Calibri"/>
          <w:color w:val="000000"/>
        </w:rPr>
      </w:pPr>
      <w:r w:rsidRPr="007E5EF5">
        <w:rPr>
          <w:rFonts w:eastAsia="Calibri"/>
          <w:i/>
          <w:iCs/>
        </w:rPr>
        <w:t>Description of Respondents</w:t>
      </w:r>
      <w:r w:rsidRPr="007F0166">
        <w:rPr>
          <w:rFonts w:eastAsia="Calibri"/>
        </w:rPr>
        <w:t>:</w:t>
      </w:r>
      <w:r w:rsidRPr="00FD5734">
        <w:rPr>
          <w:rFonts w:eastAsia="Calibri"/>
        </w:rPr>
        <w:t xml:space="preserve">  Respondents</w:t>
      </w:r>
      <w:r w:rsidRPr="00FD5734">
        <w:rPr>
          <w:rFonts w:eastAsia="Calibri"/>
        </w:rPr>
        <w:t xml:space="preserve"> to this collection of information include manufacturers, packagers and repackagers, labelers and re-labelers, holders, distributors, warehousers, exporters, </w:t>
      </w:r>
      <w:r w:rsidRPr="00FD5734">
        <w:rPr>
          <w:rFonts w:eastAsia="Calibri"/>
        </w:rPr>
        <w:t>importers, large businesses, and small businesses engaged in the dietary supplement industry.  Respondents are from the private sector (for-profit businesses).</w:t>
      </w:r>
    </w:p>
    <w:p w:rsidR="00357C8A" w:rsidRPr="00357C8A" w:rsidP="006705EA" w14:paraId="642AADD1"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744403" w:rsidP="0022425B" w14:paraId="545B05E3" w14:textId="77777777">
      <w:pPr>
        <w:spacing w:after="200"/>
        <w:rPr>
          <w:rFonts w:eastAsia="Calibri"/>
          <w:color w:val="000000"/>
        </w:rPr>
      </w:pPr>
      <w:bookmarkStart w:id="1" w:name="_Hlk230177073"/>
      <w:r w:rsidRPr="00FD5734">
        <w:rPr>
          <w:rFonts w:eastAsia="Calibri"/>
        </w:rPr>
        <w:t>The regulations in part 111 do not specifically prescribe the use of automated, electronic, mechanical, or other technological techniques or other forms of information technology as necessary for use by firms.  Companies are free to use whatever forms of information technology may best assist them in recordkeeping and reporting.</w:t>
      </w:r>
      <w:bookmarkEnd w:id="1"/>
      <w:r w:rsidRPr="00FD5734">
        <w:rPr>
          <w:rFonts w:eastAsia="Calibri"/>
        </w:rPr>
        <w:t xml:space="preserve">  We estimate that about seventy-five percent (75%) of this information collection will be done electronically.</w:t>
      </w:r>
    </w:p>
    <w:p w:rsidR="00357C8A" w:rsidRPr="00357C8A" w:rsidP="006705EA" w14:paraId="42FDC2EF"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744403" w:rsidP="0053380B" w14:paraId="1C2C3320" w14:textId="77777777">
      <w:pPr>
        <w:spacing w:after="200"/>
        <w:rPr>
          <w:rFonts w:eastAsia="Calibri"/>
          <w:color w:val="000000"/>
        </w:rPr>
      </w:pPr>
      <w:r w:rsidRPr="00FD5734">
        <w:t>We are unaware of any duplicative information collection.</w:t>
      </w:r>
    </w:p>
    <w:p w:rsidR="00357C8A" w:rsidRPr="00357C8A" w:rsidP="006705EA" w14:paraId="66B22678"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5B7AAD3F" w14:textId="706542AF">
      <w:pPr>
        <w:spacing w:after="200"/>
        <w:rPr>
          <w:rFonts w:eastAsia="Calibri"/>
        </w:rPr>
      </w:pPr>
      <w:bookmarkStart w:id="2" w:name="_Hlk230177939"/>
      <w:r>
        <w:rPr>
          <w:color w:val="000000"/>
        </w:rPr>
        <w:t>We estimate that a substantial proportion (75%) of firms subject to the regulation</w:t>
      </w:r>
      <w:r w:rsidR="00E903A8">
        <w:rPr>
          <w:color w:val="000000"/>
        </w:rPr>
        <w:t>s</w:t>
      </w:r>
      <w:r>
        <w:rPr>
          <w:color w:val="000000"/>
        </w:rPr>
        <w:t xml:space="preserve"> are small businesses</w:t>
      </w:r>
      <w:bookmarkEnd w:id="2"/>
      <w:r>
        <w:rPr>
          <w:color w:val="000000"/>
        </w:rPr>
        <w:t xml:space="preserve">, however we believe the information collection requirements pose no undue burden on these entities.  At the same time, we assist small businesses in complying with FDA regulatory requirements through our Regional Small Business Representatives and through the administrative and scientific staff within the agency.  We also provide a small entity compliance guide on our website at </w:t>
      </w:r>
      <w:hyperlink r:id="rId4" w:history="1">
        <w:r w:rsidRPr="00C47D63">
          <w:rPr>
            <w:rStyle w:val="Hyperlink"/>
          </w:rPr>
          <w:t>https://www.fda.gov/regulatory-information/search-fda-guidance-documents/small-entity-compliance-guide-current-good-manufacturing-practice-manufacturing-packaging-labeling</w:t>
        </w:r>
      </w:hyperlink>
      <w:r w:rsidRPr="006D1581">
        <w:t>.</w:t>
      </w:r>
      <w:r>
        <w:t xml:space="preserve"> </w:t>
      </w:r>
      <w:r w:rsidRPr="00CB0514">
        <w:t xml:space="preserve">Additional assistance is available for small businesses via the agency’s website at </w:t>
      </w:r>
      <w:hyperlink r:id="rId5" w:history="1">
        <w:r w:rsidRPr="00C47D63">
          <w:rPr>
            <w:rStyle w:val="Hyperlink"/>
          </w:rPr>
          <w:t>https://www.fda.gov/industry/small-business-assistance</w:t>
        </w:r>
      </w:hyperlink>
      <w:r>
        <w:t xml:space="preserve">. </w:t>
      </w:r>
    </w:p>
    <w:p w:rsidR="00357C8A" w:rsidRPr="00357C8A" w:rsidP="006705EA" w14:paraId="0C553A0F" w14:textId="77777777">
      <w:pPr>
        <w:numPr>
          <w:ilvl w:val="0"/>
          <w:numId w:val="6"/>
        </w:numPr>
        <w:spacing w:after="200" w:line="276" w:lineRule="auto"/>
        <w:rPr>
          <w:rFonts w:eastAsia="Calibri"/>
          <w:u w:val="single"/>
        </w:rPr>
      </w:pPr>
      <w:r w:rsidRPr="00357C8A">
        <w:rPr>
          <w:rFonts w:eastAsia="Calibri"/>
          <w:u w:val="single"/>
        </w:rPr>
        <w:t xml:space="preserve">Consequences of Collecting </w:t>
      </w:r>
      <w:r w:rsidRPr="00357C8A">
        <w:rPr>
          <w:rFonts w:eastAsia="Calibri"/>
          <w:u w:val="single"/>
        </w:rPr>
        <w:t>the Information</w:t>
      </w:r>
      <w:r w:rsidRPr="00357C8A">
        <w:rPr>
          <w:rFonts w:eastAsia="Calibri"/>
          <w:u w:val="single"/>
        </w:rPr>
        <w:t xml:space="preserve"> Less Frequently</w:t>
      </w:r>
    </w:p>
    <w:p w:rsidR="00357C8A" w:rsidP="007E5EF5" w14:paraId="3CA101B4" w14:textId="77777777">
      <w:pPr>
        <w:autoSpaceDE w:val="0"/>
        <w:autoSpaceDN w:val="0"/>
        <w:adjustRightInd w:val="0"/>
      </w:pPr>
      <w:r>
        <w:t>Data collection is ongoing.  We believe maintaining accurate records results from daily information collection activity.  Less frequent information collection may reduce the reliability of documentation that is intended to ensure that dietary supplements are manufactured, packaged, labeled, and held in a manner that ensures the quality of the dietary supplement and that the dietary supplement is packaged and labeled as specified in the master manufacturing record.</w:t>
      </w:r>
    </w:p>
    <w:p w:rsidR="007E5EF5" w:rsidRPr="00744403" w:rsidP="007E5EF5" w14:paraId="07CB2F56" w14:textId="77777777">
      <w:pPr>
        <w:autoSpaceDE w:val="0"/>
        <w:autoSpaceDN w:val="0"/>
        <w:adjustRightInd w:val="0"/>
        <w:rPr>
          <w:rFonts w:eastAsia="Calibri"/>
          <w:color w:val="000000"/>
        </w:rPr>
      </w:pPr>
    </w:p>
    <w:p w:rsidR="00357C8A" w:rsidRPr="00357C8A" w:rsidP="006705EA" w14:paraId="18E39AA9"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6EB10382" w14:textId="77777777">
      <w:pPr>
        <w:spacing w:after="200"/>
        <w:rPr>
          <w:rFonts w:eastAsia="Calibri"/>
        </w:rPr>
      </w:pPr>
      <w:r w:rsidRPr="006B2522">
        <w:rPr>
          <w:rFonts w:eastAsia="Calibri"/>
        </w:rPr>
        <w:t>There are no special circumstances associated with this collection of information.</w:t>
      </w:r>
    </w:p>
    <w:p w:rsidR="00357C8A" w:rsidRPr="00357C8A" w:rsidP="006705EA" w14:paraId="17E08252"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P="00357C8A" w14:paraId="1AF45371" w14:textId="73F547A5">
      <w:pPr>
        <w:spacing w:after="200"/>
      </w:pPr>
      <w:r>
        <w:t xml:space="preserve">In accordance with 5 CFR 1320.8(d), we published a 60-day notice for public comment in the </w:t>
      </w:r>
      <w:r>
        <w:rPr>
          <w:i/>
          <w:iCs/>
        </w:rPr>
        <w:t xml:space="preserve">Federal Register </w:t>
      </w:r>
      <w:r>
        <w:t xml:space="preserve">of </w:t>
      </w:r>
      <w:r w:rsidRPr="00A4529B" w:rsidR="00A4529B">
        <w:t>February 24, 2026</w:t>
      </w:r>
      <w:r>
        <w:t xml:space="preserve"> (</w:t>
      </w:r>
      <w:r w:rsidRPr="00266A35" w:rsidR="00266A35">
        <w:t>91 FR 8886</w:t>
      </w:r>
      <w:r>
        <w:t xml:space="preserve">).  </w:t>
      </w:r>
      <w:r w:rsidRPr="00C4382C" w:rsidR="00C4382C">
        <w:t>One stakeholder provided multiple comments.  Although the commenter support</w:t>
      </w:r>
      <w:r w:rsidR="00E12CDE">
        <w:t>s</w:t>
      </w:r>
      <w:r w:rsidRPr="00C4382C" w:rsidR="00C4382C">
        <w:t xml:space="preserve"> </w:t>
      </w:r>
      <w:r w:rsidR="00DF7281">
        <w:t xml:space="preserve">this </w:t>
      </w:r>
      <w:r w:rsidRPr="00C4382C" w:rsidR="00C4382C">
        <w:t xml:space="preserve">collection of information, </w:t>
      </w:r>
      <w:r w:rsidRPr="00C705AA" w:rsidR="00C705AA">
        <w:t>the commenter</w:t>
      </w:r>
      <w:r w:rsidR="00453B3A">
        <w:t xml:space="preserve"> </w:t>
      </w:r>
      <w:r w:rsidR="00AC0C9F">
        <w:t xml:space="preserve">has </w:t>
      </w:r>
      <w:r w:rsidR="00453B3A">
        <w:t xml:space="preserve">concern that </w:t>
      </w:r>
      <w:r w:rsidR="00F93C16">
        <w:t xml:space="preserve">the </w:t>
      </w:r>
      <w:r w:rsidR="00453B3A">
        <w:t>burden estimate may not fully capture the range of compliance costs across firms of different sizes and operational complexities</w:t>
      </w:r>
      <w:r w:rsidR="00AC0C9F">
        <w:t>.  Another comment related to</w:t>
      </w:r>
      <w:r w:rsidR="00517701">
        <w:t xml:space="preserve"> </w:t>
      </w:r>
      <w:r w:rsidR="00E06547">
        <w:t>enhanc</w:t>
      </w:r>
      <w:r w:rsidR="001745C6">
        <w:t>ing</w:t>
      </w:r>
      <w:r w:rsidR="00E06547">
        <w:t xml:space="preserve"> </w:t>
      </w:r>
      <w:r w:rsidR="0005738F">
        <w:t xml:space="preserve">the quality and utility of collected </w:t>
      </w:r>
      <w:r w:rsidR="000D40E9">
        <w:t>information</w:t>
      </w:r>
      <w:r w:rsidR="005160C7">
        <w:t>,</w:t>
      </w:r>
      <w:r w:rsidR="00D54B08">
        <w:t xml:space="preserve"> </w:t>
      </w:r>
      <w:r w:rsidR="005160C7">
        <w:t>further</w:t>
      </w:r>
      <w:r w:rsidR="006A7F23">
        <w:t xml:space="preserve"> suggest</w:t>
      </w:r>
      <w:r w:rsidR="00D54B08">
        <w:t>ing</w:t>
      </w:r>
      <w:r w:rsidR="006A7F23">
        <w:t xml:space="preserve"> flexibility in how records are maintained and reported.  </w:t>
      </w:r>
    </w:p>
    <w:p w:rsidR="00F3630C" w:rsidP="00357C8A" w14:paraId="5DDC5752" w14:textId="7E92A23A">
      <w:pPr>
        <w:spacing w:after="200"/>
      </w:pPr>
      <w:r w:rsidRPr="00A038A8">
        <w:t>We estimate that a substantial proportio</w:t>
      </w:r>
      <w:r w:rsidR="000D6303">
        <w:t>n</w:t>
      </w:r>
      <w:r w:rsidRPr="00A038A8">
        <w:t xml:space="preserve"> of firms subject to the regulation</w:t>
      </w:r>
      <w:r w:rsidR="0005220A">
        <w:t>s</w:t>
      </w:r>
      <w:r w:rsidRPr="00A038A8">
        <w:t xml:space="preserve"> </w:t>
      </w:r>
      <w:r w:rsidRPr="007F7DDE" w:rsidR="003506FB">
        <w:t>in part 111</w:t>
      </w:r>
      <w:r w:rsidR="003506FB">
        <w:t xml:space="preserve"> </w:t>
      </w:r>
      <w:r w:rsidRPr="00A038A8">
        <w:t>are small businesses</w:t>
      </w:r>
      <w:r w:rsidR="000D6303">
        <w:t>.</w:t>
      </w:r>
      <w:r w:rsidR="000D7BCE">
        <w:t xml:space="preserve">  We are aware that burden </w:t>
      </w:r>
      <w:r w:rsidR="00EE179C">
        <w:t>may</w:t>
      </w:r>
      <w:r w:rsidR="000D7BCE">
        <w:t xml:space="preserve"> </w:t>
      </w:r>
      <w:r w:rsidR="00082B2A">
        <w:t xml:space="preserve">vary depending on </w:t>
      </w:r>
      <w:r w:rsidR="00CB5C01">
        <w:t>the size and complexity</w:t>
      </w:r>
      <w:r w:rsidRPr="00EE179C" w:rsidR="00EE179C">
        <w:t xml:space="preserve"> </w:t>
      </w:r>
      <w:r w:rsidR="00EE179C">
        <w:t xml:space="preserve">of the </w:t>
      </w:r>
      <w:r w:rsidR="00EE179C">
        <w:t>operation</w:t>
      </w:r>
      <w:r w:rsidR="00CB5C01">
        <w:t xml:space="preserve">.  </w:t>
      </w:r>
      <w:r w:rsidR="00B07F30">
        <w:t xml:space="preserve">We do not provide </w:t>
      </w:r>
      <w:r w:rsidR="00235A0A">
        <w:t xml:space="preserve">a </w:t>
      </w:r>
      <w:r w:rsidR="00B07F30">
        <w:t xml:space="preserve">burden </w:t>
      </w:r>
      <w:r w:rsidR="00235A0A">
        <w:t xml:space="preserve">estimate for </w:t>
      </w:r>
      <w:r w:rsidR="00E903A8">
        <w:t>various</w:t>
      </w:r>
      <w:r w:rsidR="00235A0A">
        <w:t xml:space="preserve"> operation </w:t>
      </w:r>
      <w:r w:rsidR="00E903A8">
        <w:t xml:space="preserve">types </w:t>
      </w:r>
      <w:r w:rsidR="00235A0A">
        <w:t>or</w:t>
      </w:r>
      <w:r w:rsidR="00EA54EC">
        <w:t xml:space="preserve"> their</w:t>
      </w:r>
      <w:r w:rsidR="00AE74E8">
        <w:t xml:space="preserve"> </w:t>
      </w:r>
      <w:r w:rsidR="00DC2DF5">
        <w:t>various complexities</w:t>
      </w:r>
      <w:r w:rsidR="000D6303">
        <w:t xml:space="preserve"> </w:t>
      </w:r>
      <w:r w:rsidRPr="007711A4" w:rsidR="007711A4">
        <w:t xml:space="preserve">but instead </w:t>
      </w:r>
      <w:r w:rsidR="00DC2DF5">
        <w:t>provide</w:t>
      </w:r>
      <w:r w:rsidRPr="007711A4" w:rsidR="007711A4">
        <w:t xml:space="preserve"> an average </w:t>
      </w:r>
      <w:r w:rsidR="00512A00">
        <w:t xml:space="preserve">of the burden </w:t>
      </w:r>
      <w:r w:rsidRPr="00497356" w:rsidR="00497356">
        <w:t>estimate</w:t>
      </w:r>
      <w:r w:rsidR="00512A00">
        <w:t xml:space="preserve">. </w:t>
      </w:r>
      <w:r w:rsidR="007F7DDE">
        <w:t xml:space="preserve"> </w:t>
      </w:r>
    </w:p>
    <w:p w:rsidR="007E607C" w:rsidRPr="00F3630C" w:rsidP="00357C8A" w14:paraId="175BF845" w14:textId="36FC93DD">
      <w:pPr>
        <w:spacing w:after="200"/>
      </w:pPr>
      <w:r w:rsidRPr="007F7DDE">
        <w:t>We believe the regulations in part 111 establish the minimum manufacturing practices necessary to ensure that dietary supplements are manufactured, packaged, labeled, or held in a manner that will ensure the quality of the dietary supplements during manufacturing, packaging, labeling, or holding operations.</w:t>
      </w:r>
      <w:r w:rsidR="00512A00">
        <w:t xml:space="preserve"> </w:t>
      </w:r>
      <w:r w:rsidR="000D6303">
        <w:t xml:space="preserve"> </w:t>
      </w:r>
      <w:r>
        <w:rPr>
          <w:rFonts w:eastAsia="Calibri"/>
          <w:color w:val="000000"/>
        </w:rPr>
        <w:t xml:space="preserve">Regarding </w:t>
      </w:r>
      <w:r w:rsidR="009344DB">
        <w:rPr>
          <w:rFonts w:eastAsia="Calibri"/>
          <w:color w:val="000000"/>
        </w:rPr>
        <w:t>flexibility in how</w:t>
      </w:r>
      <w:r w:rsidRPr="009344DB" w:rsidR="009344DB">
        <w:t xml:space="preserve"> </w:t>
      </w:r>
      <w:r w:rsidRPr="009344DB" w:rsidR="009344DB">
        <w:rPr>
          <w:rFonts w:eastAsia="Calibri"/>
          <w:color w:val="000000"/>
        </w:rPr>
        <w:t>records are maintained and reported</w:t>
      </w:r>
      <w:r w:rsidR="009344DB">
        <w:rPr>
          <w:rFonts w:eastAsia="Calibri"/>
          <w:color w:val="000000"/>
        </w:rPr>
        <w:t>, t</w:t>
      </w:r>
      <w:r w:rsidRPr="007E607C">
        <w:rPr>
          <w:rFonts w:eastAsia="Calibri"/>
          <w:color w:val="000000"/>
        </w:rPr>
        <w:t>he regulations in part 111 do not specifically prescribe the use of automated, electronic, mechanical, or other technological techniques or other forms of information technology as necessary for use by firms.  Companies are free to use whatever forms of information technology may best assist them in recordkeeping and reporting.</w:t>
      </w:r>
    </w:p>
    <w:p w:rsidR="00357C8A" w:rsidRPr="00357C8A" w:rsidP="006705EA" w14:paraId="2A31CCC0"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744403" w:rsidP="00357C8A" w14:paraId="5388AC27" w14:textId="77777777">
      <w:pPr>
        <w:spacing w:after="200"/>
        <w:rPr>
          <w:rFonts w:eastAsia="Calibri"/>
          <w:color w:val="000000"/>
        </w:rPr>
      </w:pPr>
      <w:r>
        <w:t>We do not provide any payment or gift to respondents.</w:t>
      </w:r>
    </w:p>
    <w:p w:rsidR="00357C8A" w:rsidRPr="006805F6" w:rsidP="006705EA" w14:paraId="3D413C2B"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7C7B19" w:rsidRPr="007C7B19" w:rsidP="007C7B19" w14:paraId="18E87827" w14:textId="77777777">
      <w:pPr>
        <w:autoSpaceDE w:val="0"/>
        <w:autoSpaceDN w:val="0"/>
        <w:adjustRightInd w:val="0"/>
        <w:rPr>
          <w:i/>
          <w:iCs/>
        </w:rPr>
      </w:pPr>
      <w:r w:rsidRPr="007C7B19">
        <w:rPr>
          <w:i/>
          <w:iCs/>
        </w:rPr>
        <w:t>Privacy Act</w:t>
      </w:r>
    </w:p>
    <w:p w:rsidR="00EC295F" w:rsidP="006805F6" w14:paraId="5816D56F" w14:textId="77777777"/>
    <w:p w:rsidR="006805F6" w:rsidRPr="007F0166" w:rsidP="006805F6" w14:paraId="0AAE1BF6" w14:textId="4BF453C0">
      <w:r w:rsidRPr="007F0166">
        <w:t xml:space="preserve">In preparing this </w:t>
      </w:r>
      <w:r w:rsidR="00342E8B">
        <w:t>s</w:t>
      </w:r>
      <w:r w:rsidRPr="007F0166">
        <w:t xml:space="preserve">upporting </w:t>
      </w:r>
      <w:r w:rsidR="00342E8B">
        <w:t>s</w:t>
      </w:r>
      <w:r w:rsidRPr="007F0166">
        <w:t>tatement, we consulted our Privacy Office to ensure appropriate identification and handling of information collected.</w:t>
      </w:r>
    </w:p>
    <w:p w:rsidR="006805F6" w:rsidRPr="007F0166" w:rsidP="006805F6" w14:paraId="547353C7" w14:textId="77777777"/>
    <w:p w:rsidR="006805F6" w:rsidRPr="007F0166" w:rsidP="006805F6" w14:paraId="6761E7F6" w14:textId="085E97D9">
      <w:r w:rsidRPr="007F0166">
        <w:t xml:space="preserve">This ICR collects personally identifiable information (PII).  PII is collected in the context of the subject individuals’ professional capacity and the FDA-related work they perform for their employer (e.g., point of contact at a regulated entity). </w:t>
      </w:r>
      <w:r w:rsidR="003A6CBF">
        <w:t xml:space="preserve"> </w:t>
      </w:r>
      <w:r w:rsidRPr="007F0166">
        <w:t xml:space="preserve">The PII submitted includes signatures of quality control personnel when certain specified, quality control procedures are performed or when certain information is provided; names of trainees who complete recordkeeping training requirements; and name, address, or telephone number of complainants who make a product complaint. </w:t>
      </w:r>
      <w:r w:rsidR="00326768">
        <w:t xml:space="preserve"> </w:t>
      </w:r>
      <w:r w:rsidRPr="007F0166">
        <w:t xml:space="preserve">FDA determined that while the contractor or FDA does not use name or any other personal identifier to retrieve records from the information collected, the information collected will be maintained in a Privacy Act system of records as described in 09-10-0002, Regulated Industry Employee Enforcement Records and 09-10-0010, Bioresearch Monitoring Information System. </w:t>
      </w:r>
      <w:r w:rsidR="00EE62F1">
        <w:t xml:space="preserve"> </w:t>
      </w:r>
      <w:r w:rsidRPr="007F0166">
        <w:t>Through appropriate form and webpage design, FDA limited submission fields and minimized the PII collected to protect the privacy of the individuals.</w:t>
      </w:r>
    </w:p>
    <w:p w:rsidR="006805F6" w:rsidRPr="007F0166" w:rsidP="006805F6" w14:paraId="320CAD12" w14:textId="77777777"/>
    <w:p w:rsidR="003A14E2" w:rsidRPr="007F0166" w:rsidP="006805F6" w14:paraId="2ED8F1DB" w14:textId="77777777">
      <w:pPr>
        <w:rPr>
          <w:i/>
          <w:iCs/>
        </w:rPr>
      </w:pPr>
      <w:r w:rsidRPr="007F0166">
        <w:rPr>
          <w:i/>
          <w:iCs/>
        </w:rPr>
        <w:t xml:space="preserve">Freedom of Information Act </w:t>
      </w:r>
    </w:p>
    <w:p w:rsidR="00CC1674" w:rsidP="006805F6" w14:paraId="4C494A85" w14:textId="77777777"/>
    <w:p w:rsidR="00342E8B" w:rsidRPr="007F0166" w:rsidP="006805F6" w14:paraId="00686E97" w14:textId="2906656D">
      <w:r w:rsidRPr="007F0166">
        <w:t xml:space="preserve">Under the Freedom of Information Act (FOIA) (5 U.S.C. 552), the public has broad access to government documents. </w:t>
      </w:r>
      <w:r w:rsidR="00DB27D3">
        <w:t xml:space="preserve"> </w:t>
      </w:r>
      <w:r w:rsidRPr="007F0166">
        <w:t>However, FOIA provides certain exemptions from mandatory public disclosure of government records (5 U.S.C. 552(b</w:t>
      </w:r>
      <w:r w:rsidRPr="007F0166">
        <w:t>)(</w:t>
      </w:r>
      <w:r w:rsidRPr="007F0166">
        <w:t xml:space="preserve">1-9)).  FDA will make the fullest possible disclosure of records to the public, consistent with the rights of individuals to privacy, the property rights of persons in trade and confidential commercial or financial information. </w:t>
      </w:r>
    </w:p>
    <w:p w:rsidR="006805F6" w:rsidRPr="00357C8A" w:rsidP="007F0166" w14:paraId="79EE03A1" w14:textId="77777777">
      <w:pPr>
        <w:rPr>
          <w:rFonts w:eastAsia="Calibri"/>
        </w:rPr>
      </w:pPr>
    </w:p>
    <w:p w:rsidR="00B06C8F" w:rsidRPr="007F0166" w:rsidP="00FD5734" w14:paraId="33857FF6" w14:textId="3E1C240E">
      <w:pPr>
        <w:autoSpaceDE w:val="0"/>
        <w:autoSpaceDN w:val="0"/>
        <w:adjustRightInd w:val="0"/>
      </w:pPr>
      <w:r>
        <w:t>Company records describing manufacturing procedures, which may be consulted during FDA plant inspections, and records that the agency may copy or take possession of, often contain trade secret and commercial confidential information.  Confidential commercial information is protected from disclosure under FOIA under sections 552(a) and (b) (5 U.S.C. 552(a) and (b)), by section 301(j) of the FD&amp;C Act, and by part 20 of the agency’s regulations (21 CFR part 20).</w:t>
      </w:r>
      <w:bookmarkStart w:id="3" w:name="_Hlk215667864"/>
    </w:p>
    <w:p w:rsidR="00FD5734" w:rsidP="00FD5734" w14:paraId="238AD437" w14:textId="77777777">
      <w:pPr>
        <w:autoSpaceDE w:val="0"/>
        <w:autoSpaceDN w:val="0"/>
        <w:adjustRightInd w:val="0"/>
      </w:pPr>
    </w:p>
    <w:bookmarkEnd w:id="3"/>
    <w:p w:rsidR="00357C8A" w:rsidRPr="00357C8A" w:rsidP="006705EA" w14:paraId="1FFBFF46"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744403" w:rsidP="0022425B" w14:paraId="217CEA3C" w14:textId="77777777">
      <w:pPr>
        <w:spacing w:after="200"/>
        <w:rPr>
          <w:rFonts w:eastAsia="Calibri"/>
          <w:color w:val="000000"/>
        </w:rPr>
      </w:pPr>
      <w:r w:rsidRPr="007E5EF5">
        <w:rPr>
          <w:rFonts w:eastAsia="Calibri"/>
        </w:rPr>
        <w:t>This information collection does not involve questions that are of a personally sensitive nature.</w:t>
      </w:r>
    </w:p>
    <w:p w:rsidR="00357C8A" w:rsidRPr="00357C8A" w:rsidP="006705EA" w14:paraId="5032D66A"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7F0166" w:rsidP="0022425B" w14:paraId="49587973" w14:textId="403421F7">
      <w:pPr>
        <w:spacing w:after="200"/>
        <w:ind w:left="360"/>
        <w:rPr>
          <w:rFonts w:eastAsia="Calibri"/>
          <w:i/>
          <w:iCs/>
        </w:rPr>
      </w:pPr>
      <w:r w:rsidRPr="007F0166">
        <w:rPr>
          <w:rFonts w:eastAsia="Calibri"/>
          <w:i/>
          <w:iCs/>
        </w:rPr>
        <w:t>12a. Annualized Hour Burden Estimate</w:t>
      </w:r>
    </w:p>
    <w:p w:rsidR="007E5EF5" w:rsidRPr="007E5EF5" w:rsidP="007E5EF5" w14:paraId="6237FB8E" w14:textId="77777777">
      <w:pPr>
        <w:autoSpaceDE w:val="0"/>
        <w:autoSpaceDN w:val="0"/>
        <w:adjustRightInd w:val="0"/>
        <w:ind w:left="360"/>
      </w:pPr>
      <w:r w:rsidRPr="007E5EF5">
        <w:t xml:space="preserve">The recordkeeping and reporting requirements of the regulations in part 111 are set forth in each subpart.  In Table 1, we list the annual burdens associated with recordkeeping.  For some provisions listed in Table 1, we did not estimate the number of records per recordkeeper because recordkeeping occasions consist of frequent brief entries of dates, temperatures, monitoring results, or documentation that specific actions were taken.  Information might be recorded a few times a day, week, or month.  When the records burden involves frequent brief entries, we entered one as the default for the number of records per recordkeeper.  For example, many of the records listed under § 111.35 in Table 1, such as § 111.35(b)(2) (documentation, in individual equipment logs, of the date of the use, maintenance, cleaning, and sanitizing of equipment), involve many short sporadic entries over the course of the year, varying across equipment and plants in the industry.  We did not attempt to estimate the actual number of </w:t>
      </w:r>
      <w:r w:rsidRPr="007E5EF5">
        <w:t>recordkeeping</w:t>
      </w:r>
      <w:r w:rsidRPr="007E5EF5">
        <w:t xml:space="preserve"> occasions for these </w:t>
      </w:r>
      <w:r w:rsidRPr="007E5EF5" w:rsidR="004D6A4B">
        <w:t>provisions but</w:t>
      </w:r>
      <w:r w:rsidRPr="007E5EF5">
        <w:t xml:space="preserve"> instead entered an estimate of the average number of hours per year.  We entered the default value of 1 as the number of records per recordkeeper for these and similar provisions.  For § 111.35, the entry for number of records is 1 as a default representing many brief recordkeeping occasions.</w:t>
      </w:r>
    </w:p>
    <w:p w:rsidR="007E5EF5" w:rsidRPr="007E5EF5" w:rsidP="007E5EF5" w14:paraId="18BA5B11" w14:textId="77777777">
      <w:pPr>
        <w:autoSpaceDE w:val="0"/>
        <w:autoSpaceDN w:val="0"/>
        <w:adjustRightInd w:val="0"/>
        <w:ind w:left="360"/>
      </w:pPr>
    </w:p>
    <w:p w:rsidR="007E5EF5" w:rsidRPr="007E5EF5" w:rsidP="007E5EF5" w14:paraId="404464E8" w14:textId="77777777">
      <w:pPr>
        <w:autoSpaceDE w:val="0"/>
        <w:autoSpaceDN w:val="0"/>
        <w:adjustRightInd w:val="0"/>
        <w:ind w:left="360"/>
      </w:pPr>
      <w:r w:rsidRPr="007E5EF5">
        <w:t>In many rows of Table 1, we list a burden under a single provision that covers the written procedures or records described in several provisions.  For example, the burden of the batch production records listed in Table 1 under § 111.260 includes the burden for records listed under § 111.255 because the batch production records must include those records.</w:t>
      </w:r>
    </w:p>
    <w:p w:rsidR="007E5EF5" w:rsidRPr="007E5EF5" w:rsidP="007E5EF5" w14:paraId="1ADFE7EF" w14:textId="77777777">
      <w:pPr>
        <w:autoSpaceDE w:val="0"/>
        <w:autoSpaceDN w:val="0"/>
        <w:adjustRightInd w:val="0"/>
        <w:ind w:left="360"/>
      </w:pPr>
    </w:p>
    <w:p w:rsidR="007E5EF5" w:rsidRPr="007E5EF5" w:rsidP="007E5EF5" w14:paraId="1AD17286" w14:textId="77777777">
      <w:pPr>
        <w:autoSpaceDE w:val="0"/>
        <w:autoSpaceDN w:val="0"/>
        <w:adjustRightInd w:val="0"/>
        <w:ind w:left="360"/>
      </w:pPr>
      <w:r w:rsidRPr="007E5EF5">
        <w:t xml:space="preserve">In Table 2, we list the expected burden for completing a petition for exemption from 100 percent identity testing.  </w:t>
      </w:r>
    </w:p>
    <w:p w:rsidR="007E5EF5" w:rsidRPr="007E5EF5" w:rsidP="007E5EF5" w14:paraId="70234915" w14:textId="77777777">
      <w:pPr>
        <w:autoSpaceDE w:val="0"/>
        <w:autoSpaceDN w:val="0"/>
        <w:adjustRightInd w:val="0"/>
        <w:ind w:left="360"/>
      </w:pPr>
    </w:p>
    <w:p w:rsidR="0065567A" w:rsidP="001F20DF" w14:paraId="5BAF7D2F" w14:textId="4152AE99">
      <w:pPr>
        <w:ind w:left="360"/>
        <w:contextualSpacing/>
      </w:pPr>
      <w:r w:rsidRPr="007E5EF5">
        <w:t>We estimate the burden of this collection of information as follows:</w:t>
      </w:r>
    </w:p>
    <w:tbl>
      <w:tblPr>
        <w:tblStyle w:val="TableGrid"/>
        <w:tblpPr w:leftFromText="180" w:rightFromText="180" w:vertAnchor="text" w:horzAnchor="margin" w:tblpX="17" w:tblpY="430"/>
        <w:tblW w:w="9630" w:type="dxa"/>
        <w:tblLayout w:type="fixed"/>
        <w:tblLook w:val="04A0"/>
      </w:tblPr>
      <w:tblGrid>
        <w:gridCol w:w="2340"/>
        <w:gridCol w:w="1440"/>
        <w:gridCol w:w="1710"/>
        <w:gridCol w:w="1440"/>
        <w:gridCol w:w="1800"/>
        <w:gridCol w:w="900"/>
      </w:tblGrid>
      <w:tr w14:paraId="3E2223D5" w14:textId="77777777" w:rsidTr="001661BD">
        <w:tblPrEx>
          <w:tblW w:w="9630" w:type="dxa"/>
          <w:tblLayout w:type="fixed"/>
          <w:tblLook w:val="04A0"/>
        </w:tblPrEx>
        <w:trPr>
          <w:trHeight w:val="342"/>
        </w:trPr>
        <w:tc>
          <w:tcPr>
            <w:tcW w:w="9630" w:type="dxa"/>
            <w:gridSpan w:val="6"/>
            <w:hideMark/>
          </w:tcPr>
          <w:p w:rsidR="001F20DF" w:rsidRPr="001F20DF" w:rsidP="001F20DF" w14:paraId="4156E87F" w14:textId="77777777">
            <w:pPr>
              <w:jc w:val="center"/>
              <w:rPr>
                <w:rFonts w:eastAsia="Calibri"/>
                <w:sz w:val="20"/>
                <w:szCs w:val="20"/>
              </w:rPr>
            </w:pPr>
            <w:r w:rsidRPr="001F20DF">
              <w:rPr>
                <w:rFonts w:eastAsia="Calibri"/>
                <w:sz w:val="20"/>
                <w:szCs w:val="20"/>
              </w:rPr>
              <w:t xml:space="preserve">Table </w:t>
            </w:r>
            <w:r w:rsidRPr="001F20DF">
              <w:rPr>
                <w:rFonts w:eastAsia="Calibri"/>
                <w:sz w:val="20"/>
                <w:szCs w:val="20"/>
              </w:rPr>
              <w:t>1.--</w:t>
            </w:r>
            <w:r w:rsidRPr="001F20DF">
              <w:rPr>
                <w:rFonts w:eastAsia="Calibri"/>
                <w:sz w:val="20"/>
                <w:szCs w:val="20"/>
              </w:rPr>
              <w:t>Estimated Annual Recordkeeping Burden</w:t>
            </w:r>
            <w:r w:rsidRPr="001F20DF">
              <w:rPr>
                <w:rFonts w:eastAsia="Calibri"/>
                <w:sz w:val="20"/>
                <w:szCs w:val="20"/>
                <w:vertAlign w:val="superscript"/>
              </w:rPr>
              <w:t>1</w:t>
            </w:r>
          </w:p>
        </w:tc>
      </w:tr>
      <w:tr w14:paraId="7BD44863" w14:textId="77777777" w:rsidTr="001661BD">
        <w:tblPrEx>
          <w:tblW w:w="9630" w:type="dxa"/>
          <w:tblLayout w:type="fixed"/>
          <w:tblLook w:val="04A0"/>
        </w:tblPrEx>
        <w:trPr>
          <w:trHeight w:val="449"/>
        </w:trPr>
        <w:tc>
          <w:tcPr>
            <w:tcW w:w="2340" w:type="dxa"/>
            <w:hideMark/>
          </w:tcPr>
          <w:p w:rsidR="001F20DF" w:rsidRPr="001F20DF" w:rsidP="001F20DF" w14:paraId="3EC57819" w14:textId="77777777">
            <w:pPr>
              <w:jc w:val="center"/>
              <w:rPr>
                <w:rFonts w:eastAsia="Calibri"/>
                <w:sz w:val="20"/>
                <w:szCs w:val="20"/>
              </w:rPr>
            </w:pPr>
            <w:r w:rsidRPr="001F20DF">
              <w:rPr>
                <w:rFonts w:eastAsia="Calibri"/>
                <w:sz w:val="20"/>
                <w:szCs w:val="20"/>
              </w:rPr>
              <w:t>21 CFR Section; Activity</w:t>
            </w:r>
          </w:p>
        </w:tc>
        <w:tc>
          <w:tcPr>
            <w:tcW w:w="1440" w:type="dxa"/>
            <w:hideMark/>
          </w:tcPr>
          <w:p w:rsidR="001F20DF" w:rsidRPr="001F20DF" w:rsidP="001F20DF" w14:paraId="389D2921" w14:textId="77777777">
            <w:pPr>
              <w:jc w:val="center"/>
              <w:rPr>
                <w:rFonts w:eastAsia="Calibri"/>
                <w:sz w:val="20"/>
                <w:szCs w:val="20"/>
              </w:rPr>
            </w:pPr>
            <w:r w:rsidRPr="001F20DF">
              <w:rPr>
                <w:rFonts w:eastAsia="Calibri"/>
                <w:sz w:val="20"/>
                <w:szCs w:val="20"/>
              </w:rPr>
              <w:t>No. of Recordkeepers</w:t>
            </w:r>
          </w:p>
        </w:tc>
        <w:tc>
          <w:tcPr>
            <w:tcW w:w="1710" w:type="dxa"/>
            <w:hideMark/>
          </w:tcPr>
          <w:p w:rsidR="001F20DF" w:rsidRPr="001F20DF" w:rsidP="001F20DF" w14:paraId="003FACDC" w14:textId="77777777">
            <w:pPr>
              <w:jc w:val="center"/>
              <w:rPr>
                <w:rFonts w:eastAsia="Calibri"/>
                <w:bCs/>
                <w:sz w:val="20"/>
                <w:szCs w:val="20"/>
              </w:rPr>
            </w:pPr>
            <w:r w:rsidRPr="001F20DF">
              <w:rPr>
                <w:rFonts w:eastAsia="Calibri"/>
                <w:bCs/>
                <w:sz w:val="20"/>
                <w:szCs w:val="20"/>
              </w:rPr>
              <w:t>No. of Records per Recordkeeper</w:t>
            </w:r>
          </w:p>
        </w:tc>
        <w:tc>
          <w:tcPr>
            <w:tcW w:w="1440" w:type="dxa"/>
            <w:hideMark/>
          </w:tcPr>
          <w:p w:rsidR="001F20DF" w:rsidRPr="001F20DF" w:rsidP="001F20DF" w14:paraId="25D72D8B" w14:textId="77777777">
            <w:pPr>
              <w:jc w:val="center"/>
              <w:rPr>
                <w:rFonts w:eastAsia="Calibri"/>
                <w:sz w:val="20"/>
                <w:szCs w:val="20"/>
              </w:rPr>
            </w:pPr>
            <w:r w:rsidRPr="001F20DF">
              <w:rPr>
                <w:rFonts w:eastAsia="Calibri"/>
                <w:sz w:val="20"/>
                <w:szCs w:val="20"/>
              </w:rPr>
              <w:t>Total Annual Records</w:t>
            </w:r>
          </w:p>
        </w:tc>
        <w:tc>
          <w:tcPr>
            <w:tcW w:w="1800" w:type="dxa"/>
            <w:hideMark/>
          </w:tcPr>
          <w:p w:rsidR="001F20DF" w:rsidRPr="001F20DF" w:rsidP="001F20DF" w14:paraId="4AFAFB1F" w14:textId="77777777">
            <w:pPr>
              <w:jc w:val="center"/>
              <w:rPr>
                <w:rFonts w:eastAsia="Calibri"/>
                <w:sz w:val="20"/>
                <w:szCs w:val="20"/>
              </w:rPr>
            </w:pPr>
            <w:r w:rsidRPr="001F20DF">
              <w:rPr>
                <w:rFonts w:eastAsia="Calibri"/>
                <w:sz w:val="20"/>
                <w:szCs w:val="20"/>
              </w:rPr>
              <w:t>Average Burden per Recordkeeping</w:t>
            </w:r>
          </w:p>
        </w:tc>
        <w:tc>
          <w:tcPr>
            <w:tcW w:w="900" w:type="dxa"/>
            <w:hideMark/>
          </w:tcPr>
          <w:p w:rsidR="001F20DF" w:rsidRPr="001F20DF" w:rsidP="001F20DF" w14:paraId="1980C362" w14:textId="77777777">
            <w:pPr>
              <w:jc w:val="center"/>
              <w:rPr>
                <w:rFonts w:eastAsia="Calibri"/>
                <w:sz w:val="20"/>
                <w:szCs w:val="20"/>
              </w:rPr>
            </w:pPr>
            <w:r w:rsidRPr="001F20DF">
              <w:rPr>
                <w:rFonts w:eastAsia="Calibri"/>
                <w:sz w:val="20"/>
                <w:szCs w:val="20"/>
              </w:rPr>
              <w:t>Total Hours</w:t>
            </w:r>
          </w:p>
        </w:tc>
      </w:tr>
      <w:tr w14:paraId="075D6458" w14:textId="77777777" w:rsidTr="001661BD">
        <w:tblPrEx>
          <w:tblW w:w="9630" w:type="dxa"/>
          <w:tblLayout w:type="fixed"/>
          <w:tblLook w:val="04A0"/>
        </w:tblPrEx>
        <w:tc>
          <w:tcPr>
            <w:tcW w:w="2340" w:type="dxa"/>
            <w:hideMark/>
          </w:tcPr>
          <w:p w:rsidR="001F20DF" w:rsidRPr="001F20DF" w:rsidP="001F20DF" w14:paraId="19E9EA3D" w14:textId="77777777">
            <w:pPr>
              <w:autoSpaceDE w:val="0"/>
              <w:autoSpaceDN w:val="0"/>
              <w:adjustRightInd w:val="0"/>
              <w:rPr>
                <w:rFonts w:eastAsia="Calibri"/>
                <w:sz w:val="20"/>
                <w:szCs w:val="20"/>
              </w:rPr>
            </w:pPr>
            <w:r w:rsidRPr="001F20DF">
              <w:rPr>
                <w:rFonts w:eastAsia="Calibri"/>
                <w:sz w:val="20"/>
                <w:szCs w:val="20"/>
              </w:rPr>
              <w:t>111.14; records of personnel practices, including documentation of training</w:t>
            </w:r>
          </w:p>
        </w:tc>
        <w:tc>
          <w:tcPr>
            <w:tcW w:w="1440" w:type="dxa"/>
            <w:hideMark/>
          </w:tcPr>
          <w:p w:rsidR="001F20DF" w:rsidRPr="001F20DF" w:rsidP="001F20DF" w14:paraId="3DCBEBC5" w14:textId="77777777">
            <w:pPr>
              <w:spacing w:before="84" w:after="47" w:line="276" w:lineRule="auto"/>
              <w:jc w:val="right"/>
              <w:rPr>
                <w:rFonts w:eastAsia="Calibri"/>
                <w:sz w:val="20"/>
                <w:szCs w:val="20"/>
              </w:rPr>
            </w:pPr>
            <w:r w:rsidRPr="001F20DF">
              <w:rPr>
                <w:rFonts w:eastAsia="Calibri"/>
                <w:sz w:val="20"/>
                <w:szCs w:val="20"/>
              </w:rPr>
              <w:t>15,000</w:t>
            </w:r>
          </w:p>
        </w:tc>
        <w:tc>
          <w:tcPr>
            <w:tcW w:w="1710" w:type="dxa"/>
            <w:hideMark/>
          </w:tcPr>
          <w:p w:rsidR="001F20DF" w:rsidRPr="001F20DF" w:rsidP="001F20DF" w14:paraId="5320B497" w14:textId="77777777">
            <w:pPr>
              <w:spacing w:before="84" w:after="47" w:line="276" w:lineRule="auto"/>
              <w:jc w:val="right"/>
              <w:rPr>
                <w:rFonts w:eastAsia="Calibri"/>
                <w:sz w:val="20"/>
                <w:szCs w:val="20"/>
              </w:rPr>
            </w:pPr>
            <w:r w:rsidRPr="001F20DF">
              <w:rPr>
                <w:rFonts w:eastAsia="Calibri"/>
                <w:sz w:val="20"/>
                <w:szCs w:val="20"/>
              </w:rPr>
              <w:t>4</w:t>
            </w:r>
          </w:p>
        </w:tc>
        <w:tc>
          <w:tcPr>
            <w:tcW w:w="1440" w:type="dxa"/>
            <w:hideMark/>
          </w:tcPr>
          <w:p w:rsidR="001F20DF" w:rsidRPr="001F20DF" w:rsidP="001F20DF" w14:paraId="28BCDE66" w14:textId="77777777">
            <w:pPr>
              <w:spacing w:before="84" w:after="47" w:line="276" w:lineRule="auto"/>
              <w:jc w:val="right"/>
              <w:rPr>
                <w:rFonts w:eastAsia="Calibri"/>
                <w:sz w:val="20"/>
                <w:szCs w:val="20"/>
              </w:rPr>
            </w:pPr>
            <w:r w:rsidRPr="001F20DF">
              <w:rPr>
                <w:rFonts w:eastAsia="Calibri"/>
                <w:sz w:val="20"/>
                <w:szCs w:val="20"/>
              </w:rPr>
              <w:t>60,000</w:t>
            </w:r>
          </w:p>
        </w:tc>
        <w:tc>
          <w:tcPr>
            <w:tcW w:w="1800" w:type="dxa"/>
            <w:hideMark/>
          </w:tcPr>
          <w:p w:rsidR="001F20DF" w:rsidRPr="001F20DF" w:rsidP="001F20DF" w14:paraId="70ACA4DA" w14:textId="77777777">
            <w:pPr>
              <w:spacing w:before="84" w:after="47" w:line="276" w:lineRule="auto"/>
              <w:jc w:val="right"/>
              <w:rPr>
                <w:rFonts w:eastAsia="Calibri"/>
                <w:sz w:val="20"/>
                <w:szCs w:val="20"/>
              </w:rPr>
            </w:pPr>
            <w:r w:rsidRPr="001F20DF">
              <w:rPr>
                <w:rFonts w:eastAsia="Calibri"/>
                <w:sz w:val="20"/>
                <w:szCs w:val="20"/>
              </w:rPr>
              <w:t>1</w:t>
            </w:r>
          </w:p>
        </w:tc>
        <w:tc>
          <w:tcPr>
            <w:tcW w:w="900" w:type="dxa"/>
            <w:hideMark/>
          </w:tcPr>
          <w:p w:rsidR="001F20DF" w:rsidRPr="001F20DF" w:rsidP="001F20DF" w14:paraId="2A3D2912" w14:textId="77777777">
            <w:pPr>
              <w:spacing w:before="84" w:after="47" w:line="276" w:lineRule="auto"/>
              <w:jc w:val="right"/>
              <w:rPr>
                <w:rFonts w:eastAsia="Calibri"/>
                <w:sz w:val="20"/>
                <w:szCs w:val="20"/>
              </w:rPr>
            </w:pPr>
            <w:r w:rsidRPr="001F20DF">
              <w:rPr>
                <w:rFonts w:eastAsia="Calibri"/>
                <w:sz w:val="20"/>
                <w:szCs w:val="20"/>
              </w:rPr>
              <w:t>60,000</w:t>
            </w:r>
          </w:p>
        </w:tc>
      </w:tr>
      <w:tr w14:paraId="020DB99C" w14:textId="77777777" w:rsidTr="001661BD">
        <w:tblPrEx>
          <w:tblW w:w="9630" w:type="dxa"/>
          <w:tblLayout w:type="fixed"/>
          <w:tblLook w:val="04A0"/>
        </w:tblPrEx>
        <w:tc>
          <w:tcPr>
            <w:tcW w:w="2340" w:type="dxa"/>
            <w:hideMark/>
          </w:tcPr>
          <w:p w:rsidR="001F20DF" w:rsidRPr="001F20DF" w:rsidP="001F20DF" w14:paraId="24DF3E6A" w14:textId="77777777">
            <w:pPr>
              <w:spacing w:before="84" w:after="47" w:line="276" w:lineRule="auto"/>
              <w:rPr>
                <w:rFonts w:eastAsia="Calibri"/>
                <w:sz w:val="20"/>
                <w:szCs w:val="20"/>
              </w:rPr>
            </w:pPr>
            <w:r w:rsidRPr="001F20DF">
              <w:rPr>
                <w:rFonts w:eastAsia="Calibri"/>
                <w:sz w:val="20"/>
                <w:szCs w:val="20"/>
              </w:rPr>
              <w:t>111.23; records of physical plant sanitation practices, including pest control and water quality</w:t>
            </w:r>
          </w:p>
        </w:tc>
        <w:tc>
          <w:tcPr>
            <w:tcW w:w="1440" w:type="dxa"/>
            <w:hideMark/>
          </w:tcPr>
          <w:p w:rsidR="001F20DF" w:rsidRPr="001F20DF" w:rsidP="001F20DF" w14:paraId="236A3610" w14:textId="77777777">
            <w:pPr>
              <w:spacing w:before="84" w:after="47" w:line="276" w:lineRule="auto"/>
              <w:jc w:val="right"/>
              <w:rPr>
                <w:rFonts w:eastAsia="Calibri"/>
                <w:sz w:val="20"/>
                <w:szCs w:val="20"/>
              </w:rPr>
            </w:pPr>
            <w:r w:rsidRPr="001F20DF">
              <w:rPr>
                <w:rFonts w:eastAsia="Calibri"/>
                <w:sz w:val="20"/>
                <w:szCs w:val="20"/>
              </w:rPr>
              <w:t>15,000</w:t>
            </w:r>
          </w:p>
        </w:tc>
        <w:tc>
          <w:tcPr>
            <w:tcW w:w="1710" w:type="dxa"/>
            <w:hideMark/>
          </w:tcPr>
          <w:p w:rsidR="001F20DF" w:rsidRPr="001F20DF" w:rsidP="001F20DF" w14:paraId="3CA8B737" w14:textId="77777777">
            <w:pPr>
              <w:spacing w:before="84" w:after="47" w:line="276" w:lineRule="auto"/>
              <w:jc w:val="right"/>
              <w:rPr>
                <w:rFonts w:eastAsia="Calibri"/>
                <w:sz w:val="20"/>
                <w:szCs w:val="20"/>
              </w:rPr>
            </w:pPr>
            <w:r w:rsidRPr="001F20DF">
              <w:rPr>
                <w:rFonts w:eastAsia="Calibri"/>
                <w:sz w:val="20"/>
                <w:szCs w:val="20"/>
              </w:rPr>
              <w:t>1</w:t>
            </w:r>
          </w:p>
        </w:tc>
        <w:tc>
          <w:tcPr>
            <w:tcW w:w="1440" w:type="dxa"/>
            <w:hideMark/>
          </w:tcPr>
          <w:p w:rsidR="001F20DF" w:rsidRPr="001F20DF" w:rsidP="001F20DF" w14:paraId="2F8983AF" w14:textId="77777777">
            <w:pPr>
              <w:spacing w:before="84" w:after="47" w:line="276" w:lineRule="auto"/>
              <w:jc w:val="right"/>
              <w:rPr>
                <w:rFonts w:eastAsia="Calibri"/>
                <w:sz w:val="20"/>
                <w:szCs w:val="20"/>
              </w:rPr>
            </w:pPr>
            <w:r w:rsidRPr="001F20DF">
              <w:rPr>
                <w:rFonts w:eastAsia="Calibri"/>
                <w:sz w:val="20"/>
                <w:szCs w:val="20"/>
              </w:rPr>
              <w:t>15,000</w:t>
            </w:r>
          </w:p>
        </w:tc>
        <w:tc>
          <w:tcPr>
            <w:tcW w:w="1800" w:type="dxa"/>
            <w:hideMark/>
          </w:tcPr>
          <w:p w:rsidR="001F20DF" w:rsidRPr="001F20DF" w:rsidP="001F20DF" w14:paraId="498DAE16" w14:textId="77777777">
            <w:pPr>
              <w:spacing w:before="84"/>
              <w:jc w:val="right"/>
              <w:rPr>
                <w:rFonts w:eastAsia="Calibri"/>
                <w:sz w:val="20"/>
                <w:szCs w:val="20"/>
              </w:rPr>
            </w:pPr>
            <w:r w:rsidRPr="001F20DF">
              <w:rPr>
                <w:rFonts w:eastAsia="Calibri"/>
                <w:sz w:val="20"/>
                <w:szCs w:val="20"/>
              </w:rPr>
              <w:t>0.2</w:t>
            </w:r>
          </w:p>
          <w:p w:rsidR="001F20DF" w:rsidRPr="001F20DF" w:rsidP="001F20DF" w14:paraId="5B5C4FD7" w14:textId="77777777">
            <w:pPr>
              <w:jc w:val="right"/>
              <w:rPr>
                <w:rFonts w:eastAsia="Calibri"/>
                <w:sz w:val="20"/>
                <w:szCs w:val="20"/>
              </w:rPr>
            </w:pPr>
            <w:r w:rsidRPr="001F20DF">
              <w:rPr>
                <w:rFonts w:eastAsia="Calibri"/>
                <w:sz w:val="20"/>
                <w:szCs w:val="20"/>
              </w:rPr>
              <w:t>(12 minutes)</w:t>
            </w:r>
          </w:p>
        </w:tc>
        <w:tc>
          <w:tcPr>
            <w:tcW w:w="900" w:type="dxa"/>
            <w:hideMark/>
          </w:tcPr>
          <w:p w:rsidR="001F20DF" w:rsidRPr="001F20DF" w:rsidP="001F20DF" w14:paraId="7F6FE0BD" w14:textId="77777777">
            <w:pPr>
              <w:spacing w:before="84" w:after="47" w:line="276" w:lineRule="auto"/>
              <w:jc w:val="right"/>
              <w:rPr>
                <w:rFonts w:eastAsia="Calibri"/>
                <w:sz w:val="20"/>
                <w:szCs w:val="20"/>
              </w:rPr>
            </w:pPr>
            <w:r w:rsidRPr="001F20DF">
              <w:rPr>
                <w:rFonts w:eastAsia="Calibri"/>
                <w:sz w:val="20"/>
                <w:szCs w:val="20"/>
              </w:rPr>
              <w:t>3,000</w:t>
            </w:r>
          </w:p>
        </w:tc>
      </w:tr>
      <w:tr w14:paraId="528247F1" w14:textId="77777777" w:rsidTr="001661BD">
        <w:tblPrEx>
          <w:tblW w:w="9630" w:type="dxa"/>
          <w:tblLayout w:type="fixed"/>
          <w:tblLook w:val="04A0"/>
        </w:tblPrEx>
        <w:tc>
          <w:tcPr>
            <w:tcW w:w="2340" w:type="dxa"/>
            <w:hideMark/>
          </w:tcPr>
          <w:p w:rsidR="001F20DF" w:rsidRPr="001F20DF" w:rsidP="001F20DF" w14:paraId="63964E64" w14:textId="77777777">
            <w:pPr>
              <w:spacing w:before="84" w:after="47" w:line="276" w:lineRule="auto"/>
              <w:rPr>
                <w:rFonts w:eastAsia="Calibri"/>
                <w:sz w:val="20"/>
                <w:szCs w:val="20"/>
              </w:rPr>
            </w:pPr>
            <w:r w:rsidRPr="001F20DF">
              <w:rPr>
                <w:rFonts w:eastAsia="Calibri"/>
                <w:sz w:val="20"/>
                <w:szCs w:val="20"/>
              </w:rPr>
              <w:t>111.35; records regarding equipment and utensils, including calibration and sanitation practices</w:t>
            </w:r>
          </w:p>
        </w:tc>
        <w:tc>
          <w:tcPr>
            <w:tcW w:w="1440" w:type="dxa"/>
            <w:hideMark/>
          </w:tcPr>
          <w:p w:rsidR="001F20DF" w:rsidRPr="001F20DF" w:rsidP="001F20DF" w14:paraId="184A3F6E" w14:textId="77777777">
            <w:pPr>
              <w:spacing w:before="84" w:after="47" w:line="276" w:lineRule="auto"/>
              <w:jc w:val="right"/>
              <w:rPr>
                <w:rFonts w:eastAsia="Calibri"/>
                <w:sz w:val="20"/>
                <w:szCs w:val="20"/>
              </w:rPr>
            </w:pPr>
            <w:r w:rsidRPr="001F20DF">
              <w:rPr>
                <w:rFonts w:eastAsia="Calibri"/>
                <w:sz w:val="20"/>
                <w:szCs w:val="20"/>
              </w:rPr>
              <w:t>400</w:t>
            </w:r>
          </w:p>
        </w:tc>
        <w:tc>
          <w:tcPr>
            <w:tcW w:w="1710" w:type="dxa"/>
            <w:hideMark/>
          </w:tcPr>
          <w:p w:rsidR="001F20DF" w:rsidRPr="001F20DF" w:rsidP="001F20DF" w14:paraId="7370150E" w14:textId="77777777">
            <w:pPr>
              <w:spacing w:before="84" w:after="47" w:line="276" w:lineRule="auto"/>
              <w:jc w:val="right"/>
              <w:rPr>
                <w:rFonts w:eastAsia="Calibri"/>
                <w:sz w:val="20"/>
                <w:szCs w:val="20"/>
              </w:rPr>
            </w:pPr>
            <w:r w:rsidRPr="001F20DF">
              <w:rPr>
                <w:rFonts w:eastAsia="Calibri"/>
                <w:sz w:val="20"/>
                <w:szCs w:val="20"/>
              </w:rPr>
              <w:t>1</w:t>
            </w:r>
          </w:p>
        </w:tc>
        <w:tc>
          <w:tcPr>
            <w:tcW w:w="1440" w:type="dxa"/>
            <w:hideMark/>
          </w:tcPr>
          <w:p w:rsidR="001F20DF" w:rsidRPr="001F20DF" w:rsidP="001F20DF" w14:paraId="2DE4BFD6" w14:textId="77777777">
            <w:pPr>
              <w:spacing w:before="84" w:after="47" w:line="276" w:lineRule="auto"/>
              <w:jc w:val="right"/>
              <w:rPr>
                <w:rFonts w:eastAsia="Calibri"/>
                <w:sz w:val="20"/>
                <w:szCs w:val="20"/>
              </w:rPr>
            </w:pPr>
            <w:r w:rsidRPr="001F20DF">
              <w:rPr>
                <w:rFonts w:eastAsia="Calibri"/>
                <w:sz w:val="20"/>
                <w:szCs w:val="20"/>
              </w:rPr>
              <w:t>400</w:t>
            </w:r>
          </w:p>
        </w:tc>
        <w:tc>
          <w:tcPr>
            <w:tcW w:w="1800" w:type="dxa"/>
            <w:hideMark/>
          </w:tcPr>
          <w:p w:rsidR="001F20DF" w:rsidRPr="001F20DF" w:rsidP="001F20DF" w14:paraId="3BA0310F" w14:textId="77777777">
            <w:pPr>
              <w:spacing w:before="84" w:after="47" w:line="276" w:lineRule="auto"/>
              <w:jc w:val="right"/>
              <w:rPr>
                <w:rFonts w:eastAsia="Calibri"/>
                <w:sz w:val="20"/>
                <w:szCs w:val="20"/>
              </w:rPr>
            </w:pPr>
            <w:r w:rsidRPr="001F20DF">
              <w:rPr>
                <w:rFonts w:eastAsia="Calibri"/>
                <w:sz w:val="20"/>
                <w:szCs w:val="20"/>
              </w:rPr>
              <w:t>12.5</w:t>
            </w:r>
          </w:p>
        </w:tc>
        <w:tc>
          <w:tcPr>
            <w:tcW w:w="900" w:type="dxa"/>
            <w:hideMark/>
          </w:tcPr>
          <w:p w:rsidR="001F20DF" w:rsidRPr="001F20DF" w:rsidP="001F20DF" w14:paraId="0B86EEC2" w14:textId="77777777">
            <w:pPr>
              <w:spacing w:before="84" w:after="47" w:line="276" w:lineRule="auto"/>
              <w:jc w:val="right"/>
              <w:rPr>
                <w:rFonts w:eastAsia="Calibri"/>
                <w:sz w:val="20"/>
                <w:szCs w:val="20"/>
              </w:rPr>
            </w:pPr>
            <w:r w:rsidRPr="001F20DF">
              <w:rPr>
                <w:rFonts w:eastAsia="Calibri"/>
                <w:sz w:val="20"/>
                <w:szCs w:val="20"/>
              </w:rPr>
              <w:t>5,000</w:t>
            </w:r>
          </w:p>
        </w:tc>
      </w:tr>
      <w:tr w14:paraId="4D8C4F7D" w14:textId="77777777" w:rsidTr="001661BD">
        <w:tblPrEx>
          <w:tblW w:w="9630" w:type="dxa"/>
          <w:tblLayout w:type="fixed"/>
          <w:tblLook w:val="04A0"/>
        </w:tblPrEx>
        <w:tc>
          <w:tcPr>
            <w:tcW w:w="2340" w:type="dxa"/>
            <w:hideMark/>
          </w:tcPr>
          <w:p w:rsidR="001F20DF" w:rsidRPr="001F20DF" w:rsidP="001F20DF" w14:paraId="6B0EBC9E" w14:textId="77777777">
            <w:pPr>
              <w:spacing w:before="84" w:after="47" w:line="276" w:lineRule="auto"/>
              <w:rPr>
                <w:rFonts w:eastAsia="Calibri"/>
                <w:sz w:val="20"/>
                <w:szCs w:val="20"/>
              </w:rPr>
            </w:pPr>
            <w:r w:rsidRPr="001F20DF">
              <w:rPr>
                <w:rFonts w:eastAsia="Calibri"/>
                <w:sz w:val="20"/>
                <w:szCs w:val="20"/>
              </w:rPr>
              <w:t xml:space="preserve">111.95; records of production and process control systems </w:t>
            </w:r>
          </w:p>
        </w:tc>
        <w:tc>
          <w:tcPr>
            <w:tcW w:w="1440" w:type="dxa"/>
            <w:hideMark/>
          </w:tcPr>
          <w:p w:rsidR="001F20DF" w:rsidRPr="001F20DF" w:rsidP="001F20DF" w14:paraId="2F66F1F6" w14:textId="77777777">
            <w:pPr>
              <w:spacing w:before="84" w:after="47" w:line="276" w:lineRule="auto"/>
              <w:jc w:val="right"/>
              <w:rPr>
                <w:rFonts w:eastAsia="Calibri"/>
                <w:sz w:val="20"/>
                <w:szCs w:val="20"/>
              </w:rPr>
            </w:pPr>
            <w:r w:rsidRPr="001F20DF">
              <w:rPr>
                <w:rFonts w:eastAsia="Calibri"/>
                <w:sz w:val="20"/>
                <w:szCs w:val="20"/>
              </w:rPr>
              <w:t>250</w:t>
            </w:r>
          </w:p>
        </w:tc>
        <w:tc>
          <w:tcPr>
            <w:tcW w:w="1710" w:type="dxa"/>
            <w:hideMark/>
          </w:tcPr>
          <w:p w:rsidR="001F20DF" w:rsidRPr="001F20DF" w:rsidP="001F20DF" w14:paraId="1B5D27E3" w14:textId="77777777">
            <w:pPr>
              <w:spacing w:before="84" w:after="47" w:line="276" w:lineRule="auto"/>
              <w:jc w:val="right"/>
              <w:rPr>
                <w:rFonts w:eastAsia="Calibri"/>
                <w:sz w:val="20"/>
                <w:szCs w:val="20"/>
              </w:rPr>
            </w:pPr>
            <w:r w:rsidRPr="001F20DF">
              <w:rPr>
                <w:rFonts w:eastAsia="Calibri"/>
                <w:sz w:val="20"/>
                <w:szCs w:val="20"/>
              </w:rPr>
              <w:t>1</w:t>
            </w:r>
          </w:p>
        </w:tc>
        <w:tc>
          <w:tcPr>
            <w:tcW w:w="1440" w:type="dxa"/>
            <w:hideMark/>
          </w:tcPr>
          <w:p w:rsidR="001F20DF" w:rsidRPr="001F20DF" w:rsidP="001F20DF" w14:paraId="5FCFE7CF" w14:textId="77777777">
            <w:pPr>
              <w:spacing w:before="84" w:after="47" w:line="276" w:lineRule="auto"/>
              <w:jc w:val="right"/>
              <w:rPr>
                <w:rFonts w:eastAsia="Calibri"/>
                <w:sz w:val="20"/>
                <w:szCs w:val="20"/>
              </w:rPr>
            </w:pPr>
            <w:r w:rsidRPr="001F20DF">
              <w:rPr>
                <w:rFonts w:eastAsia="Calibri"/>
                <w:sz w:val="20"/>
                <w:szCs w:val="20"/>
              </w:rPr>
              <w:t>250</w:t>
            </w:r>
          </w:p>
        </w:tc>
        <w:tc>
          <w:tcPr>
            <w:tcW w:w="1800" w:type="dxa"/>
            <w:hideMark/>
          </w:tcPr>
          <w:p w:rsidR="001F20DF" w:rsidRPr="001F20DF" w:rsidP="001F20DF" w14:paraId="45FCE0D1" w14:textId="77777777">
            <w:pPr>
              <w:spacing w:before="84" w:after="47" w:line="276" w:lineRule="auto"/>
              <w:jc w:val="right"/>
              <w:rPr>
                <w:rFonts w:eastAsia="Calibri"/>
                <w:sz w:val="20"/>
                <w:szCs w:val="20"/>
              </w:rPr>
            </w:pPr>
            <w:r w:rsidRPr="001F20DF">
              <w:rPr>
                <w:rFonts w:eastAsia="Calibri"/>
                <w:sz w:val="20"/>
                <w:szCs w:val="20"/>
              </w:rPr>
              <w:t>45</w:t>
            </w:r>
          </w:p>
        </w:tc>
        <w:tc>
          <w:tcPr>
            <w:tcW w:w="900" w:type="dxa"/>
            <w:hideMark/>
          </w:tcPr>
          <w:p w:rsidR="001F20DF" w:rsidRPr="001F20DF" w:rsidP="001F20DF" w14:paraId="11498BFE" w14:textId="77777777">
            <w:pPr>
              <w:spacing w:before="84" w:after="47" w:line="276" w:lineRule="auto"/>
              <w:jc w:val="right"/>
              <w:rPr>
                <w:rFonts w:eastAsia="Calibri"/>
                <w:sz w:val="20"/>
                <w:szCs w:val="20"/>
              </w:rPr>
            </w:pPr>
            <w:r w:rsidRPr="001F20DF">
              <w:rPr>
                <w:rFonts w:eastAsia="Calibri"/>
                <w:sz w:val="20"/>
                <w:szCs w:val="20"/>
              </w:rPr>
              <w:t>11,250</w:t>
            </w:r>
          </w:p>
        </w:tc>
      </w:tr>
      <w:tr w14:paraId="7773BC15" w14:textId="77777777" w:rsidTr="001661BD">
        <w:tblPrEx>
          <w:tblW w:w="9630" w:type="dxa"/>
          <w:tblLayout w:type="fixed"/>
          <w:tblLook w:val="04A0"/>
        </w:tblPrEx>
        <w:tc>
          <w:tcPr>
            <w:tcW w:w="2340" w:type="dxa"/>
            <w:hideMark/>
          </w:tcPr>
          <w:p w:rsidR="001F20DF" w:rsidRPr="001F20DF" w:rsidP="001F20DF" w14:paraId="1AD23B70" w14:textId="77777777">
            <w:pPr>
              <w:autoSpaceDE w:val="0"/>
              <w:autoSpaceDN w:val="0"/>
              <w:adjustRightInd w:val="0"/>
              <w:rPr>
                <w:rFonts w:eastAsia="Calibri"/>
                <w:sz w:val="20"/>
                <w:szCs w:val="20"/>
              </w:rPr>
            </w:pPr>
            <w:r w:rsidRPr="001F20DF">
              <w:rPr>
                <w:rFonts w:eastAsia="Calibri"/>
                <w:sz w:val="20"/>
                <w:szCs w:val="20"/>
              </w:rPr>
              <w:t>111.140; records that quality control personnel must make and keep</w:t>
            </w:r>
          </w:p>
        </w:tc>
        <w:tc>
          <w:tcPr>
            <w:tcW w:w="1440" w:type="dxa"/>
            <w:hideMark/>
          </w:tcPr>
          <w:p w:rsidR="001F20DF" w:rsidRPr="001F20DF" w:rsidP="001F20DF" w14:paraId="0E3F070A" w14:textId="77777777">
            <w:pPr>
              <w:spacing w:before="84" w:after="47" w:line="276" w:lineRule="auto"/>
              <w:jc w:val="right"/>
              <w:rPr>
                <w:rFonts w:eastAsia="Calibri"/>
                <w:sz w:val="20"/>
                <w:szCs w:val="20"/>
              </w:rPr>
            </w:pPr>
            <w:r w:rsidRPr="001F20DF">
              <w:rPr>
                <w:rFonts w:eastAsia="Calibri"/>
                <w:sz w:val="20"/>
                <w:szCs w:val="20"/>
              </w:rPr>
              <w:t>240</w:t>
            </w:r>
          </w:p>
        </w:tc>
        <w:tc>
          <w:tcPr>
            <w:tcW w:w="1710" w:type="dxa"/>
            <w:hideMark/>
          </w:tcPr>
          <w:p w:rsidR="001F20DF" w:rsidRPr="001F20DF" w:rsidP="001F20DF" w14:paraId="22FDCBD3" w14:textId="77777777">
            <w:pPr>
              <w:spacing w:before="84" w:after="47" w:line="276" w:lineRule="auto"/>
              <w:jc w:val="right"/>
              <w:rPr>
                <w:rFonts w:eastAsia="Calibri"/>
                <w:sz w:val="20"/>
                <w:szCs w:val="20"/>
              </w:rPr>
            </w:pPr>
            <w:r w:rsidRPr="001F20DF">
              <w:rPr>
                <w:rFonts w:eastAsia="Calibri"/>
                <w:sz w:val="20"/>
                <w:szCs w:val="20"/>
              </w:rPr>
              <w:t>1,163</w:t>
            </w:r>
          </w:p>
        </w:tc>
        <w:tc>
          <w:tcPr>
            <w:tcW w:w="1440" w:type="dxa"/>
            <w:hideMark/>
          </w:tcPr>
          <w:p w:rsidR="001F20DF" w:rsidRPr="001F20DF" w:rsidP="001F20DF" w14:paraId="7D81122C" w14:textId="77777777">
            <w:pPr>
              <w:spacing w:before="84" w:after="47" w:line="276" w:lineRule="auto"/>
              <w:jc w:val="right"/>
              <w:rPr>
                <w:rFonts w:eastAsia="Calibri"/>
                <w:sz w:val="20"/>
                <w:szCs w:val="20"/>
              </w:rPr>
            </w:pPr>
            <w:r w:rsidRPr="001F20DF">
              <w:rPr>
                <w:rFonts w:eastAsia="Calibri"/>
                <w:sz w:val="20"/>
                <w:szCs w:val="20"/>
              </w:rPr>
              <w:t>279,120</w:t>
            </w:r>
          </w:p>
        </w:tc>
        <w:tc>
          <w:tcPr>
            <w:tcW w:w="1800" w:type="dxa"/>
            <w:hideMark/>
          </w:tcPr>
          <w:p w:rsidR="001F20DF" w:rsidRPr="001F20DF" w:rsidP="001F20DF" w14:paraId="5BA32ED9" w14:textId="77777777">
            <w:pPr>
              <w:spacing w:before="84" w:after="47" w:line="276" w:lineRule="auto"/>
              <w:jc w:val="right"/>
              <w:rPr>
                <w:rFonts w:eastAsia="Calibri"/>
                <w:sz w:val="20"/>
                <w:szCs w:val="20"/>
              </w:rPr>
            </w:pPr>
            <w:r w:rsidRPr="001F20DF">
              <w:rPr>
                <w:rFonts w:eastAsia="Calibri"/>
                <w:sz w:val="20"/>
                <w:szCs w:val="20"/>
              </w:rPr>
              <w:t>1</w:t>
            </w:r>
          </w:p>
        </w:tc>
        <w:tc>
          <w:tcPr>
            <w:tcW w:w="900" w:type="dxa"/>
            <w:hideMark/>
          </w:tcPr>
          <w:p w:rsidR="001F20DF" w:rsidRPr="001F20DF" w:rsidP="001F20DF" w14:paraId="1E492741" w14:textId="77777777">
            <w:pPr>
              <w:spacing w:before="84" w:after="47" w:line="276" w:lineRule="auto"/>
              <w:jc w:val="right"/>
              <w:rPr>
                <w:rFonts w:eastAsia="Calibri"/>
                <w:sz w:val="20"/>
                <w:szCs w:val="20"/>
              </w:rPr>
            </w:pPr>
            <w:r w:rsidRPr="001F20DF">
              <w:rPr>
                <w:rFonts w:eastAsia="Calibri"/>
                <w:sz w:val="20"/>
                <w:szCs w:val="20"/>
              </w:rPr>
              <w:t>279,120</w:t>
            </w:r>
          </w:p>
        </w:tc>
      </w:tr>
      <w:tr w14:paraId="09A2C55E" w14:textId="77777777" w:rsidTr="001661BD">
        <w:tblPrEx>
          <w:tblW w:w="9630" w:type="dxa"/>
          <w:tblLayout w:type="fixed"/>
          <w:tblLook w:val="04A0"/>
        </w:tblPrEx>
        <w:tc>
          <w:tcPr>
            <w:tcW w:w="2340" w:type="dxa"/>
            <w:hideMark/>
          </w:tcPr>
          <w:p w:rsidR="001F20DF" w:rsidRPr="001F20DF" w:rsidP="001F20DF" w14:paraId="2E0358CE" w14:textId="77777777">
            <w:pPr>
              <w:autoSpaceDE w:val="0"/>
              <w:autoSpaceDN w:val="0"/>
              <w:adjustRightInd w:val="0"/>
              <w:rPr>
                <w:rFonts w:eastAsia="Calibri"/>
                <w:sz w:val="20"/>
                <w:szCs w:val="20"/>
              </w:rPr>
            </w:pPr>
            <w:r w:rsidRPr="001F20DF">
              <w:rPr>
                <w:rFonts w:eastAsia="Calibri"/>
                <w:sz w:val="20"/>
                <w:szCs w:val="20"/>
              </w:rPr>
              <w:t xml:space="preserve">111.180; records associated with components, packaging, labels, and product received for packaging and labeling as a dietary supplement </w:t>
            </w:r>
          </w:p>
        </w:tc>
        <w:tc>
          <w:tcPr>
            <w:tcW w:w="1440" w:type="dxa"/>
            <w:hideMark/>
          </w:tcPr>
          <w:p w:rsidR="001F20DF" w:rsidRPr="001F20DF" w:rsidP="001F20DF" w14:paraId="5172B552" w14:textId="77777777">
            <w:pPr>
              <w:spacing w:before="84" w:after="47" w:line="276" w:lineRule="auto"/>
              <w:jc w:val="right"/>
              <w:rPr>
                <w:rFonts w:eastAsia="Calibri"/>
                <w:sz w:val="20"/>
                <w:szCs w:val="20"/>
              </w:rPr>
            </w:pPr>
            <w:r w:rsidRPr="001F20DF">
              <w:rPr>
                <w:rFonts w:eastAsia="Calibri"/>
                <w:sz w:val="20"/>
                <w:szCs w:val="20"/>
              </w:rPr>
              <w:t>240</w:t>
            </w:r>
          </w:p>
        </w:tc>
        <w:tc>
          <w:tcPr>
            <w:tcW w:w="1710" w:type="dxa"/>
            <w:hideMark/>
          </w:tcPr>
          <w:p w:rsidR="001F20DF" w:rsidRPr="001F20DF" w:rsidP="001F20DF" w14:paraId="38A2E681" w14:textId="77777777">
            <w:pPr>
              <w:spacing w:before="84" w:after="47" w:line="276" w:lineRule="auto"/>
              <w:jc w:val="right"/>
              <w:rPr>
                <w:rFonts w:eastAsia="Calibri"/>
                <w:sz w:val="20"/>
                <w:szCs w:val="20"/>
              </w:rPr>
            </w:pPr>
            <w:r w:rsidRPr="001F20DF">
              <w:rPr>
                <w:rFonts w:eastAsia="Calibri"/>
                <w:sz w:val="20"/>
                <w:szCs w:val="20"/>
              </w:rPr>
              <w:t>1,163</w:t>
            </w:r>
          </w:p>
        </w:tc>
        <w:tc>
          <w:tcPr>
            <w:tcW w:w="1440" w:type="dxa"/>
            <w:hideMark/>
          </w:tcPr>
          <w:p w:rsidR="001F20DF" w:rsidRPr="001F20DF" w:rsidP="001F20DF" w14:paraId="5C71A2ED" w14:textId="77777777">
            <w:pPr>
              <w:spacing w:before="84" w:after="47" w:line="276" w:lineRule="auto"/>
              <w:jc w:val="right"/>
              <w:rPr>
                <w:rFonts w:eastAsia="Calibri"/>
                <w:sz w:val="20"/>
                <w:szCs w:val="20"/>
              </w:rPr>
            </w:pPr>
            <w:r w:rsidRPr="001F20DF">
              <w:rPr>
                <w:rFonts w:eastAsia="Calibri"/>
                <w:sz w:val="20"/>
                <w:szCs w:val="20"/>
              </w:rPr>
              <w:t>279,120</w:t>
            </w:r>
          </w:p>
        </w:tc>
        <w:tc>
          <w:tcPr>
            <w:tcW w:w="1800" w:type="dxa"/>
            <w:hideMark/>
          </w:tcPr>
          <w:p w:rsidR="001F20DF" w:rsidRPr="001F20DF" w:rsidP="001F20DF" w14:paraId="0E84438E" w14:textId="77777777">
            <w:pPr>
              <w:spacing w:before="84" w:after="47" w:line="276" w:lineRule="auto"/>
              <w:jc w:val="right"/>
              <w:rPr>
                <w:rFonts w:eastAsia="Calibri"/>
                <w:sz w:val="20"/>
                <w:szCs w:val="20"/>
              </w:rPr>
            </w:pPr>
            <w:r w:rsidRPr="001F20DF">
              <w:rPr>
                <w:rFonts w:eastAsia="Calibri"/>
                <w:sz w:val="20"/>
                <w:szCs w:val="20"/>
              </w:rPr>
              <w:t>1</w:t>
            </w:r>
          </w:p>
        </w:tc>
        <w:tc>
          <w:tcPr>
            <w:tcW w:w="900" w:type="dxa"/>
            <w:hideMark/>
          </w:tcPr>
          <w:p w:rsidR="001F20DF" w:rsidRPr="001F20DF" w:rsidP="001F20DF" w14:paraId="03204FD1" w14:textId="77777777">
            <w:pPr>
              <w:spacing w:before="84" w:after="47" w:line="276" w:lineRule="auto"/>
              <w:jc w:val="right"/>
              <w:rPr>
                <w:rFonts w:eastAsia="Calibri"/>
                <w:sz w:val="20"/>
                <w:szCs w:val="20"/>
              </w:rPr>
            </w:pPr>
            <w:r w:rsidRPr="001F20DF">
              <w:rPr>
                <w:rFonts w:eastAsia="Calibri"/>
                <w:sz w:val="20"/>
                <w:szCs w:val="20"/>
              </w:rPr>
              <w:t>279,120</w:t>
            </w:r>
          </w:p>
        </w:tc>
      </w:tr>
      <w:tr w14:paraId="4E6215B4" w14:textId="77777777" w:rsidTr="001661BD">
        <w:tblPrEx>
          <w:tblW w:w="9630" w:type="dxa"/>
          <w:tblLayout w:type="fixed"/>
          <w:tblLook w:val="04A0"/>
        </w:tblPrEx>
        <w:tc>
          <w:tcPr>
            <w:tcW w:w="2340" w:type="dxa"/>
            <w:hideMark/>
          </w:tcPr>
          <w:p w:rsidR="001F20DF" w:rsidRPr="001F20DF" w:rsidP="001F20DF" w14:paraId="447A62B8" w14:textId="77777777">
            <w:pPr>
              <w:autoSpaceDE w:val="0"/>
              <w:autoSpaceDN w:val="0"/>
              <w:adjustRightInd w:val="0"/>
              <w:rPr>
                <w:rFonts w:eastAsia="Calibri"/>
                <w:sz w:val="20"/>
                <w:szCs w:val="20"/>
              </w:rPr>
            </w:pPr>
            <w:r w:rsidRPr="001F20DF">
              <w:rPr>
                <w:rFonts w:eastAsia="Calibri"/>
                <w:sz w:val="20"/>
                <w:szCs w:val="20"/>
              </w:rPr>
              <w:t>111.210; requirements for what the master manufacturing record must include</w:t>
            </w:r>
          </w:p>
        </w:tc>
        <w:tc>
          <w:tcPr>
            <w:tcW w:w="1440" w:type="dxa"/>
            <w:hideMark/>
          </w:tcPr>
          <w:p w:rsidR="001F20DF" w:rsidRPr="001F20DF" w:rsidP="001F20DF" w14:paraId="262A06D3" w14:textId="77777777">
            <w:pPr>
              <w:spacing w:before="84" w:after="47" w:line="276" w:lineRule="auto"/>
              <w:jc w:val="right"/>
              <w:rPr>
                <w:rFonts w:eastAsia="Calibri"/>
                <w:sz w:val="20"/>
                <w:szCs w:val="20"/>
              </w:rPr>
            </w:pPr>
            <w:r w:rsidRPr="001F20DF">
              <w:rPr>
                <w:rFonts w:eastAsia="Calibri"/>
                <w:sz w:val="20"/>
                <w:szCs w:val="20"/>
              </w:rPr>
              <w:t>240</w:t>
            </w:r>
          </w:p>
        </w:tc>
        <w:tc>
          <w:tcPr>
            <w:tcW w:w="1710" w:type="dxa"/>
            <w:hideMark/>
          </w:tcPr>
          <w:p w:rsidR="001F20DF" w:rsidRPr="001F20DF" w:rsidP="001F20DF" w14:paraId="35549CFA" w14:textId="77777777">
            <w:pPr>
              <w:spacing w:before="84" w:after="47" w:line="276" w:lineRule="auto"/>
              <w:jc w:val="right"/>
              <w:rPr>
                <w:rFonts w:eastAsia="Calibri"/>
                <w:sz w:val="20"/>
                <w:szCs w:val="20"/>
              </w:rPr>
            </w:pPr>
            <w:r w:rsidRPr="001F20DF">
              <w:rPr>
                <w:rFonts w:eastAsia="Calibri"/>
                <w:sz w:val="20"/>
                <w:szCs w:val="20"/>
              </w:rPr>
              <w:t>1</w:t>
            </w:r>
          </w:p>
        </w:tc>
        <w:tc>
          <w:tcPr>
            <w:tcW w:w="1440" w:type="dxa"/>
            <w:hideMark/>
          </w:tcPr>
          <w:p w:rsidR="001F20DF" w:rsidRPr="001F20DF" w:rsidP="001F20DF" w14:paraId="0A16F1E0" w14:textId="77777777">
            <w:pPr>
              <w:spacing w:before="84" w:after="47" w:line="276" w:lineRule="auto"/>
              <w:jc w:val="right"/>
              <w:rPr>
                <w:rFonts w:eastAsia="Calibri"/>
                <w:sz w:val="20"/>
                <w:szCs w:val="20"/>
              </w:rPr>
            </w:pPr>
            <w:r w:rsidRPr="001F20DF">
              <w:rPr>
                <w:rFonts w:eastAsia="Calibri"/>
                <w:sz w:val="20"/>
                <w:szCs w:val="20"/>
              </w:rPr>
              <w:t>240</w:t>
            </w:r>
          </w:p>
        </w:tc>
        <w:tc>
          <w:tcPr>
            <w:tcW w:w="1800" w:type="dxa"/>
            <w:hideMark/>
          </w:tcPr>
          <w:p w:rsidR="001F20DF" w:rsidRPr="001F20DF" w:rsidP="001F20DF" w14:paraId="2D49C3B1" w14:textId="77777777">
            <w:pPr>
              <w:spacing w:before="84" w:after="47" w:line="276" w:lineRule="auto"/>
              <w:jc w:val="right"/>
              <w:rPr>
                <w:rFonts w:eastAsia="Calibri"/>
                <w:sz w:val="20"/>
                <w:szCs w:val="20"/>
              </w:rPr>
            </w:pPr>
            <w:r w:rsidRPr="001F20DF">
              <w:rPr>
                <w:rFonts w:eastAsia="Calibri"/>
                <w:sz w:val="20"/>
                <w:szCs w:val="20"/>
              </w:rPr>
              <w:t>2.5</w:t>
            </w:r>
          </w:p>
        </w:tc>
        <w:tc>
          <w:tcPr>
            <w:tcW w:w="900" w:type="dxa"/>
            <w:hideMark/>
          </w:tcPr>
          <w:p w:rsidR="001F20DF" w:rsidRPr="001F20DF" w:rsidP="001F20DF" w14:paraId="01E52250" w14:textId="77777777">
            <w:pPr>
              <w:spacing w:before="84" w:after="47" w:line="276" w:lineRule="auto"/>
              <w:jc w:val="right"/>
              <w:rPr>
                <w:rFonts w:eastAsia="Calibri"/>
                <w:sz w:val="20"/>
                <w:szCs w:val="20"/>
              </w:rPr>
            </w:pPr>
            <w:r w:rsidRPr="001F20DF">
              <w:rPr>
                <w:rFonts w:eastAsia="Calibri"/>
                <w:sz w:val="20"/>
                <w:szCs w:val="20"/>
              </w:rPr>
              <w:t>600</w:t>
            </w:r>
          </w:p>
        </w:tc>
      </w:tr>
      <w:tr w14:paraId="0A3600CE" w14:textId="77777777" w:rsidTr="001661BD">
        <w:tblPrEx>
          <w:tblW w:w="9630" w:type="dxa"/>
          <w:tblLayout w:type="fixed"/>
          <w:tblLook w:val="04A0"/>
        </w:tblPrEx>
        <w:tc>
          <w:tcPr>
            <w:tcW w:w="2340" w:type="dxa"/>
            <w:hideMark/>
          </w:tcPr>
          <w:p w:rsidR="001F20DF" w:rsidRPr="001F20DF" w:rsidP="001F20DF" w14:paraId="23E76E8A" w14:textId="77777777">
            <w:pPr>
              <w:spacing w:after="47" w:line="276" w:lineRule="auto"/>
              <w:rPr>
                <w:rFonts w:eastAsia="Calibri"/>
                <w:sz w:val="20"/>
                <w:szCs w:val="20"/>
              </w:rPr>
            </w:pPr>
            <w:r w:rsidRPr="001F20DF">
              <w:rPr>
                <w:rFonts w:eastAsia="Calibri"/>
                <w:sz w:val="20"/>
                <w:szCs w:val="20"/>
              </w:rPr>
              <w:t>111.260; requirements for what the batch production record must include</w:t>
            </w:r>
          </w:p>
        </w:tc>
        <w:tc>
          <w:tcPr>
            <w:tcW w:w="1440" w:type="dxa"/>
            <w:hideMark/>
          </w:tcPr>
          <w:p w:rsidR="001F20DF" w:rsidRPr="001F20DF" w:rsidP="001F20DF" w14:paraId="00886DF1" w14:textId="77777777">
            <w:pPr>
              <w:jc w:val="right"/>
              <w:rPr>
                <w:rFonts w:eastAsia="Calibri"/>
                <w:sz w:val="20"/>
                <w:szCs w:val="20"/>
              </w:rPr>
            </w:pPr>
            <w:r w:rsidRPr="001F20DF">
              <w:rPr>
                <w:rFonts w:eastAsia="Calibri"/>
                <w:sz w:val="20"/>
                <w:szCs w:val="20"/>
              </w:rPr>
              <w:t>145</w:t>
            </w:r>
          </w:p>
        </w:tc>
        <w:tc>
          <w:tcPr>
            <w:tcW w:w="1710" w:type="dxa"/>
            <w:hideMark/>
          </w:tcPr>
          <w:p w:rsidR="001F20DF" w:rsidRPr="001F20DF" w:rsidP="001F20DF" w14:paraId="0CEE66CF" w14:textId="77777777">
            <w:pPr>
              <w:jc w:val="right"/>
              <w:rPr>
                <w:rFonts w:eastAsia="Calibri"/>
                <w:sz w:val="20"/>
                <w:szCs w:val="20"/>
              </w:rPr>
            </w:pPr>
            <w:r w:rsidRPr="001F20DF">
              <w:rPr>
                <w:rFonts w:eastAsia="Calibri"/>
                <w:sz w:val="20"/>
                <w:szCs w:val="20"/>
              </w:rPr>
              <w:t>1,408</w:t>
            </w:r>
          </w:p>
        </w:tc>
        <w:tc>
          <w:tcPr>
            <w:tcW w:w="1440" w:type="dxa"/>
            <w:hideMark/>
          </w:tcPr>
          <w:p w:rsidR="001F20DF" w:rsidRPr="001F20DF" w:rsidP="001F20DF" w14:paraId="30EAC5C7" w14:textId="77777777">
            <w:pPr>
              <w:jc w:val="right"/>
              <w:rPr>
                <w:rFonts w:eastAsia="Calibri"/>
                <w:sz w:val="20"/>
                <w:szCs w:val="20"/>
              </w:rPr>
            </w:pPr>
            <w:r w:rsidRPr="001F20DF">
              <w:rPr>
                <w:rFonts w:eastAsia="Calibri"/>
                <w:sz w:val="20"/>
                <w:szCs w:val="20"/>
              </w:rPr>
              <w:t>204,160</w:t>
            </w:r>
          </w:p>
        </w:tc>
        <w:tc>
          <w:tcPr>
            <w:tcW w:w="1800" w:type="dxa"/>
            <w:hideMark/>
          </w:tcPr>
          <w:p w:rsidR="001F20DF" w:rsidRPr="001F20DF" w:rsidP="001F20DF" w14:paraId="39B23993" w14:textId="77777777">
            <w:pPr>
              <w:jc w:val="right"/>
              <w:rPr>
                <w:rFonts w:eastAsia="Calibri"/>
                <w:sz w:val="20"/>
                <w:szCs w:val="20"/>
              </w:rPr>
            </w:pPr>
            <w:r w:rsidRPr="001F20DF">
              <w:rPr>
                <w:rFonts w:eastAsia="Calibri"/>
                <w:sz w:val="20"/>
                <w:szCs w:val="20"/>
              </w:rPr>
              <w:t>1</w:t>
            </w:r>
          </w:p>
        </w:tc>
        <w:tc>
          <w:tcPr>
            <w:tcW w:w="900" w:type="dxa"/>
            <w:hideMark/>
          </w:tcPr>
          <w:p w:rsidR="001F20DF" w:rsidRPr="001F20DF" w:rsidP="001F20DF" w14:paraId="0557892C" w14:textId="77777777">
            <w:pPr>
              <w:jc w:val="right"/>
              <w:rPr>
                <w:rFonts w:eastAsia="Calibri"/>
                <w:sz w:val="20"/>
                <w:szCs w:val="20"/>
              </w:rPr>
            </w:pPr>
            <w:r w:rsidRPr="001F20DF">
              <w:rPr>
                <w:rFonts w:eastAsia="Calibri"/>
                <w:sz w:val="20"/>
                <w:szCs w:val="20"/>
              </w:rPr>
              <w:t>204,160</w:t>
            </w:r>
          </w:p>
        </w:tc>
      </w:tr>
      <w:tr w14:paraId="38A7C428" w14:textId="77777777" w:rsidTr="001661BD">
        <w:tblPrEx>
          <w:tblW w:w="9630" w:type="dxa"/>
          <w:tblLayout w:type="fixed"/>
          <w:tblLook w:val="04A0"/>
        </w:tblPrEx>
        <w:tc>
          <w:tcPr>
            <w:tcW w:w="2340" w:type="dxa"/>
            <w:hideMark/>
          </w:tcPr>
          <w:p w:rsidR="001F20DF" w:rsidRPr="001F20DF" w:rsidP="001F20DF" w14:paraId="54C98B91" w14:textId="77777777">
            <w:pPr>
              <w:autoSpaceDE w:val="0"/>
              <w:autoSpaceDN w:val="0"/>
              <w:adjustRightInd w:val="0"/>
              <w:rPr>
                <w:rFonts w:eastAsia="Calibri"/>
                <w:sz w:val="20"/>
                <w:szCs w:val="20"/>
              </w:rPr>
            </w:pPr>
            <w:r w:rsidRPr="001F20DF">
              <w:rPr>
                <w:rFonts w:eastAsia="Calibri"/>
                <w:sz w:val="20"/>
                <w:szCs w:val="20"/>
              </w:rPr>
              <w:t>111.325; records that quality control personnel must make and keep for laboratory operations</w:t>
            </w:r>
          </w:p>
        </w:tc>
        <w:tc>
          <w:tcPr>
            <w:tcW w:w="1440" w:type="dxa"/>
            <w:hideMark/>
          </w:tcPr>
          <w:p w:rsidR="001F20DF" w:rsidRPr="001F20DF" w:rsidP="001F20DF" w14:paraId="52FC245F" w14:textId="77777777">
            <w:pPr>
              <w:spacing w:before="84" w:after="47" w:line="276" w:lineRule="auto"/>
              <w:jc w:val="right"/>
              <w:rPr>
                <w:rFonts w:eastAsia="Calibri"/>
                <w:sz w:val="20"/>
                <w:szCs w:val="20"/>
              </w:rPr>
            </w:pPr>
            <w:r w:rsidRPr="001F20DF">
              <w:rPr>
                <w:rFonts w:eastAsia="Calibri"/>
                <w:sz w:val="20"/>
                <w:szCs w:val="20"/>
              </w:rPr>
              <w:t>120</w:t>
            </w:r>
          </w:p>
        </w:tc>
        <w:tc>
          <w:tcPr>
            <w:tcW w:w="1710" w:type="dxa"/>
            <w:hideMark/>
          </w:tcPr>
          <w:p w:rsidR="001F20DF" w:rsidRPr="001F20DF" w:rsidP="001F20DF" w14:paraId="2E0C4387" w14:textId="77777777">
            <w:pPr>
              <w:spacing w:before="84" w:after="47" w:line="276" w:lineRule="auto"/>
              <w:jc w:val="right"/>
              <w:rPr>
                <w:rFonts w:eastAsia="Calibri"/>
                <w:sz w:val="20"/>
                <w:szCs w:val="20"/>
              </w:rPr>
            </w:pPr>
            <w:r w:rsidRPr="001F20DF">
              <w:rPr>
                <w:rFonts w:eastAsia="Calibri"/>
                <w:sz w:val="20"/>
                <w:szCs w:val="20"/>
              </w:rPr>
              <w:t>1</w:t>
            </w:r>
          </w:p>
        </w:tc>
        <w:tc>
          <w:tcPr>
            <w:tcW w:w="1440" w:type="dxa"/>
            <w:hideMark/>
          </w:tcPr>
          <w:p w:rsidR="001F20DF" w:rsidRPr="001F20DF" w:rsidP="001F20DF" w14:paraId="278764EA" w14:textId="77777777">
            <w:pPr>
              <w:spacing w:before="84" w:after="47" w:line="276" w:lineRule="auto"/>
              <w:jc w:val="right"/>
              <w:rPr>
                <w:rFonts w:eastAsia="Calibri"/>
                <w:sz w:val="20"/>
                <w:szCs w:val="20"/>
              </w:rPr>
            </w:pPr>
            <w:r w:rsidRPr="001F20DF">
              <w:rPr>
                <w:rFonts w:eastAsia="Calibri"/>
                <w:sz w:val="20"/>
                <w:szCs w:val="20"/>
              </w:rPr>
              <w:t>120</w:t>
            </w:r>
          </w:p>
        </w:tc>
        <w:tc>
          <w:tcPr>
            <w:tcW w:w="1800" w:type="dxa"/>
            <w:hideMark/>
          </w:tcPr>
          <w:p w:rsidR="001F20DF" w:rsidRPr="001F20DF" w:rsidP="001F20DF" w14:paraId="10373ACE" w14:textId="77777777">
            <w:pPr>
              <w:spacing w:before="84" w:after="47" w:line="276" w:lineRule="auto"/>
              <w:jc w:val="right"/>
              <w:rPr>
                <w:rFonts w:eastAsia="Calibri"/>
                <w:sz w:val="20"/>
                <w:szCs w:val="20"/>
              </w:rPr>
            </w:pPr>
            <w:r w:rsidRPr="001F20DF">
              <w:rPr>
                <w:rFonts w:eastAsia="Calibri"/>
                <w:sz w:val="20"/>
                <w:szCs w:val="20"/>
              </w:rPr>
              <w:t>15</w:t>
            </w:r>
          </w:p>
        </w:tc>
        <w:tc>
          <w:tcPr>
            <w:tcW w:w="900" w:type="dxa"/>
            <w:hideMark/>
          </w:tcPr>
          <w:p w:rsidR="001F20DF" w:rsidRPr="001F20DF" w:rsidP="001F20DF" w14:paraId="31D7A37D" w14:textId="77777777">
            <w:pPr>
              <w:spacing w:before="84" w:after="47" w:line="276" w:lineRule="auto"/>
              <w:jc w:val="right"/>
              <w:rPr>
                <w:rFonts w:eastAsia="Calibri"/>
                <w:sz w:val="20"/>
                <w:szCs w:val="20"/>
              </w:rPr>
            </w:pPr>
            <w:r w:rsidRPr="001F20DF">
              <w:rPr>
                <w:rFonts w:eastAsia="Calibri"/>
                <w:sz w:val="20"/>
                <w:szCs w:val="20"/>
              </w:rPr>
              <w:t>1,800</w:t>
            </w:r>
          </w:p>
        </w:tc>
      </w:tr>
      <w:tr w14:paraId="6B6524D9" w14:textId="77777777" w:rsidTr="001661BD">
        <w:tblPrEx>
          <w:tblW w:w="9630" w:type="dxa"/>
          <w:tblLayout w:type="fixed"/>
          <w:tblLook w:val="04A0"/>
        </w:tblPrEx>
        <w:tc>
          <w:tcPr>
            <w:tcW w:w="2340" w:type="dxa"/>
            <w:hideMark/>
          </w:tcPr>
          <w:p w:rsidR="001F20DF" w:rsidRPr="001F20DF" w:rsidP="001F20DF" w14:paraId="171D12E4" w14:textId="77777777">
            <w:pPr>
              <w:autoSpaceDE w:val="0"/>
              <w:autoSpaceDN w:val="0"/>
              <w:adjustRightInd w:val="0"/>
              <w:rPr>
                <w:rFonts w:eastAsia="Calibri"/>
                <w:sz w:val="20"/>
                <w:szCs w:val="20"/>
              </w:rPr>
            </w:pPr>
            <w:r w:rsidRPr="001F20DF">
              <w:rPr>
                <w:rFonts w:eastAsia="Calibri"/>
                <w:sz w:val="20"/>
                <w:szCs w:val="20"/>
              </w:rPr>
              <w:t>111.375; records of the written procedures established for manufacturing operations</w:t>
            </w:r>
          </w:p>
        </w:tc>
        <w:tc>
          <w:tcPr>
            <w:tcW w:w="1440" w:type="dxa"/>
            <w:hideMark/>
          </w:tcPr>
          <w:p w:rsidR="001F20DF" w:rsidRPr="001F20DF" w:rsidP="001F20DF" w14:paraId="516A7EEE" w14:textId="77777777">
            <w:pPr>
              <w:spacing w:before="84" w:after="47" w:line="276" w:lineRule="auto"/>
              <w:jc w:val="right"/>
              <w:rPr>
                <w:rFonts w:eastAsia="Calibri"/>
                <w:sz w:val="20"/>
                <w:szCs w:val="20"/>
              </w:rPr>
            </w:pPr>
            <w:r w:rsidRPr="001F20DF">
              <w:rPr>
                <w:rFonts w:eastAsia="Calibri"/>
                <w:sz w:val="20"/>
                <w:szCs w:val="20"/>
              </w:rPr>
              <w:t>260</w:t>
            </w:r>
          </w:p>
        </w:tc>
        <w:tc>
          <w:tcPr>
            <w:tcW w:w="1710" w:type="dxa"/>
            <w:hideMark/>
          </w:tcPr>
          <w:p w:rsidR="001F20DF" w:rsidRPr="001F20DF" w:rsidP="001F20DF" w14:paraId="7D9462F3" w14:textId="77777777">
            <w:pPr>
              <w:spacing w:before="84" w:after="47" w:line="276" w:lineRule="auto"/>
              <w:jc w:val="right"/>
              <w:rPr>
                <w:rFonts w:eastAsia="Calibri"/>
                <w:sz w:val="20"/>
                <w:szCs w:val="20"/>
              </w:rPr>
            </w:pPr>
            <w:r w:rsidRPr="001F20DF">
              <w:rPr>
                <w:rFonts w:eastAsia="Calibri"/>
                <w:sz w:val="20"/>
                <w:szCs w:val="20"/>
              </w:rPr>
              <w:t>1</w:t>
            </w:r>
          </w:p>
        </w:tc>
        <w:tc>
          <w:tcPr>
            <w:tcW w:w="1440" w:type="dxa"/>
            <w:hideMark/>
          </w:tcPr>
          <w:p w:rsidR="001F20DF" w:rsidRPr="001F20DF" w:rsidP="001F20DF" w14:paraId="40A4F319" w14:textId="77777777">
            <w:pPr>
              <w:spacing w:before="84" w:after="47" w:line="276" w:lineRule="auto"/>
              <w:jc w:val="right"/>
              <w:rPr>
                <w:rFonts w:eastAsia="Calibri"/>
                <w:sz w:val="20"/>
                <w:szCs w:val="20"/>
              </w:rPr>
            </w:pPr>
            <w:r w:rsidRPr="001F20DF">
              <w:rPr>
                <w:rFonts w:eastAsia="Calibri"/>
                <w:sz w:val="20"/>
                <w:szCs w:val="20"/>
              </w:rPr>
              <w:t>260</w:t>
            </w:r>
          </w:p>
        </w:tc>
        <w:tc>
          <w:tcPr>
            <w:tcW w:w="1800" w:type="dxa"/>
            <w:hideMark/>
          </w:tcPr>
          <w:p w:rsidR="001F20DF" w:rsidRPr="001F20DF" w:rsidP="001F20DF" w14:paraId="130ED270" w14:textId="77777777">
            <w:pPr>
              <w:spacing w:before="84" w:after="47" w:line="276" w:lineRule="auto"/>
              <w:jc w:val="right"/>
              <w:rPr>
                <w:rFonts w:eastAsia="Calibri"/>
                <w:sz w:val="20"/>
                <w:szCs w:val="20"/>
              </w:rPr>
            </w:pPr>
            <w:r w:rsidRPr="001F20DF">
              <w:rPr>
                <w:rFonts w:eastAsia="Calibri"/>
                <w:sz w:val="20"/>
                <w:szCs w:val="20"/>
              </w:rPr>
              <w:t>2</w:t>
            </w:r>
          </w:p>
        </w:tc>
        <w:tc>
          <w:tcPr>
            <w:tcW w:w="900" w:type="dxa"/>
            <w:hideMark/>
          </w:tcPr>
          <w:p w:rsidR="001F20DF" w:rsidRPr="001F20DF" w:rsidP="001F20DF" w14:paraId="3AABC9AF" w14:textId="77777777">
            <w:pPr>
              <w:spacing w:before="84" w:after="47" w:line="276" w:lineRule="auto"/>
              <w:jc w:val="right"/>
              <w:rPr>
                <w:rFonts w:eastAsia="Calibri"/>
                <w:sz w:val="20"/>
                <w:szCs w:val="20"/>
              </w:rPr>
            </w:pPr>
            <w:r w:rsidRPr="001F20DF">
              <w:rPr>
                <w:rFonts w:eastAsia="Calibri"/>
                <w:sz w:val="20"/>
                <w:szCs w:val="20"/>
              </w:rPr>
              <w:t>520</w:t>
            </w:r>
          </w:p>
        </w:tc>
      </w:tr>
      <w:tr w14:paraId="36EE0569" w14:textId="77777777" w:rsidTr="001661BD">
        <w:tblPrEx>
          <w:tblW w:w="9630" w:type="dxa"/>
          <w:tblLayout w:type="fixed"/>
          <w:tblLook w:val="04A0"/>
        </w:tblPrEx>
        <w:tc>
          <w:tcPr>
            <w:tcW w:w="2340" w:type="dxa"/>
            <w:hideMark/>
          </w:tcPr>
          <w:p w:rsidR="001F20DF" w:rsidRPr="001F20DF" w:rsidP="001F20DF" w14:paraId="224396B7" w14:textId="77777777">
            <w:pPr>
              <w:autoSpaceDE w:val="0"/>
              <w:autoSpaceDN w:val="0"/>
              <w:adjustRightInd w:val="0"/>
              <w:rPr>
                <w:rFonts w:eastAsia="Calibri"/>
                <w:sz w:val="20"/>
                <w:szCs w:val="20"/>
              </w:rPr>
            </w:pPr>
            <w:r w:rsidRPr="001F20DF">
              <w:rPr>
                <w:rFonts w:eastAsia="Calibri"/>
                <w:sz w:val="20"/>
                <w:szCs w:val="20"/>
              </w:rPr>
              <w:t>111.430; records of the written procedures for packaging and labeling operations</w:t>
            </w:r>
          </w:p>
        </w:tc>
        <w:tc>
          <w:tcPr>
            <w:tcW w:w="1440" w:type="dxa"/>
            <w:hideMark/>
          </w:tcPr>
          <w:p w:rsidR="001F20DF" w:rsidRPr="001F20DF" w:rsidP="001F20DF" w14:paraId="15F9A3F4" w14:textId="77777777">
            <w:pPr>
              <w:spacing w:before="84" w:after="47" w:line="276" w:lineRule="auto"/>
              <w:jc w:val="right"/>
              <w:rPr>
                <w:rFonts w:eastAsia="Calibri"/>
                <w:sz w:val="20"/>
                <w:szCs w:val="20"/>
              </w:rPr>
            </w:pPr>
            <w:r w:rsidRPr="001F20DF">
              <w:rPr>
                <w:rFonts w:eastAsia="Calibri"/>
                <w:sz w:val="20"/>
                <w:szCs w:val="20"/>
              </w:rPr>
              <w:t>50</w:t>
            </w:r>
          </w:p>
        </w:tc>
        <w:tc>
          <w:tcPr>
            <w:tcW w:w="1710" w:type="dxa"/>
            <w:hideMark/>
          </w:tcPr>
          <w:p w:rsidR="001F20DF" w:rsidRPr="001F20DF" w:rsidP="001F20DF" w14:paraId="25138755" w14:textId="77777777">
            <w:pPr>
              <w:spacing w:before="84" w:after="47" w:line="276" w:lineRule="auto"/>
              <w:jc w:val="right"/>
              <w:rPr>
                <w:rFonts w:eastAsia="Calibri"/>
                <w:sz w:val="20"/>
                <w:szCs w:val="20"/>
              </w:rPr>
            </w:pPr>
            <w:r w:rsidRPr="001F20DF">
              <w:rPr>
                <w:rFonts w:eastAsia="Calibri"/>
                <w:sz w:val="20"/>
                <w:szCs w:val="20"/>
              </w:rPr>
              <w:t>1</w:t>
            </w:r>
          </w:p>
        </w:tc>
        <w:tc>
          <w:tcPr>
            <w:tcW w:w="1440" w:type="dxa"/>
            <w:hideMark/>
          </w:tcPr>
          <w:p w:rsidR="001F20DF" w:rsidRPr="001F20DF" w:rsidP="001F20DF" w14:paraId="793B8A7D" w14:textId="77777777">
            <w:pPr>
              <w:spacing w:before="84" w:after="47" w:line="276" w:lineRule="auto"/>
              <w:jc w:val="right"/>
              <w:rPr>
                <w:rFonts w:eastAsia="Calibri"/>
                <w:sz w:val="20"/>
                <w:szCs w:val="20"/>
              </w:rPr>
            </w:pPr>
            <w:r w:rsidRPr="001F20DF">
              <w:rPr>
                <w:rFonts w:eastAsia="Calibri"/>
                <w:sz w:val="20"/>
                <w:szCs w:val="20"/>
              </w:rPr>
              <w:t>50</w:t>
            </w:r>
          </w:p>
        </w:tc>
        <w:tc>
          <w:tcPr>
            <w:tcW w:w="1800" w:type="dxa"/>
            <w:hideMark/>
          </w:tcPr>
          <w:p w:rsidR="001F20DF" w:rsidRPr="001F20DF" w:rsidP="001F20DF" w14:paraId="7C3CC99A" w14:textId="77777777">
            <w:pPr>
              <w:spacing w:before="84" w:after="47" w:line="276" w:lineRule="auto"/>
              <w:jc w:val="right"/>
              <w:rPr>
                <w:rFonts w:eastAsia="Calibri"/>
                <w:sz w:val="20"/>
                <w:szCs w:val="20"/>
              </w:rPr>
            </w:pPr>
            <w:r w:rsidRPr="001F20DF">
              <w:rPr>
                <w:rFonts w:eastAsia="Calibri"/>
                <w:sz w:val="20"/>
                <w:szCs w:val="20"/>
              </w:rPr>
              <w:t>12.6</w:t>
            </w:r>
          </w:p>
        </w:tc>
        <w:tc>
          <w:tcPr>
            <w:tcW w:w="900" w:type="dxa"/>
            <w:hideMark/>
          </w:tcPr>
          <w:p w:rsidR="001F20DF" w:rsidRPr="001F20DF" w:rsidP="001F20DF" w14:paraId="430F243D" w14:textId="77777777">
            <w:pPr>
              <w:spacing w:before="84" w:after="47" w:line="276" w:lineRule="auto"/>
              <w:jc w:val="right"/>
              <w:rPr>
                <w:rFonts w:eastAsia="Calibri"/>
                <w:sz w:val="20"/>
                <w:szCs w:val="20"/>
              </w:rPr>
            </w:pPr>
            <w:r w:rsidRPr="001F20DF">
              <w:rPr>
                <w:rFonts w:eastAsia="Calibri"/>
                <w:sz w:val="20"/>
                <w:szCs w:val="20"/>
              </w:rPr>
              <w:t>630</w:t>
            </w:r>
          </w:p>
        </w:tc>
      </w:tr>
      <w:tr w14:paraId="1DFD4864" w14:textId="77777777" w:rsidTr="001661BD">
        <w:tblPrEx>
          <w:tblW w:w="9630" w:type="dxa"/>
          <w:tblLayout w:type="fixed"/>
          <w:tblLook w:val="04A0"/>
        </w:tblPrEx>
        <w:tc>
          <w:tcPr>
            <w:tcW w:w="2340" w:type="dxa"/>
            <w:hideMark/>
          </w:tcPr>
          <w:p w:rsidR="001F20DF" w:rsidRPr="001F20DF" w:rsidP="001F20DF" w14:paraId="64527166" w14:textId="77777777">
            <w:pPr>
              <w:autoSpaceDE w:val="0"/>
              <w:autoSpaceDN w:val="0"/>
              <w:adjustRightInd w:val="0"/>
              <w:rPr>
                <w:rFonts w:eastAsia="Calibri"/>
                <w:sz w:val="20"/>
                <w:szCs w:val="20"/>
              </w:rPr>
            </w:pPr>
            <w:r w:rsidRPr="001F20DF">
              <w:rPr>
                <w:rFonts w:eastAsia="Calibri"/>
                <w:sz w:val="20"/>
                <w:szCs w:val="20"/>
              </w:rPr>
              <w:t>111.475; records of product distribution and procedures for holding and distributing operations</w:t>
            </w:r>
          </w:p>
        </w:tc>
        <w:tc>
          <w:tcPr>
            <w:tcW w:w="1440" w:type="dxa"/>
            <w:hideMark/>
          </w:tcPr>
          <w:p w:rsidR="001F20DF" w:rsidRPr="001F20DF" w:rsidP="001F20DF" w14:paraId="49D5313E" w14:textId="77777777">
            <w:pPr>
              <w:spacing w:before="84" w:after="47" w:line="276" w:lineRule="auto"/>
              <w:jc w:val="right"/>
              <w:rPr>
                <w:rFonts w:eastAsia="Calibri"/>
                <w:sz w:val="20"/>
                <w:szCs w:val="20"/>
              </w:rPr>
            </w:pPr>
            <w:r w:rsidRPr="001F20DF">
              <w:rPr>
                <w:rFonts w:eastAsia="Calibri"/>
                <w:sz w:val="20"/>
                <w:szCs w:val="20"/>
              </w:rPr>
              <w:t>15,000</w:t>
            </w:r>
          </w:p>
        </w:tc>
        <w:tc>
          <w:tcPr>
            <w:tcW w:w="1710" w:type="dxa"/>
            <w:hideMark/>
          </w:tcPr>
          <w:p w:rsidR="001F20DF" w:rsidRPr="001F20DF" w:rsidP="001F20DF" w14:paraId="12CEF38A" w14:textId="77777777">
            <w:pPr>
              <w:spacing w:before="84" w:after="47" w:line="276" w:lineRule="auto"/>
              <w:jc w:val="right"/>
              <w:rPr>
                <w:rFonts w:eastAsia="Calibri"/>
                <w:sz w:val="20"/>
                <w:szCs w:val="20"/>
              </w:rPr>
            </w:pPr>
            <w:r w:rsidRPr="001F20DF">
              <w:rPr>
                <w:rFonts w:eastAsia="Calibri"/>
                <w:sz w:val="20"/>
                <w:szCs w:val="20"/>
              </w:rPr>
              <w:t>1</w:t>
            </w:r>
          </w:p>
        </w:tc>
        <w:tc>
          <w:tcPr>
            <w:tcW w:w="1440" w:type="dxa"/>
            <w:hideMark/>
          </w:tcPr>
          <w:p w:rsidR="001F20DF" w:rsidRPr="001F20DF" w:rsidP="001F20DF" w14:paraId="2861AAB5" w14:textId="77777777">
            <w:pPr>
              <w:spacing w:before="84" w:after="47" w:line="276" w:lineRule="auto"/>
              <w:jc w:val="right"/>
              <w:rPr>
                <w:rFonts w:eastAsia="Calibri"/>
                <w:sz w:val="20"/>
                <w:szCs w:val="20"/>
              </w:rPr>
            </w:pPr>
            <w:r w:rsidRPr="001F20DF">
              <w:rPr>
                <w:rFonts w:eastAsia="Calibri"/>
                <w:sz w:val="20"/>
                <w:szCs w:val="20"/>
              </w:rPr>
              <w:t>15,000</w:t>
            </w:r>
          </w:p>
        </w:tc>
        <w:tc>
          <w:tcPr>
            <w:tcW w:w="1800" w:type="dxa"/>
            <w:hideMark/>
          </w:tcPr>
          <w:p w:rsidR="001F20DF" w:rsidRPr="001F20DF" w:rsidP="001F20DF" w14:paraId="45DEB6B9" w14:textId="77777777">
            <w:pPr>
              <w:jc w:val="right"/>
              <w:rPr>
                <w:rFonts w:eastAsia="Calibri"/>
                <w:sz w:val="20"/>
                <w:szCs w:val="20"/>
              </w:rPr>
            </w:pPr>
            <w:r w:rsidRPr="001F20DF">
              <w:rPr>
                <w:rFonts w:eastAsia="Calibri"/>
                <w:sz w:val="20"/>
                <w:szCs w:val="20"/>
              </w:rPr>
              <w:t>0.4</w:t>
            </w:r>
          </w:p>
          <w:p w:rsidR="001F20DF" w:rsidRPr="001F20DF" w:rsidP="001F20DF" w14:paraId="0C14B04D" w14:textId="77777777">
            <w:pPr>
              <w:jc w:val="right"/>
              <w:rPr>
                <w:rFonts w:eastAsia="Calibri"/>
                <w:sz w:val="20"/>
                <w:szCs w:val="20"/>
              </w:rPr>
            </w:pPr>
            <w:r w:rsidRPr="001F20DF">
              <w:rPr>
                <w:rFonts w:eastAsia="Calibri"/>
                <w:sz w:val="20"/>
                <w:szCs w:val="20"/>
              </w:rPr>
              <w:t>(24 minutes)</w:t>
            </w:r>
          </w:p>
        </w:tc>
        <w:tc>
          <w:tcPr>
            <w:tcW w:w="900" w:type="dxa"/>
            <w:hideMark/>
          </w:tcPr>
          <w:p w:rsidR="001F20DF" w:rsidRPr="001F20DF" w:rsidP="001F20DF" w14:paraId="10BC2C54" w14:textId="77777777">
            <w:pPr>
              <w:spacing w:before="84" w:after="47" w:line="276" w:lineRule="auto"/>
              <w:jc w:val="right"/>
              <w:rPr>
                <w:rFonts w:eastAsia="Calibri"/>
                <w:sz w:val="20"/>
                <w:szCs w:val="20"/>
              </w:rPr>
            </w:pPr>
            <w:r w:rsidRPr="001F20DF">
              <w:rPr>
                <w:rFonts w:eastAsia="Calibri"/>
                <w:sz w:val="20"/>
                <w:szCs w:val="20"/>
              </w:rPr>
              <w:t>6,000</w:t>
            </w:r>
          </w:p>
        </w:tc>
      </w:tr>
      <w:tr w14:paraId="0745EAC9" w14:textId="77777777" w:rsidTr="001661BD">
        <w:tblPrEx>
          <w:tblW w:w="9630" w:type="dxa"/>
          <w:tblLayout w:type="fixed"/>
          <w:tblLook w:val="04A0"/>
        </w:tblPrEx>
        <w:tc>
          <w:tcPr>
            <w:tcW w:w="2340" w:type="dxa"/>
            <w:hideMark/>
          </w:tcPr>
          <w:p w:rsidR="001F20DF" w:rsidRPr="001F20DF" w:rsidP="001F20DF" w14:paraId="18CEEECF" w14:textId="77777777">
            <w:pPr>
              <w:autoSpaceDE w:val="0"/>
              <w:autoSpaceDN w:val="0"/>
              <w:adjustRightInd w:val="0"/>
              <w:rPr>
                <w:rFonts w:eastAsia="Calibri"/>
                <w:sz w:val="20"/>
                <w:szCs w:val="20"/>
              </w:rPr>
            </w:pPr>
            <w:r w:rsidRPr="001F20DF">
              <w:rPr>
                <w:rFonts w:eastAsia="Calibri"/>
                <w:sz w:val="20"/>
                <w:szCs w:val="20"/>
              </w:rPr>
              <w:t>111.535; records for returned dietary supplements</w:t>
            </w:r>
          </w:p>
        </w:tc>
        <w:tc>
          <w:tcPr>
            <w:tcW w:w="1440" w:type="dxa"/>
            <w:hideMark/>
          </w:tcPr>
          <w:p w:rsidR="001F20DF" w:rsidRPr="001F20DF" w:rsidP="001F20DF" w14:paraId="55AC43CE" w14:textId="77777777">
            <w:pPr>
              <w:spacing w:before="84" w:after="47" w:line="276" w:lineRule="auto"/>
              <w:jc w:val="right"/>
              <w:rPr>
                <w:rFonts w:eastAsia="Calibri"/>
                <w:sz w:val="20"/>
                <w:szCs w:val="20"/>
              </w:rPr>
            </w:pPr>
            <w:r w:rsidRPr="001F20DF">
              <w:rPr>
                <w:rFonts w:eastAsia="Calibri"/>
                <w:sz w:val="20"/>
                <w:szCs w:val="20"/>
              </w:rPr>
              <w:t>110</w:t>
            </w:r>
          </w:p>
        </w:tc>
        <w:tc>
          <w:tcPr>
            <w:tcW w:w="1710" w:type="dxa"/>
            <w:hideMark/>
          </w:tcPr>
          <w:p w:rsidR="001F20DF" w:rsidRPr="001F20DF" w:rsidP="001F20DF" w14:paraId="4CB2100D" w14:textId="77777777">
            <w:pPr>
              <w:spacing w:before="84" w:after="47" w:line="276" w:lineRule="auto"/>
              <w:jc w:val="right"/>
              <w:rPr>
                <w:rFonts w:eastAsia="Calibri"/>
                <w:sz w:val="20"/>
                <w:szCs w:val="20"/>
              </w:rPr>
            </w:pPr>
            <w:r w:rsidRPr="001F20DF">
              <w:rPr>
                <w:rFonts w:eastAsia="Calibri"/>
                <w:sz w:val="20"/>
                <w:szCs w:val="20"/>
              </w:rPr>
              <w:t>4</w:t>
            </w:r>
          </w:p>
        </w:tc>
        <w:tc>
          <w:tcPr>
            <w:tcW w:w="1440" w:type="dxa"/>
            <w:hideMark/>
          </w:tcPr>
          <w:p w:rsidR="001F20DF" w:rsidRPr="001F20DF" w:rsidP="001F20DF" w14:paraId="661E90DF" w14:textId="77777777">
            <w:pPr>
              <w:spacing w:before="84" w:after="47" w:line="276" w:lineRule="auto"/>
              <w:jc w:val="right"/>
              <w:rPr>
                <w:rFonts w:eastAsia="Calibri"/>
                <w:sz w:val="20"/>
                <w:szCs w:val="20"/>
              </w:rPr>
            </w:pPr>
            <w:r w:rsidRPr="001F20DF">
              <w:rPr>
                <w:rFonts w:eastAsia="Calibri"/>
                <w:sz w:val="20"/>
                <w:szCs w:val="20"/>
              </w:rPr>
              <w:t>440</w:t>
            </w:r>
          </w:p>
        </w:tc>
        <w:tc>
          <w:tcPr>
            <w:tcW w:w="1800" w:type="dxa"/>
            <w:hideMark/>
          </w:tcPr>
          <w:p w:rsidR="001F20DF" w:rsidRPr="001F20DF" w:rsidP="001F20DF" w14:paraId="3DA8A629" w14:textId="77777777">
            <w:pPr>
              <w:spacing w:before="84" w:after="47" w:line="276" w:lineRule="auto"/>
              <w:jc w:val="right"/>
              <w:rPr>
                <w:rFonts w:eastAsia="Calibri"/>
                <w:sz w:val="20"/>
                <w:szCs w:val="20"/>
              </w:rPr>
            </w:pPr>
            <w:r w:rsidRPr="001F20DF">
              <w:rPr>
                <w:rFonts w:eastAsia="Calibri"/>
                <w:sz w:val="20"/>
                <w:szCs w:val="20"/>
              </w:rPr>
              <w:t>13.5</w:t>
            </w:r>
          </w:p>
        </w:tc>
        <w:tc>
          <w:tcPr>
            <w:tcW w:w="900" w:type="dxa"/>
            <w:hideMark/>
          </w:tcPr>
          <w:p w:rsidR="001F20DF" w:rsidRPr="001F20DF" w:rsidP="001F20DF" w14:paraId="09FB42FF" w14:textId="77777777">
            <w:pPr>
              <w:spacing w:before="84" w:after="47" w:line="276" w:lineRule="auto"/>
              <w:jc w:val="right"/>
              <w:rPr>
                <w:rFonts w:eastAsia="Calibri"/>
                <w:sz w:val="20"/>
                <w:szCs w:val="20"/>
              </w:rPr>
            </w:pPr>
            <w:r w:rsidRPr="001F20DF">
              <w:rPr>
                <w:rFonts w:eastAsia="Calibri"/>
                <w:sz w:val="20"/>
                <w:szCs w:val="20"/>
              </w:rPr>
              <w:t>5,940</w:t>
            </w:r>
          </w:p>
        </w:tc>
      </w:tr>
      <w:tr w14:paraId="42D8A22C" w14:textId="77777777" w:rsidTr="00583EC5">
        <w:tblPrEx>
          <w:tblW w:w="9630" w:type="dxa"/>
          <w:tblLayout w:type="fixed"/>
          <w:tblLook w:val="04A0"/>
        </w:tblPrEx>
        <w:tc>
          <w:tcPr>
            <w:tcW w:w="2340" w:type="dxa"/>
            <w:tcBorders>
              <w:bottom w:val="single" w:sz="4" w:space="0" w:color="auto"/>
            </w:tcBorders>
            <w:hideMark/>
          </w:tcPr>
          <w:p w:rsidR="001F20DF" w:rsidRPr="001F20DF" w:rsidP="001F20DF" w14:paraId="204CD2B3" w14:textId="77777777">
            <w:pPr>
              <w:spacing w:before="84" w:after="47" w:line="276" w:lineRule="auto"/>
              <w:rPr>
                <w:rFonts w:eastAsia="Calibri"/>
                <w:sz w:val="20"/>
                <w:szCs w:val="20"/>
              </w:rPr>
            </w:pPr>
            <w:r w:rsidRPr="001F20DF">
              <w:rPr>
                <w:rFonts w:eastAsia="Calibri"/>
                <w:sz w:val="20"/>
                <w:szCs w:val="20"/>
              </w:rPr>
              <w:t>111.570; records regarding product complaints</w:t>
            </w:r>
          </w:p>
        </w:tc>
        <w:tc>
          <w:tcPr>
            <w:tcW w:w="1440" w:type="dxa"/>
            <w:tcBorders>
              <w:bottom w:val="single" w:sz="4" w:space="0" w:color="auto"/>
            </w:tcBorders>
            <w:hideMark/>
          </w:tcPr>
          <w:p w:rsidR="001F20DF" w:rsidRPr="001F20DF" w:rsidP="001F20DF" w14:paraId="3E3BE0EA" w14:textId="77777777">
            <w:pPr>
              <w:spacing w:before="84" w:after="47" w:line="276" w:lineRule="auto"/>
              <w:jc w:val="right"/>
              <w:rPr>
                <w:rFonts w:eastAsia="Calibri"/>
                <w:sz w:val="20"/>
                <w:szCs w:val="20"/>
              </w:rPr>
            </w:pPr>
            <w:r w:rsidRPr="001F20DF">
              <w:rPr>
                <w:rFonts w:eastAsia="Calibri"/>
                <w:sz w:val="20"/>
                <w:szCs w:val="20"/>
              </w:rPr>
              <w:t>240</w:t>
            </w:r>
          </w:p>
        </w:tc>
        <w:tc>
          <w:tcPr>
            <w:tcW w:w="1710" w:type="dxa"/>
            <w:tcBorders>
              <w:bottom w:val="single" w:sz="4" w:space="0" w:color="auto"/>
            </w:tcBorders>
            <w:hideMark/>
          </w:tcPr>
          <w:p w:rsidR="001F20DF" w:rsidRPr="001F20DF" w:rsidP="001F20DF" w14:paraId="1A303A37" w14:textId="77777777">
            <w:pPr>
              <w:spacing w:before="84" w:after="47" w:line="276" w:lineRule="auto"/>
              <w:jc w:val="right"/>
              <w:rPr>
                <w:rFonts w:eastAsia="Calibri"/>
                <w:sz w:val="20"/>
                <w:szCs w:val="20"/>
              </w:rPr>
            </w:pPr>
            <w:r w:rsidRPr="001F20DF">
              <w:rPr>
                <w:rFonts w:eastAsia="Calibri"/>
                <w:sz w:val="20"/>
                <w:szCs w:val="20"/>
              </w:rPr>
              <w:t>600</w:t>
            </w:r>
          </w:p>
        </w:tc>
        <w:tc>
          <w:tcPr>
            <w:tcW w:w="1440" w:type="dxa"/>
            <w:tcBorders>
              <w:bottom w:val="single" w:sz="4" w:space="0" w:color="auto"/>
            </w:tcBorders>
            <w:hideMark/>
          </w:tcPr>
          <w:p w:rsidR="001F20DF" w:rsidRPr="001F20DF" w:rsidP="001F20DF" w14:paraId="47361537" w14:textId="77777777">
            <w:pPr>
              <w:spacing w:before="84" w:after="47" w:line="276" w:lineRule="auto"/>
              <w:jc w:val="right"/>
              <w:rPr>
                <w:rFonts w:eastAsia="Calibri"/>
                <w:sz w:val="20"/>
                <w:szCs w:val="20"/>
              </w:rPr>
            </w:pPr>
            <w:r w:rsidRPr="001F20DF">
              <w:rPr>
                <w:rFonts w:eastAsia="Calibri"/>
                <w:sz w:val="20"/>
                <w:szCs w:val="20"/>
              </w:rPr>
              <w:t>144,000</w:t>
            </w:r>
          </w:p>
        </w:tc>
        <w:tc>
          <w:tcPr>
            <w:tcW w:w="1800" w:type="dxa"/>
            <w:tcBorders>
              <w:bottom w:val="single" w:sz="4" w:space="0" w:color="auto"/>
            </w:tcBorders>
            <w:hideMark/>
          </w:tcPr>
          <w:p w:rsidR="001F20DF" w:rsidRPr="001F20DF" w:rsidP="001F20DF" w14:paraId="00D8B288" w14:textId="77777777">
            <w:pPr>
              <w:jc w:val="right"/>
              <w:rPr>
                <w:rFonts w:eastAsia="Calibri"/>
                <w:sz w:val="20"/>
                <w:szCs w:val="20"/>
              </w:rPr>
            </w:pPr>
            <w:r w:rsidRPr="001F20DF">
              <w:rPr>
                <w:rFonts w:eastAsia="Calibri"/>
                <w:sz w:val="20"/>
                <w:szCs w:val="20"/>
              </w:rPr>
              <w:t>0.5</w:t>
            </w:r>
          </w:p>
          <w:p w:rsidR="001F20DF" w:rsidRPr="001F20DF" w:rsidP="001F20DF" w14:paraId="1445ACD4" w14:textId="77777777">
            <w:pPr>
              <w:jc w:val="right"/>
              <w:rPr>
                <w:rFonts w:eastAsia="Calibri"/>
                <w:sz w:val="20"/>
                <w:szCs w:val="20"/>
              </w:rPr>
            </w:pPr>
            <w:r w:rsidRPr="001F20DF">
              <w:rPr>
                <w:rFonts w:eastAsia="Calibri"/>
                <w:sz w:val="20"/>
                <w:szCs w:val="20"/>
              </w:rPr>
              <w:t>(30 minutes)</w:t>
            </w:r>
          </w:p>
        </w:tc>
        <w:tc>
          <w:tcPr>
            <w:tcW w:w="900" w:type="dxa"/>
            <w:tcBorders>
              <w:bottom w:val="single" w:sz="4" w:space="0" w:color="auto"/>
            </w:tcBorders>
            <w:hideMark/>
          </w:tcPr>
          <w:p w:rsidR="001F20DF" w:rsidRPr="001F20DF" w:rsidP="001F20DF" w14:paraId="5003F4F1" w14:textId="77777777">
            <w:pPr>
              <w:spacing w:before="84" w:after="47" w:line="276" w:lineRule="auto"/>
              <w:jc w:val="right"/>
              <w:rPr>
                <w:rFonts w:eastAsia="Calibri"/>
                <w:sz w:val="20"/>
                <w:szCs w:val="20"/>
              </w:rPr>
            </w:pPr>
            <w:r w:rsidRPr="001F20DF">
              <w:rPr>
                <w:rFonts w:eastAsia="Calibri"/>
                <w:sz w:val="20"/>
                <w:szCs w:val="20"/>
              </w:rPr>
              <w:t>72,000</w:t>
            </w:r>
          </w:p>
        </w:tc>
      </w:tr>
      <w:tr w14:paraId="35986F12" w14:textId="77777777" w:rsidTr="00583EC5">
        <w:tblPrEx>
          <w:tblW w:w="9630" w:type="dxa"/>
          <w:tblLayout w:type="fixed"/>
          <w:tblLook w:val="04A0"/>
        </w:tblPrEx>
        <w:tc>
          <w:tcPr>
            <w:tcW w:w="2340" w:type="dxa"/>
            <w:tcBorders>
              <w:bottom w:val="single" w:sz="12" w:space="0" w:color="auto"/>
            </w:tcBorders>
          </w:tcPr>
          <w:p w:rsidR="00583EC5" w:rsidRPr="001F20DF" w:rsidP="001F20DF" w14:paraId="05BE3BE8" w14:textId="5AD2FF1C">
            <w:pPr>
              <w:spacing w:before="84" w:after="47" w:line="276" w:lineRule="auto"/>
              <w:rPr>
                <w:rFonts w:eastAsia="Calibri"/>
                <w:sz w:val="20"/>
                <w:szCs w:val="20"/>
              </w:rPr>
            </w:pPr>
            <w:r>
              <w:rPr>
                <w:rFonts w:eastAsia="Calibri"/>
                <w:sz w:val="20"/>
                <w:szCs w:val="20"/>
              </w:rPr>
              <w:t>Total</w:t>
            </w:r>
          </w:p>
        </w:tc>
        <w:tc>
          <w:tcPr>
            <w:tcW w:w="1440" w:type="dxa"/>
            <w:tcBorders>
              <w:bottom w:val="single" w:sz="12" w:space="0" w:color="auto"/>
            </w:tcBorders>
          </w:tcPr>
          <w:p w:rsidR="00583EC5" w:rsidRPr="001F20DF" w:rsidP="001F20DF" w14:paraId="6E0CEDDF" w14:textId="77777777">
            <w:pPr>
              <w:spacing w:before="84" w:after="47" w:line="276" w:lineRule="auto"/>
              <w:jc w:val="right"/>
              <w:rPr>
                <w:rFonts w:eastAsia="Calibri"/>
                <w:sz w:val="20"/>
                <w:szCs w:val="20"/>
              </w:rPr>
            </w:pPr>
          </w:p>
        </w:tc>
        <w:tc>
          <w:tcPr>
            <w:tcW w:w="1710" w:type="dxa"/>
            <w:tcBorders>
              <w:bottom w:val="single" w:sz="12" w:space="0" w:color="auto"/>
            </w:tcBorders>
          </w:tcPr>
          <w:p w:rsidR="00583EC5" w:rsidRPr="001F20DF" w:rsidP="001F20DF" w14:paraId="010E85DE" w14:textId="77777777">
            <w:pPr>
              <w:spacing w:before="84" w:after="47" w:line="276" w:lineRule="auto"/>
              <w:jc w:val="right"/>
              <w:rPr>
                <w:rFonts w:eastAsia="Calibri"/>
                <w:sz w:val="20"/>
                <w:szCs w:val="20"/>
              </w:rPr>
            </w:pPr>
          </w:p>
        </w:tc>
        <w:tc>
          <w:tcPr>
            <w:tcW w:w="1440" w:type="dxa"/>
            <w:tcBorders>
              <w:bottom w:val="single" w:sz="12" w:space="0" w:color="auto"/>
            </w:tcBorders>
          </w:tcPr>
          <w:p w:rsidR="00583EC5" w:rsidRPr="001F20DF" w:rsidP="001F20DF" w14:paraId="253240E2" w14:textId="0809F882">
            <w:pPr>
              <w:spacing w:before="84" w:after="47" w:line="276" w:lineRule="auto"/>
              <w:jc w:val="right"/>
              <w:rPr>
                <w:rFonts w:eastAsia="Calibri"/>
                <w:sz w:val="20"/>
                <w:szCs w:val="20"/>
              </w:rPr>
            </w:pPr>
            <w:r>
              <w:rPr>
                <w:rFonts w:eastAsia="Calibri"/>
                <w:sz w:val="20"/>
                <w:szCs w:val="20"/>
              </w:rPr>
              <w:t>998,160</w:t>
            </w:r>
          </w:p>
        </w:tc>
        <w:tc>
          <w:tcPr>
            <w:tcW w:w="1800" w:type="dxa"/>
            <w:tcBorders>
              <w:bottom w:val="single" w:sz="12" w:space="0" w:color="auto"/>
            </w:tcBorders>
          </w:tcPr>
          <w:p w:rsidR="00583EC5" w:rsidRPr="001F20DF" w:rsidP="001F20DF" w14:paraId="13EFF087" w14:textId="77777777">
            <w:pPr>
              <w:jc w:val="right"/>
              <w:rPr>
                <w:rFonts w:eastAsia="Calibri"/>
                <w:sz w:val="20"/>
                <w:szCs w:val="20"/>
              </w:rPr>
            </w:pPr>
          </w:p>
        </w:tc>
        <w:tc>
          <w:tcPr>
            <w:tcW w:w="900" w:type="dxa"/>
            <w:tcBorders>
              <w:bottom w:val="single" w:sz="12" w:space="0" w:color="auto"/>
            </w:tcBorders>
          </w:tcPr>
          <w:p w:rsidR="00583EC5" w:rsidRPr="001F20DF" w:rsidP="001F20DF" w14:paraId="76EB2286" w14:textId="25DA9455">
            <w:pPr>
              <w:spacing w:before="84" w:after="47" w:line="276" w:lineRule="auto"/>
              <w:jc w:val="right"/>
              <w:rPr>
                <w:rFonts w:eastAsia="Calibri"/>
                <w:sz w:val="20"/>
                <w:szCs w:val="20"/>
              </w:rPr>
            </w:pPr>
            <w:r>
              <w:rPr>
                <w:rFonts w:eastAsia="Calibri"/>
                <w:sz w:val="20"/>
                <w:szCs w:val="20"/>
              </w:rPr>
              <w:t>929,140</w:t>
            </w:r>
          </w:p>
        </w:tc>
      </w:tr>
    </w:tbl>
    <w:p w:rsidR="007E5EF5" w:rsidRPr="007E5EF5" w:rsidP="007E5EF5" w14:paraId="17F6EC0F" w14:textId="77777777">
      <w:pPr>
        <w:widowControl w:val="0"/>
        <w:spacing w:line="272" w:lineRule="exact"/>
        <w:rPr>
          <w:sz w:val="20"/>
          <w:szCs w:val="20"/>
        </w:rPr>
      </w:pPr>
      <w:r w:rsidRPr="007E5EF5">
        <w:rPr>
          <w:sz w:val="20"/>
          <w:szCs w:val="20"/>
          <w:vertAlign w:val="superscript"/>
        </w:rPr>
        <w:t xml:space="preserve">        1</w:t>
      </w:r>
      <w:r w:rsidRPr="007E5EF5">
        <w:rPr>
          <w:sz w:val="20"/>
          <w:szCs w:val="20"/>
        </w:rPr>
        <w:t xml:space="preserve"> There are no capital costs or operating and maintenance costs associated with this collection of information.  </w:t>
      </w:r>
    </w:p>
    <w:p w:rsidR="007E5EF5" w:rsidRPr="007E5EF5" w:rsidP="007E5EF5" w14:paraId="76CAC075" w14:textId="77777777">
      <w:pPr>
        <w:widowControl w:val="0"/>
        <w:spacing w:line="272" w:lineRule="exact"/>
      </w:pPr>
    </w:p>
    <w:p w:rsidR="007E5EF5" w:rsidRPr="007E5EF5" w:rsidP="007E5EF5" w14:paraId="5B462D82" w14:textId="77777777">
      <w:pPr>
        <w:widowControl w:val="0"/>
        <w:spacing w:line="272" w:lineRule="exact"/>
        <w:ind w:left="360"/>
      </w:pPr>
      <w:r w:rsidRPr="007E5EF5">
        <w:t>The burden estimates in Table 1 are based on the agency’s institutional experience and other CGMP requirements.</w:t>
      </w:r>
    </w:p>
    <w:p w:rsidR="007E5EF5" w:rsidRPr="007E5EF5" w:rsidP="007E5EF5" w14:paraId="2E4CA85F" w14:textId="77777777">
      <w:pPr>
        <w:widowControl w:val="0"/>
        <w:spacing w:line="272" w:lineRule="exact"/>
        <w:ind w:left="360"/>
      </w:pPr>
    </w:p>
    <w:p w:rsidR="007E5EF5" w:rsidRPr="007E5EF5" w:rsidP="007E5EF5" w14:paraId="4DE41DAD" w14:textId="33097559">
      <w:pPr>
        <w:widowControl w:val="0"/>
        <w:spacing w:line="272" w:lineRule="exact"/>
        <w:ind w:left="360"/>
      </w:pPr>
      <w:r w:rsidRPr="007E5EF5">
        <w:t xml:space="preserve">The length of time that CGMP records must be maintained is set forth in § 111.605.  Table 1 reflects the estimated burdens for written procedures, record maintenance, periodically reviewing records to determine if they may be discarded, and for any associated documentation for that activity for records that are required under </w:t>
      </w:r>
      <w:r w:rsidRPr="007E5EF5">
        <w:t>part</w:t>
      </w:r>
      <w:r w:rsidRPr="007E5EF5">
        <w:t xml:space="preserve"> 111.  We have not included a separate estimate of burden for those sections that require maintaining records in </w:t>
      </w:r>
      <w:r w:rsidRPr="007E5EF5">
        <w:t>accordance with § 111.605 but have included those burdens under specific provisions for keeping records.  For example, § 111.255(a) requires that the batch production records be prepared every time a batch is manufactured, and § 111.255(d) requires that batch production records be kept in accordance with §</w:t>
      </w:r>
      <w:r w:rsidR="002C7E33">
        <w:t xml:space="preserve"> </w:t>
      </w:r>
      <w:r w:rsidRPr="007E5EF5">
        <w:t>111.605.  The estimated burdens for both § 111.255(a) and (d) are included under § 111.260 (</w:t>
      </w:r>
      <w:r w:rsidR="00E9114F">
        <w:t>i</w:t>
      </w:r>
      <w:r w:rsidRPr="007E5EF5">
        <w:t>.</w:t>
      </w:r>
      <w:r w:rsidR="00E9114F">
        <w:t>e</w:t>
      </w:r>
      <w:r w:rsidRPr="007E5EF5">
        <w:t>., what the batch record must include).</w:t>
      </w:r>
    </w:p>
    <w:p w:rsidR="007E5EF5" w:rsidRPr="007E5EF5" w:rsidP="007E5EF5" w14:paraId="43535588" w14:textId="77777777">
      <w:pPr>
        <w:widowControl w:val="0"/>
        <w:spacing w:line="272" w:lineRule="exact"/>
        <w:ind w:left="360"/>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3"/>
        <w:gridCol w:w="1863"/>
        <w:gridCol w:w="1918"/>
        <w:gridCol w:w="1371"/>
        <w:gridCol w:w="1644"/>
        <w:gridCol w:w="995"/>
      </w:tblGrid>
      <w:tr w14:paraId="31D75189" w14:textId="77777777" w:rsidTr="00744403">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69"/>
          <w:tblHeader/>
        </w:trPr>
        <w:tc>
          <w:tcPr>
            <w:tcW w:w="5000" w:type="pct"/>
            <w:gridSpan w:val="6"/>
            <w:shd w:val="clear" w:color="auto" w:fill="auto"/>
          </w:tcPr>
          <w:p w:rsidR="007E5EF5" w:rsidRPr="007E5EF5" w:rsidP="007E5EF5" w14:paraId="6F051A85" w14:textId="0CE7B200">
            <w:pPr>
              <w:jc w:val="center"/>
              <w:rPr>
                <w:sz w:val="20"/>
                <w:szCs w:val="20"/>
              </w:rPr>
            </w:pPr>
            <w:bookmarkStart w:id="4" w:name="_Hlk104879026"/>
            <w:r w:rsidRPr="007E5EF5">
              <w:rPr>
                <w:sz w:val="20"/>
                <w:szCs w:val="20"/>
              </w:rPr>
              <w:t xml:space="preserve">Table </w:t>
            </w:r>
            <w:r w:rsidRPr="007E5EF5">
              <w:rPr>
                <w:sz w:val="20"/>
                <w:szCs w:val="20"/>
              </w:rPr>
              <w:t>2.--</w:t>
            </w:r>
            <w:r w:rsidRPr="007E5EF5">
              <w:rPr>
                <w:sz w:val="20"/>
                <w:szCs w:val="20"/>
              </w:rPr>
              <w:t>Estimated Annual Reporting Burden</w:t>
            </w:r>
            <w:r w:rsidRPr="007E5EF5">
              <w:rPr>
                <w:sz w:val="20"/>
                <w:szCs w:val="20"/>
                <w:vertAlign w:val="superscript"/>
              </w:rPr>
              <w:t>1</w:t>
            </w:r>
          </w:p>
        </w:tc>
      </w:tr>
      <w:bookmarkEnd w:id="4"/>
      <w:tr w14:paraId="51061B0E" w14:textId="77777777" w:rsidTr="00744403">
        <w:tblPrEx>
          <w:tblW w:w="5000" w:type="pct"/>
          <w:tblInd w:w="-5" w:type="dxa"/>
          <w:tblLook w:val="01E0"/>
        </w:tblPrEx>
        <w:trPr>
          <w:cantSplit/>
          <w:trHeight w:val="20"/>
          <w:tblHeader/>
        </w:trPr>
        <w:tc>
          <w:tcPr>
            <w:tcW w:w="897" w:type="pct"/>
            <w:shd w:val="clear" w:color="auto" w:fill="auto"/>
          </w:tcPr>
          <w:p w:rsidR="007E5EF5" w:rsidRPr="007E5EF5" w:rsidP="007E5EF5" w14:paraId="2C5FB9EE" w14:textId="77777777">
            <w:pPr>
              <w:jc w:val="center"/>
              <w:rPr>
                <w:sz w:val="20"/>
                <w:szCs w:val="20"/>
              </w:rPr>
            </w:pPr>
            <w:r w:rsidRPr="007E5EF5">
              <w:rPr>
                <w:sz w:val="20"/>
                <w:szCs w:val="20"/>
              </w:rPr>
              <w:t>21 CFR Section; Activity</w:t>
            </w:r>
          </w:p>
        </w:tc>
        <w:tc>
          <w:tcPr>
            <w:tcW w:w="981" w:type="pct"/>
            <w:shd w:val="clear" w:color="auto" w:fill="auto"/>
          </w:tcPr>
          <w:p w:rsidR="007E5EF5" w:rsidRPr="007E5EF5" w:rsidP="007E5EF5" w14:paraId="6F6CAC09" w14:textId="77777777">
            <w:pPr>
              <w:jc w:val="center"/>
              <w:rPr>
                <w:sz w:val="20"/>
                <w:szCs w:val="20"/>
              </w:rPr>
            </w:pPr>
            <w:r w:rsidRPr="007E5EF5">
              <w:rPr>
                <w:sz w:val="20"/>
                <w:szCs w:val="20"/>
              </w:rPr>
              <w:t>No. of Respondents</w:t>
            </w:r>
          </w:p>
        </w:tc>
        <w:tc>
          <w:tcPr>
            <w:tcW w:w="1010" w:type="pct"/>
            <w:shd w:val="clear" w:color="auto" w:fill="auto"/>
          </w:tcPr>
          <w:p w:rsidR="007E5EF5" w:rsidRPr="007E5EF5" w:rsidP="007E5EF5" w14:paraId="3710C789" w14:textId="77777777">
            <w:pPr>
              <w:jc w:val="center"/>
              <w:rPr>
                <w:sz w:val="20"/>
                <w:szCs w:val="20"/>
              </w:rPr>
            </w:pPr>
            <w:r w:rsidRPr="007E5EF5">
              <w:rPr>
                <w:bCs/>
                <w:sz w:val="20"/>
                <w:szCs w:val="20"/>
              </w:rPr>
              <w:t>No. of Responses per Respondent</w:t>
            </w:r>
          </w:p>
        </w:tc>
        <w:tc>
          <w:tcPr>
            <w:tcW w:w="722" w:type="pct"/>
            <w:shd w:val="clear" w:color="auto" w:fill="auto"/>
          </w:tcPr>
          <w:p w:rsidR="007E5EF5" w:rsidRPr="007E5EF5" w:rsidP="007E5EF5" w14:paraId="19C3ACC3" w14:textId="77777777">
            <w:pPr>
              <w:jc w:val="center"/>
              <w:rPr>
                <w:sz w:val="20"/>
                <w:szCs w:val="20"/>
              </w:rPr>
            </w:pPr>
            <w:r w:rsidRPr="007E5EF5">
              <w:rPr>
                <w:sz w:val="20"/>
                <w:szCs w:val="20"/>
              </w:rPr>
              <w:t>Total Annual Responses</w:t>
            </w:r>
          </w:p>
        </w:tc>
        <w:tc>
          <w:tcPr>
            <w:tcW w:w="866" w:type="pct"/>
            <w:shd w:val="clear" w:color="auto" w:fill="auto"/>
          </w:tcPr>
          <w:p w:rsidR="007E5EF5" w:rsidRPr="007E5EF5" w:rsidP="007E5EF5" w14:paraId="02C76E17" w14:textId="77777777">
            <w:pPr>
              <w:jc w:val="center"/>
              <w:rPr>
                <w:sz w:val="20"/>
                <w:szCs w:val="20"/>
              </w:rPr>
            </w:pPr>
            <w:r w:rsidRPr="007E5EF5">
              <w:rPr>
                <w:bCs/>
                <w:sz w:val="20"/>
                <w:szCs w:val="20"/>
              </w:rPr>
              <w:t>Average Burden per Response</w:t>
            </w:r>
          </w:p>
        </w:tc>
        <w:tc>
          <w:tcPr>
            <w:tcW w:w="524" w:type="pct"/>
            <w:shd w:val="clear" w:color="auto" w:fill="auto"/>
          </w:tcPr>
          <w:p w:rsidR="007E5EF5" w:rsidRPr="007E5EF5" w:rsidP="007E5EF5" w14:paraId="37D71324" w14:textId="77777777">
            <w:pPr>
              <w:jc w:val="center"/>
              <w:rPr>
                <w:sz w:val="20"/>
                <w:szCs w:val="20"/>
              </w:rPr>
            </w:pPr>
            <w:r w:rsidRPr="007E5EF5">
              <w:rPr>
                <w:sz w:val="20"/>
                <w:szCs w:val="20"/>
              </w:rPr>
              <w:t>Total Hours</w:t>
            </w:r>
          </w:p>
        </w:tc>
      </w:tr>
      <w:tr w14:paraId="1D9373D3" w14:textId="77777777" w:rsidTr="00744403">
        <w:tblPrEx>
          <w:tblW w:w="5000" w:type="pct"/>
          <w:tblInd w:w="-5" w:type="dxa"/>
          <w:tblLook w:val="01E0"/>
        </w:tblPrEx>
        <w:trPr>
          <w:cantSplit/>
          <w:trHeight w:val="20"/>
        </w:trPr>
        <w:tc>
          <w:tcPr>
            <w:tcW w:w="897" w:type="pct"/>
            <w:shd w:val="clear" w:color="auto" w:fill="auto"/>
          </w:tcPr>
          <w:p w:rsidR="007E5EF5" w:rsidRPr="007E5EF5" w:rsidP="007E5EF5" w14:paraId="7248C3CC" w14:textId="77777777">
            <w:pPr>
              <w:rPr>
                <w:sz w:val="20"/>
                <w:szCs w:val="20"/>
              </w:rPr>
            </w:pPr>
            <w:r w:rsidRPr="007E5EF5">
              <w:rPr>
                <w:sz w:val="20"/>
                <w:szCs w:val="20"/>
              </w:rPr>
              <w:t>111.75</w:t>
            </w:r>
            <w:bookmarkStart w:id="5" w:name="_Hlk120875806"/>
            <w:r w:rsidRPr="007E5EF5">
              <w:rPr>
                <w:sz w:val="20"/>
                <w:szCs w:val="20"/>
              </w:rPr>
              <w:t>; petition for exemption from 100 percent identity testing</w:t>
            </w:r>
            <w:bookmarkEnd w:id="5"/>
          </w:p>
        </w:tc>
        <w:tc>
          <w:tcPr>
            <w:tcW w:w="981" w:type="pct"/>
            <w:shd w:val="clear" w:color="auto" w:fill="auto"/>
          </w:tcPr>
          <w:p w:rsidR="007E5EF5" w:rsidRPr="007E5EF5" w:rsidP="007E5EF5" w14:paraId="6C8C4F89" w14:textId="77777777">
            <w:pPr>
              <w:jc w:val="center"/>
              <w:rPr>
                <w:sz w:val="20"/>
                <w:szCs w:val="20"/>
              </w:rPr>
            </w:pPr>
            <w:r w:rsidRPr="007E5EF5">
              <w:rPr>
                <w:sz w:val="20"/>
                <w:szCs w:val="20"/>
              </w:rPr>
              <w:t>1</w:t>
            </w:r>
          </w:p>
        </w:tc>
        <w:tc>
          <w:tcPr>
            <w:tcW w:w="1010" w:type="pct"/>
            <w:shd w:val="clear" w:color="auto" w:fill="auto"/>
          </w:tcPr>
          <w:p w:rsidR="007E5EF5" w:rsidRPr="007E5EF5" w:rsidP="007E5EF5" w14:paraId="5DD4204C" w14:textId="77777777">
            <w:pPr>
              <w:jc w:val="center"/>
              <w:rPr>
                <w:sz w:val="20"/>
                <w:szCs w:val="20"/>
              </w:rPr>
            </w:pPr>
            <w:r w:rsidRPr="007E5EF5">
              <w:rPr>
                <w:sz w:val="20"/>
                <w:szCs w:val="20"/>
              </w:rPr>
              <w:t>1</w:t>
            </w:r>
          </w:p>
        </w:tc>
        <w:tc>
          <w:tcPr>
            <w:tcW w:w="722" w:type="pct"/>
            <w:shd w:val="clear" w:color="auto" w:fill="auto"/>
          </w:tcPr>
          <w:p w:rsidR="007E5EF5" w:rsidRPr="007E5EF5" w:rsidP="007E5EF5" w14:paraId="2DE7E23F" w14:textId="77777777">
            <w:pPr>
              <w:jc w:val="center"/>
              <w:rPr>
                <w:sz w:val="20"/>
                <w:szCs w:val="20"/>
              </w:rPr>
            </w:pPr>
            <w:r w:rsidRPr="007E5EF5">
              <w:rPr>
                <w:sz w:val="20"/>
                <w:szCs w:val="20"/>
              </w:rPr>
              <w:t>1</w:t>
            </w:r>
          </w:p>
        </w:tc>
        <w:tc>
          <w:tcPr>
            <w:tcW w:w="866" w:type="pct"/>
            <w:shd w:val="clear" w:color="auto" w:fill="auto"/>
          </w:tcPr>
          <w:p w:rsidR="007E5EF5" w:rsidRPr="007E5EF5" w:rsidP="007E5EF5" w14:paraId="33DF4E2C" w14:textId="77777777">
            <w:pPr>
              <w:jc w:val="center"/>
              <w:rPr>
                <w:sz w:val="20"/>
                <w:szCs w:val="20"/>
              </w:rPr>
            </w:pPr>
            <w:r w:rsidRPr="007E5EF5">
              <w:rPr>
                <w:sz w:val="20"/>
                <w:szCs w:val="20"/>
              </w:rPr>
              <w:t>8</w:t>
            </w:r>
          </w:p>
        </w:tc>
        <w:tc>
          <w:tcPr>
            <w:tcW w:w="524" w:type="pct"/>
            <w:shd w:val="clear" w:color="auto" w:fill="auto"/>
          </w:tcPr>
          <w:p w:rsidR="007E5EF5" w:rsidRPr="007E5EF5" w:rsidP="007E5EF5" w14:paraId="18C6CC2C" w14:textId="77777777">
            <w:pPr>
              <w:jc w:val="center"/>
              <w:rPr>
                <w:sz w:val="20"/>
                <w:szCs w:val="20"/>
              </w:rPr>
            </w:pPr>
            <w:r w:rsidRPr="007E5EF5">
              <w:rPr>
                <w:sz w:val="20"/>
                <w:szCs w:val="20"/>
              </w:rPr>
              <w:t>8</w:t>
            </w:r>
          </w:p>
        </w:tc>
      </w:tr>
    </w:tbl>
    <w:p w:rsidR="007E5EF5" w:rsidRPr="007E5EF5" w:rsidP="007E5EF5" w14:paraId="3CCF3633" w14:textId="77777777">
      <w:pPr>
        <w:widowControl w:val="0"/>
        <w:spacing w:line="272" w:lineRule="exact"/>
        <w:rPr>
          <w:sz w:val="20"/>
          <w:szCs w:val="20"/>
        </w:rPr>
      </w:pPr>
      <w:r w:rsidRPr="007E5EF5">
        <w:rPr>
          <w:sz w:val="20"/>
          <w:szCs w:val="20"/>
          <w:vertAlign w:val="superscript"/>
        </w:rPr>
        <w:t xml:space="preserve">        1</w:t>
      </w:r>
      <w:r w:rsidRPr="007E5EF5">
        <w:rPr>
          <w:sz w:val="20"/>
          <w:szCs w:val="20"/>
        </w:rPr>
        <w:t xml:space="preserve"> There are no capital costs or operating and maintenance costs associated with this collection of information.</w:t>
      </w:r>
    </w:p>
    <w:p w:rsidR="007E5EF5" w:rsidRPr="007E5EF5" w:rsidP="007E5EF5" w14:paraId="745F267B" w14:textId="77777777">
      <w:pPr>
        <w:widowControl w:val="0"/>
        <w:spacing w:line="272" w:lineRule="exact"/>
        <w:rPr>
          <w:sz w:val="20"/>
          <w:szCs w:val="20"/>
        </w:rPr>
      </w:pPr>
      <w:r w:rsidRPr="007E5EF5">
        <w:rPr>
          <w:sz w:val="20"/>
          <w:szCs w:val="20"/>
        </w:rPr>
        <w:t xml:space="preserve">  </w:t>
      </w:r>
    </w:p>
    <w:p w:rsidR="00357C8A" w:rsidRPr="007F0166" w:rsidP="00DC371B" w14:paraId="0154225E" w14:textId="1427573F">
      <w:pPr>
        <w:spacing w:after="200"/>
        <w:ind w:left="360"/>
        <w:rPr>
          <w:rFonts w:eastAsia="Calibri"/>
          <w:i/>
          <w:iCs/>
        </w:rPr>
      </w:pPr>
      <w:r w:rsidRPr="007F0166">
        <w:rPr>
          <w:rFonts w:eastAsia="Calibri"/>
          <w:i/>
          <w:iCs/>
        </w:rPr>
        <w:t>12b. Annualized Cost Burden Estimate</w:t>
      </w:r>
    </w:p>
    <w:p w:rsidR="007E5EF5" w:rsidRPr="007E5EF5" w:rsidP="007E5EF5" w14:paraId="13B70FFF" w14:textId="3D23FA6B">
      <w:pPr>
        <w:ind w:left="360"/>
        <w:rPr>
          <w:rFonts w:eastAsia="Calibri"/>
        </w:rPr>
      </w:pPr>
      <w:r w:rsidRPr="007E5EF5">
        <w:rPr>
          <w:rFonts w:eastAsia="Calibri"/>
        </w:rPr>
        <w:t xml:space="preserve">We </w:t>
      </w:r>
      <w:bookmarkStart w:id="6" w:name="_Hlk131076771"/>
      <w:r w:rsidRPr="007E5EF5">
        <w:rPr>
          <w:rFonts w:eastAsia="Calibri"/>
        </w:rPr>
        <w:t>estimate that the average hourly wage for respondents’ workers involved in</w:t>
      </w:r>
      <w:bookmarkEnd w:id="6"/>
      <w:r w:rsidRPr="007E5EF5">
        <w:rPr>
          <w:rFonts w:eastAsia="Calibri"/>
        </w:rPr>
        <w:t xml:space="preserve"> recordkeeping is </w:t>
      </w:r>
      <w:bookmarkStart w:id="7" w:name="_Hlk131076840"/>
      <w:r w:rsidRPr="007E5EF5">
        <w:rPr>
          <w:rFonts w:eastAsia="Calibri"/>
        </w:rPr>
        <w:t>equivalent to a GS-5/Step 1 level in the locality pay area of Washington-Baltimore in 202</w:t>
      </w:r>
      <w:r w:rsidR="004C2229">
        <w:rPr>
          <w:rFonts w:eastAsia="Calibri"/>
        </w:rPr>
        <w:t>6</w:t>
      </w:r>
      <w:bookmarkEnd w:id="7"/>
      <w:r w:rsidRPr="007E5EF5">
        <w:rPr>
          <w:rFonts w:eastAsia="Calibri"/>
        </w:rPr>
        <w:t>, approximately $</w:t>
      </w:r>
      <w:r w:rsidR="00A81F38">
        <w:rPr>
          <w:rFonts w:eastAsia="Calibri"/>
        </w:rPr>
        <w:t>22.</w:t>
      </w:r>
      <w:r w:rsidR="004C2229">
        <w:rPr>
          <w:rFonts w:eastAsia="Calibri"/>
        </w:rPr>
        <w:t>33</w:t>
      </w:r>
      <w:r w:rsidRPr="007E5EF5">
        <w:rPr>
          <w:rFonts w:eastAsia="Calibri"/>
        </w:rPr>
        <w:t xml:space="preserve">/hour.  </w:t>
      </w:r>
      <w:bookmarkStart w:id="8" w:name="_Hlk131080108"/>
      <w:r w:rsidRPr="007E5EF5">
        <w:rPr>
          <w:rFonts w:eastAsia="Calibri"/>
        </w:rPr>
        <w:t>Doubling this wage to account for overhead costs, we estimate the average hourly cost to respondents to be $</w:t>
      </w:r>
      <w:r w:rsidR="00A81F38">
        <w:rPr>
          <w:rFonts w:eastAsia="Calibri"/>
        </w:rPr>
        <w:t>44.</w:t>
      </w:r>
      <w:r w:rsidR="005F019F">
        <w:rPr>
          <w:rFonts w:eastAsia="Calibri"/>
        </w:rPr>
        <w:t>66</w:t>
      </w:r>
      <w:r w:rsidRPr="007E5EF5">
        <w:rPr>
          <w:rFonts w:eastAsia="Calibri"/>
        </w:rPr>
        <w:t>/hour</w:t>
      </w:r>
      <w:bookmarkEnd w:id="8"/>
      <w:r w:rsidRPr="007E5EF5">
        <w:rPr>
          <w:rFonts w:eastAsia="Calibri"/>
        </w:rPr>
        <w:t xml:space="preserve">.  Thus, respondents’ estimated cost for recordkeeping is </w:t>
      </w:r>
      <w:bookmarkStart w:id="9" w:name="_Hlk131081216"/>
      <w:r w:rsidRPr="007E5EF5">
        <w:rPr>
          <w:rFonts w:eastAsia="Calibri"/>
        </w:rPr>
        <w:t>$</w:t>
      </w:r>
      <w:r w:rsidR="00A81F38">
        <w:rPr>
          <w:rFonts w:eastAsia="Calibri"/>
        </w:rPr>
        <w:t>41,</w:t>
      </w:r>
      <w:bookmarkEnd w:id="9"/>
      <w:r w:rsidR="00F40859">
        <w:rPr>
          <w:rFonts w:eastAsia="Calibri"/>
        </w:rPr>
        <w:t>495,</w:t>
      </w:r>
      <w:r w:rsidR="00DE2318">
        <w:rPr>
          <w:rFonts w:eastAsia="Calibri"/>
        </w:rPr>
        <w:t>392.40</w:t>
      </w:r>
      <w:r w:rsidRPr="007E5EF5">
        <w:rPr>
          <w:rFonts w:eastAsia="Calibri"/>
        </w:rPr>
        <w:t xml:space="preserve"> (929,140 burden hours </w:t>
      </w:r>
      <w:r w:rsidR="001559A3">
        <w:rPr>
          <w:rFonts w:eastAsia="Calibri"/>
        </w:rPr>
        <w:t>×</w:t>
      </w:r>
      <w:r w:rsidRPr="007E5EF5">
        <w:rPr>
          <w:rFonts w:eastAsia="Calibri"/>
        </w:rPr>
        <w:t xml:space="preserve"> $</w:t>
      </w:r>
      <w:r w:rsidR="00A81F38">
        <w:rPr>
          <w:rFonts w:eastAsia="Calibri"/>
        </w:rPr>
        <w:t>44.</w:t>
      </w:r>
      <w:r w:rsidR="005F019F">
        <w:rPr>
          <w:rFonts w:eastAsia="Calibri"/>
        </w:rPr>
        <w:t>66</w:t>
      </w:r>
      <w:r w:rsidRPr="007E5EF5">
        <w:rPr>
          <w:rFonts w:eastAsia="Calibri"/>
        </w:rPr>
        <w:t xml:space="preserve">/hour).  </w:t>
      </w:r>
    </w:p>
    <w:p w:rsidR="007E5EF5" w:rsidRPr="007E5EF5" w:rsidP="007E5EF5" w14:paraId="70ED64AE" w14:textId="77777777">
      <w:pPr>
        <w:ind w:left="360"/>
        <w:rPr>
          <w:rFonts w:eastAsia="Calibri"/>
        </w:rPr>
      </w:pPr>
    </w:p>
    <w:p w:rsidR="007E5EF5" w:rsidRPr="007E5EF5" w:rsidP="007E5EF5" w14:paraId="5E3C51A5" w14:textId="2CE6508F">
      <w:pPr>
        <w:ind w:left="360"/>
        <w:rPr>
          <w:rFonts w:eastAsia="Calibri"/>
        </w:rPr>
      </w:pPr>
      <w:r w:rsidRPr="007E5EF5">
        <w:rPr>
          <w:rFonts w:eastAsia="Calibri"/>
        </w:rPr>
        <w:t xml:space="preserve">However, we expect that a professional employee will submit a petition to request an exemption from 100 percent identity testing of dietary ingredients to the agency.  We estimate that the average hourly wage for this type of employee to be equivalent to a GS-14/Step 3 level in the </w:t>
      </w:r>
      <w:r w:rsidRPr="007E5EF5">
        <w:rPr>
          <w:rFonts w:eastAsia="Calibri"/>
        </w:rPr>
        <w:t>locality</w:t>
      </w:r>
      <w:r w:rsidRPr="007E5EF5">
        <w:rPr>
          <w:rFonts w:eastAsia="Calibri"/>
        </w:rPr>
        <w:t xml:space="preserve"> pay area of Washington-Baltimore in </w:t>
      </w:r>
      <w:r w:rsidR="00A81F38">
        <w:rPr>
          <w:rFonts w:eastAsia="Calibri"/>
        </w:rPr>
        <w:t>202</w:t>
      </w:r>
      <w:r w:rsidR="004166D9">
        <w:rPr>
          <w:rFonts w:eastAsia="Calibri"/>
        </w:rPr>
        <w:t>6</w:t>
      </w:r>
      <w:r w:rsidRPr="007E5EF5">
        <w:rPr>
          <w:rFonts w:eastAsia="Calibri"/>
        </w:rPr>
        <w:t>,</w:t>
      </w:r>
      <w:r w:rsidRPr="007E5EF5">
        <w:t xml:space="preserve"> </w:t>
      </w:r>
      <w:r w:rsidRPr="007E5EF5">
        <w:rPr>
          <w:rFonts w:eastAsia="Calibri"/>
        </w:rPr>
        <w:t>approximately $</w:t>
      </w:r>
      <w:r w:rsidR="00A81F38">
        <w:rPr>
          <w:rFonts w:eastAsia="Calibri"/>
        </w:rPr>
        <w:t>7</w:t>
      </w:r>
      <w:r w:rsidR="00D61D78">
        <w:rPr>
          <w:rFonts w:eastAsia="Calibri"/>
        </w:rPr>
        <w:t>3</w:t>
      </w:r>
      <w:r w:rsidR="00A81F38">
        <w:rPr>
          <w:rFonts w:eastAsia="Calibri"/>
        </w:rPr>
        <w:t>.</w:t>
      </w:r>
      <w:r w:rsidR="00D61D78">
        <w:rPr>
          <w:rFonts w:eastAsia="Calibri"/>
        </w:rPr>
        <w:t>55</w:t>
      </w:r>
      <w:r w:rsidRPr="007E5EF5">
        <w:rPr>
          <w:rFonts w:eastAsia="Calibri"/>
        </w:rPr>
        <w:t>/hour.  Doubling this wage to account for overhead costs, we estimate the average hourly cost to respondents to be $</w:t>
      </w:r>
      <w:r w:rsidR="00A81F38">
        <w:rPr>
          <w:rFonts w:eastAsia="Calibri"/>
        </w:rPr>
        <w:t>14</w:t>
      </w:r>
      <w:r w:rsidR="0054666A">
        <w:rPr>
          <w:rFonts w:eastAsia="Calibri"/>
        </w:rPr>
        <w:t>7</w:t>
      </w:r>
      <w:r w:rsidR="00A81F38">
        <w:rPr>
          <w:rFonts w:eastAsia="Calibri"/>
        </w:rPr>
        <w:t>.</w:t>
      </w:r>
      <w:r w:rsidR="0054666A">
        <w:rPr>
          <w:rFonts w:eastAsia="Calibri"/>
        </w:rPr>
        <w:t>10</w:t>
      </w:r>
      <w:r w:rsidRPr="007E5EF5">
        <w:rPr>
          <w:rFonts w:eastAsia="Calibri"/>
        </w:rPr>
        <w:t>/hour.</w:t>
      </w:r>
      <w:r w:rsidRPr="007E5EF5">
        <w:t xml:space="preserve">  </w:t>
      </w:r>
      <w:r w:rsidRPr="007E5EF5">
        <w:rPr>
          <w:rFonts w:eastAsia="Calibri"/>
        </w:rPr>
        <w:t xml:space="preserve">Thus, respondents’ estimated cost for reporting is </w:t>
      </w:r>
      <w:bookmarkStart w:id="10" w:name="_Hlk131081233"/>
      <w:r w:rsidRPr="007E5EF5">
        <w:rPr>
          <w:rFonts w:eastAsia="Calibri"/>
        </w:rPr>
        <w:t>$</w:t>
      </w:r>
      <w:r w:rsidR="00A81F38">
        <w:rPr>
          <w:rFonts w:eastAsia="Calibri"/>
        </w:rPr>
        <w:t>1,1</w:t>
      </w:r>
      <w:r w:rsidR="00081F52">
        <w:rPr>
          <w:rFonts w:eastAsia="Calibri"/>
        </w:rPr>
        <w:t>7</w:t>
      </w:r>
      <w:r w:rsidR="00A81F38">
        <w:rPr>
          <w:rFonts w:eastAsia="Calibri"/>
        </w:rPr>
        <w:t>6.8</w:t>
      </w:r>
      <w:bookmarkEnd w:id="10"/>
      <w:r w:rsidR="00081F52">
        <w:rPr>
          <w:rFonts w:eastAsia="Calibri"/>
        </w:rPr>
        <w:t>0</w:t>
      </w:r>
      <w:r w:rsidRPr="007E5EF5">
        <w:rPr>
          <w:rFonts w:eastAsia="Calibri"/>
        </w:rPr>
        <w:t xml:space="preserve"> (8 burden hours </w:t>
      </w:r>
      <w:r w:rsidRPr="00235BAD" w:rsidR="00235BAD">
        <w:rPr>
          <w:rFonts w:eastAsia="Calibri"/>
        </w:rPr>
        <w:t>×</w:t>
      </w:r>
      <w:r w:rsidRPr="007E5EF5">
        <w:rPr>
          <w:rFonts w:eastAsia="Calibri"/>
        </w:rPr>
        <w:t xml:space="preserve"> $</w:t>
      </w:r>
      <w:r w:rsidR="00A81F38">
        <w:rPr>
          <w:rFonts w:eastAsia="Calibri"/>
        </w:rPr>
        <w:t>14</w:t>
      </w:r>
      <w:r w:rsidR="002B42C9">
        <w:rPr>
          <w:rFonts w:eastAsia="Calibri"/>
        </w:rPr>
        <w:t>7</w:t>
      </w:r>
      <w:r w:rsidR="00A81F38">
        <w:rPr>
          <w:rFonts w:eastAsia="Calibri"/>
        </w:rPr>
        <w:t>.</w:t>
      </w:r>
      <w:r w:rsidR="002B42C9">
        <w:rPr>
          <w:rFonts w:eastAsia="Calibri"/>
        </w:rPr>
        <w:t>10</w:t>
      </w:r>
      <w:r w:rsidRPr="007E5EF5">
        <w:rPr>
          <w:rFonts w:eastAsia="Calibri"/>
        </w:rPr>
        <w:t>/hour).</w:t>
      </w:r>
    </w:p>
    <w:p w:rsidR="007E5EF5" w:rsidRPr="007E5EF5" w:rsidP="007E5EF5" w14:paraId="4B1514DC" w14:textId="77777777">
      <w:pPr>
        <w:ind w:left="360"/>
        <w:rPr>
          <w:rFonts w:eastAsia="Calibri"/>
        </w:rPr>
      </w:pPr>
    </w:p>
    <w:p w:rsidR="007E5EF5" w:rsidRPr="007E5EF5" w:rsidP="007E5EF5" w14:paraId="02CE27AC" w14:textId="1245ABA5">
      <w:pPr>
        <w:ind w:left="360"/>
        <w:rPr>
          <w:rFonts w:eastAsia="Calibri"/>
        </w:rPr>
      </w:pPr>
      <w:r w:rsidRPr="007E5EF5">
        <w:rPr>
          <w:rFonts w:eastAsia="Calibri"/>
        </w:rPr>
        <w:t xml:space="preserve">Therefore, the overall estimated cost incurred by respondents is </w:t>
      </w:r>
      <w:bookmarkStart w:id="11" w:name="_Hlk131080939"/>
      <w:r w:rsidRPr="007E5EF5">
        <w:rPr>
          <w:rFonts w:eastAsia="Calibri"/>
        </w:rPr>
        <w:t>$</w:t>
      </w:r>
      <w:r w:rsidR="00A81F38">
        <w:rPr>
          <w:rFonts w:eastAsia="Calibri"/>
        </w:rPr>
        <w:t>41,</w:t>
      </w:r>
      <w:r w:rsidR="00B517F6">
        <w:rPr>
          <w:rFonts w:eastAsia="Calibri"/>
        </w:rPr>
        <w:t>496,569.20</w:t>
      </w:r>
      <w:r w:rsidRPr="007E5EF5">
        <w:rPr>
          <w:rFonts w:eastAsia="Calibri"/>
        </w:rPr>
        <w:t xml:space="preserve"> ($</w:t>
      </w:r>
      <w:r w:rsidR="00A81F38">
        <w:rPr>
          <w:rFonts w:eastAsia="Calibri"/>
        </w:rPr>
        <w:t>41,</w:t>
      </w:r>
      <w:r w:rsidR="00B13850">
        <w:rPr>
          <w:rFonts w:eastAsia="Calibri"/>
        </w:rPr>
        <w:t>495,392.40</w:t>
      </w:r>
      <w:r w:rsidRPr="007E5EF5">
        <w:rPr>
          <w:rFonts w:eastAsia="Calibri"/>
        </w:rPr>
        <w:t xml:space="preserve"> + $</w:t>
      </w:r>
      <w:r w:rsidR="005B5A34">
        <w:rPr>
          <w:rFonts w:eastAsia="Calibri"/>
        </w:rPr>
        <w:t>1,176.80</w:t>
      </w:r>
      <w:r w:rsidRPr="007E5EF5">
        <w:rPr>
          <w:rFonts w:eastAsia="Calibri"/>
        </w:rPr>
        <w:t>)</w:t>
      </w:r>
      <w:bookmarkEnd w:id="11"/>
      <w:r w:rsidRPr="007E5EF5">
        <w:rPr>
          <w:rFonts w:eastAsia="Calibri"/>
        </w:rPr>
        <w:t>.</w:t>
      </w:r>
    </w:p>
    <w:p w:rsidR="007E5EF5" w:rsidRPr="007E5EF5" w:rsidP="007E5EF5" w14:paraId="39D4AC9A" w14:textId="77777777">
      <w:pPr>
        <w:rPr>
          <w:rFonts w:eastAsia="Calibri"/>
        </w:rPr>
      </w:pPr>
    </w:p>
    <w:p w:rsidR="007E5EF5" w:rsidRPr="007E5EF5" w:rsidP="007E5EF5" w14:paraId="2EEE75DA" w14:textId="01627C35">
      <w:pPr>
        <w:jc w:val="center"/>
        <w:rPr>
          <w:rFonts w:eastAsia="Calibri"/>
          <w:sz w:val="20"/>
          <w:szCs w:val="20"/>
        </w:rPr>
      </w:pPr>
      <w:r w:rsidRPr="007E5EF5">
        <w:rPr>
          <w:rFonts w:eastAsia="Calibri"/>
          <w:sz w:val="20"/>
          <w:szCs w:val="20"/>
        </w:rPr>
        <w:t xml:space="preserve">Table </w:t>
      </w:r>
      <w:r w:rsidRPr="007E5EF5">
        <w:rPr>
          <w:rFonts w:eastAsia="Calibri"/>
          <w:sz w:val="20"/>
          <w:szCs w:val="20"/>
        </w:rPr>
        <w:t>3.--</w:t>
      </w:r>
      <w:r w:rsidRPr="007E5EF5">
        <w:rPr>
          <w:rFonts w:eastAsia="Calibri"/>
          <w:sz w:val="20"/>
          <w:szCs w:val="20"/>
        </w:rPr>
        <w:t>Cost Burden Estimate</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3"/>
        <w:gridCol w:w="1874"/>
        <w:gridCol w:w="1927"/>
        <w:gridCol w:w="2362"/>
      </w:tblGrid>
      <w:tr w14:paraId="5093DA61" w14:textId="77777777" w:rsidTr="00341B46">
        <w:tblPrEx>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03" w:type="dxa"/>
            <w:shd w:val="clear" w:color="auto" w:fill="auto"/>
          </w:tcPr>
          <w:p w:rsidR="007E5EF5" w:rsidRPr="007E5EF5" w:rsidP="007E5EF5" w14:paraId="0D2BF7E0" w14:textId="77777777">
            <w:pPr>
              <w:rPr>
                <w:sz w:val="20"/>
                <w:szCs w:val="20"/>
              </w:rPr>
            </w:pPr>
            <w:r w:rsidRPr="007E5EF5">
              <w:rPr>
                <w:sz w:val="20"/>
                <w:szCs w:val="20"/>
              </w:rPr>
              <w:t>Activity</w:t>
            </w:r>
          </w:p>
        </w:tc>
        <w:tc>
          <w:tcPr>
            <w:tcW w:w="1874" w:type="dxa"/>
            <w:shd w:val="clear" w:color="auto" w:fill="auto"/>
          </w:tcPr>
          <w:p w:rsidR="007E5EF5" w:rsidRPr="007E5EF5" w:rsidP="007E5EF5" w14:paraId="6AD11162" w14:textId="77777777">
            <w:pPr>
              <w:jc w:val="center"/>
              <w:rPr>
                <w:sz w:val="20"/>
                <w:szCs w:val="20"/>
              </w:rPr>
            </w:pPr>
            <w:r w:rsidRPr="007E5EF5">
              <w:rPr>
                <w:sz w:val="20"/>
                <w:szCs w:val="20"/>
              </w:rPr>
              <w:t>Total Burden Hours</w:t>
            </w:r>
          </w:p>
        </w:tc>
        <w:tc>
          <w:tcPr>
            <w:tcW w:w="1927" w:type="dxa"/>
            <w:shd w:val="clear" w:color="auto" w:fill="auto"/>
          </w:tcPr>
          <w:p w:rsidR="007E5EF5" w:rsidRPr="007E5EF5" w:rsidP="007E5EF5" w14:paraId="7194C19A" w14:textId="77777777">
            <w:pPr>
              <w:jc w:val="center"/>
              <w:rPr>
                <w:sz w:val="20"/>
                <w:szCs w:val="20"/>
              </w:rPr>
            </w:pPr>
            <w:r w:rsidRPr="007E5EF5">
              <w:rPr>
                <w:sz w:val="20"/>
                <w:szCs w:val="20"/>
              </w:rPr>
              <w:t>Hourly Wage Rate</w:t>
            </w:r>
          </w:p>
        </w:tc>
        <w:tc>
          <w:tcPr>
            <w:tcW w:w="2362" w:type="dxa"/>
            <w:shd w:val="clear" w:color="auto" w:fill="auto"/>
          </w:tcPr>
          <w:p w:rsidR="007E5EF5" w:rsidRPr="007E5EF5" w:rsidP="007E5EF5" w14:paraId="72D42B73" w14:textId="77777777">
            <w:pPr>
              <w:jc w:val="center"/>
              <w:rPr>
                <w:sz w:val="20"/>
                <w:szCs w:val="20"/>
              </w:rPr>
            </w:pPr>
            <w:r w:rsidRPr="007E5EF5">
              <w:rPr>
                <w:sz w:val="20"/>
                <w:szCs w:val="20"/>
              </w:rPr>
              <w:t>Total Respondent Costs</w:t>
            </w:r>
          </w:p>
        </w:tc>
      </w:tr>
      <w:tr w14:paraId="6016C37E" w14:textId="77777777" w:rsidTr="00341B46">
        <w:tblPrEx>
          <w:tblW w:w="0" w:type="auto"/>
          <w:tblInd w:w="340" w:type="dxa"/>
          <w:tblLook w:val="01E0"/>
        </w:tblPrEx>
        <w:tc>
          <w:tcPr>
            <w:tcW w:w="2503" w:type="dxa"/>
            <w:shd w:val="clear" w:color="auto" w:fill="auto"/>
          </w:tcPr>
          <w:p w:rsidR="007E5EF5" w:rsidRPr="007E5EF5" w:rsidP="007E5EF5" w14:paraId="532DA1F7" w14:textId="77777777">
            <w:pPr>
              <w:rPr>
                <w:sz w:val="20"/>
                <w:szCs w:val="20"/>
              </w:rPr>
            </w:pPr>
            <w:r w:rsidRPr="007E5EF5">
              <w:rPr>
                <w:sz w:val="20"/>
                <w:szCs w:val="20"/>
              </w:rPr>
              <w:t xml:space="preserve">Recordkeeping </w:t>
            </w:r>
          </w:p>
        </w:tc>
        <w:tc>
          <w:tcPr>
            <w:tcW w:w="1874" w:type="dxa"/>
            <w:shd w:val="clear" w:color="auto" w:fill="auto"/>
          </w:tcPr>
          <w:p w:rsidR="007E5EF5" w:rsidRPr="007E5EF5" w:rsidP="007E5EF5" w14:paraId="18AB5BB2" w14:textId="77777777">
            <w:pPr>
              <w:jc w:val="right"/>
              <w:rPr>
                <w:sz w:val="20"/>
                <w:szCs w:val="20"/>
              </w:rPr>
            </w:pPr>
            <w:r w:rsidRPr="007E5EF5">
              <w:rPr>
                <w:sz w:val="20"/>
                <w:szCs w:val="20"/>
              </w:rPr>
              <w:t>929,140</w:t>
            </w:r>
          </w:p>
        </w:tc>
        <w:tc>
          <w:tcPr>
            <w:tcW w:w="1927" w:type="dxa"/>
            <w:shd w:val="clear" w:color="auto" w:fill="auto"/>
          </w:tcPr>
          <w:p w:rsidR="007E5EF5" w:rsidRPr="007E5EF5" w:rsidP="007E5EF5" w14:paraId="00E982C6" w14:textId="3A43BBAB">
            <w:pPr>
              <w:jc w:val="right"/>
              <w:rPr>
                <w:sz w:val="20"/>
                <w:szCs w:val="20"/>
              </w:rPr>
            </w:pPr>
            <w:r w:rsidRPr="007E5EF5">
              <w:rPr>
                <w:sz w:val="20"/>
                <w:szCs w:val="20"/>
              </w:rPr>
              <w:t>$</w:t>
            </w:r>
            <w:r w:rsidR="000304F6">
              <w:rPr>
                <w:sz w:val="20"/>
                <w:szCs w:val="20"/>
              </w:rPr>
              <w:t>44.</w:t>
            </w:r>
            <w:r w:rsidR="00604F80">
              <w:rPr>
                <w:sz w:val="20"/>
                <w:szCs w:val="20"/>
              </w:rPr>
              <w:t>66</w:t>
            </w:r>
          </w:p>
        </w:tc>
        <w:tc>
          <w:tcPr>
            <w:tcW w:w="2362" w:type="dxa"/>
            <w:shd w:val="clear" w:color="auto" w:fill="auto"/>
          </w:tcPr>
          <w:p w:rsidR="007E5EF5" w:rsidRPr="007E5EF5" w:rsidP="007E5EF5" w14:paraId="194AA7DF" w14:textId="538374B9">
            <w:pPr>
              <w:jc w:val="right"/>
              <w:rPr>
                <w:sz w:val="20"/>
                <w:szCs w:val="20"/>
              </w:rPr>
            </w:pPr>
            <w:r w:rsidRPr="007E5EF5">
              <w:rPr>
                <w:sz w:val="20"/>
                <w:szCs w:val="20"/>
              </w:rPr>
              <w:t>$</w:t>
            </w:r>
            <w:r w:rsidR="000304F6">
              <w:rPr>
                <w:sz w:val="20"/>
                <w:szCs w:val="20"/>
              </w:rPr>
              <w:t>41,</w:t>
            </w:r>
            <w:r w:rsidRPr="00A34446" w:rsidR="00A34446">
              <w:rPr>
                <w:sz w:val="20"/>
                <w:szCs w:val="20"/>
              </w:rPr>
              <w:t>495,392.40</w:t>
            </w:r>
          </w:p>
        </w:tc>
      </w:tr>
      <w:tr w14:paraId="563B3C1F" w14:textId="77777777" w:rsidTr="00341B46">
        <w:tblPrEx>
          <w:tblW w:w="0" w:type="auto"/>
          <w:tblInd w:w="340" w:type="dxa"/>
          <w:tblLook w:val="01E0"/>
        </w:tblPrEx>
        <w:tc>
          <w:tcPr>
            <w:tcW w:w="2503" w:type="dxa"/>
            <w:shd w:val="clear" w:color="auto" w:fill="auto"/>
          </w:tcPr>
          <w:p w:rsidR="007E5EF5" w:rsidRPr="007E5EF5" w:rsidP="007E5EF5" w14:paraId="6456A7ED" w14:textId="77777777">
            <w:pPr>
              <w:rPr>
                <w:sz w:val="20"/>
                <w:szCs w:val="20"/>
              </w:rPr>
            </w:pPr>
            <w:r w:rsidRPr="007E5EF5">
              <w:rPr>
                <w:sz w:val="20"/>
                <w:szCs w:val="20"/>
              </w:rPr>
              <w:t>Reporting</w:t>
            </w:r>
          </w:p>
        </w:tc>
        <w:tc>
          <w:tcPr>
            <w:tcW w:w="1874" w:type="dxa"/>
            <w:shd w:val="clear" w:color="auto" w:fill="auto"/>
          </w:tcPr>
          <w:p w:rsidR="007E5EF5" w:rsidRPr="007E5EF5" w:rsidP="007E5EF5" w14:paraId="6B752DE0" w14:textId="77777777">
            <w:pPr>
              <w:jc w:val="right"/>
              <w:rPr>
                <w:sz w:val="20"/>
                <w:szCs w:val="20"/>
              </w:rPr>
            </w:pPr>
            <w:r w:rsidRPr="007E5EF5">
              <w:rPr>
                <w:sz w:val="20"/>
                <w:szCs w:val="20"/>
              </w:rPr>
              <w:t>8</w:t>
            </w:r>
          </w:p>
        </w:tc>
        <w:tc>
          <w:tcPr>
            <w:tcW w:w="1927" w:type="dxa"/>
            <w:shd w:val="clear" w:color="auto" w:fill="auto"/>
          </w:tcPr>
          <w:p w:rsidR="007E5EF5" w:rsidRPr="007E5EF5" w:rsidP="007E5EF5" w14:paraId="096DD11B" w14:textId="7521CE32">
            <w:pPr>
              <w:jc w:val="right"/>
              <w:rPr>
                <w:sz w:val="20"/>
                <w:szCs w:val="20"/>
              </w:rPr>
            </w:pPr>
            <w:r w:rsidRPr="007E5EF5">
              <w:rPr>
                <w:sz w:val="20"/>
                <w:szCs w:val="20"/>
              </w:rPr>
              <w:t>$</w:t>
            </w:r>
            <w:r w:rsidR="000304F6">
              <w:rPr>
                <w:sz w:val="20"/>
                <w:szCs w:val="20"/>
              </w:rPr>
              <w:t>14</w:t>
            </w:r>
            <w:r w:rsidR="00A34446">
              <w:rPr>
                <w:sz w:val="20"/>
                <w:szCs w:val="20"/>
              </w:rPr>
              <w:t>7.10</w:t>
            </w:r>
          </w:p>
        </w:tc>
        <w:tc>
          <w:tcPr>
            <w:tcW w:w="2362" w:type="dxa"/>
            <w:shd w:val="clear" w:color="auto" w:fill="auto"/>
          </w:tcPr>
          <w:p w:rsidR="007E5EF5" w:rsidRPr="007E5EF5" w:rsidP="007E5EF5" w14:paraId="54FBAD7B" w14:textId="2CF05112">
            <w:pPr>
              <w:jc w:val="right"/>
              <w:rPr>
                <w:sz w:val="20"/>
                <w:szCs w:val="20"/>
              </w:rPr>
            </w:pPr>
            <w:r w:rsidRPr="007E5EF5">
              <w:rPr>
                <w:sz w:val="20"/>
                <w:szCs w:val="20"/>
              </w:rPr>
              <w:t>$</w:t>
            </w:r>
            <w:r w:rsidRPr="00A34446" w:rsidR="00A34446">
              <w:rPr>
                <w:sz w:val="20"/>
                <w:szCs w:val="20"/>
              </w:rPr>
              <w:t>1,176.80</w:t>
            </w:r>
          </w:p>
        </w:tc>
      </w:tr>
      <w:tr w14:paraId="33CACB33" w14:textId="77777777" w:rsidTr="00341B46">
        <w:tblPrEx>
          <w:tblW w:w="0" w:type="auto"/>
          <w:tblInd w:w="340" w:type="dxa"/>
          <w:tblLook w:val="01E0"/>
        </w:tblPrEx>
        <w:tc>
          <w:tcPr>
            <w:tcW w:w="6304" w:type="dxa"/>
            <w:gridSpan w:val="3"/>
            <w:shd w:val="clear" w:color="auto" w:fill="auto"/>
          </w:tcPr>
          <w:p w:rsidR="007E5EF5" w:rsidRPr="007E5EF5" w:rsidP="007E5EF5" w14:paraId="397E5571" w14:textId="77777777">
            <w:pPr>
              <w:rPr>
                <w:sz w:val="20"/>
                <w:szCs w:val="20"/>
              </w:rPr>
            </w:pPr>
            <w:r w:rsidRPr="007E5EF5">
              <w:rPr>
                <w:sz w:val="20"/>
                <w:szCs w:val="20"/>
              </w:rPr>
              <w:t>Total</w:t>
            </w:r>
          </w:p>
        </w:tc>
        <w:tc>
          <w:tcPr>
            <w:tcW w:w="2362" w:type="dxa"/>
            <w:shd w:val="clear" w:color="auto" w:fill="auto"/>
          </w:tcPr>
          <w:p w:rsidR="007E5EF5" w:rsidRPr="007E5EF5" w:rsidP="007E5EF5" w14:paraId="3EA0A445" w14:textId="1A62F197">
            <w:pPr>
              <w:jc w:val="right"/>
              <w:rPr>
                <w:sz w:val="20"/>
                <w:szCs w:val="20"/>
              </w:rPr>
            </w:pPr>
            <w:r w:rsidRPr="007E5EF5">
              <w:rPr>
                <w:sz w:val="20"/>
                <w:szCs w:val="20"/>
              </w:rPr>
              <w:t>$</w:t>
            </w:r>
            <w:r w:rsidR="000304F6">
              <w:rPr>
                <w:sz w:val="20"/>
                <w:szCs w:val="20"/>
              </w:rPr>
              <w:t>41,</w:t>
            </w:r>
            <w:r w:rsidRPr="00A34446" w:rsidR="00A34446">
              <w:rPr>
                <w:sz w:val="20"/>
                <w:szCs w:val="20"/>
              </w:rPr>
              <w:t>496,569.20</w:t>
            </w:r>
          </w:p>
        </w:tc>
      </w:tr>
    </w:tbl>
    <w:p w:rsidR="00357C8A" w:rsidRPr="00357C8A" w:rsidP="00357C8A" w14:paraId="05E23F18" w14:textId="77777777">
      <w:pPr>
        <w:rPr>
          <w:rFonts w:eastAsia="Calibri"/>
        </w:rPr>
      </w:pPr>
    </w:p>
    <w:p w:rsidR="00357C8A" w:rsidRPr="00357C8A" w:rsidP="006705EA" w14:paraId="539B2DD8"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033AA52B" w14:textId="77777777">
      <w:pPr>
        <w:spacing w:after="200" w:line="276" w:lineRule="auto"/>
        <w:rPr>
          <w:rFonts w:eastAsia="Calibri"/>
          <w:u w:val="single"/>
        </w:rPr>
      </w:pPr>
      <w:r w:rsidRPr="004A1084">
        <w:rPr>
          <w:rFonts w:eastAsia="Calibri"/>
        </w:rPr>
        <w:t xml:space="preserve">There </w:t>
      </w:r>
      <w:r w:rsidRPr="004A1084">
        <w:rPr>
          <w:rFonts w:eastAsia="Calibri"/>
        </w:rPr>
        <w:t>are</w:t>
      </w:r>
      <w:r w:rsidRPr="004A1084">
        <w:rPr>
          <w:rFonts w:eastAsia="Calibri"/>
        </w:rPr>
        <w:t xml:space="preserve"> no capital, start-up, operating, or maintenance costs associated with this collection.</w:t>
      </w:r>
    </w:p>
    <w:p w:rsidR="00357C8A" w:rsidRPr="00357C8A" w:rsidP="006705EA" w14:paraId="7BDF1319"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37EC93EE" w14:textId="629F33D9">
      <w:pPr>
        <w:spacing w:after="200"/>
        <w:rPr>
          <w:rFonts w:eastAsia="Calibri"/>
        </w:rPr>
      </w:pPr>
      <w:r>
        <w:t xml:space="preserve">FDA’s review of the retained records would generally occur as part of its routine or for-cause establishment inspection activities.  We estimate that review of the </w:t>
      </w:r>
      <w:r>
        <w:t>retained records</w:t>
      </w:r>
      <w:r>
        <w:t xml:space="preserve"> would take five hours per inspection.  We estimate the hourly cost for review and evaluation to be $</w:t>
      </w:r>
      <w:r w:rsidR="000304F6">
        <w:t>58</w:t>
      </w:r>
      <w:r w:rsidR="00FA3D9E">
        <w:t>.35</w:t>
      </w:r>
      <w:r>
        <w:t xml:space="preserve"> per hour, the GS-13/Step 1 rate for the Washington-Baltimore locality pay area for the year </w:t>
      </w:r>
      <w:r w:rsidR="000304F6">
        <w:t>202</w:t>
      </w:r>
      <w:r w:rsidR="002B1D5B">
        <w:t>6</w:t>
      </w:r>
      <w:r>
        <w:t>.  To account for overhead, this cost is doubled, making the total cost $</w:t>
      </w:r>
      <w:r w:rsidR="000304F6">
        <w:t>116</w:t>
      </w:r>
      <w:r w:rsidR="00C07207">
        <w:t>.70</w:t>
      </w:r>
      <w:r>
        <w:t xml:space="preserve"> per hour.  We estimate the cost to the </w:t>
      </w:r>
      <w:r w:rsidR="00C07207">
        <w:t>f</w:t>
      </w:r>
      <w:r>
        <w:t xml:space="preserve">ederal </w:t>
      </w:r>
      <w:r w:rsidR="00C07207">
        <w:t>g</w:t>
      </w:r>
      <w:r>
        <w:t>overnment for the review of records to be $</w:t>
      </w:r>
      <w:r w:rsidR="000304F6">
        <w:t>58</w:t>
      </w:r>
      <w:r w:rsidR="00152C28">
        <w:t>3.5</w:t>
      </w:r>
      <w:r w:rsidR="000304F6">
        <w:t>0</w:t>
      </w:r>
      <w:r>
        <w:t xml:space="preserve"> per review </w:t>
      </w:r>
      <w:r>
        <w:t>($</w:t>
      </w:r>
      <w:r w:rsidR="000304F6">
        <w:t>116</w:t>
      </w:r>
      <w:r w:rsidR="00B75DFC">
        <w:t>.70</w:t>
      </w:r>
      <w:r>
        <w:t xml:space="preserve">/hour </w:t>
      </w:r>
      <w:r w:rsidRPr="00D4096D" w:rsidR="00D4096D">
        <w:t>×</w:t>
      </w:r>
      <w:r>
        <w:t xml:space="preserve"> 5 hours) and that we review records for an average of 100 inspections per year.  Thus, we estimate the total annual cost to the </w:t>
      </w:r>
      <w:r w:rsidR="00152C28">
        <w:t>f</w:t>
      </w:r>
      <w:r>
        <w:t xml:space="preserve">ederal </w:t>
      </w:r>
      <w:r w:rsidR="00152C28">
        <w:t>g</w:t>
      </w:r>
      <w:r>
        <w:t>overnment to be $</w:t>
      </w:r>
      <w:r w:rsidR="000304F6">
        <w:t>58</w:t>
      </w:r>
      <w:r w:rsidR="00E960F1">
        <w:t>,35</w:t>
      </w:r>
      <w:r w:rsidR="000304F6">
        <w:t>0</w:t>
      </w:r>
      <w:r w:rsidR="00E960F1">
        <w:t>.00</w:t>
      </w:r>
      <w:r>
        <w:t xml:space="preserve"> ($</w:t>
      </w:r>
      <w:r w:rsidR="000304F6">
        <w:t>58</w:t>
      </w:r>
      <w:r w:rsidR="00E960F1">
        <w:t>3.5</w:t>
      </w:r>
      <w:r w:rsidR="000304F6">
        <w:t>0</w:t>
      </w:r>
      <w:r>
        <w:t xml:space="preserve"> </w:t>
      </w:r>
      <w:r w:rsidRPr="00A05B78" w:rsidR="00A05B78">
        <w:t>×</w:t>
      </w:r>
      <w:r>
        <w:t xml:space="preserve"> 100 inspections).</w:t>
      </w:r>
    </w:p>
    <w:p w:rsidR="00357C8A" w:rsidP="006705EA" w14:paraId="09F3E6F5" w14:textId="1094EA18">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744403" w:rsidP="00357C8A" w14:paraId="6CF00225" w14:textId="5EB45433">
      <w:pPr>
        <w:spacing w:after="200"/>
        <w:rPr>
          <w:rFonts w:eastAsia="Calibri"/>
          <w:color w:val="000000"/>
        </w:rPr>
      </w:pPr>
      <w:r w:rsidRPr="007E5EF5">
        <w:rPr>
          <w:rFonts w:eastAsia="Calibri"/>
        </w:rPr>
        <w:t xml:space="preserve">Based on a review of the information collection since our last request for OMB approval, we have made no adjustments to our </w:t>
      </w:r>
      <w:r w:rsidR="009E1C05">
        <w:rPr>
          <w:rFonts w:eastAsia="Calibri"/>
        </w:rPr>
        <w:t xml:space="preserve">hourly </w:t>
      </w:r>
      <w:r w:rsidRPr="007E5EF5">
        <w:rPr>
          <w:rFonts w:eastAsia="Calibri"/>
        </w:rPr>
        <w:t>burden estimate.</w:t>
      </w:r>
      <w:r w:rsidRPr="002F6947" w:rsidR="002F6947">
        <w:t xml:space="preserve"> </w:t>
      </w:r>
      <w:r w:rsidR="002F6947">
        <w:t xml:space="preserve"> </w:t>
      </w:r>
      <w:r w:rsidR="00583EC5">
        <w:t>However, when comparing th</w:t>
      </w:r>
      <w:r w:rsidR="005053A4">
        <w:t>e</w:t>
      </w:r>
      <w:r w:rsidR="003B3B58">
        <w:t xml:space="preserve"> </w:t>
      </w:r>
      <w:r w:rsidR="009854F2">
        <w:t xml:space="preserve">total responses </w:t>
      </w:r>
      <w:r w:rsidR="003B3B58">
        <w:t xml:space="preserve">burden estimate </w:t>
      </w:r>
      <w:r w:rsidR="00354B7E">
        <w:t xml:space="preserve">in table 1 </w:t>
      </w:r>
      <w:r w:rsidR="003B3B58">
        <w:t xml:space="preserve">with OMB’s electronic record in ROCIS, </w:t>
      </w:r>
      <w:r w:rsidR="00672CD7">
        <w:t xml:space="preserve">the </w:t>
      </w:r>
      <w:r w:rsidR="006F33F2">
        <w:t xml:space="preserve">estimate for the </w:t>
      </w:r>
      <w:r w:rsidR="00A06EBC">
        <w:t>number of total annual record</w:t>
      </w:r>
      <w:r w:rsidR="00013BEE">
        <w:t>s</w:t>
      </w:r>
      <w:r w:rsidR="00A06EBC">
        <w:t xml:space="preserve"> </w:t>
      </w:r>
      <w:r w:rsidR="00672CD7">
        <w:t>associated with</w:t>
      </w:r>
      <w:r w:rsidR="00A06EBC">
        <w:t xml:space="preserve"> section 111.180 </w:t>
      </w:r>
      <w:r w:rsidRPr="00C10AAD" w:rsidR="00C10AAD">
        <w:t>(279,120 total annual records)</w:t>
      </w:r>
      <w:r w:rsidR="00C10AAD">
        <w:t xml:space="preserve"> </w:t>
      </w:r>
      <w:r w:rsidR="00013BEE">
        <w:t xml:space="preserve">was </w:t>
      </w:r>
      <w:r w:rsidR="00C95BA6">
        <w:t xml:space="preserve">not included in </w:t>
      </w:r>
      <w:r w:rsidR="00976B61">
        <w:t>ROCIS’s</w:t>
      </w:r>
      <w:r w:rsidR="008E3CFC">
        <w:t xml:space="preserve"> total </w:t>
      </w:r>
      <w:r w:rsidR="00B9626A">
        <w:t>number of annual records</w:t>
      </w:r>
      <w:r w:rsidR="00976B61">
        <w:t>.  The</w:t>
      </w:r>
      <w:r w:rsidR="005A718A">
        <w:t xml:space="preserve"> total annual response burden has</w:t>
      </w:r>
      <w:r w:rsidR="002D1033">
        <w:t xml:space="preserve"> </w:t>
      </w:r>
      <w:r w:rsidR="00FD7132">
        <w:t>been</w:t>
      </w:r>
      <w:r w:rsidR="00B9626A">
        <w:t xml:space="preserve"> adjusted from </w:t>
      </w:r>
      <w:r w:rsidR="0014532A">
        <w:t xml:space="preserve">719,040 to </w:t>
      </w:r>
      <w:r w:rsidR="00FD7132">
        <w:t xml:space="preserve">998,160 </w:t>
      </w:r>
      <w:r w:rsidR="00E84D7C">
        <w:t xml:space="preserve">records </w:t>
      </w:r>
      <w:r w:rsidR="00611DA4">
        <w:t xml:space="preserve">in ROCIS </w:t>
      </w:r>
      <w:r w:rsidR="00FD7132">
        <w:t xml:space="preserve">to correct this omission. </w:t>
      </w:r>
      <w:r w:rsidR="00583EC5">
        <w:t xml:space="preserve"> </w:t>
      </w:r>
      <w:r w:rsidRPr="002F6947" w:rsidR="002F6947">
        <w:rPr>
          <w:rFonts w:eastAsia="Calibri"/>
        </w:rPr>
        <w:t xml:space="preserve">We base our estimates </w:t>
      </w:r>
      <w:r w:rsidRPr="002F6947" w:rsidR="002F6947">
        <w:rPr>
          <w:rFonts w:eastAsia="Calibri"/>
        </w:rPr>
        <w:t>for</w:t>
      </w:r>
      <w:r w:rsidRPr="002F6947" w:rsidR="002F6947">
        <w:rPr>
          <w:rFonts w:eastAsia="Calibri"/>
        </w:rPr>
        <w:t xml:space="preserve"> the recordkeeping and reporting burdens on our experience with the recordkeeping and petition activities.  </w:t>
      </w:r>
    </w:p>
    <w:p w:rsidR="00357C8A" w:rsidRPr="00357C8A" w:rsidP="006705EA" w14:paraId="4E8F27AC"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744403" w:rsidP="00357C8A" w14:paraId="64F1D06B" w14:textId="77777777">
      <w:pPr>
        <w:spacing w:after="200"/>
        <w:rPr>
          <w:rFonts w:eastAsia="Calibri"/>
          <w:color w:val="000000"/>
        </w:rPr>
      </w:pPr>
      <w:r w:rsidRPr="00DA3F03">
        <w:t>The results of this information collection will not be published</w:t>
      </w:r>
      <w:r>
        <w:t xml:space="preserve"> or tabulated</w:t>
      </w:r>
      <w:r w:rsidRPr="00C43B81">
        <w:rPr>
          <w:color w:val="000000"/>
        </w:rPr>
        <w:t>.</w:t>
      </w:r>
    </w:p>
    <w:p w:rsidR="00357C8A" w:rsidRPr="00357C8A" w:rsidP="006705EA" w14:paraId="2BD57808"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7E5EF5" w:rsidP="007E5EF5" w14:paraId="376A989C" w14:textId="77777777">
      <w:pPr>
        <w:autoSpaceDE w:val="0"/>
        <w:autoSpaceDN w:val="0"/>
        <w:adjustRightInd w:val="0"/>
      </w:pPr>
      <w:r>
        <w:t xml:space="preserve">There are no reasons why display of the expiration date for OMB approval of the </w:t>
      </w:r>
      <w:r>
        <w:t>information</w:t>
      </w:r>
    </w:p>
    <w:p w:rsidR="00357C8A" w:rsidRPr="00744403" w:rsidP="00357C8A" w14:paraId="0F6D5A03" w14:textId="77777777">
      <w:pPr>
        <w:spacing w:after="200"/>
        <w:rPr>
          <w:rFonts w:eastAsia="Calibri"/>
          <w:color w:val="000000"/>
        </w:rPr>
      </w:pPr>
      <w:r>
        <w:t>collection would be inappropriate.</w:t>
      </w:r>
    </w:p>
    <w:p w:rsidR="00357C8A" w:rsidRPr="00357C8A" w:rsidP="006705EA" w14:paraId="7122E78C"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7E5EF5" w14:paraId="6319EA7B" w14:textId="77777777">
      <w:pPr>
        <w:spacing w:after="200"/>
        <w:rPr>
          <w:rFonts w:eastAsia="Calibri"/>
        </w:rPr>
      </w:pPr>
      <w:r w:rsidRPr="00DA3F03">
        <w:rPr>
          <w:rFonts w:eastAsia="Calibri"/>
        </w:rPr>
        <w:t>There are no exceptions to the certification.</w:t>
      </w:r>
    </w:p>
    <w:sectPr w:rsidSect="005C71CA">
      <w:footerReference w:type="even" r:id="rId6"/>
      <w:footerReference w:type="default" r:id="rId7"/>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89CD36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5365BF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28CE6BB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20663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50308265">
    <w:abstractNumId w:val="5"/>
  </w:num>
  <w:num w:numId="2" w16cid:durableId="905526856">
    <w:abstractNumId w:val="1"/>
  </w:num>
  <w:num w:numId="3" w16cid:durableId="418602980">
    <w:abstractNumId w:val="6"/>
  </w:num>
  <w:num w:numId="4" w16cid:durableId="2125273373">
    <w:abstractNumId w:val="3"/>
  </w:num>
  <w:num w:numId="5" w16cid:durableId="350844308">
    <w:abstractNumId w:val="7"/>
  </w:num>
  <w:num w:numId="6" w16cid:durableId="1961258730">
    <w:abstractNumId w:val="0"/>
  </w:num>
  <w:num w:numId="7" w16cid:durableId="1747340774">
    <w:abstractNumId w:val="2"/>
  </w:num>
  <w:num w:numId="8" w16cid:durableId="100729140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32D6"/>
    <w:rsid w:val="0000374B"/>
    <w:rsid w:val="00013BEE"/>
    <w:rsid w:val="000304F6"/>
    <w:rsid w:val="00031A2C"/>
    <w:rsid w:val="00042B93"/>
    <w:rsid w:val="00043C7F"/>
    <w:rsid w:val="000467A8"/>
    <w:rsid w:val="0005220A"/>
    <w:rsid w:val="0005738F"/>
    <w:rsid w:val="0006570F"/>
    <w:rsid w:val="00075DE8"/>
    <w:rsid w:val="00077A71"/>
    <w:rsid w:val="00081F52"/>
    <w:rsid w:val="00082B2A"/>
    <w:rsid w:val="00087439"/>
    <w:rsid w:val="000A21C2"/>
    <w:rsid w:val="000C1260"/>
    <w:rsid w:val="000C560C"/>
    <w:rsid w:val="000D080B"/>
    <w:rsid w:val="000D40E9"/>
    <w:rsid w:val="000D48FD"/>
    <w:rsid w:val="000D6303"/>
    <w:rsid w:val="000D79CC"/>
    <w:rsid w:val="000D7BCE"/>
    <w:rsid w:val="000E1C64"/>
    <w:rsid w:val="000E3D81"/>
    <w:rsid w:val="000F7119"/>
    <w:rsid w:val="00100739"/>
    <w:rsid w:val="0010493E"/>
    <w:rsid w:val="001075D3"/>
    <w:rsid w:val="00107885"/>
    <w:rsid w:val="00114FC4"/>
    <w:rsid w:val="0012329C"/>
    <w:rsid w:val="00134FA7"/>
    <w:rsid w:val="00137950"/>
    <w:rsid w:val="0014532A"/>
    <w:rsid w:val="00152C28"/>
    <w:rsid w:val="00152F29"/>
    <w:rsid w:val="001559A3"/>
    <w:rsid w:val="00162A3A"/>
    <w:rsid w:val="00164AE8"/>
    <w:rsid w:val="001745C6"/>
    <w:rsid w:val="00174D54"/>
    <w:rsid w:val="0017702C"/>
    <w:rsid w:val="00185270"/>
    <w:rsid w:val="001A3B5A"/>
    <w:rsid w:val="001A458C"/>
    <w:rsid w:val="001B7CE9"/>
    <w:rsid w:val="001D495A"/>
    <w:rsid w:val="001E244C"/>
    <w:rsid w:val="001F0D8B"/>
    <w:rsid w:val="001F1437"/>
    <w:rsid w:val="001F20DF"/>
    <w:rsid w:val="00201CE0"/>
    <w:rsid w:val="00206799"/>
    <w:rsid w:val="002074FE"/>
    <w:rsid w:val="00215F16"/>
    <w:rsid w:val="0022425B"/>
    <w:rsid w:val="002259EF"/>
    <w:rsid w:val="00235A0A"/>
    <w:rsid w:val="00235BAD"/>
    <w:rsid w:val="00242ED1"/>
    <w:rsid w:val="0024333D"/>
    <w:rsid w:val="002444BB"/>
    <w:rsid w:val="00254069"/>
    <w:rsid w:val="00266A35"/>
    <w:rsid w:val="00270748"/>
    <w:rsid w:val="002734E5"/>
    <w:rsid w:val="002746DB"/>
    <w:rsid w:val="00280CAF"/>
    <w:rsid w:val="00282F09"/>
    <w:rsid w:val="002844FC"/>
    <w:rsid w:val="00291810"/>
    <w:rsid w:val="00294D62"/>
    <w:rsid w:val="00297532"/>
    <w:rsid w:val="00297FFD"/>
    <w:rsid w:val="002A1210"/>
    <w:rsid w:val="002A362F"/>
    <w:rsid w:val="002A47D2"/>
    <w:rsid w:val="002A7FB5"/>
    <w:rsid w:val="002B1D5B"/>
    <w:rsid w:val="002B2074"/>
    <w:rsid w:val="002B42C9"/>
    <w:rsid w:val="002C7E33"/>
    <w:rsid w:val="002D1033"/>
    <w:rsid w:val="002D14D8"/>
    <w:rsid w:val="002D4799"/>
    <w:rsid w:val="002E3FA4"/>
    <w:rsid w:val="002E53A5"/>
    <w:rsid w:val="002E64B8"/>
    <w:rsid w:val="002E6834"/>
    <w:rsid w:val="002F6947"/>
    <w:rsid w:val="00303A4F"/>
    <w:rsid w:val="003113FF"/>
    <w:rsid w:val="00312622"/>
    <w:rsid w:val="0032277F"/>
    <w:rsid w:val="00326768"/>
    <w:rsid w:val="00336B69"/>
    <w:rsid w:val="00341B46"/>
    <w:rsid w:val="00342E8B"/>
    <w:rsid w:val="0034302B"/>
    <w:rsid w:val="00350523"/>
    <w:rsid w:val="003506FB"/>
    <w:rsid w:val="0035189D"/>
    <w:rsid w:val="00354B7E"/>
    <w:rsid w:val="00355B62"/>
    <w:rsid w:val="00357C8A"/>
    <w:rsid w:val="003740BC"/>
    <w:rsid w:val="0037456B"/>
    <w:rsid w:val="003801A3"/>
    <w:rsid w:val="00381234"/>
    <w:rsid w:val="00383D90"/>
    <w:rsid w:val="003870AE"/>
    <w:rsid w:val="0039349E"/>
    <w:rsid w:val="003A14E2"/>
    <w:rsid w:val="003A1A27"/>
    <w:rsid w:val="003A50CC"/>
    <w:rsid w:val="003A6CBF"/>
    <w:rsid w:val="003B3B58"/>
    <w:rsid w:val="003B42B3"/>
    <w:rsid w:val="003B4A47"/>
    <w:rsid w:val="003B6384"/>
    <w:rsid w:val="003C0FE2"/>
    <w:rsid w:val="003C4EBB"/>
    <w:rsid w:val="003D1531"/>
    <w:rsid w:val="003E4EC6"/>
    <w:rsid w:val="003E527E"/>
    <w:rsid w:val="003E553E"/>
    <w:rsid w:val="003E7078"/>
    <w:rsid w:val="003E772C"/>
    <w:rsid w:val="003F3DF5"/>
    <w:rsid w:val="003F7237"/>
    <w:rsid w:val="003F73B8"/>
    <w:rsid w:val="0040297E"/>
    <w:rsid w:val="00411D11"/>
    <w:rsid w:val="00414494"/>
    <w:rsid w:val="00415E23"/>
    <w:rsid w:val="004166D9"/>
    <w:rsid w:val="0041670D"/>
    <w:rsid w:val="00423272"/>
    <w:rsid w:val="00424061"/>
    <w:rsid w:val="004424E4"/>
    <w:rsid w:val="00442A3C"/>
    <w:rsid w:val="00443969"/>
    <w:rsid w:val="00447D74"/>
    <w:rsid w:val="00450A74"/>
    <w:rsid w:val="00453B3A"/>
    <w:rsid w:val="004546BF"/>
    <w:rsid w:val="00465350"/>
    <w:rsid w:val="00476B91"/>
    <w:rsid w:val="004846BF"/>
    <w:rsid w:val="00494912"/>
    <w:rsid w:val="00497356"/>
    <w:rsid w:val="004A1084"/>
    <w:rsid w:val="004A5323"/>
    <w:rsid w:val="004A533D"/>
    <w:rsid w:val="004A5A99"/>
    <w:rsid w:val="004C2229"/>
    <w:rsid w:val="004C6979"/>
    <w:rsid w:val="004D13A2"/>
    <w:rsid w:val="004D3E7A"/>
    <w:rsid w:val="004D6A4B"/>
    <w:rsid w:val="004F594B"/>
    <w:rsid w:val="004F61E1"/>
    <w:rsid w:val="005053A4"/>
    <w:rsid w:val="00512A00"/>
    <w:rsid w:val="005160C7"/>
    <w:rsid w:val="00517701"/>
    <w:rsid w:val="00531175"/>
    <w:rsid w:val="0053380B"/>
    <w:rsid w:val="00543194"/>
    <w:rsid w:val="00544138"/>
    <w:rsid w:val="0054666A"/>
    <w:rsid w:val="00554E34"/>
    <w:rsid w:val="00573CC6"/>
    <w:rsid w:val="00583EC5"/>
    <w:rsid w:val="00584583"/>
    <w:rsid w:val="00590E90"/>
    <w:rsid w:val="00590EEB"/>
    <w:rsid w:val="005A4099"/>
    <w:rsid w:val="005A442F"/>
    <w:rsid w:val="005A718A"/>
    <w:rsid w:val="005B5A34"/>
    <w:rsid w:val="005C38B2"/>
    <w:rsid w:val="005C4D85"/>
    <w:rsid w:val="005C5029"/>
    <w:rsid w:val="005C55C2"/>
    <w:rsid w:val="005C71CA"/>
    <w:rsid w:val="005C745C"/>
    <w:rsid w:val="005D2F4B"/>
    <w:rsid w:val="005D4DF5"/>
    <w:rsid w:val="005E42BA"/>
    <w:rsid w:val="005E4536"/>
    <w:rsid w:val="005F019F"/>
    <w:rsid w:val="00604F80"/>
    <w:rsid w:val="00611D6B"/>
    <w:rsid w:val="00611DA4"/>
    <w:rsid w:val="00625CFD"/>
    <w:rsid w:val="006326EC"/>
    <w:rsid w:val="00644DB2"/>
    <w:rsid w:val="00646096"/>
    <w:rsid w:val="0065567A"/>
    <w:rsid w:val="00663A42"/>
    <w:rsid w:val="006641C7"/>
    <w:rsid w:val="006705EA"/>
    <w:rsid w:val="00670BE2"/>
    <w:rsid w:val="00672CD7"/>
    <w:rsid w:val="006805F6"/>
    <w:rsid w:val="006916D9"/>
    <w:rsid w:val="006A0E05"/>
    <w:rsid w:val="006A26C6"/>
    <w:rsid w:val="006A465A"/>
    <w:rsid w:val="006A7D5D"/>
    <w:rsid w:val="006A7F23"/>
    <w:rsid w:val="006B2522"/>
    <w:rsid w:val="006D0C12"/>
    <w:rsid w:val="006D1581"/>
    <w:rsid w:val="006D5D57"/>
    <w:rsid w:val="006E2538"/>
    <w:rsid w:val="006E302F"/>
    <w:rsid w:val="006F33F2"/>
    <w:rsid w:val="006F4D6D"/>
    <w:rsid w:val="00705086"/>
    <w:rsid w:val="00720B34"/>
    <w:rsid w:val="00722001"/>
    <w:rsid w:val="00744403"/>
    <w:rsid w:val="00744525"/>
    <w:rsid w:val="00751E66"/>
    <w:rsid w:val="0075336B"/>
    <w:rsid w:val="00754497"/>
    <w:rsid w:val="007711A4"/>
    <w:rsid w:val="00773201"/>
    <w:rsid w:val="00787C39"/>
    <w:rsid w:val="00792947"/>
    <w:rsid w:val="00795DF3"/>
    <w:rsid w:val="007A373C"/>
    <w:rsid w:val="007A58A3"/>
    <w:rsid w:val="007B225C"/>
    <w:rsid w:val="007C75B1"/>
    <w:rsid w:val="007C7B19"/>
    <w:rsid w:val="007D02EA"/>
    <w:rsid w:val="007D0E71"/>
    <w:rsid w:val="007D3DFC"/>
    <w:rsid w:val="007E2F07"/>
    <w:rsid w:val="007E59A8"/>
    <w:rsid w:val="007E5EF5"/>
    <w:rsid w:val="007E607C"/>
    <w:rsid w:val="007F0166"/>
    <w:rsid w:val="007F7DDE"/>
    <w:rsid w:val="0080776D"/>
    <w:rsid w:val="00810145"/>
    <w:rsid w:val="008108FA"/>
    <w:rsid w:val="00810FF1"/>
    <w:rsid w:val="00813014"/>
    <w:rsid w:val="00822336"/>
    <w:rsid w:val="00823DFA"/>
    <w:rsid w:val="00841E66"/>
    <w:rsid w:val="00842DB7"/>
    <w:rsid w:val="00843752"/>
    <w:rsid w:val="0084479F"/>
    <w:rsid w:val="00855112"/>
    <w:rsid w:val="0085725E"/>
    <w:rsid w:val="00873D4F"/>
    <w:rsid w:val="0087509F"/>
    <w:rsid w:val="00884DBF"/>
    <w:rsid w:val="00885B09"/>
    <w:rsid w:val="00892400"/>
    <w:rsid w:val="008955E8"/>
    <w:rsid w:val="008A209D"/>
    <w:rsid w:val="008A22BB"/>
    <w:rsid w:val="008B035D"/>
    <w:rsid w:val="008B0E29"/>
    <w:rsid w:val="008B0EFA"/>
    <w:rsid w:val="008B30AB"/>
    <w:rsid w:val="008C3BB8"/>
    <w:rsid w:val="008C4B65"/>
    <w:rsid w:val="008E3CFC"/>
    <w:rsid w:val="008E5F55"/>
    <w:rsid w:val="009009E7"/>
    <w:rsid w:val="00905DEF"/>
    <w:rsid w:val="00906056"/>
    <w:rsid w:val="009122AE"/>
    <w:rsid w:val="00913B43"/>
    <w:rsid w:val="00930203"/>
    <w:rsid w:val="00930CD1"/>
    <w:rsid w:val="009311D2"/>
    <w:rsid w:val="009311E6"/>
    <w:rsid w:val="00931275"/>
    <w:rsid w:val="009344DB"/>
    <w:rsid w:val="00936AC7"/>
    <w:rsid w:val="00937CEE"/>
    <w:rsid w:val="009425F6"/>
    <w:rsid w:val="0094509D"/>
    <w:rsid w:val="00953B64"/>
    <w:rsid w:val="00961C28"/>
    <w:rsid w:val="009646A7"/>
    <w:rsid w:val="00970A88"/>
    <w:rsid w:val="00976B61"/>
    <w:rsid w:val="009818A1"/>
    <w:rsid w:val="009854F2"/>
    <w:rsid w:val="00996FC9"/>
    <w:rsid w:val="009A1674"/>
    <w:rsid w:val="009A21A7"/>
    <w:rsid w:val="009A69AB"/>
    <w:rsid w:val="009B2EF4"/>
    <w:rsid w:val="009B38BE"/>
    <w:rsid w:val="009B4DF2"/>
    <w:rsid w:val="009C684F"/>
    <w:rsid w:val="009D074C"/>
    <w:rsid w:val="009D6E73"/>
    <w:rsid w:val="009E1C05"/>
    <w:rsid w:val="009F1A0E"/>
    <w:rsid w:val="009F1F1D"/>
    <w:rsid w:val="009F2B4F"/>
    <w:rsid w:val="009F3C63"/>
    <w:rsid w:val="009F66B5"/>
    <w:rsid w:val="00A02F10"/>
    <w:rsid w:val="00A038A8"/>
    <w:rsid w:val="00A05B78"/>
    <w:rsid w:val="00A06EBC"/>
    <w:rsid w:val="00A1060C"/>
    <w:rsid w:val="00A16221"/>
    <w:rsid w:val="00A20A7D"/>
    <w:rsid w:val="00A34446"/>
    <w:rsid w:val="00A35D42"/>
    <w:rsid w:val="00A4447C"/>
    <w:rsid w:val="00A4529B"/>
    <w:rsid w:val="00A46CCF"/>
    <w:rsid w:val="00A506DE"/>
    <w:rsid w:val="00A53451"/>
    <w:rsid w:val="00A70426"/>
    <w:rsid w:val="00A707CC"/>
    <w:rsid w:val="00A71410"/>
    <w:rsid w:val="00A812C5"/>
    <w:rsid w:val="00A81F38"/>
    <w:rsid w:val="00A91E9A"/>
    <w:rsid w:val="00A93ED9"/>
    <w:rsid w:val="00A96221"/>
    <w:rsid w:val="00AC0C9F"/>
    <w:rsid w:val="00AC2DBB"/>
    <w:rsid w:val="00AC6A99"/>
    <w:rsid w:val="00AD141E"/>
    <w:rsid w:val="00AD6048"/>
    <w:rsid w:val="00AE74E8"/>
    <w:rsid w:val="00B055EF"/>
    <w:rsid w:val="00B06B5B"/>
    <w:rsid w:val="00B06C8F"/>
    <w:rsid w:val="00B07F30"/>
    <w:rsid w:val="00B13850"/>
    <w:rsid w:val="00B23769"/>
    <w:rsid w:val="00B37478"/>
    <w:rsid w:val="00B41789"/>
    <w:rsid w:val="00B459EA"/>
    <w:rsid w:val="00B517F6"/>
    <w:rsid w:val="00B75DFC"/>
    <w:rsid w:val="00B814C7"/>
    <w:rsid w:val="00B81808"/>
    <w:rsid w:val="00B86DFA"/>
    <w:rsid w:val="00B936D0"/>
    <w:rsid w:val="00B9626A"/>
    <w:rsid w:val="00BA7148"/>
    <w:rsid w:val="00BB15FB"/>
    <w:rsid w:val="00BD3D5B"/>
    <w:rsid w:val="00BE3600"/>
    <w:rsid w:val="00C01F6F"/>
    <w:rsid w:val="00C041EA"/>
    <w:rsid w:val="00C07207"/>
    <w:rsid w:val="00C10AAD"/>
    <w:rsid w:val="00C13BBD"/>
    <w:rsid w:val="00C149AB"/>
    <w:rsid w:val="00C16929"/>
    <w:rsid w:val="00C20690"/>
    <w:rsid w:val="00C36020"/>
    <w:rsid w:val="00C40694"/>
    <w:rsid w:val="00C4382C"/>
    <w:rsid w:val="00C43B81"/>
    <w:rsid w:val="00C44602"/>
    <w:rsid w:val="00C479BF"/>
    <w:rsid w:val="00C47D63"/>
    <w:rsid w:val="00C5124B"/>
    <w:rsid w:val="00C64EBC"/>
    <w:rsid w:val="00C70542"/>
    <w:rsid w:val="00C705AA"/>
    <w:rsid w:val="00C74C7B"/>
    <w:rsid w:val="00C75CBF"/>
    <w:rsid w:val="00C76607"/>
    <w:rsid w:val="00C95BA6"/>
    <w:rsid w:val="00CB0514"/>
    <w:rsid w:val="00CB5C01"/>
    <w:rsid w:val="00CC1674"/>
    <w:rsid w:val="00CC2894"/>
    <w:rsid w:val="00CD56A8"/>
    <w:rsid w:val="00CD77C3"/>
    <w:rsid w:val="00CE112C"/>
    <w:rsid w:val="00CF55D4"/>
    <w:rsid w:val="00CF7BF2"/>
    <w:rsid w:val="00D4096D"/>
    <w:rsid w:val="00D54B08"/>
    <w:rsid w:val="00D55A95"/>
    <w:rsid w:val="00D608DA"/>
    <w:rsid w:val="00D61D78"/>
    <w:rsid w:val="00D730BF"/>
    <w:rsid w:val="00D852F4"/>
    <w:rsid w:val="00D85411"/>
    <w:rsid w:val="00D9638E"/>
    <w:rsid w:val="00DA3F03"/>
    <w:rsid w:val="00DB1110"/>
    <w:rsid w:val="00DB27D3"/>
    <w:rsid w:val="00DB3730"/>
    <w:rsid w:val="00DC2DF5"/>
    <w:rsid w:val="00DC371B"/>
    <w:rsid w:val="00DC3788"/>
    <w:rsid w:val="00DC76C7"/>
    <w:rsid w:val="00DD09F5"/>
    <w:rsid w:val="00DD0E02"/>
    <w:rsid w:val="00DD4201"/>
    <w:rsid w:val="00DD5E9F"/>
    <w:rsid w:val="00DE2318"/>
    <w:rsid w:val="00DE5711"/>
    <w:rsid w:val="00DF7281"/>
    <w:rsid w:val="00E00EA0"/>
    <w:rsid w:val="00E021CB"/>
    <w:rsid w:val="00E06547"/>
    <w:rsid w:val="00E12CDE"/>
    <w:rsid w:val="00E138F1"/>
    <w:rsid w:val="00E154E9"/>
    <w:rsid w:val="00E2309D"/>
    <w:rsid w:val="00E26758"/>
    <w:rsid w:val="00E4357B"/>
    <w:rsid w:val="00E443A7"/>
    <w:rsid w:val="00E45904"/>
    <w:rsid w:val="00E61F62"/>
    <w:rsid w:val="00E63DE5"/>
    <w:rsid w:val="00E647AF"/>
    <w:rsid w:val="00E647C7"/>
    <w:rsid w:val="00E65A37"/>
    <w:rsid w:val="00E65EF7"/>
    <w:rsid w:val="00E77B48"/>
    <w:rsid w:val="00E84D7C"/>
    <w:rsid w:val="00E857FB"/>
    <w:rsid w:val="00E903A8"/>
    <w:rsid w:val="00E9114F"/>
    <w:rsid w:val="00E91799"/>
    <w:rsid w:val="00E960F1"/>
    <w:rsid w:val="00E97DF8"/>
    <w:rsid w:val="00EA21FE"/>
    <w:rsid w:val="00EA34E3"/>
    <w:rsid w:val="00EA54EC"/>
    <w:rsid w:val="00EB7538"/>
    <w:rsid w:val="00EB7F7A"/>
    <w:rsid w:val="00EC1868"/>
    <w:rsid w:val="00EC295F"/>
    <w:rsid w:val="00EE179C"/>
    <w:rsid w:val="00EE329F"/>
    <w:rsid w:val="00EE62F1"/>
    <w:rsid w:val="00EE6468"/>
    <w:rsid w:val="00F1299B"/>
    <w:rsid w:val="00F207A4"/>
    <w:rsid w:val="00F25173"/>
    <w:rsid w:val="00F355AC"/>
    <w:rsid w:val="00F3630C"/>
    <w:rsid w:val="00F40859"/>
    <w:rsid w:val="00F40CF7"/>
    <w:rsid w:val="00F44194"/>
    <w:rsid w:val="00F51DC1"/>
    <w:rsid w:val="00F71A5A"/>
    <w:rsid w:val="00F72DFA"/>
    <w:rsid w:val="00F73A1A"/>
    <w:rsid w:val="00F769E0"/>
    <w:rsid w:val="00F85C28"/>
    <w:rsid w:val="00F93C16"/>
    <w:rsid w:val="00FA3D9E"/>
    <w:rsid w:val="00FA4A46"/>
    <w:rsid w:val="00FA75FE"/>
    <w:rsid w:val="00FB1032"/>
    <w:rsid w:val="00FB39BC"/>
    <w:rsid w:val="00FB6A53"/>
    <w:rsid w:val="00FC11CA"/>
    <w:rsid w:val="00FC6BDE"/>
    <w:rsid w:val="00FD5734"/>
    <w:rsid w:val="00FD5F23"/>
    <w:rsid w:val="00FD7132"/>
    <w:rsid w:val="00FD7E97"/>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9122EB"/>
  <w15:chartTrackingRefBased/>
  <w15:docId w15:val="{07DC30ED-E8C0-441E-9884-3F0539A2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6A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FD57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regulatory-information/search-fda-guidance-documents/small-entity-compliance-guide-current-good-manufacturing-practice-manufacturing-packaging-labeling" TargetMode="External" /><Relationship Id="rId5" Type="http://schemas.openxmlformats.org/officeDocument/2006/relationships/hyperlink" Target="https://www.fda.gov/industry/small-business-assistance"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3265</Words>
  <Characters>19609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Colburn, Christopher</cp:lastModifiedBy>
  <cp:revision>2</cp:revision>
  <cp:lastPrinted>2026-05-29T15:53:00Z</cp:lastPrinted>
  <dcterms:created xsi:type="dcterms:W3CDTF">2026-06-02T17:00:00Z</dcterms:created>
  <dcterms:modified xsi:type="dcterms:W3CDTF">2026-06-02T17:00:00Z</dcterms:modified>
</cp:coreProperties>
</file>