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873BFC" w:rsidP="00873BFC" w14:paraId="02E047F3" w14:textId="77777777">
      <w:pPr>
        <w:rPr>
          <w:b/>
          <w:sz w:val="22"/>
          <w:szCs w:val="22"/>
        </w:rPr>
      </w:pPr>
    </w:p>
    <w:p w:rsidR="00873BFC" w:rsidRPr="00102F0E" w:rsidP="00140D7A" w14:paraId="7134DF4F" w14:textId="7CB8710B">
      <w:pPr>
        <w:jc w:val="center"/>
        <w:rPr>
          <w:b/>
          <w:sz w:val="28"/>
          <w:szCs w:val="28"/>
        </w:rPr>
      </w:pPr>
      <w:r>
        <w:rPr>
          <w:b/>
          <w:sz w:val="28"/>
          <w:szCs w:val="28"/>
        </w:rPr>
        <w:t>Supporting Statement Part A</w:t>
      </w:r>
    </w:p>
    <w:p w:rsidR="00140D7A" w:rsidP="00140D7A" w14:paraId="1467D616" w14:textId="77777777">
      <w:pPr>
        <w:jc w:val="center"/>
        <w:rPr>
          <w:b/>
          <w:sz w:val="22"/>
          <w:szCs w:val="22"/>
        </w:rPr>
      </w:pPr>
    </w:p>
    <w:p w:rsidR="00140D7A" w:rsidP="00140D7A" w14:paraId="6E8CC243" w14:textId="77777777">
      <w:pPr>
        <w:jc w:val="center"/>
        <w:rPr>
          <w:b/>
          <w:sz w:val="22"/>
          <w:szCs w:val="22"/>
        </w:rPr>
      </w:pPr>
    </w:p>
    <w:p w:rsidR="003E680F" w:rsidP="00140D7A" w14:paraId="7084D783" w14:textId="60456A94">
      <w:pPr>
        <w:jc w:val="center"/>
        <w:rPr>
          <w:b/>
          <w:sz w:val="22"/>
          <w:szCs w:val="22"/>
        </w:rPr>
      </w:pPr>
      <w:r w:rsidRPr="00576282">
        <w:rPr>
          <w:b/>
          <w:sz w:val="22"/>
          <w:szCs w:val="22"/>
        </w:rPr>
        <w:t xml:space="preserve">CDC’s </w:t>
      </w:r>
      <w:r w:rsidRPr="00BE5B7B">
        <w:rPr>
          <w:b/>
          <w:i/>
          <w:iCs/>
          <w:sz w:val="22"/>
          <w:szCs w:val="22"/>
        </w:rPr>
        <w:t>Milestone Tracker</w:t>
      </w:r>
      <w:r w:rsidRPr="00576282">
        <w:rPr>
          <w:b/>
          <w:sz w:val="22"/>
          <w:szCs w:val="22"/>
        </w:rPr>
        <w:t xml:space="preserve"> App User Surveys</w:t>
      </w:r>
    </w:p>
    <w:p w:rsidR="003E680F" w:rsidP="00140D7A" w14:paraId="334CC197" w14:textId="77777777">
      <w:pPr>
        <w:jc w:val="center"/>
        <w:rPr>
          <w:b/>
          <w:sz w:val="22"/>
          <w:szCs w:val="22"/>
        </w:rPr>
      </w:pPr>
    </w:p>
    <w:p w:rsidR="003E680F" w:rsidP="00140D7A" w14:paraId="22AB8138" w14:textId="77777777">
      <w:pPr>
        <w:jc w:val="center"/>
        <w:rPr>
          <w:b/>
          <w:sz w:val="22"/>
          <w:szCs w:val="22"/>
        </w:rPr>
      </w:pPr>
    </w:p>
    <w:p w:rsidR="003E680F" w:rsidP="00140D7A" w14:paraId="28890023" w14:textId="77777777">
      <w:pPr>
        <w:jc w:val="center"/>
        <w:rPr>
          <w:b/>
          <w:sz w:val="22"/>
          <w:szCs w:val="22"/>
        </w:rPr>
      </w:pPr>
    </w:p>
    <w:p w:rsidR="003E680F" w:rsidP="00140D7A" w14:paraId="2AD6FA6F" w14:textId="77777777">
      <w:pPr>
        <w:jc w:val="center"/>
        <w:rPr>
          <w:b/>
          <w:sz w:val="22"/>
          <w:szCs w:val="22"/>
        </w:rPr>
      </w:pPr>
    </w:p>
    <w:p w:rsidR="003E680F" w:rsidP="00140D7A" w14:paraId="14524540" w14:textId="77777777">
      <w:pPr>
        <w:jc w:val="center"/>
        <w:rPr>
          <w:b/>
          <w:sz w:val="22"/>
          <w:szCs w:val="22"/>
        </w:rPr>
      </w:pPr>
    </w:p>
    <w:p w:rsidR="00140D7A" w:rsidP="00140D7A" w14:paraId="33376252" w14:textId="0E2114D7">
      <w:pPr>
        <w:jc w:val="center"/>
        <w:rPr>
          <w:b/>
          <w:sz w:val="22"/>
          <w:szCs w:val="22"/>
        </w:rPr>
      </w:pPr>
      <w:r>
        <w:rPr>
          <w:b/>
          <w:sz w:val="22"/>
          <w:szCs w:val="22"/>
        </w:rPr>
        <w:t>Extension</w:t>
      </w:r>
    </w:p>
    <w:p w:rsidR="00140D7A" w:rsidP="00140D7A" w14:paraId="6EC3B4DC" w14:textId="77777777">
      <w:pPr>
        <w:jc w:val="center"/>
        <w:rPr>
          <w:b/>
          <w:sz w:val="22"/>
          <w:szCs w:val="22"/>
        </w:rPr>
      </w:pPr>
    </w:p>
    <w:p w:rsidR="00F2430C" w:rsidP="00140D7A" w14:paraId="64FE4A4A" w14:textId="77777777">
      <w:pPr>
        <w:jc w:val="center"/>
        <w:rPr>
          <w:b/>
          <w:sz w:val="22"/>
          <w:szCs w:val="22"/>
        </w:rPr>
      </w:pPr>
    </w:p>
    <w:p w:rsidR="00F2430C" w:rsidP="00B6712C" w14:paraId="0A74E828" w14:textId="77777777">
      <w:pPr>
        <w:jc w:val="center"/>
        <w:rPr>
          <w:b/>
          <w:sz w:val="22"/>
          <w:szCs w:val="22"/>
        </w:rPr>
      </w:pPr>
    </w:p>
    <w:p w:rsidR="00F2430C" w:rsidP="3984E99C" w14:paraId="41FAEFE4" w14:textId="4465767D">
      <w:pPr>
        <w:jc w:val="center"/>
        <w:rPr>
          <w:b/>
          <w:bCs/>
          <w:sz w:val="22"/>
          <w:szCs w:val="22"/>
        </w:rPr>
      </w:pPr>
      <w:r>
        <w:rPr>
          <w:b/>
          <w:bCs/>
          <w:sz w:val="22"/>
          <w:szCs w:val="22"/>
        </w:rPr>
        <w:t xml:space="preserve">Samantha Budzyn </w:t>
      </w:r>
    </w:p>
    <w:p w:rsidR="00576282" w:rsidP="3984E99C" w14:paraId="037F7E0B" w14:textId="1630D581">
      <w:pPr>
        <w:jc w:val="center"/>
        <w:rPr>
          <w:b/>
          <w:bCs/>
          <w:sz w:val="22"/>
          <w:szCs w:val="22"/>
        </w:rPr>
      </w:pPr>
      <w:r>
        <w:rPr>
          <w:b/>
          <w:bCs/>
          <w:sz w:val="22"/>
          <w:szCs w:val="22"/>
        </w:rPr>
        <w:t xml:space="preserve">Health Scientist, Lead Evaluator </w:t>
      </w:r>
    </w:p>
    <w:p w:rsidR="00B6712C" w:rsidP="00B6712C" w14:paraId="1F703325" w14:textId="77777777">
      <w:pPr>
        <w:jc w:val="center"/>
        <w:rPr>
          <w:rFonts w:cs="Calibri"/>
          <w:b/>
          <w:bCs/>
          <w:noProof/>
        </w:rPr>
      </w:pPr>
    </w:p>
    <w:p w:rsidR="00576282" w:rsidP="00576282" w14:paraId="4350672C" w14:textId="06CCAC18">
      <w:pPr>
        <w:jc w:val="center"/>
        <w:rPr>
          <w:rFonts w:cs="Calibri"/>
          <w:b/>
          <w:bCs/>
          <w:noProof/>
        </w:rPr>
      </w:pPr>
      <w:hyperlink r:id="rId8" w:history="1">
        <w:r w:rsidRPr="00BE02DB">
          <w:rPr>
            <w:rStyle w:val="Hyperlink"/>
            <w:rFonts w:cs="Calibri"/>
            <w:b/>
            <w:bCs/>
            <w:noProof/>
          </w:rPr>
          <w:t>Oqi0@cdc.gov</w:t>
        </w:r>
      </w:hyperlink>
    </w:p>
    <w:p w:rsidR="00576282" w:rsidP="00576282" w14:paraId="6561C2F9" w14:textId="77777777">
      <w:pPr>
        <w:jc w:val="center"/>
        <w:rPr>
          <w:rFonts w:cs="Calibri"/>
          <w:b/>
          <w:bCs/>
          <w:noProof/>
        </w:rPr>
      </w:pPr>
    </w:p>
    <w:p w:rsidR="00576282" w:rsidP="00576282" w14:paraId="191E4A40" w14:textId="30436326">
      <w:pPr>
        <w:jc w:val="center"/>
        <w:rPr>
          <w:rFonts w:cs="Calibri"/>
          <w:b/>
          <w:bCs/>
          <w:noProof/>
        </w:rPr>
        <w:sectPr w:rsidSect="009C322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pPr>
      <w:r>
        <w:rPr>
          <w:rFonts w:cs="Calibri"/>
          <w:b/>
          <w:bCs/>
          <w:noProof/>
        </w:rPr>
        <w:t>319-850-7494</w:t>
      </w:r>
    </w:p>
    <w:p w:rsidR="00B6712C" w:rsidP="00140D7A" w14:paraId="0C73EF93" w14:textId="77777777">
      <w:pPr>
        <w:jc w:val="center"/>
        <w:rPr>
          <w:b/>
          <w:sz w:val="22"/>
          <w:szCs w:val="22"/>
        </w:rPr>
        <w:sectPr w:rsidSect="00B6712C">
          <w:type w:val="continuous"/>
          <w:pgSz w:w="12240" w:h="15840"/>
          <w:pgMar w:top="1440" w:right="990" w:bottom="1440" w:left="1440" w:header="720" w:footer="720" w:gutter="0"/>
          <w:cols w:num="3" w:space="759" w:equalWidth="0">
            <w:col w:w="4176" w:space="0"/>
            <w:col w:w="1037" w:space="0"/>
            <w:col w:w="4147" w:space="0"/>
          </w:cols>
          <w:docGrid w:linePitch="360"/>
        </w:sectPr>
      </w:pPr>
    </w:p>
    <w:p w:rsidR="00140D7A" w:rsidP="00140D7A" w14:paraId="1B8FBDAB" w14:textId="3A132B61">
      <w:pPr>
        <w:jc w:val="center"/>
        <w:rPr>
          <w:b/>
          <w:sz w:val="22"/>
          <w:szCs w:val="22"/>
        </w:rPr>
      </w:pPr>
    </w:p>
    <w:p w:rsidR="00140D7A" w:rsidP="00140D7A" w14:paraId="746BFCD2" w14:textId="77777777">
      <w:pPr>
        <w:jc w:val="center"/>
        <w:rPr>
          <w:b/>
          <w:sz w:val="22"/>
          <w:szCs w:val="22"/>
        </w:rPr>
      </w:pPr>
    </w:p>
    <w:p w:rsidR="00140D7A" w:rsidP="00140D7A" w14:paraId="6DCEEADD" w14:textId="77777777">
      <w:pPr>
        <w:jc w:val="center"/>
        <w:rPr>
          <w:b/>
          <w:sz w:val="22"/>
          <w:szCs w:val="22"/>
        </w:rPr>
      </w:pPr>
    </w:p>
    <w:p w:rsidR="00140D7A" w:rsidP="00140D7A" w14:paraId="361513C0" w14:textId="77777777">
      <w:pPr>
        <w:jc w:val="center"/>
        <w:rPr>
          <w:b/>
          <w:sz w:val="22"/>
          <w:szCs w:val="22"/>
        </w:rPr>
      </w:pPr>
    </w:p>
    <w:p w:rsidR="00140D7A" w:rsidP="00140D7A" w14:paraId="61A38324" w14:textId="77777777">
      <w:pPr>
        <w:jc w:val="center"/>
        <w:rPr>
          <w:b/>
          <w:sz w:val="22"/>
          <w:szCs w:val="22"/>
        </w:rPr>
      </w:pPr>
    </w:p>
    <w:p w:rsidR="00140D7A" w:rsidP="00140D7A" w14:paraId="58EAE67A" w14:textId="77777777">
      <w:pPr>
        <w:jc w:val="center"/>
        <w:rPr>
          <w:b/>
          <w:sz w:val="22"/>
          <w:szCs w:val="22"/>
        </w:rPr>
      </w:pPr>
    </w:p>
    <w:p w:rsidR="00140D7A" w:rsidP="00140D7A" w14:paraId="4698AD76" w14:textId="77777777">
      <w:pPr>
        <w:jc w:val="center"/>
        <w:rPr>
          <w:b/>
          <w:sz w:val="22"/>
          <w:szCs w:val="22"/>
        </w:rPr>
      </w:pPr>
    </w:p>
    <w:p w:rsidR="00140D7A" w:rsidP="00140D7A" w14:paraId="6A436B38" w14:textId="77777777">
      <w:pPr>
        <w:jc w:val="center"/>
        <w:rPr>
          <w:b/>
          <w:sz w:val="22"/>
          <w:szCs w:val="22"/>
        </w:rPr>
      </w:pPr>
    </w:p>
    <w:p w:rsidR="00140D7A" w:rsidP="00140D7A" w14:paraId="37753E01" w14:textId="77777777">
      <w:pPr>
        <w:jc w:val="center"/>
        <w:rPr>
          <w:b/>
          <w:sz w:val="22"/>
          <w:szCs w:val="22"/>
        </w:rPr>
      </w:pPr>
    </w:p>
    <w:p w:rsidR="00140D7A" w:rsidP="00140D7A" w14:paraId="27D86D1A" w14:textId="77777777">
      <w:pPr>
        <w:jc w:val="center"/>
        <w:rPr>
          <w:b/>
          <w:sz w:val="22"/>
          <w:szCs w:val="22"/>
        </w:rPr>
      </w:pPr>
    </w:p>
    <w:p w:rsidR="00140D7A" w:rsidP="00140D7A" w14:paraId="34DE55E3" w14:textId="77777777">
      <w:pPr>
        <w:jc w:val="center"/>
        <w:rPr>
          <w:b/>
          <w:sz w:val="22"/>
          <w:szCs w:val="22"/>
        </w:rPr>
      </w:pPr>
    </w:p>
    <w:p w:rsidR="00873BFC" w:rsidRPr="00B6712C" w:rsidP="00140D7A" w14:paraId="023F86B1" w14:textId="06C96EDE">
      <w:pPr>
        <w:jc w:val="center"/>
        <w:rPr>
          <w:bCs/>
          <w:sz w:val="22"/>
          <w:szCs w:val="22"/>
        </w:rPr>
      </w:pPr>
      <w:r>
        <w:rPr>
          <w:bCs/>
          <w:sz w:val="22"/>
          <w:szCs w:val="22"/>
        </w:rPr>
        <w:fldChar w:fldCharType="begin"/>
      </w:r>
      <w:r>
        <w:rPr>
          <w:bCs/>
          <w:sz w:val="22"/>
          <w:szCs w:val="22"/>
        </w:rPr>
        <w:instrText xml:space="preserve"> DATE \@ "MMMM d, yyyy" </w:instrText>
      </w:r>
      <w:r>
        <w:rPr>
          <w:bCs/>
          <w:sz w:val="22"/>
          <w:szCs w:val="22"/>
        </w:rPr>
        <w:fldChar w:fldCharType="separate"/>
      </w:r>
      <w:r w:rsidR="00BC4C86">
        <w:rPr>
          <w:bCs/>
          <w:noProof/>
          <w:sz w:val="22"/>
          <w:szCs w:val="22"/>
        </w:rPr>
        <w:t>May 27, 2026</w:t>
      </w:r>
      <w:r>
        <w:rPr>
          <w:bCs/>
          <w:sz w:val="22"/>
          <w:szCs w:val="22"/>
        </w:rPr>
        <w:fldChar w:fldCharType="end"/>
      </w:r>
      <w:r w:rsidRPr="00B6712C">
        <w:rPr>
          <w:bCs/>
          <w:sz w:val="22"/>
          <w:szCs w:val="22"/>
        </w:rPr>
        <w:br w:type="page"/>
      </w:r>
    </w:p>
    <w:sdt>
      <w:sdtPr>
        <w:rPr>
          <w:rFonts w:ascii="Times New Roman" w:eastAsia="Times New Roman" w:hAnsi="Times New Roman" w:cs="Times New Roman"/>
          <w:color w:val="auto"/>
          <w:sz w:val="24"/>
          <w:szCs w:val="24"/>
        </w:rPr>
        <w:id w:val="-846248286"/>
        <w:docPartObj>
          <w:docPartGallery w:val="Table of Contents"/>
          <w:docPartUnique/>
        </w:docPartObj>
      </w:sdtPr>
      <w:sdtEndPr>
        <w:rPr>
          <w:b/>
          <w:bCs/>
          <w:noProof/>
        </w:rPr>
      </w:sdtEndPr>
      <w:sdtContent>
        <w:p w:rsidR="00F7573F" w:rsidRPr="00FC569E" w14:paraId="57C23DBB" w14:textId="7987B8C3">
          <w:pPr>
            <w:pStyle w:val="TOCHeading"/>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Table of Contents</w:t>
          </w:r>
        </w:p>
        <w:p w:rsidR="00D2749B" w14:paraId="1164CBCA" w14:textId="142F1909">
          <w:pPr>
            <w:pStyle w:val="TOC1"/>
            <w:tabs>
              <w:tab w:val="right" w:leader="dot" w:pos="9350"/>
            </w:tabs>
            <w:rPr>
              <w:rFonts w:asciiTheme="minorHAnsi" w:eastAsiaTheme="minorEastAsia" w:hAnsiTheme="minorHAnsi" w:cstheme="minorBidi"/>
              <w:noProof/>
              <w:sz w:val="22"/>
              <w:szCs w:val="22"/>
            </w:rPr>
          </w:pPr>
          <w:r w:rsidRPr="00F7573F">
            <w:rPr>
              <w:b/>
              <w:bCs/>
              <w:i/>
              <w:iCs/>
            </w:rPr>
            <w:fldChar w:fldCharType="begin"/>
          </w:r>
          <w:r w:rsidRPr="00F7573F">
            <w:rPr>
              <w:b/>
              <w:bCs/>
              <w:i/>
              <w:iCs/>
            </w:rPr>
            <w:instrText xml:space="preserve"> TOC \o "1-3" \h \z \u </w:instrText>
          </w:r>
          <w:r w:rsidRPr="00F7573F">
            <w:rPr>
              <w:b/>
              <w:bCs/>
              <w:i/>
              <w:iCs/>
            </w:rPr>
            <w:fldChar w:fldCharType="separate"/>
          </w:r>
          <w:hyperlink w:anchor="_Toc121838455" w:history="1">
            <w:r w:rsidRPr="00AF15C5">
              <w:rPr>
                <w:rStyle w:val="Hyperlink"/>
                <w:noProof/>
              </w:rPr>
              <w:t>Section A.1. Circumstances Making the Collection of Information Necessary</w:t>
            </w:r>
            <w:r>
              <w:rPr>
                <w:noProof/>
                <w:webHidden/>
              </w:rPr>
              <w:tab/>
            </w:r>
            <w:r>
              <w:rPr>
                <w:noProof/>
                <w:webHidden/>
              </w:rPr>
              <w:fldChar w:fldCharType="begin"/>
            </w:r>
            <w:r>
              <w:rPr>
                <w:noProof/>
                <w:webHidden/>
              </w:rPr>
              <w:instrText xml:space="preserve"> PAGEREF _Toc121838455 \h </w:instrText>
            </w:r>
            <w:r>
              <w:rPr>
                <w:noProof/>
                <w:webHidden/>
              </w:rPr>
              <w:fldChar w:fldCharType="separate"/>
            </w:r>
            <w:r>
              <w:rPr>
                <w:noProof/>
                <w:webHidden/>
              </w:rPr>
              <w:t>3</w:t>
            </w:r>
            <w:r>
              <w:rPr>
                <w:noProof/>
                <w:webHidden/>
              </w:rPr>
              <w:fldChar w:fldCharType="end"/>
            </w:r>
          </w:hyperlink>
        </w:p>
        <w:p w:rsidR="00D2749B" w14:paraId="62EAC4F8" w14:textId="02FBD93B">
          <w:pPr>
            <w:pStyle w:val="TOC1"/>
            <w:tabs>
              <w:tab w:val="right" w:leader="dot" w:pos="9350"/>
            </w:tabs>
            <w:rPr>
              <w:rFonts w:asciiTheme="minorHAnsi" w:eastAsiaTheme="minorEastAsia" w:hAnsiTheme="minorHAnsi" w:cstheme="minorBidi"/>
              <w:noProof/>
              <w:sz w:val="22"/>
              <w:szCs w:val="22"/>
            </w:rPr>
          </w:pPr>
          <w:hyperlink w:anchor="_Toc121838456" w:history="1">
            <w:r w:rsidRPr="00AF15C5">
              <w:rPr>
                <w:rStyle w:val="Hyperlink"/>
                <w:noProof/>
              </w:rPr>
              <w:t>Section A.2. Purpose and Use of Information Collection</w:t>
            </w:r>
            <w:r>
              <w:rPr>
                <w:noProof/>
                <w:webHidden/>
              </w:rPr>
              <w:tab/>
            </w:r>
            <w:r>
              <w:rPr>
                <w:noProof/>
                <w:webHidden/>
              </w:rPr>
              <w:fldChar w:fldCharType="begin"/>
            </w:r>
            <w:r>
              <w:rPr>
                <w:noProof/>
                <w:webHidden/>
              </w:rPr>
              <w:instrText xml:space="preserve"> PAGEREF _Toc121838456 \h </w:instrText>
            </w:r>
            <w:r>
              <w:rPr>
                <w:noProof/>
                <w:webHidden/>
              </w:rPr>
              <w:fldChar w:fldCharType="separate"/>
            </w:r>
            <w:r>
              <w:rPr>
                <w:noProof/>
                <w:webHidden/>
              </w:rPr>
              <w:t>4</w:t>
            </w:r>
            <w:r>
              <w:rPr>
                <w:noProof/>
                <w:webHidden/>
              </w:rPr>
              <w:fldChar w:fldCharType="end"/>
            </w:r>
          </w:hyperlink>
        </w:p>
        <w:p w:rsidR="00D2749B" w14:paraId="63934DF6" w14:textId="0754F227">
          <w:pPr>
            <w:pStyle w:val="TOC1"/>
            <w:tabs>
              <w:tab w:val="right" w:leader="dot" w:pos="9350"/>
            </w:tabs>
            <w:rPr>
              <w:rFonts w:asciiTheme="minorHAnsi" w:eastAsiaTheme="minorEastAsia" w:hAnsiTheme="minorHAnsi" w:cstheme="minorBidi"/>
              <w:noProof/>
              <w:sz w:val="22"/>
              <w:szCs w:val="22"/>
            </w:rPr>
          </w:pPr>
          <w:hyperlink w:anchor="_Toc121838457" w:history="1">
            <w:r w:rsidRPr="00AF15C5">
              <w:rPr>
                <w:rStyle w:val="Hyperlink"/>
                <w:noProof/>
              </w:rPr>
              <w:t>Section A.3. Use of Improved Information Technology and Burden Reduction</w:t>
            </w:r>
            <w:r>
              <w:rPr>
                <w:noProof/>
                <w:webHidden/>
              </w:rPr>
              <w:tab/>
            </w:r>
            <w:r>
              <w:rPr>
                <w:noProof/>
                <w:webHidden/>
              </w:rPr>
              <w:fldChar w:fldCharType="begin"/>
            </w:r>
            <w:r>
              <w:rPr>
                <w:noProof/>
                <w:webHidden/>
              </w:rPr>
              <w:instrText xml:space="preserve"> PAGEREF _Toc121838457 \h </w:instrText>
            </w:r>
            <w:r>
              <w:rPr>
                <w:noProof/>
                <w:webHidden/>
              </w:rPr>
              <w:fldChar w:fldCharType="separate"/>
            </w:r>
            <w:r>
              <w:rPr>
                <w:noProof/>
                <w:webHidden/>
              </w:rPr>
              <w:t>4</w:t>
            </w:r>
            <w:r>
              <w:rPr>
                <w:noProof/>
                <w:webHidden/>
              </w:rPr>
              <w:fldChar w:fldCharType="end"/>
            </w:r>
          </w:hyperlink>
        </w:p>
        <w:p w:rsidR="00D2749B" w14:paraId="2522B77A" w14:textId="743C5AF3">
          <w:pPr>
            <w:pStyle w:val="TOC1"/>
            <w:tabs>
              <w:tab w:val="right" w:leader="dot" w:pos="9350"/>
            </w:tabs>
            <w:rPr>
              <w:rFonts w:asciiTheme="minorHAnsi" w:eastAsiaTheme="minorEastAsia" w:hAnsiTheme="minorHAnsi" w:cstheme="minorBidi"/>
              <w:noProof/>
              <w:sz w:val="22"/>
              <w:szCs w:val="22"/>
            </w:rPr>
          </w:pPr>
          <w:hyperlink w:anchor="_Toc121838458" w:history="1">
            <w:r w:rsidRPr="00AF15C5">
              <w:rPr>
                <w:rStyle w:val="Hyperlink"/>
                <w:noProof/>
              </w:rPr>
              <w:t>Section A.4. Efforts to Identify Duplication and Use of Similar Information</w:t>
            </w:r>
            <w:r>
              <w:rPr>
                <w:noProof/>
                <w:webHidden/>
              </w:rPr>
              <w:tab/>
            </w:r>
            <w:r>
              <w:rPr>
                <w:noProof/>
                <w:webHidden/>
              </w:rPr>
              <w:fldChar w:fldCharType="begin"/>
            </w:r>
            <w:r>
              <w:rPr>
                <w:noProof/>
                <w:webHidden/>
              </w:rPr>
              <w:instrText xml:space="preserve"> PAGEREF _Toc121838458 \h </w:instrText>
            </w:r>
            <w:r>
              <w:rPr>
                <w:noProof/>
                <w:webHidden/>
              </w:rPr>
              <w:fldChar w:fldCharType="separate"/>
            </w:r>
            <w:r>
              <w:rPr>
                <w:noProof/>
                <w:webHidden/>
              </w:rPr>
              <w:t>4</w:t>
            </w:r>
            <w:r>
              <w:rPr>
                <w:noProof/>
                <w:webHidden/>
              </w:rPr>
              <w:fldChar w:fldCharType="end"/>
            </w:r>
          </w:hyperlink>
        </w:p>
        <w:p w:rsidR="00D2749B" w14:paraId="3FE58662" w14:textId="064AC1DA">
          <w:pPr>
            <w:pStyle w:val="TOC1"/>
            <w:tabs>
              <w:tab w:val="right" w:leader="dot" w:pos="9350"/>
            </w:tabs>
            <w:rPr>
              <w:rFonts w:asciiTheme="minorHAnsi" w:eastAsiaTheme="minorEastAsia" w:hAnsiTheme="minorHAnsi" w:cstheme="minorBidi"/>
              <w:noProof/>
              <w:sz w:val="22"/>
              <w:szCs w:val="22"/>
            </w:rPr>
          </w:pPr>
          <w:hyperlink w:anchor="_Toc121838459" w:history="1">
            <w:r w:rsidRPr="00AF15C5">
              <w:rPr>
                <w:rStyle w:val="Hyperlink"/>
                <w:noProof/>
              </w:rPr>
              <w:t>Section A.5. Impact on Small Businesses or Other Small Entities</w:t>
            </w:r>
            <w:r>
              <w:rPr>
                <w:noProof/>
                <w:webHidden/>
              </w:rPr>
              <w:tab/>
            </w:r>
            <w:r>
              <w:rPr>
                <w:noProof/>
                <w:webHidden/>
              </w:rPr>
              <w:fldChar w:fldCharType="begin"/>
            </w:r>
            <w:r>
              <w:rPr>
                <w:noProof/>
                <w:webHidden/>
              </w:rPr>
              <w:instrText xml:space="preserve"> PAGEREF _Toc121838459 \h </w:instrText>
            </w:r>
            <w:r>
              <w:rPr>
                <w:noProof/>
                <w:webHidden/>
              </w:rPr>
              <w:fldChar w:fldCharType="separate"/>
            </w:r>
            <w:r>
              <w:rPr>
                <w:noProof/>
                <w:webHidden/>
              </w:rPr>
              <w:t>4</w:t>
            </w:r>
            <w:r>
              <w:rPr>
                <w:noProof/>
                <w:webHidden/>
              </w:rPr>
              <w:fldChar w:fldCharType="end"/>
            </w:r>
          </w:hyperlink>
        </w:p>
        <w:p w:rsidR="00D2749B" w14:paraId="636126E1" w14:textId="05EFF06E">
          <w:pPr>
            <w:pStyle w:val="TOC1"/>
            <w:tabs>
              <w:tab w:val="right" w:leader="dot" w:pos="9350"/>
            </w:tabs>
            <w:rPr>
              <w:rFonts w:asciiTheme="minorHAnsi" w:eastAsiaTheme="minorEastAsia" w:hAnsiTheme="minorHAnsi" w:cstheme="minorBidi"/>
              <w:noProof/>
              <w:sz w:val="22"/>
              <w:szCs w:val="22"/>
            </w:rPr>
          </w:pPr>
          <w:hyperlink w:anchor="_Toc121838460" w:history="1">
            <w:r w:rsidRPr="00AF15C5">
              <w:rPr>
                <w:rStyle w:val="Hyperlink"/>
                <w:noProof/>
              </w:rPr>
              <w:t>Section A.6. Consequences of Collecting the Information Less Frequently</w:t>
            </w:r>
            <w:r>
              <w:rPr>
                <w:noProof/>
                <w:webHidden/>
              </w:rPr>
              <w:tab/>
            </w:r>
            <w:r>
              <w:rPr>
                <w:noProof/>
                <w:webHidden/>
              </w:rPr>
              <w:fldChar w:fldCharType="begin"/>
            </w:r>
            <w:r>
              <w:rPr>
                <w:noProof/>
                <w:webHidden/>
              </w:rPr>
              <w:instrText xml:space="preserve"> PAGEREF _Toc121838460 \h </w:instrText>
            </w:r>
            <w:r>
              <w:rPr>
                <w:noProof/>
                <w:webHidden/>
              </w:rPr>
              <w:fldChar w:fldCharType="separate"/>
            </w:r>
            <w:r>
              <w:rPr>
                <w:noProof/>
                <w:webHidden/>
              </w:rPr>
              <w:t>5</w:t>
            </w:r>
            <w:r>
              <w:rPr>
                <w:noProof/>
                <w:webHidden/>
              </w:rPr>
              <w:fldChar w:fldCharType="end"/>
            </w:r>
          </w:hyperlink>
        </w:p>
        <w:p w:rsidR="00D2749B" w14:paraId="211D784E" w14:textId="6A6BFFAD">
          <w:pPr>
            <w:pStyle w:val="TOC1"/>
            <w:tabs>
              <w:tab w:val="right" w:leader="dot" w:pos="9350"/>
            </w:tabs>
            <w:rPr>
              <w:rFonts w:asciiTheme="minorHAnsi" w:eastAsiaTheme="minorEastAsia" w:hAnsiTheme="minorHAnsi" w:cstheme="minorBidi"/>
              <w:noProof/>
              <w:sz w:val="22"/>
              <w:szCs w:val="22"/>
            </w:rPr>
          </w:pPr>
          <w:hyperlink w:anchor="_Toc121838461" w:history="1">
            <w:r w:rsidRPr="00AF15C5">
              <w:rPr>
                <w:rStyle w:val="Hyperlink"/>
                <w:noProof/>
              </w:rPr>
              <w:t>Section A.7. Special Circumstances Relating to the Guidelines of 5 CFR 1320.5</w:t>
            </w:r>
            <w:r>
              <w:rPr>
                <w:noProof/>
                <w:webHidden/>
              </w:rPr>
              <w:tab/>
            </w:r>
            <w:r>
              <w:rPr>
                <w:noProof/>
                <w:webHidden/>
              </w:rPr>
              <w:fldChar w:fldCharType="begin"/>
            </w:r>
            <w:r>
              <w:rPr>
                <w:noProof/>
                <w:webHidden/>
              </w:rPr>
              <w:instrText xml:space="preserve"> PAGEREF _Toc121838461 \h </w:instrText>
            </w:r>
            <w:r>
              <w:rPr>
                <w:noProof/>
                <w:webHidden/>
              </w:rPr>
              <w:fldChar w:fldCharType="separate"/>
            </w:r>
            <w:r>
              <w:rPr>
                <w:noProof/>
                <w:webHidden/>
              </w:rPr>
              <w:t>5</w:t>
            </w:r>
            <w:r>
              <w:rPr>
                <w:noProof/>
                <w:webHidden/>
              </w:rPr>
              <w:fldChar w:fldCharType="end"/>
            </w:r>
          </w:hyperlink>
        </w:p>
        <w:p w:rsidR="00D2749B" w14:paraId="029D17C4" w14:textId="67F89E34">
          <w:pPr>
            <w:pStyle w:val="TOC1"/>
            <w:tabs>
              <w:tab w:val="right" w:leader="dot" w:pos="9350"/>
            </w:tabs>
            <w:rPr>
              <w:rFonts w:asciiTheme="minorHAnsi" w:eastAsiaTheme="minorEastAsia" w:hAnsiTheme="minorHAnsi" w:cstheme="minorBidi"/>
              <w:noProof/>
              <w:sz w:val="22"/>
              <w:szCs w:val="22"/>
            </w:rPr>
          </w:pPr>
          <w:hyperlink w:anchor="_Toc121838462" w:history="1">
            <w:r w:rsidRPr="00AF15C5">
              <w:rPr>
                <w:rStyle w:val="Hyperlink"/>
                <w:noProof/>
              </w:rPr>
              <w:t>Section A.8. Comments in Response to the Federal Register Notice and Efforts to Consult Outside the Agency</w:t>
            </w:r>
            <w:r>
              <w:rPr>
                <w:noProof/>
                <w:webHidden/>
              </w:rPr>
              <w:tab/>
            </w:r>
            <w:r>
              <w:rPr>
                <w:noProof/>
                <w:webHidden/>
              </w:rPr>
              <w:fldChar w:fldCharType="begin"/>
            </w:r>
            <w:r>
              <w:rPr>
                <w:noProof/>
                <w:webHidden/>
              </w:rPr>
              <w:instrText xml:space="preserve"> PAGEREF _Toc121838462 \h </w:instrText>
            </w:r>
            <w:r>
              <w:rPr>
                <w:noProof/>
                <w:webHidden/>
              </w:rPr>
              <w:fldChar w:fldCharType="separate"/>
            </w:r>
            <w:r>
              <w:rPr>
                <w:noProof/>
                <w:webHidden/>
              </w:rPr>
              <w:t>5</w:t>
            </w:r>
            <w:r>
              <w:rPr>
                <w:noProof/>
                <w:webHidden/>
              </w:rPr>
              <w:fldChar w:fldCharType="end"/>
            </w:r>
          </w:hyperlink>
        </w:p>
        <w:p w:rsidR="00D2749B" w14:paraId="5FA55BFF" w14:textId="10F3FD9A">
          <w:pPr>
            <w:pStyle w:val="TOC1"/>
            <w:tabs>
              <w:tab w:val="right" w:leader="dot" w:pos="9350"/>
            </w:tabs>
            <w:rPr>
              <w:rFonts w:asciiTheme="minorHAnsi" w:eastAsiaTheme="minorEastAsia" w:hAnsiTheme="minorHAnsi" w:cstheme="minorBidi"/>
              <w:noProof/>
              <w:sz w:val="22"/>
              <w:szCs w:val="22"/>
            </w:rPr>
          </w:pPr>
          <w:hyperlink w:anchor="_Toc121838463" w:history="1">
            <w:r w:rsidRPr="00AF15C5">
              <w:rPr>
                <w:rStyle w:val="Hyperlink"/>
                <w:noProof/>
              </w:rPr>
              <w:t>Section A.9. Explanation of Any Payment or Gift to Respondents</w:t>
            </w:r>
            <w:r>
              <w:rPr>
                <w:noProof/>
                <w:webHidden/>
              </w:rPr>
              <w:tab/>
            </w:r>
            <w:r>
              <w:rPr>
                <w:noProof/>
                <w:webHidden/>
              </w:rPr>
              <w:fldChar w:fldCharType="begin"/>
            </w:r>
            <w:r>
              <w:rPr>
                <w:noProof/>
                <w:webHidden/>
              </w:rPr>
              <w:instrText xml:space="preserve"> PAGEREF _Toc121838463 \h </w:instrText>
            </w:r>
            <w:r>
              <w:rPr>
                <w:noProof/>
                <w:webHidden/>
              </w:rPr>
              <w:fldChar w:fldCharType="separate"/>
            </w:r>
            <w:r>
              <w:rPr>
                <w:noProof/>
                <w:webHidden/>
              </w:rPr>
              <w:t>5</w:t>
            </w:r>
            <w:r>
              <w:rPr>
                <w:noProof/>
                <w:webHidden/>
              </w:rPr>
              <w:fldChar w:fldCharType="end"/>
            </w:r>
          </w:hyperlink>
        </w:p>
        <w:p w:rsidR="00D2749B" w14:paraId="65C71C67" w14:textId="3B6D2099">
          <w:pPr>
            <w:pStyle w:val="TOC1"/>
            <w:tabs>
              <w:tab w:val="right" w:leader="dot" w:pos="9350"/>
            </w:tabs>
            <w:rPr>
              <w:rFonts w:asciiTheme="minorHAnsi" w:eastAsiaTheme="minorEastAsia" w:hAnsiTheme="minorHAnsi" w:cstheme="minorBidi"/>
              <w:noProof/>
              <w:sz w:val="22"/>
              <w:szCs w:val="22"/>
            </w:rPr>
          </w:pPr>
          <w:hyperlink w:anchor="_Toc121838464" w:history="1">
            <w:r w:rsidRPr="00AF15C5">
              <w:rPr>
                <w:rStyle w:val="Hyperlink"/>
                <w:noProof/>
              </w:rPr>
              <w:t>Section A.10. Assurance of Confidentiality Provided to Respondents</w:t>
            </w:r>
            <w:r>
              <w:rPr>
                <w:noProof/>
                <w:webHidden/>
              </w:rPr>
              <w:tab/>
            </w:r>
            <w:r>
              <w:rPr>
                <w:noProof/>
                <w:webHidden/>
              </w:rPr>
              <w:fldChar w:fldCharType="begin"/>
            </w:r>
            <w:r>
              <w:rPr>
                <w:noProof/>
                <w:webHidden/>
              </w:rPr>
              <w:instrText xml:space="preserve"> PAGEREF _Toc121838464 \h </w:instrText>
            </w:r>
            <w:r>
              <w:rPr>
                <w:noProof/>
                <w:webHidden/>
              </w:rPr>
              <w:fldChar w:fldCharType="separate"/>
            </w:r>
            <w:r>
              <w:rPr>
                <w:noProof/>
                <w:webHidden/>
              </w:rPr>
              <w:t>5</w:t>
            </w:r>
            <w:r>
              <w:rPr>
                <w:noProof/>
                <w:webHidden/>
              </w:rPr>
              <w:fldChar w:fldCharType="end"/>
            </w:r>
          </w:hyperlink>
        </w:p>
        <w:p w:rsidR="00D2749B" w14:paraId="2299994D" w14:textId="6B107F63">
          <w:pPr>
            <w:pStyle w:val="TOC1"/>
            <w:tabs>
              <w:tab w:val="right" w:leader="dot" w:pos="9350"/>
            </w:tabs>
            <w:rPr>
              <w:rFonts w:asciiTheme="minorHAnsi" w:eastAsiaTheme="minorEastAsia" w:hAnsiTheme="minorHAnsi" w:cstheme="minorBidi"/>
              <w:noProof/>
              <w:sz w:val="22"/>
              <w:szCs w:val="22"/>
            </w:rPr>
          </w:pPr>
          <w:hyperlink w:anchor="_Toc121838465" w:history="1">
            <w:r w:rsidRPr="00AF15C5">
              <w:rPr>
                <w:rStyle w:val="Hyperlink"/>
                <w:noProof/>
              </w:rPr>
              <w:t>Section A.11. Justification for Sensitive Questions</w:t>
            </w:r>
            <w:r>
              <w:rPr>
                <w:noProof/>
                <w:webHidden/>
              </w:rPr>
              <w:tab/>
            </w:r>
            <w:r>
              <w:rPr>
                <w:noProof/>
                <w:webHidden/>
              </w:rPr>
              <w:fldChar w:fldCharType="begin"/>
            </w:r>
            <w:r>
              <w:rPr>
                <w:noProof/>
                <w:webHidden/>
              </w:rPr>
              <w:instrText xml:space="preserve"> PAGEREF _Toc121838465 \h </w:instrText>
            </w:r>
            <w:r>
              <w:rPr>
                <w:noProof/>
                <w:webHidden/>
              </w:rPr>
              <w:fldChar w:fldCharType="separate"/>
            </w:r>
            <w:r>
              <w:rPr>
                <w:noProof/>
                <w:webHidden/>
              </w:rPr>
              <w:t>6</w:t>
            </w:r>
            <w:r>
              <w:rPr>
                <w:noProof/>
                <w:webHidden/>
              </w:rPr>
              <w:fldChar w:fldCharType="end"/>
            </w:r>
          </w:hyperlink>
        </w:p>
        <w:p w:rsidR="00D2749B" w14:paraId="799AD871" w14:textId="7A53E4BC">
          <w:pPr>
            <w:pStyle w:val="TOC1"/>
            <w:tabs>
              <w:tab w:val="right" w:leader="dot" w:pos="9350"/>
            </w:tabs>
            <w:rPr>
              <w:rFonts w:asciiTheme="minorHAnsi" w:eastAsiaTheme="minorEastAsia" w:hAnsiTheme="minorHAnsi" w:cstheme="minorBidi"/>
              <w:noProof/>
              <w:sz w:val="22"/>
              <w:szCs w:val="22"/>
            </w:rPr>
          </w:pPr>
          <w:hyperlink w:anchor="_Toc121838466" w:history="1">
            <w:r w:rsidRPr="00AF15C5">
              <w:rPr>
                <w:rStyle w:val="Hyperlink"/>
                <w:noProof/>
              </w:rPr>
              <w:t>Section A.12. Estimates of Annualized Burden Hours and Costs</w:t>
            </w:r>
            <w:r>
              <w:rPr>
                <w:noProof/>
                <w:webHidden/>
              </w:rPr>
              <w:tab/>
            </w:r>
            <w:r>
              <w:rPr>
                <w:noProof/>
                <w:webHidden/>
              </w:rPr>
              <w:fldChar w:fldCharType="begin"/>
            </w:r>
            <w:r>
              <w:rPr>
                <w:noProof/>
                <w:webHidden/>
              </w:rPr>
              <w:instrText xml:space="preserve"> PAGEREF _Toc121838466 \h </w:instrText>
            </w:r>
            <w:r>
              <w:rPr>
                <w:noProof/>
                <w:webHidden/>
              </w:rPr>
              <w:fldChar w:fldCharType="separate"/>
            </w:r>
            <w:r>
              <w:rPr>
                <w:noProof/>
                <w:webHidden/>
              </w:rPr>
              <w:t>6</w:t>
            </w:r>
            <w:r>
              <w:rPr>
                <w:noProof/>
                <w:webHidden/>
              </w:rPr>
              <w:fldChar w:fldCharType="end"/>
            </w:r>
          </w:hyperlink>
        </w:p>
        <w:p w:rsidR="00D2749B" w14:paraId="446E4D1A" w14:textId="113F6CBD">
          <w:pPr>
            <w:pStyle w:val="TOC1"/>
            <w:tabs>
              <w:tab w:val="right" w:leader="dot" w:pos="9350"/>
            </w:tabs>
            <w:rPr>
              <w:rFonts w:asciiTheme="minorHAnsi" w:eastAsiaTheme="minorEastAsia" w:hAnsiTheme="minorHAnsi" w:cstheme="minorBidi"/>
              <w:noProof/>
              <w:sz w:val="22"/>
              <w:szCs w:val="22"/>
            </w:rPr>
          </w:pPr>
          <w:hyperlink w:anchor="_Toc121838467" w:history="1">
            <w:r w:rsidRPr="00AF15C5">
              <w:rPr>
                <w:rStyle w:val="Hyperlink"/>
                <w:noProof/>
              </w:rPr>
              <w:t>Section A.13. Estimates of Other Total Annual Cost Burden to Respondents or Record Keepers</w:t>
            </w:r>
            <w:r>
              <w:rPr>
                <w:noProof/>
                <w:webHidden/>
              </w:rPr>
              <w:tab/>
            </w:r>
            <w:r>
              <w:rPr>
                <w:noProof/>
                <w:webHidden/>
              </w:rPr>
              <w:fldChar w:fldCharType="begin"/>
            </w:r>
            <w:r>
              <w:rPr>
                <w:noProof/>
                <w:webHidden/>
              </w:rPr>
              <w:instrText xml:space="preserve"> PAGEREF _Toc121838467 \h </w:instrText>
            </w:r>
            <w:r>
              <w:rPr>
                <w:noProof/>
                <w:webHidden/>
              </w:rPr>
              <w:fldChar w:fldCharType="separate"/>
            </w:r>
            <w:r>
              <w:rPr>
                <w:noProof/>
                <w:webHidden/>
              </w:rPr>
              <w:t>7</w:t>
            </w:r>
            <w:r>
              <w:rPr>
                <w:noProof/>
                <w:webHidden/>
              </w:rPr>
              <w:fldChar w:fldCharType="end"/>
            </w:r>
          </w:hyperlink>
        </w:p>
        <w:p w:rsidR="00D2749B" w14:paraId="5690C792" w14:textId="18ECE5A0">
          <w:pPr>
            <w:pStyle w:val="TOC1"/>
            <w:tabs>
              <w:tab w:val="right" w:leader="dot" w:pos="9350"/>
            </w:tabs>
            <w:rPr>
              <w:rFonts w:asciiTheme="minorHAnsi" w:eastAsiaTheme="minorEastAsia" w:hAnsiTheme="minorHAnsi" w:cstheme="minorBidi"/>
              <w:noProof/>
              <w:sz w:val="22"/>
              <w:szCs w:val="22"/>
            </w:rPr>
          </w:pPr>
          <w:hyperlink w:anchor="_Toc121838468" w:history="1">
            <w:r w:rsidRPr="00AF15C5">
              <w:rPr>
                <w:rStyle w:val="Hyperlink"/>
                <w:noProof/>
              </w:rPr>
              <w:t>Section A.14. Annualized Cost to the Government</w:t>
            </w:r>
            <w:r>
              <w:rPr>
                <w:noProof/>
                <w:webHidden/>
              </w:rPr>
              <w:tab/>
            </w:r>
            <w:r>
              <w:rPr>
                <w:noProof/>
                <w:webHidden/>
              </w:rPr>
              <w:fldChar w:fldCharType="begin"/>
            </w:r>
            <w:r>
              <w:rPr>
                <w:noProof/>
                <w:webHidden/>
              </w:rPr>
              <w:instrText xml:space="preserve"> PAGEREF _Toc121838468 \h </w:instrText>
            </w:r>
            <w:r>
              <w:rPr>
                <w:noProof/>
                <w:webHidden/>
              </w:rPr>
              <w:fldChar w:fldCharType="separate"/>
            </w:r>
            <w:r>
              <w:rPr>
                <w:noProof/>
                <w:webHidden/>
              </w:rPr>
              <w:t>7</w:t>
            </w:r>
            <w:r>
              <w:rPr>
                <w:noProof/>
                <w:webHidden/>
              </w:rPr>
              <w:fldChar w:fldCharType="end"/>
            </w:r>
          </w:hyperlink>
        </w:p>
        <w:p w:rsidR="00D2749B" w14:paraId="0B44FFD0" w14:textId="106B93FB">
          <w:pPr>
            <w:pStyle w:val="TOC1"/>
            <w:tabs>
              <w:tab w:val="right" w:leader="dot" w:pos="9350"/>
            </w:tabs>
            <w:rPr>
              <w:rFonts w:asciiTheme="minorHAnsi" w:eastAsiaTheme="minorEastAsia" w:hAnsiTheme="minorHAnsi" w:cstheme="minorBidi"/>
              <w:noProof/>
              <w:sz w:val="22"/>
              <w:szCs w:val="22"/>
            </w:rPr>
          </w:pPr>
          <w:hyperlink w:anchor="_Toc121838469" w:history="1">
            <w:r w:rsidRPr="00AF15C5">
              <w:rPr>
                <w:rStyle w:val="Hyperlink"/>
                <w:noProof/>
              </w:rPr>
              <w:t>Section A.15. Explanation for Program Changes or Adjustments</w:t>
            </w:r>
            <w:r>
              <w:rPr>
                <w:noProof/>
                <w:webHidden/>
              </w:rPr>
              <w:tab/>
            </w:r>
            <w:r>
              <w:rPr>
                <w:noProof/>
                <w:webHidden/>
              </w:rPr>
              <w:fldChar w:fldCharType="begin"/>
            </w:r>
            <w:r>
              <w:rPr>
                <w:noProof/>
                <w:webHidden/>
              </w:rPr>
              <w:instrText xml:space="preserve"> PAGEREF _Toc121838469 \h </w:instrText>
            </w:r>
            <w:r>
              <w:rPr>
                <w:noProof/>
                <w:webHidden/>
              </w:rPr>
              <w:fldChar w:fldCharType="separate"/>
            </w:r>
            <w:r>
              <w:rPr>
                <w:noProof/>
                <w:webHidden/>
              </w:rPr>
              <w:t>7</w:t>
            </w:r>
            <w:r>
              <w:rPr>
                <w:noProof/>
                <w:webHidden/>
              </w:rPr>
              <w:fldChar w:fldCharType="end"/>
            </w:r>
          </w:hyperlink>
        </w:p>
        <w:p w:rsidR="00D2749B" w14:paraId="711684E2" w14:textId="19F03FE8">
          <w:pPr>
            <w:pStyle w:val="TOC1"/>
            <w:tabs>
              <w:tab w:val="right" w:leader="dot" w:pos="9350"/>
            </w:tabs>
            <w:rPr>
              <w:rFonts w:asciiTheme="minorHAnsi" w:eastAsiaTheme="minorEastAsia" w:hAnsiTheme="minorHAnsi" w:cstheme="minorBidi"/>
              <w:noProof/>
              <w:sz w:val="22"/>
              <w:szCs w:val="22"/>
            </w:rPr>
          </w:pPr>
          <w:hyperlink w:anchor="_Toc121838470" w:history="1">
            <w:r w:rsidRPr="00AF15C5">
              <w:rPr>
                <w:rStyle w:val="Hyperlink"/>
                <w:noProof/>
              </w:rPr>
              <w:t>Section A.16. Plans for Tabulation and Publication and Project Time Schedule</w:t>
            </w:r>
            <w:r>
              <w:rPr>
                <w:noProof/>
                <w:webHidden/>
              </w:rPr>
              <w:tab/>
            </w:r>
            <w:r>
              <w:rPr>
                <w:noProof/>
                <w:webHidden/>
              </w:rPr>
              <w:fldChar w:fldCharType="begin"/>
            </w:r>
            <w:r>
              <w:rPr>
                <w:noProof/>
                <w:webHidden/>
              </w:rPr>
              <w:instrText xml:space="preserve"> PAGEREF _Toc121838470 \h </w:instrText>
            </w:r>
            <w:r>
              <w:rPr>
                <w:noProof/>
                <w:webHidden/>
              </w:rPr>
              <w:fldChar w:fldCharType="separate"/>
            </w:r>
            <w:r>
              <w:rPr>
                <w:noProof/>
                <w:webHidden/>
              </w:rPr>
              <w:t>8</w:t>
            </w:r>
            <w:r>
              <w:rPr>
                <w:noProof/>
                <w:webHidden/>
              </w:rPr>
              <w:fldChar w:fldCharType="end"/>
            </w:r>
          </w:hyperlink>
        </w:p>
        <w:p w:rsidR="00D2749B" w14:paraId="07F4C665" w14:textId="2CB3F3F3">
          <w:pPr>
            <w:pStyle w:val="TOC1"/>
            <w:tabs>
              <w:tab w:val="right" w:leader="dot" w:pos="9350"/>
            </w:tabs>
            <w:rPr>
              <w:rFonts w:asciiTheme="minorHAnsi" w:eastAsiaTheme="minorEastAsia" w:hAnsiTheme="minorHAnsi" w:cstheme="minorBidi"/>
              <w:noProof/>
              <w:sz w:val="22"/>
              <w:szCs w:val="22"/>
            </w:rPr>
          </w:pPr>
          <w:hyperlink w:anchor="_Toc121838471" w:history="1">
            <w:r w:rsidRPr="00AF15C5">
              <w:rPr>
                <w:rStyle w:val="Hyperlink"/>
                <w:noProof/>
              </w:rPr>
              <w:t>Section A.17. Reason(s) Display of OMB Expiration Date Is Inappropriate</w:t>
            </w:r>
            <w:r>
              <w:rPr>
                <w:noProof/>
                <w:webHidden/>
              </w:rPr>
              <w:tab/>
            </w:r>
            <w:r>
              <w:rPr>
                <w:noProof/>
                <w:webHidden/>
              </w:rPr>
              <w:fldChar w:fldCharType="begin"/>
            </w:r>
            <w:r>
              <w:rPr>
                <w:noProof/>
                <w:webHidden/>
              </w:rPr>
              <w:instrText xml:space="preserve"> PAGEREF _Toc121838471 \h </w:instrText>
            </w:r>
            <w:r>
              <w:rPr>
                <w:noProof/>
                <w:webHidden/>
              </w:rPr>
              <w:fldChar w:fldCharType="separate"/>
            </w:r>
            <w:r>
              <w:rPr>
                <w:noProof/>
                <w:webHidden/>
              </w:rPr>
              <w:t>8</w:t>
            </w:r>
            <w:r>
              <w:rPr>
                <w:noProof/>
                <w:webHidden/>
              </w:rPr>
              <w:fldChar w:fldCharType="end"/>
            </w:r>
          </w:hyperlink>
        </w:p>
        <w:p w:rsidR="00D2749B" w14:paraId="546BC092" w14:textId="21AE6245">
          <w:pPr>
            <w:pStyle w:val="TOC1"/>
            <w:tabs>
              <w:tab w:val="right" w:leader="dot" w:pos="9350"/>
            </w:tabs>
            <w:rPr>
              <w:rFonts w:asciiTheme="minorHAnsi" w:eastAsiaTheme="minorEastAsia" w:hAnsiTheme="minorHAnsi" w:cstheme="minorBidi"/>
              <w:noProof/>
              <w:sz w:val="22"/>
              <w:szCs w:val="22"/>
            </w:rPr>
          </w:pPr>
          <w:hyperlink w:anchor="_Toc121838472" w:history="1">
            <w:r w:rsidRPr="00AF15C5">
              <w:rPr>
                <w:rStyle w:val="Hyperlink"/>
                <w:noProof/>
              </w:rPr>
              <w:t>Section A.18. Exceptions to Certification for Paperwork Reduction Act Submissions</w:t>
            </w:r>
            <w:r>
              <w:rPr>
                <w:noProof/>
                <w:webHidden/>
              </w:rPr>
              <w:tab/>
            </w:r>
            <w:r>
              <w:rPr>
                <w:noProof/>
                <w:webHidden/>
              </w:rPr>
              <w:fldChar w:fldCharType="begin"/>
            </w:r>
            <w:r>
              <w:rPr>
                <w:noProof/>
                <w:webHidden/>
              </w:rPr>
              <w:instrText xml:space="preserve"> PAGEREF _Toc121838472 \h </w:instrText>
            </w:r>
            <w:r>
              <w:rPr>
                <w:noProof/>
                <w:webHidden/>
              </w:rPr>
              <w:fldChar w:fldCharType="separate"/>
            </w:r>
            <w:r>
              <w:rPr>
                <w:noProof/>
                <w:webHidden/>
              </w:rPr>
              <w:t>8</w:t>
            </w:r>
            <w:r>
              <w:rPr>
                <w:noProof/>
                <w:webHidden/>
              </w:rPr>
              <w:fldChar w:fldCharType="end"/>
            </w:r>
          </w:hyperlink>
        </w:p>
        <w:p w:rsidR="00340BE0" w:rsidP="00340BE0" w14:paraId="0F1DE41D" w14:textId="44C77D80">
          <w:pPr>
            <w:rPr>
              <w:b/>
              <w:bCs/>
              <w:noProof/>
            </w:rPr>
          </w:pPr>
          <w:r w:rsidRPr="00F7573F">
            <w:rPr>
              <w:b/>
              <w:bCs/>
              <w:i/>
              <w:iCs/>
              <w:noProof/>
            </w:rPr>
            <w:fldChar w:fldCharType="end"/>
          </w:r>
        </w:p>
      </w:sdtContent>
    </w:sdt>
    <w:p w:rsidR="008065A0" w:rsidRPr="00FC569E" w:rsidP="000570B5" w14:paraId="3A03A989" w14:textId="0867BF2D">
      <w:pPr>
        <w:pStyle w:val="TOCHeading"/>
        <w:spacing w:before="0" w:line="276" w:lineRule="auto"/>
        <w:rPr>
          <w:rFonts w:ascii="Times New Roman" w:hAnsi="Times New Roman" w:cs="Times New Roman"/>
          <w:b/>
          <w:bCs/>
          <w:color w:val="auto"/>
          <w:sz w:val="28"/>
          <w:szCs w:val="28"/>
        </w:rPr>
      </w:pPr>
      <w:r w:rsidRPr="00FC569E">
        <w:rPr>
          <w:rFonts w:ascii="Times New Roman" w:hAnsi="Times New Roman" w:cs="Times New Roman"/>
          <w:b/>
          <w:bCs/>
          <w:color w:val="auto"/>
          <w:sz w:val="28"/>
          <w:szCs w:val="28"/>
        </w:rPr>
        <w:t>Attachments</w:t>
      </w:r>
    </w:p>
    <w:p w:rsidR="008065A0" w:rsidRPr="00BE5D42" w:rsidP="00036895" w14:paraId="602421EF" w14:textId="6DAC65C3">
      <w:pPr>
        <w:spacing w:line="276" w:lineRule="auto"/>
      </w:pPr>
      <w:r w:rsidRPr="00C67952">
        <w:t>Public Health Service Act</w:t>
      </w:r>
      <w:r w:rsidRPr="00C67952" w:rsidR="00E44336">
        <w:t>………………………………………………………</w:t>
      </w:r>
      <w:r w:rsidRPr="00C67952" w:rsidR="00E57413">
        <w:t>…</w:t>
      </w:r>
      <w:r w:rsidR="00B7775C">
        <w:t>...</w:t>
      </w:r>
      <w:r w:rsidRPr="00C67952" w:rsidR="00E44336">
        <w:t xml:space="preserve">Attachment </w:t>
      </w:r>
      <w:r w:rsidRPr="00C67952">
        <w:t>A</w:t>
      </w:r>
    </w:p>
    <w:p w:rsidR="00E57413" w:rsidRPr="00BE5D42" w:rsidP="00036895" w14:paraId="7301DDF3" w14:textId="40C89F6F">
      <w:pPr>
        <w:spacing w:line="276" w:lineRule="auto"/>
      </w:pPr>
      <w:r>
        <w:t xml:space="preserve">60 Day </w:t>
      </w:r>
      <w:r w:rsidR="007656B3">
        <w:t>FRN</w:t>
      </w:r>
      <w:r w:rsidRPr="00BE5D42">
        <w:t>…….……………………………………………………</w:t>
      </w:r>
      <w:r w:rsidRPr="00BE5D42" w:rsidR="001F632E">
        <w:t>…</w:t>
      </w:r>
      <w:r w:rsidR="007656B3">
        <w:t>…………</w:t>
      </w:r>
      <w:r w:rsidR="00B7775C">
        <w:t>…</w:t>
      </w:r>
      <w:r w:rsidRPr="00BE5D42">
        <w:t xml:space="preserve">Attachment </w:t>
      </w:r>
      <w:r w:rsidR="00AF6DA5">
        <w:t>B</w:t>
      </w:r>
    </w:p>
    <w:p w:rsidR="007656B3" w:rsidRPr="00BE5D42" w:rsidP="00036895" w14:paraId="2CF025B7" w14:textId="46D301E5">
      <w:pPr>
        <w:spacing w:line="276" w:lineRule="auto"/>
      </w:pPr>
      <w:r>
        <w:t xml:space="preserve">Project </w:t>
      </w:r>
      <w:r w:rsidR="00CB0B95">
        <w:t>Determination</w:t>
      </w:r>
      <w:r w:rsidRPr="00BE5D42">
        <w:t>……………………………………………………</w:t>
      </w:r>
      <w:r>
        <w:t>………….</w:t>
      </w:r>
      <w:r w:rsidRPr="00BE5D42">
        <w:t xml:space="preserve">Attachment </w:t>
      </w:r>
      <w:r w:rsidR="00AF6DA5">
        <w:t>C</w:t>
      </w:r>
    </w:p>
    <w:p w:rsidR="007656B3" w:rsidP="00B7775C" w14:paraId="213EDF00" w14:textId="70C483BC">
      <w:pPr>
        <w:spacing w:line="276" w:lineRule="auto"/>
      </w:pPr>
      <w:r>
        <w:t>App Notifications</w:t>
      </w:r>
      <w:r w:rsidR="00B7775C">
        <w:t xml:space="preserve"> </w:t>
      </w:r>
      <w:r w:rsidRPr="00BE5D42">
        <w:t>Attachment</w:t>
      </w:r>
      <w:r w:rsidR="00B7775C">
        <w:t>……………………………………………………… Attachment D</w:t>
      </w:r>
      <w:r w:rsidRPr="00BE5D42">
        <w:t xml:space="preserve"> </w:t>
      </w:r>
    </w:p>
    <w:p w:rsidR="00340BE0" w:rsidRPr="00BE5D42" w:rsidP="00B7775C" w14:paraId="0E8F2BB6" w14:textId="3AE8A1D7">
      <w:pPr>
        <w:spacing w:line="276" w:lineRule="auto"/>
      </w:pPr>
      <w:r w:rsidRPr="00BE5D42">
        <w:t>Par</w:t>
      </w:r>
      <w:r w:rsidRPr="00BE5D42" w:rsidR="00BE5D42">
        <w:t>ent Survey 1</w:t>
      </w:r>
      <w:r w:rsidRPr="00BE5D42">
        <w:t>…………….………………………………</w:t>
      </w:r>
      <w:r w:rsidRPr="00BE5D42" w:rsidR="00D27047">
        <w:t>.......</w:t>
      </w:r>
      <w:r w:rsidRPr="00BE5D42" w:rsidR="005037BD">
        <w:t>…</w:t>
      </w:r>
      <w:r w:rsidRPr="00BE5D42" w:rsidR="00D27047">
        <w:t>…………………</w:t>
      </w:r>
      <w:r w:rsidRPr="00BE5D42">
        <w:t xml:space="preserve">Attachment </w:t>
      </w:r>
      <w:r w:rsidR="009508E7">
        <w:t>E</w:t>
      </w:r>
    </w:p>
    <w:p w:rsidR="00BE5D42" w:rsidRPr="00BE5D42" w:rsidP="00B7775C" w14:paraId="71CC3329" w14:textId="4932303E">
      <w:pPr>
        <w:spacing w:line="276" w:lineRule="auto"/>
      </w:pPr>
      <w:r w:rsidRPr="00BE5D42">
        <w:t xml:space="preserve">Parent Survey </w:t>
      </w:r>
      <w:r>
        <w:t>2</w:t>
      </w:r>
      <w:r w:rsidRPr="00BE5D42">
        <w:t>…………….……………………………….......…………………</w:t>
      </w:r>
      <w:r w:rsidR="00B7775C">
        <w:t>...</w:t>
      </w:r>
      <w:r w:rsidRPr="00BE5D42">
        <w:t xml:space="preserve">Attachment </w:t>
      </w:r>
      <w:r w:rsidR="009508E7">
        <w:t>F</w:t>
      </w:r>
    </w:p>
    <w:p w:rsidR="00340BE0" w:rsidRPr="00BE5D42" w:rsidP="00B7775C" w14:paraId="1EA7DE6C" w14:textId="1080CF08">
      <w:pPr>
        <w:spacing w:line="276" w:lineRule="auto"/>
      </w:pPr>
      <w:r w:rsidRPr="00BE5D42">
        <w:t>Provider Survey</w:t>
      </w:r>
      <w:r w:rsidR="00B7775C">
        <w:t>……………………………………………………………………</w:t>
      </w:r>
      <w:r w:rsidR="00EE41A3">
        <w:t>.</w:t>
      </w:r>
      <w:r w:rsidR="00B7775C">
        <w:t>..</w:t>
      </w:r>
      <w:r w:rsidRPr="00BE5D42">
        <w:t xml:space="preserve">Attachment </w:t>
      </w:r>
      <w:r w:rsidR="009508E7">
        <w:t>G</w:t>
      </w:r>
    </w:p>
    <w:p w:rsidR="00873BFC" w:rsidRPr="001F4AE3" w:rsidP="00873BFC" w14:paraId="70E4D57D" w14:textId="38AEA46A">
      <w:pPr>
        <w:rPr>
          <w:b/>
          <w:sz w:val="28"/>
          <w:szCs w:val="28"/>
        </w:rPr>
      </w:pPr>
      <w:r w:rsidRPr="001F4AE3">
        <w:rPr>
          <w:b/>
          <w:sz w:val="28"/>
          <w:szCs w:val="28"/>
        </w:rPr>
        <w:t xml:space="preserve">Supporting Statement Part A. Justification </w:t>
      </w:r>
    </w:p>
    <w:p w:rsidR="00873BFC" w:rsidRPr="007F0EE0" w:rsidP="00873BFC" w14:paraId="15DF0696" w14:textId="77777777">
      <w:pPr>
        <w:rPr>
          <w:b/>
          <w:sz w:val="22"/>
          <w:szCs w:val="22"/>
        </w:rPr>
      </w:pPr>
    </w:p>
    <w:p w:rsidR="00873BFC" w:rsidP="00873BFC" w14:paraId="280C6ACE" w14:textId="77777777">
      <w:pPr>
        <w:pStyle w:val="ListBullet"/>
        <w:numPr>
          <w:ilvl w:val="0"/>
          <w:numId w:val="0"/>
        </w:numPr>
        <w:ind w:left="1440" w:hanging="360"/>
        <w:rPr>
          <w:b/>
        </w:rPr>
      </w:pPr>
    </w:p>
    <w:p w:rsidR="003E680F" w:rsidRPr="00B1386B" w:rsidP="003E680F" w14:paraId="7F6A3128" w14:textId="77777777">
      <w:pPr>
        <w:pStyle w:val="ListBullet"/>
        <w:numPr>
          <w:ilvl w:val="0"/>
          <w:numId w:val="0"/>
        </w:numPr>
        <w:rPr>
          <w:b/>
          <w:highlight w:val="yellow"/>
        </w:rPr>
      </w:pPr>
      <w:r>
        <w:rPr>
          <w:b/>
        </w:rPr>
        <w:t>A</w:t>
      </w:r>
      <w:r w:rsidRPr="009240E8">
        <w:rPr>
          <w:b/>
        </w:rPr>
        <w:t>. Justification</w:t>
      </w:r>
    </w:p>
    <w:tbl>
      <w:tblPr>
        <w:tblStyle w:val="TableGrid"/>
        <w:tblpPr w:leftFromText="187" w:rightFromText="187" w:bottomFromText="720" w:vertAnchor="text" w:horzAnchor="margin" w:tblpY="44"/>
        <w:tblOverlap w:val="never"/>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72" w:type="dxa"/>
          <w:left w:w="115" w:type="dxa"/>
          <w:bottom w:w="72" w:type="dxa"/>
          <w:right w:w="115" w:type="dxa"/>
        </w:tblCellMar>
        <w:tblLook w:val="04A0"/>
      </w:tblPr>
      <w:tblGrid>
        <w:gridCol w:w="9175"/>
      </w:tblGrid>
      <w:tr w14:paraId="7660E110" w14:textId="77777777">
        <w:tblPrEx>
          <w:tblW w:w="0" w:type="auto"/>
          <w:tblBorders>
            <w:top w:val="single" w:sz="4" w:space="0" w:color="auto"/>
            <w:left w:val="single" w:sz="4" w:space="0" w:color="auto"/>
            <w:bottom w:val="single" w:sz="4" w:space="0" w:color="auto"/>
            <w:right w:val="single" w:sz="4" w:space="0" w:color="auto"/>
            <w:insideH w:val="none" w:sz="0" w:space="0" w:color="auto"/>
            <w:insideV w:val="none" w:sz="0" w:space="0" w:color="auto"/>
          </w:tblBorders>
          <w:tblCellMar>
            <w:top w:w="72" w:type="dxa"/>
            <w:left w:w="115" w:type="dxa"/>
            <w:bottom w:w="72" w:type="dxa"/>
            <w:right w:w="115" w:type="dxa"/>
          </w:tblCellMar>
          <w:tblLook w:val="04A0"/>
        </w:tblPrEx>
        <w:trPr>
          <w:tblHeader/>
        </w:trPr>
        <w:tc>
          <w:tcPr>
            <w:tcW w:w="9175" w:type="dxa"/>
            <w:tcBorders>
              <w:top w:val="single" w:sz="4" w:space="0" w:color="auto"/>
              <w:left w:val="single" w:sz="4" w:space="0" w:color="auto"/>
              <w:bottom w:val="nil"/>
              <w:right w:val="single" w:sz="4" w:space="0" w:color="auto"/>
            </w:tcBorders>
            <w:hideMark/>
          </w:tcPr>
          <w:p w:rsidR="002B3541" w:rsidRPr="00D47800" w:rsidP="003D6208" w14:paraId="7EE01A60" w14:textId="77777777">
            <w:pPr>
              <w:spacing w:before="240"/>
              <w:rPr>
                <w:b/>
                <w:color w:val="000000" w:themeColor="text1"/>
                <w:sz w:val="22"/>
                <w:szCs w:val="22"/>
              </w:rPr>
            </w:pPr>
            <w:r w:rsidRPr="00D47800">
              <w:rPr>
                <w:b/>
                <w:color w:val="000000" w:themeColor="text1"/>
                <w:sz w:val="22"/>
                <w:szCs w:val="22"/>
              </w:rPr>
              <w:t>Goal of the project</w:t>
            </w:r>
            <w:r w:rsidRPr="00D47800">
              <w:rPr>
                <w:color w:val="000000" w:themeColor="text1"/>
                <w:sz w:val="22"/>
                <w:szCs w:val="22"/>
              </w:rPr>
              <w:t xml:space="preserve">: The goal of this project is to evaluate CDC’s </w:t>
            </w:r>
            <w:r w:rsidRPr="00D47800">
              <w:rPr>
                <w:i/>
                <w:iCs/>
                <w:color w:val="000000" w:themeColor="text1"/>
                <w:sz w:val="22"/>
                <w:szCs w:val="22"/>
              </w:rPr>
              <w:t>Milestone Tracker</w:t>
            </w:r>
            <w:r w:rsidRPr="00D47800">
              <w:rPr>
                <w:color w:val="000000" w:themeColor="text1"/>
                <w:sz w:val="22"/>
                <w:szCs w:val="22"/>
              </w:rPr>
              <w:t xml:space="preserve"> mobile application by assessing user satisfaction, usage patterns, and actions taken after a missed developmental milestone or developmental concern is identified. This evaluation will provide information about how the app is used and how it may support family-engaged developmental monitoring.</w:t>
            </w:r>
          </w:p>
        </w:tc>
      </w:tr>
      <w:tr w14:paraId="0F1CAC08" w14:textId="77777777">
        <w:tblPrEx>
          <w:tblW w:w="0" w:type="auto"/>
          <w:tblCellMar>
            <w:top w:w="72" w:type="dxa"/>
            <w:left w:w="115" w:type="dxa"/>
            <w:bottom w:w="72" w:type="dxa"/>
            <w:right w:w="115" w:type="dxa"/>
          </w:tblCellMar>
          <w:tblLook w:val="04A0"/>
        </w:tblPrEx>
        <w:tc>
          <w:tcPr>
            <w:tcW w:w="9175" w:type="dxa"/>
            <w:tcBorders>
              <w:top w:val="nil"/>
              <w:left w:val="single" w:sz="4" w:space="0" w:color="auto"/>
              <w:bottom w:val="nil"/>
              <w:right w:val="single" w:sz="4" w:space="0" w:color="auto"/>
            </w:tcBorders>
            <w:hideMark/>
          </w:tcPr>
          <w:p w:rsidR="002B3541" w:rsidRPr="00D47800" w:rsidP="003D6208" w14:paraId="7DA71D51" w14:textId="77777777">
            <w:pPr>
              <w:rPr>
                <w:b/>
                <w:color w:val="000000" w:themeColor="text1"/>
                <w:sz w:val="22"/>
                <w:szCs w:val="22"/>
              </w:rPr>
            </w:pPr>
            <w:r w:rsidRPr="00D47800">
              <w:rPr>
                <w:b/>
                <w:color w:val="000000" w:themeColor="text1"/>
                <w:sz w:val="22"/>
                <w:szCs w:val="22"/>
              </w:rPr>
              <w:t>Intended use of the resulting data</w:t>
            </w:r>
            <w:r w:rsidRPr="00D47800">
              <w:rPr>
                <w:color w:val="000000" w:themeColor="text1"/>
                <w:sz w:val="22"/>
                <w:szCs w:val="22"/>
              </w:rPr>
              <w:t xml:space="preserve">: Data collected through this project will provide insight into how users respond when a missed milestone or developmental concern is identified, including whether follow-up actions are taken. The findings will also help describe users’ satisfaction and engagement with the app. Results may inform future app improvements and contribute to CDC’s understanding of how the </w:t>
            </w:r>
            <w:r w:rsidRPr="00D47800">
              <w:rPr>
                <w:i/>
                <w:iCs/>
                <w:color w:val="000000" w:themeColor="text1"/>
                <w:sz w:val="22"/>
                <w:szCs w:val="22"/>
              </w:rPr>
              <w:t>Milestone Tracker</w:t>
            </w:r>
            <w:r w:rsidRPr="00D47800">
              <w:rPr>
                <w:color w:val="000000" w:themeColor="text1"/>
                <w:sz w:val="22"/>
                <w:szCs w:val="22"/>
              </w:rPr>
              <w:t xml:space="preserve"> functions as a tool to support developmental monitoring.</w:t>
            </w:r>
          </w:p>
        </w:tc>
      </w:tr>
      <w:tr w14:paraId="5DB98507" w14:textId="77777777">
        <w:tblPrEx>
          <w:tblW w:w="0" w:type="auto"/>
          <w:tblCellMar>
            <w:top w:w="72" w:type="dxa"/>
            <w:left w:w="115" w:type="dxa"/>
            <w:bottom w:w="72" w:type="dxa"/>
            <w:right w:w="115" w:type="dxa"/>
          </w:tblCellMar>
          <w:tblLook w:val="04A0"/>
        </w:tblPrEx>
        <w:tc>
          <w:tcPr>
            <w:tcW w:w="9175" w:type="dxa"/>
            <w:tcBorders>
              <w:top w:val="nil"/>
              <w:left w:val="single" w:sz="4" w:space="0" w:color="auto"/>
              <w:bottom w:val="nil"/>
              <w:right w:val="single" w:sz="4" w:space="0" w:color="auto"/>
            </w:tcBorders>
            <w:hideMark/>
          </w:tcPr>
          <w:p w:rsidR="002B3541" w:rsidRPr="00D47800" w:rsidP="003D6208" w14:paraId="5A006F45" w14:textId="77777777">
            <w:pPr>
              <w:rPr>
                <w:color w:val="000000" w:themeColor="text1"/>
                <w:sz w:val="22"/>
                <w:szCs w:val="22"/>
              </w:rPr>
            </w:pPr>
            <w:r w:rsidRPr="00D47800">
              <w:rPr>
                <w:b/>
                <w:color w:val="000000" w:themeColor="text1"/>
                <w:sz w:val="22"/>
                <w:szCs w:val="22"/>
              </w:rPr>
              <w:t>Methods to be used to collect</w:t>
            </w:r>
            <w:r w:rsidRPr="00D47800">
              <w:rPr>
                <w:color w:val="000000" w:themeColor="text1"/>
                <w:sz w:val="22"/>
                <w:szCs w:val="22"/>
              </w:rPr>
              <w:t xml:space="preserve">: The evaluation uses a non-probability, convenience sample of </w:t>
            </w:r>
            <w:r w:rsidRPr="00D47800">
              <w:rPr>
                <w:i/>
                <w:iCs/>
                <w:color w:val="000000" w:themeColor="text1"/>
                <w:sz w:val="22"/>
                <w:szCs w:val="22"/>
              </w:rPr>
              <w:t>Milestone Tracker</w:t>
            </w:r>
            <w:r w:rsidRPr="00D47800">
              <w:rPr>
                <w:color w:val="000000" w:themeColor="text1"/>
                <w:sz w:val="22"/>
                <w:szCs w:val="22"/>
              </w:rPr>
              <w:t xml:space="preserve"> app users and consists of three brief web-based surveys administered at distinct points during the app user experience. Surveys are electronically delivered within the app environment and tailored by audience type (parents and early childhood providers/professionals). Each survey is completed once by the relevant audience. Eligibility criteria are based on predefined in-app engagement thresholds. Parent Survey 1 is administered</w:t>
            </w:r>
            <w:r w:rsidRPr="00D47800">
              <w:rPr>
                <w:color w:val="000000" w:themeColor="text1"/>
                <w:sz w:val="22"/>
                <w:szCs w:val="22"/>
              </w:rPr>
              <w:t xml:space="preserve"> to parents who complete at least 65% of a developmental milestone checklist within the app. Parent Survey 2 is administered only to parents who complete at least 65% of a checklist and indicate a missed developmental milestone or developmental concern; this survey serves as a follow-up to better understand actions taken or additional experiences after identifying a concern. The Provider Survey is administered to early childhood providers/professionals who use the </w:t>
            </w:r>
            <w:r w:rsidRPr="00D47800">
              <w:rPr>
                <w:i/>
                <w:iCs/>
                <w:color w:val="000000" w:themeColor="text1"/>
                <w:sz w:val="22"/>
                <w:szCs w:val="22"/>
              </w:rPr>
              <w:t>Milestone Tracker</w:t>
            </w:r>
            <w:r w:rsidRPr="00D47800">
              <w:rPr>
                <w:color w:val="000000" w:themeColor="text1"/>
                <w:sz w:val="22"/>
                <w:szCs w:val="22"/>
              </w:rPr>
              <w:t xml:space="preserve"> app at least three times.</w:t>
            </w:r>
            <w:r w:rsidRPr="00D47800">
              <w:rPr>
                <w:color w:val="000000" w:themeColor="text1"/>
                <w:sz w:val="22"/>
                <w:szCs w:val="22"/>
              </w:rPr>
              <w:t xml:space="preserve"> All data are collected electronically through online survey instruments. Participation is voluntary, and responses are anonymous.</w:t>
            </w:r>
          </w:p>
        </w:tc>
      </w:tr>
      <w:tr w14:paraId="4B179A64" w14:textId="77777777">
        <w:tblPrEx>
          <w:tblW w:w="0" w:type="auto"/>
          <w:tblCellMar>
            <w:top w:w="72" w:type="dxa"/>
            <w:left w:w="115" w:type="dxa"/>
            <w:bottom w:w="72" w:type="dxa"/>
            <w:right w:w="115" w:type="dxa"/>
          </w:tblCellMar>
          <w:tblLook w:val="04A0"/>
        </w:tblPrEx>
        <w:tc>
          <w:tcPr>
            <w:tcW w:w="9175" w:type="dxa"/>
            <w:tcBorders>
              <w:top w:val="nil"/>
              <w:left w:val="single" w:sz="4" w:space="0" w:color="auto"/>
              <w:bottom w:val="nil"/>
              <w:right w:val="single" w:sz="4" w:space="0" w:color="auto"/>
            </w:tcBorders>
            <w:hideMark/>
          </w:tcPr>
          <w:p w:rsidR="002B3541" w:rsidRPr="00D47800" w:rsidP="003D6208" w14:paraId="31314B04" w14:textId="77777777">
            <w:pPr>
              <w:rPr>
                <w:color w:val="000000" w:themeColor="text1"/>
                <w:sz w:val="22"/>
                <w:szCs w:val="22"/>
              </w:rPr>
            </w:pPr>
            <w:r w:rsidRPr="00D47800">
              <w:rPr>
                <w:b/>
                <w:bCs/>
                <w:color w:val="000000" w:themeColor="text1"/>
                <w:sz w:val="22"/>
                <w:szCs w:val="22"/>
              </w:rPr>
              <w:t>The subpopulation to be studied</w:t>
            </w:r>
            <w:r w:rsidRPr="00D47800">
              <w:rPr>
                <w:color w:val="000000" w:themeColor="text1"/>
                <w:sz w:val="22"/>
                <w:szCs w:val="22"/>
              </w:rPr>
              <w:t>: This project will survey 2 populations 1.) app users who are parents of children 2 months to 5 years of age and 2.) app users who are early childhood providers/professionals.</w:t>
            </w:r>
          </w:p>
        </w:tc>
      </w:tr>
      <w:tr w14:paraId="5D47F5A3" w14:textId="77777777">
        <w:tblPrEx>
          <w:tblW w:w="0" w:type="auto"/>
          <w:tblCellMar>
            <w:top w:w="72" w:type="dxa"/>
            <w:left w:w="115" w:type="dxa"/>
            <w:bottom w:w="72" w:type="dxa"/>
            <w:right w:w="115" w:type="dxa"/>
          </w:tblCellMar>
          <w:tblLook w:val="04A0"/>
        </w:tblPrEx>
        <w:tc>
          <w:tcPr>
            <w:tcW w:w="9175" w:type="dxa"/>
            <w:tcBorders>
              <w:top w:val="nil"/>
              <w:left w:val="single" w:sz="4" w:space="0" w:color="auto"/>
              <w:bottom w:val="single" w:sz="4" w:space="0" w:color="auto"/>
              <w:right w:val="single" w:sz="4" w:space="0" w:color="auto"/>
            </w:tcBorders>
            <w:hideMark/>
          </w:tcPr>
          <w:p w:rsidR="002B3541" w:rsidRPr="00D47800" w:rsidP="003D6208" w14:paraId="638AC22C" w14:textId="77777777">
            <w:pPr>
              <w:spacing w:after="240"/>
              <w:rPr>
                <w:color w:val="000000" w:themeColor="text1"/>
                <w:sz w:val="22"/>
                <w:szCs w:val="22"/>
              </w:rPr>
            </w:pPr>
            <w:r w:rsidRPr="00D47800">
              <w:rPr>
                <w:b/>
                <w:color w:val="000000" w:themeColor="text1"/>
                <w:sz w:val="22"/>
                <w:szCs w:val="22"/>
              </w:rPr>
              <w:t>How the data will be analyzed</w:t>
            </w:r>
            <w:r w:rsidRPr="00D47800">
              <w:rPr>
                <w:color w:val="000000" w:themeColor="text1"/>
                <w:sz w:val="22"/>
                <w:szCs w:val="22"/>
              </w:rPr>
              <w:t>: Basic descriptive statistics will be calculated to summarize survey responses and counts across surveys. Prevalence estimates with 95% confidence intervals will be calculated overall for parents reporting developmental concerns and stratified by relevant demographic characteristics, such as child age. Among parents, univariate and multivariable log-binomial regression models may be used to examine factors associated with selected outcomes, such as loss to developmental surveillance follow-up or referral.</w:t>
            </w:r>
          </w:p>
        </w:tc>
      </w:tr>
    </w:tbl>
    <w:p w:rsidR="003E680F" w:rsidRPr="00D47800" w:rsidP="003E680F" w14:paraId="27ECC0F2" w14:textId="77777777">
      <w:pPr>
        <w:pStyle w:val="ListBullet"/>
        <w:numPr>
          <w:ilvl w:val="0"/>
          <w:numId w:val="0"/>
        </w:numPr>
        <w:rPr>
          <w:b/>
        </w:rPr>
      </w:pPr>
    </w:p>
    <w:p w:rsidR="00873BFC" w:rsidRPr="00D47800" w:rsidP="0060139E" w14:paraId="40B2CFAB" w14:textId="6304D31B">
      <w:pPr>
        <w:pStyle w:val="Style1"/>
      </w:pPr>
      <w:bookmarkStart w:id="0" w:name="_Toc121838455"/>
      <w:r w:rsidRPr="00D47800">
        <w:t xml:space="preserve">Section A.1. Circumstances </w:t>
      </w:r>
      <w:r w:rsidRPr="00D47800" w:rsidR="003E680F">
        <w:t>Making the Collection of Information Necessary</w:t>
      </w:r>
      <w:bookmarkEnd w:id="0"/>
    </w:p>
    <w:p w:rsidR="00445D8A" w:rsidRPr="00D47800" w:rsidP="00445D8A" w14:paraId="39BE67EA" w14:textId="6C10BD55">
      <w:pPr>
        <w:pStyle w:val="Heading2"/>
        <w:rPr>
          <w:rFonts w:ascii="Times New Roman" w:hAnsi="Times New Roman"/>
          <w:b w:val="0"/>
          <w:i w:val="0"/>
          <w:iCs/>
        </w:rPr>
      </w:pPr>
      <w:r w:rsidRPr="00D47800">
        <w:rPr>
          <w:rFonts w:ascii="Times New Roman" w:hAnsi="Times New Roman"/>
          <w:b w:val="0"/>
          <w:i w:val="0"/>
          <w:iCs/>
        </w:rPr>
        <w:t xml:space="preserve">This Information Collection Request (ICR) is submitted as an extension for a three-year approval period. The National Center on Birth Defects and Developmental Disabilities (NCBDDD) at the Centers for Disease Control and Prevention (CDC) requests approval under the authority of Section 301 of the Public Health Service Act (42 U.S.C. 241) </w:t>
      </w:r>
      <w:r w:rsidRPr="00D47800">
        <w:rPr>
          <w:rFonts w:ascii="Times New Roman" w:hAnsi="Times New Roman"/>
          <w:bCs/>
          <w:i w:val="0"/>
          <w:iCs/>
        </w:rPr>
        <w:t>(Attachment A).</w:t>
      </w:r>
    </w:p>
    <w:p w:rsidR="00873BFC" w:rsidRPr="00D47800" w:rsidP="00873BFC" w14:paraId="3CF27240" w14:textId="77777777">
      <w:pPr>
        <w:pStyle w:val="ListBullet"/>
        <w:numPr>
          <w:ilvl w:val="0"/>
          <w:numId w:val="0"/>
        </w:numPr>
      </w:pPr>
    </w:p>
    <w:p w:rsidR="00F512A2" w:rsidRPr="00D47800" w:rsidP="00F512A2" w14:paraId="2E1D42B7" w14:textId="77777777">
      <w:pPr>
        <w:pStyle w:val="ListBullet"/>
        <w:numPr>
          <w:ilvl w:val="0"/>
          <w:numId w:val="0"/>
        </w:numPr>
        <w:rPr>
          <w:u w:val="single"/>
        </w:rPr>
      </w:pPr>
      <w:r w:rsidRPr="00D47800">
        <w:rPr>
          <w:u w:val="single"/>
        </w:rPr>
        <w:t>Background</w:t>
      </w:r>
      <w:bookmarkStart w:id="1" w:name="_Toc121838456"/>
    </w:p>
    <w:p w:rsidR="00F512A2" w:rsidRPr="00D47800" w:rsidP="00F512A2" w14:paraId="169DB4F6" w14:textId="4CB746A0">
      <w:pPr>
        <w:pStyle w:val="ListBullet"/>
        <w:numPr>
          <w:ilvl w:val="0"/>
          <w:numId w:val="0"/>
        </w:numPr>
        <w:rPr>
          <w:kern w:val="0"/>
        </w:rPr>
      </w:pPr>
      <w:r w:rsidRPr="00D47800">
        <w:rPr>
          <w:kern w:val="0"/>
        </w:rPr>
        <w:t xml:space="preserve">CDC’s </w:t>
      </w:r>
      <w:r w:rsidRPr="00D47800">
        <w:rPr>
          <w:i/>
          <w:iCs/>
          <w:kern w:val="0"/>
        </w:rPr>
        <w:t>Learn the Signs. Act Early.</w:t>
      </w:r>
      <w:r w:rsidRPr="00D47800">
        <w:rPr>
          <w:kern w:val="0"/>
        </w:rPr>
        <w:t xml:space="preserve"> (LTSAE) program promotes family-engaged developmental monitoring and seeks to improve early identification of autism and other developmental disabilities to ensure children and families receive appropriate services and support. LTSAE encourages families and early childhood providers/professionals (e.g., healthcare providers, therapists, childcare providers) to learn the signs of healthy development, monitor children’s development, and act when concerns arise.</w:t>
      </w:r>
    </w:p>
    <w:p w:rsidR="00F512A2" w:rsidRPr="00D47800" w:rsidP="00F512A2" w14:paraId="3B3406E7" w14:textId="77777777">
      <w:pPr>
        <w:pStyle w:val="Style1"/>
        <w:rPr>
          <w:b w:val="0"/>
          <w:bCs w:val="0"/>
          <w:i w:val="0"/>
          <w:kern w:val="0"/>
          <w:szCs w:val="22"/>
          <w:u w:val="none"/>
        </w:rPr>
      </w:pPr>
      <w:r w:rsidRPr="00D47800">
        <w:rPr>
          <w:b w:val="0"/>
          <w:bCs w:val="0"/>
          <w:i w:val="0"/>
          <w:kern w:val="0"/>
          <w:szCs w:val="22"/>
          <w:u w:val="none"/>
        </w:rPr>
        <w:t xml:space="preserve">The </w:t>
      </w:r>
      <w:r w:rsidRPr="00D47800">
        <w:rPr>
          <w:b w:val="0"/>
          <w:bCs w:val="0"/>
          <w:iCs/>
          <w:kern w:val="0"/>
          <w:szCs w:val="22"/>
          <w:u w:val="none"/>
        </w:rPr>
        <w:t>Milestone Tracker</w:t>
      </w:r>
      <w:r w:rsidRPr="00D47800">
        <w:rPr>
          <w:b w:val="0"/>
          <w:bCs w:val="0"/>
          <w:i w:val="0"/>
          <w:kern w:val="0"/>
          <w:szCs w:val="22"/>
          <w:u w:val="none"/>
        </w:rPr>
        <w:t xml:space="preserve"> mobile application serves as a developmental monitoring, health education, and communication tool. The app includes interactive, illustrated, age-specific developmental milestone checklists for children ages 2 months through 5 years. Available in English and Spanish on Android and iOS platforms, the app provides milestone checklists, developmental summaries, suggested developmental activities, guidance when concerns are identified, and appointment reminders. Since its launch in 2017, the </w:t>
      </w:r>
      <w:r w:rsidRPr="00D47800">
        <w:rPr>
          <w:b w:val="0"/>
          <w:bCs w:val="0"/>
          <w:iCs/>
          <w:kern w:val="0"/>
          <w:szCs w:val="22"/>
          <w:u w:val="none"/>
        </w:rPr>
        <w:t>M</w:t>
      </w:r>
      <w:r w:rsidRPr="00D47800">
        <w:rPr>
          <w:b w:val="0"/>
          <w:bCs w:val="0"/>
          <w:iCs/>
          <w:kern w:val="0"/>
          <w:szCs w:val="22"/>
          <w:u w:val="none"/>
        </w:rPr>
        <w:t>ilestone Tracker</w:t>
      </w:r>
      <w:r w:rsidRPr="00D47800">
        <w:rPr>
          <w:b w:val="0"/>
          <w:bCs w:val="0"/>
          <w:i w:val="0"/>
          <w:kern w:val="0"/>
          <w:szCs w:val="22"/>
          <w:u w:val="none"/>
        </w:rPr>
        <w:t xml:space="preserve"> app has been downloaded more than 2.8 million times as of February 2026, demonstrating substantial national reach.</w:t>
      </w:r>
    </w:p>
    <w:p w:rsidR="00873BFC" w:rsidRPr="00D47800" w:rsidP="00F512A2" w14:paraId="066114D9" w14:textId="3395311C">
      <w:pPr>
        <w:pStyle w:val="Style1"/>
      </w:pPr>
      <w:r w:rsidRPr="00D47800">
        <w:t>Section A.2. Purpose and Use of Information</w:t>
      </w:r>
      <w:r w:rsidRPr="00D47800" w:rsidR="00C10E8C">
        <w:t xml:space="preserve"> Collection</w:t>
      </w:r>
      <w:bookmarkEnd w:id="1"/>
    </w:p>
    <w:p w:rsidR="004F09CD" w:rsidRPr="00D47800" w:rsidP="004F09CD" w14:paraId="2B85AAB5" w14:textId="39AE039E">
      <w:pPr>
        <w:rPr>
          <w:sz w:val="22"/>
          <w:szCs w:val="22"/>
        </w:rPr>
      </w:pPr>
      <w:r w:rsidRPr="00D47800">
        <w:rPr>
          <w:sz w:val="22"/>
          <w:szCs w:val="22"/>
        </w:rPr>
        <w:t xml:space="preserve">CDC seeks this extension to continue evaluating user satisfaction, usage patterns, and actions taken following </w:t>
      </w:r>
      <w:r w:rsidRPr="00D47800" w:rsidR="00A34B75">
        <w:rPr>
          <w:sz w:val="22"/>
          <w:szCs w:val="22"/>
        </w:rPr>
        <w:t xml:space="preserve">the </w:t>
      </w:r>
      <w:r w:rsidRPr="00D47800">
        <w:rPr>
          <w:sz w:val="22"/>
          <w:szCs w:val="22"/>
        </w:rPr>
        <w:t>identification of a missed developmental milestone or developmental concern. Continued data collection is necessary to monitor user experience, assess follow-up behaviors, inform program improvement, and demonstrate public health impact. This request includes one minor, non-substantive clarification to Parent Survey 2. A brief explanatory note was added to Question 1 to clarify why the question is being asked</w:t>
      </w:r>
      <w:r w:rsidRPr="00D47800" w:rsidR="00A34B75">
        <w:rPr>
          <w:sz w:val="22"/>
          <w:szCs w:val="22"/>
        </w:rPr>
        <w:t>, following some respondents'</w:t>
      </w:r>
      <w:r w:rsidRPr="00D47800">
        <w:rPr>
          <w:sz w:val="22"/>
          <w:szCs w:val="22"/>
        </w:rPr>
        <w:t xml:space="preserve"> confusion. The question wording and response options remain unchan</w:t>
      </w:r>
      <w:r w:rsidRPr="00D47800">
        <w:rPr>
          <w:sz w:val="22"/>
          <w:szCs w:val="22"/>
        </w:rPr>
        <w:t xml:space="preserve">ged. This clarification does not affect the methodology, data collected, </w:t>
      </w:r>
      <w:r w:rsidRPr="00D47800" w:rsidR="00A34B75">
        <w:rPr>
          <w:sz w:val="22"/>
          <w:szCs w:val="22"/>
        </w:rPr>
        <w:t>collection frequency</w:t>
      </w:r>
      <w:r w:rsidRPr="00D47800">
        <w:rPr>
          <w:sz w:val="22"/>
          <w:szCs w:val="22"/>
        </w:rPr>
        <w:t>, or the estimated time per response, which remains five (5) minutes. This extension also reflects an adjustment to previously approved burden estimates. The original 2023 burden projections were developed without historical response data and were based on anticipated participation levels derived from total app downloads. Data collected from 2023</w:t>
      </w:r>
      <w:r w:rsidRPr="00D47800" w:rsidR="00A34B75">
        <w:rPr>
          <w:sz w:val="22"/>
          <w:szCs w:val="22"/>
        </w:rPr>
        <w:t xml:space="preserve"> to </w:t>
      </w:r>
      <w:r w:rsidRPr="00D47800">
        <w:rPr>
          <w:sz w:val="22"/>
          <w:szCs w:val="22"/>
        </w:rPr>
        <w:t>2026 indicate substantially lower response levels than originally p</w:t>
      </w:r>
      <w:r w:rsidRPr="00D47800">
        <w:rPr>
          <w:sz w:val="22"/>
          <w:szCs w:val="22"/>
        </w:rPr>
        <w:t>rojected. Accordingly, the number of respondents and total annual burden hours have been revised to align with observed participation trends. The revised annual burden estimate is 2,401 hours, representing a reduction of 39,266 hours from the previously approved 41,667 hours. There are no additional changes to the instruments, methodology, frequency of collection, or time per response.</w:t>
      </w:r>
    </w:p>
    <w:p w:rsidR="004F09CD" w:rsidRPr="00D47800" w:rsidP="004F09CD" w14:paraId="45E937B1" w14:textId="77777777">
      <w:pPr>
        <w:rPr>
          <w:sz w:val="22"/>
          <w:szCs w:val="22"/>
        </w:rPr>
      </w:pPr>
    </w:p>
    <w:p w:rsidR="00B31D5D" w:rsidRPr="00D47800" w:rsidP="004F09CD" w14:paraId="1FFBD38C" w14:textId="55EB7B62">
      <w:pPr>
        <w:rPr>
          <w:sz w:val="22"/>
          <w:szCs w:val="22"/>
        </w:rPr>
      </w:pPr>
      <w:r w:rsidRPr="00D47800">
        <w:rPr>
          <w:sz w:val="22"/>
          <w:szCs w:val="22"/>
        </w:rPr>
        <w:t>Without this extension, CDC would lose access to ongoing evaluation data necessary to assess user engagement and follow-up actions after developmental concerns are identified, limiting the agency’s ability to inform continuous quality improvement and demonstrate program effectiveness.</w:t>
      </w:r>
    </w:p>
    <w:p w:rsidR="00873BFC" w:rsidRPr="00D47800" w:rsidP="00B1386B" w14:paraId="2B57C8A8" w14:textId="63A683C4">
      <w:pPr>
        <w:pStyle w:val="Style1"/>
      </w:pPr>
      <w:bookmarkStart w:id="2" w:name="_Toc121838457"/>
      <w:r w:rsidRPr="00D47800">
        <w:t xml:space="preserve">Section A.3. Use of </w:t>
      </w:r>
      <w:r w:rsidRPr="00D47800" w:rsidR="00C10E8C">
        <w:t xml:space="preserve">Improved </w:t>
      </w:r>
      <w:r w:rsidRPr="00D47800">
        <w:t>Information Technology and Burden Reduction</w:t>
      </w:r>
      <w:bookmarkEnd w:id="2"/>
    </w:p>
    <w:p w:rsidR="004C44CB" w:rsidRPr="00D47800" w:rsidP="004C44CB" w14:paraId="6BBAE375" w14:textId="712C643B">
      <w:pPr>
        <w:pStyle w:val="Style1"/>
        <w:rPr>
          <w:b w:val="0"/>
          <w:bCs w:val="0"/>
          <w:i w:val="0"/>
          <w:kern w:val="0"/>
          <w:szCs w:val="22"/>
          <w:u w:val="none"/>
        </w:rPr>
      </w:pPr>
      <w:r w:rsidRPr="00D47800">
        <w:rPr>
          <w:b w:val="0"/>
          <w:bCs w:val="0"/>
          <w:i w:val="0"/>
          <w:kern w:val="0"/>
          <w:szCs w:val="22"/>
          <w:u w:val="none"/>
        </w:rPr>
        <w:t>Data collection for these surveys will be conducted electronically using a secure, web-based survey platform. Survey links will be distributed to respondents via in-app notifications. These notifications will direct users from within the application to an external survey webpage. As a result, 100 percent of responses will be collected using secure, advanced information technology.</w:t>
      </w:r>
      <w:r w:rsidRPr="00D47800" w:rsidR="00372F84">
        <w:rPr>
          <w:b w:val="0"/>
          <w:bCs w:val="0"/>
          <w:i w:val="0"/>
          <w:kern w:val="0"/>
          <w:szCs w:val="22"/>
          <w:u w:val="none"/>
        </w:rPr>
        <w:t xml:space="preserve"> </w:t>
      </w:r>
      <w:r w:rsidRPr="00D47800">
        <w:rPr>
          <w:b w:val="0"/>
          <w:bCs w:val="0"/>
          <w:i w:val="0"/>
          <w:kern w:val="0"/>
          <w:szCs w:val="22"/>
          <w:u w:val="none"/>
        </w:rPr>
        <w:t>Survey distribution will be tailored using app profile information to ensure that respondents (e.g., parents or providers) receive the appropriate survey instrument. Because surveys are automatically assigned based on user profile data, respondents will not be required to identify or select the correct survey, thereby reducing respondent burden.</w:t>
      </w:r>
    </w:p>
    <w:p w:rsidR="004C44CB" w:rsidRPr="00D47800" w:rsidP="004C44CB" w14:paraId="5DFB99EB" w14:textId="77777777">
      <w:pPr>
        <w:pStyle w:val="Style1"/>
        <w:rPr>
          <w:b w:val="0"/>
          <w:i w:val="0"/>
          <w:kern w:val="24"/>
          <w:szCs w:val="22"/>
          <w:u w:val="none"/>
        </w:rPr>
      </w:pPr>
      <w:r w:rsidRPr="00D47800">
        <w:rPr>
          <w:b w:val="0"/>
          <w:bCs w:val="0"/>
          <w:i w:val="0"/>
          <w:kern w:val="0"/>
          <w:szCs w:val="22"/>
          <w:u w:val="none"/>
        </w:rPr>
        <w:t xml:space="preserve">All survey questions will be voluntary, allowing respondents to skip any items they prefer not to answer. Partially completed surveys will be retained, and any usable data will be included in the analysis, with </w:t>
      </w:r>
      <w:r w:rsidRPr="00D47800">
        <w:rPr>
          <w:b w:val="0"/>
          <w:bCs w:val="0"/>
          <w:i w:val="0"/>
          <w:kern w:val="0"/>
          <w:szCs w:val="22"/>
          <w:u w:val="none"/>
        </w:rPr>
        <w:t>appropriate notation of incomplete responses. In addition, survey instruments have been reviewed by parents, providers, and subject matter experts to ensure clarity, relevance, and feasibility, further minimizing respondent burden and improving data quality.</w:t>
      </w:r>
      <w:r w:rsidRPr="00D47800" w:rsidR="009E7AB8">
        <w:rPr>
          <w:b w:val="0"/>
          <w:i w:val="0"/>
          <w:kern w:val="24"/>
          <w:szCs w:val="22"/>
          <w:u w:val="none"/>
        </w:rPr>
        <w:t xml:space="preserve">  </w:t>
      </w:r>
      <w:bookmarkStart w:id="3" w:name="_Toc121838458"/>
    </w:p>
    <w:p w:rsidR="00873BFC" w:rsidRPr="00D47800" w:rsidP="004C44CB" w14:paraId="26452386" w14:textId="5CDB23DC">
      <w:pPr>
        <w:pStyle w:val="Style1"/>
      </w:pPr>
      <w:r w:rsidRPr="00D47800">
        <w:t>Section A.4. Efforts to Identify Duplication and Use of Similar Information</w:t>
      </w:r>
      <w:bookmarkEnd w:id="3"/>
    </w:p>
    <w:p w:rsidR="009E00CF" w:rsidRPr="00D47800" w:rsidP="009E00CF" w14:paraId="64068BB0" w14:textId="77777777">
      <w:pPr>
        <w:pStyle w:val="Style1"/>
        <w:rPr>
          <w:b w:val="0"/>
          <w:bCs w:val="0"/>
          <w:i w:val="0"/>
          <w:kern w:val="0"/>
          <w:szCs w:val="22"/>
          <w:u w:val="none"/>
        </w:rPr>
      </w:pPr>
      <w:bookmarkStart w:id="4" w:name="_Toc121838459"/>
      <w:r w:rsidRPr="00D47800">
        <w:rPr>
          <w:b w:val="0"/>
          <w:bCs w:val="0"/>
          <w:iCs/>
          <w:kern w:val="0"/>
          <w:szCs w:val="22"/>
          <w:u w:val="none"/>
        </w:rPr>
        <w:t>Learn the Signs. Act Early.</w:t>
      </w:r>
      <w:r w:rsidRPr="00D47800">
        <w:rPr>
          <w:b w:val="0"/>
          <w:bCs w:val="0"/>
          <w:i w:val="0"/>
          <w:kern w:val="0"/>
          <w:szCs w:val="22"/>
          <w:u w:val="none"/>
        </w:rPr>
        <w:t xml:space="preserve"> (LTSAE) </w:t>
      </w:r>
      <w:r w:rsidRPr="00D47800">
        <w:rPr>
          <w:b w:val="0"/>
          <w:bCs w:val="0"/>
          <w:iCs/>
          <w:kern w:val="0"/>
          <w:szCs w:val="22"/>
          <w:u w:val="none"/>
        </w:rPr>
        <w:t>Milestone Tracker</w:t>
      </w:r>
      <w:r w:rsidRPr="00D47800">
        <w:rPr>
          <w:b w:val="0"/>
          <w:bCs w:val="0"/>
          <w:i w:val="0"/>
          <w:kern w:val="0"/>
          <w:szCs w:val="22"/>
          <w:u w:val="none"/>
        </w:rPr>
        <w:t xml:space="preserve"> app is a CDC-developed, program-specific tool designed to support developmental monitoring and promote early identification of developmental concerns. The information collected through this data collection is specific to user interaction with the </w:t>
      </w:r>
      <w:r w:rsidRPr="00D47800">
        <w:rPr>
          <w:b w:val="0"/>
          <w:bCs w:val="0"/>
          <w:iCs/>
          <w:kern w:val="0"/>
          <w:szCs w:val="22"/>
          <w:u w:val="none"/>
        </w:rPr>
        <w:t>Milestone Tracker</w:t>
      </w:r>
      <w:r w:rsidRPr="00D47800">
        <w:rPr>
          <w:b w:val="0"/>
          <w:bCs w:val="0"/>
          <w:i w:val="0"/>
          <w:kern w:val="0"/>
          <w:szCs w:val="22"/>
          <w:u w:val="none"/>
        </w:rPr>
        <w:t xml:space="preserve"> app, including user behavior, satisfaction, perceived usefulness, and self-reported outcomes associated with app use.</w:t>
      </w:r>
    </w:p>
    <w:p w:rsidR="009E00CF" w:rsidRPr="00D47800" w:rsidP="009E00CF" w14:paraId="3B062178" w14:textId="77777777">
      <w:pPr>
        <w:pStyle w:val="Style1"/>
        <w:rPr>
          <w:b w:val="0"/>
          <w:bCs w:val="0"/>
          <w:i w:val="0"/>
          <w:kern w:val="0"/>
          <w:szCs w:val="22"/>
          <w:u w:val="none"/>
        </w:rPr>
      </w:pPr>
      <w:r w:rsidRPr="00D47800">
        <w:rPr>
          <w:b w:val="0"/>
          <w:bCs w:val="0"/>
          <w:i w:val="0"/>
          <w:kern w:val="0"/>
          <w:szCs w:val="22"/>
          <w:u w:val="none"/>
        </w:rPr>
        <w:t xml:space="preserve">CDC has reviewed existing federal data systems, published literature, and other publicly available developmental monitoring tools. This review did not identify any other data collection that captures comparable information specific to the LTSAE </w:t>
      </w:r>
      <w:r w:rsidRPr="00D47800">
        <w:rPr>
          <w:b w:val="0"/>
          <w:bCs w:val="0"/>
          <w:iCs/>
          <w:kern w:val="0"/>
          <w:szCs w:val="22"/>
          <w:u w:val="none"/>
        </w:rPr>
        <w:t>Milestone Tracker</w:t>
      </w:r>
      <w:r w:rsidRPr="00D47800">
        <w:rPr>
          <w:b w:val="0"/>
          <w:bCs w:val="0"/>
          <w:i w:val="0"/>
          <w:kern w:val="0"/>
          <w:szCs w:val="22"/>
          <w:u w:val="none"/>
        </w:rPr>
        <w:t xml:space="preserve"> app. While other developmental screening or monitoring tools may exist, none collect program-specific feedback regarding the </w:t>
      </w:r>
      <w:r w:rsidRPr="00D47800">
        <w:rPr>
          <w:b w:val="0"/>
          <w:bCs w:val="0"/>
          <w:iCs/>
          <w:kern w:val="0"/>
          <w:szCs w:val="22"/>
          <w:u w:val="none"/>
        </w:rPr>
        <w:t>Milestone Tracker</w:t>
      </w:r>
      <w:r w:rsidRPr="00D47800">
        <w:rPr>
          <w:b w:val="0"/>
          <w:bCs w:val="0"/>
          <w:i w:val="0"/>
          <w:kern w:val="0"/>
          <w:szCs w:val="22"/>
          <w:u w:val="none"/>
        </w:rPr>
        <w:t xml:space="preserve"> app’s implementation, functionality, or user experience. Because the Milestone Tracker app is unique to the LTSAE program, the proposed data collection does not duplicate information otherwise available. The information collected is necessary to assess program performance, inform continuous quality improvement, and support ongoing program evaluation</w:t>
      </w:r>
      <w:r w:rsidRPr="00D47800">
        <w:rPr>
          <w:b w:val="0"/>
          <w:bCs w:val="0"/>
          <w:i w:val="0"/>
          <w:kern w:val="0"/>
          <w:szCs w:val="22"/>
          <w:u w:val="none"/>
        </w:rPr>
        <w:t xml:space="preserve"> efforts.</w:t>
      </w:r>
    </w:p>
    <w:p w:rsidR="00873BFC" w:rsidRPr="00D47800" w:rsidP="009E00CF" w14:paraId="24BCA090" w14:textId="3DEFBDCE">
      <w:pPr>
        <w:pStyle w:val="Style1"/>
      </w:pPr>
      <w:r w:rsidRPr="00D47800">
        <w:t>Section A.5. Impact on Small Businesses or Other Small Entities</w:t>
      </w:r>
      <w:bookmarkEnd w:id="4"/>
    </w:p>
    <w:p w:rsidR="00873BFC" w:rsidRPr="00D47800" w:rsidP="00873BFC" w14:paraId="4084B1FE" w14:textId="03214784">
      <w:pPr>
        <w:rPr>
          <w:bCs/>
          <w:iCs/>
          <w:sz w:val="22"/>
          <w:szCs w:val="22"/>
        </w:rPr>
      </w:pPr>
      <w:r w:rsidRPr="00D47800">
        <w:rPr>
          <w:bCs/>
          <w:iCs/>
          <w:sz w:val="22"/>
          <w:szCs w:val="22"/>
        </w:rPr>
        <w:t>This data collection will not involve small businesses.</w:t>
      </w:r>
    </w:p>
    <w:p w:rsidR="004A0452" w:rsidRPr="00D47800" w:rsidP="00873BFC" w14:paraId="75BB01E1" w14:textId="77777777">
      <w:pPr>
        <w:rPr>
          <w:b/>
          <w:i/>
          <w:sz w:val="22"/>
          <w:szCs w:val="22"/>
          <w:u w:val="single"/>
        </w:rPr>
      </w:pPr>
    </w:p>
    <w:p w:rsidR="00873BFC" w:rsidRPr="00D47800" w:rsidP="00705A6A" w14:paraId="3DAD3A8F" w14:textId="7809F344">
      <w:pPr>
        <w:pStyle w:val="Style1"/>
      </w:pPr>
      <w:bookmarkStart w:id="5" w:name="_Toc121838460"/>
      <w:r w:rsidRPr="00D47800">
        <w:t>Section A.6. Consequences of Collecting the Information Less Frequently</w:t>
      </w:r>
      <w:bookmarkEnd w:id="5"/>
    </w:p>
    <w:p w:rsidR="00497EFD" w:rsidRPr="00D47800" w:rsidP="00497EFD" w14:paraId="454B1B11" w14:textId="50EF1220">
      <w:pPr>
        <w:pStyle w:val="Style1"/>
        <w:rPr>
          <w:b w:val="0"/>
          <w:bCs w:val="0"/>
          <w:i w:val="0"/>
          <w:kern w:val="0"/>
          <w:szCs w:val="22"/>
          <w:u w:val="none"/>
        </w:rPr>
      </w:pPr>
      <w:bookmarkStart w:id="6" w:name="_Toc121838461"/>
      <w:r w:rsidRPr="00D47800">
        <w:rPr>
          <w:b w:val="0"/>
          <w:bCs w:val="0"/>
          <w:i w:val="0"/>
          <w:kern w:val="0"/>
          <w:szCs w:val="22"/>
          <w:u w:val="none"/>
        </w:rPr>
        <w:t>If information is not collected from parents and providers regarding their use of the app, it will not be possible to assess user behaviors, evaluate the app’s effectiveness, or measure outcomes and impacts. Without these data, the program will be unable to adequately understand user experiences, report on performance, or make informed updates and improvements to the app. Each respondent will be asked to complete the survey once. However, parents who indicate a missed developmental milestone or concern with</w:t>
      </w:r>
      <w:r w:rsidRPr="00D47800">
        <w:rPr>
          <w:b w:val="0"/>
          <w:bCs w:val="0"/>
          <w:i w:val="0"/>
          <w:kern w:val="0"/>
          <w:szCs w:val="22"/>
          <w:u w:val="none"/>
        </w:rPr>
        <w:t>in the app will be invited to complete a follow-up survey. This additional survey will collect information about actions taken after identifying a developmental concern and is necessary to assess downstream outcomes associated with app use. All survey questions will be voluntary, allowing respondents to skip any items they prefer not to answer. Partially completed surveys will be retained, and any usable data will be included in the analysis, with appropriate notation of incomplete responses.</w:t>
      </w:r>
    </w:p>
    <w:p w:rsidR="00497EFD" w:rsidRPr="00D47800" w:rsidP="00497EFD" w14:paraId="2864A0F7" w14:textId="77777777">
      <w:pPr>
        <w:pStyle w:val="Style1"/>
        <w:rPr>
          <w:b w:val="0"/>
          <w:bCs w:val="0"/>
          <w:i w:val="0"/>
          <w:kern w:val="0"/>
          <w:szCs w:val="22"/>
          <w:u w:val="none"/>
        </w:rPr>
      </w:pPr>
      <w:r w:rsidRPr="00D47800">
        <w:rPr>
          <w:b w:val="0"/>
          <w:bCs w:val="0"/>
          <w:i w:val="0"/>
          <w:kern w:val="0"/>
          <w:szCs w:val="22"/>
          <w:u w:val="none"/>
        </w:rPr>
        <w:t>There are no legal or technical barriers to reducing respondent burden.</w:t>
      </w:r>
    </w:p>
    <w:p w:rsidR="00873BFC" w:rsidRPr="00D47800" w:rsidP="00497EFD" w14:paraId="41111AE0" w14:textId="24D20709">
      <w:pPr>
        <w:pStyle w:val="Style1"/>
      </w:pPr>
      <w:r w:rsidRPr="00D47800">
        <w:t>Section A.7. Special Circumstances Relating to the Guidelines of 5 CFR 1320.5</w:t>
      </w:r>
      <w:bookmarkEnd w:id="6"/>
    </w:p>
    <w:p w:rsidR="00873BFC" w:rsidRPr="00D47800" w:rsidP="00873BFC" w14:paraId="4840D605" w14:textId="77777777">
      <w:pPr>
        <w:rPr>
          <w:i/>
          <w:sz w:val="22"/>
          <w:szCs w:val="22"/>
          <w:u w:val="single"/>
        </w:rPr>
      </w:pPr>
    </w:p>
    <w:p w:rsidR="00873BFC" w:rsidRPr="00D47800" w:rsidP="00873BFC" w14:paraId="7A5F6510" w14:textId="49805947">
      <w:pPr>
        <w:rPr>
          <w:sz w:val="22"/>
          <w:szCs w:val="22"/>
        </w:rPr>
      </w:pPr>
      <w:r w:rsidRPr="00D47800">
        <w:rPr>
          <w:sz w:val="22"/>
          <w:szCs w:val="22"/>
        </w:rPr>
        <w:t xml:space="preserve">This request fully complies </w:t>
      </w:r>
      <w:r w:rsidRPr="00D47800" w:rsidR="00EA06D5">
        <w:rPr>
          <w:sz w:val="22"/>
          <w:szCs w:val="22"/>
        </w:rPr>
        <w:t>with regulation 5 CFR 1320.5</w:t>
      </w:r>
      <w:r w:rsidRPr="00D47800" w:rsidR="00A64B08">
        <w:rPr>
          <w:sz w:val="22"/>
          <w:szCs w:val="22"/>
        </w:rPr>
        <w:t>.</w:t>
      </w:r>
    </w:p>
    <w:p w:rsidR="00873BFC" w:rsidRPr="00D47800" w:rsidP="00873BFC" w14:paraId="38B5228E" w14:textId="77777777">
      <w:pPr>
        <w:rPr>
          <w:i/>
          <w:sz w:val="22"/>
          <w:szCs w:val="22"/>
          <w:u w:val="single"/>
        </w:rPr>
      </w:pPr>
      <w:r w:rsidRPr="00D47800">
        <w:rPr>
          <w:i/>
          <w:sz w:val="22"/>
          <w:szCs w:val="22"/>
          <w:u w:val="single"/>
        </w:rPr>
        <w:t xml:space="preserve"> </w:t>
      </w:r>
    </w:p>
    <w:p w:rsidR="00873BFC" w:rsidRPr="00D47800" w:rsidP="00705A6A" w14:paraId="17FB7249" w14:textId="41900A4D">
      <w:pPr>
        <w:pStyle w:val="Style1"/>
      </w:pPr>
      <w:bookmarkStart w:id="7" w:name="_Toc121838462"/>
      <w:r w:rsidRPr="00D47800">
        <w:t>Section A.8. Comments in Response to the Federal Register Notice and Efforts to Consult Outside the Agency</w:t>
      </w:r>
      <w:bookmarkEnd w:id="7"/>
    </w:p>
    <w:p w:rsidR="00873BFC" w:rsidRPr="00D47800" w:rsidP="00873BFC" w14:paraId="245C260D" w14:textId="77777777">
      <w:pPr>
        <w:rPr>
          <w:i/>
          <w:sz w:val="22"/>
          <w:szCs w:val="22"/>
          <w:u w:val="single"/>
        </w:rPr>
      </w:pPr>
    </w:p>
    <w:p w:rsidR="00986E45" w:rsidRPr="00D47800" w:rsidP="00986E45" w14:paraId="7BE8D5CC" w14:textId="3420F0E8">
      <w:pPr>
        <w:pStyle w:val="ListParagraph"/>
        <w:numPr>
          <w:ilvl w:val="0"/>
          <w:numId w:val="5"/>
        </w:numPr>
      </w:pPr>
      <w:r w:rsidRPr="00D47800">
        <w:t>As required by 5 CFR 1320.8 (d), CDC announced an opportunity for public comments by publishing a Notice in the Federal Register (see FR 0</w:t>
      </w:r>
      <w:r w:rsidR="000373C1">
        <w:t>3</w:t>
      </w:r>
      <w:r w:rsidRPr="00D47800">
        <w:t>/</w:t>
      </w:r>
      <w:r w:rsidR="000373C1">
        <w:t>24</w:t>
      </w:r>
      <w:r w:rsidRPr="00D47800">
        <w:t>/202</w:t>
      </w:r>
      <w:r w:rsidR="000373C1">
        <w:t>6</w:t>
      </w:r>
      <w:r w:rsidRPr="00D47800">
        <w:t xml:space="preserve">, Vol. </w:t>
      </w:r>
      <w:r w:rsidR="000373C1">
        <w:t>91</w:t>
      </w:r>
      <w:r w:rsidRPr="00D47800">
        <w:t xml:space="preserve">, No. </w:t>
      </w:r>
      <w:r w:rsidR="000373C1">
        <w:t>56</w:t>
      </w:r>
      <w:r w:rsidRPr="00D47800">
        <w:t xml:space="preserve">, pages </w:t>
      </w:r>
      <w:r w:rsidR="000373C1">
        <w:t>14024-14026</w:t>
      </w:r>
      <w:r w:rsidRPr="00D47800">
        <w:t xml:space="preserve">).  A copy of the Notice is attached (Attachment </w:t>
      </w:r>
      <w:r w:rsidR="000373C1">
        <w:t>B</w:t>
      </w:r>
      <w:r w:rsidRPr="00D47800">
        <w:t>).  No public comments were received.</w:t>
      </w:r>
    </w:p>
    <w:p w:rsidR="00986E45" w:rsidRPr="00D47800" w:rsidP="00986E45" w14:paraId="5A9EF26E" w14:textId="77777777">
      <w:pPr>
        <w:pStyle w:val="ListParagraph"/>
        <w:ind w:left="360"/>
      </w:pPr>
    </w:p>
    <w:p w:rsidR="004C04F9" w:rsidRPr="00D47800" w:rsidP="00A76D3D" w14:paraId="30B23467" w14:textId="76E7D97B">
      <w:pPr>
        <w:pStyle w:val="ListParagraph"/>
        <w:numPr>
          <w:ilvl w:val="0"/>
          <w:numId w:val="5"/>
        </w:numPr>
        <w:sectPr w:rsidSect="00B6712C">
          <w:type w:val="continuous"/>
          <w:pgSz w:w="12240" w:h="15840"/>
          <w:pgMar w:top="1440" w:right="1440" w:bottom="1440" w:left="1440" w:header="720" w:footer="720" w:gutter="0"/>
          <w:cols w:space="720"/>
          <w:docGrid w:linePitch="360"/>
        </w:sectPr>
      </w:pPr>
      <w:r w:rsidRPr="00D47800">
        <w:t>Efforts to consult: From February 2022 to October 2022, we interviewed 7 parents and providers to review the</w:t>
      </w:r>
      <w:r w:rsidRPr="00D47800" w:rsidR="00347410">
        <w:t xml:space="preserve"> content of the data collection instruments for this project</w:t>
      </w:r>
      <w:r w:rsidRPr="00D47800">
        <w:t xml:space="preserve">. </w:t>
      </w:r>
      <w:r w:rsidRPr="00D47800" w:rsidR="00A76D3D">
        <w:t xml:space="preserve"> Since the survey has minimal changes that do not affect the burden, no additional </w:t>
      </w:r>
      <w:r w:rsidRPr="00D47800" w:rsidR="00015619">
        <w:t xml:space="preserve">interviews were necessary for this 2026 extension request. </w:t>
      </w:r>
    </w:p>
    <w:p w:rsidR="00FE2F34" w:rsidRPr="00D47800" w:rsidP="00190A8C" w14:paraId="4A0225E2" w14:textId="77777777">
      <w:pPr>
        <w:pStyle w:val="ListParagraph"/>
      </w:pPr>
    </w:p>
    <w:p w:rsidR="004C04F9" w:rsidRPr="00D47800" w:rsidP="00330512" w14:paraId="43C98BDD" w14:textId="77777777">
      <w:pPr>
        <w:pStyle w:val="ListParagraph"/>
        <w:sectPr w:rsidSect="004C04F9">
          <w:type w:val="continuous"/>
          <w:pgSz w:w="12240" w:h="15840"/>
          <w:pgMar w:top="1440" w:right="1440" w:bottom="1440" w:left="1440" w:header="720" w:footer="720" w:gutter="0"/>
          <w:cols w:space="720"/>
          <w:docGrid w:linePitch="360"/>
        </w:sectPr>
      </w:pPr>
    </w:p>
    <w:p w:rsidR="00873BFC" w:rsidRPr="00D47800" w:rsidP="00705A6A" w14:paraId="07F4E6D5" w14:textId="548CB5C7">
      <w:pPr>
        <w:pStyle w:val="Style1"/>
      </w:pPr>
      <w:bookmarkStart w:id="8" w:name="_Toc121838463"/>
      <w:r w:rsidRPr="00D47800">
        <w:t>Section A.9. Explanation of Any Payment or Gift to Respondents</w:t>
      </w:r>
      <w:bookmarkEnd w:id="8"/>
    </w:p>
    <w:p w:rsidR="00873BFC" w:rsidRPr="00D47800" w:rsidP="00873BFC" w14:paraId="59482822" w14:textId="5D650F60">
      <w:pPr>
        <w:rPr>
          <w:sz w:val="22"/>
          <w:szCs w:val="22"/>
        </w:rPr>
      </w:pPr>
      <w:r w:rsidRPr="00D47800">
        <w:rPr>
          <w:sz w:val="22"/>
          <w:szCs w:val="22"/>
        </w:rPr>
        <w:t>No incentive will be offered to respondents</w:t>
      </w:r>
    </w:p>
    <w:p w:rsidR="00873BFC" w:rsidRPr="00D47800" w:rsidP="00705A6A" w14:paraId="53AE64B6" w14:textId="0D845742">
      <w:pPr>
        <w:pStyle w:val="Style1"/>
      </w:pPr>
      <w:bookmarkStart w:id="9" w:name="_Toc121838464"/>
      <w:r w:rsidRPr="00D47800">
        <w:t>Section A.10. Assurance of Confidentiality Provided to Respondents</w:t>
      </w:r>
      <w:bookmarkEnd w:id="9"/>
    </w:p>
    <w:p w:rsidR="00873BFC" w:rsidRPr="00D47800" w:rsidP="00873BFC" w14:paraId="645A771A" w14:textId="77777777">
      <w:pPr>
        <w:keepNext/>
        <w:autoSpaceDE w:val="0"/>
        <w:autoSpaceDN w:val="0"/>
        <w:adjustRightInd w:val="0"/>
        <w:outlineLvl w:val="7"/>
        <w:rPr>
          <w:sz w:val="21"/>
          <w:szCs w:val="21"/>
        </w:rPr>
      </w:pPr>
    </w:p>
    <w:p w:rsidR="003F71AD" w:rsidRPr="00D47800" w:rsidP="00056098" w14:paraId="47E4B412" w14:textId="176E94A7">
      <w:pPr>
        <w:rPr>
          <w:sz w:val="22"/>
          <w:szCs w:val="22"/>
        </w:rPr>
      </w:pPr>
      <w:r w:rsidRPr="00D47800">
        <w:rPr>
          <w:sz w:val="22"/>
          <w:szCs w:val="22"/>
        </w:rPr>
        <w:t xml:space="preserve">The proposed data collection is not expected to have an impact on respondent privacy. No personally identifiable information (PII) will be collected as part of the surveys, and respondents will not be asked to provide sensitive or private information. All data will be collected and stored securely on a password-protected CDC server and will be accessible only to authorized CDC LTSAE evaluation staff. Based on the nature of the data collection and the absence of PII, CDC has determined that a Privacy Impact </w:t>
      </w:r>
      <w:r w:rsidRPr="00D47800">
        <w:rPr>
          <w:sz w:val="22"/>
          <w:szCs w:val="22"/>
        </w:rPr>
        <w:t>Assessment (PIA) is not required. Participation in the survey is voluntary, and consent is implied through completion of the survey. The specific information collected will vary depending on the survey instrument administered, which is determined by the respondent’s self-identified role (e.g., parent or provider). No survey content is directed to children under the age of 13.</w:t>
      </w:r>
    </w:p>
    <w:p w:rsidR="00DB1040" w:rsidRPr="00D47800" w:rsidP="00DB1040" w14:paraId="659B964F" w14:textId="77777777">
      <w:pPr>
        <w:keepNext/>
        <w:autoSpaceDE w:val="0"/>
        <w:autoSpaceDN w:val="0"/>
        <w:adjustRightInd w:val="0"/>
        <w:outlineLvl w:val="7"/>
        <w:rPr>
          <w:sz w:val="20"/>
          <w:szCs w:val="20"/>
          <w:u w:val="single"/>
        </w:rPr>
      </w:pPr>
    </w:p>
    <w:p w:rsidR="00873BFC" w:rsidRPr="00D47800" w:rsidP="00264B23" w14:paraId="3D7CE058" w14:textId="1F34A480">
      <w:pPr>
        <w:rPr>
          <w:sz w:val="22"/>
          <w:szCs w:val="22"/>
        </w:rPr>
      </w:pPr>
      <w:r w:rsidRPr="00D47800">
        <w:rPr>
          <w:sz w:val="22"/>
          <w:szCs w:val="22"/>
        </w:rPr>
        <w:t xml:space="preserve">The research determination for this project has declared it </w:t>
      </w:r>
      <w:r w:rsidRPr="00D47800" w:rsidR="00A64969">
        <w:rPr>
          <w:sz w:val="22"/>
          <w:szCs w:val="22"/>
        </w:rPr>
        <w:t>“N</w:t>
      </w:r>
      <w:r w:rsidRPr="00D47800">
        <w:rPr>
          <w:sz w:val="22"/>
          <w:szCs w:val="22"/>
        </w:rPr>
        <w:t xml:space="preserve">ot </w:t>
      </w:r>
      <w:r w:rsidRPr="00D47800" w:rsidR="00A64969">
        <w:rPr>
          <w:sz w:val="22"/>
          <w:szCs w:val="22"/>
        </w:rPr>
        <w:t>R</w:t>
      </w:r>
      <w:r w:rsidRPr="00D47800">
        <w:rPr>
          <w:sz w:val="22"/>
          <w:szCs w:val="22"/>
        </w:rPr>
        <w:t>esearch –</w:t>
      </w:r>
      <w:r w:rsidRPr="00D47800" w:rsidR="0062257D">
        <w:rPr>
          <w:sz w:val="22"/>
          <w:szCs w:val="22"/>
        </w:rPr>
        <w:t>Other</w:t>
      </w:r>
      <w:r w:rsidRPr="00D47800" w:rsidR="00A64969">
        <w:rPr>
          <w:sz w:val="22"/>
          <w:szCs w:val="22"/>
        </w:rPr>
        <w:t>”</w:t>
      </w:r>
      <w:r w:rsidRPr="00D47800">
        <w:rPr>
          <w:sz w:val="22"/>
          <w:szCs w:val="22"/>
        </w:rPr>
        <w:t xml:space="preserve"> and therefore exempt from IRB review</w:t>
      </w:r>
      <w:r w:rsidRPr="00D47800" w:rsidR="00A64969">
        <w:rPr>
          <w:sz w:val="22"/>
          <w:szCs w:val="22"/>
        </w:rPr>
        <w:t xml:space="preserve"> (</w:t>
      </w:r>
      <w:r w:rsidRPr="00D47800" w:rsidR="00A64969">
        <w:rPr>
          <w:b/>
          <w:bCs/>
          <w:sz w:val="22"/>
          <w:szCs w:val="22"/>
        </w:rPr>
        <w:t xml:space="preserve">Attachment </w:t>
      </w:r>
      <w:r w:rsidRPr="00D47800" w:rsidR="00BC22AB">
        <w:rPr>
          <w:b/>
          <w:bCs/>
          <w:sz w:val="22"/>
          <w:szCs w:val="22"/>
        </w:rPr>
        <w:t>C</w:t>
      </w:r>
      <w:r w:rsidRPr="00D47800" w:rsidR="00A64969">
        <w:rPr>
          <w:sz w:val="22"/>
          <w:szCs w:val="22"/>
        </w:rPr>
        <w:t>)</w:t>
      </w:r>
      <w:r w:rsidRPr="00D47800">
        <w:rPr>
          <w:sz w:val="22"/>
          <w:szCs w:val="22"/>
        </w:rPr>
        <w:t>.</w:t>
      </w:r>
      <w:r w:rsidRPr="00D47800" w:rsidR="00DB1040">
        <w:rPr>
          <w:sz w:val="22"/>
          <w:szCs w:val="22"/>
        </w:rPr>
        <w:t xml:space="preserve"> </w:t>
      </w:r>
    </w:p>
    <w:p w:rsidR="002912FE" w:rsidRPr="00D47800" w:rsidP="002912FE" w14:paraId="3DAAEF06" w14:textId="77777777">
      <w:pPr>
        <w:rPr>
          <w:sz w:val="22"/>
          <w:szCs w:val="22"/>
        </w:rPr>
      </w:pPr>
    </w:p>
    <w:p w:rsidR="00264B23" w:rsidRPr="00D47800" w:rsidP="00705A6A" w14:paraId="6DE0604F" w14:textId="77777777">
      <w:pPr>
        <w:pStyle w:val="Style1"/>
      </w:pPr>
      <w:bookmarkStart w:id="10" w:name="_Toc121838465"/>
      <w:r w:rsidRPr="00D47800">
        <w:t>Section A.11. Justification for Sensitive Questions</w:t>
      </w:r>
      <w:bookmarkEnd w:id="10"/>
    </w:p>
    <w:p w:rsidR="00E64624" w:rsidRPr="00D47800" w:rsidP="00264B23" w14:paraId="0824AF4E" w14:textId="609DB865">
      <w:pPr>
        <w:rPr>
          <w:b/>
          <w:bCs/>
          <w:i/>
          <w:sz w:val="22"/>
          <w:szCs w:val="22"/>
        </w:rPr>
      </w:pPr>
      <w:r w:rsidRPr="00D47800">
        <w:rPr>
          <w:sz w:val="22"/>
          <w:szCs w:val="22"/>
        </w:rPr>
        <w:t xml:space="preserve">All questions in the survey are optional, and participants can skip questions or exit the survey at any time. </w:t>
      </w:r>
      <w:r w:rsidRPr="00D47800" w:rsidR="00D10038">
        <w:rPr>
          <w:sz w:val="22"/>
          <w:szCs w:val="22"/>
        </w:rPr>
        <w:t xml:space="preserve">The IRB approval of the </w:t>
      </w:r>
      <w:r w:rsidRPr="00D47800" w:rsidR="00A0444C">
        <w:rPr>
          <w:sz w:val="22"/>
          <w:szCs w:val="22"/>
        </w:rPr>
        <w:t>evaluation</w:t>
      </w:r>
      <w:r w:rsidRPr="00D47800" w:rsidR="00D10038">
        <w:rPr>
          <w:sz w:val="22"/>
          <w:szCs w:val="22"/>
        </w:rPr>
        <w:t xml:space="preserve"> (</w:t>
      </w:r>
      <w:r w:rsidRPr="00D47800" w:rsidR="00D10038">
        <w:rPr>
          <w:b/>
          <w:bCs/>
          <w:sz w:val="22"/>
          <w:szCs w:val="22"/>
        </w:rPr>
        <w:t xml:space="preserve">Attachment </w:t>
      </w:r>
      <w:r w:rsidRPr="00D47800" w:rsidR="00060A21">
        <w:rPr>
          <w:b/>
          <w:bCs/>
          <w:sz w:val="22"/>
          <w:szCs w:val="22"/>
        </w:rPr>
        <w:t>C</w:t>
      </w:r>
      <w:r w:rsidRPr="00D47800" w:rsidR="00D10038">
        <w:rPr>
          <w:sz w:val="22"/>
          <w:szCs w:val="22"/>
        </w:rPr>
        <w:t>) included the review and approval of this level of remuneration.</w:t>
      </w:r>
    </w:p>
    <w:p w:rsidR="00873BFC" w:rsidRPr="00D47800" w:rsidP="00705A6A" w14:paraId="4C01D0E5" w14:textId="517B742C">
      <w:pPr>
        <w:pStyle w:val="Style1"/>
      </w:pPr>
      <w:bookmarkStart w:id="11" w:name="_Toc121838466"/>
      <w:r w:rsidRPr="00D47800">
        <w:t>Section A</w:t>
      </w:r>
      <w:r w:rsidRPr="00D47800" w:rsidR="00D217AF">
        <w:t>.</w:t>
      </w:r>
      <w:r w:rsidRPr="00D47800">
        <w:t>12. Estimates of Annualized Burden Hours and Costs</w:t>
      </w:r>
      <w:bookmarkEnd w:id="11"/>
    </w:p>
    <w:p w:rsidR="00B43746" w:rsidRPr="00D47800" w:rsidP="00B43746" w14:paraId="462B1C44" w14:textId="41ED54D5">
      <w:pPr>
        <w:pStyle w:val="Style1"/>
        <w:rPr>
          <w:b w:val="0"/>
          <w:bCs w:val="0"/>
          <w:i w:val="0"/>
          <w:iCs/>
          <w:u w:val="none"/>
        </w:rPr>
      </w:pPr>
      <w:r w:rsidRPr="00D47800">
        <w:rPr>
          <w:b w:val="0"/>
          <w:bCs w:val="0"/>
          <w:i w:val="0"/>
          <w:iCs/>
          <w:u w:val="none"/>
        </w:rPr>
        <w:t xml:space="preserve">It is estimated that 0 respondents will have to be screened to recruit 28,800 participants over a 3-year period. The </w:t>
      </w:r>
      <w:r w:rsidRPr="00D47800">
        <w:rPr>
          <w:b w:val="0"/>
          <w:bCs w:val="0"/>
          <w:u w:val="none"/>
        </w:rPr>
        <w:t>Milestone Tracker</w:t>
      </w:r>
      <w:r w:rsidRPr="00D47800">
        <w:rPr>
          <w:b w:val="0"/>
          <w:bCs w:val="0"/>
          <w:i w:val="0"/>
          <w:iCs/>
          <w:u w:val="none"/>
        </w:rPr>
        <w:t xml:space="preserve"> app has over </w:t>
      </w:r>
      <w:r w:rsidRPr="00D47800" w:rsidR="005546B4">
        <w:rPr>
          <w:b w:val="0"/>
          <w:bCs w:val="0"/>
          <w:i w:val="0"/>
          <w:iCs/>
          <w:u w:val="none"/>
        </w:rPr>
        <w:t>2.8</w:t>
      </w:r>
      <w:r w:rsidRPr="00D47800">
        <w:rPr>
          <w:b w:val="0"/>
          <w:bCs w:val="0"/>
          <w:i w:val="0"/>
          <w:iCs/>
          <w:u w:val="none"/>
        </w:rPr>
        <w:t xml:space="preserve"> million downloads and all users will be sent an in-app notification invitation to participate based on their user profile information (parent or provider).</w:t>
      </w:r>
      <w:r w:rsidRPr="00D47800" w:rsidR="005546B4">
        <w:rPr>
          <w:b w:val="0"/>
          <w:bCs w:val="0"/>
          <w:i w:val="0"/>
          <w:iCs/>
          <w:u w:val="none"/>
        </w:rPr>
        <w:t xml:space="preserve"> </w:t>
      </w:r>
      <w:r w:rsidRPr="00D47800">
        <w:rPr>
          <w:b w:val="0"/>
          <w:bCs w:val="0"/>
          <w:i w:val="0"/>
          <w:iCs/>
          <w:u w:val="none"/>
        </w:rPr>
        <w:t>The 2023 burden estimates were developed when this was a new collection instrument, and no historical response data were available. In the absence of prior implementation data, projected response totals were based on preliminary assumptions regarding anticipated participation levels. The actual survey response data from</w:t>
      </w:r>
      <w:r w:rsidRPr="00D47800">
        <w:rPr>
          <w:b w:val="0"/>
          <w:bCs w:val="0"/>
          <w:i w:val="0"/>
          <w:iCs/>
          <w:u w:val="none"/>
        </w:rPr>
        <w:t xml:space="preserve"> 2023–2026 indicate that the original estimates substantially overstated the number of respondents and </w:t>
      </w:r>
      <w:r w:rsidRPr="00D47800">
        <w:rPr>
          <w:b w:val="0"/>
          <w:bCs w:val="0"/>
          <w:i w:val="0"/>
          <w:iCs/>
          <w:u w:val="none"/>
        </w:rPr>
        <w:t>total burden hours</w:t>
      </w:r>
      <w:r w:rsidRPr="00D47800" w:rsidR="00AC3876">
        <w:rPr>
          <w:b w:val="0"/>
          <w:bCs w:val="0"/>
          <w:i w:val="0"/>
          <w:iCs/>
          <w:u w:val="none"/>
        </w:rPr>
        <w:t xml:space="preserve">. </w:t>
      </w:r>
      <w:r w:rsidRPr="00D47800">
        <w:rPr>
          <w:b w:val="0"/>
          <w:bCs w:val="0"/>
          <w:i w:val="0"/>
          <w:iCs/>
          <w:u w:val="none"/>
        </w:rPr>
        <w:t>The updated 2026 estimates</w:t>
      </w:r>
      <w:r w:rsidRPr="00D47800" w:rsidR="003C1BCB">
        <w:rPr>
          <w:b w:val="0"/>
          <w:bCs w:val="0"/>
          <w:i w:val="0"/>
          <w:iCs/>
          <w:u w:val="none"/>
        </w:rPr>
        <w:t xml:space="preserve"> </w:t>
      </w:r>
      <w:r w:rsidRPr="00D47800" w:rsidR="003C1BCB">
        <w:rPr>
          <w:i w:val="0"/>
          <w:iCs/>
          <w:u w:val="none"/>
        </w:rPr>
        <w:t>(Table A</w:t>
      </w:r>
      <w:r w:rsidRPr="00D47800" w:rsidR="004153A2">
        <w:rPr>
          <w:i w:val="0"/>
          <w:iCs/>
          <w:u w:val="none"/>
        </w:rPr>
        <w:t>.1</w:t>
      </w:r>
      <w:r w:rsidRPr="00D47800" w:rsidR="003C1BCB">
        <w:rPr>
          <w:i w:val="0"/>
          <w:iCs/>
          <w:u w:val="none"/>
        </w:rPr>
        <w:t>)</w:t>
      </w:r>
      <w:r w:rsidRPr="00D47800">
        <w:rPr>
          <w:b w:val="0"/>
          <w:bCs w:val="0"/>
          <w:i w:val="0"/>
          <w:iCs/>
          <w:u w:val="none"/>
        </w:rPr>
        <w:t xml:space="preserve"> reflect actual participation trends observed during the approved period. While the number of respondents has been adjusted downward to align with realized response levels, the estimated average time per response remains unchanged at five (5) minutes. There have been no changes to the survey instruments or data collection procedures that would affec</w:t>
      </w:r>
      <w:r w:rsidRPr="00D47800">
        <w:rPr>
          <w:b w:val="0"/>
          <w:bCs w:val="0"/>
          <w:i w:val="0"/>
          <w:iCs/>
          <w:u w:val="none"/>
        </w:rPr>
        <w:t>t per-response burden.</w:t>
      </w:r>
    </w:p>
    <w:p w:rsidR="00AC3876" w:rsidRPr="00D47800" w:rsidP="00AC3876" w14:paraId="2D85E380" w14:textId="0C2CD28A">
      <w:pPr>
        <w:pStyle w:val="Style1"/>
        <w:rPr>
          <w:b w:val="0"/>
          <w:bCs w:val="0"/>
          <w:i w:val="0"/>
          <w:iCs/>
          <w:u w:val="none"/>
        </w:rPr>
      </w:pPr>
      <w:r w:rsidRPr="00D47800">
        <w:rPr>
          <w:b w:val="0"/>
          <w:bCs w:val="0"/>
          <w:i w:val="0"/>
          <w:iCs/>
          <w:u w:val="none"/>
        </w:rPr>
        <w:t xml:space="preserve">All parents or guardians who use the </w:t>
      </w:r>
      <w:r w:rsidRPr="00D47800">
        <w:rPr>
          <w:b w:val="0"/>
          <w:bCs w:val="0"/>
          <w:u w:val="none"/>
        </w:rPr>
        <w:t>Milestone Tracker</w:t>
      </w:r>
      <w:r w:rsidRPr="00D47800">
        <w:rPr>
          <w:b w:val="0"/>
          <w:bCs w:val="0"/>
          <w:i w:val="0"/>
          <w:iCs/>
          <w:u w:val="none"/>
        </w:rPr>
        <w:t xml:space="preserve"> app and complete at least 65 percent of a developmental checklist will be invited to complete the </w:t>
      </w:r>
      <w:r w:rsidRPr="00D47800">
        <w:rPr>
          <w:b w:val="0"/>
          <w:bCs w:val="0"/>
          <w:u w:val="none"/>
        </w:rPr>
        <w:t>Milestone Tracker</w:t>
      </w:r>
      <w:r w:rsidRPr="00D47800">
        <w:rPr>
          <w:b w:val="0"/>
          <w:bCs w:val="0"/>
          <w:i w:val="0"/>
          <w:iCs/>
          <w:u w:val="none"/>
        </w:rPr>
        <w:t xml:space="preserve"> app Parent Survey 1. The estimated number of respondents is 23,000 annually, with one response per respondent. The average burden per response is 0.084 hours (5 minutes), resulting in an estimated 1,932 annual burden hours.</w:t>
      </w:r>
    </w:p>
    <w:p w:rsidR="00AC3876" w:rsidRPr="00D47800" w:rsidP="00AC3876" w14:paraId="273645B9" w14:textId="6A36FB83">
      <w:pPr>
        <w:pStyle w:val="Style1"/>
        <w:rPr>
          <w:b w:val="0"/>
          <w:bCs w:val="0"/>
          <w:i w:val="0"/>
          <w:iCs/>
          <w:u w:val="none"/>
        </w:rPr>
      </w:pPr>
      <w:r w:rsidRPr="00D47800">
        <w:rPr>
          <w:b w:val="0"/>
          <w:bCs w:val="0"/>
          <w:i w:val="0"/>
          <w:iCs/>
          <w:u w:val="none"/>
        </w:rPr>
        <w:t xml:space="preserve">Parents who complete at least 65 percent of a checklist and indicate a missed developmental milestone or identify a developmental concern will be invited to complete the </w:t>
      </w:r>
      <w:r w:rsidRPr="00D47800">
        <w:rPr>
          <w:b w:val="0"/>
          <w:bCs w:val="0"/>
          <w:u w:val="none"/>
        </w:rPr>
        <w:t>Milestone Tracker</w:t>
      </w:r>
      <w:r w:rsidRPr="00D47800">
        <w:rPr>
          <w:b w:val="0"/>
          <w:bCs w:val="0"/>
          <w:i w:val="0"/>
          <w:iCs/>
          <w:u w:val="none"/>
        </w:rPr>
        <w:t xml:space="preserve"> app Parent Survey 2. The estimated number of respondents is 5,000 annually, with one response per respondent. The average burden per response is 0.084 hours (5 minutes), resulting in an estimated 420 annual burden hours.</w:t>
      </w:r>
    </w:p>
    <w:p w:rsidR="00AC3876" w:rsidRPr="00D47800" w:rsidP="00AC3876" w14:paraId="52BE2274" w14:textId="57346480">
      <w:pPr>
        <w:pStyle w:val="Style1"/>
        <w:rPr>
          <w:b w:val="0"/>
          <w:bCs w:val="0"/>
          <w:i w:val="0"/>
          <w:iCs/>
          <w:u w:val="none"/>
        </w:rPr>
      </w:pPr>
      <w:r w:rsidRPr="00D47800">
        <w:rPr>
          <w:b w:val="0"/>
          <w:bCs w:val="0"/>
          <w:i w:val="0"/>
          <w:iCs/>
          <w:u w:val="none"/>
        </w:rPr>
        <w:t xml:space="preserve">Early childhood providers and professionals (e.g., healthcare providers or early childhood specialists) who use the </w:t>
      </w:r>
      <w:r w:rsidRPr="00D47800">
        <w:rPr>
          <w:b w:val="0"/>
          <w:bCs w:val="0"/>
          <w:u w:val="none"/>
        </w:rPr>
        <w:t>Milestone Tracker</w:t>
      </w:r>
      <w:r w:rsidRPr="00D47800">
        <w:rPr>
          <w:b w:val="0"/>
          <w:bCs w:val="0"/>
          <w:i w:val="0"/>
          <w:iCs/>
          <w:u w:val="none"/>
        </w:rPr>
        <w:t xml:space="preserve"> app at least three times will be invited to complete the Provider Survey. </w:t>
      </w:r>
      <w:r w:rsidRPr="00D47800" w:rsidR="003D3DB1">
        <w:rPr>
          <w:b w:val="0"/>
          <w:bCs w:val="0"/>
          <w:i w:val="0"/>
          <w:iCs/>
          <w:u w:val="none"/>
        </w:rPr>
        <w:t>T</w:t>
      </w:r>
      <w:r w:rsidRPr="00D47800">
        <w:rPr>
          <w:b w:val="0"/>
          <w:bCs w:val="0"/>
          <w:i w:val="0"/>
          <w:iCs/>
          <w:u w:val="none"/>
        </w:rPr>
        <w:t>he estimated number of respondents is 800 annually, with one response per respondent. The average burden per response is 0.084 hours (5 minutes), resulting in an estimated 67 annual burden hours.</w:t>
      </w:r>
    </w:p>
    <w:p w:rsidR="00B43746" w:rsidRPr="00D47800" w:rsidP="00B43746" w14:paraId="4B090F11" w14:textId="6A3BF4EA">
      <w:pPr>
        <w:pStyle w:val="Style1"/>
        <w:rPr>
          <w:b w:val="0"/>
          <w:bCs w:val="0"/>
          <w:i w:val="0"/>
          <w:iCs/>
          <w:u w:val="none"/>
        </w:rPr>
      </w:pPr>
      <w:r w:rsidRPr="00D47800">
        <w:rPr>
          <w:b w:val="0"/>
          <w:bCs w:val="0"/>
          <w:i w:val="0"/>
          <w:iCs/>
          <w:u w:val="none"/>
        </w:rPr>
        <w:t xml:space="preserve">The objectives of these brief surveys are to assess how the app is used, evaluate user satisfaction and perceived usefulness, determine whether the app helps identify developmental concerns, assess likelihood of continued use, and understand actions taken following identification of a missed milestone or concern OMB approval is requested for </w:t>
      </w:r>
      <w:r w:rsidRPr="00D47800" w:rsidR="004153A2">
        <w:rPr>
          <w:b w:val="0"/>
          <w:bCs w:val="0"/>
          <w:i w:val="0"/>
          <w:iCs/>
          <w:u w:val="none"/>
        </w:rPr>
        <w:t>three years</w:t>
      </w:r>
      <w:r w:rsidRPr="00D47800">
        <w:rPr>
          <w:b w:val="0"/>
          <w:bCs w:val="0"/>
          <w:i w:val="0"/>
          <w:iCs/>
          <w:u w:val="none"/>
        </w:rPr>
        <w:t>. Participation is voluntary, and there are no costs to respondents other than their time. The total estimated annualized burden across all respondent groups is 2,419 hours.</w:t>
      </w:r>
      <w:r w:rsidRPr="00D47800" w:rsidR="003C1BCB">
        <w:rPr>
          <w:b w:val="0"/>
          <w:bCs w:val="0"/>
          <w:i w:val="0"/>
          <w:iCs/>
          <w:u w:val="none"/>
        </w:rPr>
        <w:t xml:space="preserve"> </w:t>
      </w:r>
      <w:r w:rsidRPr="00D47800">
        <w:rPr>
          <w:b w:val="0"/>
          <w:bCs w:val="0"/>
          <w:i w:val="0"/>
          <w:iCs/>
          <w:u w:val="none"/>
        </w:rPr>
        <w:t>For planning and PRA compliance purposes, the revised 2026 estimated response totals have been rounded upward to the nearest 100 or 1,000 to avoid underestimation. A comparison of the original estimates, actual responses (2023–2026), and revised 2026 estimates is shown in the</w:t>
      </w:r>
      <w:r w:rsidRPr="00D47800" w:rsidR="002A53F1">
        <w:rPr>
          <w:b w:val="0"/>
          <w:bCs w:val="0"/>
          <w:i w:val="0"/>
          <w:iCs/>
          <w:u w:val="none"/>
        </w:rPr>
        <w:t xml:space="preserve"> </w:t>
      </w:r>
      <w:r w:rsidRPr="00D47800">
        <w:rPr>
          <w:b w:val="0"/>
          <w:bCs w:val="0"/>
          <w:i w:val="0"/>
          <w:iCs/>
          <w:u w:val="none"/>
        </w:rPr>
        <w:t>Explanation for Program Changes or Adjustments tab</w:t>
      </w:r>
      <w:r w:rsidRPr="00D47800">
        <w:rPr>
          <w:b w:val="0"/>
          <w:bCs w:val="0"/>
          <w:i w:val="0"/>
          <w:iCs/>
          <w:u w:val="none"/>
        </w:rPr>
        <w:t>le</w:t>
      </w:r>
      <w:r w:rsidRPr="00D47800" w:rsidR="002A53F1">
        <w:rPr>
          <w:b w:val="0"/>
          <w:bCs w:val="0"/>
          <w:i w:val="0"/>
          <w:iCs/>
          <w:u w:val="none"/>
        </w:rPr>
        <w:t xml:space="preserve"> A.3</w:t>
      </w:r>
      <w:r w:rsidRPr="00D47800">
        <w:rPr>
          <w:b w:val="0"/>
          <w:bCs w:val="0"/>
          <w:i w:val="0"/>
          <w:iCs/>
          <w:u w:val="none"/>
        </w:rPr>
        <w:t xml:space="preserve"> 2023 &amp; 2026 Comparison of the Number of Responses and Burden Hours. </w:t>
      </w:r>
    </w:p>
    <w:p w:rsidR="00805AE8" w:rsidRPr="00D47800" w:rsidP="00805AE8" w14:paraId="5B1AA514" w14:textId="4ACCD577">
      <w:pPr>
        <w:spacing w:line="276" w:lineRule="auto"/>
        <w:rPr>
          <w:b/>
          <w:bCs/>
          <w:i/>
          <w:iCs/>
          <w:sz w:val="22"/>
          <w:szCs w:val="22"/>
        </w:rPr>
      </w:pPr>
      <w:r w:rsidRPr="00D47800">
        <w:rPr>
          <w:b/>
          <w:i/>
          <w:iCs/>
          <w:sz w:val="22"/>
          <w:szCs w:val="22"/>
        </w:rPr>
        <w:t>A</w:t>
      </w:r>
      <w:r w:rsidRPr="00D47800" w:rsidR="004153A2">
        <w:rPr>
          <w:b/>
          <w:i/>
          <w:iCs/>
          <w:sz w:val="22"/>
          <w:szCs w:val="22"/>
        </w:rPr>
        <w:t>.1</w:t>
      </w:r>
      <w:r w:rsidRPr="00D47800">
        <w:rPr>
          <w:b/>
          <w:i/>
          <w:iCs/>
          <w:sz w:val="22"/>
          <w:szCs w:val="22"/>
        </w:rPr>
        <w:t xml:space="preserve">: </w:t>
      </w:r>
      <w:r w:rsidRPr="00D47800">
        <w:rPr>
          <w:b/>
          <w:bCs/>
          <w:i/>
          <w:iCs/>
          <w:sz w:val="22"/>
          <w:szCs w:val="22"/>
        </w:rPr>
        <w:t xml:space="preserve">Revised 2026 Total Responses and Burden Hours </w:t>
      </w:r>
    </w:p>
    <w:p w:rsidR="00E26421" w:rsidRPr="00D47800" w:rsidP="00E26421" w14:paraId="6AB1E28F" w14:textId="283BE861">
      <w:pPr>
        <w:spacing w:line="276" w:lineRule="auto"/>
        <w:rPr>
          <w:b/>
          <w:color w:val="C75000"/>
          <w:sz w:val="22"/>
          <w:szCs w:val="22"/>
        </w:rPr>
      </w:pPr>
    </w:p>
    <w:tbl>
      <w:tblPr>
        <w:tblStyle w:val="TableGrid"/>
        <w:tblCaption w:val="Example Table, Table A12: Estimated Annualized Burden Costs"/>
        <w:tblDescription w:val="Example Table, Table A12: Estimated Annualized Burden Costs"/>
        <w:tblW w:w="10479" w:type="dxa"/>
        <w:tblInd w:w="-275" w:type="dxa"/>
        <w:tblLook w:val="04A0"/>
      </w:tblPr>
      <w:tblGrid>
        <w:gridCol w:w="3207"/>
        <w:gridCol w:w="974"/>
        <w:gridCol w:w="1890"/>
        <w:gridCol w:w="1755"/>
        <w:gridCol w:w="1479"/>
        <w:gridCol w:w="1174"/>
      </w:tblGrid>
      <w:tr w14:paraId="39129405" w14:textId="77777777" w:rsidTr="372F707A">
        <w:tblPrEx>
          <w:tblW w:w="10479" w:type="dxa"/>
          <w:tblInd w:w="-275" w:type="dxa"/>
          <w:tblLook w:val="04A0"/>
        </w:tblPrEx>
        <w:trPr>
          <w:trHeight w:val="1103"/>
          <w:tblHeader/>
        </w:trPr>
        <w:tc>
          <w:tcPr>
            <w:tcW w:w="3207" w:type="dxa"/>
          </w:tcPr>
          <w:p w:rsidR="00E26421" w:rsidRPr="00D47800" w:rsidP="003D6208" w14:paraId="454D70D9" w14:textId="77777777">
            <w:pPr>
              <w:spacing w:line="276" w:lineRule="auto"/>
              <w:jc w:val="center"/>
              <w:rPr>
                <w:b/>
                <w:bCs/>
                <w:sz w:val="22"/>
                <w:szCs w:val="22"/>
              </w:rPr>
            </w:pPr>
            <w:r w:rsidRPr="00D47800">
              <w:rPr>
                <w:b/>
                <w:bCs/>
                <w:sz w:val="22"/>
                <w:szCs w:val="22"/>
              </w:rPr>
              <w:t>Type of Respondents</w:t>
            </w:r>
          </w:p>
        </w:tc>
        <w:tc>
          <w:tcPr>
            <w:tcW w:w="974" w:type="dxa"/>
          </w:tcPr>
          <w:p w:rsidR="00E26421" w:rsidRPr="00D47800" w:rsidP="003D6208" w14:paraId="46EF1A0F" w14:textId="77777777">
            <w:pPr>
              <w:spacing w:line="276" w:lineRule="auto"/>
              <w:jc w:val="center"/>
              <w:rPr>
                <w:b/>
                <w:bCs/>
                <w:sz w:val="22"/>
                <w:szCs w:val="22"/>
              </w:rPr>
            </w:pPr>
            <w:r w:rsidRPr="00D47800">
              <w:rPr>
                <w:b/>
                <w:bCs/>
                <w:sz w:val="22"/>
                <w:szCs w:val="22"/>
              </w:rPr>
              <w:t>Form Name</w:t>
            </w:r>
          </w:p>
        </w:tc>
        <w:tc>
          <w:tcPr>
            <w:tcW w:w="1890" w:type="dxa"/>
          </w:tcPr>
          <w:p w:rsidR="00E26421" w:rsidRPr="00D47800" w:rsidP="003D6208" w14:paraId="5DC79A7F" w14:textId="77777777">
            <w:pPr>
              <w:spacing w:line="276" w:lineRule="auto"/>
              <w:jc w:val="center"/>
              <w:rPr>
                <w:b/>
                <w:bCs/>
                <w:sz w:val="22"/>
                <w:szCs w:val="22"/>
              </w:rPr>
            </w:pPr>
            <w:r w:rsidRPr="00D47800">
              <w:rPr>
                <w:b/>
                <w:bCs/>
                <w:sz w:val="22"/>
                <w:szCs w:val="22"/>
              </w:rPr>
              <w:t>No. of Respondents</w:t>
            </w:r>
          </w:p>
        </w:tc>
        <w:tc>
          <w:tcPr>
            <w:tcW w:w="1755" w:type="dxa"/>
          </w:tcPr>
          <w:p w:rsidR="00E26421" w:rsidRPr="00D47800" w:rsidP="003D6208" w14:paraId="4D7EED4D" w14:textId="77777777">
            <w:pPr>
              <w:spacing w:line="276" w:lineRule="auto"/>
              <w:jc w:val="center"/>
              <w:rPr>
                <w:b/>
                <w:bCs/>
                <w:sz w:val="22"/>
                <w:szCs w:val="22"/>
              </w:rPr>
            </w:pPr>
            <w:r w:rsidRPr="00D47800">
              <w:rPr>
                <w:b/>
                <w:bCs/>
                <w:sz w:val="22"/>
                <w:szCs w:val="22"/>
              </w:rPr>
              <w:t>No. of Responses per Respondent</w:t>
            </w:r>
          </w:p>
        </w:tc>
        <w:tc>
          <w:tcPr>
            <w:tcW w:w="1479" w:type="dxa"/>
          </w:tcPr>
          <w:p w:rsidR="00E26421" w:rsidRPr="00D47800" w:rsidP="003D6208" w14:paraId="196283C8" w14:textId="77777777">
            <w:pPr>
              <w:spacing w:line="276" w:lineRule="auto"/>
              <w:jc w:val="center"/>
              <w:rPr>
                <w:b/>
                <w:bCs/>
                <w:sz w:val="22"/>
                <w:szCs w:val="22"/>
              </w:rPr>
            </w:pPr>
            <w:r w:rsidRPr="00D47800">
              <w:rPr>
                <w:b/>
                <w:bCs/>
                <w:sz w:val="22"/>
                <w:szCs w:val="22"/>
              </w:rPr>
              <w:t>Average Burden per Response (in hours)</w:t>
            </w:r>
          </w:p>
        </w:tc>
        <w:tc>
          <w:tcPr>
            <w:tcW w:w="1174" w:type="dxa"/>
          </w:tcPr>
          <w:p w:rsidR="00E26421" w:rsidRPr="00D47800" w:rsidP="003D6208" w14:paraId="73665D34" w14:textId="77777777">
            <w:pPr>
              <w:spacing w:line="276" w:lineRule="auto"/>
              <w:jc w:val="center"/>
              <w:rPr>
                <w:b/>
                <w:bCs/>
                <w:sz w:val="22"/>
                <w:szCs w:val="22"/>
              </w:rPr>
            </w:pPr>
            <w:r w:rsidRPr="00D47800">
              <w:rPr>
                <w:b/>
                <w:bCs/>
                <w:sz w:val="22"/>
                <w:szCs w:val="22"/>
              </w:rPr>
              <w:t>Total Burden Hours</w:t>
            </w:r>
          </w:p>
        </w:tc>
      </w:tr>
      <w:tr w14:paraId="556AF773" w14:textId="77777777" w:rsidTr="372F707A">
        <w:tblPrEx>
          <w:tblW w:w="10479" w:type="dxa"/>
          <w:tblInd w:w="-275" w:type="dxa"/>
          <w:tblLook w:val="04A0"/>
        </w:tblPrEx>
        <w:trPr>
          <w:trHeight w:val="651"/>
        </w:trPr>
        <w:tc>
          <w:tcPr>
            <w:tcW w:w="3207" w:type="dxa"/>
          </w:tcPr>
          <w:p w:rsidR="00E26421" w:rsidRPr="00D47800" w:rsidP="003D6208" w14:paraId="18C54EAC" w14:textId="77777777">
            <w:pPr>
              <w:spacing w:line="276" w:lineRule="auto"/>
              <w:rPr>
                <w:sz w:val="22"/>
                <w:szCs w:val="22"/>
              </w:rPr>
            </w:pPr>
            <w:r w:rsidRPr="00D47800">
              <w:rPr>
                <w:sz w:val="22"/>
                <w:szCs w:val="22"/>
              </w:rPr>
              <w:t xml:space="preserve">All parents using the </w:t>
            </w:r>
            <w:r w:rsidRPr="00D47800">
              <w:rPr>
                <w:i/>
                <w:iCs/>
                <w:sz w:val="22"/>
                <w:szCs w:val="22"/>
              </w:rPr>
              <w:t>Milestone Tracker</w:t>
            </w:r>
            <w:r w:rsidRPr="00D47800">
              <w:rPr>
                <w:sz w:val="22"/>
                <w:szCs w:val="22"/>
              </w:rPr>
              <w:t xml:space="preserve"> app who complete 65% or more of a checklist using the app</w:t>
            </w:r>
          </w:p>
        </w:tc>
        <w:tc>
          <w:tcPr>
            <w:tcW w:w="974" w:type="dxa"/>
          </w:tcPr>
          <w:p w:rsidR="00E26421" w:rsidRPr="00D47800" w:rsidP="003D6208" w14:paraId="6467E191" w14:textId="77777777">
            <w:pPr>
              <w:spacing w:line="276" w:lineRule="auto"/>
              <w:jc w:val="center"/>
              <w:rPr>
                <w:sz w:val="22"/>
                <w:szCs w:val="22"/>
              </w:rPr>
            </w:pPr>
            <w:r w:rsidRPr="00D47800">
              <w:rPr>
                <w:sz w:val="22"/>
                <w:szCs w:val="22"/>
              </w:rPr>
              <w:t>Parent 1</w:t>
            </w:r>
          </w:p>
        </w:tc>
        <w:tc>
          <w:tcPr>
            <w:tcW w:w="1890" w:type="dxa"/>
          </w:tcPr>
          <w:p w:rsidR="00E26421" w:rsidRPr="00D47800" w:rsidP="003D6208" w14:paraId="004563A7" w14:textId="77777777">
            <w:pPr>
              <w:spacing w:line="276" w:lineRule="auto"/>
              <w:jc w:val="center"/>
              <w:rPr>
                <w:sz w:val="22"/>
                <w:szCs w:val="22"/>
              </w:rPr>
            </w:pPr>
            <w:r w:rsidRPr="00D47800">
              <w:rPr>
                <w:sz w:val="22"/>
                <w:szCs w:val="22"/>
              </w:rPr>
              <w:t>23,000</w:t>
            </w:r>
          </w:p>
        </w:tc>
        <w:tc>
          <w:tcPr>
            <w:tcW w:w="1755" w:type="dxa"/>
          </w:tcPr>
          <w:p w:rsidR="00E26421" w:rsidRPr="00D47800" w:rsidP="003D6208" w14:paraId="010CA755" w14:textId="77777777">
            <w:pPr>
              <w:spacing w:line="276" w:lineRule="auto"/>
              <w:jc w:val="center"/>
              <w:rPr>
                <w:sz w:val="22"/>
                <w:szCs w:val="22"/>
              </w:rPr>
            </w:pPr>
            <w:r w:rsidRPr="00D47800">
              <w:rPr>
                <w:sz w:val="22"/>
                <w:szCs w:val="22"/>
              </w:rPr>
              <w:t>1</w:t>
            </w:r>
          </w:p>
        </w:tc>
        <w:tc>
          <w:tcPr>
            <w:tcW w:w="1479" w:type="dxa"/>
          </w:tcPr>
          <w:p w:rsidR="00E26421" w:rsidRPr="00D47800" w:rsidP="003D6208" w14:paraId="5D7C1B0E" w14:textId="77777777">
            <w:pPr>
              <w:spacing w:line="276" w:lineRule="auto"/>
              <w:jc w:val="center"/>
              <w:rPr>
                <w:sz w:val="22"/>
                <w:szCs w:val="22"/>
              </w:rPr>
            </w:pPr>
            <w:r w:rsidRPr="00D47800">
              <w:rPr>
                <w:sz w:val="22"/>
                <w:szCs w:val="22"/>
              </w:rPr>
              <w:t>.084 hours (5 minutes)</w:t>
            </w:r>
          </w:p>
        </w:tc>
        <w:tc>
          <w:tcPr>
            <w:tcW w:w="1174" w:type="dxa"/>
          </w:tcPr>
          <w:p w:rsidR="00E26421" w:rsidRPr="00D47800" w:rsidP="003D6208" w14:paraId="7D26D29E" w14:textId="77777777">
            <w:pPr>
              <w:spacing w:line="276" w:lineRule="auto"/>
              <w:jc w:val="center"/>
              <w:rPr>
                <w:sz w:val="22"/>
                <w:szCs w:val="22"/>
              </w:rPr>
            </w:pPr>
            <w:r w:rsidRPr="00D47800">
              <w:rPr>
                <w:sz w:val="22"/>
                <w:szCs w:val="22"/>
              </w:rPr>
              <w:t>1,932</w:t>
            </w:r>
          </w:p>
        </w:tc>
      </w:tr>
      <w:tr w14:paraId="3C1A4D9B" w14:textId="77777777" w:rsidTr="372F707A">
        <w:tblPrEx>
          <w:tblW w:w="10479" w:type="dxa"/>
          <w:tblInd w:w="-275" w:type="dxa"/>
          <w:tblLook w:val="04A0"/>
        </w:tblPrEx>
        <w:trPr>
          <w:trHeight w:val="1304"/>
        </w:trPr>
        <w:tc>
          <w:tcPr>
            <w:tcW w:w="3207" w:type="dxa"/>
          </w:tcPr>
          <w:p w:rsidR="00E26421" w:rsidRPr="00D47800" w:rsidP="003D6208" w14:paraId="03A3E0F4" w14:textId="77777777">
            <w:pPr>
              <w:spacing w:line="276" w:lineRule="auto"/>
              <w:rPr>
                <w:sz w:val="22"/>
                <w:szCs w:val="22"/>
              </w:rPr>
            </w:pPr>
            <w:r w:rsidRPr="00D47800">
              <w:rPr>
                <w:sz w:val="22"/>
                <w:szCs w:val="22"/>
              </w:rPr>
              <w:t xml:space="preserve">Parents using the </w:t>
            </w:r>
            <w:r w:rsidRPr="00D47800">
              <w:rPr>
                <w:i/>
                <w:iCs/>
                <w:sz w:val="22"/>
                <w:szCs w:val="22"/>
              </w:rPr>
              <w:t>Milestone Tracker</w:t>
            </w:r>
            <w:r w:rsidRPr="00D47800">
              <w:rPr>
                <w:sz w:val="22"/>
                <w:szCs w:val="22"/>
              </w:rPr>
              <w:t xml:space="preserve"> App who</w:t>
            </w:r>
            <w:r w:rsidRPr="00D47800">
              <w:rPr>
                <w:sz w:val="22"/>
                <w:szCs w:val="22"/>
              </w:rPr>
              <w:t xml:space="preserve"> complete 65% or more of a checklist using the app AND indicate a missed </w:t>
            </w:r>
            <w:r w:rsidRPr="00D47800">
              <w:rPr>
                <w:sz w:val="22"/>
                <w:szCs w:val="22"/>
              </w:rPr>
              <w:t>milestone or identify a developmental concern</w:t>
            </w:r>
          </w:p>
        </w:tc>
        <w:tc>
          <w:tcPr>
            <w:tcW w:w="974" w:type="dxa"/>
          </w:tcPr>
          <w:p w:rsidR="00E26421" w:rsidRPr="00D47800" w:rsidP="003D6208" w14:paraId="40F9B2E1" w14:textId="77777777">
            <w:pPr>
              <w:spacing w:line="276" w:lineRule="auto"/>
              <w:jc w:val="center"/>
              <w:rPr>
                <w:sz w:val="22"/>
                <w:szCs w:val="22"/>
              </w:rPr>
            </w:pPr>
            <w:r w:rsidRPr="00D47800">
              <w:rPr>
                <w:sz w:val="22"/>
                <w:szCs w:val="22"/>
              </w:rPr>
              <w:t>Parent 2</w:t>
            </w:r>
          </w:p>
        </w:tc>
        <w:tc>
          <w:tcPr>
            <w:tcW w:w="1890" w:type="dxa"/>
          </w:tcPr>
          <w:p w:rsidR="00E26421" w:rsidRPr="00D47800" w:rsidP="003D6208" w14:paraId="46502B18" w14:textId="77777777">
            <w:pPr>
              <w:spacing w:line="276" w:lineRule="auto"/>
              <w:jc w:val="center"/>
              <w:rPr>
                <w:sz w:val="22"/>
                <w:szCs w:val="22"/>
              </w:rPr>
            </w:pPr>
            <w:r w:rsidRPr="00D47800">
              <w:rPr>
                <w:sz w:val="22"/>
                <w:szCs w:val="22"/>
              </w:rPr>
              <w:t>5,000</w:t>
            </w:r>
          </w:p>
        </w:tc>
        <w:tc>
          <w:tcPr>
            <w:tcW w:w="1755" w:type="dxa"/>
          </w:tcPr>
          <w:p w:rsidR="00E26421" w:rsidRPr="00D47800" w:rsidP="003D6208" w14:paraId="0C920AE5" w14:textId="77777777">
            <w:pPr>
              <w:spacing w:line="276" w:lineRule="auto"/>
              <w:jc w:val="center"/>
              <w:rPr>
                <w:sz w:val="22"/>
                <w:szCs w:val="22"/>
              </w:rPr>
            </w:pPr>
            <w:r w:rsidRPr="00D47800">
              <w:rPr>
                <w:sz w:val="22"/>
                <w:szCs w:val="22"/>
              </w:rPr>
              <w:t>1</w:t>
            </w:r>
          </w:p>
        </w:tc>
        <w:tc>
          <w:tcPr>
            <w:tcW w:w="1479" w:type="dxa"/>
          </w:tcPr>
          <w:p w:rsidR="00E26421" w:rsidRPr="00D47800" w:rsidP="003D6208" w14:paraId="59B89821" w14:textId="77777777">
            <w:pPr>
              <w:spacing w:line="276" w:lineRule="auto"/>
              <w:jc w:val="center"/>
              <w:rPr>
                <w:sz w:val="22"/>
                <w:szCs w:val="22"/>
              </w:rPr>
            </w:pPr>
            <w:r w:rsidRPr="00D47800">
              <w:rPr>
                <w:sz w:val="22"/>
                <w:szCs w:val="22"/>
              </w:rPr>
              <w:t>.084 hours</w:t>
            </w:r>
          </w:p>
          <w:p w:rsidR="00E26421" w:rsidRPr="00D47800" w:rsidP="003D6208" w14:paraId="19B118E3" w14:textId="77777777">
            <w:pPr>
              <w:spacing w:line="276" w:lineRule="auto"/>
              <w:jc w:val="center"/>
              <w:rPr>
                <w:sz w:val="22"/>
                <w:szCs w:val="22"/>
              </w:rPr>
            </w:pPr>
            <w:r w:rsidRPr="00D47800">
              <w:rPr>
                <w:sz w:val="22"/>
                <w:szCs w:val="22"/>
              </w:rPr>
              <w:t>(5 minutes)</w:t>
            </w:r>
          </w:p>
        </w:tc>
        <w:tc>
          <w:tcPr>
            <w:tcW w:w="1174" w:type="dxa"/>
          </w:tcPr>
          <w:p w:rsidR="00E26421" w:rsidRPr="00D47800" w:rsidP="003D6208" w14:paraId="3A146959" w14:textId="77777777">
            <w:pPr>
              <w:spacing w:line="276" w:lineRule="auto"/>
              <w:jc w:val="center"/>
              <w:rPr>
                <w:sz w:val="22"/>
                <w:szCs w:val="22"/>
              </w:rPr>
            </w:pPr>
            <w:r w:rsidRPr="00D47800">
              <w:rPr>
                <w:sz w:val="22"/>
                <w:szCs w:val="22"/>
              </w:rPr>
              <w:t>420</w:t>
            </w:r>
          </w:p>
        </w:tc>
      </w:tr>
      <w:tr w14:paraId="461CCB84" w14:textId="77777777" w:rsidTr="372F707A">
        <w:tblPrEx>
          <w:tblW w:w="10479" w:type="dxa"/>
          <w:tblInd w:w="-275" w:type="dxa"/>
          <w:tblLook w:val="04A0"/>
        </w:tblPrEx>
        <w:trPr>
          <w:trHeight w:val="1303"/>
        </w:trPr>
        <w:tc>
          <w:tcPr>
            <w:tcW w:w="3207" w:type="dxa"/>
            <w:tcBorders>
              <w:bottom w:val="single" w:sz="4" w:space="0" w:color="auto"/>
            </w:tcBorders>
          </w:tcPr>
          <w:p w:rsidR="00E26421" w:rsidRPr="00D47800" w:rsidP="003D6208" w14:paraId="581FF7B8" w14:textId="77777777">
            <w:pPr>
              <w:spacing w:line="276" w:lineRule="auto"/>
              <w:rPr>
                <w:sz w:val="22"/>
                <w:szCs w:val="22"/>
              </w:rPr>
            </w:pPr>
            <w:r w:rsidRPr="00D47800">
              <w:rPr>
                <w:sz w:val="22"/>
                <w:szCs w:val="22"/>
              </w:rPr>
              <w:t xml:space="preserve">Early childhood providers/professionals who use the </w:t>
            </w:r>
            <w:r w:rsidRPr="00D47800">
              <w:rPr>
                <w:i/>
                <w:iCs/>
                <w:sz w:val="22"/>
                <w:szCs w:val="22"/>
              </w:rPr>
              <w:t xml:space="preserve">Milestone Tracker </w:t>
            </w:r>
            <w:r w:rsidRPr="00D47800">
              <w:rPr>
                <w:sz w:val="22"/>
                <w:szCs w:val="22"/>
              </w:rPr>
              <w:t>app at least 3 times</w:t>
            </w:r>
          </w:p>
        </w:tc>
        <w:tc>
          <w:tcPr>
            <w:tcW w:w="974" w:type="dxa"/>
            <w:tcBorders>
              <w:bottom w:val="single" w:sz="4" w:space="0" w:color="auto"/>
            </w:tcBorders>
          </w:tcPr>
          <w:p w:rsidR="00E26421" w:rsidRPr="00D47800" w:rsidP="003D6208" w14:paraId="5D6F2176" w14:textId="77777777">
            <w:pPr>
              <w:spacing w:line="276" w:lineRule="auto"/>
              <w:jc w:val="center"/>
              <w:rPr>
                <w:sz w:val="22"/>
                <w:szCs w:val="22"/>
              </w:rPr>
            </w:pPr>
            <w:r w:rsidRPr="00D47800">
              <w:rPr>
                <w:sz w:val="22"/>
                <w:szCs w:val="22"/>
              </w:rPr>
              <w:t>Provider</w:t>
            </w:r>
          </w:p>
        </w:tc>
        <w:tc>
          <w:tcPr>
            <w:tcW w:w="1890" w:type="dxa"/>
            <w:tcBorders>
              <w:bottom w:val="single" w:sz="4" w:space="0" w:color="auto"/>
            </w:tcBorders>
          </w:tcPr>
          <w:p w:rsidR="00E26421" w:rsidRPr="00D47800" w:rsidP="003D6208" w14:paraId="0B63A0FC" w14:textId="6BBAF8D6">
            <w:pPr>
              <w:spacing w:line="276" w:lineRule="auto"/>
              <w:jc w:val="center"/>
              <w:rPr>
                <w:sz w:val="22"/>
                <w:szCs w:val="22"/>
              </w:rPr>
            </w:pPr>
            <w:r w:rsidRPr="372F707A">
              <w:rPr>
                <w:sz w:val="22"/>
                <w:szCs w:val="22"/>
              </w:rPr>
              <w:t>800</w:t>
            </w:r>
          </w:p>
        </w:tc>
        <w:tc>
          <w:tcPr>
            <w:tcW w:w="1755" w:type="dxa"/>
            <w:tcBorders>
              <w:bottom w:val="single" w:sz="4" w:space="0" w:color="auto"/>
            </w:tcBorders>
          </w:tcPr>
          <w:p w:rsidR="00E26421" w:rsidRPr="00D47800" w:rsidP="003D6208" w14:paraId="0823935B" w14:textId="77777777">
            <w:pPr>
              <w:spacing w:line="276" w:lineRule="auto"/>
              <w:jc w:val="center"/>
              <w:rPr>
                <w:sz w:val="22"/>
                <w:szCs w:val="22"/>
              </w:rPr>
            </w:pPr>
            <w:r w:rsidRPr="00D47800">
              <w:rPr>
                <w:sz w:val="22"/>
                <w:szCs w:val="22"/>
              </w:rPr>
              <w:t>1</w:t>
            </w:r>
          </w:p>
        </w:tc>
        <w:tc>
          <w:tcPr>
            <w:tcW w:w="1479" w:type="dxa"/>
            <w:tcBorders>
              <w:bottom w:val="single" w:sz="4" w:space="0" w:color="auto"/>
            </w:tcBorders>
          </w:tcPr>
          <w:p w:rsidR="00E26421" w:rsidRPr="00D47800" w:rsidP="003D6208" w14:paraId="57D8B930" w14:textId="77777777">
            <w:pPr>
              <w:spacing w:line="276" w:lineRule="auto"/>
              <w:jc w:val="center"/>
              <w:rPr>
                <w:sz w:val="22"/>
                <w:szCs w:val="22"/>
              </w:rPr>
            </w:pPr>
            <w:r w:rsidRPr="00D47800">
              <w:rPr>
                <w:sz w:val="22"/>
                <w:szCs w:val="22"/>
              </w:rPr>
              <w:t>.084 hours</w:t>
            </w:r>
          </w:p>
          <w:p w:rsidR="00E26421" w:rsidRPr="00D47800" w:rsidP="003D6208" w14:paraId="304549F2" w14:textId="77777777">
            <w:pPr>
              <w:spacing w:line="276" w:lineRule="auto"/>
              <w:jc w:val="center"/>
              <w:rPr>
                <w:sz w:val="22"/>
                <w:szCs w:val="22"/>
              </w:rPr>
            </w:pPr>
            <w:r w:rsidRPr="00D47800">
              <w:rPr>
                <w:sz w:val="22"/>
                <w:szCs w:val="22"/>
              </w:rPr>
              <w:t>(5 minutes)</w:t>
            </w:r>
          </w:p>
        </w:tc>
        <w:tc>
          <w:tcPr>
            <w:tcW w:w="1174" w:type="dxa"/>
            <w:tcBorders>
              <w:bottom w:val="single" w:sz="4" w:space="0" w:color="auto"/>
            </w:tcBorders>
          </w:tcPr>
          <w:p w:rsidR="00E26421" w:rsidRPr="00D47800" w:rsidP="003D6208" w14:paraId="6D3284C8" w14:textId="2E5F5B4F">
            <w:pPr>
              <w:spacing w:line="276" w:lineRule="auto"/>
              <w:jc w:val="center"/>
              <w:rPr>
                <w:sz w:val="22"/>
                <w:szCs w:val="22"/>
              </w:rPr>
            </w:pPr>
            <w:r w:rsidRPr="372F707A">
              <w:rPr>
                <w:sz w:val="22"/>
                <w:szCs w:val="22"/>
              </w:rPr>
              <w:t>67</w:t>
            </w:r>
          </w:p>
        </w:tc>
      </w:tr>
      <w:tr w14:paraId="2D5168FB" w14:textId="77777777" w:rsidTr="372F707A">
        <w:tblPrEx>
          <w:tblW w:w="10479" w:type="dxa"/>
          <w:tblInd w:w="-275" w:type="dxa"/>
          <w:tblLook w:val="04A0"/>
        </w:tblPrEx>
        <w:trPr>
          <w:trHeight w:val="422"/>
        </w:trPr>
        <w:tc>
          <w:tcPr>
            <w:tcW w:w="3207" w:type="dxa"/>
            <w:tcBorders>
              <w:top w:val="single" w:sz="4" w:space="0" w:color="auto"/>
              <w:left w:val="nil"/>
              <w:bottom w:val="nil"/>
              <w:right w:val="nil"/>
            </w:tcBorders>
          </w:tcPr>
          <w:p w:rsidR="00E26421" w:rsidRPr="00D47800" w:rsidP="003D6208" w14:paraId="59B85F4B" w14:textId="77777777">
            <w:pPr>
              <w:spacing w:line="276" w:lineRule="auto"/>
              <w:jc w:val="center"/>
              <w:rPr>
                <w:b/>
                <w:bCs/>
                <w:sz w:val="22"/>
                <w:szCs w:val="22"/>
              </w:rPr>
            </w:pPr>
            <w:r w:rsidRPr="00D47800">
              <w:rPr>
                <w:b/>
                <w:bCs/>
                <w:sz w:val="22"/>
                <w:szCs w:val="22"/>
              </w:rPr>
              <w:t>Total</w:t>
            </w:r>
          </w:p>
        </w:tc>
        <w:tc>
          <w:tcPr>
            <w:tcW w:w="974" w:type="dxa"/>
            <w:tcBorders>
              <w:top w:val="single" w:sz="4" w:space="0" w:color="auto"/>
              <w:left w:val="nil"/>
              <w:bottom w:val="nil"/>
              <w:right w:val="nil"/>
            </w:tcBorders>
          </w:tcPr>
          <w:p w:rsidR="00E26421" w:rsidRPr="00D47800" w:rsidP="003D6208" w14:paraId="112CA002" w14:textId="77777777">
            <w:pPr>
              <w:spacing w:line="276" w:lineRule="auto"/>
              <w:jc w:val="center"/>
              <w:rPr>
                <w:b/>
                <w:bCs/>
                <w:sz w:val="22"/>
                <w:szCs w:val="22"/>
              </w:rPr>
            </w:pPr>
          </w:p>
        </w:tc>
        <w:tc>
          <w:tcPr>
            <w:tcW w:w="1890" w:type="dxa"/>
            <w:tcBorders>
              <w:top w:val="single" w:sz="4" w:space="0" w:color="auto"/>
              <w:left w:val="nil"/>
              <w:bottom w:val="nil"/>
              <w:right w:val="nil"/>
            </w:tcBorders>
          </w:tcPr>
          <w:p w:rsidR="00E26421" w:rsidRPr="00D47800" w:rsidP="003D6208" w14:paraId="78032572" w14:textId="77777777">
            <w:pPr>
              <w:spacing w:line="276" w:lineRule="auto"/>
              <w:jc w:val="center"/>
              <w:rPr>
                <w:b/>
                <w:bCs/>
                <w:sz w:val="22"/>
                <w:szCs w:val="22"/>
              </w:rPr>
            </w:pPr>
            <w:r w:rsidRPr="372F707A">
              <w:rPr>
                <w:b/>
                <w:bCs/>
                <w:sz w:val="22"/>
                <w:szCs w:val="22"/>
              </w:rPr>
              <w:t>28,800</w:t>
            </w:r>
          </w:p>
        </w:tc>
        <w:tc>
          <w:tcPr>
            <w:tcW w:w="1755" w:type="dxa"/>
            <w:tcBorders>
              <w:top w:val="single" w:sz="4" w:space="0" w:color="auto"/>
              <w:left w:val="nil"/>
              <w:bottom w:val="nil"/>
              <w:right w:val="nil"/>
            </w:tcBorders>
          </w:tcPr>
          <w:p w:rsidR="00E26421" w:rsidRPr="00D47800" w:rsidP="003D6208" w14:paraId="2BC07383" w14:textId="77777777">
            <w:pPr>
              <w:spacing w:line="276" w:lineRule="auto"/>
              <w:jc w:val="center"/>
              <w:rPr>
                <w:b/>
                <w:bCs/>
                <w:sz w:val="22"/>
                <w:szCs w:val="22"/>
              </w:rPr>
            </w:pPr>
          </w:p>
        </w:tc>
        <w:tc>
          <w:tcPr>
            <w:tcW w:w="1479" w:type="dxa"/>
            <w:tcBorders>
              <w:top w:val="single" w:sz="4" w:space="0" w:color="auto"/>
              <w:left w:val="nil"/>
              <w:bottom w:val="nil"/>
              <w:right w:val="nil"/>
            </w:tcBorders>
          </w:tcPr>
          <w:p w:rsidR="00E26421" w:rsidRPr="00D47800" w:rsidP="003D6208" w14:paraId="111C2E0D" w14:textId="77777777">
            <w:pPr>
              <w:spacing w:line="276" w:lineRule="auto"/>
              <w:jc w:val="center"/>
              <w:rPr>
                <w:b/>
                <w:bCs/>
                <w:sz w:val="22"/>
                <w:szCs w:val="22"/>
              </w:rPr>
            </w:pPr>
          </w:p>
        </w:tc>
        <w:tc>
          <w:tcPr>
            <w:tcW w:w="1174" w:type="dxa"/>
            <w:tcBorders>
              <w:top w:val="single" w:sz="4" w:space="0" w:color="auto"/>
              <w:left w:val="nil"/>
              <w:bottom w:val="nil"/>
              <w:right w:val="nil"/>
            </w:tcBorders>
          </w:tcPr>
          <w:p w:rsidR="00E26421" w:rsidRPr="00D47800" w:rsidP="003D6208" w14:paraId="011F6AD0" w14:textId="77777777">
            <w:pPr>
              <w:spacing w:line="276" w:lineRule="auto"/>
              <w:jc w:val="center"/>
              <w:rPr>
                <w:b/>
                <w:bCs/>
                <w:sz w:val="22"/>
                <w:szCs w:val="22"/>
              </w:rPr>
            </w:pPr>
            <w:r w:rsidRPr="372F707A">
              <w:rPr>
                <w:b/>
                <w:bCs/>
                <w:sz w:val="22"/>
                <w:szCs w:val="22"/>
              </w:rPr>
              <w:t>2,419</w:t>
            </w:r>
          </w:p>
        </w:tc>
      </w:tr>
    </w:tbl>
    <w:p w:rsidR="00D217AF" w:rsidRPr="00D47800" w:rsidP="372F707A" w14:paraId="67E3A83D" w14:textId="3BD3326E">
      <w:pPr>
        <w:rPr>
          <w:b/>
          <w:bCs/>
        </w:rPr>
      </w:pPr>
      <w:r>
        <w:t xml:space="preserve"> </w:t>
      </w:r>
    </w:p>
    <w:p w:rsidR="00873BFC" w:rsidRPr="00D47800" w:rsidP="00873BFC" w14:paraId="34DDC4A5" w14:textId="1AAC040D">
      <w:pPr>
        <w:pStyle w:val="ListBullet"/>
        <w:numPr>
          <w:ilvl w:val="0"/>
          <w:numId w:val="0"/>
        </w:numPr>
        <w:rPr>
          <w:kern w:val="0"/>
        </w:rPr>
      </w:pPr>
      <w:r w:rsidRPr="00D47800">
        <w:rPr>
          <w:kern w:val="0"/>
        </w:rPr>
        <w:t>The annualized cost burden is shown in Table A.</w:t>
      </w:r>
      <w:r w:rsidRPr="00D47800" w:rsidR="004153A2">
        <w:rPr>
          <w:kern w:val="0"/>
        </w:rPr>
        <w:t xml:space="preserve">2 </w:t>
      </w:r>
      <w:r w:rsidRPr="00D47800">
        <w:rPr>
          <w:kern w:val="0"/>
        </w:rPr>
        <w:t>The mean hourly wage rate is based on the most recent (May 20</w:t>
      </w:r>
      <w:r w:rsidRPr="00D47800" w:rsidR="004F3699">
        <w:rPr>
          <w:kern w:val="0"/>
        </w:rPr>
        <w:t>24</w:t>
      </w:r>
      <w:r w:rsidRPr="00D47800">
        <w:rPr>
          <w:kern w:val="0"/>
        </w:rPr>
        <w:t>) National Occupational Employment and Wage Estimates for all occupations, published on the Bureau of Labor Statistics website which is $</w:t>
      </w:r>
      <w:r w:rsidRPr="00D47800" w:rsidR="00155CFF">
        <w:rPr>
          <w:kern w:val="0"/>
        </w:rPr>
        <w:t>31</w:t>
      </w:r>
      <w:r w:rsidRPr="00D47800">
        <w:rPr>
          <w:kern w:val="0"/>
        </w:rPr>
        <w:t>.</w:t>
      </w:r>
      <w:r w:rsidRPr="00D47800" w:rsidR="00155CFF">
        <w:rPr>
          <w:kern w:val="0"/>
        </w:rPr>
        <w:t>4</w:t>
      </w:r>
      <w:r w:rsidRPr="00D47800" w:rsidR="00D01AC5">
        <w:rPr>
          <w:kern w:val="0"/>
        </w:rPr>
        <w:t>8</w:t>
      </w:r>
      <w:r w:rsidRPr="00D47800">
        <w:rPr>
          <w:kern w:val="0"/>
        </w:rPr>
        <w:t xml:space="preserve">. See </w:t>
      </w:r>
      <w:hyperlink r:id="rId15" w:history="1">
        <w:r w:rsidRPr="00D47800">
          <w:rPr>
            <w:rStyle w:val="Hyperlink"/>
            <w:kern w:val="0"/>
          </w:rPr>
          <w:t>http://www.bls.gov/oes/current/oes_nat.htm</w:t>
        </w:r>
      </w:hyperlink>
      <w:r w:rsidRPr="00D47800">
        <w:rPr>
          <w:kern w:val="0"/>
        </w:rPr>
        <w:t>.</w:t>
      </w:r>
    </w:p>
    <w:p w:rsidR="00B415A5" w:rsidRPr="00D47800" w:rsidP="00873BFC" w14:paraId="2E9A4872" w14:textId="77777777">
      <w:pPr>
        <w:pStyle w:val="ListBullet"/>
        <w:numPr>
          <w:ilvl w:val="0"/>
          <w:numId w:val="0"/>
        </w:numPr>
      </w:pPr>
    </w:p>
    <w:p w:rsidR="00873BFC" w:rsidRPr="00D47800" w:rsidP="00873BFC" w14:paraId="3ACDB606" w14:textId="77777777">
      <w:pPr>
        <w:pStyle w:val="ListBullet"/>
        <w:numPr>
          <w:ilvl w:val="0"/>
          <w:numId w:val="0"/>
        </w:numPr>
      </w:pPr>
    </w:p>
    <w:p w:rsidR="00873BFC" w:rsidRPr="00D47800" w:rsidP="003E680F" w14:paraId="00CCD3FC" w14:textId="5B825BFD">
      <w:pPr>
        <w:pStyle w:val="ListBullet"/>
        <w:numPr>
          <w:ilvl w:val="0"/>
          <w:numId w:val="0"/>
        </w:numPr>
        <w:ind w:left="720"/>
        <w:rPr>
          <w:i/>
          <w:highlight w:val="yellow"/>
        </w:rPr>
      </w:pPr>
      <w:r w:rsidRPr="00D47800">
        <w:rPr>
          <w:b/>
          <w:i/>
        </w:rPr>
        <w:t>A.</w:t>
      </w:r>
      <w:r w:rsidRPr="00D47800" w:rsidR="004153A2">
        <w:rPr>
          <w:b/>
          <w:i/>
        </w:rPr>
        <w:t xml:space="preserve">2 </w:t>
      </w:r>
      <w:r w:rsidRPr="00D47800">
        <w:rPr>
          <w:b/>
          <w:i/>
        </w:rPr>
        <w:t>Estimated Annualized Burden Costs</w:t>
      </w:r>
      <w:r w:rsidRPr="00D47800" w:rsidR="00E7400B">
        <w:rPr>
          <w:b/>
        </w:rPr>
        <w:t xml:space="preserve"> </w:t>
      </w:r>
    </w:p>
    <w:tbl>
      <w:tblPr>
        <w:tblW w:w="9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
      <w:tblGrid>
        <w:gridCol w:w="1885"/>
        <w:gridCol w:w="1260"/>
        <w:gridCol w:w="1260"/>
        <w:gridCol w:w="1080"/>
        <w:gridCol w:w="1260"/>
        <w:gridCol w:w="1170"/>
        <w:gridCol w:w="1350"/>
      </w:tblGrid>
      <w:tr w14:paraId="07B7BB3D" w14:textId="5C46C40D" w:rsidTr="00827180">
        <w:tblPrEx>
          <w:tblW w:w="926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tblPrEx>
        <w:tc>
          <w:tcPr>
            <w:tcW w:w="1885" w:type="dxa"/>
          </w:tcPr>
          <w:p w:rsidR="007B7568" w:rsidRPr="00D47800" w:rsidP="00131D1E" w14:paraId="4CED08D1" w14:textId="77777777">
            <w:pPr>
              <w:pStyle w:val="ListBullet"/>
              <w:numPr>
                <w:ilvl w:val="0"/>
                <w:numId w:val="0"/>
              </w:numPr>
              <w:rPr>
                <w:b/>
                <w:bCs/>
                <w:sz w:val="20"/>
                <w:szCs w:val="20"/>
              </w:rPr>
            </w:pPr>
            <w:r w:rsidRPr="00D47800">
              <w:rPr>
                <w:b/>
                <w:bCs/>
                <w:sz w:val="20"/>
                <w:szCs w:val="20"/>
              </w:rPr>
              <w:t>Type of Respondents</w:t>
            </w:r>
          </w:p>
        </w:tc>
        <w:tc>
          <w:tcPr>
            <w:tcW w:w="1260" w:type="dxa"/>
          </w:tcPr>
          <w:p w:rsidR="007B7568" w:rsidRPr="00D47800" w:rsidP="00131D1E" w14:paraId="3C782274" w14:textId="77777777">
            <w:pPr>
              <w:pStyle w:val="ListBullet"/>
              <w:numPr>
                <w:ilvl w:val="0"/>
                <w:numId w:val="0"/>
              </w:numPr>
              <w:rPr>
                <w:b/>
                <w:bCs/>
                <w:sz w:val="20"/>
                <w:szCs w:val="20"/>
              </w:rPr>
            </w:pPr>
            <w:r w:rsidRPr="00D47800">
              <w:rPr>
                <w:b/>
                <w:bCs/>
                <w:sz w:val="20"/>
                <w:szCs w:val="20"/>
              </w:rPr>
              <w:t>Form Name</w:t>
            </w:r>
          </w:p>
        </w:tc>
        <w:tc>
          <w:tcPr>
            <w:tcW w:w="1260" w:type="dxa"/>
          </w:tcPr>
          <w:p w:rsidR="007B7568" w:rsidRPr="00D47800" w:rsidP="00131D1E" w14:paraId="67CE89FD" w14:textId="77777777">
            <w:pPr>
              <w:pStyle w:val="ListBullet"/>
              <w:numPr>
                <w:ilvl w:val="0"/>
                <w:numId w:val="0"/>
              </w:numPr>
              <w:jc w:val="center"/>
              <w:rPr>
                <w:b/>
                <w:bCs/>
                <w:sz w:val="20"/>
                <w:szCs w:val="20"/>
              </w:rPr>
            </w:pPr>
            <w:r w:rsidRPr="00D47800">
              <w:rPr>
                <w:b/>
                <w:bCs/>
                <w:sz w:val="20"/>
                <w:szCs w:val="20"/>
              </w:rPr>
              <w:t>Total Burden</w:t>
            </w:r>
          </w:p>
          <w:p w:rsidR="007B7568" w:rsidRPr="00D47800" w:rsidP="00131D1E" w14:paraId="7990A48B" w14:textId="77777777">
            <w:pPr>
              <w:pStyle w:val="ListBullet"/>
              <w:numPr>
                <w:ilvl w:val="0"/>
                <w:numId w:val="0"/>
              </w:numPr>
              <w:jc w:val="center"/>
              <w:rPr>
                <w:b/>
                <w:bCs/>
                <w:sz w:val="20"/>
                <w:szCs w:val="20"/>
              </w:rPr>
            </w:pPr>
            <w:r w:rsidRPr="00D47800">
              <w:rPr>
                <w:b/>
                <w:bCs/>
                <w:sz w:val="20"/>
                <w:szCs w:val="20"/>
              </w:rPr>
              <w:t>Hours</w:t>
            </w:r>
          </w:p>
        </w:tc>
        <w:tc>
          <w:tcPr>
            <w:tcW w:w="1080" w:type="dxa"/>
          </w:tcPr>
          <w:p w:rsidR="007B7568" w:rsidRPr="00D47800" w:rsidP="00131D1E" w14:paraId="3D056F71" w14:textId="7F382589">
            <w:pPr>
              <w:pStyle w:val="ListBullet"/>
              <w:numPr>
                <w:ilvl w:val="0"/>
                <w:numId w:val="0"/>
              </w:numPr>
              <w:jc w:val="center"/>
              <w:rPr>
                <w:b/>
                <w:bCs/>
                <w:sz w:val="20"/>
                <w:szCs w:val="20"/>
              </w:rPr>
            </w:pPr>
            <w:r w:rsidRPr="00D47800">
              <w:rPr>
                <w:b/>
                <w:bCs/>
                <w:sz w:val="20"/>
                <w:szCs w:val="20"/>
              </w:rPr>
              <w:t>Average Hourly Wage Rate ($)</w:t>
            </w:r>
          </w:p>
        </w:tc>
        <w:tc>
          <w:tcPr>
            <w:tcW w:w="1260" w:type="dxa"/>
          </w:tcPr>
          <w:p w:rsidR="007B7568" w:rsidRPr="00D47800" w:rsidP="00131D1E" w14:paraId="14912123" w14:textId="77777777">
            <w:pPr>
              <w:pStyle w:val="ListBullet"/>
              <w:numPr>
                <w:ilvl w:val="0"/>
                <w:numId w:val="0"/>
              </w:numPr>
              <w:jc w:val="center"/>
              <w:rPr>
                <w:b/>
                <w:bCs/>
                <w:sz w:val="20"/>
                <w:szCs w:val="20"/>
              </w:rPr>
            </w:pPr>
            <w:r w:rsidRPr="00D47800">
              <w:rPr>
                <w:b/>
                <w:bCs/>
                <w:sz w:val="20"/>
                <w:szCs w:val="20"/>
              </w:rPr>
              <w:t>Total Respondent</w:t>
            </w:r>
          </w:p>
          <w:p w:rsidR="007B7568" w:rsidRPr="00D47800" w:rsidP="00131D1E" w14:paraId="1EB10273" w14:textId="0F7CEED3">
            <w:pPr>
              <w:pStyle w:val="ListBullet"/>
              <w:numPr>
                <w:ilvl w:val="0"/>
                <w:numId w:val="0"/>
              </w:numPr>
              <w:jc w:val="center"/>
              <w:rPr>
                <w:b/>
                <w:bCs/>
                <w:sz w:val="20"/>
                <w:szCs w:val="20"/>
              </w:rPr>
            </w:pPr>
            <w:r w:rsidRPr="00D47800">
              <w:rPr>
                <w:b/>
                <w:bCs/>
                <w:sz w:val="20"/>
                <w:szCs w:val="20"/>
              </w:rPr>
              <w:t>Burden Costs ($)</w:t>
            </w:r>
          </w:p>
        </w:tc>
        <w:tc>
          <w:tcPr>
            <w:tcW w:w="1170" w:type="dxa"/>
          </w:tcPr>
          <w:p w:rsidR="007B7568" w:rsidRPr="00D47800" w:rsidP="00131D1E" w14:paraId="1AAC0DEB" w14:textId="0F07173D">
            <w:pPr>
              <w:pStyle w:val="ListBullet"/>
              <w:numPr>
                <w:ilvl w:val="0"/>
                <w:numId w:val="0"/>
              </w:numPr>
              <w:jc w:val="center"/>
              <w:rPr>
                <w:b/>
                <w:bCs/>
                <w:sz w:val="20"/>
                <w:szCs w:val="20"/>
              </w:rPr>
            </w:pPr>
            <w:r>
              <w:rPr>
                <w:b/>
                <w:bCs/>
                <w:sz w:val="20"/>
                <w:szCs w:val="20"/>
              </w:rPr>
              <w:t>Wage Rate Multiplier</w:t>
            </w:r>
          </w:p>
        </w:tc>
        <w:tc>
          <w:tcPr>
            <w:tcW w:w="1350" w:type="dxa"/>
          </w:tcPr>
          <w:p w:rsidR="007B7568" w:rsidP="00131D1E" w14:paraId="21DC1877" w14:textId="0CFBBE32">
            <w:pPr>
              <w:pStyle w:val="ListBullet"/>
              <w:numPr>
                <w:ilvl w:val="0"/>
                <w:numId w:val="0"/>
              </w:numPr>
              <w:jc w:val="center"/>
              <w:rPr>
                <w:b/>
                <w:bCs/>
                <w:sz w:val="20"/>
                <w:szCs w:val="20"/>
              </w:rPr>
            </w:pPr>
            <w:r>
              <w:rPr>
                <w:b/>
                <w:bCs/>
                <w:sz w:val="20"/>
                <w:szCs w:val="20"/>
              </w:rPr>
              <w:t>Fully Adjusted Wage Rate</w:t>
            </w:r>
          </w:p>
        </w:tc>
      </w:tr>
      <w:tr w14:paraId="448084AA" w14:textId="13A35CBB" w:rsidTr="00827180">
        <w:tblPrEx>
          <w:tblW w:w="9265" w:type="dxa"/>
          <w:tblLayout w:type="fixed"/>
          <w:tblLook w:val="04A0"/>
        </w:tblPrEx>
        <w:trPr>
          <w:trHeight w:val="458"/>
        </w:trPr>
        <w:tc>
          <w:tcPr>
            <w:tcW w:w="1885" w:type="dxa"/>
          </w:tcPr>
          <w:p w:rsidR="007B7568" w:rsidRPr="00D47800" w:rsidP="00E42C94" w14:paraId="2E96D540" w14:textId="4041A0CF">
            <w:pPr>
              <w:pStyle w:val="ListBullet"/>
              <w:numPr>
                <w:ilvl w:val="0"/>
                <w:numId w:val="0"/>
              </w:numPr>
              <w:rPr>
                <w:bCs/>
                <w:sz w:val="20"/>
                <w:szCs w:val="20"/>
              </w:rPr>
            </w:pPr>
            <w:r w:rsidRPr="00D47800">
              <w:t>All parents using the Milestone Tracker app who complete 65% or more of a checklist using the app</w:t>
            </w:r>
          </w:p>
        </w:tc>
        <w:tc>
          <w:tcPr>
            <w:tcW w:w="1260" w:type="dxa"/>
          </w:tcPr>
          <w:p w:rsidR="007B7568" w:rsidRPr="00D47800" w:rsidP="00E42C94" w14:paraId="6B7FB3AA" w14:textId="6969A166">
            <w:pPr>
              <w:pStyle w:val="ListBullet"/>
              <w:numPr>
                <w:ilvl w:val="0"/>
                <w:numId w:val="0"/>
              </w:numPr>
              <w:rPr>
                <w:bCs/>
                <w:sz w:val="20"/>
                <w:szCs w:val="20"/>
              </w:rPr>
            </w:pPr>
            <w:r w:rsidRPr="00D47800">
              <w:t>Parent 1</w:t>
            </w:r>
          </w:p>
        </w:tc>
        <w:tc>
          <w:tcPr>
            <w:tcW w:w="1260" w:type="dxa"/>
          </w:tcPr>
          <w:p w:rsidR="007B7568" w:rsidRPr="00D47800" w:rsidP="00E42C94" w14:paraId="1D1C8289" w14:textId="4C08187E">
            <w:pPr>
              <w:pStyle w:val="ListBullet"/>
              <w:numPr>
                <w:ilvl w:val="0"/>
                <w:numId w:val="0"/>
              </w:numPr>
              <w:jc w:val="center"/>
              <w:rPr>
                <w:bCs/>
                <w:sz w:val="20"/>
                <w:szCs w:val="20"/>
              </w:rPr>
            </w:pPr>
            <w:r w:rsidRPr="00D47800">
              <w:t>1,932</w:t>
            </w:r>
          </w:p>
        </w:tc>
        <w:tc>
          <w:tcPr>
            <w:tcW w:w="1080" w:type="dxa"/>
          </w:tcPr>
          <w:p w:rsidR="007B7568" w:rsidRPr="00D47800" w:rsidP="00E42C94" w14:paraId="69C88C52" w14:textId="04028946">
            <w:pPr>
              <w:pStyle w:val="ListBullet"/>
              <w:numPr>
                <w:ilvl w:val="0"/>
                <w:numId w:val="0"/>
              </w:numPr>
              <w:jc w:val="center"/>
              <w:rPr>
                <w:bCs/>
                <w:sz w:val="20"/>
                <w:szCs w:val="20"/>
              </w:rPr>
            </w:pPr>
            <w:r w:rsidRPr="00D47800">
              <w:rPr>
                <w:bCs/>
                <w:sz w:val="20"/>
                <w:szCs w:val="20"/>
              </w:rPr>
              <w:t>31.48</w:t>
            </w:r>
          </w:p>
        </w:tc>
        <w:tc>
          <w:tcPr>
            <w:tcW w:w="1260" w:type="dxa"/>
          </w:tcPr>
          <w:p w:rsidR="007B7568" w:rsidRPr="00D47800" w:rsidP="31C15365" w14:paraId="4DBC1BBA" w14:textId="5994571C">
            <w:pPr>
              <w:pStyle w:val="ListBullet"/>
              <w:numPr>
                <w:ilvl w:val="0"/>
                <w:numId w:val="0"/>
              </w:numPr>
              <w:jc w:val="center"/>
              <w:rPr>
                <w:sz w:val="20"/>
                <w:szCs w:val="20"/>
              </w:rPr>
            </w:pPr>
            <w:r w:rsidRPr="372F707A">
              <w:rPr>
                <w:sz w:val="20"/>
                <w:szCs w:val="20"/>
              </w:rPr>
              <w:t>60,820</w:t>
            </w:r>
          </w:p>
        </w:tc>
        <w:tc>
          <w:tcPr>
            <w:tcW w:w="1170" w:type="dxa"/>
          </w:tcPr>
          <w:p w:rsidR="007B7568" w:rsidRPr="372F707A" w:rsidP="31C15365" w14:paraId="431760F6" w14:textId="35CC57A1">
            <w:pPr>
              <w:pStyle w:val="ListBullet"/>
              <w:numPr>
                <w:ilvl w:val="0"/>
                <w:numId w:val="0"/>
              </w:numPr>
              <w:jc w:val="center"/>
              <w:rPr>
                <w:sz w:val="20"/>
                <w:szCs w:val="20"/>
              </w:rPr>
            </w:pPr>
            <w:r>
              <w:rPr>
                <w:sz w:val="20"/>
                <w:szCs w:val="20"/>
              </w:rPr>
              <w:t>x 2</w:t>
            </w:r>
          </w:p>
        </w:tc>
        <w:tc>
          <w:tcPr>
            <w:tcW w:w="1350" w:type="dxa"/>
          </w:tcPr>
          <w:p w:rsidR="007B7568" w:rsidP="31C15365" w14:paraId="7D29410E" w14:textId="28E004F0">
            <w:pPr>
              <w:pStyle w:val="ListBullet"/>
              <w:numPr>
                <w:ilvl w:val="0"/>
                <w:numId w:val="0"/>
              </w:numPr>
              <w:jc w:val="center"/>
              <w:rPr>
                <w:sz w:val="20"/>
                <w:szCs w:val="20"/>
              </w:rPr>
            </w:pPr>
            <w:r>
              <w:rPr>
                <w:sz w:val="20"/>
                <w:szCs w:val="20"/>
              </w:rPr>
              <w:t>$121,640</w:t>
            </w:r>
          </w:p>
        </w:tc>
      </w:tr>
      <w:tr w14:paraId="15623665" w14:textId="32B1AF19" w:rsidTr="00827180">
        <w:tblPrEx>
          <w:tblW w:w="9265" w:type="dxa"/>
          <w:tblLayout w:type="fixed"/>
          <w:tblLook w:val="04A0"/>
        </w:tblPrEx>
        <w:trPr>
          <w:trHeight w:val="458"/>
        </w:trPr>
        <w:tc>
          <w:tcPr>
            <w:tcW w:w="1885" w:type="dxa"/>
          </w:tcPr>
          <w:p w:rsidR="007B7568" w:rsidRPr="00D47800" w:rsidP="00E42C94" w14:paraId="469CEA43" w14:textId="40A5AF00">
            <w:pPr>
              <w:pStyle w:val="ListBullet"/>
              <w:numPr>
                <w:ilvl w:val="0"/>
                <w:numId w:val="0"/>
              </w:numPr>
              <w:rPr>
                <w:bCs/>
                <w:sz w:val="20"/>
                <w:szCs w:val="20"/>
              </w:rPr>
            </w:pPr>
            <w:r w:rsidRPr="00D47800">
              <w:t>Parents using the Milestone Tracker App who</w:t>
            </w:r>
            <w:r w:rsidRPr="00D47800">
              <w:t xml:space="preserve"> complete 65% or more of a checklist using the app AND indicate a missed milestone or identify a developmental concern</w:t>
            </w:r>
          </w:p>
        </w:tc>
        <w:tc>
          <w:tcPr>
            <w:tcW w:w="1260" w:type="dxa"/>
          </w:tcPr>
          <w:p w:rsidR="007B7568" w:rsidRPr="00D47800" w:rsidP="00E42C94" w14:paraId="0CD3EAAE" w14:textId="021470CA">
            <w:pPr>
              <w:pStyle w:val="ListBullet"/>
              <w:numPr>
                <w:ilvl w:val="0"/>
                <w:numId w:val="0"/>
              </w:numPr>
              <w:rPr>
                <w:bCs/>
                <w:sz w:val="20"/>
                <w:szCs w:val="20"/>
              </w:rPr>
            </w:pPr>
            <w:r w:rsidRPr="00D47800">
              <w:t>Parent 2</w:t>
            </w:r>
          </w:p>
        </w:tc>
        <w:tc>
          <w:tcPr>
            <w:tcW w:w="1260" w:type="dxa"/>
          </w:tcPr>
          <w:p w:rsidR="007B7568" w:rsidRPr="00D47800" w:rsidP="00E42C94" w14:paraId="38DEBCA0" w14:textId="3D7748D6">
            <w:pPr>
              <w:pStyle w:val="ListBullet"/>
              <w:numPr>
                <w:ilvl w:val="0"/>
                <w:numId w:val="0"/>
              </w:numPr>
              <w:jc w:val="center"/>
              <w:rPr>
                <w:bCs/>
                <w:sz w:val="20"/>
                <w:szCs w:val="20"/>
              </w:rPr>
            </w:pPr>
            <w:r w:rsidRPr="00D47800">
              <w:t>420</w:t>
            </w:r>
          </w:p>
        </w:tc>
        <w:tc>
          <w:tcPr>
            <w:tcW w:w="1080" w:type="dxa"/>
          </w:tcPr>
          <w:p w:rsidR="007B7568" w:rsidRPr="00D47800" w:rsidP="00E42C94" w14:paraId="53F70E6E" w14:textId="7B2E04BF">
            <w:pPr>
              <w:pStyle w:val="ListBullet"/>
              <w:numPr>
                <w:ilvl w:val="0"/>
                <w:numId w:val="0"/>
              </w:numPr>
              <w:jc w:val="center"/>
              <w:rPr>
                <w:bCs/>
                <w:sz w:val="20"/>
                <w:szCs w:val="20"/>
              </w:rPr>
            </w:pPr>
            <w:r w:rsidRPr="00D47800">
              <w:rPr>
                <w:bCs/>
                <w:sz w:val="20"/>
                <w:szCs w:val="20"/>
              </w:rPr>
              <w:t>31.48</w:t>
            </w:r>
          </w:p>
        </w:tc>
        <w:tc>
          <w:tcPr>
            <w:tcW w:w="1260" w:type="dxa"/>
          </w:tcPr>
          <w:p w:rsidR="007B7568" w:rsidRPr="00D47800" w:rsidP="00E42C94" w14:paraId="47F176AA" w14:textId="2EFC7D17">
            <w:pPr>
              <w:pStyle w:val="ListBullet"/>
              <w:numPr>
                <w:ilvl w:val="0"/>
                <w:numId w:val="0"/>
              </w:numPr>
              <w:jc w:val="center"/>
              <w:rPr>
                <w:bCs/>
                <w:sz w:val="20"/>
                <w:szCs w:val="20"/>
              </w:rPr>
            </w:pPr>
            <w:r w:rsidRPr="00D47800">
              <w:rPr>
                <w:bCs/>
                <w:sz w:val="20"/>
                <w:szCs w:val="20"/>
              </w:rPr>
              <w:t>13,222</w:t>
            </w:r>
          </w:p>
        </w:tc>
        <w:tc>
          <w:tcPr>
            <w:tcW w:w="1170" w:type="dxa"/>
          </w:tcPr>
          <w:p w:rsidR="007B7568" w:rsidRPr="00D47800" w:rsidP="00E42C94" w14:paraId="6A0D5A81" w14:textId="767DC03B">
            <w:pPr>
              <w:pStyle w:val="ListBullet"/>
              <w:numPr>
                <w:ilvl w:val="0"/>
                <w:numId w:val="0"/>
              </w:numPr>
              <w:jc w:val="center"/>
              <w:rPr>
                <w:bCs/>
                <w:sz w:val="20"/>
                <w:szCs w:val="20"/>
              </w:rPr>
            </w:pPr>
            <w:r>
              <w:rPr>
                <w:bCs/>
                <w:sz w:val="20"/>
                <w:szCs w:val="20"/>
              </w:rPr>
              <w:t>x 2</w:t>
            </w:r>
          </w:p>
        </w:tc>
        <w:tc>
          <w:tcPr>
            <w:tcW w:w="1350" w:type="dxa"/>
          </w:tcPr>
          <w:p w:rsidR="007B7568" w:rsidP="00E42C94" w14:paraId="6597130B" w14:textId="209A5C61">
            <w:pPr>
              <w:pStyle w:val="ListBullet"/>
              <w:numPr>
                <w:ilvl w:val="0"/>
                <w:numId w:val="0"/>
              </w:numPr>
              <w:jc w:val="center"/>
              <w:rPr>
                <w:bCs/>
                <w:sz w:val="20"/>
                <w:szCs w:val="20"/>
              </w:rPr>
            </w:pPr>
            <w:r>
              <w:rPr>
                <w:bCs/>
                <w:sz w:val="20"/>
                <w:szCs w:val="20"/>
              </w:rPr>
              <w:t>$26,444</w:t>
            </w:r>
          </w:p>
        </w:tc>
      </w:tr>
      <w:tr w14:paraId="018BEABE" w14:textId="6FC27957" w:rsidTr="00827180">
        <w:tblPrEx>
          <w:tblW w:w="9265" w:type="dxa"/>
          <w:tblLayout w:type="fixed"/>
          <w:tblLook w:val="04A0"/>
        </w:tblPrEx>
        <w:trPr>
          <w:trHeight w:val="1560"/>
        </w:trPr>
        <w:tc>
          <w:tcPr>
            <w:tcW w:w="1885" w:type="dxa"/>
          </w:tcPr>
          <w:p w:rsidR="007B7568" w:rsidRPr="00D47800" w:rsidP="00E42C94" w14:paraId="03AF8A47" w14:textId="7EA48B43">
            <w:pPr>
              <w:pStyle w:val="ListBullet"/>
              <w:numPr>
                <w:ilvl w:val="0"/>
                <w:numId w:val="0"/>
              </w:numPr>
              <w:rPr>
                <w:bCs/>
                <w:sz w:val="20"/>
                <w:szCs w:val="20"/>
              </w:rPr>
            </w:pPr>
            <w:r w:rsidRPr="00D47800">
              <w:t>Early childhood providers/professionals who use the Milestone Tracker app at least 3 times</w:t>
            </w:r>
          </w:p>
        </w:tc>
        <w:tc>
          <w:tcPr>
            <w:tcW w:w="1260" w:type="dxa"/>
          </w:tcPr>
          <w:p w:rsidR="007B7568" w:rsidRPr="00D47800" w:rsidP="00E42C94" w14:paraId="00588869" w14:textId="20565421">
            <w:pPr>
              <w:pStyle w:val="ListBullet"/>
              <w:numPr>
                <w:ilvl w:val="0"/>
                <w:numId w:val="0"/>
              </w:numPr>
              <w:rPr>
                <w:bCs/>
                <w:sz w:val="20"/>
                <w:szCs w:val="20"/>
              </w:rPr>
            </w:pPr>
            <w:r w:rsidRPr="00D47800">
              <w:t>Provider</w:t>
            </w:r>
          </w:p>
        </w:tc>
        <w:tc>
          <w:tcPr>
            <w:tcW w:w="1260" w:type="dxa"/>
          </w:tcPr>
          <w:p w:rsidR="007B7568" w:rsidRPr="00D47800" w:rsidP="4A1C4040" w14:paraId="5F75C39D" w14:textId="32AD84F6">
            <w:pPr>
              <w:pStyle w:val="ListBullet"/>
              <w:numPr>
                <w:ilvl w:val="0"/>
                <w:numId w:val="0"/>
              </w:numPr>
              <w:jc w:val="center"/>
            </w:pPr>
            <w:r>
              <w:t>67</w:t>
            </w:r>
          </w:p>
        </w:tc>
        <w:tc>
          <w:tcPr>
            <w:tcW w:w="1080" w:type="dxa"/>
          </w:tcPr>
          <w:p w:rsidR="007B7568" w:rsidRPr="00D47800" w:rsidP="00E42C94" w14:paraId="43DE42F7" w14:textId="7D524D70">
            <w:pPr>
              <w:pStyle w:val="ListBullet"/>
              <w:numPr>
                <w:ilvl w:val="0"/>
                <w:numId w:val="0"/>
              </w:numPr>
              <w:jc w:val="center"/>
              <w:rPr>
                <w:bCs/>
                <w:sz w:val="20"/>
                <w:szCs w:val="20"/>
              </w:rPr>
            </w:pPr>
            <w:r w:rsidRPr="00D47800">
              <w:rPr>
                <w:bCs/>
                <w:sz w:val="20"/>
                <w:szCs w:val="20"/>
              </w:rPr>
              <w:t>31.48</w:t>
            </w:r>
          </w:p>
        </w:tc>
        <w:tc>
          <w:tcPr>
            <w:tcW w:w="1260" w:type="dxa"/>
          </w:tcPr>
          <w:p w:rsidR="007B7568" w:rsidRPr="00D47800" w:rsidP="31C15365" w14:paraId="40BBD94B" w14:textId="2A16623F">
            <w:pPr>
              <w:pStyle w:val="ListBullet"/>
              <w:numPr>
                <w:ilvl w:val="0"/>
                <w:numId w:val="0"/>
              </w:numPr>
              <w:jc w:val="center"/>
              <w:rPr>
                <w:sz w:val="20"/>
                <w:szCs w:val="20"/>
              </w:rPr>
            </w:pPr>
            <w:r w:rsidRPr="372F707A">
              <w:rPr>
                <w:sz w:val="20"/>
                <w:szCs w:val="20"/>
              </w:rPr>
              <w:t>2,109</w:t>
            </w:r>
          </w:p>
        </w:tc>
        <w:tc>
          <w:tcPr>
            <w:tcW w:w="1170" w:type="dxa"/>
          </w:tcPr>
          <w:p w:rsidR="007B7568" w:rsidRPr="372F707A" w:rsidP="31C15365" w14:paraId="06CD3AB3" w14:textId="2D7CB474">
            <w:pPr>
              <w:pStyle w:val="ListBullet"/>
              <w:numPr>
                <w:ilvl w:val="0"/>
                <w:numId w:val="0"/>
              </w:numPr>
              <w:jc w:val="center"/>
              <w:rPr>
                <w:sz w:val="20"/>
                <w:szCs w:val="20"/>
              </w:rPr>
            </w:pPr>
            <w:r>
              <w:rPr>
                <w:sz w:val="20"/>
                <w:szCs w:val="20"/>
              </w:rPr>
              <w:t xml:space="preserve">x 2 </w:t>
            </w:r>
          </w:p>
        </w:tc>
        <w:tc>
          <w:tcPr>
            <w:tcW w:w="1350" w:type="dxa"/>
          </w:tcPr>
          <w:p w:rsidR="007B7568" w:rsidP="31C15365" w14:paraId="12B5F179" w14:textId="175E8A80">
            <w:pPr>
              <w:pStyle w:val="ListBullet"/>
              <w:numPr>
                <w:ilvl w:val="0"/>
                <w:numId w:val="0"/>
              </w:numPr>
              <w:jc w:val="center"/>
              <w:rPr>
                <w:sz w:val="20"/>
                <w:szCs w:val="20"/>
              </w:rPr>
            </w:pPr>
            <w:r>
              <w:rPr>
                <w:sz w:val="20"/>
                <w:szCs w:val="20"/>
              </w:rPr>
              <w:t>$4,218</w:t>
            </w:r>
          </w:p>
        </w:tc>
      </w:tr>
      <w:tr w14:paraId="410A8108" w14:textId="68FD73F7" w:rsidTr="00827180">
        <w:tblPrEx>
          <w:tblW w:w="9265" w:type="dxa"/>
          <w:tblLayout w:type="fixed"/>
          <w:tblLook w:val="04A0"/>
        </w:tblPrEx>
        <w:tc>
          <w:tcPr>
            <w:tcW w:w="1885" w:type="dxa"/>
          </w:tcPr>
          <w:p w:rsidR="007B7568" w:rsidRPr="00D47800" w:rsidP="00B12BF7" w14:paraId="42781EBC" w14:textId="3238870D">
            <w:pPr>
              <w:pStyle w:val="ListBullet"/>
              <w:numPr>
                <w:ilvl w:val="0"/>
                <w:numId w:val="0"/>
              </w:numPr>
              <w:rPr>
                <w:b/>
                <w:bCs/>
                <w:sz w:val="20"/>
                <w:szCs w:val="20"/>
              </w:rPr>
            </w:pPr>
            <w:r w:rsidRPr="00D47800">
              <w:rPr>
                <w:b/>
                <w:bCs/>
              </w:rPr>
              <w:t>TOTAL</w:t>
            </w:r>
          </w:p>
        </w:tc>
        <w:tc>
          <w:tcPr>
            <w:tcW w:w="1260" w:type="dxa"/>
          </w:tcPr>
          <w:p w:rsidR="007B7568" w:rsidRPr="00D47800" w:rsidP="00B12BF7" w14:paraId="153FE120" w14:textId="77777777">
            <w:pPr>
              <w:pStyle w:val="ListBullet"/>
              <w:numPr>
                <w:ilvl w:val="0"/>
                <w:numId w:val="0"/>
              </w:numPr>
              <w:jc w:val="center"/>
              <w:rPr>
                <w:b/>
                <w:bCs/>
                <w:sz w:val="20"/>
                <w:szCs w:val="20"/>
              </w:rPr>
            </w:pPr>
          </w:p>
        </w:tc>
        <w:tc>
          <w:tcPr>
            <w:tcW w:w="1260" w:type="dxa"/>
          </w:tcPr>
          <w:p w:rsidR="007B7568" w:rsidRPr="00D47800" w:rsidP="00B12BF7" w14:paraId="4EAC3F66" w14:textId="3CE18361">
            <w:pPr>
              <w:pStyle w:val="ListBullet"/>
              <w:numPr>
                <w:ilvl w:val="0"/>
                <w:numId w:val="0"/>
              </w:numPr>
              <w:jc w:val="center"/>
              <w:rPr>
                <w:b/>
                <w:bCs/>
                <w:sz w:val="20"/>
                <w:szCs w:val="20"/>
              </w:rPr>
            </w:pPr>
            <w:r w:rsidRPr="372F707A">
              <w:rPr>
                <w:b/>
                <w:bCs/>
                <w:sz w:val="20"/>
                <w:szCs w:val="20"/>
              </w:rPr>
              <w:t>2,419</w:t>
            </w:r>
          </w:p>
        </w:tc>
        <w:tc>
          <w:tcPr>
            <w:tcW w:w="1080" w:type="dxa"/>
          </w:tcPr>
          <w:p w:rsidR="007B7568" w:rsidRPr="00D47800" w:rsidP="00B12BF7" w14:paraId="4108FD6D" w14:textId="10DA04CF">
            <w:pPr>
              <w:pStyle w:val="ListBullet"/>
              <w:numPr>
                <w:ilvl w:val="0"/>
                <w:numId w:val="0"/>
              </w:numPr>
              <w:jc w:val="center"/>
              <w:rPr>
                <w:b/>
                <w:bCs/>
                <w:sz w:val="20"/>
                <w:szCs w:val="20"/>
              </w:rPr>
            </w:pPr>
            <w:r w:rsidRPr="00D47800">
              <w:rPr>
                <w:b/>
                <w:bCs/>
              </w:rPr>
              <w:t>—</w:t>
            </w:r>
          </w:p>
        </w:tc>
        <w:tc>
          <w:tcPr>
            <w:tcW w:w="1260" w:type="dxa"/>
          </w:tcPr>
          <w:p w:rsidR="007B7568" w:rsidRPr="00D47800" w:rsidP="00B12BF7" w14:paraId="10EF227B" w14:textId="5009F674">
            <w:pPr>
              <w:pStyle w:val="ListBullet"/>
              <w:numPr>
                <w:ilvl w:val="0"/>
                <w:numId w:val="0"/>
              </w:numPr>
              <w:jc w:val="center"/>
              <w:rPr>
                <w:b/>
                <w:bCs/>
                <w:sz w:val="20"/>
                <w:szCs w:val="20"/>
              </w:rPr>
            </w:pPr>
            <w:r w:rsidRPr="372F707A">
              <w:rPr>
                <w:b/>
                <w:bCs/>
                <w:sz w:val="20"/>
                <w:szCs w:val="20"/>
              </w:rPr>
              <w:t>76,</w:t>
            </w:r>
            <w:r>
              <w:rPr>
                <w:b/>
                <w:bCs/>
                <w:sz w:val="20"/>
                <w:szCs w:val="20"/>
              </w:rPr>
              <w:t>151</w:t>
            </w:r>
          </w:p>
        </w:tc>
        <w:tc>
          <w:tcPr>
            <w:tcW w:w="1170" w:type="dxa"/>
          </w:tcPr>
          <w:p w:rsidR="007B7568" w:rsidRPr="372F707A" w:rsidP="00B12BF7" w14:paraId="76406AF3" w14:textId="77777777">
            <w:pPr>
              <w:pStyle w:val="ListBullet"/>
              <w:numPr>
                <w:ilvl w:val="0"/>
                <w:numId w:val="0"/>
              </w:numPr>
              <w:jc w:val="center"/>
              <w:rPr>
                <w:b/>
                <w:bCs/>
                <w:sz w:val="20"/>
                <w:szCs w:val="20"/>
              </w:rPr>
            </w:pPr>
          </w:p>
        </w:tc>
        <w:tc>
          <w:tcPr>
            <w:tcW w:w="1350" w:type="dxa"/>
          </w:tcPr>
          <w:p w:rsidR="007B7568" w:rsidRPr="372F707A" w:rsidP="00B12BF7" w14:paraId="5E56AFBB" w14:textId="36A4D768">
            <w:pPr>
              <w:pStyle w:val="ListBullet"/>
              <w:numPr>
                <w:ilvl w:val="0"/>
                <w:numId w:val="0"/>
              </w:numPr>
              <w:jc w:val="center"/>
              <w:rPr>
                <w:b/>
                <w:bCs/>
                <w:sz w:val="20"/>
                <w:szCs w:val="20"/>
              </w:rPr>
            </w:pPr>
            <w:r>
              <w:rPr>
                <w:b/>
                <w:bCs/>
                <w:sz w:val="20"/>
                <w:szCs w:val="20"/>
              </w:rPr>
              <w:t>$152,302</w:t>
            </w:r>
          </w:p>
        </w:tc>
      </w:tr>
    </w:tbl>
    <w:p w:rsidR="00873BFC" w:rsidRPr="00D47800" w:rsidP="372F707A" w14:paraId="4B04DA29" w14:textId="0A3D3FCE"/>
    <w:p w:rsidR="00873BFC" w:rsidRPr="00D47800" w:rsidP="00705A6A" w14:paraId="124EDA29" w14:textId="2FCB7D84">
      <w:pPr>
        <w:pStyle w:val="Style1"/>
      </w:pPr>
      <w:bookmarkStart w:id="12" w:name="_Toc121838467"/>
      <w:r w:rsidRPr="00D47800">
        <w:t>Section A.13. Estimates of Other Total Annual Cost Burden to Respondents or Record Keepers</w:t>
      </w:r>
      <w:bookmarkEnd w:id="12"/>
    </w:p>
    <w:p w:rsidR="00873BFC" w:rsidRPr="00D47800" w:rsidP="00873BFC" w14:paraId="7613FFE1" w14:textId="77777777">
      <w:pPr>
        <w:rPr>
          <w:sz w:val="22"/>
          <w:szCs w:val="22"/>
        </w:rPr>
      </w:pPr>
    </w:p>
    <w:p w:rsidR="00873BFC" w:rsidRPr="00D47800" w:rsidP="00873BFC" w14:paraId="784C4249" w14:textId="246BB7DF">
      <w:pPr>
        <w:rPr>
          <w:sz w:val="22"/>
          <w:szCs w:val="22"/>
        </w:rPr>
      </w:pPr>
      <w:r w:rsidRPr="00D47800">
        <w:rPr>
          <w:sz w:val="22"/>
          <w:szCs w:val="22"/>
        </w:rPr>
        <w:t xml:space="preserve">There are </w:t>
      </w:r>
      <w:r w:rsidRPr="00D47800" w:rsidR="00E46082">
        <w:rPr>
          <w:sz w:val="22"/>
          <w:szCs w:val="22"/>
        </w:rPr>
        <w:t xml:space="preserve">no </w:t>
      </w:r>
      <w:r w:rsidRPr="00D47800">
        <w:rPr>
          <w:sz w:val="22"/>
          <w:szCs w:val="22"/>
        </w:rPr>
        <w:t>costs to respondents associated with either capital and startup efforts or operation and maintenance of services for this project.</w:t>
      </w:r>
    </w:p>
    <w:p w:rsidR="00873BFC" w:rsidRPr="00D47800" w:rsidP="00873BFC" w14:paraId="2097EBEC" w14:textId="77777777">
      <w:pPr>
        <w:rPr>
          <w:sz w:val="22"/>
          <w:szCs w:val="22"/>
        </w:rPr>
      </w:pPr>
    </w:p>
    <w:p w:rsidR="00873BFC" w:rsidRPr="00D47800" w:rsidP="00705A6A" w14:paraId="7F428AE2" w14:textId="5490D6A8">
      <w:pPr>
        <w:pStyle w:val="Style1"/>
      </w:pPr>
      <w:bookmarkStart w:id="13" w:name="_Toc121838468"/>
      <w:r w:rsidRPr="00D47800">
        <w:t>Section A.14. Annualized Cost to the Government</w:t>
      </w:r>
      <w:bookmarkEnd w:id="13"/>
    </w:p>
    <w:p w:rsidR="004C48B0" w:rsidRPr="00D47800" w:rsidP="00873BFC" w14:paraId="54CAE495" w14:textId="61B6722B">
      <w:pPr>
        <w:rPr>
          <w:sz w:val="22"/>
          <w:szCs w:val="22"/>
        </w:rPr>
      </w:pPr>
      <w:r w:rsidRPr="00D47800">
        <w:rPr>
          <w:sz w:val="22"/>
          <w:szCs w:val="22"/>
        </w:rPr>
        <w:t>The average annualized cost to the Government to collect this information is $</w:t>
      </w:r>
      <w:r w:rsidRPr="00D47800" w:rsidR="00200B39">
        <w:rPr>
          <w:sz w:val="22"/>
          <w:szCs w:val="22"/>
        </w:rPr>
        <w:t>8</w:t>
      </w:r>
      <w:r w:rsidRPr="00D47800">
        <w:rPr>
          <w:sz w:val="22"/>
          <w:szCs w:val="22"/>
        </w:rPr>
        <w:t>,000 for this 3-year OMB approval period</w:t>
      </w:r>
      <w:r w:rsidRPr="00D47800" w:rsidR="00677352">
        <w:rPr>
          <w:sz w:val="22"/>
          <w:szCs w:val="22"/>
        </w:rPr>
        <w:t>.</w:t>
      </w:r>
    </w:p>
    <w:p w:rsidR="004C48B0" w:rsidRPr="00D47800" w:rsidP="00873BFC" w14:paraId="27CCE9D7" w14:textId="2814FC5E">
      <w:pPr>
        <w:rPr>
          <w:b/>
          <w:sz w:val="22"/>
          <w:szCs w:val="22"/>
        </w:rPr>
      </w:pPr>
    </w:p>
    <w:tbl>
      <w:tblPr>
        <w:tblW w:w="8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039"/>
        <w:gridCol w:w="2613"/>
        <w:gridCol w:w="1721"/>
        <w:gridCol w:w="1272"/>
        <w:gridCol w:w="1272"/>
      </w:tblGrid>
      <w:tr w14:paraId="3D69D64B" w14:textId="205DEEFA" w:rsidTr="00BC4C86">
        <w:tblPrEx>
          <w:tblW w:w="89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trHeight w:val="458"/>
        </w:trPr>
        <w:tc>
          <w:tcPr>
            <w:tcW w:w="4652" w:type="dxa"/>
            <w:gridSpan w:val="2"/>
          </w:tcPr>
          <w:p w:rsidR="00BC4C86" w:rsidRPr="00D47800" w:rsidP="00591C29" w14:paraId="711DAB1A" w14:textId="77777777">
            <w:pPr>
              <w:rPr>
                <w:b/>
                <w:bCs/>
                <w:sz w:val="22"/>
                <w:szCs w:val="22"/>
              </w:rPr>
            </w:pPr>
            <w:r w:rsidRPr="00D47800">
              <w:rPr>
                <w:b/>
                <w:bCs/>
                <w:sz w:val="22"/>
                <w:szCs w:val="22"/>
              </w:rPr>
              <w:t xml:space="preserve">Annual Budget Table </w:t>
            </w:r>
          </w:p>
        </w:tc>
        <w:tc>
          <w:tcPr>
            <w:tcW w:w="1721" w:type="dxa"/>
          </w:tcPr>
          <w:p w:rsidR="00BC4C86" w:rsidRPr="00D47800" w:rsidP="00591C29" w14:paraId="1A39FB49" w14:textId="77777777">
            <w:pPr>
              <w:rPr>
                <w:b/>
                <w:sz w:val="22"/>
                <w:szCs w:val="22"/>
              </w:rPr>
            </w:pPr>
            <w:r w:rsidRPr="00D47800">
              <w:rPr>
                <w:b/>
                <w:sz w:val="22"/>
                <w:szCs w:val="22"/>
              </w:rPr>
              <w:t>Total ($)</w:t>
            </w:r>
          </w:p>
        </w:tc>
        <w:tc>
          <w:tcPr>
            <w:tcW w:w="1272" w:type="dxa"/>
          </w:tcPr>
          <w:p w:rsidR="00BC4C86" w:rsidRPr="00D47800" w:rsidP="00BC4C86" w14:paraId="1F58C4B0" w14:textId="64EE72DC">
            <w:pPr>
              <w:jc w:val="center"/>
              <w:rPr>
                <w:b/>
                <w:sz w:val="22"/>
                <w:szCs w:val="22"/>
              </w:rPr>
            </w:pPr>
            <w:r>
              <w:rPr>
                <w:b/>
                <w:sz w:val="22"/>
                <w:szCs w:val="22"/>
              </w:rPr>
              <w:t>Wage Rate Multiplier</w:t>
            </w:r>
          </w:p>
        </w:tc>
        <w:tc>
          <w:tcPr>
            <w:tcW w:w="1272" w:type="dxa"/>
          </w:tcPr>
          <w:p w:rsidR="00BC4C86" w:rsidP="00BC4C86" w14:paraId="4EA5B8DF" w14:textId="0DF42E1A">
            <w:pPr>
              <w:jc w:val="center"/>
              <w:rPr>
                <w:b/>
                <w:sz w:val="22"/>
                <w:szCs w:val="22"/>
              </w:rPr>
            </w:pPr>
            <w:r>
              <w:rPr>
                <w:b/>
                <w:sz w:val="22"/>
                <w:szCs w:val="22"/>
              </w:rPr>
              <w:t>Fully Loaded Wage</w:t>
            </w:r>
          </w:p>
        </w:tc>
      </w:tr>
      <w:tr w14:paraId="092D0EF7" w14:textId="46B22ADD" w:rsidTr="00BC4C86">
        <w:tblPrEx>
          <w:tblW w:w="8917" w:type="dxa"/>
          <w:tblLook w:val="04A0"/>
        </w:tblPrEx>
        <w:trPr>
          <w:trHeight w:val="439"/>
        </w:trPr>
        <w:tc>
          <w:tcPr>
            <w:tcW w:w="2039" w:type="dxa"/>
          </w:tcPr>
          <w:p w:rsidR="00BC4C86" w:rsidRPr="00D47800" w:rsidP="00591C29" w14:paraId="204ECC9F" w14:textId="77777777">
            <w:pPr>
              <w:rPr>
                <w:b/>
                <w:sz w:val="22"/>
                <w:szCs w:val="22"/>
              </w:rPr>
            </w:pPr>
            <w:r w:rsidRPr="00D47800">
              <w:rPr>
                <w:b/>
                <w:sz w:val="22"/>
                <w:szCs w:val="22"/>
              </w:rPr>
              <w:t>Federal Government</w:t>
            </w:r>
          </w:p>
          <w:p w:rsidR="00BC4C86" w:rsidRPr="00D47800" w:rsidP="00591C29" w14:paraId="0A0CAD48" w14:textId="77777777">
            <w:pPr>
              <w:rPr>
                <w:b/>
                <w:sz w:val="22"/>
                <w:szCs w:val="22"/>
              </w:rPr>
            </w:pPr>
            <w:r w:rsidRPr="00D47800">
              <w:rPr>
                <w:b/>
                <w:sz w:val="22"/>
                <w:szCs w:val="22"/>
              </w:rPr>
              <w:t>Personnel costs</w:t>
            </w:r>
          </w:p>
        </w:tc>
        <w:tc>
          <w:tcPr>
            <w:tcW w:w="2613" w:type="dxa"/>
          </w:tcPr>
          <w:p w:rsidR="00BC4C86" w:rsidRPr="00D47800" w:rsidP="00591C29" w14:paraId="23605B81" w14:textId="77777777">
            <w:pPr>
              <w:rPr>
                <w:sz w:val="22"/>
                <w:szCs w:val="22"/>
              </w:rPr>
            </w:pPr>
            <w:r w:rsidRPr="00D47800">
              <w:rPr>
                <w:sz w:val="22"/>
                <w:szCs w:val="22"/>
              </w:rPr>
              <w:t>CDC Principal Investigator (1)</w:t>
            </w:r>
          </w:p>
        </w:tc>
        <w:tc>
          <w:tcPr>
            <w:tcW w:w="1721" w:type="dxa"/>
          </w:tcPr>
          <w:p w:rsidR="00BC4C86" w:rsidRPr="00D47800" w:rsidP="00591C29" w14:paraId="42A32E1E" w14:textId="101CDB2A">
            <w:pPr>
              <w:rPr>
                <w:sz w:val="22"/>
                <w:szCs w:val="22"/>
              </w:rPr>
            </w:pPr>
            <w:r>
              <w:rPr>
                <w:sz w:val="22"/>
                <w:szCs w:val="22"/>
              </w:rPr>
              <w:t>$</w:t>
            </w:r>
            <w:r w:rsidRPr="00D47800">
              <w:rPr>
                <w:sz w:val="22"/>
                <w:szCs w:val="22"/>
              </w:rPr>
              <w:t>6,000</w:t>
            </w:r>
          </w:p>
        </w:tc>
        <w:tc>
          <w:tcPr>
            <w:tcW w:w="1272" w:type="dxa"/>
          </w:tcPr>
          <w:p w:rsidR="00BC4C86" w:rsidRPr="00D47800" w:rsidP="00BC4C86" w14:paraId="2874E8F0" w14:textId="01709AF9">
            <w:pPr>
              <w:jc w:val="center"/>
              <w:rPr>
                <w:sz w:val="22"/>
                <w:szCs w:val="22"/>
              </w:rPr>
            </w:pPr>
            <w:r>
              <w:rPr>
                <w:sz w:val="22"/>
                <w:szCs w:val="22"/>
              </w:rPr>
              <w:t>x 2</w:t>
            </w:r>
          </w:p>
        </w:tc>
        <w:tc>
          <w:tcPr>
            <w:tcW w:w="1272" w:type="dxa"/>
          </w:tcPr>
          <w:p w:rsidR="00BC4C86" w:rsidP="00BC4C86" w14:paraId="3C2330AF" w14:textId="4C0D94F2">
            <w:pPr>
              <w:jc w:val="center"/>
              <w:rPr>
                <w:sz w:val="22"/>
                <w:szCs w:val="22"/>
              </w:rPr>
            </w:pPr>
            <w:r>
              <w:rPr>
                <w:sz w:val="22"/>
                <w:szCs w:val="22"/>
              </w:rPr>
              <w:t>$12,000</w:t>
            </w:r>
          </w:p>
        </w:tc>
      </w:tr>
      <w:tr w14:paraId="039C32AF" w14:textId="2D0F7F98" w:rsidTr="00BC4C86">
        <w:tblPrEx>
          <w:tblW w:w="8917" w:type="dxa"/>
          <w:tblLook w:val="04A0"/>
        </w:tblPrEx>
        <w:trPr>
          <w:trHeight w:val="1726"/>
        </w:trPr>
        <w:tc>
          <w:tcPr>
            <w:tcW w:w="2039" w:type="dxa"/>
          </w:tcPr>
          <w:p w:rsidR="00BC4C86" w:rsidRPr="00D47800" w:rsidP="00591C29" w14:paraId="4D8E2EB2" w14:textId="77777777">
            <w:pPr>
              <w:rPr>
                <w:b/>
                <w:sz w:val="22"/>
                <w:szCs w:val="22"/>
              </w:rPr>
            </w:pPr>
            <w:r w:rsidRPr="00D47800">
              <w:rPr>
                <w:b/>
                <w:sz w:val="22"/>
                <w:szCs w:val="22"/>
              </w:rPr>
              <w:t>Total Indirect Cost</w:t>
            </w:r>
          </w:p>
        </w:tc>
        <w:tc>
          <w:tcPr>
            <w:tcW w:w="2613" w:type="dxa"/>
          </w:tcPr>
          <w:p w:rsidR="00BC4C86" w:rsidRPr="00D47800" w:rsidP="00591C29" w14:paraId="62A2492A" w14:textId="77777777">
            <w:pPr>
              <w:rPr>
                <w:sz w:val="22"/>
                <w:szCs w:val="22"/>
              </w:rPr>
            </w:pPr>
            <w:r w:rsidRPr="00D47800">
              <w:rPr>
                <w:sz w:val="22"/>
                <w:szCs w:val="22"/>
              </w:rPr>
              <w:t>Fringe, overhead, general and administrative, fee</w:t>
            </w:r>
          </w:p>
        </w:tc>
        <w:tc>
          <w:tcPr>
            <w:tcW w:w="1721" w:type="dxa"/>
          </w:tcPr>
          <w:p w:rsidR="00BC4C86" w:rsidRPr="00D47800" w:rsidP="00591C29" w14:paraId="06DDBCAF" w14:textId="3E108438">
            <w:pPr>
              <w:rPr>
                <w:sz w:val="22"/>
                <w:szCs w:val="22"/>
              </w:rPr>
            </w:pPr>
            <w:r>
              <w:rPr>
                <w:sz w:val="22"/>
                <w:szCs w:val="22"/>
              </w:rPr>
              <w:t>$</w:t>
            </w:r>
            <w:r w:rsidRPr="00D47800">
              <w:rPr>
                <w:sz w:val="22"/>
                <w:szCs w:val="22"/>
              </w:rPr>
              <w:t>2,000</w:t>
            </w:r>
          </w:p>
        </w:tc>
        <w:tc>
          <w:tcPr>
            <w:tcW w:w="1272" w:type="dxa"/>
          </w:tcPr>
          <w:p w:rsidR="00BC4C86" w:rsidRPr="00D47800" w:rsidP="00BC4C86" w14:paraId="6313538B" w14:textId="77777777">
            <w:pPr>
              <w:jc w:val="center"/>
              <w:rPr>
                <w:sz w:val="22"/>
                <w:szCs w:val="22"/>
              </w:rPr>
            </w:pPr>
          </w:p>
        </w:tc>
        <w:tc>
          <w:tcPr>
            <w:tcW w:w="1272" w:type="dxa"/>
          </w:tcPr>
          <w:p w:rsidR="00BC4C86" w:rsidRPr="00D47800" w:rsidP="00BC4C86" w14:paraId="469EB1C6" w14:textId="7EC6429A">
            <w:pPr>
              <w:jc w:val="center"/>
              <w:rPr>
                <w:sz w:val="22"/>
                <w:szCs w:val="22"/>
              </w:rPr>
            </w:pPr>
            <w:r>
              <w:rPr>
                <w:sz w:val="22"/>
                <w:szCs w:val="22"/>
              </w:rPr>
              <w:t>$2,000</w:t>
            </w:r>
          </w:p>
        </w:tc>
      </w:tr>
      <w:tr w14:paraId="1A8B9AF3" w14:textId="5116E4AD" w:rsidTr="00BC4C86">
        <w:tblPrEx>
          <w:tblW w:w="8917" w:type="dxa"/>
          <w:tblLook w:val="04A0"/>
        </w:tblPrEx>
        <w:trPr>
          <w:trHeight w:val="458"/>
        </w:trPr>
        <w:tc>
          <w:tcPr>
            <w:tcW w:w="2039" w:type="dxa"/>
          </w:tcPr>
          <w:p w:rsidR="00BC4C86" w:rsidRPr="00D47800" w:rsidP="00591C29" w14:paraId="1A512464" w14:textId="77777777">
            <w:pPr>
              <w:rPr>
                <w:b/>
                <w:sz w:val="22"/>
                <w:szCs w:val="22"/>
              </w:rPr>
            </w:pPr>
            <w:r w:rsidRPr="00D47800">
              <w:rPr>
                <w:b/>
                <w:sz w:val="22"/>
                <w:szCs w:val="22"/>
              </w:rPr>
              <w:t>Total</w:t>
            </w:r>
          </w:p>
        </w:tc>
        <w:tc>
          <w:tcPr>
            <w:tcW w:w="2613" w:type="dxa"/>
          </w:tcPr>
          <w:p w:rsidR="00BC4C86" w:rsidRPr="00D47800" w:rsidP="00591C29" w14:paraId="35EDC860" w14:textId="77777777">
            <w:pPr>
              <w:rPr>
                <w:sz w:val="22"/>
                <w:szCs w:val="22"/>
              </w:rPr>
            </w:pPr>
          </w:p>
        </w:tc>
        <w:tc>
          <w:tcPr>
            <w:tcW w:w="1721" w:type="dxa"/>
          </w:tcPr>
          <w:p w:rsidR="00BC4C86" w:rsidRPr="00BC4C86" w:rsidP="00591C29" w14:paraId="7E2CDF9E" w14:textId="0EF2EDBB">
            <w:pPr>
              <w:rPr>
                <w:sz w:val="22"/>
                <w:szCs w:val="22"/>
              </w:rPr>
            </w:pPr>
          </w:p>
        </w:tc>
        <w:tc>
          <w:tcPr>
            <w:tcW w:w="1272" w:type="dxa"/>
          </w:tcPr>
          <w:p w:rsidR="00BC4C86" w:rsidRPr="00D47800" w:rsidP="00BC4C86" w14:paraId="7676DE0B" w14:textId="77777777">
            <w:pPr>
              <w:jc w:val="center"/>
              <w:rPr>
                <w:b/>
                <w:bCs/>
                <w:sz w:val="22"/>
                <w:szCs w:val="22"/>
              </w:rPr>
            </w:pPr>
          </w:p>
        </w:tc>
        <w:tc>
          <w:tcPr>
            <w:tcW w:w="1272" w:type="dxa"/>
          </w:tcPr>
          <w:p w:rsidR="00BC4C86" w:rsidRPr="00D47800" w:rsidP="00BC4C86" w14:paraId="764FA254" w14:textId="58CEC1F0">
            <w:pPr>
              <w:jc w:val="center"/>
              <w:rPr>
                <w:b/>
                <w:bCs/>
                <w:sz w:val="22"/>
                <w:szCs w:val="22"/>
              </w:rPr>
            </w:pPr>
            <w:r>
              <w:rPr>
                <w:b/>
                <w:bCs/>
                <w:sz w:val="22"/>
                <w:szCs w:val="22"/>
              </w:rPr>
              <w:t>$14,000</w:t>
            </w:r>
          </w:p>
        </w:tc>
      </w:tr>
    </w:tbl>
    <w:p w:rsidR="00873BFC" w:rsidRPr="00D47800" w:rsidP="00873BFC" w14:paraId="2C2CF4D2" w14:textId="77777777">
      <w:pPr>
        <w:rPr>
          <w:sz w:val="22"/>
          <w:szCs w:val="22"/>
        </w:rPr>
      </w:pPr>
    </w:p>
    <w:p w:rsidR="00873BFC" w:rsidRPr="00D47800" w:rsidP="00705A6A" w14:paraId="17370E3B" w14:textId="50FDA4D8">
      <w:pPr>
        <w:pStyle w:val="Style1"/>
      </w:pPr>
      <w:bookmarkStart w:id="14" w:name="_Toc121838469"/>
      <w:r w:rsidRPr="00D47800">
        <w:t>Section A.15. Explanation for Program Changes or Adjustments</w:t>
      </w:r>
      <w:bookmarkEnd w:id="14"/>
    </w:p>
    <w:p w:rsidR="007A4EB7" w:rsidRPr="00D47800" w:rsidP="007A4EB7" w14:paraId="48B91CC6" w14:textId="77777777">
      <w:pPr>
        <w:spacing w:before="100" w:beforeAutospacing="1" w:after="100" w:afterAutospacing="1"/>
        <w:rPr>
          <w:sz w:val="22"/>
          <w:szCs w:val="22"/>
        </w:rPr>
      </w:pPr>
      <w:r w:rsidRPr="00D47800">
        <w:rPr>
          <w:sz w:val="22"/>
          <w:szCs w:val="22"/>
        </w:rPr>
        <w:t xml:space="preserve">A minor, non-substantive clarification was made to Question 1 of the Parent Survey 2 instrument. During prior data collection, some respondents indicated that they were unsure why they were being asked this question. To address this confusion and improve clarity, a brief explanatory note was added. The question wording itself remains unchanged. The only revision is the addition of a clarifying note explaining why the question is being presented to the respondent. Current Question Text (with clarification): </w:t>
      </w:r>
      <w:r w:rsidRPr="00D47800">
        <w:rPr>
          <w:sz w:val="22"/>
          <w:szCs w:val="22"/>
        </w:rPr>
        <w:t xml:space="preserve">Parent Survey 2 Question 1. Who did you share your child's missed developmental milestones or concerns with? Select all that apply. </w:t>
      </w:r>
      <w:r w:rsidRPr="00D47800">
        <w:rPr>
          <w:i/>
          <w:iCs/>
          <w:sz w:val="22"/>
          <w:szCs w:val="22"/>
        </w:rPr>
        <w:t>Note: You are being asked this question because you selected that your child may be missing a milestone or has a developmental concern.</w:t>
      </w:r>
    </w:p>
    <w:p w:rsidR="007A4EB7" w:rsidRPr="00D47800" w:rsidP="007A4EB7" w14:paraId="0091A3FC" w14:textId="77777777">
      <w:pPr>
        <w:spacing w:before="100" w:beforeAutospacing="1" w:after="100" w:afterAutospacing="1"/>
        <w:rPr>
          <w:sz w:val="22"/>
          <w:szCs w:val="22"/>
        </w:rPr>
      </w:pPr>
      <w:r w:rsidRPr="00D47800">
        <w:rPr>
          <w:sz w:val="22"/>
          <w:szCs w:val="22"/>
        </w:rPr>
        <w:t>This clarification does not change the intent, meaning, or response options of the question. It does not alter the methodology, data elements collected, or estimated burden per response. The estimated time per response remains five (5) minutes. This revision is intended solely to improve respondent understanding and reduce confusion.</w:t>
      </w:r>
    </w:p>
    <w:p w:rsidR="007A4EB7" w:rsidRPr="00D47800" w:rsidP="007A4EB7" w14:paraId="6E4CBC08" w14:textId="77777777">
      <w:pPr>
        <w:spacing w:before="100" w:beforeAutospacing="1" w:after="100" w:afterAutospacing="1"/>
        <w:rPr>
          <w:sz w:val="22"/>
          <w:szCs w:val="22"/>
        </w:rPr>
      </w:pPr>
      <w:r w:rsidRPr="00D47800">
        <w:rPr>
          <w:sz w:val="22"/>
          <w:szCs w:val="22"/>
        </w:rPr>
        <w:t>Additionally, an adjustment to previously approved burden estimates is included in the 2026 revision. The original 2023 estimates were developed when this was a new data collection, and no historical response data were available. As a result, projected response totals were calculated by estimated participation levels based on the total number of lifetime app downloads rather than actual survey data. Survey data collected from 2023 through 2026 indicate that actual response levels were substantially lower th</w:t>
      </w:r>
      <w:r w:rsidRPr="00D47800">
        <w:rPr>
          <w:sz w:val="22"/>
          <w:szCs w:val="22"/>
        </w:rPr>
        <w:t xml:space="preserve">an originally estimated. Accordingly, the number of respondents and total annual burden hours have been adjusted to align with observed participation trends. </w:t>
      </w:r>
    </w:p>
    <w:p w:rsidR="007A4EB7" w:rsidRPr="00D47800" w:rsidP="372F707A" w14:paraId="10D675AC" w14:textId="2F8CAB53">
      <w:pPr>
        <w:spacing w:before="100" w:beforeAutospacing="1" w:after="100" w:afterAutospacing="1"/>
        <w:rPr>
          <w:sz w:val="22"/>
          <w:szCs w:val="22"/>
        </w:rPr>
      </w:pPr>
      <w:r w:rsidRPr="372F707A">
        <w:rPr>
          <w:sz w:val="22"/>
          <w:szCs w:val="22"/>
        </w:rPr>
        <w:t>There are no additional changes to the data collection instruments, methodology, or frequency of collection. The estimated average time per response across all surveys remains unchanged at five (5) minutes. The revised 2026 response estimates are rounded up to the nearest 100 or 1,000 to ensure estimates do not understate expected burden. These adjustments reflect updated burden estimates based on actual survey data and do not represent changes to the scope or intent of the collection. The previously approv</w:t>
      </w:r>
      <w:r w:rsidRPr="372F707A">
        <w:rPr>
          <w:sz w:val="22"/>
          <w:szCs w:val="22"/>
        </w:rPr>
        <w:t>ed annual burden was 41,667 hours. Based on actual participation data collected from 2023–2026, the revised annual burden estimate is 2,4</w:t>
      </w:r>
      <w:r w:rsidRPr="372F707A" w:rsidR="6D5FA397">
        <w:rPr>
          <w:sz w:val="22"/>
          <w:szCs w:val="22"/>
        </w:rPr>
        <w:t>19</w:t>
      </w:r>
      <w:r w:rsidRPr="372F707A">
        <w:rPr>
          <w:sz w:val="22"/>
          <w:szCs w:val="22"/>
        </w:rPr>
        <w:t xml:space="preserve"> hours, reflecting a net reduction of </w:t>
      </w:r>
      <w:r w:rsidRPr="372F707A" w:rsidR="0893E172">
        <w:rPr>
          <w:sz w:val="22"/>
          <w:szCs w:val="22"/>
        </w:rPr>
        <w:t>39,248</w:t>
      </w:r>
      <w:r w:rsidRPr="372F707A">
        <w:rPr>
          <w:sz w:val="22"/>
          <w:szCs w:val="22"/>
        </w:rPr>
        <w:t xml:space="preserve"> burden hours.</w:t>
      </w:r>
    </w:p>
    <w:p w:rsidR="007A4EB7" w:rsidRPr="00D47800" w:rsidP="007A4EB7" w14:paraId="0E6D02C2" w14:textId="6E2ABB90">
      <w:pPr>
        <w:spacing w:before="100" w:beforeAutospacing="1" w:after="100" w:afterAutospacing="1"/>
        <w:rPr>
          <w:b/>
          <w:bCs/>
          <w:i/>
          <w:iCs/>
          <w:sz w:val="22"/>
          <w:szCs w:val="22"/>
        </w:rPr>
      </w:pPr>
      <w:r w:rsidRPr="00D47800">
        <w:rPr>
          <w:b/>
          <w:bCs/>
          <w:i/>
          <w:iCs/>
          <w:sz w:val="22"/>
          <w:szCs w:val="22"/>
        </w:rPr>
        <w:t xml:space="preserve">A.3 2023 &amp; 2026 Comparison of the Number of Responses and Burden Hours </w:t>
      </w:r>
    </w:p>
    <w:tbl>
      <w:tblPr>
        <w:tblStyle w:val="TableGrid"/>
        <w:tblW w:w="0" w:type="auto"/>
        <w:tblLook w:val="04A0"/>
      </w:tblPr>
      <w:tblGrid>
        <w:gridCol w:w="1340"/>
        <w:gridCol w:w="1471"/>
        <w:gridCol w:w="1296"/>
        <w:gridCol w:w="1420"/>
        <w:gridCol w:w="1554"/>
        <w:gridCol w:w="1230"/>
        <w:gridCol w:w="1039"/>
      </w:tblGrid>
      <w:tr w14:paraId="66E3D44F" w14:textId="77777777" w:rsidTr="372F707A">
        <w:tblPrEx>
          <w:tblW w:w="0" w:type="auto"/>
          <w:tblLook w:val="04A0"/>
        </w:tblPrEx>
        <w:trPr>
          <w:trHeight w:val="731"/>
        </w:trPr>
        <w:tc>
          <w:tcPr>
            <w:tcW w:w="1470" w:type="dxa"/>
          </w:tcPr>
          <w:p w:rsidR="007A4EB7" w:rsidRPr="00D47800" w:rsidP="00371D01" w14:paraId="070F7398" w14:textId="77777777">
            <w:pPr>
              <w:rPr>
                <w:b/>
                <w:bCs/>
                <w:sz w:val="22"/>
                <w:szCs w:val="22"/>
              </w:rPr>
            </w:pPr>
            <w:r w:rsidRPr="00D47800">
              <w:rPr>
                <w:b/>
                <w:bCs/>
                <w:sz w:val="22"/>
                <w:szCs w:val="22"/>
              </w:rPr>
              <w:t xml:space="preserve">Form Name </w:t>
            </w:r>
          </w:p>
        </w:tc>
        <w:tc>
          <w:tcPr>
            <w:tcW w:w="1573" w:type="dxa"/>
          </w:tcPr>
          <w:p w:rsidR="007A4EB7" w:rsidRPr="00D47800" w:rsidP="00371D01" w14:paraId="76D23AA6" w14:textId="200E2CF2">
            <w:pPr>
              <w:rPr>
                <w:b/>
                <w:bCs/>
                <w:sz w:val="22"/>
                <w:szCs w:val="22"/>
              </w:rPr>
            </w:pPr>
            <w:r w:rsidRPr="372F707A">
              <w:rPr>
                <w:b/>
                <w:bCs/>
                <w:sz w:val="22"/>
                <w:szCs w:val="22"/>
              </w:rPr>
              <w:t xml:space="preserve">2023 </w:t>
            </w:r>
            <w:r w:rsidRPr="372F707A" w:rsidR="592D3254">
              <w:rPr>
                <w:b/>
                <w:bCs/>
                <w:sz w:val="22"/>
                <w:szCs w:val="22"/>
              </w:rPr>
              <w:t xml:space="preserve">Estimated </w:t>
            </w:r>
            <w:r w:rsidRPr="372F707A">
              <w:rPr>
                <w:b/>
                <w:bCs/>
                <w:sz w:val="22"/>
                <w:szCs w:val="22"/>
              </w:rPr>
              <w:t>No. of Responses</w:t>
            </w:r>
          </w:p>
        </w:tc>
        <w:tc>
          <w:tcPr>
            <w:tcW w:w="1340" w:type="dxa"/>
          </w:tcPr>
          <w:p w:rsidR="007A4EB7" w:rsidRPr="00D47800" w:rsidP="00371D01" w14:paraId="7A20E77D" w14:textId="6ACCA508">
            <w:pPr>
              <w:rPr>
                <w:b/>
                <w:bCs/>
                <w:sz w:val="22"/>
                <w:szCs w:val="22"/>
              </w:rPr>
            </w:pPr>
            <w:r w:rsidRPr="372F707A">
              <w:rPr>
                <w:b/>
                <w:bCs/>
                <w:sz w:val="22"/>
                <w:szCs w:val="22"/>
              </w:rPr>
              <w:t xml:space="preserve">2023 </w:t>
            </w:r>
            <w:r w:rsidRPr="372F707A" w:rsidR="130D5A38">
              <w:rPr>
                <w:b/>
                <w:bCs/>
                <w:sz w:val="22"/>
                <w:szCs w:val="22"/>
              </w:rPr>
              <w:t xml:space="preserve">Estimated </w:t>
            </w:r>
            <w:r w:rsidRPr="372F707A">
              <w:rPr>
                <w:b/>
                <w:bCs/>
                <w:sz w:val="22"/>
                <w:szCs w:val="22"/>
              </w:rPr>
              <w:t>Total Burden Hours</w:t>
            </w:r>
          </w:p>
        </w:tc>
        <w:tc>
          <w:tcPr>
            <w:tcW w:w="1503" w:type="dxa"/>
          </w:tcPr>
          <w:p w:rsidR="007A4EB7" w:rsidRPr="00D47800" w:rsidP="00371D01" w14:paraId="5B5DA9E8" w14:textId="77777777">
            <w:pPr>
              <w:rPr>
                <w:b/>
                <w:bCs/>
                <w:sz w:val="22"/>
                <w:szCs w:val="22"/>
              </w:rPr>
            </w:pPr>
            <w:r w:rsidRPr="00D47800">
              <w:rPr>
                <w:b/>
                <w:bCs/>
                <w:sz w:val="22"/>
                <w:szCs w:val="22"/>
              </w:rPr>
              <w:t>Actual Number of Responses (2023-2026)</w:t>
            </w:r>
          </w:p>
        </w:tc>
        <w:tc>
          <w:tcPr>
            <w:tcW w:w="1684" w:type="dxa"/>
          </w:tcPr>
          <w:p w:rsidR="007A4EB7" w:rsidRPr="00D47800" w:rsidP="00371D01" w14:paraId="334C2118" w14:textId="77777777">
            <w:pPr>
              <w:rPr>
                <w:b/>
                <w:bCs/>
                <w:sz w:val="22"/>
                <w:szCs w:val="22"/>
              </w:rPr>
            </w:pPr>
            <w:r w:rsidRPr="00D47800">
              <w:rPr>
                <w:b/>
                <w:bCs/>
                <w:sz w:val="22"/>
                <w:szCs w:val="22"/>
              </w:rPr>
              <w:t>2026 No. of Responses</w:t>
            </w:r>
          </w:p>
        </w:tc>
        <w:tc>
          <w:tcPr>
            <w:tcW w:w="1336" w:type="dxa"/>
          </w:tcPr>
          <w:p w:rsidR="007A4EB7" w:rsidRPr="00D47800" w:rsidP="00371D01" w14:paraId="0A9E5A35" w14:textId="77777777">
            <w:pPr>
              <w:rPr>
                <w:b/>
                <w:bCs/>
                <w:sz w:val="22"/>
                <w:szCs w:val="22"/>
              </w:rPr>
            </w:pPr>
            <w:r w:rsidRPr="00D47800">
              <w:rPr>
                <w:b/>
                <w:bCs/>
                <w:sz w:val="22"/>
                <w:szCs w:val="22"/>
              </w:rPr>
              <w:t xml:space="preserve">2026 Total Burden Hours </w:t>
            </w:r>
          </w:p>
        </w:tc>
        <w:tc>
          <w:tcPr>
            <w:tcW w:w="1074" w:type="dxa"/>
          </w:tcPr>
          <w:p w:rsidR="007A4EB7" w:rsidRPr="00D47800" w:rsidP="00371D01" w14:paraId="77F7577A" w14:textId="77777777">
            <w:pPr>
              <w:rPr>
                <w:b/>
                <w:bCs/>
                <w:sz w:val="22"/>
                <w:szCs w:val="22"/>
              </w:rPr>
            </w:pPr>
            <w:r w:rsidRPr="00D47800">
              <w:rPr>
                <w:b/>
                <w:bCs/>
                <w:sz w:val="22"/>
                <w:szCs w:val="22"/>
              </w:rPr>
              <w:t xml:space="preserve">Change In Burden Hours </w:t>
            </w:r>
          </w:p>
        </w:tc>
      </w:tr>
      <w:tr w14:paraId="6D41B2BC" w14:textId="77777777" w:rsidTr="372F707A">
        <w:tblPrEx>
          <w:tblW w:w="0" w:type="auto"/>
          <w:tblLook w:val="04A0"/>
        </w:tblPrEx>
        <w:trPr>
          <w:trHeight w:val="186"/>
        </w:trPr>
        <w:tc>
          <w:tcPr>
            <w:tcW w:w="1470" w:type="dxa"/>
          </w:tcPr>
          <w:p w:rsidR="007A4EB7" w:rsidRPr="00D47800" w:rsidP="00371D01" w14:paraId="4D54D79B" w14:textId="77777777">
            <w:pPr>
              <w:rPr>
                <w:sz w:val="22"/>
                <w:szCs w:val="22"/>
              </w:rPr>
            </w:pPr>
            <w:r w:rsidRPr="00D47800">
              <w:rPr>
                <w:sz w:val="22"/>
                <w:szCs w:val="22"/>
              </w:rPr>
              <w:t>Parent 1</w:t>
            </w:r>
          </w:p>
        </w:tc>
        <w:tc>
          <w:tcPr>
            <w:tcW w:w="1573" w:type="dxa"/>
          </w:tcPr>
          <w:p w:rsidR="007A4EB7" w:rsidRPr="00D47800" w:rsidP="00371D01" w14:paraId="4AE02748" w14:textId="77777777">
            <w:pPr>
              <w:rPr>
                <w:sz w:val="22"/>
                <w:szCs w:val="22"/>
              </w:rPr>
            </w:pPr>
            <w:r w:rsidRPr="00D47800">
              <w:rPr>
                <w:sz w:val="22"/>
                <w:szCs w:val="22"/>
              </w:rPr>
              <w:t>200,000</w:t>
            </w:r>
          </w:p>
        </w:tc>
        <w:tc>
          <w:tcPr>
            <w:tcW w:w="1340" w:type="dxa"/>
          </w:tcPr>
          <w:p w:rsidR="007A4EB7" w:rsidRPr="00D47800" w:rsidP="00371D01" w14:paraId="144FC40F" w14:textId="77777777">
            <w:pPr>
              <w:rPr>
                <w:sz w:val="22"/>
                <w:szCs w:val="22"/>
              </w:rPr>
            </w:pPr>
            <w:r w:rsidRPr="00D47800">
              <w:rPr>
                <w:sz w:val="22"/>
                <w:szCs w:val="22"/>
              </w:rPr>
              <w:t>16,667</w:t>
            </w:r>
          </w:p>
        </w:tc>
        <w:tc>
          <w:tcPr>
            <w:tcW w:w="1503" w:type="dxa"/>
          </w:tcPr>
          <w:p w:rsidR="007A4EB7" w:rsidRPr="00D47800" w:rsidP="00371D01" w14:paraId="53213130" w14:textId="77777777">
            <w:pPr>
              <w:rPr>
                <w:sz w:val="22"/>
                <w:szCs w:val="22"/>
              </w:rPr>
            </w:pPr>
            <w:r w:rsidRPr="00D47800">
              <w:rPr>
                <w:sz w:val="22"/>
                <w:szCs w:val="22"/>
              </w:rPr>
              <w:t>22,516</w:t>
            </w:r>
          </w:p>
        </w:tc>
        <w:tc>
          <w:tcPr>
            <w:tcW w:w="1684" w:type="dxa"/>
          </w:tcPr>
          <w:p w:rsidR="007A4EB7" w:rsidRPr="00D47800" w:rsidP="00371D01" w14:paraId="3B68F20D" w14:textId="77777777">
            <w:pPr>
              <w:rPr>
                <w:sz w:val="22"/>
                <w:szCs w:val="22"/>
              </w:rPr>
            </w:pPr>
            <w:r w:rsidRPr="00D47800">
              <w:rPr>
                <w:sz w:val="22"/>
                <w:szCs w:val="22"/>
              </w:rPr>
              <w:t>23,000</w:t>
            </w:r>
          </w:p>
        </w:tc>
        <w:tc>
          <w:tcPr>
            <w:tcW w:w="1336" w:type="dxa"/>
          </w:tcPr>
          <w:p w:rsidR="007A4EB7" w:rsidRPr="00D47800" w:rsidP="00371D01" w14:paraId="441AC0FA" w14:textId="77777777">
            <w:pPr>
              <w:rPr>
                <w:sz w:val="22"/>
                <w:szCs w:val="22"/>
              </w:rPr>
            </w:pPr>
            <w:r w:rsidRPr="00D47800">
              <w:rPr>
                <w:sz w:val="22"/>
                <w:szCs w:val="22"/>
              </w:rPr>
              <w:t>1,932</w:t>
            </w:r>
          </w:p>
        </w:tc>
        <w:tc>
          <w:tcPr>
            <w:tcW w:w="1074" w:type="dxa"/>
          </w:tcPr>
          <w:p w:rsidR="007A4EB7" w:rsidRPr="00D47800" w:rsidP="00371D01" w14:paraId="516A1202" w14:textId="77777777">
            <w:pPr>
              <w:rPr>
                <w:sz w:val="22"/>
                <w:szCs w:val="22"/>
              </w:rPr>
            </w:pPr>
            <w:r w:rsidRPr="00D47800">
              <w:rPr>
                <w:sz w:val="22"/>
                <w:szCs w:val="22"/>
              </w:rPr>
              <w:t>-14,735</w:t>
            </w:r>
          </w:p>
        </w:tc>
      </w:tr>
      <w:tr w14:paraId="43A5402F" w14:textId="77777777" w:rsidTr="372F707A">
        <w:tblPrEx>
          <w:tblW w:w="0" w:type="auto"/>
          <w:tblLook w:val="04A0"/>
        </w:tblPrEx>
        <w:trPr>
          <w:trHeight w:val="186"/>
        </w:trPr>
        <w:tc>
          <w:tcPr>
            <w:tcW w:w="1470" w:type="dxa"/>
          </w:tcPr>
          <w:p w:rsidR="007A4EB7" w:rsidRPr="00D47800" w:rsidP="00371D01" w14:paraId="0C72D89A" w14:textId="77777777">
            <w:pPr>
              <w:rPr>
                <w:sz w:val="22"/>
                <w:szCs w:val="22"/>
              </w:rPr>
            </w:pPr>
            <w:r w:rsidRPr="00D47800">
              <w:rPr>
                <w:sz w:val="22"/>
                <w:szCs w:val="22"/>
              </w:rPr>
              <w:t>Parent 2</w:t>
            </w:r>
          </w:p>
        </w:tc>
        <w:tc>
          <w:tcPr>
            <w:tcW w:w="1573" w:type="dxa"/>
          </w:tcPr>
          <w:p w:rsidR="007A4EB7" w:rsidRPr="00D47800" w:rsidP="00371D01" w14:paraId="2CEC3AA1" w14:textId="77777777">
            <w:pPr>
              <w:rPr>
                <w:sz w:val="22"/>
                <w:szCs w:val="22"/>
              </w:rPr>
            </w:pPr>
            <w:r w:rsidRPr="00D47800">
              <w:rPr>
                <w:sz w:val="22"/>
                <w:szCs w:val="22"/>
              </w:rPr>
              <w:t>200,000</w:t>
            </w:r>
          </w:p>
        </w:tc>
        <w:tc>
          <w:tcPr>
            <w:tcW w:w="1340" w:type="dxa"/>
          </w:tcPr>
          <w:p w:rsidR="007A4EB7" w:rsidRPr="00D47800" w:rsidP="00371D01" w14:paraId="7D91EC2E" w14:textId="77777777">
            <w:pPr>
              <w:rPr>
                <w:sz w:val="22"/>
                <w:szCs w:val="22"/>
              </w:rPr>
            </w:pPr>
            <w:r w:rsidRPr="00D47800">
              <w:rPr>
                <w:sz w:val="22"/>
                <w:szCs w:val="22"/>
              </w:rPr>
              <w:t>16,667</w:t>
            </w:r>
          </w:p>
        </w:tc>
        <w:tc>
          <w:tcPr>
            <w:tcW w:w="1503" w:type="dxa"/>
          </w:tcPr>
          <w:p w:rsidR="007A4EB7" w:rsidRPr="00D47800" w:rsidP="00371D01" w14:paraId="621E9BAB" w14:textId="77777777">
            <w:pPr>
              <w:rPr>
                <w:sz w:val="22"/>
                <w:szCs w:val="22"/>
              </w:rPr>
            </w:pPr>
            <w:r w:rsidRPr="00D47800">
              <w:rPr>
                <w:sz w:val="22"/>
                <w:szCs w:val="22"/>
              </w:rPr>
              <w:t>4,309</w:t>
            </w:r>
          </w:p>
        </w:tc>
        <w:tc>
          <w:tcPr>
            <w:tcW w:w="1684" w:type="dxa"/>
          </w:tcPr>
          <w:p w:rsidR="007A4EB7" w:rsidRPr="00D47800" w:rsidP="00371D01" w14:paraId="4B46CBCF" w14:textId="77777777">
            <w:pPr>
              <w:rPr>
                <w:sz w:val="22"/>
                <w:szCs w:val="22"/>
              </w:rPr>
            </w:pPr>
            <w:r w:rsidRPr="00D47800">
              <w:rPr>
                <w:sz w:val="22"/>
                <w:szCs w:val="22"/>
              </w:rPr>
              <w:t>5,000</w:t>
            </w:r>
          </w:p>
        </w:tc>
        <w:tc>
          <w:tcPr>
            <w:tcW w:w="1336" w:type="dxa"/>
          </w:tcPr>
          <w:p w:rsidR="007A4EB7" w:rsidRPr="00D47800" w:rsidP="00371D01" w14:paraId="7605921F" w14:textId="77777777">
            <w:pPr>
              <w:rPr>
                <w:sz w:val="22"/>
                <w:szCs w:val="22"/>
              </w:rPr>
            </w:pPr>
            <w:r w:rsidRPr="00D47800">
              <w:rPr>
                <w:sz w:val="22"/>
                <w:szCs w:val="22"/>
              </w:rPr>
              <w:t>420</w:t>
            </w:r>
          </w:p>
        </w:tc>
        <w:tc>
          <w:tcPr>
            <w:tcW w:w="1074" w:type="dxa"/>
          </w:tcPr>
          <w:p w:rsidR="007A4EB7" w:rsidRPr="00D47800" w:rsidP="00371D01" w14:paraId="4EC3ABDE" w14:textId="77777777">
            <w:pPr>
              <w:rPr>
                <w:sz w:val="22"/>
                <w:szCs w:val="22"/>
              </w:rPr>
            </w:pPr>
            <w:r w:rsidRPr="00D47800">
              <w:rPr>
                <w:sz w:val="22"/>
                <w:szCs w:val="22"/>
              </w:rPr>
              <w:t>-16,247</w:t>
            </w:r>
          </w:p>
        </w:tc>
      </w:tr>
      <w:tr w14:paraId="555D38C2" w14:textId="77777777" w:rsidTr="372F707A">
        <w:tblPrEx>
          <w:tblW w:w="0" w:type="auto"/>
          <w:tblLook w:val="04A0"/>
        </w:tblPrEx>
        <w:trPr>
          <w:trHeight w:val="179"/>
        </w:trPr>
        <w:tc>
          <w:tcPr>
            <w:tcW w:w="1470" w:type="dxa"/>
          </w:tcPr>
          <w:p w:rsidR="007A4EB7" w:rsidRPr="00D47800" w:rsidP="00371D01" w14:paraId="359C316D" w14:textId="77777777">
            <w:pPr>
              <w:rPr>
                <w:sz w:val="22"/>
                <w:szCs w:val="22"/>
              </w:rPr>
            </w:pPr>
            <w:r w:rsidRPr="00D47800">
              <w:rPr>
                <w:sz w:val="22"/>
                <w:szCs w:val="22"/>
              </w:rPr>
              <w:t xml:space="preserve">Provider </w:t>
            </w:r>
          </w:p>
        </w:tc>
        <w:tc>
          <w:tcPr>
            <w:tcW w:w="1573" w:type="dxa"/>
          </w:tcPr>
          <w:p w:rsidR="007A4EB7" w:rsidRPr="00D47800" w:rsidP="00371D01" w14:paraId="44210115" w14:textId="77777777">
            <w:pPr>
              <w:rPr>
                <w:sz w:val="22"/>
                <w:szCs w:val="22"/>
              </w:rPr>
            </w:pPr>
            <w:r w:rsidRPr="00D47800">
              <w:rPr>
                <w:sz w:val="22"/>
                <w:szCs w:val="22"/>
              </w:rPr>
              <w:t>100,000</w:t>
            </w:r>
          </w:p>
        </w:tc>
        <w:tc>
          <w:tcPr>
            <w:tcW w:w="1340" w:type="dxa"/>
          </w:tcPr>
          <w:p w:rsidR="007A4EB7" w:rsidRPr="00D47800" w:rsidP="00371D01" w14:paraId="41335E57" w14:textId="77777777">
            <w:pPr>
              <w:rPr>
                <w:sz w:val="22"/>
                <w:szCs w:val="22"/>
              </w:rPr>
            </w:pPr>
            <w:r w:rsidRPr="00D47800">
              <w:rPr>
                <w:sz w:val="22"/>
                <w:szCs w:val="22"/>
              </w:rPr>
              <w:t>8,333</w:t>
            </w:r>
          </w:p>
        </w:tc>
        <w:tc>
          <w:tcPr>
            <w:tcW w:w="1503" w:type="dxa"/>
          </w:tcPr>
          <w:p w:rsidR="007A4EB7" w:rsidRPr="00D47800" w:rsidP="00371D01" w14:paraId="6AB71608" w14:textId="77777777">
            <w:pPr>
              <w:rPr>
                <w:sz w:val="22"/>
                <w:szCs w:val="22"/>
              </w:rPr>
            </w:pPr>
            <w:r w:rsidRPr="00D47800">
              <w:rPr>
                <w:sz w:val="22"/>
                <w:szCs w:val="22"/>
              </w:rPr>
              <w:t>756</w:t>
            </w:r>
          </w:p>
        </w:tc>
        <w:tc>
          <w:tcPr>
            <w:tcW w:w="1684" w:type="dxa"/>
          </w:tcPr>
          <w:p w:rsidR="007A4EB7" w:rsidRPr="00D47800" w:rsidP="00371D01" w14:paraId="0CD5165D" w14:textId="77777777">
            <w:pPr>
              <w:rPr>
                <w:sz w:val="22"/>
                <w:szCs w:val="22"/>
              </w:rPr>
            </w:pPr>
            <w:r w:rsidRPr="00D47800">
              <w:rPr>
                <w:sz w:val="22"/>
                <w:szCs w:val="22"/>
              </w:rPr>
              <w:t>800</w:t>
            </w:r>
          </w:p>
        </w:tc>
        <w:tc>
          <w:tcPr>
            <w:tcW w:w="1336" w:type="dxa"/>
          </w:tcPr>
          <w:p w:rsidR="007A4EB7" w:rsidRPr="00D47800" w:rsidP="00371D01" w14:paraId="65C79F03" w14:textId="77777777">
            <w:pPr>
              <w:rPr>
                <w:sz w:val="22"/>
                <w:szCs w:val="22"/>
              </w:rPr>
            </w:pPr>
            <w:r w:rsidRPr="00D47800">
              <w:rPr>
                <w:sz w:val="22"/>
                <w:szCs w:val="22"/>
              </w:rPr>
              <w:t>67</w:t>
            </w:r>
          </w:p>
        </w:tc>
        <w:tc>
          <w:tcPr>
            <w:tcW w:w="1074" w:type="dxa"/>
          </w:tcPr>
          <w:p w:rsidR="007A4EB7" w:rsidRPr="00D47800" w:rsidP="00371D01" w14:paraId="362C1CE4" w14:textId="77777777">
            <w:pPr>
              <w:rPr>
                <w:sz w:val="22"/>
                <w:szCs w:val="22"/>
              </w:rPr>
            </w:pPr>
            <w:r w:rsidRPr="00D47800">
              <w:rPr>
                <w:sz w:val="22"/>
                <w:szCs w:val="22"/>
              </w:rPr>
              <w:t>-8,266</w:t>
            </w:r>
          </w:p>
        </w:tc>
      </w:tr>
      <w:tr w14:paraId="6EC0DD09" w14:textId="77777777" w:rsidTr="372F707A">
        <w:tblPrEx>
          <w:tblW w:w="0" w:type="auto"/>
          <w:tblLook w:val="04A0"/>
        </w:tblPrEx>
        <w:trPr>
          <w:trHeight w:val="179"/>
        </w:trPr>
        <w:tc>
          <w:tcPr>
            <w:tcW w:w="1470" w:type="dxa"/>
          </w:tcPr>
          <w:p w:rsidR="007A4EB7" w:rsidRPr="00D47800" w:rsidP="00371D01" w14:paraId="745753D3" w14:textId="77777777">
            <w:pPr>
              <w:rPr>
                <w:b/>
                <w:bCs/>
                <w:sz w:val="22"/>
                <w:szCs w:val="22"/>
              </w:rPr>
            </w:pPr>
            <w:r w:rsidRPr="00D47800">
              <w:rPr>
                <w:b/>
                <w:bCs/>
                <w:sz w:val="22"/>
                <w:szCs w:val="22"/>
              </w:rPr>
              <w:t>Total</w:t>
            </w:r>
          </w:p>
        </w:tc>
        <w:tc>
          <w:tcPr>
            <w:tcW w:w="1573" w:type="dxa"/>
          </w:tcPr>
          <w:p w:rsidR="007A4EB7" w:rsidRPr="00D47800" w:rsidP="00371D01" w14:paraId="5537AE54" w14:textId="77777777">
            <w:pPr>
              <w:rPr>
                <w:b/>
                <w:bCs/>
                <w:sz w:val="22"/>
                <w:szCs w:val="22"/>
              </w:rPr>
            </w:pPr>
            <w:r w:rsidRPr="00D47800">
              <w:rPr>
                <w:b/>
                <w:bCs/>
                <w:sz w:val="22"/>
                <w:szCs w:val="22"/>
              </w:rPr>
              <w:t>500,000</w:t>
            </w:r>
          </w:p>
        </w:tc>
        <w:tc>
          <w:tcPr>
            <w:tcW w:w="1340" w:type="dxa"/>
          </w:tcPr>
          <w:p w:rsidR="007A4EB7" w:rsidRPr="00D47800" w:rsidP="00371D01" w14:paraId="54279CEA" w14:textId="09609043">
            <w:pPr>
              <w:rPr>
                <w:b/>
                <w:bCs/>
                <w:sz w:val="22"/>
                <w:szCs w:val="22"/>
              </w:rPr>
            </w:pPr>
            <w:r w:rsidRPr="372F707A">
              <w:rPr>
                <w:b/>
                <w:bCs/>
                <w:sz w:val="22"/>
                <w:szCs w:val="22"/>
              </w:rPr>
              <w:t>41,667</w:t>
            </w:r>
          </w:p>
        </w:tc>
        <w:tc>
          <w:tcPr>
            <w:tcW w:w="1503" w:type="dxa"/>
          </w:tcPr>
          <w:p w:rsidR="007A4EB7" w:rsidRPr="00D47800" w:rsidP="00371D01" w14:paraId="0EBB9307" w14:textId="77777777">
            <w:pPr>
              <w:rPr>
                <w:b/>
                <w:bCs/>
                <w:sz w:val="22"/>
                <w:szCs w:val="22"/>
              </w:rPr>
            </w:pPr>
            <w:r w:rsidRPr="00D47800">
              <w:rPr>
                <w:b/>
                <w:bCs/>
                <w:sz w:val="22"/>
                <w:szCs w:val="22"/>
              </w:rPr>
              <w:t>27,581</w:t>
            </w:r>
          </w:p>
        </w:tc>
        <w:tc>
          <w:tcPr>
            <w:tcW w:w="1684" w:type="dxa"/>
          </w:tcPr>
          <w:p w:rsidR="007A4EB7" w:rsidRPr="00D47800" w:rsidP="00371D01" w14:paraId="4D043B19" w14:textId="77777777">
            <w:pPr>
              <w:rPr>
                <w:b/>
                <w:bCs/>
                <w:sz w:val="22"/>
                <w:szCs w:val="22"/>
              </w:rPr>
            </w:pPr>
            <w:r w:rsidRPr="00D47800">
              <w:rPr>
                <w:b/>
                <w:bCs/>
                <w:sz w:val="22"/>
                <w:szCs w:val="22"/>
              </w:rPr>
              <w:t>28,800</w:t>
            </w:r>
          </w:p>
        </w:tc>
        <w:tc>
          <w:tcPr>
            <w:tcW w:w="1336" w:type="dxa"/>
          </w:tcPr>
          <w:p w:rsidR="007A4EB7" w:rsidRPr="00D47800" w:rsidP="00371D01" w14:paraId="365C19D4" w14:textId="77777777">
            <w:pPr>
              <w:rPr>
                <w:b/>
                <w:bCs/>
                <w:sz w:val="22"/>
                <w:szCs w:val="22"/>
              </w:rPr>
            </w:pPr>
            <w:r w:rsidRPr="00D47800">
              <w:rPr>
                <w:b/>
                <w:bCs/>
                <w:sz w:val="22"/>
                <w:szCs w:val="22"/>
              </w:rPr>
              <w:t>2,419</w:t>
            </w:r>
          </w:p>
        </w:tc>
        <w:tc>
          <w:tcPr>
            <w:tcW w:w="1074" w:type="dxa"/>
          </w:tcPr>
          <w:p w:rsidR="007A4EB7" w:rsidRPr="00D47800" w:rsidP="00371D01" w14:paraId="0657BB80" w14:textId="72F5BDDA">
            <w:pPr>
              <w:rPr>
                <w:b/>
                <w:bCs/>
                <w:sz w:val="22"/>
                <w:szCs w:val="22"/>
              </w:rPr>
            </w:pPr>
            <w:r w:rsidRPr="372F707A">
              <w:rPr>
                <w:b/>
                <w:bCs/>
                <w:sz w:val="22"/>
                <w:szCs w:val="22"/>
              </w:rPr>
              <w:t>-39,</w:t>
            </w:r>
            <w:r w:rsidRPr="372F707A" w:rsidR="65E1109C">
              <w:rPr>
                <w:b/>
                <w:bCs/>
                <w:sz w:val="22"/>
                <w:szCs w:val="22"/>
              </w:rPr>
              <w:t>248</w:t>
            </w:r>
          </w:p>
        </w:tc>
      </w:tr>
    </w:tbl>
    <w:p w:rsidR="00873BFC" w:rsidRPr="00D47800" w:rsidP="00873BFC" w14:paraId="3AE1962E" w14:textId="77777777">
      <w:pPr>
        <w:rPr>
          <w:sz w:val="22"/>
          <w:szCs w:val="22"/>
        </w:rPr>
      </w:pPr>
    </w:p>
    <w:p w:rsidR="00873BFC" w:rsidRPr="00D47800" w:rsidP="00705A6A" w14:paraId="0D50E213" w14:textId="2CF6D0FD">
      <w:pPr>
        <w:pStyle w:val="Style1"/>
      </w:pPr>
      <w:bookmarkStart w:id="15" w:name="_Toc121838470"/>
      <w:r w:rsidRPr="00D47800">
        <w:t>Section A.16. Plans for Tabulation and Publication and Project Time Schedule</w:t>
      </w:r>
      <w:bookmarkEnd w:id="15"/>
    </w:p>
    <w:p w:rsidR="00391309" w:rsidRPr="00D47800" w:rsidP="00391309" w14:paraId="2A2D4C13" w14:textId="49123894">
      <w:pPr>
        <w:rPr>
          <w:sz w:val="22"/>
          <w:szCs w:val="22"/>
        </w:rPr>
      </w:pPr>
      <w:r w:rsidRPr="00D47800">
        <w:rPr>
          <w:sz w:val="22"/>
          <w:szCs w:val="22"/>
        </w:rPr>
        <w:t xml:space="preserve">Following OMB approval, the surveys will be launched on a secure, web-based survey platform. Survey links will be distributed to users via in-app notifications </w:t>
      </w:r>
      <w:r w:rsidRPr="00D47800" w:rsidR="0001341B">
        <w:rPr>
          <w:sz w:val="22"/>
          <w:szCs w:val="22"/>
        </w:rPr>
        <w:t>in the Milestone Tracker app and will be tailored to user profile information (e.g.</w:t>
      </w:r>
      <w:r w:rsidRPr="00D47800">
        <w:rPr>
          <w:sz w:val="22"/>
          <w:szCs w:val="22"/>
        </w:rPr>
        <w:t xml:space="preserve">, parent or provider). Participation in each survey will be monitored </w:t>
      </w:r>
      <w:r w:rsidRPr="00D47800" w:rsidR="0001341B">
        <w:rPr>
          <w:sz w:val="22"/>
          <w:szCs w:val="22"/>
        </w:rPr>
        <w:t>continuously</w:t>
      </w:r>
      <w:r w:rsidRPr="00D47800">
        <w:rPr>
          <w:sz w:val="22"/>
          <w:szCs w:val="22"/>
        </w:rPr>
        <w:t>.</w:t>
      </w:r>
    </w:p>
    <w:p w:rsidR="00391309" w:rsidRPr="00D47800" w:rsidP="00391309" w14:paraId="26CC50EB" w14:textId="77777777">
      <w:pPr>
        <w:rPr>
          <w:sz w:val="22"/>
          <w:szCs w:val="22"/>
        </w:rPr>
      </w:pPr>
    </w:p>
    <w:p w:rsidR="00391309" w:rsidRPr="00D47800" w:rsidP="00391309" w14:paraId="0748FCF3" w14:textId="5E7EA44E">
      <w:pPr>
        <w:rPr>
          <w:sz w:val="22"/>
          <w:szCs w:val="22"/>
        </w:rPr>
      </w:pPr>
      <w:r w:rsidRPr="00D47800">
        <w:rPr>
          <w:sz w:val="22"/>
          <w:szCs w:val="22"/>
        </w:rPr>
        <w:t xml:space="preserve">Survey data will be collected on a rolling basis and securely stored within CDC’s internal systems. CDC staff will update and review data </w:t>
      </w:r>
      <w:r w:rsidRPr="00D47800" w:rsidR="0001341B">
        <w:rPr>
          <w:sz w:val="22"/>
          <w:szCs w:val="22"/>
        </w:rPr>
        <w:t>monthly</w:t>
      </w:r>
      <w:r w:rsidRPr="00D47800">
        <w:rPr>
          <w:sz w:val="22"/>
          <w:szCs w:val="22"/>
        </w:rPr>
        <w:t xml:space="preserve"> using a programmed reporting dashboard. This dashboard will support routine monitoring of response rates, key indicators, and summary statistics.</w:t>
      </w:r>
    </w:p>
    <w:p w:rsidR="00391309" w:rsidRPr="00D47800" w:rsidP="00391309" w14:paraId="161CA4E3" w14:textId="77777777">
      <w:pPr>
        <w:rPr>
          <w:sz w:val="22"/>
          <w:szCs w:val="22"/>
        </w:rPr>
      </w:pPr>
    </w:p>
    <w:p w:rsidR="00391309" w:rsidRPr="00D47800" w:rsidP="00391309" w14:paraId="63EE4B30" w14:textId="77777777">
      <w:pPr>
        <w:rPr>
          <w:sz w:val="22"/>
          <w:szCs w:val="22"/>
        </w:rPr>
      </w:pPr>
      <w:r w:rsidRPr="00D47800">
        <w:rPr>
          <w:sz w:val="22"/>
          <w:szCs w:val="22"/>
        </w:rPr>
        <w:t>Data will be analyzed on a quarterly and annual basis to assess app use, user satisfaction, and outcomes related to developmental monitoring and follow-up actions. Summary reports will be generated monthly to support ongoing program monitoring and quality improvement.</w:t>
      </w:r>
    </w:p>
    <w:p w:rsidR="00391309" w:rsidRPr="00D47800" w:rsidP="00391309" w14:paraId="47C76F84" w14:textId="77777777">
      <w:pPr>
        <w:rPr>
          <w:sz w:val="22"/>
          <w:szCs w:val="22"/>
        </w:rPr>
      </w:pPr>
    </w:p>
    <w:p w:rsidR="0044277B" w:rsidRPr="00D47800" w:rsidP="00391309" w14:paraId="6A9AA70B" w14:textId="3F6F35A8">
      <w:pPr>
        <w:rPr>
          <w:sz w:val="22"/>
          <w:szCs w:val="22"/>
        </w:rPr>
      </w:pPr>
      <w:r w:rsidRPr="00D47800">
        <w:rPr>
          <w:sz w:val="22"/>
          <w:szCs w:val="22"/>
        </w:rPr>
        <w:t xml:space="preserve">The data collection will be conducted over </w:t>
      </w:r>
      <w:r w:rsidRPr="00D47800" w:rsidR="009C3366">
        <w:rPr>
          <w:sz w:val="22"/>
          <w:szCs w:val="22"/>
        </w:rPr>
        <w:t>three years</w:t>
      </w:r>
      <w:r w:rsidRPr="00D47800">
        <w:rPr>
          <w:sz w:val="22"/>
          <w:szCs w:val="22"/>
        </w:rPr>
        <w:t xml:space="preserve">, consistent with the requested OMB approval timeframe. Findings may be used for internal program improvement and may </w:t>
      </w:r>
      <w:r w:rsidRPr="00D47800" w:rsidR="009C3366">
        <w:rPr>
          <w:sz w:val="22"/>
          <w:szCs w:val="22"/>
        </w:rPr>
        <w:t>be</w:t>
      </w:r>
      <w:r w:rsidRPr="00D47800">
        <w:rPr>
          <w:sz w:val="22"/>
          <w:szCs w:val="22"/>
        </w:rPr>
        <w:t xml:space="preserve"> summarized in reports, presentations, or publications, as appropriate.</w:t>
      </w:r>
    </w:p>
    <w:p w:rsidR="009C3366" w:rsidRPr="00D47800" w:rsidP="00391309" w14:paraId="59D0E504" w14:textId="77777777">
      <w:pPr>
        <w:rPr>
          <w:sz w:val="22"/>
          <w:szCs w:val="22"/>
        </w:rPr>
      </w:pPr>
    </w:p>
    <w:tbl>
      <w:tblPr>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
      <w:tblGrid>
        <w:gridCol w:w="1827"/>
        <w:gridCol w:w="3376"/>
        <w:gridCol w:w="3005"/>
      </w:tblGrid>
      <w:tr w14:paraId="143ED4A9" w14:textId="77777777" w:rsidTr="00191448">
        <w:tblPrEx>
          <w:tblW w:w="8208" w:type="dxa"/>
          <w:jc w:val="center"/>
          <w:tblBorders>
            <w:top w:val="single" w:sz="18" w:space="0" w:color="333333"/>
            <w:left w:val="single" w:sz="18" w:space="0" w:color="333333"/>
            <w:bottom w:val="single" w:sz="18" w:space="0" w:color="333333"/>
            <w:right w:val="single" w:sz="18" w:space="0" w:color="333333"/>
            <w:insideH w:val="single" w:sz="6" w:space="0" w:color="auto"/>
            <w:insideV w:val="single" w:sz="6" w:space="0" w:color="auto"/>
          </w:tblBorders>
          <w:tblLook w:val="01E0"/>
        </w:tblPrEx>
        <w:trPr>
          <w:jc w:val="center"/>
        </w:trPr>
        <w:tc>
          <w:tcPr>
            <w:tcW w:w="8208" w:type="dxa"/>
            <w:gridSpan w:val="3"/>
            <w:tcBorders>
              <w:top w:val="single" w:sz="6" w:space="0" w:color="auto"/>
              <w:bottom w:val="single" w:sz="6" w:space="0" w:color="auto"/>
            </w:tcBorders>
            <w:shd w:val="clear" w:color="auto" w:fill="BFBFBF"/>
          </w:tcPr>
          <w:p w:rsidR="0044277B" w:rsidRPr="00D47800" w:rsidP="00191448" w14:paraId="4A074715" w14:textId="77777777">
            <w:pPr>
              <w:spacing w:before="48" w:beforeLines="20" w:after="48" w:afterLines="20"/>
              <w:ind w:left="33"/>
              <w:jc w:val="center"/>
              <w:rPr>
                <w:b/>
                <w:sz w:val="22"/>
                <w:szCs w:val="22"/>
              </w:rPr>
            </w:pPr>
            <w:r w:rsidRPr="00D47800">
              <w:rPr>
                <w:b/>
                <w:sz w:val="22"/>
                <w:szCs w:val="22"/>
              </w:rPr>
              <w:t xml:space="preserve">A.16.—Milestone Tracker evaluation Project Time Schedule </w:t>
            </w:r>
          </w:p>
        </w:tc>
      </w:tr>
      <w:tr w14:paraId="0B078B86" w14:textId="77777777" w:rsidTr="00191448">
        <w:tblPrEx>
          <w:tblW w:w="8208" w:type="dxa"/>
          <w:jc w:val="center"/>
          <w:tblLook w:val="01E0"/>
        </w:tblPrEx>
        <w:trPr>
          <w:jc w:val="center"/>
        </w:trPr>
        <w:tc>
          <w:tcPr>
            <w:tcW w:w="1827" w:type="dxa"/>
            <w:tcBorders>
              <w:top w:val="single" w:sz="6" w:space="0" w:color="auto"/>
              <w:bottom w:val="single" w:sz="6" w:space="0" w:color="auto"/>
            </w:tcBorders>
            <w:shd w:val="clear" w:color="auto" w:fill="BFBFBF"/>
          </w:tcPr>
          <w:p w:rsidR="0044277B" w:rsidRPr="00D47800" w:rsidP="00191448" w14:paraId="49711DAD" w14:textId="77777777">
            <w:pPr>
              <w:spacing w:before="48" w:after="48"/>
              <w:ind w:left="33"/>
              <w:jc w:val="center"/>
              <w:rPr>
                <w:b/>
                <w:sz w:val="22"/>
                <w:szCs w:val="22"/>
              </w:rPr>
            </w:pPr>
            <w:r w:rsidRPr="00D47800">
              <w:rPr>
                <w:b/>
                <w:sz w:val="22"/>
                <w:szCs w:val="22"/>
              </w:rPr>
              <w:t>Activity</w:t>
            </w:r>
          </w:p>
        </w:tc>
        <w:tc>
          <w:tcPr>
            <w:tcW w:w="6381" w:type="dxa"/>
            <w:gridSpan w:val="2"/>
            <w:tcBorders>
              <w:top w:val="single" w:sz="6" w:space="0" w:color="auto"/>
              <w:bottom w:val="single" w:sz="6" w:space="0" w:color="auto"/>
            </w:tcBorders>
            <w:shd w:val="clear" w:color="auto" w:fill="BFBFBF"/>
          </w:tcPr>
          <w:p w:rsidR="0044277B" w:rsidRPr="00D47800" w:rsidP="00191448" w14:paraId="138C5E3A" w14:textId="77777777">
            <w:pPr>
              <w:spacing w:before="48" w:after="48"/>
              <w:ind w:left="33"/>
              <w:jc w:val="center"/>
              <w:rPr>
                <w:b/>
                <w:sz w:val="22"/>
                <w:szCs w:val="22"/>
              </w:rPr>
            </w:pPr>
            <w:r w:rsidRPr="00D47800">
              <w:rPr>
                <w:b/>
                <w:sz w:val="22"/>
                <w:szCs w:val="22"/>
              </w:rPr>
              <w:t>Timeframe</w:t>
            </w:r>
          </w:p>
        </w:tc>
      </w:tr>
      <w:tr w14:paraId="1612BD59" w14:textId="77777777" w:rsidTr="00191448">
        <w:tblPrEx>
          <w:tblW w:w="8208" w:type="dxa"/>
          <w:jc w:val="center"/>
          <w:tblLook w:val="01E0"/>
        </w:tblPrEx>
        <w:trPr>
          <w:trHeight w:val="1008"/>
          <w:jc w:val="center"/>
        </w:trPr>
        <w:tc>
          <w:tcPr>
            <w:tcW w:w="1827" w:type="dxa"/>
            <w:tcBorders>
              <w:top w:val="single" w:sz="6" w:space="0" w:color="auto"/>
              <w:bottom w:val="single" w:sz="6" w:space="0" w:color="auto"/>
            </w:tcBorders>
          </w:tcPr>
          <w:p w:rsidR="0044277B" w:rsidRPr="00D47800" w:rsidP="00191448" w14:paraId="3B804CDA" w14:textId="4E9C4448">
            <w:pPr>
              <w:spacing w:before="48" w:beforeLines="20" w:after="48" w:afterLines="20"/>
              <w:ind w:left="33"/>
              <w:rPr>
                <w:sz w:val="22"/>
                <w:szCs w:val="22"/>
              </w:rPr>
            </w:pPr>
            <w:r w:rsidRPr="00D47800">
              <w:rPr>
                <w:sz w:val="22"/>
                <w:szCs w:val="22"/>
              </w:rPr>
              <w:t xml:space="preserve">Invite participants to take </w:t>
            </w:r>
            <w:r w:rsidRPr="00D47800" w:rsidR="009C3366">
              <w:rPr>
                <w:sz w:val="22"/>
                <w:szCs w:val="22"/>
              </w:rPr>
              <w:t xml:space="preserve">the </w:t>
            </w:r>
            <w:r w:rsidRPr="00D47800">
              <w:rPr>
                <w:sz w:val="22"/>
                <w:szCs w:val="22"/>
              </w:rPr>
              <w:t xml:space="preserve">survey via </w:t>
            </w:r>
            <w:r w:rsidRPr="00D47800" w:rsidR="009C3366">
              <w:rPr>
                <w:sz w:val="22"/>
                <w:szCs w:val="22"/>
              </w:rPr>
              <w:t xml:space="preserve">an </w:t>
            </w:r>
            <w:r w:rsidRPr="00D47800">
              <w:rPr>
                <w:sz w:val="22"/>
                <w:szCs w:val="22"/>
              </w:rPr>
              <w:t>in-app survey link</w:t>
            </w:r>
          </w:p>
        </w:tc>
        <w:tc>
          <w:tcPr>
            <w:tcW w:w="3376" w:type="dxa"/>
            <w:tcBorders>
              <w:top w:val="single" w:sz="6" w:space="0" w:color="auto"/>
            </w:tcBorders>
          </w:tcPr>
          <w:p w:rsidR="0044277B" w:rsidRPr="00D47800" w:rsidP="00191448" w14:paraId="44111160" w14:textId="77777777">
            <w:pPr>
              <w:spacing w:before="48" w:beforeLines="20" w:after="48" w:afterLines="20"/>
              <w:rPr>
                <w:sz w:val="22"/>
                <w:szCs w:val="22"/>
              </w:rPr>
            </w:pPr>
            <w:r w:rsidRPr="00D47800">
              <w:rPr>
                <w:sz w:val="22"/>
                <w:szCs w:val="22"/>
              </w:rPr>
              <w:t>Participant statistics summary reports (monthly update)</w:t>
            </w:r>
          </w:p>
          <w:p w:rsidR="0044277B" w:rsidRPr="00D47800" w:rsidP="00191448" w14:paraId="5DD462F8" w14:textId="77777777">
            <w:pPr>
              <w:rPr>
                <w:sz w:val="22"/>
                <w:szCs w:val="22"/>
              </w:rPr>
            </w:pPr>
          </w:p>
          <w:p w:rsidR="0044277B" w:rsidRPr="00D47800" w:rsidP="00191448" w14:paraId="37E5AECB" w14:textId="77777777">
            <w:pPr>
              <w:spacing w:before="48" w:beforeLines="20" w:after="48" w:afterLines="20"/>
              <w:ind w:left="33"/>
              <w:rPr>
                <w:sz w:val="22"/>
                <w:szCs w:val="22"/>
              </w:rPr>
            </w:pPr>
          </w:p>
        </w:tc>
        <w:tc>
          <w:tcPr>
            <w:tcW w:w="3005" w:type="dxa"/>
            <w:tcBorders>
              <w:top w:val="single" w:sz="6" w:space="0" w:color="auto"/>
            </w:tcBorders>
          </w:tcPr>
          <w:p w:rsidR="0044277B" w:rsidRPr="00D47800" w:rsidP="00191448" w14:paraId="016F6E67" w14:textId="492D21B3">
            <w:pPr>
              <w:spacing w:before="48" w:beforeLines="20" w:after="48" w:afterLines="20"/>
              <w:ind w:left="33"/>
              <w:rPr>
                <w:sz w:val="22"/>
                <w:szCs w:val="22"/>
              </w:rPr>
            </w:pPr>
            <w:r w:rsidRPr="00D47800">
              <w:rPr>
                <w:sz w:val="22"/>
                <w:szCs w:val="22"/>
              </w:rPr>
              <w:t xml:space="preserve">1–2 months after OMB approval, rolling monthly updates throughout </w:t>
            </w:r>
            <w:r w:rsidRPr="00D47800" w:rsidR="00B75244">
              <w:rPr>
                <w:sz w:val="22"/>
                <w:szCs w:val="22"/>
              </w:rPr>
              <w:t xml:space="preserve">the </w:t>
            </w:r>
            <w:r w:rsidRPr="00D47800">
              <w:rPr>
                <w:sz w:val="22"/>
                <w:szCs w:val="22"/>
              </w:rPr>
              <w:t xml:space="preserve">project </w:t>
            </w:r>
          </w:p>
          <w:p w:rsidR="0044277B" w:rsidRPr="00D47800" w:rsidP="00191448" w14:paraId="2AEB11ED" w14:textId="77777777">
            <w:pPr>
              <w:spacing w:before="48" w:beforeLines="20" w:after="48" w:afterLines="20"/>
              <w:ind w:left="33"/>
              <w:rPr>
                <w:sz w:val="22"/>
                <w:szCs w:val="22"/>
              </w:rPr>
            </w:pPr>
          </w:p>
          <w:p w:rsidR="0044277B" w:rsidRPr="00D47800" w:rsidP="00191448" w14:paraId="171B86E5" w14:textId="77777777">
            <w:pPr>
              <w:spacing w:before="48" w:beforeLines="20" w:after="48" w:afterLines="20"/>
              <w:ind w:left="33"/>
              <w:rPr>
                <w:sz w:val="22"/>
                <w:szCs w:val="22"/>
              </w:rPr>
            </w:pPr>
          </w:p>
        </w:tc>
      </w:tr>
      <w:tr w14:paraId="0EE16B74" w14:textId="77777777" w:rsidTr="00191448">
        <w:tblPrEx>
          <w:tblW w:w="8208" w:type="dxa"/>
          <w:jc w:val="center"/>
          <w:tblLook w:val="01E0"/>
        </w:tblPrEx>
        <w:trPr>
          <w:jc w:val="center"/>
        </w:trPr>
        <w:tc>
          <w:tcPr>
            <w:tcW w:w="1827" w:type="dxa"/>
            <w:tcBorders>
              <w:top w:val="single" w:sz="6" w:space="0" w:color="auto"/>
              <w:bottom w:val="single" w:sz="6" w:space="0" w:color="auto"/>
            </w:tcBorders>
          </w:tcPr>
          <w:p w:rsidR="0044277B" w:rsidRPr="00D47800" w:rsidP="00191448" w14:paraId="67F6B95D" w14:textId="77777777">
            <w:pPr>
              <w:rPr>
                <w:sz w:val="22"/>
                <w:szCs w:val="22"/>
              </w:rPr>
            </w:pPr>
            <w:r w:rsidRPr="00D47800">
              <w:rPr>
                <w:sz w:val="22"/>
                <w:szCs w:val="22"/>
              </w:rPr>
              <w:t>Data collection</w:t>
            </w:r>
          </w:p>
        </w:tc>
        <w:tc>
          <w:tcPr>
            <w:tcW w:w="3376" w:type="dxa"/>
            <w:tcBorders>
              <w:top w:val="single" w:sz="6" w:space="0" w:color="auto"/>
              <w:bottom w:val="single" w:sz="6" w:space="0" w:color="auto"/>
            </w:tcBorders>
          </w:tcPr>
          <w:p w:rsidR="0044277B" w:rsidRPr="00D47800" w:rsidP="00191448" w14:paraId="7F32058D" w14:textId="77777777">
            <w:pPr>
              <w:spacing w:before="48" w:beforeLines="20" w:after="48" w:afterLines="20"/>
              <w:ind w:left="33"/>
              <w:rPr>
                <w:sz w:val="22"/>
                <w:szCs w:val="22"/>
              </w:rPr>
            </w:pPr>
            <w:r w:rsidRPr="00D47800">
              <w:rPr>
                <w:sz w:val="22"/>
                <w:szCs w:val="22"/>
              </w:rPr>
              <w:t>Data collected from participants via online survey links sent in-app</w:t>
            </w:r>
          </w:p>
        </w:tc>
        <w:tc>
          <w:tcPr>
            <w:tcW w:w="3005" w:type="dxa"/>
            <w:tcBorders>
              <w:top w:val="single" w:sz="6" w:space="0" w:color="auto"/>
              <w:bottom w:val="single" w:sz="6" w:space="0" w:color="auto"/>
            </w:tcBorders>
          </w:tcPr>
          <w:p w:rsidR="0044277B" w:rsidRPr="00D47800" w:rsidP="00191448" w14:paraId="3D0BF5CC" w14:textId="2F7B1AAB">
            <w:pPr>
              <w:spacing w:before="48" w:beforeLines="20" w:after="48" w:afterLines="20"/>
              <w:ind w:left="33"/>
              <w:rPr>
                <w:sz w:val="22"/>
                <w:szCs w:val="22"/>
              </w:rPr>
            </w:pPr>
            <w:r w:rsidRPr="00D47800">
              <w:rPr>
                <w:sz w:val="22"/>
                <w:szCs w:val="22"/>
              </w:rPr>
              <w:t xml:space="preserve">Ongoing throughout </w:t>
            </w:r>
            <w:r w:rsidRPr="00D47800" w:rsidR="00B75244">
              <w:rPr>
                <w:sz w:val="22"/>
                <w:szCs w:val="22"/>
              </w:rPr>
              <w:t xml:space="preserve">the </w:t>
            </w:r>
            <w:r w:rsidRPr="00D47800">
              <w:rPr>
                <w:sz w:val="22"/>
                <w:szCs w:val="22"/>
              </w:rPr>
              <w:t xml:space="preserve">project </w:t>
            </w:r>
          </w:p>
        </w:tc>
      </w:tr>
      <w:tr w14:paraId="54861293" w14:textId="77777777" w:rsidTr="00191448">
        <w:tblPrEx>
          <w:tblW w:w="8208" w:type="dxa"/>
          <w:jc w:val="center"/>
          <w:tblLook w:val="01E0"/>
        </w:tblPrEx>
        <w:trPr>
          <w:jc w:val="center"/>
        </w:trPr>
        <w:tc>
          <w:tcPr>
            <w:tcW w:w="1827" w:type="dxa"/>
            <w:vMerge w:val="restart"/>
            <w:tcBorders>
              <w:top w:val="single" w:sz="6" w:space="0" w:color="auto"/>
              <w:bottom w:val="single" w:sz="6" w:space="0" w:color="auto"/>
            </w:tcBorders>
          </w:tcPr>
          <w:p w:rsidR="0044277B" w:rsidRPr="00D47800" w:rsidP="00191448" w14:paraId="78E3FA88" w14:textId="77777777">
            <w:pPr>
              <w:rPr>
                <w:sz w:val="22"/>
                <w:szCs w:val="22"/>
              </w:rPr>
            </w:pPr>
            <w:r w:rsidRPr="00D47800">
              <w:rPr>
                <w:sz w:val="22"/>
                <w:szCs w:val="22"/>
              </w:rPr>
              <w:t xml:space="preserve">Analyze and report results </w:t>
            </w:r>
          </w:p>
        </w:tc>
        <w:tc>
          <w:tcPr>
            <w:tcW w:w="3376" w:type="dxa"/>
            <w:tcBorders>
              <w:top w:val="single" w:sz="6" w:space="0" w:color="auto"/>
              <w:bottom w:val="single" w:sz="6" w:space="0" w:color="auto"/>
            </w:tcBorders>
          </w:tcPr>
          <w:p w:rsidR="0044277B" w:rsidRPr="00D47800" w:rsidP="00191448" w14:paraId="5D0F38DA" w14:textId="77777777">
            <w:pPr>
              <w:spacing w:before="48" w:beforeLines="20" w:after="48" w:afterLines="20"/>
              <w:ind w:left="33"/>
              <w:rPr>
                <w:sz w:val="22"/>
                <w:szCs w:val="22"/>
              </w:rPr>
            </w:pPr>
            <w:r w:rsidRPr="00D47800">
              <w:rPr>
                <w:sz w:val="22"/>
                <w:szCs w:val="22"/>
              </w:rPr>
              <w:t>Draft Reports (quarterly and annual)</w:t>
            </w:r>
          </w:p>
        </w:tc>
        <w:tc>
          <w:tcPr>
            <w:tcW w:w="3005" w:type="dxa"/>
            <w:tcBorders>
              <w:top w:val="single" w:sz="6" w:space="0" w:color="auto"/>
              <w:bottom w:val="single" w:sz="6" w:space="0" w:color="auto"/>
            </w:tcBorders>
          </w:tcPr>
          <w:p w:rsidR="0044277B" w:rsidRPr="00D47800" w:rsidP="00191448" w14:paraId="2C04F05E" w14:textId="27DDA40E">
            <w:pPr>
              <w:spacing w:before="48" w:beforeLines="20" w:after="48" w:afterLines="20"/>
              <w:ind w:left="33"/>
              <w:rPr>
                <w:sz w:val="22"/>
                <w:szCs w:val="22"/>
              </w:rPr>
            </w:pPr>
            <w:r w:rsidRPr="00D47800">
              <w:rPr>
                <w:sz w:val="22"/>
                <w:szCs w:val="22"/>
              </w:rPr>
              <w:t xml:space="preserve">5-10 months after OMB approval, then ongoing throughout </w:t>
            </w:r>
            <w:r w:rsidRPr="00D47800" w:rsidR="00B75244">
              <w:rPr>
                <w:sz w:val="22"/>
                <w:szCs w:val="22"/>
              </w:rPr>
              <w:t xml:space="preserve">the </w:t>
            </w:r>
            <w:r w:rsidRPr="00D47800">
              <w:rPr>
                <w:sz w:val="22"/>
                <w:szCs w:val="22"/>
              </w:rPr>
              <w:t>project</w:t>
            </w:r>
          </w:p>
        </w:tc>
      </w:tr>
      <w:tr w14:paraId="2C5CA046" w14:textId="77777777" w:rsidTr="00191448">
        <w:tblPrEx>
          <w:tblW w:w="8208" w:type="dxa"/>
          <w:jc w:val="center"/>
          <w:tblLook w:val="01E0"/>
        </w:tblPrEx>
        <w:trPr>
          <w:jc w:val="center"/>
        </w:trPr>
        <w:tc>
          <w:tcPr>
            <w:tcW w:w="1827" w:type="dxa"/>
            <w:vMerge/>
            <w:tcBorders>
              <w:top w:val="single" w:sz="6" w:space="0" w:color="auto"/>
              <w:bottom w:val="single" w:sz="6" w:space="0" w:color="auto"/>
            </w:tcBorders>
          </w:tcPr>
          <w:p w:rsidR="0044277B" w:rsidRPr="00D47800" w:rsidP="00191448" w14:paraId="368375BB" w14:textId="77777777">
            <w:pPr>
              <w:rPr>
                <w:sz w:val="22"/>
                <w:szCs w:val="22"/>
              </w:rPr>
            </w:pPr>
          </w:p>
        </w:tc>
        <w:tc>
          <w:tcPr>
            <w:tcW w:w="3376" w:type="dxa"/>
            <w:tcBorders>
              <w:top w:val="single" w:sz="6" w:space="0" w:color="auto"/>
              <w:bottom w:val="single" w:sz="6" w:space="0" w:color="auto"/>
            </w:tcBorders>
          </w:tcPr>
          <w:p w:rsidR="0044277B" w:rsidRPr="00D47800" w:rsidP="00191448" w14:paraId="6C486916" w14:textId="77777777">
            <w:pPr>
              <w:spacing w:before="48" w:beforeLines="20" w:after="48" w:afterLines="20"/>
              <w:ind w:left="33"/>
              <w:rPr>
                <w:sz w:val="22"/>
                <w:szCs w:val="22"/>
              </w:rPr>
            </w:pPr>
            <w:r w:rsidRPr="00D47800">
              <w:rPr>
                <w:sz w:val="22"/>
                <w:szCs w:val="22"/>
              </w:rPr>
              <w:t>Final Report (quarterly and annual)</w:t>
            </w:r>
          </w:p>
        </w:tc>
        <w:tc>
          <w:tcPr>
            <w:tcW w:w="3005" w:type="dxa"/>
            <w:tcBorders>
              <w:top w:val="single" w:sz="6" w:space="0" w:color="auto"/>
              <w:bottom w:val="single" w:sz="6" w:space="0" w:color="auto"/>
            </w:tcBorders>
          </w:tcPr>
          <w:p w:rsidR="0044277B" w:rsidRPr="00D47800" w:rsidP="00191448" w14:paraId="30F46F3F" w14:textId="225BAAA4">
            <w:pPr>
              <w:spacing w:before="48" w:beforeLines="20" w:after="48" w:afterLines="20"/>
              <w:ind w:left="33"/>
              <w:rPr>
                <w:sz w:val="22"/>
                <w:szCs w:val="22"/>
              </w:rPr>
            </w:pPr>
            <w:r w:rsidRPr="00D47800">
              <w:rPr>
                <w:sz w:val="22"/>
                <w:szCs w:val="22"/>
              </w:rPr>
              <w:t xml:space="preserve">6-12 months after OMB approval, then </w:t>
            </w:r>
            <w:r w:rsidRPr="00D47800" w:rsidR="00B75244">
              <w:rPr>
                <w:sz w:val="22"/>
                <w:szCs w:val="22"/>
              </w:rPr>
              <w:t>ongoing</w:t>
            </w:r>
            <w:r w:rsidRPr="00D47800">
              <w:rPr>
                <w:sz w:val="22"/>
                <w:szCs w:val="22"/>
              </w:rPr>
              <w:t xml:space="preserve"> throughout </w:t>
            </w:r>
            <w:r w:rsidRPr="00D47800" w:rsidR="00B75244">
              <w:rPr>
                <w:sz w:val="22"/>
                <w:szCs w:val="22"/>
              </w:rPr>
              <w:t xml:space="preserve">the </w:t>
            </w:r>
            <w:r w:rsidRPr="00D47800">
              <w:rPr>
                <w:sz w:val="22"/>
                <w:szCs w:val="22"/>
              </w:rPr>
              <w:t>project</w:t>
            </w:r>
          </w:p>
        </w:tc>
      </w:tr>
    </w:tbl>
    <w:p w:rsidR="00873BFC" w:rsidRPr="00D47800" w:rsidP="00873BFC" w14:paraId="72FDAE78" w14:textId="77777777">
      <w:pPr>
        <w:rPr>
          <w:sz w:val="22"/>
          <w:szCs w:val="22"/>
        </w:rPr>
      </w:pPr>
    </w:p>
    <w:p w:rsidR="00873BFC" w:rsidRPr="00D47800" w:rsidP="00873BFC" w14:paraId="38AB8867" w14:textId="77777777">
      <w:pPr>
        <w:rPr>
          <w:sz w:val="22"/>
          <w:szCs w:val="22"/>
        </w:rPr>
      </w:pPr>
    </w:p>
    <w:p w:rsidR="00873BFC" w:rsidRPr="00D47800" w:rsidP="00705A6A" w14:paraId="3E5FB4D3" w14:textId="2CD1D645">
      <w:pPr>
        <w:pStyle w:val="Style1"/>
      </w:pPr>
      <w:bookmarkStart w:id="16" w:name="_Toc121838471"/>
      <w:r w:rsidRPr="00D47800">
        <w:t>Section A.17. Reason(s) Display of OMB Expiration Date Is Inappropriate</w:t>
      </w:r>
      <w:bookmarkEnd w:id="16"/>
    </w:p>
    <w:p w:rsidR="00873BFC" w:rsidRPr="00D47800" w:rsidP="00873BFC" w14:paraId="78A8DD76" w14:textId="77777777">
      <w:pPr>
        <w:ind w:left="360"/>
        <w:rPr>
          <w:sz w:val="22"/>
          <w:szCs w:val="22"/>
        </w:rPr>
      </w:pPr>
      <w:r w:rsidRPr="00D47800">
        <w:rPr>
          <w:sz w:val="22"/>
          <w:szCs w:val="22"/>
        </w:rPr>
        <w:t xml:space="preserve"> </w:t>
      </w:r>
    </w:p>
    <w:p w:rsidR="00873BFC" w:rsidRPr="00D47800" w:rsidP="00873BFC" w14:paraId="0144FDC5" w14:textId="4C4923EE">
      <w:pPr>
        <w:rPr>
          <w:sz w:val="22"/>
          <w:szCs w:val="22"/>
        </w:rPr>
      </w:pPr>
      <w:r w:rsidRPr="00D47800">
        <w:rPr>
          <w:sz w:val="22"/>
          <w:szCs w:val="22"/>
        </w:rPr>
        <w:t>NA</w:t>
      </w:r>
    </w:p>
    <w:p w:rsidR="004C48B0" w:rsidRPr="00D47800" w:rsidP="00873BFC" w14:paraId="4EC81275" w14:textId="77777777">
      <w:pPr>
        <w:rPr>
          <w:sz w:val="22"/>
          <w:szCs w:val="22"/>
        </w:rPr>
      </w:pPr>
    </w:p>
    <w:p w:rsidR="00873BFC" w:rsidRPr="00D47800" w:rsidP="00705A6A" w14:paraId="21762001" w14:textId="77777777">
      <w:pPr>
        <w:pStyle w:val="Style1"/>
      </w:pPr>
      <w:bookmarkStart w:id="17" w:name="_Toc121838472"/>
      <w:r w:rsidRPr="00D47800">
        <w:t>Section A.18. Exceptions to Certification for Paperwork Reduction Act Submissions</w:t>
      </w:r>
      <w:bookmarkEnd w:id="17"/>
    </w:p>
    <w:p w:rsidR="00873BFC" w:rsidRPr="00D47800" w:rsidP="00873BFC" w14:paraId="4BB69304" w14:textId="77777777">
      <w:pPr>
        <w:rPr>
          <w:sz w:val="22"/>
          <w:szCs w:val="22"/>
        </w:rPr>
      </w:pPr>
    </w:p>
    <w:p w:rsidR="00873BFC" w:rsidRPr="00D47800" w:rsidP="00873BFC" w14:paraId="3632D353" w14:textId="77777777">
      <w:pPr>
        <w:rPr>
          <w:sz w:val="22"/>
          <w:szCs w:val="22"/>
        </w:rPr>
      </w:pPr>
      <w:r w:rsidRPr="00D47800">
        <w:rPr>
          <w:sz w:val="22"/>
          <w:szCs w:val="22"/>
        </w:rPr>
        <w:t>There are no exceptions to the certification.</w:t>
      </w:r>
    </w:p>
    <w:p w:rsidR="009C322E" w:rsidRPr="00D47800" w14:paraId="56E1ECF2" w14:textId="77777777"/>
    <w:sectPr w:rsidSect="00B6712C">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DJHP B+ Melior">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74D" w14:paraId="3852C34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589254"/>
      <w:docPartObj>
        <w:docPartGallery w:val="Page Numbers (Bottom of Page)"/>
        <w:docPartUnique/>
      </w:docPartObj>
    </w:sdtPr>
    <w:sdtEndPr>
      <w:rPr>
        <w:noProof/>
      </w:rPr>
    </w:sdtEndPr>
    <w:sdtContent>
      <w:p w:rsidR="00D27047" w14:paraId="522929ED" w14:textId="24B6D3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B202D" w14:paraId="0007C299"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74D" w14:paraId="16C0564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74D" w14:paraId="41759800"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74D" w14:paraId="77B97E55"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2174D" w14:paraId="37659626"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EE5294"/>
    <w:multiLevelType w:val="hybridMultilevel"/>
    <w:tmpl w:val="CCE053CE"/>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7587B3F"/>
    <w:multiLevelType w:val="hybridMultilevel"/>
    <w:tmpl w:val="CC94ED56"/>
    <w:lvl w:ilvl="0">
      <w:start w:val="1"/>
      <w:numFmt w:val="bullet"/>
      <w:lvlText w:val=""/>
      <w:lvlJc w:val="left"/>
      <w:pPr>
        <w:ind w:left="360" w:hanging="360"/>
      </w:pPr>
      <w:rPr>
        <w:rFonts w:ascii="Wingdings" w:hAnsi="Wingdings"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0A1D262B"/>
    <w:multiLevelType w:val="hybridMultilevel"/>
    <w:tmpl w:val="A5983ABE"/>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A5F17B7"/>
    <w:multiLevelType w:val="hybridMultilevel"/>
    <w:tmpl w:val="E95ADED8"/>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FE56562"/>
    <w:multiLevelType w:val="hybridMultilevel"/>
    <w:tmpl w:val="94C014C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02A5A8C"/>
    <w:multiLevelType w:val="hybridMultilevel"/>
    <w:tmpl w:val="0664AE1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DE1727"/>
    <w:multiLevelType w:val="hybridMultilevel"/>
    <w:tmpl w:val="EF58849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C80DE9"/>
    <w:multiLevelType w:val="hybridMultilevel"/>
    <w:tmpl w:val="9BFA66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B332FCA"/>
    <w:multiLevelType w:val="hybridMultilevel"/>
    <w:tmpl w:val="ECF29942"/>
    <w:lvl w:ilvl="0">
      <w:start w:val="1"/>
      <w:numFmt w:val="bullet"/>
      <w:pStyle w:val="ListBullet"/>
      <w:lvlText w:val=""/>
      <w:lvlJc w:val="left"/>
      <w:pPr>
        <w:tabs>
          <w:tab w:val="num" w:pos="1440"/>
        </w:tabs>
        <w:ind w:left="1440" w:hanging="360"/>
      </w:pPr>
      <w:rPr>
        <w:rFonts w:ascii="Symbol" w:hAnsi="Symbol" w:hint="default"/>
      </w:rPr>
    </w:lvl>
    <w:lvl w:ilvl="1">
      <w:start w:val="1"/>
      <w:numFmt w:val="bullet"/>
      <w:lvlText w:val=""/>
      <w:lvlJc w:val="left"/>
      <w:pPr>
        <w:tabs>
          <w:tab w:val="num" w:pos="2520"/>
        </w:tabs>
        <w:ind w:left="2520" w:hanging="360"/>
      </w:pPr>
      <w:rPr>
        <w:rFonts w:ascii="Wingdings" w:hAnsi="Wingdings"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tentative="1">
      <w:start w:val="1"/>
      <w:numFmt w:val="bullet"/>
      <w:lvlText w:val="o"/>
      <w:lvlJc w:val="left"/>
      <w:pPr>
        <w:tabs>
          <w:tab w:val="num" w:pos="4680"/>
        </w:tabs>
        <w:ind w:left="4680" w:hanging="360"/>
      </w:pPr>
      <w:rPr>
        <w:rFonts w:ascii="Courier New" w:hAnsi="Courier New" w:cs="Courier New" w:hint="default"/>
      </w:rPr>
    </w:lvl>
    <w:lvl w:ilvl="5" w:tentative="1">
      <w:start w:val="1"/>
      <w:numFmt w:val="bullet"/>
      <w:lvlText w:val=""/>
      <w:lvlJc w:val="left"/>
      <w:pPr>
        <w:tabs>
          <w:tab w:val="num" w:pos="5400"/>
        </w:tabs>
        <w:ind w:left="5400" w:hanging="360"/>
      </w:pPr>
      <w:rPr>
        <w:rFonts w:ascii="Wingdings" w:hAnsi="Wingdings" w:hint="default"/>
      </w:rPr>
    </w:lvl>
    <w:lvl w:ilvl="6" w:tentative="1">
      <w:start w:val="1"/>
      <w:numFmt w:val="bullet"/>
      <w:lvlText w:val=""/>
      <w:lvlJc w:val="left"/>
      <w:pPr>
        <w:tabs>
          <w:tab w:val="num" w:pos="6120"/>
        </w:tabs>
        <w:ind w:left="6120" w:hanging="360"/>
      </w:pPr>
      <w:rPr>
        <w:rFonts w:ascii="Symbol" w:hAnsi="Symbol" w:hint="default"/>
      </w:rPr>
    </w:lvl>
    <w:lvl w:ilvl="7" w:tentative="1">
      <w:start w:val="1"/>
      <w:numFmt w:val="bullet"/>
      <w:lvlText w:val="o"/>
      <w:lvlJc w:val="left"/>
      <w:pPr>
        <w:tabs>
          <w:tab w:val="num" w:pos="6840"/>
        </w:tabs>
        <w:ind w:left="6840" w:hanging="360"/>
      </w:pPr>
      <w:rPr>
        <w:rFonts w:ascii="Courier New" w:hAnsi="Courier New" w:cs="Courier New" w:hint="default"/>
      </w:rPr>
    </w:lvl>
    <w:lvl w:ilvl="8" w:tentative="1">
      <w:start w:val="1"/>
      <w:numFmt w:val="bullet"/>
      <w:lvlText w:val=""/>
      <w:lvlJc w:val="left"/>
      <w:pPr>
        <w:tabs>
          <w:tab w:val="num" w:pos="7560"/>
        </w:tabs>
        <w:ind w:left="7560" w:hanging="360"/>
      </w:pPr>
      <w:rPr>
        <w:rFonts w:ascii="Wingdings" w:hAnsi="Wingdings" w:hint="default"/>
      </w:rPr>
    </w:lvl>
  </w:abstractNum>
  <w:abstractNum w:abstractNumId="9">
    <w:nsid w:val="1F9D7E9D"/>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422694B"/>
    <w:multiLevelType w:val="hybridMultilevel"/>
    <w:tmpl w:val="6C44E1B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60F3AAB"/>
    <w:multiLevelType w:val="hybridMultilevel"/>
    <w:tmpl w:val="E496EB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B3C68F4"/>
    <w:multiLevelType w:val="hybridMultilevel"/>
    <w:tmpl w:val="765C1CD2"/>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E6C293E"/>
    <w:multiLevelType w:val="hybridMultilevel"/>
    <w:tmpl w:val="AE14DB56"/>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0492BA4"/>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16062B9"/>
    <w:multiLevelType w:val="hybridMultilevel"/>
    <w:tmpl w:val="E0303DF8"/>
    <w:lvl w:ilvl="0">
      <w:start w:val="29"/>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6FD4390"/>
    <w:multiLevelType w:val="hybridMultilevel"/>
    <w:tmpl w:val="FE4082F4"/>
    <w:lvl w:ilvl="0">
      <w:start w:val="1"/>
      <w:numFmt w:val="bullet"/>
      <w:pStyle w:val="ListBullet1"/>
      <w:lvlText w:val=""/>
      <w:lvlJc w:val="left"/>
      <w:pPr>
        <w:ind w:left="1440" w:hanging="360"/>
      </w:pPr>
      <w:rPr>
        <w:rFonts w:ascii="Wingdings" w:hAnsi="Wingdings" w:hint="default"/>
      </w:rPr>
    </w:lvl>
    <w:lvl w:ilvl="1">
      <w:start w:val="0"/>
      <w:numFmt w:val="bullet"/>
      <w:lvlText w:val="-"/>
      <w:lvlJc w:val="left"/>
      <w:pPr>
        <w:ind w:left="1800" w:hanging="360"/>
      </w:pPr>
      <w:rPr>
        <w:rFonts w:ascii="Calibri" w:eastAsia="Times New Roman" w:hAnsi="Calibri" w:cs="Times New Roman" w:hint="default"/>
      </w:rPr>
    </w:lvl>
    <w:lvl w:ilvl="2">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7">
    <w:nsid w:val="3E300452"/>
    <w:multiLevelType w:val="hybridMultilevel"/>
    <w:tmpl w:val="92A66A90"/>
    <w:lvl w:ilvl="0">
      <w:start w:val="1"/>
      <w:numFmt w:val="upperLetter"/>
      <w:lvlText w:val="%1."/>
      <w:lvlJc w:val="left"/>
      <w:pPr>
        <w:ind w:left="360" w:hanging="360"/>
      </w:pPr>
      <w:rPr>
        <w:b/>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8">
    <w:nsid w:val="3EC30674"/>
    <w:multiLevelType w:val="multilevel"/>
    <w:tmpl w:val="5838EBE2"/>
    <w:lvl w:ilvl="0">
      <w:start w:val="1"/>
      <w:numFmt w:val="upperLetter"/>
      <w:lvlText w:val="%1."/>
      <w:lvlJc w:val="left"/>
      <w:pPr>
        <w:ind w:left="360" w:hanging="360"/>
      </w:pPr>
      <w:rPr>
        <w:rFonts w:hint="default"/>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nsid w:val="3ED405C4"/>
    <w:multiLevelType w:val="hybridMultilevel"/>
    <w:tmpl w:val="003421D6"/>
    <w:lvl w:ilvl="0">
      <w:start w:val="1"/>
      <w:numFmt w:val="upperLetter"/>
      <w:lvlText w:val="%1."/>
      <w:lvlJc w:val="left"/>
      <w:pPr>
        <w:tabs>
          <w:tab w:val="num" w:pos="0"/>
        </w:tabs>
        <w:ind w:left="360" w:hanging="360"/>
      </w:pPr>
      <w:rPr>
        <w:rFonts w:hint="default"/>
        <w:b/>
        <w:i w:val="0"/>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3F1D76B8"/>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40EE2D09"/>
    <w:multiLevelType w:val="hybridMultilevel"/>
    <w:tmpl w:val="338C01A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417B5DA1"/>
    <w:multiLevelType w:val="hybridMultilevel"/>
    <w:tmpl w:val="5C909B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3F26D4F"/>
    <w:multiLevelType w:val="hybridMultilevel"/>
    <w:tmpl w:val="95FA193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7345C23"/>
    <w:multiLevelType w:val="hybridMultilevel"/>
    <w:tmpl w:val="D29EAB6E"/>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493D62D9"/>
    <w:multiLevelType w:val="hybridMultilevel"/>
    <w:tmpl w:val="206AE66C"/>
    <w:lvl w:ilvl="0">
      <w:start w:val="1"/>
      <w:numFmt w:val="upperLetter"/>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6">
    <w:nsid w:val="4C35415D"/>
    <w:multiLevelType w:val="hybridMultilevel"/>
    <w:tmpl w:val="70F87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4DE8092B"/>
    <w:multiLevelType w:val="hybridMultilevel"/>
    <w:tmpl w:val="BFCED7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46F6640"/>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56524847"/>
    <w:multiLevelType w:val="hybridMultilevel"/>
    <w:tmpl w:val="B2CE152E"/>
    <w:lvl w:ilvl="0">
      <w:start w:val="1"/>
      <w:numFmt w:val="lowerRoman"/>
      <w:lvlText w:val="(%1)"/>
      <w:lvlJc w:val="left"/>
      <w:pPr>
        <w:ind w:left="1080" w:hanging="72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56FA7194"/>
    <w:multiLevelType w:val="hybridMultilevel"/>
    <w:tmpl w:val="368E38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9C23406"/>
    <w:multiLevelType w:val="hybridMultilevel"/>
    <w:tmpl w:val="ED1851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C380744"/>
    <w:multiLevelType w:val="hybridMultilevel"/>
    <w:tmpl w:val="1F0692EC"/>
    <w:lvl w:ilvl="0">
      <w:start w:val="29"/>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D8F4E63"/>
    <w:multiLevelType w:val="hybridMultilevel"/>
    <w:tmpl w:val="70F877F2"/>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01409BC"/>
    <w:multiLevelType w:val="hybridMultilevel"/>
    <w:tmpl w:val="6ADCF1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11171D1"/>
    <w:multiLevelType w:val="hybridMultilevel"/>
    <w:tmpl w:val="9CA6FF88"/>
    <w:lvl w:ilvl="0">
      <w:start w:val="17"/>
      <w:numFmt w:val="decimal"/>
      <w:lvlText w:val="%1."/>
      <w:lvlJc w:val="left"/>
      <w:pPr>
        <w:tabs>
          <w:tab w:val="num" w:pos="750"/>
        </w:tabs>
        <w:ind w:left="750" w:hanging="39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6">
    <w:nsid w:val="734C0734"/>
    <w:multiLevelType w:val="hybridMultilevel"/>
    <w:tmpl w:val="EBF26284"/>
    <w:lvl w:ilvl="0">
      <w:start w:val="29"/>
      <w:numFmt w:val="decimal"/>
      <w:lvlText w:val="%1"/>
      <w:lvlJc w:val="left"/>
      <w:pPr>
        <w:ind w:left="390" w:hanging="360"/>
      </w:pPr>
      <w:rPr>
        <w:rFonts w:cs="Times New Roman" w:hint="default"/>
      </w:rPr>
    </w:lvl>
    <w:lvl w:ilvl="1" w:tentative="1">
      <w:start w:val="1"/>
      <w:numFmt w:val="lowerLetter"/>
      <w:lvlText w:val="%2."/>
      <w:lvlJc w:val="left"/>
      <w:pPr>
        <w:ind w:left="1110" w:hanging="360"/>
      </w:pPr>
    </w:lvl>
    <w:lvl w:ilvl="2" w:tentative="1">
      <w:start w:val="1"/>
      <w:numFmt w:val="lowerRoman"/>
      <w:lvlText w:val="%3."/>
      <w:lvlJc w:val="right"/>
      <w:pPr>
        <w:ind w:left="1830" w:hanging="180"/>
      </w:pPr>
    </w:lvl>
    <w:lvl w:ilvl="3" w:tentative="1">
      <w:start w:val="1"/>
      <w:numFmt w:val="decimal"/>
      <w:lvlText w:val="%4."/>
      <w:lvlJc w:val="left"/>
      <w:pPr>
        <w:ind w:left="2550" w:hanging="360"/>
      </w:pPr>
    </w:lvl>
    <w:lvl w:ilvl="4" w:tentative="1">
      <w:start w:val="1"/>
      <w:numFmt w:val="lowerLetter"/>
      <w:lvlText w:val="%5."/>
      <w:lvlJc w:val="left"/>
      <w:pPr>
        <w:ind w:left="3270" w:hanging="360"/>
      </w:pPr>
    </w:lvl>
    <w:lvl w:ilvl="5" w:tentative="1">
      <w:start w:val="1"/>
      <w:numFmt w:val="lowerRoman"/>
      <w:lvlText w:val="%6."/>
      <w:lvlJc w:val="right"/>
      <w:pPr>
        <w:ind w:left="3990" w:hanging="180"/>
      </w:pPr>
    </w:lvl>
    <w:lvl w:ilvl="6" w:tentative="1">
      <w:start w:val="1"/>
      <w:numFmt w:val="decimal"/>
      <w:lvlText w:val="%7."/>
      <w:lvlJc w:val="left"/>
      <w:pPr>
        <w:ind w:left="4710" w:hanging="360"/>
      </w:pPr>
    </w:lvl>
    <w:lvl w:ilvl="7" w:tentative="1">
      <w:start w:val="1"/>
      <w:numFmt w:val="lowerLetter"/>
      <w:lvlText w:val="%8."/>
      <w:lvlJc w:val="left"/>
      <w:pPr>
        <w:ind w:left="5430" w:hanging="360"/>
      </w:pPr>
    </w:lvl>
    <w:lvl w:ilvl="8" w:tentative="1">
      <w:start w:val="1"/>
      <w:numFmt w:val="lowerRoman"/>
      <w:lvlText w:val="%9."/>
      <w:lvlJc w:val="right"/>
      <w:pPr>
        <w:ind w:left="6150" w:hanging="180"/>
      </w:pPr>
    </w:lvl>
  </w:abstractNum>
  <w:abstractNum w:abstractNumId="37">
    <w:nsid w:val="77DB54FC"/>
    <w:multiLevelType w:val="hybridMultilevel"/>
    <w:tmpl w:val="D682E03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7BF95DCD"/>
    <w:multiLevelType w:val="hybridMultilevel"/>
    <w:tmpl w:val="8710114E"/>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D9172DF"/>
    <w:multiLevelType w:val="hybridMultilevel"/>
    <w:tmpl w:val="5AC24D90"/>
    <w:lvl w:ilvl="0">
      <w:start w:val="1"/>
      <w:numFmt w:val="bullet"/>
      <w:lvlText w:val=""/>
      <w:lvlJc w:val="righ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76444073">
    <w:abstractNumId w:val="16"/>
  </w:num>
  <w:num w:numId="2" w16cid:durableId="2115129650">
    <w:abstractNumId w:val="8"/>
  </w:num>
  <w:num w:numId="3" w16cid:durableId="376784096">
    <w:abstractNumId w:val="19"/>
  </w:num>
  <w:num w:numId="4" w16cid:durableId="203297848">
    <w:abstractNumId w:val="6"/>
  </w:num>
  <w:num w:numId="5" w16cid:durableId="1615939799">
    <w:abstractNumId w:val="25"/>
  </w:num>
  <w:num w:numId="6" w16cid:durableId="1939560985">
    <w:abstractNumId w:val="28"/>
  </w:num>
  <w:num w:numId="7" w16cid:durableId="929579078">
    <w:abstractNumId w:val="35"/>
  </w:num>
  <w:num w:numId="8" w16cid:durableId="38744521">
    <w:abstractNumId w:val="39"/>
  </w:num>
  <w:num w:numId="9" w16cid:durableId="772212080">
    <w:abstractNumId w:val="30"/>
  </w:num>
  <w:num w:numId="10" w16cid:durableId="1949853219">
    <w:abstractNumId w:val="38"/>
  </w:num>
  <w:num w:numId="11" w16cid:durableId="1788699871">
    <w:abstractNumId w:val="10"/>
  </w:num>
  <w:num w:numId="12" w16cid:durableId="478544793">
    <w:abstractNumId w:val="17"/>
  </w:num>
  <w:num w:numId="13" w16cid:durableId="424770857">
    <w:abstractNumId w:val="21"/>
  </w:num>
  <w:num w:numId="14" w16cid:durableId="685014284">
    <w:abstractNumId w:val="11"/>
  </w:num>
  <w:num w:numId="15" w16cid:durableId="185290170">
    <w:abstractNumId w:val="34"/>
  </w:num>
  <w:num w:numId="16" w16cid:durableId="1637225085">
    <w:abstractNumId w:val="7"/>
  </w:num>
  <w:num w:numId="17" w16cid:durableId="1925609797">
    <w:abstractNumId w:val="31"/>
  </w:num>
  <w:num w:numId="18" w16cid:durableId="176888150">
    <w:abstractNumId w:val="5"/>
  </w:num>
  <w:num w:numId="19" w16cid:durableId="2127696393">
    <w:abstractNumId w:val="14"/>
  </w:num>
  <w:num w:numId="20" w16cid:durableId="728117008">
    <w:abstractNumId w:val="1"/>
  </w:num>
  <w:num w:numId="21" w16cid:durableId="939294535">
    <w:abstractNumId w:val="18"/>
  </w:num>
  <w:num w:numId="22" w16cid:durableId="28527737">
    <w:abstractNumId w:val="9"/>
  </w:num>
  <w:num w:numId="23" w16cid:durableId="161438161">
    <w:abstractNumId w:val="37"/>
  </w:num>
  <w:num w:numId="24" w16cid:durableId="537009559">
    <w:abstractNumId w:val="29"/>
  </w:num>
  <w:num w:numId="25" w16cid:durableId="984970355">
    <w:abstractNumId w:val="13"/>
  </w:num>
  <w:num w:numId="26" w16cid:durableId="520582327">
    <w:abstractNumId w:val="24"/>
  </w:num>
  <w:num w:numId="27" w16cid:durableId="57632836">
    <w:abstractNumId w:val="15"/>
  </w:num>
  <w:num w:numId="28" w16cid:durableId="1514144532">
    <w:abstractNumId w:val="20"/>
  </w:num>
  <w:num w:numId="29" w16cid:durableId="34934199">
    <w:abstractNumId w:val="2"/>
  </w:num>
  <w:num w:numId="30" w16cid:durableId="1209341058">
    <w:abstractNumId w:val="36"/>
  </w:num>
  <w:num w:numId="31" w16cid:durableId="44180716">
    <w:abstractNumId w:val="0"/>
  </w:num>
  <w:num w:numId="32" w16cid:durableId="2082753306">
    <w:abstractNumId w:val="12"/>
  </w:num>
  <w:num w:numId="33" w16cid:durableId="2093116853">
    <w:abstractNumId w:val="3"/>
  </w:num>
  <w:num w:numId="34" w16cid:durableId="43335790">
    <w:abstractNumId w:val="32"/>
  </w:num>
  <w:num w:numId="35" w16cid:durableId="29753396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431462704">
    <w:abstractNumId w:val="8"/>
  </w:num>
  <w:num w:numId="37" w16cid:durableId="1121922313">
    <w:abstractNumId w:val="8"/>
  </w:num>
  <w:num w:numId="38" w16cid:durableId="2128618751">
    <w:abstractNumId w:val="8"/>
  </w:num>
  <w:num w:numId="39" w16cid:durableId="952785842">
    <w:abstractNumId w:val="33"/>
  </w:num>
  <w:num w:numId="40" w16cid:durableId="1624267229">
    <w:abstractNumId w:val="22"/>
  </w:num>
  <w:num w:numId="41" w16cid:durableId="430784517">
    <w:abstractNumId w:val="26"/>
  </w:num>
  <w:num w:numId="42" w16cid:durableId="350109040">
    <w:abstractNumId w:val="23"/>
  </w:num>
  <w:num w:numId="43" w16cid:durableId="71493597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3BFC"/>
    <w:rsid w:val="000101F5"/>
    <w:rsid w:val="0001341B"/>
    <w:rsid w:val="000142BA"/>
    <w:rsid w:val="00015619"/>
    <w:rsid w:val="0002048F"/>
    <w:rsid w:val="00022267"/>
    <w:rsid w:val="00024BF7"/>
    <w:rsid w:val="00026033"/>
    <w:rsid w:val="00026BC8"/>
    <w:rsid w:val="00030C5F"/>
    <w:rsid w:val="00033231"/>
    <w:rsid w:val="00036895"/>
    <w:rsid w:val="00037052"/>
    <w:rsid w:val="000373C1"/>
    <w:rsid w:val="0004121B"/>
    <w:rsid w:val="00042A19"/>
    <w:rsid w:val="0005079F"/>
    <w:rsid w:val="0005507A"/>
    <w:rsid w:val="00056098"/>
    <w:rsid w:val="00056178"/>
    <w:rsid w:val="0005684D"/>
    <w:rsid w:val="000570B5"/>
    <w:rsid w:val="00060A21"/>
    <w:rsid w:val="00060AE9"/>
    <w:rsid w:val="00062AC0"/>
    <w:rsid w:val="00064426"/>
    <w:rsid w:val="00066BFC"/>
    <w:rsid w:val="0006774C"/>
    <w:rsid w:val="0006776C"/>
    <w:rsid w:val="00071A09"/>
    <w:rsid w:val="000728F4"/>
    <w:rsid w:val="000730F0"/>
    <w:rsid w:val="00092B53"/>
    <w:rsid w:val="00096E55"/>
    <w:rsid w:val="000A22E6"/>
    <w:rsid w:val="000A46BD"/>
    <w:rsid w:val="000A4AB6"/>
    <w:rsid w:val="000A60A7"/>
    <w:rsid w:val="000A7A76"/>
    <w:rsid w:val="000B04CC"/>
    <w:rsid w:val="000B5DAF"/>
    <w:rsid w:val="000C2833"/>
    <w:rsid w:val="000C62C2"/>
    <w:rsid w:val="000C6D57"/>
    <w:rsid w:val="000C70E6"/>
    <w:rsid w:val="000D0243"/>
    <w:rsid w:val="000D1D85"/>
    <w:rsid w:val="000D447D"/>
    <w:rsid w:val="000D502B"/>
    <w:rsid w:val="000D579A"/>
    <w:rsid w:val="000D6F47"/>
    <w:rsid w:val="000E24F0"/>
    <w:rsid w:val="000E2755"/>
    <w:rsid w:val="000E29DE"/>
    <w:rsid w:val="000E5E47"/>
    <w:rsid w:val="000F6F88"/>
    <w:rsid w:val="00102F0E"/>
    <w:rsid w:val="00105EA9"/>
    <w:rsid w:val="00114E9E"/>
    <w:rsid w:val="00121713"/>
    <w:rsid w:val="00127AA3"/>
    <w:rsid w:val="00130BA4"/>
    <w:rsid w:val="00130FEF"/>
    <w:rsid w:val="0013180F"/>
    <w:rsid w:val="00131D1E"/>
    <w:rsid w:val="001360E5"/>
    <w:rsid w:val="00137EB2"/>
    <w:rsid w:val="00140D7A"/>
    <w:rsid w:val="00147026"/>
    <w:rsid w:val="001514AC"/>
    <w:rsid w:val="00153A0D"/>
    <w:rsid w:val="00155CFF"/>
    <w:rsid w:val="00163B23"/>
    <w:rsid w:val="00170392"/>
    <w:rsid w:val="00175A83"/>
    <w:rsid w:val="00176079"/>
    <w:rsid w:val="00176DF7"/>
    <w:rsid w:val="00176EC1"/>
    <w:rsid w:val="00186DBA"/>
    <w:rsid w:val="00190A8C"/>
    <w:rsid w:val="00190B54"/>
    <w:rsid w:val="00191448"/>
    <w:rsid w:val="00191DC4"/>
    <w:rsid w:val="001950D2"/>
    <w:rsid w:val="001954B0"/>
    <w:rsid w:val="00197166"/>
    <w:rsid w:val="001A1BD6"/>
    <w:rsid w:val="001A530F"/>
    <w:rsid w:val="001A587F"/>
    <w:rsid w:val="001A6284"/>
    <w:rsid w:val="001A6750"/>
    <w:rsid w:val="001B202D"/>
    <w:rsid w:val="001B469A"/>
    <w:rsid w:val="001B5446"/>
    <w:rsid w:val="001B5640"/>
    <w:rsid w:val="001C6546"/>
    <w:rsid w:val="001C7A82"/>
    <w:rsid w:val="001D5D45"/>
    <w:rsid w:val="001D6535"/>
    <w:rsid w:val="001D6F7A"/>
    <w:rsid w:val="001D7985"/>
    <w:rsid w:val="001D7ABF"/>
    <w:rsid w:val="001D7C92"/>
    <w:rsid w:val="001E652C"/>
    <w:rsid w:val="001E65FA"/>
    <w:rsid w:val="001F3B9C"/>
    <w:rsid w:val="001F4AE3"/>
    <w:rsid w:val="001F632E"/>
    <w:rsid w:val="001F6C11"/>
    <w:rsid w:val="001F78AD"/>
    <w:rsid w:val="00200B39"/>
    <w:rsid w:val="00205E00"/>
    <w:rsid w:val="00205F5A"/>
    <w:rsid w:val="00210677"/>
    <w:rsid w:val="0021684C"/>
    <w:rsid w:val="002205AD"/>
    <w:rsid w:val="002209F5"/>
    <w:rsid w:val="00222011"/>
    <w:rsid w:val="0022243F"/>
    <w:rsid w:val="00223CFB"/>
    <w:rsid w:val="002352E7"/>
    <w:rsid w:val="002400C7"/>
    <w:rsid w:val="00240BB1"/>
    <w:rsid w:val="00242E0F"/>
    <w:rsid w:val="00250C43"/>
    <w:rsid w:val="002533E8"/>
    <w:rsid w:val="00257866"/>
    <w:rsid w:val="00261D1C"/>
    <w:rsid w:val="00264B23"/>
    <w:rsid w:val="0027022F"/>
    <w:rsid w:val="00270F37"/>
    <w:rsid w:val="0027354B"/>
    <w:rsid w:val="0027795F"/>
    <w:rsid w:val="00277FBB"/>
    <w:rsid w:val="00282AA4"/>
    <w:rsid w:val="002849E7"/>
    <w:rsid w:val="002850F8"/>
    <w:rsid w:val="00285460"/>
    <w:rsid w:val="00290F13"/>
    <w:rsid w:val="002912FE"/>
    <w:rsid w:val="00293B15"/>
    <w:rsid w:val="0029605F"/>
    <w:rsid w:val="002A0145"/>
    <w:rsid w:val="002A135F"/>
    <w:rsid w:val="002A1FB0"/>
    <w:rsid w:val="002A53F1"/>
    <w:rsid w:val="002A6ED8"/>
    <w:rsid w:val="002A7A47"/>
    <w:rsid w:val="002B136F"/>
    <w:rsid w:val="002B1D71"/>
    <w:rsid w:val="002B3541"/>
    <w:rsid w:val="002B38D3"/>
    <w:rsid w:val="002B7E49"/>
    <w:rsid w:val="002C036B"/>
    <w:rsid w:val="002C3913"/>
    <w:rsid w:val="002C419E"/>
    <w:rsid w:val="002C46D2"/>
    <w:rsid w:val="002C58EA"/>
    <w:rsid w:val="002C6C2C"/>
    <w:rsid w:val="002D334D"/>
    <w:rsid w:val="002D3D66"/>
    <w:rsid w:val="002D5696"/>
    <w:rsid w:val="002E3FBB"/>
    <w:rsid w:val="002E644E"/>
    <w:rsid w:val="002F0266"/>
    <w:rsid w:val="002F38BE"/>
    <w:rsid w:val="00300B36"/>
    <w:rsid w:val="003013D4"/>
    <w:rsid w:val="0030736D"/>
    <w:rsid w:val="00313A4B"/>
    <w:rsid w:val="00317FFE"/>
    <w:rsid w:val="003203BC"/>
    <w:rsid w:val="003230B5"/>
    <w:rsid w:val="00325BDB"/>
    <w:rsid w:val="00327ECB"/>
    <w:rsid w:val="00330512"/>
    <w:rsid w:val="0033218E"/>
    <w:rsid w:val="0033549B"/>
    <w:rsid w:val="00336656"/>
    <w:rsid w:val="00340BE0"/>
    <w:rsid w:val="00342CE5"/>
    <w:rsid w:val="003469C6"/>
    <w:rsid w:val="00347410"/>
    <w:rsid w:val="00350579"/>
    <w:rsid w:val="00352EE9"/>
    <w:rsid w:val="00353C7F"/>
    <w:rsid w:val="00361F65"/>
    <w:rsid w:val="00363B50"/>
    <w:rsid w:val="00364BA9"/>
    <w:rsid w:val="00371D01"/>
    <w:rsid w:val="0037242C"/>
    <w:rsid w:val="003727EB"/>
    <w:rsid w:val="00372F84"/>
    <w:rsid w:val="00375684"/>
    <w:rsid w:val="003770A5"/>
    <w:rsid w:val="00384063"/>
    <w:rsid w:val="00385A0F"/>
    <w:rsid w:val="00391309"/>
    <w:rsid w:val="003952F5"/>
    <w:rsid w:val="003957ED"/>
    <w:rsid w:val="003A0668"/>
    <w:rsid w:val="003A38EA"/>
    <w:rsid w:val="003A4B2B"/>
    <w:rsid w:val="003A587A"/>
    <w:rsid w:val="003A5BF8"/>
    <w:rsid w:val="003A6D3C"/>
    <w:rsid w:val="003A7FB4"/>
    <w:rsid w:val="003B3098"/>
    <w:rsid w:val="003C0B4E"/>
    <w:rsid w:val="003C0D01"/>
    <w:rsid w:val="003C1BCB"/>
    <w:rsid w:val="003C2488"/>
    <w:rsid w:val="003C2FCB"/>
    <w:rsid w:val="003C7627"/>
    <w:rsid w:val="003D1D77"/>
    <w:rsid w:val="003D2E4A"/>
    <w:rsid w:val="003D3DB1"/>
    <w:rsid w:val="003D5DE2"/>
    <w:rsid w:val="003D6208"/>
    <w:rsid w:val="003D747E"/>
    <w:rsid w:val="003E680F"/>
    <w:rsid w:val="003F482B"/>
    <w:rsid w:val="003F5672"/>
    <w:rsid w:val="003F71AD"/>
    <w:rsid w:val="004030E8"/>
    <w:rsid w:val="004060BE"/>
    <w:rsid w:val="00410585"/>
    <w:rsid w:val="004117DF"/>
    <w:rsid w:val="00413A8C"/>
    <w:rsid w:val="00413B92"/>
    <w:rsid w:val="0041463A"/>
    <w:rsid w:val="004151FD"/>
    <w:rsid w:val="004153A2"/>
    <w:rsid w:val="00416607"/>
    <w:rsid w:val="004166AC"/>
    <w:rsid w:val="004169C2"/>
    <w:rsid w:val="0041743B"/>
    <w:rsid w:val="004174E1"/>
    <w:rsid w:val="00425822"/>
    <w:rsid w:val="00425E66"/>
    <w:rsid w:val="004270FA"/>
    <w:rsid w:val="0043097A"/>
    <w:rsid w:val="004345EA"/>
    <w:rsid w:val="00436783"/>
    <w:rsid w:val="0044277B"/>
    <w:rsid w:val="00443168"/>
    <w:rsid w:val="004436B9"/>
    <w:rsid w:val="00443795"/>
    <w:rsid w:val="004442E6"/>
    <w:rsid w:val="0044447F"/>
    <w:rsid w:val="00444C25"/>
    <w:rsid w:val="00445D8A"/>
    <w:rsid w:val="00454490"/>
    <w:rsid w:val="0045455D"/>
    <w:rsid w:val="004551EA"/>
    <w:rsid w:val="00457DC6"/>
    <w:rsid w:val="00460664"/>
    <w:rsid w:val="0046507D"/>
    <w:rsid w:val="00466E38"/>
    <w:rsid w:val="00472C2B"/>
    <w:rsid w:val="00474B3F"/>
    <w:rsid w:val="004767AD"/>
    <w:rsid w:val="00481BA7"/>
    <w:rsid w:val="00483751"/>
    <w:rsid w:val="004838B9"/>
    <w:rsid w:val="00485D1B"/>
    <w:rsid w:val="00487C56"/>
    <w:rsid w:val="0049362C"/>
    <w:rsid w:val="00495647"/>
    <w:rsid w:val="00497EFD"/>
    <w:rsid w:val="004A0452"/>
    <w:rsid w:val="004A675C"/>
    <w:rsid w:val="004A737D"/>
    <w:rsid w:val="004A7D2A"/>
    <w:rsid w:val="004B7106"/>
    <w:rsid w:val="004C04F9"/>
    <w:rsid w:val="004C4199"/>
    <w:rsid w:val="004C44CB"/>
    <w:rsid w:val="004C48B0"/>
    <w:rsid w:val="004C5BEF"/>
    <w:rsid w:val="004C7668"/>
    <w:rsid w:val="004D2B24"/>
    <w:rsid w:val="004E29F4"/>
    <w:rsid w:val="004E301A"/>
    <w:rsid w:val="004E344C"/>
    <w:rsid w:val="004E5D63"/>
    <w:rsid w:val="004E632D"/>
    <w:rsid w:val="004E636F"/>
    <w:rsid w:val="004F00D9"/>
    <w:rsid w:val="004F09CD"/>
    <w:rsid w:val="004F167F"/>
    <w:rsid w:val="004F3699"/>
    <w:rsid w:val="004F6F1C"/>
    <w:rsid w:val="005001AF"/>
    <w:rsid w:val="005037BD"/>
    <w:rsid w:val="00503914"/>
    <w:rsid w:val="00507878"/>
    <w:rsid w:val="00512E49"/>
    <w:rsid w:val="00516C44"/>
    <w:rsid w:val="00522993"/>
    <w:rsid w:val="00524808"/>
    <w:rsid w:val="00533B0F"/>
    <w:rsid w:val="0053755F"/>
    <w:rsid w:val="0053764D"/>
    <w:rsid w:val="0054262F"/>
    <w:rsid w:val="00542B3A"/>
    <w:rsid w:val="00547659"/>
    <w:rsid w:val="005533D8"/>
    <w:rsid w:val="005546B4"/>
    <w:rsid w:val="00561220"/>
    <w:rsid w:val="00561AAA"/>
    <w:rsid w:val="00573751"/>
    <w:rsid w:val="00574AAD"/>
    <w:rsid w:val="00576282"/>
    <w:rsid w:val="00577706"/>
    <w:rsid w:val="00580443"/>
    <w:rsid w:val="00591B21"/>
    <w:rsid w:val="00591C29"/>
    <w:rsid w:val="005937EB"/>
    <w:rsid w:val="00594C8F"/>
    <w:rsid w:val="00597609"/>
    <w:rsid w:val="005A174B"/>
    <w:rsid w:val="005A46F9"/>
    <w:rsid w:val="005A652B"/>
    <w:rsid w:val="005B06FE"/>
    <w:rsid w:val="005B3D3A"/>
    <w:rsid w:val="005B3F2B"/>
    <w:rsid w:val="005B7DB0"/>
    <w:rsid w:val="005C415E"/>
    <w:rsid w:val="005D0A6F"/>
    <w:rsid w:val="005D3104"/>
    <w:rsid w:val="005D4EAA"/>
    <w:rsid w:val="005D7384"/>
    <w:rsid w:val="005D7F66"/>
    <w:rsid w:val="005E0B30"/>
    <w:rsid w:val="005E12F5"/>
    <w:rsid w:val="005E2383"/>
    <w:rsid w:val="005E3B7E"/>
    <w:rsid w:val="005E759C"/>
    <w:rsid w:val="005F1317"/>
    <w:rsid w:val="00600AB8"/>
    <w:rsid w:val="0060139E"/>
    <w:rsid w:val="00601418"/>
    <w:rsid w:val="00603111"/>
    <w:rsid w:val="006046CD"/>
    <w:rsid w:val="006047B8"/>
    <w:rsid w:val="00604ECA"/>
    <w:rsid w:val="006108FA"/>
    <w:rsid w:val="00610DB9"/>
    <w:rsid w:val="00611714"/>
    <w:rsid w:val="006211D3"/>
    <w:rsid w:val="00621A5B"/>
    <w:rsid w:val="0062257D"/>
    <w:rsid w:val="00624276"/>
    <w:rsid w:val="006247CE"/>
    <w:rsid w:val="00626651"/>
    <w:rsid w:val="00627C13"/>
    <w:rsid w:val="0063253D"/>
    <w:rsid w:val="00633A22"/>
    <w:rsid w:val="00637C3D"/>
    <w:rsid w:val="0064285F"/>
    <w:rsid w:val="006435E4"/>
    <w:rsid w:val="00643989"/>
    <w:rsid w:val="00646370"/>
    <w:rsid w:val="00650212"/>
    <w:rsid w:val="00650279"/>
    <w:rsid w:val="0065165F"/>
    <w:rsid w:val="006565D8"/>
    <w:rsid w:val="00657BE3"/>
    <w:rsid w:val="0066049F"/>
    <w:rsid w:val="00660C65"/>
    <w:rsid w:val="00662361"/>
    <w:rsid w:val="0066457C"/>
    <w:rsid w:val="00667277"/>
    <w:rsid w:val="00673C08"/>
    <w:rsid w:val="00677352"/>
    <w:rsid w:val="006802B1"/>
    <w:rsid w:val="00681EBD"/>
    <w:rsid w:val="006913D6"/>
    <w:rsid w:val="006930E3"/>
    <w:rsid w:val="006957CC"/>
    <w:rsid w:val="006961DF"/>
    <w:rsid w:val="00696EB2"/>
    <w:rsid w:val="006A1F94"/>
    <w:rsid w:val="006B110C"/>
    <w:rsid w:val="006B2D3B"/>
    <w:rsid w:val="006C2260"/>
    <w:rsid w:val="006D4DC4"/>
    <w:rsid w:val="006D6471"/>
    <w:rsid w:val="006D7C2A"/>
    <w:rsid w:val="006E0F68"/>
    <w:rsid w:val="006E5C60"/>
    <w:rsid w:val="006E6D0C"/>
    <w:rsid w:val="006E70E1"/>
    <w:rsid w:val="006F17B9"/>
    <w:rsid w:val="006F2518"/>
    <w:rsid w:val="006F3AA8"/>
    <w:rsid w:val="006F3D3A"/>
    <w:rsid w:val="006F5BFE"/>
    <w:rsid w:val="006F69D8"/>
    <w:rsid w:val="0070023C"/>
    <w:rsid w:val="00702D06"/>
    <w:rsid w:val="00705A6A"/>
    <w:rsid w:val="00706A7F"/>
    <w:rsid w:val="00710186"/>
    <w:rsid w:val="00710C53"/>
    <w:rsid w:val="00711209"/>
    <w:rsid w:val="007122C4"/>
    <w:rsid w:val="0071359E"/>
    <w:rsid w:val="00715047"/>
    <w:rsid w:val="0071656D"/>
    <w:rsid w:val="0071698D"/>
    <w:rsid w:val="00716F3B"/>
    <w:rsid w:val="00717073"/>
    <w:rsid w:val="00717DD3"/>
    <w:rsid w:val="0072409B"/>
    <w:rsid w:val="00724698"/>
    <w:rsid w:val="00726122"/>
    <w:rsid w:val="00731B04"/>
    <w:rsid w:val="0073289B"/>
    <w:rsid w:val="00733C41"/>
    <w:rsid w:val="00736A47"/>
    <w:rsid w:val="00741205"/>
    <w:rsid w:val="007429A5"/>
    <w:rsid w:val="007436D0"/>
    <w:rsid w:val="00746396"/>
    <w:rsid w:val="00746BDE"/>
    <w:rsid w:val="0075046C"/>
    <w:rsid w:val="00752032"/>
    <w:rsid w:val="00752FB1"/>
    <w:rsid w:val="007571C7"/>
    <w:rsid w:val="00764D98"/>
    <w:rsid w:val="007656B3"/>
    <w:rsid w:val="00765FA8"/>
    <w:rsid w:val="0076E6A5"/>
    <w:rsid w:val="007703AA"/>
    <w:rsid w:val="00771F41"/>
    <w:rsid w:val="007734D9"/>
    <w:rsid w:val="007755ED"/>
    <w:rsid w:val="00775BCD"/>
    <w:rsid w:val="00785708"/>
    <w:rsid w:val="007862BB"/>
    <w:rsid w:val="007931AC"/>
    <w:rsid w:val="00795262"/>
    <w:rsid w:val="007954BA"/>
    <w:rsid w:val="007A2088"/>
    <w:rsid w:val="007A2334"/>
    <w:rsid w:val="007A4EB7"/>
    <w:rsid w:val="007A4FCB"/>
    <w:rsid w:val="007A5DCB"/>
    <w:rsid w:val="007B44F8"/>
    <w:rsid w:val="007B7568"/>
    <w:rsid w:val="007B7A33"/>
    <w:rsid w:val="007C0C1F"/>
    <w:rsid w:val="007C2659"/>
    <w:rsid w:val="007C655D"/>
    <w:rsid w:val="007D22D2"/>
    <w:rsid w:val="007D332A"/>
    <w:rsid w:val="007D4CD8"/>
    <w:rsid w:val="007F0D7B"/>
    <w:rsid w:val="007F0EE0"/>
    <w:rsid w:val="007F43DE"/>
    <w:rsid w:val="007F4E6A"/>
    <w:rsid w:val="0080442B"/>
    <w:rsid w:val="00804605"/>
    <w:rsid w:val="00805AE8"/>
    <w:rsid w:val="008065A0"/>
    <w:rsid w:val="0081144D"/>
    <w:rsid w:val="008155F5"/>
    <w:rsid w:val="00817754"/>
    <w:rsid w:val="00823056"/>
    <w:rsid w:val="00827180"/>
    <w:rsid w:val="00827D4B"/>
    <w:rsid w:val="00831668"/>
    <w:rsid w:val="00832ED5"/>
    <w:rsid w:val="00833640"/>
    <w:rsid w:val="00837BDF"/>
    <w:rsid w:val="0084128A"/>
    <w:rsid w:val="0084257E"/>
    <w:rsid w:val="00844EB5"/>
    <w:rsid w:val="00844FAB"/>
    <w:rsid w:val="00845D77"/>
    <w:rsid w:val="00850546"/>
    <w:rsid w:val="00852280"/>
    <w:rsid w:val="008543F1"/>
    <w:rsid w:val="008650F7"/>
    <w:rsid w:val="00867215"/>
    <w:rsid w:val="008725F5"/>
    <w:rsid w:val="00873BFC"/>
    <w:rsid w:val="00875902"/>
    <w:rsid w:val="00876A96"/>
    <w:rsid w:val="008859B9"/>
    <w:rsid w:val="00887538"/>
    <w:rsid w:val="008946B7"/>
    <w:rsid w:val="0089600B"/>
    <w:rsid w:val="00897D11"/>
    <w:rsid w:val="008A39CB"/>
    <w:rsid w:val="008A6EAA"/>
    <w:rsid w:val="008B043F"/>
    <w:rsid w:val="008B100C"/>
    <w:rsid w:val="008B1536"/>
    <w:rsid w:val="008B1711"/>
    <w:rsid w:val="008B4D98"/>
    <w:rsid w:val="008B4DF8"/>
    <w:rsid w:val="008B54D0"/>
    <w:rsid w:val="008B58FF"/>
    <w:rsid w:val="008B76DB"/>
    <w:rsid w:val="008B7EEC"/>
    <w:rsid w:val="008C04E3"/>
    <w:rsid w:val="008C345F"/>
    <w:rsid w:val="008C6B83"/>
    <w:rsid w:val="008C7579"/>
    <w:rsid w:val="008D0AEA"/>
    <w:rsid w:val="008D254C"/>
    <w:rsid w:val="008D3557"/>
    <w:rsid w:val="008D5FA3"/>
    <w:rsid w:val="008E67DD"/>
    <w:rsid w:val="008F25A4"/>
    <w:rsid w:val="008F2F01"/>
    <w:rsid w:val="008F5FFA"/>
    <w:rsid w:val="008F6A91"/>
    <w:rsid w:val="008F7EB7"/>
    <w:rsid w:val="00903F6D"/>
    <w:rsid w:val="0090759D"/>
    <w:rsid w:val="00921D39"/>
    <w:rsid w:val="009229DB"/>
    <w:rsid w:val="00923D35"/>
    <w:rsid w:val="009240E8"/>
    <w:rsid w:val="00924815"/>
    <w:rsid w:val="00930853"/>
    <w:rsid w:val="00932334"/>
    <w:rsid w:val="00932A97"/>
    <w:rsid w:val="009331BB"/>
    <w:rsid w:val="0093328C"/>
    <w:rsid w:val="0094075C"/>
    <w:rsid w:val="00940F35"/>
    <w:rsid w:val="009453C4"/>
    <w:rsid w:val="009505C6"/>
    <w:rsid w:val="009508E7"/>
    <w:rsid w:val="00956A18"/>
    <w:rsid w:val="009632FD"/>
    <w:rsid w:val="00964DEB"/>
    <w:rsid w:val="00967089"/>
    <w:rsid w:val="00970FD1"/>
    <w:rsid w:val="00971F3B"/>
    <w:rsid w:val="00972E7B"/>
    <w:rsid w:val="0097590F"/>
    <w:rsid w:val="00975C3A"/>
    <w:rsid w:val="00984FC5"/>
    <w:rsid w:val="00986E45"/>
    <w:rsid w:val="00990B75"/>
    <w:rsid w:val="0099114D"/>
    <w:rsid w:val="00991A13"/>
    <w:rsid w:val="00991DBA"/>
    <w:rsid w:val="009939DB"/>
    <w:rsid w:val="00993A8C"/>
    <w:rsid w:val="00996496"/>
    <w:rsid w:val="009A1061"/>
    <w:rsid w:val="009A694B"/>
    <w:rsid w:val="009B4520"/>
    <w:rsid w:val="009C0786"/>
    <w:rsid w:val="009C322E"/>
    <w:rsid w:val="009C3366"/>
    <w:rsid w:val="009C4CFF"/>
    <w:rsid w:val="009D02F2"/>
    <w:rsid w:val="009D29BE"/>
    <w:rsid w:val="009E00CF"/>
    <w:rsid w:val="009E1D9E"/>
    <w:rsid w:val="009E6CD8"/>
    <w:rsid w:val="009E7AB8"/>
    <w:rsid w:val="009E7AC0"/>
    <w:rsid w:val="009E7B6A"/>
    <w:rsid w:val="009F1381"/>
    <w:rsid w:val="009F4243"/>
    <w:rsid w:val="009F6948"/>
    <w:rsid w:val="00A0444C"/>
    <w:rsid w:val="00A04547"/>
    <w:rsid w:val="00A11651"/>
    <w:rsid w:val="00A213C8"/>
    <w:rsid w:val="00A2295B"/>
    <w:rsid w:val="00A34B75"/>
    <w:rsid w:val="00A37315"/>
    <w:rsid w:val="00A40127"/>
    <w:rsid w:val="00A42304"/>
    <w:rsid w:val="00A45459"/>
    <w:rsid w:val="00A512E2"/>
    <w:rsid w:val="00A52CE1"/>
    <w:rsid w:val="00A53938"/>
    <w:rsid w:val="00A547AB"/>
    <w:rsid w:val="00A575A4"/>
    <w:rsid w:val="00A57FFD"/>
    <w:rsid w:val="00A63432"/>
    <w:rsid w:val="00A64969"/>
    <w:rsid w:val="00A64B08"/>
    <w:rsid w:val="00A71117"/>
    <w:rsid w:val="00A731BE"/>
    <w:rsid w:val="00A732A7"/>
    <w:rsid w:val="00A75224"/>
    <w:rsid w:val="00A76D3D"/>
    <w:rsid w:val="00A77304"/>
    <w:rsid w:val="00A80F83"/>
    <w:rsid w:val="00A81088"/>
    <w:rsid w:val="00A83E8F"/>
    <w:rsid w:val="00A86BF1"/>
    <w:rsid w:val="00A9416E"/>
    <w:rsid w:val="00A96907"/>
    <w:rsid w:val="00A97D3B"/>
    <w:rsid w:val="00AA280D"/>
    <w:rsid w:val="00AA36DF"/>
    <w:rsid w:val="00AA3C75"/>
    <w:rsid w:val="00AA5E18"/>
    <w:rsid w:val="00AB2C96"/>
    <w:rsid w:val="00AB3DDC"/>
    <w:rsid w:val="00AB605F"/>
    <w:rsid w:val="00AC10CB"/>
    <w:rsid w:val="00AC3876"/>
    <w:rsid w:val="00AC44F2"/>
    <w:rsid w:val="00AC4CF8"/>
    <w:rsid w:val="00AC5163"/>
    <w:rsid w:val="00AD2F02"/>
    <w:rsid w:val="00AE0DCD"/>
    <w:rsid w:val="00AE3DF8"/>
    <w:rsid w:val="00AF15C5"/>
    <w:rsid w:val="00AF5198"/>
    <w:rsid w:val="00AF6DA5"/>
    <w:rsid w:val="00AF7488"/>
    <w:rsid w:val="00B001E0"/>
    <w:rsid w:val="00B00BB5"/>
    <w:rsid w:val="00B00BC8"/>
    <w:rsid w:val="00B0296B"/>
    <w:rsid w:val="00B11614"/>
    <w:rsid w:val="00B11A9E"/>
    <w:rsid w:val="00B12BF7"/>
    <w:rsid w:val="00B12D81"/>
    <w:rsid w:val="00B137B2"/>
    <w:rsid w:val="00B1386B"/>
    <w:rsid w:val="00B22913"/>
    <w:rsid w:val="00B22D73"/>
    <w:rsid w:val="00B2764D"/>
    <w:rsid w:val="00B31D5D"/>
    <w:rsid w:val="00B324F1"/>
    <w:rsid w:val="00B33B1E"/>
    <w:rsid w:val="00B37377"/>
    <w:rsid w:val="00B37837"/>
    <w:rsid w:val="00B415A5"/>
    <w:rsid w:val="00B41C97"/>
    <w:rsid w:val="00B41FBE"/>
    <w:rsid w:val="00B43746"/>
    <w:rsid w:val="00B464E9"/>
    <w:rsid w:val="00B5198E"/>
    <w:rsid w:val="00B529BB"/>
    <w:rsid w:val="00B52E40"/>
    <w:rsid w:val="00B55B2B"/>
    <w:rsid w:val="00B6105B"/>
    <w:rsid w:val="00B630CD"/>
    <w:rsid w:val="00B6444E"/>
    <w:rsid w:val="00B6712C"/>
    <w:rsid w:val="00B70109"/>
    <w:rsid w:val="00B70EFA"/>
    <w:rsid w:val="00B715C9"/>
    <w:rsid w:val="00B721B2"/>
    <w:rsid w:val="00B73C36"/>
    <w:rsid w:val="00B75244"/>
    <w:rsid w:val="00B75714"/>
    <w:rsid w:val="00B7775C"/>
    <w:rsid w:val="00B77F4D"/>
    <w:rsid w:val="00B915BF"/>
    <w:rsid w:val="00B95A61"/>
    <w:rsid w:val="00B95ABA"/>
    <w:rsid w:val="00B961C6"/>
    <w:rsid w:val="00B96A38"/>
    <w:rsid w:val="00B97F62"/>
    <w:rsid w:val="00BA0BD4"/>
    <w:rsid w:val="00BA10C4"/>
    <w:rsid w:val="00BA329B"/>
    <w:rsid w:val="00BA4303"/>
    <w:rsid w:val="00BA6E16"/>
    <w:rsid w:val="00BB164B"/>
    <w:rsid w:val="00BB2320"/>
    <w:rsid w:val="00BB2C81"/>
    <w:rsid w:val="00BB3BBC"/>
    <w:rsid w:val="00BC04D1"/>
    <w:rsid w:val="00BC1C6A"/>
    <w:rsid w:val="00BC22AB"/>
    <w:rsid w:val="00BC2BA4"/>
    <w:rsid w:val="00BC32C3"/>
    <w:rsid w:val="00BC4C86"/>
    <w:rsid w:val="00BC7E1A"/>
    <w:rsid w:val="00BD7BDE"/>
    <w:rsid w:val="00BE02DB"/>
    <w:rsid w:val="00BE229B"/>
    <w:rsid w:val="00BE271D"/>
    <w:rsid w:val="00BE4FAB"/>
    <w:rsid w:val="00BE524E"/>
    <w:rsid w:val="00BE5B7B"/>
    <w:rsid w:val="00BE5D42"/>
    <w:rsid w:val="00BE62D3"/>
    <w:rsid w:val="00BE7CCE"/>
    <w:rsid w:val="00BF25A2"/>
    <w:rsid w:val="00BF39E2"/>
    <w:rsid w:val="00BF3AE6"/>
    <w:rsid w:val="00BF3D41"/>
    <w:rsid w:val="00C04D16"/>
    <w:rsid w:val="00C10467"/>
    <w:rsid w:val="00C10E8C"/>
    <w:rsid w:val="00C147A6"/>
    <w:rsid w:val="00C1686B"/>
    <w:rsid w:val="00C17BC2"/>
    <w:rsid w:val="00C200E9"/>
    <w:rsid w:val="00C270F4"/>
    <w:rsid w:val="00C30D59"/>
    <w:rsid w:val="00C342C8"/>
    <w:rsid w:val="00C34D44"/>
    <w:rsid w:val="00C35752"/>
    <w:rsid w:val="00C362D8"/>
    <w:rsid w:val="00C36997"/>
    <w:rsid w:val="00C403A2"/>
    <w:rsid w:val="00C42630"/>
    <w:rsid w:val="00C44C84"/>
    <w:rsid w:val="00C5197D"/>
    <w:rsid w:val="00C602FE"/>
    <w:rsid w:val="00C632E1"/>
    <w:rsid w:val="00C63934"/>
    <w:rsid w:val="00C6576B"/>
    <w:rsid w:val="00C65875"/>
    <w:rsid w:val="00C66039"/>
    <w:rsid w:val="00C67707"/>
    <w:rsid w:val="00C67952"/>
    <w:rsid w:val="00C679B9"/>
    <w:rsid w:val="00C701F2"/>
    <w:rsid w:val="00C725D3"/>
    <w:rsid w:val="00C73172"/>
    <w:rsid w:val="00C749BC"/>
    <w:rsid w:val="00C81445"/>
    <w:rsid w:val="00C8182A"/>
    <w:rsid w:val="00C8271B"/>
    <w:rsid w:val="00C86F0D"/>
    <w:rsid w:val="00C90A45"/>
    <w:rsid w:val="00C90C3D"/>
    <w:rsid w:val="00C94F27"/>
    <w:rsid w:val="00C9507E"/>
    <w:rsid w:val="00CA2303"/>
    <w:rsid w:val="00CB0B95"/>
    <w:rsid w:val="00CB1CBD"/>
    <w:rsid w:val="00CB30A9"/>
    <w:rsid w:val="00CB7999"/>
    <w:rsid w:val="00CC4FA7"/>
    <w:rsid w:val="00CC65D4"/>
    <w:rsid w:val="00CC65F3"/>
    <w:rsid w:val="00CC69F7"/>
    <w:rsid w:val="00CD1582"/>
    <w:rsid w:val="00CD3125"/>
    <w:rsid w:val="00CD3156"/>
    <w:rsid w:val="00CD5611"/>
    <w:rsid w:val="00CD745D"/>
    <w:rsid w:val="00CE3A88"/>
    <w:rsid w:val="00CF3BD4"/>
    <w:rsid w:val="00D01AC5"/>
    <w:rsid w:val="00D04692"/>
    <w:rsid w:val="00D04A9A"/>
    <w:rsid w:val="00D05CFE"/>
    <w:rsid w:val="00D06480"/>
    <w:rsid w:val="00D10038"/>
    <w:rsid w:val="00D11C79"/>
    <w:rsid w:val="00D14FD6"/>
    <w:rsid w:val="00D15A65"/>
    <w:rsid w:val="00D15B48"/>
    <w:rsid w:val="00D16FF0"/>
    <w:rsid w:val="00D2174D"/>
    <w:rsid w:val="00D217AF"/>
    <w:rsid w:val="00D27047"/>
    <w:rsid w:val="00D2749B"/>
    <w:rsid w:val="00D41262"/>
    <w:rsid w:val="00D44F69"/>
    <w:rsid w:val="00D45550"/>
    <w:rsid w:val="00D47800"/>
    <w:rsid w:val="00D4F542"/>
    <w:rsid w:val="00D51E6E"/>
    <w:rsid w:val="00D52427"/>
    <w:rsid w:val="00D53780"/>
    <w:rsid w:val="00D60078"/>
    <w:rsid w:val="00D62738"/>
    <w:rsid w:val="00D6547A"/>
    <w:rsid w:val="00D76742"/>
    <w:rsid w:val="00D81173"/>
    <w:rsid w:val="00D821C7"/>
    <w:rsid w:val="00D8471C"/>
    <w:rsid w:val="00D8475E"/>
    <w:rsid w:val="00D85B2D"/>
    <w:rsid w:val="00D90739"/>
    <w:rsid w:val="00DA45DE"/>
    <w:rsid w:val="00DA5768"/>
    <w:rsid w:val="00DA5F5E"/>
    <w:rsid w:val="00DB0D01"/>
    <w:rsid w:val="00DB1040"/>
    <w:rsid w:val="00DB2E3B"/>
    <w:rsid w:val="00DB3958"/>
    <w:rsid w:val="00DB3D3E"/>
    <w:rsid w:val="00DB6318"/>
    <w:rsid w:val="00DB6F56"/>
    <w:rsid w:val="00DC25BE"/>
    <w:rsid w:val="00DC2D16"/>
    <w:rsid w:val="00DC35FD"/>
    <w:rsid w:val="00DC3E93"/>
    <w:rsid w:val="00DC40F2"/>
    <w:rsid w:val="00DC5F5C"/>
    <w:rsid w:val="00DC71BF"/>
    <w:rsid w:val="00DC7272"/>
    <w:rsid w:val="00DD061E"/>
    <w:rsid w:val="00DD0DF3"/>
    <w:rsid w:val="00DD2008"/>
    <w:rsid w:val="00DD5B75"/>
    <w:rsid w:val="00DD5D40"/>
    <w:rsid w:val="00DD5FB4"/>
    <w:rsid w:val="00DD6DA6"/>
    <w:rsid w:val="00DE4A6D"/>
    <w:rsid w:val="00DF1686"/>
    <w:rsid w:val="00DF3026"/>
    <w:rsid w:val="00DF335E"/>
    <w:rsid w:val="00DF36F7"/>
    <w:rsid w:val="00DF476A"/>
    <w:rsid w:val="00DF5372"/>
    <w:rsid w:val="00DF7A00"/>
    <w:rsid w:val="00E10394"/>
    <w:rsid w:val="00E1493F"/>
    <w:rsid w:val="00E14BE9"/>
    <w:rsid w:val="00E15A7C"/>
    <w:rsid w:val="00E1696F"/>
    <w:rsid w:val="00E20863"/>
    <w:rsid w:val="00E243F8"/>
    <w:rsid w:val="00E26421"/>
    <w:rsid w:val="00E34798"/>
    <w:rsid w:val="00E347FA"/>
    <w:rsid w:val="00E34AF3"/>
    <w:rsid w:val="00E35D1E"/>
    <w:rsid w:val="00E37ADD"/>
    <w:rsid w:val="00E40A8D"/>
    <w:rsid w:val="00E420A9"/>
    <w:rsid w:val="00E42C94"/>
    <w:rsid w:val="00E44336"/>
    <w:rsid w:val="00E446A2"/>
    <w:rsid w:val="00E4491E"/>
    <w:rsid w:val="00E46082"/>
    <w:rsid w:val="00E559A0"/>
    <w:rsid w:val="00E560BE"/>
    <w:rsid w:val="00E57413"/>
    <w:rsid w:val="00E57DBE"/>
    <w:rsid w:val="00E622BB"/>
    <w:rsid w:val="00E64624"/>
    <w:rsid w:val="00E65074"/>
    <w:rsid w:val="00E67264"/>
    <w:rsid w:val="00E7160B"/>
    <w:rsid w:val="00E7400B"/>
    <w:rsid w:val="00E75651"/>
    <w:rsid w:val="00E76767"/>
    <w:rsid w:val="00E802B0"/>
    <w:rsid w:val="00E838E1"/>
    <w:rsid w:val="00E868B2"/>
    <w:rsid w:val="00E92C96"/>
    <w:rsid w:val="00E930E4"/>
    <w:rsid w:val="00E957A1"/>
    <w:rsid w:val="00E957B3"/>
    <w:rsid w:val="00E97DCB"/>
    <w:rsid w:val="00EA06D5"/>
    <w:rsid w:val="00EA1B43"/>
    <w:rsid w:val="00EA1D3B"/>
    <w:rsid w:val="00EA3CC3"/>
    <w:rsid w:val="00EA75A9"/>
    <w:rsid w:val="00EA779D"/>
    <w:rsid w:val="00EB3E1E"/>
    <w:rsid w:val="00EB77DE"/>
    <w:rsid w:val="00EC1945"/>
    <w:rsid w:val="00EC2281"/>
    <w:rsid w:val="00EC2EA1"/>
    <w:rsid w:val="00EC3793"/>
    <w:rsid w:val="00EC4B4B"/>
    <w:rsid w:val="00EC6395"/>
    <w:rsid w:val="00EC64F9"/>
    <w:rsid w:val="00EC6D2B"/>
    <w:rsid w:val="00EC7020"/>
    <w:rsid w:val="00ED6B2C"/>
    <w:rsid w:val="00ED7389"/>
    <w:rsid w:val="00EE41A3"/>
    <w:rsid w:val="00EE6611"/>
    <w:rsid w:val="00EE7FBD"/>
    <w:rsid w:val="00EF07B9"/>
    <w:rsid w:val="00EF1289"/>
    <w:rsid w:val="00EF25A1"/>
    <w:rsid w:val="00EF3344"/>
    <w:rsid w:val="00EF3B03"/>
    <w:rsid w:val="00EF6116"/>
    <w:rsid w:val="00EF6D01"/>
    <w:rsid w:val="00EF6FC4"/>
    <w:rsid w:val="00F00A96"/>
    <w:rsid w:val="00F023E6"/>
    <w:rsid w:val="00F02548"/>
    <w:rsid w:val="00F04D7C"/>
    <w:rsid w:val="00F06FAA"/>
    <w:rsid w:val="00F07734"/>
    <w:rsid w:val="00F1198A"/>
    <w:rsid w:val="00F20C79"/>
    <w:rsid w:val="00F211F3"/>
    <w:rsid w:val="00F2345A"/>
    <w:rsid w:val="00F2430C"/>
    <w:rsid w:val="00F30143"/>
    <w:rsid w:val="00F328A9"/>
    <w:rsid w:val="00F34B51"/>
    <w:rsid w:val="00F35E33"/>
    <w:rsid w:val="00F40389"/>
    <w:rsid w:val="00F47834"/>
    <w:rsid w:val="00F50BE8"/>
    <w:rsid w:val="00F512A2"/>
    <w:rsid w:val="00F51999"/>
    <w:rsid w:val="00F54E4E"/>
    <w:rsid w:val="00F55AA3"/>
    <w:rsid w:val="00F57721"/>
    <w:rsid w:val="00F65A25"/>
    <w:rsid w:val="00F72C35"/>
    <w:rsid w:val="00F72DD0"/>
    <w:rsid w:val="00F756EF"/>
    <w:rsid w:val="00F7573F"/>
    <w:rsid w:val="00F75774"/>
    <w:rsid w:val="00F773A3"/>
    <w:rsid w:val="00F81366"/>
    <w:rsid w:val="00F8441C"/>
    <w:rsid w:val="00F84F85"/>
    <w:rsid w:val="00F85EAC"/>
    <w:rsid w:val="00F87A83"/>
    <w:rsid w:val="00F90CBE"/>
    <w:rsid w:val="00F95A1A"/>
    <w:rsid w:val="00F95A27"/>
    <w:rsid w:val="00FA7130"/>
    <w:rsid w:val="00FB25D1"/>
    <w:rsid w:val="00FB3717"/>
    <w:rsid w:val="00FC185A"/>
    <w:rsid w:val="00FC480B"/>
    <w:rsid w:val="00FC569E"/>
    <w:rsid w:val="00FC58FF"/>
    <w:rsid w:val="00FC64E5"/>
    <w:rsid w:val="00FC732B"/>
    <w:rsid w:val="00FD49B4"/>
    <w:rsid w:val="00FD5B81"/>
    <w:rsid w:val="00FD774B"/>
    <w:rsid w:val="00FE1A09"/>
    <w:rsid w:val="00FE2F34"/>
    <w:rsid w:val="00FE4B19"/>
    <w:rsid w:val="00FE6717"/>
    <w:rsid w:val="00FE6725"/>
    <w:rsid w:val="00FF0733"/>
    <w:rsid w:val="00FF3F0F"/>
    <w:rsid w:val="00FF5CD4"/>
    <w:rsid w:val="00FF5DC2"/>
    <w:rsid w:val="00FF7768"/>
    <w:rsid w:val="012FDEF2"/>
    <w:rsid w:val="020E31F0"/>
    <w:rsid w:val="022247DB"/>
    <w:rsid w:val="023A1A26"/>
    <w:rsid w:val="02658ECD"/>
    <w:rsid w:val="02C8276F"/>
    <w:rsid w:val="02CB7898"/>
    <w:rsid w:val="036BFD67"/>
    <w:rsid w:val="04A1226B"/>
    <w:rsid w:val="04E5DF88"/>
    <w:rsid w:val="062E0DD9"/>
    <w:rsid w:val="067304C8"/>
    <w:rsid w:val="0893E172"/>
    <w:rsid w:val="08E4E5B3"/>
    <w:rsid w:val="09027898"/>
    <w:rsid w:val="0ACA3E10"/>
    <w:rsid w:val="0B282B36"/>
    <w:rsid w:val="0B2BA22A"/>
    <w:rsid w:val="0B32F35B"/>
    <w:rsid w:val="0B95DC68"/>
    <w:rsid w:val="0BF1EA42"/>
    <w:rsid w:val="0D156F2F"/>
    <w:rsid w:val="0DEBA06C"/>
    <w:rsid w:val="0E460477"/>
    <w:rsid w:val="0F7FB45A"/>
    <w:rsid w:val="0F9CE5C3"/>
    <w:rsid w:val="0FA74FDD"/>
    <w:rsid w:val="0FDB2F93"/>
    <w:rsid w:val="100FA3A4"/>
    <w:rsid w:val="10C05D34"/>
    <w:rsid w:val="10C94A8A"/>
    <w:rsid w:val="12E4F034"/>
    <w:rsid w:val="130D5A38"/>
    <w:rsid w:val="1327E208"/>
    <w:rsid w:val="1340C541"/>
    <w:rsid w:val="1382B13F"/>
    <w:rsid w:val="13E85A67"/>
    <w:rsid w:val="148ED43E"/>
    <w:rsid w:val="14DB8CE3"/>
    <w:rsid w:val="14FDD9F5"/>
    <w:rsid w:val="15EF450A"/>
    <w:rsid w:val="171A3745"/>
    <w:rsid w:val="176521AA"/>
    <w:rsid w:val="176D4BAA"/>
    <w:rsid w:val="1A49239B"/>
    <w:rsid w:val="1B690091"/>
    <w:rsid w:val="1B9E9B4C"/>
    <w:rsid w:val="1BA41A61"/>
    <w:rsid w:val="1C37CBC3"/>
    <w:rsid w:val="1C95E0A7"/>
    <w:rsid w:val="1DCC41F9"/>
    <w:rsid w:val="1E51AF81"/>
    <w:rsid w:val="1ED5A496"/>
    <w:rsid w:val="1F3773EA"/>
    <w:rsid w:val="1F768FC2"/>
    <w:rsid w:val="1FE85162"/>
    <w:rsid w:val="20080883"/>
    <w:rsid w:val="20C8678E"/>
    <w:rsid w:val="2128F7CF"/>
    <w:rsid w:val="2138FB39"/>
    <w:rsid w:val="2192356C"/>
    <w:rsid w:val="2268A21D"/>
    <w:rsid w:val="231F5AAC"/>
    <w:rsid w:val="23672A77"/>
    <w:rsid w:val="236C0C50"/>
    <w:rsid w:val="23722EF5"/>
    <w:rsid w:val="23C8FCAC"/>
    <w:rsid w:val="244CB5BE"/>
    <w:rsid w:val="2571214F"/>
    <w:rsid w:val="25DCE86D"/>
    <w:rsid w:val="25E4A256"/>
    <w:rsid w:val="26BB0F07"/>
    <w:rsid w:val="27B68797"/>
    <w:rsid w:val="27F33872"/>
    <w:rsid w:val="27FF7649"/>
    <w:rsid w:val="287B02DF"/>
    <w:rsid w:val="28A9B72F"/>
    <w:rsid w:val="293B5FC2"/>
    <w:rsid w:val="298F8166"/>
    <w:rsid w:val="299527F5"/>
    <w:rsid w:val="29AD2162"/>
    <w:rsid w:val="2A838E13"/>
    <w:rsid w:val="2AC88502"/>
    <w:rsid w:val="2AE73DD6"/>
    <w:rsid w:val="2B0CA72D"/>
    <w:rsid w:val="2B7D13C1"/>
    <w:rsid w:val="2CB72D2A"/>
    <w:rsid w:val="2CCC313F"/>
    <w:rsid w:val="2DD72356"/>
    <w:rsid w:val="2EB4AEE4"/>
    <w:rsid w:val="2EBE850D"/>
    <w:rsid w:val="2EE7F26F"/>
    <w:rsid w:val="2FC2D724"/>
    <w:rsid w:val="30D281E5"/>
    <w:rsid w:val="31099A14"/>
    <w:rsid w:val="31B603D8"/>
    <w:rsid w:val="31C15365"/>
    <w:rsid w:val="325CCD80"/>
    <w:rsid w:val="32FAF556"/>
    <w:rsid w:val="3361B9AB"/>
    <w:rsid w:val="336BD7D9"/>
    <w:rsid w:val="33E2B747"/>
    <w:rsid w:val="3455018C"/>
    <w:rsid w:val="34C1C251"/>
    <w:rsid w:val="351BA29B"/>
    <w:rsid w:val="36988923"/>
    <w:rsid w:val="36EDBECA"/>
    <w:rsid w:val="372F707A"/>
    <w:rsid w:val="3732B5B9"/>
    <w:rsid w:val="373A706E"/>
    <w:rsid w:val="38125C4A"/>
    <w:rsid w:val="382DA2EA"/>
    <w:rsid w:val="3840FDB2"/>
    <w:rsid w:val="3984E99C"/>
    <w:rsid w:val="3AA0246C"/>
    <w:rsid w:val="3AC16272"/>
    <w:rsid w:val="3C96AC42"/>
    <w:rsid w:val="3ED03AE4"/>
    <w:rsid w:val="3F59EEF0"/>
    <w:rsid w:val="40088C9F"/>
    <w:rsid w:val="4133C5D4"/>
    <w:rsid w:val="413B90BD"/>
    <w:rsid w:val="431ABD28"/>
    <w:rsid w:val="43385967"/>
    <w:rsid w:val="43F02855"/>
    <w:rsid w:val="4408F333"/>
    <w:rsid w:val="448D1359"/>
    <w:rsid w:val="449F5484"/>
    <w:rsid w:val="46CE610F"/>
    <w:rsid w:val="47A15A8B"/>
    <w:rsid w:val="4897F93B"/>
    <w:rsid w:val="4913C0AF"/>
    <w:rsid w:val="495E3FD4"/>
    <w:rsid w:val="4A1C4040"/>
    <w:rsid w:val="4A290059"/>
    <w:rsid w:val="4A479922"/>
    <w:rsid w:val="4A9D1FD9"/>
    <w:rsid w:val="4B3F35D1"/>
    <w:rsid w:val="4B454E79"/>
    <w:rsid w:val="4C2594D5"/>
    <w:rsid w:val="4C74CBAE"/>
    <w:rsid w:val="4C7E005F"/>
    <w:rsid w:val="4CCAB203"/>
    <w:rsid w:val="4CEC87BC"/>
    <w:rsid w:val="4F2ED07B"/>
    <w:rsid w:val="4F548A94"/>
    <w:rsid w:val="51699DC0"/>
    <w:rsid w:val="53147A4A"/>
    <w:rsid w:val="53C19C25"/>
    <w:rsid w:val="555DFCB8"/>
    <w:rsid w:val="55B0657F"/>
    <w:rsid w:val="55EBC889"/>
    <w:rsid w:val="565F75F3"/>
    <w:rsid w:val="56E09362"/>
    <w:rsid w:val="573107C9"/>
    <w:rsid w:val="57F5FE98"/>
    <w:rsid w:val="58C353EB"/>
    <w:rsid w:val="592D3254"/>
    <w:rsid w:val="5951A184"/>
    <w:rsid w:val="59891C42"/>
    <w:rsid w:val="59D5CDE6"/>
    <w:rsid w:val="5A0B3635"/>
    <w:rsid w:val="5A20C5BC"/>
    <w:rsid w:val="5A84CBC0"/>
    <w:rsid w:val="5B77C46A"/>
    <w:rsid w:val="5C19ABB5"/>
    <w:rsid w:val="5E99FC70"/>
    <w:rsid w:val="5EA59497"/>
    <w:rsid w:val="5EE62240"/>
    <w:rsid w:val="5F75357F"/>
    <w:rsid w:val="5FD91200"/>
    <w:rsid w:val="610220ED"/>
    <w:rsid w:val="616FC23D"/>
    <w:rsid w:val="62058B20"/>
    <w:rsid w:val="6242C75A"/>
    <w:rsid w:val="62C25382"/>
    <w:rsid w:val="6365E5AF"/>
    <w:rsid w:val="6399C2F5"/>
    <w:rsid w:val="63BC4B29"/>
    <w:rsid w:val="63D4CB92"/>
    <w:rsid w:val="6561DBE6"/>
    <w:rsid w:val="656673C6"/>
    <w:rsid w:val="65E1109C"/>
    <w:rsid w:val="6613E2D2"/>
    <w:rsid w:val="66EBCDEC"/>
    <w:rsid w:val="670C6C54"/>
    <w:rsid w:val="67882CEE"/>
    <w:rsid w:val="6801730D"/>
    <w:rsid w:val="689351D6"/>
    <w:rsid w:val="691C5C35"/>
    <w:rsid w:val="69AEB576"/>
    <w:rsid w:val="6A10385E"/>
    <w:rsid w:val="6A6D28BA"/>
    <w:rsid w:val="6A885721"/>
    <w:rsid w:val="6AE3B6B8"/>
    <w:rsid w:val="6D22FAFA"/>
    <w:rsid w:val="6D5FA397"/>
    <w:rsid w:val="6DF4E957"/>
    <w:rsid w:val="6E976480"/>
    <w:rsid w:val="70504CF1"/>
    <w:rsid w:val="70EF3AB9"/>
    <w:rsid w:val="70F7C747"/>
    <w:rsid w:val="72072BF0"/>
    <w:rsid w:val="721B310D"/>
    <w:rsid w:val="723FF598"/>
    <w:rsid w:val="745EC36B"/>
    <w:rsid w:val="74E791F3"/>
    <w:rsid w:val="7552D1CF"/>
    <w:rsid w:val="75DE5ECC"/>
    <w:rsid w:val="7620A0E2"/>
    <w:rsid w:val="7713C342"/>
    <w:rsid w:val="7758907B"/>
    <w:rsid w:val="77CA521B"/>
    <w:rsid w:val="78B5C2E1"/>
    <w:rsid w:val="78E5B5BB"/>
    <w:rsid w:val="79027B86"/>
    <w:rsid w:val="7912B33D"/>
    <w:rsid w:val="792AACAA"/>
    <w:rsid w:val="794A573B"/>
    <w:rsid w:val="7A88E6E0"/>
    <w:rsid w:val="7ADFB5FA"/>
    <w:rsid w:val="7AF171CF"/>
    <w:rsid w:val="7B072712"/>
    <w:rsid w:val="7C07BEF8"/>
    <w:rsid w:val="7C2479BA"/>
    <w:rsid w:val="7C3984D0"/>
    <w:rsid w:val="7DAA75EF"/>
    <w:rsid w:val="7DDD8727"/>
    <w:rsid w:val="7DF695E9"/>
    <w:rsid w:val="7ED23C38"/>
    <w:rsid w:val="7F42CD85"/>
    <w:rsid w:val="7FB0B8AB"/>
  </w:rsids>
  <w:docVars>
    <w:docVar w:name="EN.InstantFormat" w:val="&lt;ENInstantFormat&gt;&lt;Enabled&gt;1&lt;/Enabled&gt;&lt;ScanUnformatted&gt;1&lt;/ScanUnformatted&gt;&lt;ScanChanges&gt;1&lt;/ScanChanges&gt;&lt;Suspended&gt;0&lt;/Suspended&gt;&lt;/ENInstantFormat&gt;"/>
    <w:docVar w:name="EN.Layout" w:val="&lt;ENLayout&gt;&lt;Style&gt;Numbere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pw5wz0atzsr5bewttm5zdzqpvwdw5tw2rzw&quot;&gt;Child_CHDSurvey_Findings&lt;record-ids&gt;&lt;item&gt;14&lt;/item&gt;&lt;/record-ids&gt;&lt;/item&gt;&lt;/Libraries&gt;"/>
    <w:docVar w:name="__Grammarly_42___1" w:val="H4sIAAAAAAAEAKtWcslP9kxRslIyNDY2NDUxNjQ0MTI2MjMA0ko6SsGpxcWZ+XkgBaa1APDEZoYs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61D4FAED"/>
  <w15:docId w15:val="{1807B644-9DC7-4543-BBAD-1A13FB09C7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3BF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73BFC"/>
    <w:pPr>
      <w:keepNext/>
      <w:pBdr>
        <w:top w:val="single" w:sz="4" w:space="1" w:color="auto"/>
      </w:pBdr>
      <w:spacing w:before="360" w:after="120"/>
      <w:jc w:val="center"/>
      <w:outlineLvl w:val="0"/>
    </w:pPr>
    <w:rPr>
      <w:rFonts w:ascii="Cambria" w:hAnsi="Cambria"/>
      <w:b/>
      <w:bCs/>
      <w:kern w:val="32"/>
      <w:sz w:val="36"/>
      <w:szCs w:val="36"/>
    </w:rPr>
  </w:style>
  <w:style w:type="paragraph" w:styleId="Heading2">
    <w:name w:val="heading 2"/>
    <w:basedOn w:val="ListParagraph"/>
    <w:next w:val="Normal"/>
    <w:link w:val="Heading2Char"/>
    <w:qFormat/>
    <w:rsid w:val="00873BFC"/>
    <w:pPr>
      <w:spacing w:before="120" w:after="120"/>
      <w:ind w:left="0"/>
      <w:outlineLvl w:val="1"/>
    </w:pPr>
    <w:rPr>
      <w:rFonts w:ascii="Cambria" w:hAnsi="Cambria"/>
      <w:b/>
      <w:i/>
    </w:rPr>
  </w:style>
  <w:style w:type="paragraph" w:styleId="Heading3">
    <w:name w:val="heading 3"/>
    <w:basedOn w:val="Normal"/>
    <w:next w:val="Normal"/>
    <w:link w:val="Heading3Char"/>
    <w:qFormat/>
    <w:rsid w:val="00873BF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C10E8C"/>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3BFC"/>
    <w:rPr>
      <w:rFonts w:ascii="Cambria" w:eastAsia="Times New Roman" w:hAnsi="Cambria" w:cs="Times New Roman"/>
      <w:b/>
      <w:bCs/>
      <w:kern w:val="32"/>
      <w:sz w:val="36"/>
      <w:szCs w:val="36"/>
    </w:rPr>
  </w:style>
  <w:style w:type="character" w:customStyle="1" w:styleId="Heading2Char">
    <w:name w:val="Heading 2 Char"/>
    <w:basedOn w:val="DefaultParagraphFont"/>
    <w:link w:val="Heading2"/>
    <w:rsid w:val="00873BFC"/>
    <w:rPr>
      <w:rFonts w:ascii="Cambria" w:eastAsia="Times New Roman" w:hAnsi="Cambria" w:cs="Times New Roman"/>
      <w:b/>
      <w:i/>
    </w:rPr>
  </w:style>
  <w:style w:type="character" w:customStyle="1" w:styleId="Heading3Char">
    <w:name w:val="Heading 3 Char"/>
    <w:basedOn w:val="DefaultParagraphFont"/>
    <w:link w:val="Heading3"/>
    <w:rsid w:val="00873BFC"/>
    <w:rPr>
      <w:rFonts w:ascii="Cambria" w:eastAsia="Times New Roman" w:hAnsi="Cambria" w:cs="Times New Roman"/>
      <w:b/>
      <w:bCs/>
      <w:sz w:val="26"/>
      <w:szCs w:val="26"/>
    </w:rPr>
  </w:style>
  <w:style w:type="paragraph" w:styleId="ListParagraph">
    <w:name w:val="List Paragraph"/>
    <w:basedOn w:val="Normal"/>
    <w:link w:val="ListParagraphChar"/>
    <w:uiPriority w:val="34"/>
    <w:qFormat/>
    <w:rsid w:val="00873BFC"/>
    <w:pPr>
      <w:spacing w:after="200" w:line="276" w:lineRule="auto"/>
      <w:ind w:left="720"/>
      <w:contextualSpacing/>
    </w:pPr>
    <w:rPr>
      <w:sz w:val="22"/>
      <w:szCs w:val="22"/>
    </w:rPr>
  </w:style>
  <w:style w:type="paragraph" w:styleId="Title">
    <w:name w:val="Title"/>
    <w:basedOn w:val="Normal"/>
    <w:next w:val="Normal"/>
    <w:link w:val="TitleChar"/>
    <w:qFormat/>
    <w:rsid w:val="00873BFC"/>
    <w:pPr>
      <w:spacing w:before="240" w:after="60" w:line="276" w:lineRule="auto"/>
      <w:jc w:val="center"/>
      <w:outlineLvl w:val="0"/>
    </w:pPr>
    <w:rPr>
      <w:rFonts w:ascii="Cambria" w:hAnsi="Cambria"/>
      <w:b/>
      <w:bCs/>
      <w:kern w:val="28"/>
      <w:sz w:val="32"/>
      <w:szCs w:val="32"/>
    </w:rPr>
  </w:style>
  <w:style w:type="character" w:customStyle="1" w:styleId="TitleChar">
    <w:name w:val="Title Char"/>
    <w:basedOn w:val="DefaultParagraphFont"/>
    <w:link w:val="Title"/>
    <w:rsid w:val="00873BFC"/>
    <w:rPr>
      <w:rFonts w:ascii="Cambria" w:eastAsia="Times New Roman" w:hAnsi="Cambria" w:cs="Times New Roman"/>
      <w:b/>
      <w:bCs/>
      <w:kern w:val="28"/>
      <w:sz w:val="32"/>
      <w:szCs w:val="32"/>
    </w:rPr>
  </w:style>
  <w:style w:type="character" w:customStyle="1" w:styleId="ListParagraphChar">
    <w:name w:val="List Paragraph Char"/>
    <w:basedOn w:val="DefaultParagraphFont"/>
    <w:link w:val="ListParagraph"/>
    <w:rsid w:val="00873BFC"/>
    <w:rPr>
      <w:rFonts w:ascii="Times New Roman" w:eastAsia="Times New Roman" w:hAnsi="Times New Roman" w:cs="Times New Roman"/>
    </w:rPr>
  </w:style>
  <w:style w:type="paragraph" w:customStyle="1" w:styleId="ListBullet1">
    <w:name w:val="List Bullet 1"/>
    <w:basedOn w:val="Normal"/>
    <w:link w:val="ListBullet1Char"/>
    <w:qFormat/>
    <w:rsid w:val="00873BFC"/>
    <w:pPr>
      <w:numPr>
        <w:numId w:val="1"/>
      </w:numPr>
      <w:tabs>
        <w:tab w:val="left" w:pos="1080"/>
      </w:tabs>
      <w:spacing w:before="120"/>
      <w:outlineLvl w:val="0"/>
    </w:pPr>
    <w:rPr>
      <w:bCs/>
      <w:kern w:val="32"/>
      <w:sz w:val="22"/>
      <w:szCs w:val="22"/>
    </w:rPr>
  </w:style>
  <w:style w:type="character" w:customStyle="1" w:styleId="ListBullet1Char">
    <w:name w:val="List Bullet 1 Char"/>
    <w:basedOn w:val="DefaultParagraphFont"/>
    <w:link w:val="ListBullet1"/>
    <w:rsid w:val="00873BFC"/>
    <w:rPr>
      <w:rFonts w:ascii="Times New Roman" w:eastAsia="Times New Roman" w:hAnsi="Times New Roman" w:cs="Times New Roman"/>
      <w:bCs/>
      <w:kern w:val="32"/>
    </w:rPr>
  </w:style>
  <w:style w:type="paragraph" w:styleId="ListBullet">
    <w:name w:val="List Bullet"/>
    <w:basedOn w:val="Normal"/>
    <w:link w:val="ListBulletChar"/>
    <w:rsid w:val="00873BFC"/>
    <w:pPr>
      <w:numPr>
        <w:numId w:val="2"/>
      </w:numPr>
      <w:overflowPunct w:val="0"/>
      <w:autoSpaceDE w:val="0"/>
      <w:autoSpaceDN w:val="0"/>
      <w:adjustRightInd w:val="0"/>
      <w:textAlignment w:val="baseline"/>
    </w:pPr>
    <w:rPr>
      <w:kern w:val="24"/>
      <w:sz w:val="22"/>
      <w:szCs w:val="22"/>
    </w:rPr>
  </w:style>
  <w:style w:type="character" w:styleId="CommentReference">
    <w:name w:val="annotation reference"/>
    <w:basedOn w:val="DefaultParagraphFont"/>
    <w:uiPriority w:val="99"/>
    <w:semiHidden/>
    <w:unhideWhenUsed/>
    <w:rsid w:val="00873BFC"/>
    <w:rPr>
      <w:sz w:val="16"/>
      <w:szCs w:val="16"/>
    </w:rPr>
  </w:style>
  <w:style w:type="paragraph" w:styleId="CommentText">
    <w:name w:val="annotation text"/>
    <w:basedOn w:val="Normal"/>
    <w:link w:val="CommentTextChar"/>
    <w:uiPriority w:val="99"/>
    <w:semiHidden/>
    <w:unhideWhenUsed/>
    <w:rsid w:val="00873BFC"/>
    <w:rPr>
      <w:sz w:val="20"/>
      <w:szCs w:val="20"/>
    </w:rPr>
  </w:style>
  <w:style w:type="character" w:customStyle="1" w:styleId="CommentTextChar">
    <w:name w:val="Comment Text Char"/>
    <w:basedOn w:val="DefaultParagraphFont"/>
    <w:link w:val="CommentText"/>
    <w:uiPriority w:val="99"/>
    <w:semiHidden/>
    <w:rsid w:val="00873BF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73BFC"/>
    <w:rPr>
      <w:b/>
      <w:bCs/>
    </w:rPr>
  </w:style>
  <w:style w:type="character" w:customStyle="1" w:styleId="CommentSubjectChar">
    <w:name w:val="Comment Subject Char"/>
    <w:basedOn w:val="CommentTextChar"/>
    <w:link w:val="CommentSubject"/>
    <w:uiPriority w:val="99"/>
    <w:semiHidden/>
    <w:rsid w:val="00873BF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873BFC"/>
    <w:rPr>
      <w:rFonts w:ascii="Tahoma" w:hAnsi="Tahoma" w:cs="Tahoma"/>
      <w:sz w:val="16"/>
      <w:szCs w:val="16"/>
    </w:rPr>
  </w:style>
  <w:style w:type="character" w:customStyle="1" w:styleId="BalloonTextChar">
    <w:name w:val="Balloon Text Char"/>
    <w:basedOn w:val="DefaultParagraphFont"/>
    <w:link w:val="BalloonText"/>
    <w:uiPriority w:val="99"/>
    <w:semiHidden/>
    <w:rsid w:val="00873BFC"/>
    <w:rPr>
      <w:rFonts w:ascii="Tahoma" w:eastAsia="Times New Roman" w:hAnsi="Tahoma" w:cs="Tahoma"/>
      <w:sz w:val="16"/>
      <w:szCs w:val="16"/>
    </w:rPr>
  </w:style>
  <w:style w:type="paragraph" w:styleId="Header">
    <w:name w:val="header"/>
    <w:basedOn w:val="Normal"/>
    <w:link w:val="HeaderChar"/>
    <w:uiPriority w:val="99"/>
    <w:unhideWhenUsed/>
    <w:rsid w:val="00873BFC"/>
    <w:pPr>
      <w:tabs>
        <w:tab w:val="center" w:pos="4680"/>
        <w:tab w:val="right" w:pos="9360"/>
      </w:tabs>
    </w:pPr>
  </w:style>
  <w:style w:type="character" w:customStyle="1" w:styleId="HeaderChar">
    <w:name w:val="Header Char"/>
    <w:basedOn w:val="DefaultParagraphFont"/>
    <w:link w:val="Header"/>
    <w:uiPriority w:val="99"/>
    <w:rsid w:val="00873BF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73BFC"/>
    <w:pPr>
      <w:tabs>
        <w:tab w:val="center" w:pos="4680"/>
        <w:tab w:val="right" w:pos="9360"/>
      </w:tabs>
    </w:pPr>
  </w:style>
  <w:style w:type="character" w:customStyle="1" w:styleId="FooterChar">
    <w:name w:val="Footer Char"/>
    <w:basedOn w:val="DefaultParagraphFont"/>
    <w:link w:val="Footer"/>
    <w:uiPriority w:val="99"/>
    <w:rsid w:val="00873BFC"/>
    <w:rPr>
      <w:rFonts w:ascii="Times New Roman" w:eastAsia="Times New Roman" w:hAnsi="Times New Roman" w:cs="Times New Roman"/>
      <w:sz w:val="24"/>
      <w:szCs w:val="24"/>
    </w:rPr>
  </w:style>
  <w:style w:type="paragraph" w:styleId="BodyText">
    <w:name w:val="Body Text"/>
    <w:basedOn w:val="Normal"/>
    <w:link w:val="BodyTextChar"/>
    <w:rsid w:val="00873BFC"/>
    <w:pPr>
      <w:keepNext/>
      <w:keepLines/>
    </w:pPr>
    <w:rPr>
      <w:sz w:val="22"/>
      <w:szCs w:val="22"/>
    </w:rPr>
  </w:style>
  <w:style w:type="character" w:customStyle="1" w:styleId="BodyTextChar">
    <w:name w:val="Body Text Char"/>
    <w:basedOn w:val="DefaultParagraphFont"/>
    <w:link w:val="BodyText"/>
    <w:rsid w:val="00873BFC"/>
    <w:rPr>
      <w:rFonts w:ascii="Times New Roman" w:eastAsia="Times New Roman" w:hAnsi="Times New Roman" w:cs="Times New Roman"/>
    </w:rPr>
  </w:style>
  <w:style w:type="table" w:styleId="TableGrid">
    <w:name w:val="Table Grid"/>
    <w:basedOn w:val="TableNormal"/>
    <w:uiPriority w:val="59"/>
    <w:rsid w:val="00873BF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873BFC"/>
    <w:rPr>
      <w:color w:val="0000FF"/>
      <w:u w:val="single"/>
    </w:rPr>
  </w:style>
  <w:style w:type="paragraph" w:styleId="FootnoteText">
    <w:name w:val="footnote text"/>
    <w:basedOn w:val="Normal"/>
    <w:link w:val="FootnoteTextChar"/>
    <w:uiPriority w:val="99"/>
    <w:semiHidden/>
    <w:unhideWhenUsed/>
    <w:rsid w:val="00873BFC"/>
    <w:rPr>
      <w:sz w:val="20"/>
      <w:szCs w:val="20"/>
    </w:rPr>
  </w:style>
  <w:style w:type="character" w:customStyle="1" w:styleId="FootnoteTextChar">
    <w:name w:val="Footnote Text Char"/>
    <w:basedOn w:val="DefaultParagraphFont"/>
    <w:link w:val="FootnoteText"/>
    <w:uiPriority w:val="99"/>
    <w:semiHidden/>
    <w:rsid w:val="00873BFC"/>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873BFC"/>
    <w:rPr>
      <w:vertAlign w:val="superscript"/>
    </w:rPr>
  </w:style>
  <w:style w:type="paragraph" w:styleId="BodyText2">
    <w:name w:val="Body Text 2"/>
    <w:basedOn w:val="Normal"/>
    <w:link w:val="BodyText2Char"/>
    <w:uiPriority w:val="99"/>
    <w:semiHidden/>
    <w:unhideWhenUsed/>
    <w:rsid w:val="00873BFC"/>
    <w:pPr>
      <w:spacing w:after="120" w:line="480" w:lineRule="auto"/>
    </w:pPr>
  </w:style>
  <w:style w:type="character" w:customStyle="1" w:styleId="BodyText2Char">
    <w:name w:val="Body Text 2 Char"/>
    <w:basedOn w:val="DefaultParagraphFont"/>
    <w:link w:val="BodyText2"/>
    <w:uiPriority w:val="99"/>
    <w:semiHidden/>
    <w:rsid w:val="00873BFC"/>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873BFC"/>
    <w:pPr>
      <w:spacing w:after="120"/>
      <w:ind w:left="360"/>
    </w:pPr>
  </w:style>
  <w:style w:type="character" w:customStyle="1" w:styleId="BodyTextIndentChar">
    <w:name w:val="Body Text Indent Char"/>
    <w:basedOn w:val="DefaultParagraphFont"/>
    <w:link w:val="BodyTextIndent"/>
    <w:uiPriority w:val="99"/>
    <w:semiHidden/>
    <w:rsid w:val="00873BFC"/>
    <w:rPr>
      <w:rFonts w:ascii="Times New Roman" w:eastAsia="Times New Roman" w:hAnsi="Times New Roman" w:cs="Times New Roman"/>
      <w:sz w:val="24"/>
      <w:szCs w:val="24"/>
    </w:rPr>
  </w:style>
  <w:style w:type="character" w:styleId="Strong">
    <w:name w:val="Strong"/>
    <w:basedOn w:val="DefaultParagraphFont"/>
    <w:uiPriority w:val="99"/>
    <w:qFormat/>
    <w:rsid w:val="00873BFC"/>
    <w:rPr>
      <w:rFonts w:ascii="Times New Roman" w:hAnsi="Times New Roman" w:cs="Times New Roman" w:hint="default"/>
      <w:b/>
      <w:bCs/>
      <w:sz w:val="24"/>
      <w:u w:val="single"/>
    </w:rPr>
  </w:style>
  <w:style w:type="paragraph" w:customStyle="1" w:styleId="Default">
    <w:name w:val="Default"/>
    <w:rsid w:val="00873BFC"/>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EndnoteText">
    <w:name w:val="endnote text"/>
    <w:basedOn w:val="Normal"/>
    <w:link w:val="EndnoteTextChar"/>
    <w:uiPriority w:val="99"/>
    <w:semiHidden/>
    <w:unhideWhenUsed/>
    <w:rsid w:val="00873BFC"/>
    <w:rPr>
      <w:sz w:val="20"/>
      <w:szCs w:val="20"/>
    </w:rPr>
  </w:style>
  <w:style w:type="character" w:customStyle="1" w:styleId="EndnoteTextChar">
    <w:name w:val="Endnote Text Char"/>
    <w:basedOn w:val="DefaultParagraphFont"/>
    <w:link w:val="EndnoteText"/>
    <w:uiPriority w:val="99"/>
    <w:semiHidden/>
    <w:rsid w:val="00873BF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873BFC"/>
    <w:rPr>
      <w:vertAlign w:val="superscript"/>
    </w:rPr>
  </w:style>
  <w:style w:type="character" w:styleId="FollowedHyperlink">
    <w:name w:val="FollowedHyperlink"/>
    <w:basedOn w:val="DefaultParagraphFont"/>
    <w:uiPriority w:val="99"/>
    <w:semiHidden/>
    <w:unhideWhenUsed/>
    <w:rsid w:val="00873BFC"/>
    <w:rPr>
      <w:color w:val="800080"/>
      <w:u w:val="single"/>
    </w:rPr>
  </w:style>
  <w:style w:type="paragraph" w:styleId="Revision">
    <w:name w:val="Revision"/>
    <w:hidden/>
    <w:uiPriority w:val="99"/>
    <w:semiHidden/>
    <w:rsid w:val="00873BFC"/>
    <w:pPr>
      <w:spacing w:after="0" w:line="240" w:lineRule="auto"/>
    </w:pPr>
    <w:rPr>
      <w:rFonts w:ascii="Times New Roman" w:eastAsia="Times New Roman" w:hAnsi="Times New Roman" w:cs="Times New Roman"/>
      <w:sz w:val="24"/>
      <w:szCs w:val="24"/>
    </w:rPr>
  </w:style>
  <w:style w:type="paragraph" w:customStyle="1" w:styleId="CM9">
    <w:name w:val="CM9"/>
    <w:basedOn w:val="Normal"/>
    <w:next w:val="Normal"/>
    <w:uiPriority w:val="99"/>
    <w:rsid w:val="00873BFC"/>
    <w:pPr>
      <w:widowControl w:val="0"/>
      <w:autoSpaceDE w:val="0"/>
      <w:autoSpaceDN w:val="0"/>
      <w:adjustRightInd w:val="0"/>
      <w:spacing w:line="200" w:lineRule="atLeast"/>
    </w:pPr>
    <w:rPr>
      <w:rFonts w:ascii="MDJHP B+ Melior" w:hAnsi="MDJHP B+ Melior"/>
    </w:rPr>
  </w:style>
  <w:style w:type="paragraph" w:customStyle="1" w:styleId="VTBODYTEXT">
    <w:name w:val="VT BODY TEXT"/>
    <w:basedOn w:val="Normal"/>
    <w:rsid w:val="00873BF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240"/>
      <w:jc w:val="both"/>
    </w:pPr>
    <w:rPr>
      <w:snapToGrid w:val="0"/>
      <w:sz w:val="22"/>
      <w:szCs w:val="20"/>
    </w:rPr>
  </w:style>
  <w:style w:type="paragraph" w:styleId="NormalWeb">
    <w:name w:val="Normal (Web)"/>
    <w:basedOn w:val="Normal"/>
    <w:uiPriority w:val="99"/>
    <w:semiHidden/>
    <w:unhideWhenUsed/>
    <w:rsid w:val="00873BFC"/>
    <w:pPr>
      <w:spacing w:before="100" w:beforeAutospacing="1" w:after="100" w:afterAutospacing="1"/>
    </w:pPr>
  </w:style>
  <w:style w:type="paragraph" w:styleId="NoSpacing">
    <w:name w:val="No Spacing"/>
    <w:uiPriority w:val="1"/>
    <w:qFormat/>
    <w:rsid w:val="00873BFC"/>
    <w:pPr>
      <w:spacing w:after="0" w:line="240" w:lineRule="auto"/>
    </w:pPr>
    <w:rPr>
      <w:rFonts w:ascii="Calibri" w:eastAsia="Calibri" w:hAnsi="Calibri" w:cs="Times New Roman"/>
    </w:rPr>
  </w:style>
  <w:style w:type="paragraph" w:customStyle="1" w:styleId="BodyText0">
    <w:name w:val="Body Text***"/>
    <w:basedOn w:val="Normal"/>
    <w:link w:val="BodyTextChar0"/>
    <w:rsid w:val="00873BFC"/>
    <w:pPr>
      <w:spacing w:after="240"/>
      <w:jc w:val="both"/>
    </w:pPr>
    <w:rPr>
      <w:sz w:val="22"/>
    </w:rPr>
  </w:style>
  <w:style w:type="character" w:customStyle="1" w:styleId="BodyTextChar0">
    <w:name w:val="Body Text*** Char"/>
    <w:basedOn w:val="DefaultParagraphFont"/>
    <w:link w:val="BodyText0"/>
    <w:rsid w:val="00873BFC"/>
    <w:rPr>
      <w:rFonts w:ascii="Times New Roman" w:eastAsia="Times New Roman" w:hAnsi="Times New Roman" w:cs="Times New Roman"/>
      <w:szCs w:val="24"/>
    </w:rPr>
  </w:style>
  <w:style w:type="paragraph" w:styleId="BlockText">
    <w:name w:val="Block Text"/>
    <w:basedOn w:val="Normal"/>
    <w:rsid w:val="00873BFC"/>
    <w:pPr>
      <w:ind w:left="-288" w:right="-288"/>
      <w:jc w:val="both"/>
    </w:pPr>
    <w:rPr>
      <w:sz w:val="22"/>
      <w:szCs w:val="20"/>
    </w:rPr>
  </w:style>
  <w:style w:type="character" w:customStyle="1" w:styleId="ff-addressfont">
    <w:name w:val="ff-address_font"/>
    <w:basedOn w:val="DefaultParagraphFont"/>
    <w:rsid w:val="00873BFC"/>
  </w:style>
  <w:style w:type="paragraph" w:customStyle="1" w:styleId="text">
    <w:name w:val="text"/>
    <w:basedOn w:val="Normal"/>
    <w:rsid w:val="00873BFC"/>
    <w:pPr>
      <w:spacing w:before="100" w:beforeAutospacing="1" w:after="100" w:afterAutospacing="1"/>
    </w:pPr>
    <w:rPr>
      <w:rFonts w:ascii="Verdana" w:hAnsi="Verdana"/>
      <w:color w:val="000000"/>
      <w:sz w:val="20"/>
      <w:szCs w:val="20"/>
    </w:rPr>
  </w:style>
  <w:style w:type="character" w:customStyle="1" w:styleId="Heading4Char">
    <w:name w:val="Heading 4 Char"/>
    <w:basedOn w:val="DefaultParagraphFont"/>
    <w:link w:val="Heading4"/>
    <w:uiPriority w:val="9"/>
    <w:semiHidden/>
    <w:rsid w:val="00C10E8C"/>
    <w:rPr>
      <w:rFonts w:asciiTheme="majorHAnsi" w:eastAsiaTheme="majorEastAsia" w:hAnsiTheme="majorHAnsi" w:cstheme="majorBidi"/>
      <w:b/>
      <w:bCs/>
      <w:i/>
      <w:iCs/>
      <w:color w:val="4F81BD" w:themeColor="accent1"/>
      <w:sz w:val="24"/>
      <w:szCs w:val="24"/>
    </w:rPr>
  </w:style>
  <w:style w:type="character" w:customStyle="1" w:styleId="normaltextrun">
    <w:name w:val="normaltextrun"/>
    <w:basedOn w:val="DefaultParagraphFont"/>
    <w:rsid w:val="004A0452"/>
  </w:style>
  <w:style w:type="character" w:styleId="Mention">
    <w:name w:val="Mention"/>
    <w:basedOn w:val="DefaultParagraphFont"/>
    <w:uiPriority w:val="99"/>
    <w:unhideWhenUsed/>
    <w:rsid w:val="0021684C"/>
    <w:rPr>
      <w:color w:val="2B579A"/>
      <w:shd w:val="clear" w:color="auto" w:fill="E6E6E6"/>
    </w:rPr>
  </w:style>
  <w:style w:type="character" w:styleId="UnresolvedMention">
    <w:name w:val="Unresolved Mention"/>
    <w:basedOn w:val="DefaultParagraphFont"/>
    <w:uiPriority w:val="99"/>
    <w:unhideWhenUsed/>
    <w:rsid w:val="0046507D"/>
    <w:rPr>
      <w:color w:val="605E5C"/>
      <w:shd w:val="clear" w:color="auto" w:fill="E1DFDD"/>
    </w:rPr>
  </w:style>
  <w:style w:type="paragraph" w:customStyle="1" w:styleId="paragraph">
    <w:name w:val="paragraph"/>
    <w:basedOn w:val="Normal"/>
    <w:rsid w:val="004E29F4"/>
    <w:pPr>
      <w:spacing w:before="100" w:beforeAutospacing="1" w:after="100" w:afterAutospacing="1"/>
    </w:pPr>
  </w:style>
  <w:style w:type="character" w:customStyle="1" w:styleId="eop">
    <w:name w:val="eop"/>
    <w:basedOn w:val="DefaultParagraphFont"/>
    <w:rsid w:val="004E29F4"/>
  </w:style>
  <w:style w:type="character" w:customStyle="1" w:styleId="contextualspellingandgrammarerror">
    <w:name w:val="contextualspellingandgrammarerror"/>
    <w:basedOn w:val="DefaultParagraphFont"/>
    <w:rsid w:val="004E29F4"/>
  </w:style>
  <w:style w:type="paragraph" w:styleId="TOCHeading">
    <w:name w:val="TOC Heading"/>
    <w:basedOn w:val="Heading1"/>
    <w:next w:val="Normal"/>
    <w:uiPriority w:val="39"/>
    <w:unhideWhenUsed/>
    <w:qFormat/>
    <w:rsid w:val="00705A6A"/>
    <w:pPr>
      <w:keepLines/>
      <w:pBdr>
        <w:top w:val="none" w:sz="0" w:space="0" w:color="auto"/>
      </w:pBdr>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customStyle="1" w:styleId="Style1">
    <w:name w:val="Style1"/>
    <w:basedOn w:val="Heading1"/>
    <w:link w:val="Style1Char"/>
    <w:qFormat/>
    <w:rsid w:val="0060139E"/>
    <w:pPr>
      <w:pBdr>
        <w:top w:val="none" w:sz="0" w:space="0" w:color="auto"/>
      </w:pBdr>
      <w:jc w:val="left"/>
    </w:pPr>
    <w:rPr>
      <w:rFonts w:ascii="Times New Roman" w:hAnsi="Times New Roman"/>
      <w:i/>
      <w:sz w:val="22"/>
      <w:u w:val="single"/>
    </w:rPr>
  </w:style>
  <w:style w:type="paragraph" w:styleId="TOC1">
    <w:name w:val="toc 1"/>
    <w:basedOn w:val="Normal"/>
    <w:next w:val="Normal"/>
    <w:autoRedefine/>
    <w:uiPriority w:val="39"/>
    <w:unhideWhenUsed/>
    <w:rsid w:val="00F7573F"/>
    <w:pPr>
      <w:spacing w:after="100"/>
    </w:pPr>
  </w:style>
  <w:style w:type="character" w:customStyle="1" w:styleId="ListBulletChar">
    <w:name w:val="List Bullet Char"/>
    <w:basedOn w:val="DefaultParagraphFont"/>
    <w:link w:val="ListBullet"/>
    <w:rsid w:val="00705A6A"/>
    <w:rPr>
      <w:rFonts w:ascii="Times New Roman" w:eastAsia="Times New Roman" w:hAnsi="Times New Roman" w:cs="Times New Roman"/>
      <w:kern w:val="24"/>
    </w:rPr>
  </w:style>
  <w:style w:type="character" w:customStyle="1" w:styleId="Style1Char">
    <w:name w:val="Style1 Char"/>
    <w:basedOn w:val="ListBulletChar"/>
    <w:link w:val="Style1"/>
    <w:rsid w:val="0060139E"/>
    <w:rPr>
      <w:rFonts w:ascii="Times New Roman" w:eastAsia="Times New Roman" w:hAnsi="Times New Roman" w:cs="Times New Roman"/>
      <w:b/>
      <w:bCs/>
      <w:i/>
      <w:kern w:val="32"/>
      <w:szCs w:val="36"/>
      <w:u w:val="single"/>
    </w:rPr>
  </w:style>
  <w:style w:type="paragraph" w:styleId="TOC2">
    <w:name w:val="toc 2"/>
    <w:basedOn w:val="Normal"/>
    <w:next w:val="Normal"/>
    <w:autoRedefine/>
    <w:uiPriority w:val="39"/>
    <w:unhideWhenUsed/>
    <w:rsid w:val="00F7573F"/>
    <w:pPr>
      <w:spacing w:after="100" w:line="259" w:lineRule="auto"/>
      <w:ind w:left="220"/>
    </w:pPr>
    <w:rPr>
      <w:rFonts w:asciiTheme="minorHAnsi" w:eastAsiaTheme="minorEastAsia" w:hAnsiTheme="minorHAnsi"/>
      <w:sz w:val="22"/>
      <w:szCs w:val="22"/>
    </w:rPr>
  </w:style>
  <w:style w:type="paragraph" w:styleId="TOC3">
    <w:name w:val="toc 3"/>
    <w:basedOn w:val="Normal"/>
    <w:next w:val="Normal"/>
    <w:autoRedefine/>
    <w:uiPriority w:val="39"/>
    <w:unhideWhenUsed/>
    <w:rsid w:val="00F7573F"/>
    <w:pPr>
      <w:spacing w:after="100" w:line="259" w:lineRule="auto"/>
      <w:ind w:left="440"/>
    </w:pPr>
    <w:rPr>
      <w:rFonts w:asciiTheme="minorHAnsi" w:eastAsiaTheme="minorEastAsia" w:hAnsiTheme="minorHAnsi"/>
      <w:sz w:val="22"/>
      <w:szCs w:val="22"/>
    </w:rPr>
  </w:style>
  <w:style w:type="character" w:customStyle="1" w:styleId="MSGENFONTSTYLENAMETEMPLATEROLENUMBERMSGENFONTSTYLENAMEBYROLETEXT3">
    <w:name w:val="MSG_EN_FONT_STYLE_NAME_TEMPLATE_ROLE_NUMBER MSG_EN_FONT_STYLE_NAME_BY_ROLE_TEXT 3_"/>
    <w:basedOn w:val="DefaultParagraphFont"/>
    <w:link w:val="MSGENFONTSTYLENAMETEMPLATEROLENUMBERMSGENFONTSTYLENAMEBYROLETEXT30"/>
    <w:locked/>
    <w:rsid w:val="006435E4"/>
    <w:rPr>
      <w:rFonts w:ascii="Arial" w:eastAsia="Arial" w:hAnsi="Arial" w:cs="Arial"/>
      <w:b/>
      <w:bCs/>
      <w:sz w:val="18"/>
      <w:szCs w:val="18"/>
      <w:shd w:val="clear" w:color="auto" w:fill="FFFFFF"/>
    </w:rPr>
  </w:style>
  <w:style w:type="paragraph" w:customStyle="1" w:styleId="MSGENFONTSTYLENAMETEMPLATEROLENUMBERMSGENFONTSTYLENAMEBYROLETEXT30">
    <w:name w:val="MSG_EN_FONT_STYLE_NAME_TEMPLATE_ROLE_NUMBER MSG_EN_FONT_STYLE_NAME_BY_ROLE_TEXT 3"/>
    <w:basedOn w:val="Normal"/>
    <w:link w:val="MSGENFONTSTYLENAMETEMPLATEROLENUMBERMSGENFONTSTYLENAMEBYROLETEXT3"/>
    <w:rsid w:val="006435E4"/>
    <w:pPr>
      <w:widowControl w:val="0"/>
      <w:shd w:val="clear" w:color="auto" w:fill="FFFFFF"/>
      <w:spacing w:after="120" w:line="200" w:lineRule="exact"/>
      <w:jc w:val="center"/>
    </w:pPr>
    <w:rPr>
      <w:rFonts w:ascii="Arial" w:eastAsia="Arial" w:hAnsi="Arial" w:cs="Arial"/>
      <w:b/>
      <w:bCs/>
      <w:sz w:val="18"/>
      <w:szCs w:val="18"/>
    </w:rPr>
  </w:style>
  <w:style w:type="paragraph" w:customStyle="1" w:styleId="PTableText">
    <w:name w:val="P.Table Text"/>
    <w:uiPriority w:val="99"/>
    <w:rsid w:val="00F72DD0"/>
    <w:pPr>
      <w:spacing w:after="40" w:line="240" w:lineRule="auto"/>
    </w:pPr>
    <w:rPr>
      <w:rFonts w:ascii="Arial" w:eastAsia="Times New Roman" w:hAnsi="Arial" w:cs="Arial"/>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hyperlink" Target="http://www.bls.gov/oes/current/oes_nat.htm" TargetMode="Externa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Oqi0@cdc.gov"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49ec79b-5d41-43ba-82be-c11c10d713ed">
      <Terms xmlns="http://schemas.microsoft.com/office/infopath/2007/PartnerControls"/>
    </lcf76f155ced4ddcb4097134ff3c332f>
    <TaxCatchAll xmlns="72f40903-8458-4af9-b1ec-9ee8cdb2cae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5FF80BF35F8D146A449E8390866F8DF" ma:contentTypeVersion="17" ma:contentTypeDescription="Create a new document." ma:contentTypeScope="" ma:versionID="58d5f7aebe6c3c9b6e3d1ec4ec3ca015">
  <xsd:schema xmlns:xsd="http://www.w3.org/2001/XMLSchema" xmlns:xs="http://www.w3.org/2001/XMLSchema" xmlns:p="http://schemas.microsoft.com/office/2006/metadata/properties" xmlns:ns2="e49ec79b-5d41-43ba-82be-c11c10d713ed" xmlns:ns3="72f40903-8458-4af9-b1ec-9ee8cdb2cae3" targetNamespace="http://schemas.microsoft.com/office/2006/metadata/properties" ma:root="true" ma:fieldsID="454be4a17aa116ee01092d668620f617" ns2:_="" ns3:_="">
    <xsd:import namespace="e49ec79b-5d41-43ba-82be-c11c10d713ed"/>
    <xsd:import namespace="72f40903-8458-4af9-b1ec-9ee8cdb2ca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9ec79b-5d41-43ba-82be-c11c10d713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f40903-8458-4af9-b1ec-9ee8cdb2cae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cc43cb65-cc06-4fb3-a04d-2679ce812c04}" ma:internalName="TaxCatchAll" ma:showField="CatchAllData" ma:web="72f40903-8458-4af9-b1ec-9ee8cdb2ca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5B83A5-42FC-4043-ACCA-9D6E8688957A}">
  <ds:schemaRefs>
    <ds:schemaRef ds:uri="http://schemas.openxmlformats.org/officeDocument/2006/bibliography"/>
  </ds:schemaRefs>
</ds:datastoreItem>
</file>

<file path=customXml/itemProps2.xml><?xml version="1.0" encoding="utf-8"?>
<ds:datastoreItem xmlns:ds="http://schemas.openxmlformats.org/officeDocument/2006/customXml" ds:itemID="{515B67C7-7835-49DB-8678-793718513BED}">
  <ds:schemaRefs>
    <ds:schemaRef ds:uri="http://schemas.microsoft.com/sharepoint/v3/contenttype/forms"/>
  </ds:schemaRefs>
</ds:datastoreItem>
</file>

<file path=customXml/itemProps3.xml><?xml version="1.0" encoding="utf-8"?>
<ds:datastoreItem xmlns:ds="http://schemas.openxmlformats.org/officeDocument/2006/customXml" ds:itemID="{AD243ACC-5EAD-4CA4-B445-E6D753A82FA9}">
  <ds:schemaRefs>
    <ds:schemaRef ds:uri="http://schemas.microsoft.com/office/2006/metadata/properties"/>
    <ds:schemaRef ds:uri="http://schemas.microsoft.com/office/infopath/2007/PartnerControls"/>
    <ds:schemaRef ds:uri="e49ec79b-5d41-43ba-82be-c11c10d713ed"/>
    <ds:schemaRef ds:uri="72f40903-8458-4af9-b1ec-9ee8cdb2cae3"/>
  </ds:schemaRefs>
</ds:datastoreItem>
</file>

<file path=customXml/itemProps4.xml><?xml version="1.0" encoding="utf-8"?>
<ds:datastoreItem xmlns:ds="http://schemas.openxmlformats.org/officeDocument/2006/customXml" ds:itemID="{DBF1B64C-DF94-4B9A-AF3A-BDA70F0D22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9ec79b-5d41-43ba-82be-c11c10d713ed"/>
    <ds:schemaRef ds:uri="72f40903-8458-4af9-b1ec-9ee8cdb2ca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3852</Words>
  <Characters>22655</Characters>
  <Application>Microsoft Office Word</Application>
  <DocSecurity>0</DocSecurity>
  <Lines>596</Lines>
  <Paragraphs>276</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26231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sic3</dc:creator>
  <cp:lastModifiedBy>Zirger, Jeffrey (CDC/OD/OS)</cp:lastModifiedBy>
  <cp:revision>2</cp:revision>
  <dcterms:created xsi:type="dcterms:W3CDTF">2026-05-27T14:28:00Z</dcterms:created>
  <dcterms:modified xsi:type="dcterms:W3CDTF">2026-05-27T14:28:00Z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0x01010095FF80BF35F8D146A449E8390866F8DF</vt:lpwstr>
  </property>
  <property fmtid="{D5CDD505-2E9C-101B-9397-08002B2CF9AE}" pid="3" name="docLang">
    <vt:lpwstr>en</vt:lpwstr>
  </property>
  <property fmtid="{D5CDD505-2E9C-101B-9397-08002B2CF9AE}" pid="4" name="GrammarlyDocumentId">
    <vt:lpwstr>88a0e2dc-fae7-47ec-a532-a6fa501ca206</vt:lpwstr>
  </property>
  <property fmtid="{D5CDD505-2E9C-101B-9397-08002B2CF9AE}" pid="5" name="MediaServiceImageTags">
    <vt:lpwstr/>
  </property>
  <property fmtid="{D5CDD505-2E9C-101B-9397-08002B2CF9AE}" pid="6" name="MSIP_Label_8af03ff0-41c5-4c41-b55e-fabb8fae94be_ActionId">
    <vt:lpwstr>abf470d2-d09a-498a-b1b8-8c431a707fc3</vt:lpwstr>
  </property>
  <property fmtid="{D5CDD505-2E9C-101B-9397-08002B2CF9AE}" pid="7" name="MSIP_Label_8af03ff0-41c5-4c41-b55e-fabb8fae94be_ContentBits">
    <vt:lpwstr>0</vt:lpwstr>
  </property>
  <property fmtid="{D5CDD505-2E9C-101B-9397-08002B2CF9AE}" pid="8" name="MSIP_Label_8af03ff0-41c5-4c41-b55e-fabb8fae94be_Enabled">
    <vt:lpwstr>true</vt:lpwstr>
  </property>
  <property fmtid="{D5CDD505-2E9C-101B-9397-08002B2CF9AE}" pid="9" name="MSIP_Label_8af03ff0-41c5-4c41-b55e-fabb8fae94be_Method">
    <vt:lpwstr>Privileged</vt:lpwstr>
  </property>
  <property fmtid="{D5CDD505-2E9C-101B-9397-08002B2CF9AE}" pid="10" name="MSIP_Label_8af03ff0-41c5-4c41-b55e-fabb8fae94be_Name">
    <vt:lpwstr>8af03ff0-41c5-4c41-b55e-fabb8fae94be</vt:lpwstr>
  </property>
  <property fmtid="{D5CDD505-2E9C-101B-9397-08002B2CF9AE}" pid="11" name="MSIP_Label_8af03ff0-41c5-4c41-b55e-fabb8fae94be_SetDate">
    <vt:lpwstr>2022-02-25T22:16:00Z</vt:lpwstr>
  </property>
  <property fmtid="{D5CDD505-2E9C-101B-9397-08002B2CF9AE}" pid="12" name="MSIP_Label_8af03ff0-41c5-4c41-b55e-fabb8fae94be_SiteId">
    <vt:lpwstr>9ce70869-60db-44fd-abe8-d2767077fc8f</vt:lpwstr>
  </property>
</Properties>
</file>