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954C5" w:rsidRPr="006A70A5" w:rsidP="00C31F32" w14:paraId="0E8D29DD" w14:textId="77777777">
      <w:pPr>
        <w:spacing w:line="480" w:lineRule="auto"/>
        <w:ind w:left="5040" w:firstLine="720"/>
        <w:rPr>
          <w:szCs w:val="24"/>
        </w:rPr>
      </w:pPr>
      <w:r w:rsidRPr="006A70A5">
        <w:rPr>
          <w:b/>
          <w:szCs w:val="24"/>
        </w:rPr>
        <w:t>BILLING CODE: 4163-18-P</w:t>
      </w:r>
      <w:r w:rsidRPr="006A70A5">
        <w:rPr>
          <w:szCs w:val="24"/>
        </w:rPr>
        <w:t xml:space="preserve"> </w:t>
      </w:r>
    </w:p>
    <w:p w:rsidR="00407672" w:rsidRPr="006A70A5" w:rsidP="00F85323" w14:paraId="588BB3D6" w14:textId="77777777">
      <w:pPr>
        <w:spacing w:line="480" w:lineRule="auto"/>
        <w:rPr>
          <w:b/>
          <w:szCs w:val="24"/>
        </w:rPr>
      </w:pPr>
      <w:r w:rsidRPr="006A70A5">
        <w:rPr>
          <w:b/>
          <w:szCs w:val="24"/>
        </w:rPr>
        <w:t>DEPARTMENT OF HEALTH AND HUMAN SERVICES</w:t>
      </w:r>
    </w:p>
    <w:p w:rsidR="00942E51" w:rsidRPr="006A70A5" w:rsidP="00972C41" w14:paraId="027F0D8F" w14:textId="77777777">
      <w:pPr>
        <w:spacing w:line="480" w:lineRule="auto"/>
        <w:rPr>
          <w:b/>
          <w:szCs w:val="24"/>
        </w:rPr>
      </w:pPr>
      <w:r w:rsidRPr="006A70A5">
        <w:rPr>
          <w:b/>
          <w:szCs w:val="24"/>
        </w:rPr>
        <w:t>Centers for Disease Control and Prevention</w:t>
      </w:r>
    </w:p>
    <w:p w:rsidR="002954C5" w:rsidRPr="006A70A5" w:rsidP="00972C41" w14:paraId="5F37E13E" w14:textId="46561FB7">
      <w:pPr>
        <w:spacing w:line="480" w:lineRule="auto"/>
        <w:rPr>
          <w:b/>
          <w:szCs w:val="24"/>
        </w:rPr>
      </w:pPr>
      <w:r w:rsidRPr="006A70A5">
        <w:rPr>
          <w:b/>
          <w:szCs w:val="24"/>
        </w:rPr>
        <w:t>[60Day-</w:t>
      </w:r>
      <w:r w:rsidR="00F52523">
        <w:rPr>
          <w:b/>
          <w:szCs w:val="24"/>
        </w:rPr>
        <w:t>26</w:t>
      </w:r>
      <w:r w:rsidRPr="006A70A5">
        <w:rPr>
          <w:b/>
          <w:szCs w:val="24"/>
        </w:rPr>
        <w:t>-</w:t>
      </w:r>
      <w:r w:rsidR="00693C82">
        <w:rPr>
          <w:b/>
          <w:szCs w:val="24"/>
        </w:rPr>
        <w:t>0218</w:t>
      </w:r>
      <w:r w:rsidRPr="006A70A5" w:rsidR="007A6414">
        <w:rPr>
          <w:b/>
          <w:szCs w:val="24"/>
        </w:rPr>
        <w:t xml:space="preserve">; </w:t>
      </w:r>
      <w:r w:rsidRPr="006A70A5">
        <w:rPr>
          <w:b/>
          <w:szCs w:val="24"/>
        </w:rPr>
        <w:t>Docket No. CDC-</w:t>
      </w:r>
      <w:r w:rsidRPr="006A70A5" w:rsidR="000508FC">
        <w:rPr>
          <w:b/>
          <w:szCs w:val="24"/>
        </w:rPr>
        <w:t>202</w:t>
      </w:r>
      <w:r w:rsidR="00872BA8">
        <w:rPr>
          <w:b/>
          <w:szCs w:val="24"/>
        </w:rPr>
        <w:t>6</w:t>
      </w:r>
      <w:r w:rsidRPr="006A70A5">
        <w:rPr>
          <w:b/>
          <w:szCs w:val="24"/>
        </w:rPr>
        <w:t>-xxxx]</w:t>
      </w:r>
    </w:p>
    <w:p w:rsidR="00942E51" w:rsidRPr="006A70A5" w:rsidP="00972C41" w14:paraId="7DC8ED80" w14:textId="77777777">
      <w:pPr>
        <w:spacing w:line="480" w:lineRule="auto"/>
        <w:rPr>
          <w:b/>
          <w:szCs w:val="24"/>
        </w:rPr>
      </w:pPr>
      <w:r w:rsidRPr="006A70A5">
        <w:rPr>
          <w:b/>
          <w:szCs w:val="24"/>
        </w:rPr>
        <w:t>Proposed Data Collection Submitted for Public Comment and Recommendations</w:t>
      </w:r>
    </w:p>
    <w:p w:rsidR="00942E51" w:rsidRPr="006A70A5" w:rsidP="00972C41" w14:paraId="204C4083" w14:textId="67AB7736">
      <w:pPr>
        <w:spacing w:line="480" w:lineRule="auto"/>
        <w:rPr>
          <w:szCs w:val="24"/>
        </w:rPr>
      </w:pPr>
      <w:r w:rsidRPr="006A70A5">
        <w:rPr>
          <w:b/>
          <w:szCs w:val="24"/>
        </w:rPr>
        <w:t>AGENCY:</w:t>
      </w:r>
      <w:r w:rsidRPr="006A70A5">
        <w:rPr>
          <w:szCs w:val="24"/>
        </w:rPr>
        <w:t xml:space="preserve"> Centers for Disease Control and Prevention (CDC), Department of Health and Human Services (HHS)</w:t>
      </w:r>
      <w:r w:rsidR="00872BA8">
        <w:rPr>
          <w:szCs w:val="24"/>
        </w:rPr>
        <w:t>.</w:t>
      </w:r>
    </w:p>
    <w:p w:rsidR="00942E51" w:rsidRPr="006A70A5" w:rsidP="00972C41" w14:paraId="2853A28E" w14:textId="38093A3E">
      <w:pPr>
        <w:spacing w:line="480" w:lineRule="auto"/>
        <w:rPr>
          <w:szCs w:val="24"/>
        </w:rPr>
      </w:pPr>
      <w:r w:rsidRPr="006A70A5">
        <w:rPr>
          <w:b/>
          <w:szCs w:val="24"/>
        </w:rPr>
        <w:t>ACTION:</w:t>
      </w:r>
      <w:r w:rsidRPr="006A70A5" w:rsidR="00D1050E">
        <w:rPr>
          <w:szCs w:val="24"/>
        </w:rPr>
        <w:t xml:space="preserve"> Notice with comment period</w:t>
      </w:r>
      <w:r w:rsidR="00872BA8">
        <w:rPr>
          <w:szCs w:val="24"/>
        </w:rPr>
        <w:t>.</w:t>
      </w:r>
    </w:p>
    <w:p w:rsidR="00C31F32" w:rsidRPr="009E131D" w:rsidP="00972C41" w14:paraId="2B8FE792" w14:textId="5644F97C">
      <w:pPr>
        <w:spacing w:line="480" w:lineRule="auto"/>
        <w:rPr>
          <w:szCs w:val="24"/>
        </w:rPr>
      </w:pPr>
      <w:r w:rsidRPr="006A70A5">
        <w:rPr>
          <w:b/>
          <w:szCs w:val="24"/>
        </w:rPr>
        <w:t>SUMMARY:</w:t>
      </w:r>
      <w:r w:rsidRPr="006A70A5" w:rsidR="002954C5">
        <w:rPr>
          <w:szCs w:val="24"/>
        </w:rPr>
        <w:t xml:space="preserve"> </w:t>
      </w:r>
      <w:r w:rsidRPr="006A70A5" w:rsidR="00462FEC">
        <w:rPr>
          <w:szCs w:val="24"/>
        </w:rPr>
        <w:t>The Centers for Disease Control and Prevention (CDC), as part of its continuing effort to reduce public burden</w:t>
      </w:r>
      <w:r w:rsidRPr="006A70A5" w:rsidR="00F40D55">
        <w:rPr>
          <w:szCs w:val="24"/>
        </w:rPr>
        <w:t xml:space="preserve"> and maximize the utility of government information</w:t>
      </w:r>
      <w:r w:rsidRPr="006A70A5" w:rsidR="00462FEC">
        <w:rPr>
          <w:szCs w:val="24"/>
        </w:rPr>
        <w:t xml:space="preserve">, invites the </w:t>
      </w:r>
      <w:r w:rsidRPr="006A70A5" w:rsidR="00462FEC">
        <w:rPr>
          <w:szCs w:val="24"/>
        </w:rPr>
        <w:t>general public</w:t>
      </w:r>
      <w:r w:rsidRPr="006A70A5" w:rsidR="00462FEC">
        <w:rPr>
          <w:szCs w:val="24"/>
        </w:rPr>
        <w:t xml:space="preserve"> and other Federal </w:t>
      </w:r>
      <w:r w:rsidRPr="006A70A5" w:rsidR="00462FEC">
        <w:rPr>
          <w:szCs w:val="24"/>
        </w:rPr>
        <w:t xml:space="preserve">agencies </w:t>
      </w:r>
      <w:r w:rsidRPr="006A70A5" w:rsidR="00B351FA">
        <w:rPr>
          <w:szCs w:val="24"/>
        </w:rPr>
        <w:t>the opportunity</w:t>
      </w:r>
      <w:r w:rsidRPr="006A70A5" w:rsidR="000F1198">
        <w:rPr>
          <w:szCs w:val="24"/>
        </w:rPr>
        <w:t xml:space="preserve"> to comment on </w:t>
      </w:r>
      <w:r w:rsidRPr="006A70A5" w:rsidR="00B351FA">
        <w:rPr>
          <w:szCs w:val="24"/>
        </w:rPr>
        <w:t xml:space="preserve">a </w:t>
      </w:r>
      <w:r w:rsidRPr="006A70A5" w:rsidR="000F1198">
        <w:rPr>
          <w:szCs w:val="24"/>
        </w:rPr>
        <w:t>proposed</w:t>
      </w:r>
      <w:r w:rsidRPr="006A70A5" w:rsidR="00B351FA">
        <w:rPr>
          <w:szCs w:val="24"/>
        </w:rPr>
        <w:t xml:space="preserve"> information collection</w:t>
      </w:r>
      <w:r w:rsidRPr="006A70A5" w:rsidR="00462FEC">
        <w:rPr>
          <w:szCs w:val="24"/>
        </w:rPr>
        <w:t>, as required by the Paperwork Reduction Act of 1995.</w:t>
      </w:r>
      <w:r w:rsidRPr="006A70A5" w:rsidR="00870754">
        <w:rPr>
          <w:szCs w:val="24"/>
        </w:rPr>
        <w:t xml:space="preserve">  This notice invites </w:t>
      </w:r>
      <w:r w:rsidRPr="006A70A5" w:rsidR="00870754">
        <w:rPr>
          <w:szCs w:val="24"/>
        </w:rPr>
        <w:t>comment</w:t>
      </w:r>
      <w:r w:rsidRPr="006A70A5" w:rsidR="00870754">
        <w:rPr>
          <w:szCs w:val="24"/>
        </w:rPr>
        <w:t xml:space="preserve"> on</w:t>
      </w:r>
      <w:r w:rsidRPr="006A70A5" w:rsidR="00B351FA">
        <w:rPr>
          <w:szCs w:val="24"/>
        </w:rPr>
        <w:t xml:space="preserve"> a proposed information collection project titled</w:t>
      </w:r>
      <w:r w:rsidRPr="006A70A5" w:rsidR="00870754">
        <w:rPr>
          <w:szCs w:val="24"/>
        </w:rPr>
        <w:t xml:space="preserve"> </w:t>
      </w:r>
      <w:r w:rsidRPr="009E131D" w:rsidR="00277B96">
        <w:rPr>
          <w:szCs w:val="24"/>
        </w:rPr>
        <w:t>2026 Andes Hantavirus Cruise Passenger and Traveler Contact Monitoring</w:t>
      </w:r>
      <w:r w:rsidRPr="009E131D" w:rsidR="00870754">
        <w:rPr>
          <w:szCs w:val="24"/>
        </w:rPr>
        <w:t>.</w:t>
      </w:r>
      <w:r w:rsidRPr="008764C2" w:rsidR="008764C2">
        <w:t xml:space="preserve"> </w:t>
      </w:r>
      <w:r w:rsidRPr="008764C2" w:rsidR="008764C2">
        <w:rPr>
          <w:szCs w:val="24"/>
        </w:rPr>
        <w:t>Th</w:t>
      </w:r>
      <w:r w:rsidR="008764C2">
        <w:rPr>
          <w:szCs w:val="24"/>
        </w:rPr>
        <w:t xml:space="preserve">is </w:t>
      </w:r>
      <w:r w:rsidRPr="008764C2" w:rsidR="008764C2">
        <w:rPr>
          <w:szCs w:val="24"/>
        </w:rPr>
        <w:t xml:space="preserve">information collection is </w:t>
      </w:r>
      <w:r w:rsidR="008764C2">
        <w:rPr>
          <w:szCs w:val="24"/>
        </w:rPr>
        <w:t xml:space="preserve">designed </w:t>
      </w:r>
      <w:r w:rsidRPr="008764C2" w:rsidR="008764C2">
        <w:rPr>
          <w:szCs w:val="24"/>
        </w:rPr>
        <w:t>to conduct case investigations and active monitoring of contacts data that are identified during hantavirus exposure events in domestic and international settings</w:t>
      </w:r>
      <w:r w:rsidR="008764C2">
        <w:rPr>
          <w:szCs w:val="24"/>
        </w:rPr>
        <w:t xml:space="preserve">, and to </w:t>
      </w:r>
      <w:r w:rsidRPr="008764C2" w:rsidR="008764C2">
        <w:rPr>
          <w:szCs w:val="24"/>
        </w:rPr>
        <w:t>analyze epidemiologic, clinical, and laboratory data for cases and contacts to characterize the exposure event</w:t>
      </w:r>
      <w:r w:rsidR="00782335">
        <w:rPr>
          <w:szCs w:val="24"/>
        </w:rPr>
        <w:t>.</w:t>
      </w:r>
    </w:p>
    <w:p w:rsidR="00942E51" w:rsidRPr="006A70A5" w:rsidP="00972C41" w14:paraId="4AB3988A" w14:textId="77777777">
      <w:pPr>
        <w:spacing w:line="480" w:lineRule="auto"/>
        <w:rPr>
          <w:szCs w:val="24"/>
        </w:rPr>
      </w:pPr>
      <w:r w:rsidRPr="006A70A5">
        <w:rPr>
          <w:b/>
          <w:szCs w:val="24"/>
        </w:rPr>
        <w:t>DATES:</w:t>
      </w:r>
      <w:r w:rsidRPr="006A70A5">
        <w:rPr>
          <w:szCs w:val="24"/>
        </w:rPr>
        <w:t xml:space="preserve"> </w:t>
      </w:r>
      <w:r w:rsidRPr="006A70A5" w:rsidR="00B351FA">
        <w:rPr>
          <w:szCs w:val="24"/>
        </w:rPr>
        <w:t>CDC must receive written comments</w:t>
      </w:r>
      <w:r w:rsidRPr="006A70A5">
        <w:rPr>
          <w:szCs w:val="24"/>
        </w:rPr>
        <w:t xml:space="preserve"> on or before [</w:t>
      </w:r>
      <w:r w:rsidRPr="009E131D">
        <w:rPr>
          <w:szCs w:val="24"/>
          <w:highlight w:val="yellow"/>
        </w:rPr>
        <w:t xml:space="preserve">INSERT DATE </w:t>
      </w:r>
      <w:r w:rsidRPr="009E131D" w:rsidR="00D1050E">
        <w:rPr>
          <w:szCs w:val="24"/>
          <w:highlight w:val="yellow"/>
        </w:rPr>
        <w:t>60</w:t>
      </w:r>
      <w:r w:rsidRPr="009E131D">
        <w:rPr>
          <w:szCs w:val="24"/>
          <w:highlight w:val="yellow"/>
        </w:rPr>
        <w:t xml:space="preserve"> DAYS AFTER PUBLICATION DATE IN THE FEDERAL REGISTER</w:t>
      </w:r>
      <w:r w:rsidRPr="006A70A5">
        <w:rPr>
          <w:szCs w:val="24"/>
        </w:rPr>
        <w:t xml:space="preserve">]. </w:t>
      </w:r>
    </w:p>
    <w:p w:rsidR="00942E51" w:rsidRPr="006A70A5" w:rsidP="00972C41" w14:paraId="66EFD16E" w14:textId="2F23FFFC">
      <w:pPr>
        <w:spacing w:line="480" w:lineRule="auto"/>
        <w:rPr>
          <w:szCs w:val="24"/>
        </w:rPr>
      </w:pPr>
      <w:r w:rsidRPr="006A70A5">
        <w:rPr>
          <w:b/>
          <w:szCs w:val="24"/>
        </w:rPr>
        <w:t>ADDRESSES:</w:t>
      </w:r>
      <w:r w:rsidRPr="006A70A5">
        <w:rPr>
          <w:szCs w:val="24"/>
        </w:rPr>
        <w:t xml:space="preserve"> You may submit comments</w:t>
      </w:r>
      <w:r w:rsidRPr="006A70A5" w:rsidR="002954C5">
        <w:rPr>
          <w:szCs w:val="24"/>
        </w:rPr>
        <w:t xml:space="preserve">, identified by </w:t>
      </w:r>
      <w:r w:rsidRPr="006A70A5" w:rsidR="00CD47E8">
        <w:rPr>
          <w:szCs w:val="24"/>
        </w:rPr>
        <w:t>D</w:t>
      </w:r>
      <w:r w:rsidRPr="006A70A5" w:rsidR="002954C5">
        <w:rPr>
          <w:szCs w:val="24"/>
        </w:rPr>
        <w:t xml:space="preserve">ocket </w:t>
      </w:r>
      <w:r w:rsidRPr="006A70A5" w:rsidR="00CD47E8">
        <w:rPr>
          <w:szCs w:val="24"/>
        </w:rPr>
        <w:t>No. CDC-20</w:t>
      </w:r>
      <w:r w:rsidRPr="006A70A5" w:rsidR="00E96CDD">
        <w:rPr>
          <w:szCs w:val="24"/>
        </w:rPr>
        <w:t>22</w:t>
      </w:r>
      <w:r w:rsidRPr="006A70A5" w:rsidR="00CD47E8">
        <w:rPr>
          <w:szCs w:val="24"/>
        </w:rPr>
        <w:t>-xxxx</w:t>
      </w:r>
      <w:r w:rsidRPr="006A70A5" w:rsidR="002954C5">
        <w:rPr>
          <w:szCs w:val="24"/>
        </w:rPr>
        <w:t xml:space="preserve"> by </w:t>
      </w:r>
      <w:r w:rsidR="009E131D">
        <w:rPr>
          <w:szCs w:val="24"/>
        </w:rPr>
        <w:t xml:space="preserve">either </w:t>
      </w:r>
      <w:r w:rsidRPr="006A70A5" w:rsidR="002954C5">
        <w:rPr>
          <w:szCs w:val="24"/>
        </w:rPr>
        <w:t>of the following methods:</w:t>
      </w:r>
    </w:p>
    <w:p w:rsidR="002954C5" w:rsidRPr="006A70A5" w:rsidP="002954C5" w14:paraId="19424700" w14:textId="6FC14922">
      <w:pPr>
        <w:numPr>
          <w:ilvl w:val="0"/>
          <w:numId w:val="1"/>
        </w:numPr>
        <w:spacing w:line="480" w:lineRule="auto"/>
        <w:rPr>
          <w:szCs w:val="24"/>
        </w:rPr>
      </w:pPr>
      <w:r w:rsidRPr="006A70A5">
        <w:rPr>
          <w:szCs w:val="24"/>
        </w:rPr>
        <w:t xml:space="preserve">Federal </w:t>
      </w:r>
      <w:r w:rsidRPr="006A70A5">
        <w:rPr>
          <w:szCs w:val="24"/>
        </w:rPr>
        <w:t>eRulemaking</w:t>
      </w:r>
      <w:r w:rsidRPr="006A70A5">
        <w:rPr>
          <w:szCs w:val="24"/>
        </w:rPr>
        <w:t xml:space="preserve"> Portal: </w:t>
      </w:r>
      <w:hyperlink r:id="rId7" w:history="1">
        <w:r w:rsidRPr="00D34D61" w:rsidR="00782335">
          <w:rPr>
            <w:rStyle w:val="Hyperlink"/>
            <w:szCs w:val="24"/>
          </w:rPr>
          <w:t>www.regulations.gov</w:t>
        </w:r>
      </w:hyperlink>
      <w:r w:rsidRPr="006A70A5">
        <w:rPr>
          <w:szCs w:val="24"/>
        </w:rPr>
        <w:t>.  Follow the instructions for submitting comments.</w:t>
      </w:r>
    </w:p>
    <w:p w:rsidR="0026538F" w:rsidRPr="006A70A5" w:rsidP="00E96CDD" w14:paraId="1EAA7CE8" w14:textId="315FD942">
      <w:pPr>
        <w:numPr>
          <w:ilvl w:val="0"/>
          <w:numId w:val="1"/>
        </w:numPr>
        <w:spacing w:line="480" w:lineRule="auto"/>
        <w:rPr>
          <w:i/>
          <w:szCs w:val="24"/>
        </w:rPr>
      </w:pPr>
      <w:r w:rsidRPr="006A70A5">
        <w:rPr>
          <w:szCs w:val="24"/>
        </w:rPr>
        <w:t xml:space="preserve">Mail: </w:t>
      </w:r>
      <w:r w:rsidRPr="006A70A5" w:rsidR="0031544B">
        <w:rPr>
          <w:szCs w:val="24"/>
        </w:rPr>
        <w:t>Jeffrey M. Zirger</w:t>
      </w:r>
      <w:r w:rsidRPr="006A70A5" w:rsidR="00870754">
        <w:rPr>
          <w:szCs w:val="24"/>
        </w:rPr>
        <w:t>, Information Collection Review Office, Centers for Disease Control and Prevention, 1600 Clifton Road, NE, M</w:t>
      </w:r>
      <w:r w:rsidR="00782335">
        <w:rPr>
          <w:szCs w:val="24"/>
        </w:rPr>
        <w:t>S H21-8</w:t>
      </w:r>
      <w:r w:rsidRPr="006A70A5" w:rsidR="00870754">
        <w:rPr>
          <w:szCs w:val="24"/>
        </w:rPr>
        <w:t>, Atlanta, Georgia 30329.</w:t>
      </w:r>
    </w:p>
    <w:p w:rsidR="002954C5" w:rsidRPr="006A70A5" w:rsidP="002954C5" w14:paraId="0D8682B6" w14:textId="531B12E1">
      <w:pPr>
        <w:spacing w:line="480" w:lineRule="auto"/>
        <w:rPr>
          <w:szCs w:val="24"/>
        </w:rPr>
      </w:pPr>
      <w:r w:rsidRPr="006A70A5">
        <w:rPr>
          <w:b/>
          <w:szCs w:val="24"/>
        </w:rPr>
        <w:t>Instructions:</w:t>
      </w:r>
      <w:r w:rsidRPr="006A70A5">
        <w:rPr>
          <w:i/>
          <w:szCs w:val="24"/>
        </w:rPr>
        <w:t xml:space="preserve"> </w:t>
      </w:r>
      <w:r w:rsidRPr="006A70A5">
        <w:rPr>
          <w:szCs w:val="24"/>
        </w:rPr>
        <w:t xml:space="preserve">All submissions received must include the agency name and </w:t>
      </w:r>
      <w:r w:rsidRPr="006A70A5" w:rsidR="00CD47E8">
        <w:rPr>
          <w:szCs w:val="24"/>
        </w:rPr>
        <w:t>D</w:t>
      </w:r>
      <w:r w:rsidRPr="006A70A5">
        <w:rPr>
          <w:szCs w:val="24"/>
        </w:rPr>
        <w:t xml:space="preserve">ocket </w:t>
      </w:r>
      <w:r w:rsidRPr="006A70A5" w:rsidR="00CD47E8">
        <w:rPr>
          <w:szCs w:val="24"/>
        </w:rPr>
        <w:t>N</w:t>
      </w:r>
      <w:r w:rsidRPr="006A70A5">
        <w:rPr>
          <w:szCs w:val="24"/>
        </w:rPr>
        <w:t xml:space="preserve">umber.  </w:t>
      </w:r>
      <w:r w:rsidRPr="006A70A5" w:rsidR="00B351FA">
        <w:rPr>
          <w:szCs w:val="24"/>
        </w:rPr>
        <w:t>CDC will post, without change, a</w:t>
      </w:r>
      <w:r w:rsidRPr="006A70A5">
        <w:rPr>
          <w:szCs w:val="24"/>
        </w:rPr>
        <w:t xml:space="preserve">ll relevant comments to </w:t>
      </w:r>
      <w:hyperlink r:id="rId7" w:history="1">
        <w:r w:rsidRPr="00D34D61" w:rsidR="00782335">
          <w:rPr>
            <w:rStyle w:val="Hyperlink"/>
            <w:szCs w:val="24"/>
          </w:rPr>
          <w:t>www.regulations.gov</w:t>
        </w:r>
      </w:hyperlink>
      <w:r w:rsidRPr="006A70A5">
        <w:rPr>
          <w:szCs w:val="24"/>
        </w:rPr>
        <w:t>.</w:t>
      </w:r>
    </w:p>
    <w:p w:rsidR="00870754" w:rsidRPr="006A70A5" w:rsidP="002954C5" w14:paraId="7C513CF5" w14:textId="0093F434">
      <w:pPr>
        <w:spacing w:line="480" w:lineRule="auto"/>
        <w:rPr>
          <w:szCs w:val="24"/>
        </w:rPr>
      </w:pPr>
      <w:r w:rsidRPr="006A70A5">
        <w:rPr>
          <w:szCs w:val="24"/>
          <w:u w:val="single"/>
        </w:rPr>
        <w:t xml:space="preserve">Please note: </w:t>
      </w:r>
      <w:r w:rsidRPr="006A70A5" w:rsidR="007A6414">
        <w:rPr>
          <w:szCs w:val="24"/>
          <w:u w:val="single"/>
        </w:rPr>
        <w:t>Submit all comments</w:t>
      </w:r>
      <w:r w:rsidRPr="006A70A5">
        <w:rPr>
          <w:szCs w:val="24"/>
          <w:u w:val="single"/>
        </w:rPr>
        <w:t xml:space="preserve"> through the Federal </w:t>
      </w:r>
      <w:r w:rsidRPr="006A70A5">
        <w:rPr>
          <w:szCs w:val="24"/>
          <w:u w:val="single"/>
        </w:rPr>
        <w:t>eRulemaking</w:t>
      </w:r>
      <w:r w:rsidRPr="006A70A5">
        <w:rPr>
          <w:szCs w:val="24"/>
          <w:u w:val="single"/>
        </w:rPr>
        <w:t xml:space="preserve"> portal (</w:t>
      </w:r>
      <w:hyperlink r:id="rId7" w:history="1">
        <w:r w:rsidRPr="00D34D61" w:rsidR="00782335">
          <w:rPr>
            <w:rStyle w:val="Hyperlink"/>
            <w:szCs w:val="24"/>
          </w:rPr>
          <w:t>www.regulations.gov</w:t>
        </w:r>
      </w:hyperlink>
      <w:r w:rsidRPr="006A70A5">
        <w:rPr>
          <w:szCs w:val="24"/>
          <w:u w:val="single"/>
        </w:rPr>
        <w:t>) or by U.S. mail to the address listed above.</w:t>
      </w:r>
    </w:p>
    <w:p w:rsidR="006E01AA" w:rsidRPr="00881675" w:rsidP="006E01AA" w14:paraId="3376FBA0" w14:textId="7F7172BA">
      <w:pPr>
        <w:spacing w:line="480" w:lineRule="auto"/>
        <w:rPr>
          <w:szCs w:val="24"/>
        </w:rPr>
      </w:pPr>
      <w:r w:rsidRPr="006A70A5">
        <w:rPr>
          <w:b/>
          <w:szCs w:val="24"/>
        </w:rPr>
        <w:t xml:space="preserve">FOR FURTHER INFORMATION: </w:t>
      </w:r>
      <w:r w:rsidRPr="006A70A5">
        <w:rPr>
          <w:szCs w:val="24"/>
        </w:rPr>
        <w:t xml:space="preserve">To request more information on the proposed project or to obtain a copy of the information collection plan and instruments, contact </w:t>
      </w:r>
      <w:r w:rsidRPr="006A70A5" w:rsidR="00241FA9">
        <w:rPr>
          <w:szCs w:val="24"/>
        </w:rPr>
        <w:t>Jeffrey M. Zirger</w:t>
      </w:r>
      <w:r w:rsidRPr="006A70A5" w:rsidR="007A6414">
        <w:rPr>
          <w:szCs w:val="24"/>
        </w:rPr>
        <w:t>,</w:t>
      </w:r>
      <w:r w:rsidRPr="006A70A5">
        <w:rPr>
          <w:szCs w:val="24"/>
        </w:rPr>
        <w:t xml:space="preserve"> Information Collection Review Office, Centers for Disease Control and Prevention, 1600 Clifton Road, NE, MS</w:t>
      </w:r>
      <w:r w:rsidR="00881675">
        <w:rPr>
          <w:szCs w:val="24"/>
        </w:rPr>
        <w:t xml:space="preserve"> H21-8</w:t>
      </w:r>
      <w:r w:rsidRPr="006A70A5">
        <w:rPr>
          <w:szCs w:val="24"/>
        </w:rPr>
        <w:t xml:space="preserve">, Atlanta, Georgia 30329; </w:t>
      </w:r>
      <w:r w:rsidR="00881675">
        <w:rPr>
          <w:szCs w:val="24"/>
        </w:rPr>
        <w:t>Tele</w:t>
      </w:r>
      <w:r w:rsidRPr="006A70A5">
        <w:rPr>
          <w:szCs w:val="24"/>
        </w:rPr>
        <w:t xml:space="preserve">phone: 404-639-7570; E-mail: </w:t>
      </w:r>
      <w:hyperlink r:id="rId8" w:history="1">
        <w:r w:rsidRPr="006A70A5">
          <w:rPr>
            <w:rStyle w:val="Hyperlink"/>
            <w:szCs w:val="24"/>
          </w:rPr>
          <w:t>omb@cdc.gov</w:t>
        </w:r>
      </w:hyperlink>
      <w:r w:rsidRPr="006A70A5">
        <w:rPr>
          <w:rStyle w:val="Hyperlink"/>
          <w:szCs w:val="24"/>
        </w:rPr>
        <w:t>.</w:t>
      </w:r>
    </w:p>
    <w:p w:rsidR="00C31F32" w:rsidRPr="006A70A5" w:rsidP="00C31F32" w14:paraId="76A006C8" w14:textId="77777777">
      <w:pPr>
        <w:spacing w:line="480" w:lineRule="auto"/>
        <w:rPr>
          <w:szCs w:val="24"/>
        </w:rPr>
      </w:pPr>
      <w:r w:rsidRPr="006A70A5">
        <w:rPr>
          <w:b/>
          <w:szCs w:val="24"/>
        </w:rPr>
        <w:t>SUPPLEMENTARY INFORMATION:</w:t>
      </w:r>
      <w:r w:rsidRPr="006A70A5" w:rsidR="001B10C1">
        <w:rPr>
          <w:szCs w:val="24"/>
        </w:rPr>
        <w:t xml:space="preserve"> </w:t>
      </w:r>
    </w:p>
    <w:p w:rsidR="007A6414" w:rsidRPr="006A70A5" w:rsidP="00881675" w14:paraId="1CF7544F" w14:textId="6743F741">
      <w:pPr>
        <w:spacing w:line="480" w:lineRule="auto"/>
        <w:ind w:firstLine="720"/>
        <w:rPr>
          <w:szCs w:val="24"/>
        </w:rPr>
      </w:pPr>
      <w:r w:rsidRPr="006A70A5">
        <w:rPr>
          <w:szCs w:val="24"/>
        </w:rPr>
        <w:t xml:space="preserve">Under the Paperwork Reduction Act of 1995 (PRA) (44 U.S.C. 3501-3520), </w:t>
      </w:r>
      <w:r w:rsidR="00881675">
        <w:rPr>
          <w:szCs w:val="24"/>
        </w:rPr>
        <w:t>f</w:t>
      </w:r>
      <w:r w:rsidRPr="006A70A5">
        <w:rPr>
          <w:szCs w:val="24"/>
        </w:rPr>
        <w:t xml:space="preserve">ederal agencies must obtain approval from the Office of Management and Budget (OMB) for each collection of information they conduct or sponsor. In addition, the PRA also requires </w:t>
      </w:r>
      <w:r w:rsidR="00881675">
        <w:rPr>
          <w:szCs w:val="24"/>
        </w:rPr>
        <w:t>f</w:t>
      </w:r>
      <w:r w:rsidRPr="006A70A5">
        <w:rPr>
          <w:szCs w:val="24"/>
        </w:rPr>
        <w:t xml:space="preserve">ederal agencies to provide a 60-day notice in the </w:t>
      </w:r>
      <w:r w:rsidRPr="00881675">
        <w:rPr>
          <w:i/>
          <w:iCs/>
          <w:szCs w:val="24"/>
        </w:rPr>
        <w:t>Federal Register</w:t>
      </w:r>
      <w:r w:rsidRPr="006A70A5">
        <w:rPr>
          <w:szCs w:val="24"/>
        </w:rPr>
        <w:t xml:space="preserve"> concerning each proposed collection of information, including each new proposed collection, each proposed extension of existing </w:t>
      </w:r>
      <w:r w:rsidRPr="006A70A5">
        <w:rPr>
          <w:szCs w:val="24"/>
        </w:rPr>
        <w:t>collection of information</w:t>
      </w:r>
      <w:r w:rsidRPr="006A70A5">
        <w:rPr>
          <w:szCs w:val="24"/>
        </w:rPr>
        <w:t xml:space="preserve">, and each reinstatement of previously approved information collection before submitting the collection to </w:t>
      </w:r>
      <w:r w:rsidRPr="006A70A5" w:rsidR="00C651D6">
        <w:rPr>
          <w:szCs w:val="24"/>
        </w:rPr>
        <w:t xml:space="preserve">the </w:t>
      </w:r>
      <w:r w:rsidRPr="006A70A5">
        <w:rPr>
          <w:szCs w:val="24"/>
        </w:rPr>
        <w:t>OMB for approval. To comply with this requirement, we are publishing this notice of a proposed data collection as described below.</w:t>
      </w:r>
    </w:p>
    <w:p w:rsidR="00EB1E06" w:rsidRPr="006A70A5" w:rsidP="00EB1E06" w14:paraId="576A1CB6" w14:textId="77777777">
      <w:pPr>
        <w:pStyle w:val="Default"/>
        <w:spacing w:line="480" w:lineRule="auto"/>
        <w:ind w:firstLine="720"/>
      </w:pPr>
      <w:r w:rsidRPr="006A70A5">
        <w:t xml:space="preserve">The OMB is particularly interested in comments that will help: </w:t>
      </w:r>
    </w:p>
    <w:p w:rsidR="00EB1E06" w:rsidRPr="006A70A5" w:rsidP="00EB1E06" w14:paraId="1CDC4CEF" w14:textId="77777777">
      <w:pPr>
        <w:pStyle w:val="Default"/>
        <w:numPr>
          <w:ilvl w:val="0"/>
          <w:numId w:val="2"/>
        </w:numPr>
        <w:spacing w:line="480" w:lineRule="auto"/>
        <w:ind w:left="360"/>
      </w:pPr>
      <w:r w:rsidRPr="006A70A5">
        <w:t xml:space="preserve">Evaluate whether the proposed collection of information is necessary for the proper performance of the functions of the agency, including whether the information will have practical utility; </w:t>
      </w:r>
    </w:p>
    <w:p w:rsidR="00EB1E06" w:rsidRPr="006A70A5" w:rsidP="00EB1E06" w14:paraId="4A8025FF" w14:textId="77777777">
      <w:pPr>
        <w:pStyle w:val="Default"/>
        <w:numPr>
          <w:ilvl w:val="0"/>
          <w:numId w:val="2"/>
        </w:numPr>
        <w:spacing w:line="480" w:lineRule="auto"/>
        <w:ind w:left="360"/>
      </w:pPr>
      <w:r w:rsidRPr="006A70A5">
        <w:t xml:space="preserve">Evaluate the accuracy of the agency's estimate of the burden of the proposed collection of information, including the validity of the methodology and assumptions used; </w:t>
      </w:r>
    </w:p>
    <w:p w:rsidR="00EB1E06" w:rsidRPr="006A70A5" w:rsidP="00EB1E06" w14:paraId="313E71D1" w14:textId="1318DB42">
      <w:pPr>
        <w:pStyle w:val="Default"/>
        <w:numPr>
          <w:ilvl w:val="0"/>
          <w:numId w:val="2"/>
        </w:numPr>
        <w:spacing w:line="480" w:lineRule="auto"/>
        <w:ind w:left="360"/>
      </w:pPr>
      <w:r w:rsidRPr="006A70A5">
        <w:t xml:space="preserve">Enhance the quality, utility, and clarity of the information to be collected; </w:t>
      </w:r>
    </w:p>
    <w:p w:rsidR="0087346B" w:rsidRPr="006A70A5" w:rsidP="0087346B" w14:paraId="43A13205" w14:textId="0E7B0700">
      <w:pPr>
        <w:pStyle w:val="Default"/>
        <w:numPr>
          <w:ilvl w:val="0"/>
          <w:numId w:val="2"/>
        </w:numPr>
        <w:spacing w:line="480" w:lineRule="auto"/>
        <w:ind w:left="360"/>
      </w:pPr>
      <w:r w:rsidRPr="006A70A5">
        <w:t xml:space="preserve">Minimize the burden of the collection of information on those who are to respond, including </w:t>
      </w:r>
      <w:r w:rsidRPr="006A70A5">
        <w:t>through the use of</w:t>
      </w:r>
      <w:r w:rsidRPr="006A70A5">
        <w:t xml:space="preserve"> appropriate automated, electronic, mechanical, or </w:t>
      </w:r>
      <w:r w:rsidRPr="006A70A5">
        <w:rPr>
          <w:color w:val="auto"/>
        </w:rPr>
        <w:t xml:space="preserve">other technological collection techniques or other forms of information </w:t>
      </w:r>
      <w:r w:rsidRPr="006A70A5">
        <w:t>technology, e.g., permitting electronic submissions of responses</w:t>
      </w:r>
      <w:r w:rsidR="00DC3036">
        <w:t>; and</w:t>
      </w:r>
    </w:p>
    <w:p w:rsidR="001B10C1" w:rsidP="00E96CDD" w14:paraId="1A08D484" w14:textId="77777777">
      <w:pPr>
        <w:pStyle w:val="Default"/>
        <w:numPr>
          <w:ilvl w:val="0"/>
          <w:numId w:val="2"/>
        </w:numPr>
        <w:spacing w:line="480" w:lineRule="auto"/>
        <w:ind w:left="360"/>
      </w:pPr>
      <w:r w:rsidRPr="006A70A5">
        <w:t>Assess information collection costs.</w:t>
      </w:r>
    </w:p>
    <w:p w:rsidR="00DC3036" w:rsidRPr="006A70A5" w:rsidP="00DC3036" w14:paraId="3FD1E04F" w14:textId="77777777">
      <w:pPr>
        <w:pStyle w:val="Default"/>
        <w:spacing w:line="480" w:lineRule="auto"/>
        <w:ind w:left="360"/>
      </w:pPr>
    </w:p>
    <w:p w:rsidR="001B10C1" w:rsidRPr="006A70A5" w:rsidP="00B3398C" w14:paraId="5FCD989A" w14:textId="77777777">
      <w:pPr>
        <w:spacing w:line="480" w:lineRule="auto"/>
        <w:rPr>
          <w:szCs w:val="24"/>
        </w:rPr>
      </w:pPr>
      <w:r w:rsidRPr="006A70A5">
        <w:rPr>
          <w:szCs w:val="24"/>
        </w:rPr>
        <w:t>Proposed Project</w:t>
      </w:r>
    </w:p>
    <w:p w:rsidR="001B10C1" w:rsidRPr="006A70A5" w:rsidP="00B3398C" w14:paraId="6D64452D" w14:textId="719703DF">
      <w:pPr>
        <w:spacing w:line="480" w:lineRule="auto"/>
        <w:rPr>
          <w:i/>
          <w:iCs/>
          <w:szCs w:val="24"/>
        </w:rPr>
      </w:pPr>
      <w:r w:rsidRPr="00DC3036">
        <w:rPr>
          <w:szCs w:val="24"/>
        </w:rPr>
        <w:t xml:space="preserve">2026 Andes Hantavirus Cruise Passenger and Traveler Contact Monitoring </w:t>
      </w:r>
      <w:r w:rsidRPr="00DC3036">
        <w:rPr>
          <w:szCs w:val="24"/>
        </w:rPr>
        <w:t>–</w:t>
      </w:r>
      <w:r w:rsidRPr="006A70A5" w:rsidR="006B57EA">
        <w:rPr>
          <w:szCs w:val="24"/>
        </w:rPr>
        <w:t xml:space="preserve"> </w:t>
      </w:r>
      <w:r w:rsidRPr="006A70A5" w:rsidR="1CA7E0AC">
        <w:rPr>
          <w:szCs w:val="24"/>
        </w:rPr>
        <w:t xml:space="preserve">New - </w:t>
      </w:r>
      <w:r w:rsidRPr="006A70A5" w:rsidR="00123FEF">
        <w:rPr>
          <w:szCs w:val="24"/>
        </w:rPr>
        <w:t>National Center for Emerging and Zoonotic Infectious Diseases (NCEZID)</w:t>
      </w:r>
      <w:r w:rsidRPr="006A70A5">
        <w:rPr>
          <w:szCs w:val="24"/>
        </w:rPr>
        <w:t>, Centers for Disease Control and Prevention (CDC).</w:t>
      </w:r>
    </w:p>
    <w:p w:rsidR="000508FC" w:rsidRPr="006A70A5" w:rsidP="00B3398C" w14:paraId="79A01E50" w14:textId="77777777">
      <w:pPr>
        <w:spacing w:line="480" w:lineRule="auto"/>
        <w:rPr>
          <w:b/>
          <w:szCs w:val="24"/>
        </w:rPr>
      </w:pPr>
    </w:p>
    <w:p w:rsidR="001B10C1" w:rsidRPr="006A70A5" w:rsidP="00B3398C" w14:paraId="3ABECB81" w14:textId="1AF4C1FE">
      <w:pPr>
        <w:spacing w:line="480" w:lineRule="auto"/>
        <w:rPr>
          <w:szCs w:val="24"/>
          <w:u w:val="single"/>
        </w:rPr>
      </w:pPr>
      <w:r w:rsidRPr="006A70A5">
        <w:rPr>
          <w:szCs w:val="24"/>
          <w:u w:val="single"/>
        </w:rPr>
        <w:t>Background and Brief Description</w:t>
      </w:r>
    </w:p>
    <w:p w:rsidR="009044DC" w:rsidP="009044DC" w14:paraId="7FA72216" w14:textId="77777777">
      <w:pPr>
        <w:spacing w:line="480" w:lineRule="auto"/>
        <w:ind w:firstLine="720"/>
        <w:rPr>
          <w:szCs w:val="24"/>
        </w:rPr>
      </w:pPr>
      <w:r w:rsidRPr="006A70A5">
        <w:rPr>
          <w:szCs w:val="24"/>
        </w:rPr>
        <w:t xml:space="preserve">Section 361 of the Public Health Service (PHS) Act (42 USC 264) authorizes the Secretary of Health and Human Services to make and enforce regulations necessary to prevent the introduction, transmission or spread of communicable diseases from foreign countries into the United States. Under its delegated authority, DGMQ works to fulfill this responsibility through a variety of activities, including the operation of Quarantine Stations at ports of entry </w:t>
      </w:r>
      <w:r w:rsidRPr="006A70A5">
        <w:rPr>
          <w:szCs w:val="24"/>
        </w:rPr>
        <w:t xml:space="preserve">and administration of foreign quarantine regulations; 42 Code of Federal Regulation part 71, specifically 42 CFR 71.20 </w:t>
      </w:r>
      <w:r w:rsidRPr="006A70A5">
        <w:rPr>
          <w:i/>
          <w:iCs/>
          <w:szCs w:val="24"/>
        </w:rPr>
        <w:t>Public health prevention measures to detect communicable disease</w:t>
      </w:r>
      <w:r w:rsidRPr="006A70A5">
        <w:rPr>
          <w:szCs w:val="24"/>
        </w:rPr>
        <w:t>.  This information collection concerns CDC’s statutory and regulatory authority related to conducting public health screening of travelers upon arrival to the United States and assessing individual travelers for public health risk following a report of illness from a conveyance.</w:t>
      </w:r>
    </w:p>
    <w:p w:rsidR="009044DC" w:rsidP="009044DC" w14:paraId="00177B86" w14:textId="77777777">
      <w:pPr>
        <w:spacing w:line="480" w:lineRule="auto"/>
        <w:ind w:firstLine="720"/>
        <w:rPr>
          <w:szCs w:val="24"/>
        </w:rPr>
      </w:pPr>
      <w:r w:rsidRPr="006A70A5">
        <w:rPr>
          <w:szCs w:val="24"/>
        </w:rPr>
        <w:t xml:space="preserve">The purpose of this information collection is </w:t>
      </w:r>
      <w:r w:rsidRPr="006A70A5" w:rsidR="007148F0">
        <w:rPr>
          <w:szCs w:val="24"/>
        </w:rPr>
        <w:t>to</w:t>
      </w:r>
      <w:r>
        <w:rPr>
          <w:szCs w:val="24"/>
        </w:rPr>
        <w:t>:</w:t>
      </w:r>
      <w:r w:rsidRPr="006A70A5" w:rsidR="007148F0">
        <w:rPr>
          <w:szCs w:val="24"/>
        </w:rPr>
        <w:t xml:space="preserve"> 1) conduct case investigations and active monitoring of contacts data that are identified during hantavirus exposure events in domestic and international settings; 2) analyze epidemiologic, clinical, and laboratory data for cases and contacts to characterize the exposure event, identify transmission patterns (including potential person-to-person transmission for Andes virus), and guide control strategies; 3) generate reports describing demographic characteristics, clinical presentation, and timelines (e.g., exposure to symptom onset, symptom onset to detection) to inform response decision-making; and 4) inform the development of future guidance and recommendations for post-arrival traveler management for this current outbreak as well as future outbreaks of high-consequence pathogens.</w:t>
      </w:r>
    </w:p>
    <w:p w:rsidR="00250345" w:rsidP="00250345" w14:paraId="0F3676F3" w14:textId="77777777">
      <w:pPr>
        <w:spacing w:line="480" w:lineRule="auto"/>
        <w:ind w:firstLine="720"/>
        <w:rPr>
          <w:szCs w:val="24"/>
        </w:rPr>
      </w:pPr>
      <w:r w:rsidRPr="006A70A5">
        <w:rPr>
          <w:szCs w:val="24"/>
        </w:rPr>
        <w:t xml:space="preserve">CDC is currently sharing case and contact information as well as public health assessment of exposure risk to hantavirus for both passengers and travelers identified as contacts with state and local health departments through existing data-sharing infrastructure. State and local health departments utilize the contact information provided by CDC to prioritize and identify the level of follow-up needed based on the </w:t>
      </w:r>
      <w:r w:rsidRPr="006A70A5">
        <w:rPr>
          <w:szCs w:val="24"/>
        </w:rPr>
        <w:t>level of risk</w:t>
      </w:r>
      <w:r w:rsidRPr="006A70A5">
        <w:rPr>
          <w:szCs w:val="24"/>
        </w:rPr>
        <w:t xml:space="preserve"> of exposure to confirmed and probable cases of hantavirus and determine if additional targeted public health measures are necessary.  </w:t>
      </w:r>
    </w:p>
    <w:p w:rsidR="007148F0" w:rsidP="00250345" w14:paraId="1D8785A8" w14:textId="412A4F71">
      <w:pPr>
        <w:spacing w:line="480" w:lineRule="auto"/>
        <w:ind w:firstLine="720"/>
        <w:rPr>
          <w:szCs w:val="24"/>
        </w:rPr>
      </w:pPr>
      <w:r w:rsidRPr="006A70A5">
        <w:rPr>
          <w:szCs w:val="24"/>
        </w:rPr>
        <w:t xml:space="preserve">State/local health department partners are contacting travelers </w:t>
      </w:r>
      <w:r w:rsidRPr="006A70A5">
        <w:rPr>
          <w:szCs w:val="24"/>
        </w:rPr>
        <w:t>in order to</w:t>
      </w:r>
      <w:r w:rsidRPr="006A70A5">
        <w:rPr>
          <w:szCs w:val="24"/>
        </w:rPr>
        <w:t xml:space="preserve"> determine if they are symptomatic and require additional screening and testing for hantavirus. The purpose of </w:t>
      </w:r>
      <w:r w:rsidRPr="006A70A5">
        <w:rPr>
          <w:szCs w:val="24"/>
        </w:rPr>
        <w:t xml:space="preserve">this data collection using assessment surveys will be to inform state and local health departments regarding case and contact traveler monitoring activities and help evaluate the usability of this public health risk assessment information provided by CDC for implementation of appropriate and effective outbreak control measures. </w:t>
      </w:r>
    </w:p>
    <w:p w:rsidR="00250345" w:rsidRPr="006A70A5" w:rsidP="00250345" w14:paraId="7607DA1A" w14:textId="5B604CB0">
      <w:pPr>
        <w:spacing w:line="480" w:lineRule="auto"/>
        <w:ind w:firstLine="720"/>
        <w:rPr>
          <w:szCs w:val="24"/>
        </w:rPr>
      </w:pPr>
      <w:r>
        <w:rPr>
          <w:szCs w:val="24"/>
        </w:rPr>
        <w:t xml:space="preserve">CDC requests OMB approval for an estimated 17,813 </w:t>
      </w:r>
      <w:r w:rsidR="00956381">
        <w:rPr>
          <w:szCs w:val="24"/>
        </w:rPr>
        <w:t xml:space="preserve">annualized burden hours. There is no cost </w:t>
      </w:r>
      <w:r w:rsidR="00956381">
        <w:rPr>
          <w:szCs w:val="24"/>
        </w:rPr>
        <w:t>to</w:t>
      </w:r>
      <w:r w:rsidR="00956381">
        <w:rPr>
          <w:szCs w:val="24"/>
        </w:rPr>
        <w:t xml:space="preserve"> respondents other than their time to participate.</w:t>
      </w:r>
    </w:p>
    <w:p w:rsidR="00EF46B1" w:rsidRPr="006A70A5" w:rsidP="00EF46B1" w14:paraId="1E76ACDE" w14:textId="77777777">
      <w:pPr>
        <w:spacing w:line="480" w:lineRule="auto"/>
        <w:rPr>
          <w:szCs w:val="24"/>
          <w:highlight w:val="yellow"/>
          <w:u w:val="single"/>
        </w:rPr>
      </w:pPr>
    </w:p>
    <w:p w:rsidR="00EF46B1" w:rsidRPr="006A70A5" w:rsidP="00062B29" w14:paraId="3AC2FFEC" w14:textId="1604D738">
      <w:pPr>
        <w:spacing w:line="480" w:lineRule="auto"/>
        <w:rPr>
          <w:szCs w:val="24"/>
          <w:u w:val="single"/>
        </w:rPr>
      </w:pPr>
      <w:bookmarkStart w:id="0" w:name="_Hlk86678009"/>
      <w:r w:rsidRPr="006A70A5">
        <w:rPr>
          <w:szCs w:val="24"/>
          <w:u w:val="single"/>
        </w:rPr>
        <w:t xml:space="preserve">Estimated Annualized Burden Hours </w:t>
      </w:r>
      <w:bookmarkEnd w:id="0"/>
    </w:p>
    <w:tbl>
      <w:tblPr>
        <w:tblW w:w="99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890"/>
        <w:gridCol w:w="1980"/>
        <w:gridCol w:w="1710"/>
        <w:gridCol w:w="1440"/>
        <w:gridCol w:w="1170"/>
      </w:tblGrid>
      <w:tr w14:paraId="56B2BA5A" w14:textId="77777777" w:rsidTr="00A97F73">
        <w:tblPrEx>
          <w:tblW w:w="99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vAlign w:val="center"/>
          </w:tcPr>
          <w:p w:rsidR="00A97F73" w:rsidRPr="006A70A5" w:rsidP="00062B29" w14:paraId="0FAE524E" w14:textId="77777777">
            <w:pPr>
              <w:jc w:val="center"/>
              <w:rPr>
                <w:szCs w:val="24"/>
              </w:rPr>
            </w:pPr>
            <w:r w:rsidRPr="006A70A5">
              <w:rPr>
                <w:szCs w:val="24"/>
              </w:rPr>
              <w:t>Respondent</w:t>
            </w:r>
          </w:p>
        </w:tc>
        <w:tc>
          <w:tcPr>
            <w:tcW w:w="1890" w:type="dxa"/>
            <w:vAlign w:val="center"/>
          </w:tcPr>
          <w:p w:rsidR="00A97F73" w:rsidRPr="006A70A5" w:rsidP="00062B29" w14:paraId="2D9823C6" w14:textId="77777777">
            <w:pPr>
              <w:jc w:val="center"/>
              <w:rPr>
                <w:szCs w:val="24"/>
              </w:rPr>
            </w:pPr>
            <w:r w:rsidRPr="006A70A5">
              <w:rPr>
                <w:szCs w:val="24"/>
              </w:rPr>
              <w:t xml:space="preserve">Information Collection Tool </w:t>
            </w:r>
          </w:p>
        </w:tc>
        <w:tc>
          <w:tcPr>
            <w:tcW w:w="1980" w:type="dxa"/>
            <w:vAlign w:val="center"/>
          </w:tcPr>
          <w:p w:rsidR="00A97F73" w:rsidRPr="006A70A5" w:rsidP="00062B29" w14:paraId="40A12790" w14:textId="77777777">
            <w:pPr>
              <w:jc w:val="center"/>
              <w:rPr>
                <w:szCs w:val="24"/>
              </w:rPr>
            </w:pPr>
            <w:r w:rsidRPr="006A70A5">
              <w:rPr>
                <w:szCs w:val="24"/>
              </w:rPr>
              <w:t>Number of Respondents</w:t>
            </w:r>
          </w:p>
          <w:p w:rsidR="00A97F73" w:rsidRPr="006A70A5" w:rsidP="00062B29" w14:paraId="0177A7D7" w14:textId="77777777">
            <w:pPr>
              <w:jc w:val="center"/>
              <w:rPr>
                <w:szCs w:val="24"/>
              </w:rPr>
            </w:pPr>
          </w:p>
        </w:tc>
        <w:tc>
          <w:tcPr>
            <w:tcW w:w="1710" w:type="dxa"/>
            <w:vAlign w:val="center"/>
          </w:tcPr>
          <w:p w:rsidR="00A97F73" w:rsidRPr="006A70A5" w:rsidP="00062B29" w14:paraId="666EA57D" w14:textId="77777777">
            <w:pPr>
              <w:jc w:val="center"/>
              <w:rPr>
                <w:szCs w:val="24"/>
              </w:rPr>
            </w:pPr>
            <w:r w:rsidRPr="006A70A5">
              <w:rPr>
                <w:szCs w:val="24"/>
              </w:rPr>
              <w:t>Number of Responses per</w:t>
            </w:r>
          </w:p>
          <w:p w:rsidR="00A97F73" w:rsidRPr="006A70A5" w:rsidP="00062B29" w14:paraId="3DCFAA11" w14:textId="77777777">
            <w:pPr>
              <w:jc w:val="center"/>
              <w:rPr>
                <w:szCs w:val="24"/>
              </w:rPr>
            </w:pPr>
            <w:r w:rsidRPr="006A70A5">
              <w:rPr>
                <w:szCs w:val="24"/>
              </w:rPr>
              <w:t>Respondent</w:t>
            </w:r>
          </w:p>
        </w:tc>
        <w:tc>
          <w:tcPr>
            <w:tcW w:w="1440" w:type="dxa"/>
            <w:vAlign w:val="center"/>
          </w:tcPr>
          <w:p w:rsidR="00A97F73" w:rsidRPr="006A70A5" w:rsidP="00062B29" w14:paraId="62BC2491" w14:textId="77777777">
            <w:pPr>
              <w:jc w:val="center"/>
              <w:rPr>
                <w:szCs w:val="24"/>
              </w:rPr>
            </w:pPr>
            <w:r w:rsidRPr="006A70A5">
              <w:rPr>
                <w:szCs w:val="24"/>
              </w:rPr>
              <w:t>Average Burden per Response</w:t>
            </w:r>
          </w:p>
          <w:p w:rsidR="00A97F73" w:rsidRPr="006A70A5" w:rsidP="00062B29" w14:paraId="66D3B912" w14:textId="77777777">
            <w:pPr>
              <w:jc w:val="center"/>
              <w:rPr>
                <w:szCs w:val="24"/>
              </w:rPr>
            </w:pPr>
            <w:r w:rsidRPr="006A70A5">
              <w:rPr>
                <w:szCs w:val="24"/>
              </w:rPr>
              <w:t>(in minutes)</w:t>
            </w:r>
          </w:p>
        </w:tc>
        <w:tc>
          <w:tcPr>
            <w:tcW w:w="1170" w:type="dxa"/>
            <w:vAlign w:val="center"/>
          </w:tcPr>
          <w:p w:rsidR="00A97F73" w:rsidRPr="006A70A5" w:rsidP="00062B29" w14:paraId="636FE50B" w14:textId="77777777">
            <w:pPr>
              <w:jc w:val="center"/>
              <w:rPr>
                <w:szCs w:val="24"/>
              </w:rPr>
            </w:pPr>
            <w:r w:rsidRPr="006A70A5">
              <w:rPr>
                <w:szCs w:val="24"/>
              </w:rPr>
              <w:t>Total Burden Hours</w:t>
            </w:r>
          </w:p>
        </w:tc>
      </w:tr>
      <w:tr w14:paraId="08F18233" w14:textId="77777777" w:rsidTr="00A97F73">
        <w:tblPrEx>
          <w:tblW w:w="9900" w:type="dxa"/>
          <w:tblInd w:w="-635" w:type="dxa"/>
          <w:tblLayout w:type="fixed"/>
          <w:tblLook w:val="01E0"/>
        </w:tblPrEx>
        <w:tc>
          <w:tcPr>
            <w:tcW w:w="1710" w:type="dxa"/>
            <w:vAlign w:val="center"/>
          </w:tcPr>
          <w:p w:rsidR="00A97F73" w:rsidRPr="006A70A5" w:rsidP="00A07F30" w14:paraId="21A3E2FE" w14:textId="77777777">
            <w:pPr>
              <w:jc w:val="center"/>
              <w:rPr>
                <w:szCs w:val="24"/>
              </w:rPr>
            </w:pPr>
            <w:r w:rsidRPr="006A70A5">
              <w:rPr>
                <w:szCs w:val="24"/>
              </w:rPr>
              <w:t>Cruise ship passengers</w:t>
            </w:r>
          </w:p>
        </w:tc>
        <w:tc>
          <w:tcPr>
            <w:tcW w:w="1890" w:type="dxa"/>
            <w:vAlign w:val="center"/>
          </w:tcPr>
          <w:p w:rsidR="00A97F73" w:rsidRPr="006A70A5" w:rsidP="00062B29" w14:paraId="2747EB03" w14:textId="77777777">
            <w:pPr>
              <w:jc w:val="center"/>
              <w:rPr>
                <w:szCs w:val="24"/>
              </w:rPr>
            </w:pPr>
            <w:r w:rsidRPr="006A70A5">
              <w:rPr>
                <w:szCs w:val="24"/>
              </w:rPr>
              <w:t xml:space="preserve">Andes </w:t>
            </w:r>
            <w:r w:rsidRPr="006A70A5">
              <w:rPr>
                <w:szCs w:val="24"/>
              </w:rPr>
              <w:t>hantavirus</w:t>
            </w:r>
            <w:r w:rsidRPr="006A70A5">
              <w:rPr>
                <w:szCs w:val="24"/>
              </w:rPr>
              <w:t xml:space="preserve"> Canary Island Assessment</w:t>
            </w:r>
          </w:p>
        </w:tc>
        <w:tc>
          <w:tcPr>
            <w:tcW w:w="1980" w:type="dxa"/>
            <w:vAlign w:val="center"/>
          </w:tcPr>
          <w:p w:rsidR="00A97F73" w:rsidRPr="006A70A5" w:rsidP="00A07F30" w14:paraId="0D0FA989" w14:textId="77777777">
            <w:pPr>
              <w:jc w:val="center"/>
              <w:rPr>
                <w:szCs w:val="24"/>
              </w:rPr>
            </w:pPr>
            <w:r w:rsidRPr="006A70A5">
              <w:rPr>
                <w:szCs w:val="24"/>
              </w:rPr>
              <w:t>18</w:t>
            </w:r>
          </w:p>
        </w:tc>
        <w:tc>
          <w:tcPr>
            <w:tcW w:w="1710" w:type="dxa"/>
            <w:vAlign w:val="center"/>
          </w:tcPr>
          <w:p w:rsidR="00A97F73" w:rsidRPr="006A70A5" w:rsidP="00A07F30" w14:paraId="2CE79F46" w14:textId="77777777">
            <w:pPr>
              <w:jc w:val="center"/>
              <w:rPr>
                <w:szCs w:val="24"/>
              </w:rPr>
            </w:pPr>
            <w:r w:rsidRPr="006A70A5">
              <w:rPr>
                <w:szCs w:val="24"/>
              </w:rPr>
              <w:t>35</w:t>
            </w:r>
          </w:p>
        </w:tc>
        <w:tc>
          <w:tcPr>
            <w:tcW w:w="1440" w:type="dxa"/>
            <w:vAlign w:val="center"/>
          </w:tcPr>
          <w:p w:rsidR="00A97F73" w:rsidRPr="006A70A5" w:rsidP="00A07F30" w14:paraId="4CD6043D" w14:textId="77777777">
            <w:pPr>
              <w:jc w:val="center"/>
              <w:rPr>
                <w:szCs w:val="24"/>
              </w:rPr>
            </w:pPr>
            <w:r w:rsidRPr="006A70A5">
              <w:rPr>
                <w:szCs w:val="24"/>
              </w:rPr>
              <w:t>25/60</w:t>
            </w:r>
          </w:p>
        </w:tc>
        <w:tc>
          <w:tcPr>
            <w:tcW w:w="1170" w:type="dxa"/>
            <w:vAlign w:val="center"/>
          </w:tcPr>
          <w:p w:rsidR="00A97F73" w:rsidRPr="006A70A5" w:rsidP="00A07F30" w14:paraId="496D80C3" w14:textId="77777777">
            <w:pPr>
              <w:jc w:val="center"/>
              <w:rPr>
                <w:szCs w:val="24"/>
              </w:rPr>
            </w:pPr>
            <w:bdo w:val="ltr">
              <w:r w:rsidRPr="006A70A5">
                <w:rPr>
                  <w:rFonts w:eastAsia="MS Mincho"/>
                  <w:szCs w:val="24"/>
                </w:rPr>
                <w:t>‬</w:t>
              </w:r>
              <w:r w:rsidRPr="006A70A5">
                <w:rPr>
                  <w:szCs w:val="24"/>
                </w:rPr>
                <w:t xml:space="preserve">   263</w:t>
              </w:r>
              <w:r w:rsidRPr="006A70A5">
                <w:rPr>
                  <w:rFonts w:eastAsia="MS Mincho"/>
                  <w:szCs w:val="24"/>
                </w:rPr>
                <w:t>‬</w:t>
              </w:r>
              <w:r w:rsidRPr="006A70A5">
                <w:rPr>
                  <w:rFonts w:eastAsia="MS Mincho"/>
                  <w:szCs w:val="24"/>
                </w:rPr>
                <w:t>‬</w:t>
              </w:r>
              <w:r w:rsidRPr="006A70A5">
                <w:rPr>
                  <w:rFonts w:eastAsia="MS Mincho"/>
                  <w:szCs w:val="24"/>
                </w:rPr>
                <w:t>‬</w:t>
              </w:r>
              <w:r w:rsidRPr="006A70A5">
                <w:rPr>
                  <w:rFonts w:eastAsia="MS Mincho"/>
                  <w:szCs w:val="24"/>
                </w:rPr>
                <w:t>‬</w:t>
              </w:r>
              <w:r w:rsidRPr="006A70A5">
                <w:rPr>
                  <w:rFonts w:eastAsia="MS Mincho"/>
                  <w:szCs w:val="24"/>
                </w:rPr>
                <w:t>‬</w:t>
              </w:r>
              <w:r w:rsidRPr="006A70A5">
                <w:rPr>
                  <w:rFonts w:eastAsia="MS Mincho"/>
                  <w:szCs w:val="24"/>
                </w:rPr>
                <w:t>‬</w:t>
              </w:r>
              <w:r w:rsidRPr="006A70A5">
                <w:rPr>
                  <w:rFonts w:eastAsia="MS Mincho"/>
                  <w:szCs w:val="24"/>
                </w:rPr>
                <w:t>‬</w:t>
              </w:r>
              <w:r w:rsidRPr="006A70A5">
                <w:rPr>
                  <w:rFonts w:eastAsia="MS Mincho"/>
                  <w:szCs w:val="24"/>
                </w:rPr>
                <w:t>‬</w:t>
              </w:r>
              <w:r w:rsidRPr="006A70A5">
                <w:rPr>
                  <w:rFonts w:eastAsia="MS Mincho"/>
                  <w:szCs w:val="24"/>
                </w:rPr>
                <w:t>‬</w:t>
              </w:r>
              <w:r w:rsidRPr="006A70A5">
                <w:rPr>
                  <w:rFonts w:eastAsia="MS Mincho"/>
                  <w:szCs w:val="24"/>
                </w:rPr>
                <w:t>‬</w:t>
              </w:r>
              <w:r w:rsidRPr="006A70A5">
                <w:rPr>
                  <w:rFonts w:eastAsia="MS Mincho"/>
                  <w:szCs w:val="24"/>
                </w:rPr>
                <w:t>‬</w:t>
              </w:r>
              <w:r w:rsidRPr="006A70A5">
                <w:rPr>
                  <w:rFonts w:eastAsia="MS Mincho"/>
                  <w:szCs w:val="24"/>
                </w:rPr>
                <w:t>‬</w:t>
              </w:r>
              <w:r w:rsidRPr="006A70A5">
                <w:rPr>
                  <w:rFonts w:eastAsia="MS Mincho"/>
                  <w:szCs w:val="24"/>
                </w:rPr>
                <w:t>‬</w:t>
              </w:r>
              <w:r w:rsidRPr="006A70A5">
                <w:rPr>
                  <w:rFonts w:eastAsia="MS Mincho"/>
                  <w:szCs w:val="24"/>
                </w:rPr>
                <w:t>‬</w:t>
              </w:r>
              <w:r w:rsidRPr="006A70A5">
                <w:rPr>
                  <w:rFonts w:eastAsia="MS Mincho"/>
                  <w:szCs w:val="24"/>
                </w:rPr>
                <w:t>‬</w:t>
              </w:r>
              <w:r w:rsidRPr="006A70A5">
                <w:rPr>
                  <w:rFonts w:eastAsia="MS Mincho"/>
                  <w:szCs w:val="24"/>
                </w:rPr>
                <w:t>‬</w:t>
              </w:r>
              <w:r w:rsidRPr="006A70A5">
                <w:rPr>
                  <w:rFonts w:eastAsia="MS Mincho"/>
                  <w:szCs w:val="24"/>
                </w:rPr>
                <w:t>‬</w:t>
              </w:r>
              <w:r w:rsidRPr="006A70A5">
                <w:rPr>
                  <w:szCs w:val="24"/>
                </w:rPr>
                <w:t>‬</w:t>
              </w:r>
              <w:r w:rsidRPr="006A70A5">
                <w:rPr>
                  <w:szCs w:val="24"/>
                </w:rPr>
                <w:t>‬</w:t>
              </w:r>
              <w:r>
                <w:t>‬</w:t>
              </w:r>
            </w:bdo>
          </w:p>
        </w:tc>
      </w:tr>
      <w:tr w14:paraId="43D2B67D" w14:textId="77777777" w:rsidTr="00A97F73">
        <w:tblPrEx>
          <w:tblW w:w="9900" w:type="dxa"/>
          <w:tblInd w:w="-635" w:type="dxa"/>
          <w:tblLayout w:type="fixed"/>
          <w:tblLook w:val="01E0"/>
        </w:tblPrEx>
        <w:tc>
          <w:tcPr>
            <w:tcW w:w="1710" w:type="dxa"/>
            <w:vAlign w:val="center"/>
          </w:tcPr>
          <w:p w:rsidR="00A97F73" w:rsidRPr="006A70A5" w:rsidP="00A07F30" w14:paraId="341C8B56" w14:textId="77777777">
            <w:pPr>
              <w:jc w:val="center"/>
              <w:rPr>
                <w:szCs w:val="24"/>
              </w:rPr>
            </w:pPr>
            <w:r w:rsidRPr="006A70A5">
              <w:rPr>
                <w:szCs w:val="24"/>
              </w:rPr>
              <w:t>Cruise ship passengers and high-risk contacts</w:t>
            </w:r>
          </w:p>
        </w:tc>
        <w:tc>
          <w:tcPr>
            <w:tcW w:w="1890" w:type="dxa"/>
            <w:vAlign w:val="center"/>
          </w:tcPr>
          <w:p w:rsidR="00A97F73" w:rsidRPr="006A70A5" w:rsidP="00062B29" w14:paraId="461A2D8C" w14:textId="77777777">
            <w:pPr>
              <w:jc w:val="center"/>
              <w:rPr>
                <w:szCs w:val="24"/>
              </w:rPr>
            </w:pPr>
            <w:r w:rsidRPr="006A70A5">
              <w:rPr>
                <w:szCs w:val="24"/>
              </w:rPr>
              <w:t xml:space="preserve">Andes Virus Guidance Assessment </w:t>
            </w:r>
          </w:p>
        </w:tc>
        <w:tc>
          <w:tcPr>
            <w:tcW w:w="1980" w:type="dxa"/>
            <w:vAlign w:val="center"/>
          </w:tcPr>
          <w:p w:rsidR="00A97F73" w:rsidRPr="006A70A5" w:rsidP="00A07F30" w14:paraId="75521C63" w14:textId="77777777">
            <w:pPr>
              <w:jc w:val="center"/>
              <w:rPr>
                <w:szCs w:val="24"/>
              </w:rPr>
            </w:pPr>
            <w:r w:rsidRPr="006A70A5">
              <w:rPr>
                <w:szCs w:val="24"/>
              </w:rPr>
              <w:t>65</w:t>
            </w:r>
          </w:p>
        </w:tc>
        <w:tc>
          <w:tcPr>
            <w:tcW w:w="1710" w:type="dxa"/>
            <w:vAlign w:val="center"/>
          </w:tcPr>
          <w:p w:rsidR="00A97F73" w:rsidRPr="006A70A5" w:rsidP="00A07F30" w14:paraId="6A17FB92" w14:textId="77777777">
            <w:pPr>
              <w:jc w:val="center"/>
              <w:rPr>
                <w:szCs w:val="24"/>
              </w:rPr>
            </w:pPr>
            <w:r w:rsidRPr="006A70A5">
              <w:rPr>
                <w:szCs w:val="24"/>
              </w:rPr>
              <w:t>52</w:t>
            </w:r>
          </w:p>
        </w:tc>
        <w:tc>
          <w:tcPr>
            <w:tcW w:w="1440" w:type="dxa"/>
            <w:vAlign w:val="center"/>
          </w:tcPr>
          <w:p w:rsidR="00A97F73" w:rsidRPr="006A70A5" w:rsidP="00A07F30" w14:paraId="351B08C0" w14:textId="77777777">
            <w:pPr>
              <w:jc w:val="center"/>
              <w:rPr>
                <w:szCs w:val="24"/>
              </w:rPr>
            </w:pPr>
            <w:r w:rsidRPr="006A70A5">
              <w:rPr>
                <w:szCs w:val="24"/>
              </w:rPr>
              <w:t>45/60</w:t>
            </w:r>
          </w:p>
        </w:tc>
        <w:tc>
          <w:tcPr>
            <w:tcW w:w="1170" w:type="dxa"/>
            <w:vAlign w:val="center"/>
          </w:tcPr>
          <w:p w:rsidR="00A97F73" w:rsidRPr="006A70A5" w:rsidP="00A07F30" w14:paraId="692B7920" w14:textId="77777777">
            <w:pPr>
              <w:jc w:val="center"/>
              <w:rPr>
                <w:szCs w:val="24"/>
              </w:rPr>
            </w:pPr>
            <w:r w:rsidRPr="006A70A5">
              <w:rPr>
                <w:szCs w:val="24"/>
              </w:rPr>
              <w:t>2,535</w:t>
            </w:r>
          </w:p>
        </w:tc>
      </w:tr>
      <w:tr w14:paraId="5B483368" w14:textId="77777777" w:rsidTr="00A97F73">
        <w:tblPrEx>
          <w:tblW w:w="9900" w:type="dxa"/>
          <w:tblInd w:w="-635" w:type="dxa"/>
          <w:tblLayout w:type="fixed"/>
          <w:tblLook w:val="01E0"/>
        </w:tblPrEx>
        <w:tc>
          <w:tcPr>
            <w:tcW w:w="1710" w:type="dxa"/>
            <w:vAlign w:val="center"/>
          </w:tcPr>
          <w:p w:rsidR="00A97F73" w:rsidRPr="006A70A5" w:rsidP="00A07F30" w14:paraId="05AFA88A" w14:textId="77777777">
            <w:pPr>
              <w:jc w:val="center"/>
              <w:rPr>
                <w:szCs w:val="24"/>
              </w:rPr>
            </w:pPr>
            <w:r w:rsidRPr="006A70A5">
              <w:rPr>
                <w:szCs w:val="24"/>
              </w:rPr>
              <w:t>Cruise ship passengers and high-risk contacts</w:t>
            </w:r>
          </w:p>
        </w:tc>
        <w:tc>
          <w:tcPr>
            <w:tcW w:w="1890" w:type="dxa"/>
            <w:vAlign w:val="center"/>
          </w:tcPr>
          <w:p w:rsidR="00A97F73" w:rsidRPr="006A70A5" w:rsidP="00062B29" w14:paraId="3EE1626A" w14:textId="77777777">
            <w:pPr>
              <w:jc w:val="center"/>
              <w:rPr>
                <w:szCs w:val="24"/>
              </w:rPr>
            </w:pPr>
            <w:r w:rsidRPr="006A70A5">
              <w:rPr>
                <w:szCs w:val="24"/>
              </w:rPr>
              <w:t>Hantavirus 2026 Monitoring Schema Data Elements x 42 days</w:t>
            </w:r>
          </w:p>
        </w:tc>
        <w:tc>
          <w:tcPr>
            <w:tcW w:w="1980" w:type="dxa"/>
            <w:vAlign w:val="center"/>
          </w:tcPr>
          <w:p w:rsidR="00A97F73" w:rsidRPr="006A70A5" w:rsidP="00A07F30" w14:paraId="678963C2" w14:textId="77777777">
            <w:pPr>
              <w:jc w:val="center"/>
              <w:rPr>
                <w:szCs w:val="24"/>
              </w:rPr>
            </w:pPr>
            <w:r w:rsidRPr="006A70A5">
              <w:rPr>
                <w:szCs w:val="24"/>
              </w:rPr>
              <w:t>65</w:t>
            </w:r>
          </w:p>
        </w:tc>
        <w:tc>
          <w:tcPr>
            <w:tcW w:w="1710" w:type="dxa"/>
            <w:vAlign w:val="center"/>
          </w:tcPr>
          <w:p w:rsidR="00A97F73" w:rsidRPr="006A70A5" w:rsidP="00A07F30" w14:paraId="1CC4EEDB" w14:textId="77777777">
            <w:pPr>
              <w:jc w:val="center"/>
              <w:rPr>
                <w:szCs w:val="24"/>
              </w:rPr>
            </w:pPr>
            <w:r w:rsidRPr="006A70A5">
              <w:rPr>
                <w:szCs w:val="24"/>
              </w:rPr>
              <w:t>22 (x42 days)</w:t>
            </w:r>
          </w:p>
        </w:tc>
        <w:tc>
          <w:tcPr>
            <w:tcW w:w="1440" w:type="dxa"/>
            <w:vAlign w:val="center"/>
          </w:tcPr>
          <w:p w:rsidR="00A97F73" w:rsidRPr="006A70A5" w:rsidP="00A07F30" w14:paraId="4A0C182E" w14:textId="77777777">
            <w:pPr>
              <w:jc w:val="center"/>
              <w:rPr>
                <w:szCs w:val="24"/>
              </w:rPr>
            </w:pPr>
            <w:r w:rsidRPr="006A70A5">
              <w:rPr>
                <w:szCs w:val="24"/>
              </w:rPr>
              <w:t>15/60</w:t>
            </w:r>
          </w:p>
        </w:tc>
        <w:tc>
          <w:tcPr>
            <w:tcW w:w="1170" w:type="dxa"/>
            <w:vAlign w:val="center"/>
          </w:tcPr>
          <w:p w:rsidR="00A97F73" w:rsidRPr="006A70A5" w:rsidP="00A07F30" w14:paraId="4D0887A2" w14:textId="77777777">
            <w:pPr>
              <w:jc w:val="center"/>
              <w:rPr>
                <w:szCs w:val="24"/>
              </w:rPr>
            </w:pPr>
            <w:r w:rsidRPr="006A70A5">
              <w:rPr>
                <w:szCs w:val="24"/>
              </w:rPr>
              <w:t>15,015</w:t>
            </w:r>
          </w:p>
        </w:tc>
      </w:tr>
      <w:tr w14:paraId="0125F502" w14:textId="77777777" w:rsidTr="00A97F73">
        <w:tblPrEx>
          <w:tblW w:w="9900" w:type="dxa"/>
          <w:tblInd w:w="-635" w:type="dxa"/>
          <w:tblLayout w:type="fixed"/>
          <w:tblLook w:val="01E0"/>
        </w:tblPrEx>
        <w:tc>
          <w:tcPr>
            <w:tcW w:w="1710" w:type="dxa"/>
            <w:vAlign w:val="center"/>
          </w:tcPr>
          <w:p w:rsidR="00A97F73" w:rsidRPr="006A70A5" w:rsidP="00062B29" w14:paraId="7BE909A6" w14:textId="77777777">
            <w:pPr>
              <w:jc w:val="center"/>
              <w:rPr>
                <w:szCs w:val="24"/>
              </w:rPr>
            </w:pPr>
            <w:r w:rsidRPr="006A70A5">
              <w:rPr>
                <w:szCs w:val="24"/>
              </w:rPr>
              <w:t>Total</w:t>
            </w:r>
          </w:p>
        </w:tc>
        <w:tc>
          <w:tcPr>
            <w:tcW w:w="1890" w:type="dxa"/>
            <w:vAlign w:val="center"/>
          </w:tcPr>
          <w:p w:rsidR="00A97F73" w:rsidRPr="006A70A5" w:rsidP="00062B29" w14:paraId="36242296" w14:textId="77777777">
            <w:pPr>
              <w:jc w:val="center"/>
              <w:rPr>
                <w:szCs w:val="24"/>
              </w:rPr>
            </w:pPr>
          </w:p>
        </w:tc>
        <w:tc>
          <w:tcPr>
            <w:tcW w:w="1980" w:type="dxa"/>
            <w:vAlign w:val="center"/>
          </w:tcPr>
          <w:p w:rsidR="00A97F73" w:rsidRPr="006A70A5" w:rsidP="00062B29" w14:paraId="234FA2F2" w14:textId="77777777">
            <w:pPr>
              <w:jc w:val="center"/>
              <w:rPr>
                <w:szCs w:val="24"/>
              </w:rPr>
            </w:pPr>
          </w:p>
        </w:tc>
        <w:tc>
          <w:tcPr>
            <w:tcW w:w="1710" w:type="dxa"/>
            <w:vAlign w:val="center"/>
          </w:tcPr>
          <w:p w:rsidR="00A97F73" w:rsidRPr="006A70A5" w:rsidP="00062B29" w14:paraId="412AD835" w14:textId="77777777">
            <w:pPr>
              <w:jc w:val="center"/>
              <w:rPr>
                <w:szCs w:val="24"/>
              </w:rPr>
            </w:pPr>
          </w:p>
        </w:tc>
        <w:tc>
          <w:tcPr>
            <w:tcW w:w="1440" w:type="dxa"/>
            <w:vAlign w:val="center"/>
          </w:tcPr>
          <w:p w:rsidR="00A97F73" w:rsidRPr="006A70A5" w:rsidP="00062B29" w14:paraId="23B54F3C" w14:textId="77777777">
            <w:pPr>
              <w:jc w:val="center"/>
              <w:rPr>
                <w:szCs w:val="24"/>
              </w:rPr>
            </w:pPr>
          </w:p>
        </w:tc>
        <w:tc>
          <w:tcPr>
            <w:tcW w:w="1170" w:type="dxa"/>
            <w:vAlign w:val="center"/>
          </w:tcPr>
          <w:p w:rsidR="00A97F73" w:rsidRPr="006A70A5" w:rsidP="00062B29" w14:paraId="7DAD6C70" w14:textId="77777777">
            <w:pPr>
              <w:jc w:val="center"/>
              <w:rPr>
                <w:szCs w:val="24"/>
              </w:rPr>
            </w:pPr>
            <w:bdo w:val="ltr">
              <w:r w:rsidRPr="006A70A5">
                <w:rPr>
                  <w:rFonts w:eastAsia="MS Mincho"/>
                  <w:szCs w:val="24"/>
                </w:rPr>
                <w:t>‬</w:t>
              </w:r>
              <w:r w:rsidRPr="006A70A5">
                <w:rPr>
                  <w:szCs w:val="24"/>
                </w:rPr>
                <w:t xml:space="preserve"> 17,813</w:t>
              </w:r>
              <w:r w:rsidRPr="006A70A5">
                <w:rPr>
                  <w:rFonts w:eastAsia="MS Mincho"/>
                  <w:szCs w:val="24"/>
                </w:rPr>
                <w:t>‬</w:t>
              </w:r>
              <w:r w:rsidRPr="006A70A5">
                <w:rPr>
                  <w:rFonts w:eastAsia="MS Mincho"/>
                  <w:szCs w:val="24"/>
                </w:rPr>
                <w:t>‬</w:t>
              </w:r>
              <w:r w:rsidRPr="006A70A5">
                <w:rPr>
                  <w:rFonts w:eastAsia="MS Mincho"/>
                  <w:szCs w:val="24"/>
                </w:rPr>
                <w:t>‬</w:t>
              </w:r>
              <w:r w:rsidRPr="006A70A5">
                <w:rPr>
                  <w:rFonts w:eastAsia="MS Mincho"/>
                  <w:szCs w:val="24"/>
                </w:rPr>
                <w:t>‬</w:t>
              </w:r>
              <w:r w:rsidRPr="006A70A5">
                <w:rPr>
                  <w:rFonts w:eastAsia="MS Mincho"/>
                  <w:szCs w:val="24"/>
                </w:rPr>
                <w:t>‬</w:t>
              </w:r>
              <w:r w:rsidRPr="006A70A5">
                <w:rPr>
                  <w:rFonts w:eastAsia="MS Mincho"/>
                  <w:szCs w:val="24"/>
                </w:rPr>
                <w:t>‬</w:t>
              </w:r>
              <w:r w:rsidRPr="006A70A5">
                <w:rPr>
                  <w:rFonts w:eastAsia="MS Mincho"/>
                  <w:szCs w:val="24"/>
                </w:rPr>
                <w:t>‬</w:t>
              </w:r>
              <w:r w:rsidRPr="006A70A5">
                <w:rPr>
                  <w:rFonts w:eastAsia="MS Mincho"/>
                  <w:szCs w:val="24"/>
                </w:rPr>
                <w:t>‬</w:t>
              </w:r>
              <w:r w:rsidRPr="006A70A5">
                <w:rPr>
                  <w:rFonts w:eastAsia="MS Mincho"/>
                  <w:szCs w:val="24"/>
                </w:rPr>
                <w:t>‬</w:t>
              </w:r>
              <w:r w:rsidRPr="006A70A5">
                <w:rPr>
                  <w:rFonts w:eastAsia="MS Mincho"/>
                  <w:szCs w:val="24"/>
                </w:rPr>
                <w:t>‬</w:t>
              </w:r>
              <w:r w:rsidRPr="006A70A5">
                <w:rPr>
                  <w:rFonts w:eastAsia="MS Mincho"/>
                  <w:szCs w:val="24"/>
                </w:rPr>
                <w:t>‬</w:t>
              </w:r>
              <w:r w:rsidRPr="006A70A5">
                <w:rPr>
                  <w:szCs w:val="24"/>
                </w:rPr>
                <w:t>‬</w:t>
              </w:r>
              <w:r w:rsidRPr="006A70A5">
                <w:rPr>
                  <w:szCs w:val="24"/>
                </w:rPr>
                <w:t>‬</w:t>
              </w:r>
              <w:r>
                <w:t>‬</w:t>
              </w:r>
            </w:bdo>
          </w:p>
        </w:tc>
      </w:tr>
    </w:tbl>
    <w:p w:rsidR="00A97F73" w:rsidRPr="006A70A5" w:rsidP="00B3398C" w14:paraId="36239F98" w14:textId="77777777">
      <w:pPr>
        <w:spacing w:line="480" w:lineRule="auto"/>
        <w:rPr>
          <w:szCs w:val="24"/>
          <w:u w:val="single"/>
        </w:rPr>
      </w:pPr>
    </w:p>
    <w:p w:rsidR="00EF46B1" w:rsidRPr="006A70A5" w:rsidP="00B3398C" w14:paraId="11E183EC" w14:textId="77777777">
      <w:pPr>
        <w:spacing w:line="480" w:lineRule="auto"/>
        <w:rPr>
          <w:szCs w:val="24"/>
          <w:u w:val="single"/>
        </w:rPr>
      </w:pPr>
    </w:p>
    <w:p w:rsidR="00C31F32" w:rsidRPr="006A70A5" w:rsidP="00C31F32" w14:paraId="380B4FE7" w14:textId="77777777">
      <w:pPr>
        <w:tabs>
          <w:tab w:val="left" w:pos="-31680"/>
        </w:tabs>
        <w:ind w:left="2160" w:firstLine="720"/>
        <w:rPr>
          <w:color w:val="000000"/>
          <w:szCs w:val="24"/>
        </w:rPr>
      </w:pPr>
    </w:p>
    <w:p w:rsidR="00C31F32" w:rsidRPr="006A70A5" w:rsidP="00C31F32" w14:paraId="250515A1" w14:textId="540D42C4">
      <w:pPr>
        <w:tabs>
          <w:tab w:val="left" w:pos="-31680"/>
        </w:tabs>
        <w:spacing w:line="480" w:lineRule="auto"/>
        <w:rPr>
          <w:i/>
          <w:color w:val="000000"/>
          <w:szCs w:val="24"/>
        </w:rPr>
      </w:pPr>
      <w:r w:rsidRPr="006A70A5">
        <w:rPr>
          <w:b/>
          <w:bCs/>
          <w:iCs/>
          <w:color w:val="000000"/>
          <w:szCs w:val="24"/>
        </w:rPr>
        <w:t>Jeffrey M. Zirger</w:t>
      </w:r>
      <w:r w:rsidRPr="006A70A5">
        <w:rPr>
          <w:i/>
          <w:color w:val="000000"/>
          <w:szCs w:val="24"/>
        </w:rPr>
        <w:t>,</w:t>
      </w:r>
    </w:p>
    <w:p w:rsidR="00241FA9" w:rsidRPr="006A70A5" w:rsidP="00C31F32" w14:paraId="40756A44" w14:textId="341849A1">
      <w:pPr>
        <w:tabs>
          <w:tab w:val="left" w:pos="-31680"/>
        </w:tabs>
        <w:spacing w:line="480" w:lineRule="auto"/>
        <w:rPr>
          <w:i/>
          <w:iCs/>
          <w:color w:val="000000"/>
          <w:szCs w:val="24"/>
        </w:rPr>
      </w:pPr>
      <w:r w:rsidRPr="006A70A5">
        <w:rPr>
          <w:i/>
          <w:iCs/>
          <w:color w:val="000000"/>
          <w:szCs w:val="24"/>
        </w:rPr>
        <w:t>Lead</w:t>
      </w:r>
      <w:r w:rsidRPr="006A70A5" w:rsidR="00C31F32">
        <w:rPr>
          <w:i/>
          <w:iCs/>
          <w:color w:val="000000"/>
          <w:szCs w:val="24"/>
        </w:rPr>
        <w:t xml:space="preserve">, </w:t>
      </w:r>
    </w:p>
    <w:p w:rsidR="00C31F32" w:rsidRPr="006A70A5" w:rsidP="00C31F32" w14:paraId="4F1B8A9E" w14:textId="26059D6F">
      <w:pPr>
        <w:tabs>
          <w:tab w:val="left" w:pos="-31680"/>
        </w:tabs>
        <w:spacing w:line="480" w:lineRule="auto"/>
        <w:rPr>
          <w:i/>
          <w:iCs/>
          <w:color w:val="000000"/>
          <w:szCs w:val="24"/>
        </w:rPr>
      </w:pPr>
      <w:r w:rsidRPr="006A70A5">
        <w:rPr>
          <w:i/>
          <w:iCs/>
          <w:color w:val="000000"/>
          <w:szCs w:val="24"/>
        </w:rPr>
        <w:t xml:space="preserve">Information Collection Review Office, </w:t>
      </w:r>
    </w:p>
    <w:p w:rsidR="00C31F32" w:rsidRPr="006A70A5" w:rsidP="00C31F32" w14:paraId="6EA1B406" w14:textId="5687D58C">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480" w:lineRule="auto"/>
        <w:ind w:right="-720"/>
        <w:rPr>
          <w:i/>
          <w:iCs/>
          <w:color w:val="000000"/>
          <w:szCs w:val="24"/>
        </w:rPr>
      </w:pPr>
      <w:r w:rsidRPr="006A70A5">
        <w:rPr>
          <w:i/>
          <w:iCs/>
          <w:color w:val="000000"/>
          <w:szCs w:val="24"/>
        </w:rPr>
        <w:t xml:space="preserve">Office of </w:t>
      </w:r>
      <w:r w:rsidR="006A70A5">
        <w:rPr>
          <w:i/>
          <w:iCs/>
          <w:color w:val="000000"/>
          <w:szCs w:val="24"/>
        </w:rPr>
        <w:t>Public Health Ethics and Regulations</w:t>
      </w:r>
      <w:r w:rsidRPr="006A70A5">
        <w:rPr>
          <w:i/>
          <w:iCs/>
          <w:color w:val="000000"/>
          <w:szCs w:val="24"/>
        </w:rPr>
        <w:t>,</w:t>
      </w:r>
    </w:p>
    <w:p w:rsidR="00C31F32" w:rsidRPr="006A70A5" w:rsidP="00C31F32" w14:paraId="4C844835" w14:textId="057209D6">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480" w:lineRule="auto"/>
        <w:ind w:right="-720"/>
        <w:rPr>
          <w:i/>
          <w:iCs/>
          <w:color w:val="000000"/>
          <w:szCs w:val="24"/>
        </w:rPr>
      </w:pPr>
      <w:r w:rsidRPr="006A70A5">
        <w:rPr>
          <w:i/>
          <w:iCs/>
          <w:color w:val="000000"/>
          <w:szCs w:val="24"/>
        </w:rPr>
        <w:t xml:space="preserve">Office of </w:t>
      </w:r>
      <w:r w:rsidRPr="006A70A5" w:rsidR="003650FB">
        <w:rPr>
          <w:i/>
          <w:iCs/>
          <w:color w:val="000000"/>
          <w:szCs w:val="24"/>
        </w:rPr>
        <w:t>Science</w:t>
      </w:r>
      <w:r w:rsidRPr="006A70A5">
        <w:rPr>
          <w:i/>
          <w:iCs/>
          <w:color w:val="000000"/>
          <w:szCs w:val="24"/>
        </w:rPr>
        <w:t>,</w:t>
      </w:r>
    </w:p>
    <w:p w:rsidR="00C31F32" w:rsidRPr="006A70A5" w:rsidP="00C31F32" w14:paraId="7FC70EBA"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480" w:lineRule="auto"/>
        <w:ind w:right="-720"/>
        <w:rPr>
          <w:i/>
          <w:iCs/>
          <w:color w:val="000000"/>
          <w:szCs w:val="24"/>
        </w:rPr>
      </w:pPr>
      <w:r w:rsidRPr="006A70A5">
        <w:rPr>
          <w:i/>
          <w:iCs/>
          <w:color w:val="000000"/>
          <w:szCs w:val="24"/>
        </w:rPr>
        <w:t>Centers for Disease Control and Prevention.</w:t>
      </w:r>
    </w:p>
    <w:p w:rsidR="00C31F32" w:rsidRPr="006A70A5" w:rsidP="00B3398C" w14:paraId="128CFD6B" w14:textId="77777777">
      <w:pPr>
        <w:spacing w:line="480" w:lineRule="auto"/>
        <w:rPr>
          <w:szCs w:val="24"/>
        </w:rPr>
      </w:pPr>
    </w:p>
    <w:sectPr w:rsidSect="00871DF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224" w14:paraId="16CAC2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DF9" w14:paraId="6FB394F7" w14:textId="035CF270">
    <w:pPr>
      <w:pStyle w:val="Footer"/>
      <w:jc w:val="center"/>
    </w:pPr>
    <w:r>
      <w:fldChar w:fldCharType="begin"/>
    </w:r>
    <w:r>
      <w:instrText xml:space="preserve"> PAGE   \* MERGEFORMAT </w:instrText>
    </w:r>
    <w:r>
      <w:fldChar w:fldCharType="separate"/>
    </w:r>
    <w:r w:rsidR="006C6716">
      <w:rPr>
        <w:noProof/>
      </w:rPr>
      <w:t>1</w:t>
    </w:r>
    <w:r>
      <w:rPr>
        <w:noProof/>
      </w:rPr>
      <w:fldChar w:fldCharType="end"/>
    </w:r>
  </w:p>
  <w:p w:rsidR="00871DF9" w14:paraId="5766BB6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224" w14:paraId="10A0845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224" w14:paraId="06E79D1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224" w14:paraId="6D4F7FB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224" w14:paraId="393BE7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2FF00CD6"/>
    <w:multiLevelType w:val="hybridMultilevel"/>
    <w:tmpl w:val="3DC4B299"/>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5F050A5F"/>
    <w:multiLevelType w:val="hybridMultilevel"/>
    <w:tmpl w:val="4470C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F39508E"/>
    <w:multiLevelType w:val="hybridMultilevel"/>
    <w:tmpl w:val="5DB685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360278376">
    <w:abstractNumId w:val="3"/>
  </w:num>
  <w:num w:numId="2" w16cid:durableId="637303868">
    <w:abstractNumId w:val="1"/>
  </w:num>
  <w:num w:numId="3" w16cid:durableId="465897961">
    <w:abstractNumId w:val="2"/>
  </w:num>
  <w:num w:numId="4" w16cid:durableId="474613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C41"/>
    <w:rsid w:val="000508FC"/>
    <w:rsid w:val="00051439"/>
    <w:rsid w:val="00062B29"/>
    <w:rsid w:val="00065794"/>
    <w:rsid w:val="00074C61"/>
    <w:rsid w:val="0009272F"/>
    <w:rsid w:val="000E7B2B"/>
    <w:rsid w:val="000F1198"/>
    <w:rsid w:val="00104914"/>
    <w:rsid w:val="00123FEF"/>
    <w:rsid w:val="00125224"/>
    <w:rsid w:val="00130DD4"/>
    <w:rsid w:val="001645D2"/>
    <w:rsid w:val="001B10C1"/>
    <w:rsid w:val="0020768B"/>
    <w:rsid w:val="002339FF"/>
    <w:rsid w:val="00241FA9"/>
    <w:rsid w:val="00250345"/>
    <w:rsid w:val="0026538F"/>
    <w:rsid w:val="00277B96"/>
    <w:rsid w:val="002845BA"/>
    <w:rsid w:val="00287052"/>
    <w:rsid w:val="002954C5"/>
    <w:rsid w:val="002D7996"/>
    <w:rsid w:val="002E609F"/>
    <w:rsid w:val="002F396C"/>
    <w:rsid w:val="002F6C4A"/>
    <w:rsid w:val="0031544B"/>
    <w:rsid w:val="00323657"/>
    <w:rsid w:val="00351DE6"/>
    <w:rsid w:val="003650FB"/>
    <w:rsid w:val="00373580"/>
    <w:rsid w:val="003F5B91"/>
    <w:rsid w:val="00407502"/>
    <w:rsid w:val="00407672"/>
    <w:rsid w:val="00462FEC"/>
    <w:rsid w:val="00472490"/>
    <w:rsid w:val="004E6491"/>
    <w:rsid w:val="00513D69"/>
    <w:rsid w:val="00571F0A"/>
    <w:rsid w:val="00593B68"/>
    <w:rsid w:val="005B4999"/>
    <w:rsid w:val="005D3AC5"/>
    <w:rsid w:val="005F7072"/>
    <w:rsid w:val="00635FF4"/>
    <w:rsid w:val="00680751"/>
    <w:rsid w:val="00693C82"/>
    <w:rsid w:val="006A569F"/>
    <w:rsid w:val="006A70A5"/>
    <w:rsid w:val="006B57EA"/>
    <w:rsid w:val="006C6716"/>
    <w:rsid w:val="006E01AA"/>
    <w:rsid w:val="007148F0"/>
    <w:rsid w:val="00782335"/>
    <w:rsid w:val="0078434D"/>
    <w:rsid w:val="007A6414"/>
    <w:rsid w:val="007C23F4"/>
    <w:rsid w:val="00815484"/>
    <w:rsid w:val="0085645F"/>
    <w:rsid w:val="00870754"/>
    <w:rsid w:val="00871DF9"/>
    <w:rsid w:val="00872BA8"/>
    <w:rsid w:val="0087346B"/>
    <w:rsid w:val="008764C2"/>
    <w:rsid w:val="00881675"/>
    <w:rsid w:val="008964D3"/>
    <w:rsid w:val="008A38E0"/>
    <w:rsid w:val="008D0351"/>
    <w:rsid w:val="008D1C7C"/>
    <w:rsid w:val="008E1BA4"/>
    <w:rsid w:val="009044DC"/>
    <w:rsid w:val="009257FB"/>
    <w:rsid w:val="00942E51"/>
    <w:rsid w:val="00956381"/>
    <w:rsid w:val="00972C41"/>
    <w:rsid w:val="009E131D"/>
    <w:rsid w:val="009E44BC"/>
    <w:rsid w:val="00A07F30"/>
    <w:rsid w:val="00A21A81"/>
    <w:rsid w:val="00A3309F"/>
    <w:rsid w:val="00A450A9"/>
    <w:rsid w:val="00A750AE"/>
    <w:rsid w:val="00A750D8"/>
    <w:rsid w:val="00A97F73"/>
    <w:rsid w:val="00AC0452"/>
    <w:rsid w:val="00AC1706"/>
    <w:rsid w:val="00AC6B01"/>
    <w:rsid w:val="00B14491"/>
    <w:rsid w:val="00B3398C"/>
    <w:rsid w:val="00B351FA"/>
    <w:rsid w:val="00B65865"/>
    <w:rsid w:val="00BA391E"/>
    <w:rsid w:val="00BD1646"/>
    <w:rsid w:val="00BD3641"/>
    <w:rsid w:val="00C21542"/>
    <w:rsid w:val="00C24EFF"/>
    <w:rsid w:val="00C31F32"/>
    <w:rsid w:val="00C4377C"/>
    <w:rsid w:val="00C651D6"/>
    <w:rsid w:val="00C75A21"/>
    <w:rsid w:val="00CD47E8"/>
    <w:rsid w:val="00CE020B"/>
    <w:rsid w:val="00CF0BBF"/>
    <w:rsid w:val="00D079A1"/>
    <w:rsid w:val="00D1050E"/>
    <w:rsid w:val="00D34BC6"/>
    <w:rsid w:val="00D34D61"/>
    <w:rsid w:val="00D40D20"/>
    <w:rsid w:val="00D510BB"/>
    <w:rsid w:val="00D70C12"/>
    <w:rsid w:val="00D9334D"/>
    <w:rsid w:val="00D9525E"/>
    <w:rsid w:val="00DC045F"/>
    <w:rsid w:val="00DC16E1"/>
    <w:rsid w:val="00DC3036"/>
    <w:rsid w:val="00DE5C3E"/>
    <w:rsid w:val="00E258A5"/>
    <w:rsid w:val="00E263ED"/>
    <w:rsid w:val="00E560BE"/>
    <w:rsid w:val="00E96CDD"/>
    <w:rsid w:val="00EB1E06"/>
    <w:rsid w:val="00EF1C11"/>
    <w:rsid w:val="00EF46B1"/>
    <w:rsid w:val="00F40D55"/>
    <w:rsid w:val="00F52523"/>
    <w:rsid w:val="00F53236"/>
    <w:rsid w:val="00F85323"/>
    <w:rsid w:val="00F87323"/>
    <w:rsid w:val="00FA7EB4"/>
    <w:rsid w:val="00FC5ABA"/>
    <w:rsid w:val="00FF4BBD"/>
    <w:rsid w:val="00FF5F98"/>
    <w:rsid w:val="1CA7E0AC"/>
    <w:rsid w:val="5198C5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566AAF"/>
  <w15:docId w15:val="{BA28E35F-940C-41BA-87CF-0D39345F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672"/>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C41"/>
    <w:pPr>
      <w:tabs>
        <w:tab w:val="center" w:pos="4680"/>
        <w:tab w:val="right" w:pos="9360"/>
      </w:tabs>
    </w:pPr>
  </w:style>
  <w:style w:type="character" w:customStyle="1" w:styleId="HeaderChar">
    <w:name w:val="Header Char"/>
    <w:basedOn w:val="DefaultParagraphFont"/>
    <w:link w:val="Header"/>
    <w:uiPriority w:val="99"/>
    <w:rsid w:val="00972C41"/>
  </w:style>
  <w:style w:type="paragraph" w:styleId="Footer">
    <w:name w:val="footer"/>
    <w:basedOn w:val="Normal"/>
    <w:link w:val="FooterChar"/>
    <w:uiPriority w:val="99"/>
    <w:unhideWhenUsed/>
    <w:rsid w:val="00972C41"/>
    <w:pPr>
      <w:tabs>
        <w:tab w:val="center" w:pos="4680"/>
        <w:tab w:val="right" w:pos="9360"/>
      </w:tabs>
    </w:pPr>
  </w:style>
  <w:style w:type="character" w:customStyle="1" w:styleId="FooterChar">
    <w:name w:val="Footer Char"/>
    <w:basedOn w:val="DefaultParagraphFont"/>
    <w:link w:val="Footer"/>
    <w:uiPriority w:val="99"/>
    <w:rsid w:val="00972C41"/>
  </w:style>
  <w:style w:type="paragraph" w:styleId="BalloonText">
    <w:name w:val="Balloon Text"/>
    <w:basedOn w:val="Normal"/>
    <w:link w:val="BalloonTextChar"/>
    <w:uiPriority w:val="99"/>
    <w:semiHidden/>
    <w:unhideWhenUsed/>
    <w:rsid w:val="00972C41"/>
    <w:rPr>
      <w:rFonts w:ascii="Tahoma" w:hAnsi="Tahoma" w:cs="Tahoma"/>
      <w:sz w:val="16"/>
      <w:szCs w:val="16"/>
    </w:rPr>
  </w:style>
  <w:style w:type="character" w:customStyle="1" w:styleId="BalloonTextChar">
    <w:name w:val="Balloon Text Char"/>
    <w:link w:val="BalloonText"/>
    <w:uiPriority w:val="99"/>
    <w:semiHidden/>
    <w:rsid w:val="00972C41"/>
    <w:rPr>
      <w:rFonts w:ascii="Tahoma" w:hAnsi="Tahoma" w:cs="Tahoma"/>
      <w:sz w:val="16"/>
      <w:szCs w:val="16"/>
    </w:rPr>
  </w:style>
  <w:style w:type="character" w:styleId="LineNumber">
    <w:name w:val="line number"/>
    <w:basedOn w:val="DefaultParagraphFont"/>
    <w:uiPriority w:val="99"/>
    <w:semiHidden/>
    <w:unhideWhenUsed/>
    <w:rsid w:val="00942E51"/>
  </w:style>
  <w:style w:type="character" w:styleId="Hyperlink">
    <w:name w:val="Hyperlink"/>
    <w:uiPriority w:val="99"/>
    <w:unhideWhenUsed/>
    <w:rsid w:val="002954C5"/>
    <w:rPr>
      <w:color w:val="0000FF"/>
      <w:u w:val="single"/>
    </w:rPr>
  </w:style>
  <w:style w:type="table" w:styleId="TableGrid">
    <w:name w:val="Table Grid"/>
    <w:basedOn w:val="TableNormal"/>
    <w:uiPriority w:val="59"/>
    <w:rsid w:val="00B33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F5B91"/>
    <w:rPr>
      <w:sz w:val="16"/>
      <w:szCs w:val="16"/>
    </w:rPr>
  </w:style>
  <w:style w:type="paragraph" w:styleId="CommentText">
    <w:name w:val="annotation text"/>
    <w:basedOn w:val="Normal"/>
    <w:link w:val="CommentTextChar"/>
    <w:uiPriority w:val="99"/>
    <w:semiHidden/>
    <w:unhideWhenUsed/>
    <w:rsid w:val="003F5B91"/>
    <w:rPr>
      <w:sz w:val="20"/>
      <w:szCs w:val="20"/>
    </w:rPr>
  </w:style>
  <w:style w:type="character" w:customStyle="1" w:styleId="CommentTextChar">
    <w:name w:val="Comment Text Char"/>
    <w:basedOn w:val="DefaultParagraphFont"/>
    <w:link w:val="CommentText"/>
    <w:uiPriority w:val="99"/>
    <w:semiHidden/>
    <w:rsid w:val="003F5B91"/>
  </w:style>
  <w:style w:type="paragraph" w:styleId="CommentSubject">
    <w:name w:val="annotation subject"/>
    <w:basedOn w:val="CommentText"/>
    <w:next w:val="CommentText"/>
    <w:link w:val="CommentSubjectChar"/>
    <w:uiPriority w:val="99"/>
    <w:semiHidden/>
    <w:unhideWhenUsed/>
    <w:rsid w:val="003F5B91"/>
    <w:rPr>
      <w:b/>
      <w:bCs/>
    </w:rPr>
  </w:style>
  <w:style w:type="character" w:customStyle="1" w:styleId="CommentSubjectChar">
    <w:name w:val="Comment Subject Char"/>
    <w:link w:val="CommentSubject"/>
    <w:uiPriority w:val="99"/>
    <w:semiHidden/>
    <w:rsid w:val="003F5B91"/>
    <w:rPr>
      <w:b/>
      <w:bCs/>
    </w:rPr>
  </w:style>
  <w:style w:type="paragraph" w:customStyle="1" w:styleId="Default">
    <w:name w:val="Default"/>
    <w:rsid w:val="00EB1E06"/>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87346B"/>
    <w:pPr>
      <w:ind w:left="720"/>
      <w:contextualSpacing/>
    </w:pPr>
  </w:style>
  <w:style w:type="character" w:customStyle="1" w:styleId="normaltextrun">
    <w:name w:val="normaltextrun"/>
    <w:basedOn w:val="DefaultParagraphFont"/>
    <w:rsid w:val="000508FC"/>
  </w:style>
  <w:style w:type="character" w:customStyle="1" w:styleId="superscript">
    <w:name w:val="superscript"/>
    <w:basedOn w:val="DefaultParagraphFont"/>
    <w:rsid w:val="000508FC"/>
  </w:style>
  <w:style w:type="character" w:customStyle="1" w:styleId="eop">
    <w:name w:val="eop"/>
    <w:basedOn w:val="DefaultParagraphFont"/>
    <w:rsid w:val="000508FC"/>
  </w:style>
  <w:style w:type="paragraph" w:customStyle="1" w:styleId="paragraph">
    <w:name w:val="paragraph"/>
    <w:basedOn w:val="Normal"/>
    <w:rsid w:val="000508FC"/>
    <w:pPr>
      <w:spacing w:before="100" w:beforeAutospacing="1" w:after="100" w:afterAutospacing="1"/>
    </w:pPr>
    <w:rPr>
      <w:rFonts w:eastAsia="Times New Roman"/>
      <w:szCs w:val="24"/>
    </w:rPr>
  </w:style>
  <w:style w:type="paragraph" w:styleId="FootnoteText">
    <w:name w:val="footnote text"/>
    <w:basedOn w:val="Normal"/>
    <w:link w:val="FootnoteTextChar"/>
    <w:rsid w:val="000508FC"/>
    <w:rPr>
      <w:rFonts w:eastAsia="Times New Roman"/>
      <w:sz w:val="20"/>
      <w:szCs w:val="20"/>
    </w:rPr>
  </w:style>
  <w:style w:type="character" w:customStyle="1" w:styleId="FootnoteTextChar">
    <w:name w:val="Footnote Text Char"/>
    <w:basedOn w:val="DefaultParagraphFont"/>
    <w:link w:val="FootnoteText"/>
    <w:rsid w:val="000508FC"/>
    <w:rPr>
      <w:rFonts w:eastAsia="Times New Roman"/>
    </w:rPr>
  </w:style>
  <w:style w:type="character" w:styleId="FootnoteReference">
    <w:name w:val="footnote reference"/>
    <w:rsid w:val="000508FC"/>
    <w:rPr>
      <w:vertAlign w:val="superscript"/>
    </w:rPr>
  </w:style>
  <w:style w:type="character" w:styleId="Emphasis">
    <w:name w:val="Emphasis"/>
    <w:basedOn w:val="DefaultParagraphFont"/>
    <w:uiPriority w:val="20"/>
    <w:qFormat/>
    <w:rsid w:val="00513D69"/>
    <w:rPr>
      <w:i/>
      <w:iCs/>
    </w:rPr>
  </w:style>
  <w:style w:type="paragraph" w:styleId="BodyText">
    <w:name w:val="Body Text"/>
    <w:basedOn w:val="Normal"/>
    <w:link w:val="BodyTextChar"/>
    <w:uiPriority w:val="1"/>
    <w:qFormat/>
    <w:rsid w:val="00FF4BBD"/>
    <w:pPr>
      <w:widowControl w:val="0"/>
      <w:autoSpaceDE w:val="0"/>
      <w:autoSpaceDN w:val="0"/>
    </w:pPr>
    <w:rPr>
      <w:rFonts w:eastAsia="Times New Roman"/>
      <w:szCs w:val="24"/>
      <w:lang w:bidi="en-US"/>
    </w:rPr>
  </w:style>
  <w:style w:type="character" w:customStyle="1" w:styleId="BodyTextChar">
    <w:name w:val="Body Text Char"/>
    <w:basedOn w:val="DefaultParagraphFont"/>
    <w:link w:val="BodyText"/>
    <w:uiPriority w:val="1"/>
    <w:rsid w:val="00FF4BBD"/>
    <w:rPr>
      <w:rFonts w:eastAsia="Times New Roman"/>
      <w:sz w:val="24"/>
      <w:szCs w:val="24"/>
      <w:lang w:bidi="en-US"/>
    </w:rPr>
  </w:style>
  <w:style w:type="character" w:styleId="UnresolvedMention">
    <w:name w:val="Unresolved Mention"/>
    <w:basedOn w:val="DefaultParagraphFont"/>
    <w:uiPriority w:val="99"/>
    <w:semiHidden/>
    <w:unhideWhenUsed/>
    <w:rsid w:val="00782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regulations.gov" TargetMode="External" /><Relationship Id="rId8" Type="http://schemas.openxmlformats.org/officeDocument/2006/relationships/hyperlink" Target="mailto:omb@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2" ma:contentTypeDescription="Create a new document." ma:contentTypeScope="" ma:versionID="5274bcd06680e3d4eba6b3f473c6a9ed">
  <xsd:schema xmlns:xsd="http://www.w3.org/2001/XMLSchema" xmlns:xs="http://www.w3.org/2001/XMLSchema" xmlns:p="http://schemas.microsoft.com/office/2006/metadata/properties" xmlns:ns2="6c0190e3-c0b1-4e79-b81f-b2cc409a73aa" targetNamespace="http://schemas.microsoft.com/office/2006/metadata/properties" ma:root="true" ma:fieldsID="8b9c424381a66abc0a36ffba04f0ff7f" ns2:_="">
    <xsd:import namespace="6c0190e3-c0b1-4e79-b81f-b2cc409a73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94A97D-1FDF-422A-8C1E-79ADA32047EC}">
  <ds:schemaRefs>
    <ds:schemaRef ds:uri="http://schemas.microsoft.com/sharepoint/v3/contenttype/forms"/>
  </ds:schemaRefs>
</ds:datastoreItem>
</file>

<file path=customXml/itemProps2.xml><?xml version="1.0" encoding="utf-8"?>
<ds:datastoreItem xmlns:ds="http://schemas.openxmlformats.org/officeDocument/2006/customXml" ds:itemID="{60CF0788-E1A8-4F1F-A273-D9A8749D8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7CF6B0-B381-4FB4-B3ED-6A89466BC0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1265</Words>
  <Characters>6819</Characters>
  <Application>Microsoft Office Word</Application>
  <DocSecurity>0</DocSecurity>
  <Lines>200</Lines>
  <Paragraphs>99</Paragraphs>
  <ScaleCrop>false</ScaleCrop>
  <Company>CDC</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Zirger, Jeffrey (CDC/OD/OS)</cp:lastModifiedBy>
  <cp:revision>15</cp:revision>
  <dcterms:created xsi:type="dcterms:W3CDTF">2026-05-27T20:12:00Z</dcterms:created>
  <dcterms:modified xsi:type="dcterms:W3CDTF">2026-05-28T15:45:00Z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SIP_Label_7b94a7b8-f06c-4dfe-bdcc-9b548fd58c31_ActionId">
    <vt:lpwstr>c5f523f9-d947-4a8d-8791-6e590fc0dc0d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2021-06-03T00:53:24Z</vt:lpwstr>
  </property>
  <property fmtid="{D5CDD505-2E9C-101B-9397-08002B2CF9AE}" pid="9" name="MSIP_Label_7b94a7b8-f06c-4dfe-bdcc-9b548fd58c31_SiteId">
    <vt:lpwstr>9ce70869-60db-44fd-abe8-d2767077fc8f</vt:lpwstr>
  </property>
  <property fmtid="{D5CDD505-2E9C-101B-9397-08002B2CF9AE}" pid="10" name="_dlc_DocIdItemGuid">
    <vt:lpwstr>560f69a3-eec3-455c-9ee1-73c66dbde562</vt:lpwstr>
  </property>
</Properties>
</file>