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3458" w:rsidRPr="00122D33" w:rsidP="00B73458" w14:paraId="0EFA34C4" w14:textId="77777777">
      <w:pPr>
        <w:spacing w:after="200" w:line="276" w:lineRule="auto"/>
        <w:rPr>
          <w:rFonts w:eastAsia="Calibri"/>
          <w:szCs w:val="22"/>
        </w:rPr>
      </w:pPr>
      <w:bookmarkStart w:id="0" w:name="_Toc473880015"/>
    </w:p>
    <w:p w:rsidR="00B73458" w:rsidRPr="00122D33" w:rsidP="00B73458" w14:paraId="2FC6FE9F" w14:textId="77777777">
      <w:pPr>
        <w:spacing w:after="200" w:line="276" w:lineRule="auto"/>
        <w:rPr>
          <w:rFonts w:eastAsia="Calibri"/>
          <w:szCs w:val="22"/>
        </w:rPr>
      </w:pPr>
    </w:p>
    <w:bookmarkEnd w:id="0"/>
    <w:p w:rsidR="00B73458" w:rsidRPr="00122D33" w:rsidP="00B73458" w14:paraId="0022F52E" w14:textId="77777777">
      <w:pPr>
        <w:jc w:val="center"/>
        <w:outlineLvl w:val="1"/>
        <w:rPr>
          <w:rFonts w:eastAsia="Calibri"/>
          <w:b/>
          <w:sz w:val="40"/>
          <w:szCs w:val="40"/>
        </w:rPr>
      </w:pPr>
      <w:r>
        <w:rPr>
          <w:rFonts w:eastAsia="Calibri"/>
          <w:b/>
          <w:sz w:val="40"/>
          <w:szCs w:val="40"/>
        </w:rPr>
        <w:t>2026</w:t>
      </w:r>
      <w:r w:rsidRPr="00122D33">
        <w:rPr>
          <w:rFonts w:eastAsia="Calibri"/>
          <w:b/>
          <w:sz w:val="40"/>
          <w:szCs w:val="40"/>
        </w:rPr>
        <w:t xml:space="preserve"> </w:t>
      </w:r>
      <w:r>
        <w:rPr>
          <w:rFonts w:eastAsia="Calibri"/>
          <w:b/>
          <w:sz w:val="40"/>
          <w:szCs w:val="40"/>
        </w:rPr>
        <w:t>Andes Hantavirus Cruise Passenger and Traveler Contact Monitoring</w:t>
      </w:r>
    </w:p>
    <w:p w:rsidR="00B73458" w:rsidRPr="00122D33" w:rsidP="00B73458" w14:paraId="582489E6" w14:textId="77777777">
      <w:pPr>
        <w:jc w:val="center"/>
        <w:rPr>
          <w:rFonts w:eastAsia="Calibri"/>
          <w:b/>
          <w:szCs w:val="22"/>
        </w:rPr>
      </w:pPr>
    </w:p>
    <w:p w:rsidR="00B73458" w:rsidRPr="00122D33" w:rsidP="00B73458" w14:paraId="0CCB327F" w14:textId="77777777">
      <w:pPr>
        <w:jc w:val="center"/>
        <w:outlineLvl w:val="2"/>
        <w:rPr>
          <w:rFonts w:eastAsia="Calibri"/>
          <w:sz w:val="32"/>
          <w:szCs w:val="32"/>
        </w:rPr>
      </w:pPr>
      <w:bookmarkStart w:id="1" w:name="_Toc473880016"/>
      <w:r w:rsidRPr="00122D33">
        <w:rPr>
          <w:rFonts w:eastAsia="Calibri"/>
          <w:sz w:val="32"/>
          <w:szCs w:val="32"/>
        </w:rPr>
        <w:t>Request for OMB approval of a New Information Collection</w:t>
      </w:r>
      <w:bookmarkEnd w:id="1"/>
    </w:p>
    <w:p w:rsidR="00B73458" w:rsidRPr="00122D33" w:rsidP="00B73458" w14:paraId="6A5CF040" w14:textId="77777777">
      <w:pPr>
        <w:jc w:val="center"/>
        <w:rPr>
          <w:rFonts w:eastAsia="Calibri"/>
          <w:b/>
          <w:szCs w:val="22"/>
        </w:rPr>
      </w:pPr>
    </w:p>
    <w:p w:rsidR="00B73458" w:rsidRPr="00122D33" w:rsidP="00B73458" w14:paraId="0A79B759" w14:textId="77777777">
      <w:pPr>
        <w:jc w:val="center"/>
        <w:rPr>
          <w:rFonts w:eastAsia="Calibri"/>
          <w:b/>
          <w:szCs w:val="22"/>
        </w:rPr>
      </w:pPr>
    </w:p>
    <w:p w:rsidR="00B73458" w:rsidRPr="00122D33" w:rsidP="00B73458" w14:paraId="7A7B7A9D" w14:textId="48B3EE86">
      <w:pPr>
        <w:spacing w:after="200" w:line="276" w:lineRule="auto"/>
        <w:jc w:val="center"/>
        <w:rPr>
          <w:rFonts w:eastAsia="Calibri"/>
          <w:szCs w:val="22"/>
        </w:rPr>
      </w:pPr>
      <w:r>
        <w:rPr>
          <w:rFonts w:eastAsia="Calibri"/>
          <w:szCs w:val="22"/>
        </w:rPr>
        <w:t xml:space="preserve">May </w:t>
      </w:r>
      <w:r w:rsidR="0028215E">
        <w:rPr>
          <w:rFonts w:eastAsia="Calibri"/>
          <w:szCs w:val="22"/>
        </w:rPr>
        <w:t>27</w:t>
      </w:r>
      <w:r>
        <w:rPr>
          <w:rFonts w:eastAsia="Calibri"/>
          <w:szCs w:val="22"/>
        </w:rPr>
        <w:t>, 2026</w:t>
      </w:r>
    </w:p>
    <w:p w:rsidR="00B73458" w:rsidRPr="00122D33" w:rsidP="00B73458" w14:paraId="6E1BDC75" w14:textId="77777777">
      <w:pPr>
        <w:spacing w:after="200" w:line="276" w:lineRule="auto"/>
        <w:rPr>
          <w:rFonts w:eastAsia="Calibri"/>
          <w:szCs w:val="22"/>
        </w:rPr>
      </w:pPr>
    </w:p>
    <w:p w:rsidR="00B73458" w:rsidRPr="00122D33" w:rsidP="00B73458" w14:paraId="3DE5656C" w14:textId="77777777">
      <w:pPr>
        <w:spacing w:after="200" w:line="276" w:lineRule="auto"/>
        <w:rPr>
          <w:rFonts w:eastAsia="Calibri"/>
          <w:szCs w:val="22"/>
        </w:rPr>
      </w:pPr>
    </w:p>
    <w:p w:rsidR="00B73458" w:rsidRPr="00122D33" w:rsidP="00B73458" w14:paraId="2470AFE3" w14:textId="77777777">
      <w:pPr>
        <w:jc w:val="center"/>
        <w:rPr>
          <w:rFonts w:eastAsia="Calibri"/>
          <w:b/>
          <w:szCs w:val="22"/>
        </w:rPr>
      </w:pPr>
    </w:p>
    <w:p w:rsidR="00B73458" w:rsidRPr="00122D33" w:rsidP="00B73458" w14:paraId="12184E2A" w14:textId="77777777">
      <w:pPr>
        <w:jc w:val="center"/>
        <w:outlineLvl w:val="3"/>
        <w:rPr>
          <w:rFonts w:eastAsia="Calibri"/>
          <w:b/>
          <w:szCs w:val="22"/>
        </w:rPr>
      </w:pPr>
      <w:r w:rsidRPr="00122D33">
        <w:rPr>
          <w:rFonts w:eastAsia="Calibri"/>
          <w:b/>
          <w:szCs w:val="22"/>
        </w:rPr>
        <w:t>Supporting Statement A</w:t>
      </w:r>
    </w:p>
    <w:p w:rsidR="00B73458" w:rsidRPr="00122D33" w:rsidP="00B73458" w14:paraId="497B6BA9" w14:textId="77777777">
      <w:pPr>
        <w:rPr>
          <w:rFonts w:eastAsia="Calibri"/>
          <w:b/>
          <w:szCs w:val="22"/>
        </w:rPr>
      </w:pPr>
    </w:p>
    <w:p w:rsidR="00B73458" w:rsidRPr="00122D33" w:rsidP="00B73458" w14:paraId="1EDE1A66" w14:textId="77777777">
      <w:pPr>
        <w:rPr>
          <w:rFonts w:eastAsia="Calibri"/>
          <w:b/>
          <w:szCs w:val="22"/>
        </w:rPr>
      </w:pPr>
    </w:p>
    <w:p w:rsidR="00B73458" w:rsidRPr="00122D33" w:rsidP="00B73458" w14:paraId="49A77307" w14:textId="77777777">
      <w:pPr>
        <w:rPr>
          <w:rFonts w:eastAsia="Calibri"/>
          <w:b/>
          <w:szCs w:val="22"/>
        </w:rPr>
      </w:pPr>
    </w:p>
    <w:p w:rsidR="00B73458" w:rsidRPr="00122D33" w:rsidP="00B73458" w14:paraId="37F4A152" w14:textId="77777777">
      <w:pPr>
        <w:rPr>
          <w:rFonts w:eastAsia="Calibri"/>
          <w:b/>
          <w:szCs w:val="22"/>
        </w:rPr>
      </w:pPr>
    </w:p>
    <w:p w:rsidR="00B73458" w:rsidRPr="00122D33" w:rsidP="00B73458" w14:paraId="3EDD8F18" w14:textId="77777777">
      <w:pPr>
        <w:rPr>
          <w:rFonts w:eastAsia="Calibri"/>
          <w:b/>
          <w:szCs w:val="22"/>
        </w:rPr>
      </w:pPr>
    </w:p>
    <w:p w:rsidR="00B73458" w:rsidRPr="00122D33" w:rsidP="00B73458" w14:paraId="54C7706C" w14:textId="77777777">
      <w:pPr>
        <w:rPr>
          <w:rFonts w:eastAsia="Calibri"/>
          <w:b/>
          <w:szCs w:val="22"/>
        </w:rPr>
      </w:pPr>
    </w:p>
    <w:p w:rsidR="00B73458" w:rsidRPr="00122D33" w:rsidP="00B73458" w14:paraId="0230BDDF" w14:textId="77777777">
      <w:pPr>
        <w:rPr>
          <w:rFonts w:eastAsia="Calibri"/>
          <w:b/>
          <w:szCs w:val="22"/>
        </w:rPr>
      </w:pPr>
    </w:p>
    <w:p w:rsidR="00B73458" w:rsidRPr="00122D33" w:rsidP="00B73458" w14:paraId="22F0D74D" w14:textId="77777777">
      <w:pPr>
        <w:rPr>
          <w:rFonts w:eastAsia="Calibri"/>
          <w:b/>
          <w:szCs w:val="22"/>
        </w:rPr>
      </w:pPr>
    </w:p>
    <w:p w:rsidR="00B73458" w:rsidRPr="00122D33" w:rsidP="00B73458" w14:paraId="0C805CCD" w14:textId="77777777">
      <w:pPr>
        <w:rPr>
          <w:rFonts w:eastAsia="Calibri"/>
          <w:b/>
          <w:szCs w:val="22"/>
        </w:rPr>
      </w:pPr>
    </w:p>
    <w:p w:rsidR="00B73458" w:rsidRPr="00122D33" w:rsidP="00B73458" w14:paraId="3374D4F4" w14:textId="77777777">
      <w:pPr>
        <w:rPr>
          <w:rFonts w:eastAsia="Calibri"/>
          <w:b/>
          <w:szCs w:val="22"/>
        </w:rPr>
      </w:pPr>
    </w:p>
    <w:p w:rsidR="00B73458" w:rsidRPr="00122D33" w:rsidP="00B73458" w14:paraId="241A5C20" w14:textId="77777777">
      <w:pPr>
        <w:rPr>
          <w:rFonts w:eastAsia="Calibri"/>
          <w:b/>
          <w:szCs w:val="22"/>
        </w:rPr>
      </w:pPr>
    </w:p>
    <w:p w:rsidR="00B73458" w:rsidRPr="00122D33" w:rsidP="00B73458" w14:paraId="224CF60B" w14:textId="77777777">
      <w:pPr>
        <w:rPr>
          <w:rFonts w:eastAsia="Calibri"/>
          <w:b/>
          <w:szCs w:val="22"/>
        </w:rPr>
      </w:pPr>
    </w:p>
    <w:p w:rsidR="00B73458" w:rsidRPr="00122D33" w:rsidP="00B73458" w14:paraId="7D87C33B" w14:textId="77777777">
      <w:pPr>
        <w:rPr>
          <w:rFonts w:eastAsia="Calibri"/>
          <w:b/>
          <w:szCs w:val="22"/>
        </w:rPr>
      </w:pPr>
    </w:p>
    <w:p w:rsidR="00B73458" w:rsidRPr="00122D33" w:rsidP="00B73458" w14:paraId="5C59BA53" w14:textId="77777777">
      <w:pPr>
        <w:rPr>
          <w:rFonts w:eastAsia="Calibri"/>
          <w:b/>
          <w:szCs w:val="22"/>
        </w:rPr>
      </w:pPr>
    </w:p>
    <w:p w:rsidR="00B73458" w:rsidRPr="00122D33" w:rsidP="00B73458" w14:paraId="794DE0C9" w14:textId="77777777">
      <w:pPr>
        <w:rPr>
          <w:rFonts w:eastAsia="Calibri"/>
          <w:b/>
          <w:szCs w:val="22"/>
        </w:rPr>
      </w:pPr>
    </w:p>
    <w:p w:rsidR="00B73458" w:rsidRPr="00122D33" w:rsidP="00B73458" w14:paraId="3BB568AB" w14:textId="77777777">
      <w:pPr>
        <w:rPr>
          <w:rFonts w:eastAsia="Calibri"/>
          <w:b/>
          <w:szCs w:val="22"/>
        </w:rPr>
      </w:pPr>
    </w:p>
    <w:p w:rsidR="00B73458" w:rsidRPr="00122D33" w:rsidP="00B73458" w14:paraId="397D4675" w14:textId="77777777">
      <w:pPr>
        <w:rPr>
          <w:rFonts w:eastAsia="Calibri"/>
          <w:b/>
          <w:szCs w:val="22"/>
        </w:rPr>
      </w:pPr>
    </w:p>
    <w:p w:rsidR="00B73458" w:rsidRPr="00122D33" w:rsidP="00B73458" w14:paraId="1604C448" w14:textId="77777777">
      <w:pPr>
        <w:rPr>
          <w:rFonts w:eastAsia="Calibri"/>
          <w:b/>
          <w:szCs w:val="22"/>
        </w:rPr>
      </w:pPr>
    </w:p>
    <w:p w:rsidR="00B73458" w:rsidRPr="00122D33" w:rsidP="00B73458" w14:paraId="4FEAC676" w14:textId="77777777">
      <w:pPr>
        <w:rPr>
          <w:rFonts w:eastAsia="Calibri"/>
          <w:b/>
          <w:szCs w:val="22"/>
        </w:rPr>
      </w:pPr>
    </w:p>
    <w:p w:rsidR="00B73458" w:rsidRPr="00122D33" w:rsidP="00B73458" w14:paraId="7CCC8191" w14:textId="77777777">
      <w:pPr>
        <w:rPr>
          <w:rFonts w:eastAsia="Calibri"/>
          <w:b/>
          <w:szCs w:val="22"/>
        </w:rPr>
      </w:pPr>
      <w:r w:rsidRPr="00122D33">
        <w:rPr>
          <w:rFonts w:eastAsia="Calibri"/>
          <w:b/>
          <w:szCs w:val="22"/>
        </w:rPr>
        <w:t xml:space="preserve">Contact: </w:t>
      </w:r>
    </w:p>
    <w:p w:rsidR="00B73458" w:rsidP="00B73458" w14:paraId="4C939CAC" w14:textId="77777777">
      <w:pPr>
        <w:pStyle w:val="NoSpacing"/>
      </w:pPr>
      <w:r>
        <w:t>Thomas Daymude</w:t>
      </w:r>
    </w:p>
    <w:p w:rsidR="00B73458" w:rsidP="00B73458" w14:paraId="55EE5C35" w14:textId="77777777">
      <w:pPr>
        <w:pStyle w:val="NoSpacing"/>
      </w:pPr>
      <w:r>
        <w:t xml:space="preserve">National Center for Emerging and Zoonotic Infectious Diseases </w:t>
      </w:r>
    </w:p>
    <w:p w:rsidR="00B73458" w:rsidP="00B73458" w14:paraId="34544268" w14:textId="77777777">
      <w:pPr>
        <w:pStyle w:val="NoSpacing"/>
      </w:pPr>
      <w:r>
        <w:t xml:space="preserve">Centers for Disease Control and Prevention </w:t>
      </w:r>
    </w:p>
    <w:p w:rsidR="00B73458" w:rsidP="00B73458" w14:paraId="1F8471DD" w14:textId="77777777">
      <w:pPr>
        <w:pStyle w:val="NoSpacing"/>
      </w:pPr>
      <w:r>
        <w:t xml:space="preserve">1600 Clifton Road, NE </w:t>
      </w:r>
    </w:p>
    <w:p w:rsidR="00B73458" w:rsidP="00B73458" w14:paraId="3710FC35" w14:textId="77777777">
      <w:pPr>
        <w:pStyle w:val="NoSpacing"/>
      </w:pPr>
      <w:r>
        <w:t xml:space="preserve">Atlanta, Georgia 30333 </w:t>
      </w:r>
    </w:p>
    <w:p w:rsidR="00B73458" w:rsidP="00B73458" w14:paraId="21A85DB0" w14:textId="6B82B98F">
      <w:pPr>
        <w:pStyle w:val="NoSpacing"/>
      </w:pPr>
      <w:r>
        <w:t xml:space="preserve">Phone: </w:t>
      </w:r>
      <w:r w:rsidRPr="00CA2110">
        <w:t>4</w:t>
      </w:r>
      <w:r w:rsidR="00F035A0">
        <w:t>70</w:t>
      </w:r>
      <w:r w:rsidRPr="00CA2110">
        <w:t>.</w:t>
      </w:r>
      <w:r w:rsidR="00F810E5">
        <w:t>553</w:t>
      </w:r>
      <w:r w:rsidRPr="00CA2110">
        <w:t>.</w:t>
      </w:r>
      <w:r w:rsidR="00F810E5">
        <w:t>3</w:t>
      </w:r>
      <w:r w:rsidR="00A949B3">
        <w:t>567</w:t>
      </w:r>
    </w:p>
    <w:p w:rsidR="00B73458" w:rsidRPr="00C61FA5" w:rsidP="00B73458" w14:paraId="531EFA02" w14:textId="77777777">
      <w:pPr>
        <w:pStyle w:val="NoSpacing"/>
      </w:pPr>
      <w:r>
        <w:t xml:space="preserve">Email: </w:t>
      </w:r>
      <w:r w:rsidRPr="00CA2110">
        <w:t>qkh7@cdc.gov</w:t>
      </w:r>
    </w:p>
    <w:p w:rsidR="00B73458" w:rsidP="00B73458" w14:paraId="666A0D18" w14:textId="77777777">
      <w:pPr>
        <w:pStyle w:val="TOCHeading"/>
        <w:rPr>
          <w:rFonts w:ascii="Times New Roman" w:eastAsia="Calibri" w:hAnsi="Times New Roman"/>
          <w:b w:val="0"/>
          <w:bCs w:val="0"/>
          <w:color w:val="auto"/>
          <w:sz w:val="24"/>
          <w:szCs w:val="22"/>
          <w:lang w:eastAsia="en-US"/>
        </w:rPr>
      </w:pPr>
    </w:p>
    <w:p w:rsidR="00B73458" w:rsidP="00B73458" w14:paraId="0D8540EA" w14:textId="77777777">
      <w:pPr>
        <w:pStyle w:val="TOCHeading"/>
      </w:pPr>
      <w:r>
        <w:t>Contents</w:t>
      </w:r>
    </w:p>
    <w:p w:rsidR="00B73458" w:rsidRPr="00B975C8" w:rsidP="00B73458" w14:paraId="4C1819C3" w14:textId="77777777">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anchor="_Toc410390869" w:history="1">
        <w:r w:rsidRPr="009215F9">
          <w:rPr>
            <w:rStyle w:val="Hyperlink"/>
            <w:rFonts w:eastAsiaTheme="majorEastAsia"/>
            <w:noProof/>
          </w:rPr>
          <w:t>A. Justification</w:t>
        </w:r>
        <w:r>
          <w:rPr>
            <w:noProof/>
            <w:webHidden/>
          </w:rPr>
          <w:tab/>
        </w:r>
        <w:r>
          <w:rPr>
            <w:noProof/>
            <w:webHidden/>
          </w:rPr>
          <w:fldChar w:fldCharType="begin"/>
        </w:r>
        <w:r>
          <w:rPr>
            <w:noProof/>
            <w:webHidden/>
          </w:rPr>
          <w:instrText xml:space="preserve"> PAGEREF _Toc410390869 \h </w:instrText>
        </w:r>
        <w:r>
          <w:rPr>
            <w:noProof/>
            <w:webHidden/>
          </w:rPr>
          <w:fldChar w:fldCharType="separate"/>
        </w:r>
        <w:r>
          <w:rPr>
            <w:noProof/>
            <w:webHidden/>
          </w:rPr>
          <w:t>3</w:t>
        </w:r>
        <w:r>
          <w:rPr>
            <w:noProof/>
            <w:webHidden/>
          </w:rPr>
          <w:fldChar w:fldCharType="end"/>
        </w:r>
      </w:hyperlink>
    </w:p>
    <w:p w:rsidR="00B73458" w:rsidRPr="00B975C8" w:rsidP="00B73458" w14:paraId="53A135FD" w14:textId="77777777">
      <w:pPr>
        <w:pStyle w:val="TOC1"/>
        <w:tabs>
          <w:tab w:val="right" w:leader="dot" w:pos="8630"/>
        </w:tabs>
        <w:rPr>
          <w:rFonts w:ascii="Calibri" w:hAnsi="Calibri"/>
          <w:noProof/>
          <w:sz w:val="22"/>
          <w:szCs w:val="22"/>
        </w:rPr>
      </w:pPr>
      <w:hyperlink w:anchor="_Toc410390870" w:history="1">
        <w:r w:rsidRPr="009215F9">
          <w:rPr>
            <w:rStyle w:val="Hyperlink"/>
            <w:rFonts w:eastAsiaTheme="majorEastAsia"/>
            <w:noProof/>
          </w:rPr>
          <w:t>1. Circumstances Making the Collection of Information Necessary</w:t>
        </w:r>
        <w:r>
          <w:rPr>
            <w:noProof/>
            <w:webHidden/>
          </w:rPr>
          <w:tab/>
        </w:r>
        <w:r>
          <w:rPr>
            <w:noProof/>
            <w:webHidden/>
          </w:rPr>
          <w:fldChar w:fldCharType="begin"/>
        </w:r>
        <w:r>
          <w:rPr>
            <w:noProof/>
            <w:webHidden/>
          </w:rPr>
          <w:instrText xml:space="preserve"> PAGEREF _Toc410390870 \h </w:instrText>
        </w:r>
        <w:r>
          <w:rPr>
            <w:noProof/>
            <w:webHidden/>
          </w:rPr>
          <w:fldChar w:fldCharType="separate"/>
        </w:r>
        <w:r>
          <w:rPr>
            <w:noProof/>
            <w:webHidden/>
          </w:rPr>
          <w:t>3</w:t>
        </w:r>
        <w:r>
          <w:rPr>
            <w:noProof/>
            <w:webHidden/>
          </w:rPr>
          <w:fldChar w:fldCharType="end"/>
        </w:r>
      </w:hyperlink>
    </w:p>
    <w:p w:rsidR="00B73458" w:rsidRPr="00B975C8" w:rsidP="00B73458" w14:paraId="6AA1172E" w14:textId="77777777">
      <w:pPr>
        <w:pStyle w:val="TOC1"/>
        <w:tabs>
          <w:tab w:val="right" w:leader="dot" w:pos="8630"/>
        </w:tabs>
        <w:rPr>
          <w:rFonts w:ascii="Calibri" w:hAnsi="Calibri"/>
          <w:noProof/>
          <w:sz w:val="22"/>
          <w:szCs w:val="22"/>
        </w:rPr>
      </w:pPr>
      <w:hyperlink w:anchor="_Toc410390871" w:history="1">
        <w:r w:rsidRPr="009215F9">
          <w:rPr>
            <w:rStyle w:val="Hyperlink"/>
            <w:rFonts w:eastAsiaTheme="majorEastAsia"/>
            <w:noProof/>
          </w:rPr>
          <w:t>2. Purpose and Use of Information Collection</w:t>
        </w:r>
        <w:r>
          <w:rPr>
            <w:noProof/>
            <w:webHidden/>
          </w:rPr>
          <w:tab/>
        </w:r>
        <w:r>
          <w:rPr>
            <w:noProof/>
            <w:webHidden/>
          </w:rPr>
          <w:fldChar w:fldCharType="begin"/>
        </w:r>
        <w:r>
          <w:rPr>
            <w:noProof/>
            <w:webHidden/>
          </w:rPr>
          <w:instrText xml:space="preserve"> PAGEREF _Toc410390871 \h </w:instrText>
        </w:r>
        <w:r>
          <w:rPr>
            <w:noProof/>
            <w:webHidden/>
          </w:rPr>
          <w:fldChar w:fldCharType="separate"/>
        </w:r>
        <w:r>
          <w:rPr>
            <w:noProof/>
            <w:webHidden/>
          </w:rPr>
          <w:t>5</w:t>
        </w:r>
        <w:r>
          <w:rPr>
            <w:noProof/>
            <w:webHidden/>
          </w:rPr>
          <w:fldChar w:fldCharType="end"/>
        </w:r>
      </w:hyperlink>
    </w:p>
    <w:p w:rsidR="00B73458" w:rsidRPr="00B975C8" w:rsidP="00B73458" w14:paraId="41032B9C" w14:textId="77777777">
      <w:pPr>
        <w:pStyle w:val="TOC1"/>
        <w:tabs>
          <w:tab w:val="right" w:leader="dot" w:pos="8630"/>
        </w:tabs>
        <w:rPr>
          <w:rFonts w:ascii="Calibri" w:hAnsi="Calibri"/>
          <w:noProof/>
          <w:sz w:val="22"/>
          <w:szCs w:val="22"/>
        </w:rPr>
      </w:pPr>
      <w:hyperlink w:anchor="_Toc410390872" w:history="1">
        <w:r w:rsidRPr="009215F9">
          <w:rPr>
            <w:rStyle w:val="Hyperlink"/>
            <w:rFonts w:eastAsiaTheme="majorEastAsia"/>
            <w:noProof/>
          </w:rPr>
          <w:t>3. Use of Improved Information Technology and Burden Reduction</w:t>
        </w:r>
        <w:r>
          <w:rPr>
            <w:noProof/>
            <w:webHidden/>
          </w:rPr>
          <w:tab/>
        </w:r>
        <w:r>
          <w:rPr>
            <w:noProof/>
            <w:webHidden/>
          </w:rPr>
          <w:fldChar w:fldCharType="begin"/>
        </w:r>
        <w:r>
          <w:rPr>
            <w:noProof/>
            <w:webHidden/>
          </w:rPr>
          <w:instrText xml:space="preserve"> PAGEREF _Toc410390872 \h </w:instrText>
        </w:r>
        <w:r>
          <w:rPr>
            <w:noProof/>
            <w:webHidden/>
          </w:rPr>
          <w:fldChar w:fldCharType="separate"/>
        </w:r>
        <w:r>
          <w:rPr>
            <w:noProof/>
            <w:webHidden/>
          </w:rPr>
          <w:t>5</w:t>
        </w:r>
        <w:r>
          <w:rPr>
            <w:noProof/>
            <w:webHidden/>
          </w:rPr>
          <w:fldChar w:fldCharType="end"/>
        </w:r>
      </w:hyperlink>
    </w:p>
    <w:p w:rsidR="00B73458" w:rsidRPr="00B975C8" w:rsidP="00B73458" w14:paraId="31ACC8BA" w14:textId="77777777">
      <w:pPr>
        <w:pStyle w:val="TOC1"/>
        <w:tabs>
          <w:tab w:val="right" w:leader="dot" w:pos="8630"/>
        </w:tabs>
        <w:rPr>
          <w:rFonts w:ascii="Calibri" w:hAnsi="Calibri"/>
          <w:noProof/>
          <w:sz w:val="22"/>
          <w:szCs w:val="22"/>
        </w:rPr>
      </w:pPr>
      <w:hyperlink w:anchor="_Toc410390873" w:history="1">
        <w:r w:rsidRPr="009215F9">
          <w:rPr>
            <w:rStyle w:val="Hyperlink"/>
            <w:rFonts w:eastAsiaTheme="majorEastAsia"/>
            <w:noProof/>
          </w:rPr>
          <w:t>4. Efforts to Identify Duplication and Use of Similar Information</w:t>
        </w:r>
        <w:r>
          <w:rPr>
            <w:noProof/>
            <w:webHidden/>
          </w:rPr>
          <w:tab/>
        </w:r>
        <w:r>
          <w:rPr>
            <w:noProof/>
            <w:webHidden/>
          </w:rPr>
          <w:fldChar w:fldCharType="begin"/>
        </w:r>
        <w:r>
          <w:rPr>
            <w:noProof/>
            <w:webHidden/>
          </w:rPr>
          <w:instrText xml:space="preserve"> PAGEREF _Toc410390873 \h </w:instrText>
        </w:r>
        <w:r>
          <w:rPr>
            <w:noProof/>
            <w:webHidden/>
          </w:rPr>
          <w:fldChar w:fldCharType="separate"/>
        </w:r>
        <w:r>
          <w:rPr>
            <w:noProof/>
            <w:webHidden/>
          </w:rPr>
          <w:t>5</w:t>
        </w:r>
        <w:r>
          <w:rPr>
            <w:noProof/>
            <w:webHidden/>
          </w:rPr>
          <w:fldChar w:fldCharType="end"/>
        </w:r>
      </w:hyperlink>
    </w:p>
    <w:p w:rsidR="00B73458" w:rsidRPr="00B975C8" w:rsidP="00B73458" w14:paraId="4C9D653B" w14:textId="77777777">
      <w:pPr>
        <w:pStyle w:val="TOC1"/>
        <w:tabs>
          <w:tab w:val="right" w:leader="dot" w:pos="8630"/>
        </w:tabs>
        <w:rPr>
          <w:rFonts w:ascii="Calibri" w:hAnsi="Calibri"/>
          <w:noProof/>
          <w:sz w:val="22"/>
          <w:szCs w:val="22"/>
        </w:rPr>
      </w:pPr>
      <w:hyperlink w:anchor="_Toc410390874" w:history="1">
        <w:r w:rsidRPr="009215F9">
          <w:rPr>
            <w:rStyle w:val="Hyperlink"/>
            <w:rFonts w:eastAsiaTheme="majorEastAsia"/>
            <w:noProof/>
          </w:rPr>
          <w:t>5.  Impact on Small Businesses or Other Small Entities</w:t>
        </w:r>
        <w:r>
          <w:rPr>
            <w:noProof/>
            <w:webHidden/>
          </w:rPr>
          <w:tab/>
        </w:r>
        <w:r>
          <w:rPr>
            <w:noProof/>
            <w:webHidden/>
          </w:rPr>
          <w:fldChar w:fldCharType="begin"/>
        </w:r>
        <w:r>
          <w:rPr>
            <w:noProof/>
            <w:webHidden/>
          </w:rPr>
          <w:instrText xml:space="preserve"> PAGEREF _Toc410390874 \h </w:instrText>
        </w:r>
        <w:r>
          <w:rPr>
            <w:noProof/>
            <w:webHidden/>
          </w:rPr>
          <w:fldChar w:fldCharType="separate"/>
        </w:r>
        <w:r>
          <w:rPr>
            <w:noProof/>
            <w:webHidden/>
          </w:rPr>
          <w:t>6</w:t>
        </w:r>
        <w:r>
          <w:rPr>
            <w:noProof/>
            <w:webHidden/>
          </w:rPr>
          <w:fldChar w:fldCharType="end"/>
        </w:r>
      </w:hyperlink>
    </w:p>
    <w:p w:rsidR="00B73458" w:rsidRPr="00B975C8" w:rsidP="00B73458" w14:paraId="4D416438" w14:textId="77777777">
      <w:pPr>
        <w:pStyle w:val="TOC1"/>
        <w:tabs>
          <w:tab w:val="right" w:leader="dot" w:pos="8630"/>
        </w:tabs>
        <w:rPr>
          <w:rFonts w:ascii="Calibri" w:hAnsi="Calibri"/>
          <w:noProof/>
          <w:sz w:val="22"/>
          <w:szCs w:val="22"/>
        </w:rPr>
      </w:pPr>
      <w:hyperlink w:anchor="_Toc410390875" w:history="1">
        <w:r w:rsidRPr="009215F9">
          <w:rPr>
            <w:rStyle w:val="Hyperlink"/>
            <w:rFonts w:eastAsiaTheme="majorEastAsia"/>
            <w:noProof/>
          </w:rPr>
          <w:t>6. Consequences of Collecting the Information Less Frequently</w:t>
        </w:r>
        <w:r>
          <w:rPr>
            <w:noProof/>
            <w:webHidden/>
          </w:rPr>
          <w:tab/>
        </w:r>
        <w:r>
          <w:rPr>
            <w:noProof/>
            <w:webHidden/>
          </w:rPr>
          <w:fldChar w:fldCharType="begin"/>
        </w:r>
        <w:r>
          <w:rPr>
            <w:noProof/>
            <w:webHidden/>
          </w:rPr>
          <w:instrText xml:space="preserve"> PAGEREF _Toc410390875 \h </w:instrText>
        </w:r>
        <w:r>
          <w:rPr>
            <w:noProof/>
            <w:webHidden/>
          </w:rPr>
          <w:fldChar w:fldCharType="separate"/>
        </w:r>
        <w:r>
          <w:rPr>
            <w:noProof/>
            <w:webHidden/>
          </w:rPr>
          <w:t>6</w:t>
        </w:r>
        <w:r>
          <w:rPr>
            <w:noProof/>
            <w:webHidden/>
          </w:rPr>
          <w:fldChar w:fldCharType="end"/>
        </w:r>
      </w:hyperlink>
    </w:p>
    <w:p w:rsidR="00B73458" w:rsidRPr="00B975C8" w:rsidP="00B73458" w14:paraId="60AEA5BD" w14:textId="77777777">
      <w:pPr>
        <w:pStyle w:val="TOC1"/>
        <w:tabs>
          <w:tab w:val="right" w:leader="dot" w:pos="8630"/>
        </w:tabs>
        <w:rPr>
          <w:rFonts w:ascii="Calibri" w:hAnsi="Calibri"/>
          <w:noProof/>
          <w:sz w:val="22"/>
          <w:szCs w:val="22"/>
        </w:rPr>
      </w:pPr>
      <w:hyperlink w:anchor="_Toc410390876" w:history="1">
        <w:r w:rsidRPr="009215F9">
          <w:rPr>
            <w:rStyle w:val="Hyperlink"/>
            <w:rFonts w:eastAsiaTheme="majorEastAsia"/>
            <w:noProof/>
          </w:rPr>
          <w:t>7. Special Circumstances Relating to the Guidelines of 5 CFR 1320.5</w:t>
        </w:r>
        <w:r>
          <w:rPr>
            <w:noProof/>
            <w:webHidden/>
          </w:rPr>
          <w:tab/>
        </w:r>
        <w:r>
          <w:rPr>
            <w:noProof/>
            <w:webHidden/>
          </w:rPr>
          <w:fldChar w:fldCharType="begin"/>
        </w:r>
        <w:r>
          <w:rPr>
            <w:noProof/>
            <w:webHidden/>
          </w:rPr>
          <w:instrText xml:space="preserve"> PAGEREF _Toc410390876 \h </w:instrText>
        </w:r>
        <w:r>
          <w:rPr>
            <w:noProof/>
            <w:webHidden/>
          </w:rPr>
          <w:fldChar w:fldCharType="separate"/>
        </w:r>
        <w:r>
          <w:rPr>
            <w:noProof/>
            <w:webHidden/>
          </w:rPr>
          <w:t>6</w:t>
        </w:r>
        <w:r>
          <w:rPr>
            <w:noProof/>
            <w:webHidden/>
          </w:rPr>
          <w:fldChar w:fldCharType="end"/>
        </w:r>
      </w:hyperlink>
    </w:p>
    <w:p w:rsidR="00B73458" w:rsidRPr="00B975C8" w:rsidP="00B73458" w14:paraId="271924FE" w14:textId="77777777">
      <w:pPr>
        <w:pStyle w:val="TOC1"/>
        <w:tabs>
          <w:tab w:val="right" w:leader="dot" w:pos="8630"/>
        </w:tabs>
        <w:rPr>
          <w:rFonts w:ascii="Calibri" w:hAnsi="Calibri"/>
          <w:noProof/>
          <w:sz w:val="22"/>
          <w:szCs w:val="22"/>
        </w:rPr>
      </w:pPr>
      <w:hyperlink w:anchor="_Toc410390877" w:history="1">
        <w:r w:rsidRPr="009215F9">
          <w:rPr>
            <w:rStyle w:val="Hyperlink"/>
            <w:rFonts w:eastAsiaTheme="majorEastAsia"/>
            <w:noProof/>
          </w:rPr>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_Toc410390877 \h </w:instrText>
        </w:r>
        <w:r>
          <w:rPr>
            <w:noProof/>
            <w:webHidden/>
          </w:rPr>
          <w:fldChar w:fldCharType="separate"/>
        </w:r>
        <w:r>
          <w:rPr>
            <w:noProof/>
            <w:webHidden/>
          </w:rPr>
          <w:t>6</w:t>
        </w:r>
        <w:r>
          <w:rPr>
            <w:noProof/>
            <w:webHidden/>
          </w:rPr>
          <w:fldChar w:fldCharType="end"/>
        </w:r>
      </w:hyperlink>
    </w:p>
    <w:p w:rsidR="00B73458" w:rsidRPr="00B975C8" w:rsidP="00B73458" w14:paraId="0AACFC3E" w14:textId="77777777">
      <w:pPr>
        <w:pStyle w:val="TOC1"/>
        <w:tabs>
          <w:tab w:val="right" w:leader="dot" w:pos="8630"/>
        </w:tabs>
        <w:rPr>
          <w:rFonts w:ascii="Calibri" w:hAnsi="Calibri"/>
          <w:noProof/>
          <w:sz w:val="22"/>
          <w:szCs w:val="22"/>
        </w:rPr>
      </w:pPr>
      <w:hyperlink w:anchor="_Toc410390878" w:history="1">
        <w:r w:rsidRPr="009215F9">
          <w:rPr>
            <w:rStyle w:val="Hyperlink"/>
            <w:rFonts w:eastAsiaTheme="majorEastAsia"/>
            <w:noProof/>
          </w:rPr>
          <w:t>9. Explanations of Any Payment or Gift to Respondents</w:t>
        </w:r>
        <w:r>
          <w:rPr>
            <w:noProof/>
            <w:webHidden/>
          </w:rPr>
          <w:tab/>
        </w:r>
        <w:r>
          <w:rPr>
            <w:noProof/>
            <w:webHidden/>
          </w:rPr>
          <w:fldChar w:fldCharType="begin"/>
        </w:r>
        <w:r>
          <w:rPr>
            <w:noProof/>
            <w:webHidden/>
          </w:rPr>
          <w:instrText xml:space="preserve"> PAGEREF _Toc410390878 \h </w:instrText>
        </w:r>
        <w:r>
          <w:rPr>
            <w:noProof/>
            <w:webHidden/>
          </w:rPr>
          <w:fldChar w:fldCharType="separate"/>
        </w:r>
        <w:r>
          <w:rPr>
            <w:noProof/>
            <w:webHidden/>
          </w:rPr>
          <w:t>6</w:t>
        </w:r>
        <w:r>
          <w:rPr>
            <w:noProof/>
            <w:webHidden/>
          </w:rPr>
          <w:fldChar w:fldCharType="end"/>
        </w:r>
      </w:hyperlink>
    </w:p>
    <w:p w:rsidR="00B73458" w:rsidRPr="00B975C8" w:rsidP="00B73458" w14:paraId="29559371" w14:textId="77777777">
      <w:pPr>
        <w:pStyle w:val="TOC1"/>
        <w:tabs>
          <w:tab w:val="right" w:leader="dot" w:pos="8630"/>
        </w:tabs>
        <w:rPr>
          <w:rFonts w:ascii="Calibri" w:hAnsi="Calibri"/>
          <w:noProof/>
          <w:sz w:val="22"/>
          <w:szCs w:val="22"/>
        </w:rPr>
      </w:pPr>
      <w:hyperlink w:anchor="_Toc410390879" w:history="1">
        <w:r w:rsidRPr="009215F9">
          <w:rPr>
            <w:rStyle w:val="Hyperlink"/>
            <w:rFonts w:eastAsiaTheme="majorEastAsia"/>
            <w:noProof/>
          </w:rPr>
          <w:t>10. Assurance of Confidentiality Provided to Respondents</w:t>
        </w:r>
        <w:r>
          <w:rPr>
            <w:noProof/>
            <w:webHidden/>
          </w:rPr>
          <w:tab/>
        </w:r>
        <w:r>
          <w:rPr>
            <w:noProof/>
            <w:webHidden/>
          </w:rPr>
          <w:fldChar w:fldCharType="begin"/>
        </w:r>
        <w:r>
          <w:rPr>
            <w:noProof/>
            <w:webHidden/>
          </w:rPr>
          <w:instrText xml:space="preserve"> PAGEREF _Toc410390879 \h </w:instrText>
        </w:r>
        <w:r>
          <w:rPr>
            <w:noProof/>
            <w:webHidden/>
          </w:rPr>
          <w:fldChar w:fldCharType="separate"/>
        </w:r>
        <w:r>
          <w:rPr>
            <w:noProof/>
            <w:webHidden/>
          </w:rPr>
          <w:t>6</w:t>
        </w:r>
        <w:r>
          <w:rPr>
            <w:noProof/>
            <w:webHidden/>
          </w:rPr>
          <w:fldChar w:fldCharType="end"/>
        </w:r>
      </w:hyperlink>
    </w:p>
    <w:p w:rsidR="00B73458" w:rsidRPr="00B975C8" w:rsidP="00B73458" w14:paraId="53062360" w14:textId="77777777">
      <w:pPr>
        <w:pStyle w:val="TOC1"/>
        <w:tabs>
          <w:tab w:val="right" w:leader="dot" w:pos="8630"/>
        </w:tabs>
        <w:rPr>
          <w:rFonts w:ascii="Calibri" w:hAnsi="Calibri"/>
          <w:noProof/>
          <w:sz w:val="22"/>
          <w:szCs w:val="22"/>
        </w:rPr>
      </w:pPr>
      <w:hyperlink w:anchor="_Toc410390880" w:history="1">
        <w:r w:rsidRPr="009215F9">
          <w:rPr>
            <w:rStyle w:val="Hyperlink"/>
            <w:rFonts w:eastAsiaTheme="majorEastAsia"/>
            <w:noProof/>
          </w:rPr>
          <w:t>11.  Justification for Sensitive Questions</w:t>
        </w:r>
        <w:r>
          <w:rPr>
            <w:noProof/>
            <w:webHidden/>
          </w:rPr>
          <w:tab/>
        </w:r>
        <w:r>
          <w:rPr>
            <w:noProof/>
            <w:webHidden/>
          </w:rPr>
          <w:fldChar w:fldCharType="begin"/>
        </w:r>
        <w:r>
          <w:rPr>
            <w:noProof/>
            <w:webHidden/>
          </w:rPr>
          <w:instrText xml:space="preserve"> PAGEREF _Toc410390880 \h </w:instrText>
        </w:r>
        <w:r>
          <w:rPr>
            <w:noProof/>
            <w:webHidden/>
          </w:rPr>
          <w:fldChar w:fldCharType="separate"/>
        </w:r>
        <w:r>
          <w:rPr>
            <w:noProof/>
            <w:webHidden/>
          </w:rPr>
          <w:t>7</w:t>
        </w:r>
        <w:r>
          <w:rPr>
            <w:noProof/>
            <w:webHidden/>
          </w:rPr>
          <w:fldChar w:fldCharType="end"/>
        </w:r>
      </w:hyperlink>
    </w:p>
    <w:p w:rsidR="00B73458" w:rsidRPr="00B975C8" w:rsidP="00B73458" w14:paraId="2D880519" w14:textId="77777777">
      <w:pPr>
        <w:pStyle w:val="TOC1"/>
        <w:tabs>
          <w:tab w:val="right" w:leader="dot" w:pos="8630"/>
        </w:tabs>
        <w:rPr>
          <w:rFonts w:ascii="Calibri" w:hAnsi="Calibri"/>
          <w:noProof/>
          <w:sz w:val="22"/>
          <w:szCs w:val="22"/>
        </w:rPr>
      </w:pPr>
      <w:hyperlink w:anchor="_Toc410390881" w:history="1">
        <w:r w:rsidRPr="009215F9">
          <w:rPr>
            <w:rStyle w:val="Hyperlink"/>
            <w:rFonts w:eastAsiaTheme="majorEastAsia"/>
            <w:noProof/>
          </w:rPr>
          <w:t>12. Estimates of Annualized Burden Hours and Costs</w:t>
        </w:r>
        <w:r>
          <w:rPr>
            <w:noProof/>
            <w:webHidden/>
          </w:rPr>
          <w:tab/>
        </w:r>
        <w:r>
          <w:rPr>
            <w:noProof/>
            <w:webHidden/>
          </w:rPr>
          <w:fldChar w:fldCharType="begin"/>
        </w:r>
        <w:r>
          <w:rPr>
            <w:noProof/>
            <w:webHidden/>
          </w:rPr>
          <w:instrText xml:space="preserve"> PAGEREF _Toc410390881 \h </w:instrText>
        </w:r>
        <w:r>
          <w:rPr>
            <w:noProof/>
            <w:webHidden/>
          </w:rPr>
          <w:fldChar w:fldCharType="separate"/>
        </w:r>
        <w:r>
          <w:rPr>
            <w:noProof/>
            <w:webHidden/>
          </w:rPr>
          <w:t>7</w:t>
        </w:r>
        <w:r>
          <w:rPr>
            <w:noProof/>
            <w:webHidden/>
          </w:rPr>
          <w:fldChar w:fldCharType="end"/>
        </w:r>
      </w:hyperlink>
    </w:p>
    <w:p w:rsidR="00B73458" w:rsidRPr="00B975C8" w:rsidP="00B73458" w14:paraId="56386726" w14:textId="77777777">
      <w:pPr>
        <w:pStyle w:val="TOC1"/>
        <w:tabs>
          <w:tab w:val="right" w:leader="dot" w:pos="8630"/>
        </w:tabs>
        <w:rPr>
          <w:rFonts w:ascii="Calibri" w:hAnsi="Calibri"/>
          <w:noProof/>
          <w:sz w:val="22"/>
          <w:szCs w:val="22"/>
        </w:rPr>
      </w:pPr>
      <w:hyperlink w:anchor="_Toc410390882" w:history="1">
        <w:r w:rsidRPr="009215F9">
          <w:rPr>
            <w:rStyle w:val="Hyperlink"/>
            <w:rFonts w:eastAsiaTheme="majorEastAsia"/>
            <w:noProof/>
          </w:rPr>
          <w:t>13. Estimates of Other Total Annual Cost Burden to Respondents or Record Keepers</w:t>
        </w:r>
        <w:r>
          <w:rPr>
            <w:noProof/>
            <w:webHidden/>
          </w:rPr>
          <w:tab/>
        </w:r>
        <w:r>
          <w:rPr>
            <w:noProof/>
            <w:webHidden/>
          </w:rPr>
          <w:fldChar w:fldCharType="begin"/>
        </w:r>
        <w:r>
          <w:rPr>
            <w:noProof/>
            <w:webHidden/>
          </w:rPr>
          <w:instrText xml:space="preserve"> PAGEREF _Toc410390882 \h </w:instrText>
        </w:r>
        <w:r>
          <w:rPr>
            <w:noProof/>
            <w:webHidden/>
          </w:rPr>
          <w:fldChar w:fldCharType="separate"/>
        </w:r>
        <w:r>
          <w:rPr>
            <w:noProof/>
            <w:webHidden/>
          </w:rPr>
          <w:t>9</w:t>
        </w:r>
        <w:r>
          <w:rPr>
            <w:noProof/>
            <w:webHidden/>
          </w:rPr>
          <w:fldChar w:fldCharType="end"/>
        </w:r>
      </w:hyperlink>
    </w:p>
    <w:p w:rsidR="00B73458" w:rsidRPr="00B975C8" w:rsidP="00B73458" w14:paraId="4CD9F931" w14:textId="77777777">
      <w:pPr>
        <w:pStyle w:val="TOC1"/>
        <w:tabs>
          <w:tab w:val="right" w:leader="dot" w:pos="8630"/>
        </w:tabs>
        <w:rPr>
          <w:rFonts w:ascii="Calibri" w:hAnsi="Calibri"/>
          <w:noProof/>
          <w:sz w:val="22"/>
          <w:szCs w:val="22"/>
        </w:rPr>
      </w:pPr>
      <w:hyperlink w:anchor="_Toc410390883" w:history="1">
        <w:r w:rsidRPr="009215F9">
          <w:rPr>
            <w:rStyle w:val="Hyperlink"/>
            <w:rFonts w:eastAsiaTheme="majorEastAsia"/>
            <w:noProof/>
          </w:rPr>
          <w:t>14. Annualized Cost to the Government</w:t>
        </w:r>
        <w:r>
          <w:rPr>
            <w:noProof/>
            <w:webHidden/>
          </w:rPr>
          <w:tab/>
        </w:r>
        <w:r>
          <w:rPr>
            <w:noProof/>
            <w:webHidden/>
          </w:rPr>
          <w:fldChar w:fldCharType="begin"/>
        </w:r>
        <w:r>
          <w:rPr>
            <w:noProof/>
            <w:webHidden/>
          </w:rPr>
          <w:instrText xml:space="preserve"> PAGEREF _Toc410390883 \h </w:instrText>
        </w:r>
        <w:r>
          <w:rPr>
            <w:noProof/>
            <w:webHidden/>
          </w:rPr>
          <w:fldChar w:fldCharType="separate"/>
        </w:r>
        <w:r>
          <w:rPr>
            <w:noProof/>
            <w:webHidden/>
          </w:rPr>
          <w:t>9</w:t>
        </w:r>
        <w:r>
          <w:rPr>
            <w:noProof/>
            <w:webHidden/>
          </w:rPr>
          <w:fldChar w:fldCharType="end"/>
        </w:r>
      </w:hyperlink>
    </w:p>
    <w:p w:rsidR="00B73458" w:rsidRPr="00B975C8" w:rsidP="00B73458" w14:paraId="6139A537" w14:textId="77777777">
      <w:pPr>
        <w:pStyle w:val="TOC1"/>
        <w:tabs>
          <w:tab w:val="right" w:leader="dot" w:pos="8630"/>
        </w:tabs>
        <w:rPr>
          <w:rFonts w:ascii="Calibri" w:hAnsi="Calibri"/>
          <w:noProof/>
          <w:sz w:val="22"/>
          <w:szCs w:val="22"/>
        </w:rPr>
      </w:pPr>
      <w:hyperlink w:anchor="_Toc410390884" w:history="1">
        <w:r w:rsidRPr="009215F9">
          <w:rPr>
            <w:rStyle w:val="Hyperlink"/>
            <w:rFonts w:eastAsiaTheme="majorEastAsia"/>
            <w:noProof/>
          </w:rPr>
          <w:t>15. Explanation for Program Changes or Adjustments</w:t>
        </w:r>
        <w:r>
          <w:rPr>
            <w:noProof/>
            <w:webHidden/>
          </w:rPr>
          <w:tab/>
        </w:r>
        <w:r>
          <w:rPr>
            <w:noProof/>
            <w:webHidden/>
          </w:rPr>
          <w:fldChar w:fldCharType="begin"/>
        </w:r>
        <w:r>
          <w:rPr>
            <w:noProof/>
            <w:webHidden/>
          </w:rPr>
          <w:instrText xml:space="preserve"> PAGEREF _Toc410390884 \h </w:instrText>
        </w:r>
        <w:r>
          <w:rPr>
            <w:noProof/>
            <w:webHidden/>
          </w:rPr>
          <w:fldChar w:fldCharType="separate"/>
        </w:r>
        <w:r>
          <w:rPr>
            <w:noProof/>
            <w:webHidden/>
          </w:rPr>
          <w:t>9</w:t>
        </w:r>
        <w:r>
          <w:rPr>
            <w:noProof/>
            <w:webHidden/>
          </w:rPr>
          <w:fldChar w:fldCharType="end"/>
        </w:r>
      </w:hyperlink>
    </w:p>
    <w:p w:rsidR="00B73458" w:rsidRPr="00B975C8" w:rsidP="00B73458" w14:paraId="7B8415B4" w14:textId="77777777">
      <w:pPr>
        <w:pStyle w:val="TOC1"/>
        <w:tabs>
          <w:tab w:val="right" w:leader="dot" w:pos="8630"/>
        </w:tabs>
        <w:rPr>
          <w:rFonts w:ascii="Calibri" w:hAnsi="Calibri"/>
          <w:noProof/>
          <w:sz w:val="22"/>
          <w:szCs w:val="22"/>
        </w:rPr>
      </w:pPr>
      <w:hyperlink w:anchor="_Toc410390885" w:history="1">
        <w:r w:rsidRPr="009215F9">
          <w:rPr>
            <w:rStyle w:val="Hyperlink"/>
            <w:rFonts w:eastAsiaTheme="majorEastAsia"/>
            <w:noProof/>
          </w:rPr>
          <w:t>16. Plans for Tabulation and Publication and Project Time Schedule</w:t>
        </w:r>
        <w:r>
          <w:rPr>
            <w:noProof/>
            <w:webHidden/>
          </w:rPr>
          <w:tab/>
        </w:r>
        <w:r>
          <w:rPr>
            <w:noProof/>
            <w:webHidden/>
          </w:rPr>
          <w:fldChar w:fldCharType="begin"/>
        </w:r>
        <w:r>
          <w:rPr>
            <w:noProof/>
            <w:webHidden/>
          </w:rPr>
          <w:instrText xml:space="preserve"> PAGEREF _Toc410390885 \h </w:instrText>
        </w:r>
        <w:r>
          <w:rPr>
            <w:noProof/>
            <w:webHidden/>
          </w:rPr>
          <w:fldChar w:fldCharType="separate"/>
        </w:r>
        <w:r>
          <w:rPr>
            <w:noProof/>
            <w:webHidden/>
          </w:rPr>
          <w:t>9</w:t>
        </w:r>
        <w:r>
          <w:rPr>
            <w:noProof/>
            <w:webHidden/>
          </w:rPr>
          <w:fldChar w:fldCharType="end"/>
        </w:r>
      </w:hyperlink>
    </w:p>
    <w:p w:rsidR="00B73458" w:rsidRPr="00B975C8" w:rsidP="00B73458" w14:paraId="15419BB8" w14:textId="77777777">
      <w:pPr>
        <w:pStyle w:val="TOC1"/>
        <w:tabs>
          <w:tab w:val="right" w:leader="dot" w:pos="8630"/>
        </w:tabs>
        <w:rPr>
          <w:rFonts w:ascii="Calibri" w:hAnsi="Calibri"/>
          <w:noProof/>
          <w:sz w:val="22"/>
          <w:szCs w:val="22"/>
        </w:rPr>
      </w:pPr>
      <w:hyperlink w:anchor="_Toc410390886" w:history="1">
        <w:r w:rsidRPr="009215F9">
          <w:rPr>
            <w:rStyle w:val="Hyperlink"/>
            <w:rFonts w:eastAsiaTheme="majorEastAsia"/>
            <w:noProof/>
          </w:rPr>
          <w:t>17. Reason(s) Display of OMB Expiration Date is Inappropriate</w:t>
        </w:r>
        <w:r>
          <w:rPr>
            <w:noProof/>
            <w:webHidden/>
          </w:rPr>
          <w:tab/>
        </w:r>
        <w:r>
          <w:rPr>
            <w:noProof/>
            <w:webHidden/>
          </w:rPr>
          <w:fldChar w:fldCharType="begin"/>
        </w:r>
        <w:r>
          <w:rPr>
            <w:noProof/>
            <w:webHidden/>
          </w:rPr>
          <w:instrText xml:space="preserve"> PAGEREF _Toc410390886 \h </w:instrText>
        </w:r>
        <w:r>
          <w:rPr>
            <w:noProof/>
            <w:webHidden/>
          </w:rPr>
          <w:fldChar w:fldCharType="separate"/>
        </w:r>
        <w:r>
          <w:rPr>
            <w:noProof/>
            <w:webHidden/>
          </w:rPr>
          <w:t>9</w:t>
        </w:r>
        <w:r>
          <w:rPr>
            <w:noProof/>
            <w:webHidden/>
          </w:rPr>
          <w:fldChar w:fldCharType="end"/>
        </w:r>
      </w:hyperlink>
    </w:p>
    <w:p w:rsidR="00B73458" w:rsidRPr="00B975C8" w:rsidP="00B73458" w14:paraId="10FFA91B" w14:textId="77777777">
      <w:pPr>
        <w:pStyle w:val="TOC1"/>
        <w:tabs>
          <w:tab w:val="right" w:leader="dot" w:pos="8630"/>
        </w:tabs>
        <w:rPr>
          <w:rFonts w:ascii="Calibri" w:hAnsi="Calibri"/>
          <w:noProof/>
          <w:sz w:val="22"/>
          <w:szCs w:val="22"/>
        </w:rPr>
      </w:pPr>
      <w:hyperlink w:anchor="_Toc410390887" w:history="1">
        <w:r w:rsidRPr="009215F9">
          <w:rPr>
            <w:rStyle w:val="Hyperlink"/>
            <w:rFonts w:eastAsiaTheme="majorEastAsia"/>
            <w:noProof/>
          </w:rPr>
          <w:t>18. Exceptions to Certification for Paperwork Reduction Act Submissions</w:t>
        </w:r>
        <w:r>
          <w:rPr>
            <w:noProof/>
            <w:webHidden/>
          </w:rPr>
          <w:tab/>
        </w:r>
        <w:r>
          <w:rPr>
            <w:noProof/>
            <w:webHidden/>
          </w:rPr>
          <w:fldChar w:fldCharType="begin"/>
        </w:r>
        <w:r>
          <w:rPr>
            <w:noProof/>
            <w:webHidden/>
          </w:rPr>
          <w:instrText xml:space="preserve"> PAGEREF _Toc410390887 \h </w:instrText>
        </w:r>
        <w:r>
          <w:rPr>
            <w:noProof/>
            <w:webHidden/>
          </w:rPr>
          <w:fldChar w:fldCharType="separate"/>
        </w:r>
        <w:r>
          <w:rPr>
            <w:noProof/>
            <w:webHidden/>
          </w:rPr>
          <w:t>9</w:t>
        </w:r>
        <w:r>
          <w:rPr>
            <w:noProof/>
            <w:webHidden/>
          </w:rPr>
          <w:fldChar w:fldCharType="end"/>
        </w:r>
      </w:hyperlink>
    </w:p>
    <w:p w:rsidR="00B73458" w:rsidRPr="00B975C8" w:rsidP="00B73458" w14:paraId="3B071A52" w14:textId="77777777">
      <w:pPr>
        <w:pStyle w:val="TOC1"/>
        <w:tabs>
          <w:tab w:val="right" w:leader="dot" w:pos="8630"/>
        </w:tabs>
        <w:rPr>
          <w:rFonts w:ascii="Calibri" w:hAnsi="Calibri"/>
          <w:noProof/>
          <w:sz w:val="22"/>
          <w:szCs w:val="22"/>
        </w:rPr>
      </w:pPr>
      <w:hyperlink w:anchor="_Toc410390888" w:history="1">
        <w:r w:rsidRPr="009215F9">
          <w:rPr>
            <w:rStyle w:val="Hyperlink"/>
            <w:rFonts w:eastAsiaTheme="majorEastAsia"/>
            <w:noProof/>
          </w:rPr>
          <w:t>List of Attachments</w:t>
        </w:r>
        <w:r>
          <w:rPr>
            <w:noProof/>
            <w:webHidden/>
          </w:rPr>
          <w:tab/>
        </w:r>
        <w:r>
          <w:rPr>
            <w:noProof/>
            <w:webHidden/>
          </w:rPr>
          <w:fldChar w:fldCharType="begin"/>
        </w:r>
        <w:r>
          <w:rPr>
            <w:noProof/>
            <w:webHidden/>
          </w:rPr>
          <w:instrText xml:space="preserve"> PAGEREF _Toc410390888 \h </w:instrText>
        </w:r>
        <w:r>
          <w:rPr>
            <w:noProof/>
            <w:webHidden/>
          </w:rPr>
          <w:fldChar w:fldCharType="separate"/>
        </w:r>
        <w:r>
          <w:rPr>
            <w:noProof/>
            <w:webHidden/>
          </w:rPr>
          <w:t>10</w:t>
        </w:r>
        <w:r>
          <w:rPr>
            <w:noProof/>
            <w:webHidden/>
          </w:rPr>
          <w:fldChar w:fldCharType="end"/>
        </w:r>
      </w:hyperlink>
    </w:p>
    <w:p w:rsidR="00B73458" w:rsidP="00B73458" w14:paraId="1A898765" w14:textId="77777777">
      <w:r>
        <w:rPr>
          <w:b/>
          <w:bCs/>
          <w:noProof/>
        </w:rPr>
        <w:fldChar w:fldCharType="end"/>
      </w:r>
    </w:p>
    <w:p w:rsidR="00B73458" w:rsidRPr="00C77027" w:rsidP="00B73458" w14:paraId="291BEBBC" w14:textId="77777777">
      <w:pPr>
        <w:rPr>
          <w:b/>
        </w:rPr>
      </w:pPr>
    </w:p>
    <w:p w:rsidR="007A09BF" w:rsidP="00B73458" w14:paraId="4364478F" w14:textId="5C7D72A3">
      <w:pPr>
        <w:jc w:val="center"/>
        <w:rPr>
          <w:b/>
        </w:rPr>
      </w:pPr>
      <w:r>
        <w:rPr>
          <w:b/>
        </w:rPr>
        <w:br w:type="page"/>
      </w:r>
    </w:p>
    <w:p w:rsidR="007A09BF" w:rsidP="00B73458" w14:paraId="39473100" w14:textId="0B38143F">
      <w:pPr>
        <w:jc w:val="center"/>
        <w:rPr>
          <w:b/>
        </w:rPr>
      </w:pPr>
      <w:r w:rsidRPr="007A09BF">
        <w:rPr>
          <w:b/>
        </w:rPr>
        <w:t>2026 Andes Hantavirus Cruise Passenger and Traveler Contact Monitoring</w:t>
      </w:r>
    </w:p>
    <w:p w:rsidR="00B73458" w:rsidRPr="00A50AB4" w:rsidP="00B73458" w14:paraId="44D26938" w14:textId="77777777">
      <w:pPr>
        <w:jc w:val="center"/>
        <w:rPr>
          <w:b/>
        </w:rPr>
      </w:pPr>
      <w:r>
        <w:rPr>
          <w:b/>
        </w:rPr>
        <w:t>Request for OMB Approval of an Emergency Clearance Request</w:t>
      </w:r>
    </w:p>
    <w:p w:rsidR="00B73458" w:rsidRPr="00C77027" w:rsidP="00B73458" w14:paraId="571B6607" w14:textId="77777777">
      <w:pPr>
        <w:jc w:val="center"/>
      </w:pPr>
      <w:r>
        <w:rPr>
          <w:bCs/>
          <w:noProof/>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266065</wp:posOffset>
                </wp:positionV>
                <wp:extent cx="5676900" cy="4222115"/>
                <wp:effectExtent l="0" t="0" r="19050" b="26035"/>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6900" cy="4222115"/>
                        </a:xfrm>
                        <a:prstGeom prst="rect">
                          <a:avLst/>
                        </a:prstGeom>
                        <a:solidFill>
                          <a:srgbClr val="FFFFFF"/>
                        </a:solidFill>
                        <a:ln w="9525">
                          <a:solidFill>
                            <a:srgbClr val="000000"/>
                          </a:solidFill>
                          <a:miter lim="800000"/>
                          <a:headEnd/>
                          <a:tailEnd/>
                        </a:ln>
                      </wps:spPr>
                      <wps:txbx>
                        <w:txbxContent>
                          <w:p w:rsidR="00B73458" w:rsidRPr="00B863D2" w:rsidP="00B73458" w14:textId="77777777">
                            <w:pPr>
                              <w:pStyle w:val="ListParagraph"/>
                              <w:numPr>
                                <w:ilvl w:val="0"/>
                                <w:numId w:val="1"/>
                              </w:numPr>
                              <w:spacing w:after="200" w:line="276" w:lineRule="auto"/>
                            </w:pPr>
                            <w:r w:rsidRPr="00B863D2">
                              <w:rPr>
                                <w:b/>
                              </w:rPr>
                              <w:t xml:space="preserve">Goal of the study: </w:t>
                            </w:r>
                            <w:r w:rsidRPr="00B863D2">
                              <w:t xml:space="preserve">The goal of this information collection is to </w:t>
                            </w:r>
                            <w:r>
                              <w:t xml:space="preserve">monitor cruise passengers of the M/V Hondius and contacts of either confirmed or probable cases travelers </w:t>
                            </w:r>
                            <w:r w:rsidRPr="00B863D2">
                              <w:t xml:space="preserve">that are </w:t>
                            </w:r>
                            <w:r>
                              <w:t>identified</w:t>
                            </w:r>
                            <w:r w:rsidRPr="00B863D2">
                              <w:t xml:space="preserve"> by jurisdictions </w:t>
                            </w:r>
                            <w:r>
                              <w:t>and identify potential exposure, risks and new cases</w:t>
                            </w:r>
                            <w:r w:rsidRPr="00B863D2">
                              <w:t xml:space="preserve">. </w:t>
                            </w:r>
                          </w:p>
                          <w:p w:rsidR="00B73458" w:rsidRPr="00B863D2" w:rsidP="00B73458" w14:textId="77777777">
                            <w:pPr>
                              <w:pStyle w:val="ListParagraph"/>
                              <w:numPr>
                                <w:ilvl w:val="0"/>
                                <w:numId w:val="1"/>
                              </w:numPr>
                              <w:spacing w:after="200" w:line="276" w:lineRule="auto"/>
                            </w:pPr>
                            <w:r w:rsidRPr="00B863D2">
                              <w:rPr>
                                <w:b/>
                              </w:rPr>
                              <w:t xml:space="preserve">Intended use of the resulting data: </w:t>
                            </w:r>
                            <w:r w:rsidRPr="00B863D2">
                              <w:t xml:space="preserve">The information will be used to inform CDC state/local health department and interagency decision makers on </w:t>
                            </w:r>
                            <w:r>
                              <w:t>traveler and contact</w:t>
                            </w:r>
                            <w:r w:rsidRPr="00B863D2">
                              <w:t xml:space="preserve"> monitoring</w:t>
                            </w:r>
                            <w:r>
                              <w:t>, clinical cases management and discharge of persons identified as part of the cruise ship investigation</w:t>
                            </w:r>
                            <w:r w:rsidRPr="00B863D2">
                              <w:t>.</w:t>
                            </w:r>
                          </w:p>
                          <w:p w:rsidR="00B73458" w:rsidRPr="00AE293B" w:rsidP="00B73458" w14:textId="77777777">
                            <w:pPr>
                              <w:pStyle w:val="ListParagraph"/>
                              <w:numPr>
                                <w:ilvl w:val="0"/>
                                <w:numId w:val="1"/>
                              </w:numPr>
                              <w:spacing w:after="200" w:line="276" w:lineRule="auto"/>
                            </w:pPr>
                            <w:r w:rsidRPr="003641C7">
                              <w:rPr>
                                <w:b/>
                              </w:rPr>
                              <w:t xml:space="preserve">Methods to be used to collect: </w:t>
                            </w:r>
                            <w:r w:rsidRPr="003641C7">
                              <w:rPr>
                                <w:bCs/>
                              </w:rPr>
                              <w:t>State and</w:t>
                            </w:r>
                            <w:r w:rsidRPr="003641C7">
                              <w:rPr>
                                <w:b/>
                              </w:rPr>
                              <w:t xml:space="preserve"> </w:t>
                            </w:r>
                            <w:r>
                              <w:t>local health officials and CDC staff will complete traveler follow up evaluations developed by CDC and administered via paper data collection tools or electronic submissions that will be compiled into 1CDP secure databases.</w:t>
                            </w:r>
                            <w:r w:rsidRPr="00C7284C">
                              <w:t xml:space="preserve"> </w:t>
                            </w:r>
                          </w:p>
                          <w:p w:rsidR="00B73458" w:rsidRPr="00AE293B" w:rsidP="00B73458" w14:textId="77777777">
                            <w:pPr>
                              <w:pStyle w:val="ListParagraph"/>
                              <w:numPr>
                                <w:ilvl w:val="0"/>
                                <w:numId w:val="1"/>
                              </w:numPr>
                              <w:spacing w:after="200" w:line="276" w:lineRule="auto"/>
                            </w:pPr>
                            <w:r w:rsidRPr="001A58BE">
                              <w:rPr>
                                <w:b/>
                              </w:rPr>
                              <w:t>The subpopulation to be studied:</w:t>
                            </w:r>
                            <w:r>
                              <w:rPr>
                                <w:b/>
                              </w:rPr>
                              <w:t xml:space="preserve"> </w:t>
                            </w:r>
                            <w:r w:rsidRPr="00002637">
                              <w:t xml:space="preserve">The respondent universe for this information collection request is </w:t>
                            </w:r>
                            <w:r w:rsidRPr="00002637">
                              <w:rPr>
                                <w:bCs/>
                              </w:rPr>
                              <w:t>state and</w:t>
                            </w:r>
                            <w:r w:rsidRPr="00002637">
                              <w:rPr>
                                <w:b/>
                              </w:rPr>
                              <w:t xml:space="preserve"> </w:t>
                            </w:r>
                            <w:r w:rsidRPr="00002637">
                              <w:t xml:space="preserve">local health officials conducting monitoring and follow up activities related to travelers </w:t>
                            </w:r>
                            <w:r>
                              <w:t>who were abord the M/V Hondius and the travelers identified as contacts of confirmed and probable cases</w:t>
                            </w:r>
                            <w:r w:rsidRPr="00002637">
                              <w:t>.</w:t>
                            </w:r>
                          </w:p>
                          <w:p w:rsidR="00B73458" w:rsidRPr="00FC690B" w:rsidP="00B73458" w14:textId="77777777">
                            <w:pPr>
                              <w:pStyle w:val="ListParagraph"/>
                              <w:numPr>
                                <w:ilvl w:val="0"/>
                                <w:numId w:val="1"/>
                              </w:numPr>
                              <w:spacing w:after="200" w:line="276" w:lineRule="auto"/>
                            </w:pPr>
                            <w:r w:rsidRPr="001A58BE">
                              <w:rPr>
                                <w:b/>
                              </w:rPr>
                              <w:t>How data will be analyzed:</w:t>
                            </w:r>
                            <w:r>
                              <w:rPr>
                                <w:b/>
                              </w:rPr>
                              <w:t xml:space="preserve"> </w:t>
                            </w:r>
                            <w:r>
                              <w:rPr>
                                <w:bCs/>
                              </w:rPr>
                              <w:t>Data will be analyzed using standard statistical methods to help CDC identify risk factors, potential exposures and determine maximum monitoring period and discharge criteria and be provided to state and local health jurisdictions</w:t>
                            </w:r>
                            <w:r w:rsidRPr="00E827BB">
                              <w:t>.</w:t>
                            </w:r>
                            <w:r w:rsidRPr="00FC690B">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7pt;height:332.45pt;margin-top:20.95pt;margin-left:-6.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B73458" w:rsidRPr="00B863D2" w:rsidP="00B73458" w14:paraId="13E89399" w14:textId="77777777">
                      <w:pPr>
                        <w:pStyle w:val="ListParagraph"/>
                        <w:numPr>
                          <w:ilvl w:val="0"/>
                          <w:numId w:val="1"/>
                        </w:numPr>
                        <w:spacing w:after="200" w:line="276" w:lineRule="auto"/>
                      </w:pPr>
                      <w:r w:rsidRPr="00B863D2">
                        <w:rPr>
                          <w:b/>
                        </w:rPr>
                        <w:t xml:space="preserve">Goal of the study: </w:t>
                      </w:r>
                      <w:r w:rsidRPr="00B863D2">
                        <w:t xml:space="preserve">The goal of this information collection is to </w:t>
                      </w:r>
                      <w:r>
                        <w:t xml:space="preserve">monitor cruise passengers of the M/V Hondius and contacts of either confirmed or probable cases travelers </w:t>
                      </w:r>
                      <w:r w:rsidRPr="00B863D2">
                        <w:t xml:space="preserve">that are </w:t>
                      </w:r>
                      <w:r>
                        <w:t>identified</w:t>
                      </w:r>
                      <w:r w:rsidRPr="00B863D2">
                        <w:t xml:space="preserve"> by jurisdictions </w:t>
                      </w:r>
                      <w:r>
                        <w:t>and identify potential exposure, risks and new cases</w:t>
                      </w:r>
                      <w:r w:rsidRPr="00B863D2">
                        <w:t xml:space="preserve">. </w:t>
                      </w:r>
                    </w:p>
                    <w:p w:rsidR="00B73458" w:rsidRPr="00B863D2" w:rsidP="00B73458" w14:paraId="5C73068F" w14:textId="77777777">
                      <w:pPr>
                        <w:pStyle w:val="ListParagraph"/>
                        <w:numPr>
                          <w:ilvl w:val="0"/>
                          <w:numId w:val="1"/>
                        </w:numPr>
                        <w:spacing w:after="200" w:line="276" w:lineRule="auto"/>
                      </w:pPr>
                      <w:r w:rsidRPr="00B863D2">
                        <w:rPr>
                          <w:b/>
                        </w:rPr>
                        <w:t xml:space="preserve">Intended use of the resulting data: </w:t>
                      </w:r>
                      <w:r w:rsidRPr="00B863D2">
                        <w:t xml:space="preserve">The information will be used to inform CDC state/local health department and interagency decision makers on </w:t>
                      </w:r>
                      <w:r>
                        <w:t>traveler and contact</w:t>
                      </w:r>
                      <w:r w:rsidRPr="00B863D2">
                        <w:t xml:space="preserve"> monitoring</w:t>
                      </w:r>
                      <w:r>
                        <w:t>, clinical cases management and discharge of persons identified as part of the cruise ship investigation</w:t>
                      </w:r>
                      <w:r w:rsidRPr="00B863D2">
                        <w:t>.</w:t>
                      </w:r>
                    </w:p>
                    <w:p w:rsidR="00B73458" w:rsidRPr="00AE293B" w:rsidP="00B73458" w14:paraId="43CF7BB5" w14:textId="77777777">
                      <w:pPr>
                        <w:pStyle w:val="ListParagraph"/>
                        <w:numPr>
                          <w:ilvl w:val="0"/>
                          <w:numId w:val="1"/>
                        </w:numPr>
                        <w:spacing w:after="200" w:line="276" w:lineRule="auto"/>
                      </w:pPr>
                      <w:r w:rsidRPr="003641C7">
                        <w:rPr>
                          <w:b/>
                        </w:rPr>
                        <w:t xml:space="preserve">Methods to be used to collect: </w:t>
                      </w:r>
                      <w:r w:rsidRPr="003641C7">
                        <w:rPr>
                          <w:bCs/>
                        </w:rPr>
                        <w:t>State and</w:t>
                      </w:r>
                      <w:r w:rsidRPr="003641C7">
                        <w:rPr>
                          <w:b/>
                        </w:rPr>
                        <w:t xml:space="preserve"> </w:t>
                      </w:r>
                      <w:r>
                        <w:t>local health officials and CDC staff will complete traveler follow up evaluations developed by CDC and administered via paper data collection tools or electronic submissions that will be compiled into 1CDP secure databases.</w:t>
                      </w:r>
                      <w:r w:rsidRPr="00C7284C">
                        <w:t xml:space="preserve"> </w:t>
                      </w:r>
                    </w:p>
                    <w:p w:rsidR="00B73458" w:rsidRPr="00AE293B" w:rsidP="00B73458" w14:paraId="09C9ADD7" w14:textId="77777777">
                      <w:pPr>
                        <w:pStyle w:val="ListParagraph"/>
                        <w:numPr>
                          <w:ilvl w:val="0"/>
                          <w:numId w:val="1"/>
                        </w:numPr>
                        <w:spacing w:after="200" w:line="276" w:lineRule="auto"/>
                      </w:pPr>
                      <w:r w:rsidRPr="001A58BE">
                        <w:rPr>
                          <w:b/>
                        </w:rPr>
                        <w:t>The subpopulation to be studied:</w:t>
                      </w:r>
                      <w:r>
                        <w:rPr>
                          <w:b/>
                        </w:rPr>
                        <w:t xml:space="preserve"> </w:t>
                      </w:r>
                      <w:r w:rsidRPr="00002637">
                        <w:t xml:space="preserve">The respondent universe for this information collection request is </w:t>
                      </w:r>
                      <w:r w:rsidRPr="00002637">
                        <w:rPr>
                          <w:bCs/>
                        </w:rPr>
                        <w:t>state and</w:t>
                      </w:r>
                      <w:r w:rsidRPr="00002637">
                        <w:rPr>
                          <w:b/>
                        </w:rPr>
                        <w:t xml:space="preserve"> </w:t>
                      </w:r>
                      <w:r w:rsidRPr="00002637">
                        <w:t xml:space="preserve">local health officials conducting monitoring and follow up activities related to travelers </w:t>
                      </w:r>
                      <w:r>
                        <w:t>who were abord the M/V Hondius and the travelers identified as contacts of confirmed and probable cases</w:t>
                      </w:r>
                      <w:r w:rsidRPr="00002637">
                        <w:t>.</w:t>
                      </w:r>
                    </w:p>
                    <w:p w:rsidR="00B73458" w:rsidRPr="00FC690B" w:rsidP="00B73458" w14:paraId="191ED7D7" w14:textId="77777777">
                      <w:pPr>
                        <w:pStyle w:val="ListParagraph"/>
                        <w:numPr>
                          <w:ilvl w:val="0"/>
                          <w:numId w:val="1"/>
                        </w:numPr>
                        <w:spacing w:after="200" w:line="276" w:lineRule="auto"/>
                      </w:pPr>
                      <w:r w:rsidRPr="001A58BE">
                        <w:rPr>
                          <w:b/>
                        </w:rPr>
                        <w:t>How data will be analyzed:</w:t>
                      </w:r>
                      <w:r>
                        <w:rPr>
                          <w:b/>
                        </w:rPr>
                        <w:t xml:space="preserve"> </w:t>
                      </w:r>
                      <w:r>
                        <w:rPr>
                          <w:bCs/>
                        </w:rPr>
                        <w:t>Data will be analyzed using standard statistical methods to help CDC identify risk factors, potential exposures and determine maximum monitoring period and discharge criteria and be provided to state and local health jurisdictions</w:t>
                      </w:r>
                      <w:r w:rsidRPr="00E827BB">
                        <w:t>.</w:t>
                      </w:r>
                      <w:r w:rsidRPr="00FC690B">
                        <w:t xml:space="preserve"> </w:t>
                      </w:r>
                    </w:p>
                  </w:txbxContent>
                </v:textbox>
                <w10:wrap type="square"/>
              </v:shape>
            </w:pict>
          </mc:Fallback>
        </mc:AlternateContent>
      </w:r>
      <w:r w:rsidRPr="00A50AB4">
        <w:rPr>
          <w:b/>
        </w:rPr>
        <w:t>Supporting Statement</w:t>
      </w:r>
      <w:r>
        <w:rPr>
          <w:b/>
        </w:rPr>
        <w:t xml:space="preserve"> A</w:t>
      </w:r>
    </w:p>
    <w:p w:rsidR="00B73458" w:rsidP="00B73458" w14:paraId="51260ED5" w14:textId="77777777">
      <w:pPr>
        <w:spacing w:after="120"/>
        <w:rPr>
          <w:bCs/>
        </w:rPr>
      </w:pPr>
    </w:p>
    <w:p w:rsidR="00B73458" w:rsidP="00B73458" w14:paraId="3C13D79F" w14:textId="77777777">
      <w:pPr>
        <w:rPr>
          <w:color w:val="000000"/>
        </w:rPr>
      </w:pPr>
      <w:r>
        <w:t>CDC is requesting an emergency clearance for this information collection for 180 days.</w:t>
      </w:r>
    </w:p>
    <w:p w:rsidR="00B73458" w:rsidP="00B73458" w14:paraId="6043CB39" w14:textId="77777777"/>
    <w:p w:rsidR="00B73458" w:rsidRPr="004C52D9" w:rsidP="00B73458" w14:paraId="23D82918" w14:textId="77777777">
      <w:pPr>
        <w:pStyle w:val="Heading1"/>
        <w:rPr>
          <w:rFonts w:ascii="Times New Roman" w:hAnsi="Times New Roman"/>
          <w:sz w:val="24"/>
          <w:szCs w:val="24"/>
        </w:rPr>
      </w:pPr>
      <w:bookmarkStart w:id="2" w:name="_Toc410390869"/>
      <w:r w:rsidRPr="004C52D9">
        <w:rPr>
          <w:rFonts w:ascii="Times New Roman" w:hAnsi="Times New Roman"/>
          <w:sz w:val="24"/>
          <w:szCs w:val="24"/>
        </w:rPr>
        <w:t>A. Justification</w:t>
      </w:r>
      <w:bookmarkEnd w:id="2"/>
    </w:p>
    <w:p w:rsidR="00B73458" w:rsidP="00B73458" w14:paraId="36AD39F6" w14:textId="77777777">
      <w:pPr>
        <w:pStyle w:val="Heading1"/>
        <w:spacing w:before="0" w:after="0"/>
        <w:rPr>
          <w:rFonts w:ascii="Times New Roman" w:hAnsi="Times New Roman"/>
          <w:sz w:val="24"/>
          <w:szCs w:val="24"/>
        </w:rPr>
      </w:pPr>
      <w:bookmarkStart w:id="3" w:name="_Toc378234003"/>
      <w:bookmarkStart w:id="4" w:name="_Toc410390870"/>
    </w:p>
    <w:p w:rsidR="00B73458" w:rsidRPr="004C52D9" w:rsidP="00B73458" w14:paraId="2E956DB5" w14:textId="77777777">
      <w:pPr>
        <w:pStyle w:val="Heading1"/>
        <w:spacing w:before="0" w:after="0"/>
        <w:rPr>
          <w:rFonts w:ascii="Times New Roman" w:hAnsi="Times New Roman"/>
          <w:sz w:val="24"/>
          <w:szCs w:val="24"/>
        </w:rPr>
      </w:pPr>
      <w:r w:rsidRPr="004C52D9">
        <w:rPr>
          <w:rFonts w:ascii="Times New Roman" w:hAnsi="Times New Roman"/>
          <w:sz w:val="24"/>
          <w:szCs w:val="24"/>
        </w:rPr>
        <w:t>1. Circumstances Making the Collection of Information Necessary</w:t>
      </w:r>
      <w:bookmarkEnd w:id="3"/>
      <w:bookmarkEnd w:id="4"/>
    </w:p>
    <w:p w:rsidR="00B73458" w:rsidRPr="00C77027" w:rsidP="00B73458" w14:paraId="359E7C57" w14:textId="77777777">
      <w:pPr>
        <w:rPr>
          <w:b/>
        </w:rPr>
      </w:pPr>
    </w:p>
    <w:p w:rsidR="00B73458" w:rsidP="00B73458" w14:paraId="1C14E94E" w14:textId="77777777">
      <w:pPr>
        <w:rPr>
          <w:rFonts w:cs="Arial"/>
        </w:rPr>
      </w:pPr>
      <w:r w:rsidRPr="00AE4071">
        <w:rPr>
          <w:rFonts w:cs="Arial"/>
        </w:rPr>
        <w:t xml:space="preserve">The Centers for Disease Control and Prevention (CDC), National Center for Emerging and Zoonotic Infectious Diseases (NCEZID), Division of </w:t>
      </w:r>
      <w:r>
        <w:rPr>
          <w:rFonts w:cs="Arial"/>
        </w:rPr>
        <w:t xml:space="preserve">High-Consequence Pathogens and Pathology (DHCPP) </w:t>
      </w:r>
      <w:r w:rsidRPr="00AE4071">
        <w:rPr>
          <w:rFonts w:cs="Arial"/>
        </w:rPr>
        <w:t xml:space="preserve">requests an emergency </w:t>
      </w:r>
      <w:r w:rsidRPr="007A09BF">
        <w:rPr>
          <w:rFonts w:cs="Arial"/>
        </w:rPr>
        <w:t>180-day approval</w:t>
      </w:r>
      <w:r w:rsidRPr="00AE4071">
        <w:rPr>
          <w:rFonts w:cs="Arial"/>
        </w:rPr>
        <w:t xml:space="preserve"> for a </w:t>
      </w:r>
      <w:r>
        <w:rPr>
          <w:rFonts w:cs="Arial"/>
        </w:rPr>
        <w:t>n</w:t>
      </w:r>
      <w:r w:rsidRPr="00AE4071">
        <w:rPr>
          <w:rFonts w:cs="Arial"/>
        </w:rPr>
        <w:t xml:space="preserve">ew </w:t>
      </w:r>
      <w:r>
        <w:rPr>
          <w:rFonts w:cs="Arial"/>
        </w:rPr>
        <w:t>i</w:t>
      </w:r>
      <w:r w:rsidRPr="00AE4071">
        <w:rPr>
          <w:rFonts w:cs="Arial"/>
        </w:rPr>
        <w:t xml:space="preserve">nformation </w:t>
      </w:r>
      <w:r>
        <w:rPr>
          <w:rFonts w:cs="Arial"/>
        </w:rPr>
        <w:t>c</w:t>
      </w:r>
      <w:r w:rsidRPr="00AE4071">
        <w:rPr>
          <w:rFonts w:cs="Arial"/>
        </w:rPr>
        <w:t>ollection.</w:t>
      </w:r>
    </w:p>
    <w:p w:rsidR="00B73458" w:rsidP="00B73458" w14:paraId="648BCC58" w14:textId="77777777">
      <w:pPr>
        <w:widowControl w:val="0"/>
      </w:pPr>
    </w:p>
    <w:p w:rsidR="00B73458" w:rsidRPr="007A09BF" w:rsidP="007A09BF" w14:paraId="317DAC83" w14:textId="5D52FB18">
      <w:pPr>
        <w:jc w:val="both"/>
        <w:rPr>
          <w:rFonts w:eastAsiaTheme="majorEastAsia"/>
        </w:rPr>
      </w:pPr>
      <w:r w:rsidRPr="006E00DF">
        <w:rPr>
          <w:rFonts w:eastAsiaTheme="majorEastAsia"/>
        </w:rPr>
        <w:t>On May 4, 2026, CDC received a report of six hantavirus cases (two confirmed and four suspected) associated with cruise ship travel. The cruise on board the MV Hondius (Oceanwide Expeditions) departed from Ushuaia, Argentina, on April 1, 2026. The ship is carrying 147 passengers and crew. As of 4 May 2026, seven cases (two laboratory confirmed cases of hantavirus and five suspected cases) have been identified, including three deaths, one critically ill patient and three individuals reporting mild symptoms. The outbreak is being managed through coordinated international</w:t>
      </w:r>
      <w:r>
        <w:rPr>
          <w:rFonts w:eastAsiaTheme="majorEastAsia"/>
        </w:rPr>
        <w:t xml:space="preserve"> and domestic</w:t>
      </w:r>
      <w:r w:rsidRPr="006E00DF">
        <w:rPr>
          <w:rFonts w:eastAsiaTheme="majorEastAsia"/>
        </w:rPr>
        <w:t xml:space="preserve"> response, and </w:t>
      </w:r>
      <w:r w:rsidRPr="006E00DF">
        <w:rPr>
          <w:rFonts w:eastAsiaTheme="majorEastAsia"/>
        </w:rPr>
        <w:t xml:space="preserve">includes in-depth </w:t>
      </w:r>
      <w:r>
        <w:rPr>
          <w:rFonts w:eastAsiaTheme="majorEastAsia"/>
        </w:rPr>
        <w:t xml:space="preserve">case and contact </w:t>
      </w:r>
      <w:r w:rsidRPr="006E00DF">
        <w:rPr>
          <w:rFonts w:eastAsiaTheme="majorEastAsia"/>
        </w:rPr>
        <w:t xml:space="preserve">investigations, case isolation and care, medical evacuation and laboratory investigations. </w:t>
      </w:r>
    </w:p>
    <w:p w:rsidR="00B73458" w:rsidP="00B73458" w14:paraId="3D4FEB37" w14:textId="77777777">
      <w:pPr>
        <w:widowControl w:val="0"/>
        <w:rPr>
          <w:rFonts w:cs="Shruti"/>
        </w:rPr>
      </w:pPr>
    </w:p>
    <w:p w:rsidR="00B73458" w:rsidRPr="006E00DF" w:rsidP="00B73458" w14:paraId="3DFF7DB7" w14:textId="77777777">
      <w:pPr>
        <w:pStyle w:val="NoSpacing"/>
        <w:jc w:val="both"/>
      </w:pPr>
      <w:r w:rsidRPr="006E00DF">
        <w:t>CDC is working with domestic and international public health authorities to support response to hantavirus exposure. CDC will deploy subject matter experts or provide technical assistance to support surveillance, case investigation, contact monitoring, laboratory diagnostics, and infection prevention and control activities. Resources will also be mobilized to strengthen laboratory testing capacity, epidemiologic investigation, and implementation of control measures.</w:t>
      </w:r>
    </w:p>
    <w:p w:rsidR="00B73458" w:rsidRPr="006E00DF" w:rsidP="00B73458" w14:paraId="0D869C11" w14:textId="77777777">
      <w:pPr>
        <w:pStyle w:val="NoSpacing"/>
        <w:jc w:val="both"/>
      </w:pPr>
    </w:p>
    <w:p w:rsidR="00B73458" w:rsidRPr="006E00DF" w:rsidP="00B73458" w14:paraId="001DEFB4" w14:textId="77777777">
      <w:pPr>
        <w:pStyle w:val="NoSpacing"/>
        <w:jc w:val="both"/>
      </w:pPr>
      <w:r w:rsidRPr="006E00DF">
        <w:t>As part of the outbreak response, CDC will assist public health authorities with identifying and characterizing suspected, probable, and confirmed cases of hantavirus infection, including collection and analysis of demographic, clinical, and exposure information. Additional cases may be identified through retrospective case finding or ongoing surveillance activities, particularly when the source and extent of exposure are not fully characterized.</w:t>
      </w:r>
    </w:p>
    <w:p w:rsidR="00B73458" w:rsidRPr="006E00DF" w:rsidP="00B73458" w14:paraId="1781705C" w14:textId="77777777">
      <w:pPr>
        <w:pStyle w:val="NoSpacing"/>
        <w:jc w:val="both"/>
      </w:pPr>
    </w:p>
    <w:p w:rsidR="00B73458" w:rsidRPr="006E00DF" w:rsidP="00B73458" w14:paraId="5BC03417" w14:textId="15D380DA">
      <w:pPr>
        <w:pStyle w:val="NoSpacing"/>
        <w:jc w:val="both"/>
      </w:pPr>
      <w:r w:rsidRPr="006E00DF">
        <w:t>CDC will support contact identification, risk stratification, and active monitoring of individuals exposed to confirmed or suspected cases. Monitoring activities may include daily symptom assessment and escalation for clinical evaluation and laboratory testing if symptoms consistent with hantavirus infection develop.</w:t>
      </w:r>
      <w:r>
        <w:t xml:space="preserve"> </w:t>
      </w:r>
      <w:r w:rsidRPr="001B3A92">
        <w:t>CDC</w:t>
      </w:r>
      <w:r w:rsidRPr="001B3A92" w:rsidR="000E4FE6">
        <w:t>’</w:t>
      </w:r>
      <w:r w:rsidRPr="001B3A92">
        <w:t xml:space="preserve">s authority is contained in Public Health Service Act </w:t>
      </w:r>
      <w:r w:rsidRPr="0028215E">
        <w:t>(42 U.S.C. 241) (</w:t>
      </w:r>
      <w:r w:rsidRPr="001B3A92">
        <w:t xml:space="preserve">Attachment </w:t>
      </w:r>
      <w:r w:rsidR="00541D76">
        <w:t>A</w:t>
      </w:r>
      <w:r w:rsidRPr="001B3A92">
        <w:t>1)</w:t>
      </w:r>
      <w:r w:rsidR="001B3A92">
        <w:t>.</w:t>
      </w:r>
    </w:p>
    <w:p w:rsidR="00B73458" w:rsidP="00B73458" w14:paraId="779B472D" w14:textId="77777777">
      <w:pPr>
        <w:widowControl w:val="0"/>
        <w:rPr>
          <w:rFonts w:cs="Shruti"/>
        </w:rPr>
      </w:pPr>
    </w:p>
    <w:p w:rsidR="00B73458" w:rsidP="00B73458" w14:paraId="63706835" w14:textId="77777777">
      <w:pPr>
        <w:widowControl w:val="0"/>
        <w:rPr>
          <w:rFonts w:cs="Shruti"/>
        </w:rPr>
      </w:pPr>
    </w:p>
    <w:p w:rsidR="00B73458" w:rsidRPr="004C52D9" w:rsidP="00B73458" w14:paraId="6A5AB0FD" w14:textId="77777777">
      <w:pPr>
        <w:pStyle w:val="Heading1"/>
        <w:spacing w:before="0" w:after="0"/>
        <w:rPr>
          <w:rFonts w:ascii="Times New Roman" w:hAnsi="Times New Roman"/>
          <w:sz w:val="24"/>
          <w:szCs w:val="24"/>
        </w:rPr>
      </w:pPr>
      <w:bookmarkStart w:id="5" w:name="_Toc378234004"/>
      <w:bookmarkStart w:id="6" w:name="_Toc410390871"/>
      <w:r w:rsidRPr="004C52D9">
        <w:rPr>
          <w:rFonts w:ascii="Times New Roman" w:hAnsi="Times New Roman"/>
          <w:sz w:val="24"/>
          <w:szCs w:val="24"/>
        </w:rPr>
        <w:t>2</w:t>
      </w:r>
      <w:r w:rsidRPr="004C52D9">
        <w:rPr>
          <w:rFonts w:ascii="Times New Roman" w:hAnsi="Times New Roman"/>
          <w:sz w:val="24"/>
          <w:szCs w:val="24"/>
        </w:rPr>
        <w:t>.  Purpose</w:t>
      </w:r>
      <w:r w:rsidRPr="004C52D9">
        <w:rPr>
          <w:rFonts w:ascii="Times New Roman" w:hAnsi="Times New Roman"/>
          <w:sz w:val="24"/>
          <w:szCs w:val="24"/>
        </w:rPr>
        <w:t xml:space="preserve"> and Use of Information Collection</w:t>
      </w:r>
      <w:bookmarkEnd w:id="5"/>
      <w:bookmarkEnd w:id="6"/>
    </w:p>
    <w:p w:rsidR="00B73458" w:rsidRPr="00523EA5" w:rsidP="00B73458" w14:paraId="3444BD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73458" w:rsidP="00B73458" w14:paraId="4C31CD17" w14:textId="5377B051">
      <w:pPr>
        <w:rPr>
          <w:bCs/>
        </w:rPr>
      </w:pPr>
      <w:r>
        <w:rPr>
          <w:bCs/>
        </w:rPr>
        <w:t xml:space="preserve">The purpose of this information collection is to </w:t>
      </w:r>
      <w:r w:rsidRPr="00B863D2">
        <w:t xml:space="preserve">inform CDC state/local health department and interagency decision makers on </w:t>
      </w:r>
      <w:r>
        <w:t>traveler and contact</w:t>
      </w:r>
      <w:r w:rsidRPr="00B863D2">
        <w:t xml:space="preserve"> monitoring</w:t>
      </w:r>
      <w:r>
        <w:t>, clinical case management and discharge of persons identified as part of the cruise ship investigation</w:t>
      </w:r>
      <w:r w:rsidRPr="00B863D2">
        <w:t>.</w:t>
      </w:r>
      <w:r>
        <w:rPr>
          <w:bCs/>
        </w:rPr>
        <w:t xml:space="preserve"> This information will be used to </w:t>
      </w:r>
      <w:r w:rsidRPr="006E00DF">
        <w:rPr>
          <w:bCs/>
        </w:rPr>
        <w:t xml:space="preserve">1) </w:t>
      </w:r>
      <w:r>
        <w:rPr>
          <w:bCs/>
        </w:rPr>
        <w:t>c</w:t>
      </w:r>
      <w:r w:rsidRPr="006E00DF">
        <w:rPr>
          <w:bCs/>
        </w:rPr>
        <w:t xml:space="preserve">onduct case investigations and active monitoring of contacts data that are identified during hantavirus exposure events in domestic and international settings; 2) </w:t>
      </w:r>
      <w:r>
        <w:rPr>
          <w:bCs/>
        </w:rPr>
        <w:t>a</w:t>
      </w:r>
      <w:r w:rsidRPr="006E00DF">
        <w:rPr>
          <w:bCs/>
        </w:rPr>
        <w:t>nalyze epidemiologic, clinical, and laboratory data for cases and contacts to characterize the exposure event, identify transmission patterns (including potential person-to-person transmission for Andes virus), and guide control strategies;</w:t>
      </w:r>
      <w:r>
        <w:rPr>
          <w:bCs/>
        </w:rPr>
        <w:t xml:space="preserve"> </w:t>
      </w:r>
      <w:r w:rsidRPr="006E00DF">
        <w:rPr>
          <w:bCs/>
        </w:rPr>
        <w:t xml:space="preserve">3) </w:t>
      </w:r>
      <w:r>
        <w:rPr>
          <w:bCs/>
        </w:rPr>
        <w:t>g</w:t>
      </w:r>
      <w:r w:rsidRPr="006E00DF">
        <w:rPr>
          <w:bCs/>
        </w:rPr>
        <w:t>enerate reports describing demographic characteristics, clinical presentation, and timelines (e.g., exposure to symptom onset, symptom onset to detection) to inform response decision-making</w:t>
      </w:r>
      <w:r>
        <w:rPr>
          <w:bCs/>
        </w:rPr>
        <w:t>; and 4)</w:t>
      </w:r>
      <w:r w:rsidRPr="006E00DF">
        <w:rPr>
          <w:bCs/>
        </w:rPr>
        <w:t xml:space="preserve"> </w:t>
      </w:r>
      <w:r>
        <w:rPr>
          <w:bCs/>
        </w:rPr>
        <w:t>inform the development of future guidance and recommendations for post-arrival traveler management for this current outbreak as well as future outbreaks of high-consequence pathogens.</w:t>
      </w:r>
    </w:p>
    <w:p w:rsidR="00B73458" w:rsidP="00B73458" w14:paraId="2D95DBF9" w14:textId="77777777">
      <w:pPr>
        <w:rPr>
          <w:bCs/>
        </w:rPr>
      </w:pPr>
    </w:p>
    <w:p w:rsidR="00B73458" w:rsidP="00B73458" w14:paraId="6924B985" w14:textId="77777777">
      <w:pPr>
        <w:rPr>
          <w:bCs/>
        </w:rPr>
      </w:pPr>
      <w:r>
        <w:rPr>
          <w:bCs/>
        </w:rPr>
        <w:t xml:space="preserve">CDC is currently sharing case and contact information as well as public health assessment of exposure risk to hantavirus for both passengers and travelers identified as contacts with state and local health departments through existing data-sharing infrastructure. State and local health departments utilize the contact information provided by CDC to prioritize and identify the level of follow-up needed based on the </w:t>
      </w:r>
      <w:r>
        <w:rPr>
          <w:bCs/>
        </w:rPr>
        <w:t>level of risk</w:t>
      </w:r>
      <w:r>
        <w:rPr>
          <w:bCs/>
        </w:rPr>
        <w:t xml:space="preserve"> of exposure to confirmed and probable cases of hantavirus and determine if additional targeted public health measures are necessary.  </w:t>
      </w:r>
    </w:p>
    <w:p w:rsidR="00B73458" w:rsidP="00B73458" w14:paraId="40EE09E5" w14:textId="77777777">
      <w:pPr>
        <w:rPr>
          <w:bCs/>
        </w:rPr>
      </w:pPr>
    </w:p>
    <w:p w:rsidR="00B73458" w:rsidP="00B73458" w14:paraId="06FE6339" w14:textId="77777777">
      <w:r>
        <w:t xml:space="preserve">State/local health department partners are contacting travelers </w:t>
      </w:r>
      <w:r>
        <w:t>in order to</w:t>
      </w:r>
      <w:r>
        <w:t xml:space="preserve"> determine if they are symptomatic and require additional screening and testing for hantavirus. The purpose of this data collection using assessment surveys will be to inform state and local health departments regarding case and contact traveler monitoring activities and help evaluate the usability of this public health risk assessment information provided by CDC for implementation of appropriate and effective outbreak control measures. </w:t>
      </w:r>
    </w:p>
    <w:p w:rsidR="00B73458" w:rsidRPr="001327F3" w:rsidP="00B73458" w14:paraId="68312AB1" w14:textId="77777777">
      <w:bookmarkStart w:id="7" w:name="_Toc378234005"/>
    </w:p>
    <w:p w:rsidR="00B73458" w:rsidRPr="004C52D9" w:rsidP="00B73458" w14:paraId="434A1915" w14:textId="77777777">
      <w:pPr>
        <w:pStyle w:val="Heading1"/>
        <w:spacing w:before="0" w:after="0"/>
        <w:rPr>
          <w:rFonts w:ascii="Times New Roman" w:hAnsi="Times New Roman"/>
          <w:sz w:val="24"/>
          <w:szCs w:val="24"/>
        </w:rPr>
      </w:pPr>
      <w:bookmarkStart w:id="8" w:name="_Toc410390872"/>
      <w:r w:rsidRPr="004C52D9">
        <w:rPr>
          <w:rFonts w:ascii="Times New Roman" w:hAnsi="Times New Roman"/>
          <w:sz w:val="24"/>
          <w:szCs w:val="24"/>
        </w:rPr>
        <w:t>3.   Use of Improved Information Technology and Burden Reduction</w:t>
      </w:r>
      <w:bookmarkEnd w:id="7"/>
      <w:bookmarkEnd w:id="8"/>
    </w:p>
    <w:p w:rsidR="00B73458" w:rsidP="00B73458" w14:paraId="0CB12122" w14:textId="77777777"/>
    <w:p w:rsidR="00B73458" w:rsidP="00B73458" w14:paraId="0250DB6A" w14:textId="46ADC9D9">
      <w:pPr>
        <w:pStyle w:val="ListParagraph"/>
        <w:ind w:left="0"/>
        <w:contextualSpacing w:val="0"/>
      </w:pPr>
      <w:r>
        <w:t>State and local health officials, with assistance of CDC technical staff will administer in-person assessments to returned passengers of M/V Hondius as well as identified travelers classified as contacts using both paper and electronic databases. Information is then entered into 1CDP,</w:t>
      </w:r>
      <w:r w:rsidRPr="00BE2D44">
        <w:t xml:space="preserve"> </w:t>
      </w:r>
      <w:r w:rsidRPr="0053565C">
        <w:t>a CDC-approved secure web application</w:t>
      </w:r>
      <w:r>
        <w:t>.</w:t>
      </w:r>
    </w:p>
    <w:p w:rsidR="00B73458" w:rsidP="00B73458" w14:paraId="72FE1E9D" w14:textId="77777777">
      <w:pPr>
        <w:pStyle w:val="ListParagraph"/>
        <w:ind w:left="0"/>
        <w:contextualSpacing w:val="0"/>
      </w:pPr>
    </w:p>
    <w:p w:rsidR="00B73458" w:rsidP="00B73458" w14:paraId="19E95437" w14:textId="69883174">
      <w:pPr>
        <w:pStyle w:val="ListParagraph"/>
        <w:ind w:left="0"/>
        <w:contextualSpacing w:val="0"/>
      </w:pPr>
      <w:r>
        <w:t>State and local health officials will be asked to collect health and travel risk assessments as well as periodic monitoring reporting and submit data electronically on a regular basis to</w:t>
      </w:r>
      <w:r w:rsidRPr="00031348">
        <w:t xml:space="preserve"> CDC via </w:t>
      </w:r>
      <w:r>
        <w:t xml:space="preserve">1CDP. </w:t>
      </w:r>
    </w:p>
    <w:p w:rsidR="00B73458" w:rsidP="00B73458" w14:paraId="27509108" w14:textId="77777777">
      <w:pPr>
        <w:pStyle w:val="ListParagraph"/>
        <w:ind w:left="0"/>
        <w:contextualSpacing w:val="0"/>
      </w:pPr>
    </w:p>
    <w:p w:rsidR="00B73458" w:rsidP="00B73458" w14:paraId="58D8AB95" w14:textId="77777777">
      <w:pPr>
        <w:pStyle w:val="ListParagraph"/>
        <w:ind w:left="0"/>
        <w:contextualSpacing w:val="0"/>
      </w:pPr>
      <w:r w:rsidRPr="00C34AC2">
        <w:t xml:space="preserve">Depending on the length of the outbreak, the use of </w:t>
      </w:r>
      <w:r>
        <w:t>other data collection platforms</w:t>
      </w:r>
      <w:r w:rsidRPr="00C34AC2">
        <w:t xml:space="preserve"> may be considered if a timely and accurate method of providing information to CDC can be identified and determined to be feasible and cost effective.</w:t>
      </w:r>
    </w:p>
    <w:p w:rsidR="00B73458" w:rsidP="00B73458" w14:paraId="7FA53980" w14:textId="77777777">
      <w:pPr>
        <w:pStyle w:val="Heading1"/>
        <w:spacing w:before="0" w:after="0"/>
        <w:rPr>
          <w:rFonts w:ascii="Times New Roman" w:hAnsi="Times New Roman"/>
          <w:sz w:val="24"/>
          <w:szCs w:val="24"/>
        </w:rPr>
      </w:pPr>
      <w:bookmarkStart w:id="9" w:name="_Toc378234006"/>
      <w:bookmarkStart w:id="10" w:name="_Toc410390873"/>
    </w:p>
    <w:p w:rsidR="00B73458" w:rsidP="00B73458" w14:paraId="009BDE03" w14:textId="77777777">
      <w:pPr>
        <w:pStyle w:val="Heading1"/>
        <w:spacing w:before="0" w:after="0"/>
        <w:rPr>
          <w:rFonts w:ascii="Times New Roman" w:hAnsi="Times New Roman"/>
          <w:sz w:val="24"/>
          <w:szCs w:val="24"/>
        </w:rPr>
      </w:pPr>
      <w:r w:rsidRPr="004C52D9">
        <w:rPr>
          <w:rFonts w:ascii="Times New Roman" w:hAnsi="Times New Roman"/>
          <w:sz w:val="24"/>
          <w:szCs w:val="24"/>
        </w:rPr>
        <w:t>4. Efforts to Identify Duplication and Use of Similar Information</w:t>
      </w:r>
      <w:bookmarkEnd w:id="9"/>
      <w:bookmarkEnd w:id="10"/>
    </w:p>
    <w:p w:rsidR="00B73458" w:rsidRPr="009A11C5" w:rsidP="00B73458" w14:paraId="76A0CBF7" w14:textId="77777777"/>
    <w:p w:rsidR="00B73458" w:rsidP="00B73458" w14:paraId="11BDA963" w14:textId="65A21383">
      <w:pPr>
        <w:widowControl w:val="0"/>
      </w:pPr>
      <w:r>
        <w:t xml:space="preserve">CDC has the </w:t>
      </w:r>
      <w:r>
        <w:rPr>
          <w:rFonts w:cs="Arial"/>
        </w:rPr>
        <w:t>regulatory authority for identification, investigation and control of high-consequence pathogens in the United States as well as quarantine-related public health risk assessments and evaluation activities at U.S. ports of entry</w:t>
      </w:r>
      <w:r w:rsidRPr="006E6D24">
        <w:t xml:space="preserve"> </w:t>
      </w:r>
      <w:r>
        <w:t xml:space="preserve">(42 </w:t>
      </w:r>
      <w:r w:rsidR="00C622AE">
        <w:t xml:space="preserve">CFR </w:t>
      </w:r>
      <w:r>
        <w:t>Part 71</w:t>
      </w:r>
      <w:r w:rsidR="00F74933">
        <w:t xml:space="preserve"> </w:t>
      </w:r>
      <w:r w:rsidR="00C622AE">
        <w:t>[</w:t>
      </w:r>
      <w:r w:rsidR="00F74933">
        <w:t>Foreign Quarantine</w:t>
      </w:r>
      <w:r w:rsidRPr="0028215E" w:rsidR="00C622AE">
        <w:t>]</w:t>
      </w:r>
      <w:r w:rsidRPr="0028215E">
        <w:t>)</w:t>
      </w:r>
      <w:r w:rsidRPr="0028215E" w:rsidR="00541D76">
        <w:t xml:space="preserve"> (Attachment A2)</w:t>
      </w:r>
      <w:r w:rsidRPr="0028215E">
        <w:rPr>
          <w:rFonts w:cs="Arial"/>
        </w:rPr>
        <w:t>.</w:t>
      </w:r>
      <w:r>
        <w:rPr>
          <w:rFonts w:cs="Arial"/>
        </w:rPr>
        <w:t xml:space="preserve">  </w:t>
      </w:r>
      <w:r>
        <w:t xml:space="preserve">CDC works in collaboration with its international, federal, state, and local partners and through multi-state contact investigations to ensure all outbreak responses and public health follow-up and travel restrictions are performed in a coordinated manner. </w:t>
      </w:r>
    </w:p>
    <w:p w:rsidR="00B73458" w:rsidP="00B73458" w14:paraId="3417F423" w14:textId="77777777">
      <w:pPr>
        <w:pStyle w:val="Heading1"/>
        <w:spacing w:before="0" w:after="0"/>
        <w:rPr>
          <w:rFonts w:ascii="Times New Roman" w:hAnsi="Times New Roman"/>
          <w:sz w:val="24"/>
          <w:szCs w:val="24"/>
        </w:rPr>
      </w:pPr>
      <w:bookmarkStart w:id="11" w:name="_Toc378234007"/>
      <w:bookmarkStart w:id="12" w:name="_Toc410390874"/>
    </w:p>
    <w:p w:rsidR="00B73458" w:rsidRPr="004C52D9" w:rsidP="00B73458" w14:paraId="15FDACE6" w14:textId="77777777">
      <w:pPr>
        <w:pStyle w:val="Heading1"/>
        <w:spacing w:before="0" w:after="0"/>
        <w:rPr>
          <w:rFonts w:ascii="Times New Roman" w:hAnsi="Times New Roman"/>
          <w:sz w:val="24"/>
          <w:szCs w:val="24"/>
        </w:rPr>
      </w:pPr>
      <w:r w:rsidRPr="004C52D9">
        <w:rPr>
          <w:rFonts w:ascii="Times New Roman" w:hAnsi="Times New Roman"/>
          <w:sz w:val="24"/>
          <w:szCs w:val="24"/>
        </w:rPr>
        <w:t>5</w:t>
      </w:r>
      <w:r w:rsidRPr="004C52D9">
        <w:rPr>
          <w:rFonts w:ascii="Times New Roman" w:hAnsi="Times New Roman"/>
          <w:sz w:val="24"/>
          <w:szCs w:val="24"/>
        </w:rPr>
        <w:t>.  Impact</w:t>
      </w:r>
      <w:r w:rsidRPr="004C52D9">
        <w:rPr>
          <w:rFonts w:ascii="Times New Roman" w:hAnsi="Times New Roman"/>
          <w:sz w:val="24"/>
          <w:szCs w:val="24"/>
        </w:rPr>
        <w:t xml:space="preserve"> on Small Businesses or Other Small Entities</w:t>
      </w:r>
      <w:bookmarkEnd w:id="11"/>
      <w:bookmarkEnd w:id="12"/>
    </w:p>
    <w:p w:rsidR="00B73458" w:rsidP="00B73458" w14:paraId="3FDEA04A" w14:textId="77777777">
      <w:pPr>
        <w:autoSpaceDE w:val="0"/>
        <w:autoSpaceDN w:val="0"/>
        <w:adjustRightInd w:val="0"/>
      </w:pPr>
      <w:bookmarkStart w:id="13" w:name="_Toc378234008"/>
    </w:p>
    <w:p w:rsidR="00B73458" w:rsidRPr="00C622AE" w:rsidP="00B73458" w14:paraId="5AB7FB37" w14:textId="77777777">
      <w:pPr>
        <w:pStyle w:val="Heading1"/>
        <w:spacing w:before="0" w:after="0"/>
        <w:rPr>
          <w:rFonts w:ascii="Times New Roman" w:hAnsi="Times New Roman"/>
          <w:b/>
          <w:color w:val="auto"/>
          <w:sz w:val="24"/>
          <w:szCs w:val="24"/>
        </w:rPr>
      </w:pPr>
      <w:r w:rsidRPr="00C622AE">
        <w:rPr>
          <w:rFonts w:ascii="Times New Roman" w:hAnsi="Times New Roman"/>
          <w:color w:val="auto"/>
          <w:sz w:val="24"/>
          <w:szCs w:val="24"/>
        </w:rPr>
        <w:t xml:space="preserve">CDC does not anticipate the respondents to be small businesses. </w:t>
      </w:r>
      <w:bookmarkStart w:id="14" w:name="_Toc410390875"/>
    </w:p>
    <w:p w:rsidR="00B73458" w:rsidRPr="0026041A" w:rsidP="00B73458" w14:paraId="5F2D5FFE" w14:textId="77777777"/>
    <w:p w:rsidR="00B73458" w:rsidRPr="004C52D9" w:rsidP="00B73458" w14:paraId="6AC88C81" w14:textId="77777777">
      <w:pPr>
        <w:pStyle w:val="Heading1"/>
        <w:spacing w:before="0" w:after="0"/>
        <w:rPr>
          <w:rFonts w:ascii="Times New Roman" w:hAnsi="Times New Roman"/>
          <w:sz w:val="24"/>
          <w:szCs w:val="24"/>
        </w:rPr>
      </w:pPr>
      <w:r w:rsidRPr="004C52D9">
        <w:rPr>
          <w:rFonts w:ascii="Times New Roman" w:hAnsi="Times New Roman"/>
          <w:sz w:val="24"/>
          <w:szCs w:val="24"/>
        </w:rPr>
        <w:t>6. Consequences of Collecting the Information Less Frequently</w:t>
      </w:r>
      <w:bookmarkEnd w:id="13"/>
      <w:bookmarkEnd w:id="14"/>
    </w:p>
    <w:p w:rsidR="00B73458" w:rsidP="00B73458" w14:paraId="2AC32D05" w14:textId="77777777"/>
    <w:p w:rsidR="00B73458" w:rsidRPr="00C77027" w:rsidP="00B73458" w14:paraId="1CA2F1E9" w14:textId="66B0FA98">
      <w:r>
        <w:t>Failure to collect this information from state and local health departments could lead to an i</w:t>
      </w:r>
      <w:r w:rsidRPr="002E6E34">
        <w:t>ncrease</w:t>
      </w:r>
      <w:r>
        <w:t>d</w:t>
      </w:r>
      <w:r w:rsidRPr="002E6E34">
        <w:t xml:space="preserve"> risk of ill </w:t>
      </w:r>
      <w:r>
        <w:t>travelers</w:t>
      </w:r>
      <w:r w:rsidRPr="002E6E34">
        <w:t xml:space="preserve"> </w:t>
      </w:r>
      <w:r w:rsidRPr="002E6E34">
        <w:t>coming in</w:t>
      </w:r>
      <w:r w:rsidR="00C53A58">
        <w:t>to</w:t>
      </w:r>
      <w:r w:rsidRPr="002E6E34">
        <w:t xml:space="preserve"> contact with</w:t>
      </w:r>
      <w:r w:rsidRPr="002E6E34">
        <w:t xml:space="preserve"> the </w:t>
      </w:r>
      <w:r w:rsidRPr="002E6E34">
        <w:t>general pu</w:t>
      </w:r>
      <w:r>
        <w:t>blic</w:t>
      </w:r>
      <w:r w:rsidRPr="002E6E34">
        <w:t>.</w:t>
      </w:r>
    </w:p>
    <w:p w:rsidR="00B73458" w:rsidP="00B73458" w14:paraId="322729FF" w14:textId="77777777">
      <w:pPr>
        <w:pStyle w:val="Heading1"/>
        <w:spacing w:before="0" w:after="0"/>
        <w:rPr>
          <w:rFonts w:ascii="Times New Roman" w:hAnsi="Times New Roman"/>
          <w:sz w:val="24"/>
          <w:szCs w:val="24"/>
        </w:rPr>
      </w:pPr>
      <w:bookmarkStart w:id="15" w:name="_Toc378234009"/>
      <w:bookmarkStart w:id="16" w:name="_Toc410390876"/>
    </w:p>
    <w:p w:rsidR="00B73458" w:rsidRPr="004C52D9" w:rsidP="00B73458" w14:paraId="2382F7E0" w14:textId="77777777">
      <w:pPr>
        <w:pStyle w:val="Heading1"/>
        <w:spacing w:before="0" w:after="0"/>
        <w:rPr>
          <w:rFonts w:ascii="Times New Roman" w:hAnsi="Times New Roman"/>
          <w:sz w:val="24"/>
          <w:szCs w:val="24"/>
        </w:rPr>
      </w:pPr>
      <w:r w:rsidRPr="004C52D9">
        <w:rPr>
          <w:rFonts w:ascii="Times New Roman" w:hAnsi="Times New Roman"/>
          <w:sz w:val="24"/>
          <w:szCs w:val="24"/>
        </w:rPr>
        <w:t>7. Special Circumstances Relating to the Guidelines of 5 CFR 1320.5</w:t>
      </w:r>
      <w:bookmarkEnd w:id="15"/>
      <w:bookmarkEnd w:id="16"/>
    </w:p>
    <w:p w:rsidR="00B73458" w:rsidP="00B73458" w14:paraId="726C16DA" w14:textId="77777777">
      <w:bookmarkStart w:id="17" w:name="_Toc378234011"/>
    </w:p>
    <w:p w:rsidR="00B73458" w:rsidRPr="00523EA5" w:rsidP="00B73458" w14:paraId="37B5982A" w14:textId="2E8A95C1">
      <w:r w:rsidRPr="00523EA5">
        <w:t xml:space="preserve">Frequency of data collection is inconsistent with the guidelines, as discussed in </w:t>
      </w:r>
      <w:r>
        <w:t xml:space="preserve">Section </w:t>
      </w:r>
      <w:r w:rsidRPr="00523EA5">
        <w:t xml:space="preserve">A6. The frequency of data collection </w:t>
      </w:r>
      <w:r>
        <w:t xml:space="preserve">will be as often as daily. Over time the frequency of data collection may decrease depending upon </w:t>
      </w:r>
      <w:r w:rsidRPr="00523EA5">
        <w:t xml:space="preserve">the frequency </w:t>
      </w:r>
      <w:r>
        <w:t>of travelers from the outbreak being actively monitored.</w:t>
      </w:r>
    </w:p>
    <w:p w:rsidR="00B73458" w:rsidP="00B73458" w14:paraId="4C9B5D8C" w14:textId="77777777">
      <w:pPr>
        <w:pStyle w:val="Heading1"/>
        <w:spacing w:before="0" w:after="0"/>
        <w:rPr>
          <w:rFonts w:ascii="Times New Roman" w:hAnsi="Times New Roman"/>
          <w:sz w:val="24"/>
          <w:szCs w:val="24"/>
        </w:rPr>
      </w:pPr>
      <w:bookmarkStart w:id="18" w:name="_Toc410390877"/>
    </w:p>
    <w:p w:rsidR="00B73458" w:rsidRPr="004C52D9" w:rsidP="00B73458" w14:paraId="7F6098F9" w14:textId="77777777">
      <w:pPr>
        <w:pStyle w:val="Heading1"/>
        <w:spacing w:before="0" w:after="0"/>
        <w:rPr>
          <w:rFonts w:ascii="Times New Roman" w:hAnsi="Times New Roman"/>
          <w:sz w:val="24"/>
          <w:szCs w:val="24"/>
        </w:rPr>
      </w:pPr>
      <w:r w:rsidRPr="004C52D9">
        <w:rPr>
          <w:rFonts w:ascii="Times New Roman" w:hAnsi="Times New Roman"/>
          <w:sz w:val="24"/>
          <w:szCs w:val="24"/>
        </w:rPr>
        <w:t>8. Comments in Response to the Federal Register Notice and Efforts to Consult Outside the Agency</w:t>
      </w:r>
      <w:bookmarkEnd w:id="18"/>
    </w:p>
    <w:p w:rsidR="00B73458" w:rsidP="00B73458" w14:paraId="37D995D9" w14:textId="77777777"/>
    <w:p w:rsidR="00B73458" w:rsidP="00B73458" w14:paraId="31567662" w14:textId="77777777">
      <w:r>
        <w:t xml:space="preserve">A. </w:t>
      </w:r>
      <w:r w:rsidRPr="00F61489">
        <w:t xml:space="preserve">Because this is a request for </w:t>
      </w:r>
      <w:r w:rsidRPr="00F61489">
        <w:t>an emergency</w:t>
      </w:r>
      <w:r w:rsidRPr="00F61489">
        <w:t xml:space="preserve"> clearance, CDC asks that the 60-day comment period be waived.</w:t>
      </w:r>
      <w:r>
        <w:t xml:space="preserve"> However, a 60-day </w:t>
      </w:r>
      <w:r>
        <w:rPr>
          <w:i/>
        </w:rPr>
        <w:t>Federal Register</w:t>
      </w:r>
      <w:r>
        <w:t xml:space="preserve"> notice will be submitted to make the public aware of this investigation (Attachment B).</w:t>
      </w:r>
    </w:p>
    <w:p w:rsidR="00B73458" w:rsidP="00B73458" w14:paraId="5D084B31" w14:textId="77777777">
      <w:pPr>
        <w:rPr>
          <w:b/>
        </w:rPr>
      </w:pPr>
    </w:p>
    <w:p w:rsidR="00B73458" w:rsidP="00B73458" w14:paraId="22397C7B" w14:textId="77777777">
      <w:pPr>
        <w:widowControl w:val="0"/>
      </w:pPr>
      <w:r>
        <w:t xml:space="preserve">B. </w:t>
      </w:r>
      <w:r w:rsidRPr="003B5752">
        <w:t xml:space="preserve">CDC is the primary authority with responsibility </w:t>
      </w:r>
      <w:r w:rsidRPr="003B5752">
        <w:rPr>
          <w:rFonts w:cs="Shruti"/>
        </w:rPr>
        <w:t>to prevent the introduction and spread of communicable disease in the U.</w:t>
      </w:r>
      <w:r w:rsidRPr="003B5752">
        <w:t xml:space="preserve">S. through air, land and </w:t>
      </w:r>
      <w:r w:rsidRPr="003B5752">
        <w:t>sea ports</w:t>
      </w:r>
      <w:r w:rsidRPr="003B5752">
        <w:t xml:space="preserve"> of entry and interstate.  No other entity collects the type and quantity of information from ill travelers or from individuals under federal public health orders.</w:t>
      </w:r>
      <w:r>
        <w:t xml:space="preserve">  </w:t>
      </w:r>
    </w:p>
    <w:p w:rsidR="00B73458" w:rsidP="00B73458" w14:paraId="126940D2" w14:textId="77777777">
      <w:pPr>
        <w:widowControl w:val="0"/>
      </w:pPr>
    </w:p>
    <w:p w:rsidR="00B73458" w:rsidRPr="004C52D9" w:rsidP="00B73458" w14:paraId="6AE86C5D" w14:textId="77777777">
      <w:pPr>
        <w:pStyle w:val="Heading1"/>
        <w:spacing w:before="0" w:after="0"/>
        <w:rPr>
          <w:rFonts w:ascii="Times New Roman" w:hAnsi="Times New Roman"/>
          <w:sz w:val="24"/>
          <w:szCs w:val="24"/>
        </w:rPr>
      </w:pPr>
      <w:bookmarkStart w:id="19" w:name="_Toc410390878"/>
      <w:r w:rsidRPr="004C52D9">
        <w:rPr>
          <w:rFonts w:ascii="Times New Roman" w:hAnsi="Times New Roman"/>
          <w:sz w:val="24"/>
          <w:szCs w:val="24"/>
        </w:rPr>
        <w:t>9. Explanations of Any Payment or Gift to Respondents</w:t>
      </w:r>
      <w:bookmarkEnd w:id="17"/>
      <w:bookmarkEnd w:id="19"/>
    </w:p>
    <w:p w:rsidR="00B73458" w:rsidP="00B73458" w14:paraId="71920ED6" w14:textId="77777777"/>
    <w:p w:rsidR="00B73458" w:rsidP="00B73458" w14:paraId="0B502D0B" w14:textId="77777777">
      <w:r>
        <w:t xml:space="preserve">No monetary incentives or gifts are provided to respondents. </w:t>
      </w:r>
    </w:p>
    <w:p w:rsidR="00B73458" w:rsidP="00B73458" w14:paraId="1DDCB7DE" w14:textId="77777777">
      <w:pPr>
        <w:pStyle w:val="Heading1"/>
        <w:spacing w:before="0" w:after="0"/>
        <w:rPr>
          <w:rFonts w:ascii="Times New Roman" w:hAnsi="Times New Roman"/>
          <w:sz w:val="24"/>
          <w:szCs w:val="24"/>
        </w:rPr>
      </w:pPr>
      <w:bookmarkStart w:id="20" w:name="_Toc378234012"/>
      <w:bookmarkStart w:id="21" w:name="_Toc410390879"/>
    </w:p>
    <w:p w:rsidR="00B73458" w:rsidRPr="004C52D9" w:rsidP="00B73458" w14:paraId="37869451" w14:textId="77777777">
      <w:pPr>
        <w:pStyle w:val="Heading1"/>
        <w:spacing w:before="0" w:after="0"/>
        <w:rPr>
          <w:rFonts w:ascii="Times New Roman" w:hAnsi="Times New Roman"/>
          <w:sz w:val="24"/>
          <w:szCs w:val="24"/>
        </w:rPr>
      </w:pPr>
      <w:r w:rsidRPr="004C52D9">
        <w:rPr>
          <w:rFonts w:ascii="Times New Roman" w:hAnsi="Times New Roman"/>
          <w:sz w:val="24"/>
          <w:szCs w:val="24"/>
        </w:rPr>
        <w:t xml:space="preserve">10. </w:t>
      </w:r>
      <w:bookmarkEnd w:id="20"/>
      <w:bookmarkEnd w:id="21"/>
      <w:r>
        <w:rPr>
          <w:rFonts w:ascii="Times New Roman" w:hAnsi="Times New Roman"/>
          <w:sz w:val="24"/>
          <w:szCs w:val="24"/>
        </w:rPr>
        <w:t>Prot</w:t>
      </w:r>
      <w:r w:rsidRPr="005E35E2">
        <w:rPr>
          <w:rFonts w:ascii="Times New Roman" w:hAnsi="Times New Roman"/>
          <w:sz w:val="24"/>
          <w:szCs w:val="24"/>
        </w:rPr>
        <w:t>ection of the Privacy and Confidentiality of Information Provided by</w:t>
      </w:r>
      <w:r w:rsidRPr="005E35E2">
        <w:rPr>
          <w:rFonts w:ascii="Times New Roman" w:eastAsia="Calibri" w:hAnsi="Times New Roman"/>
          <w:sz w:val="24"/>
          <w:szCs w:val="22"/>
        </w:rPr>
        <w:t xml:space="preserve"> </w:t>
      </w:r>
      <w:r w:rsidRPr="005E35E2">
        <w:rPr>
          <w:rFonts w:ascii="Times New Roman" w:hAnsi="Times New Roman"/>
          <w:sz w:val="24"/>
          <w:szCs w:val="24"/>
        </w:rPr>
        <w:t>Respondents</w:t>
      </w:r>
    </w:p>
    <w:p w:rsidR="00B73458" w:rsidP="00B73458" w14:paraId="40F4CB01" w14:textId="77777777">
      <w:bookmarkStart w:id="22" w:name="_Toc378234013"/>
    </w:p>
    <w:p w:rsidR="00B73458" w:rsidRPr="00C77027" w:rsidP="00B73458" w14:paraId="0A1CCE91" w14:textId="4D2ACB7C">
      <w:r w:rsidRPr="00C77027">
        <w:t>This information collection request has been reviewed by the</w:t>
      </w:r>
      <w:r>
        <w:t xml:space="preserve"> National Center for Emerging and Zoonotic Infectious Diseases </w:t>
      </w:r>
      <w:r w:rsidR="006B6F94">
        <w:t>(NCEZID</w:t>
      </w:r>
      <w:r w:rsidR="006B6F94">
        <w:t>)</w:t>
      </w:r>
      <w:r w:rsidR="006B6F94">
        <w:t xml:space="preserve"> </w:t>
      </w:r>
      <w:r>
        <w:t>and</w:t>
      </w:r>
      <w:r w:rsidRPr="00C77027">
        <w:t xml:space="preserve"> </w:t>
      </w:r>
      <w:r>
        <w:t>it has</w:t>
      </w:r>
      <w:r w:rsidRPr="00C77027">
        <w:t xml:space="preserve"> </w:t>
      </w:r>
      <w:r>
        <w:t xml:space="preserve">been </w:t>
      </w:r>
      <w:r w:rsidRPr="00C77027">
        <w:t xml:space="preserve">determined that the Privacy Act </w:t>
      </w:r>
      <w:r w:rsidRPr="00541D76">
        <w:t xml:space="preserve">does </w:t>
      </w:r>
      <w:r>
        <w:t xml:space="preserve">apply to this </w:t>
      </w:r>
      <w:r w:rsidRPr="00C77027">
        <w:t xml:space="preserve">information collection request. </w:t>
      </w:r>
      <w:r w:rsidRPr="00591C44" w:rsidR="00591C44">
        <w:t xml:space="preserve">The applicable System of Records Notice is 09-20-0171, Quarantine- and Traveler-Related Activities, including Records for Contact Tracing Investigation and Notification under 42 CFR Parts 70 and 71 </w:t>
      </w:r>
      <w:r w:rsidRPr="00C77027">
        <w:t xml:space="preserve"> </w:t>
      </w:r>
    </w:p>
    <w:p w:rsidR="00B73458" w:rsidP="00B73458" w14:paraId="0E2D450E" w14:textId="77777777"/>
    <w:p w:rsidR="00B73458" w:rsidP="00B73458" w14:paraId="79BEDC49" w14:textId="77777777">
      <w:r>
        <w:t>Both identifiable and aggregate d</w:t>
      </w:r>
      <w:r w:rsidRPr="00C77027">
        <w:t xml:space="preserve">ata not containing personal identifiers will be retained indefinitely for statistical and historical documentation purposes. Electronic media will be protected by adequate physical, administrative, and procedural safeguards to ensure the security of the data. Access will be restricted to agency employees with a bona fide “need to know” </w:t>
      </w:r>
      <w:r w:rsidRPr="00C77027">
        <w:t>in order to</w:t>
      </w:r>
      <w:r w:rsidRPr="00C77027">
        <w:t xml:space="preserve">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w:t>
      </w:r>
    </w:p>
    <w:p w:rsidR="00B73458" w:rsidP="00B73458" w14:paraId="2A15D12F" w14:textId="77777777">
      <w:pPr>
        <w:widowControl w:val="0"/>
        <w:rPr>
          <w:rFonts w:cs="Shruti"/>
          <w:bCs/>
        </w:rPr>
      </w:pPr>
    </w:p>
    <w:p w:rsidR="00B73458" w:rsidP="00B73458" w14:paraId="2206CADF" w14:textId="54D5435B">
      <w:r>
        <w:t xml:space="preserve">Information collection tools in this request </w:t>
      </w:r>
      <w:r w:rsidRPr="001A1817">
        <w:t xml:space="preserve">do </w:t>
      </w:r>
      <w:r>
        <w:t>ask for personally identifiable information. Individuals may make a request for their available information collected through a Privacy Act request. (</w:t>
      </w:r>
      <w:r w:rsidRPr="009644FE">
        <w:t>https://www.hhs.gov/foia/privacy/how-make-privacy-act-request.html</w:t>
      </w:r>
      <w:r>
        <w:t>)</w:t>
      </w:r>
    </w:p>
    <w:p w:rsidR="00B73458" w:rsidP="00B73458" w14:paraId="47E43DE1" w14:textId="77777777">
      <w:pPr>
        <w:pStyle w:val="Heading1"/>
        <w:spacing w:before="0" w:after="0"/>
        <w:rPr>
          <w:rFonts w:ascii="Times New Roman" w:hAnsi="Times New Roman"/>
          <w:sz w:val="24"/>
          <w:szCs w:val="24"/>
        </w:rPr>
      </w:pPr>
      <w:bookmarkStart w:id="23" w:name="_Toc410390880"/>
    </w:p>
    <w:p w:rsidR="00B73458" w:rsidRPr="004C52D9" w:rsidP="00B73458" w14:paraId="1A26B230" w14:textId="77777777">
      <w:pPr>
        <w:pStyle w:val="Heading1"/>
        <w:spacing w:before="0" w:after="0"/>
        <w:rPr>
          <w:rFonts w:ascii="Times New Roman" w:hAnsi="Times New Roman"/>
          <w:sz w:val="24"/>
          <w:szCs w:val="24"/>
        </w:rPr>
      </w:pPr>
      <w:r w:rsidRPr="004C52D9">
        <w:rPr>
          <w:rFonts w:ascii="Times New Roman" w:hAnsi="Times New Roman"/>
          <w:sz w:val="24"/>
          <w:szCs w:val="24"/>
        </w:rPr>
        <w:t>11</w:t>
      </w:r>
      <w:r w:rsidRPr="004C52D9">
        <w:rPr>
          <w:rFonts w:ascii="Times New Roman" w:hAnsi="Times New Roman"/>
          <w:sz w:val="24"/>
          <w:szCs w:val="24"/>
        </w:rPr>
        <w:t xml:space="preserve">.  </w:t>
      </w:r>
      <w:bookmarkEnd w:id="22"/>
      <w:bookmarkEnd w:id="23"/>
      <w:r>
        <w:rPr>
          <w:rFonts w:ascii="Times New Roman" w:hAnsi="Times New Roman"/>
          <w:sz w:val="24"/>
          <w:szCs w:val="24"/>
        </w:rPr>
        <w:t>In</w:t>
      </w:r>
      <w:r w:rsidRPr="005E35E2">
        <w:rPr>
          <w:rFonts w:ascii="Times New Roman" w:hAnsi="Times New Roman"/>
          <w:sz w:val="24"/>
          <w:szCs w:val="24"/>
        </w:rPr>
        <w:t>stitutional</w:t>
      </w:r>
      <w:r w:rsidRPr="005E35E2">
        <w:rPr>
          <w:rFonts w:ascii="Times New Roman" w:hAnsi="Times New Roman"/>
          <w:sz w:val="24"/>
          <w:szCs w:val="24"/>
        </w:rPr>
        <w:t xml:space="preserve"> Review Board (IRB) and Justification for Sensitive Questions</w:t>
      </w:r>
    </w:p>
    <w:p w:rsidR="00B73458" w:rsidP="00B73458" w14:paraId="598E9FEC" w14:textId="77777777"/>
    <w:p w:rsidR="00B73458" w:rsidRPr="00B62AEA" w:rsidP="00B73458" w14:paraId="4F99FB52" w14:textId="77777777">
      <w:pPr>
        <w:rPr>
          <w:u w:val="single"/>
        </w:rPr>
      </w:pPr>
      <w:r w:rsidRPr="00B62AEA">
        <w:rPr>
          <w:u w:val="single"/>
        </w:rPr>
        <w:t>IRB Determination</w:t>
      </w:r>
    </w:p>
    <w:p w:rsidR="00B73458" w:rsidP="00B73458" w14:paraId="614B69C7" w14:textId="77777777"/>
    <w:p w:rsidR="00B73458" w:rsidRPr="00C77027" w:rsidP="00B73458" w14:paraId="2525F433" w14:textId="77777777">
      <w:r>
        <w:t>CDC’s National Center for Emerging and Zoonotic Infectious Diseases has determined that this p</w:t>
      </w:r>
      <w:r w:rsidRPr="003E3DC5">
        <w:t>roject does not meet the definition of research under 45 CFR 46.102</w:t>
      </w:r>
      <w:r>
        <w:t>(d). IRB review is not required (Attachment D).</w:t>
      </w:r>
    </w:p>
    <w:p w:rsidR="00B73458" w:rsidP="00B73458" w14:paraId="3C161A80" w14:textId="77777777"/>
    <w:p w:rsidR="00B73458" w:rsidP="00B73458" w14:paraId="37036F66" w14:textId="77777777">
      <w:r>
        <w:rPr>
          <w:u w:val="single"/>
        </w:rPr>
        <w:t>Justification for Sensitive Questions</w:t>
      </w:r>
    </w:p>
    <w:p w:rsidR="00B73458" w:rsidP="00B73458" w14:paraId="19D58029" w14:textId="77777777"/>
    <w:p w:rsidR="00B73458" w:rsidP="00B73458" w14:paraId="2EA27226" w14:textId="77777777">
      <w:r>
        <w:t>This information</w:t>
      </w:r>
      <w:r w:rsidRPr="00C77027">
        <w:t xml:space="preserve"> collection request</w:t>
      </w:r>
      <w:r>
        <w:t xml:space="preserve"> may contain</w:t>
      </w:r>
      <w:r w:rsidRPr="00C77027">
        <w:t xml:space="preserve"> </w:t>
      </w:r>
      <w:r>
        <w:t xml:space="preserve">personally identifying information </w:t>
      </w:r>
      <w:r>
        <w:t>of</w:t>
      </w:r>
      <w:r>
        <w:t xml:space="preserve"> travelers and contacts. This</w:t>
      </w:r>
      <w:r w:rsidRPr="00C77027">
        <w:t xml:space="preserve"> information is necessary to prevent the introduction, transmission, or spread of communicable diseases from foreign countries into the United States.</w:t>
      </w:r>
    </w:p>
    <w:p w:rsidR="00B73458" w:rsidP="00B73458" w14:paraId="2901D9B2" w14:textId="77777777"/>
    <w:p w:rsidR="00B73458" w:rsidRPr="004C52D9" w:rsidP="00B73458" w14:paraId="47095CDA" w14:textId="77777777">
      <w:pPr>
        <w:pStyle w:val="Heading1"/>
        <w:spacing w:before="0" w:after="0"/>
        <w:rPr>
          <w:rFonts w:ascii="Times New Roman" w:hAnsi="Times New Roman"/>
          <w:sz w:val="24"/>
          <w:szCs w:val="24"/>
        </w:rPr>
      </w:pPr>
      <w:bookmarkStart w:id="24" w:name="_Toc378234014"/>
      <w:bookmarkStart w:id="25" w:name="_Toc410390881"/>
      <w:r w:rsidRPr="004C52D9">
        <w:rPr>
          <w:rFonts w:ascii="Times New Roman" w:hAnsi="Times New Roman"/>
          <w:sz w:val="24"/>
          <w:szCs w:val="24"/>
        </w:rPr>
        <w:t>12. Estimates of Annualized Burden Hours and Costs</w:t>
      </w:r>
      <w:bookmarkEnd w:id="24"/>
      <w:bookmarkEnd w:id="25"/>
    </w:p>
    <w:p w:rsidR="00B73458" w:rsidP="00B73458" w14:paraId="4D3BF335" w14:textId="77777777">
      <w:pPr>
        <w:rPr>
          <w:color w:val="000000"/>
        </w:rPr>
      </w:pPr>
    </w:p>
    <w:p w:rsidR="00B73458" w:rsidP="00B73458" w14:paraId="0FEE1432" w14:textId="77777777">
      <w:pPr>
        <w:rPr>
          <w:color w:val="000000"/>
        </w:rPr>
      </w:pPr>
      <w:r>
        <w:rPr>
          <w:color w:val="000000"/>
        </w:rPr>
        <w:t>Below are the e</w:t>
      </w:r>
      <w:r w:rsidRPr="00421C30">
        <w:rPr>
          <w:color w:val="000000"/>
        </w:rPr>
        <w:t xml:space="preserve">stimates of </w:t>
      </w:r>
      <w:r>
        <w:rPr>
          <w:color w:val="000000"/>
        </w:rPr>
        <w:t xml:space="preserve">the </w:t>
      </w:r>
      <w:r w:rsidRPr="00421C30">
        <w:rPr>
          <w:color w:val="000000"/>
        </w:rPr>
        <w:t xml:space="preserve">Annualized Burden Hours </w:t>
      </w:r>
      <w:r>
        <w:rPr>
          <w:color w:val="000000"/>
        </w:rPr>
        <w:t>that CDC is requesting for this emergency request.</w:t>
      </w:r>
    </w:p>
    <w:p w:rsidR="00B73458" w:rsidP="00B73458" w14:paraId="3B8970C5" w14:textId="77777777">
      <w:pPr>
        <w:rPr>
          <w:color w:val="000000"/>
        </w:rPr>
      </w:pPr>
    </w:p>
    <w:p w:rsidR="00B73458" w:rsidP="00B73458" w14:paraId="22B80EA9" w14:textId="0C517427">
      <w:pPr>
        <w:rPr>
          <w:color w:val="000000"/>
        </w:rPr>
      </w:pPr>
      <w:r>
        <w:rPr>
          <w:color w:val="000000"/>
        </w:rPr>
        <w:t xml:space="preserve">The total annual burden requested for this </w:t>
      </w:r>
      <w:r w:rsidR="0048322C">
        <w:rPr>
          <w:color w:val="000000"/>
        </w:rPr>
        <w:t>submission</w:t>
      </w:r>
      <w:r>
        <w:rPr>
          <w:color w:val="000000"/>
        </w:rPr>
        <w:t xml:space="preserve"> is </w:t>
      </w:r>
      <w:r w:rsidR="00346E8E">
        <w:rPr>
          <w:color w:val="000000"/>
        </w:rPr>
        <w:t>65</w:t>
      </w:r>
      <w:r>
        <w:rPr>
          <w:color w:val="000000"/>
        </w:rPr>
        <w:t xml:space="preserve"> respondents, state and local health officials conducting traveler monitoring with </w:t>
      </w:r>
      <w:r w:rsidRPr="0020060D">
        <w:rPr>
          <w:color w:val="000000"/>
        </w:rPr>
        <w:t xml:space="preserve">approximately </w:t>
      </w:r>
      <w:r w:rsidR="00346E8E">
        <w:rPr>
          <w:color w:val="000000"/>
        </w:rPr>
        <w:t>17,813</w:t>
      </w:r>
      <w:r>
        <w:rPr>
          <w:rFonts w:eastAsia="Calibri"/>
          <w:b/>
        </w:rPr>
        <w:t xml:space="preserve"> </w:t>
      </w:r>
      <w:r>
        <w:rPr>
          <w:color w:val="000000"/>
        </w:rPr>
        <w:t xml:space="preserve">burden hours. </w:t>
      </w:r>
    </w:p>
    <w:p w:rsidR="00B73458" w:rsidP="00B73458" w14:paraId="0A171BC0" w14:textId="77777777">
      <w:pPr>
        <w:rPr>
          <w:color w:val="000000"/>
        </w:rPr>
      </w:pPr>
    </w:p>
    <w:p w:rsidR="00B73458" w:rsidP="00B73458" w14:paraId="33904AA0" w14:textId="77777777">
      <w:pPr>
        <w:rPr>
          <w:color w:val="000000"/>
        </w:rPr>
      </w:pPr>
      <w:r>
        <w:rPr>
          <w:color w:val="000000"/>
        </w:rPr>
        <w:t>This estimate is based on the following assumptions:</w:t>
      </w:r>
    </w:p>
    <w:p w:rsidR="00B73458" w:rsidP="00B73458" w14:paraId="418BA69B" w14:textId="77777777">
      <w:pPr>
        <w:rPr>
          <w:color w:val="000000"/>
        </w:rPr>
      </w:pPr>
    </w:p>
    <w:p w:rsidR="00B73458" w:rsidP="00B73458" w14:paraId="258350EB" w14:textId="21D0DE46">
      <w:pPr>
        <w:pStyle w:val="ListParagraph"/>
        <w:ind w:left="0"/>
        <w:rPr>
          <w:color w:val="000000"/>
        </w:rPr>
      </w:pPr>
      <w:r w:rsidRPr="00CF062F">
        <w:rPr>
          <w:color w:val="000000"/>
        </w:rPr>
        <w:t xml:space="preserve">CDC </w:t>
      </w:r>
      <w:r>
        <w:rPr>
          <w:color w:val="000000"/>
        </w:rPr>
        <w:t>conducted</w:t>
      </w:r>
      <w:r w:rsidRPr="00CF062F">
        <w:rPr>
          <w:color w:val="000000"/>
        </w:rPr>
        <w:t xml:space="preserve"> initial screening and public health risk assessments of travelers </w:t>
      </w:r>
      <w:r>
        <w:rPr>
          <w:color w:val="000000"/>
        </w:rPr>
        <w:t xml:space="preserve">identified as being passengers of the M/V </w:t>
      </w:r>
      <w:r>
        <w:rPr>
          <w:color w:val="000000"/>
        </w:rPr>
        <w:t>Hondius, or</w:t>
      </w:r>
      <w:r>
        <w:rPr>
          <w:color w:val="000000"/>
        </w:rPr>
        <w:t xml:space="preserve"> identified as travel contact to a confirmed or probable case</w:t>
      </w:r>
      <w:r w:rsidRPr="00CF062F">
        <w:rPr>
          <w:color w:val="000000"/>
        </w:rPr>
        <w:t xml:space="preserve">. When indicated, CDC shares information and public health risk assessment of travelers with state/local health departments for additional follow up and public health monitoring. </w:t>
      </w:r>
    </w:p>
    <w:p w:rsidR="00B73458" w:rsidP="00B73458" w14:paraId="39C3FB39" w14:textId="77777777">
      <w:pPr>
        <w:pStyle w:val="ListParagraph"/>
        <w:ind w:left="0"/>
        <w:rPr>
          <w:color w:val="000000"/>
        </w:rPr>
      </w:pPr>
    </w:p>
    <w:p w:rsidR="00B73458" w:rsidRPr="007F6D10" w:rsidP="00B73458" w14:paraId="2E8987DC" w14:textId="0E3913EC">
      <w:pPr>
        <w:pStyle w:val="ListParagraph"/>
        <w:numPr>
          <w:ilvl w:val="0"/>
          <w:numId w:val="2"/>
        </w:numPr>
        <w:spacing w:after="60"/>
        <w:contextualSpacing w:val="0"/>
        <w:rPr>
          <w:color w:val="000000"/>
        </w:rPr>
      </w:pPr>
      <w:r w:rsidRPr="007F6D10">
        <w:rPr>
          <w:color w:val="000000"/>
        </w:rPr>
        <w:t xml:space="preserve">An annual estimate of staff from </w:t>
      </w:r>
      <w:r w:rsidR="00346E8E">
        <w:rPr>
          <w:color w:val="000000"/>
        </w:rPr>
        <w:t>65 cruise passengers and high-risk contacts</w:t>
      </w:r>
      <w:r w:rsidRPr="007F6D10">
        <w:rPr>
          <w:color w:val="000000"/>
        </w:rPr>
        <w:t xml:space="preserve"> </w:t>
      </w:r>
      <w:r>
        <w:rPr>
          <w:color w:val="000000"/>
        </w:rPr>
        <w:t xml:space="preserve">from </w:t>
      </w:r>
      <w:r w:rsidRPr="007F6D10">
        <w:rPr>
          <w:color w:val="000000"/>
        </w:rPr>
        <w:t xml:space="preserve">state and local health departments may be required to answer questions on the </w:t>
      </w:r>
      <w:r w:rsidRPr="006366C7">
        <w:rPr>
          <w:color w:val="000000"/>
        </w:rPr>
        <w:t>Risk Assessment</w:t>
      </w:r>
      <w:r>
        <w:rPr>
          <w:color w:val="000000"/>
        </w:rPr>
        <w:t>s and monitoring surveys</w:t>
      </w:r>
      <w:r w:rsidRPr="006366C7">
        <w:rPr>
          <w:color w:val="000000"/>
        </w:rPr>
        <w:t xml:space="preserve"> </w:t>
      </w:r>
      <w:r>
        <w:rPr>
          <w:color w:val="000000"/>
        </w:rPr>
        <w:t xml:space="preserve">through </w:t>
      </w:r>
      <w:r w:rsidR="006673AC">
        <w:rPr>
          <w:color w:val="000000"/>
        </w:rPr>
        <w:t xml:space="preserve">in-person and through </w:t>
      </w:r>
      <w:r>
        <w:rPr>
          <w:color w:val="000000"/>
        </w:rPr>
        <w:t>1CDP</w:t>
      </w:r>
      <w:r w:rsidRPr="006366C7">
        <w:rPr>
          <w:color w:val="000000"/>
        </w:rPr>
        <w:t xml:space="preserve"> </w:t>
      </w:r>
      <w:r>
        <w:rPr>
          <w:color w:val="000000"/>
        </w:rPr>
        <w:t>r</w:t>
      </w:r>
      <w:r w:rsidRPr="006366C7">
        <w:rPr>
          <w:color w:val="000000"/>
        </w:rPr>
        <w:t xml:space="preserve">eporting </w:t>
      </w:r>
      <w:r w:rsidRPr="007F6D10">
        <w:rPr>
          <w:color w:val="000000"/>
        </w:rPr>
        <w:t>(</w:t>
      </w:r>
      <w:r w:rsidRPr="0028215E">
        <w:rPr>
          <w:color w:val="000000"/>
        </w:rPr>
        <w:t xml:space="preserve">Attachments </w:t>
      </w:r>
      <w:r w:rsidRPr="0028215E" w:rsidR="00597DF9">
        <w:rPr>
          <w:color w:val="000000"/>
        </w:rPr>
        <w:t>C1</w:t>
      </w:r>
      <w:r w:rsidRPr="0028215E">
        <w:rPr>
          <w:color w:val="000000"/>
        </w:rPr>
        <w:t xml:space="preserve">, </w:t>
      </w:r>
      <w:r w:rsidRPr="0028215E" w:rsidR="00597DF9">
        <w:rPr>
          <w:color w:val="000000"/>
        </w:rPr>
        <w:t>C2</w:t>
      </w:r>
      <w:r w:rsidRPr="0028215E">
        <w:rPr>
          <w:color w:val="000000"/>
        </w:rPr>
        <w:t xml:space="preserve"> and </w:t>
      </w:r>
      <w:r w:rsidRPr="0028215E" w:rsidR="006673AC">
        <w:rPr>
          <w:color w:val="000000"/>
        </w:rPr>
        <w:t>C3</w:t>
      </w:r>
      <w:r w:rsidRPr="0028215E">
        <w:rPr>
          <w:color w:val="000000"/>
        </w:rPr>
        <w:t>) regarding</w:t>
      </w:r>
      <w:r w:rsidRPr="007F6D10">
        <w:rPr>
          <w:color w:val="000000"/>
        </w:rPr>
        <w:t xml:space="preserve"> traveler </w:t>
      </w:r>
      <w:r>
        <w:rPr>
          <w:color w:val="000000"/>
        </w:rPr>
        <w:t xml:space="preserve">risk and </w:t>
      </w:r>
      <w:r w:rsidRPr="007F6D10">
        <w:rPr>
          <w:color w:val="000000"/>
        </w:rPr>
        <w:t xml:space="preserve">monitoring activities. CDC estimates these questions will take approximately </w:t>
      </w:r>
      <w:r w:rsidR="00346E8E">
        <w:rPr>
          <w:color w:val="000000"/>
        </w:rPr>
        <w:t>15-45</w:t>
      </w:r>
      <w:r w:rsidRPr="007F6D10">
        <w:rPr>
          <w:color w:val="000000"/>
        </w:rPr>
        <w:t xml:space="preserve"> minutes</w:t>
      </w:r>
      <w:r w:rsidR="00346E8E">
        <w:rPr>
          <w:color w:val="000000"/>
        </w:rPr>
        <w:t xml:space="preserve"> for each survey</w:t>
      </w:r>
      <w:r w:rsidRPr="007F6D10">
        <w:rPr>
          <w:color w:val="000000"/>
        </w:rPr>
        <w:t xml:space="preserve">. </w:t>
      </w:r>
    </w:p>
    <w:p w:rsidR="00B73458" w:rsidP="00B73458" w14:paraId="6D2DC7B4" w14:textId="77777777">
      <w:pPr>
        <w:pStyle w:val="ListParagraph"/>
        <w:ind w:left="1440"/>
        <w:rPr>
          <w:color w:val="000000"/>
        </w:rPr>
      </w:pPr>
    </w:p>
    <w:p w:rsidR="00B73458" w:rsidRPr="00AE06B7" w:rsidP="00B73458" w14:paraId="10533ADB" w14:textId="77777777">
      <w:pPr>
        <w:pStyle w:val="ListParagraph"/>
        <w:ind w:left="0"/>
        <w:rPr>
          <w:color w:val="000000"/>
        </w:rPr>
      </w:pPr>
    </w:p>
    <w:p w:rsidR="00B73458" w:rsidP="00B73458" w14:paraId="64059DC7" w14:textId="77777777">
      <w:r>
        <w:t>12</w:t>
      </w:r>
      <w:r w:rsidRPr="00C77027">
        <w:t xml:space="preserve"> A. Estimates of Annualized Burden Hours</w:t>
      </w:r>
    </w:p>
    <w:p w:rsidR="00B73458" w:rsidRPr="00A32656" w:rsidP="00B73458" w14:paraId="4682BA4D" w14:textId="77777777">
      <w:pPr>
        <w:rPr>
          <w:sz w:val="16"/>
          <w:szCs w:val="16"/>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90"/>
        <w:gridCol w:w="1530"/>
        <w:gridCol w:w="1620"/>
        <w:gridCol w:w="1350"/>
        <w:gridCol w:w="1440"/>
      </w:tblGrid>
      <w:tr w14:paraId="4BD6B093" w14:textId="77777777" w:rsidTr="006E00DF">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vAlign w:val="center"/>
          </w:tcPr>
          <w:p w:rsidR="00B73458" w:rsidRPr="003C0D8D" w:rsidP="006E00DF" w14:paraId="20320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890" w:type="dxa"/>
            <w:vAlign w:val="center"/>
          </w:tcPr>
          <w:p w:rsidR="00B73458" w:rsidRPr="003C0D8D" w:rsidP="006E00DF" w14:paraId="39876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 xml:space="preserve">Information Collection Tool </w:t>
            </w:r>
          </w:p>
        </w:tc>
        <w:tc>
          <w:tcPr>
            <w:tcW w:w="1530" w:type="dxa"/>
            <w:vAlign w:val="center"/>
          </w:tcPr>
          <w:p w:rsidR="00B73458" w:rsidRPr="003C0D8D" w:rsidP="006E00DF" w14:paraId="1AD4F3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00B73458" w:rsidRPr="003C0D8D" w:rsidP="006E00DF" w14:paraId="7684E9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00B73458" w:rsidRPr="003C0D8D" w:rsidP="006E00DF" w14:paraId="640EA6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00B73458" w:rsidRPr="003C0D8D" w:rsidP="006E00DF" w14:paraId="21042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350" w:type="dxa"/>
            <w:vAlign w:val="center"/>
          </w:tcPr>
          <w:p w:rsidR="00B73458" w:rsidRPr="003C0D8D" w:rsidP="006E00DF" w14:paraId="36CB02C3"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00B73458" w:rsidRPr="003C0D8D" w:rsidP="006E00DF" w14:paraId="2535B8C0"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440" w:type="dxa"/>
            <w:vAlign w:val="center"/>
          </w:tcPr>
          <w:p w:rsidR="00B73458" w:rsidRPr="003C0D8D" w:rsidP="006E00DF" w14:paraId="18FD63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14:paraId="49518A2F" w14:textId="77777777" w:rsidTr="006E00DF">
        <w:tblPrEx>
          <w:tblW w:w="9265" w:type="dxa"/>
          <w:tblLayout w:type="fixed"/>
          <w:tblLook w:val="01E0"/>
        </w:tblPrEx>
        <w:tc>
          <w:tcPr>
            <w:tcW w:w="1435" w:type="dxa"/>
            <w:vAlign w:val="center"/>
          </w:tcPr>
          <w:p w:rsidR="00B73458" w:rsidRPr="003C0D8D" w:rsidP="006E00DF" w14:paraId="0640D511" w14:textId="0C1AABE5">
            <w:pPr>
              <w:jc w:val="center"/>
              <w:rPr>
                <w:rFonts w:eastAsia="Calibri"/>
              </w:rPr>
            </w:pPr>
            <w:r>
              <w:rPr>
                <w:rFonts w:eastAsia="Calibri"/>
              </w:rPr>
              <w:t>Cruise ship passengers</w:t>
            </w:r>
          </w:p>
        </w:tc>
        <w:tc>
          <w:tcPr>
            <w:tcW w:w="1890" w:type="dxa"/>
            <w:vAlign w:val="center"/>
          </w:tcPr>
          <w:p w:rsidR="00B73458" w:rsidRPr="003C0D8D" w:rsidP="006E00DF" w14:paraId="003AA29B" w14:textId="669D992E">
            <w:pPr>
              <w:rPr>
                <w:rFonts w:eastAsia="Calibri"/>
              </w:rPr>
            </w:pPr>
            <w:r>
              <w:rPr>
                <w:rFonts w:eastAsia="Calibri"/>
              </w:rPr>
              <w:t xml:space="preserve">Andes </w:t>
            </w:r>
            <w:r>
              <w:rPr>
                <w:rFonts w:eastAsia="Calibri"/>
              </w:rPr>
              <w:t>hantavirus</w:t>
            </w:r>
            <w:r>
              <w:rPr>
                <w:rFonts w:eastAsia="Calibri"/>
              </w:rPr>
              <w:t xml:space="preserve"> Canary Island Assessment</w:t>
            </w:r>
          </w:p>
        </w:tc>
        <w:tc>
          <w:tcPr>
            <w:tcW w:w="1530" w:type="dxa"/>
            <w:vAlign w:val="center"/>
          </w:tcPr>
          <w:p w:rsidR="00B73458" w:rsidRPr="003C0D8D" w:rsidP="006E00DF" w14:paraId="647CB4FA" w14:textId="2C4003F2">
            <w:pPr>
              <w:jc w:val="center"/>
              <w:rPr>
                <w:rFonts w:eastAsia="Calibri"/>
              </w:rPr>
            </w:pPr>
            <w:r>
              <w:rPr>
                <w:rFonts w:eastAsia="Calibri"/>
                <w:color w:val="000000"/>
              </w:rPr>
              <w:t>18</w:t>
            </w:r>
          </w:p>
        </w:tc>
        <w:tc>
          <w:tcPr>
            <w:tcW w:w="1620" w:type="dxa"/>
            <w:vAlign w:val="center"/>
          </w:tcPr>
          <w:p w:rsidR="00B73458" w:rsidRPr="003C0D8D" w:rsidP="006E00DF" w14:paraId="1F37BC28" w14:textId="66E81366">
            <w:pPr>
              <w:jc w:val="center"/>
              <w:rPr>
                <w:rFonts w:eastAsia="Calibri"/>
              </w:rPr>
            </w:pPr>
            <w:r>
              <w:rPr>
                <w:rFonts w:eastAsia="Calibri"/>
              </w:rPr>
              <w:t>35</w:t>
            </w:r>
          </w:p>
        </w:tc>
        <w:tc>
          <w:tcPr>
            <w:tcW w:w="1350" w:type="dxa"/>
            <w:vAlign w:val="center"/>
          </w:tcPr>
          <w:p w:rsidR="00B73458" w:rsidRPr="003C0D8D" w:rsidP="006E00DF" w14:paraId="383A0A85" w14:textId="3F94265E">
            <w:pPr>
              <w:jc w:val="center"/>
              <w:rPr>
                <w:rFonts w:eastAsia="Calibri"/>
              </w:rPr>
            </w:pPr>
            <w:r>
              <w:rPr>
                <w:rFonts w:eastAsia="Calibri"/>
              </w:rPr>
              <w:t>25</w:t>
            </w:r>
            <w:r w:rsidRPr="003C0D8D">
              <w:rPr>
                <w:rFonts w:eastAsia="Calibri"/>
              </w:rPr>
              <w:t>/60</w:t>
            </w:r>
          </w:p>
        </w:tc>
        <w:tc>
          <w:tcPr>
            <w:tcW w:w="1440" w:type="dxa"/>
            <w:vAlign w:val="center"/>
          </w:tcPr>
          <w:p w:rsidR="00B73458" w:rsidRPr="00EA756F" w:rsidP="00EA756F" w14:paraId="25B26ECE" w14:textId="3C2110EC">
            <w:pPr>
              <w:jc w:val="center"/>
            </w:pPr>
            <w:bdo w:val="ltr">
              <w:r>
                <w:t>‬</w:t>
              </w:r>
              <w:r>
                <w:t xml:space="preserve"> </w:t>
              </w:r>
              <w:r w:rsidR="00EA756F">
                <w:t xml:space="preserve">  </w:t>
              </w:r>
              <w:r w:rsidRPr="00EA756F" w:rsidR="00611E5A">
                <w:t>263</w:t>
              </w:r>
              <w:r>
                <w:t>‬</w:t>
              </w:r>
              <w:r>
                <w:t>‬</w:t>
              </w:r>
              <w:r>
                <w:t>‬</w:t>
              </w:r>
              <w:r>
                <w:t>‬</w:t>
              </w:r>
              <w:r>
                <w:t>‬</w:t>
              </w:r>
              <w:r>
                <w:t>‬</w:t>
              </w:r>
              <w:r>
                <w:t>‬</w:t>
              </w:r>
              <w:r>
                <w:t>‬</w:t>
              </w:r>
              <w:r>
                <w:t>‬</w:t>
              </w:r>
              <w:r w:rsidR="00C464AE">
                <w:t>‬</w:t>
              </w:r>
              <w:r w:rsidR="00C464AE">
                <w:t>‬</w:t>
              </w:r>
              <w:r w:rsidR="00473AC5">
                <w:t>‬</w:t>
              </w:r>
              <w:r w:rsidR="008E4F44">
                <w:t>‬</w:t>
              </w:r>
              <w:r w:rsidR="008E4F44">
                <w:t>‬</w:t>
              </w:r>
              <w:r w:rsidR="008E4F44">
                <w:t>‬</w:t>
              </w:r>
              <w:r>
                <w:t>‬</w:t>
              </w:r>
              <w:r>
                <w:t>‬</w:t>
              </w:r>
              <w:r>
                <w:t>‬</w:t>
              </w:r>
              <w:r>
                <w:t>‬</w:t>
              </w:r>
              <w:r>
                <w:t>‬</w:t>
              </w:r>
              <w:r>
                <w:t>‬</w:t>
              </w:r>
              <w:r>
                <w:t>‬</w:t>
              </w:r>
            </w:bdo>
          </w:p>
        </w:tc>
      </w:tr>
      <w:tr w14:paraId="32FC6515" w14:textId="77777777" w:rsidTr="006E00DF">
        <w:tblPrEx>
          <w:tblW w:w="9265" w:type="dxa"/>
          <w:tblLayout w:type="fixed"/>
          <w:tblLook w:val="01E0"/>
        </w:tblPrEx>
        <w:tc>
          <w:tcPr>
            <w:tcW w:w="1435" w:type="dxa"/>
            <w:vAlign w:val="center"/>
          </w:tcPr>
          <w:p w:rsidR="00BC5EDF" w:rsidP="006E00DF" w14:paraId="23584DA6" w14:textId="492A089A">
            <w:pPr>
              <w:jc w:val="center"/>
              <w:rPr>
                <w:rFonts w:eastAsia="Calibri"/>
              </w:rPr>
            </w:pPr>
            <w:r>
              <w:rPr>
                <w:rFonts w:eastAsia="Calibri"/>
              </w:rPr>
              <w:t>Cruise ship passengers</w:t>
            </w:r>
            <w:r w:rsidR="005B297E">
              <w:rPr>
                <w:rFonts w:eastAsia="Calibri"/>
              </w:rPr>
              <w:t xml:space="preserve"> </w:t>
            </w:r>
            <w:r w:rsidR="005B297E">
              <w:rPr>
                <w:rFonts w:eastAsia="Calibri"/>
              </w:rPr>
              <w:t>and high-risk contacts</w:t>
            </w:r>
          </w:p>
        </w:tc>
        <w:tc>
          <w:tcPr>
            <w:tcW w:w="1890" w:type="dxa"/>
            <w:vAlign w:val="center"/>
          </w:tcPr>
          <w:p w:rsidR="00BC5EDF" w:rsidRPr="006366C7" w:rsidP="006E00DF" w14:paraId="0DA798C6" w14:textId="0FDD9D36">
            <w:pPr>
              <w:rPr>
                <w:rFonts w:eastAsia="Calibri"/>
              </w:rPr>
            </w:pPr>
            <w:r w:rsidRPr="001209EB">
              <w:rPr>
                <w:rFonts w:eastAsia="Calibri"/>
              </w:rPr>
              <w:t xml:space="preserve">Andes Virus Guidance Assessment </w:t>
            </w:r>
          </w:p>
        </w:tc>
        <w:tc>
          <w:tcPr>
            <w:tcW w:w="1530" w:type="dxa"/>
            <w:vAlign w:val="center"/>
          </w:tcPr>
          <w:p w:rsidR="00BC5EDF" w:rsidP="006E00DF" w14:paraId="719C91A2" w14:textId="12A83068">
            <w:pPr>
              <w:jc w:val="center"/>
              <w:rPr>
                <w:rFonts w:eastAsia="Calibri"/>
                <w:color w:val="000000"/>
              </w:rPr>
            </w:pPr>
            <w:r>
              <w:rPr>
                <w:rFonts w:eastAsia="Calibri"/>
                <w:color w:val="000000"/>
              </w:rPr>
              <w:t>65</w:t>
            </w:r>
          </w:p>
        </w:tc>
        <w:tc>
          <w:tcPr>
            <w:tcW w:w="1620" w:type="dxa"/>
            <w:vAlign w:val="center"/>
          </w:tcPr>
          <w:p w:rsidR="00BC5EDF" w:rsidRPr="0089627D" w:rsidP="006E00DF" w14:paraId="1E8BEC6A" w14:textId="65A16FCE">
            <w:pPr>
              <w:jc w:val="center"/>
              <w:rPr>
                <w:rFonts w:eastAsia="Calibri"/>
              </w:rPr>
            </w:pPr>
            <w:r>
              <w:rPr>
                <w:rFonts w:eastAsia="Calibri"/>
              </w:rPr>
              <w:t>52</w:t>
            </w:r>
          </w:p>
        </w:tc>
        <w:tc>
          <w:tcPr>
            <w:tcW w:w="1350" w:type="dxa"/>
            <w:vAlign w:val="center"/>
          </w:tcPr>
          <w:p w:rsidR="00BC5EDF" w:rsidP="006E00DF" w14:paraId="78F95C05" w14:textId="5F21288A">
            <w:pPr>
              <w:jc w:val="center"/>
              <w:rPr>
                <w:rFonts w:eastAsia="Calibri"/>
              </w:rPr>
            </w:pPr>
            <w:r>
              <w:rPr>
                <w:rFonts w:eastAsia="Calibri"/>
              </w:rPr>
              <w:t>45/60</w:t>
            </w:r>
          </w:p>
        </w:tc>
        <w:tc>
          <w:tcPr>
            <w:tcW w:w="1440" w:type="dxa"/>
            <w:vAlign w:val="center"/>
          </w:tcPr>
          <w:p w:rsidR="00BC5EDF" w:rsidP="00EA756F" w14:paraId="114C30E4" w14:textId="4A284FDB">
            <w:pPr>
              <w:jc w:val="center"/>
            </w:pPr>
            <w:r>
              <w:t>2,535</w:t>
            </w:r>
          </w:p>
        </w:tc>
      </w:tr>
      <w:tr w14:paraId="39E15EC9" w14:textId="77777777" w:rsidTr="006E00DF">
        <w:tblPrEx>
          <w:tblW w:w="9265" w:type="dxa"/>
          <w:tblLayout w:type="fixed"/>
          <w:tblLook w:val="01E0"/>
        </w:tblPrEx>
        <w:tc>
          <w:tcPr>
            <w:tcW w:w="1435" w:type="dxa"/>
            <w:vAlign w:val="center"/>
          </w:tcPr>
          <w:p w:rsidR="00BC5EDF" w:rsidP="006E00DF" w14:paraId="2C6A046E" w14:textId="3837142D">
            <w:pPr>
              <w:jc w:val="center"/>
              <w:rPr>
                <w:rFonts w:eastAsia="Calibri"/>
              </w:rPr>
            </w:pPr>
            <w:r>
              <w:rPr>
                <w:rFonts w:eastAsia="Calibri"/>
              </w:rPr>
              <w:t>Cruise ship passengers and high-risk contacts</w:t>
            </w:r>
          </w:p>
        </w:tc>
        <w:tc>
          <w:tcPr>
            <w:tcW w:w="1890" w:type="dxa"/>
            <w:vAlign w:val="center"/>
          </w:tcPr>
          <w:p w:rsidR="00BC5EDF" w:rsidRPr="006366C7" w:rsidP="006E00DF" w14:paraId="7A38B604" w14:textId="6D3C625A">
            <w:pPr>
              <w:rPr>
                <w:rFonts w:eastAsia="Calibri"/>
              </w:rPr>
            </w:pPr>
            <w:r w:rsidRPr="00FC4CCC">
              <w:rPr>
                <w:rFonts w:eastAsia="Calibri"/>
              </w:rPr>
              <w:t>Hantavirus 2026 Monitoring Schema Data Elements</w:t>
            </w:r>
            <w:r w:rsidR="008715A8">
              <w:rPr>
                <w:rFonts w:eastAsia="Calibri"/>
              </w:rPr>
              <w:t xml:space="preserve"> x 42 days</w:t>
            </w:r>
          </w:p>
        </w:tc>
        <w:tc>
          <w:tcPr>
            <w:tcW w:w="1530" w:type="dxa"/>
            <w:vAlign w:val="center"/>
          </w:tcPr>
          <w:p w:rsidR="00BC5EDF" w:rsidP="006E00DF" w14:paraId="6CABB149" w14:textId="490CE682">
            <w:pPr>
              <w:jc w:val="center"/>
              <w:rPr>
                <w:rFonts w:eastAsia="Calibri"/>
                <w:color w:val="000000"/>
              </w:rPr>
            </w:pPr>
            <w:r>
              <w:rPr>
                <w:rFonts w:eastAsia="Calibri"/>
                <w:color w:val="000000"/>
              </w:rPr>
              <w:t>65</w:t>
            </w:r>
          </w:p>
        </w:tc>
        <w:tc>
          <w:tcPr>
            <w:tcW w:w="1620" w:type="dxa"/>
            <w:vAlign w:val="center"/>
          </w:tcPr>
          <w:p w:rsidR="00BC5EDF" w:rsidRPr="0089627D" w:rsidP="006E00DF" w14:paraId="11BD24D9" w14:textId="7987A762">
            <w:pPr>
              <w:jc w:val="center"/>
              <w:rPr>
                <w:rFonts w:eastAsia="Calibri"/>
              </w:rPr>
            </w:pPr>
            <w:r>
              <w:rPr>
                <w:rFonts w:eastAsia="Calibri"/>
              </w:rPr>
              <w:t>22</w:t>
            </w:r>
            <w:r w:rsidR="00E712E8">
              <w:rPr>
                <w:rFonts w:eastAsia="Calibri"/>
              </w:rPr>
              <w:t xml:space="preserve"> (x42 days)</w:t>
            </w:r>
          </w:p>
        </w:tc>
        <w:tc>
          <w:tcPr>
            <w:tcW w:w="1350" w:type="dxa"/>
            <w:vAlign w:val="center"/>
          </w:tcPr>
          <w:p w:rsidR="00BC5EDF" w:rsidP="006E00DF" w14:paraId="203B5EE4" w14:textId="3FBF4C4E">
            <w:pPr>
              <w:jc w:val="center"/>
              <w:rPr>
                <w:rFonts w:eastAsia="Calibri"/>
              </w:rPr>
            </w:pPr>
            <w:r>
              <w:rPr>
                <w:rFonts w:eastAsia="Calibri"/>
              </w:rPr>
              <w:t>15/60</w:t>
            </w:r>
          </w:p>
        </w:tc>
        <w:tc>
          <w:tcPr>
            <w:tcW w:w="1440" w:type="dxa"/>
            <w:vAlign w:val="center"/>
          </w:tcPr>
          <w:p w:rsidR="00BC5EDF" w:rsidP="00EA756F" w14:paraId="20B4244D" w14:textId="730B6E3E">
            <w:pPr>
              <w:jc w:val="center"/>
            </w:pPr>
            <w:r>
              <w:t>15,015</w:t>
            </w:r>
          </w:p>
        </w:tc>
      </w:tr>
      <w:tr w14:paraId="5338EF0C" w14:textId="77777777" w:rsidTr="006E00DF">
        <w:tblPrEx>
          <w:tblW w:w="9265" w:type="dxa"/>
          <w:tblLayout w:type="fixed"/>
          <w:tblLook w:val="01E0"/>
        </w:tblPrEx>
        <w:tc>
          <w:tcPr>
            <w:tcW w:w="1435" w:type="dxa"/>
            <w:vAlign w:val="center"/>
          </w:tcPr>
          <w:p w:rsidR="00B73458" w:rsidRPr="00C81C11" w:rsidP="006E00DF" w14:paraId="582F1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rPr>
            </w:pPr>
            <w:r w:rsidRPr="00C81C11">
              <w:rPr>
                <w:rFonts w:eastAsia="Calibri"/>
                <w:b/>
              </w:rPr>
              <w:t>Total</w:t>
            </w:r>
          </w:p>
        </w:tc>
        <w:tc>
          <w:tcPr>
            <w:tcW w:w="1890" w:type="dxa"/>
            <w:vAlign w:val="center"/>
          </w:tcPr>
          <w:p w:rsidR="00B73458" w:rsidP="006E00DF" w14:paraId="210BF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530" w:type="dxa"/>
            <w:vAlign w:val="center"/>
          </w:tcPr>
          <w:p w:rsidR="00B73458" w:rsidP="006E00DF" w14:paraId="63A73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00B73458" w:rsidRPr="003C0D8D" w:rsidP="006E00DF" w14:paraId="2171D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00B73458" w:rsidRPr="003C0D8D" w:rsidP="006E00DF" w14:paraId="264E6F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440" w:type="dxa"/>
            <w:vAlign w:val="center"/>
          </w:tcPr>
          <w:p w:rsidR="00B73458" w:rsidRPr="00C81C11" w:rsidP="006E00DF" w14:paraId="2A211BEC" w14:textId="050AA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rPr>
            </w:pPr>
            <w:bdo w:val="ltr">
              <w:r w:rsidRPr="0050293C">
                <w:rPr>
                  <w:rFonts w:eastAsia="Calibri"/>
                  <w:b/>
                  <w:bCs/>
                </w:rPr>
                <w:t>‬</w:t>
              </w:r>
              <w:r w:rsidRPr="0050293C">
                <w:rPr>
                  <w:rFonts w:eastAsia="Calibri"/>
                  <w:b/>
                  <w:bCs/>
                </w:rPr>
                <w:t xml:space="preserve"> </w:t>
              </w:r>
              <w:r w:rsidR="00180E37">
                <w:rPr>
                  <w:rFonts w:eastAsia="Calibri"/>
                  <w:b/>
                  <w:bCs/>
                </w:rPr>
                <w:t>17,813</w:t>
              </w:r>
              <w:r>
                <w:t>‬</w:t>
              </w:r>
              <w:r>
                <w:t>‬</w:t>
              </w:r>
              <w:r>
                <w:t>‬</w:t>
              </w:r>
              <w:r w:rsidR="00C464AE">
                <w:t>‬</w:t>
              </w:r>
              <w:r w:rsidR="00C464AE">
                <w:t>‬</w:t>
              </w:r>
              <w:r w:rsidR="00473AC5">
                <w:t>‬</w:t>
              </w:r>
              <w:r w:rsidR="008E4F44">
                <w:t>‬</w:t>
              </w:r>
              <w:r w:rsidR="008E4F44">
                <w:t>‬</w:t>
              </w:r>
              <w:r w:rsidR="008E4F44">
                <w:t>‬</w:t>
              </w:r>
              <w:r>
                <w:t>‬</w:t>
              </w:r>
              <w:r>
                <w:t>‬</w:t>
              </w:r>
              <w:r>
                <w:t>‬</w:t>
              </w:r>
              <w:r>
                <w:t>‬</w:t>
              </w:r>
              <w:r>
                <w:t>‬</w:t>
              </w:r>
              <w:r>
                <w:t>‬</w:t>
              </w:r>
              <w:r>
                <w:t>‬</w:t>
              </w:r>
            </w:bdo>
          </w:p>
        </w:tc>
      </w:tr>
    </w:tbl>
    <w:p w:rsidR="00B73458" w:rsidP="00B73458" w14:paraId="4A376FAF" w14:textId="77777777"/>
    <w:p w:rsidR="00B73458" w:rsidP="00B73458" w14:paraId="4BC45BA0" w14:textId="77777777">
      <w:r>
        <w:t>12</w:t>
      </w:r>
      <w:r w:rsidRPr="00C77027">
        <w:t xml:space="preserve"> B. Estimates of Annualized Cost</w:t>
      </w:r>
    </w:p>
    <w:p w:rsidR="00B73458" w:rsidP="00B73458" w14:paraId="46FBD4CD" w14:textId="77777777">
      <w:pPr>
        <w:rPr>
          <w:color w:val="000000"/>
        </w:rPr>
      </w:pPr>
    </w:p>
    <w:p w:rsidR="00B73458" w:rsidRPr="00865B4C" w:rsidP="00B73458" w14:paraId="461FA7D8" w14:textId="301538EE">
      <w:pPr>
        <w:rPr>
          <w:color w:val="000000"/>
        </w:rPr>
      </w:pPr>
      <w:r w:rsidRPr="00E40BBC">
        <w:rPr>
          <w:color w:val="000000"/>
        </w:rPr>
        <w:t xml:space="preserve">There will be no anticipated costs </w:t>
      </w:r>
      <w:r w:rsidRPr="00E40BBC">
        <w:rPr>
          <w:color w:val="000000"/>
        </w:rPr>
        <w:t>to</w:t>
      </w:r>
      <w:r w:rsidRPr="00E40BBC">
        <w:rPr>
          <w:color w:val="000000"/>
        </w:rPr>
        <w:t xml:space="preserve"> respondents other than time. </w:t>
      </w:r>
      <w:r w:rsidRPr="006C647B">
        <w:rPr>
          <w:color w:val="000000"/>
        </w:rPr>
        <w:t xml:space="preserve">Wages for </w:t>
      </w:r>
      <w:r>
        <w:rPr>
          <w:color w:val="000000"/>
        </w:rPr>
        <w:t>travelers</w:t>
      </w:r>
      <w:r w:rsidRPr="006C647B">
        <w:rPr>
          <w:color w:val="000000"/>
        </w:rPr>
        <w:t xml:space="preserve"> were gathered from </w:t>
      </w:r>
      <w:r>
        <w:rPr>
          <w:color w:val="000000"/>
        </w:rPr>
        <w:t xml:space="preserve">BLS category </w:t>
      </w:r>
      <w:r w:rsidRPr="006C647B">
        <w:rPr>
          <w:color w:val="000000"/>
        </w:rPr>
        <w:t xml:space="preserve">00-0000 </w:t>
      </w:r>
      <w:r>
        <w:rPr>
          <w:color w:val="000000"/>
        </w:rPr>
        <w:t>“</w:t>
      </w:r>
      <w:r w:rsidRPr="006C647B">
        <w:rPr>
          <w:color w:val="000000"/>
        </w:rPr>
        <w:t>All Occupations</w:t>
      </w:r>
      <w:r>
        <w:rPr>
          <w:color w:val="000000"/>
        </w:rPr>
        <w:t>”</w:t>
      </w:r>
      <w:r w:rsidRPr="006C647B">
        <w:rPr>
          <w:color w:val="000000"/>
        </w:rPr>
        <w:t xml:space="preserve"> (</w:t>
      </w:r>
      <w:hyperlink r:id="rId8" w:anchor="00-0000" w:history="1">
        <w:r w:rsidRPr="00781935">
          <w:rPr>
            <w:rStyle w:val="Hyperlink"/>
            <w:rFonts w:eastAsiaTheme="majorEastAsia"/>
          </w:rPr>
          <w:t>http://www.bls.gov/oe</w:t>
        </w:r>
        <w:bookmarkStart w:id="26" w:name="_Hlt115940391"/>
        <w:bookmarkStart w:id="27" w:name="_Hlt115940392"/>
        <w:r w:rsidRPr="00781935">
          <w:rPr>
            <w:rStyle w:val="Hyperlink"/>
            <w:rFonts w:eastAsiaTheme="majorEastAsia"/>
          </w:rPr>
          <w:t>s</w:t>
        </w:r>
        <w:bookmarkEnd w:id="26"/>
        <w:bookmarkEnd w:id="27"/>
        <w:r w:rsidRPr="00781935">
          <w:rPr>
            <w:rStyle w:val="Hyperlink"/>
            <w:rFonts w:eastAsiaTheme="majorEastAsia"/>
          </w:rPr>
          <w:t>/current/oes_nat.htm#00-0000</w:t>
        </w:r>
      </w:hyperlink>
      <w:r w:rsidRPr="00421C30">
        <w:rPr>
          <w:color w:val="000000"/>
        </w:rPr>
        <w:t>)</w:t>
      </w:r>
      <w:r>
        <w:rPr>
          <w:color w:val="000000"/>
        </w:rPr>
        <w:t xml:space="preserve">. The estimated total cost is </w:t>
      </w:r>
      <w:r w:rsidRPr="003E0F7D">
        <w:t>$</w:t>
      </w:r>
      <w:r w:rsidR="00C86FAE">
        <w:t>498,942</w:t>
      </w:r>
      <w:r>
        <w:rPr>
          <w:color w:val="000000"/>
        </w:rPr>
        <w:t>.</w:t>
      </w:r>
    </w:p>
    <w:p w:rsidR="00B73458" w:rsidRPr="00C77027" w:rsidP="00B73458" w14:paraId="4776EE79" w14:textId="77777777"/>
    <w:tbl>
      <w:tblPr>
        <w:tblpPr w:leftFromText="180" w:rightFromText="180" w:vertAnchor="text" w:tblpXSpec="center"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530"/>
        <w:gridCol w:w="990"/>
        <w:gridCol w:w="1440"/>
        <w:gridCol w:w="1710"/>
        <w:gridCol w:w="1530"/>
        <w:gridCol w:w="1530"/>
      </w:tblGrid>
      <w:tr w14:paraId="6E3E41F9" w14:textId="03F30D37" w:rsidTr="00A43FF3">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45" w:type="dxa"/>
            <w:tcBorders>
              <w:bottom w:val="single" w:sz="4" w:space="0" w:color="auto"/>
            </w:tcBorders>
          </w:tcPr>
          <w:p w:rsidR="00A43FF3" w:rsidRPr="00421C30" w:rsidP="006E00DF" w14:paraId="38A76C1A" w14:textId="77777777">
            <w:pPr>
              <w:jc w:val="center"/>
            </w:pPr>
            <w:r>
              <w:t>Respondent</w:t>
            </w:r>
          </w:p>
        </w:tc>
        <w:tc>
          <w:tcPr>
            <w:tcW w:w="1530" w:type="dxa"/>
            <w:tcBorders>
              <w:bottom w:val="single" w:sz="4" w:space="0" w:color="auto"/>
            </w:tcBorders>
          </w:tcPr>
          <w:p w:rsidR="00A43FF3" w:rsidRPr="00421C30" w:rsidP="006E00DF" w14:paraId="09EAFA9D" w14:textId="77777777">
            <w:pPr>
              <w:jc w:val="center"/>
            </w:pPr>
            <w:r>
              <w:rPr>
                <w:rFonts w:eastAsia="Calibri"/>
              </w:rPr>
              <w:t>Information Collection Tool</w:t>
            </w:r>
          </w:p>
        </w:tc>
        <w:tc>
          <w:tcPr>
            <w:tcW w:w="990" w:type="dxa"/>
            <w:tcBorders>
              <w:bottom w:val="single" w:sz="4" w:space="0" w:color="auto"/>
            </w:tcBorders>
          </w:tcPr>
          <w:p w:rsidR="00A43FF3" w:rsidRPr="00421C30" w:rsidP="006E00DF" w14:paraId="169D125C" w14:textId="77777777">
            <w:pPr>
              <w:jc w:val="center"/>
            </w:pPr>
            <w:r w:rsidRPr="00421C30">
              <w:t>Total Burden Hours</w:t>
            </w:r>
          </w:p>
        </w:tc>
        <w:tc>
          <w:tcPr>
            <w:tcW w:w="1440" w:type="dxa"/>
            <w:tcBorders>
              <w:bottom w:val="single" w:sz="4" w:space="0" w:color="auto"/>
            </w:tcBorders>
          </w:tcPr>
          <w:p w:rsidR="00A43FF3" w:rsidRPr="00421C30" w:rsidP="006E00DF" w14:paraId="22D6052D" w14:textId="77777777">
            <w:pPr>
              <w:jc w:val="center"/>
            </w:pPr>
            <w:r w:rsidRPr="00421C30">
              <w:t>Hourly Wage Rate</w:t>
            </w:r>
          </w:p>
        </w:tc>
        <w:tc>
          <w:tcPr>
            <w:tcW w:w="1710" w:type="dxa"/>
            <w:tcBorders>
              <w:bottom w:val="single" w:sz="4" w:space="0" w:color="auto"/>
            </w:tcBorders>
          </w:tcPr>
          <w:p w:rsidR="00A43FF3" w:rsidRPr="00421C30" w:rsidP="006E00DF" w14:paraId="07915A34" w14:textId="77777777">
            <w:pPr>
              <w:jc w:val="center"/>
            </w:pPr>
            <w:r w:rsidRPr="00421C30">
              <w:t>Total Respondent Costs</w:t>
            </w:r>
          </w:p>
        </w:tc>
        <w:tc>
          <w:tcPr>
            <w:tcW w:w="1530" w:type="dxa"/>
            <w:tcBorders>
              <w:bottom w:val="single" w:sz="4" w:space="0" w:color="auto"/>
            </w:tcBorders>
          </w:tcPr>
          <w:p w:rsidR="00A43FF3" w:rsidRPr="00421C30" w:rsidP="00A43FF3" w14:paraId="632648B5" w14:textId="536B5D0C">
            <w:pPr>
              <w:jc w:val="center"/>
            </w:pPr>
            <w:r>
              <w:t>Wage Rate Multiplier</w:t>
            </w:r>
          </w:p>
        </w:tc>
        <w:tc>
          <w:tcPr>
            <w:tcW w:w="1530" w:type="dxa"/>
            <w:tcBorders>
              <w:bottom w:val="single" w:sz="4" w:space="0" w:color="auto"/>
            </w:tcBorders>
          </w:tcPr>
          <w:p w:rsidR="00A43FF3" w:rsidRPr="00421C30" w:rsidP="006E00DF" w14:paraId="1E4E969A" w14:textId="3FD95C47">
            <w:pPr>
              <w:jc w:val="center"/>
            </w:pPr>
            <w:r>
              <w:t>Fully loaded Cost Burden</w:t>
            </w:r>
          </w:p>
        </w:tc>
      </w:tr>
      <w:tr w14:paraId="02B55D19" w14:textId="47F45E72" w:rsidTr="00A43FF3">
        <w:tblPrEx>
          <w:tblW w:w="10075" w:type="dxa"/>
          <w:tblLayout w:type="fixed"/>
          <w:tblLook w:val="01E0"/>
        </w:tblPrEx>
        <w:tc>
          <w:tcPr>
            <w:tcW w:w="1345" w:type="dxa"/>
            <w:tcBorders>
              <w:top w:val="single" w:sz="4" w:space="0" w:color="auto"/>
              <w:left w:val="single" w:sz="4" w:space="0" w:color="auto"/>
              <w:bottom w:val="single" w:sz="4" w:space="0" w:color="auto"/>
              <w:right w:val="single" w:sz="4" w:space="0" w:color="auto"/>
            </w:tcBorders>
            <w:vAlign w:val="center"/>
          </w:tcPr>
          <w:p w:rsidR="00A43FF3" w:rsidRPr="003C0D8D" w:rsidP="007538FC" w14:paraId="6575D96D" w14:textId="251BF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Cruise ship passengers</w:t>
            </w:r>
          </w:p>
        </w:tc>
        <w:tc>
          <w:tcPr>
            <w:tcW w:w="1530" w:type="dxa"/>
            <w:tcBorders>
              <w:top w:val="single" w:sz="4" w:space="0" w:color="auto"/>
              <w:left w:val="single" w:sz="4" w:space="0" w:color="auto"/>
              <w:bottom w:val="single" w:sz="4" w:space="0" w:color="auto"/>
              <w:right w:val="single" w:sz="4" w:space="0" w:color="auto"/>
            </w:tcBorders>
            <w:vAlign w:val="center"/>
          </w:tcPr>
          <w:p w:rsidR="00A43FF3" w:rsidRPr="00080079" w:rsidP="007538FC" w14:paraId="7523210E" w14:textId="380FA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eastAsia="Calibri"/>
              </w:rPr>
              <w:t xml:space="preserve">Andes </w:t>
            </w:r>
            <w:r>
              <w:rPr>
                <w:rFonts w:eastAsia="Calibri"/>
              </w:rPr>
              <w:t>hantavirus</w:t>
            </w:r>
            <w:r>
              <w:rPr>
                <w:rFonts w:eastAsia="Calibri"/>
              </w:rPr>
              <w:t xml:space="preserve"> Canary Island Assessment</w:t>
            </w:r>
          </w:p>
        </w:tc>
        <w:tc>
          <w:tcPr>
            <w:tcW w:w="990" w:type="dxa"/>
            <w:tcBorders>
              <w:top w:val="single" w:sz="4" w:space="0" w:color="auto"/>
              <w:left w:val="single" w:sz="4" w:space="0" w:color="auto"/>
              <w:bottom w:val="single" w:sz="4" w:space="0" w:color="auto"/>
              <w:right w:val="single" w:sz="4" w:space="0" w:color="auto"/>
            </w:tcBorders>
            <w:vAlign w:val="center"/>
          </w:tcPr>
          <w:p w:rsidR="00A43FF3" w:rsidRPr="0005600B" w:rsidP="007538FC" w14:paraId="5FB81CF5" w14:textId="3491F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bdo w:val="ltr">
              <w:r>
                <w:t>‬</w:t>
              </w:r>
              <w:r>
                <w:t xml:space="preserve">     </w:t>
              </w:r>
              <w:r w:rsidRPr="00EA756F">
                <w:t>263</w:t>
              </w:r>
              <w:r>
                <w:t>‬</w:t>
              </w:r>
              <w:r>
                <w:t>‬</w:t>
              </w:r>
              <w:r>
                <w:t>‬</w:t>
              </w:r>
              <w:r>
                <w:t>‬</w:t>
              </w:r>
              <w:r>
                <w:t>‬</w:t>
              </w:r>
              <w:r>
                <w:t>‬</w:t>
              </w:r>
              <w:r>
                <w:t>‬</w:t>
              </w:r>
              <w:r>
                <w:t>‬</w:t>
              </w:r>
              <w:r>
                <w:t>‬</w:t>
              </w:r>
              <w:r>
                <w:t>‬</w:t>
              </w:r>
              <w:r>
                <w:t>‬</w:t>
              </w:r>
              <w:r>
                <w:t>‬</w:t>
              </w:r>
              <w:r>
                <w:t>‬</w:t>
              </w:r>
              <w:r>
                <w:t>‬</w:t>
              </w:r>
              <w:r>
                <w:t>‬</w:t>
              </w:r>
              <w:r>
                <w:t>‬</w:t>
              </w:r>
              <w:r>
                <w:t>‬</w:t>
              </w:r>
              <w:r>
                <w:t>‬</w:t>
              </w:r>
              <w:r>
                <w:t>‬</w:t>
              </w:r>
              <w:r>
                <w:t>‬</w:t>
              </w:r>
              <w:r>
                <w:t>‬</w:t>
              </w:r>
              <w:r>
                <w:t>‬</w:t>
              </w:r>
            </w:bdo>
          </w:p>
        </w:tc>
        <w:tc>
          <w:tcPr>
            <w:tcW w:w="1440" w:type="dxa"/>
            <w:tcBorders>
              <w:top w:val="single" w:sz="4" w:space="0" w:color="auto"/>
              <w:left w:val="single" w:sz="4" w:space="0" w:color="auto"/>
              <w:bottom w:val="single" w:sz="4" w:space="0" w:color="auto"/>
              <w:right w:val="single" w:sz="4" w:space="0" w:color="auto"/>
            </w:tcBorders>
            <w:vAlign w:val="center"/>
          </w:tcPr>
          <w:p w:rsidR="00A43FF3" w:rsidP="007538FC" w14:paraId="353BBB0C" w14:textId="77777777">
            <w:pPr>
              <w:jc w:val="center"/>
            </w:pPr>
            <w:r>
              <w:rPr>
                <w:color w:val="000000"/>
              </w:rPr>
              <w:t>$</w:t>
            </w:r>
            <w:r w:rsidRPr="00F43BD2">
              <w:rPr>
                <w:color w:val="000000"/>
              </w:rPr>
              <w:t>28.01</w:t>
            </w:r>
          </w:p>
        </w:tc>
        <w:tc>
          <w:tcPr>
            <w:tcW w:w="1710" w:type="dxa"/>
            <w:tcBorders>
              <w:top w:val="single" w:sz="4" w:space="0" w:color="auto"/>
              <w:left w:val="single" w:sz="4" w:space="0" w:color="auto"/>
              <w:bottom w:val="single" w:sz="4" w:space="0" w:color="auto"/>
              <w:right w:val="single" w:sz="4" w:space="0" w:color="auto"/>
            </w:tcBorders>
            <w:vAlign w:val="center"/>
          </w:tcPr>
          <w:p w:rsidR="00A43FF3" w:rsidRPr="00E25A19" w:rsidP="007538FC" w14:paraId="4F837F3E" w14:textId="70C8EA07">
            <w:pPr>
              <w:jc w:val="center"/>
            </w:pPr>
            <w:r w:rsidRPr="003E0F7D">
              <w:t>$</w:t>
            </w:r>
            <w:r>
              <w:t>7,367</w:t>
            </w:r>
          </w:p>
        </w:tc>
        <w:tc>
          <w:tcPr>
            <w:tcW w:w="1530" w:type="dxa"/>
            <w:tcBorders>
              <w:top w:val="single" w:sz="4" w:space="0" w:color="auto"/>
              <w:left w:val="single" w:sz="4" w:space="0" w:color="auto"/>
              <w:bottom w:val="single" w:sz="4" w:space="0" w:color="auto"/>
              <w:right w:val="single" w:sz="4" w:space="0" w:color="auto"/>
            </w:tcBorders>
          </w:tcPr>
          <w:p w:rsidR="00A43FF3" w:rsidRPr="003E0F7D" w:rsidP="007538FC" w14:paraId="3EBB3486" w14:textId="6872CB1C">
            <w:pPr>
              <w:jc w:val="center"/>
            </w:pPr>
            <w:r>
              <w:t>x 2</w:t>
            </w:r>
          </w:p>
        </w:tc>
        <w:tc>
          <w:tcPr>
            <w:tcW w:w="1530" w:type="dxa"/>
            <w:tcBorders>
              <w:top w:val="single" w:sz="4" w:space="0" w:color="auto"/>
              <w:left w:val="single" w:sz="4" w:space="0" w:color="auto"/>
              <w:bottom w:val="single" w:sz="4" w:space="0" w:color="auto"/>
              <w:right w:val="single" w:sz="4" w:space="0" w:color="auto"/>
            </w:tcBorders>
          </w:tcPr>
          <w:p w:rsidR="00A43FF3" w:rsidRPr="003E0F7D" w:rsidP="007538FC" w14:paraId="04D826B7" w14:textId="54342B02">
            <w:pPr>
              <w:jc w:val="center"/>
            </w:pPr>
            <w:r>
              <w:t>$14,734</w:t>
            </w:r>
          </w:p>
        </w:tc>
      </w:tr>
      <w:tr w14:paraId="03809C3D" w14:textId="7351F226" w:rsidTr="00A43FF3">
        <w:tblPrEx>
          <w:tblW w:w="10075" w:type="dxa"/>
          <w:tblLayout w:type="fixed"/>
          <w:tblLook w:val="01E0"/>
        </w:tblPrEx>
        <w:tc>
          <w:tcPr>
            <w:tcW w:w="1345" w:type="dxa"/>
            <w:tcBorders>
              <w:top w:val="single" w:sz="4" w:space="0" w:color="auto"/>
              <w:left w:val="single" w:sz="4" w:space="0" w:color="auto"/>
              <w:bottom w:val="single" w:sz="4" w:space="0" w:color="auto"/>
              <w:right w:val="single" w:sz="4" w:space="0" w:color="auto"/>
            </w:tcBorders>
            <w:vAlign w:val="center"/>
          </w:tcPr>
          <w:p w:rsidR="00A43FF3" w:rsidP="007538FC" w14:paraId="47E18603" w14:textId="7DE0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Cruise ship passengers and high-risk contacts</w:t>
            </w:r>
          </w:p>
        </w:tc>
        <w:tc>
          <w:tcPr>
            <w:tcW w:w="1530" w:type="dxa"/>
            <w:tcBorders>
              <w:top w:val="single" w:sz="4" w:space="0" w:color="auto"/>
              <w:left w:val="single" w:sz="4" w:space="0" w:color="auto"/>
              <w:bottom w:val="single" w:sz="4" w:space="0" w:color="auto"/>
              <w:right w:val="single" w:sz="4" w:space="0" w:color="auto"/>
            </w:tcBorders>
            <w:vAlign w:val="center"/>
          </w:tcPr>
          <w:p w:rsidR="00A43FF3" w:rsidP="007538FC" w14:paraId="31DF0485" w14:textId="18BB1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1209EB">
              <w:rPr>
                <w:rFonts w:eastAsia="Calibri"/>
              </w:rPr>
              <w:t xml:space="preserve">Andes Virus Guidance Assessment </w:t>
            </w:r>
          </w:p>
        </w:tc>
        <w:tc>
          <w:tcPr>
            <w:tcW w:w="990" w:type="dxa"/>
            <w:tcBorders>
              <w:top w:val="single" w:sz="4" w:space="0" w:color="auto"/>
              <w:left w:val="single" w:sz="4" w:space="0" w:color="auto"/>
              <w:bottom w:val="single" w:sz="4" w:space="0" w:color="auto"/>
              <w:right w:val="single" w:sz="4" w:space="0" w:color="auto"/>
            </w:tcBorders>
            <w:vAlign w:val="center"/>
          </w:tcPr>
          <w:p w:rsidR="00A43FF3" w:rsidP="007538FC" w14:paraId="53BD3D94" w14:textId="04ECA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2,535</w:t>
            </w:r>
          </w:p>
        </w:tc>
        <w:tc>
          <w:tcPr>
            <w:tcW w:w="1440" w:type="dxa"/>
            <w:tcBorders>
              <w:top w:val="single" w:sz="4" w:space="0" w:color="auto"/>
              <w:left w:val="single" w:sz="4" w:space="0" w:color="auto"/>
              <w:bottom w:val="single" w:sz="4" w:space="0" w:color="auto"/>
              <w:right w:val="single" w:sz="4" w:space="0" w:color="auto"/>
            </w:tcBorders>
            <w:vAlign w:val="center"/>
          </w:tcPr>
          <w:p w:rsidR="00A43FF3" w:rsidP="007538FC" w14:paraId="1DF039C0" w14:textId="4A2D8BEC">
            <w:pPr>
              <w:jc w:val="center"/>
              <w:rPr>
                <w:color w:val="000000"/>
              </w:rPr>
            </w:pPr>
            <w:r>
              <w:rPr>
                <w:color w:val="000000"/>
              </w:rPr>
              <w:t>$</w:t>
            </w:r>
            <w:r w:rsidRPr="00F43BD2">
              <w:rPr>
                <w:color w:val="000000"/>
              </w:rPr>
              <w:t>28.01</w:t>
            </w:r>
          </w:p>
        </w:tc>
        <w:tc>
          <w:tcPr>
            <w:tcW w:w="1710" w:type="dxa"/>
            <w:tcBorders>
              <w:top w:val="single" w:sz="4" w:space="0" w:color="auto"/>
              <w:left w:val="single" w:sz="4" w:space="0" w:color="auto"/>
              <w:bottom w:val="single" w:sz="4" w:space="0" w:color="auto"/>
              <w:right w:val="single" w:sz="4" w:space="0" w:color="auto"/>
            </w:tcBorders>
            <w:vAlign w:val="center"/>
          </w:tcPr>
          <w:p w:rsidR="00A43FF3" w:rsidRPr="003E0F7D" w:rsidP="007538FC" w14:paraId="23E42C34" w14:textId="7E770E57">
            <w:pPr>
              <w:jc w:val="center"/>
            </w:pPr>
            <w:r>
              <w:t>$71,005</w:t>
            </w:r>
          </w:p>
        </w:tc>
        <w:tc>
          <w:tcPr>
            <w:tcW w:w="1530" w:type="dxa"/>
            <w:tcBorders>
              <w:top w:val="single" w:sz="4" w:space="0" w:color="auto"/>
              <w:left w:val="single" w:sz="4" w:space="0" w:color="auto"/>
              <w:bottom w:val="single" w:sz="4" w:space="0" w:color="auto"/>
              <w:right w:val="single" w:sz="4" w:space="0" w:color="auto"/>
            </w:tcBorders>
          </w:tcPr>
          <w:p w:rsidR="00A43FF3" w:rsidP="007538FC" w14:paraId="1D5D77E3" w14:textId="0E5E5A94">
            <w:pPr>
              <w:jc w:val="center"/>
            </w:pPr>
            <w:r>
              <w:t>x 2</w:t>
            </w:r>
          </w:p>
        </w:tc>
        <w:tc>
          <w:tcPr>
            <w:tcW w:w="1530" w:type="dxa"/>
            <w:tcBorders>
              <w:top w:val="single" w:sz="4" w:space="0" w:color="auto"/>
              <w:left w:val="single" w:sz="4" w:space="0" w:color="auto"/>
              <w:bottom w:val="single" w:sz="4" w:space="0" w:color="auto"/>
              <w:right w:val="single" w:sz="4" w:space="0" w:color="auto"/>
            </w:tcBorders>
          </w:tcPr>
          <w:p w:rsidR="00A43FF3" w:rsidP="007538FC" w14:paraId="29C39A6F" w14:textId="6D18ACD5">
            <w:pPr>
              <w:jc w:val="center"/>
            </w:pPr>
            <w:r>
              <w:t>$142,010</w:t>
            </w:r>
          </w:p>
        </w:tc>
      </w:tr>
      <w:tr w14:paraId="1B69164B" w14:textId="50086D43" w:rsidTr="00A43FF3">
        <w:tblPrEx>
          <w:tblW w:w="10075" w:type="dxa"/>
          <w:tblLayout w:type="fixed"/>
          <w:tblLook w:val="01E0"/>
        </w:tblPrEx>
        <w:tc>
          <w:tcPr>
            <w:tcW w:w="1345" w:type="dxa"/>
            <w:tcBorders>
              <w:top w:val="single" w:sz="4" w:space="0" w:color="auto"/>
              <w:left w:val="single" w:sz="4" w:space="0" w:color="auto"/>
              <w:bottom w:val="single" w:sz="4" w:space="0" w:color="auto"/>
              <w:right w:val="single" w:sz="4" w:space="0" w:color="auto"/>
            </w:tcBorders>
            <w:vAlign w:val="center"/>
          </w:tcPr>
          <w:p w:rsidR="00A43FF3" w:rsidP="007538FC" w14:paraId="3590F172" w14:textId="332457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Cruise ship passengers and high-risk contacts</w:t>
            </w:r>
          </w:p>
        </w:tc>
        <w:tc>
          <w:tcPr>
            <w:tcW w:w="1530" w:type="dxa"/>
            <w:tcBorders>
              <w:top w:val="single" w:sz="4" w:space="0" w:color="auto"/>
              <w:left w:val="single" w:sz="4" w:space="0" w:color="auto"/>
              <w:bottom w:val="single" w:sz="4" w:space="0" w:color="auto"/>
              <w:right w:val="single" w:sz="4" w:space="0" w:color="auto"/>
            </w:tcBorders>
            <w:vAlign w:val="center"/>
          </w:tcPr>
          <w:p w:rsidR="00A43FF3" w:rsidP="007538FC" w14:paraId="148B61BB" w14:textId="144AE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FC4CCC">
              <w:rPr>
                <w:rFonts w:eastAsia="Calibri"/>
              </w:rPr>
              <w:t>Hantavirus 2026 Monitoring Schema Data Elements</w:t>
            </w:r>
            <w:r>
              <w:rPr>
                <w:rFonts w:eastAsia="Calibri"/>
              </w:rPr>
              <w:t xml:space="preserve"> x 42 days</w:t>
            </w:r>
          </w:p>
        </w:tc>
        <w:tc>
          <w:tcPr>
            <w:tcW w:w="990" w:type="dxa"/>
            <w:tcBorders>
              <w:top w:val="single" w:sz="4" w:space="0" w:color="auto"/>
              <w:left w:val="single" w:sz="4" w:space="0" w:color="auto"/>
              <w:bottom w:val="single" w:sz="4" w:space="0" w:color="auto"/>
              <w:right w:val="single" w:sz="4" w:space="0" w:color="auto"/>
            </w:tcBorders>
            <w:vAlign w:val="center"/>
          </w:tcPr>
          <w:p w:rsidR="00A43FF3" w:rsidP="007538FC" w14:paraId="42310911" w14:textId="21403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15,015</w:t>
            </w:r>
          </w:p>
        </w:tc>
        <w:tc>
          <w:tcPr>
            <w:tcW w:w="1440" w:type="dxa"/>
            <w:tcBorders>
              <w:top w:val="single" w:sz="4" w:space="0" w:color="auto"/>
              <w:left w:val="single" w:sz="4" w:space="0" w:color="auto"/>
              <w:bottom w:val="single" w:sz="4" w:space="0" w:color="auto"/>
              <w:right w:val="single" w:sz="4" w:space="0" w:color="auto"/>
            </w:tcBorders>
            <w:vAlign w:val="center"/>
          </w:tcPr>
          <w:p w:rsidR="00A43FF3" w:rsidRPr="007538FC" w:rsidP="007538FC" w14:paraId="6E35AB9D" w14:textId="505DB85F">
            <w:pPr>
              <w:jc w:val="center"/>
              <w:rPr>
                <w:b/>
                <w:bCs/>
                <w:color w:val="000000"/>
              </w:rPr>
            </w:pPr>
            <w:r>
              <w:rPr>
                <w:color w:val="000000"/>
              </w:rPr>
              <w:t>$</w:t>
            </w:r>
            <w:r w:rsidRPr="00F43BD2">
              <w:rPr>
                <w:color w:val="000000"/>
              </w:rPr>
              <w:t>28.01</w:t>
            </w:r>
          </w:p>
        </w:tc>
        <w:tc>
          <w:tcPr>
            <w:tcW w:w="1710" w:type="dxa"/>
            <w:tcBorders>
              <w:top w:val="single" w:sz="4" w:space="0" w:color="auto"/>
              <w:left w:val="single" w:sz="4" w:space="0" w:color="auto"/>
              <w:bottom w:val="single" w:sz="4" w:space="0" w:color="auto"/>
              <w:right w:val="single" w:sz="4" w:space="0" w:color="auto"/>
            </w:tcBorders>
            <w:vAlign w:val="center"/>
          </w:tcPr>
          <w:p w:rsidR="00A43FF3" w:rsidRPr="003E0F7D" w:rsidP="007538FC" w14:paraId="1C058918" w14:textId="03DF766E">
            <w:pPr>
              <w:jc w:val="center"/>
            </w:pPr>
            <w:r>
              <w:t>$420,570</w:t>
            </w:r>
          </w:p>
        </w:tc>
        <w:tc>
          <w:tcPr>
            <w:tcW w:w="1530" w:type="dxa"/>
            <w:tcBorders>
              <w:top w:val="single" w:sz="4" w:space="0" w:color="auto"/>
              <w:left w:val="single" w:sz="4" w:space="0" w:color="auto"/>
              <w:bottom w:val="single" w:sz="4" w:space="0" w:color="auto"/>
              <w:right w:val="single" w:sz="4" w:space="0" w:color="auto"/>
            </w:tcBorders>
          </w:tcPr>
          <w:p w:rsidR="00A43FF3" w:rsidP="007538FC" w14:paraId="42461C96" w14:textId="54C5A8F8">
            <w:pPr>
              <w:jc w:val="center"/>
            </w:pPr>
            <w:r>
              <w:t>x 2</w:t>
            </w:r>
          </w:p>
        </w:tc>
        <w:tc>
          <w:tcPr>
            <w:tcW w:w="1530" w:type="dxa"/>
            <w:tcBorders>
              <w:top w:val="single" w:sz="4" w:space="0" w:color="auto"/>
              <w:left w:val="single" w:sz="4" w:space="0" w:color="auto"/>
              <w:bottom w:val="single" w:sz="4" w:space="0" w:color="auto"/>
              <w:right w:val="single" w:sz="4" w:space="0" w:color="auto"/>
            </w:tcBorders>
          </w:tcPr>
          <w:p w:rsidR="00A43FF3" w:rsidP="007538FC" w14:paraId="6E54947B" w14:textId="6C8B85C8">
            <w:pPr>
              <w:jc w:val="center"/>
            </w:pPr>
            <w:r>
              <w:t>$841,040</w:t>
            </w:r>
          </w:p>
        </w:tc>
      </w:tr>
      <w:tr w14:paraId="4DFD323E" w14:textId="3DD1172A" w:rsidTr="00A43FF3">
        <w:tblPrEx>
          <w:tblW w:w="10075" w:type="dxa"/>
          <w:tblLayout w:type="fixed"/>
          <w:tblLook w:val="01E0"/>
        </w:tblPrEx>
        <w:tc>
          <w:tcPr>
            <w:tcW w:w="1345" w:type="dxa"/>
            <w:vAlign w:val="center"/>
          </w:tcPr>
          <w:p w:rsidR="00A43FF3" w:rsidRPr="001C3355" w:rsidP="006E00DF" w14:paraId="02C126F5" w14:textId="77777777">
            <w:pPr>
              <w:jc w:val="center"/>
            </w:pPr>
            <w:r w:rsidRPr="00BC6AB7">
              <w:rPr>
                <w:b/>
                <w:bCs/>
              </w:rPr>
              <w:t>Total</w:t>
            </w:r>
          </w:p>
        </w:tc>
        <w:tc>
          <w:tcPr>
            <w:tcW w:w="1530" w:type="dxa"/>
            <w:vAlign w:val="center"/>
          </w:tcPr>
          <w:p w:rsidR="00A43FF3" w:rsidP="006E00DF" w14:paraId="47003230" w14:textId="77777777">
            <w:pPr>
              <w:jc w:val="center"/>
            </w:pPr>
          </w:p>
        </w:tc>
        <w:tc>
          <w:tcPr>
            <w:tcW w:w="990" w:type="dxa"/>
            <w:vAlign w:val="center"/>
          </w:tcPr>
          <w:p w:rsidR="00A43FF3" w:rsidRPr="00BF3FFC" w:rsidP="006E00DF" w14:paraId="6D923A37" w14:textId="52038658">
            <w:pPr>
              <w:jc w:val="center"/>
              <w:rPr>
                <w:b/>
                <w:bCs/>
              </w:rPr>
            </w:pPr>
            <w:r>
              <w:rPr>
                <w:rFonts w:eastAsia="Calibri"/>
                <w:b/>
                <w:bCs/>
                <w:color w:val="000000"/>
              </w:rPr>
              <w:t>17,813</w:t>
            </w:r>
          </w:p>
        </w:tc>
        <w:tc>
          <w:tcPr>
            <w:tcW w:w="1440" w:type="dxa"/>
            <w:vAlign w:val="center"/>
          </w:tcPr>
          <w:p w:rsidR="00A43FF3" w:rsidP="006E00DF" w14:paraId="1DD03FED" w14:textId="77777777">
            <w:pPr>
              <w:jc w:val="center"/>
            </w:pPr>
          </w:p>
        </w:tc>
        <w:tc>
          <w:tcPr>
            <w:tcW w:w="1710" w:type="dxa"/>
            <w:vAlign w:val="center"/>
          </w:tcPr>
          <w:p w:rsidR="00A43FF3" w:rsidRPr="007F1B63" w:rsidP="006E00DF" w14:paraId="593128F5" w14:textId="30F2894A">
            <w:pPr>
              <w:jc w:val="center"/>
            </w:pPr>
            <w:r w:rsidRPr="00A5794A">
              <w:rPr>
                <w:b/>
                <w:bCs/>
              </w:rPr>
              <w:t>$</w:t>
            </w:r>
            <w:r>
              <w:rPr>
                <w:b/>
                <w:bCs/>
              </w:rPr>
              <w:t>498,942</w:t>
            </w:r>
          </w:p>
        </w:tc>
        <w:tc>
          <w:tcPr>
            <w:tcW w:w="1530" w:type="dxa"/>
          </w:tcPr>
          <w:p w:rsidR="00A43FF3" w:rsidRPr="00A5794A" w:rsidP="006E00DF" w14:paraId="63DD1D09" w14:textId="77777777">
            <w:pPr>
              <w:jc w:val="center"/>
              <w:rPr>
                <w:b/>
                <w:bCs/>
              </w:rPr>
            </w:pPr>
          </w:p>
        </w:tc>
        <w:tc>
          <w:tcPr>
            <w:tcW w:w="1530" w:type="dxa"/>
          </w:tcPr>
          <w:p w:rsidR="00A43FF3" w:rsidRPr="00A5794A" w:rsidP="006E00DF" w14:paraId="19727011" w14:textId="335265FC">
            <w:pPr>
              <w:jc w:val="center"/>
              <w:rPr>
                <w:b/>
                <w:bCs/>
              </w:rPr>
            </w:pPr>
            <w:r>
              <w:rPr>
                <w:b/>
                <w:bCs/>
              </w:rPr>
              <w:t>$997,884</w:t>
            </w:r>
          </w:p>
        </w:tc>
      </w:tr>
    </w:tbl>
    <w:p w:rsidR="00B73458" w:rsidP="00B73458" w14:paraId="057D5C4E" w14:textId="77777777">
      <w:pPr>
        <w:pStyle w:val="Heading1"/>
        <w:spacing w:before="0" w:after="0"/>
        <w:rPr>
          <w:rFonts w:ascii="Times New Roman" w:hAnsi="Times New Roman"/>
          <w:sz w:val="24"/>
          <w:szCs w:val="24"/>
        </w:rPr>
      </w:pPr>
      <w:bookmarkStart w:id="28" w:name="_Toc410390882"/>
      <w:bookmarkStart w:id="29" w:name="_Toc378234018"/>
    </w:p>
    <w:p w:rsidR="00B73458" w:rsidRPr="004C52D9" w:rsidP="00B73458" w14:paraId="354ABF67" w14:textId="77777777">
      <w:pPr>
        <w:pStyle w:val="Heading1"/>
        <w:spacing w:before="0" w:after="0"/>
        <w:rPr>
          <w:rFonts w:ascii="Times New Roman" w:hAnsi="Times New Roman"/>
          <w:sz w:val="24"/>
          <w:szCs w:val="24"/>
        </w:rPr>
      </w:pPr>
      <w:r w:rsidRPr="004C52D9">
        <w:rPr>
          <w:rFonts w:ascii="Times New Roman" w:hAnsi="Times New Roman"/>
          <w:sz w:val="24"/>
          <w:szCs w:val="24"/>
        </w:rPr>
        <w:t>13. Estimates of Other Total Annual Cost Burden to Respondents or Record Keepers</w:t>
      </w:r>
      <w:bookmarkEnd w:id="28"/>
    </w:p>
    <w:p w:rsidR="00B73458" w:rsidP="00B73458" w14:paraId="0F9DAC8F" w14:textId="77777777">
      <w:pPr>
        <w:rPr>
          <w:b/>
        </w:rPr>
      </w:pPr>
    </w:p>
    <w:p w:rsidR="00B73458" w:rsidRPr="00410D5F" w:rsidP="00B73458" w14:paraId="2EF1B122" w14:textId="630DAEB8">
      <w:r>
        <w:t xml:space="preserve">There are no costs </w:t>
      </w:r>
      <w:r>
        <w:t>to</w:t>
      </w:r>
      <w:r>
        <w:t xml:space="preserve"> respondents other than the time necessary to respond to the information collection</w:t>
      </w:r>
      <w:r w:rsidR="00A5794A">
        <w:t>.</w:t>
      </w:r>
    </w:p>
    <w:p w:rsidR="00B73458" w:rsidP="00B73458" w14:paraId="09252E43" w14:textId="77777777"/>
    <w:p w:rsidR="00B73458" w:rsidRPr="004C52D9" w:rsidP="00B73458" w14:paraId="726C69B3" w14:textId="77777777">
      <w:pPr>
        <w:pStyle w:val="Heading1"/>
        <w:spacing w:before="0" w:after="0"/>
        <w:rPr>
          <w:rFonts w:ascii="Times New Roman" w:hAnsi="Times New Roman"/>
          <w:sz w:val="24"/>
          <w:szCs w:val="24"/>
        </w:rPr>
      </w:pPr>
      <w:bookmarkStart w:id="30" w:name="_Toc410390883"/>
      <w:r w:rsidRPr="004C52D9">
        <w:rPr>
          <w:rFonts w:ascii="Times New Roman" w:hAnsi="Times New Roman"/>
          <w:sz w:val="24"/>
          <w:szCs w:val="24"/>
        </w:rPr>
        <w:t>14. Annualized Cost to the Government</w:t>
      </w:r>
      <w:bookmarkEnd w:id="30"/>
    </w:p>
    <w:p w:rsidR="00B73458" w:rsidP="00B73458" w14:paraId="441FDC0F" w14:textId="77777777">
      <w:pPr>
        <w:widowControl w:val="0"/>
        <w:rPr>
          <w:b/>
        </w:rPr>
      </w:pPr>
    </w:p>
    <w:p w:rsidR="002E12A4" w:rsidP="002E12A4" w14:paraId="17733039" w14:textId="77777777">
      <w:pPr>
        <w:widowControl w:val="0"/>
      </w:pPr>
      <w:r>
        <w:t xml:space="preserve">The staff hours used for this estimation are composed of the total number of estimated surveys and reports multiplied by 2 hours, which is the approximate average time </w:t>
      </w:r>
      <w:r>
        <w:t xml:space="preserve">required for CDC to do the initial review, process and/or enter the data as well as perform any additional analysis. This total is then multiplied by a GS 12 CDC-staff member in the Atlanta locality (2026 rate: $94,654/2,000 hours = $47.33 / hr. The total number of staff assigned to data collection for the first two surveys is 5 (5 staff x 2 </w:t>
      </w:r>
      <w:r>
        <w:t>hrs</w:t>
      </w:r>
      <w:r>
        <w:t xml:space="preserve"> per survey x 18 x $47.33 = $8,519). The additional survey also required 5 staff (5 staff x 2hrs per survey x 65 surveys x $47.33 = $30,765). The final survey required 3 staff (3 staff x 1 </w:t>
      </w:r>
      <w:r>
        <w:t>hrs</w:t>
      </w:r>
      <w:r>
        <w:t xml:space="preserve"> per survey x 65 surveys x 42 days x $47.33 = $387,632).</w:t>
      </w:r>
    </w:p>
    <w:p w:rsidR="002E12A4" w:rsidP="002E12A4" w14:paraId="390DC0EA" w14:textId="77777777">
      <w:pPr>
        <w:widowControl w:val="0"/>
      </w:pPr>
    </w:p>
    <w:p w:rsidR="00B73458" w:rsidP="002E12A4" w14:paraId="50CE5B2E" w14:textId="274ADD5B">
      <w:pPr>
        <w:widowControl w:val="0"/>
      </w:pPr>
      <w:r>
        <w:t xml:space="preserve">The total annual cost for routine contact investigations included in this information collection is $426,916 ($8,519 + $30,765 + $387,632). </w:t>
      </w:r>
      <w:r>
        <w:t xml:space="preserve">Adding the Wage Rate Multiplier to this calculation brings the final fully loaded wage rate </w:t>
      </w:r>
      <w:r>
        <w:t>to:</w:t>
      </w:r>
      <w:r>
        <w:t xml:space="preserve"> $853,852.  </w:t>
      </w:r>
      <w:r>
        <w:t>This cost estimate is based on the average amount of time spent on these activities.</w:t>
      </w:r>
    </w:p>
    <w:p w:rsidR="002E12A4" w:rsidP="002E12A4" w14:paraId="20C9AD36" w14:textId="77777777">
      <w:pPr>
        <w:widowControl w:val="0"/>
        <w:rPr>
          <w:b/>
        </w:rPr>
      </w:pPr>
    </w:p>
    <w:p w:rsidR="00B73458" w:rsidRPr="004C52D9" w:rsidP="00B73458" w14:paraId="178CCA68" w14:textId="77777777">
      <w:pPr>
        <w:pStyle w:val="Heading1"/>
        <w:spacing w:before="0" w:after="0"/>
        <w:rPr>
          <w:rFonts w:ascii="Times New Roman" w:hAnsi="Times New Roman"/>
          <w:sz w:val="24"/>
          <w:szCs w:val="24"/>
        </w:rPr>
      </w:pPr>
      <w:bookmarkStart w:id="31" w:name="_Toc410390884"/>
      <w:r w:rsidRPr="004C52D9">
        <w:rPr>
          <w:rFonts w:ascii="Times New Roman" w:hAnsi="Times New Roman"/>
          <w:sz w:val="24"/>
          <w:szCs w:val="24"/>
        </w:rPr>
        <w:t>15. Explanation for Program Changes or Adjustments</w:t>
      </w:r>
      <w:bookmarkEnd w:id="31"/>
    </w:p>
    <w:p w:rsidR="00B73458" w:rsidP="00B73458" w14:paraId="0F3DB154" w14:textId="77777777">
      <w:pPr>
        <w:widowControl w:val="0"/>
        <w:rPr>
          <w:b/>
        </w:rPr>
      </w:pPr>
    </w:p>
    <w:p w:rsidR="00B73458" w:rsidP="00B73458" w14:paraId="4CC8AA2C" w14:textId="5EBD0CCF">
      <w:r>
        <w:t xml:space="preserve">This is a </w:t>
      </w:r>
      <w:r w:rsidR="007D4B44">
        <w:t>N</w:t>
      </w:r>
      <w:r>
        <w:t xml:space="preserve">ew </w:t>
      </w:r>
      <w:r w:rsidR="007D4B44">
        <w:t>Emergency I</w:t>
      </w:r>
      <w:r>
        <w:t xml:space="preserve">nformation </w:t>
      </w:r>
      <w:r w:rsidR="007D4B44">
        <w:t>C</w:t>
      </w:r>
      <w:r>
        <w:t>ollection</w:t>
      </w:r>
      <w:r w:rsidR="007D4B44">
        <w:t xml:space="preserve"> Request</w:t>
      </w:r>
      <w:r>
        <w:t>.</w:t>
      </w:r>
      <w:r>
        <w:rPr>
          <w:color w:val="000000"/>
        </w:rPr>
        <w:t xml:space="preserve">  </w:t>
      </w:r>
    </w:p>
    <w:p w:rsidR="00B73458" w:rsidP="00B73458" w14:paraId="49353ED6" w14:textId="77777777">
      <w:pPr>
        <w:pStyle w:val="Heading1"/>
        <w:spacing w:before="0" w:after="0"/>
        <w:rPr>
          <w:rFonts w:ascii="Times New Roman" w:hAnsi="Times New Roman"/>
          <w:sz w:val="24"/>
          <w:szCs w:val="24"/>
        </w:rPr>
      </w:pPr>
      <w:bookmarkStart w:id="32" w:name="_Toc410390885"/>
    </w:p>
    <w:p w:rsidR="00B73458" w:rsidRPr="004C52D9" w:rsidP="00B73458" w14:paraId="1AB88451" w14:textId="77777777">
      <w:pPr>
        <w:pStyle w:val="Heading1"/>
        <w:spacing w:before="0" w:after="0"/>
        <w:rPr>
          <w:rFonts w:ascii="Times New Roman" w:hAnsi="Times New Roman"/>
          <w:sz w:val="24"/>
          <w:szCs w:val="24"/>
        </w:rPr>
      </w:pPr>
      <w:r w:rsidRPr="004C52D9">
        <w:rPr>
          <w:rFonts w:ascii="Times New Roman" w:hAnsi="Times New Roman"/>
          <w:sz w:val="24"/>
          <w:szCs w:val="24"/>
        </w:rPr>
        <w:t>16. Plans for Tabulation and Publication and Project Time Schedule</w:t>
      </w:r>
      <w:bookmarkEnd w:id="32"/>
    </w:p>
    <w:p w:rsidR="00B73458" w:rsidP="00B73458" w14:paraId="33B8D278" w14:textId="77777777">
      <w:pPr>
        <w:widowControl w:val="0"/>
        <w:rPr>
          <w:b/>
        </w:rPr>
      </w:pPr>
    </w:p>
    <w:p w:rsidR="00B73458" w:rsidP="00B73458" w14:paraId="546F2487" w14:textId="77777777">
      <w:r w:rsidRPr="009061EF">
        <w:t>CDC may report</w:t>
      </w:r>
      <w:r>
        <w:t xml:space="preserve"> aggregate numbers of travelers contacted for monitoring and illness or death investigations as well as methods of contact. </w:t>
      </w:r>
    </w:p>
    <w:p w:rsidR="00B73458" w:rsidP="00B73458" w14:paraId="46D92E34" w14:textId="77777777"/>
    <w:p w:rsidR="00B73458" w:rsidP="00B73458" w14:paraId="14CE4E98" w14:textId="3D171B5F">
      <w:r>
        <w:t xml:space="preserve">Publication of the results of any lessons learned may be published to inform future public health interventions and to contribute to the body of knowledge concerning public health monitoring and risk communication. No personally identifiable information will be published. </w:t>
      </w:r>
    </w:p>
    <w:p w:rsidR="00B73458" w:rsidP="00B73458" w14:paraId="49A9DE8E" w14:textId="77777777">
      <w:pPr>
        <w:pStyle w:val="Heading1"/>
        <w:spacing w:before="0" w:after="0"/>
        <w:rPr>
          <w:rFonts w:ascii="Times New Roman" w:hAnsi="Times New Roman"/>
          <w:sz w:val="24"/>
          <w:szCs w:val="24"/>
        </w:rPr>
      </w:pPr>
      <w:bookmarkStart w:id="33" w:name="_Toc410390886"/>
    </w:p>
    <w:p w:rsidR="00B73458" w:rsidRPr="004C52D9" w:rsidP="00B73458" w14:paraId="14CBD66A" w14:textId="77777777">
      <w:pPr>
        <w:pStyle w:val="Heading1"/>
        <w:spacing w:before="0" w:after="0"/>
        <w:rPr>
          <w:rFonts w:ascii="Times New Roman" w:hAnsi="Times New Roman"/>
          <w:sz w:val="24"/>
          <w:szCs w:val="24"/>
        </w:rPr>
      </w:pPr>
      <w:r w:rsidRPr="004C52D9">
        <w:rPr>
          <w:rFonts w:ascii="Times New Roman" w:hAnsi="Times New Roman"/>
          <w:sz w:val="24"/>
          <w:szCs w:val="24"/>
        </w:rPr>
        <w:t>17. Reason(s) Display of OMB Expiration Date is Inappropriate</w:t>
      </w:r>
      <w:bookmarkEnd w:id="33"/>
    </w:p>
    <w:p w:rsidR="00B73458" w:rsidP="00B73458" w14:paraId="6AED5867" w14:textId="77777777">
      <w:pPr>
        <w:widowControl w:val="0"/>
        <w:rPr>
          <w:b/>
        </w:rPr>
      </w:pPr>
    </w:p>
    <w:p w:rsidR="00B73458" w:rsidP="00B73458" w14:paraId="2E655497" w14:textId="77777777">
      <w:r>
        <w:t>Display of the expiration date is appropriate.  No exemption is requested.</w:t>
      </w:r>
    </w:p>
    <w:p w:rsidR="00B73458" w:rsidP="00B73458" w14:paraId="006AF15D" w14:textId="77777777">
      <w:pPr>
        <w:widowControl w:val="0"/>
        <w:rPr>
          <w:b/>
        </w:rPr>
      </w:pPr>
    </w:p>
    <w:p w:rsidR="00B73458" w:rsidRPr="004C52D9" w:rsidP="00B73458" w14:paraId="21BA1B5C" w14:textId="77777777">
      <w:pPr>
        <w:pStyle w:val="Heading1"/>
        <w:spacing w:before="0" w:after="0"/>
        <w:rPr>
          <w:rFonts w:ascii="Times New Roman" w:hAnsi="Times New Roman"/>
          <w:sz w:val="24"/>
          <w:szCs w:val="24"/>
        </w:rPr>
      </w:pPr>
      <w:bookmarkStart w:id="34" w:name="_Toc410390887"/>
      <w:r w:rsidRPr="004C52D9">
        <w:rPr>
          <w:rFonts w:ascii="Times New Roman" w:hAnsi="Times New Roman"/>
          <w:sz w:val="24"/>
          <w:szCs w:val="24"/>
        </w:rPr>
        <w:t>18. Exceptions to Certification for Paperwork Reduction Act Submissions</w:t>
      </w:r>
      <w:bookmarkEnd w:id="34"/>
    </w:p>
    <w:p w:rsidR="00B73458" w:rsidP="00B73458" w14:paraId="7BB85017" w14:textId="77777777">
      <w:pPr>
        <w:widowControl w:val="0"/>
        <w:rPr>
          <w:b/>
        </w:rPr>
      </w:pPr>
    </w:p>
    <w:p w:rsidR="00B73458" w:rsidP="00B73458" w14:paraId="68E58C7C" w14:textId="77777777">
      <w:r w:rsidRPr="00C77027">
        <w:t>There are no exceptions to the certification.</w:t>
      </w:r>
    </w:p>
    <w:p w:rsidR="00B73458" w:rsidRPr="00280E62" w:rsidP="00B73458" w14:paraId="494B5886" w14:textId="77777777">
      <w:pPr>
        <w:pStyle w:val="Heading1"/>
        <w:spacing w:before="0" w:after="0"/>
        <w:rPr>
          <w:rFonts w:ascii="Times New Roman" w:hAnsi="Times New Roman"/>
          <w:sz w:val="24"/>
          <w:szCs w:val="24"/>
        </w:rPr>
      </w:pPr>
      <w:r>
        <w:br w:type="page"/>
      </w:r>
      <w:bookmarkStart w:id="35" w:name="_Toc410390888"/>
      <w:r w:rsidRPr="00280E62">
        <w:rPr>
          <w:rFonts w:ascii="Times New Roman" w:hAnsi="Times New Roman"/>
          <w:sz w:val="24"/>
          <w:szCs w:val="24"/>
        </w:rPr>
        <w:t>List of Attachments</w:t>
      </w:r>
      <w:bookmarkEnd w:id="35"/>
    </w:p>
    <w:p w:rsidR="00B73458" w:rsidP="00B73458" w14:paraId="6A8FE099" w14:textId="77777777"/>
    <w:p w:rsidR="00B73458" w:rsidRPr="009A5CAF" w:rsidP="00B73458" w14:paraId="2CA83835" w14:textId="6639DE72">
      <w:bookmarkStart w:id="36" w:name="_Hlk31638584"/>
      <w:r w:rsidRPr="009A5CAF">
        <w:t xml:space="preserve">Attachment A1 - </w:t>
      </w:r>
      <w:r w:rsidRPr="009A5CAF">
        <w:rPr>
          <w:rFonts w:cs="Arial"/>
        </w:rPr>
        <w:t>Section 3</w:t>
      </w:r>
      <w:r w:rsidRPr="009A5CAF" w:rsidR="00A828A2">
        <w:rPr>
          <w:rFonts w:cs="Arial"/>
        </w:rPr>
        <w:t>0</w:t>
      </w:r>
      <w:r w:rsidRPr="009A5CAF">
        <w:rPr>
          <w:rFonts w:cs="Arial"/>
        </w:rPr>
        <w:t xml:space="preserve">1 of the Public Health Service </w:t>
      </w:r>
      <w:r w:rsidRPr="009A5CAF" w:rsidR="00F23BB8">
        <w:t>Act (42 U.S.C. 241)</w:t>
      </w:r>
    </w:p>
    <w:p w:rsidR="00B73458" w:rsidRPr="009A5CAF" w:rsidP="00B73458" w14:paraId="4C810EF0" w14:textId="77777777">
      <w:r w:rsidRPr="009A5CAF">
        <w:t>Attachment A2 - 42 Code of Federal Regulations part 71</w:t>
      </w:r>
    </w:p>
    <w:p w:rsidR="00B73458" w:rsidRPr="0028215E" w:rsidP="00B73458" w14:paraId="0E26E42F" w14:textId="77777777">
      <w:r w:rsidRPr="0028215E">
        <w:t>Attachment B - 60-day Federal Register Notice</w:t>
      </w:r>
    </w:p>
    <w:p w:rsidR="00A5692A" w:rsidRPr="0028215E" w:rsidP="00A5692A" w14:paraId="3ACD5A7E" w14:textId="3A089941">
      <w:r w:rsidRPr="0028215E">
        <w:t>Attachment C</w:t>
      </w:r>
      <w:r w:rsidRPr="0028215E" w:rsidR="008A3834">
        <w:t>1</w:t>
      </w:r>
      <w:r w:rsidRPr="0028215E">
        <w:t>- Andes hantavirus Canary Island Assessment</w:t>
      </w:r>
    </w:p>
    <w:p w:rsidR="00A5692A" w:rsidRPr="0028215E" w:rsidP="00A5692A" w14:paraId="73155A0E" w14:textId="335F7511">
      <w:r w:rsidRPr="0028215E">
        <w:t xml:space="preserve">Attachment C2- Andes Virus Guidance Assessment </w:t>
      </w:r>
    </w:p>
    <w:p w:rsidR="008A3834" w:rsidRPr="0028215E" w:rsidP="00B73458" w14:paraId="727B6412" w14:textId="4CF4298E">
      <w:r w:rsidRPr="0028215E">
        <w:t>Attachment C3- Hantavirus 2026 Monitoring Schema Data Elements</w:t>
      </w:r>
    </w:p>
    <w:p w:rsidR="00B73458" w:rsidP="00B73458" w14:paraId="4DB56486" w14:textId="5EB83F93">
      <w:r w:rsidRPr="00C43473">
        <w:t>Attachment D -Non-Research Determination</w:t>
      </w:r>
    </w:p>
    <w:p w:rsidR="00FD2639" w:rsidP="00B73458" w14:paraId="7E183491" w14:textId="44BF06D6">
      <w:r>
        <w:t>Attachment E – Privacy Impact Assessment</w:t>
      </w:r>
    </w:p>
    <w:bookmarkEnd w:id="36"/>
    <w:p w:rsidR="00B73458" w:rsidP="00B73458" w14:paraId="42DE4F08" w14:textId="77777777"/>
    <w:p w:rsidR="00B73458" w:rsidRPr="00AC7D3C" w:rsidP="00B73458" w14:paraId="658AC464" w14:textId="77777777"/>
    <w:bookmarkEnd w:id="29"/>
    <w:p w:rsidR="00B73458" w:rsidRPr="00011BE2" w:rsidP="00B73458" w14:paraId="179D0C0B" w14:textId="77777777"/>
    <w:p w:rsidR="00695C7A" w14:paraId="7418D7DA" w14:textId="77777777"/>
    <w:sectPr w:rsidSect="00B73458">
      <w:headerReference w:type="even" r:id="rId9"/>
      <w:headerReference w:type="default" r:id="rId10"/>
      <w:footerReference w:type="even" r:id="rId11"/>
      <w:footerReference w:type="default" r:id="rId12"/>
      <w:headerReference w:type="first" r:id="rId13"/>
      <w:footerReference w:type="first" r:id="rId14"/>
      <w:pgSz w:w="12240" w:h="15840"/>
      <w:pgMar w:top="1170" w:right="1800" w:bottom="117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458" w:rsidP="003620A6" w14:paraId="58AFD62E" w14:textId="777777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B73458" w:rsidP="004939F7" w14:paraId="6CB8967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458" w:rsidP="003620A6" w14:paraId="20008EC1" w14:textId="777777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12</w:t>
    </w:r>
    <w:r>
      <w:rPr>
        <w:rStyle w:val="PageNumber"/>
        <w:rFonts w:eastAsiaTheme="majorEastAsia"/>
      </w:rPr>
      <w:fldChar w:fldCharType="end"/>
    </w:r>
  </w:p>
  <w:p w:rsidR="00B73458" w:rsidP="004939F7" w14:paraId="5071388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458" w14:paraId="7396EB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458" w14:paraId="3414DB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458" w14:paraId="4FF966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458" w14:paraId="506479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6AD12005"/>
    <w:multiLevelType w:val="hybridMultilevel"/>
    <w:tmpl w:val="4998B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4613688">
    <w:abstractNumId w:val="0"/>
  </w:num>
  <w:num w:numId="2" w16cid:durableId="49345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58"/>
    <w:rsid w:val="00002637"/>
    <w:rsid w:val="00011BE2"/>
    <w:rsid w:val="000139A6"/>
    <w:rsid w:val="00031348"/>
    <w:rsid w:val="00031854"/>
    <w:rsid w:val="0005600B"/>
    <w:rsid w:val="00060AB1"/>
    <w:rsid w:val="00080079"/>
    <w:rsid w:val="0008471B"/>
    <w:rsid w:val="000E4D42"/>
    <w:rsid w:val="000E4FE6"/>
    <w:rsid w:val="000F66ED"/>
    <w:rsid w:val="00113573"/>
    <w:rsid w:val="001209EB"/>
    <w:rsid w:val="00122D33"/>
    <w:rsid w:val="001327F3"/>
    <w:rsid w:val="001461CE"/>
    <w:rsid w:val="0014657F"/>
    <w:rsid w:val="00177AA1"/>
    <w:rsid w:val="00180E37"/>
    <w:rsid w:val="001A1817"/>
    <w:rsid w:val="001A58BE"/>
    <w:rsid w:val="001B3A92"/>
    <w:rsid w:val="001C1F94"/>
    <w:rsid w:val="001C3355"/>
    <w:rsid w:val="0020060D"/>
    <w:rsid w:val="00227B23"/>
    <w:rsid w:val="0026041A"/>
    <w:rsid w:val="00280E62"/>
    <w:rsid w:val="0028215E"/>
    <w:rsid w:val="002E068E"/>
    <w:rsid w:val="002E12A4"/>
    <w:rsid w:val="002E6E34"/>
    <w:rsid w:val="003129DB"/>
    <w:rsid w:val="0032381C"/>
    <w:rsid w:val="00323A2C"/>
    <w:rsid w:val="00342419"/>
    <w:rsid w:val="00346E8E"/>
    <w:rsid w:val="0036159B"/>
    <w:rsid w:val="003620A6"/>
    <w:rsid w:val="00363B5B"/>
    <w:rsid w:val="003641C7"/>
    <w:rsid w:val="0037129C"/>
    <w:rsid w:val="00394E61"/>
    <w:rsid w:val="003B5752"/>
    <w:rsid w:val="003C0D8D"/>
    <w:rsid w:val="003D717E"/>
    <w:rsid w:val="003E0F7D"/>
    <w:rsid w:val="003E3DC5"/>
    <w:rsid w:val="00410D5F"/>
    <w:rsid w:val="00421C30"/>
    <w:rsid w:val="004312BA"/>
    <w:rsid w:val="00473AC5"/>
    <w:rsid w:val="0048322C"/>
    <w:rsid w:val="004939F7"/>
    <w:rsid w:val="00497C92"/>
    <w:rsid w:val="004C52D9"/>
    <w:rsid w:val="0050293C"/>
    <w:rsid w:val="00521A2A"/>
    <w:rsid w:val="00523EA5"/>
    <w:rsid w:val="0053565C"/>
    <w:rsid w:val="00541D76"/>
    <w:rsid w:val="00591C44"/>
    <w:rsid w:val="00597DF9"/>
    <w:rsid w:val="005B2740"/>
    <w:rsid w:val="005B297E"/>
    <w:rsid w:val="005B29DF"/>
    <w:rsid w:val="005C0906"/>
    <w:rsid w:val="005D3AC5"/>
    <w:rsid w:val="005E35E2"/>
    <w:rsid w:val="005F16D6"/>
    <w:rsid w:val="00611E5A"/>
    <w:rsid w:val="00615F3E"/>
    <w:rsid w:val="0062403D"/>
    <w:rsid w:val="006366C7"/>
    <w:rsid w:val="006673AC"/>
    <w:rsid w:val="00673E6D"/>
    <w:rsid w:val="00695C7A"/>
    <w:rsid w:val="006A569F"/>
    <w:rsid w:val="006B6F94"/>
    <w:rsid w:val="006C647B"/>
    <w:rsid w:val="006E00DF"/>
    <w:rsid w:val="006E6D24"/>
    <w:rsid w:val="006F084D"/>
    <w:rsid w:val="006F326E"/>
    <w:rsid w:val="006F7444"/>
    <w:rsid w:val="0072531B"/>
    <w:rsid w:val="007538FC"/>
    <w:rsid w:val="00781935"/>
    <w:rsid w:val="007A09BF"/>
    <w:rsid w:val="007A7863"/>
    <w:rsid w:val="007D4B44"/>
    <w:rsid w:val="007F1B63"/>
    <w:rsid w:val="007F6BBB"/>
    <w:rsid w:val="007F6D10"/>
    <w:rsid w:val="00811906"/>
    <w:rsid w:val="00840FC2"/>
    <w:rsid w:val="00846C2A"/>
    <w:rsid w:val="00860772"/>
    <w:rsid w:val="00865B4C"/>
    <w:rsid w:val="008715A8"/>
    <w:rsid w:val="00891448"/>
    <w:rsid w:val="0089627D"/>
    <w:rsid w:val="008A3834"/>
    <w:rsid w:val="008A6FA7"/>
    <w:rsid w:val="008E4F44"/>
    <w:rsid w:val="008F6417"/>
    <w:rsid w:val="009061EF"/>
    <w:rsid w:val="009215F9"/>
    <w:rsid w:val="009522DC"/>
    <w:rsid w:val="009644FE"/>
    <w:rsid w:val="0098370E"/>
    <w:rsid w:val="009A11C5"/>
    <w:rsid w:val="009A5CAF"/>
    <w:rsid w:val="009B234D"/>
    <w:rsid w:val="009B515A"/>
    <w:rsid w:val="00A32656"/>
    <w:rsid w:val="00A43FF3"/>
    <w:rsid w:val="00A5081F"/>
    <w:rsid w:val="00A50AB4"/>
    <w:rsid w:val="00A5692A"/>
    <w:rsid w:val="00A5794A"/>
    <w:rsid w:val="00A828A2"/>
    <w:rsid w:val="00A949B3"/>
    <w:rsid w:val="00AC7D3C"/>
    <w:rsid w:val="00AE06B7"/>
    <w:rsid w:val="00AE293B"/>
    <w:rsid w:val="00AE4071"/>
    <w:rsid w:val="00AF7A4D"/>
    <w:rsid w:val="00B0322D"/>
    <w:rsid w:val="00B20C5F"/>
    <w:rsid w:val="00B62AEA"/>
    <w:rsid w:val="00B63D47"/>
    <w:rsid w:val="00B73458"/>
    <w:rsid w:val="00B863D2"/>
    <w:rsid w:val="00B975C8"/>
    <w:rsid w:val="00BB6E8C"/>
    <w:rsid w:val="00BC5EDF"/>
    <w:rsid w:val="00BC6AB7"/>
    <w:rsid w:val="00BD0D01"/>
    <w:rsid w:val="00BE2D44"/>
    <w:rsid w:val="00BE5284"/>
    <w:rsid w:val="00BF3FFC"/>
    <w:rsid w:val="00C03233"/>
    <w:rsid w:val="00C111EA"/>
    <w:rsid w:val="00C34AC2"/>
    <w:rsid w:val="00C43473"/>
    <w:rsid w:val="00C464AE"/>
    <w:rsid w:val="00C53A58"/>
    <w:rsid w:val="00C61FA5"/>
    <w:rsid w:val="00C622AE"/>
    <w:rsid w:val="00C7284C"/>
    <w:rsid w:val="00C77027"/>
    <w:rsid w:val="00C81C11"/>
    <w:rsid w:val="00C86FAE"/>
    <w:rsid w:val="00CA2110"/>
    <w:rsid w:val="00CD7A89"/>
    <w:rsid w:val="00CF062F"/>
    <w:rsid w:val="00D211A2"/>
    <w:rsid w:val="00D34EA5"/>
    <w:rsid w:val="00D638AE"/>
    <w:rsid w:val="00DE3F32"/>
    <w:rsid w:val="00E0552C"/>
    <w:rsid w:val="00E25A19"/>
    <w:rsid w:val="00E40BBC"/>
    <w:rsid w:val="00E560BE"/>
    <w:rsid w:val="00E712E8"/>
    <w:rsid w:val="00E76081"/>
    <w:rsid w:val="00E827BB"/>
    <w:rsid w:val="00EA756F"/>
    <w:rsid w:val="00F035A0"/>
    <w:rsid w:val="00F23BB8"/>
    <w:rsid w:val="00F43BD2"/>
    <w:rsid w:val="00F61489"/>
    <w:rsid w:val="00F67E0C"/>
    <w:rsid w:val="00F74933"/>
    <w:rsid w:val="00F810E5"/>
    <w:rsid w:val="00FC4CCC"/>
    <w:rsid w:val="00FC690B"/>
    <w:rsid w:val="00FD26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B3C04"/>
  <w15:chartTrackingRefBased/>
  <w15:docId w15:val="{468E6693-9244-441A-B7AA-670DA627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45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73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4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4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4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4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458"/>
    <w:rPr>
      <w:rFonts w:eastAsiaTheme="majorEastAsia" w:cstheme="majorBidi"/>
      <w:color w:val="272727" w:themeColor="text1" w:themeTint="D8"/>
    </w:rPr>
  </w:style>
  <w:style w:type="paragraph" w:styleId="Title">
    <w:name w:val="Title"/>
    <w:basedOn w:val="Normal"/>
    <w:next w:val="Normal"/>
    <w:link w:val="TitleChar"/>
    <w:uiPriority w:val="10"/>
    <w:qFormat/>
    <w:rsid w:val="00B734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458"/>
    <w:pPr>
      <w:spacing w:before="160"/>
      <w:jc w:val="center"/>
    </w:pPr>
    <w:rPr>
      <w:i/>
      <w:iCs/>
      <w:color w:val="404040" w:themeColor="text1" w:themeTint="BF"/>
    </w:rPr>
  </w:style>
  <w:style w:type="character" w:customStyle="1" w:styleId="QuoteChar">
    <w:name w:val="Quote Char"/>
    <w:basedOn w:val="DefaultParagraphFont"/>
    <w:link w:val="Quote"/>
    <w:uiPriority w:val="29"/>
    <w:rsid w:val="00B73458"/>
    <w:rPr>
      <w:i/>
      <w:iCs/>
      <w:color w:val="404040" w:themeColor="text1" w:themeTint="BF"/>
    </w:rPr>
  </w:style>
  <w:style w:type="paragraph" w:styleId="ListParagraph">
    <w:name w:val="List Paragraph"/>
    <w:basedOn w:val="Normal"/>
    <w:uiPriority w:val="34"/>
    <w:qFormat/>
    <w:rsid w:val="00B73458"/>
    <w:pPr>
      <w:ind w:left="720"/>
      <w:contextualSpacing/>
    </w:pPr>
  </w:style>
  <w:style w:type="character" w:styleId="IntenseEmphasis">
    <w:name w:val="Intense Emphasis"/>
    <w:basedOn w:val="DefaultParagraphFont"/>
    <w:uiPriority w:val="21"/>
    <w:qFormat/>
    <w:rsid w:val="00B73458"/>
    <w:rPr>
      <w:i/>
      <w:iCs/>
      <w:color w:val="0F4761" w:themeColor="accent1" w:themeShade="BF"/>
    </w:rPr>
  </w:style>
  <w:style w:type="paragraph" w:styleId="IntenseQuote">
    <w:name w:val="Intense Quote"/>
    <w:basedOn w:val="Normal"/>
    <w:next w:val="Normal"/>
    <w:link w:val="IntenseQuoteChar"/>
    <w:uiPriority w:val="30"/>
    <w:qFormat/>
    <w:rsid w:val="00B73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458"/>
    <w:rPr>
      <w:i/>
      <w:iCs/>
      <w:color w:val="0F4761" w:themeColor="accent1" w:themeShade="BF"/>
    </w:rPr>
  </w:style>
  <w:style w:type="character" w:styleId="IntenseReference">
    <w:name w:val="Intense Reference"/>
    <w:basedOn w:val="DefaultParagraphFont"/>
    <w:uiPriority w:val="32"/>
    <w:qFormat/>
    <w:rsid w:val="00B73458"/>
    <w:rPr>
      <w:b/>
      <w:bCs/>
      <w:smallCaps/>
      <w:color w:val="0F4761" w:themeColor="accent1" w:themeShade="BF"/>
      <w:spacing w:val="5"/>
    </w:rPr>
  </w:style>
  <w:style w:type="character" w:styleId="Hyperlink">
    <w:name w:val="Hyperlink"/>
    <w:uiPriority w:val="99"/>
    <w:rsid w:val="00B73458"/>
    <w:rPr>
      <w:color w:val="0000FF"/>
      <w:u w:val="single"/>
    </w:rPr>
  </w:style>
  <w:style w:type="paragraph" w:styleId="Footer">
    <w:name w:val="footer"/>
    <w:basedOn w:val="Normal"/>
    <w:link w:val="FooterChar"/>
    <w:rsid w:val="00B73458"/>
    <w:pPr>
      <w:tabs>
        <w:tab w:val="center" w:pos="4320"/>
        <w:tab w:val="right" w:pos="8640"/>
      </w:tabs>
    </w:pPr>
  </w:style>
  <w:style w:type="character" w:customStyle="1" w:styleId="FooterChar">
    <w:name w:val="Footer Char"/>
    <w:basedOn w:val="DefaultParagraphFont"/>
    <w:link w:val="Footer"/>
    <w:rsid w:val="00B73458"/>
    <w:rPr>
      <w:rFonts w:ascii="Times New Roman" w:eastAsia="Times New Roman" w:hAnsi="Times New Roman" w:cs="Times New Roman"/>
      <w:kern w:val="0"/>
      <w14:ligatures w14:val="none"/>
    </w:rPr>
  </w:style>
  <w:style w:type="character" w:styleId="PageNumber">
    <w:name w:val="page number"/>
    <w:basedOn w:val="DefaultParagraphFont"/>
    <w:rsid w:val="00B73458"/>
  </w:style>
  <w:style w:type="paragraph" w:styleId="TOCHeading">
    <w:name w:val="TOC Heading"/>
    <w:basedOn w:val="Heading1"/>
    <w:next w:val="Normal"/>
    <w:uiPriority w:val="39"/>
    <w:semiHidden/>
    <w:unhideWhenUsed/>
    <w:qFormat/>
    <w:rsid w:val="00B73458"/>
    <w:pPr>
      <w:spacing w:before="480" w:after="0" w:line="276" w:lineRule="auto"/>
      <w:outlineLvl w:val="9"/>
    </w:pPr>
    <w:rPr>
      <w:rFonts w:ascii="Cambria" w:eastAsia="Times New Roman" w:hAnsi="Cambria" w:cs="Times New Roman"/>
      <w:b/>
      <w:bCs/>
      <w:color w:val="365F91"/>
      <w:sz w:val="28"/>
      <w:szCs w:val="28"/>
      <w:lang w:eastAsia="ja-JP"/>
    </w:rPr>
  </w:style>
  <w:style w:type="paragraph" w:styleId="TOC1">
    <w:name w:val="toc 1"/>
    <w:basedOn w:val="Normal"/>
    <w:next w:val="Normal"/>
    <w:autoRedefine/>
    <w:uiPriority w:val="39"/>
    <w:rsid w:val="00B73458"/>
  </w:style>
  <w:style w:type="paragraph" w:styleId="NormalWeb">
    <w:name w:val="Normal (Web)"/>
    <w:basedOn w:val="Normal"/>
    <w:uiPriority w:val="99"/>
    <w:unhideWhenUsed/>
    <w:rsid w:val="00B73458"/>
    <w:pPr>
      <w:spacing w:before="100" w:beforeAutospacing="1" w:after="100" w:afterAutospacing="1"/>
    </w:pPr>
  </w:style>
  <w:style w:type="paragraph" w:styleId="Header">
    <w:name w:val="header"/>
    <w:basedOn w:val="Normal"/>
    <w:link w:val="HeaderChar"/>
    <w:rsid w:val="00B73458"/>
    <w:pPr>
      <w:tabs>
        <w:tab w:val="center" w:pos="4680"/>
        <w:tab w:val="right" w:pos="9360"/>
      </w:tabs>
    </w:pPr>
  </w:style>
  <w:style w:type="character" w:customStyle="1" w:styleId="HeaderChar">
    <w:name w:val="Header Char"/>
    <w:basedOn w:val="DefaultParagraphFont"/>
    <w:link w:val="Header"/>
    <w:rsid w:val="00B73458"/>
    <w:rPr>
      <w:rFonts w:ascii="Times New Roman" w:eastAsia="Times New Roman" w:hAnsi="Times New Roman" w:cs="Times New Roman"/>
      <w:kern w:val="0"/>
      <w14:ligatures w14:val="none"/>
    </w:rPr>
  </w:style>
  <w:style w:type="paragraph" w:styleId="NoSpacing">
    <w:name w:val="No Spacing"/>
    <w:uiPriority w:val="1"/>
    <w:qFormat/>
    <w:rsid w:val="00B73458"/>
    <w:pPr>
      <w:spacing w:after="0" w:line="240" w:lineRule="auto"/>
    </w:pPr>
    <w:rPr>
      <w:rFonts w:ascii="Times New Roman" w:eastAsia="Calibri" w:hAnsi="Times New Roman" w:cs="Times New Roman"/>
      <w:kern w:val="0"/>
      <w:szCs w:val="22"/>
      <w14:ligatures w14:val="none"/>
    </w:rPr>
  </w:style>
  <w:style w:type="paragraph" w:styleId="Revision">
    <w:name w:val="Revision"/>
    <w:hidden/>
    <w:uiPriority w:val="99"/>
    <w:semiHidden/>
    <w:rsid w:val="003D717E"/>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5081F"/>
    <w:rPr>
      <w:sz w:val="16"/>
      <w:szCs w:val="16"/>
    </w:rPr>
  </w:style>
  <w:style w:type="paragraph" w:styleId="CommentText">
    <w:name w:val="annotation text"/>
    <w:basedOn w:val="Normal"/>
    <w:link w:val="CommentTextChar"/>
    <w:uiPriority w:val="99"/>
    <w:unhideWhenUsed/>
    <w:rsid w:val="00A5081F"/>
    <w:rPr>
      <w:sz w:val="20"/>
      <w:szCs w:val="20"/>
    </w:rPr>
  </w:style>
  <w:style w:type="character" w:customStyle="1" w:styleId="CommentTextChar">
    <w:name w:val="Comment Text Char"/>
    <w:basedOn w:val="DefaultParagraphFont"/>
    <w:link w:val="CommentText"/>
    <w:uiPriority w:val="99"/>
    <w:rsid w:val="00A5081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081F"/>
    <w:rPr>
      <w:b/>
      <w:bCs/>
    </w:rPr>
  </w:style>
  <w:style w:type="character" w:customStyle="1" w:styleId="CommentSubjectChar">
    <w:name w:val="Comment Subject Char"/>
    <w:basedOn w:val="CommentTextChar"/>
    <w:link w:val="CommentSubject"/>
    <w:uiPriority w:val="99"/>
    <w:semiHidden/>
    <w:rsid w:val="00A5081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68BEFD5BF64C8B7CF240A37737D8" ma:contentTypeVersion="16" ma:contentTypeDescription="Create a new document." ma:contentTypeScope="" ma:versionID="d81710ff8b23a2386cfe8c7f3770e9cf">
  <xsd:schema xmlns:xsd="http://www.w3.org/2001/XMLSchema" xmlns:xs="http://www.w3.org/2001/XMLSchema" xmlns:p="http://schemas.microsoft.com/office/2006/metadata/properties" xmlns:ns3="79fa4b4a-9ada-4a91-8214-f0250ca50998" xmlns:ns4="d7296d59-d1f6-49e8-bfea-fa2626285597" targetNamespace="http://schemas.microsoft.com/office/2006/metadata/properties" ma:root="true" ma:fieldsID="f52dfd8978ac5d48f38b30ff5e02118c" ns3:_="" ns4:_="">
    <xsd:import namespace="79fa4b4a-9ada-4a91-8214-f0250ca50998"/>
    <xsd:import namespace="d7296d59-d1f6-49e8-bfea-fa2626285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a4b4a-9ada-4a91-8214-f0250ca50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96d59-d1f6-49e8-bfea-fa26262855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9fa4b4a-9ada-4a91-8214-f0250ca50998" xsi:nil="true"/>
  </documentManagement>
</p:properties>
</file>

<file path=customXml/itemProps1.xml><?xml version="1.0" encoding="utf-8"?>
<ds:datastoreItem xmlns:ds="http://schemas.openxmlformats.org/officeDocument/2006/customXml" ds:itemID="{487FE769-CEA8-416B-8C6E-55ED9C0D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a4b4a-9ada-4a91-8214-f0250ca50998"/>
    <ds:schemaRef ds:uri="d7296d59-d1f6-49e8-bfea-fa2626285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8018-F319-46DF-B3AD-56BA0B61342D}">
  <ds:schemaRefs>
    <ds:schemaRef ds:uri="http://schemas.microsoft.com/sharepoint/v3/contenttype/forms"/>
  </ds:schemaRefs>
</ds:datastoreItem>
</file>

<file path=customXml/itemProps3.xml><?xml version="1.0" encoding="utf-8"?>
<ds:datastoreItem xmlns:ds="http://schemas.openxmlformats.org/officeDocument/2006/customXml" ds:itemID="{1DCACD15-2CE5-41C8-9297-8D12B4E2A262}">
  <ds:schemaRefs>
    <ds:schemaRef ds:uri="http://schemas.openxmlformats.org/officeDocument/2006/bibliography"/>
  </ds:schemaRefs>
</ds:datastoreItem>
</file>

<file path=customXml/itemProps4.xml><?xml version="1.0" encoding="utf-8"?>
<ds:datastoreItem xmlns:ds="http://schemas.openxmlformats.org/officeDocument/2006/customXml" ds:itemID="{BED7AE84-08C4-46C1-860F-DDE8B26AFD64}">
  <ds:schemaRefs>
    <ds:schemaRef ds:uri="http://schemas.microsoft.com/office/2006/metadata/properties"/>
    <ds:schemaRef ds:uri="http://schemas.microsoft.com/office/infopath/2007/PartnerControls"/>
    <ds:schemaRef ds:uri="79fa4b4a-9ada-4a91-8214-f0250ca5099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2609</Words>
  <Characters>15580</Characters>
  <Application>Microsoft Office Word</Application>
  <DocSecurity>0</DocSecurity>
  <Lines>362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Shoemaker, Trevor (CDC/NCEZID/DHCPP/VSPB)</dc:creator>
  <cp:lastModifiedBy>Zirger, Jeffrey (CDC/OD/OS)</cp:lastModifiedBy>
  <cp:revision>2</cp:revision>
  <dcterms:created xsi:type="dcterms:W3CDTF">2026-05-28T19:23:00Z</dcterms:created>
  <dcterms:modified xsi:type="dcterms:W3CDTF">2026-05-28T19:23:00Z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0x0101009D4F68BEFD5BF64C8B7CF240A37737D8</vt:lpwstr>
  </property>
  <property fmtid="{D5CDD505-2E9C-101B-9397-08002B2CF9AE}" pid="3" name="MSIP_Label_7b94a7b8-f06c-4dfe-bdcc-9b548fd58c31_ActionId">
    <vt:lpwstr>341734d1-924c-47b2-9922-c6b5a9345876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2026-05-14T20:25:47Z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