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D10" w14:paraId="7CA90F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sz w:val="40"/>
        </w:rPr>
      </w:pPr>
      <w:r w:rsidRPr="00F75FCC">
        <w:rPr>
          <w:rFonts w:ascii="Times New Roman Bold" w:hAnsi="Times New Roman Bold"/>
          <w:sz w:val="40"/>
        </w:rPr>
        <w:t>202</w:t>
      </w:r>
      <w:r w:rsidR="00DA6E2C">
        <w:rPr>
          <w:rFonts w:ascii="Times New Roman Bold" w:hAnsi="Times New Roman Bold"/>
          <w:sz w:val="40"/>
        </w:rPr>
        <w:t>3</w:t>
      </w:r>
      <w:r w:rsidRPr="00F75FCC">
        <w:rPr>
          <w:rFonts w:ascii="Times New Roman Bold" w:hAnsi="Times New Roman Bold"/>
          <w:sz w:val="40"/>
        </w:rPr>
        <w:t>-</w:t>
      </w:r>
      <w:r w:rsidRPr="00F75FCC" w:rsidR="00F75FCC">
        <w:rPr>
          <w:rFonts w:ascii="Times New Roman Bold" w:hAnsi="Times New Roman Bold"/>
          <w:sz w:val="40"/>
        </w:rPr>
        <w:t>202</w:t>
      </w:r>
      <w:r w:rsidR="00DA6E2C">
        <w:rPr>
          <w:rFonts w:ascii="Times New Roman Bold" w:hAnsi="Times New Roman Bold"/>
          <w:sz w:val="40"/>
        </w:rPr>
        <w:t>6</w:t>
      </w:r>
      <w:r w:rsidR="00AD6BA5">
        <w:rPr>
          <w:rFonts w:ascii="Times New Roman Bold" w:hAnsi="Times New Roman Bold"/>
          <w:sz w:val="40"/>
        </w:rPr>
        <w:t xml:space="preserve"> </w:t>
      </w:r>
      <w:r>
        <w:rPr>
          <w:rFonts w:ascii="Times New Roman Bold" w:hAnsi="Times New Roman Bold"/>
          <w:sz w:val="40"/>
        </w:rPr>
        <w:t>National Survey</w:t>
      </w:r>
      <w:r w:rsidR="007C39BC">
        <w:rPr>
          <w:rFonts w:ascii="Times New Roman Bold" w:hAnsi="Times New Roman Bold"/>
          <w:sz w:val="40"/>
        </w:rPr>
        <w:t>s</w:t>
      </w:r>
      <w:r>
        <w:rPr>
          <w:rFonts w:ascii="Times New Roman Bold" w:hAnsi="Times New Roman Bold"/>
          <w:sz w:val="40"/>
        </w:rPr>
        <w:t xml:space="preserve"> on Drug Use and Health: </w:t>
      </w:r>
    </w:p>
    <w:p w:rsidR="00070D10" w14:paraId="7CCBC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sz w:val="40"/>
        </w:rPr>
      </w:pPr>
      <w:r>
        <w:rPr>
          <w:rFonts w:ascii="Times New Roman Bold" w:hAnsi="Times New Roman Bold"/>
          <w:sz w:val="40"/>
        </w:rPr>
        <w:t>Methodological Field Tests</w:t>
      </w:r>
    </w:p>
    <w:p w:rsidR="00070D10" w14:paraId="2FDD9B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rPr>
      </w:pPr>
    </w:p>
    <w:p w:rsidR="00070D10" w:rsidRPr="00487A5A" w14:paraId="63A3EE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44"/>
          <w:szCs w:val="44"/>
        </w:rPr>
      </w:pPr>
      <w:r w:rsidRPr="00487A5A">
        <w:rPr>
          <w:rFonts w:ascii="Times New Roman Bold" w:hAnsi="Times New Roman Bold"/>
          <w:sz w:val="44"/>
          <w:szCs w:val="44"/>
        </w:rPr>
        <w:t>SUPPORTING STATEMENT</w:t>
      </w:r>
    </w:p>
    <w:p w:rsidR="00070D10" w14:paraId="231470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0D10" w14:paraId="622D8D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u w:val="single"/>
        </w:rPr>
      </w:pPr>
      <w:r>
        <w:rPr>
          <w:rFonts w:ascii="Times New Roman Bold" w:hAnsi="Times New Roman Bold"/>
        </w:rPr>
        <w:t>B.</w:t>
      </w:r>
      <w:r>
        <w:rPr>
          <w:rFonts w:ascii="Times New Roman Bold" w:hAnsi="Times New Roman Bold"/>
        </w:rPr>
        <w:tab/>
      </w:r>
      <w:r>
        <w:rPr>
          <w:rFonts w:ascii="Times New Roman Bold" w:hAnsi="Times New Roman Bold"/>
          <w:u w:val="single"/>
        </w:rPr>
        <w:t>COLLECTIONS OF INFORMATION EMPLOYING STATISTICAL METHODS</w:t>
      </w:r>
    </w:p>
    <w:p w:rsidR="00070D10" w14:paraId="08A902B4" w14:textId="77777777">
      <w:pPr>
        <w:pStyle w:val="Heading1A"/>
        <w:tabs>
          <w:tab w:val="clear" w:pos="-720"/>
        </w:tabs>
        <w:rPr>
          <w:u w:val="single"/>
        </w:rPr>
      </w:pPr>
      <w:r>
        <w:t>1.</w:t>
      </w:r>
      <w:r>
        <w:tab/>
      </w:r>
      <w:r>
        <w:rPr>
          <w:u w:val="single"/>
        </w:rPr>
        <w:t>Respondent Universe and Sampling Methods</w:t>
      </w:r>
    </w:p>
    <w:p w:rsidR="00070D10" w14:paraId="56D96092" w14:textId="3B0B4714">
      <w:pPr>
        <w:pStyle w:val="BodyText1"/>
        <w:tabs>
          <w:tab w:val="clear" w:pos="-720"/>
        </w:tabs>
      </w:pPr>
      <w:r>
        <w:rPr>
          <w:lang w:val="en-GB"/>
        </w:rPr>
        <w:t>Conducting field tests</w:t>
      </w:r>
      <w:r>
        <w:t xml:space="preserve"> includes a variety of methods and approaches. The methods chosen for use depend on the subject tested, as well as their intended target population. Recommended methodologies and sample sizes will be based on a review of the relevant literature and consultation with experts in the field. As the methodologies and sample sizes for each field test are determined, they will be detailed in submissions sent to OMB for expedited review.</w:t>
      </w:r>
      <w:r w:rsidR="004C55CD">
        <w:t xml:space="preserve"> </w:t>
      </w:r>
      <w:r w:rsidRPr="004C55CD" w:rsidR="004C55CD">
        <w:t>However, there are some generalities about the universes and how we will sample them based on whether the proposed collection uses qualitative or quantitative methodologies.</w:t>
      </w:r>
    </w:p>
    <w:p w:rsidR="0068384D" w:rsidP="0068384D" w14:paraId="59A71245" w14:textId="77777777">
      <w:pPr>
        <w:pStyle w:val="ListParagraph"/>
        <w:numPr>
          <w:ilvl w:val="0"/>
          <w:numId w:val="4"/>
        </w:numPr>
      </w:pPr>
      <w:r w:rsidRPr="00086EB8">
        <w:rPr>
          <w:rFonts w:ascii="Times New Roman" w:hAnsi="Times New Roman"/>
          <w:sz w:val="24"/>
          <w:szCs w:val="24"/>
        </w:rPr>
        <w:t xml:space="preserve">Qualitative Collections. While survey research employs a deductive, quantitative methodology and relies on a relatively large population-based probability sample to support statistical inference and representativeness, methods such as cognitive interviewing employs an inductive, qualitative methodology and generally relies upon a relatively small sample. Unlike survey research, the primary objective of the qualitative methods the National Survey on Drug Use and Health (NSDUH) employs is </w:t>
      </w:r>
      <w:r w:rsidRPr="00086EB8">
        <w:rPr>
          <w:rFonts w:ascii="Times New Roman" w:hAnsi="Times New Roman"/>
          <w:iCs/>
          <w:sz w:val="24"/>
          <w:szCs w:val="24"/>
        </w:rPr>
        <w:t>not</w:t>
      </w:r>
      <w:r w:rsidRPr="00086EB8">
        <w:rPr>
          <w:rFonts w:ascii="Times New Roman" w:hAnsi="Times New Roman"/>
          <w:sz w:val="24"/>
          <w:szCs w:val="24"/>
        </w:rPr>
        <w:t xml:space="preserve"> to produce statistical data that can be generalized to an entire population. Rather, their objective is to provide an in-depth exploration of particular concepts, processes and/or patterns of interpretation. Samples used for qualitative research generally do not achieve full inclusivity of all social and demographic groups. As a general rule, sample definitions are based upon the content of the survey, as well as the purpose and objectives of the particular study. For example, NSDUH has conducted cognitive interviews with 30-60 respondents at a time recruited to evaluate question wording and response options from:</w:t>
      </w:r>
    </w:p>
    <w:p w:rsidR="0068384D" w:rsidRPr="0068384D" w:rsidP="0068384D" w14:paraId="7974C072" w14:textId="77777777">
      <w:pPr>
        <w:pStyle w:val="ListParagraph"/>
        <w:numPr>
          <w:ilvl w:val="1"/>
          <w:numId w:val="5"/>
        </w:numPr>
        <w:rPr>
          <w:rFonts w:ascii="Times New Roman" w:eastAsia="Times New Roman" w:hAnsi="Times New Roman"/>
          <w:sz w:val="24"/>
          <w:szCs w:val="24"/>
        </w:rPr>
      </w:pPr>
      <w:r w:rsidRPr="0068384D">
        <w:rPr>
          <w:rFonts w:ascii="Times New Roman" w:eastAsia="Times New Roman" w:hAnsi="Times New Roman"/>
          <w:sz w:val="24"/>
          <w:szCs w:val="24"/>
        </w:rPr>
        <w:t>respondents in drug treatment in the past 2 years to evaluate extensive questions about drug treatment</w:t>
      </w:r>
    </w:p>
    <w:p w:rsidR="0068384D" w:rsidRPr="0068384D" w:rsidP="0068384D" w14:paraId="0F07DE63" w14:textId="77777777">
      <w:pPr>
        <w:pStyle w:val="ListParagraph"/>
        <w:numPr>
          <w:ilvl w:val="1"/>
          <w:numId w:val="5"/>
        </w:numPr>
        <w:rPr>
          <w:rFonts w:ascii="Times New Roman" w:eastAsia="Times New Roman" w:hAnsi="Times New Roman"/>
          <w:sz w:val="24"/>
          <w:szCs w:val="24"/>
        </w:rPr>
      </w:pPr>
      <w:r w:rsidRPr="0068384D">
        <w:rPr>
          <w:rFonts w:ascii="Times New Roman" w:eastAsia="Times New Roman" w:hAnsi="Times New Roman"/>
          <w:sz w:val="24"/>
          <w:szCs w:val="24"/>
        </w:rPr>
        <w:t>respondents diagnosed with depression to evaluate a depression screener and module</w:t>
      </w:r>
    </w:p>
    <w:p w:rsidR="0068384D" w:rsidRPr="0068384D" w:rsidP="0068384D" w14:paraId="3BEB30F1" w14:textId="77777777">
      <w:pPr>
        <w:pStyle w:val="ListParagraph"/>
        <w:numPr>
          <w:ilvl w:val="1"/>
          <w:numId w:val="5"/>
        </w:numPr>
        <w:rPr>
          <w:rFonts w:ascii="Times New Roman" w:eastAsia="Times New Roman" w:hAnsi="Times New Roman"/>
          <w:sz w:val="24"/>
          <w:szCs w:val="24"/>
        </w:rPr>
      </w:pPr>
      <w:r w:rsidRPr="0068384D">
        <w:rPr>
          <w:rFonts w:ascii="Times New Roman" w:eastAsia="Times New Roman" w:hAnsi="Times New Roman"/>
          <w:sz w:val="24"/>
          <w:szCs w:val="24"/>
        </w:rPr>
        <w:t xml:space="preserve">respondents who currently drink alcohol to evaluate substance use disorder questions for </w:t>
      </w:r>
      <w:r>
        <w:rPr>
          <w:rFonts w:ascii="Times New Roman" w:eastAsia="Times New Roman" w:hAnsi="Times New Roman"/>
          <w:sz w:val="24"/>
          <w:szCs w:val="24"/>
        </w:rPr>
        <w:t>alcohol</w:t>
      </w:r>
      <w:r w:rsidRPr="00E724AA">
        <w:rPr>
          <w:rFonts w:ascii="Times New Roman" w:eastAsia="Times New Roman" w:hAnsi="Times New Roman"/>
          <w:sz w:val="24"/>
          <w:szCs w:val="24"/>
        </w:rPr>
        <w:t>.</w:t>
      </w:r>
    </w:p>
    <w:p w:rsidR="0068384D" w:rsidP="0068384D" w14:paraId="48C15123" w14:textId="77777777">
      <w:pPr>
        <w:widowControl/>
        <w:tabs>
          <w:tab w:val="left" w:pos="0"/>
        </w:tabs>
      </w:pPr>
    </w:p>
    <w:p w:rsidR="0068384D" w:rsidP="0068384D" w14:paraId="3B527F69" w14:textId="77777777">
      <w:pPr>
        <w:widowControl/>
        <w:ind w:left="1440" w:hanging="720"/>
      </w:pPr>
      <w:r>
        <w:t>b)</w:t>
      </w:r>
      <w:r>
        <w:tab/>
        <w:t xml:space="preserve">Quantitative Collections. In the instances when NSDUH conducts field tests/pilot tests, non-purposive sampling methods will normally be used. Again, the universe for these studies will depend on the overall research purpose, but will tend to be geographically larger than those used in the qualitative studies. Sampling will also depend on the specific project. </w:t>
      </w:r>
    </w:p>
    <w:p w:rsidR="0068384D" w14:paraId="56371FF6" w14:textId="77777777">
      <w:pPr>
        <w:pStyle w:val="BodyText1"/>
        <w:tabs>
          <w:tab w:val="clear" w:pos="-720"/>
        </w:tabs>
      </w:pPr>
    </w:p>
    <w:p w:rsidR="004C55CD" w14:paraId="029BFD8A" w14:textId="682A68C9">
      <w:pPr>
        <w:pStyle w:val="BodyText1"/>
        <w:tabs>
          <w:tab w:val="clear" w:pos="-720"/>
        </w:tabs>
      </w:pPr>
    </w:p>
    <w:p w:rsidR="004C55CD" w14:paraId="4021EE50" w14:textId="77777777">
      <w:pPr>
        <w:pStyle w:val="BodyText1"/>
        <w:tabs>
          <w:tab w:val="clear" w:pos="-720"/>
        </w:tabs>
      </w:pPr>
    </w:p>
    <w:p w:rsidR="00070D10" w14:paraId="6C5AAF2E" w14:textId="77777777">
      <w:pPr>
        <w:pStyle w:val="Heading1A"/>
        <w:tabs>
          <w:tab w:val="clear" w:pos="-720"/>
        </w:tabs>
        <w:rPr>
          <w:u w:val="single"/>
        </w:rPr>
      </w:pPr>
      <w:r>
        <w:t>2.</w:t>
      </w:r>
      <w:r>
        <w:tab/>
      </w:r>
      <w:r>
        <w:rPr>
          <w:u w:val="single"/>
        </w:rPr>
        <w:t>Information Collection Procedures</w:t>
      </w:r>
    </w:p>
    <w:p w:rsidR="00070D10" w14:paraId="6DFF785C" w14:textId="77777777">
      <w:pPr>
        <w:pStyle w:val="BodyText1"/>
        <w:tabs>
          <w:tab w:val="clear" w:pos="-720"/>
        </w:tabs>
      </w:pPr>
      <w:r>
        <w:t xml:space="preserve">Information collection procedures will be different for each methodological test, but will generally involve one of the </w:t>
      </w:r>
      <w:r w:rsidR="00AD6BA5">
        <w:t xml:space="preserve">three </w:t>
      </w:r>
      <w:r>
        <w:t xml:space="preserve">major methods outlined in section A2 </w:t>
      </w:r>
      <w:r w:rsidR="00AD6BA5">
        <w:t xml:space="preserve">(focus groups, cognitive testing, field tests) </w:t>
      </w:r>
      <w:r>
        <w:t xml:space="preserve">and will be included in the materials for each expedited review. </w:t>
      </w:r>
    </w:p>
    <w:p w:rsidR="00070D10" w14:paraId="7CB95CFA" w14:textId="77777777">
      <w:pPr>
        <w:pStyle w:val="Heading1A"/>
        <w:tabs>
          <w:tab w:val="clear" w:pos="-720"/>
        </w:tabs>
        <w:rPr>
          <w:u w:val="single"/>
        </w:rPr>
      </w:pPr>
      <w:r>
        <w:t>3.</w:t>
      </w:r>
      <w:r>
        <w:tab/>
      </w:r>
      <w:r>
        <w:rPr>
          <w:u w:val="single"/>
        </w:rPr>
        <w:t xml:space="preserve">Methods to Maximize Response Rates </w:t>
      </w:r>
    </w:p>
    <w:p w:rsidR="00346159" w:rsidP="00346159" w14:paraId="6E30D0E3" w14:textId="77777777">
      <w:pPr>
        <w:pStyle w:val="BodyText1"/>
        <w:tabs>
          <w:tab w:val="clear" w:pos="-720"/>
        </w:tabs>
        <w:rPr>
          <w:lang w:val="en-GB"/>
        </w:rPr>
      </w:pPr>
      <w:r>
        <w:rPr>
          <w:lang w:val="en-GB"/>
        </w:rPr>
        <w:t>Consistent with survey methodology, the design of each field test will include approaches to maximize response rates, while retaining the voluntary nature of the effort. If CBHSQ proposes to offer incentives to respondents to offset their costs of participation (and thereby reduce differential nonresponse), appropriate justification will be provided. These details will be included in the materials for expedited review.</w:t>
      </w:r>
    </w:p>
    <w:p w:rsidR="00070D10" w14:paraId="61CA8E39" w14:textId="77777777">
      <w:pPr>
        <w:pStyle w:val="Heading1A"/>
        <w:tabs>
          <w:tab w:val="clear" w:pos="-720"/>
        </w:tabs>
        <w:rPr>
          <w:u w:val="single"/>
        </w:rPr>
      </w:pPr>
      <w:r>
        <w:t>4.</w:t>
      </w:r>
      <w:r>
        <w:tab/>
      </w:r>
      <w:r>
        <w:rPr>
          <w:u w:val="single"/>
        </w:rPr>
        <w:t>Tests of Procedures</w:t>
      </w:r>
    </w:p>
    <w:p w:rsidR="00070D10" w14:paraId="32BF00FE" w14:textId="77777777">
      <w:pPr>
        <w:pStyle w:val="BodyText1"/>
        <w:tabs>
          <w:tab w:val="clear" w:pos="-720"/>
        </w:tabs>
      </w:pPr>
      <w:r>
        <w:t>The activities to be conducted under this approval are in themselves tests of procedures. Interview guides and questionnaires to be used in the field tests will  be carefully developed</w:t>
      </w:r>
      <w:r w:rsidR="00283767">
        <w:t xml:space="preserve">, scrutinized </w:t>
      </w:r>
      <w:r>
        <w:t>and limited informal testing to assure completeness and smooth flow.</w:t>
      </w:r>
    </w:p>
    <w:p w:rsidR="00070D10" w14:paraId="6495D368" w14:textId="77777777">
      <w:pPr>
        <w:pStyle w:val="Heading1A"/>
        <w:tabs>
          <w:tab w:val="clear" w:pos="-720"/>
        </w:tabs>
        <w:rPr>
          <w:u w:val="single"/>
        </w:rPr>
      </w:pPr>
      <w:r>
        <w:t>5.</w:t>
      </w:r>
      <w:r>
        <w:tab/>
      </w:r>
      <w:r>
        <w:rPr>
          <w:u w:val="single"/>
        </w:rPr>
        <w:t>Statistical Consultants</w:t>
      </w:r>
    </w:p>
    <w:p w:rsidR="00070D10" w14:paraId="62DC33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Bold" w:hAnsi="Times New Roman Bold"/>
        </w:rPr>
      </w:pPr>
      <w:r w:rsidRPr="00F75FCC">
        <w:t xml:space="preserve">Statistical experts reviewing portions of prior NSDUH designs include William </w:t>
      </w:r>
      <w:r w:rsidRPr="00F75FCC">
        <w:t>Kalsbeek</w:t>
      </w:r>
      <w:r w:rsidRPr="00F75FCC">
        <w:t xml:space="preserve">, PhD, University of North Carolina; Robert Groves, PhD, Georgetown University; and Michael </w:t>
      </w:r>
      <w:r w:rsidRPr="00F75FCC">
        <w:t>Hidiroglou</w:t>
      </w:r>
      <w:r w:rsidRPr="00F75FCC">
        <w:t xml:space="preserve">, PhD, Statistics Canada. Monroe </w:t>
      </w:r>
      <w:r w:rsidRPr="00F75FCC">
        <w:t>Sirken</w:t>
      </w:r>
      <w:r w:rsidRPr="00F75FCC">
        <w:t>, PhD, National Center for Health Statistics (NCHS)</w:t>
      </w:r>
      <w:r w:rsidR="00A211C1">
        <w:t xml:space="preserve"> (retired)</w:t>
      </w:r>
      <w:r w:rsidRPr="00F75FCC">
        <w:t xml:space="preserve">; Arthur Hughes, CBHSQ, SAMHSA (retired); James Massey, PhD, (deceased) </w:t>
      </w:r>
      <w:r w:rsidR="00A211C1">
        <w:t>(</w:t>
      </w:r>
      <w:r w:rsidRPr="00F75FCC">
        <w:t>NCHS</w:t>
      </w:r>
      <w:r w:rsidR="00A211C1">
        <w:t>)</w:t>
      </w:r>
      <w:r w:rsidRPr="00F75FCC">
        <w:t xml:space="preserve">; Douglas Wright, CBHSQ, SAMHSA (retired); Joseph </w:t>
      </w:r>
      <w:r w:rsidRPr="00F75FCC">
        <w:t>Gfroerer</w:t>
      </w:r>
      <w:r w:rsidRPr="00F75FCC">
        <w:t>, CBHSQ, SAMHSA (retired)</w:t>
      </w:r>
      <w:r w:rsidR="00A211C1">
        <w:t>; and</w:t>
      </w:r>
      <w:r w:rsidRPr="00F75FCC" w:rsidR="00C257EE">
        <w:t xml:space="preserve"> </w:t>
      </w:r>
      <w:r w:rsidRPr="00F75FCC" w:rsidR="00C257EE">
        <w:t>Jonaki</w:t>
      </w:r>
      <w:r w:rsidRPr="00F75FCC" w:rsidR="00C257EE">
        <w:t xml:space="preserve"> Bose, CBHSQ, SAMHSA (currently with NCHS)</w:t>
      </w:r>
      <w:r w:rsidRPr="00F75FCC">
        <w:t xml:space="preserve"> were consulted on survey design. </w:t>
      </w:r>
      <w:r w:rsidR="000A6E76">
        <w:t>Rong Cai</w:t>
      </w:r>
      <w:r w:rsidRPr="00F75FCC">
        <w:t>, CBHSQ, SAMHSA is the pr</w:t>
      </w:r>
      <w:r w:rsidRPr="00F75FCC" w:rsidR="00F75FCC">
        <w:t>imary mathematical statistician</w:t>
      </w:r>
      <w:r w:rsidRPr="00F75FCC">
        <w:t>, (240) 276-</w:t>
      </w:r>
      <w:r w:rsidR="000A6E76">
        <w:t>1288</w:t>
      </w:r>
      <w:r w:rsidRPr="00F75FCC">
        <w:t>. RTI</w:t>
      </w:r>
      <w:r>
        <w:t xml:space="preserve"> International statisticians contributing to the design are Dr. </w:t>
      </w:r>
      <w:r w:rsidR="00AD6BA5">
        <w:t>Rachel Harter</w:t>
      </w:r>
      <w:r>
        <w:t xml:space="preserve">, Director of </w:t>
      </w:r>
      <w:r w:rsidR="00AD6BA5">
        <w:t xml:space="preserve">Sampling and </w:t>
      </w:r>
      <w:r>
        <w:t xml:space="preserve">Statistical Operations, Dr. </w:t>
      </w:r>
      <w:r w:rsidR="00AD6BA5">
        <w:t>Akhil Vaish</w:t>
      </w:r>
      <w:r>
        <w:t xml:space="preserve">, Director of Small Area Estimation, and Dr. Douglas Currivan, </w:t>
      </w:r>
      <w:r w:rsidR="00AD6BA5">
        <w:t>Director of Methods and Redesign Activities</w:t>
      </w:r>
      <w:r>
        <w:t>.</w:t>
      </w:r>
      <w:r>
        <w:rPr>
          <w:rFonts w:ascii="Times New Roman Bold" w:hAnsi="Times New Roman Bold"/>
        </w:rPr>
        <w:tab/>
      </w:r>
    </w:p>
    <w:p w:rsidR="0086026E" w14:paraId="34AC71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Bold" w:hAnsi="Times New Roman Bold"/>
        </w:rPr>
      </w:pPr>
    </w:p>
    <w:p w:rsidR="0086026E" w:rsidP="00551639" w14:paraId="569588BA" w14:textId="77777777">
      <w:pPr>
        <w:pStyle w:val="apptitle"/>
        <w:tabs>
          <w:tab w:val="clear" w:pos="2880"/>
        </w:tabs>
      </w:pPr>
      <w:r>
        <w:t>Attachments</w:t>
      </w:r>
    </w:p>
    <w:p w:rsidR="0086026E" w:rsidP="00551639" w14:paraId="41AB3291" w14:textId="77777777">
      <w:pPr>
        <w:pStyle w:val="BodyText"/>
        <w:tabs>
          <w:tab w:val="left" w:pos="720"/>
        </w:tabs>
        <w:ind w:left="0"/>
      </w:pPr>
      <w:r>
        <w:tab/>
        <w:t>Attachment A.</w:t>
      </w:r>
      <w:r>
        <w:tab/>
      </w:r>
      <w:r>
        <w:tab/>
        <w:t>Confidentiality Agreement</w:t>
      </w:r>
    </w:p>
    <w:p w:rsidR="0086026E" w:rsidP="00551639" w14:paraId="5FBFCD33" w14:textId="77777777">
      <w:pPr>
        <w:pStyle w:val="BodyText"/>
        <w:tabs>
          <w:tab w:val="left" w:pos="720"/>
        </w:tabs>
        <w:ind w:left="0"/>
      </w:pPr>
      <w:r>
        <w:tab/>
        <w:t>Attachment B.</w:t>
      </w:r>
      <w:r>
        <w:tab/>
      </w:r>
      <w:r>
        <w:tab/>
        <w:t>Data Collection Agreement</w:t>
      </w:r>
    </w:p>
    <w:p w:rsidR="0086026E" w:rsidP="00551639" w14:paraId="5C300647" w14:textId="77777777">
      <w:pPr>
        <w:pStyle w:val="BodyText"/>
        <w:tabs>
          <w:tab w:val="left" w:pos="720"/>
        </w:tabs>
        <w:ind w:left="0"/>
      </w:pPr>
    </w:p>
    <w:p w:rsidR="0086026E" w14:paraId="396DA9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Bold" w:hAnsi="Times New Roman Bold"/>
        </w:rPr>
      </w:pPr>
    </w:p>
    <w:p w:rsidR="00070D10" w:rsidP="00551639" w14:paraId="3EFC7BEC" w14:textId="77777777">
      <w:pPr>
        <w:widowControl/>
        <w:tabs>
          <w:tab w:val="center" w:pos="4824"/>
          <w:tab w:val="left" w:pos="5040"/>
          <w:tab w:val="left" w:pos="5760"/>
          <w:tab w:val="left" w:pos="6480"/>
          <w:tab w:val="left" w:pos="7200"/>
          <w:tab w:val="left" w:pos="7920"/>
          <w:tab w:val="left" w:pos="8640"/>
          <w:tab w:val="left" w:pos="9360"/>
        </w:tabs>
        <w:jc w:val="center"/>
        <w:rPr>
          <w:rFonts w:eastAsia="Times New Roman"/>
          <w:color w:val="auto"/>
          <w:sz w:val="20"/>
          <w:lang w:bidi="x-none"/>
        </w:rPr>
      </w:pPr>
    </w:p>
    <w:sectPr>
      <w:headerReference w:type="even" r:id="rId4"/>
      <w:headerReference w:type="default" r:id="rId5"/>
      <w:footerReference w:type="even" r:id="rId6"/>
      <w:footerReference w:type="default" r:id="rId7"/>
      <w:pgSz w:w="12240" w:h="15840"/>
      <w:pgMar w:top="1152" w:right="1152" w:bottom="720" w:left="1152" w:header="115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font>
  <w:font w:name="Times New Roman Italic">
    <w:panose1 w:val="0202050305040509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296C8FA4" w14:textId="77777777">
    <w:pPr>
      <w:ind w:left="288" w:right="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60207828" w14:textId="77777777">
    <w:pPr>
      <w:ind w:left="288" w:right="288"/>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7C112461" w14:textId="77777777">
    <w:pPr>
      <w:pStyle w:val="FreeForm"/>
      <w:rPr>
        <w:rFonts w:eastAsia="Times New Roman"/>
        <w:color w:val="auto"/>
        <w:lang w:bidi="x-none"/>
      </w:rPr>
    </w:pPr>
    <w:r>
      <w:br/>
    </w:r>
    <w:r w:rsidR="00330D74">
      <w:rPr>
        <w:noProof/>
      </w:rPr>
      <mc:AlternateContent>
        <mc:Choice Requires="wps">
          <w:drawing>
            <wp:anchor distT="0" distB="0" distL="114300" distR="114300" simplePos="0" relativeHeight="251660288" behindDoc="1" locked="0" layoutInCell="1" allowOverlap="1">
              <wp:simplePos x="0" y="0"/>
              <wp:positionH relativeFrom="page">
                <wp:posOffset>731520</wp:posOffset>
              </wp:positionH>
              <wp:positionV relativeFrom="page">
                <wp:posOffset>9373235</wp:posOffset>
              </wp:positionV>
              <wp:extent cx="6311900" cy="177800"/>
              <wp:effectExtent l="0" t="635" r="0" b="25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11900" cy="177800"/>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txbx>
                      <w:txbxContent>
                        <w:p w:rsidR="00070D10" w14:textId="77777777">
                          <w:pPr>
                            <w:jc w:val="center"/>
                            <w:rPr>
                              <w:rFonts w:eastAsia="Times New Roman"/>
                              <w:color w:val="auto"/>
                              <w:sz w:val="20"/>
                              <w:lang w:bidi="x-none"/>
                            </w:rPr>
                          </w:pPr>
                          <w:r>
                            <w:fldChar w:fldCharType="begin"/>
                          </w:r>
                          <w:r>
                            <w:instrText xml:space="preserve"> PAGE </w:instrText>
                          </w:r>
                          <w:r>
                            <w:fldChar w:fldCharType="separate"/>
                          </w:r>
                          <w:r w:rsidR="004A1AFC">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97pt;height:14pt;margin-top:738.05pt;margin-left:5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stroked="f" strokeweight="1pt">
              <v:textbox inset="0,0,0,0">
                <w:txbxContent>
                  <w:p w:rsidR="00070D10" w14:paraId="5CEA2003" w14:textId="77777777">
                    <w:pPr>
                      <w:jc w:val="center"/>
                      <w:rPr>
                        <w:rFonts w:eastAsia="Times New Roman"/>
                        <w:color w:val="auto"/>
                        <w:sz w:val="20"/>
                        <w:lang w:bidi="x-none"/>
                      </w:rPr>
                    </w:pPr>
                    <w:r>
                      <w:fldChar w:fldCharType="begin"/>
                    </w:r>
                    <w:r>
                      <w:instrText xml:space="preserve"> PAGE </w:instrText>
                    </w:r>
                    <w:r>
                      <w:fldChar w:fldCharType="separate"/>
                    </w:r>
                    <w:r w:rsidR="004A1AFC">
                      <w:rPr>
                        <w:noProof/>
                      </w:rPr>
                      <w:t>2</w:t>
                    </w:r>
                    <w: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76333898" w14:textId="77777777">
    <w:pPr>
      <w:pStyle w:val="FreeForm"/>
      <w:rPr>
        <w:rFonts w:eastAsia="Times New Roman"/>
        <w:color w:val="auto"/>
        <w:lang w:bidi="x-none"/>
      </w:rPr>
    </w:pPr>
    <w:r>
      <w:br/>
    </w:r>
    <w:r w:rsidR="00330D74">
      <w:rPr>
        <w:noProof/>
      </w:rPr>
      <mc:AlternateContent>
        <mc:Choice Requires="wps">
          <w:drawing>
            <wp:anchor distT="0" distB="0" distL="114300" distR="114300" simplePos="0" relativeHeight="251658240" behindDoc="1" locked="0" layoutInCell="1" allowOverlap="1">
              <wp:simplePos x="0" y="0"/>
              <wp:positionH relativeFrom="page">
                <wp:posOffset>731520</wp:posOffset>
              </wp:positionH>
              <wp:positionV relativeFrom="page">
                <wp:posOffset>9373235</wp:posOffset>
              </wp:positionV>
              <wp:extent cx="6311900" cy="177800"/>
              <wp:effectExtent l="0" t="635" r="0" b="25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11900" cy="177800"/>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txbx>
                      <w:txbxContent>
                        <w:p w:rsidR="00070D10" w14:textId="77777777">
                          <w:pPr>
                            <w:jc w:val="center"/>
                            <w:rPr>
                              <w:rFonts w:eastAsia="Times New Roman"/>
                              <w:color w:val="auto"/>
                              <w:sz w:val="20"/>
                              <w:lang w:bidi="x-none"/>
                            </w:rPr>
                          </w:pPr>
                          <w:r>
                            <w:fldChar w:fldCharType="begin"/>
                          </w:r>
                          <w:r>
                            <w:instrText xml:space="preserve"> PAGE </w:instrText>
                          </w:r>
                          <w:r>
                            <w:fldChar w:fldCharType="separate"/>
                          </w:r>
                          <w:r w:rsidR="004A1AFC">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97pt;height:14pt;margin-top:738.05pt;margin-left:5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stroked="f" strokeweight="1pt">
              <v:textbox inset="0,0,0,0">
                <w:txbxContent>
                  <w:p w:rsidR="00070D10" w14:paraId="19D0C952" w14:textId="77777777">
                    <w:pPr>
                      <w:jc w:val="center"/>
                      <w:rPr>
                        <w:rFonts w:eastAsia="Times New Roman"/>
                        <w:color w:val="auto"/>
                        <w:sz w:val="20"/>
                        <w:lang w:bidi="x-none"/>
                      </w:rPr>
                    </w:pPr>
                    <w:r>
                      <w:fldChar w:fldCharType="begin"/>
                    </w:r>
                    <w:r>
                      <w:instrText xml:space="preserve"> PAGE </w:instrText>
                    </w:r>
                    <w:r>
                      <w:fldChar w:fldCharType="separate"/>
                    </w:r>
                    <w:r w:rsidR="004A1AFC">
                      <w:rPr>
                        <w:noProof/>
                      </w:rPr>
                      <w:t>1</w:t>
                    </w:r>
                    <w: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3">
    <w:nsid w:val="05A53725"/>
    <w:multiLevelType w:val="hybridMultilevel"/>
    <w:tmpl w:val="C29C794E"/>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1F204C2"/>
    <w:multiLevelType w:val="hybridMultilevel"/>
    <w:tmpl w:val="A4DE602A"/>
    <w:lvl w:ilvl="0">
      <w:start w:val="1"/>
      <w:numFmt w:val="lowerLetter"/>
      <w:lvlText w:val="%1)"/>
      <w:lvlJc w:val="left"/>
      <w:pPr>
        <w:ind w:left="1440" w:hanging="72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4342948">
    <w:abstractNumId w:val="0"/>
  </w:num>
  <w:num w:numId="2" w16cid:durableId="2008895667">
    <w:abstractNumId w:val="1"/>
  </w:num>
  <w:num w:numId="3" w16cid:durableId="1950307312">
    <w:abstractNumId w:val="2"/>
  </w:num>
  <w:num w:numId="4" w16cid:durableId="529801476">
    <w:abstractNumId w:val="3"/>
  </w:num>
  <w:num w:numId="5" w16cid:durableId="662321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58"/>
    <w:rsid w:val="000033F0"/>
    <w:rsid w:val="0002771F"/>
    <w:rsid w:val="00070D10"/>
    <w:rsid w:val="00080366"/>
    <w:rsid w:val="00086954"/>
    <w:rsid w:val="00086EB8"/>
    <w:rsid w:val="000A6E76"/>
    <w:rsid w:val="000A79B5"/>
    <w:rsid w:val="0010711D"/>
    <w:rsid w:val="00190033"/>
    <w:rsid w:val="00247B79"/>
    <w:rsid w:val="00270A18"/>
    <w:rsid w:val="00283767"/>
    <w:rsid w:val="00296AFD"/>
    <w:rsid w:val="002A338E"/>
    <w:rsid w:val="00330D74"/>
    <w:rsid w:val="00346159"/>
    <w:rsid w:val="0037264A"/>
    <w:rsid w:val="004007C1"/>
    <w:rsid w:val="0042214F"/>
    <w:rsid w:val="004464E2"/>
    <w:rsid w:val="00453CF1"/>
    <w:rsid w:val="00487A5A"/>
    <w:rsid w:val="004912FB"/>
    <w:rsid w:val="00493BC1"/>
    <w:rsid w:val="004A1AFC"/>
    <w:rsid w:val="004C55CD"/>
    <w:rsid w:val="004E3613"/>
    <w:rsid w:val="004F39BF"/>
    <w:rsid w:val="00551639"/>
    <w:rsid w:val="00572084"/>
    <w:rsid w:val="005832E1"/>
    <w:rsid w:val="005853CB"/>
    <w:rsid w:val="00610AF6"/>
    <w:rsid w:val="00630201"/>
    <w:rsid w:val="0068384D"/>
    <w:rsid w:val="006B6A0E"/>
    <w:rsid w:val="006C1B17"/>
    <w:rsid w:val="00732DC3"/>
    <w:rsid w:val="00746CF8"/>
    <w:rsid w:val="007C39BC"/>
    <w:rsid w:val="007E4FAA"/>
    <w:rsid w:val="00812B9A"/>
    <w:rsid w:val="00834E83"/>
    <w:rsid w:val="0086026E"/>
    <w:rsid w:val="008B1D46"/>
    <w:rsid w:val="009102C5"/>
    <w:rsid w:val="009107A2"/>
    <w:rsid w:val="00934900"/>
    <w:rsid w:val="009853A6"/>
    <w:rsid w:val="0099206D"/>
    <w:rsid w:val="009A0E1F"/>
    <w:rsid w:val="00A211C1"/>
    <w:rsid w:val="00A45458"/>
    <w:rsid w:val="00A518CC"/>
    <w:rsid w:val="00A53753"/>
    <w:rsid w:val="00A552AB"/>
    <w:rsid w:val="00A8446A"/>
    <w:rsid w:val="00A85E97"/>
    <w:rsid w:val="00AD6BA5"/>
    <w:rsid w:val="00B06358"/>
    <w:rsid w:val="00B14155"/>
    <w:rsid w:val="00B165A2"/>
    <w:rsid w:val="00B22554"/>
    <w:rsid w:val="00B302DA"/>
    <w:rsid w:val="00B35ED1"/>
    <w:rsid w:val="00B36451"/>
    <w:rsid w:val="00BC4BEB"/>
    <w:rsid w:val="00BC60E8"/>
    <w:rsid w:val="00BC7932"/>
    <w:rsid w:val="00BC7F29"/>
    <w:rsid w:val="00C257EE"/>
    <w:rsid w:val="00C3114A"/>
    <w:rsid w:val="00C527F1"/>
    <w:rsid w:val="00C9504C"/>
    <w:rsid w:val="00CC6D08"/>
    <w:rsid w:val="00CD29C7"/>
    <w:rsid w:val="00CE173B"/>
    <w:rsid w:val="00CF55ED"/>
    <w:rsid w:val="00D63B46"/>
    <w:rsid w:val="00D67BD4"/>
    <w:rsid w:val="00D71CD0"/>
    <w:rsid w:val="00D743E3"/>
    <w:rsid w:val="00DA5FD0"/>
    <w:rsid w:val="00DA6A6A"/>
    <w:rsid w:val="00DA6E2C"/>
    <w:rsid w:val="00DD349B"/>
    <w:rsid w:val="00E16BA7"/>
    <w:rsid w:val="00E356B8"/>
    <w:rsid w:val="00E54EB4"/>
    <w:rsid w:val="00E724AA"/>
    <w:rsid w:val="00E8614D"/>
    <w:rsid w:val="00EC4B29"/>
    <w:rsid w:val="00EE0ECC"/>
    <w:rsid w:val="00F01E52"/>
    <w:rsid w:val="00F07584"/>
    <w:rsid w:val="00F1679A"/>
    <w:rsid w:val="00F2592F"/>
    <w:rsid w:val="00F53892"/>
    <w:rsid w:val="00F75E60"/>
    <w:rsid w:val="00F75FCC"/>
    <w:rsid w:val="00F761E8"/>
    <w:rsid w:val="00F90098"/>
    <w:rsid w:val="00FB6DF0"/>
    <w:rsid w:val="00FD17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26C7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eastAsia="ヒラギノ角ゴ Pro W3"/>
      <w:color w:val="000000"/>
      <w:sz w:val="24"/>
      <w:szCs w:val="24"/>
    </w:rPr>
  </w:style>
  <w:style w:type="paragraph" w:styleId="Heading1">
    <w:name w:val="heading 1"/>
    <w:basedOn w:val="Normal"/>
    <w:next w:val="Normal"/>
    <w:link w:val="Heading1Char"/>
    <w:qFormat/>
    <w:locked/>
    <w:rsid w:val="0086026E"/>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BodyText1">
    <w:name w:val="Body Text1"/>
    <w:pPr>
      <w:widowControl w:val="0"/>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eastAsia="ヒラギノ角ゴ Pro W3"/>
      <w:color w:val="000000"/>
      <w:sz w:val="24"/>
    </w:rPr>
  </w:style>
  <w:style w:type="numbering" w:customStyle="1" w:styleId="List1">
    <w:name w:val="List 1"/>
  </w:style>
  <w:style w:type="paragraph" w:customStyle="1" w:styleId="Heading1A">
    <w:name w:val="Heading 1 A"/>
    <w:next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outlineLvl w:val="0"/>
    </w:pPr>
    <w:rPr>
      <w:rFonts w:ascii="Times New Roman Bold" w:eastAsia="ヒラギノ角ゴ Pro W3" w:hAnsi="Times New Roman Bold"/>
      <w:color w:val="000000"/>
      <w:sz w:val="24"/>
    </w:rPr>
  </w:style>
  <w:style w:type="paragraph" w:customStyle="1" w:styleId="Heading3A">
    <w:name w:val="Heading 3 A"/>
    <w:next w:val="Normal"/>
    <w:pPr>
      <w:widowControl w:val="0"/>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2"/>
    </w:pPr>
    <w:rPr>
      <w:rFonts w:eastAsia="ヒラギノ角ゴ Pro W3"/>
      <w:color w:val="000000"/>
      <w:sz w:val="24"/>
      <w:u w:val="single"/>
    </w:rPr>
  </w:style>
  <w:style w:type="paragraph" w:styleId="ListParagraph">
    <w:name w:val="List Paragraph"/>
    <w:qFormat/>
    <w:pPr>
      <w:ind w:left="720"/>
    </w:pPr>
    <w:rPr>
      <w:rFonts w:ascii="Lucida Grande" w:eastAsia="ヒラギノ角ゴ Pro W3" w:hAnsi="Lucida Grande"/>
      <w:color w:val="000000"/>
      <w:sz w:val="22"/>
    </w:rPr>
  </w:style>
  <w:style w:type="paragraph" w:customStyle="1" w:styleId="ListingName">
    <w:name w:val="Listing_Name"/>
    <w:pPr>
      <w:spacing w:before="120" w:line="240" w:lineRule="exact"/>
    </w:pPr>
    <w:rPr>
      <w:rFonts w:ascii="Times New Roman Italic" w:eastAsia="ヒラギノ角ゴ Pro W3" w:hAnsi="Times New Roman Italic"/>
      <w:color w:val="000000"/>
      <w:sz w:val="22"/>
    </w:rPr>
  </w:style>
  <w:style w:type="character" w:customStyle="1" w:styleId="volume">
    <w:name w:val="volume"/>
    <w:rsid w:val="00630201"/>
  </w:style>
  <w:style w:type="character" w:customStyle="1" w:styleId="page">
    <w:name w:val="page"/>
    <w:rsid w:val="00630201"/>
  </w:style>
  <w:style w:type="paragraph" w:styleId="BalloonText">
    <w:name w:val="Balloon Text"/>
    <w:basedOn w:val="Normal"/>
    <w:link w:val="BalloonTextChar"/>
    <w:locked/>
    <w:rsid w:val="00AD6BA5"/>
    <w:rPr>
      <w:rFonts w:ascii="Segoe UI" w:hAnsi="Segoe UI" w:cs="Segoe UI"/>
      <w:sz w:val="18"/>
      <w:szCs w:val="18"/>
    </w:rPr>
  </w:style>
  <w:style w:type="character" w:customStyle="1" w:styleId="BalloonTextChar">
    <w:name w:val="Balloon Text Char"/>
    <w:link w:val="BalloonText"/>
    <w:rsid w:val="00AD6BA5"/>
    <w:rPr>
      <w:rFonts w:ascii="Segoe UI" w:eastAsia="ヒラギノ角ゴ Pro W3" w:hAnsi="Segoe UI" w:cs="Segoe UI"/>
      <w:color w:val="000000"/>
      <w:sz w:val="18"/>
      <w:szCs w:val="18"/>
    </w:rPr>
  </w:style>
  <w:style w:type="paragraph" w:styleId="BodyText">
    <w:name w:val="Body Text"/>
    <w:basedOn w:val="ListParagraph"/>
    <w:link w:val="BodyTextChar"/>
    <w:unhideWhenUsed/>
    <w:locked/>
    <w:rsid w:val="0086026E"/>
    <w:pPr>
      <w:spacing w:after="120"/>
    </w:pPr>
    <w:rPr>
      <w:rFonts w:ascii="Times New Roman" w:eastAsia="Calibri" w:hAnsi="Times New Roman"/>
      <w:sz w:val="24"/>
      <w:szCs w:val="24"/>
    </w:rPr>
  </w:style>
  <w:style w:type="character" w:customStyle="1" w:styleId="BodyTextChar">
    <w:name w:val="Body Text Char"/>
    <w:link w:val="BodyText"/>
    <w:rsid w:val="0086026E"/>
    <w:rPr>
      <w:rFonts w:eastAsia="Calibri"/>
      <w:color w:val="000000"/>
      <w:sz w:val="24"/>
      <w:szCs w:val="24"/>
    </w:rPr>
  </w:style>
  <w:style w:type="paragraph" w:customStyle="1" w:styleId="apptitle">
    <w:name w:val="apptitle"/>
    <w:basedOn w:val="Heading1"/>
    <w:rsid w:val="0086026E"/>
    <w:pPr>
      <w:keepNext w:val="0"/>
      <w:pageBreakBefore/>
      <w:numPr>
        <w:ilvl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76" w:lineRule="auto"/>
      <w:ind w:left="720" w:hanging="720"/>
      <w:contextualSpacing/>
      <w:jc w:val="center"/>
    </w:pPr>
    <w:rPr>
      <w:rFonts w:ascii="Times New Roman" w:hAnsi="Times New Roman"/>
      <w:kern w:val="0"/>
      <w:sz w:val="28"/>
      <w:szCs w:val="28"/>
      <w:lang w:bidi="en-US"/>
    </w:rPr>
  </w:style>
  <w:style w:type="character" w:customStyle="1" w:styleId="Heading1Char">
    <w:name w:val="Heading 1 Char"/>
    <w:link w:val="Heading1"/>
    <w:rsid w:val="0086026E"/>
    <w:rPr>
      <w:rFonts w:ascii="Calibri Light" w:eastAsia="Times New Roman" w:hAnsi="Calibri Light" w:cs="Times New Roman"/>
      <w:b/>
      <w:bCs/>
      <w:color w:val="000000"/>
      <w:kern w:val="32"/>
      <w:sz w:val="32"/>
      <w:szCs w:val="32"/>
    </w:rPr>
  </w:style>
  <w:style w:type="character" w:styleId="CommentReference">
    <w:name w:val="annotation reference"/>
    <w:locked/>
    <w:rsid w:val="00D63B46"/>
    <w:rPr>
      <w:sz w:val="16"/>
      <w:szCs w:val="16"/>
    </w:rPr>
  </w:style>
  <w:style w:type="paragraph" w:styleId="CommentText">
    <w:name w:val="annotation text"/>
    <w:basedOn w:val="Normal"/>
    <w:link w:val="CommentTextChar"/>
    <w:locked/>
    <w:rsid w:val="00D63B46"/>
    <w:rPr>
      <w:sz w:val="20"/>
      <w:szCs w:val="20"/>
    </w:rPr>
  </w:style>
  <w:style w:type="character" w:customStyle="1" w:styleId="CommentTextChar">
    <w:name w:val="Comment Text Char"/>
    <w:link w:val="CommentText"/>
    <w:rsid w:val="00D63B46"/>
    <w:rPr>
      <w:rFonts w:eastAsia="ヒラギノ角ゴ Pro W3"/>
      <w:color w:val="000000"/>
    </w:rPr>
  </w:style>
  <w:style w:type="paragraph" w:styleId="CommentSubject">
    <w:name w:val="annotation subject"/>
    <w:basedOn w:val="CommentText"/>
    <w:next w:val="CommentText"/>
    <w:link w:val="CommentSubjectChar"/>
    <w:locked/>
    <w:rsid w:val="00D63B46"/>
    <w:rPr>
      <w:b/>
      <w:bCs/>
    </w:rPr>
  </w:style>
  <w:style w:type="character" w:customStyle="1" w:styleId="CommentSubjectChar">
    <w:name w:val="Comment Subject Char"/>
    <w:link w:val="CommentSubject"/>
    <w:rsid w:val="00D63B46"/>
    <w:rPr>
      <w:rFonts w:eastAsia="ヒラギノ角ゴ Pro W3"/>
      <w:b/>
      <w:bCs/>
      <w:color w:val="000000"/>
    </w:rPr>
  </w:style>
  <w:style w:type="paragraph" w:styleId="Header">
    <w:name w:val="header"/>
    <w:basedOn w:val="Normal"/>
    <w:link w:val="HeaderChar"/>
    <w:locked/>
    <w:rsid w:val="00A518CC"/>
    <w:pPr>
      <w:tabs>
        <w:tab w:val="center" w:pos="4680"/>
        <w:tab w:val="right" w:pos="9360"/>
      </w:tabs>
    </w:pPr>
  </w:style>
  <w:style w:type="character" w:customStyle="1" w:styleId="HeaderChar">
    <w:name w:val="Header Char"/>
    <w:basedOn w:val="DefaultParagraphFont"/>
    <w:link w:val="Header"/>
    <w:rsid w:val="00A518CC"/>
    <w:rPr>
      <w:rFonts w:eastAsia="ヒラギノ角ゴ Pro W3"/>
      <w:color w:val="000000"/>
      <w:sz w:val="24"/>
      <w:szCs w:val="24"/>
    </w:rPr>
  </w:style>
  <w:style w:type="paragraph" w:styleId="Footer">
    <w:name w:val="footer"/>
    <w:basedOn w:val="Normal"/>
    <w:link w:val="FooterChar"/>
    <w:locked/>
    <w:rsid w:val="00A518CC"/>
    <w:pPr>
      <w:tabs>
        <w:tab w:val="center" w:pos="4680"/>
        <w:tab w:val="right" w:pos="9360"/>
      </w:tabs>
    </w:pPr>
  </w:style>
  <w:style w:type="character" w:customStyle="1" w:styleId="FooterChar">
    <w:name w:val="Footer Char"/>
    <w:basedOn w:val="DefaultParagraphFont"/>
    <w:link w:val="Footer"/>
    <w:rsid w:val="00A518CC"/>
    <w:rPr>
      <w:rFonts w:eastAsia="ヒラギノ角ゴ Pro W3"/>
      <w:color w:val="000000"/>
      <w:sz w:val="24"/>
      <w:szCs w:val="24"/>
    </w:rPr>
  </w:style>
  <w:style w:type="paragraph" w:styleId="Revision">
    <w:name w:val="Revision"/>
    <w:hidden/>
    <w:uiPriority w:val="99"/>
    <w:semiHidden/>
    <w:rsid w:val="004C55C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2023-05-19T16:13:00Z</dcterms:created>
  <dcterms:modified xsi:type="dcterms:W3CDTF">2023-05-19T16:13:00Z</dcterms:modified>
</cp:coreProperties>
</file>