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70D10" w14:paraId="77C45F37" w14:textId="504BB3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Bold" w:hAnsi="Times New Roman Bold"/>
          <w:sz w:val="40"/>
        </w:rPr>
      </w:pPr>
      <w:r w:rsidRPr="00436FEA">
        <w:rPr>
          <w:rFonts w:ascii="Times New Roman Bold" w:hAnsi="Times New Roman Bold"/>
          <w:sz w:val="40"/>
        </w:rPr>
        <w:t>202</w:t>
      </w:r>
      <w:r w:rsidR="000F45AE">
        <w:rPr>
          <w:rFonts w:ascii="Times New Roman Bold" w:hAnsi="Times New Roman Bold"/>
          <w:sz w:val="40"/>
        </w:rPr>
        <w:t>3</w:t>
      </w:r>
      <w:r w:rsidRPr="00436FEA">
        <w:rPr>
          <w:rFonts w:ascii="Times New Roman Bold" w:hAnsi="Times New Roman Bold"/>
          <w:sz w:val="40"/>
        </w:rPr>
        <w:t>-</w:t>
      </w:r>
      <w:r w:rsidRPr="00436FEA" w:rsidR="00872CEB">
        <w:rPr>
          <w:rFonts w:ascii="Times New Roman Bold" w:hAnsi="Times New Roman Bold"/>
          <w:sz w:val="40"/>
        </w:rPr>
        <w:t>202</w:t>
      </w:r>
      <w:r w:rsidR="000F45AE">
        <w:rPr>
          <w:rFonts w:ascii="Times New Roman Bold" w:hAnsi="Times New Roman Bold"/>
          <w:sz w:val="40"/>
        </w:rPr>
        <w:t>6</w:t>
      </w:r>
      <w:r w:rsidRPr="00436FEA" w:rsidR="00872CEB">
        <w:rPr>
          <w:rFonts w:ascii="Times New Roman Bold" w:hAnsi="Times New Roman Bold"/>
          <w:sz w:val="40"/>
        </w:rPr>
        <w:t xml:space="preserve"> </w:t>
      </w:r>
      <w:r>
        <w:rPr>
          <w:rFonts w:ascii="Times New Roman Bold" w:hAnsi="Times New Roman Bold"/>
          <w:sz w:val="40"/>
        </w:rPr>
        <w:t xml:space="preserve">National Surveys on Drug Use and Health: </w:t>
      </w:r>
    </w:p>
    <w:p w:rsidR="00070D10" w14:paraId="4385B9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Bold" w:hAnsi="Times New Roman Bold"/>
          <w:sz w:val="40"/>
        </w:rPr>
      </w:pPr>
      <w:r>
        <w:rPr>
          <w:rFonts w:ascii="Times New Roman Bold" w:hAnsi="Times New Roman Bold"/>
          <w:sz w:val="40"/>
        </w:rPr>
        <w:t>Methodological Field Tests</w:t>
      </w:r>
    </w:p>
    <w:p w:rsidR="00070D10" w14:paraId="7C3466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Bold" w:hAnsi="Times New Roman Bold"/>
        </w:rPr>
      </w:pPr>
    </w:p>
    <w:p w:rsidR="00070D10" w:rsidRPr="001A23BD" w14:paraId="014EFA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44"/>
          <w:szCs w:val="44"/>
        </w:rPr>
      </w:pPr>
      <w:r w:rsidRPr="001A23BD">
        <w:rPr>
          <w:rFonts w:ascii="Times New Roman Bold" w:hAnsi="Times New Roman Bold"/>
          <w:sz w:val="44"/>
          <w:szCs w:val="44"/>
        </w:rPr>
        <w:t>SUPPORTING STATEMENT</w:t>
      </w:r>
    </w:p>
    <w:p w:rsidR="00070D10" w14:paraId="4DF0B5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70D10" w14:paraId="267365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Bold" w:hAnsi="Times New Roman Bold"/>
        </w:rPr>
      </w:pPr>
      <w:r>
        <w:rPr>
          <w:rFonts w:ascii="Times New Roman Bold" w:hAnsi="Times New Roman Bold"/>
        </w:rPr>
        <w:t>A.</w:t>
      </w:r>
      <w:r>
        <w:rPr>
          <w:rFonts w:ascii="Times New Roman Bold" w:hAnsi="Times New Roman Bold"/>
        </w:rPr>
        <w:tab/>
        <w:t>JUSTIFICATION</w:t>
      </w:r>
    </w:p>
    <w:p w:rsidR="00070D10" w14:paraId="340151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rPr>
          <w:rFonts w:ascii="Times New Roman Bold" w:hAnsi="Times New Roman Bold"/>
          <w:u w:val="single"/>
        </w:rPr>
      </w:pPr>
      <w:r>
        <w:rPr>
          <w:rFonts w:ascii="Times New Roman Bold" w:hAnsi="Times New Roman Bold"/>
        </w:rPr>
        <w:t>1.</w:t>
      </w:r>
      <w:r>
        <w:rPr>
          <w:rFonts w:ascii="Times New Roman Bold" w:hAnsi="Times New Roman Bold"/>
        </w:rPr>
        <w:tab/>
      </w:r>
      <w:r>
        <w:rPr>
          <w:rFonts w:ascii="Times New Roman Bold" w:hAnsi="Times New Roman Bold"/>
          <w:u w:val="single"/>
        </w:rPr>
        <w:t>Circumstances of Information Collection</w:t>
      </w:r>
    </w:p>
    <w:p w:rsidR="00070D10" w:rsidRPr="00A53753" w:rsidP="00A53753" w14:paraId="318E332A" w14:textId="7F7DF081">
      <w:pPr>
        <w:ind w:left="720" w:hanging="720"/>
        <w:rPr>
          <w:rFonts w:ascii="Calibri" w:hAnsi="Calibri"/>
          <w:color w:val="1F497D"/>
          <w:sz w:val="22"/>
          <w:szCs w:val="22"/>
        </w:rPr>
      </w:pPr>
      <w:r>
        <w:tab/>
      </w:r>
      <w:r w:rsidR="00A53753">
        <w:t xml:space="preserve">The Substance Abuse and Mental Health Services Administration (SAMHSA), Center for Behavioral Health Statistics and Quality (CBHSQ), is requesting approval for an </w:t>
      </w:r>
      <w:r w:rsidR="00F50A1C">
        <w:t>revision of</w:t>
      </w:r>
      <w:r w:rsidR="00A53753">
        <w:t xml:space="preserve"> the generic clearance </w:t>
      </w:r>
      <w:r w:rsidR="00055AD5">
        <w:t xml:space="preserve">for methodological field tests </w:t>
      </w:r>
      <w:r w:rsidR="00A53753">
        <w:t xml:space="preserve">for the National Survey on Drug Use and Health (NSDUH) (OMB No. 0930-0290) which expires on </w:t>
      </w:r>
      <w:r w:rsidR="00FA6E84">
        <w:t>April</w:t>
      </w:r>
      <w:r w:rsidR="00A53753">
        <w:t xml:space="preserve"> </w:t>
      </w:r>
      <w:r w:rsidRPr="00436FEA" w:rsidR="00A53753">
        <w:t>3</w:t>
      </w:r>
      <w:r w:rsidR="00FA6E84">
        <w:t>0</w:t>
      </w:r>
      <w:r w:rsidRPr="00436FEA" w:rsidR="00A53753">
        <w:t xml:space="preserve">, </w:t>
      </w:r>
      <w:r w:rsidRPr="00436FEA" w:rsidR="00292A40">
        <w:t>202</w:t>
      </w:r>
      <w:r w:rsidR="00FA6E84">
        <w:t>3</w:t>
      </w:r>
      <w:r w:rsidRPr="00436FEA" w:rsidR="00A53753">
        <w:t>.</w:t>
      </w:r>
      <w:r w:rsidRPr="00436FEA" w:rsidR="00A53753">
        <w:rPr>
          <w:rFonts w:ascii="Calibri" w:hAnsi="Calibri"/>
          <w:color w:val="1F497D"/>
          <w:sz w:val="22"/>
          <w:szCs w:val="22"/>
        </w:rPr>
        <w:t xml:space="preserve">  </w:t>
      </w:r>
      <w:r w:rsidRPr="00436FEA" w:rsidR="00A53753">
        <w:t>NSDUH</w:t>
      </w:r>
      <w:r>
        <w:t xml:space="preserve">, sponsored by the Substance Abuse and Mental Health Services Administration (SAMHSA), is a national survey of the U.S. civilian, non-institutionalized population aged 12 and older. NSDUH has been conducted on a periodic basis from 1971-1988, and annually since 1990. The conduct of NSDUH (OMB No. 0930-0110) is paramount in meeting a critical objective of SAMHSA’s mission to maintain current data on the </w:t>
      </w:r>
      <w:r w:rsidRPr="00262E16" w:rsidR="009103F1">
        <w:t xml:space="preserve">incidence and </w:t>
      </w:r>
      <w:r>
        <w:t xml:space="preserve">prevalence of substance use </w:t>
      </w:r>
      <w:r w:rsidR="009103F1">
        <w:t xml:space="preserve">and mental health problems </w:t>
      </w:r>
      <w:r>
        <w:t xml:space="preserve">in the United States. </w:t>
      </w:r>
    </w:p>
    <w:p w:rsidR="00070D10" w14:paraId="374D9FE2" w14:textId="2FD790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pPr>
      <w:r>
        <w:tab/>
        <w:t xml:space="preserve">NSDUH is authorized by Section 505 of the Public Health Service Act (42 USC 290aa4 – Data Collection). Section 505 specifically authorizes annual data collection for monitoring the incidence and prevalence of illicit substance use and mental health problems, as well as the </w:t>
      </w:r>
      <w:r w:rsidR="00130030">
        <w:t>mis</w:t>
      </w:r>
      <w:r w:rsidR="0061712E">
        <w:t>use</w:t>
      </w:r>
      <w:r>
        <w:t xml:space="preserve"> of licit substances in the United States population.</w:t>
      </w:r>
    </w:p>
    <w:p w:rsidR="00070D10" w14:paraId="37FB81D6" w14:textId="4DA47EA5">
      <w:pPr>
        <w:pStyle w:val="BodyText1"/>
        <w:tabs>
          <w:tab w:val="clear" w:pos="-720"/>
        </w:tabs>
        <w:spacing w:after="288"/>
      </w:pPr>
      <w:r>
        <w:t xml:space="preserve">NSDUH data are used by SAMHSA, the National Institute on Drug Abuse (NIDA), the Centers for Disease Control and Prevention (CDC), the Office of National Drug Control Policy (ONDCP), other </w:t>
      </w:r>
      <w:r w:rsidR="00A35928">
        <w:t xml:space="preserve">federal </w:t>
      </w:r>
      <w:r>
        <w:t xml:space="preserve">agencies, Congress, and various </w:t>
      </w:r>
      <w:r w:rsidR="00A35928">
        <w:t xml:space="preserve">state </w:t>
      </w:r>
      <w:r>
        <w:t xml:space="preserve">and local government agencies interested in the incidence and prevalence of substance use and mental health statistics. The NSDUH questionnaire asks the minimum information necessary to meet the needs of </w:t>
      </w:r>
      <w:r w:rsidR="00A35928">
        <w:t>federal</w:t>
      </w:r>
      <w:r w:rsidR="0083048C">
        <w:t xml:space="preserve"> </w:t>
      </w:r>
      <w:r>
        <w:t xml:space="preserve">policymakers and the substance use </w:t>
      </w:r>
      <w:r w:rsidR="00FF1320">
        <w:t xml:space="preserve">and mental health </w:t>
      </w:r>
      <w:r>
        <w:t xml:space="preserve">research, prevention, and treatment communities. In conjunction with other data sources, NSDUH data are used to: </w:t>
      </w:r>
    </w:p>
    <w:p w:rsidR="00070D10" w14:paraId="46B0B553" w14:textId="77777777">
      <w:pPr>
        <w:pStyle w:val="BodyText1"/>
        <w:widowControl/>
        <w:numPr>
          <w:ilvl w:val="0"/>
          <w:numId w:val="2"/>
        </w:numPr>
        <w:tabs>
          <w:tab w:val="clear" w:pos="-720"/>
          <w:tab w:val="clear" w:pos="0"/>
          <w:tab w:val="clear" w:pos="630"/>
          <w:tab w:val="num" w:pos="1440"/>
          <w:tab w:val="clear" w:pos="153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88"/>
        <w:ind w:left="1440" w:hanging="360"/>
        <w:rPr>
          <w:rFonts w:ascii="Lucida Grande" w:hAnsi="Symbol"/>
        </w:rPr>
      </w:pPr>
      <w:r>
        <w:t xml:space="preserve">design prevention programs; </w:t>
      </w:r>
    </w:p>
    <w:p w:rsidR="00070D10" w14:paraId="04290F0B" w14:textId="3C952A6A">
      <w:pPr>
        <w:pStyle w:val="BodyText1"/>
        <w:widowControl/>
        <w:numPr>
          <w:ilvl w:val="0"/>
          <w:numId w:val="2"/>
        </w:numPr>
        <w:tabs>
          <w:tab w:val="clear" w:pos="-720"/>
          <w:tab w:val="clear" w:pos="0"/>
          <w:tab w:val="clear" w:pos="630"/>
          <w:tab w:val="num" w:pos="1440"/>
          <w:tab w:val="clear" w:pos="153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88"/>
        <w:ind w:left="1440" w:hanging="360"/>
        <w:rPr>
          <w:rFonts w:ascii="Lucida Grande" w:hAnsi="Symbol"/>
        </w:rPr>
      </w:pPr>
      <w:r>
        <w:t>respond to inquiries on the extent of substance use</w:t>
      </w:r>
      <w:r w:rsidR="0061712E">
        <w:t xml:space="preserve"> and mental health </w:t>
      </w:r>
      <w:r w:rsidR="00632651">
        <w:t>issues</w:t>
      </w:r>
      <w:r>
        <w:t xml:space="preserve">; </w:t>
      </w:r>
    </w:p>
    <w:p w:rsidR="00070D10" w14:paraId="3632BCF6" w14:textId="77777777">
      <w:pPr>
        <w:pStyle w:val="BodyText1"/>
        <w:widowControl/>
        <w:numPr>
          <w:ilvl w:val="0"/>
          <w:numId w:val="2"/>
        </w:numPr>
        <w:tabs>
          <w:tab w:val="clear" w:pos="-720"/>
          <w:tab w:val="clear" w:pos="0"/>
          <w:tab w:val="clear" w:pos="630"/>
          <w:tab w:val="num" w:pos="1440"/>
          <w:tab w:val="clear" w:pos="153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88"/>
        <w:ind w:left="1440" w:hanging="360"/>
        <w:rPr>
          <w:rFonts w:ascii="Lucida Grande" w:hAnsi="Symbol"/>
        </w:rPr>
      </w:pPr>
      <w:r>
        <w:t xml:space="preserve">estimate treatment need; </w:t>
      </w:r>
    </w:p>
    <w:p w:rsidR="00070D10" w14:paraId="53880A66" w14:textId="242335DB">
      <w:pPr>
        <w:pStyle w:val="BodyText1"/>
        <w:widowControl/>
        <w:numPr>
          <w:ilvl w:val="0"/>
          <w:numId w:val="2"/>
        </w:numPr>
        <w:tabs>
          <w:tab w:val="clear" w:pos="-720"/>
          <w:tab w:val="clear" w:pos="0"/>
          <w:tab w:val="clear" w:pos="630"/>
          <w:tab w:val="num" w:pos="1440"/>
          <w:tab w:val="clear" w:pos="153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88"/>
        <w:ind w:left="1440" w:hanging="360"/>
        <w:rPr>
          <w:rFonts w:ascii="Lucida Grande" w:hAnsi="Symbol"/>
        </w:rPr>
      </w:pPr>
      <w:r>
        <w:t xml:space="preserve">study the social and economic impact of substance </w:t>
      </w:r>
      <w:r w:rsidR="0061712E">
        <w:t>use</w:t>
      </w:r>
      <w:r>
        <w:t xml:space="preserve">; </w:t>
      </w:r>
    </w:p>
    <w:p w:rsidR="00070D10" w:rsidRPr="00654778" w14:paraId="2503CD83" w14:textId="6087E997">
      <w:pPr>
        <w:pStyle w:val="BodyText1"/>
        <w:widowControl/>
        <w:numPr>
          <w:ilvl w:val="0"/>
          <w:numId w:val="2"/>
        </w:numPr>
        <w:tabs>
          <w:tab w:val="clear" w:pos="-720"/>
          <w:tab w:val="clear" w:pos="0"/>
          <w:tab w:val="clear" w:pos="630"/>
          <w:tab w:val="num" w:pos="1440"/>
          <w:tab w:val="clear" w:pos="153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88"/>
        <w:ind w:left="1440" w:hanging="360"/>
        <w:rPr>
          <w:rFonts w:ascii="Lucida Grande" w:hAnsi="Symbol"/>
        </w:rPr>
      </w:pPr>
      <w:r>
        <w:t>identify the correlates of substance use</w:t>
      </w:r>
      <w:r w:rsidR="00632651">
        <w:t xml:space="preserve"> and mental health issues</w:t>
      </w:r>
      <w:r>
        <w:t xml:space="preserve">; </w:t>
      </w:r>
    </w:p>
    <w:p w:rsidR="00632651" w14:paraId="591938DF" w14:textId="076101A9">
      <w:pPr>
        <w:pStyle w:val="BodyText1"/>
        <w:widowControl/>
        <w:numPr>
          <w:ilvl w:val="0"/>
          <w:numId w:val="2"/>
        </w:numPr>
        <w:tabs>
          <w:tab w:val="clear" w:pos="-720"/>
          <w:tab w:val="clear" w:pos="0"/>
          <w:tab w:val="clear" w:pos="630"/>
          <w:tab w:val="num" w:pos="1440"/>
          <w:tab w:val="clear" w:pos="153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88"/>
        <w:ind w:left="1440" w:hanging="360"/>
        <w:rPr>
          <w:rFonts w:ascii="Lucida Grande" w:hAnsi="Symbol"/>
        </w:rPr>
      </w:pPr>
      <w:r>
        <w:t xml:space="preserve">estimate the prevalence of </w:t>
      </w:r>
      <w:r w:rsidR="00654778">
        <w:t xml:space="preserve">mental health issues such as </w:t>
      </w:r>
      <w:r>
        <w:t xml:space="preserve">depressive episodes and suicidality; </w:t>
      </w:r>
    </w:p>
    <w:p w:rsidR="00070D10" w14:paraId="1DEFE7FE" w14:textId="5E2816FD">
      <w:pPr>
        <w:pStyle w:val="BodyText1"/>
        <w:widowControl/>
        <w:numPr>
          <w:ilvl w:val="0"/>
          <w:numId w:val="2"/>
        </w:numPr>
        <w:tabs>
          <w:tab w:val="clear" w:pos="-720"/>
          <w:tab w:val="clear" w:pos="0"/>
          <w:tab w:val="clear" w:pos="630"/>
          <w:tab w:val="num" w:pos="1440"/>
          <w:tab w:val="clear" w:pos="153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88"/>
        <w:ind w:left="1440" w:hanging="360"/>
        <w:rPr>
          <w:rFonts w:ascii="Lucida Grande" w:hAnsi="Symbol"/>
        </w:rPr>
      </w:pPr>
      <w:r>
        <w:t xml:space="preserve">evaluate the overall impact that </w:t>
      </w:r>
      <w:r w:rsidR="00A35928">
        <w:t xml:space="preserve">federal </w:t>
      </w:r>
      <w:r>
        <w:t xml:space="preserve">and </w:t>
      </w:r>
      <w:r w:rsidR="00A35928">
        <w:t xml:space="preserve">state </w:t>
      </w:r>
      <w:r>
        <w:t>programs have on drug demand</w:t>
      </w:r>
      <w:r w:rsidR="00632651">
        <w:t>,</w:t>
      </w:r>
      <w:r>
        <w:t xml:space="preserve"> and reducing youth substance use; </w:t>
      </w:r>
    </w:p>
    <w:p w:rsidR="00070D10" w14:paraId="17A3C71B" w14:textId="4F0D8D76">
      <w:pPr>
        <w:pStyle w:val="BodyText1"/>
        <w:widowControl/>
        <w:numPr>
          <w:ilvl w:val="0"/>
          <w:numId w:val="2"/>
        </w:numPr>
        <w:tabs>
          <w:tab w:val="clear" w:pos="-720"/>
          <w:tab w:val="clear" w:pos="0"/>
          <w:tab w:val="clear" w:pos="630"/>
          <w:tab w:val="num" w:pos="1440"/>
          <w:tab w:val="clear" w:pos="153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88"/>
        <w:ind w:left="1440" w:hanging="360"/>
        <w:rPr>
          <w:rFonts w:ascii="Lucida Grande" w:hAnsi="Symbol"/>
        </w:rPr>
      </w:pPr>
      <w:r>
        <w:t xml:space="preserve">assess and improve outcomes of prevention and treatment services; </w:t>
      </w:r>
      <w:r w:rsidR="005F3D17">
        <w:t>and</w:t>
      </w:r>
    </w:p>
    <w:p w:rsidR="00070D10" w14:paraId="5E00F016" w14:textId="391B4EB6">
      <w:pPr>
        <w:pStyle w:val="BodyText1"/>
        <w:widowControl/>
        <w:numPr>
          <w:ilvl w:val="0"/>
          <w:numId w:val="2"/>
        </w:numPr>
        <w:tabs>
          <w:tab w:val="clear" w:pos="-720"/>
          <w:tab w:val="clear" w:pos="0"/>
          <w:tab w:val="clear" w:pos="630"/>
          <w:tab w:val="num" w:pos="1440"/>
          <w:tab w:val="clear" w:pos="153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88"/>
        <w:ind w:left="1440" w:hanging="360"/>
        <w:rPr>
          <w:rFonts w:ascii="Lucida Grande" w:hAnsi="Symbol"/>
        </w:rPr>
      </w:pPr>
      <w:r>
        <w:t xml:space="preserve">identify areas where serious substance </w:t>
      </w:r>
      <w:r w:rsidR="0061712E">
        <w:t xml:space="preserve">use and mental health </w:t>
      </w:r>
      <w:r>
        <w:t xml:space="preserve">problems exist </w:t>
      </w:r>
      <w:r w:rsidR="00966BCE">
        <w:t>and</w:t>
      </w:r>
      <w:r>
        <w:t xml:space="preserve"> provide assistance to </w:t>
      </w:r>
      <w:r w:rsidR="005100D5">
        <w:t>s</w:t>
      </w:r>
      <w:r>
        <w:t xml:space="preserve">tates to help them develop and adopt targeted responses for those problems. </w:t>
      </w:r>
    </w:p>
    <w:p w:rsidR="00070D10" w14:paraId="65077740" w14:textId="6DB58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pPr>
      <w:r>
        <w:tab/>
        <w:t xml:space="preserve">In order to continue producing current data, </w:t>
      </w:r>
      <w:r w:rsidR="006A2B0A">
        <w:t>CBHSQ</w:t>
      </w:r>
      <w:r>
        <w:t xml:space="preserve"> must periodically update NSDUH to reflect changing substance use and mental health issues. CBHSQ plans to </w:t>
      </w:r>
      <w:r w:rsidR="00A35928">
        <w:t xml:space="preserve">revise </w:t>
      </w:r>
      <w:r>
        <w:t xml:space="preserve">the NSDUH questionnaire to address changing policy and research data needs, and </w:t>
      </w:r>
      <w:r w:rsidR="00A35928">
        <w:t>to potentially</w:t>
      </w:r>
      <w:r>
        <w:t xml:space="preserve"> modify the survey methodology to improve the quality of estimates and the efficiency of data collection </w:t>
      </w:r>
      <w:r w:rsidRPr="00436FEA">
        <w:t xml:space="preserve">and processing. In addition, CBHSQ may implement other changes to NSDUH that could be tested during </w:t>
      </w:r>
      <w:r w:rsidRPr="00436FEA" w:rsidR="006A2B0A">
        <w:t>20</w:t>
      </w:r>
      <w:r w:rsidRPr="00436FEA" w:rsidR="00292A40">
        <w:t>2</w:t>
      </w:r>
      <w:r w:rsidR="00A64727">
        <w:t>3</w:t>
      </w:r>
      <w:r w:rsidRPr="00436FEA" w:rsidR="006A2B0A">
        <w:t xml:space="preserve"> </w:t>
      </w:r>
      <w:r w:rsidRPr="00436FEA">
        <w:t xml:space="preserve">through </w:t>
      </w:r>
      <w:r w:rsidRPr="00436FEA" w:rsidR="006321FF">
        <w:t>202</w:t>
      </w:r>
      <w:r w:rsidR="00A64727">
        <w:t>6</w:t>
      </w:r>
      <w:r w:rsidRPr="00436FEA">
        <w:t>.</w:t>
      </w:r>
      <w:r>
        <w:t xml:space="preserve"> </w:t>
      </w:r>
    </w:p>
    <w:p w:rsidR="00070D10" w14:paraId="6A76AFD5" w14:textId="03EBB47C">
      <w:pPr>
        <w:pStyle w:val="BodyText1"/>
        <w:tabs>
          <w:tab w:val="clear" w:pos="-720"/>
        </w:tabs>
        <w:spacing w:after="0"/>
      </w:pPr>
      <w:r>
        <w:t xml:space="preserve">These methodological tests will continue to be designed to examine the feasibility, quality, and efficiency of new procedures or revisions to existing survey protocol. Specifically, the tests will measure the reliability and validity of certain questionnaire sections and items through multiple measurements on a set of respondents; assess new methods for gaining cooperation and participation of respondents with the goal of increasing response and decreasing potential bias in the survey estimates; assess customer satisfaction; and assess the impact of new sampling techniques and technologies on respondent behavior and reporting. Research will involve focus groups, cognitive testing, and field tests.  (Details are included </w:t>
      </w:r>
      <w:r w:rsidRPr="00F2015F" w:rsidR="00F2015F">
        <w:t>under section 2 of this statement, “Purpose and Use of Information</w:t>
      </w:r>
      <w:r>
        <w:t>”.)</w:t>
      </w:r>
    </w:p>
    <w:p w:rsidR="00070D10" w14:paraId="6644798F" w14:textId="77777777">
      <w:pPr>
        <w:pStyle w:val="BodyText1"/>
        <w:tabs>
          <w:tab w:val="clear" w:pos="-720"/>
        </w:tabs>
        <w:spacing w:after="0"/>
      </w:pPr>
    </w:p>
    <w:p w:rsidR="00070D10" w14:paraId="6BF85477" w14:textId="21BFE317">
      <w:pPr>
        <w:pStyle w:val="BodyText1"/>
        <w:tabs>
          <w:tab w:val="clear" w:pos="-720"/>
        </w:tabs>
        <w:spacing w:after="0"/>
      </w:pPr>
      <w:r>
        <w:t>Methodological testing activities are expected to also focus on assessing questionnaire modifications through cognitive interviews and improving response rates among persons residing in controlled access communities (locked apartment buildings, gated communities, college dormitories, etc.) and other hard-to-reach populations. Other activities currently under consideration are targeted at assessing the characteristics of nonrespondents and determining the feasibility of alternative sample designs and modes</w:t>
      </w:r>
      <w:r>
        <w:rPr>
          <w:rStyle w:val="FootnoteReference"/>
        </w:rPr>
        <w:footnoteReference w:id="3"/>
      </w:r>
      <w:r>
        <w:t xml:space="preserve"> of data collection. Some studies may be combined to introduce efficiencies.  Particular attention will be given to minimizing the impact of design changes so survey data continue to remain comparable over time. If </w:t>
      </w:r>
      <w:r w:rsidR="005E338B">
        <w:t>findings suggest changes that might lead to</w:t>
      </w:r>
      <w:r w:rsidR="00323496">
        <w:t xml:space="preserve"> improvements</w:t>
      </w:r>
      <w:r w:rsidR="005E338B">
        <w:t xml:space="preserve"> to the study</w:t>
      </w:r>
      <w:r>
        <w:t>, current procedures or data collection instruments may be revised.</w:t>
      </w:r>
    </w:p>
    <w:p w:rsidR="00070D10" w14:paraId="30CD3A30" w14:textId="77777777">
      <w:pPr>
        <w:pStyle w:val="BodyText1"/>
        <w:tabs>
          <w:tab w:val="clear" w:pos="-720"/>
        </w:tabs>
        <w:spacing w:after="0"/>
      </w:pPr>
    </w:p>
    <w:p w:rsidR="00070D10" w14:paraId="4C3E1F13" w14:textId="0477B285">
      <w:pPr>
        <w:pStyle w:val="BodyText1"/>
        <w:tabs>
          <w:tab w:val="clear" w:pos="-720"/>
        </w:tabs>
      </w:pPr>
      <w:bookmarkStart w:id="0" w:name="_Hlk122606894"/>
      <w:r>
        <w:t xml:space="preserve">This submission is for generic approval for these methodological testing activities. As these tests are developed, their materials will be submitted to OMB for an expedited review. This will enable CBHSQ to continue methodological testing activities in a timely manner, given the tight data collection schedule. CBHSQ requests that OMB review the individual submission on an expedited basis and provide comments or approve the request within two weeks of receipt. </w:t>
      </w:r>
    </w:p>
    <w:bookmarkEnd w:id="0"/>
    <w:p w:rsidR="00070D10" w14:paraId="063AFB5D" w14:textId="77777777">
      <w:pPr>
        <w:pStyle w:val="Heading1A"/>
        <w:tabs>
          <w:tab w:val="clear" w:pos="-720"/>
        </w:tabs>
        <w:rPr>
          <w:u w:val="single"/>
        </w:rPr>
      </w:pPr>
      <w:r>
        <w:t>2.</w:t>
      </w:r>
      <w:r>
        <w:tab/>
      </w:r>
      <w:r>
        <w:rPr>
          <w:u w:val="single"/>
        </w:rPr>
        <w:t>Purpose and Use of Information</w:t>
      </w:r>
    </w:p>
    <w:p w:rsidR="00070D10" w14:paraId="1FC9E200" w14:textId="245EBDD1">
      <w:pPr>
        <w:pStyle w:val="Heading3A"/>
        <w:tabs>
          <w:tab w:val="clear" w:pos="-720"/>
          <w:tab w:val="left" w:pos="0"/>
        </w:tabs>
        <w:rPr>
          <w:u w:val="none"/>
        </w:rPr>
      </w:pPr>
      <w:r>
        <w:rPr>
          <w:u w:val="none"/>
        </w:rPr>
        <w:t>The methodological field tests will assess the potential effectiveness of proposed revisions to the NSDUH data collection instruments and procedures</w:t>
      </w:r>
      <w:r w:rsidR="00767E0B">
        <w:rPr>
          <w:u w:val="none"/>
        </w:rPr>
        <w:t>.</w:t>
      </w:r>
      <w:r>
        <w:rPr>
          <w:u w:val="none"/>
        </w:rPr>
        <w:t xml:space="preserve"> The intent of each study will be to assess, maintain, or improve the overall quality of the NSDUH data. The individual studies to be submitted under this clearance will not be designed to produce population estimates. The methods proposed for use under this generic clearance are briefly described below</w:t>
      </w:r>
      <w:r w:rsidR="006A2B0A">
        <w:rPr>
          <w:u w:val="none"/>
        </w:rPr>
        <w:t xml:space="preserve">: </w:t>
      </w:r>
    </w:p>
    <w:p w:rsidR="00070D10" w14:paraId="1EEFCADB" w14:textId="77777777"/>
    <w:p w:rsidR="00070D10" w14:paraId="7045F784" w14:textId="77777777">
      <w:pPr>
        <w:pStyle w:val="Heading3A"/>
        <w:tabs>
          <w:tab w:val="clear" w:pos="-720"/>
          <w:tab w:val="left" w:pos="0"/>
        </w:tabs>
        <w:rPr>
          <w:rFonts w:ascii="Lucida Grande" w:hAnsi="Symbol"/>
        </w:rPr>
      </w:pPr>
      <w:r>
        <w:t>Focus Groups</w:t>
      </w:r>
    </w:p>
    <w:p w:rsidR="00070D10" w14:paraId="4735797D" w14:textId="77777777">
      <w:pPr>
        <w:pStyle w:val="BodyText1"/>
        <w:tabs>
          <w:tab w:val="clear" w:pos="-720"/>
        </w:tabs>
      </w:pPr>
      <w:r>
        <w:t xml:space="preserve">Focus groups have been a useful tool in developing new questions and materials for NSDUH. They are useful as an early step in exploring a new issue or gathering opinions about a topic that has social relevance. </w:t>
      </w:r>
      <w:r w:rsidRPr="009D4FC5">
        <w:t xml:space="preserve">Under </w:t>
      </w:r>
      <w:r w:rsidRPr="009D4FC5" w:rsidR="005100D5">
        <w:t>previous</w:t>
      </w:r>
      <w:r w:rsidRPr="009D4FC5">
        <w:t xml:space="preserve"> generic clearance, focus groups were conducted to assess potential changes in the NSDUH contact materials.</w:t>
      </w:r>
      <w:r>
        <w:t xml:space="preserve"> As new topics and requests arise frequently, CBHSQ anticipates the need for additional focus groups as one tool used in the efforts to be responsive to changing times.</w:t>
      </w:r>
    </w:p>
    <w:p w:rsidR="00070D10" w14:paraId="69829809" w14:textId="61A4C40E">
      <w:pPr>
        <w:pStyle w:val="Heading3A"/>
        <w:tabs>
          <w:tab w:val="clear" w:pos="-720"/>
          <w:tab w:val="left" w:pos="0"/>
        </w:tabs>
        <w:rPr>
          <w:rFonts w:ascii="Lucida Grande" w:hAnsi="Symbol"/>
        </w:rPr>
      </w:pPr>
      <w:r>
        <w:t>Cognitive testing</w:t>
      </w:r>
    </w:p>
    <w:p w:rsidR="005A22BC" w:rsidRPr="00033D21" w:rsidP="009D4FC5" w14:paraId="520F7320" w14:textId="3F35D305">
      <w:pPr>
        <w:pStyle w:val="Heading3A"/>
        <w:tabs>
          <w:tab w:val="clear" w:pos="-720"/>
          <w:tab w:val="left" w:pos="0"/>
        </w:tabs>
        <w:rPr>
          <w:u w:val="none"/>
        </w:rPr>
      </w:pPr>
      <w:r>
        <w:rPr>
          <w:u w:val="none"/>
        </w:rPr>
        <w:t xml:space="preserve">New questions and modules are introduced into the NSDUH questionnaire on a regular basis. </w:t>
      </w:r>
      <w:r w:rsidR="008A6ECE">
        <w:rPr>
          <w:u w:val="none"/>
        </w:rPr>
        <w:t>T</w:t>
      </w:r>
      <w:r>
        <w:rPr>
          <w:u w:val="none"/>
        </w:rPr>
        <w:t xml:space="preserve">hey undergo cognitive testing to assess problems with question wording, </w:t>
      </w:r>
      <w:r w:rsidRPr="00436FEA">
        <w:rPr>
          <w:u w:val="none"/>
        </w:rPr>
        <w:t xml:space="preserve">meaning and flow within the questionnaire. </w:t>
      </w:r>
      <w:r w:rsidR="0043451F">
        <w:rPr>
          <w:u w:val="none"/>
        </w:rPr>
        <w:t>P</w:t>
      </w:r>
      <w:r w:rsidRPr="003A00C9" w:rsidR="00E12FAB">
        <w:rPr>
          <w:u w:val="none"/>
        </w:rPr>
        <w:t xml:space="preserve">articipants </w:t>
      </w:r>
      <w:r w:rsidR="0043451F">
        <w:rPr>
          <w:u w:val="none"/>
        </w:rPr>
        <w:t>for cognitive testing are</w:t>
      </w:r>
      <w:r w:rsidRPr="003A00C9" w:rsidR="00E12FAB">
        <w:rPr>
          <w:u w:val="none"/>
        </w:rPr>
        <w:t xml:space="preserve"> recruited based on characteristics that </w:t>
      </w:r>
      <w:r w:rsidR="0043451F">
        <w:rPr>
          <w:u w:val="none"/>
        </w:rPr>
        <w:t>are relevant to</w:t>
      </w:r>
      <w:r w:rsidRPr="003A00C9" w:rsidR="00E12FAB">
        <w:rPr>
          <w:u w:val="none"/>
        </w:rPr>
        <w:t xml:space="preserve"> the questions being tested. For example, recent clients of drug treatment centers and those who have never been in residential treatment may be recruited to test questions related to drug use or drug use treatment. </w:t>
      </w:r>
      <w:r w:rsidR="00611218">
        <w:rPr>
          <w:u w:val="none"/>
        </w:rPr>
        <w:t xml:space="preserve">Under </w:t>
      </w:r>
      <w:r w:rsidR="00C51936">
        <w:rPr>
          <w:u w:val="none"/>
        </w:rPr>
        <w:t xml:space="preserve">the current </w:t>
      </w:r>
      <w:r w:rsidR="00611218">
        <w:rPr>
          <w:u w:val="none"/>
        </w:rPr>
        <w:t xml:space="preserve">generic clearance, cognitive testing </w:t>
      </w:r>
      <w:r w:rsidR="003A00C9">
        <w:rPr>
          <w:u w:val="none"/>
        </w:rPr>
        <w:t>is being</w:t>
      </w:r>
      <w:r w:rsidR="00611218">
        <w:rPr>
          <w:u w:val="none"/>
        </w:rPr>
        <w:t xml:space="preserve"> utilized to</w:t>
      </w:r>
      <w:r w:rsidR="00D81545">
        <w:rPr>
          <w:u w:val="none"/>
        </w:rPr>
        <w:t xml:space="preserve"> assess new and revised </w:t>
      </w:r>
      <w:r w:rsidRPr="003A00C9" w:rsidR="00D81545">
        <w:rPr>
          <w:u w:val="none"/>
        </w:rPr>
        <w:t>sexual orientation and gender identity (SOGI)</w:t>
      </w:r>
      <w:r w:rsidR="00611218">
        <w:rPr>
          <w:u w:val="none"/>
        </w:rPr>
        <w:t xml:space="preserve"> </w:t>
      </w:r>
      <w:r w:rsidR="00D81545">
        <w:rPr>
          <w:u w:val="none"/>
        </w:rPr>
        <w:t>measures.</w:t>
      </w:r>
      <w:r w:rsidR="00611218">
        <w:rPr>
          <w:u w:val="none"/>
        </w:rPr>
        <w:t xml:space="preserve"> </w:t>
      </w:r>
      <w:r w:rsidR="00876699">
        <w:rPr>
          <w:u w:val="none"/>
        </w:rPr>
        <w:t xml:space="preserve">In addition, under the current generic clearance, </w:t>
      </w:r>
      <w:r w:rsidR="006B41FB">
        <w:rPr>
          <w:u w:val="none"/>
        </w:rPr>
        <w:t>the Questionnaire Change Flexibilities Online Pan</w:t>
      </w:r>
      <w:r w:rsidR="005F4C14">
        <w:rPr>
          <w:u w:val="none"/>
        </w:rPr>
        <w:t>el</w:t>
      </w:r>
      <w:r w:rsidR="006B41FB">
        <w:rPr>
          <w:u w:val="none"/>
        </w:rPr>
        <w:t xml:space="preserve">/Platform </w:t>
      </w:r>
      <w:r w:rsidR="00121DF2">
        <w:rPr>
          <w:u w:val="none"/>
        </w:rPr>
        <w:t xml:space="preserve">Test </w:t>
      </w:r>
      <w:r w:rsidR="006B41FB">
        <w:rPr>
          <w:u w:val="none"/>
        </w:rPr>
        <w:t>was conducted to determine the effectiveness and efficiency of utilizing online panels/platforms to recruit cognitive testing participants from</w:t>
      </w:r>
      <w:r w:rsidR="00CD59F0">
        <w:rPr>
          <w:u w:val="none"/>
        </w:rPr>
        <w:t xml:space="preserve"> the</w:t>
      </w:r>
      <w:r w:rsidR="006B41FB">
        <w:rPr>
          <w:u w:val="none"/>
        </w:rPr>
        <w:t xml:space="preserve"> desired subpopulations</w:t>
      </w:r>
      <w:r w:rsidR="00CD59F0">
        <w:rPr>
          <w:u w:val="none"/>
        </w:rPr>
        <w:t xml:space="preserve"> NSDUH tests questions on the most</w:t>
      </w:r>
      <w:r w:rsidR="006B41FB">
        <w:rPr>
          <w:u w:val="none"/>
        </w:rPr>
        <w:t xml:space="preserve">. </w:t>
      </w:r>
      <w:r w:rsidR="005F4C14">
        <w:rPr>
          <w:u w:val="none"/>
        </w:rPr>
        <w:t xml:space="preserve">Work for </w:t>
      </w:r>
      <w:r w:rsidRPr="00436FEA">
        <w:rPr>
          <w:u w:val="none"/>
        </w:rPr>
        <w:t xml:space="preserve">the </w:t>
      </w:r>
      <w:r w:rsidR="005F4C14">
        <w:rPr>
          <w:u w:val="none"/>
        </w:rPr>
        <w:t xml:space="preserve">SOGI Cognitive Interview Study </w:t>
      </w:r>
      <w:r w:rsidR="003A00C9">
        <w:rPr>
          <w:u w:val="none"/>
        </w:rPr>
        <w:t xml:space="preserve">is still underway </w:t>
      </w:r>
      <w:r w:rsidR="005F4C14">
        <w:rPr>
          <w:u w:val="none"/>
        </w:rPr>
        <w:t xml:space="preserve">and </w:t>
      </w:r>
      <w:r w:rsidR="003A00C9">
        <w:rPr>
          <w:u w:val="none"/>
        </w:rPr>
        <w:t>final reporting for the</w:t>
      </w:r>
      <w:r w:rsidR="005F4C14">
        <w:rPr>
          <w:u w:val="none"/>
        </w:rPr>
        <w:t xml:space="preserve"> Q</w:t>
      </w:r>
      <w:r w:rsidR="00121DF2">
        <w:rPr>
          <w:u w:val="none"/>
        </w:rPr>
        <w:t>uestionnaire Change Flexibilities Online Plan/Platform Test</w:t>
      </w:r>
      <w:r w:rsidR="005F4C14">
        <w:rPr>
          <w:u w:val="none"/>
        </w:rPr>
        <w:t xml:space="preserve">s </w:t>
      </w:r>
      <w:r w:rsidR="003A00C9">
        <w:rPr>
          <w:u w:val="none"/>
        </w:rPr>
        <w:t>is in progress</w:t>
      </w:r>
      <w:r w:rsidR="005F4C14">
        <w:rPr>
          <w:u w:val="none"/>
        </w:rPr>
        <w:t xml:space="preserve">. </w:t>
      </w:r>
    </w:p>
    <w:p w:rsidR="00070D10" w:rsidRPr="00A21A4F" w:rsidP="00A21A4F" w14:paraId="35C07502" w14:textId="0EED39C4">
      <w:pPr>
        <w:pStyle w:val="Heading3A"/>
        <w:tabs>
          <w:tab w:val="clear" w:pos="-720"/>
          <w:tab w:val="left" w:pos="0"/>
        </w:tabs>
        <w:rPr>
          <w:highlight w:val="yellow"/>
          <w:u w:val="none"/>
        </w:rPr>
      </w:pPr>
      <w:r w:rsidRPr="00144078">
        <w:rPr>
          <w:u w:val="none"/>
        </w:rPr>
        <w:t>Since federal requirements</w:t>
      </w:r>
      <w:r w:rsidRPr="00033D21">
        <w:rPr>
          <w:u w:val="none"/>
        </w:rPr>
        <w:t xml:space="preserve"> dictate</w:t>
      </w:r>
      <w:r>
        <w:rPr>
          <w:u w:val="none"/>
        </w:rPr>
        <w:t xml:space="preserve"> OMB approval of studies dealing with 10 or more human subjects, the amount of testing that can be completed in a given survey year is limited due </w:t>
      </w:r>
      <w:r w:rsidR="00CD59F0">
        <w:rPr>
          <w:u w:val="none"/>
        </w:rPr>
        <w:t xml:space="preserve">to </w:t>
      </w:r>
      <w:r>
        <w:rPr>
          <w:u w:val="none"/>
        </w:rPr>
        <w:t xml:space="preserve">the time constraints involved in obtaining clearance. NSDUH annual cognitive testing would benefit from more time for development. Usability testing may also be conducted to explore different data collection modes, new software and/or hardware. </w:t>
      </w:r>
    </w:p>
    <w:p w:rsidR="00070D10" w14:paraId="33559429" w14:textId="77777777">
      <w:pPr>
        <w:pStyle w:val="Heading3A"/>
        <w:tabs>
          <w:tab w:val="clear" w:pos="-720"/>
          <w:tab w:val="left" w:pos="0"/>
        </w:tabs>
      </w:pPr>
      <w:r>
        <w:t>Field Tests</w:t>
      </w:r>
    </w:p>
    <w:p w:rsidR="00070D10" w14:paraId="7521B8D7" w14:textId="438A544E">
      <w:pPr>
        <w:pStyle w:val="Heading3A"/>
        <w:tabs>
          <w:tab w:val="clear" w:pos="-720"/>
          <w:tab w:val="left" w:pos="0"/>
        </w:tabs>
        <w:rPr>
          <w:u w:val="none"/>
        </w:rPr>
      </w:pPr>
      <w:r>
        <w:rPr>
          <w:u w:val="none"/>
        </w:rPr>
        <w:t xml:space="preserve">For the purposes of this clearance, field tests are defined as small data collections of </w:t>
      </w:r>
      <w:r w:rsidR="00767E0B">
        <w:rPr>
          <w:u w:val="none"/>
        </w:rPr>
        <w:t xml:space="preserve">2,000 </w:t>
      </w:r>
      <w:r>
        <w:rPr>
          <w:u w:val="none"/>
        </w:rPr>
        <w:t>cases or less, designed to assess modifications in the survey instrument and/or data collection procedures. Field tests will incorporate the findings of any pre-tests and assesses the impact of the changes on a larger scale. The tests will provide a more in-depth examination of context effects associated with questionnaire changes with a small subset of the NSDUH population. They also present the opportunity to study how data collection protocol and materials changes can potentially affect response rates</w:t>
      </w:r>
      <w:r w:rsidRPr="00BB74E1">
        <w:rPr>
          <w:u w:val="none"/>
        </w:rPr>
        <w:t xml:space="preserve">. </w:t>
      </w:r>
      <w:r>
        <w:rPr>
          <w:u w:val="none"/>
        </w:rPr>
        <w:t>Field tests will involve administering the entire survey, including any new questions and procedures, to a random sample of respondents. Several potential design changes</w:t>
      </w:r>
      <w:r w:rsidR="004A1D85">
        <w:rPr>
          <w:u w:val="none"/>
        </w:rPr>
        <w:t xml:space="preserve"> and</w:t>
      </w:r>
      <w:r>
        <w:rPr>
          <w:u w:val="none"/>
        </w:rPr>
        <w:t xml:space="preserve"> methodological investigations have been proposed that would require a field test</w:t>
      </w:r>
      <w:r w:rsidR="006A2B0A">
        <w:rPr>
          <w:u w:val="none"/>
        </w:rPr>
        <w:t>:</w:t>
      </w:r>
    </w:p>
    <w:p w:rsidR="00D73247" w14:paraId="29BD090B" w14:textId="2CD11FC9">
      <w:pPr>
        <w:pStyle w:val="ListParagraph"/>
        <w:numPr>
          <w:ilvl w:val="0"/>
          <w:numId w:val="3"/>
        </w:numPr>
        <w:tabs>
          <w:tab w:val="clear" w:pos="360"/>
          <w:tab w:val="num" w:pos="1440"/>
        </w:tabs>
        <w:spacing w:after="120"/>
        <w:ind w:left="1440" w:hanging="360"/>
        <w:rPr>
          <w:rFonts w:ascii="Times New Roman" w:hAnsi="Times New Roman"/>
          <w:sz w:val="24"/>
        </w:rPr>
      </w:pPr>
      <w:r>
        <w:rPr>
          <w:rFonts w:ascii="Times New Roman" w:hAnsi="Times New Roman"/>
          <w:sz w:val="24"/>
        </w:rPr>
        <w:t>A</w:t>
      </w:r>
      <w:r w:rsidR="00EA74FB">
        <w:rPr>
          <w:rFonts w:ascii="Times New Roman" w:hAnsi="Times New Roman"/>
          <w:sz w:val="24"/>
        </w:rPr>
        <w:t xml:space="preserve"> </w:t>
      </w:r>
      <w:r>
        <w:rPr>
          <w:rFonts w:ascii="Times New Roman" w:hAnsi="Times New Roman"/>
          <w:sz w:val="24"/>
        </w:rPr>
        <w:t xml:space="preserve">test to assess </w:t>
      </w:r>
      <w:r w:rsidR="00EA74FB">
        <w:rPr>
          <w:rFonts w:ascii="Times New Roman" w:hAnsi="Times New Roman"/>
          <w:sz w:val="24"/>
        </w:rPr>
        <w:t xml:space="preserve">operational feasibility of </w:t>
      </w:r>
      <w:r>
        <w:rPr>
          <w:rFonts w:ascii="Times New Roman" w:hAnsi="Times New Roman"/>
          <w:sz w:val="24"/>
        </w:rPr>
        <w:t xml:space="preserve">NSDUH </w:t>
      </w:r>
      <w:r>
        <w:rPr>
          <w:rFonts w:ascii="Times New Roman" w:hAnsi="Times New Roman"/>
          <w:sz w:val="24"/>
        </w:rPr>
        <w:t>data collection in</w:t>
      </w:r>
      <w:r>
        <w:rPr>
          <w:rFonts w:ascii="Times New Roman" w:hAnsi="Times New Roman"/>
          <w:sz w:val="24"/>
        </w:rPr>
        <w:t xml:space="preserve"> </w:t>
      </w:r>
      <w:r>
        <w:rPr>
          <w:rFonts w:ascii="Times New Roman" w:hAnsi="Times New Roman"/>
          <w:sz w:val="24"/>
        </w:rPr>
        <w:t xml:space="preserve">Puerto Rico. </w:t>
      </w:r>
      <w:r w:rsidR="00EA74FB">
        <w:rPr>
          <w:rFonts w:ascii="Times New Roman" w:hAnsi="Times New Roman"/>
          <w:sz w:val="24"/>
        </w:rPr>
        <w:t>The results would inf</w:t>
      </w:r>
      <w:r>
        <w:rPr>
          <w:rFonts w:ascii="Times New Roman" w:hAnsi="Times New Roman"/>
          <w:sz w:val="24"/>
        </w:rPr>
        <w:t xml:space="preserve">orm SAMHSA on </w:t>
      </w:r>
      <w:r w:rsidR="00FD251B">
        <w:rPr>
          <w:rFonts w:ascii="Times New Roman" w:hAnsi="Times New Roman"/>
          <w:sz w:val="24"/>
        </w:rPr>
        <w:t xml:space="preserve">particular needs </w:t>
      </w:r>
      <w:r w:rsidR="00906DED">
        <w:rPr>
          <w:rFonts w:ascii="Times New Roman" w:hAnsi="Times New Roman"/>
          <w:sz w:val="24"/>
        </w:rPr>
        <w:t>for</w:t>
      </w:r>
      <w:r>
        <w:rPr>
          <w:rFonts w:ascii="Times New Roman" w:hAnsi="Times New Roman"/>
          <w:sz w:val="24"/>
        </w:rPr>
        <w:t xml:space="preserve"> moving to a full-scale data collection effort in Puerto Rico.</w:t>
      </w:r>
    </w:p>
    <w:p w:rsidR="00EE4EE0" w14:paraId="59187698" w14:textId="7BE0DF91">
      <w:pPr>
        <w:pStyle w:val="ListParagraph"/>
        <w:numPr>
          <w:ilvl w:val="0"/>
          <w:numId w:val="3"/>
        </w:numPr>
        <w:tabs>
          <w:tab w:val="clear" w:pos="360"/>
          <w:tab w:val="num" w:pos="1440"/>
        </w:tabs>
        <w:spacing w:after="120"/>
        <w:ind w:left="1440" w:hanging="360"/>
        <w:rPr>
          <w:rFonts w:ascii="Times New Roman" w:hAnsi="Times New Roman"/>
          <w:sz w:val="24"/>
        </w:rPr>
      </w:pPr>
      <w:r>
        <w:rPr>
          <w:rFonts w:ascii="Times New Roman" w:hAnsi="Times New Roman"/>
          <w:sz w:val="24"/>
        </w:rPr>
        <w:t xml:space="preserve">A test to assess modified procedures </w:t>
      </w:r>
      <w:r w:rsidR="00FF1320">
        <w:rPr>
          <w:rFonts w:ascii="Times New Roman" w:hAnsi="Times New Roman"/>
          <w:sz w:val="24"/>
        </w:rPr>
        <w:t>to get</w:t>
      </w:r>
      <w:r>
        <w:rPr>
          <w:rFonts w:ascii="Times New Roman" w:hAnsi="Times New Roman"/>
          <w:sz w:val="24"/>
        </w:rPr>
        <w:t xml:space="preserve"> parental permission for youth web interviews. </w:t>
      </w:r>
    </w:p>
    <w:p w:rsidR="00070D10" w14:paraId="5410A511" w14:textId="5B7A4A21">
      <w:pPr>
        <w:pStyle w:val="ListParagraph"/>
        <w:numPr>
          <w:ilvl w:val="0"/>
          <w:numId w:val="3"/>
        </w:numPr>
        <w:tabs>
          <w:tab w:val="clear" w:pos="360"/>
          <w:tab w:val="num" w:pos="1440"/>
        </w:tabs>
        <w:spacing w:after="120"/>
        <w:ind w:left="1440" w:hanging="360"/>
        <w:rPr>
          <w:rFonts w:ascii="Times New Roman" w:hAnsi="Times New Roman"/>
          <w:sz w:val="24"/>
        </w:rPr>
      </w:pPr>
      <w:r>
        <w:rPr>
          <w:rFonts w:ascii="Times New Roman" w:hAnsi="Times New Roman"/>
          <w:sz w:val="24"/>
        </w:rPr>
        <w:t xml:space="preserve">Additional </w:t>
      </w:r>
      <w:r>
        <w:rPr>
          <w:rFonts w:ascii="Times New Roman" w:hAnsi="Times New Roman"/>
          <w:sz w:val="24"/>
        </w:rPr>
        <w:t xml:space="preserve">examination of the impact of the American Psychiatric Association’s adoption of DSM-5 criteria for mental disorders on the NSDUH.  </w:t>
      </w:r>
    </w:p>
    <w:p w:rsidR="00D844D5" w14:paraId="1D994E40" w14:textId="3DF10F52">
      <w:pPr>
        <w:pStyle w:val="ListParagraph"/>
        <w:numPr>
          <w:ilvl w:val="0"/>
          <w:numId w:val="3"/>
        </w:numPr>
        <w:tabs>
          <w:tab w:val="clear" w:pos="360"/>
          <w:tab w:val="num" w:pos="1440"/>
        </w:tabs>
        <w:spacing w:after="120"/>
        <w:ind w:left="1440" w:hanging="360"/>
        <w:rPr>
          <w:rFonts w:ascii="Times New Roman" w:hAnsi="Times New Roman"/>
          <w:sz w:val="24"/>
        </w:rPr>
      </w:pPr>
      <w:r>
        <w:rPr>
          <w:rFonts w:ascii="Times New Roman" w:hAnsi="Times New Roman"/>
          <w:sz w:val="24"/>
        </w:rPr>
        <w:t xml:space="preserve">A </w:t>
      </w:r>
      <w:r w:rsidR="00EA74FB">
        <w:rPr>
          <w:rFonts w:ascii="Times New Roman" w:hAnsi="Times New Roman"/>
          <w:sz w:val="24"/>
        </w:rPr>
        <w:t xml:space="preserve">test </w:t>
      </w:r>
      <w:r w:rsidR="0070331C">
        <w:rPr>
          <w:rFonts w:ascii="Times New Roman" w:hAnsi="Times New Roman"/>
          <w:sz w:val="24"/>
        </w:rPr>
        <w:t xml:space="preserve">to assess the impact of </w:t>
      </w:r>
      <w:r w:rsidR="00EE20C8">
        <w:rPr>
          <w:rFonts w:ascii="Times New Roman" w:hAnsi="Times New Roman"/>
          <w:sz w:val="24"/>
        </w:rPr>
        <w:t>higher monetary incentive amounts</w:t>
      </w:r>
      <w:r w:rsidR="00EA74FB">
        <w:rPr>
          <w:rFonts w:ascii="Times New Roman" w:hAnsi="Times New Roman"/>
          <w:sz w:val="24"/>
        </w:rPr>
        <w:t xml:space="preserve"> </w:t>
      </w:r>
      <w:r w:rsidR="00FD251B">
        <w:rPr>
          <w:rFonts w:ascii="Times New Roman" w:hAnsi="Times New Roman"/>
          <w:sz w:val="24"/>
        </w:rPr>
        <w:t xml:space="preserve">or different types of monetary </w:t>
      </w:r>
      <w:r w:rsidR="00EA74FB">
        <w:rPr>
          <w:rFonts w:ascii="Times New Roman" w:hAnsi="Times New Roman"/>
          <w:sz w:val="24"/>
        </w:rPr>
        <w:t>incentive</w:t>
      </w:r>
      <w:r w:rsidR="00906DED">
        <w:rPr>
          <w:rFonts w:ascii="Times New Roman" w:hAnsi="Times New Roman"/>
          <w:sz w:val="24"/>
        </w:rPr>
        <w:t>s</w:t>
      </w:r>
      <w:r w:rsidR="00EA74FB">
        <w:rPr>
          <w:rFonts w:ascii="Times New Roman" w:hAnsi="Times New Roman"/>
          <w:sz w:val="24"/>
        </w:rPr>
        <w:t xml:space="preserve"> on response rates</w:t>
      </w:r>
      <w:r w:rsidR="009D224D">
        <w:rPr>
          <w:rFonts w:ascii="Times New Roman" w:hAnsi="Times New Roman"/>
          <w:sz w:val="24"/>
        </w:rPr>
        <w:t xml:space="preserve"> and </w:t>
      </w:r>
      <w:r w:rsidR="00EE20C8">
        <w:rPr>
          <w:rFonts w:ascii="Times New Roman" w:hAnsi="Times New Roman"/>
          <w:sz w:val="24"/>
        </w:rPr>
        <w:t xml:space="preserve">the potential for </w:t>
      </w:r>
      <w:r w:rsidR="009D224D">
        <w:rPr>
          <w:rFonts w:ascii="Times New Roman" w:hAnsi="Times New Roman"/>
          <w:sz w:val="24"/>
        </w:rPr>
        <w:t>nonresponse bias</w:t>
      </w:r>
      <w:r w:rsidR="00EA74FB">
        <w:rPr>
          <w:rFonts w:ascii="Times New Roman" w:hAnsi="Times New Roman"/>
          <w:sz w:val="24"/>
        </w:rPr>
        <w:t>.</w:t>
      </w:r>
    </w:p>
    <w:p w:rsidR="00070D10" w14:paraId="1D5BB542" w14:textId="77777777">
      <w:pPr>
        <w:numPr>
          <w:ilvl w:val="0"/>
          <w:numId w:val="3"/>
        </w:numPr>
        <w:tabs>
          <w:tab w:val="clear" w:pos="360"/>
          <w:tab w:val="num" w:pos="1440"/>
        </w:tabs>
        <w:spacing w:after="120"/>
        <w:ind w:left="1440" w:hanging="360"/>
        <w:rPr>
          <w:rFonts w:ascii="Lucida Grande" w:hAnsi="Symbol"/>
        </w:rPr>
      </w:pPr>
      <w:r>
        <w:t xml:space="preserve">Adaptive sampling techniques could be investigated to increase the yield of the drug-using population. </w:t>
      </w:r>
    </w:p>
    <w:p w:rsidR="00070D10" w14:paraId="62456DCE" w14:textId="77777777">
      <w:pPr>
        <w:numPr>
          <w:ilvl w:val="0"/>
          <w:numId w:val="3"/>
        </w:numPr>
        <w:tabs>
          <w:tab w:val="clear" w:pos="360"/>
          <w:tab w:val="num" w:pos="1440"/>
        </w:tabs>
        <w:spacing w:after="120"/>
        <w:ind w:left="1440" w:hanging="360"/>
        <w:rPr>
          <w:rFonts w:ascii="Lucida Grande" w:hAnsi="Symbol"/>
        </w:rPr>
      </w:pPr>
      <w:r>
        <w:t xml:space="preserve">A nonresponse follow-up study may be conducted in which a subset of selected respondents who initially did not </w:t>
      </w:r>
      <w:r w:rsidR="006A2B0A">
        <w:t>participate in</w:t>
      </w:r>
      <w:r>
        <w:t xml:space="preserve"> NSDUH are re-contacted. An incentive would be offered for these individuals to complete the interview and to provide information regarding the reasons for refusal, as well as information on their drug use and other characteristics to allow for the assessment of bias.</w:t>
      </w:r>
    </w:p>
    <w:p w:rsidR="00070D10" w14:paraId="1C9266F5" w14:textId="7F085800">
      <w:pPr>
        <w:pStyle w:val="Heading1A"/>
        <w:numPr>
          <w:ilvl w:val="0"/>
          <w:numId w:val="3"/>
        </w:numPr>
        <w:tabs>
          <w:tab w:val="clear" w:pos="-720"/>
          <w:tab w:val="clear" w:pos="360"/>
          <w:tab w:val="num" w:pos="1440"/>
        </w:tabs>
        <w:spacing w:before="0"/>
        <w:ind w:left="1440" w:hanging="360"/>
        <w:rPr>
          <w:rFonts w:ascii="Times New Roman" w:hAnsi="Times New Roman"/>
        </w:rPr>
      </w:pPr>
      <w:r>
        <w:rPr>
          <w:rFonts w:ascii="Times New Roman" w:hAnsi="Times New Roman"/>
        </w:rPr>
        <w:t>A study could be conducted to assess the feasibility of obtaining interviews from three respondents within a given household where three or more potential respondents reside (currently up to two persons within a household can be selected).</w:t>
      </w:r>
    </w:p>
    <w:p w:rsidR="00070D10" w14:paraId="378486CB" w14:textId="77777777">
      <w:pPr>
        <w:pStyle w:val="Heading1A"/>
        <w:numPr>
          <w:ilvl w:val="0"/>
          <w:numId w:val="3"/>
        </w:numPr>
        <w:tabs>
          <w:tab w:val="clear" w:pos="-720"/>
          <w:tab w:val="clear" w:pos="360"/>
          <w:tab w:val="num" w:pos="1440"/>
        </w:tabs>
        <w:spacing w:before="0"/>
        <w:ind w:left="1440" w:hanging="360"/>
        <w:rPr>
          <w:rFonts w:ascii="Times New Roman" w:hAnsi="Times New Roman"/>
        </w:rPr>
      </w:pPr>
      <w:r>
        <w:rPr>
          <w:rFonts w:ascii="Times New Roman" w:hAnsi="Times New Roman"/>
        </w:rPr>
        <w:t>The feasibility of various longitudinal-type survey designs (e.g., following persons over time, rotating panel designs, etc.) could be assessed.</w:t>
      </w:r>
    </w:p>
    <w:p w:rsidR="00070D10" w14:paraId="7233DFA7" w14:textId="77777777">
      <w:pPr>
        <w:pStyle w:val="Heading1A"/>
        <w:numPr>
          <w:ilvl w:val="0"/>
          <w:numId w:val="3"/>
        </w:numPr>
        <w:tabs>
          <w:tab w:val="clear" w:pos="-720"/>
          <w:tab w:val="clear" w:pos="360"/>
          <w:tab w:val="num" w:pos="1440"/>
        </w:tabs>
        <w:spacing w:before="0"/>
        <w:ind w:left="1440" w:hanging="360"/>
        <w:rPr>
          <w:rFonts w:ascii="Times New Roman" w:hAnsi="Times New Roman"/>
        </w:rPr>
      </w:pPr>
      <w:r>
        <w:rPr>
          <w:rFonts w:ascii="Times New Roman" w:hAnsi="Times New Roman"/>
        </w:rPr>
        <w:t>“Responsive designs” could be investigated where an optimal call limit on screening and interviewing households is determined based on the examination of collected survey data</w:t>
      </w:r>
      <w:r w:rsidR="009D224D">
        <w:rPr>
          <w:rFonts w:ascii="Times New Roman" w:hAnsi="Times New Roman"/>
        </w:rPr>
        <w:t>.</w:t>
      </w:r>
    </w:p>
    <w:p w:rsidR="00070D10" w14:paraId="4B17F590" w14:textId="77777777">
      <w:pPr>
        <w:numPr>
          <w:ilvl w:val="0"/>
          <w:numId w:val="3"/>
        </w:numPr>
        <w:tabs>
          <w:tab w:val="clear" w:pos="360"/>
          <w:tab w:val="num" w:pos="1440"/>
        </w:tabs>
        <w:spacing w:after="120"/>
        <w:ind w:left="1440" w:hanging="360"/>
        <w:rPr>
          <w:rFonts w:ascii="Lucida Grande" w:hAnsi="Symbol"/>
        </w:rPr>
      </w:pPr>
      <w:r>
        <w:t>New computer hardware and software may be tested prior to implementation.</w:t>
      </w:r>
    </w:p>
    <w:p w:rsidR="00070D10" w14:paraId="713484BA" w14:textId="77777777">
      <w:pPr>
        <w:pStyle w:val="Heading1A"/>
        <w:numPr>
          <w:ilvl w:val="0"/>
          <w:numId w:val="3"/>
        </w:numPr>
        <w:tabs>
          <w:tab w:val="clear" w:pos="-720"/>
          <w:tab w:val="clear" w:pos="360"/>
          <w:tab w:val="num" w:pos="1440"/>
        </w:tabs>
        <w:ind w:left="1440" w:hanging="360"/>
        <w:rPr>
          <w:rFonts w:ascii="Times New Roman" w:hAnsi="Times New Roman"/>
        </w:rPr>
      </w:pPr>
      <w:r>
        <w:rPr>
          <w:rFonts w:ascii="Times New Roman" w:hAnsi="Times New Roman"/>
        </w:rPr>
        <w:t xml:space="preserve">Alternative sampling frames may be explored. </w:t>
      </w:r>
    </w:p>
    <w:p w:rsidR="00070D10" w14:paraId="06D4D799" w14:textId="77777777">
      <w:pPr>
        <w:numPr>
          <w:ilvl w:val="0"/>
          <w:numId w:val="3"/>
        </w:numPr>
        <w:tabs>
          <w:tab w:val="clear" w:pos="360"/>
          <w:tab w:val="num" w:pos="1440"/>
        </w:tabs>
        <w:spacing w:after="120"/>
        <w:ind w:left="1440" w:hanging="360"/>
        <w:rPr>
          <w:rFonts w:ascii="Lucida Grande" w:hAnsi="Symbol"/>
        </w:rPr>
      </w:pPr>
      <w:r>
        <w:t>A pretest may be warranted to test modified procedures or to capture timing data for new questions in a given survey year. It would be conducted among a small subset of the NSDUH population, approximately 200 cases.</w:t>
      </w:r>
    </w:p>
    <w:p w:rsidR="00070D10" w14:paraId="2E5FBE28" w14:textId="77777777">
      <w:pPr>
        <w:pStyle w:val="BodyText1"/>
        <w:tabs>
          <w:tab w:val="clear" w:pos="-720"/>
        </w:tabs>
      </w:pPr>
      <w:r>
        <w:t>Field tests would be employed to determine the feasibility of these and possibly other design modifications with a small subset of the NSDUH population. They would be used to determine the potential benefits and costs of these changes if they were adopted in the main study.</w:t>
      </w:r>
    </w:p>
    <w:p w:rsidR="00070D10" w14:paraId="2A0ED980" w14:textId="77777777">
      <w:pPr>
        <w:pStyle w:val="Heading1A"/>
        <w:tabs>
          <w:tab w:val="clear" w:pos="-720"/>
        </w:tabs>
        <w:rPr>
          <w:u w:val="single"/>
        </w:rPr>
      </w:pPr>
      <w:r>
        <w:t>3.</w:t>
      </w:r>
      <w:r>
        <w:tab/>
      </w:r>
      <w:r>
        <w:rPr>
          <w:u w:val="single"/>
        </w:rPr>
        <w:t>Use of Information Technology</w:t>
      </w:r>
    </w:p>
    <w:p w:rsidR="00070D10" w14:paraId="16BADC98" w14:textId="7E250756">
      <w:pPr>
        <w:pStyle w:val="BodyText1"/>
        <w:widowControl/>
        <w:tabs>
          <w:tab w:val="clear" w:pos="-720"/>
        </w:tabs>
      </w:pPr>
      <w:r>
        <w:t xml:space="preserve">Information </w:t>
      </w:r>
      <w:r w:rsidR="007200B1">
        <w:t xml:space="preserve">could </w:t>
      </w:r>
      <w:r>
        <w:t xml:space="preserve">be collected </w:t>
      </w:r>
      <w:r w:rsidR="00966BCE">
        <w:t>using</w:t>
      </w:r>
      <w:r>
        <w:t xml:space="preserve"> face-to-face</w:t>
      </w:r>
      <w:r w:rsidR="007200B1">
        <w:t xml:space="preserve"> interviews, </w:t>
      </w:r>
      <w:r w:rsidR="00E56F64">
        <w:t>virtual (e.g., Zoom)</w:t>
      </w:r>
      <w:r>
        <w:t xml:space="preserve"> interviews</w:t>
      </w:r>
      <w:r w:rsidR="007200B1">
        <w:t xml:space="preserve">, </w:t>
      </w:r>
      <w:r>
        <w:t xml:space="preserve">focus groups, </w:t>
      </w:r>
      <w:r w:rsidR="007200B1">
        <w:t xml:space="preserve">and/or </w:t>
      </w:r>
      <w:r>
        <w:t>self-administered questionnaires</w:t>
      </w:r>
      <w:r w:rsidR="007200B1">
        <w:t>,</w:t>
      </w:r>
      <w:r>
        <w:t xml:space="preserve"> including clinical evaluations, depending upon the subject matter being addressed. </w:t>
      </w:r>
      <w:r w:rsidR="00F71F8E">
        <w:t xml:space="preserve">Screeners and interviews will be conducted either face-to-face, using computer-assisted interviewing, or via the web. </w:t>
      </w:r>
      <w:r>
        <w:t xml:space="preserve">  </w:t>
      </w:r>
    </w:p>
    <w:p w:rsidR="00070D10" w14:paraId="19AD6593" w14:textId="77777777">
      <w:pPr>
        <w:pStyle w:val="Heading1A"/>
        <w:tabs>
          <w:tab w:val="clear" w:pos="-720"/>
        </w:tabs>
        <w:rPr>
          <w:u w:val="single"/>
        </w:rPr>
      </w:pPr>
      <w:r>
        <w:t>4.</w:t>
      </w:r>
      <w:r>
        <w:tab/>
      </w:r>
      <w:r>
        <w:rPr>
          <w:u w:val="single"/>
        </w:rPr>
        <w:t>Efforts to Identify Duplication</w:t>
      </w:r>
    </w:p>
    <w:p w:rsidR="00070D10" w14:paraId="2C1E6E47" w14:textId="5AD08F00">
      <w:pPr>
        <w:pStyle w:val="BodyText1"/>
        <w:tabs>
          <w:tab w:val="clear" w:pos="-720"/>
        </w:tabs>
      </w:pPr>
      <w:r>
        <w:t xml:space="preserve">Before each new methodological test is developed, CBHSQ will review existing literature on the proposed topic, and consult with outside experts to evaluate available information in similar </w:t>
      </w:r>
      <w:r>
        <w:t>studies with comparable populations.</w:t>
      </w:r>
    </w:p>
    <w:p w:rsidR="00070D10" w14:paraId="26796446" w14:textId="77777777">
      <w:pPr>
        <w:pStyle w:val="Heading1A"/>
        <w:tabs>
          <w:tab w:val="clear" w:pos="-720"/>
        </w:tabs>
        <w:rPr>
          <w:u w:val="single"/>
        </w:rPr>
      </w:pPr>
      <w:r>
        <w:t>5.</w:t>
      </w:r>
      <w:r>
        <w:tab/>
      </w:r>
      <w:r>
        <w:rPr>
          <w:u w:val="single"/>
        </w:rPr>
        <w:t>Involvement of Small Entities</w:t>
      </w:r>
    </w:p>
    <w:p w:rsidR="00A21A4F" w14:paraId="570A257B" w14:textId="56D85B1D">
      <w:pPr>
        <w:pStyle w:val="BodyText1"/>
        <w:tabs>
          <w:tab w:val="clear" w:pos="-720"/>
        </w:tabs>
      </w:pPr>
      <w:r>
        <w:t>The methodological tests will not include small businesses or other such entities as respondents.</w:t>
      </w:r>
    </w:p>
    <w:p w:rsidR="00070D10" w14:paraId="3B4CD433" w14:textId="0E0AE292">
      <w:pPr>
        <w:pStyle w:val="Heading1A"/>
        <w:tabs>
          <w:tab w:val="clear" w:pos="-720"/>
        </w:tabs>
        <w:rPr>
          <w:u w:val="single"/>
        </w:rPr>
      </w:pPr>
      <w:r>
        <w:t>6.</w:t>
      </w:r>
      <w:r>
        <w:tab/>
      </w:r>
      <w:r>
        <w:rPr>
          <w:u w:val="single"/>
        </w:rPr>
        <w:t>Consequences If Information Collected Less Frequently</w:t>
      </w:r>
    </w:p>
    <w:p w:rsidR="00070D10" w14:paraId="0D756D51" w14:textId="77777777">
      <w:pPr>
        <w:pStyle w:val="BodyText1"/>
        <w:tabs>
          <w:tab w:val="clear" w:pos="-720"/>
        </w:tabs>
      </w:pPr>
      <w:r>
        <w:t xml:space="preserve">CBHSQ is responsible for providing quality, timely data to the public on an annual basis. Methodological tests are necessary to keep up with changes in substance use and mental health without affecting trend measurement. Therefore, timely methodological tests are key for NSDUH data quality.  Prior to each methodological test, a separate clearance memo (under this generic clearance) will be presented to OMB for review of each test.  </w:t>
      </w:r>
    </w:p>
    <w:p w:rsidR="00070D10" w14:paraId="6CEF6629" w14:textId="77777777">
      <w:pPr>
        <w:pStyle w:val="Heading1A"/>
        <w:tabs>
          <w:tab w:val="clear" w:pos="-720"/>
        </w:tabs>
        <w:rPr>
          <w:u w:val="single"/>
        </w:rPr>
      </w:pPr>
      <w:r>
        <w:t>7.</w:t>
      </w:r>
      <w:r>
        <w:tab/>
      </w:r>
      <w:r>
        <w:rPr>
          <w:u w:val="single"/>
        </w:rPr>
        <w:t>Consistency With the Guidelines in 5 CFR 1320.5(d)(2)</w:t>
      </w:r>
    </w:p>
    <w:p w:rsidR="00070D10" w14:paraId="372F1367" w14:textId="452C5D79">
      <w:pPr>
        <w:pStyle w:val="BodyText1"/>
        <w:tabs>
          <w:tab w:val="clear" w:pos="-720"/>
        </w:tabs>
      </w:pPr>
      <w:r>
        <w:t>CBHSQ recognizes the need to collect information in a manner that places minimal burden on each respondent. Therefore, when CBHSQ recruits prospective participants for each methodological test, they will explain the purpose of the study, the approximate length of time that it will take, and the voluntary nature of participation. All efforts will be made to keep the data collection instrument for each test short and well</w:t>
      </w:r>
      <w:r w:rsidR="00906DED">
        <w:t>-</w:t>
      </w:r>
      <w:r>
        <w:t xml:space="preserve">focused. This data collection is fully consistent with 5 CFR 1320.5(d)(2). </w:t>
      </w:r>
    </w:p>
    <w:p w:rsidR="00070D10" w14:paraId="24082E76" w14:textId="77777777">
      <w:pPr>
        <w:pStyle w:val="Heading1A"/>
        <w:tabs>
          <w:tab w:val="clear" w:pos="-720"/>
        </w:tabs>
        <w:rPr>
          <w:u w:val="single"/>
        </w:rPr>
      </w:pPr>
      <w:r>
        <w:t>8.</w:t>
      </w:r>
      <w:r>
        <w:tab/>
      </w:r>
      <w:r>
        <w:rPr>
          <w:u w:val="single"/>
        </w:rPr>
        <w:t>Consultation Outside the Agency</w:t>
      </w:r>
    </w:p>
    <w:p w:rsidR="00966BCE" w:rsidRPr="00D702CC" w:rsidP="00966BCE" w14:paraId="1A38CEB6" w14:textId="2249CC50">
      <w:pPr>
        <w:ind w:left="720"/>
      </w:pPr>
      <w:r w:rsidRPr="00D702CC">
        <w:t xml:space="preserve">A Federal Register notice was published on </w:t>
      </w:r>
      <w:r w:rsidRPr="00DB3C22" w:rsidR="00DB3C22">
        <w:t>March 13, 2026</w:t>
      </w:r>
      <w:r w:rsidRPr="00DB3C22" w:rsidR="00B5208E">
        <w:t xml:space="preserve"> </w:t>
      </w:r>
      <w:r w:rsidRPr="00DB3C22">
        <w:t>(</w:t>
      </w:r>
      <w:r w:rsidRPr="00DB3C22" w:rsidR="00DB3C22">
        <w:t>91</w:t>
      </w:r>
      <w:r w:rsidRPr="00DB3C22">
        <w:t xml:space="preserve"> FR </w:t>
      </w:r>
      <w:r w:rsidRPr="00DB3C22" w:rsidR="00DB3C22">
        <w:t>12436</w:t>
      </w:r>
      <w:r w:rsidRPr="00DB3C22">
        <w:t>).</w:t>
      </w:r>
      <w:r w:rsidRPr="00D702CC">
        <w:t xml:space="preserve"> </w:t>
      </w:r>
      <w:r w:rsidR="00DB3C22">
        <w:t>One comment was received. Please see Public Comment Matrix for more information on comment received. A 30-Day Federal Register Notice was published on May 26, 2026 (91 FR 30664) and is currently still open for comment.</w:t>
      </w:r>
    </w:p>
    <w:p w:rsidR="00966BCE" w:rsidP="00AE751D" w14:paraId="1C022B03" w14:textId="77777777">
      <w:pPr>
        <w:pStyle w:val="BodyText1"/>
        <w:tabs>
          <w:tab w:val="clear" w:pos="-720"/>
        </w:tabs>
        <w:spacing w:after="0"/>
      </w:pPr>
    </w:p>
    <w:p w:rsidR="00070D10" w:rsidP="00AE751D" w14:paraId="01A6D46E" w14:textId="506506D7">
      <w:pPr>
        <w:pStyle w:val="BodyText1"/>
        <w:tabs>
          <w:tab w:val="clear" w:pos="-720"/>
        </w:tabs>
        <w:spacing w:after="0"/>
      </w:pPr>
      <w:r>
        <w:t xml:space="preserve">A number of experts on survey methodology, substance </w:t>
      </w:r>
      <w:r w:rsidR="0061712E">
        <w:t>use</w:t>
      </w:r>
      <w:r>
        <w:t xml:space="preserve"> and mental health have provided consultation on key issues related </w:t>
      </w:r>
      <w:r w:rsidR="007F2363">
        <w:t>to recent changes to the questionnaire and methodology currently employed on</w:t>
      </w:r>
      <w:r>
        <w:t xml:space="preserve"> NSDUH. Consultations with experts in these fields will continue as methods study development progresses. Consultants will be identified based on the topic of the individual submissions (i.e., each methodological study) and their names and contact information will be provided in the respective clearance packages. There are no unresolved issues resulting from any consultation at this time.</w:t>
      </w:r>
    </w:p>
    <w:p w:rsidR="00070D10" w:rsidP="00AE751D" w14:paraId="78303ADA" w14:textId="77777777">
      <w:pPr>
        <w:pStyle w:val="BodyText1"/>
        <w:tabs>
          <w:tab w:val="clear" w:pos="-720"/>
        </w:tabs>
        <w:spacing w:after="0"/>
      </w:pPr>
    </w:p>
    <w:p w:rsidR="00070D10" w:rsidRPr="00BB74E1" w:rsidP="00AE751D" w14:paraId="6D4EB48E" w14:textId="1558F1D1">
      <w:pPr>
        <w:pStyle w:val="BodyText1"/>
        <w:tabs>
          <w:tab w:val="clear" w:pos="-720"/>
        </w:tabs>
        <w:spacing w:after="0"/>
      </w:pPr>
      <w:r w:rsidRPr="00BB74E1">
        <w:t xml:space="preserve">The following persons are </w:t>
      </w:r>
      <w:r w:rsidR="00C04DE6">
        <w:t>potential</w:t>
      </w:r>
      <w:r w:rsidR="007200B1">
        <w:t xml:space="preserve"> </w:t>
      </w:r>
      <w:r w:rsidRPr="00BB74E1">
        <w:t>consultants on the NSDUH study</w:t>
      </w:r>
      <w:r w:rsidRPr="00BB74E1" w:rsidR="00B06B14">
        <w:t>:</w:t>
      </w:r>
    </w:p>
    <w:p w:rsidR="00794DD1" w:rsidP="00BB74E1" w14:paraId="7F719E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B74E1">
        <w:rPr>
          <w:i/>
        </w:rPr>
        <w:tab/>
      </w:r>
    </w:p>
    <w:p w:rsidR="00F612F1" w:rsidRPr="00BB74E1" w:rsidP="00BB74E1" w14:paraId="44DE4C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Pr>
          <w:i/>
        </w:rPr>
        <w:tab/>
      </w:r>
      <w:r w:rsidRPr="00BB74E1">
        <w:rPr>
          <w:i/>
        </w:rPr>
        <w:t xml:space="preserve">Paul Beatty, </w:t>
      </w:r>
      <w:r w:rsidRPr="00581017">
        <w:t>Ph.D</w:t>
      </w:r>
      <w:r w:rsidRPr="000D4747" w:rsidR="001A2FE6">
        <w:rPr>
          <w:iCs/>
        </w:rPr>
        <w:t>.</w:t>
      </w:r>
      <w:r w:rsidRPr="00581017">
        <w:t xml:space="preserve"> </w:t>
      </w:r>
    </w:p>
    <w:p w:rsidR="001A2FE6" w:rsidP="00BB74E1" w14:paraId="1F38A3AB" w14:textId="169D11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74E1">
        <w:tab/>
        <w:t>Chief</w:t>
      </w:r>
      <w:r>
        <w:t xml:space="preserve"> </w:t>
      </w:r>
    </w:p>
    <w:p w:rsidR="00F612F1" w:rsidRPr="00BB74E1" w:rsidP="00BB74E1" w14:paraId="5AEB8C9E" w14:textId="22A37C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Pr="00BB74E1">
        <w:t xml:space="preserve">Center for </w:t>
      </w:r>
      <w:r w:rsidR="003D5625">
        <w:t>Behavioral Science Methods</w:t>
      </w:r>
    </w:p>
    <w:p w:rsidR="00F612F1" w:rsidRPr="00BB74E1" w:rsidP="00BB74E1" w14:paraId="197E7D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74E1">
        <w:tab/>
        <w:t xml:space="preserve">U.S. Census Bureau </w:t>
      </w:r>
    </w:p>
    <w:p w:rsidR="00F612F1" w:rsidRPr="00BB74E1" w:rsidP="00BB74E1" w14:paraId="24AB7F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12F1" w:rsidRPr="00BB74E1" w:rsidP="00BB74E1" w14:paraId="6235EE10" w14:textId="74EF3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B74E1">
        <w:rPr>
          <w:i/>
        </w:rPr>
        <w:tab/>
        <w:t xml:space="preserve">Wilson Compton, </w:t>
      </w:r>
      <w:r w:rsidRPr="000D4747">
        <w:rPr>
          <w:iCs/>
        </w:rPr>
        <w:t>M</w:t>
      </w:r>
      <w:r w:rsidRPr="000D4747" w:rsidR="001A2FE6">
        <w:rPr>
          <w:iCs/>
        </w:rPr>
        <w:t>.</w:t>
      </w:r>
      <w:r w:rsidRPr="000D4747">
        <w:rPr>
          <w:iCs/>
        </w:rPr>
        <w:t>D</w:t>
      </w:r>
      <w:r w:rsidRPr="000D4747" w:rsidR="001A2FE6">
        <w:rPr>
          <w:iCs/>
        </w:rPr>
        <w:t>.</w:t>
      </w:r>
    </w:p>
    <w:p w:rsidR="001A2FE6" w:rsidP="00BB74E1" w14:paraId="49FABB92" w14:textId="1778DD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74E1">
        <w:tab/>
        <w:t>Deputy Director</w:t>
      </w:r>
      <w:r>
        <w:t xml:space="preserve"> </w:t>
      </w:r>
    </w:p>
    <w:p w:rsidR="00F612F1" w:rsidRPr="00BB74E1" w:rsidP="00BB74E1" w14:paraId="32FAAF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Pr="00BB74E1">
        <w:t>National Institute on Drug Abuse</w:t>
      </w:r>
    </w:p>
    <w:p w:rsidR="00F612F1" w:rsidRPr="00BB74E1" w:rsidP="00BB74E1" w14:paraId="561D25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74E1">
        <w:tab/>
        <w:t>National Institutes of Health</w:t>
      </w:r>
    </w:p>
    <w:p w:rsidR="00F612F1" w:rsidRPr="00BB74E1" w:rsidP="00BB74E1" w14:paraId="372EFF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A2FE6" w:rsidP="00BB74E1" w14:paraId="62B5D47A" w14:textId="35C81594">
      <w:pPr>
        <w:pStyle w:val="ListingName"/>
        <w:tabs>
          <w:tab w:val="right" w:pos="9360"/>
          <w:tab w:val="right" w:pos="9630"/>
        </w:tabs>
        <w:spacing w:before="0" w:line="240" w:lineRule="auto"/>
        <w:ind w:left="720"/>
        <w:rPr>
          <w:rFonts w:ascii="Times New Roman" w:hAnsi="Times New Roman"/>
          <w:sz w:val="24"/>
          <w:szCs w:val="24"/>
        </w:rPr>
      </w:pPr>
      <w:r w:rsidRPr="00F71F8E">
        <w:rPr>
          <w:rFonts w:ascii="Times New Roman" w:hAnsi="Times New Roman"/>
          <w:i/>
          <w:iCs/>
          <w:sz w:val="24"/>
          <w:szCs w:val="24"/>
        </w:rPr>
        <w:t>Raul Caetano</w:t>
      </w:r>
      <w:r w:rsidRPr="00F71F8E">
        <w:rPr>
          <w:rFonts w:ascii="Times New Roman" w:hAnsi="Times New Roman"/>
          <w:sz w:val="24"/>
          <w:szCs w:val="24"/>
        </w:rPr>
        <w:t>, M.D., Ph</w:t>
      </w:r>
      <w:r>
        <w:rPr>
          <w:rFonts w:ascii="Times New Roman" w:hAnsi="Times New Roman"/>
          <w:sz w:val="24"/>
          <w:szCs w:val="24"/>
        </w:rPr>
        <w:t>.</w:t>
      </w:r>
      <w:r w:rsidRPr="00F71F8E">
        <w:rPr>
          <w:rFonts w:ascii="Times New Roman" w:hAnsi="Times New Roman"/>
          <w:sz w:val="24"/>
          <w:szCs w:val="24"/>
        </w:rPr>
        <w:t>D</w:t>
      </w:r>
      <w:r>
        <w:rPr>
          <w:rFonts w:ascii="Times New Roman" w:hAnsi="Times New Roman"/>
          <w:sz w:val="24"/>
          <w:szCs w:val="24"/>
        </w:rPr>
        <w:t>.</w:t>
      </w:r>
    </w:p>
    <w:p w:rsidR="001A2FE6" w:rsidRPr="00C04DE6" w:rsidP="00BB74E1" w14:paraId="74A548C6" w14:textId="57F0A5C2">
      <w:pPr>
        <w:pStyle w:val="ListingName"/>
        <w:tabs>
          <w:tab w:val="right" w:pos="9360"/>
          <w:tab w:val="right" w:pos="9630"/>
        </w:tabs>
        <w:spacing w:before="0" w:line="240" w:lineRule="auto"/>
        <w:ind w:left="720"/>
        <w:rPr>
          <w:rFonts w:ascii="Times New Roman" w:hAnsi="Times New Roman"/>
          <w:sz w:val="24"/>
          <w:szCs w:val="24"/>
        </w:rPr>
      </w:pPr>
      <w:r>
        <w:rPr>
          <w:rFonts w:ascii="Times New Roman" w:hAnsi="Times New Roman"/>
          <w:sz w:val="24"/>
          <w:szCs w:val="24"/>
        </w:rPr>
        <w:t xml:space="preserve">Regional </w:t>
      </w:r>
      <w:r w:rsidRPr="00F71F8E" w:rsidR="00D15E46">
        <w:rPr>
          <w:rFonts w:ascii="Times New Roman" w:hAnsi="Times New Roman"/>
          <w:sz w:val="24"/>
          <w:szCs w:val="24"/>
        </w:rPr>
        <w:t>Dean</w:t>
      </w:r>
      <w:r>
        <w:rPr>
          <w:rFonts w:ascii="Times New Roman" w:hAnsi="Times New Roman"/>
          <w:sz w:val="24"/>
          <w:szCs w:val="24"/>
        </w:rPr>
        <w:t xml:space="preserve"> and Professor</w:t>
      </w:r>
    </w:p>
    <w:p w:rsidR="00D15E46" w:rsidRPr="00F71F8E" w:rsidP="00581017" w14:paraId="03E5C8D2" w14:textId="0274A5BB">
      <w:pPr>
        <w:pStyle w:val="ListingName"/>
        <w:tabs>
          <w:tab w:val="right" w:pos="9360"/>
          <w:tab w:val="right" w:pos="9630"/>
        </w:tabs>
        <w:spacing w:before="0" w:line="240" w:lineRule="auto"/>
        <w:ind w:left="720"/>
      </w:pPr>
      <w:r w:rsidRPr="00581017">
        <w:rPr>
          <w:rFonts w:ascii="Times New Roman" w:hAnsi="Times New Roman"/>
          <w:sz w:val="24"/>
        </w:rPr>
        <w:t xml:space="preserve">Health </w:t>
      </w:r>
      <w:r w:rsidRPr="000D4747" w:rsidR="007200B1">
        <w:rPr>
          <w:rFonts w:ascii="Times New Roman" w:hAnsi="Times New Roman"/>
          <w:sz w:val="24"/>
          <w:szCs w:val="24"/>
        </w:rPr>
        <w:t>Science Center at Houston</w:t>
      </w:r>
      <w:r w:rsidRPr="00F71F8E">
        <w:tab/>
      </w:r>
    </w:p>
    <w:p w:rsidR="00D15E46" w:rsidRPr="00BB74E1" w:rsidP="00BB74E1" w14:paraId="2155E18E" w14:textId="5006B6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ind w:left="720"/>
      </w:pPr>
      <w:r>
        <w:t xml:space="preserve">The </w:t>
      </w:r>
      <w:r w:rsidRPr="00F71F8E">
        <w:t>University of Texas</w:t>
      </w:r>
    </w:p>
    <w:p w:rsidR="00BB74E1" w:rsidRPr="00A10569" w:rsidP="00BB74E1" w14:paraId="76BAC013" w14:textId="77777777">
      <w:pPr>
        <w:pStyle w:val="ListingName"/>
        <w:tabs>
          <w:tab w:val="right" w:pos="9360"/>
          <w:tab w:val="right" w:pos="9630"/>
        </w:tabs>
        <w:spacing w:before="0" w:line="240" w:lineRule="auto"/>
        <w:ind w:left="720"/>
        <w:rPr>
          <w:rFonts w:ascii="Times New Roman" w:hAnsi="Times New Roman"/>
          <w:iCs/>
          <w:sz w:val="24"/>
          <w:szCs w:val="24"/>
        </w:rPr>
      </w:pPr>
    </w:p>
    <w:p w:rsidR="001A2FE6" w:rsidP="00BB74E1" w14:paraId="7567A1A5" w14:textId="2CA45A39">
      <w:pPr>
        <w:pStyle w:val="ListingName"/>
        <w:tabs>
          <w:tab w:val="right" w:pos="9360"/>
          <w:tab w:val="right" w:pos="9630"/>
        </w:tabs>
        <w:spacing w:before="0" w:line="240" w:lineRule="auto"/>
        <w:ind w:left="720"/>
        <w:rPr>
          <w:rFonts w:ascii="Times New Roman" w:hAnsi="Times New Roman"/>
          <w:sz w:val="24"/>
          <w:szCs w:val="24"/>
        </w:rPr>
      </w:pPr>
      <w:r w:rsidRPr="00F71F8E">
        <w:rPr>
          <w:rFonts w:ascii="Times New Roman" w:hAnsi="Times New Roman"/>
          <w:i/>
          <w:iCs/>
          <w:sz w:val="24"/>
          <w:szCs w:val="24"/>
        </w:rPr>
        <w:t>John Carnevale</w:t>
      </w:r>
      <w:r w:rsidRPr="00F71F8E">
        <w:rPr>
          <w:rFonts w:ascii="Times New Roman" w:hAnsi="Times New Roman"/>
          <w:sz w:val="24"/>
          <w:szCs w:val="24"/>
        </w:rPr>
        <w:t>, Ph</w:t>
      </w:r>
      <w:r>
        <w:rPr>
          <w:rFonts w:ascii="Times New Roman" w:hAnsi="Times New Roman"/>
          <w:sz w:val="24"/>
          <w:szCs w:val="24"/>
        </w:rPr>
        <w:t>.</w:t>
      </w:r>
      <w:r w:rsidRPr="00F71F8E">
        <w:rPr>
          <w:rFonts w:ascii="Times New Roman" w:hAnsi="Times New Roman"/>
          <w:sz w:val="24"/>
          <w:szCs w:val="24"/>
        </w:rPr>
        <w:t>D</w:t>
      </w:r>
      <w:r>
        <w:rPr>
          <w:rFonts w:ascii="Times New Roman" w:hAnsi="Times New Roman"/>
          <w:sz w:val="24"/>
          <w:szCs w:val="24"/>
        </w:rPr>
        <w:t>.</w:t>
      </w:r>
    </w:p>
    <w:p w:rsidR="00D15E46" w:rsidRPr="00F71F8E" w:rsidP="00BB74E1" w14:paraId="23B123D0" w14:textId="3826090F">
      <w:pPr>
        <w:pStyle w:val="ListingName"/>
        <w:tabs>
          <w:tab w:val="right" w:pos="9360"/>
          <w:tab w:val="right" w:pos="9630"/>
        </w:tabs>
        <w:spacing w:before="0" w:line="240" w:lineRule="auto"/>
        <w:ind w:left="720"/>
        <w:rPr>
          <w:rFonts w:ascii="Times New Roman" w:hAnsi="Times New Roman"/>
          <w:sz w:val="24"/>
          <w:szCs w:val="24"/>
        </w:rPr>
      </w:pPr>
      <w:r>
        <w:rPr>
          <w:rFonts w:ascii="Times New Roman" w:hAnsi="Times New Roman"/>
          <w:sz w:val="24"/>
          <w:szCs w:val="24"/>
        </w:rPr>
        <w:t>Founder and Senior Advisor</w:t>
      </w:r>
      <w:r w:rsidRPr="00F71F8E">
        <w:rPr>
          <w:rFonts w:ascii="Times New Roman" w:hAnsi="Times New Roman"/>
          <w:sz w:val="24"/>
          <w:szCs w:val="24"/>
        </w:rPr>
        <w:tab/>
      </w:r>
    </w:p>
    <w:p w:rsidR="00BB74E1" w:rsidRPr="00F71F8E" w:rsidP="00BB74E1" w14:paraId="5DB7B9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ind w:left="720"/>
      </w:pPr>
      <w:r w:rsidRPr="00F71F8E">
        <w:t>Carnevale Assoc</w:t>
      </w:r>
      <w:r w:rsidRPr="00F71F8E">
        <w:t>iates, LLC</w:t>
      </w:r>
    </w:p>
    <w:p w:rsidR="00BB74E1" w:rsidRPr="00F71F8E" w:rsidP="00BB74E1" w14:paraId="6C565200" w14:textId="77777777">
      <w:pPr>
        <w:tabs>
          <w:tab w:val="right" w:pos="9360"/>
          <w:tab w:val="right" w:pos="9630"/>
        </w:tabs>
        <w:ind w:left="720"/>
        <w:rPr>
          <w:i/>
        </w:rPr>
      </w:pPr>
    </w:p>
    <w:p w:rsidR="001A2FE6" w:rsidP="00BB74E1" w14:paraId="4694CCE6" w14:textId="263661D0">
      <w:pPr>
        <w:tabs>
          <w:tab w:val="right" w:pos="9360"/>
          <w:tab w:val="right" w:pos="9630"/>
        </w:tabs>
        <w:ind w:left="720"/>
      </w:pPr>
      <w:r w:rsidRPr="00F71F8E">
        <w:rPr>
          <w:i/>
        </w:rPr>
        <w:t>William D. Kalsbeek</w:t>
      </w:r>
      <w:r w:rsidRPr="00F71F8E">
        <w:t>, Ph</w:t>
      </w:r>
      <w:r>
        <w:t>.</w:t>
      </w:r>
      <w:r w:rsidRPr="00F71F8E">
        <w:t>D</w:t>
      </w:r>
      <w:r>
        <w:t>.</w:t>
      </w:r>
    </w:p>
    <w:p w:rsidR="001A2FE6" w:rsidRPr="00F71F8E" w:rsidP="00BB74E1" w14:paraId="558579FB" w14:textId="0F53287B">
      <w:pPr>
        <w:tabs>
          <w:tab w:val="right" w:pos="9360"/>
          <w:tab w:val="right" w:pos="9630"/>
        </w:tabs>
        <w:ind w:left="720"/>
      </w:pPr>
      <w:r w:rsidRPr="00F71F8E">
        <w:t>Professor</w:t>
      </w:r>
      <w:r w:rsidR="007200B1">
        <w:t xml:space="preserve"> Emeritus</w:t>
      </w:r>
    </w:p>
    <w:p w:rsidR="00D15E46" w:rsidRPr="00F71F8E" w:rsidP="00581017" w14:paraId="7CA577A2" w14:textId="0444A7D7">
      <w:pPr>
        <w:tabs>
          <w:tab w:val="right" w:pos="9360"/>
          <w:tab w:val="right" w:pos="9630"/>
        </w:tabs>
        <w:ind w:left="720"/>
      </w:pPr>
      <w:r w:rsidRPr="00F71F8E">
        <w:t>Carolina Survey Research Laboratory</w:t>
      </w:r>
    </w:p>
    <w:p w:rsidR="00D15E46" w:rsidRPr="00F71F8E" w:rsidP="00BB74E1" w14:paraId="72EB7F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ind w:left="720"/>
      </w:pPr>
      <w:r w:rsidRPr="00F71F8E">
        <w:t>University of North Carolina at Chapel Hill</w:t>
      </w:r>
    </w:p>
    <w:p w:rsidR="00BB74E1" w:rsidRPr="00F71F8E" w:rsidP="00BB74E1" w14:paraId="4F92E8B6" w14:textId="77777777">
      <w:pPr>
        <w:pStyle w:val="ListingName"/>
        <w:tabs>
          <w:tab w:val="right" w:pos="9360"/>
          <w:tab w:val="right" w:pos="9630"/>
        </w:tabs>
        <w:spacing w:before="0" w:line="240" w:lineRule="auto"/>
        <w:ind w:left="720"/>
        <w:rPr>
          <w:rFonts w:ascii="Times New Roman" w:hAnsi="Times New Roman"/>
          <w:i/>
          <w:iCs/>
          <w:sz w:val="24"/>
          <w:szCs w:val="24"/>
        </w:rPr>
      </w:pPr>
    </w:p>
    <w:p w:rsidR="00D15E46" w:rsidRPr="00F71F8E" w:rsidP="00BB74E1" w14:paraId="51F67717" w14:textId="58E79C93">
      <w:pPr>
        <w:pStyle w:val="ListingName"/>
        <w:tabs>
          <w:tab w:val="right" w:pos="9360"/>
          <w:tab w:val="right" w:pos="9630"/>
        </w:tabs>
        <w:spacing w:before="0" w:line="240" w:lineRule="auto"/>
        <w:ind w:left="720"/>
        <w:rPr>
          <w:rFonts w:ascii="Times New Roman" w:hAnsi="Times New Roman"/>
          <w:sz w:val="24"/>
          <w:szCs w:val="24"/>
        </w:rPr>
      </w:pPr>
      <w:r w:rsidRPr="00F71F8E">
        <w:rPr>
          <w:rFonts w:ascii="Times New Roman" w:hAnsi="Times New Roman"/>
          <w:i/>
          <w:iCs/>
          <w:sz w:val="24"/>
          <w:szCs w:val="24"/>
        </w:rPr>
        <w:t>Graham Kalton</w:t>
      </w:r>
      <w:r w:rsidRPr="00F71F8E">
        <w:rPr>
          <w:rFonts w:ascii="Times New Roman" w:hAnsi="Times New Roman"/>
          <w:iCs/>
          <w:sz w:val="24"/>
          <w:szCs w:val="24"/>
        </w:rPr>
        <w:t>, Ph</w:t>
      </w:r>
      <w:r w:rsidR="001A2FE6">
        <w:rPr>
          <w:rFonts w:ascii="Times New Roman" w:hAnsi="Times New Roman"/>
          <w:iCs/>
          <w:sz w:val="24"/>
          <w:szCs w:val="24"/>
        </w:rPr>
        <w:t>.</w:t>
      </w:r>
      <w:r w:rsidRPr="00F71F8E">
        <w:rPr>
          <w:rFonts w:ascii="Times New Roman" w:hAnsi="Times New Roman"/>
          <w:iCs/>
          <w:sz w:val="24"/>
          <w:szCs w:val="24"/>
        </w:rPr>
        <w:t>D</w:t>
      </w:r>
      <w:r w:rsidR="001A2FE6">
        <w:rPr>
          <w:rFonts w:ascii="Times New Roman" w:hAnsi="Times New Roman"/>
          <w:iCs/>
          <w:sz w:val="24"/>
          <w:szCs w:val="24"/>
        </w:rPr>
        <w:t>.</w:t>
      </w:r>
      <w:r w:rsidRPr="00F71F8E">
        <w:rPr>
          <w:rFonts w:ascii="Times New Roman" w:hAnsi="Times New Roman"/>
          <w:iCs/>
          <w:sz w:val="24"/>
          <w:szCs w:val="24"/>
        </w:rPr>
        <w:t xml:space="preserve"> </w:t>
      </w:r>
      <w:r w:rsidRPr="00F71F8E">
        <w:rPr>
          <w:rFonts w:ascii="Times New Roman" w:hAnsi="Times New Roman"/>
          <w:sz w:val="24"/>
          <w:szCs w:val="24"/>
        </w:rPr>
        <w:tab/>
      </w:r>
    </w:p>
    <w:p w:rsidR="001A2FE6" w:rsidRPr="00F71F8E" w:rsidP="00BB74E1" w14:paraId="7743998D" w14:textId="486E9974">
      <w:pPr>
        <w:tabs>
          <w:tab w:val="left" w:pos="-720"/>
          <w:tab w:val="left" w:pos="1440"/>
          <w:tab w:val="left" w:pos="2160"/>
          <w:tab w:val="left" w:pos="2880"/>
          <w:tab w:val="left" w:pos="3600"/>
          <w:tab w:val="left" w:pos="4320"/>
          <w:tab w:val="left" w:pos="5040"/>
          <w:tab w:val="left" w:pos="5760"/>
          <w:tab w:val="left" w:pos="6480"/>
          <w:tab w:val="left" w:pos="7200"/>
          <w:tab w:val="right" w:pos="9360"/>
          <w:tab w:val="right" w:pos="9630"/>
        </w:tabs>
        <w:ind w:left="720"/>
      </w:pPr>
      <w:r>
        <w:t>Research Professor</w:t>
      </w:r>
    </w:p>
    <w:p w:rsidR="001A2FE6" w:rsidP="00BB74E1" w14:paraId="77669B26" w14:textId="77777777">
      <w:pPr>
        <w:tabs>
          <w:tab w:val="left" w:pos="-720"/>
          <w:tab w:val="left" w:pos="1440"/>
          <w:tab w:val="left" w:pos="2160"/>
          <w:tab w:val="left" w:pos="2880"/>
          <w:tab w:val="left" w:pos="3600"/>
          <w:tab w:val="left" w:pos="4320"/>
          <w:tab w:val="left" w:pos="5040"/>
          <w:tab w:val="left" w:pos="5760"/>
          <w:tab w:val="left" w:pos="6480"/>
          <w:tab w:val="left" w:pos="7200"/>
          <w:tab w:val="right" w:pos="9360"/>
          <w:tab w:val="right" w:pos="9630"/>
        </w:tabs>
        <w:ind w:left="720"/>
      </w:pPr>
      <w:r>
        <w:t>Joint Program in Survey Methodology</w:t>
      </w:r>
    </w:p>
    <w:p w:rsidR="00D15E46" w:rsidRPr="005B43BD" w:rsidP="00BB74E1" w14:paraId="365AF46C" w14:textId="5601E01D">
      <w:pPr>
        <w:tabs>
          <w:tab w:val="left" w:pos="-720"/>
          <w:tab w:val="left" w:pos="1440"/>
          <w:tab w:val="left" w:pos="2160"/>
          <w:tab w:val="left" w:pos="2880"/>
          <w:tab w:val="left" w:pos="3600"/>
          <w:tab w:val="left" w:pos="4320"/>
          <w:tab w:val="left" w:pos="5040"/>
          <w:tab w:val="left" w:pos="5760"/>
          <w:tab w:val="left" w:pos="6480"/>
          <w:tab w:val="left" w:pos="7200"/>
          <w:tab w:val="right" w:pos="9360"/>
          <w:tab w:val="right" w:pos="9630"/>
        </w:tabs>
        <w:ind w:left="720"/>
        <w:rPr>
          <w:lang w:val="da-DK"/>
        </w:rPr>
      </w:pPr>
      <w:r>
        <w:t>University of Maryland</w:t>
      </w:r>
    </w:p>
    <w:p w:rsidR="00BB74E1" w:rsidP="00BB74E1" w14:paraId="1F5233B0" w14:textId="77777777">
      <w:pPr>
        <w:keepNext/>
        <w:keepLines/>
        <w:tabs>
          <w:tab w:val="right" w:pos="9360"/>
          <w:tab w:val="right" w:pos="9630"/>
        </w:tabs>
        <w:ind w:left="720"/>
        <w:rPr>
          <w:i/>
        </w:rPr>
      </w:pPr>
    </w:p>
    <w:p w:rsidR="001A2FE6" w:rsidP="00BB74E1" w14:paraId="2F959877" w14:textId="0A5F7EDE">
      <w:pPr>
        <w:keepNext/>
        <w:keepLines/>
        <w:tabs>
          <w:tab w:val="right" w:pos="9360"/>
          <w:tab w:val="right" w:pos="9630"/>
        </w:tabs>
        <w:ind w:left="720"/>
      </w:pPr>
      <w:r w:rsidRPr="00F71F8E">
        <w:rPr>
          <w:i/>
        </w:rPr>
        <w:t>Philip Leaf</w:t>
      </w:r>
      <w:r w:rsidRPr="00F71F8E">
        <w:t>, Ph</w:t>
      </w:r>
      <w:r>
        <w:t>.</w:t>
      </w:r>
      <w:r w:rsidRPr="00F71F8E">
        <w:t>D</w:t>
      </w:r>
      <w:r>
        <w:t>.</w:t>
      </w:r>
    </w:p>
    <w:p w:rsidR="00D15E46" w:rsidRPr="00F71F8E" w:rsidP="00BB74E1" w14:paraId="393A4AF2" w14:textId="72AED926">
      <w:pPr>
        <w:keepNext/>
        <w:keepLines/>
        <w:tabs>
          <w:tab w:val="right" w:pos="9360"/>
          <w:tab w:val="right" w:pos="9630"/>
        </w:tabs>
        <w:ind w:left="720"/>
      </w:pPr>
      <w:r>
        <w:t>Director</w:t>
      </w:r>
      <w:r w:rsidR="001A2FE6">
        <w:t xml:space="preserve"> and Professor Emeritus</w:t>
      </w:r>
      <w:r w:rsidRPr="00F71F8E">
        <w:tab/>
      </w:r>
    </w:p>
    <w:p w:rsidR="00D15E46" w:rsidRPr="00F71F8E" w:rsidP="00581017" w14:paraId="0C59EA67"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ind w:left="720"/>
      </w:pPr>
      <w:r>
        <w:t>Center for Adolescent Health</w:t>
      </w:r>
    </w:p>
    <w:p w:rsidR="00D15E46" w:rsidRPr="00F71F8E" w:rsidP="00BB74E1" w14:paraId="708225A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ind w:left="720"/>
      </w:pPr>
      <w:r w:rsidRPr="00F71F8E">
        <w:t>Johns Hopkins University</w:t>
      </w:r>
    </w:p>
    <w:p w:rsidR="00BB74E1" w:rsidRPr="00F71F8E" w:rsidP="00BB74E1" w14:paraId="4BEAF5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F71F8E">
        <w:rPr>
          <w:i/>
        </w:rPr>
        <w:tab/>
      </w:r>
    </w:p>
    <w:p w:rsidR="00F612F1" w:rsidRPr="00F71F8E" w:rsidP="00BB74E1" w14:paraId="0FDBB8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F71F8E">
        <w:rPr>
          <w:i/>
        </w:rPr>
        <w:tab/>
      </w:r>
      <w:r w:rsidRPr="00F71F8E">
        <w:rPr>
          <w:i/>
        </w:rPr>
        <w:t>Patrick O’Malley</w:t>
      </w:r>
      <w:r w:rsidRPr="00581017">
        <w:t>, Ph.D</w:t>
      </w:r>
      <w:r w:rsidR="001A2FE6">
        <w:rPr>
          <w:iCs/>
        </w:rPr>
        <w:t>.</w:t>
      </w:r>
    </w:p>
    <w:p w:rsidR="00F612F1" w:rsidP="00BB74E1" w14:paraId="7B44FE19" w14:textId="4092FF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71F8E">
        <w:tab/>
      </w:r>
      <w:r w:rsidR="001A2FE6">
        <w:t>Research Professor Emeritus</w:t>
      </w:r>
    </w:p>
    <w:p w:rsidR="001A2FE6" w:rsidRPr="00F71F8E" w:rsidP="00BB74E1" w14:paraId="20D4FA59" w14:textId="627239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Youth and Social Issues</w:t>
      </w:r>
    </w:p>
    <w:p w:rsidR="00F612F1" w:rsidRPr="00F71F8E" w:rsidP="00BB74E1" w14:paraId="2594E6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71F8E">
        <w:tab/>
        <w:t>Institute for Social Research</w:t>
      </w:r>
    </w:p>
    <w:p w:rsidR="00F612F1" w:rsidRPr="00F71F8E" w:rsidP="00BB74E1" w14:paraId="5C4E14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71F8E">
        <w:tab/>
      </w:r>
      <w:r w:rsidR="001A2FE6">
        <w:t xml:space="preserve">The </w:t>
      </w:r>
      <w:r w:rsidRPr="00F71F8E">
        <w:t xml:space="preserve">University of Michigan </w:t>
      </w:r>
    </w:p>
    <w:p w:rsidR="00F612F1" w:rsidRPr="00F71F8E" w:rsidP="00BB74E1" w14:paraId="0F6024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71F8E">
        <w:tab/>
      </w:r>
    </w:p>
    <w:p w:rsidR="001A2FE6" w:rsidP="00BB74E1" w14:paraId="766988BA" w14:textId="4D4C7E07">
      <w:pPr>
        <w:keepNext/>
        <w:keepLines/>
        <w:tabs>
          <w:tab w:val="right" w:pos="9360"/>
          <w:tab w:val="right" w:pos="9630"/>
        </w:tabs>
        <w:ind w:left="720"/>
      </w:pPr>
      <w:r w:rsidRPr="00F71F8E">
        <w:rPr>
          <w:i/>
        </w:rPr>
        <w:t>Peter Reuter</w:t>
      </w:r>
      <w:r w:rsidRPr="00F71F8E">
        <w:t>, Ph</w:t>
      </w:r>
      <w:r>
        <w:t>.</w:t>
      </w:r>
      <w:r w:rsidRPr="00F71F8E">
        <w:t>D</w:t>
      </w:r>
      <w:r>
        <w:t>.</w:t>
      </w:r>
    </w:p>
    <w:p w:rsidR="00D15E46" w:rsidRPr="00F71F8E" w:rsidP="00BB74E1" w14:paraId="49AF44C6" w14:textId="77777777">
      <w:pPr>
        <w:keepNext/>
        <w:keepLines/>
        <w:tabs>
          <w:tab w:val="right" w:pos="9360"/>
          <w:tab w:val="right" w:pos="9630"/>
        </w:tabs>
        <w:ind w:left="720"/>
      </w:pPr>
      <w:r w:rsidRPr="00F71F8E">
        <w:t>Professor</w:t>
      </w:r>
      <w:r w:rsidRPr="00F71F8E">
        <w:tab/>
      </w:r>
    </w:p>
    <w:p w:rsidR="00D15E46" w:rsidRPr="00F71F8E" w:rsidP="00BB74E1" w14:paraId="63EE4DD9"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ind w:left="720"/>
      </w:pPr>
      <w:r w:rsidRPr="00F71F8E">
        <w:t>School of Public Policy and Department of Criminology</w:t>
      </w:r>
    </w:p>
    <w:p w:rsidR="00D15E46" w:rsidRPr="00BB74E1" w:rsidP="00BB74E1" w14:paraId="482D6994"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ind w:left="720"/>
      </w:pPr>
      <w:r w:rsidRPr="00F71F8E">
        <w:t>University of Maryland</w:t>
      </w:r>
    </w:p>
    <w:p w:rsidR="00BB74E1" w:rsidP="00BB74E1" w14:paraId="113834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B74E1">
        <w:rPr>
          <w:i/>
        </w:rPr>
        <w:tab/>
      </w:r>
    </w:p>
    <w:p w:rsidR="00F612F1" w:rsidRPr="00BB74E1" w:rsidP="00BB74E1" w14:paraId="34393A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Pr>
          <w:i/>
        </w:rPr>
        <w:tab/>
      </w:r>
      <w:r w:rsidRPr="00BB74E1">
        <w:rPr>
          <w:i/>
        </w:rPr>
        <w:t xml:space="preserve">Gordon Willis, </w:t>
      </w:r>
      <w:r w:rsidRPr="00581017">
        <w:t>Ph.D</w:t>
      </w:r>
      <w:r w:rsidR="001A2FE6">
        <w:rPr>
          <w:iCs/>
        </w:rPr>
        <w:t>.</w:t>
      </w:r>
      <w:r w:rsidRPr="00BB74E1">
        <w:rPr>
          <w:i/>
        </w:rPr>
        <w:t xml:space="preserve"> </w:t>
      </w:r>
    </w:p>
    <w:p w:rsidR="001A2FE6" w:rsidP="00BB74E1" w14:paraId="1291326C" w14:textId="29EE2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74E1">
        <w:tab/>
        <w:t>Cognitive Psychologist</w:t>
      </w:r>
      <w:r w:rsidR="00C04DE6">
        <w:t xml:space="preserve"> and Program Director</w:t>
      </w:r>
    </w:p>
    <w:p w:rsidR="00C04DE6" w:rsidP="00BB74E1" w14:paraId="674827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Tobacco Control Research Branch</w:t>
      </w:r>
    </w:p>
    <w:p w:rsidR="00F612F1" w:rsidRPr="00BB74E1" w:rsidP="00BB74E1" w14:paraId="5618E5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Behavioral </w:t>
      </w:r>
      <w:r w:rsidRPr="00BB74E1">
        <w:t>Research Program</w:t>
      </w:r>
    </w:p>
    <w:p w:rsidR="00F612F1" w:rsidRPr="00F612F1" w:rsidP="00BB74E1" w14:paraId="1437BC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74E1">
        <w:tab/>
        <w:t>National Cancer Institute</w:t>
      </w:r>
      <w:r w:rsidRPr="00F612F1">
        <w:t xml:space="preserve"> </w:t>
      </w:r>
    </w:p>
    <w:p w:rsidR="00070D10" w14:paraId="3958E323" w14:textId="77777777">
      <w:pPr>
        <w:pStyle w:val="Heading1A"/>
        <w:tabs>
          <w:tab w:val="clear" w:pos="-720"/>
        </w:tabs>
        <w:rPr>
          <w:u w:val="single"/>
        </w:rPr>
      </w:pPr>
      <w:r>
        <w:t>9.</w:t>
      </w:r>
      <w:r>
        <w:tab/>
      </w:r>
      <w:r>
        <w:rPr>
          <w:u w:val="single"/>
        </w:rPr>
        <w:t>Payment to Respondents</w:t>
      </w:r>
    </w:p>
    <w:p w:rsidR="0052250C" w:rsidP="0052250C" w14:paraId="220E9148" w14:textId="77777777">
      <w:pPr>
        <w:pStyle w:val="BodyText1"/>
        <w:tabs>
          <w:tab w:val="clear" w:pos="-720"/>
        </w:tabs>
      </w:pPr>
      <w:r>
        <w:t>Survey research literature suggests that monetary incentives have a strong positive effect on response rates and no known adverse effect on data quality. In some cases, the use of incentives has reduced differential response rates and nonresponse bias. Any proposal to offer an incentive to respondents to offset their cost of participation will be presented in the materials for each expedited review.</w:t>
      </w:r>
    </w:p>
    <w:p w:rsidR="00070D10" w14:paraId="23E82949" w14:textId="77777777">
      <w:pPr>
        <w:pStyle w:val="Heading1A"/>
        <w:tabs>
          <w:tab w:val="clear" w:pos="-720"/>
        </w:tabs>
        <w:rPr>
          <w:u w:val="single"/>
        </w:rPr>
      </w:pPr>
      <w:r>
        <w:t>10.</w:t>
      </w:r>
      <w:r>
        <w:tab/>
      </w:r>
      <w:r>
        <w:rPr>
          <w:u w:val="single"/>
        </w:rPr>
        <w:t>Assurance of Confidentiality</w:t>
      </w:r>
    </w:p>
    <w:p w:rsidR="00070D10" w14:paraId="1C849CDB" w14:textId="4E9D6659">
      <w:pPr>
        <w:pStyle w:val="BodyText1"/>
        <w:tabs>
          <w:tab w:val="clear" w:pos="-720"/>
        </w:tabs>
      </w:pPr>
      <w:r>
        <w:t>Concern for the confidentiality and protection of respondents’ rights has always played a central part in the implementation of NSDUH and will continue to be given the utmost emphasis. Information provided by respondents will only be used by authorized personnel for statistical purposes and cannot be used for any other purpose. Prior to any data collection, respondents will be advised of the following: the nature of the activity; the purpose and use of the data collected; SAMHSA sponsorship; and the fact that participation is voluntary at all times. Since responses are voluntary, respondents will be assured there will be no penalties if they decide not to respond either to the information collection as a whole or to any particular questions.</w:t>
      </w:r>
    </w:p>
    <w:p w:rsidR="00070D10" w14:paraId="26822E0A" w14:textId="77777777">
      <w:pPr>
        <w:pStyle w:val="BodyText1"/>
        <w:tabs>
          <w:tab w:val="clear" w:pos="-720"/>
        </w:tabs>
        <w:spacing w:after="288"/>
      </w:pPr>
      <w:r>
        <w:t xml:space="preserve">On November 9, 2006, OMB approved CBHSQ as a statistical unit. As a result, CBHSQ </w:t>
      </w:r>
      <w:r w:rsidR="006A2B0A">
        <w:t>now adheres to</w:t>
      </w:r>
      <w:r>
        <w:t xml:space="preserve"> the Confidential Information Protection and Statistical Efficiency Act of 2002 (CIPSEA) implementation guidelines in their sponsored surveys, including NSDUH. CIPSEA provides a uniform set of confidentiality protections to all individually identifiable data collected for statistical purposes under a pledge of confidentiality. Under CIPSEA, penalties are imposed for willfully disclosing information to a person or agency not entitled to receive it; unlawful disclosure could be considered a class E felony with up to 5 years imprisonment or fines not to exceed $250,000. </w:t>
      </w:r>
    </w:p>
    <w:p w:rsidR="00070D10" w14:paraId="6B2CFD1D" w14:textId="77777777">
      <w:pPr>
        <w:pStyle w:val="BodyText1"/>
        <w:tabs>
          <w:tab w:val="clear" w:pos="-720"/>
        </w:tabs>
        <w:spacing w:after="288"/>
      </w:pPr>
      <w:r>
        <w:t xml:space="preserve">As CIPSEA agents, all </w:t>
      </w:r>
      <w:r w:rsidR="00AB2C30">
        <w:t xml:space="preserve">contractor </w:t>
      </w:r>
      <w:r>
        <w:t>staff complete an annual CIPSEA training and sign either a notarized Confidentiality Agreement (Attachment A) or a notarized Data Collection Agreement (Attachment B) – each specific to an individual’s role on NSDUH – certifying they will keep all respondent information confidential.</w:t>
      </w:r>
    </w:p>
    <w:p w:rsidR="00070D10" w14:paraId="37F72651" w14:textId="77777777">
      <w:pPr>
        <w:pStyle w:val="BodyText1"/>
        <w:tabs>
          <w:tab w:val="clear" w:pos="-720"/>
        </w:tabs>
        <w:spacing w:after="288"/>
      </w:pPr>
      <w:r>
        <w:t>As a further assurance of confidentiality, all presentation of data in reports will be in aggregate form, with no links to individuals being preserved. Reports will only be used by the project staff for research purposes and for the development of specific data collection questions and procedures. There will be no publication of estimates from the methodological tests.</w:t>
      </w:r>
    </w:p>
    <w:p w:rsidR="00070D10" w14:paraId="1F85B0BE" w14:textId="77777777">
      <w:pPr>
        <w:pStyle w:val="BodyText1"/>
        <w:tabs>
          <w:tab w:val="clear" w:pos="-720"/>
        </w:tabs>
      </w:pPr>
      <w:r>
        <w:t xml:space="preserve">Although some personal information will be collected, data will not be retrieved by personal identifiers during data analysis and data file preparation, and thus the Privacy Act does not apply to these activities. </w:t>
      </w:r>
    </w:p>
    <w:p w:rsidR="00070D10" w14:paraId="66DA2F27" w14:textId="77777777">
      <w:pPr>
        <w:pStyle w:val="Heading1A"/>
        <w:tabs>
          <w:tab w:val="clear" w:pos="-720"/>
        </w:tabs>
        <w:rPr>
          <w:u w:val="single"/>
        </w:rPr>
      </w:pPr>
      <w:r>
        <w:t>11.</w:t>
      </w:r>
      <w:r>
        <w:tab/>
      </w:r>
      <w:r>
        <w:rPr>
          <w:u w:val="single"/>
        </w:rPr>
        <w:t>Questions of a Sensitive Nature</w:t>
      </w:r>
    </w:p>
    <w:p w:rsidR="00070D10" w14:paraId="5B4FEBF8" w14:textId="3165E3ED">
      <w:pPr>
        <w:pStyle w:val="BodyText1"/>
        <w:tabs>
          <w:tab w:val="clear" w:pos="-720"/>
        </w:tabs>
      </w:pPr>
      <w:r w:rsidRPr="00607E38">
        <w:t>Some studies</w:t>
      </w:r>
      <w:r>
        <w:t xml:space="preserve"> may require the inclusion of people who match the characteristics of the target population for specific questions. This sometimes requires asking a question about</w:t>
      </w:r>
      <w:r w:rsidR="00981233">
        <w:t xml:space="preserve"> sex assigned at birth, sexual identity,</w:t>
      </w:r>
      <w:r>
        <w:t xml:space="preserve"> race/ethnicity, income, education, and/or drug </w:t>
      </w:r>
      <w:r w:rsidR="0061712E">
        <w:t>use</w:t>
      </w:r>
      <w:r>
        <w:t xml:space="preserve"> or mental health problems on the initial screening questionnaire used for recruiting. Potential participants are informed that the reason these questions are asked is to make sure CBHSQ speaks with the appropriate people for each particular test. Again, respondents will be assured the information is voluntary and will be handled in a confidential manner. </w:t>
      </w:r>
    </w:p>
    <w:p w:rsidR="00070D10" w14:paraId="241C6C27" w14:textId="77777777">
      <w:pPr>
        <w:pStyle w:val="BodyText1"/>
        <w:tabs>
          <w:tab w:val="clear" w:pos="-720"/>
        </w:tabs>
        <w:rPr>
          <w:strike/>
          <w:shd w:val="clear" w:color="auto" w:fill="00FFFF"/>
        </w:rPr>
      </w:pPr>
      <w:r>
        <w:t xml:space="preserve">Since NSDUH </w:t>
      </w:r>
      <w:r w:rsidR="006A4AAD">
        <w:t>collects</w:t>
      </w:r>
      <w:r w:rsidR="00AB2C30">
        <w:t xml:space="preserve"> data</w:t>
      </w:r>
      <w:r>
        <w:t xml:space="preserve"> on drug use and mental health, some methodological tests may involve asking questions about (or discussing) personal experiences with such problems. Questions of this nature require some sensitivity in how they are worded and approached. In face-to-face data collections, every attempt will be made to ensure the interview is conducted in as private a setting as possible. </w:t>
      </w:r>
    </w:p>
    <w:p w:rsidR="00070D10" w14:paraId="716DCC96" w14:textId="77777777">
      <w:pPr>
        <w:pStyle w:val="BodyText1"/>
        <w:tabs>
          <w:tab w:val="clear" w:pos="-720"/>
        </w:tabs>
      </w:pPr>
      <w:r>
        <w:t xml:space="preserve">Raw data from data collections that include sensitive information (for example, screening </w:t>
      </w:r>
      <w:r>
        <w:t xml:space="preserve">questionnaires, paper cognitive interviewing questionnaires and audio tapes) will not be retained once the data </w:t>
      </w:r>
      <w:r w:rsidR="00AB2C30">
        <w:t xml:space="preserve">have </w:t>
      </w:r>
      <w:r>
        <w:t>been extracted and aggregated; nor will the information become part of a system of records containing permanent identifiers that can be used for retrieval.</w:t>
      </w:r>
    </w:p>
    <w:p w:rsidR="00070D10" w14:paraId="1C4E8E15" w14:textId="77777777">
      <w:pPr>
        <w:pStyle w:val="Heading1A"/>
        <w:tabs>
          <w:tab w:val="clear" w:pos="-720"/>
        </w:tabs>
        <w:rPr>
          <w:u w:val="single"/>
        </w:rPr>
      </w:pPr>
      <w:r>
        <w:t>12.</w:t>
      </w:r>
      <w:r>
        <w:tab/>
      </w:r>
      <w:r>
        <w:rPr>
          <w:u w:val="single"/>
        </w:rPr>
        <w:t>Estimates of Annualized Hour Burden</w:t>
      </w:r>
    </w:p>
    <w:p w:rsidR="00070D10" w14:paraId="0CAD6B36" w14:textId="2CE5BF5C">
      <w:pPr>
        <w:pStyle w:val="BodyText1"/>
        <w:tabs>
          <w:tab w:val="clear" w:pos="-720"/>
        </w:tabs>
      </w:pPr>
      <w:r>
        <w:t xml:space="preserve">The number of respondents to be included in each field test will vary, depending on the nature of the subject being tested and the target population. However, the total estimated response burden is </w:t>
      </w:r>
      <w:r w:rsidR="0082408A">
        <w:t>14,801</w:t>
      </w:r>
      <w:r>
        <w:t xml:space="preserve"> hours. This estimate is based on our previous generic clearance submissions and activities anticipated for the next several years. The exact number of subjects and burden hours for each test are unknown at this time, but will be clearly outlined in each individual submission. The table below, however, describes the anticipated burden for each of the major testing activities for which generic approval is being tested. </w:t>
      </w:r>
    </w:p>
    <w:p w:rsidR="00070D10" w14:paraId="73F6B7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u w:val="single"/>
        </w:rPr>
      </w:pPr>
    </w:p>
    <w:p w:rsidR="00070D10" w14:paraId="5ADF35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u w:val="single"/>
        </w:rPr>
      </w:pPr>
      <w:r>
        <w:rPr>
          <w:u w:val="single"/>
        </w:rPr>
        <w:t>Estimated Burden for NSDUH Methodological Field Tests</w:t>
      </w:r>
    </w:p>
    <w:p w:rsidR="00070D10" w14:paraId="401E34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9911" w:type="dxa"/>
        <w:tblInd w:w="10" w:type="dxa"/>
        <w:tblLayout w:type="fixed"/>
        <w:tblLook w:val="0000"/>
      </w:tblPr>
      <w:tblGrid>
        <w:gridCol w:w="1735"/>
        <w:gridCol w:w="1404"/>
        <w:gridCol w:w="1322"/>
        <w:gridCol w:w="1239"/>
        <w:gridCol w:w="1156"/>
        <w:gridCol w:w="908"/>
        <w:gridCol w:w="908"/>
        <w:gridCol w:w="1239"/>
      </w:tblGrid>
      <w:tr w14:paraId="08683DB6" w14:textId="77777777" w:rsidTr="004C67F9">
        <w:tblPrEx>
          <w:tblW w:w="9911" w:type="dxa"/>
          <w:tblInd w:w="10" w:type="dxa"/>
          <w:tblLayout w:type="fixed"/>
          <w:tblLook w:val="0000"/>
        </w:tblPrEx>
        <w:trPr>
          <w:cantSplit/>
          <w:trHeight w:val="960"/>
          <w:tblHeader/>
        </w:trPr>
        <w:tc>
          <w:tcPr>
            <w:tcW w:w="17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070D10" w14:paraId="61D7016C" w14:textId="77777777">
            <w:pPr>
              <w:jc w:val="center"/>
              <w:rPr>
                <w:rFonts w:ascii="Times New Roman Bold" w:hAnsi="Times New Roman Bold"/>
                <w:sz w:val="22"/>
              </w:rPr>
            </w:pPr>
            <w:r>
              <w:rPr>
                <w:rFonts w:ascii="Times New Roman Bold" w:hAnsi="Times New Roman Bold"/>
                <w:sz w:val="22"/>
              </w:rPr>
              <w:t>Activity</w:t>
            </w:r>
          </w:p>
        </w:tc>
        <w:tc>
          <w:tcPr>
            <w:tcW w:w="14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070D10" w14:paraId="105E77C2" w14:textId="77777777">
            <w:pPr>
              <w:jc w:val="center"/>
              <w:rPr>
                <w:rFonts w:ascii="Times New Roman Bold" w:hAnsi="Times New Roman Bold"/>
                <w:sz w:val="22"/>
              </w:rPr>
            </w:pPr>
            <w:r>
              <w:rPr>
                <w:rFonts w:ascii="Times New Roman Bold" w:hAnsi="Times New Roman Bold"/>
                <w:sz w:val="22"/>
              </w:rPr>
              <w:t>Number of Respondents</w:t>
            </w:r>
          </w:p>
        </w:tc>
        <w:tc>
          <w:tcPr>
            <w:tcW w:w="13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070D10" w14:paraId="13251A0E" w14:textId="77777777">
            <w:pPr>
              <w:jc w:val="center"/>
              <w:rPr>
                <w:rFonts w:ascii="Times New Roman Bold" w:hAnsi="Times New Roman Bold"/>
                <w:sz w:val="22"/>
              </w:rPr>
            </w:pPr>
            <w:r>
              <w:rPr>
                <w:rFonts w:ascii="Times New Roman Bold" w:hAnsi="Times New Roman Bold"/>
                <w:sz w:val="22"/>
              </w:rPr>
              <w:t>Responses per Respondent</w:t>
            </w:r>
          </w:p>
        </w:tc>
        <w:tc>
          <w:tcPr>
            <w:tcW w:w="12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070D10" w14:paraId="116556FE" w14:textId="77777777">
            <w:pPr>
              <w:jc w:val="center"/>
              <w:rPr>
                <w:rFonts w:ascii="Times New Roman Bold" w:hAnsi="Times New Roman Bold"/>
                <w:sz w:val="22"/>
              </w:rPr>
            </w:pPr>
            <w:r>
              <w:rPr>
                <w:rFonts w:ascii="Times New Roman Bold" w:hAnsi="Times New Roman Bold"/>
                <w:sz w:val="22"/>
              </w:rPr>
              <w:t>Total Number of Responses</w:t>
            </w:r>
          </w:p>
        </w:tc>
        <w:tc>
          <w:tcPr>
            <w:tcW w:w="115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070D10" w14:paraId="77C701D2" w14:textId="77777777">
            <w:pPr>
              <w:jc w:val="center"/>
              <w:rPr>
                <w:rFonts w:ascii="Times New Roman Bold" w:hAnsi="Times New Roman Bold"/>
                <w:sz w:val="22"/>
              </w:rPr>
            </w:pPr>
            <w:r>
              <w:rPr>
                <w:rFonts w:ascii="Times New Roman Bold" w:hAnsi="Times New Roman Bold"/>
                <w:sz w:val="22"/>
              </w:rPr>
              <w:t>Average Burden per Response</w:t>
            </w:r>
          </w:p>
        </w:tc>
        <w:tc>
          <w:tcPr>
            <w:tcW w:w="9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070D10" w14:paraId="289DD44B" w14:textId="77777777">
            <w:pPr>
              <w:jc w:val="center"/>
              <w:rPr>
                <w:rFonts w:ascii="Times New Roman Bold" w:hAnsi="Times New Roman Bold"/>
                <w:sz w:val="22"/>
              </w:rPr>
            </w:pPr>
            <w:r>
              <w:rPr>
                <w:rFonts w:ascii="Times New Roman Bold" w:hAnsi="Times New Roman Bold"/>
                <w:sz w:val="22"/>
              </w:rPr>
              <w:t>Total Burden (Hrs.)</w:t>
            </w:r>
          </w:p>
        </w:tc>
        <w:tc>
          <w:tcPr>
            <w:tcW w:w="9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070D10" w14:paraId="49E61697" w14:textId="77777777">
            <w:pPr>
              <w:jc w:val="center"/>
              <w:rPr>
                <w:rFonts w:ascii="Times New Roman Bold" w:hAnsi="Times New Roman Bold"/>
                <w:sz w:val="22"/>
              </w:rPr>
            </w:pPr>
            <w:r>
              <w:rPr>
                <w:rFonts w:ascii="Times New Roman Bold" w:hAnsi="Times New Roman Bold"/>
                <w:sz w:val="22"/>
              </w:rPr>
              <w:t>Hourly Wage Rate</w:t>
            </w:r>
          </w:p>
        </w:tc>
        <w:tc>
          <w:tcPr>
            <w:tcW w:w="12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070D10" w14:paraId="1AFD746D" w14:textId="77777777">
            <w:pPr>
              <w:jc w:val="center"/>
              <w:rPr>
                <w:rFonts w:ascii="Times New Roman Bold" w:hAnsi="Times New Roman Bold"/>
                <w:sz w:val="22"/>
              </w:rPr>
            </w:pPr>
            <w:r>
              <w:rPr>
                <w:rFonts w:ascii="Times New Roman Bold" w:hAnsi="Times New Roman Bold"/>
                <w:sz w:val="22"/>
              </w:rPr>
              <w:t>Total Hour Cost</w:t>
            </w:r>
          </w:p>
        </w:tc>
      </w:tr>
      <w:tr w14:paraId="4638764F" w14:textId="77777777" w:rsidTr="004C67F9">
        <w:tblPrEx>
          <w:tblW w:w="9911" w:type="dxa"/>
          <w:tblInd w:w="10" w:type="dxa"/>
          <w:tblLayout w:type="fixed"/>
          <w:tblLook w:val="0000"/>
        </w:tblPrEx>
        <w:trPr>
          <w:cantSplit/>
          <w:trHeight w:val="342"/>
        </w:trPr>
        <w:tc>
          <w:tcPr>
            <w:tcW w:w="17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070D10" w14:paraId="221426DE" w14:textId="77777777">
            <w:pPr>
              <w:rPr>
                <w:sz w:val="22"/>
              </w:rPr>
            </w:pPr>
            <w:bookmarkStart w:id="1" w:name="_Hlk124419560"/>
            <w:r>
              <w:rPr>
                <w:sz w:val="22"/>
              </w:rPr>
              <w:t>a. Focus Groups</w:t>
            </w:r>
          </w:p>
        </w:tc>
        <w:tc>
          <w:tcPr>
            <w:tcW w:w="14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070D10" w14:paraId="7A23CB84" w14:textId="04EAF21C">
            <w:pPr>
              <w:jc w:val="right"/>
              <w:rPr>
                <w:sz w:val="22"/>
              </w:rPr>
            </w:pPr>
            <w:r>
              <w:rPr>
                <w:sz w:val="22"/>
              </w:rPr>
              <w:t>378</w:t>
            </w:r>
          </w:p>
        </w:tc>
        <w:tc>
          <w:tcPr>
            <w:tcW w:w="13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070D10" w14:paraId="4A4381FC" w14:textId="77777777">
            <w:pPr>
              <w:jc w:val="right"/>
              <w:rPr>
                <w:sz w:val="22"/>
              </w:rPr>
            </w:pPr>
            <w:r>
              <w:rPr>
                <w:sz w:val="22"/>
              </w:rPr>
              <w:t>1</w:t>
            </w:r>
          </w:p>
        </w:tc>
        <w:tc>
          <w:tcPr>
            <w:tcW w:w="12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070D10" w14:paraId="1ADE8447" w14:textId="4456CCCD">
            <w:pPr>
              <w:jc w:val="right"/>
              <w:rPr>
                <w:sz w:val="22"/>
              </w:rPr>
            </w:pPr>
            <w:r>
              <w:rPr>
                <w:sz w:val="22"/>
              </w:rPr>
              <w:t>378</w:t>
            </w:r>
          </w:p>
        </w:tc>
        <w:tc>
          <w:tcPr>
            <w:tcW w:w="115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070D10" w14:paraId="65856890" w14:textId="77777777">
            <w:pPr>
              <w:jc w:val="right"/>
              <w:rPr>
                <w:sz w:val="22"/>
              </w:rPr>
            </w:pPr>
            <w:r>
              <w:rPr>
                <w:sz w:val="22"/>
              </w:rPr>
              <w:t>2.0 hrs.</w:t>
            </w:r>
          </w:p>
        </w:tc>
        <w:tc>
          <w:tcPr>
            <w:tcW w:w="9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070D10" w14:paraId="4A09552C" w14:textId="39A1DE88">
            <w:pPr>
              <w:jc w:val="right"/>
              <w:rPr>
                <w:sz w:val="22"/>
              </w:rPr>
            </w:pPr>
            <w:r>
              <w:rPr>
                <w:sz w:val="22"/>
              </w:rPr>
              <w:t>756</w:t>
            </w:r>
          </w:p>
        </w:tc>
        <w:tc>
          <w:tcPr>
            <w:tcW w:w="9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070D10" w:rsidP="007F2363" w14:paraId="6315524C" w14:textId="0049D005">
            <w:pPr>
              <w:jc w:val="right"/>
              <w:rPr>
                <w:sz w:val="22"/>
              </w:rPr>
            </w:pPr>
            <w:r>
              <w:rPr>
                <w:sz w:val="22"/>
              </w:rPr>
              <w:t>$</w:t>
            </w:r>
            <w:r w:rsidR="00607E38">
              <w:rPr>
                <w:sz w:val="22"/>
              </w:rPr>
              <w:t>19.53</w:t>
            </w:r>
            <w:r>
              <w:rPr>
                <w:sz w:val="22"/>
              </w:rPr>
              <w:t xml:space="preserve"> </w:t>
            </w:r>
          </w:p>
        </w:tc>
        <w:tc>
          <w:tcPr>
            <w:tcW w:w="12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070D10" w:rsidP="007F2363" w14:paraId="44031B3B" w14:textId="61B16C5D">
            <w:pPr>
              <w:jc w:val="right"/>
              <w:rPr>
                <w:sz w:val="22"/>
              </w:rPr>
            </w:pPr>
            <w:r>
              <w:rPr>
                <w:sz w:val="22"/>
              </w:rPr>
              <w:t>$</w:t>
            </w:r>
            <w:r w:rsidR="0082408A">
              <w:rPr>
                <w:sz w:val="22"/>
              </w:rPr>
              <w:t>14,764.68</w:t>
            </w:r>
          </w:p>
        </w:tc>
      </w:tr>
      <w:tr w14:paraId="7F2E2EEF" w14:textId="77777777" w:rsidTr="004C67F9">
        <w:tblPrEx>
          <w:tblW w:w="9911" w:type="dxa"/>
          <w:tblInd w:w="10" w:type="dxa"/>
          <w:tblLayout w:type="fixed"/>
          <w:tblLook w:val="0000"/>
        </w:tblPrEx>
        <w:trPr>
          <w:cantSplit/>
          <w:trHeight w:val="480"/>
        </w:trPr>
        <w:tc>
          <w:tcPr>
            <w:tcW w:w="17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7F2363" w:rsidP="007F2363" w14:paraId="7F1F804C" w14:textId="77777777">
            <w:pPr>
              <w:rPr>
                <w:sz w:val="22"/>
              </w:rPr>
            </w:pPr>
            <w:r>
              <w:rPr>
                <w:sz w:val="22"/>
              </w:rPr>
              <w:t>b. Respondent screening for a.</w:t>
            </w:r>
          </w:p>
        </w:tc>
        <w:tc>
          <w:tcPr>
            <w:tcW w:w="14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7F2363" w:rsidP="007F2363" w14:paraId="7689EE60" w14:textId="6E971222">
            <w:pPr>
              <w:jc w:val="right"/>
              <w:rPr>
                <w:sz w:val="22"/>
              </w:rPr>
            </w:pPr>
            <w:r>
              <w:rPr>
                <w:sz w:val="22"/>
              </w:rPr>
              <w:t>473</w:t>
            </w:r>
          </w:p>
        </w:tc>
        <w:tc>
          <w:tcPr>
            <w:tcW w:w="13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7F2363" w:rsidP="007F2363" w14:paraId="248AC200" w14:textId="77777777">
            <w:pPr>
              <w:jc w:val="right"/>
              <w:rPr>
                <w:sz w:val="22"/>
              </w:rPr>
            </w:pPr>
            <w:r>
              <w:rPr>
                <w:sz w:val="22"/>
              </w:rPr>
              <w:t>1</w:t>
            </w:r>
          </w:p>
        </w:tc>
        <w:tc>
          <w:tcPr>
            <w:tcW w:w="12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7F2363" w:rsidP="007F2363" w14:paraId="7A414DD7" w14:textId="349FA733">
            <w:pPr>
              <w:jc w:val="right"/>
              <w:rPr>
                <w:sz w:val="22"/>
              </w:rPr>
            </w:pPr>
            <w:r>
              <w:rPr>
                <w:sz w:val="22"/>
              </w:rPr>
              <w:t>473</w:t>
            </w:r>
          </w:p>
        </w:tc>
        <w:tc>
          <w:tcPr>
            <w:tcW w:w="115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7F2363" w:rsidP="007F2363" w14:paraId="36543B20" w14:textId="77777777">
            <w:pPr>
              <w:jc w:val="right"/>
              <w:rPr>
                <w:sz w:val="22"/>
              </w:rPr>
            </w:pPr>
            <w:r>
              <w:rPr>
                <w:sz w:val="22"/>
              </w:rPr>
              <w:t>0.083 hr.</w:t>
            </w:r>
          </w:p>
        </w:tc>
        <w:tc>
          <w:tcPr>
            <w:tcW w:w="9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7F2363" w:rsidP="007F2363" w14:paraId="586D0494" w14:textId="6BDE2B50">
            <w:pPr>
              <w:jc w:val="right"/>
              <w:rPr>
                <w:sz w:val="22"/>
              </w:rPr>
            </w:pPr>
            <w:r>
              <w:rPr>
                <w:sz w:val="22"/>
              </w:rPr>
              <w:t>39</w:t>
            </w:r>
          </w:p>
        </w:tc>
        <w:tc>
          <w:tcPr>
            <w:tcW w:w="9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7F2363" w:rsidP="007F2363" w14:paraId="69558651" w14:textId="560CEBDE">
            <w:pPr>
              <w:jc w:val="right"/>
              <w:rPr>
                <w:sz w:val="22"/>
              </w:rPr>
            </w:pPr>
            <w:r>
              <w:rPr>
                <w:sz w:val="22"/>
              </w:rPr>
              <w:t>$</w:t>
            </w:r>
            <w:r w:rsidR="00607E38">
              <w:rPr>
                <w:sz w:val="22"/>
              </w:rPr>
              <w:t>19.53</w:t>
            </w:r>
            <w:r w:rsidRPr="0035544E">
              <w:rPr>
                <w:sz w:val="22"/>
              </w:rPr>
              <w:t xml:space="preserve"> </w:t>
            </w:r>
          </w:p>
        </w:tc>
        <w:tc>
          <w:tcPr>
            <w:tcW w:w="12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7F2363" w:rsidP="007F2363" w14:paraId="110EC87D" w14:textId="45308975">
            <w:pPr>
              <w:jc w:val="right"/>
              <w:rPr>
                <w:sz w:val="22"/>
              </w:rPr>
            </w:pPr>
            <w:r>
              <w:rPr>
                <w:sz w:val="22"/>
              </w:rPr>
              <w:t>$</w:t>
            </w:r>
            <w:r w:rsidR="0082408A">
              <w:rPr>
                <w:sz w:val="22"/>
              </w:rPr>
              <w:t>761.67</w:t>
            </w:r>
          </w:p>
        </w:tc>
      </w:tr>
      <w:tr w14:paraId="77D1952B" w14:textId="77777777" w:rsidTr="004C67F9">
        <w:tblPrEx>
          <w:tblW w:w="9911" w:type="dxa"/>
          <w:tblInd w:w="10" w:type="dxa"/>
          <w:tblLayout w:type="fixed"/>
          <w:tblLook w:val="0000"/>
        </w:tblPrEx>
        <w:trPr>
          <w:cantSplit/>
          <w:trHeight w:val="480"/>
        </w:trPr>
        <w:tc>
          <w:tcPr>
            <w:tcW w:w="17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29CB8AA0" w14:textId="708C5A39">
            <w:pPr>
              <w:rPr>
                <w:sz w:val="22"/>
              </w:rPr>
            </w:pPr>
            <w:r>
              <w:rPr>
                <w:sz w:val="22"/>
              </w:rPr>
              <w:t>c. Cognitive</w:t>
            </w:r>
            <w:r w:rsidR="004050FD">
              <w:rPr>
                <w:sz w:val="22"/>
              </w:rPr>
              <w:t xml:space="preserve"> </w:t>
            </w:r>
            <w:r>
              <w:rPr>
                <w:sz w:val="22"/>
              </w:rPr>
              <w:t>testing</w:t>
            </w:r>
          </w:p>
        </w:tc>
        <w:tc>
          <w:tcPr>
            <w:tcW w:w="14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0091E316" w14:textId="72162ED5">
            <w:pPr>
              <w:jc w:val="right"/>
              <w:rPr>
                <w:sz w:val="22"/>
              </w:rPr>
            </w:pPr>
            <w:r>
              <w:rPr>
                <w:sz w:val="22"/>
              </w:rPr>
              <w:t>420</w:t>
            </w:r>
          </w:p>
        </w:tc>
        <w:tc>
          <w:tcPr>
            <w:tcW w:w="13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77C176FD" w14:textId="77777777">
            <w:pPr>
              <w:jc w:val="right"/>
              <w:rPr>
                <w:sz w:val="22"/>
              </w:rPr>
            </w:pPr>
            <w:r>
              <w:rPr>
                <w:sz w:val="22"/>
              </w:rPr>
              <w:t>1</w:t>
            </w:r>
          </w:p>
        </w:tc>
        <w:tc>
          <w:tcPr>
            <w:tcW w:w="12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53FECA5C" w14:textId="580F9FB5">
            <w:pPr>
              <w:jc w:val="right"/>
              <w:rPr>
                <w:sz w:val="22"/>
              </w:rPr>
            </w:pPr>
            <w:r>
              <w:rPr>
                <w:sz w:val="22"/>
              </w:rPr>
              <w:t>420</w:t>
            </w:r>
          </w:p>
        </w:tc>
        <w:tc>
          <w:tcPr>
            <w:tcW w:w="115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70A619F0" w14:textId="77777777">
            <w:pPr>
              <w:jc w:val="right"/>
              <w:rPr>
                <w:sz w:val="22"/>
              </w:rPr>
            </w:pPr>
            <w:r>
              <w:rPr>
                <w:sz w:val="22"/>
              </w:rPr>
              <w:t>1.0 hr.</w:t>
            </w:r>
          </w:p>
        </w:tc>
        <w:tc>
          <w:tcPr>
            <w:tcW w:w="9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2F3E0952" w14:textId="6A6EC62E">
            <w:pPr>
              <w:jc w:val="right"/>
              <w:rPr>
                <w:sz w:val="22"/>
              </w:rPr>
            </w:pPr>
            <w:r>
              <w:rPr>
                <w:sz w:val="22"/>
              </w:rPr>
              <w:t>420</w:t>
            </w:r>
          </w:p>
        </w:tc>
        <w:tc>
          <w:tcPr>
            <w:tcW w:w="9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79F84F73" w14:textId="43B861E8">
            <w:pPr>
              <w:jc w:val="right"/>
              <w:rPr>
                <w:sz w:val="22"/>
              </w:rPr>
            </w:pPr>
            <w:r w:rsidRPr="006B24EF">
              <w:rPr>
                <w:sz w:val="22"/>
              </w:rPr>
              <w:t>$</w:t>
            </w:r>
            <w:r w:rsidR="00FB023C">
              <w:rPr>
                <w:sz w:val="22"/>
              </w:rPr>
              <w:t>19.53</w:t>
            </w:r>
            <w:r w:rsidRPr="006B24EF">
              <w:rPr>
                <w:sz w:val="22"/>
              </w:rPr>
              <w:t xml:space="preserve"> </w:t>
            </w:r>
          </w:p>
        </w:tc>
        <w:tc>
          <w:tcPr>
            <w:tcW w:w="12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460CE59D" w14:textId="36B5D456">
            <w:pPr>
              <w:jc w:val="right"/>
              <w:rPr>
                <w:sz w:val="22"/>
              </w:rPr>
            </w:pPr>
            <w:r>
              <w:rPr>
                <w:sz w:val="22"/>
              </w:rPr>
              <w:t>$</w:t>
            </w:r>
            <w:r w:rsidR="0039666E">
              <w:rPr>
                <w:sz w:val="22"/>
              </w:rPr>
              <w:t>8,202.60</w:t>
            </w:r>
          </w:p>
        </w:tc>
      </w:tr>
      <w:tr w14:paraId="6A960DD0" w14:textId="77777777" w:rsidTr="004C67F9">
        <w:tblPrEx>
          <w:tblW w:w="9911" w:type="dxa"/>
          <w:tblInd w:w="10" w:type="dxa"/>
          <w:tblLayout w:type="fixed"/>
          <w:tblLook w:val="0000"/>
        </w:tblPrEx>
        <w:trPr>
          <w:cantSplit/>
          <w:trHeight w:val="480"/>
        </w:trPr>
        <w:tc>
          <w:tcPr>
            <w:tcW w:w="17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3E548A5B" w14:textId="77777777">
            <w:pPr>
              <w:rPr>
                <w:sz w:val="22"/>
              </w:rPr>
            </w:pPr>
            <w:r>
              <w:rPr>
                <w:sz w:val="22"/>
              </w:rPr>
              <w:t>d. Respondent screening for c.</w:t>
            </w:r>
          </w:p>
        </w:tc>
        <w:tc>
          <w:tcPr>
            <w:tcW w:w="14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4C4CA916" w14:textId="789FCA38">
            <w:pPr>
              <w:jc w:val="right"/>
              <w:rPr>
                <w:sz w:val="22"/>
              </w:rPr>
            </w:pPr>
            <w:r>
              <w:rPr>
                <w:sz w:val="22"/>
              </w:rPr>
              <w:t>800</w:t>
            </w:r>
          </w:p>
        </w:tc>
        <w:tc>
          <w:tcPr>
            <w:tcW w:w="13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33FF9DA4" w14:textId="77777777">
            <w:pPr>
              <w:jc w:val="right"/>
              <w:rPr>
                <w:sz w:val="22"/>
              </w:rPr>
            </w:pPr>
            <w:r>
              <w:rPr>
                <w:sz w:val="22"/>
              </w:rPr>
              <w:t>1</w:t>
            </w:r>
          </w:p>
        </w:tc>
        <w:tc>
          <w:tcPr>
            <w:tcW w:w="12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704F5E96" w14:textId="251DC486">
            <w:pPr>
              <w:jc w:val="right"/>
              <w:rPr>
                <w:sz w:val="22"/>
              </w:rPr>
            </w:pPr>
            <w:r>
              <w:rPr>
                <w:sz w:val="22"/>
              </w:rPr>
              <w:t>800</w:t>
            </w:r>
          </w:p>
        </w:tc>
        <w:tc>
          <w:tcPr>
            <w:tcW w:w="115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2FECA1AB" w14:textId="77777777">
            <w:pPr>
              <w:jc w:val="right"/>
              <w:rPr>
                <w:sz w:val="22"/>
              </w:rPr>
            </w:pPr>
            <w:r>
              <w:rPr>
                <w:sz w:val="22"/>
              </w:rPr>
              <w:t>0.083 hr.</w:t>
            </w:r>
          </w:p>
        </w:tc>
        <w:tc>
          <w:tcPr>
            <w:tcW w:w="9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2402FCA8" w14:textId="02091E07">
            <w:pPr>
              <w:jc w:val="right"/>
              <w:rPr>
                <w:sz w:val="22"/>
              </w:rPr>
            </w:pPr>
            <w:r>
              <w:rPr>
                <w:sz w:val="22"/>
              </w:rPr>
              <w:t>66</w:t>
            </w:r>
          </w:p>
        </w:tc>
        <w:tc>
          <w:tcPr>
            <w:tcW w:w="9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21A38336" w14:textId="388636AD">
            <w:pPr>
              <w:jc w:val="right"/>
              <w:rPr>
                <w:sz w:val="22"/>
              </w:rPr>
            </w:pPr>
            <w:r w:rsidRPr="006B24EF">
              <w:rPr>
                <w:sz w:val="22"/>
              </w:rPr>
              <w:t>$</w:t>
            </w:r>
            <w:r w:rsidR="00FB023C">
              <w:rPr>
                <w:sz w:val="22"/>
              </w:rPr>
              <w:t>19.53</w:t>
            </w:r>
            <w:r w:rsidRPr="006B24EF">
              <w:rPr>
                <w:sz w:val="22"/>
              </w:rPr>
              <w:t xml:space="preserve"> </w:t>
            </w:r>
          </w:p>
        </w:tc>
        <w:tc>
          <w:tcPr>
            <w:tcW w:w="12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18ED81B7" w14:textId="32D1A1C0">
            <w:pPr>
              <w:jc w:val="right"/>
              <w:rPr>
                <w:sz w:val="22"/>
              </w:rPr>
            </w:pPr>
            <w:r>
              <w:rPr>
                <w:sz w:val="22"/>
              </w:rPr>
              <w:t>$</w:t>
            </w:r>
            <w:r w:rsidR="0039666E">
              <w:rPr>
                <w:sz w:val="22"/>
              </w:rPr>
              <w:t>1,288.98</w:t>
            </w:r>
          </w:p>
        </w:tc>
      </w:tr>
      <w:tr w14:paraId="4B8EDB0E" w14:textId="77777777" w:rsidTr="004C67F9">
        <w:tblPrEx>
          <w:tblW w:w="9911" w:type="dxa"/>
          <w:tblInd w:w="10" w:type="dxa"/>
          <w:tblLayout w:type="fixed"/>
          <w:tblLook w:val="0000"/>
        </w:tblPrEx>
        <w:trPr>
          <w:cantSplit/>
          <w:trHeight w:val="384"/>
        </w:trPr>
        <w:tc>
          <w:tcPr>
            <w:tcW w:w="17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199CD795" w14:textId="77777777">
            <w:pPr>
              <w:rPr>
                <w:sz w:val="22"/>
              </w:rPr>
            </w:pPr>
            <w:r>
              <w:rPr>
                <w:sz w:val="22"/>
              </w:rPr>
              <w:t>e. Field Tests</w:t>
            </w:r>
          </w:p>
        </w:tc>
        <w:tc>
          <w:tcPr>
            <w:tcW w:w="14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31071BA3" w14:textId="2F3706DD">
            <w:pPr>
              <w:jc w:val="right"/>
              <w:rPr>
                <w:sz w:val="22"/>
              </w:rPr>
            </w:pPr>
            <w:r>
              <w:rPr>
                <w:sz w:val="22"/>
              </w:rPr>
              <w:t>12,000</w:t>
            </w:r>
          </w:p>
        </w:tc>
        <w:tc>
          <w:tcPr>
            <w:tcW w:w="13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78BC1201" w14:textId="77777777">
            <w:pPr>
              <w:jc w:val="right"/>
              <w:rPr>
                <w:sz w:val="22"/>
              </w:rPr>
            </w:pPr>
            <w:r>
              <w:rPr>
                <w:sz w:val="22"/>
              </w:rPr>
              <w:t>1</w:t>
            </w:r>
          </w:p>
        </w:tc>
        <w:tc>
          <w:tcPr>
            <w:tcW w:w="12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620BAFBD" w14:textId="6D0F1B08">
            <w:pPr>
              <w:jc w:val="right"/>
              <w:rPr>
                <w:sz w:val="22"/>
              </w:rPr>
            </w:pPr>
            <w:r>
              <w:rPr>
                <w:sz w:val="22"/>
              </w:rPr>
              <w:t>12,000</w:t>
            </w:r>
          </w:p>
        </w:tc>
        <w:tc>
          <w:tcPr>
            <w:tcW w:w="115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7561DDC4" w14:textId="77777777">
            <w:pPr>
              <w:jc w:val="right"/>
              <w:rPr>
                <w:sz w:val="22"/>
              </w:rPr>
            </w:pPr>
            <w:r>
              <w:rPr>
                <w:sz w:val="22"/>
              </w:rPr>
              <w:t>1.0 hr.</w:t>
            </w:r>
          </w:p>
        </w:tc>
        <w:tc>
          <w:tcPr>
            <w:tcW w:w="9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4685AEED" w14:textId="778CFE6F">
            <w:pPr>
              <w:jc w:val="right"/>
              <w:rPr>
                <w:sz w:val="22"/>
              </w:rPr>
            </w:pPr>
            <w:r>
              <w:rPr>
                <w:sz w:val="22"/>
              </w:rPr>
              <w:t>12,000</w:t>
            </w:r>
          </w:p>
        </w:tc>
        <w:tc>
          <w:tcPr>
            <w:tcW w:w="9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1194845B" w14:textId="76EBB321">
            <w:pPr>
              <w:jc w:val="right"/>
              <w:rPr>
                <w:sz w:val="22"/>
              </w:rPr>
            </w:pPr>
            <w:r w:rsidRPr="006B24EF">
              <w:rPr>
                <w:sz w:val="22"/>
              </w:rPr>
              <w:t>$</w:t>
            </w:r>
            <w:r w:rsidR="00FB023C">
              <w:rPr>
                <w:sz w:val="22"/>
              </w:rPr>
              <w:t>19.53</w:t>
            </w:r>
            <w:r w:rsidRPr="006B24EF">
              <w:rPr>
                <w:sz w:val="22"/>
              </w:rPr>
              <w:t xml:space="preserve"> </w:t>
            </w:r>
          </w:p>
        </w:tc>
        <w:tc>
          <w:tcPr>
            <w:tcW w:w="12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09A64AC3" w14:textId="7709E454">
            <w:pPr>
              <w:jc w:val="right"/>
              <w:rPr>
                <w:sz w:val="22"/>
              </w:rPr>
            </w:pPr>
            <w:r>
              <w:rPr>
                <w:sz w:val="22"/>
              </w:rPr>
              <w:t>$</w:t>
            </w:r>
            <w:r w:rsidR="008F6697">
              <w:rPr>
                <w:sz w:val="22"/>
              </w:rPr>
              <w:t>234,360.00</w:t>
            </w:r>
          </w:p>
        </w:tc>
      </w:tr>
      <w:tr w14:paraId="5089F30C" w14:textId="77777777" w:rsidTr="004C67F9">
        <w:tblPrEx>
          <w:tblW w:w="9911" w:type="dxa"/>
          <w:tblInd w:w="10" w:type="dxa"/>
          <w:tblLayout w:type="fixed"/>
          <w:tblLook w:val="0000"/>
        </w:tblPrEx>
        <w:trPr>
          <w:cantSplit/>
          <w:trHeight w:val="625"/>
        </w:trPr>
        <w:tc>
          <w:tcPr>
            <w:tcW w:w="17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4276751D" w14:textId="77777777">
            <w:pPr>
              <w:rPr>
                <w:sz w:val="22"/>
              </w:rPr>
            </w:pPr>
            <w:r>
              <w:rPr>
                <w:sz w:val="22"/>
              </w:rPr>
              <w:t>f. Household screening for e.</w:t>
            </w:r>
          </w:p>
        </w:tc>
        <w:tc>
          <w:tcPr>
            <w:tcW w:w="14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5577A8E2" w14:textId="51895C08">
            <w:pPr>
              <w:jc w:val="right"/>
              <w:rPr>
                <w:sz w:val="22"/>
              </w:rPr>
            </w:pPr>
            <w:r>
              <w:rPr>
                <w:sz w:val="22"/>
              </w:rPr>
              <w:t>16,200</w:t>
            </w:r>
          </w:p>
        </w:tc>
        <w:tc>
          <w:tcPr>
            <w:tcW w:w="13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6A96CDA6" w14:textId="77777777">
            <w:pPr>
              <w:jc w:val="right"/>
              <w:rPr>
                <w:sz w:val="22"/>
              </w:rPr>
            </w:pPr>
            <w:r>
              <w:rPr>
                <w:sz w:val="22"/>
              </w:rPr>
              <w:t>1</w:t>
            </w:r>
          </w:p>
        </w:tc>
        <w:tc>
          <w:tcPr>
            <w:tcW w:w="12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365C5A8F" w14:textId="1D9C7FF1">
            <w:pPr>
              <w:jc w:val="right"/>
              <w:rPr>
                <w:sz w:val="22"/>
              </w:rPr>
            </w:pPr>
            <w:r>
              <w:rPr>
                <w:sz w:val="22"/>
              </w:rPr>
              <w:t>16,200</w:t>
            </w:r>
          </w:p>
        </w:tc>
        <w:tc>
          <w:tcPr>
            <w:tcW w:w="115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100AE017" w14:textId="77777777">
            <w:pPr>
              <w:jc w:val="right"/>
              <w:rPr>
                <w:sz w:val="22"/>
              </w:rPr>
            </w:pPr>
            <w:r>
              <w:rPr>
                <w:sz w:val="22"/>
              </w:rPr>
              <w:t>0.083 hr.</w:t>
            </w:r>
          </w:p>
        </w:tc>
        <w:tc>
          <w:tcPr>
            <w:tcW w:w="9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0C43986B" w14:textId="17E4FCA5">
            <w:pPr>
              <w:jc w:val="right"/>
              <w:rPr>
                <w:sz w:val="22"/>
              </w:rPr>
            </w:pPr>
            <w:r>
              <w:rPr>
                <w:sz w:val="22"/>
              </w:rPr>
              <w:t>1,345</w:t>
            </w:r>
          </w:p>
        </w:tc>
        <w:tc>
          <w:tcPr>
            <w:tcW w:w="9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183AEDFB" w14:textId="08966BBE">
            <w:pPr>
              <w:jc w:val="right"/>
              <w:rPr>
                <w:sz w:val="22"/>
              </w:rPr>
            </w:pPr>
            <w:r w:rsidRPr="006B24EF">
              <w:rPr>
                <w:sz w:val="22"/>
              </w:rPr>
              <w:t>$</w:t>
            </w:r>
            <w:r w:rsidR="00FB023C">
              <w:rPr>
                <w:sz w:val="22"/>
              </w:rPr>
              <w:t>19.53</w:t>
            </w:r>
            <w:r w:rsidRPr="006B24EF">
              <w:rPr>
                <w:sz w:val="22"/>
              </w:rPr>
              <w:t xml:space="preserve"> </w:t>
            </w:r>
          </w:p>
        </w:tc>
        <w:tc>
          <w:tcPr>
            <w:tcW w:w="12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27C87700" w14:textId="46BD1358">
            <w:pPr>
              <w:jc w:val="right"/>
              <w:rPr>
                <w:sz w:val="22"/>
              </w:rPr>
            </w:pPr>
            <w:r>
              <w:rPr>
                <w:sz w:val="22"/>
              </w:rPr>
              <w:t>$</w:t>
            </w:r>
            <w:r w:rsidR="00482B9F">
              <w:rPr>
                <w:sz w:val="22"/>
              </w:rPr>
              <w:t>26,267.85</w:t>
            </w:r>
          </w:p>
        </w:tc>
      </w:tr>
      <w:tr w14:paraId="7F99F1E4" w14:textId="77777777" w:rsidTr="004C67F9">
        <w:tblPrEx>
          <w:tblW w:w="9911" w:type="dxa"/>
          <w:tblInd w:w="10" w:type="dxa"/>
          <w:tblLayout w:type="fixed"/>
          <w:tblLook w:val="0000"/>
        </w:tblPrEx>
        <w:trPr>
          <w:cantSplit/>
          <w:trHeight w:val="625"/>
        </w:trPr>
        <w:tc>
          <w:tcPr>
            <w:tcW w:w="17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573DE81A" w14:textId="77777777">
            <w:pPr>
              <w:rPr>
                <w:sz w:val="22"/>
              </w:rPr>
            </w:pPr>
            <w:r>
              <w:rPr>
                <w:sz w:val="22"/>
              </w:rPr>
              <w:t>g. Screening Verification for e.</w:t>
            </w:r>
          </w:p>
        </w:tc>
        <w:tc>
          <w:tcPr>
            <w:tcW w:w="14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7CFE17FD" w14:textId="5E9BE2CB">
            <w:pPr>
              <w:jc w:val="right"/>
              <w:rPr>
                <w:sz w:val="22"/>
              </w:rPr>
            </w:pPr>
            <w:r>
              <w:rPr>
                <w:sz w:val="22"/>
              </w:rPr>
              <w:t>804</w:t>
            </w:r>
          </w:p>
        </w:tc>
        <w:tc>
          <w:tcPr>
            <w:tcW w:w="13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3AEB505A" w14:textId="77777777">
            <w:pPr>
              <w:jc w:val="right"/>
              <w:rPr>
                <w:sz w:val="22"/>
              </w:rPr>
            </w:pPr>
            <w:r>
              <w:rPr>
                <w:sz w:val="22"/>
              </w:rPr>
              <w:t>1</w:t>
            </w:r>
          </w:p>
        </w:tc>
        <w:tc>
          <w:tcPr>
            <w:tcW w:w="12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707667E1" w14:textId="1D587F0F">
            <w:pPr>
              <w:jc w:val="right"/>
              <w:rPr>
                <w:sz w:val="22"/>
              </w:rPr>
            </w:pPr>
            <w:r>
              <w:rPr>
                <w:sz w:val="22"/>
              </w:rPr>
              <w:t>804</w:t>
            </w:r>
          </w:p>
        </w:tc>
        <w:tc>
          <w:tcPr>
            <w:tcW w:w="115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097C251E" w14:textId="77777777">
            <w:pPr>
              <w:jc w:val="right"/>
              <w:rPr>
                <w:sz w:val="22"/>
              </w:rPr>
            </w:pPr>
            <w:r>
              <w:rPr>
                <w:sz w:val="22"/>
              </w:rPr>
              <w:t>0.067 hr.</w:t>
            </w:r>
          </w:p>
        </w:tc>
        <w:tc>
          <w:tcPr>
            <w:tcW w:w="9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7AA8A578" w14:textId="670F18D8">
            <w:pPr>
              <w:jc w:val="right"/>
              <w:rPr>
                <w:sz w:val="22"/>
              </w:rPr>
            </w:pPr>
            <w:r>
              <w:rPr>
                <w:sz w:val="22"/>
              </w:rPr>
              <w:t>54</w:t>
            </w:r>
          </w:p>
        </w:tc>
        <w:tc>
          <w:tcPr>
            <w:tcW w:w="9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32E0E7ED" w14:textId="3670D6C4">
            <w:pPr>
              <w:jc w:val="right"/>
              <w:rPr>
                <w:sz w:val="22"/>
              </w:rPr>
            </w:pPr>
            <w:r w:rsidRPr="006B24EF">
              <w:rPr>
                <w:sz w:val="22"/>
              </w:rPr>
              <w:t>$</w:t>
            </w:r>
            <w:r w:rsidR="00FB023C">
              <w:rPr>
                <w:sz w:val="22"/>
              </w:rPr>
              <w:t>19.53</w:t>
            </w:r>
            <w:r w:rsidRPr="006B24EF">
              <w:rPr>
                <w:sz w:val="22"/>
              </w:rPr>
              <w:t xml:space="preserve"> </w:t>
            </w:r>
          </w:p>
        </w:tc>
        <w:tc>
          <w:tcPr>
            <w:tcW w:w="12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792E4856" w14:textId="493911BA">
            <w:pPr>
              <w:jc w:val="right"/>
              <w:rPr>
                <w:sz w:val="22"/>
              </w:rPr>
            </w:pPr>
            <w:r>
              <w:rPr>
                <w:sz w:val="22"/>
              </w:rPr>
              <w:t>$</w:t>
            </w:r>
            <w:r w:rsidR="00482B9F">
              <w:rPr>
                <w:sz w:val="22"/>
              </w:rPr>
              <w:t>1,054.62</w:t>
            </w:r>
          </w:p>
        </w:tc>
      </w:tr>
      <w:tr w14:paraId="272A8D1D" w14:textId="77777777" w:rsidTr="004C67F9">
        <w:tblPrEx>
          <w:tblW w:w="9911" w:type="dxa"/>
          <w:tblInd w:w="10" w:type="dxa"/>
          <w:tblLayout w:type="fixed"/>
          <w:tblLook w:val="0000"/>
        </w:tblPrEx>
        <w:trPr>
          <w:cantSplit/>
          <w:trHeight w:val="625"/>
        </w:trPr>
        <w:tc>
          <w:tcPr>
            <w:tcW w:w="17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4FE1B256" w14:textId="77777777">
            <w:pPr>
              <w:rPr>
                <w:sz w:val="22"/>
              </w:rPr>
            </w:pPr>
            <w:r>
              <w:rPr>
                <w:sz w:val="22"/>
              </w:rPr>
              <w:t>h. Interview Verification for e.</w:t>
            </w:r>
          </w:p>
        </w:tc>
        <w:tc>
          <w:tcPr>
            <w:tcW w:w="14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2083667C" w14:textId="2D69DEB1">
            <w:pPr>
              <w:jc w:val="right"/>
              <w:rPr>
                <w:sz w:val="22"/>
              </w:rPr>
            </w:pPr>
            <w:r>
              <w:rPr>
                <w:sz w:val="22"/>
              </w:rPr>
              <w:t>1,800</w:t>
            </w:r>
          </w:p>
        </w:tc>
        <w:tc>
          <w:tcPr>
            <w:tcW w:w="13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6BFF6355" w14:textId="77777777">
            <w:pPr>
              <w:jc w:val="right"/>
              <w:rPr>
                <w:sz w:val="22"/>
              </w:rPr>
            </w:pPr>
            <w:r>
              <w:rPr>
                <w:sz w:val="22"/>
              </w:rPr>
              <w:t>1</w:t>
            </w:r>
          </w:p>
        </w:tc>
        <w:tc>
          <w:tcPr>
            <w:tcW w:w="12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3F92AE3D" w14:textId="51910923">
            <w:pPr>
              <w:jc w:val="right"/>
              <w:rPr>
                <w:sz w:val="22"/>
              </w:rPr>
            </w:pPr>
            <w:r>
              <w:rPr>
                <w:sz w:val="22"/>
              </w:rPr>
              <w:t>1,800</w:t>
            </w:r>
          </w:p>
        </w:tc>
        <w:tc>
          <w:tcPr>
            <w:tcW w:w="115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79332576" w14:textId="77777777">
            <w:pPr>
              <w:jc w:val="right"/>
              <w:rPr>
                <w:sz w:val="22"/>
              </w:rPr>
            </w:pPr>
            <w:r>
              <w:rPr>
                <w:sz w:val="22"/>
              </w:rPr>
              <w:t>0.067 hr.</w:t>
            </w:r>
          </w:p>
        </w:tc>
        <w:tc>
          <w:tcPr>
            <w:tcW w:w="9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3A310EC3" w14:textId="44185F94">
            <w:pPr>
              <w:jc w:val="right"/>
              <w:rPr>
                <w:sz w:val="22"/>
              </w:rPr>
            </w:pPr>
            <w:r>
              <w:rPr>
                <w:sz w:val="22"/>
              </w:rPr>
              <w:t>121</w:t>
            </w:r>
          </w:p>
        </w:tc>
        <w:tc>
          <w:tcPr>
            <w:tcW w:w="9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07102217" w14:textId="7479D247">
            <w:pPr>
              <w:jc w:val="right"/>
              <w:rPr>
                <w:sz w:val="22"/>
              </w:rPr>
            </w:pPr>
            <w:r w:rsidRPr="006B24EF">
              <w:rPr>
                <w:sz w:val="22"/>
              </w:rPr>
              <w:t>$</w:t>
            </w:r>
            <w:r w:rsidR="00FB023C">
              <w:rPr>
                <w:sz w:val="22"/>
              </w:rPr>
              <w:t>19.53</w:t>
            </w:r>
            <w:r w:rsidRPr="006B24EF">
              <w:rPr>
                <w:sz w:val="22"/>
              </w:rPr>
              <w:t xml:space="preserve"> </w:t>
            </w:r>
          </w:p>
        </w:tc>
        <w:tc>
          <w:tcPr>
            <w:tcW w:w="12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6321FF" w:rsidP="006321FF" w14:paraId="10F87844" w14:textId="76177EC3">
            <w:pPr>
              <w:jc w:val="right"/>
              <w:rPr>
                <w:sz w:val="22"/>
              </w:rPr>
            </w:pPr>
            <w:r>
              <w:rPr>
                <w:sz w:val="22"/>
              </w:rPr>
              <w:t>$</w:t>
            </w:r>
            <w:r w:rsidR="00482B9F">
              <w:rPr>
                <w:sz w:val="22"/>
              </w:rPr>
              <w:t>2,363.13</w:t>
            </w:r>
          </w:p>
        </w:tc>
      </w:tr>
      <w:bookmarkEnd w:id="1"/>
      <w:tr w14:paraId="661CCA94" w14:textId="77777777" w:rsidTr="004C67F9">
        <w:tblPrEx>
          <w:tblW w:w="9911" w:type="dxa"/>
          <w:tblInd w:w="10" w:type="dxa"/>
          <w:tblLayout w:type="fixed"/>
          <w:tblLook w:val="0000"/>
        </w:tblPrEx>
        <w:trPr>
          <w:cantSplit/>
          <w:trHeight w:val="169"/>
        </w:trPr>
        <w:tc>
          <w:tcPr>
            <w:tcW w:w="17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070D10" w:rsidRPr="00EA51A2" w14:paraId="26746528" w14:textId="77777777">
            <w:pPr>
              <w:rPr>
                <w:b/>
                <w:bCs/>
                <w:sz w:val="22"/>
              </w:rPr>
            </w:pPr>
            <w:r w:rsidRPr="00EA51A2">
              <w:rPr>
                <w:b/>
                <w:bCs/>
                <w:sz w:val="22"/>
              </w:rPr>
              <w:t>TOTAL</w:t>
            </w:r>
          </w:p>
        </w:tc>
        <w:tc>
          <w:tcPr>
            <w:tcW w:w="14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070D10" w14:paraId="5A597E48" w14:textId="7E670269">
            <w:pPr>
              <w:jc w:val="right"/>
              <w:rPr>
                <w:sz w:val="22"/>
              </w:rPr>
            </w:pPr>
            <w:r>
              <w:rPr>
                <w:sz w:val="22"/>
              </w:rPr>
              <w:t>32,875</w:t>
            </w:r>
          </w:p>
        </w:tc>
        <w:tc>
          <w:tcPr>
            <w:tcW w:w="13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070D10" w14:paraId="364E6653" w14:textId="77777777">
            <w:pPr>
              <w:jc w:val="right"/>
              <w:rPr>
                <w:sz w:val="22"/>
              </w:rPr>
            </w:pPr>
            <w:r>
              <w:rPr>
                <w:sz w:val="22"/>
              </w:rPr>
              <w:t xml:space="preserve">– </w:t>
            </w:r>
          </w:p>
        </w:tc>
        <w:tc>
          <w:tcPr>
            <w:tcW w:w="12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070D10" w14:paraId="78B853A4" w14:textId="019388AB">
            <w:pPr>
              <w:jc w:val="right"/>
              <w:rPr>
                <w:sz w:val="22"/>
              </w:rPr>
            </w:pPr>
            <w:r>
              <w:rPr>
                <w:sz w:val="22"/>
              </w:rPr>
              <w:t>32,875</w:t>
            </w:r>
          </w:p>
        </w:tc>
        <w:tc>
          <w:tcPr>
            <w:tcW w:w="115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070D10" w14:paraId="526DC472" w14:textId="77777777">
            <w:pPr>
              <w:jc w:val="right"/>
              <w:rPr>
                <w:sz w:val="22"/>
              </w:rPr>
            </w:pPr>
            <w:r>
              <w:rPr>
                <w:sz w:val="22"/>
              </w:rPr>
              <w:t xml:space="preserve">– </w:t>
            </w:r>
          </w:p>
        </w:tc>
        <w:tc>
          <w:tcPr>
            <w:tcW w:w="9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070D10" w14:paraId="58162BA5" w14:textId="4A74392D">
            <w:pPr>
              <w:jc w:val="right"/>
              <w:rPr>
                <w:sz w:val="22"/>
              </w:rPr>
            </w:pPr>
            <w:r>
              <w:rPr>
                <w:sz w:val="22"/>
              </w:rPr>
              <w:t>14,801</w:t>
            </w:r>
          </w:p>
        </w:tc>
        <w:tc>
          <w:tcPr>
            <w:tcW w:w="9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070D10" w14:paraId="659537CC" w14:textId="77777777">
            <w:pPr>
              <w:jc w:val="right"/>
              <w:rPr>
                <w:sz w:val="22"/>
              </w:rPr>
            </w:pPr>
            <w:r>
              <w:rPr>
                <w:sz w:val="22"/>
              </w:rPr>
              <w:t xml:space="preserve">– </w:t>
            </w:r>
          </w:p>
        </w:tc>
        <w:tc>
          <w:tcPr>
            <w:tcW w:w="12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rsidR="00070D10" w:rsidP="007F2363" w14:paraId="288A8BAA" w14:textId="22D1BAC1">
            <w:pPr>
              <w:jc w:val="right"/>
              <w:rPr>
                <w:sz w:val="22"/>
              </w:rPr>
            </w:pPr>
            <w:r>
              <w:rPr>
                <w:sz w:val="22"/>
              </w:rPr>
              <w:t>$</w:t>
            </w:r>
            <w:r w:rsidR="000946D1">
              <w:rPr>
                <w:sz w:val="22"/>
              </w:rPr>
              <w:t>289,063.53</w:t>
            </w:r>
          </w:p>
        </w:tc>
      </w:tr>
    </w:tbl>
    <w:p w:rsidR="00070D10" w14:paraId="262476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u w:val="single"/>
        </w:rPr>
      </w:pPr>
    </w:p>
    <w:p w:rsidR="00B06B14" w14:paraId="5FE96D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u w:val="single"/>
        </w:rPr>
      </w:pPr>
    </w:p>
    <w:p w:rsidR="00070D10" w14:paraId="0806F737" w14:textId="77777777">
      <w:pPr>
        <w:pStyle w:val="Heading1A"/>
        <w:tabs>
          <w:tab w:val="clear" w:pos="-720"/>
        </w:tabs>
        <w:rPr>
          <w:u w:val="single"/>
        </w:rPr>
      </w:pPr>
      <w:r>
        <w:t>13.</w:t>
      </w:r>
      <w:r>
        <w:tab/>
      </w:r>
      <w:r>
        <w:rPr>
          <w:u w:val="single"/>
        </w:rPr>
        <w:t>Estimates of Annualized Cost Burden to Respondents</w:t>
      </w:r>
    </w:p>
    <w:p w:rsidR="00070D10" w14:paraId="0E46AE68" w14:textId="77777777">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Respondents participate on a voluntary basis as private individuals and, therefore, are subject to no direct costs other than their time to participate; there are no start-up or maintenance costs.</w:t>
      </w:r>
    </w:p>
    <w:p w:rsidR="00070D10" w14:paraId="489D92D0" w14:textId="77777777">
      <w:pPr>
        <w:pStyle w:val="Heading1A"/>
        <w:tabs>
          <w:tab w:val="clear" w:pos="-720"/>
        </w:tabs>
        <w:rPr>
          <w:rFonts w:ascii="Times New Roman" w:hAnsi="Times New Roman"/>
        </w:rPr>
      </w:pPr>
      <w:r>
        <w:t>14.</w:t>
      </w:r>
      <w:r>
        <w:tab/>
      </w:r>
      <w:r>
        <w:rPr>
          <w:u w:val="single"/>
        </w:rPr>
        <w:t xml:space="preserve">Estimates of Annualized Cost to the Government </w:t>
      </w:r>
    </w:p>
    <w:p w:rsidR="00070D10" w14:paraId="601616E5" w14:textId="7C14EF7D">
      <w:pPr>
        <w:pStyle w:val="BodyText1"/>
        <w:tabs>
          <w:tab w:val="clear" w:pos="-720"/>
        </w:tabs>
      </w:pPr>
      <w:bookmarkStart w:id="2" w:name="_Hlk23345021"/>
      <w:r>
        <w:rPr>
          <w:lang w:val="en-GB"/>
        </w:rPr>
        <w:t>As stated earlier, the exact number of tests and subjects are unknown at this time. E</w:t>
      </w:r>
      <w:r>
        <w:t xml:space="preserve">ach package </w:t>
      </w:r>
      <w:r w:rsidRPr="00410496">
        <w:t xml:space="preserve">developed for this generic clearance will have the estimated costs summarized in the supporting statement. </w:t>
      </w:r>
      <w:bookmarkEnd w:id="2"/>
      <w:r w:rsidR="004C67F9">
        <w:t xml:space="preserve">The estimated annual cost to the government is </w:t>
      </w:r>
      <w:r w:rsidRPr="004C67F9" w:rsidR="004C67F9">
        <w:t>$985,686</w:t>
      </w:r>
      <w:r w:rsidR="004C67F9">
        <w:t>.</w:t>
      </w:r>
    </w:p>
    <w:p w:rsidR="00070D10" w14:paraId="4A792728" w14:textId="77777777">
      <w:pPr>
        <w:pStyle w:val="Heading1A"/>
        <w:tabs>
          <w:tab w:val="clear" w:pos="-720"/>
        </w:tabs>
        <w:rPr>
          <w:u w:val="single"/>
        </w:rPr>
      </w:pPr>
      <w:r>
        <w:t>15.</w:t>
      </w:r>
      <w:r>
        <w:tab/>
      </w:r>
      <w:r>
        <w:rPr>
          <w:u w:val="single"/>
        </w:rPr>
        <w:t>Changes in Burden</w:t>
      </w:r>
    </w:p>
    <w:p w:rsidR="005822EB" w:rsidRPr="00283122" w14:paraId="5693EBD3" w14:textId="7FCEE40F">
      <w:pPr>
        <w:pStyle w:val="BodyText1"/>
        <w:tabs>
          <w:tab w:val="clear" w:pos="-720"/>
        </w:tabs>
        <w:rPr>
          <w:color w:val="auto"/>
        </w:rPr>
      </w:pPr>
      <w:r w:rsidRPr="00524CBC">
        <w:t xml:space="preserve">Currently, there are </w:t>
      </w:r>
      <w:r>
        <w:t xml:space="preserve">2,741 </w:t>
      </w:r>
      <w:r w:rsidRPr="00524CBC">
        <w:t xml:space="preserve">hours </w:t>
      </w:r>
      <w:r>
        <w:t xml:space="preserve">for NSDUH </w:t>
      </w:r>
      <w:r w:rsidRPr="002361FB">
        <w:t>Methodological Field Tests</w:t>
      </w:r>
      <w:r>
        <w:t xml:space="preserve"> </w:t>
      </w:r>
      <w:r w:rsidRPr="00524CBC">
        <w:t>in the OMB inventory</w:t>
      </w:r>
      <w:r>
        <w:t>.</w:t>
      </w:r>
      <w:r w:rsidRPr="00524CBC">
        <w:t xml:space="preserve"> </w:t>
      </w:r>
      <w:r>
        <w:t xml:space="preserve">However, this number is incorrect and should have originally been </w:t>
      </w:r>
      <w:r w:rsidRPr="002361FB">
        <w:t>8,225</w:t>
      </w:r>
      <w:r>
        <w:t xml:space="preserve"> hours.</w:t>
      </w:r>
      <w:r w:rsidRPr="00524CBC">
        <w:t xml:space="preserve"> </w:t>
      </w:r>
      <w:r>
        <w:t xml:space="preserve">The annualized burden hours were loaded into ROCIS instead of the total burden hours which is required for a Generic ICR submission. </w:t>
      </w:r>
      <w:r w:rsidRPr="00524CBC">
        <w:t>The</w:t>
      </w:r>
      <w:r>
        <w:t xml:space="preserve">refore, acknowledging the correct inventory amount of </w:t>
      </w:r>
      <w:r w:rsidRPr="002361FB">
        <w:t>8,225</w:t>
      </w:r>
      <w:r>
        <w:t xml:space="preserve"> hours   there is an increase</w:t>
      </w:r>
      <w:r w:rsidRPr="002F6C6B">
        <w:t xml:space="preserve"> of </w:t>
      </w:r>
      <w:r>
        <w:t>6,576</w:t>
      </w:r>
      <w:r w:rsidRPr="00E942E4">
        <w:t xml:space="preserve"> </w:t>
      </w:r>
      <w:r>
        <w:t>hours to the requested 14,801.</w:t>
      </w:r>
      <w:r w:rsidRPr="002F6C6B">
        <w:t xml:space="preserve"> </w:t>
      </w:r>
      <w:r w:rsidRPr="00EA5292">
        <w:t>Th</w:t>
      </w:r>
      <w:r>
        <w:t>e new</w:t>
      </w:r>
      <w:r w:rsidRPr="00EA5292">
        <w:t xml:space="preserve"> burden estimate is based on past program experience</w:t>
      </w:r>
      <w:r>
        <w:t xml:space="preserve"> and expected increased methodological testing</w:t>
      </w:r>
      <w:r w:rsidRPr="00EA5292">
        <w:t>.</w:t>
      </w:r>
    </w:p>
    <w:p w:rsidR="00070D10" w14:paraId="425854E4" w14:textId="77777777">
      <w:pPr>
        <w:pStyle w:val="Heading1A"/>
        <w:tabs>
          <w:tab w:val="clear" w:pos="-720"/>
        </w:tabs>
        <w:rPr>
          <w:u w:val="single"/>
        </w:rPr>
      </w:pPr>
      <w:r>
        <w:t>16.</w:t>
      </w:r>
      <w:r>
        <w:tab/>
      </w:r>
      <w:r>
        <w:rPr>
          <w:u w:val="single"/>
        </w:rPr>
        <w:t>Time Schedule, Publication and Analysis Plans</w:t>
      </w:r>
    </w:p>
    <w:p w:rsidR="00070D10" w14:paraId="51BD73B0" w14:textId="77777777">
      <w:pPr>
        <w:pStyle w:val="BodyText1"/>
        <w:tabs>
          <w:tab w:val="clear" w:pos="-720"/>
        </w:tabs>
      </w:pPr>
      <w:r>
        <w:t>The data collection plan, schedule and analysis for each field test will be determined by the objectives of the methodological test, and will be included in the materials for expedited review.</w:t>
      </w:r>
    </w:p>
    <w:p w:rsidR="00070D10" w14:paraId="6C0BFE00" w14:textId="3C7D971F">
      <w:pPr>
        <w:pStyle w:val="BodyText1"/>
        <w:tabs>
          <w:tab w:val="clear" w:pos="-720"/>
        </w:tabs>
      </w:pPr>
      <w:r>
        <w:t>The process for developing the analytical plan for the methodological tests will be similar to that used in any formal evaluation. CBHSQ staff will review the material to be pretested, discuss the objectives with the individuals responsible for developing the materials, determine the analytic questions to be addressed in the test, and</w:t>
      </w:r>
      <w:r w:rsidR="00A33C86">
        <w:t>,</w:t>
      </w:r>
      <w:r>
        <w:t xml:space="preserve"> after resolution of any problems, approve the test procedures, instruments, and data analysis plan.</w:t>
      </w:r>
    </w:p>
    <w:p w:rsidR="00070D10" w14:paraId="231C48C1" w14:textId="7E640DC3">
      <w:pPr>
        <w:pStyle w:val="BodyText1"/>
        <w:widowControl/>
        <w:tabs>
          <w:tab w:val="clear" w:pos="-720"/>
        </w:tabs>
      </w:pPr>
      <w:r>
        <w:t xml:space="preserve">Techniques will primarily include qualitative analyses (for example, content analysis for results of cognitive studies), although some results may be summarized quantitatively using descriptive statistics. </w:t>
      </w:r>
    </w:p>
    <w:p w:rsidR="00070D10" w14:paraId="0F1FC63E" w14:textId="77777777">
      <w:pPr>
        <w:pStyle w:val="Heading1A"/>
        <w:tabs>
          <w:tab w:val="clear" w:pos="-720"/>
        </w:tabs>
        <w:rPr>
          <w:u w:val="single"/>
        </w:rPr>
      </w:pPr>
      <w:r>
        <w:t>17.</w:t>
      </w:r>
      <w:r>
        <w:tab/>
      </w:r>
      <w:r>
        <w:rPr>
          <w:u w:val="single"/>
        </w:rPr>
        <w:t>Display of Expiration Date</w:t>
      </w:r>
    </w:p>
    <w:p w:rsidR="00070D10" w14:paraId="5104FFDB" w14:textId="77777777">
      <w:pPr>
        <w:pStyle w:val="BodyText1"/>
        <w:tabs>
          <w:tab w:val="clear" w:pos="-720"/>
        </w:tabs>
      </w:pPr>
      <w:r>
        <w:t>Approval is requested to not display the expiration date on Methodological Field Test materials. The exclusion of the expiration date provides the opportunity to use any applicable main study materials during the field tests and reduces the time and expense of printing all new materials.</w:t>
      </w:r>
    </w:p>
    <w:p w:rsidR="00070D10" w14:paraId="47D84B66" w14:textId="77777777">
      <w:pPr>
        <w:pStyle w:val="Heading1A"/>
        <w:tabs>
          <w:tab w:val="clear" w:pos="-720"/>
        </w:tabs>
        <w:rPr>
          <w:u w:val="single"/>
        </w:rPr>
      </w:pPr>
      <w:r>
        <w:t>18.</w:t>
      </w:r>
      <w:r>
        <w:tab/>
      </w:r>
      <w:r>
        <w:rPr>
          <w:u w:val="single"/>
        </w:rPr>
        <w:t>Exceptions to Certification Statement</w:t>
      </w:r>
    </w:p>
    <w:p w:rsidR="00684E3C" w:rsidRPr="00262E16" w:rsidP="00E953F9" w14:paraId="4FD175E6" w14:textId="77777777">
      <w:pPr>
        <w:pStyle w:val="BodyText1"/>
        <w:tabs>
          <w:tab w:val="clear" w:pos="-720"/>
        </w:tabs>
      </w:pPr>
      <w:r>
        <w:t xml:space="preserve">The certifications are included in this package and </w:t>
      </w:r>
      <w:r w:rsidR="0021777D">
        <w:t>fully comply with 5 CFR 1320.9.</w:t>
      </w:r>
    </w:p>
    <w:p w:rsidR="009C1CF0" w:rsidP="00D65075" w14:paraId="31A4DD56" w14:textId="77777777">
      <w:pPr>
        <w:pStyle w:val="BodyText1"/>
        <w:tabs>
          <w:tab w:val="clear" w:pos="-720"/>
        </w:tabs>
        <w:rPr>
          <w:rFonts w:eastAsia="Times New Roman"/>
          <w:color w:val="auto"/>
          <w:sz w:val="20"/>
          <w:lang w:bidi="x-none"/>
        </w:rPr>
      </w:pPr>
    </w:p>
    <w:sectPr>
      <w:headerReference w:type="even" r:id="rId6"/>
      <w:headerReference w:type="default" r:id="rId7"/>
      <w:footerReference w:type="even" r:id="rId8"/>
      <w:footerReference w:type="default" r:id="rId9"/>
      <w:pgSz w:w="12240" w:h="15840"/>
      <w:pgMar w:top="1152" w:right="1152" w:bottom="720" w:left="1152" w:header="1152"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Grande">
    <w:altName w:val="Times New Roman"/>
    <w:charset w:val="00"/>
    <w:family w:val="auto"/>
    <w:pitch w:val="variable"/>
    <w:sig w:usb0="E1000AEF" w:usb1="5000A1FF" w:usb2="00000000" w:usb3="00000000" w:csb0="000001BF"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auto"/>
    <w:pitch w:val="default"/>
  </w:font>
  <w:font w:name="Times New Roman Italic">
    <w:panose1 w:val="02020503050405090304"/>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0D10" w14:paraId="57A094A5" w14:textId="77777777">
    <w:pPr>
      <w:ind w:left="288" w:right="28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0D10" w14:paraId="524BE1B5" w14:textId="77777777">
    <w:pPr>
      <w:ind w:left="288" w:right="28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603D6" w14:paraId="54B35D64" w14:textId="77777777">
      <w:r>
        <w:separator/>
      </w:r>
    </w:p>
  </w:footnote>
  <w:footnote w:type="continuationSeparator" w:id="1">
    <w:p w:rsidR="004603D6" w14:paraId="6596649C" w14:textId="77777777">
      <w:r>
        <w:continuationSeparator/>
      </w:r>
    </w:p>
  </w:footnote>
  <w:footnote w:type="continuationNotice" w:id="2">
    <w:p w:rsidR="004603D6" w14:paraId="42350FB7" w14:textId="77777777"/>
  </w:footnote>
  <w:footnote w:id="3">
    <w:p w:rsidR="006F2AE0" w14:paraId="7556DB8B" w14:textId="77777777">
      <w:pPr>
        <w:pStyle w:val="FootnoteText"/>
      </w:pPr>
      <w:r>
        <w:rPr>
          <w:rStyle w:val="FootnoteReference"/>
        </w:rPr>
        <w:footnoteRef/>
      </w:r>
      <w:r>
        <w:t xml:space="preserve"> </w:t>
      </w:r>
      <w:r w:rsidR="001B38E8">
        <w:t xml:space="preserve">To ensure sufficient data were collected to produce nationally representative estimates during the </w:t>
      </w:r>
      <w:r w:rsidRPr="007B3D73" w:rsidR="007B3D73">
        <w:t>COVID-19 pandemic</w:t>
      </w:r>
      <w:r w:rsidR="001B38E8">
        <w:t xml:space="preserve">, </w:t>
      </w:r>
      <w:r w:rsidR="002A66CD">
        <w:t xml:space="preserve">a mix of web-based and in-person modes of administration was implemented in </w:t>
      </w:r>
      <w:r w:rsidR="001B38E8">
        <w:t>Quarter 4 (October – December) of 2020</w:t>
      </w:r>
      <w:r w:rsidR="002A66CD">
        <w:t xml:space="preserve"> and continued throughout the 2021 and 2022 NSDUH surveys. The same mix of web-based and in-person modes of administration are planned for the 2023 NSDUH survey.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0D10" w14:paraId="427CD699" w14:textId="77777777">
    <w:pPr>
      <w:pStyle w:val="FreeForm"/>
      <w:rPr>
        <w:rFonts w:eastAsia="Times New Roman"/>
        <w:color w:val="auto"/>
        <w:lang w:bidi="x-none"/>
      </w:rPr>
    </w:pPr>
    <w:r>
      <w:br/>
    </w:r>
    <w:r w:rsidR="006E4245">
      <w:rPr>
        <w:noProof/>
      </w:rPr>
      <mc:AlternateContent>
        <mc:Choice Requires="wps">
          <w:drawing>
            <wp:anchor distT="0" distB="0" distL="114300" distR="114300" simplePos="0" relativeHeight="251660288" behindDoc="1" locked="0" layoutInCell="1" allowOverlap="1">
              <wp:simplePos x="0" y="0"/>
              <wp:positionH relativeFrom="page">
                <wp:posOffset>731520</wp:posOffset>
              </wp:positionH>
              <wp:positionV relativeFrom="page">
                <wp:posOffset>9373235</wp:posOffset>
              </wp:positionV>
              <wp:extent cx="6311900" cy="177800"/>
              <wp:effectExtent l="0" t="635" r="0" b="254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311900" cy="177800"/>
                      </a:xfrm>
                      <a:prstGeom prst="rect">
                        <a:avLst/>
                      </a:prstGeom>
                      <a:solidFill>
                        <a:srgbClr val="FFFFFF"/>
                      </a:solidFill>
                      <a:ln>
                        <a:noFill/>
                      </a:ln>
                      <a:extLst>
                        <a:ext xmlns:a="http://schemas.openxmlformats.org/drawingml/2006/main" uri="{91240B29-F687-4F45-9708-019B960494DF}">
                          <a14:hiddenLine xmlns:a14="http://schemas.microsoft.com/office/drawing/2010/main" w="12700">
                            <a:solidFill>
                              <a:srgbClr val="000000"/>
                            </a:solidFill>
                            <a:miter lim="800000"/>
                            <a:headEnd/>
                            <a:tailEnd/>
                          </a14:hiddenLine>
                        </a:ext>
                      </a:extLst>
                    </wps:spPr>
                    <wps:txbx>
                      <w:txbxContent>
                        <w:p w:rsidR="00070D10" w14:textId="77777777">
                          <w:pPr>
                            <w:jc w:val="center"/>
                            <w:rPr>
                              <w:rFonts w:eastAsia="Times New Roman"/>
                              <w:color w:val="auto"/>
                              <w:sz w:val="20"/>
                              <w:lang w:bidi="x-none"/>
                            </w:rPr>
                          </w:pPr>
                          <w:r>
                            <w:fldChar w:fldCharType="begin"/>
                          </w:r>
                          <w:r>
                            <w:instrText xml:space="preserve"> PAGE </w:instrText>
                          </w:r>
                          <w:r>
                            <w:fldChar w:fldCharType="separate"/>
                          </w:r>
                          <w:r w:rsidR="00627C43">
                            <w:rPr>
                              <w:noProof/>
                            </w:rP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97pt;height:14pt;margin-top:738.05pt;margin-left:57.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stroked="f" strokeweight="1pt">
              <v:path arrowok="t"/>
              <v:textbox inset="0,0,0,0">
                <w:txbxContent>
                  <w:p w:rsidR="00070D10" w14:paraId="1EA2E031" w14:textId="77777777">
                    <w:pPr>
                      <w:jc w:val="center"/>
                      <w:rPr>
                        <w:rFonts w:eastAsia="Times New Roman"/>
                        <w:color w:val="auto"/>
                        <w:sz w:val="20"/>
                        <w:lang w:bidi="x-none"/>
                      </w:rPr>
                    </w:pPr>
                    <w:r>
                      <w:fldChar w:fldCharType="begin"/>
                    </w:r>
                    <w:r>
                      <w:instrText xml:space="preserve"> PAGE </w:instrText>
                    </w:r>
                    <w:r>
                      <w:fldChar w:fldCharType="separate"/>
                    </w:r>
                    <w:r w:rsidR="00627C43">
                      <w:rPr>
                        <w:noProof/>
                      </w:rPr>
                      <w:t>2</w:t>
                    </w:r>
                    <w:r>
                      <w:fldChar w:fldCharType="end"/>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0D10" w14:paraId="4CC567A2" w14:textId="77777777">
    <w:pPr>
      <w:pStyle w:val="FreeForm"/>
      <w:rPr>
        <w:rFonts w:eastAsia="Times New Roman"/>
        <w:color w:val="auto"/>
        <w:lang w:bidi="x-none"/>
      </w:rPr>
    </w:pPr>
    <w:r>
      <w:br/>
    </w:r>
    <w:r w:rsidR="006E4245">
      <w:rPr>
        <w:noProof/>
      </w:rPr>
      <mc:AlternateContent>
        <mc:Choice Requires="wps">
          <w:drawing>
            <wp:anchor distT="0" distB="0" distL="114300" distR="114300" simplePos="0" relativeHeight="251658240" behindDoc="1" locked="0" layoutInCell="1" allowOverlap="1">
              <wp:simplePos x="0" y="0"/>
              <wp:positionH relativeFrom="page">
                <wp:posOffset>731520</wp:posOffset>
              </wp:positionH>
              <wp:positionV relativeFrom="page">
                <wp:posOffset>9373235</wp:posOffset>
              </wp:positionV>
              <wp:extent cx="6311900" cy="177800"/>
              <wp:effectExtent l="0" t="635" r="0" b="254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311900" cy="177800"/>
                      </a:xfrm>
                      <a:prstGeom prst="rect">
                        <a:avLst/>
                      </a:prstGeom>
                      <a:solidFill>
                        <a:srgbClr val="FFFFFF"/>
                      </a:solidFill>
                      <a:ln>
                        <a:noFill/>
                      </a:ln>
                      <a:extLst>
                        <a:ext xmlns:a="http://schemas.openxmlformats.org/drawingml/2006/main" uri="{91240B29-F687-4F45-9708-019B960494DF}">
                          <a14:hiddenLine xmlns:a14="http://schemas.microsoft.com/office/drawing/2010/main" w="12700">
                            <a:solidFill>
                              <a:srgbClr val="000000"/>
                            </a:solidFill>
                            <a:miter lim="800000"/>
                            <a:headEnd/>
                            <a:tailEnd/>
                          </a14:hiddenLine>
                        </a:ext>
                      </a:extLst>
                    </wps:spPr>
                    <wps:txbx>
                      <w:txbxContent>
                        <w:p w:rsidR="00070D10" w14:textId="77777777">
                          <w:pPr>
                            <w:jc w:val="center"/>
                            <w:rPr>
                              <w:rFonts w:eastAsia="Times New Roman"/>
                              <w:color w:val="auto"/>
                              <w:sz w:val="20"/>
                              <w:lang w:bidi="x-none"/>
                            </w:rPr>
                          </w:pPr>
                          <w:r>
                            <w:fldChar w:fldCharType="begin"/>
                          </w:r>
                          <w:r>
                            <w:instrText xml:space="preserve"> PAGE </w:instrText>
                          </w:r>
                          <w:r>
                            <w:fldChar w:fldCharType="separate"/>
                          </w:r>
                          <w:r w:rsidR="00627C43">
                            <w:rPr>
                              <w:noProof/>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50" style="width:497pt;height:14pt;margin-top:738.05pt;margin-left:57.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stroked="f" strokeweight="1pt">
              <v:path arrowok="t"/>
              <v:textbox inset="0,0,0,0">
                <w:txbxContent>
                  <w:p w:rsidR="00070D10" w14:paraId="5B59D0E6" w14:textId="77777777">
                    <w:pPr>
                      <w:jc w:val="center"/>
                      <w:rPr>
                        <w:rFonts w:eastAsia="Times New Roman"/>
                        <w:color w:val="auto"/>
                        <w:sz w:val="20"/>
                        <w:lang w:bidi="x-none"/>
                      </w:rPr>
                    </w:pPr>
                    <w:r>
                      <w:fldChar w:fldCharType="begin"/>
                    </w:r>
                    <w:r>
                      <w:instrText xml:space="preserve"> PAGE </w:instrText>
                    </w:r>
                    <w:r>
                      <w:fldChar w:fldCharType="separate"/>
                    </w:r>
                    <w:r w:rsidR="00627C43">
                      <w:rPr>
                        <w:noProof/>
                      </w:rPr>
                      <w:t>1</w:t>
                    </w:r>
                    <w:r>
                      <w:fldChar w:fldCharType="end"/>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894EE873"/>
    <w:lvl w:ilvl="0">
      <w:start w:val="1"/>
      <w:numFmt w:val="bullet"/>
      <w:lvlText w:val="·"/>
      <w:lvlJc w:val="left"/>
      <w:pPr>
        <w:tabs>
          <w:tab w:val="num" w:pos="360"/>
        </w:tabs>
        <w:ind w:left="360" w:firstLine="108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4"/>
      </w:rPr>
    </w:lvl>
  </w:abstractNum>
  <w:abstractNum w:abstractNumId="1">
    <w:nsid w:val="00000002"/>
    <w:multiLevelType w:val="multilevel"/>
    <w:tmpl w:val="894EE874"/>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0000003"/>
    <w:multiLevelType w:val="multilevel"/>
    <w:tmpl w:val="894EE875"/>
    <w:lvl w:ilvl="0">
      <w:start w:val="1"/>
      <w:numFmt w:val="bullet"/>
      <w:lvlText w:val="·"/>
      <w:lvlJc w:val="left"/>
      <w:pPr>
        <w:tabs>
          <w:tab w:val="num" w:pos="360"/>
        </w:tabs>
        <w:ind w:left="360" w:firstLine="108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4"/>
      </w:rPr>
    </w:lvl>
  </w:abstractNum>
  <w:num w:numId="1" w16cid:durableId="1964189276">
    <w:abstractNumId w:val="0"/>
  </w:num>
  <w:num w:numId="2" w16cid:durableId="1693066821">
    <w:abstractNumId w:val="1"/>
  </w:num>
  <w:num w:numId="3" w16cid:durableId="479616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2801" w:allStyles="1" w:alternateStyleNames="0" w:clearFormatting="0" w:customStyles="0" w:directFormattingOnNumbering="0" w:directFormattingOnParagraphs="0" w:directFormattingOnRuns="0" w:directFormattingOnTables="1" w:headingStyles="0" w:latentStyles="0" w:numberingStyles="0" w:stylesInUse="0" w:tableStyles="0" w:top3HeadingStyles="1" w:visibleStyl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EmbedSmartTags/>
  <w:doNotValidateAgainstSchema/>
  <w:doNotDemarcateInvalidXml/>
  <w:footnotePr>
    <w:footnote w:id="0"/>
    <w:footnote w:id="1"/>
    <w:footnote w:id="2"/>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358"/>
    <w:rsid w:val="000154EF"/>
    <w:rsid w:val="00033D21"/>
    <w:rsid w:val="000342EA"/>
    <w:rsid w:val="00043198"/>
    <w:rsid w:val="00055AD5"/>
    <w:rsid w:val="00070D10"/>
    <w:rsid w:val="00080366"/>
    <w:rsid w:val="00083BC3"/>
    <w:rsid w:val="00086208"/>
    <w:rsid w:val="00093E76"/>
    <w:rsid w:val="000946D1"/>
    <w:rsid w:val="000A061D"/>
    <w:rsid w:val="000A3ADC"/>
    <w:rsid w:val="000C08A4"/>
    <w:rsid w:val="000C34D7"/>
    <w:rsid w:val="000D4747"/>
    <w:rsid w:val="000F45AE"/>
    <w:rsid w:val="0010421C"/>
    <w:rsid w:val="00106400"/>
    <w:rsid w:val="00121DF2"/>
    <w:rsid w:val="00130030"/>
    <w:rsid w:val="00144078"/>
    <w:rsid w:val="001577DD"/>
    <w:rsid w:val="00175D5A"/>
    <w:rsid w:val="0018035B"/>
    <w:rsid w:val="001818E7"/>
    <w:rsid w:val="00190033"/>
    <w:rsid w:val="001A23BD"/>
    <w:rsid w:val="001A2FE6"/>
    <w:rsid w:val="001B38E8"/>
    <w:rsid w:val="001C2BF1"/>
    <w:rsid w:val="001D7B0F"/>
    <w:rsid w:val="00200E3E"/>
    <w:rsid w:val="00204E5D"/>
    <w:rsid w:val="00217661"/>
    <w:rsid w:val="0021777D"/>
    <w:rsid w:val="00222D1A"/>
    <w:rsid w:val="002361FB"/>
    <w:rsid w:val="00262E16"/>
    <w:rsid w:val="00266D68"/>
    <w:rsid w:val="00276B6C"/>
    <w:rsid w:val="00283122"/>
    <w:rsid w:val="0028462E"/>
    <w:rsid w:val="00285228"/>
    <w:rsid w:val="00292A40"/>
    <w:rsid w:val="00294E12"/>
    <w:rsid w:val="002A66CD"/>
    <w:rsid w:val="002A6BF1"/>
    <w:rsid w:val="002A6FE7"/>
    <w:rsid w:val="002B56B5"/>
    <w:rsid w:val="002D425D"/>
    <w:rsid w:val="002E4896"/>
    <w:rsid w:val="002F6C6B"/>
    <w:rsid w:val="00315006"/>
    <w:rsid w:val="00323369"/>
    <w:rsid w:val="00323496"/>
    <w:rsid w:val="0033275D"/>
    <w:rsid w:val="0034018D"/>
    <w:rsid w:val="00355067"/>
    <w:rsid w:val="0035544E"/>
    <w:rsid w:val="003573FC"/>
    <w:rsid w:val="0037657B"/>
    <w:rsid w:val="00390C1F"/>
    <w:rsid w:val="00395A30"/>
    <w:rsid w:val="0039666E"/>
    <w:rsid w:val="003A00C9"/>
    <w:rsid w:val="003B21C4"/>
    <w:rsid w:val="003B4706"/>
    <w:rsid w:val="003B7CE9"/>
    <w:rsid w:val="003D5625"/>
    <w:rsid w:val="003D756B"/>
    <w:rsid w:val="003E18B1"/>
    <w:rsid w:val="003E7084"/>
    <w:rsid w:val="003F4405"/>
    <w:rsid w:val="004007C1"/>
    <w:rsid w:val="00402148"/>
    <w:rsid w:val="0040480E"/>
    <w:rsid w:val="004050FD"/>
    <w:rsid w:val="00410496"/>
    <w:rsid w:val="00411915"/>
    <w:rsid w:val="004145DB"/>
    <w:rsid w:val="00431ABB"/>
    <w:rsid w:val="0043451F"/>
    <w:rsid w:val="00435025"/>
    <w:rsid w:val="00436FEA"/>
    <w:rsid w:val="00453CF1"/>
    <w:rsid w:val="004603D6"/>
    <w:rsid w:val="00471D00"/>
    <w:rsid w:val="00482B9F"/>
    <w:rsid w:val="0048487A"/>
    <w:rsid w:val="004849FE"/>
    <w:rsid w:val="0048770D"/>
    <w:rsid w:val="00493BC1"/>
    <w:rsid w:val="0049684D"/>
    <w:rsid w:val="004A1D85"/>
    <w:rsid w:val="004A7D59"/>
    <w:rsid w:val="004C00C6"/>
    <w:rsid w:val="004C45E5"/>
    <w:rsid w:val="004C67F9"/>
    <w:rsid w:val="004D341E"/>
    <w:rsid w:val="004E3613"/>
    <w:rsid w:val="004E4306"/>
    <w:rsid w:val="004E4BDF"/>
    <w:rsid w:val="004E57B9"/>
    <w:rsid w:val="004E5B95"/>
    <w:rsid w:val="004F53B2"/>
    <w:rsid w:val="005100D5"/>
    <w:rsid w:val="0052250C"/>
    <w:rsid w:val="00524CBC"/>
    <w:rsid w:val="00525DFF"/>
    <w:rsid w:val="0052684A"/>
    <w:rsid w:val="00541BDA"/>
    <w:rsid w:val="0055546A"/>
    <w:rsid w:val="00574088"/>
    <w:rsid w:val="00581017"/>
    <w:rsid w:val="005822EB"/>
    <w:rsid w:val="00597F32"/>
    <w:rsid w:val="005A22BC"/>
    <w:rsid w:val="005B43BD"/>
    <w:rsid w:val="005E1830"/>
    <w:rsid w:val="005E2251"/>
    <w:rsid w:val="005E338B"/>
    <w:rsid w:val="005F3D17"/>
    <w:rsid w:val="005F4C14"/>
    <w:rsid w:val="00607E38"/>
    <w:rsid w:val="00611218"/>
    <w:rsid w:val="006155E6"/>
    <w:rsid w:val="0061712E"/>
    <w:rsid w:val="00627C43"/>
    <w:rsid w:val="00630201"/>
    <w:rsid w:val="006321FF"/>
    <w:rsid w:val="00632651"/>
    <w:rsid w:val="0063333B"/>
    <w:rsid w:val="00641CEA"/>
    <w:rsid w:val="00645285"/>
    <w:rsid w:val="00654778"/>
    <w:rsid w:val="00684E3C"/>
    <w:rsid w:val="00687E7E"/>
    <w:rsid w:val="006972EB"/>
    <w:rsid w:val="006A0B9E"/>
    <w:rsid w:val="006A2B0A"/>
    <w:rsid w:val="006A4AAD"/>
    <w:rsid w:val="006B1FEC"/>
    <w:rsid w:val="006B24EF"/>
    <w:rsid w:val="006B41FB"/>
    <w:rsid w:val="006B5CBD"/>
    <w:rsid w:val="006C1B17"/>
    <w:rsid w:val="006D5CCA"/>
    <w:rsid w:val="006E3E28"/>
    <w:rsid w:val="006E4245"/>
    <w:rsid w:val="006F246F"/>
    <w:rsid w:val="006F2AE0"/>
    <w:rsid w:val="006F2DD1"/>
    <w:rsid w:val="006F31B7"/>
    <w:rsid w:val="00701722"/>
    <w:rsid w:val="0070331C"/>
    <w:rsid w:val="007168ED"/>
    <w:rsid w:val="007200B1"/>
    <w:rsid w:val="00725F4C"/>
    <w:rsid w:val="00733AC9"/>
    <w:rsid w:val="00754AB4"/>
    <w:rsid w:val="00767E0B"/>
    <w:rsid w:val="00776D89"/>
    <w:rsid w:val="00777F96"/>
    <w:rsid w:val="00781F7A"/>
    <w:rsid w:val="00794DD1"/>
    <w:rsid w:val="007A3445"/>
    <w:rsid w:val="007A3CA6"/>
    <w:rsid w:val="007A49FD"/>
    <w:rsid w:val="007A4E2D"/>
    <w:rsid w:val="007B3D73"/>
    <w:rsid w:val="007B69D9"/>
    <w:rsid w:val="007F01FF"/>
    <w:rsid w:val="007F2363"/>
    <w:rsid w:val="007F7308"/>
    <w:rsid w:val="007F7E6A"/>
    <w:rsid w:val="00812B9A"/>
    <w:rsid w:val="0082370A"/>
    <w:rsid w:val="0082408A"/>
    <w:rsid w:val="0083048C"/>
    <w:rsid w:val="008326F0"/>
    <w:rsid w:val="00854668"/>
    <w:rsid w:val="00865EED"/>
    <w:rsid w:val="00872CEB"/>
    <w:rsid w:val="00876699"/>
    <w:rsid w:val="00893750"/>
    <w:rsid w:val="008A1FAB"/>
    <w:rsid w:val="008A6ECE"/>
    <w:rsid w:val="008B577B"/>
    <w:rsid w:val="008C39C3"/>
    <w:rsid w:val="008D68DF"/>
    <w:rsid w:val="008F1475"/>
    <w:rsid w:val="008F47B7"/>
    <w:rsid w:val="008F6065"/>
    <w:rsid w:val="008F6697"/>
    <w:rsid w:val="00906458"/>
    <w:rsid w:val="00906DED"/>
    <w:rsid w:val="009103F1"/>
    <w:rsid w:val="0092400A"/>
    <w:rsid w:val="00966BCE"/>
    <w:rsid w:val="00981233"/>
    <w:rsid w:val="00984B23"/>
    <w:rsid w:val="00987D00"/>
    <w:rsid w:val="00987EB1"/>
    <w:rsid w:val="0099206D"/>
    <w:rsid w:val="00992D67"/>
    <w:rsid w:val="00994A2A"/>
    <w:rsid w:val="00996534"/>
    <w:rsid w:val="009B1874"/>
    <w:rsid w:val="009C1CF0"/>
    <w:rsid w:val="009D02EE"/>
    <w:rsid w:val="009D224D"/>
    <w:rsid w:val="009D4FC5"/>
    <w:rsid w:val="009F29D1"/>
    <w:rsid w:val="00A10569"/>
    <w:rsid w:val="00A11394"/>
    <w:rsid w:val="00A1271D"/>
    <w:rsid w:val="00A16293"/>
    <w:rsid w:val="00A20AB9"/>
    <w:rsid w:val="00A21A4F"/>
    <w:rsid w:val="00A30EA0"/>
    <w:rsid w:val="00A33C86"/>
    <w:rsid w:val="00A350F9"/>
    <w:rsid w:val="00A35928"/>
    <w:rsid w:val="00A53753"/>
    <w:rsid w:val="00A62303"/>
    <w:rsid w:val="00A64727"/>
    <w:rsid w:val="00A8446A"/>
    <w:rsid w:val="00A85E97"/>
    <w:rsid w:val="00AA2FB2"/>
    <w:rsid w:val="00AB2C30"/>
    <w:rsid w:val="00AC69CF"/>
    <w:rsid w:val="00AE751D"/>
    <w:rsid w:val="00AF0939"/>
    <w:rsid w:val="00B06358"/>
    <w:rsid w:val="00B06B14"/>
    <w:rsid w:val="00B1661E"/>
    <w:rsid w:val="00B302DA"/>
    <w:rsid w:val="00B46CB9"/>
    <w:rsid w:val="00B5208E"/>
    <w:rsid w:val="00B552EF"/>
    <w:rsid w:val="00B862EE"/>
    <w:rsid w:val="00B92DF2"/>
    <w:rsid w:val="00BA4696"/>
    <w:rsid w:val="00BB5C82"/>
    <w:rsid w:val="00BB74E1"/>
    <w:rsid w:val="00BC60E8"/>
    <w:rsid w:val="00BC7932"/>
    <w:rsid w:val="00C01001"/>
    <w:rsid w:val="00C04DE6"/>
    <w:rsid w:val="00C06275"/>
    <w:rsid w:val="00C254E1"/>
    <w:rsid w:val="00C32F52"/>
    <w:rsid w:val="00C469BC"/>
    <w:rsid w:val="00C51936"/>
    <w:rsid w:val="00C5429D"/>
    <w:rsid w:val="00C620B7"/>
    <w:rsid w:val="00C767FC"/>
    <w:rsid w:val="00C77309"/>
    <w:rsid w:val="00C80FAA"/>
    <w:rsid w:val="00C945AA"/>
    <w:rsid w:val="00C94FF2"/>
    <w:rsid w:val="00CD4067"/>
    <w:rsid w:val="00CD59F0"/>
    <w:rsid w:val="00D03239"/>
    <w:rsid w:val="00D133E5"/>
    <w:rsid w:val="00D143BB"/>
    <w:rsid w:val="00D15E46"/>
    <w:rsid w:val="00D21F43"/>
    <w:rsid w:val="00D47299"/>
    <w:rsid w:val="00D5464B"/>
    <w:rsid w:val="00D55CE8"/>
    <w:rsid w:val="00D65075"/>
    <w:rsid w:val="00D67BD4"/>
    <w:rsid w:val="00D702CC"/>
    <w:rsid w:val="00D73247"/>
    <w:rsid w:val="00D81545"/>
    <w:rsid w:val="00D844D5"/>
    <w:rsid w:val="00D95A26"/>
    <w:rsid w:val="00DB3C22"/>
    <w:rsid w:val="00DD349B"/>
    <w:rsid w:val="00DE3522"/>
    <w:rsid w:val="00E12FAB"/>
    <w:rsid w:val="00E3141D"/>
    <w:rsid w:val="00E3466B"/>
    <w:rsid w:val="00E3569E"/>
    <w:rsid w:val="00E3678C"/>
    <w:rsid w:val="00E54EB4"/>
    <w:rsid w:val="00E56F64"/>
    <w:rsid w:val="00E7100C"/>
    <w:rsid w:val="00E71AD6"/>
    <w:rsid w:val="00E7271E"/>
    <w:rsid w:val="00E7633E"/>
    <w:rsid w:val="00E76BA4"/>
    <w:rsid w:val="00E8614D"/>
    <w:rsid w:val="00E87FCC"/>
    <w:rsid w:val="00E942E4"/>
    <w:rsid w:val="00E953F9"/>
    <w:rsid w:val="00E97FAB"/>
    <w:rsid w:val="00EA0A7B"/>
    <w:rsid w:val="00EA0C8A"/>
    <w:rsid w:val="00EA51A2"/>
    <w:rsid w:val="00EA5292"/>
    <w:rsid w:val="00EA74FB"/>
    <w:rsid w:val="00EB4C23"/>
    <w:rsid w:val="00EC0275"/>
    <w:rsid w:val="00ED40E8"/>
    <w:rsid w:val="00EE1D68"/>
    <w:rsid w:val="00EE20C8"/>
    <w:rsid w:val="00EE4EE0"/>
    <w:rsid w:val="00EE6D5F"/>
    <w:rsid w:val="00F11E4C"/>
    <w:rsid w:val="00F2015F"/>
    <w:rsid w:val="00F20A52"/>
    <w:rsid w:val="00F27B5F"/>
    <w:rsid w:val="00F34BE9"/>
    <w:rsid w:val="00F50A1C"/>
    <w:rsid w:val="00F52F26"/>
    <w:rsid w:val="00F612F1"/>
    <w:rsid w:val="00F71F8E"/>
    <w:rsid w:val="00F72079"/>
    <w:rsid w:val="00F85F38"/>
    <w:rsid w:val="00F96264"/>
    <w:rsid w:val="00FA6E84"/>
    <w:rsid w:val="00FB023C"/>
    <w:rsid w:val="00FB09DE"/>
    <w:rsid w:val="00FD251B"/>
    <w:rsid w:val="00FD42C0"/>
    <w:rsid w:val="00FF13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52364901"/>
  <w15:chartTrackingRefBased/>
  <w15:docId w15:val="{F4AFBC92-31D9-4D5D-AF10-45BB911D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eastAsia="ヒラギノ角ゴ Pro W3"/>
      <w:color w:val="000000"/>
      <w:sz w:val="24"/>
      <w:szCs w:val="24"/>
    </w:rPr>
  </w:style>
  <w:style w:type="paragraph" w:styleId="Heading1">
    <w:name w:val="heading 1"/>
    <w:basedOn w:val="Normal"/>
    <w:next w:val="Normal"/>
    <w:link w:val="Heading1Char"/>
    <w:qFormat/>
    <w:locked/>
    <w:rsid w:val="009C1CF0"/>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paragraph" w:customStyle="1" w:styleId="BodyText1">
    <w:name w:val="Body Text1"/>
    <w:pPr>
      <w:widowControl w:val="0"/>
      <w:tabs>
        <w:tab w:val="left" w:pos="-720"/>
        <w:tab w:val="left" w:pos="0"/>
        <w:tab w:val="left" w:pos="63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eastAsia="ヒラギノ角ゴ Pro W3"/>
      <w:color w:val="000000"/>
      <w:sz w:val="24"/>
    </w:rPr>
  </w:style>
  <w:style w:type="numbering" w:customStyle="1" w:styleId="List1">
    <w:name w:val="List 1"/>
  </w:style>
  <w:style w:type="paragraph" w:customStyle="1" w:styleId="Heading1A">
    <w:name w:val="Heading 1 A"/>
    <w:next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outlineLvl w:val="0"/>
    </w:pPr>
    <w:rPr>
      <w:rFonts w:ascii="Times New Roman Bold" w:eastAsia="ヒラギノ角ゴ Pro W3" w:hAnsi="Times New Roman Bold"/>
      <w:color w:val="000000"/>
      <w:sz w:val="24"/>
    </w:rPr>
  </w:style>
  <w:style w:type="paragraph" w:customStyle="1" w:styleId="Heading3A">
    <w:name w:val="Heading 3 A"/>
    <w:next w:val="Normal"/>
    <w:pPr>
      <w:widowControl w:val="0"/>
      <w:tabs>
        <w:tab w:val="left" w:pos="-720"/>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outlineLvl w:val="2"/>
    </w:pPr>
    <w:rPr>
      <w:rFonts w:eastAsia="ヒラギノ角ゴ Pro W3"/>
      <w:color w:val="000000"/>
      <w:sz w:val="24"/>
      <w:u w:val="single"/>
    </w:rPr>
  </w:style>
  <w:style w:type="paragraph" w:styleId="ListParagraph">
    <w:name w:val="List Paragraph"/>
    <w:qFormat/>
    <w:pPr>
      <w:ind w:left="720"/>
    </w:pPr>
    <w:rPr>
      <w:rFonts w:ascii="Lucida Grande" w:eastAsia="ヒラギノ角ゴ Pro W3" w:hAnsi="Lucida Grande"/>
      <w:color w:val="000000"/>
      <w:sz w:val="22"/>
    </w:rPr>
  </w:style>
  <w:style w:type="paragraph" w:customStyle="1" w:styleId="ListingName">
    <w:name w:val="Listing_Name"/>
    <w:pPr>
      <w:spacing w:before="120" w:line="240" w:lineRule="exact"/>
    </w:pPr>
    <w:rPr>
      <w:rFonts w:ascii="Times New Roman Italic" w:eastAsia="ヒラギノ角ゴ Pro W3" w:hAnsi="Times New Roman Italic"/>
      <w:color w:val="000000"/>
      <w:sz w:val="22"/>
    </w:rPr>
  </w:style>
  <w:style w:type="character" w:customStyle="1" w:styleId="volume">
    <w:name w:val="volume"/>
    <w:rsid w:val="00630201"/>
  </w:style>
  <w:style w:type="character" w:customStyle="1" w:styleId="page">
    <w:name w:val="page"/>
    <w:rsid w:val="00630201"/>
  </w:style>
  <w:style w:type="paragraph" w:styleId="BalloonText">
    <w:name w:val="Balloon Text"/>
    <w:basedOn w:val="Normal"/>
    <w:link w:val="BalloonTextChar"/>
    <w:locked/>
    <w:rsid w:val="00055AD5"/>
    <w:rPr>
      <w:rFonts w:ascii="Segoe UI" w:hAnsi="Segoe UI" w:cs="Segoe UI"/>
      <w:sz w:val="18"/>
      <w:szCs w:val="18"/>
    </w:rPr>
  </w:style>
  <w:style w:type="character" w:customStyle="1" w:styleId="BalloonTextChar">
    <w:name w:val="Balloon Text Char"/>
    <w:link w:val="BalloonText"/>
    <w:rsid w:val="00055AD5"/>
    <w:rPr>
      <w:rFonts w:ascii="Segoe UI" w:eastAsia="ヒラギノ角ゴ Pro W3" w:hAnsi="Segoe UI" w:cs="Segoe UI"/>
      <w:color w:val="000000"/>
      <w:sz w:val="18"/>
      <w:szCs w:val="18"/>
    </w:rPr>
  </w:style>
  <w:style w:type="character" w:styleId="CommentReference">
    <w:name w:val="annotation reference"/>
    <w:locked/>
    <w:rsid w:val="009103F1"/>
    <w:rPr>
      <w:sz w:val="16"/>
      <w:szCs w:val="16"/>
    </w:rPr>
  </w:style>
  <w:style w:type="paragraph" w:styleId="CommentText">
    <w:name w:val="annotation text"/>
    <w:basedOn w:val="Normal"/>
    <w:link w:val="CommentTextChar"/>
    <w:locked/>
    <w:rsid w:val="009103F1"/>
    <w:rPr>
      <w:sz w:val="20"/>
      <w:szCs w:val="20"/>
    </w:rPr>
  </w:style>
  <w:style w:type="character" w:customStyle="1" w:styleId="CommentTextChar">
    <w:name w:val="Comment Text Char"/>
    <w:link w:val="CommentText"/>
    <w:rsid w:val="009103F1"/>
    <w:rPr>
      <w:rFonts w:eastAsia="ヒラギノ角ゴ Pro W3"/>
      <w:color w:val="000000"/>
    </w:rPr>
  </w:style>
  <w:style w:type="paragraph" w:styleId="CommentSubject">
    <w:name w:val="annotation subject"/>
    <w:basedOn w:val="CommentText"/>
    <w:next w:val="CommentText"/>
    <w:link w:val="CommentSubjectChar"/>
    <w:locked/>
    <w:rsid w:val="009103F1"/>
    <w:rPr>
      <w:b/>
      <w:bCs/>
    </w:rPr>
  </w:style>
  <w:style w:type="character" w:customStyle="1" w:styleId="CommentSubjectChar">
    <w:name w:val="Comment Subject Char"/>
    <w:link w:val="CommentSubject"/>
    <w:rsid w:val="009103F1"/>
    <w:rPr>
      <w:rFonts w:eastAsia="ヒラギノ角ゴ Pro W3"/>
      <w:b/>
      <w:bCs/>
      <w:color w:val="000000"/>
    </w:rPr>
  </w:style>
  <w:style w:type="paragraph" w:styleId="BodyText">
    <w:name w:val="Body Text"/>
    <w:basedOn w:val="ListParagraph"/>
    <w:link w:val="BodyTextChar"/>
    <w:locked/>
    <w:rsid w:val="009C1CF0"/>
    <w:pPr>
      <w:spacing w:after="120"/>
    </w:pPr>
    <w:rPr>
      <w:rFonts w:ascii="Times New Roman" w:eastAsia="Calibri" w:hAnsi="Times New Roman"/>
      <w:sz w:val="24"/>
      <w:szCs w:val="24"/>
    </w:rPr>
  </w:style>
  <w:style w:type="character" w:customStyle="1" w:styleId="BodyTextChar">
    <w:name w:val="Body Text Char"/>
    <w:link w:val="BodyText"/>
    <w:rsid w:val="009C1CF0"/>
    <w:rPr>
      <w:rFonts w:eastAsia="Calibri"/>
      <w:color w:val="000000"/>
      <w:sz w:val="24"/>
      <w:szCs w:val="24"/>
    </w:rPr>
  </w:style>
  <w:style w:type="paragraph" w:customStyle="1" w:styleId="apptitle">
    <w:name w:val="apptitle"/>
    <w:basedOn w:val="Heading1"/>
    <w:rsid w:val="009C1CF0"/>
    <w:pPr>
      <w:keepNext w:val="0"/>
      <w:pageBreakBefore/>
      <w:numPr>
        <w:ilvl w:val="1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after="120" w:line="276" w:lineRule="auto"/>
      <w:ind w:left="720" w:hanging="720"/>
      <w:contextualSpacing/>
      <w:jc w:val="center"/>
    </w:pPr>
    <w:rPr>
      <w:rFonts w:ascii="Times New Roman" w:hAnsi="Times New Roman"/>
      <w:kern w:val="0"/>
      <w:sz w:val="28"/>
      <w:szCs w:val="28"/>
      <w:lang w:bidi="en-US"/>
    </w:rPr>
  </w:style>
  <w:style w:type="character" w:customStyle="1" w:styleId="Heading1Char">
    <w:name w:val="Heading 1 Char"/>
    <w:link w:val="Heading1"/>
    <w:rsid w:val="009C1CF0"/>
    <w:rPr>
      <w:rFonts w:ascii="Calibri Light" w:eastAsia="Times New Roman" w:hAnsi="Calibri Light" w:cs="Times New Roman"/>
      <w:b/>
      <w:bCs/>
      <w:color w:val="000000"/>
      <w:kern w:val="32"/>
      <w:sz w:val="32"/>
      <w:szCs w:val="32"/>
    </w:rPr>
  </w:style>
  <w:style w:type="paragraph" w:styleId="FootnoteText">
    <w:name w:val="footnote text"/>
    <w:basedOn w:val="Normal"/>
    <w:link w:val="FootnoteTextChar"/>
    <w:locked/>
    <w:rsid w:val="006F2AE0"/>
    <w:rPr>
      <w:sz w:val="20"/>
      <w:szCs w:val="20"/>
    </w:rPr>
  </w:style>
  <w:style w:type="character" w:customStyle="1" w:styleId="FootnoteTextChar">
    <w:name w:val="Footnote Text Char"/>
    <w:link w:val="FootnoteText"/>
    <w:rsid w:val="006F2AE0"/>
    <w:rPr>
      <w:rFonts w:eastAsia="ヒラギノ角ゴ Pro W3"/>
      <w:color w:val="000000"/>
    </w:rPr>
  </w:style>
  <w:style w:type="character" w:styleId="FootnoteReference">
    <w:name w:val="footnote reference"/>
    <w:locked/>
    <w:rsid w:val="006F2AE0"/>
    <w:rPr>
      <w:vertAlign w:val="superscript"/>
    </w:rPr>
  </w:style>
  <w:style w:type="paragraph" w:styleId="Revision">
    <w:name w:val="Revision"/>
    <w:hidden/>
    <w:uiPriority w:val="99"/>
    <w:semiHidden/>
    <w:rsid w:val="00F50A1C"/>
    <w:rPr>
      <w:rFonts w:eastAsia="ヒラギノ角ゴ Pro W3"/>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D541D-1874-4418-AF77-80EBC514D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9</Pages>
  <Words>3470</Words>
  <Characters>19710</Characters>
  <Application>Microsoft Office Word</Application>
  <DocSecurity>0</DocSecurity>
  <Lines>447</Lines>
  <Paragraphs>241</Paragraphs>
  <ScaleCrop>false</ScaleCrop>
  <HeadingPairs>
    <vt:vector size="2" baseType="variant">
      <vt:variant>
        <vt:lpstr>Title</vt:lpstr>
      </vt:variant>
      <vt:variant>
        <vt:i4>1</vt:i4>
      </vt:variant>
    </vt:vector>
  </HeadingPairs>
  <TitlesOfParts>
    <vt:vector size="1" baseType="lpstr">
      <vt:lpstr>2003 National Survey on Drug Use and Health</vt:lpstr>
    </vt:vector>
  </TitlesOfParts>
  <Company>DHHS</Company>
  <LinksUpToDate>false</LinksUpToDate>
  <CharactersWithSpaces>22939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National Survey on Drug Use and Health</dc:title>
  <dc:creator>lky</dc:creator>
  <cp:lastModifiedBy>Broadus, Alicia (SAMHSA/CBHSQ)</cp:lastModifiedBy>
  <cp:revision>11</cp:revision>
  <dcterms:created xsi:type="dcterms:W3CDTF">2023-01-12T13:32:00Z</dcterms:created>
  <dcterms:modified xsi:type="dcterms:W3CDTF">2026-05-29T10:59:00Z</dcterms:modified>
</cp:coreProperties>
</file>